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7B64D5" w14:textId="77777777" w:rsidR="007D1E74" w:rsidRDefault="007D1E74">
      <w:pPr>
        <w:spacing w:line="360" w:lineRule="auto"/>
        <w:rPr>
          <w:sz w:val="24"/>
          <w:szCs w:val="24"/>
        </w:rPr>
      </w:pPr>
    </w:p>
    <w:p w14:paraId="12D8061D" w14:textId="77777777" w:rsidR="007D1E74" w:rsidRDefault="007D1E74">
      <w:pPr>
        <w:spacing w:line="360" w:lineRule="auto"/>
        <w:rPr>
          <w:sz w:val="24"/>
          <w:szCs w:val="24"/>
        </w:rPr>
      </w:pPr>
    </w:p>
    <w:p w14:paraId="046F4BFF" w14:textId="77777777" w:rsidR="007D1E74" w:rsidRDefault="007D1E74">
      <w:pPr>
        <w:spacing w:line="360" w:lineRule="auto"/>
        <w:rPr>
          <w:sz w:val="24"/>
          <w:szCs w:val="24"/>
        </w:rPr>
      </w:pPr>
    </w:p>
    <w:p w14:paraId="3CC337B9" w14:textId="77777777" w:rsidR="007D1E74" w:rsidRDefault="007D1E74">
      <w:pPr>
        <w:spacing w:line="360" w:lineRule="auto"/>
        <w:rPr>
          <w:sz w:val="24"/>
          <w:szCs w:val="24"/>
        </w:rPr>
      </w:pPr>
    </w:p>
    <w:p w14:paraId="283D95FD" w14:textId="77777777" w:rsidR="007D1E74" w:rsidRDefault="007D1E74">
      <w:pPr>
        <w:spacing w:line="360" w:lineRule="auto"/>
        <w:rPr>
          <w:sz w:val="24"/>
          <w:szCs w:val="24"/>
        </w:rPr>
      </w:pPr>
    </w:p>
    <w:p w14:paraId="5DAFE652" w14:textId="77777777" w:rsidR="007D1E74" w:rsidRDefault="00A95641">
      <w:pPr>
        <w:spacing w:line="360" w:lineRule="auto"/>
        <w:jc w:val="center"/>
        <w:rPr>
          <w:rFonts w:eastAsia="黑体" w:cs="Times New Roman"/>
          <w:b/>
          <w:sz w:val="44"/>
          <w:szCs w:val="44"/>
        </w:rPr>
      </w:pPr>
      <w:r>
        <w:rPr>
          <w:rFonts w:eastAsia="黑体" w:cs="Times New Roman" w:hint="eastAsia"/>
          <w:b/>
          <w:sz w:val="44"/>
          <w:szCs w:val="44"/>
        </w:rPr>
        <w:t>通</w:t>
      </w:r>
      <w:proofErr w:type="gramStart"/>
      <w:r>
        <w:rPr>
          <w:rFonts w:eastAsia="黑体" w:cs="Times New Roman" w:hint="eastAsia"/>
          <w:b/>
          <w:sz w:val="44"/>
          <w:szCs w:val="44"/>
        </w:rPr>
        <w:t>南巴气田马</w:t>
      </w:r>
      <w:proofErr w:type="gramEnd"/>
      <w:r>
        <w:rPr>
          <w:rFonts w:eastAsia="黑体" w:cs="Times New Roman" w:hint="eastAsia"/>
          <w:b/>
          <w:sz w:val="44"/>
          <w:szCs w:val="44"/>
        </w:rPr>
        <w:t>1</w:t>
      </w:r>
      <w:r>
        <w:rPr>
          <w:rFonts w:eastAsia="黑体" w:cs="Times New Roman" w:hint="eastAsia"/>
          <w:b/>
          <w:sz w:val="44"/>
          <w:szCs w:val="44"/>
        </w:rPr>
        <w:t>、马</w:t>
      </w:r>
      <w:r>
        <w:rPr>
          <w:rFonts w:eastAsia="黑体" w:cs="Times New Roman" w:hint="eastAsia"/>
          <w:b/>
          <w:sz w:val="44"/>
          <w:szCs w:val="44"/>
        </w:rPr>
        <w:t>2</w:t>
      </w:r>
      <w:r>
        <w:rPr>
          <w:rFonts w:eastAsia="黑体" w:cs="Times New Roman" w:hint="eastAsia"/>
          <w:b/>
          <w:sz w:val="44"/>
          <w:szCs w:val="44"/>
        </w:rPr>
        <w:t>块产能建设项目（二期）地面集输工程</w:t>
      </w:r>
    </w:p>
    <w:p w14:paraId="4023C8B5" w14:textId="77777777" w:rsidR="007D1E74" w:rsidRDefault="007D1E74">
      <w:pPr>
        <w:spacing w:line="360" w:lineRule="auto"/>
        <w:rPr>
          <w:sz w:val="24"/>
          <w:szCs w:val="24"/>
        </w:rPr>
      </w:pPr>
    </w:p>
    <w:p w14:paraId="37D79754" w14:textId="77777777" w:rsidR="007D1E74" w:rsidRDefault="007D1E74">
      <w:pPr>
        <w:spacing w:line="360" w:lineRule="auto"/>
        <w:rPr>
          <w:sz w:val="24"/>
          <w:szCs w:val="24"/>
        </w:rPr>
      </w:pPr>
    </w:p>
    <w:p w14:paraId="64D5479B" w14:textId="77777777" w:rsidR="007D1E74" w:rsidRDefault="007D1E74">
      <w:pPr>
        <w:spacing w:line="360" w:lineRule="auto"/>
        <w:rPr>
          <w:sz w:val="24"/>
          <w:szCs w:val="24"/>
        </w:rPr>
      </w:pPr>
    </w:p>
    <w:p w14:paraId="6528FA32" w14:textId="77777777" w:rsidR="007D1E74" w:rsidRDefault="00A95641">
      <w:pPr>
        <w:spacing w:line="360" w:lineRule="auto"/>
        <w:jc w:val="center"/>
        <w:rPr>
          <w:rFonts w:eastAsia="黑体" w:cs="Times New Roman"/>
          <w:b/>
          <w:sz w:val="72"/>
          <w:szCs w:val="72"/>
        </w:rPr>
      </w:pPr>
      <w:r>
        <w:rPr>
          <w:rFonts w:eastAsia="黑体" w:cs="Times New Roman" w:hint="eastAsia"/>
          <w:b/>
          <w:sz w:val="72"/>
          <w:szCs w:val="72"/>
        </w:rPr>
        <w:t>环境影响报告书</w:t>
      </w:r>
    </w:p>
    <w:p w14:paraId="701337CA" w14:textId="7C3EE279" w:rsidR="007D1E74" w:rsidRDefault="00A95641">
      <w:pPr>
        <w:spacing w:line="360" w:lineRule="auto"/>
        <w:jc w:val="center"/>
        <w:rPr>
          <w:rFonts w:ascii="隶书" w:eastAsia="隶书"/>
          <w:b/>
          <w:sz w:val="44"/>
          <w:szCs w:val="44"/>
        </w:rPr>
      </w:pPr>
      <w:r>
        <w:rPr>
          <w:rFonts w:ascii="隶书" w:eastAsia="隶书" w:hint="eastAsia"/>
          <w:b/>
          <w:sz w:val="44"/>
          <w:szCs w:val="44"/>
        </w:rPr>
        <w:t>（</w:t>
      </w:r>
      <w:r w:rsidR="00C462B8">
        <w:rPr>
          <w:rFonts w:ascii="隶书" w:eastAsia="隶书" w:hint="eastAsia"/>
          <w:b/>
          <w:sz w:val="44"/>
          <w:szCs w:val="44"/>
        </w:rPr>
        <w:t>公示</w:t>
      </w:r>
      <w:r>
        <w:rPr>
          <w:rFonts w:ascii="隶书" w:eastAsia="隶书" w:hint="eastAsia"/>
          <w:b/>
          <w:sz w:val="44"/>
          <w:szCs w:val="44"/>
        </w:rPr>
        <w:t>本）</w:t>
      </w:r>
    </w:p>
    <w:p w14:paraId="2C50223E" w14:textId="77777777" w:rsidR="007D1E74" w:rsidRDefault="007D1E74">
      <w:pPr>
        <w:spacing w:line="360" w:lineRule="auto"/>
        <w:rPr>
          <w:sz w:val="24"/>
          <w:szCs w:val="24"/>
        </w:rPr>
      </w:pPr>
    </w:p>
    <w:p w14:paraId="193E60B2" w14:textId="77777777" w:rsidR="007D1E74" w:rsidRDefault="007D1E74">
      <w:pPr>
        <w:spacing w:line="360" w:lineRule="auto"/>
        <w:rPr>
          <w:sz w:val="24"/>
          <w:szCs w:val="24"/>
        </w:rPr>
      </w:pPr>
    </w:p>
    <w:p w14:paraId="09103AAC" w14:textId="77777777" w:rsidR="007D1E74" w:rsidRDefault="007D1E74">
      <w:pPr>
        <w:spacing w:line="360" w:lineRule="auto"/>
        <w:rPr>
          <w:sz w:val="24"/>
          <w:szCs w:val="24"/>
        </w:rPr>
      </w:pPr>
    </w:p>
    <w:p w14:paraId="4EA7A031" w14:textId="77777777" w:rsidR="007D1E74" w:rsidRDefault="007D1E74">
      <w:pPr>
        <w:spacing w:line="360" w:lineRule="auto"/>
        <w:rPr>
          <w:sz w:val="24"/>
          <w:szCs w:val="24"/>
        </w:rPr>
      </w:pPr>
    </w:p>
    <w:p w14:paraId="0FB94B20" w14:textId="77777777" w:rsidR="007D1E74" w:rsidRDefault="007D1E74">
      <w:pPr>
        <w:spacing w:line="360" w:lineRule="auto"/>
        <w:rPr>
          <w:sz w:val="24"/>
          <w:szCs w:val="24"/>
        </w:rPr>
      </w:pPr>
    </w:p>
    <w:p w14:paraId="5283BD80" w14:textId="77777777" w:rsidR="007D1E74" w:rsidRDefault="007D1E74">
      <w:pPr>
        <w:spacing w:line="360" w:lineRule="auto"/>
        <w:rPr>
          <w:sz w:val="24"/>
          <w:szCs w:val="24"/>
        </w:rPr>
      </w:pPr>
    </w:p>
    <w:p w14:paraId="2309BE27" w14:textId="77777777" w:rsidR="007D1E74" w:rsidRDefault="007D1E74">
      <w:pPr>
        <w:spacing w:line="360" w:lineRule="auto"/>
        <w:rPr>
          <w:sz w:val="24"/>
          <w:szCs w:val="24"/>
        </w:rPr>
      </w:pPr>
    </w:p>
    <w:p w14:paraId="47D0B22A" w14:textId="77777777" w:rsidR="007D1E74" w:rsidRDefault="007D1E74">
      <w:pPr>
        <w:spacing w:line="360" w:lineRule="auto"/>
        <w:rPr>
          <w:sz w:val="24"/>
          <w:szCs w:val="24"/>
        </w:rPr>
      </w:pPr>
    </w:p>
    <w:p w14:paraId="2C4FC07D" w14:textId="77777777" w:rsidR="007D1E74" w:rsidRDefault="007D1E74">
      <w:pPr>
        <w:spacing w:line="360" w:lineRule="auto"/>
        <w:rPr>
          <w:sz w:val="24"/>
          <w:szCs w:val="24"/>
        </w:rPr>
      </w:pPr>
    </w:p>
    <w:p w14:paraId="0A983CFA" w14:textId="77777777" w:rsidR="007D1E74" w:rsidRDefault="007D1E74">
      <w:pPr>
        <w:spacing w:line="360" w:lineRule="auto"/>
        <w:rPr>
          <w:sz w:val="24"/>
          <w:szCs w:val="24"/>
        </w:rPr>
      </w:pPr>
    </w:p>
    <w:p w14:paraId="0D67F3D4" w14:textId="77777777" w:rsidR="007D1E74" w:rsidRDefault="007D1E74">
      <w:pPr>
        <w:spacing w:line="360" w:lineRule="auto"/>
        <w:rPr>
          <w:sz w:val="24"/>
          <w:szCs w:val="24"/>
        </w:rPr>
      </w:pPr>
    </w:p>
    <w:tbl>
      <w:tblPr>
        <w:tblStyle w:val="affffc"/>
        <w:tblW w:w="463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9"/>
        <w:gridCol w:w="6664"/>
      </w:tblGrid>
      <w:tr w:rsidR="007D1E74" w14:paraId="756E1464" w14:textId="77777777">
        <w:trPr>
          <w:jc w:val="center"/>
        </w:trPr>
        <w:tc>
          <w:tcPr>
            <w:tcW w:w="1016" w:type="pct"/>
          </w:tcPr>
          <w:p w14:paraId="6801B78C" w14:textId="77777777" w:rsidR="007D1E74" w:rsidRDefault="00A95641">
            <w:pPr>
              <w:spacing w:line="360" w:lineRule="auto"/>
              <w:jc w:val="distribute"/>
              <w:rPr>
                <w:rFonts w:eastAsia="黑体" w:cs="Times New Roman"/>
                <w:b/>
                <w:sz w:val="30"/>
                <w:szCs w:val="30"/>
              </w:rPr>
            </w:pPr>
            <w:r>
              <w:rPr>
                <w:rFonts w:eastAsia="黑体" w:cs="Times New Roman"/>
                <w:b/>
                <w:sz w:val="30"/>
                <w:szCs w:val="30"/>
              </w:rPr>
              <w:t>建设单位：</w:t>
            </w:r>
          </w:p>
        </w:tc>
        <w:tc>
          <w:tcPr>
            <w:tcW w:w="3984" w:type="pct"/>
          </w:tcPr>
          <w:p w14:paraId="24EB6428" w14:textId="77777777" w:rsidR="007D1E74" w:rsidRDefault="00A95641">
            <w:pPr>
              <w:spacing w:line="360" w:lineRule="auto"/>
              <w:jc w:val="distribute"/>
              <w:rPr>
                <w:rFonts w:eastAsia="黑体" w:cs="Times New Roman"/>
                <w:b/>
                <w:sz w:val="30"/>
                <w:szCs w:val="30"/>
              </w:rPr>
            </w:pPr>
            <w:r>
              <w:rPr>
                <w:rFonts w:eastAsia="黑体" w:cs="Times New Roman" w:hint="eastAsia"/>
                <w:b/>
                <w:sz w:val="30"/>
                <w:szCs w:val="30"/>
              </w:rPr>
              <w:t>中国石油化工股份有限公司中原油田普光分公司</w:t>
            </w:r>
          </w:p>
        </w:tc>
      </w:tr>
      <w:tr w:rsidR="007D1E74" w14:paraId="1AECD050" w14:textId="77777777">
        <w:trPr>
          <w:jc w:val="center"/>
        </w:trPr>
        <w:tc>
          <w:tcPr>
            <w:tcW w:w="1016" w:type="pct"/>
          </w:tcPr>
          <w:p w14:paraId="1B113392" w14:textId="77777777" w:rsidR="007D1E74" w:rsidRDefault="00A95641">
            <w:pPr>
              <w:spacing w:line="360" w:lineRule="auto"/>
              <w:jc w:val="distribute"/>
              <w:rPr>
                <w:rFonts w:eastAsia="黑体" w:cs="Times New Roman"/>
                <w:b/>
                <w:sz w:val="30"/>
                <w:szCs w:val="30"/>
              </w:rPr>
            </w:pPr>
            <w:r>
              <w:rPr>
                <w:rFonts w:eastAsia="黑体" w:cs="Times New Roman"/>
                <w:b/>
                <w:sz w:val="30"/>
                <w:szCs w:val="30"/>
              </w:rPr>
              <w:t>评价单位：</w:t>
            </w:r>
          </w:p>
        </w:tc>
        <w:tc>
          <w:tcPr>
            <w:tcW w:w="3984" w:type="pct"/>
          </w:tcPr>
          <w:p w14:paraId="7DF42999" w14:textId="77777777" w:rsidR="007D1E74" w:rsidRDefault="00A95641">
            <w:pPr>
              <w:spacing w:line="360" w:lineRule="auto"/>
              <w:jc w:val="distribute"/>
              <w:rPr>
                <w:rFonts w:eastAsia="黑体" w:cs="Times New Roman"/>
                <w:b/>
                <w:sz w:val="30"/>
                <w:szCs w:val="30"/>
              </w:rPr>
            </w:pPr>
            <w:proofErr w:type="gramStart"/>
            <w:r>
              <w:rPr>
                <w:rFonts w:eastAsia="黑体" w:cs="Times New Roman"/>
                <w:b/>
                <w:sz w:val="30"/>
                <w:szCs w:val="30"/>
              </w:rPr>
              <w:t>四川省国环环境工程</w:t>
            </w:r>
            <w:proofErr w:type="gramEnd"/>
            <w:r>
              <w:rPr>
                <w:rFonts w:eastAsia="黑体" w:cs="Times New Roman"/>
                <w:b/>
                <w:sz w:val="30"/>
                <w:szCs w:val="30"/>
              </w:rPr>
              <w:t>咨询有限公司</w:t>
            </w:r>
          </w:p>
        </w:tc>
      </w:tr>
    </w:tbl>
    <w:p w14:paraId="0A005F1D" w14:textId="77777777" w:rsidR="007D1E74" w:rsidRDefault="00A95641">
      <w:pPr>
        <w:spacing w:line="360" w:lineRule="auto"/>
        <w:jc w:val="center"/>
        <w:rPr>
          <w:rFonts w:eastAsia="黑体" w:cs="Times New Roman"/>
          <w:b/>
          <w:sz w:val="30"/>
          <w:szCs w:val="30"/>
        </w:rPr>
      </w:pPr>
      <w:r>
        <w:rPr>
          <w:rFonts w:eastAsia="黑体" w:cs="Times New Roman"/>
          <w:b/>
          <w:sz w:val="30"/>
          <w:szCs w:val="30"/>
        </w:rPr>
        <w:t>二〇二二年</w:t>
      </w:r>
      <w:r>
        <w:rPr>
          <w:rFonts w:eastAsia="黑体" w:cs="Times New Roman" w:hint="eastAsia"/>
          <w:b/>
          <w:sz w:val="30"/>
          <w:szCs w:val="30"/>
        </w:rPr>
        <w:t>三</w:t>
      </w:r>
      <w:r>
        <w:rPr>
          <w:rFonts w:eastAsia="黑体" w:cs="Times New Roman"/>
          <w:b/>
          <w:sz w:val="30"/>
          <w:szCs w:val="30"/>
        </w:rPr>
        <w:t>月</w:t>
      </w:r>
    </w:p>
    <w:p w14:paraId="4B4D8B0A" w14:textId="77777777" w:rsidR="007D1E74" w:rsidRDefault="007D1E74">
      <w:pPr>
        <w:spacing w:line="360" w:lineRule="auto"/>
        <w:rPr>
          <w:sz w:val="24"/>
          <w:szCs w:val="24"/>
        </w:rPr>
      </w:pPr>
    </w:p>
    <w:p w14:paraId="78DBDE9D" w14:textId="77777777" w:rsidR="007D1E74" w:rsidRDefault="007D1E74">
      <w:pPr>
        <w:spacing w:line="360" w:lineRule="auto"/>
        <w:sectPr w:rsidR="007D1E74">
          <w:pgSz w:w="11906" w:h="16838"/>
          <w:pgMar w:top="1440" w:right="1440" w:bottom="1440" w:left="1440" w:header="851" w:footer="992" w:gutter="0"/>
          <w:cols w:space="425"/>
          <w:docGrid w:type="lines" w:linePitch="312"/>
        </w:sectPr>
      </w:pPr>
    </w:p>
    <w:p w14:paraId="25F82107" w14:textId="77777777" w:rsidR="007D1E74" w:rsidRDefault="007D1E74">
      <w:pPr>
        <w:spacing w:line="360" w:lineRule="auto"/>
        <w:rPr>
          <w:sz w:val="24"/>
          <w:szCs w:val="24"/>
        </w:rPr>
      </w:pPr>
    </w:p>
    <w:p w14:paraId="3B17C3EA" w14:textId="77777777" w:rsidR="007D1E74" w:rsidRDefault="00A95641">
      <w:pPr>
        <w:spacing w:line="360" w:lineRule="auto"/>
        <w:jc w:val="center"/>
        <w:rPr>
          <w:b/>
          <w:sz w:val="36"/>
          <w:szCs w:val="36"/>
        </w:rPr>
      </w:pPr>
      <w:r>
        <w:rPr>
          <w:rFonts w:hint="eastAsia"/>
          <w:b/>
          <w:sz w:val="36"/>
          <w:szCs w:val="36"/>
        </w:rPr>
        <w:t>目</w:t>
      </w:r>
      <w:r>
        <w:rPr>
          <w:rFonts w:hint="eastAsia"/>
          <w:b/>
          <w:sz w:val="36"/>
          <w:szCs w:val="36"/>
        </w:rPr>
        <w:t xml:space="preserve">  </w:t>
      </w:r>
      <w:r>
        <w:rPr>
          <w:rFonts w:hint="eastAsia"/>
          <w:b/>
          <w:sz w:val="36"/>
          <w:szCs w:val="36"/>
        </w:rPr>
        <w:t>录</w:t>
      </w:r>
    </w:p>
    <w:p w14:paraId="19C3AE98" w14:textId="77777777" w:rsidR="007D1E74" w:rsidRDefault="007D1E74">
      <w:pPr>
        <w:spacing w:line="360" w:lineRule="auto"/>
        <w:rPr>
          <w:sz w:val="24"/>
          <w:szCs w:val="24"/>
        </w:rPr>
      </w:pPr>
    </w:p>
    <w:p w14:paraId="030DB4BF" w14:textId="77777777" w:rsidR="007D1E74" w:rsidRDefault="00A95641">
      <w:pPr>
        <w:pStyle w:val="TOC1"/>
        <w:rPr>
          <w:color w:val="auto"/>
        </w:rPr>
      </w:pPr>
      <w:r>
        <w:rPr>
          <w:color w:val="auto"/>
          <w:sz w:val="24"/>
          <w:szCs w:val="24"/>
        </w:rPr>
        <w:fldChar w:fldCharType="begin"/>
      </w:r>
      <w:r>
        <w:rPr>
          <w:color w:val="auto"/>
          <w:sz w:val="24"/>
          <w:szCs w:val="24"/>
        </w:rPr>
        <w:instrText xml:space="preserve"> TOC \o "1-2" \h \z \u </w:instrText>
      </w:r>
      <w:r>
        <w:rPr>
          <w:color w:val="auto"/>
          <w:sz w:val="24"/>
          <w:szCs w:val="24"/>
        </w:rPr>
        <w:fldChar w:fldCharType="separate"/>
      </w:r>
      <w:hyperlink w:anchor="_Toc94086977" w:history="1">
        <w:r>
          <w:rPr>
            <w:rStyle w:val="afffff4"/>
            <w:color w:val="auto"/>
          </w:rPr>
          <w:t>1</w:t>
        </w:r>
        <w:r>
          <w:rPr>
            <w:rStyle w:val="afffff4"/>
            <w:rFonts w:hint="eastAsia"/>
            <w:color w:val="auto"/>
          </w:rPr>
          <w:t xml:space="preserve"> </w:t>
        </w:r>
        <w:r>
          <w:rPr>
            <w:rStyle w:val="afffff4"/>
            <w:rFonts w:hint="eastAsia"/>
            <w:color w:val="auto"/>
          </w:rPr>
          <w:t>概述</w:t>
        </w:r>
        <w:r>
          <w:rPr>
            <w:color w:val="auto"/>
          </w:rPr>
          <w:tab/>
          <w:t>1</w:t>
        </w:r>
      </w:hyperlink>
      <w:r>
        <w:rPr>
          <w:color w:val="auto"/>
        </w:rPr>
        <w:t>-1</w:t>
      </w:r>
    </w:p>
    <w:p w14:paraId="3FDBA75A" w14:textId="77777777" w:rsidR="007D1E74" w:rsidRDefault="00E7258B">
      <w:pPr>
        <w:pStyle w:val="TOC2"/>
        <w:tabs>
          <w:tab w:val="right" w:leader="dot" w:pos="9016"/>
        </w:tabs>
        <w:spacing w:line="276" w:lineRule="auto"/>
      </w:pPr>
      <w:hyperlink w:anchor="_Toc94086978" w:history="1">
        <w:r w:rsidR="00A95641">
          <w:rPr>
            <w:rStyle w:val="afffff4"/>
            <w:color w:val="auto"/>
          </w:rPr>
          <w:t>1.1</w:t>
        </w:r>
        <w:r w:rsidR="00A95641">
          <w:rPr>
            <w:rStyle w:val="afffff4"/>
            <w:rFonts w:hint="eastAsia"/>
            <w:color w:val="auto"/>
          </w:rPr>
          <w:t xml:space="preserve"> </w:t>
        </w:r>
        <w:r w:rsidR="00A95641">
          <w:rPr>
            <w:rStyle w:val="afffff4"/>
            <w:rFonts w:hint="eastAsia"/>
            <w:color w:val="auto"/>
          </w:rPr>
          <w:t>项目由来</w:t>
        </w:r>
        <w:r w:rsidR="00A95641">
          <w:tab/>
          <w:t>1</w:t>
        </w:r>
      </w:hyperlink>
      <w:r w:rsidR="00A95641">
        <w:t>-1</w:t>
      </w:r>
    </w:p>
    <w:p w14:paraId="68B008BA" w14:textId="77777777" w:rsidR="007D1E74" w:rsidRDefault="00E7258B">
      <w:pPr>
        <w:pStyle w:val="TOC2"/>
        <w:tabs>
          <w:tab w:val="right" w:leader="dot" w:pos="9016"/>
        </w:tabs>
        <w:spacing w:line="276" w:lineRule="auto"/>
      </w:pPr>
      <w:hyperlink w:anchor="_Toc94086979" w:history="1">
        <w:r w:rsidR="00A95641">
          <w:rPr>
            <w:rStyle w:val="afffff4"/>
            <w:color w:val="auto"/>
          </w:rPr>
          <w:t>1.2</w:t>
        </w:r>
        <w:r w:rsidR="00A95641">
          <w:rPr>
            <w:rStyle w:val="afffff4"/>
            <w:rFonts w:hint="eastAsia"/>
            <w:color w:val="auto"/>
          </w:rPr>
          <w:t xml:space="preserve"> </w:t>
        </w:r>
        <w:r w:rsidR="00A95641">
          <w:rPr>
            <w:rStyle w:val="afffff4"/>
            <w:rFonts w:hint="eastAsia"/>
            <w:color w:val="auto"/>
          </w:rPr>
          <w:t>建设项目特点</w:t>
        </w:r>
        <w:r w:rsidR="00A95641">
          <w:tab/>
          <w:t>1-3</w:t>
        </w:r>
      </w:hyperlink>
    </w:p>
    <w:p w14:paraId="444BC107" w14:textId="77777777" w:rsidR="007D1E74" w:rsidRDefault="00E7258B">
      <w:pPr>
        <w:pStyle w:val="TOC2"/>
        <w:tabs>
          <w:tab w:val="right" w:leader="dot" w:pos="9016"/>
        </w:tabs>
        <w:spacing w:line="276" w:lineRule="auto"/>
      </w:pPr>
      <w:hyperlink w:anchor="_Toc94086980" w:history="1">
        <w:r w:rsidR="00A95641">
          <w:rPr>
            <w:rStyle w:val="afffff4"/>
            <w:color w:val="auto"/>
          </w:rPr>
          <w:t>1.3</w:t>
        </w:r>
        <w:r w:rsidR="00A95641">
          <w:rPr>
            <w:rStyle w:val="afffff4"/>
            <w:rFonts w:hint="eastAsia"/>
            <w:color w:val="auto"/>
          </w:rPr>
          <w:t xml:space="preserve"> </w:t>
        </w:r>
        <w:r w:rsidR="00A95641">
          <w:rPr>
            <w:rStyle w:val="afffff4"/>
            <w:rFonts w:hint="eastAsia"/>
            <w:color w:val="auto"/>
          </w:rPr>
          <w:t>评价工作过程</w:t>
        </w:r>
        <w:r w:rsidR="00A95641">
          <w:tab/>
          <w:t>1-3</w:t>
        </w:r>
      </w:hyperlink>
    </w:p>
    <w:p w14:paraId="2939143E" w14:textId="77777777" w:rsidR="007D1E74" w:rsidRDefault="00E7258B">
      <w:pPr>
        <w:pStyle w:val="TOC2"/>
        <w:tabs>
          <w:tab w:val="right" w:leader="dot" w:pos="9016"/>
        </w:tabs>
        <w:spacing w:line="276" w:lineRule="auto"/>
      </w:pPr>
      <w:hyperlink w:anchor="_Toc94086982" w:history="1">
        <w:r w:rsidR="00A95641">
          <w:rPr>
            <w:rStyle w:val="afffff4"/>
            <w:color w:val="auto"/>
          </w:rPr>
          <w:t>1.4</w:t>
        </w:r>
        <w:r w:rsidR="00A95641">
          <w:rPr>
            <w:rStyle w:val="afffff4"/>
            <w:rFonts w:hint="eastAsia"/>
            <w:color w:val="auto"/>
          </w:rPr>
          <w:t xml:space="preserve"> </w:t>
        </w:r>
        <w:r w:rsidR="00A95641">
          <w:rPr>
            <w:rStyle w:val="afffff4"/>
            <w:rFonts w:hint="eastAsia"/>
            <w:color w:val="auto"/>
          </w:rPr>
          <w:t>主要环境问题及环境影响</w:t>
        </w:r>
        <w:r w:rsidR="00A95641">
          <w:tab/>
          <w:t>1-4</w:t>
        </w:r>
      </w:hyperlink>
    </w:p>
    <w:p w14:paraId="0DCA5B2E" w14:textId="77777777" w:rsidR="007D1E74" w:rsidRDefault="00E7258B">
      <w:pPr>
        <w:pStyle w:val="TOC2"/>
        <w:tabs>
          <w:tab w:val="right" w:leader="dot" w:pos="9016"/>
        </w:tabs>
        <w:spacing w:line="276" w:lineRule="auto"/>
      </w:pPr>
      <w:hyperlink w:anchor="_Toc94086983" w:history="1">
        <w:r w:rsidR="00A95641">
          <w:rPr>
            <w:rStyle w:val="afffff4"/>
            <w:color w:val="auto"/>
          </w:rPr>
          <w:t>1.5</w:t>
        </w:r>
        <w:r w:rsidR="00A95641">
          <w:rPr>
            <w:rStyle w:val="afffff4"/>
            <w:rFonts w:hint="eastAsia"/>
            <w:color w:val="auto"/>
          </w:rPr>
          <w:t xml:space="preserve"> </w:t>
        </w:r>
        <w:r w:rsidR="00A95641">
          <w:rPr>
            <w:rStyle w:val="afffff4"/>
            <w:rFonts w:hint="eastAsia"/>
            <w:color w:val="auto"/>
          </w:rPr>
          <w:t>环境影响评价结论</w:t>
        </w:r>
        <w:r w:rsidR="00A95641">
          <w:tab/>
          <w:t>1-5</w:t>
        </w:r>
      </w:hyperlink>
    </w:p>
    <w:p w14:paraId="2718A038" w14:textId="77777777" w:rsidR="007D1E74" w:rsidRDefault="00E7258B">
      <w:pPr>
        <w:pStyle w:val="TOC1"/>
        <w:rPr>
          <w:color w:val="auto"/>
        </w:rPr>
      </w:pPr>
      <w:hyperlink w:anchor="_Toc94086984" w:history="1">
        <w:r w:rsidR="00A95641">
          <w:rPr>
            <w:rStyle w:val="afffff4"/>
            <w:color w:val="auto"/>
          </w:rPr>
          <w:t>2</w:t>
        </w:r>
        <w:r w:rsidR="00A95641">
          <w:rPr>
            <w:rStyle w:val="afffff4"/>
            <w:rFonts w:hint="eastAsia"/>
            <w:color w:val="auto"/>
          </w:rPr>
          <w:t xml:space="preserve"> </w:t>
        </w:r>
        <w:r w:rsidR="00A95641">
          <w:rPr>
            <w:rStyle w:val="afffff4"/>
            <w:rFonts w:hint="eastAsia"/>
            <w:color w:val="auto"/>
          </w:rPr>
          <w:t>总则</w:t>
        </w:r>
        <w:r w:rsidR="00A95641">
          <w:rPr>
            <w:color w:val="auto"/>
          </w:rPr>
          <w:tab/>
          <w:t>2-1</w:t>
        </w:r>
      </w:hyperlink>
    </w:p>
    <w:p w14:paraId="76C75A22" w14:textId="77777777" w:rsidR="007D1E74" w:rsidRDefault="00E7258B">
      <w:pPr>
        <w:pStyle w:val="TOC2"/>
        <w:tabs>
          <w:tab w:val="right" w:leader="dot" w:pos="9016"/>
        </w:tabs>
        <w:spacing w:line="276" w:lineRule="auto"/>
      </w:pPr>
      <w:hyperlink w:anchor="_Toc94086985" w:history="1">
        <w:r w:rsidR="00A95641">
          <w:rPr>
            <w:rStyle w:val="afffff4"/>
            <w:color w:val="auto"/>
          </w:rPr>
          <w:t>2.1</w:t>
        </w:r>
        <w:r w:rsidR="00A95641">
          <w:rPr>
            <w:rStyle w:val="afffff4"/>
            <w:rFonts w:hint="eastAsia"/>
            <w:color w:val="auto"/>
          </w:rPr>
          <w:t xml:space="preserve"> </w:t>
        </w:r>
        <w:r w:rsidR="00A95641">
          <w:rPr>
            <w:rStyle w:val="afffff4"/>
            <w:rFonts w:hint="eastAsia"/>
            <w:color w:val="auto"/>
          </w:rPr>
          <w:t>评价目的及原则</w:t>
        </w:r>
        <w:r w:rsidR="00A95641">
          <w:tab/>
          <w:t>2-1</w:t>
        </w:r>
      </w:hyperlink>
    </w:p>
    <w:p w14:paraId="58D9C9BA" w14:textId="77777777" w:rsidR="007D1E74" w:rsidRDefault="00E7258B">
      <w:pPr>
        <w:pStyle w:val="TOC2"/>
        <w:tabs>
          <w:tab w:val="right" w:leader="dot" w:pos="9016"/>
        </w:tabs>
        <w:spacing w:line="276" w:lineRule="auto"/>
      </w:pPr>
      <w:hyperlink w:anchor="_Toc94086986" w:history="1">
        <w:r w:rsidR="00A95641">
          <w:rPr>
            <w:rStyle w:val="afffff4"/>
            <w:color w:val="auto"/>
          </w:rPr>
          <w:t>2.2</w:t>
        </w:r>
        <w:r w:rsidR="00A95641">
          <w:rPr>
            <w:rStyle w:val="afffff4"/>
            <w:rFonts w:hint="eastAsia"/>
            <w:color w:val="auto"/>
          </w:rPr>
          <w:t xml:space="preserve"> </w:t>
        </w:r>
        <w:r w:rsidR="00A95641">
          <w:rPr>
            <w:rStyle w:val="afffff4"/>
            <w:rFonts w:hint="eastAsia"/>
            <w:color w:val="auto"/>
          </w:rPr>
          <w:t>编制依据</w:t>
        </w:r>
        <w:r w:rsidR="00A95641">
          <w:tab/>
          <w:t>2-1</w:t>
        </w:r>
      </w:hyperlink>
    </w:p>
    <w:p w14:paraId="361CDCAE" w14:textId="77777777" w:rsidR="007D1E74" w:rsidRDefault="00E7258B">
      <w:pPr>
        <w:pStyle w:val="TOC2"/>
        <w:tabs>
          <w:tab w:val="right" w:leader="dot" w:pos="9016"/>
        </w:tabs>
        <w:spacing w:line="276" w:lineRule="auto"/>
      </w:pPr>
      <w:hyperlink w:anchor="_Toc94086987" w:history="1">
        <w:r w:rsidR="00A95641">
          <w:rPr>
            <w:rStyle w:val="afffff4"/>
            <w:color w:val="auto"/>
          </w:rPr>
          <w:t>2.3</w:t>
        </w:r>
        <w:r w:rsidR="00A95641">
          <w:rPr>
            <w:rStyle w:val="afffff4"/>
            <w:rFonts w:hint="eastAsia"/>
            <w:color w:val="auto"/>
          </w:rPr>
          <w:t xml:space="preserve"> </w:t>
        </w:r>
        <w:r w:rsidR="00A95641">
          <w:rPr>
            <w:rStyle w:val="afffff4"/>
            <w:rFonts w:hint="eastAsia"/>
            <w:color w:val="auto"/>
          </w:rPr>
          <w:t>相关规划及环境功能区划</w:t>
        </w:r>
        <w:r w:rsidR="00A95641">
          <w:tab/>
          <w:t>2-5</w:t>
        </w:r>
      </w:hyperlink>
    </w:p>
    <w:p w14:paraId="0C4ADF92" w14:textId="77777777" w:rsidR="007D1E74" w:rsidRDefault="00E7258B">
      <w:pPr>
        <w:pStyle w:val="TOC2"/>
        <w:tabs>
          <w:tab w:val="right" w:leader="dot" w:pos="9016"/>
        </w:tabs>
        <w:spacing w:line="276" w:lineRule="auto"/>
      </w:pPr>
      <w:hyperlink w:anchor="_Toc94086988" w:history="1">
        <w:r w:rsidR="00A95641">
          <w:rPr>
            <w:rStyle w:val="afffff4"/>
            <w:color w:val="auto"/>
          </w:rPr>
          <w:t>2.4</w:t>
        </w:r>
        <w:r w:rsidR="00A95641">
          <w:rPr>
            <w:rStyle w:val="afffff4"/>
            <w:rFonts w:hint="eastAsia"/>
            <w:color w:val="auto"/>
          </w:rPr>
          <w:t xml:space="preserve"> </w:t>
        </w:r>
        <w:r w:rsidR="00A95641">
          <w:rPr>
            <w:rStyle w:val="afffff4"/>
            <w:rFonts w:hint="eastAsia"/>
            <w:color w:val="auto"/>
          </w:rPr>
          <w:t>环境影响因素识别和评价因子筛选</w:t>
        </w:r>
        <w:r w:rsidR="00A95641">
          <w:tab/>
          <w:t>2-23</w:t>
        </w:r>
      </w:hyperlink>
    </w:p>
    <w:p w14:paraId="2F6FAE25" w14:textId="77777777" w:rsidR="007D1E74" w:rsidRDefault="00E7258B">
      <w:pPr>
        <w:pStyle w:val="TOC2"/>
        <w:tabs>
          <w:tab w:val="right" w:leader="dot" w:pos="9016"/>
        </w:tabs>
        <w:spacing w:line="276" w:lineRule="auto"/>
      </w:pPr>
      <w:hyperlink w:anchor="_Toc94086989" w:history="1">
        <w:r w:rsidR="00A95641">
          <w:rPr>
            <w:rStyle w:val="afffff4"/>
            <w:color w:val="auto"/>
          </w:rPr>
          <w:t>2.5</w:t>
        </w:r>
        <w:r w:rsidR="00A95641">
          <w:rPr>
            <w:rStyle w:val="afffff4"/>
            <w:rFonts w:hint="eastAsia"/>
            <w:color w:val="auto"/>
          </w:rPr>
          <w:t xml:space="preserve"> </w:t>
        </w:r>
        <w:r w:rsidR="00A95641">
          <w:rPr>
            <w:rStyle w:val="afffff4"/>
            <w:rFonts w:hint="eastAsia"/>
            <w:color w:val="auto"/>
          </w:rPr>
          <w:t>评价工作等级及评价范围</w:t>
        </w:r>
        <w:r w:rsidR="00A95641">
          <w:tab/>
          <w:t>2-29</w:t>
        </w:r>
      </w:hyperlink>
    </w:p>
    <w:p w14:paraId="6A788D91" w14:textId="77777777" w:rsidR="007D1E74" w:rsidRDefault="00E7258B">
      <w:pPr>
        <w:pStyle w:val="TOC2"/>
        <w:tabs>
          <w:tab w:val="right" w:leader="dot" w:pos="9016"/>
        </w:tabs>
        <w:spacing w:line="276" w:lineRule="auto"/>
      </w:pPr>
      <w:hyperlink w:anchor="_Toc94086990" w:history="1">
        <w:r w:rsidR="00A95641">
          <w:rPr>
            <w:rStyle w:val="afffff4"/>
            <w:color w:val="auto"/>
          </w:rPr>
          <w:t>2.6</w:t>
        </w:r>
        <w:r w:rsidR="00A95641">
          <w:rPr>
            <w:rStyle w:val="afffff4"/>
            <w:rFonts w:hint="eastAsia"/>
            <w:color w:val="auto"/>
          </w:rPr>
          <w:t xml:space="preserve"> </w:t>
        </w:r>
        <w:r w:rsidR="00A95641">
          <w:rPr>
            <w:rStyle w:val="afffff4"/>
            <w:rFonts w:hint="eastAsia"/>
            <w:color w:val="auto"/>
          </w:rPr>
          <w:t>主要环境保护目标</w:t>
        </w:r>
        <w:r w:rsidR="00A95641">
          <w:tab/>
          <w:t>2-32</w:t>
        </w:r>
      </w:hyperlink>
    </w:p>
    <w:p w14:paraId="2DDBE27F" w14:textId="77777777" w:rsidR="007D1E74" w:rsidRDefault="00E7258B">
      <w:pPr>
        <w:pStyle w:val="TOC1"/>
        <w:rPr>
          <w:color w:val="auto"/>
        </w:rPr>
      </w:pPr>
      <w:hyperlink w:anchor="_Toc94087000" w:history="1">
        <w:r w:rsidR="00A95641">
          <w:rPr>
            <w:rStyle w:val="afffff4"/>
            <w:color w:val="auto"/>
          </w:rPr>
          <w:t>3</w:t>
        </w:r>
        <w:r w:rsidR="00A95641">
          <w:rPr>
            <w:rStyle w:val="afffff4"/>
            <w:rFonts w:hint="eastAsia"/>
            <w:color w:val="auto"/>
          </w:rPr>
          <w:t xml:space="preserve"> </w:t>
        </w:r>
        <w:r w:rsidR="00A95641">
          <w:rPr>
            <w:rStyle w:val="afffff4"/>
            <w:rFonts w:hint="eastAsia"/>
            <w:color w:val="auto"/>
          </w:rPr>
          <w:t>建设项目工程分析</w:t>
        </w:r>
        <w:r w:rsidR="00A95641">
          <w:rPr>
            <w:color w:val="auto"/>
          </w:rPr>
          <w:tab/>
          <w:t>3-1</w:t>
        </w:r>
      </w:hyperlink>
    </w:p>
    <w:p w14:paraId="678CEE69" w14:textId="77777777" w:rsidR="007D1E74" w:rsidRDefault="00E7258B">
      <w:pPr>
        <w:pStyle w:val="TOC2"/>
        <w:tabs>
          <w:tab w:val="right" w:leader="dot" w:pos="9016"/>
        </w:tabs>
        <w:spacing w:line="276" w:lineRule="auto"/>
      </w:pPr>
      <w:hyperlink w:anchor="_Toc94087001" w:history="1">
        <w:r w:rsidR="00A95641">
          <w:rPr>
            <w:rStyle w:val="afffff4"/>
            <w:color w:val="auto"/>
          </w:rPr>
          <w:t>3.1</w:t>
        </w:r>
        <w:r w:rsidR="00A95641">
          <w:rPr>
            <w:rStyle w:val="afffff4"/>
            <w:rFonts w:hint="eastAsia"/>
            <w:color w:val="auto"/>
          </w:rPr>
          <w:t xml:space="preserve"> </w:t>
        </w:r>
        <w:r w:rsidR="00A95641">
          <w:rPr>
            <w:rStyle w:val="afffff4"/>
            <w:rFonts w:hint="eastAsia"/>
            <w:color w:val="auto"/>
          </w:rPr>
          <w:t>建设项目概况</w:t>
        </w:r>
        <w:r w:rsidR="00A95641">
          <w:tab/>
          <w:t>3-1</w:t>
        </w:r>
      </w:hyperlink>
    </w:p>
    <w:p w14:paraId="24A32EE7" w14:textId="77777777" w:rsidR="007D1E74" w:rsidRDefault="00E7258B">
      <w:pPr>
        <w:pStyle w:val="TOC2"/>
        <w:tabs>
          <w:tab w:val="right" w:leader="dot" w:pos="9016"/>
        </w:tabs>
        <w:spacing w:line="276" w:lineRule="auto"/>
      </w:pPr>
      <w:hyperlink w:anchor="_Toc94087002" w:history="1">
        <w:r w:rsidR="00A95641">
          <w:rPr>
            <w:rStyle w:val="afffff4"/>
            <w:color w:val="auto"/>
          </w:rPr>
          <w:t>3.2</w:t>
        </w:r>
        <w:r w:rsidR="00A95641">
          <w:rPr>
            <w:rStyle w:val="afffff4"/>
            <w:rFonts w:hint="eastAsia"/>
            <w:color w:val="auto"/>
          </w:rPr>
          <w:t xml:space="preserve"> </w:t>
        </w:r>
        <w:r w:rsidR="00A95641">
          <w:rPr>
            <w:rStyle w:val="afffff4"/>
            <w:rFonts w:hint="eastAsia"/>
            <w:color w:val="auto"/>
          </w:rPr>
          <w:t>工程分析</w:t>
        </w:r>
        <w:r w:rsidR="00A95641">
          <w:tab/>
          <w:t>3-23</w:t>
        </w:r>
      </w:hyperlink>
    </w:p>
    <w:p w14:paraId="234B17F4" w14:textId="77777777" w:rsidR="007D1E74" w:rsidRDefault="00E7258B">
      <w:pPr>
        <w:pStyle w:val="TOC2"/>
        <w:tabs>
          <w:tab w:val="right" w:leader="dot" w:pos="9016"/>
        </w:tabs>
        <w:spacing w:line="276" w:lineRule="auto"/>
      </w:pPr>
      <w:hyperlink w:anchor="_Toc94087003" w:history="1">
        <w:r w:rsidR="00A95641">
          <w:rPr>
            <w:rStyle w:val="afffff4"/>
            <w:color w:val="auto"/>
          </w:rPr>
          <w:t>3.3</w:t>
        </w:r>
        <w:r w:rsidR="00A95641">
          <w:rPr>
            <w:rStyle w:val="afffff4"/>
            <w:rFonts w:hint="eastAsia"/>
            <w:color w:val="auto"/>
          </w:rPr>
          <w:t xml:space="preserve"> </w:t>
        </w:r>
        <w:r w:rsidR="00A95641">
          <w:rPr>
            <w:rStyle w:val="afffff4"/>
            <w:rFonts w:hint="eastAsia"/>
            <w:color w:val="auto"/>
          </w:rPr>
          <w:t>总量控制</w:t>
        </w:r>
        <w:r w:rsidR="00A95641">
          <w:tab/>
          <w:t>3-54</w:t>
        </w:r>
      </w:hyperlink>
    </w:p>
    <w:p w14:paraId="12E2C2C9" w14:textId="77777777" w:rsidR="007D1E74" w:rsidRDefault="00E7258B">
      <w:pPr>
        <w:pStyle w:val="TOC1"/>
        <w:rPr>
          <w:color w:val="auto"/>
        </w:rPr>
      </w:pPr>
      <w:hyperlink w:anchor="_Toc94087008" w:history="1">
        <w:r w:rsidR="00A95641">
          <w:rPr>
            <w:rStyle w:val="afffff4"/>
            <w:color w:val="auto"/>
          </w:rPr>
          <w:t>4</w:t>
        </w:r>
        <w:r w:rsidR="00A95641">
          <w:rPr>
            <w:rStyle w:val="afffff4"/>
            <w:rFonts w:hint="eastAsia"/>
            <w:color w:val="auto"/>
          </w:rPr>
          <w:t xml:space="preserve"> </w:t>
        </w:r>
        <w:r w:rsidR="00A95641">
          <w:rPr>
            <w:rStyle w:val="afffff4"/>
            <w:rFonts w:hint="eastAsia"/>
            <w:color w:val="auto"/>
          </w:rPr>
          <w:t>环境现状调查与评价</w:t>
        </w:r>
        <w:r w:rsidR="00A95641">
          <w:rPr>
            <w:color w:val="auto"/>
          </w:rPr>
          <w:tab/>
          <w:t>4-1</w:t>
        </w:r>
      </w:hyperlink>
    </w:p>
    <w:p w14:paraId="20575603" w14:textId="77777777" w:rsidR="007D1E74" w:rsidRDefault="00E7258B">
      <w:pPr>
        <w:pStyle w:val="TOC2"/>
        <w:tabs>
          <w:tab w:val="right" w:leader="dot" w:pos="9016"/>
        </w:tabs>
        <w:spacing w:line="276" w:lineRule="auto"/>
      </w:pPr>
      <w:hyperlink w:anchor="_Toc94087009" w:history="1">
        <w:r w:rsidR="00A95641">
          <w:rPr>
            <w:rStyle w:val="afffff4"/>
            <w:color w:val="auto"/>
          </w:rPr>
          <w:t>4.1</w:t>
        </w:r>
        <w:r w:rsidR="00A95641">
          <w:rPr>
            <w:rStyle w:val="afffff4"/>
            <w:rFonts w:hint="eastAsia"/>
            <w:color w:val="auto"/>
          </w:rPr>
          <w:t xml:space="preserve"> </w:t>
        </w:r>
        <w:r w:rsidR="00A95641">
          <w:rPr>
            <w:rStyle w:val="afffff4"/>
            <w:rFonts w:hint="eastAsia"/>
            <w:color w:val="auto"/>
          </w:rPr>
          <w:t>自然环境概况</w:t>
        </w:r>
        <w:r w:rsidR="00A95641">
          <w:tab/>
          <w:t>4-1</w:t>
        </w:r>
      </w:hyperlink>
    </w:p>
    <w:p w14:paraId="518B8562" w14:textId="77777777" w:rsidR="007D1E74" w:rsidRDefault="00E7258B">
      <w:pPr>
        <w:pStyle w:val="TOC2"/>
        <w:tabs>
          <w:tab w:val="right" w:leader="dot" w:pos="9016"/>
        </w:tabs>
        <w:spacing w:line="276" w:lineRule="auto"/>
      </w:pPr>
      <w:hyperlink w:anchor="_Toc94087010" w:history="1">
        <w:r w:rsidR="00A95641">
          <w:rPr>
            <w:rStyle w:val="afffff4"/>
            <w:rFonts w:hint="eastAsia"/>
            <w:color w:val="auto"/>
          </w:rPr>
          <w:t xml:space="preserve">4.2 </w:t>
        </w:r>
        <w:r w:rsidR="00A95641">
          <w:rPr>
            <w:rStyle w:val="afffff4"/>
            <w:rFonts w:hint="eastAsia"/>
            <w:color w:val="auto"/>
          </w:rPr>
          <w:t>四川诺水河珍稀水生动物国家级自然保护区概况</w:t>
        </w:r>
        <w:r w:rsidR="00A95641">
          <w:tab/>
          <w:t>4-3</w:t>
        </w:r>
      </w:hyperlink>
    </w:p>
    <w:p w14:paraId="7088E7B3" w14:textId="77777777" w:rsidR="007D1E74" w:rsidRDefault="00E7258B">
      <w:pPr>
        <w:pStyle w:val="TOC2"/>
        <w:tabs>
          <w:tab w:val="right" w:leader="dot" w:pos="9016"/>
        </w:tabs>
        <w:spacing w:line="276" w:lineRule="auto"/>
      </w:pPr>
      <w:hyperlink w:anchor="_Toc94087011" w:history="1">
        <w:r w:rsidR="00A95641">
          <w:rPr>
            <w:rStyle w:val="afffff4"/>
            <w:color w:val="auto"/>
          </w:rPr>
          <w:t>4.3</w:t>
        </w:r>
        <w:r w:rsidR="00A95641">
          <w:rPr>
            <w:rStyle w:val="afffff4"/>
            <w:rFonts w:hint="eastAsia"/>
            <w:color w:val="auto"/>
          </w:rPr>
          <w:t xml:space="preserve"> </w:t>
        </w:r>
        <w:r w:rsidR="00A95641">
          <w:rPr>
            <w:rStyle w:val="afffff4"/>
            <w:rFonts w:hint="eastAsia"/>
            <w:color w:val="auto"/>
          </w:rPr>
          <w:t>环境质量现状调查与评价</w:t>
        </w:r>
        <w:r w:rsidR="00A95641">
          <w:tab/>
          <w:t>4-7</w:t>
        </w:r>
      </w:hyperlink>
    </w:p>
    <w:p w14:paraId="4F2DBBD5" w14:textId="77777777" w:rsidR="007D1E74" w:rsidRDefault="00E7258B">
      <w:pPr>
        <w:pStyle w:val="TOC2"/>
        <w:tabs>
          <w:tab w:val="right" w:leader="dot" w:pos="9016"/>
        </w:tabs>
        <w:spacing w:line="276" w:lineRule="auto"/>
      </w:pPr>
      <w:hyperlink w:anchor="_Toc94087011" w:history="1">
        <w:r w:rsidR="00A95641">
          <w:rPr>
            <w:rStyle w:val="afffff4"/>
            <w:color w:val="auto"/>
          </w:rPr>
          <w:t xml:space="preserve">4.4 </w:t>
        </w:r>
        <w:r w:rsidR="00A95641">
          <w:rPr>
            <w:rStyle w:val="afffff4"/>
            <w:rFonts w:hint="eastAsia"/>
            <w:color w:val="auto"/>
          </w:rPr>
          <w:t>生态环境现状调查与评价</w:t>
        </w:r>
        <w:r w:rsidR="00A95641">
          <w:tab/>
          <w:t>4-17</w:t>
        </w:r>
      </w:hyperlink>
    </w:p>
    <w:p w14:paraId="288BB352" w14:textId="77777777" w:rsidR="007D1E74" w:rsidRDefault="00E7258B">
      <w:pPr>
        <w:pStyle w:val="TOC1"/>
        <w:rPr>
          <w:color w:val="auto"/>
        </w:rPr>
      </w:pPr>
      <w:hyperlink w:anchor="_Toc94087008" w:history="1">
        <w:r w:rsidR="00A95641">
          <w:rPr>
            <w:rStyle w:val="afffff4"/>
            <w:color w:val="auto"/>
          </w:rPr>
          <w:t>5</w:t>
        </w:r>
        <w:r w:rsidR="00A95641">
          <w:rPr>
            <w:rStyle w:val="afffff4"/>
            <w:rFonts w:hint="eastAsia"/>
            <w:color w:val="auto"/>
          </w:rPr>
          <w:t xml:space="preserve"> </w:t>
        </w:r>
        <w:r w:rsidR="00A95641">
          <w:rPr>
            <w:rStyle w:val="afffff4"/>
            <w:rFonts w:hint="eastAsia"/>
            <w:color w:val="auto"/>
          </w:rPr>
          <w:t>生态环境影响预测与评价</w:t>
        </w:r>
        <w:r w:rsidR="00A95641">
          <w:rPr>
            <w:color w:val="auto"/>
          </w:rPr>
          <w:tab/>
          <w:t>5-1</w:t>
        </w:r>
      </w:hyperlink>
    </w:p>
    <w:p w14:paraId="126B1B92" w14:textId="77777777" w:rsidR="007D1E74" w:rsidRDefault="00E7258B">
      <w:pPr>
        <w:pStyle w:val="TOC2"/>
        <w:tabs>
          <w:tab w:val="right" w:leader="dot" w:pos="9016"/>
        </w:tabs>
        <w:spacing w:line="276" w:lineRule="auto"/>
      </w:pPr>
      <w:hyperlink w:anchor="_Toc94087009" w:history="1">
        <w:r w:rsidR="00A95641">
          <w:rPr>
            <w:rStyle w:val="afffff4"/>
            <w:rFonts w:hint="eastAsia"/>
            <w:color w:val="auto"/>
          </w:rPr>
          <w:t xml:space="preserve">5.1 </w:t>
        </w:r>
        <w:r w:rsidR="00A95641">
          <w:rPr>
            <w:rStyle w:val="afffff4"/>
            <w:rFonts w:hint="eastAsia"/>
            <w:color w:val="auto"/>
          </w:rPr>
          <w:t>陆生生态环境影响评价</w:t>
        </w:r>
        <w:r w:rsidR="00A95641">
          <w:tab/>
          <w:t>5-1</w:t>
        </w:r>
      </w:hyperlink>
    </w:p>
    <w:p w14:paraId="320D6E28" w14:textId="77777777" w:rsidR="007D1E74" w:rsidRDefault="00E7258B">
      <w:pPr>
        <w:pStyle w:val="TOC2"/>
        <w:tabs>
          <w:tab w:val="right" w:leader="dot" w:pos="9016"/>
        </w:tabs>
        <w:spacing w:line="276" w:lineRule="auto"/>
      </w:pPr>
      <w:hyperlink w:anchor="_Toc94087010" w:history="1">
        <w:r w:rsidR="00A95641">
          <w:rPr>
            <w:rStyle w:val="afffff4"/>
            <w:rFonts w:hint="eastAsia"/>
            <w:color w:val="auto"/>
          </w:rPr>
          <w:t xml:space="preserve">5.2 </w:t>
        </w:r>
        <w:r w:rsidR="00A95641">
          <w:rPr>
            <w:rStyle w:val="afffff4"/>
            <w:rFonts w:hint="eastAsia"/>
            <w:color w:val="auto"/>
          </w:rPr>
          <w:t>诺水河珍稀水生动物国家级自然保护区影响评价</w:t>
        </w:r>
        <w:r w:rsidR="00A95641">
          <w:tab/>
          <w:t>5-13</w:t>
        </w:r>
      </w:hyperlink>
    </w:p>
    <w:p w14:paraId="4847BE43" w14:textId="77777777" w:rsidR="007D1E74" w:rsidRDefault="00E7258B">
      <w:pPr>
        <w:pStyle w:val="TOC1"/>
        <w:rPr>
          <w:color w:val="auto"/>
        </w:rPr>
      </w:pPr>
      <w:hyperlink w:anchor="_Toc94087012" w:history="1">
        <w:r w:rsidR="00A95641">
          <w:rPr>
            <w:rStyle w:val="afffff4"/>
            <w:color w:val="auto"/>
          </w:rPr>
          <w:t>6</w:t>
        </w:r>
        <w:r w:rsidR="00A95641">
          <w:rPr>
            <w:rStyle w:val="afffff4"/>
            <w:rFonts w:hint="eastAsia"/>
            <w:color w:val="auto"/>
          </w:rPr>
          <w:t xml:space="preserve"> </w:t>
        </w:r>
        <w:r w:rsidR="00A95641">
          <w:rPr>
            <w:rStyle w:val="afffff4"/>
            <w:rFonts w:hint="eastAsia"/>
            <w:color w:val="auto"/>
          </w:rPr>
          <w:t>环境影响预测与评价</w:t>
        </w:r>
        <w:r w:rsidR="00A95641">
          <w:rPr>
            <w:color w:val="auto"/>
          </w:rPr>
          <w:tab/>
          <w:t>6-1</w:t>
        </w:r>
      </w:hyperlink>
    </w:p>
    <w:p w14:paraId="035ADFFE" w14:textId="77777777" w:rsidR="007D1E74" w:rsidRDefault="00E7258B">
      <w:pPr>
        <w:pStyle w:val="TOC2"/>
        <w:tabs>
          <w:tab w:val="right" w:leader="dot" w:pos="9016"/>
        </w:tabs>
        <w:spacing w:line="276" w:lineRule="auto"/>
      </w:pPr>
      <w:hyperlink w:anchor="_Toc94087013" w:history="1">
        <w:r w:rsidR="00A95641">
          <w:rPr>
            <w:rStyle w:val="afffff4"/>
            <w:color w:val="auto"/>
          </w:rPr>
          <w:t>6.1</w:t>
        </w:r>
        <w:r w:rsidR="00A95641">
          <w:rPr>
            <w:rStyle w:val="afffff4"/>
            <w:rFonts w:hint="eastAsia"/>
            <w:color w:val="auto"/>
          </w:rPr>
          <w:t xml:space="preserve"> </w:t>
        </w:r>
        <w:r w:rsidR="00A95641">
          <w:rPr>
            <w:rStyle w:val="afffff4"/>
            <w:rFonts w:hint="eastAsia"/>
            <w:color w:val="auto"/>
          </w:rPr>
          <w:t>施工期环境影响分析</w:t>
        </w:r>
        <w:r w:rsidR="00A95641">
          <w:tab/>
          <w:t>6-1</w:t>
        </w:r>
      </w:hyperlink>
    </w:p>
    <w:p w14:paraId="504FC9F8" w14:textId="77777777" w:rsidR="007D1E74" w:rsidRDefault="00E7258B">
      <w:pPr>
        <w:pStyle w:val="TOC2"/>
        <w:tabs>
          <w:tab w:val="right" w:leader="dot" w:pos="9016"/>
        </w:tabs>
        <w:spacing w:line="276" w:lineRule="auto"/>
      </w:pPr>
      <w:hyperlink w:anchor="_Toc94087014" w:history="1">
        <w:r w:rsidR="00A95641">
          <w:rPr>
            <w:rStyle w:val="afffff4"/>
            <w:color w:val="auto"/>
          </w:rPr>
          <w:t>6.2</w:t>
        </w:r>
        <w:r w:rsidR="00A95641">
          <w:rPr>
            <w:rStyle w:val="afffff4"/>
            <w:rFonts w:hint="eastAsia"/>
            <w:color w:val="auto"/>
          </w:rPr>
          <w:t xml:space="preserve"> </w:t>
        </w:r>
        <w:r w:rsidR="00A95641">
          <w:rPr>
            <w:rStyle w:val="afffff4"/>
            <w:rFonts w:hint="eastAsia"/>
            <w:color w:val="auto"/>
          </w:rPr>
          <w:t>运营期环境影响分析</w:t>
        </w:r>
        <w:r w:rsidR="00A95641">
          <w:tab/>
          <w:t>6-8</w:t>
        </w:r>
      </w:hyperlink>
    </w:p>
    <w:p w14:paraId="20041FDD" w14:textId="77777777" w:rsidR="007D1E74" w:rsidRDefault="00E7258B">
      <w:pPr>
        <w:pStyle w:val="TOC2"/>
        <w:tabs>
          <w:tab w:val="right" w:leader="dot" w:pos="9016"/>
        </w:tabs>
        <w:spacing w:line="276" w:lineRule="auto"/>
      </w:pPr>
      <w:hyperlink w:anchor="_Toc94087015" w:history="1">
        <w:r w:rsidR="00A95641">
          <w:rPr>
            <w:rStyle w:val="afffff4"/>
            <w:color w:val="auto"/>
          </w:rPr>
          <w:t xml:space="preserve">6.3 </w:t>
        </w:r>
        <w:r w:rsidR="00A95641">
          <w:rPr>
            <w:rStyle w:val="afffff4"/>
            <w:rFonts w:hint="eastAsia"/>
            <w:color w:val="auto"/>
          </w:rPr>
          <w:t>对生态环境敏感区的影响</w:t>
        </w:r>
        <w:r w:rsidR="00A95641">
          <w:tab/>
          <w:t>6-23</w:t>
        </w:r>
      </w:hyperlink>
    </w:p>
    <w:p w14:paraId="594722EC" w14:textId="77777777" w:rsidR="007D1E74" w:rsidRDefault="00E7258B">
      <w:pPr>
        <w:pStyle w:val="TOC2"/>
        <w:tabs>
          <w:tab w:val="right" w:leader="dot" w:pos="9016"/>
        </w:tabs>
        <w:spacing w:line="276" w:lineRule="auto"/>
      </w:pPr>
      <w:hyperlink w:anchor="_Toc94087015" w:history="1">
        <w:r w:rsidR="00A95641">
          <w:rPr>
            <w:rStyle w:val="afffff4"/>
            <w:color w:val="auto"/>
          </w:rPr>
          <w:t xml:space="preserve">6.4 </w:t>
        </w:r>
        <w:r w:rsidR="00A95641">
          <w:rPr>
            <w:rStyle w:val="afffff4"/>
            <w:rFonts w:hint="eastAsia"/>
            <w:color w:val="auto"/>
          </w:rPr>
          <w:t>社会环境影响分析</w:t>
        </w:r>
        <w:r w:rsidR="00A95641">
          <w:tab/>
          <w:t>6-27</w:t>
        </w:r>
      </w:hyperlink>
    </w:p>
    <w:p w14:paraId="19139612" w14:textId="77777777" w:rsidR="007D1E74" w:rsidRDefault="00E7258B">
      <w:pPr>
        <w:pStyle w:val="TOC1"/>
        <w:rPr>
          <w:color w:val="auto"/>
        </w:rPr>
      </w:pPr>
      <w:hyperlink w:anchor="_Toc94087016" w:history="1">
        <w:r w:rsidR="00A95641">
          <w:rPr>
            <w:rStyle w:val="afffff4"/>
            <w:color w:val="auto"/>
          </w:rPr>
          <w:t>7</w:t>
        </w:r>
        <w:r w:rsidR="00A95641">
          <w:rPr>
            <w:rStyle w:val="afffff4"/>
            <w:rFonts w:hint="eastAsia"/>
            <w:color w:val="auto"/>
          </w:rPr>
          <w:t xml:space="preserve"> </w:t>
        </w:r>
        <w:r w:rsidR="00A95641">
          <w:rPr>
            <w:rStyle w:val="afffff4"/>
            <w:rFonts w:hint="eastAsia"/>
            <w:color w:val="auto"/>
          </w:rPr>
          <w:t>环境风险评价</w:t>
        </w:r>
        <w:r w:rsidR="00A95641">
          <w:rPr>
            <w:color w:val="auto"/>
          </w:rPr>
          <w:tab/>
          <w:t>7-1</w:t>
        </w:r>
      </w:hyperlink>
    </w:p>
    <w:p w14:paraId="1F70FE51" w14:textId="77777777" w:rsidR="007D1E74" w:rsidRDefault="00E7258B">
      <w:pPr>
        <w:pStyle w:val="TOC2"/>
        <w:tabs>
          <w:tab w:val="right" w:leader="dot" w:pos="9016"/>
        </w:tabs>
        <w:spacing w:line="276" w:lineRule="auto"/>
      </w:pPr>
      <w:hyperlink w:anchor="_Toc94087017" w:history="1">
        <w:r w:rsidR="00A95641">
          <w:rPr>
            <w:rStyle w:val="afffff4"/>
            <w:color w:val="auto"/>
          </w:rPr>
          <w:t>7.1</w:t>
        </w:r>
        <w:r w:rsidR="00A95641">
          <w:rPr>
            <w:rStyle w:val="afffff4"/>
            <w:rFonts w:hint="eastAsia"/>
            <w:color w:val="auto"/>
          </w:rPr>
          <w:t xml:space="preserve"> </w:t>
        </w:r>
        <w:r w:rsidR="00A95641">
          <w:rPr>
            <w:rStyle w:val="afffff4"/>
            <w:rFonts w:hint="eastAsia"/>
            <w:color w:val="auto"/>
          </w:rPr>
          <w:t>评价目的与原则</w:t>
        </w:r>
        <w:r w:rsidR="00A95641">
          <w:tab/>
          <w:t>7-1</w:t>
        </w:r>
      </w:hyperlink>
    </w:p>
    <w:p w14:paraId="4CD931BB" w14:textId="77777777" w:rsidR="007D1E74" w:rsidRDefault="00E7258B">
      <w:pPr>
        <w:pStyle w:val="TOC2"/>
        <w:tabs>
          <w:tab w:val="right" w:leader="dot" w:pos="9016"/>
        </w:tabs>
        <w:spacing w:line="276" w:lineRule="auto"/>
      </w:pPr>
      <w:hyperlink w:anchor="_Toc94087018" w:history="1">
        <w:r w:rsidR="00A95641">
          <w:rPr>
            <w:rStyle w:val="afffff4"/>
            <w:color w:val="auto"/>
          </w:rPr>
          <w:t>7.2</w:t>
        </w:r>
        <w:r w:rsidR="00A95641">
          <w:rPr>
            <w:rStyle w:val="afffff4"/>
            <w:rFonts w:hint="eastAsia"/>
            <w:color w:val="auto"/>
          </w:rPr>
          <w:t xml:space="preserve"> </w:t>
        </w:r>
        <w:r w:rsidR="00A95641">
          <w:rPr>
            <w:rStyle w:val="afffff4"/>
            <w:rFonts w:hint="eastAsia"/>
            <w:color w:val="auto"/>
          </w:rPr>
          <w:t>风险调查</w:t>
        </w:r>
        <w:r w:rsidR="00A95641">
          <w:tab/>
          <w:t>7-1</w:t>
        </w:r>
      </w:hyperlink>
    </w:p>
    <w:p w14:paraId="4355B7A3" w14:textId="77777777" w:rsidR="007D1E74" w:rsidRDefault="00E7258B">
      <w:pPr>
        <w:pStyle w:val="TOC2"/>
        <w:tabs>
          <w:tab w:val="right" w:leader="dot" w:pos="9016"/>
        </w:tabs>
        <w:spacing w:line="276" w:lineRule="auto"/>
      </w:pPr>
      <w:hyperlink w:anchor="_Toc94087018" w:history="1">
        <w:r w:rsidR="00A95641">
          <w:rPr>
            <w:rStyle w:val="afffff4"/>
            <w:color w:val="auto"/>
          </w:rPr>
          <w:t>7.3</w:t>
        </w:r>
        <w:r w:rsidR="00A95641">
          <w:rPr>
            <w:rStyle w:val="afffff4"/>
            <w:rFonts w:hint="eastAsia"/>
            <w:color w:val="auto"/>
          </w:rPr>
          <w:t xml:space="preserve"> </w:t>
        </w:r>
        <w:r w:rsidR="00A95641">
          <w:rPr>
            <w:rStyle w:val="afffff4"/>
            <w:rFonts w:hint="eastAsia"/>
            <w:color w:val="auto"/>
          </w:rPr>
          <w:t>环境风险潜势初判</w:t>
        </w:r>
        <w:r w:rsidR="00A95641">
          <w:tab/>
          <w:t>7-3</w:t>
        </w:r>
      </w:hyperlink>
    </w:p>
    <w:p w14:paraId="4A72C6D9" w14:textId="77777777" w:rsidR="007D1E74" w:rsidRDefault="00E7258B">
      <w:pPr>
        <w:pStyle w:val="TOC2"/>
        <w:tabs>
          <w:tab w:val="right" w:leader="dot" w:pos="9016"/>
        </w:tabs>
        <w:spacing w:line="276" w:lineRule="auto"/>
      </w:pPr>
      <w:hyperlink w:anchor="_Toc94087018" w:history="1">
        <w:r w:rsidR="00A95641">
          <w:rPr>
            <w:rStyle w:val="afffff4"/>
            <w:color w:val="auto"/>
          </w:rPr>
          <w:t>7.4</w:t>
        </w:r>
        <w:r w:rsidR="00A95641">
          <w:rPr>
            <w:rStyle w:val="afffff4"/>
            <w:rFonts w:hint="eastAsia"/>
            <w:color w:val="auto"/>
          </w:rPr>
          <w:t xml:space="preserve"> </w:t>
        </w:r>
        <w:r w:rsidR="00A95641">
          <w:rPr>
            <w:rStyle w:val="afffff4"/>
            <w:rFonts w:hint="eastAsia"/>
            <w:color w:val="auto"/>
          </w:rPr>
          <w:t>环境风险识别</w:t>
        </w:r>
        <w:r w:rsidR="00A95641">
          <w:tab/>
          <w:t>7-8</w:t>
        </w:r>
      </w:hyperlink>
    </w:p>
    <w:p w14:paraId="30435C7B" w14:textId="77777777" w:rsidR="007D1E74" w:rsidRDefault="00E7258B">
      <w:pPr>
        <w:pStyle w:val="TOC2"/>
        <w:tabs>
          <w:tab w:val="right" w:leader="dot" w:pos="9016"/>
        </w:tabs>
        <w:spacing w:line="276" w:lineRule="auto"/>
      </w:pPr>
      <w:hyperlink w:anchor="_Toc94087018" w:history="1">
        <w:r w:rsidR="00A95641">
          <w:rPr>
            <w:rStyle w:val="afffff4"/>
            <w:color w:val="auto"/>
          </w:rPr>
          <w:t>7.5</w:t>
        </w:r>
        <w:r w:rsidR="00A95641">
          <w:rPr>
            <w:rStyle w:val="afffff4"/>
            <w:rFonts w:hint="eastAsia"/>
            <w:color w:val="auto"/>
          </w:rPr>
          <w:t xml:space="preserve"> </w:t>
        </w:r>
        <w:r w:rsidR="00A95641">
          <w:rPr>
            <w:rStyle w:val="afffff4"/>
            <w:rFonts w:hint="eastAsia"/>
            <w:color w:val="auto"/>
          </w:rPr>
          <w:t>风险事故情形设定</w:t>
        </w:r>
        <w:r w:rsidR="00A95641">
          <w:tab/>
          <w:t>7-13</w:t>
        </w:r>
      </w:hyperlink>
    </w:p>
    <w:p w14:paraId="233FB8DF" w14:textId="77777777" w:rsidR="007D1E74" w:rsidRDefault="00E7258B">
      <w:pPr>
        <w:pStyle w:val="TOC2"/>
        <w:tabs>
          <w:tab w:val="right" w:leader="dot" w:pos="9016"/>
        </w:tabs>
        <w:spacing w:line="276" w:lineRule="auto"/>
      </w:pPr>
      <w:hyperlink w:anchor="_Toc94087018" w:history="1">
        <w:r w:rsidR="00A95641">
          <w:rPr>
            <w:rStyle w:val="afffff4"/>
            <w:color w:val="auto"/>
          </w:rPr>
          <w:t>7.6</w:t>
        </w:r>
        <w:r w:rsidR="00A95641">
          <w:rPr>
            <w:rStyle w:val="afffff4"/>
            <w:rFonts w:hint="eastAsia"/>
            <w:color w:val="auto"/>
          </w:rPr>
          <w:t xml:space="preserve"> </w:t>
        </w:r>
        <w:r w:rsidR="00A95641">
          <w:rPr>
            <w:rStyle w:val="afffff4"/>
            <w:rFonts w:hint="eastAsia"/>
            <w:color w:val="auto"/>
          </w:rPr>
          <w:t>源项分析</w:t>
        </w:r>
        <w:r w:rsidR="00A95641">
          <w:tab/>
          <w:t>7-14</w:t>
        </w:r>
      </w:hyperlink>
    </w:p>
    <w:p w14:paraId="5EA402D9" w14:textId="77777777" w:rsidR="007D1E74" w:rsidRDefault="00E7258B">
      <w:pPr>
        <w:pStyle w:val="TOC2"/>
        <w:tabs>
          <w:tab w:val="right" w:leader="dot" w:pos="9016"/>
        </w:tabs>
        <w:spacing w:line="276" w:lineRule="auto"/>
      </w:pPr>
      <w:hyperlink w:anchor="_Toc94087018" w:history="1">
        <w:r w:rsidR="00A95641">
          <w:rPr>
            <w:rStyle w:val="afffff4"/>
            <w:color w:val="auto"/>
          </w:rPr>
          <w:t>7.7</w:t>
        </w:r>
        <w:r w:rsidR="00A95641">
          <w:rPr>
            <w:rStyle w:val="afffff4"/>
            <w:rFonts w:hint="eastAsia"/>
            <w:color w:val="auto"/>
          </w:rPr>
          <w:t xml:space="preserve"> </w:t>
        </w:r>
        <w:r w:rsidR="00A95641">
          <w:rPr>
            <w:rStyle w:val="afffff4"/>
            <w:rFonts w:hint="eastAsia"/>
            <w:color w:val="auto"/>
          </w:rPr>
          <w:t>风险预测与评价</w:t>
        </w:r>
        <w:r w:rsidR="00A95641">
          <w:tab/>
          <w:t>7-18</w:t>
        </w:r>
      </w:hyperlink>
    </w:p>
    <w:p w14:paraId="550E35BE" w14:textId="77777777" w:rsidR="007D1E74" w:rsidRDefault="00E7258B">
      <w:pPr>
        <w:pStyle w:val="TOC2"/>
        <w:tabs>
          <w:tab w:val="right" w:leader="dot" w:pos="9016"/>
        </w:tabs>
        <w:spacing w:line="276" w:lineRule="auto"/>
      </w:pPr>
      <w:hyperlink w:anchor="_Toc94087018" w:history="1">
        <w:r w:rsidR="00A95641">
          <w:rPr>
            <w:rStyle w:val="afffff4"/>
            <w:color w:val="auto"/>
          </w:rPr>
          <w:t>7.8</w:t>
        </w:r>
        <w:r w:rsidR="00A95641">
          <w:rPr>
            <w:rStyle w:val="afffff4"/>
            <w:rFonts w:hint="eastAsia"/>
            <w:color w:val="auto"/>
          </w:rPr>
          <w:t xml:space="preserve"> </w:t>
        </w:r>
        <w:r w:rsidR="00A95641">
          <w:rPr>
            <w:rStyle w:val="afffff4"/>
            <w:rFonts w:hint="eastAsia"/>
            <w:color w:val="auto"/>
          </w:rPr>
          <w:t>环境风险管理</w:t>
        </w:r>
        <w:r w:rsidR="00A95641">
          <w:tab/>
          <w:t>7-27</w:t>
        </w:r>
      </w:hyperlink>
    </w:p>
    <w:p w14:paraId="1D309DFB" w14:textId="77777777" w:rsidR="007D1E74" w:rsidRDefault="00E7258B">
      <w:pPr>
        <w:pStyle w:val="TOC2"/>
        <w:tabs>
          <w:tab w:val="right" w:leader="dot" w:pos="9016"/>
        </w:tabs>
        <w:spacing w:line="276" w:lineRule="auto"/>
      </w:pPr>
      <w:hyperlink w:anchor="_Toc94087018" w:history="1">
        <w:r w:rsidR="00A95641">
          <w:rPr>
            <w:rStyle w:val="afffff4"/>
            <w:color w:val="auto"/>
          </w:rPr>
          <w:t>7.9</w:t>
        </w:r>
        <w:r w:rsidR="00A95641">
          <w:rPr>
            <w:rStyle w:val="afffff4"/>
            <w:rFonts w:hint="eastAsia"/>
            <w:color w:val="auto"/>
          </w:rPr>
          <w:t xml:space="preserve"> </w:t>
        </w:r>
        <w:r w:rsidR="00A95641">
          <w:rPr>
            <w:rStyle w:val="afffff4"/>
            <w:rFonts w:hint="eastAsia"/>
            <w:color w:val="auto"/>
          </w:rPr>
          <w:t>环境风险投资估算</w:t>
        </w:r>
        <w:r w:rsidR="00A95641">
          <w:tab/>
          <w:t>7-3</w:t>
        </w:r>
      </w:hyperlink>
      <w:r w:rsidR="00A95641">
        <w:t>7</w:t>
      </w:r>
    </w:p>
    <w:p w14:paraId="6D29657F" w14:textId="77777777" w:rsidR="007D1E74" w:rsidRDefault="00E7258B">
      <w:pPr>
        <w:pStyle w:val="TOC2"/>
        <w:tabs>
          <w:tab w:val="right" w:leader="dot" w:pos="9016"/>
        </w:tabs>
        <w:spacing w:line="276" w:lineRule="auto"/>
      </w:pPr>
      <w:hyperlink w:anchor="_Toc94087018" w:history="1">
        <w:r w:rsidR="00A95641">
          <w:rPr>
            <w:rStyle w:val="afffff4"/>
            <w:color w:val="auto"/>
          </w:rPr>
          <w:t>7.10</w:t>
        </w:r>
        <w:r w:rsidR="00A95641">
          <w:rPr>
            <w:rStyle w:val="afffff4"/>
            <w:rFonts w:hint="eastAsia"/>
            <w:color w:val="auto"/>
          </w:rPr>
          <w:t xml:space="preserve"> </w:t>
        </w:r>
        <w:r w:rsidR="00A95641">
          <w:rPr>
            <w:rStyle w:val="afffff4"/>
            <w:rFonts w:hint="eastAsia"/>
            <w:color w:val="auto"/>
          </w:rPr>
          <w:t>环境风险评价结论</w:t>
        </w:r>
        <w:r w:rsidR="00A95641">
          <w:tab/>
          <w:t>7-3</w:t>
        </w:r>
      </w:hyperlink>
      <w:r w:rsidR="00A95641">
        <w:t>8</w:t>
      </w:r>
    </w:p>
    <w:p w14:paraId="6827A5A1" w14:textId="77777777" w:rsidR="007D1E74" w:rsidRDefault="00E7258B">
      <w:pPr>
        <w:pStyle w:val="TOC1"/>
        <w:rPr>
          <w:color w:val="auto"/>
        </w:rPr>
      </w:pPr>
      <w:hyperlink w:anchor="_Toc94087016" w:history="1">
        <w:r w:rsidR="00A95641">
          <w:rPr>
            <w:rStyle w:val="afffff4"/>
            <w:color w:val="auto"/>
          </w:rPr>
          <w:t>8</w:t>
        </w:r>
        <w:r w:rsidR="00A95641">
          <w:rPr>
            <w:rStyle w:val="afffff4"/>
            <w:rFonts w:hint="eastAsia"/>
            <w:color w:val="auto"/>
          </w:rPr>
          <w:t xml:space="preserve"> </w:t>
        </w:r>
        <w:r w:rsidR="00A95641">
          <w:rPr>
            <w:rStyle w:val="afffff4"/>
            <w:rFonts w:hint="eastAsia"/>
            <w:color w:val="auto"/>
          </w:rPr>
          <w:t>环境保护措施及其可行性论证</w:t>
        </w:r>
        <w:r w:rsidR="00A95641">
          <w:rPr>
            <w:color w:val="auto"/>
          </w:rPr>
          <w:tab/>
          <w:t>8-1</w:t>
        </w:r>
      </w:hyperlink>
    </w:p>
    <w:p w14:paraId="540A124A" w14:textId="77777777" w:rsidR="007D1E74" w:rsidRDefault="00E7258B">
      <w:pPr>
        <w:pStyle w:val="TOC2"/>
        <w:tabs>
          <w:tab w:val="right" w:leader="dot" w:pos="9016"/>
        </w:tabs>
        <w:spacing w:line="276" w:lineRule="auto"/>
      </w:pPr>
      <w:hyperlink w:anchor="_Toc94087017" w:history="1">
        <w:r w:rsidR="00A95641">
          <w:rPr>
            <w:rStyle w:val="afffff4"/>
            <w:color w:val="auto"/>
          </w:rPr>
          <w:t>8.1</w:t>
        </w:r>
        <w:r w:rsidR="00A95641">
          <w:rPr>
            <w:rStyle w:val="afffff4"/>
            <w:rFonts w:hint="eastAsia"/>
            <w:color w:val="auto"/>
          </w:rPr>
          <w:t xml:space="preserve"> </w:t>
        </w:r>
        <w:r w:rsidR="00A95641">
          <w:rPr>
            <w:rStyle w:val="afffff4"/>
            <w:rFonts w:hint="eastAsia"/>
            <w:color w:val="auto"/>
          </w:rPr>
          <w:t>设计阶段环境保护措施</w:t>
        </w:r>
        <w:r w:rsidR="00A95641">
          <w:tab/>
          <w:t>8-1</w:t>
        </w:r>
      </w:hyperlink>
    </w:p>
    <w:p w14:paraId="216C83F1" w14:textId="77777777" w:rsidR="007D1E74" w:rsidRDefault="00E7258B">
      <w:pPr>
        <w:pStyle w:val="TOC2"/>
        <w:tabs>
          <w:tab w:val="right" w:leader="dot" w:pos="9016"/>
        </w:tabs>
        <w:spacing w:line="276" w:lineRule="auto"/>
      </w:pPr>
      <w:hyperlink w:anchor="_Toc94087018" w:history="1">
        <w:r w:rsidR="00A95641">
          <w:rPr>
            <w:rStyle w:val="afffff4"/>
            <w:color w:val="auto"/>
          </w:rPr>
          <w:t>8.2</w:t>
        </w:r>
        <w:r w:rsidR="00A95641">
          <w:rPr>
            <w:rStyle w:val="afffff4"/>
            <w:rFonts w:hint="eastAsia"/>
            <w:color w:val="auto"/>
          </w:rPr>
          <w:t xml:space="preserve"> </w:t>
        </w:r>
        <w:r w:rsidR="00A95641">
          <w:rPr>
            <w:rStyle w:val="afffff4"/>
            <w:rFonts w:hint="eastAsia"/>
            <w:color w:val="auto"/>
          </w:rPr>
          <w:t>施工期环境保护措施及可行性论证</w:t>
        </w:r>
        <w:r w:rsidR="00A95641">
          <w:tab/>
          <w:t>8-1</w:t>
        </w:r>
      </w:hyperlink>
    </w:p>
    <w:p w14:paraId="5B0E6CF8" w14:textId="77777777" w:rsidR="007D1E74" w:rsidRDefault="00E7258B">
      <w:pPr>
        <w:pStyle w:val="TOC2"/>
        <w:tabs>
          <w:tab w:val="right" w:leader="dot" w:pos="9016"/>
        </w:tabs>
        <w:spacing w:line="276" w:lineRule="auto"/>
      </w:pPr>
      <w:hyperlink w:anchor="_Toc94087018" w:history="1">
        <w:r w:rsidR="00A95641">
          <w:rPr>
            <w:rStyle w:val="afffff4"/>
            <w:color w:val="auto"/>
          </w:rPr>
          <w:t>8.3</w:t>
        </w:r>
        <w:r w:rsidR="00A95641">
          <w:rPr>
            <w:rStyle w:val="afffff4"/>
            <w:rFonts w:hint="eastAsia"/>
            <w:color w:val="auto"/>
          </w:rPr>
          <w:t xml:space="preserve"> </w:t>
        </w:r>
        <w:r w:rsidR="00A95641">
          <w:rPr>
            <w:rStyle w:val="afffff4"/>
            <w:rFonts w:hint="eastAsia"/>
            <w:color w:val="auto"/>
          </w:rPr>
          <w:t>运营期环境保护措施及其可行性论证</w:t>
        </w:r>
        <w:r w:rsidR="00A95641">
          <w:tab/>
          <w:t>8-1</w:t>
        </w:r>
      </w:hyperlink>
      <w:r w:rsidR="00A95641">
        <w:t>5</w:t>
      </w:r>
    </w:p>
    <w:p w14:paraId="53775DAE" w14:textId="77777777" w:rsidR="007D1E74" w:rsidRDefault="00E7258B">
      <w:pPr>
        <w:pStyle w:val="TOC2"/>
        <w:tabs>
          <w:tab w:val="right" w:leader="dot" w:pos="9016"/>
        </w:tabs>
        <w:spacing w:line="276" w:lineRule="auto"/>
      </w:pPr>
      <w:hyperlink w:anchor="_Toc94087018" w:history="1">
        <w:r w:rsidR="00A95641">
          <w:rPr>
            <w:rStyle w:val="afffff4"/>
            <w:color w:val="auto"/>
          </w:rPr>
          <w:t>8.4</w:t>
        </w:r>
        <w:r w:rsidR="00A95641">
          <w:rPr>
            <w:rStyle w:val="afffff4"/>
            <w:rFonts w:hint="eastAsia"/>
            <w:color w:val="auto"/>
          </w:rPr>
          <w:t xml:space="preserve"> </w:t>
        </w:r>
        <w:r w:rsidR="00A95641">
          <w:rPr>
            <w:rStyle w:val="afffff4"/>
            <w:rFonts w:hint="eastAsia"/>
            <w:color w:val="auto"/>
          </w:rPr>
          <w:t>环保治理措施与投资</w:t>
        </w:r>
        <w:r w:rsidR="00A95641">
          <w:tab/>
          <w:t>8-1</w:t>
        </w:r>
      </w:hyperlink>
      <w:r w:rsidR="00A95641">
        <w:t>6</w:t>
      </w:r>
    </w:p>
    <w:p w14:paraId="2551B228" w14:textId="77777777" w:rsidR="007D1E74" w:rsidRDefault="00E7258B">
      <w:pPr>
        <w:pStyle w:val="TOC1"/>
        <w:rPr>
          <w:color w:val="auto"/>
        </w:rPr>
      </w:pPr>
      <w:hyperlink w:anchor="_Toc94087019" w:history="1">
        <w:r w:rsidR="00A95641">
          <w:rPr>
            <w:rStyle w:val="afffff4"/>
            <w:color w:val="auto"/>
          </w:rPr>
          <w:t>9</w:t>
        </w:r>
        <w:r w:rsidR="00A95641">
          <w:rPr>
            <w:rStyle w:val="afffff4"/>
            <w:rFonts w:hint="eastAsia"/>
            <w:color w:val="auto"/>
          </w:rPr>
          <w:t xml:space="preserve"> </w:t>
        </w:r>
        <w:r w:rsidR="00A95641">
          <w:rPr>
            <w:rStyle w:val="afffff4"/>
            <w:rFonts w:hint="eastAsia"/>
            <w:color w:val="auto"/>
          </w:rPr>
          <w:t>环境影响经济损益分析</w:t>
        </w:r>
        <w:r w:rsidR="00A95641">
          <w:rPr>
            <w:color w:val="auto"/>
          </w:rPr>
          <w:tab/>
          <w:t>9-1</w:t>
        </w:r>
      </w:hyperlink>
    </w:p>
    <w:p w14:paraId="4A2C691F" w14:textId="77777777" w:rsidR="007D1E74" w:rsidRDefault="00E7258B">
      <w:pPr>
        <w:pStyle w:val="TOC2"/>
        <w:tabs>
          <w:tab w:val="right" w:leader="dot" w:pos="9016"/>
        </w:tabs>
        <w:spacing w:line="276" w:lineRule="auto"/>
      </w:pPr>
      <w:hyperlink w:anchor="_Toc94087020" w:history="1">
        <w:r w:rsidR="00A95641">
          <w:rPr>
            <w:rStyle w:val="afffff4"/>
            <w:color w:val="auto"/>
          </w:rPr>
          <w:t>9.1</w:t>
        </w:r>
        <w:r w:rsidR="00A95641">
          <w:rPr>
            <w:rStyle w:val="afffff4"/>
            <w:rFonts w:hint="eastAsia"/>
            <w:color w:val="auto"/>
          </w:rPr>
          <w:t xml:space="preserve"> </w:t>
        </w:r>
        <w:r w:rsidR="00A95641">
          <w:rPr>
            <w:rStyle w:val="afffff4"/>
            <w:rFonts w:hint="eastAsia"/>
            <w:color w:val="auto"/>
          </w:rPr>
          <w:t>经济效益分析</w:t>
        </w:r>
        <w:r w:rsidR="00A95641">
          <w:tab/>
          <w:t>9-1</w:t>
        </w:r>
      </w:hyperlink>
    </w:p>
    <w:p w14:paraId="24C993C5" w14:textId="77777777" w:rsidR="007D1E74" w:rsidRDefault="00E7258B">
      <w:pPr>
        <w:pStyle w:val="TOC2"/>
        <w:tabs>
          <w:tab w:val="right" w:leader="dot" w:pos="9016"/>
        </w:tabs>
        <w:spacing w:line="276" w:lineRule="auto"/>
      </w:pPr>
      <w:hyperlink w:anchor="_Toc94087021" w:history="1">
        <w:r w:rsidR="00A95641">
          <w:rPr>
            <w:rStyle w:val="afffff4"/>
            <w:color w:val="auto"/>
          </w:rPr>
          <w:t>9.2</w:t>
        </w:r>
        <w:r w:rsidR="00A95641">
          <w:rPr>
            <w:rStyle w:val="afffff4"/>
            <w:rFonts w:hint="eastAsia"/>
            <w:color w:val="auto"/>
          </w:rPr>
          <w:t xml:space="preserve"> </w:t>
        </w:r>
        <w:r w:rsidR="00A95641">
          <w:rPr>
            <w:rStyle w:val="afffff4"/>
            <w:rFonts w:hint="eastAsia"/>
            <w:color w:val="auto"/>
          </w:rPr>
          <w:t>社会效益分析</w:t>
        </w:r>
        <w:r w:rsidR="00A95641">
          <w:tab/>
          <w:t>9-1</w:t>
        </w:r>
      </w:hyperlink>
    </w:p>
    <w:p w14:paraId="6436A74F" w14:textId="77777777" w:rsidR="007D1E74" w:rsidRDefault="00E7258B">
      <w:pPr>
        <w:pStyle w:val="TOC2"/>
        <w:tabs>
          <w:tab w:val="right" w:leader="dot" w:pos="9016"/>
        </w:tabs>
        <w:spacing w:line="276" w:lineRule="auto"/>
      </w:pPr>
      <w:hyperlink w:anchor="_Toc94087022" w:history="1">
        <w:r w:rsidR="00A95641">
          <w:rPr>
            <w:rStyle w:val="afffff4"/>
            <w:color w:val="auto"/>
          </w:rPr>
          <w:t>9.3</w:t>
        </w:r>
        <w:r w:rsidR="00A95641">
          <w:rPr>
            <w:rStyle w:val="afffff4"/>
            <w:rFonts w:hint="eastAsia"/>
            <w:color w:val="auto"/>
          </w:rPr>
          <w:t xml:space="preserve"> </w:t>
        </w:r>
        <w:r w:rsidR="00A95641">
          <w:rPr>
            <w:rStyle w:val="afffff4"/>
            <w:rFonts w:hint="eastAsia"/>
            <w:color w:val="auto"/>
          </w:rPr>
          <w:t>环境经济损益分析</w:t>
        </w:r>
        <w:r w:rsidR="00A95641">
          <w:tab/>
          <w:t>9-1</w:t>
        </w:r>
      </w:hyperlink>
    </w:p>
    <w:p w14:paraId="1FBD6B20" w14:textId="77777777" w:rsidR="007D1E74" w:rsidRDefault="00E7258B">
      <w:pPr>
        <w:pStyle w:val="TOC2"/>
        <w:tabs>
          <w:tab w:val="right" w:leader="dot" w:pos="9016"/>
        </w:tabs>
        <w:spacing w:line="276" w:lineRule="auto"/>
      </w:pPr>
      <w:hyperlink w:anchor="_Toc94087023" w:history="1">
        <w:r w:rsidR="00A95641">
          <w:rPr>
            <w:rStyle w:val="afffff4"/>
            <w:color w:val="auto"/>
          </w:rPr>
          <w:t>9.4</w:t>
        </w:r>
        <w:r w:rsidR="00A95641">
          <w:rPr>
            <w:rStyle w:val="afffff4"/>
            <w:rFonts w:hint="eastAsia"/>
            <w:color w:val="auto"/>
          </w:rPr>
          <w:t xml:space="preserve"> </w:t>
        </w:r>
        <w:r w:rsidR="00A95641">
          <w:rPr>
            <w:rStyle w:val="afffff4"/>
            <w:rFonts w:hint="eastAsia"/>
            <w:color w:val="auto"/>
          </w:rPr>
          <w:t>小结</w:t>
        </w:r>
        <w:r w:rsidR="00A95641">
          <w:tab/>
          <w:t>9-3</w:t>
        </w:r>
      </w:hyperlink>
    </w:p>
    <w:p w14:paraId="40C373E8" w14:textId="77777777" w:rsidR="007D1E74" w:rsidRDefault="00E7258B">
      <w:pPr>
        <w:pStyle w:val="TOC1"/>
        <w:rPr>
          <w:color w:val="auto"/>
        </w:rPr>
      </w:pPr>
      <w:hyperlink w:anchor="_Toc94087024" w:history="1">
        <w:r w:rsidR="00A95641">
          <w:rPr>
            <w:rStyle w:val="afffff4"/>
            <w:color w:val="auto"/>
          </w:rPr>
          <w:t>10</w:t>
        </w:r>
        <w:r w:rsidR="00A95641">
          <w:rPr>
            <w:rStyle w:val="afffff4"/>
            <w:rFonts w:hint="eastAsia"/>
            <w:color w:val="auto"/>
          </w:rPr>
          <w:t xml:space="preserve"> </w:t>
        </w:r>
        <w:r w:rsidR="00A95641">
          <w:rPr>
            <w:rStyle w:val="afffff4"/>
            <w:rFonts w:hint="eastAsia"/>
            <w:color w:val="auto"/>
          </w:rPr>
          <w:t>环境管理与监测计划</w:t>
        </w:r>
        <w:r w:rsidR="00A95641">
          <w:rPr>
            <w:color w:val="auto"/>
          </w:rPr>
          <w:tab/>
          <w:t>10-1</w:t>
        </w:r>
      </w:hyperlink>
    </w:p>
    <w:p w14:paraId="2542577C" w14:textId="77777777" w:rsidR="007D1E74" w:rsidRDefault="00E7258B">
      <w:pPr>
        <w:pStyle w:val="TOC2"/>
        <w:tabs>
          <w:tab w:val="right" w:leader="dot" w:pos="9016"/>
        </w:tabs>
        <w:spacing w:line="276" w:lineRule="auto"/>
      </w:pPr>
      <w:hyperlink w:anchor="_Toc94087025" w:history="1">
        <w:r w:rsidR="00A95641">
          <w:rPr>
            <w:rStyle w:val="afffff4"/>
            <w:color w:val="auto"/>
          </w:rPr>
          <w:t>10.1</w:t>
        </w:r>
        <w:r w:rsidR="00A95641">
          <w:rPr>
            <w:rStyle w:val="afffff4"/>
            <w:rFonts w:hint="eastAsia"/>
            <w:color w:val="auto"/>
          </w:rPr>
          <w:t xml:space="preserve"> </w:t>
        </w:r>
        <w:r w:rsidR="00A95641">
          <w:rPr>
            <w:rStyle w:val="afffff4"/>
            <w:rFonts w:hint="eastAsia"/>
            <w:color w:val="auto"/>
          </w:rPr>
          <w:t>环境管理</w:t>
        </w:r>
        <w:r w:rsidR="00A95641">
          <w:tab/>
          <w:t>10-1</w:t>
        </w:r>
      </w:hyperlink>
    </w:p>
    <w:p w14:paraId="7D22FF78" w14:textId="77777777" w:rsidR="007D1E74" w:rsidRDefault="00E7258B">
      <w:pPr>
        <w:pStyle w:val="TOC2"/>
        <w:tabs>
          <w:tab w:val="right" w:leader="dot" w:pos="9016"/>
        </w:tabs>
        <w:spacing w:line="276" w:lineRule="auto"/>
      </w:pPr>
      <w:hyperlink w:anchor="_Toc94087026" w:history="1">
        <w:r w:rsidR="00A95641">
          <w:rPr>
            <w:rStyle w:val="afffff4"/>
            <w:color w:val="auto"/>
          </w:rPr>
          <w:t>10.2</w:t>
        </w:r>
        <w:r w:rsidR="00A95641">
          <w:rPr>
            <w:rStyle w:val="afffff4"/>
            <w:rFonts w:hint="eastAsia"/>
            <w:color w:val="auto"/>
          </w:rPr>
          <w:t xml:space="preserve"> </w:t>
        </w:r>
        <w:r w:rsidR="00A95641">
          <w:rPr>
            <w:rStyle w:val="afffff4"/>
            <w:rFonts w:hint="eastAsia"/>
            <w:color w:val="auto"/>
          </w:rPr>
          <w:t>施工期环境监理</w:t>
        </w:r>
        <w:r w:rsidR="00A95641">
          <w:tab/>
          <w:t>10-8</w:t>
        </w:r>
      </w:hyperlink>
    </w:p>
    <w:p w14:paraId="42AF8D1D" w14:textId="77777777" w:rsidR="007D1E74" w:rsidRDefault="00E7258B">
      <w:pPr>
        <w:pStyle w:val="TOC2"/>
        <w:tabs>
          <w:tab w:val="right" w:leader="dot" w:pos="9016"/>
        </w:tabs>
        <w:spacing w:line="276" w:lineRule="auto"/>
      </w:pPr>
      <w:hyperlink w:anchor="_Toc94087026" w:history="1">
        <w:r w:rsidR="00A95641">
          <w:rPr>
            <w:rStyle w:val="afffff4"/>
            <w:color w:val="auto"/>
          </w:rPr>
          <w:t>10.3</w:t>
        </w:r>
        <w:r w:rsidR="00A95641">
          <w:rPr>
            <w:rStyle w:val="afffff4"/>
            <w:rFonts w:hint="eastAsia"/>
            <w:color w:val="auto"/>
          </w:rPr>
          <w:t xml:space="preserve"> </w:t>
        </w:r>
        <w:r w:rsidR="00A95641">
          <w:rPr>
            <w:rStyle w:val="afffff4"/>
            <w:rFonts w:hint="eastAsia"/>
            <w:color w:val="auto"/>
          </w:rPr>
          <w:t>环境监测计划</w:t>
        </w:r>
        <w:r w:rsidR="00A95641">
          <w:tab/>
          <w:t>10-10</w:t>
        </w:r>
      </w:hyperlink>
    </w:p>
    <w:p w14:paraId="63C56860" w14:textId="77777777" w:rsidR="007D1E74" w:rsidRDefault="00E7258B">
      <w:pPr>
        <w:pStyle w:val="TOC2"/>
        <w:tabs>
          <w:tab w:val="right" w:leader="dot" w:pos="9016"/>
        </w:tabs>
        <w:spacing w:line="276" w:lineRule="auto"/>
      </w:pPr>
      <w:hyperlink w:anchor="_Toc94087026" w:history="1">
        <w:r w:rsidR="00A95641">
          <w:rPr>
            <w:rStyle w:val="afffff4"/>
            <w:color w:val="auto"/>
          </w:rPr>
          <w:t>10.3</w:t>
        </w:r>
        <w:r w:rsidR="00A95641">
          <w:rPr>
            <w:rStyle w:val="afffff4"/>
            <w:rFonts w:hint="eastAsia"/>
            <w:color w:val="auto"/>
          </w:rPr>
          <w:t xml:space="preserve"> </w:t>
        </w:r>
        <w:r w:rsidR="00A95641">
          <w:rPr>
            <w:rStyle w:val="afffff4"/>
            <w:rFonts w:hint="eastAsia"/>
            <w:color w:val="auto"/>
          </w:rPr>
          <w:t>竣工环保验收“三同时”制度</w:t>
        </w:r>
        <w:r w:rsidR="00A95641">
          <w:tab/>
          <w:t>10-11</w:t>
        </w:r>
      </w:hyperlink>
    </w:p>
    <w:p w14:paraId="274218B9" w14:textId="77777777" w:rsidR="007D1E74" w:rsidRDefault="00E7258B">
      <w:pPr>
        <w:pStyle w:val="TOC1"/>
        <w:rPr>
          <w:color w:val="auto"/>
        </w:rPr>
      </w:pPr>
      <w:hyperlink w:anchor="_Toc94087027" w:history="1">
        <w:r w:rsidR="00A95641">
          <w:rPr>
            <w:rStyle w:val="afffff4"/>
            <w:color w:val="auto"/>
          </w:rPr>
          <w:t>11</w:t>
        </w:r>
        <w:r w:rsidR="00A95641">
          <w:rPr>
            <w:rStyle w:val="afffff4"/>
            <w:rFonts w:hint="eastAsia"/>
            <w:color w:val="auto"/>
          </w:rPr>
          <w:t xml:space="preserve"> </w:t>
        </w:r>
        <w:r w:rsidR="00A95641">
          <w:rPr>
            <w:rStyle w:val="afffff4"/>
            <w:rFonts w:hint="eastAsia"/>
            <w:color w:val="auto"/>
          </w:rPr>
          <w:t>结论及建议</w:t>
        </w:r>
        <w:r w:rsidR="00A95641">
          <w:rPr>
            <w:color w:val="auto"/>
          </w:rPr>
          <w:tab/>
          <w:t>11-1</w:t>
        </w:r>
      </w:hyperlink>
    </w:p>
    <w:p w14:paraId="2DBB2FA0" w14:textId="77777777" w:rsidR="007D1E74" w:rsidRDefault="00E7258B">
      <w:pPr>
        <w:pStyle w:val="TOC2"/>
        <w:tabs>
          <w:tab w:val="right" w:leader="dot" w:pos="9016"/>
        </w:tabs>
        <w:spacing w:line="276" w:lineRule="auto"/>
      </w:pPr>
      <w:hyperlink w:anchor="_Toc94087028" w:history="1">
        <w:r w:rsidR="00A95641">
          <w:rPr>
            <w:rStyle w:val="afffff4"/>
            <w:color w:val="auto"/>
          </w:rPr>
          <w:t>11.1</w:t>
        </w:r>
        <w:r w:rsidR="00A95641">
          <w:rPr>
            <w:rStyle w:val="afffff4"/>
            <w:rFonts w:hint="eastAsia"/>
            <w:color w:val="auto"/>
          </w:rPr>
          <w:t xml:space="preserve"> </w:t>
        </w:r>
        <w:r w:rsidR="00A95641">
          <w:rPr>
            <w:rStyle w:val="afffff4"/>
            <w:rFonts w:hint="eastAsia"/>
            <w:color w:val="auto"/>
          </w:rPr>
          <w:t>工程建设内容</w:t>
        </w:r>
        <w:r w:rsidR="00A95641">
          <w:tab/>
          <w:t>11-1</w:t>
        </w:r>
      </w:hyperlink>
    </w:p>
    <w:p w14:paraId="011ECC5E" w14:textId="77777777" w:rsidR="007D1E74" w:rsidRDefault="00E7258B">
      <w:pPr>
        <w:pStyle w:val="TOC2"/>
        <w:tabs>
          <w:tab w:val="right" w:leader="dot" w:pos="9016"/>
        </w:tabs>
        <w:spacing w:line="276" w:lineRule="auto"/>
      </w:pPr>
      <w:hyperlink w:anchor="_Toc94087029" w:history="1">
        <w:r w:rsidR="00A95641">
          <w:rPr>
            <w:rStyle w:val="afffff4"/>
            <w:color w:val="auto"/>
          </w:rPr>
          <w:t>11.2</w:t>
        </w:r>
        <w:r w:rsidR="00A95641">
          <w:rPr>
            <w:rStyle w:val="afffff4"/>
            <w:rFonts w:hint="eastAsia"/>
            <w:color w:val="auto"/>
          </w:rPr>
          <w:t xml:space="preserve"> </w:t>
        </w:r>
        <w:r w:rsidR="00A95641">
          <w:rPr>
            <w:rStyle w:val="afffff4"/>
            <w:rFonts w:hint="eastAsia"/>
            <w:color w:val="auto"/>
          </w:rPr>
          <w:t>工程与相关政策、规划的符合性分析</w:t>
        </w:r>
        <w:r w:rsidR="00A95641">
          <w:tab/>
          <w:t>11-1</w:t>
        </w:r>
      </w:hyperlink>
    </w:p>
    <w:p w14:paraId="1592F151" w14:textId="77777777" w:rsidR="007D1E74" w:rsidRDefault="00E7258B">
      <w:pPr>
        <w:pStyle w:val="TOC2"/>
        <w:tabs>
          <w:tab w:val="right" w:leader="dot" w:pos="9016"/>
        </w:tabs>
        <w:spacing w:line="276" w:lineRule="auto"/>
      </w:pPr>
      <w:hyperlink w:anchor="_Toc94087029" w:history="1">
        <w:r w:rsidR="00A95641">
          <w:rPr>
            <w:rStyle w:val="afffff4"/>
            <w:color w:val="auto"/>
          </w:rPr>
          <w:t>11.3</w:t>
        </w:r>
        <w:r w:rsidR="00A95641">
          <w:rPr>
            <w:rStyle w:val="afffff4"/>
            <w:rFonts w:hint="eastAsia"/>
            <w:color w:val="auto"/>
          </w:rPr>
          <w:t xml:space="preserve"> </w:t>
        </w:r>
        <w:r w:rsidR="00A95641">
          <w:rPr>
            <w:rStyle w:val="afffff4"/>
            <w:rFonts w:hint="eastAsia"/>
            <w:color w:val="auto"/>
          </w:rPr>
          <w:t>环境现状及影响评价结论</w:t>
        </w:r>
        <w:r w:rsidR="00A95641">
          <w:tab/>
          <w:t>11-1</w:t>
        </w:r>
      </w:hyperlink>
    </w:p>
    <w:p w14:paraId="414068A0" w14:textId="77777777" w:rsidR="007D1E74" w:rsidRDefault="00E7258B">
      <w:pPr>
        <w:pStyle w:val="TOC2"/>
        <w:tabs>
          <w:tab w:val="right" w:leader="dot" w:pos="9016"/>
        </w:tabs>
        <w:spacing w:line="276" w:lineRule="auto"/>
      </w:pPr>
      <w:hyperlink w:anchor="_Toc94087029" w:history="1">
        <w:r w:rsidR="00A95641">
          <w:rPr>
            <w:rStyle w:val="afffff4"/>
            <w:color w:val="auto"/>
          </w:rPr>
          <w:t>11.4</w:t>
        </w:r>
        <w:r w:rsidR="00A95641">
          <w:rPr>
            <w:rStyle w:val="afffff4"/>
            <w:rFonts w:hint="eastAsia"/>
            <w:color w:val="auto"/>
          </w:rPr>
          <w:t xml:space="preserve"> </w:t>
        </w:r>
        <w:r w:rsidR="00A95641">
          <w:rPr>
            <w:rStyle w:val="afffff4"/>
            <w:rFonts w:hint="eastAsia"/>
            <w:color w:val="auto"/>
          </w:rPr>
          <w:t>风险评价结论</w:t>
        </w:r>
        <w:r w:rsidR="00A95641">
          <w:tab/>
          <w:t>11-4</w:t>
        </w:r>
      </w:hyperlink>
    </w:p>
    <w:p w14:paraId="5EFA89F1" w14:textId="77777777" w:rsidR="007D1E74" w:rsidRDefault="00E7258B">
      <w:pPr>
        <w:pStyle w:val="TOC2"/>
        <w:tabs>
          <w:tab w:val="right" w:leader="dot" w:pos="9016"/>
        </w:tabs>
        <w:spacing w:line="276" w:lineRule="auto"/>
      </w:pPr>
      <w:hyperlink w:anchor="_Toc94087029" w:history="1">
        <w:r w:rsidR="00A95641">
          <w:rPr>
            <w:rStyle w:val="afffff4"/>
            <w:color w:val="auto"/>
          </w:rPr>
          <w:t>11.5</w:t>
        </w:r>
        <w:r w:rsidR="00A95641">
          <w:rPr>
            <w:rStyle w:val="afffff4"/>
            <w:rFonts w:hint="eastAsia"/>
            <w:color w:val="auto"/>
          </w:rPr>
          <w:t xml:space="preserve"> </w:t>
        </w:r>
        <w:r w:rsidR="00A95641">
          <w:rPr>
            <w:rStyle w:val="afffff4"/>
            <w:rFonts w:hint="eastAsia"/>
            <w:color w:val="auto"/>
          </w:rPr>
          <w:t>污染物总量控制</w:t>
        </w:r>
        <w:r w:rsidR="00A95641">
          <w:tab/>
          <w:t>11-4</w:t>
        </w:r>
      </w:hyperlink>
    </w:p>
    <w:p w14:paraId="4C8AD38B" w14:textId="77777777" w:rsidR="007D1E74" w:rsidRDefault="00E7258B">
      <w:pPr>
        <w:pStyle w:val="TOC2"/>
        <w:tabs>
          <w:tab w:val="right" w:leader="dot" w:pos="9016"/>
        </w:tabs>
        <w:spacing w:line="276" w:lineRule="auto"/>
      </w:pPr>
      <w:hyperlink w:anchor="_Toc94087029" w:history="1">
        <w:r w:rsidR="00A95641">
          <w:rPr>
            <w:rStyle w:val="afffff4"/>
            <w:color w:val="auto"/>
          </w:rPr>
          <w:t>11.6</w:t>
        </w:r>
        <w:r w:rsidR="00A95641">
          <w:rPr>
            <w:rStyle w:val="afffff4"/>
            <w:rFonts w:hint="eastAsia"/>
            <w:color w:val="auto"/>
          </w:rPr>
          <w:t xml:space="preserve"> </w:t>
        </w:r>
        <w:r w:rsidR="00A95641">
          <w:rPr>
            <w:rStyle w:val="afffff4"/>
            <w:rFonts w:hint="eastAsia"/>
            <w:color w:val="auto"/>
          </w:rPr>
          <w:t>公众参与</w:t>
        </w:r>
        <w:r w:rsidR="00A95641">
          <w:tab/>
          <w:t>11-5</w:t>
        </w:r>
      </w:hyperlink>
    </w:p>
    <w:p w14:paraId="04E2520B" w14:textId="77777777" w:rsidR="007D1E74" w:rsidRDefault="00E7258B">
      <w:pPr>
        <w:pStyle w:val="TOC2"/>
        <w:tabs>
          <w:tab w:val="right" w:leader="dot" w:pos="9016"/>
        </w:tabs>
        <w:spacing w:line="276" w:lineRule="auto"/>
      </w:pPr>
      <w:hyperlink w:anchor="_Toc94087029" w:history="1">
        <w:r w:rsidR="00A95641">
          <w:rPr>
            <w:rStyle w:val="afffff4"/>
            <w:color w:val="auto"/>
          </w:rPr>
          <w:t>11.7</w:t>
        </w:r>
        <w:r w:rsidR="00A95641">
          <w:rPr>
            <w:rStyle w:val="afffff4"/>
            <w:rFonts w:hint="eastAsia"/>
            <w:color w:val="auto"/>
          </w:rPr>
          <w:t xml:space="preserve"> </w:t>
        </w:r>
        <w:r w:rsidR="00A95641">
          <w:rPr>
            <w:rStyle w:val="afffff4"/>
            <w:rFonts w:hint="eastAsia"/>
            <w:color w:val="auto"/>
          </w:rPr>
          <w:t>评价结论</w:t>
        </w:r>
        <w:r w:rsidR="00A95641">
          <w:tab/>
          <w:t>11-5</w:t>
        </w:r>
      </w:hyperlink>
    </w:p>
    <w:p w14:paraId="79721B9A" w14:textId="77777777" w:rsidR="007D1E74" w:rsidRDefault="00A95641">
      <w:pPr>
        <w:spacing w:line="360" w:lineRule="auto"/>
        <w:rPr>
          <w:sz w:val="24"/>
          <w:szCs w:val="24"/>
        </w:rPr>
      </w:pPr>
      <w:r>
        <w:rPr>
          <w:sz w:val="24"/>
          <w:szCs w:val="24"/>
        </w:rPr>
        <w:fldChar w:fldCharType="end"/>
      </w:r>
    </w:p>
    <w:p w14:paraId="2999D836" w14:textId="77777777" w:rsidR="007D1E74" w:rsidRDefault="007D1E74">
      <w:pPr>
        <w:spacing w:line="360" w:lineRule="auto"/>
        <w:rPr>
          <w:sz w:val="24"/>
          <w:szCs w:val="24"/>
        </w:rPr>
      </w:pPr>
    </w:p>
    <w:p w14:paraId="0E084D70" w14:textId="77777777" w:rsidR="007D1E74" w:rsidRDefault="007D1E74">
      <w:pPr>
        <w:spacing w:line="360" w:lineRule="auto"/>
        <w:rPr>
          <w:sz w:val="24"/>
          <w:szCs w:val="24"/>
        </w:rPr>
        <w:sectPr w:rsidR="007D1E74">
          <w:pgSz w:w="11906" w:h="16838"/>
          <w:pgMar w:top="1440" w:right="1440" w:bottom="1440" w:left="1440" w:header="851" w:footer="992" w:gutter="0"/>
          <w:cols w:space="425"/>
          <w:docGrid w:type="lines" w:linePitch="312"/>
        </w:sectPr>
      </w:pPr>
    </w:p>
    <w:p w14:paraId="30328084" w14:textId="77777777" w:rsidR="007D1E74" w:rsidRDefault="00A95641">
      <w:pPr>
        <w:pStyle w:val="a7"/>
      </w:pPr>
      <w:r>
        <w:rPr>
          <w:rFonts w:hint="eastAsia"/>
        </w:rPr>
        <w:lastRenderedPageBreak/>
        <w:t>概述</w:t>
      </w:r>
    </w:p>
    <w:p w14:paraId="1C791CB3" w14:textId="77777777" w:rsidR="007D1E74" w:rsidRDefault="00A95641">
      <w:pPr>
        <w:pStyle w:val="a8"/>
      </w:pPr>
      <w:r>
        <w:rPr>
          <w:rFonts w:hint="eastAsia"/>
        </w:rPr>
        <w:t>项目由来</w:t>
      </w:r>
    </w:p>
    <w:p w14:paraId="6D4EC336" w14:textId="77777777" w:rsidR="007D1E74" w:rsidRDefault="00A95641">
      <w:pPr>
        <w:spacing w:line="360" w:lineRule="auto"/>
        <w:ind w:firstLineChars="200" w:firstLine="480"/>
        <w:rPr>
          <w:sz w:val="24"/>
          <w:szCs w:val="24"/>
        </w:rPr>
      </w:pPr>
      <w:r>
        <w:rPr>
          <w:rFonts w:hint="eastAsia"/>
          <w:sz w:val="24"/>
          <w:szCs w:val="24"/>
        </w:rPr>
        <w:t>中国石油化工股份有限公司中原油田普光分公司在</w:t>
      </w:r>
      <w:proofErr w:type="gramStart"/>
      <w:r>
        <w:rPr>
          <w:rFonts w:hint="eastAsia"/>
          <w:sz w:val="24"/>
          <w:szCs w:val="24"/>
        </w:rPr>
        <w:t>通南巴区块</w:t>
      </w:r>
      <w:proofErr w:type="gramEnd"/>
      <w:r>
        <w:rPr>
          <w:rFonts w:hint="eastAsia"/>
          <w:sz w:val="24"/>
          <w:szCs w:val="24"/>
        </w:rPr>
        <w:t>进行天然气的开发利用，</w:t>
      </w:r>
      <w:proofErr w:type="gramStart"/>
      <w:r>
        <w:rPr>
          <w:rFonts w:hint="eastAsia"/>
          <w:sz w:val="24"/>
          <w:szCs w:val="24"/>
        </w:rPr>
        <w:t>通南巴区块</w:t>
      </w:r>
      <w:proofErr w:type="gramEnd"/>
      <w:r>
        <w:rPr>
          <w:rFonts w:hint="eastAsia"/>
          <w:sz w:val="24"/>
          <w:szCs w:val="24"/>
        </w:rPr>
        <w:t>位于四川盆地北部，原隶属于中国石油化工股份有限公司西南油气分公司，行政划分隶属于四川省通江、南江、巴中三县市，持证勘查面积为</w:t>
      </w:r>
      <w:r>
        <w:rPr>
          <w:rFonts w:hint="eastAsia"/>
          <w:sz w:val="24"/>
          <w:szCs w:val="24"/>
        </w:rPr>
        <w:t>2787.7</w:t>
      </w:r>
      <w:r>
        <w:rPr>
          <w:rFonts w:hint="eastAsia"/>
          <w:sz w:val="24"/>
          <w:szCs w:val="24"/>
        </w:rPr>
        <w:t>平方千米。于</w:t>
      </w:r>
      <w:r>
        <w:rPr>
          <w:rFonts w:hint="eastAsia"/>
          <w:sz w:val="24"/>
          <w:szCs w:val="24"/>
        </w:rPr>
        <w:t>1958</w:t>
      </w:r>
      <w:r>
        <w:rPr>
          <w:rFonts w:hint="eastAsia"/>
          <w:sz w:val="24"/>
          <w:szCs w:val="24"/>
        </w:rPr>
        <w:t>年开始勘探，第一口试采井为马</w:t>
      </w:r>
      <w:r>
        <w:rPr>
          <w:rFonts w:hint="eastAsia"/>
          <w:sz w:val="24"/>
          <w:szCs w:val="24"/>
        </w:rPr>
        <w:t>101</w:t>
      </w:r>
      <w:r>
        <w:rPr>
          <w:rFonts w:hint="eastAsia"/>
          <w:sz w:val="24"/>
          <w:szCs w:val="24"/>
        </w:rPr>
        <w:t>井。</w:t>
      </w:r>
      <w:r>
        <w:rPr>
          <w:rFonts w:hint="eastAsia"/>
          <w:sz w:val="24"/>
          <w:szCs w:val="24"/>
        </w:rPr>
        <w:t>2018</w:t>
      </w:r>
      <w:r>
        <w:rPr>
          <w:rFonts w:hint="eastAsia"/>
          <w:sz w:val="24"/>
          <w:szCs w:val="24"/>
        </w:rPr>
        <w:t>年</w:t>
      </w:r>
      <w:r>
        <w:rPr>
          <w:rFonts w:hint="eastAsia"/>
          <w:sz w:val="24"/>
          <w:szCs w:val="24"/>
        </w:rPr>
        <w:t>9</w:t>
      </w:r>
      <w:r>
        <w:rPr>
          <w:rFonts w:hint="eastAsia"/>
          <w:sz w:val="24"/>
          <w:szCs w:val="24"/>
        </w:rPr>
        <w:t>月</w:t>
      </w:r>
      <w:proofErr w:type="gramStart"/>
      <w:r>
        <w:rPr>
          <w:rFonts w:hint="eastAsia"/>
          <w:sz w:val="24"/>
          <w:szCs w:val="24"/>
        </w:rPr>
        <w:t>通南巴区块</w:t>
      </w:r>
      <w:proofErr w:type="gramEnd"/>
      <w:r>
        <w:rPr>
          <w:rFonts w:hint="eastAsia"/>
          <w:sz w:val="24"/>
          <w:szCs w:val="24"/>
        </w:rPr>
        <w:t>中的北部流转到中原油田普光分公司，流转的探矿</w:t>
      </w:r>
      <w:proofErr w:type="gramStart"/>
      <w:r>
        <w:rPr>
          <w:rFonts w:hint="eastAsia"/>
          <w:sz w:val="24"/>
          <w:szCs w:val="24"/>
        </w:rPr>
        <w:t>权面积</w:t>
      </w:r>
      <w:proofErr w:type="gramEnd"/>
      <w:r>
        <w:rPr>
          <w:rFonts w:hint="eastAsia"/>
          <w:sz w:val="24"/>
          <w:szCs w:val="24"/>
        </w:rPr>
        <w:t>1054</w:t>
      </w:r>
      <w:r>
        <w:rPr>
          <w:rFonts w:hint="eastAsia"/>
          <w:sz w:val="24"/>
          <w:szCs w:val="24"/>
        </w:rPr>
        <w:t>平方千米（有效面积</w:t>
      </w:r>
      <w:r>
        <w:rPr>
          <w:rFonts w:hint="eastAsia"/>
          <w:sz w:val="24"/>
          <w:szCs w:val="24"/>
        </w:rPr>
        <w:t>898</w:t>
      </w:r>
      <w:r>
        <w:rPr>
          <w:rFonts w:hint="eastAsia"/>
          <w:sz w:val="24"/>
          <w:szCs w:val="24"/>
        </w:rPr>
        <w:t>平方千米），采矿</w:t>
      </w:r>
      <w:proofErr w:type="gramStart"/>
      <w:r>
        <w:rPr>
          <w:rFonts w:hint="eastAsia"/>
          <w:sz w:val="24"/>
          <w:szCs w:val="24"/>
        </w:rPr>
        <w:t>权面积</w:t>
      </w:r>
      <w:proofErr w:type="gramEnd"/>
      <w:r>
        <w:rPr>
          <w:rFonts w:hint="eastAsia"/>
          <w:sz w:val="24"/>
          <w:szCs w:val="24"/>
        </w:rPr>
        <w:t>131.3</w:t>
      </w:r>
      <w:r>
        <w:rPr>
          <w:rFonts w:hint="eastAsia"/>
          <w:sz w:val="24"/>
          <w:szCs w:val="24"/>
        </w:rPr>
        <w:t>平方千米（马路背区块，即马</w:t>
      </w:r>
      <w:r>
        <w:rPr>
          <w:rFonts w:hint="eastAsia"/>
          <w:sz w:val="24"/>
          <w:szCs w:val="24"/>
        </w:rPr>
        <w:t>1</w:t>
      </w:r>
      <w:r>
        <w:rPr>
          <w:rFonts w:hint="eastAsia"/>
          <w:sz w:val="24"/>
          <w:szCs w:val="24"/>
        </w:rPr>
        <w:t>和马</w:t>
      </w:r>
      <w:r>
        <w:rPr>
          <w:rFonts w:hint="eastAsia"/>
          <w:sz w:val="24"/>
          <w:szCs w:val="24"/>
        </w:rPr>
        <w:t>2</w:t>
      </w:r>
      <w:r>
        <w:rPr>
          <w:rFonts w:hint="eastAsia"/>
          <w:sz w:val="24"/>
          <w:szCs w:val="24"/>
        </w:rPr>
        <w:t>区块，有效面积</w:t>
      </w:r>
      <w:r>
        <w:rPr>
          <w:rFonts w:hint="eastAsia"/>
          <w:sz w:val="24"/>
          <w:szCs w:val="24"/>
        </w:rPr>
        <w:t>100</w:t>
      </w:r>
      <w:r>
        <w:rPr>
          <w:rFonts w:hint="eastAsia"/>
          <w:sz w:val="24"/>
          <w:szCs w:val="24"/>
        </w:rPr>
        <w:t>平方千米）。</w:t>
      </w:r>
    </w:p>
    <w:p w14:paraId="01A3D3B3" w14:textId="77777777" w:rsidR="007D1E74" w:rsidRDefault="00A95641">
      <w:pPr>
        <w:spacing w:line="360" w:lineRule="auto"/>
        <w:ind w:firstLineChars="200" w:firstLine="480"/>
        <w:rPr>
          <w:sz w:val="24"/>
        </w:rPr>
      </w:pPr>
      <w:r>
        <w:rPr>
          <w:rFonts w:hint="eastAsia"/>
          <w:sz w:val="24"/>
          <w:szCs w:val="24"/>
        </w:rPr>
        <w:t>随着</w:t>
      </w:r>
      <w:proofErr w:type="gramStart"/>
      <w:r>
        <w:rPr>
          <w:rFonts w:hint="eastAsia"/>
          <w:sz w:val="24"/>
          <w:szCs w:val="24"/>
        </w:rPr>
        <w:t>通南巴区块</w:t>
      </w:r>
      <w:proofErr w:type="gramEnd"/>
      <w:r>
        <w:rPr>
          <w:rFonts w:hint="eastAsia"/>
          <w:sz w:val="24"/>
          <w:szCs w:val="24"/>
        </w:rPr>
        <w:t>的大规模采气活动，需完善区块向外输送管道。本项目所涉及</w:t>
      </w:r>
      <w:proofErr w:type="gramStart"/>
      <w:r>
        <w:rPr>
          <w:rFonts w:hint="eastAsia"/>
          <w:sz w:val="24"/>
          <w:szCs w:val="24"/>
        </w:rPr>
        <w:t>的站井有</w:t>
      </w:r>
      <w:r>
        <w:rPr>
          <w:rFonts w:hint="eastAsia"/>
          <w:sz w:val="24"/>
        </w:rPr>
        <w:t>马</w:t>
      </w:r>
      <w:proofErr w:type="gramEnd"/>
      <w:r>
        <w:rPr>
          <w:rFonts w:hint="eastAsia"/>
          <w:sz w:val="24"/>
        </w:rPr>
        <w:t>1-1</w:t>
      </w:r>
      <w:r>
        <w:rPr>
          <w:rFonts w:hint="eastAsia"/>
          <w:sz w:val="24"/>
        </w:rPr>
        <w:t>采气井、马</w:t>
      </w:r>
      <w:r>
        <w:rPr>
          <w:rFonts w:hint="eastAsia"/>
          <w:sz w:val="24"/>
        </w:rPr>
        <w:t>1-10H</w:t>
      </w:r>
      <w:r>
        <w:rPr>
          <w:rFonts w:hint="eastAsia"/>
          <w:sz w:val="24"/>
        </w:rPr>
        <w:t>采气井、马</w:t>
      </w:r>
      <w:r>
        <w:rPr>
          <w:rFonts w:hint="eastAsia"/>
          <w:sz w:val="24"/>
        </w:rPr>
        <w:t>1-12H</w:t>
      </w:r>
      <w:r>
        <w:rPr>
          <w:rFonts w:hint="eastAsia"/>
          <w:sz w:val="24"/>
        </w:rPr>
        <w:t>采气井、马</w:t>
      </w:r>
      <w:r>
        <w:rPr>
          <w:rFonts w:hint="eastAsia"/>
          <w:sz w:val="24"/>
        </w:rPr>
        <w:t>1-13H</w:t>
      </w:r>
      <w:r>
        <w:rPr>
          <w:rFonts w:hint="eastAsia"/>
          <w:sz w:val="24"/>
        </w:rPr>
        <w:t>采气井、马</w:t>
      </w:r>
      <w:r>
        <w:rPr>
          <w:rFonts w:hint="eastAsia"/>
          <w:sz w:val="24"/>
        </w:rPr>
        <w:t>1-10H</w:t>
      </w:r>
      <w:r>
        <w:rPr>
          <w:rFonts w:hint="eastAsia"/>
          <w:sz w:val="24"/>
        </w:rPr>
        <w:t>脱水井、草池</w:t>
      </w:r>
      <w:proofErr w:type="gramStart"/>
      <w:r>
        <w:rPr>
          <w:rFonts w:hint="eastAsia"/>
          <w:sz w:val="24"/>
        </w:rPr>
        <w:t>增压站</w:t>
      </w:r>
      <w:proofErr w:type="gramEnd"/>
      <w:r>
        <w:rPr>
          <w:rFonts w:hint="eastAsia"/>
          <w:sz w:val="24"/>
        </w:rPr>
        <w:t>等站场，单井采出的流体经井下节流后</w:t>
      </w:r>
      <w:proofErr w:type="gramStart"/>
      <w:r>
        <w:rPr>
          <w:rFonts w:hint="eastAsia"/>
          <w:sz w:val="24"/>
        </w:rPr>
        <w:t>进入带液计量</w:t>
      </w:r>
      <w:proofErr w:type="gramEnd"/>
      <w:r>
        <w:rPr>
          <w:rFonts w:hint="eastAsia"/>
          <w:sz w:val="24"/>
        </w:rPr>
        <w:t>撬，经井口计量后直接进入集输支线串接后通过集输干线输送到马</w:t>
      </w:r>
      <w:r>
        <w:rPr>
          <w:rFonts w:hint="eastAsia"/>
          <w:sz w:val="24"/>
        </w:rPr>
        <w:t>1-11</w:t>
      </w:r>
      <w:r>
        <w:rPr>
          <w:rFonts w:hint="eastAsia"/>
          <w:sz w:val="24"/>
        </w:rPr>
        <w:t>脱水井场进行处理，处理后的天然气进入外输管网，外输至草池增压站，进入河坝支线输至平昌分输站，进入川西联络线。</w:t>
      </w:r>
      <w:r>
        <w:rPr>
          <w:rFonts w:hint="eastAsia"/>
          <w:sz w:val="24"/>
          <w:szCs w:val="24"/>
        </w:rPr>
        <w:t>工程实施后，对规划气井进行地面配套，将采出天然气进行集输处理，提高天然气产量，有利于提高中原油田分公司通</w:t>
      </w:r>
      <w:proofErr w:type="gramStart"/>
      <w:r>
        <w:rPr>
          <w:rFonts w:hint="eastAsia"/>
          <w:sz w:val="24"/>
          <w:szCs w:val="24"/>
        </w:rPr>
        <w:t>南巴气田</w:t>
      </w:r>
      <w:proofErr w:type="gramEnd"/>
      <w:r>
        <w:rPr>
          <w:rFonts w:hint="eastAsia"/>
          <w:sz w:val="24"/>
          <w:szCs w:val="24"/>
        </w:rPr>
        <w:t>的总体效益。</w:t>
      </w:r>
    </w:p>
    <w:p w14:paraId="04FD2EDB" w14:textId="77777777" w:rsidR="007D1E74" w:rsidRDefault="00A95641">
      <w:pPr>
        <w:spacing w:line="360" w:lineRule="auto"/>
        <w:ind w:firstLineChars="200" w:firstLine="480"/>
        <w:contextualSpacing/>
        <w:rPr>
          <w:sz w:val="24"/>
          <w:szCs w:val="24"/>
        </w:rPr>
      </w:pPr>
      <w:r>
        <w:rPr>
          <w:rFonts w:ascii="宋体" w:hAnsi="宋体" w:hint="eastAsia"/>
          <w:kern w:val="0"/>
          <w:sz w:val="24"/>
        </w:rPr>
        <w:t>为满足</w:t>
      </w:r>
      <w:r>
        <w:rPr>
          <w:rFonts w:ascii="宋体" w:hAnsi="宋体"/>
          <w:kern w:val="0"/>
          <w:sz w:val="24"/>
        </w:rPr>
        <w:t>区块内天然气集输、处理和外输要求，</w:t>
      </w:r>
      <w:r>
        <w:rPr>
          <w:rFonts w:ascii="宋体" w:hAnsi="宋体" w:hint="eastAsia"/>
          <w:kern w:val="0"/>
          <w:sz w:val="24"/>
        </w:rPr>
        <w:t>本项目</w:t>
      </w:r>
      <w:r>
        <w:rPr>
          <w:rFonts w:hint="eastAsia"/>
          <w:sz w:val="24"/>
        </w:rPr>
        <w:t>新建集气干线</w:t>
      </w:r>
      <w:r>
        <w:rPr>
          <w:rFonts w:hint="eastAsia"/>
          <w:sz w:val="24"/>
        </w:rPr>
        <w:t>2</w:t>
      </w:r>
      <w:r>
        <w:rPr>
          <w:sz w:val="24"/>
        </w:rPr>
        <w:t>9.8km</w:t>
      </w:r>
      <w:r>
        <w:rPr>
          <w:rFonts w:hint="eastAsia"/>
          <w:sz w:val="24"/>
        </w:rPr>
        <w:t>，集气支线</w:t>
      </w:r>
      <w:r>
        <w:rPr>
          <w:rFonts w:hint="eastAsia"/>
          <w:sz w:val="24"/>
        </w:rPr>
        <w:t>8</w:t>
      </w:r>
      <w:r>
        <w:rPr>
          <w:sz w:val="24"/>
        </w:rPr>
        <w:t>.0km</w:t>
      </w:r>
      <w:r>
        <w:rPr>
          <w:rFonts w:hint="eastAsia"/>
          <w:sz w:val="24"/>
        </w:rPr>
        <w:t>。其中新建</w:t>
      </w:r>
      <w:r>
        <w:rPr>
          <w:rFonts w:hint="eastAsia"/>
          <w:sz w:val="24"/>
        </w:rPr>
        <w:t>DN300</w:t>
      </w:r>
      <w:r>
        <w:rPr>
          <w:rFonts w:hint="eastAsia"/>
          <w:sz w:val="24"/>
        </w:rPr>
        <w:t>集气干线</w:t>
      </w:r>
      <w:r>
        <w:rPr>
          <w:sz w:val="24"/>
        </w:rPr>
        <w:t>15.5</w:t>
      </w:r>
      <w:r>
        <w:rPr>
          <w:rFonts w:hint="eastAsia"/>
          <w:sz w:val="24"/>
        </w:rPr>
        <w:t>km</w:t>
      </w:r>
      <w:r>
        <w:rPr>
          <w:rFonts w:hint="eastAsia"/>
          <w:sz w:val="24"/>
        </w:rPr>
        <w:t>，</w:t>
      </w:r>
      <w:r>
        <w:rPr>
          <w:rFonts w:hint="eastAsia"/>
          <w:sz w:val="24"/>
        </w:rPr>
        <w:t>DN350</w:t>
      </w:r>
      <w:r>
        <w:rPr>
          <w:rFonts w:hint="eastAsia"/>
          <w:sz w:val="24"/>
        </w:rPr>
        <w:t>集气干线</w:t>
      </w:r>
      <w:r>
        <w:rPr>
          <w:sz w:val="24"/>
        </w:rPr>
        <w:t>14.3</w:t>
      </w:r>
      <w:r>
        <w:rPr>
          <w:rFonts w:hint="eastAsia"/>
          <w:sz w:val="24"/>
        </w:rPr>
        <w:t>km</w:t>
      </w:r>
      <w:r>
        <w:rPr>
          <w:rFonts w:hint="eastAsia"/>
          <w:sz w:val="24"/>
        </w:rPr>
        <w:t>；新建</w:t>
      </w:r>
      <w:r>
        <w:rPr>
          <w:rFonts w:hint="eastAsia"/>
          <w:sz w:val="24"/>
        </w:rPr>
        <w:t>DN1</w:t>
      </w:r>
      <w:r>
        <w:rPr>
          <w:sz w:val="24"/>
        </w:rPr>
        <w:t>00</w:t>
      </w:r>
      <w:r>
        <w:rPr>
          <w:rFonts w:hint="eastAsia"/>
          <w:sz w:val="24"/>
        </w:rPr>
        <w:t>集气支线</w:t>
      </w:r>
      <w:r>
        <w:rPr>
          <w:sz w:val="24"/>
        </w:rPr>
        <w:t>6.4</w:t>
      </w:r>
      <w:r>
        <w:rPr>
          <w:rFonts w:hint="eastAsia"/>
          <w:sz w:val="24"/>
        </w:rPr>
        <w:t>km</w:t>
      </w:r>
      <w:r>
        <w:rPr>
          <w:rFonts w:hint="eastAsia"/>
          <w:sz w:val="24"/>
        </w:rPr>
        <w:t>，</w:t>
      </w:r>
      <w:r>
        <w:rPr>
          <w:rFonts w:hint="eastAsia"/>
          <w:sz w:val="24"/>
        </w:rPr>
        <w:t>DN300</w:t>
      </w:r>
      <w:r>
        <w:rPr>
          <w:rFonts w:hint="eastAsia"/>
          <w:sz w:val="24"/>
        </w:rPr>
        <w:t>集气支线</w:t>
      </w:r>
      <w:r>
        <w:rPr>
          <w:sz w:val="24"/>
        </w:rPr>
        <w:t>1.6</w:t>
      </w:r>
      <w:r>
        <w:rPr>
          <w:rFonts w:hint="eastAsia"/>
          <w:sz w:val="24"/>
        </w:rPr>
        <w:t>km</w:t>
      </w:r>
      <w:r>
        <w:rPr>
          <w:rFonts w:hint="eastAsia"/>
          <w:sz w:val="24"/>
        </w:rPr>
        <w:t>。配套扩建</w:t>
      </w:r>
      <w:r>
        <w:rPr>
          <w:rFonts w:hint="eastAsia"/>
          <w:sz w:val="24"/>
        </w:rPr>
        <w:t>1</w:t>
      </w:r>
      <w:proofErr w:type="gramStart"/>
      <w:r>
        <w:rPr>
          <w:sz w:val="24"/>
        </w:rPr>
        <w:t>#</w:t>
      </w:r>
      <w:r>
        <w:rPr>
          <w:rFonts w:hint="eastAsia"/>
          <w:sz w:val="24"/>
        </w:rPr>
        <w:t>阀室</w:t>
      </w:r>
      <w:proofErr w:type="gramEnd"/>
      <w:r>
        <w:rPr>
          <w:rFonts w:hint="eastAsia"/>
          <w:sz w:val="24"/>
        </w:rPr>
        <w:t>1</w:t>
      </w:r>
      <w:r>
        <w:rPr>
          <w:rFonts w:hint="eastAsia"/>
          <w:sz w:val="24"/>
        </w:rPr>
        <w:t>座，新建</w:t>
      </w:r>
      <w:r>
        <w:rPr>
          <w:rFonts w:hint="eastAsia"/>
          <w:sz w:val="24"/>
        </w:rPr>
        <w:t>3</w:t>
      </w:r>
      <w:proofErr w:type="gramStart"/>
      <w:r>
        <w:rPr>
          <w:rFonts w:hint="eastAsia"/>
          <w:sz w:val="24"/>
        </w:rPr>
        <w:t>座</w:t>
      </w:r>
      <w:r>
        <w:rPr>
          <w:sz w:val="24"/>
        </w:rPr>
        <w:t>地</w:t>
      </w:r>
      <w:proofErr w:type="gramEnd"/>
      <w:r>
        <w:rPr>
          <w:sz w:val="24"/>
        </w:rPr>
        <w:t>上</w:t>
      </w:r>
      <w:proofErr w:type="gramStart"/>
      <w:r>
        <w:rPr>
          <w:sz w:val="24"/>
        </w:rPr>
        <w:t>式</w:t>
      </w:r>
      <w:r>
        <w:rPr>
          <w:rFonts w:hint="eastAsia"/>
          <w:sz w:val="24"/>
        </w:rPr>
        <w:t>阀组</w:t>
      </w:r>
      <w:proofErr w:type="gramEnd"/>
      <w:r>
        <w:rPr>
          <w:rFonts w:hint="eastAsia"/>
          <w:sz w:val="24"/>
        </w:rPr>
        <w:t>，对草池</w:t>
      </w:r>
      <w:proofErr w:type="gramStart"/>
      <w:r>
        <w:rPr>
          <w:rFonts w:hint="eastAsia"/>
          <w:sz w:val="24"/>
        </w:rPr>
        <w:t>增压站</w:t>
      </w:r>
      <w:proofErr w:type="gramEnd"/>
      <w:r>
        <w:rPr>
          <w:rFonts w:hint="eastAsia"/>
          <w:sz w:val="24"/>
        </w:rPr>
        <w:t>改造，新建</w:t>
      </w:r>
      <w:r>
        <w:rPr>
          <w:rFonts w:hint="eastAsia"/>
          <w:sz w:val="24"/>
        </w:rPr>
        <w:t>1</w:t>
      </w:r>
      <w:r>
        <w:rPr>
          <w:rFonts w:hint="eastAsia"/>
          <w:sz w:val="24"/>
        </w:rPr>
        <w:t>座具有收发</w:t>
      </w:r>
      <w:proofErr w:type="gramStart"/>
      <w:r>
        <w:rPr>
          <w:rFonts w:hint="eastAsia"/>
          <w:sz w:val="24"/>
        </w:rPr>
        <w:t>球功能</w:t>
      </w:r>
      <w:proofErr w:type="gramEnd"/>
      <w:r>
        <w:rPr>
          <w:rFonts w:hint="eastAsia"/>
          <w:sz w:val="24"/>
        </w:rPr>
        <w:t>的阀组。</w:t>
      </w:r>
      <w:r>
        <w:rPr>
          <w:rFonts w:hint="eastAsia"/>
          <w:sz w:val="24"/>
          <w:szCs w:val="24"/>
        </w:rPr>
        <w:t>具体的路线走向见图</w:t>
      </w:r>
      <w:r>
        <w:rPr>
          <w:rFonts w:hint="eastAsia"/>
          <w:sz w:val="24"/>
          <w:szCs w:val="24"/>
        </w:rPr>
        <w:t>1.1-1</w:t>
      </w:r>
      <w:r>
        <w:rPr>
          <w:rFonts w:hint="eastAsia"/>
          <w:sz w:val="24"/>
          <w:szCs w:val="24"/>
        </w:rPr>
        <w:t>。</w:t>
      </w:r>
    </w:p>
    <w:p w14:paraId="7FFB3D34" w14:textId="77777777" w:rsidR="007D1E74" w:rsidRDefault="00A95641">
      <w:pPr>
        <w:spacing w:line="360" w:lineRule="auto"/>
        <w:jc w:val="center"/>
        <w:rPr>
          <w:sz w:val="24"/>
          <w:szCs w:val="24"/>
        </w:rPr>
      </w:pPr>
      <w:r>
        <w:rPr>
          <w:noProof/>
        </w:rPr>
        <w:lastRenderedPageBreak/>
        <w:drawing>
          <wp:inline distT="0" distB="0" distL="0" distR="0" wp14:anchorId="29E73657" wp14:editId="261C6739">
            <wp:extent cx="4018915" cy="6142355"/>
            <wp:effectExtent l="0" t="0" r="4445" b="1460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9"/>
                    <a:stretch>
                      <a:fillRect/>
                    </a:stretch>
                  </pic:blipFill>
                  <pic:spPr>
                    <a:xfrm>
                      <a:off x="0" y="0"/>
                      <a:ext cx="4019048" cy="6142858"/>
                    </a:xfrm>
                    <a:prstGeom prst="rect">
                      <a:avLst/>
                    </a:prstGeom>
                  </pic:spPr>
                </pic:pic>
              </a:graphicData>
            </a:graphic>
          </wp:inline>
        </w:drawing>
      </w:r>
    </w:p>
    <w:p w14:paraId="646801B0" w14:textId="77777777" w:rsidR="007D1E74" w:rsidRDefault="00A95641">
      <w:pPr>
        <w:spacing w:line="360" w:lineRule="auto"/>
        <w:jc w:val="center"/>
        <w:rPr>
          <w:rFonts w:eastAsia="黑体" w:cs="Times New Roman"/>
          <w:szCs w:val="21"/>
        </w:rPr>
      </w:pPr>
      <w:r>
        <w:rPr>
          <w:rFonts w:eastAsia="黑体" w:cs="Times New Roman"/>
          <w:szCs w:val="21"/>
        </w:rPr>
        <w:t>图</w:t>
      </w:r>
      <w:r>
        <w:rPr>
          <w:rFonts w:eastAsia="黑体" w:cs="Times New Roman"/>
          <w:szCs w:val="21"/>
        </w:rPr>
        <w:t xml:space="preserve">1.1-1  </w:t>
      </w:r>
      <w:r>
        <w:rPr>
          <w:rFonts w:eastAsia="黑体" w:cs="Times New Roman" w:hint="eastAsia"/>
          <w:szCs w:val="21"/>
        </w:rPr>
        <w:t>天然气集输路线走向示意图</w:t>
      </w:r>
    </w:p>
    <w:p w14:paraId="05159907" w14:textId="77777777" w:rsidR="007D1E74" w:rsidRDefault="00A95641">
      <w:pPr>
        <w:spacing w:line="360" w:lineRule="auto"/>
        <w:ind w:firstLineChars="200" w:firstLine="480"/>
        <w:rPr>
          <w:sz w:val="24"/>
          <w:szCs w:val="24"/>
        </w:rPr>
      </w:pPr>
      <w:r>
        <w:rPr>
          <w:rFonts w:hint="eastAsia"/>
          <w:sz w:val="24"/>
          <w:szCs w:val="24"/>
        </w:rPr>
        <w:t>根据《中华人民共和国环境保护法》、《中华人民共和国环境影响评价法》及国务院令第</w:t>
      </w:r>
      <w:r>
        <w:rPr>
          <w:rFonts w:hint="eastAsia"/>
          <w:sz w:val="24"/>
          <w:szCs w:val="24"/>
        </w:rPr>
        <w:t>682</w:t>
      </w:r>
      <w:r>
        <w:rPr>
          <w:rFonts w:hint="eastAsia"/>
          <w:sz w:val="24"/>
          <w:szCs w:val="24"/>
        </w:rPr>
        <w:t>号《国务院关于修改〈建设项目环境保护管理条例〉的决定》的有关规定，建设单位在工程开工前应当开展环境影响评价工作，编制环境影响评价文件。本项目为天然气管线项目，根据《国民经济行业分类》（</w:t>
      </w:r>
      <w:r>
        <w:rPr>
          <w:rFonts w:hint="eastAsia"/>
          <w:sz w:val="24"/>
          <w:szCs w:val="24"/>
        </w:rPr>
        <w:t>GB/T4754-2017</w:t>
      </w:r>
      <w:r>
        <w:rPr>
          <w:rFonts w:hint="eastAsia"/>
          <w:sz w:val="24"/>
          <w:szCs w:val="24"/>
        </w:rPr>
        <w:t>），本项目属于“</w:t>
      </w:r>
      <w:r>
        <w:rPr>
          <w:rFonts w:hint="eastAsia"/>
          <w:sz w:val="24"/>
          <w:szCs w:val="24"/>
        </w:rPr>
        <w:t>57</w:t>
      </w:r>
      <w:r>
        <w:rPr>
          <w:rFonts w:hint="eastAsia"/>
          <w:sz w:val="24"/>
          <w:szCs w:val="24"/>
        </w:rPr>
        <w:t>管道运输业中</w:t>
      </w:r>
      <w:r>
        <w:rPr>
          <w:rFonts w:hint="eastAsia"/>
          <w:sz w:val="24"/>
          <w:szCs w:val="24"/>
        </w:rPr>
        <w:t>5720</w:t>
      </w:r>
      <w:r>
        <w:rPr>
          <w:rFonts w:hint="eastAsia"/>
          <w:sz w:val="24"/>
          <w:szCs w:val="24"/>
        </w:rPr>
        <w:t>天然气管道运输服务”。依据《建设项目环境影响评价分类管理目录（</w:t>
      </w:r>
      <w:r>
        <w:rPr>
          <w:rFonts w:hint="eastAsia"/>
          <w:sz w:val="24"/>
          <w:szCs w:val="24"/>
        </w:rPr>
        <w:t>2021</w:t>
      </w:r>
      <w:r>
        <w:rPr>
          <w:rFonts w:hint="eastAsia"/>
          <w:sz w:val="24"/>
          <w:szCs w:val="24"/>
        </w:rPr>
        <w:t>年版）》（生态环境部令第</w:t>
      </w:r>
      <w:r>
        <w:rPr>
          <w:rFonts w:hint="eastAsia"/>
          <w:sz w:val="24"/>
          <w:szCs w:val="24"/>
        </w:rPr>
        <w:t>16</w:t>
      </w:r>
      <w:r>
        <w:rPr>
          <w:rFonts w:hint="eastAsia"/>
          <w:sz w:val="24"/>
          <w:szCs w:val="24"/>
        </w:rPr>
        <w:t>号），巴中市通江县为嘉陵江上游国家级水土流失重点预防区，因此，项目属于“五十二、交通运输业、管道运输业</w:t>
      </w:r>
      <w:r>
        <w:rPr>
          <w:rFonts w:hint="eastAsia"/>
          <w:sz w:val="24"/>
          <w:szCs w:val="24"/>
        </w:rPr>
        <w:t>/147.</w:t>
      </w:r>
      <w:r>
        <w:rPr>
          <w:rFonts w:hint="eastAsia"/>
          <w:sz w:val="24"/>
          <w:szCs w:val="24"/>
        </w:rPr>
        <w:t>原油、成品油、天然气管</w:t>
      </w:r>
      <w:r>
        <w:rPr>
          <w:rFonts w:hint="eastAsia"/>
          <w:sz w:val="24"/>
          <w:szCs w:val="24"/>
        </w:rPr>
        <w:lastRenderedPageBreak/>
        <w:t>线（不含城市天然气管线；不含城镇燃气管线；不含企业厂区内管道）</w:t>
      </w:r>
      <w:r>
        <w:rPr>
          <w:rFonts w:hint="eastAsia"/>
          <w:sz w:val="24"/>
          <w:szCs w:val="24"/>
        </w:rPr>
        <w:t>/</w:t>
      </w:r>
      <w:r>
        <w:rPr>
          <w:rFonts w:hint="eastAsia"/>
          <w:sz w:val="24"/>
          <w:szCs w:val="24"/>
        </w:rPr>
        <w:t>涉及环境敏感区”，本项目环境影响评价文件为环境影响报告书。为此，中国石油化工股份有限公司中原油田普光分公司委托</w:t>
      </w:r>
      <w:proofErr w:type="gramStart"/>
      <w:r>
        <w:rPr>
          <w:rFonts w:hint="eastAsia"/>
          <w:sz w:val="24"/>
          <w:szCs w:val="24"/>
        </w:rPr>
        <w:t>四川省国环环境工程</w:t>
      </w:r>
      <w:proofErr w:type="gramEnd"/>
      <w:r>
        <w:rPr>
          <w:rFonts w:hint="eastAsia"/>
          <w:sz w:val="24"/>
          <w:szCs w:val="24"/>
        </w:rPr>
        <w:t>咨询有限公司开展本项目的环境影响评价工作，我公司接受委托后，即派技术人员对该项目进行现场踏勘和资料收集，并按照有关技术规范和四川省生态环境厅的有关规定，编制该项目环境影响报告书，供生态环境主管部门审查。</w:t>
      </w:r>
    </w:p>
    <w:p w14:paraId="289C5E16" w14:textId="77777777" w:rsidR="007D1E74" w:rsidRDefault="00A95641">
      <w:pPr>
        <w:pStyle w:val="a8"/>
      </w:pPr>
      <w:r>
        <w:rPr>
          <w:rFonts w:hint="eastAsia"/>
        </w:rPr>
        <w:t>建设项目特点</w:t>
      </w:r>
    </w:p>
    <w:p w14:paraId="11D242D8"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w:t>
      </w:r>
      <w:r>
        <w:rPr>
          <w:rFonts w:hint="eastAsia"/>
          <w:sz w:val="24"/>
          <w:szCs w:val="24"/>
        </w:rPr>
        <w:t>）本工程利用陆地管线对天然气进行站内集输，项目建成后，拟对</w:t>
      </w:r>
      <w:r>
        <w:rPr>
          <w:rFonts w:hint="eastAsia"/>
          <w:sz w:val="24"/>
        </w:rPr>
        <w:t>马</w:t>
      </w:r>
      <w:r>
        <w:rPr>
          <w:rFonts w:hint="eastAsia"/>
          <w:sz w:val="24"/>
        </w:rPr>
        <w:t>1-1</w:t>
      </w:r>
      <w:r>
        <w:rPr>
          <w:rFonts w:hint="eastAsia"/>
          <w:sz w:val="24"/>
        </w:rPr>
        <w:t>采气井、马</w:t>
      </w:r>
      <w:r>
        <w:rPr>
          <w:rFonts w:hint="eastAsia"/>
          <w:sz w:val="24"/>
        </w:rPr>
        <w:t>1-10H</w:t>
      </w:r>
      <w:r>
        <w:rPr>
          <w:rFonts w:hint="eastAsia"/>
          <w:sz w:val="24"/>
        </w:rPr>
        <w:t>井、马</w:t>
      </w:r>
      <w:r>
        <w:rPr>
          <w:rFonts w:hint="eastAsia"/>
          <w:sz w:val="24"/>
        </w:rPr>
        <w:t>1-12H</w:t>
      </w:r>
      <w:r>
        <w:rPr>
          <w:rFonts w:hint="eastAsia"/>
          <w:sz w:val="24"/>
        </w:rPr>
        <w:t>井、马</w:t>
      </w:r>
      <w:r>
        <w:rPr>
          <w:rFonts w:hint="eastAsia"/>
          <w:sz w:val="24"/>
        </w:rPr>
        <w:t>1-13H</w:t>
      </w:r>
      <w:r>
        <w:rPr>
          <w:rFonts w:hint="eastAsia"/>
          <w:sz w:val="24"/>
        </w:rPr>
        <w:t>井</w:t>
      </w:r>
      <w:r>
        <w:rPr>
          <w:rFonts w:hint="eastAsia"/>
          <w:sz w:val="24"/>
          <w:szCs w:val="24"/>
        </w:rPr>
        <w:t>所产天然气进行集输，项目包含</w:t>
      </w:r>
      <w:proofErr w:type="gramStart"/>
      <w:r>
        <w:rPr>
          <w:rFonts w:hint="eastAsia"/>
          <w:sz w:val="24"/>
          <w:szCs w:val="24"/>
        </w:rPr>
        <w:t>内部集</w:t>
      </w:r>
      <w:proofErr w:type="gramEnd"/>
      <w:r>
        <w:rPr>
          <w:rFonts w:hint="eastAsia"/>
          <w:sz w:val="24"/>
          <w:szCs w:val="24"/>
        </w:rPr>
        <w:t>输管线工程，阀室（组）的建设，</w:t>
      </w:r>
      <w:proofErr w:type="gramStart"/>
      <w:r>
        <w:rPr>
          <w:rFonts w:hint="eastAsia"/>
          <w:sz w:val="24"/>
          <w:szCs w:val="24"/>
        </w:rPr>
        <w:t>增压站</w:t>
      </w:r>
      <w:proofErr w:type="gramEnd"/>
      <w:r>
        <w:rPr>
          <w:rFonts w:hint="eastAsia"/>
          <w:sz w:val="24"/>
          <w:szCs w:val="24"/>
        </w:rPr>
        <w:t>的改建。</w:t>
      </w:r>
    </w:p>
    <w:p w14:paraId="4A5B0B92"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2</w:t>
      </w:r>
      <w:r>
        <w:rPr>
          <w:rFonts w:hint="eastAsia"/>
          <w:sz w:val="24"/>
          <w:szCs w:val="24"/>
        </w:rPr>
        <w:t>）本工程有利于中石化的气源调配。集输管线采用的工艺为</w:t>
      </w:r>
      <w:r>
        <w:rPr>
          <w:rFonts w:hint="eastAsia"/>
          <w:sz w:val="24"/>
        </w:rPr>
        <w:t>单井采出的流体经井下节流后</w:t>
      </w:r>
      <w:proofErr w:type="gramStart"/>
      <w:r>
        <w:rPr>
          <w:rFonts w:hint="eastAsia"/>
          <w:sz w:val="24"/>
        </w:rPr>
        <w:t>进入带液计量</w:t>
      </w:r>
      <w:proofErr w:type="gramEnd"/>
      <w:r>
        <w:rPr>
          <w:rFonts w:hint="eastAsia"/>
          <w:sz w:val="24"/>
        </w:rPr>
        <w:t>撬，经井口计量后直接进入集输支线串接后通过集输干线输送到马</w:t>
      </w:r>
      <w:r>
        <w:rPr>
          <w:rFonts w:hint="eastAsia"/>
          <w:sz w:val="24"/>
        </w:rPr>
        <w:t>1-11</w:t>
      </w:r>
      <w:r>
        <w:rPr>
          <w:rFonts w:hint="eastAsia"/>
          <w:sz w:val="24"/>
        </w:rPr>
        <w:t>脱水井场进行处理，处理后的天然气进入外输管网，外输至草池增压站，进入河坝支线输至平昌分输站，进入川西联络线。</w:t>
      </w:r>
      <w:r>
        <w:rPr>
          <w:rFonts w:hint="eastAsia"/>
          <w:sz w:val="24"/>
          <w:szCs w:val="24"/>
        </w:rPr>
        <w:t>方案比较成熟可靠，设备材料供应基本有保障，工程协调及施工组织各方均有大量的经验积累，工程的社会效益明显，在技术上是可行的，在经济上也是合理的。</w:t>
      </w:r>
    </w:p>
    <w:p w14:paraId="21D7B53C" w14:textId="77777777" w:rsidR="007D1E74" w:rsidRDefault="00A95641">
      <w:pPr>
        <w:pStyle w:val="a8"/>
      </w:pPr>
      <w:r>
        <w:rPr>
          <w:rFonts w:hint="eastAsia"/>
        </w:rPr>
        <w:t>评价工作过程</w:t>
      </w:r>
    </w:p>
    <w:p w14:paraId="6B50866D" w14:textId="77777777" w:rsidR="007D1E74" w:rsidRDefault="00A95641">
      <w:pPr>
        <w:pStyle w:val="a9"/>
      </w:pPr>
      <w:r>
        <w:rPr>
          <w:rFonts w:hint="eastAsia"/>
        </w:rPr>
        <w:t>评价开展过程</w:t>
      </w:r>
    </w:p>
    <w:p w14:paraId="0B41F651" w14:textId="77777777" w:rsidR="007D1E74" w:rsidRDefault="00A95641">
      <w:pPr>
        <w:snapToGrid w:val="0"/>
        <w:spacing w:line="360" w:lineRule="auto"/>
        <w:ind w:firstLineChars="200" w:firstLine="480"/>
        <w:rPr>
          <w:rFonts w:cstheme="minorHAnsi"/>
          <w:sz w:val="24"/>
        </w:rPr>
      </w:pPr>
      <w:r>
        <w:rPr>
          <w:rFonts w:hint="eastAsia"/>
          <w:sz w:val="24"/>
          <w:szCs w:val="24"/>
        </w:rPr>
        <w:t>中国石油化工股份有限公司中原油田普光分公司</w:t>
      </w:r>
      <w:r>
        <w:rPr>
          <w:rFonts w:cstheme="minorHAnsi"/>
          <w:sz w:val="24"/>
        </w:rPr>
        <w:t>委托</w:t>
      </w:r>
      <w:proofErr w:type="gramStart"/>
      <w:r>
        <w:rPr>
          <w:rFonts w:cstheme="minorHAnsi"/>
          <w:sz w:val="24"/>
        </w:rPr>
        <w:t>四川省国环环境工程</w:t>
      </w:r>
      <w:proofErr w:type="gramEnd"/>
      <w:r>
        <w:rPr>
          <w:rFonts w:cstheme="minorHAnsi"/>
          <w:sz w:val="24"/>
        </w:rPr>
        <w:t>咨询有限公司承担</w:t>
      </w:r>
      <w:r>
        <w:rPr>
          <w:rFonts w:cstheme="minorHAnsi" w:hint="eastAsia"/>
          <w:sz w:val="24"/>
          <w:szCs w:val="24"/>
        </w:rPr>
        <w:t>通</w:t>
      </w:r>
      <w:proofErr w:type="gramStart"/>
      <w:r>
        <w:rPr>
          <w:rFonts w:cstheme="minorHAnsi" w:hint="eastAsia"/>
          <w:sz w:val="24"/>
          <w:szCs w:val="24"/>
        </w:rPr>
        <w:t>南巴气田马</w:t>
      </w:r>
      <w:proofErr w:type="gramEnd"/>
      <w:r>
        <w:rPr>
          <w:rFonts w:cstheme="minorHAnsi" w:hint="eastAsia"/>
          <w:sz w:val="24"/>
          <w:szCs w:val="24"/>
        </w:rPr>
        <w:t>1</w:t>
      </w:r>
      <w:r>
        <w:rPr>
          <w:rFonts w:cstheme="minorHAnsi" w:hint="eastAsia"/>
          <w:sz w:val="24"/>
          <w:szCs w:val="24"/>
        </w:rPr>
        <w:t>、马</w:t>
      </w:r>
      <w:r>
        <w:rPr>
          <w:rFonts w:cstheme="minorHAnsi" w:hint="eastAsia"/>
          <w:sz w:val="24"/>
          <w:szCs w:val="24"/>
        </w:rPr>
        <w:t>2</w:t>
      </w:r>
      <w:r>
        <w:rPr>
          <w:rFonts w:cstheme="minorHAnsi" w:hint="eastAsia"/>
          <w:sz w:val="24"/>
          <w:szCs w:val="24"/>
        </w:rPr>
        <w:t>块产能建设项目（二期）地面集输工程</w:t>
      </w:r>
      <w:r>
        <w:rPr>
          <w:rFonts w:cstheme="minorHAnsi"/>
          <w:sz w:val="24"/>
          <w:szCs w:val="24"/>
        </w:rPr>
        <w:t>项目</w:t>
      </w:r>
      <w:r>
        <w:rPr>
          <w:rFonts w:cstheme="minorHAnsi"/>
          <w:sz w:val="24"/>
        </w:rPr>
        <w:t>环境影响评价工作后，我公司立即组建了项目组，并派遣项目负责人及主要技术人员进行了实地踏勘和资料收集。</w:t>
      </w:r>
    </w:p>
    <w:p w14:paraId="7C93387F" w14:textId="77777777" w:rsidR="007D1E74" w:rsidRDefault="00A95641">
      <w:pPr>
        <w:snapToGrid w:val="0"/>
        <w:spacing w:line="360" w:lineRule="auto"/>
        <w:ind w:firstLineChars="200" w:firstLine="480"/>
        <w:rPr>
          <w:rFonts w:cstheme="minorHAnsi"/>
          <w:sz w:val="24"/>
        </w:rPr>
      </w:pPr>
      <w:r>
        <w:rPr>
          <w:rFonts w:cstheme="minorHAnsi"/>
          <w:sz w:val="24"/>
        </w:rPr>
        <w:t>项目组经过初步分析判断了建设项目选址、规模、性质和生产工艺等与国家和地方有关环境保护法律法规、标准、规范、相关规划的符合性，开展了初步的工程分析，进行了环境影响识别和评价因子筛选，明确了评价重点、评价工作等级及范围，制定了评价工作方案。然后按照《建设项目环境影响评价技术导则</w:t>
      </w:r>
      <w:r>
        <w:rPr>
          <w:rFonts w:cstheme="minorHAnsi"/>
          <w:sz w:val="24"/>
        </w:rPr>
        <w:t xml:space="preserve"> </w:t>
      </w:r>
      <w:r>
        <w:rPr>
          <w:rFonts w:cstheme="minorHAnsi"/>
          <w:sz w:val="24"/>
        </w:rPr>
        <w:t>总纲》（</w:t>
      </w:r>
      <w:r>
        <w:rPr>
          <w:rFonts w:cstheme="minorHAnsi"/>
          <w:sz w:val="24"/>
        </w:rPr>
        <w:t>HJ2.1-2016</w:t>
      </w:r>
      <w:r>
        <w:rPr>
          <w:rFonts w:cstheme="minorHAnsi"/>
          <w:sz w:val="24"/>
        </w:rPr>
        <w:t>）中有关要求，开展了本次评价工作。</w:t>
      </w:r>
    </w:p>
    <w:p w14:paraId="36EB4D62" w14:textId="77777777" w:rsidR="007D1E74" w:rsidRDefault="00A95641">
      <w:pPr>
        <w:pStyle w:val="a9"/>
        <w:numPr>
          <w:ilvl w:val="0"/>
          <w:numId w:val="0"/>
        </w:numPr>
      </w:pPr>
      <w:r>
        <w:rPr>
          <w:rFonts w:hint="eastAsia"/>
        </w:rPr>
        <w:t>1.3.2</w:t>
      </w:r>
      <w:r>
        <w:rPr>
          <w:rFonts w:hint="eastAsia"/>
        </w:rPr>
        <w:t>评价工作程序</w:t>
      </w:r>
    </w:p>
    <w:p w14:paraId="7C047C25" w14:textId="77777777" w:rsidR="007D1E74" w:rsidRDefault="00A95641">
      <w:pPr>
        <w:snapToGrid w:val="0"/>
        <w:spacing w:line="360" w:lineRule="auto"/>
        <w:ind w:firstLine="482"/>
        <w:rPr>
          <w:rFonts w:cstheme="minorHAnsi"/>
          <w:sz w:val="24"/>
          <w:szCs w:val="24"/>
        </w:rPr>
      </w:pPr>
      <w:r>
        <w:rPr>
          <w:rFonts w:cstheme="minorHAnsi"/>
          <w:sz w:val="24"/>
          <w:szCs w:val="24"/>
        </w:rPr>
        <w:lastRenderedPageBreak/>
        <w:t>本次环评工作程序分为三个阶段，即：</w:t>
      </w:r>
    </w:p>
    <w:p w14:paraId="531B8596" w14:textId="77777777" w:rsidR="007D1E74" w:rsidRDefault="00A95641">
      <w:pPr>
        <w:snapToGrid w:val="0"/>
        <w:spacing w:line="360" w:lineRule="auto"/>
        <w:ind w:firstLine="482"/>
        <w:rPr>
          <w:rFonts w:cstheme="minorHAnsi"/>
          <w:sz w:val="24"/>
          <w:szCs w:val="24"/>
        </w:rPr>
      </w:pPr>
      <w:r>
        <w:rPr>
          <w:rFonts w:ascii="宋体" w:hAnsi="宋体" w:cs="宋体" w:hint="eastAsia"/>
          <w:sz w:val="24"/>
          <w:szCs w:val="24"/>
        </w:rPr>
        <w:t>①</w:t>
      </w:r>
      <w:r>
        <w:rPr>
          <w:rFonts w:cstheme="minorHAnsi"/>
          <w:sz w:val="24"/>
          <w:szCs w:val="24"/>
        </w:rPr>
        <w:t>前期准备、调研和工作方案编制阶段；</w:t>
      </w:r>
    </w:p>
    <w:p w14:paraId="61E0A5EE" w14:textId="77777777" w:rsidR="007D1E74" w:rsidRDefault="00A95641">
      <w:pPr>
        <w:snapToGrid w:val="0"/>
        <w:spacing w:line="360" w:lineRule="auto"/>
        <w:ind w:firstLine="482"/>
        <w:rPr>
          <w:rFonts w:cstheme="minorHAnsi"/>
          <w:sz w:val="24"/>
          <w:szCs w:val="24"/>
        </w:rPr>
      </w:pPr>
      <w:r>
        <w:rPr>
          <w:rFonts w:ascii="宋体" w:hAnsi="宋体" w:cs="宋体" w:hint="eastAsia"/>
          <w:sz w:val="24"/>
          <w:szCs w:val="24"/>
        </w:rPr>
        <w:t>②</w:t>
      </w:r>
      <w:r>
        <w:rPr>
          <w:rFonts w:cstheme="minorHAnsi"/>
          <w:sz w:val="24"/>
          <w:szCs w:val="24"/>
        </w:rPr>
        <w:t>分析论证和预测评价阶段；</w:t>
      </w:r>
    </w:p>
    <w:p w14:paraId="024A7E85" w14:textId="77777777" w:rsidR="007D1E74" w:rsidRDefault="00A95641">
      <w:pPr>
        <w:snapToGrid w:val="0"/>
        <w:spacing w:line="360" w:lineRule="auto"/>
        <w:ind w:firstLine="482"/>
        <w:rPr>
          <w:rFonts w:cstheme="minorHAnsi"/>
          <w:sz w:val="24"/>
          <w:szCs w:val="24"/>
        </w:rPr>
      </w:pPr>
      <w:r>
        <w:rPr>
          <w:rFonts w:ascii="宋体" w:hAnsi="宋体" w:cs="宋体" w:hint="eastAsia"/>
          <w:sz w:val="24"/>
          <w:szCs w:val="24"/>
        </w:rPr>
        <w:t>③</w:t>
      </w:r>
      <w:r>
        <w:rPr>
          <w:rFonts w:cstheme="minorHAnsi"/>
          <w:sz w:val="24"/>
          <w:szCs w:val="24"/>
        </w:rPr>
        <w:t>环境影响报告书编制及审批阶段。</w:t>
      </w:r>
    </w:p>
    <w:p w14:paraId="7EE46CBC" w14:textId="77777777" w:rsidR="007D1E74" w:rsidRDefault="00A95641">
      <w:pPr>
        <w:autoSpaceDE w:val="0"/>
        <w:autoSpaceDN w:val="0"/>
        <w:adjustRightInd w:val="0"/>
        <w:spacing w:line="360" w:lineRule="auto"/>
        <w:jc w:val="center"/>
        <w:rPr>
          <w:rFonts w:cstheme="minorHAnsi"/>
          <w:kern w:val="0"/>
          <w:sz w:val="24"/>
          <w:szCs w:val="24"/>
        </w:rPr>
      </w:pPr>
      <w:r>
        <w:rPr>
          <w:rFonts w:cs="Times New Roman"/>
        </w:rPr>
        <w:object w:dxaOrig="7260" w:dyaOrig="8700" w14:anchorId="2AB0B1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3.75pt;height:435.75pt" o:ole="">
            <v:imagedata r:id="rId10" o:title="" croptop="-932f" cropbottom="-518f" cropleft="1714f"/>
          </v:shape>
          <o:OLEObject Type="Embed" ProgID="Visio.Drawing.15" ShapeID="_x0000_i1025" DrawAspect="Content" ObjectID="_1710238123" r:id="rId11"/>
        </w:object>
      </w:r>
    </w:p>
    <w:p w14:paraId="1C2C5FE3" w14:textId="77777777" w:rsidR="007D1E74" w:rsidRDefault="00A95641">
      <w:pPr>
        <w:snapToGrid w:val="0"/>
        <w:spacing w:line="360" w:lineRule="auto"/>
        <w:ind w:firstLineChars="200" w:firstLine="420"/>
        <w:jc w:val="center"/>
        <w:rPr>
          <w:rFonts w:eastAsia="黑体" w:cstheme="minorHAnsi"/>
          <w:szCs w:val="21"/>
        </w:rPr>
      </w:pPr>
      <w:r>
        <w:rPr>
          <w:rFonts w:eastAsia="黑体" w:cstheme="minorHAnsi"/>
          <w:szCs w:val="21"/>
        </w:rPr>
        <w:t>图</w:t>
      </w:r>
      <w:r>
        <w:rPr>
          <w:rFonts w:eastAsia="黑体" w:cstheme="minorHAnsi"/>
          <w:szCs w:val="21"/>
        </w:rPr>
        <w:t>1</w:t>
      </w:r>
      <w:r>
        <w:rPr>
          <w:rFonts w:eastAsia="黑体" w:cstheme="minorHAnsi" w:hint="eastAsia"/>
          <w:szCs w:val="21"/>
        </w:rPr>
        <w:t>.3</w:t>
      </w:r>
      <w:r>
        <w:rPr>
          <w:rFonts w:eastAsia="黑体" w:cstheme="minorHAnsi"/>
          <w:szCs w:val="21"/>
        </w:rPr>
        <w:t xml:space="preserve">-1  </w:t>
      </w:r>
      <w:r>
        <w:rPr>
          <w:rFonts w:eastAsia="黑体" w:cstheme="minorHAnsi"/>
          <w:szCs w:val="21"/>
        </w:rPr>
        <w:t>建设项目环境影响评价工作程序</w:t>
      </w:r>
    </w:p>
    <w:p w14:paraId="6D674E1F" w14:textId="77777777" w:rsidR="007D1E74" w:rsidRDefault="00A95641">
      <w:pPr>
        <w:pStyle w:val="a8"/>
      </w:pPr>
      <w:r>
        <w:rPr>
          <w:rFonts w:hint="eastAsia"/>
        </w:rPr>
        <w:t>关注的主要环境问题及环境影响</w:t>
      </w:r>
    </w:p>
    <w:p w14:paraId="2F2CE01E" w14:textId="77777777" w:rsidR="007D1E74" w:rsidRDefault="00A95641">
      <w:pPr>
        <w:snapToGrid w:val="0"/>
        <w:spacing w:line="360" w:lineRule="auto"/>
        <w:ind w:firstLineChars="200" w:firstLine="480"/>
        <w:rPr>
          <w:sz w:val="24"/>
          <w:szCs w:val="24"/>
        </w:rPr>
      </w:pPr>
      <w:r>
        <w:rPr>
          <w:rFonts w:hint="eastAsia"/>
          <w:sz w:val="24"/>
          <w:szCs w:val="24"/>
        </w:rPr>
        <w:t>1</w:t>
      </w:r>
      <w:r>
        <w:rPr>
          <w:rFonts w:hint="eastAsia"/>
          <w:sz w:val="24"/>
          <w:szCs w:val="24"/>
        </w:rPr>
        <w:t>、通过对项目所在区域环境质量现状的调查，弄清区域的大气环境、地表水环境、地下水环境、土壤环境、声环境和生态环境质量现状；</w:t>
      </w:r>
    </w:p>
    <w:p w14:paraId="679EA541" w14:textId="77777777" w:rsidR="007D1E74" w:rsidRDefault="00A95641">
      <w:pPr>
        <w:snapToGrid w:val="0"/>
        <w:spacing w:line="360" w:lineRule="auto"/>
        <w:ind w:firstLineChars="200" w:firstLine="480"/>
        <w:rPr>
          <w:sz w:val="24"/>
          <w:szCs w:val="24"/>
        </w:rPr>
      </w:pPr>
      <w:r>
        <w:rPr>
          <w:rFonts w:hint="eastAsia"/>
          <w:sz w:val="24"/>
          <w:szCs w:val="24"/>
        </w:rPr>
        <w:t>2</w:t>
      </w:r>
      <w:r>
        <w:rPr>
          <w:rFonts w:hint="eastAsia"/>
          <w:sz w:val="24"/>
          <w:szCs w:val="24"/>
        </w:rPr>
        <w:t>、工程的选线对环境保护目标的影响及避让；</w:t>
      </w:r>
    </w:p>
    <w:p w14:paraId="4C369DF5" w14:textId="77777777" w:rsidR="007D1E74" w:rsidRDefault="00A95641">
      <w:pPr>
        <w:snapToGrid w:val="0"/>
        <w:spacing w:line="360" w:lineRule="auto"/>
        <w:ind w:firstLineChars="200" w:firstLine="480"/>
        <w:rPr>
          <w:sz w:val="24"/>
          <w:szCs w:val="24"/>
        </w:rPr>
      </w:pPr>
      <w:r>
        <w:rPr>
          <w:rFonts w:hint="eastAsia"/>
          <w:sz w:val="24"/>
          <w:szCs w:val="24"/>
        </w:rPr>
        <w:t>3</w:t>
      </w:r>
      <w:r>
        <w:rPr>
          <w:rFonts w:hint="eastAsia"/>
          <w:sz w:val="24"/>
          <w:szCs w:val="24"/>
        </w:rPr>
        <w:t>、工程施工过程对周边生态环境的破坏程度，尤其是对评价区域生态环境的影响；</w:t>
      </w:r>
    </w:p>
    <w:p w14:paraId="665696B2" w14:textId="77777777" w:rsidR="007D1E74" w:rsidRDefault="00A95641">
      <w:pPr>
        <w:snapToGrid w:val="0"/>
        <w:spacing w:line="360" w:lineRule="auto"/>
        <w:ind w:firstLineChars="200" w:firstLine="480"/>
        <w:rPr>
          <w:sz w:val="24"/>
          <w:szCs w:val="24"/>
        </w:rPr>
      </w:pPr>
      <w:r>
        <w:rPr>
          <w:rFonts w:hint="eastAsia"/>
          <w:sz w:val="24"/>
          <w:szCs w:val="24"/>
        </w:rPr>
        <w:t>4</w:t>
      </w:r>
      <w:r>
        <w:rPr>
          <w:rFonts w:hint="eastAsia"/>
          <w:sz w:val="24"/>
          <w:szCs w:val="24"/>
        </w:rPr>
        <w:t>、工程施工废水、废气、噪声、固体废物对周边环境的影响；</w:t>
      </w:r>
    </w:p>
    <w:p w14:paraId="22E00A93" w14:textId="77777777" w:rsidR="007D1E74" w:rsidRDefault="00A95641">
      <w:pPr>
        <w:snapToGrid w:val="0"/>
        <w:spacing w:line="360" w:lineRule="auto"/>
        <w:ind w:firstLineChars="200" w:firstLine="480"/>
        <w:rPr>
          <w:sz w:val="24"/>
          <w:szCs w:val="24"/>
        </w:rPr>
      </w:pPr>
      <w:r>
        <w:rPr>
          <w:rFonts w:hint="eastAsia"/>
          <w:sz w:val="24"/>
          <w:szCs w:val="24"/>
        </w:rPr>
        <w:lastRenderedPageBreak/>
        <w:t>5</w:t>
      </w:r>
      <w:r>
        <w:rPr>
          <w:rFonts w:hint="eastAsia"/>
          <w:sz w:val="24"/>
          <w:szCs w:val="24"/>
        </w:rPr>
        <w:t>、评估工程运行环境风险，关注环境风险预防措施、应急预案的可行性。</w:t>
      </w:r>
    </w:p>
    <w:p w14:paraId="08027010" w14:textId="77777777" w:rsidR="007D1E74" w:rsidRDefault="00A95641">
      <w:pPr>
        <w:pStyle w:val="a8"/>
      </w:pPr>
      <w:r>
        <w:rPr>
          <w:rFonts w:hint="eastAsia"/>
        </w:rPr>
        <w:t>环境影响评价结论</w:t>
      </w:r>
    </w:p>
    <w:p w14:paraId="6091D44D" w14:textId="77777777" w:rsidR="007D1E74" w:rsidRDefault="00A95641">
      <w:pPr>
        <w:spacing w:line="360" w:lineRule="auto"/>
        <w:ind w:firstLineChars="200" w:firstLine="480"/>
        <w:rPr>
          <w:sz w:val="24"/>
        </w:rPr>
      </w:pPr>
      <w:r>
        <w:rPr>
          <w:sz w:val="24"/>
        </w:rPr>
        <w:t>本项目符合国家现行产业政策、国家及地方发展规划、乡镇总体规划。项目仅为</w:t>
      </w:r>
      <w:r>
        <w:rPr>
          <w:rFonts w:hint="eastAsia"/>
          <w:sz w:val="24"/>
        </w:rPr>
        <w:t>天然气</w:t>
      </w:r>
      <w:r>
        <w:rPr>
          <w:sz w:val="24"/>
        </w:rPr>
        <w:t>内部集输管线项目，占地多为临时占用，线路临时占用四川诺水河珍稀水生动物国家级自然保护区、永久基本农田、其他耕地、穿越小河沟及道路等，均在施工结束后采取生态恢复措施，尽量恢复相应的原有功能。项目生态影响多属临时、可恢复的，并提出了相应的生态恢复和补偿措施，采取措施后对生态环境的影响较小。</w:t>
      </w:r>
    </w:p>
    <w:p w14:paraId="558A7A8B" w14:textId="77777777" w:rsidR="007D1E74" w:rsidRDefault="00A95641">
      <w:pPr>
        <w:spacing w:line="360" w:lineRule="auto"/>
        <w:ind w:firstLineChars="200" w:firstLine="480"/>
      </w:pPr>
      <w:r>
        <w:rPr>
          <w:sz w:val="24"/>
        </w:rPr>
        <w:t>项目施工期产生的废水、废气、固废、噪声等污染通过采取相应的环保措施，对环境的影响较小；运行期正常情况下不产生废水、废气及固废等，非正常情况下产生的废气和气流噪声经处理后，对环境影响较小；环境风险在可控和可接受程度内。因此，在落实各项污染防治、生态保护措施及风险防范措施和应急预案后，从环境保护角度，本项目的建设是可行的。</w:t>
      </w:r>
    </w:p>
    <w:p w14:paraId="3C8C07E7" w14:textId="77777777" w:rsidR="007D1E74" w:rsidRDefault="00A95641">
      <w:pPr>
        <w:rPr>
          <w:sz w:val="24"/>
        </w:rPr>
      </w:pPr>
      <w:r>
        <w:rPr>
          <w:sz w:val="24"/>
        </w:rPr>
        <w:br w:type="page"/>
      </w:r>
    </w:p>
    <w:p w14:paraId="631807DA" w14:textId="77777777" w:rsidR="007D1E74" w:rsidRDefault="00A95641">
      <w:pPr>
        <w:pStyle w:val="a7"/>
      </w:pPr>
      <w:r>
        <w:rPr>
          <w:rFonts w:hint="eastAsia"/>
        </w:rPr>
        <w:lastRenderedPageBreak/>
        <w:t>总则</w:t>
      </w:r>
    </w:p>
    <w:p w14:paraId="2BF2155B" w14:textId="77777777" w:rsidR="007D1E74" w:rsidRDefault="00A95641">
      <w:pPr>
        <w:pStyle w:val="a8"/>
      </w:pPr>
      <w:r>
        <w:rPr>
          <w:rFonts w:hint="eastAsia"/>
        </w:rPr>
        <w:t>评价目的及原则</w:t>
      </w:r>
    </w:p>
    <w:p w14:paraId="012A11C3" w14:textId="77777777" w:rsidR="007D1E74" w:rsidRDefault="00A95641">
      <w:pPr>
        <w:pStyle w:val="a9"/>
      </w:pPr>
      <w:r>
        <w:rPr>
          <w:rFonts w:hint="eastAsia"/>
        </w:rPr>
        <w:t>评价目的</w:t>
      </w:r>
    </w:p>
    <w:p w14:paraId="45F8272D" w14:textId="77777777" w:rsidR="007D1E74" w:rsidRDefault="00A95641">
      <w:pPr>
        <w:spacing w:line="360" w:lineRule="auto"/>
        <w:ind w:firstLineChars="200" w:firstLine="480"/>
        <w:rPr>
          <w:sz w:val="24"/>
          <w:szCs w:val="24"/>
        </w:rPr>
      </w:pPr>
      <w:r>
        <w:rPr>
          <w:rFonts w:hint="eastAsia"/>
          <w:sz w:val="24"/>
          <w:szCs w:val="24"/>
        </w:rPr>
        <w:t>环境影响评价的目的，是对项目实施后可能造成的环境影响进行分析、预测和评估，提出预防或者减轻不良环境影响的对策和措施。评价内容主要包括：①分析工程建设是否符合国家及地方产业、行业政策及相关专项规划要求；②对工程选线进行环境可行性论证；③通过工程分析，分析项目施工期对生态环境的影响和运营期的环境风险；④提出污染防治措施、生态减缓措施和风险防控措施，为工程设计和环境管理提供科学依据。</w:t>
      </w:r>
    </w:p>
    <w:p w14:paraId="5C03D22C" w14:textId="77777777" w:rsidR="007D1E74" w:rsidRDefault="00A95641">
      <w:pPr>
        <w:pStyle w:val="a9"/>
      </w:pPr>
      <w:r>
        <w:rPr>
          <w:rFonts w:hint="eastAsia"/>
        </w:rPr>
        <w:t>评价原则</w:t>
      </w:r>
    </w:p>
    <w:p w14:paraId="19A2CBB6" w14:textId="77777777" w:rsidR="007D1E74" w:rsidRDefault="00A95641">
      <w:pPr>
        <w:spacing w:line="360" w:lineRule="auto"/>
        <w:ind w:firstLineChars="200" w:firstLine="480"/>
        <w:rPr>
          <w:sz w:val="24"/>
          <w:szCs w:val="24"/>
        </w:rPr>
      </w:pPr>
      <w:r>
        <w:rPr>
          <w:rFonts w:hint="eastAsia"/>
          <w:sz w:val="24"/>
          <w:szCs w:val="24"/>
        </w:rPr>
        <w:t>本次评价坚持“依法评价、科学评价、突出重点”的原则，起到环境影响评价的源头预防作用，坚持保护和改善环境质量。</w:t>
      </w:r>
    </w:p>
    <w:p w14:paraId="156DC3E9"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w:t>
      </w:r>
      <w:r>
        <w:rPr>
          <w:rFonts w:hint="eastAsia"/>
          <w:sz w:val="24"/>
          <w:szCs w:val="24"/>
        </w:rPr>
        <w:t>）贯彻执行我国环境保护相关法律法规、标准、政策和规划等。项目一定要符合产业政策，符合本地区的总体规划、区域发展规划和环境保护规划；</w:t>
      </w:r>
    </w:p>
    <w:p w14:paraId="2F017D5D"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2</w:t>
      </w:r>
      <w:r>
        <w:rPr>
          <w:rFonts w:hint="eastAsia"/>
          <w:sz w:val="24"/>
          <w:szCs w:val="24"/>
        </w:rPr>
        <w:t>）提出污染防治措施和环境管理要求，优化项目建设，提高企业环境管理水平；</w:t>
      </w:r>
    </w:p>
    <w:p w14:paraId="673329B5"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3</w:t>
      </w:r>
      <w:r>
        <w:rPr>
          <w:rFonts w:hint="eastAsia"/>
          <w:sz w:val="24"/>
          <w:szCs w:val="24"/>
        </w:rPr>
        <w:t>）科学分析项目建设对生态环境的影响，明确项目建设对生态环境影响的方式、范围及程度，预测评价生态环境影响可接受性，确定生态环境影响预防、恢复措施，</w:t>
      </w:r>
      <w:r>
        <w:rPr>
          <w:rFonts w:hint="eastAsia"/>
          <w:sz w:val="24"/>
          <w:szCs w:val="24"/>
        </w:rPr>
        <w:t xml:space="preserve"> </w:t>
      </w:r>
      <w:r>
        <w:rPr>
          <w:rFonts w:hint="eastAsia"/>
          <w:sz w:val="24"/>
          <w:szCs w:val="24"/>
        </w:rPr>
        <w:t>并论证措施可行性；</w:t>
      </w:r>
    </w:p>
    <w:p w14:paraId="30D3E530"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4</w:t>
      </w:r>
      <w:r>
        <w:rPr>
          <w:rFonts w:hint="eastAsia"/>
          <w:sz w:val="24"/>
          <w:szCs w:val="24"/>
        </w:rPr>
        <w:t>）坚持重点突出，结果客观明确，环保措施具有可操作性，体现本次评价的实用性和针对性；充分利用符合时效的数据资料及成果，对建设项目主要环境影响予以重点分析和评价。</w:t>
      </w:r>
    </w:p>
    <w:p w14:paraId="4C0C3382" w14:textId="77777777" w:rsidR="007D1E74" w:rsidRDefault="00A95641">
      <w:pPr>
        <w:pStyle w:val="a8"/>
      </w:pPr>
      <w:r>
        <w:rPr>
          <w:rFonts w:hint="eastAsia"/>
        </w:rPr>
        <w:t>编制依据</w:t>
      </w:r>
    </w:p>
    <w:p w14:paraId="0B20F099" w14:textId="77777777" w:rsidR="007D1E74" w:rsidRDefault="00A95641">
      <w:pPr>
        <w:pStyle w:val="a9"/>
      </w:pPr>
      <w:r>
        <w:rPr>
          <w:rFonts w:hint="eastAsia"/>
        </w:rPr>
        <w:t>环境保护法律法规</w:t>
      </w:r>
    </w:p>
    <w:p w14:paraId="09BAE66A"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w:t>
      </w:r>
      <w:r>
        <w:rPr>
          <w:rFonts w:hint="eastAsia"/>
          <w:sz w:val="24"/>
          <w:szCs w:val="24"/>
        </w:rPr>
        <w:t>）《中华人民共和国环境保护法》（</w:t>
      </w:r>
      <w:r>
        <w:rPr>
          <w:rFonts w:hint="eastAsia"/>
          <w:sz w:val="24"/>
          <w:szCs w:val="24"/>
        </w:rPr>
        <w:t>2015</w:t>
      </w:r>
      <w:r>
        <w:rPr>
          <w:rFonts w:hint="eastAsia"/>
          <w:sz w:val="24"/>
          <w:szCs w:val="24"/>
        </w:rPr>
        <w:t>年</w:t>
      </w:r>
      <w:r>
        <w:rPr>
          <w:rFonts w:hint="eastAsia"/>
          <w:sz w:val="24"/>
          <w:szCs w:val="24"/>
        </w:rPr>
        <w:t>1</w:t>
      </w:r>
      <w:r>
        <w:rPr>
          <w:rFonts w:hint="eastAsia"/>
          <w:sz w:val="24"/>
          <w:szCs w:val="24"/>
        </w:rPr>
        <w:t>月</w:t>
      </w:r>
      <w:r>
        <w:rPr>
          <w:rFonts w:hint="eastAsia"/>
          <w:sz w:val="24"/>
          <w:szCs w:val="24"/>
        </w:rPr>
        <w:t>1</w:t>
      </w:r>
      <w:r>
        <w:rPr>
          <w:rFonts w:hint="eastAsia"/>
          <w:sz w:val="24"/>
          <w:szCs w:val="24"/>
        </w:rPr>
        <w:t>日）；</w:t>
      </w:r>
    </w:p>
    <w:p w14:paraId="62263943"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2</w:t>
      </w:r>
      <w:r>
        <w:rPr>
          <w:rFonts w:hint="eastAsia"/>
          <w:sz w:val="24"/>
          <w:szCs w:val="24"/>
        </w:rPr>
        <w:t>）《中华人民共和国环境影响评价法》（</w:t>
      </w:r>
      <w:r>
        <w:rPr>
          <w:rFonts w:hint="eastAsia"/>
          <w:sz w:val="24"/>
          <w:szCs w:val="24"/>
        </w:rPr>
        <w:t>2018</w:t>
      </w:r>
      <w:r>
        <w:rPr>
          <w:rFonts w:hint="eastAsia"/>
          <w:sz w:val="24"/>
          <w:szCs w:val="24"/>
        </w:rPr>
        <w:t>年</w:t>
      </w:r>
      <w:r>
        <w:rPr>
          <w:rFonts w:hint="eastAsia"/>
          <w:sz w:val="24"/>
          <w:szCs w:val="24"/>
        </w:rPr>
        <w:t>12</w:t>
      </w:r>
      <w:r>
        <w:rPr>
          <w:rFonts w:hint="eastAsia"/>
          <w:sz w:val="24"/>
          <w:szCs w:val="24"/>
        </w:rPr>
        <w:t>月</w:t>
      </w:r>
      <w:r>
        <w:rPr>
          <w:rFonts w:hint="eastAsia"/>
          <w:sz w:val="24"/>
          <w:szCs w:val="24"/>
        </w:rPr>
        <w:t>29</w:t>
      </w:r>
      <w:r>
        <w:rPr>
          <w:rFonts w:hint="eastAsia"/>
          <w:sz w:val="24"/>
          <w:szCs w:val="24"/>
        </w:rPr>
        <w:t>日修正）；</w:t>
      </w:r>
    </w:p>
    <w:p w14:paraId="6F6FA77D"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3</w:t>
      </w:r>
      <w:r>
        <w:rPr>
          <w:rFonts w:hint="eastAsia"/>
          <w:sz w:val="24"/>
          <w:szCs w:val="24"/>
        </w:rPr>
        <w:t>）《中华人民共和国大气污染防治法》（</w:t>
      </w:r>
      <w:r>
        <w:rPr>
          <w:rFonts w:hint="eastAsia"/>
          <w:sz w:val="24"/>
          <w:szCs w:val="24"/>
        </w:rPr>
        <w:t>2018</w:t>
      </w:r>
      <w:r>
        <w:rPr>
          <w:rFonts w:hint="eastAsia"/>
          <w:sz w:val="24"/>
          <w:szCs w:val="24"/>
        </w:rPr>
        <w:t>年</w:t>
      </w:r>
      <w:r>
        <w:rPr>
          <w:rFonts w:hint="eastAsia"/>
          <w:sz w:val="24"/>
          <w:szCs w:val="24"/>
        </w:rPr>
        <w:t>10</w:t>
      </w:r>
      <w:r>
        <w:rPr>
          <w:rFonts w:hint="eastAsia"/>
          <w:sz w:val="24"/>
          <w:szCs w:val="24"/>
        </w:rPr>
        <w:t>月</w:t>
      </w:r>
      <w:r>
        <w:rPr>
          <w:rFonts w:hint="eastAsia"/>
          <w:sz w:val="24"/>
          <w:szCs w:val="24"/>
        </w:rPr>
        <w:t>26</w:t>
      </w:r>
      <w:r>
        <w:rPr>
          <w:rFonts w:hint="eastAsia"/>
          <w:sz w:val="24"/>
          <w:szCs w:val="24"/>
        </w:rPr>
        <w:t>日修正）；</w:t>
      </w:r>
    </w:p>
    <w:p w14:paraId="297952AF"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4</w:t>
      </w:r>
      <w:r>
        <w:rPr>
          <w:rFonts w:hint="eastAsia"/>
          <w:sz w:val="24"/>
          <w:szCs w:val="24"/>
        </w:rPr>
        <w:t>）《中华人民共和国水污染防治法》（</w:t>
      </w:r>
      <w:r>
        <w:rPr>
          <w:rFonts w:hint="eastAsia"/>
          <w:sz w:val="24"/>
          <w:szCs w:val="24"/>
        </w:rPr>
        <w:t>2018</w:t>
      </w:r>
      <w:r>
        <w:rPr>
          <w:rFonts w:hint="eastAsia"/>
          <w:sz w:val="24"/>
          <w:szCs w:val="24"/>
        </w:rPr>
        <w:t>年</w:t>
      </w:r>
      <w:r>
        <w:rPr>
          <w:rFonts w:hint="eastAsia"/>
          <w:sz w:val="24"/>
          <w:szCs w:val="24"/>
        </w:rPr>
        <w:t>1</w:t>
      </w:r>
      <w:r>
        <w:rPr>
          <w:rFonts w:hint="eastAsia"/>
          <w:sz w:val="24"/>
          <w:szCs w:val="24"/>
        </w:rPr>
        <w:t>月</w:t>
      </w:r>
      <w:r>
        <w:rPr>
          <w:rFonts w:hint="eastAsia"/>
          <w:sz w:val="24"/>
          <w:szCs w:val="24"/>
        </w:rPr>
        <w:t>1</w:t>
      </w:r>
      <w:r>
        <w:rPr>
          <w:rFonts w:hint="eastAsia"/>
          <w:sz w:val="24"/>
          <w:szCs w:val="24"/>
        </w:rPr>
        <w:t>日）；</w:t>
      </w:r>
    </w:p>
    <w:p w14:paraId="2E65C92F"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5</w:t>
      </w:r>
      <w:r>
        <w:rPr>
          <w:rFonts w:hint="eastAsia"/>
          <w:sz w:val="24"/>
          <w:szCs w:val="24"/>
        </w:rPr>
        <w:t>）《中华人民共和国环境噪声污染防治法》（</w:t>
      </w:r>
      <w:r>
        <w:rPr>
          <w:rFonts w:hint="eastAsia"/>
          <w:sz w:val="24"/>
          <w:szCs w:val="24"/>
        </w:rPr>
        <w:t>2018</w:t>
      </w:r>
      <w:r>
        <w:rPr>
          <w:rFonts w:hint="eastAsia"/>
          <w:sz w:val="24"/>
          <w:szCs w:val="24"/>
        </w:rPr>
        <w:t>年</w:t>
      </w:r>
      <w:r>
        <w:rPr>
          <w:rFonts w:hint="eastAsia"/>
          <w:sz w:val="24"/>
          <w:szCs w:val="24"/>
        </w:rPr>
        <w:t>12</w:t>
      </w:r>
      <w:r>
        <w:rPr>
          <w:rFonts w:hint="eastAsia"/>
          <w:sz w:val="24"/>
          <w:szCs w:val="24"/>
        </w:rPr>
        <w:t>月</w:t>
      </w:r>
      <w:r>
        <w:rPr>
          <w:rFonts w:hint="eastAsia"/>
          <w:sz w:val="24"/>
          <w:szCs w:val="24"/>
        </w:rPr>
        <w:t>29</w:t>
      </w:r>
      <w:r>
        <w:rPr>
          <w:rFonts w:hint="eastAsia"/>
          <w:sz w:val="24"/>
          <w:szCs w:val="24"/>
        </w:rPr>
        <w:t>日修正）；</w:t>
      </w:r>
    </w:p>
    <w:p w14:paraId="11E3E01A" w14:textId="77777777" w:rsidR="007D1E74" w:rsidRDefault="00A95641">
      <w:pPr>
        <w:spacing w:line="360" w:lineRule="auto"/>
        <w:ind w:firstLineChars="200" w:firstLine="480"/>
        <w:rPr>
          <w:sz w:val="24"/>
          <w:szCs w:val="24"/>
        </w:rPr>
      </w:pPr>
      <w:r>
        <w:rPr>
          <w:rFonts w:hint="eastAsia"/>
          <w:sz w:val="24"/>
          <w:szCs w:val="24"/>
        </w:rPr>
        <w:lastRenderedPageBreak/>
        <w:t>（</w:t>
      </w:r>
      <w:r>
        <w:rPr>
          <w:rFonts w:hint="eastAsia"/>
          <w:sz w:val="24"/>
          <w:szCs w:val="24"/>
        </w:rPr>
        <w:t>6</w:t>
      </w:r>
      <w:r>
        <w:rPr>
          <w:rFonts w:hint="eastAsia"/>
          <w:sz w:val="24"/>
          <w:szCs w:val="24"/>
        </w:rPr>
        <w:t>）《中华人民共和国固体废物污染环境防治法》（</w:t>
      </w:r>
      <w:r>
        <w:rPr>
          <w:rFonts w:hint="eastAsia"/>
          <w:sz w:val="24"/>
          <w:szCs w:val="24"/>
        </w:rPr>
        <w:t>2016</w:t>
      </w:r>
      <w:r>
        <w:rPr>
          <w:rFonts w:hint="eastAsia"/>
          <w:sz w:val="24"/>
          <w:szCs w:val="24"/>
        </w:rPr>
        <w:t>年</w:t>
      </w:r>
      <w:r>
        <w:rPr>
          <w:rFonts w:hint="eastAsia"/>
          <w:sz w:val="24"/>
          <w:szCs w:val="24"/>
        </w:rPr>
        <w:t>11</w:t>
      </w:r>
      <w:r>
        <w:rPr>
          <w:rFonts w:hint="eastAsia"/>
          <w:sz w:val="24"/>
          <w:szCs w:val="24"/>
        </w:rPr>
        <w:t>月</w:t>
      </w:r>
      <w:r>
        <w:rPr>
          <w:rFonts w:hint="eastAsia"/>
          <w:sz w:val="24"/>
          <w:szCs w:val="24"/>
        </w:rPr>
        <w:t>7</w:t>
      </w:r>
      <w:r>
        <w:rPr>
          <w:rFonts w:hint="eastAsia"/>
          <w:sz w:val="24"/>
          <w:szCs w:val="24"/>
        </w:rPr>
        <w:t>日修订）；</w:t>
      </w:r>
    </w:p>
    <w:p w14:paraId="6E18F89E"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7</w:t>
      </w:r>
      <w:r>
        <w:rPr>
          <w:rFonts w:hint="eastAsia"/>
          <w:sz w:val="24"/>
          <w:szCs w:val="24"/>
        </w:rPr>
        <w:t>）《中华人民共和国土壤污染防治法》（</w:t>
      </w:r>
      <w:r>
        <w:rPr>
          <w:rFonts w:hint="eastAsia"/>
          <w:sz w:val="24"/>
          <w:szCs w:val="24"/>
        </w:rPr>
        <w:t>2019</w:t>
      </w:r>
      <w:r>
        <w:rPr>
          <w:rFonts w:hint="eastAsia"/>
          <w:sz w:val="24"/>
          <w:szCs w:val="24"/>
        </w:rPr>
        <w:t>年</w:t>
      </w:r>
      <w:r>
        <w:rPr>
          <w:rFonts w:hint="eastAsia"/>
          <w:sz w:val="24"/>
          <w:szCs w:val="24"/>
        </w:rPr>
        <w:t>1</w:t>
      </w:r>
      <w:r>
        <w:rPr>
          <w:rFonts w:hint="eastAsia"/>
          <w:sz w:val="24"/>
          <w:szCs w:val="24"/>
        </w:rPr>
        <w:t>月</w:t>
      </w:r>
      <w:r>
        <w:rPr>
          <w:rFonts w:hint="eastAsia"/>
          <w:sz w:val="24"/>
          <w:szCs w:val="24"/>
        </w:rPr>
        <w:t>1</w:t>
      </w:r>
      <w:r>
        <w:rPr>
          <w:rFonts w:hint="eastAsia"/>
          <w:sz w:val="24"/>
          <w:szCs w:val="24"/>
        </w:rPr>
        <w:t>日）；</w:t>
      </w:r>
    </w:p>
    <w:p w14:paraId="4F06C7EC"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8</w:t>
      </w:r>
      <w:r>
        <w:rPr>
          <w:rFonts w:hint="eastAsia"/>
          <w:sz w:val="24"/>
          <w:szCs w:val="24"/>
        </w:rPr>
        <w:t>）《中华人民共和国森林法》（</w:t>
      </w:r>
      <w:r>
        <w:rPr>
          <w:rFonts w:hint="eastAsia"/>
          <w:sz w:val="24"/>
          <w:szCs w:val="24"/>
        </w:rPr>
        <w:t>2020</w:t>
      </w:r>
      <w:r>
        <w:rPr>
          <w:rFonts w:hint="eastAsia"/>
          <w:sz w:val="24"/>
          <w:szCs w:val="24"/>
        </w:rPr>
        <w:t>年</w:t>
      </w:r>
      <w:r>
        <w:rPr>
          <w:rFonts w:hint="eastAsia"/>
          <w:sz w:val="24"/>
          <w:szCs w:val="24"/>
        </w:rPr>
        <w:t>7</w:t>
      </w:r>
      <w:r>
        <w:rPr>
          <w:rFonts w:hint="eastAsia"/>
          <w:sz w:val="24"/>
          <w:szCs w:val="24"/>
        </w:rPr>
        <w:t>月</w:t>
      </w:r>
      <w:r>
        <w:rPr>
          <w:rFonts w:hint="eastAsia"/>
          <w:sz w:val="24"/>
          <w:szCs w:val="24"/>
        </w:rPr>
        <w:t>1</w:t>
      </w:r>
      <w:r>
        <w:rPr>
          <w:rFonts w:hint="eastAsia"/>
          <w:sz w:val="24"/>
          <w:szCs w:val="24"/>
        </w:rPr>
        <w:t>日）；</w:t>
      </w:r>
    </w:p>
    <w:p w14:paraId="523092C2"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9</w:t>
      </w:r>
      <w:r>
        <w:rPr>
          <w:rFonts w:hint="eastAsia"/>
          <w:sz w:val="24"/>
          <w:szCs w:val="24"/>
        </w:rPr>
        <w:t>）《中华人民共和国土地管理法》（</w:t>
      </w:r>
      <w:r>
        <w:rPr>
          <w:rFonts w:hint="eastAsia"/>
          <w:sz w:val="24"/>
          <w:szCs w:val="24"/>
        </w:rPr>
        <w:t>2020</w:t>
      </w:r>
      <w:r>
        <w:rPr>
          <w:rFonts w:hint="eastAsia"/>
          <w:sz w:val="24"/>
          <w:szCs w:val="24"/>
        </w:rPr>
        <w:t>年</w:t>
      </w:r>
      <w:r>
        <w:rPr>
          <w:rFonts w:hint="eastAsia"/>
          <w:sz w:val="24"/>
          <w:szCs w:val="24"/>
        </w:rPr>
        <w:t>1</w:t>
      </w:r>
      <w:r>
        <w:rPr>
          <w:rFonts w:hint="eastAsia"/>
          <w:sz w:val="24"/>
          <w:szCs w:val="24"/>
        </w:rPr>
        <w:t>月</w:t>
      </w:r>
      <w:r>
        <w:rPr>
          <w:rFonts w:hint="eastAsia"/>
          <w:sz w:val="24"/>
          <w:szCs w:val="24"/>
        </w:rPr>
        <w:t>1</w:t>
      </w:r>
      <w:r>
        <w:rPr>
          <w:rFonts w:hint="eastAsia"/>
          <w:sz w:val="24"/>
          <w:szCs w:val="24"/>
        </w:rPr>
        <w:t>日）；</w:t>
      </w:r>
    </w:p>
    <w:p w14:paraId="2C7AF724"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10</w:t>
      </w:r>
      <w:r>
        <w:rPr>
          <w:rFonts w:hint="eastAsia"/>
          <w:sz w:val="24"/>
          <w:szCs w:val="24"/>
        </w:rPr>
        <w:t>）《中华人民共和国野生动物保护法》（</w:t>
      </w:r>
      <w:r>
        <w:rPr>
          <w:rFonts w:hint="eastAsia"/>
          <w:sz w:val="24"/>
          <w:szCs w:val="24"/>
        </w:rPr>
        <w:t>2018</w:t>
      </w:r>
      <w:r>
        <w:rPr>
          <w:rFonts w:hint="eastAsia"/>
          <w:sz w:val="24"/>
          <w:szCs w:val="24"/>
        </w:rPr>
        <w:t>年</w:t>
      </w:r>
      <w:r>
        <w:rPr>
          <w:rFonts w:hint="eastAsia"/>
          <w:sz w:val="24"/>
          <w:szCs w:val="24"/>
        </w:rPr>
        <w:t>10</w:t>
      </w:r>
      <w:r>
        <w:rPr>
          <w:rFonts w:hint="eastAsia"/>
          <w:sz w:val="24"/>
          <w:szCs w:val="24"/>
        </w:rPr>
        <w:t>月</w:t>
      </w:r>
      <w:r>
        <w:rPr>
          <w:rFonts w:hint="eastAsia"/>
          <w:sz w:val="24"/>
          <w:szCs w:val="24"/>
        </w:rPr>
        <w:t>26</w:t>
      </w:r>
      <w:r>
        <w:rPr>
          <w:rFonts w:hint="eastAsia"/>
          <w:sz w:val="24"/>
          <w:szCs w:val="24"/>
        </w:rPr>
        <w:t>日）；</w:t>
      </w:r>
    </w:p>
    <w:p w14:paraId="0467F1AE"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11</w:t>
      </w:r>
      <w:r>
        <w:rPr>
          <w:rFonts w:hint="eastAsia"/>
          <w:sz w:val="24"/>
          <w:szCs w:val="24"/>
        </w:rPr>
        <w:t>）《中华人民共和国水土保持法》（</w:t>
      </w:r>
      <w:r>
        <w:rPr>
          <w:rFonts w:hint="eastAsia"/>
          <w:sz w:val="24"/>
          <w:szCs w:val="24"/>
        </w:rPr>
        <w:t>2011</w:t>
      </w:r>
      <w:r>
        <w:rPr>
          <w:rFonts w:hint="eastAsia"/>
          <w:sz w:val="24"/>
          <w:szCs w:val="24"/>
        </w:rPr>
        <w:t>年</w:t>
      </w:r>
      <w:r>
        <w:rPr>
          <w:rFonts w:hint="eastAsia"/>
          <w:sz w:val="24"/>
          <w:szCs w:val="24"/>
        </w:rPr>
        <w:t>3</w:t>
      </w:r>
      <w:r>
        <w:rPr>
          <w:rFonts w:hint="eastAsia"/>
          <w:sz w:val="24"/>
          <w:szCs w:val="24"/>
        </w:rPr>
        <w:t>月</w:t>
      </w:r>
      <w:r>
        <w:rPr>
          <w:rFonts w:hint="eastAsia"/>
          <w:sz w:val="24"/>
          <w:szCs w:val="24"/>
        </w:rPr>
        <w:t>1</w:t>
      </w:r>
      <w:r>
        <w:rPr>
          <w:rFonts w:hint="eastAsia"/>
          <w:sz w:val="24"/>
          <w:szCs w:val="24"/>
        </w:rPr>
        <w:t>日）；</w:t>
      </w:r>
    </w:p>
    <w:p w14:paraId="22AF4C45"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12</w:t>
      </w:r>
      <w:r>
        <w:rPr>
          <w:rFonts w:hint="eastAsia"/>
          <w:sz w:val="24"/>
          <w:szCs w:val="24"/>
        </w:rPr>
        <w:t>）《中华人民共和国文物保护法》（</w:t>
      </w:r>
      <w:r>
        <w:rPr>
          <w:rFonts w:hint="eastAsia"/>
          <w:sz w:val="24"/>
          <w:szCs w:val="24"/>
        </w:rPr>
        <w:t>2017</w:t>
      </w:r>
      <w:r>
        <w:rPr>
          <w:rFonts w:hint="eastAsia"/>
          <w:sz w:val="24"/>
          <w:szCs w:val="24"/>
        </w:rPr>
        <w:t>年</w:t>
      </w:r>
      <w:r>
        <w:rPr>
          <w:rFonts w:hint="eastAsia"/>
          <w:sz w:val="24"/>
          <w:szCs w:val="24"/>
        </w:rPr>
        <w:t>11</w:t>
      </w:r>
      <w:r>
        <w:rPr>
          <w:rFonts w:hint="eastAsia"/>
          <w:sz w:val="24"/>
          <w:szCs w:val="24"/>
        </w:rPr>
        <w:t>月</w:t>
      </w:r>
      <w:r>
        <w:rPr>
          <w:rFonts w:hint="eastAsia"/>
          <w:sz w:val="24"/>
          <w:szCs w:val="24"/>
        </w:rPr>
        <w:t>5</w:t>
      </w:r>
      <w:r>
        <w:rPr>
          <w:rFonts w:hint="eastAsia"/>
          <w:sz w:val="24"/>
          <w:szCs w:val="24"/>
        </w:rPr>
        <w:t>日）；</w:t>
      </w:r>
    </w:p>
    <w:p w14:paraId="3A0DC56A"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13</w:t>
      </w:r>
      <w:r>
        <w:rPr>
          <w:rFonts w:hint="eastAsia"/>
          <w:sz w:val="24"/>
          <w:szCs w:val="24"/>
        </w:rPr>
        <w:t>）《中华人民共和国石油天然气管道保护法》（</w:t>
      </w:r>
      <w:r>
        <w:rPr>
          <w:rFonts w:hint="eastAsia"/>
          <w:sz w:val="24"/>
          <w:szCs w:val="24"/>
        </w:rPr>
        <w:t>2010</w:t>
      </w:r>
      <w:r>
        <w:rPr>
          <w:rFonts w:hint="eastAsia"/>
          <w:sz w:val="24"/>
          <w:szCs w:val="24"/>
        </w:rPr>
        <w:t>年</w:t>
      </w:r>
      <w:r>
        <w:rPr>
          <w:rFonts w:hint="eastAsia"/>
          <w:sz w:val="24"/>
          <w:szCs w:val="24"/>
        </w:rPr>
        <w:t>10</w:t>
      </w:r>
      <w:r>
        <w:rPr>
          <w:rFonts w:hint="eastAsia"/>
          <w:sz w:val="24"/>
          <w:szCs w:val="24"/>
        </w:rPr>
        <w:t>月</w:t>
      </w:r>
      <w:r>
        <w:rPr>
          <w:rFonts w:hint="eastAsia"/>
          <w:sz w:val="24"/>
          <w:szCs w:val="24"/>
        </w:rPr>
        <w:t>1</w:t>
      </w:r>
      <w:r>
        <w:rPr>
          <w:rFonts w:hint="eastAsia"/>
          <w:sz w:val="24"/>
          <w:szCs w:val="24"/>
        </w:rPr>
        <w:t>日）；</w:t>
      </w:r>
    </w:p>
    <w:p w14:paraId="3D5B3EE3"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14</w:t>
      </w:r>
      <w:r>
        <w:rPr>
          <w:rFonts w:hint="eastAsia"/>
          <w:sz w:val="24"/>
          <w:szCs w:val="24"/>
        </w:rPr>
        <w:t>）《中华人民共和国陆生野生动物保护实施条例》（</w:t>
      </w:r>
      <w:r>
        <w:rPr>
          <w:rFonts w:hint="eastAsia"/>
          <w:sz w:val="24"/>
          <w:szCs w:val="24"/>
        </w:rPr>
        <w:t>2016</w:t>
      </w:r>
      <w:r>
        <w:rPr>
          <w:rFonts w:hint="eastAsia"/>
          <w:sz w:val="24"/>
          <w:szCs w:val="24"/>
        </w:rPr>
        <w:t>年</w:t>
      </w:r>
      <w:r>
        <w:rPr>
          <w:rFonts w:hint="eastAsia"/>
          <w:sz w:val="24"/>
          <w:szCs w:val="24"/>
        </w:rPr>
        <w:t>2</w:t>
      </w:r>
      <w:r>
        <w:rPr>
          <w:rFonts w:hint="eastAsia"/>
          <w:sz w:val="24"/>
          <w:szCs w:val="24"/>
        </w:rPr>
        <w:t>月</w:t>
      </w:r>
      <w:r>
        <w:rPr>
          <w:rFonts w:hint="eastAsia"/>
          <w:sz w:val="24"/>
          <w:szCs w:val="24"/>
        </w:rPr>
        <w:t>6</w:t>
      </w:r>
      <w:r>
        <w:rPr>
          <w:rFonts w:hint="eastAsia"/>
          <w:sz w:val="24"/>
          <w:szCs w:val="24"/>
        </w:rPr>
        <w:t>日）</w:t>
      </w:r>
    </w:p>
    <w:p w14:paraId="708859F6"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15</w:t>
      </w:r>
      <w:r>
        <w:rPr>
          <w:rFonts w:hint="eastAsia"/>
          <w:sz w:val="24"/>
          <w:szCs w:val="24"/>
        </w:rPr>
        <w:t>）《中华人民共和国野生植物保护条例》（</w:t>
      </w:r>
      <w:r>
        <w:rPr>
          <w:rFonts w:hint="eastAsia"/>
          <w:sz w:val="24"/>
          <w:szCs w:val="24"/>
        </w:rPr>
        <w:t>2017</w:t>
      </w:r>
      <w:r>
        <w:rPr>
          <w:rFonts w:hint="eastAsia"/>
          <w:sz w:val="24"/>
          <w:szCs w:val="24"/>
        </w:rPr>
        <w:t>年</w:t>
      </w:r>
      <w:r>
        <w:rPr>
          <w:rFonts w:hint="eastAsia"/>
          <w:sz w:val="24"/>
          <w:szCs w:val="24"/>
        </w:rPr>
        <w:t>10</w:t>
      </w:r>
      <w:r>
        <w:rPr>
          <w:rFonts w:hint="eastAsia"/>
          <w:sz w:val="24"/>
          <w:szCs w:val="24"/>
        </w:rPr>
        <w:t>月日）；</w:t>
      </w:r>
    </w:p>
    <w:p w14:paraId="39F027DB"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16</w:t>
      </w:r>
      <w:r>
        <w:rPr>
          <w:rFonts w:hint="eastAsia"/>
          <w:sz w:val="24"/>
          <w:szCs w:val="24"/>
        </w:rPr>
        <w:t>）《中华人民共和国河道管理条例》（</w:t>
      </w:r>
      <w:r>
        <w:rPr>
          <w:rFonts w:hint="eastAsia"/>
          <w:sz w:val="24"/>
          <w:szCs w:val="24"/>
        </w:rPr>
        <w:t>2017</w:t>
      </w:r>
      <w:r>
        <w:rPr>
          <w:rFonts w:hint="eastAsia"/>
          <w:sz w:val="24"/>
          <w:szCs w:val="24"/>
        </w:rPr>
        <w:t>年</w:t>
      </w:r>
      <w:r>
        <w:rPr>
          <w:rFonts w:hint="eastAsia"/>
          <w:sz w:val="24"/>
          <w:szCs w:val="24"/>
        </w:rPr>
        <w:t>10</w:t>
      </w:r>
      <w:r>
        <w:rPr>
          <w:rFonts w:hint="eastAsia"/>
          <w:sz w:val="24"/>
          <w:szCs w:val="24"/>
        </w:rPr>
        <w:t>月</w:t>
      </w:r>
      <w:r>
        <w:rPr>
          <w:rFonts w:hint="eastAsia"/>
          <w:sz w:val="24"/>
          <w:szCs w:val="24"/>
        </w:rPr>
        <w:t>1</w:t>
      </w:r>
      <w:r>
        <w:rPr>
          <w:rFonts w:hint="eastAsia"/>
          <w:sz w:val="24"/>
          <w:szCs w:val="24"/>
        </w:rPr>
        <w:t>日）；</w:t>
      </w:r>
    </w:p>
    <w:p w14:paraId="4D35CF34"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17</w:t>
      </w:r>
      <w:r>
        <w:rPr>
          <w:rFonts w:hint="eastAsia"/>
          <w:sz w:val="24"/>
          <w:szCs w:val="24"/>
        </w:rPr>
        <w:t>）《中华人民共和国自然保护区条例》（</w:t>
      </w:r>
      <w:r>
        <w:rPr>
          <w:rFonts w:hint="eastAsia"/>
          <w:sz w:val="24"/>
          <w:szCs w:val="24"/>
        </w:rPr>
        <w:t>2017</w:t>
      </w:r>
      <w:r>
        <w:rPr>
          <w:rFonts w:hint="eastAsia"/>
          <w:sz w:val="24"/>
          <w:szCs w:val="24"/>
        </w:rPr>
        <w:t>年</w:t>
      </w:r>
      <w:r>
        <w:rPr>
          <w:rFonts w:hint="eastAsia"/>
          <w:sz w:val="24"/>
          <w:szCs w:val="24"/>
        </w:rPr>
        <w:t>10</w:t>
      </w:r>
      <w:r>
        <w:rPr>
          <w:rFonts w:hint="eastAsia"/>
          <w:sz w:val="24"/>
          <w:szCs w:val="24"/>
        </w:rPr>
        <w:t>月</w:t>
      </w:r>
      <w:r>
        <w:rPr>
          <w:rFonts w:hint="eastAsia"/>
          <w:sz w:val="24"/>
          <w:szCs w:val="24"/>
        </w:rPr>
        <w:t>7</w:t>
      </w:r>
      <w:r>
        <w:rPr>
          <w:rFonts w:hint="eastAsia"/>
          <w:sz w:val="24"/>
          <w:szCs w:val="24"/>
        </w:rPr>
        <w:t>日）；</w:t>
      </w:r>
    </w:p>
    <w:p w14:paraId="245AE525"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18</w:t>
      </w:r>
      <w:r>
        <w:rPr>
          <w:rFonts w:hint="eastAsia"/>
          <w:sz w:val="24"/>
          <w:szCs w:val="24"/>
        </w:rPr>
        <w:t>）《中华人民共和国环境保护税法》（</w:t>
      </w:r>
      <w:r>
        <w:rPr>
          <w:rFonts w:hint="eastAsia"/>
          <w:sz w:val="24"/>
          <w:szCs w:val="24"/>
        </w:rPr>
        <w:t>2018</w:t>
      </w:r>
      <w:r>
        <w:rPr>
          <w:rFonts w:hint="eastAsia"/>
          <w:sz w:val="24"/>
          <w:szCs w:val="24"/>
        </w:rPr>
        <w:t>年</w:t>
      </w:r>
      <w:r>
        <w:rPr>
          <w:rFonts w:hint="eastAsia"/>
          <w:sz w:val="24"/>
          <w:szCs w:val="24"/>
        </w:rPr>
        <w:t>1</w:t>
      </w:r>
      <w:r>
        <w:rPr>
          <w:rFonts w:hint="eastAsia"/>
          <w:sz w:val="24"/>
          <w:szCs w:val="24"/>
        </w:rPr>
        <w:t>月</w:t>
      </w:r>
      <w:r>
        <w:rPr>
          <w:rFonts w:hint="eastAsia"/>
          <w:sz w:val="24"/>
          <w:szCs w:val="24"/>
        </w:rPr>
        <w:t>1</w:t>
      </w:r>
      <w:r>
        <w:rPr>
          <w:rFonts w:hint="eastAsia"/>
          <w:sz w:val="24"/>
          <w:szCs w:val="24"/>
        </w:rPr>
        <w:t>日）；</w:t>
      </w:r>
    </w:p>
    <w:p w14:paraId="4E157B75"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19</w:t>
      </w:r>
      <w:r>
        <w:rPr>
          <w:rFonts w:hint="eastAsia"/>
          <w:sz w:val="24"/>
          <w:szCs w:val="24"/>
        </w:rPr>
        <w:t>）《中华人民共和国环境保护税法实施条例》（国务院令第</w:t>
      </w:r>
      <w:r>
        <w:rPr>
          <w:rFonts w:hint="eastAsia"/>
          <w:sz w:val="24"/>
          <w:szCs w:val="24"/>
        </w:rPr>
        <w:t>693</w:t>
      </w:r>
      <w:r>
        <w:rPr>
          <w:rFonts w:hint="eastAsia"/>
          <w:sz w:val="24"/>
          <w:szCs w:val="24"/>
        </w:rPr>
        <w:t>号，</w:t>
      </w:r>
      <w:r>
        <w:rPr>
          <w:rFonts w:hint="eastAsia"/>
          <w:sz w:val="24"/>
          <w:szCs w:val="24"/>
        </w:rPr>
        <w:t>2018</w:t>
      </w:r>
      <w:r>
        <w:rPr>
          <w:rFonts w:hint="eastAsia"/>
          <w:sz w:val="24"/>
          <w:szCs w:val="24"/>
        </w:rPr>
        <w:t>年</w:t>
      </w:r>
      <w:r>
        <w:rPr>
          <w:rFonts w:hint="eastAsia"/>
          <w:sz w:val="24"/>
          <w:szCs w:val="24"/>
        </w:rPr>
        <w:t>1</w:t>
      </w:r>
      <w:r>
        <w:rPr>
          <w:rFonts w:hint="eastAsia"/>
          <w:sz w:val="24"/>
          <w:szCs w:val="24"/>
        </w:rPr>
        <w:t>月</w:t>
      </w:r>
      <w:r>
        <w:rPr>
          <w:rFonts w:hint="eastAsia"/>
          <w:sz w:val="24"/>
          <w:szCs w:val="24"/>
        </w:rPr>
        <w:t>1</w:t>
      </w:r>
      <w:r>
        <w:rPr>
          <w:rFonts w:hint="eastAsia"/>
          <w:sz w:val="24"/>
          <w:szCs w:val="24"/>
        </w:rPr>
        <w:t>日）；</w:t>
      </w:r>
    </w:p>
    <w:p w14:paraId="292E0821" w14:textId="77777777" w:rsidR="007D1E74" w:rsidRDefault="00A95641">
      <w:pPr>
        <w:tabs>
          <w:tab w:val="left" w:pos="7290"/>
        </w:tabs>
        <w:spacing w:line="360" w:lineRule="auto"/>
        <w:ind w:firstLineChars="200" w:firstLine="480"/>
        <w:rPr>
          <w:sz w:val="24"/>
          <w:szCs w:val="24"/>
        </w:rPr>
      </w:pPr>
      <w:r>
        <w:rPr>
          <w:rFonts w:hint="eastAsia"/>
          <w:sz w:val="24"/>
          <w:szCs w:val="24"/>
        </w:rPr>
        <w:t>（</w:t>
      </w:r>
      <w:r>
        <w:rPr>
          <w:rFonts w:hint="eastAsia"/>
          <w:sz w:val="24"/>
          <w:szCs w:val="24"/>
        </w:rPr>
        <w:t>20</w:t>
      </w:r>
      <w:r>
        <w:rPr>
          <w:rFonts w:hint="eastAsia"/>
          <w:sz w:val="24"/>
          <w:szCs w:val="24"/>
        </w:rPr>
        <w:t>）《大气污染防治行动计划》（国发【</w:t>
      </w:r>
      <w:r>
        <w:rPr>
          <w:rFonts w:hint="eastAsia"/>
          <w:sz w:val="24"/>
          <w:szCs w:val="24"/>
        </w:rPr>
        <w:t>2013</w:t>
      </w:r>
      <w:r>
        <w:rPr>
          <w:rFonts w:hint="eastAsia"/>
          <w:sz w:val="24"/>
          <w:szCs w:val="24"/>
        </w:rPr>
        <w:t>】</w:t>
      </w:r>
      <w:r>
        <w:rPr>
          <w:rFonts w:hint="eastAsia"/>
          <w:sz w:val="24"/>
          <w:szCs w:val="24"/>
        </w:rPr>
        <w:t>37</w:t>
      </w:r>
      <w:r>
        <w:rPr>
          <w:rFonts w:hint="eastAsia"/>
          <w:sz w:val="24"/>
          <w:szCs w:val="24"/>
        </w:rPr>
        <w:t>号）；</w:t>
      </w:r>
    </w:p>
    <w:p w14:paraId="65FA9E8C"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21</w:t>
      </w:r>
      <w:r>
        <w:rPr>
          <w:rFonts w:hint="eastAsia"/>
          <w:sz w:val="24"/>
          <w:szCs w:val="24"/>
        </w:rPr>
        <w:t>）《水污染防治行动计划》（国发【</w:t>
      </w:r>
      <w:r>
        <w:rPr>
          <w:rFonts w:hint="eastAsia"/>
          <w:sz w:val="24"/>
          <w:szCs w:val="24"/>
        </w:rPr>
        <w:t>2015</w:t>
      </w:r>
      <w:r>
        <w:rPr>
          <w:rFonts w:hint="eastAsia"/>
          <w:sz w:val="24"/>
          <w:szCs w:val="24"/>
        </w:rPr>
        <w:t>】</w:t>
      </w:r>
      <w:r>
        <w:rPr>
          <w:rFonts w:hint="eastAsia"/>
          <w:sz w:val="24"/>
          <w:szCs w:val="24"/>
        </w:rPr>
        <w:t>17</w:t>
      </w:r>
      <w:r>
        <w:rPr>
          <w:rFonts w:hint="eastAsia"/>
          <w:sz w:val="24"/>
          <w:szCs w:val="24"/>
        </w:rPr>
        <w:t>号）；</w:t>
      </w:r>
    </w:p>
    <w:p w14:paraId="5AA1426A"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22</w:t>
      </w:r>
      <w:r>
        <w:rPr>
          <w:rFonts w:hint="eastAsia"/>
          <w:sz w:val="24"/>
          <w:szCs w:val="24"/>
        </w:rPr>
        <w:t>）《土壤污染防治行动计划》（国发【</w:t>
      </w:r>
      <w:r>
        <w:rPr>
          <w:rFonts w:hint="eastAsia"/>
          <w:sz w:val="24"/>
          <w:szCs w:val="24"/>
        </w:rPr>
        <w:t>2016</w:t>
      </w:r>
      <w:r>
        <w:rPr>
          <w:rFonts w:hint="eastAsia"/>
          <w:sz w:val="24"/>
          <w:szCs w:val="24"/>
        </w:rPr>
        <w:t>】</w:t>
      </w:r>
      <w:r>
        <w:rPr>
          <w:rFonts w:hint="eastAsia"/>
          <w:sz w:val="24"/>
          <w:szCs w:val="24"/>
        </w:rPr>
        <w:t>31</w:t>
      </w:r>
      <w:r>
        <w:rPr>
          <w:rFonts w:hint="eastAsia"/>
          <w:sz w:val="24"/>
          <w:szCs w:val="24"/>
        </w:rPr>
        <w:t>号）；</w:t>
      </w:r>
    </w:p>
    <w:p w14:paraId="777DC960"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23</w:t>
      </w:r>
      <w:r>
        <w:rPr>
          <w:rFonts w:hint="eastAsia"/>
          <w:sz w:val="24"/>
          <w:szCs w:val="24"/>
        </w:rPr>
        <w:t>）《国家危险废物名录（</w:t>
      </w:r>
      <w:r>
        <w:rPr>
          <w:rFonts w:hint="eastAsia"/>
          <w:sz w:val="24"/>
          <w:szCs w:val="24"/>
        </w:rPr>
        <w:t xml:space="preserve">2021 </w:t>
      </w:r>
      <w:r>
        <w:rPr>
          <w:rFonts w:hint="eastAsia"/>
          <w:sz w:val="24"/>
          <w:szCs w:val="24"/>
        </w:rPr>
        <w:t>版）》（</w:t>
      </w:r>
      <w:r>
        <w:rPr>
          <w:rFonts w:hint="eastAsia"/>
          <w:sz w:val="24"/>
          <w:szCs w:val="24"/>
        </w:rPr>
        <w:t>2021</w:t>
      </w:r>
      <w:r>
        <w:rPr>
          <w:rFonts w:hint="eastAsia"/>
          <w:sz w:val="24"/>
          <w:szCs w:val="24"/>
        </w:rPr>
        <w:t>年</w:t>
      </w:r>
      <w:r>
        <w:rPr>
          <w:rFonts w:hint="eastAsia"/>
          <w:sz w:val="24"/>
          <w:szCs w:val="24"/>
        </w:rPr>
        <w:t>1</w:t>
      </w:r>
      <w:r>
        <w:rPr>
          <w:rFonts w:hint="eastAsia"/>
          <w:sz w:val="24"/>
          <w:szCs w:val="24"/>
        </w:rPr>
        <w:t>月</w:t>
      </w:r>
      <w:r>
        <w:rPr>
          <w:rFonts w:hint="eastAsia"/>
          <w:sz w:val="24"/>
          <w:szCs w:val="24"/>
        </w:rPr>
        <w:t>1</w:t>
      </w:r>
      <w:r>
        <w:rPr>
          <w:rFonts w:hint="eastAsia"/>
          <w:sz w:val="24"/>
          <w:szCs w:val="24"/>
        </w:rPr>
        <w:t>日实施）；</w:t>
      </w:r>
    </w:p>
    <w:p w14:paraId="2FA36528"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24</w:t>
      </w:r>
      <w:r>
        <w:rPr>
          <w:rFonts w:hint="eastAsia"/>
          <w:sz w:val="24"/>
          <w:szCs w:val="24"/>
        </w:rPr>
        <w:t>）《建设项目环境保护管理条例》（国务院令第</w:t>
      </w:r>
      <w:r>
        <w:rPr>
          <w:rFonts w:hint="eastAsia"/>
          <w:sz w:val="24"/>
          <w:szCs w:val="24"/>
        </w:rPr>
        <w:t>682</w:t>
      </w:r>
      <w:r>
        <w:rPr>
          <w:rFonts w:hint="eastAsia"/>
          <w:sz w:val="24"/>
          <w:szCs w:val="24"/>
        </w:rPr>
        <w:t>号，</w:t>
      </w:r>
      <w:r>
        <w:rPr>
          <w:rFonts w:hint="eastAsia"/>
          <w:sz w:val="24"/>
          <w:szCs w:val="24"/>
        </w:rPr>
        <w:t>2017</w:t>
      </w:r>
      <w:r>
        <w:rPr>
          <w:rFonts w:hint="eastAsia"/>
          <w:sz w:val="24"/>
          <w:szCs w:val="24"/>
        </w:rPr>
        <w:t>年</w:t>
      </w:r>
      <w:r>
        <w:rPr>
          <w:rFonts w:hint="eastAsia"/>
          <w:sz w:val="24"/>
          <w:szCs w:val="24"/>
        </w:rPr>
        <w:t>10</w:t>
      </w:r>
      <w:r>
        <w:rPr>
          <w:rFonts w:hint="eastAsia"/>
          <w:sz w:val="24"/>
          <w:szCs w:val="24"/>
        </w:rPr>
        <w:t>月</w:t>
      </w:r>
      <w:r>
        <w:rPr>
          <w:rFonts w:hint="eastAsia"/>
          <w:sz w:val="24"/>
          <w:szCs w:val="24"/>
        </w:rPr>
        <w:t>1</w:t>
      </w:r>
      <w:r>
        <w:rPr>
          <w:rFonts w:hint="eastAsia"/>
          <w:sz w:val="24"/>
          <w:szCs w:val="24"/>
        </w:rPr>
        <w:t>日）；</w:t>
      </w:r>
    </w:p>
    <w:p w14:paraId="2A6C7DFC"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25</w:t>
      </w:r>
      <w:r>
        <w:rPr>
          <w:rFonts w:hint="eastAsia"/>
          <w:sz w:val="24"/>
          <w:szCs w:val="24"/>
        </w:rPr>
        <w:t>）《建设项目环境影响评价分类管理名录》（</w:t>
      </w:r>
      <w:r>
        <w:rPr>
          <w:rFonts w:hint="eastAsia"/>
          <w:sz w:val="24"/>
          <w:szCs w:val="24"/>
        </w:rPr>
        <w:t>2021</w:t>
      </w:r>
      <w:r>
        <w:rPr>
          <w:rFonts w:hint="eastAsia"/>
          <w:sz w:val="24"/>
          <w:szCs w:val="24"/>
        </w:rPr>
        <w:t>年版）；</w:t>
      </w:r>
    </w:p>
    <w:p w14:paraId="1F29E6D8"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26</w:t>
      </w:r>
      <w:r>
        <w:rPr>
          <w:rFonts w:hint="eastAsia"/>
          <w:sz w:val="24"/>
          <w:szCs w:val="24"/>
        </w:rPr>
        <w:t>）《产业结构调整指导目录（</w:t>
      </w:r>
      <w:r>
        <w:rPr>
          <w:rFonts w:hint="eastAsia"/>
          <w:sz w:val="24"/>
          <w:szCs w:val="24"/>
        </w:rPr>
        <w:t>2019</w:t>
      </w:r>
      <w:r>
        <w:rPr>
          <w:rFonts w:hint="eastAsia"/>
          <w:sz w:val="24"/>
          <w:szCs w:val="24"/>
        </w:rPr>
        <w:t>年本）》；</w:t>
      </w:r>
    </w:p>
    <w:p w14:paraId="2589AC16"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27</w:t>
      </w:r>
      <w:r>
        <w:rPr>
          <w:rFonts w:hint="eastAsia"/>
          <w:sz w:val="24"/>
          <w:szCs w:val="24"/>
        </w:rPr>
        <w:t>）《全国生态环境保护纲要》（国发【</w:t>
      </w:r>
      <w:r>
        <w:rPr>
          <w:rFonts w:hint="eastAsia"/>
          <w:sz w:val="24"/>
          <w:szCs w:val="24"/>
        </w:rPr>
        <w:t>2000</w:t>
      </w:r>
      <w:r>
        <w:rPr>
          <w:rFonts w:hint="eastAsia"/>
          <w:sz w:val="24"/>
          <w:szCs w:val="24"/>
        </w:rPr>
        <w:t>】</w:t>
      </w:r>
      <w:r>
        <w:rPr>
          <w:rFonts w:hint="eastAsia"/>
          <w:sz w:val="24"/>
          <w:szCs w:val="24"/>
        </w:rPr>
        <w:t>38</w:t>
      </w:r>
      <w:r>
        <w:rPr>
          <w:rFonts w:hint="eastAsia"/>
          <w:sz w:val="24"/>
          <w:szCs w:val="24"/>
        </w:rPr>
        <w:t>号，</w:t>
      </w:r>
      <w:r>
        <w:rPr>
          <w:rFonts w:hint="eastAsia"/>
          <w:sz w:val="24"/>
          <w:szCs w:val="24"/>
        </w:rPr>
        <w:t>2000</w:t>
      </w:r>
      <w:r>
        <w:rPr>
          <w:rFonts w:hint="eastAsia"/>
          <w:sz w:val="24"/>
          <w:szCs w:val="24"/>
        </w:rPr>
        <w:t>年</w:t>
      </w:r>
      <w:r>
        <w:rPr>
          <w:rFonts w:hint="eastAsia"/>
          <w:sz w:val="24"/>
          <w:szCs w:val="24"/>
        </w:rPr>
        <w:t>12</w:t>
      </w:r>
      <w:r>
        <w:rPr>
          <w:rFonts w:hint="eastAsia"/>
          <w:sz w:val="24"/>
          <w:szCs w:val="24"/>
        </w:rPr>
        <w:t>月</w:t>
      </w:r>
      <w:r>
        <w:rPr>
          <w:rFonts w:hint="eastAsia"/>
          <w:sz w:val="24"/>
          <w:szCs w:val="24"/>
        </w:rPr>
        <w:t>6</w:t>
      </w:r>
      <w:r>
        <w:rPr>
          <w:rFonts w:hint="eastAsia"/>
          <w:sz w:val="24"/>
          <w:szCs w:val="24"/>
        </w:rPr>
        <w:t>日）；</w:t>
      </w:r>
    </w:p>
    <w:p w14:paraId="2D9B83A3"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28</w:t>
      </w:r>
      <w:r>
        <w:rPr>
          <w:rFonts w:hint="eastAsia"/>
          <w:sz w:val="24"/>
          <w:szCs w:val="24"/>
        </w:rPr>
        <w:t>）《土地复垦条例》（国务院令</w:t>
      </w:r>
      <w:r>
        <w:rPr>
          <w:rFonts w:hint="eastAsia"/>
          <w:sz w:val="24"/>
          <w:szCs w:val="24"/>
        </w:rPr>
        <w:t>592</w:t>
      </w:r>
      <w:r>
        <w:rPr>
          <w:rFonts w:hint="eastAsia"/>
          <w:sz w:val="24"/>
          <w:szCs w:val="24"/>
        </w:rPr>
        <w:t>号，</w:t>
      </w:r>
      <w:r>
        <w:rPr>
          <w:rFonts w:hint="eastAsia"/>
          <w:sz w:val="24"/>
          <w:szCs w:val="24"/>
        </w:rPr>
        <w:t>2011</w:t>
      </w:r>
      <w:r>
        <w:rPr>
          <w:rFonts w:hint="eastAsia"/>
          <w:sz w:val="24"/>
          <w:szCs w:val="24"/>
        </w:rPr>
        <w:t>年</w:t>
      </w:r>
      <w:r>
        <w:rPr>
          <w:rFonts w:hint="eastAsia"/>
          <w:sz w:val="24"/>
          <w:szCs w:val="24"/>
        </w:rPr>
        <w:t>2</w:t>
      </w:r>
      <w:r>
        <w:rPr>
          <w:rFonts w:hint="eastAsia"/>
          <w:sz w:val="24"/>
          <w:szCs w:val="24"/>
        </w:rPr>
        <w:t>月</w:t>
      </w:r>
      <w:r>
        <w:rPr>
          <w:rFonts w:hint="eastAsia"/>
          <w:sz w:val="24"/>
          <w:szCs w:val="24"/>
        </w:rPr>
        <w:t>22</w:t>
      </w:r>
      <w:r>
        <w:rPr>
          <w:rFonts w:hint="eastAsia"/>
          <w:sz w:val="24"/>
          <w:szCs w:val="24"/>
        </w:rPr>
        <w:t>日）；</w:t>
      </w:r>
    </w:p>
    <w:p w14:paraId="4215CE2B"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29</w:t>
      </w:r>
      <w:r>
        <w:rPr>
          <w:rFonts w:hint="eastAsia"/>
          <w:sz w:val="24"/>
          <w:szCs w:val="24"/>
        </w:rPr>
        <w:t>）《基本农田保护条例》（</w:t>
      </w:r>
      <w:r>
        <w:rPr>
          <w:rFonts w:hint="eastAsia"/>
          <w:sz w:val="24"/>
          <w:szCs w:val="24"/>
        </w:rPr>
        <w:t>1998</w:t>
      </w:r>
      <w:r>
        <w:rPr>
          <w:rFonts w:hint="eastAsia"/>
          <w:sz w:val="24"/>
          <w:szCs w:val="24"/>
        </w:rPr>
        <w:t>年</w:t>
      </w:r>
      <w:r>
        <w:rPr>
          <w:rFonts w:hint="eastAsia"/>
          <w:sz w:val="24"/>
          <w:szCs w:val="24"/>
        </w:rPr>
        <w:t>12</w:t>
      </w:r>
      <w:r>
        <w:rPr>
          <w:rFonts w:hint="eastAsia"/>
          <w:sz w:val="24"/>
          <w:szCs w:val="24"/>
        </w:rPr>
        <w:t>月</w:t>
      </w:r>
      <w:r>
        <w:rPr>
          <w:rFonts w:hint="eastAsia"/>
          <w:sz w:val="24"/>
          <w:szCs w:val="24"/>
        </w:rPr>
        <w:t>27</w:t>
      </w:r>
      <w:r>
        <w:rPr>
          <w:rFonts w:hint="eastAsia"/>
          <w:sz w:val="24"/>
          <w:szCs w:val="24"/>
        </w:rPr>
        <w:t>日）；</w:t>
      </w:r>
    </w:p>
    <w:p w14:paraId="59932C2C"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30</w:t>
      </w:r>
      <w:r>
        <w:rPr>
          <w:rFonts w:hint="eastAsia"/>
          <w:sz w:val="24"/>
          <w:szCs w:val="24"/>
        </w:rPr>
        <w:t>）《环境影响评价公众参与办法》（生态环境部令第</w:t>
      </w:r>
      <w:r>
        <w:rPr>
          <w:rFonts w:hint="eastAsia"/>
          <w:sz w:val="24"/>
          <w:szCs w:val="24"/>
        </w:rPr>
        <w:t>4</w:t>
      </w:r>
      <w:r>
        <w:rPr>
          <w:rFonts w:hint="eastAsia"/>
          <w:sz w:val="24"/>
          <w:szCs w:val="24"/>
        </w:rPr>
        <w:t>号，</w:t>
      </w:r>
      <w:r>
        <w:rPr>
          <w:rFonts w:hint="eastAsia"/>
          <w:sz w:val="24"/>
          <w:szCs w:val="24"/>
        </w:rPr>
        <w:t>2019</w:t>
      </w:r>
      <w:r>
        <w:rPr>
          <w:rFonts w:hint="eastAsia"/>
          <w:sz w:val="24"/>
          <w:szCs w:val="24"/>
        </w:rPr>
        <w:t>年</w:t>
      </w:r>
      <w:r>
        <w:rPr>
          <w:rFonts w:hint="eastAsia"/>
          <w:sz w:val="24"/>
          <w:szCs w:val="24"/>
        </w:rPr>
        <w:t>1</w:t>
      </w:r>
      <w:r>
        <w:rPr>
          <w:rFonts w:hint="eastAsia"/>
          <w:sz w:val="24"/>
          <w:szCs w:val="24"/>
        </w:rPr>
        <w:t>月</w:t>
      </w:r>
      <w:r>
        <w:rPr>
          <w:rFonts w:hint="eastAsia"/>
          <w:sz w:val="24"/>
          <w:szCs w:val="24"/>
        </w:rPr>
        <w:t>1</w:t>
      </w:r>
      <w:r>
        <w:rPr>
          <w:rFonts w:hint="eastAsia"/>
          <w:sz w:val="24"/>
          <w:szCs w:val="24"/>
        </w:rPr>
        <w:t>日）；</w:t>
      </w:r>
    </w:p>
    <w:p w14:paraId="7E128B0B"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31</w:t>
      </w:r>
      <w:r>
        <w:rPr>
          <w:rFonts w:hint="eastAsia"/>
          <w:sz w:val="24"/>
          <w:szCs w:val="24"/>
        </w:rPr>
        <w:t>）生态环境部《关于发布</w:t>
      </w:r>
      <w:r>
        <w:rPr>
          <w:rFonts w:hint="eastAsia"/>
          <w:sz w:val="24"/>
          <w:szCs w:val="24"/>
        </w:rPr>
        <w:t>&lt;</w:t>
      </w:r>
      <w:r>
        <w:rPr>
          <w:rFonts w:hint="eastAsia"/>
          <w:sz w:val="24"/>
          <w:szCs w:val="24"/>
        </w:rPr>
        <w:t>环境影响评价公众参与办法</w:t>
      </w:r>
      <w:r>
        <w:rPr>
          <w:rFonts w:hint="eastAsia"/>
          <w:sz w:val="24"/>
          <w:szCs w:val="24"/>
        </w:rPr>
        <w:t>&gt;</w:t>
      </w:r>
      <w:r>
        <w:rPr>
          <w:rFonts w:hint="eastAsia"/>
          <w:sz w:val="24"/>
          <w:szCs w:val="24"/>
        </w:rPr>
        <w:t>配套文件的公告》（生态环境部公告，</w:t>
      </w:r>
      <w:r>
        <w:rPr>
          <w:rFonts w:hint="eastAsia"/>
          <w:sz w:val="24"/>
          <w:szCs w:val="24"/>
        </w:rPr>
        <w:t>2018</w:t>
      </w:r>
      <w:r>
        <w:rPr>
          <w:rFonts w:hint="eastAsia"/>
          <w:sz w:val="24"/>
          <w:szCs w:val="24"/>
        </w:rPr>
        <w:t>年第</w:t>
      </w:r>
      <w:r>
        <w:rPr>
          <w:rFonts w:hint="eastAsia"/>
          <w:sz w:val="24"/>
          <w:szCs w:val="24"/>
        </w:rPr>
        <w:t>48</w:t>
      </w:r>
      <w:r>
        <w:rPr>
          <w:rFonts w:hint="eastAsia"/>
          <w:sz w:val="24"/>
          <w:szCs w:val="24"/>
        </w:rPr>
        <w:t>号）；</w:t>
      </w:r>
    </w:p>
    <w:p w14:paraId="286D16E4"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32</w:t>
      </w:r>
      <w:r>
        <w:rPr>
          <w:rFonts w:hint="eastAsia"/>
          <w:sz w:val="24"/>
          <w:szCs w:val="24"/>
        </w:rPr>
        <w:t>）《四川省重点保护野生动物名录》（</w:t>
      </w:r>
      <w:r>
        <w:rPr>
          <w:rFonts w:hint="eastAsia"/>
          <w:sz w:val="24"/>
          <w:szCs w:val="24"/>
        </w:rPr>
        <w:t>1990</w:t>
      </w:r>
      <w:r>
        <w:rPr>
          <w:rFonts w:hint="eastAsia"/>
          <w:sz w:val="24"/>
          <w:szCs w:val="24"/>
        </w:rPr>
        <w:t>年</w:t>
      </w:r>
      <w:r>
        <w:rPr>
          <w:rFonts w:hint="eastAsia"/>
          <w:sz w:val="24"/>
          <w:szCs w:val="24"/>
        </w:rPr>
        <w:t>3</w:t>
      </w:r>
      <w:r>
        <w:rPr>
          <w:rFonts w:hint="eastAsia"/>
          <w:sz w:val="24"/>
          <w:szCs w:val="24"/>
        </w:rPr>
        <w:t>月</w:t>
      </w:r>
      <w:r>
        <w:rPr>
          <w:rFonts w:hint="eastAsia"/>
          <w:sz w:val="24"/>
          <w:szCs w:val="24"/>
        </w:rPr>
        <w:t>12</w:t>
      </w:r>
      <w:r>
        <w:rPr>
          <w:rFonts w:hint="eastAsia"/>
          <w:sz w:val="24"/>
          <w:szCs w:val="24"/>
        </w:rPr>
        <w:t>日）；</w:t>
      </w:r>
    </w:p>
    <w:p w14:paraId="7C13DFE6" w14:textId="77777777" w:rsidR="007D1E74" w:rsidRDefault="00A95641">
      <w:pPr>
        <w:spacing w:line="360" w:lineRule="auto"/>
        <w:ind w:firstLineChars="200" w:firstLine="480"/>
        <w:rPr>
          <w:sz w:val="24"/>
          <w:szCs w:val="24"/>
        </w:rPr>
      </w:pPr>
      <w:r>
        <w:rPr>
          <w:rFonts w:hint="eastAsia"/>
          <w:sz w:val="24"/>
          <w:szCs w:val="24"/>
        </w:rPr>
        <w:lastRenderedPageBreak/>
        <w:t>（</w:t>
      </w:r>
      <w:r>
        <w:rPr>
          <w:rFonts w:hint="eastAsia"/>
          <w:sz w:val="24"/>
          <w:szCs w:val="24"/>
        </w:rPr>
        <w:t>33</w:t>
      </w:r>
      <w:r>
        <w:rPr>
          <w:rFonts w:hint="eastAsia"/>
          <w:sz w:val="24"/>
          <w:szCs w:val="24"/>
        </w:rPr>
        <w:t>）《四川省新增重点保护野生动物名录》（</w:t>
      </w:r>
      <w:r>
        <w:rPr>
          <w:rFonts w:hint="eastAsia"/>
          <w:sz w:val="24"/>
          <w:szCs w:val="24"/>
        </w:rPr>
        <w:t>2000</w:t>
      </w:r>
      <w:r>
        <w:rPr>
          <w:rFonts w:hint="eastAsia"/>
          <w:sz w:val="24"/>
          <w:szCs w:val="24"/>
        </w:rPr>
        <w:t>年</w:t>
      </w:r>
      <w:r>
        <w:rPr>
          <w:rFonts w:hint="eastAsia"/>
          <w:sz w:val="24"/>
          <w:szCs w:val="24"/>
        </w:rPr>
        <w:t>9</w:t>
      </w:r>
      <w:r>
        <w:rPr>
          <w:rFonts w:hint="eastAsia"/>
          <w:sz w:val="24"/>
          <w:szCs w:val="24"/>
        </w:rPr>
        <w:t>月</w:t>
      </w:r>
      <w:r>
        <w:rPr>
          <w:rFonts w:hint="eastAsia"/>
          <w:sz w:val="24"/>
          <w:szCs w:val="24"/>
        </w:rPr>
        <w:t>13</w:t>
      </w:r>
      <w:r>
        <w:rPr>
          <w:rFonts w:hint="eastAsia"/>
          <w:sz w:val="24"/>
          <w:szCs w:val="24"/>
        </w:rPr>
        <w:t>日）；</w:t>
      </w:r>
    </w:p>
    <w:p w14:paraId="218167CD"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34</w:t>
      </w:r>
      <w:r>
        <w:rPr>
          <w:rFonts w:hint="eastAsia"/>
          <w:sz w:val="24"/>
          <w:szCs w:val="24"/>
        </w:rPr>
        <w:t>）《四川省永久基本农田保护实施细则》（</w:t>
      </w:r>
      <w:r>
        <w:rPr>
          <w:rFonts w:hint="eastAsia"/>
          <w:sz w:val="24"/>
          <w:szCs w:val="24"/>
        </w:rPr>
        <w:t>1996</w:t>
      </w:r>
      <w:r>
        <w:rPr>
          <w:rFonts w:hint="eastAsia"/>
          <w:sz w:val="24"/>
          <w:szCs w:val="24"/>
        </w:rPr>
        <w:t>年</w:t>
      </w:r>
      <w:r>
        <w:rPr>
          <w:rFonts w:hint="eastAsia"/>
          <w:sz w:val="24"/>
          <w:szCs w:val="24"/>
        </w:rPr>
        <w:t>2</w:t>
      </w:r>
      <w:r>
        <w:rPr>
          <w:rFonts w:hint="eastAsia"/>
          <w:sz w:val="24"/>
          <w:szCs w:val="24"/>
        </w:rPr>
        <w:t>月</w:t>
      </w:r>
      <w:r>
        <w:rPr>
          <w:rFonts w:hint="eastAsia"/>
          <w:sz w:val="24"/>
          <w:szCs w:val="24"/>
        </w:rPr>
        <w:t>29</w:t>
      </w:r>
      <w:r>
        <w:rPr>
          <w:rFonts w:hint="eastAsia"/>
          <w:sz w:val="24"/>
          <w:szCs w:val="24"/>
        </w:rPr>
        <w:t>日）；</w:t>
      </w:r>
    </w:p>
    <w:p w14:paraId="7C77F704"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35</w:t>
      </w:r>
      <w:r>
        <w:rPr>
          <w:rFonts w:hint="eastAsia"/>
          <w:sz w:val="24"/>
          <w:szCs w:val="24"/>
        </w:rPr>
        <w:t>）《四川省环境保护条例》（</w:t>
      </w:r>
      <w:r>
        <w:rPr>
          <w:rFonts w:hint="eastAsia"/>
          <w:sz w:val="24"/>
          <w:szCs w:val="24"/>
        </w:rPr>
        <w:t>2017</w:t>
      </w:r>
      <w:r>
        <w:rPr>
          <w:rFonts w:hint="eastAsia"/>
          <w:sz w:val="24"/>
          <w:szCs w:val="24"/>
        </w:rPr>
        <w:t>年</w:t>
      </w:r>
      <w:r>
        <w:rPr>
          <w:rFonts w:hint="eastAsia"/>
          <w:sz w:val="24"/>
          <w:szCs w:val="24"/>
        </w:rPr>
        <w:t>9</w:t>
      </w:r>
      <w:r>
        <w:rPr>
          <w:rFonts w:hint="eastAsia"/>
          <w:sz w:val="24"/>
          <w:szCs w:val="24"/>
        </w:rPr>
        <w:t>月</w:t>
      </w:r>
      <w:r>
        <w:rPr>
          <w:rFonts w:hint="eastAsia"/>
          <w:sz w:val="24"/>
          <w:szCs w:val="24"/>
        </w:rPr>
        <w:t>22</w:t>
      </w:r>
      <w:r>
        <w:rPr>
          <w:rFonts w:hint="eastAsia"/>
          <w:sz w:val="24"/>
          <w:szCs w:val="24"/>
        </w:rPr>
        <w:t>日修订）；</w:t>
      </w:r>
    </w:p>
    <w:p w14:paraId="214C429A"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36</w:t>
      </w:r>
      <w:r>
        <w:rPr>
          <w:rFonts w:hint="eastAsia"/>
          <w:sz w:val="24"/>
          <w:szCs w:val="24"/>
        </w:rPr>
        <w:t>）《四川省危险废物污染环境防治办法》（</w:t>
      </w:r>
      <w:r>
        <w:rPr>
          <w:rFonts w:hint="eastAsia"/>
          <w:sz w:val="24"/>
          <w:szCs w:val="24"/>
        </w:rPr>
        <w:t>2004</w:t>
      </w:r>
      <w:r>
        <w:rPr>
          <w:rFonts w:hint="eastAsia"/>
          <w:sz w:val="24"/>
          <w:szCs w:val="24"/>
        </w:rPr>
        <w:t>年</w:t>
      </w:r>
      <w:r>
        <w:rPr>
          <w:rFonts w:hint="eastAsia"/>
          <w:sz w:val="24"/>
          <w:szCs w:val="24"/>
        </w:rPr>
        <w:t>1</w:t>
      </w:r>
      <w:r>
        <w:rPr>
          <w:rFonts w:hint="eastAsia"/>
          <w:sz w:val="24"/>
          <w:szCs w:val="24"/>
        </w:rPr>
        <w:t>月</w:t>
      </w:r>
      <w:r>
        <w:rPr>
          <w:rFonts w:hint="eastAsia"/>
          <w:sz w:val="24"/>
          <w:szCs w:val="24"/>
        </w:rPr>
        <w:t>1</w:t>
      </w:r>
      <w:r>
        <w:rPr>
          <w:rFonts w:hint="eastAsia"/>
          <w:sz w:val="24"/>
          <w:szCs w:val="24"/>
        </w:rPr>
        <w:t>日）；</w:t>
      </w:r>
    </w:p>
    <w:p w14:paraId="05A3C206"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37</w:t>
      </w:r>
      <w:r>
        <w:rPr>
          <w:rFonts w:hint="eastAsia"/>
          <w:sz w:val="24"/>
          <w:szCs w:val="24"/>
        </w:rPr>
        <w:t>）《四川省主体功能区规划》（川府发〔</w:t>
      </w:r>
      <w:r>
        <w:rPr>
          <w:rFonts w:hint="eastAsia"/>
          <w:sz w:val="24"/>
          <w:szCs w:val="24"/>
        </w:rPr>
        <w:t>2013</w:t>
      </w:r>
      <w:r>
        <w:rPr>
          <w:rFonts w:hint="eastAsia"/>
          <w:sz w:val="24"/>
          <w:szCs w:val="24"/>
        </w:rPr>
        <w:t>〕</w:t>
      </w:r>
      <w:r>
        <w:rPr>
          <w:rFonts w:hint="eastAsia"/>
          <w:sz w:val="24"/>
          <w:szCs w:val="24"/>
        </w:rPr>
        <w:t>16</w:t>
      </w:r>
      <w:r>
        <w:rPr>
          <w:rFonts w:hint="eastAsia"/>
          <w:sz w:val="24"/>
          <w:szCs w:val="24"/>
        </w:rPr>
        <w:t>号）；</w:t>
      </w:r>
    </w:p>
    <w:p w14:paraId="76571CDE"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38</w:t>
      </w:r>
      <w:r>
        <w:rPr>
          <w:rFonts w:hint="eastAsia"/>
          <w:sz w:val="24"/>
          <w:szCs w:val="24"/>
        </w:rPr>
        <w:t>）《关于进一步加强我省农村饮用水水源保护区环境保护工作的通知》（川环办发</w:t>
      </w:r>
      <w:r>
        <w:rPr>
          <w:rFonts w:hint="eastAsia"/>
          <w:sz w:val="24"/>
          <w:szCs w:val="24"/>
        </w:rPr>
        <w:t>[2011]98</w:t>
      </w:r>
      <w:r>
        <w:rPr>
          <w:rFonts w:hint="eastAsia"/>
          <w:sz w:val="24"/>
          <w:szCs w:val="24"/>
        </w:rPr>
        <w:t>号）；</w:t>
      </w:r>
    </w:p>
    <w:p w14:paraId="06FB75CD"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39</w:t>
      </w:r>
      <w:r>
        <w:rPr>
          <w:rFonts w:hint="eastAsia"/>
          <w:sz w:val="24"/>
          <w:szCs w:val="24"/>
        </w:rPr>
        <w:t>）《四川省</w:t>
      </w:r>
      <w:r>
        <w:rPr>
          <w:rFonts w:hint="eastAsia"/>
          <w:sz w:val="24"/>
          <w:szCs w:val="24"/>
        </w:rPr>
        <w:t>&lt;</w:t>
      </w:r>
      <w:r>
        <w:rPr>
          <w:rFonts w:hint="eastAsia"/>
          <w:sz w:val="24"/>
          <w:szCs w:val="24"/>
        </w:rPr>
        <w:t>中华人民共和国水土保持法</w:t>
      </w:r>
      <w:r>
        <w:rPr>
          <w:rFonts w:hint="eastAsia"/>
          <w:sz w:val="24"/>
          <w:szCs w:val="24"/>
        </w:rPr>
        <w:t>&gt;</w:t>
      </w:r>
      <w:r>
        <w:rPr>
          <w:rFonts w:hint="eastAsia"/>
          <w:sz w:val="24"/>
          <w:szCs w:val="24"/>
        </w:rPr>
        <w:t>实施办法》（</w:t>
      </w:r>
      <w:r>
        <w:rPr>
          <w:rFonts w:hint="eastAsia"/>
          <w:sz w:val="24"/>
          <w:szCs w:val="24"/>
        </w:rPr>
        <w:t>2012</w:t>
      </w:r>
      <w:r>
        <w:rPr>
          <w:rFonts w:hint="eastAsia"/>
          <w:sz w:val="24"/>
          <w:szCs w:val="24"/>
        </w:rPr>
        <w:t>年</w:t>
      </w:r>
      <w:r>
        <w:rPr>
          <w:rFonts w:hint="eastAsia"/>
          <w:sz w:val="24"/>
          <w:szCs w:val="24"/>
        </w:rPr>
        <w:t>12</w:t>
      </w:r>
      <w:r>
        <w:rPr>
          <w:rFonts w:hint="eastAsia"/>
          <w:sz w:val="24"/>
          <w:szCs w:val="24"/>
        </w:rPr>
        <w:t>月</w:t>
      </w:r>
      <w:r>
        <w:rPr>
          <w:rFonts w:hint="eastAsia"/>
          <w:sz w:val="24"/>
          <w:szCs w:val="24"/>
        </w:rPr>
        <w:t>1</w:t>
      </w:r>
      <w:r>
        <w:rPr>
          <w:rFonts w:hint="eastAsia"/>
          <w:sz w:val="24"/>
          <w:szCs w:val="24"/>
        </w:rPr>
        <w:t>日施行）；</w:t>
      </w:r>
    </w:p>
    <w:p w14:paraId="77E2E467"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40</w:t>
      </w:r>
      <w:r>
        <w:rPr>
          <w:rFonts w:hint="eastAsia"/>
          <w:sz w:val="24"/>
          <w:szCs w:val="24"/>
        </w:rPr>
        <w:t>）《四川省〈中华人民共和国野生动物保护法〉实施办法》（</w:t>
      </w:r>
      <w:r>
        <w:rPr>
          <w:rFonts w:hint="eastAsia"/>
          <w:sz w:val="24"/>
          <w:szCs w:val="24"/>
        </w:rPr>
        <w:t>2012</w:t>
      </w:r>
      <w:r>
        <w:rPr>
          <w:rFonts w:hint="eastAsia"/>
          <w:sz w:val="24"/>
          <w:szCs w:val="24"/>
        </w:rPr>
        <w:t>年</w:t>
      </w:r>
      <w:r>
        <w:rPr>
          <w:rFonts w:hint="eastAsia"/>
          <w:sz w:val="24"/>
          <w:szCs w:val="24"/>
        </w:rPr>
        <w:t>7</w:t>
      </w:r>
      <w:r>
        <w:rPr>
          <w:rFonts w:hint="eastAsia"/>
          <w:sz w:val="24"/>
          <w:szCs w:val="24"/>
        </w:rPr>
        <w:t>月</w:t>
      </w:r>
      <w:r>
        <w:rPr>
          <w:rFonts w:hint="eastAsia"/>
          <w:sz w:val="24"/>
          <w:szCs w:val="24"/>
        </w:rPr>
        <w:t>27</w:t>
      </w:r>
      <w:r>
        <w:rPr>
          <w:rFonts w:hint="eastAsia"/>
          <w:sz w:val="24"/>
          <w:szCs w:val="24"/>
        </w:rPr>
        <w:t>日）；</w:t>
      </w:r>
    </w:p>
    <w:p w14:paraId="566146B1"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41</w:t>
      </w:r>
      <w:r>
        <w:rPr>
          <w:rFonts w:hint="eastAsia"/>
          <w:sz w:val="24"/>
          <w:szCs w:val="24"/>
        </w:rPr>
        <w:t>）《四川省人民政府关于公布四川省重点保护野生植物名录的通知》</w:t>
      </w:r>
      <w:r>
        <w:rPr>
          <w:rFonts w:hint="eastAsia"/>
          <w:sz w:val="24"/>
          <w:szCs w:val="24"/>
        </w:rPr>
        <w:t>(</w:t>
      </w:r>
      <w:r>
        <w:rPr>
          <w:rFonts w:hint="eastAsia"/>
          <w:sz w:val="24"/>
          <w:szCs w:val="24"/>
        </w:rPr>
        <w:t>川府函〔</w:t>
      </w:r>
      <w:r>
        <w:rPr>
          <w:rFonts w:hint="eastAsia"/>
          <w:sz w:val="24"/>
          <w:szCs w:val="24"/>
        </w:rPr>
        <w:t>2016</w:t>
      </w:r>
      <w:r>
        <w:rPr>
          <w:rFonts w:hint="eastAsia"/>
          <w:sz w:val="24"/>
          <w:szCs w:val="24"/>
        </w:rPr>
        <w:t>〕</w:t>
      </w:r>
      <w:r>
        <w:rPr>
          <w:rFonts w:hint="eastAsia"/>
          <w:sz w:val="24"/>
          <w:szCs w:val="24"/>
        </w:rPr>
        <w:t>27</w:t>
      </w:r>
      <w:r>
        <w:rPr>
          <w:rFonts w:hint="eastAsia"/>
          <w:sz w:val="24"/>
          <w:szCs w:val="24"/>
        </w:rPr>
        <w:t>号</w:t>
      </w:r>
      <w:r>
        <w:rPr>
          <w:rFonts w:hint="eastAsia"/>
          <w:sz w:val="24"/>
          <w:szCs w:val="24"/>
        </w:rPr>
        <w:t>)</w:t>
      </w:r>
      <w:r>
        <w:rPr>
          <w:rFonts w:hint="eastAsia"/>
          <w:sz w:val="24"/>
          <w:szCs w:val="24"/>
        </w:rPr>
        <w:t>；</w:t>
      </w:r>
    </w:p>
    <w:p w14:paraId="6CE1D721"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42</w:t>
      </w:r>
      <w:r>
        <w:rPr>
          <w:rFonts w:hint="eastAsia"/>
          <w:sz w:val="24"/>
          <w:szCs w:val="24"/>
        </w:rPr>
        <w:t>）《四川省野生植物保护条例》</w:t>
      </w:r>
      <w:r>
        <w:rPr>
          <w:rFonts w:hint="eastAsia"/>
          <w:sz w:val="24"/>
          <w:szCs w:val="24"/>
        </w:rPr>
        <w:t>(</w:t>
      </w:r>
      <w:r>
        <w:rPr>
          <w:rFonts w:hint="eastAsia"/>
          <w:sz w:val="24"/>
          <w:szCs w:val="24"/>
        </w:rPr>
        <w:t>四川省第十二届人民代表大会常务委员会公告第</w:t>
      </w:r>
      <w:r>
        <w:rPr>
          <w:rFonts w:hint="eastAsia"/>
          <w:sz w:val="24"/>
          <w:szCs w:val="24"/>
        </w:rPr>
        <w:t>29</w:t>
      </w:r>
      <w:r>
        <w:rPr>
          <w:rFonts w:hint="eastAsia"/>
          <w:sz w:val="24"/>
          <w:szCs w:val="24"/>
        </w:rPr>
        <w:t>号</w:t>
      </w:r>
      <w:r>
        <w:rPr>
          <w:rFonts w:hint="eastAsia"/>
          <w:sz w:val="24"/>
          <w:szCs w:val="24"/>
        </w:rPr>
        <w:t>)</w:t>
      </w:r>
      <w:r>
        <w:rPr>
          <w:rFonts w:hint="eastAsia"/>
          <w:sz w:val="24"/>
          <w:szCs w:val="24"/>
        </w:rPr>
        <w:t>；</w:t>
      </w:r>
    </w:p>
    <w:p w14:paraId="2F06FD3B"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43</w:t>
      </w:r>
      <w:r>
        <w:rPr>
          <w:rFonts w:hint="eastAsia"/>
          <w:sz w:val="24"/>
          <w:szCs w:val="24"/>
        </w:rPr>
        <w:t>）《四川省自然保护区管理条例》（</w:t>
      </w:r>
      <w:r>
        <w:rPr>
          <w:rFonts w:hint="eastAsia"/>
          <w:sz w:val="24"/>
          <w:szCs w:val="24"/>
        </w:rPr>
        <w:t>2018</w:t>
      </w:r>
      <w:r>
        <w:rPr>
          <w:rFonts w:hint="eastAsia"/>
          <w:sz w:val="24"/>
          <w:szCs w:val="24"/>
        </w:rPr>
        <w:t>年</w:t>
      </w:r>
      <w:r>
        <w:rPr>
          <w:rFonts w:hint="eastAsia"/>
          <w:sz w:val="24"/>
          <w:szCs w:val="24"/>
        </w:rPr>
        <w:t>9</w:t>
      </w:r>
      <w:r>
        <w:rPr>
          <w:rFonts w:hint="eastAsia"/>
          <w:sz w:val="24"/>
          <w:szCs w:val="24"/>
        </w:rPr>
        <w:t>月</w:t>
      </w:r>
      <w:r>
        <w:rPr>
          <w:rFonts w:hint="eastAsia"/>
          <w:sz w:val="24"/>
          <w:szCs w:val="24"/>
        </w:rPr>
        <w:t>30</w:t>
      </w:r>
      <w:r>
        <w:rPr>
          <w:rFonts w:hint="eastAsia"/>
          <w:sz w:val="24"/>
          <w:szCs w:val="24"/>
        </w:rPr>
        <w:t>日修订实施）；</w:t>
      </w:r>
    </w:p>
    <w:p w14:paraId="3A2D9E2B"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44</w:t>
      </w:r>
      <w:r>
        <w:rPr>
          <w:rFonts w:hint="eastAsia"/>
          <w:sz w:val="24"/>
          <w:szCs w:val="24"/>
        </w:rPr>
        <w:t>）《四川省生态保护红线实施意见》（</w:t>
      </w:r>
      <w:r>
        <w:rPr>
          <w:rFonts w:hint="eastAsia"/>
          <w:sz w:val="24"/>
          <w:szCs w:val="24"/>
        </w:rPr>
        <w:t>2016</w:t>
      </w:r>
      <w:r>
        <w:rPr>
          <w:rFonts w:hint="eastAsia"/>
          <w:sz w:val="24"/>
          <w:szCs w:val="24"/>
        </w:rPr>
        <w:t>年</w:t>
      </w:r>
      <w:r>
        <w:rPr>
          <w:rFonts w:hint="eastAsia"/>
          <w:sz w:val="24"/>
          <w:szCs w:val="24"/>
        </w:rPr>
        <w:t>9</w:t>
      </w:r>
      <w:r>
        <w:rPr>
          <w:rFonts w:hint="eastAsia"/>
          <w:sz w:val="24"/>
          <w:szCs w:val="24"/>
        </w:rPr>
        <w:t>月</w:t>
      </w:r>
      <w:r>
        <w:rPr>
          <w:rFonts w:hint="eastAsia"/>
          <w:sz w:val="24"/>
          <w:szCs w:val="24"/>
        </w:rPr>
        <w:t>30</w:t>
      </w:r>
      <w:r>
        <w:rPr>
          <w:rFonts w:hint="eastAsia"/>
          <w:sz w:val="24"/>
          <w:szCs w:val="24"/>
        </w:rPr>
        <w:t>日）；</w:t>
      </w:r>
    </w:p>
    <w:p w14:paraId="0319BA61"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45</w:t>
      </w:r>
      <w:r>
        <w:rPr>
          <w:rFonts w:hint="eastAsia"/>
          <w:sz w:val="24"/>
          <w:szCs w:val="24"/>
        </w:rPr>
        <w:t>）《四川省“十三五”生态建设和环境保护规划》（</w:t>
      </w:r>
      <w:r>
        <w:rPr>
          <w:rFonts w:hint="eastAsia"/>
          <w:sz w:val="24"/>
          <w:szCs w:val="24"/>
        </w:rPr>
        <w:t>2016</w:t>
      </w:r>
      <w:r>
        <w:rPr>
          <w:rFonts w:hint="eastAsia"/>
          <w:sz w:val="24"/>
          <w:szCs w:val="24"/>
        </w:rPr>
        <w:t>年</w:t>
      </w:r>
      <w:r>
        <w:rPr>
          <w:rFonts w:hint="eastAsia"/>
          <w:sz w:val="24"/>
          <w:szCs w:val="24"/>
        </w:rPr>
        <w:t>12</w:t>
      </w:r>
      <w:r>
        <w:rPr>
          <w:rFonts w:hint="eastAsia"/>
          <w:sz w:val="24"/>
          <w:szCs w:val="24"/>
        </w:rPr>
        <w:t>月）；</w:t>
      </w:r>
    </w:p>
    <w:p w14:paraId="0D0FDE27"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46</w:t>
      </w:r>
      <w:r>
        <w:rPr>
          <w:rFonts w:hint="eastAsia"/>
          <w:sz w:val="24"/>
          <w:szCs w:val="24"/>
        </w:rPr>
        <w:t>）《关于印发四川省生态保护红线方案的通知》（川府发〔</w:t>
      </w:r>
      <w:r>
        <w:rPr>
          <w:rFonts w:hint="eastAsia"/>
          <w:sz w:val="24"/>
          <w:szCs w:val="24"/>
        </w:rPr>
        <w:t>2018</w:t>
      </w:r>
      <w:r>
        <w:rPr>
          <w:rFonts w:hint="eastAsia"/>
          <w:sz w:val="24"/>
          <w:szCs w:val="24"/>
        </w:rPr>
        <w:t>〕</w:t>
      </w:r>
      <w:r>
        <w:rPr>
          <w:rFonts w:hint="eastAsia"/>
          <w:sz w:val="24"/>
          <w:szCs w:val="24"/>
        </w:rPr>
        <w:t>24</w:t>
      </w:r>
      <w:r>
        <w:rPr>
          <w:rFonts w:hint="eastAsia"/>
          <w:sz w:val="24"/>
          <w:szCs w:val="24"/>
        </w:rPr>
        <w:t>号）；</w:t>
      </w:r>
    </w:p>
    <w:p w14:paraId="34CA3984"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47</w:t>
      </w:r>
      <w:r>
        <w:rPr>
          <w:rFonts w:hint="eastAsia"/>
          <w:sz w:val="24"/>
          <w:szCs w:val="24"/>
        </w:rPr>
        <w:t>）《四川省环境污染防治“三大战役”实施方案》；</w:t>
      </w:r>
    </w:p>
    <w:p w14:paraId="4D0D4207"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48</w:t>
      </w:r>
      <w:r>
        <w:rPr>
          <w:rFonts w:hint="eastAsia"/>
          <w:sz w:val="24"/>
          <w:szCs w:val="24"/>
        </w:rPr>
        <w:t>）《四川省长江经济带发展负面清单实施细则（试行）》（川长江办〔</w:t>
      </w:r>
      <w:r>
        <w:rPr>
          <w:rFonts w:hint="eastAsia"/>
          <w:sz w:val="24"/>
          <w:szCs w:val="24"/>
        </w:rPr>
        <w:t>2019</w:t>
      </w:r>
      <w:r>
        <w:rPr>
          <w:rFonts w:hint="eastAsia"/>
          <w:sz w:val="24"/>
          <w:szCs w:val="24"/>
        </w:rPr>
        <w:t>〕</w:t>
      </w:r>
      <w:r>
        <w:rPr>
          <w:rFonts w:hint="eastAsia"/>
          <w:sz w:val="24"/>
          <w:szCs w:val="24"/>
        </w:rPr>
        <w:t>8</w:t>
      </w:r>
      <w:r>
        <w:rPr>
          <w:rFonts w:hint="eastAsia"/>
          <w:sz w:val="24"/>
          <w:szCs w:val="24"/>
        </w:rPr>
        <w:t>号）；</w:t>
      </w:r>
    </w:p>
    <w:p w14:paraId="10AAE345"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49</w:t>
      </w:r>
      <w:r>
        <w:rPr>
          <w:rFonts w:hint="eastAsia"/>
          <w:sz w:val="24"/>
          <w:szCs w:val="24"/>
        </w:rPr>
        <w:t>）《四川省“十三五”环境保护规划》（川府发【</w:t>
      </w:r>
      <w:r>
        <w:rPr>
          <w:rFonts w:hint="eastAsia"/>
          <w:sz w:val="24"/>
          <w:szCs w:val="24"/>
        </w:rPr>
        <w:t>2017</w:t>
      </w:r>
      <w:r>
        <w:rPr>
          <w:rFonts w:hint="eastAsia"/>
          <w:sz w:val="24"/>
          <w:szCs w:val="24"/>
        </w:rPr>
        <w:t>】</w:t>
      </w:r>
      <w:r>
        <w:rPr>
          <w:rFonts w:hint="eastAsia"/>
          <w:sz w:val="24"/>
          <w:szCs w:val="24"/>
        </w:rPr>
        <w:t>14</w:t>
      </w:r>
      <w:r>
        <w:rPr>
          <w:rFonts w:hint="eastAsia"/>
          <w:sz w:val="24"/>
          <w:szCs w:val="24"/>
        </w:rPr>
        <w:t>号）；</w:t>
      </w:r>
    </w:p>
    <w:p w14:paraId="06DD8C43"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50</w:t>
      </w:r>
      <w:r>
        <w:rPr>
          <w:rFonts w:hint="eastAsia"/>
          <w:sz w:val="24"/>
          <w:szCs w:val="24"/>
        </w:rPr>
        <w:t>）《四川省〈中华人民共和国大气污染防治法〉实施办法》（</w:t>
      </w:r>
      <w:r>
        <w:rPr>
          <w:rFonts w:hint="eastAsia"/>
          <w:sz w:val="24"/>
          <w:szCs w:val="24"/>
        </w:rPr>
        <w:t>2018</w:t>
      </w:r>
      <w:r>
        <w:rPr>
          <w:rFonts w:hint="eastAsia"/>
          <w:sz w:val="24"/>
          <w:szCs w:val="24"/>
        </w:rPr>
        <w:t>年</w:t>
      </w:r>
      <w:r>
        <w:rPr>
          <w:rFonts w:hint="eastAsia"/>
          <w:sz w:val="24"/>
          <w:szCs w:val="24"/>
        </w:rPr>
        <w:t>12</w:t>
      </w:r>
      <w:r>
        <w:rPr>
          <w:rFonts w:hint="eastAsia"/>
          <w:sz w:val="24"/>
          <w:szCs w:val="24"/>
        </w:rPr>
        <w:t>月</w:t>
      </w:r>
      <w:r>
        <w:rPr>
          <w:rFonts w:hint="eastAsia"/>
          <w:sz w:val="24"/>
          <w:szCs w:val="24"/>
        </w:rPr>
        <w:t>7</w:t>
      </w:r>
      <w:r>
        <w:rPr>
          <w:rFonts w:hint="eastAsia"/>
          <w:sz w:val="24"/>
          <w:szCs w:val="24"/>
        </w:rPr>
        <w:t>日修订）；</w:t>
      </w:r>
    </w:p>
    <w:p w14:paraId="7C5A90AC"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51</w:t>
      </w:r>
      <w:r>
        <w:rPr>
          <w:rFonts w:hint="eastAsia"/>
          <w:sz w:val="24"/>
          <w:szCs w:val="24"/>
        </w:rPr>
        <w:t>）四川省人民政府《关于印发四川省打赢蓝天保卫战等九个实施方案的通知》（川府发【</w:t>
      </w:r>
      <w:r>
        <w:rPr>
          <w:rFonts w:hint="eastAsia"/>
          <w:sz w:val="24"/>
          <w:szCs w:val="24"/>
        </w:rPr>
        <w:t>2019</w:t>
      </w:r>
      <w:r>
        <w:rPr>
          <w:rFonts w:hint="eastAsia"/>
          <w:sz w:val="24"/>
          <w:szCs w:val="24"/>
        </w:rPr>
        <w:t>】</w:t>
      </w:r>
      <w:r>
        <w:rPr>
          <w:rFonts w:hint="eastAsia"/>
          <w:sz w:val="24"/>
          <w:szCs w:val="24"/>
        </w:rPr>
        <w:t>4</w:t>
      </w:r>
      <w:r>
        <w:rPr>
          <w:rFonts w:hint="eastAsia"/>
          <w:sz w:val="24"/>
          <w:szCs w:val="24"/>
        </w:rPr>
        <w:t>号）；</w:t>
      </w:r>
    </w:p>
    <w:p w14:paraId="396D0860"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52</w:t>
      </w:r>
      <w:r>
        <w:rPr>
          <w:rFonts w:hint="eastAsia"/>
          <w:sz w:val="24"/>
          <w:szCs w:val="24"/>
        </w:rPr>
        <w:t>）《水污染防治行动计划四川省工作方案》（川府发【</w:t>
      </w:r>
      <w:r>
        <w:rPr>
          <w:rFonts w:hint="eastAsia"/>
          <w:sz w:val="24"/>
          <w:szCs w:val="24"/>
        </w:rPr>
        <w:t>2015</w:t>
      </w:r>
      <w:r>
        <w:rPr>
          <w:rFonts w:hint="eastAsia"/>
          <w:sz w:val="24"/>
          <w:szCs w:val="24"/>
        </w:rPr>
        <w:t>】</w:t>
      </w:r>
      <w:r>
        <w:rPr>
          <w:rFonts w:hint="eastAsia"/>
          <w:sz w:val="24"/>
          <w:szCs w:val="24"/>
        </w:rPr>
        <w:t>59</w:t>
      </w:r>
      <w:r>
        <w:rPr>
          <w:rFonts w:hint="eastAsia"/>
          <w:sz w:val="24"/>
          <w:szCs w:val="24"/>
        </w:rPr>
        <w:t>号）；</w:t>
      </w:r>
    </w:p>
    <w:p w14:paraId="26E72850"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53</w:t>
      </w:r>
      <w:r>
        <w:rPr>
          <w:rFonts w:hint="eastAsia"/>
          <w:sz w:val="24"/>
          <w:szCs w:val="24"/>
        </w:rPr>
        <w:t>）《四川省固体废物污染环境防治条例》（</w:t>
      </w:r>
      <w:r>
        <w:rPr>
          <w:rFonts w:hint="eastAsia"/>
          <w:sz w:val="24"/>
          <w:szCs w:val="24"/>
        </w:rPr>
        <w:t>2018</w:t>
      </w:r>
      <w:r>
        <w:rPr>
          <w:rFonts w:hint="eastAsia"/>
          <w:sz w:val="24"/>
          <w:szCs w:val="24"/>
        </w:rPr>
        <w:t>年</w:t>
      </w:r>
      <w:r>
        <w:rPr>
          <w:rFonts w:hint="eastAsia"/>
          <w:sz w:val="24"/>
          <w:szCs w:val="24"/>
        </w:rPr>
        <w:t>7</w:t>
      </w:r>
      <w:r>
        <w:rPr>
          <w:rFonts w:hint="eastAsia"/>
          <w:sz w:val="24"/>
          <w:szCs w:val="24"/>
        </w:rPr>
        <w:t>月</w:t>
      </w:r>
      <w:r>
        <w:rPr>
          <w:rFonts w:hint="eastAsia"/>
          <w:sz w:val="24"/>
          <w:szCs w:val="24"/>
        </w:rPr>
        <w:t>26</w:t>
      </w:r>
      <w:r>
        <w:rPr>
          <w:rFonts w:hint="eastAsia"/>
          <w:sz w:val="24"/>
          <w:szCs w:val="24"/>
        </w:rPr>
        <w:t>日修正）；</w:t>
      </w:r>
    </w:p>
    <w:p w14:paraId="0D024BF3"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54</w:t>
      </w:r>
      <w:r>
        <w:rPr>
          <w:rFonts w:hint="eastAsia"/>
          <w:sz w:val="24"/>
          <w:szCs w:val="24"/>
        </w:rPr>
        <w:t>）《土壤污染防治行动计划四川省工作方案》（川府发【</w:t>
      </w:r>
      <w:r>
        <w:rPr>
          <w:rFonts w:hint="eastAsia"/>
          <w:sz w:val="24"/>
          <w:szCs w:val="24"/>
        </w:rPr>
        <w:t>2016</w:t>
      </w:r>
      <w:r>
        <w:rPr>
          <w:rFonts w:hint="eastAsia"/>
          <w:sz w:val="24"/>
          <w:szCs w:val="24"/>
        </w:rPr>
        <w:t>】</w:t>
      </w:r>
      <w:r>
        <w:rPr>
          <w:rFonts w:hint="eastAsia"/>
          <w:sz w:val="24"/>
          <w:szCs w:val="24"/>
        </w:rPr>
        <w:t>63</w:t>
      </w:r>
      <w:r>
        <w:rPr>
          <w:rFonts w:hint="eastAsia"/>
          <w:sz w:val="24"/>
          <w:szCs w:val="24"/>
        </w:rPr>
        <w:t>号）；</w:t>
      </w:r>
    </w:p>
    <w:p w14:paraId="2C285650"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55</w:t>
      </w:r>
      <w:r>
        <w:rPr>
          <w:rFonts w:hint="eastAsia"/>
          <w:sz w:val="24"/>
          <w:szCs w:val="24"/>
        </w:rPr>
        <w:t>）《关于全面实行永久基本农田特殊保护的通知》（国土资规〔</w:t>
      </w:r>
      <w:r>
        <w:rPr>
          <w:rFonts w:hint="eastAsia"/>
          <w:sz w:val="24"/>
          <w:szCs w:val="24"/>
        </w:rPr>
        <w:t>2018</w:t>
      </w:r>
      <w:r>
        <w:rPr>
          <w:rFonts w:hint="eastAsia"/>
          <w:sz w:val="24"/>
          <w:szCs w:val="24"/>
        </w:rPr>
        <w:t>〕</w:t>
      </w:r>
      <w:r>
        <w:rPr>
          <w:rFonts w:hint="eastAsia"/>
          <w:sz w:val="24"/>
          <w:szCs w:val="24"/>
        </w:rPr>
        <w:t>1</w:t>
      </w:r>
      <w:r>
        <w:rPr>
          <w:rFonts w:hint="eastAsia"/>
          <w:sz w:val="24"/>
          <w:szCs w:val="24"/>
        </w:rPr>
        <w:t>号）</w:t>
      </w:r>
    </w:p>
    <w:p w14:paraId="2283F4E9"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56</w:t>
      </w:r>
      <w:r>
        <w:rPr>
          <w:rFonts w:hint="eastAsia"/>
          <w:sz w:val="24"/>
          <w:szCs w:val="24"/>
        </w:rPr>
        <w:t>）《国家重点生态功能保护区规划纲要》（环发</w:t>
      </w:r>
      <w:r>
        <w:rPr>
          <w:rFonts w:hint="eastAsia"/>
          <w:sz w:val="24"/>
          <w:szCs w:val="24"/>
        </w:rPr>
        <w:t>[2007]165</w:t>
      </w:r>
      <w:r>
        <w:rPr>
          <w:rFonts w:hint="eastAsia"/>
          <w:sz w:val="24"/>
          <w:szCs w:val="24"/>
        </w:rPr>
        <w:t>号）；</w:t>
      </w:r>
    </w:p>
    <w:p w14:paraId="3B574AD0" w14:textId="77777777" w:rsidR="007D1E74" w:rsidRDefault="00A95641">
      <w:pPr>
        <w:spacing w:line="360" w:lineRule="auto"/>
        <w:ind w:firstLineChars="200" w:firstLine="480"/>
        <w:rPr>
          <w:sz w:val="24"/>
          <w:szCs w:val="24"/>
        </w:rPr>
      </w:pPr>
      <w:r>
        <w:rPr>
          <w:rFonts w:hint="eastAsia"/>
          <w:sz w:val="24"/>
          <w:szCs w:val="24"/>
        </w:rPr>
        <w:lastRenderedPageBreak/>
        <w:t>（</w:t>
      </w:r>
      <w:r>
        <w:rPr>
          <w:rFonts w:hint="eastAsia"/>
          <w:sz w:val="24"/>
          <w:szCs w:val="24"/>
        </w:rPr>
        <w:t>57</w:t>
      </w:r>
      <w:r>
        <w:rPr>
          <w:rFonts w:hint="eastAsia"/>
          <w:sz w:val="24"/>
          <w:szCs w:val="24"/>
        </w:rPr>
        <w:t>）《关于加强国家重点生态功能区环境保护和管理的意见》</w:t>
      </w:r>
      <w:r>
        <w:rPr>
          <w:rFonts w:hint="eastAsia"/>
          <w:sz w:val="24"/>
          <w:szCs w:val="24"/>
        </w:rPr>
        <w:t>(</w:t>
      </w:r>
      <w:r>
        <w:rPr>
          <w:rFonts w:hint="eastAsia"/>
          <w:sz w:val="24"/>
          <w:szCs w:val="24"/>
        </w:rPr>
        <w:t>环发</w:t>
      </w:r>
      <w:r>
        <w:rPr>
          <w:rFonts w:hint="eastAsia"/>
          <w:sz w:val="24"/>
          <w:szCs w:val="24"/>
        </w:rPr>
        <w:t>[2013]16</w:t>
      </w:r>
      <w:r>
        <w:rPr>
          <w:rFonts w:hint="eastAsia"/>
          <w:sz w:val="24"/>
          <w:szCs w:val="24"/>
        </w:rPr>
        <w:t>号</w:t>
      </w:r>
      <w:r>
        <w:rPr>
          <w:rFonts w:hint="eastAsia"/>
          <w:sz w:val="24"/>
          <w:szCs w:val="24"/>
        </w:rPr>
        <w:t>)</w:t>
      </w:r>
      <w:r>
        <w:rPr>
          <w:rFonts w:hint="eastAsia"/>
          <w:sz w:val="24"/>
          <w:szCs w:val="24"/>
        </w:rPr>
        <w:t>；</w:t>
      </w:r>
    </w:p>
    <w:p w14:paraId="1EDDE1EF"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58</w:t>
      </w:r>
      <w:r>
        <w:rPr>
          <w:rFonts w:hint="eastAsia"/>
          <w:sz w:val="24"/>
          <w:szCs w:val="24"/>
        </w:rPr>
        <w:t>）《全国生态功能区划（修编版）》</w:t>
      </w:r>
      <w:r>
        <w:rPr>
          <w:rFonts w:hint="eastAsia"/>
          <w:sz w:val="24"/>
          <w:szCs w:val="24"/>
        </w:rPr>
        <w:t>(</w:t>
      </w:r>
      <w:r>
        <w:rPr>
          <w:rFonts w:hint="eastAsia"/>
          <w:sz w:val="24"/>
          <w:szCs w:val="24"/>
        </w:rPr>
        <w:t>环境保护部、中国科学院公告</w:t>
      </w:r>
      <w:r>
        <w:rPr>
          <w:rFonts w:hint="eastAsia"/>
          <w:sz w:val="24"/>
          <w:szCs w:val="24"/>
        </w:rPr>
        <w:t>2015</w:t>
      </w:r>
      <w:r>
        <w:rPr>
          <w:rFonts w:hint="eastAsia"/>
          <w:sz w:val="24"/>
          <w:szCs w:val="24"/>
        </w:rPr>
        <w:t>年第</w:t>
      </w:r>
      <w:r>
        <w:rPr>
          <w:rFonts w:hint="eastAsia"/>
          <w:sz w:val="24"/>
          <w:szCs w:val="24"/>
        </w:rPr>
        <w:t>61</w:t>
      </w:r>
      <w:r>
        <w:rPr>
          <w:rFonts w:hint="eastAsia"/>
          <w:sz w:val="24"/>
          <w:szCs w:val="24"/>
        </w:rPr>
        <w:t>号</w:t>
      </w:r>
      <w:r>
        <w:rPr>
          <w:rFonts w:hint="eastAsia"/>
          <w:sz w:val="24"/>
          <w:szCs w:val="24"/>
        </w:rPr>
        <w:t>)</w:t>
      </w:r>
      <w:r>
        <w:rPr>
          <w:rFonts w:hint="eastAsia"/>
          <w:sz w:val="24"/>
          <w:szCs w:val="24"/>
        </w:rPr>
        <w:t>；</w:t>
      </w:r>
    </w:p>
    <w:p w14:paraId="41315588"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59</w:t>
      </w:r>
      <w:r>
        <w:rPr>
          <w:rFonts w:hint="eastAsia"/>
          <w:sz w:val="24"/>
          <w:szCs w:val="24"/>
        </w:rPr>
        <w:t>）《关于划定并严守生态保护红线的若干意见》（中共中央办公厅、国务院办公厅，</w:t>
      </w:r>
      <w:r>
        <w:rPr>
          <w:rFonts w:hint="eastAsia"/>
          <w:sz w:val="24"/>
          <w:szCs w:val="24"/>
        </w:rPr>
        <w:t>2017</w:t>
      </w:r>
      <w:r>
        <w:rPr>
          <w:rFonts w:hint="eastAsia"/>
          <w:sz w:val="24"/>
          <w:szCs w:val="24"/>
        </w:rPr>
        <w:t>年</w:t>
      </w:r>
      <w:r>
        <w:rPr>
          <w:rFonts w:hint="eastAsia"/>
          <w:sz w:val="24"/>
          <w:szCs w:val="24"/>
        </w:rPr>
        <w:t>2</w:t>
      </w:r>
      <w:r>
        <w:rPr>
          <w:rFonts w:hint="eastAsia"/>
          <w:sz w:val="24"/>
          <w:szCs w:val="24"/>
        </w:rPr>
        <w:t>月</w:t>
      </w:r>
      <w:r>
        <w:rPr>
          <w:rFonts w:hint="eastAsia"/>
          <w:sz w:val="24"/>
          <w:szCs w:val="24"/>
        </w:rPr>
        <w:t>7</w:t>
      </w:r>
      <w:r>
        <w:rPr>
          <w:rFonts w:hint="eastAsia"/>
          <w:sz w:val="24"/>
          <w:szCs w:val="24"/>
        </w:rPr>
        <w:t>日）；</w:t>
      </w:r>
    </w:p>
    <w:p w14:paraId="1CAB15BB"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60</w:t>
      </w:r>
      <w:r>
        <w:rPr>
          <w:rFonts w:hint="eastAsia"/>
          <w:sz w:val="24"/>
          <w:szCs w:val="24"/>
        </w:rPr>
        <w:t>）《四川省人民政府关于落实生态保护红线、环境质量底线、资源利用上线制定生态环境准入清单实施生态环境分区管控的通知》（川府发〔</w:t>
      </w:r>
      <w:r>
        <w:rPr>
          <w:rFonts w:hint="eastAsia"/>
          <w:sz w:val="24"/>
          <w:szCs w:val="24"/>
        </w:rPr>
        <w:t>2020</w:t>
      </w:r>
      <w:r>
        <w:rPr>
          <w:rFonts w:hint="eastAsia"/>
          <w:sz w:val="24"/>
          <w:szCs w:val="24"/>
        </w:rPr>
        <w:t>〕</w:t>
      </w:r>
      <w:r>
        <w:rPr>
          <w:rFonts w:hint="eastAsia"/>
          <w:sz w:val="24"/>
          <w:szCs w:val="24"/>
        </w:rPr>
        <w:t>9</w:t>
      </w:r>
      <w:r>
        <w:rPr>
          <w:rFonts w:hint="eastAsia"/>
          <w:sz w:val="24"/>
          <w:szCs w:val="24"/>
        </w:rPr>
        <w:t>号）；</w:t>
      </w:r>
    </w:p>
    <w:p w14:paraId="6A6D59CF"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61</w:t>
      </w:r>
      <w:r>
        <w:rPr>
          <w:rFonts w:hint="eastAsia"/>
          <w:sz w:val="24"/>
          <w:szCs w:val="24"/>
        </w:rPr>
        <w:t>）《巴中市人民政府关于实施“三线一单”生态环境分区管控的通知》（巴府发</w:t>
      </w:r>
      <w:r>
        <w:rPr>
          <w:rFonts w:hint="eastAsia"/>
          <w:sz w:val="24"/>
          <w:szCs w:val="24"/>
        </w:rPr>
        <w:t>[2021]5</w:t>
      </w:r>
      <w:r>
        <w:rPr>
          <w:rFonts w:hint="eastAsia"/>
          <w:sz w:val="24"/>
          <w:szCs w:val="24"/>
        </w:rPr>
        <w:t>号）；</w:t>
      </w:r>
    </w:p>
    <w:p w14:paraId="001B40DB"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62</w:t>
      </w:r>
      <w:r>
        <w:rPr>
          <w:rFonts w:hint="eastAsia"/>
          <w:sz w:val="24"/>
          <w:szCs w:val="24"/>
        </w:rPr>
        <w:t>）《关于石油天然气钻井及配套设施用地有关问题的通知》（川国土资发〔</w:t>
      </w:r>
      <w:r>
        <w:rPr>
          <w:rFonts w:hint="eastAsia"/>
          <w:sz w:val="24"/>
          <w:szCs w:val="24"/>
        </w:rPr>
        <w:t>2012</w:t>
      </w:r>
      <w:r>
        <w:rPr>
          <w:rFonts w:hint="eastAsia"/>
          <w:sz w:val="24"/>
          <w:szCs w:val="24"/>
        </w:rPr>
        <w:t>〕</w:t>
      </w:r>
      <w:r>
        <w:rPr>
          <w:rFonts w:hint="eastAsia"/>
          <w:sz w:val="24"/>
          <w:szCs w:val="24"/>
        </w:rPr>
        <w:t>105</w:t>
      </w:r>
      <w:r>
        <w:rPr>
          <w:rFonts w:hint="eastAsia"/>
          <w:sz w:val="24"/>
          <w:szCs w:val="24"/>
        </w:rPr>
        <w:t>号）；</w:t>
      </w:r>
    </w:p>
    <w:p w14:paraId="3093BF31"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63</w:t>
      </w:r>
      <w:r>
        <w:rPr>
          <w:rFonts w:hint="eastAsia"/>
          <w:sz w:val="24"/>
          <w:szCs w:val="24"/>
        </w:rPr>
        <w:t>）《关于进一步加强石油天然气行业环境影响评价管理的通知》（环办环评函〔</w:t>
      </w:r>
      <w:r>
        <w:rPr>
          <w:rFonts w:hint="eastAsia"/>
          <w:sz w:val="24"/>
          <w:szCs w:val="24"/>
        </w:rPr>
        <w:t>2019</w:t>
      </w:r>
      <w:r>
        <w:rPr>
          <w:rFonts w:hint="eastAsia"/>
          <w:sz w:val="24"/>
          <w:szCs w:val="24"/>
        </w:rPr>
        <w:t>〕</w:t>
      </w:r>
      <w:r>
        <w:rPr>
          <w:rFonts w:hint="eastAsia"/>
          <w:sz w:val="24"/>
          <w:szCs w:val="24"/>
        </w:rPr>
        <w:t>910</w:t>
      </w:r>
      <w:r>
        <w:rPr>
          <w:rFonts w:hint="eastAsia"/>
          <w:sz w:val="24"/>
          <w:szCs w:val="24"/>
        </w:rPr>
        <w:t>号）；</w:t>
      </w:r>
    </w:p>
    <w:p w14:paraId="2F1A8608"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64</w:t>
      </w:r>
      <w:r>
        <w:rPr>
          <w:rFonts w:hint="eastAsia"/>
          <w:sz w:val="24"/>
          <w:szCs w:val="24"/>
        </w:rPr>
        <w:t>）《石油天然气开采业污染防治技术政策》（环保部公告</w:t>
      </w:r>
      <w:r>
        <w:rPr>
          <w:rFonts w:hint="eastAsia"/>
          <w:sz w:val="24"/>
          <w:szCs w:val="24"/>
        </w:rPr>
        <w:t>2012</w:t>
      </w:r>
      <w:r>
        <w:rPr>
          <w:rFonts w:hint="eastAsia"/>
          <w:sz w:val="24"/>
          <w:szCs w:val="24"/>
        </w:rPr>
        <w:t>年第</w:t>
      </w:r>
      <w:r>
        <w:rPr>
          <w:rFonts w:hint="eastAsia"/>
          <w:sz w:val="24"/>
          <w:szCs w:val="24"/>
        </w:rPr>
        <w:t>18</w:t>
      </w:r>
      <w:r>
        <w:rPr>
          <w:rFonts w:hint="eastAsia"/>
          <w:sz w:val="24"/>
          <w:szCs w:val="24"/>
        </w:rPr>
        <w:t>号，</w:t>
      </w:r>
      <w:r>
        <w:rPr>
          <w:rFonts w:hint="eastAsia"/>
          <w:sz w:val="24"/>
          <w:szCs w:val="24"/>
        </w:rPr>
        <w:t>2012</w:t>
      </w:r>
      <w:r>
        <w:rPr>
          <w:rFonts w:hint="eastAsia"/>
          <w:sz w:val="24"/>
          <w:szCs w:val="24"/>
        </w:rPr>
        <w:t>年</w:t>
      </w:r>
      <w:r>
        <w:rPr>
          <w:rFonts w:hint="eastAsia"/>
          <w:sz w:val="24"/>
          <w:szCs w:val="24"/>
        </w:rPr>
        <w:t>3</w:t>
      </w:r>
      <w:r>
        <w:rPr>
          <w:rFonts w:hint="eastAsia"/>
          <w:sz w:val="24"/>
          <w:szCs w:val="24"/>
        </w:rPr>
        <w:t>月</w:t>
      </w:r>
      <w:r>
        <w:rPr>
          <w:rFonts w:hint="eastAsia"/>
          <w:sz w:val="24"/>
          <w:szCs w:val="24"/>
        </w:rPr>
        <w:t>7</w:t>
      </w:r>
      <w:r>
        <w:rPr>
          <w:rFonts w:hint="eastAsia"/>
          <w:sz w:val="24"/>
          <w:szCs w:val="24"/>
        </w:rPr>
        <w:t>日实施。</w:t>
      </w:r>
    </w:p>
    <w:p w14:paraId="2794B0DB" w14:textId="77777777" w:rsidR="007D1E74" w:rsidRDefault="00A95641">
      <w:pPr>
        <w:pStyle w:val="a9"/>
      </w:pPr>
      <w:r>
        <w:rPr>
          <w:rFonts w:hint="eastAsia"/>
        </w:rPr>
        <w:t>技术文件</w:t>
      </w:r>
    </w:p>
    <w:p w14:paraId="0E519422"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w:t>
      </w:r>
      <w:r>
        <w:rPr>
          <w:rFonts w:hint="eastAsia"/>
          <w:sz w:val="24"/>
          <w:szCs w:val="24"/>
        </w:rPr>
        <w:t>）《建设项目环境影响评价技术导则</w:t>
      </w:r>
      <w:r>
        <w:rPr>
          <w:rFonts w:hint="eastAsia"/>
          <w:sz w:val="24"/>
          <w:szCs w:val="24"/>
        </w:rPr>
        <w:t xml:space="preserve"> </w:t>
      </w:r>
      <w:r>
        <w:rPr>
          <w:rFonts w:hint="eastAsia"/>
          <w:sz w:val="24"/>
          <w:szCs w:val="24"/>
        </w:rPr>
        <w:t>总纲》（</w:t>
      </w:r>
      <w:r>
        <w:rPr>
          <w:rFonts w:hint="eastAsia"/>
          <w:sz w:val="24"/>
          <w:szCs w:val="24"/>
        </w:rPr>
        <w:t>HJ2.1-2016</w:t>
      </w:r>
      <w:r>
        <w:rPr>
          <w:rFonts w:hint="eastAsia"/>
          <w:sz w:val="24"/>
          <w:szCs w:val="24"/>
        </w:rPr>
        <w:t>）；</w:t>
      </w:r>
    </w:p>
    <w:p w14:paraId="6AAC9645"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2</w:t>
      </w:r>
      <w:r>
        <w:rPr>
          <w:rFonts w:hint="eastAsia"/>
          <w:sz w:val="24"/>
          <w:szCs w:val="24"/>
        </w:rPr>
        <w:t>）《环境影响评价技术导则</w:t>
      </w:r>
      <w:r>
        <w:rPr>
          <w:rFonts w:hint="eastAsia"/>
          <w:sz w:val="24"/>
          <w:szCs w:val="24"/>
        </w:rPr>
        <w:t xml:space="preserve"> </w:t>
      </w:r>
      <w:r>
        <w:rPr>
          <w:rFonts w:hint="eastAsia"/>
          <w:sz w:val="24"/>
          <w:szCs w:val="24"/>
        </w:rPr>
        <w:t>大气环境》（</w:t>
      </w:r>
      <w:r>
        <w:rPr>
          <w:rFonts w:hint="eastAsia"/>
          <w:sz w:val="24"/>
          <w:szCs w:val="24"/>
        </w:rPr>
        <w:t>HJ2.2-2018</w:t>
      </w:r>
      <w:r>
        <w:rPr>
          <w:rFonts w:hint="eastAsia"/>
          <w:sz w:val="24"/>
          <w:szCs w:val="24"/>
        </w:rPr>
        <w:t>）；</w:t>
      </w:r>
    </w:p>
    <w:p w14:paraId="7A0DBE90"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3</w:t>
      </w:r>
      <w:r>
        <w:rPr>
          <w:rFonts w:hint="eastAsia"/>
          <w:sz w:val="24"/>
          <w:szCs w:val="24"/>
        </w:rPr>
        <w:t>）《环境影响评价技术导则</w:t>
      </w:r>
      <w:r>
        <w:rPr>
          <w:rFonts w:hint="eastAsia"/>
          <w:sz w:val="24"/>
          <w:szCs w:val="24"/>
        </w:rPr>
        <w:t xml:space="preserve"> </w:t>
      </w:r>
      <w:r>
        <w:rPr>
          <w:rFonts w:hint="eastAsia"/>
          <w:sz w:val="24"/>
          <w:szCs w:val="24"/>
        </w:rPr>
        <w:t>地表水环境》（</w:t>
      </w:r>
      <w:r>
        <w:rPr>
          <w:rFonts w:hint="eastAsia"/>
          <w:sz w:val="24"/>
          <w:szCs w:val="24"/>
        </w:rPr>
        <w:t>HJ2.3-2018</w:t>
      </w:r>
      <w:r>
        <w:rPr>
          <w:rFonts w:hint="eastAsia"/>
          <w:sz w:val="24"/>
          <w:szCs w:val="24"/>
        </w:rPr>
        <w:t>）；</w:t>
      </w:r>
    </w:p>
    <w:p w14:paraId="7C5490EC"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4</w:t>
      </w:r>
      <w:r>
        <w:rPr>
          <w:rFonts w:hint="eastAsia"/>
          <w:sz w:val="24"/>
          <w:szCs w:val="24"/>
        </w:rPr>
        <w:t>）《环境影响评价技术导则</w:t>
      </w:r>
      <w:r>
        <w:rPr>
          <w:rFonts w:hint="eastAsia"/>
          <w:sz w:val="24"/>
          <w:szCs w:val="24"/>
        </w:rPr>
        <w:t xml:space="preserve"> </w:t>
      </w:r>
      <w:r>
        <w:rPr>
          <w:rFonts w:hint="eastAsia"/>
          <w:sz w:val="24"/>
          <w:szCs w:val="24"/>
        </w:rPr>
        <w:t>声环境》（</w:t>
      </w:r>
      <w:r>
        <w:rPr>
          <w:rFonts w:hint="eastAsia"/>
          <w:sz w:val="24"/>
          <w:szCs w:val="24"/>
        </w:rPr>
        <w:t>HJ2.4-2009</w:t>
      </w:r>
      <w:r>
        <w:rPr>
          <w:rFonts w:hint="eastAsia"/>
          <w:sz w:val="24"/>
          <w:szCs w:val="24"/>
        </w:rPr>
        <w:t>）；</w:t>
      </w:r>
    </w:p>
    <w:p w14:paraId="53489C41"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5</w:t>
      </w:r>
      <w:r>
        <w:rPr>
          <w:rFonts w:hint="eastAsia"/>
          <w:sz w:val="24"/>
          <w:szCs w:val="24"/>
        </w:rPr>
        <w:t>）《环境影响评价技术导则</w:t>
      </w:r>
      <w:r>
        <w:rPr>
          <w:rFonts w:hint="eastAsia"/>
          <w:sz w:val="24"/>
          <w:szCs w:val="24"/>
        </w:rPr>
        <w:t xml:space="preserve"> </w:t>
      </w:r>
      <w:r>
        <w:rPr>
          <w:rFonts w:hint="eastAsia"/>
          <w:sz w:val="24"/>
          <w:szCs w:val="24"/>
        </w:rPr>
        <w:t>地下水环境》（</w:t>
      </w:r>
      <w:r>
        <w:rPr>
          <w:rFonts w:hint="eastAsia"/>
          <w:sz w:val="24"/>
          <w:szCs w:val="24"/>
        </w:rPr>
        <w:t>HJ610-2016</w:t>
      </w:r>
      <w:r>
        <w:rPr>
          <w:rFonts w:hint="eastAsia"/>
          <w:sz w:val="24"/>
          <w:szCs w:val="24"/>
        </w:rPr>
        <w:t>）；</w:t>
      </w:r>
    </w:p>
    <w:p w14:paraId="239F4075"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6</w:t>
      </w:r>
      <w:r>
        <w:rPr>
          <w:rFonts w:hint="eastAsia"/>
          <w:sz w:val="24"/>
          <w:szCs w:val="24"/>
        </w:rPr>
        <w:t>）《环境影响评价技术导则</w:t>
      </w:r>
      <w:r>
        <w:rPr>
          <w:rFonts w:hint="eastAsia"/>
          <w:sz w:val="24"/>
          <w:szCs w:val="24"/>
        </w:rPr>
        <w:t xml:space="preserve"> </w:t>
      </w:r>
      <w:r>
        <w:rPr>
          <w:rFonts w:hint="eastAsia"/>
          <w:sz w:val="24"/>
          <w:szCs w:val="24"/>
        </w:rPr>
        <w:t>生态影响》（</w:t>
      </w:r>
      <w:r>
        <w:rPr>
          <w:rFonts w:hint="eastAsia"/>
          <w:sz w:val="24"/>
          <w:szCs w:val="24"/>
        </w:rPr>
        <w:t>HJ19-2011</w:t>
      </w:r>
      <w:r>
        <w:rPr>
          <w:rFonts w:hint="eastAsia"/>
          <w:sz w:val="24"/>
          <w:szCs w:val="24"/>
        </w:rPr>
        <w:t>）；</w:t>
      </w:r>
    </w:p>
    <w:p w14:paraId="2F788FFD"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7</w:t>
      </w:r>
      <w:r>
        <w:rPr>
          <w:rFonts w:hint="eastAsia"/>
          <w:sz w:val="24"/>
          <w:szCs w:val="24"/>
        </w:rPr>
        <w:t>）《环境影响评价技术导则</w:t>
      </w:r>
      <w:r>
        <w:rPr>
          <w:rFonts w:hint="eastAsia"/>
          <w:sz w:val="24"/>
          <w:szCs w:val="24"/>
        </w:rPr>
        <w:t xml:space="preserve"> </w:t>
      </w:r>
      <w:r>
        <w:rPr>
          <w:rFonts w:hint="eastAsia"/>
          <w:sz w:val="24"/>
          <w:szCs w:val="24"/>
        </w:rPr>
        <w:t>土壤环境（试行）》（</w:t>
      </w:r>
      <w:r>
        <w:rPr>
          <w:rFonts w:hint="eastAsia"/>
          <w:sz w:val="24"/>
          <w:szCs w:val="24"/>
        </w:rPr>
        <w:t>HJ964-2018</w:t>
      </w:r>
      <w:r>
        <w:rPr>
          <w:rFonts w:hint="eastAsia"/>
          <w:sz w:val="24"/>
          <w:szCs w:val="24"/>
        </w:rPr>
        <w:t>）；</w:t>
      </w:r>
    </w:p>
    <w:p w14:paraId="3F389B53"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8</w:t>
      </w:r>
      <w:r>
        <w:rPr>
          <w:rFonts w:hint="eastAsia"/>
          <w:sz w:val="24"/>
          <w:szCs w:val="24"/>
        </w:rPr>
        <w:t>）《建设项目环境风险评价技术导则》（</w:t>
      </w:r>
      <w:r>
        <w:rPr>
          <w:rFonts w:hint="eastAsia"/>
          <w:sz w:val="24"/>
          <w:szCs w:val="24"/>
        </w:rPr>
        <w:t>HJ169-2018</w:t>
      </w:r>
      <w:r>
        <w:rPr>
          <w:rFonts w:hint="eastAsia"/>
          <w:sz w:val="24"/>
          <w:szCs w:val="24"/>
        </w:rPr>
        <w:t>）；</w:t>
      </w:r>
    </w:p>
    <w:p w14:paraId="79ABA4C0"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9</w:t>
      </w:r>
      <w:r>
        <w:rPr>
          <w:rFonts w:hint="eastAsia"/>
          <w:sz w:val="24"/>
          <w:szCs w:val="24"/>
        </w:rPr>
        <w:t>）《环境影响评价技术导则</w:t>
      </w:r>
      <w:r>
        <w:rPr>
          <w:rFonts w:hint="eastAsia"/>
          <w:sz w:val="24"/>
          <w:szCs w:val="24"/>
        </w:rPr>
        <w:t xml:space="preserve"> </w:t>
      </w:r>
      <w:r>
        <w:rPr>
          <w:rFonts w:hint="eastAsia"/>
          <w:sz w:val="24"/>
          <w:szCs w:val="24"/>
        </w:rPr>
        <w:t>陆地石油天然气开发建设项目》（</w:t>
      </w:r>
      <w:r>
        <w:rPr>
          <w:rFonts w:hint="eastAsia"/>
          <w:sz w:val="24"/>
          <w:szCs w:val="24"/>
        </w:rPr>
        <w:t>HJ/T349-2007</w:t>
      </w:r>
      <w:r>
        <w:rPr>
          <w:rFonts w:hint="eastAsia"/>
          <w:sz w:val="24"/>
          <w:szCs w:val="24"/>
        </w:rPr>
        <w:t>）；</w:t>
      </w:r>
    </w:p>
    <w:p w14:paraId="48DC65A4"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10</w:t>
      </w:r>
      <w:r>
        <w:rPr>
          <w:rFonts w:hint="eastAsia"/>
          <w:sz w:val="24"/>
          <w:szCs w:val="24"/>
        </w:rPr>
        <w:t>）《一般工业固体废物贮存和填埋污染控制标准》（</w:t>
      </w:r>
      <w:r>
        <w:rPr>
          <w:rFonts w:hint="eastAsia"/>
          <w:sz w:val="24"/>
          <w:szCs w:val="24"/>
        </w:rPr>
        <w:t>GB18599-2020</w:t>
      </w:r>
      <w:r>
        <w:rPr>
          <w:rFonts w:hint="eastAsia"/>
          <w:sz w:val="24"/>
          <w:szCs w:val="24"/>
        </w:rPr>
        <w:t>）；</w:t>
      </w:r>
    </w:p>
    <w:p w14:paraId="4A342336"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11</w:t>
      </w:r>
      <w:r>
        <w:rPr>
          <w:rFonts w:hint="eastAsia"/>
          <w:sz w:val="24"/>
          <w:szCs w:val="24"/>
        </w:rPr>
        <w:t>）《危险废物贮存污染控制标准》（</w:t>
      </w:r>
      <w:r>
        <w:rPr>
          <w:rFonts w:hint="eastAsia"/>
          <w:sz w:val="24"/>
          <w:szCs w:val="24"/>
        </w:rPr>
        <w:t>GB18597-2001</w:t>
      </w:r>
      <w:r>
        <w:rPr>
          <w:rFonts w:hint="eastAsia"/>
          <w:sz w:val="24"/>
          <w:szCs w:val="24"/>
        </w:rPr>
        <w:t>）；</w:t>
      </w:r>
    </w:p>
    <w:p w14:paraId="4D37B844"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12</w:t>
      </w:r>
      <w:r>
        <w:rPr>
          <w:rFonts w:hint="eastAsia"/>
          <w:sz w:val="24"/>
          <w:szCs w:val="24"/>
        </w:rPr>
        <w:t>）《土壤侵蚀分类分级标准》（</w:t>
      </w:r>
      <w:r>
        <w:rPr>
          <w:rFonts w:hint="eastAsia"/>
          <w:sz w:val="24"/>
          <w:szCs w:val="24"/>
        </w:rPr>
        <w:t>SL190-2007</w:t>
      </w:r>
      <w:r>
        <w:rPr>
          <w:rFonts w:hint="eastAsia"/>
          <w:sz w:val="24"/>
          <w:szCs w:val="24"/>
        </w:rPr>
        <w:t>）；</w:t>
      </w:r>
    </w:p>
    <w:p w14:paraId="6DA4E6E3"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13</w:t>
      </w:r>
      <w:r>
        <w:rPr>
          <w:rFonts w:hint="eastAsia"/>
          <w:sz w:val="24"/>
          <w:szCs w:val="24"/>
        </w:rPr>
        <w:t>）《大气污染物综合排放标准》（</w:t>
      </w:r>
      <w:r>
        <w:rPr>
          <w:rFonts w:hint="eastAsia"/>
          <w:sz w:val="24"/>
          <w:szCs w:val="24"/>
        </w:rPr>
        <w:t>GB16297-1996</w:t>
      </w:r>
      <w:r>
        <w:rPr>
          <w:rFonts w:hint="eastAsia"/>
          <w:sz w:val="24"/>
          <w:szCs w:val="24"/>
        </w:rPr>
        <w:t>）；</w:t>
      </w:r>
    </w:p>
    <w:p w14:paraId="6A3A78AA" w14:textId="77777777" w:rsidR="007D1E74" w:rsidRDefault="00A95641">
      <w:pPr>
        <w:spacing w:line="360" w:lineRule="auto"/>
        <w:ind w:firstLineChars="200" w:firstLine="480"/>
        <w:rPr>
          <w:sz w:val="24"/>
          <w:szCs w:val="24"/>
        </w:rPr>
      </w:pPr>
      <w:r>
        <w:rPr>
          <w:rFonts w:hint="eastAsia"/>
          <w:sz w:val="24"/>
          <w:szCs w:val="24"/>
        </w:rPr>
        <w:lastRenderedPageBreak/>
        <w:t>（</w:t>
      </w:r>
      <w:r>
        <w:rPr>
          <w:rFonts w:hint="eastAsia"/>
          <w:sz w:val="24"/>
          <w:szCs w:val="24"/>
        </w:rPr>
        <w:t>14</w:t>
      </w:r>
      <w:r>
        <w:rPr>
          <w:rFonts w:hint="eastAsia"/>
          <w:sz w:val="24"/>
          <w:szCs w:val="24"/>
        </w:rPr>
        <w:t>）《石油天然气钻井健康、安全与环境管理体系指南》（</w:t>
      </w:r>
      <w:r>
        <w:rPr>
          <w:rFonts w:hint="eastAsia"/>
          <w:sz w:val="24"/>
          <w:szCs w:val="24"/>
        </w:rPr>
        <w:t>SY/T6283</w:t>
      </w:r>
      <w:r>
        <w:rPr>
          <w:rFonts w:hint="eastAsia"/>
          <w:sz w:val="24"/>
          <w:szCs w:val="24"/>
        </w:rPr>
        <w:t>－</w:t>
      </w:r>
      <w:r>
        <w:rPr>
          <w:rFonts w:hint="eastAsia"/>
          <w:sz w:val="24"/>
          <w:szCs w:val="24"/>
        </w:rPr>
        <w:t>1997</w:t>
      </w:r>
      <w:r>
        <w:rPr>
          <w:rFonts w:hint="eastAsia"/>
          <w:sz w:val="24"/>
          <w:szCs w:val="24"/>
        </w:rPr>
        <w:t>）；</w:t>
      </w:r>
    </w:p>
    <w:p w14:paraId="603408AB"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15</w:t>
      </w:r>
      <w:r>
        <w:rPr>
          <w:rFonts w:hint="eastAsia"/>
          <w:sz w:val="24"/>
          <w:szCs w:val="24"/>
        </w:rPr>
        <w:t>）《石油天然气设计防火规范》（</w:t>
      </w:r>
      <w:r>
        <w:rPr>
          <w:rFonts w:hint="eastAsia"/>
          <w:sz w:val="24"/>
          <w:szCs w:val="24"/>
        </w:rPr>
        <w:t>GB50183-2004</w:t>
      </w:r>
      <w:r>
        <w:rPr>
          <w:rFonts w:hint="eastAsia"/>
          <w:sz w:val="24"/>
          <w:szCs w:val="24"/>
        </w:rPr>
        <w:t>）；</w:t>
      </w:r>
    </w:p>
    <w:p w14:paraId="473D6C13"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16</w:t>
      </w:r>
      <w:r>
        <w:rPr>
          <w:rFonts w:hint="eastAsia"/>
          <w:sz w:val="24"/>
          <w:szCs w:val="24"/>
        </w:rPr>
        <w:t>）《石油天然气安全规程》（</w:t>
      </w:r>
      <w:r>
        <w:rPr>
          <w:rFonts w:hint="eastAsia"/>
          <w:sz w:val="24"/>
          <w:szCs w:val="24"/>
        </w:rPr>
        <w:t>AQ2012-2007</w:t>
      </w:r>
      <w:r>
        <w:rPr>
          <w:rFonts w:hint="eastAsia"/>
          <w:sz w:val="24"/>
          <w:szCs w:val="24"/>
        </w:rPr>
        <w:t>）；</w:t>
      </w:r>
    </w:p>
    <w:p w14:paraId="1A67FA95"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17</w:t>
      </w:r>
      <w:r>
        <w:rPr>
          <w:rFonts w:hint="eastAsia"/>
          <w:sz w:val="24"/>
          <w:szCs w:val="24"/>
        </w:rPr>
        <w:t>）《输气管道工程设计规范》（</w:t>
      </w:r>
      <w:r>
        <w:rPr>
          <w:rFonts w:hint="eastAsia"/>
          <w:sz w:val="24"/>
          <w:szCs w:val="24"/>
        </w:rPr>
        <w:t>GB50251-2015</w:t>
      </w:r>
      <w:r>
        <w:rPr>
          <w:rFonts w:hint="eastAsia"/>
          <w:sz w:val="24"/>
          <w:szCs w:val="24"/>
        </w:rPr>
        <w:t>）；</w:t>
      </w:r>
    </w:p>
    <w:p w14:paraId="2204EC44"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18</w:t>
      </w:r>
      <w:r>
        <w:rPr>
          <w:rFonts w:hint="eastAsia"/>
          <w:sz w:val="24"/>
          <w:szCs w:val="24"/>
        </w:rPr>
        <w:t>）《气田集输设计规范》（</w:t>
      </w:r>
      <w:r>
        <w:rPr>
          <w:rFonts w:hint="eastAsia"/>
          <w:sz w:val="24"/>
          <w:szCs w:val="24"/>
        </w:rPr>
        <w:t>GB50349-2015</w:t>
      </w:r>
      <w:r>
        <w:rPr>
          <w:rFonts w:hint="eastAsia"/>
          <w:sz w:val="24"/>
          <w:szCs w:val="24"/>
        </w:rPr>
        <w:t>）。</w:t>
      </w:r>
    </w:p>
    <w:p w14:paraId="31E8A0C8" w14:textId="77777777" w:rsidR="007D1E74" w:rsidRDefault="00A95641">
      <w:pPr>
        <w:pStyle w:val="a9"/>
      </w:pPr>
      <w:r>
        <w:rPr>
          <w:rFonts w:hint="eastAsia"/>
        </w:rPr>
        <w:t>项目有关资料</w:t>
      </w:r>
    </w:p>
    <w:p w14:paraId="446CD559"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w:t>
      </w:r>
      <w:r>
        <w:rPr>
          <w:rFonts w:hint="eastAsia"/>
          <w:sz w:val="24"/>
          <w:szCs w:val="24"/>
        </w:rPr>
        <w:t>）《通南巴气田马</w:t>
      </w:r>
      <w:r>
        <w:rPr>
          <w:rFonts w:hint="eastAsia"/>
          <w:sz w:val="24"/>
          <w:szCs w:val="24"/>
        </w:rPr>
        <w:t>1</w:t>
      </w:r>
      <w:r>
        <w:rPr>
          <w:rFonts w:hint="eastAsia"/>
          <w:sz w:val="24"/>
          <w:szCs w:val="24"/>
        </w:rPr>
        <w:t>及马</w:t>
      </w:r>
      <w:r>
        <w:rPr>
          <w:rFonts w:hint="eastAsia"/>
          <w:sz w:val="24"/>
          <w:szCs w:val="24"/>
        </w:rPr>
        <w:t>2</w:t>
      </w:r>
      <w:r>
        <w:rPr>
          <w:rFonts w:hint="eastAsia"/>
          <w:sz w:val="24"/>
          <w:szCs w:val="24"/>
        </w:rPr>
        <w:t>块产能建设项目（二期）可行性研究报告》；</w:t>
      </w:r>
    </w:p>
    <w:p w14:paraId="1E41961E"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2</w:t>
      </w:r>
      <w:r>
        <w:rPr>
          <w:rFonts w:hint="eastAsia"/>
          <w:sz w:val="24"/>
          <w:szCs w:val="24"/>
        </w:rPr>
        <w:t>）《通南巴气田马</w:t>
      </w:r>
      <w:r>
        <w:rPr>
          <w:rFonts w:hint="eastAsia"/>
          <w:sz w:val="24"/>
          <w:szCs w:val="24"/>
        </w:rPr>
        <w:t>1</w:t>
      </w:r>
      <w:r>
        <w:rPr>
          <w:rFonts w:hint="eastAsia"/>
          <w:sz w:val="24"/>
          <w:szCs w:val="24"/>
        </w:rPr>
        <w:t>及马</w:t>
      </w:r>
      <w:r>
        <w:rPr>
          <w:rFonts w:hint="eastAsia"/>
          <w:sz w:val="24"/>
          <w:szCs w:val="24"/>
        </w:rPr>
        <w:t>2</w:t>
      </w:r>
      <w:r>
        <w:rPr>
          <w:rFonts w:hint="eastAsia"/>
          <w:sz w:val="24"/>
          <w:szCs w:val="24"/>
        </w:rPr>
        <w:t>块产能建设项目（二期）地面工程》；</w:t>
      </w:r>
    </w:p>
    <w:p w14:paraId="5528CE1F" w14:textId="77777777" w:rsidR="007D1E74" w:rsidRDefault="00A95641">
      <w:pPr>
        <w:spacing w:line="360" w:lineRule="auto"/>
        <w:ind w:firstLineChars="177" w:firstLine="425"/>
        <w:rPr>
          <w:sz w:val="24"/>
        </w:rPr>
      </w:pPr>
      <w:r>
        <w:rPr>
          <w:rFonts w:hint="eastAsia"/>
          <w:sz w:val="24"/>
          <w:szCs w:val="24"/>
        </w:rPr>
        <w:t>（</w:t>
      </w:r>
      <w:r>
        <w:rPr>
          <w:rFonts w:hint="eastAsia"/>
          <w:sz w:val="24"/>
          <w:szCs w:val="24"/>
        </w:rPr>
        <w:t>3</w:t>
      </w:r>
      <w:r>
        <w:rPr>
          <w:rFonts w:hint="eastAsia"/>
          <w:sz w:val="24"/>
          <w:szCs w:val="24"/>
        </w:rPr>
        <w:t>）通江县发展和改革局</w:t>
      </w:r>
      <w:r>
        <w:rPr>
          <w:rFonts w:cs="Times New Roman"/>
          <w:sz w:val="24"/>
        </w:rPr>
        <w:t>《</w:t>
      </w:r>
      <w:r>
        <w:rPr>
          <w:rFonts w:cs="Times New Roman" w:hint="eastAsia"/>
          <w:sz w:val="24"/>
        </w:rPr>
        <w:t>四川省固定资产投资项目备案表</w:t>
      </w:r>
      <w:r>
        <w:rPr>
          <w:rFonts w:cs="Times New Roman"/>
          <w:sz w:val="24"/>
        </w:rPr>
        <w:t>》（</w:t>
      </w:r>
      <w:r>
        <w:rPr>
          <w:rFonts w:cs="Times New Roman" w:hint="eastAsia"/>
          <w:sz w:val="24"/>
        </w:rPr>
        <w:t>川投资备【</w:t>
      </w:r>
      <w:r>
        <w:rPr>
          <w:rFonts w:cs="Times New Roman" w:hint="eastAsia"/>
          <w:sz w:val="24"/>
        </w:rPr>
        <w:t>2111-511921-04-01-686817</w:t>
      </w:r>
      <w:r>
        <w:rPr>
          <w:rFonts w:cs="Times New Roman" w:hint="eastAsia"/>
          <w:sz w:val="24"/>
        </w:rPr>
        <w:t>】</w:t>
      </w:r>
      <w:r>
        <w:rPr>
          <w:rFonts w:cs="Times New Roman" w:hint="eastAsia"/>
          <w:sz w:val="24"/>
        </w:rPr>
        <w:t>FGQB-0148</w:t>
      </w:r>
      <w:r>
        <w:rPr>
          <w:rFonts w:cs="Times New Roman" w:hint="eastAsia"/>
          <w:sz w:val="24"/>
        </w:rPr>
        <w:t>号</w:t>
      </w:r>
      <w:r>
        <w:rPr>
          <w:rFonts w:cs="Times New Roman"/>
          <w:sz w:val="24"/>
        </w:rPr>
        <w:t>）</w:t>
      </w:r>
      <w:r>
        <w:rPr>
          <w:rFonts w:hint="eastAsia"/>
          <w:sz w:val="24"/>
        </w:rPr>
        <w:t>；</w:t>
      </w:r>
    </w:p>
    <w:p w14:paraId="19785135"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5</w:t>
      </w:r>
      <w:r>
        <w:rPr>
          <w:rFonts w:hint="eastAsia"/>
          <w:sz w:val="24"/>
          <w:szCs w:val="24"/>
        </w:rPr>
        <w:t>）与项目有关的其他资料。</w:t>
      </w:r>
    </w:p>
    <w:p w14:paraId="37D01ED8" w14:textId="77777777" w:rsidR="007D1E74" w:rsidRDefault="00A95641">
      <w:pPr>
        <w:pStyle w:val="a8"/>
      </w:pPr>
      <w:r>
        <w:rPr>
          <w:rFonts w:hint="eastAsia"/>
        </w:rPr>
        <w:t>相关规划及环境功能区划</w:t>
      </w:r>
    </w:p>
    <w:p w14:paraId="463C0DF9" w14:textId="77777777" w:rsidR="007D1E74" w:rsidRDefault="00A95641">
      <w:pPr>
        <w:pStyle w:val="a9"/>
      </w:pPr>
      <w:r>
        <w:rPr>
          <w:rFonts w:hint="eastAsia"/>
        </w:rPr>
        <w:t>产业政策符合性分析</w:t>
      </w:r>
    </w:p>
    <w:p w14:paraId="08F0EA91" w14:textId="77777777" w:rsidR="007D1E74" w:rsidRDefault="00A95641">
      <w:pPr>
        <w:pStyle w:val="aa"/>
      </w:pPr>
      <w:r>
        <w:t>与《产业结构调整指导目录》的符合性</w:t>
      </w:r>
    </w:p>
    <w:p w14:paraId="1D637FBD" w14:textId="77777777" w:rsidR="007D1E74" w:rsidRDefault="00A95641">
      <w:pPr>
        <w:pStyle w:val="-1"/>
        <w:ind w:firstLine="480"/>
      </w:pPr>
      <w:r>
        <w:rPr>
          <w:kern w:val="0"/>
        </w:rPr>
        <w:t>本项目属于《产业结构调整指导目录</w:t>
      </w:r>
      <w:r>
        <w:rPr>
          <w:kern w:val="0"/>
        </w:rPr>
        <w:t>(2019</w:t>
      </w:r>
      <w:r>
        <w:rPr>
          <w:kern w:val="0"/>
        </w:rPr>
        <w:t>年本）》（</w:t>
      </w:r>
      <w:r>
        <w:t>中华人民共和国国家发展和改革委员会令</w:t>
      </w:r>
      <w:r>
        <w:t> </w:t>
      </w:r>
      <w:r>
        <w:t>第</w:t>
      </w:r>
      <w:r>
        <w:t>29</w:t>
      </w:r>
      <w:r>
        <w:t>号</w:t>
      </w:r>
      <w:r>
        <w:rPr>
          <w:kern w:val="0"/>
        </w:rPr>
        <w:t>）中</w:t>
      </w:r>
      <w:r>
        <w:rPr>
          <w:kern w:val="0"/>
        </w:rPr>
        <w:t>“</w:t>
      </w:r>
      <w:r>
        <w:rPr>
          <w:kern w:val="0"/>
        </w:rPr>
        <w:t>七、石油、天然气</w:t>
      </w:r>
      <w:r>
        <w:rPr>
          <w:kern w:val="0"/>
        </w:rPr>
        <w:t>”“3</w:t>
      </w:r>
      <w:r>
        <w:rPr>
          <w:kern w:val="0"/>
        </w:rPr>
        <w:t>、原油、天然气、液化天然气、成品油的储运和管道输送设施、网络和液化天然气加注设施建设</w:t>
      </w:r>
      <w:r>
        <w:rPr>
          <w:kern w:val="0"/>
        </w:rPr>
        <w:t>”</w:t>
      </w:r>
      <w:r>
        <w:rPr>
          <w:kern w:val="0"/>
        </w:rPr>
        <w:t>类项目，为国家</w:t>
      </w:r>
      <w:r>
        <w:rPr>
          <w:kern w:val="0"/>
        </w:rPr>
        <w:t>“</w:t>
      </w:r>
      <w:r>
        <w:rPr>
          <w:kern w:val="0"/>
        </w:rPr>
        <w:t>鼓励类</w:t>
      </w:r>
      <w:r>
        <w:rPr>
          <w:kern w:val="0"/>
        </w:rPr>
        <w:t>”</w:t>
      </w:r>
      <w:r>
        <w:rPr>
          <w:kern w:val="0"/>
        </w:rPr>
        <w:t>项目。</w:t>
      </w:r>
      <w:r>
        <w:rPr>
          <w:rFonts w:hint="eastAsia"/>
        </w:rPr>
        <w:t>同时，通江县发展和改革局于</w:t>
      </w:r>
      <w:r>
        <w:rPr>
          <w:rFonts w:hint="eastAsia"/>
        </w:rPr>
        <w:t>2021</w:t>
      </w:r>
      <w:r>
        <w:t>年</w:t>
      </w:r>
      <w:r>
        <w:rPr>
          <w:rFonts w:hint="eastAsia"/>
        </w:rPr>
        <w:t>11</w:t>
      </w:r>
      <w:r>
        <w:rPr>
          <w:rFonts w:hint="eastAsia"/>
        </w:rPr>
        <w:t>月</w:t>
      </w:r>
      <w:r>
        <w:rPr>
          <w:rFonts w:hint="eastAsia"/>
        </w:rPr>
        <w:t>16</w:t>
      </w:r>
      <w:r>
        <w:rPr>
          <w:rFonts w:hint="eastAsia"/>
        </w:rPr>
        <w:t>日对本项目进行了备案（川投资备【</w:t>
      </w:r>
      <w:r>
        <w:rPr>
          <w:rFonts w:hint="eastAsia"/>
        </w:rPr>
        <w:t>2111-511921-04-01-686817</w:t>
      </w:r>
      <w:r>
        <w:rPr>
          <w:rFonts w:hint="eastAsia"/>
        </w:rPr>
        <w:t>】</w:t>
      </w:r>
      <w:r>
        <w:rPr>
          <w:rFonts w:hint="eastAsia"/>
        </w:rPr>
        <w:t>FGQB-0148</w:t>
      </w:r>
      <w:r>
        <w:rPr>
          <w:rFonts w:hint="eastAsia"/>
        </w:rPr>
        <w:t>号）。</w:t>
      </w:r>
    </w:p>
    <w:p w14:paraId="0D283EF2" w14:textId="77777777" w:rsidR="007D1E74" w:rsidRDefault="00A95641">
      <w:pPr>
        <w:autoSpaceDE w:val="0"/>
        <w:autoSpaceDN w:val="0"/>
        <w:adjustRightInd w:val="0"/>
        <w:spacing w:line="360" w:lineRule="auto"/>
        <w:ind w:firstLineChars="200" w:firstLine="482"/>
        <w:contextualSpacing/>
        <w:jc w:val="left"/>
        <w:rPr>
          <w:b/>
          <w:sz w:val="24"/>
        </w:rPr>
      </w:pPr>
      <w:r>
        <w:rPr>
          <w:rFonts w:cs="Times New Roman"/>
          <w:b/>
          <w:kern w:val="0"/>
          <w:sz w:val="24"/>
        </w:rPr>
        <w:t>因此</w:t>
      </w:r>
      <w:r>
        <w:rPr>
          <w:rFonts w:cs="Times New Roman" w:hint="eastAsia"/>
          <w:b/>
          <w:kern w:val="0"/>
          <w:sz w:val="24"/>
        </w:rPr>
        <w:t>，</w:t>
      </w:r>
      <w:r>
        <w:rPr>
          <w:rFonts w:cs="Times New Roman"/>
          <w:b/>
          <w:kern w:val="0"/>
          <w:sz w:val="24"/>
        </w:rPr>
        <w:t>本项目符合国家有关产</w:t>
      </w:r>
      <w:r>
        <w:rPr>
          <w:rFonts w:cs="Times New Roman"/>
          <w:b/>
          <w:sz w:val="24"/>
        </w:rPr>
        <w:t>业政策。</w:t>
      </w:r>
    </w:p>
    <w:p w14:paraId="5C036FC0" w14:textId="77777777" w:rsidR="007D1E74" w:rsidRDefault="00A95641">
      <w:pPr>
        <w:pStyle w:val="aa"/>
      </w:pPr>
      <w:r>
        <w:t>与《关于进一步加强石油天然气行业环境影响评价管理的通知》（环办环评函〔</w:t>
      </w:r>
      <w:r>
        <w:t>2019</w:t>
      </w:r>
      <w:r>
        <w:t>〕</w:t>
      </w:r>
      <w:r>
        <w:t xml:space="preserve">910 </w:t>
      </w:r>
      <w:r>
        <w:t>号）符合性分析</w:t>
      </w:r>
    </w:p>
    <w:p w14:paraId="0AE30E8A" w14:textId="77777777" w:rsidR="007D1E74" w:rsidRDefault="00A95641">
      <w:pPr>
        <w:autoSpaceDE w:val="0"/>
        <w:autoSpaceDN w:val="0"/>
        <w:adjustRightInd w:val="0"/>
        <w:spacing w:line="360" w:lineRule="auto"/>
        <w:ind w:firstLineChars="200" w:firstLine="480"/>
        <w:contextualSpacing/>
        <w:jc w:val="left"/>
        <w:rPr>
          <w:kern w:val="0"/>
          <w:sz w:val="24"/>
        </w:rPr>
      </w:pPr>
      <w:r>
        <w:rPr>
          <w:rFonts w:cs="Times New Roman"/>
          <w:kern w:val="0"/>
          <w:sz w:val="24"/>
        </w:rPr>
        <w:t>《关于进一步加强石油天然气行业环境影响评价管理的通知》（环办环评函〔</w:t>
      </w:r>
      <w:r>
        <w:rPr>
          <w:rFonts w:cs="Times New Roman"/>
          <w:kern w:val="0"/>
          <w:sz w:val="24"/>
        </w:rPr>
        <w:t>2019</w:t>
      </w:r>
      <w:r>
        <w:rPr>
          <w:rFonts w:cs="Times New Roman"/>
          <w:kern w:val="0"/>
          <w:sz w:val="24"/>
        </w:rPr>
        <w:t>〕</w:t>
      </w:r>
      <w:r>
        <w:rPr>
          <w:rFonts w:cs="Times New Roman"/>
          <w:kern w:val="0"/>
          <w:sz w:val="24"/>
        </w:rPr>
        <w:t xml:space="preserve">910 </w:t>
      </w:r>
      <w:r>
        <w:rPr>
          <w:rFonts w:cs="Times New Roman"/>
          <w:kern w:val="0"/>
          <w:sz w:val="24"/>
        </w:rPr>
        <w:t>号）中提出：</w:t>
      </w:r>
      <w:r>
        <w:rPr>
          <w:rFonts w:cs="Times New Roman"/>
          <w:kern w:val="0"/>
          <w:sz w:val="24"/>
        </w:rPr>
        <w:t>“</w:t>
      </w:r>
      <w:r>
        <w:rPr>
          <w:rFonts w:cs="Times New Roman"/>
          <w:kern w:val="0"/>
          <w:sz w:val="24"/>
        </w:rPr>
        <w:t>第二条（四）油气开采项目（含新开发和滚动开发项目）原则上应当以区块为单位开展环评（以下简称区块环评），一般包括区块内拟建的新井、加密井、调整井、站场、设备、管线和电缆及其更换工程、弃置工程及配套工程等。</w:t>
      </w:r>
      <w:r>
        <w:rPr>
          <w:rFonts w:cs="Times New Roman"/>
          <w:kern w:val="0"/>
          <w:sz w:val="24"/>
        </w:rPr>
        <w:t>”</w:t>
      </w:r>
      <w:r>
        <w:rPr>
          <w:rFonts w:cs="Times New Roman"/>
          <w:kern w:val="0"/>
          <w:sz w:val="24"/>
        </w:rPr>
        <w:t>、</w:t>
      </w:r>
      <w:r>
        <w:rPr>
          <w:rFonts w:cs="Times New Roman"/>
          <w:kern w:val="0"/>
          <w:sz w:val="24"/>
        </w:rPr>
        <w:t>“</w:t>
      </w:r>
      <w:r>
        <w:rPr>
          <w:rFonts w:cs="Times New Roman"/>
          <w:kern w:val="0"/>
          <w:sz w:val="24"/>
        </w:rPr>
        <w:t>（五）</w:t>
      </w:r>
      <w:r>
        <w:rPr>
          <w:rFonts w:cs="Times New Roman"/>
          <w:kern w:val="0"/>
          <w:sz w:val="24"/>
        </w:rPr>
        <w:t>……</w:t>
      </w:r>
      <w:r>
        <w:rPr>
          <w:rFonts w:cs="Times New Roman"/>
          <w:kern w:val="0"/>
          <w:sz w:val="24"/>
        </w:rPr>
        <w:t>勘探井转为生产井的，可以纳入区块环评。自</w:t>
      </w:r>
      <w:r>
        <w:rPr>
          <w:rFonts w:cs="Times New Roman"/>
          <w:kern w:val="0"/>
          <w:sz w:val="24"/>
        </w:rPr>
        <w:t>2021</w:t>
      </w:r>
      <w:r>
        <w:rPr>
          <w:rFonts w:cs="Times New Roman"/>
          <w:kern w:val="0"/>
          <w:sz w:val="24"/>
        </w:rPr>
        <w:t>年</w:t>
      </w:r>
      <w:r>
        <w:rPr>
          <w:rFonts w:cs="Times New Roman"/>
          <w:kern w:val="0"/>
          <w:sz w:val="24"/>
        </w:rPr>
        <w:t>1</w:t>
      </w:r>
      <w:r>
        <w:rPr>
          <w:rFonts w:cs="Times New Roman"/>
          <w:kern w:val="0"/>
          <w:sz w:val="24"/>
        </w:rPr>
        <w:t>月</w:t>
      </w:r>
      <w:r>
        <w:rPr>
          <w:rFonts w:cs="Times New Roman"/>
          <w:kern w:val="0"/>
          <w:sz w:val="24"/>
        </w:rPr>
        <w:t>1</w:t>
      </w:r>
      <w:r>
        <w:rPr>
          <w:rFonts w:cs="Times New Roman"/>
          <w:kern w:val="0"/>
          <w:sz w:val="24"/>
        </w:rPr>
        <w:t>日起，原则上不以单井形式开展环评。</w:t>
      </w:r>
      <w:r>
        <w:rPr>
          <w:rFonts w:cs="Times New Roman"/>
          <w:kern w:val="0"/>
          <w:sz w:val="24"/>
        </w:rPr>
        <w:t>……”</w:t>
      </w:r>
    </w:p>
    <w:p w14:paraId="43B18C4A" w14:textId="77777777" w:rsidR="007D1E74" w:rsidRDefault="00A95641">
      <w:pPr>
        <w:autoSpaceDE w:val="0"/>
        <w:autoSpaceDN w:val="0"/>
        <w:adjustRightInd w:val="0"/>
        <w:spacing w:line="360" w:lineRule="auto"/>
        <w:ind w:firstLineChars="200" w:firstLine="480"/>
        <w:contextualSpacing/>
        <w:jc w:val="left"/>
        <w:rPr>
          <w:kern w:val="0"/>
          <w:sz w:val="24"/>
        </w:rPr>
      </w:pPr>
      <w:r>
        <w:rPr>
          <w:rFonts w:cs="Times New Roman"/>
          <w:kern w:val="0"/>
          <w:sz w:val="24"/>
        </w:rPr>
        <w:lastRenderedPageBreak/>
        <w:t>本次评价对象为通南巴气田马</w:t>
      </w:r>
      <w:r>
        <w:rPr>
          <w:rFonts w:cs="Times New Roman" w:hint="eastAsia"/>
          <w:kern w:val="0"/>
          <w:sz w:val="24"/>
        </w:rPr>
        <w:t>1</w:t>
      </w:r>
      <w:r>
        <w:rPr>
          <w:rFonts w:cs="Times New Roman" w:hint="eastAsia"/>
          <w:kern w:val="0"/>
          <w:sz w:val="24"/>
        </w:rPr>
        <w:t>、</w:t>
      </w:r>
      <w:r>
        <w:rPr>
          <w:rFonts w:cs="Times New Roman"/>
          <w:kern w:val="0"/>
          <w:sz w:val="24"/>
        </w:rPr>
        <w:t>马</w:t>
      </w:r>
      <w:r>
        <w:rPr>
          <w:rFonts w:cs="Times New Roman" w:hint="eastAsia"/>
          <w:kern w:val="0"/>
          <w:sz w:val="24"/>
        </w:rPr>
        <w:t>2</w:t>
      </w:r>
      <w:r>
        <w:rPr>
          <w:rFonts w:cs="Times New Roman" w:hint="eastAsia"/>
          <w:kern w:val="0"/>
          <w:sz w:val="24"/>
        </w:rPr>
        <w:t>块产能建设项目（二期）</w:t>
      </w:r>
      <w:r>
        <w:rPr>
          <w:rFonts w:cs="Times New Roman"/>
          <w:kern w:val="0"/>
          <w:sz w:val="24"/>
        </w:rPr>
        <w:t>地面</w:t>
      </w:r>
      <w:r>
        <w:rPr>
          <w:rFonts w:cs="Times New Roman" w:hint="eastAsia"/>
          <w:kern w:val="0"/>
          <w:sz w:val="24"/>
        </w:rPr>
        <w:t>集输</w:t>
      </w:r>
      <w:r>
        <w:rPr>
          <w:rFonts w:cs="Times New Roman"/>
          <w:kern w:val="0"/>
          <w:sz w:val="24"/>
        </w:rPr>
        <w:t>工程环评，仅包括井站之间配套的集输管线工程等，不涉及新井、加密井、调整井等工程建设。</w:t>
      </w:r>
      <w:r>
        <w:rPr>
          <w:rFonts w:cs="Times New Roman" w:hint="eastAsia"/>
          <w:kern w:val="0"/>
          <w:sz w:val="24"/>
        </w:rPr>
        <w:t>目前</w:t>
      </w:r>
      <w:r>
        <w:rPr>
          <w:rFonts w:cs="Times New Roman"/>
          <w:kern w:val="0"/>
          <w:sz w:val="24"/>
        </w:rPr>
        <w:t>马</w:t>
      </w:r>
      <w:r>
        <w:rPr>
          <w:rFonts w:cs="Times New Roman" w:hint="eastAsia"/>
          <w:kern w:val="0"/>
          <w:sz w:val="24"/>
        </w:rPr>
        <w:t>1-1</w:t>
      </w:r>
      <w:r>
        <w:rPr>
          <w:rFonts w:cs="Times New Roman" w:hint="eastAsia"/>
          <w:kern w:val="0"/>
          <w:sz w:val="24"/>
        </w:rPr>
        <w:t>井、马</w:t>
      </w:r>
      <w:r>
        <w:rPr>
          <w:rFonts w:cs="Times New Roman" w:hint="eastAsia"/>
          <w:kern w:val="0"/>
          <w:sz w:val="24"/>
        </w:rPr>
        <w:t>1-10H</w:t>
      </w:r>
      <w:r>
        <w:rPr>
          <w:rFonts w:cs="Times New Roman" w:hint="eastAsia"/>
          <w:kern w:val="0"/>
          <w:sz w:val="24"/>
        </w:rPr>
        <w:t>井、马</w:t>
      </w:r>
      <w:r>
        <w:rPr>
          <w:rFonts w:cs="Times New Roman" w:hint="eastAsia"/>
          <w:kern w:val="0"/>
          <w:sz w:val="24"/>
        </w:rPr>
        <w:t>1-12H</w:t>
      </w:r>
      <w:r>
        <w:rPr>
          <w:rFonts w:cs="Times New Roman"/>
          <w:kern w:val="0"/>
          <w:sz w:val="24"/>
        </w:rPr>
        <w:t>井、马</w:t>
      </w:r>
      <w:r>
        <w:rPr>
          <w:rFonts w:cs="Times New Roman"/>
          <w:kern w:val="0"/>
          <w:sz w:val="24"/>
        </w:rPr>
        <w:t>1</w:t>
      </w:r>
      <w:r>
        <w:rPr>
          <w:rFonts w:cs="Times New Roman" w:hint="eastAsia"/>
          <w:kern w:val="0"/>
          <w:sz w:val="24"/>
        </w:rPr>
        <w:t>-13H</w:t>
      </w:r>
      <w:r>
        <w:rPr>
          <w:rFonts w:cs="Times New Roman"/>
          <w:kern w:val="0"/>
          <w:sz w:val="24"/>
        </w:rPr>
        <w:t>井</w:t>
      </w:r>
      <w:r>
        <w:rPr>
          <w:rFonts w:cs="Times New Roman" w:hint="eastAsia"/>
          <w:kern w:val="0"/>
          <w:sz w:val="24"/>
        </w:rPr>
        <w:t>均为勘探井，</w:t>
      </w:r>
      <w:r>
        <w:rPr>
          <w:rFonts w:cs="Times New Roman"/>
          <w:kern w:val="0"/>
          <w:sz w:val="24"/>
        </w:rPr>
        <w:t>马</w:t>
      </w:r>
      <w:r>
        <w:rPr>
          <w:rFonts w:cs="Times New Roman" w:hint="eastAsia"/>
          <w:kern w:val="0"/>
          <w:sz w:val="24"/>
        </w:rPr>
        <w:t>1-1</w:t>
      </w:r>
      <w:r>
        <w:rPr>
          <w:rFonts w:cs="Times New Roman" w:hint="eastAsia"/>
          <w:kern w:val="0"/>
          <w:sz w:val="24"/>
        </w:rPr>
        <w:t>井、马</w:t>
      </w:r>
      <w:r>
        <w:rPr>
          <w:rFonts w:cs="Times New Roman" w:hint="eastAsia"/>
          <w:kern w:val="0"/>
          <w:sz w:val="24"/>
        </w:rPr>
        <w:t>1-10H</w:t>
      </w:r>
      <w:r>
        <w:rPr>
          <w:rFonts w:cs="Times New Roman" w:hint="eastAsia"/>
          <w:kern w:val="0"/>
          <w:sz w:val="24"/>
        </w:rPr>
        <w:t>井、马</w:t>
      </w:r>
      <w:r>
        <w:rPr>
          <w:rFonts w:cs="Times New Roman" w:hint="eastAsia"/>
          <w:kern w:val="0"/>
          <w:sz w:val="24"/>
        </w:rPr>
        <w:t>1-12H</w:t>
      </w:r>
      <w:r>
        <w:rPr>
          <w:rFonts w:cs="Times New Roman"/>
          <w:kern w:val="0"/>
          <w:sz w:val="24"/>
        </w:rPr>
        <w:t>井、马</w:t>
      </w:r>
      <w:r>
        <w:rPr>
          <w:rFonts w:cs="Times New Roman"/>
          <w:kern w:val="0"/>
          <w:sz w:val="24"/>
        </w:rPr>
        <w:t>1</w:t>
      </w:r>
      <w:r>
        <w:rPr>
          <w:rFonts w:cs="Times New Roman" w:hint="eastAsia"/>
          <w:kern w:val="0"/>
          <w:sz w:val="24"/>
        </w:rPr>
        <w:t>-13H</w:t>
      </w:r>
      <w:r>
        <w:rPr>
          <w:rFonts w:cs="Times New Roman"/>
          <w:kern w:val="0"/>
          <w:sz w:val="24"/>
        </w:rPr>
        <w:t>井转为生产井时另行完善环保手续，因此，本项目建设不违背该通知要求，与《关于进一步加强石油天然气行业环境影响评价管理的通知》（环办环评函〔</w:t>
      </w:r>
      <w:r>
        <w:rPr>
          <w:rFonts w:cs="Times New Roman"/>
          <w:kern w:val="0"/>
          <w:sz w:val="24"/>
        </w:rPr>
        <w:t>2019</w:t>
      </w:r>
      <w:r>
        <w:rPr>
          <w:rFonts w:cs="Times New Roman"/>
          <w:kern w:val="0"/>
          <w:sz w:val="24"/>
        </w:rPr>
        <w:t>〕</w:t>
      </w:r>
      <w:r>
        <w:rPr>
          <w:rFonts w:cs="Times New Roman"/>
          <w:kern w:val="0"/>
          <w:sz w:val="24"/>
        </w:rPr>
        <w:t xml:space="preserve">910 </w:t>
      </w:r>
      <w:r>
        <w:rPr>
          <w:rFonts w:cs="Times New Roman"/>
          <w:kern w:val="0"/>
          <w:sz w:val="24"/>
        </w:rPr>
        <w:t>号）的相关要求相符。</w:t>
      </w:r>
    </w:p>
    <w:p w14:paraId="0D5FC9A7" w14:textId="77777777" w:rsidR="007D1E74" w:rsidRDefault="00A95641">
      <w:pPr>
        <w:pStyle w:val="aa"/>
      </w:pPr>
      <w:r>
        <w:t>与《石油天然气开采业污染防治技术政策》符合性分析</w:t>
      </w:r>
    </w:p>
    <w:p w14:paraId="2EC7CC2F" w14:textId="77777777" w:rsidR="007D1E74" w:rsidRDefault="00A95641">
      <w:pPr>
        <w:autoSpaceDE w:val="0"/>
        <w:autoSpaceDN w:val="0"/>
        <w:adjustRightInd w:val="0"/>
        <w:spacing w:line="360" w:lineRule="auto"/>
        <w:ind w:firstLineChars="200" w:firstLine="480"/>
        <w:contextualSpacing/>
        <w:jc w:val="left"/>
        <w:rPr>
          <w:kern w:val="0"/>
          <w:sz w:val="24"/>
        </w:rPr>
      </w:pPr>
      <w:r>
        <w:rPr>
          <w:rFonts w:cs="Times New Roman"/>
          <w:kern w:val="0"/>
          <w:sz w:val="24"/>
        </w:rPr>
        <w:t>本项目与《石油天然气开采业污染防治技术政策》（国家环保部公告</w:t>
      </w:r>
      <w:r>
        <w:rPr>
          <w:rFonts w:cs="Times New Roman"/>
          <w:kern w:val="0"/>
          <w:sz w:val="24"/>
        </w:rPr>
        <w:t>2012</w:t>
      </w:r>
      <w:r>
        <w:rPr>
          <w:rFonts w:cs="Times New Roman"/>
          <w:kern w:val="0"/>
          <w:sz w:val="24"/>
        </w:rPr>
        <w:t>年第</w:t>
      </w:r>
      <w:r>
        <w:rPr>
          <w:rFonts w:cs="Times New Roman"/>
          <w:kern w:val="0"/>
          <w:sz w:val="24"/>
        </w:rPr>
        <w:t>18</w:t>
      </w:r>
      <w:r>
        <w:rPr>
          <w:rFonts w:cs="Times New Roman"/>
          <w:kern w:val="0"/>
          <w:sz w:val="24"/>
        </w:rPr>
        <w:t>号，</w:t>
      </w:r>
      <w:r>
        <w:rPr>
          <w:rFonts w:cs="Times New Roman"/>
          <w:kern w:val="0"/>
          <w:sz w:val="24"/>
        </w:rPr>
        <w:t xml:space="preserve">2012-03-07 </w:t>
      </w:r>
      <w:r>
        <w:rPr>
          <w:rFonts w:cs="Times New Roman"/>
          <w:kern w:val="0"/>
          <w:sz w:val="24"/>
        </w:rPr>
        <w:t>实施）对比分析详见表</w:t>
      </w:r>
      <w:r>
        <w:rPr>
          <w:rFonts w:cs="Times New Roman"/>
          <w:kern w:val="0"/>
          <w:sz w:val="24"/>
        </w:rPr>
        <w:t>2.3-1</w:t>
      </w:r>
      <w:r>
        <w:rPr>
          <w:rFonts w:cs="Times New Roman"/>
          <w:kern w:val="0"/>
          <w:sz w:val="24"/>
        </w:rPr>
        <w:t>。</w:t>
      </w:r>
    </w:p>
    <w:p w14:paraId="41F0E99C" w14:textId="77777777" w:rsidR="007D1E74" w:rsidRDefault="00A95641">
      <w:pPr>
        <w:spacing w:line="360" w:lineRule="auto"/>
        <w:jc w:val="center"/>
        <w:rPr>
          <w:rFonts w:eastAsia="黑体" w:cs="Times New Roman"/>
          <w:szCs w:val="21"/>
        </w:rPr>
      </w:pPr>
      <w:r>
        <w:rPr>
          <w:rFonts w:eastAsia="黑体" w:cs="Times New Roman"/>
          <w:szCs w:val="21"/>
        </w:rPr>
        <w:t>表</w:t>
      </w:r>
      <w:r>
        <w:rPr>
          <w:rFonts w:eastAsia="黑体" w:cs="Times New Roman"/>
          <w:szCs w:val="21"/>
        </w:rPr>
        <w:t xml:space="preserve">2.3-1 </w:t>
      </w:r>
      <w:r>
        <w:rPr>
          <w:rFonts w:eastAsia="黑体" w:cs="Times New Roman"/>
          <w:szCs w:val="21"/>
        </w:rPr>
        <w:t>项目与《石油天然气开采业污染防治技术政策》符合性分析</w:t>
      </w: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4111"/>
        <w:gridCol w:w="3544"/>
        <w:gridCol w:w="992"/>
      </w:tblGrid>
      <w:tr w:rsidR="007D1E74" w14:paraId="7AF65DBB" w14:textId="77777777">
        <w:trPr>
          <w:jc w:val="center"/>
        </w:trPr>
        <w:tc>
          <w:tcPr>
            <w:tcW w:w="817" w:type="dxa"/>
            <w:shd w:val="clear" w:color="auto" w:fill="auto"/>
            <w:vAlign w:val="center"/>
          </w:tcPr>
          <w:p w14:paraId="523EEAE6" w14:textId="77777777" w:rsidR="007D1E74" w:rsidRDefault="00A95641">
            <w:pPr>
              <w:pStyle w:val="afff0"/>
              <w:spacing w:after="0" w:line="240" w:lineRule="auto"/>
              <w:ind w:leftChars="0" w:left="0" w:rightChars="0" w:right="0" w:firstLineChars="0" w:firstLine="0"/>
              <w:jc w:val="center"/>
              <w:rPr>
                <w:sz w:val="21"/>
                <w:szCs w:val="21"/>
              </w:rPr>
            </w:pPr>
            <w:r>
              <w:rPr>
                <w:sz w:val="21"/>
                <w:szCs w:val="21"/>
              </w:rPr>
              <w:t>序号</w:t>
            </w:r>
          </w:p>
        </w:tc>
        <w:tc>
          <w:tcPr>
            <w:tcW w:w="4111" w:type="dxa"/>
            <w:shd w:val="clear" w:color="auto" w:fill="auto"/>
            <w:vAlign w:val="center"/>
          </w:tcPr>
          <w:p w14:paraId="52C6629A" w14:textId="77777777" w:rsidR="007D1E74" w:rsidRDefault="00A95641">
            <w:pPr>
              <w:pStyle w:val="afff0"/>
              <w:spacing w:after="0" w:line="240" w:lineRule="auto"/>
              <w:ind w:leftChars="0" w:left="0" w:rightChars="0" w:right="0" w:firstLineChars="0" w:firstLine="0"/>
              <w:jc w:val="center"/>
              <w:rPr>
                <w:sz w:val="21"/>
                <w:szCs w:val="21"/>
              </w:rPr>
            </w:pPr>
            <w:r>
              <w:rPr>
                <w:sz w:val="21"/>
                <w:szCs w:val="21"/>
              </w:rPr>
              <w:t>技术政策要求</w:t>
            </w:r>
          </w:p>
        </w:tc>
        <w:tc>
          <w:tcPr>
            <w:tcW w:w="3544" w:type="dxa"/>
            <w:shd w:val="clear" w:color="auto" w:fill="auto"/>
            <w:vAlign w:val="center"/>
          </w:tcPr>
          <w:p w14:paraId="1FC1A11D" w14:textId="77777777" w:rsidR="007D1E74" w:rsidRDefault="00A95641">
            <w:pPr>
              <w:pStyle w:val="afff0"/>
              <w:spacing w:after="0" w:line="240" w:lineRule="auto"/>
              <w:ind w:leftChars="0" w:left="0" w:rightChars="0" w:right="0" w:firstLineChars="0" w:firstLine="0"/>
              <w:jc w:val="center"/>
              <w:rPr>
                <w:sz w:val="21"/>
                <w:szCs w:val="21"/>
              </w:rPr>
            </w:pPr>
            <w:r>
              <w:rPr>
                <w:sz w:val="21"/>
                <w:szCs w:val="21"/>
              </w:rPr>
              <w:t>本工程内容</w:t>
            </w:r>
          </w:p>
        </w:tc>
        <w:tc>
          <w:tcPr>
            <w:tcW w:w="992" w:type="dxa"/>
            <w:shd w:val="clear" w:color="auto" w:fill="auto"/>
            <w:vAlign w:val="center"/>
          </w:tcPr>
          <w:p w14:paraId="624E8FFA" w14:textId="77777777" w:rsidR="007D1E74" w:rsidRDefault="00A95641">
            <w:pPr>
              <w:pStyle w:val="afff0"/>
              <w:spacing w:after="0" w:line="240" w:lineRule="auto"/>
              <w:ind w:leftChars="0" w:left="0" w:rightChars="0" w:right="0" w:firstLineChars="0" w:firstLine="0"/>
              <w:jc w:val="center"/>
              <w:rPr>
                <w:sz w:val="21"/>
                <w:szCs w:val="21"/>
              </w:rPr>
            </w:pPr>
            <w:r>
              <w:rPr>
                <w:sz w:val="21"/>
                <w:szCs w:val="21"/>
              </w:rPr>
              <w:t>符合性</w:t>
            </w:r>
          </w:p>
        </w:tc>
      </w:tr>
      <w:tr w:rsidR="007D1E74" w14:paraId="4DE65C34" w14:textId="77777777">
        <w:trPr>
          <w:jc w:val="center"/>
        </w:trPr>
        <w:tc>
          <w:tcPr>
            <w:tcW w:w="817" w:type="dxa"/>
            <w:shd w:val="clear" w:color="auto" w:fill="auto"/>
            <w:vAlign w:val="center"/>
          </w:tcPr>
          <w:p w14:paraId="5876CF0F" w14:textId="77777777" w:rsidR="007D1E74" w:rsidRDefault="00A95641">
            <w:pPr>
              <w:pStyle w:val="afff0"/>
              <w:spacing w:after="0" w:line="240" w:lineRule="auto"/>
              <w:ind w:leftChars="0" w:left="0" w:rightChars="0" w:right="0" w:firstLineChars="0" w:firstLine="0"/>
              <w:jc w:val="center"/>
              <w:rPr>
                <w:b/>
                <w:sz w:val="21"/>
                <w:szCs w:val="21"/>
              </w:rPr>
            </w:pPr>
            <w:r>
              <w:rPr>
                <w:b/>
                <w:sz w:val="21"/>
                <w:szCs w:val="21"/>
              </w:rPr>
              <w:t>一</w:t>
            </w:r>
          </w:p>
        </w:tc>
        <w:tc>
          <w:tcPr>
            <w:tcW w:w="8647" w:type="dxa"/>
            <w:gridSpan w:val="3"/>
            <w:shd w:val="clear" w:color="auto" w:fill="auto"/>
            <w:vAlign w:val="center"/>
          </w:tcPr>
          <w:p w14:paraId="60F263AA" w14:textId="77777777" w:rsidR="007D1E74" w:rsidRDefault="00A95641">
            <w:pPr>
              <w:pStyle w:val="afff0"/>
              <w:spacing w:after="0" w:line="240" w:lineRule="auto"/>
              <w:ind w:leftChars="0" w:left="0" w:rightChars="0" w:right="0" w:firstLineChars="0" w:firstLine="0"/>
              <w:jc w:val="center"/>
              <w:rPr>
                <w:b/>
                <w:sz w:val="21"/>
                <w:szCs w:val="21"/>
              </w:rPr>
            </w:pPr>
            <w:r>
              <w:rPr>
                <w:b/>
                <w:sz w:val="21"/>
                <w:szCs w:val="21"/>
              </w:rPr>
              <w:t>清洁生产</w:t>
            </w:r>
          </w:p>
        </w:tc>
      </w:tr>
      <w:tr w:rsidR="007D1E74" w14:paraId="0D7BC54E" w14:textId="77777777">
        <w:trPr>
          <w:jc w:val="center"/>
        </w:trPr>
        <w:tc>
          <w:tcPr>
            <w:tcW w:w="817" w:type="dxa"/>
            <w:shd w:val="clear" w:color="auto" w:fill="auto"/>
            <w:vAlign w:val="center"/>
          </w:tcPr>
          <w:p w14:paraId="196C22DD" w14:textId="77777777" w:rsidR="007D1E74" w:rsidRDefault="00A95641">
            <w:pPr>
              <w:pStyle w:val="afff0"/>
              <w:spacing w:after="0" w:line="240" w:lineRule="auto"/>
              <w:ind w:leftChars="0" w:left="0" w:rightChars="0" w:right="0" w:firstLineChars="0" w:firstLine="0"/>
              <w:jc w:val="center"/>
              <w:rPr>
                <w:b/>
                <w:sz w:val="21"/>
                <w:szCs w:val="21"/>
              </w:rPr>
            </w:pPr>
            <w:r>
              <w:rPr>
                <w:b/>
                <w:sz w:val="21"/>
                <w:szCs w:val="21"/>
              </w:rPr>
              <w:t>1</w:t>
            </w:r>
          </w:p>
        </w:tc>
        <w:tc>
          <w:tcPr>
            <w:tcW w:w="4111" w:type="dxa"/>
            <w:shd w:val="clear" w:color="auto" w:fill="auto"/>
            <w:vAlign w:val="center"/>
          </w:tcPr>
          <w:p w14:paraId="6482484F" w14:textId="77777777" w:rsidR="007D1E74" w:rsidRDefault="00A95641">
            <w:pPr>
              <w:autoSpaceDE w:val="0"/>
              <w:autoSpaceDN w:val="0"/>
              <w:adjustRightInd w:val="0"/>
              <w:rPr>
                <w:szCs w:val="21"/>
              </w:rPr>
            </w:pPr>
            <w:r>
              <w:rPr>
                <w:rFonts w:cs="Times New Roman"/>
                <w:szCs w:val="21"/>
              </w:rPr>
              <w:t>在油气集输过程中，应采用密闭流程，减少烃类气体排放。新建</w:t>
            </w:r>
            <w:r>
              <w:rPr>
                <w:rFonts w:cs="Times New Roman"/>
                <w:szCs w:val="21"/>
              </w:rPr>
              <w:t>3000m</w:t>
            </w:r>
            <w:r>
              <w:rPr>
                <w:rFonts w:cs="Times New Roman"/>
                <w:szCs w:val="21"/>
                <w:vertAlign w:val="superscript"/>
              </w:rPr>
              <w:t>3</w:t>
            </w:r>
            <w:r>
              <w:rPr>
                <w:rFonts w:cs="Times New Roman"/>
                <w:szCs w:val="21"/>
              </w:rPr>
              <w:t>及以上原油储罐应采用浮顶型式，新、改、扩建油气储罐应安装泄漏报警系统。</w:t>
            </w:r>
          </w:p>
          <w:p w14:paraId="751CD83C" w14:textId="77777777" w:rsidR="007D1E74" w:rsidRDefault="00A95641">
            <w:pPr>
              <w:autoSpaceDE w:val="0"/>
              <w:autoSpaceDN w:val="0"/>
              <w:adjustRightInd w:val="0"/>
              <w:rPr>
                <w:szCs w:val="21"/>
              </w:rPr>
            </w:pPr>
            <w:r>
              <w:rPr>
                <w:rFonts w:cs="Times New Roman"/>
                <w:szCs w:val="21"/>
              </w:rPr>
              <w:t>新、改、扩建油气田油气集输损耗率不高于</w:t>
            </w:r>
            <w:r>
              <w:rPr>
                <w:rFonts w:cs="Times New Roman"/>
                <w:szCs w:val="21"/>
              </w:rPr>
              <w:t>0.5%</w:t>
            </w:r>
            <w:r>
              <w:rPr>
                <w:rFonts w:cs="Times New Roman"/>
                <w:szCs w:val="21"/>
              </w:rPr>
              <w:t>，</w:t>
            </w:r>
            <w:r>
              <w:rPr>
                <w:rFonts w:cs="Times New Roman"/>
                <w:szCs w:val="21"/>
              </w:rPr>
              <w:t>2010</w:t>
            </w:r>
            <w:r>
              <w:rPr>
                <w:rFonts w:cs="Times New Roman"/>
                <w:szCs w:val="21"/>
              </w:rPr>
              <w:t>年</w:t>
            </w:r>
            <w:r>
              <w:rPr>
                <w:rFonts w:cs="Times New Roman"/>
                <w:szCs w:val="21"/>
              </w:rPr>
              <w:t>12</w:t>
            </w:r>
            <w:r>
              <w:rPr>
                <w:rFonts w:cs="Times New Roman"/>
                <w:szCs w:val="21"/>
              </w:rPr>
              <w:t>月</w:t>
            </w:r>
            <w:r>
              <w:rPr>
                <w:rFonts w:cs="Times New Roman"/>
                <w:szCs w:val="21"/>
              </w:rPr>
              <w:t>31</w:t>
            </w:r>
            <w:r>
              <w:rPr>
                <w:rFonts w:cs="Times New Roman"/>
                <w:szCs w:val="21"/>
              </w:rPr>
              <w:t>日前建设的油气田油气集输损耗率不高于</w:t>
            </w:r>
            <w:r>
              <w:rPr>
                <w:rFonts w:cs="Times New Roman"/>
                <w:szCs w:val="21"/>
              </w:rPr>
              <w:t>0.8%</w:t>
            </w:r>
            <w:r>
              <w:rPr>
                <w:rFonts w:cs="Times New Roman"/>
                <w:szCs w:val="21"/>
              </w:rPr>
              <w:t>。</w:t>
            </w:r>
          </w:p>
        </w:tc>
        <w:tc>
          <w:tcPr>
            <w:tcW w:w="3544" w:type="dxa"/>
            <w:shd w:val="clear" w:color="auto" w:fill="auto"/>
            <w:vAlign w:val="center"/>
          </w:tcPr>
          <w:p w14:paraId="6EA07852" w14:textId="77777777" w:rsidR="007D1E74" w:rsidRDefault="00A95641">
            <w:pPr>
              <w:pStyle w:val="afff0"/>
              <w:spacing w:after="0" w:line="240" w:lineRule="auto"/>
              <w:ind w:leftChars="0" w:left="0" w:rightChars="0" w:right="0" w:firstLineChars="0" w:firstLine="0"/>
              <w:rPr>
                <w:sz w:val="21"/>
                <w:szCs w:val="21"/>
              </w:rPr>
            </w:pPr>
            <w:r>
              <w:rPr>
                <w:sz w:val="21"/>
                <w:szCs w:val="21"/>
              </w:rPr>
              <w:t>本项目集输全部采用密闭管道，集输损耗率不高于</w:t>
            </w:r>
            <w:r>
              <w:rPr>
                <w:sz w:val="21"/>
                <w:szCs w:val="21"/>
              </w:rPr>
              <w:t>0.5%</w:t>
            </w:r>
          </w:p>
        </w:tc>
        <w:tc>
          <w:tcPr>
            <w:tcW w:w="992" w:type="dxa"/>
            <w:shd w:val="clear" w:color="auto" w:fill="auto"/>
            <w:vAlign w:val="center"/>
          </w:tcPr>
          <w:p w14:paraId="1D34CBD1" w14:textId="77777777" w:rsidR="007D1E74" w:rsidRDefault="00A95641">
            <w:pPr>
              <w:pStyle w:val="afff0"/>
              <w:spacing w:after="0" w:line="240" w:lineRule="auto"/>
              <w:ind w:leftChars="0" w:left="0" w:rightChars="0" w:right="0" w:firstLineChars="0" w:firstLine="0"/>
              <w:jc w:val="center"/>
              <w:rPr>
                <w:sz w:val="21"/>
                <w:szCs w:val="21"/>
              </w:rPr>
            </w:pPr>
            <w:r>
              <w:rPr>
                <w:sz w:val="21"/>
                <w:szCs w:val="21"/>
              </w:rPr>
              <w:t>符合</w:t>
            </w:r>
          </w:p>
        </w:tc>
      </w:tr>
      <w:tr w:rsidR="007D1E74" w14:paraId="27814C0C" w14:textId="77777777">
        <w:trPr>
          <w:jc w:val="center"/>
        </w:trPr>
        <w:tc>
          <w:tcPr>
            <w:tcW w:w="817" w:type="dxa"/>
            <w:shd w:val="clear" w:color="auto" w:fill="auto"/>
            <w:vAlign w:val="center"/>
          </w:tcPr>
          <w:p w14:paraId="604CF389" w14:textId="77777777" w:rsidR="007D1E74" w:rsidRDefault="00A95641">
            <w:pPr>
              <w:pStyle w:val="afff0"/>
              <w:spacing w:after="0" w:line="240" w:lineRule="auto"/>
              <w:ind w:leftChars="0" w:left="0" w:rightChars="0" w:right="0" w:firstLineChars="0" w:firstLine="0"/>
              <w:jc w:val="center"/>
              <w:rPr>
                <w:b/>
                <w:sz w:val="21"/>
                <w:szCs w:val="21"/>
              </w:rPr>
            </w:pPr>
            <w:r>
              <w:rPr>
                <w:b/>
                <w:kern w:val="0"/>
                <w:sz w:val="22"/>
                <w:szCs w:val="22"/>
              </w:rPr>
              <w:t>二</w:t>
            </w:r>
          </w:p>
        </w:tc>
        <w:tc>
          <w:tcPr>
            <w:tcW w:w="8647" w:type="dxa"/>
            <w:gridSpan w:val="3"/>
            <w:shd w:val="clear" w:color="auto" w:fill="auto"/>
            <w:vAlign w:val="center"/>
          </w:tcPr>
          <w:p w14:paraId="0327C370" w14:textId="77777777" w:rsidR="007D1E74" w:rsidRDefault="00A95641">
            <w:pPr>
              <w:pStyle w:val="afff0"/>
              <w:spacing w:after="0" w:line="240" w:lineRule="auto"/>
              <w:ind w:leftChars="0" w:left="0" w:rightChars="0" w:right="0" w:firstLineChars="0" w:firstLine="0"/>
              <w:jc w:val="center"/>
              <w:rPr>
                <w:b/>
                <w:sz w:val="21"/>
                <w:szCs w:val="21"/>
              </w:rPr>
            </w:pPr>
            <w:r>
              <w:rPr>
                <w:b/>
                <w:kern w:val="0"/>
                <w:sz w:val="22"/>
                <w:szCs w:val="22"/>
              </w:rPr>
              <w:t>生态保护</w:t>
            </w:r>
          </w:p>
        </w:tc>
      </w:tr>
      <w:tr w:rsidR="007D1E74" w14:paraId="3046251A" w14:textId="77777777">
        <w:trPr>
          <w:jc w:val="center"/>
        </w:trPr>
        <w:tc>
          <w:tcPr>
            <w:tcW w:w="817" w:type="dxa"/>
            <w:shd w:val="clear" w:color="auto" w:fill="auto"/>
            <w:vAlign w:val="center"/>
          </w:tcPr>
          <w:p w14:paraId="264F3038" w14:textId="77777777" w:rsidR="007D1E74" w:rsidRDefault="00A95641">
            <w:pPr>
              <w:pStyle w:val="afff0"/>
              <w:spacing w:after="0" w:line="240" w:lineRule="auto"/>
              <w:ind w:leftChars="0" w:left="0" w:rightChars="0" w:right="0" w:firstLineChars="0" w:firstLine="0"/>
              <w:jc w:val="center"/>
              <w:rPr>
                <w:b/>
                <w:sz w:val="21"/>
                <w:szCs w:val="21"/>
              </w:rPr>
            </w:pPr>
            <w:r>
              <w:rPr>
                <w:b/>
                <w:sz w:val="21"/>
                <w:szCs w:val="21"/>
              </w:rPr>
              <w:t>1</w:t>
            </w:r>
          </w:p>
        </w:tc>
        <w:tc>
          <w:tcPr>
            <w:tcW w:w="4111" w:type="dxa"/>
            <w:shd w:val="clear" w:color="auto" w:fill="auto"/>
            <w:vAlign w:val="center"/>
          </w:tcPr>
          <w:p w14:paraId="46F9A63E" w14:textId="77777777" w:rsidR="007D1E74" w:rsidRDefault="00A95641">
            <w:pPr>
              <w:autoSpaceDE w:val="0"/>
              <w:autoSpaceDN w:val="0"/>
              <w:adjustRightInd w:val="0"/>
              <w:rPr>
                <w:szCs w:val="21"/>
              </w:rPr>
            </w:pPr>
            <w:r>
              <w:rPr>
                <w:rFonts w:cs="Times New Roman"/>
                <w:szCs w:val="21"/>
              </w:rPr>
              <w:t>位于湿地自然保护区和鸟类迁徙通道上的油田、油井，若有较大的生态影响，应将电线、采油管线地下敷设。在油田作业区，应采取措施，保护零散自然湿地</w:t>
            </w:r>
          </w:p>
        </w:tc>
        <w:tc>
          <w:tcPr>
            <w:tcW w:w="3544" w:type="dxa"/>
            <w:shd w:val="clear" w:color="auto" w:fill="auto"/>
            <w:vAlign w:val="center"/>
          </w:tcPr>
          <w:p w14:paraId="726B6074" w14:textId="77777777" w:rsidR="007D1E74" w:rsidRDefault="00A95641">
            <w:pPr>
              <w:autoSpaceDE w:val="0"/>
              <w:autoSpaceDN w:val="0"/>
              <w:adjustRightInd w:val="0"/>
              <w:rPr>
                <w:szCs w:val="21"/>
              </w:rPr>
            </w:pPr>
            <w:r>
              <w:rPr>
                <w:rFonts w:cs="Times New Roman"/>
                <w:szCs w:val="21"/>
              </w:rPr>
              <w:t>本项目管线全部采用地下敷设，且采取了相应的措施保护自然保护区。</w:t>
            </w:r>
          </w:p>
        </w:tc>
        <w:tc>
          <w:tcPr>
            <w:tcW w:w="992" w:type="dxa"/>
            <w:shd w:val="clear" w:color="auto" w:fill="auto"/>
            <w:vAlign w:val="center"/>
          </w:tcPr>
          <w:p w14:paraId="1C602A5E" w14:textId="77777777" w:rsidR="007D1E74" w:rsidRDefault="00A95641">
            <w:pPr>
              <w:pStyle w:val="afff0"/>
              <w:spacing w:after="0" w:line="240" w:lineRule="auto"/>
              <w:ind w:leftChars="0" w:left="0" w:rightChars="0" w:right="0" w:firstLineChars="0" w:firstLine="0"/>
              <w:jc w:val="center"/>
              <w:rPr>
                <w:sz w:val="21"/>
                <w:szCs w:val="21"/>
              </w:rPr>
            </w:pPr>
            <w:r>
              <w:rPr>
                <w:sz w:val="21"/>
                <w:szCs w:val="21"/>
              </w:rPr>
              <w:t>符合</w:t>
            </w:r>
          </w:p>
        </w:tc>
      </w:tr>
      <w:tr w:rsidR="007D1E74" w14:paraId="76DAFAAA" w14:textId="77777777">
        <w:trPr>
          <w:jc w:val="center"/>
        </w:trPr>
        <w:tc>
          <w:tcPr>
            <w:tcW w:w="817" w:type="dxa"/>
            <w:shd w:val="clear" w:color="auto" w:fill="auto"/>
            <w:vAlign w:val="center"/>
          </w:tcPr>
          <w:p w14:paraId="0E0A1ED4" w14:textId="77777777" w:rsidR="007D1E74" w:rsidRDefault="00A95641">
            <w:pPr>
              <w:pStyle w:val="afff0"/>
              <w:spacing w:after="0" w:line="240" w:lineRule="auto"/>
              <w:ind w:leftChars="0" w:left="0" w:rightChars="0" w:right="0" w:firstLineChars="0" w:firstLine="0"/>
              <w:jc w:val="center"/>
              <w:rPr>
                <w:b/>
                <w:sz w:val="21"/>
                <w:szCs w:val="21"/>
              </w:rPr>
            </w:pPr>
            <w:r>
              <w:rPr>
                <w:b/>
                <w:sz w:val="21"/>
                <w:szCs w:val="21"/>
              </w:rPr>
              <w:t>三</w:t>
            </w:r>
          </w:p>
        </w:tc>
        <w:tc>
          <w:tcPr>
            <w:tcW w:w="8647" w:type="dxa"/>
            <w:gridSpan w:val="3"/>
            <w:shd w:val="clear" w:color="auto" w:fill="auto"/>
            <w:vAlign w:val="center"/>
          </w:tcPr>
          <w:p w14:paraId="354D7053" w14:textId="77777777" w:rsidR="007D1E74" w:rsidRDefault="00A95641">
            <w:pPr>
              <w:pStyle w:val="afff0"/>
              <w:spacing w:after="0" w:line="240" w:lineRule="auto"/>
              <w:ind w:leftChars="0" w:left="0" w:rightChars="0" w:right="0" w:firstLineChars="0" w:firstLine="0"/>
              <w:jc w:val="center"/>
              <w:rPr>
                <w:b/>
                <w:sz w:val="21"/>
                <w:szCs w:val="21"/>
              </w:rPr>
            </w:pPr>
            <w:r>
              <w:rPr>
                <w:b/>
                <w:sz w:val="21"/>
                <w:szCs w:val="21"/>
              </w:rPr>
              <w:t>运行风险和环境管理</w:t>
            </w:r>
          </w:p>
        </w:tc>
      </w:tr>
      <w:tr w:rsidR="007D1E74" w14:paraId="2D349784" w14:textId="77777777">
        <w:trPr>
          <w:jc w:val="center"/>
        </w:trPr>
        <w:tc>
          <w:tcPr>
            <w:tcW w:w="817" w:type="dxa"/>
            <w:shd w:val="clear" w:color="auto" w:fill="auto"/>
            <w:vAlign w:val="center"/>
          </w:tcPr>
          <w:p w14:paraId="49CF35C8" w14:textId="77777777" w:rsidR="007D1E74" w:rsidRDefault="00A95641">
            <w:pPr>
              <w:pStyle w:val="afff0"/>
              <w:spacing w:after="0" w:line="240" w:lineRule="auto"/>
              <w:ind w:leftChars="0" w:left="0" w:rightChars="0" w:right="0" w:firstLineChars="0" w:firstLine="0"/>
              <w:jc w:val="center"/>
              <w:rPr>
                <w:b/>
                <w:sz w:val="21"/>
                <w:szCs w:val="21"/>
              </w:rPr>
            </w:pPr>
            <w:r>
              <w:rPr>
                <w:b/>
                <w:sz w:val="21"/>
                <w:szCs w:val="21"/>
              </w:rPr>
              <w:t>1</w:t>
            </w:r>
          </w:p>
        </w:tc>
        <w:tc>
          <w:tcPr>
            <w:tcW w:w="4111" w:type="dxa"/>
            <w:shd w:val="clear" w:color="auto" w:fill="auto"/>
            <w:vAlign w:val="center"/>
          </w:tcPr>
          <w:p w14:paraId="2D4F1465" w14:textId="77777777" w:rsidR="007D1E74" w:rsidRDefault="00A95641">
            <w:pPr>
              <w:autoSpaceDE w:val="0"/>
              <w:autoSpaceDN w:val="0"/>
              <w:adjustRightInd w:val="0"/>
              <w:rPr>
                <w:szCs w:val="21"/>
              </w:rPr>
            </w:pPr>
            <w:r>
              <w:rPr>
                <w:rFonts w:cs="Times New Roman"/>
                <w:kern w:val="0"/>
                <w:sz w:val="22"/>
              </w:rPr>
              <w:t>油气田企业应制定环境保护管理规定，建立并运行健康、安全与环境管理体系。</w:t>
            </w:r>
          </w:p>
        </w:tc>
        <w:tc>
          <w:tcPr>
            <w:tcW w:w="3544" w:type="dxa"/>
            <w:shd w:val="clear" w:color="auto" w:fill="auto"/>
            <w:vAlign w:val="center"/>
          </w:tcPr>
          <w:p w14:paraId="4DCE3F42" w14:textId="77777777" w:rsidR="007D1E74" w:rsidRDefault="00A95641">
            <w:pPr>
              <w:autoSpaceDE w:val="0"/>
              <w:autoSpaceDN w:val="0"/>
              <w:adjustRightInd w:val="0"/>
              <w:rPr>
                <w:szCs w:val="21"/>
              </w:rPr>
            </w:pPr>
            <w:r>
              <w:rPr>
                <w:rFonts w:cs="Times New Roman"/>
                <w:kern w:val="0"/>
                <w:sz w:val="22"/>
              </w:rPr>
              <w:t>本项目业主制定有完善的环境保护管理规定，并建立运行健康、安全与环境管理体系。</w:t>
            </w:r>
          </w:p>
        </w:tc>
        <w:tc>
          <w:tcPr>
            <w:tcW w:w="992" w:type="dxa"/>
            <w:shd w:val="clear" w:color="auto" w:fill="auto"/>
            <w:vAlign w:val="center"/>
          </w:tcPr>
          <w:p w14:paraId="7C5D9546" w14:textId="77777777" w:rsidR="007D1E74" w:rsidRDefault="00A95641">
            <w:pPr>
              <w:pStyle w:val="afff0"/>
              <w:spacing w:after="0" w:line="240" w:lineRule="auto"/>
              <w:ind w:leftChars="0" w:left="0" w:rightChars="0" w:right="0" w:firstLineChars="0" w:firstLine="0"/>
              <w:jc w:val="center"/>
              <w:rPr>
                <w:sz w:val="21"/>
                <w:szCs w:val="21"/>
              </w:rPr>
            </w:pPr>
            <w:r>
              <w:rPr>
                <w:kern w:val="0"/>
                <w:sz w:val="21"/>
                <w:szCs w:val="21"/>
              </w:rPr>
              <w:t>符合</w:t>
            </w:r>
          </w:p>
        </w:tc>
      </w:tr>
      <w:tr w:rsidR="007D1E74" w14:paraId="71BAF4DE" w14:textId="77777777">
        <w:trPr>
          <w:jc w:val="center"/>
        </w:trPr>
        <w:tc>
          <w:tcPr>
            <w:tcW w:w="817" w:type="dxa"/>
            <w:shd w:val="clear" w:color="auto" w:fill="auto"/>
            <w:vAlign w:val="center"/>
          </w:tcPr>
          <w:p w14:paraId="55A56ACF" w14:textId="77777777" w:rsidR="007D1E74" w:rsidRDefault="00A95641">
            <w:pPr>
              <w:pStyle w:val="afff0"/>
              <w:spacing w:after="0" w:line="240" w:lineRule="auto"/>
              <w:ind w:leftChars="0" w:left="0" w:rightChars="0" w:right="0" w:firstLineChars="0" w:firstLine="0"/>
              <w:jc w:val="center"/>
              <w:rPr>
                <w:b/>
                <w:sz w:val="21"/>
                <w:szCs w:val="21"/>
              </w:rPr>
            </w:pPr>
            <w:r>
              <w:rPr>
                <w:b/>
                <w:sz w:val="21"/>
                <w:szCs w:val="21"/>
              </w:rPr>
              <w:t>2</w:t>
            </w:r>
          </w:p>
        </w:tc>
        <w:tc>
          <w:tcPr>
            <w:tcW w:w="4111" w:type="dxa"/>
            <w:shd w:val="clear" w:color="auto" w:fill="auto"/>
            <w:vAlign w:val="center"/>
          </w:tcPr>
          <w:p w14:paraId="45FF6875" w14:textId="77777777" w:rsidR="007D1E74" w:rsidRDefault="00A95641">
            <w:pPr>
              <w:autoSpaceDE w:val="0"/>
              <w:autoSpaceDN w:val="0"/>
              <w:adjustRightInd w:val="0"/>
              <w:rPr>
                <w:szCs w:val="21"/>
              </w:rPr>
            </w:pPr>
            <w:r>
              <w:rPr>
                <w:rFonts w:cs="Times New Roman"/>
                <w:kern w:val="0"/>
                <w:sz w:val="22"/>
              </w:rPr>
              <w:t>油气田企业应建立环境保护人员培训制度，环境监测人员、统计人员、污染治理设施操作人员应经培训合格后上岗。</w:t>
            </w:r>
          </w:p>
        </w:tc>
        <w:tc>
          <w:tcPr>
            <w:tcW w:w="3544" w:type="dxa"/>
            <w:shd w:val="clear" w:color="auto" w:fill="auto"/>
            <w:vAlign w:val="center"/>
          </w:tcPr>
          <w:p w14:paraId="72572180" w14:textId="77777777" w:rsidR="007D1E74" w:rsidRDefault="00A95641">
            <w:pPr>
              <w:autoSpaceDE w:val="0"/>
              <w:autoSpaceDN w:val="0"/>
              <w:adjustRightInd w:val="0"/>
              <w:rPr>
                <w:szCs w:val="21"/>
              </w:rPr>
            </w:pPr>
            <w:r>
              <w:rPr>
                <w:rFonts w:cs="Times New Roman"/>
                <w:kern w:val="0"/>
                <w:sz w:val="22"/>
              </w:rPr>
              <w:t>本项目业主单位设置有专门的环境管理部门，并制定有完善的环境管理制度和培训制度。</w:t>
            </w:r>
          </w:p>
        </w:tc>
        <w:tc>
          <w:tcPr>
            <w:tcW w:w="992" w:type="dxa"/>
            <w:shd w:val="clear" w:color="auto" w:fill="auto"/>
            <w:vAlign w:val="center"/>
          </w:tcPr>
          <w:p w14:paraId="13AD12E7" w14:textId="77777777" w:rsidR="007D1E74" w:rsidRDefault="00A95641">
            <w:pPr>
              <w:pStyle w:val="afff0"/>
              <w:spacing w:after="0" w:line="240" w:lineRule="auto"/>
              <w:ind w:leftChars="0" w:left="0" w:rightChars="0" w:right="0" w:firstLineChars="0" w:firstLine="0"/>
              <w:jc w:val="center"/>
              <w:rPr>
                <w:sz w:val="21"/>
                <w:szCs w:val="21"/>
              </w:rPr>
            </w:pPr>
            <w:r>
              <w:rPr>
                <w:kern w:val="0"/>
                <w:sz w:val="21"/>
                <w:szCs w:val="21"/>
              </w:rPr>
              <w:t>符合</w:t>
            </w:r>
          </w:p>
        </w:tc>
      </w:tr>
      <w:tr w:rsidR="007D1E74" w14:paraId="5286BA2E" w14:textId="77777777">
        <w:trPr>
          <w:jc w:val="center"/>
        </w:trPr>
        <w:tc>
          <w:tcPr>
            <w:tcW w:w="817" w:type="dxa"/>
            <w:shd w:val="clear" w:color="auto" w:fill="auto"/>
            <w:vAlign w:val="center"/>
          </w:tcPr>
          <w:p w14:paraId="2C50D765" w14:textId="77777777" w:rsidR="007D1E74" w:rsidRDefault="00A95641">
            <w:pPr>
              <w:pStyle w:val="afff0"/>
              <w:spacing w:after="0" w:line="240" w:lineRule="auto"/>
              <w:ind w:leftChars="0" w:left="0" w:rightChars="0" w:right="0" w:firstLineChars="0" w:firstLine="0"/>
              <w:jc w:val="center"/>
              <w:rPr>
                <w:b/>
                <w:sz w:val="21"/>
                <w:szCs w:val="21"/>
              </w:rPr>
            </w:pPr>
            <w:r>
              <w:rPr>
                <w:b/>
                <w:sz w:val="21"/>
                <w:szCs w:val="21"/>
              </w:rPr>
              <w:t>3</w:t>
            </w:r>
          </w:p>
        </w:tc>
        <w:tc>
          <w:tcPr>
            <w:tcW w:w="4111" w:type="dxa"/>
            <w:shd w:val="clear" w:color="auto" w:fill="auto"/>
            <w:vAlign w:val="center"/>
          </w:tcPr>
          <w:p w14:paraId="34640327" w14:textId="77777777" w:rsidR="007D1E74" w:rsidRDefault="00A95641">
            <w:pPr>
              <w:autoSpaceDE w:val="0"/>
              <w:autoSpaceDN w:val="0"/>
              <w:adjustRightInd w:val="0"/>
              <w:rPr>
                <w:szCs w:val="21"/>
              </w:rPr>
            </w:pPr>
            <w:r>
              <w:rPr>
                <w:rFonts w:cs="Times New Roman"/>
                <w:kern w:val="0"/>
                <w:sz w:val="22"/>
              </w:rPr>
              <w:t>油气田企业应对勘探开发过程进行环境风险因素识别，制定突发环境事件应急预案并定期进行演练。应开展特征污染物监测工作，采取环境风险防范和应急措施，防止发生由突发性油气泄漏产生的环境事故。</w:t>
            </w:r>
          </w:p>
        </w:tc>
        <w:tc>
          <w:tcPr>
            <w:tcW w:w="3544" w:type="dxa"/>
            <w:shd w:val="clear" w:color="auto" w:fill="auto"/>
            <w:vAlign w:val="center"/>
          </w:tcPr>
          <w:p w14:paraId="7BD9B140" w14:textId="77777777" w:rsidR="007D1E74" w:rsidRDefault="00A95641">
            <w:pPr>
              <w:autoSpaceDE w:val="0"/>
              <w:autoSpaceDN w:val="0"/>
              <w:adjustRightInd w:val="0"/>
              <w:rPr>
                <w:szCs w:val="21"/>
              </w:rPr>
            </w:pPr>
            <w:r>
              <w:rPr>
                <w:rFonts w:cs="Times New Roman"/>
                <w:kern w:val="0"/>
                <w:sz w:val="22"/>
              </w:rPr>
              <w:t>本项目建设单位对区块设置有突发环境事件应急预案，并定期举行演练。</w:t>
            </w:r>
          </w:p>
        </w:tc>
        <w:tc>
          <w:tcPr>
            <w:tcW w:w="992" w:type="dxa"/>
            <w:shd w:val="clear" w:color="auto" w:fill="auto"/>
            <w:vAlign w:val="center"/>
          </w:tcPr>
          <w:p w14:paraId="6971EC64" w14:textId="77777777" w:rsidR="007D1E74" w:rsidRDefault="00A95641">
            <w:pPr>
              <w:pStyle w:val="afff0"/>
              <w:spacing w:after="0" w:line="240" w:lineRule="auto"/>
              <w:ind w:leftChars="0" w:left="0" w:rightChars="0" w:right="0" w:firstLineChars="0" w:firstLine="0"/>
              <w:jc w:val="center"/>
              <w:rPr>
                <w:sz w:val="21"/>
                <w:szCs w:val="21"/>
              </w:rPr>
            </w:pPr>
            <w:r>
              <w:rPr>
                <w:kern w:val="0"/>
                <w:sz w:val="21"/>
                <w:szCs w:val="21"/>
              </w:rPr>
              <w:t>符合</w:t>
            </w:r>
          </w:p>
        </w:tc>
      </w:tr>
    </w:tbl>
    <w:p w14:paraId="15A1483C" w14:textId="77777777" w:rsidR="007D1E74" w:rsidRDefault="00A95641">
      <w:pPr>
        <w:autoSpaceDE w:val="0"/>
        <w:autoSpaceDN w:val="0"/>
        <w:adjustRightInd w:val="0"/>
        <w:spacing w:line="360" w:lineRule="auto"/>
        <w:ind w:firstLineChars="200" w:firstLine="480"/>
        <w:contextualSpacing/>
        <w:jc w:val="left"/>
        <w:rPr>
          <w:rFonts w:cs="Times New Roman"/>
          <w:kern w:val="0"/>
          <w:sz w:val="24"/>
        </w:rPr>
      </w:pPr>
      <w:r>
        <w:rPr>
          <w:rFonts w:cs="Times New Roman"/>
          <w:kern w:val="0"/>
          <w:sz w:val="24"/>
        </w:rPr>
        <w:t>通过将本项目工程内容、环保措施内容与《石油天然气开采业污染防治技术政</w:t>
      </w:r>
      <w:r>
        <w:rPr>
          <w:rFonts w:cs="Times New Roman"/>
          <w:kern w:val="0"/>
          <w:sz w:val="24"/>
        </w:rPr>
        <w:lastRenderedPageBreak/>
        <w:t>策》中清洁生产、生态保护、污染治理、运行风险和环境管理四大项十三小项内容进行对比分析，本项目建设符合《石油天然气开采业污染防治技术政策》要求。</w:t>
      </w:r>
    </w:p>
    <w:p w14:paraId="675CF13F" w14:textId="77777777" w:rsidR="007D1E74" w:rsidRDefault="00A95641">
      <w:pPr>
        <w:pStyle w:val="a9"/>
      </w:pPr>
      <w:r>
        <w:rPr>
          <w:rFonts w:hint="eastAsia"/>
        </w:rPr>
        <w:t>外输管线路由比选</w:t>
      </w:r>
    </w:p>
    <w:p w14:paraId="739FFAB7" w14:textId="77777777" w:rsidR="007D1E74" w:rsidRDefault="00A95641">
      <w:pPr>
        <w:pStyle w:val="aa"/>
      </w:pPr>
      <w:r>
        <w:t>选址选线原则</w:t>
      </w:r>
    </w:p>
    <w:p w14:paraId="5B622FD8" w14:textId="77777777" w:rsidR="007D1E74" w:rsidRDefault="00A95641">
      <w:pPr>
        <w:spacing w:line="360" w:lineRule="auto"/>
        <w:ind w:firstLineChars="200" w:firstLine="480"/>
        <w:contextualSpacing/>
        <w:rPr>
          <w:sz w:val="24"/>
        </w:rPr>
      </w:pPr>
      <w:r>
        <w:rPr>
          <w:rFonts w:cs="Times New Roman"/>
          <w:sz w:val="24"/>
        </w:rPr>
        <w:t>依据选址选线原则，对可研不同阶段的路由方案进行比选，结合对个别路由的环境影响比较分析，确定本工程符合工程设计规范和环境影响较优的方案作为评价路由，以此作为开展工程分析及环境影响评价的依据。</w:t>
      </w:r>
    </w:p>
    <w:p w14:paraId="60D26AED" w14:textId="77777777" w:rsidR="007D1E74" w:rsidRDefault="00A95641">
      <w:pPr>
        <w:spacing w:line="360" w:lineRule="auto"/>
        <w:ind w:firstLineChars="200" w:firstLine="482"/>
        <w:contextualSpacing/>
        <w:rPr>
          <w:rFonts w:cs="Times New Roman"/>
          <w:b/>
          <w:sz w:val="24"/>
        </w:rPr>
      </w:pPr>
      <w:r>
        <w:rPr>
          <w:rFonts w:cs="Times New Roman" w:hint="eastAsia"/>
          <w:b/>
          <w:sz w:val="24"/>
        </w:rPr>
        <w:t>1</w:t>
      </w:r>
      <w:r>
        <w:rPr>
          <w:rFonts w:cs="Times New Roman" w:hint="eastAsia"/>
          <w:b/>
          <w:sz w:val="24"/>
        </w:rPr>
        <w:t>、</w:t>
      </w:r>
      <w:r>
        <w:rPr>
          <w:rFonts w:cs="Times New Roman"/>
          <w:b/>
          <w:sz w:val="24"/>
        </w:rPr>
        <w:t>线路选择总原则</w:t>
      </w:r>
    </w:p>
    <w:p w14:paraId="035CF0CD" w14:textId="77777777" w:rsidR="007D1E74" w:rsidRDefault="00A95641">
      <w:pPr>
        <w:spacing w:line="360" w:lineRule="auto"/>
        <w:ind w:firstLineChars="200" w:firstLine="480"/>
        <w:contextualSpacing/>
        <w:rPr>
          <w:sz w:val="24"/>
        </w:rPr>
      </w:pPr>
      <w:r>
        <w:rPr>
          <w:rFonts w:cs="Times New Roman"/>
          <w:sz w:val="24"/>
        </w:rPr>
        <w:t>（</w:t>
      </w:r>
      <w:r>
        <w:rPr>
          <w:rFonts w:cs="Times New Roman"/>
          <w:sz w:val="24"/>
        </w:rPr>
        <w:t>1</w:t>
      </w:r>
      <w:r>
        <w:rPr>
          <w:rFonts w:cs="Times New Roman"/>
          <w:sz w:val="24"/>
        </w:rPr>
        <w:t>）严格执行国家、地方、行业有关法律、法规、规定及相关标准、规范要求。</w:t>
      </w:r>
    </w:p>
    <w:p w14:paraId="1F8E8EC3" w14:textId="77777777" w:rsidR="007D1E74" w:rsidRDefault="00A95641">
      <w:pPr>
        <w:spacing w:line="360" w:lineRule="auto"/>
        <w:ind w:firstLineChars="200" w:firstLine="480"/>
        <w:contextualSpacing/>
        <w:rPr>
          <w:sz w:val="24"/>
        </w:rPr>
      </w:pPr>
      <w:r>
        <w:rPr>
          <w:rFonts w:cs="Times New Roman"/>
          <w:sz w:val="24"/>
        </w:rPr>
        <w:t>（</w:t>
      </w:r>
      <w:r>
        <w:rPr>
          <w:rFonts w:cs="Times New Roman"/>
          <w:sz w:val="24"/>
        </w:rPr>
        <w:t>2</w:t>
      </w:r>
      <w:r>
        <w:rPr>
          <w:rFonts w:cs="Times New Roman"/>
          <w:sz w:val="24"/>
        </w:rPr>
        <w:t>）线路走向应根据地形、工程地质、沿线主要进气、供气点的地理位置以及交通运输、动力等条件，经多方案对比后确定。</w:t>
      </w:r>
    </w:p>
    <w:p w14:paraId="3B07A1B6" w14:textId="77777777" w:rsidR="007D1E74" w:rsidRDefault="00A95641">
      <w:pPr>
        <w:spacing w:line="360" w:lineRule="auto"/>
        <w:ind w:firstLineChars="200" w:firstLine="480"/>
        <w:contextualSpacing/>
        <w:rPr>
          <w:sz w:val="24"/>
        </w:rPr>
      </w:pPr>
      <w:r>
        <w:rPr>
          <w:rFonts w:cs="Times New Roman"/>
          <w:sz w:val="24"/>
        </w:rPr>
        <w:t>（</w:t>
      </w:r>
      <w:r>
        <w:rPr>
          <w:rFonts w:cs="Times New Roman"/>
          <w:sz w:val="24"/>
        </w:rPr>
        <w:t>3</w:t>
      </w:r>
      <w:r>
        <w:rPr>
          <w:rFonts w:cs="Times New Roman"/>
          <w:sz w:val="24"/>
        </w:rPr>
        <w:t>）线路宜避开多年生经济作物区域和重要的农田基本建设设施。</w:t>
      </w:r>
    </w:p>
    <w:p w14:paraId="2ED398E9" w14:textId="77777777" w:rsidR="007D1E74" w:rsidRDefault="00A95641">
      <w:pPr>
        <w:spacing w:line="360" w:lineRule="auto"/>
        <w:ind w:firstLineChars="200" w:firstLine="480"/>
        <w:contextualSpacing/>
        <w:rPr>
          <w:sz w:val="24"/>
        </w:rPr>
      </w:pPr>
      <w:r>
        <w:rPr>
          <w:rFonts w:cs="Times New Roman"/>
          <w:sz w:val="24"/>
        </w:rPr>
        <w:t>（</w:t>
      </w:r>
      <w:r>
        <w:rPr>
          <w:rFonts w:cs="Times New Roman"/>
          <w:sz w:val="24"/>
        </w:rPr>
        <w:t>4</w:t>
      </w:r>
      <w:r>
        <w:rPr>
          <w:rFonts w:cs="Times New Roman"/>
          <w:sz w:val="24"/>
        </w:rPr>
        <w:t>）河流应尽量较少地表水体的穿越工程，若必须穿越，应根据地表水体的局部走向进行调整。</w:t>
      </w:r>
    </w:p>
    <w:p w14:paraId="069DFBAA" w14:textId="77777777" w:rsidR="007D1E74" w:rsidRDefault="00A95641">
      <w:pPr>
        <w:spacing w:line="360" w:lineRule="auto"/>
        <w:ind w:firstLineChars="200" w:firstLine="480"/>
        <w:contextualSpacing/>
        <w:rPr>
          <w:sz w:val="24"/>
        </w:rPr>
      </w:pPr>
      <w:r>
        <w:rPr>
          <w:rFonts w:cs="Times New Roman"/>
          <w:sz w:val="24"/>
        </w:rPr>
        <w:t>（</w:t>
      </w:r>
      <w:r>
        <w:rPr>
          <w:rFonts w:cs="Times New Roman"/>
          <w:sz w:val="24"/>
        </w:rPr>
        <w:t>5</w:t>
      </w:r>
      <w:r>
        <w:rPr>
          <w:rFonts w:cs="Times New Roman"/>
          <w:sz w:val="24"/>
        </w:rPr>
        <w:t>）线路必须避开重要的军事设施、易燃易爆仓库、国家重点文物保护区。</w:t>
      </w:r>
    </w:p>
    <w:p w14:paraId="75CC5423" w14:textId="77777777" w:rsidR="007D1E74" w:rsidRDefault="00A95641">
      <w:pPr>
        <w:spacing w:line="360" w:lineRule="auto"/>
        <w:ind w:firstLineChars="200" w:firstLine="480"/>
        <w:contextualSpacing/>
        <w:rPr>
          <w:sz w:val="24"/>
        </w:rPr>
      </w:pPr>
      <w:r>
        <w:rPr>
          <w:rFonts w:cs="Times New Roman"/>
          <w:sz w:val="24"/>
        </w:rPr>
        <w:t>（</w:t>
      </w:r>
      <w:r>
        <w:rPr>
          <w:rFonts w:cs="Times New Roman"/>
          <w:sz w:val="24"/>
        </w:rPr>
        <w:t>6</w:t>
      </w:r>
      <w:r>
        <w:rPr>
          <w:rFonts w:cs="Times New Roman"/>
          <w:sz w:val="24"/>
        </w:rPr>
        <w:t>）线路应避开城镇规划区、自然保护区、重点文物保护区等区域。当受条件限制，管道需要在上述区域内通过时，必须征得主管部门同意，并采取安全保护措施。</w:t>
      </w:r>
    </w:p>
    <w:p w14:paraId="3AC4C970" w14:textId="77777777" w:rsidR="007D1E74" w:rsidRDefault="00A95641">
      <w:pPr>
        <w:spacing w:line="360" w:lineRule="auto"/>
        <w:ind w:firstLineChars="200" w:firstLine="480"/>
        <w:contextualSpacing/>
        <w:rPr>
          <w:sz w:val="24"/>
        </w:rPr>
      </w:pPr>
      <w:r>
        <w:rPr>
          <w:rFonts w:cs="Times New Roman"/>
          <w:sz w:val="24"/>
        </w:rPr>
        <w:t>（</w:t>
      </w:r>
      <w:r>
        <w:rPr>
          <w:rFonts w:cs="Times New Roman"/>
          <w:sz w:val="24"/>
        </w:rPr>
        <w:t>7</w:t>
      </w:r>
      <w:r>
        <w:rPr>
          <w:rFonts w:cs="Times New Roman"/>
          <w:sz w:val="24"/>
        </w:rPr>
        <w:t>）选线中始终将管道安全放在首位，管道尽量避开地质灾害严重地段，如滑坡体、崩塌、泥石流、塌陷等不良工程地质区；尽量避开矿产资源区，地震高烈度区和大型活动断裂带；避开有爆炸、火灾危险性的场所及强腐蚀性地段。</w:t>
      </w:r>
    </w:p>
    <w:p w14:paraId="2A7097F1" w14:textId="77777777" w:rsidR="007D1E74" w:rsidRDefault="00A95641">
      <w:pPr>
        <w:spacing w:line="360" w:lineRule="auto"/>
        <w:ind w:firstLineChars="200" w:firstLine="480"/>
        <w:contextualSpacing/>
        <w:rPr>
          <w:sz w:val="24"/>
        </w:rPr>
      </w:pPr>
      <w:r>
        <w:rPr>
          <w:rFonts w:cs="Times New Roman"/>
          <w:sz w:val="24"/>
        </w:rPr>
        <w:t>（</w:t>
      </w:r>
      <w:r>
        <w:rPr>
          <w:rFonts w:cs="Times New Roman"/>
          <w:sz w:val="24"/>
        </w:rPr>
        <w:t>8</w:t>
      </w:r>
      <w:r>
        <w:rPr>
          <w:rFonts w:cs="Times New Roman"/>
          <w:sz w:val="24"/>
        </w:rPr>
        <w:t>）在地震动峰值加速度等于或大于</w:t>
      </w:r>
      <w:r>
        <w:rPr>
          <w:rFonts w:cs="Times New Roman"/>
          <w:sz w:val="24"/>
        </w:rPr>
        <w:t>0.1g</w:t>
      </w:r>
      <w:r>
        <w:rPr>
          <w:rFonts w:cs="Times New Roman"/>
          <w:sz w:val="24"/>
        </w:rPr>
        <w:t>的地区，管道宜从断层位移较小和较窄的地区通过，并应采取必要的工程措施。管道不宜敷设在由于发生地震而可能引起滑坡、山崩、地陷、地裂、泥石流以及沙土液化等地段。当避开有困难时，应选择合适的位置和方式通过。</w:t>
      </w:r>
    </w:p>
    <w:p w14:paraId="3C81D29D" w14:textId="77777777" w:rsidR="007D1E74" w:rsidRDefault="00A95641">
      <w:pPr>
        <w:spacing w:line="360" w:lineRule="auto"/>
        <w:ind w:firstLineChars="200" w:firstLine="480"/>
        <w:contextualSpacing/>
        <w:rPr>
          <w:sz w:val="24"/>
        </w:rPr>
      </w:pPr>
      <w:r>
        <w:rPr>
          <w:rFonts w:cs="Times New Roman"/>
          <w:sz w:val="24"/>
        </w:rPr>
        <w:t>（</w:t>
      </w:r>
      <w:r>
        <w:rPr>
          <w:rFonts w:cs="Times New Roman"/>
          <w:sz w:val="24"/>
        </w:rPr>
        <w:t>9</w:t>
      </w:r>
      <w:r>
        <w:rPr>
          <w:rFonts w:cs="Times New Roman"/>
          <w:sz w:val="24"/>
        </w:rPr>
        <w:t>）充分考虑管道的施工特点，线路选择应尽量顺直、地势平缓，以缩短线路长度，减少热煨弯管用量，并尽量减少与天然和人工障碍物交叉。</w:t>
      </w:r>
    </w:p>
    <w:p w14:paraId="5B79B79C" w14:textId="77777777" w:rsidR="007D1E74" w:rsidRDefault="00A95641">
      <w:pPr>
        <w:spacing w:line="360" w:lineRule="auto"/>
        <w:ind w:firstLineChars="200" w:firstLine="480"/>
        <w:contextualSpacing/>
        <w:rPr>
          <w:sz w:val="24"/>
        </w:rPr>
      </w:pPr>
      <w:r>
        <w:rPr>
          <w:rFonts w:cs="Times New Roman"/>
          <w:sz w:val="24"/>
        </w:rPr>
        <w:t>（</w:t>
      </w:r>
      <w:r>
        <w:rPr>
          <w:rFonts w:cs="Times New Roman"/>
          <w:sz w:val="24"/>
        </w:rPr>
        <w:t>10</w:t>
      </w:r>
      <w:r>
        <w:rPr>
          <w:rFonts w:cs="Times New Roman"/>
          <w:sz w:val="24"/>
        </w:rPr>
        <w:t>）管道路由必须和沿线城市规划相结合，与现有交通、电力、通信设施保持一定距离，为管道运营创造和谐环境。</w:t>
      </w:r>
    </w:p>
    <w:p w14:paraId="6785CF0F" w14:textId="77777777" w:rsidR="007D1E74" w:rsidRDefault="00A95641">
      <w:pPr>
        <w:spacing w:line="360" w:lineRule="auto"/>
        <w:ind w:firstLineChars="200" w:firstLine="480"/>
        <w:contextualSpacing/>
        <w:rPr>
          <w:sz w:val="24"/>
        </w:rPr>
      </w:pPr>
      <w:r>
        <w:rPr>
          <w:rFonts w:cs="Times New Roman"/>
          <w:sz w:val="24"/>
        </w:rPr>
        <w:t>（</w:t>
      </w:r>
      <w:r>
        <w:rPr>
          <w:rFonts w:cs="Times New Roman"/>
          <w:sz w:val="24"/>
        </w:rPr>
        <w:t>11</w:t>
      </w:r>
      <w:r>
        <w:rPr>
          <w:rFonts w:cs="Times New Roman"/>
          <w:sz w:val="24"/>
        </w:rPr>
        <w:t>）有条件的情况下，尽量靠近或沿现有道路敷设（按有关规范、标准规定，保</w:t>
      </w:r>
      <w:r>
        <w:rPr>
          <w:rFonts w:cs="Times New Roman"/>
          <w:sz w:val="24"/>
        </w:rPr>
        <w:lastRenderedPageBreak/>
        <w:t>持一定间距），以便于施工和管理，在与其他现有管道并行的地段，一般按照并行、保持一定间距设计，并按照管道的特点做线路优化。</w:t>
      </w:r>
    </w:p>
    <w:p w14:paraId="1365682A" w14:textId="77777777" w:rsidR="007D1E74" w:rsidRDefault="00A95641">
      <w:pPr>
        <w:spacing w:line="360" w:lineRule="auto"/>
        <w:ind w:firstLineChars="200" w:firstLine="480"/>
        <w:contextualSpacing/>
        <w:rPr>
          <w:sz w:val="24"/>
        </w:rPr>
      </w:pPr>
      <w:r>
        <w:rPr>
          <w:rFonts w:cs="Times New Roman"/>
          <w:sz w:val="24"/>
        </w:rPr>
        <w:t>（</w:t>
      </w:r>
      <w:r>
        <w:rPr>
          <w:rFonts w:cs="Times New Roman"/>
          <w:sz w:val="24"/>
        </w:rPr>
        <w:t>12</w:t>
      </w:r>
      <w:r>
        <w:rPr>
          <w:rFonts w:cs="Times New Roman"/>
          <w:sz w:val="24"/>
        </w:rPr>
        <w:t>）考虑管道服役年限内，管道拟通过地区的可能发展变化，合理确定线位与地区等级，避开人口稠密的四级地区。</w:t>
      </w:r>
    </w:p>
    <w:p w14:paraId="3459D472" w14:textId="77777777" w:rsidR="007D1E74" w:rsidRDefault="00A95641">
      <w:pPr>
        <w:spacing w:line="360" w:lineRule="auto"/>
        <w:ind w:firstLineChars="200" w:firstLine="480"/>
        <w:contextualSpacing/>
        <w:rPr>
          <w:sz w:val="24"/>
        </w:rPr>
      </w:pPr>
      <w:r>
        <w:rPr>
          <w:rFonts w:cs="Times New Roman"/>
          <w:sz w:val="24"/>
        </w:rPr>
        <w:t>（</w:t>
      </w:r>
      <w:r>
        <w:rPr>
          <w:rFonts w:cs="Times New Roman"/>
          <w:sz w:val="24"/>
        </w:rPr>
        <w:t>13</w:t>
      </w:r>
      <w:r>
        <w:rPr>
          <w:rFonts w:cs="Times New Roman"/>
          <w:sz w:val="24"/>
        </w:rPr>
        <w:t>）尽量减少对自然环境的破坏，防止水土流失，注重自然环境和生态平衡的恢复，保护沿线人文景观，使工程建设与自然环境相协调。</w:t>
      </w:r>
    </w:p>
    <w:p w14:paraId="7537F44D" w14:textId="77777777" w:rsidR="007D1E74" w:rsidRDefault="00A95641">
      <w:pPr>
        <w:spacing w:line="360" w:lineRule="auto"/>
        <w:ind w:firstLineChars="200" w:firstLine="482"/>
        <w:contextualSpacing/>
        <w:jc w:val="left"/>
        <w:rPr>
          <w:b/>
          <w:bCs/>
          <w:sz w:val="24"/>
        </w:rPr>
      </w:pPr>
      <w:r>
        <w:rPr>
          <w:rFonts w:cs="Times New Roman" w:hint="eastAsia"/>
          <w:b/>
          <w:bCs/>
          <w:sz w:val="24"/>
        </w:rPr>
        <w:t>2</w:t>
      </w:r>
      <w:r>
        <w:rPr>
          <w:rFonts w:cs="Times New Roman" w:hint="eastAsia"/>
          <w:b/>
          <w:bCs/>
          <w:sz w:val="24"/>
        </w:rPr>
        <w:t>、</w:t>
      </w:r>
      <w:r>
        <w:rPr>
          <w:rFonts w:cs="Times New Roman"/>
          <w:b/>
          <w:bCs/>
          <w:sz w:val="24"/>
        </w:rPr>
        <w:t>不同地貌选线原则</w:t>
      </w:r>
    </w:p>
    <w:p w14:paraId="7EA41479" w14:textId="77777777" w:rsidR="007D1E74" w:rsidRDefault="00A95641">
      <w:pPr>
        <w:spacing w:line="360" w:lineRule="auto"/>
        <w:ind w:firstLineChars="200" w:firstLine="480"/>
        <w:contextualSpacing/>
        <w:rPr>
          <w:sz w:val="24"/>
        </w:rPr>
      </w:pPr>
      <w:r>
        <w:rPr>
          <w:rFonts w:cs="Times New Roman"/>
          <w:sz w:val="24"/>
        </w:rPr>
        <w:t>本工程管道途经地区的地貌类型主要为山地、丘陵，不同的地形地貌环境差异较大，</w:t>
      </w:r>
      <w:r>
        <w:rPr>
          <w:rFonts w:cs="Times New Roman"/>
          <w:sz w:val="24"/>
        </w:rPr>
        <w:t xml:space="preserve"> </w:t>
      </w:r>
      <w:r>
        <w:rPr>
          <w:rFonts w:cs="Times New Roman"/>
          <w:sz w:val="24"/>
        </w:rPr>
        <w:t>影响线路走向的因素较多。因此，根据管道线路走向途经地段的地形地貌特点，制定不同的线路段的选线原则，在确保管道线路段安全、稳定、可靠的条件下，尽量控制和减少线路工程量，以降低投资。</w:t>
      </w:r>
    </w:p>
    <w:p w14:paraId="77B25260" w14:textId="77777777" w:rsidR="007D1E74" w:rsidRDefault="00A95641">
      <w:pPr>
        <w:spacing w:line="360" w:lineRule="auto"/>
        <w:ind w:firstLineChars="200" w:firstLine="480"/>
        <w:contextualSpacing/>
        <w:rPr>
          <w:sz w:val="24"/>
        </w:rPr>
      </w:pPr>
      <w:r>
        <w:rPr>
          <w:rFonts w:cs="Times New Roman"/>
          <w:sz w:val="24"/>
        </w:rPr>
        <w:t>（</w:t>
      </w:r>
      <w:r>
        <w:rPr>
          <w:rFonts w:cs="Times New Roman"/>
          <w:sz w:val="24"/>
        </w:rPr>
        <w:t>1</w:t>
      </w:r>
      <w:r>
        <w:rPr>
          <w:rFonts w:cs="Times New Roman"/>
          <w:sz w:val="24"/>
        </w:rPr>
        <w:t>）山区选线应提前了解当地地质灾害的发生频率和多发地域，落实已建及规划的农垦水利工程、林场、经济作物的种植面积等对路由方案有影响的因素；根据这些因素的影响大小及时调整路由方案，以保证线路方案的可行性；</w:t>
      </w:r>
    </w:p>
    <w:p w14:paraId="0F0F26C9" w14:textId="77777777" w:rsidR="007D1E74" w:rsidRDefault="00A95641">
      <w:pPr>
        <w:spacing w:line="360" w:lineRule="auto"/>
        <w:ind w:firstLineChars="200" w:firstLine="480"/>
        <w:contextualSpacing/>
        <w:rPr>
          <w:sz w:val="24"/>
        </w:rPr>
      </w:pPr>
      <w:r>
        <w:rPr>
          <w:rFonts w:cs="Times New Roman"/>
          <w:sz w:val="24"/>
        </w:rPr>
        <w:t>（</w:t>
      </w:r>
      <w:r>
        <w:rPr>
          <w:rFonts w:cs="Times New Roman"/>
          <w:sz w:val="24"/>
        </w:rPr>
        <w:t>2</w:t>
      </w:r>
      <w:r>
        <w:rPr>
          <w:rFonts w:cs="Times New Roman"/>
          <w:sz w:val="24"/>
        </w:rPr>
        <w:t>）山区选线应提前了解当地道路交通情况，线路应尽可能依托已建公路以方便施工进场和后期管理；在没有道路的山区，应考虑修建施工便道；</w:t>
      </w:r>
    </w:p>
    <w:p w14:paraId="534FB4E0" w14:textId="77777777" w:rsidR="007D1E74" w:rsidRDefault="00A95641">
      <w:pPr>
        <w:spacing w:line="360" w:lineRule="auto"/>
        <w:ind w:firstLineChars="200" w:firstLine="480"/>
        <w:contextualSpacing/>
        <w:rPr>
          <w:sz w:val="24"/>
        </w:rPr>
      </w:pPr>
      <w:r>
        <w:rPr>
          <w:rFonts w:cs="Times New Roman"/>
          <w:sz w:val="24"/>
        </w:rPr>
        <w:t>（</w:t>
      </w:r>
      <w:r>
        <w:rPr>
          <w:rFonts w:cs="Times New Roman"/>
          <w:sz w:val="24"/>
        </w:rPr>
        <w:t>3</w:t>
      </w:r>
      <w:r>
        <w:rPr>
          <w:rFonts w:cs="Times New Roman"/>
          <w:sz w:val="24"/>
        </w:rPr>
        <w:t>）对于地形开阔、流水畅通的山谷，管道宜在山谷敷设；对于汇水面积大、地形狭窄的山谷，管道宜在山梁敷设；</w:t>
      </w:r>
    </w:p>
    <w:p w14:paraId="33DAD6A2" w14:textId="77777777" w:rsidR="007D1E74" w:rsidRDefault="00A95641">
      <w:pPr>
        <w:spacing w:line="360" w:lineRule="auto"/>
        <w:ind w:firstLineChars="200" w:firstLine="480"/>
        <w:contextualSpacing/>
        <w:rPr>
          <w:sz w:val="24"/>
        </w:rPr>
      </w:pPr>
      <w:r>
        <w:rPr>
          <w:rFonts w:cs="Times New Roman"/>
          <w:sz w:val="24"/>
        </w:rPr>
        <w:t>（</w:t>
      </w:r>
      <w:r>
        <w:rPr>
          <w:rFonts w:cs="Times New Roman"/>
          <w:sz w:val="24"/>
        </w:rPr>
        <w:t>4</w:t>
      </w:r>
      <w:r>
        <w:rPr>
          <w:rFonts w:cs="Times New Roman"/>
          <w:sz w:val="24"/>
        </w:rPr>
        <w:t>）管道不宜顺横坡敷设和斜切坡地敷设；垂直等高线敷设时，宜沿山脊敷设，</w:t>
      </w:r>
      <w:r>
        <w:rPr>
          <w:rFonts w:cs="Times New Roman"/>
          <w:sz w:val="24"/>
        </w:rPr>
        <w:t xml:space="preserve"> </w:t>
      </w:r>
      <w:r>
        <w:rPr>
          <w:rFonts w:cs="Times New Roman"/>
          <w:sz w:val="24"/>
        </w:rPr>
        <w:t>避开较发育冲沟；坡角</w:t>
      </w:r>
      <w:r>
        <w:rPr>
          <w:rFonts w:cs="Times New Roman"/>
          <w:sz w:val="24"/>
        </w:rPr>
        <w:t>&gt;15°</w:t>
      </w:r>
      <w:r>
        <w:rPr>
          <w:rFonts w:cs="Times New Roman"/>
          <w:sz w:val="24"/>
        </w:rPr>
        <w:t>时，应考虑增加施工措施；</w:t>
      </w:r>
    </w:p>
    <w:p w14:paraId="6D68D5D9" w14:textId="77777777" w:rsidR="007D1E74" w:rsidRDefault="00A95641">
      <w:pPr>
        <w:spacing w:line="360" w:lineRule="auto"/>
        <w:ind w:firstLineChars="200" w:firstLine="480"/>
        <w:contextualSpacing/>
        <w:rPr>
          <w:sz w:val="24"/>
        </w:rPr>
      </w:pPr>
      <w:r>
        <w:rPr>
          <w:rFonts w:cs="Times New Roman"/>
          <w:sz w:val="24"/>
        </w:rPr>
        <w:t>（</w:t>
      </w:r>
      <w:r>
        <w:rPr>
          <w:rFonts w:cs="Times New Roman"/>
          <w:sz w:val="24"/>
        </w:rPr>
        <w:t>5</w:t>
      </w:r>
      <w:r>
        <w:rPr>
          <w:rFonts w:cs="Times New Roman"/>
          <w:sz w:val="24"/>
        </w:rPr>
        <w:t>）管道沿山体台地敷设时应尽量贴台地内侧，距离台地外侧的最小距离不宜小于</w:t>
      </w:r>
      <w:r>
        <w:rPr>
          <w:rFonts w:cs="Times New Roman"/>
          <w:sz w:val="24"/>
        </w:rPr>
        <w:t xml:space="preserve"> 10m</w:t>
      </w:r>
      <w:r>
        <w:rPr>
          <w:rFonts w:cs="Times New Roman"/>
          <w:sz w:val="24"/>
        </w:rPr>
        <w:t>；</w:t>
      </w:r>
    </w:p>
    <w:p w14:paraId="69E0CD3B" w14:textId="77777777" w:rsidR="007D1E74" w:rsidRDefault="00A95641">
      <w:pPr>
        <w:spacing w:line="360" w:lineRule="auto"/>
        <w:ind w:firstLineChars="200" w:firstLine="480"/>
        <w:contextualSpacing/>
        <w:rPr>
          <w:sz w:val="24"/>
        </w:rPr>
      </w:pPr>
      <w:r>
        <w:rPr>
          <w:rFonts w:cs="Times New Roman"/>
          <w:sz w:val="24"/>
        </w:rPr>
        <w:t>（</w:t>
      </w:r>
      <w:r>
        <w:rPr>
          <w:rFonts w:cs="Times New Roman"/>
          <w:sz w:val="24"/>
        </w:rPr>
        <w:t>6</w:t>
      </w:r>
      <w:r>
        <w:rPr>
          <w:rFonts w:cs="Times New Roman"/>
          <w:sz w:val="24"/>
        </w:rPr>
        <w:t>）管道在山区内与河谷并行时，优先选择在河谷的二阶台地或二阶台地以上的区域，其次可选择在沿河谷不易受冲刷或冲刷较轻的一岸敷设；当受地形限制需要在河道内敷设时，管道应埋设到稳定层下，并考虑抗漂浮措施；</w:t>
      </w:r>
    </w:p>
    <w:p w14:paraId="702E43BF" w14:textId="77777777" w:rsidR="007D1E74" w:rsidRDefault="00A95641">
      <w:pPr>
        <w:spacing w:line="360" w:lineRule="auto"/>
        <w:ind w:firstLineChars="200" w:firstLine="480"/>
        <w:contextualSpacing/>
        <w:rPr>
          <w:sz w:val="24"/>
        </w:rPr>
      </w:pPr>
      <w:r>
        <w:rPr>
          <w:rFonts w:cs="Times New Roman"/>
          <w:sz w:val="24"/>
        </w:rPr>
        <w:t>（</w:t>
      </w:r>
      <w:r>
        <w:rPr>
          <w:rFonts w:cs="Times New Roman"/>
          <w:sz w:val="24"/>
        </w:rPr>
        <w:t>7</w:t>
      </w:r>
      <w:r>
        <w:rPr>
          <w:rFonts w:cs="Times New Roman"/>
          <w:sz w:val="24"/>
        </w:rPr>
        <w:t>）线路需越岭时，当山岭高度不大，坡度较缓，具备通过条件，可选择从垭口翻越通过；</w:t>
      </w:r>
    </w:p>
    <w:p w14:paraId="39E9E522" w14:textId="77777777" w:rsidR="007D1E74" w:rsidRDefault="00A95641">
      <w:pPr>
        <w:spacing w:line="360" w:lineRule="auto"/>
        <w:ind w:firstLineChars="200" w:firstLine="480"/>
        <w:contextualSpacing/>
        <w:rPr>
          <w:sz w:val="24"/>
        </w:rPr>
      </w:pPr>
      <w:r>
        <w:rPr>
          <w:rFonts w:cs="Times New Roman"/>
          <w:sz w:val="24"/>
        </w:rPr>
        <w:t>（</w:t>
      </w:r>
      <w:r>
        <w:rPr>
          <w:rFonts w:cs="Times New Roman"/>
          <w:sz w:val="24"/>
        </w:rPr>
        <w:t>8</w:t>
      </w:r>
      <w:r>
        <w:rPr>
          <w:rFonts w:cs="Times New Roman"/>
          <w:sz w:val="24"/>
        </w:rPr>
        <w:t>）山区和丘陵区要注意避开矿区；尽量避开密集的林带，难以避开时，应选择林带较短的地带通过。</w:t>
      </w:r>
    </w:p>
    <w:p w14:paraId="5D080ECF" w14:textId="77777777" w:rsidR="007D1E74" w:rsidRDefault="00A95641">
      <w:pPr>
        <w:pStyle w:val="aa"/>
      </w:pPr>
      <w:r>
        <w:lastRenderedPageBreak/>
        <w:t>路由方案比选</w:t>
      </w:r>
    </w:p>
    <w:p w14:paraId="192D03A7" w14:textId="77777777" w:rsidR="007D1E74" w:rsidRDefault="00A95641">
      <w:pPr>
        <w:spacing w:line="360" w:lineRule="auto"/>
        <w:ind w:firstLineChars="200" w:firstLine="480"/>
        <w:rPr>
          <w:rFonts w:eastAsiaTheme="minorEastAsia" w:cs="Times New Roman"/>
          <w:kern w:val="0"/>
          <w:sz w:val="24"/>
          <w:szCs w:val="24"/>
        </w:rPr>
      </w:pPr>
      <w:r>
        <w:rPr>
          <w:rFonts w:eastAsiaTheme="minorEastAsia" w:cs="Times New Roman"/>
          <w:sz w:val="24"/>
          <w:szCs w:val="24"/>
        </w:rPr>
        <w:t>2</w:t>
      </w:r>
      <w:r>
        <w:rPr>
          <w:rFonts w:eastAsiaTheme="minorEastAsia" w:cs="Times New Roman"/>
          <w:kern w:val="0"/>
          <w:sz w:val="24"/>
          <w:szCs w:val="24"/>
        </w:rPr>
        <w:t>021</w:t>
      </w:r>
      <w:r>
        <w:rPr>
          <w:rFonts w:eastAsiaTheme="minorEastAsia" w:cs="Times New Roman"/>
          <w:kern w:val="0"/>
          <w:sz w:val="24"/>
          <w:szCs w:val="24"/>
        </w:rPr>
        <w:t>年通江地区雨水较大，管道沿线多处发生山体滑坡现象，为确保管道路由安全可靠，</w:t>
      </w:r>
      <w:r>
        <w:rPr>
          <w:rFonts w:eastAsiaTheme="minorEastAsia" w:cs="Times New Roman" w:hint="eastAsia"/>
          <w:kern w:val="0"/>
          <w:sz w:val="24"/>
          <w:szCs w:val="24"/>
        </w:rPr>
        <w:t>设计单位</w:t>
      </w:r>
      <w:r>
        <w:rPr>
          <w:rFonts w:eastAsiaTheme="minorEastAsia" w:cs="Times New Roman"/>
          <w:kern w:val="0"/>
          <w:sz w:val="24"/>
          <w:szCs w:val="24"/>
        </w:rPr>
        <w:t>对路由多次勘踏细化，在细化排除过程中，发现与管道沿线发生多处滑坡，原路由风险较大，需改线避让。</w:t>
      </w:r>
    </w:p>
    <w:p w14:paraId="6EF1D915" w14:textId="77777777" w:rsidR="007D1E74" w:rsidRDefault="00A95641">
      <w:pPr>
        <w:spacing w:line="360" w:lineRule="auto"/>
        <w:ind w:firstLineChars="200" w:firstLine="480"/>
        <w:rPr>
          <w:rFonts w:eastAsiaTheme="minorEastAsia" w:cs="Times New Roman"/>
          <w:kern w:val="0"/>
          <w:sz w:val="24"/>
          <w:szCs w:val="24"/>
        </w:rPr>
      </w:pPr>
      <w:r>
        <w:rPr>
          <w:rFonts w:eastAsiaTheme="minorEastAsia" w:cs="Times New Roman"/>
          <w:kern w:val="0"/>
          <w:sz w:val="24"/>
          <w:szCs w:val="24"/>
        </w:rPr>
        <w:t>滑坡风险：</w:t>
      </w:r>
      <w:r>
        <w:rPr>
          <w:rFonts w:eastAsiaTheme="minorEastAsia" w:cs="Times New Roman"/>
          <w:kern w:val="0"/>
          <w:sz w:val="24"/>
          <w:szCs w:val="24"/>
        </w:rPr>
        <w:t>1</w:t>
      </w:r>
      <w:r>
        <w:rPr>
          <w:rFonts w:eastAsiaTheme="minorEastAsia" w:cs="Times New Roman"/>
          <w:kern w:val="0"/>
          <w:sz w:val="24"/>
          <w:szCs w:val="24"/>
        </w:rPr>
        <w:t>、外输管道原路由与马涪线并行，在涪阳镇发生</w:t>
      </w:r>
      <w:r>
        <w:rPr>
          <w:rFonts w:eastAsiaTheme="minorEastAsia" w:cs="Times New Roman"/>
          <w:kern w:val="0"/>
          <w:sz w:val="24"/>
          <w:szCs w:val="24"/>
        </w:rPr>
        <w:t>2</w:t>
      </w:r>
      <w:r>
        <w:rPr>
          <w:rFonts w:eastAsiaTheme="minorEastAsia" w:cs="Times New Roman"/>
          <w:kern w:val="0"/>
          <w:sz w:val="24"/>
          <w:szCs w:val="24"/>
        </w:rPr>
        <w:t>处山体滑坡；</w:t>
      </w:r>
    </w:p>
    <w:p w14:paraId="4F21FC67" w14:textId="77777777" w:rsidR="007D1E74" w:rsidRDefault="00A95641">
      <w:pPr>
        <w:spacing w:line="360" w:lineRule="auto"/>
        <w:ind w:firstLineChars="200" w:firstLine="480"/>
        <w:rPr>
          <w:rFonts w:eastAsiaTheme="minorEastAsia" w:cs="Times New Roman"/>
          <w:kern w:val="0"/>
          <w:sz w:val="24"/>
          <w:szCs w:val="24"/>
        </w:rPr>
      </w:pPr>
      <w:r>
        <w:rPr>
          <w:rFonts w:eastAsiaTheme="minorEastAsia" w:cs="Times New Roman"/>
          <w:kern w:val="0"/>
          <w:sz w:val="24"/>
          <w:szCs w:val="24"/>
        </w:rPr>
        <w:t xml:space="preserve">          2</w:t>
      </w:r>
      <w:r>
        <w:rPr>
          <w:rFonts w:eastAsiaTheme="minorEastAsia" w:cs="Times New Roman"/>
          <w:kern w:val="0"/>
          <w:sz w:val="24"/>
          <w:szCs w:val="24"/>
        </w:rPr>
        <w:t>、在草池增压站附近外输管道原路由与河巴线并行，该处发生</w:t>
      </w:r>
      <w:r>
        <w:rPr>
          <w:rFonts w:eastAsiaTheme="minorEastAsia" w:cs="Times New Roman"/>
          <w:kern w:val="0"/>
          <w:sz w:val="24"/>
          <w:szCs w:val="24"/>
        </w:rPr>
        <w:t>1</w:t>
      </w:r>
      <w:r>
        <w:rPr>
          <w:rFonts w:eastAsiaTheme="minorEastAsia" w:cs="Times New Roman"/>
          <w:kern w:val="0"/>
          <w:sz w:val="24"/>
          <w:szCs w:val="24"/>
        </w:rPr>
        <w:t>处山体滑坡并造成了河巴线断裂。</w:t>
      </w:r>
    </w:p>
    <w:p w14:paraId="65DCEC55" w14:textId="77777777" w:rsidR="007D1E74" w:rsidRDefault="00A95641">
      <w:pPr>
        <w:spacing w:line="360" w:lineRule="auto"/>
        <w:ind w:firstLineChars="200" w:firstLine="480"/>
        <w:rPr>
          <w:rFonts w:eastAsiaTheme="minorEastAsia" w:cs="Times New Roman"/>
          <w:kern w:val="0"/>
          <w:sz w:val="24"/>
          <w:szCs w:val="24"/>
        </w:rPr>
      </w:pPr>
      <w:r>
        <w:rPr>
          <w:rFonts w:eastAsiaTheme="minorEastAsia" w:cs="Times New Roman"/>
          <w:kern w:val="0"/>
          <w:sz w:val="24"/>
          <w:szCs w:val="24"/>
        </w:rPr>
        <w:t>横坡风险：在涪阳镇西南，可研路由为节约投资，减少路由长度，沿河巴线选择小通江江岸坡脚坡地敷设，有</w:t>
      </w:r>
      <w:r>
        <w:rPr>
          <w:rFonts w:eastAsiaTheme="minorEastAsia" w:cs="Times New Roman"/>
          <w:kern w:val="0"/>
          <w:sz w:val="24"/>
          <w:szCs w:val="24"/>
        </w:rPr>
        <w:t>3.2km</w:t>
      </w:r>
      <w:r>
        <w:rPr>
          <w:rFonts w:eastAsiaTheme="minorEastAsia" w:cs="Times New Roman"/>
          <w:kern w:val="0"/>
          <w:sz w:val="24"/>
          <w:szCs w:val="24"/>
        </w:rPr>
        <w:t>横坡敷设段，横坡敷设段较长，稳定性较差，考虑上述地质灾害破坏因素，需要避让横坡敷设风险。</w:t>
      </w:r>
    </w:p>
    <w:p w14:paraId="67636ED0" w14:textId="77777777" w:rsidR="007D1E74" w:rsidRDefault="00A95641">
      <w:pPr>
        <w:spacing w:line="360" w:lineRule="auto"/>
        <w:ind w:firstLineChars="200" w:firstLine="480"/>
        <w:rPr>
          <w:rFonts w:eastAsiaTheme="minorEastAsia" w:cs="Times New Roman"/>
          <w:kern w:val="0"/>
          <w:sz w:val="24"/>
          <w:szCs w:val="24"/>
        </w:rPr>
      </w:pPr>
      <w:r>
        <w:rPr>
          <w:rFonts w:eastAsiaTheme="minorEastAsia" w:cs="Times New Roman"/>
          <w:kern w:val="0"/>
          <w:sz w:val="24"/>
          <w:szCs w:val="24"/>
        </w:rPr>
        <w:t>考虑到以上因素，需要对原路由进行改线，避让滑坡风险和横坡敷设风险地区。</w:t>
      </w:r>
    </w:p>
    <w:p w14:paraId="6C9F1E04" w14:textId="77777777" w:rsidR="007D1E74" w:rsidRDefault="00A95641">
      <w:pPr>
        <w:spacing w:line="360" w:lineRule="auto"/>
        <w:ind w:firstLineChars="200" w:firstLine="480"/>
        <w:rPr>
          <w:rFonts w:eastAsiaTheme="minorEastAsia" w:cs="Times New Roman"/>
          <w:kern w:val="0"/>
          <w:sz w:val="24"/>
          <w:szCs w:val="24"/>
        </w:rPr>
      </w:pPr>
      <w:r>
        <w:rPr>
          <w:rFonts w:eastAsiaTheme="minorEastAsia" w:cs="Times New Roman"/>
          <w:kern w:val="0"/>
          <w:sz w:val="24"/>
          <w:szCs w:val="24"/>
        </w:rPr>
        <w:t>改线线路避让涪阳镇滑坡沿着土地湾村坡后山脊敷设，穿越关路溪在关路潭村南侧继续沿着山脊敷设避让涪阳镇西南的横坡段以及河巴线滑坡段，进入草池增压站。管线高程从</w:t>
      </w:r>
      <w:r>
        <w:rPr>
          <w:rFonts w:eastAsiaTheme="minorEastAsia" w:cs="Times New Roman"/>
          <w:kern w:val="0"/>
          <w:sz w:val="24"/>
          <w:szCs w:val="24"/>
        </w:rPr>
        <w:t>400m</w:t>
      </w:r>
      <w:r>
        <w:rPr>
          <w:rFonts w:eastAsiaTheme="minorEastAsia" w:cs="Times New Roman"/>
          <w:kern w:val="0"/>
          <w:sz w:val="24"/>
          <w:szCs w:val="24"/>
        </w:rPr>
        <w:t>增加至</w:t>
      </w:r>
      <w:r>
        <w:rPr>
          <w:rFonts w:eastAsiaTheme="minorEastAsia" w:cs="Times New Roman"/>
          <w:kern w:val="0"/>
          <w:sz w:val="24"/>
          <w:szCs w:val="24"/>
        </w:rPr>
        <w:t>1000m</w:t>
      </w:r>
      <w:r>
        <w:rPr>
          <w:rFonts w:eastAsiaTheme="minorEastAsia" w:cs="Times New Roman"/>
          <w:kern w:val="0"/>
          <w:sz w:val="24"/>
          <w:szCs w:val="24"/>
        </w:rPr>
        <w:t>、管线长度比批复管线长度增加</w:t>
      </w:r>
      <w:r>
        <w:rPr>
          <w:rFonts w:eastAsiaTheme="minorEastAsia" w:cs="Times New Roman"/>
          <w:kern w:val="0"/>
          <w:sz w:val="24"/>
          <w:szCs w:val="24"/>
        </w:rPr>
        <w:t>2km</w:t>
      </w:r>
      <w:r>
        <w:rPr>
          <w:rFonts w:eastAsiaTheme="minorEastAsia" w:cs="Times New Roman"/>
          <w:kern w:val="0"/>
          <w:sz w:val="24"/>
          <w:szCs w:val="24"/>
        </w:rPr>
        <w:t>。（注：目前河巴线滑坡段路由还需结合后续地质灾害报告以及河巴线改线情况进行局部调整</w:t>
      </w:r>
      <w:r>
        <w:rPr>
          <w:rFonts w:eastAsiaTheme="minorEastAsia" w:cs="Times New Roman" w:hint="eastAsia"/>
          <w:kern w:val="0"/>
          <w:sz w:val="24"/>
          <w:szCs w:val="24"/>
        </w:rPr>
        <w:t>。</w:t>
      </w:r>
      <w:r>
        <w:rPr>
          <w:rFonts w:eastAsiaTheme="minorEastAsia" w:cs="Times New Roman"/>
          <w:kern w:val="0"/>
          <w:sz w:val="24"/>
          <w:szCs w:val="24"/>
        </w:rPr>
        <w:t>）</w:t>
      </w:r>
    </w:p>
    <w:p w14:paraId="2F4F7458" w14:textId="77777777" w:rsidR="007D1E74" w:rsidRDefault="00A95641">
      <w:pPr>
        <w:spacing w:line="360" w:lineRule="auto"/>
        <w:ind w:firstLineChars="200" w:firstLine="420"/>
        <w:jc w:val="center"/>
        <w:rPr>
          <w:rFonts w:ascii="宋体" w:hAnsi="宋体"/>
          <w:kern w:val="0"/>
          <w:sz w:val="24"/>
        </w:rPr>
      </w:pPr>
      <w:r>
        <w:rPr>
          <w:noProof/>
        </w:rPr>
        <w:drawing>
          <wp:inline distT="0" distB="0" distL="0" distR="0" wp14:anchorId="579093A6" wp14:editId="607D2BDB">
            <wp:extent cx="5219700" cy="2247900"/>
            <wp:effectExtent l="0" t="0" r="0" b="0"/>
            <wp:docPr id="16" name="图片 16" descr="企业微信截图_16344575463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企业微信截图_1634457546393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219700" cy="2247900"/>
                    </a:xfrm>
                    <a:prstGeom prst="rect">
                      <a:avLst/>
                    </a:prstGeom>
                    <a:noFill/>
                    <a:ln>
                      <a:noFill/>
                    </a:ln>
                  </pic:spPr>
                </pic:pic>
              </a:graphicData>
            </a:graphic>
          </wp:inline>
        </w:drawing>
      </w:r>
    </w:p>
    <w:p w14:paraId="162F153C" w14:textId="77777777" w:rsidR="007D1E74" w:rsidRDefault="00A95641">
      <w:pPr>
        <w:spacing w:line="360" w:lineRule="auto"/>
        <w:ind w:firstLineChars="200" w:firstLine="420"/>
        <w:jc w:val="center"/>
        <w:rPr>
          <w:rFonts w:eastAsia="黑体" w:cs="Times New Roman"/>
          <w:kern w:val="0"/>
          <w:szCs w:val="21"/>
        </w:rPr>
      </w:pPr>
      <w:r>
        <w:rPr>
          <w:rFonts w:eastAsia="黑体" w:cs="Times New Roman"/>
          <w:kern w:val="0"/>
          <w:szCs w:val="21"/>
        </w:rPr>
        <w:t>图</w:t>
      </w:r>
      <w:r>
        <w:rPr>
          <w:rFonts w:eastAsia="黑体" w:cs="Times New Roman"/>
          <w:kern w:val="0"/>
          <w:szCs w:val="21"/>
        </w:rPr>
        <w:t xml:space="preserve">2.3-1 </w:t>
      </w:r>
      <w:r>
        <w:rPr>
          <w:rFonts w:eastAsia="黑体" w:cs="Times New Roman"/>
          <w:kern w:val="0"/>
          <w:szCs w:val="21"/>
        </w:rPr>
        <w:t>外输管线线路调整图</w:t>
      </w:r>
    </w:p>
    <w:p w14:paraId="274E5A4B" w14:textId="77777777" w:rsidR="007D1E74" w:rsidRDefault="00A95641">
      <w:pPr>
        <w:pStyle w:val="af2"/>
        <w:ind w:firstLine="480"/>
        <w:rPr>
          <w:szCs w:val="24"/>
        </w:rPr>
      </w:pPr>
      <w:r>
        <w:rPr>
          <w:rFonts w:hint="eastAsia"/>
          <w:szCs w:val="24"/>
        </w:rPr>
        <w:t>外输管线原路干线由在新场镇清江村穿越小通江，在油坝梁进行脱水后再次穿越小通江，考虑到穿越小通江涉及</w:t>
      </w:r>
      <w:r>
        <w:rPr>
          <w:rFonts w:hint="eastAsia"/>
        </w:rPr>
        <w:t>四川诺水河珍稀水生动物国家级自然保护区，可研路由为保护国家级自然保护区，节约投资，选择将马</w:t>
      </w:r>
      <w:r>
        <w:rPr>
          <w:rFonts w:hint="eastAsia"/>
        </w:rPr>
        <w:t>1-12H</w:t>
      </w:r>
      <w:r>
        <w:rPr>
          <w:rFonts w:hint="eastAsia"/>
        </w:rPr>
        <w:t>支线在姚唐坝穿越</w:t>
      </w:r>
      <w:r>
        <w:rPr>
          <w:rFonts w:hint="eastAsia"/>
        </w:rPr>
        <w:t>1</w:t>
      </w:r>
      <w:r>
        <w:rPr>
          <w:rFonts w:hint="eastAsia"/>
        </w:rPr>
        <w:t>次小通江后接入干线，减少小通江穿越。</w:t>
      </w:r>
    </w:p>
    <w:p w14:paraId="03EAAB45" w14:textId="77777777" w:rsidR="007D1E74" w:rsidRDefault="00A95641">
      <w:pPr>
        <w:pStyle w:val="affffff2"/>
        <w:rPr>
          <w:rFonts w:ascii="Times New Roman" w:hAnsi="Times New Roman"/>
          <w:sz w:val="24"/>
          <w:szCs w:val="24"/>
        </w:rPr>
      </w:pPr>
      <w:r>
        <w:rPr>
          <w:noProof/>
        </w:rPr>
        <w:lastRenderedPageBreak/>
        <w:drawing>
          <wp:inline distT="0" distB="0" distL="0" distR="0" wp14:anchorId="3D08679F" wp14:editId="067C0A4B">
            <wp:extent cx="2979420" cy="4837430"/>
            <wp:effectExtent l="0" t="0" r="0" b="127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3"/>
                    <a:stretch>
                      <a:fillRect/>
                    </a:stretch>
                  </pic:blipFill>
                  <pic:spPr>
                    <a:xfrm>
                      <a:off x="0" y="0"/>
                      <a:ext cx="2979313" cy="4837378"/>
                    </a:xfrm>
                    <a:prstGeom prst="rect">
                      <a:avLst/>
                    </a:prstGeom>
                  </pic:spPr>
                </pic:pic>
              </a:graphicData>
            </a:graphic>
          </wp:inline>
        </w:drawing>
      </w:r>
      <w:r>
        <w:rPr>
          <w:rFonts w:ascii="Times New Roman" w:hAnsi="Times New Roman"/>
        </w:rPr>
        <w:fldChar w:fldCharType="begin"/>
      </w:r>
      <w:r>
        <w:rPr>
          <w:rFonts w:ascii="Times New Roman" w:hAnsi="Times New Roman"/>
        </w:rPr>
        <w:instrText xml:space="preserve"> INCLUDEPICTURE "C:\\Users\\ADMINI~1\\AppData\\Local\\Temp\\</w:instrText>
      </w:r>
      <w:r>
        <w:rPr>
          <w:rFonts w:ascii="Times New Roman" w:hAnsi="Times New Roman"/>
        </w:rPr>
        <w:instrText>企业微信截图</w:instrText>
      </w:r>
      <w:r>
        <w:rPr>
          <w:rFonts w:ascii="Times New Roman" w:hAnsi="Times New Roman"/>
        </w:rPr>
        <w:instrText xml:space="preserve">_16317796115780.png" \* MERGEFORMATINET </w:instrText>
      </w:r>
      <w:r>
        <w:rPr>
          <w:rFonts w:ascii="Times New Roman" w:hAnsi="Times New Roman"/>
        </w:rPr>
        <w:fldChar w:fldCharType="end"/>
      </w:r>
    </w:p>
    <w:p w14:paraId="5CB91622" w14:textId="77777777" w:rsidR="007D1E74" w:rsidRDefault="00A95641">
      <w:pPr>
        <w:spacing w:line="360" w:lineRule="auto"/>
        <w:ind w:firstLineChars="200" w:firstLine="420"/>
        <w:jc w:val="center"/>
        <w:rPr>
          <w:rFonts w:eastAsia="黑体" w:cs="Times New Roman"/>
          <w:kern w:val="0"/>
          <w:szCs w:val="21"/>
        </w:rPr>
      </w:pPr>
      <w:r>
        <w:rPr>
          <w:rFonts w:eastAsia="黑体" w:cs="Times New Roman"/>
          <w:kern w:val="0"/>
        </w:rPr>
        <w:fldChar w:fldCharType="begin"/>
      </w:r>
      <w:r>
        <w:rPr>
          <w:rFonts w:eastAsia="黑体" w:cs="Times New Roman"/>
          <w:kern w:val="0"/>
        </w:rPr>
        <w:instrText xml:space="preserve"> INCLUDEPICTURE "C:\\Users\\ADMINI~1\\AppData\\Local\\Temp\\</w:instrText>
      </w:r>
      <w:r>
        <w:rPr>
          <w:rFonts w:eastAsia="黑体" w:cs="Times New Roman"/>
          <w:kern w:val="0"/>
        </w:rPr>
        <w:instrText>企业微信截图</w:instrText>
      </w:r>
      <w:r>
        <w:rPr>
          <w:rFonts w:eastAsia="黑体" w:cs="Times New Roman"/>
          <w:kern w:val="0"/>
        </w:rPr>
        <w:instrText xml:space="preserve">_16257107916576.png" \* MERGEFORMATINET </w:instrText>
      </w:r>
      <w:r>
        <w:rPr>
          <w:rFonts w:eastAsia="黑体" w:cs="Times New Roman"/>
          <w:kern w:val="0"/>
        </w:rPr>
        <w:fldChar w:fldCharType="end"/>
      </w:r>
      <w:r>
        <w:rPr>
          <w:rFonts w:eastAsia="黑体" w:cs="Times New Roman"/>
          <w:kern w:val="0"/>
        </w:rPr>
        <w:t>图</w:t>
      </w:r>
      <w:r>
        <w:rPr>
          <w:rFonts w:eastAsia="黑体" w:cs="Times New Roman" w:hint="eastAsia"/>
          <w:kern w:val="0"/>
        </w:rPr>
        <w:t>2.3-2</w:t>
      </w:r>
      <w:r>
        <w:rPr>
          <w:rFonts w:eastAsia="黑体" w:cs="Times New Roman"/>
          <w:kern w:val="0"/>
        </w:rPr>
        <w:t xml:space="preserve">  </w:t>
      </w:r>
      <w:r>
        <w:rPr>
          <w:rFonts w:eastAsia="黑体" w:cs="Times New Roman" w:hint="eastAsia"/>
          <w:kern w:val="0"/>
        </w:rPr>
        <w:t>项目</w:t>
      </w:r>
      <w:r>
        <w:rPr>
          <w:rFonts w:eastAsia="黑体" w:cs="Times New Roman"/>
          <w:kern w:val="0"/>
        </w:rPr>
        <w:t>线路走向图</w:t>
      </w:r>
    </w:p>
    <w:p w14:paraId="43930CAA" w14:textId="77777777" w:rsidR="007D1E74" w:rsidRDefault="00A95641">
      <w:pPr>
        <w:pStyle w:val="a9"/>
      </w:pPr>
      <w:r>
        <w:t>工程路由选址情况</w:t>
      </w:r>
    </w:p>
    <w:p w14:paraId="7B59A853" w14:textId="77777777" w:rsidR="007D1E74" w:rsidRDefault="00A95641">
      <w:pPr>
        <w:spacing w:line="360" w:lineRule="auto"/>
        <w:ind w:firstLineChars="200" w:firstLine="480"/>
        <w:contextualSpacing/>
        <w:rPr>
          <w:sz w:val="24"/>
        </w:rPr>
      </w:pPr>
      <w:r>
        <w:rPr>
          <w:rFonts w:cs="Times New Roman"/>
          <w:sz w:val="24"/>
        </w:rPr>
        <w:t>项目为集输管道，项目所连接井站情况见下表。</w:t>
      </w:r>
    </w:p>
    <w:p w14:paraId="399B7ECD" w14:textId="77777777" w:rsidR="007D1E74" w:rsidRDefault="00A95641">
      <w:pPr>
        <w:spacing w:line="360" w:lineRule="auto"/>
        <w:ind w:firstLineChars="200" w:firstLine="420"/>
        <w:jc w:val="center"/>
        <w:rPr>
          <w:rFonts w:eastAsia="黑体" w:cs="Times New Roman"/>
          <w:kern w:val="0"/>
        </w:rPr>
      </w:pPr>
      <w:r>
        <w:rPr>
          <w:rFonts w:eastAsia="黑体" w:cs="Times New Roman"/>
          <w:kern w:val="0"/>
        </w:rPr>
        <w:t>表</w:t>
      </w:r>
      <w:r>
        <w:rPr>
          <w:rFonts w:eastAsia="黑体" w:cs="Times New Roman" w:hint="eastAsia"/>
          <w:kern w:val="0"/>
        </w:rPr>
        <w:t>2.3</w:t>
      </w:r>
      <w:r>
        <w:rPr>
          <w:rFonts w:eastAsia="黑体" w:cs="Times New Roman"/>
          <w:kern w:val="0"/>
        </w:rPr>
        <w:t>-</w:t>
      </w:r>
      <w:r>
        <w:rPr>
          <w:rFonts w:eastAsia="黑体" w:cs="Times New Roman" w:hint="eastAsia"/>
          <w:kern w:val="0"/>
        </w:rPr>
        <w:t xml:space="preserve">2 </w:t>
      </w:r>
      <w:r>
        <w:rPr>
          <w:rFonts w:eastAsia="黑体" w:cs="Times New Roman"/>
          <w:kern w:val="0"/>
        </w:rPr>
        <w:t>连接井站情况一览表</w:t>
      </w:r>
    </w:p>
    <w:tbl>
      <w:tblPr>
        <w:tblW w:w="8786" w:type="dxa"/>
        <w:tblInd w:w="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32"/>
        <w:gridCol w:w="3746"/>
        <w:gridCol w:w="1985"/>
        <w:gridCol w:w="1559"/>
        <w:gridCol w:w="864"/>
      </w:tblGrid>
      <w:tr w:rsidR="007D1E74" w14:paraId="38BAD316" w14:textId="77777777">
        <w:trPr>
          <w:trHeight w:val="299"/>
        </w:trPr>
        <w:tc>
          <w:tcPr>
            <w:tcW w:w="632" w:type="dxa"/>
            <w:vAlign w:val="center"/>
          </w:tcPr>
          <w:p w14:paraId="1D5C41B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序号</w:t>
            </w:r>
          </w:p>
        </w:tc>
        <w:tc>
          <w:tcPr>
            <w:tcW w:w="3746" w:type="dxa"/>
            <w:vAlign w:val="center"/>
          </w:tcPr>
          <w:p w14:paraId="7750ADC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管道名称</w:t>
            </w:r>
          </w:p>
        </w:tc>
        <w:tc>
          <w:tcPr>
            <w:tcW w:w="1985" w:type="dxa"/>
            <w:vAlign w:val="center"/>
          </w:tcPr>
          <w:p w14:paraId="6D2808B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起点</w:t>
            </w:r>
          </w:p>
        </w:tc>
        <w:tc>
          <w:tcPr>
            <w:tcW w:w="1559" w:type="dxa"/>
            <w:vAlign w:val="center"/>
          </w:tcPr>
          <w:p w14:paraId="33E2D80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终点</w:t>
            </w:r>
          </w:p>
        </w:tc>
        <w:tc>
          <w:tcPr>
            <w:tcW w:w="864" w:type="dxa"/>
            <w:vAlign w:val="center"/>
          </w:tcPr>
          <w:p w14:paraId="2085668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备注</w:t>
            </w:r>
          </w:p>
        </w:tc>
      </w:tr>
      <w:tr w:rsidR="007D1E74" w14:paraId="7087ABD1" w14:textId="77777777">
        <w:trPr>
          <w:trHeight w:val="90"/>
        </w:trPr>
        <w:tc>
          <w:tcPr>
            <w:tcW w:w="632" w:type="dxa"/>
            <w:vAlign w:val="center"/>
          </w:tcPr>
          <w:p w14:paraId="7240B38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w:t>
            </w:r>
          </w:p>
        </w:tc>
        <w:tc>
          <w:tcPr>
            <w:tcW w:w="3746" w:type="dxa"/>
            <w:vAlign w:val="center"/>
          </w:tcPr>
          <w:p w14:paraId="373344C4" w14:textId="77777777" w:rsidR="007D1E74" w:rsidRDefault="00A95641">
            <w:pPr>
              <w:widowControl/>
              <w:snapToGrid w:val="0"/>
              <w:jc w:val="center"/>
              <w:rPr>
                <w:kern w:val="0"/>
                <w:szCs w:val="21"/>
              </w:rPr>
            </w:pPr>
            <w:r>
              <w:rPr>
                <w:kern w:val="0"/>
                <w:szCs w:val="21"/>
              </w:rPr>
              <w:t>1#</w:t>
            </w:r>
            <w:r>
              <w:rPr>
                <w:rFonts w:ascii="宋体" w:hAnsi="宋体"/>
                <w:kern w:val="0"/>
                <w:szCs w:val="21"/>
              </w:rPr>
              <w:t>阀室至马</w:t>
            </w:r>
            <w:r>
              <w:rPr>
                <w:kern w:val="0"/>
                <w:szCs w:val="21"/>
              </w:rPr>
              <w:t>1-11</w:t>
            </w:r>
            <w:r>
              <w:rPr>
                <w:rFonts w:ascii="宋体" w:hAnsi="宋体"/>
                <w:kern w:val="0"/>
                <w:szCs w:val="21"/>
              </w:rPr>
              <w:t>脱水井场</w:t>
            </w:r>
          </w:p>
        </w:tc>
        <w:tc>
          <w:tcPr>
            <w:tcW w:w="1985" w:type="dxa"/>
            <w:vAlign w:val="center"/>
          </w:tcPr>
          <w:p w14:paraId="44E1D211" w14:textId="77777777" w:rsidR="007D1E74" w:rsidRDefault="00A95641">
            <w:pPr>
              <w:widowControl/>
              <w:snapToGrid w:val="0"/>
              <w:jc w:val="center"/>
              <w:rPr>
                <w:kern w:val="0"/>
                <w:szCs w:val="21"/>
              </w:rPr>
            </w:pPr>
            <w:r>
              <w:rPr>
                <w:kern w:val="0"/>
                <w:szCs w:val="21"/>
              </w:rPr>
              <w:t>1#</w:t>
            </w:r>
            <w:r>
              <w:rPr>
                <w:rFonts w:ascii="宋体" w:hAnsi="宋体"/>
                <w:kern w:val="0"/>
                <w:szCs w:val="21"/>
              </w:rPr>
              <w:t>阀室</w:t>
            </w:r>
          </w:p>
        </w:tc>
        <w:tc>
          <w:tcPr>
            <w:tcW w:w="1559" w:type="dxa"/>
            <w:vAlign w:val="center"/>
          </w:tcPr>
          <w:p w14:paraId="2644BF3A" w14:textId="77777777" w:rsidR="007D1E74" w:rsidRDefault="00A95641">
            <w:pPr>
              <w:widowControl/>
              <w:snapToGrid w:val="0"/>
              <w:jc w:val="center"/>
              <w:rPr>
                <w:rFonts w:ascii="宋体" w:hAnsi="宋体" w:cs="宋体"/>
                <w:kern w:val="0"/>
                <w:szCs w:val="21"/>
              </w:rPr>
            </w:pPr>
            <w:r>
              <w:rPr>
                <w:rFonts w:ascii="宋体" w:hAnsi="宋体" w:cs="宋体" w:hint="eastAsia"/>
                <w:kern w:val="0"/>
                <w:szCs w:val="21"/>
              </w:rPr>
              <w:t>马1-11脱水井场</w:t>
            </w:r>
          </w:p>
        </w:tc>
        <w:tc>
          <w:tcPr>
            <w:tcW w:w="864" w:type="dxa"/>
            <w:vAlign w:val="center"/>
          </w:tcPr>
          <w:p w14:paraId="3668E0DF" w14:textId="77777777" w:rsidR="007D1E74" w:rsidRDefault="00A95641">
            <w:pPr>
              <w:autoSpaceDE w:val="0"/>
              <w:autoSpaceDN w:val="0"/>
              <w:jc w:val="center"/>
              <w:rPr>
                <w:szCs w:val="21"/>
              </w:rPr>
            </w:pPr>
            <w:r>
              <w:rPr>
                <w:rFonts w:cs="Times New Roman"/>
                <w:szCs w:val="21"/>
              </w:rPr>
              <w:t>新建</w:t>
            </w:r>
          </w:p>
        </w:tc>
      </w:tr>
      <w:tr w:rsidR="007D1E74" w14:paraId="796FE744" w14:textId="77777777">
        <w:trPr>
          <w:trHeight w:val="247"/>
        </w:trPr>
        <w:tc>
          <w:tcPr>
            <w:tcW w:w="632" w:type="dxa"/>
            <w:vAlign w:val="center"/>
          </w:tcPr>
          <w:p w14:paraId="1FD764D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2</w:t>
            </w:r>
          </w:p>
        </w:tc>
        <w:tc>
          <w:tcPr>
            <w:tcW w:w="3746" w:type="dxa"/>
            <w:vAlign w:val="center"/>
          </w:tcPr>
          <w:p w14:paraId="254465F2" w14:textId="77777777" w:rsidR="007D1E74" w:rsidRDefault="00A95641">
            <w:pPr>
              <w:widowControl/>
              <w:snapToGrid w:val="0"/>
              <w:jc w:val="center"/>
              <w:rPr>
                <w:rFonts w:ascii="宋体" w:hAnsi="宋体" w:cs="宋体"/>
                <w:kern w:val="0"/>
                <w:szCs w:val="21"/>
              </w:rPr>
            </w:pPr>
            <w:r>
              <w:rPr>
                <w:rFonts w:ascii="宋体" w:hAnsi="宋体" w:cs="宋体" w:hint="eastAsia"/>
                <w:kern w:val="0"/>
                <w:szCs w:val="21"/>
              </w:rPr>
              <w:t>马1-10H采气井场至马1-1集气支线</w:t>
            </w:r>
          </w:p>
        </w:tc>
        <w:tc>
          <w:tcPr>
            <w:tcW w:w="1985" w:type="dxa"/>
            <w:vAlign w:val="center"/>
          </w:tcPr>
          <w:p w14:paraId="4C07C696" w14:textId="77777777" w:rsidR="007D1E74" w:rsidRDefault="00A95641">
            <w:pPr>
              <w:widowControl/>
              <w:snapToGrid w:val="0"/>
              <w:jc w:val="center"/>
              <w:rPr>
                <w:rFonts w:ascii="宋体" w:hAnsi="宋体" w:cs="宋体"/>
                <w:kern w:val="0"/>
                <w:szCs w:val="21"/>
              </w:rPr>
            </w:pPr>
            <w:r>
              <w:rPr>
                <w:rFonts w:ascii="宋体" w:hAnsi="宋体" w:cs="宋体" w:hint="eastAsia"/>
                <w:kern w:val="0"/>
                <w:szCs w:val="21"/>
              </w:rPr>
              <w:t>马1-10H采气井场</w:t>
            </w:r>
          </w:p>
        </w:tc>
        <w:tc>
          <w:tcPr>
            <w:tcW w:w="1559" w:type="dxa"/>
            <w:vAlign w:val="center"/>
          </w:tcPr>
          <w:p w14:paraId="615A41E1" w14:textId="77777777" w:rsidR="007D1E74" w:rsidRDefault="00A95641">
            <w:pPr>
              <w:widowControl/>
              <w:snapToGrid w:val="0"/>
              <w:jc w:val="center"/>
              <w:rPr>
                <w:rFonts w:ascii="宋体" w:hAnsi="宋体" w:cs="宋体"/>
                <w:kern w:val="0"/>
                <w:szCs w:val="21"/>
              </w:rPr>
            </w:pPr>
            <w:r>
              <w:rPr>
                <w:rFonts w:ascii="宋体" w:hAnsi="宋体" w:cs="宋体" w:hint="eastAsia"/>
                <w:kern w:val="0"/>
                <w:szCs w:val="21"/>
              </w:rPr>
              <w:t>马1-1集气支线</w:t>
            </w:r>
          </w:p>
        </w:tc>
        <w:tc>
          <w:tcPr>
            <w:tcW w:w="864" w:type="dxa"/>
            <w:vAlign w:val="center"/>
          </w:tcPr>
          <w:p w14:paraId="5E9E4953" w14:textId="77777777" w:rsidR="007D1E74" w:rsidRDefault="00A95641">
            <w:pPr>
              <w:autoSpaceDE w:val="0"/>
              <w:autoSpaceDN w:val="0"/>
              <w:jc w:val="center"/>
              <w:rPr>
                <w:szCs w:val="21"/>
              </w:rPr>
            </w:pPr>
            <w:r>
              <w:rPr>
                <w:rFonts w:cs="Times New Roman"/>
                <w:szCs w:val="21"/>
              </w:rPr>
              <w:t>新建</w:t>
            </w:r>
          </w:p>
        </w:tc>
      </w:tr>
      <w:tr w:rsidR="007D1E74" w14:paraId="25677FD6" w14:textId="77777777">
        <w:trPr>
          <w:trHeight w:val="247"/>
        </w:trPr>
        <w:tc>
          <w:tcPr>
            <w:tcW w:w="632" w:type="dxa"/>
            <w:vAlign w:val="center"/>
          </w:tcPr>
          <w:p w14:paraId="55080E0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3</w:t>
            </w:r>
          </w:p>
        </w:tc>
        <w:tc>
          <w:tcPr>
            <w:tcW w:w="3746" w:type="dxa"/>
            <w:vAlign w:val="center"/>
          </w:tcPr>
          <w:p w14:paraId="310F9D08" w14:textId="77777777" w:rsidR="007D1E74" w:rsidRDefault="00A95641">
            <w:pPr>
              <w:widowControl/>
              <w:snapToGrid w:val="0"/>
              <w:jc w:val="center"/>
              <w:rPr>
                <w:rFonts w:ascii="宋体" w:hAnsi="宋体" w:cs="宋体"/>
                <w:kern w:val="0"/>
                <w:szCs w:val="21"/>
              </w:rPr>
            </w:pPr>
            <w:r>
              <w:rPr>
                <w:rFonts w:ascii="宋体" w:hAnsi="宋体" w:cs="宋体" w:hint="eastAsia"/>
                <w:kern w:val="0"/>
                <w:szCs w:val="21"/>
              </w:rPr>
              <w:t>马1-1采气井场至干线</w:t>
            </w:r>
          </w:p>
        </w:tc>
        <w:tc>
          <w:tcPr>
            <w:tcW w:w="1985" w:type="dxa"/>
            <w:vAlign w:val="center"/>
          </w:tcPr>
          <w:p w14:paraId="3F07F800" w14:textId="77777777" w:rsidR="007D1E74" w:rsidRDefault="00A95641">
            <w:pPr>
              <w:widowControl/>
              <w:snapToGrid w:val="0"/>
              <w:jc w:val="center"/>
              <w:rPr>
                <w:rFonts w:ascii="宋体" w:hAnsi="宋体" w:cs="宋体"/>
                <w:kern w:val="0"/>
                <w:szCs w:val="21"/>
              </w:rPr>
            </w:pPr>
            <w:r>
              <w:rPr>
                <w:rFonts w:ascii="宋体" w:hAnsi="宋体" w:cs="宋体" w:hint="eastAsia"/>
                <w:kern w:val="0"/>
                <w:szCs w:val="21"/>
              </w:rPr>
              <w:t>马1-1采气井场</w:t>
            </w:r>
          </w:p>
        </w:tc>
        <w:tc>
          <w:tcPr>
            <w:tcW w:w="1559" w:type="dxa"/>
            <w:vAlign w:val="center"/>
          </w:tcPr>
          <w:p w14:paraId="2FC1E567" w14:textId="77777777" w:rsidR="007D1E74" w:rsidRDefault="00A95641">
            <w:pPr>
              <w:widowControl/>
              <w:snapToGrid w:val="0"/>
              <w:jc w:val="center"/>
              <w:rPr>
                <w:rFonts w:ascii="宋体" w:hAnsi="宋体" w:cs="宋体"/>
                <w:kern w:val="0"/>
                <w:szCs w:val="21"/>
              </w:rPr>
            </w:pPr>
            <w:r>
              <w:rPr>
                <w:rFonts w:ascii="宋体" w:hAnsi="宋体" w:cs="宋体" w:hint="eastAsia"/>
                <w:kern w:val="0"/>
                <w:szCs w:val="21"/>
              </w:rPr>
              <w:t>干线</w:t>
            </w:r>
          </w:p>
        </w:tc>
        <w:tc>
          <w:tcPr>
            <w:tcW w:w="864" w:type="dxa"/>
            <w:vAlign w:val="center"/>
          </w:tcPr>
          <w:p w14:paraId="3C8A6C3F" w14:textId="77777777" w:rsidR="007D1E74" w:rsidRDefault="00A95641">
            <w:pPr>
              <w:autoSpaceDE w:val="0"/>
              <w:autoSpaceDN w:val="0"/>
              <w:jc w:val="center"/>
              <w:rPr>
                <w:szCs w:val="21"/>
              </w:rPr>
            </w:pPr>
            <w:r>
              <w:rPr>
                <w:rFonts w:cs="Times New Roman"/>
                <w:szCs w:val="21"/>
              </w:rPr>
              <w:t>新建</w:t>
            </w:r>
          </w:p>
        </w:tc>
      </w:tr>
      <w:tr w:rsidR="007D1E74" w14:paraId="6B934232" w14:textId="77777777">
        <w:trPr>
          <w:trHeight w:val="247"/>
        </w:trPr>
        <w:tc>
          <w:tcPr>
            <w:tcW w:w="632" w:type="dxa"/>
            <w:vAlign w:val="center"/>
          </w:tcPr>
          <w:p w14:paraId="0E9FEB25" w14:textId="77777777" w:rsidR="007D1E74" w:rsidRDefault="00A95641">
            <w:pPr>
              <w:pStyle w:val="TableParagraph"/>
              <w:adjustRightInd/>
              <w:jc w:val="center"/>
              <w:rPr>
                <w:rFonts w:ascii="Times New Roman" w:hAnsi="Times New Roman"/>
                <w:sz w:val="21"/>
                <w:szCs w:val="21"/>
              </w:rPr>
            </w:pPr>
            <w:r>
              <w:rPr>
                <w:rFonts w:ascii="Times New Roman" w:hAnsi="Times New Roman" w:hint="eastAsia"/>
                <w:sz w:val="21"/>
                <w:szCs w:val="21"/>
              </w:rPr>
              <w:t>4</w:t>
            </w:r>
          </w:p>
        </w:tc>
        <w:tc>
          <w:tcPr>
            <w:tcW w:w="3746" w:type="dxa"/>
            <w:vAlign w:val="center"/>
          </w:tcPr>
          <w:p w14:paraId="280C98F9" w14:textId="77777777" w:rsidR="007D1E74" w:rsidRDefault="00A95641">
            <w:pPr>
              <w:widowControl/>
              <w:snapToGrid w:val="0"/>
              <w:jc w:val="center"/>
              <w:rPr>
                <w:rFonts w:ascii="宋体" w:hAnsi="宋体" w:cs="宋体"/>
                <w:kern w:val="0"/>
                <w:szCs w:val="21"/>
              </w:rPr>
            </w:pPr>
            <w:r>
              <w:rPr>
                <w:rFonts w:ascii="宋体" w:hAnsi="宋体" w:cs="宋体" w:hint="eastAsia"/>
                <w:kern w:val="0"/>
                <w:szCs w:val="21"/>
              </w:rPr>
              <w:t>马1-13H采气井场至干线</w:t>
            </w:r>
          </w:p>
        </w:tc>
        <w:tc>
          <w:tcPr>
            <w:tcW w:w="1985" w:type="dxa"/>
            <w:vAlign w:val="center"/>
          </w:tcPr>
          <w:p w14:paraId="06555A95" w14:textId="77777777" w:rsidR="007D1E74" w:rsidRDefault="00A95641">
            <w:pPr>
              <w:widowControl/>
              <w:snapToGrid w:val="0"/>
              <w:jc w:val="center"/>
              <w:rPr>
                <w:rFonts w:ascii="宋体" w:hAnsi="宋体" w:cs="宋体"/>
                <w:kern w:val="0"/>
                <w:szCs w:val="21"/>
              </w:rPr>
            </w:pPr>
            <w:r>
              <w:rPr>
                <w:rFonts w:ascii="宋体" w:hAnsi="宋体" w:cs="宋体" w:hint="eastAsia"/>
                <w:kern w:val="0"/>
                <w:szCs w:val="21"/>
              </w:rPr>
              <w:t>马1-13H采气井场</w:t>
            </w:r>
          </w:p>
        </w:tc>
        <w:tc>
          <w:tcPr>
            <w:tcW w:w="1559" w:type="dxa"/>
            <w:vAlign w:val="center"/>
          </w:tcPr>
          <w:p w14:paraId="1380BC9B" w14:textId="77777777" w:rsidR="007D1E74" w:rsidRDefault="00A95641">
            <w:pPr>
              <w:widowControl/>
              <w:snapToGrid w:val="0"/>
              <w:jc w:val="center"/>
              <w:rPr>
                <w:rFonts w:ascii="宋体" w:hAnsi="宋体" w:cs="宋体"/>
                <w:kern w:val="0"/>
                <w:szCs w:val="21"/>
              </w:rPr>
            </w:pPr>
            <w:r>
              <w:rPr>
                <w:rFonts w:ascii="宋体" w:hAnsi="宋体" w:cs="宋体" w:hint="eastAsia"/>
                <w:kern w:val="0"/>
                <w:szCs w:val="21"/>
              </w:rPr>
              <w:t>干线</w:t>
            </w:r>
          </w:p>
        </w:tc>
        <w:tc>
          <w:tcPr>
            <w:tcW w:w="864" w:type="dxa"/>
            <w:vAlign w:val="center"/>
          </w:tcPr>
          <w:p w14:paraId="4CD03BCF" w14:textId="77777777" w:rsidR="007D1E74" w:rsidRDefault="007D1E74">
            <w:pPr>
              <w:autoSpaceDE w:val="0"/>
              <w:autoSpaceDN w:val="0"/>
              <w:jc w:val="center"/>
              <w:rPr>
                <w:rFonts w:cs="Times New Roman"/>
                <w:szCs w:val="21"/>
              </w:rPr>
            </w:pPr>
          </w:p>
        </w:tc>
      </w:tr>
      <w:tr w:rsidR="007D1E74" w14:paraId="69012ED1" w14:textId="77777777">
        <w:trPr>
          <w:trHeight w:val="247"/>
        </w:trPr>
        <w:tc>
          <w:tcPr>
            <w:tcW w:w="632" w:type="dxa"/>
            <w:vAlign w:val="center"/>
          </w:tcPr>
          <w:p w14:paraId="0B5F7BBE" w14:textId="77777777" w:rsidR="007D1E74" w:rsidRDefault="00A95641">
            <w:pPr>
              <w:pStyle w:val="TableParagraph"/>
              <w:adjustRightInd/>
              <w:jc w:val="center"/>
              <w:rPr>
                <w:rFonts w:ascii="Times New Roman" w:hAnsi="Times New Roman"/>
                <w:sz w:val="21"/>
                <w:szCs w:val="21"/>
              </w:rPr>
            </w:pPr>
            <w:r>
              <w:rPr>
                <w:rFonts w:ascii="Times New Roman" w:hAnsi="Times New Roman" w:hint="eastAsia"/>
                <w:sz w:val="21"/>
                <w:szCs w:val="21"/>
              </w:rPr>
              <w:t>5</w:t>
            </w:r>
          </w:p>
        </w:tc>
        <w:tc>
          <w:tcPr>
            <w:tcW w:w="3746" w:type="dxa"/>
            <w:vAlign w:val="center"/>
          </w:tcPr>
          <w:p w14:paraId="691ADA00" w14:textId="77777777" w:rsidR="007D1E74" w:rsidRDefault="00A95641">
            <w:pPr>
              <w:widowControl/>
              <w:snapToGrid w:val="0"/>
              <w:jc w:val="center"/>
              <w:rPr>
                <w:rFonts w:ascii="宋体" w:hAnsi="宋体" w:cs="宋体"/>
                <w:kern w:val="0"/>
                <w:szCs w:val="21"/>
              </w:rPr>
            </w:pPr>
            <w:r>
              <w:rPr>
                <w:rFonts w:ascii="宋体" w:hAnsi="宋体" w:cs="宋体" w:hint="eastAsia"/>
                <w:kern w:val="0"/>
                <w:szCs w:val="21"/>
              </w:rPr>
              <w:t>马1-12H采气井场至干线</w:t>
            </w:r>
          </w:p>
        </w:tc>
        <w:tc>
          <w:tcPr>
            <w:tcW w:w="1985" w:type="dxa"/>
            <w:vAlign w:val="center"/>
          </w:tcPr>
          <w:p w14:paraId="462A11C2" w14:textId="77777777" w:rsidR="007D1E74" w:rsidRDefault="00A95641">
            <w:pPr>
              <w:widowControl/>
              <w:snapToGrid w:val="0"/>
              <w:jc w:val="center"/>
              <w:rPr>
                <w:rFonts w:ascii="宋体" w:hAnsi="宋体" w:cs="宋体"/>
                <w:kern w:val="0"/>
                <w:szCs w:val="21"/>
              </w:rPr>
            </w:pPr>
            <w:r>
              <w:rPr>
                <w:rFonts w:ascii="宋体" w:hAnsi="宋体" w:cs="宋体" w:hint="eastAsia"/>
                <w:kern w:val="0"/>
                <w:szCs w:val="21"/>
              </w:rPr>
              <w:t>马1-12H采气井场</w:t>
            </w:r>
          </w:p>
        </w:tc>
        <w:tc>
          <w:tcPr>
            <w:tcW w:w="1559" w:type="dxa"/>
            <w:vAlign w:val="center"/>
          </w:tcPr>
          <w:p w14:paraId="56F81E8F" w14:textId="77777777" w:rsidR="007D1E74" w:rsidRDefault="00A95641">
            <w:pPr>
              <w:widowControl/>
              <w:snapToGrid w:val="0"/>
              <w:jc w:val="center"/>
              <w:rPr>
                <w:rFonts w:ascii="宋体" w:hAnsi="宋体" w:cs="宋体"/>
                <w:kern w:val="0"/>
                <w:szCs w:val="21"/>
              </w:rPr>
            </w:pPr>
            <w:r>
              <w:rPr>
                <w:rFonts w:ascii="宋体" w:hAnsi="宋体" w:cs="宋体" w:hint="eastAsia"/>
                <w:kern w:val="0"/>
                <w:szCs w:val="21"/>
              </w:rPr>
              <w:t>干线</w:t>
            </w:r>
          </w:p>
        </w:tc>
        <w:tc>
          <w:tcPr>
            <w:tcW w:w="864" w:type="dxa"/>
            <w:vAlign w:val="center"/>
          </w:tcPr>
          <w:p w14:paraId="07B9410C" w14:textId="77777777" w:rsidR="007D1E74" w:rsidRDefault="007D1E74">
            <w:pPr>
              <w:autoSpaceDE w:val="0"/>
              <w:autoSpaceDN w:val="0"/>
              <w:jc w:val="center"/>
              <w:rPr>
                <w:rFonts w:cs="Times New Roman"/>
                <w:szCs w:val="21"/>
              </w:rPr>
            </w:pPr>
          </w:p>
        </w:tc>
      </w:tr>
      <w:tr w:rsidR="007D1E74" w14:paraId="3E4B2E6B" w14:textId="77777777">
        <w:trPr>
          <w:trHeight w:val="247"/>
        </w:trPr>
        <w:tc>
          <w:tcPr>
            <w:tcW w:w="632" w:type="dxa"/>
            <w:vAlign w:val="center"/>
          </w:tcPr>
          <w:p w14:paraId="6D6DF060" w14:textId="77777777" w:rsidR="007D1E74" w:rsidRDefault="00A95641">
            <w:pPr>
              <w:pStyle w:val="TableParagraph"/>
              <w:adjustRightInd/>
              <w:jc w:val="center"/>
              <w:rPr>
                <w:rFonts w:ascii="Times New Roman" w:hAnsi="Times New Roman"/>
                <w:sz w:val="21"/>
                <w:szCs w:val="21"/>
              </w:rPr>
            </w:pPr>
            <w:r>
              <w:rPr>
                <w:rFonts w:ascii="Times New Roman" w:hAnsi="Times New Roman" w:hint="eastAsia"/>
                <w:sz w:val="21"/>
                <w:szCs w:val="21"/>
              </w:rPr>
              <w:t>6</w:t>
            </w:r>
          </w:p>
        </w:tc>
        <w:tc>
          <w:tcPr>
            <w:tcW w:w="3746" w:type="dxa"/>
            <w:vAlign w:val="center"/>
          </w:tcPr>
          <w:p w14:paraId="2DAB74A8" w14:textId="77777777" w:rsidR="007D1E74" w:rsidRDefault="00A95641">
            <w:pPr>
              <w:widowControl/>
              <w:snapToGrid w:val="0"/>
              <w:jc w:val="center"/>
              <w:rPr>
                <w:rFonts w:ascii="宋体" w:hAnsi="宋体" w:cs="宋体"/>
                <w:kern w:val="0"/>
                <w:szCs w:val="21"/>
              </w:rPr>
            </w:pPr>
            <w:r>
              <w:rPr>
                <w:rFonts w:ascii="宋体" w:hAnsi="宋体" w:cs="宋体" w:hint="eastAsia"/>
                <w:kern w:val="0"/>
                <w:szCs w:val="21"/>
              </w:rPr>
              <w:t>马1-11脱水井场至4#清管阀组集输干线</w:t>
            </w:r>
          </w:p>
        </w:tc>
        <w:tc>
          <w:tcPr>
            <w:tcW w:w="1985" w:type="dxa"/>
            <w:vAlign w:val="center"/>
          </w:tcPr>
          <w:p w14:paraId="25A72C85" w14:textId="77777777" w:rsidR="007D1E74" w:rsidRDefault="00A95641">
            <w:pPr>
              <w:widowControl/>
              <w:snapToGrid w:val="0"/>
              <w:jc w:val="center"/>
              <w:rPr>
                <w:rFonts w:ascii="宋体" w:hAnsi="宋体" w:cs="宋体"/>
                <w:kern w:val="0"/>
                <w:szCs w:val="21"/>
              </w:rPr>
            </w:pPr>
            <w:r>
              <w:rPr>
                <w:rFonts w:ascii="宋体" w:hAnsi="宋体" w:cs="宋体" w:hint="eastAsia"/>
                <w:kern w:val="0"/>
                <w:szCs w:val="21"/>
              </w:rPr>
              <w:t>马1-11脱水井场</w:t>
            </w:r>
          </w:p>
        </w:tc>
        <w:tc>
          <w:tcPr>
            <w:tcW w:w="1559" w:type="dxa"/>
            <w:vAlign w:val="center"/>
          </w:tcPr>
          <w:p w14:paraId="1963BBD7" w14:textId="77777777" w:rsidR="007D1E74" w:rsidRDefault="00A95641">
            <w:pPr>
              <w:widowControl/>
              <w:snapToGrid w:val="0"/>
              <w:jc w:val="center"/>
              <w:rPr>
                <w:rFonts w:ascii="宋体" w:hAnsi="宋体" w:cs="宋体"/>
                <w:kern w:val="0"/>
                <w:szCs w:val="21"/>
              </w:rPr>
            </w:pPr>
            <w:r>
              <w:rPr>
                <w:rFonts w:ascii="宋体" w:hAnsi="宋体" w:cs="宋体" w:hint="eastAsia"/>
                <w:kern w:val="0"/>
                <w:szCs w:val="21"/>
              </w:rPr>
              <w:t>4#清管阀组</w:t>
            </w:r>
          </w:p>
        </w:tc>
        <w:tc>
          <w:tcPr>
            <w:tcW w:w="864" w:type="dxa"/>
            <w:vAlign w:val="center"/>
          </w:tcPr>
          <w:p w14:paraId="2229F28F" w14:textId="77777777" w:rsidR="007D1E74" w:rsidRDefault="007D1E74">
            <w:pPr>
              <w:autoSpaceDE w:val="0"/>
              <w:autoSpaceDN w:val="0"/>
              <w:jc w:val="center"/>
              <w:rPr>
                <w:rFonts w:cs="Times New Roman"/>
                <w:szCs w:val="21"/>
              </w:rPr>
            </w:pPr>
          </w:p>
        </w:tc>
      </w:tr>
      <w:tr w:rsidR="007D1E74" w14:paraId="7B31A7E9" w14:textId="77777777">
        <w:trPr>
          <w:trHeight w:val="247"/>
        </w:trPr>
        <w:tc>
          <w:tcPr>
            <w:tcW w:w="632" w:type="dxa"/>
            <w:vAlign w:val="center"/>
          </w:tcPr>
          <w:p w14:paraId="654089DF" w14:textId="77777777" w:rsidR="007D1E74" w:rsidRDefault="00A95641">
            <w:pPr>
              <w:pStyle w:val="TableParagraph"/>
              <w:adjustRightInd/>
              <w:jc w:val="center"/>
              <w:rPr>
                <w:rFonts w:ascii="Times New Roman" w:hAnsi="Times New Roman"/>
                <w:sz w:val="21"/>
                <w:szCs w:val="21"/>
              </w:rPr>
            </w:pPr>
            <w:r>
              <w:rPr>
                <w:rFonts w:ascii="Times New Roman" w:hAnsi="Times New Roman" w:hint="eastAsia"/>
                <w:sz w:val="21"/>
                <w:szCs w:val="21"/>
              </w:rPr>
              <w:t>7</w:t>
            </w:r>
          </w:p>
        </w:tc>
        <w:tc>
          <w:tcPr>
            <w:tcW w:w="3746" w:type="dxa"/>
            <w:vAlign w:val="center"/>
          </w:tcPr>
          <w:p w14:paraId="77F62964" w14:textId="77777777" w:rsidR="007D1E74" w:rsidRDefault="00A95641">
            <w:pPr>
              <w:widowControl/>
              <w:snapToGrid w:val="0"/>
              <w:jc w:val="center"/>
              <w:rPr>
                <w:rFonts w:ascii="宋体" w:hAnsi="宋体" w:cs="宋体"/>
                <w:kern w:val="0"/>
                <w:szCs w:val="21"/>
              </w:rPr>
            </w:pPr>
            <w:r>
              <w:rPr>
                <w:rFonts w:ascii="宋体" w:hAnsi="宋体" w:cs="宋体" w:hint="eastAsia"/>
                <w:kern w:val="0"/>
                <w:szCs w:val="21"/>
              </w:rPr>
              <w:t>4#清管阀组至草池增压站集输干线</w:t>
            </w:r>
          </w:p>
        </w:tc>
        <w:tc>
          <w:tcPr>
            <w:tcW w:w="1985" w:type="dxa"/>
            <w:vAlign w:val="center"/>
          </w:tcPr>
          <w:p w14:paraId="399EEB6C" w14:textId="77777777" w:rsidR="007D1E74" w:rsidRDefault="00A95641">
            <w:pPr>
              <w:widowControl/>
              <w:snapToGrid w:val="0"/>
              <w:jc w:val="center"/>
              <w:rPr>
                <w:rFonts w:ascii="宋体" w:hAnsi="宋体" w:cs="宋体"/>
                <w:kern w:val="0"/>
                <w:szCs w:val="21"/>
              </w:rPr>
            </w:pPr>
            <w:r>
              <w:rPr>
                <w:rFonts w:ascii="宋体" w:hAnsi="宋体" w:cs="宋体" w:hint="eastAsia"/>
                <w:kern w:val="0"/>
                <w:szCs w:val="21"/>
              </w:rPr>
              <w:t>4#清管阀组</w:t>
            </w:r>
          </w:p>
        </w:tc>
        <w:tc>
          <w:tcPr>
            <w:tcW w:w="1559" w:type="dxa"/>
            <w:vAlign w:val="center"/>
          </w:tcPr>
          <w:p w14:paraId="20BA5F16" w14:textId="77777777" w:rsidR="007D1E74" w:rsidRDefault="00A95641">
            <w:pPr>
              <w:widowControl/>
              <w:snapToGrid w:val="0"/>
              <w:jc w:val="center"/>
              <w:rPr>
                <w:rFonts w:ascii="宋体" w:hAnsi="宋体" w:cs="宋体"/>
                <w:kern w:val="0"/>
                <w:szCs w:val="21"/>
              </w:rPr>
            </w:pPr>
            <w:r>
              <w:rPr>
                <w:rFonts w:ascii="宋体" w:hAnsi="宋体" w:cs="宋体" w:hint="eastAsia"/>
                <w:kern w:val="0"/>
                <w:szCs w:val="21"/>
              </w:rPr>
              <w:t>草池增压站</w:t>
            </w:r>
          </w:p>
        </w:tc>
        <w:tc>
          <w:tcPr>
            <w:tcW w:w="864" w:type="dxa"/>
            <w:vAlign w:val="center"/>
          </w:tcPr>
          <w:p w14:paraId="28DE8218" w14:textId="77777777" w:rsidR="007D1E74" w:rsidRDefault="007D1E74">
            <w:pPr>
              <w:autoSpaceDE w:val="0"/>
              <w:autoSpaceDN w:val="0"/>
              <w:jc w:val="center"/>
              <w:rPr>
                <w:rFonts w:cs="Times New Roman"/>
                <w:szCs w:val="21"/>
              </w:rPr>
            </w:pPr>
          </w:p>
        </w:tc>
      </w:tr>
    </w:tbl>
    <w:p w14:paraId="3B0383A4" w14:textId="77777777" w:rsidR="007D1E74" w:rsidRDefault="00A95641">
      <w:pPr>
        <w:pStyle w:val="a9"/>
      </w:pPr>
      <w:r>
        <w:t>项目选址合理性分析</w:t>
      </w:r>
    </w:p>
    <w:p w14:paraId="10DDF6EF" w14:textId="77777777" w:rsidR="007D1E74" w:rsidRDefault="00A95641">
      <w:pPr>
        <w:pStyle w:val="aa"/>
      </w:pPr>
      <w:r>
        <w:t>管道路由选址合理性分析</w:t>
      </w:r>
    </w:p>
    <w:p w14:paraId="2E56E5D3" w14:textId="77777777" w:rsidR="007D1E74" w:rsidRDefault="00A95641">
      <w:pPr>
        <w:spacing w:line="360" w:lineRule="auto"/>
        <w:ind w:firstLineChars="200" w:firstLine="482"/>
        <w:contextualSpacing/>
        <w:rPr>
          <w:b/>
          <w:bCs/>
          <w:sz w:val="24"/>
        </w:rPr>
      </w:pPr>
      <w:r>
        <w:rPr>
          <w:rFonts w:cs="Times New Roman"/>
          <w:b/>
          <w:bCs/>
          <w:sz w:val="24"/>
        </w:rPr>
        <w:lastRenderedPageBreak/>
        <w:t>1</w:t>
      </w:r>
      <w:r>
        <w:rPr>
          <w:rFonts w:cs="Times New Roman"/>
          <w:b/>
          <w:bCs/>
          <w:sz w:val="24"/>
        </w:rPr>
        <w:t>、管道路由外环境关系</w:t>
      </w:r>
    </w:p>
    <w:p w14:paraId="56BB8F91" w14:textId="77777777" w:rsidR="007D1E74" w:rsidRDefault="00A95641">
      <w:pPr>
        <w:spacing w:line="360" w:lineRule="auto"/>
        <w:ind w:firstLineChars="200" w:firstLine="480"/>
        <w:contextualSpacing/>
        <w:rPr>
          <w:sz w:val="24"/>
        </w:rPr>
      </w:pPr>
      <w:r>
        <w:rPr>
          <w:rFonts w:hint="eastAsia"/>
          <w:sz w:val="24"/>
        </w:rPr>
        <w:t>本项目</w:t>
      </w:r>
      <w:r>
        <w:rPr>
          <w:sz w:val="24"/>
        </w:rPr>
        <w:t>总占地</w:t>
      </w:r>
      <w:r>
        <w:rPr>
          <w:sz w:val="24"/>
        </w:rPr>
        <w:t>36.9525hm</w:t>
      </w:r>
      <w:r>
        <w:rPr>
          <w:sz w:val="24"/>
          <w:vertAlign w:val="superscript"/>
        </w:rPr>
        <w:t>2</w:t>
      </w:r>
      <w:r>
        <w:rPr>
          <w:sz w:val="24"/>
        </w:rPr>
        <w:t>，其中临时占地</w:t>
      </w:r>
      <w:r>
        <w:rPr>
          <w:sz w:val="24"/>
        </w:rPr>
        <w:t>36.897hm</w:t>
      </w:r>
      <w:r>
        <w:rPr>
          <w:sz w:val="24"/>
          <w:vertAlign w:val="superscript"/>
        </w:rPr>
        <w:t>2</w:t>
      </w:r>
      <w:r>
        <w:rPr>
          <w:rFonts w:hint="eastAsia"/>
          <w:sz w:val="24"/>
        </w:rPr>
        <w:t>，</w:t>
      </w:r>
      <w:r>
        <w:rPr>
          <w:sz w:val="24"/>
        </w:rPr>
        <w:t>永久占地</w:t>
      </w:r>
      <w:r>
        <w:rPr>
          <w:rFonts w:hint="eastAsia"/>
          <w:sz w:val="24"/>
        </w:rPr>
        <w:t>约</w:t>
      </w:r>
      <w:r>
        <w:rPr>
          <w:sz w:val="24"/>
        </w:rPr>
        <w:t>555m</w:t>
      </w:r>
      <w:r>
        <w:rPr>
          <w:sz w:val="24"/>
          <w:vertAlign w:val="superscript"/>
        </w:rPr>
        <w:t>2</w:t>
      </w:r>
      <w:r>
        <w:rPr>
          <w:rFonts w:hint="eastAsia"/>
          <w:sz w:val="24"/>
        </w:rPr>
        <w:t>。项目新建</w:t>
      </w:r>
      <w:r>
        <w:rPr>
          <w:rFonts w:hint="eastAsia"/>
          <w:sz w:val="24"/>
        </w:rPr>
        <w:t>DN300</w:t>
      </w:r>
      <w:r>
        <w:rPr>
          <w:rFonts w:hint="eastAsia"/>
          <w:sz w:val="24"/>
        </w:rPr>
        <w:t>集输管线</w:t>
      </w:r>
      <w:r>
        <w:rPr>
          <w:rFonts w:hint="eastAsia"/>
          <w:sz w:val="24"/>
        </w:rPr>
        <w:t>15.5km</w:t>
      </w:r>
      <w:r>
        <w:rPr>
          <w:rFonts w:hint="eastAsia"/>
          <w:sz w:val="24"/>
        </w:rPr>
        <w:t>，</w:t>
      </w:r>
      <w:r>
        <w:rPr>
          <w:rFonts w:hint="eastAsia"/>
          <w:sz w:val="24"/>
        </w:rPr>
        <w:t>DN350</w:t>
      </w:r>
      <w:r>
        <w:rPr>
          <w:rFonts w:hint="eastAsia"/>
          <w:sz w:val="24"/>
        </w:rPr>
        <w:t>集输管线</w:t>
      </w:r>
      <w:r>
        <w:rPr>
          <w:sz w:val="24"/>
        </w:rPr>
        <w:t>14.3</w:t>
      </w:r>
      <w:r>
        <w:rPr>
          <w:rFonts w:hint="eastAsia"/>
          <w:sz w:val="24"/>
        </w:rPr>
        <w:t>km</w:t>
      </w:r>
      <w:r>
        <w:rPr>
          <w:rFonts w:hint="eastAsia"/>
          <w:sz w:val="24"/>
        </w:rPr>
        <w:t>。新建</w:t>
      </w:r>
      <w:r>
        <w:rPr>
          <w:rFonts w:hint="eastAsia"/>
          <w:sz w:val="24"/>
        </w:rPr>
        <w:t>DN1</w:t>
      </w:r>
      <w:r>
        <w:rPr>
          <w:sz w:val="24"/>
        </w:rPr>
        <w:t>00</w:t>
      </w:r>
      <w:r>
        <w:rPr>
          <w:rFonts w:hint="eastAsia"/>
          <w:sz w:val="24"/>
        </w:rPr>
        <w:t>集输管线</w:t>
      </w:r>
      <w:r>
        <w:rPr>
          <w:sz w:val="24"/>
        </w:rPr>
        <w:t>6.4</w:t>
      </w:r>
      <w:r>
        <w:rPr>
          <w:rFonts w:hint="eastAsia"/>
          <w:sz w:val="24"/>
        </w:rPr>
        <w:t>km</w:t>
      </w:r>
      <w:r>
        <w:rPr>
          <w:rFonts w:hint="eastAsia"/>
          <w:sz w:val="24"/>
        </w:rPr>
        <w:t>。根据现场勘查：</w:t>
      </w:r>
    </w:p>
    <w:p w14:paraId="747F8530" w14:textId="77777777" w:rsidR="007D1E74" w:rsidRDefault="00A95641">
      <w:pPr>
        <w:spacing w:line="360" w:lineRule="auto"/>
        <w:ind w:firstLineChars="200" w:firstLine="480"/>
        <w:contextualSpacing/>
        <w:rPr>
          <w:rFonts w:cs="Times New Roman"/>
          <w:sz w:val="24"/>
        </w:rPr>
      </w:pPr>
      <w:r>
        <w:rPr>
          <w:rFonts w:cs="Times New Roman" w:hint="eastAsia"/>
          <w:sz w:val="24"/>
        </w:rPr>
        <w:t>A</w:t>
      </w:r>
      <w:r>
        <w:rPr>
          <w:rFonts w:cs="Times New Roman" w:hint="eastAsia"/>
          <w:sz w:val="24"/>
        </w:rPr>
        <w:t>段（</w:t>
      </w:r>
      <w:r>
        <w:rPr>
          <w:rFonts w:cs="Times New Roman" w:hint="eastAsia"/>
          <w:sz w:val="24"/>
        </w:rPr>
        <w:t>1#</w:t>
      </w:r>
      <w:r>
        <w:rPr>
          <w:rFonts w:cs="Times New Roman" w:hint="eastAsia"/>
          <w:sz w:val="24"/>
        </w:rPr>
        <w:t>阀室至马</w:t>
      </w:r>
      <w:r>
        <w:rPr>
          <w:rFonts w:cs="Times New Roman" w:hint="eastAsia"/>
          <w:sz w:val="24"/>
        </w:rPr>
        <w:t>1-11</w:t>
      </w:r>
      <w:r>
        <w:rPr>
          <w:rFonts w:cs="Times New Roman" w:hint="eastAsia"/>
          <w:sz w:val="24"/>
        </w:rPr>
        <w:t>脱水井场集输干线）：桩号</w:t>
      </w:r>
      <w:r>
        <w:rPr>
          <w:rFonts w:cs="Times New Roman" w:hint="eastAsia"/>
          <w:sz w:val="24"/>
        </w:rPr>
        <w:t>A0+000</w:t>
      </w:r>
      <w:r>
        <w:rPr>
          <w:rFonts w:cs="Times New Roman" w:hint="eastAsia"/>
          <w:sz w:val="24"/>
        </w:rPr>
        <w:t>左侧</w:t>
      </w:r>
      <w:r>
        <w:rPr>
          <w:rFonts w:cs="Times New Roman" w:hint="eastAsia"/>
          <w:sz w:val="24"/>
        </w:rPr>
        <w:t>22m~90m</w:t>
      </w:r>
      <w:r>
        <w:rPr>
          <w:rFonts w:cs="Times New Roman" w:hint="eastAsia"/>
          <w:sz w:val="24"/>
        </w:rPr>
        <w:t>范围内分散有</w:t>
      </w:r>
      <w:r>
        <w:rPr>
          <w:rFonts w:cs="Times New Roman" w:hint="eastAsia"/>
          <w:sz w:val="24"/>
        </w:rPr>
        <w:t>4</w:t>
      </w:r>
      <w:r>
        <w:rPr>
          <w:rFonts w:cs="Times New Roman" w:hint="eastAsia"/>
          <w:sz w:val="24"/>
        </w:rPr>
        <w:t>户青山坪居民，桩号</w:t>
      </w:r>
      <w:r>
        <w:rPr>
          <w:rFonts w:cs="Times New Roman" w:hint="eastAsia"/>
          <w:sz w:val="24"/>
        </w:rPr>
        <w:t>A0+278.24</w:t>
      </w:r>
      <w:r>
        <w:rPr>
          <w:rFonts w:cs="Times New Roman" w:hint="eastAsia"/>
          <w:sz w:val="24"/>
        </w:rPr>
        <w:t>右侧</w:t>
      </w:r>
      <w:r>
        <w:rPr>
          <w:rFonts w:cs="Times New Roman" w:hint="eastAsia"/>
          <w:sz w:val="24"/>
        </w:rPr>
        <w:t>34m~126m</w:t>
      </w:r>
      <w:r>
        <w:rPr>
          <w:rFonts w:cs="Times New Roman" w:hint="eastAsia"/>
          <w:sz w:val="24"/>
        </w:rPr>
        <w:t>范围内分散有</w:t>
      </w:r>
      <w:r>
        <w:rPr>
          <w:rFonts w:cs="Times New Roman" w:hint="eastAsia"/>
          <w:sz w:val="24"/>
        </w:rPr>
        <w:t>9</w:t>
      </w:r>
      <w:r>
        <w:rPr>
          <w:rFonts w:cs="Times New Roman" w:hint="eastAsia"/>
          <w:sz w:val="24"/>
        </w:rPr>
        <w:t>户观音岩居民，桩号</w:t>
      </w:r>
      <w:r>
        <w:rPr>
          <w:rFonts w:cs="Times New Roman" w:hint="eastAsia"/>
          <w:sz w:val="24"/>
        </w:rPr>
        <w:t>A0+722.91~A1+249.81</w:t>
      </w:r>
      <w:r>
        <w:rPr>
          <w:rFonts w:cs="Times New Roman" w:hint="eastAsia"/>
          <w:sz w:val="24"/>
        </w:rPr>
        <w:t>左侧</w:t>
      </w:r>
      <w:r>
        <w:rPr>
          <w:rFonts w:cs="Times New Roman" w:hint="eastAsia"/>
          <w:sz w:val="24"/>
        </w:rPr>
        <w:t>44m~186m</w:t>
      </w:r>
      <w:r>
        <w:rPr>
          <w:rFonts w:cs="Times New Roman" w:hint="eastAsia"/>
          <w:sz w:val="24"/>
        </w:rPr>
        <w:t>范围内分散有</w:t>
      </w:r>
      <w:r>
        <w:rPr>
          <w:rFonts w:cs="Times New Roman" w:hint="eastAsia"/>
          <w:sz w:val="24"/>
        </w:rPr>
        <w:t>24</w:t>
      </w:r>
      <w:r>
        <w:rPr>
          <w:rFonts w:cs="Times New Roman" w:hint="eastAsia"/>
          <w:sz w:val="24"/>
        </w:rPr>
        <w:t>户杨家坪居民，桩号</w:t>
      </w:r>
      <w:r>
        <w:rPr>
          <w:rFonts w:cs="Times New Roman" w:hint="eastAsia"/>
          <w:sz w:val="24"/>
        </w:rPr>
        <w:t>A1+515.58~A1+833.18</w:t>
      </w:r>
      <w:r>
        <w:rPr>
          <w:rFonts w:cs="Times New Roman" w:hint="eastAsia"/>
          <w:sz w:val="24"/>
        </w:rPr>
        <w:t>右侧</w:t>
      </w:r>
      <w:r>
        <w:rPr>
          <w:rFonts w:cs="Times New Roman" w:hint="eastAsia"/>
          <w:sz w:val="24"/>
        </w:rPr>
        <w:t>60m~166m</w:t>
      </w:r>
      <w:r>
        <w:rPr>
          <w:rFonts w:cs="Times New Roman" w:hint="eastAsia"/>
          <w:sz w:val="24"/>
        </w:rPr>
        <w:t>范围内分散有</w:t>
      </w:r>
      <w:r>
        <w:rPr>
          <w:rFonts w:cs="Times New Roman" w:hint="eastAsia"/>
          <w:sz w:val="24"/>
        </w:rPr>
        <w:t>13</w:t>
      </w:r>
      <w:r>
        <w:rPr>
          <w:rFonts w:cs="Times New Roman" w:hint="eastAsia"/>
          <w:sz w:val="24"/>
        </w:rPr>
        <w:t>户高桥居民，桩号</w:t>
      </w:r>
      <w:r>
        <w:rPr>
          <w:rFonts w:cs="Times New Roman" w:hint="eastAsia"/>
          <w:sz w:val="24"/>
        </w:rPr>
        <w:t>A3+937.26~A4+054.36</w:t>
      </w:r>
      <w:r>
        <w:rPr>
          <w:rFonts w:cs="Times New Roman" w:hint="eastAsia"/>
          <w:sz w:val="24"/>
        </w:rPr>
        <w:t>左</w:t>
      </w:r>
      <w:r>
        <w:rPr>
          <w:rFonts w:cs="Times New Roman" w:hint="eastAsia"/>
          <w:sz w:val="24"/>
        </w:rPr>
        <w:t>/</w:t>
      </w:r>
      <w:r>
        <w:rPr>
          <w:rFonts w:cs="Times New Roman" w:hint="eastAsia"/>
          <w:sz w:val="24"/>
        </w:rPr>
        <w:t>右侧</w:t>
      </w:r>
      <w:r>
        <w:rPr>
          <w:rFonts w:cs="Times New Roman" w:hint="eastAsia"/>
          <w:sz w:val="24"/>
        </w:rPr>
        <w:t>20m~157m</w:t>
      </w:r>
      <w:r>
        <w:rPr>
          <w:rFonts w:cs="Times New Roman" w:hint="eastAsia"/>
          <w:sz w:val="24"/>
        </w:rPr>
        <w:t>范围内分散有</w:t>
      </w:r>
      <w:r>
        <w:rPr>
          <w:rFonts w:cs="Times New Roman" w:hint="eastAsia"/>
          <w:sz w:val="24"/>
        </w:rPr>
        <w:t>7</w:t>
      </w:r>
      <w:r>
        <w:rPr>
          <w:rFonts w:cs="Times New Roman" w:hint="eastAsia"/>
          <w:sz w:val="24"/>
        </w:rPr>
        <w:t>户龙王庙居民，桩号</w:t>
      </w:r>
      <w:r>
        <w:rPr>
          <w:rFonts w:cs="Times New Roman" w:hint="eastAsia"/>
          <w:sz w:val="24"/>
        </w:rPr>
        <w:t>A4+652.37~A4+813.47</w:t>
      </w:r>
      <w:r>
        <w:rPr>
          <w:rFonts w:cs="Times New Roman" w:hint="eastAsia"/>
          <w:sz w:val="24"/>
        </w:rPr>
        <w:t>左</w:t>
      </w:r>
      <w:r>
        <w:rPr>
          <w:rFonts w:cs="Times New Roman" w:hint="eastAsia"/>
          <w:sz w:val="24"/>
        </w:rPr>
        <w:t>/</w:t>
      </w:r>
      <w:r>
        <w:rPr>
          <w:rFonts w:cs="Times New Roman" w:hint="eastAsia"/>
          <w:sz w:val="24"/>
        </w:rPr>
        <w:t>右侧</w:t>
      </w:r>
      <w:r>
        <w:rPr>
          <w:rFonts w:cs="Times New Roman" w:hint="eastAsia"/>
          <w:sz w:val="24"/>
        </w:rPr>
        <w:t>34m~185m</w:t>
      </w:r>
      <w:r>
        <w:rPr>
          <w:rFonts w:cs="Times New Roman" w:hint="eastAsia"/>
          <w:sz w:val="24"/>
        </w:rPr>
        <w:t>范围内分散有</w:t>
      </w:r>
      <w:r>
        <w:rPr>
          <w:rFonts w:cs="Times New Roman" w:hint="eastAsia"/>
          <w:sz w:val="24"/>
        </w:rPr>
        <w:t>7</w:t>
      </w:r>
      <w:r>
        <w:rPr>
          <w:rFonts w:cs="Times New Roman" w:hint="eastAsia"/>
          <w:sz w:val="24"/>
        </w:rPr>
        <w:t>户孙家湾居民，桩号</w:t>
      </w:r>
      <w:r>
        <w:rPr>
          <w:rFonts w:cs="Times New Roman" w:hint="eastAsia"/>
          <w:sz w:val="24"/>
        </w:rPr>
        <w:t>A5+085.63~A5+594.41</w:t>
      </w:r>
      <w:r>
        <w:rPr>
          <w:rFonts w:cs="Times New Roman" w:hint="eastAsia"/>
          <w:sz w:val="24"/>
        </w:rPr>
        <w:t>左</w:t>
      </w:r>
      <w:r>
        <w:rPr>
          <w:rFonts w:cs="Times New Roman" w:hint="eastAsia"/>
          <w:sz w:val="24"/>
        </w:rPr>
        <w:t>/</w:t>
      </w:r>
      <w:r>
        <w:rPr>
          <w:rFonts w:cs="Times New Roman" w:hint="eastAsia"/>
          <w:sz w:val="24"/>
        </w:rPr>
        <w:t>右侧</w:t>
      </w:r>
      <w:r>
        <w:rPr>
          <w:rFonts w:cs="Times New Roman" w:hint="eastAsia"/>
          <w:sz w:val="24"/>
        </w:rPr>
        <w:t>3m~200m</w:t>
      </w:r>
      <w:r>
        <w:rPr>
          <w:rFonts w:cs="Times New Roman" w:hint="eastAsia"/>
          <w:sz w:val="24"/>
        </w:rPr>
        <w:t>范围内分散有</w:t>
      </w:r>
      <w:r>
        <w:rPr>
          <w:rFonts w:cs="Times New Roman" w:hint="eastAsia"/>
          <w:sz w:val="24"/>
        </w:rPr>
        <w:t>55</w:t>
      </w:r>
      <w:r>
        <w:rPr>
          <w:rFonts w:cs="Times New Roman" w:hint="eastAsia"/>
          <w:sz w:val="24"/>
        </w:rPr>
        <w:t>户窄口村居民，桩号</w:t>
      </w:r>
      <w:r>
        <w:rPr>
          <w:rFonts w:cs="Times New Roman" w:hint="eastAsia"/>
          <w:sz w:val="24"/>
        </w:rPr>
        <w:t>A6+072.50~A6+400.80</w:t>
      </w:r>
      <w:r>
        <w:rPr>
          <w:rFonts w:cs="Times New Roman" w:hint="eastAsia"/>
          <w:sz w:val="24"/>
        </w:rPr>
        <w:t>穿越小通江，桩号</w:t>
      </w:r>
      <w:r>
        <w:rPr>
          <w:rFonts w:cs="Times New Roman" w:hint="eastAsia"/>
          <w:sz w:val="24"/>
        </w:rPr>
        <w:t>A6+598.16~A7+353.15</w:t>
      </w:r>
      <w:r>
        <w:rPr>
          <w:rFonts w:cs="Times New Roman" w:hint="eastAsia"/>
          <w:sz w:val="24"/>
        </w:rPr>
        <w:t>左</w:t>
      </w:r>
      <w:r>
        <w:rPr>
          <w:rFonts w:cs="Times New Roman" w:hint="eastAsia"/>
          <w:sz w:val="24"/>
        </w:rPr>
        <w:t>/</w:t>
      </w:r>
      <w:r>
        <w:rPr>
          <w:rFonts w:cs="Times New Roman" w:hint="eastAsia"/>
          <w:sz w:val="24"/>
        </w:rPr>
        <w:t>右侧</w:t>
      </w:r>
      <w:r>
        <w:rPr>
          <w:rFonts w:cs="Times New Roman" w:hint="eastAsia"/>
          <w:sz w:val="24"/>
        </w:rPr>
        <w:t>8m~200m</w:t>
      </w:r>
      <w:r>
        <w:rPr>
          <w:rFonts w:cs="Times New Roman" w:hint="eastAsia"/>
          <w:sz w:val="24"/>
        </w:rPr>
        <w:t>范围内分散有</w:t>
      </w:r>
      <w:r>
        <w:rPr>
          <w:rFonts w:cs="Times New Roman" w:hint="eastAsia"/>
          <w:sz w:val="24"/>
        </w:rPr>
        <w:t>46</w:t>
      </w:r>
      <w:r>
        <w:rPr>
          <w:rFonts w:cs="Times New Roman" w:hint="eastAsia"/>
          <w:sz w:val="24"/>
        </w:rPr>
        <w:t>户何家坝居民，桩号</w:t>
      </w:r>
      <w:r>
        <w:rPr>
          <w:rFonts w:cs="Times New Roman" w:hint="eastAsia"/>
          <w:sz w:val="24"/>
        </w:rPr>
        <w:t>A7+776.12~A8+400</w:t>
      </w:r>
      <w:r>
        <w:rPr>
          <w:rFonts w:cs="Times New Roman" w:hint="eastAsia"/>
          <w:sz w:val="24"/>
        </w:rPr>
        <w:t>左</w:t>
      </w:r>
      <w:r>
        <w:rPr>
          <w:rFonts w:cs="Times New Roman" w:hint="eastAsia"/>
          <w:sz w:val="24"/>
        </w:rPr>
        <w:t>/</w:t>
      </w:r>
      <w:r>
        <w:rPr>
          <w:rFonts w:cs="Times New Roman" w:hint="eastAsia"/>
          <w:sz w:val="24"/>
        </w:rPr>
        <w:t>右侧</w:t>
      </w:r>
      <w:r>
        <w:rPr>
          <w:rFonts w:cs="Times New Roman" w:hint="eastAsia"/>
          <w:sz w:val="24"/>
        </w:rPr>
        <w:t>15m~200m</w:t>
      </w:r>
      <w:r>
        <w:rPr>
          <w:rFonts w:cs="Times New Roman" w:hint="eastAsia"/>
          <w:sz w:val="24"/>
        </w:rPr>
        <w:t>范围内分散有</w:t>
      </w:r>
      <w:r>
        <w:rPr>
          <w:rFonts w:cs="Times New Roman" w:hint="eastAsia"/>
          <w:sz w:val="24"/>
        </w:rPr>
        <w:t>26</w:t>
      </w:r>
      <w:r>
        <w:rPr>
          <w:rFonts w:cs="Times New Roman" w:hint="eastAsia"/>
          <w:sz w:val="24"/>
        </w:rPr>
        <w:t>户建营坝居民。</w:t>
      </w:r>
    </w:p>
    <w:p w14:paraId="5B2588A2" w14:textId="77777777" w:rsidR="007D1E74" w:rsidRDefault="00A95641">
      <w:pPr>
        <w:spacing w:line="360" w:lineRule="auto"/>
        <w:ind w:firstLineChars="200" w:firstLine="480"/>
        <w:contextualSpacing/>
        <w:rPr>
          <w:rFonts w:cs="Times New Roman"/>
          <w:sz w:val="24"/>
        </w:rPr>
      </w:pPr>
      <w:r>
        <w:rPr>
          <w:rFonts w:cs="Times New Roman" w:hint="eastAsia"/>
          <w:sz w:val="24"/>
        </w:rPr>
        <w:t>B</w:t>
      </w:r>
      <w:r>
        <w:rPr>
          <w:rFonts w:cs="Times New Roman" w:hint="eastAsia"/>
          <w:sz w:val="24"/>
        </w:rPr>
        <w:t>段（马</w:t>
      </w:r>
      <w:r>
        <w:rPr>
          <w:rFonts w:cs="Times New Roman" w:hint="eastAsia"/>
          <w:sz w:val="24"/>
        </w:rPr>
        <w:t>1-11</w:t>
      </w:r>
      <w:r>
        <w:rPr>
          <w:rFonts w:cs="Times New Roman" w:hint="eastAsia"/>
          <w:sz w:val="24"/>
        </w:rPr>
        <w:t>脱水井场至</w:t>
      </w:r>
      <w:r>
        <w:rPr>
          <w:rFonts w:cs="Times New Roman" w:hint="eastAsia"/>
          <w:sz w:val="24"/>
        </w:rPr>
        <w:t>4#</w:t>
      </w:r>
      <w:r>
        <w:rPr>
          <w:rFonts w:cs="Times New Roman" w:hint="eastAsia"/>
          <w:sz w:val="24"/>
        </w:rPr>
        <w:t>清管阀组集输干线）：桩号</w:t>
      </w:r>
      <w:r>
        <w:rPr>
          <w:rFonts w:cs="Times New Roman" w:hint="eastAsia"/>
          <w:sz w:val="24"/>
        </w:rPr>
        <w:t>B3+860.96~B4+087.34</w:t>
      </w:r>
      <w:r>
        <w:rPr>
          <w:rFonts w:cs="Times New Roman" w:hint="eastAsia"/>
          <w:sz w:val="24"/>
        </w:rPr>
        <w:t>左</w:t>
      </w:r>
      <w:r>
        <w:rPr>
          <w:rFonts w:cs="Times New Roman" w:hint="eastAsia"/>
          <w:sz w:val="24"/>
        </w:rPr>
        <w:t>/</w:t>
      </w:r>
      <w:r>
        <w:rPr>
          <w:rFonts w:cs="Times New Roman" w:hint="eastAsia"/>
          <w:sz w:val="24"/>
        </w:rPr>
        <w:t>右侧</w:t>
      </w:r>
      <w:r>
        <w:rPr>
          <w:rFonts w:cs="Times New Roman" w:hint="eastAsia"/>
          <w:sz w:val="24"/>
        </w:rPr>
        <w:t>7m~200m</w:t>
      </w:r>
      <w:r>
        <w:rPr>
          <w:rFonts w:cs="Times New Roman" w:hint="eastAsia"/>
          <w:sz w:val="24"/>
        </w:rPr>
        <w:t>范围内分散有</w:t>
      </w:r>
      <w:r>
        <w:rPr>
          <w:rFonts w:cs="Times New Roman" w:hint="eastAsia"/>
          <w:sz w:val="24"/>
        </w:rPr>
        <w:t>27</w:t>
      </w:r>
      <w:r>
        <w:rPr>
          <w:rFonts w:cs="Times New Roman" w:hint="eastAsia"/>
          <w:sz w:val="24"/>
        </w:rPr>
        <w:t>户瓦房湾居民，桩号</w:t>
      </w:r>
      <w:r>
        <w:rPr>
          <w:rFonts w:cs="Times New Roman" w:hint="eastAsia"/>
          <w:sz w:val="24"/>
        </w:rPr>
        <w:t>B4+567.36~B4+912.90</w:t>
      </w:r>
      <w:r>
        <w:rPr>
          <w:rFonts w:cs="Times New Roman" w:hint="eastAsia"/>
          <w:sz w:val="24"/>
        </w:rPr>
        <w:t>右侧</w:t>
      </w:r>
      <w:r>
        <w:rPr>
          <w:rFonts w:cs="Times New Roman" w:hint="eastAsia"/>
          <w:sz w:val="24"/>
        </w:rPr>
        <w:t>81m~200m</w:t>
      </w:r>
      <w:r>
        <w:rPr>
          <w:rFonts w:cs="Times New Roman" w:hint="eastAsia"/>
          <w:sz w:val="24"/>
        </w:rPr>
        <w:t>范围内分散有</w:t>
      </w:r>
      <w:r>
        <w:rPr>
          <w:rFonts w:cs="Times New Roman" w:hint="eastAsia"/>
          <w:sz w:val="24"/>
        </w:rPr>
        <w:t>16</w:t>
      </w:r>
      <w:r>
        <w:rPr>
          <w:rFonts w:cs="Times New Roman" w:hint="eastAsia"/>
          <w:sz w:val="24"/>
        </w:rPr>
        <w:t>户大石坎居民，桩号</w:t>
      </w:r>
      <w:r>
        <w:rPr>
          <w:rFonts w:cs="Times New Roman" w:hint="eastAsia"/>
          <w:sz w:val="24"/>
        </w:rPr>
        <w:t>B5+783.37~B5+964.25</w:t>
      </w:r>
      <w:r>
        <w:rPr>
          <w:rFonts w:cs="Times New Roman" w:hint="eastAsia"/>
          <w:sz w:val="24"/>
        </w:rPr>
        <w:t>右侧</w:t>
      </w:r>
      <w:r>
        <w:rPr>
          <w:rFonts w:cs="Times New Roman" w:hint="eastAsia"/>
          <w:sz w:val="24"/>
        </w:rPr>
        <w:t>28m~150m</w:t>
      </w:r>
      <w:r>
        <w:rPr>
          <w:rFonts w:cs="Times New Roman" w:hint="eastAsia"/>
          <w:sz w:val="24"/>
        </w:rPr>
        <w:t>范围内分散有</w:t>
      </w:r>
      <w:r>
        <w:rPr>
          <w:rFonts w:cs="Times New Roman" w:hint="eastAsia"/>
          <w:sz w:val="24"/>
        </w:rPr>
        <w:t>13</w:t>
      </w:r>
      <w:r>
        <w:rPr>
          <w:rFonts w:cs="Times New Roman" w:hint="eastAsia"/>
          <w:sz w:val="24"/>
        </w:rPr>
        <w:t>户北斗坪居民，桩号</w:t>
      </w:r>
      <w:r>
        <w:rPr>
          <w:rFonts w:cs="Times New Roman" w:hint="eastAsia"/>
          <w:sz w:val="24"/>
        </w:rPr>
        <w:t>B6+208.04~B7+100</w:t>
      </w:r>
      <w:r>
        <w:rPr>
          <w:rFonts w:cs="Times New Roman" w:hint="eastAsia"/>
          <w:sz w:val="24"/>
        </w:rPr>
        <w:t>左</w:t>
      </w:r>
      <w:r>
        <w:rPr>
          <w:rFonts w:cs="Times New Roman" w:hint="eastAsia"/>
          <w:sz w:val="24"/>
        </w:rPr>
        <w:t>/</w:t>
      </w:r>
      <w:r>
        <w:rPr>
          <w:rFonts w:cs="Times New Roman" w:hint="eastAsia"/>
          <w:sz w:val="24"/>
        </w:rPr>
        <w:t>右侧</w:t>
      </w:r>
      <w:r>
        <w:rPr>
          <w:rFonts w:cs="Times New Roman" w:hint="eastAsia"/>
          <w:sz w:val="24"/>
        </w:rPr>
        <w:t>8m~200m</w:t>
      </w:r>
      <w:r>
        <w:rPr>
          <w:rFonts w:cs="Times New Roman" w:hint="eastAsia"/>
          <w:sz w:val="24"/>
        </w:rPr>
        <w:t>范围内分散有</w:t>
      </w:r>
      <w:r>
        <w:rPr>
          <w:rFonts w:cs="Times New Roman" w:hint="eastAsia"/>
          <w:sz w:val="24"/>
        </w:rPr>
        <w:t>55</w:t>
      </w:r>
      <w:r>
        <w:rPr>
          <w:rFonts w:cs="Times New Roman" w:hint="eastAsia"/>
          <w:sz w:val="24"/>
        </w:rPr>
        <w:t>户张家岭居民。</w:t>
      </w:r>
    </w:p>
    <w:p w14:paraId="49F794FB" w14:textId="77777777" w:rsidR="007D1E74" w:rsidRDefault="00A95641">
      <w:pPr>
        <w:spacing w:line="360" w:lineRule="auto"/>
        <w:ind w:firstLineChars="200" w:firstLine="480"/>
        <w:contextualSpacing/>
        <w:rPr>
          <w:rFonts w:cs="Times New Roman"/>
          <w:sz w:val="24"/>
        </w:rPr>
      </w:pPr>
      <w:r>
        <w:rPr>
          <w:rFonts w:cs="Times New Roman" w:hint="eastAsia"/>
          <w:sz w:val="24"/>
        </w:rPr>
        <w:t>C</w:t>
      </w:r>
      <w:r>
        <w:rPr>
          <w:rFonts w:cs="Times New Roman" w:hint="eastAsia"/>
          <w:sz w:val="24"/>
        </w:rPr>
        <w:t>段（</w:t>
      </w:r>
      <w:r>
        <w:rPr>
          <w:rFonts w:cs="Times New Roman" w:hint="eastAsia"/>
          <w:sz w:val="24"/>
        </w:rPr>
        <w:t>4#</w:t>
      </w:r>
      <w:r>
        <w:rPr>
          <w:rFonts w:cs="Times New Roman" w:hint="eastAsia"/>
          <w:sz w:val="24"/>
        </w:rPr>
        <w:t>清管阀组至草池增压站集输干线）：桩号</w:t>
      </w:r>
      <w:r>
        <w:rPr>
          <w:rFonts w:cs="Times New Roman" w:hint="eastAsia"/>
          <w:sz w:val="24"/>
        </w:rPr>
        <w:t>C0+693.57~C0+900.75</w:t>
      </w:r>
      <w:r>
        <w:rPr>
          <w:rFonts w:cs="Times New Roman" w:hint="eastAsia"/>
          <w:sz w:val="24"/>
        </w:rPr>
        <w:t>右侧</w:t>
      </w:r>
      <w:r>
        <w:rPr>
          <w:rFonts w:cs="Times New Roman" w:hint="eastAsia"/>
          <w:sz w:val="24"/>
        </w:rPr>
        <w:t>17m~177m</w:t>
      </w:r>
      <w:r>
        <w:rPr>
          <w:rFonts w:cs="Times New Roman" w:hint="eastAsia"/>
          <w:sz w:val="24"/>
        </w:rPr>
        <w:t>范围内分散有</w:t>
      </w:r>
      <w:r>
        <w:rPr>
          <w:rFonts w:cs="Times New Roman" w:hint="eastAsia"/>
          <w:sz w:val="24"/>
        </w:rPr>
        <w:t>17</w:t>
      </w:r>
      <w:r>
        <w:rPr>
          <w:rFonts w:cs="Times New Roman" w:hint="eastAsia"/>
          <w:sz w:val="24"/>
        </w:rPr>
        <w:t>户漩涡潭居民；桩号</w:t>
      </w:r>
      <w:r>
        <w:rPr>
          <w:rFonts w:cs="Times New Roman" w:hint="eastAsia"/>
          <w:sz w:val="24"/>
        </w:rPr>
        <w:t>C2+797.64</w:t>
      </w:r>
      <w:r>
        <w:rPr>
          <w:rFonts w:cs="Times New Roman" w:hint="eastAsia"/>
          <w:sz w:val="24"/>
        </w:rPr>
        <w:t>左</w:t>
      </w:r>
      <w:r>
        <w:rPr>
          <w:rFonts w:cs="Times New Roman" w:hint="eastAsia"/>
          <w:sz w:val="24"/>
        </w:rPr>
        <w:t>/</w:t>
      </w:r>
      <w:r>
        <w:rPr>
          <w:rFonts w:cs="Times New Roman" w:hint="eastAsia"/>
          <w:sz w:val="24"/>
        </w:rPr>
        <w:t>右侧</w:t>
      </w:r>
      <w:r>
        <w:rPr>
          <w:rFonts w:cs="Times New Roman" w:hint="eastAsia"/>
          <w:sz w:val="24"/>
        </w:rPr>
        <w:t>24m~180m</w:t>
      </w:r>
      <w:r>
        <w:rPr>
          <w:rFonts w:cs="Times New Roman" w:hint="eastAsia"/>
          <w:sz w:val="24"/>
        </w:rPr>
        <w:t>范围内分散有</w:t>
      </w:r>
      <w:r>
        <w:rPr>
          <w:rFonts w:cs="Times New Roman" w:hint="eastAsia"/>
          <w:sz w:val="24"/>
        </w:rPr>
        <w:t>10</w:t>
      </w:r>
      <w:r>
        <w:rPr>
          <w:rFonts w:cs="Times New Roman" w:hint="eastAsia"/>
          <w:sz w:val="24"/>
        </w:rPr>
        <w:t>户白沙坝居民，桩号</w:t>
      </w:r>
      <w:r>
        <w:rPr>
          <w:rFonts w:cs="Times New Roman" w:hint="eastAsia"/>
          <w:sz w:val="24"/>
        </w:rPr>
        <w:t>C3+767.02~C4+053.27</w:t>
      </w:r>
      <w:r>
        <w:rPr>
          <w:rFonts w:cs="Times New Roman" w:hint="eastAsia"/>
          <w:sz w:val="24"/>
        </w:rPr>
        <w:t>右侧</w:t>
      </w:r>
      <w:r>
        <w:rPr>
          <w:rFonts w:cs="Times New Roman" w:hint="eastAsia"/>
          <w:sz w:val="24"/>
        </w:rPr>
        <w:t>17m~109m</w:t>
      </w:r>
      <w:r>
        <w:rPr>
          <w:rFonts w:cs="Times New Roman" w:hint="eastAsia"/>
          <w:sz w:val="24"/>
        </w:rPr>
        <w:t>范围内分散有</w:t>
      </w:r>
      <w:r>
        <w:rPr>
          <w:rFonts w:cs="Times New Roman" w:hint="eastAsia"/>
          <w:sz w:val="24"/>
        </w:rPr>
        <w:t>13</w:t>
      </w:r>
      <w:r>
        <w:rPr>
          <w:rFonts w:cs="Times New Roman" w:hint="eastAsia"/>
          <w:sz w:val="24"/>
        </w:rPr>
        <w:t>户水洗坝居民，桩号</w:t>
      </w:r>
      <w:r>
        <w:rPr>
          <w:rFonts w:cs="Times New Roman" w:hint="eastAsia"/>
          <w:sz w:val="24"/>
        </w:rPr>
        <w:t>C6+469.11~C6+573.63</w:t>
      </w:r>
      <w:r>
        <w:rPr>
          <w:rFonts w:cs="Times New Roman" w:hint="eastAsia"/>
          <w:sz w:val="24"/>
        </w:rPr>
        <w:t>左</w:t>
      </w:r>
      <w:r>
        <w:rPr>
          <w:rFonts w:cs="Times New Roman" w:hint="eastAsia"/>
          <w:sz w:val="24"/>
        </w:rPr>
        <w:t>/</w:t>
      </w:r>
      <w:r>
        <w:rPr>
          <w:rFonts w:cs="Times New Roman" w:hint="eastAsia"/>
          <w:sz w:val="24"/>
        </w:rPr>
        <w:t>右侧</w:t>
      </w:r>
      <w:r>
        <w:rPr>
          <w:rFonts w:cs="Times New Roman" w:hint="eastAsia"/>
          <w:sz w:val="24"/>
        </w:rPr>
        <w:t>34m~194m</w:t>
      </w:r>
      <w:r>
        <w:rPr>
          <w:rFonts w:cs="Times New Roman" w:hint="eastAsia"/>
          <w:sz w:val="24"/>
        </w:rPr>
        <w:t>范围内分散有</w:t>
      </w:r>
      <w:r>
        <w:rPr>
          <w:rFonts w:cs="Times New Roman" w:hint="eastAsia"/>
          <w:sz w:val="24"/>
        </w:rPr>
        <w:t>21</w:t>
      </w:r>
      <w:r>
        <w:rPr>
          <w:rFonts w:cs="Times New Roman" w:hint="eastAsia"/>
          <w:sz w:val="24"/>
        </w:rPr>
        <w:t>户关路潭居民，桩号</w:t>
      </w:r>
      <w:r>
        <w:rPr>
          <w:rFonts w:cs="Times New Roman" w:hint="eastAsia"/>
          <w:sz w:val="24"/>
        </w:rPr>
        <w:t>C10+057.31~C10+510.75</w:t>
      </w:r>
      <w:r>
        <w:rPr>
          <w:rFonts w:cs="Times New Roman" w:hint="eastAsia"/>
          <w:sz w:val="24"/>
        </w:rPr>
        <w:t>左</w:t>
      </w:r>
      <w:r>
        <w:rPr>
          <w:rFonts w:cs="Times New Roman" w:hint="eastAsia"/>
          <w:sz w:val="24"/>
        </w:rPr>
        <w:t>/</w:t>
      </w:r>
      <w:r>
        <w:rPr>
          <w:rFonts w:cs="Times New Roman" w:hint="eastAsia"/>
          <w:sz w:val="24"/>
        </w:rPr>
        <w:t>右侧</w:t>
      </w:r>
      <w:r>
        <w:rPr>
          <w:rFonts w:cs="Times New Roman" w:hint="eastAsia"/>
          <w:sz w:val="24"/>
        </w:rPr>
        <w:t>35m~200m</w:t>
      </w:r>
      <w:r>
        <w:rPr>
          <w:rFonts w:cs="Times New Roman" w:hint="eastAsia"/>
          <w:sz w:val="24"/>
        </w:rPr>
        <w:t>范围内分散有</w:t>
      </w:r>
      <w:r>
        <w:rPr>
          <w:rFonts w:cs="Times New Roman" w:hint="eastAsia"/>
          <w:sz w:val="24"/>
        </w:rPr>
        <w:t>9</w:t>
      </w:r>
      <w:r>
        <w:rPr>
          <w:rFonts w:cs="Times New Roman" w:hint="eastAsia"/>
          <w:sz w:val="24"/>
        </w:rPr>
        <w:t>户玉皇庙居民，桩号</w:t>
      </w:r>
      <w:r>
        <w:rPr>
          <w:rFonts w:cs="Times New Roman" w:hint="eastAsia"/>
          <w:sz w:val="24"/>
        </w:rPr>
        <w:t>C12+173.41</w:t>
      </w:r>
      <w:r>
        <w:rPr>
          <w:rFonts w:cs="Times New Roman" w:hint="eastAsia"/>
          <w:sz w:val="24"/>
        </w:rPr>
        <w:t>左</w:t>
      </w:r>
      <w:r>
        <w:rPr>
          <w:rFonts w:cs="Times New Roman" w:hint="eastAsia"/>
          <w:sz w:val="24"/>
        </w:rPr>
        <w:t>/</w:t>
      </w:r>
      <w:r>
        <w:rPr>
          <w:rFonts w:cs="Times New Roman" w:hint="eastAsia"/>
          <w:sz w:val="24"/>
        </w:rPr>
        <w:t>右侧</w:t>
      </w:r>
      <w:r>
        <w:rPr>
          <w:rFonts w:cs="Times New Roman" w:hint="eastAsia"/>
          <w:sz w:val="24"/>
        </w:rPr>
        <w:t>125m~183m</w:t>
      </w:r>
      <w:r>
        <w:rPr>
          <w:rFonts w:cs="Times New Roman" w:hint="eastAsia"/>
          <w:sz w:val="24"/>
        </w:rPr>
        <w:t>范围内分散有</w:t>
      </w:r>
      <w:r>
        <w:rPr>
          <w:rFonts w:cs="Times New Roman" w:hint="eastAsia"/>
          <w:sz w:val="24"/>
        </w:rPr>
        <w:t>3</w:t>
      </w:r>
      <w:r>
        <w:rPr>
          <w:rFonts w:cs="Times New Roman" w:hint="eastAsia"/>
          <w:sz w:val="24"/>
        </w:rPr>
        <w:t>户后槽湾居民，桩号</w:t>
      </w:r>
      <w:r>
        <w:rPr>
          <w:rFonts w:cs="Times New Roman" w:hint="eastAsia"/>
          <w:sz w:val="24"/>
        </w:rPr>
        <w:t>C12+781.30~C13+160.92</w:t>
      </w:r>
      <w:r>
        <w:rPr>
          <w:rFonts w:cs="Times New Roman" w:hint="eastAsia"/>
          <w:sz w:val="24"/>
        </w:rPr>
        <w:t>左</w:t>
      </w:r>
      <w:r>
        <w:rPr>
          <w:rFonts w:cs="Times New Roman" w:hint="eastAsia"/>
          <w:sz w:val="24"/>
        </w:rPr>
        <w:t>/</w:t>
      </w:r>
      <w:r>
        <w:rPr>
          <w:rFonts w:cs="Times New Roman" w:hint="eastAsia"/>
          <w:sz w:val="24"/>
        </w:rPr>
        <w:t>右侧</w:t>
      </w:r>
      <w:r>
        <w:rPr>
          <w:rFonts w:cs="Times New Roman" w:hint="eastAsia"/>
          <w:sz w:val="24"/>
        </w:rPr>
        <w:t>15m~155m</w:t>
      </w:r>
      <w:r>
        <w:rPr>
          <w:rFonts w:cs="Times New Roman" w:hint="eastAsia"/>
          <w:sz w:val="24"/>
        </w:rPr>
        <w:t>范围内分散有</w:t>
      </w:r>
      <w:r>
        <w:rPr>
          <w:rFonts w:cs="Times New Roman" w:hint="eastAsia"/>
          <w:sz w:val="24"/>
        </w:rPr>
        <w:t>15</w:t>
      </w:r>
      <w:r>
        <w:rPr>
          <w:rFonts w:cs="Times New Roman" w:hint="eastAsia"/>
          <w:sz w:val="24"/>
        </w:rPr>
        <w:t>户马家院居民，桩号</w:t>
      </w:r>
      <w:r>
        <w:rPr>
          <w:rFonts w:cs="Times New Roman" w:hint="eastAsia"/>
          <w:sz w:val="24"/>
        </w:rPr>
        <w:t>C13+331.74~C14+300</w:t>
      </w:r>
      <w:r>
        <w:rPr>
          <w:rFonts w:cs="Times New Roman" w:hint="eastAsia"/>
          <w:sz w:val="24"/>
        </w:rPr>
        <w:t>左侧</w:t>
      </w:r>
      <w:r>
        <w:rPr>
          <w:rFonts w:cs="Times New Roman" w:hint="eastAsia"/>
          <w:sz w:val="24"/>
        </w:rPr>
        <w:t>27m~200m</w:t>
      </w:r>
      <w:r>
        <w:rPr>
          <w:rFonts w:cs="Times New Roman" w:hint="eastAsia"/>
          <w:sz w:val="24"/>
        </w:rPr>
        <w:t>范围内分散有</w:t>
      </w:r>
      <w:r>
        <w:rPr>
          <w:rFonts w:cs="Times New Roman" w:hint="eastAsia"/>
          <w:sz w:val="24"/>
        </w:rPr>
        <w:t>65</w:t>
      </w:r>
      <w:r>
        <w:rPr>
          <w:rFonts w:cs="Times New Roman" w:hint="eastAsia"/>
          <w:sz w:val="24"/>
        </w:rPr>
        <w:t>户草池乡居民。</w:t>
      </w:r>
    </w:p>
    <w:p w14:paraId="3A1B2AC4" w14:textId="77777777" w:rsidR="007D1E74" w:rsidRDefault="00A95641">
      <w:pPr>
        <w:spacing w:line="360" w:lineRule="auto"/>
        <w:ind w:firstLineChars="200" w:firstLine="480"/>
        <w:contextualSpacing/>
        <w:rPr>
          <w:rFonts w:cs="Times New Roman"/>
          <w:sz w:val="24"/>
        </w:rPr>
      </w:pPr>
      <w:r>
        <w:rPr>
          <w:rFonts w:cs="Times New Roman" w:hint="eastAsia"/>
          <w:sz w:val="24"/>
        </w:rPr>
        <w:t>D</w:t>
      </w:r>
      <w:r>
        <w:rPr>
          <w:rFonts w:cs="Times New Roman" w:hint="eastAsia"/>
          <w:sz w:val="24"/>
        </w:rPr>
        <w:t>段（马</w:t>
      </w:r>
      <w:r>
        <w:rPr>
          <w:rFonts w:cs="Times New Roman" w:hint="eastAsia"/>
          <w:sz w:val="24"/>
        </w:rPr>
        <w:t>1-13H</w:t>
      </w:r>
      <w:r>
        <w:rPr>
          <w:rFonts w:cs="Times New Roman" w:hint="eastAsia"/>
          <w:sz w:val="24"/>
        </w:rPr>
        <w:t>采气井场至干线集气支线）：桩号</w:t>
      </w:r>
      <w:r>
        <w:rPr>
          <w:rFonts w:cs="Times New Roman" w:hint="eastAsia"/>
          <w:sz w:val="24"/>
        </w:rPr>
        <w:t>D0+000</w:t>
      </w:r>
      <w:r>
        <w:rPr>
          <w:rFonts w:cs="Times New Roman" w:hint="eastAsia"/>
          <w:sz w:val="24"/>
        </w:rPr>
        <w:t>左侧</w:t>
      </w:r>
      <w:r>
        <w:rPr>
          <w:rFonts w:cs="Times New Roman" w:hint="eastAsia"/>
          <w:sz w:val="24"/>
        </w:rPr>
        <w:t>112m~169m</w:t>
      </w:r>
      <w:r>
        <w:rPr>
          <w:rFonts w:cs="Times New Roman" w:hint="eastAsia"/>
          <w:sz w:val="24"/>
        </w:rPr>
        <w:t>范围内分散有</w:t>
      </w:r>
      <w:r>
        <w:rPr>
          <w:rFonts w:cs="Times New Roman" w:hint="eastAsia"/>
          <w:sz w:val="24"/>
        </w:rPr>
        <w:t>5</w:t>
      </w:r>
      <w:r>
        <w:rPr>
          <w:rFonts w:cs="Times New Roman" w:hint="eastAsia"/>
          <w:sz w:val="24"/>
        </w:rPr>
        <w:t>户桔子坝居民，桩号</w:t>
      </w:r>
      <w:r>
        <w:rPr>
          <w:rFonts w:cs="Times New Roman" w:hint="eastAsia"/>
          <w:sz w:val="24"/>
        </w:rPr>
        <w:t>D0+035.25~D0+324.39</w:t>
      </w:r>
      <w:r>
        <w:rPr>
          <w:rFonts w:cs="Times New Roman" w:hint="eastAsia"/>
          <w:sz w:val="24"/>
        </w:rPr>
        <w:t>处穿越小通江，桩号</w:t>
      </w:r>
      <w:r>
        <w:rPr>
          <w:rFonts w:cs="Times New Roman" w:hint="eastAsia"/>
          <w:sz w:val="24"/>
        </w:rPr>
        <w:lastRenderedPageBreak/>
        <w:t>D0+329.60~D0+740.01</w:t>
      </w:r>
      <w:r>
        <w:rPr>
          <w:rFonts w:cs="Times New Roman" w:hint="eastAsia"/>
          <w:sz w:val="24"/>
        </w:rPr>
        <w:t>左侧</w:t>
      </w:r>
      <w:r>
        <w:rPr>
          <w:rFonts w:cs="Times New Roman" w:hint="eastAsia"/>
          <w:sz w:val="24"/>
        </w:rPr>
        <w:t>28m~83m</w:t>
      </w:r>
      <w:r>
        <w:rPr>
          <w:rFonts w:cs="Times New Roman" w:hint="eastAsia"/>
          <w:sz w:val="24"/>
        </w:rPr>
        <w:t>范围内分散有</w:t>
      </w:r>
      <w:r>
        <w:rPr>
          <w:rFonts w:cs="Times New Roman" w:hint="eastAsia"/>
          <w:sz w:val="24"/>
        </w:rPr>
        <w:t>17</w:t>
      </w:r>
      <w:r>
        <w:rPr>
          <w:rFonts w:cs="Times New Roman" w:hint="eastAsia"/>
          <w:sz w:val="24"/>
        </w:rPr>
        <w:t>户矮子坪居民，桩号</w:t>
      </w:r>
      <w:r>
        <w:rPr>
          <w:rFonts w:cs="Times New Roman" w:hint="eastAsia"/>
          <w:sz w:val="24"/>
        </w:rPr>
        <w:t>D0+740.01~D0+890.26</w:t>
      </w:r>
      <w:r>
        <w:rPr>
          <w:rFonts w:cs="Times New Roman" w:hint="eastAsia"/>
          <w:sz w:val="24"/>
        </w:rPr>
        <w:t>右侧</w:t>
      </w:r>
      <w:r>
        <w:rPr>
          <w:rFonts w:cs="Times New Roman" w:hint="eastAsia"/>
          <w:sz w:val="24"/>
        </w:rPr>
        <w:t>68m~200m</w:t>
      </w:r>
      <w:r>
        <w:rPr>
          <w:rFonts w:cs="Times New Roman" w:hint="eastAsia"/>
          <w:sz w:val="24"/>
        </w:rPr>
        <w:t>范围内分散有</w:t>
      </w:r>
      <w:r>
        <w:rPr>
          <w:rFonts w:cs="Times New Roman" w:hint="eastAsia"/>
          <w:sz w:val="24"/>
        </w:rPr>
        <w:t>13</w:t>
      </w:r>
      <w:r>
        <w:rPr>
          <w:rFonts w:cs="Times New Roman" w:hint="eastAsia"/>
          <w:sz w:val="24"/>
        </w:rPr>
        <w:t>户包湾里居民。</w:t>
      </w:r>
    </w:p>
    <w:p w14:paraId="3F4462EA" w14:textId="77777777" w:rsidR="007D1E74" w:rsidRDefault="00A95641">
      <w:pPr>
        <w:spacing w:line="360" w:lineRule="auto"/>
        <w:ind w:firstLineChars="200" w:firstLine="480"/>
        <w:contextualSpacing/>
        <w:rPr>
          <w:rFonts w:cs="Times New Roman"/>
          <w:sz w:val="24"/>
        </w:rPr>
      </w:pPr>
      <w:r>
        <w:rPr>
          <w:rFonts w:cs="Times New Roman" w:hint="eastAsia"/>
          <w:sz w:val="24"/>
        </w:rPr>
        <w:t>E</w:t>
      </w:r>
      <w:r>
        <w:rPr>
          <w:rFonts w:cs="Times New Roman" w:hint="eastAsia"/>
          <w:sz w:val="24"/>
        </w:rPr>
        <w:t>段（马</w:t>
      </w:r>
      <w:r>
        <w:rPr>
          <w:rFonts w:cs="Times New Roman" w:hint="eastAsia"/>
          <w:sz w:val="24"/>
        </w:rPr>
        <w:t>1-10H</w:t>
      </w:r>
      <w:r>
        <w:rPr>
          <w:rFonts w:cs="Times New Roman" w:hint="eastAsia"/>
          <w:sz w:val="24"/>
        </w:rPr>
        <w:t>采气井场至马</w:t>
      </w:r>
      <w:r>
        <w:rPr>
          <w:rFonts w:cs="Times New Roman" w:hint="eastAsia"/>
          <w:sz w:val="24"/>
        </w:rPr>
        <w:t>1-1</w:t>
      </w:r>
      <w:r>
        <w:rPr>
          <w:rFonts w:cs="Times New Roman" w:hint="eastAsia"/>
          <w:sz w:val="24"/>
        </w:rPr>
        <w:t>集气支线）：桩号</w:t>
      </w:r>
      <w:r>
        <w:rPr>
          <w:rFonts w:cs="Times New Roman" w:hint="eastAsia"/>
          <w:sz w:val="24"/>
        </w:rPr>
        <w:t>E1+432.05~E2+012.17</w:t>
      </w:r>
      <w:r>
        <w:rPr>
          <w:rFonts w:cs="Times New Roman" w:hint="eastAsia"/>
          <w:sz w:val="24"/>
        </w:rPr>
        <w:t>左</w:t>
      </w:r>
      <w:r>
        <w:rPr>
          <w:rFonts w:cs="Times New Roman" w:hint="eastAsia"/>
          <w:sz w:val="24"/>
        </w:rPr>
        <w:t>/</w:t>
      </w:r>
      <w:r>
        <w:rPr>
          <w:rFonts w:cs="Times New Roman" w:hint="eastAsia"/>
          <w:sz w:val="24"/>
        </w:rPr>
        <w:t>右侧</w:t>
      </w:r>
      <w:r>
        <w:rPr>
          <w:rFonts w:cs="Times New Roman" w:hint="eastAsia"/>
          <w:sz w:val="24"/>
        </w:rPr>
        <w:t>10m~190m</w:t>
      </w:r>
      <w:r>
        <w:rPr>
          <w:rFonts w:cs="Times New Roman" w:hint="eastAsia"/>
          <w:sz w:val="24"/>
        </w:rPr>
        <w:t>范围内分散有</w:t>
      </w:r>
      <w:r>
        <w:rPr>
          <w:rFonts w:cs="Times New Roman" w:hint="eastAsia"/>
          <w:sz w:val="24"/>
        </w:rPr>
        <w:t>17</w:t>
      </w:r>
      <w:r>
        <w:rPr>
          <w:rFonts w:cs="Times New Roman" w:hint="eastAsia"/>
          <w:sz w:val="24"/>
        </w:rPr>
        <w:t>户红岩村居民，桩号</w:t>
      </w:r>
      <w:r>
        <w:rPr>
          <w:rFonts w:cs="Times New Roman" w:hint="eastAsia"/>
          <w:sz w:val="24"/>
        </w:rPr>
        <w:t>E2+365.45~E2+610.39</w:t>
      </w:r>
      <w:r>
        <w:rPr>
          <w:rFonts w:cs="Times New Roman" w:hint="eastAsia"/>
          <w:sz w:val="24"/>
        </w:rPr>
        <w:t>右侧</w:t>
      </w:r>
      <w:r>
        <w:rPr>
          <w:rFonts w:cs="Times New Roman" w:hint="eastAsia"/>
          <w:sz w:val="24"/>
        </w:rPr>
        <w:t>115m~194m</w:t>
      </w:r>
      <w:r>
        <w:rPr>
          <w:rFonts w:cs="Times New Roman" w:hint="eastAsia"/>
          <w:sz w:val="24"/>
        </w:rPr>
        <w:t>范围内分散有</w:t>
      </w:r>
      <w:r>
        <w:rPr>
          <w:rFonts w:cs="Times New Roman" w:hint="eastAsia"/>
          <w:sz w:val="24"/>
        </w:rPr>
        <w:t>3</w:t>
      </w:r>
      <w:r>
        <w:rPr>
          <w:rFonts w:cs="Times New Roman" w:hint="eastAsia"/>
          <w:sz w:val="24"/>
        </w:rPr>
        <w:t>户风岭坡居民。</w:t>
      </w:r>
    </w:p>
    <w:p w14:paraId="3D939050" w14:textId="77777777" w:rsidR="007D1E74" w:rsidRDefault="00A95641">
      <w:pPr>
        <w:spacing w:line="360" w:lineRule="auto"/>
        <w:ind w:firstLineChars="200" w:firstLine="480"/>
        <w:contextualSpacing/>
        <w:rPr>
          <w:rFonts w:cs="Times New Roman"/>
          <w:sz w:val="24"/>
        </w:rPr>
      </w:pPr>
      <w:r>
        <w:rPr>
          <w:rFonts w:cs="Times New Roman" w:hint="eastAsia"/>
          <w:sz w:val="24"/>
        </w:rPr>
        <w:t>F</w:t>
      </w:r>
      <w:r>
        <w:rPr>
          <w:rFonts w:cs="Times New Roman" w:hint="eastAsia"/>
          <w:sz w:val="24"/>
        </w:rPr>
        <w:t>段（马</w:t>
      </w:r>
      <w:r>
        <w:rPr>
          <w:rFonts w:cs="Times New Roman" w:hint="eastAsia"/>
          <w:sz w:val="24"/>
        </w:rPr>
        <w:t>1-1</w:t>
      </w:r>
      <w:r>
        <w:rPr>
          <w:rFonts w:cs="Times New Roman" w:hint="eastAsia"/>
          <w:sz w:val="24"/>
        </w:rPr>
        <w:t>采气井场至干线集气支线）：该管线沿线</w:t>
      </w:r>
      <w:r>
        <w:rPr>
          <w:rFonts w:cs="Times New Roman" w:hint="eastAsia"/>
          <w:sz w:val="24"/>
        </w:rPr>
        <w:t>200m</w:t>
      </w:r>
      <w:r>
        <w:rPr>
          <w:rFonts w:cs="Times New Roman" w:hint="eastAsia"/>
          <w:sz w:val="24"/>
        </w:rPr>
        <w:t>范围内无居民、学校、医院等敏感点。</w:t>
      </w:r>
    </w:p>
    <w:p w14:paraId="611416B7" w14:textId="77777777" w:rsidR="007D1E74" w:rsidRDefault="00A95641">
      <w:pPr>
        <w:spacing w:line="360" w:lineRule="auto"/>
        <w:ind w:firstLineChars="200" w:firstLine="480"/>
        <w:contextualSpacing/>
        <w:rPr>
          <w:rFonts w:cs="Times New Roman"/>
          <w:sz w:val="24"/>
        </w:rPr>
      </w:pPr>
      <w:r>
        <w:rPr>
          <w:rFonts w:cs="Times New Roman" w:hint="eastAsia"/>
          <w:sz w:val="24"/>
        </w:rPr>
        <w:t>G</w:t>
      </w:r>
      <w:r>
        <w:rPr>
          <w:rFonts w:cs="Times New Roman" w:hint="eastAsia"/>
          <w:sz w:val="24"/>
        </w:rPr>
        <w:t>段（马</w:t>
      </w:r>
      <w:r>
        <w:rPr>
          <w:rFonts w:cs="Times New Roman" w:hint="eastAsia"/>
          <w:sz w:val="24"/>
        </w:rPr>
        <w:t>1-12H</w:t>
      </w:r>
      <w:r>
        <w:rPr>
          <w:rFonts w:cs="Times New Roman" w:hint="eastAsia"/>
          <w:sz w:val="24"/>
        </w:rPr>
        <w:t>采气井场至干线集气支线）：桩号</w:t>
      </w:r>
      <w:r>
        <w:rPr>
          <w:rFonts w:cs="Times New Roman" w:hint="eastAsia"/>
          <w:sz w:val="24"/>
        </w:rPr>
        <w:t>G0+931~G1+314</w:t>
      </w:r>
      <w:r>
        <w:rPr>
          <w:rFonts w:cs="Times New Roman" w:hint="eastAsia"/>
          <w:sz w:val="24"/>
        </w:rPr>
        <w:t>处穿越小通江，桩号</w:t>
      </w:r>
      <w:r>
        <w:rPr>
          <w:rFonts w:cs="Times New Roman" w:hint="eastAsia"/>
          <w:sz w:val="24"/>
        </w:rPr>
        <w:t>G0+528.66~G0+937.56</w:t>
      </w:r>
      <w:r>
        <w:rPr>
          <w:rFonts w:cs="Times New Roman" w:hint="eastAsia"/>
          <w:sz w:val="24"/>
        </w:rPr>
        <w:t>左</w:t>
      </w:r>
      <w:r>
        <w:rPr>
          <w:rFonts w:cs="Times New Roman" w:hint="eastAsia"/>
          <w:sz w:val="24"/>
        </w:rPr>
        <w:t>/</w:t>
      </w:r>
      <w:r>
        <w:rPr>
          <w:rFonts w:cs="Times New Roman" w:hint="eastAsia"/>
          <w:sz w:val="24"/>
        </w:rPr>
        <w:t>右侧</w:t>
      </w:r>
      <w:r>
        <w:rPr>
          <w:rFonts w:cs="Times New Roman" w:hint="eastAsia"/>
          <w:sz w:val="24"/>
        </w:rPr>
        <w:t>9m~200m</w:t>
      </w:r>
      <w:r>
        <w:rPr>
          <w:rFonts w:cs="Times New Roman" w:hint="eastAsia"/>
          <w:sz w:val="24"/>
        </w:rPr>
        <w:t>范围内分散有</w:t>
      </w:r>
      <w:r>
        <w:rPr>
          <w:rFonts w:cs="Times New Roman" w:hint="eastAsia"/>
          <w:sz w:val="24"/>
        </w:rPr>
        <w:t>25</w:t>
      </w:r>
      <w:r>
        <w:rPr>
          <w:rFonts w:cs="Times New Roman" w:hint="eastAsia"/>
          <w:sz w:val="24"/>
        </w:rPr>
        <w:t>户巴州沟村居民。</w:t>
      </w:r>
    </w:p>
    <w:p w14:paraId="5AB85986" w14:textId="77777777" w:rsidR="007D1E74" w:rsidRDefault="00A95641">
      <w:pPr>
        <w:spacing w:line="360" w:lineRule="auto"/>
        <w:ind w:firstLineChars="200" w:firstLine="480"/>
        <w:contextualSpacing/>
        <w:rPr>
          <w:sz w:val="24"/>
        </w:rPr>
      </w:pPr>
      <w:r>
        <w:rPr>
          <w:rFonts w:cs="Times New Roman" w:hint="eastAsia"/>
          <w:sz w:val="24"/>
        </w:rPr>
        <w:t>马</w:t>
      </w:r>
      <w:r>
        <w:rPr>
          <w:rFonts w:cs="Times New Roman" w:hint="eastAsia"/>
          <w:sz w:val="24"/>
        </w:rPr>
        <w:t>1-11</w:t>
      </w:r>
      <w:r>
        <w:rPr>
          <w:rFonts w:cs="Times New Roman" w:hint="eastAsia"/>
          <w:sz w:val="24"/>
        </w:rPr>
        <w:t>脱水井场至</w:t>
      </w:r>
      <w:r>
        <w:rPr>
          <w:rFonts w:cs="Times New Roman" w:hint="eastAsia"/>
          <w:sz w:val="24"/>
        </w:rPr>
        <w:t>4#</w:t>
      </w:r>
      <w:r>
        <w:rPr>
          <w:rFonts w:cs="Times New Roman" w:hint="eastAsia"/>
          <w:sz w:val="24"/>
        </w:rPr>
        <w:t>清管阀组集输干线</w:t>
      </w:r>
      <w:r>
        <w:rPr>
          <w:rFonts w:hint="eastAsia"/>
          <w:sz w:val="24"/>
        </w:rPr>
        <w:t>和</w:t>
      </w:r>
      <w:r>
        <w:rPr>
          <w:rFonts w:cs="Times New Roman" w:hint="eastAsia"/>
          <w:sz w:val="24"/>
        </w:rPr>
        <w:t>马</w:t>
      </w:r>
      <w:r>
        <w:rPr>
          <w:rFonts w:cs="Times New Roman" w:hint="eastAsia"/>
          <w:sz w:val="24"/>
        </w:rPr>
        <w:t>1-10H</w:t>
      </w:r>
      <w:r>
        <w:rPr>
          <w:rFonts w:cs="Times New Roman" w:hint="eastAsia"/>
          <w:sz w:val="24"/>
        </w:rPr>
        <w:t>采气井场至马</w:t>
      </w:r>
      <w:r>
        <w:rPr>
          <w:rFonts w:cs="Times New Roman" w:hint="eastAsia"/>
          <w:sz w:val="24"/>
        </w:rPr>
        <w:t>1-1</w:t>
      </w:r>
      <w:r>
        <w:rPr>
          <w:rFonts w:cs="Times New Roman" w:hint="eastAsia"/>
          <w:sz w:val="24"/>
        </w:rPr>
        <w:t>集气支线各</w:t>
      </w:r>
      <w:r>
        <w:rPr>
          <w:rFonts w:hint="eastAsia"/>
          <w:sz w:val="24"/>
        </w:rPr>
        <w:t>穿越了新场镇饮用水源保护区二级保护区（陆域）</w:t>
      </w:r>
      <w:r>
        <w:rPr>
          <w:sz w:val="24"/>
        </w:rPr>
        <w:t>1</w:t>
      </w:r>
      <w:r>
        <w:rPr>
          <w:rFonts w:hint="eastAsia"/>
          <w:sz w:val="24"/>
        </w:rPr>
        <w:t>次，</w:t>
      </w:r>
      <w:r>
        <w:rPr>
          <w:rFonts w:cs="Times New Roman" w:hint="eastAsia"/>
          <w:sz w:val="24"/>
        </w:rPr>
        <w:t>4#</w:t>
      </w:r>
      <w:r>
        <w:rPr>
          <w:rFonts w:cs="Times New Roman" w:hint="eastAsia"/>
          <w:sz w:val="24"/>
        </w:rPr>
        <w:t>清管阀组至草池增压站集输干线穿越了</w:t>
      </w:r>
      <w:r>
        <w:rPr>
          <w:rFonts w:hint="eastAsia"/>
          <w:sz w:val="24"/>
        </w:rPr>
        <w:t>涪阳镇饮用水源保护区二级保护区（陆域）</w:t>
      </w:r>
      <w:r>
        <w:rPr>
          <w:sz w:val="24"/>
        </w:rPr>
        <w:t>1</w:t>
      </w:r>
      <w:r>
        <w:rPr>
          <w:rFonts w:hint="eastAsia"/>
          <w:sz w:val="24"/>
        </w:rPr>
        <w:t>次。</w:t>
      </w:r>
    </w:p>
    <w:p w14:paraId="6D4F4ADC" w14:textId="77777777" w:rsidR="007D1E74" w:rsidRDefault="00A95641">
      <w:pPr>
        <w:spacing w:line="360" w:lineRule="auto"/>
        <w:ind w:firstLineChars="200" w:firstLine="480"/>
        <w:contextualSpacing/>
        <w:rPr>
          <w:sz w:val="24"/>
        </w:rPr>
      </w:pPr>
      <w:r>
        <w:rPr>
          <w:rFonts w:cs="Times New Roman" w:hint="eastAsia"/>
          <w:sz w:val="24"/>
        </w:rPr>
        <w:t>综上所述，</w:t>
      </w:r>
      <w:r>
        <w:rPr>
          <w:rFonts w:cs="Times New Roman"/>
          <w:sz w:val="24"/>
        </w:rPr>
        <w:t>项目</w:t>
      </w:r>
      <w:r>
        <w:rPr>
          <w:rFonts w:cs="Times New Roman" w:hint="eastAsia"/>
          <w:sz w:val="24"/>
        </w:rPr>
        <w:t>穿越了四川诺水河珍稀水生动物国家级自然保护区小通江（定向钻）、</w:t>
      </w:r>
      <w:r>
        <w:rPr>
          <w:rFonts w:hint="eastAsia"/>
          <w:sz w:val="24"/>
        </w:rPr>
        <w:t>新场镇饮用水源保护区二级保护区（陆域）</w:t>
      </w:r>
      <w:r>
        <w:rPr>
          <w:rFonts w:cs="Times New Roman" w:hint="eastAsia"/>
          <w:sz w:val="24"/>
        </w:rPr>
        <w:t>和</w:t>
      </w:r>
      <w:r>
        <w:rPr>
          <w:rFonts w:hint="eastAsia"/>
          <w:sz w:val="24"/>
        </w:rPr>
        <w:t>涪阳镇饮用水源保护区二级保护区（陆域），本项目对水生生态和陆生生态进行了详细评价，并提出了相应的生态保护措施，在严格按照本项目提出的防治措施的前提下，不会对</w:t>
      </w:r>
      <w:r>
        <w:rPr>
          <w:rFonts w:cs="Times New Roman" w:hint="eastAsia"/>
          <w:sz w:val="24"/>
        </w:rPr>
        <w:t>四川诺水河珍稀水生动物国家级自然保护区小通江、</w:t>
      </w:r>
      <w:r>
        <w:rPr>
          <w:rFonts w:hint="eastAsia"/>
          <w:sz w:val="24"/>
        </w:rPr>
        <w:t>新场镇饮用水源和涪阳镇饮用水源产生影响</w:t>
      </w:r>
      <w:r>
        <w:rPr>
          <w:rFonts w:cs="Times New Roman"/>
          <w:sz w:val="24"/>
        </w:rPr>
        <w:t>。</w:t>
      </w:r>
    </w:p>
    <w:p w14:paraId="15F7CA51" w14:textId="77777777" w:rsidR="007D1E74" w:rsidRDefault="00A95641">
      <w:pPr>
        <w:spacing w:line="360" w:lineRule="auto"/>
        <w:ind w:firstLineChars="200" w:firstLine="480"/>
        <w:contextualSpacing/>
        <w:rPr>
          <w:sz w:val="24"/>
        </w:rPr>
      </w:pPr>
      <w:r>
        <w:rPr>
          <w:rFonts w:cs="Times New Roman"/>
          <w:sz w:val="24"/>
        </w:rPr>
        <w:t>项目</w:t>
      </w:r>
      <w:r>
        <w:rPr>
          <w:rFonts w:cs="Times New Roman" w:hint="eastAsia"/>
          <w:sz w:val="24"/>
        </w:rPr>
        <w:t>在</w:t>
      </w:r>
      <w:r>
        <w:rPr>
          <w:rFonts w:cs="Times New Roman" w:hint="eastAsia"/>
          <w:sz w:val="24"/>
        </w:rPr>
        <w:t>1#</w:t>
      </w:r>
      <w:r>
        <w:rPr>
          <w:rFonts w:cs="Times New Roman" w:hint="eastAsia"/>
          <w:sz w:val="24"/>
        </w:rPr>
        <w:t>阀室处</w:t>
      </w:r>
      <w:r>
        <w:rPr>
          <w:rFonts w:cs="Times New Roman"/>
          <w:sz w:val="24"/>
        </w:rPr>
        <w:t>占用基本农田，本次环评提出项目开工前需</w:t>
      </w:r>
      <w:r>
        <w:rPr>
          <w:rFonts w:cs="Times New Roman" w:hint="eastAsia"/>
          <w:sz w:val="24"/>
        </w:rPr>
        <w:t>按</w:t>
      </w:r>
      <w:r>
        <w:rPr>
          <w:rFonts w:hint="eastAsia"/>
          <w:sz w:val="24"/>
          <w:szCs w:val="24"/>
        </w:rPr>
        <w:t>《基本农田保护条例》</w:t>
      </w:r>
      <w:r>
        <w:rPr>
          <w:rFonts w:cs="Times New Roman"/>
          <w:sz w:val="24"/>
        </w:rPr>
        <w:t>取得合法的用地手续。</w:t>
      </w:r>
    </w:p>
    <w:p w14:paraId="5E194A95" w14:textId="77777777" w:rsidR="007D1E74" w:rsidRDefault="00A95641">
      <w:pPr>
        <w:spacing w:line="360" w:lineRule="auto"/>
        <w:ind w:firstLineChars="200" w:firstLine="482"/>
        <w:contextualSpacing/>
        <w:rPr>
          <w:b/>
          <w:bCs/>
          <w:sz w:val="24"/>
        </w:rPr>
      </w:pPr>
      <w:r>
        <w:rPr>
          <w:rFonts w:cs="Times New Roman"/>
          <w:b/>
          <w:bCs/>
          <w:sz w:val="24"/>
        </w:rPr>
        <w:t>2</w:t>
      </w:r>
      <w:r>
        <w:rPr>
          <w:rFonts w:cs="Times New Roman"/>
          <w:b/>
          <w:bCs/>
          <w:sz w:val="24"/>
        </w:rPr>
        <w:t>、与《石油天然气工程设计防火规范》（</w:t>
      </w:r>
      <w:r>
        <w:rPr>
          <w:rFonts w:cs="Times New Roman"/>
          <w:b/>
          <w:bCs/>
          <w:sz w:val="24"/>
        </w:rPr>
        <w:t>GB50183-2004</w:t>
      </w:r>
      <w:r>
        <w:rPr>
          <w:rFonts w:cs="Times New Roman"/>
          <w:b/>
          <w:bCs/>
          <w:sz w:val="24"/>
        </w:rPr>
        <w:t>）中相关要求符合性分析</w:t>
      </w:r>
    </w:p>
    <w:p w14:paraId="0B4F2913" w14:textId="77777777" w:rsidR="007D1E74" w:rsidRDefault="00A95641">
      <w:pPr>
        <w:spacing w:line="360" w:lineRule="auto"/>
        <w:ind w:firstLineChars="200" w:firstLine="480"/>
        <w:contextualSpacing/>
        <w:rPr>
          <w:sz w:val="24"/>
        </w:rPr>
      </w:pPr>
      <w:r>
        <w:rPr>
          <w:rFonts w:cs="Times New Roman"/>
          <w:sz w:val="24"/>
        </w:rPr>
        <w:t>根据《石油天然气工程设计防火规范》（</w:t>
      </w:r>
      <w:r>
        <w:rPr>
          <w:rFonts w:cs="Times New Roman"/>
          <w:sz w:val="24"/>
        </w:rPr>
        <w:t>GB50183-2004</w:t>
      </w:r>
      <w:r>
        <w:rPr>
          <w:rFonts w:cs="Times New Roman"/>
          <w:sz w:val="24"/>
        </w:rPr>
        <w:t>），集输管道与架空输电线路平行时，</w:t>
      </w:r>
      <w:r>
        <w:rPr>
          <w:rFonts w:cs="Times New Roman"/>
          <w:sz w:val="24"/>
        </w:rPr>
        <w:t>3kV</w:t>
      </w:r>
      <w:r>
        <w:rPr>
          <w:rFonts w:cs="Times New Roman"/>
          <w:sz w:val="24"/>
        </w:rPr>
        <w:t>以下距离需大于</w:t>
      </w:r>
      <w:r>
        <w:rPr>
          <w:rFonts w:cs="Times New Roman"/>
          <w:sz w:val="24"/>
        </w:rPr>
        <w:t>1.5m</w:t>
      </w:r>
      <w:r>
        <w:rPr>
          <w:rFonts w:cs="Times New Roman"/>
          <w:sz w:val="24"/>
        </w:rPr>
        <w:t>，</w:t>
      </w:r>
      <w:r>
        <w:rPr>
          <w:rFonts w:cs="Times New Roman"/>
          <w:sz w:val="24"/>
        </w:rPr>
        <w:t xml:space="preserve">3~10kV </w:t>
      </w:r>
      <w:r>
        <w:rPr>
          <w:rFonts w:cs="Times New Roman"/>
          <w:sz w:val="24"/>
        </w:rPr>
        <w:t>距离应大于</w:t>
      </w:r>
      <w:r>
        <w:rPr>
          <w:rFonts w:cs="Times New Roman"/>
          <w:sz w:val="24"/>
        </w:rPr>
        <w:t>2m</w:t>
      </w:r>
      <w:r>
        <w:rPr>
          <w:rFonts w:cs="Times New Roman"/>
          <w:sz w:val="24"/>
        </w:rPr>
        <w:t>，</w:t>
      </w:r>
      <w:r>
        <w:rPr>
          <w:rFonts w:cs="Times New Roman"/>
          <w:sz w:val="24"/>
        </w:rPr>
        <w:t xml:space="preserve">35~66kV </w:t>
      </w:r>
      <w:r>
        <w:rPr>
          <w:rFonts w:cs="Times New Roman"/>
          <w:sz w:val="24"/>
        </w:rPr>
        <w:t>距离应大于</w:t>
      </w:r>
      <w:r>
        <w:rPr>
          <w:rFonts w:cs="Times New Roman"/>
          <w:sz w:val="24"/>
        </w:rPr>
        <w:t>4m</w:t>
      </w:r>
      <w:r>
        <w:rPr>
          <w:rFonts w:cs="Times New Roman"/>
          <w:sz w:val="24"/>
        </w:rPr>
        <w:t>，</w:t>
      </w:r>
      <w:r>
        <w:rPr>
          <w:rFonts w:cs="Times New Roman"/>
          <w:sz w:val="24"/>
        </w:rPr>
        <w:t xml:space="preserve"> 110kV</w:t>
      </w:r>
      <w:r>
        <w:rPr>
          <w:rFonts w:cs="Times New Roman"/>
          <w:sz w:val="24"/>
        </w:rPr>
        <w:t>距离应大于</w:t>
      </w:r>
      <w:r>
        <w:rPr>
          <w:rFonts w:cs="Times New Roman"/>
          <w:sz w:val="24"/>
        </w:rPr>
        <w:t>4m</w:t>
      </w:r>
      <w:r>
        <w:rPr>
          <w:rFonts w:cs="Times New Roman"/>
          <w:sz w:val="24"/>
        </w:rPr>
        <w:t>，</w:t>
      </w:r>
      <w:r>
        <w:rPr>
          <w:rFonts w:cs="Times New Roman"/>
          <w:sz w:val="24"/>
        </w:rPr>
        <w:t>220kV</w:t>
      </w:r>
      <w:r>
        <w:rPr>
          <w:rFonts w:cs="Times New Roman"/>
          <w:sz w:val="24"/>
        </w:rPr>
        <w:t>距离应大于</w:t>
      </w:r>
      <w:r>
        <w:rPr>
          <w:rFonts w:cs="Times New Roman"/>
          <w:sz w:val="24"/>
        </w:rPr>
        <w:t>5m</w:t>
      </w:r>
      <w:r>
        <w:rPr>
          <w:rFonts w:cs="Times New Roman"/>
          <w:sz w:val="24"/>
        </w:rPr>
        <w:t>。根据可研资料及现场踏勘，本工程满足《石油天然气工程设计防火规范》（</w:t>
      </w:r>
      <w:r>
        <w:rPr>
          <w:rFonts w:cs="Times New Roman"/>
          <w:sz w:val="24"/>
        </w:rPr>
        <w:t>GB50183-2004</w:t>
      </w:r>
      <w:r>
        <w:rPr>
          <w:rFonts w:cs="Times New Roman"/>
          <w:sz w:val="24"/>
        </w:rPr>
        <w:t>）中相关距离要求。</w:t>
      </w:r>
    </w:p>
    <w:p w14:paraId="76E76370" w14:textId="77777777" w:rsidR="007D1E74" w:rsidRDefault="00A95641">
      <w:pPr>
        <w:numPr>
          <w:ilvl w:val="0"/>
          <w:numId w:val="37"/>
        </w:numPr>
        <w:spacing w:line="360" w:lineRule="auto"/>
        <w:ind w:firstLineChars="200" w:firstLine="482"/>
        <w:contextualSpacing/>
        <w:rPr>
          <w:b/>
          <w:bCs/>
          <w:sz w:val="24"/>
        </w:rPr>
      </w:pPr>
      <w:r>
        <w:rPr>
          <w:rFonts w:cs="Times New Roman"/>
          <w:b/>
          <w:bCs/>
          <w:sz w:val="24"/>
        </w:rPr>
        <w:t>与《输气管道工程设计规范》（</w:t>
      </w:r>
      <w:r>
        <w:rPr>
          <w:rFonts w:cs="Times New Roman"/>
          <w:b/>
          <w:bCs/>
          <w:sz w:val="24"/>
        </w:rPr>
        <w:t>GB  50251-2015</w:t>
      </w:r>
      <w:r>
        <w:rPr>
          <w:rFonts w:cs="Times New Roman"/>
          <w:b/>
          <w:bCs/>
          <w:sz w:val="24"/>
        </w:rPr>
        <w:t>）中相关要求符合性分析</w:t>
      </w:r>
    </w:p>
    <w:p w14:paraId="25DEBFF7" w14:textId="77777777" w:rsidR="007D1E74" w:rsidRDefault="00A95641">
      <w:pPr>
        <w:spacing w:line="360" w:lineRule="auto"/>
        <w:ind w:firstLineChars="200" w:firstLine="480"/>
        <w:contextualSpacing/>
        <w:rPr>
          <w:sz w:val="24"/>
        </w:rPr>
      </w:pPr>
      <w:r>
        <w:rPr>
          <w:rFonts w:cs="Times New Roman"/>
          <w:sz w:val="24"/>
        </w:rPr>
        <w:t>项目管道中心线与周围构建筑物最小距离均大于</w:t>
      </w:r>
      <w:r>
        <w:rPr>
          <w:rFonts w:cs="Times New Roman"/>
          <w:sz w:val="24"/>
        </w:rPr>
        <w:t>5m</w:t>
      </w:r>
      <w:r>
        <w:rPr>
          <w:rFonts w:cs="Times New Roman"/>
          <w:sz w:val="24"/>
        </w:rPr>
        <w:t>，与其他管道交叉时，垂直净距离均大于</w:t>
      </w:r>
      <w:r>
        <w:rPr>
          <w:rFonts w:cs="Times New Roman"/>
          <w:sz w:val="24"/>
        </w:rPr>
        <w:t>0.3m</w:t>
      </w:r>
      <w:r>
        <w:rPr>
          <w:rFonts w:cs="Times New Roman"/>
          <w:sz w:val="24"/>
        </w:rPr>
        <w:t>，且与周围</w:t>
      </w:r>
      <w:r>
        <w:rPr>
          <w:rFonts w:cs="Times New Roman"/>
          <w:sz w:val="24"/>
        </w:rPr>
        <w:t>10kV</w:t>
      </w:r>
      <w:r>
        <w:rPr>
          <w:rFonts w:cs="Times New Roman"/>
          <w:sz w:val="24"/>
        </w:rPr>
        <w:t>输电线路杆距离均大于</w:t>
      </w:r>
      <w:r>
        <w:rPr>
          <w:rFonts w:cs="Times New Roman"/>
          <w:sz w:val="24"/>
        </w:rPr>
        <w:t>5m</w:t>
      </w:r>
      <w:r>
        <w:rPr>
          <w:rFonts w:cs="Times New Roman"/>
          <w:sz w:val="24"/>
        </w:rPr>
        <w:t>，符合《输气管道工程设计规范》（</w:t>
      </w:r>
      <w:r>
        <w:rPr>
          <w:rFonts w:cs="Times New Roman"/>
          <w:sz w:val="24"/>
        </w:rPr>
        <w:t>GB50251-2015</w:t>
      </w:r>
      <w:r>
        <w:rPr>
          <w:rFonts w:cs="Times New Roman"/>
          <w:sz w:val="24"/>
        </w:rPr>
        <w:t>），具体见下表。</w:t>
      </w:r>
    </w:p>
    <w:p w14:paraId="6D773F5E" w14:textId="77777777" w:rsidR="007D1E74" w:rsidRDefault="00A95641">
      <w:pPr>
        <w:tabs>
          <w:tab w:val="left" w:pos="965"/>
        </w:tabs>
        <w:spacing w:before="101" w:after="21"/>
        <w:ind w:right="156"/>
        <w:jc w:val="center"/>
        <w:rPr>
          <w:rFonts w:eastAsia="黑体" w:cs="Times New Roman"/>
        </w:rPr>
      </w:pPr>
      <w:r>
        <w:rPr>
          <w:rFonts w:eastAsia="黑体" w:cs="Times New Roman"/>
        </w:rPr>
        <w:t>表</w:t>
      </w:r>
      <w:r>
        <w:rPr>
          <w:rFonts w:eastAsia="黑体" w:cs="Times New Roman"/>
        </w:rPr>
        <w:t>2.3-</w:t>
      </w:r>
      <w:r>
        <w:rPr>
          <w:rFonts w:eastAsia="黑体" w:cs="Times New Roman" w:hint="eastAsia"/>
        </w:rPr>
        <w:t xml:space="preserve">3  </w:t>
      </w:r>
      <w:r>
        <w:rPr>
          <w:rFonts w:eastAsia="黑体" w:cs="Times New Roman"/>
        </w:rPr>
        <w:t>管道与《输气管道工程设计规范》（</w:t>
      </w:r>
      <w:r>
        <w:rPr>
          <w:rFonts w:eastAsia="黑体" w:cs="Times New Roman"/>
        </w:rPr>
        <w:t>GB 50251-2015</w:t>
      </w:r>
      <w:r>
        <w:rPr>
          <w:rFonts w:eastAsia="黑体" w:cs="Times New Roman"/>
        </w:rPr>
        <w:t>）符合性分析</w:t>
      </w:r>
    </w:p>
    <w:tbl>
      <w:tblPr>
        <w:tblW w:w="91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20"/>
        <w:gridCol w:w="5014"/>
        <w:gridCol w:w="2620"/>
        <w:gridCol w:w="876"/>
      </w:tblGrid>
      <w:tr w:rsidR="007D1E74" w14:paraId="3DA425E3" w14:textId="77777777">
        <w:trPr>
          <w:trHeight w:val="258"/>
          <w:jc w:val="center"/>
        </w:trPr>
        <w:tc>
          <w:tcPr>
            <w:tcW w:w="620" w:type="dxa"/>
            <w:vAlign w:val="center"/>
          </w:tcPr>
          <w:p w14:paraId="12C6F4C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序号</w:t>
            </w:r>
          </w:p>
        </w:tc>
        <w:tc>
          <w:tcPr>
            <w:tcW w:w="5014" w:type="dxa"/>
            <w:vAlign w:val="center"/>
          </w:tcPr>
          <w:p w14:paraId="75A96B6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要求</w:t>
            </w:r>
          </w:p>
        </w:tc>
        <w:tc>
          <w:tcPr>
            <w:tcW w:w="2620" w:type="dxa"/>
            <w:vAlign w:val="center"/>
          </w:tcPr>
          <w:p w14:paraId="7F8A4AF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本项目</w:t>
            </w:r>
          </w:p>
        </w:tc>
        <w:tc>
          <w:tcPr>
            <w:tcW w:w="876" w:type="dxa"/>
            <w:vAlign w:val="center"/>
          </w:tcPr>
          <w:p w14:paraId="776A21E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符合性</w:t>
            </w:r>
          </w:p>
        </w:tc>
      </w:tr>
      <w:tr w:rsidR="007D1E74" w14:paraId="2C3C32CD" w14:textId="77777777">
        <w:trPr>
          <w:trHeight w:val="521"/>
          <w:jc w:val="center"/>
        </w:trPr>
        <w:tc>
          <w:tcPr>
            <w:tcW w:w="620" w:type="dxa"/>
            <w:vAlign w:val="center"/>
          </w:tcPr>
          <w:p w14:paraId="5D4E567F"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lastRenderedPageBreak/>
              <w:t>1</w:t>
            </w:r>
          </w:p>
        </w:tc>
        <w:tc>
          <w:tcPr>
            <w:tcW w:w="5014" w:type="dxa"/>
            <w:vAlign w:val="center"/>
          </w:tcPr>
          <w:p w14:paraId="21592898" w14:textId="77777777" w:rsidR="007D1E74" w:rsidRDefault="00A95641">
            <w:pPr>
              <w:pStyle w:val="TableParagraph"/>
              <w:adjustRightInd/>
              <w:jc w:val="both"/>
              <w:rPr>
                <w:rFonts w:ascii="Times New Roman" w:hAnsi="Times New Roman"/>
                <w:sz w:val="21"/>
                <w:szCs w:val="21"/>
              </w:rPr>
            </w:pPr>
            <w:r>
              <w:rPr>
                <w:rFonts w:ascii="Times New Roman" w:hAnsi="Times New Roman"/>
                <w:sz w:val="21"/>
                <w:szCs w:val="21"/>
              </w:rPr>
              <w:t>埋地管道中心线与建构筑物的最小距离不应小于</w:t>
            </w:r>
            <w:r>
              <w:rPr>
                <w:rFonts w:ascii="Times New Roman" w:hAnsi="Times New Roman"/>
                <w:sz w:val="21"/>
                <w:szCs w:val="21"/>
              </w:rPr>
              <w:t>5m</w:t>
            </w:r>
          </w:p>
        </w:tc>
        <w:tc>
          <w:tcPr>
            <w:tcW w:w="2620" w:type="dxa"/>
            <w:vAlign w:val="center"/>
          </w:tcPr>
          <w:p w14:paraId="74771C9E" w14:textId="77777777" w:rsidR="007D1E74" w:rsidRDefault="00A95641">
            <w:pPr>
              <w:pStyle w:val="TableParagraph"/>
              <w:adjustRightInd/>
              <w:jc w:val="both"/>
              <w:rPr>
                <w:rFonts w:ascii="Times New Roman" w:hAnsi="Times New Roman"/>
                <w:sz w:val="21"/>
                <w:szCs w:val="21"/>
              </w:rPr>
            </w:pPr>
            <w:r>
              <w:rPr>
                <w:rFonts w:ascii="Times New Roman" w:hAnsi="Times New Roman"/>
                <w:sz w:val="21"/>
                <w:szCs w:val="21"/>
              </w:rPr>
              <w:t>管道中心线与两侧最近的构建筑物距离为</w:t>
            </w:r>
            <w:r>
              <w:rPr>
                <w:rFonts w:ascii="Times New Roman" w:hAnsi="Times New Roman"/>
                <w:sz w:val="21"/>
                <w:szCs w:val="21"/>
              </w:rPr>
              <w:t>10m</w:t>
            </w:r>
          </w:p>
        </w:tc>
        <w:tc>
          <w:tcPr>
            <w:tcW w:w="876" w:type="dxa"/>
            <w:vAlign w:val="center"/>
          </w:tcPr>
          <w:p w14:paraId="1891CB9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符合</w:t>
            </w:r>
          </w:p>
        </w:tc>
      </w:tr>
      <w:tr w:rsidR="007D1E74" w14:paraId="6FB80B79" w14:textId="77777777">
        <w:trPr>
          <w:trHeight w:val="517"/>
          <w:jc w:val="center"/>
        </w:trPr>
        <w:tc>
          <w:tcPr>
            <w:tcW w:w="620" w:type="dxa"/>
            <w:vAlign w:val="center"/>
          </w:tcPr>
          <w:p w14:paraId="1C75BF3D"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2</w:t>
            </w:r>
          </w:p>
        </w:tc>
        <w:tc>
          <w:tcPr>
            <w:tcW w:w="5014" w:type="dxa"/>
            <w:vAlign w:val="center"/>
          </w:tcPr>
          <w:p w14:paraId="6C3635B0" w14:textId="77777777" w:rsidR="007D1E74" w:rsidRDefault="00A95641">
            <w:pPr>
              <w:pStyle w:val="TableParagraph"/>
              <w:adjustRightInd/>
              <w:jc w:val="both"/>
              <w:rPr>
                <w:rFonts w:ascii="Times New Roman" w:hAnsi="Times New Roman"/>
                <w:sz w:val="21"/>
                <w:szCs w:val="21"/>
              </w:rPr>
            </w:pPr>
            <w:r>
              <w:rPr>
                <w:rFonts w:ascii="Times New Roman" w:hAnsi="Times New Roman"/>
                <w:sz w:val="21"/>
                <w:szCs w:val="21"/>
              </w:rPr>
              <w:t>输气管道与其他管道交叉时，垂直净距离不应小于</w:t>
            </w:r>
            <w:r>
              <w:rPr>
                <w:rFonts w:ascii="Times New Roman" w:hAnsi="Times New Roman"/>
                <w:sz w:val="21"/>
                <w:szCs w:val="21"/>
              </w:rPr>
              <w:t>0.3m</w:t>
            </w:r>
          </w:p>
        </w:tc>
        <w:tc>
          <w:tcPr>
            <w:tcW w:w="2620" w:type="dxa"/>
            <w:vAlign w:val="center"/>
          </w:tcPr>
          <w:p w14:paraId="76B6996B" w14:textId="77777777" w:rsidR="007D1E74" w:rsidRDefault="00A95641">
            <w:pPr>
              <w:pStyle w:val="TableParagraph"/>
              <w:adjustRightInd/>
              <w:jc w:val="both"/>
              <w:rPr>
                <w:rFonts w:ascii="Times New Roman" w:hAnsi="Times New Roman"/>
                <w:sz w:val="21"/>
                <w:szCs w:val="21"/>
              </w:rPr>
            </w:pPr>
            <w:r>
              <w:rPr>
                <w:rFonts w:ascii="Times New Roman" w:hAnsi="Times New Roman"/>
                <w:sz w:val="21"/>
                <w:szCs w:val="21"/>
              </w:rPr>
              <w:t>项目不涉及与其他管道交叉</w:t>
            </w:r>
          </w:p>
        </w:tc>
        <w:tc>
          <w:tcPr>
            <w:tcW w:w="876" w:type="dxa"/>
            <w:vAlign w:val="center"/>
          </w:tcPr>
          <w:p w14:paraId="5628A11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符合</w:t>
            </w:r>
          </w:p>
        </w:tc>
      </w:tr>
      <w:tr w:rsidR="007D1E74" w14:paraId="67C849E3" w14:textId="77777777">
        <w:trPr>
          <w:trHeight w:val="518"/>
          <w:jc w:val="center"/>
        </w:trPr>
        <w:tc>
          <w:tcPr>
            <w:tcW w:w="620" w:type="dxa"/>
            <w:vAlign w:val="center"/>
          </w:tcPr>
          <w:p w14:paraId="029D1C4B"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3</w:t>
            </w:r>
          </w:p>
        </w:tc>
        <w:tc>
          <w:tcPr>
            <w:tcW w:w="5014" w:type="dxa"/>
            <w:vAlign w:val="center"/>
          </w:tcPr>
          <w:p w14:paraId="60531C1F" w14:textId="77777777" w:rsidR="007D1E74" w:rsidRDefault="00A95641">
            <w:pPr>
              <w:pStyle w:val="TableParagraph"/>
              <w:adjustRightInd/>
              <w:jc w:val="both"/>
              <w:rPr>
                <w:rFonts w:ascii="Times New Roman" w:hAnsi="Times New Roman"/>
                <w:sz w:val="21"/>
                <w:szCs w:val="21"/>
              </w:rPr>
            </w:pPr>
            <w:r>
              <w:rPr>
                <w:rFonts w:ascii="Times New Roman" w:hAnsi="Times New Roman"/>
                <w:sz w:val="21"/>
                <w:szCs w:val="21"/>
              </w:rPr>
              <w:t>输气管道与电力电缆、通信光电缆交叉时，垂直净距不应少于</w:t>
            </w:r>
            <w:r>
              <w:rPr>
                <w:rFonts w:ascii="Times New Roman" w:hAnsi="Times New Roman"/>
                <w:sz w:val="21"/>
                <w:szCs w:val="21"/>
              </w:rPr>
              <w:t>0.5m</w:t>
            </w:r>
            <w:r>
              <w:rPr>
                <w:rFonts w:ascii="Times New Roman" w:hAnsi="Times New Roman"/>
                <w:sz w:val="21"/>
                <w:szCs w:val="21"/>
              </w:rPr>
              <w:t>，交叉点两侧各延伸</w:t>
            </w:r>
            <w:r>
              <w:rPr>
                <w:rFonts w:ascii="Times New Roman" w:hAnsi="Times New Roman"/>
                <w:sz w:val="21"/>
                <w:szCs w:val="21"/>
              </w:rPr>
              <w:t>10m</w:t>
            </w:r>
            <w:r>
              <w:rPr>
                <w:rFonts w:ascii="Times New Roman" w:hAnsi="Times New Roman"/>
                <w:sz w:val="21"/>
                <w:szCs w:val="21"/>
              </w:rPr>
              <w:t>以上的管段</w:t>
            </w:r>
          </w:p>
        </w:tc>
        <w:tc>
          <w:tcPr>
            <w:tcW w:w="2620" w:type="dxa"/>
            <w:vAlign w:val="center"/>
          </w:tcPr>
          <w:p w14:paraId="6F6AB7EA" w14:textId="77777777" w:rsidR="007D1E74" w:rsidRDefault="00A95641">
            <w:pPr>
              <w:pStyle w:val="TableParagraph"/>
              <w:adjustRightInd/>
              <w:jc w:val="both"/>
              <w:rPr>
                <w:rFonts w:ascii="Times New Roman" w:hAnsi="Times New Roman"/>
                <w:sz w:val="21"/>
                <w:szCs w:val="21"/>
              </w:rPr>
            </w:pPr>
            <w:r>
              <w:rPr>
                <w:rFonts w:ascii="Times New Roman" w:hAnsi="Times New Roman"/>
                <w:sz w:val="21"/>
                <w:szCs w:val="21"/>
              </w:rPr>
              <w:t>不涉及与电力电缆、通信光缆交叉</w:t>
            </w:r>
          </w:p>
        </w:tc>
        <w:tc>
          <w:tcPr>
            <w:tcW w:w="876" w:type="dxa"/>
            <w:vAlign w:val="center"/>
          </w:tcPr>
          <w:p w14:paraId="6C1E770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符合</w:t>
            </w:r>
          </w:p>
        </w:tc>
      </w:tr>
      <w:tr w:rsidR="007D1E74" w14:paraId="08B739C2" w14:textId="77777777">
        <w:trPr>
          <w:trHeight w:val="1038"/>
          <w:jc w:val="center"/>
        </w:trPr>
        <w:tc>
          <w:tcPr>
            <w:tcW w:w="620" w:type="dxa"/>
            <w:vAlign w:val="center"/>
          </w:tcPr>
          <w:p w14:paraId="09C7724B" w14:textId="77777777" w:rsidR="007D1E74" w:rsidRDefault="007D1E74">
            <w:pPr>
              <w:pStyle w:val="TableParagraph"/>
              <w:adjustRightInd/>
              <w:jc w:val="center"/>
              <w:rPr>
                <w:rFonts w:ascii="Times New Roman" w:hAnsi="Times New Roman"/>
                <w:b/>
                <w:sz w:val="21"/>
                <w:szCs w:val="21"/>
              </w:rPr>
            </w:pPr>
          </w:p>
          <w:p w14:paraId="43785F25"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4</w:t>
            </w:r>
          </w:p>
        </w:tc>
        <w:tc>
          <w:tcPr>
            <w:tcW w:w="5014" w:type="dxa"/>
            <w:vAlign w:val="center"/>
          </w:tcPr>
          <w:p w14:paraId="7BE6D53F" w14:textId="77777777" w:rsidR="007D1E74" w:rsidRDefault="00A95641">
            <w:pPr>
              <w:pStyle w:val="TableParagraph"/>
              <w:adjustRightInd/>
              <w:jc w:val="both"/>
              <w:rPr>
                <w:rFonts w:ascii="Times New Roman" w:hAnsi="Times New Roman"/>
                <w:sz w:val="21"/>
                <w:szCs w:val="21"/>
              </w:rPr>
            </w:pPr>
            <w:r>
              <w:rPr>
                <w:rFonts w:ascii="Times New Roman" w:hAnsi="Times New Roman"/>
                <w:sz w:val="21"/>
                <w:szCs w:val="21"/>
              </w:rPr>
              <w:t>埋地输气管道与高压交流输电线路杆（塔）和接地体之间的距离宜符合下列规定：在路由受限地区，埋地管道与交流输电系统的各种接地装置之间的最小距离不宜小于：电压等级</w:t>
            </w:r>
            <w:r>
              <w:rPr>
                <w:rFonts w:ascii="Times New Roman" w:hAnsi="Times New Roman"/>
                <w:sz w:val="21"/>
                <w:szCs w:val="21"/>
              </w:rPr>
              <w:t>≤200kV</w:t>
            </w:r>
            <w:r>
              <w:rPr>
                <w:rFonts w:ascii="Times New Roman" w:hAnsi="Times New Roman"/>
                <w:sz w:val="21"/>
                <w:szCs w:val="21"/>
              </w:rPr>
              <w:t>，距离</w:t>
            </w:r>
            <w:r>
              <w:rPr>
                <w:rFonts w:ascii="Times New Roman" w:hAnsi="Times New Roman"/>
                <w:sz w:val="21"/>
                <w:szCs w:val="21"/>
              </w:rPr>
              <w:t>5m</w:t>
            </w:r>
          </w:p>
        </w:tc>
        <w:tc>
          <w:tcPr>
            <w:tcW w:w="2620" w:type="dxa"/>
            <w:vAlign w:val="center"/>
          </w:tcPr>
          <w:p w14:paraId="618FC4AD" w14:textId="77777777" w:rsidR="007D1E74" w:rsidRDefault="00A95641">
            <w:pPr>
              <w:pStyle w:val="TableParagraph"/>
              <w:adjustRightInd/>
              <w:jc w:val="both"/>
              <w:rPr>
                <w:rFonts w:ascii="Times New Roman" w:hAnsi="Times New Roman"/>
                <w:sz w:val="21"/>
                <w:szCs w:val="21"/>
              </w:rPr>
            </w:pPr>
            <w:r>
              <w:rPr>
                <w:rFonts w:ascii="Times New Roman" w:hAnsi="Times New Roman"/>
                <w:spacing w:val="-2"/>
                <w:sz w:val="21"/>
                <w:szCs w:val="21"/>
              </w:rPr>
              <w:t>管道周边所涉及的高压</w:t>
            </w:r>
            <w:r>
              <w:rPr>
                <w:rFonts w:ascii="Times New Roman" w:hAnsi="Times New Roman"/>
                <w:sz w:val="21"/>
                <w:szCs w:val="21"/>
              </w:rPr>
              <w:t>交流输电线路杆（塔</w:t>
            </w:r>
            <w:r>
              <w:rPr>
                <w:rFonts w:ascii="Times New Roman" w:hAnsi="Times New Roman"/>
                <w:spacing w:val="-17"/>
                <w:sz w:val="21"/>
                <w:szCs w:val="21"/>
              </w:rPr>
              <w:t>）</w:t>
            </w:r>
            <w:r>
              <w:rPr>
                <w:rFonts w:ascii="Times New Roman" w:hAnsi="Times New Roman"/>
                <w:spacing w:val="-17"/>
                <w:sz w:val="21"/>
                <w:szCs w:val="21"/>
              </w:rPr>
              <w:t xml:space="preserve"> </w:t>
            </w:r>
            <w:r>
              <w:rPr>
                <w:rFonts w:ascii="Times New Roman" w:hAnsi="Times New Roman"/>
                <w:spacing w:val="-9"/>
                <w:sz w:val="21"/>
                <w:szCs w:val="21"/>
              </w:rPr>
              <w:t>电压等级为</w:t>
            </w:r>
            <w:r>
              <w:rPr>
                <w:rFonts w:ascii="Times New Roman" w:hAnsi="Times New Roman"/>
                <w:spacing w:val="-9"/>
                <w:sz w:val="21"/>
                <w:szCs w:val="21"/>
              </w:rPr>
              <w:t xml:space="preserve"> </w:t>
            </w:r>
            <w:r>
              <w:rPr>
                <w:rFonts w:ascii="Times New Roman" w:hAnsi="Times New Roman"/>
                <w:sz w:val="21"/>
                <w:szCs w:val="21"/>
              </w:rPr>
              <w:t>10kV</w:t>
            </w:r>
            <w:r>
              <w:rPr>
                <w:rFonts w:ascii="Times New Roman" w:hAnsi="Times New Roman"/>
                <w:sz w:val="21"/>
                <w:szCs w:val="21"/>
              </w:rPr>
              <w:t>，距离＞</w:t>
            </w:r>
            <w:r>
              <w:rPr>
                <w:rFonts w:ascii="Times New Roman" w:hAnsi="Times New Roman"/>
                <w:sz w:val="21"/>
                <w:szCs w:val="21"/>
              </w:rPr>
              <w:t>5m</w:t>
            </w:r>
          </w:p>
        </w:tc>
        <w:tc>
          <w:tcPr>
            <w:tcW w:w="876" w:type="dxa"/>
            <w:vAlign w:val="center"/>
          </w:tcPr>
          <w:p w14:paraId="6379052D" w14:textId="77777777" w:rsidR="007D1E74" w:rsidRDefault="007D1E74">
            <w:pPr>
              <w:pStyle w:val="TableParagraph"/>
              <w:adjustRightInd/>
              <w:jc w:val="center"/>
              <w:rPr>
                <w:rFonts w:ascii="Times New Roman" w:hAnsi="Times New Roman"/>
                <w:b/>
                <w:sz w:val="21"/>
                <w:szCs w:val="21"/>
              </w:rPr>
            </w:pPr>
          </w:p>
          <w:p w14:paraId="34C8718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符合</w:t>
            </w:r>
          </w:p>
        </w:tc>
      </w:tr>
    </w:tbl>
    <w:p w14:paraId="782F7D6C" w14:textId="77777777" w:rsidR="007D1E74" w:rsidRDefault="00A95641">
      <w:pPr>
        <w:pStyle w:val="aa"/>
      </w:pPr>
      <w:r>
        <w:t>临时材料堆场选址合理性分析</w:t>
      </w:r>
    </w:p>
    <w:p w14:paraId="50EB900B" w14:textId="77777777" w:rsidR="007D1E74" w:rsidRDefault="00A95641">
      <w:pPr>
        <w:spacing w:line="360" w:lineRule="auto"/>
        <w:ind w:firstLineChars="200" w:firstLine="480"/>
        <w:contextualSpacing/>
        <w:rPr>
          <w:sz w:val="24"/>
        </w:rPr>
      </w:pPr>
      <w:r>
        <w:rPr>
          <w:rFonts w:cs="Times New Roman"/>
          <w:sz w:val="24"/>
        </w:rPr>
        <w:t>本项目共设置</w:t>
      </w:r>
      <w:r>
        <w:rPr>
          <w:rFonts w:cs="Times New Roman"/>
          <w:sz w:val="24"/>
        </w:rPr>
        <w:t>3</w:t>
      </w:r>
      <w:r>
        <w:rPr>
          <w:rFonts w:cs="Times New Roman"/>
          <w:sz w:val="24"/>
        </w:rPr>
        <w:t>处临时材料堆场。根据现状图可知，项目临时材料堆场</w:t>
      </w:r>
      <w:r>
        <w:rPr>
          <w:rFonts w:cs="Times New Roman" w:hint="eastAsia"/>
          <w:sz w:val="24"/>
        </w:rPr>
        <w:t>主要为耕地</w:t>
      </w:r>
      <w:r>
        <w:rPr>
          <w:rFonts w:cs="Times New Roman"/>
          <w:sz w:val="24"/>
        </w:rPr>
        <w:t>，临时堆场周边无居民、学校、医院、文物保护单位、自然保护区、风景名胜区等环境敏感点，未发现古树名木、珍稀保护植物等敏感目标。</w:t>
      </w:r>
    </w:p>
    <w:p w14:paraId="7801E0EA" w14:textId="77777777" w:rsidR="007D1E74" w:rsidRDefault="00A95641">
      <w:pPr>
        <w:spacing w:line="360" w:lineRule="auto"/>
        <w:ind w:firstLineChars="200" w:firstLine="480"/>
        <w:contextualSpacing/>
        <w:rPr>
          <w:sz w:val="24"/>
        </w:rPr>
      </w:pPr>
      <w:r>
        <w:rPr>
          <w:rFonts w:cs="Times New Roman"/>
          <w:sz w:val="24"/>
        </w:rPr>
        <w:t>临时材料堆场周围植被多以乔木、灌木为主，区内常见的乔木树种有柏木林（含桤柏混交林）、栎类杂木林等，灌木以黄棘、马桑、野山楂等种类为主，草木植物主要有衰草、草等，耕地均种植农业栽培植物中，农作物主要有小麦、玉米、大豆、薯类等。附近野生动物主要是适合栖息于农田、林地、旱地周边的种类，如常见的齿类、两牺类、爬行类和麻雀等常见鸟类，临时材料堆场周围无明显环境制约因素。</w:t>
      </w:r>
    </w:p>
    <w:p w14:paraId="7B1E78ED" w14:textId="77777777" w:rsidR="007D1E74" w:rsidRDefault="00A95641">
      <w:pPr>
        <w:spacing w:line="360" w:lineRule="auto"/>
        <w:ind w:firstLineChars="200" w:firstLine="480"/>
        <w:contextualSpacing/>
        <w:rPr>
          <w:sz w:val="24"/>
        </w:rPr>
      </w:pPr>
      <w:r>
        <w:rPr>
          <w:rFonts w:cs="Times New Roman"/>
          <w:sz w:val="24"/>
        </w:rPr>
        <w:t>因此，项目临时材料堆场选址合理。为减轻临时材料堆场对生态环境的影响，本次环评提出施工期加强管理，严格控制用地范围，不扰动临时占地范围外的土地，施工结束后及时对土地进行复垦，保证质量和面积均不降低。</w:t>
      </w:r>
    </w:p>
    <w:p w14:paraId="5B12091E" w14:textId="77777777" w:rsidR="007D1E74" w:rsidRDefault="00A95641">
      <w:pPr>
        <w:pStyle w:val="a9"/>
      </w:pPr>
      <w:r>
        <w:t>与相关法律法规符合性分析</w:t>
      </w:r>
    </w:p>
    <w:p w14:paraId="5DF4A8D3" w14:textId="77777777" w:rsidR="007D1E74" w:rsidRDefault="00A95641">
      <w:pPr>
        <w:pStyle w:val="aa"/>
      </w:pPr>
      <w:r>
        <w:t>与《中华人民共和国水污染防治法》符合性分析</w:t>
      </w:r>
    </w:p>
    <w:p w14:paraId="0DFD9A32" w14:textId="77777777" w:rsidR="007D1E74" w:rsidRDefault="00A95641">
      <w:pPr>
        <w:autoSpaceDE w:val="0"/>
        <w:autoSpaceDN w:val="0"/>
        <w:adjustRightInd w:val="0"/>
        <w:spacing w:line="360" w:lineRule="auto"/>
        <w:ind w:firstLineChars="200" w:firstLine="480"/>
        <w:contextualSpacing/>
        <w:jc w:val="left"/>
        <w:rPr>
          <w:kern w:val="0"/>
          <w:sz w:val="24"/>
        </w:rPr>
      </w:pPr>
      <w:r>
        <w:rPr>
          <w:rFonts w:cs="Times New Roman"/>
          <w:kern w:val="0"/>
          <w:sz w:val="24"/>
        </w:rPr>
        <w:t>本项目不涉及严重污染水环境的落后工艺和设备；施工期废水不外排；运行期管道工程不会产生废水；建设单位拟制定有关水污染事故的应急方案并在当地相关部门门进行备案。因此本项目符合《中华人民共和国水污染防治法》相关要求。</w:t>
      </w:r>
    </w:p>
    <w:p w14:paraId="55112716" w14:textId="77777777" w:rsidR="007D1E74" w:rsidRDefault="00A95641">
      <w:pPr>
        <w:pStyle w:val="aa"/>
      </w:pPr>
      <w:r>
        <w:t>与《中华人民共和国自然保护区条例》符合性分析</w:t>
      </w:r>
    </w:p>
    <w:p w14:paraId="0E15564E" w14:textId="77777777" w:rsidR="007D1E74" w:rsidRDefault="00A95641">
      <w:pPr>
        <w:autoSpaceDE w:val="0"/>
        <w:autoSpaceDN w:val="0"/>
        <w:adjustRightInd w:val="0"/>
        <w:spacing w:line="360" w:lineRule="auto"/>
        <w:ind w:firstLineChars="200" w:firstLine="480"/>
        <w:contextualSpacing/>
        <w:jc w:val="left"/>
        <w:rPr>
          <w:kern w:val="0"/>
          <w:sz w:val="24"/>
        </w:rPr>
      </w:pPr>
      <w:r>
        <w:rPr>
          <w:rFonts w:cs="Times New Roman"/>
          <w:kern w:val="0"/>
          <w:sz w:val="24"/>
        </w:rPr>
        <w:t>根据《中华人民共和国自然保护区条例》</w:t>
      </w:r>
      <w:r>
        <w:rPr>
          <w:rFonts w:cs="Times New Roman"/>
          <w:kern w:val="0"/>
          <w:sz w:val="24"/>
        </w:rPr>
        <w:t>(</w:t>
      </w:r>
      <w:r>
        <w:rPr>
          <w:rFonts w:cs="Times New Roman"/>
          <w:kern w:val="0"/>
          <w:sz w:val="24"/>
        </w:rPr>
        <w:t>国务院令第</w:t>
      </w:r>
      <w:r>
        <w:rPr>
          <w:rFonts w:cs="Times New Roman"/>
          <w:kern w:val="0"/>
          <w:sz w:val="24"/>
        </w:rPr>
        <w:t>687</w:t>
      </w:r>
      <w:r>
        <w:rPr>
          <w:rFonts w:cs="Times New Roman"/>
          <w:kern w:val="0"/>
          <w:sz w:val="24"/>
        </w:rPr>
        <w:t>号，</w:t>
      </w:r>
      <w:r>
        <w:rPr>
          <w:rFonts w:cs="Times New Roman"/>
          <w:kern w:val="0"/>
          <w:sz w:val="24"/>
        </w:rPr>
        <w:t>2017</w:t>
      </w:r>
      <w:r>
        <w:rPr>
          <w:rFonts w:cs="Times New Roman"/>
          <w:kern w:val="0"/>
          <w:sz w:val="24"/>
        </w:rPr>
        <w:t>年</w:t>
      </w:r>
      <w:r>
        <w:rPr>
          <w:rFonts w:cs="Times New Roman"/>
          <w:kern w:val="0"/>
          <w:sz w:val="24"/>
        </w:rPr>
        <w:t>10</w:t>
      </w:r>
      <w:r>
        <w:rPr>
          <w:rFonts w:cs="Times New Roman"/>
          <w:kern w:val="0"/>
          <w:sz w:val="24"/>
        </w:rPr>
        <w:t>月</w:t>
      </w:r>
      <w:r>
        <w:rPr>
          <w:rFonts w:cs="Times New Roman"/>
          <w:kern w:val="0"/>
          <w:sz w:val="24"/>
        </w:rPr>
        <w:t>7</w:t>
      </w:r>
      <w:r>
        <w:rPr>
          <w:rFonts w:cs="Times New Roman"/>
          <w:kern w:val="0"/>
          <w:sz w:val="24"/>
        </w:rPr>
        <w:t>日修订</w:t>
      </w:r>
      <w:r>
        <w:rPr>
          <w:rFonts w:cs="Times New Roman"/>
          <w:kern w:val="0"/>
          <w:sz w:val="24"/>
        </w:rPr>
        <w:t>)</w:t>
      </w:r>
      <w:r>
        <w:rPr>
          <w:rFonts w:cs="Times New Roman"/>
          <w:kern w:val="0"/>
          <w:sz w:val="24"/>
        </w:rPr>
        <w:t>规定，在自然保护区的核心区和缓冲区内，不得建设任何生产设施；在自然保护区的实验区内，不得建设污染环境、破坏资源或者景观的生产设施；在自然保护区的外围保护地带建设的项目，不得损害自然保护区内的环境质量。</w:t>
      </w:r>
    </w:p>
    <w:p w14:paraId="639CA39C" w14:textId="77777777" w:rsidR="007D1E74" w:rsidRDefault="00A95641">
      <w:pPr>
        <w:autoSpaceDE w:val="0"/>
        <w:autoSpaceDN w:val="0"/>
        <w:adjustRightInd w:val="0"/>
        <w:spacing w:line="360" w:lineRule="auto"/>
        <w:ind w:firstLineChars="200" w:firstLine="482"/>
        <w:contextualSpacing/>
        <w:jc w:val="left"/>
        <w:rPr>
          <w:b/>
          <w:kern w:val="0"/>
          <w:sz w:val="24"/>
        </w:rPr>
      </w:pPr>
      <w:r>
        <w:rPr>
          <w:rFonts w:cs="Times New Roman"/>
          <w:b/>
          <w:kern w:val="0"/>
          <w:sz w:val="24"/>
        </w:rPr>
        <w:t>本项目</w:t>
      </w:r>
      <w:r>
        <w:rPr>
          <w:rFonts w:cs="Times New Roman" w:hint="eastAsia"/>
          <w:b/>
          <w:kern w:val="0"/>
          <w:sz w:val="24"/>
        </w:rPr>
        <w:t>为天然气集输管线工程项目，营运期几乎无污染物产生，且项目</w:t>
      </w:r>
      <w:r>
        <w:rPr>
          <w:rFonts w:cs="Times New Roman"/>
          <w:b/>
          <w:kern w:val="0"/>
          <w:sz w:val="24"/>
        </w:rPr>
        <w:t>不涉及自</w:t>
      </w:r>
      <w:r>
        <w:rPr>
          <w:rFonts w:cs="Times New Roman"/>
          <w:b/>
          <w:kern w:val="0"/>
          <w:sz w:val="24"/>
        </w:rPr>
        <w:lastRenderedPageBreak/>
        <w:t>然保护的核心区，</w:t>
      </w:r>
      <w:r>
        <w:rPr>
          <w:rFonts w:cs="Times New Roman" w:hint="eastAsia"/>
          <w:b/>
          <w:kern w:val="0"/>
          <w:sz w:val="24"/>
        </w:rPr>
        <w:t>穿越自然保护区缓冲区和实验区时均为定向钻穿越，不属于</w:t>
      </w:r>
      <w:r>
        <w:rPr>
          <w:rFonts w:cs="Times New Roman"/>
          <w:b/>
          <w:kern w:val="0"/>
          <w:sz w:val="24"/>
        </w:rPr>
        <w:t>污染环境、破坏资源或者景观的生产设施</w:t>
      </w:r>
      <w:r>
        <w:rPr>
          <w:rFonts w:cs="Times New Roman" w:hint="eastAsia"/>
          <w:b/>
          <w:kern w:val="0"/>
          <w:sz w:val="24"/>
        </w:rPr>
        <w:t>，因此项目建设</w:t>
      </w:r>
      <w:r>
        <w:rPr>
          <w:rFonts w:cs="Times New Roman"/>
          <w:b/>
          <w:kern w:val="0"/>
          <w:sz w:val="24"/>
        </w:rPr>
        <w:t>与《中华人民共和国自然保护区条例》相符。</w:t>
      </w:r>
    </w:p>
    <w:p w14:paraId="0B3D7722" w14:textId="77777777" w:rsidR="007D1E74" w:rsidRDefault="00A95641">
      <w:pPr>
        <w:pStyle w:val="aa"/>
      </w:pPr>
      <w:r>
        <w:t>与《风景名胜区条例》符合性分析</w:t>
      </w:r>
    </w:p>
    <w:p w14:paraId="50101690" w14:textId="77777777" w:rsidR="007D1E74" w:rsidRDefault="00A95641">
      <w:pPr>
        <w:autoSpaceDE w:val="0"/>
        <w:autoSpaceDN w:val="0"/>
        <w:adjustRightInd w:val="0"/>
        <w:spacing w:line="360" w:lineRule="auto"/>
        <w:ind w:firstLineChars="200" w:firstLine="480"/>
        <w:contextualSpacing/>
        <w:jc w:val="left"/>
        <w:rPr>
          <w:kern w:val="0"/>
          <w:sz w:val="24"/>
        </w:rPr>
      </w:pPr>
      <w:r>
        <w:rPr>
          <w:rFonts w:cs="Times New Roman"/>
          <w:kern w:val="0"/>
          <w:sz w:val="24"/>
        </w:rPr>
        <w:t>根据《风景名胜区条例》</w:t>
      </w:r>
      <w:r>
        <w:rPr>
          <w:rFonts w:cs="Times New Roman"/>
          <w:kern w:val="0"/>
          <w:sz w:val="24"/>
        </w:rPr>
        <w:t>(2016.2.6</w:t>
      </w:r>
      <w:r>
        <w:rPr>
          <w:rFonts w:cs="Times New Roman"/>
          <w:kern w:val="0"/>
          <w:sz w:val="24"/>
        </w:rPr>
        <w:t>修订</w:t>
      </w:r>
      <w:r>
        <w:rPr>
          <w:rFonts w:cs="Times New Roman"/>
          <w:kern w:val="0"/>
          <w:sz w:val="24"/>
        </w:rPr>
        <w:t>)</w:t>
      </w:r>
      <w:r>
        <w:rPr>
          <w:rFonts w:cs="Times New Roman"/>
          <w:kern w:val="0"/>
          <w:sz w:val="24"/>
        </w:rPr>
        <w:t>，风景名胜区内的景观和自然环境，应当根据可持续发展的原则，严格保护，不得破坏或者随意改变，风景名胜区内的建设项目应当符合风景名胜区规划，并与景观相协调，不得破坏景观、污染环境、妨碍游览；在风景名胜区内进行建设活动的，建设单位、施工单位应当制定污染防治和水土保持方案，并采取有效措施，保护好周围景物、水体、林草植被、野生动物资源和地形地貌；在风景名胜区内禁止进行下列活动：</w:t>
      </w:r>
      <w:r>
        <w:rPr>
          <w:rFonts w:cs="Times New Roman"/>
          <w:kern w:val="0"/>
          <w:sz w:val="24"/>
        </w:rPr>
        <w:t>①</w:t>
      </w:r>
      <w:r>
        <w:rPr>
          <w:rFonts w:cs="Times New Roman"/>
          <w:kern w:val="0"/>
          <w:sz w:val="24"/>
        </w:rPr>
        <w:t>开山、采石、开矿、开荒、修坟立碑等破坏景观、植被和地形地貌的活动；</w:t>
      </w:r>
      <w:r>
        <w:rPr>
          <w:rFonts w:cs="Times New Roman"/>
          <w:kern w:val="0"/>
          <w:sz w:val="24"/>
        </w:rPr>
        <w:t>②</w:t>
      </w:r>
      <w:r>
        <w:rPr>
          <w:rFonts w:cs="Times New Roman"/>
          <w:kern w:val="0"/>
          <w:sz w:val="24"/>
        </w:rPr>
        <w:t>修建储存爆炸性、易燃性、放射性、毒害性、腐蚀性物品的设施；</w:t>
      </w:r>
      <w:r>
        <w:rPr>
          <w:rFonts w:cs="Times New Roman"/>
          <w:kern w:val="0"/>
          <w:sz w:val="24"/>
        </w:rPr>
        <w:t>③</w:t>
      </w:r>
      <w:r>
        <w:rPr>
          <w:rFonts w:cs="Times New Roman"/>
          <w:kern w:val="0"/>
          <w:sz w:val="24"/>
        </w:rPr>
        <w:t>在景物或者设施上刻划、涂污；</w:t>
      </w:r>
      <w:r>
        <w:rPr>
          <w:rFonts w:cs="Times New Roman"/>
          <w:kern w:val="0"/>
          <w:sz w:val="24"/>
        </w:rPr>
        <w:t>④</w:t>
      </w:r>
      <w:r>
        <w:rPr>
          <w:rFonts w:cs="Times New Roman"/>
          <w:kern w:val="0"/>
          <w:sz w:val="24"/>
        </w:rPr>
        <w:t>乱扔垃圾。</w:t>
      </w:r>
    </w:p>
    <w:p w14:paraId="143E6988" w14:textId="77777777" w:rsidR="007D1E74" w:rsidRDefault="00A95641">
      <w:pPr>
        <w:autoSpaceDE w:val="0"/>
        <w:autoSpaceDN w:val="0"/>
        <w:adjustRightInd w:val="0"/>
        <w:spacing w:line="360" w:lineRule="auto"/>
        <w:ind w:firstLineChars="200" w:firstLine="480"/>
        <w:contextualSpacing/>
        <w:jc w:val="left"/>
        <w:rPr>
          <w:kern w:val="0"/>
          <w:sz w:val="24"/>
        </w:rPr>
      </w:pPr>
      <w:r>
        <w:rPr>
          <w:rFonts w:cs="Times New Roman"/>
          <w:kern w:val="0"/>
          <w:sz w:val="24"/>
        </w:rPr>
        <w:t>本项目评价范围内无风景名胜区，不会对环境造成影响，因此本项目符合。</w:t>
      </w:r>
    </w:p>
    <w:p w14:paraId="39634A5E" w14:textId="77777777" w:rsidR="007D1E74" w:rsidRDefault="00A95641">
      <w:pPr>
        <w:pStyle w:val="a9"/>
      </w:pPr>
      <w:r>
        <w:t>规划符合性分析</w:t>
      </w:r>
    </w:p>
    <w:p w14:paraId="3128C853" w14:textId="77777777" w:rsidR="007D1E74" w:rsidRDefault="00A95641">
      <w:pPr>
        <w:pStyle w:val="aa"/>
      </w:pPr>
      <w:r>
        <w:t>与国家发展规划符合性分析</w:t>
      </w:r>
    </w:p>
    <w:p w14:paraId="0499D945" w14:textId="77777777" w:rsidR="007D1E74" w:rsidRDefault="00A95641">
      <w:pPr>
        <w:autoSpaceDE w:val="0"/>
        <w:autoSpaceDN w:val="0"/>
        <w:adjustRightInd w:val="0"/>
        <w:spacing w:line="360" w:lineRule="auto"/>
        <w:ind w:firstLineChars="200" w:firstLine="482"/>
        <w:contextualSpacing/>
        <w:jc w:val="left"/>
        <w:rPr>
          <w:b/>
          <w:bCs/>
          <w:kern w:val="0"/>
          <w:sz w:val="24"/>
        </w:rPr>
      </w:pPr>
      <w:r>
        <w:rPr>
          <w:rFonts w:cs="Times New Roman"/>
          <w:b/>
          <w:bCs/>
          <w:kern w:val="0"/>
          <w:sz w:val="24"/>
        </w:rPr>
        <w:t>（</w:t>
      </w:r>
      <w:r>
        <w:rPr>
          <w:rFonts w:cs="Times New Roman"/>
          <w:b/>
          <w:bCs/>
          <w:kern w:val="0"/>
          <w:sz w:val="24"/>
        </w:rPr>
        <w:t>1</w:t>
      </w:r>
      <w:r>
        <w:rPr>
          <w:rFonts w:cs="Times New Roman"/>
          <w:b/>
          <w:bCs/>
          <w:kern w:val="0"/>
          <w:sz w:val="24"/>
        </w:rPr>
        <w:t>）与《能源发展战略行动计划（</w:t>
      </w:r>
      <w:r>
        <w:rPr>
          <w:rFonts w:cs="Times New Roman"/>
          <w:b/>
          <w:bCs/>
          <w:kern w:val="0"/>
          <w:sz w:val="24"/>
        </w:rPr>
        <w:t>2014-2020</w:t>
      </w:r>
      <w:r>
        <w:rPr>
          <w:rFonts w:cs="Times New Roman"/>
          <w:b/>
          <w:bCs/>
          <w:kern w:val="0"/>
          <w:sz w:val="24"/>
        </w:rPr>
        <w:t>年）》符合性分析</w:t>
      </w:r>
    </w:p>
    <w:p w14:paraId="1D30D9A0" w14:textId="77777777" w:rsidR="007D1E74" w:rsidRDefault="00A95641">
      <w:pPr>
        <w:autoSpaceDE w:val="0"/>
        <w:autoSpaceDN w:val="0"/>
        <w:adjustRightInd w:val="0"/>
        <w:spacing w:line="360" w:lineRule="auto"/>
        <w:ind w:firstLineChars="200" w:firstLine="480"/>
        <w:contextualSpacing/>
        <w:jc w:val="left"/>
        <w:rPr>
          <w:kern w:val="0"/>
          <w:sz w:val="24"/>
        </w:rPr>
      </w:pPr>
      <w:r>
        <w:rPr>
          <w:rFonts w:cs="Times New Roman"/>
          <w:kern w:val="0"/>
          <w:sz w:val="24"/>
        </w:rPr>
        <w:t>根据国务院办公厅于</w:t>
      </w:r>
      <w:r>
        <w:rPr>
          <w:rFonts w:cs="Times New Roman"/>
          <w:kern w:val="0"/>
          <w:sz w:val="24"/>
        </w:rPr>
        <w:t>2014</w:t>
      </w:r>
      <w:r>
        <w:rPr>
          <w:rFonts w:cs="Times New Roman"/>
          <w:kern w:val="0"/>
          <w:sz w:val="24"/>
        </w:rPr>
        <w:t>年印发的《能源发展战略行动计划（</w:t>
      </w:r>
      <w:r>
        <w:rPr>
          <w:rFonts w:cs="Times New Roman"/>
          <w:kern w:val="0"/>
          <w:sz w:val="24"/>
        </w:rPr>
        <w:t>2014-2020</w:t>
      </w:r>
      <w:r>
        <w:rPr>
          <w:rFonts w:cs="Times New Roman"/>
          <w:kern w:val="0"/>
          <w:sz w:val="24"/>
        </w:rPr>
        <w:t>年）》（国办发〔</w:t>
      </w:r>
      <w:r>
        <w:rPr>
          <w:rFonts w:cs="Times New Roman"/>
          <w:kern w:val="0"/>
          <w:sz w:val="24"/>
        </w:rPr>
        <w:t>2014</w:t>
      </w:r>
      <w:r>
        <w:rPr>
          <w:rFonts w:cs="Times New Roman"/>
          <w:kern w:val="0"/>
          <w:sz w:val="24"/>
        </w:rPr>
        <w:t>〕</w:t>
      </w:r>
      <w:r>
        <w:rPr>
          <w:rFonts w:cs="Times New Roman"/>
          <w:kern w:val="0"/>
          <w:sz w:val="24"/>
        </w:rPr>
        <w:t>31</w:t>
      </w:r>
      <w:r>
        <w:rPr>
          <w:rFonts w:cs="Times New Roman"/>
          <w:kern w:val="0"/>
          <w:sz w:val="24"/>
        </w:rPr>
        <w:t>号）主要任务：按照陆地与海域并举、常规与非常规并重的原则，加快常规天然气增储上产，尽快突破非常规天然气发展瓶颈，促进天然气储量产量快速增长。加快常规天然气勘探开发、重点突破页岩气和煤层气开发、积极推进天然气水合物资源勘查与评价。本工程属于</w:t>
      </w:r>
      <w:r>
        <w:rPr>
          <w:rFonts w:cs="Times New Roman" w:hint="eastAsia"/>
          <w:kern w:val="0"/>
          <w:sz w:val="24"/>
        </w:rPr>
        <w:t>天然气集输管线工程项目</w:t>
      </w:r>
      <w:r>
        <w:rPr>
          <w:rFonts w:cs="Times New Roman"/>
          <w:kern w:val="0"/>
          <w:sz w:val="24"/>
        </w:rPr>
        <w:t>，符合大力发展天然气的要求。</w:t>
      </w:r>
    </w:p>
    <w:p w14:paraId="76199362" w14:textId="77777777" w:rsidR="007D1E74" w:rsidRDefault="00A95641">
      <w:pPr>
        <w:autoSpaceDE w:val="0"/>
        <w:autoSpaceDN w:val="0"/>
        <w:adjustRightInd w:val="0"/>
        <w:spacing w:line="360" w:lineRule="auto"/>
        <w:ind w:firstLineChars="200" w:firstLine="480"/>
        <w:contextualSpacing/>
        <w:jc w:val="left"/>
        <w:rPr>
          <w:kern w:val="0"/>
          <w:sz w:val="24"/>
        </w:rPr>
      </w:pPr>
      <w:r>
        <w:rPr>
          <w:rFonts w:cs="Times New Roman"/>
          <w:kern w:val="0"/>
          <w:sz w:val="24"/>
        </w:rPr>
        <w:t>因此，本工程的建设符合《能源发展战略行动计划（</w:t>
      </w:r>
      <w:r>
        <w:rPr>
          <w:rFonts w:cs="Times New Roman"/>
          <w:kern w:val="0"/>
          <w:sz w:val="24"/>
        </w:rPr>
        <w:t>2014-2020</w:t>
      </w:r>
      <w:r>
        <w:rPr>
          <w:rFonts w:cs="Times New Roman"/>
          <w:kern w:val="0"/>
          <w:sz w:val="24"/>
        </w:rPr>
        <w:t>年）》要求。</w:t>
      </w:r>
    </w:p>
    <w:p w14:paraId="4E3802A6" w14:textId="77777777" w:rsidR="007D1E74" w:rsidRDefault="00A95641">
      <w:pPr>
        <w:autoSpaceDE w:val="0"/>
        <w:autoSpaceDN w:val="0"/>
        <w:adjustRightInd w:val="0"/>
        <w:spacing w:line="360" w:lineRule="auto"/>
        <w:ind w:firstLineChars="200" w:firstLine="430"/>
        <w:contextualSpacing/>
        <w:jc w:val="left"/>
        <w:rPr>
          <w:kern w:val="0"/>
          <w:sz w:val="24"/>
        </w:rPr>
      </w:pPr>
      <w:r>
        <w:rPr>
          <w:rFonts w:cs="Times New Roman"/>
          <w:b/>
          <w:spacing w:val="-13"/>
          <w:sz w:val="24"/>
        </w:rPr>
        <w:t>（</w:t>
      </w:r>
      <w:r>
        <w:rPr>
          <w:rFonts w:cs="Times New Roman"/>
          <w:b/>
          <w:spacing w:val="-13"/>
          <w:sz w:val="24"/>
        </w:rPr>
        <w:t>2</w:t>
      </w:r>
      <w:r>
        <w:rPr>
          <w:rFonts w:cs="Times New Roman"/>
          <w:b/>
          <w:spacing w:val="-13"/>
          <w:sz w:val="24"/>
        </w:rPr>
        <w:t>）与《石油天然气发展</w:t>
      </w:r>
      <w:r>
        <w:rPr>
          <w:rFonts w:cs="Times New Roman"/>
          <w:b/>
          <w:spacing w:val="-13"/>
          <w:sz w:val="24"/>
        </w:rPr>
        <w:t>“</w:t>
      </w:r>
      <w:r>
        <w:rPr>
          <w:rFonts w:cs="Times New Roman"/>
          <w:b/>
          <w:spacing w:val="-13"/>
          <w:sz w:val="24"/>
        </w:rPr>
        <w:t>十三五</w:t>
      </w:r>
      <w:r>
        <w:rPr>
          <w:rFonts w:cs="Times New Roman"/>
          <w:b/>
          <w:spacing w:val="-13"/>
          <w:sz w:val="24"/>
        </w:rPr>
        <w:t>”</w:t>
      </w:r>
      <w:r>
        <w:rPr>
          <w:rFonts w:cs="Times New Roman"/>
          <w:b/>
          <w:spacing w:val="-13"/>
          <w:sz w:val="24"/>
        </w:rPr>
        <w:t>规划》</w:t>
      </w:r>
      <w:r>
        <w:rPr>
          <w:rFonts w:cs="Times New Roman"/>
          <w:b/>
          <w:sz w:val="24"/>
        </w:rPr>
        <w:t>（</w:t>
      </w:r>
      <w:r>
        <w:rPr>
          <w:rFonts w:cs="Times New Roman"/>
          <w:b/>
          <w:spacing w:val="-2"/>
          <w:sz w:val="24"/>
        </w:rPr>
        <w:t>发改能源〔</w:t>
      </w:r>
      <w:r>
        <w:rPr>
          <w:rFonts w:eastAsia="Times New Roman" w:cs="Times New Roman"/>
          <w:b/>
          <w:sz w:val="24"/>
        </w:rPr>
        <w:t>2016</w:t>
      </w:r>
      <w:r>
        <w:rPr>
          <w:rFonts w:cs="Times New Roman"/>
          <w:b/>
          <w:spacing w:val="-10"/>
          <w:sz w:val="24"/>
        </w:rPr>
        <w:t>〕</w:t>
      </w:r>
      <w:r>
        <w:rPr>
          <w:rFonts w:eastAsia="Times New Roman" w:cs="Times New Roman"/>
          <w:b/>
          <w:sz w:val="24"/>
        </w:rPr>
        <w:t>2743</w:t>
      </w:r>
      <w:r>
        <w:rPr>
          <w:rFonts w:eastAsia="Times New Roman" w:cs="Times New Roman"/>
          <w:b/>
          <w:spacing w:val="-10"/>
          <w:sz w:val="24"/>
        </w:rPr>
        <w:t xml:space="preserve"> </w:t>
      </w:r>
      <w:r>
        <w:rPr>
          <w:rFonts w:cs="Times New Roman"/>
          <w:b/>
          <w:sz w:val="24"/>
        </w:rPr>
        <w:t>号</w:t>
      </w:r>
      <w:r>
        <w:rPr>
          <w:rFonts w:cs="Times New Roman"/>
          <w:b/>
          <w:spacing w:val="-12"/>
          <w:sz w:val="24"/>
        </w:rPr>
        <w:t>）</w:t>
      </w:r>
      <w:r>
        <w:rPr>
          <w:rFonts w:cs="Times New Roman"/>
          <w:b/>
          <w:spacing w:val="-3"/>
          <w:sz w:val="24"/>
        </w:rPr>
        <w:t>符合性分析</w:t>
      </w:r>
    </w:p>
    <w:p w14:paraId="55CA7172" w14:textId="77777777" w:rsidR="007D1E74" w:rsidRDefault="00A95641">
      <w:pPr>
        <w:autoSpaceDE w:val="0"/>
        <w:autoSpaceDN w:val="0"/>
        <w:adjustRightInd w:val="0"/>
        <w:spacing w:line="360" w:lineRule="auto"/>
        <w:ind w:firstLineChars="200" w:firstLine="480"/>
        <w:contextualSpacing/>
        <w:jc w:val="left"/>
        <w:rPr>
          <w:kern w:val="0"/>
          <w:sz w:val="24"/>
        </w:rPr>
      </w:pPr>
      <w:r>
        <w:rPr>
          <w:rFonts w:cs="Times New Roman"/>
          <w:kern w:val="0"/>
          <w:sz w:val="24"/>
        </w:rPr>
        <w:t>国家发展改革委</w:t>
      </w:r>
      <w:r>
        <w:rPr>
          <w:rFonts w:cs="Times New Roman"/>
          <w:kern w:val="0"/>
          <w:sz w:val="24"/>
        </w:rPr>
        <w:t>2016</w:t>
      </w:r>
      <w:r>
        <w:rPr>
          <w:rFonts w:cs="Times New Roman"/>
          <w:kern w:val="0"/>
          <w:sz w:val="24"/>
        </w:rPr>
        <w:t>年印发的《国家发展改革委关于印发石油天然气发展</w:t>
      </w:r>
      <w:r>
        <w:rPr>
          <w:rFonts w:cs="Times New Roman"/>
          <w:kern w:val="0"/>
          <w:sz w:val="24"/>
        </w:rPr>
        <w:t>“</w:t>
      </w:r>
      <w:r>
        <w:rPr>
          <w:rFonts w:cs="Times New Roman"/>
          <w:kern w:val="0"/>
          <w:sz w:val="24"/>
        </w:rPr>
        <w:t>十三五</w:t>
      </w:r>
      <w:r>
        <w:rPr>
          <w:rFonts w:cs="Times New Roman"/>
          <w:kern w:val="0"/>
          <w:sz w:val="24"/>
        </w:rPr>
        <w:t>”</w:t>
      </w:r>
      <w:r>
        <w:rPr>
          <w:rFonts w:cs="Times New Roman"/>
          <w:kern w:val="0"/>
          <w:sz w:val="24"/>
        </w:rPr>
        <w:t>规划的通知》（发改能源〔</w:t>
      </w:r>
      <w:r>
        <w:rPr>
          <w:rFonts w:cs="Times New Roman"/>
          <w:kern w:val="0"/>
          <w:sz w:val="24"/>
        </w:rPr>
        <w:t>2016</w:t>
      </w:r>
      <w:r>
        <w:rPr>
          <w:rFonts w:cs="Times New Roman"/>
          <w:kern w:val="0"/>
          <w:sz w:val="24"/>
        </w:rPr>
        <w:t>〕</w:t>
      </w:r>
      <w:r>
        <w:rPr>
          <w:rFonts w:cs="Times New Roman"/>
          <w:kern w:val="0"/>
          <w:sz w:val="24"/>
        </w:rPr>
        <w:t>2743</w:t>
      </w:r>
      <w:r>
        <w:rPr>
          <w:rFonts w:cs="Times New Roman"/>
          <w:kern w:val="0"/>
          <w:sz w:val="24"/>
        </w:rPr>
        <w:t>号）明确提出，</w:t>
      </w:r>
      <w:r>
        <w:rPr>
          <w:rFonts w:cs="Times New Roman"/>
          <w:kern w:val="0"/>
          <w:sz w:val="24"/>
        </w:rPr>
        <w:t>“</w:t>
      </w:r>
      <w:r>
        <w:rPr>
          <w:rFonts w:cs="Times New Roman"/>
          <w:kern w:val="0"/>
          <w:sz w:val="24"/>
        </w:rPr>
        <w:t>十三五</w:t>
      </w:r>
      <w:r>
        <w:rPr>
          <w:rFonts w:cs="Times New Roman"/>
          <w:kern w:val="0"/>
          <w:sz w:val="24"/>
        </w:rPr>
        <w:t>”</w:t>
      </w:r>
      <w:r>
        <w:rPr>
          <w:rFonts w:cs="Times New Roman"/>
          <w:kern w:val="0"/>
          <w:sz w:val="24"/>
        </w:rPr>
        <w:t>期间，新建天然气主干及配套管道</w:t>
      </w:r>
      <w:r>
        <w:rPr>
          <w:rFonts w:cs="Times New Roman"/>
          <w:kern w:val="0"/>
          <w:sz w:val="24"/>
        </w:rPr>
        <w:t>4</w:t>
      </w:r>
      <w:r>
        <w:rPr>
          <w:rFonts w:cs="Times New Roman"/>
          <w:kern w:val="0"/>
          <w:sz w:val="24"/>
        </w:rPr>
        <w:t>万公里，</w:t>
      </w:r>
      <w:r>
        <w:rPr>
          <w:rFonts w:cs="Times New Roman"/>
          <w:kern w:val="0"/>
          <w:sz w:val="24"/>
        </w:rPr>
        <w:t>2020</w:t>
      </w:r>
      <w:r>
        <w:rPr>
          <w:rFonts w:cs="Times New Roman"/>
          <w:kern w:val="0"/>
          <w:sz w:val="24"/>
        </w:rPr>
        <w:t>年总里程达到</w:t>
      </w:r>
      <w:r>
        <w:rPr>
          <w:rFonts w:cs="Times New Roman"/>
          <w:kern w:val="0"/>
          <w:sz w:val="24"/>
        </w:rPr>
        <w:t>10.4</w:t>
      </w:r>
      <w:r>
        <w:rPr>
          <w:rFonts w:cs="Times New Roman"/>
          <w:kern w:val="0"/>
          <w:sz w:val="24"/>
        </w:rPr>
        <w:t>万公里，干线输气能力超过</w:t>
      </w:r>
      <w:r>
        <w:rPr>
          <w:rFonts w:cs="Times New Roman"/>
          <w:kern w:val="0"/>
          <w:sz w:val="24"/>
        </w:rPr>
        <w:t>4000</w:t>
      </w:r>
      <w:r>
        <w:rPr>
          <w:rFonts w:cs="Times New Roman"/>
          <w:kern w:val="0"/>
          <w:sz w:val="24"/>
        </w:rPr>
        <w:t>亿立方米</w:t>
      </w:r>
      <w:r>
        <w:rPr>
          <w:rFonts w:cs="Times New Roman"/>
          <w:kern w:val="0"/>
          <w:sz w:val="24"/>
        </w:rPr>
        <w:t>/</w:t>
      </w:r>
      <w:r>
        <w:rPr>
          <w:rFonts w:cs="Times New Roman"/>
          <w:kern w:val="0"/>
          <w:sz w:val="24"/>
        </w:rPr>
        <w:t>年。</w:t>
      </w:r>
    </w:p>
    <w:p w14:paraId="526F05C5" w14:textId="77777777" w:rsidR="007D1E74" w:rsidRDefault="00A95641">
      <w:pPr>
        <w:autoSpaceDE w:val="0"/>
        <w:autoSpaceDN w:val="0"/>
        <w:adjustRightInd w:val="0"/>
        <w:spacing w:line="360" w:lineRule="auto"/>
        <w:ind w:firstLineChars="200" w:firstLine="480"/>
        <w:contextualSpacing/>
        <w:jc w:val="left"/>
        <w:rPr>
          <w:kern w:val="0"/>
          <w:sz w:val="24"/>
        </w:rPr>
      </w:pPr>
      <w:r>
        <w:rPr>
          <w:rFonts w:cs="Times New Roman"/>
          <w:kern w:val="0"/>
          <w:sz w:val="24"/>
        </w:rPr>
        <w:t>本项目的建设有效的将各井站进行连通，对井站配套管网建设，符合《国家发展</w:t>
      </w:r>
      <w:r>
        <w:rPr>
          <w:rFonts w:cs="Times New Roman"/>
          <w:kern w:val="0"/>
          <w:sz w:val="24"/>
        </w:rPr>
        <w:lastRenderedPageBreak/>
        <w:t>改革委关于印发石油天然气发展</w:t>
      </w:r>
      <w:r>
        <w:rPr>
          <w:rFonts w:cs="Times New Roman"/>
          <w:kern w:val="0"/>
          <w:sz w:val="24"/>
        </w:rPr>
        <w:t>“</w:t>
      </w:r>
      <w:r>
        <w:rPr>
          <w:rFonts w:cs="Times New Roman"/>
          <w:kern w:val="0"/>
          <w:sz w:val="24"/>
        </w:rPr>
        <w:t>十三五</w:t>
      </w:r>
      <w:r>
        <w:rPr>
          <w:rFonts w:cs="Times New Roman"/>
          <w:kern w:val="0"/>
          <w:sz w:val="24"/>
        </w:rPr>
        <w:t>”</w:t>
      </w:r>
      <w:r>
        <w:rPr>
          <w:rFonts w:cs="Times New Roman"/>
          <w:kern w:val="0"/>
          <w:sz w:val="24"/>
        </w:rPr>
        <w:t>规划的通知》（发改能源〔</w:t>
      </w:r>
      <w:r>
        <w:rPr>
          <w:rFonts w:cs="Times New Roman"/>
          <w:kern w:val="0"/>
          <w:sz w:val="24"/>
        </w:rPr>
        <w:t>2016</w:t>
      </w:r>
      <w:r>
        <w:rPr>
          <w:rFonts w:cs="Times New Roman"/>
          <w:kern w:val="0"/>
          <w:sz w:val="24"/>
        </w:rPr>
        <w:t>〕</w:t>
      </w:r>
      <w:r>
        <w:rPr>
          <w:rFonts w:cs="Times New Roman"/>
          <w:kern w:val="0"/>
          <w:sz w:val="24"/>
        </w:rPr>
        <w:t xml:space="preserve">2743 </w:t>
      </w:r>
      <w:r>
        <w:rPr>
          <w:rFonts w:cs="Times New Roman"/>
          <w:kern w:val="0"/>
          <w:sz w:val="24"/>
        </w:rPr>
        <w:t>号）要求。</w:t>
      </w:r>
    </w:p>
    <w:p w14:paraId="083D2ADD" w14:textId="77777777" w:rsidR="007D1E74" w:rsidRDefault="00A95641">
      <w:pPr>
        <w:autoSpaceDE w:val="0"/>
        <w:autoSpaceDN w:val="0"/>
        <w:adjustRightInd w:val="0"/>
        <w:spacing w:line="360" w:lineRule="auto"/>
        <w:ind w:firstLineChars="200" w:firstLine="482"/>
        <w:contextualSpacing/>
        <w:jc w:val="left"/>
        <w:rPr>
          <w:b/>
          <w:bCs/>
          <w:kern w:val="0"/>
          <w:sz w:val="24"/>
        </w:rPr>
      </w:pPr>
      <w:r>
        <w:rPr>
          <w:rFonts w:cs="Times New Roman"/>
          <w:b/>
          <w:bCs/>
          <w:kern w:val="0"/>
          <w:sz w:val="24"/>
        </w:rPr>
        <w:t>（</w:t>
      </w:r>
      <w:r>
        <w:rPr>
          <w:rFonts w:cs="Times New Roman"/>
          <w:b/>
          <w:bCs/>
          <w:kern w:val="0"/>
          <w:sz w:val="24"/>
        </w:rPr>
        <w:t>3</w:t>
      </w:r>
      <w:r>
        <w:rPr>
          <w:rFonts w:cs="Times New Roman"/>
          <w:b/>
          <w:bCs/>
          <w:kern w:val="0"/>
          <w:sz w:val="24"/>
        </w:rPr>
        <w:t>）与《四川省</w:t>
      </w:r>
      <w:r>
        <w:rPr>
          <w:rFonts w:cs="Times New Roman"/>
          <w:b/>
          <w:bCs/>
          <w:kern w:val="0"/>
          <w:sz w:val="24"/>
        </w:rPr>
        <w:t>“</w:t>
      </w:r>
      <w:r>
        <w:rPr>
          <w:rFonts w:cs="Times New Roman"/>
          <w:b/>
          <w:bCs/>
          <w:kern w:val="0"/>
          <w:sz w:val="24"/>
        </w:rPr>
        <w:t>十三五</w:t>
      </w:r>
      <w:r>
        <w:rPr>
          <w:rFonts w:cs="Times New Roman"/>
          <w:b/>
          <w:bCs/>
          <w:kern w:val="0"/>
          <w:sz w:val="24"/>
        </w:rPr>
        <w:t>”</w:t>
      </w:r>
      <w:r>
        <w:rPr>
          <w:rFonts w:cs="Times New Roman"/>
          <w:b/>
          <w:bCs/>
          <w:kern w:val="0"/>
          <w:sz w:val="24"/>
        </w:rPr>
        <w:t>石油天然气发展规划》（川能源</w:t>
      </w:r>
      <w:r>
        <w:rPr>
          <w:rFonts w:cs="Times New Roman"/>
          <w:b/>
          <w:bCs/>
          <w:kern w:val="0"/>
          <w:sz w:val="24"/>
        </w:rPr>
        <w:t xml:space="preserve">[2017]12 </w:t>
      </w:r>
      <w:r>
        <w:rPr>
          <w:rFonts w:cs="Times New Roman"/>
          <w:b/>
          <w:bCs/>
          <w:kern w:val="0"/>
          <w:sz w:val="24"/>
        </w:rPr>
        <w:t>号）符合性分析</w:t>
      </w:r>
    </w:p>
    <w:p w14:paraId="2DA22106" w14:textId="77777777" w:rsidR="007D1E74" w:rsidRDefault="00A95641">
      <w:pPr>
        <w:autoSpaceDE w:val="0"/>
        <w:autoSpaceDN w:val="0"/>
        <w:adjustRightInd w:val="0"/>
        <w:spacing w:line="360" w:lineRule="auto"/>
        <w:ind w:firstLineChars="200" w:firstLine="480"/>
        <w:contextualSpacing/>
        <w:jc w:val="left"/>
        <w:rPr>
          <w:kern w:val="0"/>
          <w:sz w:val="24"/>
        </w:rPr>
      </w:pPr>
      <w:r>
        <w:rPr>
          <w:rFonts w:cs="Times New Roman"/>
          <w:kern w:val="0"/>
          <w:sz w:val="24"/>
        </w:rPr>
        <w:t>根据四川省能源局于</w:t>
      </w:r>
      <w:r>
        <w:rPr>
          <w:rFonts w:cs="Times New Roman"/>
          <w:kern w:val="0"/>
          <w:sz w:val="24"/>
        </w:rPr>
        <w:t>2017</w:t>
      </w:r>
      <w:r>
        <w:rPr>
          <w:rFonts w:cs="Times New Roman"/>
          <w:kern w:val="0"/>
          <w:sz w:val="24"/>
        </w:rPr>
        <w:t>年印发的《四川省</w:t>
      </w:r>
      <w:r>
        <w:rPr>
          <w:rFonts w:cs="Times New Roman"/>
          <w:kern w:val="0"/>
          <w:sz w:val="24"/>
        </w:rPr>
        <w:t>“</w:t>
      </w:r>
      <w:r>
        <w:rPr>
          <w:rFonts w:cs="Times New Roman"/>
          <w:kern w:val="0"/>
          <w:sz w:val="24"/>
        </w:rPr>
        <w:t>十三五</w:t>
      </w:r>
      <w:r>
        <w:rPr>
          <w:rFonts w:cs="Times New Roman"/>
          <w:kern w:val="0"/>
          <w:sz w:val="24"/>
        </w:rPr>
        <w:t>”</w:t>
      </w:r>
      <w:r>
        <w:rPr>
          <w:rFonts w:cs="Times New Roman"/>
          <w:kern w:val="0"/>
          <w:sz w:val="24"/>
        </w:rPr>
        <w:t>石油天然气发展规划》（川能源</w:t>
      </w:r>
      <w:r>
        <w:rPr>
          <w:rFonts w:cs="Times New Roman"/>
          <w:kern w:val="0"/>
          <w:sz w:val="24"/>
        </w:rPr>
        <w:t>[2017]12</w:t>
      </w:r>
      <w:r>
        <w:rPr>
          <w:rFonts w:cs="Times New Roman"/>
          <w:kern w:val="0"/>
          <w:sz w:val="24"/>
        </w:rPr>
        <w:t>号）要求，本着</w:t>
      </w:r>
      <w:r>
        <w:rPr>
          <w:rFonts w:cs="Times New Roman"/>
          <w:kern w:val="0"/>
          <w:sz w:val="24"/>
        </w:rPr>
        <w:t>“</w:t>
      </w:r>
      <w:r>
        <w:rPr>
          <w:rFonts w:cs="Times New Roman"/>
          <w:kern w:val="0"/>
          <w:sz w:val="24"/>
        </w:rPr>
        <w:t>统筹兼顾、优化布局、适度超前的原则建设完善广覆盖、多层次的油气管网系统，加快川南页岩气产区、天府新区、攀西地区等重点区域天然气长输管道项目建设，延伸和完善天然气支线管道，进一步优化天然气输配网络，完善管网系统，顶计</w:t>
      </w:r>
      <w:r>
        <w:rPr>
          <w:rFonts w:cs="Times New Roman"/>
          <w:kern w:val="0"/>
          <w:sz w:val="24"/>
        </w:rPr>
        <w:t>“</w:t>
      </w:r>
      <w:r>
        <w:rPr>
          <w:rFonts w:cs="Times New Roman"/>
          <w:kern w:val="0"/>
          <w:sz w:val="24"/>
        </w:rPr>
        <w:t>十三五</w:t>
      </w:r>
      <w:r>
        <w:rPr>
          <w:rFonts w:cs="Times New Roman"/>
          <w:kern w:val="0"/>
          <w:sz w:val="24"/>
        </w:rPr>
        <w:t>”</w:t>
      </w:r>
      <w:r>
        <w:rPr>
          <w:rFonts w:cs="Times New Roman"/>
          <w:kern w:val="0"/>
          <w:sz w:val="24"/>
        </w:rPr>
        <w:t>期间，新增输气管道</w:t>
      </w:r>
      <w:r>
        <w:rPr>
          <w:rFonts w:cs="Times New Roman"/>
          <w:kern w:val="0"/>
          <w:sz w:val="24"/>
        </w:rPr>
        <w:t>1120</w:t>
      </w:r>
      <w:r>
        <w:rPr>
          <w:rFonts w:cs="Times New Roman"/>
          <w:kern w:val="0"/>
          <w:sz w:val="24"/>
        </w:rPr>
        <w:t>公里以上，新增天然气输送能力</w:t>
      </w:r>
      <w:r>
        <w:rPr>
          <w:rFonts w:cs="Times New Roman"/>
          <w:kern w:val="0"/>
          <w:sz w:val="24"/>
        </w:rPr>
        <w:t>200</w:t>
      </w:r>
      <w:r>
        <w:rPr>
          <w:rFonts w:cs="Times New Roman"/>
          <w:kern w:val="0"/>
          <w:sz w:val="24"/>
        </w:rPr>
        <w:t>亿立方米</w:t>
      </w:r>
      <w:r>
        <w:rPr>
          <w:rFonts w:cs="Times New Roman"/>
          <w:kern w:val="0"/>
          <w:sz w:val="24"/>
        </w:rPr>
        <w:t>/</w:t>
      </w:r>
      <w:r>
        <w:rPr>
          <w:rFonts w:cs="Times New Roman"/>
          <w:kern w:val="0"/>
          <w:sz w:val="24"/>
        </w:rPr>
        <w:t>年。</w:t>
      </w:r>
    </w:p>
    <w:p w14:paraId="3FD9BA9F" w14:textId="77777777" w:rsidR="007D1E74" w:rsidRDefault="00A95641">
      <w:pPr>
        <w:autoSpaceDE w:val="0"/>
        <w:autoSpaceDN w:val="0"/>
        <w:adjustRightInd w:val="0"/>
        <w:spacing w:line="360" w:lineRule="auto"/>
        <w:ind w:firstLineChars="200" w:firstLine="480"/>
        <w:contextualSpacing/>
        <w:jc w:val="left"/>
        <w:rPr>
          <w:kern w:val="0"/>
          <w:sz w:val="24"/>
        </w:rPr>
      </w:pPr>
      <w:r>
        <w:rPr>
          <w:rFonts w:cs="Times New Roman"/>
          <w:kern w:val="0"/>
          <w:sz w:val="24"/>
        </w:rPr>
        <w:t>因此，本项目管道建设符合四川省</w:t>
      </w:r>
      <w:r>
        <w:rPr>
          <w:rFonts w:cs="Times New Roman"/>
          <w:kern w:val="0"/>
          <w:sz w:val="24"/>
        </w:rPr>
        <w:t>“</w:t>
      </w:r>
      <w:r>
        <w:rPr>
          <w:rFonts w:cs="Times New Roman"/>
          <w:kern w:val="0"/>
          <w:sz w:val="24"/>
        </w:rPr>
        <w:t>十三五</w:t>
      </w:r>
      <w:r>
        <w:rPr>
          <w:rFonts w:cs="Times New Roman"/>
          <w:kern w:val="0"/>
          <w:sz w:val="24"/>
        </w:rPr>
        <w:t>”</w:t>
      </w:r>
      <w:r>
        <w:rPr>
          <w:rFonts w:cs="Times New Roman"/>
          <w:kern w:val="0"/>
          <w:sz w:val="24"/>
        </w:rPr>
        <w:t>石油天然气发展规划要求。</w:t>
      </w:r>
    </w:p>
    <w:p w14:paraId="1ED93EA1" w14:textId="77777777" w:rsidR="007D1E74" w:rsidRDefault="00A95641">
      <w:pPr>
        <w:pStyle w:val="aa"/>
      </w:pPr>
      <w:r>
        <w:t>与《四川实施长江经济带发展负面清单实施细则（试行）》的符合性分析</w:t>
      </w:r>
    </w:p>
    <w:p w14:paraId="0F446A4D" w14:textId="77777777" w:rsidR="007D1E74" w:rsidRDefault="00A95641">
      <w:pPr>
        <w:autoSpaceDE w:val="0"/>
        <w:autoSpaceDN w:val="0"/>
        <w:adjustRightInd w:val="0"/>
        <w:spacing w:line="360" w:lineRule="auto"/>
        <w:ind w:firstLineChars="200" w:firstLine="480"/>
        <w:contextualSpacing/>
        <w:jc w:val="left"/>
        <w:rPr>
          <w:kern w:val="0"/>
          <w:sz w:val="24"/>
        </w:rPr>
      </w:pPr>
      <w:r>
        <w:rPr>
          <w:rFonts w:cs="Times New Roman"/>
          <w:kern w:val="0"/>
          <w:sz w:val="24"/>
        </w:rPr>
        <w:t>按照《四川实施长江经济带发展负面清单（试行）》的相关要求：禁止新建、改建和扩建不符合《长江干线过江通道布局规划》的过长江通道项目（含桥梁、隧道）。同时，四川禁止在自然保护区核心区、缓冲区的岸线和河段范围内，投资建设旅游和生产经营项目，禁止在自然保护区内进行砍伐、放牧、狩猎、捕捞、采药、开垦、烧荒、开矿、采石、挖砂等活动。</w:t>
      </w:r>
    </w:p>
    <w:p w14:paraId="4EAECE35" w14:textId="77777777" w:rsidR="007D1E74" w:rsidRDefault="00A95641">
      <w:pPr>
        <w:autoSpaceDE w:val="0"/>
        <w:autoSpaceDN w:val="0"/>
        <w:adjustRightInd w:val="0"/>
        <w:spacing w:line="360" w:lineRule="auto"/>
        <w:ind w:firstLineChars="200" w:firstLine="480"/>
        <w:contextualSpacing/>
        <w:jc w:val="left"/>
        <w:rPr>
          <w:kern w:val="0"/>
          <w:sz w:val="24"/>
        </w:rPr>
      </w:pPr>
      <w:r>
        <w:rPr>
          <w:rFonts w:cs="Times New Roman"/>
          <w:kern w:val="0"/>
          <w:sz w:val="24"/>
        </w:rPr>
        <w:t>本工程属于</w:t>
      </w:r>
      <w:r>
        <w:rPr>
          <w:rFonts w:cs="Times New Roman" w:hint="eastAsia"/>
          <w:kern w:val="0"/>
          <w:sz w:val="24"/>
        </w:rPr>
        <w:t>天然气集输管线工程项目</w:t>
      </w:r>
      <w:r>
        <w:rPr>
          <w:rFonts w:cs="Times New Roman"/>
          <w:kern w:val="0"/>
          <w:sz w:val="24"/>
        </w:rPr>
        <w:t>，不占用自然保护区核心区、缓冲区，不属于《四川实施长江经济带发展负面清单》中禁止建设的项目，符合相关要求。</w:t>
      </w:r>
    </w:p>
    <w:p w14:paraId="2329B6F9" w14:textId="77777777" w:rsidR="007D1E74" w:rsidRDefault="00A95641">
      <w:pPr>
        <w:pStyle w:val="aa"/>
      </w:pPr>
      <w:r>
        <w:t>与城镇总体规划的相容性分析</w:t>
      </w:r>
    </w:p>
    <w:p w14:paraId="125D41A1" w14:textId="77777777" w:rsidR="007D1E74" w:rsidRDefault="00A95641">
      <w:pPr>
        <w:spacing w:line="360" w:lineRule="auto"/>
        <w:ind w:firstLineChars="200" w:firstLine="480"/>
        <w:rPr>
          <w:bCs/>
          <w:sz w:val="24"/>
        </w:rPr>
      </w:pPr>
      <w:r>
        <w:rPr>
          <w:rFonts w:cs="Times New Roman"/>
          <w:bCs/>
          <w:sz w:val="24"/>
        </w:rPr>
        <w:t>本项目建设分布于巴中市通江县新场镇、青峪镇</w:t>
      </w:r>
      <w:r>
        <w:rPr>
          <w:rFonts w:cs="Times New Roman" w:hint="eastAsia"/>
          <w:bCs/>
          <w:sz w:val="24"/>
        </w:rPr>
        <w:t>和涪阳镇</w:t>
      </w:r>
      <w:r>
        <w:rPr>
          <w:rFonts w:cs="Times New Roman"/>
          <w:bCs/>
          <w:sz w:val="24"/>
        </w:rPr>
        <w:t>。输气管道均位于农村地区，各管道均位于项目城镇规划范围外，管道选址与城镇规划不冲突，因此项目选址与区域规划相符合。项目开工前需取得当地人民政府、自然资源局的同意。</w:t>
      </w:r>
    </w:p>
    <w:p w14:paraId="1EAB88CB" w14:textId="77777777" w:rsidR="007D1E74" w:rsidRDefault="00A95641">
      <w:pPr>
        <w:pStyle w:val="aa"/>
      </w:pPr>
      <w:r>
        <w:t>与生态功能区划的符合性</w:t>
      </w:r>
    </w:p>
    <w:p w14:paraId="35AB9C47" w14:textId="77777777" w:rsidR="007D1E74" w:rsidRDefault="00A95641">
      <w:pPr>
        <w:autoSpaceDE w:val="0"/>
        <w:autoSpaceDN w:val="0"/>
        <w:adjustRightInd w:val="0"/>
        <w:spacing w:line="360" w:lineRule="auto"/>
        <w:ind w:firstLineChars="200" w:firstLine="480"/>
        <w:contextualSpacing/>
        <w:rPr>
          <w:kern w:val="0"/>
          <w:sz w:val="24"/>
        </w:rPr>
      </w:pPr>
      <w:r>
        <w:rPr>
          <w:rFonts w:cs="Times New Roman"/>
          <w:kern w:val="0"/>
          <w:sz w:val="24"/>
        </w:rPr>
        <w:t>根据《四川省生态功能区划》，项目所在地属于</w:t>
      </w:r>
      <w:r>
        <w:rPr>
          <w:rFonts w:cs="Times New Roman"/>
          <w:kern w:val="0"/>
          <w:sz w:val="24"/>
        </w:rPr>
        <w:t>“Ⅰ3-2</w:t>
      </w:r>
      <w:r>
        <w:rPr>
          <w:rFonts w:cs="Times New Roman"/>
          <w:kern w:val="0"/>
          <w:sz w:val="24"/>
        </w:rPr>
        <w:t>大巴山水源涵养与土壤保持生态功能区</w:t>
      </w:r>
      <w:r>
        <w:rPr>
          <w:rFonts w:cs="Times New Roman"/>
          <w:kern w:val="0"/>
          <w:sz w:val="24"/>
        </w:rPr>
        <w:t>”</w:t>
      </w:r>
      <w:r>
        <w:rPr>
          <w:rFonts w:cs="Times New Roman"/>
          <w:kern w:val="0"/>
          <w:sz w:val="24"/>
        </w:rPr>
        <w:t>。该功能区的主要生态服务功能为水源涵养，土壤保持，生物多样性维护，农林业发展。生态发展方向为保护森林植被和水土保持，合理开发和利用自然和人文景观资源，发展特色农业，发展生态产业，培育替代产业和新的经济增长点等。</w:t>
      </w:r>
    </w:p>
    <w:p w14:paraId="1397230B" w14:textId="77777777" w:rsidR="007D1E74" w:rsidRDefault="00A95641">
      <w:pPr>
        <w:autoSpaceDE w:val="0"/>
        <w:autoSpaceDN w:val="0"/>
        <w:adjustRightInd w:val="0"/>
        <w:spacing w:line="360" w:lineRule="auto"/>
        <w:ind w:firstLineChars="200" w:firstLine="480"/>
        <w:contextualSpacing/>
        <w:jc w:val="left"/>
        <w:rPr>
          <w:rFonts w:cs="Times New Roman"/>
          <w:kern w:val="0"/>
          <w:sz w:val="24"/>
        </w:rPr>
      </w:pPr>
      <w:r>
        <w:rPr>
          <w:rFonts w:cs="Times New Roman"/>
          <w:kern w:val="0"/>
          <w:sz w:val="24"/>
        </w:rPr>
        <w:t>本项目不在禁止开发区，不在重点保护区内，</w:t>
      </w:r>
      <w:r>
        <w:rPr>
          <w:rFonts w:cs="Times New Roman"/>
          <w:sz w:val="24"/>
        </w:rPr>
        <w:t>不属于严重环境污染的工程项目，</w:t>
      </w:r>
      <w:r>
        <w:rPr>
          <w:rFonts w:cs="Times New Roman"/>
          <w:kern w:val="0"/>
          <w:sz w:val="24"/>
        </w:rPr>
        <w:lastRenderedPageBreak/>
        <w:t>符合《四川省生态功能区划》要求。</w:t>
      </w:r>
    </w:p>
    <w:p w14:paraId="282808E8" w14:textId="77777777" w:rsidR="007D1E74" w:rsidRDefault="00A95641">
      <w:pPr>
        <w:pStyle w:val="aa"/>
      </w:pPr>
      <w:r>
        <w:t>与其余相关规划符合性分析</w:t>
      </w:r>
    </w:p>
    <w:p w14:paraId="22EA70B1" w14:textId="77777777" w:rsidR="007D1E74" w:rsidRDefault="00A95641">
      <w:pPr>
        <w:pStyle w:val="afff1"/>
        <w:tabs>
          <w:tab w:val="left" w:pos="900"/>
        </w:tabs>
        <w:spacing w:line="356" w:lineRule="auto"/>
        <w:ind w:firstLineChars="200" w:firstLine="482"/>
        <w:rPr>
          <w:rFonts w:ascii="Times New Roman" w:hAnsi="Times New Roman" w:cs="Times New Roman"/>
          <w:b/>
          <w:bCs/>
          <w:sz w:val="24"/>
          <w:szCs w:val="24"/>
        </w:rPr>
      </w:pPr>
      <w:r>
        <w:rPr>
          <w:rFonts w:ascii="Times New Roman" w:hAnsi="Times New Roman" w:cs="Times New Roman"/>
          <w:b/>
          <w:bCs/>
          <w:sz w:val="24"/>
          <w:szCs w:val="24"/>
        </w:rPr>
        <w:t>（</w:t>
      </w:r>
      <w:r>
        <w:rPr>
          <w:rFonts w:ascii="Times New Roman" w:hAnsi="Times New Roman" w:cs="Times New Roman"/>
          <w:b/>
          <w:bCs/>
          <w:sz w:val="24"/>
          <w:szCs w:val="24"/>
        </w:rPr>
        <w:t>1</w:t>
      </w:r>
      <w:r>
        <w:rPr>
          <w:rFonts w:ascii="Times New Roman" w:hAnsi="Times New Roman" w:cs="Times New Roman"/>
          <w:b/>
          <w:bCs/>
          <w:sz w:val="24"/>
          <w:szCs w:val="24"/>
        </w:rPr>
        <w:t>）与《打赢蓝天保卫战三年行动计划》（国发〔</w:t>
      </w:r>
      <w:r>
        <w:rPr>
          <w:rFonts w:ascii="Times New Roman" w:hAnsi="Times New Roman" w:cs="Times New Roman"/>
          <w:b/>
          <w:bCs/>
          <w:sz w:val="24"/>
          <w:szCs w:val="24"/>
        </w:rPr>
        <w:t>2018</w:t>
      </w:r>
      <w:r>
        <w:rPr>
          <w:rFonts w:ascii="Times New Roman" w:hAnsi="Times New Roman" w:cs="Times New Roman"/>
          <w:b/>
          <w:bCs/>
          <w:sz w:val="24"/>
          <w:szCs w:val="24"/>
        </w:rPr>
        <w:t>〕</w:t>
      </w:r>
      <w:r>
        <w:rPr>
          <w:rFonts w:ascii="Times New Roman" w:hAnsi="Times New Roman" w:cs="Times New Roman"/>
          <w:b/>
          <w:bCs/>
          <w:sz w:val="24"/>
          <w:szCs w:val="24"/>
        </w:rPr>
        <w:t>22</w:t>
      </w:r>
      <w:r>
        <w:rPr>
          <w:rFonts w:ascii="Times New Roman" w:hAnsi="Times New Roman" w:cs="Times New Roman"/>
          <w:b/>
          <w:bCs/>
          <w:sz w:val="24"/>
          <w:szCs w:val="24"/>
        </w:rPr>
        <w:t>号）、《四川省人民政府关于印发四川省打赢蓝天保卫战等九个实施方案的通知》（川府发〔</w:t>
      </w:r>
      <w:r>
        <w:rPr>
          <w:rFonts w:ascii="Times New Roman" w:hAnsi="Times New Roman" w:cs="Times New Roman"/>
          <w:b/>
          <w:bCs/>
          <w:sz w:val="24"/>
          <w:szCs w:val="24"/>
        </w:rPr>
        <w:t>2019</w:t>
      </w:r>
      <w:r>
        <w:rPr>
          <w:rFonts w:ascii="Times New Roman" w:hAnsi="Times New Roman" w:cs="Times New Roman"/>
          <w:b/>
          <w:bCs/>
          <w:sz w:val="24"/>
          <w:szCs w:val="24"/>
        </w:rPr>
        <w:t>〕</w:t>
      </w:r>
      <w:r>
        <w:rPr>
          <w:rFonts w:ascii="Times New Roman" w:hAnsi="Times New Roman" w:cs="Times New Roman"/>
          <w:b/>
          <w:bCs/>
          <w:sz w:val="24"/>
          <w:szCs w:val="24"/>
        </w:rPr>
        <w:t>4</w:t>
      </w:r>
      <w:r>
        <w:rPr>
          <w:rFonts w:ascii="Times New Roman" w:hAnsi="Times New Roman" w:cs="Times New Roman"/>
          <w:b/>
          <w:bCs/>
          <w:sz w:val="24"/>
          <w:szCs w:val="24"/>
        </w:rPr>
        <w:t>号）符合性分析</w:t>
      </w:r>
    </w:p>
    <w:p w14:paraId="16F209EC" w14:textId="77777777" w:rsidR="007D1E74" w:rsidRDefault="00A95641">
      <w:pPr>
        <w:pStyle w:val="affe"/>
        <w:spacing w:before="2" w:line="364" w:lineRule="auto"/>
        <w:ind w:left="198" w:right="352" w:firstLine="480"/>
        <w:rPr>
          <w:rFonts w:ascii="Times New Roman" w:hAnsi="Times New Roman"/>
          <w:sz w:val="24"/>
        </w:rPr>
      </w:pPr>
      <w:r>
        <w:rPr>
          <w:rFonts w:ascii="Times New Roman" w:hAnsi="Times New Roman" w:cs="Times New Roman"/>
          <w:sz w:val="24"/>
        </w:rPr>
        <w:t>项目与《打赢蓝天保卫战三年行动计划》（国发〔</w:t>
      </w:r>
      <w:r>
        <w:rPr>
          <w:rFonts w:ascii="Times New Roman" w:hAnsi="Times New Roman" w:cs="Times New Roman"/>
          <w:sz w:val="24"/>
        </w:rPr>
        <w:t>2018</w:t>
      </w:r>
      <w:r>
        <w:rPr>
          <w:rFonts w:ascii="Times New Roman" w:hAnsi="Times New Roman" w:cs="Times New Roman"/>
          <w:sz w:val="24"/>
        </w:rPr>
        <w:t>〕</w:t>
      </w:r>
      <w:r>
        <w:rPr>
          <w:rFonts w:ascii="Times New Roman" w:hAnsi="Times New Roman" w:cs="Times New Roman"/>
          <w:sz w:val="24"/>
        </w:rPr>
        <w:t>22</w:t>
      </w:r>
      <w:r>
        <w:rPr>
          <w:rFonts w:ascii="Times New Roman" w:hAnsi="Times New Roman" w:cs="Times New Roman"/>
          <w:sz w:val="24"/>
        </w:rPr>
        <w:t>号）、《四川省人民政府关于印发四川省打赢蓝天保卫战等九个实施方案的通知》（川府发〔</w:t>
      </w:r>
      <w:r>
        <w:rPr>
          <w:rFonts w:ascii="Times New Roman" w:hAnsi="Times New Roman" w:cs="Times New Roman"/>
          <w:sz w:val="24"/>
        </w:rPr>
        <w:t>2019</w:t>
      </w:r>
      <w:r>
        <w:rPr>
          <w:rFonts w:ascii="Times New Roman" w:hAnsi="Times New Roman" w:cs="Times New Roman"/>
          <w:sz w:val="24"/>
        </w:rPr>
        <w:t>〕</w:t>
      </w:r>
      <w:r>
        <w:rPr>
          <w:rFonts w:ascii="Times New Roman" w:hAnsi="Times New Roman" w:cs="Times New Roman"/>
          <w:sz w:val="24"/>
        </w:rPr>
        <w:t xml:space="preserve">4 </w:t>
      </w:r>
      <w:r>
        <w:rPr>
          <w:rFonts w:ascii="Times New Roman" w:hAnsi="Times New Roman" w:cs="Times New Roman"/>
          <w:sz w:val="24"/>
        </w:rPr>
        <w:t>号）符合性分析见下表。</w:t>
      </w:r>
    </w:p>
    <w:p w14:paraId="5E73717C" w14:textId="77777777" w:rsidR="007D1E74" w:rsidRDefault="00A95641">
      <w:pPr>
        <w:spacing w:before="43" w:after="21"/>
        <w:ind w:right="156"/>
        <w:jc w:val="center"/>
        <w:rPr>
          <w:rFonts w:eastAsia="黑体" w:cs="Times New Roman"/>
        </w:rPr>
      </w:pPr>
      <w:r>
        <w:rPr>
          <w:rFonts w:eastAsia="黑体" w:cs="Times New Roman"/>
        </w:rPr>
        <w:t>表</w:t>
      </w:r>
      <w:r>
        <w:rPr>
          <w:rFonts w:eastAsia="黑体" w:cs="Times New Roman"/>
        </w:rPr>
        <w:t>2.3-</w:t>
      </w:r>
      <w:r>
        <w:rPr>
          <w:rFonts w:eastAsia="黑体" w:cs="Times New Roman" w:hint="eastAsia"/>
        </w:rPr>
        <w:t xml:space="preserve">4  </w:t>
      </w:r>
      <w:r>
        <w:rPr>
          <w:rFonts w:eastAsia="黑体" w:cs="Times New Roman"/>
        </w:rPr>
        <w:t>项目与《打赢蓝天保卫战三年行动计划》（国发〔</w:t>
      </w:r>
      <w:r>
        <w:rPr>
          <w:rFonts w:eastAsia="黑体" w:cs="Times New Roman"/>
        </w:rPr>
        <w:t>2018</w:t>
      </w:r>
      <w:r>
        <w:rPr>
          <w:rFonts w:eastAsia="黑体" w:cs="Times New Roman"/>
        </w:rPr>
        <w:t>〕</w:t>
      </w:r>
      <w:r>
        <w:rPr>
          <w:rFonts w:eastAsia="黑体" w:cs="Times New Roman"/>
        </w:rPr>
        <w:t>22</w:t>
      </w:r>
      <w:r>
        <w:rPr>
          <w:rFonts w:eastAsia="黑体" w:cs="Times New Roman"/>
        </w:rPr>
        <w:t>号）、《四川省人民政府关于印发四川省打赢蓝天保卫战等九个实施方案的通知》（川府发〔</w:t>
      </w:r>
      <w:r>
        <w:rPr>
          <w:rFonts w:eastAsia="黑体" w:cs="Times New Roman"/>
        </w:rPr>
        <w:t>2019</w:t>
      </w:r>
      <w:r>
        <w:rPr>
          <w:rFonts w:eastAsia="黑体" w:cs="Times New Roman"/>
        </w:rPr>
        <w:t>〕</w:t>
      </w:r>
      <w:r>
        <w:rPr>
          <w:rFonts w:eastAsia="黑体" w:cs="Times New Roman"/>
        </w:rPr>
        <w:t>4</w:t>
      </w:r>
      <w:r>
        <w:rPr>
          <w:rFonts w:eastAsia="黑体" w:cs="Times New Roman"/>
        </w:rPr>
        <w:t>号）符合性分析</w:t>
      </w:r>
    </w:p>
    <w:tbl>
      <w:tblPr>
        <w:tblW w:w="0" w:type="auto"/>
        <w:tblInd w:w="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32"/>
        <w:gridCol w:w="5677"/>
        <w:gridCol w:w="1844"/>
        <w:gridCol w:w="876"/>
      </w:tblGrid>
      <w:tr w:rsidR="007D1E74" w14:paraId="418D8EF1" w14:textId="77777777">
        <w:trPr>
          <w:trHeight w:val="531"/>
        </w:trPr>
        <w:tc>
          <w:tcPr>
            <w:tcW w:w="732" w:type="dxa"/>
            <w:vAlign w:val="center"/>
          </w:tcPr>
          <w:p w14:paraId="0DD57838" w14:textId="77777777" w:rsidR="007D1E74" w:rsidRDefault="00A95641">
            <w:pPr>
              <w:pStyle w:val="TableParagraph"/>
              <w:adjustRightInd/>
              <w:jc w:val="center"/>
              <w:rPr>
                <w:rFonts w:ascii="Times New Roman" w:eastAsiaTheme="minorEastAsia" w:hAnsi="Times New Roman"/>
                <w:sz w:val="21"/>
                <w:szCs w:val="21"/>
              </w:rPr>
            </w:pPr>
            <w:r>
              <w:rPr>
                <w:rFonts w:ascii="Times New Roman" w:eastAsiaTheme="minorEastAsia" w:hAnsi="Times New Roman"/>
                <w:sz w:val="21"/>
                <w:szCs w:val="21"/>
              </w:rPr>
              <w:t>规范</w:t>
            </w:r>
          </w:p>
        </w:tc>
        <w:tc>
          <w:tcPr>
            <w:tcW w:w="5677" w:type="dxa"/>
            <w:vAlign w:val="center"/>
          </w:tcPr>
          <w:p w14:paraId="5171AB79" w14:textId="77777777" w:rsidR="007D1E74" w:rsidRDefault="00A95641">
            <w:pPr>
              <w:pStyle w:val="TableParagraph"/>
              <w:adjustRightInd/>
              <w:jc w:val="center"/>
              <w:rPr>
                <w:rFonts w:ascii="Times New Roman" w:eastAsiaTheme="minorEastAsia" w:hAnsi="Times New Roman"/>
                <w:sz w:val="21"/>
                <w:szCs w:val="21"/>
              </w:rPr>
            </w:pPr>
            <w:r>
              <w:rPr>
                <w:rFonts w:ascii="Times New Roman" w:eastAsiaTheme="minorEastAsia" w:hAnsi="Times New Roman"/>
                <w:sz w:val="21"/>
                <w:szCs w:val="21"/>
              </w:rPr>
              <w:t>要求</w:t>
            </w:r>
          </w:p>
        </w:tc>
        <w:tc>
          <w:tcPr>
            <w:tcW w:w="1844" w:type="dxa"/>
            <w:vAlign w:val="center"/>
          </w:tcPr>
          <w:p w14:paraId="10CC2477" w14:textId="77777777" w:rsidR="007D1E74" w:rsidRDefault="00A95641">
            <w:pPr>
              <w:pStyle w:val="TableParagraph"/>
              <w:adjustRightInd/>
              <w:jc w:val="center"/>
              <w:rPr>
                <w:rFonts w:ascii="Times New Roman" w:eastAsiaTheme="minorEastAsia" w:hAnsi="Times New Roman"/>
                <w:sz w:val="21"/>
                <w:szCs w:val="21"/>
              </w:rPr>
            </w:pPr>
            <w:r>
              <w:rPr>
                <w:rFonts w:ascii="Times New Roman" w:eastAsiaTheme="minorEastAsia" w:hAnsi="Times New Roman"/>
                <w:sz w:val="21"/>
                <w:szCs w:val="21"/>
              </w:rPr>
              <w:t>本项目</w:t>
            </w:r>
          </w:p>
        </w:tc>
        <w:tc>
          <w:tcPr>
            <w:tcW w:w="876" w:type="dxa"/>
            <w:vAlign w:val="center"/>
          </w:tcPr>
          <w:p w14:paraId="029FA51A" w14:textId="77777777" w:rsidR="007D1E74" w:rsidRDefault="00A95641">
            <w:pPr>
              <w:pStyle w:val="TableParagraph"/>
              <w:adjustRightInd/>
              <w:jc w:val="center"/>
              <w:rPr>
                <w:rFonts w:ascii="Times New Roman" w:eastAsiaTheme="minorEastAsia" w:hAnsi="Times New Roman"/>
                <w:sz w:val="21"/>
                <w:szCs w:val="21"/>
              </w:rPr>
            </w:pPr>
            <w:r>
              <w:rPr>
                <w:rFonts w:ascii="Times New Roman" w:eastAsiaTheme="minorEastAsia" w:hAnsi="Times New Roman" w:hint="eastAsia"/>
                <w:sz w:val="21"/>
                <w:szCs w:val="21"/>
              </w:rPr>
              <w:t>符合性分析</w:t>
            </w:r>
          </w:p>
        </w:tc>
      </w:tr>
      <w:tr w:rsidR="007D1E74" w14:paraId="76EE211F" w14:textId="77777777">
        <w:trPr>
          <w:trHeight w:val="2335"/>
        </w:trPr>
        <w:tc>
          <w:tcPr>
            <w:tcW w:w="732" w:type="dxa"/>
            <w:vAlign w:val="center"/>
          </w:tcPr>
          <w:p w14:paraId="6EB18BBE" w14:textId="77777777" w:rsidR="007D1E74" w:rsidRDefault="00A95641">
            <w:pPr>
              <w:pStyle w:val="TableParagraph"/>
              <w:adjustRightInd/>
              <w:jc w:val="center"/>
              <w:rPr>
                <w:rFonts w:ascii="Times New Roman" w:eastAsiaTheme="minorEastAsia" w:hAnsi="Times New Roman"/>
                <w:sz w:val="21"/>
                <w:szCs w:val="21"/>
              </w:rPr>
            </w:pPr>
            <w:r>
              <w:rPr>
                <w:rFonts w:ascii="Times New Roman" w:eastAsiaTheme="minorEastAsia" w:hAnsi="Times New Roman"/>
                <w:spacing w:val="-9"/>
                <w:sz w:val="21"/>
                <w:szCs w:val="21"/>
              </w:rPr>
              <w:t>《打赢蓝天保卫战三年行动</w:t>
            </w:r>
            <w:r>
              <w:rPr>
                <w:rFonts w:ascii="Times New Roman" w:eastAsiaTheme="minorEastAsia" w:hAnsi="Times New Roman"/>
                <w:sz w:val="21"/>
                <w:szCs w:val="21"/>
              </w:rPr>
              <w:t>计</w:t>
            </w:r>
            <w:r>
              <w:rPr>
                <w:rFonts w:ascii="Times New Roman" w:eastAsiaTheme="minorEastAsia" w:hAnsi="Times New Roman"/>
                <w:sz w:val="21"/>
                <w:szCs w:val="21"/>
              </w:rPr>
              <w:t xml:space="preserve"> </w:t>
            </w:r>
            <w:r>
              <w:rPr>
                <w:rFonts w:ascii="Times New Roman" w:eastAsiaTheme="minorEastAsia" w:hAnsi="Times New Roman"/>
                <w:spacing w:val="-9"/>
                <w:sz w:val="21"/>
                <w:szCs w:val="21"/>
              </w:rPr>
              <w:t>划》</w:t>
            </w:r>
          </w:p>
        </w:tc>
        <w:tc>
          <w:tcPr>
            <w:tcW w:w="5677" w:type="dxa"/>
            <w:vAlign w:val="center"/>
          </w:tcPr>
          <w:p w14:paraId="2C4AE0DA" w14:textId="77777777" w:rsidR="007D1E74" w:rsidRDefault="00A95641">
            <w:pPr>
              <w:pStyle w:val="TableParagraph"/>
              <w:adjustRightInd/>
              <w:jc w:val="center"/>
              <w:rPr>
                <w:rFonts w:ascii="Times New Roman" w:eastAsiaTheme="minorEastAsia" w:hAnsi="Times New Roman"/>
                <w:sz w:val="21"/>
                <w:szCs w:val="21"/>
              </w:rPr>
            </w:pPr>
            <w:r>
              <w:rPr>
                <w:rFonts w:ascii="Times New Roman" w:eastAsiaTheme="minorEastAsia" w:hAnsi="Times New Roman"/>
                <w:sz w:val="21"/>
                <w:szCs w:val="21"/>
              </w:rPr>
              <w:t>（二十）加强扬尘综合治理。严格施工扬尘监管。</w:t>
            </w:r>
            <w:r>
              <w:rPr>
                <w:rFonts w:ascii="Times New Roman" w:eastAsiaTheme="minorEastAsia" w:hAnsi="Times New Roman"/>
                <w:sz w:val="21"/>
                <w:szCs w:val="21"/>
              </w:rPr>
              <w:t xml:space="preserve">2018 </w:t>
            </w:r>
            <w:r>
              <w:rPr>
                <w:rFonts w:ascii="Times New Roman" w:eastAsiaTheme="minorEastAsia" w:hAnsi="Times New Roman"/>
                <w:sz w:val="21"/>
                <w:szCs w:val="21"/>
              </w:rPr>
              <w:t>年底前，各地建立施工工地管理清单。因地制宜稳步发展装配式建筑。将施工工地扬尘污染防治纳入文明施工管理范畴，建立扬尘控制责任制度，扬尘治理费用列入工程造价。重点区域建筑施工工地要做到工地周边围挡、物料堆放覆盖、土方开挖湿法作业、路面硬化、出入车辆清洗、渣土车辆密闭运输</w:t>
            </w:r>
            <w:r>
              <w:rPr>
                <w:rFonts w:ascii="Times New Roman" w:eastAsiaTheme="minorEastAsia" w:hAnsi="Times New Roman"/>
                <w:sz w:val="21"/>
                <w:szCs w:val="21"/>
              </w:rPr>
              <w:t>“</w:t>
            </w:r>
            <w:r>
              <w:rPr>
                <w:rFonts w:ascii="Times New Roman" w:eastAsiaTheme="minorEastAsia" w:hAnsi="Times New Roman"/>
                <w:sz w:val="21"/>
                <w:szCs w:val="21"/>
              </w:rPr>
              <w:t>六个百分之百</w:t>
            </w:r>
            <w:r>
              <w:rPr>
                <w:rFonts w:ascii="Times New Roman" w:eastAsiaTheme="minorEastAsia" w:hAnsi="Times New Roman"/>
                <w:sz w:val="21"/>
                <w:szCs w:val="21"/>
              </w:rPr>
              <w:t>”</w:t>
            </w:r>
            <w:r>
              <w:rPr>
                <w:rFonts w:ascii="Times New Roman" w:eastAsiaTheme="minorEastAsia" w:hAnsi="Times New Roman"/>
                <w:sz w:val="21"/>
                <w:szCs w:val="21"/>
              </w:rPr>
              <w:t>，安装在线监测和视频监控设备，并与当地有关主管部门联网。将扬尘管理工作不到位的不良信息纳入建筑市场信</w:t>
            </w:r>
          </w:p>
          <w:p w14:paraId="4FA0C32B" w14:textId="77777777" w:rsidR="007D1E74" w:rsidRDefault="00A95641">
            <w:pPr>
              <w:pStyle w:val="TableParagraph"/>
              <w:adjustRightInd/>
              <w:jc w:val="center"/>
              <w:rPr>
                <w:rFonts w:ascii="Times New Roman" w:eastAsiaTheme="minorEastAsia" w:hAnsi="Times New Roman"/>
                <w:sz w:val="21"/>
                <w:szCs w:val="21"/>
              </w:rPr>
            </w:pPr>
            <w:r>
              <w:rPr>
                <w:rFonts w:ascii="Times New Roman" w:eastAsiaTheme="minorEastAsia" w:hAnsi="Times New Roman"/>
                <w:sz w:val="21"/>
                <w:szCs w:val="21"/>
              </w:rPr>
              <w:t>用管理体系，情节严重的，列入建筑市场主体</w:t>
            </w:r>
            <w:r>
              <w:rPr>
                <w:rFonts w:ascii="Times New Roman" w:eastAsiaTheme="minorEastAsia" w:hAnsi="Times New Roman"/>
                <w:sz w:val="21"/>
                <w:szCs w:val="21"/>
              </w:rPr>
              <w:t>“</w:t>
            </w:r>
            <w:r>
              <w:rPr>
                <w:rFonts w:ascii="Times New Roman" w:eastAsiaTheme="minorEastAsia" w:hAnsi="Times New Roman"/>
                <w:sz w:val="21"/>
                <w:szCs w:val="21"/>
              </w:rPr>
              <w:t>黑名单</w:t>
            </w:r>
            <w:r>
              <w:rPr>
                <w:rFonts w:ascii="Times New Roman" w:eastAsiaTheme="minorEastAsia" w:hAnsi="Times New Roman"/>
                <w:sz w:val="21"/>
                <w:szCs w:val="21"/>
              </w:rPr>
              <w:t>”</w:t>
            </w:r>
            <w:r>
              <w:rPr>
                <w:rFonts w:ascii="Times New Roman" w:eastAsiaTheme="minorEastAsia" w:hAnsi="Times New Roman"/>
                <w:sz w:val="21"/>
                <w:szCs w:val="21"/>
              </w:rPr>
              <w:t>。</w:t>
            </w:r>
          </w:p>
        </w:tc>
        <w:tc>
          <w:tcPr>
            <w:tcW w:w="1844" w:type="dxa"/>
            <w:vAlign w:val="center"/>
          </w:tcPr>
          <w:p w14:paraId="656C1665" w14:textId="77777777" w:rsidR="007D1E74" w:rsidRDefault="00A95641">
            <w:pPr>
              <w:pStyle w:val="TableParagraph"/>
              <w:adjustRightInd/>
              <w:jc w:val="center"/>
              <w:rPr>
                <w:rFonts w:ascii="Times New Roman" w:eastAsiaTheme="minorEastAsia" w:hAnsi="Times New Roman"/>
                <w:sz w:val="21"/>
                <w:szCs w:val="21"/>
              </w:rPr>
            </w:pPr>
            <w:r>
              <w:rPr>
                <w:rFonts w:ascii="Times New Roman" w:eastAsiaTheme="minorEastAsia" w:hAnsi="Times New Roman"/>
                <w:spacing w:val="-2"/>
                <w:sz w:val="21"/>
                <w:szCs w:val="21"/>
              </w:rPr>
              <w:t>本项目做到施工场地周边围挡、物料堆放覆盖、土石方开挖湿法作业、路面采用砾石进行硬</w:t>
            </w:r>
            <w:r>
              <w:rPr>
                <w:rFonts w:ascii="Times New Roman" w:eastAsiaTheme="minorEastAsia" w:hAnsi="Times New Roman"/>
                <w:sz w:val="21"/>
                <w:szCs w:val="21"/>
              </w:rPr>
              <w:t>化、出入车辆清</w:t>
            </w:r>
            <w:r>
              <w:rPr>
                <w:rFonts w:ascii="Times New Roman" w:eastAsiaTheme="minorEastAsia" w:hAnsi="Times New Roman"/>
                <w:spacing w:val="-2"/>
                <w:sz w:val="21"/>
                <w:szCs w:val="21"/>
              </w:rPr>
              <w:t>洗、渣土车辆密闭</w:t>
            </w:r>
            <w:r>
              <w:rPr>
                <w:rFonts w:ascii="Times New Roman" w:eastAsiaTheme="minorEastAsia" w:hAnsi="Times New Roman"/>
                <w:sz w:val="21"/>
                <w:szCs w:val="21"/>
              </w:rPr>
              <w:t>运输</w:t>
            </w:r>
            <w:r>
              <w:rPr>
                <w:rFonts w:ascii="Times New Roman" w:eastAsiaTheme="minorEastAsia" w:hAnsi="Times New Roman"/>
                <w:sz w:val="21"/>
                <w:szCs w:val="21"/>
              </w:rPr>
              <w:t>“</w:t>
            </w:r>
            <w:r>
              <w:rPr>
                <w:rFonts w:ascii="Times New Roman" w:eastAsiaTheme="minorEastAsia" w:hAnsi="Times New Roman"/>
                <w:sz w:val="21"/>
                <w:szCs w:val="21"/>
              </w:rPr>
              <w:t>六个百分百</w:t>
            </w:r>
            <w:r>
              <w:rPr>
                <w:rFonts w:ascii="Times New Roman" w:eastAsiaTheme="minorEastAsia" w:hAnsi="Times New Roman"/>
                <w:sz w:val="21"/>
                <w:szCs w:val="21"/>
              </w:rPr>
              <w:t>”</w:t>
            </w:r>
          </w:p>
        </w:tc>
        <w:tc>
          <w:tcPr>
            <w:tcW w:w="876" w:type="dxa"/>
            <w:vAlign w:val="center"/>
          </w:tcPr>
          <w:p w14:paraId="7EA40F5B" w14:textId="77777777" w:rsidR="007D1E74" w:rsidRDefault="00A95641">
            <w:pPr>
              <w:pStyle w:val="TableParagraph"/>
              <w:adjustRightInd/>
              <w:jc w:val="center"/>
              <w:rPr>
                <w:rFonts w:ascii="Times New Roman" w:eastAsiaTheme="minorEastAsia" w:hAnsi="Times New Roman"/>
                <w:sz w:val="21"/>
                <w:szCs w:val="21"/>
              </w:rPr>
            </w:pPr>
            <w:r>
              <w:rPr>
                <w:rFonts w:ascii="Times New Roman" w:eastAsiaTheme="minorEastAsia" w:hAnsi="Times New Roman"/>
                <w:sz w:val="21"/>
                <w:szCs w:val="21"/>
              </w:rPr>
              <w:t>符合</w:t>
            </w:r>
          </w:p>
        </w:tc>
      </w:tr>
      <w:tr w:rsidR="007D1E74" w14:paraId="79E1FAAA" w14:textId="77777777">
        <w:trPr>
          <w:trHeight w:val="348"/>
        </w:trPr>
        <w:tc>
          <w:tcPr>
            <w:tcW w:w="732" w:type="dxa"/>
            <w:vAlign w:val="center"/>
          </w:tcPr>
          <w:p w14:paraId="2879A743" w14:textId="77777777" w:rsidR="007D1E74" w:rsidRDefault="00A95641">
            <w:pPr>
              <w:pStyle w:val="TableParagraph"/>
              <w:adjustRightInd/>
              <w:jc w:val="center"/>
              <w:rPr>
                <w:rFonts w:ascii="Times New Roman" w:eastAsiaTheme="minorEastAsia" w:hAnsi="Times New Roman"/>
                <w:sz w:val="21"/>
                <w:szCs w:val="21"/>
              </w:rPr>
            </w:pPr>
            <w:r>
              <w:rPr>
                <w:rFonts w:ascii="Times New Roman" w:eastAsiaTheme="minorEastAsia" w:hAnsi="Times New Roman"/>
                <w:sz w:val="21"/>
                <w:szCs w:val="21"/>
              </w:rPr>
              <w:t>四川省打赢蓝天保卫战等九个实施方案</w:t>
            </w:r>
          </w:p>
        </w:tc>
        <w:tc>
          <w:tcPr>
            <w:tcW w:w="5677" w:type="dxa"/>
            <w:vAlign w:val="center"/>
          </w:tcPr>
          <w:p w14:paraId="5E1278B3" w14:textId="77777777" w:rsidR="007D1E74" w:rsidRDefault="00A95641">
            <w:pPr>
              <w:pStyle w:val="TableParagraph"/>
              <w:adjustRightInd/>
              <w:jc w:val="center"/>
              <w:rPr>
                <w:rFonts w:ascii="Times New Roman" w:eastAsiaTheme="minorEastAsia" w:hAnsi="Times New Roman"/>
                <w:sz w:val="21"/>
                <w:szCs w:val="21"/>
              </w:rPr>
            </w:pPr>
            <w:r>
              <w:rPr>
                <w:rFonts w:ascii="Times New Roman" w:eastAsiaTheme="minorEastAsia" w:hAnsi="Times New Roman"/>
                <w:sz w:val="21"/>
                <w:szCs w:val="21"/>
              </w:rPr>
              <w:t>(</w:t>
            </w:r>
            <w:r>
              <w:rPr>
                <w:rFonts w:ascii="Times New Roman" w:eastAsiaTheme="minorEastAsia" w:hAnsi="Times New Roman"/>
                <w:sz w:val="21"/>
                <w:szCs w:val="21"/>
              </w:rPr>
              <w:t>四</w:t>
            </w:r>
            <w:r>
              <w:rPr>
                <w:rFonts w:ascii="Times New Roman" w:eastAsiaTheme="minorEastAsia" w:hAnsi="Times New Roman"/>
                <w:sz w:val="21"/>
                <w:szCs w:val="21"/>
              </w:rPr>
              <w:t>)</w:t>
            </w:r>
            <w:r>
              <w:rPr>
                <w:rFonts w:ascii="Times New Roman" w:eastAsiaTheme="minorEastAsia" w:hAnsi="Times New Roman"/>
                <w:sz w:val="21"/>
                <w:szCs w:val="21"/>
              </w:rPr>
              <w:t>加强扬尘管控</w:t>
            </w:r>
            <w:r>
              <w:rPr>
                <w:rFonts w:ascii="Times New Roman" w:eastAsiaTheme="minorEastAsia" w:hAnsi="Times New Roman"/>
                <w:sz w:val="21"/>
                <w:szCs w:val="21"/>
              </w:rPr>
              <w:t>,</w:t>
            </w:r>
            <w:r>
              <w:rPr>
                <w:rFonts w:ascii="Times New Roman" w:eastAsiaTheme="minorEastAsia" w:hAnsi="Times New Roman"/>
                <w:sz w:val="21"/>
                <w:szCs w:val="21"/>
              </w:rPr>
              <w:t>提高城市环境管理水平。严格施工扬尘监</w:t>
            </w:r>
            <w:r>
              <w:rPr>
                <w:rFonts w:ascii="Times New Roman" w:eastAsiaTheme="minorEastAsia" w:hAnsi="Times New Roman"/>
                <w:sz w:val="21"/>
                <w:szCs w:val="21"/>
              </w:rPr>
              <w:t xml:space="preserve"> </w:t>
            </w:r>
            <w:r>
              <w:rPr>
                <w:rFonts w:ascii="Times New Roman" w:eastAsiaTheme="minorEastAsia" w:hAnsi="Times New Roman"/>
                <w:sz w:val="21"/>
                <w:szCs w:val="21"/>
              </w:rPr>
              <w:t>管。大力推进装配式建筑，推广节能降耗的建筑新技术和新工艺</w:t>
            </w:r>
            <w:r>
              <w:rPr>
                <w:rFonts w:ascii="Times New Roman" w:eastAsiaTheme="minorEastAsia" w:hAnsi="Times New Roman"/>
                <w:sz w:val="21"/>
                <w:szCs w:val="21"/>
              </w:rPr>
              <w:t>,</w:t>
            </w:r>
            <w:r>
              <w:rPr>
                <w:rFonts w:ascii="Times New Roman" w:eastAsiaTheme="minorEastAsia" w:hAnsi="Times New Roman"/>
                <w:sz w:val="21"/>
                <w:szCs w:val="21"/>
              </w:rPr>
              <w:t>提高绿色施工水平。加强城市施工工地扬尘管控</w:t>
            </w:r>
            <w:r>
              <w:rPr>
                <w:rFonts w:ascii="Times New Roman" w:eastAsiaTheme="minorEastAsia" w:hAnsi="Times New Roman"/>
                <w:spacing w:val="3"/>
                <w:sz w:val="21"/>
                <w:szCs w:val="21"/>
              </w:rPr>
              <w:t>,</w:t>
            </w:r>
            <w:r>
              <w:rPr>
                <w:rFonts w:ascii="Times New Roman" w:eastAsiaTheme="minorEastAsia" w:hAnsi="Times New Roman"/>
                <w:sz w:val="21"/>
                <w:szCs w:val="21"/>
              </w:rPr>
              <w:t>建立扬尘控制责任制度。各地建立施工工地管理清单并定期进行更新。研究制定建筑施工扬尘防治技术导则。严格落实</w:t>
            </w:r>
            <w:r>
              <w:rPr>
                <w:rFonts w:ascii="Times New Roman" w:eastAsiaTheme="minorEastAsia" w:hAnsi="Times New Roman"/>
                <w:sz w:val="21"/>
                <w:szCs w:val="21"/>
              </w:rPr>
              <w:t>“</w:t>
            </w:r>
            <w:r>
              <w:rPr>
                <w:rFonts w:ascii="Times New Roman" w:eastAsiaTheme="minorEastAsia" w:hAnsi="Times New Roman"/>
                <w:sz w:val="21"/>
                <w:szCs w:val="21"/>
              </w:rPr>
              <w:t>六必须、六不准</w:t>
            </w:r>
            <w:r>
              <w:rPr>
                <w:rFonts w:ascii="Times New Roman" w:eastAsiaTheme="minorEastAsia" w:hAnsi="Times New Roman"/>
                <w:sz w:val="21"/>
                <w:szCs w:val="21"/>
              </w:rPr>
              <w:t>”</w:t>
            </w:r>
            <w:r>
              <w:rPr>
                <w:rFonts w:ascii="Times New Roman" w:eastAsiaTheme="minorEastAsia" w:hAnsi="Times New Roman"/>
                <w:sz w:val="21"/>
                <w:szCs w:val="21"/>
              </w:rPr>
              <w:t>管控要求</w:t>
            </w:r>
            <w:r>
              <w:rPr>
                <w:rFonts w:ascii="Times New Roman" w:eastAsiaTheme="minorEastAsia" w:hAnsi="Times New Roman"/>
                <w:spacing w:val="3"/>
                <w:sz w:val="21"/>
                <w:szCs w:val="21"/>
              </w:rPr>
              <w:t>,</w:t>
            </w:r>
            <w:r>
              <w:rPr>
                <w:rFonts w:ascii="Times New Roman" w:eastAsiaTheme="minorEastAsia" w:hAnsi="Times New Roman"/>
                <w:sz w:val="21"/>
                <w:szCs w:val="21"/>
              </w:rPr>
              <w:t>对违法违规的工地</w:t>
            </w:r>
            <w:r>
              <w:rPr>
                <w:rFonts w:ascii="Times New Roman" w:eastAsiaTheme="minorEastAsia" w:hAnsi="Times New Roman"/>
                <w:sz w:val="21"/>
                <w:szCs w:val="21"/>
              </w:rPr>
              <w:t>,</w:t>
            </w:r>
            <w:r>
              <w:rPr>
                <w:rFonts w:ascii="Times New Roman" w:eastAsiaTheme="minorEastAsia" w:hAnsi="Times New Roman"/>
                <w:sz w:val="21"/>
                <w:szCs w:val="21"/>
              </w:rPr>
              <w:t>依法停工整改。将扬尘管理工作不到位的不良信息纳入建筑市场信用管理体系，情节严重的</w:t>
            </w:r>
            <w:r>
              <w:rPr>
                <w:rFonts w:ascii="Times New Roman" w:eastAsiaTheme="minorEastAsia" w:hAnsi="Times New Roman"/>
                <w:sz w:val="21"/>
                <w:szCs w:val="21"/>
              </w:rPr>
              <w:t>,</w:t>
            </w:r>
            <w:r>
              <w:rPr>
                <w:rFonts w:ascii="Times New Roman" w:eastAsiaTheme="minorEastAsia" w:hAnsi="Times New Roman"/>
                <w:spacing w:val="-1"/>
                <w:sz w:val="21"/>
                <w:szCs w:val="21"/>
              </w:rPr>
              <w:t>列入建筑市场主体</w:t>
            </w:r>
            <w:r>
              <w:rPr>
                <w:rFonts w:ascii="Times New Roman" w:eastAsiaTheme="minorEastAsia" w:hAnsi="Times New Roman"/>
                <w:spacing w:val="-1"/>
                <w:sz w:val="21"/>
                <w:szCs w:val="21"/>
              </w:rPr>
              <w:t>“</w:t>
            </w:r>
            <w:r>
              <w:rPr>
                <w:rFonts w:ascii="Times New Roman" w:eastAsiaTheme="minorEastAsia" w:hAnsi="Times New Roman"/>
                <w:spacing w:val="-1"/>
                <w:sz w:val="21"/>
                <w:szCs w:val="21"/>
              </w:rPr>
              <w:t>黑名单</w:t>
            </w:r>
            <w:r>
              <w:rPr>
                <w:rFonts w:ascii="Times New Roman" w:eastAsiaTheme="minorEastAsia" w:hAnsi="Times New Roman"/>
                <w:spacing w:val="-1"/>
                <w:sz w:val="21"/>
                <w:szCs w:val="21"/>
              </w:rPr>
              <w:t>”</w:t>
            </w:r>
            <w:r>
              <w:rPr>
                <w:rFonts w:ascii="Times New Roman" w:eastAsiaTheme="minorEastAsia" w:hAnsi="Times New Roman"/>
                <w:spacing w:val="-1"/>
                <w:sz w:val="21"/>
                <w:szCs w:val="21"/>
              </w:rPr>
              <w:t>。督促建设单位依法将防治</w:t>
            </w:r>
            <w:r>
              <w:rPr>
                <w:rFonts w:ascii="Times New Roman" w:eastAsiaTheme="minorEastAsia" w:hAnsi="Times New Roman"/>
                <w:sz w:val="21"/>
                <w:szCs w:val="21"/>
              </w:rPr>
              <w:t>扬尘污染费用列入工程造价。建立扬尘在线监测体系，加强现场检查力度。严禁露天焚烧建筑垃圾，排放有毒烟尘和气体。加强预拌混凝土和预拌砂浆搅拌站扬尘防治</w:t>
            </w:r>
            <w:r>
              <w:rPr>
                <w:rFonts w:ascii="Times New Roman" w:eastAsiaTheme="minorEastAsia" w:hAnsi="Times New Roman"/>
                <w:spacing w:val="3"/>
                <w:sz w:val="21"/>
                <w:szCs w:val="21"/>
              </w:rPr>
              <w:t>,</w:t>
            </w:r>
            <w:r>
              <w:rPr>
                <w:rFonts w:ascii="Times New Roman" w:eastAsiaTheme="minorEastAsia" w:hAnsi="Times New Roman"/>
                <w:spacing w:val="-2"/>
                <w:sz w:val="21"/>
                <w:szCs w:val="21"/>
              </w:rPr>
              <w:t>严格执行《预拌混</w:t>
            </w:r>
            <w:r>
              <w:rPr>
                <w:rFonts w:ascii="Times New Roman" w:eastAsiaTheme="minorEastAsia" w:hAnsi="Times New Roman"/>
                <w:sz w:val="21"/>
                <w:szCs w:val="21"/>
              </w:rPr>
              <w:t>凝土绿色生产及技术管理规程》，研究制定预拌混凝土和预拌砂浆搅拌站绿色环保标准，严禁在禁搅区内现场搅拌混凝土、砂浆或设置移动式搅拌站</w:t>
            </w:r>
            <w:r>
              <w:rPr>
                <w:rFonts w:ascii="Times New Roman" w:eastAsiaTheme="minorEastAsia" w:hAnsi="Times New Roman"/>
                <w:sz w:val="21"/>
                <w:szCs w:val="21"/>
              </w:rPr>
              <w:t>,</w:t>
            </w:r>
            <w:r>
              <w:rPr>
                <w:rFonts w:ascii="Times New Roman" w:eastAsiaTheme="minorEastAsia" w:hAnsi="Times New Roman"/>
                <w:sz w:val="21"/>
                <w:szCs w:val="21"/>
              </w:rPr>
              <w:t>推进全省绿色搅拌站建设。</w:t>
            </w:r>
          </w:p>
        </w:tc>
        <w:tc>
          <w:tcPr>
            <w:tcW w:w="1844" w:type="dxa"/>
            <w:vAlign w:val="center"/>
          </w:tcPr>
          <w:p w14:paraId="05AD502F" w14:textId="77777777" w:rsidR="007D1E74" w:rsidRDefault="00A95641">
            <w:pPr>
              <w:pStyle w:val="TableParagraph"/>
              <w:adjustRightInd/>
              <w:jc w:val="center"/>
              <w:rPr>
                <w:rFonts w:ascii="Times New Roman" w:eastAsiaTheme="minorEastAsia" w:hAnsi="Times New Roman"/>
                <w:sz w:val="21"/>
                <w:szCs w:val="21"/>
              </w:rPr>
            </w:pPr>
            <w:r>
              <w:rPr>
                <w:rFonts w:ascii="Times New Roman" w:eastAsiaTheme="minorEastAsia" w:hAnsi="Times New Roman"/>
                <w:spacing w:val="-3"/>
                <w:sz w:val="21"/>
                <w:szCs w:val="21"/>
              </w:rPr>
              <w:t>本项目做到施工场地周边围挡、物料堆放覆盖、土石方开挖湿法作业、路面采用砾石进行硬</w:t>
            </w:r>
            <w:r>
              <w:rPr>
                <w:rFonts w:ascii="Times New Roman" w:eastAsiaTheme="minorEastAsia" w:hAnsi="Times New Roman"/>
                <w:sz w:val="21"/>
                <w:szCs w:val="21"/>
              </w:rPr>
              <w:t>化、出入车辆清</w:t>
            </w:r>
            <w:r>
              <w:rPr>
                <w:rFonts w:ascii="Times New Roman" w:eastAsiaTheme="minorEastAsia" w:hAnsi="Times New Roman"/>
                <w:spacing w:val="-3"/>
                <w:sz w:val="21"/>
                <w:szCs w:val="21"/>
              </w:rPr>
              <w:t>洗、渣土车辆密闭</w:t>
            </w:r>
            <w:r>
              <w:rPr>
                <w:rFonts w:ascii="Times New Roman" w:eastAsiaTheme="minorEastAsia" w:hAnsi="Times New Roman"/>
                <w:sz w:val="21"/>
                <w:szCs w:val="21"/>
              </w:rPr>
              <w:t>运输</w:t>
            </w:r>
            <w:r>
              <w:rPr>
                <w:rFonts w:ascii="Times New Roman" w:eastAsiaTheme="minorEastAsia" w:hAnsi="Times New Roman"/>
                <w:sz w:val="21"/>
                <w:szCs w:val="21"/>
              </w:rPr>
              <w:t>“</w:t>
            </w:r>
            <w:r>
              <w:rPr>
                <w:rFonts w:ascii="Times New Roman" w:eastAsiaTheme="minorEastAsia" w:hAnsi="Times New Roman"/>
                <w:sz w:val="21"/>
                <w:szCs w:val="21"/>
              </w:rPr>
              <w:t>六个百分百</w:t>
            </w:r>
            <w:r>
              <w:rPr>
                <w:rFonts w:ascii="Times New Roman" w:eastAsiaTheme="minorEastAsia" w:hAnsi="Times New Roman"/>
                <w:sz w:val="21"/>
                <w:szCs w:val="21"/>
              </w:rPr>
              <w:t>”</w:t>
            </w:r>
          </w:p>
        </w:tc>
        <w:tc>
          <w:tcPr>
            <w:tcW w:w="876" w:type="dxa"/>
            <w:vAlign w:val="center"/>
          </w:tcPr>
          <w:p w14:paraId="64E9D6CA" w14:textId="77777777" w:rsidR="007D1E74" w:rsidRDefault="00A95641">
            <w:pPr>
              <w:pStyle w:val="TableParagraph"/>
              <w:adjustRightInd/>
              <w:jc w:val="center"/>
              <w:rPr>
                <w:rFonts w:ascii="Times New Roman" w:eastAsiaTheme="minorEastAsia" w:hAnsi="Times New Roman"/>
                <w:sz w:val="21"/>
                <w:szCs w:val="21"/>
              </w:rPr>
            </w:pPr>
            <w:r>
              <w:rPr>
                <w:rFonts w:ascii="Times New Roman" w:eastAsiaTheme="minorEastAsia" w:hAnsi="Times New Roman"/>
                <w:sz w:val="21"/>
                <w:szCs w:val="21"/>
              </w:rPr>
              <w:t>符合</w:t>
            </w:r>
          </w:p>
        </w:tc>
      </w:tr>
    </w:tbl>
    <w:p w14:paraId="6D5A528D" w14:textId="77777777" w:rsidR="007D1E74" w:rsidRDefault="00A95641">
      <w:pPr>
        <w:spacing w:line="360" w:lineRule="auto"/>
        <w:ind w:firstLineChars="200" w:firstLine="480"/>
        <w:contextualSpacing/>
        <w:rPr>
          <w:sz w:val="24"/>
        </w:rPr>
      </w:pPr>
      <w:r>
        <w:rPr>
          <w:rFonts w:cs="Times New Roman"/>
          <w:sz w:val="24"/>
        </w:rPr>
        <w:t>由上表可知，项目施工期严格落实</w:t>
      </w:r>
      <w:r>
        <w:rPr>
          <w:rFonts w:cs="Times New Roman"/>
          <w:sz w:val="24"/>
        </w:rPr>
        <w:t>“</w:t>
      </w:r>
      <w:r>
        <w:rPr>
          <w:rFonts w:cs="Times New Roman"/>
          <w:sz w:val="24"/>
        </w:rPr>
        <w:t>六必须、六不准</w:t>
      </w:r>
      <w:r>
        <w:rPr>
          <w:rFonts w:cs="Times New Roman"/>
          <w:sz w:val="24"/>
        </w:rPr>
        <w:t>”</w:t>
      </w:r>
      <w:r>
        <w:rPr>
          <w:rFonts w:cs="Times New Roman"/>
          <w:sz w:val="24"/>
        </w:rPr>
        <w:t>，项目施工现场严禁露天焚烧建筑垃圾、生活垃圾、落叶等排放有毒烟尘和气体的固体废物，重污染天气禁止进行产</w:t>
      </w:r>
      <w:r>
        <w:rPr>
          <w:rFonts w:cs="Times New Roman"/>
          <w:sz w:val="24"/>
        </w:rPr>
        <w:lastRenderedPageBreak/>
        <w:t>生扬尘的作业，项目的建设符合《打赢蓝天保卫战三年行动计划》（国发〔</w:t>
      </w:r>
      <w:r>
        <w:rPr>
          <w:rFonts w:cs="Times New Roman"/>
          <w:sz w:val="24"/>
        </w:rPr>
        <w:t>2018</w:t>
      </w:r>
      <w:r>
        <w:rPr>
          <w:rFonts w:cs="Times New Roman"/>
          <w:sz w:val="24"/>
        </w:rPr>
        <w:t>〕</w:t>
      </w:r>
      <w:r>
        <w:rPr>
          <w:rFonts w:cs="Times New Roman"/>
          <w:sz w:val="24"/>
        </w:rPr>
        <w:t>22</w:t>
      </w:r>
      <w:r>
        <w:rPr>
          <w:rFonts w:cs="Times New Roman"/>
          <w:sz w:val="24"/>
        </w:rPr>
        <w:t>号）、《四川省人民政府关于印发四川省打赢蓝天保卫战等九个实施方案的通知》（川府发〔</w:t>
      </w:r>
      <w:r>
        <w:rPr>
          <w:rFonts w:cs="Times New Roman"/>
          <w:sz w:val="24"/>
        </w:rPr>
        <w:t>2019</w:t>
      </w:r>
      <w:r>
        <w:rPr>
          <w:rFonts w:cs="Times New Roman"/>
          <w:sz w:val="24"/>
        </w:rPr>
        <w:t>〕</w:t>
      </w:r>
      <w:r>
        <w:rPr>
          <w:rFonts w:cs="Times New Roman"/>
          <w:sz w:val="24"/>
        </w:rPr>
        <w:t>4</w:t>
      </w:r>
      <w:r>
        <w:rPr>
          <w:rFonts w:cs="Times New Roman"/>
          <w:sz w:val="24"/>
        </w:rPr>
        <w:t>号）中相关要求。</w:t>
      </w:r>
    </w:p>
    <w:p w14:paraId="3D1DE2BC" w14:textId="77777777" w:rsidR="007D1E74" w:rsidRDefault="00A95641">
      <w:pPr>
        <w:pStyle w:val="a9"/>
      </w:pPr>
      <w:r>
        <w:t>与</w:t>
      </w:r>
      <w:r>
        <w:t>“</w:t>
      </w:r>
      <w:r>
        <w:t>三线一单</w:t>
      </w:r>
      <w:r>
        <w:t>”</w:t>
      </w:r>
      <w:r>
        <w:t>符合性分析</w:t>
      </w:r>
    </w:p>
    <w:p w14:paraId="3E901559" w14:textId="77777777" w:rsidR="007D1E74" w:rsidRDefault="00A95641">
      <w:pPr>
        <w:pStyle w:val="aa"/>
      </w:pPr>
      <w:r>
        <w:t>与</w:t>
      </w:r>
      <w:r>
        <w:t>“</w:t>
      </w:r>
      <w:r>
        <w:t>三线一单</w:t>
      </w:r>
      <w:r>
        <w:t>”</w:t>
      </w:r>
      <w:r>
        <w:t>符合性分析</w:t>
      </w:r>
    </w:p>
    <w:p w14:paraId="388FC303" w14:textId="77777777" w:rsidR="007D1E74" w:rsidRDefault="00A95641">
      <w:pPr>
        <w:spacing w:line="360" w:lineRule="auto"/>
        <w:ind w:firstLineChars="200" w:firstLine="482"/>
        <w:contextualSpacing/>
        <w:rPr>
          <w:b/>
          <w:bCs/>
          <w:sz w:val="24"/>
          <w:szCs w:val="24"/>
        </w:rPr>
      </w:pPr>
      <w:r>
        <w:rPr>
          <w:rFonts w:cs="Times New Roman"/>
          <w:b/>
          <w:bCs/>
          <w:sz w:val="24"/>
          <w:szCs w:val="24"/>
        </w:rPr>
        <w:t>（</w:t>
      </w:r>
      <w:r>
        <w:rPr>
          <w:rFonts w:cs="Times New Roman"/>
          <w:b/>
          <w:bCs/>
          <w:sz w:val="24"/>
          <w:szCs w:val="24"/>
        </w:rPr>
        <w:t>1</w:t>
      </w:r>
      <w:r>
        <w:rPr>
          <w:rFonts w:cs="Times New Roman"/>
          <w:b/>
          <w:bCs/>
          <w:sz w:val="24"/>
          <w:szCs w:val="24"/>
        </w:rPr>
        <w:t>）与生态保护红线的符合性分析</w:t>
      </w:r>
    </w:p>
    <w:p w14:paraId="7E390F18" w14:textId="77777777" w:rsidR="007D1E74" w:rsidRDefault="00A95641">
      <w:pPr>
        <w:spacing w:line="360" w:lineRule="auto"/>
        <w:ind w:firstLineChars="200" w:firstLine="480"/>
        <w:rPr>
          <w:rFonts w:cs="Times New Roman"/>
          <w:sz w:val="24"/>
          <w:szCs w:val="24"/>
        </w:rPr>
      </w:pPr>
      <w:r>
        <w:rPr>
          <w:rFonts w:cs="Times New Roman"/>
          <w:sz w:val="24"/>
          <w:szCs w:val="24"/>
        </w:rPr>
        <w:t>根据《四川省生态环境厅办公室关于印发</w:t>
      </w:r>
      <w:r>
        <w:rPr>
          <w:rFonts w:cs="Times New Roman"/>
          <w:sz w:val="24"/>
          <w:szCs w:val="24"/>
        </w:rPr>
        <w:t>&lt;</w:t>
      </w:r>
      <w:r>
        <w:rPr>
          <w:rFonts w:cs="Times New Roman"/>
          <w:sz w:val="24"/>
          <w:szCs w:val="24"/>
        </w:rPr>
        <w:t>产业园区规划环评</w:t>
      </w:r>
      <w:r>
        <w:rPr>
          <w:rFonts w:cs="Times New Roman"/>
          <w:sz w:val="24"/>
          <w:szCs w:val="24"/>
        </w:rPr>
        <w:t>“</w:t>
      </w:r>
      <w:r>
        <w:rPr>
          <w:rFonts w:cs="Times New Roman"/>
          <w:sz w:val="24"/>
          <w:szCs w:val="24"/>
        </w:rPr>
        <w:t>三线一单</w:t>
      </w:r>
      <w:r>
        <w:rPr>
          <w:rFonts w:cs="Times New Roman"/>
          <w:sz w:val="24"/>
          <w:szCs w:val="24"/>
        </w:rPr>
        <w:t>”</w:t>
      </w:r>
      <w:r>
        <w:rPr>
          <w:rFonts w:cs="Times New Roman"/>
          <w:sz w:val="24"/>
          <w:szCs w:val="24"/>
        </w:rPr>
        <w:t>符合性分析技术要点（试行）</w:t>
      </w:r>
      <w:r>
        <w:rPr>
          <w:rFonts w:cs="Times New Roman"/>
          <w:sz w:val="24"/>
          <w:szCs w:val="24"/>
        </w:rPr>
        <w:t>&gt;</w:t>
      </w:r>
      <w:r>
        <w:rPr>
          <w:rFonts w:cs="Times New Roman"/>
          <w:sz w:val="24"/>
          <w:szCs w:val="24"/>
        </w:rPr>
        <w:t>和</w:t>
      </w:r>
      <w:r>
        <w:rPr>
          <w:rFonts w:cs="Times New Roman"/>
          <w:sz w:val="24"/>
          <w:szCs w:val="24"/>
        </w:rPr>
        <w:t>&lt;</w:t>
      </w:r>
      <w:r>
        <w:rPr>
          <w:rFonts w:cs="Times New Roman"/>
          <w:sz w:val="24"/>
          <w:szCs w:val="24"/>
        </w:rPr>
        <w:t>项目环评</w:t>
      </w:r>
      <w:r>
        <w:rPr>
          <w:rFonts w:cs="Times New Roman"/>
          <w:sz w:val="24"/>
          <w:szCs w:val="24"/>
        </w:rPr>
        <w:t>“</w:t>
      </w:r>
      <w:r>
        <w:rPr>
          <w:rFonts w:cs="Times New Roman"/>
          <w:sz w:val="24"/>
          <w:szCs w:val="24"/>
        </w:rPr>
        <w:t>三线一单</w:t>
      </w:r>
      <w:r>
        <w:rPr>
          <w:rFonts w:cs="Times New Roman"/>
          <w:sz w:val="24"/>
          <w:szCs w:val="24"/>
        </w:rPr>
        <w:t>”</w:t>
      </w:r>
      <w:r>
        <w:rPr>
          <w:rFonts w:cs="Times New Roman"/>
          <w:sz w:val="24"/>
          <w:szCs w:val="24"/>
        </w:rPr>
        <w:t>符合性分析技术要点（试行）</w:t>
      </w:r>
      <w:r>
        <w:rPr>
          <w:rFonts w:cs="Times New Roman"/>
          <w:sz w:val="24"/>
          <w:szCs w:val="24"/>
        </w:rPr>
        <w:t>&gt;</w:t>
      </w:r>
      <w:r>
        <w:rPr>
          <w:rFonts w:cs="Times New Roman"/>
          <w:sz w:val="24"/>
          <w:szCs w:val="24"/>
        </w:rPr>
        <w:t>的通知》（川环办函</w:t>
      </w:r>
      <w:r>
        <w:rPr>
          <w:rFonts w:cs="Times New Roman"/>
          <w:sz w:val="24"/>
          <w:szCs w:val="24"/>
        </w:rPr>
        <w:t>[2021]469</w:t>
      </w:r>
      <w:r>
        <w:rPr>
          <w:rFonts w:cs="Times New Roman"/>
          <w:sz w:val="24"/>
          <w:szCs w:val="24"/>
        </w:rPr>
        <w:t>号），本项目与区域</w:t>
      </w:r>
      <w:r>
        <w:rPr>
          <w:rFonts w:cs="Times New Roman"/>
          <w:sz w:val="24"/>
          <w:szCs w:val="24"/>
        </w:rPr>
        <w:t>“</w:t>
      </w:r>
      <w:r>
        <w:rPr>
          <w:rFonts w:cs="Times New Roman"/>
          <w:sz w:val="24"/>
          <w:szCs w:val="24"/>
        </w:rPr>
        <w:t>三线一单</w:t>
      </w:r>
      <w:r>
        <w:rPr>
          <w:rFonts w:cs="Times New Roman"/>
          <w:sz w:val="24"/>
          <w:szCs w:val="24"/>
        </w:rPr>
        <w:t>”</w:t>
      </w:r>
      <w:r>
        <w:rPr>
          <w:rFonts w:cs="Times New Roman"/>
          <w:sz w:val="24"/>
          <w:szCs w:val="24"/>
        </w:rPr>
        <w:t>符合性分析如下：</w:t>
      </w:r>
    </w:p>
    <w:p w14:paraId="6E051715" w14:textId="77777777" w:rsidR="007D1E74" w:rsidRDefault="00A95641">
      <w:pPr>
        <w:spacing w:line="360" w:lineRule="auto"/>
        <w:ind w:firstLineChars="200" w:firstLine="482"/>
        <w:rPr>
          <w:rFonts w:cs="Times New Roman"/>
          <w:b/>
          <w:bCs/>
          <w:sz w:val="24"/>
          <w:szCs w:val="24"/>
        </w:rPr>
      </w:pPr>
      <w:r>
        <w:rPr>
          <w:rFonts w:cs="Times New Roman" w:hint="eastAsia"/>
          <w:b/>
          <w:bCs/>
          <w:sz w:val="24"/>
          <w:szCs w:val="24"/>
        </w:rPr>
        <w:t>（</w:t>
      </w:r>
      <w:r>
        <w:rPr>
          <w:rFonts w:cs="Times New Roman" w:hint="eastAsia"/>
          <w:b/>
          <w:bCs/>
          <w:sz w:val="24"/>
          <w:szCs w:val="24"/>
        </w:rPr>
        <w:t>1</w:t>
      </w:r>
      <w:r>
        <w:rPr>
          <w:rFonts w:cs="Times New Roman" w:hint="eastAsia"/>
          <w:b/>
          <w:bCs/>
          <w:sz w:val="24"/>
          <w:szCs w:val="24"/>
        </w:rPr>
        <w:t>）</w:t>
      </w:r>
      <w:r>
        <w:rPr>
          <w:rFonts w:cs="Times New Roman"/>
          <w:b/>
          <w:bCs/>
          <w:sz w:val="24"/>
          <w:szCs w:val="24"/>
        </w:rPr>
        <w:t>环境管控单元</w:t>
      </w:r>
    </w:p>
    <w:p w14:paraId="54537B23" w14:textId="77777777" w:rsidR="007D1E74" w:rsidRDefault="00A95641">
      <w:pPr>
        <w:spacing w:line="360" w:lineRule="auto"/>
        <w:ind w:firstLineChars="200" w:firstLine="480"/>
        <w:rPr>
          <w:rFonts w:cs="Times New Roman"/>
          <w:sz w:val="24"/>
          <w:szCs w:val="24"/>
        </w:rPr>
      </w:pPr>
      <w:r>
        <w:rPr>
          <w:rFonts w:cs="Times New Roman"/>
          <w:sz w:val="24"/>
          <w:szCs w:val="24"/>
        </w:rPr>
        <w:t>根据《巴中市人民政府关于实施</w:t>
      </w:r>
      <w:r>
        <w:rPr>
          <w:rFonts w:cs="Times New Roman"/>
          <w:sz w:val="24"/>
          <w:szCs w:val="24"/>
        </w:rPr>
        <w:t>“</w:t>
      </w:r>
      <w:r>
        <w:rPr>
          <w:rFonts w:cs="Times New Roman"/>
          <w:sz w:val="24"/>
          <w:szCs w:val="24"/>
        </w:rPr>
        <w:t>三线一单</w:t>
      </w:r>
      <w:r>
        <w:rPr>
          <w:rFonts w:cs="Times New Roman"/>
          <w:sz w:val="24"/>
          <w:szCs w:val="24"/>
        </w:rPr>
        <w:t>”</w:t>
      </w:r>
      <w:r>
        <w:rPr>
          <w:rFonts w:cs="Times New Roman"/>
          <w:sz w:val="24"/>
          <w:szCs w:val="24"/>
        </w:rPr>
        <w:t>生态环境分区管控的通知》（巴府发</w:t>
      </w:r>
      <w:r>
        <w:rPr>
          <w:rFonts w:cs="Times New Roman"/>
          <w:sz w:val="24"/>
          <w:szCs w:val="24"/>
        </w:rPr>
        <w:t>[2021]5</w:t>
      </w:r>
      <w:r>
        <w:rPr>
          <w:rFonts w:cs="Times New Roman"/>
          <w:sz w:val="24"/>
          <w:szCs w:val="24"/>
        </w:rPr>
        <w:t>号），本项目区位属于通江县一般管控区。</w:t>
      </w:r>
    </w:p>
    <w:p w14:paraId="21A7C6F5" w14:textId="77777777" w:rsidR="007D1E74" w:rsidRDefault="00A95641">
      <w:pPr>
        <w:spacing w:line="360" w:lineRule="auto"/>
        <w:ind w:firstLineChars="200" w:firstLine="480"/>
        <w:rPr>
          <w:rFonts w:cs="Times New Roman"/>
          <w:sz w:val="24"/>
          <w:szCs w:val="24"/>
          <w:highlight w:val="yellow"/>
        </w:rPr>
      </w:pPr>
      <w:r>
        <w:rPr>
          <w:rFonts w:cs="Times New Roman"/>
          <w:sz w:val="24"/>
          <w:szCs w:val="24"/>
        </w:rPr>
        <w:t>通江县一般管控区是通江县除优先保护单元和重点管控单元以外的其他区域；区域属于国家层面限制开发区域（重点生态功能区）中秦巴生物多样性生态功能区；本单元除零散项目存在及乡镇居住集聚区外，以农业区域为主；本单元内涉及土壤污染风险重点管控企业</w:t>
      </w:r>
      <w:r>
        <w:rPr>
          <w:rFonts w:cs="Times New Roman" w:hint="eastAsia"/>
          <w:sz w:val="24"/>
          <w:szCs w:val="24"/>
        </w:rPr>
        <w:t>1</w:t>
      </w:r>
      <w:r>
        <w:rPr>
          <w:rFonts w:cs="Times New Roman"/>
          <w:sz w:val="24"/>
          <w:szCs w:val="24"/>
        </w:rPr>
        <w:t>家，即涪阳镇人民政府（垃圾填埋场）；单元内有</w:t>
      </w:r>
      <w:r>
        <w:rPr>
          <w:rFonts w:cs="Times New Roman" w:hint="eastAsia"/>
          <w:sz w:val="24"/>
          <w:szCs w:val="24"/>
        </w:rPr>
        <w:t>部分</w:t>
      </w:r>
      <w:r>
        <w:rPr>
          <w:rFonts w:cs="Times New Roman"/>
          <w:sz w:val="24"/>
          <w:szCs w:val="24"/>
        </w:rPr>
        <w:t>的基本农田。</w:t>
      </w:r>
    </w:p>
    <w:p w14:paraId="3C88654B" w14:textId="77777777" w:rsidR="007D1E74" w:rsidRDefault="00A95641">
      <w:pPr>
        <w:spacing w:line="360" w:lineRule="auto"/>
        <w:ind w:firstLineChars="200" w:firstLine="480"/>
        <w:rPr>
          <w:rFonts w:cs="Times New Roman"/>
          <w:sz w:val="24"/>
          <w:szCs w:val="24"/>
        </w:rPr>
      </w:pPr>
      <w:r>
        <w:rPr>
          <w:rFonts w:cs="Times New Roman"/>
          <w:sz w:val="24"/>
          <w:szCs w:val="24"/>
        </w:rPr>
        <w:t>根据巴府发</w:t>
      </w:r>
      <w:r>
        <w:rPr>
          <w:rFonts w:cs="Times New Roman"/>
          <w:sz w:val="24"/>
          <w:szCs w:val="24"/>
        </w:rPr>
        <w:t>[2021]5</w:t>
      </w:r>
      <w:r>
        <w:rPr>
          <w:rFonts w:cs="Times New Roman"/>
          <w:sz w:val="24"/>
          <w:szCs w:val="24"/>
        </w:rPr>
        <w:t>号，巴中市和通江县生态环境管控要求符合性分析如下：</w:t>
      </w:r>
    </w:p>
    <w:p w14:paraId="57A2C23D" w14:textId="77777777" w:rsidR="007D1E74" w:rsidRDefault="00A95641">
      <w:pPr>
        <w:spacing w:before="43" w:after="21"/>
        <w:ind w:right="156"/>
        <w:jc w:val="center"/>
        <w:rPr>
          <w:rFonts w:eastAsia="黑体" w:cs="Times New Roman"/>
        </w:rPr>
      </w:pPr>
      <w:r>
        <w:rPr>
          <w:rFonts w:eastAsia="黑体" w:cs="Times New Roman"/>
        </w:rPr>
        <w:t>表</w:t>
      </w:r>
      <w:r>
        <w:rPr>
          <w:rFonts w:eastAsia="黑体" w:cs="Times New Roman" w:hint="eastAsia"/>
        </w:rPr>
        <w:t>2.3-5</w:t>
      </w:r>
      <w:r>
        <w:rPr>
          <w:rFonts w:eastAsia="黑体" w:cs="Times New Roman"/>
        </w:rPr>
        <w:t xml:space="preserve">  </w:t>
      </w:r>
      <w:r>
        <w:rPr>
          <w:rFonts w:eastAsia="黑体" w:cs="Times New Roman"/>
        </w:rPr>
        <w:t>巴中市和通江县生态环境管控要求符合性分析</w:t>
      </w:r>
    </w:p>
    <w:tbl>
      <w:tblPr>
        <w:tblStyle w:val="affffc"/>
        <w:tblW w:w="5000" w:type="pct"/>
        <w:tblLook w:val="04A0" w:firstRow="1" w:lastRow="0" w:firstColumn="1" w:lastColumn="0" w:noHBand="0" w:noVBand="1"/>
      </w:tblPr>
      <w:tblGrid>
        <w:gridCol w:w="624"/>
        <w:gridCol w:w="4838"/>
        <w:gridCol w:w="2712"/>
        <w:gridCol w:w="842"/>
      </w:tblGrid>
      <w:tr w:rsidR="007D1E74" w14:paraId="0FD0B66A" w14:textId="77777777">
        <w:tc>
          <w:tcPr>
            <w:tcW w:w="346" w:type="pct"/>
            <w:vAlign w:val="center"/>
          </w:tcPr>
          <w:p w14:paraId="1A028FC1" w14:textId="77777777" w:rsidR="007D1E74" w:rsidRDefault="00A95641">
            <w:pPr>
              <w:jc w:val="center"/>
              <w:rPr>
                <w:rFonts w:cs="Times New Roman"/>
                <w:bCs/>
                <w:szCs w:val="21"/>
              </w:rPr>
            </w:pPr>
            <w:r>
              <w:rPr>
                <w:rFonts w:cs="Times New Roman"/>
                <w:bCs/>
                <w:szCs w:val="21"/>
              </w:rPr>
              <w:t>域市</w:t>
            </w:r>
          </w:p>
        </w:tc>
        <w:tc>
          <w:tcPr>
            <w:tcW w:w="2682" w:type="pct"/>
            <w:vAlign w:val="center"/>
          </w:tcPr>
          <w:p w14:paraId="6F51A0AC" w14:textId="77777777" w:rsidR="007D1E74" w:rsidRDefault="00A95641">
            <w:pPr>
              <w:jc w:val="center"/>
              <w:rPr>
                <w:rFonts w:cs="Times New Roman"/>
                <w:bCs/>
                <w:szCs w:val="21"/>
              </w:rPr>
            </w:pPr>
            <w:r>
              <w:rPr>
                <w:rFonts w:cs="Times New Roman"/>
                <w:bCs/>
                <w:szCs w:val="21"/>
              </w:rPr>
              <w:t>总体管控要求</w:t>
            </w:r>
          </w:p>
        </w:tc>
        <w:tc>
          <w:tcPr>
            <w:tcW w:w="1504" w:type="pct"/>
            <w:vAlign w:val="center"/>
          </w:tcPr>
          <w:p w14:paraId="298DE437" w14:textId="77777777" w:rsidR="007D1E74" w:rsidRDefault="00A95641">
            <w:pPr>
              <w:jc w:val="center"/>
              <w:rPr>
                <w:rFonts w:cs="Times New Roman"/>
                <w:bCs/>
                <w:szCs w:val="21"/>
              </w:rPr>
            </w:pPr>
            <w:r>
              <w:rPr>
                <w:rFonts w:cs="Times New Roman"/>
                <w:bCs/>
                <w:szCs w:val="21"/>
              </w:rPr>
              <w:t>本项目情况</w:t>
            </w:r>
          </w:p>
        </w:tc>
        <w:tc>
          <w:tcPr>
            <w:tcW w:w="467" w:type="pct"/>
            <w:vAlign w:val="center"/>
          </w:tcPr>
          <w:p w14:paraId="4378E407" w14:textId="77777777" w:rsidR="007D1E74" w:rsidRDefault="00A95641">
            <w:pPr>
              <w:jc w:val="center"/>
              <w:rPr>
                <w:rFonts w:cs="Times New Roman"/>
                <w:bCs/>
                <w:szCs w:val="21"/>
              </w:rPr>
            </w:pPr>
            <w:r>
              <w:rPr>
                <w:rFonts w:cs="Times New Roman"/>
                <w:bCs/>
                <w:szCs w:val="21"/>
              </w:rPr>
              <w:t>符合性分析</w:t>
            </w:r>
          </w:p>
        </w:tc>
      </w:tr>
      <w:tr w:rsidR="007D1E74" w14:paraId="0FD0F5BC" w14:textId="77777777">
        <w:tc>
          <w:tcPr>
            <w:tcW w:w="346" w:type="pct"/>
            <w:vAlign w:val="center"/>
          </w:tcPr>
          <w:p w14:paraId="54F2BA20" w14:textId="77777777" w:rsidR="007D1E74" w:rsidRDefault="00A95641">
            <w:pPr>
              <w:jc w:val="center"/>
              <w:rPr>
                <w:rFonts w:cs="Times New Roman"/>
                <w:szCs w:val="21"/>
              </w:rPr>
            </w:pPr>
            <w:r>
              <w:rPr>
                <w:rFonts w:cs="Times New Roman"/>
                <w:szCs w:val="21"/>
              </w:rPr>
              <w:t>巴中市</w:t>
            </w:r>
          </w:p>
        </w:tc>
        <w:tc>
          <w:tcPr>
            <w:tcW w:w="2682" w:type="pct"/>
            <w:vAlign w:val="center"/>
          </w:tcPr>
          <w:p w14:paraId="7EDB519C" w14:textId="77777777" w:rsidR="007D1E74" w:rsidRDefault="00A95641">
            <w:pPr>
              <w:rPr>
                <w:rFonts w:cs="Times New Roman"/>
                <w:szCs w:val="21"/>
              </w:rPr>
            </w:pPr>
            <w:r>
              <w:rPr>
                <w:rFonts w:cs="Times New Roman"/>
                <w:szCs w:val="21"/>
              </w:rPr>
              <w:t>1.</w:t>
            </w:r>
            <w:r>
              <w:rPr>
                <w:rFonts w:cs="Times New Roman"/>
                <w:szCs w:val="21"/>
              </w:rPr>
              <w:t>培育和引入产业必须符合国家产业政策，严控新建、扩建</w:t>
            </w:r>
            <w:r>
              <w:rPr>
                <w:rFonts w:cs="Times New Roman"/>
                <w:szCs w:val="21"/>
              </w:rPr>
              <w:t>“</w:t>
            </w:r>
            <w:r>
              <w:rPr>
                <w:rFonts w:cs="Times New Roman"/>
                <w:szCs w:val="21"/>
              </w:rPr>
              <w:t>两高</w:t>
            </w:r>
            <w:r>
              <w:rPr>
                <w:rFonts w:cs="Times New Roman"/>
                <w:szCs w:val="21"/>
              </w:rPr>
              <w:t>”</w:t>
            </w:r>
            <w:r>
              <w:rPr>
                <w:rFonts w:cs="Times New Roman"/>
                <w:szCs w:val="21"/>
              </w:rPr>
              <w:t>项目，强化企业环境管理；</w:t>
            </w:r>
          </w:p>
          <w:p w14:paraId="3ED6D4C5" w14:textId="77777777" w:rsidR="007D1E74" w:rsidRDefault="00A95641">
            <w:pPr>
              <w:rPr>
                <w:rFonts w:cs="Times New Roman"/>
                <w:szCs w:val="21"/>
              </w:rPr>
            </w:pPr>
            <w:r>
              <w:rPr>
                <w:rFonts w:cs="Times New Roman"/>
                <w:szCs w:val="21"/>
              </w:rPr>
              <w:t>2.</w:t>
            </w:r>
            <w:r>
              <w:rPr>
                <w:rFonts w:cs="Times New Roman"/>
                <w:szCs w:val="21"/>
              </w:rPr>
              <w:t>强化水、大气、土壤等污染源头管控，深化环境污染治理，完善污染治理基础设施，巩固提升环境质量；</w:t>
            </w:r>
          </w:p>
          <w:p w14:paraId="52AD5039" w14:textId="77777777" w:rsidR="007D1E74" w:rsidRDefault="00A95641">
            <w:pPr>
              <w:rPr>
                <w:rFonts w:cs="Times New Roman"/>
                <w:szCs w:val="21"/>
              </w:rPr>
            </w:pPr>
            <w:r>
              <w:rPr>
                <w:rFonts w:cs="Times New Roman"/>
                <w:szCs w:val="21"/>
              </w:rPr>
              <w:t>3.</w:t>
            </w:r>
            <w:r>
              <w:rPr>
                <w:rFonts w:cs="Times New Roman"/>
                <w:szCs w:val="21"/>
              </w:rPr>
              <w:t>合理控制并优化生态环境敏感区内的旅游开发建设活动，合理开发利用水利资源，大力发展生态康养旅游产业。严格落实自然保护地、生态保护红线、集中式饮用水水源保护区等管控要求；</w:t>
            </w:r>
          </w:p>
          <w:p w14:paraId="5DEB7F8F" w14:textId="77777777" w:rsidR="007D1E74" w:rsidRDefault="00A95641">
            <w:pPr>
              <w:rPr>
                <w:rFonts w:cs="Times New Roman"/>
                <w:szCs w:val="21"/>
              </w:rPr>
            </w:pPr>
            <w:r>
              <w:rPr>
                <w:rFonts w:cs="Times New Roman"/>
                <w:szCs w:val="21"/>
              </w:rPr>
              <w:t>4.</w:t>
            </w:r>
            <w:r>
              <w:rPr>
                <w:rFonts w:cs="Times New Roman"/>
                <w:szCs w:val="21"/>
              </w:rPr>
              <w:t>加强农村环境综合治理，积极发展生态农业和有机农业，严格控制化肥、农药、农膜使用量，合理布局畜禽养殖，持续推进畜禽粪污综合利用；</w:t>
            </w:r>
          </w:p>
          <w:p w14:paraId="2E897D86" w14:textId="77777777" w:rsidR="007D1E74" w:rsidRDefault="00A95641">
            <w:pPr>
              <w:rPr>
                <w:rFonts w:cs="Times New Roman"/>
                <w:szCs w:val="21"/>
              </w:rPr>
            </w:pPr>
            <w:r>
              <w:rPr>
                <w:rFonts w:cs="Times New Roman"/>
                <w:szCs w:val="21"/>
              </w:rPr>
              <w:t>5.</w:t>
            </w:r>
            <w:r>
              <w:rPr>
                <w:rFonts w:cs="Times New Roman"/>
                <w:szCs w:val="21"/>
              </w:rPr>
              <w:t>加强城乡集中式饮用水水源保护，确保饮用水水源安全；</w:t>
            </w:r>
          </w:p>
          <w:p w14:paraId="6BA138B9" w14:textId="77777777" w:rsidR="007D1E74" w:rsidRDefault="00A95641">
            <w:pPr>
              <w:rPr>
                <w:rFonts w:cs="Times New Roman"/>
                <w:szCs w:val="21"/>
              </w:rPr>
            </w:pPr>
            <w:r>
              <w:rPr>
                <w:rFonts w:cs="Times New Roman"/>
                <w:szCs w:val="21"/>
              </w:rPr>
              <w:lastRenderedPageBreak/>
              <w:t>6.</w:t>
            </w:r>
            <w:r>
              <w:rPr>
                <w:rFonts w:cs="Times New Roman"/>
                <w:szCs w:val="21"/>
              </w:rPr>
              <w:t>加强与相邻省、市的环境风险联防联控。</w:t>
            </w:r>
          </w:p>
        </w:tc>
        <w:tc>
          <w:tcPr>
            <w:tcW w:w="1504" w:type="pct"/>
            <w:vAlign w:val="center"/>
          </w:tcPr>
          <w:p w14:paraId="2309F025" w14:textId="77777777" w:rsidR="007D1E74" w:rsidRDefault="00A95641">
            <w:pPr>
              <w:rPr>
                <w:rFonts w:cs="Times New Roman"/>
                <w:szCs w:val="21"/>
              </w:rPr>
            </w:pPr>
            <w:r>
              <w:rPr>
                <w:rFonts w:cs="Times New Roman"/>
                <w:szCs w:val="21"/>
              </w:rPr>
              <w:lastRenderedPageBreak/>
              <w:t>本项目属于</w:t>
            </w:r>
            <w:r>
              <w:rPr>
                <w:rFonts w:cs="Times New Roman" w:hint="eastAsia"/>
                <w:szCs w:val="21"/>
              </w:rPr>
              <w:t>天然气集输管线工程项目</w:t>
            </w:r>
            <w:r>
              <w:rPr>
                <w:rFonts w:cs="Times New Roman"/>
                <w:szCs w:val="21"/>
              </w:rPr>
              <w:t>，符合国家产业政策，不属于</w:t>
            </w:r>
            <w:r>
              <w:rPr>
                <w:rFonts w:cs="Times New Roman"/>
                <w:szCs w:val="21"/>
              </w:rPr>
              <w:t>“</w:t>
            </w:r>
            <w:r>
              <w:rPr>
                <w:rFonts w:cs="Times New Roman"/>
                <w:szCs w:val="21"/>
              </w:rPr>
              <w:t>两高</w:t>
            </w:r>
            <w:r>
              <w:rPr>
                <w:rFonts w:cs="Times New Roman"/>
                <w:szCs w:val="21"/>
              </w:rPr>
              <w:t>”</w:t>
            </w:r>
            <w:r>
              <w:rPr>
                <w:rFonts w:cs="Times New Roman"/>
                <w:szCs w:val="21"/>
              </w:rPr>
              <w:t>项目，本项目</w:t>
            </w:r>
            <w:r>
              <w:rPr>
                <w:rFonts w:cs="Times New Roman" w:hint="eastAsia"/>
                <w:szCs w:val="21"/>
              </w:rPr>
              <w:t>穿越饮用水源保护区二级保护区时采用定向钻，不会对饮用水源产生明显影响</w:t>
            </w:r>
            <w:r>
              <w:rPr>
                <w:rFonts w:cs="Times New Roman"/>
                <w:szCs w:val="21"/>
              </w:rPr>
              <w:t>。</w:t>
            </w:r>
          </w:p>
        </w:tc>
        <w:tc>
          <w:tcPr>
            <w:tcW w:w="467" w:type="pct"/>
            <w:vAlign w:val="center"/>
          </w:tcPr>
          <w:p w14:paraId="4F4E7450" w14:textId="77777777" w:rsidR="007D1E74" w:rsidRDefault="00A95641">
            <w:pPr>
              <w:jc w:val="center"/>
              <w:rPr>
                <w:rFonts w:cs="Times New Roman"/>
                <w:szCs w:val="21"/>
              </w:rPr>
            </w:pPr>
            <w:r>
              <w:rPr>
                <w:rFonts w:cs="Times New Roman"/>
                <w:szCs w:val="21"/>
              </w:rPr>
              <w:t>符合</w:t>
            </w:r>
          </w:p>
        </w:tc>
      </w:tr>
      <w:tr w:rsidR="007D1E74" w14:paraId="40D47B29" w14:textId="77777777">
        <w:tc>
          <w:tcPr>
            <w:tcW w:w="346" w:type="pct"/>
            <w:vAlign w:val="center"/>
          </w:tcPr>
          <w:p w14:paraId="5E6FEA83" w14:textId="77777777" w:rsidR="007D1E74" w:rsidRDefault="00A95641">
            <w:pPr>
              <w:jc w:val="center"/>
              <w:rPr>
                <w:rFonts w:cs="Times New Roman"/>
                <w:szCs w:val="21"/>
              </w:rPr>
            </w:pPr>
            <w:r>
              <w:rPr>
                <w:rFonts w:cs="Times New Roman"/>
                <w:szCs w:val="21"/>
              </w:rPr>
              <w:t>通江县</w:t>
            </w:r>
          </w:p>
        </w:tc>
        <w:tc>
          <w:tcPr>
            <w:tcW w:w="2682" w:type="pct"/>
            <w:vAlign w:val="center"/>
          </w:tcPr>
          <w:p w14:paraId="06848CCB" w14:textId="77777777" w:rsidR="007D1E74" w:rsidRDefault="00A95641">
            <w:pPr>
              <w:rPr>
                <w:rFonts w:cs="Times New Roman"/>
                <w:szCs w:val="21"/>
              </w:rPr>
            </w:pPr>
            <w:r>
              <w:rPr>
                <w:rFonts w:cs="Times New Roman"/>
                <w:szCs w:val="21"/>
              </w:rPr>
              <w:t>1.</w:t>
            </w:r>
            <w:r>
              <w:rPr>
                <w:rFonts w:cs="Times New Roman"/>
                <w:szCs w:val="21"/>
              </w:rPr>
              <w:t>统筹生态环境保护与经济社会发展的关系，落实重点生态功能区的定位管控要求，加强生物多样性保护和天然林保护；</w:t>
            </w:r>
          </w:p>
          <w:p w14:paraId="2619FC1F" w14:textId="77777777" w:rsidR="007D1E74" w:rsidRDefault="00A95641">
            <w:pPr>
              <w:rPr>
                <w:rFonts w:cs="Times New Roman"/>
                <w:szCs w:val="21"/>
              </w:rPr>
            </w:pPr>
            <w:r>
              <w:rPr>
                <w:rFonts w:cs="Times New Roman"/>
                <w:szCs w:val="21"/>
              </w:rPr>
              <w:t>2.</w:t>
            </w:r>
            <w:r>
              <w:rPr>
                <w:rFonts w:cs="Times New Roman"/>
                <w:szCs w:val="21"/>
              </w:rPr>
              <w:t>推进流域水生态环境修复与治理，更加注重城乡生态环境保护基础设施建设与管理；</w:t>
            </w:r>
          </w:p>
          <w:p w14:paraId="4DEA09D4" w14:textId="77777777" w:rsidR="007D1E74" w:rsidRDefault="00A95641">
            <w:pPr>
              <w:rPr>
                <w:rFonts w:cs="Times New Roman"/>
                <w:szCs w:val="21"/>
              </w:rPr>
            </w:pPr>
            <w:r>
              <w:rPr>
                <w:rFonts w:cs="Times New Roman"/>
                <w:szCs w:val="21"/>
              </w:rPr>
              <w:t>3.</w:t>
            </w:r>
            <w:r>
              <w:rPr>
                <w:rFonts w:cs="Times New Roman"/>
                <w:szCs w:val="21"/>
              </w:rPr>
              <w:t>进一步调整优化矿产资源开发利用，加强矿产、油气等资源开发项目和工矿废弃地的污染治理及生态修复；</w:t>
            </w:r>
          </w:p>
          <w:p w14:paraId="2687D851" w14:textId="77777777" w:rsidR="007D1E74" w:rsidRDefault="00A95641">
            <w:pPr>
              <w:rPr>
                <w:rFonts w:cs="Times New Roman"/>
                <w:szCs w:val="21"/>
              </w:rPr>
            </w:pPr>
            <w:r>
              <w:rPr>
                <w:rFonts w:cs="Times New Roman"/>
                <w:szCs w:val="21"/>
              </w:rPr>
              <w:t>4.</w:t>
            </w:r>
            <w:r>
              <w:rPr>
                <w:rFonts w:cs="Times New Roman"/>
                <w:szCs w:val="21"/>
              </w:rPr>
              <w:t>持续加强工业</w:t>
            </w:r>
            <w:r>
              <w:rPr>
                <w:rFonts w:cs="Times New Roman"/>
                <w:szCs w:val="21"/>
              </w:rPr>
              <w:t>“</w:t>
            </w:r>
            <w:r>
              <w:rPr>
                <w:rFonts w:cs="Times New Roman"/>
                <w:szCs w:val="21"/>
              </w:rPr>
              <w:t>三废</w:t>
            </w:r>
            <w:r>
              <w:rPr>
                <w:rFonts w:cs="Times New Roman"/>
                <w:szCs w:val="21"/>
              </w:rPr>
              <w:t>”</w:t>
            </w:r>
            <w:r>
              <w:rPr>
                <w:rFonts w:cs="Times New Roman"/>
                <w:szCs w:val="21"/>
              </w:rPr>
              <w:t>治理，严格环境准入条件，落实</w:t>
            </w:r>
            <w:r>
              <w:rPr>
                <w:rFonts w:cs="Times New Roman"/>
                <w:szCs w:val="21"/>
              </w:rPr>
              <w:t>“</w:t>
            </w:r>
            <w:r>
              <w:rPr>
                <w:rFonts w:cs="Times New Roman"/>
                <w:szCs w:val="21"/>
              </w:rPr>
              <w:t>两高</w:t>
            </w:r>
            <w:r>
              <w:rPr>
                <w:rFonts w:cs="Times New Roman"/>
                <w:szCs w:val="21"/>
              </w:rPr>
              <w:t>”</w:t>
            </w:r>
            <w:r>
              <w:rPr>
                <w:rFonts w:cs="Times New Roman"/>
                <w:szCs w:val="21"/>
              </w:rPr>
              <w:t>企业退出制度；</w:t>
            </w:r>
          </w:p>
          <w:p w14:paraId="44826E26" w14:textId="77777777" w:rsidR="007D1E74" w:rsidRDefault="00A95641">
            <w:pPr>
              <w:rPr>
                <w:rFonts w:cs="Times New Roman"/>
                <w:szCs w:val="21"/>
              </w:rPr>
            </w:pPr>
            <w:r>
              <w:rPr>
                <w:rFonts w:cs="Times New Roman"/>
                <w:szCs w:val="21"/>
              </w:rPr>
              <w:t>5.</w:t>
            </w:r>
            <w:r>
              <w:rPr>
                <w:rFonts w:cs="Times New Roman"/>
                <w:szCs w:val="21"/>
              </w:rPr>
              <w:t>强化水土流失防治，推进良好水体保护；</w:t>
            </w:r>
          </w:p>
          <w:p w14:paraId="5AC86FA9" w14:textId="77777777" w:rsidR="007D1E74" w:rsidRDefault="00A95641">
            <w:pPr>
              <w:rPr>
                <w:rFonts w:cs="Times New Roman"/>
                <w:szCs w:val="21"/>
              </w:rPr>
            </w:pPr>
            <w:r>
              <w:rPr>
                <w:rFonts w:cs="Times New Roman"/>
                <w:szCs w:val="21"/>
              </w:rPr>
              <w:t>6.</w:t>
            </w:r>
            <w:r>
              <w:rPr>
                <w:rFonts w:cs="Times New Roman"/>
                <w:szCs w:val="21"/>
              </w:rPr>
              <w:t>注重水源涵养地的保护。加强对诺水河、新场、铁溪等区域的生态环境重点管控，从严审批各类资源开发项目。</w:t>
            </w:r>
          </w:p>
        </w:tc>
        <w:tc>
          <w:tcPr>
            <w:tcW w:w="1504" w:type="pct"/>
            <w:vAlign w:val="center"/>
          </w:tcPr>
          <w:p w14:paraId="567087A7" w14:textId="77777777" w:rsidR="007D1E74" w:rsidRDefault="00A95641">
            <w:pPr>
              <w:jc w:val="center"/>
              <w:rPr>
                <w:rFonts w:cs="Times New Roman"/>
                <w:szCs w:val="21"/>
              </w:rPr>
            </w:pPr>
            <w:r>
              <w:rPr>
                <w:rFonts w:cs="Times New Roman"/>
                <w:szCs w:val="21"/>
              </w:rPr>
              <w:t>本项目属于天然气集输管线工程项目，</w:t>
            </w:r>
            <w:r>
              <w:rPr>
                <w:rFonts w:cs="Times New Roman" w:hint="eastAsia"/>
                <w:szCs w:val="21"/>
              </w:rPr>
              <w:t>不属于“两高”项目。项目通过加强生态修复，提出严格的水土流失防治措施，以满足该管控要求</w:t>
            </w:r>
          </w:p>
        </w:tc>
        <w:tc>
          <w:tcPr>
            <w:tcW w:w="467" w:type="pct"/>
            <w:vAlign w:val="center"/>
          </w:tcPr>
          <w:p w14:paraId="3610E2AB" w14:textId="77777777" w:rsidR="007D1E74" w:rsidRDefault="00A95641">
            <w:pPr>
              <w:jc w:val="center"/>
              <w:rPr>
                <w:rFonts w:cs="Times New Roman"/>
                <w:szCs w:val="21"/>
              </w:rPr>
            </w:pPr>
            <w:r>
              <w:rPr>
                <w:rFonts w:cs="Times New Roman"/>
                <w:szCs w:val="21"/>
              </w:rPr>
              <w:t>符合</w:t>
            </w:r>
          </w:p>
        </w:tc>
      </w:tr>
    </w:tbl>
    <w:p w14:paraId="3285A0D9" w14:textId="77777777" w:rsidR="007D1E74" w:rsidRDefault="00A95641">
      <w:pPr>
        <w:spacing w:line="360" w:lineRule="auto"/>
        <w:ind w:firstLineChars="200" w:firstLine="482"/>
        <w:rPr>
          <w:rFonts w:cs="Times New Roman"/>
          <w:b/>
          <w:bCs/>
          <w:sz w:val="24"/>
          <w:szCs w:val="24"/>
        </w:rPr>
      </w:pPr>
      <w:r>
        <w:rPr>
          <w:rFonts w:cs="Times New Roman" w:hint="eastAsia"/>
          <w:b/>
          <w:bCs/>
          <w:sz w:val="24"/>
          <w:szCs w:val="24"/>
        </w:rPr>
        <w:t>（</w:t>
      </w:r>
      <w:r>
        <w:rPr>
          <w:rFonts w:cs="Times New Roman" w:hint="eastAsia"/>
          <w:b/>
          <w:bCs/>
          <w:sz w:val="24"/>
          <w:szCs w:val="24"/>
        </w:rPr>
        <w:t>2</w:t>
      </w:r>
      <w:r>
        <w:rPr>
          <w:rFonts w:cs="Times New Roman" w:hint="eastAsia"/>
          <w:b/>
          <w:bCs/>
          <w:sz w:val="24"/>
          <w:szCs w:val="24"/>
        </w:rPr>
        <w:t>）</w:t>
      </w:r>
      <w:r>
        <w:rPr>
          <w:rFonts w:cs="Times New Roman"/>
          <w:b/>
          <w:bCs/>
          <w:sz w:val="24"/>
          <w:szCs w:val="24"/>
        </w:rPr>
        <w:t>生态环境准入清单符合性分析</w:t>
      </w:r>
    </w:p>
    <w:p w14:paraId="4B786D36" w14:textId="77777777" w:rsidR="007D1E74" w:rsidRDefault="00A95641">
      <w:pPr>
        <w:spacing w:line="360" w:lineRule="auto"/>
        <w:ind w:firstLineChars="200" w:firstLine="480"/>
        <w:rPr>
          <w:rFonts w:cs="Times New Roman"/>
          <w:sz w:val="24"/>
          <w:szCs w:val="24"/>
        </w:rPr>
      </w:pPr>
      <w:r>
        <w:rPr>
          <w:rFonts w:cs="Times New Roman"/>
          <w:sz w:val="24"/>
          <w:szCs w:val="24"/>
        </w:rPr>
        <w:t>根据《长江经济带战略环境评价四川省巴中市</w:t>
      </w:r>
      <w:r>
        <w:rPr>
          <w:rFonts w:cs="Times New Roman"/>
          <w:sz w:val="24"/>
          <w:szCs w:val="24"/>
        </w:rPr>
        <w:t>“</w:t>
      </w:r>
      <w:r>
        <w:rPr>
          <w:rFonts w:cs="Times New Roman"/>
          <w:sz w:val="24"/>
          <w:szCs w:val="24"/>
        </w:rPr>
        <w:t>三线一单</w:t>
      </w:r>
      <w:r>
        <w:rPr>
          <w:rFonts w:cs="Times New Roman"/>
          <w:sz w:val="24"/>
          <w:szCs w:val="24"/>
        </w:rPr>
        <w:t>”</w:t>
      </w:r>
      <w:r>
        <w:rPr>
          <w:rFonts w:cs="Times New Roman"/>
          <w:sz w:val="24"/>
          <w:szCs w:val="24"/>
        </w:rPr>
        <w:t>生态环境分区管控优化完善研究报告》，本项目与巴中市</w:t>
      </w:r>
      <w:r>
        <w:rPr>
          <w:rFonts w:cs="Times New Roman"/>
          <w:sz w:val="24"/>
          <w:szCs w:val="24"/>
        </w:rPr>
        <w:t>“</w:t>
      </w:r>
      <w:r>
        <w:rPr>
          <w:rFonts w:cs="Times New Roman"/>
          <w:sz w:val="24"/>
          <w:szCs w:val="24"/>
        </w:rPr>
        <w:t>三线一单</w:t>
      </w:r>
      <w:r>
        <w:rPr>
          <w:rFonts w:cs="Times New Roman"/>
          <w:sz w:val="24"/>
          <w:szCs w:val="24"/>
        </w:rPr>
        <w:t>”</w:t>
      </w:r>
      <w:r>
        <w:rPr>
          <w:rFonts w:cs="Times New Roman"/>
          <w:sz w:val="24"/>
          <w:szCs w:val="24"/>
        </w:rPr>
        <w:t>的符合性分析如下：</w:t>
      </w:r>
    </w:p>
    <w:p w14:paraId="66029C4A" w14:textId="77777777" w:rsidR="007D1E74" w:rsidRDefault="00A95641">
      <w:pPr>
        <w:spacing w:before="43" w:after="21"/>
        <w:ind w:right="156"/>
        <w:jc w:val="center"/>
        <w:rPr>
          <w:rFonts w:eastAsia="黑体" w:cs="Times New Roman"/>
        </w:rPr>
      </w:pPr>
      <w:r>
        <w:rPr>
          <w:rFonts w:eastAsia="黑体" w:cs="Times New Roman"/>
        </w:rPr>
        <w:t>表</w:t>
      </w:r>
      <w:r>
        <w:rPr>
          <w:rFonts w:eastAsia="黑体" w:cs="Times New Roman" w:hint="eastAsia"/>
        </w:rPr>
        <w:t xml:space="preserve">2.3-6 </w:t>
      </w:r>
      <w:r>
        <w:rPr>
          <w:rFonts w:eastAsia="黑体" w:cs="Times New Roman"/>
        </w:rPr>
        <w:t xml:space="preserve"> </w:t>
      </w:r>
      <w:r>
        <w:rPr>
          <w:rFonts w:eastAsia="黑体" w:cs="Times New Roman"/>
        </w:rPr>
        <w:t>本项目与</w:t>
      </w:r>
      <w:r>
        <w:rPr>
          <w:rFonts w:eastAsia="黑体" w:cs="Times New Roman" w:hint="eastAsia"/>
        </w:rPr>
        <w:t>巴中</w:t>
      </w:r>
      <w:r>
        <w:rPr>
          <w:rFonts w:eastAsia="黑体" w:cs="Times New Roman"/>
        </w:rPr>
        <w:t>市</w:t>
      </w:r>
      <w:r>
        <w:rPr>
          <w:rFonts w:eastAsia="黑体" w:cs="Times New Roman"/>
        </w:rPr>
        <w:t>“</w:t>
      </w:r>
      <w:r>
        <w:rPr>
          <w:rFonts w:eastAsia="黑体" w:cs="Times New Roman"/>
        </w:rPr>
        <w:t>三线一单</w:t>
      </w:r>
      <w:r>
        <w:rPr>
          <w:rFonts w:eastAsia="黑体" w:cs="Times New Roman"/>
        </w:rPr>
        <w:t>”</w:t>
      </w:r>
      <w:r>
        <w:rPr>
          <w:rFonts w:eastAsia="黑体" w:cs="Times New Roman"/>
        </w:rPr>
        <w:t>符合性分析</w:t>
      </w:r>
    </w:p>
    <w:tbl>
      <w:tblPr>
        <w:tblStyle w:val="affffc"/>
        <w:tblW w:w="4996" w:type="pct"/>
        <w:tblLayout w:type="fixed"/>
        <w:tblLook w:val="04A0" w:firstRow="1" w:lastRow="0" w:firstColumn="1" w:lastColumn="0" w:noHBand="0" w:noVBand="1"/>
      </w:tblPr>
      <w:tblGrid>
        <w:gridCol w:w="830"/>
        <w:gridCol w:w="537"/>
        <w:gridCol w:w="523"/>
        <w:gridCol w:w="4094"/>
        <w:gridCol w:w="2324"/>
        <w:gridCol w:w="701"/>
      </w:tblGrid>
      <w:tr w:rsidR="007D1E74" w14:paraId="18C4A50B" w14:textId="77777777">
        <w:tc>
          <w:tcPr>
            <w:tcW w:w="3320" w:type="pct"/>
            <w:gridSpan w:val="4"/>
            <w:vAlign w:val="center"/>
          </w:tcPr>
          <w:p w14:paraId="0D329D66" w14:textId="77777777" w:rsidR="007D1E74" w:rsidRDefault="00A95641">
            <w:pPr>
              <w:jc w:val="center"/>
              <w:rPr>
                <w:rFonts w:cs="Times New Roman"/>
                <w:bCs/>
                <w:szCs w:val="21"/>
              </w:rPr>
            </w:pPr>
            <w:r>
              <w:rPr>
                <w:rFonts w:cs="Times New Roman"/>
                <w:bCs/>
                <w:szCs w:val="21"/>
              </w:rPr>
              <w:t>“</w:t>
            </w:r>
            <w:r>
              <w:rPr>
                <w:rFonts w:cs="Times New Roman"/>
                <w:bCs/>
                <w:szCs w:val="21"/>
              </w:rPr>
              <w:t>三线一单</w:t>
            </w:r>
            <w:r>
              <w:rPr>
                <w:rFonts w:cs="Times New Roman"/>
                <w:bCs/>
                <w:szCs w:val="21"/>
              </w:rPr>
              <w:t>”</w:t>
            </w:r>
            <w:r>
              <w:rPr>
                <w:rFonts w:cs="Times New Roman"/>
                <w:bCs/>
                <w:szCs w:val="21"/>
              </w:rPr>
              <w:t>的具体要求</w:t>
            </w:r>
          </w:p>
        </w:tc>
        <w:tc>
          <w:tcPr>
            <w:tcW w:w="1290" w:type="pct"/>
            <w:vMerge w:val="restart"/>
            <w:vAlign w:val="center"/>
          </w:tcPr>
          <w:p w14:paraId="69CD15B6" w14:textId="77777777" w:rsidR="007D1E74" w:rsidRDefault="00A95641">
            <w:pPr>
              <w:jc w:val="center"/>
              <w:rPr>
                <w:rFonts w:cs="Times New Roman"/>
                <w:bCs/>
                <w:szCs w:val="21"/>
              </w:rPr>
            </w:pPr>
            <w:r>
              <w:rPr>
                <w:rFonts w:cs="Times New Roman"/>
                <w:bCs/>
                <w:szCs w:val="21"/>
              </w:rPr>
              <w:t>项目对应情况介绍</w:t>
            </w:r>
          </w:p>
        </w:tc>
        <w:tc>
          <w:tcPr>
            <w:tcW w:w="389" w:type="pct"/>
            <w:vMerge w:val="restart"/>
            <w:vAlign w:val="center"/>
          </w:tcPr>
          <w:p w14:paraId="7BC6E824" w14:textId="77777777" w:rsidR="007D1E74" w:rsidRDefault="00A95641">
            <w:pPr>
              <w:jc w:val="center"/>
              <w:rPr>
                <w:rFonts w:cs="Times New Roman"/>
                <w:bCs/>
                <w:szCs w:val="21"/>
              </w:rPr>
            </w:pPr>
            <w:r>
              <w:rPr>
                <w:rFonts w:cs="Times New Roman"/>
                <w:bCs/>
                <w:szCs w:val="21"/>
              </w:rPr>
              <w:t>符合性分析</w:t>
            </w:r>
          </w:p>
        </w:tc>
      </w:tr>
      <w:tr w:rsidR="007D1E74" w14:paraId="34515853" w14:textId="77777777">
        <w:tc>
          <w:tcPr>
            <w:tcW w:w="1048" w:type="pct"/>
            <w:gridSpan w:val="3"/>
            <w:vAlign w:val="center"/>
          </w:tcPr>
          <w:p w14:paraId="4AFC4321" w14:textId="77777777" w:rsidR="007D1E74" w:rsidRDefault="00A95641">
            <w:pPr>
              <w:jc w:val="center"/>
              <w:rPr>
                <w:rFonts w:cs="Times New Roman"/>
                <w:bCs/>
                <w:szCs w:val="21"/>
              </w:rPr>
            </w:pPr>
            <w:r>
              <w:rPr>
                <w:rFonts w:cs="Times New Roman"/>
                <w:bCs/>
                <w:szCs w:val="21"/>
              </w:rPr>
              <w:t>类别</w:t>
            </w:r>
          </w:p>
        </w:tc>
        <w:tc>
          <w:tcPr>
            <w:tcW w:w="2272" w:type="pct"/>
            <w:vAlign w:val="center"/>
          </w:tcPr>
          <w:p w14:paraId="4AA8224D" w14:textId="77777777" w:rsidR="007D1E74" w:rsidRDefault="00A95641">
            <w:pPr>
              <w:jc w:val="center"/>
              <w:rPr>
                <w:rFonts w:cs="Times New Roman"/>
                <w:bCs/>
                <w:szCs w:val="21"/>
              </w:rPr>
            </w:pPr>
            <w:r>
              <w:rPr>
                <w:rFonts w:cs="Times New Roman"/>
                <w:bCs/>
                <w:szCs w:val="21"/>
              </w:rPr>
              <w:t>对应管控要求</w:t>
            </w:r>
          </w:p>
        </w:tc>
        <w:tc>
          <w:tcPr>
            <w:tcW w:w="1290" w:type="pct"/>
            <w:vMerge/>
            <w:vAlign w:val="center"/>
          </w:tcPr>
          <w:p w14:paraId="2F38D198" w14:textId="77777777" w:rsidR="007D1E74" w:rsidRDefault="007D1E74">
            <w:pPr>
              <w:jc w:val="center"/>
              <w:rPr>
                <w:rFonts w:cs="Times New Roman"/>
                <w:szCs w:val="21"/>
              </w:rPr>
            </w:pPr>
          </w:p>
        </w:tc>
        <w:tc>
          <w:tcPr>
            <w:tcW w:w="389" w:type="pct"/>
            <w:vMerge/>
            <w:vAlign w:val="center"/>
          </w:tcPr>
          <w:p w14:paraId="31CD8418" w14:textId="77777777" w:rsidR="007D1E74" w:rsidRDefault="007D1E74">
            <w:pPr>
              <w:jc w:val="center"/>
              <w:rPr>
                <w:rFonts w:cs="Times New Roman"/>
                <w:szCs w:val="21"/>
              </w:rPr>
            </w:pPr>
          </w:p>
        </w:tc>
      </w:tr>
      <w:tr w:rsidR="007D1E74" w14:paraId="125589C9" w14:textId="77777777">
        <w:tc>
          <w:tcPr>
            <w:tcW w:w="460" w:type="pct"/>
            <w:vMerge w:val="restart"/>
            <w:vAlign w:val="center"/>
          </w:tcPr>
          <w:p w14:paraId="2FB62632" w14:textId="77777777" w:rsidR="007D1E74" w:rsidRDefault="00A95641">
            <w:pPr>
              <w:jc w:val="center"/>
              <w:rPr>
                <w:rFonts w:cs="Times New Roman"/>
                <w:szCs w:val="21"/>
              </w:rPr>
            </w:pPr>
            <w:r>
              <w:rPr>
                <w:rFonts w:cs="Times New Roman"/>
                <w:szCs w:val="21"/>
              </w:rPr>
              <w:t>一般管控单元、</w:t>
            </w:r>
            <w:r>
              <w:rPr>
                <w:rFonts w:cs="Times New Roman"/>
                <w:szCs w:val="21"/>
              </w:rPr>
              <w:t>ZH511921130001</w:t>
            </w:r>
            <w:r>
              <w:rPr>
                <w:rFonts w:cs="Times New Roman"/>
                <w:szCs w:val="21"/>
              </w:rPr>
              <w:t>、通江县一般管控单元</w:t>
            </w:r>
          </w:p>
        </w:tc>
        <w:tc>
          <w:tcPr>
            <w:tcW w:w="298" w:type="pct"/>
            <w:vMerge w:val="restart"/>
            <w:vAlign w:val="center"/>
          </w:tcPr>
          <w:p w14:paraId="79E40EEC" w14:textId="77777777" w:rsidR="007D1E74" w:rsidRDefault="00A95641">
            <w:pPr>
              <w:jc w:val="center"/>
              <w:rPr>
                <w:rFonts w:cs="Times New Roman"/>
                <w:szCs w:val="21"/>
              </w:rPr>
            </w:pPr>
            <w:r>
              <w:rPr>
                <w:rFonts w:cs="Times New Roman"/>
                <w:szCs w:val="21"/>
              </w:rPr>
              <w:t>普适性清单管控要求</w:t>
            </w:r>
          </w:p>
        </w:tc>
        <w:tc>
          <w:tcPr>
            <w:tcW w:w="288" w:type="pct"/>
            <w:vMerge w:val="restart"/>
            <w:vAlign w:val="center"/>
          </w:tcPr>
          <w:p w14:paraId="3D1D6DDE" w14:textId="77777777" w:rsidR="007D1E74" w:rsidRDefault="00A95641">
            <w:pPr>
              <w:jc w:val="center"/>
              <w:rPr>
                <w:rFonts w:cs="Times New Roman"/>
                <w:szCs w:val="21"/>
              </w:rPr>
            </w:pPr>
            <w:r>
              <w:rPr>
                <w:rFonts w:cs="Times New Roman"/>
                <w:szCs w:val="21"/>
              </w:rPr>
              <w:t>空间布局约束</w:t>
            </w:r>
          </w:p>
        </w:tc>
        <w:tc>
          <w:tcPr>
            <w:tcW w:w="2272" w:type="pct"/>
            <w:vAlign w:val="center"/>
          </w:tcPr>
          <w:p w14:paraId="2D0CBA7C" w14:textId="77777777" w:rsidR="007D1E74" w:rsidRDefault="00A95641">
            <w:pPr>
              <w:rPr>
                <w:rFonts w:cs="Times New Roman"/>
                <w:szCs w:val="21"/>
              </w:rPr>
            </w:pPr>
            <w:r>
              <w:rPr>
                <w:rFonts w:cs="Times New Roman"/>
                <w:szCs w:val="21"/>
              </w:rPr>
              <w:t>禁止开发建设活动的要求：</w:t>
            </w:r>
          </w:p>
          <w:p w14:paraId="5C5B02E8" w14:textId="77777777" w:rsidR="007D1E74" w:rsidRDefault="00A95641">
            <w:pPr>
              <w:rPr>
                <w:rFonts w:cs="Times New Roman"/>
                <w:szCs w:val="21"/>
              </w:rPr>
            </w:pPr>
            <w:r>
              <w:rPr>
                <w:rFonts w:cs="Times New Roman"/>
                <w:szCs w:val="21"/>
              </w:rPr>
              <w:t>（</w:t>
            </w:r>
            <w:r>
              <w:rPr>
                <w:rFonts w:cs="Times New Roman"/>
                <w:szCs w:val="21"/>
              </w:rPr>
              <w:t>1</w:t>
            </w:r>
            <w:r>
              <w:rPr>
                <w:rFonts w:cs="Times New Roman"/>
                <w:szCs w:val="21"/>
              </w:rPr>
              <w:t>）禁止在长江干支流岸线一公里范围内新建、扩建化工园区和化工项目。</w:t>
            </w:r>
          </w:p>
          <w:p w14:paraId="2A8B72A6" w14:textId="77777777" w:rsidR="007D1E74" w:rsidRDefault="00A95641">
            <w:pPr>
              <w:rPr>
                <w:rFonts w:cs="Times New Roman"/>
                <w:szCs w:val="21"/>
              </w:rPr>
            </w:pPr>
            <w:r>
              <w:rPr>
                <w:rFonts w:cs="Times New Roman"/>
                <w:szCs w:val="21"/>
              </w:rPr>
              <w:t>（</w:t>
            </w:r>
            <w:r>
              <w:rPr>
                <w:rFonts w:cs="Times New Roman"/>
                <w:szCs w:val="21"/>
              </w:rPr>
              <w:t>2</w:t>
            </w:r>
            <w:r>
              <w:rPr>
                <w:rFonts w:cs="Times New Roman"/>
                <w:szCs w:val="21"/>
              </w:rPr>
              <w:t>）禁止在法律法规规定的禁采区内开采矿产；禁止土法采、选、冶严重污染环境的矿产资源。</w:t>
            </w:r>
          </w:p>
          <w:p w14:paraId="42BA0127" w14:textId="77777777" w:rsidR="007D1E74" w:rsidRDefault="00A95641">
            <w:pPr>
              <w:rPr>
                <w:rFonts w:cs="Times New Roman"/>
                <w:szCs w:val="21"/>
              </w:rPr>
            </w:pPr>
            <w:r>
              <w:rPr>
                <w:rFonts w:cs="Times New Roman"/>
                <w:szCs w:val="21"/>
              </w:rPr>
              <w:t>（</w:t>
            </w:r>
            <w:r>
              <w:rPr>
                <w:rFonts w:cs="Times New Roman"/>
                <w:szCs w:val="21"/>
              </w:rPr>
              <w:t>3</w:t>
            </w:r>
            <w:r>
              <w:rPr>
                <w:rFonts w:cs="Times New Roman"/>
                <w:szCs w:val="21"/>
              </w:rPr>
              <w:t>）禁止在长江流域河湖管理范围内倾倒、填埋、堆放、弃置、处理固体废物。</w:t>
            </w:r>
          </w:p>
        </w:tc>
        <w:tc>
          <w:tcPr>
            <w:tcW w:w="1290" w:type="pct"/>
            <w:vAlign w:val="center"/>
          </w:tcPr>
          <w:p w14:paraId="74CB0D81" w14:textId="77777777" w:rsidR="007D1E74" w:rsidRDefault="00A95641">
            <w:pPr>
              <w:jc w:val="center"/>
              <w:rPr>
                <w:rFonts w:cs="Times New Roman"/>
                <w:szCs w:val="21"/>
              </w:rPr>
            </w:pPr>
            <w:r>
              <w:rPr>
                <w:rFonts w:cs="Times New Roman"/>
                <w:szCs w:val="21"/>
              </w:rPr>
              <w:t>本项目属于天然气集输管线工程项目，不属于化工项目，不属于开采矿产；</w:t>
            </w:r>
            <w:r>
              <w:rPr>
                <w:rFonts w:cs="Times New Roman" w:hint="eastAsia"/>
                <w:szCs w:val="21"/>
              </w:rPr>
              <w:t>施工期挖方全部回填，无弃方产生。</w:t>
            </w:r>
          </w:p>
        </w:tc>
        <w:tc>
          <w:tcPr>
            <w:tcW w:w="389" w:type="pct"/>
            <w:vAlign w:val="center"/>
          </w:tcPr>
          <w:p w14:paraId="2CD213FD" w14:textId="77777777" w:rsidR="007D1E74" w:rsidRDefault="00A95641">
            <w:pPr>
              <w:jc w:val="center"/>
              <w:rPr>
                <w:rFonts w:cs="Times New Roman"/>
                <w:szCs w:val="21"/>
              </w:rPr>
            </w:pPr>
            <w:r>
              <w:rPr>
                <w:rFonts w:cs="Times New Roman"/>
                <w:szCs w:val="21"/>
              </w:rPr>
              <w:t>符合</w:t>
            </w:r>
          </w:p>
        </w:tc>
      </w:tr>
      <w:tr w:rsidR="007D1E74" w14:paraId="5BE7E373" w14:textId="77777777">
        <w:tc>
          <w:tcPr>
            <w:tcW w:w="460" w:type="pct"/>
            <w:vMerge/>
            <w:vAlign w:val="center"/>
          </w:tcPr>
          <w:p w14:paraId="76939252" w14:textId="77777777" w:rsidR="007D1E74" w:rsidRDefault="007D1E74">
            <w:pPr>
              <w:jc w:val="center"/>
              <w:rPr>
                <w:rFonts w:cs="Times New Roman"/>
                <w:szCs w:val="21"/>
              </w:rPr>
            </w:pPr>
          </w:p>
        </w:tc>
        <w:tc>
          <w:tcPr>
            <w:tcW w:w="298" w:type="pct"/>
            <w:vMerge/>
            <w:vAlign w:val="center"/>
          </w:tcPr>
          <w:p w14:paraId="16615DBC" w14:textId="77777777" w:rsidR="007D1E74" w:rsidRDefault="007D1E74">
            <w:pPr>
              <w:jc w:val="center"/>
              <w:rPr>
                <w:rFonts w:cs="Times New Roman"/>
                <w:szCs w:val="21"/>
              </w:rPr>
            </w:pPr>
          </w:p>
        </w:tc>
        <w:tc>
          <w:tcPr>
            <w:tcW w:w="288" w:type="pct"/>
            <w:vMerge/>
            <w:vAlign w:val="center"/>
          </w:tcPr>
          <w:p w14:paraId="3055B836" w14:textId="77777777" w:rsidR="007D1E74" w:rsidRDefault="007D1E74">
            <w:pPr>
              <w:jc w:val="center"/>
              <w:rPr>
                <w:rFonts w:cs="Times New Roman"/>
                <w:szCs w:val="21"/>
              </w:rPr>
            </w:pPr>
          </w:p>
        </w:tc>
        <w:tc>
          <w:tcPr>
            <w:tcW w:w="2272" w:type="pct"/>
            <w:vAlign w:val="center"/>
          </w:tcPr>
          <w:p w14:paraId="6388AAF5" w14:textId="77777777" w:rsidR="007D1E74" w:rsidRDefault="00A95641">
            <w:pPr>
              <w:rPr>
                <w:rFonts w:cs="Times New Roman"/>
                <w:szCs w:val="21"/>
              </w:rPr>
            </w:pPr>
            <w:r>
              <w:rPr>
                <w:rFonts w:cs="Times New Roman"/>
                <w:szCs w:val="21"/>
              </w:rPr>
              <w:t>限制开发建设活动的要求：</w:t>
            </w:r>
          </w:p>
          <w:p w14:paraId="0D1373D1" w14:textId="77777777" w:rsidR="007D1E74" w:rsidRDefault="00A95641">
            <w:pPr>
              <w:rPr>
                <w:rFonts w:cs="Times New Roman"/>
                <w:szCs w:val="21"/>
              </w:rPr>
            </w:pPr>
            <w:r>
              <w:rPr>
                <w:rFonts w:cs="Times New Roman"/>
                <w:szCs w:val="21"/>
              </w:rPr>
              <w:t>（</w:t>
            </w:r>
            <w:r>
              <w:rPr>
                <w:rFonts w:cs="Times New Roman"/>
                <w:szCs w:val="21"/>
              </w:rPr>
              <w:t>1</w:t>
            </w:r>
            <w:r>
              <w:rPr>
                <w:rFonts w:cs="Times New Roman"/>
                <w:szCs w:val="21"/>
              </w:rPr>
              <w:t>）按照相关要求严控水泥新增产能。</w:t>
            </w:r>
          </w:p>
          <w:p w14:paraId="3E4EC13D" w14:textId="77777777" w:rsidR="007D1E74" w:rsidRDefault="00A95641">
            <w:pPr>
              <w:rPr>
                <w:rFonts w:cs="Times New Roman"/>
                <w:szCs w:val="21"/>
              </w:rPr>
            </w:pPr>
            <w:r>
              <w:rPr>
                <w:rFonts w:cs="Times New Roman"/>
                <w:szCs w:val="21"/>
              </w:rPr>
              <w:t>（</w:t>
            </w:r>
            <w:r>
              <w:rPr>
                <w:rFonts w:cs="Times New Roman"/>
                <w:szCs w:val="21"/>
              </w:rPr>
              <w:t>2</w:t>
            </w:r>
            <w:r>
              <w:rPr>
                <w:rFonts w:cs="Times New Roman"/>
                <w:szCs w:val="21"/>
              </w:rPr>
              <w:t>）严格控制在优先保护类耕地集中区域新建有色金属矿采选、有色金属冶炼、石油加工、化工、焦化、电镀、制革、天然（页岩）气开采、铅蓄电池、汽车制造、农药、危废处置、电子拆解、涉重等行业企业。</w:t>
            </w:r>
          </w:p>
          <w:p w14:paraId="6E58105B" w14:textId="77777777" w:rsidR="007D1E74" w:rsidRDefault="00A95641">
            <w:pPr>
              <w:rPr>
                <w:rFonts w:cs="Times New Roman"/>
                <w:szCs w:val="21"/>
              </w:rPr>
            </w:pPr>
            <w:r>
              <w:rPr>
                <w:rFonts w:cs="Times New Roman"/>
                <w:szCs w:val="21"/>
              </w:rPr>
              <w:t>（</w:t>
            </w:r>
            <w:r>
              <w:rPr>
                <w:rFonts w:cs="Times New Roman"/>
                <w:szCs w:val="21"/>
              </w:rPr>
              <w:t>3</w:t>
            </w:r>
            <w:r>
              <w:rPr>
                <w:rFonts w:cs="Times New Roman"/>
                <w:szCs w:val="21"/>
              </w:rPr>
              <w:t>）因地制宜地发展适宜产业，在不损害生态系统功能的前提下，适度发展旅游、农林牧产品生产和加工、生态农业、休闲农业等产业；单元内若新布局工业园区，应结合区域环境特点、三线成果、园区产业类别，</w:t>
            </w:r>
            <w:r>
              <w:rPr>
                <w:rFonts w:cs="Times New Roman"/>
                <w:szCs w:val="21"/>
              </w:rPr>
              <w:lastRenderedPageBreak/>
              <w:t>充分论证选址的环境合理性。</w:t>
            </w:r>
          </w:p>
          <w:p w14:paraId="43787309" w14:textId="77777777" w:rsidR="007D1E74" w:rsidRDefault="00A95641">
            <w:pPr>
              <w:rPr>
                <w:rFonts w:cs="Times New Roman"/>
                <w:spacing w:val="-11"/>
                <w:kern w:val="0"/>
                <w:szCs w:val="21"/>
              </w:rPr>
            </w:pPr>
            <w:r>
              <w:rPr>
                <w:rFonts w:cs="Times New Roman"/>
                <w:szCs w:val="21"/>
              </w:rPr>
              <w:t>（</w:t>
            </w:r>
            <w:r>
              <w:rPr>
                <w:rFonts w:cs="Times New Roman"/>
                <w:szCs w:val="21"/>
              </w:rPr>
              <w:t>4</w:t>
            </w:r>
            <w:r>
              <w:rPr>
                <w:rFonts w:cs="Times New Roman"/>
                <w:szCs w:val="21"/>
              </w:rPr>
              <w:t>）严格控制非农业建设占用农用地。</w:t>
            </w:r>
          </w:p>
        </w:tc>
        <w:tc>
          <w:tcPr>
            <w:tcW w:w="1290" w:type="pct"/>
            <w:vAlign w:val="center"/>
          </w:tcPr>
          <w:p w14:paraId="7EE20365" w14:textId="77777777" w:rsidR="007D1E74" w:rsidRDefault="00A95641">
            <w:pPr>
              <w:jc w:val="center"/>
              <w:rPr>
                <w:rFonts w:cs="Times New Roman"/>
                <w:szCs w:val="21"/>
              </w:rPr>
            </w:pPr>
            <w:r>
              <w:rPr>
                <w:rFonts w:cs="Times New Roman"/>
                <w:szCs w:val="21"/>
              </w:rPr>
              <w:lastRenderedPageBreak/>
              <w:t>本项目属于天然气集输管线工程项目，不属于有色金属矿采选、有色金属冶炼、石油加工、化工、焦化、电镀、制革、天然（页岩）气开采、铅蓄电池、汽车制造、农药、危废处置、电子拆解、涉重等行业企业。</w:t>
            </w:r>
          </w:p>
        </w:tc>
        <w:tc>
          <w:tcPr>
            <w:tcW w:w="389" w:type="pct"/>
            <w:vAlign w:val="center"/>
          </w:tcPr>
          <w:p w14:paraId="3FA945CF" w14:textId="77777777" w:rsidR="007D1E74" w:rsidRDefault="00A95641">
            <w:pPr>
              <w:jc w:val="center"/>
              <w:rPr>
                <w:rFonts w:cs="Times New Roman"/>
                <w:szCs w:val="21"/>
              </w:rPr>
            </w:pPr>
            <w:r>
              <w:rPr>
                <w:rFonts w:cs="Times New Roman"/>
                <w:szCs w:val="21"/>
              </w:rPr>
              <w:t>符合</w:t>
            </w:r>
          </w:p>
        </w:tc>
      </w:tr>
      <w:tr w:rsidR="007D1E74" w14:paraId="31C2027A" w14:textId="77777777">
        <w:tc>
          <w:tcPr>
            <w:tcW w:w="460" w:type="pct"/>
            <w:vMerge/>
            <w:vAlign w:val="center"/>
          </w:tcPr>
          <w:p w14:paraId="6A0D9707" w14:textId="77777777" w:rsidR="007D1E74" w:rsidRDefault="007D1E74">
            <w:pPr>
              <w:jc w:val="center"/>
              <w:rPr>
                <w:rFonts w:cs="Times New Roman"/>
                <w:szCs w:val="21"/>
              </w:rPr>
            </w:pPr>
          </w:p>
        </w:tc>
        <w:tc>
          <w:tcPr>
            <w:tcW w:w="298" w:type="pct"/>
            <w:vMerge/>
            <w:vAlign w:val="center"/>
          </w:tcPr>
          <w:p w14:paraId="2667E919" w14:textId="77777777" w:rsidR="007D1E74" w:rsidRDefault="007D1E74">
            <w:pPr>
              <w:jc w:val="center"/>
              <w:rPr>
                <w:rFonts w:cs="Times New Roman"/>
                <w:szCs w:val="21"/>
              </w:rPr>
            </w:pPr>
          </w:p>
        </w:tc>
        <w:tc>
          <w:tcPr>
            <w:tcW w:w="288" w:type="pct"/>
            <w:vMerge/>
            <w:vAlign w:val="center"/>
          </w:tcPr>
          <w:p w14:paraId="7B6619BA" w14:textId="77777777" w:rsidR="007D1E74" w:rsidRDefault="007D1E74">
            <w:pPr>
              <w:jc w:val="center"/>
              <w:rPr>
                <w:rFonts w:cs="Times New Roman"/>
                <w:szCs w:val="21"/>
              </w:rPr>
            </w:pPr>
          </w:p>
        </w:tc>
        <w:tc>
          <w:tcPr>
            <w:tcW w:w="2272" w:type="pct"/>
            <w:vAlign w:val="center"/>
          </w:tcPr>
          <w:p w14:paraId="16F5F6E0" w14:textId="77777777" w:rsidR="007D1E74" w:rsidRDefault="00A95641">
            <w:pPr>
              <w:rPr>
                <w:rFonts w:cs="Times New Roman"/>
                <w:szCs w:val="21"/>
              </w:rPr>
            </w:pPr>
            <w:r>
              <w:rPr>
                <w:rFonts w:cs="Times New Roman"/>
                <w:szCs w:val="21"/>
              </w:rPr>
              <w:t>不符合空间布局要求活动的退出要求：</w:t>
            </w:r>
          </w:p>
          <w:p w14:paraId="750C9E0D" w14:textId="77777777" w:rsidR="007D1E74" w:rsidRDefault="00A95641">
            <w:pPr>
              <w:rPr>
                <w:rFonts w:cs="Times New Roman"/>
                <w:szCs w:val="21"/>
              </w:rPr>
            </w:pPr>
            <w:r>
              <w:rPr>
                <w:rFonts w:cs="Times New Roman"/>
                <w:szCs w:val="21"/>
              </w:rPr>
              <w:t>（</w:t>
            </w:r>
            <w:r>
              <w:rPr>
                <w:rFonts w:cs="Times New Roman"/>
                <w:szCs w:val="21"/>
              </w:rPr>
              <w:t>1</w:t>
            </w:r>
            <w:r>
              <w:rPr>
                <w:rFonts w:cs="Times New Roman"/>
                <w:szCs w:val="21"/>
              </w:rPr>
              <w:t>）全面取缔禁养区内规模化畜禽养殖场。</w:t>
            </w:r>
          </w:p>
          <w:p w14:paraId="00185F26" w14:textId="77777777" w:rsidR="007D1E74" w:rsidRDefault="00A95641">
            <w:pPr>
              <w:rPr>
                <w:rFonts w:cs="Times New Roman"/>
                <w:szCs w:val="21"/>
              </w:rPr>
            </w:pPr>
            <w:r>
              <w:rPr>
                <w:rFonts w:cs="Times New Roman"/>
                <w:szCs w:val="21"/>
              </w:rPr>
              <w:t>（</w:t>
            </w:r>
            <w:r>
              <w:rPr>
                <w:rFonts w:cs="Times New Roman"/>
                <w:szCs w:val="21"/>
              </w:rPr>
              <w:t>2</w:t>
            </w:r>
            <w:r>
              <w:rPr>
                <w:rFonts w:cs="Times New Roman"/>
                <w:szCs w:val="21"/>
              </w:rPr>
              <w:t>）针对现有水泥企业，强化污染治理和污染物减排，依法依规整治或搬迁。</w:t>
            </w:r>
          </w:p>
        </w:tc>
        <w:tc>
          <w:tcPr>
            <w:tcW w:w="1290" w:type="pct"/>
            <w:vAlign w:val="center"/>
          </w:tcPr>
          <w:p w14:paraId="4206E32F" w14:textId="77777777" w:rsidR="007D1E74" w:rsidRDefault="00A95641">
            <w:pPr>
              <w:jc w:val="center"/>
              <w:rPr>
                <w:rFonts w:cs="Times New Roman"/>
                <w:szCs w:val="21"/>
              </w:rPr>
            </w:pPr>
            <w:r>
              <w:rPr>
                <w:rFonts w:cs="Times New Roman"/>
                <w:szCs w:val="21"/>
              </w:rPr>
              <w:t>本项目属于天然气集输管线工程项目，不属于养殖业，也不属于水泥企业。</w:t>
            </w:r>
          </w:p>
        </w:tc>
        <w:tc>
          <w:tcPr>
            <w:tcW w:w="389" w:type="pct"/>
            <w:vAlign w:val="center"/>
          </w:tcPr>
          <w:p w14:paraId="1D466CA0" w14:textId="77777777" w:rsidR="007D1E74" w:rsidRDefault="00A95641">
            <w:pPr>
              <w:jc w:val="center"/>
              <w:rPr>
                <w:rFonts w:cs="Times New Roman"/>
                <w:szCs w:val="21"/>
              </w:rPr>
            </w:pPr>
            <w:r>
              <w:rPr>
                <w:rFonts w:cs="Times New Roman"/>
                <w:szCs w:val="21"/>
              </w:rPr>
              <w:t>符合</w:t>
            </w:r>
          </w:p>
        </w:tc>
      </w:tr>
      <w:tr w:rsidR="007D1E74" w14:paraId="0F539AAB" w14:textId="77777777">
        <w:tc>
          <w:tcPr>
            <w:tcW w:w="460" w:type="pct"/>
            <w:vMerge/>
            <w:vAlign w:val="center"/>
          </w:tcPr>
          <w:p w14:paraId="7AE5DFAD" w14:textId="77777777" w:rsidR="007D1E74" w:rsidRDefault="007D1E74">
            <w:pPr>
              <w:jc w:val="center"/>
              <w:rPr>
                <w:rFonts w:cs="Times New Roman"/>
                <w:szCs w:val="21"/>
              </w:rPr>
            </w:pPr>
          </w:p>
        </w:tc>
        <w:tc>
          <w:tcPr>
            <w:tcW w:w="298" w:type="pct"/>
            <w:vMerge/>
            <w:vAlign w:val="center"/>
          </w:tcPr>
          <w:p w14:paraId="5FC2FC7D" w14:textId="77777777" w:rsidR="007D1E74" w:rsidRDefault="007D1E74">
            <w:pPr>
              <w:jc w:val="center"/>
              <w:rPr>
                <w:rFonts w:cs="Times New Roman"/>
                <w:szCs w:val="21"/>
              </w:rPr>
            </w:pPr>
          </w:p>
        </w:tc>
        <w:tc>
          <w:tcPr>
            <w:tcW w:w="288" w:type="pct"/>
            <w:vMerge w:val="restart"/>
            <w:vAlign w:val="center"/>
          </w:tcPr>
          <w:p w14:paraId="565D1F00" w14:textId="77777777" w:rsidR="007D1E74" w:rsidRDefault="00A95641">
            <w:pPr>
              <w:jc w:val="center"/>
              <w:rPr>
                <w:rFonts w:cs="Times New Roman"/>
                <w:szCs w:val="21"/>
              </w:rPr>
            </w:pPr>
            <w:r>
              <w:rPr>
                <w:rFonts w:cs="Times New Roman"/>
                <w:szCs w:val="21"/>
              </w:rPr>
              <w:t>污染物排放管控</w:t>
            </w:r>
          </w:p>
        </w:tc>
        <w:tc>
          <w:tcPr>
            <w:tcW w:w="2272" w:type="pct"/>
            <w:vAlign w:val="center"/>
          </w:tcPr>
          <w:p w14:paraId="4D7B29CD" w14:textId="77777777" w:rsidR="007D1E74" w:rsidRDefault="00A95641">
            <w:pPr>
              <w:rPr>
                <w:rFonts w:cs="Times New Roman"/>
                <w:szCs w:val="21"/>
              </w:rPr>
            </w:pPr>
            <w:r>
              <w:rPr>
                <w:rFonts w:cs="Times New Roman"/>
                <w:szCs w:val="21"/>
              </w:rPr>
              <w:t>现有源提标升级改造：</w:t>
            </w:r>
          </w:p>
          <w:p w14:paraId="08FF7F68" w14:textId="77777777" w:rsidR="007D1E74" w:rsidRDefault="00A95641">
            <w:pPr>
              <w:rPr>
                <w:rFonts w:cs="Times New Roman"/>
                <w:szCs w:val="21"/>
              </w:rPr>
            </w:pPr>
            <w:r>
              <w:rPr>
                <w:rFonts w:cs="Times New Roman"/>
                <w:szCs w:val="21"/>
              </w:rPr>
              <w:t>（</w:t>
            </w:r>
            <w:r>
              <w:rPr>
                <w:rFonts w:cs="Times New Roman"/>
                <w:szCs w:val="21"/>
              </w:rPr>
              <w:t>1</w:t>
            </w:r>
            <w:r>
              <w:rPr>
                <w:rFonts w:cs="Times New Roman"/>
                <w:szCs w:val="21"/>
              </w:rPr>
              <w:t>）加快现有乡镇污水处理设施升级改造，按要求达《城镇污水处理厂污染物排放标准》一级</w:t>
            </w:r>
            <w:r>
              <w:rPr>
                <w:rFonts w:cs="Times New Roman"/>
                <w:szCs w:val="21"/>
              </w:rPr>
              <w:t xml:space="preserve">A </w:t>
            </w:r>
            <w:r>
              <w:rPr>
                <w:rFonts w:cs="Times New Roman"/>
                <w:szCs w:val="21"/>
              </w:rPr>
              <w:t>标后排放。</w:t>
            </w:r>
          </w:p>
          <w:p w14:paraId="4CC77BC4" w14:textId="77777777" w:rsidR="007D1E74" w:rsidRDefault="00A95641">
            <w:pPr>
              <w:rPr>
                <w:rFonts w:cs="Times New Roman"/>
                <w:szCs w:val="21"/>
              </w:rPr>
            </w:pPr>
            <w:r>
              <w:rPr>
                <w:rFonts w:cs="Times New Roman"/>
                <w:szCs w:val="21"/>
              </w:rPr>
              <w:t>（</w:t>
            </w:r>
            <w:r>
              <w:rPr>
                <w:rFonts w:cs="Times New Roman"/>
                <w:szCs w:val="21"/>
              </w:rPr>
              <w:t>2</w:t>
            </w:r>
            <w:r>
              <w:rPr>
                <w:rFonts w:cs="Times New Roman"/>
                <w:szCs w:val="21"/>
              </w:rPr>
              <w:t>）在矿产资源开发活动集中区域，废水执行重金属污染物排放特别限值。</w:t>
            </w:r>
          </w:p>
          <w:p w14:paraId="1BE3F6E1" w14:textId="77777777" w:rsidR="007D1E74" w:rsidRDefault="00A95641">
            <w:pPr>
              <w:rPr>
                <w:rFonts w:cs="Times New Roman"/>
                <w:szCs w:val="21"/>
              </w:rPr>
            </w:pPr>
            <w:r>
              <w:rPr>
                <w:rFonts w:cs="Times New Roman"/>
                <w:szCs w:val="21"/>
              </w:rPr>
              <w:t>（</w:t>
            </w:r>
            <w:r>
              <w:rPr>
                <w:rFonts w:cs="Times New Roman"/>
                <w:szCs w:val="21"/>
              </w:rPr>
              <w:t>3</w:t>
            </w:r>
            <w:r>
              <w:rPr>
                <w:rFonts w:cs="Times New Roman"/>
                <w:szCs w:val="21"/>
              </w:rPr>
              <w:t>）砖瓦行业实施脱硫、除尘升级改造，污染物排放达到《砖瓦工业大气污染物排放标准》相关要求。</w:t>
            </w:r>
          </w:p>
          <w:p w14:paraId="1382E610" w14:textId="77777777" w:rsidR="007D1E74" w:rsidRDefault="00A95641">
            <w:pPr>
              <w:rPr>
                <w:rFonts w:cs="Times New Roman"/>
                <w:szCs w:val="21"/>
              </w:rPr>
            </w:pPr>
            <w:bookmarkStart w:id="0" w:name="_Toc73717249"/>
            <w:bookmarkStart w:id="1" w:name="_Toc72948401"/>
            <w:bookmarkStart w:id="2" w:name="_Toc23521"/>
            <w:r>
              <w:rPr>
                <w:rFonts w:cs="Times New Roman"/>
                <w:szCs w:val="21"/>
              </w:rPr>
              <w:t>（</w:t>
            </w:r>
            <w:r>
              <w:rPr>
                <w:rFonts w:cs="Times New Roman"/>
                <w:szCs w:val="21"/>
              </w:rPr>
              <w:t>4</w:t>
            </w:r>
            <w:r>
              <w:rPr>
                <w:rFonts w:cs="Times New Roman"/>
                <w:szCs w:val="21"/>
              </w:rPr>
              <w:t>）</w:t>
            </w:r>
            <w:bookmarkEnd w:id="0"/>
            <w:bookmarkEnd w:id="1"/>
            <w:bookmarkEnd w:id="2"/>
            <w:r>
              <w:rPr>
                <w:rFonts w:cs="Times New Roman"/>
                <w:szCs w:val="21"/>
              </w:rPr>
              <w:t>火电、水泥等行业按相关要求推进大气污染物超低排放和深度治理。</w:t>
            </w:r>
          </w:p>
          <w:p w14:paraId="1FC0C2DD" w14:textId="77777777" w:rsidR="007D1E74" w:rsidRDefault="00A95641">
            <w:pPr>
              <w:rPr>
                <w:rFonts w:cs="Times New Roman"/>
                <w:szCs w:val="21"/>
              </w:rPr>
            </w:pPr>
            <w:r>
              <w:rPr>
                <w:rFonts w:cs="Times New Roman"/>
                <w:szCs w:val="21"/>
              </w:rPr>
              <w:t>（</w:t>
            </w:r>
            <w:r>
              <w:rPr>
                <w:rFonts w:cs="Times New Roman"/>
                <w:szCs w:val="21"/>
              </w:rPr>
              <w:t>5</w:t>
            </w:r>
            <w:r>
              <w:rPr>
                <w:rFonts w:cs="Times New Roman"/>
                <w:szCs w:val="21"/>
              </w:rPr>
              <w:t>）调整优化畜禽养殖区域布局，实施规模化畜禽养殖场标准化建设和改造，加强禽畜养殖粪污治理，深入推广畜禽清洁养殖，养殖场的养殖规模要与周边可供消纳的土地量相匹配，并具备完善的雨污分流、粪便污水资源化利用设施。强化畜禽养殖散户管理，禁止畜禽粪污直排。</w:t>
            </w:r>
          </w:p>
        </w:tc>
        <w:tc>
          <w:tcPr>
            <w:tcW w:w="1290" w:type="pct"/>
            <w:vAlign w:val="center"/>
          </w:tcPr>
          <w:p w14:paraId="410063F7" w14:textId="77777777" w:rsidR="007D1E74" w:rsidRDefault="00A95641">
            <w:pPr>
              <w:pStyle w:val="affa"/>
              <w:jc w:val="center"/>
              <w:rPr>
                <w:rFonts w:ascii="Times New Roman" w:hAnsi="Times New Roman"/>
                <w:szCs w:val="21"/>
              </w:rPr>
            </w:pPr>
            <w:r>
              <w:rPr>
                <w:rFonts w:ascii="Times New Roman" w:hAnsi="Times New Roman"/>
                <w:szCs w:val="21"/>
              </w:rPr>
              <w:t>本项目属于天然气集输管线工程项目，不属矿产资源开发、砖瓦行业、火电、水泥和畜禽养殖行业。</w:t>
            </w:r>
          </w:p>
        </w:tc>
        <w:tc>
          <w:tcPr>
            <w:tcW w:w="389" w:type="pct"/>
            <w:vAlign w:val="center"/>
          </w:tcPr>
          <w:p w14:paraId="4707BFBD" w14:textId="77777777" w:rsidR="007D1E74" w:rsidRDefault="00A95641">
            <w:pPr>
              <w:jc w:val="center"/>
              <w:rPr>
                <w:rFonts w:cs="Times New Roman"/>
                <w:szCs w:val="21"/>
              </w:rPr>
            </w:pPr>
            <w:r>
              <w:rPr>
                <w:rFonts w:cs="Times New Roman"/>
                <w:szCs w:val="21"/>
              </w:rPr>
              <w:t>符合</w:t>
            </w:r>
          </w:p>
        </w:tc>
      </w:tr>
      <w:tr w:rsidR="007D1E74" w14:paraId="55331872" w14:textId="77777777">
        <w:tc>
          <w:tcPr>
            <w:tcW w:w="460" w:type="pct"/>
            <w:vMerge/>
            <w:vAlign w:val="center"/>
          </w:tcPr>
          <w:p w14:paraId="15613FE8" w14:textId="77777777" w:rsidR="007D1E74" w:rsidRDefault="007D1E74">
            <w:pPr>
              <w:jc w:val="center"/>
              <w:rPr>
                <w:rFonts w:cs="Times New Roman"/>
                <w:szCs w:val="21"/>
              </w:rPr>
            </w:pPr>
          </w:p>
        </w:tc>
        <w:tc>
          <w:tcPr>
            <w:tcW w:w="298" w:type="pct"/>
            <w:vMerge/>
            <w:vAlign w:val="center"/>
          </w:tcPr>
          <w:p w14:paraId="4EDD5A15" w14:textId="77777777" w:rsidR="007D1E74" w:rsidRDefault="007D1E74">
            <w:pPr>
              <w:jc w:val="center"/>
              <w:rPr>
                <w:rFonts w:cs="Times New Roman"/>
                <w:szCs w:val="21"/>
              </w:rPr>
            </w:pPr>
          </w:p>
        </w:tc>
        <w:tc>
          <w:tcPr>
            <w:tcW w:w="288" w:type="pct"/>
            <w:vMerge/>
            <w:vAlign w:val="center"/>
          </w:tcPr>
          <w:p w14:paraId="1CD5B751" w14:textId="77777777" w:rsidR="007D1E74" w:rsidRDefault="007D1E74">
            <w:pPr>
              <w:jc w:val="center"/>
              <w:rPr>
                <w:rFonts w:cs="Times New Roman"/>
                <w:szCs w:val="21"/>
              </w:rPr>
            </w:pPr>
          </w:p>
        </w:tc>
        <w:tc>
          <w:tcPr>
            <w:tcW w:w="2272" w:type="pct"/>
            <w:vAlign w:val="center"/>
          </w:tcPr>
          <w:p w14:paraId="4DE6502D" w14:textId="77777777" w:rsidR="007D1E74" w:rsidRDefault="00A95641">
            <w:pPr>
              <w:rPr>
                <w:rFonts w:cs="Times New Roman"/>
                <w:spacing w:val="-11"/>
                <w:kern w:val="0"/>
                <w:szCs w:val="21"/>
              </w:rPr>
            </w:pPr>
            <w:r>
              <w:rPr>
                <w:rFonts w:cs="Times New Roman"/>
                <w:szCs w:val="21"/>
              </w:rPr>
              <w:t>削减排放量要求：要达到</w:t>
            </w:r>
            <w:r>
              <w:rPr>
                <w:rFonts w:cs="Times New Roman"/>
                <w:szCs w:val="21"/>
              </w:rPr>
              <w:t xml:space="preserve">2020 </w:t>
            </w:r>
            <w:r>
              <w:rPr>
                <w:rFonts w:cs="Times New Roman"/>
                <w:szCs w:val="21"/>
              </w:rPr>
              <w:t>年目标，巴中市大气污染物削减比例测算如下：一次</w:t>
            </w:r>
            <w:r>
              <w:rPr>
                <w:rFonts w:cs="Times New Roman"/>
                <w:szCs w:val="21"/>
              </w:rPr>
              <w:t>PM</w:t>
            </w:r>
            <w:r>
              <w:rPr>
                <w:rFonts w:cs="Times New Roman"/>
                <w:szCs w:val="21"/>
                <w:vertAlign w:val="subscript"/>
              </w:rPr>
              <w:t>2.5</w:t>
            </w:r>
            <w:r>
              <w:rPr>
                <w:rFonts w:cs="Times New Roman"/>
                <w:szCs w:val="21"/>
              </w:rPr>
              <w:t xml:space="preserve"> </w:t>
            </w:r>
            <w:r>
              <w:rPr>
                <w:rFonts w:cs="Times New Roman"/>
                <w:szCs w:val="21"/>
              </w:rPr>
              <w:t>削减</w:t>
            </w:r>
            <w:r>
              <w:rPr>
                <w:rFonts w:cs="Times New Roman"/>
                <w:szCs w:val="21"/>
              </w:rPr>
              <w:t>11%</w:t>
            </w:r>
            <w:r>
              <w:rPr>
                <w:rFonts w:cs="Times New Roman"/>
                <w:szCs w:val="21"/>
              </w:rPr>
              <w:t>、</w:t>
            </w:r>
            <w:r>
              <w:rPr>
                <w:rFonts w:cs="Times New Roman"/>
                <w:szCs w:val="21"/>
              </w:rPr>
              <w:t>SO</w:t>
            </w:r>
            <w:r>
              <w:rPr>
                <w:rFonts w:cs="Times New Roman"/>
                <w:szCs w:val="21"/>
                <w:vertAlign w:val="subscript"/>
              </w:rPr>
              <w:t>2</w:t>
            </w:r>
            <w:r>
              <w:rPr>
                <w:rFonts w:cs="Times New Roman"/>
                <w:szCs w:val="21"/>
              </w:rPr>
              <w:t xml:space="preserve"> </w:t>
            </w:r>
            <w:r>
              <w:rPr>
                <w:rFonts w:cs="Times New Roman"/>
                <w:szCs w:val="21"/>
              </w:rPr>
              <w:t>削减</w:t>
            </w:r>
            <w:r>
              <w:rPr>
                <w:rFonts w:cs="Times New Roman"/>
                <w:szCs w:val="21"/>
              </w:rPr>
              <w:t>11%</w:t>
            </w:r>
            <w:r>
              <w:rPr>
                <w:rFonts w:cs="Times New Roman"/>
                <w:szCs w:val="21"/>
              </w:rPr>
              <w:t>、</w:t>
            </w:r>
            <w:r>
              <w:rPr>
                <w:rFonts w:cs="Times New Roman"/>
                <w:szCs w:val="21"/>
              </w:rPr>
              <w:t xml:space="preserve">NOx </w:t>
            </w:r>
            <w:r>
              <w:rPr>
                <w:rFonts w:cs="Times New Roman"/>
                <w:szCs w:val="21"/>
              </w:rPr>
              <w:t>削减</w:t>
            </w:r>
            <w:r>
              <w:rPr>
                <w:rFonts w:cs="Times New Roman"/>
                <w:szCs w:val="21"/>
              </w:rPr>
              <w:t>4%</w:t>
            </w:r>
            <w:r>
              <w:rPr>
                <w:rFonts w:cs="Times New Roman"/>
                <w:szCs w:val="21"/>
              </w:rPr>
              <w:t>、</w:t>
            </w:r>
            <w:r>
              <w:rPr>
                <w:rFonts w:cs="Times New Roman"/>
                <w:szCs w:val="21"/>
              </w:rPr>
              <w:t xml:space="preserve">VOCs </w:t>
            </w:r>
            <w:r>
              <w:rPr>
                <w:rFonts w:cs="Times New Roman"/>
                <w:szCs w:val="21"/>
              </w:rPr>
              <w:t>削减</w:t>
            </w:r>
            <w:r>
              <w:rPr>
                <w:rFonts w:cs="Times New Roman"/>
                <w:szCs w:val="21"/>
              </w:rPr>
              <w:t>4%</w:t>
            </w:r>
          </w:p>
        </w:tc>
        <w:tc>
          <w:tcPr>
            <w:tcW w:w="1290" w:type="pct"/>
            <w:vAlign w:val="center"/>
          </w:tcPr>
          <w:p w14:paraId="179EBF91" w14:textId="77777777" w:rsidR="007D1E74" w:rsidRDefault="00A95641">
            <w:pPr>
              <w:pStyle w:val="affa"/>
              <w:jc w:val="center"/>
              <w:rPr>
                <w:rFonts w:ascii="Times New Roman" w:hAnsi="Times New Roman"/>
                <w:szCs w:val="21"/>
              </w:rPr>
            </w:pPr>
            <w:r>
              <w:rPr>
                <w:rFonts w:ascii="Times New Roman" w:hAnsi="Times New Roman" w:hint="eastAsia"/>
                <w:szCs w:val="21"/>
              </w:rPr>
              <w:t>本项目营运期无废气产生</w:t>
            </w:r>
          </w:p>
        </w:tc>
        <w:tc>
          <w:tcPr>
            <w:tcW w:w="389" w:type="pct"/>
            <w:vAlign w:val="center"/>
          </w:tcPr>
          <w:p w14:paraId="4027E2C3" w14:textId="77777777" w:rsidR="007D1E74" w:rsidRDefault="00A95641">
            <w:pPr>
              <w:jc w:val="center"/>
              <w:rPr>
                <w:rFonts w:cs="Times New Roman"/>
                <w:szCs w:val="21"/>
              </w:rPr>
            </w:pPr>
            <w:r>
              <w:rPr>
                <w:rFonts w:cs="Times New Roman"/>
                <w:szCs w:val="21"/>
              </w:rPr>
              <w:t>符合</w:t>
            </w:r>
          </w:p>
        </w:tc>
      </w:tr>
      <w:tr w:rsidR="007D1E74" w14:paraId="4AF8C76D" w14:textId="77777777">
        <w:tc>
          <w:tcPr>
            <w:tcW w:w="460" w:type="pct"/>
            <w:vMerge/>
            <w:vAlign w:val="center"/>
          </w:tcPr>
          <w:p w14:paraId="243DC3CE" w14:textId="77777777" w:rsidR="007D1E74" w:rsidRDefault="007D1E74">
            <w:pPr>
              <w:jc w:val="center"/>
              <w:rPr>
                <w:rFonts w:cs="Times New Roman"/>
                <w:szCs w:val="21"/>
              </w:rPr>
            </w:pPr>
          </w:p>
        </w:tc>
        <w:tc>
          <w:tcPr>
            <w:tcW w:w="298" w:type="pct"/>
            <w:vMerge/>
            <w:vAlign w:val="center"/>
          </w:tcPr>
          <w:p w14:paraId="708D6902" w14:textId="77777777" w:rsidR="007D1E74" w:rsidRDefault="007D1E74">
            <w:pPr>
              <w:jc w:val="center"/>
              <w:rPr>
                <w:rFonts w:cs="Times New Roman"/>
                <w:szCs w:val="21"/>
              </w:rPr>
            </w:pPr>
          </w:p>
        </w:tc>
        <w:tc>
          <w:tcPr>
            <w:tcW w:w="288" w:type="pct"/>
            <w:vMerge/>
            <w:vAlign w:val="center"/>
          </w:tcPr>
          <w:p w14:paraId="7C027440" w14:textId="77777777" w:rsidR="007D1E74" w:rsidRDefault="007D1E74">
            <w:pPr>
              <w:jc w:val="center"/>
              <w:rPr>
                <w:rFonts w:cs="Times New Roman"/>
                <w:szCs w:val="21"/>
              </w:rPr>
            </w:pPr>
          </w:p>
        </w:tc>
        <w:tc>
          <w:tcPr>
            <w:tcW w:w="2272" w:type="pct"/>
            <w:vAlign w:val="center"/>
          </w:tcPr>
          <w:p w14:paraId="0532A547" w14:textId="77777777" w:rsidR="007D1E74" w:rsidRDefault="00A95641">
            <w:pPr>
              <w:rPr>
                <w:rFonts w:cs="Times New Roman"/>
                <w:szCs w:val="21"/>
              </w:rPr>
            </w:pPr>
            <w:r>
              <w:rPr>
                <w:rFonts w:cs="Times New Roman"/>
                <w:szCs w:val="21"/>
              </w:rPr>
              <w:t>污染物排放绩效水平准入要求：</w:t>
            </w:r>
            <w:bookmarkStart w:id="3" w:name="_Toc72948404"/>
            <w:bookmarkStart w:id="4" w:name="_Toc73717252"/>
          </w:p>
          <w:bookmarkEnd w:id="3"/>
          <w:bookmarkEnd w:id="4"/>
          <w:p w14:paraId="02FB492C" w14:textId="77777777" w:rsidR="007D1E74" w:rsidRDefault="00A95641">
            <w:pPr>
              <w:numPr>
                <w:ilvl w:val="0"/>
                <w:numId w:val="38"/>
              </w:numPr>
              <w:rPr>
                <w:rFonts w:cs="Times New Roman"/>
                <w:szCs w:val="21"/>
              </w:rPr>
            </w:pPr>
            <w:r>
              <w:rPr>
                <w:rFonts w:cs="Times New Roman"/>
                <w:szCs w:val="21"/>
              </w:rPr>
              <w:t>到</w:t>
            </w:r>
            <w:r>
              <w:rPr>
                <w:rFonts w:cs="Times New Roman"/>
                <w:szCs w:val="21"/>
              </w:rPr>
              <w:t>2025</w:t>
            </w:r>
            <w:r>
              <w:rPr>
                <w:rFonts w:cs="Times New Roman"/>
                <w:szCs w:val="21"/>
              </w:rPr>
              <w:t>年，乡镇污水处理率达</w:t>
            </w:r>
            <w:r>
              <w:rPr>
                <w:rFonts w:cs="Times New Roman"/>
                <w:szCs w:val="21"/>
              </w:rPr>
              <w:t>95%</w:t>
            </w:r>
            <w:r>
              <w:rPr>
                <w:rFonts w:cs="Times New Roman"/>
                <w:szCs w:val="21"/>
              </w:rPr>
              <w:t>；到</w:t>
            </w:r>
            <w:r>
              <w:rPr>
                <w:rFonts w:cs="Times New Roman"/>
                <w:szCs w:val="21"/>
              </w:rPr>
              <w:t>2030</w:t>
            </w:r>
            <w:r>
              <w:rPr>
                <w:rFonts w:cs="Times New Roman"/>
                <w:szCs w:val="21"/>
              </w:rPr>
              <w:t>年，乡镇污水处理率达</w:t>
            </w:r>
            <w:r>
              <w:rPr>
                <w:rFonts w:cs="Times New Roman"/>
                <w:szCs w:val="21"/>
              </w:rPr>
              <w:t>100%</w:t>
            </w:r>
            <w:r>
              <w:rPr>
                <w:rFonts w:cs="Times New Roman" w:hint="eastAsia"/>
                <w:szCs w:val="21"/>
              </w:rPr>
              <w:t>；</w:t>
            </w:r>
          </w:p>
          <w:p w14:paraId="7D32CF2F" w14:textId="77777777" w:rsidR="007D1E74" w:rsidRDefault="00A95641">
            <w:pPr>
              <w:rPr>
                <w:rFonts w:cs="Times New Roman"/>
                <w:szCs w:val="21"/>
              </w:rPr>
            </w:pPr>
            <w:bookmarkStart w:id="5" w:name="_Toc72948407"/>
            <w:bookmarkStart w:id="6" w:name="_Toc73717255"/>
            <w:r>
              <w:rPr>
                <w:rFonts w:cs="Times New Roman"/>
                <w:szCs w:val="21"/>
              </w:rPr>
              <w:t>（</w:t>
            </w:r>
            <w:r>
              <w:rPr>
                <w:rFonts w:cs="Times New Roman"/>
                <w:szCs w:val="21"/>
              </w:rPr>
              <w:t>2</w:t>
            </w:r>
            <w:r>
              <w:rPr>
                <w:rFonts w:cs="Times New Roman"/>
                <w:szCs w:val="21"/>
              </w:rPr>
              <w:t>）</w:t>
            </w:r>
            <w:bookmarkEnd w:id="5"/>
            <w:bookmarkEnd w:id="6"/>
            <w:r>
              <w:rPr>
                <w:rFonts w:cs="Times New Roman"/>
                <w:szCs w:val="21"/>
              </w:rPr>
              <w:t>大中型矿山达到绿色矿山标准，引导小型矿山按照绿色矿山标准规范发展；加强矿山采选废水的处理和综合利用工作，选矿废水全部综合利用，不外排，采矿废水应尽量回用。</w:t>
            </w:r>
          </w:p>
          <w:p w14:paraId="214332BE" w14:textId="77777777" w:rsidR="007D1E74" w:rsidRDefault="00A95641">
            <w:pPr>
              <w:rPr>
                <w:rFonts w:cs="Times New Roman"/>
                <w:szCs w:val="21"/>
              </w:rPr>
            </w:pPr>
            <w:bookmarkStart w:id="7" w:name="_Toc72948409"/>
            <w:bookmarkStart w:id="8" w:name="_Toc73717257"/>
            <w:bookmarkStart w:id="9" w:name="_Toc17896"/>
            <w:r>
              <w:rPr>
                <w:rFonts w:cs="Times New Roman"/>
                <w:szCs w:val="21"/>
              </w:rPr>
              <w:t>（</w:t>
            </w:r>
            <w:r>
              <w:rPr>
                <w:rFonts w:cs="Times New Roman"/>
                <w:szCs w:val="21"/>
              </w:rPr>
              <w:t>3</w:t>
            </w:r>
            <w:r>
              <w:rPr>
                <w:rFonts w:cs="Times New Roman"/>
                <w:szCs w:val="21"/>
              </w:rPr>
              <w:t>）新、改扩建规模化畜禽养殖场（小区）要实施雨污分流、畜禽粪污实现资源化利用；散养密集区要实行畜禽粪便污水分户收集、集中</w:t>
            </w:r>
            <w:bookmarkStart w:id="10" w:name="_Toc73717258"/>
            <w:bookmarkStart w:id="11" w:name="_Toc72948410"/>
            <w:bookmarkEnd w:id="7"/>
            <w:bookmarkEnd w:id="8"/>
            <w:bookmarkEnd w:id="9"/>
            <w:r>
              <w:rPr>
                <w:rFonts w:cs="Times New Roman"/>
                <w:szCs w:val="21"/>
              </w:rPr>
              <w:t>处理利用；</w:t>
            </w:r>
          </w:p>
          <w:p w14:paraId="29FE6663" w14:textId="77777777" w:rsidR="007D1E74" w:rsidRDefault="00A95641">
            <w:pPr>
              <w:rPr>
                <w:rFonts w:cs="Times New Roman"/>
                <w:szCs w:val="21"/>
              </w:rPr>
            </w:pPr>
            <w:r>
              <w:rPr>
                <w:rFonts w:cs="Times New Roman"/>
                <w:szCs w:val="21"/>
              </w:rPr>
              <w:t>（</w:t>
            </w:r>
            <w:r>
              <w:rPr>
                <w:rFonts w:cs="Times New Roman"/>
                <w:szCs w:val="21"/>
              </w:rPr>
              <w:t>4</w:t>
            </w:r>
            <w:r>
              <w:rPr>
                <w:rFonts w:cs="Times New Roman"/>
                <w:szCs w:val="21"/>
              </w:rPr>
              <w:t>）</w:t>
            </w:r>
            <w:bookmarkEnd w:id="10"/>
            <w:bookmarkEnd w:id="11"/>
            <w:r>
              <w:rPr>
                <w:rFonts w:cs="Times New Roman"/>
                <w:szCs w:val="21"/>
              </w:rPr>
              <w:t>屠宰项目必须配套污水处理设施或进入城市污水管网；</w:t>
            </w:r>
          </w:p>
          <w:p w14:paraId="1FAAA2C2" w14:textId="77777777" w:rsidR="007D1E74" w:rsidRDefault="00A95641">
            <w:pPr>
              <w:rPr>
                <w:rFonts w:cs="Times New Roman"/>
                <w:spacing w:val="-11"/>
                <w:kern w:val="0"/>
                <w:szCs w:val="21"/>
              </w:rPr>
            </w:pPr>
            <w:r>
              <w:rPr>
                <w:rFonts w:cs="Times New Roman"/>
                <w:szCs w:val="21"/>
              </w:rPr>
              <w:t>（</w:t>
            </w:r>
            <w:r>
              <w:rPr>
                <w:rFonts w:cs="Times New Roman"/>
                <w:szCs w:val="21"/>
              </w:rPr>
              <w:t>5</w:t>
            </w:r>
            <w:r>
              <w:rPr>
                <w:rFonts w:cs="Times New Roman"/>
                <w:szCs w:val="21"/>
              </w:rPr>
              <w:t>）到</w:t>
            </w:r>
            <w:r>
              <w:rPr>
                <w:rFonts w:cs="Times New Roman"/>
                <w:szCs w:val="21"/>
              </w:rPr>
              <w:t>2019</w:t>
            </w:r>
            <w:r>
              <w:rPr>
                <w:rFonts w:cs="Times New Roman"/>
                <w:szCs w:val="21"/>
              </w:rPr>
              <w:t>年底，建制镇生活垃圾无害化</w:t>
            </w:r>
            <w:r>
              <w:rPr>
                <w:rFonts w:cs="Times New Roman"/>
                <w:szCs w:val="21"/>
              </w:rPr>
              <w:lastRenderedPageBreak/>
              <w:t>处理设施建设率达</w:t>
            </w:r>
            <w:r>
              <w:rPr>
                <w:rFonts w:cs="Times New Roman"/>
                <w:szCs w:val="21"/>
              </w:rPr>
              <w:t>70%</w:t>
            </w:r>
            <w:r>
              <w:rPr>
                <w:rFonts w:cs="Times New Roman"/>
                <w:szCs w:val="21"/>
              </w:rPr>
              <w:t>。到</w:t>
            </w:r>
            <w:r>
              <w:rPr>
                <w:rFonts w:cs="Times New Roman"/>
                <w:szCs w:val="21"/>
              </w:rPr>
              <w:t xml:space="preserve">2020 </w:t>
            </w:r>
            <w:r>
              <w:rPr>
                <w:rFonts w:cs="Times New Roman"/>
                <w:szCs w:val="21"/>
              </w:rPr>
              <w:t>年，全国主要农作物化肥、农药使用量实现零增长，利用率提高到</w:t>
            </w:r>
            <w:r>
              <w:rPr>
                <w:rFonts w:cs="Times New Roman"/>
                <w:szCs w:val="21"/>
              </w:rPr>
              <w:t>40%</w:t>
            </w:r>
            <w:r>
              <w:rPr>
                <w:rFonts w:cs="Times New Roman"/>
                <w:szCs w:val="21"/>
              </w:rPr>
              <w:t>以上，测土配方施肥技术推广覆盖率提高到</w:t>
            </w:r>
            <w:r>
              <w:rPr>
                <w:rFonts w:cs="Times New Roman"/>
                <w:szCs w:val="21"/>
              </w:rPr>
              <w:t>90%</w:t>
            </w:r>
            <w:r>
              <w:rPr>
                <w:rFonts w:cs="Times New Roman"/>
                <w:szCs w:val="21"/>
              </w:rPr>
              <w:t>以上，控制农村面源污染，采取灌排分离等措施控制农田氮磷流失。到</w:t>
            </w:r>
            <w:r>
              <w:rPr>
                <w:rFonts w:cs="Times New Roman"/>
                <w:szCs w:val="21"/>
              </w:rPr>
              <w:t xml:space="preserve">2020 </w:t>
            </w:r>
            <w:r>
              <w:rPr>
                <w:rFonts w:cs="Times New Roman"/>
                <w:szCs w:val="21"/>
              </w:rPr>
              <w:t>年，废旧农膜回收利用率达到</w:t>
            </w:r>
            <w:r>
              <w:rPr>
                <w:rFonts w:cs="Times New Roman"/>
                <w:szCs w:val="21"/>
              </w:rPr>
              <w:t>80%</w:t>
            </w:r>
            <w:r>
              <w:rPr>
                <w:rFonts w:cs="Times New Roman"/>
                <w:szCs w:val="21"/>
              </w:rPr>
              <w:t>以上。</w:t>
            </w:r>
          </w:p>
        </w:tc>
        <w:tc>
          <w:tcPr>
            <w:tcW w:w="1290" w:type="pct"/>
            <w:vAlign w:val="center"/>
          </w:tcPr>
          <w:p w14:paraId="7032A831" w14:textId="77777777" w:rsidR="007D1E74" w:rsidRDefault="00A95641">
            <w:pPr>
              <w:rPr>
                <w:rFonts w:cs="Times New Roman"/>
                <w:szCs w:val="21"/>
              </w:rPr>
            </w:pPr>
            <w:r>
              <w:rPr>
                <w:rFonts w:cs="Times New Roman"/>
                <w:szCs w:val="21"/>
              </w:rPr>
              <w:lastRenderedPageBreak/>
              <w:t>本项目</w:t>
            </w:r>
            <w:r>
              <w:rPr>
                <w:rFonts w:cs="Times New Roman" w:hint="eastAsia"/>
                <w:szCs w:val="21"/>
              </w:rPr>
              <w:t>营运期无废水、废气和固废产生。</w:t>
            </w:r>
          </w:p>
        </w:tc>
        <w:tc>
          <w:tcPr>
            <w:tcW w:w="389" w:type="pct"/>
            <w:vAlign w:val="center"/>
          </w:tcPr>
          <w:p w14:paraId="626B5716" w14:textId="77777777" w:rsidR="007D1E74" w:rsidRDefault="00A95641">
            <w:pPr>
              <w:jc w:val="center"/>
              <w:rPr>
                <w:rFonts w:cs="Times New Roman"/>
                <w:szCs w:val="21"/>
              </w:rPr>
            </w:pPr>
            <w:r>
              <w:rPr>
                <w:rFonts w:cs="Times New Roman"/>
                <w:szCs w:val="21"/>
              </w:rPr>
              <w:t>符合</w:t>
            </w:r>
          </w:p>
        </w:tc>
      </w:tr>
      <w:tr w:rsidR="007D1E74" w14:paraId="7A1F79F1" w14:textId="77777777">
        <w:tc>
          <w:tcPr>
            <w:tcW w:w="460" w:type="pct"/>
            <w:vMerge/>
            <w:vAlign w:val="center"/>
          </w:tcPr>
          <w:p w14:paraId="450771AC" w14:textId="77777777" w:rsidR="007D1E74" w:rsidRDefault="007D1E74">
            <w:pPr>
              <w:jc w:val="center"/>
              <w:rPr>
                <w:rFonts w:cs="Times New Roman"/>
                <w:szCs w:val="21"/>
              </w:rPr>
            </w:pPr>
          </w:p>
        </w:tc>
        <w:tc>
          <w:tcPr>
            <w:tcW w:w="298" w:type="pct"/>
            <w:vMerge/>
            <w:vAlign w:val="center"/>
          </w:tcPr>
          <w:p w14:paraId="49A09B7D" w14:textId="77777777" w:rsidR="007D1E74" w:rsidRDefault="007D1E74">
            <w:pPr>
              <w:jc w:val="center"/>
              <w:rPr>
                <w:rFonts w:cs="Times New Roman"/>
                <w:szCs w:val="21"/>
              </w:rPr>
            </w:pPr>
          </w:p>
        </w:tc>
        <w:tc>
          <w:tcPr>
            <w:tcW w:w="288" w:type="pct"/>
            <w:vMerge w:val="restart"/>
            <w:vAlign w:val="center"/>
          </w:tcPr>
          <w:p w14:paraId="3179F99B" w14:textId="77777777" w:rsidR="007D1E74" w:rsidRDefault="00A95641">
            <w:pPr>
              <w:jc w:val="center"/>
              <w:rPr>
                <w:rFonts w:cs="Times New Roman"/>
                <w:szCs w:val="21"/>
              </w:rPr>
            </w:pPr>
            <w:r>
              <w:rPr>
                <w:rFonts w:cs="Times New Roman"/>
                <w:szCs w:val="21"/>
              </w:rPr>
              <w:t>环境风险管控</w:t>
            </w:r>
          </w:p>
        </w:tc>
        <w:tc>
          <w:tcPr>
            <w:tcW w:w="2272" w:type="pct"/>
            <w:vAlign w:val="center"/>
          </w:tcPr>
          <w:p w14:paraId="2F697811" w14:textId="77777777" w:rsidR="007D1E74" w:rsidRDefault="00A95641">
            <w:pPr>
              <w:rPr>
                <w:rFonts w:cs="Times New Roman"/>
                <w:szCs w:val="21"/>
              </w:rPr>
            </w:pPr>
            <w:r>
              <w:rPr>
                <w:rFonts w:cs="Times New Roman"/>
                <w:szCs w:val="21"/>
              </w:rPr>
              <w:t>企业环境风险防控要求：</w:t>
            </w:r>
          </w:p>
          <w:p w14:paraId="7C2FE5F6" w14:textId="77777777" w:rsidR="007D1E74" w:rsidRDefault="00A95641">
            <w:pPr>
              <w:rPr>
                <w:rFonts w:cs="Times New Roman"/>
                <w:szCs w:val="21"/>
              </w:rPr>
            </w:pPr>
            <w:r>
              <w:rPr>
                <w:rFonts w:cs="Times New Roman"/>
                <w:szCs w:val="21"/>
              </w:rPr>
              <w:t>（</w:t>
            </w:r>
            <w:r>
              <w:rPr>
                <w:rFonts w:cs="Times New Roman"/>
                <w:szCs w:val="21"/>
              </w:rPr>
              <w:t>1</w:t>
            </w:r>
            <w:r>
              <w:rPr>
                <w:rFonts w:cs="Times New Roman"/>
                <w:szCs w:val="21"/>
              </w:rPr>
              <w:t>）工业企业退出用地，须经评估、修复满足相应用地功能后，方可改变用途。</w:t>
            </w:r>
          </w:p>
          <w:p w14:paraId="5495FAA3" w14:textId="77777777" w:rsidR="007D1E74" w:rsidRDefault="00A95641">
            <w:pPr>
              <w:rPr>
                <w:rFonts w:cs="Times New Roman"/>
                <w:szCs w:val="21"/>
              </w:rPr>
            </w:pPr>
            <w:r>
              <w:rPr>
                <w:rFonts w:cs="Times New Roman"/>
                <w:szCs w:val="21"/>
              </w:rPr>
              <w:t>（</w:t>
            </w:r>
            <w:r>
              <w:rPr>
                <w:rFonts w:cs="Times New Roman"/>
                <w:szCs w:val="21"/>
              </w:rPr>
              <w:t>2</w:t>
            </w:r>
            <w:r>
              <w:rPr>
                <w:rFonts w:cs="Times New Roman"/>
                <w:szCs w:val="21"/>
              </w:rPr>
              <w:t>）加强</w:t>
            </w:r>
            <w:r>
              <w:rPr>
                <w:rFonts w:cs="Times New Roman"/>
                <w:szCs w:val="21"/>
              </w:rPr>
              <w:t>“</w:t>
            </w:r>
            <w:r>
              <w:rPr>
                <w:rFonts w:cs="Times New Roman"/>
                <w:szCs w:val="21"/>
              </w:rPr>
              <w:t>散乱污</w:t>
            </w:r>
            <w:r>
              <w:rPr>
                <w:rFonts w:cs="Times New Roman"/>
                <w:szCs w:val="21"/>
              </w:rPr>
              <w:t>”</w:t>
            </w:r>
            <w:r>
              <w:rPr>
                <w:rFonts w:cs="Times New Roman"/>
                <w:szCs w:val="21"/>
              </w:rPr>
              <w:t>企业环境风险防控。</w:t>
            </w:r>
          </w:p>
          <w:p w14:paraId="18BD2B30" w14:textId="77777777" w:rsidR="007D1E74" w:rsidRDefault="00A95641">
            <w:pPr>
              <w:rPr>
                <w:rFonts w:cs="Times New Roman"/>
                <w:szCs w:val="21"/>
              </w:rPr>
            </w:pPr>
            <w:r>
              <w:rPr>
                <w:rFonts w:cs="Times New Roman"/>
                <w:szCs w:val="21"/>
              </w:rPr>
              <w:t>（</w:t>
            </w:r>
            <w:r>
              <w:rPr>
                <w:rFonts w:cs="Times New Roman"/>
                <w:szCs w:val="21"/>
              </w:rPr>
              <w:t>3</w:t>
            </w:r>
            <w:r>
              <w:rPr>
                <w:rFonts w:cs="Times New Roman"/>
                <w:szCs w:val="21"/>
              </w:rPr>
              <w:t>）现有涉及五类重金属的企业，严控污染物排放，限时整治或搬迁</w:t>
            </w:r>
          </w:p>
        </w:tc>
        <w:tc>
          <w:tcPr>
            <w:tcW w:w="1290" w:type="pct"/>
            <w:vAlign w:val="center"/>
          </w:tcPr>
          <w:p w14:paraId="2C2EA076" w14:textId="77777777" w:rsidR="007D1E74" w:rsidRDefault="00A95641">
            <w:pPr>
              <w:jc w:val="center"/>
              <w:rPr>
                <w:rFonts w:cs="Times New Roman"/>
                <w:szCs w:val="21"/>
              </w:rPr>
            </w:pPr>
            <w:r>
              <w:rPr>
                <w:rFonts w:cs="Times New Roman"/>
                <w:szCs w:val="21"/>
              </w:rPr>
              <w:t>本项目不涉及五类重金属。</w:t>
            </w:r>
          </w:p>
        </w:tc>
        <w:tc>
          <w:tcPr>
            <w:tcW w:w="389" w:type="pct"/>
            <w:vAlign w:val="center"/>
          </w:tcPr>
          <w:p w14:paraId="13CEA869" w14:textId="77777777" w:rsidR="007D1E74" w:rsidRDefault="00A95641">
            <w:pPr>
              <w:jc w:val="center"/>
              <w:rPr>
                <w:rFonts w:cs="Times New Roman"/>
                <w:szCs w:val="21"/>
              </w:rPr>
            </w:pPr>
            <w:r>
              <w:rPr>
                <w:rFonts w:cs="Times New Roman"/>
                <w:szCs w:val="21"/>
              </w:rPr>
              <w:t>符合</w:t>
            </w:r>
          </w:p>
        </w:tc>
      </w:tr>
      <w:tr w:rsidR="007D1E74" w14:paraId="77998736" w14:textId="77777777">
        <w:tc>
          <w:tcPr>
            <w:tcW w:w="460" w:type="pct"/>
            <w:vMerge/>
            <w:vAlign w:val="center"/>
          </w:tcPr>
          <w:p w14:paraId="2495FC6D" w14:textId="77777777" w:rsidR="007D1E74" w:rsidRDefault="007D1E74">
            <w:pPr>
              <w:jc w:val="center"/>
              <w:rPr>
                <w:rFonts w:cs="Times New Roman"/>
                <w:szCs w:val="21"/>
              </w:rPr>
            </w:pPr>
          </w:p>
        </w:tc>
        <w:tc>
          <w:tcPr>
            <w:tcW w:w="298" w:type="pct"/>
            <w:vMerge/>
            <w:vAlign w:val="center"/>
          </w:tcPr>
          <w:p w14:paraId="2901AE67" w14:textId="77777777" w:rsidR="007D1E74" w:rsidRDefault="007D1E74">
            <w:pPr>
              <w:jc w:val="center"/>
              <w:rPr>
                <w:rFonts w:cs="Times New Roman"/>
                <w:szCs w:val="21"/>
              </w:rPr>
            </w:pPr>
          </w:p>
        </w:tc>
        <w:tc>
          <w:tcPr>
            <w:tcW w:w="288" w:type="pct"/>
            <w:vMerge/>
            <w:vAlign w:val="center"/>
          </w:tcPr>
          <w:p w14:paraId="408C5FDD" w14:textId="77777777" w:rsidR="007D1E74" w:rsidRDefault="007D1E74">
            <w:pPr>
              <w:jc w:val="center"/>
              <w:rPr>
                <w:rFonts w:cs="Times New Roman"/>
                <w:szCs w:val="21"/>
              </w:rPr>
            </w:pPr>
          </w:p>
        </w:tc>
        <w:tc>
          <w:tcPr>
            <w:tcW w:w="2272" w:type="pct"/>
            <w:vAlign w:val="center"/>
          </w:tcPr>
          <w:p w14:paraId="64466ED6" w14:textId="77777777" w:rsidR="007D1E74" w:rsidRDefault="00A95641">
            <w:pPr>
              <w:rPr>
                <w:rFonts w:cs="Times New Roman"/>
                <w:szCs w:val="21"/>
              </w:rPr>
            </w:pPr>
            <w:r>
              <w:rPr>
                <w:rFonts w:cs="Times New Roman"/>
                <w:szCs w:val="21"/>
              </w:rPr>
              <w:t>用地环境风险防控要求：</w:t>
            </w:r>
          </w:p>
          <w:p w14:paraId="7D16E181" w14:textId="77777777" w:rsidR="007D1E74" w:rsidRDefault="00A95641">
            <w:pPr>
              <w:rPr>
                <w:rFonts w:cs="Times New Roman"/>
                <w:szCs w:val="21"/>
              </w:rPr>
            </w:pPr>
            <w:r>
              <w:rPr>
                <w:rFonts w:cs="Times New Roman"/>
                <w:szCs w:val="21"/>
              </w:rPr>
              <w:t>（</w:t>
            </w:r>
            <w:r>
              <w:rPr>
                <w:rFonts w:cs="Times New Roman"/>
                <w:szCs w:val="21"/>
              </w:rPr>
              <w:t>1</w:t>
            </w:r>
            <w:r>
              <w:rPr>
                <w:rFonts w:cs="Times New Roman"/>
                <w:szCs w:val="21"/>
              </w:rPr>
              <w:t>）严禁将城镇生活垃圾、污泥、工业废物直接用作肥料，禁止处理不达标的污泥进入耕地；禁止在农用地排放、倾倒、使用污泥、清淤底泥、尾矿（渣）等可能对土壤造成污染的固体废物。</w:t>
            </w:r>
          </w:p>
          <w:p w14:paraId="71D602ED" w14:textId="77777777" w:rsidR="007D1E74" w:rsidRDefault="00A95641">
            <w:pPr>
              <w:rPr>
                <w:rFonts w:cs="Times New Roman"/>
                <w:szCs w:val="21"/>
              </w:rPr>
            </w:pPr>
            <w:r>
              <w:rPr>
                <w:rFonts w:cs="Times New Roman"/>
                <w:szCs w:val="21"/>
              </w:rPr>
              <w:t>（</w:t>
            </w:r>
            <w:r>
              <w:rPr>
                <w:rFonts w:cs="Times New Roman"/>
                <w:szCs w:val="21"/>
              </w:rPr>
              <w:t>2</w:t>
            </w:r>
            <w:r>
              <w:rPr>
                <w:rFonts w:cs="Times New Roman"/>
                <w:szCs w:val="21"/>
              </w:rPr>
              <w:t>）定期对单元内尾矿库进行风险巡查，建立监测系统和环境风险应急预案；完善各尾矿库渗滤液收集、处理、回用系统，杜绝事故排放；尾矿库闭矿后因地制宜进行植被恢复和综合利用。</w:t>
            </w:r>
          </w:p>
          <w:p w14:paraId="3A3B420C" w14:textId="77777777" w:rsidR="007D1E74" w:rsidRDefault="00A95641">
            <w:pPr>
              <w:rPr>
                <w:rFonts w:cs="Times New Roman"/>
                <w:szCs w:val="21"/>
              </w:rPr>
            </w:pPr>
            <w:r>
              <w:rPr>
                <w:rFonts w:cs="Times New Roman"/>
                <w:szCs w:val="21"/>
              </w:rPr>
              <w:t>（</w:t>
            </w:r>
            <w:r>
              <w:rPr>
                <w:rFonts w:cs="Times New Roman"/>
                <w:szCs w:val="21"/>
              </w:rPr>
              <w:t>3</w:t>
            </w:r>
            <w:r>
              <w:rPr>
                <w:rFonts w:cs="Times New Roman"/>
                <w:szCs w:val="21"/>
              </w:rPr>
              <w:t>）规范排土场、渣场等整治。</w:t>
            </w:r>
          </w:p>
          <w:p w14:paraId="0E619B42" w14:textId="77777777" w:rsidR="007D1E74" w:rsidRDefault="00A95641">
            <w:pPr>
              <w:rPr>
                <w:rFonts w:cs="Times New Roman"/>
                <w:szCs w:val="21"/>
              </w:rPr>
            </w:pPr>
            <w:r>
              <w:rPr>
                <w:rFonts w:cs="Times New Roman"/>
                <w:szCs w:val="21"/>
              </w:rPr>
              <w:t>（</w:t>
            </w:r>
            <w:r>
              <w:rPr>
                <w:rFonts w:cs="Times New Roman"/>
                <w:szCs w:val="21"/>
              </w:rPr>
              <w:t>4</w:t>
            </w:r>
            <w:r>
              <w:rPr>
                <w:rFonts w:cs="Times New Roman"/>
                <w:szCs w:val="21"/>
              </w:rPr>
              <w:t>）严格控制林地、草地、园地的农药使用量，禁止使用高毒、高残留农药。</w:t>
            </w:r>
          </w:p>
        </w:tc>
        <w:tc>
          <w:tcPr>
            <w:tcW w:w="1290" w:type="pct"/>
            <w:vAlign w:val="center"/>
          </w:tcPr>
          <w:p w14:paraId="518DDEBC" w14:textId="77777777" w:rsidR="007D1E74" w:rsidRDefault="00A95641">
            <w:pPr>
              <w:jc w:val="center"/>
              <w:rPr>
                <w:rFonts w:cs="Times New Roman"/>
                <w:szCs w:val="21"/>
              </w:rPr>
            </w:pPr>
            <w:r>
              <w:rPr>
                <w:rFonts w:cs="Times New Roman"/>
                <w:szCs w:val="21"/>
              </w:rPr>
              <w:t>本项目不使用农药，</w:t>
            </w:r>
            <w:r>
              <w:rPr>
                <w:rFonts w:cs="Times New Roman" w:hint="eastAsia"/>
                <w:szCs w:val="21"/>
              </w:rPr>
              <w:t>施工期无弃土产生，营运期无固废产生。</w:t>
            </w:r>
          </w:p>
        </w:tc>
        <w:tc>
          <w:tcPr>
            <w:tcW w:w="389" w:type="pct"/>
            <w:vAlign w:val="center"/>
          </w:tcPr>
          <w:p w14:paraId="4AA6AF22" w14:textId="77777777" w:rsidR="007D1E74" w:rsidRDefault="00A95641">
            <w:pPr>
              <w:jc w:val="center"/>
              <w:rPr>
                <w:rFonts w:cs="Times New Roman"/>
                <w:szCs w:val="21"/>
              </w:rPr>
            </w:pPr>
            <w:r>
              <w:rPr>
                <w:rFonts w:cs="Times New Roman"/>
                <w:szCs w:val="21"/>
              </w:rPr>
              <w:t>符合</w:t>
            </w:r>
          </w:p>
        </w:tc>
      </w:tr>
      <w:tr w:rsidR="007D1E74" w14:paraId="79A068E3" w14:textId="77777777">
        <w:tc>
          <w:tcPr>
            <w:tcW w:w="460" w:type="pct"/>
            <w:vMerge/>
            <w:vAlign w:val="center"/>
          </w:tcPr>
          <w:p w14:paraId="57E516FB" w14:textId="77777777" w:rsidR="007D1E74" w:rsidRDefault="007D1E74">
            <w:pPr>
              <w:jc w:val="center"/>
              <w:rPr>
                <w:rFonts w:cs="Times New Roman"/>
                <w:szCs w:val="21"/>
              </w:rPr>
            </w:pPr>
          </w:p>
        </w:tc>
        <w:tc>
          <w:tcPr>
            <w:tcW w:w="298" w:type="pct"/>
            <w:vMerge/>
            <w:vAlign w:val="center"/>
          </w:tcPr>
          <w:p w14:paraId="0AAF7879" w14:textId="77777777" w:rsidR="007D1E74" w:rsidRDefault="007D1E74">
            <w:pPr>
              <w:jc w:val="center"/>
              <w:rPr>
                <w:rFonts w:cs="Times New Roman"/>
                <w:szCs w:val="21"/>
              </w:rPr>
            </w:pPr>
          </w:p>
        </w:tc>
        <w:tc>
          <w:tcPr>
            <w:tcW w:w="288" w:type="pct"/>
            <w:vMerge w:val="restart"/>
            <w:vAlign w:val="center"/>
          </w:tcPr>
          <w:p w14:paraId="08AD72E8" w14:textId="77777777" w:rsidR="007D1E74" w:rsidRDefault="00A95641">
            <w:pPr>
              <w:jc w:val="center"/>
              <w:rPr>
                <w:rFonts w:cs="Times New Roman"/>
                <w:szCs w:val="21"/>
              </w:rPr>
            </w:pPr>
            <w:r>
              <w:rPr>
                <w:rFonts w:cs="Times New Roman"/>
                <w:szCs w:val="21"/>
              </w:rPr>
              <w:t>资源开发利用效率</w:t>
            </w:r>
          </w:p>
        </w:tc>
        <w:tc>
          <w:tcPr>
            <w:tcW w:w="2272" w:type="pct"/>
            <w:vAlign w:val="center"/>
          </w:tcPr>
          <w:p w14:paraId="011DE38F" w14:textId="77777777" w:rsidR="007D1E74" w:rsidRDefault="00A95641">
            <w:pPr>
              <w:rPr>
                <w:rFonts w:cs="Times New Roman"/>
                <w:szCs w:val="21"/>
              </w:rPr>
            </w:pPr>
            <w:r>
              <w:rPr>
                <w:rFonts w:cs="Times New Roman"/>
                <w:szCs w:val="21"/>
              </w:rPr>
              <w:t>水资源利用效率要求</w:t>
            </w:r>
            <w:r>
              <w:rPr>
                <w:rFonts w:cs="Times New Roman" w:hint="eastAsia"/>
                <w:szCs w:val="21"/>
              </w:rPr>
              <w:t>：</w:t>
            </w:r>
          </w:p>
          <w:p w14:paraId="72AF9E0B" w14:textId="77777777" w:rsidR="007D1E74" w:rsidRDefault="00A95641">
            <w:pPr>
              <w:rPr>
                <w:rFonts w:cs="Times New Roman"/>
                <w:szCs w:val="21"/>
              </w:rPr>
            </w:pPr>
            <w:r>
              <w:rPr>
                <w:rFonts w:cs="Times New Roman"/>
                <w:szCs w:val="21"/>
              </w:rPr>
              <w:t>（</w:t>
            </w:r>
            <w:r>
              <w:rPr>
                <w:rFonts w:cs="Times New Roman"/>
                <w:szCs w:val="21"/>
              </w:rPr>
              <w:t>1</w:t>
            </w:r>
            <w:r>
              <w:rPr>
                <w:rFonts w:cs="Times New Roman"/>
                <w:szCs w:val="21"/>
              </w:rPr>
              <w:t>）到</w:t>
            </w:r>
            <w:r>
              <w:rPr>
                <w:rFonts w:cs="Times New Roman"/>
                <w:szCs w:val="21"/>
              </w:rPr>
              <w:t xml:space="preserve">2025 </w:t>
            </w:r>
            <w:r>
              <w:rPr>
                <w:rFonts w:cs="Times New Roman"/>
                <w:szCs w:val="21"/>
              </w:rPr>
              <w:t>年，巴中市农田有效灌溉系数达到</w:t>
            </w:r>
            <w:r>
              <w:rPr>
                <w:rFonts w:cs="Times New Roman"/>
                <w:szCs w:val="21"/>
              </w:rPr>
              <w:t>0.56</w:t>
            </w:r>
            <w:r>
              <w:rPr>
                <w:rFonts w:cs="Times New Roman"/>
                <w:szCs w:val="21"/>
              </w:rPr>
              <w:t>；到</w:t>
            </w:r>
            <w:r>
              <w:rPr>
                <w:rFonts w:cs="Times New Roman"/>
                <w:szCs w:val="21"/>
              </w:rPr>
              <w:t>2030</w:t>
            </w:r>
            <w:r>
              <w:rPr>
                <w:rFonts w:cs="Times New Roman"/>
                <w:szCs w:val="21"/>
              </w:rPr>
              <w:t>年，巴中市农田有效灌溉率提到</w:t>
            </w:r>
            <w:r>
              <w:rPr>
                <w:rFonts w:cs="Times New Roman"/>
                <w:szCs w:val="21"/>
              </w:rPr>
              <w:t>40%</w:t>
            </w:r>
            <w:r>
              <w:rPr>
                <w:rFonts w:cs="Times New Roman"/>
                <w:szCs w:val="21"/>
              </w:rPr>
              <w:t>，农田灌溉用水有效利用系数提高到</w:t>
            </w:r>
            <w:r>
              <w:rPr>
                <w:rFonts w:cs="Times New Roman"/>
                <w:szCs w:val="21"/>
              </w:rPr>
              <w:t xml:space="preserve">0.62 </w:t>
            </w:r>
            <w:r>
              <w:rPr>
                <w:rFonts w:cs="Times New Roman"/>
                <w:szCs w:val="21"/>
              </w:rPr>
              <w:t>左右。</w:t>
            </w:r>
          </w:p>
        </w:tc>
        <w:tc>
          <w:tcPr>
            <w:tcW w:w="1290" w:type="pct"/>
            <w:vAlign w:val="center"/>
          </w:tcPr>
          <w:p w14:paraId="564EF592" w14:textId="77777777" w:rsidR="007D1E74" w:rsidRDefault="00A95641">
            <w:pPr>
              <w:jc w:val="center"/>
              <w:rPr>
                <w:rFonts w:cs="Times New Roman"/>
                <w:szCs w:val="21"/>
              </w:rPr>
            </w:pPr>
            <w:r>
              <w:rPr>
                <w:rFonts w:cs="Times New Roman" w:hint="eastAsia"/>
                <w:szCs w:val="21"/>
              </w:rPr>
              <w:t>/</w:t>
            </w:r>
          </w:p>
        </w:tc>
        <w:tc>
          <w:tcPr>
            <w:tcW w:w="389" w:type="pct"/>
            <w:vAlign w:val="center"/>
          </w:tcPr>
          <w:p w14:paraId="2E2FC4DF" w14:textId="77777777" w:rsidR="007D1E74" w:rsidRDefault="00A95641">
            <w:pPr>
              <w:jc w:val="center"/>
              <w:rPr>
                <w:rFonts w:cs="Times New Roman"/>
                <w:szCs w:val="21"/>
              </w:rPr>
            </w:pPr>
            <w:r>
              <w:rPr>
                <w:rFonts w:cs="Times New Roman"/>
                <w:szCs w:val="21"/>
              </w:rPr>
              <w:t>符合</w:t>
            </w:r>
          </w:p>
        </w:tc>
      </w:tr>
      <w:tr w:rsidR="007D1E74" w14:paraId="2D4752C9" w14:textId="77777777">
        <w:tc>
          <w:tcPr>
            <w:tcW w:w="460" w:type="pct"/>
            <w:vMerge/>
            <w:vAlign w:val="center"/>
          </w:tcPr>
          <w:p w14:paraId="19E4D06B" w14:textId="77777777" w:rsidR="007D1E74" w:rsidRDefault="007D1E74">
            <w:pPr>
              <w:jc w:val="center"/>
              <w:rPr>
                <w:rFonts w:cs="Times New Roman"/>
                <w:szCs w:val="21"/>
              </w:rPr>
            </w:pPr>
          </w:p>
        </w:tc>
        <w:tc>
          <w:tcPr>
            <w:tcW w:w="298" w:type="pct"/>
            <w:vMerge/>
            <w:vAlign w:val="center"/>
          </w:tcPr>
          <w:p w14:paraId="7A1C4766" w14:textId="77777777" w:rsidR="007D1E74" w:rsidRDefault="007D1E74">
            <w:pPr>
              <w:jc w:val="center"/>
              <w:rPr>
                <w:rFonts w:cs="Times New Roman"/>
                <w:szCs w:val="21"/>
              </w:rPr>
            </w:pPr>
          </w:p>
        </w:tc>
        <w:tc>
          <w:tcPr>
            <w:tcW w:w="288" w:type="pct"/>
            <w:vMerge/>
            <w:vAlign w:val="center"/>
          </w:tcPr>
          <w:p w14:paraId="29EC0C8B" w14:textId="77777777" w:rsidR="007D1E74" w:rsidRDefault="007D1E74">
            <w:pPr>
              <w:jc w:val="center"/>
              <w:rPr>
                <w:rFonts w:cs="Times New Roman"/>
                <w:szCs w:val="21"/>
              </w:rPr>
            </w:pPr>
          </w:p>
        </w:tc>
        <w:tc>
          <w:tcPr>
            <w:tcW w:w="2272" w:type="pct"/>
            <w:vAlign w:val="center"/>
          </w:tcPr>
          <w:p w14:paraId="5FA9E6F8" w14:textId="77777777" w:rsidR="007D1E74" w:rsidRDefault="00A95641">
            <w:pPr>
              <w:rPr>
                <w:rFonts w:cs="Times New Roman"/>
                <w:szCs w:val="21"/>
              </w:rPr>
            </w:pPr>
            <w:r>
              <w:rPr>
                <w:rFonts w:cs="Times New Roman"/>
                <w:szCs w:val="21"/>
              </w:rPr>
              <w:t>能源利用效率要求</w:t>
            </w:r>
            <w:r>
              <w:rPr>
                <w:rFonts w:cs="Times New Roman"/>
                <w:szCs w:val="21"/>
              </w:rPr>
              <w:t>:</w:t>
            </w:r>
          </w:p>
          <w:p w14:paraId="140E93F5" w14:textId="77777777" w:rsidR="007D1E74" w:rsidRDefault="00A95641">
            <w:pPr>
              <w:rPr>
                <w:rFonts w:cs="Times New Roman"/>
                <w:szCs w:val="21"/>
              </w:rPr>
            </w:pPr>
            <w:r>
              <w:rPr>
                <w:rFonts w:cs="Times New Roman"/>
                <w:szCs w:val="21"/>
              </w:rPr>
              <w:t>（</w:t>
            </w:r>
            <w:r>
              <w:rPr>
                <w:rFonts w:cs="Times New Roman"/>
                <w:szCs w:val="21"/>
              </w:rPr>
              <w:t>1</w:t>
            </w:r>
            <w:r>
              <w:rPr>
                <w:rFonts w:cs="Times New Roman"/>
                <w:szCs w:val="21"/>
              </w:rPr>
              <w:t>）推进清洁能源的推广使用，全面推进散煤清洁化整治；禁止新建每小时</w:t>
            </w:r>
            <w:r>
              <w:rPr>
                <w:rFonts w:cs="Times New Roman"/>
                <w:szCs w:val="21"/>
              </w:rPr>
              <w:t xml:space="preserve">10 </w:t>
            </w:r>
            <w:r>
              <w:rPr>
                <w:rFonts w:cs="Times New Roman"/>
                <w:szCs w:val="21"/>
              </w:rPr>
              <w:t>蒸吨以下的燃煤锅炉及其他燃煤设施。</w:t>
            </w:r>
          </w:p>
          <w:p w14:paraId="0E4EEC02" w14:textId="77777777" w:rsidR="007D1E74" w:rsidRDefault="00A95641">
            <w:pPr>
              <w:rPr>
                <w:rFonts w:cs="Times New Roman"/>
                <w:szCs w:val="21"/>
              </w:rPr>
            </w:pPr>
            <w:r>
              <w:rPr>
                <w:rFonts w:cs="Times New Roman"/>
                <w:szCs w:val="21"/>
              </w:rPr>
              <w:t>（</w:t>
            </w:r>
            <w:r>
              <w:rPr>
                <w:rFonts w:cs="Times New Roman"/>
                <w:szCs w:val="21"/>
              </w:rPr>
              <w:t>2</w:t>
            </w:r>
            <w:r>
              <w:rPr>
                <w:rFonts w:cs="Times New Roman"/>
                <w:szCs w:val="21"/>
              </w:rPr>
              <w:t>）禁止焚烧秸秆和垃圾</w:t>
            </w:r>
          </w:p>
        </w:tc>
        <w:tc>
          <w:tcPr>
            <w:tcW w:w="1290" w:type="pct"/>
            <w:vAlign w:val="center"/>
          </w:tcPr>
          <w:p w14:paraId="04C0BF94" w14:textId="77777777" w:rsidR="007D1E74" w:rsidRDefault="00A95641">
            <w:pPr>
              <w:jc w:val="center"/>
              <w:rPr>
                <w:rFonts w:cs="Times New Roman"/>
                <w:szCs w:val="21"/>
              </w:rPr>
            </w:pPr>
            <w:r>
              <w:rPr>
                <w:rFonts w:cs="Times New Roman"/>
                <w:szCs w:val="21"/>
              </w:rPr>
              <w:t>本项目不使用锅炉，不焚烧秸秆和垃圾。</w:t>
            </w:r>
          </w:p>
        </w:tc>
        <w:tc>
          <w:tcPr>
            <w:tcW w:w="389" w:type="pct"/>
            <w:vAlign w:val="center"/>
          </w:tcPr>
          <w:p w14:paraId="718242BD" w14:textId="77777777" w:rsidR="007D1E74" w:rsidRDefault="00A95641">
            <w:pPr>
              <w:jc w:val="center"/>
              <w:rPr>
                <w:rFonts w:cs="Times New Roman"/>
                <w:szCs w:val="21"/>
              </w:rPr>
            </w:pPr>
            <w:r>
              <w:rPr>
                <w:rFonts w:cs="Times New Roman"/>
                <w:szCs w:val="21"/>
              </w:rPr>
              <w:t>符合</w:t>
            </w:r>
          </w:p>
        </w:tc>
      </w:tr>
      <w:tr w:rsidR="007D1E74" w14:paraId="095EF9BE" w14:textId="77777777">
        <w:tc>
          <w:tcPr>
            <w:tcW w:w="460" w:type="pct"/>
            <w:vMerge/>
            <w:vAlign w:val="center"/>
          </w:tcPr>
          <w:p w14:paraId="243FA1E4" w14:textId="77777777" w:rsidR="007D1E74" w:rsidRDefault="007D1E74">
            <w:pPr>
              <w:jc w:val="center"/>
              <w:rPr>
                <w:rFonts w:cs="Times New Roman"/>
                <w:szCs w:val="21"/>
              </w:rPr>
            </w:pPr>
          </w:p>
        </w:tc>
        <w:tc>
          <w:tcPr>
            <w:tcW w:w="298" w:type="pct"/>
            <w:vMerge w:val="restart"/>
            <w:vAlign w:val="center"/>
          </w:tcPr>
          <w:p w14:paraId="38327C7F" w14:textId="77777777" w:rsidR="007D1E74" w:rsidRDefault="00A95641">
            <w:pPr>
              <w:jc w:val="center"/>
              <w:rPr>
                <w:rFonts w:cs="Times New Roman"/>
                <w:szCs w:val="21"/>
              </w:rPr>
            </w:pPr>
            <w:r>
              <w:rPr>
                <w:rFonts w:cs="Times New Roman"/>
                <w:szCs w:val="21"/>
              </w:rPr>
              <w:t>单元级清单管控</w:t>
            </w:r>
            <w:r>
              <w:rPr>
                <w:rFonts w:cs="Times New Roman"/>
                <w:szCs w:val="21"/>
              </w:rPr>
              <w:lastRenderedPageBreak/>
              <w:t>要求</w:t>
            </w:r>
          </w:p>
        </w:tc>
        <w:tc>
          <w:tcPr>
            <w:tcW w:w="288" w:type="pct"/>
            <w:vMerge w:val="restart"/>
            <w:vAlign w:val="center"/>
          </w:tcPr>
          <w:p w14:paraId="03DEF7B8" w14:textId="77777777" w:rsidR="007D1E74" w:rsidRDefault="00A95641">
            <w:pPr>
              <w:jc w:val="center"/>
              <w:rPr>
                <w:rFonts w:cs="Times New Roman"/>
                <w:szCs w:val="21"/>
              </w:rPr>
            </w:pPr>
            <w:r>
              <w:rPr>
                <w:rFonts w:cs="Times New Roman"/>
                <w:szCs w:val="21"/>
              </w:rPr>
              <w:lastRenderedPageBreak/>
              <w:t>空间布局约束</w:t>
            </w:r>
          </w:p>
        </w:tc>
        <w:tc>
          <w:tcPr>
            <w:tcW w:w="2272" w:type="pct"/>
            <w:vAlign w:val="center"/>
          </w:tcPr>
          <w:p w14:paraId="1BD210AF" w14:textId="77777777" w:rsidR="007D1E74" w:rsidRDefault="00A95641">
            <w:pPr>
              <w:rPr>
                <w:rFonts w:cs="Times New Roman"/>
                <w:szCs w:val="21"/>
              </w:rPr>
            </w:pPr>
            <w:r>
              <w:rPr>
                <w:rFonts w:cs="Times New Roman"/>
                <w:szCs w:val="21"/>
              </w:rPr>
              <w:t>禁止开发建设活动的要求：</w:t>
            </w:r>
          </w:p>
          <w:p w14:paraId="64D6BDF2" w14:textId="77777777" w:rsidR="007D1E74" w:rsidRDefault="00A95641">
            <w:pPr>
              <w:rPr>
                <w:rFonts w:cs="Times New Roman"/>
                <w:szCs w:val="21"/>
              </w:rPr>
            </w:pPr>
            <w:r>
              <w:rPr>
                <w:rFonts w:cs="Times New Roman"/>
                <w:szCs w:val="21"/>
              </w:rPr>
              <w:t>（</w:t>
            </w:r>
            <w:r>
              <w:rPr>
                <w:rFonts w:cs="Times New Roman"/>
                <w:szCs w:val="21"/>
              </w:rPr>
              <w:t>1</w:t>
            </w:r>
            <w:r>
              <w:rPr>
                <w:rFonts w:cs="Times New Roman"/>
                <w:szCs w:val="21"/>
              </w:rPr>
              <w:t>）严格执行《四川省国家重点生态功能区产业准入负面清单（第一批）（试行）》中通江县禁止类产业管控要求；</w:t>
            </w:r>
          </w:p>
          <w:p w14:paraId="1D41EBD8" w14:textId="77777777" w:rsidR="007D1E74" w:rsidRDefault="00A95641">
            <w:pPr>
              <w:rPr>
                <w:rFonts w:cs="Times New Roman"/>
                <w:szCs w:val="21"/>
              </w:rPr>
            </w:pPr>
            <w:r>
              <w:rPr>
                <w:rFonts w:cs="Times New Roman"/>
                <w:szCs w:val="21"/>
              </w:rPr>
              <w:t>（</w:t>
            </w:r>
            <w:r>
              <w:rPr>
                <w:rFonts w:cs="Times New Roman"/>
                <w:szCs w:val="21"/>
              </w:rPr>
              <w:t>2</w:t>
            </w:r>
            <w:r>
              <w:rPr>
                <w:rFonts w:cs="Times New Roman"/>
                <w:szCs w:val="21"/>
              </w:rPr>
              <w:t>）其他执行一般管控单元总体管控要求。</w:t>
            </w:r>
          </w:p>
        </w:tc>
        <w:tc>
          <w:tcPr>
            <w:tcW w:w="1290" w:type="pct"/>
            <w:vAlign w:val="center"/>
          </w:tcPr>
          <w:p w14:paraId="05018BC6" w14:textId="77777777" w:rsidR="007D1E74" w:rsidRDefault="00A95641">
            <w:pPr>
              <w:jc w:val="center"/>
              <w:rPr>
                <w:rFonts w:cs="Times New Roman"/>
                <w:szCs w:val="21"/>
              </w:rPr>
            </w:pPr>
            <w:r>
              <w:rPr>
                <w:rFonts w:cs="Times New Roman"/>
                <w:szCs w:val="21"/>
              </w:rPr>
              <w:t>本项目属于天然气集输管线工程项目，不属于《四川省国家重点生态功能区产业准入负面清单（第一批）（试行）》中通江县禁止类产业。</w:t>
            </w:r>
          </w:p>
        </w:tc>
        <w:tc>
          <w:tcPr>
            <w:tcW w:w="389" w:type="pct"/>
            <w:vAlign w:val="center"/>
          </w:tcPr>
          <w:p w14:paraId="275BD74A" w14:textId="77777777" w:rsidR="007D1E74" w:rsidRDefault="00A95641">
            <w:pPr>
              <w:jc w:val="center"/>
              <w:rPr>
                <w:rFonts w:cs="Times New Roman"/>
                <w:szCs w:val="21"/>
              </w:rPr>
            </w:pPr>
            <w:r>
              <w:rPr>
                <w:rFonts w:cs="Times New Roman"/>
                <w:szCs w:val="21"/>
              </w:rPr>
              <w:t>符合</w:t>
            </w:r>
          </w:p>
        </w:tc>
      </w:tr>
      <w:tr w:rsidR="007D1E74" w14:paraId="15BE940F" w14:textId="77777777">
        <w:tc>
          <w:tcPr>
            <w:tcW w:w="460" w:type="pct"/>
            <w:vMerge/>
            <w:vAlign w:val="center"/>
          </w:tcPr>
          <w:p w14:paraId="1B9FA8EB" w14:textId="77777777" w:rsidR="007D1E74" w:rsidRDefault="007D1E74">
            <w:pPr>
              <w:jc w:val="center"/>
              <w:rPr>
                <w:rFonts w:cs="Times New Roman"/>
                <w:szCs w:val="21"/>
              </w:rPr>
            </w:pPr>
          </w:p>
        </w:tc>
        <w:tc>
          <w:tcPr>
            <w:tcW w:w="298" w:type="pct"/>
            <w:vMerge/>
            <w:vAlign w:val="center"/>
          </w:tcPr>
          <w:p w14:paraId="5720105E" w14:textId="77777777" w:rsidR="007D1E74" w:rsidRDefault="007D1E74">
            <w:pPr>
              <w:jc w:val="center"/>
              <w:rPr>
                <w:rFonts w:cs="Times New Roman"/>
                <w:szCs w:val="21"/>
              </w:rPr>
            </w:pPr>
          </w:p>
        </w:tc>
        <w:tc>
          <w:tcPr>
            <w:tcW w:w="288" w:type="pct"/>
            <w:vMerge/>
            <w:vAlign w:val="center"/>
          </w:tcPr>
          <w:p w14:paraId="0420CD8E" w14:textId="77777777" w:rsidR="007D1E74" w:rsidRDefault="007D1E74">
            <w:pPr>
              <w:jc w:val="center"/>
              <w:rPr>
                <w:rFonts w:cs="Times New Roman"/>
                <w:szCs w:val="21"/>
              </w:rPr>
            </w:pPr>
          </w:p>
        </w:tc>
        <w:tc>
          <w:tcPr>
            <w:tcW w:w="2272" w:type="pct"/>
            <w:vAlign w:val="center"/>
          </w:tcPr>
          <w:p w14:paraId="797A672C" w14:textId="77777777" w:rsidR="007D1E74" w:rsidRDefault="00A95641">
            <w:pPr>
              <w:rPr>
                <w:rFonts w:cs="Times New Roman"/>
                <w:szCs w:val="21"/>
              </w:rPr>
            </w:pPr>
            <w:r>
              <w:rPr>
                <w:rFonts w:cs="Times New Roman"/>
                <w:szCs w:val="21"/>
              </w:rPr>
              <w:t>限制开发建设活动的要求：</w:t>
            </w:r>
          </w:p>
          <w:p w14:paraId="67D4F1BA" w14:textId="77777777" w:rsidR="007D1E74" w:rsidRDefault="00A95641">
            <w:pPr>
              <w:rPr>
                <w:rFonts w:cs="Times New Roman"/>
                <w:szCs w:val="21"/>
              </w:rPr>
            </w:pPr>
            <w:r>
              <w:rPr>
                <w:rFonts w:cs="Times New Roman"/>
                <w:szCs w:val="21"/>
              </w:rPr>
              <w:lastRenderedPageBreak/>
              <w:t>（</w:t>
            </w:r>
            <w:r>
              <w:rPr>
                <w:rFonts w:cs="Times New Roman"/>
                <w:szCs w:val="21"/>
              </w:rPr>
              <w:t>1</w:t>
            </w:r>
            <w:r>
              <w:rPr>
                <w:rFonts w:cs="Times New Roman"/>
                <w:szCs w:val="21"/>
              </w:rPr>
              <w:t>）严格执行《四川省国家重点生态功能区产业准入负面清单（第一批）（试行）》中通江县限制类产业管控要求；</w:t>
            </w:r>
          </w:p>
          <w:p w14:paraId="6F4A5864" w14:textId="77777777" w:rsidR="007D1E74" w:rsidRDefault="00A95641">
            <w:pPr>
              <w:rPr>
                <w:rFonts w:cs="Times New Roman"/>
                <w:kern w:val="0"/>
                <w:szCs w:val="21"/>
              </w:rPr>
            </w:pPr>
            <w:r>
              <w:rPr>
                <w:rFonts w:cs="Times New Roman"/>
                <w:szCs w:val="21"/>
              </w:rPr>
              <w:t>（</w:t>
            </w:r>
            <w:r>
              <w:rPr>
                <w:rFonts w:cs="Times New Roman"/>
                <w:szCs w:val="21"/>
              </w:rPr>
              <w:t>2</w:t>
            </w:r>
            <w:r>
              <w:rPr>
                <w:rFonts w:cs="Times New Roman"/>
                <w:szCs w:val="21"/>
              </w:rPr>
              <w:t>）其他执行一般管控单元总体管控要求。</w:t>
            </w:r>
          </w:p>
        </w:tc>
        <w:tc>
          <w:tcPr>
            <w:tcW w:w="1290" w:type="pct"/>
            <w:vAlign w:val="center"/>
          </w:tcPr>
          <w:p w14:paraId="122DDCC8" w14:textId="77777777" w:rsidR="007D1E74" w:rsidRDefault="00A95641">
            <w:pPr>
              <w:jc w:val="center"/>
              <w:rPr>
                <w:rFonts w:cs="Times New Roman"/>
                <w:szCs w:val="21"/>
              </w:rPr>
            </w:pPr>
            <w:r>
              <w:rPr>
                <w:rFonts w:cs="Times New Roman"/>
                <w:szCs w:val="21"/>
              </w:rPr>
              <w:lastRenderedPageBreak/>
              <w:t>本项目属于天然气集输</w:t>
            </w:r>
            <w:r>
              <w:rPr>
                <w:rFonts w:cs="Times New Roman"/>
                <w:szCs w:val="21"/>
              </w:rPr>
              <w:lastRenderedPageBreak/>
              <w:t>管线工程项目，不属于《四川省国家重点生态功能区产业准入负面清单（第一批）（试行）》中通江县限制类产业。</w:t>
            </w:r>
          </w:p>
        </w:tc>
        <w:tc>
          <w:tcPr>
            <w:tcW w:w="389" w:type="pct"/>
            <w:vAlign w:val="center"/>
          </w:tcPr>
          <w:p w14:paraId="047BA03A" w14:textId="77777777" w:rsidR="007D1E74" w:rsidRDefault="00A95641">
            <w:pPr>
              <w:jc w:val="center"/>
              <w:rPr>
                <w:rFonts w:cs="Times New Roman"/>
                <w:szCs w:val="21"/>
              </w:rPr>
            </w:pPr>
            <w:r>
              <w:rPr>
                <w:rFonts w:cs="Times New Roman"/>
                <w:szCs w:val="21"/>
              </w:rPr>
              <w:lastRenderedPageBreak/>
              <w:t>符合</w:t>
            </w:r>
          </w:p>
        </w:tc>
      </w:tr>
      <w:tr w:rsidR="007D1E74" w14:paraId="167C10A0" w14:textId="77777777">
        <w:tc>
          <w:tcPr>
            <w:tcW w:w="460" w:type="pct"/>
            <w:vMerge/>
            <w:vAlign w:val="center"/>
          </w:tcPr>
          <w:p w14:paraId="4B42C5C3" w14:textId="77777777" w:rsidR="007D1E74" w:rsidRDefault="007D1E74">
            <w:pPr>
              <w:jc w:val="center"/>
              <w:rPr>
                <w:rFonts w:cs="Times New Roman"/>
                <w:szCs w:val="21"/>
              </w:rPr>
            </w:pPr>
          </w:p>
        </w:tc>
        <w:tc>
          <w:tcPr>
            <w:tcW w:w="298" w:type="pct"/>
            <w:vMerge/>
            <w:vAlign w:val="center"/>
          </w:tcPr>
          <w:p w14:paraId="5BA99A29" w14:textId="77777777" w:rsidR="007D1E74" w:rsidRDefault="007D1E74">
            <w:pPr>
              <w:jc w:val="center"/>
              <w:rPr>
                <w:rFonts w:cs="Times New Roman"/>
                <w:szCs w:val="21"/>
              </w:rPr>
            </w:pPr>
          </w:p>
        </w:tc>
        <w:tc>
          <w:tcPr>
            <w:tcW w:w="288" w:type="pct"/>
            <w:vMerge/>
            <w:vAlign w:val="center"/>
          </w:tcPr>
          <w:p w14:paraId="148C0C4F" w14:textId="77777777" w:rsidR="007D1E74" w:rsidRDefault="007D1E74">
            <w:pPr>
              <w:jc w:val="center"/>
              <w:rPr>
                <w:rFonts w:cs="Times New Roman"/>
                <w:szCs w:val="21"/>
              </w:rPr>
            </w:pPr>
          </w:p>
        </w:tc>
        <w:tc>
          <w:tcPr>
            <w:tcW w:w="2272" w:type="pct"/>
            <w:vAlign w:val="center"/>
          </w:tcPr>
          <w:p w14:paraId="5BC0FE60" w14:textId="77777777" w:rsidR="007D1E74" w:rsidRDefault="00A95641">
            <w:pPr>
              <w:rPr>
                <w:rFonts w:cs="Times New Roman"/>
                <w:szCs w:val="21"/>
              </w:rPr>
            </w:pPr>
            <w:r>
              <w:rPr>
                <w:rFonts w:cs="Times New Roman"/>
                <w:szCs w:val="21"/>
              </w:rPr>
              <w:t>不符合空间布局要求活动的退出要求：</w:t>
            </w:r>
          </w:p>
          <w:p w14:paraId="15EB9440" w14:textId="77777777" w:rsidR="007D1E74" w:rsidRDefault="00A95641">
            <w:pPr>
              <w:rPr>
                <w:rFonts w:cs="Times New Roman"/>
                <w:szCs w:val="21"/>
              </w:rPr>
            </w:pPr>
            <w:r>
              <w:rPr>
                <w:rFonts w:cs="Times New Roman"/>
                <w:kern w:val="0"/>
                <w:szCs w:val="21"/>
              </w:rPr>
              <w:t>执行一般管控单元总体管控要求。</w:t>
            </w:r>
          </w:p>
        </w:tc>
        <w:tc>
          <w:tcPr>
            <w:tcW w:w="1290" w:type="pct"/>
            <w:vAlign w:val="center"/>
          </w:tcPr>
          <w:p w14:paraId="09A319E5" w14:textId="77777777" w:rsidR="007D1E74" w:rsidRDefault="00A95641">
            <w:pPr>
              <w:jc w:val="center"/>
              <w:rPr>
                <w:rFonts w:cs="Times New Roman"/>
                <w:szCs w:val="21"/>
              </w:rPr>
            </w:pPr>
            <w:r>
              <w:rPr>
                <w:rFonts w:cs="Times New Roman"/>
                <w:szCs w:val="21"/>
              </w:rPr>
              <w:t>本项目属于天然气集输管线工程项目，不属于养殖业，也不属于水泥企业。</w:t>
            </w:r>
          </w:p>
        </w:tc>
        <w:tc>
          <w:tcPr>
            <w:tcW w:w="389" w:type="pct"/>
            <w:vAlign w:val="center"/>
          </w:tcPr>
          <w:p w14:paraId="512513F9" w14:textId="77777777" w:rsidR="007D1E74" w:rsidRDefault="00A95641">
            <w:pPr>
              <w:jc w:val="center"/>
              <w:rPr>
                <w:rFonts w:cs="Times New Roman"/>
                <w:szCs w:val="21"/>
              </w:rPr>
            </w:pPr>
            <w:r>
              <w:rPr>
                <w:rFonts w:cs="Times New Roman"/>
                <w:szCs w:val="21"/>
              </w:rPr>
              <w:t>符合</w:t>
            </w:r>
          </w:p>
        </w:tc>
      </w:tr>
      <w:tr w:rsidR="007D1E74" w14:paraId="1CD1B10B" w14:textId="77777777">
        <w:tc>
          <w:tcPr>
            <w:tcW w:w="460" w:type="pct"/>
            <w:vMerge/>
            <w:vAlign w:val="center"/>
          </w:tcPr>
          <w:p w14:paraId="30968372" w14:textId="77777777" w:rsidR="007D1E74" w:rsidRDefault="007D1E74">
            <w:pPr>
              <w:jc w:val="center"/>
              <w:rPr>
                <w:rFonts w:cs="Times New Roman"/>
                <w:szCs w:val="21"/>
              </w:rPr>
            </w:pPr>
          </w:p>
        </w:tc>
        <w:tc>
          <w:tcPr>
            <w:tcW w:w="298" w:type="pct"/>
            <w:vMerge/>
            <w:vAlign w:val="center"/>
          </w:tcPr>
          <w:p w14:paraId="193D8488" w14:textId="77777777" w:rsidR="007D1E74" w:rsidRDefault="007D1E74">
            <w:pPr>
              <w:jc w:val="center"/>
              <w:rPr>
                <w:rFonts w:cs="Times New Roman"/>
                <w:szCs w:val="21"/>
              </w:rPr>
            </w:pPr>
          </w:p>
        </w:tc>
        <w:tc>
          <w:tcPr>
            <w:tcW w:w="288" w:type="pct"/>
            <w:vMerge w:val="restart"/>
            <w:vAlign w:val="center"/>
          </w:tcPr>
          <w:p w14:paraId="68122042" w14:textId="77777777" w:rsidR="007D1E74" w:rsidRDefault="00A95641">
            <w:pPr>
              <w:jc w:val="center"/>
              <w:rPr>
                <w:rFonts w:cs="Times New Roman"/>
                <w:szCs w:val="21"/>
              </w:rPr>
            </w:pPr>
            <w:r>
              <w:rPr>
                <w:rFonts w:cs="Times New Roman"/>
                <w:szCs w:val="21"/>
              </w:rPr>
              <w:t>污染物排放管控</w:t>
            </w:r>
          </w:p>
        </w:tc>
        <w:tc>
          <w:tcPr>
            <w:tcW w:w="2272" w:type="pct"/>
            <w:vAlign w:val="center"/>
          </w:tcPr>
          <w:p w14:paraId="1A6C6F6D" w14:textId="77777777" w:rsidR="007D1E74" w:rsidRDefault="00A95641">
            <w:pPr>
              <w:rPr>
                <w:rFonts w:cs="Times New Roman"/>
                <w:szCs w:val="21"/>
              </w:rPr>
            </w:pPr>
            <w:r>
              <w:rPr>
                <w:rFonts w:cs="Times New Roman"/>
                <w:szCs w:val="21"/>
              </w:rPr>
              <w:t>现有源提标升级改造：</w:t>
            </w:r>
          </w:p>
          <w:p w14:paraId="4CFB6E35" w14:textId="77777777" w:rsidR="007D1E74" w:rsidRDefault="00A95641">
            <w:pPr>
              <w:rPr>
                <w:rFonts w:cs="Times New Roman"/>
                <w:szCs w:val="21"/>
              </w:rPr>
            </w:pPr>
            <w:r>
              <w:rPr>
                <w:rFonts w:cs="Times New Roman"/>
                <w:kern w:val="0"/>
                <w:szCs w:val="21"/>
              </w:rPr>
              <w:t>执行一般管控单元总体管控要求。</w:t>
            </w:r>
          </w:p>
        </w:tc>
        <w:tc>
          <w:tcPr>
            <w:tcW w:w="1290" w:type="pct"/>
            <w:vAlign w:val="center"/>
          </w:tcPr>
          <w:p w14:paraId="64BFB747" w14:textId="77777777" w:rsidR="007D1E74" w:rsidRDefault="00A95641">
            <w:pPr>
              <w:pStyle w:val="affa"/>
              <w:jc w:val="center"/>
              <w:rPr>
                <w:rFonts w:ascii="Times New Roman" w:hAnsi="Times New Roman"/>
                <w:szCs w:val="21"/>
              </w:rPr>
            </w:pPr>
            <w:r>
              <w:rPr>
                <w:rFonts w:ascii="Times New Roman" w:hAnsi="Times New Roman"/>
                <w:szCs w:val="21"/>
              </w:rPr>
              <w:t>本项目属于天然气集输管线工程项目，不属矿产资源开发、砖瓦行业、火电、水泥和畜禽养殖行业。</w:t>
            </w:r>
          </w:p>
        </w:tc>
        <w:tc>
          <w:tcPr>
            <w:tcW w:w="389" w:type="pct"/>
            <w:vAlign w:val="center"/>
          </w:tcPr>
          <w:p w14:paraId="29E6F855" w14:textId="77777777" w:rsidR="007D1E74" w:rsidRDefault="00A95641">
            <w:pPr>
              <w:jc w:val="center"/>
              <w:rPr>
                <w:rFonts w:cs="Times New Roman"/>
                <w:szCs w:val="21"/>
              </w:rPr>
            </w:pPr>
            <w:r>
              <w:rPr>
                <w:rFonts w:cs="Times New Roman"/>
                <w:szCs w:val="21"/>
              </w:rPr>
              <w:t>符合</w:t>
            </w:r>
          </w:p>
        </w:tc>
      </w:tr>
      <w:tr w:rsidR="007D1E74" w14:paraId="728CB9DF" w14:textId="77777777">
        <w:tc>
          <w:tcPr>
            <w:tcW w:w="460" w:type="pct"/>
            <w:vMerge/>
            <w:vAlign w:val="center"/>
          </w:tcPr>
          <w:p w14:paraId="3381B682" w14:textId="77777777" w:rsidR="007D1E74" w:rsidRDefault="007D1E74">
            <w:pPr>
              <w:jc w:val="center"/>
              <w:rPr>
                <w:rFonts w:cs="Times New Roman"/>
                <w:szCs w:val="21"/>
              </w:rPr>
            </w:pPr>
          </w:p>
        </w:tc>
        <w:tc>
          <w:tcPr>
            <w:tcW w:w="298" w:type="pct"/>
            <w:vMerge/>
            <w:vAlign w:val="center"/>
          </w:tcPr>
          <w:p w14:paraId="124365F5" w14:textId="77777777" w:rsidR="007D1E74" w:rsidRDefault="007D1E74">
            <w:pPr>
              <w:jc w:val="center"/>
              <w:rPr>
                <w:rFonts w:cs="Times New Roman"/>
                <w:szCs w:val="21"/>
              </w:rPr>
            </w:pPr>
          </w:p>
        </w:tc>
        <w:tc>
          <w:tcPr>
            <w:tcW w:w="288" w:type="pct"/>
            <w:vMerge/>
            <w:vAlign w:val="center"/>
          </w:tcPr>
          <w:p w14:paraId="3EAB1B7B" w14:textId="77777777" w:rsidR="007D1E74" w:rsidRDefault="007D1E74">
            <w:pPr>
              <w:jc w:val="center"/>
              <w:rPr>
                <w:rFonts w:cs="Times New Roman"/>
                <w:szCs w:val="21"/>
              </w:rPr>
            </w:pPr>
          </w:p>
        </w:tc>
        <w:tc>
          <w:tcPr>
            <w:tcW w:w="2272" w:type="pct"/>
            <w:vAlign w:val="center"/>
          </w:tcPr>
          <w:p w14:paraId="454A0F5B" w14:textId="77777777" w:rsidR="007D1E74" w:rsidRDefault="00A95641">
            <w:pPr>
              <w:rPr>
                <w:rFonts w:cs="Times New Roman"/>
                <w:szCs w:val="21"/>
              </w:rPr>
            </w:pPr>
            <w:r>
              <w:rPr>
                <w:rFonts w:cs="Times New Roman"/>
                <w:szCs w:val="21"/>
              </w:rPr>
              <w:t>新增源等量或倍量替代：</w:t>
            </w:r>
          </w:p>
          <w:p w14:paraId="453BEF73" w14:textId="77777777" w:rsidR="007D1E74" w:rsidRDefault="00A95641">
            <w:pPr>
              <w:rPr>
                <w:rFonts w:cs="Times New Roman"/>
                <w:szCs w:val="21"/>
              </w:rPr>
            </w:pPr>
            <w:r>
              <w:rPr>
                <w:rFonts w:cs="Times New Roman"/>
                <w:kern w:val="0"/>
                <w:szCs w:val="21"/>
              </w:rPr>
              <w:t>执行一般管控单元总体管控要求。</w:t>
            </w:r>
          </w:p>
        </w:tc>
        <w:tc>
          <w:tcPr>
            <w:tcW w:w="1290" w:type="pct"/>
            <w:vAlign w:val="center"/>
          </w:tcPr>
          <w:p w14:paraId="275DDD01" w14:textId="77777777" w:rsidR="007D1E74" w:rsidRDefault="00A95641">
            <w:pPr>
              <w:pStyle w:val="affa"/>
              <w:jc w:val="center"/>
              <w:rPr>
                <w:rFonts w:ascii="Times New Roman" w:hAnsi="Times New Roman"/>
                <w:szCs w:val="21"/>
              </w:rPr>
            </w:pPr>
            <w:r>
              <w:rPr>
                <w:rFonts w:ascii="Times New Roman" w:hAnsi="Times New Roman"/>
                <w:szCs w:val="21"/>
              </w:rPr>
              <w:t>本项目</w:t>
            </w:r>
            <w:r>
              <w:rPr>
                <w:rFonts w:ascii="Times New Roman" w:hAnsi="Times New Roman" w:hint="eastAsia"/>
                <w:szCs w:val="21"/>
              </w:rPr>
              <w:t>无</w:t>
            </w:r>
            <w:r>
              <w:rPr>
                <w:rFonts w:ascii="Times New Roman" w:hAnsi="Times New Roman"/>
                <w:szCs w:val="21"/>
              </w:rPr>
              <w:t>废气</w:t>
            </w:r>
            <w:r>
              <w:rPr>
                <w:rFonts w:ascii="Times New Roman" w:hAnsi="Times New Roman" w:hint="eastAsia"/>
                <w:szCs w:val="21"/>
              </w:rPr>
              <w:t>产生。</w:t>
            </w:r>
          </w:p>
        </w:tc>
        <w:tc>
          <w:tcPr>
            <w:tcW w:w="389" w:type="pct"/>
            <w:vAlign w:val="center"/>
          </w:tcPr>
          <w:p w14:paraId="56F43B1D" w14:textId="77777777" w:rsidR="007D1E74" w:rsidRDefault="00A95641">
            <w:pPr>
              <w:jc w:val="center"/>
              <w:rPr>
                <w:rFonts w:cs="Times New Roman"/>
                <w:szCs w:val="21"/>
              </w:rPr>
            </w:pPr>
            <w:r>
              <w:rPr>
                <w:rFonts w:cs="Times New Roman"/>
                <w:szCs w:val="21"/>
              </w:rPr>
              <w:t>符合</w:t>
            </w:r>
          </w:p>
        </w:tc>
      </w:tr>
      <w:tr w:rsidR="007D1E74" w14:paraId="51505DA0" w14:textId="77777777">
        <w:trPr>
          <w:trHeight w:val="414"/>
        </w:trPr>
        <w:tc>
          <w:tcPr>
            <w:tcW w:w="460" w:type="pct"/>
            <w:vMerge/>
            <w:vAlign w:val="center"/>
          </w:tcPr>
          <w:p w14:paraId="1BC3A743" w14:textId="77777777" w:rsidR="007D1E74" w:rsidRDefault="007D1E74">
            <w:pPr>
              <w:jc w:val="center"/>
              <w:rPr>
                <w:rFonts w:cs="Times New Roman"/>
                <w:szCs w:val="21"/>
              </w:rPr>
            </w:pPr>
          </w:p>
        </w:tc>
        <w:tc>
          <w:tcPr>
            <w:tcW w:w="298" w:type="pct"/>
            <w:vMerge/>
            <w:vAlign w:val="center"/>
          </w:tcPr>
          <w:p w14:paraId="3BF46392" w14:textId="77777777" w:rsidR="007D1E74" w:rsidRDefault="007D1E74">
            <w:pPr>
              <w:jc w:val="center"/>
              <w:rPr>
                <w:rFonts w:cs="Times New Roman"/>
                <w:szCs w:val="21"/>
              </w:rPr>
            </w:pPr>
          </w:p>
        </w:tc>
        <w:tc>
          <w:tcPr>
            <w:tcW w:w="288" w:type="pct"/>
            <w:vMerge/>
            <w:vAlign w:val="center"/>
          </w:tcPr>
          <w:p w14:paraId="299CB4A7" w14:textId="77777777" w:rsidR="007D1E74" w:rsidRDefault="007D1E74">
            <w:pPr>
              <w:jc w:val="center"/>
              <w:rPr>
                <w:rFonts w:cs="Times New Roman"/>
                <w:szCs w:val="21"/>
              </w:rPr>
            </w:pPr>
          </w:p>
        </w:tc>
        <w:tc>
          <w:tcPr>
            <w:tcW w:w="2272" w:type="pct"/>
            <w:vAlign w:val="center"/>
          </w:tcPr>
          <w:p w14:paraId="7BCB319F" w14:textId="77777777" w:rsidR="007D1E74" w:rsidRDefault="00A95641">
            <w:pPr>
              <w:rPr>
                <w:rFonts w:cs="Times New Roman"/>
                <w:szCs w:val="21"/>
              </w:rPr>
            </w:pPr>
            <w:r>
              <w:rPr>
                <w:rFonts w:cs="Times New Roman"/>
                <w:szCs w:val="21"/>
              </w:rPr>
              <w:t>新增源排放标准限值：</w:t>
            </w:r>
          </w:p>
          <w:p w14:paraId="3D3BA17D" w14:textId="77777777" w:rsidR="007D1E74" w:rsidRDefault="00A95641">
            <w:pPr>
              <w:rPr>
                <w:rFonts w:cs="Times New Roman"/>
                <w:szCs w:val="21"/>
              </w:rPr>
            </w:pPr>
            <w:r>
              <w:rPr>
                <w:rFonts w:cs="Times New Roman"/>
                <w:kern w:val="0"/>
                <w:szCs w:val="21"/>
              </w:rPr>
              <w:t>执行一般管控单元总体管控要求。</w:t>
            </w:r>
          </w:p>
        </w:tc>
        <w:tc>
          <w:tcPr>
            <w:tcW w:w="1290" w:type="pct"/>
            <w:vAlign w:val="center"/>
          </w:tcPr>
          <w:p w14:paraId="33AF14A6" w14:textId="77777777" w:rsidR="007D1E74" w:rsidRDefault="00A95641">
            <w:pPr>
              <w:rPr>
                <w:rFonts w:cs="Times New Roman"/>
                <w:szCs w:val="21"/>
              </w:rPr>
            </w:pPr>
            <w:r>
              <w:rPr>
                <w:rFonts w:cs="Times New Roman" w:hint="eastAsia"/>
                <w:szCs w:val="21"/>
              </w:rPr>
              <w:t>本项目无废水、废气和固废产生。</w:t>
            </w:r>
          </w:p>
        </w:tc>
        <w:tc>
          <w:tcPr>
            <w:tcW w:w="389" w:type="pct"/>
            <w:vAlign w:val="center"/>
          </w:tcPr>
          <w:p w14:paraId="5EB7EEC8" w14:textId="77777777" w:rsidR="007D1E74" w:rsidRDefault="00A95641">
            <w:pPr>
              <w:jc w:val="center"/>
              <w:rPr>
                <w:rFonts w:cs="Times New Roman"/>
                <w:szCs w:val="21"/>
              </w:rPr>
            </w:pPr>
            <w:r>
              <w:rPr>
                <w:rFonts w:cs="Times New Roman"/>
                <w:szCs w:val="21"/>
              </w:rPr>
              <w:t>符合</w:t>
            </w:r>
          </w:p>
        </w:tc>
      </w:tr>
      <w:tr w:rsidR="007D1E74" w14:paraId="4ABDA639" w14:textId="77777777">
        <w:tc>
          <w:tcPr>
            <w:tcW w:w="460" w:type="pct"/>
            <w:vMerge/>
            <w:vAlign w:val="center"/>
          </w:tcPr>
          <w:p w14:paraId="13249D57" w14:textId="77777777" w:rsidR="007D1E74" w:rsidRDefault="007D1E74">
            <w:pPr>
              <w:jc w:val="center"/>
              <w:rPr>
                <w:rFonts w:cs="Times New Roman"/>
                <w:szCs w:val="21"/>
              </w:rPr>
            </w:pPr>
          </w:p>
        </w:tc>
        <w:tc>
          <w:tcPr>
            <w:tcW w:w="298" w:type="pct"/>
            <w:vMerge/>
            <w:vAlign w:val="center"/>
          </w:tcPr>
          <w:p w14:paraId="7EB4E0C1" w14:textId="77777777" w:rsidR="007D1E74" w:rsidRDefault="007D1E74">
            <w:pPr>
              <w:jc w:val="center"/>
              <w:rPr>
                <w:rFonts w:cs="Times New Roman"/>
                <w:szCs w:val="21"/>
              </w:rPr>
            </w:pPr>
          </w:p>
        </w:tc>
        <w:tc>
          <w:tcPr>
            <w:tcW w:w="288" w:type="pct"/>
            <w:vMerge/>
            <w:vAlign w:val="center"/>
          </w:tcPr>
          <w:p w14:paraId="7C1F3742" w14:textId="77777777" w:rsidR="007D1E74" w:rsidRDefault="007D1E74">
            <w:pPr>
              <w:jc w:val="center"/>
              <w:rPr>
                <w:rFonts w:cs="Times New Roman"/>
                <w:szCs w:val="21"/>
              </w:rPr>
            </w:pPr>
          </w:p>
        </w:tc>
        <w:tc>
          <w:tcPr>
            <w:tcW w:w="2272" w:type="pct"/>
            <w:vAlign w:val="center"/>
          </w:tcPr>
          <w:p w14:paraId="5497D596" w14:textId="77777777" w:rsidR="007D1E74" w:rsidRDefault="00A95641">
            <w:pPr>
              <w:rPr>
                <w:rFonts w:cs="Times New Roman"/>
                <w:szCs w:val="21"/>
              </w:rPr>
            </w:pPr>
            <w:r>
              <w:rPr>
                <w:rFonts w:cs="Times New Roman"/>
                <w:szCs w:val="21"/>
              </w:rPr>
              <w:t>污染物排放绩效水平准入要求：</w:t>
            </w:r>
          </w:p>
          <w:p w14:paraId="5FE9CA03" w14:textId="77777777" w:rsidR="007D1E74" w:rsidRDefault="00A95641">
            <w:pPr>
              <w:pStyle w:val="affa"/>
              <w:rPr>
                <w:rFonts w:ascii="Times New Roman" w:hAnsi="Times New Roman"/>
                <w:szCs w:val="21"/>
              </w:rPr>
            </w:pPr>
            <w:r>
              <w:rPr>
                <w:rFonts w:ascii="Times New Roman" w:hAnsi="Times New Roman"/>
                <w:kern w:val="0"/>
                <w:szCs w:val="21"/>
              </w:rPr>
              <w:t>执行一般管控单元总体管控要求。</w:t>
            </w:r>
          </w:p>
        </w:tc>
        <w:tc>
          <w:tcPr>
            <w:tcW w:w="1290" w:type="pct"/>
            <w:vAlign w:val="center"/>
          </w:tcPr>
          <w:p w14:paraId="26F7ABDC" w14:textId="77777777" w:rsidR="007D1E74" w:rsidRDefault="00A95641">
            <w:pPr>
              <w:jc w:val="center"/>
              <w:rPr>
                <w:rFonts w:cs="Times New Roman"/>
                <w:szCs w:val="21"/>
              </w:rPr>
            </w:pPr>
            <w:r>
              <w:rPr>
                <w:rFonts w:cs="Times New Roman"/>
                <w:szCs w:val="21"/>
              </w:rPr>
              <w:t>本项目不涉及五类重金属。</w:t>
            </w:r>
          </w:p>
        </w:tc>
        <w:tc>
          <w:tcPr>
            <w:tcW w:w="389" w:type="pct"/>
            <w:vAlign w:val="center"/>
          </w:tcPr>
          <w:p w14:paraId="0688D770" w14:textId="77777777" w:rsidR="007D1E74" w:rsidRDefault="00A95641">
            <w:pPr>
              <w:jc w:val="center"/>
              <w:rPr>
                <w:rFonts w:cs="Times New Roman"/>
                <w:szCs w:val="21"/>
              </w:rPr>
            </w:pPr>
            <w:r>
              <w:rPr>
                <w:rFonts w:cs="Times New Roman"/>
                <w:szCs w:val="21"/>
              </w:rPr>
              <w:t>符合</w:t>
            </w:r>
          </w:p>
        </w:tc>
      </w:tr>
      <w:tr w:rsidR="007D1E74" w14:paraId="2B5CB334" w14:textId="77777777">
        <w:tc>
          <w:tcPr>
            <w:tcW w:w="460" w:type="pct"/>
            <w:vMerge/>
            <w:vAlign w:val="center"/>
          </w:tcPr>
          <w:p w14:paraId="689EBDEF" w14:textId="77777777" w:rsidR="007D1E74" w:rsidRDefault="007D1E74">
            <w:pPr>
              <w:jc w:val="center"/>
              <w:rPr>
                <w:rFonts w:cs="Times New Roman"/>
                <w:szCs w:val="21"/>
              </w:rPr>
            </w:pPr>
          </w:p>
        </w:tc>
        <w:tc>
          <w:tcPr>
            <w:tcW w:w="298" w:type="pct"/>
            <w:vMerge/>
            <w:vAlign w:val="center"/>
          </w:tcPr>
          <w:p w14:paraId="2CE962E0" w14:textId="77777777" w:rsidR="007D1E74" w:rsidRDefault="007D1E74">
            <w:pPr>
              <w:jc w:val="center"/>
              <w:rPr>
                <w:rFonts w:cs="Times New Roman"/>
                <w:szCs w:val="21"/>
              </w:rPr>
            </w:pPr>
          </w:p>
        </w:tc>
        <w:tc>
          <w:tcPr>
            <w:tcW w:w="288" w:type="pct"/>
            <w:vMerge w:val="restart"/>
            <w:vAlign w:val="center"/>
          </w:tcPr>
          <w:p w14:paraId="1082F82E" w14:textId="77777777" w:rsidR="007D1E74" w:rsidRDefault="00A95641">
            <w:pPr>
              <w:jc w:val="center"/>
              <w:rPr>
                <w:rFonts w:cs="Times New Roman"/>
                <w:szCs w:val="21"/>
              </w:rPr>
            </w:pPr>
            <w:r>
              <w:rPr>
                <w:rFonts w:cs="Times New Roman"/>
                <w:szCs w:val="21"/>
              </w:rPr>
              <w:t>环境风险防控</w:t>
            </w:r>
          </w:p>
        </w:tc>
        <w:tc>
          <w:tcPr>
            <w:tcW w:w="2272" w:type="pct"/>
            <w:vAlign w:val="center"/>
          </w:tcPr>
          <w:p w14:paraId="0B77B729" w14:textId="77777777" w:rsidR="007D1E74" w:rsidRDefault="00A95641">
            <w:pPr>
              <w:rPr>
                <w:rFonts w:cs="Times New Roman"/>
                <w:szCs w:val="21"/>
              </w:rPr>
            </w:pPr>
            <w:r>
              <w:rPr>
                <w:rFonts w:cs="Times New Roman"/>
                <w:szCs w:val="21"/>
              </w:rPr>
              <w:t>用地环境风险防控要求：</w:t>
            </w:r>
          </w:p>
          <w:p w14:paraId="0ABA4716" w14:textId="77777777" w:rsidR="007D1E74" w:rsidRDefault="00A95641">
            <w:pPr>
              <w:pStyle w:val="affa"/>
              <w:rPr>
                <w:rFonts w:ascii="Times New Roman" w:hAnsi="Times New Roman"/>
                <w:szCs w:val="21"/>
              </w:rPr>
            </w:pPr>
            <w:r>
              <w:rPr>
                <w:rFonts w:ascii="Times New Roman" w:hAnsi="Times New Roman"/>
                <w:kern w:val="0"/>
                <w:szCs w:val="21"/>
              </w:rPr>
              <w:t>执行一般管控单元总体管控要求。</w:t>
            </w:r>
          </w:p>
        </w:tc>
        <w:tc>
          <w:tcPr>
            <w:tcW w:w="1290" w:type="pct"/>
            <w:vAlign w:val="center"/>
          </w:tcPr>
          <w:p w14:paraId="2745CA65" w14:textId="77777777" w:rsidR="007D1E74" w:rsidRDefault="00A95641">
            <w:pPr>
              <w:jc w:val="center"/>
              <w:rPr>
                <w:rFonts w:cs="Times New Roman"/>
                <w:szCs w:val="21"/>
              </w:rPr>
            </w:pPr>
            <w:r>
              <w:rPr>
                <w:rFonts w:cs="Times New Roman"/>
                <w:szCs w:val="21"/>
              </w:rPr>
              <w:t>本项目不使用农药，</w:t>
            </w:r>
            <w:r>
              <w:rPr>
                <w:rFonts w:cs="Times New Roman" w:hint="eastAsia"/>
                <w:szCs w:val="21"/>
              </w:rPr>
              <w:t>施工期无弃土产生，营运期无固废产生。</w:t>
            </w:r>
          </w:p>
        </w:tc>
        <w:tc>
          <w:tcPr>
            <w:tcW w:w="389" w:type="pct"/>
            <w:vAlign w:val="center"/>
          </w:tcPr>
          <w:p w14:paraId="3B724F65" w14:textId="77777777" w:rsidR="007D1E74" w:rsidRDefault="00A95641">
            <w:pPr>
              <w:jc w:val="center"/>
              <w:rPr>
                <w:rFonts w:cs="Times New Roman"/>
                <w:szCs w:val="21"/>
              </w:rPr>
            </w:pPr>
            <w:r>
              <w:rPr>
                <w:rFonts w:cs="Times New Roman"/>
                <w:szCs w:val="21"/>
              </w:rPr>
              <w:t>符合</w:t>
            </w:r>
          </w:p>
        </w:tc>
      </w:tr>
      <w:tr w:rsidR="007D1E74" w14:paraId="0F7FE50D" w14:textId="77777777">
        <w:tc>
          <w:tcPr>
            <w:tcW w:w="460" w:type="pct"/>
            <w:vMerge/>
            <w:vAlign w:val="center"/>
          </w:tcPr>
          <w:p w14:paraId="1E539FBE" w14:textId="77777777" w:rsidR="007D1E74" w:rsidRDefault="007D1E74">
            <w:pPr>
              <w:jc w:val="center"/>
              <w:rPr>
                <w:rFonts w:cs="Times New Roman"/>
                <w:szCs w:val="21"/>
              </w:rPr>
            </w:pPr>
          </w:p>
        </w:tc>
        <w:tc>
          <w:tcPr>
            <w:tcW w:w="298" w:type="pct"/>
            <w:vMerge/>
            <w:vAlign w:val="center"/>
          </w:tcPr>
          <w:p w14:paraId="09240B4D" w14:textId="77777777" w:rsidR="007D1E74" w:rsidRDefault="007D1E74">
            <w:pPr>
              <w:jc w:val="center"/>
              <w:rPr>
                <w:rFonts w:cs="Times New Roman"/>
                <w:szCs w:val="21"/>
              </w:rPr>
            </w:pPr>
          </w:p>
        </w:tc>
        <w:tc>
          <w:tcPr>
            <w:tcW w:w="288" w:type="pct"/>
            <w:vMerge/>
            <w:vAlign w:val="center"/>
          </w:tcPr>
          <w:p w14:paraId="46D24331" w14:textId="77777777" w:rsidR="007D1E74" w:rsidRDefault="007D1E74">
            <w:pPr>
              <w:jc w:val="center"/>
              <w:rPr>
                <w:rFonts w:cs="Times New Roman"/>
                <w:szCs w:val="21"/>
              </w:rPr>
            </w:pPr>
          </w:p>
        </w:tc>
        <w:tc>
          <w:tcPr>
            <w:tcW w:w="2272" w:type="pct"/>
            <w:vAlign w:val="center"/>
          </w:tcPr>
          <w:p w14:paraId="0B688DD0" w14:textId="77777777" w:rsidR="007D1E74" w:rsidRDefault="00A95641">
            <w:pPr>
              <w:adjustRightInd w:val="0"/>
              <w:snapToGrid w:val="0"/>
              <w:rPr>
                <w:rFonts w:cs="Times New Roman"/>
                <w:kern w:val="0"/>
                <w:szCs w:val="21"/>
              </w:rPr>
            </w:pPr>
            <w:r>
              <w:rPr>
                <w:rFonts w:cs="Times New Roman"/>
                <w:kern w:val="0"/>
                <w:szCs w:val="21"/>
                <w:lang w:eastAsia="en-US"/>
              </w:rPr>
              <w:t>企业风险防控要求</w:t>
            </w:r>
            <w:r>
              <w:rPr>
                <w:rFonts w:cs="Times New Roman"/>
                <w:kern w:val="0"/>
                <w:szCs w:val="21"/>
              </w:rPr>
              <w:t>：</w:t>
            </w:r>
          </w:p>
          <w:p w14:paraId="45152454" w14:textId="77777777" w:rsidR="007D1E74" w:rsidRDefault="00A95641">
            <w:pPr>
              <w:rPr>
                <w:rFonts w:cs="Times New Roman"/>
                <w:kern w:val="0"/>
                <w:szCs w:val="21"/>
              </w:rPr>
            </w:pPr>
            <w:r>
              <w:rPr>
                <w:rFonts w:cs="Times New Roman"/>
                <w:kern w:val="0"/>
                <w:szCs w:val="21"/>
              </w:rPr>
              <w:t>执行一般管控单元总体管控要求。</w:t>
            </w:r>
          </w:p>
        </w:tc>
        <w:tc>
          <w:tcPr>
            <w:tcW w:w="1290" w:type="pct"/>
            <w:vAlign w:val="center"/>
          </w:tcPr>
          <w:p w14:paraId="571F7418" w14:textId="77777777" w:rsidR="007D1E74" w:rsidRDefault="00A95641">
            <w:pPr>
              <w:jc w:val="center"/>
              <w:rPr>
                <w:rFonts w:cs="Times New Roman"/>
                <w:szCs w:val="21"/>
              </w:rPr>
            </w:pPr>
            <w:r>
              <w:rPr>
                <w:rFonts w:cs="Times New Roman" w:hint="eastAsia"/>
                <w:szCs w:val="21"/>
              </w:rPr>
              <w:t>/</w:t>
            </w:r>
          </w:p>
        </w:tc>
        <w:tc>
          <w:tcPr>
            <w:tcW w:w="389" w:type="pct"/>
            <w:vAlign w:val="center"/>
          </w:tcPr>
          <w:p w14:paraId="6CB5A4CB" w14:textId="77777777" w:rsidR="007D1E74" w:rsidRDefault="00A95641">
            <w:pPr>
              <w:jc w:val="center"/>
              <w:rPr>
                <w:rFonts w:cs="Times New Roman"/>
                <w:szCs w:val="21"/>
              </w:rPr>
            </w:pPr>
            <w:r>
              <w:rPr>
                <w:rFonts w:cs="Times New Roman"/>
                <w:szCs w:val="21"/>
              </w:rPr>
              <w:t>符合</w:t>
            </w:r>
          </w:p>
        </w:tc>
      </w:tr>
      <w:tr w:rsidR="007D1E74" w14:paraId="6BB482D3" w14:textId="77777777">
        <w:tc>
          <w:tcPr>
            <w:tcW w:w="460" w:type="pct"/>
            <w:vMerge/>
            <w:vAlign w:val="center"/>
          </w:tcPr>
          <w:p w14:paraId="3882ED61" w14:textId="77777777" w:rsidR="007D1E74" w:rsidRDefault="007D1E74">
            <w:pPr>
              <w:jc w:val="center"/>
              <w:rPr>
                <w:rFonts w:cs="Times New Roman"/>
                <w:szCs w:val="21"/>
              </w:rPr>
            </w:pPr>
          </w:p>
        </w:tc>
        <w:tc>
          <w:tcPr>
            <w:tcW w:w="298" w:type="pct"/>
            <w:vMerge/>
            <w:vAlign w:val="center"/>
          </w:tcPr>
          <w:p w14:paraId="11D96AEC" w14:textId="77777777" w:rsidR="007D1E74" w:rsidRDefault="007D1E74">
            <w:pPr>
              <w:jc w:val="center"/>
              <w:rPr>
                <w:rFonts w:cs="Times New Roman"/>
                <w:szCs w:val="21"/>
              </w:rPr>
            </w:pPr>
          </w:p>
        </w:tc>
        <w:tc>
          <w:tcPr>
            <w:tcW w:w="288" w:type="pct"/>
            <w:vMerge w:val="restart"/>
            <w:vAlign w:val="center"/>
          </w:tcPr>
          <w:p w14:paraId="5CE79A8D" w14:textId="77777777" w:rsidR="007D1E74" w:rsidRDefault="00A95641">
            <w:pPr>
              <w:jc w:val="center"/>
              <w:rPr>
                <w:rFonts w:cs="Times New Roman"/>
                <w:szCs w:val="21"/>
              </w:rPr>
            </w:pPr>
            <w:r>
              <w:rPr>
                <w:rFonts w:cs="Times New Roman"/>
                <w:szCs w:val="21"/>
              </w:rPr>
              <w:t>资源开发利用效率</w:t>
            </w:r>
          </w:p>
        </w:tc>
        <w:tc>
          <w:tcPr>
            <w:tcW w:w="2272" w:type="pct"/>
            <w:vAlign w:val="center"/>
          </w:tcPr>
          <w:p w14:paraId="3C21039E" w14:textId="77777777" w:rsidR="007D1E74" w:rsidRDefault="00A95641">
            <w:pPr>
              <w:rPr>
                <w:rFonts w:cs="Times New Roman"/>
                <w:szCs w:val="21"/>
              </w:rPr>
            </w:pPr>
            <w:r>
              <w:rPr>
                <w:rFonts w:cs="Times New Roman"/>
                <w:szCs w:val="21"/>
              </w:rPr>
              <w:t>水资源利用效率要求：</w:t>
            </w:r>
          </w:p>
          <w:p w14:paraId="5994898E" w14:textId="77777777" w:rsidR="007D1E74" w:rsidRDefault="00A95641">
            <w:pPr>
              <w:rPr>
                <w:rFonts w:cs="Times New Roman"/>
                <w:kern w:val="0"/>
                <w:szCs w:val="21"/>
              </w:rPr>
            </w:pPr>
            <w:r>
              <w:rPr>
                <w:rFonts w:cs="Times New Roman"/>
                <w:kern w:val="0"/>
                <w:szCs w:val="21"/>
              </w:rPr>
              <w:t>执行一般管控单元总体管控要求。</w:t>
            </w:r>
          </w:p>
        </w:tc>
        <w:tc>
          <w:tcPr>
            <w:tcW w:w="1290" w:type="pct"/>
            <w:vAlign w:val="center"/>
          </w:tcPr>
          <w:p w14:paraId="326DFF87" w14:textId="77777777" w:rsidR="007D1E74" w:rsidRDefault="00A95641">
            <w:pPr>
              <w:jc w:val="center"/>
              <w:rPr>
                <w:rFonts w:cs="Times New Roman"/>
                <w:szCs w:val="21"/>
              </w:rPr>
            </w:pPr>
            <w:r>
              <w:rPr>
                <w:rFonts w:cs="Times New Roman"/>
                <w:szCs w:val="21"/>
              </w:rPr>
              <w:t>本项目不使用锅炉，不焚烧秸秆和垃圾。</w:t>
            </w:r>
          </w:p>
        </w:tc>
        <w:tc>
          <w:tcPr>
            <w:tcW w:w="389" w:type="pct"/>
            <w:vAlign w:val="center"/>
          </w:tcPr>
          <w:p w14:paraId="40F0A9F2" w14:textId="77777777" w:rsidR="007D1E74" w:rsidRDefault="00A95641">
            <w:pPr>
              <w:jc w:val="center"/>
              <w:rPr>
                <w:rFonts w:cs="Times New Roman"/>
                <w:szCs w:val="21"/>
              </w:rPr>
            </w:pPr>
            <w:r>
              <w:rPr>
                <w:rFonts w:cs="Times New Roman"/>
                <w:szCs w:val="21"/>
              </w:rPr>
              <w:t>符合</w:t>
            </w:r>
          </w:p>
        </w:tc>
      </w:tr>
      <w:tr w:rsidR="007D1E74" w14:paraId="4A3D006D" w14:textId="77777777">
        <w:tc>
          <w:tcPr>
            <w:tcW w:w="460" w:type="pct"/>
            <w:vMerge/>
            <w:vAlign w:val="center"/>
          </w:tcPr>
          <w:p w14:paraId="070BD7A9" w14:textId="77777777" w:rsidR="007D1E74" w:rsidRDefault="007D1E74">
            <w:pPr>
              <w:jc w:val="center"/>
              <w:rPr>
                <w:rFonts w:cs="Times New Roman"/>
                <w:szCs w:val="21"/>
              </w:rPr>
            </w:pPr>
          </w:p>
        </w:tc>
        <w:tc>
          <w:tcPr>
            <w:tcW w:w="298" w:type="pct"/>
            <w:vMerge/>
            <w:vAlign w:val="center"/>
          </w:tcPr>
          <w:p w14:paraId="6C5D1D5F" w14:textId="77777777" w:rsidR="007D1E74" w:rsidRDefault="007D1E74">
            <w:pPr>
              <w:jc w:val="center"/>
              <w:rPr>
                <w:rFonts w:cs="Times New Roman"/>
                <w:szCs w:val="21"/>
              </w:rPr>
            </w:pPr>
          </w:p>
        </w:tc>
        <w:tc>
          <w:tcPr>
            <w:tcW w:w="288" w:type="pct"/>
            <w:vMerge/>
            <w:vAlign w:val="center"/>
          </w:tcPr>
          <w:p w14:paraId="4B3CC171" w14:textId="77777777" w:rsidR="007D1E74" w:rsidRDefault="007D1E74">
            <w:pPr>
              <w:jc w:val="center"/>
              <w:rPr>
                <w:rFonts w:cs="Times New Roman"/>
                <w:szCs w:val="21"/>
              </w:rPr>
            </w:pPr>
          </w:p>
        </w:tc>
        <w:tc>
          <w:tcPr>
            <w:tcW w:w="2272" w:type="pct"/>
            <w:vAlign w:val="center"/>
          </w:tcPr>
          <w:p w14:paraId="74D5F6AC" w14:textId="77777777" w:rsidR="007D1E74" w:rsidRDefault="00A95641">
            <w:pPr>
              <w:rPr>
                <w:rFonts w:cs="Times New Roman"/>
                <w:szCs w:val="21"/>
              </w:rPr>
            </w:pPr>
            <w:r>
              <w:rPr>
                <w:rFonts w:cs="Times New Roman"/>
                <w:szCs w:val="21"/>
              </w:rPr>
              <w:t>能源利用效率要求：</w:t>
            </w:r>
          </w:p>
          <w:p w14:paraId="4F651088" w14:textId="77777777" w:rsidR="007D1E74" w:rsidRDefault="00A95641">
            <w:pPr>
              <w:rPr>
                <w:rFonts w:cs="Times New Roman"/>
                <w:kern w:val="0"/>
                <w:szCs w:val="21"/>
              </w:rPr>
            </w:pPr>
            <w:r>
              <w:rPr>
                <w:rFonts w:cs="Times New Roman"/>
                <w:kern w:val="0"/>
                <w:szCs w:val="21"/>
              </w:rPr>
              <w:t>执行一般管控单元总体管控要求。</w:t>
            </w:r>
          </w:p>
        </w:tc>
        <w:tc>
          <w:tcPr>
            <w:tcW w:w="1290" w:type="pct"/>
            <w:vAlign w:val="center"/>
          </w:tcPr>
          <w:p w14:paraId="7338088C" w14:textId="77777777" w:rsidR="007D1E74" w:rsidRDefault="00A95641">
            <w:pPr>
              <w:jc w:val="center"/>
              <w:rPr>
                <w:rFonts w:cs="Times New Roman"/>
                <w:szCs w:val="21"/>
              </w:rPr>
            </w:pPr>
            <w:r>
              <w:rPr>
                <w:rFonts w:cs="Times New Roman"/>
                <w:szCs w:val="21"/>
              </w:rPr>
              <w:t>本项目属于天然气集输管线工程项目，不属于养殖业，也不属于水泥企业。</w:t>
            </w:r>
          </w:p>
        </w:tc>
        <w:tc>
          <w:tcPr>
            <w:tcW w:w="389" w:type="pct"/>
            <w:vAlign w:val="center"/>
          </w:tcPr>
          <w:p w14:paraId="47ACC637" w14:textId="77777777" w:rsidR="007D1E74" w:rsidRDefault="00A95641">
            <w:pPr>
              <w:jc w:val="center"/>
              <w:rPr>
                <w:rFonts w:cs="Times New Roman"/>
                <w:szCs w:val="21"/>
              </w:rPr>
            </w:pPr>
            <w:r>
              <w:rPr>
                <w:rFonts w:cs="Times New Roman"/>
                <w:szCs w:val="21"/>
              </w:rPr>
              <w:t>符合</w:t>
            </w:r>
          </w:p>
        </w:tc>
      </w:tr>
    </w:tbl>
    <w:p w14:paraId="21462446" w14:textId="77777777" w:rsidR="007D1E74" w:rsidRDefault="00A95641">
      <w:pPr>
        <w:autoSpaceDE w:val="0"/>
        <w:autoSpaceDN w:val="0"/>
        <w:adjustRightInd w:val="0"/>
        <w:snapToGrid w:val="0"/>
        <w:spacing w:line="360" w:lineRule="auto"/>
        <w:ind w:firstLineChars="200" w:firstLine="480"/>
        <w:rPr>
          <w:rFonts w:cs="Times New Roman"/>
          <w:kern w:val="0"/>
          <w:sz w:val="24"/>
          <w:szCs w:val="24"/>
        </w:rPr>
      </w:pPr>
      <w:r>
        <w:rPr>
          <w:rFonts w:cs="Times New Roman"/>
          <w:kern w:val="0"/>
          <w:sz w:val="24"/>
          <w:szCs w:val="24"/>
        </w:rPr>
        <w:t>经上分析，本项目符合《巴中市人民政府关于实施</w:t>
      </w:r>
      <w:r>
        <w:rPr>
          <w:rFonts w:cs="Times New Roman"/>
          <w:kern w:val="0"/>
          <w:sz w:val="24"/>
          <w:szCs w:val="24"/>
        </w:rPr>
        <w:t>“</w:t>
      </w:r>
      <w:r>
        <w:rPr>
          <w:rFonts w:cs="Times New Roman"/>
          <w:kern w:val="0"/>
          <w:sz w:val="24"/>
          <w:szCs w:val="24"/>
        </w:rPr>
        <w:t>三线一单</w:t>
      </w:r>
      <w:r>
        <w:rPr>
          <w:rFonts w:cs="Times New Roman"/>
          <w:kern w:val="0"/>
          <w:sz w:val="24"/>
          <w:szCs w:val="24"/>
        </w:rPr>
        <w:t>”</w:t>
      </w:r>
      <w:r>
        <w:rPr>
          <w:rFonts w:cs="Times New Roman"/>
          <w:kern w:val="0"/>
          <w:sz w:val="24"/>
          <w:szCs w:val="24"/>
        </w:rPr>
        <w:t>生态环境分区管控的通知》（巴府发〔</w:t>
      </w:r>
      <w:r>
        <w:rPr>
          <w:rFonts w:cs="Times New Roman"/>
          <w:kern w:val="0"/>
          <w:sz w:val="24"/>
          <w:szCs w:val="24"/>
        </w:rPr>
        <w:t>2021</w:t>
      </w:r>
      <w:r>
        <w:rPr>
          <w:rFonts w:cs="Times New Roman"/>
          <w:kern w:val="0"/>
          <w:sz w:val="24"/>
          <w:szCs w:val="24"/>
        </w:rPr>
        <w:t>〕</w:t>
      </w:r>
      <w:r>
        <w:rPr>
          <w:rFonts w:cs="Times New Roman"/>
          <w:kern w:val="0"/>
          <w:sz w:val="24"/>
          <w:szCs w:val="24"/>
        </w:rPr>
        <w:t>5</w:t>
      </w:r>
      <w:r>
        <w:rPr>
          <w:rFonts w:cs="Times New Roman"/>
          <w:kern w:val="0"/>
          <w:sz w:val="24"/>
          <w:szCs w:val="24"/>
        </w:rPr>
        <w:t>号）及《长江经济带战略环境评价四川省巴中市</w:t>
      </w:r>
      <w:r>
        <w:rPr>
          <w:rFonts w:cs="Times New Roman"/>
          <w:kern w:val="0"/>
          <w:sz w:val="24"/>
          <w:szCs w:val="24"/>
        </w:rPr>
        <w:t>“</w:t>
      </w:r>
      <w:r>
        <w:rPr>
          <w:rFonts w:cs="Times New Roman"/>
          <w:kern w:val="0"/>
          <w:sz w:val="24"/>
          <w:szCs w:val="24"/>
        </w:rPr>
        <w:t>三线一单</w:t>
      </w:r>
      <w:r>
        <w:rPr>
          <w:rFonts w:cs="Times New Roman"/>
          <w:kern w:val="0"/>
          <w:sz w:val="24"/>
          <w:szCs w:val="24"/>
        </w:rPr>
        <w:t>”</w:t>
      </w:r>
      <w:r>
        <w:rPr>
          <w:rFonts w:cs="Times New Roman"/>
          <w:kern w:val="0"/>
          <w:sz w:val="24"/>
          <w:szCs w:val="24"/>
        </w:rPr>
        <w:t>生态环境分区管控优化完善研究报告》的相关要求。</w:t>
      </w:r>
    </w:p>
    <w:p w14:paraId="1AEA60A2" w14:textId="77777777" w:rsidR="007D1E74" w:rsidRDefault="00A95641">
      <w:pPr>
        <w:autoSpaceDE w:val="0"/>
        <w:autoSpaceDN w:val="0"/>
        <w:adjustRightInd w:val="0"/>
        <w:snapToGrid w:val="0"/>
        <w:spacing w:line="360" w:lineRule="auto"/>
        <w:ind w:firstLineChars="200" w:firstLine="482"/>
        <w:rPr>
          <w:rFonts w:cs="Times New Roman"/>
          <w:b/>
          <w:bCs/>
          <w:kern w:val="0"/>
          <w:sz w:val="24"/>
          <w:szCs w:val="24"/>
        </w:rPr>
      </w:pPr>
      <w:r>
        <w:rPr>
          <w:rFonts w:cs="Times New Roman" w:hint="eastAsia"/>
          <w:b/>
          <w:bCs/>
          <w:kern w:val="0"/>
          <w:sz w:val="24"/>
          <w:szCs w:val="24"/>
        </w:rPr>
        <w:t>项目与生态保护红线的位置关系图、与所在区域环境管控单元的位置关系图如下所示：</w:t>
      </w:r>
    </w:p>
    <w:p w14:paraId="2C89DA1B" w14:textId="77777777" w:rsidR="007D1E74" w:rsidRDefault="00A95641">
      <w:pPr>
        <w:widowControl/>
        <w:jc w:val="left"/>
      </w:pPr>
      <w:r>
        <w:rPr>
          <w:noProof/>
          <w:sz w:val="24"/>
        </w:rPr>
        <w:lastRenderedPageBreak/>
        <mc:AlternateContent>
          <mc:Choice Requires="wps">
            <w:drawing>
              <wp:anchor distT="0" distB="0" distL="114300" distR="114300" simplePos="0" relativeHeight="251660288" behindDoc="0" locked="0" layoutInCell="1" allowOverlap="1" wp14:anchorId="5FA39651" wp14:editId="21CA8EAC">
                <wp:simplePos x="0" y="0"/>
                <wp:positionH relativeFrom="column">
                  <wp:posOffset>3062605</wp:posOffset>
                </wp:positionH>
                <wp:positionV relativeFrom="paragraph">
                  <wp:posOffset>2136140</wp:posOffset>
                </wp:positionV>
                <wp:extent cx="801370" cy="247650"/>
                <wp:effectExtent l="810260" t="452755" r="19050" b="15875"/>
                <wp:wrapNone/>
                <wp:docPr id="2" name="矩形标注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1370" cy="247650"/>
                        </a:xfrm>
                        <a:prstGeom prst="wedgeRectCallout">
                          <a:avLst>
                            <a:gd name="adj1" fmla="val -146587"/>
                            <a:gd name="adj2" fmla="val -225393"/>
                          </a:avLst>
                        </a:prstGeom>
                        <a:solidFill>
                          <a:srgbClr val="FFFFFF"/>
                        </a:solidFill>
                        <a:ln w="9525" cmpd="sng">
                          <a:solidFill>
                            <a:srgbClr val="000000"/>
                          </a:solidFill>
                          <a:miter lim="800000"/>
                        </a:ln>
                      </wps:spPr>
                      <wps:txbx>
                        <w:txbxContent>
                          <w:p w14:paraId="0B20591B" w14:textId="77777777" w:rsidR="007D1E74" w:rsidRDefault="00A95641">
                            <w:pPr>
                              <w:jc w:val="center"/>
                              <w:rPr>
                                <w:szCs w:val="21"/>
                              </w:rPr>
                            </w:pPr>
                            <w:r>
                              <w:rPr>
                                <w:rFonts w:hint="eastAsia"/>
                                <w:szCs w:val="21"/>
                              </w:rPr>
                              <w:t>项目所在地</w:t>
                            </w:r>
                          </w:p>
                        </w:txbxContent>
                      </wps:txbx>
                      <wps:bodyPr rot="0" vert="horz" wrap="square" lIns="18000" tIns="18000" rIns="18000" bIns="18000" anchor="t" anchorCtr="0" upright="1">
                        <a:noAutofit/>
                      </wps:bodyPr>
                    </wps:wsp>
                  </a:graphicData>
                </a:graphic>
              </wp:anchor>
            </w:drawing>
          </mc:Choice>
          <mc:Fallback>
            <w:pict>
              <v:shapetype w14:anchorId="5FA39651"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标注 2" o:spid="_x0000_s1026" type="#_x0000_t61" style="position:absolute;margin-left:241.15pt;margin-top:168.2pt;width:63.1pt;height:19.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" adj="-20863,-37885">
                <v:textbox inset=".5mm,.5mm,.5mm,.5mm">
                  <w:txbxContent>
                    <w:p w14:paraId="0B20591B" w14:textId="77777777" w:rsidR="007D1E74" w:rsidRDefault="00A95641">
                      <w:pPr>
                        <w:jc w:val="center"/>
                        <w:rPr>
                          <w:szCs w:val="21"/>
                        </w:rPr>
                      </w:pPr>
                      <w:r>
                        <w:rPr>
                          <w:rFonts w:hint="eastAsia"/>
                          <w:szCs w:val="21"/>
                        </w:rPr>
                        <w:t>项目所在地</w:t>
                      </w:r>
                    </w:p>
                  </w:txbxContent>
                </v:textbox>
              </v:shape>
            </w:pict>
          </mc:Fallback>
        </mc:AlternateContent>
      </w:r>
      <w:r>
        <w:rPr>
          <w:noProof/>
          <w:sz w:val="24"/>
        </w:rPr>
        <mc:AlternateContent>
          <mc:Choice Requires="wps">
            <w:drawing>
              <wp:anchor distT="0" distB="0" distL="114300" distR="114300" simplePos="0" relativeHeight="251666432" behindDoc="0" locked="0" layoutInCell="1" allowOverlap="1" wp14:anchorId="72D02FE0" wp14:editId="37C9AAF2">
                <wp:simplePos x="0" y="0"/>
                <wp:positionH relativeFrom="column">
                  <wp:posOffset>2209165</wp:posOffset>
                </wp:positionH>
                <wp:positionV relativeFrom="paragraph">
                  <wp:posOffset>1626235</wp:posOffset>
                </wp:positionV>
                <wp:extent cx="49530" cy="243840"/>
                <wp:effectExtent l="8890" t="3175" r="17780" b="12065"/>
                <wp:wrapNone/>
                <wp:docPr id="8" name="任意多边形 8"/>
                <wp:cNvGraphicFramePr/>
                <a:graphic xmlns:a="http://schemas.openxmlformats.org/drawingml/2006/main">
                  <a:graphicData uri="http://schemas.microsoft.com/office/word/2010/wordprocessingShape">
                    <wps:wsp>
                      <wps:cNvSpPr/>
                      <wps:spPr>
                        <a:xfrm>
                          <a:off x="0" y="0"/>
                          <a:ext cx="49651" cy="244116"/>
                        </a:xfrm>
                        <a:custGeom>
                          <a:avLst/>
                          <a:gdLst>
                            <a:gd name="connsiteX0" fmla="*/ 49651 w 49651"/>
                            <a:gd name="connsiteY0" fmla="*/ 0 h 244116"/>
                            <a:gd name="connsiteX1" fmla="*/ 24826 w 49651"/>
                            <a:gd name="connsiteY1" fmla="*/ 74476 h 244116"/>
                            <a:gd name="connsiteX2" fmla="*/ 28963 w 49651"/>
                            <a:gd name="connsiteY2" fmla="*/ 111714 h 244116"/>
                            <a:gd name="connsiteX3" fmla="*/ 16550 w 49651"/>
                            <a:gd name="connsiteY3" fmla="*/ 198603 h 244116"/>
                            <a:gd name="connsiteX4" fmla="*/ 4138 w 49651"/>
                            <a:gd name="connsiteY4" fmla="*/ 231703 h 244116"/>
                            <a:gd name="connsiteX5" fmla="*/ 0 w 49651"/>
                            <a:gd name="connsiteY5" fmla="*/ 244116 h 244116"/>
                            <a:gd name="connsiteX6" fmla="*/ 0 w 49651"/>
                            <a:gd name="connsiteY6" fmla="*/ 244116 h 2441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9651" h="244116">
                              <a:moveTo>
                                <a:pt x="49651" y="0"/>
                              </a:moveTo>
                              <a:cubicBezTo>
                                <a:pt x="38962" y="27928"/>
                                <a:pt x="28274" y="55857"/>
                                <a:pt x="24826" y="74476"/>
                              </a:cubicBezTo>
                              <a:cubicBezTo>
                                <a:pt x="21378" y="93095"/>
                                <a:pt x="30342" y="91026"/>
                                <a:pt x="28963" y="111714"/>
                              </a:cubicBezTo>
                              <a:cubicBezTo>
                                <a:pt x="27584" y="132402"/>
                                <a:pt x="20687" y="178605"/>
                                <a:pt x="16550" y="198603"/>
                              </a:cubicBezTo>
                              <a:cubicBezTo>
                                <a:pt x="12412" y="218601"/>
                                <a:pt x="6896" y="224118"/>
                                <a:pt x="4138" y="231703"/>
                              </a:cubicBezTo>
                              <a:cubicBezTo>
                                <a:pt x="1380" y="239288"/>
                                <a:pt x="0" y="244116"/>
                                <a:pt x="0" y="244116"/>
                              </a:cubicBezTo>
                              <a:lnTo>
                                <a:pt x="0" y="244116"/>
                              </a:lnTo>
                            </a:path>
                          </a:pathLst>
                        </a:custGeom>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100" style="position:absolute;left:0pt;margin-left:173.95pt;margin-top:128.05pt;height:19.2pt;width:3.9pt;z-index:251666432;v-text-anchor:middle;mso-width-relative:page;mso-height-relative:page;" filled="f" stroked="t" coordsize="49651,244116" o:gfxdata="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" path="m49651,0c38962,27928,28274,55857,24826,74476c21378,93095,30342,91026,28963,111714c27584,132402,20687,178605,16550,198603c12412,218601,6896,224118,4138,231703c1380,239288,0,244116,0,244116l0,244116e">
                <v:path o:connectlocs="49651,0;24826,74476;28963,111714;16550,198603;4138,231703;0,244116;0,244116" o:connectangles="0,0,0,0,0,0,0"/>
                <v:fill on="f" focussize="0,0"/>
                <v:stroke weight="1.5pt" color="#ED7D31 [3205]" miterlimit="8" joinstyle="miter"/>
                <v:imagedata o:title=""/>
                <o:lock v:ext="edit" aspectratio="f"/>
              </v:shape>
            </w:pict>
          </mc:Fallback>
        </mc:AlternateContent>
      </w:r>
      <w:r>
        <w:rPr>
          <w:rFonts w:ascii="宋体" w:hAnsi="宋体" w:cs="宋体"/>
          <w:noProof/>
          <w:kern w:val="0"/>
          <w:sz w:val="24"/>
          <w:szCs w:val="24"/>
        </w:rPr>
        <w:drawing>
          <wp:inline distT="0" distB="0" distL="0" distR="0" wp14:anchorId="4EAFE872" wp14:editId="4D7531C8">
            <wp:extent cx="5715000" cy="3700780"/>
            <wp:effectExtent l="0" t="0" r="0" b="0"/>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715000" cy="3701143"/>
                    </a:xfrm>
                    <a:prstGeom prst="rect">
                      <a:avLst/>
                    </a:prstGeom>
                    <a:noFill/>
                    <a:ln>
                      <a:noFill/>
                    </a:ln>
                    <a:effectLst/>
                  </pic:spPr>
                </pic:pic>
              </a:graphicData>
            </a:graphic>
          </wp:inline>
        </w:drawing>
      </w:r>
    </w:p>
    <w:p w14:paraId="3F80FA93" w14:textId="77777777" w:rsidR="007D1E74" w:rsidRDefault="00A95641">
      <w:pPr>
        <w:spacing w:before="43" w:after="21"/>
        <w:ind w:right="156"/>
        <w:jc w:val="center"/>
        <w:rPr>
          <w:rFonts w:eastAsia="黑体" w:cs="Times New Roman"/>
        </w:rPr>
      </w:pPr>
      <w:r>
        <w:rPr>
          <w:rFonts w:eastAsia="黑体" w:cs="Times New Roman"/>
        </w:rPr>
        <w:t>图</w:t>
      </w:r>
      <w:r>
        <w:rPr>
          <w:rFonts w:eastAsia="黑体" w:cs="Times New Roman" w:hint="eastAsia"/>
        </w:rPr>
        <w:t>2.3</w:t>
      </w:r>
      <w:r>
        <w:rPr>
          <w:rFonts w:eastAsia="黑体" w:cs="Times New Roman"/>
        </w:rPr>
        <w:t>-</w:t>
      </w:r>
      <w:r>
        <w:rPr>
          <w:rFonts w:eastAsia="黑体" w:cs="Times New Roman" w:hint="eastAsia"/>
        </w:rPr>
        <w:t>1</w:t>
      </w:r>
      <w:r>
        <w:rPr>
          <w:rFonts w:eastAsia="黑体" w:cs="Times New Roman"/>
        </w:rPr>
        <w:t xml:space="preserve"> </w:t>
      </w:r>
      <w:r>
        <w:rPr>
          <w:rFonts w:eastAsia="黑体" w:cs="Times New Roman" w:hint="eastAsia"/>
        </w:rPr>
        <w:t>巴中市生态空间</w:t>
      </w:r>
      <w:r>
        <w:rPr>
          <w:rFonts w:eastAsia="黑体" w:cs="Times New Roman"/>
        </w:rPr>
        <w:t>分布图</w:t>
      </w:r>
    </w:p>
    <w:p w14:paraId="5219BF27" w14:textId="77777777" w:rsidR="007D1E74" w:rsidRDefault="00A95641">
      <w:pPr>
        <w:autoSpaceDE w:val="0"/>
        <w:autoSpaceDN w:val="0"/>
        <w:adjustRightInd w:val="0"/>
        <w:snapToGrid w:val="0"/>
        <w:spacing w:line="360" w:lineRule="auto"/>
        <w:ind w:firstLineChars="200" w:firstLine="480"/>
        <w:rPr>
          <w:rFonts w:cs="Times New Roman"/>
          <w:color w:val="FF0000"/>
          <w:kern w:val="0"/>
          <w:sz w:val="24"/>
          <w:szCs w:val="24"/>
        </w:rPr>
      </w:pPr>
      <w:r>
        <w:rPr>
          <w:rFonts w:cs="Times New Roman" w:hint="eastAsia"/>
          <w:kern w:val="0"/>
          <w:sz w:val="24"/>
          <w:szCs w:val="24"/>
        </w:rPr>
        <w:t>根据上图可知，本项目不涉及生态保护红线。</w:t>
      </w:r>
    </w:p>
    <w:p w14:paraId="40C72EA2" w14:textId="77777777" w:rsidR="007D1E74" w:rsidRDefault="00A95641">
      <w:pPr>
        <w:autoSpaceDE w:val="0"/>
        <w:autoSpaceDN w:val="0"/>
        <w:adjustRightInd w:val="0"/>
        <w:snapToGrid w:val="0"/>
        <w:spacing w:line="360" w:lineRule="auto"/>
        <w:ind w:firstLineChars="200" w:firstLine="480"/>
        <w:rPr>
          <w:rFonts w:cs="Times New Roman"/>
          <w:kern w:val="0"/>
          <w:sz w:val="24"/>
          <w:szCs w:val="24"/>
        </w:rPr>
      </w:pPr>
      <w:r>
        <w:rPr>
          <w:rFonts w:cs="Times New Roman" w:hint="eastAsia"/>
          <w:kern w:val="0"/>
          <w:sz w:val="24"/>
          <w:szCs w:val="24"/>
        </w:rPr>
        <w:t>同时，本次评价查阅四川省政务服务网“三线一单数据分析系”，根据图</w:t>
      </w:r>
      <w:r>
        <w:rPr>
          <w:rFonts w:cs="Times New Roman" w:hint="eastAsia"/>
          <w:kern w:val="0"/>
          <w:sz w:val="24"/>
          <w:szCs w:val="24"/>
        </w:rPr>
        <w:t>2.3-2</w:t>
      </w:r>
      <w:r>
        <w:rPr>
          <w:rFonts w:cs="Times New Roman" w:hint="eastAsia"/>
          <w:kern w:val="0"/>
          <w:sz w:val="24"/>
          <w:szCs w:val="24"/>
        </w:rPr>
        <w:t>示分析，本项目所在地与巴中市“三线一单”所列管控区位置相同，项目涉及优先保护单元和一般管控单元。</w:t>
      </w:r>
    </w:p>
    <w:p w14:paraId="3454D32C" w14:textId="77777777" w:rsidR="007D1E74" w:rsidRDefault="00A95641">
      <w:pPr>
        <w:autoSpaceDE w:val="0"/>
        <w:autoSpaceDN w:val="0"/>
        <w:adjustRightInd w:val="0"/>
        <w:snapToGrid w:val="0"/>
        <w:spacing w:line="360" w:lineRule="auto"/>
        <w:jc w:val="center"/>
        <w:rPr>
          <w:rFonts w:cs="Times New Roman"/>
          <w:kern w:val="0"/>
          <w:sz w:val="24"/>
          <w:szCs w:val="24"/>
        </w:rPr>
      </w:pPr>
      <w:r>
        <w:rPr>
          <w:noProof/>
        </w:rPr>
        <w:lastRenderedPageBreak/>
        <mc:AlternateContent>
          <mc:Choice Requires="wps">
            <w:drawing>
              <wp:anchor distT="0" distB="0" distL="114300" distR="114300" simplePos="0" relativeHeight="251661312" behindDoc="0" locked="0" layoutInCell="1" allowOverlap="1" wp14:anchorId="2403B3BA" wp14:editId="3D12B9E4">
                <wp:simplePos x="0" y="0"/>
                <wp:positionH relativeFrom="column">
                  <wp:posOffset>3159125</wp:posOffset>
                </wp:positionH>
                <wp:positionV relativeFrom="paragraph">
                  <wp:posOffset>715010</wp:posOffset>
                </wp:positionV>
                <wp:extent cx="1400175" cy="381000"/>
                <wp:effectExtent l="395605" t="6350" r="17780" b="557530"/>
                <wp:wrapNone/>
                <wp:docPr id="7" name="圆角矩形标注 7"/>
                <wp:cNvGraphicFramePr/>
                <a:graphic xmlns:a="http://schemas.openxmlformats.org/drawingml/2006/main">
                  <a:graphicData uri="http://schemas.microsoft.com/office/word/2010/wordprocessingShape">
                    <wps:wsp>
                      <wps:cNvSpPr/>
                      <wps:spPr>
                        <a:xfrm>
                          <a:off x="0" y="0"/>
                          <a:ext cx="1400175" cy="381000"/>
                        </a:xfrm>
                        <a:prstGeom prst="wedgeRoundRectCallout">
                          <a:avLst>
                            <a:gd name="adj1" fmla="val -75255"/>
                            <a:gd name="adj2" fmla="val 187500"/>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FCD7B45" w14:textId="77777777" w:rsidR="007D1E74" w:rsidRDefault="00A95641">
                            <w:pPr>
                              <w:jc w:val="center"/>
                            </w:pPr>
                            <w:r>
                              <w:rPr>
                                <w:rFonts w:hint="eastAsia"/>
                              </w:rPr>
                              <w:t>本项目所在地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2403B3BA"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圆角矩形标注 7" o:spid="_x0000_s1027" type="#_x0000_t62" style="position:absolute;left:0;text-align:left;margin-left:248.75pt;margin-top:56.3pt;width:110.25pt;height:30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" adj="-5455,51300" fillcolor="#5b9bd5 [3204]" strokecolor="#1f4d78 [1604]" strokeweight="1pt">
                <v:textbox>
                  <w:txbxContent>
                    <w:p w14:paraId="6FCD7B45" w14:textId="77777777" w:rsidR="007D1E74" w:rsidRDefault="00A95641">
                      <w:pPr>
                        <w:jc w:val="center"/>
                      </w:pPr>
                      <w:r>
                        <w:rPr>
                          <w:rFonts w:hint="eastAsia"/>
                        </w:rPr>
                        <w:t>本项目所在地</w: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12723912" wp14:editId="430427D4">
                <wp:simplePos x="0" y="0"/>
                <wp:positionH relativeFrom="column">
                  <wp:posOffset>2552700</wp:posOffset>
                </wp:positionH>
                <wp:positionV relativeFrom="paragraph">
                  <wp:posOffset>1373505</wp:posOffset>
                </wp:positionV>
                <wp:extent cx="422275" cy="1644650"/>
                <wp:effectExtent l="0" t="0" r="16510" b="12700"/>
                <wp:wrapNone/>
                <wp:docPr id="13" name="任意多边形 13"/>
                <wp:cNvGraphicFramePr/>
                <a:graphic xmlns:a="http://schemas.openxmlformats.org/drawingml/2006/main">
                  <a:graphicData uri="http://schemas.microsoft.com/office/word/2010/wordprocessingShape">
                    <wps:wsp>
                      <wps:cNvSpPr/>
                      <wps:spPr>
                        <a:xfrm>
                          <a:off x="0" y="0"/>
                          <a:ext cx="422013" cy="1644732"/>
                        </a:xfrm>
                        <a:custGeom>
                          <a:avLst/>
                          <a:gdLst>
                            <a:gd name="connsiteX0" fmla="*/ 422013 w 422013"/>
                            <a:gd name="connsiteY0" fmla="*/ 0 h 1644732"/>
                            <a:gd name="connsiteX1" fmla="*/ 285447 w 422013"/>
                            <a:gd name="connsiteY1" fmla="*/ 17813 h 1644732"/>
                            <a:gd name="connsiteX2" fmla="*/ 273571 w 422013"/>
                            <a:gd name="connsiteY2" fmla="*/ 23750 h 1644732"/>
                            <a:gd name="connsiteX3" fmla="*/ 214195 w 422013"/>
                            <a:gd name="connsiteY3" fmla="*/ 89065 h 1644732"/>
                            <a:gd name="connsiteX4" fmla="*/ 214195 w 422013"/>
                            <a:gd name="connsiteY4" fmla="*/ 195942 h 1644732"/>
                            <a:gd name="connsiteX5" fmla="*/ 184506 w 422013"/>
                            <a:gd name="connsiteY5" fmla="*/ 332509 h 1644732"/>
                            <a:gd name="connsiteX6" fmla="*/ 142943 w 422013"/>
                            <a:gd name="connsiteY6" fmla="*/ 385948 h 1644732"/>
                            <a:gd name="connsiteX7" fmla="*/ 119192 w 422013"/>
                            <a:gd name="connsiteY7" fmla="*/ 427511 h 1644732"/>
                            <a:gd name="connsiteX8" fmla="*/ 101379 w 422013"/>
                            <a:gd name="connsiteY8" fmla="*/ 492826 h 1644732"/>
                            <a:gd name="connsiteX9" fmla="*/ 89504 w 422013"/>
                            <a:gd name="connsiteY9" fmla="*/ 581890 h 1644732"/>
                            <a:gd name="connsiteX10" fmla="*/ 89504 w 422013"/>
                            <a:gd name="connsiteY10" fmla="*/ 629392 h 1644732"/>
                            <a:gd name="connsiteX11" fmla="*/ 131067 w 422013"/>
                            <a:gd name="connsiteY11" fmla="*/ 688768 h 1644732"/>
                            <a:gd name="connsiteX12" fmla="*/ 154818 w 422013"/>
                            <a:gd name="connsiteY12" fmla="*/ 730332 h 1644732"/>
                            <a:gd name="connsiteX13" fmla="*/ 172631 w 422013"/>
                            <a:gd name="connsiteY13" fmla="*/ 789709 h 1644732"/>
                            <a:gd name="connsiteX14" fmla="*/ 160756 w 422013"/>
                            <a:gd name="connsiteY14" fmla="*/ 866898 h 1644732"/>
                            <a:gd name="connsiteX15" fmla="*/ 154818 w 422013"/>
                            <a:gd name="connsiteY15" fmla="*/ 902524 h 1644732"/>
                            <a:gd name="connsiteX16" fmla="*/ 142943 w 422013"/>
                            <a:gd name="connsiteY16" fmla="*/ 932213 h 1644732"/>
                            <a:gd name="connsiteX17" fmla="*/ 119192 w 422013"/>
                            <a:gd name="connsiteY17" fmla="*/ 1009402 h 1644732"/>
                            <a:gd name="connsiteX18" fmla="*/ 113254 w 422013"/>
                            <a:gd name="connsiteY18" fmla="*/ 1056903 h 1644732"/>
                            <a:gd name="connsiteX19" fmla="*/ 101379 w 422013"/>
                            <a:gd name="connsiteY19" fmla="*/ 1116280 h 1644732"/>
                            <a:gd name="connsiteX20" fmla="*/ 101379 w 422013"/>
                            <a:gd name="connsiteY20" fmla="*/ 1134093 h 1644732"/>
                            <a:gd name="connsiteX21" fmla="*/ 101379 w 422013"/>
                            <a:gd name="connsiteY21" fmla="*/ 1175657 h 1644732"/>
                            <a:gd name="connsiteX22" fmla="*/ 89504 w 422013"/>
                            <a:gd name="connsiteY22" fmla="*/ 1217220 h 1644732"/>
                            <a:gd name="connsiteX23" fmla="*/ 53878 w 422013"/>
                            <a:gd name="connsiteY23" fmla="*/ 1282535 h 1644732"/>
                            <a:gd name="connsiteX24" fmla="*/ 24189 w 422013"/>
                            <a:gd name="connsiteY24" fmla="*/ 1353787 h 1644732"/>
                            <a:gd name="connsiteX25" fmla="*/ 24189 w 422013"/>
                            <a:gd name="connsiteY25" fmla="*/ 1377537 h 1644732"/>
                            <a:gd name="connsiteX26" fmla="*/ 12314 w 422013"/>
                            <a:gd name="connsiteY26" fmla="*/ 1466602 h 1644732"/>
                            <a:gd name="connsiteX27" fmla="*/ 6376 w 422013"/>
                            <a:gd name="connsiteY27" fmla="*/ 1490353 h 1644732"/>
                            <a:gd name="connsiteX28" fmla="*/ 439 w 422013"/>
                            <a:gd name="connsiteY28" fmla="*/ 1597231 h 1644732"/>
                            <a:gd name="connsiteX29" fmla="*/ 439 w 422013"/>
                            <a:gd name="connsiteY29" fmla="*/ 1626919 h 1644732"/>
                            <a:gd name="connsiteX30" fmla="*/ 439 w 422013"/>
                            <a:gd name="connsiteY30" fmla="*/ 1644732 h 16447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422013" h="1644732">
                              <a:moveTo>
                                <a:pt x="422013" y="0"/>
                              </a:moveTo>
                              <a:lnTo>
                                <a:pt x="285447" y="17813"/>
                              </a:lnTo>
                              <a:cubicBezTo>
                                <a:pt x="260707" y="21771"/>
                                <a:pt x="285446" y="11875"/>
                                <a:pt x="273571" y="23750"/>
                              </a:cubicBezTo>
                              <a:cubicBezTo>
                                <a:pt x="261696" y="35625"/>
                                <a:pt x="224091" y="60367"/>
                                <a:pt x="214195" y="89065"/>
                              </a:cubicBezTo>
                              <a:cubicBezTo>
                                <a:pt x="204299" y="117763"/>
                                <a:pt x="219143" y="155368"/>
                                <a:pt x="214195" y="195942"/>
                              </a:cubicBezTo>
                              <a:cubicBezTo>
                                <a:pt x="209247" y="236516"/>
                                <a:pt x="196381" y="300841"/>
                                <a:pt x="184506" y="332509"/>
                              </a:cubicBezTo>
                              <a:cubicBezTo>
                                <a:pt x="172631" y="364177"/>
                                <a:pt x="153829" y="370114"/>
                                <a:pt x="142943" y="385948"/>
                              </a:cubicBezTo>
                              <a:cubicBezTo>
                                <a:pt x="132057" y="401782"/>
                                <a:pt x="126119" y="409698"/>
                                <a:pt x="119192" y="427511"/>
                              </a:cubicBezTo>
                              <a:cubicBezTo>
                                <a:pt x="112265" y="445324"/>
                                <a:pt x="106327" y="467096"/>
                                <a:pt x="101379" y="492826"/>
                              </a:cubicBezTo>
                              <a:cubicBezTo>
                                <a:pt x="96431" y="518556"/>
                                <a:pt x="91483" y="559129"/>
                                <a:pt x="89504" y="581890"/>
                              </a:cubicBezTo>
                              <a:cubicBezTo>
                                <a:pt x="87525" y="604651"/>
                                <a:pt x="82577" y="611579"/>
                                <a:pt x="89504" y="629392"/>
                              </a:cubicBezTo>
                              <a:cubicBezTo>
                                <a:pt x="96431" y="647205"/>
                                <a:pt x="120181" y="671945"/>
                                <a:pt x="131067" y="688768"/>
                              </a:cubicBezTo>
                              <a:cubicBezTo>
                                <a:pt x="141953" y="705591"/>
                                <a:pt x="147891" y="713509"/>
                                <a:pt x="154818" y="730332"/>
                              </a:cubicBezTo>
                              <a:cubicBezTo>
                                <a:pt x="161745" y="747155"/>
                                <a:pt x="171641" y="766948"/>
                                <a:pt x="172631" y="789709"/>
                              </a:cubicBezTo>
                              <a:cubicBezTo>
                                <a:pt x="173621" y="812470"/>
                                <a:pt x="163725" y="848096"/>
                                <a:pt x="160756" y="866898"/>
                              </a:cubicBezTo>
                              <a:cubicBezTo>
                                <a:pt x="157787" y="885700"/>
                                <a:pt x="157787" y="891638"/>
                                <a:pt x="154818" y="902524"/>
                              </a:cubicBezTo>
                              <a:cubicBezTo>
                                <a:pt x="151849" y="913410"/>
                                <a:pt x="148881" y="914400"/>
                                <a:pt x="142943" y="932213"/>
                              </a:cubicBezTo>
                              <a:cubicBezTo>
                                <a:pt x="137005" y="950026"/>
                                <a:pt x="124140" y="988620"/>
                                <a:pt x="119192" y="1009402"/>
                              </a:cubicBezTo>
                              <a:cubicBezTo>
                                <a:pt x="114244" y="1030184"/>
                                <a:pt x="116223" y="1039090"/>
                                <a:pt x="113254" y="1056903"/>
                              </a:cubicBezTo>
                              <a:cubicBezTo>
                                <a:pt x="110285" y="1074716"/>
                                <a:pt x="103358" y="1103415"/>
                                <a:pt x="101379" y="1116280"/>
                              </a:cubicBezTo>
                              <a:cubicBezTo>
                                <a:pt x="99400" y="1129145"/>
                                <a:pt x="101379" y="1134093"/>
                                <a:pt x="101379" y="1134093"/>
                              </a:cubicBezTo>
                              <a:cubicBezTo>
                                <a:pt x="101379" y="1143989"/>
                                <a:pt x="103358" y="1161803"/>
                                <a:pt x="101379" y="1175657"/>
                              </a:cubicBezTo>
                              <a:cubicBezTo>
                                <a:pt x="99400" y="1189511"/>
                                <a:pt x="97421" y="1199407"/>
                                <a:pt x="89504" y="1217220"/>
                              </a:cubicBezTo>
                              <a:cubicBezTo>
                                <a:pt x="81587" y="1235033"/>
                                <a:pt x="64764" y="1259774"/>
                                <a:pt x="53878" y="1282535"/>
                              </a:cubicBezTo>
                              <a:cubicBezTo>
                                <a:pt x="42992" y="1305296"/>
                                <a:pt x="29137" y="1337953"/>
                                <a:pt x="24189" y="1353787"/>
                              </a:cubicBezTo>
                              <a:cubicBezTo>
                                <a:pt x="19241" y="1369621"/>
                                <a:pt x="26168" y="1358735"/>
                                <a:pt x="24189" y="1377537"/>
                              </a:cubicBezTo>
                              <a:cubicBezTo>
                                <a:pt x="22210" y="1396339"/>
                                <a:pt x="15283" y="1447799"/>
                                <a:pt x="12314" y="1466602"/>
                              </a:cubicBezTo>
                              <a:cubicBezTo>
                                <a:pt x="9345" y="1485405"/>
                                <a:pt x="8355" y="1468582"/>
                                <a:pt x="6376" y="1490353"/>
                              </a:cubicBezTo>
                              <a:cubicBezTo>
                                <a:pt x="4397" y="1512125"/>
                                <a:pt x="1428" y="1574470"/>
                                <a:pt x="439" y="1597231"/>
                              </a:cubicBezTo>
                              <a:cubicBezTo>
                                <a:pt x="-550" y="1619992"/>
                                <a:pt x="439" y="1626919"/>
                                <a:pt x="439" y="1626919"/>
                              </a:cubicBezTo>
                              <a:lnTo>
                                <a:pt x="439" y="1644732"/>
                              </a:lnTo>
                            </a:path>
                          </a:pathLst>
                        </a:custGeom>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100" style="position:absolute;left:0pt;margin-left:201pt;margin-top:108.15pt;height:129.5pt;width:33.25pt;z-index:251665408;v-text-anchor:middle;mso-width-relative:page;mso-height-relative:page;" filled="f" stroked="t" coordsize="422013,1644732" o:gfxdata="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" path="m422013,0l285447,17813c260707,21771,285446,11875,273571,23750c261696,35625,224091,60367,214195,89065c204299,117763,219143,155368,214195,195942c209247,236516,196381,300841,184506,332509c172631,364177,153829,370114,142943,385948c132057,401782,126119,409698,119192,427511c112265,445324,106327,467096,101379,492826c96431,518556,91483,559129,89504,581890c87525,604651,82577,611579,89504,629392c96431,647205,120181,671945,131067,688768c141953,705591,147891,713509,154818,730332c161745,747155,171641,766948,172631,789709c173621,812470,163725,848096,160756,866898c157787,885700,157787,891638,154818,902524c151849,913410,148881,914400,142943,932213c137005,950026,124140,988620,119192,1009402c114244,1030184,116223,1039090,113254,1056903c110285,1074716,103358,1103415,101379,1116280c99400,1129145,101379,1134093,101379,1134093c101379,1143989,103358,1161803,101379,1175657c99400,1189511,97421,1199407,89504,1217220c81587,1235033,64764,1259774,53878,1282535c42992,1305296,29137,1337953,24189,1353787c19241,1369621,26168,1358735,24189,1377537c22210,1396339,15283,1447799,12314,1466602c9345,1485405,8355,1468582,6376,1490353c4397,1512125,1428,1574470,439,1597231c-550,1619992,439,1626919,439,1626919l439,1644732e">
                <v:path o:connectlocs="422013,0;285447,17813;273571,23750;214195,89065;214195,195942;184506,332509;142943,385948;119192,427511;101379,492826;89504,581890;89504,629392;131067,688768;154818,730332;172631,789709;160756,866898;154818,902524;142943,932213;119192,1009402;113254,1056903;101379,1116280;101379,1134093;101379,1175657;89504,1217220;53878,1282535;24189,1353787;24189,1377537;12314,1466602;6376,1490353;439,1597231;439,1626919;439,1644732" o:connectangles="0,0,0,0,0,0,0,0,0,0,0,0,0,0,0,0,0,0,0,0,0,0,0,0,0,0,0,0,0,0,0"/>
                <v:fill on="f" focussize="0,0"/>
                <v:stroke weight="1.5pt" color="#ED7D31 [3205]" miterlimit="8" joinstyle="miter"/>
                <v:imagedata o:title=""/>
                <o:lock v:ext="edit" aspectratio="f"/>
              </v:shape>
            </w:pict>
          </mc:Fallback>
        </mc:AlternateContent>
      </w:r>
      <w:r>
        <w:rPr>
          <w:noProof/>
        </w:rPr>
        <mc:AlternateContent>
          <mc:Choice Requires="wps">
            <w:drawing>
              <wp:anchor distT="0" distB="0" distL="114300" distR="114300" simplePos="0" relativeHeight="251664384" behindDoc="0" locked="0" layoutInCell="1" allowOverlap="1" wp14:anchorId="1178C403" wp14:editId="61047251">
                <wp:simplePos x="0" y="0"/>
                <wp:positionH relativeFrom="column">
                  <wp:posOffset>2683510</wp:posOffset>
                </wp:positionH>
                <wp:positionV relativeFrom="paragraph">
                  <wp:posOffset>2211070</wp:posOffset>
                </wp:positionV>
                <wp:extent cx="196215" cy="124460"/>
                <wp:effectExtent l="0" t="19050" r="13970" b="27940"/>
                <wp:wrapNone/>
                <wp:docPr id="12" name="任意多边形 12"/>
                <wp:cNvGraphicFramePr/>
                <a:graphic xmlns:a="http://schemas.openxmlformats.org/drawingml/2006/main">
                  <a:graphicData uri="http://schemas.microsoft.com/office/word/2010/wordprocessingShape">
                    <wps:wsp>
                      <wps:cNvSpPr/>
                      <wps:spPr>
                        <a:xfrm>
                          <a:off x="0" y="0"/>
                          <a:ext cx="196040" cy="124691"/>
                        </a:xfrm>
                        <a:custGeom>
                          <a:avLst/>
                          <a:gdLst>
                            <a:gd name="connsiteX0" fmla="*/ 0 w 196040"/>
                            <a:gd name="connsiteY0" fmla="*/ 124691 h 124691"/>
                            <a:gd name="connsiteX1" fmla="*/ 112816 w 196040"/>
                            <a:gd name="connsiteY1" fmla="*/ 0 h 124691"/>
                            <a:gd name="connsiteX2" fmla="*/ 112816 w 196040"/>
                            <a:gd name="connsiteY2" fmla="*/ 0 h 124691"/>
                            <a:gd name="connsiteX3" fmla="*/ 184068 w 196040"/>
                            <a:gd name="connsiteY3" fmla="*/ 23751 h 124691"/>
                            <a:gd name="connsiteX4" fmla="*/ 195943 w 196040"/>
                            <a:gd name="connsiteY4" fmla="*/ 29688 h 124691"/>
                            <a:gd name="connsiteX5" fmla="*/ 195943 w 196040"/>
                            <a:gd name="connsiteY5" fmla="*/ 29688 h 1246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96040" h="124691">
                              <a:moveTo>
                                <a:pt x="0" y="124691"/>
                              </a:moveTo>
                              <a:lnTo>
                                <a:pt x="112816" y="0"/>
                              </a:lnTo>
                              <a:lnTo>
                                <a:pt x="112816" y="0"/>
                              </a:lnTo>
                              <a:lnTo>
                                <a:pt x="184068" y="23751"/>
                              </a:lnTo>
                              <a:cubicBezTo>
                                <a:pt x="197922" y="28699"/>
                                <a:pt x="195943" y="29688"/>
                                <a:pt x="195943" y="29688"/>
                              </a:cubicBezTo>
                              <a:lnTo>
                                <a:pt x="195943" y="29688"/>
                              </a:lnTo>
                            </a:path>
                          </a:pathLst>
                        </a:custGeom>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100" style="position:absolute;left:0pt;margin-left:211.3pt;margin-top:174.1pt;height:9.8pt;width:15.45pt;z-index:251664384;v-text-anchor:middle;mso-width-relative:page;mso-height-relative:page;" filled="f" stroked="t" coordsize="196040,124691" o:gfxdata="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" path="m0,124691l112816,0,112816,0,184068,23751c197922,28699,195943,29688,195943,29688l195943,29688e">
                <v:path o:connectlocs="0,124691;112816,0;112816,0;184068,23751;195943,29688;195943,29688" o:connectangles="0,0,0,0,0,0"/>
                <v:fill on="f" focussize="0,0"/>
                <v:stroke weight="1.5pt" color="#ED7D31 [3205]" miterlimit="8" joinstyle="miter"/>
                <v:imagedata o:title=""/>
                <o:lock v:ext="edit" aspectratio="f"/>
              </v:shape>
            </w:pict>
          </mc:Fallback>
        </mc:AlternateContent>
      </w:r>
      <w:r>
        <w:rPr>
          <w:noProof/>
        </w:rPr>
        <mc:AlternateContent>
          <mc:Choice Requires="wps">
            <w:drawing>
              <wp:anchor distT="0" distB="0" distL="114300" distR="114300" simplePos="0" relativeHeight="251663360" behindDoc="0" locked="0" layoutInCell="1" allowOverlap="1" wp14:anchorId="02A2755B" wp14:editId="2D7CD510">
                <wp:simplePos x="0" y="0"/>
                <wp:positionH relativeFrom="column">
                  <wp:posOffset>2731135</wp:posOffset>
                </wp:positionH>
                <wp:positionV relativeFrom="paragraph">
                  <wp:posOffset>1729740</wp:posOffset>
                </wp:positionV>
                <wp:extent cx="83185" cy="100965"/>
                <wp:effectExtent l="0" t="0" r="12700" b="13970"/>
                <wp:wrapNone/>
                <wp:docPr id="11" name="任意多边形 11"/>
                <wp:cNvGraphicFramePr/>
                <a:graphic xmlns:a="http://schemas.openxmlformats.org/drawingml/2006/main">
                  <a:graphicData uri="http://schemas.microsoft.com/office/word/2010/wordprocessingShape">
                    <wps:wsp>
                      <wps:cNvSpPr/>
                      <wps:spPr>
                        <a:xfrm>
                          <a:off x="0" y="0"/>
                          <a:ext cx="83127" cy="100941"/>
                        </a:xfrm>
                        <a:custGeom>
                          <a:avLst/>
                          <a:gdLst>
                            <a:gd name="connsiteX0" fmla="*/ 0 w 83127"/>
                            <a:gd name="connsiteY0" fmla="*/ 0 h 100941"/>
                            <a:gd name="connsiteX1" fmla="*/ 59376 w 83127"/>
                            <a:gd name="connsiteY1" fmla="*/ 77190 h 100941"/>
                            <a:gd name="connsiteX2" fmla="*/ 59376 w 83127"/>
                            <a:gd name="connsiteY2" fmla="*/ 77190 h 100941"/>
                            <a:gd name="connsiteX3" fmla="*/ 83127 w 83127"/>
                            <a:gd name="connsiteY3" fmla="*/ 100941 h 100941"/>
                          </a:gdLst>
                          <a:ahLst/>
                          <a:cxnLst>
                            <a:cxn ang="0">
                              <a:pos x="connsiteX0" y="connsiteY0"/>
                            </a:cxn>
                            <a:cxn ang="0">
                              <a:pos x="connsiteX1" y="connsiteY1"/>
                            </a:cxn>
                            <a:cxn ang="0">
                              <a:pos x="connsiteX2" y="connsiteY2"/>
                            </a:cxn>
                            <a:cxn ang="0">
                              <a:pos x="connsiteX3" y="connsiteY3"/>
                            </a:cxn>
                          </a:cxnLst>
                          <a:rect l="l" t="t" r="r" b="b"/>
                          <a:pathLst>
                            <a:path w="83127" h="100941">
                              <a:moveTo>
                                <a:pt x="0" y="0"/>
                              </a:moveTo>
                              <a:lnTo>
                                <a:pt x="59376" y="77190"/>
                              </a:lnTo>
                              <a:lnTo>
                                <a:pt x="59376" y="77190"/>
                              </a:lnTo>
                              <a:lnTo>
                                <a:pt x="83127" y="100941"/>
                              </a:lnTo>
                            </a:path>
                          </a:pathLst>
                        </a:custGeom>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100" style="position:absolute;left:0pt;margin-left:215.05pt;margin-top:136.2pt;height:7.95pt;width:6.55pt;z-index:251663360;v-text-anchor:middle;mso-width-relative:page;mso-height-relative:page;" filled="f" stroked="t" coordsize="83127,100941" o:gfxdata="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" path="m0,0l59376,77190,59376,77190,83127,100941e">
                <v:path o:connectlocs="0,0;59376,77190;59376,77190;83127,100941" o:connectangles="0,0,0,0"/>
                <v:fill on="f" focussize="0,0"/>
                <v:stroke weight="1.5pt" color="#ED7D31 [3205]" miterlimit="8" joinstyle="miter"/>
                <v:imagedata o:title=""/>
                <o:lock v:ext="edit" aspectratio="f"/>
              </v:shape>
            </w:pict>
          </mc:Fallback>
        </mc:AlternateContent>
      </w:r>
      <w:r>
        <w:rPr>
          <w:noProof/>
        </w:rPr>
        <mc:AlternateContent>
          <mc:Choice Requires="wps">
            <w:drawing>
              <wp:anchor distT="0" distB="0" distL="114300" distR="114300" simplePos="0" relativeHeight="251662336" behindDoc="0" locked="0" layoutInCell="1" allowOverlap="1" wp14:anchorId="290698B7" wp14:editId="7D1D5D0C">
                <wp:simplePos x="0" y="0"/>
                <wp:positionH relativeFrom="column">
                  <wp:posOffset>2724785</wp:posOffset>
                </wp:positionH>
                <wp:positionV relativeFrom="paragraph">
                  <wp:posOffset>1361440</wp:posOffset>
                </wp:positionV>
                <wp:extent cx="53340" cy="97155"/>
                <wp:effectExtent l="0" t="0" r="22860" b="17145"/>
                <wp:wrapNone/>
                <wp:docPr id="10" name="任意多边形 10"/>
                <wp:cNvGraphicFramePr/>
                <a:graphic xmlns:a="http://schemas.openxmlformats.org/drawingml/2006/main">
                  <a:graphicData uri="http://schemas.microsoft.com/office/word/2010/wordprocessingShape">
                    <wps:wsp>
                      <wps:cNvSpPr/>
                      <wps:spPr>
                        <a:xfrm>
                          <a:off x="0" y="0"/>
                          <a:ext cx="53439" cy="97288"/>
                        </a:xfrm>
                        <a:custGeom>
                          <a:avLst/>
                          <a:gdLst>
                            <a:gd name="connsiteX0" fmla="*/ 0 w 53439"/>
                            <a:gd name="connsiteY0" fmla="*/ 0 h 97288"/>
                            <a:gd name="connsiteX1" fmla="*/ 23751 w 53439"/>
                            <a:gd name="connsiteY1" fmla="*/ 71252 h 97288"/>
                            <a:gd name="connsiteX2" fmla="*/ 41564 w 53439"/>
                            <a:gd name="connsiteY2" fmla="*/ 95003 h 97288"/>
                            <a:gd name="connsiteX3" fmla="*/ 53439 w 53439"/>
                            <a:gd name="connsiteY3" fmla="*/ 95003 h 97288"/>
                          </a:gdLst>
                          <a:ahLst/>
                          <a:cxnLst>
                            <a:cxn ang="0">
                              <a:pos x="connsiteX0" y="connsiteY0"/>
                            </a:cxn>
                            <a:cxn ang="0">
                              <a:pos x="connsiteX1" y="connsiteY1"/>
                            </a:cxn>
                            <a:cxn ang="0">
                              <a:pos x="connsiteX2" y="connsiteY2"/>
                            </a:cxn>
                            <a:cxn ang="0">
                              <a:pos x="connsiteX3" y="connsiteY3"/>
                            </a:cxn>
                          </a:cxnLst>
                          <a:rect l="l" t="t" r="r" b="b"/>
                          <a:pathLst>
                            <a:path w="53439" h="97288">
                              <a:moveTo>
                                <a:pt x="0" y="0"/>
                              </a:moveTo>
                              <a:cubicBezTo>
                                <a:pt x="8412" y="27709"/>
                                <a:pt x="16824" y="55418"/>
                                <a:pt x="23751" y="71252"/>
                              </a:cubicBezTo>
                              <a:cubicBezTo>
                                <a:pt x="30678" y="87086"/>
                                <a:pt x="36616" y="91045"/>
                                <a:pt x="41564" y="95003"/>
                              </a:cubicBezTo>
                              <a:cubicBezTo>
                                <a:pt x="46512" y="98961"/>
                                <a:pt x="49975" y="96982"/>
                                <a:pt x="53439" y="95003"/>
                              </a:cubicBezTo>
                            </a:path>
                          </a:pathLst>
                        </a:custGeom>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100" style="position:absolute;left:0pt;margin-left:214.55pt;margin-top:107.2pt;height:7.65pt;width:4.2pt;z-index:251662336;v-text-anchor:middle;mso-width-relative:page;mso-height-relative:page;" filled="f" stroked="t" coordsize="53439,97288" o:gfxdata="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" path="m0,0c8412,27709,16824,55418,23751,71252c30678,87086,36616,91045,41564,95003c46512,98961,49975,96982,53439,95003e">
                <v:path o:connectlocs="0,0;23751,71252;41564,95003;53439,95003" o:connectangles="0,0,0,0"/>
                <v:fill on="f" focussize="0,0"/>
                <v:stroke weight="1.5pt" color="#ED7D31 [3205]" miterlimit="8" joinstyle="miter"/>
                <v:imagedata o:title=""/>
                <o:lock v:ext="edit" aspectratio="f"/>
              </v:shape>
            </w:pict>
          </mc:Fallback>
        </mc:AlternateContent>
      </w:r>
      <w:r>
        <w:rPr>
          <w:noProof/>
        </w:rPr>
        <w:drawing>
          <wp:inline distT="0" distB="0" distL="0" distR="0" wp14:anchorId="6A879AE1" wp14:editId="6F4D9DF3">
            <wp:extent cx="5486400" cy="3673475"/>
            <wp:effectExtent l="0" t="0" r="0" b="317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5"/>
                    <a:stretch>
                      <a:fillRect/>
                    </a:stretch>
                  </pic:blipFill>
                  <pic:spPr>
                    <a:xfrm>
                      <a:off x="0" y="0"/>
                      <a:ext cx="5486400" cy="3673475"/>
                    </a:xfrm>
                    <a:prstGeom prst="rect">
                      <a:avLst/>
                    </a:prstGeom>
                  </pic:spPr>
                </pic:pic>
              </a:graphicData>
            </a:graphic>
          </wp:inline>
        </w:drawing>
      </w:r>
    </w:p>
    <w:p w14:paraId="3535FC0D" w14:textId="77777777" w:rsidR="007D1E74" w:rsidRDefault="00A95641">
      <w:pPr>
        <w:spacing w:before="43" w:after="21"/>
        <w:ind w:right="156"/>
        <w:jc w:val="center"/>
        <w:rPr>
          <w:rFonts w:eastAsia="黑体" w:cs="Times New Roman"/>
        </w:rPr>
      </w:pPr>
      <w:r>
        <w:rPr>
          <w:rFonts w:eastAsia="黑体" w:cs="Times New Roman" w:hint="eastAsia"/>
        </w:rPr>
        <w:t>图</w:t>
      </w:r>
      <w:r>
        <w:rPr>
          <w:rFonts w:eastAsia="黑体" w:cs="Times New Roman" w:hint="eastAsia"/>
        </w:rPr>
        <w:t xml:space="preserve">2.3-2 </w:t>
      </w:r>
      <w:r>
        <w:rPr>
          <w:rFonts w:eastAsia="黑体" w:cs="Times New Roman" w:hint="eastAsia"/>
        </w:rPr>
        <w:t>三线一单数据分析体系截图</w:t>
      </w:r>
    </w:p>
    <w:p w14:paraId="731359FC" w14:textId="77777777" w:rsidR="007D1E74" w:rsidRDefault="00A95641">
      <w:pPr>
        <w:pStyle w:val="a9"/>
      </w:pPr>
      <w:r>
        <w:t>环境功能区划</w:t>
      </w:r>
    </w:p>
    <w:p w14:paraId="486FFB87" w14:textId="77777777" w:rsidR="007D1E74" w:rsidRDefault="00A95641">
      <w:pPr>
        <w:pStyle w:val="aa"/>
      </w:pPr>
      <w:r>
        <w:t>地表水环境功能区划</w:t>
      </w:r>
    </w:p>
    <w:p w14:paraId="0B1141F0" w14:textId="77777777" w:rsidR="007D1E74" w:rsidRDefault="00A95641">
      <w:pPr>
        <w:spacing w:line="360" w:lineRule="auto"/>
        <w:ind w:firstLineChars="200" w:firstLine="480"/>
        <w:rPr>
          <w:sz w:val="24"/>
        </w:rPr>
      </w:pPr>
      <w:r>
        <w:rPr>
          <w:rFonts w:cs="Times New Roman"/>
          <w:kern w:val="0"/>
          <w:sz w:val="24"/>
        </w:rPr>
        <w:t>本项目穿越</w:t>
      </w:r>
      <w:r>
        <w:rPr>
          <w:rFonts w:cs="Times New Roman" w:hint="eastAsia"/>
          <w:kern w:val="0"/>
          <w:sz w:val="24"/>
        </w:rPr>
        <w:t>小型沟渠和小通江</w:t>
      </w:r>
      <w:r>
        <w:rPr>
          <w:rFonts w:cs="Times New Roman"/>
          <w:kern w:val="0"/>
          <w:sz w:val="24"/>
        </w:rPr>
        <w:t>，其功能为泄洪、农业灌溉用水。根据《四川省水功能区划》，</w:t>
      </w:r>
      <w:r>
        <w:rPr>
          <w:rFonts w:cs="Times New Roman"/>
          <w:sz w:val="24"/>
          <w:lang w:val="en-GB"/>
        </w:rPr>
        <w:t>本项目评价区域内水环境功能为</w:t>
      </w:r>
      <w:r>
        <w:rPr>
          <w:rFonts w:cs="Times New Roman"/>
          <w:sz w:val="24"/>
          <w:lang w:val="en-GB"/>
        </w:rPr>
        <w:t>III</w:t>
      </w:r>
      <w:r>
        <w:rPr>
          <w:rFonts w:cs="Times New Roman"/>
          <w:sz w:val="24"/>
          <w:lang w:val="en-GB"/>
        </w:rPr>
        <w:t>类地表水环境功能区，水体功能为饮用、灌溉、泄洪等，属渠江水系。</w:t>
      </w:r>
    </w:p>
    <w:p w14:paraId="301B4A23" w14:textId="77777777" w:rsidR="007D1E74" w:rsidRDefault="00A95641">
      <w:pPr>
        <w:pStyle w:val="aa"/>
      </w:pPr>
      <w:r>
        <w:t>环境空气功能区划</w:t>
      </w:r>
    </w:p>
    <w:p w14:paraId="21F7F22A" w14:textId="77777777" w:rsidR="007D1E74" w:rsidRDefault="00A95641">
      <w:pPr>
        <w:spacing w:line="360" w:lineRule="auto"/>
        <w:ind w:firstLineChars="200" w:firstLine="480"/>
        <w:rPr>
          <w:sz w:val="24"/>
        </w:rPr>
      </w:pPr>
      <w:r>
        <w:rPr>
          <w:rFonts w:cs="Times New Roman"/>
          <w:sz w:val="24"/>
        </w:rPr>
        <w:t>项目所在地环境空气属于二类空气环境功能区，执行《环境空气质量标准》（</w:t>
      </w:r>
      <w:r>
        <w:rPr>
          <w:rFonts w:cs="Times New Roman"/>
          <w:spacing w:val="10"/>
          <w:sz w:val="24"/>
        </w:rPr>
        <w:t>GB3095-2012</w:t>
      </w:r>
      <w:r>
        <w:rPr>
          <w:rFonts w:cs="Times New Roman"/>
          <w:sz w:val="24"/>
        </w:rPr>
        <w:t>）中的二类标准。</w:t>
      </w:r>
    </w:p>
    <w:p w14:paraId="4011F9BE" w14:textId="77777777" w:rsidR="007D1E74" w:rsidRDefault="00A95641">
      <w:pPr>
        <w:pStyle w:val="aa"/>
      </w:pPr>
      <w:r>
        <w:t>声环境功能区划</w:t>
      </w:r>
    </w:p>
    <w:p w14:paraId="0CA6C89D" w14:textId="77777777" w:rsidR="007D1E74" w:rsidRDefault="00A95641">
      <w:pPr>
        <w:spacing w:line="360" w:lineRule="auto"/>
        <w:ind w:firstLineChars="200" w:firstLine="480"/>
        <w:rPr>
          <w:sz w:val="24"/>
        </w:rPr>
      </w:pPr>
      <w:r>
        <w:rPr>
          <w:rFonts w:cs="Times New Roman"/>
          <w:sz w:val="24"/>
        </w:rPr>
        <w:t>本项目沿线为农村地区，管道沿线村庄属于</w:t>
      </w:r>
      <w:r>
        <w:rPr>
          <w:rFonts w:cs="Times New Roman" w:hint="eastAsia"/>
          <w:sz w:val="24"/>
        </w:rPr>
        <w:t>1</w:t>
      </w:r>
      <w:r>
        <w:rPr>
          <w:rFonts w:cs="Times New Roman"/>
          <w:sz w:val="24"/>
        </w:rPr>
        <w:t>类声环境功能区。</w:t>
      </w:r>
    </w:p>
    <w:p w14:paraId="756AF9A9" w14:textId="77777777" w:rsidR="007D1E74" w:rsidRDefault="00A95641">
      <w:pPr>
        <w:pStyle w:val="aa"/>
      </w:pPr>
      <w:r>
        <w:t>地下水环境</w:t>
      </w:r>
    </w:p>
    <w:p w14:paraId="23F8C54D" w14:textId="77777777" w:rsidR="007D1E74" w:rsidRDefault="00A95641">
      <w:pPr>
        <w:spacing w:line="360" w:lineRule="auto"/>
        <w:ind w:firstLineChars="200" w:firstLine="480"/>
        <w:rPr>
          <w:sz w:val="24"/>
        </w:rPr>
      </w:pPr>
      <w:r>
        <w:rPr>
          <w:rFonts w:cs="Times New Roman"/>
          <w:sz w:val="24"/>
        </w:rPr>
        <w:t>本项目沿线区域属《地下水质量标准》（</w:t>
      </w:r>
      <w:r>
        <w:rPr>
          <w:rFonts w:cs="Times New Roman"/>
          <w:sz w:val="24"/>
        </w:rPr>
        <w:t>GB/T14848-2017</w:t>
      </w:r>
      <w:r>
        <w:rPr>
          <w:rFonts w:cs="Times New Roman"/>
          <w:sz w:val="24"/>
        </w:rPr>
        <w:t>）</w:t>
      </w:r>
      <w:r>
        <w:rPr>
          <w:rFonts w:cs="Times New Roman"/>
          <w:sz w:val="24"/>
        </w:rPr>
        <w:t>III</w:t>
      </w:r>
      <w:r>
        <w:rPr>
          <w:rFonts w:cs="Times New Roman"/>
          <w:sz w:val="24"/>
        </w:rPr>
        <w:t>类地下水功能区。</w:t>
      </w:r>
    </w:p>
    <w:p w14:paraId="19B5ED06" w14:textId="77777777" w:rsidR="007D1E74" w:rsidRDefault="00A95641">
      <w:pPr>
        <w:pStyle w:val="aa"/>
      </w:pPr>
      <w:r>
        <w:t>土壤环境</w:t>
      </w:r>
    </w:p>
    <w:p w14:paraId="7352AEAE" w14:textId="77777777" w:rsidR="007D1E74" w:rsidRDefault="00A95641">
      <w:pPr>
        <w:spacing w:line="360" w:lineRule="auto"/>
        <w:ind w:firstLineChars="200" w:firstLine="480"/>
        <w:rPr>
          <w:sz w:val="24"/>
        </w:rPr>
      </w:pPr>
      <w:r>
        <w:rPr>
          <w:rFonts w:cs="Times New Roman"/>
          <w:sz w:val="24"/>
        </w:rPr>
        <w:t>本项目沿线区域为农村地区，</w:t>
      </w:r>
      <w:r>
        <w:rPr>
          <w:rFonts w:cs="Times New Roman" w:hint="eastAsia"/>
          <w:sz w:val="24"/>
        </w:rPr>
        <w:t>阀组</w:t>
      </w:r>
      <w:r>
        <w:rPr>
          <w:rFonts w:cs="Times New Roman"/>
          <w:sz w:val="24"/>
        </w:rPr>
        <w:t>占地范围内执行《土壤环境质量</w:t>
      </w:r>
      <w:r>
        <w:rPr>
          <w:rFonts w:cs="Times New Roman" w:hint="eastAsia"/>
          <w:sz w:val="24"/>
        </w:rPr>
        <w:t xml:space="preserve"> </w:t>
      </w:r>
      <w:r>
        <w:rPr>
          <w:rFonts w:cs="Times New Roman"/>
          <w:sz w:val="24"/>
        </w:rPr>
        <w:t>建设用地土壤污染风险管控标准（试行）》（</w:t>
      </w:r>
      <w:r>
        <w:rPr>
          <w:rFonts w:cs="Times New Roman"/>
          <w:sz w:val="24"/>
        </w:rPr>
        <w:t>GB36600-2018</w:t>
      </w:r>
      <w:r>
        <w:rPr>
          <w:rFonts w:cs="Times New Roman"/>
          <w:sz w:val="24"/>
        </w:rPr>
        <w:t>）中第二类用地标准；管道占地范围执行《土壤环境质量</w:t>
      </w:r>
      <w:r>
        <w:rPr>
          <w:rFonts w:cs="Times New Roman" w:hint="eastAsia"/>
          <w:sz w:val="24"/>
        </w:rPr>
        <w:t xml:space="preserve"> </w:t>
      </w:r>
      <w:r>
        <w:rPr>
          <w:rFonts w:cs="Times New Roman"/>
          <w:sz w:val="24"/>
        </w:rPr>
        <w:t>农用地土壤污染风险管控标准（试行）》（</w:t>
      </w:r>
      <w:r>
        <w:rPr>
          <w:rFonts w:cs="Times New Roman"/>
          <w:sz w:val="24"/>
        </w:rPr>
        <w:t>GB15618-2018</w:t>
      </w:r>
      <w:r>
        <w:rPr>
          <w:rFonts w:cs="Times New Roman"/>
          <w:sz w:val="24"/>
        </w:rPr>
        <w:t>）标准。</w:t>
      </w:r>
    </w:p>
    <w:p w14:paraId="46044F8F" w14:textId="77777777" w:rsidR="007D1E74" w:rsidRDefault="00A95641">
      <w:pPr>
        <w:pStyle w:val="aa"/>
      </w:pPr>
      <w:r>
        <w:lastRenderedPageBreak/>
        <w:t>生态环境</w:t>
      </w:r>
    </w:p>
    <w:p w14:paraId="2E6CEEA7" w14:textId="77777777" w:rsidR="007D1E74" w:rsidRDefault="00A95641">
      <w:pPr>
        <w:spacing w:line="360" w:lineRule="auto"/>
        <w:ind w:firstLineChars="200" w:firstLine="480"/>
        <w:rPr>
          <w:sz w:val="24"/>
        </w:rPr>
      </w:pPr>
      <w:r>
        <w:rPr>
          <w:rFonts w:cs="Times New Roman"/>
          <w:sz w:val="24"/>
        </w:rPr>
        <w:t>生态环境按照相关技术导则、规范要求作为评价准则，土壤侵蚀标准执行《土壤侵蚀分类分级标准》（</w:t>
      </w:r>
      <w:r>
        <w:rPr>
          <w:rFonts w:cs="Times New Roman"/>
          <w:sz w:val="24"/>
        </w:rPr>
        <w:t>SL 190-2007</w:t>
      </w:r>
      <w:r>
        <w:rPr>
          <w:rFonts w:cs="Times New Roman"/>
          <w:sz w:val="24"/>
        </w:rPr>
        <w:t>）。</w:t>
      </w:r>
    </w:p>
    <w:p w14:paraId="240C3E02" w14:textId="77777777" w:rsidR="007D1E74" w:rsidRDefault="00A95641">
      <w:pPr>
        <w:pStyle w:val="a8"/>
      </w:pPr>
      <w:r>
        <w:rPr>
          <w:rFonts w:hint="eastAsia"/>
        </w:rPr>
        <w:t>环境影响因素识别和评价因子筛选</w:t>
      </w:r>
    </w:p>
    <w:p w14:paraId="04B39531" w14:textId="77777777" w:rsidR="007D1E74" w:rsidRDefault="00A95641">
      <w:pPr>
        <w:pStyle w:val="a9"/>
      </w:pPr>
      <w:r>
        <w:rPr>
          <w:rFonts w:hint="eastAsia"/>
        </w:rPr>
        <w:t>环境影响因素识别</w:t>
      </w:r>
    </w:p>
    <w:p w14:paraId="786F30B2" w14:textId="77777777" w:rsidR="007D1E74" w:rsidRDefault="00A95641">
      <w:pPr>
        <w:spacing w:line="360" w:lineRule="auto"/>
        <w:ind w:firstLineChars="200" w:firstLine="480"/>
        <w:rPr>
          <w:sz w:val="24"/>
          <w:szCs w:val="24"/>
        </w:rPr>
      </w:pPr>
      <w:r>
        <w:rPr>
          <w:rFonts w:hint="eastAsia"/>
          <w:sz w:val="24"/>
          <w:szCs w:val="24"/>
        </w:rPr>
        <w:t>本工程为非污染生态影响型建设工程，主要就工程施工期及运行期对区域生态环境及其他环境要素所造成的影响进行识别。</w:t>
      </w:r>
    </w:p>
    <w:p w14:paraId="5CAC09D5" w14:textId="77777777" w:rsidR="007D1E74" w:rsidRDefault="00A95641">
      <w:pPr>
        <w:pStyle w:val="aa"/>
      </w:pPr>
      <w:r>
        <w:rPr>
          <w:rFonts w:hint="eastAsia"/>
        </w:rPr>
        <w:t>生态环境影响</w:t>
      </w:r>
    </w:p>
    <w:p w14:paraId="4F02233E" w14:textId="77777777" w:rsidR="007D1E74" w:rsidRDefault="00A95641">
      <w:pPr>
        <w:spacing w:line="360" w:lineRule="auto"/>
        <w:ind w:firstLineChars="200" w:firstLine="480"/>
        <w:rPr>
          <w:sz w:val="24"/>
          <w:szCs w:val="24"/>
        </w:rPr>
      </w:pPr>
      <w:r>
        <w:rPr>
          <w:rFonts w:hint="eastAsia"/>
          <w:sz w:val="24"/>
          <w:szCs w:val="24"/>
        </w:rPr>
        <w:t>1</w:t>
      </w:r>
      <w:r>
        <w:rPr>
          <w:rFonts w:hint="eastAsia"/>
          <w:sz w:val="24"/>
          <w:szCs w:val="24"/>
        </w:rPr>
        <w:t>、施工期</w:t>
      </w:r>
    </w:p>
    <w:p w14:paraId="200EECD3"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w:t>
      </w:r>
      <w:r>
        <w:rPr>
          <w:rFonts w:hint="eastAsia"/>
          <w:sz w:val="24"/>
          <w:szCs w:val="24"/>
        </w:rPr>
        <w:t>）线路定线、管道敷设、管道安装与检验、管道试压与吹扫、线路附属工程、管道防腐、水工保护、通信光缆等临时施工占地对动植物资源、地表植被、土地性质及用途、景观格局等产生影响；</w:t>
      </w:r>
    </w:p>
    <w:p w14:paraId="77A01252"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2</w:t>
      </w:r>
      <w:r>
        <w:rPr>
          <w:rFonts w:hint="eastAsia"/>
          <w:sz w:val="24"/>
          <w:szCs w:val="24"/>
        </w:rPr>
        <w:t>）建材、建渣的运输、堆放、粉尘、噪音、废水对生态环境及动植物资源产生影响。</w:t>
      </w:r>
    </w:p>
    <w:p w14:paraId="52EBD26B" w14:textId="77777777" w:rsidR="007D1E74" w:rsidRDefault="00A95641">
      <w:pPr>
        <w:spacing w:line="360" w:lineRule="auto"/>
        <w:ind w:firstLineChars="200" w:firstLine="480"/>
        <w:rPr>
          <w:sz w:val="24"/>
          <w:szCs w:val="24"/>
        </w:rPr>
      </w:pPr>
      <w:r>
        <w:rPr>
          <w:rFonts w:hint="eastAsia"/>
          <w:sz w:val="24"/>
          <w:szCs w:val="24"/>
        </w:rPr>
        <w:t>2</w:t>
      </w:r>
      <w:r>
        <w:rPr>
          <w:rFonts w:hint="eastAsia"/>
          <w:sz w:val="24"/>
          <w:szCs w:val="24"/>
        </w:rPr>
        <w:t>、运营期</w:t>
      </w:r>
    </w:p>
    <w:p w14:paraId="3BF42BD0" w14:textId="77777777" w:rsidR="007D1E74" w:rsidRDefault="00A95641">
      <w:pPr>
        <w:spacing w:line="360" w:lineRule="auto"/>
        <w:ind w:firstLineChars="200" w:firstLine="480"/>
        <w:rPr>
          <w:sz w:val="24"/>
          <w:szCs w:val="24"/>
        </w:rPr>
      </w:pPr>
      <w:r>
        <w:rPr>
          <w:rFonts w:hint="eastAsia"/>
          <w:sz w:val="24"/>
          <w:szCs w:val="24"/>
        </w:rPr>
        <w:t>本项目运营期主要生态影响因素如下：</w:t>
      </w:r>
    </w:p>
    <w:p w14:paraId="21419558"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w:t>
      </w:r>
      <w:r>
        <w:rPr>
          <w:rFonts w:hint="eastAsia"/>
          <w:sz w:val="24"/>
          <w:szCs w:val="24"/>
        </w:rPr>
        <w:t>）输气管道运行和维护对区域环境及动植物资源产生影响；</w:t>
      </w:r>
    </w:p>
    <w:p w14:paraId="6C0B0F15"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2</w:t>
      </w:r>
      <w:r>
        <w:rPr>
          <w:rFonts w:hint="eastAsia"/>
          <w:sz w:val="24"/>
          <w:szCs w:val="24"/>
        </w:rPr>
        <w:t>）输气管道运营风险事故对区域环境及动植物资源产生的潜在威胁。</w:t>
      </w:r>
    </w:p>
    <w:p w14:paraId="7F4E88B8" w14:textId="77777777" w:rsidR="007D1E74" w:rsidRDefault="00A95641">
      <w:pPr>
        <w:pStyle w:val="aa"/>
      </w:pPr>
      <w:r>
        <w:rPr>
          <w:rFonts w:hint="eastAsia"/>
        </w:rPr>
        <w:t>大气环境影响</w:t>
      </w:r>
    </w:p>
    <w:p w14:paraId="02DFF0DC" w14:textId="77777777" w:rsidR="007D1E74" w:rsidRDefault="00A95641">
      <w:pPr>
        <w:spacing w:line="360" w:lineRule="auto"/>
        <w:ind w:firstLineChars="200" w:firstLine="480"/>
        <w:rPr>
          <w:sz w:val="24"/>
          <w:szCs w:val="24"/>
        </w:rPr>
      </w:pPr>
      <w:r>
        <w:rPr>
          <w:rFonts w:hint="eastAsia"/>
          <w:sz w:val="24"/>
          <w:szCs w:val="24"/>
        </w:rPr>
        <w:t>大气环境影响表征为：</w:t>
      </w:r>
    </w:p>
    <w:p w14:paraId="6427DEB1"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w:t>
      </w:r>
      <w:r>
        <w:rPr>
          <w:rFonts w:hint="eastAsia"/>
          <w:sz w:val="24"/>
          <w:szCs w:val="24"/>
        </w:rPr>
        <w:t>）施工机械排放的废气对大气环境造成的影响；</w:t>
      </w:r>
    </w:p>
    <w:p w14:paraId="68972409"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2</w:t>
      </w:r>
      <w:r>
        <w:rPr>
          <w:rFonts w:hint="eastAsia"/>
          <w:sz w:val="24"/>
          <w:szCs w:val="24"/>
        </w:rPr>
        <w:t>）施工产生的扬尘对大气环境造成的影响；</w:t>
      </w:r>
    </w:p>
    <w:p w14:paraId="094E6828"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3</w:t>
      </w:r>
      <w:r>
        <w:rPr>
          <w:rFonts w:hint="eastAsia"/>
          <w:sz w:val="24"/>
          <w:szCs w:val="24"/>
        </w:rPr>
        <w:t>）营运期事故放散废气。</w:t>
      </w:r>
    </w:p>
    <w:p w14:paraId="1FFE75D0" w14:textId="77777777" w:rsidR="007D1E74" w:rsidRDefault="00A95641">
      <w:pPr>
        <w:pStyle w:val="aa"/>
      </w:pPr>
      <w:r>
        <w:rPr>
          <w:rFonts w:hint="eastAsia"/>
        </w:rPr>
        <w:t>地表水环境影响</w:t>
      </w:r>
    </w:p>
    <w:p w14:paraId="7FFA77A3" w14:textId="77777777" w:rsidR="007D1E74" w:rsidRDefault="00A95641">
      <w:pPr>
        <w:spacing w:line="360" w:lineRule="auto"/>
        <w:ind w:firstLineChars="200" w:firstLine="480"/>
        <w:rPr>
          <w:sz w:val="24"/>
          <w:szCs w:val="24"/>
        </w:rPr>
      </w:pPr>
      <w:r>
        <w:rPr>
          <w:rFonts w:hint="eastAsia"/>
          <w:sz w:val="24"/>
          <w:szCs w:val="24"/>
        </w:rPr>
        <w:t>地表水环境影响表征为：</w:t>
      </w:r>
    </w:p>
    <w:p w14:paraId="46CCA891"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w:t>
      </w:r>
      <w:r>
        <w:rPr>
          <w:rFonts w:hint="eastAsia"/>
          <w:sz w:val="24"/>
          <w:szCs w:val="24"/>
        </w:rPr>
        <w:t>）施工废水排放对地表水环境的影响；</w:t>
      </w:r>
    </w:p>
    <w:p w14:paraId="346BA25C"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2</w:t>
      </w:r>
      <w:r>
        <w:rPr>
          <w:rFonts w:hint="eastAsia"/>
          <w:sz w:val="24"/>
          <w:szCs w:val="24"/>
        </w:rPr>
        <w:t>）施工人员产生的生活污水排放对地表水环境的影响。</w:t>
      </w:r>
    </w:p>
    <w:p w14:paraId="20407B8A" w14:textId="77777777" w:rsidR="007D1E74" w:rsidRDefault="00A95641">
      <w:pPr>
        <w:pStyle w:val="aa"/>
      </w:pPr>
      <w:r>
        <w:rPr>
          <w:rFonts w:hint="eastAsia"/>
        </w:rPr>
        <w:t>地下水环境影响</w:t>
      </w:r>
    </w:p>
    <w:p w14:paraId="64D027FC" w14:textId="77777777" w:rsidR="007D1E74" w:rsidRDefault="00A95641">
      <w:pPr>
        <w:spacing w:line="360" w:lineRule="auto"/>
        <w:ind w:firstLineChars="200" w:firstLine="480"/>
        <w:rPr>
          <w:sz w:val="24"/>
          <w:szCs w:val="24"/>
        </w:rPr>
      </w:pPr>
      <w:r>
        <w:rPr>
          <w:rFonts w:hint="eastAsia"/>
          <w:sz w:val="24"/>
          <w:szCs w:val="24"/>
        </w:rPr>
        <w:t>地下水环境影响表征为：</w:t>
      </w:r>
    </w:p>
    <w:p w14:paraId="209AD9FF" w14:textId="77777777" w:rsidR="007D1E74" w:rsidRDefault="00A95641">
      <w:pPr>
        <w:spacing w:line="360" w:lineRule="auto"/>
        <w:ind w:firstLineChars="200" w:firstLine="480"/>
        <w:rPr>
          <w:sz w:val="24"/>
          <w:szCs w:val="24"/>
        </w:rPr>
      </w:pPr>
      <w:r>
        <w:rPr>
          <w:rFonts w:hint="eastAsia"/>
          <w:sz w:val="24"/>
          <w:szCs w:val="24"/>
        </w:rPr>
        <w:lastRenderedPageBreak/>
        <w:t>施工废水及施工生活废水处理不当外排，废水下渗对局部区域地下水水质造成影响。</w:t>
      </w:r>
    </w:p>
    <w:p w14:paraId="6FA9D13E" w14:textId="77777777" w:rsidR="007D1E74" w:rsidRDefault="00A95641">
      <w:pPr>
        <w:pStyle w:val="aa"/>
      </w:pPr>
      <w:r>
        <w:rPr>
          <w:rFonts w:hint="eastAsia"/>
        </w:rPr>
        <w:t>声环境影响</w:t>
      </w:r>
    </w:p>
    <w:p w14:paraId="60CD2DE9" w14:textId="77777777" w:rsidR="007D1E74" w:rsidRDefault="00A95641">
      <w:pPr>
        <w:spacing w:line="360" w:lineRule="auto"/>
        <w:ind w:firstLineChars="200" w:firstLine="480"/>
        <w:rPr>
          <w:sz w:val="24"/>
          <w:szCs w:val="24"/>
        </w:rPr>
      </w:pPr>
      <w:r>
        <w:rPr>
          <w:rFonts w:hint="eastAsia"/>
          <w:sz w:val="24"/>
          <w:szCs w:val="24"/>
        </w:rPr>
        <w:t>声环境影响表征为：</w:t>
      </w:r>
    </w:p>
    <w:p w14:paraId="3A671D2F"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w:t>
      </w:r>
      <w:r>
        <w:rPr>
          <w:rFonts w:hint="eastAsia"/>
          <w:sz w:val="24"/>
          <w:szCs w:val="24"/>
        </w:rPr>
        <w:t>）施工期施工机械产生的机械噪声对周围声环境及声环境敏感点的影响；</w:t>
      </w:r>
    </w:p>
    <w:p w14:paraId="20D7703D"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2</w:t>
      </w:r>
      <w:r>
        <w:rPr>
          <w:rFonts w:hint="eastAsia"/>
          <w:sz w:val="24"/>
          <w:szCs w:val="24"/>
        </w:rPr>
        <w:t>）营运期事故状态设备运行噪声。</w:t>
      </w:r>
    </w:p>
    <w:p w14:paraId="03F997AD" w14:textId="77777777" w:rsidR="007D1E74" w:rsidRDefault="00A95641">
      <w:pPr>
        <w:pStyle w:val="aa"/>
      </w:pPr>
      <w:r>
        <w:rPr>
          <w:rFonts w:hint="eastAsia"/>
        </w:rPr>
        <w:t>固体废弃物污染环境因素</w:t>
      </w:r>
    </w:p>
    <w:p w14:paraId="193C6E37" w14:textId="77777777" w:rsidR="007D1E74" w:rsidRDefault="00A95641">
      <w:pPr>
        <w:spacing w:line="360" w:lineRule="auto"/>
        <w:ind w:firstLineChars="200" w:firstLine="480"/>
        <w:rPr>
          <w:sz w:val="24"/>
          <w:szCs w:val="24"/>
        </w:rPr>
      </w:pPr>
      <w:r>
        <w:rPr>
          <w:rFonts w:hint="eastAsia"/>
          <w:sz w:val="24"/>
          <w:szCs w:val="24"/>
        </w:rPr>
        <w:t>固体废弃物污染环境因素表征为：</w:t>
      </w:r>
    </w:p>
    <w:p w14:paraId="3E5CE775"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w:t>
      </w:r>
      <w:r>
        <w:rPr>
          <w:rFonts w:hint="eastAsia"/>
          <w:sz w:val="24"/>
          <w:szCs w:val="24"/>
        </w:rPr>
        <w:t>）施工期产生的废弃土石方；</w:t>
      </w:r>
    </w:p>
    <w:p w14:paraId="0D28452E"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2</w:t>
      </w:r>
      <w:r>
        <w:rPr>
          <w:rFonts w:hint="eastAsia"/>
          <w:sz w:val="24"/>
          <w:szCs w:val="24"/>
        </w:rPr>
        <w:t>）施工期建筑垃圾；</w:t>
      </w:r>
    </w:p>
    <w:p w14:paraId="5CF2A8BC"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3</w:t>
      </w:r>
      <w:r>
        <w:rPr>
          <w:rFonts w:hint="eastAsia"/>
          <w:sz w:val="24"/>
          <w:szCs w:val="24"/>
        </w:rPr>
        <w:t>）施工期施工人员的生活垃圾；</w:t>
      </w:r>
    </w:p>
    <w:p w14:paraId="644028E2" w14:textId="77777777" w:rsidR="007D1E74" w:rsidRDefault="00A95641">
      <w:pPr>
        <w:pStyle w:val="aa"/>
      </w:pPr>
      <w:r>
        <w:rPr>
          <w:rFonts w:hint="eastAsia"/>
        </w:rPr>
        <w:t>社会环境</w:t>
      </w:r>
    </w:p>
    <w:p w14:paraId="0C6D5839" w14:textId="77777777" w:rsidR="007D1E74" w:rsidRDefault="00A95641">
      <w:pPr>
        <w:spacing w:line="360" w:lineRule="auto"/>
        <w:ind w:firstLineChars="200" w:firstLine="480"/>
        <w:rPr>
          <w:sz w:val="24"/>
          <w:szCs w:val="24"/>
        </w:rPr>
      </w:pPr>
      <w:r>
        <w:rPr>
          <w:rFonts w:hint="eastAsia"/>
          <w:sz w:val="24"/>
          <w:szCs w:val="24"/>
        </w:rPr>
        <w:t>社会环境影响表征为：</w:t>
      </w:r>
    </w:p>
    <w:p w14:paraId="59DE2852"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w:t>
      </w:r>
      <w:r>
        <w:rPr>
          <w:rFonts w:hint="eastAsia"/>
          <w:sz w:val="24"/>
          <w:szCs w:val="24"/>
        </w:rPr>
        <w:t>）施工期对沿线农业生产的影响；</w:t>
      </w:r>
    </w:p>
    <w:p w14:paraId="3ABDB2AC"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2</w:t>
      </w:r>
      <w:r>
        <w:rPr>
          <w:rFonts w:hint="eastAsia"/>
          <w:sz w:val="24"/>
          <w:szCs w:val="24"/>
        </w:rPr>
        <w:t>）施工期道路穿越对交通的影响；</w:t>
      </w:r>
    </w:p>
    <w:p w14:paraId="1A7C4502"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3</w:t>
      </w:r>
      <w:r>
        <w:rPr>
          <w:rFonts w:hint="eastAsia"/>
          <w:sz w:val="24"/>
          <w:szCs w:val="24"/>
        </w:rPr>
        <w:t>）施工对居住环境的影响；</w:t>
      </w:r>
    </w:p>
    <w:p w14:paraId="2C700D02"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4</w:t>
      </w:r>
      <w:r>
        <w:rPr>
          <w:rFonts w:hint="eastAsia"/>
          <w:sz w:val="24"/>
          <w:szCs w:val="24"/>
        </w:rPr>
        <w:t>）对沿线的社会就业、社会经济的贡献；</w:t>
      </w:r>
    </w:p>
    <w:p w14:paraId="61AFD0CE"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5</w:t>
      </w:r>
      <w:r>
        <w:rPr>
          <w:rFonts w:hint="eastAsia"/>
          <w:sz w:val="24"/>
          <w:szCs w:val="24"/>
        </w:rPr>
        <w:t>）工程建设对沿线景观的影响。</w:t>
      </w:r>
    </w:p>
    <w:p w14:paraId="30EA48D3" w14:textId="77777777" w:rsidR="007D1E74" w:rsidRDefault="00A95641">
      <w:pPr>
        <w:spacing w:line="360" w:lineRule="auto"/>
        <w:jc w:val="center"/>
        <w:rPr>
          <w:szCs w:val="21"/>
        </w:rPr>
      </w:pPr>
      <w:r>
        <w:rPr>
          <w:rFonts w:hint="eastAsia"/>
          <w:szCs w:val="21"/>
        </w:rPr>
        <w:t>表</w:t>
      </w:r>
      <w:r>
        <w:rPr>
          <w:rFonts w:hint="eastAsia"/>
          <w:szCs w:val="21"/>
        </w:rPr>
        <w:t xml:space="preserve">2.4-1  </w:t>
      </w:r>
      <w:r>
        <w:rPr>
          <w:rFonts w:hint="eastAsia"/>
          <w:szCs w:val="21"/>
        </w:rPr>
        <w:t>环境影响识别</w:t>
      </w:r>
    </w:p>
    <w:tbl>
      <w:tblPr>
        <w:tblStyle w:val="affffc"/>
        <w:tblW w:w="5000" w:type="pct"/>
        <w:tblLook w:val="04A0" w:firstRow="1" w:lastRow="0" w:firstColumn="1" w:lastColumn="0" w:noHBand="0" w:noVBand="1"/>
      </w:tblPr>
      <w:tblGrid>
        <w:gridCol w:w="965"/>
        <w:gridCol w:w="1015"/>
        <w:gridCol w:w="2148"/>
        <w:gridCol w:w="4888"/>
      </w:tblGrid>
      <w:tr w:rsidR="007D1E74" w14:paraId="0438EDAE" w14:textId="77777777">
        <w:tc>
          <w:tcPr>
            <w:tcW w:w="535" w:type="pct"/>
            <w:vAlign w:val="center"/>
          </w:tcPr>
          <w:p w14:paraId="26F8A643" w14:textId="77777777" w:rsidR="007D1E74" w:rsidRDefault="00A95641">
            <w:pPr>
              <w:jc w:val="center"/>
              <w:rPr>
                <w:szCs w:val="21"/>
              </w:rPr>
            </w:pPr>
            <w:r>
              <w:rPr>
                <w:rFonts w:hint="eastAsia"/>
                <w:szCs w:val="21"/>
              </w:rPr>
              <w:t>时段</w:t>
            </w:r>
          </w:p>
        </w:tc>
        <w:tc>
          <w:tcPr>
            <w:tcW w:w="1754" w:type="pct"/>
            <w:gridSpan w:val="2"/>
            <w:vAlign w:val="center"/>
          </w:tcPr>
          <w:p w14:paraId="2C0F297D" w14:textId="77777777" w:rsidR="007D1E74" w:rsidRDefault="00A95641">
            <w:pPr>
              <w:jc w:val="center"/>
              <w:rPr>
                <w:szCs w:val="21"/>
              </w:rPr>
            </w:pPr>
            <w:r>
              <w:rPr>
                <w:rFonts w:hint="eastAsia"/>
                <w:szCs w:val="21"/>
              </w:rPr>
              <w:t>工程建设活动</w:t>
            </w:r>
          </w:p>
        </w:tc>
        <w:tc>
          <w:tcPr>
            <w:tcW w:w="2711" w:type="pct"/>
            <w:vAlign w:val="center"/>
          </w:tcPr>
          <w:p w14:paraId="5CB76F62" w14:textId="77777777" w:rsidR="007D1E74" w:rsidRDefault="00A95641">
            <w:pPr>
              <w:jc w:val="center"/>
              <w:rPr>
                <w:szCs w:val="21"/>
              </w:rPr>
            </w:pPr>
            <w:r>
              <w:rPr>
                <w:rFonts w:hint="eastAsia"/>
                <w:szCs w:val="21"/>
              </w:rPr>
              <w:t>环境影响内容</w:t>
            </w:r>
          </w:p>
        </w:tc>
      </w:tr>
      <w:tr w:rsidR="007D1E74" w14:paraId="00367DFE" w14:textId="77777777">
        <w:tc>
          <w:tcPr>
            <w:tcW w:w="535" w:type="pct"/>
            <w:vMerge w:val="restart"/>
            <w:vAlign w:val="center"/>
          </w:tcPr>
          <w:p w14:paraId="1702CEFB" w14:textId="77777777" w:rsidR="007D1E74" w:rsidRDefault="00A95641">
            <w:pPr>
              <w:jc w:val="center"/>
              <w:rPr>
                <w:szCs w:val="21"/>
              </w:rPr>
            </w:pPr>
            <w:r>
              <w:rPr>
                <w:rFonts w:hint="eastAsia"/>
                <w:szCs w:val="21"/>
              </w:rPr>
              <w:t>施工期</w:t>
            </w:r>
          </w:p>
        </w:tc>
        <w:tc>
          <w:tcPr>
            <w:tcW w:w="563" w:type="pct"/>
            <w:vMerge w:val="restart"/>
            <w:vAlign w:val="center"/>
          </w:tcPr>
          <w:p w14:paraId="61CB3173" w14:textId="77777777" w:rsidR="007D1E74" w:rsidRDefault="00A95641">
            <w:pPr>
              <w:jc w:val="center"/>
              <w:rPr>
                <w:szCs w:val="21"/>
              </w:rPr>
            </w:pPr>
            <w:r>
              <w:rPr>
                <w:rFonts w:hint="eastAsia"/>
                <w:szCs w:val="21"/>
              </w:rPr>
              <w:t>管道敷设</w:t>
            </w:r>
          </w:p>
        </w:tc>
        <w:tc>
          <w:tcPr>
            <w:tcW w:w="1191" w:type="pct"/>
            <w:vAlign w:val="center"/>
          </w:tcPr>
          <w:p w14:paraId="4B34E071" w14:textId="77777777" w:rsidR="007D1E74" w:rsidRDefault="00A95641">
            <w:pPr>
              <w:jc w:val="center"/>
              <w:rPr>
                <w:szCs w:val="21"/>
              </w:rPr>
            </w:pPr>
            <w:r>
              <w:rPr>
                <w:rFonts w:hint="eastAsia"/>
                <w:szCs w:val="21"/>
              </w:rPr>
              <w:t>永久占地（</w:t>
            </w:r>
            <w:r>
              <w:t>555m</w:t>
            </w:r>
            <w:r>
              <w:rPr>
                <w:vertAlign w:val="superscript"/>
              </w:rPr>
              <w:t>2</w:t>
            </w:r>
            <w:r>
              <w:rPr>
                <w:rFonts w:hint="eastAsia"/>
                <w:szCs w:val="21"/>
              </w:rPr>
              <w:t>）；</w:t>
            </w:r>
          </w:p>
          <w:p w14:paraId="46933CD2" w14:textId="77777777" w:rsidR="007D1E74" w:rsidRDefault="00A95641">
            <w:pPr>
              <w:jc w:val="center"/>
              <w:rPr>
                <w:szCs w:val="21"/>
              </w:rPr>
            </w:pPr>
            <w:r>
              <w:rPr>
                <w:rFonts w:hint="eastAsia"/>
                <w:szCs w:val="21"/>
              </w:rPr>
              <w:t>临时占地（</w:t>
            </w:r>
            <w:r>
              <w:t>36.897hm</w:t>
            </w:r>
            <w:r>
              <w:rPr>
                <w:vertAlign w:val="superscript"/>
              </w:rPr>
              <w:t>2</w:t>
            </w:r>
            <w:r>
              <w:rPr>
                <w:rFonts w:hint="eastAsia"/>
                <w:szCs w:val="21"/>
              </w:rPr>
              <w:t>）</w:t>
            </w:r>
          </w:p>
        </w:tc>
        <w:tc>
          <w:tcPr>
            <w:tcW w:w="2711" w:type="pct"/>
            <w:vAlign w:val="center"/>
          </w:tcPr>
          <w:p w14:paraId="1991221A" w14:textId="77777777" w:rsidR="007D1E74" w:rsidRDefault="00A95641">
            <w:pPr>
              <w:jc w:val="center"/>
              <w:rPr>
                <w:szCs w:val="21"/>
              </w:rPr>
            </w:pPr>
            <w:r>
              <w:rPr>
                <w:rFonts w:hint="eastAsia"/>
                <w:szCs w:val="21"/>
              </w:rPr>
              <w:t>久占地改变土地使用类型或功能；</w:t>
            </w:r>
          </w:p>
          <w:p w14:paraId="6FD602CE" w14:textId="77777777" w:rsidR="007D1E74" w:rsidRDefault="00A95641">
            <w:pPr>
              <w:jc w:val="center"/>
              <w:rPr>
                <w:szCs w:val="21"/>
              </w:rPr>
            </w:pPr>
            <w:r>
              <w:rPr>
                <w:rFonts w:hint="eastAsia"/>
                <w:szCs w:val="21"/>
              </w:rPr>
              <w:t>临时占用土地，短期影响土地的使用功能或类型</w:t>
            </w:r>
          </w:p>
        </w:tc>
      </w:tr>
      <w:tr w:rsidR="007D1E74" w14:paraId="60F3BBC8" w14:textId="77777777">
        <w:tc>
          <w:tcPr>
            <w:tcW w:w="535" w:type="pct"/>
            <w:vMerge/>
            <w:vAlign w:val="center"/>
          </w:tcPr>
          <w:p w14:paraId="458C3524" w14:textId="77777777" w:rsidR="007D1E74" w:rsidRDefault="007D1E74">
            <w:pPr>
              <w:jc w:val="center"/>
              <w:rPr>
                <w:szCs w:val="21"/>
              </w:rPr>
            </w:pPr>
          </w:p>
        </w:tc>
        <w:tc>
          <w:tcPr>
            <w:tcW w:w="563" w:type="pct"/>
            <w:vMerge/>
            <w:vAlign w:val="center"/>
          </w:tcPr>
          <w:p w14:paraId="2EDF84F1" w14:textId="77777777" w:rsidR="007D1E74" w:rsidRDefault="007D1E74">
            <w:pPr>
              <w:jc w:val="center"/>
              <w:rPr>
                <w:szCs w:val="21"/>
              </w:rPr>
            </w:pPr>
          </w:p>
        </w:tc>
        <w:tc>
          <w:tcPr>
            <w:tcW w:w="1191" w:type="pct"/>
            <w:vAlign w:val="center"/>
          </w:tcPr>
          <w:p w14:paraId="4FFBD1C4" w14:textId="77777777" w:rsidR="007D1E74" w:rsidRDefault="00A95641">
            <w:pPr>
              <w:jc w:val="center"/>
              <w:rPr>
                <w:szCs w:val="21"/>
              </w:rPr>
            </w:pPr>
            <w:r>
              <w:rPr>
                <w:rFonts w:hint="eastAsia"/>
                <w:szCs w:val="21"/>
              </w:rPr>
              <w:t>管沟开挖与回填</w:t>
            </w:r>
          </w:p>
        </w:tc>
        <w:tc>
          <w:tcPr>
            <w:tcW w:w="2711" w:type="pct"/>
            <w:vAlign w:val="center"/>
          </w:tcPr>
          <w:p w14:paraId="0AAB193C" w14:textId="77777777" w:rsidR="007D1E74" w:rsidRDefault="00A95641">
            <w:pPr>
              <w:jc w:val="center"/>
              <w:rPr>
                <w:szCs w:val="21"/>
              </w:rPr>
            </w:pPr>
            <w:r>
              <w:rPr>
                <w:rFonts w:hint="eastAsia"/>
                <w:szCs w:val="21"/>
              </w:rPr>
              <w:t>破坏施工作业带内的土壤、植被和视觉景观；特别对沿线林地的破坏是不可逆转的，需要提出林地补偿建设计划；土石方堆放不当易引起水土流失，污染地表水体或农田运输、挖填作业中产生扬尘</w:t>
            </w:r>
          </w:p>
        </w:tc>
      </w:tr>
      <w:tr w:rsidR="007D1E74" w14:paraId="061AE2A0" w14:textId="77777777">
        <w:tc>
          <w:tcPr>
            <w:tcW w:w="535" w:type="pct"/>
            <w:vMerge/>
            <w:vAlign w:val="center"/>
          </w:tcPr>
          <w:p w14:paraId="0177CF36" w14:textId="77777777" w:rsidR="007D1E74" w:rsidRDefault="007D1E74">
            <w:pPr>
              <w:jc w:val="center"/>
              <w:rPr>
                <w:szCs w:val="21"/>
              </w:rPr>
            </w:pPr>
          </w:p>
        </w:tc>
        <w:tc>
          <w:tcPr>
            <w:tcW w:w="563" w:type="pct"/>
            <w:vMerge/>
            <w:vAlign w:val="center"/>
          </w:tcPr>
          <w:p w14:paraId="6C54FF24" w14:textId="77777777" w:rsidR="007D1E74" w:rsidRDefault="007D1E74">
            <w:pPr>
              <w:jc w:val="center"/>
              <w:rPr>
                <w:szCs w:val="21"/>
              </w:rPr>
            </w:pPr>
          </w:p>
        </w:tc>
        <w:tc>
          <w:tcPr>
            <w:tcW w:w="1191" w:type="pct"/>
            <w:vAlign w:val="center"/>
          </w:tcPr>
          <w:p w14:paraId="13CCEE96" w14:textId="77777777" w:rsidR="007D1E74" w:rsidRDefault="00A95641">
            <w:pPr>
              <w:jc w:val="center"/>
              <w:rPr>
                <w:szCs w:val="21"/>
              </w:rPr>
            </w:pPr>
            <w:r>
              <w:rPr>
                <w:rFonts w:hint="eastAsia"/>
                <w:szCs w:val="21"/>
              </w:rPr>
              <w:t>原材料运输</w:t>
            </w:r>
          </w:p>
        </w:tc>
        <w:tc>
          <w:tcPr>
            <w:tcW w:w="2711" w:type="pct"/>
            <w:vAlign w:val="center"/>
          </w:tcPr>
          <w:p w14:paraId="37E99BBA" w14:textId="77777777" w:rsidR="007D1E74" w:rsidRDefault="00A95641">
            <w:pPr>
              <w:jc w:val="center"/>
              <w:rPr>
                <w:szCs w:val="21"/>
              </w:rPr>
            </w:pPr>
            <w:r>
              <w:rPr>
                <w:rFonts w:hint="eastAsia"/>
                <w:szCs w:val="21"/>
              </w:rPr>
              <w:t>运输车辆产生尾气、噪声和扬尘；</w:t>
            </w:r>
          </w:p>
          <w:p w14:paraId="180800FF" w14:textId="77777777" w:rsidR="007D1E74" w:rsidRDefault="00A95641">
            <w:pPr>
              <w:jc w:val="center"/>
              <w:rPr>
                <w:szCs w:val="21"/>
              </w:rPr>
            </w:pPr>
            <w:r>
              <w:rPr>
                <w:rFonts w:hint="eastAsia"/>
                <w:szCs w:val="21"/>
              </w:rPr>
              <w:t>临时材料堆场占用土地，短期影响土地的使用功能或类型</w:t>
            </w:r>
          </w:p>
        </w:tc>
      </w:tr>
      <w:tr w:rsidR="007D1E74" w14:paraId="7CF7DB34" w14:textId="77777777">
        <w:tc>
          <w:tcPr>
            <w:tcW w:w="535" w:type="pct"/>
            <w:vMerge/>
            <w:vAlign w:val="center"/>
          </w:tcPr>
          <w:p w14:paraId="5074B924" w14:textId="77777777" w:rsidR="007D1E74" w:rsidRDefault="007D1E74">
            <w:pPr>
              <w:jc w:val="center"/>
              <w:rPr>
                <w:szCs w:val="21"/>
              </w:rPr>
            </w:pPr>
          </w:p>
        </w:tc>
        <w:tc>
          <w:tcPr>
            <w:tcW w:w="563" w:type="pct"/>
            <w:vMerge/>
            <w:vAlign w:val="center"/>
          </w:tcPr>
          <w:p w14:paraId="28EF6994" w14:textId="77777777" w:rsidR="007D1E74" w:rsidRDefault="007D1E74">
            <w:pPr>
              <w:jc w:val="center"/>
              <w:rPr>
                <w:szCs w:val="21"/>
              </w:rPr>
            </w:pPr>
          </w:p>
        </w:tc>
        <w:tc>
          <w:tcPr>
            <w:tcW w:w="1191" w:type="pct"/>
            <w:vAlign w:val="center"/>
          </w:tcPr>
          <w:p w14:paraId="03B221E5" w14:textId="77777777" w:rsidR="007D1E74" w:rsidRDefault="00A95641">
            <w:pPr>
              <w:jc w:val="center"/>
              <w:rPr>
                <w:szCs w:val="21"/>
              </w:rPr>
            </w:pPr>
            <w:r>
              <w:rPr>
                <w:rFonts w:hint="eastAsia"/>
                <w:szCs w:val="21"/>
              </w:rPr>
              <w:t>施工机械操作</w:t>
            </w:r>
          </w:p>
        </w:tc>
        <w:tc>
          <w:tcPr>
            <w:tcW w:w="2711" w:type="pct"/>
            <w:vAlign w:val="center"/>
          </w:tcPr>
          <w:p w14:paraId="63CAFA79" w14:textId="77777777" w:rsidR="007D1E74" w:rsidRDefault="00A95641">
            <w:pPr>
              <w:jc w:val="center"/>
              <w:rPr>
                <w:szCs w:val="21"/>
              </w:rPr>
            </w:pPr>
            <w:r>
              <w:rPr>
                <w:rFonts w:hint="eastAsia"/>
                <w:szCs w:val="21"/>
              </w:rPr>
              <w:t>产生机械尾气和机械噪声</w:t>
            </w:r>
          </w:p>
        </w:tc>
      </w:tr>
      <w:tr w:rsidR="007D1E74" w14:paraId="595C6352" w14:textId="77777777">
        <w:tc>
          <w:tcPr>
            <w:tcW w:w="535" w:type="pct"/>
            <w:vMerge/>
            <w:vAlign w:val="center"/>
          </w:tcPr>
          <w:p w14:paraId="4BA165A2" w14:textId="77777777" w:rsidR="007D1E74" w:rsidRDefault="007D1E74">
            <w:pPr>
              <w:jc w:val="center"/>
              <w:rPr>
                <w:szCs w:val="21"/>
              </w:rPr>
            </w:pPr>
          </w:p>
        </w:tc>
        <w:tc>
          <w:tcPr>
            <w:tcW w:w="563" w:type="pct"/>
            <w:vMerge/>
            <w:vAlign w:val="center"/>
          </w:tcPr>
          <w:p w14:paraId="09C4C88E" w14:textId="77777777" w:rsidR="007D1E74" w:rsidRDefault="007D1E74">
            <w:pPr>
              <w:jc w:val="center"/>
              <w:rPr>
                <w:szCs w:val="21"/>
              </w:rPr>
            </w:pPr>
          </w:p>
        </w:tc>
        <w:tc>
          <w:tcPr>
            <w:tcW w:w="1191" w:type="pct"/>
            <w:vAlign w:val="center"/>
          </w:tcPr>
          <w:p w14:paraId="5D4E94C0" w14:textId="77777777" w:rsidR="007D1E74" w:rsidRDefault="00A95641">
            <w:pPr>
              <w:jc w:val="center"/>
              <w:rPr>
                <w:szCs w:val="21"/>
              </w:rPr>
            </w:pPr>
            <w:r>
              <w:rPr>
                <w:rFonts w:hint="eastAsia"/>
                <w:szCs w:val="21"/>
              </w:rPr>
              <w:t>施工便道建设及使用</w:t>
            </w:r>
          </w:p>
        </w:tc>
        <w:tc>
          <w:tcPr>
            <w:tcW w:w="2711" w:type="pct"/>
            <w:vAlign w:val="center"/>
          </w:tcPr>
          <w:p w14:paraId="2AAD6730" w14:textId="77777777" w:rsidR="007D1E74" w:rsidRDefault="00A95641">
            <w:pPr>
              <w:jc w:val="center"/>
              <w:rPr>
                <w:szCs w:val="21"/>
              </w:rPr>
            </w:pPr>
            <w:r>
              <w:rPr>
                <w:rFonts w:hint="eastAsia"/>
                <w:szCs w:val="21"/>
              </w:rPr>
              <w:t>临时占用部分土地，产生扬尘及噪声</w:t>
            </w:r>
          </w:p>
        </w:tc>
      </w:tr>
      <w:tr w:rsidR="007D1E74" w14:paraId="5D037967" w14:textId="77777777">
        <w:tc>
          <w:tcPr>
            <w:tcW w:w="535" w:type="pct"/>
            <w:vMerge/>
            <w:vAlign w:val="center"/>
          </w:tcPr>
          <w:p w14:paraId="485B142F" w14:textId="77777777" w:rsidR="007D1E74" w:rsidRDefault="007D1E74">
            <w:pPr>
              <w:jc w:val="center"/>
              <w:rPr>
                <w:szCs w:val="21"/>
              </w:rPr>
            </w:pPr>
          </w:p>
        </w:tc>
        <w:tc>
          <w:tcPr>
            <w:tcW w:w="563" w:type="pct"/>
            <w:vMerge/>
            <w:vAlign w:val="center"/>
          </w:tcPr>
          <w:p w14:paraId="69222F48" w14:textId="77777777" w:rsidR="007D1E74" w:rsidRDefault="007D1E74">
            <w:pPr>
              <w:jc w:val="center"/>
              <w:rPr>
                <w:szCs w:val="21"/>
              </w:rPr>
            </w:pPr>
          </w:p>
        </w:tc>
        <w:tc>
          <w:tcPr>
            <w:tcW w:w="1191" w:type="pct"/>
            <w:vAlign w:val="center"/>
          </w:tcPr>
          <w:p w14:paraId="5F7CBFAF" w14:textId="77777777" w:rsidR="007D1E74" w:rsidRDefault="00A95641">
            <w:pPr>
              <w:jc w:val="center"/>
              <w:rPr>
                <w:szCs w:val="21"/>
              </w:rPr>
            </w:pPr>
            <w:r>
              <w:rPr>
                <w:rFonts w:hint="eastAsia"/>
                <w:szCs w:val="21"/>
              </w:rPr>
              <w:t>施工人员日常生活</w:t>
            </w:r>
          </w:p>
        </w:tc>
        <w:tc>
          <w:tcPr>
            <w:tcW w:w="2711" w:type="pct"/>
            <w:vAlign w:val="center"/>
          </w:tcPr>
          <w:p w14:paraId="4FD2974E" w14:textId="77777777" w:rsidR="007D1E74" w:rsidRDefault="00A95641">
            <w:pPr>
              <w:jc w:val="center"/>
              <w:rPr>
                <w:szCs w:val="21"/>
              </w:rPr>
            </w:pPr>
            <w:r>
              <w:rPr>
                <w:rFonts w:hint="eastAsia"/>
                <w:szCs w:val="21"/>
              </w:rPr>
              <w:t>施工人员生活污水、生活垃圾</w:t>
            </w:r>
          </w:p>
        </w:tc>
      </w:tr>
      <w:tr w:rsidR="007D1E74" w14:paraId="053E3C68" w14:textId="77777777">
        <w:tc>
          <w:tcPr>
            <w:tcW w:w="535" w:type="pct"/>
            <w:vMerge/>
            <w:vAlign w:val="center"/>
          </w:tcPr>
          <w:p w14:paraId="69555E19" w14:textId="77777777" w:rsidR="007D1E74" w:rsidRDefault="007D1E74">
            <w:pPr>
              <w:jc w:val="center"/>
              <w:rPr>
                <w:szCs w:val="21"/>
              </w:rPr>
            </w:pPr>
          </w:p>
        </w:tc>
        <w:tc>
          <w:tcPr>
            <w:tcW w:w="563" w:type="pct"/>
            <w:vMerge/>
            <w:vAlign w:val="center"/>
          </w:tcPr>
          <w:p w14:paraId="0B07E4B0" w14:textId="77777777" w:rsidR="007D1E74" w:rsidRDefault="007D1E74">
            <w:pPr>
              <w:jc w:val="center"/>
              <w:rPr>
                <w:szCs w:val="21"/>
              </w:rPr>
            </w:pPr>
          </w:p>
        </w:tc>
        <w:tc>
          <w:tcPr>
            <w:tcW w:w="1191" w:type="pct"/>
            <w:vAlign w:val="center"/>
          </w:tcPr>
          <w:p w14:paraId="48DCF43A" w14:textId="77777777" w:rsidR="007D1E74" w:rsidRDefault="00A95641">
            <w:pPr>
              <w:jc w:val="center"/>
              <w:rPr>
                <w:szCs w:val="21"/>
              </w:rPr>
            </w:pPr>
            <w:r>
              <w:rPr>
                <w:rFonts w:hint="eastAsia"/>
                <w:szCs w:val="21"/>
              </w:rPr>
              <w:t>施工作业场地</w:t>
            </w:r>
          </w:p>
        </w:tc>
        <w:tc>
          <w:tcPr>
            <w:tcW w:w="2711" w:type="pct"/>
            <w:vAlign w:val="center"/>
          </w:tcPr>
          <w:p w14:paraId="5F922910" w14:textId="77777777" w:rsidR="007D1E74" w:rsidRDefault="00A95641">
            <w:pPr>
              <w:jc w:val="center"/>
              <w:rPr>
                <w:szCs w:val="21"/>
              </w:rPr>
            </w:pPr>
            <w:r>
              <w:rPr>
                <w:rFonts w:hint="eastAsia"/>
                <w:szCs w:val="21"/>
              </w:rPr>
              <w:t>临时占用土地，短期影响土地的使用功能或类型，破坏生态环境</w:t>
            </w:r>
          </w:p>
        </w:tc>
      </w:tr>
      <w:tr w:rsidR="007D1E74" w14:paraId="51F440D2" w14:textId="77777777">
        <w:tc>
          <w:tcPr>
            <w:tcW w:w="535" w:type="pct"/>
            <w:vMerge/>
            <w:vAlign w:val="center"/>
          </w:tcPr>
          <w:p w14:paraId="3FA02358" w14:textId="77777777" w:rsidR="007D1E74" w:rsidRDefault="007D1E74">
            <w:pPr>
              <w:jc w:val="center"/>
              <w:rPr>
                <w:szCs w:val="21"/>
              </w:rPr>
            </w:pPr>
          </w:p>
        </w:tc>
        <w:tc>
          <w:tcPr>
            <w:tcW w:w="563" w:type="pct"/>
            <w:vMerge w:val="restart"/>
            <w:vAlign w:val="center"/>
          </w:tcPr>
          <w:p w14:paraId="7D78BE55" w14:textId="77777777" w:rsidR="007D1E74" w:rsidRDefault="00A95641">
            <w:pPr>
              <w:jc w:val="center"/>
              <w:rPr>
                <w:szCs w:val="21"/>
              </w:rPr>
            </w:pPr>
            <w:r>
              <w:rPr>
                <w:rFonts w:hint="eastAsia"/>
                <w:szCs w:val="21"/>
              </w:rPr>
              <w:t>穿越工</w:t>
            </w:r>
            <w:r>
              <w:rPr>
                <w:rFonts w:hint="eastAsia"/>
                <w:szCs w:val="21"/>
              </w:rPr>
              <w:lastRenderedPageBreak/>
              <w:t>程</w:t>
            </w:r>
          </w:p>
        </w:tc>
        <w:tc>
          <w:tcPr>
            <w:tcW w:w="1191" w:type="pct"/>
            <w:vAlign w:val="center"/>
          </w:tcPr>
          <w:p w14:paraId="1C2ABB24" w14:textId="77777777" w:rsidR="007D1E74" w:rsidRDefault="00A95641">
            <w:pPr>
              <w:jc w:val="center"/>
              <w:rPr>
                <w:szCs w:val="21"/>
              </w:rPr>
            </w:pPr>
            <w:r>
              <w:rPr>
                <w:rFonts w:hint="eastAsia"/>
                <w:szCs w:val="21"/>
              </w:rPr>
              <w:lastRenderedPageBreak/>
              <w:t>穿越沟渠（</w:t>
            </w:r>
            <w:r>
              <w:rPr>
                <w:rFonts w:hint="eastAsia"/>
                <w:szCs w:val="21"/>
              </w:rPr>
              <w:t>9</w:t>
            </w:r>
            <w:r>
              <w:rPr>
                <w:rFonts w:hint="eastAsia"/>
                <w:szCs w:val="21"/>
              </w:rPr>
              <w:t>次，挖</w:t>
            </w:r>
            <w:r>
              <w:rPr>
                <w:rFonts w:hint="eastAsia"/>
                <w:szCs w:val="21"/>
              </w:rPr>
              <w:lastRenderedPageBreak/>
              <w:t>沟法）</w:t>
            </w:r>
          </w:p>
        </w:tc>
        <w:tc>
          <w:tcPr>
            <w:tcW w:w="2711" w:type="pct"/>
            <w:vAlign w:val="center"/>
          </w:tcPr>
          <w:p w14:paraId="2E5A1C16" w14:textId="77777777" w:rsidR="007D1E74" w:rsidRDefault="00A95641">
            <w:pPr>
              <w:jc w:val="center"/>
              <w:rPr>
                <w:szCs w:val="21"/>
              </w:rPr>
            </w:pPr>
            <w:r>
              <w:rPr>
                <w:rFonts w:cs="Times New Roman"/>
                <w:szCs w:val="21"/>
              </w:rPr>
              <w:lastRenderedPageBreak/>
              <w:t>开挖式穿越将对沟渠水质产生短期影响，致使水中</w:t>
            </w:r>
            <w:r>
              <w:rPr>
                <w:rFonts w:cs="Times New Roman"/>
                <w:szCs w:val="21"/>
              </w:rPr>
              <w:lastRenderedPageBreak/>
              <w:t>泥沙含量增加；回填土处置不当，可能造成淤积或水土流失</w:t>
            </w:r>
          </w:p>
        </w:tc>
      </w:tr>
      <w:tr w:rsidR="007D1E74" w14:paraId="29BFAF4E" w14:textId="77777777">
        <w:tc>
          <w:tcPr>
            <w:tcW w:w="535" w:type="pct"/>
            <w:vMerge/>
            <w:vAlign w:val="center"/>
          </w:tcPr>
          <w:p w14:paraId="2267A769" w14:textId="77777777" w:rsidR="007D1E74" w:rsidRDefault="007D1E74">
            <w:pPr>
              <w:jc w:val="center"/>
              <w:rPr>
                <w:szCs w:val="21"/>
              </w:rPr>
            </w:pPr>
          </w:p>
        </w:tc>
        <w:tc>
          <w:tcPr>
            <w:tcW w:w="563" w:type="pct"/>
            <w:vMerge/>
            <w:vAlign w:val="center"/>
          </w:tcPr>
          <w:p w14:paraId="7D8E28EE" w14:textId="77777777" w:rsidR="007D1E74" w:rsidRDefault="007D1E74">
            <w:pPr>
              <w:jc w:val="center"/>
              <w:rPr>
                <w:szCs w:val="21"/>
              </w:rPr>
            </w:pPr>
          </w:p>
        </w:tc>
        <w:tc>
          <w:tcPr>
            <w:tcW w:w="1191" w:type="pct"/>
            <w:vAlign w:val="center"/>
          </w:tcPr>
          <w:p w14:paraId="51C51EBB" w14:textId="77777777" w:rsidR="007D1E74" w:rsidRDefault="00A95641">
            <w:pPr>
              <w:jc w:val="center"/>
              <w:rPr>
                <w:szCs w:val="21"/>
              </w:rPr>
            </w:pPr>
            <w:r>
              <w:rPr>
                <w:rFonts w:hint="eastAsia"/>
                <w:szCs w:val="21"/>
              </w:rPr>
              <w:t>穿越小通江（</w:t>
            </w:r>
            <w:r>
              <w:rPr>
                <w:rFonts w:hint="eastAsia"/>
                <w:szCs w:val="21"/>
              </w:rPr>
              <w:t>3</w:t>
            </w:r>
            <w:r>
              <w:rPr>
                <w:rFonts w:hint="eastAsia"/>
                <w:szCs w:val="21"/>
              </w:rPr>
              <w:t>次，定向钻）</w:t>
            </w:r>
          </w:p>
        </w:tc>
        <w:tc>
          <w:tcPr>
            <w:tcW w:w="2711" w:type="pct"/>
            <w:vAlign w:val="center"/>
          </w:tcPr>
          <w:p w14:paraId="1238D7E9" w14:textId="77777777" w:rsidR="007D1E74" w:rsidRDefault="00A95641">
            <w:pPr>
              <w:jc w:val="center"/>
              <w:rPr>
                <w:szCs w:val="21"/>
              </w:rPr>
            </w:pPr>
            <w:r>
              <w:rPr>
                <w:rFonts w:hint="eastAsia"/>
                <w:szCs w:val="21"/>
              </w:rPr>
              <w:t>定向钻穿越对小通江水质几乎不会产生影响。</w:t>
            </w:r>
          </w:p>
        </w:tc>
      </w:tr>
      <w:tr w:rsidR="007D1E74" w14:paraId="758DBDD4" w14:textId="77777777">
        <w:tc>
          <w:tcPr>
            <w:tcW w:w="535" w:type="pct"/>
            <w:vMerge/>
            <w:vAlign w:val="center"/>
          </w:tcPr>
          <w:p w14:paraId="39B51CE0" w14:textId="77777777" w:rsidR="007D1E74" w:rsidRDefault="007D1E74">
            <w:pPr>
              <w:jc w:val="center"/>
              <w:rPr>
                <w:szCs w:val="21"/>
              </w:rPr>
            </w:pPr>
          </w:p>
        </w:tc>
        <w:tc>
          <w:tcPr>
            <w:tcW w:w="563" w:type="pct"/>
            <w:vMerge/>
            <w:vAlign w:val="center"/>
          </w:tcPr>
          <w:p w14:paraId="74219989" w14:textId="77777777" w:rsidR="007D1E74" w:rsidRDefault="007D1E74">
            <w:pPr>
              <w:jc w:val="center"/>
              <w:rPr>
                <w:szCs w:val="21"/>
              </w:rPr>
            </w:pPr>
          </w:p>
        </w:tc>
        <w:tc>
          <w:tcPr>
            <w:tcW w:w="1191" w:type="pct"/>
            <w:vAlign w:val="center"/>
          </w:tcPr>
          <w:p w14:paraId="480C06A5" w14:textId="77777777" w:rsidR="007D1E74" w:rsidRDefault="00A95641">
            <w:pPr>
              <w:jc w:val="center"/>
              <w:rPr>
                <w:szCs w:val="21"/>
              </w:rPr>
            </w:pPr>
            <w:r>
              <w:rPr>
                <w:rFonts w:hint="eastAsia"/>
                <w:szCs w:val="21"/>
              </w:rPr>
              <w:t>穿越道路（</w:t>
            </w:r>
            <w:r>
              <w:rPr>
                <w:rFonts w:hint="eastAsia"/>
                <w:szCs w:val="21"/>
              </w:rPr>
              <w:t>47</w:t>
            </w:r>
            <w:r>
              <w:rPr>
                <w:rFonts w:hint="eastAsia"/>
                <w:szCs w:val="21"/>
              </w:rPr>
              <w:t>次，直埋、顶管、开挖盖板）</w:t>
            </w:r>
          </w:p>
        </w:tc>
        <w:tc>
          <w:tcPr>
            <w:tcW w:w="2711" w:type="pct"/>
            <w:vAlign w:val="center"/>
          </w:tcPr>
          <w:p w14:paraId="1067B4BF" w14:textId="77777777" w:rsidR="007D1E74" w:rsidRDefault="00A95641">
            <w:pPr>
              <w:jc w:val="center"/>
              <w:rPr>
                <w:szCs w:val="21"/>
              </w:rPr>
            </w:pPr>
            <w:r>
              <w:rPr>
                <w:rFonts w:hint="eastAsia"/>
                <w:szCs w:val="21"/>
              </w:rPr>
              <w:t>直埋和开挖盖板穿越方式将对道路交通产生一定影响；</w:t>
            </w:r>
            <w:r>
              <w:rPr>
                <w:rFonts w:cs="Times New Roman"/>
                <w:szCs w:val="21"/>
              </w:rPr>
              <w:t>回填土处置不当，</w:t>
            </w:r>
            <w:r>
              <w:rPr>
                <w:rFonts w:cs="Times New Roman" w:hint="eastAsia"/>
                <w:szCs w:val="21"/>
              </w:rPr>
              <w:t>会对周围环境鸡交通产生一定影响。</w:t>
            </w:r>
          </w:p>
        </w:tc>
      </w:tr>
      <w:tr w:rsidR="007D1E74" w14:paraId="7B812A1A" w14:textId="77777777">
        <w:tc>
          <w:tcPr>
            <w:tcW w:w="535" w:type="pct"/>
            <w:vMerge/>
            <w:vAlign w:val="center"/>
          </w:tcPr>
          <w:p w14:paraId="59B861EE" w14:textId="77777777" w:rsidR="007D1E74" w:rsidRDefault="007D1E74">
            <w:pPr>
              <w:jc w:val="center"/>
              <w:rPr>
                <w:szCs w:val="21"/>
              </w:rPr>
            </w:pPr>
          </w:p>
        </w:tc>
        <w:tc>
          <w:tcPr>
            <w:tcW w:w="563" w:type="pct"/>
            <w:vMerge/>
            <w:vAlign w:val="center"/>
          </w:tcPr>
          <w:p w14:paraId="1191C14E" w14:textId="77777777" w:rsidR="007D1E74" w:rsidRDefault="007D1E74">
            <w:pPr>
              <w:jc w:val="center"/>
              <w:rPr>
                <w:szCs w:val="21"/>
              </w:rPr>
            </w:pPr>
          </w:p>
        </w:tc>
        <w:tc>
          <w:tcPr>
            <w:tcW w:w="1191" w:type="pct"/>
            <w:vAlign w:val="center"/>
          </w:tcPr>
          <w:p w14:paraId="1FB178A6" w14:textId="77777777" w:rsidR="007D1E74" w:rsidRDefault="00A95641">
            <w:pPr>
              <w:jc w:val="center"/>
              <w:rPr>
                <w:szCs w:val="21"/>
              </w:rPr>
            </w:pPr>
            <w:r>
              <w:rPr>
                <w:rFonts w:cs="Times New Roman"/>
                <w:szCs w:val="21"/>
              </w:rPr>
              <w:t>穿越环境敏感区</w:t>
            </w:r>
          </w:p>
        </w:tc>
        <w:tc>
          <w:tcPr>
            <w:tcW w:w="2711" w:type="pct"/>
            <w:vAlign w:val="center"/>
          </w:tcPr>
          <w:p w14:paraId="766E2B54" w14:textId="77777777" w:rsidR="007D1E74" w:rsidRDefault="00A95641">
            <w:pPr>
              <w:jc w:val="center"/>
              <w:rPr>
                <w:szCs w:val="21"/>
              </w:rPr>
            </w:pPr>
            <w:r>
              <w:rPr>
                <w:rFonts w:cs="Times New Roman"/>
                <w:szCs w:val="21"/>
              </w:rPr>
              <w:t>管道穿越永久基本农田，临时占用土地，短期影响土地的使用功能或类型</w:t>
            </w:r>
          </w:p>
        </w:tc>
      </w:tr>
      <w:tr w:rsidR="007D1E74" w14:paraId="7FDF9E0D" w14:textId="77777777">
        <w:tc>
          <w:tcPr>
            <w:tcW w:w="535" w:type="pct"/>
            <w:vMerge/>
            <w:vAlign w:val="center"/>
          </w:tcPr>
          <w:p w14:paraId="25391990" w14:textId="77777777" w:rsidR="007D1E74" w:rsidRDefault="007D1E74">
            <w:pPr>
              <w:jc w:val="center"/>
              <w:rPr>
                <w:szCs w:val="21"/>
              </w:rPr>
            </w:pPr>
          </w:p>
        </w:tc>
        <w:tc>
          <w:tcPr>
            <w:tcW w:w="563" w:type="pct"/>
            <w:vMerge/>
            <w:vAlign w:val="center"/>
          </w:tcPr>
          <w:p w14:paraId="1A96755E" w14:textId="77777777" w:rsidR="007D1E74" w:rsidRDefault="007D1E74">
            <w:pPr>
              <w:jc w:val="center"/>
              <w:rPr>
                <w:szCs w:val="21"/>
              </w:rPr>
            </w:pPr>
          </w:p>
        </w:tc>
        <w:tc>
          <w:tcPr>
            <w:tcW w:w="1191" w:type="pct"/>
            <w:vAlign w:val="center"/>
          </w:tcPr>
          <w:p w14:paraId="192158A3" w14:textId="77777777" w:rsidR="007D1E74" w:rsidRDefault="00A95641">
            <w:pPr>
              <w:jc w:val="center"/>
              <w:rPr>
                <w:szCs w:val="21"/>
              </w:rPr>
            </w:pPr>
            <w:r>
              <w:rPr>
                <w:rFonts w:cs="Times New Roman"/>
                <w:szCs w:val="21"/>
              </w:rPr>
              <w:t>试压、清管作业</w:t>
            </w:r>
          </w:p>
        </w:tc>
        <w:tc>
          <w:tcPr>
            <w:tcW w:w="2711" w:type="pct"/>
            <w:vAlign w:val="center"/>
          </w:tcPr>
          <w:p w14:paraId="2F52359D" w14:textId="77777777" w:rsidR="007D1E74" w:rsidRDefault="00A95641">
            <w:pPr>
              <w:jc w:val="center"/>
              <w:rPr>
                <w:szCs w:val="21"/>
              </w:rPr>
            </w:pPr>
            <w:r>
              <w:rPr>
                <w:rFonts w:cs="Times New Roman"/>
                <w:szCs w:val="21"/>
              </w:rPr>
              <w:t>废水排放对区域水环境短期内可能产生一定的影响</w:t>
            </w:r>
          </w:p>
        </w:tc>
      </w:tr>
      <w:tr w:rsidR="007D1E74" w14:paraId="77724D5A" w14:textId="77777777">
        <w:tc>
          <w:tcPr>
            <w:tcW w:w="535" w:type="pct"/>
            <w:vAlign w:val="center"/>
          </w:tcPr>
          <w:p w14:paraId="40BF46A5" w14:textId="77777777" w:rsidR="007D1E74" w:rsidRDefault="00A95641">
            <w:pPr>
              <w:jc w:val="center"/>
              <w:rPr>
                <w:szCs w:val="21"/>
              </w:rPr>
            </w:pPr>
            <w:r>
              <w:rPr>
                <w:rFonts w:hint="eastAsia"/>
                <w:szCs w:val="21"/>
              </w:rPr>
              <w:t>运营期</w:t>
            </w:r>
          </w:p>
        </w:tc>
        <w:tc>
          <w:tcPr>
            <w:tcW w:w="1754" w:type="pct"/>
            <w:gridSpan w:val="2"/>
            <w:vAlign w:val="center"/>
          </w:tcPr>
          <w:p w14:paraId="0505ED67" w14:textId="77777777" w:rsidR="007D1E74" w:rsidRDefault="00A95641">
            <w:pPr>
              <w:jc w:val="center"/>
              <w:rPr>
                <w:szCs w:val="21"/>
              </w:rPr>
            </w:pPr>
            <w:r>
              <w:rPr>
                <w:rFonts w:hint="eastAsia"/>
                <w:szCs w:val="21"/>
              </w:rPr>
              <w:t>管道</w:t>
            </w:r>
          </w:p>
        </w:tc>
        <w:tc>
          <w:tcPr>
            <w:tcW w:w="2711" w:type="pct"/>
            <w:vAlign w:val="center"/>
          </w:tcPr>
          <w:p w14:paraId="4F714A81" w14:textId="77777777" w:rsidR="007D1E74" w:rsidRDefault="00A95641">
            <w:pPr>
              <w:jc w:val="center"/>
              <w:rPr>
                <w:szCs w:val="21"/>
              </w:rPr>
            </w:pPr>
            <w:r>
              <w:rPr>
                <w:rFonts w:cs="Times New Roman"/>
                <w:szCs w:val="21"/>
              </w:rPr>
              <w:t>正常工况：无废水、</w:t>
            </w:r>
            <w:r>
              <w:rPr>
                <w:rFonts w:cs="Times New Roman" w:hint="eastAsia"/>
                <w:szCs w:val="21"/>
              </w:rPr>
              <w:t>废气和</w:t>
            </w:r>
            <w:r>
              <w:rPr>
                <w:rFonts w:cs="Times New Roman"/>
                <w:szCs w:val="21"/>
              </w:rPr>
              <w:t>固废产生，排放的少量噪声不会对周围环境产生明显影响；</w:t>
            </w:r>
          </w:p>
          <w:p w14:paraId="484418A5" w14:textId="77777777" w:rsidR="007D1E74" w:rsidRDefault="00A95641">
            <w:pPr>
              <w:jc w:val="center"/>
              <w:rPr>
                <w:szCs w:val="21"/>
              </w:rPr>
            </w:pPr>
            <w:r>
              <w:rPr>
                <w:rFonts w:cs="Times New Roman"/>
                <w:szCs w:val="21"/>
              </w:rPr>
              <w:t>事故工况：管道发生泄漏、火灾、爆炸对沿线自然环境和人群财产生命健康的影响。</w:t>
            </w:r>
          </w:p>
        </w:tc>
      </w:tr>
    </w:tbl>
    <w:p w14:paraId="770E669C" w14:textId="77777777" w:rsidR="007D1E74" w:rsidRDefault="00A95641">
      <w:pPr>
        <w:spacing w:line="360" w:lineRule="auto"/>
        <w:jc w:val="center"/>
        <w:rPr>
          <w:szCs w:val="21"/>
        </w:rPr>
      </w:pPr>
      <w:r>
        <w:rPr>
          <w:rFonts w:hint="eastAsia"/>
          <w:szCs w:val="21"/>
        </w:rPr>
        <w:t>表</w:t>
      </w:r>
      <w:r>
        <w:rPr>
          <w:rFonts w:hint="eastAsia"/>
          <w:szCs w:val="21"/>
        </w:rPr>
        <w:t xml:space="preserve">2.4-2  </w:t>
      </w:r>
      <w:r>
        <w:rPr>
          <w:rFonts w:hint="eastAsia"/>
          <w:szCs w:val="21"/>
        </w:rPr>
        <w:t>环境影响要素识别</w:t>
      </w:r>
    </w:p>
    <w:tbl>
      <w:tblPr>
        <w:tblStyle w:val="affffc"/>
        <w:tblW w:w="0" w:type="auto"/>
        <w:tblLook w:val="04A0" w:firstRow="1" w:lastRow="0" w:firstColumn="1" w:lastColumn="0" w:noHBand="0" w:noVBand="1"/>
      </w:tblPr>
      <w:tblGrid>
        <w:gridCol w:w="655"/>
        <w:gridCol w:w="1600"/>
        <w:gridCol w:w="1126"/>
        <w:gridCol w:w="1127"/>
        <w:gridCol w:w="1127"/>
        <w:gridCol w:w="1127"/>
        <w:gridCol w:w="1127"/>
        <w:gridCol w:w="1127"/>
      </w:tblGrid>
      <w:tr w:rsidR="007D1E74" w14:paraId="035E437D" w14:textId="77777777">
        <w:tc>
          <w:tcPr>
            <w:tcW w:w="675" w:type="dxa"/>
            <w:vMerge w:val="restart"/>
          </w:tcPr>
          <w:p w14:paraId="7E8364AE" w14:textId="77777777" w:rsidR="007D1E74" w:rsidRDefault="00A95641">
            <w:pPr>
              <w:jc w:val="center"/>
              <w:rPr>
                <w:szCs w:val="21"/>
              </w:rPr>
            </w:pPr>
            <w:r>
              <w:rPr>
                <w:rFonts w:hint="eastAsia"/>
                <w:szCs w:val="21"/>
              </w:rPr>
              <w:t>类别</w:t>
            </w:r>
          </w:p>
        </w:tc>
        <w:tc>
          <w:tcPr>
            <w:tcW w:w="1705" w:type="dxa"/>
            <w:vMerge w:val="restart"/>
          </w:tcPr>
          <w:p w14:paraId="11BA6AB7" w14:textId="77777777" w:rsidR="007D1E74" w:rsidRDefault="00A95641">
            <w:pPr>
              <w:jc w:val="center"/>
              <w:rPr>
                <w:szCs w:val="21"/>
              </w:rPr>
            </w:pPr>
            <w:r>
              <w:rPr>
                <w:rFonts w:hint="eastAsia"/>
                <w:szCs w:val="21"/>
              </w:rPr>
              <w:t>环境要素</w:t>
            </w:r>
          </w:p>
        </w:tc>
        <w:tc>
          <w:tcPr>
            <w:tcW w:w="3572" w:type="dxa"/>
            <w:gridSpan w:val="3"/>
          </w:tcPr>
          <w:p w14:paraId="379C9991" w14:textId="77777777" w:rsidR="007D1E74" w:rsidRDefault="00A95641">
            <w:pPr>
              <w:jc w:val="center"/>
              <w:rPr>
                <w:szCs w:val="21"/>
              </w:rPr>
            </w:pPr>
            <w:r>
              <w:rPr>
                <w:rFonts w:hint="eastAsia"/>
                <w:szCs w:val="21"/>
              </w:rPr>
              <w:t>施工期</w:t>
            </w:r>
          </w:p>
        </w:tc>
        <w:tc>
          <w:tcPr>
            <w:tcW w:w="3573" w:type="dxa"/>
            <w:gridSpan w:val="3"/>
          </w:tcPr>
          <w:p w14:paraId="0DBC142A" w14:textId="77777777" w:rsidR="007D1E74" w:rsidRDefault="00A95641">
            <w:pPr>
              <w:jc w:val="center"/>
              <w:rPr>
                <w:szCs w:val="21"/>
              </w:rPr>
            </w:pPr>
            <w:r>
              <w:rPr>
                <w:rFonts w:hint="eastAsia"/>
                <w:szCs w:val="21"/>
              </w:rPr>
              <w:t>营运期</w:t>
            </w:r>
          </w:p>
        </w:tc>
      </w:tr>
      <w:tr w:rsidR="007D1E74" w14:paraId="7F0F5E98" w14:textId="77777777">
        <w:tc>
          <w:tcPr>
            <w:tcW w:w="675" w:type="dxa"/>
            <w:vMerge/>
          </w:tcPr>
          <w:p w14:paraId="524FB6AD" w14:textId="77777777" w:rsidR="007D1E74" w:rsidRDefault="007D1E74">
            <w:pPr>
              <w:jc w:val="center"/>
              <w:rPr>
                <w:szCs w:val="21"/>
              </w:rPr>
            </w:pPr>
          </w:p>
        </w:tc>
        <w:tc>
          <w:tcPr>
            <w:tcW w:w="1705" w:type="dxa"/>
            <w:vMerge/>
          </w:tcPr>
          <w:p w14:paraId="571FE164" w14:textId="77777777" w:rsidR="007D1E74" w:rsidRDefault="007D1E74">
            <w:pPr>
              <w:jc w:val="center"/>
              <w:rPr>
                <w:szCs w:val="21"/>
              </w:rPr>
            </w:pPr>
          </w:p>
        </w:tc>
        <w:tc>
          <w:tcPr>
            <w:tcW w:w="1190" w:type="dxa"/>
          </w:tcPr>
          <w:p w14:paraId="7D168B4C" w14:textId="77777777" w:rsidR="007D1E74" w:rsidRDefault="00A95641">
            <w:pPr>
              <w:jc w:val="center"/>
              <w:rPr>
                <w:szCs w:val="21"/>
              </w:rPr>
            </w:pPr>
            <w:r>
              <w:rPr>
                <w:rFonts w:hint="eastAsia"/>
                <w:szCs w:val="21"/>
              </w:rPr>
              <w:t>有利影响</w:t>
            </w:r>
          </w:p>
        </w:tc>
        <w:tc>
          <w:tcPr>
            <w:tcW w:w="1191" w:type="dxa"/>
          </w:tcPr>
          <w:p w14:paraId="64EAD7DF" w14:textId="77777777" w:rsidR="007D1E74" w:rsidRDefault="00A95641">
            <w:pPr>
              <w:jc w:val="center"/>
              <w:rPr>
                <w:szCs w:val="21"/>
              </w:rPr>
            </w:pPr>
            <w:r>
              <w:rPr>
                <w:rFonts w:hint="eastAsia"/>
                <w:szCs w:val="21"/>
              </w:rPr>
              <w:t>不利影响</w:t>
            </w:r>
          </w:p>
        </w:tc>
        <w:tc>
          <w:tcPr>
            <w:tcW w:w="1191" w:type="dxa"/>
          </w:tcPr>
          <w:p w14:paraId="20686A31" w14:textId="77777777" w:rsidR="007D1E74" w:rsidRDefault="00A95641">
            <w:pPr>
              <w:jc w:val="center"/>
              <w:rPr>
                <w:szCs w:val="21"/>
              </w:rPr>
            </w:pPr>
            <w:r>
              <w:rPr>
                <w:rFonts w:hint="eastAsia"/>
                <w:szCs w:val="21"/>
              </w:rPr>
              <w:t>影响程度</w:t>
            </w:r>
          </w:p>
        </w:tc>
        <w:tc>
          <w:tcPr>
            <w:tcW w:w="1191" w:type="dxa"/>
          </w:tcPr>
          <w:p w14:paraId="60BEAE05" w14:textId="77777777" w:rsidR="007D1E74" w:rsidRDefault="00A95641">
            <w:pPr>
              <w:jc w:val="center"/>
              <w:rPr>
                <w:szCs w:val="21"/>
              </w:rPr>
            </w:pPr>
            <w:r>
              <w:rPr>
                <w:rFonts w:hint="eastAsia"/>
                <w:szCs w:val="21"/>
              </w:rPr>
              <w:t>有利影响</w:t>
            </w:r>
          </w:p>
        </w:tc>
        <w:tc>
          <w:tcPr>
            <w:tcW w:w="1191" w:type="dxa"/>
          </w:tcPr>
          <w:p w14:paraId="0E26D5F4" w14:textId="77777777" w:rsidR="007D1E74" w:rsidRDefault="00A95641">
            <w:pPr>
              <w:jc w:val="center"/>
              <w:rPr>
                <w:szCs w:val="21"/>
              </w:rPr>
            </w:pPr>
            <w:r>
              <w:rPr>
                <w:rFonts w:hint="eastAsia"/>
                <w:szCs w:val="21"/>
              </w:rPr>
              <w:t>不利影响</w:t>
            </w:r>
          </w:p>
        </w:tc>
        <w:tc>
          <w:tcPr>
            <w:tcW w:w="1191" w:type="dxa"/>
          </w:tcPr>
          <w:p w14:paraId="02EAA6D8" w14:textId="77777777" w:rsidR="007D1E74" w:rsidRDefault="00A95641">
            <w:pPr>
              <w:jc w:val="center"/>
              <w:rPr>
                <w:szCs w:val="21"/>
              </w:rPr>
            </w:pPr>
            <w:r>
              <w:rPr>
                <w:rFonts w:hint="eastAsia"/>
                <w:szCs w:val="21"/>
              </w:rPr>
              <w:t>影响程度</w:t>
            </w:r>
          </w:p>
        </w:tc>
      </w:tr>
      <w:tr w:rsidR="007D1E74" w14:paraId="51B084A3" w14:textId="77777777">
        <w:tc>
          <w:tcPr>
            <w:tcW w:w="675" w:type="dxa"/>
            <w:vMerge w:val="restart"/>
          </w:tcPr>
          <w:p w14:paraId="0BACDAEB" w14:textId="77777777" w:rsidR="007D1E74" w:rsidRDefault="00A95641">
            <w:pPr>
              <w:jc w:val="center"/>
              <w:rPr>
                <w:szCs w:val="21"/>
              </w:rPr>
            </w:pPr>
            <w:r>
              <w:rPr>
                <w:rFonts w:hint="eastAsia"/>
                <w:szCs w:val="21"/>
              </w:rPr>
              <w:t>自然生态环境</w:t>
            </w:r>
          </w:p>
        </w:tc>
        <w:tc>
          <w:tcPr>
            <w:tcW w:w="1705" w:type="dxa"/>
          </w:tcPr>
          <w:p w14:paraId="015730EF" w14:textId="77777777" w:rsidR="007D1E74" w:rsidRDefault="00A95641">
            <w:pPr>
              <w:jc w:val="center"/>
              <w:rPr>
                <w:szCs w:val="21"/>
              </w:rPr>
            </w:pPr>
            <w:r>
              <w:rPr>
                <w:rFonts w:hint="eastAsia"/>
                <w:szCs w:val="21"/>
              </w:rPr>
              <w:t>地形地貌</w:t>
            </w:r>
          </w:p>
        </w:tc>
        <w:tc>
          <w:tcPr>
            <w:tcW w:w="1190" w:type="dxa"/>
          </w:tcPr>
          <w:p w14:paraId="08FCDFD9" w14:textId="77777777" w:rsidR="007D1E74" w:rsidRDefault="00A95641">
            <w:pPr>
              <w:jc w:val="center"/>
              <w:rPr>
                <w:szCs w:val="21"/>
              </w:rPr>
            </w:pPr>
            <w:r>
              <w:rPr>
                <w:rFonts w:hint="eastAsia"/>
                <w:szCs w:val="21"/>
              </w:rPr>
              <w:t>/</w:t>
            </w:r>
          </w:p>
        </w:tc>
        <w:tc>
          <w:tcPr>
            <w:tcW w:w="1191" w:type="dxa"/>
          </w:tcPr>
          <w:p w14:paraId="682442F3" w14:textId="77777777" w:rsidR="007D1E74" w:rsidRDefault="00A95641">
            <w:pPr>
              <w:jc w:val="center"/>
              <w:rPr>
                <w:szCs w:val="21"/>
              </w:rPr>
            </w:pPr>
            <w:r>
              <w:rPr>
                <w:rFonts w:hint="eastAsia"/>
                <w:szCs w:val="21"/>
              </w:rPr>
              <w:t>有</w:t>
            </w:r>
          </w:p>
        </w:tc>
        <w:tc>
          <w:tcPr>
            <w:tcW w:w="1191" w:type="dxa"/>
          </w:tcPr>
          <w:p w14:paraId="522955AE" w14:textId="77777777" w:rsidR="007D1E74" w:rsidRDefault="00A95641">
            <w:pPr>
              <w:jc w:val="center"/>
              <w:rPr>
                <w:szCs w:val="21"/>
              </w:rPr>
            </w:pPr>
            <w:r>
              <w:rPr>
                <w:rFonts w:hint="eastAsia"/>
                <w:szCs w:val="21"/>
              </w:rPr>
              <w:t>一般</w:t>
            </w:r>
          </w:p>
        </w:tc>
        <w:tc>
          <w:tcPr>
            <w:tcW w:w="1191" w:type="dxa"/>
          </w:tcPr>
          <w:p w14:paraId="16C8DDDD" w14:textId="77777777" w:rsidR="007D1E74" w:rsidRDefault="00A95641">
            <w:pPr>
              <w:jc w:val="center"/>
              <w:rPr>
                <w:szCs w:val="21"/>
              </w:rPr>
            </w:pPr>
            <w:r>
              <w:rPr>
                <w:rFonts w:hint="eastAsia"/>
                <w:szCs w:val="21"/>
              </w:rPr>
              <w:t>/</w:t>
            </w:r>
          </w:p>
        </w:tc>
        <w:tc>
          <w:tcPr>
            <w:tcW w:w="1191" w:type="dxa"/>
          </w:tcPr>
          <w:p w14:paraId="32F41F1C" w14:textId="77777777" w:rsidR="007D1E74" w:rsidRDefault="00A95641">
            <w:pPr>
              <w:jc w:val="center"/>
              <w:rPr>
                <w:szCs w:val="21"/>
              </w:rPr>
            </w:pPr>
            <w:r>
              <w:rPr>
                <w:rFonts w:hint="eastAsia"/>
                <w:szCs w:val="21"/>
              </w:rPr>
              <w:t>/</w:t>
            </w:r>
          </w:p>
        </w:tc>
        <w:tc>
          <w:tcPr>
            <w:tcW w:w="1191" w:type="dxa"/>
          </w:tcPr>
          <w:p w14:paraId="5A5A3502" w14:textId="77777777" w:rsidR="007D1E74" w:rsidRDefault="00A95641">
            <w:pPr>
              <w:jc w:val="center"/>
              <w:rPr>
                <w:szCs w:val="21"/>
              </w:rPr>
            </w:pPr>
            <w:r>
              <w:rPr>
                <w:rFonts w:hint="eastAsia"/>
                <w:szCs w:val="21"/>
              </w:rPr>
              <w:t>/</w:t>
            </w:r>
          </w:p>
        </w:tc>
      </w:tr>
      <w:tr w:rsidR="007D1E74" w14:paraId="5456E9FF" w14:textId="77777777">
        <w:tc>
          <w:tcPr>
            <w:tcW w:w="675" w:type="dxa"/>
            <w:vMerge/>
          </w:tcPr>
          <w:p w14:paraId="7BDD452A" w14:textId="77777777" w:rsidR="007D1E74" w:rsidRDefault="007D1E74">
            <w:pPr>
              <w:jc w:val="center"/>
              <w:rPr>
                <w:szCs w:val="21"/>
              </w:rPr>
            </w:pPr>
          </w:p>
        </w:tc>
        <w:tc>
          <w:tcPr>
            <w:tcW w:w="1705" w:type="dxa"/>
          </w:tcPr>
          <w:p w14:paraId="72B3684C" w14:textId="77777777" w:rsidR="007D1E74" w:rsidRDefault="00A95641">
            <w:pPr>
              <w:jc w:val="center"/>
              <w:rPr>
                <w:szCs w:val="21"/>
              </w:rPr>
            </w:pPr>
            <w:r>
              <w:rPr>
                <w:rFonts w:hint="eastAsia"/>
                <w:szCs w:val="21"/>
              </w:rPr>
              <w:t>植被与水土流失</w:t>
            </w:r>
          </w:p>
        </w:tc>
        <w:tc>
          <w:tcPr>
            <w:tcW w:w="1190" w:type="dxa"/>
          </w:tcPr>
          <w:p w14:paraId="67B5182E" w14:textId="77777777" w:rsidR="007D1E74" w:rsidRDefault="00A95641">
            <w:pPr>
              <w:jc w:val="center"/>
              <w:rPr>
                <w:szCs w:val="21"/>
              </w:rPr>
            </w:pPr>
            <w:r>
              <w:rPr>
                <w:rFonts w:hint="eastAsia"/>
                <w:szCs w:val="21"/>
              </w:rPr>
              <w:t>/</w:t>
            </w:r>
          </w:p>
        </w:tc>
        <w:tc>
          <w:tcPr>
            <w:tcW w:w="1191" w:type="dxa"/>
          </w:tcPr>
          <w:p w14:paraId="296D7E32" w14:textId="77777777" w:rsidR="007D1E74" w:rsidRDefault="00A95641">
            <w:pPr>
              <w:jc w:val="center"/>
              <w:rPr>
                <w:szCs w:val="21"/>
              </w:rPr>
            </w:pPr>
            <w:r>
              <w:rPr>
                <w:rFonts w:hint="eastAsia"/>
                <w:szCs w:val="21"/>
              </w:rPr>
              <w:t>有</w:t>
            </w:r>
          </w:p>
        </w:tc>
        <w:tc>
          <w:tcPr>
            <w:tcW w:w="1191" w:type="dxa"/>
          </w:tcPr>
          <w:p w14:paraId="688F03B3" w14:textId="77777777" w:rsidR="007D1E74" w:rsidRDefault="00A95641">
            <w:pPr>
              <w:jc w:val="center"/>
              <w:rPr>
                <w:szCs w:val="21"/>
              </w:rPr>
            </w:pPr>
            <w:r>
              <w:rPr>
                <w:rFonts w:hint="eastAsia"/>
                <w:szCs w:val="21"/>
              </w:rPr>
              <w:t>明显</w:t>
            </w:r>
          </w:p>
        </w:tc>
        <w:tc>
          <w:tcPr>
            <w:tcW w:w="1191" w:type="dxa"/>
          </w:tcPr>
          <w:p w14:paraId="518DEB6E" w14:textId="77777777" w:rsidR="007D1E74" w:rsidRDefault="00A95641">
            <w:pPr>
              <w:jc w:val="center"/>
              <w:rPr>
                <w:szCs w:val="21"/>
              </w:rPr>
            </w:pPr>
            <w:r>
              <w:rPr>
                <w:rFonts w:hint="eastAsia"/>
                <w:szCs w:val="21"/>
              </w:rPr>
              <w:t>/</w:t>
            </w:r>
          </w:p>
        </w:tc>
        <w:tc>
          <w:tcPr>
            <w:tcW w:w="1191" w:type="dxa"/>
          </w:tcPr>
          <w:p w14:paraId="4C8DA909" w14:textId="77777777" w:rsidR="007D1E74" w:rsidRDefault="00A95641">
            <w:pPr>
              <w:jc w:val="center"/>
              <w:rPr>
                <w:szCs w:val="21"/>
              </w:rPr>
            </w:pPr>
            <w:r>
              <w:rPr>
                <w:rFonts w:hint="eastAsia"/>
                <w:szCs w:val="21"/>
              </w:rPr>
              <w:t>/</w:t>
            </w:r>
          </w:p>
        </w:tc>
        <w:tc>
          <w:tcPr>
            <w:tcW w:w="1191" w:type="dxa"/>
          </w:tcPr>
          <w:p w14:paraId="719AA272" w14:textId="77777777" w:rsidR="007D1E74" w:rsidRDefault="00A95641">
            <w:pPr>
              <w:jc w:val="center"/>
              <w:rPr>
                <w:szCs w:val="21"/>
              </w:rPr>
            </w:pPr>
            <w:r>
              <w:rPr>
                <w:rFonts w:hint="eastAsia"/>
                <w:szCs w:val="21"/>
              </w:rPr>
              <w:t>/</w:t>
            </w:r>
          </w:p>
        </w:tc>
      </w:tr>
      <w:tr w:rsidR="007D1E74" w14:paraId="29BC3D2C" w14:textId="77777777">
        <w:tc>
          <w:tcPr>
            <w:tcW w:w="675" w:type="dxa"/>
            <w:vMerge/>
          </w:tcPr>
          <w:p w14:paraId="255BBBC6" w14:textId="77777777" w:rsidR="007D1E74" w:rsidRDefault="007D1E74">
            <w:pPr>
              <w:jc w:val="center"/>
              <w:rPr>
                <w:szCs w:val="21"/>
              </w:rPr>
            </w:pPr>
          </w:p>
        </w:tc>
        <w:tc>
          <w:tcPr>
            <w:tcW w:w="1705" w:type="dxa"/>
          </w:tcPr>
          <w:p w14:paraId="4B3F5021" w14:textId="77777777" w:rsidR="007D1E74" w:rsidRDefault="00A95641">
            <w:pPr>
              <w:jc w:val="center"/>
              <w:rPr>
                <w:szCs w:val="21"/>
              </w:rPr>
            </w:pPr>
            <w:r>
              <w:rPr>
                <w:rFonts w:hint="eastAsia"/>
                <w:szCs w:val="21"/>
              </w:rPr>
              <w:t>土壤</w:t>
            </w:r>
          </w:p>
        </w:tc>
        <w:tc>
          <w:tcPr>
            <w:tcW w:w="1190" w:type="dxa"/>
          </w:tcPr>
          <w:p w14:paraId="56F1DA7A" w14:textId="77777777" w:rsidR="007D1E74" w:rsidRDefault="00A95641">
            <w:pPr>
              <w:jc w:val="center"/>
              <w:rPr>
                <w:szCs w:val="21"/>
              </w:rPr>
            </w:pPr>
            <w:r>
              <w:rPr>
                <w:rFonts w:hint="eastAsia"/>
                <w:szCs w:val="21"/>
              </w:rPr>
              <w:t>/</w:t>
            </w:r>
          </w:p>
        </w:tc>
        <w:tc>
          <w:tcPr>
            <w:tcW w:w="1191" w:type="dxa"/>
          </w:tcPr>
          <w:p w14:paraId="17576805" w14:textId="77777777" w:rsidR="007D1E74" w:rsidRDefault="00A95641">
            <w:pPr>
              <w:jc w:val="center"/>
              <w:rPr>
                <w:szCs w:val="21"/>
              </w:rPr>
            </w:pPr>
            <w:r>
              <w:rPr>
                <w:rFonts w:hint="eastAsia"/>
                <w:szCs w:val="21"/>
              </w:rPr>
              <w:t>有</w:t>
            </w:r>
          </w:p>
        </w:tc>
        <w:tc>
          <w:tcPr>
            <w:tcW w:w="1191" w:type="dxa"/>
          </w:tcPr>
          <w:p w14:paraId="0F3E384C" w14:textId="77777777" w:rsidR="007D1E74" w:rsidRDefault="00A95641">
            <w:pPr>
              <w:jc w:val="center"/>
              <w:rPr>
                <w:szCs w:val="21"/>
              </w:rPr>
            </w:pPr>
            <w:r>
              <w:rPr>
                <w:rFonts w:hint="eastAsia"/>
                <w:szCs w:val="21"/>
              </w:rPr>
              <w:t>一般</w:t>
            </w:r>
          </w:p>
        </w:tc>
        <w:tc>
          <w:tcPr>
            <w:tcW w:w="1191" w:type="dxa"/>
          </w:tcPr>
          <w:p w14:paraId="61028317" w14:textId="77777777" w:rsidR="007D1E74" w:rsidRDefault="00A95641">
            <w:pPr>
              <w:jc w:val="center"/>
              <w:rPr>
                <w:szCs w:val="21"/>
              </w:rPr>
            </w:pPr>
            <w:r>
              <w:rPr>
                <w:rFonts w:hint="eastAsia"/>
                <w:szCs w:val="21"/>
              </w:rPr>
              <w:t>/</w:t>
            </w:r>
          </w:p>
        </w:tc>
        <w:tc>
          <w:tcPr>
            <w:tcW w:w="1191" w:type="dxa"/>
          </w:tcPr>
          <w:p w14:paraId="386BEE23" w14:textId="77777777" w:rsidR="007D1E74" w:rsidRDefault="00A95641">
            <w:pPr>
              <w:jc w:val="center"/>
              <w:rPr>
                <w:szCs w:val="21"/>
              </w:rPr>
            </w:pPr>
            <w:r>
              <w:rPr>
                <w:rFonts w:hint="eastAsia"/>
                <w:szCs w:val="21"/>
              </w:rPr>
              <w:t>/</w:t>
            </w:r>
          </w:p>
        </w:tc>
        <w:tc>
          <w:tcPr>
            <w:tcW w:w="1191" w:type="dxa"/>
          </w:tcPr>
          <w:p w14:paraId="1F9B73F5" w14:textId="77777777" w:rsidR="007D1E74" w:rsidRDefault="00A95641">
            <w:pPr>
              <w:jc w:val="center"/>
              <w:rPr>
                <w:szCs w:val="21"/>
              </w:rPr>
            </w:pPr>
            <w:r>
              <w:rPr>
                <w:rFonts w:hint="eastAsia"/>
                <w:szCs w:val="21"/>
              </w:rPr>
              <w:t>/</w:t>
            </w:r>
          </w:p>
        </w:tc>
      </w:tr>
      <w:tr w:rsidR="007D1E74" w14:paraId="45DD1FE6" w14:textId="77777777">
        <w:tc>
          <w:tcPr>
            <w:tcW w:w="675" w:type="dxa"/>
            <w:vMerge/>
          </w:tcPr>
          <w:p w14:paraId="3583792E" w14:textId="77777777" w:rsidR="007D1E74" w:rsidRDefault="007D1E74">
            <w:pPr>
              <w:jc w:val="center"/>
              <w:rPr>
                <w:szCs w:val="21"/>
              </w:rPr>
            </w:pPr>
          </w:p>
        </w:tc>
        <w:tc>
          <w:tcPr>
            <w:tcW w:w="1705" w:type="dxa"/>
          </w:tcPr>
          <w:p w14:paraId="0FCCBC65" w14:textId="77777777" w:rsidR="007D1E74" w:rsidRDefault="00A95641">
            <w:pPr>
              <w:jc w:val="center"/>
              <w:rPr>
                <w:szCs w:val="21"/>
              </w:rPr>
            </w:pPr>
            <w:r>
              <w:rPr>
                <w:rFonts w:hint="eastAsia"/>
                <w:szCs w:val="21"/>
              </w:rPr>
              <w:t>土地利用</w:t>
            </w:r>
          </w:p>
        </w:tc>
        <w:tc>
          <w:tcPr>
            <w:tcW w:w="1190" w:type="dxa"/>
          </w:tcPr>
          <w:p w14:paraId="3C642AA2" w14:textId="77777777" w:rsidR="007D1E74" w:rsidRDefault="00A95641">
            <w:pPr>
              <w:jc w:val="center"/>
              <w:rPr>
                <w:szCs w:val="21"/>
              </w:rPr>
            </w:pPr>
            <w:r>
              <w:rPr>
                <w:rFonts w:hint="eastAsia"/>
                <w:szCs w:val="21"/>
              </w:rPr>
              <w:t>/</w:t>
            </w:r>
          </w:p>
        </w:tc>
        <w:tc>
          <w:tcPr>
            <w:tcW w:w="1191" w:type="dxa"/>
          </w:tcPr>
          <w:p w14:paraId="69C46EAD" w14:textId="77777777" w:rsidR="007D1E74" w:rsidRDefault="00A95641">
            <w:pPr>
              <w:jc w:val="center"/>
              <w:rPr>
                <w:szCs w:val="21"/>
              </w:rPr>
            </w:pPr>
            <w:r>
              <w:rPr>
                <w:rFonts w:hint="eastAsia"/>
                <w:szCs w:val="21"/>
              </w:rPr>
              <w:t>有</w:t>
            </w:r>
          </w:p>
        </w:tc>
        <w:tc>
          <w:tcPr>
            <w:tcW w:w="1191" w:type="dxa"/>
          </w:tcPr>
          <w:p w14:paraId="2FD6DD48" w14:textId="77777777" w:rsidR="007D1E74" w:rsidRDefault="00A95641">
            <w:pPr>
              <w:jc w:val="center"/>
              <w:rPr>
                <w:szCs w:val="21"/>
              </w:rPr>
            </w:pPr>
            <w:r>
              <w:rPr>
                <w:rFonts w:hint="eastAsia"/>
                <w:szCs w:val="21"/>
              </w:rPr>
              <w:t>明显</w:t>
            </w:r>
          </w:p>
        </w:tc>
        <w:tc>
          <w:tcPr>
            <w:tcW w:w="1191" w:type="dxa"/>
          </w:tcPr>
          <w:p w14:paraId="60F3E55A" w14:textId="77777777" w:rsidR="007D1E74" w:rsidRDefault="00A95641">
            <w:pPr>
              <w:jc w:val="center"/>
              <w:rPr>
                <w:szCs w:val="21"/>
              </w:rPr>
            </w:pPr>
            <w:r>
              <w:rPr>
                <w:rFonts w:hint="eastAsia"/>
                <w:szCs w:val="21"/>
              </w:rPr>
              <w:t>/</w:t>
            </w:r>
          </w:p>
        </w:tc>
        <w:tc>
          <w:tcPr>
            <w:tcW w:w="1191" w:type="dxa"/>
          </w:tcPr>
          <w:p w14:paraId="07B29181" w14:textId="77777777" w:rsidR="007D1E74" w:rsidRDefault="00A95641">
            <w:pPr>
              <w:jc w:val="center"/>
              <w:rPr>
                <w:szCs w:val="21"/>
              </w:rPr>
            </w:pPr>
            <w:r>
              <w:rPr>
                <w:rFonts w:hint="eastAsia"/>
                <w:szCs w:val="21"/>
              </w:rPr>
              <w:t>/</w:t>
            </w:r>
          </w:p>
        </w:tc>
        <w:tc>
          <w:tcPr>
            <w:tcW w:w="1191" w:type="dxa"/>
          </w:tcPr>
          <w:p w14:paraId="6884B33D" w14:textId="77777777" w:rsidR="007D1E74" w:rsidRDefault="00A95641">
            <w:pPr>
              <w:jc w:val="center"/>
              <w:rPr>
                <w:szCs w:val="21"/>
              </w:rPr>
            </w:pPr>
            <w:r>
              <w:rPr>
                <w:rFonts w:hint="eastAsia"/>
                <w:szCs w:val="21"/>
              </w:rPr>
              <w:t>/</w:t>
            </w:r>
          </w:p>
        </w:tc>
      </w:tr>
      <w:tr w:rsidR="007D1E74" w14:paraId="04AE80C9" w14:textId="77777777">
        <w:tc>
          <w:tcPr>
            <w:tcW w:w="675" w:type="dxa"/>
            <w:vMerge/>
          </w:tcPr>
          <w:p w14:paraId="4F1D943E" w14:textId="77777777" w:rsidR="007D1E74" w:rsidRDefault="007D1E74">
            <w:pPr>
              <w:jc w:val="center"/>
              <w:rPr>
                <w:szCs w:val="21"/>
              </w:rPr>
            </w:pPr>
          </w:p>
        </w:tc>
        <w:tc>
          <w:tcPr>
            <w:tcW w:w="1705" w:type="dxa"/>
          </w:tcPr>
          <w:p w14:paraId="3CCCF89F" w14:textId="77777777" w:rsidR="007D1E74" w:rsidRDefault="00A95641">
            <w:pPr>
              <w:jc w:val="center"/>
              <w:rPr>
                <w:szCs w:val="21"/>
              </w:rPr>
            </w:pPr>
            <w:r>
              <w:rPr>
                <w:rFonts w:hint="eastAsia"/>
                <w:szCs w:val="21"/>
              </w:rPr>
              <w:t>野生植物</w:t>
            </w:r>
          </w:p>
        </w:tc>
        <w:tc>
          <w:tcPr>
            <w:tcW w:w="1190" w:type="dxa"/>
          </w:tcPr>
          <w:p w14:paraId="1E6ACD65" w14:textId="77777777" w:rsidR="007D1E74" w:rsidRDefault="00A95641">
            <w:pPr>
              <w:jc w:val="center"/>
              <w:rPr>
                <w:szCs w:val="21"/>
              </w:rPr>
            </w:pPr>
            <w:r>
              <w:rPr>
                <w:rFonts w:hint="eastAsia"/>
                <w:szCs w:val="21"/>
              </w:rPr>
              <w:t>/</w:t>
            </w:r>
          </w:p>
        </w:tc>
        <w:tc>
          <w:tcPr>
            <w:tcW w:w="1191" w:type="dxa"/>
          </w:tcPr>
          <w:p w14:paraId="0256692C" w14:textId="77777777" w:rsidR="007D1E74" w:rsidRDefault="00A95641">
            <w:pPr>
              <w:jc w:val="center"/>
              <w:rPr>
                <w:szCs w:val="21"/>
              </w:rPr>
            </w:pPr>
            <w:r>
              <w:rPr>
                <w:rFonts w:hint="eastAsia"/>
                <w:szCs w:val="21"/>
              </w:rPr>
              <w:t>有</w:t>
            </w:r>
          </w:p>
        </w:tc>
        <w:tc>
          <w:tcPr>
            <w:tcW w:w="1191" w:type="dxa"/>
          </w:tcPr>
          <w:p w14:paraId="480D696B" w14:textId="77777777" w:rsidR="007D1E74" w:rsidRDefault="00A95641">
            <w:pPr>
              <w:jc w:val="center"/>
              <w:rPr>
                <w:szCs w:val="21"/>
              </w:rPr>
            </w:pPr>
            <w:r>
              <w:rPr>
                <w:rFonts w:hint="eastAsia"/>
                <w:szCs w:val="21"/>
              </w:rPr>
              <w:t>一般</w:t>
            </w:r>
          </w:p>
        </w:tc>
        <w:tc>
          <w:tcPr>
            <w:tcW w:w="1191" w:type="dxa"/>
          </w:tcPr>
          <w:p w14:paraId="4591FCB3" w14:textId="77777777" w:rsidR="007D1E74" w:rsidRDefault="00A95641">
            <w:pPr>
              <w:jc w:val="center"/>
              <w:rPr>
                <w:szCs w:val="21"/>
              </w:rPr>
            </w:pPr>
            <w:r>
              <w:rPr>
                <w:rFonts w:hint="eastAsia"/>
                <w:szCs w:val="21"/>
              </w:rPr>
              <w:t>/</w:t>
            </w:r>
          </w:p>
        </w:tc>
        <w:tc>
          <w:tcPr>
            <w:tcW w:w="1191" w:type="dxa"/>
          </w:tcPr>
          <w:p w14:paraId="0C982CCE" w14:textId="77777777" w:rsidR="007D1E74" w:rsidRDefault="00A95641">
            <w:pPr>
              <w:jc w:val="center"/>
              <w:rPr>
                <w:szCs w:val="21"/>
              </w:rPr>
            </w:pPr>
            <w:r>
              <w:rPr>
                <w:rFonts w:hint="eastAsia"/>
                <w:szCs w:val="21"/>
              </w:rPr>
              <w:t>/</w:t>
            </w:r>
          </w:p>
        </w:tc>
        <w:tc>
          <w:tcPr>
            <w:tcW w:w="1191" w:type="dxa"/>
          </w:tcPr>
          <w:p w14:paraId="44FBA324" w14:textId="77777777" w:rsidR="007D1E74" w:rsidRDefault="00A95641">
            <w:pPr>
              <w:jc w:val="center"/>
              <w:rPr>
                <w:szCs w:val="21"/>
              </w:rPr>
            </w:pPr>
            <w:r>
              <w:rPr>
                <w:rFonts w:hint="eastAsia"/>
                <w:szCs w:val="21"/>
              </w:rPr>
              <w:t>/</w:t>
            </w:r>
          </w:p>
        </w:tc>
      </w:tr>
      <w:tr w:rsidR="007D1E74" w14:paraId="3129415C" w14:textId="77777777">
        <w:tc>
          <w:tcPr>
            <w:tcW w:w="675" w:type="dxa"/>
            <w:vMerge/>
          </w:tcPr>
          <w:p w14:paraId="358F574B" w14:textId="77777777" w:rsidR="007D1E74" w:rsidRDefault="007D1E74">
            <w:pPr>
              <w:rPr>
                <w:szCs w:val="21"/>
              </w:rPr>
            </w:pPr>
          </w:p>
        </w:tc>
        <w:tc>
          <w:tcPr>
            <w:tcW w:w="1705" w:type="dxa"/>
          </w:tcPr>
          <w:p w14:paraId="57149B88" w14:textId="77777777" w:rsidR="007D1E74" w:rsidRDefault="00A95641">
            <w:pPr>
              <w:jc w:val="center"/>
              <w:rPr>
                <w:szCs w:val="21"/>
              </w:rPr>
            </w:pPr>
            <w:r>
              <w:rPr>
                <w:rFonts w:hint="eastAsia"/>
                <w:szCs w:val="21"/>
              </w:rPr>
              <w:t>野生动物</w:t>
            </w:r>
          </w:p>
        </w:tc>
        <w:tc>
          <w:tcPr>
            <w:tcW w:w="1190" w:type="dxa"/>
          </w:tcPr>
          <w:p w14:paraId="4C9F8E97" w14:textId="77777777" w:rsidR="007D1E74" w:rsidRDefault="00A95641">
            <w:pPr>
              <w:jc w:val="center"/>
              <w:rPr>
                <w:szCs w:val="21"/>
              </w:rPr>
            </w:pPr>
            <w:r>
              <w:rPr>
                <w:rFonts w:hint="eastAsia"/>
                <w:szCs w:val="21"/>
              </w:rPr>
              <w:t>/</w:t>
            </w:r>
          </w:p>
        </w:tc>
        <w:tc>
          <w:tcPr>
            <w:tcW w:w="1191" w:type="dxa"/>
          </w:tcPr>
          <w:p w14:paraId="202E1D0F" w14:textId="77777777" w:rsidR="007D1E74" w:rsidRDefault="00A95641">
            <w:pPr>
              <w:jc w:val="center"/>
              <w:rPr>
                <w:szCs w:val="21"/>
              </w:rPr>
            </w:pPr>
            <w:r>
              <w:rPr>
                <w:rFonts w:hint="eastAsia"/>
                <w:szCs w:val="21"/>
              </w:rPr>
              <w:t>有</w:t>
            </w:r>
          </w:p>
        </w:tc>
        <w:tc>
          <w:tcPr>
            <w:tcW w:w="1191" w:type="dxa"/>
          </w:tcPr>
          <w:p w14:paraId="241D9900" w14:textId="77777777" w:rsidR="007D1E74" w:rsidRDefault="00A95641">
            <w:pPr>
              <w:jc w:val="center"/>
              <w:rPr>
                <w:szCs w:val="21"/>
              </w:rPr>
            </w:pPr>
            <w:r>
              <w:rPr>
                <w:rFonts w:hint="eastAsia"/>
                <w:szCs w:val="21"/>
              </w:rPr>
              <w:t>明显</w:t>
            </w:r>
          </w:p>
        </w:tc>
        <w:tc>
          <w:tcPr>
            <w:tcW w:w="1191" w:type="dxa"/>
          </w:tcPr>
          <w:p w14:paraId="1E835298" w14:textId="77777777" w:rsidR="007D1E74" w:rsidRDefault="00A95641">
            <w:pPr>
              <w:jc w:val="center"/>
              <w:rPr>
                <w:szCs w:val="21"/>
              </w:rPr>
            </w:pPr>
            <w:r>
              <w:rPr>
                <w:rFonts w:hint="eastAsia"/>
                <w:szCs w:val="21"/>
              </w:rPr>
              <w:t>/</w:t>
            </w:r>
          </w:p>
        </w:tc>
        <w:tc>
          <w:tcPr>
            <w:tcW w:w="1191" w:type="dxa"/>
          </w:tcPr>
          <w:p w14:paraId="2F045089" w14:textId="77777777" w:rsidR="007D1E74" w:rsidRDefault="00A95641">
            <w:pPr>
              <w:jc w:val="center"/>
              <w:rPr>
                <w:szCs w:val="21"/>
              </w:rPr>
            </w:pPr>
            <w:r>
              <w:rPr>
                <w:rFonts w:hint="eastAsia"/>
                <w:szCs w:val="21"/>
              </w:rPr>
              <w:t>/</w:t>
            </w:r>
          </w:p>
        </w:tc>
        <w:tc>
          <w:tcPr>
            <w:tcW w:w="1191" w:type="dxa"/>
          </w:tcPr>
          <w:p w14:paraId="53925DE7" w14:textId="77777777" w:rsidR="007D1E74" w:rsidRDefault="00A95641">
            <w:pPr>
              <w:jc w:val="center"/>
              <w:rPr>
                <w:szCs w:val="21"/>
              </w:rPr>
            </w:pPr>
            <w:r>
              <w:rPr>
                <w:rFonts w:hint="eastAsia"/>
                <w:szCs w:val="21"/>
              </w:rPr>
              <w:t>/</w:t>
            </w:r>
          </w:p>
        </w:tc>
      </w:tr>
      <w:tr w:rsidR="007D1E74" w14:paraId="586A8734" w14:textId="77777777">
        <w:tc>
          <w:tcPr>
            <w:tcW w:w="675" w:type="dxa"/>
            <w:vMerge/>
          </w:tcPr>
          <w:p w14:paraId="16BD231E" w14:textId="77777777" w:rsidR="007D1E74" w:rsidRDefault="007D1E74">
            <w:pPr>
              <w:jc w:val="center"/>
              <w:rPr>
                <w:szCs w:val="21"/>
              </w:rPr>
            </w:pPr>
          </w:p>
        </w:tc>
        <w:tc>
          <w:tcPr>
            <w:tcW w:w="1705" w:type="dxa"/>
          </w:tcPr>
          <w:p w14:paraId="70F8EE51" w14:textId="77777777" w:rsidR="007D1E74" w:rsidRDefault="00A95641">
            <w:pPr>
              <w:jc w:val="center"/>
              <w:rPr>
                <w:szCs w:val="21"/>
              </w:rPr>
            </w:pPr>
            <w:r>
              <w:rPr>
                <w:rFonts w:hint="eastAsia"/>
                <w:szCs w:val="21"/>
              </w:rPr>
              <w:t>保护区</w:t>
            </w:r>
          </w:p>
        </w:tc>
        <w:tc>
          <w:tcPr>
            <w:tcW w:w="1190" w:type="dxa"/>
          </w:tcPr>
          <w:p w14:paraId="18DB9104" w14:textId="77777777" w:rsidR="007D1E74" w:rsidRDefault="00A95641">
            <w:pPr>
              <w:jc w:val="center"/>
              <w:rPr>
                <w:szCs w:val="21"/>
              </w:rPr>
            </w:pPr>
            <w:r>
              <w:rPr>
                <w:rFonts w:hint="eastAsia"/>
                <w:szCs w:val="21"/>
              </w:rPr>
              <w:t>/</w:t>
            </w:r>
          </w:p>
        </w:tc>
        <w:tc>
          <w:tcPr>
            <w:tcW w:w="1191" w:type="dxa"/>
          </w:tcPr>
          <w:p w14:paraId="3A56F609" w14:textId="77777777" w:rsidR="007D1E74" w:rsidRDefault="00A95641">
            <w:pPr>
              <w:jc w:val="center"/>
              <w:rPr>
                <w:szCs w:val="21"/>
              </w:rPr>
            </w:pPr>
            <w:r>
              <w:rPr>
                <w:rFonts w:hint="eastAsia"/>
                <w:szCs w:val="21"/>
              </w:rPr>
              <w:t>有</w:t>
            </w:r>
          </w:p>
        </w:tc>
        <w:tc>
          <w:tcPr>
            <w:tcW w:w="1191" w:type="dxa"/>
          </w:tcPr>
          <w:p w14:paraId="352977DC" w14:textId="77777777" w:rsidR="007D1E74" w:rsidRDefault="00A95641">
            <w:pPr>
              <w:jc w:val="center"/>
              <w:rPr>
                <w:szCs w:val="21"/>
              </w:rPr>
            </w:pPr>
            <w:r>
              <w:rPr>
                <w:rFonts w:hint="eastAsia"/>
                <w:szCs w:val="21"/>
              </w:rPr>
              <w:t>明显</w:t>
            </w:r>
          </w:p>
        </w:tc>
        <w:tc>
          <w:tcPr>
            <w:tcW w:w="1191" w:type="dxa"/>
          </w:tcPr>
          <w:p w14:paraId="12E7FC6E" w14:textId="77777777" w:rsidR="007D1E74" w:rsidRDefault="00A95641">
            <w:pPr>
              <w:jc w:val="center"/>
              <w:rPr>
                <w:szCs w:val="21"/>
              </w:rPr>
            </w:pPr>
            <w:r>
              <w:rPr>
                <w:rFonts w:hint="eastAsia"/>
                <w:szCs w:val="21"/>
              </w:rPr>
              <w:t>/</w:t>
            </w:r>
          </w:p>
        </w:tc>
        <w:tc>
          <w:tcPr>
            <w:tcW w:w="1191" w:type="dxa"/>
          </w:tcPr>
          <w:p w14:paraId="68CBC2B4" w14:textId="77777777" w:rsidR="007D1E74" w:rsidRDefault="00A95641">
            <w:pPr>
              <w:jc w:val="center"/>
              <w:rPr>
                <w:szCs w:val="21"/>
              </w:rPr>
            </w:pPr>
            <w:r>
              <w:rPr>
                <w:rFonts w:hint="eastAsia"/>
                <w:szCs w:val="21"/>
              </w:rPr>
              <w:t>/</w:t>
            </w:r>
          </w:p>
        </w:tc>
        <w:tc>
          <w:tcPr>
            <w:tcW w:w="1191" w:type="dxa"/>
          </w:tcPr>
          <w:p w14:paraId="6BF95CD0" w14:textId="77777777" w:rsidR="007D1E74" w:rsidRDefault="00A95641">
            <w:pPr>
              <w:jc w:val="center"/>
              <w:rPr>
                <w:szCs w:val="21"/>
              </w:rPr>
            </w:pPr>
            <w:r>
              <w:rPr>
                <w:rFonts w:hint="eastAsia"/>
                <w:szCs w:val="21"/>
              </w:rPr>
              <w:t>/</w:t>
            </w:r>
          </w:p>
        </w:tc>
      </w:tr>
      <w:tr w:rsidR="007D1E74" w14:paraId="3939E9D7" w14:textId="77777777">
        <w:tc>
          <w:tcPr>
            <w:tcW w:w="675" w:type="dxa"/>
            <w:vMerge/>
          </w:tcPr>
          <w:p w14:paraId="09D1C89C" w14:textId="77777777" w:rsidR="007D1E74" w:rsidRDefault="007D1E74">
            <w:pPr>
              <w:jc w:val="center"/>
              <w:rPr>
                <w:szCs w:val="21"/>
              </w:rPr>
            </w:pPr>
          </w:p>
        </w:tc>
        <w:tc>
          <w:tcPr>
            <w:tcW w:w="1705" w:type="dxa"/>
          </w:tcPr>
          <w:p w14:paraId="5009BFAB" w14:textId="77777777" w:rsidR="007D1E74" w:rsidRDefault="00A95641">
            <w:pPr>
              <w:jc w:val="center"/>
              <w:rPr>
                <w:szCs w:val="21"/>
              </w:rPr>
            </w:pPr>
            <w:r>
              <w:rPr>
                <w:rFonts w:hint="eastAsia"/>
                <w:szCs w:val="21"/>
              </w:rPr>
              <w:t>农业</w:t>
            </w:r>
          </w:p>
        </w:tc>
        <w:tc>
          <w:tcPr>
            <w:tcW w:w="1190" w:type="dxa"/>
          </w:tcPr>
          <w:p w14:paraId="210AE967" w14:textId="77777777" w:rsidR="007D1E74" w:rsidRDefault="00A95641">
            <w:pPr>
              <w:jc w:val="center"/>
              <w:rPr>
                <w:szCs w:val="21"/>
              </w:rPr>
            </w:pPr>
            <w:r>
              <w:rPr>
                <w:rFonts w:hint="eastAsia"/>
                <w:szCs w:val="21"/>
              </w:rPr>
              <w:t>/</w:t>
            </w:r>
          </w:p>
        </w:tc>
        <w:tc>
          <w:tcPr>
            <w:tcW w:w="1191" w:type="dxa"/>
          </w:tcPr>
          <w:p w14:paraId="3AA8C592" w14:textId="77777777" w:rsidR="007D1E74" w:rsidRDefault="00A95641">
            <w:pPr>
              <w:jc w:val="center"/>
              <w:rPr>
                <w:szCs w:val="21"/>
              </w:rPr>
            </w:pPr>
            <w:r>
              <w:rPr>
                <w:rFonts w:hint="eastAsia"/>
                <w:szCs w:val="21"/>
              </w:rPr>
              <w:t>有</w:t>
            </w:r>
          </w:p>
        </w:tc>
        <w:tc>
          <w:tcPr>
            <w:tcW w:w="1191" w:type="dxa"/>
          </w:tcPr>
          <w:p w14:paraId="77B051DF" w14:textId="77777777" w:rsidR="007D1E74" w:rsidRDefault="00A95641">
            <w:pPr>
              <w:jc w:val="center"/>
              <w:rPr>
                <w:szCs w:val="21"/>
              </w:rPr>
            </w:pPr>
            <w:r>
              <w:rPr>
                <w:rFonts w:hint="eastAsia"/>
                <w:szCs w:val="21"/>
              </w:rPr>
              <w:t>一般</w:t>
            </w:r>
          </w:p>
        </w:tc>
        <w:tc>
          <w:tcPr>
            <w:tcW w:w="1191" w:type="dxa"/>
          </w:tcPr>
          <w:p w14:paraId="4241BE10" w14:textId="77777777" w:rsidR="007D1E74" w:rsidRDefault="00A95641">
            <w:pPr>
              <w:jc w:val="center"/>
              <w:rPr>
                <w:szCs w:val="21"/>
              </w:rPr>
            </w:pPr>
            <w:r>
              <w:rPr>
                <w:rFonts w:hint="eastAsia"/>
                <w:szCs w:val="21"/>
              </w:rPr>
              <w:t>/</w:t>
            </w:r>
          </w:p>
        </w:tc>
        <w:tc>
          <w:tcPr>
            <w:tcW w:w="1191" w:type="dxa"/>
          </w:tcPr>
          <w:p w14:paraId="6F2554EF" w14:textId="77777777" w:rsidR="007D1E74" w:rsidRDefault="00A95641">
            <w:pPr>
              <w:jc w:val="center"/>
              <w:rPr>
                <w:szCs w:val="21"/>
              </w:rPr>
            </w:pPr>
            <w:r>
              <w:rPr>
                <w:rFonts w:hint="eastAsia"/>
                <w:szCs w:val="21"/>
              </w:rPr>
              <w:t>/</w:t>
            </w:r>
          </w:p>
        </w:tc>
        <w:tc>
          <w:tcPr>
            <w:tcW w:w="1191" w:type="dxa"/>
          </w:tcPr>
          <w:p w14:paraId="06384EF6" w14:textId="77777777" w:rsidR="007D1E74" w:rsidRDefault="00A95641">
            <w:pPr>
              <w:jc w:val="center"/>
              <w:rPr>
                <w:szCs w:val="21"/>
              </w:rPr>
            </w:pPr>
            <w:r>
              <w:rPr>
                <w:rFonts w:hint="eastAsia"/>
                <w:szCs w:val="21"/>
              </w:rPr>
              <w:t>/</w:t>
            </w:r>
          </w:p>
        </w:tc>
      </w:tr>
      <w:tr w:rsidR="007D1E74" w14:paraId="3B28FF51" w14:textId="77777777">
        <w:tc>
          <w:tcPr>
            <w:tcW w:w="675" w:type="dxa"/>
            <w:vMerge/>
          </w:tcPr>
          <w:p w14:paraId="7DCCB8F7" w14:textId="77777777" w:rsidR="007D1E74" w:rsidRDefault="007D1E74">
            <w:pPr>
              <w:jc w:val="center"/>
              <w:rPr>
                <w:szCs w:val="21"/>
              </w:rPr>
            </w:pPr>
          </w:p>
        </w:tc>
        <w:tc>
          <w:tcPr>
            <w:tcW w:w="1705" w:type="dxa"/>
          </w:tcPr>
          <w:p w14:paraId="31E0D018" w14:textId="77777777" w:rsidR="007D1E74" w:rsidRDefault="00A95641">
            <w:pPr>
              <w:jc w:val="center"/>
              <w:rPr>
                <w:szCs w:val="21"/>
              </w:rPr>
            </w:pPr>
            <w:r>
              <w:rPr>
                <w:rFonts w:hint="eastAsia"/>
                <w:szCs w:val="21"/>
              </w:rPr>
              <w:t>林业</w:t>
            </w:r>
          </w:p>
        </w:tc>
        <w:tc>
          <w:tcPr>
            <w:tcW w:w="1190" w:type="dxa"/>
          </w:tcPr>
          <w:p w14:paraId="189C0602" w14:textId="77777777" w:rsidR="007D1E74" w:rsidRDefault="00A95641">
            <w:pPr>
              <w:jc w:val="center"/>
              <w:rPr>
                <w:szCs w:val="21"/>
              </w:rPr>
            </w:pPr>
            <w:r>
              <w:rPr>
                <w:rFonts w:hint="eastAsia"/>
                <w:szCs w:val="21"/>
              </w:rPr>
              <w:t>/</w:t>
            </w:r>
          </w:p>
        </w:tc>
        <w:tc>
          <w:tcPr>
            <w:tcW w:w="1191" w:type="dxa"/>
          </w:tcPr>
          <w:p w14:paraId="349F33AC" w14:textId="77777777" w:rsidR="007D1E74" w:rsidRDefault="00A95641">
            <w:pPr>
              <w:jc w:val="center"/>
              <w:rPr>
                <w:szCs w:val="21"/>
              </w:rPr>
            </w:pPr>
            <w:r>
              <w:rPr>
                <w:rFonts w:hint="eastAsia"/>
                <w:szCs w:val="21"/>
              </w:rPr>
              <w:t>有</w:t>
            </w:r>
          </w:p>
        </w:tc>
        <w:tc>
          <w:tcPr>
            <w:tcW w:w="1191" w:type="dxa"/>
          </w:tcPr>
          <w:p w14:paraId="5A8E291F" w14:textId="77777777" w:rsidR="007D1E74" w:rsidRDefault="00A95641">
            <w:pPr>
              <w:jc w:val="center"/>
              <w:rPr>
                <w:szCs w:val="21"/>
              </w:rPr>
            </w:pPr>
            <w:r>
              <w:rPr>
                <w:rFonts w:hint="eastAsia"/>
                <w:szCs w:val="21"/>
              </w:rPr>
              <w:t>一般</w:t>
            </w:r>
          </w:p>
        </w:tc>
        <w:tc>
          <w:tcPr>
            <w:tcW w:w="1191" w:type="dxa"/>
          </w:tcPr>
          <w:p w14:paraId="1ACC69B9" w14:textId="77777777" w:rsidR="007D1E74" w:rsidRDefault="00A95641">
            <w:pPr>
              <w:jc w:val="center"/>
              <w:rPr>
                <w:szCs w:val="21"/>
              </w:rPr>
            </w:pPr>
            <w:r>
              <w:rPr>
                <w:rFonts w:hint="eastAsia"/>
                <w:szCs w:val="21"/>
              </w:rPr>
              <w:t>/</w:t>
            </w:r>
          </w:p>
        </w:tc>
        <w:tc>
          <w:tcPr>
            <w:tcW w:w="1191" w:type="dxa"/>
          </w:tcPr>
          <w:p w14:paraId="2F00A16B" w14:textId="77777777" w:rsidR="007D1E74" w:rsidRDefault="00A95641">
            <w:pPr>
              <w:jc w:val="center"/>
              <w:rPr>
                <w:szCs w:val="21"/>
              </w:rPr>
            </w:pPr>
            <w:r>
              <w:rPr>
                <w:rFonts w:hint="eastAsia"/>
                <w:szCs w:val="21"/>
              </w:rPr>
              <w:t>有</w:t>
            </w:r>
          </w:p>
        </w:tc>
        <w:tc>
          <w:tcPr>
            <w:tcW w:w="1191" w:type="dxa"/>
          </w:tcPr>
          <w:p w14:paraId="463D5D16" w14:textId="77777777" w:rsidR="007D1E74" w:rsidRDefault="00A95641">
            <w:pPr>
              <w:jc w:val="center"/>
              <w:rPr>
                <w:szCs w:val="21"/>
              </w:rPr>
            </w:pPr>
            <w:r>
              <w:rPr>
                <w:rFonts w:hint="eastAsia"/>
                <w:szCs w:val="21"/>
              </w:rPr>
              <w:t>一般</w:t>
            </w:r>
          </w:p>
        </w:tc>
      </w:tr>
      <w:tr w:rsidR="007D1E74" w14:paraId="7FB42344" w14:textId="77777777">
        <w:tc>
          <w:tcPr>
            <w:tcW w:w="675" w:type="dxa"/>
            <w:vMerge w:val="restart"/>
          </w:tcPr>
          <w:p w14:paraId="2ED7969A" w14:textId="77777777" w:rsidR="007D1E74" w:rsidRDefault="00A95641">
            <w:pPr>
              <w:jc w:val="center"/>
              <w:rPr>
                <w:szCs w:val="21"/>
              </w:rPr>
            </w:pPr>
            <w:r>
              <w:rPr>
                <w:rFonts w:hint="eastAsia"/>
                <w:szCs w:val="21"/>
              </w:rPr>
              <w:t>环境质量</w:t>
            </w:r>
          </w:p>
        </w:tc>
        <w:tc>
          <w:tcPr>
            <w:tcW w:w="1705" w:type="dxa"/>
          </w:tcPr>
          <w:p w14:paraId="1FB9530F" w14:textId="77777777" w:rsidR="007D1E74" w:rsidRDefault="00A95641">
            <w:pPr>
              <w:jc w:val="center"/>
              <w:rPr>
                <w:szCs w:val="21"/>
              </w:rPr>
            </w:pPr>
            <w:r>
              <w:rPr>
                <w:rFonts w:hint="eastAsia"/>
                <w:szCs w:val="21"/>
              </w:rPr>
              <w:t>地表水</w:t>
            </w:r>
          </w:p>
        </w:tc>
        <w:tc>
          <w:tcPr>
            <w:tcW w:w="1190" w:type="dxa"/>
          </w:tcPr>
          <w:p w14:paraId="23B43A5F" w14:textId="77777777" w:rsidR="007D1E74" w:rsidRDefault="00A95641">
            <w:pPr>
              <w:jc w:val="center"/>
              <w:rPr>
                <w:szCs w:val="21"/>
              </w:rPr>
            </w:pPr>
            <w:r>
              <w:rPr>
                <w:rFonts w:hint="eastAsia"/>
                <w:szCs w:val="21"/>
              </w:rPr>
              <w:t>/</w:t>
            </w:r>
          </w:p>
        </w:tc>
        <w:tc>
          <w:tcPr>
            <w:tcW w:w="1191" w:type="dxa"/>
          </w:tcPr>
          <w:p w14:paraId="543012C5" w14:textId="77777777" w:rsidR="007D1E74" w:rsidRDefault="00A95641">
            <w:pPr>
              <w:jc w:val="center"/>
              <w:rPr>
                <w:szCs w:val="21"/>
              </w:rPr>
            </w:pPr>
            <w:r>
              <w:rPr>
                <w:rFonts w:hint="eastAsia"/>
                <w:szCs w:val="21"/>
              </w:rPr>
              <w:t>有</w:t>
            </w:r>
          </w:p>
        </w:tc>
        <w:tc>
          <w:tcPr>
            <w:tcW w:w="1191" w:type="dxa"/>
          </w:tcPr>
          <w:p w14:paraId="534CFB9D" w14:textId="77777777" w:rsidR="007D1E74" w:rsidRDefault="00A95641">
            <w:pPr>
              <w:jc w:val="center"/>
              <w:rPr>
                <w:szCs w:val="21"/>
              </w:rPr>
            </w:pPr>
            <w:r>
              <w:rPr>
                <w:rFonts w:hint="eastAsia"/>
                <w:szCs w:val="21"/>
              </w:rPr>
              <w:t>明显</w:t>
            </w:r>
          </w:p>
        </w:tc>
        <w:tc>
          <w:tcPr>
            <w:tcW w:w="1191" w:type="dxa"/>
          </w:tcPr>
          <w:p w14:paraId="4B5D8D07" w14:textId="77777777" w:rsidR="007D1E74" w:rsidRDefault="00A95641">
            <w:pPr>
              <w:jc w:val="center"/>
              <w:rPr>
                <w:szCs w:val="21"/>
              </w:rPr>
            </w:pPr>
            <w:r>
              <w:rPr>
                <w:rFonts w:hint="eastAsia"/>
                <w:szCs w:val="21"/>
              </w:rPr>
              <w:t>/</w:t>
            </w:r>
          </w:p>
        </w:tc>
        <w:tc>
          <w:tcPr>
            <w:tcW w:w="1191" w:type="dxa"/>
          </w:tcPr>
          <w:p w14:paraId="5EF81AF6" w14:textId="77777777" w:rsidR="007D1E74" w:rsidRDefault="00A95641">
            <w:pPr>
              <w:jc w:val="center"/>
              <w:rPr>
                <w:szCs w:val="21"/>
              </w:rPr>
            </w:pPr>
            <w:r>
              <w:rPr>
                <w:rFonts w:hint="eastAsia"/>
                <w:szCs w:val="21"/>
              </w:rPr>
              <w:t>/</w:t>
            </w:r>
          </w:p>
        </w:tc>
        <w:tc>
          <w:tcPr>
            <w:tcW w:w="1191" w:type="dxa"/>
          </w:tcPr>
          <w:p w14:paraId="6F2F2BE7" w14:textId="77777777" w:rsidR="007D1E74" w:rsidRDefault="00A95641">
            <w:pPr>
              <w:jc w:val="center"/>
              <w:rPr>
                <w:szCs w:val="21"/>
              </w:rPr>
            </w:pPr>
            <w:r>
              <w:rPr>
                <w:rFonts w:hint="eastAsia"/>
                <w:szCs w:val="21"/>
              </w:rPr>
              <w:t>/</w:t>
            </w:r>
          </w:p>
        </w:tc>
      </w:tr>
      <w:tr w:rsidR="007D1E74" w14:paraId="14927D51" w14:textId="77777777">
        <w:tc>
          <w:tcPr>
            <w:tcW w:w="675" w:type="dxa"/>
            <w:vMerge/>
          </w:tcPr>
          <w:p w14:paraId="3CB9ECB4" w14:textId="77777777" w:rsidR="007D1E74" w:rsidRDefault="007D1E74">
            <w:pPr>
              <w:jc w:val="center"/>
              <w:rPr>
                <w:szCs w:val="21"/>
              </w:rPr>
            </w:pPr>
          </w:p>
        </w:tc>
        <w:tc>
          <w:tcPr>
            <w:tcW w:w="1705" w:type="dxa"/>
          </w:tcPr>
          <w:p w14:paraId="43BA78C0" w14:textId="77777777" w:rsidR="007D1E74" w:rsidRDefault="00A95641">
            <w:pPr>
              <w:jc w:val="center"/>
              <w:rPr>
                <w:szCs w:val="21"/>
              </w:rPr>
            </w:pPr>
            <w:r>
              <w:rPr>
                <w:rFonts w:hint="eastAsia"/>
                <w:szCs w:val="21"/>
              </w:rPr>
              <w:t>地下水</w:t>
            </w:r>
          </w:p>
        </w:tc>
        <w:tc>
          <w:tcPr>
            <w:tcW w:w="1190" w:type="dxa"/>
          </w:tcPr>
          <w:p w14:paraId="63B742E7" w14:textId="77777777" w:rsidR="007D1E74" w:rsidRDefault="00A95641">
            <w:pPr>
              <w:jc w:val="center"/>
              <w:rPr>
                <w:szCs w:val="21"/>
              </w:rPr>
            </w:pPr>
            <w:r>
              <w:rPr>
                <w:rFonts w:hint="eastAsia"/>
                <w:szCs w:val="21"/>
              </w:rPr>
              <w:t>/</w:t>
            </w:r>
          </w:p>
        </w:tc>
        <w:tc>
          <w:tcPr>
            <w:tcW w:w="1191" w:type="dxa"/>
          </w:tcPr>
          <w:p w14:paraId="088E7A01" w14:textId="77777777" w:rsidR="007D1E74" w:rsidRDefault="00A95641">
            <w:pPr>
              <w:jc w:val="center"/>
              <w:rPr>
                <w:szCs w:val="21"/>
              </w:rPr>
            </w:pPr>
            <w:r>
              <w:rPr>
                <w:rFonts w:hint="eastAsia"/>
                <w:szCs w:val="21"/>
              </w:rPr>
              <w:t>有</w:t>
            </w:r>
          </w:p>
        </w:tc>
        <w:tc>
          <w:tcPr>
            <w:tcW w:w="1191" w:type="dxa"/>
          </w:tcPr>
          <w:p w14:paraId="5CEB22EC" w14:textId="77777777" w:rsidR="007D1E74" w:rsidRDefault="00A95641">
            <w:pPr>
              <w:jc w:val="center"/>
              <w:rPr>
                <w:szCs w:val="21"/>
              </w:rPr>
            </w:pPr>
            <w:r>
              <w:rPr>
                <w:rFonts w:hint="eastAsia"/>
                <w:szCs w:val="21"/>
              </w:rPr>
              <w:t>明显</w:t>
            </w:r>
          </w:p>
        </w:tc>
        <w:tc>
          <w:tcPr>
            <w:tcW w:w="1191" w:type="dxa"/>
          </w:tcPr>
          <w:p w14:paraId="43A7982B" w14:textId="77777777" w:rsidR="007D1E74" w:rsidRDefault="00A95641">
            <w:pPr>
              <w:jc w:val="center"/>
              <w:rPr>
                <w:szCs w:val="21"/>
              </w:rPr>
            </w:pPr>
            <w:r>
              <w:rPr>
                <w:rFonts w:hint="eastAsia"/>
                <w:szCs w:val="21"/>
              </w:rPr>
              <w:t>/</w:t>
            </w:r>
          </w:p>
        </w:tc>
        <w:tc>
          <w:tcPr>
            <w:tcW w:w="1191" w:type="dxa"/>
          </w:tcPr>
          <w:p w14:paraId="0F857AB2" w14:textId="77777777" w:rsidR="007D1E74" w:rsidRDefault="00A95641">
            <w:pPr>
              <w:jc w:val="center"/>
              <w:rPr>
                <w:szCs w:val="21"/>
              </w:rPr>
            </w:pPr>
            <w:r>
              <w:rPr>
                <w:rFonts w:hint="eastAsia"/>
                <w:szCs w:val="21"/>
              </w:rPr>
              <w:t>/</w:t>
            </w:r>
          </w:p>
        </w:tc>
        <w:tc>
          <w:tcPr>
            <w:tcW w:w="1191" w:type="dxa"/>
          </w:tcPr>
          <w:p w14:paraId="0EC0C6AC" w14:textId="77777777" w:rsidR="007D1E74" w:rsidRDefault="00A95641">
            <w:pPr>
              <w:jc w:val="center"/>
              <w:rPr>
                <w:szCs w:val="21"/>
              </w:rPr>
            </w:pPr>
            <w:r>
              <w:rPr>
                <w:rFonts w:hint="eastAsia"/>
                <w:szCs w:val="21"/>
              </w:rPr>
              <w:t>/</w:t>
            </w:r>
          </w:p>
        </w:tc>
      </w:tr>
      <w:tr w:rsidR="007D1E74" w14:paraId="3D9DF989" w14:textId="77777777">
        <w:tc>
          <w:tcPr>
            <w:tcW w:w="675" w:type="dxa"/>
            <w:vMerge/>
          </w:tcPr>
          <w:p w14:paraId="52DE552E" w14:textId="77777777" w:rsidR="007D1E74" w:rsidRDefault="007D1E74">
            <w:pPr>
              <w:jc w:val="center"/>
              <w:rPr>
                <w:szCs w:val="21"/>
              </w:rPr>
            </w:pPr>
          </w:p>
        </w:tc>
        <w:tc>
          <w:tcPr>
            <w:tcW w:w="1705" w:type="dxa"/>
          </w:tcPr>
          <w:p w14:paraId="3676ADDD" w14:textId="77777777" w:rsidR="007D1E74" w:rsidRDefault="00A95641">
            <w:pPr>
              <w:jc w:val="center"/>
              <w:rPr>
                <w:szCs w:val="21"/>
              </w:rPr>
            </w:pPr>
            <w:r>
              <w:rPr>
                <w:rFonts w:hint="eastAsia"/>
                <w:szCs w:val="21"/>
              </w:rPr>
              <w:t>环境空气</w:t>
            </w:r>
          </w:p>
        </w:tc>
        <w:tc>
          <w:tcPr>
            <w:tcW w:w="1190" w:type="dxa"/>
          </w:tcPr>
          <w:p w14:paraId="01F8BD33" w14:textId="77777777" w:rsidR="007D1E74" w:rsidRDefault="00A95641">
            <w:pPr>
              <w:jc w:val="center"/>
              <w:rPr>
                <w:szCs w:val="21"/>
              </w:rPr>
            </w:pPr>
            <w:r>
              <w:rPr>
                <w:rFonts w:hint="eastAsia"/>
                <w:szCs w:val="21"/>
              </w:rPr>
              <w:t>/</w:t>
            </w:r>
          </w:p>
        </w:tc>
        <w:tc>
          <w:tcPr>
            <w:tcW w:w="1191" w:type="dxa"/>
          </w:tcPr>
          <w:p w14:paraId="3E7EECB3" w14:textId="77777777" w:rsidR="007D1E74" w:rsidRDefault="00A95641">
            <w:pPr>
              <w:jc w:val="center"/>
              <w:rPr>
                <w:szCs w:val="21"/>
              </w:rPr>
            </w:pPr>
            <w:r>
              <w:rPr>
                <w:rFonts w:hint="eastAsia"/>
                <w:szCs w:val="21"/>
              </w:rPr>
              <w:t>有</w:t>
            </w:r>
          </w:p>
        </w:tc>
        <w:tc>
          <w:tcPr>
            <w:tcW w:w="1191" w:type="dxa"/>
          </w:tcPr>
          <w:p w14:paraId="264B5816" w14:textId="77777777" w:rsidR="007D1E74" w:rsidRDefault="00A95641">
            <w:pPr>
              <w:jc w:val="center"/>
              <w:rPr>
                <w:szCs w:val="21"/>
              </w:rPr>
            </w:pPr>
            <w:r>
              <w:rPr>
                <w:rFonts w:hint="eastAsia"/>
                <w:szCs w:val="21"/>
              </w:rPr>
              <w:t>一般</w:t>
            </w:r>
          </w:p>
        </w:tc>
        <w:tc>
          <w:tcPr>
            <w:tcW w:w="1191" w:type="dxa"/>
          </w:tcPr>
          <w:p w14:paraId="337F124B" w14:textId="77777777" w:rsidR="007D1E74" w:rsidRDefault="00A95641">
            <w:pPr>
              <w:jc w:val="center"/>
              <w:rPr>
                <w:szCs w:val="21"/>
              </w:rPr>
            </w:pPr>
            <w:r>
              <w:rPr>
                <w:rFonts w:hint="eastAsia"/>
                <w:szCs w:val="21"/>
              </w:rPr>
              <w:t>/</w:t>
            </w:r>
          </w:p>
        </w:tc>
        <w:tc>
          <w:tcPr>
            <w:tcW w:w="1191" w:type="dxa"/>
          </w:tcPr>
          <w:p w14:paraId="2CED99F8" w14:textId="77777777" w:rsidR="007D1E74" w:rsidRDefault="00A95641">
            <w:pPr>
              <w:jc w:val="center"/>
              <w:rPr>
                <w:szCs w:val="21"/>
              </w:rPr>
            </w:pPr>
            <w:r>
              <w:rPr>
                <w:rFonts w:hint="eastAsia"/>
                <w:szCs w:val="21"/>
              </w:rPr>
              <w:t>/</w:t>
            </w:r>
          </w:p>
        </w:tc>
        <w:tc>
          <w:tcPr>
            <w:tcW w:w="1191" w:type="dxa"/>
          </w:tcPr>
          <w:p w14:paraId="323886F3" w14:textId="77777777" w:rsidR="007D1E74" w:rsidRDefault="00A95641">
            <w:pPr>
              <w:jc w:val="center"/>
              <w:rPr>
                <w:szCs w:val="21"/>
              </w:rPr>
            </w:pPr>
            <w:r>
              <w:rPr>
                <w:rFonts w:hint="eastAsia"/>
                <w:szCs w:val="21"/>
              </w:rPr>
              <w:t>/</w:t>
            </w:r>
          </w:p>
        </w:tc>
      </w:tr>
      <w:tr w:rsidR="007D1E74" w14:paraId="15C97065" w14:textId="77777777">
        <w:tc>
          <w:tcPr>
            <w:tcW w:w="675" w:type="dxa"/>
            <w:vMerge/>
          </w:tcPr>
          <w:p w14:paraId="707ACDC4" w14:textId="77777777" w:rsidR="007D1E74" w:rsidRDefault="007D1E74">
            <w:pPr>
              <w:jc w:val="center"/>
              <w:rPr>
                <w:szCs w:val="21"/>
              </w:rPr>
            </w:pPr>
          </w:p>
        </w:tc>
        <w:tc>
          <w:tcPr>
            <w:tcW w:w="1705" w:type="dxa"/>
          </w:tcPr>
          <w:p w14:paraId="3234BF9B" w14:textId="77777777" w:rsidR="007D1E74" w:rsidRDefault="00A95641">
            <w:pPr>
              <w:jc w:val="center"/>
              <w:rPr>
                <w:szCs w:val="21"/>
              </w:rPr>
            </w:pPr>
            <w:r>
              <w:rPr>
                <w:rFonts w:hint="eastAsia"/>
                <w:szCs w:val="21"/>
              </w:rPr>
              <w:t>声环境</w:t>
            </w:r>
          </w:p>
        </w:tc>
        <w:tc>
          <w:tcPr>
            <w:tcW w:w="1190" w:type="dxa"/>
          </w:tcPr>
          <w:p w14:paraId="2CA76A43" w14:textId="77777777" w:rsidR="007D1E74" w:rsidRDefault="00A95641">
            <w:pPr>
              <w:jc w:val="center"/>
              <w:rPr>
                <w:szCs w:val="21"/>
              </w:rPr>
            </w:pPr>
            <w:r>
              <w:rPr>
                <w:rFonts w:hint="eastAsia"/>
                <w:szCs w:val="21"/>
              </w:rPr>
              <w:t>/</w:t>
            </w:r>
          </w:p>
        </w:tc>
        <w:tc>
          <w:tcPr>
            <w:tcW w:w="1191" w:type="dxa"/>
          </w:tcPr>
          <w:p w14:paraId="2DA454B9" w14:textId="77777777" w:rsidR="007D1E74" w:rsidRDefault="00A95641">
            <w:pPr>
              <w:jc w:val="center"/>
              <w:rPr>
                <w:szCs w:val="21"/>
              </w:rPr>
            </w:pPr>
            <w:r>
              <w:rPr>
                <w:rFonts w:hint="eastAsia"/>
                <w:szCs w:val="21"/>
              </w:rPr>
              <w:t>有</w:t>
            </w:r>
          </w:p>
        </w:tc>
        <w:tc>
          <w:tcPr>
            <w:tcW w:w="1191" w:type="dxa"/>
          </w:tcPr>
          <w:p w14:paraId="14530285" w14:textId="77777777" w:rsidR="007D1E74" w:rsidRDefault="00A95641">
            <w:pPr>
              <w:jc w:val="center"/>
              <w:rPr>
                <w:szCs w:val="21"/>
              </w:rPr>
            </w:pPr>
            <w:r>
              <w:rPr>
                <w:rFonts w:hint="eastAsia"/>
                <w:szCs w:val="21"/>
              </w:rPr>
              <w:t>明显</w:t>
            </w:r>
          </w:p>
        </w:tc>
        <w:tc>
          <w:tcPr>
            <w:tcW w:w="1191" w:type="dxa"/>
          </w:tcPr>
          <w:p w14:paraId="4F945C77" w14:textId="77777777" w:rsidR="007D1E74" w:rsidRDefault="00A95641">
            <w:pPr>
              <w:jc w:val="center"/>
              <w:rPr>
                <w:szCs w:val="21"/>
              </w:rPr>
            </w:pPr>
            <w:r>
              <w:rPr>
                <w:rFonts w:hint="eastAsia"/>
                <w:szCs w:val="21"/>
              </w:rPr>
              <w:t>/</w:t>
            </w:r>
          </w:p>
        </w:tc>
        <w:tc>
          <w:tcPr>
            <w:tcW w:w="1191" w:type="dxa"/>
          </w:tcPr>
          <w:p w14:paraId="09AC2B42" w14:textId="77777777" w:rsidR="007D1E74" w:rsidRDefault="00A95641">
            <w:pPr>
              <w:jc w:val="center"/>
              <w:rPr>
                <w:szCs w:val="21"/>
              </w:rPr>
            </w:pPr>
            <w:r>
              <w:rPr>
                <w:rFonts w:hint="eastAsia"/>
                <w:szCs w:val="21"/>
              </w:rPr>
              <w:t>/</w:t>
            </w:r>
          </w:p>
        </w:tc>
        <w:tc>
          <w:tcPr>
            <w:tcW w:w="1191" w:type="dxa"/>
          </w:tcPr>
          <w:p w14:paraId="2D043747" w14:textId="77777777" w:rsidR="007D1E74" w:rsidRDefault="00A95641">
            <w:pPr>
              <w:jc w:val="center"/>
              <w:rPr>
                <w:szCs w:val="21"/>
              </w:rPr>
            </w:pPr>
            <w:r>
              <w:rPr>
                <w:rFonts w:hint="eastAsia"/>
                <w:szCs w:val="21"/>
              </w:rPr>
              <w:t>/</w:t>
            </w:r>
          </w:p>
        </w:tc>
      </w:tr>
      <w:tr w:rsidR="007D1E74" w14:paraId="74E3FC6E" w14:textId="77777777">
        <w:tc>
          <w:tcPr>
            <w:tcW w:w="675" w:type="dxa"/>
            <w:vMerge w:val="restart"/>
          </w:tcPr>
          <w:p w14:paraId="6BE97EBF" w14:textId="77777777" w:rsidR="007D1E74" w:rsidRDefault="00A95641">
            <w:pPr>
              <w:jc w:val="center"/>
              <w:rPr>
                <w:szCs w:val="21"/>
              </w:rPr>
            </w:pPr>
            <w:r>
              <w:rPr>
                <w:rFonts w:hint="eastAsia"/>
                <w:szCs w:val="21"/>
              </w:rPr>
              <w:t>社会环境</w:t>
            </w:r>
          </w:p>
        </w:tc>
        <w:tc>
          <w:tcPr>
            <w:tcW w:w="1705" w:type="dxa"/>
          </w:tcPr>
          <w:p w14:paraId="77B05E18" w14:textId="77777777" w:rsidR="007D1E74" w:rsidRDefault="00A95641">
            <w:pPr>
              <w:jc w:val="center"/>
              <w:rPr>
                <w:szCs w:val="21"/>
              </w:rPr>
            </w:pPr>
            <w:r>
              <w:rPr>
                <w:rFonts w:hint="eastAsia"/>
                <w:szCs w:val="21"/>
              </w:rPr>
              <w:t>居住</w:t>
            </w:r>
          </w:p>
        </w:tc>
        <w:tc>
          <w:tcPr>
            <w:tcW w:w="1190" w:type="dxa"/>
          </w:tcPr>
          <w:p w14:paraId="4416B089" w14:textId="77777777" w:rsidR="007D1E74" w:rsidRDefault="00A95641">
            <w:pPr>
              <w:jc w:val="center"/>
              <w:rPr>
                <w:szCs w:val="21"/>
              </w:rPr>
            </w:pPr>
            <w:r>
              <w:rPr>
                <w:rFonts w:hint="eastAsia"/>
                <w:szCs w:val="21"/>
              </w:rPr>
              <w:t>/</w:t>
            </w:r>
          </w:p>
        </w:tc>
        <w:tc>
          <w:tcPr>
            <w:tcW w:w="1191" w:type="dxa"/>
          </w:tcPr>
          <w:p w14:paraId="357F4E50" w14:textId="77777777" w:rsidR="007D1E74" w:rsidRDefault="00A95641">
            <w:pPr>
              <w:jc w:val="center"/>
              <w:rPr>
                <w:szCs w:val="21"/>
              </w:rPr>
            </w:pPr>
            <w:r>
              <w:rPr>
                <w:rFonts w:hint="eastAsia"/>
                <w:szCs w:val="21"/>
              </w:rPr>
              <w:t>有</w:t>
            </w:r>
          </w:p>
        </w:tc>
        <w:tc>
          <w:tcPr>
            <w:tcW w:w="1191" w:type="dxa"/>
          </w:tcPr>
          <w:p w14:paraId="6FEC2508" w14:textId="77777777" w:rsidR="007D1E74" w:rsidRDefault="00A95641">
            <w:pPr>
              <w:jc w:val="center"/>
              <w:rPr>
                <w:szCs w:val="21"/>
              </w:rPr>
            </w:pPr>
            <w:r>
              <w:rPr>
                <w:rFonts w:hint="eastAsia"/>
                <w:szCs w:val="21"/>
              </w:rPr>
              <w:t>一般</w:t>
            </w:r>
          </w:p>
        </w:tc>
        <w:tc>
          <w:tcPr>
            <w:tcW w:w="1191" w:type="dxa"/>
          </w:tcPr>
          <w:p w14:paraId="5155992B" w14:textId="77777777" w:rsidR="007D1E74" w:rsidRDefault="00A95641">
            <w:pPr>
              <w:jc w:val="center"/>
              <w:rPr>
                <w:szCs w:val="21"/>
              </w:rPr>
            </w:pPr>
            <w:r>
              <w:rPr>
                <w:rFonts w:hint="eastAsia"/>
                <w:szCs w:val="21"/>
              </w:rPr>
              <w:t>/</w:t>
            </w:r>
          </w:p>
        </w:tc>
        <w:tc>
          <w:tcPr>
            <w:tcW w:w="1191" w:type="dxa"/>
          </w:tcPr>
          <w:p w14:paraId="5BE1EACD" w14:textId="77777777" w:rsidR="007D1E74" w:rsidRDefault="00A95641">
            <w:pPr>
              <w:jc w:val="center"/>
              <w:rPr>
                <w:szCs w:val="21"/>
              </w:rPr>
            </w:pPr>
            <w:r>
              <w:rPr>
                <w:rFonts w:hint="eastAsia"/>
                <w:szCs w:val="21"/>
              </w:rPr>
              <w:t>/</w:t>
            </w:r>
          </w:p>
        </w:tc>
        <w:tc>
          <w:tcPr>
            <w:tcW w:w="1191" w:type="dxa"/>
          </w:tcPr>
          <w:p w14:paraId="04F98EB2" w14:textId="77777777" w:rsidR="007D1E74" w:rsidRDefault="00A95641">
            <w:pPr>
              <w:jc w:val="center"/>
              <w:rPr>
                <w:szCs w:val="21"/>
              </w:rPr>
            </w:pPr>
            <w:r>
              <w:rPr>
                <w:rFonts w:hint="eastAsia"/>
                <w:szCs w:val="21"/>
              </w:rPr>
              <w:t>/</w:t>
            </w:r>
          </w:p>
        </w:tc>
      </w:tr>
      <w:tr w:rsidR="007D1E74" w14:paraId="3929DBD9" w14:textId="77777777">
        <w:tc>
          <w:tcPr>
            <w:tcW w:w="675" w:type="dxa"/>
            <w:vMerge/>
          </w:tcPr>
          <w:p w14:paraId="695809E2" w14:textId="77777777" w:rsidR="007D1E74" w:rsidRDefault="007D1E74">
            <w:pPr>
              <w:jc w:val="center"/>
              <w:rPr>
                <w:szCs w:val="21"/>
              </w:rPr>
            </w:pPr>
          </w:p>
        </w:tc>
        <w:tc>
          <w:tcPr>
            <w:tcW w:w="1705" w:type="dxa"/>
          </w:tcPr>
          <w:p w14:paraId="7180221A" w14:textId="77777777" w:rsidR="007D1E74" w:rsidRDefault="00A95641">
            <w:pPr>
              <w:jc w:val="center"/>
              <w:rPr>
                <w:szCs w:val="21"/>
              </w:rPr>
            </w:pPr>
            <w:r>
              <w:rPr>
                <w:rFonts w:hint="eastAsia"/>
                <w:szCs w:val="21"/>
              </w:rPr>
              <w:t>交通运输</w:t>
            </w:r>
          </w:p>
        </w:tc>
        <w:tc>
          <w:tcPr>
            <w:tcW w:w="1190" w:type="dxa"/>
          </w:tcPr>
          <w:p w14:paraId="5BA93B13" w14:textId="77777777" w:rsidR="007D1E74" w:rsidRDefault="00A95641">
            <w:pPr>
              <w:jc w:val="center"/>
              <w:rPr>
                <w:szCs w:val="21"/>
              </w:rPr>
            </w:pPr>
            <w:r>
              <w:rPr>
                <w:rFonts w:hint="eastAsia"/>
                <w:szCs w:val="21"/>
              </w:rPr>
              <w:t>/</w:t>
            </w:r>
          </w:p>
        </w:tc>
        <w:tc>
          <w:tcPr>
            <w:tcW w:w="1191" w:type="dxa"/>
          </w:tcPr>
          <w:p w14:paraId="064C3D05" w14:textId="77777777" w:rsidR="007D1E74" w:rsidRDefault="00A95641">
            <w:pPr>
              <w:jc w:val="center"/>
              <w:rPr>
                <w:szCs w:val="21"/>
              </w:rPr>
            </w:pPr>
            <w:r>
              <w:rPr>
                <w:rFonts w:hint="eastAsia"/>
                <w:szCs w:val="21"/>
              </w:rPr>
              <w:t>有</w:t>
            </w:r>
          </w:p>
        </w:tc>
        <w:tc>
          <w:tcPr>
            <w:tcW w:w="1191" w:type="dxa"/>
          </w:tcPr>
          <w:p w14:paraId="35CD989F" w14:textId="77777777" w:rsidR="007D1E74" w:rsidRDefault="00A95641">
            <w:pPr>
              <w:jc w:val="center"/>
              <w:rPr>
                <w:szCs w:val="21"/>
              </w:rPr>
            </w:pPr>
            <w:r>
              <w:rPr>
                <w:rFonts w:hint="eastAsia"/>
                <w:szCs w:val="21"/>
              </w:rPr>
              <w:t>一般</w:t>
            </w:r>
          </w:p>
        </w:tc>
        <w:tc>
          <w:tcPr>
            <w:tcW w:w="1191" w:type="dxa"/>
          </w:tcPr>
          <w:p w14:paraId="2B64E142" w14:textId="77777777" w:rsidR="007D1E74" w:rsidRDefault="00A95641">
            <w:pPr>
              <w:jc w:val="center"/>
              <w:rPr>
                <w:szCs w:val="21"/>
              </w:rPr>
            </w:pPr>
            <w:r>
              <w:rPr>
                <w:rFonts w:hint="eastAsia"/>
                <w:szCs w:val="21"/>
              </w:rPr>
              <w:t>/</w:t>
            </w:r>
          </w:p>
        </w:tc>
        <w:tc>
          <w:tcPr>
            <w:tcW w:w="1191" w:type="dxa"/>
          </w:tcPr>
          <w:p w14:paraId="58225E1E" w14:textId="77777777" w:rsidR="007D1E74" w:rsidRDefault="00A95641">
            <w:pPr>
              <w:jc w:val="center"/>
              <w:rPr>
                <w:szCs w:val="21"/>
              </w:rPr>
            </w:pPr>
            <w:r>
              <w:rPr>
                <w:rFonts w:hint="eastAsia"/>
                <w:szCs w:val="21"/>
              </w:rPr>
              <w:t>/</w:t>
            </w:r>
          </w:p>
        </w:tc>
        <w:tc>
          <w:tcPr>
            <w:tcW w:w="1191" w:type="dxa"/>
          </w:tcPr>
          <w:p w14:paraId="39818721" w14:textId="77777777" w:rsidR="007D1E74" w:rsidRDefault="00A95641">
            <w:pPr>
              <w:jc w:val="center"/>
              <w:rPr>
                <w:szCs w:val="21"/>
              </w:rPr>
            </w:pPr>
            <w:r>
              <w:rPr>
                <w:rFonts w:hint="eastAsia"/>
                <w:szCs w:val="21"/>
              </w:rPr>
              <w:t>/</w:t>
            </w:r>
          </w:p>
        </w:tc>
      </w:tr>
      <w:tr w:rsidR="007D1E74" w14:paraId="12B104B0" w14:textId="77777777">
        <w:tc>
          <w:tcPr>
            <w:tcW w:w="675" w:type="dxa"/>
            <w:vMerge/>
          </w:tcPr>
          <w:p w14:paraId="15E3EC07" w14:textId="77777777" w:rsidR="007D1E74" w:rsidRDefault="007D1E74">
            <w:pPr>
              <w:jc w:val="center"/>
              <w:rPr>
                <w:szCs w:val="21"/>
              </w:rPr>
            </w:pPr>
          </w:p>
        </w:tc>
        <w:tc>
          <w:tcPr>
            <w:tcW w:w="1705" w:type="dxa"/>
          </w:tcPr>
          <w:p w14:paraId="63E27400" w14:textId="77777777" w:rsidR="007D1E74" w:rsidRDefault="00A95641">
            <w:pPr>
              <w:jc w:val="center"/>
              <w:rPr>
                <w:szCs w:val="21"/>
              </w:rPr>
            </w:pPr>
            <w:r>
              <w:rPr>
                <w:rFonts w:hint="eastAsia"/>
                <w:szCs w:val="21"/>
              </w:rPr>
              <w:t>社会经济</w:t>
            </w:r>
          </w:p>
        </w:tc>
        <w:tc>
          <w:tcPr>
            <w:tcW w:w="1190" w:type="dxa"/>
          </w:tcPr>
          <w:p w14:paraId="01890B55" w14:textId="77777777" w:rsidR="007D1E74" w:rsidRDefault="00A95641">
            <w:pPr>
              <w:jc w:val="center"/>
              <w:rPr>
                <w:szCs w:val="21"/>
              </w:rPr>
            </w:pPr>
            <w:r>
              <w:rPr>
                <w:rFonts w:hint="eastAsia"/>
                <w:szCs w:val="21"/>
              </w:rPr>
              <w:t>有</w:t>
            </w:r>
          </w:p>
        </w:tc>
        <w:tc>
          <w:tcPr>
            <w:tcW w:w="1191" w:type="dxa"/>
          </w:tcPr>
          <w:p w14:paraId="01845B81" w14:textId="77777777" w:rsidR="007D1E74" w:rsidRDefault="00A95641">
            <w:pPr>
              <w:jc w:val="center"/>
              <w:rPr>
                <w:szCs w:val="21"/>
              </w:rPr>
            </w:pPr>
            <w:r>
              <w:rPr>
                <w:rFonts w:hint="eastAsia"/>
                <w:szCs w:val="21"/>
              </w:rPr>
              <w:t>/</w:t>
            </w:r>
          </w:p>
        </w:tc>
        <w:tc>
          <w:tcPr>
            <w:tcW w:w="1191" w:type="dxa"/>
          </w:tcPr>
          <w:p w14:paraId="4DB70A01" w14:textId="77777777" w:rsidR="007D1E74" w:rsidRDefault="00A95641">
            <w:pPr>
              <w:jc w:val="center"/>
              <w:rPr>
                <w:szCs w:val="21"/>
              </w:rPr>
            </w:pPr>
            <w:r>
              <w:rPr>
                <w:rFonts w:hint="eastAsia"/>
                <w:szCs w:val="21"/>
              </w:rPr>
              <w:t>明显</w:t>
            </w:r>
          </w:p>
        </w:tc>
        <w:tc>
          <w:tcPr>
            <w:tcW w:w="1191" w:type="dxa"/>
          </w:tcPr>
          <w:p w14:paraId="020798CD" w14:textId="77777777" w:rsidR="007D1E74" w:rsidRDefault="00A95641">
            <w:pPr>
              <w:jc w:val="center"/>
              <w:rPr>
                <w:szCs w:val="21"/>
              </w:rPr>
            </w:pPr>
            <w:r>
              <w:rPr>
                <w:rFonts w:hint="eastAsia"/>
                <w:szCs w:val="21"/>
              </w:rPr>
              <w:t>/</w:t>
            </w:r>
          </w:p>
        </w:tc>
        <w:tc>
          <w:tcPr>
            <w:tcW w:w="1191" w:type="dxa"/>
          </w:tcPr>
          <w:p w14:paraId="787D9FD3" w14:textId="77777777" w:rsidR="007D1E74" w:rsidRDefault="00A95641">
            <w:pPr>
              <w:jc w:val="center"/>
              <w:rPr>
                <w:szCs w:val="21"/>
              </w:rPr>
            </w:pPr>
            <w:r>
              <w:rPr>
                <w:rFonts w:hint="eastAsia"/>
                <w:szCs w:val="21"/>
              </w:rPr>
              <w:t>/</w:t>
            </w:r>
          </w:p>
        </w:tc>
        <w:tc>
          <w:tcPr>
            <w:tcW w:w="1191" w:type="dxa"/>
          </w:tcPr>
          <w:p w14:paraId="06695A11" w14:textId="77777777" w:rsidR="007D1E74" w:rsidRDefault="00A95641">
            <w:pPr>
              <w:jc w:val="center"/>
              <w:rPr>
                <w:szCs w:val="21"/>
              </w:rPr>
            </w:pPr>
            <w:r>
              <w:rPr>
                <w:rFonts w:hint="eastAsia"/>
                <w:szCs w:val="21"/>
              </w:rPr>
              <w:t>/</w:t>
            </w:r>
          </w:p>
        </w:tc>
      </w:tr>
      <w:tr w:rsidR="007D1E74" w14:paraId="408172F8" w14:textId="77777777">
        <w:tc>
          <w:tcPr>
            <w:tcW w:w="675" w:type="dxa"/>
            <w:vMerge/>
          </w:tcPr>
          <w:p w14:paraId="2C0D847E" w14:textId="77777777" w:rsidR="007D1E74" w:rsidRDefault="007D1E74">
            <w:pPr>
              <w:jc w:val="center"/>
              <w:rPr>
                <w:szCs w:val="21"/>
              </w:rPr>
            </w:pPr>
          </w:p>
        </w:tc>
        <w:tc>
          <w:tcPr>
            <w:tcW w:w="1705" w:type="dxa"/>
          </w:tcPr>
          <w:p w14:paraId="1DA0A43A" w14:textId="77777777" w:rsidR="007D1E74" w:rsidRDefault="00A95641">
            <w:pPr>
              <w:jc w:val="center"/>
              <w:rPr>
                <w:szCs w:val="21"/>
              </w:rPr>
            </w:pPr>
            <w:r>
              <w:rPr>
                <w:rFonts w:hint="eastAsia"/>
                <w:szCs w:val="21"/>
              </w:rPr>
              <w:t>劳动就业</w:t>
            </w:r>
          </w:p>
        </w:tc>
        <w:tc>
          <w:tcPr>
            <w:tcW w:w="1190" w:type="dxa"/>
          </w:tcPr>
          <w:p w14:paraId="36C8FF5E" w14:textId="77777777" w:rsidR="007D1E74" w:rsidRDefault="00A95641">
            <w:pPr>
              <w:jc w:val="center"/>
              <w:rPr>
                <w:szCs w:val="21"/>
              </w:rPr>
            </w:pPr>
            <w:r>
              <w:rPr>
                <w:rFonts w:hint="eastAsia"/>
                <w:szCs w:val="21"/>
              </w:rPr>
              <w:t>有</w:t>
            </w:r>
          </w:p>
        </w:tc>
        <w:tc>
          <w:tcPr>
            <w:tcW w:w="1191" w:type="dxa"/>
          </w:tcPr>
          <w:p w14:paraId="57F978C3" w14:textId="77777777" w:rsidR="007D1E74" w:rsidRDefault="00A95641">
            <w:pPr>
              <w:jc w:val="center"/>
              <w:rPr>
                <w:szCs w:val="21"/>
              </w:rPr>
            </w:pPr>
            <w:r>
              <w:rPr>
                <w:rFonts w:hint="eastAsia"/>
                <w:szCs w:val="21"/>
              </w:rPr>
              <w:t>/</w:t>
            </w:r>
          </w:p>
        </w:tc>
        <w:tc>
          <w:tcPr>
            <w:tcW w:w="1191" w:type="dxa"/>
          </w:tcPr>
          <w:p w14:paraId="189AB2D9" w14:textId="77777777" w:rsidR="007D1E74" w:rsidRDefault="00A95641">
            <w:pPr>
              <w:jc w:val="center"/>
              <w:rPr>
                <w:szCs w:val="21"/>
              </w:rPr>
            </w:pPr>
            <w:r>
              <w:rPr>
                <w:rFonts w:hint="eastAsia"/>
                <w:szCs w:val="21"/>
              </w:rPr>
              <w:t>一般</w:t>
            </w:r>
          </w:p>
        </w:tc>
        <w:tc>
          <w:tcPr>
            <w:tcW w:w="1191" w:type="dxa"/>
          </w:tcPr>
          <w:p w14:paraId="01CBF8CA" w14:textId="77777777" w:rsidR="007D1E74" w:rsidRDefault="00A95641">
            <w:pPr>
              <w:jc w:val="center"/>
              <w:rPr>
                <w:szCs w:val="21"/>
              </w:rPr>
            </w:pPr>
            <w:r>
              <w:rPr>
                <w:rFonts w:hint="eastAsia"/>
                <w:szCs w:val="21"/>
              </w:rPr>
              <w:t>/</w:t>
            </w:r>
          </w:p>
        </w:tc>
        <w:tc>
          <w:tcPr>
            <w:tcW w:w="1191" w:type="dxa"/>
          </w:tcPr>
          <w:p w14:paraId="09141B94" w14:textId="77777777" w:rsidR="007D1E74" w:rsidRDefault="00A95641">
            <w:pPr>
              <w:jc w:val="center"/>
              <w:rPr>
                <w:szCs w:val="21"/>
              </w:rPr>
            </w:pPr>
            <w:r>
              <w:rPr>
                <w:rFonts w:hint="eastAsia"/>
                <w:szCs w:val="21"/>
              </w:rPr>
              <w:t>/</w:t>
            </w:r>
          </w:p>
        </w:tc>
        <w:tc>
          <w:tcPr>
            <w:tcW w:w="1191" w:type="dxa"/>
          </w:tcPr>
          <w:p w14:paraId="6372A71A" w14:textId="77777777" w:rsidR="007D1E74" w:rsidRDefault="00A95641">
            <w:pPr>
              <w:jc w:val="center"/>
              <w:rPr>
                <w:szCs w:val="21"/>
              </w:rPr>
            </w:pPr>
            <w:r>
              <w:rPr>
                <w:rFonts w:hint="eastAsia"/>
                <w:szCs w:val="21"/>
              </w:rPr>
              <w:t>/</w:t>
            </w:r>
          </w:p>
        </w:tc>
      </w:tr>
      <w:tr w:rsidR="007D1E74" w14:paraId="6F47E9BB" w14:textId="77777777">
        <w:tc>
          <w:tcPr>
            <w:tcW w:w="675" w:type="dxa"/>
            <w:vMerge/>
          </w:tcPr>
          <w:p w14:paraId="4124592E" w14:textId="77777777" w:rsidR="007D1E74" w:rsidRDefault="007D1E74">
            <w:pPr>
              <w:jc w:val="center"/>
              <w:rPr>
                <w:szCs w:val="21"/>
              </w:rPr>
            </w:pPr>
          </w:p>
        </w:tc>
        <w:tc>
          <w:tcPr>
            <w:tcW w:w="1705" w:type="dxa"/>
          </w:tcPr>
          <w:p w14:paraId="2A7DFF52" w14:textId="77777777" w:rsidR="007D1E74" w:rsidRDefault="00A95641">
            <w:pPr>
              <w:jc w:val="center"/>
              <w:rPr>
                <w:szCs w:val="21"/>
              </w:rPr>
            </w:pPr>
            <w:r>
              <w:rPr>
                <w:rFonts w:hint="eastAsia"/>
                <w:szCs w:val="21"/>
              </w:rPr>
              <w:t>景观</w:t>
            </w:r>
          </w:p>
        </w:tc>
        <w:tc>
          <w:tcPr>
            <w:tcW w:w="1190" w:type="dxa"/>
          </w:tcPr>
          <w:p w14:paraId="3EB8BCD0" w14:textId="77777777" w:rsidR="007D1E74" w:rsidRDefault="00A95641">
            <w:pPr>
              <w:jc w:val="center"/>
              <w:rPr>
                <w:szCs w:val="21"/>
              </w:rPr>
            </w:pPr>
            <w:r>
              <w:rPr>
                <w:rFonts w:hint="eastAsia"/>
                <w:szCs w:val="21"/>
              </w:rPr>
              <w:t>/</w:t>
            </w:r>
          </w:p>
        </w:tc>
        <w:tc>
          <w:tcPr>
            <w:tcW w:w="1191" w:type="dxa"/>
          </w:tcPr>
          <w:p w14:paraId="5030511A" w14:textId="77777777" w:rsidR="007D1E74" w:rsidRDefault="00A95641">
            <w:pPr>
              <w:jc w:val="center"/>
              <w:rPr>
                <w:szCs w:val="21"/>
              </w:rPr>
            </w:pPr>
            <w:r>
              <w:rPr>
                <w:rFonts w:hint="eastAsia"/>
                <w:szCs w:val="21"/>
              </w:rPr>
              <w:t>有</w:t>
            </w:r>
          </w:p>
        </w:tc>
        <w:tc>
          <w:tcPr>
            <w:tcW w:w="1191" w:type="dxa"/>
          </w:tcPr>
          <w:p w14:paraId="68A42E9B" w14:textId="77777777" w:rsidR="007D1E74" w:rsidRDefault="00A95641">
            <w:pPr>
              <w:jc w:val="center"/>
              <w:rPr>
                <w:szCs w:val="21"/>
              </w:rPr>
            </w:pPr>
            <w:r>
              <w:rPr>
                <w:rFonts w:hint="eastAsia"/>
                <w:szCs w:val="21"/>
              </w:rPr>
              <w:t>一般</w:t>
            </w:r>
          </w:p>
        </w:tc>
        <w:tc>
          <w:tcPr>
            <w:tcW w:w="1191" w:type="dxa"/>
          </w:tcPr>
          <w:p w14:paraId="7D9CDA2E" w14:textId="77777777" w:rsidR="007D1E74" w:rsidRDefault="00A95641">
            <w:pPr>
              <w:jc w:val="center"/>
              <w:rPr>
                <w:szCs w:val="21"/>
              </w:rPr>
            </w:pPr>
            <w:r>
              <w:rPr>
                <w:rFonts w:hint="eastAsia"/>
                <w:szCs w:val="21"/>
              </w:rPr>
              <w:t>/</w:t>
            </w:r>
          </w:p>
        </w:tc>
        <w:tc>
          <w:tcPr>
            <w:tcW w:w="1191" w:type="dxa"/>
          </w:tcPr>
          <w:p w14:paraId="056B09CE" w14:textId="77777777" w:rsidR="007D1E74" w:rsidRDefault="00A95641">
            <w:pPr>
              <w:jc w:val="center"/>
              <w:rPr>
                <w:szCs w:val="21"/>
              </w:rPr>
            </w:pPr>
            <w:r>
              <w:rPr>
                <w:rFonts w:hint="eastAsia"/>
                <w:szCs w:val="21"/>
              </w:rPr>
              <w:t>有</w:t>
            </w:r>
          </w:p>
        </w:tc>
        <w:tc>
          <w:tcPr>
            <w:tcW w:w="1191" w:type="dxa"/>
          </w:tcPr>
          <w:p w14:paraId="7663D74F" w14:textId="77777777" w:rsidR="007D1E74" w:rsidRDefault="00A95641">
            <w:pPr>
              <w:jc w:val="center"/>
              <w:rPr>
                <w:szCs w:val="21"/>
              </w:rPr>
            </w:pPr>
            <w:r>
              <w:rPr>
                <w:rFonts w:hint="eastAsia"/>
                <w:szCs w:val="21"/>
              </w:rPr>
              <w:t>一般</w:t>
            </w:r>
          </w:p>
        </w:tc>
      </w:tr>
    </w:tbl>
    <w:p w14:paraId="34DEAAD6" w14:textId="77777777" w:rsidR="007D1E74" w:rsidRDefault="00A95641">
      <w:pPr>
        <w:spacing w:line="360" w:lineRule="auto"/>
        <w:ind w:firstLineChars="200" w:firstLine="480"/>
        <w:rPr>
          <w:sz w:val="24"/>
          <w:szCs w:val="24"/>
        </w:rPr>
      </w:pPr>
      <w:r>
        <w:rPr>
          <w:rFonts w:hint="eastAsia"/>
          <w:sz w:val="24"/>
          <w:szCs w:val="24"/>
        </w:rPr>
        <w:t>由上表可见，本项目对环境的影响主要为施工过程对自然生态环境（地形地貌、植被、水土流失、土壤、土地利用、动植物、农业与土地利用）的影响以及非正常工况状态下对周边生态环境、社会环境的影响。</w:t>
      </w:r>
    </w:p>
    <w:p w14:paraId="5D4CAFFA" w14:textId="77777777" w:rsidR="007D1E74" w:rsidRDefault="00A95641">
      <w:pPr>
        <w:pStyle w:val="a9"/>
      </w:pPr>
      <w:r>
        <w:rPr>
          <w:rFonts w:hint="eastAsia"/>
        </w:rPr>
        <w:t>评价因子筛选</w:t>
      </w:r>
    </w:p>
    <w:p w14:paraId="6207FAA9" w14:textId="77777777" w:rsidR="007D1E74" w:rsidRDefault="00A95641">
      <w:pPr>
        <w:spacing w:line="360" w:lineRule="auto"/>
        <w:ind w:firstLineChars="200" w:firstLine="480"/>
        <w:rPr>
          <w:sz w:val="24"/>
          <w:szCs w:val="24"/>
        </w:rPr>
      </w:pPr>
      <w:r>
        <w:rPr>
          <w:rFonts w:hint="eastAsia"/>
          <w:sz w:val="24"/>
          <w:szCs w:val="24"/>
        </w:rPr>
        <w:lastRenderedPageBreak/>
        <w:t>根据本项目环境影响要素识别、环境影响因子表征和环境影响程度，筛选的评价因子见下表。</w:t>
      </w:r>
    </w:p>
    <w:p w14:paraId="6728145C" w14:textId="77777777" w:rsidR="007D1E74" w:rsidRDefault="00A95641">
      <w:pPr>
        <w:spacing w:line="360" w:lineRule="auto"/>
        <w:jc w:val="center"/>
        <w:rPr>
          <w:szCs w:val="21"/>
        </w:rPr>
      </w:pPr>
      <w:r>
        <w:rPr>
          <w:rFonts w:hint="eastAsia"/>
          <w:szCs w:val="21"/>
        </w:rPr>
        <w:t>表</w:t>
      </w:r>
      <w:r>
        <w:rPr>
          <w:rFonts w:hint="eastAsia"/>
          <w:szCs w:val="21"/>
        </w:rPr>
        <w:t xml:space="preserve">2.4-3  </w:t>
      </w:r>
      <w:r>
        <w:rPr>
          <w:rFonts w:hint="eastAsia"/>
          <w:szCs w:val="21"/>
        </w:rPr>
        <w:t>项目评价因子筛选表</w:t>
      </w:r>
    </w:p>
    <w:tbl>
      <w:tblPr>
        <w:tblStyle w:val="affffc"/>
        <w:tblW w:w="0" w:type="auto"/>
        <w:tblLook w:val="04A0" w:firstRow="1" w:lastRow="0" w:firstColumn="1" w:lastColumn="0" w:noHBand="0" w:noVBand="1"/>
      </w:tblPr>
      <w:tblGrid>
        <w:gridCol w:w="1306"/>
        <w:gridCol w:w="3192"/>
        <w:gridCol w:w="2832"/>
        <w:gridCol w:w="1686"/>
      </w:tblGrid>
      <w:tr w:rsidR="007D1E74" w14:paraId="625A10E3" w14:textId="77777777">
        <w:tc>
          <w:tcPr>
            <w:tcW w:w="1384" w:type="dxa"/>
            <w:vMerge w:val="restart"/>
          </w:tcPr>
          <w:p w14:paraId="07A20E01" w14:textId="77777777" w:rsidR="007D1E74" w:rsidRDefault="00A95641">
            <w:pPr>
              <w:rPr>
                <w:szCs w:val="21"/>
              </w:rPr>
            </w:pPr>
            <w:r>
              <w:rPr>
                <w:rFonts w:hint="eastAsia"/>
                <w:szCs w:val="21"/>
              </w:rPr>
              <w:t>类别</w:t>
            </w:r>
          </w:p>
        </w:tc>
        <w:tc>
          <w:tcPr>
            <w:tcW w:w="3378" w:type="dxa"/>
            <w:vMerge w:val="restart"/>
          </w:tcPr>
          <w:p w14:paraId="6EFFE426" w14:textId="77777777" w:rsidR="007D1E74" w:rsidRDefault="00A95641">
            <w:pPr>
              <w:rPr>
                <w:szCs w:val="21"/>
              </w:rPr>
            </w:pPr>
            <w:r>
              <w:rPr>
                <w:rFonts w:hint="eastAsia"/>
                <w:szCs w:val="21"/>
              </w:rPr>
              <w:t>评价因子</w:t>
            </w:r>
          </w:p>
        </w:tc>
        <w:tc>
          <w:tcPr>
            <w:tcW w:w="4763" w:type="dxa"/>
            <w:gridSpan w:val="2"/>
          </w:tcPr>
          <w:p w14:paraId="69E070F3" w14:textId="77777777" w:rsidR="007D1E74" w:rsidRDefault="00A95641">
            <w:pPr>
              <w:rPr>
                <w:szCs w:val="21"/>
              </w:rPr>
            </w:pPr>
            <w:r>
              <w:rPr>
                <w:rFonts w:hint="eastAsia"/>
                <w:szCs w:val="21"/>
              </w:rPr>
              <w:t>环境影响预测与评价</w:t>
            </w:r>
          </w:p>
        </w:tc>
      </w:tr>
      <w:tr w:rsidR="007D1E74" w14:paraId="1DB158DB" w14:textId="77777777">
        <w:tc>
          <w:tcPr>
            <w:tcW w:w="1384" w:type="dxa"/>
            <w:vMerge/>
          </w:tcPr>
          <w:p w14:paraId="3446C2E9" w14:textId="77777777" w:rsidR="007D1E74" w:rsidRDefault="007D1E74">
            <w:pPr>
              <w:rPr>
                <w:szCs w:val="21"/>
              </w:rPr>
            </w:pPr>
          </w:p>
        </w:tc>
        <w:tc>
          <w:tcPr>
            <w:tcW w:w="3378" w:type="dxa"/>
            <w:vMerge/>
          </w:tcPr>
          <w:p w14:paraId="19B03472" w14:textId="77777777" w:rsidR="007D1E74" w:rsidRDefault="007D1E74">
            <w:pPr>
              <w:rPr>
                <w:szCs w:val="21"/>
              </w:rPr>
            </w:pPr>
          </w:p>
        </w:tc>
        <w:tc>
          <w:tcPr>
            <w:tcW w:w="3001" w:type="dxa"/>
          </w:tcPr>
          <w:p w14:paraId="17D8BE0D" w14:textId="77777777" w:rsidR="007D1E74" w:rsidRDefault="00A95641">
            <w:pPr>
              <w:rPr>
                <w:szCs w:val="21"/>
              </w:rPr>
            </w:pPr>
            <w:r>
              <w:rPr>
                <w:rFonts w:hint="eastAsia"/>
                <w:szCs w:val="21"/>
              </w:rPr>
              <w:t>施工期</w:t>
            </w:r>
          </w:p>
        </w:tc>
        <w:tc>
          <w:tcPr>
            <w:tcW w:w="1762" w:type="dxa"/>
          </w:tcPr>
          <w:p w14:paraId="70FFBAE2" w14:textId="77777777" w:rsidR="007D1E74" w:rsidRDefault="00A95641">
            <w:pPr>
              <w:rPr>
                <w:szCs w:val="21"/>
              </w:rPr>
            </w:pPr>
            <w:r>
              <w:rPr>
                <w:rFonts w:hint="eastAsia"/>
                <w:szCs w:val="21"/>
              </w:rPr>
              <w:t>营运期</w:t>
            </w:r>
          </w:p>
        </w:tc>
      </w:tr>
      <w:tr w:rsidR="007D1E74" w14:paraId="5458163D" w14:textId="77777777">
        <w:tc>
          <w:tcPr>
            <w:tcW w:w="1384" w:type="dxa"/>
          </w:tcPr>
          <w:p w14:paraId="37AA7AA3" w14:textId="77777777" w:rsidR="007D1E74" w:rsidRDefault="00A95641">
            <w:pPr>
              <w:rPr>
                <w:szCs w:val="21"/>
              </w:rPr>
            </w:pPr>
            <w:r>
              <w:rPr>
                <w:rFonts w:hint="eastAsia"/>
                <w:szCs w:val="21"/>
              </w:rPr>
              <w:t>生态环境</w:t>
            </w:r>
          </w:p>
        </w:tc>
        <w:tc>
          <w:tcPr>
            <w:tcW w:w="3378" w:type="dxa"/>
          </w:tcPr>
          <w:p w14:paraId="222F9815" w14:textId="77777777" w:rsidR="007D1E74" w:rsidRDefault="00A95641">
            <w:pPr>
              <w:rPr>
                <w:szCs w:val="21"/>
              </w:rPr>
            </w:pPr>
            <w:r>
              <w:rPr>
                <w:rFonts w:hint="eastAsia"/>
                <w:szCs w:val="21"/>
              </w:rPr>
              <w:t>土壤资源、土地利用、水土流失、地表植被、动物、永久基本农田、景观等</w:t>
            </w:r>
          </w:p>
        </w:tc>
        <w:tc>
          <w:tcPr>
            <w:tcW w:w="3001" w:type="dxa"/>
          </w:tcPr>
          <w:p w14:paraId="16EA2171" w14:textId="77777777" w:rsidR="007D1E74" w:rsidRDefault="00A95641">
            <w:pPr>
              <w:rPr>
                <w:szCs w:val="21"/>
              </w:rPr>
            </w:pPr>
            <w:r>
              <w:rPr>
                <w:rFonts w:hint="eastAsia"/>
                <w:szCs w:val="21"/>
              </w:rPr>
              <w:t>土地利用结构、动植物、农业生产、景观生态、水土流失、永久基本农田、区域生态系统等的影响</w:t>
            </w:r>
          </w:p>
        </w:tc>
        <w:tc>
          <w:tcPr>
            <w:tcW w:w="1762" w:type="dxa"/>
          </w:tcPr>
          <w:p w14:paraId="2F11AE4A" w14:textId="77777777" w:rsidR="007D1E74" w:rsidRDefault="00A95641">
            <w:pPr>
              <w:rPr>
                <w:szCs w:val="21"/>
              </w:rPr>
            </w:pPr>
            <w:r>
              <w:rPr>
                <w:rFonts w:hint="eastAsia"/>
                <w:szCs w:val="21"/>
              </w:rPr>
              <w:t>/</w:t>
            </w:r>
          </w:p>
        </w:tc>
      </w:tr>
      <w:tr w:rsidR="007D1E74" w14:paraId="42442ADB" w14:textId="77777777">
        <w:tc>
          <w:tcPr>
            <w:tcW w:w="1384" w:type="dxa"/>
          </w:tcPr>
          <w:p w14:paraId="5259F554" w14:textId="77777777" w:rsidR="007D1E74" w:rsidRDefault="00A95641">
            <w:pPr>
              <w:rPr>
                <w:szCs w:val="21"/>
              </w:rPr>
            </w:pPr>
            <w:r>
              <w:rPr>
                <w:rFonts w:hint="eastAsia"/>
                <w:szCs w:val="21"/>
              </w:rPr>
              <w:t>大气</w:t>
            </w:r>
          </w:p>
        </w:tc>
        <w:tc>
          <w:tcPr>
            <w:tcW w:w="3378" w:type="dxa"/>
          </w:tcPr>
          <w:p w14:paraId="6025892E" w14:textId="77777777" w:rsidR="007D1E74" w:rsidRDefault="00A95641">
            <w:pPr>
              <w:rPr>
                <w:szCs w:val="21"/>
                <w:vertAlign w:val="subscript"/>
              </w:rPr>
            </w:pPr>
            <w:r>
              <w:rPr>
                <w:rFonts w:hint="eastAsia"/>
                <w:szCs w:val="21"/>
              </w:rPr>
              <w:t>基本因子：</w:t>
            </w:r>
            <w:r>
              <w:rPr>
                <w:rFonts w:hint="eastAsia"/>
                <w:szCs w:val="21"/>
              </w:rPr>
              <w:t>SO</w:t>
            </w:r>
            <w:r>
              <w:rPr>
                <w:rFonts w:hint="eastAsia"/>
                <w:szCs w:val="21"/>
                <w:vertAlign w:val="subscript"/>
              </w:rPr>
              <w:t>2</w:t>
            </w:r>
            <w:r>
              <w:rPr>
                <w:rFonts w:hint="eastAsia"/>
                <w:szCs w:val="21"/>
              </w:rPr>
              <w:t>、</w:t>
            </w:r>
            <w:r>
              <w:rPr>
                <w:rFonts w:hint="eastAsia"/>
                <w:szCs w:val="21"/>
              </w:rPr>
              <w:t>NO</w:t>
            </w:r>
            <w:r>
              <w:rPr>
                <w:rFonts w:hint="eastAsia"/>
                <w:szCs w:val="21"/>
                <w:vertAlign w:val="subscript"/>
              </w:rPr>
              <w:t>2</w:t>
            </w:r>
            <w:r>
              <w:rPr>
                <w:rFonts w:hint="eastAsia"/>
                <w:szCs w:val="21"/>
              </w:rPr>
              <w:t>、</w:t>
            </w:r>
            <w:r>
              <w:rPr>
                <w:rFonts w:hint="eastAsia"/>
                <w:szCs w:val="21"/>
              </w:rPr>
              <w:t>PM</w:t>
            </w:r>
            <w:r>
              <w:rPr>
                <w:rFonts w:hint="eastAsia"/>
                <w:szCs w:val="21"/>
                <w:vertAlign w:val="subscript"/>
              </w:rPr>
              <w:t>10</w:t>
            </w:r>
            <w:r>
              <w:rPr>
                <w:rFonts w:hint="eastAsia"/>
                <w:szCs w:val="21"/>
              </w:rPr>
              <w:t>、</w:t>
            </w:r>
            <w:r>
              <w:rPr>
                <w:rFonts w:hint="eastAsia"/>
                <w:szCs w:val="21"/>
              </w:rPr>
              <w:t>O</w:t>
            </w:r>
            <w:r>
              <w:rPr>
                <w:rFonts w:hint="eastAsia"/>
                <w:szCs w:val="21"/>
                <w:vertAlign w:val="subscript"/>
              </w:rPr>
              <w:t>3</w:t>
            </w:r>
            <w:r>
              <w:rPr>
                <w:rFonts w:hint="eastAsia"/>
                <w:szCs w:val="21"/>
              </w:rPr>
              <w:t>、</w:t>
            </w:r>
            <w:r>
              <w:rPr>
                <w:rFonts w:hint="eastAsia"/>
                <w:szCs w:val="21"/>
              </w:rPr>
              <w:t>CO</w:t>
            </w:r>
            <w:r>
              <w:rPr>
                <w:rFonts w:hint="eastAsia"/>
                <w:szCs w:val="21"/>
              </w:rPr>
              <w:t>、</w:t>
            </w:r>
            <w:r>
              <w:rPr>
                <w:rFonts w:hint="eastAsia"/>
                <w:szCs w:val="21"/>
              </w:rPr>
              <w:t>PM</w:t>
            </w:r>
            <w:r>
              <w:rPr>
                <w:rFonts w:hint="eastAsia"/>
                <w:szCs w:val="21"/>
                <w:vertAlign w:val="subscript"/>
              </w:rPr>
              <w:t>2.5</w:t>
            </w:r>
          </w:p>
        </w:tc>
        <w:tc>
          <w:tcPr>
            <w:tcW w:w="3001" w:type="dxa"/>
          </w:tcPr>
          <w:p w14:paraId="1B0C989B" w14:textId="77777777" w:rsidR="007D1E74" w:rsidRDefault="00A95641">
            <w:pPr>
              <w:rPr>
                <w:szCs w:val="21"/>
              </w:rPr>
            </w:pPr>
            <w:r>
              <w:rPr>
                <w:rFonts w:hint="eastAsia"/>
                <w:szCs w:val="21"/>
              </w:rPr>
              <w:t>颗粒物</w:t>
            </w:r>
          </w:p>
        </w:tc>
        <w:tc>
          <w:tcPr>
            <w:tcW w:w="1762" w:type="dxa"/>
          </w:tcPr>
          <w:p w14:paraId="4D47458E" w14:textId="77777777" w:rsidR="007D1E74" w:rsidRDefault="00A95641">
            <w:pPr>
              <w:rPr>
                <w:szCs w:val="21"/>
              </w:rPr>
            </w:pPr>
            <w:r>
              <w:rPr>
                <w:rFonts w:hint="eastAsia"/>
                <w:szCs w:val="21"/>
              </w:rPr>
              <w:t>/</w:t>
            </w:r>
          </w:p>
        </w:tc>
      </w:tr>
      <w:tr w:rsidR="007D1E74" w14:paraId="2E472A3D" w14:textId="77777777">
        <w:tc>
          <w:tcPr>
            <w:tcW w:w="1384" w:type="dxa"/>
          </w:tcPr>
          <w:p w14:paraId="4C2CFE55" w14:textId="77777777" w:rsidR="007D1E74" w:rsidRDefault="00A95641">
            <w:pPr>
              <w:rPr>
                <w:szCs w:val="21"/>
              </w:rPr>
            </w:pPr>
            <w:r>
              <w:rPr>
                <w:rFonts w:hint="eastAsia"/>
                <w:szCs w:val="21"/>
              </w:rPr>
              <w:t>地表水</w:t>
            </w:r>
          </w:p>
        </w:tc>
        <w:tc>
          <w:tcPr>
            <w:tcW w:w="3378" w:type="dxa"/>
          </w:tcPr>
          <w:p w14:paraId="7525D67F" w14:textId="77777777" w:rsidR="007D1E74" w:rsidRDefault="00A95641">
            <w:pPr>
              <w:rPr>
                <w:szCs w:val="21"/>
              </w:rPr>
            </w:pPr>
            <w:r>
              <w:rPr>
                <w:rFonts w:hint="eastAsia"/>
                <w:szCs w:val="21"/>
              </w:rPr>
              <w:t>pH</w:t>
            </w:r>
            <w:r>
              <w:rPr>
                <w:rFonts w:hint="eastAsia"/>
                <w:szCs w:val="21"/>
              </w:rPr>
              <w:t>、</w:t>
            </w:r>
            <w:r>
              <w:rPr>
                <w:rFonts w:hint="eastAsia"/>
                <w:szCs w:val="21"/>
              </w:rPr>
              <w:t>SS</w:t>
            </w:r>
            <w:r>
              <w:rPr>
                <w:rFonts w:hint="eastAsia"/>
                <w:szCs w:val="21"/>
              </w:rPr>
              <w:t>、</w:t>
            </w:r>
            <w:r>
              <w:rPr>
                <w:rFonts w:hint="eastAsia"/>
                <w:szCs w:val="21"/>
              </w:rPr>
              <w:t>COD</w:t>
            </w:r>
            <w:r>
              <w:rPr>
                <w:rFonts w:hint="eastAsia"/>
                <w:szCs w:val="21"/>
              </w:rPr>
              <w:t>、</w:t>
            </w:r>
            <w:r>
              <w:rPr>
                <w:rFonts w:hint="eastAsia"/>
                <w:szCs w:val="21"/>
              </w:rPr>
              <w:t>BOD</w:t>
            </w:r>
            <w:r>
              <w:rPr>
                <w:rFonts w:hint="eastAsia"/>
                <w:szCs w:val="21"/>
                <w:vertAlign w:val="subscript"/>
              </w:rPr>
              <w:t>5</w:t>
            </w:r>
            <w:r>
              <w:rPr>
                <w:rFonts w:hint="eastAsia"/>
                <w:szCs w:val="21"/>
              </w:rPr>
              <w:t>、氨氮、氯化物、硫化物、石油类、硫酸盐</w:t>
            </w:r>
          </w:p>
        </w:tc>
        <w:tc>
          <w:tcPr>
            <w:tcW w:w="3001" w:type="dxa"/>
          </w:tcPr>
          <w:p w14:paraId="47A2BB40" w14:textId="77777777" w:rsidR="007D1E74" w:rsidRDefault="00A95641">
            <w:pPr>
              <w:rPr>
                <w:szCs w:val="21"/>
              </w:rPr>
            </w:pPr>
            <w:r>
              <w:rPr>
                <w:rFonts w:hint="eastAsia"/>
                <w:szCs w:val="21"/>
              </w:rPr>
              <w:t>COD</w:t>
            </w:r>
            <w:r>
              <w:rPr>
                <w:rFonts w:hint="eastAsia"/>
                <w:szCs w:val="21"/>
              </w:rPr>
              <w:t>、</w:t>
            </w:r>
            <w:r>
              <w:rPr>
                <w:rFonts w:hint="eastAsia"/>
                <w:szCs w:val="21"/>
              </w:rPr>
              <w:t>BOD</w:t>
            </w:r>
            <w:r>
              <w:rPr>
                <w:rFonts w:hint="eastAsia"/>
                <w:szCs w:val="21"/>
                <w:vertAlign w:val="subscript"/>
              </w:rPr>
              <w:t>5</w:t>
            </w:r>
            <w:r>
              <w:rPr>
                <w:rFonts w:hint="eastAsia"/>
                <w:szCs w:val="21"/>
              </w:rPr>
              <w:t>、</w:t>
            </w:r>
            <w:r>
              <w:rPr>
                <w:rFonts w:hint="eastAsia"/>
                <w:szCs w:val="21"/>
              </w:rPr>
              <w:t>SS</w:t>
            </w:r>
            <w:r>
              <w:rPr>
                <w:rFonts w:hint="eastAsia"/>
                <w:szCs w:val="21"/>
              </w:rPr>
              <w:t>、氨氮、石油类</w:t>
            </w:r>
          </w:p>
        </w:tc>
        <w:tc>
          <w:tcPr>
            <w:tcW w:w="1762" w:type="dxa"/>
          </w:tcPr>
          <w:p w14:paraId="48F65C7E" w14:textId="77777777" w:rsidR="007D1E74" w:rsidRDefault="00A95641">
            <w:pPr>
              <w:rPr>
                <w:szCs w:val="21"/>
              </w:rPr>
            </w:pPr>
            <w:r>
              <w:rPr>
                <w:rFonts w:hint="eastAsia"/>
                <w:szCs w:val="21"/>
              </w:rPr>
              <w:t>/</w:t>
            </w:r>
          </w:p>
        </w:tc>
      </w:tr>
      <w:tr w:rsidR="007D1E74" w14:paraId="26041314" w14:textId="77777777">
        <w:tc>
          <w:tcPr>
            <w:tcW w:w="1384" w:type="dxa"/>
          </w:tcPr>
          <w:p w14:paraId="7B2C1F2D" w14:textId="77777777" w:rsidR="007D1E74" w:rsidRDefault="00A95641">
            <w:pPr>
              <w:rPr>
                <w:szCs w:val="21"/>
              </w:rPr>
            </w:pPr>
            <w:r>
              <w:rPr>
                <w:rFonts w:hint="eastAsia"/>
                <w:szCs w:val="21"/>
              </w:rPr>
              <w:t>地下水</w:t>
            </w:r>
          </w:p>
        </w:tc>
        <w:tc>
          <w:tcPr>
            <w:tcW w:w="3378" w:type="dxa"/>
          </w:tcPr>
          <w:p w14:paraId="66B50A51" w14:textId="77777777" w:rsidR="007D1E74" w:rsidRDefault="00A95641">
            <w:pPr>
              <w:rPr>
                <w:szCs w:val="21"/>
              </w:rPr>
            </w:pPr>
            <w:r>
              <w:rPr>
                <w:rFonts w:hint="eastAsia"/>
                <w:szCs w:val="21"/>
              </w:rPr>
              <w:t>K</w:t>
            </w:r>
            <w:r>
              <w:rPr>
                <w:rFonts w:hint="eastAsia"/>
                <w:szCs w:val="21"/>
                <w:vertAlign w:val="superscript"/>
              </w:rPr>
              <w:t>+</w:t>
            </w:r>
            <w:r>
              <w:rPr>
                <w:rFonts w:hint="eastAsia"/>
                <w:szCs w:val="21"/>
              </w:rPr>
              <w:t>、</w:t>
            </w:r>
            <w:r>
              <w:rPr>
                <w:rFonts w:hint="eastAsia"/>
                <w:szCs w:val="21"/>
              </w:rPr>
              <w:t>Na</w:t>
            </w:r>
            <w:r>
              <w:rPr>
                <w:rFonts w:hint="eastAsia"/>
                <w:szCs w:val="21"/>
                <w:vertAlign w:val="superscript"/>
              </w:rPr>
              <w:t>+</w:t>
            </w:r>
            <w:r>
              <w:rPr>
                <w:rFonts w:hint="eastAsia"/>
                <w:szCs w:val="21"/>
              </w:rPr>
              <w:t>、</w:t>
            </w:r>
            <w:r>
              <w:rPr>
                <w:rFonts w:hint="eastAsia"/>
                <w:szCs w:val="21"/>
              </w:rPr>
              <w:t>Ca</w:t>
            </w:r>
            <w:r>
              <w:rPr>
                <w:rFonts w:hint="eastAsia"/>
                <w:szCs w:val="21"/>
                <w:vertAlign w:val="superscript"/>
              </w:rPr>
              <w:t>2+</w:t>
            </w:r>
            <w:r>
              <w:rPr>
                <w:rFonts w:hint="eastAsia"/>
                <w:szCs w:val="21"/>
              </w:rPr>
              <w:t>、</w:t>
            </w:r>
            <w:r>
              <w:rPr>
                <w:rFonts w:hint="eastAsia"/>
                <w:szCs w:val="21"/>
              </w:rPr>
              <w:t>Mg</w:t>
            </w:r>
            <w:r>
              <w:rPr>
                <w:rFonts w:hint="eastAsia"/>
                <w:szCs w:val="21"/>
                <w:vertAlign w:val="superscript"/>
              </w:rPr>
              <w:t>2+</w:t>
            </w:r>
            <w:r>
              <w:rPr>
                <w:rFonts w:hint="eastAsia"/>
                <w:szCs w:val="21"/>
              </w:rPr>
              <w:t>、</w:t>
            </w:r>
            <w:r>
              <w:rPr>
                <w:rFonts w:hint="eastAsia"/>
                <w:szCs w:val="21"/>
              </w:rPr>
              <w:t>CO</w:t>
            </w:r>
            <w:r>
              <w:rPr>
                <w:rFonts w:hint="eastAsia"/>
                <w:szCs w:val="21"/>
                <w:vertAlign w:val="subscript"/>
              </w:rPr>
              <w:t>3</w:t>
            </w:r>
            <w:r>
              <w:rPr>
                <w:rFonts w:hint="eastAsia"/>
                <w:szCs w:val="21"/>
                <w:vertAlign w:val="superscript"/>
              </w:rPr>
              <w:t>2-</w:t>
            </w:r>
            <w:r>
              <w:rPr>
                <w:rFonts w:hint="eastAsia"/>
                <w:szCs w:val="21"/>
              </w:rPr>
              <w:t>、</w:t>
            </w:r>
            <w:r>
              <w:rPr>
                <w:rFonts w:hint="eastAsia"/>
                <w:szCs w:val="21"/>
              </w:rPr>
              <w:t>Cl</w:t>
            </w:r>
            <w:r>
              <w:rPr>
                <w:rFonts w:hint="eastAsia"/>
                <w:szCs w:val="21"/>
                <w:vertAlign w:val="superscript"/>
              </w:rPr>
              <w:t>-</w:t>
            </w:r>
            <w:r>
              <w:rPr>
                <w:rFonts w:hint="eastAsia"/>
                <w:szCs w:val="21"/>
              </w:rPr>
              <w:t>、</w:t>
            </w:r>
            <w:r>
              <w:rPr>
                <w:rFonts w:hint="eastAsia"/>
                <w:szCs w:val="21"/>
              </w:rPr>
              <w:t>HCO</w:t>
            </w:r>
            <w:r>
              <w:rPr>
                <w:rFonts w:hint="eastAsia"/>
                <w:szCs w:val="21"/>
                <w:vertAlign w:val="subscript"/>
              </w:rPr>
              <w:t>3</w:t>
            </w:r>
            <w:r>
              <w:rPr>
                <w:rFonts w:hint="eastAsia"/>
                <w:szCs w:val="21"/>
                <w:vertAlign w:val="superscript"/>
              </w:rPr>
              <w:t>-</w:t>
            </w:r>
            <w:r>
              <w:rPr>
                <w:rFonts w:hint="eastAsia"/>
                <w:szCs w:val="21"/>
              </w:rPr>
              <w:t>、</w:t>
            </w:r>
            <w:r>
              <w:rPr>
                <w:rFonts w:hint="eastAsia"/>
                <w:szCs w:val="21"/>
              </w:rPr>
              <w:t>SO</w:t>
            </w:r>
            <w:r>
              <w:rPr>
                <w:rFonts w:hint="eastAsia"/>
                <w:szCs w:val="21"/>
                <w:vertAlign w:val="subscript"/>
              </w:rPr>
              <w:t>4</w:t>
            </w:r>
            <w:r>
              <w:rPr>
                <w:rFonts w:hint="eastAsia"/>
                <w:szCs w:val="21"/>
                <w:vertAlign w:val="superscript"/>
              </w:rPr>
              <w:t>2-</w:t>
            </w:r>
            <w:r>
              <w:rPr>
                <w:rFonts w:hint="eastAsia"/>
                <w:szCs w:val="21"/>
              </w:rPr>
              <w:t>、</w:t>
            </w:r>
            <w:r>
              <w:rPr>
                <w:rFonts w:hint="eastAsia"/>
                <w:szCs w:val="21"/>
              </w:rPr>
              <w:t>pH</w:t>
            </w:r>
            <w:r>
              <w:rPr>
                <w:rFonts w:hint="eastAsia"/>
                <w:szCs w:val="21"/>
              </w:rPr>
              <w:t>、氨氮、硝酸盐氮、亚硝酸盐氮、挥发性酚类、氰化物、砷、汞、铬</w:t>
            </w:r>
            <w:r>
              <w:rPr>
                <w:rFonts w:hint="eastAsia"/>
                <w:szCs w:val="21"/>
              </w:rPr>
              <w:t xml:space="preserve"> </w:t>
            </w:r>
            <w:r>
              <w:rPr>
                <w:rFonts w:hint="eastAsia"/>
                <w:szCs w:val="21"/>
              </w:rPr>
              <w:t>（六价）、总硬度、铅、氟、镉、铁、锰、溶解性固体、高锰酸盐指数、硫酸盐、氯化物、总大肠菌群、细菌总数、石油类</w:t>
            </w:r>
          </w:p>
        </w:tc>
        <w:tc>
          <w:tcPr>
            <w:tcW w:w="3001" w:type="dxa"/>
          </w:tcPr>
          <w:p w14:paraId="4A59A0C3" w14:textId="77777777" w:rsidR="007D1E74" w:rsidRDefault="00A95641">
            <w:pPr>
              <w:rPr>
                <w:szCs w:val="21"/>
              </w:rPr>
            </w:pPr>
            <w:r>
              <w:rPr>
                <w:rFonts w:hint="eastAsia"/>
                <w:szCs w:val="21"/>
              </w:rPr>
              <w:t>/</w:t>
            </w:r>
          </w:p>
        </w:tc>
        <w:tc>
          <w:tcPr>
            <w:tcW w:w="1762" w:type="dxa"/>
          </w:tcPr>
          <w:p w14:paraId="6B7942C9" w14:textId="77777777" w:rsidR="007D1E74" w:rsidRDefault="00A95641">
            <w:pPr>
              <w:rPr>
                <w:szCs w:val="21"/>
              </w:rPr>
            </w:pPr>
            <w:r>
              <w:rPr>
                <w:rFonts w:hint="eastAsia"/>
                <w:szCs w:val="21"/>
              </w:rPr>
              <w:t>/</w:t>
            </w:r>
          </w:p>
        </w:tc>
      </w:tr>
      <w:tr w:rsidR="007D1E74" w14:paraId="1915850E" w14:textId="77777777">
        <w:tc>
          <w:tcPr>
            <w:tcW w:w="1384" w:type="dxa"/>
          </w:tcPr>
          <w:p w14:paraId="055CBC10" w14:textId="77777777" w:rsidR="007D1E74" w:rsidRDefault="00A95641">
            <w:pPr>
              <w:rPr>
                <w:szCs w:val="21"/>
              </w:rPr>
            </w:pPr>
            <w:r>
              <w:rPr>
                <w:rFonts w:hint="eastAsia"/>
                <w:szCs w:val="21"/>
              </w:rPr>
              <w:t>土壤环境</w:t>
            </w:r>
          </w:p>
        </w:tc>
        <w:tc>
          <w:tcPr>
            <w:tcW w:w="3378" w:type="dxa"/>
          </w:tcPr>
          <w:p w14:paraId="51A76477" w14:textId="77777777" w:rsidR="007D1E74" w:rsidRDefault="00A95641">
            <w:pPr>
              <w:rPr>
                <w:szCs w:val="21"/>
              </w:rPr>
            </w:pPr>
            <w:r>
              <w:rPr>
                <w:rFonts w:hint="eastAsia"/>
                <w:szCs w:val="21"/>
              </w:rPr>
              <w:t>基本因子：</w:t>
            </w:r>
            <w:r>
              <w:rPr>
                <w:rFonts w:hint="eastAsia"/>
                <w:szCs w:val="21"/>
              </w:rPr>
              <w:t>GB15618-2018</w:t>
            </w:r>
            <w:r>
              <w:rPr>
                <w:rFonts w:hint="eastAsia"/>
                <w:szCs w:val="21"/>
              </w:rPr>
              <w:t>表</w:t>
            </w:r>
            <w:r>
              <w:rPr>
                <w:rFonts w:hint="eastAsia"/>
                <w:szCs w:val="21"/>
              </w:rPr>
              <w:t>1</w:t>
            </w:r>
            <w:r>
              <w:rPr>
                <w:rFonts w:hint="eastAsia"/>
                <w:szCs w:val="21"/>
              </w:rPr>
              <w:t>基本项目</w:t>
            </w:r>
            <w:r>
              <w:rPr>
                <w:rFonts w:hint="eastAsia"/>
                <w:szCs w:val="21"/>
              </w:rPr>
              <w:t>8</w:t>
            </w:r>
            <w:r>
              <w:rPr>
                <w:rFonts w:hint="eastAsia"/>
                <w:szCs w:val="21"/>
              </w:rPr>
              <w:t>项；</w:t>
            </w:r>
          </w:p>
          <w:p w14:paraId="1DC5FAFB" w14:textId="77777777" w:rsidR="007D1E74" w:rsidRDefault="00A95641">
            <w:pPr>
              <w:rPr>
                <w:szCs w:val="21"/>
              </w:rPr>
            </w:pPr>
            <w:r>
              <w:rPr>
                <w:rFonts w:hint="eastAsia"/>
                <w:szCs w:val="21"/>
              </w:rPr>
              <w:t>特征因子：石油烃</w:t>
            </w:r>
          </w:p>
        </w:tc>
        <w:tc>
          <w:tcPr>
            <w:tcW w:w="3001" w:type="dxa"/>
          </w:tcPr>
          <w:p w14:paraId="4F3A292D" w14:textId="77777777" w:rsidR="007D1E74" w:rsidRDefault="00A95641">
            <w:pPr>
              <w:rPr>
                <w:szCs w:val="21"/>
              </w:rPr>
            </w:pPr>
            <w:r>
              <w:rPr>
                <w:rFonts w:hint="eastAsia"/>
                <w:szCs w:val="21"/>
              </w:rPr>
              <w:t>/</w:t>
            </w:r>
          </w:p>
        </w:tc>
        <w:tc>
          <w:tcPr>
            <w:tcW w:w="1762" w:type="dxa"/>
          </w:tcPr>
          <w:p w14:paraId="054A93D2" w14:textId="77777777" w:rsidR="007D1E74" w:rsidRDefault="00A95641">
            <w:pPr>
              <w:rPr>
                <w:szCs w:val="21"/>
              </w:rPr>
            </w:pPr>
            <w:r>
              <w:rPr>
                <w:rFonts w:hint="eastAsia"/>
                <w:szCs w:val="21"/>
              </w:rPr>
              <w:t>/</w:t>
            </w:r>
          </w:p>
        </w:tc>
      </w:tr>
      <w:tr w:rsidR="007D1E74" w14:paraId="323DD087" w14:textId="77777777">
        <w:tc>
          <w:tcPr>
            <w:tcW w:w="1384" w:type="dxa"/>
          </w:tcPr>
          <w:p w14:paraId="699E328A" w14:textId="77777777" w:rsidR="007D1E74" w:rsidRDefault="00A95641">
            <w:pPr>
              <w:rPr>
                <w:szCs w:val="21"/>
              </w:rPr>
            </w:pPr>
            <w:r>
              <w:rPr>
                <w:rFonts w:hint="eastAsia"/>
                <w:szCs w:val="21"/>
              </w:rPr>
              <w:t>固体废物</w:t>
            </w:r>
          </w:p>
        </w:tc>
        <w:tc>
          <w:tcPr>
            <w:tcW w:w="3378" w:type="dxa"/>
          </w:tcPr>
          <w:p w14:paraId="7505CAC5" w14:textId="77777777" w:rsidR="007D1E74" w:rsidRDefault="00A95641">
            <w:pPr>
              <w:rPr>
                <w:szCs w:val="21"/>
              </w:rPr>
            </w:pPr>
            <w:r>
              <w:rPr>
                <w:rFonts w:hint="eastAsia"/>
                <w:szCs w:val="21"/>
              </w:rPr>
              <w:t>/</w:t>
            </w:r>
          </w:p>
        </w:tc>
        <w:tc>
          <w:tcPr>
            <w:tcW w:w="3001" w:type="dxa"/>
          </w:tcPr>
          <w:p w14:paraId="7A40E452" w14:textId="77777777" w:rsidR="007D1E74" w:rsidRDefault="00A95641">
            <w:pPr>
              <w:rPr>
                <w:szCs w:val="21"/>
              </w:rPr>
            </w:pPr>
            <w:r>
              <w:rPr>
                <w:rFonts w:hint="eastAsia"/>
                <w:szCs w:val="21"/>
              </w:rPr>
              <w:t>临时土石方、生活垃圾</w:t>
            </w:r>
          </w:p>
        </w:tc>
        <w:tc>
          <w:tcPr>
            <w:tcW w:w="1762" w:type="dxa"/>
          </w:tcPr>
          <w:p w14:paraId="26840844" w14:textId="77777777" w:rsidR="007D1E74" w:rsidRDefault="00A95641">
            <w:pPr>
              <w:rPr>
                <w:szCs w:val="21"/>
              </w:rPr>
            </w:pPr>
            <w:r>
              <w:rPr>
                <w:rFonts w:hint="eastAsia"/>
                <w:szCs w:val="21"/>
              </w:rPr>
              <w:t>/</w:t>
            </w:r>
          </w:p>
        </w:tc>
      </w:tr>
      <w:tr w:rsidR="007D1E74" w14:paraId="1EF2EC2B" w14:textId="77777777">
        <w:tc>
          <w:tcPr>
            <w:tcW w:w="1384" w:type="dxa"/>
          </w:tcPr>
          <w:p w14:paraId="08758AE3" w14:textId="77777777" w:rsidR="007D1E74" w:rsidRDefault="00A95641">
            <w:pPr>
              <w:rPr>
                <w:szCs w:val="21"/>
              </w:rPr>
            </w:pPr>
            <w:r>
              <w:rPr>
                <w:rFonts w:hint="eastAsia"/>
                <w:szCs w:val="21"/>
              </w:rPr>
              <w:t>噪声</w:t>
            </w:r>
          </w:p>
        </w:tc>
        <w:tc>
          <w:tcPr>
            <w:tcW w:w="3378" w:type="dxa"/>
          </w:tcPr>
          <w:p w14:paraId="205DD0A7" w14:textId="77777777" w:rsidR="007D1E74" w:rsidRDefault="00A95641">
            <w:pPr>
              <w:rPr>
                <w:szCs w:val="21"/>
              </w:rPr>
            </w:pPr>
            <w:r>
              <w:rPr>
                <w:rFonts w:hint="eastAsia"/>
                <w:szCs w:val="21"/>
              </w:rPr>
              <w:t>连续等效</w:t>
            </w:r>
            <w:r>
              <w:rPr>
                <w:rFonts w:hint="eastAsia"/>
                <w:szCs w:val="21"/>
              </w:rPr>
              <w:t>A</w:t>
            </w:r>
            <w:r>
              <w:rPr>
                <w:rFonts w:hint="eastAsia"/>
                <w:szCs w:val="21"/>
              </w:rPr>
              <w:t>声级</w:t>
            </w:r>
            <w:r>
              <w:rPr>
                <w:rFonts w:hint="eastAsia"/>
                <w:szCs w:val="21"/>
              </w:rPr>
              <w:t>(LAeq)</w:t>
            </w:r>
          </w:p>
        </w:tc>
        <w:tc>
          <w:tcPr>
            <w:tcW w:w="3001" w:type="dxa"/>
          </w:tcPr>
          <w:p w14:paraId="4A1A5442" w14:textId="77777777" w:rsidR="007D1E74" w:rsidRDefault="00A95641">
            <w:pPr>
              <w:rPr>
                <w:szCs w:val="21"/>
              </w:rPr>
            </w:pPr>
            <w:r>
              <w:rPr>
                <w:rFonts w:hint="eastAsia"/>
                <w:szCs w:val="21"/>
              </w:rPr>
              <w:t>连续等效</w:t>
            </w:r>
            <w:r>
              <w:rPr>
                <w:rFonts w:hint="eastAsia"/>
                <w:szCs w:val="21"/>
              </w:rPr>
              <w:t>A</w:t>
            </w:r>
            <w:r>
              <w:rPr>
                <w:rFonts w:hint="eastAsia"/>
                <w:szCs w:val="21"/>
              </w:rPr>
              <w:t>声级</w:t>
            </w:r>
            <w:r>
              <w:rPr>
                <w:rFonts w:hint="eastAsia"/>
                <w:szCs w:val="21"/>
              </w:rPr>
              <w:t>(LAeq)</w:t>
            </w:r>
          </w:p>
        </w:tc>
        <w:tc>
          <w:tcPr>
            <w:tcW w:w="1762" w:type="dxa"/>
          </w:tcPr>
          <w:p w14:paraId="6F1F4DA7" w14:textId="77777777" w:rsidR="007D1E74" w:rsidRDefault="00A95641">
            <w:pPr>
              <w:rPr>
                <w:szCs w:val="21"/>
              </w:rPr>
            </w:pPr>
            <w:r>
              <w:rPr>
                <w:rFonts w:hint="eastAsia"/>
                <w:szCs w:val="21"/>
              </w:rPr>
              <w:t>连续等效</w:t>
            </w:r>
            <w:r>
              <w:rPr>
                <w:rFonts w:hint="eastAsia"/>
                <w:szCs w:val="21"/>
              </w:rPr>
              <w:t>A</w:t>
            </w:r>
            <w:r>
              <w:rPr>
                <w:rFonts w:hint="eastAsia"/>
                <w:szCs w:val="21"/>
              </w:rPr>
              <w:t>声级</w:t>
            </w:r>
            <w:r>
              <w:rPr>
                <w:rFonts w:hint="eastAsia"/>
                <w:szCs w:val="21"/>
              </w:rPr>
              <w:t>(LAeq)</w:t>
            </w:r>
          </w:p>
        </w:tc>
      </w:tr>
      <w:tr w:rsidR="007D1E74" w14:paraId="1FBDE987" w14:textId="77777777">
        <w:tc>
          <w:tcPr>
            <w:tcW w:w="1384" w:type="dxa"/>
          </w:tcPr>
          <w:p w14:paraId="685AE1B2" w14:textId="77777777" w:rsidR="007D1E74" w:rsidRDefault="00A95641">
            <w:pPr>
              <w:rPr>
                <w:szCs w:val="21"/>
              </w:rPr>
            </w:pPr>
            <w:r>
              <w:rPr>
                <w:rFonts w:hint="eastAsia"/>
                <w:szCs w:val="21"/>
              </w:rPr>
              <w:t>环境风险</w:t>
            </w:r>
          </w:p>
        </w:tc>
        <w:tc>
          <w:tcPr>
            <w:tcW w:w="3378" w:type="dxa"/>
          </w:tcPr>
          <w:p w14:paraId="01914CB9" w14:textId="77777777" w:rsidR="007D1E74" w:rsidRDefault="00A95641">
            <w:pPr>
              <w:rPr>
                <w:szCs w:val="21"/>
              </w:rPr>
            </w:pPr>
            <w:r>
              <w:rPr>
                <w:rFonts w:hint="eastAsia"/>
                <w:szCs w:val="21"/>
              </w:rPr>
              <w:t>/</w:t>
            </w:r>
          </w:p>
        </w:tc>
        <w:tc>
          <w:tcPr>
            <w:tcW w:w="3001" w:type="dxa"/>
          </w:tcPr>
          <w:p w14:paraId="3E390DA1" w14:textId="77777777" w:rsidR="007D1E74" w:rsidRDefault="00A95641">
            <w:pPr>
              <w:rPr>
                <w:szCs w:val="21"/>
              </w:rPr>
            </w:pPr>
            <w:r>
              <w:rPr>
                <w:rFonts w:hint="eastAsia"/>
                <w:szCs w:val="21"/>
              </w:rPr>
              <w:t>/</w:t>
            </w:r>
          </w:p>
        </w:tc>
        <w:tc>
          <w:tcPr>
            <w:tcW w:w="1762" w:type="dxa"/>
          </w:tcPr>
          <w:p w14:paraId="2DCCAAB7" w14:textId="77777777" w:rsidR="007D1E74" w:rsidRDefault="00A95641">
            <w:pPr>
              <w:rPr>
                <w:szCs w:val="21"/>
              </w:rPr>
            </w:pPr>
            <w:r>
              <w:rPr>
                <w:rFonts w:hint="eastAsia"/>
                <w:szCs w:val="21"/>
              </w:rPr>
              <w:t>天然气（甲烷）、</w:t>
            </w:r>
            <w:r>
              <w:rPr>
                <w:rFonts w:hint="eastAsia"/>
                <w:szCs w:val="21"/>
              </w:rPr>
              <w:t>CO</w:t>
            </w:r>
          </w:p>
        </w:tc>
      </w:tr>
    </w:tbl>
    <w:p w14:paraId="53B4989D" w14:textId="77777777" w:rsidR="007D1E74" w:rsidRDefault="00A95641">
      <w:pPr>
        <w:pStyle w:val="a9"/>
      </w:pPr>
      <w:r>
        <w:rPr>
          <w:rFonts w:hint="eastAsia"/>
          <w:sz w:val="30"/>
        </w:rPr>
        <w:t>评价执行的环境标准</w:t>
      </w:r>
    </w:p>
    <w:p w14:paraId="524F9E31" w14:textId="77777777" w:rsidR="007D1E74" w:rsidRDefault="00A95641">
      <w:pPr>
        <w:spacing w:line="360" w:lineRule="auto"/>
        <w:ind w:firstLineChars="200" w:firstLine="480"/>
        <w:rPr>
          <w:sz w:val="24"/>
          <w:szCs w:val="24"/>
        </w:rPr>
      </w:pPr>
      <w:r>
        <w:rPr>
          <w:rFonts w:hint="eastAsia"/>
          <w:sz w:val="24"/>
          <w:szCs w:val="24"/>
        </w:rPr>
        <w:t>根据项目建设情况以及周边环境特点，本次环境影响评价执行的环境标准如下：</w:t>
      </w:r>
    </w:p>
    <w:p w14:paraId="5374B1DD" w14:textId="77777777" w:rsidR="007D1E74" w:rsidRDefault="00A95641">
      <w:pPr>
        <w:adjustRightInd w:val="0"/>
        <w:snapToGrid w:val="0"/>
        <w:spacing w:line="360" w:lineRule="auto"/>
        <w:ind w:firstLineChars="200" w:firstLine="482"/>
        <w:rPr>
          <w:rFonts w:cs="Times New Roman"/>
          <w:b/>
          <w:sz w:val="24"/>
          <w:szCs w:val="24"/>
        </w:rPr>
      </w:pPr>
      <w:r>
        <w:rPr>
          <w:rFonts w:cs="Times New Roman"/>
          <w:b/>
          <w:sz w:val="24"/>
          <w:szCs w:val="24"/>
        </w:rPr>
        <w:t>1</w:t>
      </w:r>
      <w:r>
        <w:rPr>
          <w:rFonts w:cs="Times New Roman"/>
          <w:b/>
          <w:sz w:val="24"/>
          <w:szCs w:val="24"/>
        </w:rPr>
        <w:t>、环境质量标准</w:t>
      </w:r>
    </w:p>
    <w:p w14:paraId="3ED852FC" w14:textId="77777777" w:rsidR="007D1E74" w:rsidRDefault="00A95641">
      <w:pPr>
        <w:adjustRightInd w:val="0"/>
        <w:snapToGrid w:val="0"/>
        <w:spacing w:line="360" w:lineRule="auto"/>
        <w:ind w:firstLineChars="200" w:firstLine="482"/>
        <w:rPr>
          <w:rFonts w:cs="Times New Roman"/>
          <w:b/>
          <w:sz w:val="24"/>
          <w:szCs w:val="24"/>
        </w:rPr>
      </w:pPr>
      <w:r>
        <w:rPr>
          <w:rFonts w:cs="Times New Roman"/>
          <w:b/>
          <w:sz w:val="24"/>
          <w:szCs w:val="24"/>
        </w:rPr>
        <w:t>（</w:t>
      </w:r>
      <w:r>
        <w:rPr>
          <w:rFonts w:cs="Times New Roman"/>
          <w:b/>
          <w:sz w:val="24"/>
          <w:szCs w:val="24"/>
        </w:rPr>
        <w:t>1</w:t>
      </w:r>
      <w:r>
        <w:rPr>
          <w:rFonts w:cs="Times New Roman"/>
          <w:b/>
          <w:sz w:val="24"/>
          <w:szCs w:val="24"/>
        </w:rPr>
        <w:t>）环境空气</w:t>
      </w:r>
    </w:p>
    <w:p w14:paraId="0BF47660" w14:textId="77777777" w:rsidR="007D1E74" w:rsidRDefault="00A95641">
      <w:pPr>
        <w:adjustRightInd w:val="0"/>
        <w:spacing w:line="360" w:lineRule="auto"/>
        <w:ind w:firstLineChars="200" w:firstLine="480"/>
        <w:rPr>
          <w:rFonts w:cs="Times New Roman"/>
          <w:sz w:val="24"/>
          <w:szCs w:val="30"/>
        </w:rPr>
      </w:pPr>
      <w:r>
        <w:rPr>
          <w:rFonts w:cs="Times New Roman"/>
          <w:sz w:val="24"/>
          <w:szCs w:val="24"/>
        </w:rPr>
        <w:t>执行《环境空气质量标准》（</w:t>
      </w:r>
      <w:r>
        <w:rPr>
          <w:rFonts w:cs="Times New Roman"/>
          <w:sz w:val="24"/>
          <w:szCs w:val="24"/>
        </w:rPr>
        <w:t>GB3095-2012</w:t>
      </w:r>
      <w:r>
        <w:rPr>
          <w:rFonts w:cs="Times New Roman"/>
          <w:sz w:val="24"/>
          <w:szCs w:val="24"/>
        </w:rPr>
        <w:t>）二级标准，</w:t>
      </w:r>
      <w:r>
        <w:rPr>
          <w:rFonts w:cs="Times New Roman"/>
          <w:sz w:val="24"/>
          <w:szCs w:val="24"/>
        </w:rPr>
        <w:t>TVOC</w:t>
      </w:r>
      <w:r>
        <w:rPr>
          <w:rFonts w:cs="Times New Roman"/>
          <w:sz w:val="24"/>
          <w:szCs w:val="24"/>
        </w:rPr>
        <w:t>执行《环境影响评价技术导则</w:t>
      </w:r>
      <w:r>
        <w:rPr>
          <w:rFonts w:cs="Times New Roman"/>
          <w:sz w:val="24"/>
          <w:szCs w:val="24"/>
        </w:rPr>
        <w:t xml:space="preserve"> </w:t>
      </w:r>
      <w:r>
        <w:rPr>
          <w:rFonts w:cs="Times New Roman"/>
          <w:sz w:val="24"/>
          <w:szCs w:val="24"/>
        </w:rPr>
        <w:t>大气环境》（</w:t>
      </w:r>
      <w:r>
        <w:rPr>
          <w:rFonts w:cs="Times New Roman"/>
          <w:sz w:val="24"/>
          <w:szCs w:val="24"/>
        </w:rPr>
        <w:t>HJ2.2-2018</w:t>
      </w:r>
      <w:r>
        <w:rPr>
          <w:rFonts w:cs="Times New Roman"/>
          <w:sz w:val="24"/>
          <w:szCs w:val="24"/>
        </w:rPr>
        <w:t>）附录</w:t>
      </w:r>
      <w:r>
        <w:rPr>
          <w:rFonts w:cs="Times New Roman"/>
          <w:sz w:val="24"/>
          <w:szCs w:val="24"/>
        </w:rPr>
        <w:t>D</w:t>
      </w:r>
      <w:r>
        <w:rPr>
          <w:rFonts w:cs="Times New Roman"/>
          <w:sz w:val="24"/>
          <w:szCs w:val="24"/>
        </w:rPr>
        <w:t>中限值，非甲烷总烃执行</w:t>
      </w:r>
      <w:r>
        <w:rPr>
          <w:rFonts w:cs="Times New Roman"/>
          <w:sz w:val="24"/>
          <w:szCs w:val="21"/>
        </w:rPr>
        <w:t>《大气污染物综合排放标准详解》中标准限值</w:t>
      </w:r>
      <w:r>
        <w:rPr>
          <w:rFonts w:cs="Times New Roman"/>
          <w:sz w:val="24"/>
          <w:szCs w:val="30"/>
        </w:rPr>
        <w:t>。</w:t>
      </w:r>
    </w:p>
    <w:p w14:paraId="3C6DF8C6" w14:textId="77777777" w:rsidR="007D1E74" w:rsidRDefault="007D1E74">
      <w:pPr>
        <w:adjustRightInd w:val="0"/>
        <w:spacing w:line="360" w:lineRule="auto"/>
        <w:ind w:firstLineChars="200" w:firstLine="480"/>
        <w:rPr>
          <w:rFonts w:cs="Times New Roman"/>
          <w:sz w:val="24"/>
          <w:szCs w:val="30"/>
        </w:rPr>
      </w:pPr>
    </w:p>
    <w:p w14:paraId="61ED8ABC" w14:textId="77777777" w:rsidR="007D1E74" w:rsidRDefault="007D1E74">
      <w:pPr>
        <w:adjustRightInd w:val="0"/>
        <w:spacing w:line="360" w:lineRule="auto"/>
        <w:ind w:firstLineChars="200" w:firstLine="480"/>
        <w:rPr>
          <w:rFonts w:cs="Times New Roman"/>
          <w:sz w:val="24"/>
          <w:szCs w:val="30"/>
        </w:rPr>
      </w:pPr>
    </w:p>
    <w:p w14:paraId="70F04116" w14:textId="77777777" w:rsidR="007D1E74" w:rsidRDefault="00A95641">
      <w:pPr>
        <w:spacing w:line="360" w:lineRule="auto"/>
        <w:jc w:val="center"/>
        <w:rPr>
          <w:rFonts w:eastAsia="黑体" w:cs="Times New Roman"/>
          <w:szCs w:val="21"/>
        </w:rPr>
      </w:pPr>
      <w:r>
        <w:rPr>
          <w:rFonts w:eastAsia="黑体" w:cs="Times New Roman"/>
          <w:szCs w:val="21"/>
        </w:rPr>
        <w:lastRenderedPageBreak/>
        <w:t>表</w:t>
      </w:r>
      <w:r>
        <w:rPr>
          <w:rFonts w:eastAsia="黑体" w:cs="Times New Roman" w:hint="eastAsia"/>
          <w:szCs w:val="21"/>
        </w:rPr>
        <w:t>2.4-4</w:t>
      </w:r>
      <w:r>
        <w:rPr>
          <w:rFonts w:eastAsia="黑体" w:cs="Times New Roman"/>
          <w:szCs w:val="21"/>
        </w:rPr>
        <w:t xml:space="preserve">  </w:t>
      </w:r>
      <w:r>
        <w:rPr>
          <w:rFonts w:eastAsia="黑体" w:cs="Times New Roman"/>
          <w:szCs w:val="21"/>
        </w:rPr>
        <w:t>环境空气质量标准限值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6"/>
        <w:gridCol w:w="961"/>
        <w:gridCol w:w="1498"/>
        <w:gridCol w:w="1498"/>
        <w:gridCol w:w="1498"/>
        <w:gridCol w:w="1495"/>
      </w:tblGrid>
      <w:tr w:rsidR="007D1E74" w14:paraId="5FE9B809" w14:textId="77777777">
        <w:trPr>
          <w:tblHeader/>
        </w:trPr>
        <w:tc>
          <w:tcPr>
            <w:tcW w:w="1145" w:type="pct"/>
            <w:vMerge w:val="restart"/>
            <w:shd w:val="clear" w:color="auto" w:fill="auto"/>
            <w:vAlign w:val="center"/>
          </w:tcPr>
          <w:p w14:paraId="4BFDCD52" w14:textId="77777777" w:rsidR="007D1E74" w:rsidRDefault="00A95641">
            <w:pPr>
              <w:jc w:val="center"/>
              <w:rPr>
                <w:rFonts w:cs="Times New Roman"/>
                <w:szCs w:val="21"/>
              </w:rPr>
            </w:pPr>
            <w:r>
              <w:rPr>
                <w:rFonts w:cs="Times New Roman"/>
                <w:szCs w:val="21"/>
              </w:rPr>
              <w:t>标准依据</w:t>
            </w:r>
          </w:p>
        </w:tc>
        <w:tc>
          <w:tcPr>
            <w:tcW w:w="533" w:type="pct"/>
            <w:vMerge w:val="restart"/>
            <w:shd w:val="clear" w:color="auto" w:fill="auto"/>
            <w:vAlign w:val="center"/>
          </w:tcPr>
          <w:p w14:paraId="62BAA505" w14:textId="77777777" w:rsidR="007D1E74" w:rsidRDefault="00A95641">
            <w:pPr>
              <w:jc w:val="center"/>
              <w:rPr>
                <w:rFonts w:cs="Times New Roman"/>
                <w:szCs w:val="21"/>
              </w:rPr>
            </w:pPr>
            <w:r>
              <w:rPr>
                <w:rFonts w:cs="Times New Roman"/>
                <w:szCs w:val="21"/>
              </w:rPr>
              <w:t>污染物名称</w:t>
            </w:r>
          </w:p>
        </w:tc>
        <w:tc>
          <w:tcPr>
            <w:tcW w:w="3322" w:type="pct"/>
            <w:gridSpan w:val="4"/>
            <w:shd w:val="clear" w:color="auto" w:fill="auto"/>
            <w:vAlign w:val="center"/>
          </w:tcPr>
          <w:p w14:paraId="2D598FAD" w14:textId="77777777" w:rsidR="007D1E74" w:rsidRDefault="00A95641">
            <w:pPr>
              <w:jc w:val="center"/>
              <w:rPr>
                <w:rFonts w:cs="Times New Roman"/>
                <w:szCs w:val="21"/>
              </w:rPr>
            </w:pPr>
            <w:r>
              <w:rPr>
                <w:rFonts w:cs="Times New Roman"/>
                <w:szCs w:val="21"/>
              </w:rPr>
              <w:t>标准限值（</w:t>
            </w:r>
            <w:r>
              <w:rPr>
                <w:rFonts w:cs="Times New Roman"/>
                <w:szCs w:val="21"/>
              </w:rPr>
              <w:t>mg/m</w:t>
            </w:r>
            <w:r>
              <w:rPr>
                <w:rFonts w:cs="Times New Roman"/>
                <w:szCs w:val="21"/>
                <w:vertAlign w:val="superscript"/>
              </w:rPr>
              <w:t>3</w:t>
            </w:r>
            <w:r>
              <w:rPr>
                <w:rFonts w:cs="Times New Roman"/>
                <w:szCs w:val="21"/>
              </w:rPr>
              <w:t>）</w:t>
            </w:r>
          </w:p>
        </w:tc>
      </w:tr>
      <w:tr w:rsidR="007D1E74" w14:paraId="6D10DC9C" w14:textId="77777777">
        <w:trPr>
          <w:tblHeader/>
        </w:trPr>
        <w:tc>
          <w:tcPr>
            <w:tcW w:w="1145" w:type="pct"/>
            <w:vMerge/>
            <w:shd w:val="clear" w:color="auto" w:fill="auto"/>
            <w:vAlign w:val="center"/>
          </w:tcPr>
          <w:p w14:paraId="24462975" w14:textId="77777777" w:rsidR="007D1E74" w:rsidRDefault="007D1E74">
            <w:pPr>
              <w:jc w:val="center"/>
              <w:rPr>
                <w:rFonts w:cs="Times New Roman"/>
                <w:szCs w:val="21"/>
              </w:rPr>
            </w:pPr>
          </w:p>
        </w:tc>
        <w:tc>
          <w:tcPr>
            <w:tcW w:w="533" w:type="pct"/>
            <w:vMerge/>
            <w:shd w:val="clear" w:color="auto" w:fill="auto"/>
            <w:vAlign w:val="center"/>
          </w:tcPr>
          <w:p w14:paraId="32B12E78" w14:textId="77777777" w:rsidR="007D1E74" w:rsidRDefault="007D1E74">
            <w:pPr>
              <w:jc w:val="center"/>
              <w:rPr>
                <w:rFonts w:cs="Times New Roman"/>
                <w:szCs w:val="21"/>
              </w:rPr>
            </w:pPr>
          </w:p>
        </w:tc>
        <w:tc>
          <w:tcPr>
            <w:tcW w:w="831" w:type="pct"/>
            <w:shd w:val="clear" w:color="auto" w:fill="auto"/>
            <w:vAlign w:val="center"/>
          </w:tcPr>
          <w:p w14:paraId="52507793" w14:textId="77777777" w:rsidR="007D1E74" w:rsidRDefault="00A95641">
            <w:pPr>
              <w:jc w:val="center"/>
              <w:rPr>
                <w:rFonts w:cs="Times New Roman"/>
                <w:szCs w:val="21"/>
              </w:rPr>
            </w:pPr>
            <w:r>
              <w:rPr>
                <w:rFonts w:cs="Times New Roman"/>
                <w:szCs w:val="21"/>
              </w:rPr>
              <w:t>年平均</w:t>
            </w:r>
          </w:p>
        </w:tc>
        <w:tc>
          <w:tcPr>
            <w:tcW w:w="831" w:type="pct"/>
            <w:shd w:val="clear" w:color="auto" w:fill="auto"/>
            <w:vAlign w:val="center"/>
          </w:tcPr>
          <w:p w14:paraId="74083544" w14:textId="77777777" w:rsidR="007D1E74" w:rsidRDefault="00A95641">
            <w:pPr>
              <w:jc w:val="center"/>
              <w:rPr>
                <w:rFonts w:cs="Times New Roman"/>
                <w:szCs w:val="21"/>
              </w:rPr>
            </w:pPr>
            <w:r>
              <w:rPr>
                <w:rFonts w:cs="Times New Roman"/>
                <w:szCs w:val="21"/>
              </w:rPr>
              <w:t>24</w:t>
            </w:r>
            <w:r>
              <w:rPr>
                <w:rFonts w:cs="Times New Roman"/>
                <w:szCs w:val="21"/>
              </w:rPr>
              <w:t>小时平均</w:t>
            </w:r>
          </w:p>
        </w:tc>
        <w:tc>
          <w:tcPr>
            <w:tcW w:w="831" w:type="pct"/>
            <w:vAlign w:val="center"/>
          </w:tcPr>
          <w:p w14:paraId="79F05CFF" w14:textId="77777777" w:rsidR="007D1E74" w:rsidRDefault="00A95641">
            <w:pPr>
              <w:jc w:val="center"/>
              <w:rPr>
                <w:rFonts w:cs="Times New Roman"/>
                <w:szCs w:val="21"/>
              </w:rPr>
            </w:pPr>
            <w:r>
              <w:rPr>
                <w:rFonts w:cs="Times New Roman"/>
                <w:szCs w:val="21"/>
              </w:rPr>
              <w:t>8</w:t>
            </w:r>
            <w:r>
              <w:rPr>
                <w:rFonts w:cs="Times New Roman"/>
                <w:szCs w:val="21"/>
              </w:rPr>
              <w:t>小时平均</w:t>
            </w:r>
          </w:p>
        </w:tc>
        <w:tc>
          <w:tcPr>
            <w:tcW w:w="829" w:type="pct"/>
            <w:vAlign w:val="center"/>
          </w:tcPr>
          <w:p w14:paraId="152CA70A" w14:textId="77777777" w:rsidR="007D1E74" w:rsidRDefault="00A95641">
            <w:pPr>
              <w:jc w:val="center"/>
              <w:rPr>
                <w:rFonts w:cs="Times New Roman"/>
                <w:szCs w:val="21"/>
              </w:rPr>
            </w:pPr>
            <w:r>
              <w:rPr>
                <w:rFonts w:cs="Times New Roman"/>
                <w:szCs w:val="21"/>
              </w:rPr>
              <w:t>1</w:t>
            </w:r>
            <w:r>
              <w:rPr>
                <w:rFonts w:cs="Times New Roman"/>
                <w:szCs w:val="21"/>
              </w:rPr>
              <w:t>小时平均</w:t>
            </w:r>
          </w:p>
        </w:tc>
      </w:tr>
      <w:tr w:rsidR="007D1E74" w14:paraId="3E700D0E" w14:textId="77777777">
        <w:tc>
          <w:tcPr>
            <w:tcW w:w="1145" w:type="pct"/>
            <w:vMerge w:val="restart"/>
            <w:shd w:val="clear" w:color="auto" w:fill="auto"/>
            <w:vAlign w:val="center"/>
          </w:tcPr>
          <w:p w14:paraId="3AEC2C6E" w14:textId="77777777" w:rsidR="007D1E74" w:rsidRDefault="00A95641">
            <w:pPr>
              <w:jc w:val="center"/>
              <w:rPr>
                <w:rFonts w:cs="Times New Roman"/>
                <w:szCs w:val="21"/>
              </w:rPr>
            </w:pPr>
            <w:r>
              <w:rPr>
                <w:rFonts w:cs="Times New Roman"/>
                <w:szCs w:val="21"/>
              </w:rPr>
              <w:t>《环境空气质量标准》（</w:t>
            </w:r>
            <w:r>
              <w:rPr>
                <w:rFonts w:cs="Times New Roman"/>
                <w:szCs w:val="21"/>
              </w:rPr>
              <w:t>GB3095-2012</w:t>
            </w:r>
            <w:r>
              <w:rPr>
                <w:rFonts w:cs="Times New Roman"/>
                <w:szCs w:val="21"/>
              </w:rPr>
              <w:t>）二级标准</w:t>
            </w:r>
          </w:p>
        </w:tc>
        <w:tc>
          <w:tcPr>
            <w:tcW w:w="533" w:type="pct"/>
            <w:shd w:val="clear" w:color="auto" w:fill="auto"/>
            <w:vAlign w:val="center"/>
          </w:tcPr>
          <w:p w14:paraId="11715733" w14:textId="77777777" w:rsidR="007D1E74" w:rsidRDefault="00A95641">
            <w:pPr>
              <w:jc w:val="center"/>
              <w:rPr>
                <w:rFonts w:cs="Times New Roman"/>
                <w:szCs w:val="21"/>
              </w:rPr>
            </w:pPr>
            <w:r>
              <w:rPr>
                <w:rFonts w:cs="Times New Roman"/>
                <w:szCs w:val="21"/>
              </w:rPr>
              <w:t>SO</w:t>
            </w:r>
            <w:r>
              <w:rPr>
                <w:rFonts w:cs="Times New Roman"/>
                <w:szCs w:val="21"/>
                <w:vertAlign w:val="subscript"/>
              </w:rPr>
              <w:t>2</w:t>
            </w:r>
          </w:p>
        </w:tc>
        <w:tc>
          <w:tcPr>
            <w:tcW w:w="831" w:type="pct"/>
            <w:shd w:val="clear" w:color="auto" w:fill="auto"/>
            <w:vAlign w:val="center"/>
          </w:tcPr>
          <w:p w14:paraId="442AEDD5" w14:textId="77777777" w:rsidR="007D1E74" w:rsidRDefault="00A95641">
            <w:pPr>
              <w:jc w:val="center"/>
              <w:rPr>
                <w:rFonts w:cs="Times New Roman"/>
                <w:szCs w:val="21"/>
              </w:rPr>
            </w:pPr>
            <w:r>
              <w:rPr>
                <w:rFonts w:cs="Times New Roman"/>
                <w:szCs w:val="21"/>
              </w:rPr>
              <w:t>0.060</w:t>
            </w:r>
          </w:p>
        </w:tc>
        <w:tc>
          <w:tcPr>
            <w:tcW w:w="831" w:type="pct"/>
            <w:shd w:val="clear" w:color="auto" w:fill="auto"/>
            <w:vAlign w:val="center"/>
          </w:tcPr>
          <w:p w14:paraId="3DF2E7F6" w14:textId="77777777" w:rsidR="007D1E74" w:rsidRDefault="00A95641">
            <w:pPr>
              <w:jc w:val="center"/>
              <w:rPr>
                <w:rFonts w:cs="Times New Roman"/>
                <w:szCs w:val="21"/>
              </w:rPr>
            </w:pPr>
            <w:r>
              <w:rPr>
                <w:rFonts w:cs="Times New Roman"/>
                <w:szCs w:val="21"/>
              </w:rPr>
              <w:t>0.150</w:t>
            </w:r>
          </w:p>
        </w:tc>
        <w:tc>
          <w:tcPr>
            <w:tcW w:w="831" w:type="pct"/>
            <w:vAlign w:val="center"/>
          </w:tcPr>
          <w:p w14:paraId="2AB98B34" w14:textId="77777777" w:rsidR="007D1E74" w:rsidRDefault="00A95641">
            <w:pPr>
              <w:jc w:val="center"/>
              <w:rPr>
                <w:rFonts w:cs="Times New Roman"/>
                <w:szCs w:val="21"/>
              </w:rPr>
            </w:pPr>
            <w:r>
              <w:rPr>
                <w:rFonts w:cs="Times New Roman"/>
                <w:szCs w:val="21"/>
              </w:rPr>
              <w:t>/</w:t>
            </w:r>
          </w:p>
        </w:tc>
        <w:tc>
          <w:tcPr>
            <w:tcW w:w="829" w:type="pct"/>
            <w:vAlign w:val="center"/>
          </w:tcPr>
          <w:p w14:paraId="2B1E24A1" w14:textId="77777777" w:rsidR="007D1E74" w:rsidRDefault="00A95641">
            <w:pPr>
              <w:jc w:val="center"/>
              <w:rPr>
                <w:rFonts w:cs="Times New Roman"/>
                <w:szCs w:val="21"/>
              </w:rPr>
            </w:pPr>
            <w:r>
              <w:rPr>
                <w:rFonts w:cs="Times New Roman"/>
                <w:szCs w:val="21"/>
              </w:rPr>
              <w:t>0.500</w:t>
            </w:r>
          </w:p>
        </w:tc>
      </w:tr>
      <w:tr w:rsidR="007D1E74" w14:paraId="2F82CA9B" w14:textId="77777777">
        <w:tc>
          <w:tcPr>
            <w:tcW w:w="1145" w:type="pct"/>
            <w:vMerge/>
            <w:shd w:val="clear" w:color="auto" w:fill="auto"/>
            <w:vAlign w:val="center"/>
          </w:tcPr>
          <w:p w14:paraId="6BB1A062" w14:textId="77777777" w:rsidR="007D1E74" w:rsidRDefault="007D1E74">
            <w:pPr>
              <w:jc w:val="center"/>
              <w:rPr>
                <w:rFonts w:cs="Times New Roman"/>
                <w:szCs w:val="21"/>
              </w:rPr>
            </w:pPr>
          </w:p>
        </w:tc>
        <w:tc>
          <w:tcPr>
            <w:tcW w:w="533" w:type="pct"/>
            <w:shd w:val="clear" w:color="auto" w:fill="auto"/>
            <w:vAlign w:val="center"/>
          </w:tcPr>
          <w:p w14:paraId="1862C8B0" w14:textId="77777777" w:rsidR="007D1E74" w:rsidRDefault="00A95641">
            <w:pPr>
              <w:jc w:val="center"/>
              <w:rPr>
                <w:rFonts w:cs="Times New Roman"/>
                <w:szCs w:val="21"/>
              </w:rPr>
            </w:pPr>
            <w:r>
              <w:rPr>
                <w:rFonts w:cs="Times New Roman"/>
                <w:szCs w:val="21"/>
              </w:rPr>
              <w:t>NO</w:t>
            </w:r>
            <w:r>
              <w:rPr>
                <w:rFonts w:cs="Times New Roman"/>
                <w:szCs w:val="21"/>
                <w:vertAlign w:val="subscript"/>
              </w:rPr>
              <w:t>2</w:t>
            </w:r>
          </w:p>
        </w:tc>
        <w:tc>
          <w:tcPr>
            <w:tcW w:w="831" w:type="pct"/>
            <w:shd w:val="clear" w:color="auto" w:fill="auto"/>
            <w:vAlign w:val="center"/>
          </w:tcPr>
          <w:p w14:paraId="20B9CFCC" w14:textId="77777777" w:rsidR="007D1E74" w:rsidRDefault="00A95641">
            <w:pPr>
              <w:jc w:val="center"/>
              <w:rPr>
                <w:rFonts w:cs="Times New Roman"/>
                <w:szCs w:val="21"/>
              </w:rPr>
            </w:pPr>
            <w:r>
              <w:rPr>
                <w:rFonts w:cs="Times New Roman"/>
                <w:szCs w:val="21"/>
              </w:rPr>
              <w:t>0.040</w:t>
            </w:r>
          </w:p>
        </w:tc>
        <w:tc>
          <w:tcPr>
            <w:tcW w:w="831" w:type="pct"/>
            <w:shd w:val="clear" w:color="auto" w:fill="auto"/>
            <w:vAlign w:val="center"/>
          </w:tcPr>
          <w:p w14:paraId="13658002" w14:textId="77777777" w:rsidR="007D1E74" w:rsidRDefault="00A95641">
            <w:pPr>
              <w:jc w:val="center"/>
              <w:rPr>
                <w:rFonts w:cs="Times New Roman"/>
                <w:szCs w:val="21"/>
              </w:rPr>
            </w:pPr>
            <w:r>
              <w:rPr>
                <w:rFonts w:cs="Times New Roman"/>
                <w:szCs w:val="21"/>
              </w:rPr>
              <w:t>0.080</w:t>
            </w:r>
          </w:p>
        </w:tc>
        <w:tc>
          <w:tcPr>
            <w:tcW w:w="831" w:type="pct"/>
            <w:vAlign w:val="center"/>
          </w:tcPr>
          <w:p w14:paraId="37EC775D" w14:textId="77777777" w:rsidR="007D1E74" w:rsidRDefault="00A95641">
            <w:pPr>
              <w:jc w:val="center"/>
              <w:rPr>
                <w:rFonts w:cs="Times New Roman"/>
                <w:szCs w:val="21"/>
              </w:rPr>
            </w:pPr>
            <w:r>
              <w:rPr>
                <w:rFonts w:cs="Times New Roman"/>
                <w:szCs w:val="21"/>
              </w:rPr>
              <w:t>/</w:t>
            </w:r>
          </w:p>
        </w:tc>
        <w:tc>
          <w:tcPr>
            <w:tcW w:w="829" w:type="pct"/>
            <w:vAlign w:val="center"/>
          </w:tcPr>
          <w:p w14:paraId="05ABEBD4" w14:textId="77777777" w:rsidR="007D1E74" w:rsidRDefault="00A95641">
            <w:pPr>
              <w:jc w:val="center"/>
              <w:rPr>
                <w:rFonts w:cs="Times New Roman"/>
                <w:szCs w:val="21"/>
              </w:rPr>
            </w:pPr>
            <w:r>
              <w:rPr>
                <w:rFonts w:cs="Times New Roman"/>
                <w:szCs w:val="21"/>
              </w:rPr>
              <w:t>0.200</w:t>
            </w:r>
          </w:p>
        </w:tc>
      </w:tr>
      <w:tr w:rsidR="007D1E74" w14:paraId="1EA38DF8" w14:textId="77777777">
        <w:tc>
          <w:tcPr>
            <w:tcW w:w="1145" w:type="pct"/>
            <w:vMerge/>
            <w:shd w:val="clear" w:color="auto" w:fill="auto"/>
            <w:vAlign w:val="center"/>
          </w:tcPr>
          <w:p w14:paraId="47A364B0" w14:textId="77777777" w:rsidR="007D1E74" w:rsidRDefault="007D1E74">
            <w:pPr>
              <w:jc w:val="center"/>
              <w:rPr>
                <w:rFonts w:cs="Times New Roman"/>
                <w:szCs w:val="21"/>
              </w:rPr>
            </w:pPr>
          </w:p>
        </w:tc>
        <w:tc>
          <w:tcPr>
            <w:tcW w:w="533" w:type="pct"/>
            <w:shd w:val="clear" w:color="auto" w:fill="auto"/>
            <w:vAlign w:val="center"/>
          </w:tcPr>
          <w:p w14:paraId="625A9F9C" w14:textId="77777777" w:rsidR="007D1E74" w:rsidRDefault="00A95641">
            <w:pPr>
              <w:jc w:val="center"/>
              <w:rPr>
                <w:rFonts w:cs="Times New Roman"/>
                <w:szCs w:val="21"/>
              </w:rPr>
            </w:pPr>
            <w:r>
              <w:rPr>
                <w:rFonts w:cs="Times New Roman"/>
                <w:szCs w:val="21"/>
              </w:rPr>
              <w:t>PM</w:t>
            </w:r>
            <w:r>
              <w:rPr>
                <w:rFonts w:cs="Times New Roman"/>
                <w:szCs w:val="21"/>
                <w:vertAlign w:val="subscript"/>
              </w:rPr>
              <w:t>10</w:t>
            </w:r>
          </w:p>
        </w:tc>
        <w:tc>
          <w:tcPr>
            <w:tcW w:w="831" w:type="pct"/>
            <w:shd w:val="clear" w:color="auto" w:fill="auto"/>
            <w:vAlign w:val="center"/>
          </w:tcPr>
          <w:p w14:paraId="49A9FE2F" w14:textId="77777777" w:rsidR="007D1E74" w:rsidRDefault="00A95641">
            <w:pPr>
              <w:jc w:val="center"/>
              <w:rPr>
                <w:rFonts w:cs="Times New Roman"/>
                <w:szCs w:val="21"/>
              </w:rPr>
            </w:pPr>
            <w:r>
              <w:rPr>
                <w:rFonts w:cs="Times New Roman"/>
                <w:szCs w:val="21"/>
              </w:rPr>
              <w:t>0.070</w:t>
            </w:r>
          </w:p>
        </w:tc>
        <w:tc>
          <w:tcPr>
            <w:tcW w:w="831" w:type="pct"/>
            <w:shd w:val="clear" w:color="auto" w:fill="auto"/>
            <w:vAlign w:val="center"/>
          </w:tcPr>
          <w:p w14:paraId="19893B1A" w14:textId="77777777" w:rsidR="007D1E74" w:rsidRDefault="00A95641">
            <w:pPr>
              <w:jc w:val="center"/>
              <w:rPr>
                <w:rFonts w:cs="Times New Roman"/>
                <w:szCs w:val="21"/>
              </w:rPr>
            </w:pPr>
            <w:r>
              <w:rPr>
                <w:rFonts w:cs="Times New Roman"/>
                <w:szCs w:val="21"/>
              </w:rPr>
              <w:t>0.150</w:t>
            </w:r>
          </w:p>
        </w:tc>
        <w:tc>
          <w:tcPr>
            <w:tcW w:w="831" w:type="pct"/>
            <w:vAlign w:val="center"/>
          </w:tcPr>
          <w:p w14:paraId="40AD08BF" w14:textId="77777777" w:rsidR="007D1E74" w:rsidRDefault="00A95641">
            <w:pPr>
              <w:jc w:val="center"/>
              <w:rPr>
                <w:rFonts w:cs="Times New Roman"/>
                <w:szCs w:val="21"/>
              </w:rPr>
            </w:pPr>
            <w:r>
              <w:rPr>
                <w:rFonts w:cs="Times New Roman"/>
                <w:szCs w:val="21"/>
              </w:rPr>
              <w:t>/</w:t>
            </w:r>
          </w:p>
        </w:tc>
        <w:tc>
          <w:tcPr>
            <w:tcW w:w="829" w:type="pct"/>
            <w:vAlign w:val="center"/>
          </w:tcPr>
          <w:p w14:paraId="493558FC" w14:textId="77777777" w:rsidR="007D1E74" w:rsidRDefault="00A95641">
            <w:pPr>
              <w:jc w:val="center"/>
              <w:rPr>
                <w:rFonts w:cs="Times New Roman"/>
                <w:szCs w:val="21"/>
              </w:rPr>
            </w:pPr>
            <w:r>
              <w:rPr>
                <w:rFonts w:cs="Times New Roman"/>
                <w:szCs w:val="21"/>
              </w:rPr>
              <w:t>/</w:t>
            </w:r>
          </w:p>
        </w:tc>
      </w:tr>
      <w:tr w:rsidR="007D1E74" w14:paraId="5DE51C23" w14:textId="77777777">
        <w:tc>
          <w:tcPr>
            <w:tcW w:w="1145" w:type="pct"/>
            <w:vMerge/>
            <w:shd w:val="clear" w:color="auto" w:fill="auto"/>
            <w:vAlign w:val="center"/>
          </w:tcPr>
          <w:p w14:paraId="038A3572" w14:textId="77777777" w:rsidR="007D1E74" w:rsidRDefault="007D1E74">
            <w:pPr>
              <w:jc w:val="center"/>
              <w:rPr>
                <w:rFonts w:cs="Times New Roman"/>
                <w:szCs w:val="21"/>
              </w:rPr>
            </w:pPr>
          </w:p>
        </w:tc>
        <w:tc>
          <w:tcPr>
            <w:tcW w:w="533" w:type="pct"/>
            <w:shd w:val="clear" w:color="auto" w:fill="auto"/>
            <w:vAlign w:val="center"/>
          </w:tcPr>
          <w:p w14:paraId="6830FB6D" w14:textId="77777777" w:rsidR="007D1E74" w:rsidRDefault="00A95641">
            <w:pPr>
              <w:jc w:val="center"/>
              <w:rPr>
                <w:rFonts w:cs="Times New Roman"/>
                <w:szCs w:val="21"/>
              </w:rPr>
            </w:pPr>
            <w:r>
              <w:rPr>
                <w:rFonts w:cs="Times New Roman"/>
                <w:szCs w:val="21"/>
              </w:rPr>
              <w:t>PM</w:t>
            </w:r>
            <w:r>
              <w:rPr>
                <w:rFonts w:cs="Times New Roman"/>
                <w:szCs w:val="21"/>
                <w:vertAlign w:val="subscript"/>
              </w:rPr>
              <w:t>2.5</w:t>
            </w:r>
          </w:p>
        </w:tc>
        <w:tc>
          <w:tcPr>
            <w:tcW w:w="831" w:type="pct"/>
            <w:shd w:val="clear" w:color="auto" w:fill="auto"/>
            <w:vAlign w:val="center"/>
          </w:tcPr>
          <w:p w14:paraId="3A2A7A76" w14:textId="77777777" w:rsidR="007D1E74" w:rsidRDefault="00A95641">
            <w:pPr>
              <w:jc w:val="center"/>
              <w:rPr>
                <w:rFonts w:cs="Times New Roman"/>
                <w:szCs w:val="21"/>
              </w:rPr>
            </w:pPr>
            <w:r>
              <w:rPr>
                <w:rFonts w:cs="Times New Roman"/>
                <w:szCs w:val="21"/>
              </w:rPr>
              <w:t>0.035</w:t>
            </w:r>
          </w:p>
        </w:tc>
        <w:tc>
          <w:tcPr>
            <w:tcW w:w="831" w:type="pct"/>
            <w:shd w:val="clear" w:color="auto" w:fill="auto"/>
            <w:vAlign w:val="center"/>
          </w:tcPr>
          <w:p w14:paraId="0AA8CFFF" w14:textId="77777777" w:rsidR="007D1E74" w:rsidRDefault="00A95641">
            <w:pPr>
              <w:jc w:val="center"/>
              <w:rPr>
                <w:rFonts w:cs="Times New Roman"/>
                <w:szCs w:val="21"/>
              </w:rPr>
            </w:pPr>
            <w:r>
              <w:rPr>
                <w:rFonts w:cs="Times New Roman"/>
                <w:szCs w:val="21"/>
              </w:rPr>
              <w:t>0.075</w:t>
            </w:r>
          </w:p>
        </w:tc>
        <w:tc>
          <w:tcPr>
            <w:tcW w:w="831" w:type="pct"/>
            <w:vAlign w:val="center"/>
          </w:tcPr>
          <w:p w14:paraId="094015EC" w14:textId="77777777" w:rsidR="007D1E74" w:rsidRDefault="00A95641">
            <w:pPr>
              <w:jc w:val="center"/>
              <w:rPr>
                <w:rFonts w:cs="Times New Roman"/>
                <w:szCs w:val="21"/>
              </w:rPr>
            </w:pPr>
            <w:r>
              <w:rPr>
                <w:rFonts w:cs="Times New Roman"/>
                <w:szCs w:val="21"/>
              </w:rPr>
              <w:t>/</w:t>
            </w:r>
          </w:p>
        </w:tc>
        <w:tc>
          <w:tcPr>
            <w:tcW w:w="829" w:type="pct"/>
            <w:vAlign w:val="center"/>
          </w:tcPr>
          <w:p w14:paraId="7A95BF9E" w14:textId="77777777" w:rsidR="007D1E74" w:rsidRDefault="00A95641">
            <w:pPr>
              <w:jc w:val="center"/>
              <w:rPr>
                <w:rFonts w:cs="Times New Roman"/>
                <w:szCs w:val="21"/>
              </w:rPr>
            </w:pPr>
            <w:r>
              <w:rPr>
                <w:rFonts w:cs="Times New Roman"/>
                <w:szCs w:val="21"/>
              </w:rPr>
              <w:t>/</w:t>
            </w:r>
          </w:p>
        </w:tc>
      </w:tr>
      <w:tr w:rsidR="007D1E74" w14:paraId="33E9AA49" w14:textId="77777777">
        <w:tc>
          <w:tcPr>
            <w:tcW w:w="1145" w:type="pct"/>
            <w:vMerge/>
            <w:shd w:val="clear" w:color="auto" w:fill="auto"/>
            <w:vAlign w:val="center"/>
          </w:tcPr>
          <w:p w14:paraId="397561C7" w14:textId="77777777" w:rsidR="007D1E74" w:rsidRDefault="007D1E74">
            <w:pPr>
              <w:jc w:val="center"/>
              <w:rPr>
                <w:rFonts w:cs="Times New Roman"/>
                <w:szCs w:val="21"/>
              </w:rPr>
            </w:pPr>
          </w:p>
        </w:tc>
        <w:tc>
          <w:tcPr>
            <w:tcW w:w="533" w:type="pct"/>
            <w:shd w:val="clear" w:color="auto" w:fill="auto"/>
            <w:vAlign w:val="center"/>
          </w:tcPr>
          <w:p w14:paraId="6734DAD2" w14:textId="77777777" w:rsidR="007D1E74" w:rsidRDefault="00A95641">
            <w:pPr>
              <w:jc w:val="center"/>
              <w:rPr>
                <w:rFonts w:cs="Times New Roman"/>
                <w:szCs w:val="21"/>
              </w:rPr>
            </w:pPr>
            <w:r>
              <w:rPr>
                <w:rFonts w:cs="Times New Roman"/>
                <w:szCs w:val="21"/>
              </w:rPr>
              <w:t>CO</w:t>
            </w:r>
          </w:p>
        </w:tc>
        <w:tc>
          <w:tcPr>
            <w:tcW w:w="831" w:type="pct"/>
            <w:shd w:val="clear" w:color="auto" w:fill="auto"/>
            <w:vAlign w:val="center"/>
          </w:tcPr>
          <w:p w14:paraId="71BB87B9" w14:textId="77777777" w:rsidR="007D1E74" w:rsidRDefault="00A95641">
            <w:pPr>
              <w:jc w:val="center"/>
              <w:rPr>
                <w:rFonts w:cs="Times New Roman"/>
                <w:szCs w:val="21"/>
              </w:rPr>
            </w:pPr>
            <w:r>
              <w:rPr>
                <w:rFonts w:cs="Times New Roman"/>
                <w:szCs w:val="21"/>
              </w:rPr>
              <w:t>/</w:t>
            </w:r>
          </w:p>
        </w:tc>
        <w:tc>
          <w:tcPr>
            <w:tcW w:w="831" w:type="pct"/>
            <w:shd w:val="clear" w:color="auto" w:fill="auto"/>
            <w:vAlign w:val="center"/>
          </w:tcPr>
          <w:p w14:paraId="4252B174" w14:textId="77777777" w:rsidR="007D1E74" w:rsidRDefault="00A95641">
            <w:pPr>
              <w:jc w:val="center"/>
              <w:rPr>
                <w:rFonts w:cs="Times New Roman"/>
                <w:szCs w:val="21"/>
              </w:rPr>
            </w:pPr>
            <w:r>
              <w:rPr>
                <w:rFonts w:cs="Times New Roman"/>
                <w:szCs w:val="21"/>
              </w:rPr>
              <w:t>4</w:t>
            </w:r>
          </w:p>
        </w:tc>
        <w:tc>
          <w:tcPr>
            <w:tcW w:w="831" w:type="pct"/>
            <w:vAlign w:val="center"/>
          </w:tcPr>
          <w:p w14:paraId="796E82AF" w14:textId="77777777" w:rsidR="007D1E74" w:rsidRDefault="00A95641">
            <w:pPr>
              <w:jc w:val="center"/>
              <w:rPr>
                <w:rFonts w:cs="Times New Roman"/>
                <w:szCs w:val="21"/>
              </w:rPr>
            </w:pPr>
            <w:r>
              <w:rPr>
                <w:rFonts w:cs="Times New Roman"/>
                <w:szCs w:val="21"/>
              </w:rPr>
              <w:t>/</w:t>
            </w:r>
          </w:p>
        </w:tc>
        <w:tc>
          <w:tcPr>
            <w:tcW w:w="829" w:type="pct"/>
            <w:vAlign w:val="center"/>
          </w:tcPr>
          <w:p w14:paraId="1F9861B9" w14:textId="77777777" w:rsidR="007D1E74" w:rsidRDefault="00A95641">
            <w:pPr>
              <w:jc w:val="center"/>
              <w:rPr>
                <w:rFonts w:cs="Times New Roman"/>
                <w:szCs w:val="21"/>
              </w:rPr>
            </w:pPr>
            <w:r>
              <w:rPr>
                <w:rFonts w:cs="Times New Roman"/>
                <w:szCs w:val="21"/>
              </w:rPr>
              <w:t>10</w:t>
            </w:r>
          </w:p>
        </w:tc>
      </w:tr>
      <w:tr w:rsidR="007D1E74" w14:paraId="6E758125" w14:textId="77777777">
        <w:tc>
          <w:tcPr>
            <w:tcW w:w="1145" w:type="pct"/>
            <w:vMerge/>
            <w:shd w:val="clear" w:color="auto" w:fill="auto"/>
            <w:vAlign w:val="center"/>
          </w:tcPr>
          <w:p w14:paraId="26366F37" w14:textId="77777777" w:rsidR="007D1E74" w:rsidRDefault="007D1E74">
            <w:pPr>
              <w:jc w:val="center"/>
              <w:rPr>
                <w:rFonts w:cs="Times New Roman"/>
                <w:szCs w:val="21"/>
              </w:rPr>
            </w:pPr>
          </w:p>
        </w:tc>
        <w:tc>
          <w:tcPr>
            <w:tcW w:w="533" w:type="pct"/>
            <w:shd w:val="clear" w:color="auto" w:fill="auto"/>
            <w:vAlign w:val="center"/>
          </w:tcPr>
          <w:p w14:paraId="11554968" w14:textId="77777777" w:rsidR="007D1E74" w:rsidRDefault="00A95641">
            <w:pPr>
              <w:jc w:val="center"/>
              <w:rPr>
                <w:rFonts w:cs="Times New Roman"/>
                <w:szCs w:val="21"/>
              </w:rPr>
            </w:pPr>
            <w:r>
              <w:rPr>
                <w:rFonts w:cs="Times New Roman"/>
                <w:szCs w:val="21"/>
              </w:rPr>
              <w:t>O</w:t>
            </w:r>
            <w:r>
              <w:rPr>
                <w:rFonts w:cs="Times New Roman"/>
                <w:szCs w:val="21"/>
                <w:vertAlign w:val="subscript"/>
              </w:rPr>
              <w:t>3</w:t>
            </w:r>
          </w:p>
        </w:tc>
        <w:tc>
          <w:tcPr>
            <w:tcW w:w="831" w:type="pct"/>
            <w:shd w:val="clear" w:color="auto" w:fill="auto"/>
            <w:vAlign w:val="center"/>
          </w:tcPr>
          <w:p w14:paraId="0FEDC5A5" w14:textId="77777777" w:rsidR="007D1E74" w:rsidRDefault="00A95641">
            <w:pPr>
              <w:jc w:val="center"/>
              <w:rPr>
                <w:rFonts w:cs="Times New Roman"/>
                <w:szCs w:val="21"/>
              </w:rPr>
            </w:pPr>
            <w:r>
              <w:rPr>
                <w:rFonts w:cs="Times New Roman"/>
                <w:szCs w:val="21"/>
              </w:rPr>
              <w:t>/</w:t>
            </w:r>
          </w:p>
        </w:tc>
        <w:tc>
          <w:tcPr>
            <w:tcW w:w="831" w:type="pct"/>
            <w:shd w:val="clear" w:color="auto" w:fill="auto"/>
            <w:vAlign w:val="center"/>
          </w:tcPr>
          <w:p w14:paraId="2FC3FA86" w14:textId="77777777" w:rsidR="007D1E74" w:rsidRDefault="00A95641">
            <w:pPr>
              <w:jc w:val="center"/>
              <w:rPr>
                <w:rFonts w:cs="Times New Roman"/>
                <w:szCs w:val="21"/>
              </w:rPr>
            </w:pPr>
            <w:r>
              <w:rPr>
                <w:rFonts w:cs="Times New Roman"/>
                <w:szCs w:val="21"/>
              </w:rPr>
              <w:t>/</w:t>
            </w:r>
          </w:p>
        </w:tc>
        <w:tc>
          <w:tcPr>
            <w:tcW w:w="831" w:type="pct"/>
            <w:vAlign w:val="center"/>
          </w:tcPr>
          <w:p w14:paraId="0C6EA745" w14:textId="77777777" w:rsidR="007D1E74" w:rsidRDefault="00A95641">
            <w:pPr>
              <w:jc w:val="center"/>
              <w:rPr>
                <w:rFonts w:cs="Times New Roman"/>
                <w:szCs w:val="21"/>
              </w:rPr>
            </w:pPr>
            <w:r>
              <w:rPr>
                <w:rFonts w:cs="Times New Roman"/>
                <w:szCs w:val="21"/>
              </w:rPr>
              <w:t>0.160</w:t>
            </w:r>
          </w:p>
        </w:tc>
        <w:tc>
          <w:tcPr>
            <w:tcW w:w="829" w:type="pct"/>
            <w:vAlign w:val="center"/>
          </w:tcPr>
          <w:p w14:paraId="0C13CB93" w14:textId="77777777" w:rsidR="007D1E74" w:rsidRDefault="00A95641">
            <w:pPr>
              <w:jc w:val="center"/>
              <w:rPr>
                <w:rFonts w:cs="Times New Roman"/>
                <w:szCs w:val="21"/>
              </w:rPr>
            </w:pPr>
            <w:r>
              <w:rPr>
                <w:rFonts w:cs="Times New Roman"/>
                <w:szCs w:val="21"/>
              </w:rPr>
              <w:t>0.200</w:t>
            </w:r>
          </w:p>
        </w:tc>
      </w:tr>
      <w:tr w:rsidR="007D1E74" w14:paraId="5D06644F" w14:textId="77777777">
        <w:tc>
          <w:tcPr>
            <w:tcW w:w="1145" w:type="pct"/>
            <w:vMerge/>
            <w:shd w:val="clear" w:color="auto" w:fill="auto"/>
            <w:vAlign w:val="center"/>
          </w:tcPr>
          <w:p w14:paraId="2CE851DE" w14:textId="77777777" w:rsidR="007D1E74" w:rsidRDefault="007D1E74">
            <w:pPr>
              <w:jc w:val="center"/>
              <w:rPr>
                <w:rFonts w:cs="Times New Roman"/>
                <w:szCs w:val="21"/>
              </w:rPr>
            </w:pPr>
          </w:p>
        </w:tc>
        <w:tc>
          <w:tcPr>
            <w:tcW w:w="533" w:type="pct"/>
            <w:shd w:val="clear" w:color="auto" w:fill="auto"/>
            <w:vAlign w:val="center"/>
          </w:tcPr>
          <w:p w14:paraId="67997B00" w14:textId="77777777" w:rsidR="007D1E74" w:rsidRDefault="00A95641">
            <w:pPr>
              <w:jc w:val="center"/>
              <w:rPr>
                <w:rFonts w:cs="Times New Roman"/>
                <w:szCs w:val="21"/>
              </w:rPr>
            </w:pPr>
            <w:r>
              <w:rPr>
                <w:rFonts w:cs="Times New Roman"/>
                <w:szCs w:val="21"/>
              </w:rPr>
              <w:t>TSP</w:t>
            </w:r>
          </w:p>
        </w:tc>
        <w:tc>
          <w:tcPr>
            <w:tcW w:w="831" w:type="pct"/>
            <w:shd w:val="clear" w:color="auto" w:fill="auto"/>
            <w:vAlign w:val="center"/>
          </w:tcPr>
          <w:p w14:paraId="0610A88A" w14:textId="77777777" w:rsidR="007D1E74" w:rsidRDefault="00A95641">
            <w:pPr>
              <w:jc w:val="center"/>
              <w:rPr>
                <w:rFonts w:cs="Times New Roman"/>
                <w:szCs w:val="21"/>
              </w:rPr>
            </w:pPr>
            <w:r>
              <w:rPr>
                <w:rFonts w:cs="Times New Roman"/>
                <w:szCs w:val="21"/>
              </w:rPr>
              <w:t>0.200</w:t>
            </w:r>
          </w:p>
        </w:tc>
        <w:tc>
          <w:tcPr>
            <w:tcW w:w="831" w:type="pct"/>
            <w:shd w:val="clear" w:color="auto" w:fill="auto"/>
            <w:vAlign w:val="center"/>
          </w:tcPr>
          <w:p w14:paraId="481E5B13" w14:textId="77777777" w:rsidR="007D1E74" w:rsidRDefault="00A95641">
            <w:pPr>
              <w:jc w:val="center"/>
              <w:rPr>
                <w:rFonts w:cs="Times New Roman"/>
                <w:szCs w:val="21"/>
              </w:rPr>
            </w:pPr>
            <w:r>
              <w:rPr>
                <w:rFonts w:cs="Times New Roman"/>
                <w:szCs w:val="21"/>
              </w:rPr>
              <w:t>0.300</w:t>
            </w:r>
          </w:p>
        </w:tc>
        <w:tc>
          <w:tcPr>
            <w:tcW w:w="831" w:type="pct"/>
            <w:vAlign w:val="center"/>
          </w:tcPr>
          <w:p w14:paraId="4F98B06F" w14:textId="77777777" w:rsidR="007D1E74" w:rsidRDefault="00A95641">
            <w:pPr>
              <w:jc w:val="center"/>
              <w:rPr>
                <w:rFonts w:cs="Times New Roman"/>
                <w:szCs w:val="21"/>
              </w:rPr>
            </w:pPr>
            <w:r>
              <w:rPr>
                <w:rFonts w:cs="Times New Roman"/>
                <w:szCs w:val="21"/>
              </w:rPr>
              <w:t>/</w:t>
            </w:r>
          </w:p>
        </w:tc>
        <w:tc>
          <w:tcPr>
            <w:tcW w:w="829" w:type="pct"/>
            <w:vAlign w:val="center"/>
          </w:tcPr>
          <w:p w14:paraId="2FB56592" w14:textId="77777777" w:rsidR="007D1E74" w:rsidRDefault="00A95641">
            <w:pPr>
              <w:jc w:val="center"/>
              <w:rPr>
                <w:rFonts w:cs="Times New Roman"/>
                <w:szCs w:val="21"/>
              </w:rPr>
            </w:pPr>
            <w:r>
              <w:rPr>
                <w:rFonts w:cs="Times New Roman"/>
                <w:szCs w:val="21"/>
              </w:rPr>
              <w:t>/</w:t>
            </w:r>
          </w:p>
        </w:tc>
      </w:tr>
      <w:tr w:rsidR="007D1E74" w14:paraId="565E8CD5" w14:textId="77777777">
        <w:tc>
          <w:tcPr>
            <w:tcW w:w="1145" w:type="pct"/>
            <w:shd w:val="clear" w:color="auto" w:fill="auto"/>
            <w:vAlign w:val="center"/>
          </w:tcPr>
          <w:p w14:paraId="59431579" w14:textId="77777777" w:rsidR="007D1E74" w:rsidRDefault="00A95641">
            <w:pPr>
              <w:jc w:val="center"/>
              <w:rPr>
                <w:rFonts w:cs="Times New Roman"/>
                <w:szCs w:val="21"/>
              </w:rPr>
            </w:pPr>
            <w:r>
              <w:rPr>
                <w:rFonts w:cs="Times New Roman"/>
                <w:szCs w:val="21"/>
              </w:rPr>
              <w:t>《环境影响评价技术导则</w:t>
            </w:r>
            <w:r>
              <w:rPr>
                <w:rFonts w:cs="Times New Roman"/>
                <w:szCs w:val="21"/>
              </w:rPr>
              <w:t xml:space="preserve"> </w:t>
            </w:r>
            <w:r>
              <w:rPr>
                <w:rFonts w:cs="Times New Roman"/>
                <w:szCs w:val="21"/>
              </w:rPr>
              <w:t>大气环境》（</w:t>
            </w:r>
            <w:r>
              <w:rPr>
                <w:rFonts w:cs="Times New Roman"/>
                <w:szCs w:val="21"/>
              </w:rPr>
              <w:t>HJ2.2-2018</w:t>
            </w:r>
            <w:r>
              <w:rPr>
                <w:rFonts w:cs="Times New Roman"/>
                <w:szCs w:val="21"/>
              </w:rPr>
              <w:t>）附录</w:t>
            </w:r>
            <w:r>
              <w:rPr>
                <w:rFonts w:cs="Times New Roman"/>
                <w:szCs w:val="21"/>
              </w:rPr>
              <w:t>D</w:t>
            </w:r>
            <w:r>
              <w:rPr>
                <w:rFonts w:cs="Times New Roman"/>
                <w:szCs w:val="21"/>
              </w:rPr>
              <w:t>中限值</w:t>
            </w:r>
          </w:p>
        </w:tc>
        <w:tc>
          <w:tcPr>
            <w:tcW w:w="533" w:type="pct"/>
            <w:shd w:val="clear" w:color="auto" w:fill="auto"/>
            <w:vAlign w:val="center"/>
          </w:tcPr>
          <w:p w14:paraId="7D9B9693" w14:textId="77777777" w:rsidR="007D1E74" w:rsidRDefault="00A95641">
            <w:pPr>
              <w:jc w:val="center"/>
              <w:rPr>
                <w:rFonts w:cs="Times New Roman"/>
                <w:szCs w:val="21"/>
              </w:rPr>
            </w:pPr>
            <w:r>
              <w:rPr>
                <w:rFonts w:cs="Times New Roman"/>
                <w:szCs w:val="21"/>
              </w:rPr>
              <w:t>TVOC</w:t>
            </w:r>
          </w:p>
        </w:tc>
        <w:tc>
          <w:tcPr>
            <w:tcW w:w="831" w:type="pct"/>
            <w:shd w:val="clear" w:color="auto" w:fill="auto"/>
            <w:vAlign w:val="center"/>
          </w:tcPr>
          <w:p w14:paraId="54EC7A84" w14:textId="77777777" w:rsidR="007D1E74" w:rsidRDefault="00A95641">
            <w:pPr>
              <w:jc w:val="center"/>
              <w:rPr>
                <w:rFonts w:cs="Times New Roman"/>
                <w:szCs w:val="21"/>
              </w:rPr>
            </w:pPr>
            <w:r>
              <w:rPr>
                <w:rFonts w:cs="Times New Roman"/>
                <w:szCs w:val="21"/>
              </w:rPr>
              <w:t>/</w:t>
            </w:r>
          </w:p>
        </w:tc>
        <w:tc>
          <w:tcPr>
            <w:tcW w:w="831" w:type="pct"/>
            <w:shd w:val="clear" w:color="auto" w:fill="auto"/>
            <w:vAlign w:val="center"/>
          </w:tcPr>
          <w:p w14:paraId="0F24F033" w14:textId="77777777" w:rsidR="007D1E74" w:rsidRDefault="00A95641">
            <w:pPr>
              <w:jc w:val="center"/>
              <w:rPr>
                <w:rFonts w:cs="Times New Roman"/>
                <w:szCs w:val="21"/>
              </w:rPr>
            </w:pPr>
            <w:r>
              <w:rPr>
                <w:rFonts w:cs="Times New Roman"/>
                <w:szCs w:val="21"/>
              </w:rPr>
              <w:t>/</w:t>
            </w:r>
          </w:p>
        </w:tc>
        <w:tc>
          <w:tcPr>
            <w:tcW w:w="831" w:type="pct"/>
            <w:vAlign w:val="center"/>
          </w:tcPr>
          <w:p w14:paraId="171F8AA1" w14:textId="77777777" w:rsidR="007D1E74" w:rsidRDefault="00A95641">
            <w:pPr>
              <w:jc w:val="center"/>
              <w:rPr>
                <w:rFonts w:cs="Times New Roman"/>
                <w:szCs w:val="21"/>
              </w:rPr>
            </w:pPr>
            <w:r>
              <w:rPr>
                <w:rFonts w:cs="Times New Roman"/>
                <w:szCs w:val="21"/>
              </w:rPr>
              <w:t>0.600</w:t>
            </w:r>
          </w:p>
        </w:tc>
        <w:tc>
          <w:tcPr>
            <w:tcW w:w="829" w:type="pct"/>
            <w:vAlign w:val="center"/>
          </w:tcPr>
          <w:p w14:paraId="3015FB83" w14:textId="77777777" w:rsidR="007D1E74" w:rsidRDefault="00A95641">
            <w:pPr>
              <w:jc w:val="center"/>
              <w:rPr>
                <w:rFonts w:cs="Times New Roman"/>
                <w:szCs w:val="21"/>
              </w:rPr>
            </w:pPr>
            <w:r>
              <w:rPr>
                <w:rFonts w:cs="Times New Roman"/>
                <w:szCs w:val="21"/>
              </w:rPr>
              <w:t>/</w:t>
            </w:r>
          </w:p>
        </w:tc>
      </w:tr>
      <w:tr w:rsidR="007D1E74" w14:paraId="2A1C49CE" w14:textId="77777777">
        <w:tc>
          <w:tcPr>
            <w:tcW w:w="1145" w:type="pct"/>
            <w:shd w:val="clear" w:color="auto" w:fill="auto"/>
            <w:vAlign w:val="center"/>
          </w:tcPr>
          <w:p w14:paraId="044DA2B8" w14:textId="77777777" w:rsidR="007D1E74" w:rsidRDefault="00A95641">
            <w:pPr>
              <w:jc w:val="center"/>
              <w:rPr>
                <w:rFonts w:cs="Times New Roman"/>
                <w:szCs w:val="21"/>
              </w:rPr>
            </w:pPr>
            <w:r>
              <w:rPr>
                <w:rFonts w:cs="Times New Roman" w:hint="eastAsia"/>
                <w:szCs w:val="21"/>
              </w:rPr>
              <w:t>《大气污染物综合排放标准详解》</w:t>
            </w:r>
          </w:p>
        </w:tc>
        <w:tc>
          <w:tcPr>
            <w:tcW w:w="533" w:type="pct"/>
            <w:shd w:val="clear" w:color="auto" w:fill="auto"/>
            <w:vAlign w:val="center"/>
          </w:tcPr>
          <w:p w14:paraId="3168306E" w14:textId="77777777" w:rsidR="007D1E74" w:rsidRDefault="00A95641">
            <w:pPr>
              <w:jc w:val="center"/>
              <w:rPr>
                <w:rFonts w:cs="Times New Roman"/>
                <w:szCs w:val="21"/>
              </w:rPr>
            </w:pPr>
            <w:r>
              <w:rPr>
                <w:rFonts w:cs="Times New Roman"/>
                <w:szCs w:val="21"/>
              </w:rPr>
              <w:t>非甲烷总烃</w:t>
            </w:r>
          </w:p>
        </w:tc>
        <w:tc>
          <w:tcPr>
            <w:tcW w:w="831" w:type="pct"/>
            <w:shd w:val="clear" w:color="auto" w:fill="auto"/>
            <w:vAlign w:val="center"/>
          </w:tcPr>
          <w:p w14:paraId="0516BFA9" w14:textId="77777777" w:rsidR="007D1E74" w:rsidRDefault="00A95641">
            <w:pPr>
              <w:jc w:val="center"/>
              <w:rPr>
                <w:rFonts w:cs="Times New Roman"/>
                <w:szCs w:val="21"/>
              </w:rPr>
            </w:pPr>
            <w:r>
              <w:rPr>
                <w:rFonts w:cs="Times New Roman"/>
                <w:szCs w:val="21"/>
              </w:rPr>
              <w:t>/</w:t>
            </w:r>
          </w:p>
        </w:tc>
        <w:tc>
          <w:tcPr>
            <w:tcW w:w="831" w:type="pct"/>
            <w:shd w:val="clear" w:color="auto" w:fill="auto"/>
            <w:vAlign w:val="center"/>
          </w:tcPr>
          <w:p w14:paraId="54C365C0" w14:textId="77777777" w:rsidR="007D1E74" w:rsidRDefault="00A95641">
            <w:pPr>
              <w:jc w:val="center"/>
              <w:rPr>
                <w:rFonts w:cs="Times New Roman"/>
                <w:szCs w:val="21"/>
              </w:rPr>
            </w:pPr>
            <w:r>
              <w:rPr>
                <w:rFonts w:cs="Times New Roman"/>
                <w:szCs w:val="21"/>
              </w:rPr>
              <w:t>/</w:t>
            </w:r>
          </w:p>
        </w:tc>
        <w:tc>
          <w:tcPr>
            <w:tcW w:w="831" w:type="pct"/>
            <w:vAlign w:val="center"/>
          </w:tcPr>
          <w:p w14:paraId="672348CB" w14:textId="77777777" w:rsidR="007D1E74" w:rsidRDefault="00A95641">
            <w:pPr>
              <w:jc w:val="center"/>
              <w:rPr>
                <w:rFonts w:cs="Times New Roman"/>
                <w:szCs w:val="21"/>
              </w:rPr>
            </w:pPr>
            <w:r>
              <w:rPr>
                <w:rFonts w:cs="Times New Roman"/>
                <w:szCs w:val="21"/>
              </w:rPr>
              <w:t>/</w:t>
            </w:r>
          </w:p>
        </w:tc>
        <w:tc>
          <w:tcPr>
            <w:tcW w:w="829" w:type="pct"/>
            <w:vAlign w:val="center"/>
          </w:tcPr>
          <w:p w14:paraId="4FAC8FFA" w14:textId="77777777" w:rsidR="007D1E74" w:rsidRDefault="00A95641">
            <w:pPr>
              <w:jc w:val="center"/>
              <w:rPr>
                <w:rFonts w:cs="Times New Roman"/>
                <w:szCs w:val="21"/>
              </w:rPr>
            </w:pPr>
            <w:r>
              <w:rPr>
                <w:rFonts w:cs="Times New Roman"/>
                <w:szCs w:val="21"/>
              </w:rPr>
              <w:t>2.00</w:t>
            </w:r>
          </w:p>
        </w:tc>
      </w:tr>
    </w:tbl>
    <w:p w14:paraId="1A483177" w14:textId="77777777" w:rsidR="007D1E74" w:rsidRDefault="00A95641">
      <w:pPr>
        <w:adjustRightInd w:val="0"/>
        <w:snapToGrid w:val="0"/>
        <w:spacing w:line="360" w:lineRule="auto"/>
        <w:ind w:firstLineChars="200" w:firstLine="482"/>
        <w:rPr>
          <w:rFonts w:cs="Times New Roman"/>
          <w:b/>
          <w:sz w:val="24"/>
          <w:szCs w:val="24"/>
        </w:rPr>
      </w:pPr>
      <w:r>
        <w:rPr>
          <w:rFonts w:cs="Times New Roman"/>
          <w:b/>
          <w:sz w:val="24"/>
          <w:szCs w:val="24"/>
        </w:rPr>
        <w:t>（</w:t>
      </w:r>
      <w:r>
        <w:rPr>
          <w:rFonts w:cs="Times New Roman"/>
          <w:b/>
          <w:sz w:val="24"/>
          <w:szCs w:val="24"/>
        </w:rPr>
        <w:t>2</w:t>
      </w:r>
      <w:r>
        <w:rPr>
          <w:rFonts w:cs="Times New Roman"/>
          <w:b/>
          <w:sz w:val="24"/>
          <w:szCs w:val="24"/>
        </w:rPr>
        <w:t>）地表水环境</w:t>
      </w:r>
    </w:p>
    <w:p w14:paraId="5E9E5C99" w14:textId="77777777" w:rsidR="007D1E74" w:rsidRDefault="00A95641">
      <w:pPr>
        <w:adjustRightInd w:val="0"/>
        <w:snapToGrid w:val="0"/>
        <w:spacing w:line="360" w:lineRule="auto"/>
        <w:ind w:firstLineChars="200" w:firstLine="480"/>
        <w:rPr>
          <w:rFonts w:cs="Times New Roman"/>
          <w:sz w:val="24"/>
          <w:szCs w:val="24"/>
        </w:rPr>
      </w:pPr>
      <w:r>
        <w:rPr>
          <w:rFonts w:cs="Times New Roman"/>
          <w:sz w:val="24"/>
          <w:szCs w:val="24"/>
        </w:rPr>
        <w:t>执行《地表水环境质量标准》（</w:t>
      </w:r>
      <w:r>
        <w:rPr>
          <w:rFonts w:cs="Times New Roman"/>
          <w:sz w:val="24"/>
          <w:szCs w:val="24"/>
        </w:rPr>
        <w:t>GB3838-2002</w:t>
      </w:r>
      <w:r>
        <w:rPr>
          <w:rFonts w:cs="Times New Roman"/>
          <w:sz w:val="24"/>
          <w:szCs w:val="24"/>
        </w:rPr>
        <w:t>）</w:t>
      </w:r>
      <w:r>
        <w:rPr>
          <w:rFonts w:ascii="宋体" w:hAnsi="宋体" w:cs="宋体" w:hint="eastAsia"/>
          <w:sz w:val="24"/>
          <w:szCs w:val="24"/>
        </w:rPr>
        <w:t>Ⅲ</w:t>
      </w:r>
      <w:r>
        <w:rPr>
          <w:rFonts w:cs="Times New Roman"/>
          <w:sz w:val="24"/>
          <w:szCs w:val="24"/>
        </w:rPr>
        <w:t>类标准。</w:t>
      </w:r>
    </w:p>
    <w:p w14:paraId="7C534686" w14:textId="77777777" w:rsidR="007D1E74" w:rsidRDefault="00A95641">
      <w:pPr>
        <w:adjustRightInd w:val="0"/>
        <w:snapToGrid w:val="0"/>
        <w:spacing w:line="360" w:lineRule="auto"/>
        <w:ind w:firstLineChars="200" w:firstLine="420"/>
        <w:jc w:val="center"/>
        <w:rPr>
          <w:rFonts w:eastAsia="黑体" w:cs="Times New Roman"/>
        </w:rPr>
      </w:pPr>
      <w:r>
        <w:rPr>
          <w:rFonts w:eastAsia="黑体" w:cs="Times New Roman"/>
        </w:rPr>
        <w:t>表</w:t>
      </w:r>
      <w:r>
        <w:rPr>
          <w:rFonts w:eastAsia="黑体" w:cs="Times New Roman" w:hint="eastAsia"/>
        </w:rPr>
        <w:t>2.4-5</w:t>
      </w:r>
      <w:r>
        <w:rPr>
          <w:rFonts w:eastAsia="黑体" w:cs="Times New Roman"/>
        </w:rPr>
        <w:t xml:space="preserve">  </w:t>
      </w:r>
      <w:r>
        <w:rPr>
          <w:rFonts w:eastAsia="黑体" w:cs="Times New Roman"/>
        </w:rPr>
        <w:t>地表水环境质量标准限值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6"/>
        <w:gridCol w:w="824"/>
        <w:gridCol w:w="824"/>
        <w:gridCol w:w="687"/>
        <w:gridCol w:w="669"/>
        <w:gridCol w:w="703"/>
        <w:gridCol w:w="674"/>
        <w:gridCol w:w="720"/>
        <w:gridCol w:w="824"/>
        <w:gridCol w:w="676"/>
        <w:gridCol w:w="698"/>
        <w:gridCol w:w="781"/>
      </w:tblGrid>
      <w:tr w:rsidR="007D1E74" w14:paraId="3BA5D5CB" w14:textId="77777777">
        <w:tc>
          <w:tcPr>
            <w:tcW w:w="520" w:type="pct"/>
            <w:shd w:val="clear" w:color="auto" w:fill="auto"/>
            <w:vAlign w:val="center"/>
          </w:tcPr>
          <w:p w14:paraId="21C586EE" w14:textId="77777777" w:rsidR="007D1E74" w:rsidRDefault="00A95641">
            <w:pPr>
              <w:jc w:val="center"/>
              <w:rPr>
                <w:rFonts w:cs="Times New Roman"/>
                <w:sz w:val="18"/>
                <w:szCs w:val="18"/>
              </w:rPr>
            </w:pPr>
            <w:r>
              <w:rPr>
                <w:rFonts w:cs="Times New Roman"/>
                <w:sz w:val="18"/>
                <w:szCs w:val="18"/>
              </w:rPr>
              <w:t>项目</w:t>
            </w:r>
          </w:p>
        </w:tc>
        <w:tc>
          <w:tcPr>
            <w:tcW w:w="458" w:type="pct"/>
            <w:shd w:val="clear" w:color="auto" w:fill="auto"/>
            <w:vAlign w:val="center"/>
          </w:tcPr>
          <w:p w14:paraId="31D622DE" w14:textId="77777777" w:rsidR="007D1E74" w:rsidRDefault="00A95641">
            <w:pPr>
              <w:jc w:val="center"/>
              <w:rPr>
                <w:rFonts w:cs="Times New Roman"/>
                <w:sz w:val="18"/>
                <w:szCs w:val="18"/>
              </w:rPr>
            </w:pPr>
            <w:r>
              <w:rPr>
                <w:rFonts w:cs="Times New Roman"/>
                <w:sz w:val="18"/>
                <w:szCs w:val="18"/>
              </w:rPr>
              <w:t>pH</w:t>
            </w:r>
          </w:p>
        </w:tc>
        <w:tc>
          <w:tcPr>
            <w:tcW w:w="458" w:type="pct"/>
            <w:shd w:val="clear" w:color="auto" w:fill="auto"/>
            <w:vAlign w:val="center"/>
          </w:tcPr>
          <w:p w14:paraId="7F046048" w14:textId="77777777" w:rsidR="007D1E74" w:rsidRDefault="00A95641">
            <w:pPr>
              <w:jc w:val="center"/>
              <w:rPr>
                <w:rFonts w:cs="Times New Roman"/>
                <w:sz w:val="18"/>
                <w:szCs w:val="18"/>
              </w:rPr>
            </w:pPr>
            <w:r>
              <w:rPr>
                <w:rFonts w:cs="Times New Roman"/>
                <w:sz w:val="18"/>
                <w:szCs w:val="18"/>
              </w:rPr>
              <w:t>溶解氧</w:t>
            </w:r>
          </w:p>
        </w:tc>
        <w:tc>
          <w:tcPr>
            <w:tcW w:w="382" w:type="pct"/>
            <w:shd w:val="clear" w:color="auto" w:fill="auto"/>
            <w:vAlign w:val="center"/>
          </w:tcPr>
          <w:p w14:paraId="65EEAEDA" w14:textId="77777777" w:rsidR="007D1E74" w:rsidRDefault="00A95641">
            <w:pPr>
              <w:jc w:val="center"/>
              <w:rPr>
                <w:rFonts w:cs="Times New Roman"/>
                <w:sz w:val="18"/>
                <w:szCs w:val="18"/>
              </w:rPr>
            </w:pPr>
            <w:r>
              <w:rPr>
                <w:rFonts w:cs="Times New Roman"/>
                <w:bCs/>
                <w:sz w:val="18"/>
                <w:szCs w:val="18"/>
              </w:rPr>
              <w:t>高锰酸盐指数</w:t>
            </w:r>
          </w:p>
        </w:tc>
        <w:tc>
          <w:tcPr>
            <w:tcW w:w="372" w:type="pct"/>
            <w:vAlign w:val="center"/>
          </w:tcPr>
          <w:p w14:paraId="10B6D56A" w14:textId="77777777" w:rsidR="007D1E74" w:rsidRDefault="00A95641">
            <w:pPr>
              <w:jc w:val="center"/>
              <w:rPr>
                <w:rFonts w:cs="Times New Roman"/>
                <w:sz w:val="18"/>
                <w:szCs w:val="18"/>
              </w:rPr>
            </w:pPr>
            <w:r>
              <w:rPr>
                <w:rFonts w:cs="Times New Roman"/>
                <w:sz w:val="18"/>
                <w:szCs w:val="18"/>
              </w:rPr>
              <w:t>BOD</w:t>
            </w:r>
            <w:r>
              <w:rPr>
                <w:rFonts w:cs="Times New Roman"/>
                <w:sz w:val="18"/>
                <w:szCs w:val="18"/>
                <w:vertAlign w:val="subscript"/>
              </w:rPr>
              <w:t>5</w:t>
            </w:r>
          </w:p>
        </w:tc>
        <w:tc>
          <w:tcPr>
            <w:tcW w:w="391" w:type="pct"/>
            <w:vAlign w:val="center"/>
          </w:tcPr>
          <w:p w14:paraId="5125EC6B" w14:textId="77777777" w:rsidR="007D1E74" w:rsidRDefault="00A95641">
            <w:pPr>
              <w:jc w:val="center"/>
              <w:rPr>
                <w:rFonts w:cs="Times New Roman"/>
                <w:sz w:val="18"/>
                <w:szCs w:val="18"/>
              </w:rPr>
            </w:pPr>
            <w:r>
              <w:rPr>
                <w:rFonts w:cs="Times New Roman"/>
                <w:sz w:val="18"/>
                <w:szCs w:val="18"/>
              </w:rPr>
              <w:t>NH</w:t>
            </w:r>
            <w:r>
              <w:rPr>
                <w:rFonts w:cs="Times New Roman"/>
                <w:sz w:val="18"/>
                <w:szCs w:val="18"/>
                <w:vertAlign w:val="subscript"/>
              </w:rPr>
              <w:t>3</w:t>
            </w:r>
            <w:r>
              <w:rPr>
                <w:rFonts w:cs="Times New Roman"/>
                <w:sz w:val="18"/>
                <w:szCs w:val="18"/>
              </w:rPr>
              <w:t>-N</w:t>
            </w:r>
          </w:p>
        </w:tc>
        <w:tc>
          <w:tcPr>
            <w:tcW w:w="375" w:type="pct"/>
            <w:shd w:val="clear" w:color="auto" w:fill="auto"/>
            <w:vAlign w:val="center"/>
          </w:tcPr>
          <w:p w14:paraId="36EBA574" w14:textId="77777777" w:rsidR="007D1E74" w:rsidRDefault="00A95641">
            <w:pPr>
              <w:jc w:val="center"/>
              <w:rPr>
                <w:rFonts w:cs="Times New Roman"/>
                <w:sz w:val="18"/>
                <w:szCs w:val="18"/>
              </w:rPr>
            </w:pPr>
            <w:r>
              <w:rPr>
                <w:rFonts w:cs="Times New Roman"/>
                <w:bCs/>
                <w:sz w:val="18"/>
                <w:szCs w:val="18"/>
              </w:rPr>
              <w:t>石油类</w:t>
            </w:r>
          </w:p>
        </w:tc>
        <w:tc>
          <w:tcPr>
            <w:tcW w:w="388" w:type="pct"/>
            <w:vAlign w:val="center"/>
          </w:tcPr>
          <w:p w14:paraId="09373227" w14:textId="77777777" w:rsidR="007D1E74" w:rsidRDefault="00A95641">
            <w:pPr>
              <w:jc w:val="center"/>
              <w:rPr>
                <w:rFonts w:cs="Times New Roman"/>
                <w:sz w:val="18"/>
                <w:szCs w:val="18"/>
              </w:rPr>
            </w:pPr>
            <w:r>
              <w:rPr>
                <w:rFonts w:cs="Times New Roman"/>
                <w:sz w:val="18"/>
                <w:szCs w:val="18"/>
              </w:rPr>
              <w:t>酚</w:t>
            </w:r>
          </w:p>
        </w:tc>
        <w:tc>
          <w:tcPr>
            <w:tcW w:w="458" w:type="pct"/>
            <w:vAlign w:val="center"/>
          </w:tcPr>
          <w:p w14:paraId="258BC1EF" w14:textId="77777777" w:rsidR="007D1E74" w:rsidRDefault="00A95641">
            <w:pPr>
              <w:jc w:val="center"/>
              <w:rPr>
                <w:rFonts w:cs="Times New Roman"/>
                <w:sz w:val="18"/>
                <w:szCs w:val="18"/>
              </w:rPr>
            </w:pPr>
            <w:r>
              <w:rPr>
                <w:rFonts w:cs="Times New Roman"/>
                <w:sz w:val="18"/>
                <w:szCs w:val="18"/>
              </w:rPr>
              <w:t>TP</w:t>
            </w:r>
          </w:p>
        </w:tc>
        <w:tc>
          <w:tcPr>
            <w:tcW w:w="376" w:type="pct"/>
            <w:vAlign w:val="center"/>
          </w:tcPr>
          <w:p w14:paraId="7D9BB766" w14:textId="77777777" w:rsidR="007D1E74" w:rsidRDefault="00A95641">
            <w:pPr>
              <w:jc w:val="center"/>
              <w:rPr>
                <w:rFonts w:cs="Times New Roman"/>
                <w:sz w:val="18"/>
                <w:szCs w:val="18"/>
              </w:rPr>
            </w:pPr>
            <w:r>
              <w:rPr>
                <w:rFonts w:cs="Times New Roman"/>
                <w:sz w:val="18"/>
                <w:szCs w:val="18"/>
              </w:rPr>
              <w:t>COD</w:t>
            </w:r>
          </w:p>
        </w:tc>
        <w:tc>
          <w:tcPr>
            <w:tcW w:w="388" w:type="pct"/>
            <w:vAlign w:val="center"/>
          </w:tcPr>
          <w:p w14:paraId="59D7D27E" w14:textId="77777777" w:rsidR="007D1E74" w:rsidRDefault="00A95641">
            <w:pPr>
              <w:jc w:val="center"/>
              <w:rPr>
                <w:rFonts w:cs="Times New Roman"/>
                <w:sz w:val="18"/>
                <w:szCs w:val="18"/>
              </w:rPr>
            </w:pPr>
            <w:r>
              <w:rPr>
                <w:rFonts w:cs="Times New Roman"/>
                <w:sz w:val="18"/>
                <w:szCs w:val="18"/>
              </w:rPr>
              <w:t>硫化物</w:t>
            </w:r>
          </w:p>
        </w:tc>
        <w:tc>
          <w:tcPr>
            <w:tcW w:w="435" w:type="pct"/>
            <w:vAlign w:val="center"/>
          </w:tcPr>
          <w:p w14:paraId="47B31127" w14:textId="77777777" w:rsidR="007D1E74" w:rsidRDefault="00A95641">
            <w:pPr>
              <w:jc w:val="center"/>
              <w:rPr>
                <w:rFonts w:cs="Times New Roman"/>
                <w:bCs/>
                <w:sz w:val="18"/>
                <w:szCs w:val="18"/>
              </w:rPr>
            </w:pPr>
            <w:r>
              <w:rPr>
                <w:rFonts w:cs="Times New Roman"/>
                <w:bCs/>
                <w:sz w:val="18"/>
                <w:szCs w:val="18"/>
              </w:rPr>
              <w:t>阴离子表面活性剂</w:t>
            </w:r>
          </w:p>
        </w:tc>
      </w:tr>
      <w:tr w:rsidR="007D1E74" w14:paraId="103D7876" w14:textId="77777777">
        <w:tc>
          <w:tcPr>
            <w:tcW w:w="520" w:type="pct"/>
            <w:shd w:val="clear" w:color="auto" w:fill="auto"/>
            <w:vAlign w:val="center"/>
          </w:tcPr>
          <w:p w14:paraId="6407914E" w14:textId="77777777" w:rsidR="007D1E74" w:rsidRDefault="00A95641">
            <w:pPr>
              <w:jc w:val="center"/>
              <w:rPr>
                <w:rFonts w:cs="Times New Roman"/>
                <w:sz w:val="18"/>
                <w:szCs w:val="18"/>
              </w:rPr>
            </w:pPr>
            <w:r>
              <w:rPr>
                <w:rFonts w:cs="Times New Roman"/>
                <w:sz w:val="18"/>
                <w:szCs w:val="18"/>
              </w:rPr>
              <w:t>标准值</w:t>
            </w:r>
            <w:r>
              <w:rPr>
                <w:rFonts w:cs="Times New Roman"/>
                <w:sz w:val="18"/>
                <w:szCs w:val="18"/>
              </w:rPr>
              <w:t>*</w:t>
            </w:r>
          </w:p>
        </w:tc>
        <w:tc>
          <w:tcPr>
            <w:tcW w:w="458" w:type="pct"/>
            <w:shd w:val="clear" w:color="auto" w:fill="auto"/>
            <w:vAlign w:val="center"/>
          </w:tcPr>
          <w:p w14:paraId="115E3EE5" w14:textId="77777777" w:rsidR="007D1E74" w:rsidRDefault="00A95641">
            <w:pPr>
              <w:jc w:val="center"/>
              <w:rPr>
                <w:rFonts w:cs="Times New Roman"/>
                <w:sz w:val="18"/>
                <w:szCs w:val="18"/>
              </w:rPr>
            </w:pPr>
            <w:r>
              <w:rPr>
                <w:rFonts w:cs="Times New Roman"/>
                <w:sz w:val="18"/>
                <w:szCs w:val="18"/>
              </w:rPr>
              <w:t>6~9</w:t>
            </w:r>
          </w:p>
        </w:tc>
        <w:tc>
          <w:tcPr>
            <w:tcW w:w="458" w:type="pct"/>
            <w:shd w:val="clear" w:color="auto" w:fill="auto"/>
            <w:vAlign w:val="center"/>
          </w:tcPr>
          <w:p w14:paraId="679F9DB2" w14:textId="77777777" w:rsidR="007D1E74" w:rsidRDefault="00A95641">
            <w:pPr>
              <w:jc w:val="center"/>
              <w:rPr>
                <w:rFonts w:cs="Times New Roman"/>
                <w:sz w:val="18"/>
                <w:szCs w:val="18"/>
              </w:rPr>
            </w:pPr>
            <w:r>
              <w:rPr>
                <w:rFonts w:cs="Times New Roman"/>
                <w:sz w:val="18"/>
                <w:szCs w:val="18"/>
              </w:rPr>
              <w:t>≥5</w:t>
            </w:r>
          </w:p>
        </w:tc>
        <w:tc>
          <w:tcPr>
            <w:tcW w:w="382" w:type="pct"/>
            <w:shd w:val="clear" w:color="auto" w:fill="auto"/>
            <w:vAlign w:val="center"/>
          </w:tcPr>
          <w:p w14:paraId="7171B2F1" w14:textId="77777777" w:rsidR="007D1E74" w:rsidRDefault="00A95641">
            <w:pPr>
              <w:jc w:val="center"/>
              <w:rPr>
                <w:rFonts w:cs="Times New Roman"/>
                <w:sz w:val="18"/>
                <w:szCs w:val="18"/>
              </w:rPr>
            </w:pPr>
            <w:r>
              <w:rPr>
                <w:rFonts w:cs="Times New Roman"/>
                <w:kern w:val="0"/>
                <w:sz w:val="18"/>
                <w:szCs w:val="18"/>
              </w:rPr>
              <w:t>≤6</w:t>
            </w:r>
          </w:p>
        </w:tc>
        <w:tc>
          <w:tcPr>
            <w:tcW w:w="372" w:type="pct"/>
            <w:vAlign w:val="center"/>
          </w:tcPr>
          <w:p w14:paraId="31EABC5D" w14:textId="77777777" w:rsidR="007D1E74" w:rsidRDefault="00A95641">
            <w:pPr>
              <w:jc w:val="center"/>
              <w:rPr>
                <w:rFonts w:cs="Times New Roman"/>
                <w:sz w:val="18"/>
                <w:szCs w:val="18"/>
              </w:rPr>
            </w:pPr>
            <w:r>
              <w:rPr>
                <w:rFonts w:cs="Times New Roman"/>
                <w:kern w:val="0"/>
                <w:sz w:val="18"/>
                <w:szCs w:val="18"/>
              </w:rPr>
              <w:t>≤4</w:t>
            </w:r>
          </w:p>
        </w:tc>
        <w:tc>
          <w:tcPr>
            <w:tcW w:w="391" w:type="pct"/>
            <w:vAlign w:val="center"/>
          </w:tcPr>
          <w:p w14:paraId="15491C85" w14:textId="77777777" w:rsidR="007D1E74" w:rsidRDefault="00A95641">
            <w:pPr>
              <w:jc w:val="center"/>
              <w:rPr>
                <w:rFonts w:cs="Times New Roman"/>
                <w:sz w:val="18"/>
                <w:szCs w:val="18"/>
              </w:rPr>
            </w:pPr>
            <w:r>
              <w:rPr>
                <w:rFonts w:cs="Times New Roman"/>
                <w:kern w:val="0"/>
                <w:sz w:val="18"/>
                <w:szCs w:val="18"/>
              </w:rPr>
              <w:t>≤1.0</w:t>
            </w:r>
          </w:p>
        </w:tc>
        <w:tc>
          <w:tcPr>
            <w:tcW w:w="375" w:type="pct"/>
            <w:shd w:val="clear" w:color="auto" w:fill="auto"/>
            <w:vAlign w:val="center"/>
          </w:tcPr>
          <w:p w14:paraId="30D7E0E6" w14:textId="77777777" w:rsidR="007D1E74" w:rsidRDefault="00A95641">
            <w:pPr>
              <w:jc w:val="center"/>
              <w:rPr>
                <w:rFonts w:cs="Times New Roman"/>
                <w:kern w:val="0"/>
                <w:sz w:val="18"/>
                <w:szCs w:val="18"/>
              </w:rPr>
            </w:pPr>
            <w:r>
              <w:rPr>
                <w:rFonts w:cs="Times New Roman"/>
                <w:kern w:val="0"/>
                <w:sz w:val="18"/>
                <w:szCs w:val="18"/>
              </w:rPr>
              <w:t>≤0.05</w:t>
            </w:r>
          </w:p>
        </w:tc>
        <w:tc>
          <w:tcPr>
            <w:tcW w:w="388" w:type="pct"/>
            <w:vAlign w:val="center"/>
          </w:tcPr>
          <w:p w14:paraId="64DBB570" w14:textId="77777777" w:rsidR="007D1E74" w:rsidRDefault="00A95641">
            <w:pPr>
              <w:jc w:val="center"/>
              <w:rPr>
                <w:rFonts w:cs="Times New Roman"/>
                <w:sz w:val="18"/>
                <w:szCs w:val="18"/>
              </w:rPr>
            </w:pPr>
            <w:r>
              <w:rPr>
                <w:rFonts w:cs="Times New Roman"/>
                <w:kern w:val="0"/>
                <w:sz w:val="18"/>
                <w:szCs w:val="18"/>
              </w:rPr>
              <w:t>≤0.005</w:t>
            </w:r>
          </w:p>
        </w:tc>
        <w:tc>
          <w:tcPr>
            <w:tcW w:w="458" w:type="pct"/>
            <w:vAlign w:val="center"/>
          </w:tcPr>
          <w:p w14:paraId="5BCC7A61" w14:textId="77777777" w:rsidR="007D1E74" w:rsidRDefault="00A95641">
            <w:pPr>
              <w:jc w:val="center"/>
              <w:rPr>
                <w:rFonts w:cs="Times New Roman"/>
                <w:sz w:val="18"/>
                <w:szCs w:val="18"/>
              </w:rPr>
            </w:pPr>
            <w:r>
              <w:rPr>
                <w:rFonts w:cs="Times New Roman"/>
                <w:kern w:val="0"/>
                <w:sz w:val="18"/>
                <w:szCs w:val="18"/>
              </w:rPr>
              <w:t>≤0.2</w:t>
            </w:r>
          </w:p>
        </w:tc>
        <w:tc>
          <w:tcPr>
            <w:tcW w:w="376" w:type="pct"/>
            <w:vAlign w:val="center"/>
          </w:tcPr>
          <w:p w14:paraId="4E7FBC45" w14:textId="77777777" w:rsidR="007D1E74" w:rsidRDefault="00A95641">
            <w:pPr>
              <w:jc w:val="center"/>
              <w:rPr>
                <w:rFonts w:cs="Times New Roman"/>
                <w:sz w:val="18"/>
                <w:szCs w:val="18"/>
              </w:rPr>
            </w:pPr>
            <w:r>
              <w:rPr>
                <w:rFonts w:cs="Times New Roman"/>
                <w:kern w:val="0"/>
                <w:sz w:val="18"/>
                <w:szCs w:val="18"/>
              </w:rPr>
              <w:t>≤20</w:t>
            </w:r>
          </w:p>
        </w:tc>
        <w:tc>
          <w:tcPr>
            <w:tcW w:w="388" w:type="pct"/>
            <w:vAlign w:val="center"/>
          </w:tcPr>
          <w:p w14:paraId="15668586" w14:textId="77777777" w:rsidR="007D1E74" w:rsidRDefault="00A95641">
            <w:pPr>
              <w:jc w:val="center"/>
              <w:rPr>
                <w:rFonts w:cs="Times New Roman"/>
                <w:sz w:val="18"/>
                <w:szCs w:val="18"/>
              </w:rPr>
            </w:pPr>
            <w:r>
              <w:rPr>
                <w:rFonts w:cs="Times New Roman"/>
                <w:kern w:val="0"/>
                <w:sz w:val="18"/>
                <w:szCs w:val="18"/>
              </w:rPr>
              <w:t>≤0.2</w:t>
            </w:r>
          </w:p>
        </w:tc>
        <w:tc>
          <w:tcPr>
            <w:tcW w:w="435" w:type="pct"/>
            <w:vAlign w:val="center"/>
          </w:tcPr>
          <w:p w14:paraId="191D3315" w14:textId="77777777" w:rsidR="007D1E74" w:rsidRDefault="00A95641">
            <w:pPr>
              <w:jc w:val="center"/>
              <w:rPr>
                <w:rFonts w:cs="Times New Roman"/>
                <w:kern w:val="0"/>
                <w:sz w:val="18"/>
                <w:szCs w:val="18"/>
              </w:rPr>
            </w:pPr>
            <w:r>
              <w:rPr>
                <w:rFonts w:cs="Times New Roman"/>
                <w:kern w:val="0"/>
                <w:sz w:val="18"/>
                <w:szCs w:val="18"/>
              </w:rPr>
              <w:t>≤0.2</w:t>
            </w:r>
          </w:p>
        </w:tc>
      </w:tr>
    </w:tbl>
    <w:p w14:paraId="2142F374" w14:textId="77777777" w:rsidR="007D1E74" w:rsidRDefault="00A95641">
      <w:pPr>
        <w:adjustRightInd w:val="0"/>
        <w:snapToGrid w:val="0"/>
        <w:spacing w:line="360" w:lineRule="auto"/>
        <w:rPr>
          <w:rFonts w:cs="Times New Roman"/>
          <w:sz w:val="24"/>
          <w:szCs w:val="24"/>
        </w:rPr>
      </w:pPr>
      <w:r>
        <w:rPr>
          <w:rFonts w:eastAsia="黑体" w:cs="Times New Roman"/>
          <w:szCs w:val="21"/>
        </w:rPr>
        <w:t>注：</w:t>
      </w:r>
      <w:r>
        <w:rPr>
          <w:rFonts w:eastAsia="黑体" w:cs="Times New Roman"/>
          <w:szCs w:val="21"/>
        </w:rPr>
        <w:t>*pH</w:t>
      </w:r>
      <w:r>
        <w:rPr>
          <w:rFonts w:eastAsia="黑体" w:cs="Times New Roman"/>
          <w:szCs w:val="21"/>
        </w:rPr>
        <w:t>无量纲，其余指标单位为</w:t>
      </w:r>
      <w:r>
        <w:rPr>
          <w:rFonts w:eastAsia="黑体" w:cs="Times New Roman"/>
          <w:szCs w:val="21"/>
        </w:rPr>
        <w:t>mg/L</w:t>
      </w:r>
      <w:r>
        <w:rPr>
          <w:rFonts w:eastAsia="黑体" w:cs="Times New Roman"/>
          <w:szCs w:val="21"/>
        </w:rPr>
        <w:t>。</w:t>
      </w:r>
    </w:p>
    <w:p w14:paraId="20825F8A" w14:textId="77777777" w:rsidR="007D1E74" w:rsidRDefault="00A95641">
      <w:pPr>
        <w:adjustRightInd w:val="0"/>
        <w:snapToGrid w:val="0"/>
        <w:spacing w:line="360" w:lineRule="auto"/>
        <w:ind w:firstLineChars="200" w:firstLine="482"/>
        <w:rPr>
          <w:rFonts w:cs="Times New Roman"/>
          <w:b/>
          <w:sz w:val="24"/>
          <w:szCs w:val="24"/>
        </w:rPr>
      </w:pPr>
      <w:r>
        <w:rPr>
          <w:rFonts w:cs="Times New Roman"/>
          <w:b/>
          <w:sz w:val="24"/>
          <w:szCs w:val="24"/>
        </w:rPr>
        <w:t>（</w:t>
      </w:r>
      <w:r>
        <w:rPr>
          <w:rFonts w:cs="Times New Roman"/>
          <w:b/>
          <w:sz w:val="24"/>
          <w:szCs w:val="24"/>
        </w:rPr>
        <w:t>3</w:t>
      </w:r>
      <w:r>
        <w:rPr>
          <w:rFonts w:cs="Times New Roman"/>
          <w:b/>
          <w:sz w:val="24"/>
          <w:szCs w:val="24"/>
        </w:rPr>
        <w:t>）地下水环境</w:t>
      </w:r>
    </w:p>
    <w:p w14:paraId="44980607" w14:textId="77777777" w:rsidR="007D1E74" w:rsidRDefault="00A95641">
      <w:pPr>
        <w:adjustRightInd w:val="0"/>
        <w:snapToGrid w:val="0"/>
        <w:spacing w:line="360" w:lineRule="auto"/>
        <w:ind w:firstLineChars="200" w:firstLine="480"/>
        <w:rPr>
          <w:rFonts w:cs="Times New Roman"/>
          <w:sz w:val="24"/>
          <w:szCs w:val="24"/>
        </w:rPr>
      </w:pPr>
      <w:r>
        <w:rPr>
          <w:rFonts w:cs="Times New Roman"/>
          <w:sz w:val="24"/>
          <w:szCs w:val="24"/>
        </w:rPr>
        <w:t>执行《地下水质量标准》（</w:t>
      </w:r>
      <w:r>
        <w:rPr>
          <w:rFonts w:cs="Times New Roman"/>
          <w:sz w:val="24"/>
          <w:szCs w:val="24"/>
        </w:rPr>
        <w:t>GB/T14848-2017</w:t>
      </w:r>
      <w:r>
        <w:rPr>
          <w:rFonts w:cs="Times New Roman"/>
          <w:sz w:val="24"/>
          <w:szCs w:val="24"/>
        </w:rPr>
        <w:t>）</w:t>
      </w:r>
      <w:r>
        <w:rPr>
          <w:rFonts w:cs="Times New Roman"/>
          <w:sz w:val="24"/>
          <w:szCs w:val="24"/>
        </w:rPr>
        <w:t>III</w:t>
      </w:r>
      <w:r>
        <w:rPr>
          <w:rFonts w:cs="Times New Roman"/>
          <w:sz w:val="24"/>
          <w:szCs w:val="24"/>
        </w:rPr>
        <w:t>类标准</w:t>
      </w:r>
      <w:r>
        <w:rPr>
          <w:rFonts w:cs="Times New Roman" w:hint="eastAsia"/>
          <w:sz w:val="24"/>
          <w:szCs w:val="24"/>
        </w:rPr>
        <w:t>，石油类参照执行《地表水环境质量标准》（</w:t>
      </w:r>
      <w:r>
        <w:rPr>
          <w:rFonts w:cs="Times New Roman" w:hint="eastAsia"/>
          <w:sz w:val="24"/>
          <w:szCs w:val="24"/>
        </w:rPr>
        <w:t>GB3838-2002</w:t>
      </w:r>
      <w:r>
        <w:rPr>
          <w:rFonts w:cs="Times New Roman" w:hint="eastAsia"/>
          <w:sz w:val="24"/>
          <w:szCs w:val="24"/>
        </w:rPr>
        <w:t>）的Ⅲ类水标准限值</w:t>
      </w:r>
      <w:r>
        <w:rPr>
          <w:rFonts w:cs="Times New Roman"/>
          <w:sz w:val="24"/>
          <w:szCs w:val="24"/>
        </w:rPr>
        <w:t>。</w:t>
      </w:r>
    </w:p>
    <w:p w14:paraId="172C0CAB" w14:textId="77777777" w:rsidR="007D1E74" w:rsidRDefault="00A95641">
      <w:pPr>
        <w:adjustRightInd w:val="0"/>
        <w:snapToGrid w:val="0"/>
        <w:spacing w:line="360" w:lineRule="auto"/>
        <w:ind w:firstLineChars="200" w:firstLine="420"/>
        <w:jc w:val="center"/>
        <w:rPr>
          <w:rFonts w:eastAsia="黑体" w:cs="Times New Roman"/>
          <w:sz w:val="24"/>
          <w:szCs w:val="24"/>
        </w:rPr>
      </w:pPr>
      <w:r>
        <w:rPr>
          <w:rFonts w:eastAsia="黑体" w:cs="Times New Roman"/>
        </w:rPr>
        <w:t>表</w:t>
      </w:r>
      <w:r>
        <w:rPr>
          <w:rFonts w:eastAsia="黑体" w:cs="Times New Roman" w:hint="eastAsia"/>
        </w:rPr>
        <w:t xml:space="preserve">2.4-6 </w:t>
      </w:r>
      <w:r>
        <w:rPr>
          <w:rFonts w:eastAsia="黑体" w:cs="Times New Roman"/>
        </w:rPr>
        <w:t xml:space="preserve"> </w:t>
      </w:r>
      <w:r>
        <w:rPr>
          <w:rFonts w:eastAsia="黑体" w:cs="Times New Roman"/>
        </w:rPr>
        <w:t>地下水环境质量标准限值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5"/>
        <w:gridCol w:w="929"/>
        <w:gridCol w:w="824"/>
        <w:gridCol w:w="963"/>
        <w:gridCol w:w="1515"/>
        <w:gridCol w:w="963"/>
        <w:gridCol w:w="1379"/>
        <w:gridCol w:w="1338"/>
      </w:tblGrid>
      <w:tr w:rsidR="007D1E74" w14:paraId="39053390" w14:textId="77777777">
        <w:trPr>
          <w:trHeight w:val="245"/>
          <w:jc w:val="center"/>
        </w:trPr>
        <w:tc>
          <w:tcPr>
            <w:tcW w:w="613" w:type="pct"/>
            <w:shd w:val="clear" w:color="auto" w:fill="auto"/>
            <w:vAlign w:val="center"/>
          </w:tcPr>
          <w:p w14:paraId="0FEEB299" w14:textId="77777777" w:rsidR="007D1E74" w:rsidRDefault="00A95641">
            <w:pPr>
              <w:jc w:val="center"/>
              <w:rPr>
                <w:rFonts w:cs="Times New Roman"/>
                <w:szCs w:val="21"/>
              </w:rPr>
            </w:pPr>
            <w:r>
              <w:rPr>
                <w:rFonts w:cs="Times New Roman"/>
                <w:szCs w:val="21"/>
              </w:rPr>
              <w:t>项目</w:t>
            </w:r>
          </w:p>
        </w:tc>
        <w:tc>
          <w:tcPr>
            <w:tcW w:w="515" w:type="pct"/>
            <w:shd w:val="clear" w:color="auto" w:fill="auto"/>
            <w:vAlign w:val="center"/>
          </w:tcPr>
          <w:p w14:paraId="53464D14" w14:textId="77777777" w:rsidR="007D1E74" w:rsidRDefault="00A95641">
            <w:pPr>
              <w:jc w:val="center"/>
              <w:rPr>
                <w:rFonts w:cs="Times New Roman"/>
                <w:bCs/>
                <w:szCs w:val="21"/>
              </w:rPr>
            </w:pPr>
            <w:r>
              <w:rPr>
                <w:rFonts w:cs="Times New Roman"/>
                <w:szCs w:val="21"/>
              </w:rPr>
              <w:t>氯化物</w:t>
            </w:r>
          </w:p>
        </w:tc>
        <w:tc>
          <w:tcPr>
            <w:tcW w:w="457" w:type="pct"/>
            <w:vAlign w:val="center"/>
          </w:tcPr>
          <w:p w14:paraId="4B07ECA1" w14:textId="77777777" w:rsidR="007D1E74" w:rsidRDefault="00A95641">
            <w:pPr>
              <w:jc w:val="center"/>
              <w:rPr>
                <w:rFonts w:cs="Times New Roman"/>
                <w:bCs/>
                <w:szCs w:val="21"/>
              </w:rPr>
            </w:pPr>
            <w:r>
              <w:rPr>
                <w:rFonts w:cs="Times New Roman"/>
                <w:szCs w:val="21"/>
              </w:rPr>
              <w:t>硫酸盐</w:t>
            </w:r>
          </w:p>
        </w:tc>
        <w:tc>
          <w:tcPr>
            <w:tcW w:w="534" w:type="pct"/>
            <w:shd w:val="clear" w:color="auto" w:fill="auto"/>
            <w:vAlign w:val="center"/>
          </w:tcPr>
          <w:p w14:paraId="0A0DB9B4" w14:textId="77777777" w:rsidR="007D1E74" w:rsidRDefault="00A95641">
            <w:pPr>
              <w:jc w:val="center"/>
              <w:rPr>
                <w:rFonts w:cs="Times New Roman"/>
                <w:szCs w:val="21"/>
              </w:rPr>
            </w:pPr>
            <w:r>
              <w:rPr>
                <w:rFonts w:cs="Times New Roman"/>
                <w:szCs w:val="21"/>
              </w:rPr>
              <w:t>pH</w:t>
            </w:r>
          </w:p>
        </w:tc>
        <w:tc>
          <w:tcPr>
            <w:tcW w:w="840" w:type="pct"/>
            <w:shd w:val="clear" w:color="auto" w:fill="auto"/>
            <w:vAlign w:val="center"/>
          </w:tcPr>
          <w:p w14:paraId="4B99E05E" w14:textId="77777777" w:rsidR="007D1E74" w:rsidRDefault="00A95641">
            <w:pPr>
              <w:jc w:val="center"/>
              <w:rPr>
                <w:rFonts w:cs="Times New Roman"/>
                <w:szCs w:val="21"/>
              </w:rPr>
            </w:pPr>
            <w:r>
              <w:rPr>
                <w:rFonts w:cs="Times New Roman"/>
                <w:szCs w:val="21"/>
              </w:rPr>
              <w:t>氨氮</w:t>
            </w:r>
          </w:p>
        </w:tc>
        <w:tc>
          <w:tcPr>
            <w:tcW w:w="534" w:type="pct"/>
            <w:shd w:val="clear" w:color="auto" w:fill="auto"/>
            <w:vAlign w:val="center"/>
          </w:tcPr>
          <w:p w14:paraId="694155E8" w14:textId="77777777" w:rsidR="007D1E74" w:rsidRDefault="00A95641">
            <w:pPr>
              <w:jc w:val="center"/>
              <w:rPr>
                <w:rFonts w:cs="Times New Roman"/>
                <w:bCs/>
                <w:szCs w:val="21"/>
              </w:rPr>
            </w:pPr>
            <w:r>
              <w:rPr>
                <w:rFonts w:cs="Times New Roman"/>
                <w:szCs w:val="21"/>
              </w:rPr>
              <w:t>硝酸盐</w:t>
            </w:r>
          </w:p>
        </w:tc>
        <w:tc>
          <w:tcPr>
            <w:tcW w:w="765" w:type="pct"/>
            <w:vAlign w:val="center"/>
          </w:tcPr>
          <w:p w14:paraId="0A89845E" w14:textId="77777777" w:rsidR="007D1E74" w:rsidRDefault="00A95641">
            <w:pPr>
              <w:jc w:val="center"/>
              <w:rPr>
                <w:rFonts w:cs="Times New Roman"/>
                <w:szCs w:val="21"/>
              </w:rPr>
            </w:pPr>
            <w:r>
              <w:rPr>
                <w:rFonts w:cs="Times New Roman"/>
                <w:szCs w:val="21"/>
              </w:rPr>
              <w:t>亚硝酸盐</w:t>
            </w:r>
          </w:p>
        </w:tc>
        <w:tc>
          <w:tcPr>
            <w:tcW w:w="742" w:type="pct"/>
            <w:vAlign w:val="center"/>
          </w:tcPr>
          <w:p w14:paraId="58A7D0E1" w14:textId="77777777" w:rsidR="007D1E74" w:rsidRDefault="00A95641">
            <w:pPr>
              <w:jc w:val="center"/>
              <w:rPr>
                <w:rFonts w:cs="Times New Roman"/>
                <w:szCs w:val="21"/>
              </w:rPr>
            </w:pPr>
            <w:r>
              <w:rPr>
                <w:rFonts w:cs="Times New Roman"/>
                <w:bCs/>
                <w:szCs w:val="21"/>
              </w:rPr>
              <w:t>挥发性酚类</w:t>
            </w:r>
          </w:p>
        </w:tc>
      </w:tr>
      <w:tr w:rsidR="007D1E74" w14:paraId="43FB4C1D" w14:textId="77777777">
        <w:trPr>
          <w:jc w:val="center"/>
        </w:trPr>
        <w:tc>
          <w:tcPr>
            <w:tcW w:w="613" w:type="pct"/>
            <w:shd w:val="clear" w:color="auto" w:fill="auto"/>
            <w:vAlign w:val="center"/>
          </w:tcPr>
          <w:p w14:paraId="1797DD67" w14:textId="77777777" w:rsidR="007D1E74" w:rsidRDefault="00A95641">
            <w:pPr>
              <w:jc w:val="center"/>
              <w:rPr>
                <w:rFonts w:cs="Times New Roman"/>
                <w:szCs w:val="21"/>
              </w:rPr>
            </w:pPr>
            <w:r>
              <w:rPr>
                <w:rFonts w:cs="Times New Roman"/>
                <w:szCs w:val="21"/>
              </w:rPr>
              <w:t>标准值</w:t>
            </w:r>
            <w:r>
              <w:rPr>
                <w:rFonts w:cs="Times New Roman"/>
                <w:szCs w:val="21"/>
              </w:rPr>
              <w:t>*</w:t>
            </w:r>
          </w:p>
        </w:tc>
        <w:tc>
          <w:tcPr>
            <w:tcW w:w="515" w:type="pct"/>
            <w:shd w:val="clear" w:color="auto" w:fill="auto"/>
            <w:vAlign w:val="center"/>
          </w:tcPr>
          <w:p w14:paraId="381573D6" w14:textId="77777777" w:rsidR="007D1E74" w:rsidRDefault="00A95641">
            <w:pPr>
              <w:jc w:val="center"/>
              <w:rPr>
                <w:rFonts w:cs="Times New Roman"/>
                <w:szCs w:val="21"/>
              </w:rPr>
            </w:pPr>
            <w:r>
              <w:rPr>
                <w:rFonts w:cs="Times New Roman"/>
                <w:kern w:val="0"/>
                <w:szCs w:val="21"/>
              </w:rPr>
              <w:t>≤250</w:t>
            </w:r>
          </w:p>
        </w:tc>
        <w:tc>
          <w:tcPr>
            <w:tcW w:w="457" w:type="pct"/>
            <w:vAlign w:val="center"/>
          </w:tcPr>
          <w:p w14:paraId="2A09B428" w14:textId="77777777" w:rsidR="007D1E74" w:rsidRDefault="00A95641">
            <w:pPr>
              <w:jc w:val="center"/>
              <w:rPr>
                <w:rFonts w:cs="Times New Roman"/>
                <w:szCs w:val="21"/>
              </w:rPr>
            </w:pPr>
            <w:r>
              <w:rPr>
                <w:rFonts w:cs="Times New Roman"/>
                <w:kern w:val="0"/>
                <w:szCs w:val="21"/>
              </w:rPr>
              <w:t>≤250</w:t>
            </w:r>
          </w:p>
        </w:tc>
        <w:tc>
          <w:tcPr>
            <w:tcW w:w="534" w:type="pct"/>
            <w:shd w:val="clear" w:color="auto" w:fill="auto"/>
            <w:vAlign w:val="center"/>
          </w:tcPr>
          <w:p w14:paraId="51512D16" w14:textId="77777777" w:rsidR="007D1E74" w:rsidRDefault="00A95641">
            <w:pPr>
              <w:jc w:val="center"/>
              <w:rPr>
                <w:rFonts w:cs="Times New Roman"/>
                <w:szCs w:val="21"/>
              </w:rPr>
            </w:pPr>
            <w:r>
              <w:rPr>
                <w:rFonts w:cs="Times New Roman"/>
                <w:szCs w:val="21"/>
              </w:rPr>
              <w:t>6.5~8.5</w:t>
            </w:r>
          </w:p>
        </w:tc>
        <w:tc>
          <w:tcPr>
            <w:tcW w:w="840" w:type="pct"/>
            <w:shd w:val="clear" w:color="auto" w:fill="auto"/>
            <w:vAlign w:val="center"/>
          </w:tcPr>
          <w:p w14:paraId="323B7491" w14:textId="77777777" w:rsidR="007D1E74" w:rsidRDefault="00A95641">
            <w:pPr>
              <w:jc w:val="center"/>
              <w:rPr>
                <w:rFonts w:cs="Times New Roman"/>
                <w:szCs w:val="21"/>
              </w:rPr>
            </w:pPr>
            <w:r>
              <w:rPr>
                <w:rFonts w:cs="Times New Roman"/>
                <w:kern w:val="0"/>
                <w:szCs w:val="21"/>
              </w:rPr>
              <w:t>≤0.50</w:t>
            </w:r>
          </w:p>
        </w:tc>
        <w:tc>
          <w:tcPr>
            <w:tcW w:w="534" w:type="pct"/>
            <w:shd w:val="clear" w:color="auto" w:fill="auto"/>
            <w:vAlign w:val="center"/>
          </w:tcPr>
          <w:p w14:paraId="2DF3B4C5" w14:textId="77777777" w:rsidR="007D1E74" w:rsidRDefault="00A95641">
            <w:pPr>
              <w:jc w:val="center"/>
              <w:rPr>
                <w:rFonts w:cs="Times New Roman"/>
                <w:szCs w:val="21"/>
              </w:rPr>
            </w:pPr>
            <w:r>
              <w:rPr>
                <w:rFonts w:cs="Times New Roman"/>
                <w:kern w:val="0"/>
                <w:szCs w:val="21"/>
              </w:rPr>
              <w:t>≤20.0</w:t>
            </w:r>
          </w:p>
        </w:tc>
        <w:tc>
          <w:tcPr>
            <w:tcW w:w="765" w:type="pct"/>
            <w:vAlign w:val="center"/>
          </w:tcPr>
          <w:p w14:paraId="796AB817" w14:textId="77777777" w:rsidR="007D1E74" w:rsidRDefault="00A95641">
            <w:pPr>
              <w:jc w:val="center"/>
              <w:rPr>
                <w:rFonts w:cs="Times New Roman"/>
                <w:szCs w:val="21"/>
              </w:rPr>
            </w:pPr>
            <w:r>
              <w:rPr>
                <w:rFonts w:cs="Times New Roman"/>
                <w:kern w:val="0"/>
                <w:szCs w:val="21"/>
              </w:rPr>
              <w:t>≤1.00</w:t>
            </w:r>
          </w:p>
        </w:tc>
        <w:tc>
          <w:tcPr>
            <w:tcW w:w="742" w:type="pct"/>
            <w:vAlign w:val="center"/>
          </w:tcPr>
          <w:p w14:paraId="0E2531FC" w14:textId="77777777" w:rsidR="007D1E74" w:rsidRDefault="00A95641">
            <w:pPr>
              <w:jc w:val="center"/>
              <w:rPr>
                <w:rFonts w:cs="Times New Roman"/>
                <w:szCs w:val="21"/>
              </w:rPr>
            </w:pPr>
            <w:r>
              <w:rPr>
                <w:rFonts w:cs="Times New Roman"/>
                <w:kern w:val="0"/>
                <w:szCs w:val="21"/>
              </w:rPr>
              <w:t>≤0.002</w:t>
            </w:r>
          </w:p>
        </w:tc>
      </w:tr>
      <w:tr w:rsidR="007D1E74" w14:paraId="77AE75F3" w14:textId="77777777">
        <w:trPr>
          <w:jc w:val="center"/>
        </w:trPr>
        <w:tc>
          <w:tcPr>
            <w:tcW w:w="613" w:type="pct"/>
            <w:shd w:val="clear" w:color="auto" w:fill="auto"/>
            <w:vAlign w:val="center"/>
          </w:tcPr>
          <w:p w14:paraId="1AA3DDE3" w14:textId="77777777" w:rsidR="007D1E74" w:rsidRDefault="00A95641">
            <w:pPr>
              <w:jc w:val="center"/>
              <w:rPr>
                <w:rFonts w:cs="Times New Roman"/>
                <w:szCs w:val="21"/>
              </w:rPr>
            </w:pPr>
            <w:r>
              <w:rPr>
                <w:rFonts w:cs="Times New Roman"/>
                <w:szCs w:val="21"/>
              </w:rPr>
              <w:t>项目</w:t>
            </w:r>
          </w:p>
        </w:tc>
        <w:tc>
          <w:tcPr>
            <w:tcW w:w="515" w:type="pct"/>
            <w:shd w:val="clear" w:color="auto" w:fill="auto"/>
            <w:vAlign w:val="center"/>
          </w:tcPr>
          <w:p w14:paraId="1B840FC7" w14:textId="77777777" w:rsidR="007D1E74" w:rsidRDefault="00A95641">
            <w:pPr>
              <w:jc w:val="center"/>
              <w:rPr>
                <w:rFonts w:cs="Times New Roman"/>
                <w:szCs w:val="21"/>
              </w:rPr>
            </w:pPr>
            <w:r>
              <w:rPr>
                <w:rFonts w:cs="Times New Roman"/>
                <w:bCs/>
                <w:szCs w:val="21"/>
              </w:rPr>
              <w:t>氰化物</w:t>
            </w:r>
          </w:p>
        </w:tc>
        <w:tc>
          <w:tcPr>
            <w:tcW w:w="457" w:type="pct"/>
            <w:vAlign w:val="center"/>
          </w:tcPr>
          <w:p w14:paraId="345E159E" w14:textId="77777777" w:rsidR="007D1E74" w:rsidRDefault="00A95641">
            <w:pPr>
              <w:jc w:val="center"/>
              <w:rPr>
                <w:rFonts w:cs="Times New Roman"/>
                <w:szCs w:val="21"/>
              </w:rPr>
            </w:pPr>
            <w:r>
              <w:rPr>
                <w:rFonts w:cs="Times New Roman"/>
                <w:szCs w:val="21"/>
              </w:rPr>
              <w:t>砷</w:t>
            </w:r>
          </w:p>
        </w:tc>
        <w:tc>
          <w:tcPr>
            <w:tcW w:w="534" w:type="pct"/>
            <w:shd w:val="clear" w:color="auto" w:fill="auto"/>
            <w:vAlign w:val="center"/>
          </w:tcPr>
          <w:p w14:paraId="18701D73" w14:textId="77777777" w:rsidR="007D1E74" w:rsidRDefault="00A95641">
            <w:pPr>
              <w:jc w:val="center"/>
              <w:rPr>
                <w:rFonts w:cs="Times New Roman"/>
                <w:szCs w:val="21"/>
              </w:rPr>
            </w:pPr>
            <w:r>
              <w:rPr>
                <w:rFonts w:cs="Times New Roman"/>
                <w:szCs w:val="21"/>
              </w:rPr>
              <w:t>汞</w:t>
            </w:r>
          </w:p>
        </w:tc>
        <w:tc>
          <w:tcPr>
            <w:tcW w:w="840" w:type="pct"/>
            <w:shd w:val="clear" w:color="auto" w:fill="auto"/>
            <w:vAlign w:val="center"/>
          </w:tcPr>
          <w:p w14:paraId="20269075" w14:textId="77777777" w:rsidR="007D1E74" w:rsidRDefault="00A95641">
            <w:pPr>
              <w:jc w:val="center"/>
              <w:rPr>
                <w:rFonts w:cs="Times New Roman"/>
                <w:szCs w:val="21"/>
              </w:rPr>
            </w:pPr>
            <w:r>
              <w:rPr>
                <w:rFonts w:cs="Times New Roman"/>
                <w:szCs w:val="21"/>
              </w:rPr>
              <w:t>六价铬</w:t>
            </w:r>
          </w:p>
        </w:tc>
        <w:tc>
          <w:tcPr>
            <w:tcW w:w="534" w:type="pct"/>
            <w:shd w:val="clear" w:color="auto" w:fill="auto"/>
            <w:vAlign w:val="center"/>
          </w:tcPr>
          <w:p w14:paraId="02809D84" w14:textId="77777777" w:rsidR="007D1E74" w:rsidRDefault="00A95641">
            <w:pPr>
              <w:jc w:val="center"/>
              <w:rPr>
                <w:rFonts w:cs="Times New Roman"/>
                <w:szCs w:val="21"/>
              </w:rPr>
            </w:pPr>
            <w:r>
              <w:rPr>
                <w:rFonts w:cs="Times New Roman"/>
                <w:bCs/>
                <w:szCs w:val="21"/>
              </w:rPr>
              <w:t>总硬度</w:t>
            </w:r>
          </w:p>
        </w:tc>
        <w:tc>
          <w:tcPr>
            <w:tcW w:w="765" w:type="pct"/>
            <w:vAlign w:val="center"/>
          </w:tcPr>
          <w:p w14:paraId="1B278F99" w14:textId="77777777" w:rsidR="007D1E74" w:rsidRDefault="00A95641">
            <w:pPr>
              <w:jc w:val="center"/>
              <w:rPr>
                <w:rFonts w:cs="Times New Roman"/>
                <w:szCs w:val="21"/>
              </w:rPr>
            </w:pPr>
            <w:r>
              <w:rPr>
                <w:rFonts w:cs="Times New Roman"/>
                <w:szCs w:val="21"/>
              </w:rPr>
              <w:t>铅</w:t>
            </w:r>
          </w:p>
        </w:tc>
        <w:tc>
          <w:tcPr>
            <w:tcW w:w="742" w:type="pct"/>
            <w:vAlign w:val="center"/>
          </w:tcPr>
          <w:p w14:paraId="57BC8E5D" w14:textId="77777777" w:rsidR="007D1E74" w:rsidRDefault="00A95641">
            <w:pPr>
              <w:jc w:val="center"/>
              <w:rPr>
                <w:rFonts w:cs="Times New Roman"/>
                <w:szCs w:val="21"/>
              </w:rPr>
            </w:pPr>
            <w:r>
              <w:rPr>
                <w:rFonts w:cs="Times New Roman"/>
                <w:bCs/>
                <w:szCs w:val="21"/>
              </w:rPr>
              <w:t>氟化物</w:t>
            </w:r>
          </w:p>
        </w:tc>
      </w:tr>
      <w:tr w:rsidR="007D1E74" w14:paraId="5727274B" w14:textId="77777777">
        <w:trPr>
          <w:jc w:val="center"/>
        </w:trPr>
        <w:tc>
          <w:tcPr>
            <w:tcW w:w="613" w:type="pct"/>
            <w:shd w:val="clear" w:color="auto" w:fill="auto"/>
            <w:vAlign w:val="center"/>
          </w:tcPr>
          <w:p w14:paraId="7AEFE841" w14:textId="77777777" w:rsidR="007D1E74" w:rsidRDefault="00A95641">
            <w:pPr>
              <w:jc w:val="center"/>
              <w:rPr>
                <w:rFonts w:cs="Times New Roman"/>
                <w:szCs w:val="21"/>
              </w:rPr>
            </w:pPr>
            <w:r>
              <w:rPr>
                <w:rFonts w:cs="Times New Roman"/>
                <w:szCs w:val="21"/>
              </w:rPr>
              <w:t>标准值</w:t>
            </w:r>
            <w:r>
              <w:rPr>
                <w:rFonts w:cs="Times New Roman"/>
                <w:szCs w:val="21"/>
              </w:rPr>
              <w:t>*</w:t>
            </w:r>
          </w:p>
        </w:tc>
        <w:tc>
          <w:tcPr>
            <w:tcW w:w="515" w:type="pct"/>
            <w:shd w:val="clear" w:color="auto" w:fill="auto"/>
            <w:vAlign w:val="center"/>
          </w:tcPr>
          <w:p w14:paraId="60AE04EA" w14:textId="77777777" w:rsidR="007D1E74" w:rsidRDefault="00A95641">
            <w:pPr>
              <w:jc w:val="center"/>
              <w:rPr>
                <w:rFonts w:cs="Times New Roman"/>
                <w:szCs w:val="21"/>
              </w:rPr>
            </w:pPr>
            <w:r>
              <w:rPr>
                <w:rFonts w:cs="Times New Roman"/>
                <w:kern w:val="0"/>
                <w:szCs w:val="21"/>
              </w:rPr>
              <w:t>≤0.05</w:t>
            </w:r>
          </w:p>
        </w:tc>
        <w:tc>
          <w:tcPr>
            <w:tcW w:w="457" w:type="pct"/>
            <w:vAlign w:val="center"/>
          </w:tcPr>
          <w:p w14:paraId="0EFF763A" w14:textId="77777777" w:rsidR="007D1E74" w:rsidRDefault="00A95641">
            <w:pPr>
              <w:jc w:val="center"/>
              <w:rPr>
                <w:rFonts w:cs="Times New Roman"/>
                <w:szCs w:val="21"/>
              </w:rPr>
            </w:pPr>
            <w:r>
              <w:rPr>
                <w:rFonts w:cs="Times New Roman"/>
                <w:kern w:val="0"/>
                <w:szCs w:val="21"/>
              </w:rPr>
              <w:t>≤0.01</w:t>
            </w:r>
          </w:p>
        </w:tc>
        <w:tc>
          <w:tcPr>
            <w:tcW w:w="534" w:type="pct"/>
            <w:shd w:val="clear" w:color="auto" w:fill="auto"/>
            <w:vAlign w:val="center"/>
          </w:tcPr>
          <w:p w14:paraId="79675427" w14:textId="77777777" w:rsidR="007D1E74" w:rsidRDefault="00A95641">
            <w:pPr>
              <w:jc w:val="center"/>
              <w:rPr>
                <w:rFonts w:cs="Times New Roman"/>
                <w:szCs w:val="21"/>
              </w:rPr>
            </w:pPr>
            <w:r>
              <w:rPr>
                <w:rFonts w:cs="Times New Roman"/>
                <w:kern w:val="0"/>
                <w:szCs w:val="21"/>
              </w:rPr>
              <w:t>≤0.001</w:t>
            </w:r>
          </w:p>
        </w:tc>
        <w:tc>
          <w:tcPr>
            <w:tcW w:w="840" w:type="pct"/>
            <w:shd w:val="clear" w:color="auto" w:fill="auto"/>
            <w:vAlign w:val="center"/>
          </w:tcPr>
          <w:p w14:paraId="0C144825" w14:textId="77777777" w:rsidR="007D1E74" w:rsidRDefault="00A95641">
            <w:pPr>
              <w:jc w:val="center"/>
              <w:rPr>
                <w:rFonts w:cs="Times New Roman"/>
                <w:szCs w:val="21"/>
              </w:rPr>
            </w:pPr>
            <w:r>
              <w:rPr>
                <w:rFonts w:cs="Times New Roman"/>
                <w:kern w:val="0"/>
                <w:szCs w:val="21"/>
              </w:rPr>
              <w:t>≤0.05</w:t>
            </w:r>
          </w:p>
        </w:tc>
        <w:tc>
          <w:tcPr>
            <w:tcW w:w="534" w:type="pct"/>
            <w:shd w:val="clear" w:color="auto" w:fill="auto"/>
            <w:vAlign w:val="center"/>
          </w:tcPr>
          <w:p w14:paraId="01205D2E" w14:textId="77777777" w:rsidR="007D1E74" w:rsidRDefault="00A95641">
            <w:pPr>
              <w:jc w:val="center"/>
              <w:rPr>
                <w:rFonts w:cs="Times New Roman"/>
                <w:szCs w:val="21"/>
              </w:rPr>
            </w:pPr>
            <w:r>
              <w:rPr>
                <w:rFonts w:cs="Times New Roman"/>
                <w:kern w:val="0"/>
                <w:szCs w:val="21"/>
              </w:rPr>
              <w:t>≤450</w:t>
            </w:r>
          </w:p>
        </w:tc>
        <w:tc>
          <w:tcPr>
            <w:tcW w:w="765" w:type="pct"/>
            <w:vAlign w:val="center"/>
          </w:tcPr>
          <w:p w14:paraId="51A367DB" w14:textId="77777777" w:rsidR="007D1E74" w:rsidRDefault="00A95641">
            <w:pPr>
              <w:jc w:val="center"/>
              <w:rPr>
                <w:rFonts w:cs="Times New Roman"/>
                <w:szCs w:val="21"/>
              </w:rPr>
            </w:pPr>
            <w:r>
              <w:rPr>
                <w:rFonts w:cs="Times New Roman"/>
                <w:kern w:val="0"/>
                <w:szCs w:val="21"/>
              </w:rPr>
              <w:t>≤0.01</w:t>
            </w:r>
          </w:p>
        </w:tc>
        <w:tc>
          <w:tcPr>
            <w:tcW w:w="742" w:type="pct"/>
            <w:vAlign w:val="center"/>
          </w:tcPr>
          <w:p w14:paraId="04D4149B" w14:textId="77777777" w:rsidR="007D1E74" w:rsidRDefault="00A95641">
            <w:pPr>
              <w:jc w:val="center"/>
              <w:rPr>
                <w:rFonts w:cs="Times New Roman"/>
                <w:szCs w:val="21"/>
              </w:rPr>
            </w:pPr>
            <w:r>
              <w:rPr>
                <w:rFonts w:cs="Times New Roman"/>
                <w:kern w:val="0"/>
                <w:szCs w:val="21"/>
              </w:rPr>
              <w:t>≤1.0</w:t>
            </w:r>
          </w:p>
        </w:tc>
      </w:tr>
      <w:tr w:rsidR="007D1E74" w14:paraId="21002944" w14:textId="77777777">
        <w:trPr>
          <w:jc w:val="center"/>
        </w:trPr>
        <w:tc>
          <w:tcPr>
            <w:tcW w:w="613" w:type="pct"/>
            <w:shd w:val="clear" w:color="auto" w:fill="auto"/>
            <w:vAlign w:val="center"/>
          </w:tcPr>
          <w:p w14:paraId="141B4FCD" w14:textId="77777777" w:rsidR="007D1E74" w:rsidRDefault="00A95641">
            <w:pPr>
              <w:jc w:val="center"/>
              <w:rPr>
                <w:rFonts w:cs="Times New Roman"/>
                <w:szCs w:val="21"/>
              </w:rPr>
            </w:pPr>
            <w:r>
              <w:rPr>
                <w:rFonts w:cs="Times New Roman"/>
                <w:szCs w:val="21"/>
              </w:rPr>
              <w:t>项目</w:t>
            </w:r>
          </w:p>
        </w:tc>
        <w:tc>
          <w:tcPr>
            <w:tcW w:w="515" w:type="pct"/>
            <w:shd w:val="clear" w:color="auto" w:fill="auto"/>
            <w:vAlign w:val="center"/>
          </w:tcPr>
          <w:p w14:paraId="76D11FFF" w14:textId="77777777" w:rsidR="007D1E74" w:rsidRDefault="00A95641">
            <w:pPr>
              <w:jc w:val="center"/>
              <w:rPr>
                <w:rFonts w:cs="Times New Roman"/>
                <w:szCs w:val="21"/>
              </w:rPr>
            </w:pPr>
            <w:r>
              <w:rPr>
                <w:rFonts w:cs="Times New Roman"/>
                <w:szCs w:val="21"/>
              </w:rPr>
              <w:t>镉</w:t>
            </w:r>
          </w:p>
        </w:tc>
        <w:tc>
          <w:tcPr>
            <w:tcW w:w="457" w:type="pct"/>
            <w:vAlign w:val="center"/>
          </w:tcPr>
          <w:p w14:paraId="4FC56023" w14:textId="77777777" w:rsidR="007D1E74" w:rsidRDefault="00A95641">
            <w:pPr>
              <w:jc w:val="center"/>
              <w:rPr>
                <w:rFonts w:cs="Times New Roman"/>
                <w:szCs w:val="21"/>
              </w:rPr>
            </w:pPr>
            <w:r>
              <w:rPr>
                <w:rFonts w:cs="Times New Roman"/>
                <w:szCs w:val="21"/>
              </w:rPr>
              <w:t>铁</w:t>
            </w:r>
          </w:p>
        </w:tc>
        <w:tc>
          <w:tcPr>
            <w:tcW w:w="534" w:type="pct"/>
            <w:shd w:val="clear" w:color="auto" w:fill="auto"/>
            <w:vAlign w:val="center"/>
          </w:tcPr>
          <w:p w14:paraId="62060B22" w14:textId="77777777" w:rsidR="007D1E74" w:rsidRDefault="00A95641">
            <w:pPr>
              <w:jc w:val="center"/>
              <w:rPr>
                <w:rFonts w:cs="Times New Roman"/>
                <w:szCs w:val="21"/>
              </w:rPr>
            </w:pPr>
            <w:r>
              <w:rPr>
                <w:rFonts w:cs="Times New Roman"/>
                <w:szCs w:val="21"/>
              </w:rPr>
              <w:t>锰</w:t>
            </w:r>
          </w:p>
        </w:tc>
        <w:tc>
          <w:tcPr>
            <w:tcW w:w="840" w:type="pct"/>
            <w:shd w:val="clear" w:color="auto" w:fill="auto"/>
            <w:vAlign w:val="center"/>
          </w:tcPr>
          <w:p w14:paraId="1CE61130" w14:textId="77777777" w:rsidR="007D1E74" w:rsidRDefault="00A95641">
            <w:pPr>
              <w:jc w:val="center"/>
              <w:rPr>
                <w:rFonts w:cs="Times New Roman"/>
                <w:szCs w:val="21"/>
              </w:rPr>
            </w:pPr>
            <w:r>
              <w:rPr>
                <w:rFonts w:cs="Times New Roman"/>
                <w:bCs/>
                <w:szCs w:val="21"/>
              </w:rPr>
              <w:t>溶解性总固体</w:t>
            </w:r>
          </w:p>
        </w:tc>
        <w:tc>
          <w:tcPr>
            <w:tcW w:w="534" w:type="pct"/>
            <w:shd w:val="clear" w:color="auto" w:fill="auto"/>
            <w:vAlign w:val="center"/>
          </w:tcPr>
          <w:p w14:paraId="412E1F40" w14:textId="77777777" w:rsidR="007D1E74" w:rsidRDefault="00A95641">
            <w:pPr>
              <w:jc w:val="center"/>
              <w:rPr>
                <w:rFonts w:cs="Times New Roman"/>
                <w:szCs w:val="21"/>
              </w:rPr>
            </w:pPr>
            <w:r>
              <w:rPr>
                <w:rFonts w:cs="Times New Roman"/>
                <w:szCs w:val="21"/>
              </w:rPr>
              <w:t>耗氧量</w:t>
            </w:r>
          </w:p>
        </w:tc>
        <w:tc>
          <w:tcPr>
            <w:tcW w:w="765" w:type="pct"/>
            <w:vAlign w:val="center"/>
          </w:tcPr>
          <w:p w14:paraId="2171B8A9" w14:textId="77777777" w:rsidR="007D1E74" w:rsidRDefault="00A95641">
            <w:pPr>
              <w:jc w:val="center"/>
              <w:rPr>
                <w:rFonts w:cs="Times New Roman"/>
                <w:szCs w:val="21"/>
              </w:rPr>
            </w:pPr>
            <w:r>
              <w:rPr>
                <w:rFonts w:cs="Times New Roman"/>
                <w:bCs/>
                <w:szCs w:val="21"/>
              </w:rPr>
              <w:t>总大肠菌群</w:t>
            </w:r>
          </w:p>
        </w:tc>
        <w:tc>
          <w:tcPr>
            <w:tcW w:w="742" w:type="pct"/>
            <w:vAlign w:val="center"/>
          </w:tcPr>
          <w:p w14:paraId="22C60024" w14:textId="77777777" w:rsidR="007D1E74" w:rsidRDefault="00A95641">
            <w:pPr>
              <w:jc w:val="center"/>
              <w:rPr>
                <w:rFonts w:cs="Times New Roman"/>
                <w:szCs w:val="21"/>
              </w:rPr>
            </w:pPr>
            <w:r>
              <w:rPr>
                <w:rFonts w:cs="Times New Roman"/>
                <w:bCs/>
                <w:szCs w:val="21"/>
              </w:rPr>
              <w:t>菌落总数</w:t>
            </w:r>
          </w:p>
        </w:tc>
      </w:tr>
      <w:tr w:rsidR="007D1E74" w14:paraId="753602EF" w14:textId="77777777">
        <w:trPr>
          <w:jc w:val="center"/>
        </w:trPr>
        <w:tc>
          <w:tcPr>
            <w:tcW w:w="613" w:type="pct"/>
            <w:shd w:val="clear" w:color="auto" w:fill="auto"/>
            <w:vAlign w:val="center"/>
          </w:tcPr>
          <w:p w14:paraId="1E3BD46C" w14:textId="77777777" w:rsidR="007D1E74" w:rsidRDefault="00A95641">
            <w:pPr>
              <w:jc w:val="center"/>
              <w:rPr>
                <w:rFonts w:cs="Times New Roman"/>
                <w:szCs w:val="21"/>
              </w:rPr>
            </w:pPr>
            <w:r>
              <w:rPr>
                <w:rFonts w:cs="Times New Roman"/>
                <w:szCs w:val="21"/>
              </w:rPr>
              <w:t>标准值</w:t>
            </w:r>
            <w:r>
              <w:rPr>
                <w:rFonts w:cs="Times New Roman"/>
                <w:szCs w:val="21"/>
              </w:rPr>
              <w:t>*</w:t>
            </w:r>
          </w:p>
        </w:tc>
        <w:tc>
          <w:tcPr>
            <w:tcW w:w="515" w:type="pct"/>
            <w:shd w:val="clear" w:color="auto" w:fill="auto"/>
            <w:vAlign w:val="center"/>
          </w:tcPr>
          <w:p w14:paraId="7850E7FB" w14:textId="77777777" w:rsidR="007D1E74" w:rsidRDefault="00A95641">
            <w:pPr>
              <w:jc w:val="center"/>
              <w:rPr>
                <w:rFonts w:cs="Times New Roman"/>
                <w:szCs w:val="21"/>
              </w:rPr>
            </w:pPr>
            <w:r>
              <w:rPr>
                <w:rFonts w:cs="Times New Roman"/>
                <w:kern w:val="0"/>
                <w:szCs w:val="21"/>
              </w:rPr>
              <w:t>≤0.005</w:t>
            </w:r>
          </w:p>
        </w:tc>
        <w:tc>
          <w:tcPr>
            <w:tcW w:w="457" w:type="pct"/>
            <w:vAlign w:val="center"/>
          </w:tcPr>
          <w:p w14:paraId="52E08397" w14:textId="77777777" w:rsidR="007D1E74" w:rsidRDefault="00A95641">
            <w:pPr>
              <w:jc w:val="center"/>
              <w:rPr>
                <w:rFonts w:cs="Times New Roman"/>
                <w:szCs w:val="21"/>
              </w:rPr>
            </w:pPr>
            <w:r>
              <w:rPr>
                <w:rFonts w:cs="Times New Roman"/>
                <w:kern w:val="0"/>
                <w:szCs w:val="21"/>
              </w:rPr>
              <w:t>≤0.3</w:t>
            </w:r>
          </w:p>
        </w:tc>
        <w:tc>
          <w:tcPr>
            <w:tcW w:w="534" w:type="pct"/>
            <w:shd w:val="clear" w:color="auto" w:fill="auto"/>
            <w:vAlign w:val="center"/>
          </w:tcPr>
          <w:p w14:paraId="0A2517FE" w14:textId="77777777" w:rsidR="007D1E74" w:rsidRDefault="00A95641">
            <w:pPr>
              <w:jc w:val="center"/>
              <w:rPr>
                <w:rFonts w:cs="Times New Roman"/>
                <w:szCs w:val="21"/>
              </w:rPr>
            </w:pPr>
            <w:r>
              <w:rPr>
                <w:rFonts w:cs="Times New Roman"/>
                <w:kern w:val="0"/>
                <w:szCs w:val="21"/>
              </w:rPr>
              <w:t>≤0.10</w:t>
            </w:r>
          </w:p>
        </w:tc>
        <w:tc>
          <w:tcPr>
            <w:tcW w:w="840" w:type="pct"/>
            <w:shd w:val="clear" w:color="auto" w:fill="auto"/>
            <w:vAlign w:val="center"/>
          </w:tcPr>
          <w:p w14:paraId="4C162079" w14:textId="77777777" w:rsidR="007D1E74" w:rsidRDefault="00A95641">
            <w:pPr>
              <w:jc w:val="center"/>
              <w:rPr>
                <w:rFonts w:cs="Times New Roman"/>
                <w:szCs w:val="21"/>
              </w:rPr>
            </w:pPr>
            <w:r>
              <w:rPr>
                <w:rFonts w:cs="Times New Roman"/>
                <w:kern w:val="0"/>
                <w:szCs w:val="21"/>
              </w:rPr>
              <w:t>≤1000</w:t>
            </w:r>
          </w:p>
        </w:tc>
        <w:tc>
          <w:tcPr>
            <w:tcW w:w="534" w:type="pct"/>
            <w:shd w:val="clear" w:color="auto" w:fill="auto"/>
            <w:vAlign w:val="center"/>
          </w:tcPr>
          <w:p w14:paraId="07E89A73" w14:textId="77777777" w:rsidR="007D1E74" w:rsidRDefault="00A95641">
            <w:pPr>
              <w:jc w:val="center"/>
              <w:rPr>
                <w:rFonts w:cs="Times New Roman"/>
                <w:szCs w:val="21"/>
              </w:rPr>
            </w:pPr>
            <w:r>
              <w:rPr>
                <w:rFonts w:cs="Times New Roman"/>
                <w:kern w:val="0"/>
                <w:szCs w:val="21"/>
              </w:rPr>
              <w:t>≤3.0</w:t>
            </w:r>
          </w:p>
        </w:tc>
        <w:tc>
          <w:tcPr>
            <w:tcW w:w="765" w:type="pct"/>
            <w:vAlign w:val="center"/>
          </w:tcPr>
          <w:p w14:paraId="0179F51D" w14:textId="77777777" w:rsidR="007D1E74" w:rsidRDefault="00A95641">
            <w:pPr>
              <w:jc w:val="center"/>
              <w:rPr>
                <w:rFonts w:cs="Times New Roman"/>
                <w:szCs w:val="21"/>
              </w:rPr>
            </w:pPr>
            <w:r>
              <w:rPr>
                <w:rFonts w:cs="Times New Roman"/>
                <w:kern w:val="0"/>
                <w:szCs w:val="21"/>
              </w:rPr>
              <w:t>≤3.0</w:t>
            </w:r>
          </w:p>
        </w:tc>
        <w:tc>
          <w:tcPr>
            <w:tcW w:w="742" w:type="pct"/>
            <w:vAlign w:val="center"/>
          </w:tcPr>
          <w:p w14:paraId="3EBD0A04" w14:textId="77777777" w:rsidR="007D1E74" w:rsidRDefault="00A95641">
            <w:pPr>
              <w:jc w:val="center"/>
              <w:rPr>
                <w:rFonts w:cs="Times New Roman"/>
                <w:szCs w:val="21"/>
              </w:rPr>
            </w:pPr>
            <w:r>
              <w:rPr>
                <w:rFonts w:cs="Times New Roman"/>
                <w:kern w:val="0"/>
                <w:szCs w:val="21"/>
              </w:rPr>
              <w:t>≤100</w:t>
            </w:r>
          </w:p>
        </w:tc>
      </w:tr>
    </w:tbl>
    <w:p w14:paraId="341B7B11" w14:textId="77777777" w:rsidR="007D1E74" w:rsidRDefault="00A95641">
      <w:pPr>
        <w:adjustRightInd w:val="0"/>
        <w:snapToGrid w:val="0"/>
        <w:spacing w:line="360" w:lineRule="auto"/>
        <w:rPr>
          <w:rFonts w:cs="Times New Roman"/>
          <w:sz w:val="24"/>
          <w:szCs w:val="24"/>
        </w:rPr>
      </w:pPr>
      <w:r>
        <w:rPr>
          <w:rFonts w:eastAsia="黑体" w:cs="Times New Roman"/>
          <w:szCs w:val="21"/>
        </w:rPr>
        <w:t>注：</w:t>
      </w:r>
      <w:r>
        <w:rPr>
          <w:rFonts w:eastAsia="黑体" w:cs="Times New Roman"/>
          <w:szCs w:val="21"/>
        </w:rPr>
        <w:t>*pH</w:t>
      </w:r>
      <w:r>
        <w:rPr>
          <w:rFonts w:eastAsia="黑体" w:cs="Times New Roman"/>
          <w:szCs w:val="21"/>
        </w:rPr>
        <w:t>无量纲，总大肠菌群单位为</w:t>
      </w:r>
      <w:r>
        <w:rPr>
          <w:rFonts w:eastAsia="黑体" w:cs="Times New Roman"/>
          <w:szCs w:val="21"/>
        </w:rPr>
        <w:t>MPN/100mL</w:t>
      </w:r>
      <w:r>
        <w:rPr>
          <w:rFonts w:eastAsia="黑体" w:cs="Times New Roman"/>
          <w:szCs w:val="21"/>
        </w:rPr>
        <w:t>，菌落总数单位为</w:t>
      </w:r>
      <w:r>
        <w:rPr>
          <w:rFonts w:eastAsia="黑体" w:cs="Times New Roman"/>
          <w:szCs w:val="21"/>
        </w:rPr>
        <w:t>CFU/mL</w:t>
      </w:r>
      <w:r>
        <w:rPr>
          <w:rFonts w:eastAsia="黑体" w:cs="Times New Roman"/>
          <w:szCs w:val="21"/>
        </w:rPr>
        <w:t>，其余指标单位为</w:t>
      </w:r>
      <w:r>
        <w:rPr>
          <w:rFonts w:eastAsia="黑体" w:cs="Times New Roman"/>
          <w:szCs w:val="21"/>
        </w:rPr>
        <w:t>mg/L</w:t>
      </w:r>
      <w:r>
        <w:rPr>
          <w:rFonts w:eastAsia="黑体" w:cs="Times New Roman"/>
          <w:szCs w:val="21"/>
        </w:rPr>
        <w:t>。</w:t>
      </w:r>
    </w:p>
    <w:p w14:paraId="1D4D18EA" w14:textId="77777777" w:rsidR="007D1E74" w:rsidRDefault="00A95641">
      <w:pPr>
        <w:adjustRightInd w:val="0"/>
        <w:snapToGrid w:val="0"/>
        <w:spacing w:line="360" w:lineRule="auto"/>
        <w:ind w:firstLineChars="200" w:firstLine="482"/>
        <w:rPr>
          <w:rFonts w:cs="Times New Roman"/>
          <w:b/>
          <w:sz w:val="24"/>
          <w:szCs w:val="24"/>
        </w:rPr>
      </w:pPr>
      <w:r>
        <w:rPr>
          <w:rFonts w:cs="Times New Roman"/>
          <w:b/>
          <w:sz w:val="24"/>
          <w:szCs w:val="24"/>
        </w:rPr>
        <w:t>（</w:t>
      </w:r>
      <w:r>
        <w:rPr>
          <w:rFonts w:cs="Times New Roman"/>
          <w:b/>
          <w:sz w:val="24"/>
          <w:szCs w:val="24"/>
        </w:rPr>
        <w:t>4</w:t>
      </w:r>
      <w:r>
        <w:rPr>
          <w:rFonts w:cs="Times New Roman"/>
          <w:b/>
          <w:sz w:val="24"/>
          <w:szCs w:val="24"/>
        </w:rPr>
        <w:t>）土壤环境</w:t>
      </w:r>
    </w:p>
    <w:p w14:paraId="31C18567" w14:textId="77777777" w:rsidR="007D1E74" w:rsidRDefault="00A95641">
      <w:pPr>
        <w:adjustRightInd w:val="0"/>
        <w:snapToGrid w:val="0"/>
        <w:spacing w:line="360" w:lineRule="auto"/>
        <w:ind w:firstLineChars="200" w:firstLine="480"/>
        <w:rPr>
          <w:rFonts w:asciiTheme="minorHAnsi" w:hAnsiTheme="minorHAnsi" w:cstheme="minorHAnsi"/>
          <w:sz w:val="24"/>
        </w:rPr>
      </w:pPr>
      <w:r>
        <w:rPr>
          <w:rFonts w:asciiTheme="minorHAnsi" w:hAnsiTheme="minorHAnsi" w:cstheme="minorHAnsi"/>
          <w:bCs/>
          <w:sz w:val="24"/>
          <w:szCs w:val="24"/>
        </w:rPr>
        <w:t>执行</w:t>
      </w:r>
      <w:bookmarkStart w:id="12" w:name="OLE_LINK383"/>
      <w:bookmarkStart w:id="13" w:name="OLE_LINK382"/>
      <w:r>
        <w:rPr>
          <w:rFonts w:asciiTheme="minorHAnsi" w:hAnsiTheme="minorHAnsi" w:cstheme="minorHAnsi"/>
          <w:sz w:val="24"/>
          <w:szCs w:val="24"/>
        </w:rPr>
        <w:t>《土壤环境质量</w:t>
      </w:r>
      <w:r>
        <w:rPr>
          <w:rFonts w:asciiTheme="minorHAnsi" w:hAnsiTheme="minorHAnsi" w:cstheme="minorHAnsi"/>
          <w:sz w:val="24"/>
          <w:szCs w:val="24"/>
        </w:rPr>
        <w:t xml:space="preserve"> </w:t>
      </w:r>
      <w:r>
        <w:rPr>
          <w:rFonts w:asciiTheme="minorHAnsi" w:hAnsiTheme="minorHAnsi" w:cstheme="minorHAnsi"/>
          <w:sz w:val="24"/>
          <w:szCs w:val="24"/>
        </w:rPr>
        <w:t>农用地土壤污染风险管控标准（试行）》（</w:t>
      </w:r>
      <w:r>
        <w:rPr>
          <w:rFonts w:asciiTheme="minorHAnsi" w:hAnsiTheme="minorHAnsi" w:cstheme="minorHAnsi"/>
          <w:sz w:val="24"/>
          <w:szCs w:val="24"/>
        </w:rPr>
        <w:t>GB15618-2018</w:t>
      </w:r>
      <w:r>
        <w:rPr>
          <w:rFonts w:asciiTheme="minorHAnsi" w:hAnsiTheme="minorHAnsi" w:cstheme="minorHAnsi"/>
          <w:sz w:val="24"/>
          <w:szCs w:val="24"/>
        </w:rPr>
        <w:t>）中</w:t>
      </w:r>
      <w:r>
        <w:rPr>
          <w:rFonts w:asciiTheme="minorHAnsi" w:hAnsiTheme="minorHAnsi" w:cstheme="minorHAnsi"/>
          <w:sz w:val="24"/>
          <w:szCs w:val="24"/>
        </w:rPr>
        <w:lastRenderedPageBreak/>
        <w:t>风险筛选值</w:t>
      </w:r>
      <w:bookmarkEnd w:id="12"/>
      <w:bookmarkEnd w:id="13"/>
      <w:r>
        <w:rPr>
          <w:rFonts w:asciiTheme="minorHAnsi" w:hAnsiTheme="minorHAnsi" w:cstheme="minorHAnsi"/>
          <w:sz w:val="24"/>
        </w:rPr>
        <w:t>。</w:t>
      </w:r>
    </w:p>
    <w:p w14:paraId="68278354" w14:textId="77777777" w:rsidR="007D1E74" w:rsidRDefault="00A95641">
      <w:pPr>
        <w:adjustRightInd w:val="0"/>
        <w:snapToGrid w:val="0"/>
        <w:spacing w:line="360" w:lineRule="auto"/>
        <w:ind w:firstLineChars="200" w:firstLine="420"/>
        <w:jc w:val="center"/>
        <w:rPr>
          <w:rFonts w:asciiTheme="minorHAnsi" w:eastAsia="黑体" w:hAnsiTheme="minorHAnsi" w:cstheme="minorHAnsi"/>
          <w:szCs w:val="21"/>
        </w:rPr>
      </w:pPr>
      <w:r>
        <w:rPr>
          <w:rFonts w:eastAsia="黑体" w:cs="Times New Roman"/>
        </w:rPr>
        <w:t>表</w:t>
      </w:r>
      <w:r>
        <w:rPr>
          <w:rFonts w:eastAsia="黑体" w:cs="Times New Roman" w:hint="eastAsia"/>
        </w:rPr>
        <w:t>2.4-7</w:t>
      </w:r>
      <w:r>
        <w:rPr>
          <w:rFonts w:eastAsia="黑体" w:cs="Times New Roman"/>
        </w:rPr>
        <w:t xml:space="preserve">  </w:t>
      </w:r>
      <w:r>
        <w:rPr>
          <w:rFonts w:asciiTheme="minorHAnsi" w:eastAsia="黑体" w:hAnsiTheme="minorHAnsi" w:cstheme="minorHAnsi"/>
          <w:szCs w:val="21"/>
        </w:rPr>
        <w:t>农用地土壤环境标准限值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9"/>
        <w:gridCol w:w="961"/>
        <w:gridCol w:w="1102"/>
        <w:gridCol w:w="1567"/>
        <w:gridCol w:w="1567"/>
        <w:gridCol w:w="1567"/>
        <w:gridCol w:w="1563"/>
      </w:tblGrid>
      <w:tr w:rsidR="007D1E74" w14:paraId="44B85DD1" w14:textId="77777777">
        <w:trPr>
          <w:jc w:val="center"/>
        </w:trPr>
        <w:tc>
          <w:tcPr>
            <w:tcW w:w="382" w:type="pct"/>
            <w:vMerge w:val="restart"/>
            <w:shd w:val="clear" w:color="auto" w:fill="auto"/>
            <w:vAlign w:val="center"/>
          </w:tcPr>
          <w:p w14:paraId="4EE60F39" w14:textId="77777777" w:rsidR="007D1E74" w:rsidRDefault="00A95641">
            <w:pPr>
              <w:jc w:val="center"/>
              <w:rPr>
                <w:rFonts w:asciiTheme="minorHAnsi" w:hAnsiTheme="minorHAnsi" w:cstheme="minorHAnsi"/>
                <w:szCs w:val="21"/>
              </w:rPr>
            </w:pPr>
            <w:r>
              <w:rPr>
                <w:rFonts w:asciiTheme="minorHAnsi" w:hAnsiTheme="minorHAnsi" w:cstheme="minorHAnsi"/>
                <w:szCs w:val="21"/>
              </w:rPr>
              <w:t>序号</w:t>
            </w:r>
          </w:p>
        </w:tc>
        <w:tc>
          <w:tcPr>
            <w:tcW w:w="1144" w:type="pct"/>
            <w:gridSpan w:val="2"/>
            <w:vMerge w:val="restart"/>
            <w:shd w:val="clear" w:color="auto" w:fill="auto"/>
            <w:vAlign w:val="center"/>
          </w:tcPr>
          <w:p w14:paraId="6AE2D226" w14:textId="77777777" w:rsidR="007D1E74" w:rsidRDefault="00A95641">
            <w:pPr>
              <w:jc w:val="center"/>
              <w:rPr>
                <w:rFonts w:asciiTheme="minorHAnsi" w:hAnsiTheme="minorHAnsi" w:cstheme="minorHAnsi"/>
                <w:szCs w:val="21"/>
              </w:rPr>
            </w:pPr>
            <w:r>
              <w:rPr>
                <w:rFonts w:asciiTheme="minorHAnsi" w:hAnsiTheme="minorHAnsi" w:cstheme="minorHAnsi"/>
                <w:szCs w:val="21"/>
              </w:rPr>
              <w:t>污染物项目</w:t>
            </w:r>
          </w:p>
        </w:tc>
        <w:tc>
          <w:tcPr>
            <w:tcW w:w="3473" w:type="pct"/>
            <w:gridSpan w:val="4"/>
            <w:vAlign w:val="center"/>
          </w:tcPr>
          <w:p w14:paraId="1AA4F0D8" w14:textId="77777777" w:rsidR="007D1E74" w:rsidRDefault="00A95641">
            <w:pPr>
              <w:jc w:val="center"/>
              <w:rPr>
                <w:rFonts w:asciiTheme="minorHAnsi" w:hAnsiTheme="minorHAnsi" w:cstheme="minorHAnsi"/>
                <w:szCs w:val="21"/>
              </w:rPr>
            </w:pPr>
            <w:r>
              <w:rPr>
                <w:rFonts w:asciiTheme="minorHAnsi" w:hAnsiTheme="minorHAnsi" w:cstheme="minorHAnsi"/>
                <w:szCs w:val="21"/>
              </w:rPr>
              <w:t>风险筛选值</w:t>
            </w:r>
            <w:r>
              <w:rPr>
                <w:rFonts w:asciiTheme="minorHAnsi" w:hAnsiTheme="minorHAnsi" w:cstheme="minorHAnsi"/>
                <w:bCs/>
                <w:szCs w:val="21"/>
              </w:rPr>
              <w:t>（</w:t>
            </w:r>
            <w:r>
              <w:rPr>
                <w:rFonts w:asciiTheme="minorHAnsi" w:hAnsiTheme="minorHAnsi" w:cstheme="minorHAnsi"/>
                <w:szCs w:val="21"/>
              </w:rPr>
              <w:t>mg/kg</w:t>
            </w:r>
            <w:r>
              <w:rPr>
                <w:rFonts w:asciiTheme="minorHAnsi" w:hAnsiTheme="minorHAnsi" w:cstheme="minorHAnsi"/>
                <w:bCs/>
                <w:szCs w:val="21"/>
              </w:rPr>
              <w:t>）</w:t>
            </w:r>
          </w:p>
        </w:tc>
      </w:tr>
      <w:tr w:rsidR="007D1E74" w14:paraId="311BB33A" w14:textId="77777777">
        <w:trPr>
          <w:trHeight w:val="75"/>
          <w:jc w:val="center"/>
        </w:trPr>
        <w:tc>
          <w:tcPr>
            <w:tcW w:w="382" w:type="pct"/>
            <w:vMerge/>
            <w:shd w:val="clear" w:color="auto" w:fill="auto"/>
            <w:vAlign w:val="center"/>
          </w:tcPr>
          <w:p w14:paraId="6FF40279" w14:textId="77777777" w:rsidR="007D1E74" w:rsidRDefault="007D1E74">
            <w:pPr>
              <w:jc w:val="center"/>
              <w:rPr>
                <w:rFonts w:asciiTheme="minorHAnsi" w:hAnsiTheme="minorHAnsi" w:cstheme="minorHAnsi"/>
                <w:szCs w:val="21"/>
              </w:rPr>
            </w:pPr>
          </w:p>
        </w:tc>
        <w:tc>
          <w:tcPr>
            <w:tcW w:w="1144" w:type="pct"/>
            <w:gridSpan w:val="2"/>
            <w:vMerge/>
            <w:shd w:val="clear" w:color="auto" w:fill="auto"/>
            <w:vAlign w:val="center"/>
          </w:tcPr>
          <w:p w14:paraId="7F0FDD34" w14:textId="77777777" w:rsidR="007D1E74" w:rsidRDefault="007D1E74">
            <w:pPr>
              <w:jc w:val="center"/>
              <w:rPr>
                <w:rFonts w:asciiTheme="minorHAnsi" w:hAnsiTheme="minorHAnsi" w:cstheme="minorHAnsi"/>
                <w:szCs w:val="21"/>
              </w:rPr>
            </w:pPr>
          </w:p>
        </w:tc>
        <w:tc>
          <w:tcPr>
            <w:tcW w:w="869" w:type="pct"/>
            <w:vAlign w:val="center"/>
          </w:tcPr>
          <w:p w14:paraId="1EA620D5" w14:textId="77777777" w:rsidR="007D1E74" w:rsidRDefault="00A95641">
            <w:pPr>
              <w:jc w:val="center"/>
              <w:rPr>
                <w:rFonts w:asciiTheme="minorHAnsi" w:hAnsiTheme="minorHAnsi" w:cstheme="minorHAnsi"/>
                <w:szCs w:val="21"/>
              </w:rPr>
            </w:pPr>
            <w:r>
              <w:rPr>
                <w:rFonts w:asciiTheme="minorHAnsi" w:hAnsiTheme="minorHAnsi" w:cstheme="minorHAnsi"/>
                <w:szCs w:val="21"/>
              </w:rPr>
              <w:t>pH≤5.5</w:t>
            </w:r>
          </w:p>
        </w:tc>
        <w:tc>
          <w:tcPr>
            <w:tcW w:w="869" w:type="pct"/>
            <w:vAlign w:val="center"/>
          </w:tcPr>
          <w:p w14:paraId="6646587A" w14:textId="77777777" w:rsidR="007D1E74" w:rsidRDefault="00A95641">
            <w:pPr>
              <w:jc w:val="center"/>
              <w:rPr>
                <w:rFonts w:asciiTheme="minorHAnsi" w:hAnsiTheme="minorHAnsi" w:cstheme="minorHAnsi"/>
                <w:szCs w:val="21"/>
              </w:rPr>
            </w:pPr>
            <w:r>
              <w:rPr>
                <w:rFonts w:asciiTheme="minorHAnsi" w:hAnsiTheme="minorHAnsi" w:cstheme="minorHAnsi"/>
                <w:szCs w:val="21"/>
              </w:rPr>
              <w:t>5.5&lt;pH≤6.5</w:t>
            </w:r>
          </w:p>
        </w:tc>
        <w:tc>
          <w:tcPr>
            <w:tcW w:w="869" w:type="pct"/>
            <w:vAlign w:val="center"/>
          </w:tcPr>
          <w:p w14:paraId="33BD3D01" w14:textId="77777777" w:rsidR="007D1E74" w:rsidRDefault="00A95641">
            <w:pPr>
              <w:jc w:val="center"/>
              <w:rPr>
                <w:rFonts w:asciiTheme="minorHAnsi" w:hAnsiTheme="minorHAnsi" w:cstheme="minorHAnsi"/>
                <w:szCs w:val="21"/>
              </w:rPr>
            </w:pPr>
            <w:r>
              <w:rPr>
                <w:rFonts w:asciiTheme="minorHAnsi" w:hAnsiTheme="minorHAnsi" w:cstheme="minorHAnsi"/>
                <w:szCs w:val="21"/>
              </w:rPr>
              <w:t>6.5&lt;pH≤7.5</w:t>
            </w:r>
          </w:p>
        </w:tc>
        <w:tc>
          <w:tcPr>
            <w:tcW w:w="867" w:type="pct"/>
            <w:vAlign w:val="center"/>
          </w:tcPr>
          <w:p w14:paraId="7DDA0C6D" w14:textId="77777777" w:rsidR="007D1E74" w:rsidRDefault="00A95641">
            <w:pPr>
              <w:jc w:val="center"/>
              <w:rPr>
                <w:rFonts w:asciiTheme="minorHAnsi" w:hAnsiTheme="minorHAnsi" w:cstheme="minorHAnsi"/>
                <w:szCs w:val="21"/>
              </w:rPr>
            </w:pPr>
            <w:r>
              <w:rPr>
                <w:rFonts w:asciiTheme="minorHAnsi" w:hAnsiTheme="minorHAnsi" w:cstheme="minorHAnsi"/>
                <w:szCs w:val="21"/>
              </w:rPr>
              <w:t>pH&gt;7.5</w:t>
            </w:r>
          </w:p>
        </w:tc>
      </w:tr>
      <w:tr w:rsidR="007D1E74" w14:paraId="36C9B619" w14:textId="77777777">
        <w:trPr>
          <w:jc w:val="center"/>
        </w:trPr>
        <w:tc>
          <w:tcPr>
            <w:tcW w:w="382" w:type="pct"/>
            <w:vMerge w:val="restart"/>
            <w:shd w:val="clear" w:color="auto" w:fill="auto"/>
            <w:vAlign w:val="center"/>
          </w:tcPr>
          <w:p w14:paraId="0EB774D7" w14:textId="77777777" w:rsidR="007D1E74" w:rsidRDefault="00A95641">
            <w:pPr>
              <w:jc w:val="center"/>
              <w:rPr>
                <w:rFonts w:asciiTheme="minorHAnsi" w:hAnsiTheme="minorHAnsi" w:cstheme="minorHAnsi"/>
                <w:szCs w:val="21"/>
              </w:rPr>
            </w:pPr>
            <w:r>
              <w:rPr>
                <w:rFonts w:asciiTheme="minorHAnsi" w:hAnsiTheme="minorHAnsi" w:cstheme="minorHAnsi"/>
                <w:szCs w:val="21"/>
              </w:rPr>
              <w:t>1</w:t>
            </w:r>
          </w:p>
        </w:tc>
        <w:tc>
          <w:tcPr>
            <w:tcW w:w="533" w:type="pct"/>
            <w:vMerge w:val="restart"/>
            <w:shd w:val="clear" w:color="auto" w:fill="auto"/>
            <w:vAlign w:val="center"/>
          </w:tcPr>
          <w:p w14:paraId="2F0A1B7F" w14:textId="77777777" w:rsidR="007D1E74" w:rsidRDefault="00A95641">
            <w:pPr>
              <w:jc w:val="center"/>
              <w:rPr>
                <w:rFonts w:asciiTheme="minorHAnsi" w:hAnsiTheme="minorHAnsi" w:cstheme="minorHAnsi"/>
                <w:szCs w:val="21"/>
              </w:rPr>
            </w:pPr>
            <w:r>
              <w:rPr>
                <w:rFonts w:asciiTheme="minorHAnsi" w:hAnsiTheme="minorHAnsi" w:cstheme="minorHAnsi"/>
                <w:szCs w:val="21"/>
              </w:rPr>
              <w:t>镉</w:t>
            </w:r>
          </w:p>
        </w:tc>
        <w:tc>
          <w:tcPr>
            <w:tcW w:w="611" w:type="pct"/>
            <w:vAlign w:val="center"/>
          </w:tcPr>
          <w:p w14:paraId="31CDA43D" w14:textId="77777777" w:rsidR="007D1E74" w:rsidRDefault="00A95641">
            <w:pPr>
              <w:jc w:val="center"/>
              <w:rPr>
                <w:rFonts w:asciiTheme="minorHAnsi" w:hAnsiTheme="minorHAnsi" w:cstheme="minorHAnsi"/>
                <w:szCs w:val="21"/>
              </w:rPr>
            </w:pPr>
            <w:r>
              <w:rPr>
                <w:rFonts w:asciiTheme="minorHAnsi" w:hAnsiTheme="minorHAnsi" w:cstheme="minorHAnsi"/>
                <w:szCs w:val="21"/>
              </w:rPr>
              <w:t>水田</w:t>
            </w:r>
          </w:p>
        </w:tc>
        <w:tc>
          <w:tcPr>
            <w:tcW w:w="869" w:type="pct"/>
            <w:vAlign w:val="center"/>
          </w:tcPr>
          <w:p w14:paraId="39228E7A" w14:textId="77777777" w:rsidR="007D1E74" w:rsidRDefault="00A95641">
            <w:pPr>
              <w:jc w:val="center"/>
              <w:rPr>
                <w:rFonts w:asciiTheme="minorHAnsi" w:hAnsiTheme="minorHAnsi" w:cstheme="minorHAnsi"/>
                <w:szCs w:val="21"/>
              </w:rPr>
            </w:pPr>
            <w:r>
              <w:rPr>
                <w:rFonts w:asciiTheme="minorHAnsi" w:hAnsiTheme="minorHAnsi" w:cstheme="minorHAnsi"/>
                <w:szCs w:val="21"/>
              </w:rPr>
              <w:t>0.3</w:t>
            </w:r>
          </w:p>
        </w:tc>
        <w:tc>
          <w:tcPr>
            <w:tcW w:w="869" w:type="pct"/>
            <w:vAlign w:val="center"/>
          </w:tcPr>
          <w:p w14:paraId="7DC0C1BF" w14:textId="77777777" w:rsidR="007D1E74" w:rsidRDefault="00A95641">
            <w:pPr>
              <w:jc w:val="center"/>
              <w:rPr>
                <w:rFonts w:asciiTheme="minorHAnsi" w:hAnsiTheme="minorHAnsi" w:cstheme="minorHAnsi"/>
                <w:szCs w:val="21"/>
              </w:rPr>
            </w:pPr>
            <w:r>
              <w:rPr>
                <w:rFonts w:asciiTheme="minorHAnsi" w:hAnsiTheme="minorHAnsi" w:cstheme="minorHAnsi"/>
                <w:szCs w:val="21"/>
              </w:rPr>
              <w:t>0.4</w:t>
            </w:r>
          </w:p>
        </w:tc>
        <w:tc>
          <w:tcPr>
            <w:tcW w:w="869" w:type="pct"/>
            <w:vAlign w:val="center"/>
          </w:tcPr>
          <w:p w14:paraId="66D5BE03" w14:textId="77777777" w:rsidR="007D1E74" w:rsidRDefault="00A95641">
            <w:pPr>
              <w:jc w:val="center"/>
              <w:rPr>
                <w:rFonts w:asciiTheme="minorHAnsi" w:hAnsiTheme="minorHAnsi" w:cstheme="minorHAnsi"/>
                <w:szCs w:val="21"/>
              </w:rPr>
            </w:pPr>
            <w:r>
              <w:rPr>
                <w:rFonts w:asciiTheme="minorHAnsi" w:hAnsiTheme="minorHAnsi" w:cstheme="minorHAnsi"/>
                <w:szCs w:val="21"/>
              </w:rPr>
              <w:t>0.6</w:t>
            </w:r>
          </w:p>
        </w:tc>
        <w:tc>
          <w:tcPr>
            <w:tcW w:w="867" w:type="pct"/>
            <w:vAlign w:val="center"/>
          </w:tcPr>
          <w:p w14:paraId="30E75C39" w14:textId="77777777" w:rsidR="007D1E74" w:rsidRDefault="00A95641">
            <w:pPr>
              <w:jc w:val="center"/>
              <w:rPr>
                <w:rFonts w:asciiTheme="minorHAnsi" w:hAnsiTheme="minorHAnsi" w:cstheme="minorHAnsi"/>
                <w:szCs w:val="21"/>
              </w:rPr>
            </w:pPr>
            <w:r>
              <w:rPr>
                <w:rFonts w:asciiTheme="minorHAnsi" w:hAnsiTheme="minorHAnsi" w:cstheme="minorHAnsi"/>
                <w:szCs w:val="21"/>
              </w:rPr>
              <w:t>0.8</w:t>
            </w:r>
          </w:p>
        </w:tc>
      </w:tr>
      <w:tr w:rsidR="007D1E74" w14:paraId="0E18CE3F" w14:textId="77777777">
        <w:trPr>
          <w:jc w:val="center"/>
        </w:trPr>
        <w:tc>
          <w:tcPr>
            <w:tcW w:w="382" w:type="pct"/>
            <w:vMerge/>
            <w:shd w:val="clear" w:color="auto" w:fill="auto"/>
            <w:vAlign w:val="center"/>
          </w:tcPr>
          <w:p w14:paraId="735BAA2E" w14:textId="77777777" w:rsidR="007D1E74" w:rsidRDefault="007D1E74">
            <w:pPr>
              <w:jc w:val="center"/>
              <w:rPr>
                <w:rFonts w:asciiTheme="minorHAnsi" w:hAnsiTheme="minorHAnsi" w:cstheme="minorHAnsi"/>
                <w:szCs w:val="21"/>
              </w:rPr>
            </w:pPr>
          </w:p>
        </w:tc>
        <w:tc>
          <w:tcPr>
            <w:tcW w:w="533" w:type="pct"/>
            <w:vMerge/>
            <w:shd w:val="clear" w:color="auto" w:fill="auto"/>
            <w:vAlign w:val="center"/>
          </w:tcPr>
          <w:p w14:paraId="1E9CA365" w14:textId="77777777" w:rsidR="007D1E74" w:rsidRDefault="007D1E74">
            <w:pPr>
              <w:jc w:val="center"/>
              <w:rPr>
                <w:rFonts w:asciiTheme="minorHAnsi" w:hAnsiTheme="minorHAnsi" w:cstheme="minorHAnsi"/>
                <w:szCs w:val="21"/>
              </w:rPr>
            </w:pPr>
          </w:p>
        </w:tc>
        <w:tc>
          <w:tcPr>
            <w:tcW w:w="611" w:type="pct"/>
            <w:vAlign w:val="center"/>
          </w:tcPr>
          <w:p w14:paraId="7A3516C1" w14:textId="77777777" w:rsidR="007D1E74" w:rsidRDefault="00A95641">
            <w:pPr>
              <w:jc w:val="center"/>
              <w:rPr>
                <w:rFonts w:asciiTheme="minorHAnsi" w:hAnsiTheme="minorHAnsi" w:cstheme="minorHAnsi"/>
                <w:szCs w:val="21"/>
              </w:rPr>
            </w:pPr>
            <w:r>
              <w:rPr>
                <w:rFonts w:asciiTheme="minorHAnsi" w:hAnsiTheme="minorHAnsi" w:cstheme="minorHAnsi"/>
                <w:szCs w:val="21"/>
              </w:rPr>
              <w:t>其他</w:t>
            </w:r>
          </w:p>
        </w:tc>
        <w:tc>
          <w:tcPr>
            <w:tcW w:w="869" w:type="pct"/>
            <w:vAlign w:val="center"/>
          </w:tcPr>
          <w:p w14:paraId="61B6EBBD" w14:textId="77777777" w:rsidR="007D1E74" w:rsidRDefault="00A95641">
            <w:pPr>
              <w:jc w:val="center"/>
              <w:rPr>
                <w:rFonts w:asciiTheme="minorHAnsi" w:hAnsiTheme="minorHAnsi" w:cstheme="minorHAnsi"/>
                <w:szCs w:val="21"/>
              </w:rPr>
            </w:pPr>
            <w:r>
              <w:rPr>
                <w:rFonts w:asciiTheme="minorHAnsi" w:hAnsiTheme="minorHAnsi" w:cstheme="minorHAnsi"/>
                <w:szCs w:val="21"/>
              </w:rPr>
              <w:t>0.3</w:t>
            </w:r>
          </w:p>
        </w:tc>
        <w:tc>
          <w:tcPr>
            <w:tcW w:w="869" w:type="pct"/>
            <w:vAlign w:val="center"/>
          </w:tcPr>
          <w:p w14:paraId="417E94CA" w14:textId="77777777" w:rsidR="007D1E74" w:rsidRDefault="00A95641">
            <w:pPr>
              <w:jc w:val="center"/>
              <w:rPr>
                <w:rFonts w:asciiTheme="minorHAnsi" w:hAnsiTheme="minorHAnsi" w:cstheme="minorHAnsi"/>
                <w:szCs w:val="21"/>
              </w:rPr>
            </w:pPr>
            <w:r>
              <w:rPr>
                <w:rFonts w:asciiTheme="minorHAnsi" w:hAnsiTheme="minorHAnsi" w:cstheme="minorHAnsi"/>
                <w:szCs w:val="21"/>
              </w:rPr>
              <w:t>0.3</w:t>
            </w:r>
          </w:p>
        </w:tc>
        <w:tc>
          <w:tcPr>
            <w:tcW w:w="869" w:type="pct"/>
            <w:vAlign w:val="center"/>
          </w:tcPr>
          <w:p w14:paraId="301EEF23" w14:textId="77777777" w:rsidR="007D1E74" w:rsidRDefault="00A95641">
            <w:pPr>
              <w:jc w:val="center"/>
              <w:rPr>
                <w:rFonts w:asciiTheme="minorHAnsi" w:hAnsiTheme="minorHAnsi" w:cstheme="minorHAnsi"/>
                <w:szCs w:val="21"/>
              </w:rPr>
            </w:pPr>
            <w:r>
              <w:rPr>
                <w:rFonts w:asciiTheme="minorHAnsi" w:hAnsiTheme="minorHAnsi" w:cstheme="minorHAnsi"/>
                <w:szCs w:val="21"/>
              </w:rPr>
              <w:t>0.3</w:t>
            </w:r>
          </w:p>
        </w:tc>
        <w:tc>
          <w:tcPr>
            <w:tcW w:w="867" w:type="pct"/>
            <w:vAlign w:val="center"/>
          </w:tcPr>
          <w:p w14:paraId="2DC8DED1" w14:textId="77777777" w:rsidR="007D1E74" w:rsidRDefault="00A95641">
            <w:pPr>
              <w:jc w:val="center"/>
              <w:rPr>
                <w:rFonts w:asciiTheme="minorHAnsi" w:hAnsiTheme="minorHAnsi" w:cstheme="minorHAnsi"/>
                <w:szCs w:val="21"/>
              </w:rPr>
            </w:pPr>
            <w:r>
              <w:rPr>
                <w:rFonts w:asciiTheme="minorHAnsi" w:hAnsiTheme="minorHAnsi" w:cstheme="minorHAnsi"/>
                <w:szCs w:val="21"/>
              </w:rPr>
              <w:t>0.6</w:t>
            </w:r>
          </w:p>
        </w:tc>
      </w:tr>
      <w:tr w:rsidR="007D1E74" w14:paraId="6CB9E031" w14:textId="77777777">
        <w:trPr>
          <w:jc w:val="center"/>
        </w:trPr>
        <w:tc>
          <w:tcPr>
            <w:tcW w:w="382" w:type="pct"/>
            <w:vMerge w:val="restart"/>
            <w:shd w:val="clear" w:color="auto" w:fill="auto"/>
            <w:vAlign w:val="center"/>
          </w:tcPr>
          <w:p w14:paraId="68AD03F3" w14:textId="77777777" w:rsidR="007D1E74" w:rsidRDefault="00A95641">
            <w:pPr>
              <w:jc w:val="center"/>
              <w:rPr>
                <w:rFonts w:asciiTheme="minorHAnsi" w:hAnsiTheme="minorHAnsi" w:cstheme="minorHAnsi"/>
                <w:szCs w:val="21"/>
              </w:rPr>
            </w:pPr>
            <w:r>
              <w:rPr>
                <w:rFonts w:asciiTheme="minorHAnsi" w:hAnsiTheme="minorHAnsi" w:cstheme="minorHAnsi"/>
                <w:szCs w:val="21"/>
              </w:rPr>
              <w:t>2</w:t>
            </w:r>
          </w:p>
        </w:tc>
        <w:tc>
          <w:tcPr>
            <w:tcW w:w="533" w:type="pct"/>
            <w:vMerge w:val="restart"/>
            <w:shd w:val="clear" w:color="auto" w:fill="auto"/>
            <w:vAlign w:val="center"/>
          </w:tcPr>
          <w:p w14:paraId="507D82E7" w14:textId="77777777" w:rsidR="007D1E74" w:rsidRDefault="00A95641">
            <w:pPr>
              <w:jc w:val="center"/>
              <w:rPr>
                <w:rFonts w:asciiTheme="minorHAnsi" w:hAnsiTheme="minorHAnsi" w:cstheme="minorHAnsi"/>
                <w:szCs w:val="21"/>
              </w:rPr>
            </w:pPr>
            <w:r>
              <w:rPr>
                <w:rFonts w:asciiTheme="minorHAnsi" w:hAnsiTheme="minorHAnsi" w:cstheme="minorHAnsi"/>
                <w:szCs w:val="21"/>
              </w:rPr>
              <w:t>汞</w:t>
            </w:r>
          </w:p>
        </w:tc>
        <w:tc>
          <w:tcPr>
            <w:tcW w:w="611" w:type="pct"/>
            <w:vAlign w:val="center"/>
          </w:tcPr>
          <w:p w14:paraId="7A13BAE5" w14:textId="77777777" w:rsidR="007D1E74" w:rsidRDefault="00A95641">
            <w:pPr>
              <w:jc w:val="center"/>
              <w:rPr>
                <w:rFonts w:asciiTheme="minorHAnsi" w:hAnsiTheme="minorHAnsi" w:cstheme="minorHAnsi"/>
                <w:szCs w:val="21"/>
              </w:rPr>
            </w:pPr>
            <w:r>
              <w:rPr>
                <w:rFonts w:asciiTheme="minorHAnsi" w:hAnsiTheme="minorHAnsi" w:cstheme="minorHAnsi"/>
                <w:szCs w:val="21"/>
              </w:rPr>
              <w:t>水田</w:t>
            </w:r>
          </w:p>
        </w:tc>
        <w:tc>
          <w:tcPr>
            <w:tcW w:w="869" w:type="pct"/>
            <w:vAlign w:val="center"/>
          </w:tcPr>
          <w:p w14:paraId="61F5E15E" w14:textId="77777777" w:rsidR="007D1E74" w:rsidRDefault="00A95641">
            <w:pPr>
              <w:jc w:val="center"/>
              <w:rPr>
                <w:rFonts w:asciiTheme="minorHAnsi" w:hAnsiTheme="minorHAnsi" w:cstheme="minorHAnsi"/>
                <w:szCs w:val="21"/>
              </w:rPr>
            </w:pPr>
            <w:r>
              <w:rPr>
                <w:rFonts w:asciiTheme="minorHAnsi" w:hAnsiTheme="minorHAnsi" w:cstheme="minorHAnsi"/>
                <w:szCs w:val="21"/>
              </w:rPr>
              <w:t>0.5</w:t>
            </w:r>
          </w:p>
        </w:tc>
        <w:tc>
          <w:tcPr>
            <w:tcW w:w="869" w:type="pct"/>
            <w:vAlign w:val="center"/>
          </w:tcPr>
          <w:p w14:paraId="30D3CEDB" w14:textId="77777777" w:rsidR="007D1E74" w:rsidRDefault="00A95641">
            <w:pPr>
              <w:jc w:val="center"/>
              <w:rPr>
                <w:rFonts w:asciiTheme="minorHAnsi" w:hAnsiTheme="minorHAnsi" w:cstheme="minorHAnsi"/>
                <w:szCs w:val="21"/>
              </w:rPr>
            </w:pPr>
            <w:r>
              <w:rPr>
                <w:rFonts w:asciiTheme="minorHAnsi" w:hAnsiTheme="minorHAnsi" w:cstheme="minorHAnsi"/>
                <w:szCs w:val="21"/>
              </w:rPr>
              <w:t>0.5</w:t>
            </w:r>
          </w:p>
        </w:tc>
        <w:tc>
          <w:tcPr>
            <w:tcW w:w="869" w:type="pct"/>
            <w:vAlign w:val="center"/>
          </w:tcPr>
          <w:p w14:paraId="48B37D20" w14:textId="77777777" w:rsidR="007D1E74" w:rsidRDefault="00A95641">
            <w:pPr>
              <w:jc w:val="center"/>
              <w:rPr>
                <w:rFonts w:asciiTheme="minorHAnsi" w:hAnsiTheme="minorHAnsi" w:cstheme="minorHAnsi"/>
                <w:szCs w:val="21"/>
              </w:rPr>
            </w:pPr>
            <w:r>
              <w:rPr>
                <w:rFonts w:asciiTheme="minorHAnsi" w:hAnsiTheme="minorHAnsi" w:cstheme="minorHAnsi"/>
                <w:szCs w:val="21"/>
              </w:rPr>
              <w:t>0.6</w:t>
            </w:r>
          </w:p>
        </w:tc>
        <w:tc>
          <w:tcPr>
            <w:tcW w:w="867" w:type="pct"/>
            <w:vAlign w:val="center"/>
          </w:tcPr>
          <w:p w14:paraId="28D41F1A" w14:textId="77777777" w:rsidR="007D1E74" w:rsidRDefault="00A95641">
            <w:pPr>
              <w:jc w:val="center"/>
              <w:rPr>
                <w:rFonts w:asciiTheme="minorHAnsi" w:hAnsiTheme="minorHAnsi" w:cstheme="minorHAnsi"/>
                <w:szCs w:val="21"/>
              </w:rPr>
            </w:pPr>
            <w:r>
              <w:rPr>
                <w:rFonts w:asciiTheme="minorHAnsi" w:hAnsiTheme="minorHAnsi" w:cstheme="minorHAnsi"/>
                <w:szCs w:val="21"/>
              </w:rPr>
              <w:t>1.0</w:t>
            </w:r>
          </w:p>
        </w:tc>
      </w:tr>
      <w:tr w:rsidR="007D1E74" w14:paraId="114D1E7B" w14:textId="77777777">
        <w:trPr>
          <w:jc w:val="center"/>
        </w:trPr>
        <w:tc>
          <w:tcPr>
            <w:tcW w:w="382" w:type="pct"/>
            <w:vMerge/>
            <w:shd w:val="clear" w:color="auto" w:fill="auto"/>
            <w:vAlign w:val="center"/>
          </w:tcPr>
          <w:p w14:paraId="31DA9709" w14:textId="77777777" w:rsidR="007D1E74" w:rsidRDefault="007D1E74">
            <w:pPr>
              <w:jc w:val="center"/>
              <w:rPr>
                <w:rFonts w:asciiTheme="minorHAnsi" w:hAnsiTheme="minorHAnsi" w:cstheme="minorHAnsi"/>
                <w:szCs w:val="21"/>
              </w:rPr>
            </w:pPr>
          </w:p>
        </w:tc>
        <w:tc>
          <w:tcPr>
            <w:tcW w:w="533" w:type="pct"/>
            <w:vMerge/>
            <w:shd w:val="clear" w:color="auto" w:fill="auto"/>
            <w:vAlign w:val="center"/>
          </w:tcPr>
          <w:p w14:paraId="29E10904" w14:textId="77777777" w:rsidR="007D1E74" w:rsidRDefault="007D1E74">
            <w:pPr>
              <w:jc w:val="center"/>
              <w:rPr>
                <w:rFonts w:asciiTheme="minorHAnsi" w:hAnsiTheme="minorHAnsi" w:cstheme="minorHAnsi"/>
                <w:szCs w:val="21"/>
              </w:rPr>
            </w:pPr>
          </w:p>
        </w:tc>
        <w:tc>
          <w:tcPr>
            <w:tcW w:w="611" w:type="pct"/>
            <w:vAlign w:val="center"/>
          </w:tcPr>
          <w:p w14:paraId="3923A2A3" w14:textId="77777777" w:rsidR="007D1E74" w:rsidRDefault="00A95641">
            <w:pPr>
              <w:jc w:val="center"/>
              <w:rPr>
                <w:rFonts w:asciiTheme="minorHAnsi" w:hAnsiTheme="minorHAnsi" w:cstheme="minorHAnsi"/>
                <w:szCs w:val="21"/>
              </w:rPr>
            </w:pPr>
            <w:r>
              <w:rPr>
                <w:rFonts w:asciiTheme="minorHAnsi" w:hAnsiTheme="minorHAnsi" w:cstheme="minorHAnsi"/>
                <w:szCs w:val="21"/>
              </w:rPr>
              <w:t>其他</w:t>
            </w:r>
          </w:p>
        </w:tc>
        <w:tc>
          <w:tcPr>
            <w:tcW w:w="869" w:type="pct"/>
            <w:vAlign w:val="center"/>
          </w:tcPr>
          <w:p w14:paraId="27232C4C" w14:textId="77777777" w:rsidR="007D1E74" w:rsidRDefault="00A95641">
            <w:pPr>
              <w:jc w:val="center"/>
              <w:rPr>
                <w:rFonts w:asciiTheme="minorHAnsi" w:hAnsiTheme="minorHAnsi" w:cstheme="minorHAnsi"/>
                <w:szCs w:val="21"/>
              </w:rPr>
            </w:pPr>
            <w:r>
              <w:rPr>
                <w:rFonts w:asciiTheme="minorHAnsi" w:hAnsiTheme="minorHAnsi" w:cstheme="minorHAnsi"/>
                <w:szCs w:val="21"/>
              </w:rPr>
              <w:t>1.3</w:t>
            </w:r>
          </w:p>
        </w:tc>
        <w:tc>
          <w:tcPr>
            <w:tcW w:w="869" w:type="pct"/>
            <w:vAlign w:val="center"/>
          </w:tcPr>
          <w:p w14:paraId="0B67145D" w14:textId="77777777" w:rsidR="007D1E74" w:rsidRDefault="00A95641">
            <w:pPr>
              <w:jc w:val="center"/>
              <w:rPr>
                <w:rFonts w:asciiTheme="minorHAnsi" w:hAnsiTheme="minorHAnsi" w:cstheme="minorHAnsi"/>
                <w:szCs w:val="21"/>
              </w:rPr>
            </w:pPr>
            <w:r>
              <w:rPr>
                <w:rFonts w:asciiTheme="minorHAnsi" w:hAnsiTheme="minorHAnsi" w:cstheme="minorHAnsi"/>
                <w:szCs w:val="21"/>
              </w:rPr>
              <w:t>1.8</w:t>
            </w:r>
          </w:p>
        </w:tc>
        <w:tc>
          <w:tcPr>
            <w:tcW w:w="869" w:type="pct"/>
            <w:vAlign w:val="center"/>
          </w:tcPr>
          <w:p w14:paraId="0C84E278" w14:textId="77777777" w:rsidR="007D1E74" w:rsidRDefault="00A95641">
            <w:pPr>
              <w:jc w:val="center"/>
              <w:rPr>
                <w:rFonts w:asciiTheme="minorHAnsi" w:hAnsiTheme="minorHAnsi" w:cstheme="minorHAnsi"/>
                <w:szCs w:val="21"/>
              </w:rPr>
            </w:pPr>
            <w:r>
              <w:rPr>
                <w:rFonts w:asciiTheme="minorHAnsi" w:hAnsiTheme="minorHAnsi" w:cstheme="minorHAnsi"/>
                <w:szCs w:val="21"/>
              </w:rPr>
              <w:t>2.4</w:t>
            </w:r>
          </w:p>
        </w:tc>
        <w:tc>
          <w:tcPr>
            <w:tcW w:w="867" w:type="pct"/>
            <w:vAlign w:val="center"/>
          </w:tcPr>
          <w:p w14:paraId="60F0CF49" w14:textId="77777777" w:rsidR="007D1E74" w:rsidRDefault="00A95641">
            <w:pPr>
              <w:jc w:val="center"/>
              <w:rPr>
                <w:rFonts w:asciiTheme="minorHAnsi" w:hAnsiTheme="minorHAnsi" w:cstheme="minorHAnsi"/>
                <w:szCs w:val="21"/>
              </w:rPr>
            </w:pPr>
            <w:r>
              <w:rPr>
                <w:rFonts w:asciiTheme="minorHAnsi" w:hAnsiTheme="minorHAnsi" w:cstheme="minorHAnsi"/>
                <w:szCs w:val="21"/>
              </w:rPr>
              <w:t>3.4</w:t>
            </w:r>
          </w:p>
        </w:tc>
      </w:tr>
      <w:tr w:rsidR="007D1E74" w14:paraId="1BE10C89" w14:textId="77777777">
        <w:trPr>
          <w:trHeight w:val="155"/>
          <w:jc w:val="center"/>
        </w:trPr>
        <w:tc>
          <w:tcPr>
            <w:tcW w:w="382" w:type="pct"/>
            <w:vMerge w:val="restart"/>
            <w:shd w:val="clear" w:color="auto" w:fill="auto"/>
            <w:vAlign w:val="center"/>
          </w:tcPr>
          <w:p w14:paraId="56970AEE" w14:textId="77777777" w:rsidR="007D1E74" w:rsidRDefault="00A95641">
            <w:pPr>
              <w:jc w:val="center"/>
              <w:rPr>
                <w:rFonts w:asciiTheme="minorHAnsi" w:hAnsiTheme="minorHAnsi" w:cstheme="minorHAnsi"/>
                <w:szCs w:val="21"/>
              </w:rPr>
            </w:pPr>
            <w:r>
              <w:rPr>
                <w:rFonts w:asciiTheme="minorHAnsi" w:hAnsiTheme="minorHAnsi" w:cstheme="minorHAnsi"/>
                <w:szCs w:val="21"/>
              </w:rPr>
              <w:t>3</w:t>
            </w:r>
          </w:p>
        </w:tc>
        <w:tc>
          <w:tcPr>
            <w:tcW w:w="533" w:type="pct"/>
            <w:vMerge w:val="restart"/>
            <w:shd w:val="clear" w:color="auto" w:fill="auto"/>
            <w:vAlign w:val="center"/>
          </w:tcPr>
          <w:p w14:paraId="7B8B39C7" w14:textId="77777777" w:rsidR="007D1E74" w:rsidRDefault="00A95641">
            <w:pPr>
              <w:jc w:val="center"/>
              <w:rPr>
                <w:rFonts w:asciiTheme="minorHAnsi" w:hAnsiTheme="minorHAnsi" w:cstheme="minorHAnsi"/>
                <w:szCs w:val="21"/>
              </w:rPr>
            </w:pPr>
            <w:r>
              <w:rPr>
                <w:rFonts w:asciiTheme="minorHAnsi" w:hAnsiTheme="minorHAnsi" w:cstheme="minorHAnsi"/>
                <w:szCs w:val="21"/>
              </w:rPr>
              <w:t>砷</w:t>
            </w:r>
          </w:p>
        </w:tc>
        <w:tc>
          <w:tcPr>
            <w:tcW w:w="611" w:type="pct"/>
            <w:vAlign w:val="center"/>
          </w:tcPr>
          <w:p w14:paraId="27348806" w14:textId="77777777" w:rsidR="007D1E74" w:rsidRDefault="00A95641">
            <w:pPr>
              <w:jc w:val="center"/>
              <w:rPr>
                <w:rFonts w:asciiTheme="minorHAnsi" w:hAnsiTheme="minorHAnsi" w:cstheme="minorHAnsi"/>
                <w:szCs w:val="21"/>
              </w:rPr>
            </w:pPr>
            <w:r>
              <w:rPr>
                <w:rFonts w:asciiTheme="minorHAnsi" w:hAnsiTheme="minorHAnsi" w:cstheme="minorHAnsi"/>
                <w:szCs w:val="21"/>
              </w:rPr>
              <w:t>水田</w:t>
            </w:r>
          </w:p>
        </w:tc>
        <w:tc>
          <w:tcPr>
            <w:tcW w:w="869" w:type="pct"/>
            <w:vAlign w:val="center"/>
          </w:tcPr>
          <w:p w14:paraId="2553040E" w14:textId="77777777" w:rsidR="007D1E74" w:rsidRDefault="00A95641">
            <w:pPr>
              <w:jc w:val="center"/>
              <w:rPr>
                <w:rFonts w:asciiTheme="minorHAnsi" w:hAnsiTheme="minorHAnsi" w:cstheme="minorHAnsi"/>
                <w:szCs w:val="21"/>
              </w:rPr>
            </w:pPr>
            <w:r>
              <w:rPr>
                <w:rFonts w:asciiTheme="minorHAnsi" w:hAnsiTheme="minorHAnsi" w:cstheme="minorHAnsi"/>
                <w:szCs w:val="21"/>
              </w:rPr>
              <w:t>30</w:t>
            </w:r>
          </w:p>
        </w:tc>
        <w:tc>
          <w:tcPr>
            <w:tcW w:w="869" w:type="pct"/>
            <w:vAlign w:val="center"/>
          </w:tcPr>
          <w:p w14:paraId="7CCF5790" w14:textId="77777777" w:rsidR="007D1E74" w:rsidRDefault="00A95641">
            <w:pPr>
              <w:jc w:val="center"/>
              <w:rPr>
                <w:rFonts w:asciiTheme="minorHAnsi" w:hAnsiTheme="minorHAnsi" w:cstheme="minorHAnsi"/>
                <w:szCs w:val="21"/>
              </w:rPr>
            </w:pPr>
            <w:r>
              <w:rPr>
                <w:rFonts w:asciiTheme="minorHAnsi" w:hAnsiTheme="minorHAnsi" w:cstheme="minorHAnsi"/>
                <w:szCs w:val="21"/>
              </w:rPr>
              <w:t>30</w:t>
            </w:r>
          </w:p>
        </w:tc>
        <w:tc>
          <w:tcPr>
            <w:tcW w:w="869" w:type="pct"/>
            <w:vAlign w:val="center"/>
          </w:tcPr>
          <w:p w14:paraId="395F1E48" w14:textId="77777777" w:rsidR="007D1E74" w:rsidRDefault="00A95641">
            <w:pPr>
              <w:jc w:val="center"/>
              <w:rPr>
                <w:rFonts w:asciiTheme="minorHAnsi" w:hAnsiTheme="minorHAnsi" w:cstheme="minorHAnsi"/>
                <w:szCs w:val="21"/>
              </w:rPr>
            </w:pPr>
            <w:r>
              <w:rPr>
                <w:rFonts w:asciiTheme="minorHAnsi" w:hAnsiTheme="minorHAnsi" w:cstheme="minorHAnsi"/>
                <w:szCs w:val="21"/>
              </w:rPr>
              <w:t>25</w:t>
            </w:r>
          </w:p>
        </w:tc>
        <w:tc>
          <w:tcPr>
            <w:tcW w:w="867" w:type="pct"/>
            <w:vAlign w:val="center"/>
          </w:tcPr>
          <w:p w14:paraId="11198A73" w14:textId="77777777" w:rsidR="007D1E74" w:rsidRDefault="00A95641">
            <w:pPr>
              <w:jc w:val="center"/>
              <w:rPr>
                <w:rFonts w:asciiTheme="minorHAnsi" w:hAnsiTheme="minorHAnsi" w:cstheme="minorHAnsi"/>
                <w:szCs w:val="21"/>
              </w:rPr>
            </w:pPr>
            <w:r>
              <w:rPr>
                <w:rFonts w:asciiTheme="minorHAnsi" w:hAnsiTheme="minorHAnsi" w:cstheme="minorHAnsi"/>
                <w:szCs w:val="21"/>
              </w:rPr>
              <w:t>20</w:t>
            </w:r>
          </w:p>
        </w:tc>
      </w:tr>
      <w:tr w:rsidR="007D1E74" w14:paraId="3CE1E90A" w14:textId="77777777">
        <w:trPr>
          <w:jc w:val="center"/>
        </w:trPr>
        <w:tc>
          <w:tcPr>
            <w:tcW w:w="382" w:type="pct"/>
            <w:vMerge/>
            <w:shd w:val="clear" w:color="auto" w:fill="auto"/>
            <w:vAlign w:val="center"/>
          </w:tcPr>
          <w:p w14:paraId="23AAA46F" w14:textId="77777777" w:rsidR="007D1E74" w:rsidRDefault="007D1E74">
            <w:pPr>
              <w:jc w:val="center"/>
              <w:rPr>
                <w:rFonts w:asciiTheme="minorHAnsi" w:hAnsiTheme="minorHAnsi" w:cstheme="minorHAnsi"/>
                <w:szCs w:val="21"/>
              </w:rPr>
            </w:pPr>
          </w:p>
        </w:tc>
        <w:tc>
          <w:tcPr>
            <w:tcW w:w="533" w:type="pct"/>
            <w:vMerge/>
            <w:shd w:val="clear" w:color="auto" w:fill="auto"/>
            <w:vAlign w:val="center"/>
          </w:tcPr>
          <w:p w14:paraId="647306CC" w14:textId="77777777" w:rsidR="007D1E74" w:rsidRDefault="007D1E74">
            <w:pPr>
              <w:jc w:val="center"/>
              <w:rPr>
                <w:rFonts w:asciiTheme="minorHAnsi" w:hAnsiTheme="minorHAnsi" w:cstheme="minorHAnsi"/>
                <w:szCs w:val="21"/>
              </w:rPr>
            </w:pPr>
          </w:p>
        </w:tc>
        <w:tc>
          <w:tcPr>
            <w:tcW w:w="611" w:type="pct"/>
            <w:vAlign w:val="center"/>
          </w:tcPr>
          <w:p w14:paraId="2BD89D19" w14:textId="77777777" w:rsidR="007D1E74" w:rsidRDefault="00A95641">
            <w:pPr>
              <w:jc w:val="center"/>
              <w:rPr>
                <w:rFonts w:asciiTheme="minorHAnsi" w:hAnsiTheme="minorHAnsi" w:cstheme="minorHAnsi"/>
                <w:szCs w:val="21"/>
              </w:rPr>
            </w:pPr>
            <w:r>
              <w:rPr>
                <w:rFonts w:asciiTheme="minorHAnsi" w:hAnsiTheme="minorHAnsi" w:cstheme="minorHAnsi"/>
                <w:szCs w:val="21"/>
              </w:rPr>
              <w:t>其他</w:t>
            </w:r>
          </w:p>
        </w:tc>
        <w:tc>
          <w:tcPr>
            <w:tcW w:w="869" w:type="pct"/>
            <w:vAlign w:val="center"/>
          </w:tcPr>
          <w:p w14:paraId="300F8B85" w14:textId="77777777" w:rsidR="007D1E74" w:rsidRDefault="00A95641">
            <w:pPr>
              <w:jc w:val="center"/>
              <w:rPr>
                <w:rFonts w:asciiTheme="minorHAnsi" w:hAnsiTheme="minorHAnsi" w:cstheme="minorHAnsi"/>
                <w:szCs w:val="21"/>
              </w:rPr>
            </w:pPr>
            <w:r>
              <w:rPr>
                <w:rFonts w:asciiTheme="minorHAnsi" w:hAnsiTheme="minorHAnsi" w:cstheme="minorHAnsi"/>
                <w:szCs w:val="21"/>
              </w:rPr>
              <w:t>40</w:t>
            </w:r>
          </w:p>
        </w:tc>
        <w:tc>
          <w:tcPr>
            <w:tcW w:w="869" w:type="pct"/>
            <w:vAlign w:val="center"/>
          </w:tcPr>
          <w:p w14:paraId="5F683313" w14:textId="77777777" w:rsidR="007D1E74" w:rsidRDefault="00A95641">
            <w:pPr>
              <w:jc w:val="center"/>
              <w:rPr>
                <w:rFonts w:asciiTheme="minorHAnsi" w:hAnsiTheme="minorHAnsi" w:cstheme="minorHAnsi"/>
                <w:szCs w:val="21"/>
              </w:rPr>
            </w:pPr>
            <w:r>
              <w:rPr>
                <w:rFonts w:asciiTheme="minorHAnsi" w:hAnsiTheme="minorHAnsi" w:cstheme="minorHAnsi"/>
                <w:szCs w:val="21"/>
              </w:rPr>
              <w:t>40</w:t>
            </w:r>
          </w:p>
        </w:tc>
        <w:tc>
          <w:tcPr>
            <w:tcW w:w="869" w:type="pct"/>
            <w:vAlign w:val="center"/>
          </w:tcPr>
          <w:p w14:paraId="3B7C3DDD" w14:textId="77777777" w:rsidR="007D1E74" w:rsidRDefault="00A95641">
            <w:pPr>
              <w:jc w:val="center"/>
              <w:rPr>
                <w:rFonts w:asciiTheme="minorHAnsi" w:hAnsiTheme="minorHAnsi" w:cstheme="minorHAnsi"/>
                <w:szCs w:val="21"/>
              </w:rPr>
            </w:pPr>
            <w:r>
              <w:rPr>
                <w:rFonts w:asciiTheme="minorHAnsi" w:hAnsiTheme="minorHAnsi" w:cstheme="minorHAnsi"/>
                <w:szCs w:val="21"/>
              </w:rPr>
              <w:t>30</w:t>
            </w:r>
          </w:p>
        </w:tc>
        <w:tc>
          <w:tcPr>
            <w:tcW w:w="867" w:type="pct"/>
            <w:vAlign w:val="center"/>
          </w:tcPr>
          <w:p w14:paraId="285E1896" w14:textId="77777777" w:rsidR="007D1E74" w:rsidRDefault="00A95641">
            <w:pPr>
              <w:jc w:val="center"/>
              <w:rPr>
                <w:rFonts w:asciiTheme="minorHAnsi" w:hAnsiTheme="minorHAnsi" w:cstheme="minorHAnsi"/>
                <w:szCs w:val="21"/>
              </w:rPr>
            </w:pPr>
            <w:r>
              <w:rPr>
                <w:rFonts w:asciiTheme="minorHAnsi" w:hAnsiTheme="minorHAnsi" w:cstheme="minorHAnsi"/>
                <w:szCs w:val="21"/>
              </w:rPr>
              <w:t>25</w:t>
            </w:r>
          </w:p>
        </w:tc>
      </w:tr>
      <w:tr w:rsidR="007D1E74" w14:paraId="3AE22A58" w14:textId="77777777">
        <w:trPr>
          <w:jc w:val="center"/>
        </w:trPr>
        <w:tc>
          <w:tcPr>
            <w:tcW w:w="382" w:type="pct"/>
            <w:vMerge w:val="restart"/>
            <w:shd w:val="clear" w:color="auto" w:fill="auto"/>
            <w:vAlign w:val="center"/>
          </w:tcPr>
          <w:p w14:paraId="41B60777" w14:textId="77777777" w:rsidR="007D1E74" w:rsidRDefault="00A95641">
            <w:pPr>
              <w:jc w:val="center"/>
              <w:rPr>
                <w:rFonts w:asciiTheme="minorHAnsi" w:hAnsiTheme="minorHAnsi" w:cstheme="minorHAnsi"/>
                <w:szCs w:val="21"/>
              </w:rPr>
            </w:pPr>
            <w:r>
              <w:rPr>
                <w:rFonts w:asciiTheme="minorHAnsi" w:hAnsiTheme="minorHAnsi" w:cstheme="minorHAnsi"/>
                <w:szCs w:val="21"/>
              </w:rPr>
              <w:t>4</w:t>
            </w:r>
          </w:p>
        </w:tc>
        <w:tc>
          <w:tcPr>
            <w:tcW w:w="533" w:type="pct"/>
            <w:vMerge w:val="restart"/>
            <w:shd w:val="clear" w:color="auto" w:fill="auto"/>
            <w:vAlign w:val="center"/>
          </w:tcPr>
          <w:p w14:paraId="7F492A1B" w14:textId="77777777" w:rsidR="007D1E74" w:rsidRDefault="00A95641">
            <w:pPr>
              <w:jc w:val="center"/>
              <w:rPr>
                <w:rFonts w:asciiTheme="minorHAnsi" w:hAnsiTheme="minorHAnsi" w:cstheme="minorHAnsi"/>
                <w:szCs w:val="21"/>
              </w:rPr>
            </w:pPr>
            <w:r>
              <w:rPr>
                <w:rFonts w:asciiTheme="minorHAnsi" w:hAnsiTheme="minorHAnsi" w:cstheme="minorHAnsi"/>
                <w:szCs w:val="21"/>
              </w:rPr>
              <w:t>铅</w:t>
            </w:r>
          </w:p>
        </w:tc>
        <w:tc>
          <w:tcPr>
            <w:tcW w:w="611" w:type="pct"/>
            <w:vAlign w:val="center"/>
          </w:tcPr>
          <w:p w14:paraId="34E151C2" w14:textId="77777777" w:rsidR="007D1E74" w:rsidRDefault="00A95641">
            <w:pPr>
              <w:jc w:val="center"/>
              <w:rPr>
                <w:rFonts w:asciiTheme="minorHAnsi" w:hAnsiTheme="minorHAnsi" w:cstheme="minorHAnsi"/>
                <w:szCs w:val="21"/>
              </w:rPr>
            </w:pPr>
            <w:r>
              <w:rPr>
                <w:rFonts w:asciiTheme="minorHAnsi" w:hAnsiTheme="minorHAnsi" w:cstheme="minorHAnsi"/>
                <w:szCs w:val="21"/>
              </w:rPr>
              <w:t>水田</w:t>
            </w:r>
          </w:p>
        </w:tc>
        <w:tc>
          <w:tcPr>
            <w:tcW w:w="869" w:type="pct"/>
            <w:vAlign w:val="center"/>
          </w:tcPr>
          <w:p w14:paraId="430A545F" w14:textId="77777777" w:rsidR="007D1E74" w:rsidRDefault="00A95641">
            <w:pPr>
              <w:jc w:val="center"/>
              <w:rPr>
                <w:rFonts w:asciiTheme="minorHAnsi" w:hAnsiTheme="minorHAnsi" w:cstheme="minorHAnsi"/>
                <w:szCs w:val="21"/>
              </w:rPr>
            </w:pPr>
            <w:r>
              <w:rPr>
                <w:rFonts w:asciiTheme="minorHAnsi" w:hAnsiTheme="minorHAnsi" w:cstheme="minorHAnsi"/>
                <w:szCs w:val="21"/>
              </w:rPr>
              <w:t>80</w:t>
            </w:r>
          </w:p>
        </w:tc>
        <w:tc>
          <w:tcPr>
            <w:tcW w:w="869" w:type="pct"/>
            <w:vAlign w:val="center"/>
          </w:tcPr>
          <w:p w14:paraId="7E5392A1" w14:textId="77777777" w:rsidR="007D1E74" w:rsidRDefault="00A95641">
            <w:pPr>
              <w:jc w:val="center"/>
              <w:rPr>
                <w:rFonts w:asciiTheme="minorHAnsi" w:hAnsiTheme="minorHAnsi" w:cstheme="minorHAnsi"/>
                <w:szCs w:val="21"/>
              </w:rPr>
            </w:pPr>
            <w:r>
              <w:rPr>
                <w:rFonts w:asciiTheme="minorHAnsi" w:hAnsiTheme="minorHAnsi" w:cstheme="minorHAnsi"/>
                <w:szCs w:val="21"/>
              </w:rPr>
              <w:t>100</w:t>
            </w:r>
          </w:p>
        </w:tc>
        <w:tc>
          <w:tcPr>
            <w:tcW w:w="869" w:type="pct"/>
            <w:vAlign w:val="center"/>
          </w:tcPr>
          <w:p w14:paraId="672D2DB0" w14:textId="77777777" w:rsidR="007D1E74" w:rsidRDefault="00A95641">
            <w:pPr>
              <w:jc w:val="center"/>
              <w:rPr>
                <w:rFonts w:asciiTheme="minorHAnsi" w:hAnsiTheme="minorHAnsi" w:cstheme="minorHAnsi"/>
                <w:szCs w:val="21"/>
              </w:rPr>
            </w:pPr>
            <w:r>
              <w:rPr>
                <w:rFonts w:asciiTheme="minorHAnsi" w:hAnsiTheme="minorHAnsi" w:cstheme="minorHAnsi"/>
                <w:szCs w:val="21"/>
              </w:rPr>
              <w:t>140</w:t>
            </w:r>
          </w:p>
        </w:tc>
        <w:tc>
          <w:tcPr>
            <w:tcW w:w="867" w:type="pct"/>
            <w:vAlign w:val="center"/>
          </w:tcPr>
          <w:p w14:paraId="4B3E94E0" w14:textId="77777777" w:rsidR="007D1E74" w:rsidRDefault="00A95641">
            <w:pPr>
              <w:jc w:val="center"/>
              <w:rPr>
                <w:rFonts w:asciiTheme="minorHAnsi" w:hAnsiTheme="minorHAnsi" w:cstheme="minorHAnsi"/>
                <w:szCs w:val="21"/>
              </w:rPr>
            </w:pPr>
            <w:r>
              <w:rPr>
                <w:rFonts w:asciiTheme="minorHAnsi" w:hAnsiTheme="minorHAnsi" w:cstheme="minorHAnsi"/>
                <w:szCs w:val="21"/>
              </w:rPr>
              <w:t>240</w:t>
            </w:r>
          </w:p>
        </w:tc>
      </w:tr>
      <w:tr w:rsidR="007D1E74" w14:paraId="31A98528" w14:textId="77777777">
        <w:trPr>
          <w:jc w:val="center"/>
        </w:trPr>
        <w:tc>
          <w:tcPr>
            <w:tcW w:w="382" w:type="pct"/>
            <w:vMerge/>
            <w:shd w:val="clear" w:color="auto" w:fill="auto"/>
            <w:vAlign w:val="center"/>
          </w:tcPr>
          <w:p w14:paraId="117F4B10" w14:textId="77777777" w:rsidR="007D1E74" w:rsidRDefault="007D1E74">
            <w:pPr>
              <w:jc w:val="center"/>
              <w:rPr>
                <w:rFonts w:asciiTheme="minorHAnsi" w:hAnsiTheme="minorHAnsi" w:cstheme="minorHAnsi"/>
                <w:szCs w:val="21"/>
              </w:rPr>
            </w:pPr>
          </w:p>
        </w:tc>
        <w:tc>
          <w:tcPr>
            <w:tcW w:w="533" w:type="pct"/>
            <w:vMerge/>
            <w:shd w:val="clear" w:color="auto" w:fill="auto"/>
            <w:vAlign w:val="center"/>
          </w:tcPr>
          <w:p w14:paraId="5B6F572A" w14:textId="77777777" w:rsidR="007D1E74" w:rsidRDefault="007D1E74">
            <w:pPr>
              <w:jc w:val="center"/>
              <w:rPr>
                <w:rFonts w:asciiTheme="minorHAnsi" w:hAnsiTheme="minorHAnsi" w:cstheme="minorHAnsi"/>
                <w:szCs w:val="21"/>
              </w:rPr>
            </w:pPr>
          </w:p>
        </w:tc>
        <w:tc>
          <w:tcPr>
            <w:tcW w:w="611" w:type="pct"/>
            <w:vAlign w:val="center"/>
          </w:tcPr>
          <w:p w14:paraId="596FC27E" w14:textId="77777777" w:rsidR="007D1E74" w:rsidRDefault="00A95641">
            <w:pPr>
              <w:jc w:val="center"/>
              <w:rPr>
                <w:rFonts w:asciiTheme="minorHAnsi" w:hAnsiTheme="minorHAnsi" w:cstheme="minorHAnsi"/>
                <w:szCs w:val="21"/>
              </w:rPr>
            </w:pPr>
            <w:r>
              <w:rPr>
                <w:rFonts w:asciiTheme="minorHAnsi" w:hAnsiTheme="minorHAnsi" w:cstheme="minorHAnsi"/>
                <w:szCs w:val="21"/>
              </w:rPr>
              <w:t>其他</w:t>
            </w:r>
          </w:p>
        </w:tc>
        <w:tc>
          <w:tcPr>
            <w:tcW w:w="869" w:type="pct"/>
            <w:vAlign w:val="center"/>
          </w:tcPr>
          <w:p w14:paraId="2F854C9E" w14:textId="77777777" w:rsidR="007D1E74" w:rsidRDefault="00A95641">
            <w:pPr>
              <w:jc w:val="center"/>
              <w:rPr>
                <w:rFonts w:asciiTheme="minorHAnsi" w:hAnsiTheme="minorHAnsi" w:cstheme="minorHAnsi"/>
                <w:szCs w:val="21"/>
              </w:rPr>
            </w:pPr>
            <w:r>
              <w:rPr>
                <w:rFonts w:asciiTheme="minorHAnsi" w:hAnsiTheme="minorHAnsi" w:cstheme="minorHAnsi"/>
                <w:szCs w:val="21"/>
              </w:rPr>
              <w:t>70</w:t>
            </w:r>
          </w:p>
        </w:tc>
        <w:tc>
          <w:tcPr>
            <w:tcW w:w="869" w:type="pct"/>
            <w:vAlign w:val="center"/>
          </w:tcPr>
          <w:p w14:paraId="27D91201" w14:textId="77777777" w:rsidR="007D1E74" w:rsidRDefault="00A95641">
            <w:pPr>
              <w:jc w:val="center"/>
              <w:rPr>
                <w:rFonts w:asciiTheme="minorHAnsi" w:hAnsiTheme="minorHAnsi" w:cstheme="minorHAnsi"/>
                <w:szCs w:val="21"/>
              </w:rPr>
            </w:pPr>
            <w:r>
              <w:rPr>
                <w:rFonts w:asciiTheme="minorHAnsi" w:hAnsiTheme="minorHAnsi" w:cstheme="minorHAnsi"/>
                <w:szCs w:val="21"/>
              </w:rPr>
              <w:t>90</w:t>
            </w:r>
          </w:p>
        </w:tc>
        <w:tc>
          <w:tcPr>
            <w:tcW w:w="869" w:type="pct"/>
            <w:vAlign w:val="center"/>
          </w:tcPr>
          <w:p w14:paraId="4D948A94" w14:textId="77777777" w:rsidR="007D1E74" w:rsidRDefault="00A95641">
            <w:pPr>
              <w:jc w:val="center"/>
              <w:rPr>
                <w:rFonts w:asciiTheme="minorHAnsi" w:hAnsiTheme="minorHAnsi" w:cstheme="minorHAnsi"/>
                <w:szCs w:val="21"/>
              </w:rPr>
            </w:pPr>
            <w:r>
              <w:rPr>
                <w:rFonts w:asciiTheme="minorHAnsi" w:hAnsiTheme="minorHAnsi" w:cstheme="minorHAnsi"/>
                <w:szCs w:val="21"/>
              </w:rPr>
              <w:t>120</w:t>
            </w:r>
          </w:p>
        </w:tc>
        <w:tc>
          <w:tcPr>
            <w:tcW w:w="867" w:type="pct"/>
            <w:vAlign w:val="center"/>
          </w:tcPr>
          <w:p w14:paraId="56951DEA" w14:textId="77777777" w:rsidR="007D1E74" w:rsidRDefault="00A95641">
            <w:pPr>
              <w:jc w:val="center"/>
              <w:rPr>
                <w:rFonts w:asciiTheme="minorHAnsi" w:hAnsiTheme="minorHAnsi" w:cstheme="minorHAnsi"/>
                <w:szCs w:val="21"/>
              </w:rPr>
            </w:pPr>
            <w:r>
              <w:rPr>
                <w:rFonts w:asciiTheme="minorHAnsi" w:hAnsiTheme="minorHAnsi" w:cstheme="minorHAnsi"/>
                <w:szCs w:val="21"/>
              </w:rPr>
              <w:t>170</w:t>
            </w:r>
          </w:p>
        </w:tc>
      </w:tr>
      <w:tr w:rsidR="007D1E74" w14:paraId="2CA01332" w14:textId="77777777">
        <w:trPr>
          <w:trHeight w:val="70"/>
          <w:jc w:val="center"/>
        </w:trPr>
        <w:tc>
          <w:tcPr>
            <w:tcW w:w="382" w:type="pct"/>
            <w:vMerge w:val="restart"/>
            <w:shd w:val="clear" w:color="auto" w:fill="auto"/>
            <w:vAlign w:val="center"/>
          </w:tcPr>
          <w:p w14:paraId="4F661FA1" w14:textId="77777777" w:rsidR="007D1E74" w:rsidRDefault="00A95641">
            <w:pPr>
              <w:jc w:val="center"/>
              <w:rPr>
                <w:rFonts w:asciiTheme="minorHAnsi" w:hAnsiTheme="minorHAnsi" w:cstheme="minorHAnsi"/>
                <w:szCs w:val="21"/>
              </w:rPr>
            </w:pPr>
            <w:r>
              <w:rPr>
                <w:rFonts w:asciiTheme="minorHAnsi" w:hAnsiTheme="minorHAnsi" w:cstheme="minorHAnsi"/>
                <w:szCs w:val="21"/>
              </w:rPr>
              <w:t>5</w:t>
            </w:r>
          </w:p>
        </w:tc>
        <w:tc>
          <w:tcPr>
            <w:tcW w:w="533" w:type="pct"/>
            <w:vMerge w:val="restart"/>
            <w:shd w:val="clear" w:color="auto" w:fill="auto"/>
            <w:vAlign w:val="center"/>
          </w:tcPr>
          <w:p w14:paraId="1BD84400" w14:textId="77777777" w:rsidR="007D1E74" w:rsidRDefault="00A95641">
            <w:pPr>
              <w:jc w:val="center"/>
              <w:rPr>
                <w:rFonts w:asciiTheme="minorHAnsi" w:hAnsiTheme="minorHAnsi" w:cstheme="minorHAnsi"/>
                <w:szCs w:val="21"/>
              </w:rPr>
            </w:pPr>
            <w:r>
              <w:rPr>
                <w:rFonts w:asciiTheme="minorHAnsi" w:hAnsiTheme="minorHAnsi" w:cstheme="minorHAnsi"/>
                <w:szCs w:val="21"/>
              </w:rPr>
              <w:t>铬</w:t>
            </w:r>
          </w:p>
        </w:tc>
        <w:tc>
          <w:tcPr>
            <w:tcW w:w="611" w:type="pct"/>
            <w:vAlign w:val="center"/>
          </w:tcPr>
          <w:p w14:paraId="52B565AD" w14:textId="77777777" w:rsidR="007D1E74" w:rsidRDefault="00A95641">
            <w:pPr>
              <w:jc w:val="center"/>
              <w:rPr>
                <w:rFonts w:asciiTheme="minorHAnsi" w:hAnsiTheme="minorHAnsi" w:cstheme="minorHAnsi"/>
                <w:szCs w:val="21"/>
              </w:rPr>
            </w:pPr>
            <w:r>
              <w:rPr>
                <w:rFonts w:asciiTheme="minorHAnsi" w:hAnsiTheme="minorHAnsi" w:cstheme="minorHAnsi"/>
                <w:szCs w:val="21"/>
              </w:rPr>
              <w:t>水田</w:t>
            </w:r>
          </w:p>
        </w:tc>
        <w:tc>
          <w:tcPr>
            <w:tcW w:w="869" w:type="pct"/>
            <w:vAlign w:val="center"/>
          </w:tcPr>
          <w:p w14:paraId="140A8819" w14:textId="77777777" w:rsidR="007D1E74" w:rsidRDefault="00A95641">
            <w:pPr>
              <w:jc w:val="center"/>
              <w:rPr>
                <w:rFonts w:asciiTheme="minorHAnsi" w:hAnsiTheme="minorHAnsi" w:cstheme="minorHAnsi"/>
                <w:szCs w:val="21"/>
              </w:rPr>
            </w:pPr>
            <w:r>
              <w:rPr>
                <w:rFonts w:asciiTheme="minorHAnsi" w:hAnsiTheme="minorHAnsi" w:cstheme="minorHAnsi"/>
                <w:szCs w:val="21"/>
              </w:rPr>
              <w:t>250</w:t>
            </w:r>
          </w:p>
        </w:tc>
        <w:tc>
          <w:tcPr>
            <w:tcW w:w="869" w:type="pct"/>
            <w:vAlign w:val="center"/>
          </w:tcPr>
          <w:p w14:paraId="7313F049" w14:textId="77777777" w:rsidR="007D1E74" w:rsidRDefault="00A95641">
            <w:pPr>
              <w:jc w:val="center"/>
              <w:rPr>
                <w:rFonts w:asciiTheme="minorHAnsi" w:hAnsiTheme="minorHAnsi" w:cstheme="minorHAnsi"/>
                <w:szCs w:val="21"/>
              </w:rPr>
            </w:pPr>
            <w:r>
              <w:rPr>
                <w:rFonts w:asciiTheme="minorHAnsi" w:hAnsiTheme="minorHAnsi" w:cstheme="minorHAnsi"/>
                <w:szCs w:val="21"/>
              </w:rPr>
              <w:t>250</w:t>
            </w:r>
          </w:p>
        </w:tc>
        <w:tc>
          <w:tcPr>
            <w:tcW w:w="869" w:type="pct"/>
            <w:vAlign w:val="center"/>
          </w:tcPr>
          <w:p w14:paraId="5EF60C1D" w14:textId="77777777" w:rsidR="007D1E74" w:rsidRDefault="00A95641">
            <w:pPr>
              <w:jc w:val="center"/>
              <w:rPr>
                <w:rFonts w:asciiTheme="minorHAnsi" w:hAnsiTheme="minorHAnsi" w:cstheme="minorHAnsi"/>
                <w:szCs w:val="21"/>
              </w:rPr>
            </w:pPr>
            <w:r>
              <w:rPr>
                <w:rFonts w:asciiTheme="minorHAnsi" w:hAnsiTheme="minorHAnsi" w:cstheme="minorHAnsi"/>
                <w:szCs w:val="21"/>
              </w:rPr>
              <w:t>300</w:t>
            </w:r>
          </w:p>
        </w:tc>
        <w:tc>
          <w:tcPr>
            <w:tcW w:w="867" w:type="pct"/>
            <w:vAlign w:val="center"/>
          </w:tcPr>
          <w:p w14:paraId="203BAE72" w14:textId="77777777" w:rsidR="007D1E74" w:rsidRDefault="00A95641">
            <w:pPr>
              <w:jc w:val="center"/>
              <w:rPr>
                <w:rFonts w:asciiTheme="minorHAnsi" w:hAnsiTheme="minorHAnsi" w:cstheme="minorHAnsi"/>
                <w:szCs w:val="21"/>
              </w:rPr>
            </w:pPr>
            <w:r>
              <w:rPr>
                <w:rFonts w:asciiTheme="minorHAnsi" w:hAnsiTheme="minorHAnsi" w:cstheme="minorHAnsi"/>
                <w:szCs w:val="21"/>
              </w:rPr>
              <w:t>350</w:t>
            </w:r>
          </w:p>
        </w:tc>
      </w:tr>
      <w:tr w:rsidR="007D1E74" w14:paraId="07F41541" w14:textId="77777777">
        <w:trPr>
          <w:jc w:val="center"/>
        </w:trPr>
        <w:tc>
          <w:tcPr>
            <w:tcW w:w="382" w:type="pct"/>
            <w:vMerge/>
            <w:shd w:val="clear" w:color="auto" w:fill="auto"/>
            <w:vAlign w:val="center"/>
          </w:tcPr>
          <w:p w14:paraId="140D3F75" w14:textId="77777777" w:rsidR="007D1E74" w:rsidRDefault="007D1E74">
            <w:pPr>
              <w:jc w:val="center"/>
              <w:rPr>
                <w:rFonts w:asciiTheme="minorHAnsi" w:hAnsiTheme="minorHAnsi" w:cstheme="minorHAnsi"/>
                <w:szCs w:val="21"/>
              </w:rPr>
            </w:pPr>
          </w:p>
        </w:tc>
        <w:tc>
          <w:tcPr>
            <w:tcW w:w="533" w:type="pct"/>
            <w:vMerge/>
            <w:shd w:val="clear" w:color="auto" w:fill="auto"/>
            <w:vAlign w:val="center"/>
          </w:tcPr>
          <w:p w14:paraId="5B481A42" w14:textId="77777777" w:rsidR="007D1E74" w:rsidRDefault="007D1E74">
            <w:pPr>
              <w:jc w:val="center"/>
              <w:rPr>
                <w:rFonts w:asciiTheme="minorHAnsi" w:hAnsiTheme="minorHAnsi" w:cstheme="minorHAnsi"/>
                <w:szCs w:val="21"/>
              </w:rPr>
            </w:pPr>
          </w:p>
        </w:tc>
        <w:tc>
          <w:tcPr>
            <w:tcW w:w="611" w:type="pct"/>
            <w:vAlign w:val="center"/>
          </w:tcPr>
          <w:p w14:paraId="78243D00" w14:textId="77777777" w:rsidR="007D1E74" w:rsidRDefault="00A95641">
            <w:pPr>
              <w:jc w:val="center"/>
              <w:rPr>
                <w:rFonts w:asciiTheme="minorHAnsi" w:hAnsiTheme="minorHAnsi" w:cstheme="minorHAnsi"/>
                <w:szCs w:val="21"/>
              </w:rPr>
            </w:pPr>
            <w:r>
              <w:rPr>
                <w:rFonts w:asciiTheme="minorHAnsi" w:hAnsiTheme="minorHAnsi" w:cstheme="minorHAnsi"/>
                <w:szCs w:val="21"/>
              </w:rPr>
              <w:t>其他</w:t>
            </w:r>
          </w:p>
        </w:tc>
        <w:tc>
          <w:tcPr>
            <w:tcW w:w="869" w:type="pct"/>
            <w:vAlign w:val="center"/>
          </w:tcPr>
          <w:p w14:paraId="21451FD7" w14:textId="77777777" w:rsidR="007D1E74" w:rsidRDefault="00A95641">
            <w:pPr>
              <w:jc w:val="center"/>
              <w:rPr>
                <w:rFonts w:asciiTheme="minorHAnsi" w:hAnsiTheme="minorHAnsi" w:cstheme="minorHAnsi"/>
                <w:szCs w:val="21"/>
              </w:rPr>
            </w:pPr>
            <w:r>
              <w:rPr>
                <w:rFonts w:asciiTheme="minorHAnsi" w:hAnsiTheme="minorHAnsi" w:cstheme="minorHAnsi"/>
                <w:szCs w:val="21"/>
              </w:rPr>
              <w:t>150</w:t>
            </w:r>
          </w:p>
        </w:tc>
        <w:tc>
          <w:tcPr>
            <w:tcW w:w="869" w:type="pct"/>
            <w:vAlign w:val="center"/>
          </w:tcPr>
          <w:p w14:paraId="73E331E0" w14:textId="77777777" w:rsidR="007D1E74" w:rsidRDefault="00A95641">
            <w:pPr>
              <w:jc w:val="center"/>
              <w:rPr>
                <w:rFonts w:asciiTheme="minorHAnsi" w:hAnsiTheme="minorHAnsi" w:cstheme="minorHAnsi"/>
                <w:szCs w:val="21"/>
              </w:rPr>
            </w:pPr>
            <w:r>
              <w:rPr>
                <w:rFonts w:asciiTheme="minorHAnsi" w:hAnsiTheme="minorHAnsi" w:cstheme="minorHAnsi"/>
                <w:szCs w:val="21"/>
              </w:rPr>
              <w:t>150</w:t>
            </w:r>
          </w:p>
        </w:tc>
        <w:tc>
          <w:tcPr>
            <w:tcW w:w="869" w:type="pct"/>
            <w:vAlign w:val="center"/>
          </w:tcPr>
          <w:p w14:paraId="6DFD561C" w14:textId="77777777" w:rsidR="007D1E74" w:rsidRDefault="00A95641">
            <w:pPr>
              <w:jc w:val="center"/>
              <w:rPr>
                <w:rFonts w:asciiTheme="minorHAnsi" w:hAnsiTheme="minorHAnsi" w:cstheme="minorHAnsi"/>
                <w:szCs w:val="21"/>
              </w:rPr>
            </w:pPr>
            <w:r>
              <w:rPr>
                <w:rFonts w:asciiTheme="minorHAnsi" w:hAnsiTheme="minorHAnsi" w:cstheme="minorHAnsi"/>
                <w:szCs w:val="21"/>
              </w:rPr>
              <w:t>200</w:t>
            </w:r>
          </w:p>
        </w:tc>
        <w:tc>
          <w:tcPr>
            <w:tcW w:w="867" w:type="pct"/>
            <w:vAlign w:val="center"/>
          </w:tcPr>
          <w:p w14:paraId="2ADD5434" w14:textId="77777777" w:rsidR="007D1E74" w:rsidRDefault="00A95641">
            <w:pPr>
              <w:jc w:val="center"/>
              <w:rPr>
                <w:rFonts w:asciiTheme="minorHAnsi" w:hAnsiTheme="minorHAnsi" w:cstheme="minorHAnsi"/>
                <w:szCs w:val="21"/>
              </w:rPr>
            </w:pPr>
            <w:r>
              <w:rPr>
                <w:rFonts w:asciiTheme="minorHAnsi" w:hAnsiTheme="minorHAnsi" w:cstheme="minorHAnsi"/>
                <w:szCs w:val="21"/>
              </w:rPr>
              <w:t>250</w:t>
            </w:r>
          </w:p>
        </w:tc>
      </w:tr>
      <w:tr w:rsidR="007D1E74" w14:paraId="009FC699" w14:textId="77777777">
        <w:trPr>
          <w:jc w:val="center"/>
        </w:trPr>
        <w:tc>
          <w:tcPr>
            <w:tcW w:w="382" w:type="pct"/>
            <w:vMerge w:val="restart"/>
            <w:shd w:val="clear" w:color="auto" w:fill="auto"/>
            <w:vAlign w:val="center"/>
          </w:tcPr>
          <w:p w14:paraId="39E0013B" w14:textId="77777777" w:rsidR="007D1E74" w:rsidRDefault="00A95641">
            <w:pPr>
              <w:jc w:val="center"/>
              <w:rPr>
                <w:rFonts w:asciiTheme="minorHAnsi" w:hAnsiTheme="minorHAnsi" w:cstheme="minorHAnsi"/>
                <w:szCs w:val="21"/>
              </w:rPr>
            </w:pPr>
            <w:r>
              <w:rPr>
                <w:rFonts w:asciiTheme="minorHAnsi" w:hAnsiTheme="minorHAnsi" w:cstheme="minorHAnsi"/>
                <w:szCs w:val="21"/>
              </w:rPr>
              <w:t>6</w:t>
            </w:r>
          </w:p>
        </w:tc>
        <w:tc>
          <w:tcPr>
            <w:tcW w:w="533" w:type="pct"/>
            <w:vMerge w:val="restart"/>
            <w:shd w:val="clear" w:color="auto" w:fill="auto"/>
            <w:vAlign w:val="center"/>
          </w:tcPr>
          <w:p w14:paraId="619C0B20" w14:textId="77777777" w:rsidR="007D1E74" w:rsidRDefault="00A95641">
            <w:pPr>
              <w:jc w:val="center"/>
              <w:rPr>
                <w:rFonts w:asciiTheme="minorHAnsi" w:hAnsiTheme="minorHAnsi" w:cstheme="minorHAnsi"/>
                <w:szCs w:val="21"/>
              </w:rPr>
            </w:pPr>
            <w:r>
              <w:rPr>
                <w:rFonts w:asciiTheme="minorHAnsi" w:hAnsiTheme="minorHAnsi" w:cstheme="minorHAnsi"/>
                <w:szCs w:val="21"/>
              </w:rPr>
              <w:t>铜</w:t>
            </w:r>
          </w:p>
        </w:tc>
        <w:tc>
          <w:tcPr>
            <w:tcW w:w="611" w:type="pct"/>
            <w:vAlign w:val="center"/>
          </w:tcPr>
          <w:p w14:paraId="3A63AA89" w14:textId="77777777" w:rsidR="007D1E74" w:rsidRDefault="00A95641">
            <w:pPr>
              <w:jc w:val="center"/>
              <w:rPr>
                <w:rFonts w:asciiTheme="minorHAnsi" w:hAnsiTheme="minorHAnsi" w:cstheme="minorHAnsi"/>
                <w:szCs w:val="21"/>
              </w:rPr>
            </w:pPr>
            <w:r>
              <w:rPr>
                <w:rFonts w:asciiTheme="minorHAnsi" w:hAnsiTheme="minorHAnsi" w:cstheme="minorHAnsi"/>
                <w:szCs w:val="21"/>
              </w:rPr>
              <w:t>果园</w:t>
            </w:r>
          </w:p>
        </w:tc>
        <w:tc>
          <w:tcPr>
            <w:tcW w:w="869" w:type="pct"/>
            <w:vAlign w:val="center"/>
          </w:tcPr>
          <w:p w14:paraId="1C92106E" w14:textId="77777777" w:rsidR="007D1E74" w:rsidRDefault="00A95641">
            <w:pPr>
              <w:jc w:val="center"/>
              <w:rPr>
                <w:rFonts w:asciiTheme="minorHAnsi" w:hAnsiTheme="minorHAnsi" w:cstheme="minorHAnsi"/>
                <w:szCs w:val="21"/>
              </w:rPr>
            </w:pPr>
            <w:r>
              <w:rPr>
                <w:rFonts w:asciiTheme="minorHAnsi" w:hAnsiTheme="minorHAnsi" w:cstheme="minorHAnsi"/>
                <w:szCs w:val="21"/>
              </w:rPr>
              <w:t>150</w:t>
            </w:r>
          </w:p>
        </w:tc>
        <w:tc>
          <w:tcPr>
            <w:tcW w:w="869" w:type="pct"/>
            <w:vAlign w:val="center"/>
          </w:tcPr>
          <w:p w14:paraId="2A8D0A74" w14:textId="77777777" w:rsidR="007D1E74" w:rsidRDefault="00A95641">
            <w:pPr>
              <w:jc w:val="center"/>
              <w:rPr>
                <w:rFonts w:asciiTheme="minorHAnsi" w:hAnsiTheme="minorHAnsi" w:cstheme="minorHAnsi"/>
                <w:szCs w:val="21"/>
              </w:rPr>
            </w:pPr>
            <w:r>
              <w:rPr>
                <w:rFonts w:asciiTheme="minorHAnsi" w:hAnsiTheme="minorHAnsi" w:cstheme="minorHAnsi"/>
                <w:szCs w:val="21"/>
              </w:rPr>
              <w:t>150</w:t>
            </w:r>
          </w:p>
        </w:tc>
        <w:tc>
          <w:tcPr>
            <w:tcW w:w="869" w:type="pct"/>
            <w:vAlign w:val="center"/>
          </w:tcPr>
          <w:p w14:paraId="7FD6CA58" w14:textId="77777777" w:rsidR="007D1E74" w:rsidRDefault="00A95641">
            <w:pPr>
              <w:jc w:val="center"/>
              <w:rPr>
                <w:rFonts w:asciiTheme="minorHAnsi" w:hAnsiTheme="minorHAnsi" w:cstheme="minorHAnsi"/>
                <w:szCs w:val="21"/>
              </w:rPr>
            </w:pPr>
            <w:r>
              <w:rPr>
                <w:rFonts w:asciiTheme="minorHAnsi" w:hAnsiTheme="minorHAnsi" w:cstheme="minorHAnsi"/>
                <w:szCs w:val="21"/>
              </w:rPr>
              <w:t>200</w:t>
            </w:r>
          </w:p>
        </w:tc>
        <w:tc>
          <w:tcPr>
            <w:tcW w:w="867" w:type="pct"/>
            <w:vAlign w:val="center"/>
          </w:tcPr>
          <w:p w14:paraId="6E1D99BC" w14:textId="77777777" w:rsidR="007D1E74" w:rsidRDefault="00A95641">
            <w:pPr>
              <w:jc w:val="center"/>
              <w:rPr>
                <w:rFonts w:asciiTheme="minorHAnsi" w:hAnsiTheme="minorHAnsi" w:cstheme="minorHAnsi"/>
                <w:szCs w:val="21"/>
              </w:rPr>
            </w:pPr>
            <w:r>
              <w:rPr>
                <w:rFonts w:asciiTheme="minorHAnsi" w:hAnsiTheme="minorHAnsi" w:cstheme="minorHAnsi"/>
                <w:szCs w:val="21"/>
              </w:rPr>
              <w:t>200</w:t>
            </w:r>
          </w:p>
        </w:tc>
      </w:tr>
      <w:tr w:rsidR="007D1E74" w14:paraId="1D92DE7F" w14:textId="77777777">
        <w:trPr>
          <w:jc w:val="center"/>
        </w:trPr>
        <w:tc>
          <w:tcPr>
            <w:tcW w:w="382" w:type="pct"/>
            <w:vMerge/>
            <w:shd w:val="clear" w:color="auto" w:fill="auto"/>
            <w:vAlign w:val="center"/>
          </w:tcPr>
          <w:p w14:paraId="0C929475" w14:textId="77777777" w:rsidR="007D1E74" w:rsidRDefault="007D1E74">
            <w:pPr>
              <w:jc w:val="center"/>
              <w:rPr>
                <w:rFonts w:asciiTheme="minorHAnsi" w:hAnsiTheme="minorHAnsi" w:cstheme="minorHAnsi"/>
                <w:szCs w:val="21"/>
              </w:rPr>
            </w:pPr>
          </w:p>
        </w:tc>
        <w:tc>
          <w:tcPr>
            <w:tcW w:w="533" w:type="pct"/>
            <w:vMerge/>
            <w:shd w:val="clear" w:color="auto" w:fill="auto"/>
            <w:vAlign w:val="center"/>
          </w:tcPr>
          <w:p w14:paraId="6E55FACF" w14:textId="77777777" w:rsidR="007D1E74" w:rsidRDefault="007D1E74">
            <w:pPr>
              <w:jc w:val="center"/>
              <w:rPr>
                <w:rFonts w:asciiTheme="minorHAnsi" w:hAnsiTheme="minorHAnsi" w:cstheme="minorHAnsi"/>
                <w:szCs w:val="21"/>
              </w:rPr>
            </w:pPr>
          </w:p>
        </w:tc>
        <w:tc>
          <w:tcPr>
            <w:tcW w:w="611" w:type="pct"/>
            <w:vAlign w:val="center"/>
          </w:tcPr>
          <w:p w14:paraId="7383C647" w14:textId="77777777" w:rsidR="007D1E74" w:rsidRDefault="00A95641">
            <w:pPr>
              <w:jc w:val="center"/>
              <w:rPr>
                <w:rFonts w:asciiTheme="minorHAnsi" w:hAnsiTheme="minorHAnsi" w:cstheme="minorHAnsi"/>
                <w:szCs w:val="21"/>
              </w:rPr>
            </w:pPr>
            <w:r>
              <w:rPr>
                <w:rFonts w:asciiTheme="minorHAnsi" w:hAnsiTheme="minorHAnsi" w:cstheme="minorHAnsi"/>
                <w:szCs w:val="21"/>
              </w:rPr>
              <w:t>其他</w:t>
            </w:r>
          </w:p>
        </w:tc>
        <w:tc>
          <w:tcPr>
            <w:tcW w:w="869" w:type="pct"/>
            <w:vAlign w:val="center"/>
          </w:tcPr>
          <w:p w14:paraId="215A89C1" w14:textId="77777777" w:rsidR="007D1E74" w:rsidRDefault="00A95641">
            <w:pPr>
              <w:jc w:val="center"/>
              <w:rPr>
                <w:rFonts w:asciiTheme="minorHAnsi" w:hAnsiTheme="minorHAnsi" w:cstheme="minorHAnsi"/>
                <w:szCs w:val="21"/>
              </w:rPr>
            </w:pPr>
            <w:r>
              <w:rPr>
                <w:rFonts w:asciiTheme="minorHAnsi" w:hAnsiTheme="minorHAnsi" w:cstheme="minorHAnsi"/>
                <w:szCs w:val="21"/>
              </w:rPr>
              <w:t>50</w:t>
            </w:r>
          </w:p>
        </w:tc>
        <w:tc>
          <w:tcPr>
            <w:tcW w:w="869" w:type="pct"/>
            <w:vAlign w:val="center"/>
          </w:tcPr>
          <w:p w14:paraId="2963839C" w14:textId="77777777" w:rsidR="007D1E74" w:rsidRDefault="00A95641">
            <w:pPr>
              <w:jc w:val="center"/>
              <w:rPr>
                <w:rFonts w:asciiTheme="minorHAnsi" w:hAnsiTheme="minorHAnsi" w:cstheme="minorHAnsi"/>
                <w:szCs w:val="21"/>
              </w:rPr>
            </w:pPr>
            <w:r>
              <w:rPr>
                <w:rFonts w:asciiTheme="minorHAnsi" w:hAnsiTheme="minorHAnsi" w:cstheme="minorHAnsi"/>
                <w:szCs w:val="21"/>
              </w:rPr>
              <w:t>50</w:t>
            </w:r>
          </w:p>
        </w:tc>
        <w:tc>
          <w:tcPr>
            <w:tcW w:w="869" w:type="pct"/>
            <w:vAlign w:val="center"/>
          </w:tcPr>
          <w:p w14:paraId="69BCD0FC" w14:textId="77777777" w:rsidR="007D1E74" w:rsidRDefault="00A95641">
            <w:pPr>
              <w:jc w:val="center"/>
              <w:rPr>
                <w:rFonts w:asciiTheme="minorHAnsi" w:hAnsiTheme="minorHAnsi" w:cstheme="minorHAnsi"/>
                <w:szCs w:val="21"/>
              </w:rPr>
            </w:pPr>
            <w:r>
              <w:rPr>
                <w:rFonts w:asciiTheme="minorHAnsi" w:hAnsiTheme="minorHAnsi" w:cstheme="minorHAnsi"/>
                <w:szCs w:val="21"/>
              </w:rPr>
              <w:t>100</w:t>
            </w:r>
          </w:p>
        </w:tc>
        <w:tc>
          <w:tcPr>
            <w:tcW w:w="867" w:type="pct"/>
            <w:vAlign w:val="center"/>
          </w:tcPr>
          <w:p w14:paraId="0BAA412C" w14:textId="77777777" w:rsidR="007D1E74" w:rsidRDefault="00A95641">
            <w:pPr>
              <w:jc w:val="center"/>
              <w:rPr>
                <w:rFonts w:asciiTheme="minorHAnsi" w:hAnsiTheme="minorHAnsi" w:cstheme="minorHAnsi"/>
                <w:szCs w:val="21"/>
              </w:rPr>
            </w:pPr>
            <w:r>
              <w:rPr>
                <w:rFonts w:asciiTheme="minorHAnsi" w:hAnsiTheme="minorHAnsi" w:cstheme="minorHAnsi"/>
                <w:szCs w:val="21"/>
              </w:rPr>
              <w:t>100</w:t>
            </w:r>
          </w:p>
        </w:tc>
      </w:tr>
      <w:tr w:rsidR="007D1E74" w14:paraId="41E12297" w14:textId="77777777">
        <w:trPr>
          <w:jc w:val="center"/>
        </w:trPr>
        <w:tc>
          <w:tcPr>
            <w:tcW w:w="382" w:type="pct"/>
            <w:shd w:val="clear" w:color="auto" w:fill="auto"/>
            <w:vAlign w:val="center"/>
          </w:tcPr>
          <w:p w14:paraId="266E79BE" w14:textId="77777777" w:rsidR="007D1E74" w:rsidRDefault="00A95641">
            <w:pPr>
              <w:jc w:val="center"/>
              <w:rPr>
                <w:rFonts w:asciiTheme="minorHAnsi" w:hAnsiTheme="minorHAnsi" w:cstheme="minorHAnsi"/>
                <w:szCs w:val="21"/>
              </w:rPr>
            </w:pPr>
            <w:r>
              <w:rPr>
                <w:rFonts w:asciiTheme="minorHAnsi" w:hAnsiTheme="minorHAnsi" w:cstheme="minorHAnsi"/>
                <w:szCs w:val="21"/>
              </w:rPr>
              <w:t>7</w:t>
            </w:r>
          </w:p>
        </w:tc>
        <w:tc>
          <w:tcPr>
            <w:tcW w:w="1144" w:type="pct"/>
            <w:gridSpan w:val="2"/>
            <w:shd w:val="clear" w:color="auto" w:fill="auto"/>
            <w:vAlign w:val="center"/>
          </w:tcPr>
          <w:p w14:paraId="77412C10" w14:textId="77777777" w:rsidR="007D1E74" w:rsidRDefault="00A95641">
            <w:pPr>
              <w:jc w:val="center"/>
              <w:rPr>
                <w:rFonts w:asciiTheme="minorHAnsi" w:hAnsiTheme="minorHAnsi" w:cstheme="minorHAnsi"/>
                <w:szCs w:val="21"/>
              </w:rPr>
            </w:pPr>
            <w:r>
              <w:rPr>
                <w:rFonts w:asciiTheme="minorHAnsi" w:hAnsiTheme="minorHAnsi" w:cstheme="minorHAnsi"/>
                <w:szCs w:val="21"/>
              </w:rPr>
              <w:t>镍</w:t>
            </w:r>
          </w:p>
        </w:tc>
        <w:tc>
          <w:tcPr>
            <w:tcW w:w="869" w:type="pct"/>
            <w:vAlign w:val="center"/>
          </w:tcPr>
          <w:p w14:paraId="1A444AF1" w14:textId="77777777" w:rsidR="007D1E74" w:rsidRDefault="00A95641">
            <w:pPr>
              <w:jc w:val="center"/>
              <w:rPr>
                <w:rFonts w:asciiTheme="minorHAnsi" w:hAnsiTheme="minorHAnsi" w:cstheme="minorHAnsi"/>
                <w:szCs w:val="21"/>
              </w:rPr>
            </w:pPr>
            <w:r>
              <w:rPr>
                <w:rFonts w:asciiTheme="minorHAnsi" w:hAnsiTheme="minorHAnsi" w:cstheme="minorHAnsi"/>
                <w:szCs w:val="21"/>
              </w:rPr>
              <w:t>60</w:t>
            </w:r>
          </w:p>
        </w:tc>
        <w:tc>
          <w:tcPr>
            <w:tcW w:w="869" w:type="pct"/>
            <w:vAlign w:val="center"/>
          </w:tcPr>
          <w:p w14:paraId="48FBAD08" w14:textId="77777777" w:rsidR="007D1E74" w:rsidRDefault="00A95641">
            <w:pPr>
              <w:jc w:val="center"/>
              <w:rPr>
                <w:rFonts w:asciiTheme="minorHAnsi" w:hAnsiTheme="minorHAnsi" w:cstheme="minorHAnsi"/>
                <w:szCs w:val="21"/>
              </w:rPr>
            </w:pPr>
            <w:r>
              <w:rPr>
                <w:rFonts w:asciiTheme="minorHAnsi" w:hAnsiTheme="minorHAnsi" w:cstheme="minorHAnsi"/>
                <w:szCs w:val="21"/>
              </w:rPr>
              <w:t>70</w:t>
            </w:r>
          </w:p>
        </w:tc>
        <w:tc>
          <w:tcPr>
            <w:tcW w:w="869" w:type="pct"/>
            <w:vAlign w:val="center"/>
          </w:tcPr>
          <w:p w14:paraId="7A29EF8F" w14:textId="77777777" w:rsidR="007D1E74" w:rsidRDefault="00A95641">
            <w:pPr>
              <w:jc w:val="center"/>
              <w:rPr>
                <w:rFonts w:asciiTheme="minorHAnsi" w:hAnsiTheme="minorHAnsi" w:cstheme="minorHAnsi"/>
                <w:szCs w:val="21"/>
              </w:rPr>
            </w:pPr>
            <w:r>
              <w:rPr>
                <w:rFonts w:asciiTheme="minorHAnsi" w:hAnsiTheme="minorHAnsi" w:cstheme="minorHAnsi"/>
                <w:szCs w:val="21"/>
              </w:rPr>
              <w:t>100</w:t>
            </w:r>
          </w:p>
        </w:tc>
        <w:tc>
          <w:tcPr>
            <w:tcW w:w="867" w:type="pct"/>
            <w:vAlign w:val="center"/>
          </w:tcPr>
          <w:p w14:paraId="35D8311E" w14:textId="77777777" w:rsidR="007D1E74" w:rsidRDefault="00A95641">
            <w:pPr>
              <w:jc w:val="center"/>
              <w:rPr>
                <w:rFonts w:asciiTheme="minorHAnsi" w:hAnsiTheme="minorHAnsi" w:cstheme="minorHAnsi"/>
                <w:szCs w:val="21"/>
              </w:rPr>
            </w:pPr>
            <w:r>
              <w:rPr>
                <w:rFonts w:asciiTheme="minorHAnsi" w:hAnsiTheme="minorHAnsi" w:cstheme="minorHAnsi"/>
                <w:szCs w:val="21"/>
              </w:rPr>
              <w:t>190</w:t>
            </w:r>
          </w:p>
        </w:tc>
      </w:tr>
      <w:tr w:rsidR="007D1E74" w14:paraId="7228E549" w14:textId="77777777">
        <w:trPr>
          <w:jc w:val="center"/>
        </w:trPr>
        <w:tc>
          <w:tcPr>
            <w:tcW w:w="382" w:type="pct"/>
            <w:shd w:val="clear" w:color="auto" w:fill="auto"/>
            <w:vAlign w:val="center"/>
          </w:tcPr>
          <w:p w14:paraId="74F8DAC3" w14:textId="77777777" w:rsidR="007D1E74" w:rsidRDefault="00A95641">
            <w:pPr>
              <w:jc w:val="center"/>
              <w:rPr>
                <w:rFonts w:asciiTheme="minorHAnsi" w:hAnsiTheme="minorHAnsi" w:cstheme="minorHAnsi"/>
                <w:szCs w:val="21"/>
              </w:rPr>
            </w:pPr>
            <w:r>
              <w:rPr>
                <w:rFonts w:asciiTheme="minorHAnsi" w:hAnsiTheme="minorHAnsi" w:cstheme="minorHAnsi"/>
                <w:szCs w:val="21"/>
              </w:rPr>
              <w:t>8</w:t>
            </w:r>
          </w:p>
        </w:tc>
        <w:tc>
          <w:tcPr>
            <w:tcW w:w="1144" w:type="pct"/>
            <w:gridSpan w:val="2"/>
            <w:shd w:val="clear" w:color="auto" w:fill="auto"/>
            <w:vAlign w:val="center"/>
          </w:tcPr>
          <w:p w14:paraId="09ED57DD" w14:textId="77777777" w:rsidR="007D1E74" w:rsidRDefault="00A95641">
            <w:pPr>
              <w:jc w:val="center"/>
              <w:rPr>
                <w:rFonts w:asciiTheme="minorHAnsi" w:hAnsiTheme="minorHAnsi" w:cstheme="minorHAnsi"/>
                <w:szCs w:val="21"/>
              </w:rPr>
            </w:pPr>
            <w:r>
              <w:rPr>
                <w:rFonts w:asciiTheme="minorHAnsi" w:hAnsiTheme="minorHAnsi" w:cstheme="minorHAnsi"/>
                <w:szCs w:val="21"/>
              </w:rPr>
              <w:t>锌</w:t>
            </w:r>
          </w:p>
        </w:tc>
        <w:tc>
          <w:tcPr>
            <w:tcW w:w="869" w:type="pct"/>
            <w:vAlign w:val="center"/>
          </w:tcPr>
          <w:p w14:paraId="715077D9" w14:textId="77777777" w:rsidR="007D1E74" w:rsidRDefault="00A95641">
            <w:pPr>
              <w:jc w:val="center"/>
              <w:rPr>
                <w:rFonts w:asciiTheme="minorHAnsi" w:hAnsiTheme="minorHAnsi" w:cstheme="minorHAnsi"/>
                <w:szCs w:val="21"/>
              </w:rPr>
            </w:pPr>
            <w:r>
              <w:rPr>
                <w:rFonts w:asciiTheme="minorHAnsi" w:hAnsiTheme="minorHAnsi" w:cstheme="minorHAnsi"/>
                <w:szCs w:val="21"/>
              </w:rPr>
              <w:t>200</w:t>
            </w:r>
          </w:p>
        </w:tc>
        <w:tc>
          <w:tcPr>
            <w:tcW w:w="869" w:type="pct"/>
            <w:vAlign w:val="center"/>
          </w:tcPr>
          <w:p w14:paraId="3712B35F" w14:textId="77777777" w:rsidR="007D1E74" w:rsidRDefault="00A95641">
            <w:pPr>
              <w:jc w:val="center"/>
              <w:rPr>
                <w:rFonts w:asciiTheme="minorHAnsi" w:hAnsiTheme="minorHAnsi" w:cstheme="minorHAnsi"/>
                <w:szCs w:val="21"/>
              </w:rPr>
            </w:pPr>
            <w:r>
              <w:rPr>
                <w:rFonts w:asciiTheme="minorHAnsi" w:hAnsiTheme="minorHAnsi" w:cstheme="minorHAnsi"/>
                <w:szCs w:val="21"/>
              </w:rPr>
              <w:t>200</w:t>
            </w:r>
          </w:p>
        </w:tc>
        <w:tc>
          <w:tcPr>
            <w:tcW w:w="869" w:type="pct"/>
            <w:vAlign w:val="center"/>
          </w:tcPr>
          <w:p w14:paraId="637820F2" w14:textId="77777777" w:rsidR="007D1E74" w:rsidRDefault="00A95641">
            <w:pPr>
              <w:jc w:val="center"/>
              <w:rPr>
                <w:rFonts w:asciiTheme="minorHAnsi" w:hAnsiTheme="minorHAnsi" w:cstheme="minorHAnsi"/>
                <w:szCs w:val="21"/>
              </w:rPr>
            </w:pPr>
            <w:r>
              <w:rPr>
                <w:rFonts w:asciiTheme="minorHAnsi" w:hAnsiTheme="minorHAnsi" w:cstheme="minorHAnsi"/>
                <w:szCs w:val="21"/>
              </w:rPr>
              <w:t>250</w:t>
            </w:r>
          </w:p>
        </w:tc>
        <w:tc>
          <w:tcPr>
            <w:tcW w:w="867" w:type="pct"/>
            <w:vAlign w:val="center"/>
          </w:tcPr>
          <w:p w14:paraId="1294D12A" w14:textId="77777777" w:rsidR="007D1E74" w:rsidRDefault="00A95641">
            <w:pPr>
              <w:jc w:val="center"/>
              <w:rPr>
                <w:rFonts w:asciiTheme="minorHAnsi" w:hAnsiTheme="minorHAnsi" w:cstheme="minorHAnsi"/>
                <w:szCs w:val="21"/>
              </w:rPr>
            </w:pPr>
            <w:r>
              <w:rPr>
                <w:rFonts w:asciiTheme="minorHAnsi" w:hAnsiTheme="minorHAnsi" w:cstheme="minorHAnsi"/>
                <w:szCs w:val="21"/>
              </w:rPr>
              <w:t>300</w:t>
            </w:r>
          </w:p>
        </w:tc>
      </w:tr>
    </w:tbl>
    <w:p w14:paraId="25F12818" w14:textId="77777777" w:rsidR="007D1E74" w:rsidRDefault="00A95641">
      <w:pPr>
        <w:adjustRightInd w:val="0"/>
        <w:snapToGrid w:val="0"/>
        <w:spacing w:line="360" w:lineRule="auto"/>
        <w:ind w:firstLineChars="200" w:firstLine="482"/>
        <w:rPr>
          <w:rFonts w:cs="Times New Roman"/>
          <w:sz w:val="24"/>
          <w:szCs w:val="24"/>
        </w:rPr>
      </w:pPr>
      <w:r>
        <w:rPr>
          <w:rFonts w:cs="Times New Roman"/>
          <w:b/>
          <w:sz w:val="24"/>
          <w:szCs w:val="24"/>
        </w:rPr>
        <w:t>（</w:t>
      </w:r>
      <w:r>
        <w:rPr>
          <w:rFonts w:cs="Times New Roman"/>
          <w:b/>
          <w:sz w:val="24"/>
          <w:szCs w:val="24"/>
        </w:rPr>
        <w:t>5</w:t>
      </w:r>
      <w:r>
        <w:rPr>
          <w:rFonts w:cs="Times New Roman"/>
          <w:b/>
          <w:sz w:val="24"/>
          <w:szCs w:val="24"/>
        </w:rPr>
        <w:t>）声环境</w:t>
      </w:r>
    </w:p>
    <w:p w14:paraId="2F9BDCE3" w14:textId="77777777" w:rsidR="007D1E74" w:rsidRDefault="00A95641">
      <w:pPr>
        <w:adjustRightInd w:val="0"/>
        <w:snapToGrid w:val="0"/>
        <w:spacing w:line="360" w:lineRule="auto"/>
        <w:ind w:firstLineChars="200" w:firstLine="480"/>
        <w:rPr>
          <w:rFonts w:asciiTheme="minorHAnsi" w:hAnsiTheme="minorHAnsi" w:cstheme="minorHAnsi"/>
          <w:sz w:val="24"/>
          <w:szCs w:val="24"/>
        </w:rPr>
      </w:pPr>
      <w:r>
        <w:rPr>
          <w:rFonts w:asciiTheme="minorHAnsi" w:hAnsiTheme="minorHAnsi" w:cstheme="minorHAnsi"/>
          <w:sz w:val="24"/>
          <w:szCs w:val="24"/>
        </w:rPr>
        <w:t>执行《声环境质量标准》（</w:t>
      </w:r>
      <w:r>
        <w:rPr>
          <w:rFonts w:asciiTheme="minorHAnsi" w:hAnsiTheme="minorHAnsi" w:cstheme="minorHAnsi"/>
          <w:sz w:val="24"/>
          <w:szCs w:val="24"/>
        </w:rPr>
        <w:t>GB309</w:t>
      </w:r>
      <w:r>
        <w:rPr>
          <w:rFonts w:cs="Times New Roman"/>
          <w:sz w:val="24"/>
          <w:szCs w:val="24"/>
        </w:rPr>
        <w:t>6-2008</w:t>
      </w:r>
      <w:r>
        <w:rPr>
          <w:rFonts w:cs="Times New Roman"/>
          <w:sz w:val="24"/>
          <w:szCs w:val="24"/>
        </w:rPr>
        <w:t>）</w:t>
      </w:r>
      <w:r>
        <w:rPr>
          <w:rFonts w:cs="Times New Roman" w:hint="eastAsia"/>
          <w:sz w:val="24"/>
          <w:szCs w:val="24"/>
        </w:rPr>
        <w:t>1</w:t>
      </w:r>
      <w:r>
        <w:rPr>
          <w:rFonts w:cs="Times New Roman"/>
          <w:sz w:val="24"/>
          <w:szCs w:val="24"/>
        </w:rPr>
        <w:t>类标</w:t>
      </w:r>
      <w:r>
        <w:rPr>
          <w:rFonts w:asciiTheme="minorHAnsi" w:hAnsiTheme="minorHAnsi" w:cstheme="minorHAnsi"/>
          <w:sz w:val="24"/>
          <w:szCs w:val="24"/>
        </w:rPr>
        <w:t>准。</w:t>
      </w:r>
    </w:p>
    <w:p w14:paraId="0975C4D6" w14:textId="77777777" w:rsidR="007D1E74" w:rsidRDefault="00A95641">
      <w:pPr>
        <w:spacing w:line="360" w:lineRule="auto"/>
        <w:jc w:val="center"/>
        <w:rPr>
          <w:rFonts w:eastAsia="黑体" w:cs="Times New Roman"/>
          <w:szCs w:val="21"/>
        </w:rPr>
      </w:pPr>
      <w:r>
        <w:rPr>
          <w:rFonts w:eastAsia="黑体" w:cs="Times New Roman"/>
          <w:szCs w:val="21"/>
        </w:rPr>
        <w:t>表</w:t>
      </w:r>
      <w:r>
        <w:rPr>
          <w:rFonts w:eastAsia="黑体" w:cs="Times New Roman" w:hint="eastAsia"/>
          <w:szCs w:val="21"/>
        </w:rPr>
        <w:t>2.4-8</w:t>
      </w:r>
      <w:r>
        <w:rPr>
          <w:rFonts w:eastAsia="黑体" w:cs="Times New Roman"/>
          <w:szCs w:val="21"/>
        </w:rPr>
        <w:t xml:space="preserve">  </w:t>
      </w:r>
      <w:r>
        <w:rPr>
          <w:rFonts w:eastAsia="黑体" w:cs="Times New Roman"/>
          <w:szCs w:val="21"/>
        </w:rPr>
        <w:t>环境噪声标准限值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0"/>
        <w:gridCol w:w="2959"/>
        <w:gridCol w:w="2957"/>
      </w:tblGrid>
      <w:tr w:rsidR="007D1E74" w14:paraId="1AC67072" w14:textId="77777777">
        <w:trPr>
          <w:jc w:val="center"/>
        </w:trPr>
        <w:tc>
          <w:tcPr>
            <w:tcW w:w="1719" w:type="pct"/>
            <w:shd w:val="clear" w:color="auto" w:fill="auto"/>
            <w:vAlign w:val="center"/>
          </w:tcPr>
          <w:p w14:paraId="060D0D74" w14:textId="77777777" w:rsidR="007D1E74" w:rsidRDefault="00A95641">
            <w:pPr>
              <w:jc w:val="center"/>
              <w:rPr>
                <w:rFonts w:cs="Times New Roman"/>
                <w:szCs w:val="21"/>
              </w:rPr>
            </w:pPr>
            <w:r>
              <w:rPr>
                <w:rFonts w:cs="Times New Roman"/>
                <w:szCs w:val="21"/>
              </w:rPr>
              <w:t>标准</w:t>
            </w:r>
          </w:p>
        </w:tc>
        <w:tc>
          <w:tcPr>
            <w:tcW w:w="1641" w:type="pct"/>
            <w:shd w:val="clear" w:color="auto" w:fill="auto"/>
            <w:vAlign w:val="center"/>
          </w:tcPr>
          <w:p w14:paraId="3DC9C819" w14:textId="77777777" w:rsidR="007D1E74" w:rsidRDefault="00A95641">
            <w:pPr>
              <w:jc w:val="center"/>
              <w:rPr>
                <w:rFonts w:cs="Times New Roman"/>
                <w:szCs w:val="21"/>
              </w:rPr>
            </w:pPr>
            <w:r>
              <w:rPr>
                <w:rFonts w:cs="Times New Roman"/>
                <w:szCs w:val="21"/>
              </w:rPr>
              <w:t>昼间</w:t>
            </w:r>
          </w:p>
        </w:tc>
        <w:tc>
          <w:tcPr>
            <w:tcW w:w="1640" w:type="pct"/>
            <w:shd w:val="clear" w:color="auto" w:fill="auto"/>
            <w:vAlign w:val="center"/>
          </w:tcPr>
          <w:p w14:paraId="010E4053" w14:textId="77777777" w:rsidR="007D1E74" w:rsidRDefault="00A95641">
            <w:pPr>
              <w:jc w:val="center"/>
              <w:rPr>
                <w:rFonts w:cs="Times New Roman"/>
                <w:szCs w:val="21"/>
              </w:rPr>
            </w:pPr>
            <w:r>
              <w:rPr>
                <w:rFonts w:cs="Times New Roman"/>
                <w:szCs w:val="21"/>
              </w:rPr>
              <w:t>夜间</w:t>
            </w:r>
          </w:p>
        </w:tc>
      </w:tr>
      <w:tr w:rsidR="007D1E74" w14:paraId="37A856AB" w14:textId="77777777">
        <w:trPr>
          <w:jc w:val="center"/>
        </w:trPr>
        <w:tc>
          <w:tcPr>
            <w:tcW w:w="1719" w:type="pct"/>
            <w:shd w:val="clear" w:color="auto" w:fill="auto"/>
            <w:vAlign w:val="center"/>
          </w:tcPr>
          <w:p w14:paraId="49D4730C" w14:textId="77777777" w:rsidR="007D1E74" w:rsidRDefault="00A95641">
            <w:pPr>
              <w:jc w:val="center"/>
              <w:rPr>
                <w:rFonts w:cs="Times New Roman"/>
                <w:szCs w:val="21"/>
              </w:rPr>
            </w:pPr>
            <w:r>
              <w:rPr>
                <w:rFonts w:cs="Times New Roman"/>
                <w:szCs w:val="21"/>
              </w:rPr>
              <w:t>标准限值</w:t>
            </w:r>
            <w:r>
              <w:rPr>
                <w:rFonts w:eastAsia="仿宋" w:cs="Times New Roman"/>
                <w:szCs w:val="21"/>
              </w:rPr>
              <w:t>[</w:t>
            </w:r>
            <w:r>
              <w:rPr>
                <w:rFonts w:cs="Times New Roman"/>
                <w:szCs w:val="21"/>
              </w:rPr>
              <w:t>dB</w:t>
            </w:r>
            <w:r>
              <w:rPr>
                <w:rFonts w:cs="Times New Roman"/>
                <w:szCs w:val="21"/>
              </w:rPr>
              <w:t>（</w:t>
            </w:r>
            <w:r>
              <w:rPr>
                <w:rFonts w:cs="Times New Roman"/>
                <w:szCs w:val="21"/>
              </w:rPr>
              <w:t>A</w:t>
            </w:r>
            <w:r>
              <w:rPr>
                <w:rFonts w:cs="Times New Roman"/>
                <w:szCs w:val="21"/>
              </w:rPr>
              <w:t>）</w:t>
            </w:r>
            <w:r>
              <w:rPr>
                <w:rFonts w:eastAsia="仿宋" w:cs="Times New Roman"/>
                <w:szCs w:val="21"/>
              </w:rPr>
              <w:t>]</w:t>
            </w:r>
          </w:p>
        </w:tc>
        <w:tc>
          <w:tcPr>
            <w:tcW w:w="1641" w:type="pct"/>
            <w:shd w:val="clear" w:color="auto" w:fill="auto"/>
            <w:vAlign w:val="center"/>
          </w:tcPr>
          <w:p w14:paraId="764E6A16" w14:textId="77777777" w:rsidR="007D1E74" w:rsidRDefault="00A95641">
            <w:pPr>
              <w:jc w:val="center"/>
              <w:rPr>
                <w:rFonts w:cs="Times New Roman"/>
                <w:szCs w:val="21"/>
              </w:rPr>
            </w:pPr>
            <w:r>
              <w:rPr>
                <w:rFonts w:cs="Times New Roman" w:hint="eastAsia"/>
                <w:szCs w:val="21"/>
              </w:rPr>
              <w:t>55</w:t>
            </w:r>
          </w:p>
        </w:tc>
        <w:tc>
          <w:tcPr>
            <w:tcW w:w="1640" w:type="pct"/>
            <w:shd w:val="clear" w:color="auto" w:fill="auto"/>
            <w:vAlign w:val="center"/>
          </w:tcPr>
          <w:p w14:paraId="3948C488" w14:textId="77777777" w:rsidR="007D1E74" w:rsidRDefault="00A95641">
            <w:pPr>
              <w:jc w:val="center"/>
              <w:rPr>
                <w:rFonts w:cs="Times New Roman"/>
                <w:szCs w:val="21"/>
              </w:rPr>
            </w:pPr>
            <w:r>
              <w:rPr>
                <w:rFonts w:cs="Times New Roman" w:hint="eastAsia"/>
                <w:szCs w:val="21"/>
              </w:rPr>
              <w:t>45</w:t>
            </w:r>
          </w:p>
        </w:tc>
      </w:tr>
    </w:tbl>
    <w:p w14:paraId="5011BFFA" w14:textId="77777777" w:rsidR="007D1E74" w:rsidRDefault="00A95641">
      <w:pPr>
        <w:adjustRightInd w:val="0"/>
        <w:snapToGrid w:val="0"/>
        <w:spacing w:line="360" w:lineRule="auto"/>
        <w:ind w:firstLineChars="200" w:firstLine="482"/>
        <w:rPr>
          <w:rFonts w:cs="Times New Roman"/>
          <w:sz w:val="24"/>
          <w:szCs w:val="24"/>
        </w:rPr>
      </w:pPr>
      <w:r>
        <w:rPr>
          <w:rFonts w:cs="Times New Roman"/>
          <w:b/>
          <w:sz w:val="24"/>
          <w:szCs w:val="24"/>
        </w:rPr>
        <w:t>（</w:t>
      </w:r>
      <w:r>
        <w:rPr>
          <w:rFonts w:cs="Times New Roman" w:hint="eastAsia"/>
          <w:b/>
          <w:sz w:val="24"/>
          <w:szCs w:val="24"/>
        </w:rPr>
        <w:t>6</w:t>
      </w:r>
      <w:r>
        <w:rPr>
          <w:rFonts w:cs="Times New Roman"/>
          <w:b/>
          <w:sz w:val="24"/>
          <w:szCs w:val="24"/>
        </w:rPr>
        <w:t>）</w:t>
      </w:r>
      <w:r>
        <w:rPr>
          <w:rFonts w:cs="Times New Roman" w:hint="eastAsia"/>
          <w:b/>
          <w:sz w:val="24"/>
          <w:szCs w:val="24"/>
        </w:rPr>
        <w:t>生态</w:t>
      </w:r>
      <w:r>
        <w:rPr>
          <w:rFonts w:cs="Times New Roman"/>
          <w:b/>
          <w:sz w:val="24"/>
          <w:szCs w:val="24"/>
        </w:rPr>
        <w:t>环境</w:t>
      </w:r>
    </w:p>
    <w:p w14:paraId="53FEBC33" w14:textId="77777777" w:rsidR="007D1E74" w:rsidRDefault="00A95641">
      <w:pPr>
        <w:adjustRightInd w:val="0"/>
        <w:snapToGrid w:val="0"/>
        <w:spacing w:line="360" w:lineRule="auto"/>
        <w:ind w:firstLineChars="200" w:firstLine="480"/>
        <w:rPr>
          <w:rFonts w:cs="Times New Roman"/>
          <w:sz w:val="24"/>
          <w:szCs w:val="24"/>
        </w:rPr>
      </w:pPr>
      <w:r>
        <w:rPr>
          <w:rFonts w:cs="Times New Roman"/>
          <w:sz w:val="24"/>
          <w:szCs w:val="24"/>
        </w:rPr>
        <w:t>生态环境按照相关技术导则、规范要求作为评价准则，土壤侵蚀标准执行《土壤侵蚀分类分级标准》（</w:t>
      </w:r>
      <w:r>
        <w:rPr>
          <w:rFonts w:cs="Times New Roman"/>
          <w:sz w:val="24"/>
          <w:szCs w:val="24"/>
        </w:rPr>
        <w:t>SL 190-2007</w:t>
      </w:r>
      <w:r>
        <w:rPr>
          <w:rFonts w:cs="Times New Roman"/>
          <w:sz w:val="24"/>
          <w:szCs w:val="24"/>
        </w:rPr>
        <w:t>）。</w:t>
      </w:r>
    </w:p>
    <w:p w14:paraId="6E86DD52" w14:textId="77777777" w:rsidR="007D1E74" w:rsidRDefault="00A95641">
      <w:pPr>
        <w:snapToGrid w:val="0"/>
        <w:spacing w:line="360" w:lineRule="auto"/>
        <w:ind w:firstLineChars="200" w:firstLine="482"/>
        <w:rPr>
          <w:rFonts w:cs="Times New Roman"/>
          <w:b/>
          <w:sz w:val="24"/>
          <w:szCs w:val="24"/>
        </w:rPr>
      </w:pPr>
      <w:r>
        <w:rPr>
          <w:rFonts w:cs="Times New Roman"/>
          <w:b/>
          <w:sz w:val="24"/>
          <w:szCs w:val="24"/>
        </w:rPr>
        <w:t>2</w:t>
      </w:r>
      <w:r>
        <w:rPr>
          <w:rFonts w:cs="Times New Roman"/>
          <w:b/>
          <w:sz w:val="24"/>
          <w:szCs w:val="24"/>
        </w:rPr>
        <w:t>、污染物排放标准</w:t>
      </w:r>
    </w:p>
    <w:p w14:paraId="46E5891A" w14:textId="77777777" w:rsidR="007D1E74" w:rsidRDefault="00A95641">
      <w:pPr>
        <w:snapToGrid w:val="0"/>
        <w:spacing w:line="360" w:lineRule="auto"/>
        <w:ind w:firstLineChars="200" w:firstLine="482"/>
        <w:rPr>
          <w:rFonts w:cs="Times New Roman"/>
          <w:b/>
          <w:sz w:val="24"/>
          <w:szCs w:val="24"/>
        </w:rPr>
      </w:pPr>
      <w:r>
        <w:rPr>
          <w:rFonts w:cs="Times New Roman"/>
          <w:b/>
          <w:sz w:val="24"/>
          <w:szCs w:val="24"/>
        </w:rPr>
        <w:t>（</w:t>
      </w:r>
      <w:r>
        <w:rPr>
          <w:rFonts w:cs="Times New Roman"/>
          <w:b/>
          <w:sz w:val="24"/>
          <w:szCs w:val="24"/>
        </w:rPr>
        <w:t>1</w:t>
      </w:r>
      <w:r>
        <w:rPr>
          <w:rFonts w:cs="Times New Roman"/>
          <w:b/>
          <w:sz w:val="24"/>
          <w:szCs w:val="24"/>
        </w:rPr>
        <w:t>）废气</w:t>
      </w:r>
    </w:p>
    <w:p w14:paraId="6EC97D17" w14:textId="77777777" w:rsidR="007D1E74" w:rsidRDefault="00A95641">
      <w:pPr>
        <w:spacing w:line="360" w:lineRule="auto"/>
        <w:ind w:firstLineChars="200" w:firstLine="480"/>
        <w:rPr>
          <w:rFonts w:cs="Times New Roman"/>
          <w:b/>
          <w:bCs/>
          <w:sz w:val="24"/>
          <w:szCs w:val="24"/>
        </w:rPr>
      </w:pPr>
      <w:r>
        <w:rPr>
          <w:rFonts w:cs="Times New Roman"/>
          <w:sz w:val="24"/>
          <w:szCs w:val="24"/>
        </w:rPr>
        <w:t>施工期执行《四川省施工场地扬尘排放标准》（</w:t>
      </w:r>
      <w:r>
        <w:rPr>
          <w:rFonts w:cs="Times New Roman"/>
          <w:sz w:val="24"/>
          <w:szCs w:val="24"/>
        </w:rPr>
        <w:t>DB51/2682-2020</w:t>
      </w:r>
      <w:r>
        <w:rPr>
          <w:rFonts w:cs="Times New Roman"/>
          <w:sz w:val="24"/>
          <w:szCs w:val="24"/>
        </w:rPr>
        <w:t>）。营运期</w:t>
      </w:r>
      <w:r>
        <w:rPr>
          <w:rFonts w:cs="Times New Roman" w:hint="eastAsia"/>
          <w:sz w:val="24"/>
          <w:szCs w:val="24"/>
        </w:rPr>
        <w:t>不会产生大气污染物</w:t>
      </w:r>
      <w:r>
        <w:rPr>
          <w:rFonts w:cs="Times New Roman"/>
          <w:sz w:val="24"/>
          <w:szCs w:val="24"/>
        </w:rPr>
        <w:t>。</w:t>
      </w:r>
    </w:p>
    <w:p w14:paraId="42D0C29B" w14:textId="77777777" w:rsidR="007D1E74" w:rsidRDefault="00A95641">
      <w:pPr>
        <w:spacing w:line="360" w:lineRule="auto"/>
        <w:jc w:val="center"/>
        <w:rPr>
          <w:rFonts w:eastAsia="黑体" w:cs="Times New Roman"/>
          <w:szCs w:val="21"/>
        </w:rPr>
      </w:pPr>
      <w:r>
        <w:rPr>
          <w:rFonts w:eastAsia="黑体" w:cs="Times New Roman"/>
          <w:szCs w:val="21"/>
        </w:rPr>
        <w:t>表</w:t>
      </w:r>
      <w:r>
        <w:rPr>
          <w:rFonts w:eastAsia="黑体" w:cs="Times New Roman" w:hint="eastAsia"/>
          <w:szCs w:val="21"/>
        </w:rPr>
        <w:t>2.4-9</w:t>
      </w:r>
      <w:r>
        <w:rPr>
          <w:rFonts w:eastAsia="黑体" w:cs="Times New Roman"/>
          <w:szCs w:val="21"/>
        </w:rPr>
        <w:t xml:space="preserve">  </w:t>
      </w:r>
      <w:r>
        <w:rPr>
          <w:rFonts w:eastAsia="黑体" w:cs="Times New Roman"/>
          <w:szCs w:val="21"/>
        </w:rPr>
        <w:t>施工场地扬尘排放限值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0"/>
        <w:gridCol w:w="1924"/>
        <w:gridCol w:w="2198"/>
        <w:gridCol w:w="2613"/>
        <w:gridCol w:w="1461"/>
      </w:tblGrid>
      <w:tr w:rsidR="007D1E74" w14:paraId="60B63B96" w14:textId="77777777">
        <w:trPr>
          <w:tblHeader/>
          <w:jc w:val="center"/>
        </w:trPr>
        <w:tc>
          <w:tcPr>
            <w:tcW w:w="455" w:type="pct"/>
            <w:vAlign w:val="center"/>
          </w:tcPr>
          <w:p w14:paraId="5DC699D6" w14:textId="77777777" w:rsidR="007D1E74" w:rsidRDefault="00A95641">
            <w:pPr>
              <w:jc w:val="center"/>
              <w:rPr>
                <w:rFonts w:asciiTheme="minorHAnsi" w:hAnsiTheme="minorHAnsi" w:cstheme="minorHAnsi"/>
                <w:szCs w:val="21"/>
              </w:rPr>
            </w:pPr>
            <w:r>
              <w:rPr>
                <w:rFonts w:asciiTheme="minorHAnsi" w:hAnsiTheme="minorHAnsi" w:cstheme="minorHAnsi"/>
                <w:szCs w:val="21"/>
              </w:rPr>
              <w:t>序号</w:t>
            </w:r>
          </w:p>
        </w:tc>
        <w:tc>
          <w:tcPr>
            <w:tcW w:w="1067" w:type="pct"/>
            <w:vAlign w:val="center"/>
          </w:tcPr>
          <w:p w14:paraId="2708854E" w14:textId="77777777" w:rsidR="007D1E74" w:rsidRDefault="00A95641">
            <w:pPr>
              <w:jc w:val="center"/>
              <w:rPr>
                <w:rFonts w:asciiTheme="minorHAnsi" w:hAnsiTheme="minorHAnsi" w:cstheme="minorHAnsi"/>
                <w:szCs w:val="21"/>
              </w:rPr>
            </w:pPr>
            <w:r>
              <w:rPr>
                <w:rFonts w:asciiTheme="minorHAnsi" w:hAnsiTheme="minorHAnsi" w:cstheme="minorHAnsi"/>
                <w:szCs w:val="21"/>
              </w:rPr>
              <w:t>污染物</w:t>
            </w:r>
          </w:p>
        </w:tc>
        <w:tc>
          <w:tcPr>
            <w:tcW w:w="1219" w:type="pct"/>
            <w:vAlign w:val="center"/>
          </w:tcPr>
          <w:p w14:paraId="0CEEBDA8" w14:textId="77777777" w:rsidR="007D1E74" w:rsidRDefault="00A95641">
            <w:pPr>
              <w:jc w:val="center"/>
              <w:rPr>
                <w:rFonts w:asciiTheme="minorHAnsi" w:hAnsiTheme="minorHAnsi" w:cstheme="minorHAnsi"/>
                <w:szCs w:val="21"/>
              </w:rPr>
            </w:pPr>
            <w:r>
              <w:rPr>
                <w:rFonts w:asciiTheme="minorHAnsi" w:hAnsiTheme="minorHAnsi" w:cstheme="minorHAnsi"/>
                <w:szCs w:val="21"/>
              </w:rPr>
              <w:t>施工阶段</w:t>
            </w:r>
          </w:p>
        </w:tc>
        <w:tc>
          <w:tcPr>
            <w:tcW w:w="1449" w:type="pct"/>
            <w:vAlign w:val="center"/>
          </w:tcPr>
          <w:p w14:paraId="3DEE91F9" w14:textId="77777777" w:rsidR="007D1E74" w:rsidRDefault="00A95641">
            <w:pPr>
              <w:jc w:val="center"/>
              <w:rPr>
                <w:rFonts w:asciiTheme="minorHAnsi" w:hAnsiTheme="minorHAnsi" w:cstheme="minorHAnsi"/>
                <w:szCs w:val="21"/>
              </w:rPr>
            </w:pPr>
            <w:r>
              <w:rPr>
                <w:rFonts w:asciiTheme="minorHAnsi" w:hAnsiTheme="minorHAnsi" w:cstheme="minorHAnsi"/>
                <w:szCs w:val="21"/>
              </w:rPr>
              <w:t>监测点排放限值（</w:t>
            </w:r>
            <w:r>
              <w:rPr>
                <w:rFonts w:asciiTheme="minorHAnsi" w:hAnsiTheme="minorHAnsi" w:cstheme="minorHAnsi"/>
                <w:szCs w:val="21"/>
              </w:rPr>
              <w:t>mg/m</w:t>
            </w:r>
            <w:r>
              <w:rPr>
                <w:rFonts w:asciiTheme="minorHAnsi" w:hAnsiTheme="minorHAnsi" w:cstheme="minorHAnsi"/>
                <w:szCs w:val="21"/>
                <w:vertAlign w:val="superscript"/>
              </w:rPr>
              <w:t>3</w:t>
            </w:r>
            <w:r>
              <w:rPr>
                <w:rFonts w:asciiTheme="minorHAnsi" w:hAnsiTheme="minorHAnsi" w:cstheme="minorHAnsi"/>
                <w:szCs w:val="21"/>
              </w:rPr>
              <w:t>）</w:t>
            </w:r>
          </w:p>
        </w:tc>
        <w:tc>
          <w:tcPr>
            <w:tcW w:w="810" w:type="pct"/>
            <w:vAlign w:val="center"/>
          </w:tcPr>
          <w:p w14:paraId="0462E34A" w14:textId="77777777" w:rsidR="007D1E74" w:rsidRDefault="00A95641">
            <w:pPr>
              <w:jc w:val="center"/>
              <w:rPr>
                <w:rFonts w:asciiTheme="minorHAnsi" w:hAnsiTheme="minorHAnsi" w:cstheme="minorHAnsi"/>
                <w:szCs w:val="21"/>
              </w:rPr>
            </w:pPr>
            <w:r>
              <w:rPr>
                <w:rFonts w:asciiTheme="minorHAnsi" w:hAnsiTheme="minorHAnsi" w:cstheme="minorHAnsi"/>
                <w:szCs w:val="21"/>
              </w:rPr>
              <w:t>监测时间</w:t>
            </w:r>
          </w:p>
        </w:tc>
      </w:tr>
      <w:tr w:rsidR="007D1E74" w14:paraId="72485E56" w14:textId="77777777">
        <w:trPr>
          <w:jc w:val="center"/>
        </w:trPr>
        <w:tc>
          <w:tcPr>
            <w:tcW w:w="455" w:type="pct"/>
            <w:vMerge w:val="restart"/>
            <w:vAlign w:val="center"/>
          </w:tcPr>
          <w:p w14:paraId="4A18E20D" w14:textId="77777777" w:rsidR="007D1E74" w:rsidRDefault="00A95641">
            <w:pPr>
              <w:jc w:val="center"/>
              <w:rPr>
                <w:rFonts w:asciiTheme="minorHAnsi" w:hAnsiTheme="minorHAnsi" w:cstheme="minorHAnsi"/>
                <w:szCs w:val="21"/>
              </w:rPr>
            </w:pPr>
            <w:r>
              <w:rPr>
                <w:rFonts w:asciiTheme="minorHAnsi" w:hAnsiTheme="minorHAnsi" w:cstheme="minorHAnsi"/>
                <w:szCs w:val="21"/>
              </w:rPr>
              <w:t>1</w:t>
            </w:r>
          </w:p>
        </w:tc>
        <w:tc>
          <w:tcPr>
            <w:tcW w:w="1067" w:type="pct"/>
            <w:vMerge w:val="restart"/>
            <w:vAlign w:val="center"/>
          </w:tcPr>
          <w:p w14:paraId="37A4F087" w14:textId="77777777" w:rsidR="007D1E74" w:rsidRDefault="00A95641">
            <w:pPr>
              <w:jc w:val="center"/>
              <w:rPr>
                <w:rFonts w:asciiTheme="minorHAnsi" w:hAnsiTheme="minorHAnsi" w:cstheme="minorHAnsi"/>
                <w:szCs w:val="21"/>
              </w:rPr>
            </w:pPr>
            <w:r>
              <w:rPr>
                <w:rFonts w:asciiTheme="minorHAnsi" w:hAnsiTheme="minorHAnsi" w:cstheme="minorHAnsi"/>
                <w:szCs w:val="21"/>
              </w:rPr>
              <w:t>总悬浮颗粒物（</w:t>
            </w:r>
            <w:r>
              <w:rPr>
                <w:rFonts w:asciiTheme="minorHAnsi" w:hAnsiTheme="minorHAnsi" w:cstheme="minorHAnsi"/>
                <w:szCs w:val="21"/>
              </w:rPr>
              <w:t>TSP</w:t>
            </w:r>
            <w:r>
              <w:rPr>
                <w:rFonts w:asciiTheme="minorHAnsi" w:hAnsiTheme="minorHAnsi" w:cstheme="minorHAnsi"/>
                <w:szCs w:val="21"/>
              </w:rPr>
              <w:t>）</w:t>
            </w:r>
          </w:p>
        </w:tc>
        <w:tc>
          <w:tcPr>
            <w:tcW w:w="1219" w:type="pct"/>
            <w:vAlign w:val="center"/>
          </w:tcPr>
          <w:p w14:paraId="4DAC42C9" w14:textId="77777777" w:rsidR="007D1E74" w:rsidRDefault="00A95641">
            <w:pPr>
              <w:jc w:val="center"/>
              <w:rPr>
                <w:rFonts w:asciiTheme="minorHAnsi" w:hAnsiTheme="minorHAnsi" w:cstheme="minorHAnsi"/>
                <w:szCs w:val="21"/>
              </w:rPr>
            </w:pPr>
            <w:r>
              <w:rPr>
                <w:rFonts w:asciiTheme="minorHAnsi" w:hAnsiTheme="minorHAnsi" w:cstheme="minorHAnsi"/>
                <w:szCs w:val="21"/>
              </w:rPr>
              <w:t>拆除过程</w:t>
            </w:r>
            <w:r>
              <w:rPr>
                <w:rFonts w:asciiTheme="minorHAnsi" w:hAnsiTheme="minorHAnsi" w:cstheme="minorHAnsi"/>
                <w:szCs w:val="21"/>
              </w:rPr>
              <w:t>/</w:t>
            </w:r>
            <w:r>
              <w:rPr>
                <w:rFonts w:asciiTheme="minorHAnsi" w:hAnsiTheme="minorHAnsi" w:cstheme="minorHAnsi"/>
                <w:szCs w:val="21"/>
              </w:rPr>
              <w:t>土方开挖</w:t>
            </w:r>
            <w:r>
              <w:rPr>
                <w:rFonts w:asciiTheme="minorHAnsi" w:hAnsiTheme="minorHAnsi" w:cstheme="minorHAnsi"/>
                <w:szCs w:val="21"/>
              </w:rPr>
              <w:t>/</w:t>
            </w:r>
            <w:r>
              <w:rPr>
                <w:rFonts w:asciiTheme="minorHAnsi" w:hAnsiTheme="minorHAnsi" w:cstheme="minorHAnsi"/>
                <w:szCs w:val="21"/>
              </w:rPr>
              <w:t>土方回填</w:t>
            </w:r>
          </w:p>
        </w:tc>
        <w:tc>
          <w:tcPr>
            <w:tcW w:w="1449" w:type="pct"/>
            <w:vAlign w:val="center"/>
          </w:tcPr>
          <w:p w14:paraId="648AE765" w14:textId="77777777" w:rsidR="007D1E74" w:rsidRDefault="00A95641">
            <w:pPr>
              <w:jc w:val="center"/>
              <w:rPr>
                <w:rFonts w:asciiTheme="minorHAnsi" w:hAnsiTheme="minorHAnsi" w:cstheme="minorHAnsi"/>
                <w:szCs w:val="21"/>
              </w:rPr>
            </w:pPr>
            <w:r>
              <w:rPr>
                <w:rFonts w:asciiTheme="minorHAnsi" w:hAnsiTheme="minorHAnsi" w:cstheme="minorHAnsi"/>
                <w:szCs w:val="21"/>
              </w:rPr>
              <w:t>0.600</w:t>
            </w:r>
          </w:p>
        </w:tc>
        <w:tc>
          <w:tcPr>
            <w:tcW w:w="810" w:type="pct"/>
            <w:vMerge w:val="restart"/>
            <w:vAlign w:val="center"/>
          </w:tcPr>
          <w:p w14:paraId="3FDBE762" w14:textId="77777777" w:rsidR="007D1E74" w:rsidRDefault="00A95641">
            <w:pPr>
              <w:jc w:val="center"/>
              <w:rPr>
                <w:rFonts w:asciiTheme="minorHAnsi" w:hAnsiTheme="minorHAnsi" w:cstheme="minorHAnsi"/>
                <w:szCs w:val="21"/>
              </w:rPr>
            </w:pPr>
            <w:r>
              <w:rPr>
                <w:rFonts w:asciiTheme="minorHAnsi" w:hAnsiTheme="minorHAnsi" w:cstheme="minorHAnsi"/>
                <w:szCs w:val="21"/>
              </w:rPr>
              <w:t>自监测起持续</w:t>
            </w:r>
            <w:r>
              <w:rPr>
                <w:rFonts w:asciiTheme="minorHAnsi" w:hAnsiTheme="minorHAnsi" w:cstheme="minorHAnsi"/>
                <w:szCs w:val="21"/>
              </w:rPr>
              <w:t>15min</w:t>
            </w:r>
          </w:p>
        </w:tc>
      </w:tr>
      <w:tr w:rsidR="007D1E74" w14:paraId="6FEEA115" w14:textId="77777777">
        <w:trPr>
          <w:jc w:val="center"/>
        </w:trPr>
        <w:tc>
          <w:tcPr>
            <w:tcW w:w="455" w:type="pct"/>
            <w:vMerge/>
            <w:vAlign w:val="center"/>
          </w:tcPr>
          <w:p w14:paraId="5D57EADF" w14:textId="77777777" w:rsidR="007D1E74" w:rsidRDefault="007D1E74">
            <w:pPr>
              <w:jc w:val="center"/>
              <w:rPr>
                <w:rFonts w:asciiTheme="minorHAnsi" w:hAnsiTheme="minorHAnsi" w:cstheme="minorHAnsi"/>
                <w:szCs w:val="21"/>
              </w:rPr>
            </w:pPr>
          </w:p>
        </w:tc>
        <w:tc>
          <w:tcPr>
            <w:tcW w:w="1067" w:type="pct"/>
            <w:vMerge/>
            <w:vAlign w:val="center"/>
          </w:tcPr>
          <w:p w14:paraId="10DA60EE" w14:textId="77777777" w:rsidR="007D1E74" w:rsidRDefault="007D1E74">
            <w:pPr>
              <w:jc w:val="center"/>
              <w:rPr>
                <w:rFonts w:asciiTheme="minorHAnsi" w:hAnsiTheme="minorHAnsi" w:cstheme="minorHAnsi"/>
                <w:szCs w:val="21"/>
              </w:rPr>
            </w:pPr>
          </w:p>
        </w:tc>
        <w:tc>
          <w:tcPr>
            <w:tcW w:w="1219" w:type="pct"/>
            <w:vAlign w:val="center"/>
          </w:tcPr>
          <w:p w14:paraId="24C53DDD" w14:textId="77777777" w:rsidR="007D1E74" w:rsidRDefault="00A95641">
            <w:pPr>
              <w:jc w:val="center"/>
              <w:rPr>
                <w:rFonts w:asciiTheme="minorHAnsi" w:hAnsiTheme="minorHAnsi" w:cstheme="minorHAnsi"/>
                <w:szCs w:val="21"/>
              </w:rPr>
            </w:pPr>
            <w:r>
              <w:rPr>
                <w:rFonts w:asciiTheme="minorHAnsi" w:hAnsiTheme="minorHAnsi" w:cstheme="minorHAnsi"/>
                <w:szCs w:val="21"/>
              </w:rPr>
              <w:t>其他过程阶段</w:t>
            </w:r>
          </w:p>
        </w:tc>
        <w:tc>
          <w:tcPr>
            <w:tcW w:w="1449" w:type="pct"/>
            <w:vAlign w:val="center"/>
          </w:tcPr>
          <w:p w14:paraId="3DE311FD" w14:textId="77777777" w:rsidR="007D1E74" w:rsidRDefault="00A95641">
            <w:pPr>
              <w:jc w:val="center"/>
              <w:rPr>
                <w:rFonts w:asciiTheme="minorHAnsi" w:hAnsiTheme="minorHAnsi" w:cstheme="minorHAnsi"/>
                <w:szCs w:val="21"/>
              </w:rPr>
            </w:pPr>
            <w:r>
              <w:rPr>
                <w:rFonts w:asciiTheme="minorHAnsi" w:hAnsiTheme="minorHAnsi" w:cstheme="minorHAnsi"/>
                <w:szCs w:val="21"/>
              </w:rPr>
              <w:t>0.250</w:t>
            </w:r>
          </w:p>
        </w:tc>
        <w:tc>
          <w:tcPr>
            <w:tcW w:w="810" w:type="pct"/>
            <w:vMerge/>
            <w:vAlign w:val="center"/>
          </w:tcPr>
          <w:p w14:paraId="4B35F46C" w14:textId="77777777" w:rsidR="007D1E74" w:rsidRDefault="007D1E74">
            <w:pPr>
              <w:jc w:val="center"/>
              <w:rPr>
                <w:rFonts w:asciiTheme="minorHAnsi" w:hAnsiTheme="minorHAnsi" w:cstheme="minorHAnsi"/>
                <w:szCs w:val="21"/>
              </w:rPr>
            </w:pPr>
          </w:p>
        </w:tc>
      </w:tr>
    </w:tbl>
    <w:p w14:paraId="30A69845" w14:textId="77777777" w:rsidR="007D1E74" w:rsidRDefault="00A95641">
      <w:pPr>
        <w:snapToGrid w:val="0"/>
        <w:spacing w:line="360" w:lineRule="auto"/>
        <w:ind w:firstLineChars="200" w:firstLine="482"/>
        <w:rPr>
          <w:rFonts w:cs="Times New Roman"/>
          <w:b/>
          <w:sz w:val="24"/>
          <w:szCs w:val="24"/>
        </w:rPr>
      </w:pPr>
      <w:r>
        <w:rPr>
          <w:rFonts w:cs="Times New Roman"/>
          <w:b/>
          <w:sz w:val="24"/>
          <w:szCs w:val="24"/>
        </w:rPr>
        <w:t>（</w:t>
      </w:r>
      <w:r>
        <w:rPr>
          <w:rFonts w:cs="Times New Roman"/>
          <w:b/>
          <w:sz w:val="24"/>
          <w:szCs w:val="24"/>
        </w:rPr>
        <w:t>2</w:t>
      </w:r>
      <w:r>
        <w:rPr>
          <w:rFonts w:cs="Times New Roman"/>
          <w:b/>
          <w:sz w:val="24"/>
          <w:szCs w:val="24"/>
        </w:rPr>
        <w:t>）废水</w:t>
      </w:r>
    </w:p>
    <w:p w14:paraId="022C4971" w14:textId="77777777" w:rsidR="007D1E74" w:rsidRDefault="00A95641">
      <w:pPr>
        <w:snapToGrid w:val="0"/>
        <w:spacing w:line="360" w:lineRule="auto"/>
        <w:ind w:firstLineChars="200" w:firstLine="480"/>
        <w:rPr>
          <w:rFonts w:cs="Times New Roman"/>
          <w:sz w:val="24"/>
          <w:szCs w:val="24"/>
        </w:rPr>
      </w:pPr>
      <w:r>
        <w:rPr>
          <w:rFonts w:cs="Times New Roman" w:hint="eastAsia"/>
          <w:sz w:val="24"/>
          <w:szCs w:val="24"/>
        </w:rPr>
        <w:lastRenderedPageBreak/>
        <w:t>本项目施工期废水不外排，运营期不产生废水，因此项目废水不外排。</w:t>
      </w:r>
    </w:p>
    <w:p w14:paraId="780A1444" w14:textId="77777777" w:rsidR="007D1E74" w:rsidRDefault="00A95641">
      <w:pPr>
        <w:snapToGrid w:val="0"/>
        <w:spacing w:line="360" w:lineRule="auto"/>
        <w:ind w:firstLineChars="200" w:firstLine="482"/>
        <w:rPr>
          <w:rFonts w:cs="Times New Roman"/>
          <w:b/>
          <w:sz w:val="24"/>
          <w:szCs w:val="24"/>
        </w:rPr>
      </w:pPr>
      <w:r>
        <w:rPr>
          <w:rFonts w:cs="Times New Roman"/>
          <w:b/>
          <w:sz w:val="24"/>
          <w:szCs w:val="24"/>
        </w:rPr>
        <w:t>（</w:t>
      </w:r>
      <w:r>
        <w:rPr>
          <w:rFonts w:cs="Times New Roman"/>
          <w:b/>
          <w:sz w:val="24"/>
          <w:szCs w:val="24"/>
        </w:rPr>
        <w:t>3</w:t>
      </w:r>
      <w:r>
        <w:rPr>
          <w:rFonts w:cs="Times New Roman"/>
          <w:b/>
          <w:sz w:val="24"/>
          <w:szCs w:val="24"/>
        </w:rPr>
        <w:t>）噪声</w:t>
      </w:r>
    </w:p>
    <w:p w14:paraId="35B878F4" w14:textId="77777777" w:rsidR="007D1E74" w:rsidRDefault="00A95641">
      <w:pPr>
        <w:adjustRightInd w:val="0"/>
        <w:snapToGrid w:val="0"/>
        <w:spacing w:line="360" w:lineRule="auto"/>
        <w:ind w:firstLineChars="200" w:firstLine="480"/>
        <w:rPr>
          <w:rFonts w:cs="Times New Roman"/>
          <w:sz w:val="24"/>
          <w:szCs w:val="30"/>
        </w:rPr>
      </w:pPr>
      <w:r>
        <w:rPr>
          <w:rFonts w:cs="Times New Roman"/>
          <w:sz w:val="24"/>
          <w:szCs w:val="30"/>
        </w:rPr>
        <w:t>施工期执行《建筑施工场界环境噪声排放标准》（</w:t>
      </w:r>
      <w:r>
        <w:rPr>
          <w:rFonts w:cs="Times New Roman"/>
          <w:sz w:val="24"/>
          <w:szCs w:val="30"/>
        </w:rPr>
        <w:t>GB12523-2011</w:t>
      </w:r>
      <w:r>
        <w:rPr>
          <w:rFonts w:cs="Times New Roman"/>
          <w:sz w:val="24"/>
          <w:szCs w:val="30"/>
        </w:rPr>
        <w:t>）；营运期执行《工业企业厂界环境噪声排放标准》（</w:t>
      </w:r>
      <w:r>
        <w:rPr>
          <w:rFonts w:cs="Times New Roman"/>
          <w:sz w:val="24"/>
          <w:szCs w:val="30"/>
        </w:rPr>
        <w:t>GB12348-2008</w:t>
      </w:r>
      <w:r>
        <w:rPr>
          <w:rFonts w:cs="Times New Roman"/>
          <w:sz w:val="24"/>
          <w:szCs w:val="30"/>
        </w:rPr>
        <w:t>）</w:t>
      </w:r>
      <w:r>
        <w:rPr>
          <w:rFonts w:cs="Times New Roman" w:hint="eastAsia"/>
          <w:sz w:val="24"/>
          <w:szCs w:val="30"/>
        </w:rPr>
        <w:t>1</w:t>
      </w:r>
      <w:r>
        <w:rPr>
          <w:rFonts w:cs="Times New Roman"/>
          <w:sz w:val="24"/>
          <w:szCs w:val="30"/>
        </w:rPr>
        <w:t>类标准。</w:t>
      </w:r>
    </w:p>
    <w:p w14:paraId="010509FA" w14:textId="77777777" w:rsidR="007D1E74" w:rsidRDefault="00A95641">
      <w:pPr>
        <w:adjustRightInd w:val="0"/>
        <w:snapToGrid w:val="0"/>
        <w:spacing w:line="360" w:lineRule="auto"/>
        <w:ind w:firstLineChars="200" w:firstLine="420"/>
        <w:jc w:val="center"/>
        <w:rPr>
          <w:rFonts w:eastAsia="黑体" w:cs="Times New Roman"/>
          <w:szCs w:val="21"/>
        </w:rPr>
      </w:pPr>
      <w:r>
        <w:rPr>
          <w:rFonts w:eastAsia="黑体" w:cs="Times New Roman"/>
          <w:szCs w:val="21"/>
        </w:rPr>
        <w:t>表</w:t>
      </w:r>
      <w:r>
        <w:rPr>
          <w:rFonts w:eastAsia="黑体" w:cs="Times New Roman" w:hint="eastAsia"/>
          <w:szCs w:val="21"/>
        </w:rPr>
        <w:t>2.4-10</w:t>
      </w:r>
      <w:r>
        <w:rPr>
          <w:rFonts w:eastAsia="黑体" w:cs="Times New Roman"/>
          <w:szCs w:val="21"/>
        </w:rPr>
        <w:t xml:space="preserve">  </w:t>
      </w:r>
      <w:r>
        <w:rPr>
          <w:rFonts w:eastAsia="黑体" w:cs="Times New Roman"/>
          <w:szCs w:val="21"/>
        </w:rPr>
        <w:t>本项目拟执行噪声排放限值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4"/>
        <w:gridCol w:w="2921"/>
        <w:gridCol w:w="2921"/>
      </w:tblGrid>
      <w:tr w:rsidR="007D1E74" w14:paraId="26D6BF3B" w14:textId="77777777">
        <w:trPr>
          <w:jc w:val="center"/>
        </w:trPr>
        <w:tc>
          <w:tcPr>
            <w:tcW w:w="1760" w:type="pct"/>
            <w:shd w:val="clear" w:color="auto" w:fill="auto"/>
            <w:vAlign w:val="center"/>
          </w:tcPr>
          <w:p w14:paraId="395C6D6C" w14:textId="77777777" w:rsidR="007D1E74" w:rsidRDefault="00A95641">
            <w:pPr>
              <w:jc w:val="center"/>
              <w:rPr>
                <w:rFonts w:cs="Times New Roman"/>
                <w:szCs w:val="21"/>
              </w:rPr>
            </w:pPr>
            <w:r>
              <w:rPr>
                <w:rFonts w:cs="Times New Roman"/>
                <w:szCs w:val="21"/>
              </w:rPr>
              <w:t>项目</w:t>
            </w:r>
          </w:p>
        </w:tc>
        <w:tc>
          <w:tcPr>
            <w:tcW w:w="1620" w:type="pct"/>
            <w:shd w:val="clear" w:color="auto" w:fill="auto"/>
            <w:vAlign w:val="center"/>
          </w:tcPr>
          <w:p w14:paraId="29DEAB84" w14:textId="77777777" w:rsidR="007D1E74" w:rsidRDefault="00A95641">
            <w:pPr>
              <w:jc w:val="center"/>
              <w:rPr>
                <w:rFonts w:cs="Times New Roman"/>
                <w:szCs w:val="21"/>
              </w:rPr>
            </w:pPr>
            <w:r>
              <w:rPr>
                <w:rFonts w:cs="Times New Roman"/>
                <w:szCs w:val="21"/>
              </w:rPr>
              <w:t>昼间</w:t>
            </w:r>
          </w:p>
        </w:tc>
        <w:tc>
          <w:tcPr>
            <w:tcW w:w="1620" w:type="pct"/>
            <w:shd w:val="clear" w:color="auto" w:fill="auto"/>
            <w:vAlign w:val="center"/>
          </w:tcPr>
          <w:p w14:paraId="5E66BFBE" w14:textId="77777777" w:rsidR="007D1E74" w:rsidRDefault="00A95641">
            <w:pPr>
              <w:jc w:val="center"/>
              <w:rPr>
                <w:rFonts w:cs="Times New Roman"/>
                <w:szCs w:val="21"/>
              </w:rPr>
            </w:pPr>
            <w:r>
              <w:rPr>
                <w:rFonts w:cs="Times New Roman"/>
                <w:szCs w:val="21"/>
              </w:rPr>
              <w:t>夜间</w:t>
            </w:r>
          </w:p>
        </w:tc>
      </w:tr>
      <w:tr w:rsidR="007D1E74" w14:paraId="5773DC3F" w14:textId="77777777">
        <w:trPr>
          <w:jc w:val="center"/>
        </w:trPr>
        <w:tc>
          <w:tcPr>
            <w:tcW w:w="1760" w:type="pct"/>
            <w:shd w:val="clear" w:color="auto" w:fill="auto"/>
            <w:vAlign w:val="center"/>
          </w:tcPr>
          <w:p w14:paraId="177300CB" w14:textId="77777777" w:rsidR="007D1E74" w:rsidRDefault="00A95641">
            <w:pPr>
              <w:jc w:val="center"/>
              <w:rPr>
                <w:rFonts w:cs="Times New Roman"/>
                <w:szCs w:val="21"/>
              </w:rPr>
            </w:pPr>
            <w:r>
              <w:rPr>
                <w:rFonts w:cs="Times New Roman"/>
                <w:szCs w:val="21"/>
              </w:rPr>
              <w:t>施工期排放标准</w:t>
            </w:r>
            <w:r>
              <w:rPr>
                <w:rFonts w:eastAsia="仿宋" w:cs="Times New Roman"/>
                <w:szCs w:val="21"/>
              </w:rPr>
              <w:t>[</w:t>
            </w:r>
            <w:r>
              <w:rPr>
                <w:rFonts w:cs="Times New Roman"/>
                <w:szCs w:val="21"/>
              </w:rPr>
              <w:t>dB</w:t>
            </w:r>
            <w:r>
              <w:rPr>
                <w:rFonts w:cs="Times New Roman"/>
                <w:szCs w:val="21"/>
              </w:rPr>
              <w:t>（</w:t>
            </w:r>
            <w:r>
              <w:rPr>
                <w:rFonts w:cs="Times New Roman"/>
                <w:szCs w:val="21"/>
              </w:rPr>
              <w:t>A</w:t>
            </w:r>
            <w:r>
              <w:rPr>
                <w:rFonts w:cs="Times New Roman"/>
                <w:szCs w:val="21"/>
              </w:rPr>
              <w:t>）</w:t>
            </w:r>
            <w:r>
              <w:rPr>
                <w:rFonts w:eastAsia="仿宋" w:cs="Times New Roman"/>
                <w:szCs w:val="21"/>
              </w:rPr>
              <w:t>]</w:t>
            </w:r>
          </w:p>
        </w:tc>
        <w:tc>
          <w:tcPr>
            <w:tcW w:w="1620" w:type="pct"/>
            <w:shd w:val="clear" w:color="auto" w:fill="auto"/>
            <w:vAlign w:val="center"/>
          </w:tcPr>
          <w:p w14:paraId="31F234BA" w14:textId="77777777" w:rsidR="007D1E74" w:rsidRDefault="00A95641">
            <w:pPr>
              <w:jc w:val="center"/>
              <w:rPr>
                <w:rFonts w:cs="Times New Roman"/>
                <w:szCs w:val="21"/>
              </w:rPr>
            </w:pPr>
            <w:r>
              <w:rPr>
                <w:rFonts w:cs="Times New Roman"/>
                <w:szCs w:val="21"/>
              </w:rPr>
              <w:t>70</w:t>
            </w:r>
          </w:p>
        </w:tc>
        <w:tc>
          <w:tcPr>
            <w:tcW w:w="1620" w:type="pct"/>
            <w:shd w:val="clear" w:color="auto" w:fill="auto"/>
            <w:vAlign w:val="center"/>
          </w:tcPr>
          <w:p w14:paraId="33DD9A43" w14:textId="77777777" w:rsidR="007D1E74" w:rsidRDefault="00A95641">
            <w:pPr>
              <w:jc w:val="center"/>
              <w:rPr>
                <w:rFonts w:cs="Times New Roman"/>
                <w:szCs w:val="21"/>
              </w:rPr>
            </w:pPr>
            <w:r>
              <w:rPr>
                <w:rFonts w:cs="Times New Roman"/>
                <w:szCs w:val="21"/>
              </w:rPr>
              <w:t>55</w:t>
            </w:r>
          </w:p>
        </w:tc>
      </w:tr>
      <w:tr w:rsidR="007D1E74" w14:paraId="66B6D124" w14:textId="77777777">
        <w:trPr>
          <w:jc w:val="center"/>
        </w:trPr>
        <w:tc>
          <w:tcPr>
            <w:tcW w:w="1760" w:type="pct"/>
            <w:shd w:val="clear" w:color="auto" w:fill="auto"/>
            <w:vAlign w:val="center"/>
          </w:tcPr>
          <w:p w14:paraId="12D549E9" w14:textId="77777777" w:rsidR="007D1E74" w:rsidRDefault="00A95641">
            <w:pPr>
              <w:jc w:val="center"/>
              <w:rPr>
                <w:rFonts w:cs="Times New Roman"/>
                <w:szCs w:val="21"/>
              </w:rPr>
            </w:pPr>
            <w:r>
              <w:rPr>
                <w:rFonts w:cs="Times New Roman"/>
                <w:szCs w:val="21"/>
              </w:rPr>
              <w:t>营运期排放标准</w:t>
            </w:r>
            <w:r>
              <w:rPr>
                <w:rFonts w:eastAsia="仿宋" w:cs="Times New Roman"/>
                <w:szCs w:val="21"/>
              </w:rPr>
              <w:t>[</w:t>
            </w:r>
            <w:r>
              <w:rPr>
                <w:rFonts w:cs="Times New Roman"/>
                <w:szCs w:val="21"/>
              </w:rPr>
              <w:t>dB</w:t>
            </w:r>
            <w:r>
              <w:rPr>
                <w:rFonts w:cs="Times New Roman"/>
                <w:szCs w:val="21"/>
              </w:rPr>
              <w:t>（</w:t>
            </w:r>
            <w:r>
              <w:rPr>
                <w:rFonts w:cs="Times New Roman"/>
                <w:szCs w:val="21"/>
              </w:rPr>
              <w:t>A</w:t>
            </w:r>
            <w:r>
              <w:rPr>
                <w:rFonts w:cs="Times New Roman"/>
                <w:szCs w:val="21"/>
              </w:rPr>
              <w:t>）</w:t>
            </w:r>
            <w:r>
              <w:rPr>
                <w:rFonts w:eastAsia="仿宋" w:cs="Times New Roman"/>
                <w:szCs w:val="21"/>
              </w:rPr>
              <w:t>]</w:t>
            </w:r>
          </w:p>
        </w:tc>
        <w:tc>
          <w:tcPr>
            <w:tcW w:w="1620" w:type="pct"/>
            <w:shd w:val="clear" w:color="auto" w:fill="auto"/>
            <w:vAlign w:val="center"/>
          </w:tcPr>
          <w:p w14:paraId="1B812E23" w14:textId="77777777" w:rsidR="007D1E74" w:rsidRDefault="00A95641">
            <w:pPr>
              <w:jc w:val="center"/>
              <w:rPr>
                <w:rFonts w:cs="Times New Roman"/>
                <w:szCs w:val="21"/>
              </w:rPr>
            </w:pPr>
            <w:r>
              <w:rPr>
                <w:rFonts w:cs="Times New Roman" w:hint="eastAsia"/>
                <w:szCs w:val="21"/>
              </w:rPr>
              <w:t>55</w:t>
            </w:r>
          </w:p>
        </w:tc>
        <w:tc>
          <w:tcPr>
            <w:tcW w:w="1620" w:type="pct"/>
            <w:shd w:val="clear" w:color="auto" w:fill="auto"/>
            <w:vAlign w:val="center"/>
          </w:tcPr>
          <w:p w14:paraId="45D3BAEC" w14:textId="77777777" w:rsidR="007D1E74" w:rsidRDefault="00A95641">
            <w:pPr>
              <w:jc w:val="center"/>
              <w:rPr>
                <w:rFonts w:cs="Times New Roman"/>
                <w:szCs w:val="21"/>
              </w:rPr>
            </w:pPr>
            <w:r>
              <w:rPr>
                <w:rFonts w:cs="Times New Roman" w:hint="eastAsia"/>
                <w:szCs w:val="21"/>
              </w:rPr>
              <w:t>45</w:t>
            </w:r>
          </w:p>
        </w:tc>
      </w:tr>
    </w:tbl>
    <w:p w14:paraId="0E823104" w14:textId="77777777" w:rsidR="007D1E74" w:rsidRDefault="00A95641">
      <w:pPr>
        <w:snapToGrid w:val="0"/>
        <w:spacing w:line="360" w:lineRule="auto"/>
        <w:ind w:firstLineChars="200" w:firstLine="482"/>
        <w:rPr>
          <w:rFonts w:cs="Times New Roman"/>
          <w:b/>
          <w:sz w:val="24"/>
          <w:szCs w:val="24"/>
        </w:rPr>
      </w:pPr>
      <w:r>
        <w:rPr>
          <w:rFonts w:cs="Times New Roman"/>
          <w:b/>
          <w:sz w:val="24"/>
          <w:szCs w:val="24"/>
        </w:rPr>
        <w:t>（</w:t>
      </w:r>
      <w:r>
        <w:rPr>
          <w:rFonts w:cs="Times New Roman"/>
          <w:b/>
          <w:sz w:val="24"/>
          <w:szCs w:val="24"/>
        </w:rPr>
        <w:t>4</w:t>
      </w:r>
      <w:r>
        <w:rPr>
          <w:rFonts w:cs="Times New Roman"/>
          <w:b/>
          <w:sz w:val="24"/>
          <w:szCs w:val="24"/>
        </w:rPr>
        <w:t>）固体废物</w:t>
      </w:r>
    </w:p>
    <w:p w14:paraId="339F1F40" w14:textId="77777777" w:rsidR="007D1E74" w:rsidRDefault="00A95641">
      <w:pPr>
        <w:adjustRightInd w:val="0"/>
        <w:snapToGrid w:val="0"/>
        <w:spacing w:line="360" w:lineRule="auto"/>
        <w:ind w:firstLineChars="200" w:firstLine="480"/>
        <w:rPr>
          <w:rFonts w:cs="Times New Roman"/>
          <w:sz w:val="24"/>
          <w:szCs w:val="30"/>
        </w:rPr>
      </w:pPr>
      <w:r>
        <w:rPr>
          <w:rFonts w:cs="Times New Roman" w:hint="eastAsia"/>
          <w:sz w:val="24"/>
          <w:szCs w:val="30"/>
        </w:rPr>
        <w:t>管道施工期清管废渣按《一般工业固体废物贮存和填埋污染控制标准》</w:t>
      </w:r>
      <w:r>
        <w:rPr>
          <w:rFonts w:cs="Times New Roman" w:hint="eastAsia"/>
          <w:sz w:val="24"/>
          <w:szCs w:val="30"/>
        </w:rPr>
        <w:t>(GB 18599-2020)</w:t>
      </w:r>
      <w:r>
        <w:rPr>
          <w:rFonts w:cs="Times New Roman" w:hint="eastAsia"/>
          <w:sz w:val="24"/>
          <w:szCs w:val="30"/>
        </w:rPr>
        <w:t>中第</w:t>
      </w:r>
      <w:r>
        <w:rPr>
          <w:rFonts w:cs="Times New Roman" w:hint="eastAsia"/>
          <w:sz w:val="24"/>
          <w:szCs w:val="30"/>
        </w:rPr>
        <w:t xml:space="preserve">I </w:t>
      </w:r>
      <w:r>
        <w:rPr>
          <w:rFonts w:cs="Times New Roman" w:hint="eastAsia"/>
          <w:sz w:val="24"/>
          <w:szCs w:val="30"/>
        </w:rPr>
        <w:t>类一般工业固体废物进行控制。</w:t>
      </w:r>
    </w:p>
    <w:p w14:paraId="7A7EA7F3" w14:textId="77777777" w:rsidR="007D1E74" w:rsidRDefault="00A95641">
      <w:pPr>
        <w:pStyle w:val="a8"/>
      </w:pPr>
      <w:r>
        <w:rPr>
          <w:rFonts w:hint="eastAsia"/>
        </w:rPr>
        <w:t>评价工作等级及评价范围</w:t>
      </w:r>
    </w:p>
    <w:p w14:paraId="67FDFCFA" w14:textId="77777777" w:rsidR="007D1E74" w:rsidRDefault="00A95641">
      <w:pPr>
        <w:pStyle w:val="a9"/>
      </w:pPr>
      <w:r>
        <w:rPr>
          <w:rFonts w:hint="eastAsia"/>
        </w:rPr>
        <w:t>评价工作等级</w:t>
      </w:r>
    </w:p>
    <w:p w14:paraId="15DEEBA6" w14:textId="77777777" w:rsidR="007D1E74" w:rsidRDefault="00A95641">
      <w:pPr>
        <w:pStyle w:val="aa"/>
      </w:pPr>
      <w:r>
        <w:rPr>
          <w:rFonts w:hint="eastAsia"/>
        </w:rPr>
        <w:t>生态评价等级</w:t>
      </w:r>
    </w:p>
    <w:p w14:paraId="2402F734" w14:textId="77777777" w:rsidR="007D1E74" w:rsidRDefault="00A95641">
      <w:pPr>
        <w:spacing w:line="360" w:lineRule="auto"/>
        <w:ind w:firstLineChars="200" w:firstLine="480"/>
        <w:rPr>
          <w:sz w:val="24"/>
        </w:rPr>
      </w:pPr>
      <w:r>
        <w:rPr>
          <w:rFonts w:cs="Times New Roman"/>
          <w:sz w:val="24"/>
        </w:rPr>
        <w:t>本项目管道总长</w:t>
      </w:r>
      <w:r>
        <w:rPr>
          <w:rFonts w:cs="Times New Roman" w:hint="eastAsia"/>
          <w:sz w:val="24"/>
        </w:rPr>
        <w:t>37.8</w:t>
      </w:r>
      <w:r>
        <w:rPr>
          <w:rFonts w:cs="Times New Roman"/>
          <w:sz w:val="24"/>
        </w:rPr>
        <w:t>km</w:t>
      </w:r>
      <w:r>
        <w:rPr>
          <w:rFonts w:cs="Times New Roman"/>
          <w:sz w:val="24"/>
        </w:rPr>
        <w:t>，长度小于</w:t>
      </w:r>
      <w:r>
        <w:rPr>
          <w:rFonts w:cs="Times New Roman"/>
          <w:sz w:val="24"/>
        </w:rPr>
        <w:t>50km</w:t>
      </w:r>
      <w:r>
        <w:rPr>
          <w:rFonts w:cs="Times New Roman"/>
          <w:sz w:val="24"/>
        </w:rPr>
        <w:t>，总占地面积小于</w:t>
      </w:r>
      <w:r>
        <w:rPr>
          <w:rFonts w:cs="Times New Roman"/>
          <w:sz w:val="24"/>
        </w:rPr>
        <w:t>2km</w:t>
      </w:r>
      <w:r>
        <w:rPr>
          <w:rFonts w:cs="Times New Roman"/>
          <w:sz w:val="24"/>
          <w:vertAlign w:val="superscript"/>
        </w:rPr>
        <w:t>2</w:t>
      </w:r>
      <w:r>
        <w:rPr>
          <w:rFonts w:cs="Times New Roman" w:hint="eastAsia"/>
          <w:sz w:val="24"/>
        </w:rPr>
        <w:t>（永久占地）</w:t>
      </w:r>
      <w:r>
        <w:rPr>
          <w:rFonts w:cs="Times New Roman"/>
          <w:sz w:val="24"/>
        </w:rPr>
        <w:t>；项目涉及特殊生态敏感区</w:t>
      </w:r>
      <w:r>
        <w:rPr>
          <w:rFonts w:cs="Times New Roman" w:hint="eastAsia"/>
          <w:sz w:val="24"/>
        </w:rPr>
        <w:t>（四川诺水河珍稀水生动物国家级自然保护区）</w:t>
      </w:r>
      <w:r>
        <w:rPr>
          <w:rFonts w:cs="Times New Roman"/>
          <w:sz w:val="24"/>
        </w:rPr>
        <w:t>，属于特殊生态敏感区，因此生态影响评价工作为</w:t>
      </w:r>
      <w:r>
        <w:rPr>
          <w:rFonts w:cs="Times New Roman" w:hint="eastAsia"/>
          <w:sz w:val="24"/>
        </w:rPr>
        <w:t>一</w:t>
      </w:r>
      <w:r>
        <w:rPr>
          <w:rFonts w:cs="Times New Roman"/>
          <w:sz w:val="24"/>
        </w:rPr>
        <w:t>级。</w:t>
      </w:r>
    </w:p>
    <w:p w14:paraId="20D24CB3" w14:textId="77777777" w:rsidR="007D1E74" w:rsidRDefault="00A95641">
      <w:pPr>
        <w:spacing w:line="360" w:lineRule="auto"/>
        <w:jc w:val="center"/>
        <w:rPr>
          <w:rFonts w:eastAsia="黑体" w:cs="Times New Roman"/>
          <w:szCs w:val="21"/>
        </w:rPr>
      </w:pPr>
      <w:r>
        <w:rPr>
          <w:rFonts w:eastAsia="黑体" w:cs="Times New Roman"/>
          <w:szCs w:val="21"/>
        </w:rPr>
        <w:t>表</w:t>
      </w:r>
      <w:r>
        <w:rPr>
          <w:rFonts w:eastAsia="黑体" w:cs="Times New Roman"/>
          <w:szCs w:val="21"/>
        </w:rPr>
        <w:t>2.</w:t>
      </w:r>
      <w:r>
        <w:rPr>
          <w:rFonts w:eastAsia="黑体" w:cs="Times New Roman" w:hint="eastAsia"/>
          <w:szCs w:val="21"/>
        </w:rPr>
        <w:t>5</w:t>
      </w:r>
      <w:r>
        <w:rPr>
          <w:rFonts w:eastAsia="黑体" w:cs="Times New Roman"/>
          <w:szCs w:val="21"/>
        </w:rPr>
        <w:t xml:space="preserve">-1  </w:t>
      </w:r>
      <w:r>
        <w:rPr>
          <w:rFonts w:eastAsia="黑体" w:cs="Times New Roman"/>
          <w:szCs w:val="21"/>
        </w:rPr>
        <w:t>项目生态环境影响评价工作等级划分表</w:t>
      </w:r>
    </w:p>
    <w:tbl>
      <w:tblPr>
        <w:tblW w:w="481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76"/>
        <w:gridCol w:w="1608"/>
        <w:gridCol w:w="2083"/>
        <w:gridCol w:w="1760"/>
        <w:gridCol w:w="1552"/>
      </w:tblGrid>
      <w:tr w:rsidR="007D1E74" w14:paraId="750F86E3" w14:textId="77777777">
        <w:trPr>
          <w:trHeight w:val="340"/>
          <w:jc w:val="center"/>
        </w:trPr>
        <w:tc>
          <w:tcPr>
            <w:tcW w:w="1750" w:type="dxa"/>
            <w:vMerge w:val="restart"/>
            <w:vAlign w:val="center"/>
          </w:tcPr>
          <w:p w14:paraId="3ED53B74" w14:textId="77777777" w:rsidR="007D1E74" w:rsidRDefault="00A95641">
            <w:pPr>
              <w:jc w:val="center"/>
              <w:rPr>
                <w:szCs w:val="21"/>
              </w:rPr>
            </w:pPr>
            <w:r>
              <w:rPr>
                <w:rFonts w:cs="Times New Roman"/>
                <w:szCs w:val="21"/>
              </w:rPr>
              <w:t>影响区域</w:t>
            </w:r>
          </w:p>
          <w:p w14:paraId="1556B579" w14:textId="77777777" w:rsidR="007D1E74" w:rsidRDefault="00A95641">
            <w:pPr>
              <w:jc w:val="center"/>
              <w:rPr>
                <w:szCs w:val="21"/>
              </w:rPr>
            </w:pPr>
            <w:r>
              <w:rPr>
                <w:rFonts w:cs="Times New Roman"/>
                <w:szCs w:val="21"/>
              </w:rPr>
              <w:t>生态敏感性</w:t>
            </w:r>
          </w:p>
        </w:tc>
        <w:tc>
          <w:tcPr>
            <w:tcW w:w="5632" w:type="dxa"/>
            <w:gridSpan w:val="3"/>
            <w:vAlign w:val="center"/>
          </w:tcPr>
          <w:p w14:paraId="3A7C9EC0" w14:textId="77777777" w:rsidR="007D1E74" w:rsidRDefault="00A95641">
            <w:pPr>
              <w:jc w:val="center"/>
              <w:rPr>
                <w:szCs w:val="21"/>
              </w:rPr>
            </w:pPr>
            <w:r>
              <w:rPr>
                <w:rFonts w:cs="Times New Roman"/>
                <w:szCs w:val="21"/>
              </w:rPr>
              <w:t>工程占地（水域）范围</w:t>
            </w:r>
          </w:p>
        </w:tc>
        <w:tc>
          <w:tcPr>
            <w:tcW w:w="1588" w:type="dxa"/>
            <w:vMerge w:val="restart"/>
            <w:vAlign w:val="center"/>
          </w:tcPr>
          <w:p w14:paraId="59E303A4" w14:textId="77777777" w:rsidR="007D1E74" w:rsidRDefault="00A95641">
            <w:pPr>
              <w:jc w:val="center"/>
              <w:rPr>
                <w:szCs w:val="21"/>
              </w:rPr>
            </w:pPr>
            <w:r>
              <w:rPr>
                <w:rFonts w:cs="Times New Roman"/>
                <w:szCs w:val="21"/>
              </w:rPr>
              <w:t>本项目实际情况</w:t>
            </w:r>
          </w:p>
        </w:tc>
      </w:tr>
      <w:tr w:rsidR="007D1E74" w14:paraId="2D1ED35D" w14:textId="77777777">
        <w:trPr>
          <w:trHeight w:val="340"/>
          <w:jc w:val="center"/>
        </w:trPr>
        <w:tc>
          <w:tcPr>
            <w:tcW w:w="1750" w:type="dxa"/>
            <w:vMerge/>
            <w:vAlign w:val="center"/>
          </w:tcPr>
          <w:p w14:paraId="6FB6AA46" w14:textId="77777777" w:rsidR="007D1E74" w:rsidRDefault="007D1E74">
            <w:pPr>
              <w:jc w:val="center"/>
              <w:rPr>
                <w:szCs w:val="21"/>
              </w:rPr>
            </w:pPr>
          </w:p>
        </w:tc>
        <w:tc>
          <w:tcPr>
            <w:tcW w:w="1654" w:type="dxa"/>
            <w:vAlign w:val="center"/>
          </w:tcPr>
          <w:p w14:paraId="4DAF2A5A" w14:textId="77777777" w:rsidR="007D1E74" w:rsidRDefault="00A95641">
            <w:pPr>
              <w:jc w:val="center"/>
              <w:rPr>
                <w:szCs w:val="21"/>
              </w:rPr>
            </w:pPr>
            <w:r>
              <w:rPr>
                <w:rFonts w:cs="Times New Roman"/>
                <w:szCs w:val="21"/>
              </w:rPr>
              <w:t>面积</w:t>
            </w:r>
            <w:r>
              <w:rPr>
                <w:rFonts w:cs="Times New Roman"/>
                <w:szCs w:val="21"/>
              </w:rPr>
              <w:t>≥20km</w:t>
            </w:r>
            <w:r>
              <w:rPr>
                <w:rFonts w:cs="Times New Roman"/>
                <w:szCs w:val="21"/>
                <w:vertAlign w:val="superscript"/>
              </w:rPr>
              <w:t>2</w:t>
            </w:r>
            <w:r>
              <w:rPr>
                <w:rFonts w:cs="Times New Roman"/>
                <w:szCs w:val="21"/>
              </w:rPr>
              <w:t>或长度</w:t>
            </w:r>
            <w:r>
              <w:rPr>
                <w:rFonts w:cs="Times New Roman"/>
                <w:szCs w:val="21"/>
              </w:rPr>
              <w:t>≥100km</w:t>
            </w:r>
          </w:p>
        </w:tc>
        <w:tc>
          <w:tcPr>
            <w:tcW w:w="2159" w:type="dxa"/>
            <w:vAlign w:val="center"/>
          </w:tcPr>
          <w:p w14:paraId="53F8A053" w14:textId="77777777" w:rsidR="007D1E74" w:rsidRDefault="00A95641">
            <w:pPr>
              <w:jc w:val="center"/>
              <w:rPr>
                <w:szCs w:val="21"/>
              </w:rPr>
            </w:pPr>
            <w:r>
              <w:rPr>
                <w:rFonts w:cs="Times New Roman"/>
                <w:szCs w:val="21"/>
              </w:rPr>
              <w:t>面积</w:t>
            </w:r>
            <w:r>
              <w:rPr>
                <w:rFonts w:cs="Times New Roman"/>
                <w:szCs w:val="21"/>
              </w:rPr>
              <w:t>2km</w:t>
            </w:r>
            <w:r>
              <w:rPr>
                <w:rFonts w:cs="Times New Roman"/>
                <w:szCs w:val="21"/>
                <w:vertAlign w:val="superscript"/>
              </w:rPr>
              <w:t>2</w:t>
            </w:r>
            <w:r>
              <w:rPr>
                <w:rFonts w:cs="Times New Roman"/>
                <w:szCs w:val="21"/>
              </w:rPr>
              <w:t>-20 km</w:t>
            </w:r>
            <w:r>
              <w:rPr>
                <w:rFonts w:cs="Times New Roman"/>
                <w:szCs w:val="21"/>
                <w:vertAlign w:val="superscript"/>
              </w:rPr>
              <w:t>2</w:t>
            </w:r>
            <w:r>
              <w:rPr>
                <w:rFonts w:cs="Times New Roman"/>
                <w:szCs w:val="21"/>
              </w:rPr>
              <w:t>或长度</w:t>
            </w:r>
            <w:r>
              <w:rPr>
                <w:rFonts w:cs="Times New Roman"/>
                <w:szCs w:val="21"/>
              </w:rPr>
              <w:t>50km-100km</w:t>
            </w:r>
          </w:p>
        </w:tc>
        <w:tc>
          <w:tcPr>
            <w:tcW w:w="1819" w:type="dxa"/>
            <w:vAlign w:val="center"/>
          </w:tcPr>
          <w:p w14:paraId="042B83FF" w14:textId="77777777" w:rsidR="007D1E74" w:rsidRDefault="00A95641">
            <w:pPr>
              <w:jc w:val="center"/>
              <w:rPr>
                <w:szCs w:val="21"/>
              </w:rPr>
            </w:pPr>
            <w:r>
              <w:rPr>
                <w:rFonts w:cs="Times New Roman"/>
                <w:szCs w:val="21"/>
              </w:rPr>
              <w:t>面积</w:t>
            </w:r>
            <w:r>
              <w:rPr>
                <w:rFonts w:cs="Times New Roman"/>
                <w:szCs w:val="21"/>
              </w:rPr>
              <w:t>≤2km</w:t>
            </w:r>
            <w:r>
              <w:rPr>
                <w:rFonts w:cs="Times New Roman"/>
                <w:szCs w:val="21"/>
                <w:vertAlign w:val="superscript"/>
              </w:rPr>
              <w:t>2</w:t>
            </w:r>
            <w:r>
              <w:rPr>
                <w:rFonts w:cs="Times New Roman"/>
                <w:szCs w:val="21"/>
              </w:rPr>
              <w:t>或长度</w:t>
            </w:r>
            <w:r>
              <w:rPr>
                <w:rFonts w:cs="Times New Roman"/>
                <w:szCs w:val="21"/>
              </w:rPr>
              <w:t>≤50km</w:t>
            </w:r>
          </w:p>
        </w:tc>
        <w:tc>
          <w:tcPr>
            <w:tcW w:w="1588" w:type="dxa"/>
            <w:vMerge/>
            <w:vAlign w:val="center"/>
          </w:tcPr>
          <w:p w14:paraId="14737A12" w14:textId="77777777" w:rsidR="007D1E74" w:rsidRDefault="007D1E74">
            <w:pPr>
              <w:jc w:val="center"/>
              <w:rPr>
                <w:szCs w:val="21"/>
              </w:rPr>
            </w:pPr>
          </w:p>
        </w:tc>
      </w:tr>
      <w:tr w:rsidR="007D1E74" w14:paraId="50003903" w14:textId="77777777">
        <w:trPr>
          <w:trHeight w:val="340"/>
          <w:jc w:val="center"/>
        </w:trPr>
        <w:tc>
          <w:tcPr>
            <w:tcW w:w="1750" w:type="dxa"/>
            <w:vAlign w:val="center"/>
          </w:tcPr>
          <w:p w14:paraId="129F73ED" w14:textId="77777777" w:rsidR="007D1E74" w:rsidRDefault="00A95641">
            <w:pPr>
              <w:jc w:val="center"/>
              <w:rPr>
                <w:b/>
                <w:szCs w:val="21"/>
              </w:rPr>
            </w:pPr>
            <w:r>
              <w:rPr>
                <w:rFonts w:cs="Times New Roman"/>
                <w:b/>
                <w:szCs w:val="21"/>
              </w:rPr>
              <w:t>特殊生态敏感区</w:t>
            </w:r>
          </w:p>
        </w:tc>
        <w:tc>
          <w:tcPr>
            <w:tcW w:w="1654" w:type="dxa"/>
            <w:vAlign w:val="center"/>
          </w:tcPr>
          <w:p w14:paraId="0A2EF61C" w14:textId="77777777" w:rsidR="007D1E74" w:rsidRDefault="00A95641">
            <w:pPr>
              <w:jc w:val="center"/>
              <w:rPr>
                <w:szCs w:val="21"/>
              </w:rPr>
            </w:pPr>
            <w:r>
              <w:rPr>
                <w:rFonts w:cs="Times New Roman"/>
                <w:szCs w:val="21"/>
              </w:rPr>
              <w:t>一级</w:t>
            </w:r>
          </w:p>
        </w:tc>
        <w:tc>
          <w:tcPr>
            <w:tcW w:w="2159" w:type="dxa"/>
            <w:vAlign w:val="center"/>
          </w:tcPr>
          <w:p w14:paraId="46A44DB0" w14:textId="77777777" w:rsidR="007D1E74" w:rsidRDefault="00A95641">
            <w:pPr>
              <w:jc w:val="center"/>
              <w:rPr>
                <w:szCs w:val="21"/>
              </w:rPr>
            </w:pPr>
            <w:r>
              <w:rPr>
                <w:rFonts w:cs="Times New Roman"/>
                <w:szCs w:val="21"/>
              </w:rPr>
              <w:t>一级</w:t>
            </w:r>
          </w:p>
        </w:tc>
        <w:tc>
          <w:tcPr>
            <w:tcW w:w="1819" w:type="dxa"/>
            <w:vAlign w:val="center"/>
          </w:tcPr>
          <w:p w14:paraId="284537A6" w14:textId="77777777" w:rsidR="007D1E74" w:rsidRDefault="00A95641">
            <w:pPr>
              <w:jc w:val="center"/>
              <w:rPr>
                <w:b/>
                <w:szCs w:val="21"/>
              </w:rPr>
            </w:pPr>
            <w:r>
              <w:rPr>
                <w:rFonts w:cs="Times New Roman"/>
                <w:b/>
                <w:szCs w:val="21"/>
              </w:rPr>
              <w:t>一级</w:t>
            </w:r>
          </w:p>
        </w:tc>
        <w:tc>
          <w:tcPr>
            <w:tcW w:w="1588" w:type="dxa"/>
            <w:vMerge w:val="restart"/>
            <w:vAlign w:val="center"/>
          </w:tcPr>
          <w:p w14:paraId="0274A590" w14:textId="77777777" w:rsidR="007D1E74" w:rsidRDefault="00A95641">
            <w:pPr>
              <w:jc w:val="center"/>
              <w:rPr>
                <w:szCs w:val="21"/>
              </w:rPr>
            </w:pPr>
            <w:r>
              <w:rPr>
                <w:rFonts w:cs="Times New Roman" w:hint="eastAsia"/>
                <w:szCs w:val="21"/>
              </w:rPr>
              <w:t>特殊生态敏感区</w:t>
            </w:r>
            <w:r>
              <w:rPr>
                <w:rFonts w:cs="Times New Roman"/>
                <w:szCs w:val="21"/>
              </w:rPr>
              <w:t>、长</w:t>
            </w:r>
            <w:r>
              <w:rPr>
                <w:rFonts w:cs="Times New Roman" w:hint="eastAsia"/>
                <w:szCs w:val="21"/>
              </w:rPr>
              <w:t>37.8</w:t>
            </w:r>
            <w:r>
              <w:rPr>
                <w:rFonts w:cs="Times New Roman"/>
                <w:szCs w:val="21"/>
              </w:rPr>
              <w:t>km</w:t>
            </w:r>
            <w:r>
              <w:rPr>
                <w:rFonts w:cs="Times New Roman"/>
                <w:szCs w:val="21"/>
              </w:rPr>
              <w:t>。</w:t>
            </w:r>
          </w:p>
        </w:tc>
      </w:tr>
      <w:tr w:rsidR="007D1E74" w14:paraId="639C0E7F" w14:textId="77777777">
        <w:trPr>
          <w:trHeight w:val="340"/>
          <w:jc w:val="center"/>
        </w:trPr>
        <w:tc>
          <w:tcPr>
            <w:tcW w:w="1750" w:type="dxa"/>
            <w:vAlign w:val="center"/>
          </w:tcPr>
          <w:p w14:paraId="33980EAC" w14:textId="77777777" w:rsidR="007D1E74" w:rsidRDefault="00A95641">
            <w:pPr>
              <w:jc w:val="center"/>
              <w:rPr>
                <w:szCs w:val="21"/>
              </w:rPr>
            </w:pPr>
            <w:r>
              <w:rPr>
                <w:rFonts w:cs="Times New Roman"/>
                <w:szCs w:val="21"/>
              </w:rPr>
              <w:t>重要生态敏感区</w:t>
            </w:r>
          </w:p>
        </w:tc>
        <w:tc>
          <w:tcPr>
            <w:tcW w:w="1654" w:type="dxa"/>
            <w:vAlign w:val="center"/>
          </w:tcPr>
          <w:p w14:paraId="6B779A26" w14:textId="77777777" w:rsidR="007D1E74" w:rsidRDefault="00A95641">
            <w:pPr>
              <w:jc w:val="center"/>
              <w:rPr>
                <w:szCs w:val="21"/>
              </w:rPr>
            </w:pPr>
            <w:r>
              <w:rPr>
                <w:rFonts w:cs="Times New Roman"/>
                <w:szCs w:val="21"/>
              </w:rPr>
              <w:t>一级</w:t>
            </w:r>
          </w:p>
        </w:tc>
        <w:tc>
          <w:tcPr>
            <w:tcW w:w="2159" w:type="dxa"/>
            <w:vAlign w:val="center"/>
          </w:tcPr>
          <w:p w14:paraId="66619073" w14:textId="77777777" w:rsidR="007D1E74" w:rsidRDefault="00A95641">
            <w:pPr>
              <w:jc w:val="center"/>
              <w:rPr>
                <w:szCs w:val="21"/>
              </w:rPr>
            </w:pPr>
            <w:r>
              <w:rPr>
                <w:rFonts w:cs="Times New Roman"/>
                <w:szCs w:val="21"/>
              </w:rPr>
              <w:t>二级</w:t>
            </w:r>
          </w:p>
        </w:tc>
        <w:tc>
          <w:tcPr>
            <w:tcW w:w="1819" w:type="dxa"/>
            <w:vAlign w:val="center"/>
          </w:tcPr>
          <w:p w14:paraId="47EF744D" w14:textId="77777777" w:rsidR="007D1E74" w:rsidRDefault="00A95641">
            <w:pPr>
              <w:jc w:val="center"/>
              <w:rPr>
                <w:szCs w:val="21"/>
              </w:rPr>
            </w:pPr>
            <w:r>
              <w:rPr>
                <w:rFonts w:cs="Times New Roman"/>
                <w:szCs w:val="21"/>
              </w:rPr>
              <w:t>三级</w:t>
            </w:r>
          </w:p>
        </w:tc>
        <w:tc>
          <w:tcPr>
            <w:tcW w:w="1588" w:type="dxa"/>
            <w:vMerge/>
            <w:vAlign w:val="center"/>
          </w:tcPr>
          <w:p w14:paraId="484D96B9" w14:textId="77777777" w:rsidR="007D1E74" w:rsidRDefault="007D1E74">
            <w:pPr>
              <w:jc w:val="center"/>
              <w:rPr>
                <w:szCs w:val="21"/>
              </w:rPr>
            </w:pPr>
          </w:p>
        </w:tc>
      </w:tr>
      <w:tr w:rsidR="007D1E74" w14:paraId="49B13D5E" w14:textId="77777777">
        <w:trPr>
          <w:trHeight w:val="340"/>
          <w:jc w:val="center"/>
        </w:trPr>
        <w:tc>
          <w:tcPr>
            <w:tcW w:w="1750" w:type="dxa"/>
            <w:vAlign w:val="center"/>
          </w:tcPr>
          <w:p w14:paraId="74E50F6D" w14:textId="77777777" w:rsidR="007D1E74" w:rsidRDefault="00A95641">
            <w:pPr>
              <w:jc w:val="center"/>
              <w:rPr>
                <w:szCs w:val="21"/>
              </w:rPr>
            </w:pPr>
            <w:r>
              <w:rPr>
                <w:rFonts w:cs="Times New Roman"/>
                <w:bCs/>
                <w:szCs w:val="21"/>
              </w:rPr>
              <w:t>一般区域</w:t>
            </w:r>
          </w:p>
        </w:tc>
        <w:tc>
          <w:tcPr>
            <w:tcW w:w="1654" w:type="dxa"/>
            <w:vAlign w:val="center"/>
          </w:tcPr>
          <w:p w14:paraId="128DBB04" w14:textId="77777777" w:rsidR="007D1E74" w:rsidRDefault="00A95641">
            <w:pPr>
              <w:jc w:val="center"/>
              <w:rPr>
                <w:szCs w:val="21"/>
              </w:rPr>
            </w:pPr>
            <w:r>
              <w:rPr>
                <w:rFonts w:cs="Times New Roman"/>
                <w:szCs w:val="21"/>
              </w:rPr>
              <w:t>二级</w:t>
            </w:r>
          </w:p>
        </w:tc>
        <w:tc>
          <w:tcPr>
            <w:tcW w:w="2159" w:type="dxa"/>
            <w:vAlign w:val="center"/>
          </w:tcPr>
          <w:p w14:paraId="624C4A03" w14:textId="77777777" w:rsidR="007D1E74" w:rsidRDefault="00A95641">
            <w:pPr>
              <w:jc w:val="center"/>
              <w:rPr>
                <w:szCs w:val="21"/>
              </w:rPr>
            </w:pPr>
            <w:r>
              <w:rPr>
                <w:rFonts w:cs="Times New Roman"/>
                <w:szCs w:val="21"/>
              </w:rPr>
              <w:t>三级</w:t>
            </w:r>
          </w:p>
        </w:tc>
        <w:tc>
          <w:tcPr>
            <w:tcW w:w="1819" w:type="dxa"/>
            <w:vAlign w:val="center"/>
          </w:tcPr>
          <w:p w14:paraId="23C052D2" w14:textId="77777777" w:rsidR="007D1E74" w:rsidRDefault="00A95641">
            <w:pPr>
              <w:jc w:val="center"/>
              <w:rPr>
                <w:szCs w:val="21"/>
              </w:rPr>
            </w:pPr>
            <w:r>
              <w:rPr>
                <w:rFonts w:cs="Times New Roman"/>
                <w:bCs/>
                <w:szCs w:val="21"/>
              </w:rPr>
              <w:t>三级</w:t>
            </w:r>
          </w:p>
        </w:tc>
        <w:tc>
          <w:tcPr>
            <w:tcW w:w="1588" w:type="dxa"/>
            <w:vMerge/>
            <w:vAlign w:val="center"/>
          </w:tcPr>
          <w:p w14:paraId="24361430" w14:textId="77777777" w:rsidR="007D1E74" w:rsidRDefault="007D1E74">
            <w:pPr>
              <w:jc w:val="center"/>
              <w:rPr>
                <w:szCs w:val="21"/>
              </w:rPr>
            </w:pPr>
          </w:p>
        </w:tc>
      </w:tr>
    </w:tbl>
    <w:p w14:paraId="2F8C2760" w14:textId="77777777" w:rsidR="007D1E74" w:rsidRDefault="00A95641">
      <w:pPr>
        <w:pStyle w:val="aa"/>
      </w:pPr>
      <w:r>
        <w:t>地表水环境评价等级</w:t>
      </w:r>
    </w:p>
    <w:p w14:paraId="2ECF5AC1" w14:textId="77777777" w:rsidR="007D1E74" w:rsidRDefault="00A95641">
      <w:pPr>
        <w:spacing w:line="360" w:lineRule="auto"/>
        <w:ind w:firstLineChars="200" w:firstLine="480"/>
        <w:rPr>
          <w:sz w:val="24"/>
        </w:rPr>
      </w:pPr>
      <w:r>
        <w:rPr>
          <w:rFonts w:cs="Times New Roman"/>
          <w:sz w:val="24"/>
        </w:rPr>
        <w:t>根据表</w:t>
      </w:r>
      <w:r>
        <w:rPr>
          <w:rFonts w:cs="Times New Roman"/>
          <w:sz w:val="24"/>
        </w:rPr>
        <w:t xml:space="preserve"> 1</w:t>
      </w:r>
      <w:r>
        <w:rPr>
          <w:rFonts w:cs="Times New Roman"/>
          <w:sz w:val="24"/>
        </w:rPr>
        <w:t>，水污染影响型建设项目主要根据排放方式、废水排放量、水污染当量来确定评价等级。本项目</w:t>
      </w:r>
      <w:r>
        <w:rPr>
          <w:sz w:val="24"/>
        </w:rPr>
        <w:t>主要为天然气</w:t>
      </w:r>
      <w:r>
        <w:rPr>
          <w:rFonts w:hint="eastAsia"/>
          <w:sz w:val="24"/>
        </w:rPr>
        <w:t>集输管道</w:t>
      </w:r>
      <w:r>
        <w:rPr>
          <w:sz w:val="24"/>
        </w:rPr>
        <w:t>，</w:t>
      </w:r>
      <w:r>
        <w:rPr>
          <w:rFonts w:hint="eastAsia"/>
          <w:sz w:val="24"/>
        </w:rPr>
        <w:t>管线</w:t>
      </w:r>
      <w:r>
        <w:rPr>
          <w:sz w:val="24"/>
        </w:rPr>
        <w:t>密闭输送，运营期正常情况下不会产生的废水</w:t>
      </w:r>
      <w:r>
        <w:rPr>
          <w:rFonts w:hint="eastAsia"/>
          <w:sz w:val="24"/>
        </w:rPr>
        <w:t>；</w:t>
      </w:r>
      <w:r>
        <w:rPr>
          <w:rFonts w:hint="eastAsia"/>
          <w:sz w:val="24"/>
        </w:rPr>
        <w:t>1#</w:t>
      </w:r>
      <w:r>
        <w:rPr>
          <w:rFonts w:hint="eastAsia"/>
          <w:sz w:val="24"/>
        </w:rPr>
        <w:t>阀室分离废水经污水收集罐暂存后由罐车定期转运至污水处理厂处理，不外排。</w:t>
      </w:r>
      <w:r>
        <w:rPr>
          <w:rFonts w:cs="Times New Roman"/>
          <w:sz w:val="24"/>
        </w:rPr>
        <w:t>根据《环境影响评价技术导则</w:t>
      </w:r>
      <w:r>
        <w:rPr>
          <w:rFonts w:cs="Times New Roman" w:hint="eastAsia"/>
          <w:sz w:val="24"/>
        </w:rPr>
        <w:t xml:space="preserve"> </w:t>
      </w:r>
      <w:r>
        <w:rPr>
          <w:rFonts w:cs="Times New Roman"/>
          <w:sz w:val="24"/>
        </w:rPr>
        <w:t>地表水环境》（</w:t>
      </w:r>
      <w:r>
        <w:rPr>
          <w:rFonts w:cs="Times New Roman"/>
          <w:sz w:val="24"/>
        </w:rPr>
        <w:t>HJ2.3-2018</w:t>
      </w:r>
      <w:r>
        <w:rPr>
          <w:rFonts w:cs="Times New Roman"/>
          <w:sz w:val="24"/>
        </w:rPr>
        <w:t>）</w:t>
      </w:r>
      <w:r>
        <w:rPr>
          <w:rFonts w:cs="Times New Roman"/>
          <w:sz w:val="24"/>
        </w:rPr>
        <w:t xml:space="preserve"> </w:t>
      </w:r>
      <w:r>
        <w:rPr>
          <w:rFonts w:cs="Times New Roman"/>
          <w:sz w:val="24"/>
        </w:rPr>
        <w:t>表</w:t>
      </w:r>
      <w:r>
        <w:rPr>
          <w:rFonts w:cs="Times New Roman"/>
          <w:sz w:val="24"/>
        </w:rPr>
        <w:t>1</w:t>
      </w:r>
      <w:r>
        <w:rPr>
          <w:rFonts w:cs="Times New Roman"/>
          <w:sz w:val="24"/>
        </w:rPr>
        <w:t>中注</w:t>
      </w:r>
      <w:r>
        <w:rPr>
          <w:rFonts w:cs="Times New Roman"/>
          <w:sz w:val="24"/>
        </w:rPr>
        <w:t>10</w:t>
      </w:r>
      <w:r>
        <w:rPr>
          <w:rFonts w:cs="Times New Roman"/>
          <w:sz w:val="24"/>
        </w:rPr>
        <w:t>，水污染影响型评价等级为三级</w:t>
      </w:r>
      <w:r>
        <w:rPr>
          <w:rFonts w:cs="Times New Roman"/>
          <w:sz w:val="24"/>
        </w:rPr>
        <w:t>B</w:t>
      </w:r>
      <w:r>
        <w:rPr>
          <w:rFonts w:cs="Times New Roman"/>
          <w:sz w:val="24"/>
        </w:rPr>
        <w:t>。</w:t>
      </w:r>
    </w:p>
    <w:p w14:paraId="63D95F86" w14:textId="77777777" w:rsidR="007D1E74" w:rsidRDefault="00A95641">
      <w:pPr>
        <w:pStyle w:val="aa"/>
      </w:pPr>
      <w:r>
        <w:t>地下水环境评价等级</w:t>
      </w:r>
    </w:p>
    <w:p w14:paraId="2532877A" w14:textId="77777777" w:rsidR="007D1E74" w:rsidRDefault="00A95641">
      <w:pPr>
        <w:spacing w:line="360" w:lineRule="auto"/>
        <w:ind w:firstLineChars="200" w:firstLine="480"/>
        <w:rPr>
          <w:sz w:val="24"/>
        </w:rPr>
      </w:pPr>
      <w:r>
        <w:rPr>
          <w:rFonts w:cs="Times New Roman"/>
          <w:sz w:val="24"/>
        </w:rPr>
        <w:t>根据建设项目对地下水环境影响的程度，结合《建设项目环境影响评价分类管理名</w:t>
      </w:r>
      <w:r>
        <w:rPr>
          <w:rFonts w:cs="Times New Roman"/>
          <w:sz w:val="24"/>
        </w:rPr>
        <w:lastRenderedPageBreak/>
        <w:t>录》，将建设项目分为四类：其中</w:t>
      </w:r>
      <w:r>
        <w:rPr>
          <w:rFonts w:cs="Times New Roman"/>
          <w:sz w:val="24"/>
        </w:rPr>
        <w:t>Ⅰ</w:t>
      </w:r>
      <w:r>
        <w:rPr>
          <w:rFonts w:cs="Times New Roman"/>
          <w:sz w:val="24"/>
        </w:rPr>
        <w:t>类、</w:t>
      </w:r>
      <w:r>
        <w:rPr>
          <w:rFonts w:cs="Times New Roman"/>
          <w:sz w:val="24"/>
        </w:rPr>
        <w:t>Ⅱ</w:t>
      </w:r>
      <w:r>
        <w:rPr>
          <w:rFonts w:cs="Times New Roman"/>
          <w:sz w:val="24"/>
        </w:rPr>
        <w:t>类、</w:t>
      </w:r>
      <w:r>
        <w:rPr>
          <w:rFonts w:cs="Times New Roman"/>
          <w:sz w:val="24"/>
        </w:rPr>
        <w:t>Ⅲ</w:t>
      </w:r>
      <w:r>
        <w:rPr>
          <w:rFonts w:cs="Times New Roman"/>
          <w:sz w:val="24"/>
        </w:rPr>
        <w:t>类建设项目的地下水环境影响评价应执行本标准、</w:t>
      </w:r>
      <w:r>
        <w:rPr>
          <w:rFonts w:cs="Times New Roman"/>
          <w:sz w:val="24"/>
        </w:rPr>
        <w:t>Ⅳ</w:t>
      </w:r>
      <w:r>
        <w:rPr>
          <w:rFonts w:cs="Times New Roman"/>
          <w:sz w:val="24"/>
        </w:rPr>
        <w:t>类项目不展开地下水环境影响评价。</w:t>
      </w:r>
    </w:p>
    <w:p w14:paraId="1E840719" w14:textId="77777777" w:rsidR="007D1E74" w:rsidRDefault="00A95641">
      <w:pPr>
        <w:spacing w:line="360" w:lineRule="auto"/>
        <w:ind w:firstLineChars="200" w:firstLine="480"/>
        <w:rPr>
          <w:sz w:val="24"/>
        </w:rPr>
      </w:pPr>
      <w:r>
        <w:rPr>
          <w:rFonts w:cs="Times New Roman"/>
          <w:sz w:val="24"/>
        </w:rPr>
        <w:t>根据《环境影响评价技术导则</w:t>
      </w:r>
      <w:r>
        <w:rPr>
          <w:rFonts w:cs="Times New Roman" w:hint="eastAsia"/>
          <w:sz w:val="24"/>
        </w:rPr>
        <w:t xml:space="preserve"> </w:t>
      </w:r>
      <w:r>
        <w:rPr>
          <w:rFonts w:cs="Times New Roman"/>
          <w:sz w:val="24"/>
        </w:rPr>
        <w:t>地下水环境》</w:t>
      </w:r>
      <w:r>
        <w:rPr>
          <w:rFonts w:cs="Times New Roman"/>
          <w:sz w:val="24"/>
        </w:rPr>
        <w:t xml:space="preserve">(HJ610-2016) </w:t>
      </w:r>
      <w:r>
        <w:rPr>
          <w:rFonts w:cs="Times New Roman"/>
          <w:sz w:val="24"/>
        </w:rPr>
        <w:t>附录</w:t>
      </w:r>
      <w:r>
        <w:rPr>
          <w:rFonts w:cs="Times New Roman"/>
          <w:sz w:val="24"/>
        </w:rPr>
        <w:t>A</w:t>
      </w:r>
      <w:r>
        <w:rPr>
          <w:rFonts w:cs="Times New Roman"/>
          <w:sz w:val="24"/>
        </w:rPr>
        <w:t>中，地下水环境影响评价行业分类表，对本项目的所属行业类别进行识别。确定本项目所属的地下水环境影响评价项目类别为</w:t>
      </w:r>
      <w:r>
        <w:rPr>
          <w:rFonts w:cs="Times New Roman"/>
          <w:sz w:val="24"/>
        </w:rPr>
        <w:t>Ⅲ</w:t>
      </w:r>
      <w:r>
        <w:rPr>
          <w:rFonts w:cs="Times New Roman"/>
          <w:sz w:val="24"/>
        </w:rPr>
        <w:t>类。</w:t>
      </w:r>
    </w:p>
    <w:p w14:paraId="4A111143" w14:textId="77777777" w:rsidR="007D1E74" w:rsidRDefault="00A95641">
      <w:pPr>
        <w:spacing w:line="360" w:lineRule="auto"/>
        <w:jc w:val="center"/>
        <w:rPr>
          <w:rFonts w:eastAsia="黑体" w:cs="Times New Roman"/>
          <w:szCs w:val="21"/>
        </w:rPr>
      </w:pPr>
      <w:bookmarkStart w:id="14" w:name="_bookmark16"/>
      <w:bookmarkEnd w:id="14"/>
      <w:r>
        <w:rPr>
          <w:rFonts w:eastAsia="黑体" w:cs="Times New Roman"/>
          <w:szCs w:val="21"/>
        </w:rPr>
        <w:t>表</w:t>
      </w:r>
      <w:r>
        <w:rPr>
          <w:rFonts w:eastAsia="黑体" w:cs="Times New Roman" w:hint="eastAsia"/>
          <w:szCs w:val="21"/>
        </w:rPr>
        <w:t>2.5</w:t>
      </w:r>
      <w:r>
        <w:rPr>
          <w:rFonts w:eastAsia="黑体" w:cs="Times New Roman"/>
          <w:szCs w:val="21"/>
        </w:rPr>
        <w:t xml:space="preserve">-2  </w:t>
      </w:r>
      <w:r>
        <w:rPr>
          <w:rFonts w:eastAsia="黑体" w:cs="Times New Roman"/>
          <w:szCs w:val="21"/>
        </w:rPr>
        <w:t>建设项目所属地下水环境影响评价项目类别</w:t>
      </w:r>
    </w:p>
    <w:tbl>
      <w:tblPr>
        <w:tblStyle w:val="affffc"/>
        <w:tblW w:w="5000" w:type="pct"/>
        <w:tblLook w:val="04A0" w:firstRow="1" w:lastRow="0" w:firstColumn="1" w:lastColumn="0" w:noHBand="0" w:noVBand="1"/>
      </w:tblPr>
      <w:tblGrid>
        <w:gridCol w:w="3381"/>
        <w:gridCol w:w="3385"/>
        <w:gridCol w:w="2250"/>
      </w:tblGrid>
      <w:tr w:rsidR="007D1E74" w14:paraId="1ED51B7E" w14:textId="77777777">
        <w:tc>
          <w:tcPr>
            <w:tcW w:w="1875" w:type="pct"/>
            <w:vMerge w:val="restart"/>
            <w:vAlign w:val="center"/>
          </w:tcPr>
          <w:p w14:paraId="0BD0269D" w14:textId="77777777" w:rsidR="007D1E74" w:rsidRDefault="00A95641">
            <w:pPr>
              <w:jc w:val="center"/>
              <w:rPr>
                <w:rFonts w:cstheme="minorHAnsi"/>
                <w:bCs/>
                <w:szCs w:val="21"/>
              </w:rPr>
            </w:pPr>
            <w:r>
              <w:rPr>
                <w:rFonts w:cstheme="minorHAnsi"/>
                <w:bCs/>
                <w:szCs w:val="21"/>
              </w:rPr>
              <w:t>行业类别</w:t>
            </w:r>
          </w:p>
        </w:tc>
        <w:tc>
          <w:tcPr>
            <w:tcW w:w="1877" w:type="pct"/>
            <w:vMerge w:val="restart"/>
            <w:vAlign w:val="center"/>
          </w:tcPr>
          <w:p w14:paraId="4B65FE65" w14:textId="77777777" w:rsidR="007D1E74" w:rsidRDefault="00A95641">
            <w:pPr>
              <w:jc w:val="center"/>
              <w:rPr>
                <w:rFonts w:cstheme="minorHAnsi"/>
                <w:bCs/>
                <w:szCs w:val="21"/>
              </w:rPr>
            </w:pPr>
            <w:r>
              <w:rPr>
                <w:rFonts w:cstheme="minorHAnsi"/>
                <w:bCs/>
                <w:szCs w:val="21"/>
              </w:rPr>
              <w:t>环评类别</w:t>
            </w:r>
          </w:p>
        </w:tc>
        <w:tc>
          <w:tcPr>
            <w:tcW w:w="1248" w:type="pct"/>
            <w:vAlign w:val="center"/>
          </w:tcPr>
          <w:p w14:paraId="22DD4CB9" w14:textId="77777777" w:rsidR="007D1E74" w:rsidRDefault="00A95641">
            <w:pPr>
              <w:jc w:val="center"/>
              <w:rPr>
                <w:rFonts w:cstheme="minorHAnsi"/>
                <w:bCs/>
                <w:szCs w:val="21"/>
              </w:rPr>
            </w:pPr>
            <w:r>
              <w:rPr>
                <w:rFonts w:cstheme="minorHAnsi"/>
                <w:bCs/>
                <w:szCs w:val="21"/>
              </w:rPr>
              <w:t>项目类型识别</w:t>
            </w:r>
          </w:p>
        </w:tc>
      </w:tr>
      <w:tr w:rsidR="007D1E74" w14:paraId="57D1F830" w14:textId="77777777">
        <w:tc>
          <w:tcPr>
            <w:tcW w:w="1875" w:type="pct"/>
            <w:vMerge/>
            <w:vAlign w:val="center"/>
          </w:tcPr>
          <w:p w14:paraId="708C72C8" w14:textId="77777777" w:rsidR="007D1E74" w:rsidRDefault="007D1E74">
            <w:pPr>
              <w:jc w:val="center"/>
              <w:rPr>
                <w:rFonts w:cstheme="minorHAnsi"/>
                <w:bCs/>
                <w:szCs w:val="21"/>
              </w:rPr>
            </w:pPr>
          </w:p>
        </w:tc>
        <w:tc>
          <w:tcPr>
            <w:tcW w:w="1877" w:type="pct"/>
            <w:vMerge/>
            <w:vAlign w:val="center"/>
          </w:tcPr>
          <w:p w14:paraId="571C63D5" w14:textId="77777777" w:rsidR="007D1E74" w:rsidRDefault="007D1E74">
            <w:pPr>
              <w:jc w:val="center"/>
              <w:rPr>
                <w:rFonts w:cstheme="minorHAnsi"/>
                <w:bCs/>
                <w:szCs w:val="21"/>
              </w:rPr>
            </w:pPr>
          </w:p>
        </w:tc>
        <w:tc>
          <w:tcPr>
            <w:tcW w:w="1248" w:type="pct"/>
            <w:vAlign w:val="center"/>
          </w:tcPr>
          <w:p w14:paraId="772EC1E9" w14:textId="77777777" w:rsidR="007D1E74" w:rsidRDefault="00A95641">
            <w:pPr>
              <w:jc w:val="center"/>
              <w:rPr>
                <w:rFonts w:cstheme="minorHAnsi"/>
                <w:bCs/>
                <w:szCs w:val="21"/>
              </w:rPr>
            </w:pPr>
            <w:r>
              <w:rPr>
                <w:rFonts w:cstheme="minorHAnsi"/>
                <w:bCs/>
                <w:szCs w:val="21"/>
              </w:rPr>
              <w:t>项目类型</w:t>
            </w:r>
          </w:p>
        </w:tc>
      </w:tr>
      <w:tr w:rsidR="007D1E74" w14:paraId="30DDD225" w14:textId="77777777">
        <w:tc>
          <w:tcPr>
            <w:tcW w:w="1875" w:type="pct"/>
            <w:vAlign w:val="center"/>
          </w:tcPr>
          <w:p w14:paraId="2D2B1CAF" w14:textId="77777777" w:rsidR="007D1E74" w:rsidRDefault="00A95641">
            <w:pPr>
              <w:jc w:val="center"/>
              <w:rPr>
                <w:rFonts w:cstheme="minorHAnsi"/>
                <w:bCs/>
                <w:szCs w:val="21"/>
              </w:rPr>
            </w:pPr>
            <w:r>
              <w:rPr>
                <w:rFonts w:cstheme="minorHAnsi"/>
                <w:bCs/>
                <w:szCs w:val="21"/>
              </w:rPr>
              <w:t>41</w:t>
            </w:r>
            <w:r>
              <w:rPr>
                <w:rFonts w:cstheme="minorHAnsi" w:hint="eastAsia"/>
                <w:bCs/>
                <w:szCs w:val="21"/>
              </w:rPr>
              <w:t>、石油、天然气、成品油管线（不含城市天然气管线）</w:t>
            </w:r>
          </w:p>
        </w:tc>
        <w:tc>
          <w:tcPr>
            <w:tcW w:w="1877" w:type="pct"/>
            <w:vAlign w:val="center"/>
          </w:tcPr>
          <w:p w14:paraId="69F837D8" w14:textId="77777777" w:rsidR="007D1E74" w:rsidRDefault="00A95641">
            <w:pPr>
              <w:jc w:val="center"/>
              <w:rPr>
                <w:rFonts w:cstheme="minorHAnsi"/>
                <w:bCs/>
                <w:szCs w:val="21"/>
              </w:rPr>
            </w:pPr>
            <w:r>
              <w:rPr>
                <w:rFonts w:cstheme="minorHAnsi"/>
                <w:bCs/>
                <w:szCs w:val="21"/>
              </w:rPr>
              <w:t>报告书</w:t>
            </w:r>
          </w:p>
        </w:tc>
        <w:tc>
          <w:tcPr>
            <w:tcW w:w="1248" w:type="pct"/>
            <w:vAlign w:val="center"/>
          </w:tcPr>
          <w:p w14:paraId="7283443D" w14:textId="77777777" w:rsidR="007D1E74" w:rsidRDefault="00A95641">
            <w:pPr>
              <w:jc w:val="center"/>
              <w:rPr>
                <w:rFonts w:cstheme="minorHAnsi"/>
                <w:bCs/>
                <w:szCs w:val="21"/>
              </w:rPr>
            </w:pPr>
            <w:r>
              <w:rPr>
                <w:rFonts w:cstheme="minorHAnsi"/>
                <w:bCs/>
                <w:szCs w:val="21"/>
              </w:rPr>
              <w:t>III</w:t>
            </w:r>
            <w:r>
              <w:rPr>
                <w:rFonts w:cstheme="minorHAnsi"/>
                <w:bCs/>
                <w:szCs w:val="21"/>
              </w:rPr>
              <w:t>类</w:t>
            </w:r>
          </w:p>
        </w:tc>
      </w:tr>
    </w:tbl>
    <w:p w14:paraId="48D3A431" w14:textId="77777777" w:rsidR="007D1E74" w:rsidRDefault="00A95641">
      <w:pPr>
        <w:adjustRightInd w:val="0"/>
        <w:snapToGrid w:val="0"/>
        <w:spacing w:line="360" w:lineRule="auto"/>
        <w:ind w:firstLineChars="200" w:firstLine="480"/>
        <w:rPr>
          <w:bCs/>
          <w:kern w:val="0"/>
          <w:sz w:val="24"/>
          <w:szCs w:val="20"/>
        </w:rPr>
      </w:pPr>
      <w:r>
        <w:rPr>
          <w:rFonts w:cs="Times New Roman"/>
          <w:kern w:val="0"/>
          <w:sz w:val="24"/>
          <w:szCs w:val="20"/>
        </w:rPr>
        <w:t>根据现场调查和资料收集，项目不涉及地下水集中式饮用水水源</w:t>
      </w:r>
      <w:r>
        <w:rPr>
          <w:rFonts w:cs="Times New Roman"/>
          <w:bCs/>
          <w:kern w:val="0"/>
          <w:sz w:val="24"/>
          <w:szCs w:val="20"/>
        </w:rPr>
        <w:t>（包括已建成的在用、备用、应急水源，在建和规划的饮用水水源）准保护区以外的补给径流区；未划定准保护区的集中水式饮用水水源，其保护区以外的补给径流区；特殊地下水资源（如矿泉水、温泉等）保护区以外的分布区等。</w:t>
      </w:r>
    </w:p>
    <w:p w14:paraId="7A4EC1F7" w14:textId="77777777" w:rsidR="007D1E74" w:rsidRDefault="00A95641">
      <w:pPr>
        <w:adjustRightInd w:val="0"/>
        <w:snapToGrid w:val="0"/>
        <w:spacing w:line="360" w:lineRule="auto"/>
        <w:ind w:firstLineChars="200" w:firstLine="480"/>
        <w:rPr>
          <w:sz w:val="24"/>
        </w:rPr>
      </w:pPr>
      <w:r>
        <w:rPr>
          <w:rFonts w:hint="eastAsia"/>
          <w:sz w:val="24"/>
        </w:rPr>
        <w:t>本项目沿线</w:t>
      </w:r>
      <w:r>
        <w:rPr>
          <w:rFonts w:hint="eastAsia"/>
          <w:sz w:val="24"/>
        </w:rPr>
        <w:t>2</w:t>
      </w:r>
      <w:r>
        <w:rPr>
          <w:sz w:val="24"/>
        </w:rPr>
        <w:t>00m</w:t>
      </w:r>
      <w:r>
        <w:rPr>
          <w:rFonts w:hint="eastAsia"/>
          <w:sz w:val="24"/>
        </w:rPr>
        <w:t>范围内主要分布有村镇居民，分布有分散式地下水饮用水源（出露泉点），根据《全国地下水功能区划分技术大纲》的要求和实地调查项目区的地下水环境状况，本项目评价区地下水功能为分散供水水源资源功能。</w:t>
      </w:r>
    </w:p>
    <w:p w14:paraId="3A741C96" w14:textId="77777777" w:rsidR="007D1E74" w:rsidRDefault="00A95641">
      <w:pPr>
        <w:adjustRightInd w:val="0"/>
        <w:snapToGrid w:val="0"/>
        <w:spacing w:line="360" w:lineRule="auto"/>
        <w:ind w:firstLineChars="200" w:firstLine="480"/>
        <w:rPr>
          <w:sz w:val="24"/>
        </w:rPr>
      </w:pPr>
      <w:r>
        <w:rPr>
          <w:rFonts w:cs="Times New Roman"/>
          <w:kern w:val="0"/>
          <w:sz w:val="24"/>
          <w:szCs w:val="20"/>
        </w:rPr>
        <w:t>项目影响范围属于较敏感区中</w:t>
      </w:r>
      <w:r>
        <w:rPr>
          <w:rFonts w:cs="Times New Roman"/>
          <w:kern w:val="0"/>
          <w:sz w:val="24"/>
          <w:szCs w:val="20"/>
        </w:rPr>
        <w:t>“</w:t>
      </w:r>
      <w:r>
        <w:rPr>
          <w:rFonts w:cs="Times New Roman"/>
          <w:kern w:val="0"/>
          <w:sz w:val="24"/>
          <w:szCs w:val="20"/>
        </w:rPr>
        <w:t>分散式饮用水水源地</w:t>
      </w:r>
      <w:r>
        <w:rPr>
          <w:rFonts w:cs="Times New Roman"/>
          <w:kern w:val="0"/>
          <w:sz w:val="24"/>
          <w:szCs w:val="20"/>
        </w:rPr>
        <w:t>”</w:t>
      </w:r>
      <w:r>
        <w:rPr>
          <w:rFonts w:cs="Times New Roman"/>
          <w:kern w:val="0"/>
          <w:sz w:val="24"/>
          <w:szCs w:val="20"/>
        </w:rPr>
        <w:t>范畴，根</w:t>
      </w:r>
      <w:r>
        <w:rPr>
          <w:rFonts w:cs="Times New Roman"/>
          <w:sz w:val="24"/>
        </w:rPr>
        <w:t>据《环境影响评价技术导则</w:t>
      </w:r>
      <w:r>
        <w:rPr>
          <w:rFonts w:cs="Times New Roman"/>
          <w:sz w:val="24"/>
        </w:rPr>
        <w:t xml:space="preserve"> </w:t>
      </w:r>
      <w:r>
        <w:rPr>
          <w:rFonts w:cs="Times New Roman"/>
          <w:sz w:val="24"/>
        </w:rPr>
        <w:t>地下水环境》（</w:t>
      </w:r>
      <w:r>
        <w:rPr>
          <w:rFonts w:cs="Times New Roman"/>
          <w:sz w:val="24"/>
        </w:rPr>
        <w:t>HJ 610-2016</w:t>
      </w:r>
      <w:r>
        <w:rPr>
          <w:rFonts w:cs="Times New Roman"/>
          <w:sz w:val="24"/>
        </w:rPr>
        <w:t>）地下水环境敏感程度分级表，本项目地下水环境敏感程度为</w:t>
      </w:r>
      <w:r>
        <w:rPr>
          <w:rFonts w:cs="Times New Roman"/>
          <w:b/>
          <w:sz w:val="24"/>
        </w:rPr>
        <w:t>较敏感</w:t>
      </w:r>
      <w:r>
        <w:rPr>
          <w:rFonts w:cs="Times New Roman"/>
          <w:sz w:val="24"/>
        </w:rPr>
        <w:t>。</w:t>
      </w:r>
    </w:p>
    <w:p w14:paraId="13798A13" w14:textId="77777777" w:rsidR="007D1E74" w:rsidRDefault="00A95641">
      <w:pPr>
        <w:spacing w:line="360" w:lineRule="auto"/>
        <w:jc w:val="center"/>
        <w:rPr>
          <w:rFonts w:eastAsia="黑体" w:cs="Times New Roman"/>
          <w:szCs w:val="21"/>
        </w:rPr>
      </w:pPr>
      <w:r>
        <w:rPr>
          <w:rFonts w:eastAsia="黑体" w:cs="Times New Roman"/>
          <w:szCs w:val="21"/>
        </w:rPr>
        <w:t>表</w:t>
      </w:r>
      <w:r>
        <w:rPr>
          <w:rFonts w:eastAsia="黑体" w:cs="Times New Roman"/>
          <w:szCs w:val="21"/>
        </w:rPr>
        <w:t>2.</w:t>
      </w:r>
      <w:r>
        <w:rPr>
          <w:rFonts w:eastAsia="黑体" w:cs="Times New Roman" w:hint="eastAsia"/>
          <w:szCs w:val="21"/>
        </w:rPr>
        <w:t>5</w:t>
      </w:r>
      <w:r>
        <w:rPr>
          <w:rFonts w:eastAsia="黑体" w:cs="Times New Roman"/>
          <w:szCs w:val="21"/>
        </w:rPr>
        <w:t xml:space="preserve">-3  </w:t>
      </w:r>
      <w:r>
        <w:rPr>
          <w:rFonts w:eastAsia="黑体" w:cs="Times New Roman"/>
          <w:szCs w:val="21"/>
        </w:rPr>
        <w:t>建设项目的地下水环境敏感程度分级表</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90"/>
        <w:gridCol w:w="1162"/>
        <w:gridCol w:w="6684"/>
      </w:tblGrid>
      <w:tr w:rsidR="007D1E74" w14:paraId="73F5A50F" w14:textId="77777777">
        <w:trPr>
          <w:trHeight w:val="397"/>
          <w:jc w:val="center"/>
        </w:trPr>
        <w:tc>
          <w:tcPr>
            <w:tcW w:w="966" w:type="dxa"/>
            <w:vMerge w:val="restart"/>
            <w:vAlign w:val="center"/>
          </w:tcPr>
          <w:p w14:paraId="38B2BDBD" w14:textId="77777777" w:rsidR="007D1E74" w:rsidRDefault="00A95641">
            <w:pPr>
              <w:jc w:val="center"/>
            </w:pPr>
            <w:r>
              <w:rPr>
                <w:rFonts w:cs="Times New Roman"/>
              </w:rPr>
              <w:t>地下水环境敏感程度</w:t>
            </w:r>
          </w:p>
        </w:tc>
        <w:tc>
          <w:tcPr>
            <w:tcW w:w="1134" w:type="dxa"/>
            <w:vAlign w:val="center"/>
          </w:tcPr>
          <w:p w14:paraId="3C25D666" w14:textId="77777777" w:rsidR="007D1E74" w:rsidRDefault="00A95641">
            <w:pPr>
              <w:jc w:val="center"/>
            </w:pPr>
            <w:r>
              <w:rPr>
                <w:rFonts w:cs="Times New Roman"/>
              </w:rPr>
              <w:t>分级</w:t>
            </w:r>
          </w:p>
        </w:tc>
        <w:tc>
          <w:tcPr>
            <w:tcW w:w="6521" w:type="dxa"/>
            <w:vAlign w:val="center"/>
          </w:tcPr>
          <w:p w14:paraId="129EDF9F" w14:textId="77777777" w:rsidR="007D1E74" w:rsidRDefault="00A95641">
            <w:pPr>
              <w:jc w:val="center"/>
            </w:pPr>
            <w:r>
              <w:rPr>
                <w:rFonts w:cs="Times New Roman"/>
              </w:rPr>
              <w:t>项目场地的地下水环境敏感特征</w:t>
            </w:r>
          </w:p>
        </w:tc>
      </w:tr>
      <w:tr w:rsidR="007D1E74" w14:paraId="7975E399" w14:textId="77777777">
        <w:trPr>
          <w:trHeight w:val="397"/>
          <w:jc w:val="center"/>
        </w:trPr>
        <w:tc>
          <w:tcPr>
            <w:tcW w:w="966" w:type="dxa"/>
            <w:vMerge/>
            <w:vAlign w:val="center"/>
          </w:tcPr>
          <w:p w14:paraId="31CA2989" w14:textId="77777777" w:rsidR="007D1E74" w:rsidRDefault="007D1E74">
            <w:pPr>
              <w:jc w:val="center"/>
            </w:pPr>
          </w:p>
        </w:tc>
        <w:tc>
          <w:tcPr>
            <w:tcW w:w="1134" w:type="dxa"/>
            <w:vAlign w:val="center"/>
          </w:tcPr>
          <w:p w14:paraId="33A834A0" w14:textId="77777777" w:rsidR="007D1E74" w:rsidRDefault="00A95641">
            <w:pPr>
              <w:jc w:val="center"/>
            </w:pPr>
            <w:r>
              <w:rPr>
                <w:rFonts w:cs="Times New Roman"/>
              </w:rPr>
              <w:t>敏感</w:t>
            </w:r>
          </w:p>
        </w:tc>
        <w:tc>
          <w:tcPr>
            <w:tcW w:w="6521" w:type="dxa"/>
            <w:vAlign w:val="center"/>
          </w:tcPr>
          <w:p w14:paraId="56F7BF61" w14:textId="77777777" w:rsidR="007D1E74" w:rsidRDefault="00A95641">
            <w:pPr>
              <w:rPr>
                <w:b/>
                <w:bCs/>
              </w:rPr>
            </w:pPr>
            <w:r>
              <w:rPr>
                <w:rFonts w:cs="Times New Roman"/>
              </w:rPr>
              <w:t>集中式饮用水水源地（包括已建成的在用、备用、应急水源地，在建和规划的水源地）准保护区；除集中式饮用水水源地以外的国家或地方政府设定的与地下水环境相关的其它保护区，如热水、矿泉水、温泉等特殊地下水资源保护区。</w:t>
            </w:r>
          </w:p>
        </w:tc>
      </w:tr>
      <w:tr w:rsidR="007D1E74" w14:paraId="0C38886A" w14:textId="77777777">
        <w:trPr>
          <w:trHeight w:val="397"/>
          <w:jc w:val="center"/>
        </w:trPr>
        <w:tc>
          <w:tcPr>
            <w:tcW w:w="966" w:type="dxa"/>
            <w:vMerge/>
            <w:vAlign w:val="center"/>
          </w:tcPr>
          <w:p w14:paraId="3AA94BFC" w14:textId="77777777" w:rsidR="007D1E74" w:rsidRDefault="007D1E74">
            <w:pPr>
              <w:jc w:val="center"/>
            </w:pPr>
          </w:p>
        </w:tc>
        <w:tc>
          <w:tcPr>
            <w:tcW w:w="1134" w:type="dxa"/>
            <w:vAlign w:val="center"/>
          </w:tcPr>
          <w:p w14:paraId="0BD4CF80" w14:textId="77777777" w:rsidR="007D1E74" w:rsidRDefault="00A95641">
            <w:pPr>
              <w:jc w:val="center"/>
            </w:pPr>
            <w:r>
              <w:rPr>
                <w:rFonts w:cs="Times New Roman"/>
              </w:rPr>
              <w:t>较敏感</w:t>
            </w:r>
          </w:p>
        </w:tc>
        <w:tc>
          <w:tcPr>
            <w:tcW w:w="6521" w:type="dxa"/>
            <w:vAlign w:val="center"/>
          </w:tcPr>
          <w:p w14:paraId="7E2929E1" w14:textId="77777777" w:rsidR="007D1E74" w:rsidRDefault="00A95641">
            <w:r>
              <w:rPr>
                <w:rFonts w:cs="Times New Roman"/>
              </w:rPr>
              <w:t>集中式饮用水水源地（包括已建成的在用、备用、应急水源地，在建和规划的水源地）准保护区以外的补给径流区；特殊地下水资源（如矿泉水、温泉等）保护区以外的分布区以及分散式居民饮用水水源等其它未列入上述敏感分级的环境敏感区。</w:t>
            </w:r>
          </w:p>
        </w:tc>
      </w:tr>
      <w:tr w:rsidR="007D1E74" w14:paraId="7B77339F" w14:textId="77777777">
        <w:trPr>
          <w:trHeight w:val="397"/>
          <w:jc w:val="center"/>
        </w:trPr>
        <w:tc>
          <w:tcPr>
            <w:tcW w:w="966" w:type="dxa"/>
            <w:vMerge/>
            <w:vAlign w:val="center"/>
          </w:tcPr>
          <w:p w14:paraId="6FD5FEBB" w14:textId="77777777" w:rsidR="007D1E74" w:rsidRDefault="007D1E74">
            <w:pPr>
              <w:jc w:val="center"/>
            </w:pPr>
          </w:p>
        </w:tc>
        <w:tc>
          <w:tcPr>
            <w:tcW w:w="1134" w:type="dxa"/>
            <w:vAlign w:val="center"/>
          </w:tcPr>
          <w:p w14:paraId="7F9A3CEC" w14:textId="77777777" w:rsidR="007D1E74" w:rsidRDefault="00A95641">
            <w:pPr>
              <w:pStyle w:val="TableParagraph"/>
              <w:overflowPunct w:val="0"/>
              <w:spacing w:before="28"/>
              <w:ind w:left="1"/>
              <w:jc w:val="center"/>
              <w:rPr>
                <w:rFonts w:ascii="Times New Roman" w:hAnsi="Times New Roman"/>
                <w:sz w:val="21"/>
                <w:szCs w:val="21"/>
              </w:rPr>
            </w:pPr>
            <w:r>
              <w:rPr>
                <w:rFonts w:ascii="Times New Roman" w:hAnsi="Times New Roman"/>
                <w:sz w:val="21"/>
                <w:szCs w:val="21"/>
              </w:rPr>
              <w:t>不敏感</w:t>
            </w:r>
          </w:p>
        </w:tc>
        <w:tc>
          <w:tcPr>
            <w:tcW w:w="6521" w:type="dxa"/>
            <w:vAlign w:val="center"/>
          </w:tcPr>
          <w:p w14:paraId="5B2026A3" w14:textId="77777777" w:rsidR="007D1E74" w:rsidRDefault="00A95641">
            <w:pPr>
              <w:pStyle w:val="TableParagraph"/>
              <w:overflowPunct w:val="0"/>
              <w:ind w:firstLineChars="100" w:firstLine="210"/>
              <w:jc w:val="center"/>
              <w:rPr>
                <w:rFonts w:ascii="Times New Roman" w:hAnsi="Times New Roman"/>
                <w:sz w:val="21"/>
                <w:szCs w:val="21"/>
              </w:rPr>
            </w:pPr>
            <w:r>
              <w:rPr>
                <w:rFonts w:ascii="Times New Roman" w:hAnsi="Times New Roman"/>
                <w:sz w:val="21"/>
                <w:szCs w:val="21"/>
              </w:rPr>
              <w:t>上述地区之外的其它地区。</w:t>
            </w:r>
          </w:p>
        </w:tc>
      </w:tr>
    </w:tbl>
    <w:p w14:paraId="270456FF" w14:textId="77777777" w:rsidR="007D1E74" w:rsidRDefault="00A95641">
      <w:pPr>
        <w:spacing w:line="360" w:lineRule="auto"/>
        <w:ind w:firstLineChars="200" w:firstLine="480"/>
        <w:rPr>
          <w:sz w:val="24"/>
        </w:rPr>
      </w:pPr>
      <w:r>
        <w:rPr>
          <w:rFonts w:cs="Times New Roman"/>
          <w:sz w:val="24"/>
        </w:rPr>
        <w:t>本项目地下水环境影响评价工作等级划分见下表</w:t>
      </w:r>
      <w:r>
        <w:rPr>
          <w:rFonts w:cs="Times New Roman"/>
          <w:sz w:val="24"/>
        </w:rPr>
        <w:t>2.</w:t>
      </w:r>
      <w:r>
        <w:rPr>
          <w:rFonts w:cs="Times New Roman" w:hint="eastAsia"/>
          <w:sz w:val="24"/>
        </w:rPr>
        <w:t>5</w:t>
      </w:r>
      <w:r>
        <w:rPr>
          <w:rFonts w:cs="Times New Roman"/>
          <w:sz w:val="24"/>
        </w:rPr>
        <w:t>-4</w:t>
      </w:r>
      <w:r>
        <w:rPr>
          <w:rFonts w:cs="Times New Roman"/>
          <w:sz w:val="24"/>
        </w:rPr>
        <w:t>。</w:t>
      </w:r>
    </w:p>
    <w:p w14:paraId="6C8A2E67" w14:textId="77777777" w:rsidR="007D1E74" w:rsidRDefault="00A95641">
      <w:pPr>
        <w:spacing w:line="360" w:lineRule="auto"/>
        <w:ind w:firstLineChars="200" w:firstLine="420"/>
        <w:jc w:val="center"/>
        <w:rPr>
          <w:rFonts w:eastAsia="黑体" w:cs="Times New Roman"/>
          <w:szCs w:val="21"/>
        </w:rPr>
      </w:pPr>
      <w:r>
        <w:rPr>
          <w:rFonts w:eastAsia="黑体" w:cs="Times New Roman"/>
          <w:szCs w:val="21"/>
        </w:rPr>
        <w:t>表</w:t>
      </w:r>
      <w:r>
        <w:rPr>
          <w:rFonts w:eastAsia="黑体" w:cs="Times New Roman" w:hint="eastAsia"/>
          <w:szCs w:val="21"/>
        </w:rPr>
        <w:t>2.5</w:t>
      </w:r>
      <w:r>
        <w:rPr>
          <w:rFonts w:eastAsia="黑体" w:cs="Times New Roman"/>
          <w:szCs w:val="21"/>
        </w:rPr>
        <w:t xml:space="preserve">-4  </w:t>
      </w:r>
      <w:r>
        <w:rPr>
          <w:rFonts w:eastAsia="黑体" w:cs="Times New Roman"/>
          <w:szCs w:val="21"/>
        </w:rPr>
        <w:t>项目地下水环境影响评价工作分级</w:t>
      </w:r>
    </w:p>
    <w:tbl>
      <w:tblPr>
        <w:tblW w:w="4900" w:type="pct"/>
        <w:jc w:val="center"/>
        <w:tblLayout w:type="fixed"/>
        <w:tblCellMar>
          <w:left w:w="0" w:type="dxa"/>
          <w:right w:w="0" w:type="dxa"/>
        </w:tblCellMar>
        <w:tblLook w:val="04A0" w:firstRow="1" w:lastRow="0" w:firstColumn="1" w:lastColumn="0" w:noHBand="0" w:noVBand="1"/>
      </w:tblPr>
      <w:tblGrid>
        <w:gridCol w:w="2209"/>
        <w:gridCol w:w="2208"/>
        <w:gridCol w:w="2210"/>
        <w:gridCol w:w="2209"/>
      </w:tblGrid>
      <w:tr w:rsidR="007D1E74" w14:paraId="690A3ECA" w14:textId="77777777">
        <w:trPr>
          <w:trHeight w:val="397"/>
          <w:jc w:val="center"/>
        </w:trPr>
        <w:tc>
          <w:tcPr>
            <w:tcW w:w="2156" w:type="dxa"/>
            <w:tcBorders>
              <w:top w:val="single" w:sz="4" w:space="0" w:color="auto"/>
              <w:left w:val="single" w:sz="4" w:space="0" w:color="auto"/>
              <w:bottom w:val="single" w:sz="4" w:space="0" w:color="auto"/>
              <w:right w:val="single" w:sz="4" w:space="0" w:color="auto"/>
              <w:tl2br w:val="single" w:sz="4" w:space="0" w:color="000000"/>
            </w:tcBorders>
          </w:tcPr>
          <w:p w14:paraId="0C232759" w14:textId="77777777" w:rsidR="007D1E74" w:rsidRDefault="00A95641">
            <w:pPr>
              <w:pStyle w:val="TableParagraph"/>
              <w:overflowPunct w:val="0"/>
              <w:spacing w:line="240" w:lineRule="exact"/>
              <w:ind w:left="103" w:firstLine="1076"/>
              <w:rPr>
                <w:rFonts w:ascii="Times New Roman" w:hAnsi="Times New Roman"/>
                <w:sz w:val="21"/>
                <w:szCs w:val="21"/>
              </w:rPr>
            </w:pPr>
            <w:r>
              <w:rPr>
                <w:rFonts w:ascii="Times New Roman" w:hAnsi="Times New Roman"/>
                <w:sz w:val="21"/>
                <w:szCs w:val="21"/>
              </w:rPr>
              <w:t>项目类别</w:t>
            </w:r>
          </w:p>
          <w:p w14:paraId="3BA9339C" w14:textId="77777777" w:rsidR="007D1E74" w:rsidRDefault="00A95641">
            <w:pPr>
              <w:pStyle w:val="TableParagraph"/>
              <w:overflowPunct w:val="0"/>
              <w:spacing w:line="274" w:lineRule="exact"/>
              <w:ind w:left="103"/>
              <w:rPr>
                <w:rFonts w:ascii="Times New Roman" w:hAnsi="Times New Roman"/>
              </w:rPr>
            </w:pPr>
            <w:r>
              <w:rPr>
                <w:rFonts w:ascii="Times New Roman" w:hAnsi="Times New Roman"/>
                <w:sz w:val="21"/>
                <w:szCs w:val="21"/>
              </w:rPr>
              <w:lastRenderedPageBreak/>
              <w:t>环境敏感程度</w:t>
            </w:r>
          </w:p>
        </w:tc>
        <w:tc>
          <w:tcPr>
            <w:tcW w:w="2154" w:type="dxa"/>
            <w:tcBorders>
              <w:top w:val="single" w:sz="4" w:space="0" w:color="auto"/>
              <w:left w:val="single" w:sz="4" w:space="0" w:color="auto"/>
              <w:bottom w:val="single" w:sz="4" w:space="0" w:color="auto"/>
              <w:right w:val="single" w:sz="4" w:space="0" w:color="auto"/>
            </w:tcBorders>
          </w:tcPr>
          <w:p w14:paraId="652DBCF0" w14:textId="77777777" w:rsidR="007D1E74" w:rsidRDefault="00A95641">
            <w:pPr>
              <w:pStyle w:val="TableParagraph"/>
              <w:overflowPunct w:val="0"/>
              <w:spacing w:before="102"/>
              <w:ind w:left="640"/>
              <w:rPr>
                <w:rFonts w:ascii="Times New Roman" w:hAnsi="Times New Roman"/>
              </w:rPr>
            </w:pPr>
            <w:r>
              <w:rPr>
                <w:rFonts w:ascii="Times New Roman" w:hAnsi="Times New Roman"/>
                <w:sz w:val="21"/>
                <w:szCs w:val="21"/>
              </w:rPr>
              <w:lastRenderedPageBreak/>
              <w:t>Ⅰ</w:t>
            </w:r>
            <w:r>
              <w:rPr>
                <w:rFonts w:ascii="Times New Roman" w:hAnsi="Times New Roman"/>
                <w:sz w:val="21"/>
                <w:szCs w:val="21"/>
              </w:rPr>
              <w:t>类项目</w:t>
            </w:r>
          </w:p>
        </w:tc>
        <w:tc>
          <w:tcPr>
            <w:tcW w:w="2156" w:type="dxa"/>
            <w:tcBorders>
              <w:top w:val="single" w:sz="4" w:space="0" w:color="auto"/>
              <w:left w:val="single" w:sz="4" w:space="0" w:color="auto"/>
              <w:bottom w:val="single" w:sz="4" w:space="0" w:color="auto"/>
              <w:right w:val="single" w:sz="4" w:space="0" w:color="auto"/>
            </w:tcBorders>
          </w:tcPr>
          <w:p w14:paraId="26B63827" w14:textId="77777777" w:rsidR="007D1E74" w:rsidRDefault="00A95641">
            <w:pPr>
              <w:pStyle w:val="TableParagraph"/>
              <w:overflowPunct w:val="0"/>
              <w:spacing w:before="102"/>
              <w:ind w:left="640"/>
              <w:rPr>
                <w:rFonts w:ascii="Times New Roman" w:hAnsi="Times New Roman"/>
                <w:b/>
                <w:bCs/>
              </w:rPr>
            </w:pPr>
            <w:r>
              <w:rPr>
                <w:rFonts w:ascii="Times New Roman" w:hAnsi="Times New Roman"/>
                <w:sz w:val="21"/>
                <w:szCs w:val="21"/>
              </w:rPr>
              <w:t>Ⅱ</w:t>
            </w:r>
            <w:r>
              <w:rPr>
                <w:rFonts w:ascii="Times New Roman" w:hAnsi="Times New Roman"/>
                <w:sz w:val="21"/>
                <w:szCs w:val="21"/>
              </w:rPr>
              <w:t>类项目</w:t>
            </w:r>
          </w:p>
        </w:tc>
        <w:tc>
          <w:tcPr>
            <w:tcW w:w="2155" w:type="dxa"/>
            <w:tcBorders>
              <w:top w:val="single" w:sz="4" w:space="0" w:color="auto"/>
              <w:left w:val="single" w:sz="4" w:space="0" w:color="auto"/>
              <w:bottom w:val="single" w:sz="4" w:space="0" w:color="auto"/>
              <w:right w:val="single" w:sz="4" w:space="0" w:color="auto"/>
            </w:tcBorders>
          </w:tcPr>
          <w:p w14:paraId="3794F866" w14:textId="77777777" w:rsidR="007D1E74" w:rsidRDefault="00A95641">
            <w:pPr>
              <w:pStyle w:val="TableParagraph"/>
              <w:overflowPunct w:val="0"/>
              <w:spacing w:before="102"/>
              <w:ind w:left="640"/>
              <w:rPr>
                <w:rFonts w:ascii="Times New Roman" w:hAnsi="Times New Roman"/>
              </w:rPr>
            </w:pPr>
            <w:r>
              <w:rPr>
                <w:rFonts w:ascii="Times New Roman" w:hAnsi="Times New Roman"/>
                <w:b/>
                <w:bCs/>
                <w:sz w:val="21"/>
                <w:szCs w:val="21"/>
              </w:rPr>
              <w:t>Ⅲ</w:t>
            </w:r>
            <w:r>
              <w:rPr>
                <w:rFonts w:ascii="Times New Roman" w:hAnsi="Times New Roman"/>
                <w:b/>
                <w:bCs/>
                <w:sz w:val="21"/>
                <w:szCs w:val="21"/>
              </w:rPr>
              <w:t>类项目</w:t>
            </w:r>
          </w:p>
        </w:tc>
      </w:tr>
      <w:tr w:rsidR="007D1E74" w14:paraId="00803E26" w14:textId="77777777">
        <w:trPr>
          <w:trHeight w:val="397"/>
          <w:jc w:val="center"/>
        </w:trPr>
        <w:tc>
          <w:tcPr>
            <w:tcW w:w="2156" w:type="dxa"/>
            <w:tcBorders>
              <w:top w:val="single" w:sz="4" w:space="0" w:color="auto"/>
              <w:left w:val="single" w:sz="4" w:space="0" w:color="auto"/>
              <w:bottom w:val="single" w:sz="4" w:space="0" w:color="auto"/>
              <w:right w:val="single" w:sz="4" w:space="0" w:color="auto"/>
            </w:tcBorders>
          </w:tcPr>
          <w:p w14:paraId="4917AE23" w14:textId="77777777" w:rsidR="007D1E74" w:rsidRDefault="00A95641">
            <w:pPr>
              <w:pStyle w:val="TableParagraph"/>
              <w:overflowPunct w:val="0"/>
              <w:spacing w:before="28"/>
              <w:ind w:right="1"/>
              <w:jc w:val="center"/>
              <w:rPr>
                <w:rFonts w:ascii="Times New Roman" w:hAnsi="Times New Roman"/>
              </w:rPr>
            </w:pPr>
            <w:r>
              <w:rPr>
                <w:rFonts w:ascii="Times New Roman" w:hAnsi="Times New Roman"/>
                <w:sz w:val="21"/>
                <w:szCs w:val="21"/>
              </w:rPr>
              <w:t>敏感</w:t>
            </w:r>
          </w:p>
        </w:tc>
        <w:tc>
          <w:tcPr>
            <w:tcW w:w="2154" w:type="dxa"/>
            <w:tcBorders>
              <w:top w:val="single" w:sz="4" w:space="0" w:color="auto"/>
              <w:left w:val="single" w:sz="4" w:space="0" w:color="auto"/>
              <w:bottom w:val="single" w:sz="4" w:space="0" w:color="auto"/>
              <w:right w:val="single" w:sz="4" w:space="0" w:color="auto"/>
            </w:tcBorders>
          </w:tcPr>
          <w:p w14:paraId="2C805DFE" w14:textId="77777777" w:rsidR="007D1E74" w:rsidRDefault="00A95641">
            <w:pPr>
              <w:pStyle w:val="TableParagraph"/>
              <w:overflowPunct w:val="0"/>
              <w:spacing w:before="28"/>
              <w:ind w:left="1"/>
              <w:jc w:val="center"/>
              <w:rPr>
                <w:rFonts w:ascii="Times New Roman" w:hAnsi="Times New Roman"/>
              </w:rPr>
            </w:pPr>
            <w:r>
              <w:rPr>
                <w:rFonts w:ascii="Times New Roman" w:hAnsi="Times New Roman"/>
                <w:sz w:val="21"/>
                <w:szCs w:val="21"/>
              </w:rPr>
              <w:t>一</w:t>
            </w:r>
          </w:p>
        </w:tc>
        <w:tc>
          <w:tcPr>
            <w:tcW w:w="2156" w:type="dxa"/>
            <w:tcBorders>
              <w:top w:val="single" w:sz="4" w:space="0" w:color="auto"/>
              <w:left w:val="single" w:sz="4" w:space="0" w:color="auto"/>
              <w:bottom w:val="single" w:sz="4" w:space="0" w:color="auto"/>
              <w:right w:val="single" w:sz="4" w:space="0" w:color="auto"/>
            </w:tcBorders>
          </w:tcPr>
          <w:p w14:paraId="53A2949E" w14:textId="77777777" w:rsidR="007D1E74" w:rsidRDefault="00A95641">
            <w:pPr>
              <w:pStyle w:val="TableParagraph"/>
              <w:overflowPunct w:val="0"/>
              <w:spacing w:before="28"/>
              <w:jc w:val="center"/>
              <w:rPr>
                <w:rFonts w:ascii="Times New Roman" w:hAnsi="Times New Roman"/>
              </w:rPr>
            </w:pPr>
            <w:r>
              <w:rPr>
                <w:rFonts w:ascii="Times New Roman" w:hAnsi="Times New Roman"/>
                <w:sz w:val="21"/>
                <w:szCs w:val="21"/>
              </w:rPr>
              <w:t>一</w:t>
            </w:r>
          </w:p>
        </w:tc>
        <w:tc>
          <w:tcPr>
            <w:tcW w:w="2155" w:type="dxa"/>
            <w:tcBorders>
              <w:top w:val="single" w:sz="4" w:space="0" w:color="auto"/>
              <w:left w:val="single" w:sz="4" w:space="0" w:color="auto"/>
              <w:bottom w:val="single" w:sz="4" w:space="0" w:color="auto"/>
              <w:right w:val="single" w:sz="4" w:space="0" w:color="auto"/>
            </w:tcBorders>
          </w:tcPr>
          <w:p w14:paraId="1F2C45D8" w14:textId="77777777" w:rsidR="007D1E74" w:rsidRDefault="00A95641">
            <w:pPr>
              <w:pStyle w:val="TableParagraph"/>
              <w:overflowPunct w:val="0"/>
              <w:spacing w:before="28"/>
              <w:jc w:val="center"/>
              <w:rPr>
                <w:rFonts w:ascii="Times New Roman" w:hAnsi="Times New Roman"/>
              </w:rPr>
            </w:pPr>
            <w:r>
              <w:rPr>
                <w:rFonts w:ascii="Times New Roman" w:hAnsi="Times New Roman"/>
                <w:sz w:val="21"/>
                <w:szCs w:val="21"/>
              </w:rPr>
              <w:t>二</w:t>
            </w:r>
          </w:p>
        </w:tc>
      </w:tr>
      <w:tr w:rsidR="007D1E74" w14:paraId="31382F5B" w14:textId="77777777">
        <w:trPr>
          <w:trHeight w:val="397"/>
          <w:jc w:val="center"/>
        </w:trPr>
        <w:tc>
          <w:tcPr>
            <w:tcW w:w="2156" w:type="dxa"/>
            <w:tcBorders>
              <w:top w:val="single" w:sz="4" w:space="0" w:color="auto"/>
              <w:left w:val="single" w:sz="4" w:space="0" w:color="auto"/>
              <w:bottom w:val="single" w:sz="4" w:space="0" w:color="auto"/>
              <w:right w:val="single" w:sz="4" w:space="0" w:color="auto"/>
            </w:tcBorders>
            <w:shd w:val="clear" w:color="auto" w:fill="auto"/>
          </w:tcPr>
          <w:p w14:paraId="52DCE0A4" w14:textId="77777777" w:rsidR="007D1E74" w:rsidRDefault="00A95641">
            <w:pPr>
              <w:pStyle w:val="TableParagraph"/>
              <w:overflowPunct w:val="0"/>
              <w:spacing w:before="28"/>
              <w:ind w:left="1"/>
              <w:jc w:val="center"/>
              <w:rPr>
                <w:rFonts w:ascii="Times New Roman" w:hAnsi="Times New Roman"/>
                <w:sz w:val="21"/>
                <w:szCs w:val="21"/>
              </w:rPr>
            </w:pPr>
            <w:r>
              <w:rPr>
                <w:rFonts w:ascii="Times New Roman" w:hAnsi="Times New Roman"/>
                <w:b/>
                <w:bCs/>
                <w:sz w:val="21"/>
                <w:szCs w:val="21"/>
              </w:rPr>
              <w:t>较敏感</w:t>
            </w:r>
          </w:p>
        </w:tc>
        <w:tc>
          <w:tcPr>
            <w:tcW w:w="2154" w:type="dxa"/>
            <w:tcBorders>
              <w:top w:val="single" w:sz="4" w:space="0" w:color="auto"/>
              <w:left w:val="single" w:sz="4" w:space="0" w:color="auto"/>
              <w:bottom w:val="single" w:sz="4" w:space="0" w:color="auto"/>
              <w:right w:val="single" w:sz="4" w:space="0" w:color="auto"/>
            </w:tcBorders>
            <w:shd w:val="clear" w:color="auto" w:fill="auto"/>
          </w:tcPr>
          <w:p w14:paraId="7EA2CD31" w14:textId="77777777" w:rsidR="007D1E74" w:rsidRDefault="00A95641">
            <w:pPr>
              <w:pStyle w:val="TableParagraph"/>
              <w:overflowPunct w:val="0"/>
              <w:spacing w:before="28"/>
              <w:ind w:left="1"/>
              <w:jc w:val="center"/>
              <w:rPr>
                <w:rFonts w:ascii="Times New Roman" w:hAnsi="Times New Roman"/>
                <w:sz w:val="21"/>
                <w:szCs w:val="21"/>
              </w:rPr>
            </w:pPr>
            <w:r>
              <w:rPr>
                <w:rFonts w:ascii="Times New Roman" w:hAnsi="Times New Roman"/>
                <w:sz w:val="21"/>
                <w:szCs w:val="21"/>
              </w:rPr>
              <w:t>一</w:t>
            </w:r>
          </w:p>
        </w:tc>
        <w:tc>
          <w:tcPr>
            <w:tcW w:w="2156" w:type="dxa"/>
            <w:tcBorders>
              <w:top w:val="single" w:sz="4" w:space="0" w:color="auto"/>
              <w:left w:val="single" w:sz="4" w:space="0" w:color="auto"/>
              <w:bottom w:val="single" w:sz="4" w:space="0" w:color="auto"/>
              <w:right w:val="single" w:sz="4" w:space="0" w:color="auto"/>
            </w:tcBorders>
            <w:shd w:val="clear" w:color="auto" w:fill="auto"/>
          </w:tcPr>
          <w:p w14:paraId="46A6BF65" w14:textId="77777777" w:rsidR="007D1E74" w:rsidRDefault="00A95641">
            <w:pPr>
              <w:pStyle w:val="TableParagraph"/>
              <w:overflowPunct w:val="0"/>
              <w:spacing w:before="28"/>
              <w:ind w:left="1"/>
              <w:jc w:val="center"/>
              <w:rPr>
                <w:rFonts w:ascii="Times New Roman" w:hAnsi="Times New Roman"/>
                <w:sz w:val="21"/>
                <w:szCs w:val="21"/>
              </w:rPr>
            </w:pPr>
            <w:r>
              <w:rPr>
                <w:rFonts w:ascii="Times New Roman" w:hAnsi="Times New Roman"/>
                <w:sz w:val="21"/>
                <w:szCs w:val="21"/>
              </w:rPr>
              <w:t>二</w:t>
            </w:r>
          </w:p>
        </w:tc>
        <w:tc>
          <w:tcPr>
            <w:tcW w:w="2155" w:type="dxa"/>
            <w:tcBorders>
              <w:top w:val="single" w:sz="4" w:space="0" w:color="auto"/>
              <w:left w:val="single" w:sz="4" w:space="0" w:color="auto"/>
              <w:bottom w:val="single" w:sz="4" w:space="0" w:color="auto"/>
              <w:right w:val="single" w:sz="4" w:space="0" w:color="auto"/>
            </w:tcBorders>
          </w:tcPr>
          <w:p w14:paraId="0609636E" w14:textId="77777777" w:rsidR="007D1E74" w:rsidRDefault="00A95641">
            <w:pPr>
              <w:pStyle w:val="TableParagraph"/>
              <w:overflowPunct w:val="0"/>
              <w:spacing w:before="28"/>
              <w:ind w:left="1"/>
              <w:jc w:val="center"/>
              <w:rPr>
                <w:rFonts w:ascii="Times New Roman" w:hAnsi="Times New Roman"/>
                <w:sz w:val="21"/>
                <w:szCs w:val="21"/>
              </w:rPr>
            </w:pPr>
            <w:r>
              <w:rPr>
                <w:rFonts w:ascii="Times New Roman" w:hAnsi="Times New Roman"/>
                <w:b/>
                <w:bCs/>
                <w:sz w:val="21"/>
                <w:szCs w:val="21"/>
              </w:rPr>
              <w:t>三</w:t>
            </w:r>
          </w:p>
        </w:tc>
      </w:tr>
      <w:tr w:rsidR="007D1E74" w14:paraId="623AE48F" w14:textId="77777777">
        <w:trPr>
          <w:trHeight w:val="397"/>
          <w:jc w:val="center"/>
        </w:trPr>
        <w:tc>
          <w:tcPr>
            <w:tcW w:w="2156" w:type="dxa"/>
            <w:tcBorders>
              <w:top w:val="single" w:sz="4" w:space="0" w:color="auto"/>
              <w:left w:val="single" w:sz="4" w:space="0" w:color="auto"/>
              <w:bottom w:val="single" w:sz="4" w:space="0" w:color="auto"/>
              <w:right w:val="single" w:sz="4" w:space="0" w:color="auto"/>
            </w:tcBorders>
          </w:tcPr>
          <w:p w14:paraId="537D78F8" w14:textId="77777777" w:rsidR="007D1E74" w:rsidRDefault="00A95641">
            <w:pPr>
              <w:pStyle w:val="TableParagraph"/>
              <w:overflowPunct w:val="0"/>
              <w:spacing w:before="28"/>
              <w:jc w:val="center"/>
              <w:rPr>
                <w:rFonts w:ascii="Times New Roman" w:hAnsi="Times New Roman"/>
              </w:rPr>
            </w:pPr>
            <w:r>
              <w:rPr>
                <w:rFonts w:ascii="Times New Roman" w:hAnsi="Times New Roman"/>
                <w:sz w:val="21"/>
                <w:szCs w:val="21"/>
              </w:rPr>
              <w:t>不敏感</w:t>
            </w:r>
          </w:p>
        </w:tc>
        <w:tc>
          <w:tcPr>
            <w:tcW w:w="2154" w:type="dxa"/>
            <w:tcBorders>
              <w:top w:val="single" w:sz="4" w:space="0" w:color="auto"/>
              <w:left w:val="single" w:sz="4" w:space="0" w:color="auto"/>
              <w:bottom w:val="single" w:sz="4" w:space="0" w:color="auto"/>
              <w:right w:val="single" w:sz="4" w:space="0" w:color="auto"/>
            </w:tcBorders>
          </w:tcPr>
          <w:p w14:paraId="0F96A3CE" w14:textId="77777777" w:rsidR="007D1E74" w:rsidRDefault="00A95641">
            <w:pPr>
              <w:pStyle w:val="TableParagraph"/>
              <w:overflowPunct w:val="0"/>
              <w:spacing w:before="28"/>
              <w:ind w:left="1"/>
              <w:jc w:val="center"/>
              <w:rPr>
                <w:rFonts w:ascii="Times New Roman" w:hAnsi="Times New Roman"/>
              </w:rPr>
            </w:pPr>
            <w:r>
              <w:rPr>
                <w:rFonts w:ascii="Times New Roman" w:hAnsi="Times New Roman"/>
                <w:sz w:val="21"/>
                <w:szCs w:val="21"/>
              </w:rPr>
              <w:t>二</w:t>
            </w:r>
          </w:p>
        </w:tc>
        <w:tc>
          <w:tcPr>
            <w:tcW w:w="2156" w:type="dxa"/>
            <w:tcBorders>
              <w:top w:val="single" w:sz="4" w:space="0" w:color="auto"/>
              <w:left w:val="single" w:sz="4" w:space="0" w:color="auto"/>
              <w:bottom w:val="single" w:sz="4" w:space="0" w:color="auto"/>
              <w:right w:val="single" w:sz="4" w:space="0" w:color="auto"/>
            </w:tcBorders>
          </w:tcPr>
          <w:p w14:paraId="2116C3EB" w14:textId="77777777" w:rsidR="007D1E74" w:rsidRDefault="00A95641">
            <w:pPr>
              <w:pStyle w:val="TableParagraph"/>
              <w:overflowPunct w:val="0"/>
              <w:spacing w:before="28"/>
              <w:jc w:val="center"/>
              <w:rPr>
                <w:rFonts w:ascii="Times New Roman" w:hAnsi="Times New Roman"/>
                <w:b/>
              </w:rPr>
            </w:pPr>
            <w:r>
              <w:rPr>
                <w:rFonts w:ascii="Times New Roman" w:hAnsi="Times New Roman"/>
                <w:b/>
                <w:sz w:val="21"/>
                <w:szCs w:val="21"/>
              </w:rPr>
              <w:t>三</w:t>
            </w:r>
          </w:p>
        </w:tc>
        <w:tc>
          <w:tcPr>
            <w:tcW w:w="2155" w:type="dxa"/>
            <w:tcBorders>
              <w:top w:val="single" w:sz="4" w:space="0" w:color="auto"/>
              <w:left w:val="single" w:sz="4" w:space="0" w:color="auto"/>
              <w:bottom w:val="single" w:sz="4" w:space="0" w:color="auto"/>
              <w:right w:val="single" w:sz="4" w:space="0" w:color="auto"/>
            </w:tcBorders>
          </w:tcPr>
          <w:p w14:paraId="0166DD0D" w14:textId="77777777" w:rsidR="007D1E74" w:rsidRDefault="00A95641">
            <w:pPr>
              <w:pStyle w:val="TableParagraph"/>
              <w:overflowPunct w:val="0"/>
              <w:spacing w:before="28"/>
              <w:jc w:val="center"/>
              <w:rPr>
                <w:rFonts w:ascii="Times New Roman" w:hAnsi="Times New Roman"/>
              </w:rPr>
            </w:pPr>
            <w:r>
              <w:rPr>
                <w:rFonts w:ascii="Times New Roman" w:hAnsi="Times New Roman"/>
                <w:sz w:val="21"/>
                <w:szCs w:val="21"/>
              </w:rPr>
              <w:t>三</w:t>
            </w:r>
          </w:p>
        </w:tc>
      </w:tr>
    </w:tbl>
    <w:p w14:paraId="085F1B91" w14:textId="77777777" w:rsidR="007D1E74" w:rsidRDefault="00A95641">
      <w:pPr>
        <w:spacing w:line="360" w:lineRule="auto"/>
        <w:ind w:firstLineChars="200" w:firstLine="480"/>
        <w:rPr>
          <w:sz w:val="24"/>
        </w:rPr>
      </w:pPr>
      <w:r>
        <w:rPr>
          <w:rFonts w:cs="Times New Roman"/>
          <w:sz w:val="24"/>
        </w:rPr>
        <w:t>根据上表可知，本项目地下水评价等级为</w:t>
      </w:r>
      <w:r>
        <w:rPr>
          <w:rFonts w:cs="Times New Roman"/>
          <w:b/>
          <w:bCs/>
          <w:sz w:val="24"/>
        </w:rPr>
        <w:t>三级</w:t>
      </w:r>
      <w:r>
        <w:rPr>
          <w:rFonts w:cs="Times New Roman"/>
          <w:sz w:val="24"/>
        </w:rPr>
        <w:t>。</w:t>
      </w:r>
    </w:p>
    <w:p w14:paraId="43B151E8" w14:textId="77777777" w:rsidR="007D1E74" w:rsidRDefault="00A95641">
      <w:pPr>
        <w:pStyle w:val="aa"/>
      </w:pPr>
      <w:r>
        <w:t>大气环境评价等级</w:t>
      </w:r>
    </w:p>
    <w:p w14:paraId="04A00F05" w14:textId="77777777" w:rsidR="007D1E74" w:rsidRDefault="00A95641">
      <w:pPr>
        <w:spacing w:line="360" w:lineRule="auto"/>
        <w:ind w:firstLineChars="200" w:firstLine="480"/>
        <w:contextualSpacing/>
        <w:rPr>
          <w:sz w:val="24"/>
        </w:rPr>
      </w:pPr>
      <w:r>
        <w:rPr>
          <w:rFonts w:cs="Times New Roman"/>
          <w:sz w:val="24"/>
        </w:rPr>
        <w:t>根据《环境影响评价技术导则</w:t>
      </w:r>
      <w:r>
        <w:rPr>
          <w:rFonts w:cs="Times New Roman"/>
          <w:sz w:val="24"/>
        </w:rPr>
        <w:t xml:space="preserve">  </w:t>
      </w:r>
      <w:r>
        <w:rPr>
          <w:rFonts w:cs="Times New Roman"/>
          <w:sz w:val="24"/>
        </w:rPr>
        <w:t>大气环境》（</w:t>
      </w:r>
      <w:r>
        <w:rPr>
          <w:rFonts w:cs="Times New Roman"/>
          <w:sz w:val="24"/>
        </w:rPr>
        <w:t>HJ2.2-2018</w:t>
      </w:r>
      <w:r>
        <w:rPr>
          <w:rFonts w:cs="Times New Roman"/>
          <w:sz w:val="24"/>
        </w:rPr>
        <w:t>）：选择项目污染源正常排放的主要污染物及排放参数，采用估算模式计算各污染物的最大影响程度和最远影响范围，然后按评价工作分级判据进行分级。由于本项目运营期正常情况下不对大气环境排放污染物，因此本次大气环境评价等级定为三级。</w:t>
      </w:r>
    </w:p>
    <w:p w14:paraId="0B6CEF36" w14:textId="77777777" w:rsidR="007D1E74" w:rsidRDefault="00A95641">
      <w:pPr>
        <w:pStyle w:val="aa"/>
      </w:pPr>
      <w:r>
        <w:t>声环境评价等级</w:t>
      </w:r>
    </w:p>
    <w:p w14:paraId="6D21AD87" w14:textId="77777777" w:rsidR="007D1E74" w:rsidRDefault="00A95641">
      <w:pPr>
        <w:spacing w:line="360" w:lineRule="auto"/>
        <w:ind w:firstLineChars="200" w:firstLine="480"/>
        <w:contextualSpacing/>
        <w:rPr>
          <w:sz w:val="24"/>
        </w:rPr>
      </w:pPr>
      <w:r>
        <w:rPr>
          <w:rFonts w:cs="Times New Roman"/>
          <w:sz w:val="24"/>
        </w:rPr>
        <w:t>根据</w:t>
      </w:r>
      <w:r>
        <w:rPr>
          <w:rFonts w:cs="Times New Roman"/>
          <w:sz w:val="24"/>
        </w:rPr>
        <w:t>HJ2.4-2009</w:t>
      </w:r>
      <w:r>
        <w:rPr>
          <w:rFonts w:cs="Times New Roman"/>
          <w:sz w:val="24"/>
        </w:rPr>
        <w:t>《环境影响评价技术导则</w:t>
      </w:r>
      <w:r>
        <w:rPr>
          <w:rFonts w:cs="Times New Roman"/>
          <w:sz w:val="24"/>
        </w:rPr>
        <w:t>-</w:t>
      </w:r>
      <w:r>
        <w:rPr>
          <w:rFonts w:cs="Times New Roman"/>
          <w:sz w:val="24"/>
        </w:rPr>
        <w:t>声环境》的等级划分原则</w:t>
      </w:r>
      <w:r>
        <w:rPr>
          <w:rFonts w:cs="Times New Roman"/>
          <w:sz w:val="24"/>
        </w:rPr>
        <w:t>“</w:t>
      </w:r>
      <w:r>
        <w:rPr>
          <w:rFonts w:cs="Times New Roman"/>
          <w:sz w:val="24"/>
        </w:rPr>
        <w:t>建设项目所处的声环境功能区为</w:t>
      </w:r>
      <w:r>
        <w:rPr>
          <w:rFonts w:cs="Times New Roman"/>
          <w:sz w:val="24"/>
        </w:rPr>
        <w:t>GB3096</w:t>
      </w:r>
      <w:r>
        <w:rPr>
          <w:rFonts w:cs="Times New Roman"/>
          <w:sz w:val="24"/>
        </w:rPr>
        <w:t>规定的</w:t>
      </w:r>
      <w:r>
        <w:rPr>
          <w:rFonts w:cs="Times New Roman"/>
          <w:sz w:val="24"/>
        </w:rPr>
        <w:t>1</w:t>
      </w:r>
      <w:r>
        <w:rPr>
          <w:rFonts w:cs="Times New Roman"/>
          <w:sz w:val="24"/>
        </w:rPr>
        <w:t>类、</w:t>
      </w:r>
      <w:r>
        <w:rPr>
          <w:rFonts w:cs="Times New Roman"/>
          <w:sz w:val="24"/>
        </w:rPr>
        <w:t>2</w:t>
      </w:r>
      <w:r>
        <w:rPr>
          <w:rFonts w:cs="Times New Roman"/>
          <w:sz w:val="24"/>
        </w:rPr>
        <w:t>类地区，或建设项目建设前后评价范围内敏感目标噪声级增高量达</w:t>
      </w:r>
      <w:r>
        <w:rPr>
          <w:rFonts w:cs="Times New Roman"/>
          <w:sz w:val="24"/>
        </w:rPr>
        <w:t>3dB(A)</w:t>
      </w:r>
      <w:r>
        <w:rPr>
          <w:rFonts w:cs="Times New Roman"/>
          <w:sz w:val="24"/>
        </w:rPr>
        <w:t>～</w:t>
      </w:r>
      <w:r>
        <w:rPr>
          <w:rFonts w:cs="Times New Roman"/>
          <w:sz w:val="24"/>
        </w:rPr>
        <w:t>5dB(A)</w:t>
      </w:r>
      <w:r>
        <w:rPr>
          <w:rFonts w:cs="Times New Roman"/>
          <w:sz w:val="24"/>
        </w:rPr>
        <w:t>（含</w:t>
      </w:r>
      <w:r>
        <w:rPr>
          <w:rFonts w:cs="Times New Roman"/>
          <w:sz w:val="24"/>
        </w:rPr>
        <w:t>5dB(A)</w:t>
      </w:r>
      <w:r>
        <w:rPr>
          <w:rFonts w:cs="Times New Roman"/>
          <w:sz w:val="24"/>
        </w:rPr>
        <w:t>），或受噪声影响人口数量增加较多时，按二级评价。</w:t>
      </w:r>
      <w:r>
        <w:rPr>
          <w:rFonts w:cs="Times New Roman"/>
          <w:sz w:val="24"/>
        </w:rPr>
        <w:t>”</w:t>
      </w:r>
    </w:p>
    <w:p w14:paraId="400AF5C0" w14:textId="77777777" w:rsidR="007D1E74" w:rsidRDefault="00A95641">
      <w:pPr>
        <w:spacing w:line="360" w:lineRule="auto"/>
        <w:ind w:firstLineChars="200" w:firstLine="480"/>
        <w:contextualSpacing/>
        <w:rPr>
          <w:sz w:val="24"/>
        </w:rPr>
      </w:pPr>
      <w:r>
        <w:rPr>
          <w:rFonts w:cs="Times New Roman"/>
          <w:sz w:val="24"/>
        </w:rPr>
        <w:t>本项目施工期噪声主要来自施工作业机械，营运期不产生噪声。根据现场调查，沿线地区声环境质量较好，项目管道位于《声环境质量标准》（</w:t>
      </w:r>
      <w:r>
        <w:rPr>
          <w:rFonts w:cs="Times New Roman"/>
          <w:sz w:val="24"/>
        </w:rPr>
        <w:t>GB3096-2008</w:t>
      </w:r>
      <w:r>
        <w:rPr>
          <w:rFonts w:cs="Times New Roman"/>
          <w:sz w:val="24"/>
        </w:rPr>
        <w:t>）中划定的</w:t>
      </w:r>
      <w:r>
        <w:rPr>
          <w:rFonts w:cs="Times New Roman" w:hint="eastAsia"/>
          <w:sz w:val="24"/>
        </w:rPr>
        <w:t>1</w:t>
      </w:r>
      <w:r>
        <w:rPr>
          <w:rFonts w:cs="Times New Roman"/>
          <w:sz w:val="24"/>
        </w:rPr>
        <w:t>类声环境功能区，因此，本次声环境评价等级为二级。</w:t>
      </w:r>
    </w:p>
    <w:p w14:paraId="7F829B31" w14:textId="77777777" w:rsidR="007D1E74" w:rsidRDefault="00A95641">
      <w:pPr>
        <w:pStyle w:val="aa"/>
      </w:pPr>
      <w:r>
        <w:t>土壤评价等级</w:t>
      </w:r>
    </w:p>
    <w:p w14:paraId="50889BD7" w14:textId="77777777" w:rsidR="007D1E74" w:rsidRDefault="00A95641">
      <w:pPr>
        <w:spacing w:line="360" w:lineRule="auto"/>
        <w:ind w:firstLineChars="200" w:firstLine="480"/>
        <w:rPr>
          <w:kern w:val="0"/>
          <w:sz w:val="24"/>
        </w:rPr>
      </w:pPr>
      <w:r>
        <w:rPr>
          <w:rFonts w:cs="Times New Roman"/>
          <w:kern w:val="0"/>
          <w:sz w:val="24"/>
        </w:rPr>
        <w:t>根据《环境影响评价技术导则</w:t>
      </w:r>
      <w:r>
        <w:rPr>
          <w:rFonts w:cs="Times New Roman"/>
          <w:kern w:val="0"/>
          <w:sz w:val="24"/>
        </w:rPr>
        <w:t xml:space="preserve"> </w:t>
      </w:r>
      <w:r>
        <w:rPr>
          <w:rFonts w:cs="Times New Roman"/>
          <w:kern w:val="0"/>
          <w:sz w:val="24"/>
        </w:rPr>
        <w:t>土壤环境（试行）》（</w:t>
      </w:r>
      <w:r>
        <w:rPr>
          <w:rFonts w:cs="Times New Roman"/>
          <w:kern w:val="0"/>
          <w:sz w:val="24"/>
        </w:rPr>
        <w:t>HJ964-2018</w:t>
      </w:r>
      <w:r>
        <w:rPr>
          <w:rFonts w:cs="Times New Roman"/>
          <w:kern w:val="0"/>
          <w:sz w:val="24"/>
        </w:rPr>
        <w:t>）附录</w:t>
      </w:r>
      <w:r>
        <w:rPr>
          <w:rFonts w:cs="Times New Roman"/>
          <w:kern w:val="0"/>
          <w:sz w:val="24"/>
        </w:rPr>
        <w:t>A</w:t>
      </w:r>
      <w:r>
        <w:rPr>
          <w:rFonts w:cs="Times New Roman"/>
          <w:kern w:val="0"/>
          <w:sz w:val="24"/>
        </w:rPr>
        <w:t>，本项目为</w:t>
      </w:r>
      <w:r>
        <w:rPr>
          <w:rFonts w:cs="Times New Roman" w:hint="eastAsia"/>
          <w:kern w:val="0"/>
          <w:sz w:val="24"/>
        </w:rPr>
        <w:t>天然气集输管线工程项目</w:t>
      </w:r>
      <w:r>
        <w:rPr>
          <w:rFonts w:cs="Times New Roman"/>
          <w:kern w:val="0"/>
          <w:sz w:val="24"/>
        </w:rPr>
        <w:t>，属于</w:t>
      </w:r>
      <w:r>
        <w:rPr>
          <w:rFonts w:cs="Times New Roman"/>
          <w:kern w:val="0"/>
          <w:sz w:val="24"/>
        </w:rPr>
        <w:t>“</w:t>
      </w:r>
      <w:r>
        <w:rPr>
          <w:rFonts w:cs="Times New Roman"/>
          <w:kern w:val="0"/>
          <w:sz w:val="24"/>
        </w:rPr>
        <w:t>采矿业</w:t>
      </w:r>
      <w:r>
        <w:rPr>
          <w:rFonts w:cs="Times New Roman"/>
          <w:kern w:val="0"/>
          <w:sz w:val="24"/>
        </w:rPr>
        <w:t>”</w:t>
      </w:r>
      <w:r>
        <w:rPr>
          <w:rFonts w:cs="Times New Roman"/>
          <w:kern w:val="0"/>
          <w:sz w:val="24"/>
        </w:rPr>
        <w:t>中</w:t>
      </w:r>
      <w:r>
        <w:rPr>
          <w:rFonts w:cs="Times New Roman"/>
          <w:kern w:val="0"/>
          <w:sz w:val="24"/>
        </w:rPr>
        <w:t>“</w:t>
      </w:r>
      <w:r>
        <w:rPr>
          <w:rFonts w:cs="Times New Roman"/>
          <w:kern w:val="0"/>
          <w:sz w:val="24"/>
        </w:rPr>
        <w:t>天然气开采</w:t>
      </w:r>
      <w:r>
        <w:rPr>
          <w:rFonts w:cs="Times New Roman"/>
          <w:kern w:val="0"/>
          <w:sz w:val="24"/>
        </w:rPr>
        <w:t>”</w:t>
      </w:r>
      <w:r>
        <w:rPr>
          <w:rFonts w:cs="Times New Roman"/>
          <w:kern w:val="0"/>
          <w:sz w:val="24"/>
        </w:rPr>
        <w:t>，项目类别为</w:t>
      </w:r>
      <w:r>
        <w:rPr>
          <w:rFonts w:cs="Times New Roman"/>
          <w:kern w:val="0"/>
          <w:sz w:val="24"/>
        </w:rPr>
        <w:t>II</w:t>
      </w:r>
      <w:r>
        <w:rPr>
          <w:rFonts w:cs="Times New Roman"/>
          <w:kern w:val="0"/>
          <w:sz w:val="24"/>
        </w:rPr>
        <w:t>类项目；若根据单独的天然气集输管线来判定，项目属于根据</w:t>
      </w:r>
      <w:r>
        <w:rPr>
          <w:rFonts w:cs="Times New Roman"/>
          <w:kern w:val="0"/>
          <w:sz w:val="24"/>
        </w:rPr>
        <w:t>“</w:t>
      </w:r>
      <w:r>
        <w:rPr>
          <w:rFonts w:cs="Times New Roman"/>
          <w:kern w:val="0"/>
          <w:sz w:val="24"/>
        </w:rPr>
        <w:t>交通运输仓储邮政业</w:t>
      </w:r>
      <w:r>
        <w:rPr>
          <w:rFonts w:cs="Times New Roman"/>
          <w:kern w:val="0"/>
          <w:sz w:val="24"/>
        </w:rPr>
        <w:t>”</w:t>
      </w:r>
      <w:r>
        <w:rPr>
          <w:rFonts w:cs="Times New Roman"/>
          <w:kern w:val="0"/>
          <w:sz w:val="24"/>
        </w:rPr>
        <w:t>里的</w:t>
      </w:r>
      <w:r>
        <w:rPr>
          <w:rFonts w:cs="Times New Roman"/>
          <w:kern w:val="0"/>
          <w:sz w:val="24"/>
        </w:rPr>
        <w:t>“</w:t>
      </w:r>
      <w:r>
        <w:rPr>
          <w:rFonts w:cs="Times New Roman"/>
          <w:kern w:val="0"/>
          <w:sz w:val="24"/>
        </w:rPr>
        <w:t>天然气管线</w:t>
      </w:r>
      <w:r>
        <w:rPr>
          <w:rFonts w:cs="Times New Roman"/>
          <w:kern w:val="0"/>
          <w:sz w:val="24"/>
        </w:rPr>
        <w:t>”</w:t>
      </w:r>
      <w:r>
        <w:rPr>
          <w:rFonts w:cs="Times New Roman"/>
          <w:kern w:val="0"/>
          <w:sz w:val="24"/>
        </w:rPr>
        <w:t>，根据附录</w:t>
      </w:r>
      <w:r>
        <w:rPr>
          <w:rFonts w:cs="Times New Roman"/>
          <w:kern w:val="0"/>
          <w:sz w:val="24"/>
        </w:rPr>
        <w:t>A</w:t>
      </w:r>
      <w:r>
        <w:rPr>
          <w:rFonts w:cs="Times New Roman"/>
          <w:kern w:val="0"/>
          <w:sz w:val="24"/>
        </w:rPr>
        <w:t>为</w:t>
      </w:r>
      <w:r>
        <w:rPr>
          <w:rFonts w:cs="Times New Roman"/>
          <w:kern w:val="0"/>
          <w:sz w:val="24"/>
        </w:rPr>
        <w:t>“</w:t>
      </w:r>
      <w:r>
        <w:rPr>
          <w:rFonts w:cs="Times New Roman"/>
          <w:kern w:val="0"/>
          <w:sz w:val="24"/>
        </w:rPr>
        <w:t>其他</w:t>
      </w:r>
      <w:r>
        <w:rPr>
          <w:rFonts w:cs="Times New Roman"/>
          <w:kern w:val="0"/>
          <w:sz w:val="24"/>
        </w:rPr>
        <w:t>”</w:t>
      </w:r>
      <w:r>
        <w:rPr>
          <w:rFonts w:cs="Times New Roman"/>
          <w:kern w:val="0"/>
          <w:sz w:val="24"/>
        </w:rPr>
        <w:t>类，项目类别为</w:t>
      </w:r>
      <w:r>
        <w:rPr>
          <w:rFonts w:ascii="宋体" w:hAnsi="宋体" w:cs="宋体" w:hint="eastAsia"/>
          <w:kern w:val="0"/>
          <w:sz w:val="24"/>
        </w:rPr>
        <w:t>Ⅳ</w:t>
      </w:r>
      <w:r>
        <w:rPr>
          <w:rFonts w:cs="Times New Roman"/>
          <w:kern w:val="0"/>
          <w:sz w:val="24"/>
        </w:rPr>
        <w:t>类项目。</w:t>
      </w:r>
      <w:r>
        <w:rPr>
          <w:rFonts w:cs="Times New Roman" w:hint="eastAsia"/>
          <w:kern w:val="0"/>
          <w:sz w:val="24"/>
        </w:rPr>
        <w:t>因此可不开展土壤环境影响评价工作。</w:t>
      </w:r>
    </w:p>
    <w:p w14:paraId="23CF5675" w14:textId="77777777" w:rsidR="007D1E74" w:rsidRDefault="00A95641">
      <w:pPr>
        <w:pStyle w:val="aa"/>
      </w:pPr>
      <w:r>
        <w:t xml:space="preserve"> </w:t>
      </w:r>
      <w:r>
        <w:t>环境风险评价等级</w:t>
      </w:r>
    </w:p>
    <w:p w14:paraId="643487B1" w14:textId="77777777" w:rsidR="007D1E74" w:rsidRDefault="00A95641">
      <w:pPr>
        <w:spacing w:line="360" w:lineRule="auto"/>
        <w:ind w:firstLineChars="200" w:firstLine="480"/>
        <w:rPr>
          <w:snapToGrid w:val="0"/>
          <w:sz w:val="24"/>
          <w:szCs w:val="30"/>
        </w:rPr>
      </w:pPr>
      <w:r>
        <w:rPr>
          <w:rFonts w:cs="Times New Roman" w:hint="eastAsia"/>
          <w:snapToGrid w:val="0"/>
          <w:sz w:val="24"/>
          <w:szCs w:val="30"/>
        </w:rPr>
        <w:t>根据分析，本项目危险物质及工艺系数危险性为</w:t>
      </w:r>
      <w:r>
        <w:rPr>
          <w:rFonts w:cs="Times New Roman" w:hint="eastAsia"/>
          <w:snapToGrid w:val="0"/>
          <w:sz w:val="24"/>
          <w:szCs w:val="30"/>
        </w:rPr>
        <w:t>P3</w:t>
      </w:r>
      <w:r>
        <w:rPr>
          <w:rFonts w:cs="Times New Roman" w:hint="eastAsia"/>
          <w:snapToGrid w:val="0"/>
          <w:sz w:val="24"/>
          <w:szCs w:val="30"/>
        </w:rPr>
        <w:t>，大气环境敏感程度为</w:t>
      </w:r>
      <w:r>
        <w:rPr>
          <w:rFonts w:cs="Times New Roman" w:hint="eastAsia"/>
          <w:snapToGrid w:val="0"/>
          <w:sz w:val="24"/>
          <w:szCs w:val="30"/>
        </w:rPr>
        <w:t>E3</w:t>
      </w:r>
      <w:r>
        <w:rPr>
          <w:rFonts w:cs="Times New Roman" w:hint="eastAsia"/>
          <w:snapToGrid w:val="0"/>
          <w:sz w:val="24"/>
          <w:szCs w:val="30"/>
        </w:rPr>
        <w:t>，地下水环境敏感程度为</w:t>
      </w:r>
      <w:r>
        <w:rPr>
          <w:rFonts w:cs="Times New Roman" w:hint="eastAsia"/>
          <w:snapToGrid w:val="0"/>
          <w:sz w:val="24"/>
          <w:szCs w:val="30"/>
        </w:rPr>
        <w:t>E1</w:t>
      </w:r>
      <w:r>
        <w:rPr>
          <w:rFonts w:cs="Times New Roman" w:hint="eastAsia"/>
          <w:snapToGrid w:val="0"/>
          <w:sz w:val="24"/>
          <w:szCs w:val="30"/>
        </w:rPr>
        <w:t>，项目大气环境风险潜势为</w:t>
      </w:r>
      <w:r>
        <w:rPr>
          <w:rFonts w:cs="Times New Roman"/>
          <w:snapToGrid w:val="0"/>
          <w:sz w:val="24"/>
          <w:szCs w:val="30"/>
        </w:rPr>
        <w:fldChar w:fldCharType="begin"/>
      </w:r>
      <w:r>
        <w:rPr>
          <w:rFonts w:cs="Times New Roman"/>
          <w:snapToGrid w:val="0"/>
          <w:sz w:val="24"/>
          <w:szCs w:val="30"/>
        </w:rPr>
        <w:instrText xml:space="preserve"> </w:instrText>
      </w:r>
      <w:r>
        <w:rPr>
          <w:rFonts w:cs="Times New Roman" w:hint="eastAsia"/>
          <w:snapToGrid w:val="0"/>
          <w:sz w:val="24"/>
          <w:szCs w:val="30"/>
        </w:rPr>
        <w:instrText>= 2 \* ROMAN</w:instrText>
      </w:r>
      <w:r>
        <w:rPr>
          <w:rFonts w:cs="Times New Roman"/>
          <w:snapToGrid w:val="0"/>
          <w:sz w:val="24"/>
          <w:szCs w:val="30"/>
        </w:rPr>
        <w:instrText xml:space="preserve"> </w:instrText>
      </w:r>
      <w:r>
        <w:rPr>
          <w:rFonts w:cs="Times New Roman"/>
          <w:snapToGrid w:val="0"/>
          <w:sz w:val="24"/>
          <w:szCs w:val="30"/>
        </w:rPr>
        <w:fldChar w:fldCharType="separate"/>
      </w:r>
      <w:r>
        <w:rPr>
          <w:rFonts w:cs="Times New Roman"/>
          <w:snapToGrid w:val="0"/>
          <w:sz w:val="24"/>
          <w:szCs w:val="30"/>
        </w:rPr>
        <w:t>II</w:t>
      </w:r>
      <w:r>
        <w:rPr>
          <w:rFonts w:cs="Times New Roman"/>
          <w:snapToGrid w:val="0"/>
          <w:sz w:val="24"/>
          <w:szCs w:val="30"/>
        </w:rPr>
        <w:fldChar w:fldCharType="end"/>
      </w:r>
      <w:r>
        <w:rPr>
          <w:rFonts w:cs="Times New Roman" w:hint="eastAsia"/>
          <w:snapToGrid w:val="0"/>
          <w:sz w:val="24"/>
          <w:szCs w:val="30"/>
        </w:rPr>
        <w:t>级，地下水环境风险潜势为</w:t>
      </w:r>
      <w:r>
        <w:rPr>
          <w:rFonts w:cs="Times New Roman"/>
          <w:snapToGrid w:val="0"/>
          <w:sz w:val="24"/>
          <w:szCs w:val="30"/>
        </w:rPr>
        <w:fldChar w:fldCharType="begin"/>
      </w:r>
      <w:r>
        <w:rPr>
          <w:rFonts w:cs="Times New Roman"/>
          <w:snapToGrid w:val="0"/>
          <w:sz w:val="24"/>
          <w:szCs w:val="30"/>
        </w:rPr>
        <w:instrText xml:space="preserve"> </w:instrText>
      </w:r>
      <w:r>
        <w:rPr>
          <w:rFonts w:cs="Times New Roman" w:hint="eastAsia"/>
          <w:snapToGrid w:val="0"/>
          <w:sz w:val="24"/>
          <w:szCs w:val="30"/>
        </w:rPr>
        <w:instrText>= 2 \* ROMAN</w:instrText>
      </w:r>
      <w:r>
        <w:rPr>
          <w:rFonts w:cs="Times New Roman"/>
          <w:snapToGrid w:val="0"/>
          <w:sz w:val="24"/>
          <w:szCs w:val="30"/>
        </w:rPr>
        <w:instrText xml:space="preserve"> </w:instrText>
      </w:r>
      <w:r>
        <w:rPr>
          <w:rFonts w:cs="Times New Roman"/>
          <w:snapToGrid w:val="0"/>
          <w:sz w:val="24"/>
          <w:szCs w:val="30"/>
        </w:rPr>
        <w:fldChar w:fldCharType="separate"/>
      </w:r>
      <w:r>
        <w:rPr>
          <w:rFonts w:cs="Times New Roman"/>
          <w:snapToGrid w:val="0"/>
          <w:sz w:val="24"/>
          <w:szCs w:val="30"/>
        </w:rPr>
        <w:fldChar w:fldCharType="begin"/>
      </w:r>
      <w:r>
        <w:rPr>
          <w:rFonts w:cs="Times New Roman"/>
          <w:snapToGrid w:val="0"/>
          <w:sz w:val="24"/>
          <w:szCs w:val="30"/>
        </w:rPr>
        <w:instrText xml:space="preserve"> </w:instrText>
      </w:r>
      <w:r>
        <w:rPr>
          <w:rFonts w:cs="Times New Roman" w:hint="eastAsia"/>
          <w:snapToGrid w:val="0"/>
          <w:sz w:val="24"/>
          <w:szCs w:val="30"/>
        </w:rPr>
        <w:instrText>= 3 \* ROMAN</w:instrText>
      </w:r>
      <w:r>
        <w:rPr>
          <w:rFonts w:cs="Times New Roman"/>
          <w:snapToGrid w:val="0"/>
          <w:sz w:val="24"/>
          <w:szCs w:val="30"/>
        </w:rPr>
        <w:instrText xml:space="preserve"> </w:instrText>
      </w:r>
      <w:r>
        <w:rPr>
          <w:rFonts w:cs="Times New Roman"/>
          <w:snapToGrid w:val="0"/>
          <w:sz w:val="24"/>
          <w:szCs w:val="30"/>
        </w:rPr>
        <w:fldChar w:fldCharType="separate"/>
      </w:r>
      <w:r>
        <w:rPr>
          <w:rFonts w:cs="Times New Roman"/>
          <w:snapToGrid w:val="0"/>
          <w:sz w:val="24"/>
          <w:szCs w:val="30"/>
        </w:rPr>
        <w:t>III</w:t>
      </w:r>
      <w:r>
        <w:rPr>
          <w:rFonts w:cs="Times New Roman"/>
          <w:snapToGrid w:val="0"/>
          <w:sz w:val="24"/>
          <w:szCs w:val="30"/>
        </w:rPr>
        <w:fldChar w:fldCharType="end"/>
      </w:r>
      <w:r>
        <w:rPr>
          <w:rFonts w:cs="Times New Roman"/>
          <w:snapToGrid w:val="0"/>
          <w:sz w:val="24"/>
          <w:szCs w:val="30"/>
        </w:rPr>
        <w:fldChar w:fldCharType="end"/>
      </w:r>
      <w:r>
        <w:rPr>
          <w:rFonts w:cs="Times New Roman" w:hint="eastAsia"/>
          <w:snapToGrid w:val="0"/>
          <w:sz w:val="24"/>
          <w:szCs w:val="30"/>
        </w:rPr>
        <w:t>级，因此本项目环境风险潜势综合等级为</w:t>
      </w:r>
      <w:r>
        <w:rPr>
          <w:rFonts w:cs="Times New Roman"/>
          <w:snapToGrid w:val="0"/>
          <w:sz w:val="24"/>
          <w:szCs w:val="30"/>
        </w:rPr>
        <w:fldChar w:fldCharType="begin"/>
      </w:r>
      <w:r>
        <w:rPr>
          <w:rFonts w:cs="Times New Roman"/>
          <w:snapToGrid w:val="0"/>
          <w:sz w:val="24"/>
          <w:szCs w:val="30"/>
        </w:rPr>
        <w:instrText xml:space="preserve"> </w:instrText>
      </w:r>
      <w:r>
        <w:rPr>
          <w:rFonts w:cs="Times New Roman" w:hint="eastAsia"/>
          <w:snapToGrid w:val="0"/>
          <w:sz w:val="24"/>
          <w:szCs w:val="30"/>
        </w:rPr>
        <w:instrText>= 2 \* ROMAN</w:instrText>
      </w:r>
      <w:r>
        <w:rPr>
          <w:rFonts w:cs="Times New Roman"/>
          <w:snapToGrid w:val="0"/>
          <w:sz w:val="24"/>
          <w:szCs w:val="30"/>
        </w:rPr>
        <w:instrText xml:space="preserve"> </w:instrText>
      </w:r>
      <w:r>
        <w:rPr>
          <w:rFonts w:cs="Times New Roman"/>
          <w:snapToGrid w:val="0"/>
          <w:sz w:val="24"/>
          <w:szCs w:val="30"/>
        </w:rPr>
        <w:fldChar w:fldCharType="separate"/>
      </w:r>
      <w:r>
        <w:rPr>
          <w:rFonts w:cs="Times New Roman"/>
          <w:snapToGrid w:val="0"/>
          <w:sz w:val="24"/>
          <w:szCs w:val="30"/>
        </w:rPr>
        <w:fldChar w:fldCharType="begin"/>
      </w:r>
      <w:r>
        <w:rPr>
          <w:rFonts w:cs="Times New Roman"/>
          <w:snapToGrid w:val="0"/>
          <w:sz w:val="24"/>
          <w:szCs w:val="30"/>
        </w:rPr>
        <w:instrText xml:space="preserve"> </w:instrText>
      </w:r>
      <w:r>
        <w:rPr>
          <w:rFonts w:cs="Times New Roman" w:hint="eastAsia"/>
          <w:snapToGrid w:val="0"/>
          <w:sz w:val="24"/>
          <w:szCs w:val="30"/>
        </w:rPr>
        <w:instrText>= 3 \* ROMAN</w:instrText>
      </w:r>
      <w:r>
        <w:rPr>
          <w:rFonts w:cs="Times New Roman"/>
          <w:snapToGrid w:val="0"/>
          <w:sz w:val="24"/>
          <w:szCs w:val="30"/>
        </w:rPr>
        <w:instrText xml:space="preserve"> </w:instrText>
      </w:r>
      <w:r>
        <w:rPr>
          <w:rFonts w:cs="Times New Roman"/>
          <w:snapToGrid w:val="0"/>
          <w:sz w:val="24"/>
          <w:szCs w:val="30"/>
        </w:rPr>
        <w:fldChar w:fldCharType="separate"/>
      </w:r>
      <w:r>
        <w:rPr>
          <w:rFonts w:cs="Times New Roman"/>
          <w:snapToGrid w:val="0"/>
          <w:sz w:val="24"/>
          <w:szCs w:val="30"/>
        </w:rPr>
        <w:t>III</w:t>
      </w:r>
      <w:r>
        <w:rPr>
          <w:rFonts w:cs="Times New Roman"/>
          <w:snapToGrid w:val="0"/>
          <w:sz w:val="24"/>
          <w:szCs w:val="30"/>
        </w:rPr>
        <w:fldChar w:fldCharType="end"/>
      </w:r>
      <w:r>
        <w:rPr>
          <w:rFonts w:cs="Times New Roman"/>
          <w:snapToGrid w:val="0"/>
          <w:sz w:val="24"/>
          <w:szCs w:val="30"/>
        </w:rPr>
        <w:fldChar w:fldCharType="end"/>
      </w:r>
      <w:r>
        <w:rPr>
          <w:rFonts w:cs="Times New Roman" w:hint="eastAsia"/>
          <w:snapToGrid w:val="0"/>
          <w:sz w:val="24"/>
          <w:szCs w:val="30"/>
        </w:rPr>
        <w:t>级。</w:t>
      </w:r>
    </w:p>
    <w:p w14:paraId="4E466C30" w14:textId="77777777" w:rsidR="007D1E74" w:rsidRDefault="00A95641">
      <w:pPr>
        <w:spacing w:line="360" w:lineRule="auto"/>
        <w:ind w:firstLineChars="200" w:firstLine="420"/>
        <w:jc w:val="center"/>
        <w:rPr>
          <w:rFonts w:eastAsia="黑体" w:cs="Times New Roman"/>
          <w:szCs w:val="21"/>
        </w:rPr>
      </w:pPr>
      <w:r>
        <w:rPr>
          <w:rFonts w:eastAsia="黑体" w:cs="Times New Roman"/>
          <w:szCs w:val="21"/>
        </w:rPr>
        <w:t>表</w:t>
      </w:r>
      <w:r>
        <w:rPr>
          <w:rFonts w:eastAsia="黑体" w:cs="Times New Roman"/>
          <w:szCs w:val="21"/>
        </w:rPr>
        <w:t>2.</w:t>
      </w:r>
      <w:r>
        <w:rPr>
          <w:rFonts w:eastAsia="黑体" w:cs="Times New Roman" w:hint="eastAsia"/>
          <w:szCs w:val="21"/>
        </w:rPr>
        <w:t>5-6</w:t>
      </w:r>
      <w:r>
        <w:rPr>
          <w:rFonts w:eastAsia="黑体" w:cs="Times New Roman"/>
          <w:szCs w:val="21"/>
        </w:rPr>
        <w:t xml:space="preserve">  </w:t>
      </w:r>
      <w:r>
        <w:rPr>
          <w:rFonts w:eastAsia="黑体" w:cs="Times New Roman"/>
          <w:szCs w:val="21"/>
        </w:rPr>
        <w:t>风险评价工作级别划分</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0"/>
        <w:gridCol w:w="1767"/>
        <w:gridCol w:w="1767"/>
        <w:gridCol w:w="1767"/>
        <w:gridCol w:w="1765"/>
      </w:tblGrid>
      <w:tr w:rsidR="007D1E74" w14:paraId="0E29FB05" w14:textId="77777777">
        <w:trPr>
          <w:trHeight w:val="209"/>
          <w:jc w:val="center"/>
        </w:trPr>
        <w:tc>
          <w:tcPr>
            <w:tcW w:w="1001" w:type="pct"/>
            <w:vAlign w:val="center"/>
          </w:tcPr>
          <w:p w14:paraId="7EB153F0" w14:textId="77777777" w:rsidR="007D1E74" w:rsidRDefault="00A95641">
            <w:pPr>
              <w:pStyle w:val="afff1"/>
              <w:jc w:val="center"/>
              <w:rPr>
                <w:rFonts w:ascii="Times New Roman" w:hAnsi="Times New Roman" w:cs="Times New Roman"/>
              </w:rPr>
            </w:pPr>
            <w:r>
              <w:rPr>
                <w:rFonts w:ascii="Times New Roman" w:hAnsi="Times New Roman" w:cs="Times New Roman"/>
              </w:rPr>
              <w:t>环境风险潜势</w:t>
            </w:r>
          </w:p>
        </w:tc>
        <w:tc>
          <w:tcPr>
            <w:tcW w:w="1000" w:type="pct"/>
          </w:tcPr>
          <w:p w14:paraId="73EE0A9B" w14:textId="77777777" w:rsidR="007D1E74" w:rsidRDefault="00A95641">
            <w:pPr>
              <w:pStyle w:val="afff1"/>
              <w:jc w:val="center"/>
              <w:rPr>
                <w:rFonts w:ascii="Times New Roman" w:hAnsi="Times New Roman" w:cs="Times New Roman"/>
              </w:rPr>
            </w:pPr>
            <w:r>
              <w:rPr>
                <w:rFonts w:ascii="Times New Roman" w:hAnsi="Times New Roman" w:cs="Times New Roman"/>
              </w:rPr>
              <w:t>Ⅳ</w:t>
            </w:r>
            <w:r>
              <w:rPr>
                <w:rFonts w:ascii="Times New Roman" w:hAnsi="Times New Roman" w:cs="Times New Roman"/>
              </w:rPr>
              <w:t>、</w:t>
            </w:r>
            <w:r>
              <w:rPr>
                <w:rFonts w:ascii="Times New Roman" w:hAnsi="Times New Roman" w:cs="Times New Roman"/>
              </w:rPr>
              <w:t>Ⅳ</w:t>
            </w:r>
            <w:r>
              <w:rPr>
                <w:rFonts w:ascii="Times New Roman" w:hAnsi="Times New Roman" w:cs="Times New Roman"/>
                <w:vertAlign w:val="superscript"/>
              </w:rPr>
              <w:t>+</w:t>
            </w:r>
          </w:p>
        </w:tc>
        <w:tc>
          <w:tcPr>
            <w:tcW w:w="1000" w:type="pct"/>
          </w:tcPr>
          <w:p w14:paraId="0E19D638" w14:textId="77777777" w:rsidR="007D1E74" w:rsidRDefault="00A95641">
            <w:pPr>
              <w:pStyle w:val="afff1"/>
              <w:jc w:val="center"/>
              <w:rPr>
                <w:rFonts w:ascii="Times New Roman" w:hAnsi="Times New Roman" w:cs="Times New Roman"/>
                <w:b/>
              </w:rPr>
            </w:pPr>
            <w:r>
              <w:rPr>
                <w:rFonts w:ascii="Times New Roman" w:hAnsi="Times New Roman" w:cs="Times New Roman"/>
                <w:b/>
              </w:rPr>
              <w:t>Ⅲ</w:t>
            </w:r>
          </w:p>
        </w:tc>
        <w:tc>
          <w:tcPr>
            <w:tcW w:w="1000" w:type="pct"/>
          </w:tcPr>
          <w:p w14:paraId="103BEA34" w14:textId="77777777" w:rsidR="007D1E74" w:rsidRDefault="00A95641">
            <w:pPr>
              <w:pStyle w:val="afff1"/>
              <w:jc w:val="center"/>
              <w:rPr>
                <w:rFonts w:ascii="Times New Roman" w:hAnsi="Times New Roman" w:cs="Times New Roman"/>
              </w:rPr>
            </w:pPr>
            <w:r>
              <w:rPr>
                <w:rFonts w:ascii="Times New Roman" w:hAnsi="Times New Roman" w:cs="Times New Roman"/>
              </w:rPr>
              <w:t>Ⅱ</w:t>
            </w:r>
          </w:p>
        </w:tc>
        <w:tc>
          <w:tcPr>
            <w:tcW w:w="999" w:type="pct"/>
          </w:tcPr>
          <w:p w14:paraId="659487C8" w14:textId="77777777" w:rsidR="007D1E74" w:rsidRDefault="00A95641">
            <w:pPr>
              <w:pStyle w:val="afff1"/>
              <w:jc w:val="center"/>
              <w:rPr>
                <w:rFonts w:ascii="Times New Roman" w:hAnsi="Times New Roman" w:cs="Times New Roman"/>
                <w:bCs/>
              </w:rPr>
            </w:pPr>
            <w:r>
              <w:rPr>
                <w:rFonts w:ascii="Times New Roman" w:hAnsi="Times New Roman" w:cs="Times New Roman"/>
                <w:bCs/>
              </w:rPr>
              <w:t>Ⅰ</w:t>
            </w:r>
          </w:p>
        </w:tc>
      </w:tr>
      <w:tr w:rsidR="007D1E74" w14:paraId="4A17E6B5" w14:textId="77777777">
        <w:trPr>
          <w:trHeight w:val="185"/>
          <w:jc w:val="center"/>
        </w:trPr>
        <w:tc>
          <w:tcPr>
            <w:tcW w:w="1001" w:type="pct"/>
            <w:vAlign w:val="center"/>
          </w:tcPr>
          <w:p w14:paraId="7B8FAFDA" w14:textId="77777777" w:rsidR="007D1E74" w:rsidRDefault="00A95641">
            <w:pPr>
              <w:pStyle w:val="afff1"/>
              <w:jc w:val="center"/>
              <w:rPr>
                <w:rFonts w:ascii="Times New Roman" w:hAnsi="Times New Roman" w:cs="Times New Roman"/>
              </w:rPr>
            </w:pPr>
            <w:r>
              <w:rPr>
                <w:rFonts w:ascii="Times New Roman" w:hAnsi="Times New Roman" w:cs="Times New Roman"/>
              </w:rPr>
              <w:lastRenderedPageBreak/>
              <w:t>评价工作等级</w:t>
            </w:r>
          </w:p>
        </w:tc>
        <w:tc>
          <w:tcPr>
            <w:tcW w:w="1000" w:type="pct"/>
          </w:tcPr>
          <w:p w14:paraId="525A3182" w14:textId="77777777" w:rsidR="007D1E74" w:rsidRDefault="00A95641">
            <w:pPr>
              <w:pStyle w:val="afff1"/>
              <w:jc w:val="center"/>
              <w:rPr>
                <w:rFonts w:ascii="Times New Roman" w:hAnsi="Times New Roman" w:cs="Times New Roman"/>
              </w:rPr>
            </w:pPr>
            <w:r>
              <w:rPr>
                <w:rFonts w:ascii="Times New Roman" w:hAnsi="Times New Roman" w:cs="Times New Roman"/>
              </w:rPr>
              <w:t>一</w:t>
            </w:r>
          </w:p>
        </w:tc>
        <w:tc>
          <w:tcPr>
            <w:tcW w:w="1000" w:type="pct"/>
          </w:tcPr>
          <w:p w14:paraId="692A370B" w14:textId="77777777" w:rsidR="007D1E74" w:rsidRDefault="00A95641">
            <w:pPr>
              <w:pStyle w:val="afff1"/>
              <w:jc w:val="center"/>
              <w:rPr>
                <w:rFonts w:ascii="Times New Roman" w:hAnsi="Times New Roman" w:cs="Times New Roman"/>
                <w:b/>
              </w:rPr>
            </w:pPr>
            <w:r>
              <w:rPr>
                <w:rFonts w:ascii="Times New Roman" w:hAnsi="Times New Roman" w:cs="Times New Roman"/>
                <w:b/>
              </w:rPr>
              <w:t>二</w:t>
            </w:r>
          </w:p>
        </w:tc>
        <w:tc>
          <w:tcPr>
            <w:tcW w:w="1000" w:type="pct"/>
          </w:tcPr>
          <w:p w14:paraId="138E93A4" w14:textId="77777777" w:rsidR="007D1E74" w:rsidRDefault="00A95641">
            <w:pPr>
              <w:pStyle w:val="afff1"/>
              <w:jc w:val="center"/>
              <w:rPr>
                <w:rFonts w:ascii="Times New Roman" w:hAnsi="Times New Roman" w:cs="Times New Roman"/>
              </w:rPr>
            </w:pPr>
            <w:r>
              <w:rPr>
                <w:rFonts w:ascii="Times New Roman" w:hAnsi="Times New Roman" w:cs="Times New Roman"/>
              </w:rPr>
              <w:t>三</w:t>
            </w:r>
          </w:p>
        </w:tc>
        <w:tc>
          <w:tcPr>
            <w:tcW w:w="999" w:type="pct"/>
          </w:tcPr>
          <w:p w14:paraId="5FC2AA9B" w14:textId="77777777" w:rsidR="007D1E74" w:rsidRDefault="00A95641">
            <w:pPr>
              <w:pStyle w:val="afff1"/>
              <w:jc w:val="center"/>
              <w:rPr>
                <w:rFonts w:ascii="Times New Roman" w:hAnsi="Times New Roman" w:cs="Times New Roman"/>
                <w:bCs/>
              </w:rPr>
            </w:pPr>
            <w:r>
              <w:rPr>
                <w:rFonts w:ascii="Times New Roman" w:hAnsi="Times New Roman" w:cs="Times New Roman"/>
                <w:bCs/>
              </w:rPr>
              <w:t>简单分析</w:t>
            </w:r>
            <w:r>
              <w:rPr>
                <w:rFonts w:ascii="Times New Roman" w:hAnsi="Times New Roman" w:cs="Times New Roman"/>
                <w:bCs/>
                <w:vertAlign w:val="superscript"/>
              </w:rPr>
              <w:t>a</w:t>
            </w:r>
          </w:p>
        </w:tc>
      </w:tr>
      <w:tr w:rsidR="007D1E74" w14:paraId="52C9288C" w14:textId="77777777">
        <w:trPr>
          <w:trHeight w:val="185"/>
          <w:jc w:val="center"/>
        </w:trPr>
        <w:tc>
          <w:tcPr>
            <w:tcW w:w="5000" w:type="pct"/>
            <w:gridSpan w:val="5"/>
            <w:vAlign w:val="center"/>
          </w:tcPr>
          <w:p w14:paraId="11FA84E6" w14:textId="77777777" w:rsidR="007D1E74" w:rsidRDefault="00A95641">
            <w:pPr>
              <w:pStyle w:val="Default"/>
              <w:rPr>
                <w:rFonts w:ascii="Times New Roman" w:hAnsi="Times New Roman" w:cs="Times New Roman"/>
                <w:color w:val="auto"/>
                <w:szCs w:val="21"/>
              </w:rPr>
            </w:pPr>
            <w:r>
              <w:rPr>
                <w:rFonts w:ascii="Times New Roman" w:hAnsi="Times New Roman" w:cs="Times New Roman"/>
                <w:color w:val="auto"/>
                <w:sz w:val="21"/>
                <w:szCs w:val="21"/>
              </w:rPr>
              <w:t xml:space="preserve">a </w:t>
            </w:r>
            <w:r>
              <w:rPr>
                <w:rFonts w:ascii="Times New Roman" w:eastAsia="宋体" w:hAnsi="Times New Roman" w:cs="Times New Roman"/>
                <w:color w:val="auto"/>
                <w:sz w:val="21"/>
                <w:szCs w:val="21"/>
              </w:rPr>
              <w:t>是相对于详细评价工作内容而言，在描述危险物质、环境影响途径、环境危害后果、风险防范措施等方面给出定性说明。见附录</w:t>
            </w:r>
            <w:r>
              <w:rPr>
                <w:rFonts w:ascii="Times New Roman" w:eastAsia="宋体" w:hAnsi="Times New Roman" w:cs="Times New Roman"/>
                <w:color w:val="auto"/>
                <w:sz w:val="21"/>
                <w:szCs w:val="21"/>
              </w:rPr>
              <w:t>A</w:t>
            </w:r>
            <w:r>
              <w:rPr>
                <w:rFonts w:ascii="Times New Roman" w:eastAsia="宋体" w:hAnsi="Times New Roman" w:cs="Times New Roman"/>
                <w:color w:val="auto"/>
                <w:sz w:val="21"/>
                <w:szCs w:val="21"/>
              </w:rPr>
              <w:t>。</w:t>
            </w:r>
          </w:p>
        </w:tc>
      </w:tr>
    </w:tbl>
    <w:p w14:paraId="0A255728" w14:textId="77777777" w:rsidR="007D1E74" w:rsidRDefault="00A95641">
      <w:pPr>
        <w:spacing w:line="360" w:lineRule="auto"/>
        <w:ind w:firstLineChars="200" w:firstLine="480"/>
        <w:rPr>
          <w:snapToGrid w:val="0"/>
          <w:sz w:val="24"/>
          <w:szCs w:val="30"/>
        </w:rPr>
      </w:pPr>
      <w:r>
        <w:rPr>
          <w:rFonts w:cs="Times New Roman"/>
          <w:snapToGrid w:val="0"/>
          <w:sz w:val="24"/>
          <w:szCs w:val="30"/>
        </w:rPr>
        <w:t>根据上表可知，本项目风险评价等级为</w:t>
      </w:r>
      <w:r>
        <w:rPr>
          <w:rFonts w:cs="Times New Roman" w:hint="eastAsia"/>
          <w:snapToGrid w:val="0"/>
          <w:sz w:val="24"/>
          <w:szCs w:val="30"/>
        </w:rPr>
        <w:t>二级</w:t>
      </w:r>
      <w:r>
        <w:rPr>
          <w:rFonts w:cs="Times New Roman"/>
          <w:snapToGrid w:val="0"/>
          <w:sz w:val="24"/>
          <w:szCs w:val="30"/>
        </w:rPr>
        <w:t>。</w:t>
      </w:r>
    </w:p>
    <w:p w14:paraId="558D5A45" w14:textId="77777777" w:rsidR="007D1E74" w:rsidRDefault="00A95641">
      <w:pPr>
        <w:pStyle w:val="a9"/>
      </w:pPr>
      <w:r>
        <w:t>评价范围</w:t>
      </w:r>
    </w:p>
    <w:p w14:paraId="2ACCE082" w14:textId="77777777" w:rsidR="007D1E74" w:rsidRDefault="00A95641">
      <w:pPr>
        <w:pStyle w:val="aa"/>
      </w:pPr>
      <w:r>
        <w:t>生态影响评价范围</w:t>
      </w:r>
      <w:r>
        <w:t xml:space="preserve"> </w:t>
      </w:r>
    </w:p>
    <w:p w14:paraId="10CDB418" w14:textId="77777777" w:rsidR="007D1E74" w:rsidRDefault="00A95641">
      <w:pPr>
        <w:pStyle w:val="affffff0"/>
        <w:spacing w:line="360" w:lineRule="auto"/>
        <w:ind w:firstLineChars="200" w:firstLine="480"/>
        <w:rPr>
          <w:rFonts w:ascii="Times New Roman" w:hAnsi="Times New Roman" w:cs="Times New Roman"/>
        </w:rPr>
      </w:pPr>
      <w:r>
        <w:rPr>
          <w:rFonts w:ascii="Times New Roman" w:hAnsi="Times New Roman" w:cs="Times New Roman"/>
        </w:rPr>
        <w:t>本评价范围为管道中心线两侧各</w:t>
      </w:r>
      <w:r>
        <w:rPr>
          <w:rFonts w:ascii="Times New Roman" w:hAnsi="Times New Roman" w:cs="Times New Roman"/>
        </w:rPr>
        <w:t>200m</w:t>
      </w:r>
      <w:r>
        <w:rPr>
          <w:rFonts w:ascii="Times New Roman" w:hAnsi="Times New Roman" w:cs="Times New Roman"/>
        </w:rPr>
        <w:t>，长</w:t>
      </w:r>
      <w:r>
        <w:rPr>
          <w:rFonts w:ascii="Times New Roman" w:hAnsi="Times New Roman" w:cs="Times New Roman" w:hint="eastAsia"/>
        </w:rPr>
        <w:t>17.8</w:t>
      </w:r>
      <w:r>
        <w:rPr>
          <w:rFonts w:ascii="Times New Roman" w:hAnsi="Times New Roman" w:cs="Times New Roman"/>
        </w:rPr>
        <w:t>km</w:t>
      </w:r>
      <w:r>
        <w:rPr>
          <w:rFonts w:ascii="Times New Roman" w:hAnsi="Times New Roman" w:cs="Times New Roman"/>
        </w:rPr>
        <w:t>的带状范围。</w:t>
      </w:r>
    </w:p>
    <w:p w14:paraId="3E82C087" w14:textId="77777777" w:rsidR="007D1E74" w:rsidRDefault="00A95641">
      <w:pPr>
        <w:pStyle w:val="aa"/>
      </w:pPr>
      <w:r>
        <w:t>地表水评价范围</w:t>
      </w:r>
    </w:p>
    <w:p w14:paraId="3920E3A5" w14:textId="77777777" w:rsidR="007D1E74" w:rsidRDefault="00A95641">
      <w:pPr>
        <w:pStyle w:val="affffff0"/>
        <w:spacing w:line="360" w:lineRule="auto"/>
        <w:ind w:firstLineChars="200" w:firstLine="480"/>
        <w:rPr>
          <w:rFonts w:ascii="Times New Roman" w:hAnsi="Times New Roman" w:cs="Times New Roman"/>
        </w:rPr>
      </w:pPr>
      <w:r>
        <w:rPr>
          <w:rFonts w:ascii="Times New Roman" w:hAnsi="Times New Roman" w:cs="Times New Roman"/>
        </w:rPr>
        <w:t>本项目水污染影响主要分析施工期废水回用的可行性，项目管道中不含水，不涉及管道破裂后对地表水的影响。</w:t>
      </w:r>
    </w:p>
    <w:p w14:paraId="3DC9FA4C" w14:textId="77777777" w:rsidR="007D1E74" w:rsidRDefault="00A95641">
      <w:pPr>
        <w:pStyle w:val="affffff0"/>
        <w:spacing w:line="360" w:lineRule="auto"/>
        <w:ind w:firstLineChars="200" w:firstLine="480"/>
        <w:rPr>
          <w:rFonts w:ascii="Times New Roman" w:hAnsi="Times New Roman" w:cs="Times New Roman"/>
        </w:rPr>
      </w:pPr>
      <w:r>
        <w:rPr>
          <w:rFonts w:ascii="Times New Roman" w:hAnsi="Times New Roman" w:cs="Times New Roman"/>
        </w:rPr>
        <w:t>项目施工期</w:t>
      </w:r>
      <w:r>
        <w:rPr>
          <w:rFonts w:ascii="Times New Roman" w:hAnsi="Times New Roman" w:cs="Times New Roman" w:hint="eastAsia"/>
        </w:rPr>
        <w:t>涉及到</w:t>
      </w:r>
      <w:r>
        <w:rPr>
          <w:rFonts w:ascii="Times New Roman" w:hAnsi="Times New Roman" w:cs="Times New Roman"/>
        </w:rPr>
        <w:t>穿越沟渠</w:t>
      </w:r>
      <w:r>
        <w:rPr>
          <w:rFonts w:ascii="Times New Roman" w:hAnsi="Times New Roman" w:cs="Times New Roman" w:hint="eastAsia"/>
        </w:rPr>
        <w:t>和河流</w:t>
      </w:r>
      <w:r>
        <w:rPr>
          <w:rFonts w:ascii="Times New Roman" w:hAnsi="Times New Roman" w:cs="Times New Roman"/>
        </w:rPr>
        <w:t>，</w:t>
      </w:r>
      <w:r>
        <w:rPr>
          <w:rFonts w:ascii="Times New Roman" w:hAnsi="Times New Roman" w:cs="Times New Roman" w:hint="eastAsia"/>
        </w:rPr>
        <w:t>穿越沟渠</w:t>
      </w:r>
      <w:r>
        <w:rPr>
          <w:rFonts w:ascii="Times New Roman" w:hAnsi="Times New Roman" w:cs="Times New Roman"/>
        </w:rPr>
        <w:t>采用</w:t>
      </w:r>
      <w:r>
        <w:rPr>
          <w:rFonts w:ascii="Times New Roman" w:hAnsi="Times New Roman" w:cs="Times New Roman" w:hint="eastAsia"/>
        </w:rPr>
        <w:t>挖沟</w:t>
      </w:r>
      <w:r>
        <w:rPr>
          <w:rFonts w:ascii="Times New Roman" w:hAnsi="Times New Roman" w:cs="Times New Roman"/>
        </w:rPr>
        <w:t>方式进行穿越，</w:t>
      </w:r>
      <w:r>
        <w:rPr>
          <w:rFonts w:ascii="Times New Roman" w:hAnsi="Times New Roman" w:cs="Times New Roman" w:hint="eastAsia"/>
        </w:rPr>
        <w:t>穿越河流采用定向钻方式进行穿越，</w:t>
      </w:r>
      <w:r>
        <w:rPr>
          <w:rFonts w:ascii="Times New Roman" w:hAnsi="Times New Roman" w:cs="Times New Roman"/>
        </w:rPr>
        <w:t>对沟渠</w:t>
      </w:r>
      <w:r>
        <w:rPr>
          <w:rFonts w:ascii="Times New Roman" w:hAnsi="Times New Roman" w:cs="Times New Roman" w:hint="eastAsia"/>
        </w:rPr>
        <w:t>和河流</w:t>
      </w:r>
      <w:r>
        <w:rPr>
          <w:rFonts w:ascii="Times New Roman" w:hAnsi="Times New Roman" w:cs="Times New Roman"/>
        </w:rPr>
        <w:t>扰动较小，且施工结束后即影响结束。运营期仅为天然气的集输，对地表水无扰动，穿越的沟渠功能主要为泄洪及灌溉，本次评价</w:t>
      </w:r>
      <w:r>
        <w:rPr>
          <w:rFonts w:ascii="Times New Roman" w:hAnsi="Times New Roman" w:cs="Times New Roman" w:hint="eastAsia"/>
        </w:rPr>
        <w:t>范围为项目管道沿线所对应的青峪河上游</w:t>
      </w:r>
      <w:r>
        <w:rPr>
          <w:rFonts w:ascii="Times New Roman" w:hAnsi="Times New Roman" w:cs="Times New Roman" w:hint="eastAsia"/>
        </w:rPr>
        <w:t>200m~</w:t>
      </w:r>
      <w:r>
        <w:rPr>
          <w:rFonts w:ascii="Times New Roman" w:hAnsi="Times New Roman" w:cs="Times New Roman" w:hint="eastAsia"/>
        </w:rPr>
        <w:t>小通江，项目管道沿线所对应的小通江上游</w:t>
      </w:r>
      <w:r>
        <w:rPr>
          <w:rFonts w:ascii="Times New Roman" w:hAnsi="Times New Roman" w:cs="Times New Roman" w:hint="eastAsia"/>
        </w:rPr>
        <w:t>200m~</w:t>
      </w:r>
      <w:r>
        <w:rPr>
          <w:rFonts w:ascii="Times New Roman" w:hAnsi="Times New Roman" w:cs="Times New Roman" w:hint="eastAsia"/>
        </w:rPr>
        <w:t>下游</w:t>
      </w:r>
      <w:r>
        <w:rPr>
          <w:rFonts w:ascii="Times New Roman" w:hAnsi="Times New Roman" w:cs="Times New Roman" w:hint="eastAsia"/>
        </w:rPr>
        <w:t>1.5km</w:t>
      </w:r>
      <w:r>
        <w:rPr>
          <w:rFonts w:ascii="Times New Roman" w:hAnsi="Times New Roman" w:cs="Times New Roman"/>
        </w:rPr>
        <w:t>。</w:t>
      </w:r>
    </w:p>
    <w:p w14:paraId="089408C9" w14:textId="77777777" w:rsidR="007D1E74" w:rsidRDefault="00A95641">
      <w:pPr>
        <w:pStyle w:val="aa"/>
      </w:pPr>
      <w:r>
        <w:t>地下水评价范围</w:t>
      </w:r>
    </w:p>
    <w:p w14:paraId="3221ABF6" w14:textId="77777777" w:rsidR="007D1E74" w:rsidRDefault="00A95641">
      <w:pPr>
        <w:pStyle w:val="affffff0"/>
        <w:spacing w:line="360" w:lineRule="auto"/>
        <w:ind w:firstLineChars="200" w:firstLine="480"/>
        <w:rPr>
          <w:rFonts w:ascii="Times New Roman" w:hAnsi="Times New Roman" w:cs="Times New Roman"/>
        </w:rPr>
      </w:pPr>
      <w:r>
        <w:rPr>
          <w:rFonts w:ascii="Times New Roman" w:hAnsi="Times New Roman" w:cs="Times New Roman"/>
        </w:rPr>
        <w:t>根据《环境影响评价技术导则</w:t>
      </w:r>
      <w:r>
        <w:rPr>
          <w:rFonts w:ascii="Times New Roman" w:hAnsi="Times New Roman" w:cs="Times New Roman" w:hint="eastAsia"/>
        </w:rPr>
        <w:t xml:space="preserve"> </w:t>
      </w:r>
      <w:r>
        <w:rPr>
          <w:rFonts w:ascii="Times New Roman" w:hAnsi="Times New Roman" w:cs="Times New Roman"/>
        </w:rPr>
        <w:t>地下水环境》（</w:t>
      </w:r>
      <w:r>
        <w:rPr>
          <w:rFonts w:ascii="Times New Roman" w:hAnsi="Times New Roman" w:cs="Times New Roman"/>
        </w:rPr>
        <w:t>HJ610-2016</w:t>
      </w:r>
      <w:r>
        <w:rPr>
          <w:rFonts w:ascii="Times New Roman" w:hAnsi="Times New Roman" w:cs="Times New Roman"/>
        </w:rPr>
        <w:t>），本项目属于线性工程，本项目地下水调查评价范围为以管道边界两侧向外延伸</w:t>
      </w:r>
      <w:r>
        <w:rPr>
          <w:rFonts w:ascii="Times New Roman" w:hAnsi="Times New Roman" w:cs="Times New Roman"/>
        </w:rPr>
        <w:t>200m</w:t>
      </w:r>
      <w:r>
        <w:rPr>
          <w:rFonts w:ascii="Times New Roman" w:hAnsi="Times New Roman" w:cs="Times New Roman"/>
        </w:rPr>
        <w:t>。</w:t>
      </w:r>
    </w:p>
    <w:p w14:paraId="50CEC4E6" w14:textId="77777777" w:rsidR="007D1E74" w:rsidRDefault="00A95641">
      <w:pPr>
        <w:pStyle w:val="aa"/>
      </w:pPr>
      <w:r>
        <w:t>环境空气评价范围</w:t>
      </w:r>
    </w:p>
    <w:p w14:paraId="27647ECD" w14:textId="77777777" w:rsidR="007D1E74" w:rsidRDefault="00A95641">
      <w:pPr>
        <w:pStyle w:val="affffff0"/>
        <w:spacing w:line="360" w:lineRule="auto"/>
        <w:ind w:firstLineChars="200" w:firstLine="480"/>
        <w:rPr>
          <w:rFonts w:ascii="Times New Roman" w:hAnsi="Times New Roman" w:cs="Times New Roman"/>
        </w:rPr>
      </w:pPr>
      <w:r>
        <w:rPr>
          <w:rFonts w:ascii="Times New Roman" w:hAnsi="Times New Roman" w:cs="Times New Roman"/>
        </w:rPr>
        <w:t>根据《环境影响评价技术导则</w:t>
      </w:r>
      <w:r>
        <w:rPr>
          <w:rFonts w:ascii="Times New Roman" w:hAnsi="Times New Roman" w:cs="Times New Roman"/>
        </w:rPr>
        <w:t xml:space="preserve">  </w:t>
      </w:r>
      <w:r>
        <w:rPr>
          <w:rFonts w:ascii="Times New Roman" w:hAnsi="Times New Roman" w:cs="Times New Roman"/>
        </w:rPr>
        <w:t>大气环境》（</w:t>
      </w:r>
      <w:r>
        <w:rPr>
          <w:rFonts w:ascii="Times New Roman" w:hAnsi="Times New Roman" w:cs="Times New Roman"/>
        </w:rPr>
        <w:t>HJ2.2-2018</w:t>
      </w:r>
      <w:r>
        <w:rPr>
          <w:rFonts w:ascii="Times New Roman" w:hAnsi="Times New Roman" w:cs="Times New Roman"/>
        </w:rPr>
        <w:t>），本项目</w:t>
      </w:r>
      <w:r>
        <w:rPr>
          <w:rFonts w:ascii="Times New Roman" w:hAnsi="Times New Roman" w:cs="Times New Roman" w:hint="eastAsia"/>
        </w:rPr>
        <w:t>营运期不排放污染物，因此</w:t>
      </w:r>
      <w:r>
        <w:rPr>
          <w:rFonts w:ascii="Times New Roman" w:hAnsi="Times New Roman" w:cs="Times New Roman"/>
        </w:rPr>
        <w:t>无需设置大气环境影响评价范围。</w:t>
      </w:r>
    </w:p>
    <w:p w14:paraId="556150BE" w14:textId="77777777" w:rsidR="007D1E74" w:rsidRDefault="00A95641">
      <w:pPr>
        <w:pStyle w:val="aa"/>
      </w:pPr>
      <w:r>
        <w:t>声环境影响评价范围</w:t>
      </w:r>
    </w:p>
    <w:p w14:paraId="116373CD" w14:textId="77777777" w:rsidR="007D1E74" w:rsidRDefault="00A95641">
      <w:pPr>
        <w:pStyle w:val="affffff0"/>
        <w:spacing w:line="360" w:lineRule="auto"/>
        <w:ind w:firstLineChars="200" w:firstLine="480"/>
        <w:rPr>
          <w:rFonts w:ascii="Times New Roman" w:hAnsi="Times New Roman" w:cs="Times New Roman"/>
        </w:rPr>
      </w:pPr>
      <w:r>
        <w:rPr>
          <w:rFonts w:ascii="Times New Roman" w:hAnsi="Times New Roman" w:cs="Times New Roman"/>
        </w:rPr>
        <w:t>根据</w:t>
      </w:r>
      <w:r>
        <w:rPr>
          <w:rFonts w:ascii="Times New Roman" w:hAnsi="Times New Roman" w:cs="Times New Roman"/>
        </w:rPr>
        <w:t xml:space="preserve"> HJ2.4-2009</w:t>
      </w:r>
      <w:r>
        <w:rPr>
          <w:rFonts w:ascii="Times New Roman" w:hAnsi="Times New Roman" w:cs="Times New Roman"/>
        </w:rPr>
        <w:t>《环境影响评价技术导则</w:t>
      </w:r>
      <w:r>
        <w:rPr>
          <w:rFonts w:ascii="Times New Roman" w:hAnsi="Times New Roman" w:cs="Times New Roman"/>
        </w:rPr>
        <w:t xml:space="preserve"> </w:t>
      </w:r>
      <w:r>
        <w:rPr>
          <w:rFonts w:ascii="Times New Roman" w:hAnsi="Times New Roman" w:cs="Times New Roman"/>
        </w:rPr>
        <w:t>声环境》，结合项目周边居民点分布情况以及钻井设备高噪声值、昼夜连续施工的工程特点，声环境影响评价区涵盖所有噪声影响区域。故本项目施工期声环境评价范围按照导则要求确定为井站周边</w:t>
      </w:r>
      <w:r>
        <w:rPr>
          <w:rFonts w:ascii="Times New Roman" w:hAnsi="Times New Roman" w:cs="Times New Roman"/>
        </w:rPr>
        <w:t>200m</w:t>
      </w:r>
      <w:r>
        <w:rPr>
          <w:rFonts w:ascii="Times New Roman" w:hAnsi="Times New Roman" w:cs="Times New Roman"/>
        </w:rPr>
        <w:t>范围，集输管道两侧各</w:t>
      </w:r>
      <w:r>
        <w:rPr>
          <w:rFonts w:ascii="Times New Roman" w:hAnsi="Times New Roman" w:cs="Times New Roman"/>
        </w:rPr>
        <w:t>200m</w:t>
      </w:r>
      <w:r>
        <w:rPr>
          <w:rFonts w:ascii="Times New Roman" w:hAnsi="Times New Roman" w:cs="Times New Roman"/>
        </w:rPr>
        <w:t>范围；运营期声环境评价范围为井站周边</w:t>
      </w:r>
      <w:r>
        <w:rPr>
          <w:rFonts w:ascii="Times New Roman" w:hAnsi="Times New Roman" w:cs="Times New Roman"/>
        </w:rPr>
        <w:t>200m</w:t>
      </w:r>
      <w:r>
        <w:rPr>
          <w:rFonts w:ascii="Times New Roman" w:hAnsi="Times New Roman" w:cs="Times New Roman"/>
        </w:rPr>
        <w:t>范围。</w:t>
      </w:r>
    </w:p>
    <w:p w14:paraId="2F5E2CBB" w14:textId="77777777" w:rsidR="007D1E74" w:rsidRDefault="00A95641">
      <w:pPr>
        <w:pStyle w:val="aa"/>
      </w:pPr>
      <w:r>
        <w:t>土壤环境评价范围</w:t>
      </w:r>
    </w:p>
    <w:p w14:paraId="4AE6D0AF" w14:textId="77777777" w:rsidR="007D1E74" w:rsidRDefault="00A95641">
      <w:pPr>
        <w:pStyle w:val="affffff0"/>
        <w:spacing w:line="360" w:lineRule="auto"/>
        <w:ind w:firstLineChars="200" w:firstLine="480"/>
        <w:rPr>
          <w:rFonts w:ascii="Times New Roman" w:hAnsi="Times New Roman" w:cs="Times New Roman"/>
        </w:rPr>
      </w:pPr>
      <w:r>
        <w:rPr>
          <w:rFonts w:ascii="Times New Roman" w:hAnsi="Times New Roman" w:cs="Times New Roman"/>
        </w:rPr>
        <w:t>本项目</w:t>
      </w:r>
      <w:r>
        <w:rPr>
          <w:rFonts w:ascii="Times New Roman" w:hAnsi="Times New Roman" w:cs="Times New Roman" w:hint="eastAsia"/>
        </w:rPr>
        <w:t>不设置</w:t>
      </w:r>
      <w:r>
        <w:rPr>
          <w:rFonts w:ascii="Times New Roman" w:hAnsi="Times New Roman" w:cs="Times New Roman"/>
        </w:rPr>
        <w:t>土壤环境评价范围。</w:t>
      </w:r>
    </w:p>
    <w:p w14:paraId="13E09FBF" w14:textId="77777777" w:rsidR="007D1E74" w:rsidRDefault="00A95641">
      <w:pPr>
        <w:pStyle w:val="aa"/>
      </w:pPr>
      <w:r>
        <w:t>风险评价范围</w:t>
      </w:r>
    </w:p>
    <w:p w14:paraId="2B5D1185" w14:textId="77777777" w:rsidR="007D1E74" w:rsidRDefault="00A95641">
      <w:pPr>
        <w:pStyle w:val="affffff0"/>
        <w:spacing w:line="360" w:lineRule="auto"/>
        <w:ind w:firstLineChars="200" w:firstLine="480"/>
        <w:rPr>
          <w:rFonts w:ascii="Times New Roman" w:hAnsi="Times New Roman" w:cs="Times New Roman"/>
        </w:rPr>
      </w:pPr>
      <w:r>
        <w:rPr>
          <w:rFonts w:ascii="Times New Roman" w:hAnsi="Times New Roman" w:cs="Times New Roman"/>
        </w:rPr>
        <w:t>根据《建设项目环境风险评价技术导则》（</w:t>
      </w:r>
      <w:r>
        <w:rPr>
          <w:rFonts w:ascii="Times New Roman" w:hAnsi="Times New Roman" w:cs="Times New Roman"/>
        </w:rPr>
        <w:t>HJ169-2018</w:t>
      </w:r>
      <w:r>
        <w:rPr>
          <w:rFonts w:ascii="Times New Roman" w:hAnsi="Times New Roman" w:cs="Times New Roman"/>
        </w:rPr>
        <w:t>）要求：</w:t>
      </w:r>
    </w:p>
    <w:p w14:paraId="2C75D876" w14:textId="77777777" w:rsidR="007D1E74" w:rsidRDefault="00A95641">
      <w:pPr>
        <w:pStyle w:val="affffff0"/>
        <w:spacing w:line="360" w:lineRule="auto"/>
        <w:ind w:firstLineChars="200" w:firstLine="480"/>
        <w:rPr>
          <w:rFonts w:ascii="Times New Roman" w:hAnsi="Times New Roman" w:cs="Times New Roman"/>
        </w:rPr>
      </w:pPr>
      <w:r>
        <w:rPr>
          <w:rFonts w:ascii="Times New Roman" w:hAnsi="Times New Roman" w:cs="Times New Roman"/>
        </w:rPr>
        <w:lastRenderedPageBreak/>
        <w:t>根据项目特点，本项目环境风险评价</w:t>
      </w:r>
      <w:r>
        <w:rPr>
          <w:rFonts w:ascii="Times New Roman" w:hAnsi="Times New Roman" w:cs="Times New Roman" w:hint="eastAsia"/>
        </w:rPr>
        <w:t>范围为</w:t>
      </w:r>
      <w:r>
        <w:rPr>
          <w:rFonts w:ascii="Times New Roman" w:hAnsi="Times New Roman" w:cs="Times New Roman"/>
        </w:rPr>
        <w:t>管道中心线两侧</w:t>
      </w:r>
      <w:r>
        <w:rPr>
          <w:rFonts w:ascii="Times New Roman" w:hAnsi="Times New Roman" w:cs="Times New Roman"/>
        </w:rPr>
        <w:t>200m</w:t>
      </w:r>
      <w:r>
        <w:rPr>
          <w:rFonts w:ascii="Times New Roman" w:hAnsi="Times New Roman" w:cs="Times New Roman"/>
        </w:rPr>
        <w:t>范围内的风险敏感点。</w:t>
      </w:r>
    </w:p>
    <w:p w14:paraId="3FFDE2BC" w14:textId="77777777" w:rsidR="007D1E74" w:rsidRDefault="00A95641">
      <w:pPr>
        <w:pStyle w:val="a8"/>
      </w:pPr>
      <w:r>
        <w:rPr>
          <w:rFonts w:hint="eastAsia"/>
        </w:rPr>
        <w:t>主要环境保护目标</w:t>
      </w:r>
    </w:p>
    <w:p w14:paraId="09F02529" w14:textId="77777777" w:rsidR="007D1E74" w:rsidRDefault="00A95641">
      <w:pPr>
        <w:spacing w:line="360" w:lineRule="auto"/>
        <w:ind w:firstLineChars="200" w:firstLine="480"/>
        <w:textAlignment w:val="baseline"/>
        <w:rPr>
          <w:rFonts w:asciiTheme="minorHAnsi" w:hAnsiTheme="minorHAnsi" w:cstheme="minorHAnsi"/>
          <w:bCs/>
          <w:sz w:val="24"/>
          <w:szCs w:val="24"/>
        </w:rPr>
      </w:pPr>
      <w:r>
        <w:rPr>
          <w:rFonts w:asciiTheme="minorHAnsi" w:hAnsiTheme="minorHAnsi" w:cstheme="minorHAnsi"/>
          <w:bCs/>
          <w:sz w:val="24"/>
          <w:szCs w:val="24"/>
        </w:rPr>
        <w:t>本项目的建设应确保不造成区域环境质量类别改变，主要环境保护目标如下：</w:t>
      </w:r>
    </w:p>
    <w:p w14:paraId="5CCE47B8" w14:textId="77777777" w:rsidR="007D1E74" w:rsidRDefault="00A95641">
      <w:pPr>
        <w:spacing w:line="360" w:lineRule="auto"/>
        <w:ind w:firstLineChars="200" w:firstLine="482"/>
        <w:rPr>
          <w:rFonts w:cstheme="minorHAnsi"/>
          <w:sz w:val="24"/>
          <w:szCs w:val="24"/>
        </w:rPr>
      </w:pPr>
      <w:r>
        <w:rPr>
          <w:rFonts w:asciiTheme="minorHAnsi" w:hAnsiTheme="minorHAnsi" w:cstheme="minorHAnsi"/>
          <w:b/>
          <w:bCs/>
          <w:sz w:val="24"/>
          <w:szCs w:val="24"/>
        </w:rPr>
        <w:t>生态环境：</w:t>
      </w:r>
      <w:r>
        <w:rPr>
          <w:rFonts w:asciiTheme="minorHAnsi" w:hAnsiTheme="minorHAnsi" w:cstheme="minorHAnsi"/>
          <w:bCs/>
          <w:sz w:val="24"/>
          <w:szCs w:val="24"/>
        </w:rPr>
        <w:t>主要保护目标为</w:t>
      </w:r>
      <w:r>
        <w:rPr>
          <w:rFonts w:asciiTheme="minorHAnsi" w:hAnsiTheme="minorHAnsi" w:cstheme="minorHAnsi" w:hint="eastAsia"/>
          <w:bCs/>
          <w:sz w:val="24"/>
          <w:szCs w:val="24"/>
        </w:rPr>
        <w:t>评价范围内的基本农田</w:t>
      </w:r>
      <w:r>
        <w:rPr>
          <w:rFonts w:asciiTheme="minorHAnsi" w:hAnsiTheme="minorHAnsi" w:cstheme="minorHAnsi"/>
          <w:bCs/>
          <w:sz w:val="24"/>
          <w:szCs w:val="24"/>
        </w:rPr>
        <w:t>。</w:t>
      </w:r>
    </w:p>
    <w:p w14:paraId="70A25607" w14:textId="77777777" w:rsidR="007D1E74" w:rsidRDefault="00A95641">
      <w:pPr>
        <w:spacing w:line="360" w:lineRule="auto"/>
        <w:ind w:firstLineChars="200" w:firstLine="482"/>
        <w:textAlignment w:val="baseline"/>
        <w:rPr>
          <w:rFonts w:asciiTheme="minorHAnsi" w:hAnsiTheme="minorHAnsi" w:cstheme="minorHAnsi"/>
          <w:b/>
          <w:bCs/>
          <w:sz w:val="24"/>
          <w:szCs w:val="24"/>
        </w:rPr>
      </w:pPr>
      <w:r>
        <w:rPr>
          <w:rFonts w:asciiTheme="minorHAnsi" w:hAnsiTheme="minorHAnsi" w:cstheme="minorHAnsi"/>
          <w:b/>
          <w:bCs/>
          <w:sz w:val="24"/>
          <w:szCs w:val="24"/>
        </w:rPr>
        <w:t>地表水环境：</w:t>
      </w:r>
      <w:r>
        <w:rPr>
          <w:rFonts w:asciiTheme="minorHAnsi" w:hAnsiTheme="minorHAnsi" w:cstheme="minorHAnsi"/>
          <w:bCs/>
          <w:sz w:val="24"/>
          <w:szCs w:val="24"/>
        </w:rPr>
        <w:t>主要保护目标为</w:t>
      </w:r>
      <w:r>
        <w:rPr>
          <w:rFonts w:asciiTheme="minorHAnsi" w:hAnsiTheme="minorHAnsi" w:cstheme="minorHAnsi" w:hint="eastAsia"/>
          <w:bCs/>
          <w:sz w:val="24"/>
          <w:szCs w:val="24"/>
        </w:rPr>
        <w:t>小通江和青峪河</w:t>
      </w:r>
      <w:r>
        <w:rPr>
          <w:rFonts w:asciiTheme="minorHAnsi" w:hAnsiTheme="minorHAnsi" w:cstheme="minorHAnsi"/>
          <w:bCs/>
          <w:sz w:val="24"/>
          <w:szCs w:val="24"/>
        </w:rPr>
        <w:t>，应符合《地表水环境质量标准》（</w:t>
      </w:r>
      <w:r>
        <w:rPr>
          <w:rFonts w:asciiTheme="minorHAnsi" w:hAnsiTheme="minorHAnsi" w:cstheme="minorHAnsi"/>
          <w:bCs/>
          <w:sz w:val="24"/>
          <w:szCs w:val="24"/>
        </w:rPr>
        <w:t>GB3838-2002</w:t>
      </w:r>
      <w:r>
        <w:rPr>
          <w:rFonts w:asciiTheme="minorHAnsi" w:hAnsiTheme="minorHAnsi" w:cstheme="minorHAnsi"/>
          <w:bCs/>
          <w:sz w:val="24"/>
          <w:szCs w:val="24"/>
        </w:rPr>
        <w:t>）</w:t>
      </w:r>
      <w:r>
        <w:rPr>
          <w:rFonts w:ascii="宋体" w:hAnsi="宋体" w:cs="宋体" w:hint="eastAsia"/>
          <w:bCs/>
          <w:sz w:val="24"/>
          <w:szCs w:val="24"/>
        </w:rPr>
        <w:t>Ⅲ</w:t>
      </w:r>
      <w:r>
        <w:rPr>
          <w:rFonts w:asciiTheme="minorHAnsi" w:hAnsiTheme="minorHAnsi" w:cstheme="minorHAnsi"/>
          <w:bCs/>
          <w:sz w:val="24"/>
          <w:szCs w:val="24"/>
        </w:rPr>
        <w:t>类水域标准。</w:t>
      </w:r>
    </w:p>
    <w:p w14:paraId="1ECB31DF" w14:textId="77777777" w:rsidR="007D1E74" w:rsidRDefault="00A95641">
      <w:pPr>
        <w:spacing w:line="360" w:lineRule="auto"/>
        <w:ind w:firstLineChars="196" w:firstLine="472"/>
        <w:textAlignment w:val="baseline"/>
        <w:rPr>
          <w:rFonts w:asciiTheme="minorHAnsi" w:hAnsiTheme="minorHAnsi" w:cstheme="minorHAnsi"/>
          <w:bCs/>
          <w:sz w:val="24"/>
          <w:szCs w:val="24"/>
        </w:rPr>
      </w:pPr>
      <w:r>
        <w:rPr>
          <w:rFonts w:asciiTheme="minorHAnsi" w:hAnsiTheme="minorHAnsi" w:cstheme="minorHAnsi"/>
          <w:b/>
          <w:bCs/>
          <w:sz w:val="24"/>
          <w:szCs w:val="24"/>
        </w:rPr>
        <w:t>地下水环境：</w:t>
      </w:r>
      <w:r>
        <w:rPr>
          <w:rFonts w:asciiTheme="minorHAnsi" w:hAnsiTheme="minorHAnsi" w:cstheme="minorHAnsi"/>
          <w:sz w:val="24"/>
          <w:szCs w:val="24"/>
        </w:rPr>
        <w:t>主要保护目标为评价范围内地下水环境</w:t>
      </w:r>
      <w:r>
        <w:rPr>
          <w:rFonts w:asciiTheme="minorHAnsi" w:hAnsiTheme="minorHAnsi" w:cstheme="minorHAnsi"/>
          <w:bCs/>
          <w:sz w:val="24"/>
          <w:szCs w:val="24"/>
        </w:rPr>
        <w:t>，应符合《地下水质量标准》（</w:t>
      </w:r>
      <w:r>
        <w:rPr>
          <w:rFonts w:asciiTheme="minorHAnsi" w:hAnsiTheme="minorHAnsi" w:cstheme="minorHAnsi"/>
          <w:bCs/>
          <w:sz w:val="24"/>
          <w:szCs w:val="24"/>
        </w:rPr>
        <w:t>GB/T14848-2017</w:t>
      </w:r>
      <w:r>
        <w:rPr>
          <w:rFonts w:asciiTheme="minorHAnsi" w:hAnsiTheme="minorHAnsi" w:cstheme="minorHAnsi"/>
          <w:bCs/>
          <w:sz w:val="24"/>
          <w:szCs w:val="24"/>
        </w:rPr>
        <w:t>）</w:t>
      </w:r>
      <w:r>
        <w:rPr>
          <w:rFonts w:ascii="宋体" w:hAnsi="宋体" w:cs="宋体" w:hint="eastAsia"/>
          <w:bCs/>
          <w:sz w:val="24"/>
          <w:szCs w:val="24"/>
        </w:rPr>
        <w:t>Ⅲ</w:t>
      </w:r>
      <w:r>
        <w:rPr>
          <w:rFonts w:asciiTheme="minorHAnsi" w:hAnsiTheme="minorHAnsi" w:cstheme="minorHAnsi"/>
          <w:bCs/>
          <w:sz w:val="24"/>
          <w:szCs w:val="24"/>
        </w:rPr>
        <w:t>类水质标准。</w:t>
      </w:r>
    </w:p>
    <w:p w14:paraId="7444FE11" w14:textId="77777777" w:rsidR="007D1E74" w:rsidRDefault="00A95641">
      <w:pPr>
        <w:spacing w:line="360" w:lineRule="auto"/>
        <w:ind w:firstLineChars="200" w:firstLine="482"/>
        <w:textAlignment w:val="baseline"/>
        <w:rPr>
          <w:rFonts w:cs="Times New Roman"/>
          <w:b/>
          <w:bCs/>
          <w:sz w:val="24"/>
          <w:szCs w:val="24"/>
        </w:rPr>
      </w:pPr>
      <w:r>
        <w:rPr>
          <w:rFonts w:asciiTheme="minorHAnsi" w:hAnsiTheme="minorHAnsi" w:cstheme="minorHAnsi"/>
          <w:b/>
          <w:bCs/>
          <w:sz w:val="24"/>
          <w:szCs w:val="24"/>
        </w:rPr>
        <w:t>环境空气：</w:t>
      </w:r>
      <w:r>
        <w:rPr>
          <w:rFonts w:asciiTheme="minorHAnsi" w:hAnsiTheme="minorHAnsi" w:cstheme="minorHAnsi" w:hint="eastAsia"/>
          <w:bCs/>
          <w:sz w:val="24"/>
          <w:szCs w:val="24"/>
        </w:rPr>
        <w:t>本项目未设置</w:t>
      </w:r>
      <w:r>
        <w:rPr>
          <w:rFonts w:cs="Times New Roman"/>
          <w:bCs/>
          <w:sz w:val="24"/>
          <w:szCs w:val="24"/>
        </w:rPr>
        <w:t>大气环境评价范围，因此无大气环境保护目标。</w:t>
      </w:r>
    </w:p>
    <w:p w14:paraId="15D3CC03" w14:textId="77777777" w:rsidR="007D1E74" w:rsidRDefault="00A95641">
      <w:pPr>
        <w:spacing w:line="360" w:lineRule="auto"/>
        <w:ind w:firstLineChars="200" w:firstLine="482"/>
        <w:textAlignment w:val="baseline"/>
        <w:rPr>
          <w:rFonts w:cs="Times New Roman"/>
          <w:b/>
          <w:bCs/>
          <w:sz w:val="24"/>
          <w:szCs w:val="24"/>
        </w:rPr>
      </w:pPr>
      <w:r>
        <w:rPr>
          <w:rFonts w:cs="Times New Roman"/>
          <w:b/>
          <w:bCs/>
          <w:sz w:val="24"/>
          <w:szCs w:val="24"/>
        </w:rPr>
        <w:t>土壤环境：</w:t>
      </w:r>
      <w:r>
        <w:rPr>
          <w:rFonts w:asciiTheme="minorHAnsi" w:hAnsiTheme="minorHAnsi" w:cstheme="minorHAnsi" w:hint="eastAsia"/>
          <w:bCs/>
          <w:sz w:val="24"/>
          <w:szCs w:val="24"/>
        </w:rPr>
        <w:t>本项目未设置</w:t>
      </w:r>
      <w:r>
        <w:rPr>
          <w:rFonts w:cs="Times New Roman" w:hint="eastAsia"/>
          <w:bCs/>
          <w:sz w:val="24"/>
          <w:szCs w:val="24"/>
        </w:rPr>
        <w:t>土壤</w:t>
      </w:r>
      <w:r>
        <w:rPr>
          <w:rFonts w:cs="Times New Roman"/>
          <w:bCs/>
          <w:sz w:val="24"/>
          <w:szCs w:val="24"/>
        </w:rPr>
        <w:t>环境评价范围，因此无</w:t>
      </w:r>
      <w:r>
        <w:rPr>
          <w:rFonts w:cs="Times New Roman" w:hint="eastAsia"/>
          <w:bCs/>
          <w:sz w:val="24"/>
          <w:szCs w:val="24"/>
        </w:rPr>
        <w:t>土壤</w:t>
      </w:r>
      <w:r>
        <w:rPr>
          <w:rFonts w:cs="Times New Roman"/>
          <w:bCs/>
          <w:sz w:val="24"/>
          <w:szCs w:val="24"/>
        </w:rPr>
        <w:t>环境保护目标。</w:t>
      </w:r>
    </w:p>
    <w:p w14:paraId="7946500D" w14:textId="77777777" w:rsidR="007D1E74" w:rsidRDefault="00A95641">
      <w:pPr>
        <w:spacing w:line="360" w:lineRule="auto"/>
        <w:ind w:firstLineChars="196" w:firstLine="472"/>
        <w:textAlignment w:val="baseline"/>
        <w:rPr>
          <w:rFonts w:cs="Times New Roman"/>
          <w:bCs/>
          <w:sz w:val="24"/>
          <w:szCs w:val="24"/>
        </w:rPr>
      </w:pPr>
      <w:r>
        <w:rPr>
          <w:rFonts w:cs="Times New Roman"/>
          <w:b/>
          <w:bCs/>
          <w:sz w:val="24"/>
          <w:szCs w:val="24"/>
        </w:rPr>
        <w:t>声环境：</w:t>
      </w:r>
      <w:r>
        <w:rPr>
          <w:rFonts w:cs="Times New Roman"/>
          <w:bCs/>
          <w:sz w:val="24"/>
          <w:szCs w:val="24"/>
        </w:rPr>
        <w:t>主要保护目标为评价范围内声环境，应符合《声环境质量标准》（</w:t>
      </w:r>
      <w:r>
        <w:rPr>
          <w:rFonts w:cs="Times New Roman"/>
          <w:bCs/>
          <w:sz w:val="24"/>
          <w:szCs w:val="24"/>
        </w:rPr>
        <w:t>GB3096-2008</w:t>
      </w:r>
      <w:r>
        <w:rPr>
          <w:rFonts w:cs="Times New Roman"/>
          <w:bCs/>
          <w:sz w:val="24"/>
          <w:szCs w:val="24"/>
        </w:rPr>
        <w:t>）</w:t>
      </w:r>
      <w:r>
        <w:rPr>
          <w:rFonts w:cs="Times New Roman" w:hint="eastAsia"/>
          <w:bCs/>
          <w:sz w:val="24"/>
          <w:szCs w:val="24"/>
        </w:rPr>
        <w:t>1</w:t>
      </w:r>
      <w:r>
        <w:rPr>
          <w:rFonts w:cs="Times New Roman"/>
          <w:bCs/>
          <w:sz w:val="24"/>
          <w:szCs w:val="24"/>
        </w:rPr>
        <w:t>类标准。</w:t>
      </w:r>
    </w:p>
    <w:p w14:paraId="1979EF12" w14:textId="77777777" w:rsidR="007D1E74" w:rsidRDefault="00A95641">
      <w:pPr>
        <w:pStyle w:val="-1"/>
        <w:ind w:firstLine="480"/>
      </w:pPr>
      <w:r>
        <w:rPr>
          <w:rFonts w:hint="eastAsia"/>
        </w:rPr>
        <w:t>本项目主要环境保护目标如下：</w:t>
      </w:r>
    </w:p>
    <w:p w14:paraId="75D55230" w14:textId="77777777" w:rsidR="007D1E74" w:rsidRDefault="00A95641">
      <w:pPr>
        <w:spacing w:line="360" w:lineRule="auto"/>
        <w:jc w:val="center"/>
        <w:rPr>
          <w:rFonts w:eastAsia="黑体" w:cs="Times New Roman"/>
          <w:szCs w:val="21"/>
        </w:rPr>
      </w:pPr>
      <w:r>
        <w:rPr>
          <w:rFonts w:eastAsia="黑体" w:cs="Times New Roman"/>
          <w:szCs w:val="21"/>
        </w:rPr>
        <w:t>表</w:t>
      </w:r>
      <w:r>
        <w:rPr>
          <w:rFonts w:eastAsia="黑体" w:cs="Times New Roman" w:hint="eastAsia"/>
          <w:szCs w:val="21"/>
        </w:rPr>
        <w:t xml:space="preserve">2.6-1 </w:t>
      </w:r>
      <w:r>
        <w:rPr>
          <w:rFonts w:eastAsia="黑体" w:cs="Times New Roman"/>
          <w:szCs w:val="21"/>
        </w:rPr>
        <w:t>本工程</w:t>
      </w:r>
      <w:r>
        <w:rPr>
          <w:rFonts w:eastAsia="黑体" w:cs="Times New Roman" w:hint="eastAsia"/>
          <w:szCs w:val="21"/>
        </w:rPr>
        <w:t>管道</w:t>
      </w:r>
      <w:r>
        <w:rPr>
          <w:rFonts w:eastAsia="黑体" w:cs="Times New Roman"/>
          <w:szCs w:val="21"/>
        </w:rPr>
        <w:t>沿线及周边生态保护目标表</w:t>
      </w:r>
      <w:r>
        <w:rPr>
          <w:rFonts w:eastAsia="黑体" w:cs="Times New Roman"/>
          <w:szCs w:val="21"/>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09"/>
        <w:gridCol w:w="3502"/>
        <w:gridCol w:w="3805"/>
      </w:tblGrid>
      <w:tr w:rsidR="007D1E74" w14:paraId="2F7FF6BB" w14:textId="77777777">
        <w:trPr>
          <w:trHeight w:val="385"/>
          <w:jc w:val="center"/>
        </w:trPr>
        <w:tc>
          <w:tcPr>
            <w:tcW w:w="948" w:type="pct"/>
            <w:vAlign w:val="center"/>
          </w:tcPr>
          <w:p w14:paraId="13BEF4AD" w14:textId="77777777" w:rsidR="007D1E74" w:rsidRDefault="00A95641">
            <w:pPr>
              <w:pStyle w:val="TableParagraph"/>
              <w:spacing w:before="131"/>
              <w:ind w:left="60" w:right="35"/>
              <w:jc w:val="center"/>
              <w:rPr>
                <w:rFonts w:ascii="Times New Roman" w:hAnsi="Times New Roman"/>
                <w:sz w:val="21"/>
                <w:szCs w:val="21"/>
              </w:rPr>
            </w:pPr>
            <w:r>
              <w:rPr>
                <w:rFonts w:ascii="Times New Roman" w:hAnsi="Times New Roman"/>
                <w:sz w:val="21"/>
                <w:szCs w:val="21"/>
              </w:rPr>
              <w:t>环境敏感区名称</w:t>
            </w:r>
          </w:p>
        </w:tc>
        <w:tc>
          <w:tcPr>
            <w:tcW w:w="1942" w:type="pct"/>
            <w:vAlign w:val="center"/>
          </w:tcPr>
          <w:p w14:paraId="1FBD406E" w14:textId="77777777" w:rsidR="007D1E74" w:rsidRDefault="00A95641">
            <w:pPr>
              <w:pStyle w:val="TableParagraph"/>
              <w:spacing w:before="65"/>
              <w:ind w:left="60" w:right="33"/>
              <w:jc w:val="center"/>
              <w:rPr>
                <w:rFonts w:ascii="Times New Roman" w:hAnsi="Times New Roman"/>
                <w:sz w:val="21"/>
                <w:szCs w:val="21"/>
              </w:rPr>
            </w:pPr>
            <w:r>
              <w:rPr>
                <w:rFonts w:ascii="Times New Roman" w:hAnsi="Times New Roman"/>
                <w:sz w:val="21"/>
                <w:szCs w:val="21"/>
              </w:rPr>
              <w:t>与项目位置关系</w:t>
            </w:r>
          </w:p>
        </w:tc>
        <w:tc>
          <w:tcPr>
            <w:tcW w:w="2110" w:type="pct"/>
            <w:vAlign w:val="center"/>
          </w:tcPr>
          <w:p w14:paraId="3A5D7C8D" w14:textId="77777777" w:rsidR="007D1E74" w:rsidRDefault="00A95641">
            <w:pPr>
              <w:pStyle w:val="TableParagraph"/>
              <w:spacing w:before="65"/>
              <w:ind w:left="3" w:right="3"/>
              <w:jc w:val="center"/>
              <w:rPr>
                <w:rFonts w:ascii="Times New Roman" w:hAnsi="Times New Roman"/>
                <w:sz w:val="21"/>
                <w:szCs w:val="21"/>
              </w:rPr>
            </w:pPr>
            <w:r>
              <w:rPr>
                <w:rFonts w:ascii="Times New Roman" w:hAnsi="Times New Roman"/>
                <w:sz w:val="21"/>
                <w:szCs w:val="21"/>
              </w:rPr>
              <w:t>保护要求</w:t>
            </w:r>
          </w:p>
        </w:tc>
      </w:tr>
      <w:tr w:rsidR="007D1E74" w14:paraId="2FBA1C52" w14:textId="77777777">
        <w:trPr>
          <w:trHeight w:val="520"/>
          <w:jc w:val="center"/>
        </w:trPr>
        <w:tc>
          <w:tcPr>
            <w:tcW w:w="948" w:type="pct"/>
            <w:vAlign w:val="center"/>
          </w:tcPr>
          <w:p w14:paraId="5B291EAD" w14:textId="77777777" w:rsidR="007D1E74" w:rsidRDefault="00A95641">
            <w:pPr>
              <w:pStyle w:val="TableParagraph"/>
              <w:spacing w:before="131"/>
              <w:ind w:left="60" w:right="35"/>
              <w:jc w:val="center"/>
              <w:rPr>
                <w:rFonts w:ascii="Times New Roman" w:hAnsi="Times New Roman"/>
                <w:sz w:val="21"/>
                <w:szCs w:val="21"/>
              </w:rPr>
            </w:pPr>
            <w:r>
              <w:rPr>
                <w:rFonts w:ascii="Times New Roman" w:hAnsi="Times New Roman" w:hint="eastAsia"/>
                <w:sz w:val="21"/>
                <w:szCs w:val="21"/>
              </w:rPr>
              <w:t>永久</w:t>
            </w:r>
            <w:r>
              <w:rPr>
                <w:rFonts w:ascii="Times New Roman" w:hAnsi="Times New Roman"/>
                <w:sz w:val="21"/>
                <w:szCs w:val="21"/>
              </w:rPr>
              <w:t>基本农田</w:t>
            </w:r>
          </w:p>
        </w:tc>
        <w:tc>
          <w:tcPr>
            <w:tcW w:w="1942" w:type="pct"/>
            <w:vAlign w:val="center"/>
          </w:tcPr>
          <w:p w14:paraId="538ABC45" w14:textId="77777777" w:rsidR="007D1E74" w:rsidRDefault="00A95641">
            <w:pPr>
              <w:pStyle w:val="TableParagraph"/>
              <w:spacing w:before="131"/>
              <w:ind w:left="60" w:right="35"/>
              <w:jc w:val="center"/>
              <w:rPr>
                <w:rFonts w:ascii="Times New Roman" w:hAnsi="Times New Roman"/>
                <w:sz w:val="21"/>
                <w:szCs w:val="21"/>
              </w:rPr>
            </w:pPr>
            <w:r>
              <w:rPr>
                <w:rFonts w:ascii="Times New Roman" w:hAnsi="Times New Roman" w:hint="eastAsia"/>
                <w:sz w:val="21"/>
                <w:szCs w:val="21"/>
              </w:rPr>
              <w:t>管道</w:t>
            </w:r>
            <w:r>
              <w:rPr>
                <w:rFonts w:ascii="Times New Roman" w:hAnsi="Times New Roman"/>
                <w:sz w:val="21"/>
                <w:szCs w:val="21"/>
              </w:rPr>
              <w:t>沿线耕地（</w:t>
            </w:r>
            <w:r>
              <w:rPr>
                <w:rFonts w:ascii="Times New Roman" w:hAnsi="Times New Roman" w:hint="eastAsia"/>
                <w:sz w:val="21"/>
                <w:szCs w:val="21"/>
              </w:rPr>
              <w:t>部分为永久基本农田</w:t>
            </w:r>
            <w:r>
              <w:rPr>
                <w:rFonts w:ascii="Times New Roman" w:hAnsi="Times New Roman"/>
                <w:sz w:val="21"/>
                <w:szCs w:val="21"/>
              </w:rPr>
              <w:t>）</w:t>
            </w:r>
          </w:p>
        </w:tc>
        <w:tc>
          <w:tcPr>
            <w:tcW w:w="2110" w:type="pct"/>
            <w:vAlign w:val="center"/>
          </w:tcPr>
          <w:p w14:paraId="0C6592B7" w14:textId="77777777" w:rsidR="007D1E74" w:rsidRDefault="00A95641">
            <w:pPr>
              <w:pStyle w:val="TableParagraph"/>
              <w:spacing w:before="1"/>
              <w:ind w:left="3" w:right="4"/>
              <w:rPr>
                <w:rFonts w:ascii="Times New Roman" w:hAnsi="Times New Roman"/>
                <w:sz w:val="21"/>
                <w:szCs w:val="21"/>
              </w:rPr>
            </w:pPr>
            <w:r>
              <w:rPr>
                <w:rFonts w:ascii="Times New Roman" w:hAnsi="Times New Roman"/>
                <w:sz w:val="21"/>
                <w:szCs w:val="21"/>
              </w:rPr>
              <w:t>不因本项目建设而降低</w:t>
            </w:r>
            <w:r>
              <w:rPr>
                <w:rFonts w:ascii="Times New Roman" w:hAnsi="Times New Roman" w:hint="eastAsia"/>
                <w:sz w:val="21"/>
                <w:szCs w:val="21"/>
              </w:rPr>
              <w:t>永久基本农田</w:t>
            </w:r>
            <w:r>
              <w:rPr>
                <w:rFonts w:ascii="Times New Roman" w:hAnsi="Times New Roman"/>
                <w:sz w:val="21"/>
                <w:szCs w:val="21"/>
              </w:rPr>
              <w:t>的使用功能</w:t>
            </w:r>
          </w:p>
        </w:tc>
      </w:tr>
      <w:tr w:rsidR="007D1E74" w14:paraId="78F905B5" w14:textId="77777777">
        <w:trPr>
          <w:trHeight w:val="605"/>
          <w:jc w:val="center"/>
        </w:trPr>
        <w:tc>
          <w:tcPr>
            <w:tcW w:w="948" w:type="pct"/>
            <w:vAlign w:val="center"/>
          </w:tcPr>
          <w:p w14:paraId="11DD4537" w14:textId="77777777" w:rsidR="007D1E74" w:rsidRDefault="00A95641">
            <w:pPr>
              <w:pStyle w:val="TableParagraph"/>
              <w:spacing w:before="131"/>
              <w:ind w:right="134"/>
              <w:jc w:val="center"/>
              <w:rPr>
                <w:rFonts w:ascii="Times New Roman" w:hAnsi="Times New Roman"/>
                <w:sz w:val="21"/>
                <w:szCs w:val="21"/>
              </w:rPr>
            </w:pPr>
            <w:r>
              <w:rPr>
                <w:rFonts w:ascii="Times New Roman" w:hAnsi="Times New Roman" w:hint="eastAsia"/>
                <w:sz w:val="21"/>
                <w:szCs w:val="21"/>
              </w:rPr>
              <w:t>四川诺水河珍稀水生动物国家级自然保护区</w:t>
            </w:r>
          </w:p>
        </w:tc>
        <w:tc>
          <w:tcPr>
            <w:tcW w:w="1942" w:type="pct"/>
            <w:vAlign w:val="center"/>
          </w:tcPr>
          <w:p w14:paraId="70B51722" w14:textId="77777777" w:rsidR="007D1E74" w:rsidRDefault="00A95641">
            <w:pPr>
              <w:pStyle w:val="TableParagraph"/>
              <w:ind w:left="60" w:right="34"/>
              <w:jc w:val="center"/>
              <w:rPr>
                <w:rFonts w:ascii="Times New Roman" w:hAnsi="Times New Roman"/>
                <w:sz w:val="21"/>
                <w:szCs w:val="21"/>
              </w:rPr>
            </w:pPr>
            <w:r>
              <w:rPr>
                <w:rFonts w:ascii="Times New Roman" w:hAnsi="Times New Roman" w:hint="eastAsia"/>
                <w:sz w:val="21"/>
                <w:szCs w:val="21"/>
              </w:rPr>
              <w:t>管道</w:t>
            </w:r>
            <w:r>
              <w:rPr>
                <w:rFonts w:ascii="Times New Roman" w:hAnsi="Times New Roman"/>
                <w:sz w:val="21"/>
                <w:szCs w:val="21"/>
              </w:rPr>
              <w:t>沿线（</w:t>
            </w:r>
            <w:r>
              <w:rPr>
                <w:rFonts w:ascii="Times New Roman" w:hAnsi="Times New Roman" w:hint="eastAsia"/>
                <w:sz w:val="21"/>
                <w:szCs w:val="21"/>
              </w:rPr>
              <w:t>部分位于四川诺水河珍稀水生动物国家级自然保护区缓冲区金额</w:t>
            </w:r>
            <w:r>
              <w:rPr>
                <w:rFonts w:ascii="Times New Roman" w:hAnsi="Times New Roman"/>
                <w:sz w:val="21"/>
                <w:szCs w:val="21"/>
              </w:rPr>
              <w:t>实验区）</w:t>
            </w:r>
          </w:p>
        </w:tc>
        <w:tc>
          <w:tcPr>
            <w:tcW w:w="2110" w:type="pct"/>
            <w:vAlign w:val="center"/>
          </w:tcPr>
          <w:p w14:paraId="6E45707B" w14:textId="77777777" w:rsidR="007D1E74" w:rsidRDefault="00A95641">
            <w:pPr>
              <w:pStyle w:val="TableParagraph"/>
              <w:spacing w:before="1" w:line="242" w:lineRule="auto"/>
              <w:ind w:left="24" w:right="22" w:hanging="2"/>
              <w:rPr>
                <w:rFonts w:ascii="Times New Roman" w:hAnsi="Times New Roman"/>
                <w:sz w:val="21"/>
                <w:szCs w:val="21"/>
              </w:rPr>
            </w:pPr>
            <w:r>
              <w:rPr>
                <w:rFonts w:ascii="Times New Roman" w:hAnsi="Times New Roman"/>
                <w:sz w:val="21"/>
                <w:szCs w:val="21"/>
              </w:rPr>
              <w:t>不因本项目建设而改变诺水河省级自然保护区的结构、功能、生态系统完整性</w:t>
            </w:r>
          </w:p>
        </w:tc>
      </w:tr>
      <w:tr w:rsidR="007D1E74" w14:paraId="737BE948" w14:textId="77777777">
        <w:trPr>
          <w:trHeight w:val="605"/>
          <w:jc w:val="center"/>
        </w:trPr>
        <w:tc>
          <w:tcPr>
            <w:tcW w:w="948" w:type="pct"/>
            <w:vAlign w:val="center"/>
          </w:tcPr>
          <w:p w14:paraId="045CE7AB" w14:textId="77777777" w:rsidR="007D1E74" w:rsidRDefault="00A95641">
            <w:pPr>
              <w:pStyle w:val="TableParagraph"/>
              <w:spacing w:before="131"/>
              <w:ind w:right="134"/>
              <w:jc w:val="center"/>
              <w:rPr>
                <w:rFonts w:ascii="Times New Roman" w:hAnsi="Times New Roman"/>
                <w:sz w:val="21"/>
                <w:szCs w:val="21"/>
              </w:rPr>
            </w:pPr>
            <w:r>
              <w:rPr>
                <w:rFonts w:ascii="Times New Roman" w:hAnsi="Times New Roman" w:hint="eastAsia"/>
                <w:sz w:val="21"/>
                <w:szCs w:val="21"/>
              </w:rPr>
              <w:t>集中式饮用水源保护区</w:t>
            </w:r>
          </w:p>
        </w:tc>
        <w:tc>
          <w:tcPr>
            <w:tcW w:w="1942" w:type="pct"/>
            <w:vAlign w:val="center"/>
          </w:tcPr>
          <w:p w14:paraId="7B3048C9" w14:textId="77777777" w:rsidR="007D1E74" w:rsidRDefault="00A95641">
            <w:pPr>
              <w:pStyle w:val="TableParagraph"/>
              <w:ind w:left="60" w:right="34"/>
              <w:jc w:val="center"/>
              <w:rPr>
                <w:rFonts w:ascii="Times New Roman" w:hAnsi="Times New Roman"/>
                <w:sz w:val="21"/>
                <w:szCs w:val="21"/>
              </w:rPr>
            </w:pPr>
            <w:r>
              <w:rPr>
                <w:rFonts w:ascii="Times New Roman" w:hAnsi="Times New Roman" w:hint="eastAsia"/>
                <w:sz w:val="21"/>
                <w:szCs w:val="21"/>
              </w:rPr>
              <w:t>管道</w:t>
            </w:r>
            <w:r>
              <w:rPr>
                <w:rFonts w:ascii="Times New Roman" w:hAnsi="Times New Roman"/>
                <w:sz w:val="21"/>
                <w:szCs w:val="21"/>
              </w:rPr>
              <w:t>沿线</w:t>
            </w:r>
            <w:r>
              <w:rPr>
                <w:rFonts w:ascii="Times New Roman" w:hAnsi="Times New Roman" w:hint="eastAsia"/>
                <w:sz w:val="21"/>
                <w:szCs w:val="21"/>
              </w:rPr>
              <w:t>（新场镇饮用水源保护区二级保护区、涪阳镇饮用水源保护区二级保护区）</w:t>
            </w:r>
          </w:p>
        </w:tc>
        <w:tc>
          <w:tcPr>
            <w:tcW w:w="2110" w:type="pct"/>
            <w:vAlign w:val="center"/>
          </w:tcPr>
          <w:p w14:paraId="066533AB" w14:textId="77777777" w:rsidR="007D1E74" w:rsidRDefault="00A95641">
            <w:pPr>
              <w:pStyle w:val="TableParagraph"/>
              <w:spacing w:before="1" w:line="242" w:lineRule="auto"/>
              <w:ind w:left="24" w:right="22" w:hanging="2"/>
              <w:rPr>
                <w:rFonts w:ascii="Times New Roman" w:hAnsi="Times New Roman"/>
                <w:sz w:val="21"/>
                <w:szCs w:val="21"/>
              </w:rPr>
            </w:pPr>
            <w:r>
              <w:rPr>
                <w:rFonts w:ascii="Times New Roman" w:hAnsi="Times New Roman"/>
                <w:sz w:val="21"/>
                <w:szCs w:val="21"/>
              </w:rPr>
              <w:t>不因本项目建设而改变</w:t>
            </w:r>
            <w:r>
              <w:rPr>
                <w:rFonts w:ascii="Times New Roman" w:hAnsi="Times New Roman" w:hint="eastAsia"/>
                <w:sz w:val="21"/>
                <w:szCs w:val="21"/>
              </w:rPr>
              <w:t>饮用水源保护区二级保护区</w:t>
            </w:r>
            <w:r>
              <w:rPr>
                <w:rFonts w:ascii="Times New Roman" w:hAnsi="Times New Roman"/>
                <w:sz w:val="21"/>
                <w:szCs w:val="21"/>
              </w:rPr>
              <w:t>的功能、</w:t>
            </w:r>
            <w:r>
              <w:rPr>
                <w:rFonts w:ascii="Times New Roman" w:hAnsi="Times New Roman" w:hint="eastAsia"/>
                <w:sz w:val="21"/>
                <w:szCs w:val="21"/>
              </w:rPr>
              <w:t>水质情况</w:t>
            </w:r>
          </w:p>
        </w:tc>
      </w:tr>
    </w:tbl>
    <w:p w14:paraId="73B157E7" w14:textId="77777777" w:rsidR="007D1E74" w:rsidRDefault="00A95641">
      <w:pPr>
        <w:spacing w:line="360" w:lineRule="auto"/>
        <w:jc w:val="center"/>
        <w:rPr>
          <w:rFonts w:eastAsia="黑体" w:cs="Times New Roman"/>
          <w:szCs w:val="21"/>
        </w:rPr>
      </w:pPr>
      <w:r>
        <w:rPr>
          <w:rFonts w:eastAsia="黑体" w:cs="Times New Roman"/>
          <w:szCs w:val="21"/>
        </w:rPr>
        <w:t>表</w:t>
      </w:r>
      <w:r>
        <w:rPr>
          <w:rFonts w:eastAsia="黑体" w:cs="Times New Roman" w:hint="eastAsia"/>
          <w:szCs w:val="21"/>
        </w:rPr>
        <w:t>2.6-2</w:t>
      </w:r>
      <w:r>
        <w:rPr>
          <w:rFonts w:eastAsia="黑体" w:cs="Times New Roman"/>
          <w:szCs w:val="21"/>
        </w:rPr>
        <w:t xml:space="preserve">  </w:t>
      </w:r>
      <w:r>
        <w:rPr>
          <w:rFonts w:eastAsia="黑体" w:cs="Times New Roman" w:hint="eastAsia"/>
          <w:szCs w:val="21"/>
        </w:rPr>
        <w:t>项目地表水环境保护目标一览表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1278"/>
        <w:gridCol w:w="990"/>
        <w:gridCol w:w="992"/>
        <w:gridCol w:w="853"/>
        <w:gridCol w:w="1134"/>
        <w:gridCol w:w="1134"/>
        <w:gridCol w:w="1931"/>
      </w:tblGrid>
      <w:tr w:rsidR="007D1E74" w14:paraId="6EF86C57" w14:textId="77777777">
        <w:trPr>
          <w:tblHeader/>
          <w:jc w:val="center"/>
        </w:trPr>
        <w:tc>
          <w:tcPr>
            <w:tcW w:w="390" w:type="pct"/>
            <w:vAlign w:val="center"/>
          </w:tcPr>
          <w:p w14:paraId="758636B8" w14:textId="77777777" w:rsidR="007D1E74" w:rsidRDefault="00A95641">
            <w:pPr>
              <w:jc w:val="center"/>
              <w:rPr>
                <w:rFonts w:cs="Times New Roman"/>
                <w:szCs w:val="21"/>
              </w:rPr>
            </w:pPr>
            <w:r>
              <w:rPr>
                <w:rFonts w:cs="Times New Roman" w:hint="eastAsia"/>
                <w:szCs w:val="21"/>
              </w:rPr>
              <w:t>序号</w:t>
            </w:r>
          </w:p>
        </w:tc>
        <w:tc>
          <w:tcPr>
            <w:tcW w:w="709" w:type="pct"/>
            <w:vAlign w:val="center"/>
          </w:tcPr>
          <w:p w14:paraId="38EE3026" w14:textId="77777777" w:rsidR="007D1E74" w:rsidRDefault="00A95641">
            <w:pPr>
              <w:jc w:val="center"/>
              <w:rPr>
                <w:rFonts w:cs="Times New Roman"/>
                <w:szCs w:val="21"/>
              </w:rPr>
            </w:pPr>
            <w:r>
              <w:rPr>
                <w:rFonts w:cs="Times New Roman"/>
                <w:szCs w:val="21"/>
              </w:rPr>
              <w:t>保护对象</w:t>
            </w:r>
          </w:p>
        </w:tc>
        <w:tc>
          <w:tcPr>
            <w:tcW w:w="549" w:type="pct"/>
            <w:vAlign w:val="center"/>
          </w:tcPr>
          <w:p w14:paraId="24B9ECA9" w14:textId="77777777" w:rsidR="007D1E74" w:rsidRDefault="00A95641">
            <w:pPr>
              <w:jc w:val="center"/>
              <w:rPr>
                <w:rFonts w:cs="Times New Roman"/>
                <w:szCs w:val="21"/>
              </w:rPr>
            </w:pPr>
            <w:r>
              <w:rPr>
                <w:rFonts w:cs="Times New Roman" w:hint="eastAsia"/>
                <w:szCs w:val="21"/>
              </w:rPr>
              <w:t>方位</w:t>
            </w:r>
          </w:p>
        </w:tc>
        <w:tc>
          <w:tcPr>
            <w:tcW w:w="550" w:type="pct"/>
            <w:vAlign w:val="center"/>
          </w:tcPr>
          <w:p w14:paraId="0BB8D47B" w14:textId="77777777" w:rsidR="007D1E74" w:rsidRDefault="00A95641">
            <w:pPr>
              <w:jc w:val="center"/>
              <w:rPr>
                <w:rFonts w:cs="Times New Roman"/>
                <w:szCs w:val="21"/>
              </w:rPr>
            </w:pPr>
            <w:r>
              <w:rPr>
                <w:rFonts w:cs="Times New Roman" w:hint="eastAsia"/>
                <w:szCs w:val="21"/>
              </w:rPr>
              <w:t>距离</w:t>
            </w:r>
          </w:p>
        </w:tc>
        <w:tc>
          <w:tcPr>
            <w:tcW w:w="473" w:type="pct"/>
            <w:vAlign w:val="center"/>
          </w:tcPr>
          <w:p w14:paraId="4CBC384B" w14:textId="77777777" w:rsidR="007D1E74" w:rsidRDefault="00A95641">
            <w:pPr>
              <w:jc w:val="center"/>
              <w:rPr>
                <w:rFonts w:cs="Times New Roman"/>
                <w:szCs w:val="21"/>
              </w:rPr>
            </w:pPr>
            <w:r>
              <w:rPr>
                <w:rFonts w:cs="Times New Roman"/>
                <w:szCs w:val="21"/>
              </w:rPr>
              <w:t>规模</w:t>
            </w:r>
          </w:p>
        </w:tc>
        <w:tc>
          <w:tcPr>
            <w:tcW w:w="629" w:type="pct"/>
            <w:vAlign w:val="center"/>
          </w:tcPr>
          <w:p w14:paraId="6BC86544" w14:textId="77777777" w:rsidR="007D1E74" w:rsidRDefault="00A95641">
            <w:pPr>
              <w:jc w:val="center"/>
              <w:rPr>
                <w:rFonts w:cs="Times New Roman"/>
                <w:szCs w:val="21"/>
              </w:rPr>
            </w:pPr>
            <w:r>
              <w:rPr>
                <w:rFonts w:cs="Times New Roman" w:hint="eastAsia"/>
                <w:szCs w:val="21"/>
              </w:rPr>
              <w:t>功能</w:t>
            </w:r>
          </w:p>
        </w:tc>
        <w:tc>
          <w:tcPr>
            <w:tcW w:w="629" w:type="pct"/>
            <w:vAlign w:val="center"/>
          </w:tcPr>
          <w:p w14:paraId="01E1E19C" w14:textId="77777777" w:rsidR="007D1E74" w:rsidRDefault="00A95641">
            <w:pPr>
              <w:jc w:val="center"/>
              <w:rPr>
                <w:rFonts w:cs="Times New Roman"/>
                <w:szCs w:val="21"/>
              </w:rPr>
            </w:pPr>
            <w:r>
              <w:rPr>
                <w:rFonts w:cs="Times New Roman" w:hint="eastAsia"/>
                <w:szCs w:val="21"/>
              </w:rPr>
              <w:t>备注</w:t>
            </w:r>
          </w:p>
        </w:tc>
        <w:tc>
          <w:tcPr>
            <w:tcW w:w="1071" w:type="pct"/>
            <w:vAlign w:val="center"/>
          </w:tcPr>
          <w:p w14:paraId="5198D38B" w14:textId="77777777" w:rsidR="007D1E74" w:rsidRDefault="00A95641">
            <w:pPr>
              <w:jc w:val="center"/>
              <w:rPr>
                <w:rFonts w:cs="Times New Roman"/>
                <w:szCs w:val="21"/>
              </w:rPr>
            </w:pPr>
            <w:r>
              <w:rPr>
                <w:rFonts w:cs="Times New Roman"/>
                <w:szCs w:val="21"/>
              </w:rPr>
              <w:t>保护级别</w:t>
            </w:r>
          </w:p>
        </w:tc>
      </w:tr>
      <w:tr w:rsidR="007D1E74" w14:paraId="593AD98D" w14:textId="77777777">
        <w:trPr>
          <w:trHeight w:val="70"/>
          <w:jc w:val="center"/>
        </w:trPr>
        <w:tc>
          <w:tcPr>
            <w:tcW w:w="390" w:type="pct"/>
            <w:vAlign w:val="center"/>
          </w:tcPr>
          <w:p w14:paraId="4B612537" w14:textId="77777777" w:rsidR="007D1E74" w:rsidRDefault="00A95641">
            <w:pPr>
              <w:jc w:val="center"/>
              <w:rPr>
                <w:rFonts w:cs="Times New Roman"/>
                <w:szCs w:val="21"/>
              </w:rPr>
            </w:pPr>
            <w:r>
              <w:rPr>
                <w:rFonts w:cs="Times New Roman" w:hint="eastAsia"/>
                <w:szCs w:val="21"/>
              </w:rPr>
              <w:t>1</w:t>
            </w:r>
          </w:p>
        </w:tc>
        <w:tc>
          <w:tcPr>
            <w:tcW w:w="709" w:type="pct"/>
            <w:vAlign w:val="center"/>
          </w:tcPr>
          <w:p w14:paraId="68DD8020" w14:textId="77777777" w:rsidR="007D1E74" w:rsidRDefault="00A95641">
            <w:pPr>
              <w:jc w:val="center"/>
              <w:rPr>
                <w:rFonts w:cs="Times New Roman"/>
                <w:szCs w:val="21"/>
              </w:rPr>
            </w:pPr>
            <w:r>
              <w:rPr>
                <w:rFonts w:cs="Times New Roman" w:hint="eastAsia"/>
                <w:szCs w:val="21"/>
              </w:rPr>
              <w:t>青峪河</w:t>
            </w:r>
          </w:p>
        </w:tc>
        <w:tc>
          <w:tcPr>
            <w:tcW w:w="549" w:type="pct"/>
            <w:vAlign w:val="center"/>
          </w:tcPr>
          <w:p w14:paraId="148940F7" w14:textId="77777777" w:rsidR="007D1E74" w:rsidRDefault="00A95641">
            <w:pPr>
              <w:jc w:val="center"/>
              <w:rPr>
                <w:rFonts w:cs="Times New Roman"/>
                <w:szCs w:val="21"/>
              </w:rPr>
            </w:pPr>
            <w:r>
              <w:rPr>
                <w:rFonts w:cs="Times New Roman" w:hint="eastAsia"/>
                <w:szCs w:val="21"/>
              </w:rPr>
              <w:t>/</w:t>
            </w:r>
          </w:p>
        </w:tc>
        <w:tc>
          <w:tcPr>
            <w:tcW w:w="550" w:type="pct"/>
            <w:vAlign w:val="center"/>
          </w:tcPr>
          <w:p w14:paraId="708E0870" w14:textId="77777777" w:rsidR="007D1E74" w:rsidRDefault="00A95641">
            <w:pPr>
              <w:jc w:val="center"/>
              <w:rPr>
                <w:rFonts w:cs="Times New Roman"/>
                <w:szCs w:val="21"/>
              </w:rPr>
            </w:pPr>
            <w:r>
              <w:rPr>
                <w:rFonts w:cs="Times New Roman" w:hint="eastAsia"/>
                <w:szCs w:val="21"/>
              </w:rPr>
              <w:t>/</w:t>
            </w:r>
          </w:p>
        </w:tc>
        <w:tc>
          <w:tcPr>
            <w:tcW w:w="473" w:type="pct"/>
            <w:vAlign w:val="center"/>
          </w:tcPr>
          <w:p w14:paraId="13E6A02F" w14:textId="77777777" w:rsidR="007D1E74" w:rsidRDefault="00A95641">
            <w:pPr>
              <w:jc w:val="center"/>
              <w:rPr>
                <w:rFonts w:cs="Times New Roman"/>
                <w:szCs w:val="21"/>
              </w:rPr>
            </w:pPr>
            <w:r>
              <w:rPr>
                <w:rFonts w:cs="Times New Roman" w:hint="eastAsia"/>
                <w:szCs w:val="21"/>
              </w:rPr>
              <w:t>小河</w:t>
            </w:r>
          </w:p>
        </w:tc>
        <w:tc>
          <w:tcPr>
            <w:tcW w:w="629" w:type="pct"/>
            <w:vAlign w:val="center"/>
          </w:tcPr>
          <w:p w14:paraId="119BE958" w14:textId="77777777" w:rsidR="007D1E74" w:rsidRDefault="00A95641">
            <w:pPr>
              <w:jc w:val="center"/>
              <w:rPr>
                <w:rFonts w:cs="Times New Roman"/>
                <w:szCs w:val="21"/>
              </w:rPr>
            </w:pPr>
            <w:r>
              <w:rPr>
                <w:rFonts w:cs="Times New Roman" w:hint="eastAsia"/>
                <w:szCs w:val="21"/>
              </w:rPr>
              <w:t>泄洪、灌溉</w:t>
            </w:r>
          </w:p>
        </w:tc>
        <w:tc>
          <w:tcPr>
            <w:tcW w:w="629" w:type="pct"/>
            <w:vAlign w:val="center"/>
          </w:tcPr>
          <w:p w14:paraId="25538646" w14:textId="77777777" w:rsidR="007D1E74" w:rsidRDefault="00A95641">
            <w:pPr>
              <w:jc w:val="center"/>
              <w:rPr>
                <w:rFonts w:cs="Times New Roman"/>
                <w:szCs w:val="21"/>
              </w:rPr>
            </w:pPr>
            <w:r>
              <w:rPr>
                <w:rFonts w:cs="Times New Roman" w:hint="eastAsia"/>
                <w:szCs w:val="21"/>
              </w:rPr>
              <w:t>项目涉及</w:t>
            </w:r>
            <w:r>
              <w:rPr>
                <w:rFonts w:cs="Times New Roman"/>
                <w:szCs w:val="21"/>
              </w:rPr>
              <w:t>水体</w:t>
            </w:r>
          </w:p>
        </w:tc>
        <w:tc>
          <w:tcPr>
            <w:tcW w:w="1071" w:type="pct"/>
            <w:vAlign w:val="center"/>
          </w:tcPr>
          <w:p w14:paraId="1052F2D7" w14:textId="77777777" w:rsidR="007D1E74" w:rsidRDefault="00A95641">
            <w:pPr>
              <w:jc w:val="center"/>
              <w:rPr>
                <w:rFonts w:cs="Times New Roman"/>
                <w:szCs w:val="21"/>
              </w:rPr>
            </w:pPr>
            <w:r>
              <w:rPr>
                <w:rFonts w:cs="Times New Roman"/>
                <w:szCs w:val="21"/>
              </w:rPr>
              <w:t>《地表水环境质量标准》（</w:t>
            </w:r>
            <w:r>
              <w:rPr>
                <w:rFonts w:cs="Times New Roman"/>
                <w:szCs w:val="21"/>
              </w:rPr>
              <w:t>GB3838-2002</w:t>
            </w:r>
            <w:r>
              <w:rPr>
                <w:rFonts w:cs="Times New Roman"/>
                <w:szCs w:val="21"/>
              </w:rPr>
              <w:t>）</w:t>
            </w:r>
            <w:r>
              <w:rPr>
                <w:rFonts w:cs="Times New Roman"/>
                <w:bCs/>
                <w:szCs w:val="21"/>
              </w:rPr>
              <w:t>III</w:t>
            </w:r>
            <w:r>
              <w:rPr>
                <w:rFonts w:cs="Times New Roman"/>
                <w:szCs w:val="21"/>
              </w:rPr>
              <w:t>类标准</w:t>
            </w:r>
          </w:p>
        </w:tc>
      </w:tr>
      <w:tr w:rsidR="007D1E74" w14:paraId="6DB7AE88" w14:textId="77777777">
        <w:trPr>
          <w:trHeight w:val="70"/>
          <w:jc w:val="center"/>
        </w:trPr>
        <w:tc>
          <w:tcPr>
            <w:tcW w:w="390" w:type="pct"/>
            <w:vAlign w:val="center"/>
          </w:tcPr>
          <w:p w14:paraId="41B8DFF2" w14:textId="77777777" w:rsidR="007D1E74" w:rsidRDefault="00A95641">
            <w:pPr>
              <w:jc w:val="center"/>
              <w:rPr>
                <w:rFonts w:cs="Times New Roman"/>
                <w:szCs w:val="21"/>
              </w:rPr>
            </w:pPr>
            <w:r>
              <w:rPr>
                <w:rFonts w:cs="Times New Roman" w:hint="eastAsia"/>
                <w:szCs w:val="21"/>
              </w:rPr>
              <w:t>2</w:t>
            </w:r>
          </w:p>
        </w:tc>
        <w:tc>
          <w:tcPr>
            <w:tcW w:w="709" w:type="pct"/>
            <w:vAlign w:val="center"/>
          </w:tcPr>
          <w:p w14:paraId="6C742C11" w14:textId="77777777" w:rsidR="007D1E74" w:rsidRDefault="00A95641">
            <w:pPr>
              <w:jc w:val="center"/>
              <w:rPr>
                <w:rFonts w:cs="Times New Roman"/>
                <w:szCs w:val="21"/>
              </w:rPr>
            </w:pPr>
            <w:r>
              <w:rPr>
                <w:rFonts w:cs="Times New Roman" w:hint="eastAsia"/>
                <w:szCs w:val="21"/>
              </w:rPr>
              <w:t>小通江</w:t>
            </w:r>
          </w:p>
        </w:tc>
        <w:tc>
          <w:tcPr>
            <w:tcW w:w="549" w:type="pct"/>
            <w:vAlign w:val="center"/>
          </w:tcPr>
          <w:p w14:paraId="3FCB6A42" w14:textId="77777777" w:rsidR="007D1E74" w:rsidRDefault="00A95641">
            <w:pPr>
              <w:jc w:val="center"/>
              <w:rPr>
                <w:rFonts w:cs="Times New Roman"/>
                <w:szCs w:val="21"/>
              </w:rPr>
            </w:pPr>
            <w:r>
              <w:rPr>
                <w:rFonts w:cs="Times New Roman" w:hint="eastAsia"/>
                <w:szCs w:val="21"/>
              </w:rPr>
              <w:t>/</w:t>
            </w:r>
          </w:p>
        </w:tc>
        <w:tc>
          <w:tcPr>
            <w:tcW w:w="550" w:type="pct"/>
            <w:vAlign w:val="center"/>
          </w:tcPr>
          <w:p w14:paraId="79B836F9" w14:textId="77777777" w:rsidR="007D1E74" w:rsidRDefault="00A95641">
            <w:pPr>
              <w:jc w:val="center"/>
              <w:rPr>
                <w:rFonts w:cs="Times New Roman"/>
                <w:szCs w:val="21"/>
              </w:rPr>
            </w:pPr>
            <w:r>
              <w:rPr>
                <w:rFonts w:cs="Times New Roman" w:hint="eastAsia"/>
                <w:szCs w:val="21"/>
              </w:rPr>
              <w:t>/</w:t>
            </w:r>
          </w:p>
        </w:tc>
        <w:tc>
          <w:tcPr>
            <w:tcW w:w="473" w:type="pct"/>
            <w:vAlign w:val="center"/>
          </w:tcPr>
          <w:p w14:paraId="2B21D5DC" w14:textId="77777777" w:rsidR="007D1E74" w:rsidRDefault="00A95641">
            <w:pPr>
              <w:jc w:val="center"/>
              <w:rPr>
                <w:rFonts w:cs="Times New Roman"/>
                <w:szCs w:val="21"/>
              </w:rPr>
            </w:pPr>
            <w:r>
              <w:rPr>
                <w:rFonts w:cs="Times New Roman" w:hint="eastAsia"/>
                <w:szCs w:val="21"/>
              </w:rPr>
              <w:t>中河</w:t>
            </w:r>
          </w:p>
        </w:tc>
        <w:tc>
          <w:tcPr>
            <w:tcW w:w="629" w:type="pct"/>
            <w:vAlign w:val="center"/>
          </w:tcPr>
          <w:p w14:paraId="4C1625DF" w14:textId="77777777" w:rsidR="007D1E74" w:rsidRDefault="00A95641">
            <w:pPr>
              <w:jc w:val="center"/>
              <w:rPr>
                <w:rFonts w:cs="Times New Roman"/>
                <w:szCs w:val="21"/>
              </w:rPr>
            </w:pPr>
            <w:r>
              <w:rPr>
                <w:rFonts w:cs="Times New Roman" w:hint="eastAsia"/>
                <w:szCs w:val="21"/>
              </w:rPr>
              <w:t>泄洪、纳污、灌溉</w:t>
            </w:r>
          </w:p>
        </w:tc>
        <w:tc>
          <w:tcPr>
            <w:tcW w:w="629" w:type="pct"/>
            <w:vAlign w:val="center"/>
          </w:tcPr>
          <w:p w14:paraId="08B7CAC2" w14:textId="77777777" w:rsidR="007D1E74" w:rsidRDefault="00A95641">
            <w:pPr>
              <w:jc w:val="center"/>
              <w:rPr>
                <w:rFonts w:cs="Times New Roman"/>
                <w:szCs w:val="21"/>
              </w:rPr>
            </w:pPr>
            <w:r>
              <w:rPr>
                <w:rFonts w:cs="Times New Roman" w:hint="eastAsia"/>
                <w:szCs w:val="21"/>
              </w:rPr>
              <w:t>项目涉及</w:t>
            </w:r>
            <w:r>
              <w:rPr>
                <w:rFonts w:cs="Times New Roman"/>
                <w:szCs w:val="21"/>
              </w:rPr>
              <w:t>水体</w:t>
            </w:r>
          </w:p>
        </w:tc>
        <w:tc>
          <w:tcPr>
            <w:tcW w:w="1071" w:type="pct"/>
            <w:vAlign w:val="center"/>
          </w:tcPr>
          <w:p w14:paraId="0DEA39CA" w14:textId="77777777" w:rsidR="007D1E74" w:rsidRDefault="00A95641">
            <w:pPr>
              <w:jc w:val="center"/>
              <w:rPr>
                <w:rFonts w:cs="Times New Roman"/>
                <w:szCs w:val="21"/>
              </w:rPr>
            </w:pPr>
            <w:r>
              <w:rPr>
                <w:rFonts w:cs="Times New Roman"/>
                <w:szCs w:val="21"/>
              </w:rPr>
              <w:t>《地表水环境质量标准》（</w:t>
            </w:r>
            <w:r>
              <w:rPr>
                <w:rFonts w:cs="Times New Roman"/>
                <w:szCs w:val="21"/>
              </w:rPr>
              <w:t>GB3838-2002</w:t>
            </w:r>
            <w:r>
              <w:rPr>
                <w:rFonts w:cs="Times New Roman"/>
                <w:szCs w:val="21"/>
              </w:rPr>
              <w:t>）</w:t>
            </w:r>
            <w:r>
              <w:rPr>
                <w:rFonts w:cs="Times New Roman"/>
                <w:bCs/>
                <w:szCs w:val="21"/>
              </w:rPr>
              <w:t>III</w:t>
            </w:r>
            <w:r>
              <w:rPr>
                <w:rFonts w:cs="Times New Roman"/>
                <w:szCs w:val="21"/>
              </w:rPr>
              <w:t>类标准</w:t>
            </w:r>
          </w:p>
        </w:tc>
      </w:tr>
    </w:tbl>
    <w:p w14:paraId="3AAF816E" w14:textId="77777777" w:rsidR="007D1E74" w:rsidRDefault="00A95641">
      <w:pPr>
        <w:spacing w:line="360" w:lineRule="auto"/>
        <w:jc w:val="center"/>
        <w:rPr>
          <w:rFonts w:eastAsia="黑体" w:cs="Times New Roman"/>
          <w:szCs w:val="21"/>
        </w:rPr>
      </w:pPr>
      <w:r>
        <w:rPr>
          <w:rFonts w:eastAsia="黑体" w:cs="Times New Roman" w:hint="eastAsia"/>
          <w:szCs w:val="21"/>
        </w:rPr>
        <w:t>表</w:t>
      </w:r>
      <w:r>
        <w:rPr>
          <w:rFonts w:eastAsia="黑体" w:cs="Times New Roman" w:hint="eastAsia"/>
          <w:szCs w:val="21"/>
        </w:rPr>
        <w:t xml:space="preserve">2.6-3  </w:t>
      </w:r>
      <w:r>
        <w:rPr>
          <w:rFonts w:eastAsia="黑体" w:cs="Times New Roman" w:hint="eastAsia"/>
          <w:szCs w:val="21"/>
        </w:rPr>
        <w:t>地下水环境保护目标</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8"/>
        <w:gridCol w:w="1149"/>
        <w:gridCol w:w="3953"/>
        <w:gridCol w:w="1100"/>
        <w:gridCol w:w="2016"/>
      </w:tblGrid>
      <w:tr w:rsidR="007D1E74" w14:paraId="25344C13" w14:textId="77777777">
        <w:trPr>
          <w:tblHeader/>
          <w:jc w:val="center"/>
        </w:trPr>
        <w:tc>
          <w:tcPr>
            <w:tcW w:w="443" w:type="pct"/>
            <w:vAlign w:val="center"/>
          </w:tcPr>
          <w:p w14:paraId="7A0533B2" w14:textId="77777777" w:rsidR="007D1E74" w:rsidRDefault="00A95641">
            <w:pPr>
              <w:jc w:val="center"/>
              <w:rPr>
                <w:rFonts w:cs="Times New Roman"/>
                <w:szCs w:val="21"/>
              </w:rPr>
            </w:pPr>
            <w:r>
              <w:rPr>
                <w:rFonts w:cs="Times New Roman" w:hint="eastAsia"/>
                <w:szCs w:val="21"/>
              </w:rPr>
              <w:lastRenderedPageBreak/>
              <w:t>序号</w:t>
            </w:r>
          </w:p>
        </w:tc>
        <w:tc>
          <w:tcPr>
            <w:tcW w:w="637" w:type="pct"/>
            <w:vAlign w:val="center"/>
          </w:tcPr>
          <w:p w14:paraId="349D3298" w14:textId="77777777" w:rsidR="007D1E74" w:rsidRDefault="00A95641">
            <w:pPr>
              <w:jc w:val="center"/>
              <w:rPr>
                <w:rFonts w:cs="Times New Roman"/>
                <w:szCs w:val="21"/>
              </w:rPr>
            </w:pPr>
            <w:r>
              <w:rPr>
                <w:rFonts w:cs="Times New Roman"/>
                <w:szCs w:val="21"/>
              </w:rPr>
              <w:t>保护对象</w:t>
            </w:r>
          </w:p>
        </w:tc>
        <w:tc>
          <w:tcPr>
            <w:tcW w:w="2192" w:type="pct"/>
            <w:vAlign w:val="center"/>
          </w:tcPr>
          <w:p w14:paraId="0DAABFAC" w14:textId="77777777" w:rsidR="007D1E74" w:rsidRDefault="00A95641">
            <w:pPr>
              <w:jc w:val="center"/>
              <w:rPr>
                <w:rFonts w:cs="Times New Roman"/>
                <w:szCs w:val="21"/>
              </w:rPr>
            </w:pPr>
            <w:r>
              <w:rPr>
                <w:rFonts w:cs="Times New Roman" w:hint="eastAsia"/>
                <w:szCs w:val="21"/>
              </w:rPr>
              <w:t>保护范围</w:t>
            </w:r>
          </w:p>
        </w:tc>
        <w:tc>
          <w:tcPr>
            <w:tcW w:w="610" w:type="pct"/>
            <w:vAlign w:val="center"/>
          </w:tcPr>
          <w:p w14:paraId="6A87E3C7" w14:textId="77777777" w:rsidR="007D1E74" w:rsidRDefault="00A95641">
            <w:pPr>
              <w:jc w:val="center"/>
              <w:rPr>
                <w:rFonts w:cs="Times New Roman"/>
                <w:szCs w:val="21"/>
              </w:rPr>
            </w:pPr>
            <w:r>
              <w:rPr>
                <w:rFonts w:cs="Times New Roman" w:hint="eastAsia"/>
                <w:szCs w:val="21"/>
              </w:rPr>
              <w:t>保护内容</w:t>
            </w:r>
          </w:p>
        </w:tc>
        <w:tc>
          <w:tcPr>
            <w:tcW w:w="1118" w:type="pct"/>
            <w:vAlign w:val="center"/>
          </w:tcPr>
          <w:p w14:paraId="7A3A2F44" w14:textId="77777777" w:rsidR="007D1E74" w:rsidRDefault="00A95641">
            <w:pPr>
              <w:jc w:val="center"/>
              <w:rPr>
                <w:rFonts w:cs="Times New Roman"/>
                <w:szCs w:val="21"/>
              </w:rPr>
            </w:pPr>
            <w:r>
              <w:rPr>
                <w:rFonts w:cs="Times New Roman"/>
                <w:szCs w:val="21"/>
              </w:rPr>
              <w:t>保护级别</w:t>
            </w:r>
          </w:p>
        </w:tc>
      </w:tr>
      <w:tr w:rsidR="007D1E74" w14:paraId="5477FABD" w14:textId="77777777">
        <w:trPr>
          <w:trHeight w:val="70"/>
          <w:jc w:val="center"/>
        </w:trPr>
        <w:tc>
          <w:tcPr>
            <w:tcW w:w="443" w:type="pct"/>
            <w:vAlign w:val="center"/>
          </w:tcPr>
          <w:p w14:paraId="62573EDB" w14:textId="77777777" w:rsidR="007D1E74" w:rsidRDefault="00A95641">
            <w:pPr>
              <w:jc w:val="center"/>
              <w:rPr>
                <w:rFonts w:cs="Times New Roman"/>
                <w:szCs w:val="21"/>
              </w:rPr>
            </w:pPr>
            <w:r>
              <w:rPr>
                <w:rFonts w:cs="Times New Roman" w:hint="eastAsia"/>
                <w:szCs w:val="21"/>
              </w:rPr>
              <w:t>1</w:t>
            </w:r>
          </w:p>
        </w:tc>
        <w:tc>
          <w:tcPr>
            <w:tcW w:w="637" w:type="pct"/>
            <w:vAlign w:val="center"/>
          </w:tcPr>
          <w:p w14:paraId="48133C1D" w14:textId="77777777" w:rsidR="007D1E74" w:rsidRDefault="00A95641">
            <w:pPr>
              <w:jc w:val="center"/>
              <w:rPr>
                <w:rFonts w:cs="Times New Roman"/>
                <w:szCs w:val="21"/>
              </w:rPr>
            </w:pPr>
            <w:r>
              <w:rPr>
                <w:rFonts w:cs="Times New Roman" w:hint="eastAsia"/>
                <w:szCs w:val="21"/>
              </w:rPr>
              <w:t>潜水含水层</w:t>
            </w:r>
          </w:p>
        </w:tc>
        <w:tc>
          <w:tcPr>
            <w:tcW w:w="2192" w:type="pct"/>
            <w:vAlign w:val="center"/>
          </w:tcPr>
          <w:p w14:paraId="24F5F53C" w14:textId="77777777" w:rsidR="007D1E74" w:rsidRDefault="00A95641">
            <w:pPr>
              <w:jc w:val="center"/>
              <w:rPr>
                <w:rFonts w:cs="Times New Roman"/>
                <w:szCs w:val="21"/>
              </w:rPr>
            </w:pPr>
            <w:r>
              <w:rPr>
                <w:rFonts w:cs="Times New Roman" w:hint="eastAsia"/>
                <w:szCs w:val="21"/>
              </w:rPr>
              <w:t>项目周边分散式饮用水源</w:t>
            </w:r>
          </w:p>
        </w:tc>
        <w:tc>
          <w:tcPr>
            <w:tcW w:w="610" w:type="pct"/>
            <w:vAlign w:val="center"/>
          </w:tcPr>
          <w:p w14:paraId="0ACDCA54" w14:textId="77777777" w:rsidR="007D1E74" w:rsidRDefault="00A95641">
            <w:pPr>
              <w:jc w:val="center"/>
              <w:rPr>
                <w:rFonts w:cs="Times New Roman"/>
                <w:szCs w:val="21"/>
              </w:rPr>
            </w:pPr>
            <w:r>
              <w:rPr>
                <w:rFonts w:cs="Times New Roman" w:hint="eastAsia"/>
                <w:szCs w:val="21"/>
              </w:rPr>
              <w:t>含水层水质</w:t>
            </w:r>
          </w:p>
        </w:tc>
        <w:tc>
          <w:tcPr>
            <w:tcW w:w="1118" w:type="pct"/>
            <w:vAlign w:val="center"/>
          </w:tcPr>
          <w:p w14:paraId="13D7AF97" w14:textId="77777777" w:rsidR="007D1E74" w:rsidRDefault="00A95641">
            <w:pPr>
              <w:jc w:val="center"/>
              <w:rPr>
                <w:rFonts w:cs="Times New Roman"/>
                <w:szCs w:val="21"/>
              </w:rPr>
            </w:pPr>
            <w:r>
              <w:rPr>
                <w:rFonts w:cs="Times New Roman" w:hint="eastAsia"/>
                <w:szCs w:val="21"/>
              </w:rPr>
              <w:t>《地下水质量标准》（</w:t>
            </w:r>
            <w:r>
              <w:rPr>
                <w:rFonts w:cs="Times New Roman" w:hint="eastAsia"/>
                <w:szCs w:val="21"/>
              </w:rPr>
              <w:t>GB/T14848-2017</w:t>
            </w:r>
            <w:r>
              <w:rPr>
                <w:rFonts w:cs="Times New Roman" w:hint="eastAsia"/>
                <w:szCs w:val="21"/>
              </w:rPr>
              <w:t>）</w:t>
            </w:r>
            <w:r>
              <w:rPr>
                <w:rFonts w:cs="Times New Roman" w:hint="eastAsia"/>
                <w:szCs w:val="21"/>
              </w:rPr>
              <w:t>III</w:t>
            </w:r>
            <w:r>
              <w:rPr>
                <w:rFonts w:cs="Times New Roman" w:hint="eastAsia"/>
                <w:szCs w:val="21"/>
              </w:rPr>
              <w:t>类标准</w:t>
            </w:r>
          </w:p>
        </w:tc>
      </w:tr>
    </w:tbl>
    <w:p w14:paraId="19DAF80F" w14:textId="77777777" w:rsidR="007D1E74" w:rsidRDefault="007D1E74">
      <w:pPr>
        <w:spacing w:line="360" w:lineRule="auto"/>
        <w:jc w:val="center"/>
        <w:rPr>
          <w:rFonts w:eastAsia="黑体" w:cs="Times New Roman"/>
          <w:szCs w:val="21"/>
        </w:rPr>
      </w:pPr>
    </w:p>
    <w:p w14:paraId="006B114C" w14:textId="77777777" w:rsidR="007D1E74" w:rsidRDefault="007D1E74">
      <w:pPr>
        <w:spacing w:line="360" w:lineRule="auto"/>
        <w:jc w:val="center"/>
        <w:rPr>
          <w:rFonts w:eastAsia="黑体" w:cs="Times New Roman"/>
          <w:szCs w:val="21"/>
        </w:rPr>
      </w:pPr>
    </w:p>
    <w:p w14:paraId="26834CC7" w14:textId="77777777" w:rsidR="007D1E74" w:rsidRDefault="00A95641">
      <w:pPr>
        <w:spacing w:line="360" w:lineRule="auto"/>
        <w:jc w:val="center"/>
        <w:rPr>
          <w:rFonts w:eastAsia="黑体" w:cs="Times New Roman"/>
          <w:szCs w:val="21"/>
        </w:rPr>
      </w:pPr>
      <w:r>
        <w:rPr>
          <w:rFonts w:eastAsia="黑体" w:cs="Times New Roman" w:hint="eastAsia"/>
          <w:szCs w:val="21"/>
        </w:rPr>
        <w:t>表</w:t>
      </w:r>
      <w:r>
        <w:rPr>
          <w:rFonts w:eastAsia="黑体" w:cs="Times New Roman" w:hint="eastAsia"/>
          <w:szCs w:val="21"/>
        </w:rPr>
        <w:t xml:space="preserve">2.6-4  </w:t>
      </w:r>
      <w:r>
        <w:rPr>
          <w:rFonts w:eastAsia="黑体" w:cs="Times New Roman" w:hint="eastAsia"/>
          <w:szCs w:val="21"/>
        </w:rPr>
        <w:t>声环境保护目标</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
        <w:gridCol w:w="1845"/>
        <w:gridCol w:w="849"/>
        <w:gridCol w:w="1277"/>
        <w:gridCol w:w="1560"/>
        <w:gridCol w:w="880"/>
        <w:gridCol w:w="1760"/>
      </w:tblGrid>
      <w:tr w:rsidR="007D1E74" w14:paraId="5660A69E" w14:textId="77777777">
        <w:trPr>
          <w:tblHeader/>
          <w:jc w:val="center"/>
        </w:trPr>
        <w:tc>
          <w:tcPr>
            <w:tcW w:w="469" w:type="pct"/>
            <w:vAlign w:val="center"/>
          </w:tcPr>
          <w:p w14:paraId="162542AB" w14:textId="77777777" w:rsidR="007D1E74" w:rsidRDefault="00A95641">
            <w:pPr>
              <w:jc w:val="center"/>
              <w:rPr>
                <w:rFonts w:cs="Times New Roman"/>
                <w:szCs w:val="21"/>
              </w:rPr>
            </w:pPr>
            <w:r>
              <w:rPr>
                <w:rFonts w:cs="Times New Roman" w:hint="eastAsia"/>
                <w:szCs w:val="21"/>
              </w:rPr>
              <w:t>序号</w:t>
            </w:r>
          </w:p>
        </w:tc>
        <w:tc>
          <w:tcPr>
            <w:tcW w:w="1023" w:type="pct"/>
            <w:vAlign w:val="center"/>
          </w:tcPr>
          <w:p w14:paraId="2E7B46F8" w14:textId="77777777" w:rsidR="007D1E74" w:rsidRDefault="00A95641">
            <w:pPr>
              <w:jc w:val="center"/>
              <w:rPr>
                <w:rFonts w:cs="Times New Roman"/>
                <w:szCs w:val="21"/>
              </w:rPr>
            </w:pPr>
            <w:r>
              <w:rPr>
                <w:rFonts w:cs="Times New Roman"/>
                <w:szCs w:val="21"/>
              </w:rPr>
              <w:t>保护对象</w:t>
            </w:r>
          </w:p>
        </w:tc>
        <w:tc>
          <w:tcPr>
            <w:tcW w:w="471" w:type="pct"/>
            <w:vAlign w:val="center"/>
          </w:tcPr>
          <w:p w14:paraId="4A5E53B3" w14:textId="77777777" w:rsidR="007D1E74" w:rsidRDefault="00A95641">
            <w:pPr>
              <w:jc w:val="center"/>
              <w:rPr>
                <w:rFonts w:cs="Times New Roman"/>
                <w:szCs w:val="21"/>
              </w:rPr>
            </w:pPr>
            <w:r>
              <w:rPr>
                <w:rFonts w:cs="Times New Roman"/>
                <w:szCs w:val="21"/>
              </w:rPr>
              <w:t>方位</w:t>
            </w:r>
          </w:p>
        </w:tc>
        <w:tc>
          <w:tcPr>
            <w:tcW w:w="708" w:type="pct"/>
            <w:vAlign w:val="center"/>
          </w:tcPr>
          <w:p w14:paraId="1FBDD3AE" w14:textId="77777777" w:rsidR="007D1E74" w:rsidRDefault="00A95641">
            <w:pPr>
              <w:jc w:val="center"/>
              <w:rPr>
                <w:rFonts w:cs="Times New Roman"/>
                <w:szCs w:val="21"/>
              </w:rPr>
            </w:pPr>
            <w:r>
              <w:rPr>
                <w:rFonts w:cs="Times New Roman"/>
                <w:szCs w:val="21"/>
              </w:rPr>
              <w:t>距离</w:t>
            </w:r>
            <w:r>
              <w:rPr>
                <w:rFonts w:cs="Times New Roman" w:hint="eastAsia"/>
                <w:szCs w:val="21"/>
              </w:rPr>
              <w:t>（</w:t>
            </w:r>
            <w:r>
              <w:rPr>
                <w:rFonts w:cs="Times New Roman" w:hint="eastAsia"/>
                <w:szCs w:val="21"/>
              </w:rPr>
              <w:t>m</w:t>
            </w:r>
            <w:r>
              <w:rPr>
                <w:rFonts w:cs="Times New Roman" w:hint="eastAsia"/>
                <w:szCs w:val="21"/>
              </w:rPr>
              <w:t>）</w:t>
            </w:r>
          </w:p>
        </w:tc>
        <w:tc>
          <w:tcPr>
            <w:tcW w:w="865" w:type="pct"/>
            <w:vAlign w:val="center"/>
          </w:tcPr>
          <w:p w14:paraId="506E8DAE" w14:textId="77777777" w:rsidR="007D1E74" w:rsidRDefault="00A95641">
            <w:pPr>
              <w:jc w:val="center"/>
              <w:rPr>
                <w:rFonts w:cs="Times New Roman"/>
                <w:szCs w:val="21"/>
              </w:rPr>
            </w:pPr>
            <w:r>
              <w:rPr>
                <w:rFonts w:cs="Times New Roman"/>
                <w:szCs w:val="21"/>
              </w:rPr>
              <w:t>规模</w:t>
            </w:r>
          </w:p>
        </w:tc>
        <w:tc>
          <w:tcPr>
            <w:tcW w:w="488" w:type="pct"/>
            <w:vAlign w:val="center"/>
          </w:tcPr>
          <w:p w14:paraId="3C3E3363" w14:textId="77777777" w:rsidR="007D1E74" w:rsidRDefault="00A95641">
            <w:pPr>
              <w:jc w:val="center"/>
              <w:rPr>
                <w:rFonts w:cs="Times New Roman"/>
                <w:szCs w:val="21"/>
              </w:rPr>
            </w:pPr>
            <w:r>
              <w:rPr>
                <w:rFonts w:cs="Times New Roman"/>
                <w:szCs w:val="21"/>
              </w:rPr>
              <w:t>性质</w:t>
            </w:r>
          </w:p>
        </w:tc>
        <w:tc>
          <w:tcPr>
            <w:tcW w:w="976" w:type="pct"/>
            <w:vAlign w:val="center"/>
          </w:tcPr>
          <w:p w14:paraId="39463B60" w14:textId="77777777" w:rsidR="007D1E74" w:rsidRDefault="00A95641">
            <w:pPr>
              <w:jc w:val="center"/>
              <w:rPr>
                <w:rFonts w:cs="Times New Roman"/>
                <w:szCs w:val="21"/>
              </w:rPr>
            </w:pPr>
            <w:r>
              <w:rPr>
                <w:rFonts w:cs="Times New Roman"/>
                <w:szCs w:val="21"/>
              </w:rPr>
              <w:t>保护级别</w:t>
            </w:r>
          </w:p>
        </w:tc>
      </w:tr>
      <w:tr w:rsidR="007D1E74" w14:paraId="47C74063" w14:textId="77777777">
        <w:trPr>
          <w:tblHeader/>
          <w:jc w:val="center"/>
        </w:trPr>
        <w:tc>
          <w:tcPr>
            <w:tcW w:w="4024" w:type="pct"/>
            <w:gridSpan w:val="6"/>
            <w:vAlign w:val="center"/>
          </w:tcPr>
          <w:p w14:paraId="54E4E5F2" w14:textId="77777777" w:rsidR="007D1E74" w:rsidRDefault="00A95641">
            <w:pPr>
              <w:jc w:val="center"/>
              <w:rPr>
                <w:rFonts w:cs="Times New Roman"/>
                <w:szCs w:val="21"/>
              </w:rPr>
            </w:pPr>
            <w:r>
              <w:t>1#</w:t>
            </w:r>
            <w:r>
              <w:t>阀室至马</w:t>
            </w:r>
            <w:r>
              <w:t>1-11</w:t>
            </w:r>
            <w:r>
              <w:t>脱水井场集输干线</w:t>
            </w:r>
            <w:r>
              <w:t>200m</w:t>
            </w:r>
            <w:r>
              <w:t>范围内</w:t>
            </w:r>
          </w:p>
        </w:tc>
        <w:tc>
          <w:tcPr>
            <w:tcW w:w="976" w:type="pct"/>
            <w:vMerge w:val="restart"/>
            <w:vAlign w:val="center"/>
          </w:tcPr>
          <w:p w14:paraId="6C5659FD" w14:textId="77777777" w:rsidR="007D1E74" w:rsidRDefault="00A95641">
            <w:pPr>
              <w:jc w:val="center"/>
              <w:rPr>
                <w:rFonts w:cs="Times New Roman"/>
                <w:szCs w:val="21"/>
              </w:rPr>
            </w:pPr>
            <w:r>
              <w:rPr>
                <w:rFonts w:cs="Times New Roman" w:hint="eastAsia"/>
                <w:szCs w:val="21"/>
              </w:rPr>
              <w:t>《声环境质量标准》（</w:t>
            </w:r>
            <w:r>
              <w:rPr>
                <w:rFonts w:cs="Times New Roman" w:hint="eastAsia"/>
                <w:szCs w:val="21"/>
              </w:rPr>
              <w:t>GB3096-2008</w:t>
            </w:r>
            <w:r>
              <w:rPr>
                <w:rFonts w:cs="Times New Roman" w:hint="eastAsia"/>
                <w:szCs w:val="21"/>
              </w:rPr>
              <w:t>）</w:t>
            </w:r>
            <w:r>
              <w:rPr>
                <w:rFonts w:cs="Times New Roman" w:hint="eastAsia"/>
                <w:szCs w:val="21"/>
              </w:rPr>
              <w:t>1</w:t>
            </w:r>
            <w:r>
              <w:rPr>
                <w:rFonts w:cs="Times New Roman" w:hint="eastAsia"/>
                <w:szCs w:val="21"/>
              </w:rPr>
              <w:t>类标准</w:t>
            </w:r>
          </w:p>
        </w:tc>
      </w:tr>
      <w:tr w:rsidR="007D1E74" w14:paraId="30209A1E" w14:textId="77777777">
        <w:trPr>
          <w:trHeight w:val="629"/>
          <w:jc w:val="center"/>
        </w:trPr>
        <w:tc>
          <w:tcPr>
            <w:tcW w:w="469" w:type="pct"/>
            <w:vAlign w:val="center"/>
          </w:tcPr>
          <w:p w14:paraId="41FDEB02" w14:textId="77777777" w:rsidR="007D1E74" w:rsidRDefault="00A95641">
            <w:pPr>
              <w:jc w:val="center"/>
              <w:rPr>
                <w:rFonts w:cs="Times New Roman"/>
                <w:szCs w:val="21"/>
              </w:rPr>
            </w:pPr>
            <w:r>
              <w:rPr>
                <w:rFonts w:cs="Times New Roman" w:hint="eastAsia"/>
                <w:szCs w:val="21"/>
              </w:rPr>
              <w:t>1</w:t>
            </w:r>
          </w:p>
        </w:tc>
        <w:tc>
          <w:tcPr>
            <w:tcW w:w="1023" w:type="pct"/>
            <w:vAlign w:val="center"/>
          </w:tcPr>
          <w:p w14:paraId="452D8BC9" w14:textId="77777777" w:rsidR="007D1E74" w:rsidRDefault="00A95641">
            <w:pPr>
              <w:jc w:val="center"/>
            </w:pPr>
            <w:r>
              <w:t>青山坪</w:t>
            </w:r>
          </w:p>
        </w:tc>
        <w:tc>
          <w:tcPr>
            <w:tcW w:w="471" w:type="pct"/>
            <w:vAlign w:val="center"/>
          </w:tcPr>
          <w:p w14:paraId="7F58729C" w14:textId="77777777" w:rsidR="007D1E74" w:rsidRDefault="00A95641">
            <w:pPr>
              <w:jc w:val="center"/>
            </w:pPr>
            <w:r>
              <w:t>左</w:t>
            </w:r>
          </w:p>
        </w:tc>
        <w:tc>
          <w:tcPr>
            <w:tcW w:w="708" w:type="pct"/>
            <w:vAlign w:val="center"/>
          </w:tcPr>
          <w:p w14:paraId="7F31CDA5" w14:textId="77777777" w:rsidR="007D1E74" w:rsidRDefault="00A95641">
            <w:pPr>
              <w:jc w:val="center"/>
            </w:pPr>
            <w:r>
              <w:t>22~90</w:t>
            </w:r>
          </w:p>
        </w:tc>
        <w:tc>
          <w:tcPr>
            <w:tcW w:w="865" w:type="pct"/>
            <w:vAlign w:val="center"/>
          </w:tcPr>
          <w:p w14:paraId="34AB2043" w14:textId="77777777" w:rsidR="007D1E74" w:rsidRDefault="00A95641">
            <w:pPr>
              <w:jc w:val="center"/>
            </w:pPr>
            <w:r>
              <w:t>约</w:t>
            </w:r>
            <w:r>
              <w:t>17</w:t>
            </w:r>
            <w:r>
              <w:t>人</w:t>
            </w:r>
          </w:p>
        </w:tc>
        <w:tc>
          <w:tcPr>
            <w:tcW w:w="488" w:type="pct"/>
            <w:vAlign w:val="center"/>
          </w:tcPr>
          <w:p w14:paraId="240184C8" w14:textId="77777777" w:rsidR="007D1E74" w:rsidRDefault="00A95641">
            <w:pPr>
              <w:jc w:val="center"/>
            </w:pPr>
            <w:r>
              <w:rPr>
                <w:rFonts w:hint="eastAsia"/>
              </w:rPr>
              <w:t>居民</w:t>
            </w:r>
          </w:p>
        </w:tc>
        <w:tc>
          <w:tcPr>
            <w:tcW w:w="976" w:type="pct"/>
            <w:vMerge/>
            <w:vAlign w:val="center"/>
          </w:tcPr>
          <w:p w14:paraId="694FA959" w14:textId="77777777" w:rsidR="007D1E74" w:rsidRDefault="007D1E74">
            <w:pPr>
              <w:jc w:val="center"/>
              <w:rPr>
                <w:rFonts w:cs="Times New Roman"/>
                <w:szCs w:val="21"/>
              </w:rPr>
            </w:pPr>
          </w:p>
        </w:tc>
      </w:tr>
      <w:tr w:rsidR="007D1E74" w14:paraId="710B4228" w14:textId="77777777">
        <w:trPr>
          <w:trHeight w:val="70"/>
          <w:jc w:val="center"/>
        </w:trPr>
        <w:tc>
          <w:tcPr>
            <w:tcW w:w="469" w:type="pct"/>
            <w:vAlign w:val="center"/>
          </w:tcPr>
          <w:p w14:paraId="6DC5421E" w14:textId="77777777" w:rsidR="007D1E74" w:rsidRDefault="00A95641">
            <w:pPr>
              <w:jc w:val="center"/>
              <w:rPr>
                <w:rFonts w:cs="Times New Roman"/>
                <w:szCs w:val="21"/>
              </w:rPr>
            </w:pPr>
            <w:r>
              <w:rPr>
                <w:rFonts w:cs="Times New Roman" w:hint="eastAsia"/>
                <w:szCs w:val="21"/>
              </w:rPr>
              <w:t>2</w:t>
            </w:r>
          </w:p>
        </w:tc>
        <w:tc>
          <w:tcPr>
            <w:tcW w:w="1023" w:type="pct"/>
            <w:vAlign w:val="center"/>
          </w:tcPr>
          <w:p w14:paraId="43867534" w14:textId="77777777" w:rsidR="007D1E74" w:rsidRDefault="00A95641">
            <w:pPr>
              <w:jc w:val="center"/>
              <w:rPr>
                <w:rFonts w:cs="Times New Roman"/>
                <w:szCs w:val="21"/>
              </w:rPr>
            </w:pPr>
            <w:r>
              <w:rPr>
                <w:rFonts w:cs="Times New Roman" w:hint="eastAsia"/>
                <w:sz w:val="24"/>
              </w:rPr>
              <w:t>观音岩</w:t>
            </w:r>
          </w:p>
        </w:tc>
        <w:tc>
          <w:tcPr>
            <w:tcW w:w="471" w:type="pct"/>
            <w:vAlign w:val="center"/>
          </w:tcPr>
          <w:p w14:paraId="184B32EB" w14:textId="77777777" w:rsidR="007D1E74" w:rsidRDefault="00A95641">
            <w:pPr>
              <w:jc w:val="center"/>
              <w:rPr>
                <w:rFonts w:cs="Times New Roman"/>
                <w:szCs w:val="21"/>
              </w:rPr>
            </w:pPr>
            <w:r>
              <w:rPr>
                <w:rFonts w:cs="Times New Roman" w:hint="eastAsia"/>
                <w:szCs w:val="21"/>
              </w:rPr>
              <w:t>右</w:t>
            </w:r>
          </w:p>
        </w:tc>
        <w:tc>
          <w:tcPr>
            <w:tcW w:w="708" w:type="pct"/>
            <w:vAlign w:val="center"/>
          </w:tcPr>
          <w:p w14:paraId="17ED31D9" w14:textId="77777777" w:rsidR="007D1E74" w:rsidRDefault="00A95641">
            <w:pPr>
              <w:jc w:val="center"/>
              <w:rPr>
                <w:rFonts w:cs="Times New Roman"/>
                <w:szCs w:val="21"/>
              </w:rPr>
            </w:pPr>
            <w:r>
              <w:t>34~126</w:t>
            </w:r>
          </w:p>
        </w:tc>
        <w:tc>
          <w:tcPr>
            <w:tcW w:w="865" w:type="pct"/>
            <w:vAlign w:val="center"/>
          </w:tcPr>
          <w:p w14:paraId="019E0875" w14:textId="77777777" w:rsidR="007D1E74" w:rsidRDefault="00A95641">
            <w:pPr>
              <w:jc w:val="center"/>
              <w:rPr>
                <w:rFonts w:cs="Times New Roman"/>
                <w:szCs w:val="21"/>
              </w:rPr>
            </w:pPr>
            <w:r>
              <w:t>约</w:t>
            </w:r>
            <w:r>
              <w:t>28</w:t>
            </w:r>
            <w:r>
              <w:t>人</w:t>
            </w:r>
          </w:p>
        </w:tc>
        <w:tc>
          <w:tcPr>
            <w:tcW w:w="488" w:type="pct"/>
            <w:vAlign w:val="center"/>
          </w:tcPr>
          <w:p w14:paraId="26B733F1" w14:textId="77777777" w:rsidR="007D1E74" w:rsidRDefault="00A95641">
            <w:pPr>
              <w:jc w:val="center"/>
              <w:rPr>
                <w:rFonts w:cs="Times New Roman"/>
                <w:szCs w:val="21"/>
              </w:rPr>
            </w:pPr>
            <w:r>
              <w:rPr>
                <w:rFonts w:cs="Times New Roman" w:hint="eastAsia"/>
                <w:sz w:val="24"/>
              </w:rPr>
              <w:t>居民</w:t>
            </w:r>
          </w:p>
        </w:tc>
        <w:tc>
          <w:tcPr>
            <w:tcW w:w="976" w:type="pct"/>
            <w:vMerge/>
            <w:vAlign w:val="center"/>
          </w:tcPr>
          <w:p w14:paraId="5D506A4F" w14:textId="77777777" w:rsidR="007D1E74" w:rsidRDefault="007D1E74">
            <w:pPr>
              <w:jc w:val="center"/>
              <w:rPr>
                <w:rFonts w:cs="Times New Roman"/>
                <w:szCs w:val="21"/>
              </w:rPr>
            </w:pPr>
          </w:p>
        </w:tc>
      </w:tr>
      <w:tr w:rsidR="007D1E74" w14:paraId="32D54F9A" w14:textId="77777777">
        <w:trPr>
          <w:trHeight w:val="70"/>
          <w:jc w:val="center"/>
        </w:trPr>
        <w:tc>
          <w:tcPr>
            <w:tcW w:w="469" w:type="pct"/>
            <w:vAlign w:val="center"/>
          </w:tcPr>
          <w:p w14:paraId="57F5FECD" w14:textId="77777777" w:rsidR="007D1E74" w:rsidRDefault="00A95641">
            <w:pPr>
              <w:jc w:val="center"/>
              <w:rPr>
                <w:rFonts w:cs="Times New Roman"/>
                <w:szCs w:val="21"/>
              </w:rPr>
            </w:pPr>
            <w:r>
              <w:rPr>
                <w:rFonts w:cs="Times New Roman"/>
                <w:szCs w:val="21"/>
              </w:rPr>
              <w:t>3</w:t>
            </w:r>
          </w:p>
        </w:tc>
        <w:tc>
          <w:tcPr>
            <w:tcW w:w="1023" w:type="pct"/>
            <w:vAlign w:val="center"/>
          </w:tcPr>
          <w:p w14:paraId="133CEB7F" w14:textId="77777777" w:rsidR="007D1E74" w:rsidRDefault="00A95641">
            <w:pPr>
              <w:jc w:val="center"/>
              <w:rPr>
                <w:rFonts w:cs="Times New Roman"/>
                <w:szCs w:val="21"/>
              </w:rPr>
            </w:pPr>
            <w:r>
              <w:t>杨家坪</w:t>
            </w:r>
          </w:p>
        </w:tc>
        <w:tc>
          <w:tcPr>
            <w:tcW w:w="471" w:type="pct"/>
            <w:vAlign w:val="center"/>
          </w:tcPr>
          <w:p w14:paraId="232325A1" w14:textId="77777777" w:rsidR="007D1E74" w:rsidRDefault="00A95641">
            <w:pPr>
              <w:jc w:val="center"/>
              <w:rPr>
                <w:rFonts w:cs="Times New Roman"/>
                <w:szCs w:val="21"/>
              </w:rPr>
            </w:pPr>
            <w:r>
              <w:t>左</w:t>
            </w:r>
          </w:p>
        </w:tc>
        <w:tc>
          <w:tcPr>
            <w:tcW w:w="708" w:type="pct"/>
            <w:vAlign w:val="center"/>
          </w:tcPr>
          <w:p w14:paraId="166757B3" w14:textId="77777777" w:rsidR="007D1E74" w:rsidRDefault="00A95641">
            <w:pPr>
              <w:jc w:val="center"/>
              <w:rPr>
                <w:rFonts w:cs="Times New Roman"/>
                <w:szCs w:val="21"/>
              </w:rPr>
            </w:pPr>
            <w:r>
              <w:t>44~186</w:t>
            </w:r>
          </w:p>
        </w:tc>
        <w:tc>
          <w:tcPr>
            <w:tcW w:w="865" w:type="pct"/>
            <w:vAlign w:val="center"/>
          </w:tcPr>
          <w:p w14:paraId="159C2913" w14:textId="77777777" w:rsidR="007D1E74" w:rsidRDefault="00A95641">
            <w:pPr>
              <w:jc w:val="center"/>
              <w:rPr>
                <w:rFonts w:cs="Times New Roman"/>
                <w:szCs w:val="21"/>
              </w:rPr>
            </w:pPr>
            <w:r>
              <w:t>约</w:t>
            </w:r>
            <w:r>
              <w:rPr>
                <w:rFonts w:hint="eastAsia"/>
              </w:rPr>
              <w:t>105</w:t>
            </w:r>
            <w:r>
              <w:t>人</w:t>
            </w:r>
          </w:p>
        </w:tc>
        <w:tc>
          <w:tcPr>
            <w:tcW w:w="488" w:type="pct"/>
            <w:vAlign w:val="center"/>
          </w:tcPr>
          <w:p w14:paraId="22E0767A" w14:textId="77777777" w:rsidR="007D1E74" w:rsidRDefault="00A95641">
            <w:pPr>
              <w:jc w:val="center"/>
            </w:pPr>
            <w:r>
              <w:rPr>
                <w:rFonts w:cs="Times New Roman" w:hint="eastAsia"/>
                <w:sz w:val="24"/>
              </w:rPr>
              <w:t>居民</w:t>
            </w:r>
          </w:p>
        </w:tc>
        <w:tc>
          <w:tcPr>
            <w:tcW w:w="976" w:type="pct"/>
            <w:vMerge/>
            <w:vAlign w:val="center"/>
          </w:tcPr>
          <w:p w14:paraId="182DDF1E" w14:textId="77777777" w:rsidR="007D1E74" w:rsidRDefault="007D1E74">
            <w:pPr>
              <w:jc w:val="center"/>
              <w:rPr>
                <w:rFonts w:cs="Times New Roman"/>
                <w:szCs w:val="21"/>
              </w:rPr>
            </w:pPr>
          </w:p>
        </w:tc>
      </w:tr>
      <w:tr w:rsidR="007D1E74" w14:paraId="488C830A" w14:textId="77777777">
        <w:trPr>
          <w:trHeight w:val="70"/>
          <w:jc w:val="center"/>
        </w:trPr>
        <w:tc>
          <w:tcPr>
            <w:tcW w:w="469" w:type="pct"/>
            <w:vAlign w:val="center"/>
          </w:tcPr>
          <w:p w14:paraId="3C5B8849" w14:textId="77777777" w:rsidR="007D1E74" w:rsidRDefault="00A95641">
            <w:pPr>
              <w:jc w:val="center"/>
              <w:rPr>
                <w:rFonts w:cs="Times New Roman"/>
                <w:szCs w:val="21"/>
              </w:rPr>
            </w:pPr>
            <w:r>
              <w:rPr>
                <w:rFonts w:cs="Times New Roman"/>
                <w:szCs w:val="21"/>
              </w:rPr>
              <w:t>4</w:t>
            </w:r>
          </w:p>
        </w:tc>
        <w:tc>
          <w:tcPr>
            <w:tcW w:w="1023" w:type="pct"/>
            <w:vAlign w:val="center"/>
          </w:tcPr>
          <w:p w14:paraId="1E881AFC" w14:textId="77777777" w:rsidR="007D1E74" w:rsidRDefault="00A95641">
            <w:pPr>
              <w:jc w:val="center"/>
              <w:rPr>
                <w:rFonts w:cs="Times New Roman"/>
                <w:szCs w:val="21"/>
              </w:rPr>
            </w:pPr>
            <w:r>
              <w:rPr>
                <w:rFonts w:cs="Times New Roman" w:hint="eastAsia"/>
                <w:szCs w:val="21"/>
              </w:rPr>
              <w:t>高桥</w:t>
            </w:r>
          </w:p>
        </w:tc>
        <w:tc>
          <w:tcPr>
            <w:tcW w:w="471" w:type="pct"/>
            <w:vAlign w:val="center"/>
          </w:tcPr>
          <w:p w14:paraId="667FED71" w14:textId="77777777" w:rsidR="007D1E74" w:rsidRDefault="00A95641">
            <w:pPr>
              <w:jc w:val="center"/>
              <w:rPr>
                <w:rFonts w:cs="Times New Roman"/>
                <w:szCs w:val="21"/>
              </w:rPr>
            </w:pPr>
            <w:r>
              <w:rPr>
                <w:rFonts w:cs="Times New Roman" w:hint="eastAsia"/>
                <w:szCs w:val="21"/>
              </w:rPr>
              <w:t>右</w:t>
            </w:r>
          </w:p>
        </w:tc>
        <w:tc>
          <w:tcPr>
            <w:tcW w:w="708" w:type="pct"/>
            <w:vAlign w:val="center"/>
          </w:tcPr>
          <w:p w14:paraId="54C4F538" w14:textId="77777777" w:rsidR="007D1E74" w:rsidRDefault="00A95641">
            <w:pPr>
              <w:jc w:val="center"/>
              <w:rPr>
                <w:rFonts w:cs="Times New Roman"/>
                <w:szCs w:val="21"/>
              </w:rPr>
            </w:pPr>
            <w:r>
              <w:rPr>
                <w:rFonts w:cs="Times New Roman" w:hint="eastAsia"/>
                <w:szCs w:val="21"/>
              </w:rPr>
              <w:t>60~166</w:t>
            </w:r>
          </w:p>
        </w:tc>
        <w:tc>
          <w:tcPr>
            <w:tcW w:w="865" w:type="pct"/>
            <w:vAlign w:val="center"/>
          </w:tcPr>
          <w:p w14:paraId="23005823" w14:textId="77777777" w:rsidR="007D1E74" w:rsidRDefault="00A95641">
            <w:pPr>
              <w:jc w:val="center"/>
            </w:pPr>
            <w:r>
              <w:t>约</w:t>
            </w:r>
            <w:r>
              <w:rPr>
                <w:rFonts w:hint="eastAsia"/>
              </w:rPr>
              <w:t>49</w:t>
            </w:r>
            <w:r>
              <w:t>人</w:t>
            </w:r>
          </w:p>
        </w:tc>
        <w:tc>
          <w:tcPr>
            <w:tcW w:w="488" w:type="pct"/>
            <w:vAlign w:val="center"/>
          </w:tcPr>
          <w:p w14:paraId="5F41F4AE" w14:textId="77777777" w:rsidR="007D1E74" w:rsidRDefault="00A95641">
            <w:pPr>
              <w:jc w:val="center"/>
            </w:pPr>
            <w:r>
              <w:rPr>
                <w:rFonts w:cs="Times New Roman" w:hint="eastAsia"/>
                <w:sz w:val="24"/>
              </w:rPr>
              <w:t>居民</w:t>
            </w:r>
          </w:p>
        </w:tc>
        <w:tc>
          <w:tcPr>
            <w:tcW w:w="976" w:type="pct"/>
            <w:vMerge/>
            <w:vAlign w:val="center"/>
          </w:tcPr>
          <w:p w14:paraId="0054995F" w14:textId="77777777" w:rsidR="007D1E74" w:rsidRDefault="007D1E74">
            <w:pPr>
              <w:jc w:val="center"/>
              <w:rPr>
                <w:rFonts w:cs="Times New Roman"/>
                <w:szCs w:val="21"/>
              </w:rPr>
            </w:pPr>
          </w:p>
        </w:tc>
      </w:tr>
      <w:tr w:rsidR="007D1E74" w14:paraId="56DA485F" w14:textId="77777777">
        <w:trPr>
          <w:trHeight w:val="70"/>
          <w:jc w:val="center"/>
        </w:trPr>
        <w:tc>
          <w:tcPr>
            <w:tcW w:w="469" w:type="pct"/>
            <w:vAlign w:val="center"/>
          </w:tcPr>
          <w:p w14:paraId="518BF2F2" w14:textId="77777777" w:rsidR="007D1E74" w:rsidRDefault="00A95641">
            <w:pPr>
              <w:jc w:val="center"/>
              <w:rPr>
                <w:rFonts w:cs="Times New Roman"/>
                <w:szCs w:val="21"/>
              </w:rPr>
            </w:pPr>
            <w:r>
              <w:rPr>
                <w:rFonts w:cs="Times New Roman"/>
                <w:szCs w:val="21"/>
              </w:rPr>
              <w:t>5</w:t>
            </w:r>
          </w:p>
        </w:tc>
        <w:tc>
          <w:tcPr>
            <w:tcW w:w="1023" w:type="pct"/>
            <w:vAlign w:val="center"/>
          </w:tcPr>
          <w:p w14:paraId="00F40DC0" w14:textId="77777777" w:rsidR="007D1E74" w:rsidRDefault="00A95641">
            <w:pPr>
              <w:jc w:val="center"/>
              <w:rPr>
                <w:rFonts w:cs="Times New Roman"/>
                <w:szCs w:val="21"/>
              </w:rPr>
            </w:pPr>
            <w:r>
              <w:rPr>
                <w:rFonts w:cs="Times New Roman" w:hint="eastAsia"/>
                <w:szCs w:val="21"/>
              </w:rPr>
              <w:t>龙王庙</w:t>
            </w:r>
          </w:p>
        </w:tc>
        <w:tc>
          <w:tcPr>
            <w:tcW w:w="471" w:type="pct"/>
            <w:vAlign w:val="center"/>
          </w:tcPr>
          <w:p w14:paraId="2DC03E71" w14:textId="77777777" w:rsidR="007D1E74" w:rsidRDefault="00A95641">
            <w:pPr>
              <w:jc w:val="center"/>
              <w:rPr>
                <w:rFonts w:cs="Times New Roman"/>
                <w:szCs w:val="21"/>
              </w:rPr>
            </w:pPr>
            <w:r>
              <w:t>左</w:t>
            </w:r>
            <w:r>
              <w:t>/</w:t>
            </w:r>
            <w:r>
              <w:t>右</w:t>
            </w:r>
          </w:p>
        </w:tc>
        <w:tc>
          <w:tcPr>
            <w:tcW w:w="708" w:type="pct"/>
            <w:vAlign w:val="center"/>
          </w:tcPr>
          <w:p w14:paraId="432837AA" w14:textId="77777777" w:rsidR="007D1E74" w:rsidRDefault="00A95641">
            <w:pPr>
              <w:jc w:val="center"/>
              <w:rPr>
                <w:rFonts w:cs="Times New Roman"/>
                <w:szCs w:val="21"/>
              </w:rPr>
            </w:pPr>
            <w:r>
              <w:t>20~157</w:t>
            </w:r>
          </w:p>
        </w:tc>
        <w:tc>
          <w:tcPr>
            <w:tcW w:w="865" w:type="pct"/>
            <w:vAlign w:val="center"/>
          </w:tcPr>
          <w:p w14:paraId="78EC4617" w14:textId="77777777" w:rsidR="007D1E74" w:rsidRDefault="00A95641">
            <w:pPr>
              <w:jc w:val="center"/>
            </w:pPr>
            <w:r>
              <w:t>约</w:t>
            </w:r>
            <w:r>
              <w:rPr>
                <w:rFonts w:hint="eastAsia"/>
              </w:rPr>
              <w:t>56</w:t>
            </w:r>
            <w:r>
              <w:t>人</w:t>
            </w:r>
          </w:p>
        </w:tc>
        <w:tc>
          <w:tcPr>
            <w:tcW w:w="488" w:type="pct"/>
            <w:vAlign w:val="center"/>
          </w:tcPr>
          <w:p w14:paraId="1B49D3E6" w14:textId="77777777" w:rsidR="007D1E74" w:rsidRDefault="00A95641">
            <w:pPr>
              <w:jc w:val="center"/>
            </w:pPr>
            <w:r>
              <w:rPr>
                <w:rFonts w:cs="Times New Roman" w:hint="eastAsia"/>
                <w:sz w:val="24"/>
              </w:rPr>
              <w:t>居民</w:t>
            </w:r>
          </w:p>
        </w:tc>
        <w:tc>
          <w:tcPr>
            <w:tcW w:w="976" w:type="pct"/>
            <w:vMerge/>
            <w:vAlign w:val="center"/>
          </w:tcPr>
          <w:p w14:paraId="7A52D5A0" w14:textId="77777777" w:rsidR="007D1E74" w:rsidRDefault="007D1E74">
            <w:pPr>
              <w:jc w:val="center"/>
              <w:rPr>
                <w:rFonts w:cs="Times New Roman"/>
                <w:szCs w:val="21"/>
              </w:rPr>
            </w:pPr>
          </w:p>
        </w:tc>
      </w:tr>
      <w:tr w:rsidR="007D1E74" w14:paraId="38F15340" w14:textId="77777777">
        <w:trPr>
          <w:trHeight w:val="70"/>
          <w:jc w:val="center"/>
        </w:trPr>
        <w:tc>
          <w:tcPr>
            <w:tcW w:w="469" w:type="pct"/>
            <w:vAlign w:val="center"/>
          </w:tcPr>
          <w:p w14:paraId="0F17380F" w14:textId="77777777" w:rsidR="007D1E74" w:rsidRDefault="00A95641">
            <w:pPr>
              <w:jc w:val="center"/>
              <w:rPr>
                <w:rFonts w:cs="Times New Roman"/>
                <w:szCs w:val="21"/>
              </w:rPr>
            </w:pPr>
            <w:r>
              <w:rPr>
                <w:rFonts w:cs="Times New Roman" w:hint="eastAsia"/>
                <w:szCs w:val="21"/>
              </w:rPr>
              <w:t>6</w:t>
            </w:r>
          </w:p>
        </w:tc>
        <w:tc>
          <w:tcPr>
            <w:tcW w:w="1023" w:type="pct"/>
            <w:vAlign w:val="center"/>
          </w:tcPr>
          <w:p w14:paraId="08CE5F3C" w14:textId="77777777" w:rsidR="007D1E74" w:rsidRDefault="00A95641">
            <w:pPr>
              <w:jc w:val="center"/>
              <w:rPr>
                <w:rFonts w:cs="Times New Roman"/>
                <w:szCs w:val="21"/>
              </w:rPr>
            </w:pPr>
            <w:r>
              <w:t>孙家湾</w:t>
            </w:r>
          </w:p>
        </w:tc>
        <w:tc>
          <w:tcPr>
            <w:tcW w:w="471" w:type="pct"/>
            <w:vAlign w:val="center"/>
          </w:tcPr>
          <w:p w14:paraId="702834B8" w14:textId="77777777" w:rsidR="007D1E74" w:rsidRDefault="00A95641">
            <w:pPr>
              <w:jc w:val="center"/>
              <w:rPr>
                <w:rFonts w:cs="Times New Roman"/>
                <w:szCs w:val="21"/>
              </w:rPr>
            </w:pPr>
            <w:r>
              <w:t>左</w:t>
            </w:r>
            <w:r>
              <w:t>/</w:t>
            </w:r>
            <w:r>
              <w:t>右</w:t>
            </w:r>
          </w:p>
        </w:tc>
        <w:tc>
          <w:tcPr>
            <w:tcW w:w="708" w:type="pct"/>
            <w:vAlign w:val="center"/>
          </w:tcPr>
          <w:p w14:paraId="517B7253" w14:textId="77777777" w:rsidR="007D1E74" w:rsidRDefault="00A95641">
            <w:pPr>
              <w:jc w:val="center"/>
              <w:rPr>
                <w:rFonts w:cs="Times New Roman"/>
                <w:szCs w:val="21"/>
              </w:rPr>
            </w:pPr>
            <w:r>
              <w:t>34~185</w:t>
            </w:r>
          </w:p>
        </w:tc>
        <w:tc>
          <w:tcPr>
            <w:tcW w:w="865" w:type="pct"/>
            <w:vAlign w:val="center"/>
          </w:tcPr>
          <w:p w14:paraId="07DDC12F" w14:textId="77777777" w:rsidR="007D1E74" w:rsidRDefault="00A95641">
            <w:pPr>
              <w:jc w:val="center"/>
            </w:pPr>
            <w:r>
              <w:t>约</w:t>
            </w:r>
            <w:r>
              <w:rPr>
                <w:rFonts w:hint="eastAsia"/>
              </w:rPr>
              <w:t>70</w:t>
            </w:r>
            <w:r>
              <w:t>人</w:t>
            </w:r>
          </w:p>
        </w:tc>
        <w:tc>
          <w:tcPr>
            <w:tcW w:w="488" w:type="pct"/>
            <w:vAlign w:val="center"/>
          </w:tcPr>
          <w:p w14:paraId="6148D22F" w14:textId="77777777" w:rsidR="007D1E74" w:rsidRDefault="00A95641">
            <w:pPr>
              <w:jc w:val="center"/>
            </w:pPr>
            <w:r>
              <w:rPr>
                <w:rFonts w:cs="Times New Roman" w:hint="eastAsia"/>
                <w:sz w:val="24"/>
              </w:rPr>
              <w:t>居民</w:t>
            </w:r>
          </w:p>
        </w:tc>
        <w:tc>
          <w:tcPr>
            <w:tcW w:w="976" w:type="pct"/>
            <w:vMerge/>
            <w:vAlign w:val="center"/>
          </w:tcPr>
          <w:p w14:paraId="41B4320F" w14:textId="77777777" w:rsidR="007D1E74" w:rsidRDefault="007D1E74">
            <w:pPr>
              <w:jc w:val="center"/>
              <w:rPr>
                <w:rFonts w:cs="Times New Roman"/>
                <w:szCs w:val="21"/>
              </w:rPr>
            </w:pPr>
          </w:p>
        </w:tc>
      </w:tr>
      <w:tr w:rsidR="007D1E74" w14:paraId="6E91B8E6" w14:textId="77777777">
        <w:trPr>
          <w:trHeight w:val="70"/>
          <w:jc w:val="center"/>
        </w:trPr>
        <w:tc>
          <w:tcPr>
            <w:tcW w:w="469" w:type="pct"/>
            <w:vAlign w:val="center"/>
          </w:tcPr>
          <w:p w14:paraId="1D138403" w14:textId="77777777" w:rsidR="007D1E74" w:rsidRDefault="00A95641">
            <w:pPr>
              <w:jc w:val="center"/>
              <w:rPr>
                <w:rFonts w:cs="Times New Roman"/>
                <w:szCs w:val="21"/>
              </w:rPr>
            </w:pPr>
            <w:r>
              <w:rPr>
                <w:rFonts w:cs="Times New Roman" w:hint="eastAsia"/>
                <w:szCs w:val="21"/>
              </w:rPr>
              <w:t>7</w:t>
            </w:r>
          </w:p>
        </w:tc>
        <w:tc>
          <w:tcPr>
            <w:tcW w:w="1023" w:type="pct"/>
            <w:vAlign w:val="center"/>
          </w:tcPr>
          <w:p w14:paraId="10BC1EB1" w14:textId="77777777" w:rsidR="007D1E74" w:rsidRDefault="00A95641">
            <w:pPr>
              <w:jc w:val="center"/>
              <w:rPr>
                <w:rFonts w:cs="Times New Roman"/>
                <w:szCs w:val="21"/>
              </w:rPr>
            </w:pPr>
            <w:r>
              <w:t>窄口村</w:t>
            </w:r>
          </w:p>
        </w:tc>
        <w:tc>
          <w:tcPr>
            <w:tcW w:w="471" w:type="pct"/>
            <w:vAlign w:val="center"/>
          </w:tcPr>
          <w:p w14:paraId="1BF2173D" w14:textId="77777777" w:rsidR="007D1E74" w:rsidRDefault="00A95641">
            <w:pPr>
              <w:jc w:val="center"/>
              <w:rPr>
                <w:rFonts w:cs="Times New Roman"/>
                <w:szCs w:val="21"/>
              </w:rPr>
            </w:pPr>
            <w:r>
              <w:t>左</w:t>
            </w:r>
            <w:r>
              <w:t>/</w:t>
            </w:r>
            <w:r>
              <w:t>右</w:t>
            </w:r>
          </w:p>
        </w:tc>
        <w:tc>
          <w:tcPr>
            <w:tcW w:w="708" w:type="pct"/>
            <w:vAlign w:val="center"/>
          </w:tcPr>
          <w:p w14:paraId="317235B6" w14:textId="77777777" w:rsidR="007D1E74" w:rsidRDefault="00A95641">
            <w:pPr>
              <w:jc w:val="center"/>
              <w:rPr>
                <w:rFonts w:cs="Times New Roman"/>
                <w:szCs w:val="21"/>
              </w:rPr>
            </w:pPr>
            <w:r>
              <w:rPr>
                <w:rFonts w:hint="eastAsia"/>
              </w:rPr>
              <w:t>3</w:t>
            </w:r>
            <w:r>
              <w:t>~200</w:t>
            </w:r>
          </w:p>
        </w:tc>
        <w:tc>
          <w:tcPr>
            <w:tcW w:w="865" w:type="pct"/>
            <w:vAlign w:val="center"/>
          </w:tcPr>
          <w:p w14:paraId="05834397" w14:textId="77777777" w:rsidR="007D1E74" w:rsidRDefault="00A95641">
            <w:pPr>
              <w:jc w:val="center"/>
            </w:pPr>
            <w:r>
              <w:t>约</w:t>
            </w:r>
            <w:r>
              <w:rPr>
                <w:rFonts w:hint="eastAsia"/>
              </w:rPr>
              <w:t>196</w:t>
            </w:r>
            <w:r>
              <w:t>人</w:t>
            </w:r>
          </w:p>
        </w:tc>
        <w:tc>
          <w:tcPr>
            <w:tcW w:w="488" w:type="pct"/>
            <w:vAlign w:val="center"/>
          </w:tcPr>
          <w:p w14:paraId="17C49B60" w14:textId="77777777" w:rsidR="007D1E74" w:rsidRDefault="00A95641">
            <w:pPr>
              <w:jc w:val="center"/>
            </w:pPr>
            <w:r>
              <w:rPr>
                <w:rFonts w:cs="Times New Roman" w:hint="eastAsia"/>
                <w:sz w:val="24"/>
              </w:rPr>
              <w:t>居民</w:t>
            </w:r>
          </w:p>
        </w:tc>
        <w:tc>
          <w:tcPr>
            <w:tcW w:w="976" w:type="pct"/>
            <w:vMerge/>
            <w:vAlign w:val="center"/>
          </w:tcPr>
          <w:p w14:paraId="6C896918" w14:textId="77777777" w:rsidR="007D1E74" w:rsidRDefault="007D1E74">
            <w:pPr>
              <w:jc w:val="center"/>
              <w:rPr>
                <w:rFonts w:cs="Times New Roman"/>
                <w:szCs w:val="21"/>
              </w:rPr>
            </w:pPr>
          </w:p>
        </w:tc>
      </w:tr>
      <w:tr w:rsidR="007D1E74" w14:paraId="25C2F1B3" w14:textId="77777777">
        <w:trPr>
          <w:trHeight w:val="70"/>
          <w:jc w:val="center"/>
        </w:trPr>
        <w:tc>
          <w:tcPr>
            <w:tcW w:w="469" w:type="pct"/>
            <w:vAlign w:val="center"/>
          </w:tcPr>
          <w:p w14:paraId="676F4112" w14:textId="77777777" w:rsidR="007D1E74" w:rsidRDefault="00A95641">
            <w:pPr>
              <w:jc w:val="center"/>
              <w:rPr>
                <w:rFonts w:cs="Times New Roman"/>
                <w:szCs w:val="21"/>
              </w:rPr>
            </w:pPr>
            <w:r>
              <w:rPr>
                <w:rFonts w:cs="Times New Roman" w:hint="eastAsia"/>
                <w:szCs w:val="21"/>
              </w:rPr>
              <w:t>8</w:t>
            </w:r>
          </w:p>
        </w:tc>
        <w:tc>
          <w:tcPr>
            <w:tcW w:w="1023" w:type="pct"/>
            <w:vAlign w:val="center"/>
          </w:tcPr>
          <w:p w14:paraId="32203093" w14:textId="77777777" w:rsidR="007D1E74" w:rsidRDefault="00A95641">
            <w:pPr>
              <w:jc w:val="center"/>
              <w:rPr>
                <w:rFonts w:cs="Times New Roman"/>
                <w:szCs w:val="21"/>
              </w:rPr>
            </w:pPr>
            <w:r>
              <w:t>何家坝</w:t>
            </w:r>
          </w:p>
        </w:tc>
        <w:tc>
          <w:tcPr>
            <w:tcW w:w="471" w:type="pct"/>
            <w:vAlign w:val="center"/>
          </w:tcPr>
          <w:p w14:paraId="17F4337F" w14:textId="77777777" w:rsidR="007D1E74" w:rsidRDefault="00A95641">
            <w:pPr>
              <w:jc w:val="center"/>
              <w:rPr>
                <w:rFonts w:cs="Times New Roman"/>
                <w:szCs w:val="21"/>
              </w:rPr>
            </w:pPr>
            <w:r>
              <w:t>左</w:t>
            </w:r>
            <w:r>
              <w:t>/</w:t>
            </w:r>
            <w:r>
              <w:t>右</w:t>
            </w:r>
          </w:p>
        </w:tc>
        <w:tc>
          <w:tcPr>
            <w:tcW w:w="708" w:type="pct"/>
            <w:vAlign w:val="center"/>
          </w:tcPr>
          <w:p w14:paraId="0E685C8A" w14:textId="77777777" w:rsidR="007D1E74" w:rsidRDefault="00A95641">
            <w:pPr>
              <w:jc w:val="center"/>
              <w:rPr>
                <w:rFonts w:cs="Times New Roman"/>
                <w:szCs w:val="21"/>
              </w:rPr>
            </w:pPr>
            <w:r>
              <w:t>8~200</w:t>
            </w:r>
          </w:p>
        </w:tc>
        <w:tc>
          <w:tcPr>
            <w:tcW w:w="865" w:type="pct"/>
            <w:vAlign w:val="center"/>
          </w:tcPr>
          <w:p w14:paraId="54B2E5F6" w14:textId="77777777" w:rsidR="007D1E74" w:rsidRDefault="00A95641">
            <w:pPr>
              <w:jc w:val="center"/>
            </w:pPr>
            <w:r>
              <w:t>约</w:t>
            </w:r>
            <w:r>
              <w:rPr>
                <w:rFonts w:hint="eastAsia"/>
              </w:rPr>
              <w:t>160</w:t>
            </w:r>
            <w:r>
              <w:t>人</w:t>
            </w:r>
          </w:p>
        </w:tc>
        <w:tc>
          <w:tcPr>
            <w:tcW w:w="488" w:type="pct"/>
            <w:vAlign w:val="center"/>
          </w:tcPr>
          <w:p w14:paraId="6E2CE14F" w14:textId="77777777" w:rsidR="007D1E74" w:rsidRDefault="00A95641">
            <w:pPr>
              <w:jc w:val="center"/>
            </w:pPr>
            <w:r>
              <w:rPr>
                <w:rFonts w:cs="Times New Roman" w:hint="eastAsia"/>
                <w:sz w:val="24"/>
              </w:rPr>
              <w:t>居民</w:t>
            </w:r>
          </w:p>
        </w:tc>
        <w:tc>
          <w:tcPr>
            <w:tcW w:w="976" w:type="pct"/>
            <w:vMerge/>
            <w:vAlign w:val="center"/>
          </w:tcPr>
          <w:p w14:paraId="4ACC96D3" w14:textId="77777777" w:rsidR="007D1E74" w:rsidRDefault="007D1E74">
            <w:pPr>
              <w:jc w:val="center"/>
              <w:rPr>
                <w:rFonts w:cs="Times New Roman"/>
                <w:szCs w:val="21"/>
              </w:rPr>
            </w:pPr>
          </w:p>
        </w:tc>
      </w:tr>
      <w:tr w:rsidR="007D1E74" w14:paraId="0A39868E" w14:textId="77777777">
        <w:trPr>
          <w:trHeight w:val="70"/>
          <w:jc w:val="center"/>
        </w:trPr>
        <w:tc>
          <w:tcPr>
            <w:tcW w:w="469" w:type="pct"/>
            <w:vAlign w:val="center"/>
          </w:tcPr>
          <w:p w14:paraId="42BF19B9" w14:textId="77777777" w:rsidR="007D1E74" w:rsidRDefault="00A95641">
            <w:pPr>
              <w:jc w:val="center"/>
              <w:rPr>
                <w:rFonts w:cs="Times New Roman"/>
                <w:szCs w:val="21"/>
              </w:rPr>
            </w:pPr>
            <w:r>
              <w:rPr>
                <w:rFonts w:cs="Times New Roman" w:hint="eastAsia"/>
                <w:szCs w:val="21"/>
              </w:rPr>
              <w:t>9</w:t>
            </w:r>
          </w:p>
        </w:tc>
        <w:tc>
          <w:tcPr>
            <w:tcW w:w="1023" w:type="pct"/>
            <w:vAlign w:val="center"/>
          </w:tcPr>
          <w:p w14:paraId="384AA2CD" w14:textId="77777777" w:rsidR="007D1E74" w:rsidRDefault="00A95641">
            <w:pPr>
              <w:jc w:val="center"/>
              <w:rPr>
                <w:rFonts w:cs="Times New Roman"/>
                <w:szCs w:val="21"/>
              </w:rPr>
            </w:pPr>
            <w:r>
              <w:t>建营坝</w:t>
            </w:r>
          </w:p>
        </w:tc>
        <w:tc>
          <w:tcPr>
            <w:tcW w:w="471" w:type="pct"/>
            <w:vAlign w:val="center"/>
          </w:tcPr>
          <w:p w14:paraId="22546F16" w14:textId="77777777" w:rsidR="007D1E74" w:rsidRDefault="00A95641">
            <w:pPr>
              <w:jc w:val="center"/>
              <w:rPr>
                <w:rFonts w:cs="Times New Roman"/>
                <w:szCs w:val="21"/>
              </w:rPr>
            </w:pPr>
            <w:r>
              <w:t>左</w:t>
            </w:r>
            <w:r>
              <w:t>/</w:t>
            </w:r>
            <w:r>
              <w:t>右</w:t>
            </w:r>
          </w:p>
        </w:tc>
        <w:tc>
          <w:tcPr>
            <w:tcW w:w="708" w:type="pct"/>
            <w:vAlign w:val="center"/>
          </w:tcPr>
          <w:p w14:paraId="1C3665F4" w14:textId="77777777" w:rsidR="007D1E74" w:rsidRDefault="00A95641">
            <w:pPr>
              <w:jc w:val="center"/>
              <w:rPr>
                <w:rFonts w:cs="Times New Roman"/>
                <w:szCs w:val="21"/>
              </w:rPr>
            </w:pPr>
            <w:r>
              <w:t>15~200</w:t>
            </w:r>
          </w:p>
        </w:tc>
        <w:tc>
          <w:tcPr>
            <w:tcW w:w="865" w:type="pct"/>
            <w:vAlign w:val="center"/>
          </w:tcPr>
          <w:p w14:paraId="6DF1F5A3" w14:textId="77777777" w:rsidR="007D1E74" w:rsidRDefault="00A95641">
            <w:pPr>
              <w:jc w:val="center"/>
            </w:pPr>
            <w:r>
              <w:t>约</w:t>
            </w:r>
            <w:r>
              <w:rPr>
                <w:rFonts w:hint="eastAsia"/>
              </w:rPr>
              <w:t>140</w:t>
            </w:r>
            <w:r>
              <w:t>人</w:t>
            </w:r>
          </w:p>
        </w:tc>
        <w:tc>
          <w:tcPr>
            <w:tcW w:w="488" w:type="pct"/>
            <w:vAlign w:val="center"/>
          </w:tcPr>
          <w:p w14:paraId="766970A9" w14:textId="77777777" w:rsidR="007D1E74" w:rsidRDefault="00A95641">
            <w:pPr>
              <w:jc w:val="center"/>
            </w:pPr>
            <w:r>
              <w:rPr>
                <w:rFonts w:cs="Times New Roman" w:hint="eastAsia"/>
                <w:sz w:val="24"/>
              </w:rPr>
              <w:t>居民</w:t>
            </w:r>
          </w:p>
        </w:tc>
        <w:tc>
          <w:tcPr>
            <w:tcW w:w="976" w:type="pct"/>
            <w:vMerge/>
            <w:vAlign w:val="center"/>
          </w:tcPr>
          <w:p w14:paraId="46140CBD" w14:textId="77777777" w:rsidR="007D1E74" w:rsidRDefault="007D1E74">
            <w:pPr>
              <w:jc w:val="center"/>
              <w:rPr>
                <w:rFonts w:cs="Times New Roman"/>
                <w:szCs w:val="21"/>
              </w:rPr>
            </w:pPr>
          </w:p>
        </w:tc>
      </w:tr>
      <w:tr w:rsidR="007D1E74" w14:paraId="27B0C0D4" w14:textId="77777777">
        <w:trPr>
          <w:trHeight w:val="70"/>
          <w:jc w:val="center"/>
        </w:trPr>
        <w:tc>
          <w:tcPr>
            <w:tcW w:w="4024" w:type="pct"/>
            <w:gridSpan w:val="6"/>
            <w:vAlign w:val="center"/>
          </w:tcPr>
          <w:p w14:paraId="5BEBAB88" w14:textId="77777777" w:rsidR="007D1E74" w:rsidRDefault="00A95641">
            <w:pPr>
              <w:jc w:val="center"/>
            </w:pPr>
            <w:r>
              <w:t>马</w:t>
            </w:r>
            <w:r>
              <w:t>1-10H</w:t>
            </w:r>
            <w:r>
              <w:t>采气井场至马</w:t>
            </w:r>
            <w:r>
              <w:t>1-1</w:t>
            </w:r>
            <w:r>
              <w:t>集气支线</w:t>
            </w:r>
            <w:r>
              <w:t>200m</w:t>
            </w:r>
            <w:r>
              <w:t>范围内</w:t>
            </w:r>
          </w:p>
        </w:tc>
        <w:tc>
          <w:tcPr>
            <w:tcW w:w="976" w:type="pct"/>
            <w:vMerge/>
            <w:vAlign w:val="center"/>
          </w:tcPr>
          <w:p w14:paraId="7B207837" w14:textId="77777777" w:rsidR="007D1E74" w:rsidRDefault="007D1E74">
            <w:pPr>
              <w:jc w:val="center"/>
              <w:rPr>
                <w:rFonts w:cs="Times New Roman"/>
                <w:szCs w:val="21"/>
              </w:rPr>
            </w:pPr>
          </w:p>
        </w:tc>
      </w:tr>
      <w:tr w:rsidR="007D1E74" w14:paraId="71472C82" w14:textId="77777777">
        <w:trPr>
          <w:trHeight w:val="70"/>
          <w:jc w:val="center"/>
        </w:trPr>
        <w:tc>
          <w:tcPr>
            <w:tcW w:w="469" w:type="pct"/>
            <w:vAlign w:val="center"/>
          </w:tcPr>
          <w:p w14:paraId="42E25FC1" w14:textId="77777777" w:rsidR="007D1E74" w:rsidRDefault="00A95641">
            <w:pPr>
              <w:jc w:val="center"/>
              <w:rPr>
                <w:rFonts w:cs="Times New Roman"/>
                <w:szCs w:val="21"/>
              </w:rPr>
            </w:pPr>
            <w:r>
              <w:rPr>
                <w:rFonts w:cs="Times New Roman" w:hint="eastAsia"/>
                <w:szCs w:val="21"/>
              </w:rPr>
              <w:t>1</w:t>
            </w:r>
          </w:p>
        </w:tc>
        <w:tc>
          <w:tcPr>
            <w:tcW w:w="1023" w:type="pct"/>
            <w:vAlign w:val="center"/>
          </w:tcPr>
          <w:p w14:paraId="018047AF" w14:textId="77777777" w:rsidR="007D1E74" w:rsidRDefault="00A95641">
            <w:pPr>
              <w:jc w:val="center"/>
              <w:rPr>
                <w:rFonts w:cs="Times New Roman"/>
                <w:szCs w:val="21"/>
              </w:rPr>
            </w:pPr>
            <w:r>
              <w:t>红岩村</w:t>
            </w:r>
          </w:p>
        </w:tc>
        <w:tc>
          <w:tcPr>
            <w:tcW w:w="471" w:type="pct"/>
            <w:vAlign w:val="center"/>
          </w:tcPr>
          <w:p w14:paraId="314AAC83" w14:textId="77777777" w:rsidR="007D1E74" w:rsidRDefault="00A95641">
            <w:pPr>
              <w:jc w:val="center"/>
              <w:rPr>
                <w:rFonts w:cs="Times New Roman"/>
                <w:szCs w:val="21"/>
              </w:rPr>
            </w:pPr>
            <w:r>
              <w:t>左</w:t>
            </w:r>
            <w:r>
              <w:t>/</w:t>
            </w:r>
            <w:r>
              <w:t>右</w:t>
            </w:r>
          </w:p>
        </w:tc>
        <w:tc>
          <w:tcPr>
            <w:tcW w:w="708" w:type="pct"/>
            <w:vAlign w:val="center"/>
          </w:tcPr>
          <w:p w14:paraId="18C8F051" w14:textId="77777777" w:rsidR="007D1E74" w:rsidRDefault="00A95641">
            <w:pPr>
              <w:jc w:val="center"/>
              <w:rPr>
                <w:rFonts w:cs="Times New Roman"/>
                <w:szCs w:val="21"/>
              </w:rPr>
            </w:pPr>
            <w:r>
              <w:t>1</w:t>
            </w:r>
            <w:r>
              <w:rPr>
                <w:rFonts w:hint="eastAsia"/>
              </w:rPr>
              <w:t>0~190</w:t>
            </w:r>
          </w:p>
        </w:tc>
        <w:tc>
          <w:tcPr>
            <w:tcW w:w="865" w:type="pct"/>
            <w:vAlign w:val="center"/>
          </w:tcPr>
          <w:p w14:paraId="6FB8006B" w14:textId="77777777" w:rsidR="007D1E74" w:rsidRDefault="00A95641">
            <w:pPr>
              <w:jc w:val="center"/>
            </w:pPr>
            <w:r>
              <w:t>约</w:t>
            </w:r>
            <w:r>
              <w:rPr>
                <w:rFonts w:hint="eastAsia"/>
              </w:rPr>
              <w:t>42</w:t>
            </w:r>
            <w:r>
              <w:t>人</w:t>
            </w:r>
          </w:p>
        </w:tc>
        <w:tc>
          <w:tcPr>
            <w:tcW w:w="488" w:type="pct"/>
            <w:vAlign w:val="center"/>
          </w:tcPr>
          <w:p w14:paraId="00F4F8C8" w14:textId="77777777" w:rsidR="007D1E74" w:rsidRDefault="00A95641">
            <w:pPr>
              <w:jc w:val="center"/>
            </w:pPr>
            <w:r>
              <w:rPr>
                <w:rFonts w:cs="Times New Roman" w:hint="eastAsia"/>
                <w:sz w:val="24"/>
              </w:rPr>
              <w:t>居民</w:t>
            </w:r>
          </w:p>
        </w:tc>
        <w:tc>
          <w:tcPr>
            <w:tcW w:w="976" w:type="pct"/>
            <w:vMerge/>
            <w:vAlign w:val="center"/>
          </w:tcPr>
          <w:p w14:paraId="50F8BBBD" w14:textId="77777777" w:rsidR="007D1E74" w:rsidRDefault="007D1E74">
            <w:pPr>
              <w:jc w:val="center"/>
              <w:rPr>
                <w:rFonts w:cs="Times New Roman"/>
                <w:szCs w:val="21"/>
              </w:rPr>
            </w:pPr>
          </w:p>
        </w:tc>
      </w:tr>
      <w:tr w:rsidR="007D1E74" w14:paraId="275EAD94" w14:textId="77777777">
        <w:trPr>
          <w:trHeight w:val="70"/>
          <w:jc w:val="center"/>
        </w:trPr>
        <w:tc>
          <w:tcPr>
            <w:tcW w:w="469" w:type="pct"/>
            <w:vAlign w:val="center"/>
          </w:tcPr>
          <w:p w14:paraId="52835D47" w14:textId="77777777" w:rsidR="007D1E74" w:rsidRDefault="00A95641">
            <w:pPr>
              <w:jc w:val="center"/>
              <w:rPr>
                <w:rFonts w:cs="Times New Roman"/>
                <w:szCs w:val="21"/>
              </w:rPr>
            </w:pPr>
            <w:r>
              <w:rPr>
                <w:rFonts w:cs="Times New Roman" w:hint="eastAsia"/>
                <w:szCs w:val="21"/>
              </w:rPr>
              <w:t>2</w:t>
            </w:r>
          </w:p>
        </w:tc>
        <w:tc>
          <w:tcPr>
            <w:tcW w:w="1023" w:type="pct"/>
            <w:vAlign w:val="center"/>
          </w:tcPr>
          <w:p w14:paraId="149E55EC" w14:textId="77777777" w:rsidR="007D1E74" w:rsidRDefault="00A95641">
            <w:pPr>
              <w:jc w:val="center"/>
              <w:rPr>
                <w:rFonts w:cs="Times New Roman"/>
                <w:szCs w:val="21"/>
              </w:rPr>
            </w:pPr>
            <w:r>
              <w:t>风岭坡</w:t>
            </w:r>
          </w:p>
        </w:tc>
        <w:tc>
          <w:tcPr>
            <w:tcW w:w="471" w:type="pct"/>
            <w:vAlign w:val="center"/>
          </w:tcPr>
          <w:p w14:paraId="1952EC25" w14:textId="77777777" w:rsidR="007D1E74" w:rsidRDefault="00A95641">
            <w:pPr>
              <w:jc w:val="center"/>
              <w:rPr>
                <w:rFonts w:cs="Times New Roman"/>
                <w:szCs w:val="21"/>
              </w:rPr>
            </w:pPr>
            <w:r>
              <w:rPr>
                <w:rFonts w:cs="Times New Roman" w:hint="eastAsia"/>
                <w:szCs w:val="21"/>
              </w:rPr>
              <w:t>右</w:t>
            </w:r>
          </w:p>
        </w:tc>
        <w:tc>
          <w:tcPr>
            <w:tcW w:w="708" w:type="pct"/>
            <w:vAlign w:val="center"/>
          </w:tcPr>
          <w:p w14:paraId="1D39FDC4" w14:textId="77777777" w:rsidR="007D1E74" w:rsidRDefault="00A95641">
            <w:pPr>
              <w:jc w:val="center"/>
              <w:rPr>
                <w:rFonts w:cs="Times New Roman"/>
                <w:szCs w:val="21"/>
              </w:rPr>
            </w:pPr>
            <w:r>
              <w:rPr>
                <w:rFonts w:cs="Times New Roman" w:hint="eastAsia"/>
                <w:szCs w:val="21"/>
              </w:rPr>
              <w:t>115~194</w:t>
            </w:r>
          </w:p>
        </w:tc>
        <w:tc>
          <w:tcPr>
            <w:tcW w:w="865" w:type="pct"/>
            <w:vAlign w:val="center"/>
          </w:tcPr>
          <w:p w14:paraId="54C91621" w14:textId="77777777" w:rsidR="007D1E74" w:rsidRDefault="00A95641">
            <w:pPr>
              <w:jc w:val="center"/>
            </w:pPr>
            <w:r>
              <w:t>约</w:t>
            </w:r>
            <w:r>
              <w:rPr>
                <w:rFonts w:hint="eastAsia"/>
              </w:rPr>
              <w:t>14</w:t>
            </w:r>
            <w:r>
              <w:t>人</w:t>
            </w:r>
          </w:p>
        </w:tc>
        <w:tc>
          <w:tcPr>
            <w:tcW w:w="488" w:type="pct"/>
            <w:vAlign w:val="center"/>
          </w:tcPr>
          <w:p w14:paraId="4162C63B" w14:textId="77777777" w:rsidR="007D1E74" w:rsidRDefault="00A95641">
            <w:pPr>
              <w:jc w:val="center"/>
            </w:pPr>
            <w:r>
              <w:rPr>
                <w:rFonts w:cs="Times New Roman" w:hint="eastAsia"/>
                <w:sz w:val="24"/>
              </w:rPr>
              <w:t>居民</w:t>
            </w:r>
          </w:p>
        </w:tc>
        <w:tc>
          <w:tcPr>
            <w:tcW w:w="976" w:type="pct"/>
            <w:vMerge/>
            <w:vAlign w:val="center"/>
          </w:tcPr>
          <w:p w14:paraId="055BA1E6" w14:textId="77777777" w:rsidR="007D1E74" w:rsidRDefault="007D1E74">
            <w:pPr>
              <w:jc w:val="center"/>
              <w:rPr>
                <w:rFonts w:cs="Times New Roman"/>
                <w:szCs w:val="21"/>
              </w:rPr>
            </w:pPr>
          </w:p>
        </w:tc>
      </w:tr>
      <w:tr w:rsidR="007D1E74" w14:paraId="60F3F2D6" w14:textId="77777777">
        <w:trPr>
          <w:trHeight w:val="70"/>
          <w:jc w:val="center"/>
        </w:trPr>
        <w:tc>
          <w:tcPr>
            <w:tcW w:w="4024" w:type="pct"/>
            <w:gridSpan w:val="6"/>
            <w:vAlign w:val="center"/>
          </w:tcPr>
          <w:p w14:paraId="7635C301" w14:textId="77777777" w:rsidR="007D1E74" w:rsidRDefault="00A95641">
            <w:pPr>
              <w:jc w:val="center"/>
            </w:pPr>
            <w:r>
              <w:t>马</w:t>
            </w:r>
            <w:r>
              <w:t>1-13H</w:t>
            </w:r>
            <w:r>
              <w:t>采气井场至干线集气支线</w:t>
            </w:r>
            <w:r>
              <w:t> 200m</w:t>
            </w:r>
            <w:r>
              <w:t>范围内</w:t>
            </w:r>
          </w:p>
        </w:tc>
        <w:tc>
          <w:tcPr>
            <w:tcW w:w="976" w:type="pct"/>
            <w:vMerge/>
            <w:vAlign w:val="center"/>
          </w:tcPr>
          <w:p w14:paraId="0786FF11" w14:textId="77777777" w:rsidR="007D1E74" w:rsidRDefault="007D1E74">
            <w:pPr>
              <w:jc w:val="center"/>
              <w:rPr>
                <w:rFonts w:cs="Times New Roman"/>
                <w:szCs w:val="21"/>
              </w:rPr>
            </w:pPr>
          </w:p>
        </w:tc>
      </w:tr>
      <w:tr w:rsidR="007D1E74" w14:paraId="421A1BC8" w14:textId="77777777">
        <w:trPr>
          <w:trHeight w:val="70"/>
          <w:jc w:val="center"/>
        </w:trPr>
        <w:tc>
          <w:tcPr>
            <w:tcW w:w="469" w:type="pct"/>
            <w:vAlign w:val="center"/>
          </w:tcPr>
          <w:p w14:paraId="09B7D669" w14:textId="77777777" w:rsidR="007D1E74" w:rsidRDefault="00A95641">
            <w:pPr>
              <w:jc w:val="center"/>
              <w:rPr>
                <w:rFonts w:cs="Times New Roman"/>
                <w:szCs w:val="21"/>
              </w:rPr>
            </w:pPr>
            <w:r>
              <w:rPr>
                <w:rFonts w:cs="Times New Roman" w:hint="eastAsia"/>
                <w:szCs w:val="21"/>
              </w:rPr>
              <w:t>1</w:t>
            </w:r>
          </w:p>
        </w:tc>
        <w:tc>
          <w:tcPr>
            <w:tcW w:w="1023" w:type="pct"/>
            <w:vAlign w:val="center"/>
          </w:tcPr>
          <w:p w14:paraId="6CA92560" w14:textId="77777777" w:rsidR="007D1E74" w:rsidRDefault="00A95641">
            <w:pPr>
              <w:jc w:val="center"/>
              <w:rPr>
                <w:rFonts w:cs="Times New Roman"/>
                <w:szCs w:val="21"/>
              </w:rPr>
            </w:pPr>
            <w:r>
              <w:t>桔子坝</w:t>
            </w:r>
          </w:p>
        </w:tc>
        <w:tc>
          <w:tcPr>
            <w:tcW w:w="471" w:type="pct"/>
            <w:vAlign w:val="center"/>
          </w:tcPr>
          <w:p w14:paraId="300BCCA9" w14:textId="77777777" w:rsidR="007D1E74" w:rsidRDefault="00A95641">
            <w:pPr>
              <w:jc w:val="center"/>
              <w:rPr>
                <w:rFonts w:cs="Times New Roman"/>
                <w:szCs w:val="21"/>
              </w:rPr>
            </w:pPr>
            <w:r>
              <w:rPr>
                <w:rFonts w:cs="Times New Roman" w:hint="eastAsia"/>
                <w:szCs w:val="21"/>
              </w:rPr>
              <w:t>左</w:t>
            </w:r>
          </w:p>
        </w:tc>
        <w:tc>
          <w:tcPr>
            <w:tcW w:w="708" w:type="pct"/>
            <w:vAlign w:val="center"/>
          </w:tcPr>
          <w:p w14:paraId="4FB741BD" w14:textId="77777777" w:rsidR="007D1E74" w:rsidRDefault="00A95641">
            <w:pPr>
              <w:jc w:val="center"/>
              <w:rPr>
                <w:rFonts w:cs="Times New Roman"/>
                <w:szCs w:val="21"/>
              </w:rPr>
            </w:pPr>
            <w:r>
              <w:t>112~169</w:t>
            </w:r>
          </w:p>
        </w:tc>
        <w:tc>
          <w:tcPr>
            <w:tcW w:w="865" w:type="pct"/>
            <w:vAlign w:val="center"/>
          </w:tcPr>
          <w:p w14:paraId="4461E167" w14:textId="77777777" w:rsidR="007D1E74" w:rsidRDefault="00A95641">
            <w:pPr>
              <w:jc w:val="center"/>
            </w:pPr>
            <w:r>
              <w:t>约</w:t>
            </w:r>
            <w:r>
              <w:rPr>
                <w:rFonts w:hint="eastAsia"/>
              </w:rPr>
              <w:t>10</w:t>
            </w:r>
            <w:r>
              <w:t>人</w:t>
            </w:r>
          </w:p>
        </w:tc>
        <w:tc>
          <w:tcPr>
            <w:tcW w:w="488" w:type="pct"/>
            <w:vAlign w:val="center"/>
          </w:tcPr>
          <w:p w14:paraId="7A10FBEA" w14:textId="77777777" w:rsidR="007D1E74" w:rsidRDefault="00A95641">
            <w:pPr>
              <w:jc w:val="center"/>
            </w:pPr>
            <w:r>
              <w:rPr>
                <w:rFonts w:cs="Times New Roman" w:hint="eastAsia"/>
                <w:sz w:val="24"/>
              </w:rPr>
              <w:t>居民</w:t>
            </w:r>
          </w:p>
        </w:tc>
        <w:tc>
          <w:tcPr>
            <w:tcW w:w="976" w:type="pct"/>
            <w:vMerge/>
            <w:vAlign w:val="center"/>
          </w:tcPr>
          <w:p w14:paraId="789D357E" w14:textId="77777777" w:rsidR="007D1E74" w:rsidRDefault="007D1E74">
            <w:pPr>
              <w:jc w:val="center"/>
              <w:rPr>
                <w:rFonts w:cs="Times New Roman"/>
                <w:szCs w:val="21"/>
              </w:rPr>
            </w:pPr>
          </w:p>
        </w:tc>
      </w:tr>
      <w:tr w:rsidR="007D1E74" w14:paraId="243423B0" w14:textId="77777777">
        <w:trPr>
          <w:trHeight w:val="70"/>
          <w:jc w:val="center"/>
        </w:trPr>
        <w:tc>
          <w:tcPr>
            <w:tcW w:w="469" w:type="pct"/>
            <w:vAlign w:val="center"/>
          </w:tcPr>
          <w:p w14:paraId="7EA8AEFB" w14:textId="77777777" w:rsidR="007D1E74" w:rsidRDefault="00A95641">
            <w:pPr>
              <w:jc w:val="center"/>
              <w:rPr>
                <w:rFonts w:cs="Times New Roman"/>
                <w:szCs w:val="21"/>
              </w:rPr>
            </w:pPr>
            <w:r>
              <w:rPr>
                <w:rFonts w:cs="Times New Roman" w:hint="eastAsia"/>
                <w:szCs w:val="21"/>
              </w:rPr>
              <w:t>2</w:t>
            </w:r>
          </w:p>
        </w:tc>
        <w:tc>
          <w:tcPr>
            <w:tcW w:w="1023" w:type="pct"/>
            <w:vAlign w:val="center"/>
          </w:tcPr>
          <w:p w14:paraId="284DBF88" w14:textId="77777777" w:rsidR="007D1E74" w:rsidRDefault="00A95641">
            <w:pPr>
              <w:jc w:val="center"/>
              <w:rPr>
                <w:rFonts w:cs="Times New Roman"/>
                <w:szCs w:val="21"/>
              </w:rPr>
            </w:pPr>
            <w:r>
              <w:t>矮子坪</w:t>
            </w:r>
          </w:p>
        </w:tc>
        <w:tc>
          <w:tcPr>
            <w:tcW w:w="471" w:type="pct"/>
            <w:vAlign w:val="center"/>
          </w:tcPr>
          <w:p w14:paraId="49B9910F" w14:textId="77777777" w:rsidR="007D1E74" w:rsidRDefault="00A95641">
            <w:pPr>
              <w:jc w:val="center"/>
              <w:rPr>
                <w:rFonts w:cs="Times New Roman"/>
                <w:szCs w:val="21"/>
              </w:rPr>
            </w:pPr>
            <w:r>
              <w:rPr>
                <w:rFonts w:cs="Times New Roman" w:hint="eastAsia"/>
                <w:szCs w:val="21"/>
              </w:rPr>
              <w:t>左</w:t>
            </w:r>
          </w:p>
        </w:tc>
        <w:tc>
          <w:tcPr>
            <w:tcW w:w="708" w:type="pct"/>
            <w:vAlign w:val="center"/>
          </w:tcPr>
          <w:p w14:paraId="6EFEBF51" w14:textId="77777777" w:rsidR="007D1E74" w:rsidRDefault="00A95641">
            <w:pPr>
              <w:jc w:val="center"/>
              <w:rPr>
                <w:rFonts w:cs="Times New Roman"/>
                <w:szCs w:val="21"/>
              </w:rPr>
            </w:pPr>
            <w:r>
              <w:t>28~83</w:t>
            </w:r>
          </w:p>
        </w:tc>
        <w:tc>
          <w:tcPr>
            <w:tcW w:w="865" w:type="pct"/>
            <w:vAlign w:val="center"/>
          </w:tcPr>
          <w:p w14:paraId="3DFE8295" w14:textId="77777777" w:rsidR="007D1E74" w:rsidRDefault="00A95641">
            <w:pPr>
              <w:jc w:val="center"/>
            </w:pPr>
            <w:r>
              <w:t>约</w:t>
            </w:r>
            <w:r>
              <w:rPr>
                <w:rFonts w:hint="eastAsia"/>
              </w:rPr>
              <w:t>28</w:t>
            </w:r>
            <w:r>
              <w:t>人</w:t>
            </w:r>
          </w:p>
        </w:tc>
        <w:tc>
          <w:tcPr>
            <w:tcW w:w="488" w:type="pct"/>
            <w:vAlign w:val="center"/>
          </w:tcPr>
          <w:p w14:paraId="67E46737" w14:textId="77777777" w:rsidR="007D1E74" w:rsidRDefault="00A95641">
            <w:pPr>
              <w:jc w:val="center"/>
            </w:pPr>
            <w:r>
              <w:rPr>
                <w:rFonts w:cs="Times New Roman" w:hint="eastAsia"/>
                <w:sz w:val="24"/>
              </w:rPr>
              <w:t>居民</w:t>
            </w:r>
          </w:p>
        </w:tc>
        <w:tc>
          <w:tcPr>
            <w:tcW w:w="976" w:type="pct"/>
            <w:vMerge/>
            <w:vAlign w:val="center"/>
          </w:tcPr>
          <w:p w14:paraId="4058A80F" w14:textId="77777777" w:rsidR="007D1E74" w:rsidRDefault="007D1E74">
            <w:pPr>
              <w:jc w:val="center"/>
              <w:rPr>
                <w:rFonts w:cs="Times New Roman"/>
                <w:szCs w:val="21"/>
              </w:rPr>
            </w:pPr>
          </w:p>
        </w:tc>
      </w:tr>
      <w:tr w:rsidR="007D1E74" w14:paraId="0BA72067" w14:textId="77777777">
        <w:trPr>
          <w:trHeight w:val="70"/>
          <w:jc w:val="center"/>
        </w:trPr>
        <w:tc>
          <w:tcPr>
            <w:tcW w:w="469" w:type="pct"/>
            <w:vAlign w:val="center"/>
          </w:tcPr>
          <w:p w14:paraId="7F49E16A" w14:textId="77777777" w:rsidR="007D1E74" w:rsidRDefault="00A95641">
            <w:pPr>
              <w:jc w:val="center"/>
              <w:rPr>
                <w:rFonts w:cs="Times New Roman"/>
                <w:szCs w:val="21"/>
              </w:rPr>
            </w:pPr>
            <w:r>
              <w:rPr>
                <w:rFonts w:cs="Times New Roman" w:hint="eastAsia"/>
                <w:szCs w:val="21"/>
              </w:rPr>
              <w:t>3</w:t>
            </w:r>
          </w:p>
        </w:tc>
        <w:tc>
          <w:tcPr>
            <w:tcW w:w="1023" w:type="pct"/>
            <w:vAlign w:val="center"/>
          </w:tcPr>
          <w:p w14:paraId="50598E7A" w14:textId="77777777" w:rsidR="007D1E74" w:rsidRDefault="00A95641">
            <w:pPr>
              <w:jc w:val="center"/>
              <w:rPr>
                <w:rFonts w:cs="Times New Roman"/>
                <w:szCs w:val="21"/>
              </w:rPr>
            </w:pPr>
            <w:r>
              <w:t>包湾里</w:t>
            </w:r>
          </w:p>
        </w:tc>
        <w:tc>
          <w:tcPr>
            <w:tcW w:w="471" w:type="pct"/>
            <w:vAlign w:val="center"/>
          </w:tcPr>
          <w:p w14:paraId="16BBB89D" w14:textId="77777777" w:rsidR="007D1E74" w:rsidRDefault="00A95641">
            <w:pPr>
              <w:jc w:val="center"/>
              <w:rPr>
                <w:rFonts w:cs="Times New Roman"/>
                <w:szCs w:val="21"/>
              </w:rPr>
            </w:pPr>
            <w:r>
              <w:rPr>
                <w:rFonts w:cs="Times New Roman" w:hint="eastAsia"/>
                <w:szCs w:val="21"/>
              </w:rPr>
              <w:t>右</w:t>
            </w:r>
          </w:p>
        </w:tc>
        <w:tc>
          <w:tcPr>
            <w:tcW w:w="708" w:type="pct"/>
            <w:vAlign w:val="center"/>
          </w:tcPr>
          <w:p w14:paraId="3AA60DCB" w14:textId="77777777" w:rsidR="007D1E74" w:rsidRDefault="00A95641">
            <w:pPr>
              <w:jc w:val="center"/>
              <w:rPr>
                <w:rFonts w:cs="Times New Roman"/>
                <w:szCs w:val="21"/>
              </w:rPr>
            </w:pPr>
            <w:r>
              <w:t>68~200</w:t>
            </w:r>
          </w:p>
        </w:tc>
        <w:tc>
          <w:tcPr>
            <w:tcW w:w="865" w:type="pct"/>
            <w:vAlign w:val="center"/>
          </w:tcPr>
          <w:p w14:paraId="0F6BE56A" w14:textId="77777777" w:rsidR="007D1E74" w:rsidRDefault="00A95641">
            <w:pPr>
              <w:jc w:val="center"/>
            </w:pPr>
            <w:r>
              <w:t>约</w:t>
            </w:r>
            <w:r>
              <w:rPr>
                <w:rFonts w:hint="eastAsia"/>
              </w:rPr>
              <w:t>35</w:t>
            </w:r>
            <w:r>
              <w:t>人</w:t>
            </w:r>
          </w:p>
        </w:tc>
        <w:tc>
          <w:tcPr>
            <w:tcW w:w="488" w:type="pct"/>
            <w:vAlign w:val="center"/>
          </w:tcPr>
          <w:p w14:paraId="394CBD9E" w14:textId="77777777" w:rsidR="007D1E74" w:rsidRDefault="00A95641">
            <w:pPr>
              <w:jc w:val="center"/>
            </w:pPr>
            <w:r>
              <w:rPr>
                <w:rFonts w:cs="Times New Roman" w:hint="eastAsia"/>
                <w:sz w:val="24"/>
              </w:rPr>
              <w:t>居民</w:t>
            </w:r>
          </w:p>
        </w:tc>
        <w:tc>
          <w:tcPr>
            <w:tcW w:w="976" w:type="pct"/>
            <w:vMerge/>
            <w:vAlign w:val="center"/>
          </w:tcPr>
          <w:p w14:paraId="50133362" w14:textId="77777777" w:rsidR="007D1E74" w:rsidRDefault="007D1E74">
            <w:pPr>
              <w:jc w:val="center"/>
              <w:rPr>
                <w:rFonts w:cs="Times New Roman"/>
                <w:szCs w:val="21"/>
              </w:rPr>
            </w:pPr>
          </w:p>
        </w:tc>
      </w:tr>
      <w:tr w:rsidR="007D1E74" w14:paraId="2CEA90FF" w14:textId="77777777">
        <w:trPr>
          <w:trHeight w:val="70"/>
          <w:jc w:val="center"/>
        </w:trPr>
        <w:tc>
          <w:tcPr>
            <w:tcW w:w="4024" w:type="pct"/>
            <w:gridSpan w:val="6"/>
            <w:vAlign w:val="center"/>
          </w:tcPr>
          <w:p w14:paraId="2592D52E" w14:textId="77777777" w:rsidR="007D1E74" w:rsidRDefault="00A95641">
            <w:pPr>
              <w:jc w:val="center"/>
              <w:rPr>
                <w:rFonts w:cs="Times New Roman"/>
                <w:sz w:val="24"/>
              </w:rPr>
            </w:pPr>
            <w:r>
              <w:t>马</w:t>
            </w:r>
            <w:r>
              <w:t>1-12H</w:t>
            </w:r>
            <w:r>
              <w:t>采气井场至干线集气支线</w:t>
            </w:r>
            <w:r>
              <w:t>200m</w:t>
            </w:r>
            <w:r>
              <w:t>范围内</w:t>
            </w:r>
          </w:p>
        </w:tc>
        <w:tc>
          <w:tcPr>
            <w:tcW w:w="976" w:type="pct"/>
            <w:vMerge/>
            <w:vAlign w:val="center"/>
          </w:tcPr>
          <w:p w14:paraId="0D08FD50" w14:textId="77777777" w:rsidR="007D1E74" w:rsidRDefault="007D1E74">
            <w:pPr>
              <w:jc w:val="center"/>
              <w:rPr>
                <w:rFonts w:cs="Times New Roman"/>
                <w:szCs w:val="21"/>
              </w:rPr>
            </w:pPr>
          </w:p>
        </w:tc>
      </w:tr>
      <w:tr w:rsidR="007D1E74" w14:paraId="69FF1DFF" w14:textId="77777777">
        <w:trPr>
          <w:trHeight w:val="70"/>
          <w:jc w:val="center"/>
        </w:trPr>
        <w:tc>
          <w:tcPr>
            <w:tcW w:w="469" w:type="pct"/>
            <w:vAlign w:val="center"/>
          </w:tcPr>
          <w:p w14:paraId="3DC9638C" w14:textId="77777777" w:rsidR="007D1E74" w:rsidRDefault="00A95641">
            <w:pPr>
              <w:jc w:val="center"/>
              <w:rPr>
                <w:rFonts w:cs="Times New Roman"/>
                <w:szCs w:val="21"/>
              </w:rPr>
            </w:pPr>
            <w:r>
              <w:rPr>
                <w:rFonts w:cs="Times New Roman" w:hint="eastAsia"/>
                <w:szCs w:val="21"/>
              </w:rPr>
              <w:t>1</w:t>
            </w:r>
          </w:p>
        </w:tc>
        <w:tc>
          <w:tcPr>
            <w:tcW w:w="1023" w:type="pct"/>
            <w:vAlign w:val="center"/>
          </w:tcPr>
          <w:p w14:paraId="71FCD4B0" w14:textId="77777777" w:rsidR="007D1E74" w:rsidRDefault="00A95641">
            <w:pPr>
              <w:jc w:val="center"/>
              <w:rPr>
                <w:rFonts w:cs="Times New Roman"/>
                <w:szCs w:val="21"/>
              </w:rPr>
            </w:pPr>
            <w:r>
              <w:t>巴州沟村</w:t>
            </w:r>
          </w:p>
        </w:tc>
        <w:tc>
          <w:tcPr>
            <w:tcW w:w="471" w:type="pct"/>
            <w:vAlign w:val="center"/>
          </w:tcPr>
          <w:p w14:paraId="0B78542F" w14:textId="77777777" w:rsidR="007D1E74" w:rsidRDefault="00A95641">
            <w:pPr>
              <w:jc w:val="center"/>
              <w:rPr>
                <w:rFonts w:cs="Times New Roman"/>
                <w:szCs w:val="21"/>
              </w:rPr>
            </w:pPr>
            <w:r>
              <w:t>左</w:t>
            </w:r>
            <w:r>
              <w:t>/</w:t>
            </w:r>
            <w:r>
              <w:t>右</w:t>
            </w:r>
          </w:p>
        </w:tc>
        <w:tc>
          <w:tcPr>
            <w:tcW w:w="708" w:type="pct"/>
            <w:vAlign w:val="center"/>
          </w:tcPr>
          <w:p w14:paraId="22424673" w14:textId="77777777" w:rsidR="007D1E74" w:rsidRDefault="00A95641">
            <w:pPr>
              <w:jc w:val="center"/>
              <w:rPr>
                <w:rFonts w:cs="Times New Roman"/>
                <w:szCs w:val="21"/>
              </w:rPr>
            </w:pPr>
            <w:r>
              <w:t>9~200</w:t>
            </w:r>
          </w:p>
        </w:tc>
        <w:tc>
          <w:tcPr>
            <w:tcW w:w="865" w:type="pct"/>
            <w:vAlign w:val="center"/>
          </w:tcPr>
          <w:p w14:paraId="6395662B" w14:textId="77777777" w:rsidR="007D1E74" w:rsidRDefault="00A95641">
            <w:pPr>
              <w:jc w:val="center"/>
              <w:rPr>
                <w:rFonts w:cs="Times New Roman"/>
                <w:szCs w:val="21"/>
              </w:rPr>
            </w:pPr>
            <w:r>
              <w:t>约</w:t>
            </w:r>
            <w:r>
              <w:t>77</w:t>
            </w:r>
            <w:r>
              <w:t>人</w:t>
            </w:r>
          </w:p>
        </w:tc>
        <w:tc>
          <w:tcPr>
            <w:tcW w:w="488" w:type="pct"/>
            <w:vAlign w:val="center"/>
          </w:tcPr>
          <w:p w14:paraId="757D68E4" w14:textId="77777777" w:rsidR="007D1E74" w:rsidRDefault="00A95641">
            <w:pPr>
              <w:jc w:val="center"/>
              <w:rPr>
                <w:rFonts w:cs="Times New Roman"/>
                <w:sz w:val="24"/>
              </w:rPr>
            </w:pPr>
            <w:r>
              <w:rPr>
                <w:rFonts w:cs="Times New Roman" w:hint="eastAsia"/>
                <w:sz w:val="24"/>
              </w:rPr>
              <w:t>居民</w:t>
            </w:r>
          </w:p>
        </w:tc>
        <w:tc>
          <w:tcPr>
            <w:tcW w:w="976" w:type="pct"/>
            <w:vMerge/>
            <w:vAlign w:val="center"/>
          </w:tcPr>
          <w:p w14:paraId="672DFAE5" w14:textId="77777777" w:rsidR="007D1E74" w:rsidRDefault="007D1E74">
            <w:pPr>
              <w:jc w:val="center"/>
              <w:rPr>
                <w:rFonts w:cs="Times New Roman"/>
                <w:szCs w:val="21"/>
              </w:rPr>
            </w:pPr>
          </w:p>
        </w:tc>
      </w:tr>
      <w:tr w:rsidR="007D1E74" w14:paraId="3698460D" w14:textId="77777777">
        <w:trPr>
          <w:trHeight w:val="70"/>
          <w:jc w:val="center"/>
        </w:trPr>
        <w:tc>
          <w:tcPr>
            <w:tcW w:w="4024" w:type="pct"/>
            <w:gridSpan w:val="6"/>
            <w:vAlign w:val="center"/>
          </w:tcPr>
          <w:p w14:paraId="7B2EB4AC" w14:textId="77777777" w:rsidR="007D1E74" w:rsidRDefault="00A95641">
            <w:pPr>
              <w:jc w:val="center"/>
              <w:rPr>
                <w:rFonts w:cs="Times New Roman"/>
                <w:sz w:val="24"/>
              </w:rPr>
            </w:pPr>
            <w:r>
              <w:t>马</w:t>
            </w:r>
            <w:r>
              <w:t>1-11</w:t>
            </w:r>
            <w:r>
              <w:t>脱水井场至</w:t>
            </w:r>
            <w:r>
              <w:t>4#</w:t>
            </w:r>
            <w:r>
              <w:t>清管阀组集输干线</w:t>
            </w:r>
            <w:r>
              <w:t>200m</w:t>
            </w:r>
            <w:r>
              <w:t>范围内</w:t>
            </w:r>
          </w:p>
        </w:tc>
        <w:tc>
          <w:tcPr>
            <w:tcW w:w="976" w:type="pct"/>
            <w:vMerge/>
            <w:vAlign w:val="center"/>
          </w:tcPr>
          <w:p w14:paraId="49D6200C" w14:textId="77777777" w:rsidR="007D1E74" w:rsidRDefault="007D1E74">
            <w:pPr>
              <w:jc w:val="center"/>
              <w:rPr>
                <w:rFonts w:cs="Times New Roman"/>
                <w:szCs w:val="21"/>
              </w:rPr>
            </w:pPr>
          </w:p>
        </w:tc>
      </w:tr>
      <w:tr w:rsidR="007D1E74" w14:paraId="230B26E8" w14:textId="77777777">
        <w:trPr>
          <w:trHeight w:val="70"/>
          <w:jc w:val="center"/>
        </w:trPr>
        <w:tc>
          <w:tcPr>
            <w:tcW w:w="469" w:type="pct"/>
            <w:vAlign w:val="center"/>
          </w:tcPr>
          <w:p w14:paraId="0AC42476" w14:textId="77777777" w:rsidR="007D1E74" w:rsidRDefault="00A95641">
            <w:pPr>
              <w:jc w:val="center"/>
              <w:rPr>
                <w:rFonts w:cs="Times New Roman"/>
                <w:szCs w:val="21"/>
              </w:rPr>
            </w:pPr>
            <w:r>
              <w:rPr>
                <w:rFonts w:cs="Times New Roman" w:hint="eastAsia"/>
                <w:szCs w:val="21"/>
              </w:rPr>
              <w:t>1</w:t>
            </w:r>
          </w:p>
        </w:tc>
        <w:tc>
          <w:tcPr>
            <w:tcW w:w="1023" w:type="pct"/>
            <w:vAlign w:val="center"/>
          </w:tcPr>
          <w:p w14:paraId="21B77E23" w14:textId="77777777" w:rsidR="007D1E74" w:rsidRDefault="00A95641">
            <w:pPr>
              <w:jc w:val="center"/>
              <w:rPr>
                <w:rFonts w:cs="Times New Roman"/>
                <w:szCs w:val="21"/>
              </w:rPr>
            </w:pPr>
            <w:r>
              <w:t>瓦房湾</w:t>
            </w:r>
          </w:p>
        </w:tc>
        <w:tc>
          <w:tcPr>
            <w:tcW w:w="471" w:type="pct"/>
            <w:vAlign w:val="center"/>
          </w:tcPr>
          <w:p w14:paraId="176ED232" w14:textId="77777777" w:rsidR="007D1E74" w:rsidRDefault="00A95641">
            <w:pPr>
              <w:jc w:val="center"/>
              <w:rPr>
                <w:rFonts w:cs="Times New Roman"/>
                <w:szCs w:val="21"/>
              </w:rPr>
            </w:pPr>
            <w:r>
              <w:t>左</w:t>
            </w:r>
            <w:r>
              <w:t>/</w:t>
            </w:r>
            <w:r>
              <w:t>右</w:t>
            </w:r>
          </w:p>
        </w:tc>
        <w:tc>
          <w:tcPr>
            <w:tcW w:w="708" w:type="pct"/>
            <w:vAlign w:val="center"/>
          </w:tcPr>
          <w:p w14:paraId="1182749A" w14:textId="77777777" w:rsidR="007D1E74" w:rsidRDefault="00A95641">
            <w:pPr>
              <w:jc w:val="center"/>
              <w:rPr>
                <w:rFonts w:cs="Times New Roman"/>
                <w:szCs w:val="21"/>
              </w:rPr>
            </w:pPr>
            <w:r>
              <w:t>7~200</w:t>
            </w:r>
          </w:p>
        </w:tc>
        <w:tc>
          <w:tcPr>
            <w:tcW w:w="865" w:type="pct"/>
            <w:vAlign w:val="center"/>
          </w:tcPr>
          <w:p w14:paraId="54BFE068" w14:textId="77777777" w:rsidR="007D1E74" w:rsidRDefault="00A95641">
            <w:pPr>
              <w:jc w:val="center"/>
              <w:rPr>
                <w:rFonts w:cs="Times New Roman"/>
                <w:szCs w:val="21"/>
              </w:rPr>
            </w:pPr>
            <w:r>
              <w:t>约</w:t>
            </w:r>
            <w:r>
              <w:t>133</w:t>
            </w:r>
            <w:r>
              <w:t>人</w:t>
            </w:r>
          </w:p>
        </w:tc>
        <w:tc>
          <w:tcPr>
            <w:tcW w:w="488" w:type="pct"/>
            <w:vAlign w:val="center"/>
          </w:tcPr>
          <w:p w14:paraId="6010D2EA" w14:textId="77777777" w:rsidR="007D1E74" w:rsidRDefault="00A95641">
            <w:pPr>
              <w:jc w:val="center"/>
            </w:pPr>
            <w:r>
              <w:rPr>
                <w:rFonts w:cs="Times New Roman" w:hint="eastAsia"/>
                <w:sz w:val="24"/>
              </w:rPr>
              <w:t>居民</w:t>
            </w:r>
          </w:p>
        </w:tc>
        <w:tc>
          <w:tcPr>
            <w:tcW w:w="976" w:type="pct"/>
            <w:vMerge/>
            <w:vAlign w:val="center"/>
          </w:tcPr>
          <w:p w14:paraId="007852BF" w14:textId="77777777" w:rsidR="007D1E74" w:rsidRDefault="007D1E74">
            <w:pPr>
              <w:jc w:val="center"/>
              <w:rPr>
                <w:rFonts w:cs="Times New Roman"/>
                <w:szCs w:val="21"/>
              </w:rPr>
            </w:pPr>
          </w:p>
        </w:tc>
      </w:tr>
      <w:tr w:rsidR="007D1E74" w14:paraId="1E624865" w14:textId="77777777">
        <w:trPr>
          <w:trHeight w:val="70"/>
          <w:jc w:val="center"/>
        </w:trPr>
        <w:tc>
          <w:tcPr>
            <w:tcW w:w="469" w:type="pct"/>
            <w:vAlign w:val="center"/>
          </w:tcPr>
          <w:p w14:paraId="7DE04AA0" w14:textId="77777777" w:rsidR="007D1E74" w:rsidRDefault="00A95641">
            <w:pPr>
              <w:jc w:val="center"/>
              <w:rPr>
                <w:rFonts w:cs="Times New Roman"/>
                <w:szCs w:val="21"/>
              </w:rPr>
            </w:pPr>
            <w:r>
              <w:rPr>
                <w:rFonts w:cs="Times New Roman" w:hint="eastAsia"/>
                <w:szCs w:val="21"/>
              </w:rPr>
              <w:t>2</w:t>
            </w:r>
          </w:p>
        </w:tc>
        <w:tc>
          <w:tcPr>
            <w:tcW w:w="1023" w:type="pct"/>
            <w:vAlign w:val="center"/>
          </w:tcPr>
          <w:p w14:paraId="209BD83F" w14:textId="77777777" w:rsidR="007D1E74" w:rsidRDefault="00A95641">
            <w:pPr>
              <w:jc w:val="center"/>
              <w:rPr>
                <w:rFonts w:cs="Times New Roman"/>
                <w:szCs w:val="21"/>
              </w:rPr>
            </w:pPr>
            <w:r>
              <w:t>大石坎</w:t>
            </w:r>
          </w:p>
        </w:tc>
        <w:tc>
          <w:tcPr>
            <w:tcW w:w="471" w:type="pct"/>
            <w:vAlign w:val="center"/>
          </w:tcPr>
          <w:p w14:paraId="15C3AB5A" w14:textId="77777777" w:rsidR="007D1E74" w:rsidRDefault="00A95641">
            <w:pPr>
              <w:jc w:val="center"/>
              <w:rPr>
                <w:rFonts w:cs="Times New Roman"/>
                <w:szCs w:val="21"/>
              </w:rPr>
            </w:pPr>
            <w:r>
              <w:t>右</w:t>
            </w:r>
          </w:p>
        </w:tc>
        <w:tc>
          <w:tcPr>
            <w:tcW w:w="708" w:type="pct"/>
            <w:vAlign w:val="center"/>
          </w:tcPr>
          <w:p w14:paraId="0E915398" w14:textId="77777777" w:rsidR="007D1E74" w:rsidRDefault="00A95641">
            <w:pPr>
              <w:jc w:val="center"/>
              <w:rPr>
                <w:rFonts w:cs="Times New Roman"/>
                <w:szCs w:val="21"/>
              </w:rPr>
            </w:pPr>
            <w:r>
              <w:t>81~200</w:t>
            </w:r>
          </w:p>
        </w:tc>
        <w:tc>
          <w:tcPr>
            <w:tcW w:w="865" w:type="pct"/>
            <w:vAlign w:val="center"/>
          </w:tcPr>
          <w:p w14:paraId="7840B506" w14:textId="77777777" w:rsidR="007D1E74" w:rsidRDefault="00A95641">
            <w:pPr>
              <w:jc w:val="center"/>
              <w:rPr>
                <w:rFonts w:cs="Times New Roman"/>
                <w:szCs w:val="21"/>
              </w:rPr>
            </w:pPr>
            <w:r>
              <w:t>约</w:t>
            </w:r>
            <w:r>
              <w:t>46</w:t>
            </w:r>
            <w:r>
              <w:t>人</w:t>
            </w:r>
          </w:p>
        </w:tc>
        <w:tc>
          <w:tcPr>
            <w:tcW w:w="488" w:type="pct"/>
            <w:vAlign w:val="center"/>
          </w:tcPr>
          <w:p w14:paraId="656D99F8" w14:textId="77777777" w:rsidR="007D1E74" w:rsidRDefault="00A95641">
            <w:pPr>
              <w:jc w:val="center"/>
            </w:pPr>
            <w:r>
              <w:rPr>
                <w:rFonts w:cs="Times New Roman" w:hint="eastAsia"/>
                <w:sz w:val="24"/>
              </w:rPr>
              <w:t>居民</w:t>
            </w:r>
          </w:p>
        </w:tc>
        <w:tc>
          <w:tcPr>
            <w:tcW w:w="976" w:type="pct"/>
            <w:vMerge/>
            <w:vAlign w:val="center"/>
          </w:tcPr>
          <w:p w14:paraId="38B8A36C" w14:textId="77777777" w:rsidR="007D1E74" w:rsidRDefault="007D1E74">
            <w:pPr>
              <w:jc w:val="center"/>
              <w:rPr>
                <w:rFonts w:cs="Times New Roman"/>
                <w:szCs w:val="21"/>
              </w:rPr>
            </w:pPr>
          </w:p>
        </w:tc>
      </w:tr>
      <w:tr w:rsidR="007D1E74" w14:paraId="13C7BBEF" w14:textId="77777777">
        <w:trPr>
          <w:trHeight w:val="70"/>
          <w:jc w:val="center"/>
        </w:trPr>
        <w:tc>
          <w:tcPr>
            <w:tcW w:w="469" w:type="pct"/>
            <w:vAlign w:val="center"/>
          </w:tcPr>
          <w:p w14:paraId="3B7FFC38" w14:textId="77777777" w:rsidR="007D1E74" w:rsidRDefault="00A95641">
            <w:pPr>
              <w:jc w:val="center"/>
              <w:rPr>
                <w:rFonts w:cs="Times New Roman"/>
                <w:szCs w:val="21"/>
              </w:rPr>
            </w:pPr>
            <w:r>
              <w:rPr>
                <w:rFonts w:cs="Times New Roman" w:hint="eastAsia"/>
                <w:szCs w:val="21"/>
              </w:rPr>
              <w:t>3</w:t>
            </w:r>
          </w:p>
        </w:tc>
        <w:tc>
          <w:tcPr>
            <w:tcW w:w="1023" w:type="pct"/>
            <w:vAlign w:val="center"/>
          </w:tcPr>
          <w:p w14:paraId="37FBCCA8" w14:textId="77777777" w:rsidR="007D1E74" w:rsidRDefault="00A95641">
            <w:pPr>
              <w:jc w:val="center"/>
              <w:rPr>
                <w:rFonts w:cs="Times New Roman"/>
                <w:szCs w:val="21"/>
              </w:rPr>
            </w:pPr>
            <w:r>
              <w:t>北斗坪</w:t>
            </w:r>
          </w:p>
        </w:tc>
        <w:tc>
          <w:tcPr>
            <w:tcW w:w="471" w:type="pct"/>
            <w:vAlign w:val="center"/>
          </w:tcPr>
          <w:p w14:paraId="51E71A7A" w14:textId="77777777" w:rsidR="007D1E74" w:rsidRDefault="00A95641">
            <w:pPr>
              <w:jc w:val="center"/>
              <w:rPr>
                <w:rFonts w:cs="Times New Roman"/>
                <w:szCs w:val="21"/>
              </w:rPr>
            </w:pPr>
            <w:r>
              <w:t>右</w:t>
            </w:r>
          </w:p>
        </w:tc>
        <w:tc>
          <w:tcPr>
            <w:tcW w:w="708" w:type="pct"/>
            <w:vAlign w:val="center"/>
          </w:tcPr>
          <w:p w14:paraId="29EFA52B" w14:textId="77777777" w:rsidR="007D1E74" w:rsidRDefault="00A95641">
            <w:pPr>
              <w:jc w:val="center"/>
              <w:rPr>
                <w:rFonts w:cs="Times New Roman"/>
                <w:szCs w:val="21"/>
              </w:rPr>
            </w:pPr>
            <w:r>
              <w:t>28~150</w:t>
            </w:r>
          </w:p>
        </w:tc>
        <w:tc>
          <w:tcPr>
            <w:tcW w:w="865" w:type="pct"/>
            <w:vAlign w:val="center"/>
          </w:tcPr>
          <w:p w14:paraId="69A03D35" w14:textId="77777777" w:rsidR="007D1E74" w:rsidRDefault="00A95641">
            <w:pPr>
              <w:jc w:val="center"/>
              <w:rPr>
                <w:rFonts w:cs="Times New Roman"/>
                <w:szCs w:val="21"/>
              </w:rPr>
            </w:pPr>
            <w:r>
              <w:t>约</w:t>
            </w:r>
            <w:r>
              <w:t>35</w:t>
            </w:r>
            <w:r>
              <w:t>人</w:t>
            </w:r>
          </w:p>
        </w:tc>
        <w:tc>
          <w:tcPr>
            <w:tcW w:w="488" w:type="pct"/>
            <w:vAlign w:val="center"/>
          </w:tcPr>
          <w:p w14:paraId="43590B3F" w14:textId="77777777" w:rsidR="007D1E74" w:rsidRDefault="00A95641">
            <w:pPr>
              <w:jc w:val="center"/>
            </w:pPr>
            <w:r>
              <w:rPr>
                <w:rFonts w:cs="Times New Roman" w:hint="eastAsia"/>
                <w:sz w:val="24"/>
              </w:rPr>
              <w:t>居民</w:t>
            </w:r>
          </w:p>
        </w:tc>
        <w:tc>
          <w:tcPr>
            <w:tcW w:w="976" w:type="pct"/>
            <w:vMerge/>
            <w:vAlign w:val="center"/>
          </w:tcPr>
          <w:p w14:paraId="4A11466E" w14:textId="77777777" w:rsidR="007D1E74" w:rsidRDefault="007D1E74">
            <w:pPr>
              <w:jc w:val="center"/>
              <w:rPr>
                <w:rFonts w:cs="Times New Roman"/>
                <w:szCs w:val="21"/>
              </w:rPr>
            </w:pPr>
          </w:p>
        </w:tc>
      </w:tr>
      <w:tr w:rsidR="007D1E74" w14:paraId="59A53FFB" w14:textId="77777777">
        <w:trPr>
          <w:trHeight w:val="70"/>
          <w:jc w:val="center"/>
        </w:trPr>
        <w:tc>
          <w:tcPr>
            <w:tcW w:w="469" w:type="pct"/>
            <w:vAlign w:val="center"/>
          </w:tcPr>
          <w:p w14:paraId="70818EB9" w14:textId="77777777" w:rsidR="007D1E74" w:rsidRDefault="00A95641">
            <w:pPr>
              <w:jc w:val="center"/>
              <w:rPr>
                <w:rFonts w:cs="Times New Roman"/>
                <w:szCs w:val="21"/>
              </w:rPr>
            </w:pPr>
            <w:r>
              <w:rPr>
                <w:rFonts w:cs="Times New Roman" w:hint="eastAsia"/>
                <w:szCs w:val="21"/>
              </w:rPr>
              <w:t>4</w:t>
            </w:r>
          </w:p>
        </w:tc>
        <w:tc>
          <w:tcPr>
            <w:tcW w:w="1023" w:type="pct"/>
            <w:vAlign w:val="center"/>
          </w:tcPr>
          <w:p w14:paraId="354D3350" w14:textId="77777777" w:rsidR="007D1E74" w:rsidRDefault="00A95641">
            <w:pPr>
              <w:jc w:val="center"/>
              <w:rPr>
                <w:rFonts w:cs="Times New Roman"/>
                <w:szCs w:val="21"/>
              </w:rPr>
            </w:pPr>
            <w:r>
              <w:t>张家岭</w:t>
            </w:r>
          </w:p>
        </w:tc>
        <w:tc>
          <w:tcPr>
            <w:tcW w:w="471" w:type="pct"/>
            <w:vAlign w:val="center"/>
          </w:tcPr>
          <w:p w14:paraId="6DB65150" w14:textId="77777777" w:rsidR="007D1E74" w:rsidRDefault="00A95641">
            <w:pPr>
              <w:jc w:val="center"/>
              <w:rPr>
                <w:rFonts w:cs="Times New Roman"/>
                <w:szCs w:val="21"/>
              </w:rPr>
            </w:pPr>
            <w:r>
              <w:t>左</w:t>
            </w:r>
            <w:r>
              <w:t>/</w:t>
            </w:r>
            <w:r>
              <w:t>右</w:t>
            </w:r>
          </w:p>
        </w:tc>
        <w:tc>
          <w:tcPr>
            <w:tcW w:w="708" w:type="pct"/>
            <w:vAlign w:val="center"/>
          </w:tcPr>
          <w:p w14:paraId="065A4E52" w14:textId="77777777" w:rsidR="007D1E74" w:rsidRDefault="00A95641">
            <w:pPr>
              <w:jc w:val="center"/>
              <w:rPr>
                <w:rFonts w:cs="Times New Roman"/>
                <w:szCs w:val="21"/>
              </w:rPr>
            </w:pPr>
            <w:r>
              <w:t>8~200</w:t>
            </w:r>
          </w:p>
        </w:tc>
        <w:tc>
          <w:tcPr>
            <w:tcW w:w="865" w:type="pct"/>
            <w:vAlign w:val="center"/>
          </w:tcPr>
          <w:p w14:paraId="517B54C3" w14:textId="77777777" w:rsidR="007D1E74" w:rsidRDefault="00A95641">
            <w:pPr>
              <w:jc w:val="center"/>
              <w:rPr>
                <w:rFonts w:cs="Times New Roman"/>
                <w:szCs w:val="21"/>
              </w:rPr>
            </w:pPr>
            <w:r>
              <w:t>约</w:t>
            </w:r>
            <w:r>
              <w:t>210</w:t>
            </w:r>
            <w:r>
              <w:t>人</w:t>
            </w:r>
          </w:p>
        </w:tc>
        <w:tc>
          <w:tcPr>
            <w:tcW w:w="488" w:type="pct"/>
            <w:vAlign w:val="center"/>
          </w:tcPr>
          <w:p w14:paraId="036FA6CB" w14:textId="77777777" w:rsidR="007D1E74" w:rsidRDefault="00A95641">
            <w:pPr>
              <w:jc w:val="center"/>
            </w:pPr>
            <w:r>
              <w:rPr>
                <w:rFonts w:cs="Times New Roman" w:hint="eastAsia"/>
                <w:sz w:val="24"/>
              </w:rPr>
              <w:t>居民</w:t>
            </w:r>
          </w:p>
        </w:tc>
        <w:tc>
          <w:tcPr>
            <w:tcW w:w="976" w:type="pct"/>
            <w:vMerge/>
            <w:vAlign w:val="center"/>
          </w:tcPr>
          <w:p w14:paraId="6D5E6713" w14:textId="77777777" w:rsidR="007D1E74" w:rsidRDefault="007D1E74">
            <w:pPr>
              <w:jc w:val="center"/>
              <w:rPr>
                <w:rFonts w:cs="Times New Roman"/>
                <w:szCs w:val="21"/>
              </w:rPr>
            </w:pPr>
          </w:p>
        </w:tc>
      </w:tr>
      <w:tr w:rsidR="007D1E74" w14:paraId="64786CF9" w14:textId="77777777">
        <w:trPr>
          <w:trHeight w:val="70"/>
          <w:jc w:val="center"/>
        </w:trPr>
        <w:tc>
          <w:tcPr>
            <w:tcW w:w="4024" w:type="pct"/>
            <w:gridSpan w:val="6"/>
            <w:vAlign w:val="center"/>
          </w:tcPr>
          <w:p w14:paraId="33947898" w14:textId="77777777" w:rsidR="007D1E74" w:rsidRDefault="00A95641">
            <w:pPr>
              <w:jc w:val="center"/>
              <w:rPr>
                <w:rFonts w:cs="Times New Roman"/>
                <w:sz w:val="24"/>
              </w:rPr>
            </w:pPr>
            <w:r>
              <w:t>4#</w:t>
            </w:r>
            <w:r>
              <w:t>清管阀组至草池增压站集输干线</w:t>
            </w:r>
            <w:r>
              <w:t>200m</w:t>
            </w:r>
            <w:r>
              <w:t>范围内</w:t>
            </w:r>
          </w:p>
        </w:tc>
        <w:tc>
          <w:tcPr>
            <w:tcW w:w="976" w:type="pct"/>
            <w:vMerge/>
            <w:vAlign w:val="center"/>
          </w:tcPr>
          <w:p w14:paraId="61E33516" w14:textId="77777777" w:rsidR="007D1E74" w:rsidRDefault="007D1E74">
            <w:pPr>
              <w:jc w:val="center"/>
              <w:rPr>
                <w:rFonts w:cs="Times New Roman"/>
                <w:szCs w:val="21"/>
              </w:rPr>
            </w:pPr>
          </w:p>
        </w:tc>
      </w:tr>
      <w:tr w:rsidR="007D1E74" w14:paraId="4402709A" w14:textId="77777777">
        <w:trPr>
          <w:trHeight w:val="70"/>
          <w:jc w:val="center"/>
        </w:trPr>
        <w:tc>
          <w:tcPr>
            <w:tcW w:w="469" w:type="pct"/>
            <w:vAlign w:val="center"/>
          </w:tcPr>
          <w:p w14:paraId="7AF98071" w14:textId="77777777" w:rsidR="007D1E74" w:rsidRDefault="00A95641">
            <w:pPr>
              <w:jc w:val="center"/>
              <w:rPr>
                <w:rFonts w:cs="Times New Roman"/>
                <w:szCs w:val="21"/>
              </w:rPr>
            </w:pPr>
            <w:r>
              <w:rPr>
                <w:rFonts w:cs="Times New Roman" w:hint="eastAsia"/>
                <w:szCs w:val="21"/>
              </w:rPr>
              <w:t>1</w:t>
            </w:r>
          </w:p>
        </w:tc>
        <w:tc>
          <w:tcPr>
            <w:tcW w:w="1023" w:type="pct"/>
            <w:vAlign w:val="center"/>
          </w:tcPr>
          <w:p w14:paraId="50C17625" w14:textId="77777777" w:rsidR="007D1E74" w:rsidRDefault="00A95641">
            <w:pPr>
              <w:jc w:val="center"/>
              <w:rPr>
                <w:rFonts w:cs="Times New Roman"/>
                <w:szCs w:val="21"/>
              </w:rPr>
            </w:pPr>
            <w:r>
              <w:t>漩涡潭</w:t>
            </w:r>
          </w:p>
        </w:tc>
        <w:tc>
          <w:tcPr>
            <w:tcW w:w="471" w:type="pct"/>
            <w:vAlign w:val="center"/>
          </w:tcPr>
          <w:p w14:paraId="28DE5677" w14:textId="77777777" w:rsidR="007D1E74" w:rsidRDefault="00A95641">
            <w:pPr>
              <w:jc w:val="center"/>
              <w:rPr>
                <w:rFonts w:cs="Times New Roman"/>
                <w:szCs w:val="21"/>
              </w:rPr>
            </w:pPr>
            <w:r>
              <w:t>右</w:t>
            </w:r>
          </w:p>
        </w:tc>
        <w:tc>
          <w:tcPr>
            <w:tcW w:w="708" w:type="pct"/>
            <w:vAlign w:val="center"/>
          </w:tcPr>
          <w:p w14:paraId="74A7D1B8" w14:textId="77777777" w:rsidR="007D1E74" w:rsidRDefault="00A95641">
            <w:pPr>
              <w:jc w:val="center"/>
              <w:rPr>
                <w:rFonts w:cs="Times New Roman"/>
                <w:szCs w:val="21"/>
              </w:rPr>
            </w:pPr>
            <w:r>
              <w:t>17~177</w:t>
            </w:r>
          </w:p>
        </w:tc>
        <w:tc>
          <w:tcPr>
            <w:tcW w:w="865" w:type="pct"/>
            <w:vAlign w:val="center"/>
          </w:tcPr>
          <w:p w14:paraId="65256C6A" w14:textId="77777777" w:rsidR="007D1E74" w:rsidRDefault="00A95641">
            <w:pPr>
              <w:jc w:val="center"/>
              <w:rPr>
                <w:rFonts w:cs="Times New Roman"/>
                <w:szCs w:val="21"/>
              </w:rPr>
            </w:pPr>
            <w:r>
              <w:t>约</w:t>
            </w:r>
            <w:r>
              <w:t>30</w:t>
            </w:r>
            <w:r>
              <w:t>人</w:t>
            </w:r>
          </w:p>
        </w:tc>
        <w:tc>
          <w:tcPr>
            <w:tcW w:w="488" w:type="pct"/>
            <w:vAlign w:val="center"/>
          </w:tcPr>
          <w:p w14:paraId="67BCFFFD" w14:textId="77777777" w:rsidR="007D1E74" w:rsidRDefault="00A95641">
            <w:pPr>
              <w:jc w:val="center"/>
            </w:pPr>
            <w:r>
              <w:rPr>
                <w:rFonts w:cs="Times New Roman" w:hint="eastAsia"/>
                <w:sz w:val="24"/>
              </w:rPr>
              <w:t>居民</w:t>
            </w:r>
          </w:p>
        </w:tc>
        <w:tc>
          <w:tcPr>
            <w:tcW w:w="976" w:type="pct"/>
            <w:vMerge/>
            <w:vAlign w:val="center"/>
          </w:tcPr>
          <w:p w14:paraId="58B572D0" w14:textId="77777777" w:rsidR="007D1E74" w:rsidRDefault="007D1E74">
            <w:pPr>
              <w:jc w:val="center"/>
              <w:rPr>
                <w:rFonts w:cs="Times New Roman"/>
                <w:szCs w:val="21"/>
              </w:rPr>
            </w:pPr>
          </w:p>
        </w:tc>
      </w:tr>
      <w:tr w:rsidR="007D1E74" w14:paraId="7E7B802B" w14:textId="77777777">
        <w:trPr>
          <w:trHeight w:val="70"/>
          <w:jc w:val="center"/>
        </w:trPr>
        <w:tc>
          <w:tcPr>
            <w:tcW w:w="469" w:type="pct"/>
            <w:vAlign w:val="center"/>
          </w:tcPr>
          <w:p w14:paraId="2CA69206" w14:textId="77777777" w:rsidR="007D1E74" w:rsidRDefault="00A95641">
            <w:pPr>
              <w:jc w:val="center"/>
              <w:rPr>
                <w:rFonts w:cs="Times New Roman"/>
                <w:szCs w:val="21"/>
              </w:rPr>
            </w:pPr>
            <w:r>
              <w:rPr>
                <w:rFonts w:cs="Times New Roman" w:hint="eastAsia"/>
                <w:szCs w:val="21"/>
              </w:rPr>
              <w:t>2</w:t>
            </w:r>
          </w:p>
        </w:tc>
        <w:tc>
          <w:tcPr>
            <w:tcW w:w="1023" w:type="pct"/>
            <w:vAlign w:val="center"/>
          </w:tcPr>
          <w:p w14:paraId="0D3CAE00" w14:textId="77777777" w:rsidR="007D1E74" w:rsidRDefault="00A95641">
            <w:pPr>
              <w:jc w:val="center"/>
              <w:rPr>
                <w:rFonts w:cs="Times New Roman"/>
                <w:szCs w:val="21"/>
              </w:rPr>
            </w:pPr>
            <w:r>
              <w:t>白沙坝</w:t>
            </w:r>
          </w:p>
        </w:tc>
        <w:tc>
          <w:tcPr>
            <w:tcW w:w="471" w:type="pct"/>
            <w:vAlign w:val="center"/>
          </w:tcPr>
          <w:p w14:paraId="6BEBE3DB" w14:textId="77777777" w:rsidR="007D1E74" w:rsidRDefault="00A95641">
            <w:pPr>
              <w:jc w:val="center"/>
              <w:rPr>
                <w:rFonts w:cs="Times New Roman"/>
                <w:szCs w:val="21"/>
              </w:rPr>
            </w:pPr>
            <w:r>
              <w:t>左</w:t>
            </w:r>
            <w:r>
              <w:t>/</w:t>
            </w:r>
            <w:r>
              <w:t>右</w:t>
            </w:r>
          </w:p>
        </w:tc>
        <w:tc>
          <w:tcPr>
            <w:tcW w:w="708" w:type="pct"/>
            <w:vAlign w:val="center"/>
          </w:tcPr>
          <w:p w14:paraId="539128B1" w14:textId="77777777" w:rsidR="007D1E74" w:rsidRDefault="00A95641">
            <w:pPr>
              <w:jc w:val="center"/>
              <w:rPr>
                <w:rFonts w:cs="Times New Roman"/>
                <w:szCs w:val="21"/>
              </w:rPr>
            </w:pPr>
            <w:r>
              <w:t>24~180</w:t>
            </w:r>
          </w:p>
        </w:tc>
        <w:tc>
          <w:tcPr>
            <w:tcW w:w="865" w:type="pct"/>
            <w:vAlign w:val="center"/>
          </w:tcPr>
          <w:p w14:paraId="02D2E9F1" w14:textId="77777777" w:rsidR="007D1E74" w:rsidRDefault="00A95641">
            <w:pPr>
              <w:jc w:val="center"/>
              <w:rPr>
                <w:rFonts w:cs="Times New Roman"/>
                <w:szCs w:val="21"/>
              </w:rPr>
            </w:pPr>
            <w:r>
              <w:t>约</w:t>
            </w:r>
            <w:r>
              <w:t>42</w:t>
            </w:r>
            <w:r>
              <w:t>人</w:t>
            </w:r>
          </w:p>
        </w:tc>
        <w:tc>
          <w:tcPr>
            <w:tcW w:w="488" w:type="pct"/>
            <w:vAlign w:val="center"/>
          </w:tcPr>
          <w:p w14:paraId="70657BA5" w14:textId="77777777" w:rsidR="007D1E74" w:rsidRDefault="00A95641">
            <w:pPr>
              <w:jc w:val="center"/>
            </w:pPr>
            <w:r>
              <w:rPr>
                <w:rFonts w:cs="Times New Roman" w:hint="eastAsia"/>
                <w:sz w:val="24"/>
              </w:rPr>
              <w:t>居民</w:t>
            </w:r>
          </w:p>
        </w:tc>
        <w:tc>
          <w:tcPr>
            <w:tcW w:w="976" w:type="pct"/>
            <w:vMerge/>
            <w:vAlign w:val="center"/>
          </w:tcPr>
          <w:p w14:paraId="00455286" w14:textId="77777777" w:rsidR="007D1E74" w:rsidRDefault="007D1E74">
            <w:pPr>
              <w:jc w:val="center"/>
              <w:rPr>
                <w:rFonts w:cs="Times New Roman"/>
                <w:szCs w:val="21"/>
              </w:rPr>
            </w:pPr>
          </w:p>
        </w:tc>
      </w:tr>
      <w:tr w:rsidR="007D1E74" w14:paraId="5D741DC2" w14:textId="77777777">
        <w:trPr>
          <w:trHeight w:val="70"/>
          <w:jc w:val="center"/>
        </w:trPr>
        <w:tc>
          <w:tcPr>
            <w:tcW w:w="469" w:type="pct"/>
            <w:vAlign w:val="center"/>
          </w:tcPr>
          <w:p w14:paraId="62F0F93E" w14:textId="77777777" w:rsidR="007D1E74" w:rsidRDefault="00A95641">
            <w:pPr>
              <w:jc w:val="center"/>
              <w:rPr>
                <w:rFonts w:cs="Times New Roman"/>
                <w:szCs w:val="21"/>
              </w:rPr>
            </w:pPr>
            <w:r>
              <w:rPr>
                <w:rFonts w:cs="Times New Roman" w:hint="eastAsia"/>
                <w:szCs w:val="21"/>
              </w:rPr>
              <w:t>3</w:t>
            </w:r>
          </w:p>
        </w:tc>
        <w:tc>
          <w:tcPr>
            <w:tcW w:w="1023" w:type="pct"/>
            <w:vAlign w:val="center"/>
          </w:tcPr>
          <w:p w14:paraId="51969EE8" w14:textId="77777777" w:rsidR="007D1E74" w:rsidRDefault="00A95641">
            <w:pPr>
              <w:jc w:val="center"/>
              <w:rPr>
                <w:rFonts w:cs="Times New Roman"/>
                <w:szCs w:val="21"/>
              </w:rPr>
            </w:pPr>
            <w:r>
              <w:t>水洗坝</w:t>
            </w:r>
          </w:p>
        </w:tc>
        <w:tc>
          <w:tcPr>
            <w:tcW w:w="471" w:type="pct"/>
            <w:vAlign w:val="center"/>
          </w:tcPr>
          <w:p w14:paraId="1A5B0CE4" w14:textId="77777777" w:rsidR="007D1E74" w:rsidRDefault="00A95641">
            <w:pPr>
              <w:jc w:val="center"/>
              <w:rPr>
                <w:rFonts w:cs="Times New Roman"/>
                <w:szCs w:val="21"/>
              </w:rPr>
            </w:pPr>
            <w:r>
              <w:t>右</w:t>
            </w:r>
          </w:p>
        </w:tc>
        <w:tc>
          <w:tcPr>
            <w:tcW w:w="708" w:type="pct"/>
            <w:vAlign w:val="center"/>
          </w:tcPr>
          <w:p w14:paraId="320A3BCE" w14:textId="77777777" w:rsidR="007D1E74" w:rsidRDefault="00A95641">
            <w:pPr>
              <w:jc w:val="center"/>
              <w:rPr>
                <w:rFonts w:cs="Times New Roman"/>
                <w:szCs w:val="21"/>
              </w:rPr>
            </w:pPr>
            <w:r>
              <w:t>17~109</w:t>
            </w:r>
          </w:p>
        </w:tc>
        <w:tc>
          <w:tcPr>
            <w:tcW w:w="865" w:type="pct"/>
            <w:vAlign w:val="center"/>
          </w:tcPr>
          <w:p w14:paraId="4DA5116C" w14:textId="77777777" w:rsidR="007D1E74" w:rsidRDefault="00A95641">
            <w:pPr>
              <w:jc w:val="center"/>
            </w:pPr>
            <w:r>
              <w:t>约</w:t>
            </w:r>
            <w:r>
              <w:rPr>
                <w:rFonts w:hint="eastAsia"/>
              </w:rPr>
              <w:t>35</w:t>
            </w:r>
            <w:r>
              <w:t>人</w:t>
            </w:r>
          </w:p>
        </w:tc>
        <w:tc>
          <w:tcPr>
            <w:tcW w:w="488" w:type="pct"/>
            <w:vAlign w:val="center"/>
          </w:tcPr>
          <w:p w14:paraId="509A2FEE" w14:textId="77777777" w:rsidR="007D1E74" w:rsidRDefault="00A95641">
            <w:pPr>
              <w:jc w:val="center"/>
            </w:pPr>
            <w:r>
              <w:rPr>
                <w:rFonts w:cs="Times New Roman" w:hint="eastAsia"/>
                <w:sz w:val="24"/>
              </w:rPr>
              <w:t>居民</w:t>
            </w:r>
          </w:p>
        </w:tc>
        <w:tc>
          <w:tcPr>
            <w:tcW w:w="976" w:type="pct"/>
            <w:vMerge/>
            <w:vAlign w:val="center"/>
          </w:tcPr>
          <w:p w14:paraId="462D932E" w14:textId="77777777" w:rsidR="007D1E74" w:rsidRDefault="007D1E74">
            <w:pPr>
              <w:jc w:val="center"/>
              <w:rPr>
                <w:rFonts w:cs="Times New Roman"/>
                <w:szCs w:val="21"/>
              </w:rPr>
            </w:pPr>
          </w:p>
        </w:tc>
      </w:tr>
      <w:tr w:rsidR="007D1E74" w14:paraId="6F0CFF20" w14:textId="77777777">
        <w:trPr>
          <w:trHeight w:val="70"/>
          <w:jc w:val="center"/>
        </w:trPr>
        <w:tc>
          <w:tcPr>
            <w:tcW w:w="469" w:type="pct"/>
            <w:vAlign w:val="center"/>
          </w:tcPr>
          <w:p w14:paraId="4AA67158" w14:textId="77777777" w:rsidR="007D1E74" w:rsidRDefault="00A95641">
            <w:pPr>
              <w:jc w:val="center"/>
              <w:rPr>
                <w:rFonts w:cs="Times New Roman"/>
                <w:szCs w:val="21"/>
              </w:rPr>
            </w:pPr>
            <w:r>
              <w:rPr>
                <w:rFonts w:cs="Times New Roman" w:hint="eastAsia"/>
                <w:szCs w:val="21"/>
              </w:rPr>
              <w:t>4</w:t>
            </w:r>
          </w:p>
        </w:tc>
        <w:tc>
          <w:tcPr>
            <w:tcW w:w="1023" w:type="pct"/>
            <w:vAlign w:val="center"/>
          </w:tcPr>
          <w:p w14:paraId="6E571CF3" w14:textId="77777777" w:rsidR="007D1E74" w:rsidRDefault="00A95641">
            <w:pPr>
              <w:jc w:val="center"/>
              <w:rPr>
                <w:rFonts w:cs="Times New Roman"/>
                <w:szCs w:val="21"/>
              </w:rPr>
            </w:pPr>
            <w:r>
              <w:t>关路潭</w:t>
            </w:r>
          </w:p>
        </w:tc>
        <w:tc>
          <w:tcPr>
            <w:tcW w:w="471" w:type="pct"/>
            <w:vAlign w:val="center"/>
          </w:tcPr>
          <w:p w14:paraId="1EFE8A45" w14:textId="77777777" w:rsidR="007D1E74" w:rsidRDefault="00A95641">
            <w:pPr>
              <w:jc w:val="center"/>
              <w:rPr>
                <w:rFonts w:cs="Times New Roman"/>
                <w:szCs w:val="21"/>
              </w:rPr>
            </w:pPr>
            <w:r>
              <w:t>左</w:t>
            </w:r>
            <w:r>
              <w:t>/</w:t>
            </w:r>
            <w:r>
              <w:t>右</w:t>
            </w:r>
          </w:p>
        </w:tc>
        <w:tc>
          <w:tcPr>
            <w:tcW w:w="708" w:type="pct"/>
            <w:vAlign w:val="center"/>
          </w:tcPr>
          <w:p w14:paraId="260B3370" w14:textId="77777777" w:rsidR="007D1E74" w:rsidRDefault="00A95641">
            <w:pPr>
              <w:jc w:val="center"/>
              <w:rPr>
                <w:rFonts w:cs="Times New Roman"/>
                <w:szCs w:val="21"/>
              </w:rPr>
            </w:pPr>
            <w:r>
              <w:t>34~194</w:t>
            </w:r>
          </w:p>
        </w:tc>
        <w:tc>
          <w:tcPr>
            <w:tcW w:w="865" w:type="pct"/>
            <w:vAlign w:val="center"/>
          </w:tcPr>
          <w:p w14:paraId="16C11646" w14:textId="77777777" w:rsidR="007D1E74" w:rsidRDefault="00A95641">
            <w:pPr>
              <w:jc w:val="center"/>
            </w:pPr>
            <w:r>
              <w:t>约</w:t>
            </w:r>
            <w:r>
              <w:t>42</w:t>
            </w:r>
            <w:r>
              <w:t>人</w:t>
            </w:r>
          </w:p>
        </w:tc>
        <w:tc>
          <w:tcPr>
            <w:tcW w:w="488" w:type="pct"/>
            <w:vAlign w:val="center"/>
          </w:tcPr>
          <w:p w14:paraId="088032F5" w14:textId="77777777" w:rsidR="007D1E74" w:rsidRDefault="00A95641">
            <w:pPr>
              <w:jc w:val="center"/>
            </w:pPr>
            <w:r>
              <w:rPr>
                <w:rFonts w:cs="Times New Roman" w:hint="eastAsia"/>
                <w:sz w:val="24"/>
              </w:rPr>
              <w:t>居民</w:t>
            </w:r>
          </w:p>
        </w:tc>
        <w:tc>
          <w:tcPr>
            <w:tcW w:w="976" w:type="pct"/>
            <w:vMerge/>
            <w:vAlign w:val="center"/>
          </w:tcPr>
          <w:p w14:paraId="392F84F8" w14:textId="77777777" w:rsidR="007D1E74" w:rsidRDefault="007D1E74">
            <w:pPr>
              <w:jc w:val="center"/>
              <w:rPr>
                <w:rFonts w:cs="Times New Roman"/>
                <w:szCs w:val="21"/>
              </w:rPr>
            </w:pPr>
          </w:p>
        </w:tc>
      </w:tr>
      <w:tr w:rsidR="007D1E74" w14:paraId="75C756D5" w14:textId="77777777">
        <w:trPr>
          <w:trHeight w:val="70"/>
          <w:jc w:val="center"/>
        </w:trPr>
        <w:tc>
          <w:tcPr>
            <w:tcW w:w="469" w:type="pct"/>
            <w:vAlign w:val="center"/>
          </w:tcPr>
          <w:p w14:paraId="60A45114" w14:textId="77777777" w:rsidR="007D1E74" w:rsidRDefault="00A95641">
            <w:pPr>
              <w:jc w:val="center"/>
              <w:rPr>
                <w:rFonts w:cs="Times New Roman"/>
                <w:szCs w:val="21"/>
              </w:rPr>
            </w:pPr>
            <w:r>
              <w:rPr>
                <w:rFonts w:cs="Times New Roman" w:hint="eastAsia"/>
                <w:szCs w:val="21"/>
              </w:rPr>
              <w:t>5</w:t>
            </w:r>
          </w:p>
        </w:tc>
        <w:tc>
          <w:tcPr>
            <w:tcW w:w="1023" w:type="pct"/>
            <w:vAlign w:val="center"/>
          </w:tcPr>
          <w:p w14:paraId="1AC7602F" w14:textId="77777777" w:rsidR="007D1E74" w:rsidRDefault="00A95641">
            <w:pPr>
              <w:jc w:val="center"/>
              <w:rPr>
                <w:rFonts w:cs="Times New Roman"/>
                <w:szCs w:val="21"/>
              </w:rPr>
            </w:pPr>
            <w:r>
              <w:t>玉皇庙</w:t>
            </w:r>
          </w:p>
        </w:tc>
        <w:tc>
          <w:tcPr>
            <w:tcW w:w="471" w:type="pct"/>
            <w:vAlign w:val="center"/>
          </w:tcPr>
          <w:p w14:paraId="6DC19E79" w14:textId="77777777" w:rsidR="007D1E74" w:rsidRDefault="00A95641">
            <w:pPr>
              <w:jc w:val="center"/>
              <w:rPr>
                <w:rFonts w:cs="Times New Roman"/>
                <w:szCs w:val="21"/>
              </w:rPr>
            </w:pPr>
            <w:r>
              <w:t>左</w:t>
            </w:r>
            <w:r>
              <w:t>/</w:t>
            </w:r>
            <w:r>
              <w:t>右</w:t>
            </w:r>
          </w:p>
        </w:tc>
        <w:tc>
          <w:tcPr>
            <w:tcW w:w="708" w:type="pct"/>
            <w:vAlign w:val="center"/>
          </w:tcPr>
          <w:p w14:paraId="37E97906" w14:textId="77777777" w:rsidR="007D1E74" w:rsidRDefault="00A95641">
            <w:pPr>
              <w:jc w:val="center"/>
              <w:rPr>
                <w:rFonts w:cs="Times New Roman"/>
                <w:szCs w:val="21"/>
              </w:rPr>
            </w:pPr>
            <w:r>
              <w:t>35~200</w:t>
            </w:r>
          </w:p>
        </w:tc>
        <w:tc>
          <w:tcPr>
            <w:tcW w:w="865" w:type="pct"/>
            <w:vAlign w:val="center"/>
          </w:tcPr>
          <w:p w14:paraId="12D4B8C5" w14:textId="77777777" w:rsidR="007D1E74" w:rsidRDefault="00A95641">
            <w:pPr>
              <w:jc w:val="center"/>
            </w:pPr>
            <w:r>
              <w:t>约</w:t>
            </w:r>
            <w:r>
              <w:rPr>
                <w:rFonts w:hint="eastAsia"/>
              </w:rPr>
              <w:t>49</w:t>
            </w:r>
            <w:r>
              <w:t>人</w:t>
            </w:r>
          </w:p>
        </w:tc>
        <w:tc>
          <w:tcPr>
            <w:tcW w:w="488" w:type="pct"/>
            <w:vAlign w:val="center"/>
          </w:tcPr>
          <w:p w14:paraId="05C10C07" w14:textId="77777777" w:rsidR="007D1E74" w:rsidRDefault="00A95641">
            <w:pPr>
              <w:jc w:val="center"/>
            </w:pPr>
            <w:r>
              <w:rPr>
                <w:rFonts w:cs="Times New Roman" w:hint="eastAsia"/>
                <w:sz w:val="24"/>
              </w:rPr>
              <w:t>居民</w:t>
            </w:r>
          </w:p>
        </w:tc>
        <w:tc>
          <w:tcPr>
            <w:tcW w:w="976" w:type="pct"/>
            <w:vMerge/>
            <w:vAlign w:val="center"/>
          </w:tcPr>
          <w:p w14:paraId="59F70D55" w14:textId="77777777" w:rsidR="007D1E74" w:rsidRDefault="007D1E74">
            <w:pPr>
              <w:jc w:val="center"/>
              <w:rPr>
                <w:rFonts w:cs="Times New Roman"/>
                <w:szCs w:val="21"/>
              </w:rPr>
            </w:pPr>
          </w:p>
        </w:tc>
      </w:tr>
      <w:tr w:rsidR="007D1E74" w14:paraId="7F37283C" w14:textId="77777777">
        <w:trPr>
          <w:trHeight w:val="70"/>
          <w:jc w:val="center"/>
        </w:trPr>
        <w:tc>
          <w:tcPr>
            <w:tcW w:w="469" w:type="pct"/>
            <w:vAlign w:val="center"/>
          </w:tcPr>
          <w:p w14:paraId="7B5B2B3A" w14:textId="77777777" w:rsidR="007D1E74" w:rsidRDefault="00A95641">
            <w:pPr>
              <w:jc w:val="center"/>
              <w:rPr>
                <w:rFonts w:cs="Times New Roman"/>
                <w:szCs w:val="21"/>
              </w:rPr>
            </w:pPr>
            <w:r>
              <w:rPr>
                <w:rFonts w:cs="Times New Roman" w:hint="eastAsia"/>
                <w:szCs w:val="21"/>
              </w:rPr>
              <w:t>6</w:t>
            </w:r>
          </w:p>
        </w:tc>
        <w:tc>
          <w:tcPr>
            <w:tcW w:w="1023" w:type="pct"/>
            <w:vAlign w:val="center"/>
          </w:tcPr>
          <w:p w14:paraId="73964807" w14:textId="77777777" w:rsidR="007D1E74" w:rsidRDefault="00A95641">
            <w:pPr>
              <w:jc w:val="center"/>
              <w:rPr>
                <w:rFonts w:cs="Times New Roman"/>
                <w:szCs w:val="21"/>
              </w:rPr>
            </w:pPr>
            <w:r>
              <w:t>后槽湾</w:t>
            </w:r>
          </w:p>
        </w:tc>
        <w:tc>
          <w:tcPr>
            <w:tcW w:w="471" w:type="pct"/>
            <w:vAlign w:val="center"/>
          </w:tcPr>
          <w:p w14:paraId="67562D66" w14:textId="77777777" w:rsidR="007D1E74" w:rsidRDefault="00A95641">
            <w:pPr>
              <w:jc w:val="center"/>
              <w:rPr>
                <w:rFonts w:cs="Times New Roman"/>
                <w:szCs w:val="21"/>
              </w:rPr>
            </w:pPr>
            <w:r>
              <w:t>左</w:t>
            </w:r>
            <w:r>
              <w:t>/</w:t>
            </w:r>
            <w:r>
              <w:t>右</w:t>
            </w:r>
          </w:p>
        </w:tc>
        <w:tc>
          <w:tcPr>
            <w:tcW w:w="708" w:type="pct"/>
            <w:vAlign w:val="center"/>
          </w:tcPr>
          <w:p w14:paraId="7018A1CE" w14:textId="77777777" w:rsidR="007D1E74" w:rsidRDefault="00A95641">
            <w:pPr>
              <w:jc w:val="center"/>
              <w:rPr>
                <w:rFonts w:cs="Times New Roman"/>
                <w:szCs w:val="21"/>
              </w:rPr>
            </w:pPr>
            <w:r>
              <w:t>125~183</w:t>
            </w:r>
          </w:p>
        </w:tc>
        <w:tc>
          <w:tcPr>
            <w:tcW w:w="865" w:type="pct"/>
            <w:vAlign w:val="center"/>
          </w:tcPr>
          <w:p w14:paraId="7C04506C" w14:textId="77777777" w:rsidR="007D1E74" w:rsidRDefault="00A95641">
            <w:pPr>
              <w:jc w:val="center"/>
            </w:pPr>
            <w:r>
              <w:t>约</w:t>
            </w:r>
            <w:r>
              <w:rPr>
                <w:rFonts w:hint="eastAsia"/>
              </w:rPr>
              <w:t>14</w:t>
            </w:r>
            <w:r>
              <w:t>人</w:t>
            </w:r>
          </w:p>
        </w:tc>
        <w:tc>
          <w:tcPr>
            <w:tcW w:w="488" w:type="pct"/>
            <w:vAlign w:val="center"/>
          </w:tcPr>
          <w:p w14:paraId="4C8E315A" w14:textId="77777777" w:rsidR="007D1E74" w:rsidRDefault="00A95641">
            <w:pPr>
              <w:jc w:val="center"/>
            </w:pPr>
            <w:r>
              <w:rPr>
                <w:rFonts w:cs="Times New Roman" w:hint="eastAsia"/>
                <w:sz w:val="24"/>
              </w:rPr>
              <w:t>居民</w:t>
            </w:r>
          </w:p>
        </w:tc>
        <w:tc>
          <w:tcPr>
            <w:tcW w:w="976" w:type="pct"/>
            <w:vMerge/>
            <w:vAlign w:val="center"/>
          </w:tcPr>
          <w:p w14:paraId="060815C0" w14:textId="77777777" w:rsidR="007D1E74" w:rsidRDefault="007D1E74">
            <w:pPr>
              <w:jc w:val="center"/>
              <w:rPr>
                <w:rFonts w:cs="Times New Roman"/>
                <w:szCs w:val="21"/>
              </w:rPr>
            </w:pPr>
          </w:p>
        </w:tc>
      </w:tr>
      <w:tr w:rsidR="007D1E74" w14:paraId="4BD01588" w14:textId="77777777">
        <w:trPr>
          <w:trHeight w:val="70"/>
          <w:jc w:val="center"/>
        </w:trPr>
        <w:tc>
          <w:tcPr>
            <w:tcW w:w="469" w:type="pct"/>
            <w:vAlign w:val="center"/>
          </w:tcPr>
          <w:p w14:paraId="020F7C90" w14:textId="77777777" w:rsidR="007D1E74" w:rsidRDefault="00A95641">
            <w:pPr>
              <w:jc w:val="center"/>
              <w:rPr>
                <w:rFonts w:cs="Times New Roman"/>
                <w:szCs w:val="21"/>
              </w:rPr>
            </w:pPr>
            <w:r>
              <w:rPr>
                <w:rFonts w:cs="Times New Roman" w:hint="eastAsia"/>
                <w:szCs w:val="21"/>
              </w:rPr>
              <w:t>7</w:t>
            </w:r>
          </w:p>
        </w:tc>
        <w:tc>
          <w:tcPr>
            <w:tcW w:w="1023" w:type="pct"/>
            <w:vAlign w:val="center"/>
          </w:tcPr>
          <w:p w14:paraId="272A500B" w14:textId="77777777" w:rsidR="007D1E74" w:rsidRDefault="00A95641">
            <w:pPr>
              <w:jc w:val="center"/>
              <w:rPr>
                <w:rFonts w:cs="Times New Roman"/>
                <w:szCs w:val="21"/>
              </w:rPr>
            </w:pPr>
            <w:r>
              <w:t>马家院</w:t>
            </w:r>
          </w:p>
        </w:tc>
        <w:tc>
          <w:tcPr>
            <w:tcW w:w="471" w:type="pct"/>
            <w:vAlign w:val="center"/>
          </w:tcPr>
          <w:p w14:paraId="1D4D8487" w14:textId="77777777" w:rsidR="007D1E74" w:rsidRDefault="00A95641">
            <w:pPr>
              <w:jc w:val="center"/>
              <w:rPr>
                <w:rFonts w:cs="Times New Roman"/>
                <w:szCs w:val="21"/>
              </w:rPr>
            </w:pPr>
            <w:r>
              <w:t>左</w:t>
            </w:r>
            <w:r>
              <w:t>/</w:t>
            </w:r>
            <w:r>
              <w:t>右</w:t>
            </w:r>
          </w:p>
        </w:tc>
        <w:tc>
          <w:tcPr>
            <w:tcW w:w="708" w:type="pct"/>
            <w:vAlign w:val="center"/>
          </w:tcPr>
          <w:p w14:paraId="41E1E0F2" w14:textId="77777777" w:rsidR="007D1E74" w:rsidRDefault="00A95641">
            <w:pPr>
              <w:jc w:val="center"/>
              <w:rPr>
                <w:rFonts w:cs="Times New Roman"/>
                <w:szCs w:val="21"/>
              </w:rPr>
            </w:pPr>
            <w:r>
              <w:t>15~155</w:t>
            </w:r>
          </w:p>
        </w:tc>
        <w:tc>
          <w:tcPr>
            <w:tcW w:w="865" w:type="pct"/>
            <w:vAlign w:val="center"/>
          </w:tcPr>
          <w:p w14:paraId="117F7CB5" w14:textId="77777777" w:rsidR="007D1E74" w:rsidRDefault="00A95641">
            <w:pPr>
              <w:jc w:val="center"/>
            </w:pPr>
            <w:r>
              <w:t>约</w:t>
            </w:r>
            <w:r>
              <w:rPr>
                <w:rFonts w:hint="eastAsia"/>
              </w:rPr>
              <w:t>60</w:t>
            </w:r>
            <w:r>
              <w:t>人</w:t>
            </w:r>
          </w:p>
        </w:tc>
        <w:tc>
          <w:tcPr>
            <w:tcW w:w="488" w:type="pct"/>
            <w:vAlign w:val="center"/>
          </w:tcPr>
          <w:p w14:paraId="62DFE898" w14:textId="77777777" w:rsidR="007D1E74" w:rsidRDefault="00A95641">
            <w:pPr>
              <w:jc w:val="center"/>
            </w:pPr>
            <w:r>
              <w:rPr>
                <w:rFonts w:cs="Times New Roman" w:hint="eastAsia"/>
                <w:sz w:val="24"/>
              </w:rPr>
              <w:t>居民</w:t>
            </w:r>
          </w:p>
        </w:tc>
        <w:tc>
          <w:tcPr>
            <w:tcW w:w="976" w:type="pct"/>
            <w:vMerge/>
            <w:vAlign w:val="center"/>
          </w:tcPr>
          <w:p w14:paraId="42EAFBF1" w14:textId="77777777" w:rsidR="007D1E74" w:rsidRDefault="007D1E74">
            <w:pPr>
              <w:jc w:val="center"/>
              <w:rPr>
                <w:rFonts w:cs="Times New Roman"/>
                <w:szCs w:val="21"/>
              </w:rPr>
            </w:pPr>
          </w:p>
        </w:tc>
      </w:tr>
      <w:tr w:rsidR="007D1E74" w14:paraId="477550CE" w14:textId="77777777">
        <w:trPr>
          <w:trHeight w:val="70"/>
          <w:jc w:val="center"/>
        </w:trPr>
        <w:tc>
          <w:tcPr>
            <w:tcW w:w="469" w:type="pct"/>
            <w:vAlign w:val="center"/>
          </w:tcPr>
          <w:p w14:paraId="08D6D91A" w14:textId="77777777" w:rsidR="007D1E74" w:rsidRDefault="00A95641">
            <w:pPr>
              <w:jc w:val="center"/>
              <w:rPr>
                <w:rFonts w:cs="Times New Roman"/>
                <w:szCs w:val="21"/>
              </w:rPr>
            </w:pPr>
            <w:r>
              <w:rPr>
                <w:rFonts w:cs="Times New Roman"/>
                <w:szCs w:val="21"/>
              </w:rPr>
              <w:t>8</w:t>
            </w:r>
          </w:p>
        </w:tc>
        <w:tc>
          <w:tcPr>
            <w:tcW w:w="1023" w:type="pct"/>
            <w:vAlign w:val="center"/>
          </w:tcPr>
          <w:p w14:paraId="355373FE" w14:textId="77777777" w:rsidR="007D1E74" w:rsidRDefault="00A95641">
            <w:pPr>
              <w:jc w:val="center"/>
              <w:rPr>
                <w:rFonts w:cs="Times New Roman"/>
                <w:szCs w:val="21"/>
              </w:rPr>
            </w:pPr>
            <w:r>
              <w:t>草池</w:t>
            </w:r>
            <w:r>
              <w:rPr>
                <w:rFonts w:hint="eastAsia"/>
              </w:rPr>
              <w:t>乡</w:t>
            </w:r>
          </w:p>
        </w:tc>
        <w:tc>
          <w:tcPr>
            <w:tcW w:w="471" w:type="pct"/>
            <w:vAlign w:val="center"/>
          </w:tcPr>
          <w:p w14:paraId="5D959DEE" w14:textId="77777777" w:rsidR="007D1E74" w:rsidRDefault="00A95641">
            <w:pPr>
              <w:jc w:val="center"/>
              <w:rPr>
                <w:rFonts w:cs="Times New Roman"/>
                <w:szCs w:val="21"/>
              </w:rPr>
            </w:pPr>
            <w:r>
              <w:t>左</w:t>
            </w:r>
          </w:p>
        </w:tc>
        <w:tc>
          <w:tcPr>
            <w:tcW w:w="708" w:type="pct"/>
            <w:vAlign w:val="center"/>
          </w:tcPr>
          <w:p w14:paraId="4FD89850" w14:textId="77777777" w:rsidR="007D1E74" w:rsidRDefault="00A95641">
            <w:pPr>
              <w:jc w:val="center"/>
              <w:rPr>
                <w:rFonts w:cs="Times New Roman"/>
                <w:szCs w:val="21"/>
              </w:rPr>
            </w:pPr>
            <w:r>
              <w:t>27~200</w:t>
            </w:r>
          </w:p>
        </w:tc>
        <w:tc>
          <w:tcPr>
            <w:tcW w:w="865" w:type="pct"/>
            <w:vAlign w:val="center"/>
          </w:tcPr>
          <w:p w14:paraId="435821A2" w14:textId="77777777" w:rsidR="007D1E74" w:rsidRDefault="00A95641">
            <w:pPr>
              <w:jc w:val="center"/>
            </w:pPr>
            <w:r>
              <w:t>约</w:t>
            </w:r>
            <w:r>
              <w:rPr>
                <w:rFonts w:hint="eastAsia"/>
              </w:rPr>
              <w:t>140</w:t>
            </w:r>
            <w:r>
              <w:t>人</w:t>
            </w:r>
          </w:p>
        </w:tc>
        <w:tc>
          <w:tcPr>
            <w:tcW w:w="488" w:type="pct"/>
            <w:vAlign w:val="center"/>
          </w:tcPr>
          <w:p w14:paraId="270F2543" w14:textId="77777777" w:rsidR="007D1E74" w:rsidRDefault="00A95641">
            <w:pPr>
              <w:jc w:val="center"/>
            </w:pPr>
            <w:r>
              <w:rPr>
                <w:rFonts w:cs="Times New Roman" w:hint="eastAsia"/>
                <w:sz w:val="24"/>
              </w:rPr>
              <w:t>居民</w:t>
            </w:r>
          </w:p>
        </w:tc>
        <w:tc>
          <w:tcPr>
            <w:tcW w:w="976" w:type="pct"/>
            <w:vMerge/>
            <w:vAlign w:val="center"/>
          </w:tcPr>
          <w:p w14:paraId="0B1533EA" w14:textId="77777777" w:rsidR="007D1E74" w:rsidRDefault="007D1E74">
            <w:pPr>
              <w:jc w:val="center"/>
              <w:rPr>
                <w:rFonts w:cs="Times New Roman"/>
                <w:szCs w:val="21"/>
              </w:rPr>
            </w:pPr>
          </w:p>
        </w:tc>
      </w:tr>
    </w:tbl>
    <w:p w14:paraId="7AA9BC89" w14:textId="77777777" w:rsidR="007D1E74" w:rsidRDefault="007D1E74">
      <w:pPr>
        <w:spacing w:line="360" w:lineRule="auto"/>
        <w:textAlignment w:val="baseline"/>
        <w:rPr>
          <w:rFonts w:asciiTheme="minorHAnsi" w:hAnsiTheme="minorHAnsi" w:cstheme="minorHAnsi"/>
          <w:bCs/>
          <w:sz w:val="24"/>
          <w:szCs w:val="24"/>
        </w:rPr>
      </w:pPr>
    </w:p>
    <w:p w14:paraId="5CB2BB78" w14:textId="77777777" w:rsidR="007D1E74" w:rsidRDefault="007D1E74">
      <w:pPr>
        <w:spacing w:line="360" w:lineRule="auto"/>
        <w:ind w:firstLineChars="200" w:firstLine="480"/>
        <w:rPr>
          <w:sz w:val="24"/>
          <w:szCs w:val="24"/>
        </w:rPr>
      </w:pPr>
    </w:p>
    <w:p w14:paraId="4FCED36B" w14:textId="77777777" w:rsidR="007D1E74" w:rsidRDefault="007D1E74">
      <w:pPr>
        <w:pStyle w:val="a7"/>
        <w:numPr>
          <w:ilvl w:val="0"/>
          <w:numId w:val="0"/>
        </w:numPr>
        <w:ind w:left="425"/>
        <w:rPr>
          <w:sz w:val="24"/>
        </w:rPr>
      </w:pPr>
    </w:p>
    <w:p w14:paraId="4C918E21" w14:textId="77777777" w:rsidR="007D1E74" w:rsidRDefault="00A95641">
      <w:pPr>
        <w:pStyle w:val="a7"/>
        <w:spacing w:beforeLines="100" w:before="312" w:afterLines="100" w:after="312"/>
        <w:rPr>
          <w:rFonts w:cs="Times New Roman"/>
        </w:rPr>
      </w:pPr>
      <w:bookmarkStart w:id="15" w:name="_Toc19231"/>
      <w:bookmarkStart w:id="16" w:name="_Hlk93323659"/>
      <w:r>
        <w:rPr>
          <w:rFonts w:cs="Times New Roman"/>
        </w:rPr>
        <w:t xml:space="preserve">3 </w:t>
      </w:r>
      <w:r>
        <w:rPr>
          <w:rFonts w:cs="Times New Roman"/>
        </w:rPr>
        <w:t>建设项目工程分析</w:t>
      </w:r>
      <w:bookmarkEnd w:id="15"/>
    </w:p>
    <w:p w14:paraId="0706752A" w14:textId="77777777" w:rsidR="007D1E74" w:rsidRDefault="00A95641">
      <w:pPr>
        <w:spacing w:line="360" w:lineRule="auto"/>
        <w:outlineLvl w:val="1"/>
        <w:rPr>
          <w:b/>
          <w:sz w:val="30"/>
          <w:szCs w:val="30"/>
        </w:rPr>
      </w:pPr>
      <w:bookmarkStart w:id="17" w:name="_Toc3041"/>
      <w:bookmarkStart w:id="18" w:name="_Hlk93323716"/>
      <w:bookmarkEnd w:id="16"/>
      <w:r>
        <w:rPr>
          <w:b/>
          <w:sz w:val="30"/>
          <w:szCs w:val="30"/>
        </w:rPr>
        <w:t>3.1</w:t>
      </w:r>
      <w:r>
        <w:rPr>
          <w:b/>
          <w:sz w:val="30"/>
          <w:szCs w:val="30"/>
        </w:rPr>
        <w:t>建设项目概况</w:t>
      </w:r>
      <w:bookmarkEnd w:id="17"/>
    </w:p>
    <w:p w14:paraId="1DC97253" w14:textId="77777777" w:rsidR="007D1E74" w:rsidRDefault="00A95641">
      <w:pPr>
        <w:spacing w:line="360" w:lineRule="auto"/>
        <w:outlineLvl w:val="2"/>
        <w:rPr>
          <w:b/>
          <w:sz w:val="28"/>
          <w:szCs w:val="28"/>
        </w:rPr>
      </w:pPr>
      <w:r>
        <w:rPr>
          <w:b/>
          <w:sz w:val="28"/>
          <w:szCs w:val="28"/>
        </w:rPr>
        <w:t>3.1.1</w:t>
      </w:r>
      <w:r>
        <w:rPr>
          <w:b/>
          <w:sz w:val="28"/>
          <w:szCs w:val="28"/>
        </w:rPr>
        <w:t>项目基本情况</w:t>
      </w:r>
    </w:p>
    <w:p w14:paraId="5433981E" w14:textId="77777777" w:rsidR="007D1E74" w:rsidRDefault="00A95641">
      <w:pPr>
        <w:spacing w:line="360" w:lineRule="auto"/>
        <w:ind w:firstLineChars="200" w:firstLine="482"/>
        <w:contextualSpacing/>
        <w:rPr>
          <w:sz w:val="24"/>
        </w:rPr>
      </w:pPr>
      <w:r>
        <w:rPr>
          <w:b/>
          <w:bCs/>
          <w:sz w:val="24"/>
        </w:rPr>
        <w:t>项目名称</w:t>
      </w:r>
      <w:hyperlink w:anchor="_bookmark0" w:history="1">
        <w:r>
          <w:rPr>
            <w:sz w:val="24"/>
          </w:rPr>
          <w:t>：</w:t>
        </w:r>
        <w:r>
          <w:rPr>
            <w:rFonts w:hint="eastAsia"/>
            <w:sz w:val="24"/>
          </w:rPr>
          <w:t>通南巴气田马</w:t>
        </w:r>
        <w:r>
          <w:rPr>
            <w:rFonts w:hint="eastAsia"/>
            <w:sz w:val="24"/>
          </w:rPr>
          <w:t>1</w:t>
        </w:r>
        <w:r>
          <w:rPr>
            <w:rFonts w:hint="eastAsia"/>
            <w:sz w:val="24"/>
          </w:rPr>
          <w:t>、马</w:t>
        </w:r>
        <w:r>
          <w:rPr>
            <w:rFonts w:hint="eastAsia"/>
            <w:sz w:val="24"/>
          </w:rPr>
          <w:t>2</w:t>
        </w:r>
        <w:r>
          <w:rPr>
            <w:rFonts w:hint="eastAsia"/>
            <w:sz w:val="24"/>
          </w:rPr>
          <w:t>块产能建设项目（二期）地面集输工程</w:t>
        </w:r>
      </w:hyperlink>
    </w:p>
    <w:p w14:paraId="5A5F990E" w14:textId="77777777" w:rsidR="007D1E74" w:rsidRDefault="00A95641">
      <w:pPr>
        <w:spacing w:line="360" w:lineRule="auto"/>
        <w:ind w:firstLineChars="200" w:firstLine="482"/>
        <w:contextualSpacing/>
        <w:rPr>
          <w:sz w:val="24"/>
        </w:rPr>
      </w:pPr>
      <w:r>
        <w:rPr>
          <w:b/>
          <w:bCs/>
          <w:sz w:val="24"/>
        </w:rPr>
        <w:t>建设单位</w:t>
      </w:r>
      <w:hyperlink w:anchor="_bookmark1" w:history="1">
        <w:r>
          <w:rPr>
            <w:sz w:val="24"/>
          </w:rPr>
          <w:t>：中国石油化工股份有限公司中原油田普光分公司</w:t>
        </w:r>
      </w:hyperlink>
    </w:p>
    <w:p w14:paraId="207F85FB" w14:textId="77777777" w:rsidR="007D1E74" w:rsidRDefault="00A95641">
      <w:pPr>
        <w:spacing w:line="360" w:lineRule="auto"/>
        <w:ind w:firstLineChars="200" w:firstLine="482"/>
        <w:contextualSpacing/>
        <w:rPr>
          <w:sz w:val="24"/>
        </w:rPr>
      </w:pPr>
      <w:r>
        <w:rPr>
          <w:b/>
          <w:bCs/>
          <w:sz w:val="24"/>
        </w:rPr>
        <w:t>建设性质</w:t>
      </w:r>
      <w:r>
        <w:rPr>
          <w:sz w:val="24"/>
        </w:rPr>
        <w:t>：新建</w:t>
      </w:r>
    </w:p>
    <w:p w14:paraId="5743A422" w14:textId="77777777" w:rsidR="007D1E74" w:rsidRDefault="00A95641">
      <w:pPr>
        <w:spacing w:line="360" w:lineRule="auto"/>
        <w:ind w:firstLineChars="200" w:firstLine="482"/>
        <w:contextualSpacing/>
        <w:rPr>
          <w:sz w:val="24"/>
        </w:rPr>
      </w:pPr>
      <w:r>
        <w:rPr>
          <w:b/>
          <w:sz w:val="24"/>
        </w:rPr>
        <w:t>行业</w:t>
      </w:r>
      <w:r>
        <w:rPr>
          <w:b/>
          <w:bCs/>
          <w:sz w:val="24"/>
        </w:rPr>
        <w:t>类别</w:t>
      </w:r>
      <w:r>
        <w:rPr>
          <w:b/>
          <w:sz w:val="24"/>
        </w:rPr>
        <w:t>及代码</w:t>
      </w:r>
      <w:r>
        <w:rPr>
          <w:sz w:val="24"/>
        </w:rPr>
        <w:t>：陆地天然气开采【</w:t>
      </w:r>
      <w:r>
        <w:rPr>
          <w:sz w:val="24"/>
        </w:rPr>
        <w:t>B0722</w:t>
      </w:r>
      <w:r>
        <w:rPr>
          <w:sz w:val="24"/>
        </w:rPr>
        <w:t>】</w:t>
      </w:r>
      <w:r>
        <w:rPr>
          <w:sz w:val="24"/>
        </w:rPr>
        <w:t>--</w:t>
      </w:r>
      <w:r>
        <w:rPr>
          <w:sz w:val="24"/>
        </w:rPr>
        <w:t>内部集输管线建设</w:t>
      </w:r>
    </w:p>
    <w:p w14:paraId="58FC7DCC" w14:textId="77777777" w:rsidR="007D1E74" w:rsidRDefault="00A95641">
      <w:pPr>
        <w:spacing w:line="360" w:lineRule="auto"/>
        <w:ind w:firstLineChars="200" w:firstLine="482"/>
        <w:contextualSpacing/>
        <w:rPr>
          <w:sz w:val="24"/>
        </w:rPr>
      </w:pPr>
      <w:r>
        <w:rPr>
          <w:b/>
          <w:bCs/>
          <w:sz w:val="24"/>
        </w:rPr>
        <w:t>建设地点</w:t>
      </w:r>
      <w:r>
        <w:rPr>
          <w:sz w:val="24"/>
        </w:rPr>
        <w:t>：巴中市通江县青峪镇至涪阳镇</w:t>
      </w:r>
    </w:p>
    <w:p w14:paraId="6972E5F4" w14:textId="77777777" w:rsidR="007D1E74" w:rsidRDefault="00A95641">
      <w:pPr>
        <w:spacing w:line="360" w:lineRule="auto"/>
        <w:ind w:firstLineChars="200" w:firstLine="482"/>
        <w:contextualSpacing/>
        <w:rPr>
          <w:sz w:val="24"/>
        </w:rPr>
      </w:pPr>
      <w:r>
        <w:rPr>
          <w:b/>
          <w:bCs/>
          <w:sz w:val="24"/>
        </w:rPr>
        <w:t>投资金额：</w:t>
      </w:r>
      <w:r>
        <w:rPr>
          <w:sz w:val="24"/>
        </w:rPr>
        <w:t>项目总投资</w:t>
      </w:r>
      <w:r>
        <w:rPr>
          <w:sz w:val="24"/>
        </w:rPr>
        <w:t>13907</w:t>
      </w:r>
      <w:r>
        <w:rPr>
          <w:sz w:val="24"/>
        </w:rPr>
        <w:t>万元</w:t>
      </w:r>
    </w:p>
    <w:p w14:paraId="77ECC297" w14:textId="77777777" w:rsidR="007D1E74" w:rsidRDefault="00A95641">
      <w:pPr>
        <w:spacing w:line="360" w:lineRule="auto"/>
        <w:ind w:firstLineChars="200" w:firstLine="482"/>
        <w:contextualSpacing/>
        <w:rPr>
          <w:sz w:val="24"/>
        </w:rPr>
      </w:pPr>
      <w:r>
        <w:rPr>
          <w:b/>
          <w:bCs/>
          <w:sz w:val="24"/>
        </w:rPr>
        <w:t>占地面积</w:t>
      </w:r>
      <w:r>
        <w:rPr>
          <w:sz w:val="24"/>
        </w:rPr>
        <w:t>：总占地</w:t>
      </w:r>
      <w:r>
        <w:rPr>
          <w:sz w:val="24"/>
        </w:rPr>
        <w:t>37.0069hm</w:t>
      </w:r>
      <w:r>
        <w:rPr>
          <w:sz w:val="24"/>
          <w:vertAlign w:val="superscript"/>
        </w:rPr>
        <w:t>2</w:t>
      </w:r>
      <w:r>
        <w:rPr>
          <w:sz w:val="24"/>
        </w:rPr>
        <w:t>，其中大部分为临时占地</w:t>
      </w:r>
      <w:r>
        <w:rPr>
          <w:sz w:val="24"/>
        </w:rPr>
        <w:t>36.897hm</w:t>
      </w:r>
      <w:r>
        <w:rPr>
          <w:sz w:val="24"/>
          <w:vertAlign w:val="superscript"/>
        </w:rPr>
        <w:t>2</w:t>
      </w:r>
      <w:r>
        <w:rPr>
          <w:sz w:val="24"/>
        </w:rPr>
        <w:t>，里程桩、转角桩、穿越标志桩、警示牌等零散占地为永久占地约</w:t>
      </w:r>
      <w:r>
        <w:rPr>
          <w:sz w:val="24"/>
        </w:rPr>
        <w:t>1099m</w:t>
      </w:r>
      <w:r>
        <w:rPr>
          <w:sz w:val="24"/>
          <w:vertAlign w:val="superscript"/>
        </w:rPr>
        <w:t>2</w:t>
      </w:r>
      <w:r>
        <w:rPr>
          <w:sz w:val="24"/>
        </w:rPr>
        <w:t>。</w:t>
      </w:r>
    </w:p>
    <w:p w14:paraId="50F20BD9" w14:textId="77777777" w:rsidR="007D1E74" w:rsidRDefault="00A95641">
      <w:pPr>
        <w:spacing w:line="360" w:lineRule="auto"/>
        <w:ind w:firstLineChars="200" w:firstLine="480"/>
        <w:contextualSpacing/>
        <w:rPr>
          <w:sz w:val="24"/>
        </w:rPr>
      </w:pPr>
      <w:r>
        <w:rPr>
          <w:sz w:val="24"/>
        </w:rPr>
        <w:t>在设计路线优化后，新建集气干线</w:t>
      </w:r>
      <w:r>
        <w:rPr>
          <w:sz w:val="24"/>
        </w:rPr>
        <w:t>29.8km</w:t>
      </w:r>
      <w:r>
        <w:rPr>
          <w:sz w:val="24"/>
        </w:rPr>
        <w:t>，集气支线</w:t>
      </w:r>
      <w:r>
        <w:rPr>
          <w:sz w:val="24"/>
        </w:rPr>
        <w:t>8.0km</w:t>
      </w:r>
      <w:r>
        <w:rPr>
          <w:sz w:val="24"/>
        </w:rPr>
        <w:t>。其中新建</w:t>
      </w:r>
      <w:r>
        <w:rPr>
          <w:sz w:val="24"/>
        </w:rPr>
        <w:t>DN300</w:t>
      </w:r>
      <w:r>
        <w:rPr>
          <w:sz w:val="24"/>
        </w:rPr>
        <w:t>集气干线</w:t>
      </w:r>
      <w:r>
        <w:rPr>
          <w:sz w:val="24"/>
        </w:rPr>
        <w:t>15.5</w:t>
      </w:r>
      <w:r>
        <w:rPr>
          <w:sz w:val="24"/>
        </w:rPr>
        <w:t>千米，</w:t>
      </w:r>
      <w:r>
        <w:rPr>
          <w:sz w:val="24"/>
        </w:rPr>
        <w:t>DN350</w:t>
      </w:r>
      <w:r>
        <w:rPr>
          <w:sz w:val="24"/>
        </w:rPr>
        <w:t>集气干线</w:t>
      </w:r>
      <w:r>
        <w:rPr>
          <w:sz w:val="24"/>
        </w:rPr>
        <w:t>14.3</w:t>
      </w:r>
      <w:r>
        <w:rPr>
          <w:sz w:val="24"/>
        </w:rPr>
        <w:t>千米；新建</w:t>
      </w:r>
      <w:r>
        <w:rPr>
          <w:sz w:val="24"/>
        </w:rPr>
        <w:t>DN100</w:t>
      </w:r>
      <w:r>
        <w:rPr>
          <w:sz w:val="24"/>
        </w:rPr>
        <w:t>集气支线</w:t>
      </w:r>
      <w:r>
        <w:rPr>
          <w:sz w:val="24"/>
        </w:rPr>
        <w:t>6.4</w:t>
      </w:r>
      <w:r>
        <w:rPr>
          <w:sz w:val="24"/>
        </w:rPr>
        <w:t>千米，</w:t>
      </w:r>
      <w:r>
        <w:rPr>
          <w:sz w:val="24"/>
        </w:rPr>
        <w:t>DN300</w:t>
      </w:r>
      <w:r>
        <w:rPr>
          <w:sz w:val="24"/>
        </w:rPr>
        <w:t>集气支线</w:t>
      </w:r>
      <w:r>
        <w:rPr>
          <w:sz w:val="24"/>
        </w:rPr>
        <w:t>1.6</w:t>
      </w:r>
      <w:r>
        <w:rPr>
          <w:sz w:val="24"/>
        </w:rPr>
        <w:t>千米。</w:t>
      </w:r>
    </w:p>
    <w:p w14:paraId="70BD5A5F" w14:textId="77777777" w:rsidR="007D1E74" w:rsidRDefault="00A95641">
      <w:pPr>
        <w:spacing w:line="360" w:lineRule="auto"/>
        <w:ind w:firstLineChars="200" w:firstLine="482"/>
        <w:contextualSpacing/>
        <w:rPr>
          <w:sz w:val="24"/>
        </w:rPr>
      </w:pPr>
      <w:r>
        <w:rPr>
          <w:b/>
          <w:bCs/>
          <w:sz w:val="24"/>
        </w:rPr>
        <w:t>线路穿越</w:t>
      </w:r>
      <w:r>
        <w:rPr>
          <w:sz w:val="24"/>
        </w:rPr>
        <w:t>：工程管道穿越小型沟渠</w:t>
      </w:r>
      <w:r>
        <w:rPr>
          <w:sz w:val="24"/>
        </w:rPr>
        <w:t>115m/9</w:t>
      </w:r>
      <w:r>
        <w:rPr>
          <w:sz w:val="24"/>
        </w:rPr>
        <w:t>次，穿越村道</w:t>
      </w:r>
      <w:r>
        <w:rPr>
          <w:sz w:val="24"/>
        </w:rPr>
        <w:t>335.4m/41</w:t>
      </w:r>
      <w:r>
        <w:rPr>
          <w:sz w:val="24"/>
        </w:rPr>
        <w:t>次，穿越</w:t>
      </w:r>
      <w:r>
        <w:rPr>
          <w:sz w:val="24"/>
        </w:rPr>
        <w:t>S204</w:t>
      </w:r>
      <w:r>
        <w:rPr>
          <w:sz w:val="24"/>
        </w:rPr>
        <w:t>快速路</w:t>
      </w:r>
      <w:r>
        <w:rPr>
          <w:sz w:val="24"/>
        </w:rPr>
        <w:t>166.4m/4</w:t>
      </w:r>
      <w:r>
        <w:rPr>
          <w:sz w:val="24"/>
        </w:rPr>
        <w:t>次，穿越</w:t>
      </w:r>
      <w:r>
        <w:rPr>
          <w:sz w:val="24"/>
        </w:rPr>
        <w:t>S201</w:t>
      </w:r>
      <w:r>
        <w:rPr>
          <w:sz w:val="24"/>
        </w:rPr>
        <w:t>省道</w:t>
      </w:r>
      <w:r>
        <w:rPr>
          <w:sz w:val="24"/>
        </w:rPr>
        <w:t>30m/2</w:t>
      </w:r>
      <w:r>
        <w:rPr>
          <w:sz w:val="24"/>
        </w:rPr>
        <w:t>次，穿越</w:t>
      </w:r>
      <w:bookmarkStart w:id="19" w:name="_Hlk98251511"/>
      <w:r>
        <w:rPr>
          <w:sz w:val="24"/>
        </w:rPr>
        <w:t>四川诺水河珍稀水生动物自然保护区小通江</w:t>
      </w:r>
      <w:bookmarkEnd w:id="19"/>
      <w:r>
        <w:rPr>
          <w:sz w:val="24"/>
        </w:rPr>
        <w:t>1000.4m/3</w:t>
      </w:r>
      <w:r>
        <w:rPr>
          <w:sz w:val="24"/>
        </w:rPr>
        <w:t>次，穿越新场镇</w:t>
      </w:r>
      <w:r>
        <w:rPr>
          <w:rFonts w:hint="eastAsia"/>
          <w:sz w:val="24"/>
        </w:rPr>
        <w:t>沙湾里</w:t>
      </w:r>
      <w:r>
        <w:rPr>
          <w:sz w:val="24"/>
        </w:rPr>
        <w:t>饮用水源保护区二级保护区（陆域）</w:t>
      </w:r>
      <w:r>
        <w:rPr>
          <w:sz w:val="24"/>
        </w:rPr>
        <w:t>4219m/2</w:t>
      </w:r>
      <w:r>
        <w:rPr>
          <w:sz w:val="24"/>
        </w:rPr>
        <w:t>次，涪阳镇</w:t>
      </w:r>
      <w:r>
        <w:rPr>
          <w:rFonts w:hint="eastAsia"/>
          <w:sz w:val="24"/>
        </w:rPr>
        <w:t>酒厂沟</w:t>
      </w:r>
      <w:r>
        <w:rPr>
          <w:sz w:val="24"/>
        </w:rPr>
        <w:t>饮用水源保护区二级保护区（陆域）</w:t>
      </w:r>
      <w:r>
        <w:rPr>
          <w:sz w:val="24"/>
        </w:rPr>
        <w:t>2680m/1</w:t>
      </w:r>
      <w:r>
        <w:rPr>
          <w:sz w:val="24"/>
        </w:rPr>
        <w:t>次。</w:t>
      </w:r>
    </w:p>
    <w:p w14:paraId="2B40E6D9" w14:textId="77777777" w:rsidR="007D1E74" w:rsidRDefault="00A95641">
      <w:pPr>
        <w:spacing w:line="360" w:lineRule="auto"/>
        <w:ind w:firstLineChars="200" w:firstLine="482"/>
        <w:contextualSpacing/>
        <w:rPr>
          <w:sz w:val="24"/>
        </w:rPr>
      </w:pPr>
      <w:r>
        <w:rPr>
          <w:b/>
          <w:bCs/>
          <w:sz w:val="24"/>
        </w:rPr>
        <w:t>阀室</w:t>
      </w:r>
      <w:r>
        <w:rPr>
          <w:sz w:val="24"/>
        </w:rPr>
        <w:t>：新建</w:t>
      </w:r>
      <w:r>
        <w:rPr>
          <w:sz w:val="24"/>
        </w:rPr>
        <w:t>1#</w:t>
      </w:r>
      <w:r>
        <w:rPr>
          <w:sz w:val="24"/>
        </w:rPr>
        <w:t>阀室，阀室内新建重力分离器撬（</w:t>
      </w:r>
      <w:r>
        <w:rPr>
          <w:sz w:val="24"/>
        </w:rPr>
        <w:t>1.8m×6m</w:t>
      </w:r>
      <w:r>
        <w:rPr>
          <w:sz w:val="24"/>
        </w:rPr>
        <w:t>）、放空分液储存集成装置（</w:t>
      </w:r>
      <w:r>
        <w:rPr>
          <w:sz w:val="24"/>
        </w:rPr>
        <w:t>3m×8m</w:t>
      </w:r>
      <w:r>
        <w:rPr>
          <w:sz w:val="24"/>
        </w:rPr>
        <w:t>）各</w:t>
      </w:r>
      <w:r>
        <w:rPr>
          <w:sz w:val="24"/>
        </w:rPr>
        <w:t xml:space="preserve"> 1 </w:t>
      </w:r>
      <w:r>
        <w:rPr>
          <w:sz w:val="24"/>
        </w:rPr>
        <w:t>座，天然气阀组、放空立管及相应管线连接。</w:t>
      </w:r>
    </w:p>
    <w:p w14:paraId="73E4E1E1" w14:textId="77777777" w:rsidR="007D1E74" w:rsidRDefault="00A95641">
      <w:pPr>
        <w:spacing w:line="360" w:lineRule="auto"/>
        <w:ind w:firstLineChars="200" w:firstLine="482"/>
        <w:contextualSpacing/>
        <w:rPr>
          <w:sz w:val="24"/>
        </w:rPr>
      </w:pPr>
      <w:r>
        <w:rPr>
          <w:b/>
          <w:bCs/>
          <w:sz w:val="24"/>
        </w:rPr>
        <w:t>阀组：</w:t>
      </w:r>
      <w:r>
        <w:rPr>
          <w:sz w:val="24"/>
        </w:rPr>
        <w:t>新建</w:t>
      </w:r>
      <w:r>
        <w:rPr>
          <w:sz w:val="24"/>
        </w:rPr>
        <w:t>2#</w:t>
      </w:r>
      <w:r>
        <w:rPr>
          <w:sz w:val="24"/>
        </w:rPr>
        <w:t>、</w:t>
      </w:r>
      <w:r>
        <w:rPr>
          <w:sz w:val="24"/>
        </w:rPr>
        <w:t>3#</w:t>
      </w:r>
      <w:r>
        <w:rPr>
          <w:sz w:val="24"/>
        </w:rPr>
        <w:t>插输阀组、</w:t>
      </w:r>
      <w:r>
        <w:rPr>
          <w:sz w:val="24"/>
        </w:rPr>
        <w:t>4#</w:t>
      </w:r>
      <w:r>
        <w:rPr>
          <w:sz w:val="24"/>
        </w:rPr>
        <w:t>清管阀组。</w:t>
      </w:r>
    </w:p>
    <w:p w14:paraId="2EBA66C8" w14:textId="77777777" w:rsidR="007D1E74" w:rsidRDefault="00A95641">
      <w:pPr>
        <w:pStyle w:val="affffff6"/>
        <w:ind w:firstLine="482"/>
        <w:rPr>
          <w:rFonts w:ascii="Times New Roman" w:hAnsi="Times New Roman" w:cs="Times New Roman"/>
          <w:b/>
          <w:bCs/>
          <w:u w:val="single"/>
        </w:rPr>
      </w:pPr>
      <w:r>
        <w:rPr>
          <w:rFonts w:ascii="Times New Roman" w:hAnsi="Times New Roman" w:cs="Times New Roman"/>
          <w:b/>
          <w:bCs/>
          <w:u w:val="single"/>
        </w:rPr>
        <w:t>本项目天然气经管道输入马</w:t>
      </w:r>
      <w:r>
        <w:rPr>
          <w:rFonts w:ascii="Times New Roman" w:hAnsi="Times New Roman" w:cs="Times New Roman"/>
          <w:b/>
          <w:bCs/>
          <w:u w:val="single"/>
        </w:rPr>
        <w:t>1-11</w:t>
      </w:r>
      <w:r>
        <w:rPr>
          <w:rFonts w:ascii="Times New Roman" w:hAnsi="Times New Roman" w:cs="Times New Roman"/>
          <w:b/>
          <w:bCs/>
          <w:u w:val="single"/>
        </w:rPr>
        <w:t>脱水井场新建脱水撬脱水后集输至草池增压站后外输，本次评价范围不含马</w:t>
      </w:r>
      <w:r>
        <w:rPr>
          <w:rFonts w:ascii="Times New Roman" w:hAnsi="Times New Roman" w:cs="Times New Roman"/>
          <w:b/>
          <w:bCs/>
          <w:u w:val="single"/>
        </w:rPr>
        <w:t>1-11</w:t>
      </w:r>
      <w:r>
        <w:rPr>
          <w:rFonts w:ascii="Times New Roman" w:hAnsi="Times New Roman" w:cs="Times New Roman"/>
          <w:b/>
          <w:bCs/>
          <w:u w:val="single"/>
        </w:rPr>
        <w:t>脱水撬，该新建脱水撬须，另行评价。</w:t>
      </w:r>
    </w:p>
    <w:p w14:paraId="4005CBD1" w14:textId="77777777" w:rsidR="007D1E74" w:rsidRDefault="00A95641">
      <w:pPr>
        <w:spacing w:line="360" w:lineRule="auto"/>
        <w:ind w:firstLineChars="200" w:firstLine="482"/>
        <w:contextualSpacing/>
        <w:rPr>
          <w:sz w:val="24"/>
        </w:rPr>
      </w:pPr>
      <w:r>
        <w:rPr>
          <w:b/>
          <w:bCs/>
          <w:sz w:val="24"/>
        </w:rPr>
        <w:t>项目实施进度安排：</w:t>
      </w:r>
      <w:r>
        <w:rPr>
          <w:sz w:val="24"/>
        </w:rPr>
        <w:t>项目计划从</w:t>
      </w:r>
      <w:r>
        <w:rPr>
          <w:sz w:val="24"/>
        </w:rPr>
        <w:t>2022</w:t>
      </w:r>
      <w:r>
        <w:rPr>
          <w:sz w:val="24"/>
        </w:rPr>
        <w:t>年</w:t>
      </w:r>
      <w:r>
        <w:rPr>
          <w:sz w:val="24"/>
        </w:rPr>
        <w:t>6</w:t>
      </w:r>
      <w:r>
        <w:rPr>
          <w:sz w:val="24"/>
        </w:rPr>
        <w:t>月开始实施，</w:t>
      </w:r>
      <w:r>
        <w:rPr>
          <w:sz w:val="24"/>
        </w:rPr>
        <w:t>2022</w:t>
      </w:r>
      <w:r>
        <w:rPr>
          <w:sz w:val="24"/>
        </w:rPr>
        <w:t>年</w:t>
      </w:r>
      <w:r>
        <w:rPr>
          <w:sz w:val="24"/>
        </w:rPr>
        <w:t>12</w:t>
      </w:r>
      <w:r>
        <w:rPr>
          <w:sz w:val="24"/>
        </w:rPr>
        <w:t>月建成投产。</w:t>
      </w:r>
    </w:p>
    <w:p w14:paraId="3968DD81" w14:textId="77777777" w:rsidR="007D1E74" w:rsidRDefault="00A95641">
      <w:pPr>
        <w:tabs>
          <w:tab w:val="left" w:pos="964"/>
        </w:tabs>
        <w:spacing w:before="101" w:after="21"/>
        <w:ind w:right="155"/>
        <w:jc w:val="center"/>
        <w:rPr>
          <w:b/>
        </w:rPr>
      </w:pPr>
      <w:r>
        <w:rPr>
          <w:b/>
        </w:rPr>
        <w:lastRenderedPageBreak/>
        <w:t>表</w:t>
      </w:r>
      <w:r>
        <w:rPr>
          <w:b/>
          <w:spacing w:val="1"/>
        </w:rPr>
        <w:t xml:space="preserve"> </w:t>
      </w:r>
      <w:r>
        <w:rPr>
          <w:b/>
        </w:rPr>
        <w:t>3.1-1</w:t>
      </w:r>
      <w:r>
        <w:rPr>
          <w:b/>
        </w:rPr>
        <w:tab/>
      </w:r>
      <w:r>
        <w:rPr>
          <w:b/>
        </w:rPr>
        <w:t>集输管线基本</w:t>
      </w:r>
      <w:r>
        <w:rPr>
          <w:b/>
          <w:spacing w:val="-3"/>
        </w:rPr>
        <w:t>情</w:t>
      </w:r>
      <w:r>
        <w:rPr>
          <w:b/>
        </w:rPr>
        <w:t>况一览表</w:t>
      </w:r>
    </w:p>
    <w:tbl>
      <w:tblPr>
        <w:tblW w:w="8905" w:type="dxa"/>
        <w:tblLook w:val="04A0" w:firstRow="1" w:lastRow="0" w:firstColumn="1" w:lastColumn="0" w:noHBand="0" w:noVBand="1"/>
      </w:tblPr>
      <w:tblGrid>
        <w:gridCol w:w="562"/>
        <w:gridCol w:w="1985"/>
        <w:gridCol w:w="1104"/>
        <w:gridCol w:w="884"/>
        <w:gridCol w:w="992"/>
        <w:gridCol w:w="913"/>
        <w:gridCol w:w="1033"/>
        <w:gridCol w:w="1432"/>
      </w:tblGrid>
      <w:tr w:rsidR="007D1E74" w14:paraId="0430F63C" w14:textId="77777777">
        <w:trPr>
          <w:trHeight w:val="427"/>
        </w:trPr>
        <w:tc>
          <w:tcPr>
            <w:tcW w:w="56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70669C5" w14:textId="77777777" w:rsidR="007D1E74" w:rsidRDefault="00A95641">
            <w:pPr>
              <w:widowControl/>
              <w:snapToGrid w:val="0"/>
              <w:jc w:val="center"/>
              <w:rPr>
                <w:kern w:val="0"/>
                <w:szCs w:val="21"/>
              </w:rPr>
            </w:pPr>
            <w:r>
              <w:rPr>
                <w:kern w:val="0"/>
                <w:szCs w:val="21"/>
              </w:rPr>
              <w:t>序号</w:t>
            </w:r>
          </w:p>
        </w:tc>
        <w:tc>
          <w:tcPr>
            <w:tcW w:w="198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C145E1F" w14:textId="77777777" w:rsidR="007D1E74" w:rsidRDefault="00A95641">
            <w:pPr>
              <w:widowControl/>
              <w:snapToGrid w:val="0"/>
              <w:jc w:val="center"/>
              <w:rPr>
                <w:kern w:val="0"/>
                <w:szCs w:val="21"/>
              </w:rPr>
            </w:pPr>
            <w:r>
              <w:rPr>
                <w:kern w:val="0"/>
                <w:szCs w:val="21"/>
              </w:rPr>
              <w:t>子项目名称</w:t>
            </w:r>
          </w:p>
        </w:tc>
        <w:tc>
          <w:tcPr>
            <w:tcW w:w="110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46B7D8A" w14:textId="77777777" w:rsidR="007D1E74" w:rsidRDefault="00A95641">
            <w:pPr>
              <w:widowControl/>
              <w:snapToGrid w:val="0"/>
              <w:jc w:val="center"/>
              <w:rPr>
                <w:kern w:val="0"/>
                <w:szCs w:val="21"/>
              </w:rPr>
            </w:pPr>
            <w:r>
              <w:rPr>
                <w:kern w:val="0"/>
                <w:szCs w:val="21"/>
              </w:rPr>
              <w:t>起点</w:t>
            </w:r>
          </w:p>
        </w:tc>
        <w:tc>
          <w:tcPr>
            <w:tcW w:w="88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ABBEC67" w14:textId="77777777" w:rsidR="007D1E74" w:rsidRDefault="00A95641">
            <w:pPr>
              <w:widowControl/>
              <w:snapToGrid w:val="0"/>
              <w:jc w:val="center"/>
              <w:rPr>
                <w:kern w:val="0"/>
                <w:szCs w:val="21"/>
              </w:rPr>
            </w:pPr>
            <w:r>
              <w:rPr>
                <w:kern w:val="0"/>
                <w:szCs w:val="21"/>
              </w:rPr>
              <w:t>终点</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68FA04" w14:textId="77777777" w:rsidR="007D1E74" w:rsidRDefault="00A95641">
            <w:pPr>
              <w:widowControl/>
              <w:snapToGrid w:val="0"/>
              <w:jc w:val="center"/>
              <w:rPr>
                <w:kern w:val="0"/>
                <w:szCs w:val="21"/>
              </w:rPr>
            </w:pPr>
            <w:r>
              <w:rPr>
                <w:kern w:val="0"/>
                <w:szCs w:val="21"/>
              </w:rPr>
              <w:t>管径</w:t>
            </w:r>
          </w:p>
        </w:tc>
        <w:tc>
          <w:tcPr>
            <w:tcW w:w="9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4C5A0D" w14:textId="77777777" w:rsidR="007D1E74" w:rsidRDefault="00A95641">
            <w:pPr>
              <w:widowControl/>
              <w:snapToGrid w:val="0"/>
              <w:jc w:val="center"/>
              <w:rPr>
                <w:kern w:val="0"/>
                <w:szCs w:val="21"/>
              </w:rPr>
            </w:pPr>
            <w:r>
              <w:rPr>
                <w:kern w:val="0"/>
                <w:szCs w:val="21"/>
              </w:rPr>
              <w:t>长度</w:t>
            </w:r>
          </w:p>
        </w:tc>
        <w:tc>
          <w:tcPr>
            <w:tcW w:w="103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0275C18" w14:textId="77777777" w:rsidR="007D1E74" w:rsidRDefault="00A95641">
            <w:pPr>
              <w:widowControl/>
              <w:snapToGrid w:val="0"/>
              <w:jc w:val="center"/>
              <w:rPr>
                <w:kern w:val="0"/>
                <w:szCs w:val="21"/>
              </w:rPr>
            </w:pPr>
            <w:r>
              <w:rPr>
                <w:kern w:val="0"/>
                <w:szCs w:val="21"/>
              </w:rPr>
              <w:t>设计压力（</w:t>
            </w:r>
            <w:r>
              <w:rPr>
                <w:kern w:val="0"/>
                <w:szCs w:val="21"/>
              </w:rPr>
              <w:t>MPa</w:t>
            </w:r>
            <w:r>
              <w:rPr>
                <w:kern w:val="0"/>
                <w:szCs w:val="21"/>
              </w:rPr>
              <w:t>）</w:t>
            </w:r>
          </w:p>
        </w:tc>
        <w:tc>
          <w:tcPr>
            <w:tcW w:w="143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104E77A" w14:textId="77777777" w:rsidR="007D1E74" w:rsidRDefault="00A95641">
            <w:pPr>
              <w:widowControl/>
              <w:snapToGrid w:val="0"/>
              <w:jc w:val="center"/>
              <w:rPr>
                <w:kern w:val="0"/>
                <w:szCs w:val="21"/>
              </w:rPr>
            </w:pPr>
            <w:r>
              <w:rPr>
                <w:kern w:val="0"/>
                <w:szCs w:val="21"/>
              </w:rPr>
              <w:t>设计输气能力（</w:t>
            </w:r>
            <w:r>
              <w:rPr>
                <w:kern w:val="0"/>
                <w:szCs w:val="21"/>
              </w:rPr>
              <w:t>×10</w:t>
            </w:r>
            <w:r>
              <w:rPr>
                <w:kern w:val="0"/>
                <w:szCs w:val="21"/>
                <w:vertAlign w:val="superscript"/>
              </w:rPr>
              <w:t>4</w:t>
            </w:r>
            <w:r>
              <w:rPr>
                <w:kern w:val="0"/>
                <w:szCs w:val="21"/>
              </w:rPr>
              <w:t>m</w:t>
            </w:r>
            <w:r>
              <w:rPr>
                <w:kern w:val="0"/>
                <w:szCs w:val="21"/>
                <w:vertAlign w:val="superscript"/>
              </w:rPr>
              <w:t>3</w:t>
            </w:r>
            <w:r>
              <w:rPr>
                <w:kern w:val="0"/>
                <w:szCs w:val="21"/>
              </w:rPr>
              <w:t>/d</w:t>
            </w:r>
            <w:r>
              <w:rPr>
                <w:kern w:val="0"/>
                <w:szCs w:val="21"/>
              </w:rPr>
              <w:t>）</w:t>
            </w:r>
          </w:p>
        </w:tc>
      </w:tr>
      <w:tr w:rsidR="007D1E74" w14:paraId="698674C7" w14:textId="77777777">
        <w:trPr>
          <w:trHeight w:val="303"/>
        </w:trPr>
        <w:tc>
          <w:tcPr>
            <w:tcW w:w="562" w:type="dxa"/>
            <w:vMerge/>
            <w:tcBorders>
              <w:top w:val="single" w:sz="4" w:space="0" w:color="000000"/>
              <w:left w:val="single" w:sz="4" w:space="0" w:color="000000"/>
              <w:bottom w:val="single" w:sz="4" w:space="0" w:color="000000"/>
              <w:right w:val="single" w:sz="4" w:space="0" w:color="000000"/>
            </w:tcBorders>
            <w:vAlign w:val="center"/>
          </w:tcPr>
          <w:p w14:paraId="65631723" w14:textId="77777777" w:rsidR="007D1E74" w:rsidRDefault="007D1E74">
            <w:pPr>
              <w:widowControl/>
              <w:snapToGrid w:val="0"/>
              <w:jc w:val="left"/>
              <w:rPr>
                <w:kern w:val="0"/>
                <w:szCs w:val="21"/>
              </w:rPr>
            </w:pPr>
          </w:p>
        </w:tc>
        <w:tc>
          <w:tcPr>
            <w:tcW w:w="1985" w:type="dxa"/>
            <w:vMerge/>
            <w:tcBorders>
              <w:top w:val="single" w:sz="4" w:space="0" w:color="000000"/>
              <w:left w:val="single" w:sz="4" w:space="0" w:color="000000"/>
              <w:bottom w:val="single" w:sz="4" w:space="0" w:color="000000"/>
              <w:right w:val="single" w:sz="4" w:space="0" w:color="000000"/>
            </w:tcBorders>
            <w:vAlign w:val="center"/>
          </w:tcPr>
          <w:p w14:paraId="257B9486" w14:textId="77777777" w:rsidR="007D1E74" w:rsidRDefault="007D1E74">
            <w:pPr>
              <w:widowControl/>
              <w:snapToGrid w:val="0"/>
              <w:jc w:val="left"/>
              <w:rPr>
                <w:kern w:val="0"/>
                <w:szCs w:val="21"/>
              </w:rPr>
            </w:pPr>
          </w:p>
        </w:tc>
        <w:tc>
          <w:tcPr>
            <w:tcW w:w="1104" w:type="dxa"/>
            <w:vMerge/>
            <w:tcBorders>
              <w:top w:val="single" w:sz="4" w:space="0" w:color="000000"/>
              <w:left w:val="single" w:sz="4" w:space="0" w:color="000000"/>
              <w:bottom w:val="single" w:sz="4" w:space="0" w:color="000000"/>
              <w:right w:val="single" w:sz="4" w:space="0" w:color="000000"/>
            </w:tcBorders>
            <w:vAlign w:val="center"/>
          </w:tcPr>
          <w:p w14:paraId="10FDA75C" w14:textId="77777777" w:rsidR="007D1E74" w:rsidRDefault="007D1E74">
            <w:pPr>
              <w:widowControl/>
              <w:snapToGrid w:val="0"/>
              <w:jc w:val="left"/>
              <w:rPr>
                <w:kern w:val="0"/>
                <w:szCs w:val="21"/>
              </w:rPr>
            </w:pPr>
          </w:p>
        </w:tc>
        <w:tc>
          <w:tcPr>
            <w:tcW w:w="884" w:type="dxa"/>
            <w:vMerge/>
            <w:tcBorders>
              <w:top w:val="single" w:sz="4" w:space="0" w:color="000000"/>
              <w:left w:val="single" w:sz="4" w:space="0" w:color="000000"/>
              <w:bottom w:val="single" w:sz="4" w:space="0" w:color="000000"/>
              <w:right w:val="single" w:sz="4" w:space="0" w:color="000000"/>
            </w:tcBorders>
            <w:vAlign w:val="center"/>
          </w:tcPr>
          <w:p w14:paraId="6E0A1D41" w14:textId="77777777" w:rsidR="007D1E74" w:rsidRDefault="007D1E74">
            <w:pPr>
              <w:widowControl/>
              <w:snapToGrid w:val="0"/>
              <w:jc w:val="left"/>
              <w:rPr>
                <w:kern w:val="0"/>
                <w:szCs w:val="21"/>
              </w:rPr>
            </w:pP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114698" w14:textId="77777777" w:rsidR="007D1E74" w:rsidRDefault="00A95641">
            <w:pPr>
              <w:widowControl/>
              <w:snapToGrid w:val="0"/>
              <w:jc w:val="center"/>
              <w:rPr>
                <w:kern w:val="0"/>
                <w:szCs w:val="21"/>
              </w:rPr>
            </w:pPr>
            <w:r>
              <w:rPr>
                <w:kern w:val="0"/>
                <w:szCs w:val="21"/>
              </w:rPr>
              <w:t>(mm)</w:t>
            </w:r>
          </w:p>
          <w:p w14:paraId="52CDF1FC" w14:textId="77777777" w:rsidR="007D1E74" w:rsidRDefault="007D1E74">
            <w:pPr>
              <w:rPr>
                <w:szCs w:val="21"/>
              </w:rPr>
            </w:pPr>
          </w:p>
          <w:p w14:paraId="41C9364D" w14:textId="77777777" w:rsidR="007D1E74" w:rsidRDefault="007D1E74">
            <w:pPr>
              <w:rPr>
                <w:kern w:val="0"/>
                <w:szCs w:val="21"/>
              </w:rPr>
            </w:pPr>
          </w:p>
          <w:p w14:paraId="5F34F513" w14:textId="77777777" w:rsidR="007D1E74" w:rsidRDefault="007D1E74">
            <w:pPr>
              <w:rPr>
                <w:szCs w:val="21"/>
              </w:rPr>
            </w:pPr>
          </w:p>
        </w:tc>
        <w:tc>
          <w:tcPr>
            <w:tcW w:w="9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AAB039" w14:textId="77777777" w:rsidR="007D1E74" w:rsidRDefault="00A95641">
            <w:pPr>
              <w:widowControl/>
              <w:snapToGrid w:val="0"/>
              <w:jc w:val="center"/>
              <w:rPr>
                <w:kern w:val="0"/>
                <w:szCs w:val="21"/>
              </w:rPr>
            </w:pPr>
            <w:r>
              <w:rPr>
                <w:kern w:val="0"/>
                <w:szCs w:val="21"/>
              </w:rPr>
              <w:t>(km)</w:t>
            </w:r>
          </w:p>
        </w:tc>
        <w:tc>
          <w:tcPr>
            <w:tcW w:w="1033" w:type="dxa"/>
            <w:vMerge/>
            <w:tcBorders>
              <w:top w:val="single" w:sz="4" w:space="0" w:color="000000"/>
              <w:left w:val="single" w:sz="4" w:space="0" w:color="000000"/>
              <w:bottom w:val="single" w:sz="4" w:space="0" w:color="000000"/>
              <w:right w:val="single" w:sz="4" w:space="0" w:color="000000"/>
            </w:tcBorders>
            <w:vAlign w:val="center"/>
          </w:tcPr>
          <w:p w14:paraId="683737C5" w14:textId="77777777" w:rsidR="007D1E74" w:rsidRDefault="007D1E74">
            <w:pPr>
              <w:widowControl/>
              <w:snapToGrid w:val="0"/>
              <w:jc w:val="left"/>
              <w:rPr>
                <w:kern w:val="0"/>
                <w:szCs w:val="21"/>
              </w:rPr>
            </w:pPr>
          </w:p>
        </w:tc>
        <w:tc>
          <w:tcPr>
            <w:tcW w:w="1432" w:type="dxa"/>
            <w:vMerge/>
            <w:tcBorders>
              <w:top w:val="single" w:sz="4" w:space="0" w:color="000000"/>
              <w:left w:val="single" w:sz="4" w:space="0" w:color="000000"/>
              <w:bottom w:val="single" w:sz="4" w:space="0" w:color="000000"/>
              <w:right w:val="single" w:sz="4" w:space="0" w:color="000000"/>
            </w:tcBorders>
            <w:vAlign w:val="center"/>
          </w:tcPr>
          <w:p w14:paraId="29638232" w14:textId="77777777" w:rsidR="007D1E74" w:rsidRDefault="007D1E74">
            <w:pPr>
              <w:widowControl/>
              <w:snapToGrid w:val="0"/>
              <w:jc w:val="left"/>
              <w:rPr>
                <w:kern w:val="0"/>
                <w:szCs w:val="21"/>
              </w:rPr>
            </w:pPr>
          </w:p>
        </w:tc>
      </w:tr>
      <w:tr w:rsidR="007D1E74" w14:paraId="0B423B92" w14:textId="77777777">
        <w:trPr>
          <w:trHeight w:val="591"/>
        </w:trPr>
        <w:tc>
          <w:tcPr>
            <w:tcW w:w="5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3AF478" w14:textId="77777777" w:rsidR="007D1E74" w:rsidRDefault="00A95641">
            <w:pPr>
              <w:widowControl/>
              <w:snapToGrid w:val="0"/>
              <w:jc w:val="center"/>
              <w:rPr>
                <w:kern w:val="0"/>
                <w:szCs w:val="21"/>
              </w:rPr>
            </w:pPr>
            <w:r>
              <w:rPr>
                <w:kern w:val="0"/>
                <w:szCs w:val="21"/>
              </w:rPr>
              <w:t>1</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C19B4C" w14:textId="77777777" w:rsidR="007D1E74" w:rsidRDefault="00A95641">
            <w:pPr>
              <w:widowControl/>
              <w:snapToGrid w:val="0"/>
              <w:jc w:val="center"/>
              <w:rPr>
                <w:kern w:val="0"/>
                <w:szCs w:val="21"/>
              </w:rPr>
            </w:pPr>
            <w:r>
              <w:rPr>
                <w:kern w:val="0"/>
                <w:szCs w:val="21"/>
              </w:rPr>
              <w:t>1#</w:t>
            </w:r>
            <w:r>
              <w:rPr>
                <w:kern w:val="0"/>
                <w:szCs w:val="21"/>
              </w:rPr>
              <w:t>阀室至马</w:t>
            </w:r>
            <w:r>
              <w:rPr>
                <w:kern w:val="0"/>
                <w:szCs w:val="21"/>
              </w:rPr>
              <w:t>1-11</w:t>
            </w:r>
            <w:r>
              <w:rPr>
                <w:kern w:val="0"/>
                <w:szCs w:val="21"/>
              </w:rPr>
              <w:t>脱水井场集气干线</w:t>
            </w:r>
          </w:p>
        </w:tc>
        <w:tc>
          <w:tcPr>
            <w:tcW w:w="11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6FAE8A" w14:textId="77777777" w:rsidR="007D1E74" w:rsidRDefault="00A95641">
            <w:pPr>
              <w:widowControl/>
              <w:snapToGrid w:val="0"/>
              <w:jc w:val="center"/>
              <w:rPr>
                <w:kern w:val="0"/>
                <w:szCs w:val="21"/>
              </w:rPr>
            </w:pPr>
            <w:r>
              <w:rPr>
                <w:kern w:val="0"/>
                <w:szCs w:val="21"/>
              </w:rPr>
              <w:t>1#</w:t>
            </w:r>
            <w:r>
              <w:rPr>
                <w:kern w:val="0"/>
                <w:szCs w:val="21"/>
              </w:rPr>
              <w:t>阀室</w:t>
            </w:r>
          </w:p>
        </w:tc>
        <w:tc>
          <w:tcPr>
            <w:tcW w:w="8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87CEC2" w14:textId="77777777" w:rsidR="007D1E74" w:rsidRDefault="00A95641">
            <w:pPr>
              <w:widowControl/>
              <w:snapToGrid w:val="0"/>
              <w:jc w:val="center"/>
              <w:rPr>
                <w:kern w:val="0"/>
                <w:szCs w:val="21"/>
              </w:rPr>
            </w:pPr>
            <w:r>
              <w:rPr>
                <w:kern w:val="0"/>
                <w:szCs w:val="21"/>
              </w:rPr>
              <w:t>马</w:t>
            </w:r>
            <w:r>
              <w:rPr>
                <w:kern w:val="0"/>
                <w:szCs w:val="21"/>
              </w:rPr>
              <w:t>1-11</w:t>
            </w:r>
            <w:r>
              <w:rPr>
                <w:kern w:val="0"/>
                <w:szCs w:val="21"/>
              </w:rPr>
              <w:t>脱水井场</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13AE2A" w14:textId="77777777" w:rsidR="007D1E74" w:rsidRDefault="00A95641">
            <w:pPr>
              <w:widowControl/>
              <w:snapToGrid w:val="0"/>
              <w:jc w:val="center"/>
              <w:rPr>
                <w:kern w:val="0"/>
                <w:szCs w:val="21"/>
              </w:rPr>
            </w:pPr>
            <w:r>
              <w:rPr>
                <w:kern w:val="0"/>
                <w:szCs w:val="21"/>
              </w:rPr>
              <w:t>DN300</w:t>
            </w:r>
          </w:p>
        </w:tc>
        <w:tc>
          <w:tcPr>
            <w:tcW w:w="9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0D31E3" w14:textId="77777777" w:rsidR="007D1E74" w:rsidRDefault="00A95641">
            <w:pPr>
              <w:widowControl/>
              <w:snapToGrid w:val="0"/>
              <w:jc w:val="center"/>
              <w:rPr>
                <w:kern w:val="0"/>
                <w:szCs w:val="21"/>
              </w:rPr>
            </w:pPr>
            <w:r>
              <w:rPr>
                <w:kern w:val="0"/>
                <w:szCs w:val="21"/>
              </w:rPr>
              <w:t>8.4</w:t>
            </w:r>
          </w:p>
        </w:tc>
        <w:tc>
          <w:tcPr>
            <w:tcW w:w="10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3FA6E2" w14:textId="77777777" w:rsidR="007D1E74" w:rsidRDefault="00A95641">
            <w:pPr>
              <w:widowControl/>
              <w:snapToGrid w:val="0"/>
              <w:jc w:val="center"/>
              <w:rPr>
                <w:kern w:val="0"/>
                <w:szCs w:val="21"/>
              </w:rPr>
            </w:pPr>
            <w:r>
              <w:rPr>
                <w:kern w:val="0"/>
                <w:szCs w:val="21"/>
              </w:rPr>
              <w:t>6.3</w:t>
            </w:r>
          </w:p>
        </w:tc>
        <w:tc>
          <w:tcPr>
            <w:tcW w:w="14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F208A4" w14:textId="77777777" w:rsidR="007D1E74" w:rsidRDefault="00A95641">
            <w:pPr>
              <w:widowControl/>
              <w:snapToGrid w:val="0"/>
              <w:jc w:val="center"/>
              <w:rPr>
                <w:kern w:val="0"/>
                <w:szCs w:val="21"/>
              </w:rPr>
            </w:pPr>
            <w:r>
              <w:rPr>
                <w:kern w:val="0"/>
                <w:szCs w:val="21"/>
              </w:rPr>
              <w:t>150</w:t>
            </w:r>
          </w:p>
        </w:tc>
      </w:tr>
      <w:tr w:rsidR="007D1E74" w14:paraId="4F28522F" w14:textId="77777777">
        <w:trPr>
          <w:trHeight w:val="603"/>
        </w:trPr>
        <w:tc>
          <w:tcPr>
            <w:tcW w:w="5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F4082A" w14:textId="77777777" w:rsidR="007D1E74" w:rsidRDefault="00A95641">
            <w:pPr>
              <w:widowControl/>
              <w:snapToGrid w:val="0"/>
              <w:jc w:val="center"/>
              <w:rPr>
                <w:kern w:val="0"/>
                <w:szCs w:val="21"/>
              </w:rPr>
            </w:pPr>
            <w:r>
              <w:rPr>
                <w:kern w:val="0"/>
                <w:szCs w:val="21"/>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E9E89B" w14:textId="77777777" w:rsidR="007D1E74" w:rsidRDefault="00A95641">
            <w:pPr>
              <w:widowControl/>
              <w:snapToGrid w:val="0"/>
              <w:jc w:val="center"/>
              <w:rPr>
                <w:kern w:val="0"/>
                <w:szCs w:val="21"/>
              </w:rPr>
            </w:pPr>
            <w:r>
              <w:rPr>
                <w:kern w:val="0"/>
                <w:szCs w:val="21"/>
              </w:rPr>
              <w:t>马</w:t>
            </w:r>
            <w:r>
              <w:rPr>
                <w:kern w:val="0"/>
                <w:szCs w:val="21"/>
              </w:rPr>
              <w:t>1-10H</w:t>
            </w:r>
            <w:r>
              <w:rPr>
                <w:kern w:val="0"/>
                <w:szCs w:val="21"/>
              </w:rPr>
              <w:t>采气井场至马</w:t>
            </w:r>
            <w:r>
              <w:rPr>
                <w:kern w:val="0"/>
                <w:szCs w:val="21"/>
              </w:rPr>
              <w:t>1-1</w:t>
            </w:r>
            <w:r>
              <w:rPr>
                <w:kern w:val="0"/>
                <w:szCs w:val="21"/>
              </w:rPr>
              <w:t>集气支线</w:t>
            </w:r>
          </w:p>
        </w:tc>
        <w:tc>
          <w:tcPr>
            <w:tcW w:w="11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8D68BC" w14:textId="77777777" w:rsidR="007D1E74" w:rsidRDefault="00A95641">
            <w:pPr>
              <w:widowControl/>
              <w:snapToGrid w:val="0"/>
              <w:jc w:val="center"/>
              <w:rPr>
                <w:kern w:val="0"/>
                <w:szCs w:val="21"/>
              </w:rPr>
            </w:pPr>
            <w:r>
              <w:rPr>
                <w:kern w:val="0"/>
                <w:szCs w:val="21"/>
              </w:rPr>
              <w:t>马</w:t>
            </w:r>
            <w:r>
              <w:rPr>
                <w:kern w:val="0"/>
                <w:szCs w:val="21"/>
              </w:rPr>
              <w:t>1-10H</w:t>
            </w:r>
            <w:r>
              <w:rPr>
                <w:kern w:val="0"/>
                <w:szCs w:val="21"/>
              </w:rPr>
              <w:t>采气井场</w:t>
            </w:r>
          </w:p>
        </w:tc>
        <w:tc>
          <w:tcPr>
            <w:tcW w:w="8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F7D9BF" w14:textId="77777777" w:rsidR="007D1E74" w:rsidRDefault="00A95641">
            <w:pPr>
              <w:widowControl/>
              <w:snapToGrid w:val="0"/>
              <w:jc w:val="center"/>
              <w:rPr>
                <w:kern w:val="0"/>
                <w:szCs w:val="21"/>
              </w:rPr>
            </w:pPr>
            <w:r>
              <w:rPr>
                <w:kern w:val="0"/>
                <w:szCs w:val="21"/>
              </w:rPr>
              <w:t>马</w:t>
            </w:r>
            <w:r>
              <w:rPr>
                <w:kern w:val="0"/>
                <w:szCs w:val="21"/>
              </w:rPr>
              <w:t>1-1</w:t>
            </w:r>
            <w:r>
              <w:rPr>
                <w:kern w:val="0"/>
                <w:szCs w:val="21"/>
              </w:rPr>
              <w:t>集气支线</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697258" w14:textId="77777777" w:rsidR="007D1E74" w:rsidRDefault="00A95641">
            <w:pPr>
              <w:widowControl/>
              <w:snapToGrid w:val="0"/>
              <w:jc w:val="center"/>
              <w:rPr>
                <w:kern w:val="0"/>
                <w:szCs w:val="21"/>
              </w:rPr>
            </w:pPr>
            <w:r>
              <w:rPr>
                <w:kern w:val="0"/>
                <w:szCs w:val="21"/>
              </w:rPr>
              <w:t>DN114.3</w:t>
            </w:r>
          </w:p>
        </w:tc>
        <w:tc>
          <w:tcPr>
            <w:tcW w:w="9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545A7B" w14:textId="77777777" w:rsidR="007D1E74" w:rsidRDefault="00A95641">
            <w:pPr>
              <w:widowControl/>
              <w:snapToGrid w:val="0"/>
              <w:jc w:val="center"/>
              <w:rPr>
                <w:kern w:val="0"/>
                <w:szCs w:val="21"/>
              </w:rPr>
            </w:pPr>
            <w:r>
              <w:rPr>
                <w:kern w:val="0"/>
                <w:szCs w:val="21"/>
              </w:rPr>
              <w:t>4.1</w:t>
            </w:r>
          </w:p>
        </w:tc>
        <w:tc>
          <w:tcPr>
            <w:tcW w:w="10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200995" w14:textId="77777777" w:rsidR="007D1E74" w:rsidRDefault="00A95641">
            <w:pPr>
              <w:widowControl/>
              <w:snapToGrid w:val="0"/>
              <w:jc w:val="center"/>
              <w:rPr>
                <w:kern w:val="0"/>
                <w:szCs w:val="21"/>
              </w:rPr>
            </w:pPr>
            <w:r>
              <w:rPr>
                <w:kern w:val="0"/>
                <w:szCs w:val="21"/>
              </w:rPr>
              <w:t>6.3</w:t>
            </w:r>
          </w:p>
        </w:tc>
        <w:tc>
          <w:tcPr>
            <w:tcW w:w="14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1C7E5C" w14:textId="77777777" w:rsidR="007D1E74" w:rsidRDefault="00A95641">
            <w:pPr>
              <w:widowControl/>
              <w:snapToGrid w:val="0"/>
              <w:jc w:val="center"/>
              <w:rPr>
                <w:kern w:val="0"/>
                <w:szCs w:val="21"/>
              </w:rPr>
            </w:pPr>
            <w:r>
              <w:rPr>
                <w:kern w:val="0"/>
                <w:szCs w:val="21"/>
              </w:rPr>
              <w:t>5~15</w:t>
            </w:r>
          </w:p>
        </w:tc>
      </w:tr>
      <w:tr w:rsidR="007D1E74" w14:paraId="12087FF8" w14:textId="77777777">
        <w:trPr>
          <w:trHeight w:val="344"/>
        </w:trPr>
        <w:tc>
          <w:tcPr>
            <w:tcW w:w="5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E5A8D8" w14:textId="77777777" w:rsidR="007D1E74" w:rsidRDefault="00A95641">
            <w:pPr>
              <w:widowControl/>
              <w:snapToGrid w:val="0"/>
              <w:jc w:val="center"/>
              <w:rPr>
                <w:kern w:val="0"/>
                <w:szCs w:val="21"/>
              </w:rPr>
            </w:pPr>
            <w:r>
              <w:rPr>
                <w:kern w:val="0"/>
                <w:szCs w:val="21"/>
              </w:rPr>
              <w:t>3</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8B4327" w14:textId="77777777" w:rsidR="007D1E74" w:rsidRDefault="00A95641">
            <w:pPr>
              <w:widowControl/>
              <w:snapToGrid w:val="0"/>
              <w:jc w:val="center"/>
              <w:rPr>
                <w:kern w:val="0"/>
                <w:szCs w:val="21"/>
              </w:rPr>
            </w:pPr>
            <w:r>
              <w:rPr>
                <w:kern w:val="0"/>
                <w:szCs w:val="21"/>
              </w:rPr>
              <w:t>马</w:t>
            </w:r>
            <w:r>
              <w:rPr>
                <w:kern w:val="0"/>
                <w:szCs w:val="21"/>
              </w:rPr>
              <w:t>1-1</w:t>
            </w:r>
            <w:r>
              <w:rPr>
                <w:kern w:val="0"/>
                <w:szCs w:val="21"/>
              </w:rPr>
              <w:t>采气井场至干线集气支线</w:t>
            </w:r>
          </w:p>
        </w:tc>
        <w:tc>
          <w:tcPr>
            <w:tcW w:w="11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9C2374" w14:textId="77777777" w:rsidR="007D1E74" w:rsidRDefault="00A95641">
            <w:pPr>
              <w:widowControl/>
              <w:snapToGrid w:val="0"/>
              <w:jc w:val="center"/>
              <w:rPr>
                <w:kern w:val="0"/>
                <w:szCs w:val="21"/>
              </w:rPr>
            </w:pPr>
            <w:r>
              <w:rPr>
                <w:kern w:val="0"/>
                <w:szCs w:val="21"/>
              </w:rPr>
              <w:t>马</w:t>
            </w:r>
            <w:r>
              <w:rPr>
                <w:kern w:val="0"/>
                <w:szCs w:val="21"/>
              </w:rPr>
              <w:t>1-1</w:t>
            </w:r>
            <w:r>
              <w:rPr>
                <w:kern w:val="0"/>
                <w:szCs w:val="21"/>
              </w:rPr>
              <w:t>采气井场</w:t>
            </w:r>
          </w:p>
        </w:tc>
        <w:tc>
          <w:tcPr>
            <w:tcW w:w="8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0915C0" w14:textId="77777777" w:rsidR="007D1E74" w:rsidRDefault="00A95641">
            <w:pPr>
              <w:widowControl/>
              <w:snapToGrid w:val="0"/>
              <w:jc w:val="center"/>
              <w:rPr>
                <w:kern w:val="0"/>
                <w:szCs w:val="21"/>
              </w:rPr>
            </w:pPr>
            <w:r>
              <w:rPr>
                <w:kern w:val="0"/>
                <w:szCs w:val="21"/>
              </w:rPr>
              <w:t>干线</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941CD9" w14:textId="77777777" w:rsidR="007D1E74" w:rsidRDefault="00A95641">
            <w:pPr>
              <w:widowControl/>
              <w:snapToGrid w:val="0"/>
              <w:jc w:val="center"/>
              <w:rPr>
                <w:kern w:val="0"/>
                <w:szCs w:val="21"/>
              </w:rPr>
            </w:pPr>
            <w:r>
              <w:rPr>
                <w:kern w:val="0"/>
                <w:szCs w:val="21"/>
              </w:rPr>
              <w:t>DN114.3</w:t>
            </w:r>
          </w:p>
        </w:tc>
        <w:tc>
          <w:tcPr>
            <w:tcW w:w="9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239037" w14:textId="77777777" w:rsidR="007D1E74" w:rsidRDefault="00A95641">
            <w:pPr>
              <w:widowControl/>
              <w:snapToGrid w:val="0"/>
              <w:jc w:val="center"/>
              <w:rPr>
                <w:kern w:val="0"/>
                <w:szCs w:val="21"/>
              </w:rPr>
            </w:pPr>
            <w:r>
              <w:rPr>
                <w:kern w:val="0"/>
                <w:szCs w:val="21"/>
              </w:rPr>
              <w:t>1.1</w:t>
            </w:r>
          </w:p>
        </w:tc>
        <w:tc>
          <w:tcPr>
            <w:tcW w:w="10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607096" w14:textId="77777777" w:rsidR="007D1E74" w:rsidRDefault="00A95641">
            <w:pPr>
              <w:widowControl/>
              <w:snapToGrid w:val="0"/>
              <w:jc w:val="center"/>
              <w:rPr>
                <w:kern w:val="0"/>
                <w:szCs w:val="21"/>
              </w:rPr>
            </w:pPr>
            <w:r>
              <w:rPr>
                <w:kern w:val="0"/>
                <w:szCs w:val="21"/>
              </w:rPr>
              <w:t>6.3</w:t>
            </w:r>
          </w:p>
        </w:tc>
        <w:tc>
          <w:tcPr>
            <w:tcW w:w="14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CC05D5" w14:textId="77777777" w:rsidR="007D1E74" w:rsidRDefault="00A95641">
            <w:pPr>
              <w:widowControl/>
              <w:snapToGrid w:val="0"/>
              <w:jc w:val="center"/>
              <w:rPr>
                <w:kern w:val="0"/>
                <w:szCs w:val="21"/>
              </w:rPr>
            </w:pPr>
            <w:r>
              <w:rPr>
                <w:kern w:val="0"/>
                <w:szCs w:val="21"/>
              </w:rPr>
              <w:t>5~15</w:t>
            </w:r>
          </w:p>
        </w:tc>
      </w:tr>
      <w:tr w:rsidR="007D1E74" w14:paraId="066CE327" w14:textId="77777777">
        <w:trPr>
          <w:trHeight w:val="452"/>
        </w:trPr>
        <w:tc>
          <w:tcPr>
            <w:tcW w:w="5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21FA6C" w14:textId="77777777" w:rsidR="007D1E74" w:rsidRDefault="00A95641">
            <w:pPr>
              <w:widowControl/>
              <w:snapToGrid w:val="0"/>
              <w:jc w:val="center"/>
              <w:rPr>
                <w:kern w:val="0"/>
                <w:szCs w:val="21"/>
              </w:rPr>
            </w:pPr>
            <w:r>
              <w:rPr>
                <w:kern w:val="0"/>
                <w:szCs w:val="21"/>
              </w:rPr>
              <w:t>4</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90FD52" w14:textId="77777777" w:rsidR="007D1E74" w:rsidRDefault="00A95641">
            <w:pPr>
              <w:widowControl/>
              <w:snapToGrid w:val="0"/>
              <w:jc w:val="center"/>
              <w:rPr>
                <w:kern w:val="0"/>
                <w:szCs w:val="21"/>
              </w:rPr>
            </w:pPr>
            <w:r>
              <w:rPr>
                <w:kern w:val="0"/>
                <w:szCs w:val="21"/>
              </w:rPr>
              <w:t>马</w:t>
            </w:r>
            <w:r>
              <w:rPr>
                <w:kern w:val="0"/>
                <w:szCs w:val="21"/>
              </w:rPr>
              <w:t>1-13H</w:t>
            </w:r>
            <w:r>
              <w:rPr>
                <w:kern w:val="0"/>
                <w:szCs w:val="21"/>
              </w:rPr>
              <w:t>采气井场至干线集气支线</w:t>
            </w:r>
          </w:p>
        </w:tc>
        <w:tc>
          <w:tcPr>
            <w:tcW w:w="11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52DE7A" w14:textId="77777777" w:rsidR="007D1E74" w:rsidRDefault="00A95641">
            <w:pPr>
              <w:widowControl/>
              <w:snapToGrid w:val="0"/>
              <w:jc w:val="center"/>
              <w:rPr>
                <w:kern w:val="0"/>
                <w:szCs w:val="21"/>
              </w:rPr>
            </w:pPr>
            <w:r>
              <w:rPr>
                <w:kern w:val="0"/>
                <w:szCs w:val="21"/>
              </w:rPr>
              <w:t>马</w:t>
            </w:r>
            <w:r>
              <w:rPr>
                <w:kern w:val="0"/>
                <w:szCs w:val="21"/>
              </w:rPr>
              <w:t>1-13H</w:t>
            </w:r>
            <w:r>
              <w:rPr>
                <w:kern w:val="0"/>
                <w:szCs w:val="21"/>
              </w:rPr>
              <w:t>采气井场</w:t>
            </w:r>
          </w:p>
        </w:tc>
        <w:tc>
          <w:tcPr>
            <w:tcW w:w="8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2D9DD3" w14:textId="77777777" w:rsidR="007D1E74" w:rsidRDefault="00A95641">
            <w:pPr>
              <w:widowControl/>
              <w:snapToGrid w:val="0"/>
              <w:jc w:val="center"/>
              <w:rPr>
                <w:kern w:val="0"/>
                <w:szCs w:val="21"/>
              </w:rPr>
            </w:pPr>
            <w:r>
              <w:rPr>
                <w:kern w:val="0"/>
                <w:szCs w:val="21"/>
              </w:rPr>
              <w:t>干线</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0C87A4" w14:textId="77777777" w:rsidR="007D1E74" w:rsidRDefault="00A95641">
            <w:pPr>
              <w:widowControl/>
              <w:snapToGrid w:val="0"/>
              <w:jc w:val="center"/>
              <w:rPr>
                <w:kern w:val="0"/>
                <w:szCs w:val="21"/>
              </w:rPr>
            </w:pPr>
            <w:r>
              <w:rPr>
                <w:kern w:val="0"/>
                <w:szCs w:val="21"/>
              </w:rPr>
              <w:t>DN114.3</w:t>
            </w:r>
          </w:p>
        </w:tc>
        <w:tc>
          <w:tcPr>
            <w:tcW w:w="9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BC5CD8" w14:textId="77777777" w:rsidR="007D1E74" w:rsidRDefault="00A95641">
            <w:pPr>
              <w:widowControl/>
              <w:snapToGrid w:val="0"/>
              <w:jc w:val="center"/>
              <w:rPr>
                <w:kern w:val="0"/>
                <w:szCs w:val="21"/>
              </w:rPr>
            </w:pPr>
            <w:r>
              <w:rPr>
                <w:kern w:val="0"/>
                <w:szCs w:val="21"/>
              </w:rPr>
              <w:t>1.2</w:t>
            </w:r>
          </w:p>
        </w:tc>
        <w:tc>
          <w:tcPr>
            <w:tcW w:w="10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42A222" w14:textId="77777777" w:rsidR="007D1E74" w:rsidRDefault="00A95641">
            <w:pPr>
              <w:widowControl/>
              <w:snapToGrid w:val="0"/>
              <w:jc w:val="center"/>
              <w:rPr>
                <w:kern w:val="0"/>
                <w:szCs w:val="21"/>
              </w:rPr>
            </w:pPr>
            <w:r>
              <w:rPr>
                <w:kern w:val="0"/>
                <w:szCs w:val="21"/>
              </w:rPr>
              <w:t>6.3</w:t>
            </w:r>
          </w:p>
        </w:tc>
        <w:tc>
          <w:tcPr>
            <w:tcW w:w="14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52E020" w14:textId="77777777" w:rsidR="007D1E74" w:rsidRDefault="00A95641">
            <w:pPr>
              <w:widowControl/>
              <w:snapToGrid w:val="0"/>
              <w:jc w:val="center"/>
              <w:rPr>
                <w:kern w:val="0"/>
                <w:szCs w:val="21"/>
              </w:rPr>
            </w:pPr>
            <w:r>
              <w:rPr>
                <w:kern w:val="0"/>
                <w:szCs w:val="21"/>
              </w:rPr>
              <w:t>5~15</w:t>
            </w:r>
          </w:p>
        </w:tc>
      </w:tr>
      <w:tr w:rsidR="007D1E74" w14:paraId="160B5B4B" w14:textId="77777777">
        <w:trPr>
          <w:trHeight w:val="418"/>
        </w:trPr>
        <w:tc>
          <w:tcPr>
            <w:tcW w:w="5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52F323" w14:textId="77777777" w:rsidR="007D1E74" w:rsidRDefault="00A95641">
            <w:pPr>
              <w:widowControl/>
              <w:snapToGrid w:val="0"/>
              <w:jc w:val="center"/>
              <w:rPr>
                <w:kern w:val="0"/>
                <w:szCs w:val="21"/>
              </w:rPr>
            </w:pPr>
            <w:r>
              <w:rPr>
                <w:kern w:val="0"/>
                <w:szCs w:val="21"/>
              </w:rPr>
              <w:t>5</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464EC1" w14:textId="77777777" w:rsidR="007D1E74" w:rsidRDefault="00A95641">
            <w:pPr>
              <w:widowControl/>
              <w:snapToGrid w:val="0"/>
              <w:jc w:val="center"/>
              <w:rPr>
                <w:kern w:val="0"/>
                <w:szCs w:val="21"/>
              </w:rPr>
            </w:pPr>
            <w:r>
              <w:rPr>
                <w:kern w:val="0"/>
                <w:szCs w:val="21"/>
              </w:rPr>
              <w:t>马</w:t>
            </w:r>
            <w:r>
              <w:rPr>
                <w:kern w:val="0"/>
                <w:szCs w:val="21"/>
              </w:rPr>
              <w:t>1-12H</w:t>
            </w:r>
            <w:r>
              <w:rPr>
                <w:kern w:val="0"/>
                <w:szCs w:val="21"/>
              </w:rPr>
              <w:t>采气井场至干线集气支线</w:t>
            </w:r>
          </w:p>
        </w:tc>
        <w:tc>
          <w:tcPr>
            <w:tcW w:w="11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482F3F" w14:textId="77777777" w:rsidR="007D1E74" w:rsidRDefault="00A95641">
            <w:pPr>
              <w:widowControl/>
              <w:snapToGrid w:val="0"/>
              <w:jc w:val="center"/>
              <w:rPr>
                <w:kern w:val="0"/>
                <w:szCs w:val="21"/>
              </w:rPr>
            </w:pPr>
            <w:r>
              <w:rPr>
                <w:kern w:val="0"/>
                <w:szCs w:val="21"/>
              </w:rPr>
              <w:t>马</w:t>
            </w:r>
            <w:r>
              <w:rPr>
                <w:kern w:val="0"/>
                <w:szCs w:val="21"/>
              </w:rPr>
              <w:t>1-12H</w:t>
            </w:r>
            <w:r>
              <w:rPr>
                <w:kern w:val="0"/>
                <w:szCs w:val="21"/>
              </w:rPr>
              <w:t>采气井场</w:t>
            </w:r>
          </w:p>
        </w:tc>
        <w:tc>
          <w:tcPr>
            <w:tcW w:w="8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496020" w14:textId="77777777" w:rsidR="007D1E74" w:rsidRDefault="00A95641">
            <w:pPr>
              <w:widowControl/>
              <w:snapToGrid w:val="0"/>
              <w:jc w:val="center"/>
              <w:rPr>
                <w:kern w:val="0"/>
                <w:szCs w:val="21"/>
              </w:rPr>
            </w:pPr>
            <w:r>
              <w:rPr>
                <w:kern w:val="0"/>
                <w:szCs w:val="21"/>
              </w:rPr>
              <w:t>干线</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F9761C" w14:textId="77777777" w:rsidR="007D1E74" w:rsidRDefault="00A95641">
            <w:pPr>
              <w:widowControl/>
              <w:snapToGrid w:val="0"/>
              <w:jc w:val="center"/>
              <w:rPr>
                <w:kern w:val="0"/>
                <w:szCs w:val="21"/>
              </w:rPr>
            </w:pPr>
            <w:r>
              <w:rPr>
                <w:kern w:val="0"/>
                <w:szCs w:val="21"/>
              </w:rPr>
              <w:t>DN300</w:t>
            </w:r>
          </w:p>
        </w:tc>
        <w:tc>
          <w:tcPr>
            <w:tcW w:w="9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34B269" w14:textId="77777777" w:rsidR="007D1E74" w:rsidRDefault="00A95641">
            <w:pPr>
              <w:widowControl/>
              <w:snapToGrid w:val="0"/>
              <w:jc w:val="center"/>
              <w:rPr>
                <w:kern w:val="0"/>
                <w:szCs w:val="21"/>
              </w:rPr>
            </w:pPr>
            <w:r>
              <w:rPr>
                <w:kern w:val="0"/>
                <w:szCs w:val="21"/>
              </w:rPr>
              <w:t>1.6</w:t>
            </w:r>
          </w:p>
        </w:tc>
        <w:tc>
          <w:tcPr>
            <w:tcW w:w="10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AD66B8" w14:textId="77777777" w:rsidR="007D1E74" w:rsidRDefault="00A95641">
            <w:pPr>
              <w:widowControl/>
              <w:snapToGrid w:val="0"/>
              <w:jc w:val="center"/>
              <w:rPr>
                <w:kern w:val="0"/>
                <w:szCs w:val="21"/>
              </w:rPr>
            </w:pPr>
            <w:r>
              <w:rPr>
                <w:kern w:val="0"/>
                <w:szCs w:val="21"/>
              </w:rPr>
              <w:t>6.3</w:t>
            </w:r>
          </w:p>
        </w:tc>
        <w:tc>
          <w:tcPr>
            <w:tcW w:w="14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4AA0E6" w14:textId="77777777" w:rsidR="007D1E74" w:rsidRDefault="00A95641">
            <w:pPr>
              <w:widowControl/>
              <w:snapToGrid w:val="0"/>
              <w:jc w:val="center"/>
              <w:rPr>
                <w:kern w:val="0"/>
                <w:szCs w:val="21"/>
              </w:rPr>
            </w:pPr>
            <w:r>
              <w:rPr>
                <w:kern w:val="0"/>
                <w:szCs w:val="21"/>
              </w:rPr>
              <w:t>5~15</w:t>
            </w:r>
          </w:p>
        </w:tc>
      </w:tr>
      <w:tr w:rsidR="007D1E74" w14:paraId="4469C4D7" w14:textId="77777777">
        <w:trPr>
          <w:trHeight w:val="541"/>
        </w:trPr>
        <w:tc>
          <w:tcPr>
            <w:tcW w:w="5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BA0784" w14:textId="77777777" w:rsidR="007D1E74" w:rsidRDefault="00A95641">
            <w:pPr>
              <w:widowControl/>
              <w:snapToGrid w:val="0"/>
              <w:jc w:val="center"/>
              <w:rPr>
                <w:kern w:val="0"/>
                <w:szCs w:val="21"/>
              </w:rPr>
            </w:pPr>
            <w:r>
              <w:rPr>
                <w:kern w:val="0"/>
                <w:szCs w:val="21"/>
              </w:rPr>
              <w:t>6</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BF206F" w14:textId="77777777" w:rsidR="007D1E74" w:rsidRDefault="00A95641">
            <w:pPr>
              <w:widowControl/>
              <w:snapToGrid w:val="0"/>
              <w:jc w:val="center"/>
              <w:rPr>
                <w:kern w:val="0"/>
                <w:szCs w:val="21"/>
              </w:rPr>
            </w:pPr>
            <w:r>
              <w:rPr>
                <w:kern w:val="0"/>
                <w:szCs w:val="21"/>
              </w:rPr>
              <w:t>马</w:t>
            </w:r>
            <w:r>
              <w:rPr>
                <w:kern w:val="0"/>
                <w:szCs w:val="21"/>
              </w:rPr>
              <w:t>1-11</w:t>
            </w:r>
            <w:r>
              <w:rPr>
                <w:kern w:val="0"/>
                <w:szCs w:val="21"/>
              </w:rPr>
              <w:t>脱水井场至</w:t>
            </w:r>
            <w:r>
              <w:rPr>
                <w:kern w:val="0"/>
                <w:szCs w:val="21"/>
              </w:rPr>
              <w:t>4#</w:t>
            </w:r>
            <w:r>
              <w:rPr>
                <w:kern w:val="0"/>
                <w:szCs w:val="21"/>
              </w:rPr>
              <w:t>清管阀组集气干线</w:t>
            </w:r>
          </w:p>
        </w:tc>
        <w:tc>
          <w:tcPr>
            <w:tcW w:w="11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4BEEC2" w14:textId="77777777" w:rsidR="007D1E74" w:rsidRDefault="00A95641">
            <w:pPr>
              <w:widowControl/>
              <w:snapToGrid w:val="0"/>
              <w:jc w:val="center"/>
              <w:rPr>
                <w:kern w:val="0"/>
                <w:szCs w:val="21"/>
              </w:rPr>
            </w:pPr>
            <w:r>
              <w:rPr>
                <w:kern w:val="0"/>
                <w:szCs w:val="21"/>
              </w:rPr>
              <w:t>马</w:t>
            </w:r>
            <w:r>
              <w:rPr>
                <w:kern w:val="0"/>
                <w:szCs w:val="21"/>
              </w:rPr>
              <w:t>1-11</w:t>
            </w:r>
            <w:r>
              <w:rPr>
                <w:kern w:val="0"/>
                <w:szCs w:val="21"/>
              </w:rPr>
              <w:t>脱水井场</w:t>
            </w:r>
          </w:p>
        </w:tc>
        <w:tc>
          <w:tcPr>
            <w:tcW w:w="8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13574C" w14:textId="77777777" w:rsidR="007D1E74" w:rsidRDefault="00A95641">
            <w:pPr>
              <w:widowControl/>
              <w:snapToGrid w:val="0"/>
              <w:jc w:val="center"/>
              <w:rPr>
                <w:kern w:val="0"/>
                <w:szCs w:val="21"/>
              </w:rPr>
            </w:pPr>
            <w:r>
              <w:rPr>
                <w:kern w:val="0"/>
                <w:szCs w:val="21"/>
              </w:rPr>
              <w:t>4#</w:t>
            </w:r>
            <w:r>
              <w:rPr>
                <w:kern w:val="0"/>
                <w:szCs w:val="21"/>
              </w:rPr>
              <w:t>清管阀组</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09021B" w14:textId="77777777" w:rsidR="007D1E74" w:rsidRDefault="00A95641">
            <w:pPr>
              <w:widowControl/>
              <w:snapToGrid w:val="0"/>
              <w:jc w:val="center"/>
              <w:rPr>
                <w:kern w:val="0"/>
                <w:szCs w:val="21"/>
              </w:rPr>
            </w:pPr>
            <w:r>
              <w:rPr>
                <w:kern w:val="0"/>
                <w:szCs w:val="21"/>
              </w:rPr>
              <w:t>DN300</w:t>
            </w:r>
          </w:p>
        </w:tc>
        <w:tc>
          <w:tcPr>
            <w:tcW w:w="9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A2BD9F" w14:textId="77777777" w:rsidR="007D1E74" w:rsidRDefault="00A95641">
            <w:pPr>
              <w:widowControl/>
              <w:snapToGrid w:val="0"/>
              <w:jc w:val="center"/>
              <w:rPr>
                <w:kern w:val="0"/>
                <w:szCs w:val="21"/>
              </w:rPr>
            </w:pPr>
            <w:r>
              <w:rPr>
                <w:kern w:val="0"/>
                <w:szCs w:val="21"/>
              </w:rPr>
              <w:t>7.1</w:t>
            </w:r>
          </w:p>
        </w:tc>
        <w:tc>
          <w:tcPr>
            <w:tcW w:w="10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514153" w14:textId="77777777" w:rsidR="007D1E74" w:rsidRDefault="00A95641">
            <w:pPr>
              <w:widowControl/>
              <w:snapToGrid w:val="0"/>
              <w:jc w:val="center"/>
              <w:rPr>
                <w:kern w:val="0"/>
                <w:szCs w:val="21"/>
              </w:rPr>
            </w:pPr>
            <w:r>
              <w:rPr>
                <w:kern w:val="0"/>
                <w:szCs w:val="21"/>
              </w:rPr>
              <w:t>6.3</w:t>
            </w:r>
          </w:p>
        </w:tc>
        <w:tc>
          <w:tcPr>
            <w:tcW w:w="14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43C858" w14:textId="77777777" w:rsidR="007D1E74" w:rsidRDefault="00A95641">
            <w:pPr>
              <w:widowControl/>
              <w:snapToGrid w:val="0"/>
              <w:jc w:val="center"/>
              <w:rPr>
                <w:kern w:val="0"/>
                <w:szCs w:val="21"/>
              </w:rPr>
            </w:pPr>
            <w:r>
              <w:rPr>
                <w:kern w:val="0"/>
                <w:szCs w:val="21"/>
              </w:rPr>
              <w:t>150</w:t>
            </w:r>
          </w:p>
        </w:tc>
      </w:tr>
      <w:tr w:rsidR="007D1E74" w14:paraId="19E6B52D" w14:textId="77777777">
        <w:trPr>
          <w:trHeight w:val="576"/>
        </w:trPr>
        <w:tc>
          <w:tcPr>
            <w:tcW w:w="5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B14319" w14:textId="77777777" w:rsidR="007D1E74" w:rsidRDefault="00A95641">
            <w:pPr>
              <w:widowControl/>
              <w:snapToGrid w:val="0"/>
              <w:jc w:val="center"/>
              <w:rPr>
                <w:kern w:val="0"/>
                <w:szCs w:val="21"/>
              </w:rPr>
            </w:pPr>
            <w:r>
              <w:rPr>
                <w:kern w:val="0"/>
                <w:szCs w:val="21"/>
              </w:rPr>
              <w:t>7</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67EB80" w14:textId="77777777" w:rsidR="007D1E74" w:rsidRDefault="00A95641">
            <w:pPr>
              <w:widowControl/>
              <w:snapToGrid w:val="0"/>
              <w:jc w:val="center"/>
              <w:rPr>
                <w:kern w:val="0"/>
                <w:szCs w:val="21"/>
              </w:rPr>
            </w:pPr>
            <w:r>
              <w:rPr>
                <w:kern w:val="0"/>
                <w:szCs w:val="21"/>
              </w:rPr>
              <w:t>4#</w:t>
            </w:r>
            <w:r>
              <w:rPr>
                <w:kern w:val="0"/>
                <w:szCs w:val="21"/>
              </w:rPr>
              <w:t>清管阀组至草池增压站集气干线</w:t>
            </w:r>
          </w:p>
        </w:tc>
        <w:tc>
          <w:tcPr>
            <w:tcW w:w="11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C26A0A" w14:textId="77777777" w:rsidR="007D1E74" w:rsidRDefault="00A95641">
            <w:pPr>
              <w:widowControl/>
              <w:snapToGrid w:val="0"/>
              <w:jc w:val="center"/>
              <w:rPr>
                <w:kern w:val="0"/>
                <w:szCs w:val="21"/>
              </w:rPr>
            </w:pPr>
            <w:r>
              <w:rPr>
                <w:kern w:val="0"/>
                <w:szCs w:val="21"/>
              </w:rPr>
              <w:t>4#</w:t>
            </w:r>
            <w:r>
              <w:rPr>
                <w:kern w:val="0"/>
                <w:szCs w:val="21"/>
              </w:rPr>
              <w:t>清管阀组</w:t>
            </w:r>
          </w:p>
        </w:tc>
        <w:tc>
          <w:tcPr>
            <w:tcW w:w="8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6AC1A0" w14:textId="77777777" w:rsidR="007D1E74" w:rsidRDefault="00A95641">
            <w:pPr>
              <w:widowControl/>
              <w:snapToGrid w:val="0"/>
              <w:jc w:val="center"/>
              <w:rPr>
                <w:kern w:val="0"/>
                <w:szCs w:val="21"/>
              </w:rPr>
            </w:pPr>
            <w:r>
              <w:rPr>
                <w:kern w:val="0"/>
                <w:szCs w:val="21"/>
              </w:rPr>
              <w:t>草池增压站</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92CF40" w14:textId="77777777" w:rsidR="007D1E74" w:rsidRDefault="00A95641">
            <w:pPr>
              <w:widowControl/>
              <w:snapToGrid w:val="0"/>
              <w:jc w:val="center"/>
              <w:rPr>
                <w:kern w:val="0"/>
                <w:szCs w:val="21"/>
              </w:rPr>
            </w:pPr>
            <w:r>
              <w:rPr>
                <w:kern w:val="0"/>
                <w:szCs w:val="21"/>
              </w:rPr>
              <w:t>DN350</w:t>
            </w:r>
          </w:p>
        </w:tc>
        <w:tc>
          <w:tcPr>
            <w:tcW w:w="9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257F99" w14:textId="77777777" w:rsidR="007D1E74" w:rsidRDefault="00A95641">
            <w:pPr>
              <w:widowControl/>
              <w:snapToGrid w:val="0"/>
              <w:jc w:val="center"/>
              <w:rPr>
                <w:kern w:val="0"/>
                <w:szCs w:val="21"/>
              </w:rPr>
            </w:pPr>
            <w:r>
              <w:rPr>
                <w:kern w:val="0"/>
                <w:szCs w:val="21"/>
              </w:rPr>
              <w:t>14.3</w:t>
            </w:r>
          </w:p>
        </w:tc>
        <w:tc>
          <w:tcPr>
            <w:tcW w:w="10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9CF703" w14:textId="77777777" w:rsidR="007D1E74" w:rsidRDefault="00A95641">
            <w:pPr>
              <w:widowControl/>
              <w:snapToGrid w:val="0"/>
              <w:jc w:val="center"/>
              <w:rPr>
                <w:kern w:val="0"/>
                <w:szCs w:val="21"/>
              </w:rPr>
            </w:pPr>
            <w:r>
              <w:rPr>
                <w:kern w:val="0"/>
                <w:szCs w:val="21"/>
              </w:rPr>
              <w:t>10</w:t>
            </w:r>
          </w:p>
        </w:tc>
        <w:tc>
          <w:tcPr>
            <w:tcW w:w="14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BCED40" w14:textId="77777777" w:rsidR="007D1E74" w:rsidRDefault="00A95641">
            <w:pPr>
              <w:widowControl/>
              <w:snapToGrid w:val="0"/>
              <w:jc w:val="center"/>
              <w:rPr>
                <w:kern w:val="0"/>
                <w:szCs w:val="21"/>
              </w:rPr>
            </w:pPr>
            <w:r>
              <w:rPr>
                <w:kern w:val="0"/>
                <w:szCs w:val="21"/>
              </w:rPr>
              <w:t>150</w:t>
            </w:r>
          </w:p>
        </w:tc>
      </w:tr>
    </w:tbl>
    <w:p w14:paraId="42C13BD1" w14:textId="77777777" w:rsidR="007D1E74" w:rsidRDefault="00A95641">
      <w:pPr>
        <w:spacing w:line="360" w:lineRule="auto"/>
        <w:outlineLvl w:val="2"/>
        <w:rPr>
          <w:b/>
          <w:sz w:val="28"/>
          <w:szCs w:val="28"/>
        </w:rPr>
      </w:pPr>
      <w:r>
        <w:rPr>
          <w:b/>
          <w:sz w:val="28"/>
          <w:szCs w:val="28"/>
        </w:rPr>
        <w:t>3.1.2</w:t>
      </w:r>
      <w:r>
        <w:rPr>
          <w:b/>
          <w:sz w:val="28"/>
          <w:szCs w:val="28"/>
        </w:rPr>
        <w:t>输送气源及输气气质组分</w:t>
      </w:r>
    </w:p>
    <w:p w14:paraId="0A208ACF" w14:textId="77777777" w:rsidR="007D1E74" w:rsidRDefault="00A95641">
      <w:pPr>
        <w:pStyle w:val="41"/>
        <w:tabs>
          <w:tab w:val="left" w:pos="860"/>
        </w:tabs>
        <w:spacing w:line="360" w:lineRule="auto"/>
        <w:jc w:val="left"/>
        <w:rPr>
          <w:rFonts w:ascii="Times New Roman" w:hAnsi="Times New Roman"/>
          <w:sz w:val="24"/>
          <w:szCs w:val="24"/>
        </w:rPr>
      </w:pPr>
      <w:r>
        <w:rPr>
          <w:rFonts w:ascii="Times New Roman" w:hAnsi="Times New Roman"/>
          <w:sz w:val="24"/>
          <w:szCs w:val="24"/>
        </w:rPr>
        <w:t>3.1.2.1</w:t>
      </w:r>
      <w:r>
        <w:rPr>
          <w:rFonts w:ascii="Times New Roman" w:hAnsi="Times New Roman"/>
          <w:sz w:val="24"/>
          <w:szCs w:val="24"/>
        </w:rPr>
        <w:t>输送气源及去向</w:t>
      </w:r>
    </w:p>
    <w:p w14:paraId="1D79DE6C" w14:textId="77777777" w:rsidR="007D1E74" w:rsidRDefault="00A95641">
      <w:pPr>
        <w:spacing w:line="360" w:lineRule="auto"/>
        <w:ind w:firstLineChars="200" w:firstLine="480"/>
        <w:rPr>
          <w:bCs/>
          <w:sz w:val="24"/>
        </w:rPr>
      </w:pPr>
      <w:r>
        <w:rPr>
          <w:bCs/>
          <w:sz w:val="24"/>
        </w:rPr>
        <w:t>本工程输送的气源主要为马</w:t>
      </w:r>
      <w:r>
        <w:rPr>
          <w:bCs/>
          <w:sz w:val="24"/>
        </w:rPr>
        <w:t>201</w:t>
      </w:r>
      <w:r>
        <w:rPr>
          <w:bCs/>
          <w:sz w:val="24"/>
        </w:rPr>
        <w:t>井、马</w:t>
      </w:r>
      <w:r>
        <w:rPr>
          <w:bCs/>
          <w:sz w:val="24"/>
        </w:rPr>
        <w:t>2</w:t>
      </w:r>
      <w:r>
        <w:rPr>
          <w:bCs/>
          <w:sz w:val="24"/>
        </w:rPr>
        <w:t>井采出天然气以及马</w:t>
      </w:r>
      <w:r>
        <w:rPr>
          <w:bCs/>
          <w:sz w:val="24"/>
        </w:rPr>
        <w:t>1-13H</w:t>
      </w:r>
      <w:r>
        <w:rPr>
          <w:bCs/>
          <w:sz w:val="24"/>
        </w:rPr>
        <w:t>、马</w:t>
      </w:r>
      <w:r>
        <w:rPr>
          <w:bCs/>
          <w:sz w:val="24"/>
        </w:rPr>
        <w:t>1-10H</w:t>
      </w:r>
      <w:r>
        <w:rPr>
          <w:bCs/>
          <w:sz w:val="24"/>
        </w:rPr>
        <w:t>、马</w:t>
      </w:r>
      <w:r>
        <w:rPr>
          <w:bCs/>
          <w:sz w:val="24"/>
        </w:rPr>
        <w:t>1-12H</w:t>
      </w:r>
      <w:r>
        <w:rPr>
          <w:bCs/>
          <w:sz w:val="24"/>
        </w:rPr>
        <w:t>、马</w:t>
      </w:r>
      <w:r>
        <w:rPr>
          <w:bCs/>
          <w:sz w:val="24"/>
        </w:rPr>
        <w:t>1-1</w:t>
      </w:r>
      <w:r>
        <w:rPr>
          <w:bCs/>
          <w:sz w:val="24"/>
        </w:rPr>
        <w:t>井。天然气汇集后进入马</w:t>
      </w:r>
      <w:r>
        <w:rPr>
          <w:bCs/>
          <w:sz w:val="24"/>
        </w:rPr>
        <w:t>1-11</w:t>
      </w:r>
      <w:r>
        <w:rPr>
          <w:bCs/>
          <w:sz w:val="24"/>
        </w:rPr>
        <w:t>脱水井场，马涪线</w:t>
      </w:r>
      <w:r>
        <w:rPr>
          <w:sz w:val="24"/>
        </w:rPr>
        <w:t>集输</w:t>
      </w:r>
      <w:r>
        <w:rPr>
          <w:bCs/>
          <w:sz w:val="24"/>
        </w:rPr>
        <w:t>干线，外输至草池首站，进入河坝支线输至平昌分输站，进入川西到川东北联络线外销。</w:t>
      </w:r>
    </w:p>
    <w:p w14:paraId="6756AA0D" w14:textId="77777777" w:rsidR="007D1E74" w:rsidRDefault="00A95641">
      <w:pPr>
        <w:pStyle w:val="41"/>
        <w:tabs>
          <w:tab w:val="left" w:pos="860"/>
        </w:tabs>
        <w:spacing w:line="360" w:lineRule="auto"/>
        <w:jc w:val="left"/>
        <w:rPr>
          <w:rFonts w:ascii="Times New Roman" w:hAnsi="Times New Roman"/>
          <w:sz w:val="24"/>
          <w:szCs w:val="24"/>
        </w:rPr>
      </w:pPr>
      <w:r>
        <w:rPr>
          <w:rFonts w:ascii="Times New Roman" w:hAnsi="Times New Roman"/>
          <w:sz w:val="24"/>
          <w:szCs w:val="24"/>
        </w:rPr>
        <w:t>3.2.2.2</w:t>
      </w:r>
      <w:r>
        <w:rPr>
          <w:rFonts w:ascii="Times New Roman" w:hAnsi="Times New Roman"/>
          <w:sz w:val="24"/>
          <w:szCs w:val="24"/>
        </w:rPr>
        <w:t>气质组分</w:t>
      </w:r>
    </w:p>
    <w:p w14:paraId="02C6A63E" w14:textId="77777777" w:rsidR="007D1E74" w:rsidRDefault="00A95641">
      <w:pPr>
        <w:spacing w:line="360" w:lineRule="auto"/>
        <w:ind w:firstLineChars="200" w:firstLine="480"/>
        <w:rPr>
          <w:sz w:val="24"/>
        </w:rPr>
      </w:pPr>
      <w:r>
        <w:rPr>
          <w:sz w:val="24"/>
        </w:rPr>
        <w:t>根据建设单位提供的相关资料，原料气为天然气井采出的天然气，天然气甲烷含量高（</w:t>
      </w:r>
      <w:r>
        <w:rPr>
          <w:sz w:val="24"/>
        </w:rPr>
        <w:t>&gt;98%</w:t>
      </w:r>
      <w:r>
        <w:rPr>
          <w:sz w:val="24"/>
        </w:rPr>
        <w:t>），为不含硫化氢的干气藏。天然气在各井站进行开采。</w:t>
      </w:r>
    </w:p>
    <w:p w14:paraId="19E4531F" w14:textId="77777777" w:rsidR="007D1E74" w:rsidRDefault="00A95641">
      <w:pPr>
        <w:spacing w:line="360" w:lineRule="auto"/>
        <w:ind w:firstLineChars="200" w:firstLine="480"/>
        <w:rPr>
          <w:sz w:val="24"/>
        </w:rPr>
      </w:pPr>
      <w:r>
        <w:rPr>
          <w:sz w:val="24"/>
        </w:rPr>
        <w:t>天然气组分分析见下表。</w:t>
      </w:r>
    </w:p>
    <w:p w14:paraId="67558163" w14:textId="77777777" w:rsidR="007D1E74" w:rsidRDefault="00A95641">
      <w:pPr>
        <w:jc w:val="center"/>
        <w:rPr>
          <w:b/>
        </w:rPr>
      </w:pPr>
      <w:r>
        <w:rPr>
          <w:b/>
        </w:rPr>
        <w:t>表</w:t>
      </w:r>
      <w:r>
        <w:rPr>
          <w:b/>
          <w:spacing w:val="1"/>
        </w:rPr>
        <w:t xml:space="preserve"> </w:t>
      </w:r>
      <w:r>
        <w:rPr>
          <w:b/>
        </w:rPr>
        <w:t>3.1-2</w:t>
      </w:r>
      <w:r>
        <w:rPr>
          <w:b/>
        </w:rPr>
        <w:tab/>
      </w:r>
      <w:r>
        <w:rPr>
          <w:b/>
        </w:rPr>
        <w:t>天然气组分表</w:t>
      </w:r>
    </w:p>
    <w:tbl>
      <w:tblPr>
        <w:tblStyle w:val="163"/>
        <w:tblW w:w="5000" w:type="pct"/>
        <w:tblLook w:val="04A0" w:firstRow="1" w:lastRow="0" w:firstColumn="1" w:lastColumn="0" w:noHBand="0" w:noVBand="1"/>
      </w:tblPr>
      <w:tblGrid>
        <w:gridCol w:w="396"/>
        <w:gridCol w:w="486"/>
        <w:gridCol w:w="600"/>
        <w:gridCol w:w="511"/>
        <w:gridCol w:w="511"/>
        <w:gridCol w:w="601"/>
        <w:gridCol w:w="396"/>
        <w:gridCol w:w="512"/>
        <w:gridCol w:w="512"/>
        <w:gridCol w:w="512"/>
        <w:gridCol w:w="512"/>
        <w:gridCol w:w="512"/>
        <w:gridCol w:w="766"/>
        <w:gridCol w:w="687"/>
        <w:gridCol w:w="706"/>
        <w:gridCol w:w="796"/>
      </w:tblGrid>
      <w:tr w:rsidR="007D1E74" w14:paraId="09E8E196" w14:textId="77777777">
        <w:trPr>
          <w:trHeight w:val="624"/>
        </w:trPr>
        <w:tc>
          <w:tcPr>
            <w:tcW w:w="216" w:type="pct"/>
            <w:vAlign w:val="center"/>
          </w:tcPr>
          <w:p w14:paraId="56519B7D" w14:textId="77777777" w:rsidR="007D1E74" w:rsidRDefault="00A95641">
            <w:pPr>
              <w:adjustRightInd w:val="0"/>
              <w:snapToGrid w:val="0"/>
              <w:jc w:val="center"/>
              <w:rPr>
                <w:sz w:val="18"/>
                <w:szCs w:val="18"/>
              </w:rPr>
            </w:pPr>
            <w:r>
              <w:rPr>
                <w:sz w:val="18"/>
                <w:szCs w:val="18"/>
              </w:rPr>
              <w:t>层位</w:t>
            </w:r>
          </w:p>
        </w:tc>
        <w:tc>
          <w:tcPr>
            <w:tcW w:w="264" w:type="pct"/>
            <w:vAlign w:val="center"/>
          </w:tcPr>
          <w:p w14:paraId="13C6F32A" w14:textId="77777777" w:rsidR="007D1E74" w:rsidRDefault="00A95641">
            <w:pPr>
              <w:adjustRightInd w:val="0"/>
              <w:snapToGrid w:val="0"/>
              <w:jc w:val="center"/>
              <w:rPr>
                <w:sz w:val="18"/>
                <w:szCs w:val="18"/>
              </w:rPr>
            </w:pPr>
            <w:r>
              <w:rPr>
                <w:sz w:val="18"/>
                <w:szCs w:val="18"/>
              </w:rPr>
              <w:t>代表井</w:t>
            </w:r>
          </w:p>
        </w:tc>
        <w:tc>
          <w:tcPr>
            <w:tcW w:w="337" w:type="pct"/>
            <w:vAlign w:val="center"/>
          </w:tcPr>
          <w:p w14:paraId="526B432F" w14:textId="77777777" w:rsidR="007D1E74" w:rsidRDefault="00A95641">
            <w:pPr>
              <w:adjustRightInd w:val="0"/>
              <w:snapToGrid w:val="0"/>
              <w:jc w:val="center"/>
              <w:rPr>
                <w:sz w:val="18"/>
                <w:szCs w:val="18"/>
              </w:rPr>
            </w:pPr>
            <w:r>
              <w:rPr>
                <w:sz w:val="18"/>
                <w:szCs w:val="18"/>
              </w:rPr>
              <w:t>甲烷</w:t>
            </w:r>
          </w:p>
        </w:tc>
        <w:tc>
          <w:tcPr>
            <w:tcW w:w="288" w:type="pct"/>
            <w:vAlign w:val="center"/>
          </w:tcPr>
          <w:p w14:paraId="77FD535D" w14:textId="77777777" w:rsidR="007D1E74" w:rsidRDefault="00A95641">
            <w:pPr>
              <w:adjustRightInd w:val="0"/>
              <w:snapToGrid w:val="0"/>
              <w:jc w:val="center"/>
              <w:rPr>
                <w:sz w:val="18"/>
                <w:szCs w:val="18"/>
              </w:rPr>
            </w:pPr>
            <w:r>
              <w:rPr>
                <w:sz w:val="18"/>
                <w:szCs w:val="18"/>
              </w:rPr>
              <w:t>乙烷</w:t>
            </w:r>
          </w:p>
        </w:tc>
        <w:tc>
          <w:tcPr>
            <w:tcW w:w="288" w:type="pct"/>
            <w:vAlign w:val="center"/>
          </w:tcPr>
          <w:p w14:paraId="4C740933" w14:textId="77777777" w:rsidR="007D1E74" w:rsidRDefault="00A95641">
            <w:pPr>
              <w:adjustRightInd w:val="0"/>
              <w:snapToGrid w:val="0"/>
              <w:jc w:val="center"/>
              <w:rPr>
                <w:sz w:val="18"/>
                <w:szCs w:val="18"/>
              </w:rPr>
            </w:pPr>
            <w:r>
              <w:rPr>
                <w:sz w:val="18"/>
                <w:szCs w:val="18"/>
              </w:rPr>
              <w:t>丙烷</w:t>
            </w:r>
          </w:p>
        </w:tc>
        <w:tc>
          <w:tcPr>
            <w:tcW w:w="337" w:type="pct"/>
            <w:vAlign w:val="center"/>
          </w:tcPr>
          <w:p w14:paraId="1A91D175" w14:textId="77777777" w:rsidR="007D1E74" w:rsidRDefault="00A95641">
            <w:pPr>
              <w:adjustRightInd w:val="0"/>
              <w:snapToGrid w:val="0"/>
              <w:jc w:val="center"/>
              <w:rPr>
                <w:sz w:val="18"/>
                <w:szCs w:val="18"/>
              </w:rPr>
            </w:pPr>
            <w:r>
              <w:rPr>
                <w:sz w:val="18"/>
                <w:szCs w:val="18"/>
              </w:rPr>
              <w:t>干燥因子</w:t>
            </w:r>
          </w:p>
        </w:tc>
        <w:tc>
          <w:tcPr>
            <w:tcW w:w="216" w:type="pct"/>
            <w:vAlign w:val="center"/>
          </w:tcPr>
          <w:p w14:paraId="671D2681" w14:textId="77777777" w:rsidR="007D1E74" w:rsidRDefault="00A95641">
            <w:pPr>
              <w:adjustRightInd w:val="0"/>
              <w:snapToGrid w:val="0"/>
              <w:jc w:val="center"/>
              <w:rPr>
                <w:sz w:val="18"/>
                <w:szCs w:val="18"/>
              </w:rPr>
            </w:pPr>
            <w:r>
              <w:rPr>
                <w:sz w:val="18"/>
                <w:szCs w:val="18"/>
              </w:rPr>
              <w:t>类型</w:t>
            </w:r>
          </w:p>
        </w:tc>
        <w:tc>
          <w:tcPr>
            <w:tcW w:w="288" w:type="pct"/>
            <w:vAlign w:val="center"/>
          </w:tcPr>
          <w:p w14:paraId="645B1B1F" w14:textId="77777777" w:rsidR="007D1E74" w:rsidRDefault="00A95641">
            <w:pPr>
              <w:adjustRightInd w:val="0"/>
              <w:snapToGrid w:val="0"/>
              <w:jc w:val="center"/>
              <w:rPr>
                <w:sz w:val="18"/>
                <w:szCs w:val="18"/>
              </w:rPr>
            </w:pPr>
            <w:r>
              <w:rPr>
                <w:sz w:val="18"/>
                <w:szCs w:val="18"/>
              </w:rPr>
              <w:t>二氧化碳</w:t>
            </w:r>
          </w:p>
        </w:tc>
        <w:tc>
          <w:tcPr>
            <w:tcW w:w="288" w:type="pct"/>
            <w:vAlign w:val="center"/>
          </w:tcPr>
          <w:p w14:paraId="162C628F" w14:textId="77777777" w:rsidR="007D1E74" w:rsidRDefault="00A95641">
            <w:pPr>
              <w:adjustRightInd w:val="0"/>
              <w:snapToGrid w:val="0"/>
              <w:jc w:val="center"/>
              <w:rPr>
                <w:sz w:val="18"/>
                <w:szCs w:val="18"/>
              </w:rPr>
            </w:pPr>
            <w:r>
              <w:rPr>
                <w:sz w:val="18"/>
                <w:szCs w:val="18"/>
              </w:rPr>
              <w:t>氧</w:t>
            </w:r>
          </w:p>
        </w:tc>
        <w:tc>
          <w:tcPr>
            <w:tcW w:w="288" w:type="pct"/>
            <w:vAlign w:val="center"/>
          </w:tcPr>
          <w:p w14:paraId="3FCDC9D0" w14:textId="77777777" w:rsidR="007D1E74" w:rsidRDefault="00A95641">
            <w:pPr>
              <w:adjustRightInd w:val="0"/>
              <w:snapToGrid w:val="0"/>
              <w:jc w:val="center"/>
              <w:rPr>
                <w:sz w:val="18"/>
                <w:szCs w:val="18"/>
              </w:rPr>
            </w:pPr>
            <w:r>
              <w:rPr>
                <w:sz w:val="18"/>
                <w:szCs w:val="18"/>
              </w:rPr>
              <w:t>氮</w:t>
            </w:r>
          </w:p>
        </w:tc>
        <w:tc>
          <w:tcPr>
            <w:tcW w:w="288" w:type="pct"/>
            <w:vAlign w:val="center"/>
          </w:tcPr>
          <w:p w14:paraId="54C3FD70" w14:textId="77777777" w:rsidR="007D1E74" w:rsidRDefault="00A95641">
            <w:pPr>
              <w:adjustRightInd w:val="0"/>
              <w:snapToGrid w:val="0"/>
              <w:jc w:val="center"/>
              <w:rPr>
                <w:sz w:val="18"/>
                <w:szCs w:val="18"/>
              </w:rPr>
            </w:pPr>
            <w:r>
              <w:rPr>
                <w:sz w:val="18"/>
                <w:szCs w:val="18"/>
              </w:rPr>
              <w:t>氦</w:t>
            </w:r>
          </w:p>
        </w:tc>
        <w:tc>
          <w:tcPr>
            <w:tcW w:w="288" w:type="pct"/>
            <w:vAlign w:val="center"/>
          </w:tcPr>
          <w:p w14:paraId="7DDE9976" w14:textId="77777777" w:rsidR="007D1E74" w:rsidRDefault="00A95641">
            <w:pPr>
              <w:adjustRightInd w:val="0"/>
              <w:snapToGrid w:val="0"/>
              <w:jc w:val="center"/>
              <w:rPr>
                <w:sz w:val="18"/>
                <w:szCs w:val="18"/>
              </w:rPr>
            </w:pPr>
            <w:r>
              <w:rPr>
                <w:sz w:val="18"/>
                <w:szCs w:val="18"/>
              </w:rPr>
              <w:t>氢</w:t>
            </w:r>
          </w:p>
        </w:tc>
        <w:tc>
          <w:tcPr>
            <w:tcW w:w="414" w:type="pct"/>
            <w:vAlign w:val="center"/>
          </w:tcPr>
          <w:p w14:paraId="5FB233A9" w14:textId="77777777" w:rsidR="007D1E74" w:rsidRDefault="00A95641">
            <w:pPr>
              <w:adjustRightInd w:val="0"/>
              <w:snapToGrid w:val="0"/>
              <w:jc w:val="center"/>
              <w:rPr>
                <w:sz w:val="18"/>
                <w:szCs w:val="18"/>
              </w:rPr>
            </w:pPr>
            <w:r>
              <w:rPr>
                <w:sz w:val="18"/>
                <w:szCs w:val="18"/>
              </w:rPr>
              <w:t>密度</w:t>
            </w:r>
            <w:r>
              <w:rPr>
                <w:sz w:val="18"/>
                <w:szCs w:val="18"/>
              </w:rPr>
              <w:t>(kg/m</w:t>
            </w:r>
            <w:r>
              <w:rPr>
                <w:sz w:val="18"/>
                <w:szCs w:val="18"/>
                <w:vertAlign w:val="superscript"/>
              </w:rPr>
              <w:t>3</w:t>
            </w:r>
            <w:r>
              <w:rPr>
                <w:sz w:val="18"/>
                <w:szCs w:val="18"/>
              </w:rPr>
              <w:t>)</w:t>
            </w:r>
          </w:p>
        </w:tc>
        <w:tc>
          <w:tcPr>
            <w:tcW w:w="385" w:type="pct"/>
            <w:vAlign w:val="center"/>
          </w:tcPr>
          <w:p w14:paraId="5274B488" w14:textId="77777777" w:rsidR="007D1E74" w:rsidRDefault="00A95641">
            <w:pPr>
              <w:adjustRightInd w:val="0"/>
              <w:snapToGrid w:val="0"/>
              <w:jc w:val="center"/>
              <w:rPr>
                <w:sz w:val="18"/>
                <w:szCs w:val="18"/>
              </w:rPr>
            </w:pPr>
            <w:r>
              <w:rPr>
                <w:sz w:val="18"/>
                <w:szCs w:val="18"/>
              </w:rPr>
              <w:t>相对密度</w:t>
            </w:r>
          </w:p>
        </w:tc>
        <w:tc>
          <w:tcPr>
            <w:tcW w:w="385" w:type="pct"/>
            <w:vAlign w:val="center"/>
          </w:tcPr>
          <w:p w14:paraId="623EB2F3" w14:textId="77777777" w:rsidR="007D1E74" w:rsidRDefault="00A95641">
            <w:pPr>
              <w:adjustRightInd w:val="0"/>
              <w:snapToGrid w:val="0"/>
              <w:jc w:val="center"/>
              <w:rPr>
                <w:sz w:val="18"/>
                <w:szCs w:val="18"/>
              </w:rPr>
            </w:pPr>
            <w:r>
              <w:rPr>
                <w:sz w:val="18"/>
                <w:szCs w:val="18"/>
              </w:rPr>
              <w:t>临界温度（</w:t>
            </w:r>
            <w:r>
              <w:rPr>
                <w:sz w:val="18"/>
                <w:szCs w:val="18"/>
              </w:rPr>
              <w:t>K</w:t>
            </w:r>
            <w:r>
              <w:rPr>
                <w:sz w:val="18"/>
                <w:szCs w:val="18"/>
              </w:rPr>
              <w:t>）</w:t>
            </w:r>
          </w:p>
        </w:tc>
        <w:tc>
          <w:tcPr>
            <w:tcW w:w="430" w:type="pct"/>
            <w:vAlign w:val="center"/>
          </w:tcPr>
          <w:p w14:paraId="1A64038C" w14:textId="77777777" w:rsidR="007D1E74" w:rsidRDefault="00A95641">
            <w:pPr>
              <w:adjustRightInd w:val="0"/>
              <w:snapToGrid w:val="0"/>
              <w:jc w:val="center"/>
              <w:rPr>
                <w:sz w:val="18"/>
                <w:szCs w:val="18"/>
              </w:rPr>
            </w:pPr>
            <w:r>
              <w:rPr>
                <w:sz w:val="18"/>
                <w:szCs w:val="18"/>
              </w:rPr>
              <w:t>临界压力（</w:t>
            </w:r>
            <w:r>
              <w:rPr>
                <w:sz w:val="18"/>
                <w:szCs w:val="18"/>
              </w:rPr>
              <w:t>MPa)</w:t>
            </w:r>
          </w:p>
        </w:tc>
      </w:tr>
      <w:tr w:rsidR="007D1E74" w14:paraId="545C7EC4" w14:textId="77777777">
        <w:trPr>
          <w:trHeight w:val="288"/>
        </w:trPr>
        <w:tc>
          <w:tcPr>
            <w:tcW w:w="216" w:type="pct"/>
            <w:vAlign w:val="center"/>
          </w:tcPr>
          <w:p w14:paraId="4622F528" w14:textId="77777777" w:rsidR="007D1E74" w:rsidRDefault="00A95641">
            <w:pPr>
              <w:adjustRightInd w:val="0"/>
              <w:snapToGrid w:val="0"/>
              <w:jc w:val="center"/>
              <w:rPr>
                <w:sz w:val="18"/>
                <w:szCs w:val="18"/>
              </w:rPr>
            </w:pPr>
            <w:r>
              <w:rPr>
                <w:sz w:val="18"/>
                <w:szCs w:val="18"/>
              </w:rPr>
              <w:t>须四段</w:t>
            </w:r>
          </w:p>
        </w:tc>
        <w:tc>
          <w:tcPr>
            <w:tcW w:w="264" w:type="pct"/>
            <w:vAlign w:val="center"/>
          </w:tcPr>
          <w:p w14:paraId="4623EC2D" w14:textId="77777777" w:rsidR="007D1E74" w:rsidRDefault="00A95641">
            <w:pPr>
              <w:adjustRightInd w:val="0"/>
              <w:snapToGrid w:val="0"/>
              <w:jc w:val="center"/>
              <w:rPr>
                <w:sz w:val="18"/>
                <w:szCs w:val="18"/>
              </w:rPr>
            </w:pPr>
            <w:r>
              <w:rPr>
                <w:sz w:val="18"/>
                <w:szCs w:val="18"/>
              </w:rPr>
              <w:t>马</w:t>
            </w:r>
            <w:r>
              <w:rPr>
                <w:sz w:val="18"/>
                <w:szCs w:val="18"/>
              </w:rPr>
              <w:t>104</w:t>
            </w:r>
          </w:p>
        </w:tc>
        <w:tc>
          <w:tcPr>
            <w:tcW w:w="337" w:type="pct"/>
            <w:vAlign w:val="center"/>
          </w:tcPr>
          <w:p w14:paraId="6B2862B8" w14:textId="77777777" w:rsidR="007D1E74" w:rsidRDefault="00A95641">
            <w:pPr>
              <w:adjustRightInd w:val="0"/>
              <w:snapToGrid w:val="0"/>
              <w:jc w:val="center"/>
              <w:rPr>
                <w:sz w:val="16"/>
                <w:szCs w:val="16"/>
              </w:rPr>
            </w:pPr>
            <w:r>
              <w:rPr>
                <w:sz w:val="16"/>
                <w:szCs w:val="16"/>
              </w:rPr>
              <w:t>98.88</w:t>
            </w:r>
          </w:p>
        </w:tc>
        <w:tc>
          <w:tcPr>
            <w:tcW w:w="288" w:type="pct"/>
            <w:vAlign w:val="center"/>
          </w:tcPr>
          <w:p w14:paraId="07602E06" w14:textId="77777777" w:rsidR="007D1E74" w:rsidRDefault="00A95641">
            <w:pPr>
              <w:adjustRightInd w:val="0"/>
              <w:snapToGrid w:val="0"/>
              <w:jc w:val="center"/>
              <w:rPr>
                <w:sz w:val="16"/>
                <w:szCs w:val="16"/>
              </w:rPr>
            </w:pPr>
            <w:r>
              <w:rPr>
                <w:sz w:val="16"/>
                <w:szCs w:val="16"/>
              </w:rPr>
              <w:t>0.46</w:t>
            </w:r>
          </w:p>
        </w:tc>
        <w:tc>
          <w:tcPr>
            <w:tcW w:w="288" w:type="pct"/>
            <w:vAlign w:val="center"/>
          </w:tcPr>
          <w:p w14:paraId="0FD2555A" w14:textId="77777777" w:rsidR="007D1E74" w:rsidRDefault="00A95641">
            <w:pPr>
              <w:adjustRightInd w:val="0"/>
              <w:snapToGrid w:val="0"/>
              <w:jc w:val="center"/>
              <w:rPr>
                <w:sz w:val="16"/>
                <w:szCs w:val="16"/>
              </w:rPr>
            </w:pPr>
            <w:r>
              <w:rPr>
                <w:sz w:val="16"/>
                <w:szCs w:val="16"/>
              </w:rPr>
              <w:t>0.03</w:t>
            </w:r>
          </w:p>
        </w:tc>
        <w:tc>
          <w:tcPr>
            <w:tcW w:w="337" w:type="pct"/>
            <w:vAlign w:val="center"/>
          </w:tcPr>
          <w:p w14:paraId="132127E1" w14:textId="77777777" w:rsidR="007D1E74" w:rsidRDefault="00A95641">
            <w:pPr>
              <w:adjustRightInd w:val="0"/>
              <w:snapToGrid w:val="0"/>
              <w:jc w:val="center"/>
              <w:rPr>
                <w:sz w:val="16"/>
                <w:szCs w:val="16"/>
              </w:rPr>
            </w:pPr>
            <w:r>
              <w:rPr>
                <w:sz w:val="16"/>
                <w:szCs w:val="16"/>
              </w:rPr>
              <w:t>99.51</w:t>
            </w:r>
          </w:p>
        </w:tc>
        <w:tc>
          <w:tcPr>
            <w:tcW w:w="216" w:type="pct"/>
            <w:vAlign w:val="center"/>
          </w:tcPr>
          <w:p w14:paraId="7A038F78" w14:textId="77777777" w:rsidR="007D1E74" w:rsidRDefault="00A95641">
            <w:pPr>
              <w:adjustRightInd w:val="0"/>
              <w:snapToGrid w:val="0"/>
              <w:jc w:val="center"/>
              <w:rPr>
                <w:sz w:val="18"/>
                <w:szCs w:val="18"/>
              </w:rPr>
            </w:pPr>
            <w:r>
              <w:rPr>
                <w:sz w:val="18"/>
                <w:szCs w:val="18"/>
              </w:rPr>
              <w:t>干气</w:t>
            </w:r>
          </w:p>
        </w:tc>
        <w:tc>
          <w:tcPr>
            <w:tcW w:w="288" w:type="pct"/>
            <w:vAlign w:val="center"/>
          </w:tcPr>
          <w:p w14:paraId="75A3D94A" w14:textId="77777777" w:rsidR="007D1E74" w:rsidRDefault="00A95641">
            <w:pPr>
              <w:adjustRightInd w:val="0"/>
              <w:snapToGrid w:val="0"/>
              <w:jc w:val="center"/>
              <w:rPr>
                <w:sz w:val="16"/>
                <w:szCs w:val="16"/>
              </w:rPr>
            </w:pPr>
            <w:r>
              <w:rPr>
                <w:sz w:val="16"/>
                <w:szCs w:val="16"/>
              </w:rPr>
              <w:t>0.17</w:t>
            </w:r>
          </w:p>
        </w:tc>
        <w:tc>
          <w:tcPr>
            <w:tcW w:w="288" w:type="pct"/>
            <w:vAlign w:val="center"/>
          </w:tcPr>
          <w:p w14:paraId="29D3DEE6" w14:textId="77777777" w:rsidR="007D1E74" w:rsidRDefault="00A95641">
            <w:pPr>
              <w:adjustRightInd w:val="0"/>
              <w:snapToGrid w:val="0"/>
              <w:jc w:val="center"/>
              <w:rPr>
                <w:sz w:val="16"/>
                <w:szCs w:val="16"/>
              </w:rPr>
            </w:pPr>
            <w:r>
              <w:rPr>
                <w:sz w:val="16"/>
                <w:szCs w:val="16"/>
              </w:rPr>
              <w:t>0.01</w:t>
            </w:r>
          </w:p>
        </w:tc>
        <w:tc>
          <w:tcPr>
            <w:tcW w:w="288" w:type="pct"/>
            <w:vAlign w:val="center"/>
          </w:tcPr>
          <w:p w14:paraId="401AF080" w14:textId="77777777" w:rsidR="007D1E74" w:rsidRDefault="00A95641">
            <w:pPr>
              <w:adjustRightInd w:val="0"/>
              <w:snapToGrid w:val="0"/>
              <w:jc w:val="center"/>
              <w:rPr>
                <w:sz w:val="16"/>
                <w:szCs w:val="16"/>
              </w:rPr>
            </w:pPr>
            <w:r>
              <w:rPr>
                <w:sz w:val="16"/>
                <w:szCs w:val="16"/>
              </w:rPr>
              <w:t>0.38</w:t>
            </w:r>
          </w:p>
        </w:tc>
        <w:tc>
          <w:tcPr>
            <w:tcW w:w="288" w:type="pct"/>
            <w:vAlign w:val="center"/>
          </w:tcPr>
          <w:p w14:paraId="64893B42" w14:textId="77777777" w:rsidR="007D1E74" w:rsidRDefault="00A95641">
            <w:pPr>
              <w:adjustRightInd w:val="0"/>
              <w:snapToGrid w:val="0"/>
              <w:jc w:val="center"/>
              <w:rPr>
                <w:sz w:val="16"/>
                <w:szCs w:val="16"/>
              </w:rPr>
            </w:pPr>
            <w:r>
              <w:rPr>
                <w:sz w:val="16"/>
                <w:szCs w:val="16"/>
              </w:rPr>
              <w:t>0.05</w:t>
            </w:r>
          </w:p>
        </w:tc>
        <w:tc>
          <w:tcPr>
            <w:tcW w:w="288" w:type="pct"/>
            <w:vAlign w:val="center"/>
          </w:tcPr>
          <w:p w14:paraId="7FB34E3B" w14:textId="77777777" w:rsidR="007D1E74" w:rsidRDefault="00A95641">
            <w:pPr>
              <w:adjustRightInd w:val="0"/>
              <w:snapToGrid w:val="0"/>
              <w:jc w:val="center"/>
              <w:rPr>
                <w:sz w:val="16"/>
                <w:szCs w:val="16"/>
              </w:rPr>
            </w:pPr>
            <w:r>
              <w:rPr>
                <w:sz w:val="16"/>
                <w:szCs w:val="16"/>
              </w:rPr>
              <w:t>0.02</w:t>
            </w:r>
          </w:p>
        </w:tc>
        <w:tc>
          <w:tcPr>
            <w:tcW w:w="414" w:type="pct"/>
            <w:vAlign w:val="center"/>
          </w:tcPr>
          <w:p w14:paraId="1CCD25EC" w14:textId="77777777" w:rsidR="007D1E74" w:rsidRDefault="00A95641">
            <w:pPr>
              <w:adjustRightInd w:val="0"/>
              <w:snapToGrid w:val="0"/>
              <w:jc w:val="center"/>
              <w:rPr>
                <w:sz w:val="16"/>
                <w:szCs w:val="16"/>
              </w:rPr>
            </w:pPr>
            <w:r>
              <w:rPr>
                <w:sz w:val="16"/>
                <w:szCs w:val="16"/>
              </w:rPr>
              <w:t>0.675</w:t>
            </w:r>
          </w:p>
        </w:tc>
        <w:tc>
          <w:tcPr>
            <w:tcW w:w="385" w:type="pct"/>
            <w:vAlign w:val="center"/>
          </w:tcPr>
          <w:p w14:paraId="05348536" w14:textId="77777777" w:rsidR="007D1E74" w:rsidRDefault="00A95641">
            <w:pPr>
              <w:adjustRightInd w:val="0"/>
              <w:snapToGrid w:val="0"/>
              <w:jc w:val="center"/>
              <w:rPr>
                <w:sz w:val="16"/>
                <w:szCs w:val="16"/>
              </w:rPr>
            </w:pPr>
            <w:r>
              <w:rPr>
                <w:sz w:val="16"/>
                <w:szCs w:val="16"/>
              </w:rPr>
              <w:t>0.5604</w:t>
            </w:r>
          </w:p>
        </w:tc>
        <w:tc>
          <w:tcPr>
            <w:tcW w:w="385" w:type="pct"/>
            <w:vAlign w:val="center"/>
          </w:tcPr>
          <w:p w14:paraId="4AE71E1E" w14:textId="77777777" w:rsidR="007D1E74" w:rsidRDefault="00A95641">
            <w:pPr>
              <w:adjustRightInd w:val="0"/>
              <w:snapToGrid w:val="0"/>
              <w:jc w:val="center"/>
              <w:rPr>
                <w:sz w:val="16"/>
                <w:szCs w:val="16"/>
              </w:rPr>
            </w:pPr>
            <w:r>
              <w:rPr>
                <w:sz w:val="16"/>
                <w:szCs w:val="16"/>
              </w:rPr>
              <w:t>190.98</w:t>
            </w:r>
          </w:p>
        </w:tc>
        <w:tc>
          <w:tcPr>
            <w:tcW w:w="430" w:type="pct"/>
            <w:vAlign w:val="center"/>
          </w:tcPr>
          <w:p w14:paraId="1F7B32E7" w14:textId="77777777" w:rsidR="007D1E74" w:rsidRDefault="00A95641">
            <w:pPr>
              <w:adjustRightInd w:val="0"/>
              <w:snapToGrid w:val="0"/>
              <w:jc w:val="center"/>
              <w:rPr>
                <w:sz w:val="16"/>
                <w:szCs w:val="16"/>
              </w:rPr>
            </w:pPr>
            <w:r>
              <w:rPr>
                <w:sz w:val="16"/>
                <w:szCs w:val="16"/>
              </w:rPr>
              <w:t>4.5976</w:t>
            </w:r>
          </w:p>
        </w:tc>
      </w:tr>
      <w:tr w:rsidR="007D1E74" w14:paraId="27FC2E8B" w14:textId="77777777">
        <w:trPr>
          <w:trHeight w:val="576"/>
        </w:trPr>
        <w:tc>
          <w:tcPr>
            <w:tcW w:w="216" w:type="pct"/>
            <w:vAlign w:val="center"/>
          </w:tcPr>
          <w:p w14:paraId="7B77FD8A" w14:textId="77777777" w:rsidR="007D1E74" w:rsidRDefault="00A95641">
            <w:pPr>
              <w:adjustRightInd w:val="0"/>
              <w:snapToGrid w:val="0"/>
              <w:jc w:val="center"/>
              <w:rPr>
                <w:sz w:val="18"/>
                <w:szCs w:val="18"/>
              </w:rPr>
            </w:pPr>
            <w:r>
              <w:rPr>
                <w:sz w:val="18"/>
                <w:szCs w:val="18"/>
              </w:rPr>
              <w:t>须二上</w:t>
            </w:r>
          </w:p>
        </w:tc>
        <w:tc>
          <w:tcPr>
            <w:tcW w:w="264" w:type="pct"/>
            <w:vAlign w:val="center"/>
          </w:tcPr>
          <w:p w14:paraId="45469D41" w14:textId="77777777" w:rsidR="007D1E74" w:rsidRDefault="00A95641">
            <w:pPr>
              <w:adjustRightInd w:val="0"/>
              <w:snapToGrid w:val="0"/>
              <w:jc w:val="center"/>
              <w:rPr>
                <w:sz w:val="18"/>
                <w:szCs w:val="18"/>
              </w:rPr>
            </w:pPr>
            <w:r>
              <w:rPr>
                <w:sz w:val="18"/>
                <w:szCs w:val="18"/>
              </w:rPr>
              <w:t>马</w:t>
            </w:r>
            <w:r>
              <w:rPr>
                <w:sz w:val="18"/>
                <w:szCs w:val="18"/>
              </w:rPr>
              <w:t>2</w:t>
            </w:r>
            <w:r>
              <w:rPr>
                <w:sz w:val="18"/>
                <w:szCs w:val="18"/>
              </w:rPr>
              <w:t>井</w:t>
            </w:r>
          </w:p>
        </w:tc>
        <w:tc>
          <w:tcPr>
            <w:tcW w:w="337" w:type="pct"/>
            <w:vAlign w:val="center"/>
          </w:tcPr>
          <w:p w14:paraId="410BA5D9" w14:textId="77777777" w:rsidR="007D1E74" w:rsidRDefault="00A95641">
            <w:pPr>
              <w:adjustRightInd w:val="0"/>
              <w:snapToGrid w:val="0"/>
              <w:jc w:val="center"/>
              <w:rPr>
                <w:sz w:val="16"/>
                <w:szCs w:val="16"/>
              </w:rPr>
            </w:pPr>
            <w:r>
              <w:rPr>
                <w:sz w:val="16"/>
                <w:szCs w:val="16"/>
              </w:rPr>
              <w:t>98.93</w:t>
            </w:r>
          </w:p>
        </w:tc>
        <w:tc>
          <w:tcPr>
            <w:tcW w:w="288" w:type="pct"/>
            <w:vAlign w:val="center"/>
          </w:tcPr>
          <w:p w14:paraId="76E64A7F" w14:textId="77777777" w:rsidR="007D1E74" w:rsidRDefault="00A95641">
            <w:pPr>
              <w:adjustRightInd w:val="0"/>
              <w:snapToGrid w:val="0"/>
              <w:jc w:val="center"/>
              <w:rPr>
                <w:sz w:val="16"/>
                <w:szCs w:val="16"/>
              </w:rPr>
            </w:pPr>
            <w:r>
              <w:rPr>
                <w:sz w:val="16"/>
                <w:szCs w:val="16"/>
              </w:rPr>
              <w:t>0.51</w:t>
            </w:r>
          </w:p>
        </w:tc>
        <w:tc>
          <w:tcPr>
            <w:tcW w:w="288" w:type="pct"/>
            <w:vAlign w:val="center"/>
          </w:tcPr>
          <w:p w14:paraId="7BC4F414" w14:textId="77777777" w:rsidR="007D1E74" w:rsidRDefault="00A95641">
            <w:pPr>
              <w:adjustRightInd w:val="0"/>
              <w:snapToGrid w:val="0"/>
              <w:jc w:val="center"/>
              <w:rPr>
                <w:sz w:val="16"/>
                <w:szCs w:val="16"/>
              </w:rPr>
            </w:pPr>
            <w:r>
              <w:rPr>
                <w:sz w:val="16"/>
                <w:szCs w:val="16"/>
              </w:rPr>
              <w:t>0.02</w:t>
            </w:r>
          </w:p>
        </w:tc>
        <w:tc>
          <w:tcPr>
            <w:tcW w:w="337" w:type="pct"/>
            <w:vAlign w:val="center"/>
          </w:tcPr>
          <w:p w14:paraId="4DD48C8A" w14:textId="77777777" w:rsidR="007D1E74" w:rsidRDefault="00A95641">
            <w:pPr>
              <w:adjustRightInd w:val="0"/>
              <w:snapToGrid w:val="0"/>
              <w:jc w:val="center"/>
              <w:rPr>
                <w:sz w:val="16"/>
                <w:szCs w:val="16"/>
              </w:rPr>
            </w:pPr>
            <w:r>
              <w:rPr>
                <w:sz w:val="16"/>
                <w:szCs w:val="16"/>
              </w:rPr>
              <w:t>99.47</w:t>
            </w:r>
          </w:p>
        </w:tc>
        <w:tc>
          <w:tcPr>
            <w:tcW w:w="216" w:type="pct"/>
            <w:vAlign w:val="center"/>
          </w:tcPr>
          <w:p w14:paraId="6E206BE9" w14:textId="77777777" w:rsidR="007D1E74" w:rsidRDefault="00A95641">
            <w:pPr>
              <w:adjustRightInd w:val="0"/>
              <w:snapToGrid w:val="0"/>
              <w:jc w:val="center"/>
              <w:rPr>
                <w:sz w:val="18"/>
                <w:szCs w:val="18"/>
              </w:rPr>
            </w:pPr>
            <w:r>
              <w:rPr>
                <w:sz w:val="18"/>
                <w:szCs w:val="18"/>
              </w:rPr>
              <w:t>干气</w:t>
            </w:r>
          </w:p>
        </w:tc>
        <w:tc>
          <w:tcPr>
            <w:tcW w:w="288" w:type="pct"/>
            <w:vAlign w:val="center"/>
          </w:tcPr>
          <w:p w14:paraId="6CD8CB6B" w14:textId="77777777" w:rsidR="007D1E74" w:rsidRDefault="00A95641">
            <w:pPr>
              <w:adjustRightInd w:val="0"/>
              <w:snapToGrid w:val="0"/>
              <w:jc w:val="center"/>
              <w:rPr>
                <w:sz w:val="16"/>
                <w:szCs w:val="16"/>
              </w:rPr>
            </w:pPr>
            <w:r>
              <w:rPr>
                <w:sz w:val="16"/>
                <w:szCs w:val="16"/>
              </w:rPr>
              <w:t>0.28</w:t>
            </w:r>
          </w:p>
        </w:tc>
        <w:tc>
          <w:tcPr>
            <w:tcW w:w="288" w:type="pct"/>
            <w:vAlign w:val="center"/>
          </w:tcPr>
          <w:p w14:paraId="5400B8CA" w14:textId="77777777" w:rsidR="007D1E74" w:rsidRDefault="007D1E74">
            <w:pPr>
              <w:adjustRightInd w:val="0"/>
              <w:snapToGrid w:val="0"/>
              <w:jc w:val="center"/>
              <w:rPr>
                <w:sz w:val="16"/>
                <w:szCs w:val="16"/>
              </w:rPr>
            </w:pPr>
          </w:p>
        </w:tc>
        <w:tc>
          <w:tcPr>
            <w:tcW w:w="288" w:type="pct"/>
            <w:vAlign w:val="center"/>
          </w:tcPr>
          <w:p w14:paraId="3ABDED08" w14:textId="77777777" w:rsidR="007D1E74" w:rsidRDefault="00A95641">
            <w:pPr>
              <w:adjustRightInd w:val="0"/>
              <w:snapToGrid w:val="0"/>
              <w:jc w:val="center"/>
              <w:rPr>
                <w:sz w:val="16"/>
                <w:szCs w:val="16"/>
              </w:rPr>
            </w:pPr>
            <w:r>
              <w:rPr>
                <w:sz w:val="16"/>
                <w:szCs w:val="16"/>
              </w:rPr>
              <w:t>0.21</w:t>
            </w:r>
          </w:p>
        </w:tc>
        <w:tc>
          <w:tcPr>
            <w:tcW w:w="288" w:type="pct"/>
            <w:vAlign w:val="center"/>
          </w:tcPr>
          <w:p w14:paraId="233B28F8" w14:textId="77777777" w:rsidR="007D1E74" w:rsidRDefault="00A95641">
            <w:pPr>
              <w:adjustRightInd w:val="0"/>
              <w:snapToGrid w:val="0"/>
              <w:jc w:val="center"/>
              <w:rPr>
                <w:sz w:val="16"/>
                <w:szCs w:val="16"/>
              </w:rPr>
            </w:pPr>
            <w:r>
              <w:rPr>
                <w:sz w:val="16"/>
                <w:szCs w:val="16"/>
              </w:rPr>
              <w:t>0.04</w:t>
            </w:r>
          </w:p>
        </w:tc>
        <w:tc>
          <w:tcPr>
            <w:tcW w:w="288" w:type="pct"/>
            <w:vAlign w:val="center"/>
          </w:tcPr>
          <w:p w14:paraId="2F9F7C80" w14:textId="77777777" w:rsidR="007D1E74" w:rsidRDefault="00A95641">
            <w:pPr>
              <w:adjustRightInd w:val="0"/>
              <w:snapToGrid w:val="0"/>
              <w:jc w:val="center"/>
              <w:rPr>
                <w:sz w:val="16"/>
                <w:szCs w:val="16"/>
              </w:rPr>
            </w:pPr>
            <w:r>
              <w:rPr>
                <w:sz w:val="16"/>
                <w:szCs w:val="16"/>
              </w:rPr>
              <w:t>0.01</w:t>
            </w:r>
          </w:p>
        </w:tc>
        <w:tc>
          <w:tcPr>
            <w:tcW w:w="414" w:type="pct"/>
            <w:vAlign w:val="center"/>
          </w:tcPr>
          <w:p w14:paraId="1477FC24" w14:textId="77777777" w:rsidR="007D1E74" w:rsidRDefault="00A95641">
            <w:pPr>
              <w:adjustRightInd w:val="0"/>
              <w:snapToGrid w:val="0"/>
              <w:jc w:val="center"/>
              <w:rPr>
                <w:sz w:val="16"/>
                <w:szCs w:val="16"/>
              </w:rPr>
            </w:pPr>
            <w:r>
              <w:rPr>
                <w:sz w:val="16"/>
                <w:szCs w:val="16"/>
              </w:rPr>
              <w:t>0.6755</w:t>
            </w:r>
          </w:p>
        </w:tc>
        <w:tc>
          <w:tcPr>
            <w:tcW w:w="385" w:type="pct"/>
            <w:vAlign w:val="center"/>
          </w:tcPr>
          <w:p w14:paraId="5A10A90C" w14:textId="77777777" w:rsidR="007D1E74" w:rsidRDefault="00A95641">
            <w:pPr>
              <w:adjustRightInd w:val="0"/>
              <w:snapToGrid w:val="0"/>
              <w:jc w:val="center"/>
              <w:rPr>
                <w:sz w:val="16"/>
                <w:szCs w:val="16"/>
              </w:rPr>
            </w:pPr>
            <w:r>
              <w:rPr>
                <w:sz w:val="16"/>
                <w:szCs w:val="16"/>
              </w:rPr>
              <w:t>0.5587</w:t>
            </w:r>
          </w:p>
        </w:tc>
        <w:tc>
          <w:tcPr>
            <w:tcW w:w="385" w:type="pct"/>
            <w:vAlign w:val="center"/>
          </w:tcPr>
          <w:p w14:paraId="4C32257F" w14:textId="77777777" w:rsidR="007D1E74" w:rsidRDefault="00A95641">
            <w:pPr>
              <w:adjustRightInd w:val="0"/>
              <w:snapToGrid w:val="0"/>
              <w:jc w:val="center"/>
              <w:rPr>
                <w:sz w:val="16"/>
                <w:szCs w:val="16"/>
              </w:rPr>
            </w:pPr>
            <w:r>
              <w:rPr>
                <w:sz w:val="16"/>
                <w:szCs w:val="16"/>
              </w:rPr>
              <w:t>191.3</w:t>
            </w:r>
          </w:p>
        </w:tc>
        <w:tc>
          <w:tcPr>
            <w:tcW w:w="430" w:type="pct"/>
            <w:vAlign w:val="center"/>
          </w:tcPr>
          <w:p w14:paraId="3AD567CE" w14:textId="77777777" w:rsidR="007D1E74" w:rsidRDefault="00A95641">
            <w:pPr>
              <w:adjustRightInd w:val="0"/>
              <w:snapToGrid w:val="0"/>
              <w:jc w:val="center"/>
              <w:rPr>
                <w:sz w:val="16"/>
                <w:szCs w:val="16"/>
              </w:rPr>
            </w:pPr>
            <w:r>
              <w:rPr>
                <w:sz w:val="16"/>
                <w:szCs w:val="16"/>
              </w:rPr>
              <w:t>4.609</w:t>
            </w:r>
          </w:p>
        </w:tc>
      </w:tr>
      <w:tr w:rsidR="007D1E74" w14:paraId="17ADB109" w14:textId="77777777">
        <w:trPr>
          <w:trHeight w:val="576"/>
        </w:trPr>
        <w:tc>
          <w:tcPr>
            <w:tcW w:w="216" w:type="pct"/>
            <w:vAlign w:val="center"/>
          </w:tcPr>
          <w:p w14:paraId="109242C5" w14:textId="77777777" w:rsidR="007D1E74" w:rsidRDefault="00A95641">
            <w:pPr>
              <w:adjustRightInd w:val="0"/>
              <w:snapToGrid w:val="0"/>
              <w:jc w:val="center"/>
              <w:rPr>
                <w:sz w:val="18"/>
                <w:szCs w:val="18"/>
              </w:rPr>
            </w:pPr>
            <w:r>
              <w:rPr>
                <w:sz w:val="18"/>
                <w:szCs w:val="18"/>
              </w:rPr>
              <w:lastRenderedPageBreak/>
              <w:t>须二上</w:t>
            </w:r>
          </w:p>
        </w:tc>
        <w:tc>
          <w:tcPr>
            <w:tcW w:w="264" w:type="pct"/>
            <w:vAlign w:val="center"/>
          </w:tcPr>
          <w:p w14:paraId="561842DA" w14:textId="77777777" w:rsidR="007D1E74" w:rsidRDefault="00A95641">
            <w:pPr>
              <w:adjustRightInd w:val="0"/>
              <w:snapToGrid w:val="0"/>
              <w:jc w:val="center"/>
              <w:rPr>
                <w:sz w:val="18"/>
                <w:szCs w:val="18"/>
              </w:rPr>
            </w:pPr>
            <w:r>
              <w:rPr>
                <w:sz w:val="18"/>
                <w:szCs w:val="18"/>
              </w:rPr>
              <w:t>马</w:t>
            </w:r>
            <w:r>
              <w:rPr>
                <w:sz w:val="18"/>
                <w:szCs w:val="18"/>
              </w:rPr>
              <w:t>103</w:t>
            </w:r>
          </w:p>
        </w:tc>
        <w:tc>
          <w:tcPr>
            <w:tcW w:w="337" w:type="pct"/>
            <w:vAlign w:val="center"/>
          </w:tcPr>
          <w:p w14:paraId="7BC98360" w14:textId="77777777" w:rsidR="007D1E74" w:rsidRDefault="00A95641">
            <w:pPr>
              <w:adjustRightInd w:val="0"/>
              <w:snapToGrid w:val="0"/>
              <w:jc w:val="center"/>
              <w:rPr>
                <w:sz w:val="16"/>
                <w:szCs w:val="16"/>
              </w:rPr>
            </w:pPr>
            <w:r>
              <w:rPr>
                <w:sz w:val="16"/>
                <w:szCs w:val="16"/>
              </w:rPr>
              <w:t>98.54</w:t>
            </w:r>
          </w:p>
        </w:tc>
        <w:tc>
          <w:tcPr>
            <w:tcW w:w="288" w:type="pct"/>
            <w:vAlign w:val="center"/>
          </w:tcPr>
          <w:p w14:paraId="7CC20670" w14:textId="77777777" w:rsidR="007D1E74" w:rsidRDefault="00A95641">
            <w:pPr>
              <w:adjustRightInd w:val="0"/>
              <w:snapToGrid w:val="0"/>
              <w:jc w:val="center"/>
              <w:rPr>
                <w:sz w:val="16"/>
                <w:szCs w:val="16"/>
              </w:rPr>
            </w:pPr>
            <w:r>
              <w:rPr>
                <w:sz w:val="16"/>
                <w:szCs w:val="16"/>
              </w:rPr>
              <w:t>0.73</w:t>
            </w:r>
          </w:p>
        </w:tc>
        <w:tc>
          <w:tcPr>
            <w:tcW w:w="288" w:type="pct"/>
            <w:vAlign w:val="center"/>
          </w:tcPr>
          <w:p w14:paraId="3A7DED99" w14:textId="77777777" w:rsidR="007D1E74" w:rsidRDefault="00A95641">
            <w:pPr>
              <w:adjustRightInd w:val="0"/>
              <w:snapToGrid w:val="0"/>
              <w:jc w:val="center"/>
              <w:rPr>
                <w:sz w:val="16"/>
                <w:szCs w:val="16"/>
              </w:rPr>
            </w:pPr>
            <w:r>
              <w:rPr>
                <w:sz w:val="16"/>
                <w:szCs w:val="16"/>
              </w:rPr>
              <w:t>0.07</w:t>
            </w:r>
          </w:p>
        </w:tc>
        <w:tc>
          <w:tcPr>
            <w:tcW w:w="337" w:type="pct"/>
            <w:vAlign w:val="center"/>
          </w:tcPr>
          <w:p w14:paraId="0C10EA9D" w14:textId="77777777" w:rsidR="007D1E74" w:rsidRDefault="00A95641">
            <w:pPr>
              <w:adjustRightInd w:val="0"/>
              <w:snapToGrid w:val="0"/>
              <w:jc w:val="center"/>
              <w:rPr>
                <w:sz w:val="16"/>
                <w:szCs w:val="16"/>
              </w:rPr>
            </w:pPr>
            <w:r>
              <w:rPr>
                <w:sz w:val="16"/>
                <w:szCs w:val="16"/>
              </w:rPr>
              <w:t>99.19</w:t>
            </w:r>
          </w:p>
        </w:tc>
        <w:tc>
          <w:tcPr>
            <w:tcW w:w="216" w:type="pct"/>
            <w:vAlign w:val="center"/>
          </w:tcPr>
          <w:p w14:paraId="00054F52" w14:textId="77777777" w:rsidR="007D1E74" w:rsidRDefault="00A95641">
            <w:pPr>
              <w:adjustRightInd w:val="0"/>
              <w:snapToGrid w:val="0"/>
              <w:jc w:val="center"/>
              <w:rPr>
                <w:sz w:val="18"/>
                <w:szCs w:val="18"/>
              </w:rPr>
            </w:pPr>
            <w:r>
              <w:rPr>
                <w:sz w:val="18"/>
                <w:szCs w:val="18"/>
              </w:rPr>
              <w:t>干气</w:t>
            </w:r>
          </w:p>
        </w:tc>
        <w:tc>
          <w:tcPr>
            <w:tcW w:w="288" w:type="pct"/>
            <w:vAlign w:val="center"/>
          </w:tcPr>
          <w:p w14:paraId="66C0BECD" w14:textId="77777777" w:rsidR="007D1E74" w:rsidRDefault="00A95641">
            <w:pPr>
              <w:adjustRightInd w:val="0"/>
              <w:snapToGrid w:val="0"/>
              <w:jc w:val="center"/>
              <w:rPr>
                <w:sz w:val="16"/>
                <w:szCs w:val="16"/>
              </w:rPr>
            </w:pPr>
            <w:r>
              <w:rPr>
                <w:sz w:val="16"/>
                <w:szCs w:val="16"/>
              </w:rPr>
              <w:t>0.27</w:t>
            </w:r>
          </w:p>
        </w:tc>
        <w:tc>
          <w:tcPr>
            <w:tcW w:w="288" w:type="pct"/>
            <w:vAlign w:val="center"/>
          </w:tcPr>
          <w:p w14:paraId="0B64994A" w14:textId="77777777" w:rsidR="007D1E74" w:rsidRDefault="00A95641">
            <w:pPr>
              <w:adjustRightInd w:val="0"/>
              <w:snapToGrid w:val="0"/>
              <w:jc w:val="center"/>
              <w:rPr>
                <w:sz w:val="16"/>
                <w:szCs w:val="16"/>
              </w:rPr>
            </w:pPr>
            <w:r>
              <w:rPr>
                <w:sz w:val="16"/>
                <w:szCs w:val="16"/>
              </w:rPr>
              <w:t>0.02</w:t>
            </w:r>
          </w:p>
        </w:tc>
        <w:tc>
          <w:tcPr>
            <w:tcW w:w="288" w:type="pct"/>
            <w:vAlign w:val="center"/>
          </w:tcPr>
          <w:p w14:paraId="2D5972EB" w14:textId="77777777" w:rsidR="007D1E74" w:rsidRDefault="00A95641">
            <w:pPr>
              <w:adjustRightInd w:val="0"/>
              <w:snapToGrid w:val="0"/>
              <w:jc w:val="center"/>
              <w:rPr>
                <w:sz w:val="16"/>
                <w:szCs w:val="16"/>
              </w:rPr>
            </w:pPr>
            <w:r>
              <w:rPr>
                <w:sz w:val="16"/>
                <w:szCs w:val="16"/>
              </w:rPr>
              <w:t>0.32</w:t>
            </w:r>
          </w:p>
        </w:tc>
        <w:tc>
          <w:tcPr>
            <w:tcW w:w="288" w:type="pct"/>
            <w:vAlign w:val="center"/>
          </w:tcPr>
          <w:p w14:paraId="5B9A5C57" w14:textId="77777777" w:rsidR="007D1E74" w:rsidRDefault="00A95641">
            <w:pPr>
              <w:adjustRightInd w:val="0"/>
              <w:snapToGrid w:val="0"/>
              <w:jc w:val="center"/>
              <w:rPr>
                <w:sz w:val="16"/>
                <w:szCs w:val="16"/>
              </w:rPr>
            </w:pPr>
            <w:r>
              <w:rPr>
                <w:sz w:val="16"/>
                <w:szCs w:val="16"/>
              </w:rPr>
              <w:t>0.04</w:t>
            </w:r>
          </w:p>
        </w:tc>
        <w:tc>
          <w:tcPr>
            <w:tcW w:w="288" w:type="pct"/>
            <w:vAlign w:val="center"/>
          </w:tcPr>
          <w:p w14:paraId="4BD54D92" w14:textId="77777777" w:rsidR="007D1E74" w:rsidRDefault="00A95641">
            <w:pPr>
              <w:adjustRightInd w:val="0"/>
              <w:snapToGrid w:val="0"/>
              <w:jc w:val="center"/>
              <w:rPr>
                <w:sz w:val="16"/>
                <w:szCs w:val="16"/>
              </w:rPr>
            </w:pPr>
            <w:r>
              <w:rPr>
                <w:sz w:val="16"/>
                <w:szCs w:val="16"/>
              </w:rPr>
              <w:t>0.01</w:t>
            </w:r>
          </w:p>
        </w:tc>
        <w:tc>
          <w:tcPr>
            <w:tcW w:w="414" w:type="pct"/>
            <w:vAlign w:val="center"/>
          </w:tcPr>
          <w:p w14:paraId="510DBD51" w14:textId="77777777" w:rsidR="007D1E74" w:rsidRDefault="00A95641">
            <w:pPr>
              <w:adjustRightInd w:val="0"/>
              <w:snapToGrid w:val="0"/>
              <w:jc w:val="center"/>
              <w:rPr>
                <w:sz w:val="16"/>
                <w:szCs w:val="16"/>
              </w:rPr>
            </w:pPr>
            <w:r>
              <w:rPr>
                <w:sz w:val="16"/>
                <w:szCs w:val="16"/>
              </w:rPr>
              <w:t>0.6782</w:t>
            </w:r>
          </w:p>
        </w:tc>
        <w:tc>
          <w:tcPr>
            <w:tcW w:w="385" w:type="pct"/>
            <w:vAlign w:val="center"/>
          </w:tcPr>
          <w:p w14:paraId="1724C01E" w14:textId="77777777" w:rsidR="007D1E74" w:rsidRDefault="00A95641">
            <w:pPr>
              <w:adjustRightInd w:val="0"/>
              <w:snapToGrid w:val="0"/>
              <w:jc w:val="center"/>
              <w:rPr>
                <w:sz w:val="16"/>
                <w:szCs w:val="16"/>
              </w:rPr>
            </w:pPr>
            <w:r>
              <w:rPr>
                <w:sz w:val="16"/>
                <w:szCs w:val="16"/>
              </w:rPr>
              <w:t>0.5631</w:t>
            </w:r>
          </w:p>
        </w:tc>
        <w:tc>
          <w:tcPr>
            <w:tcW w:w="385" w:type="pct"/>
            <w:vAlign w:val="center"/>
          </w:tcPr>
          <w:p w14:paraId="77EB03C1" w14:textId="77777777" w:rsidR="007D1E74" w:rsidRDefault="00A95641">
            <w:pPr>
              <w:adjustRightInd w:val="0"/>
              <w:snapToGrid w:val="0"/>
              <w:jc w:val="center"/>
              <w:rPr>
                <w:sz w:val="16"/>
                <w:szCs w:val="16"/>
              </w:rPr>
            </w:pPr>
            <w:r>
              <w:rPr>
                <w:sz w:val="16"/>
                <w:szCs w:val="16"/>
              </w:rPr>
              <w:t>191.58</w:t>
            </w:r>
          </w:p>
        </w:tc>
        <w:tc>
          <w:tcPr>
            <w:tcW w:w="430" w:type="pct"/>
            <w:vAlign w:val="center"/>
          </w:tcPr>
          <w:p w14:paraId="0DFC008C" w14:textId="77777777" w:rsidR="007D1E74" w:rsidRDefault="00A95641">
            <w:pPr>
              <w:adjustRightInd w:val="0"/>
              <w:snapToGrid w:val="0"/>
              <w:jc w:val="center"/>
              <w:rPr>
                <w:sz w:val="16"/>
                <w:szCs w:val="16"/>
              </w:rPr>
            </w:pPr>
            <w:r>
              <w:rPr>
                <w:sz w:val="16"/>
                <w:szCs w:val="16"/>
              </w:rPr>
              <w:t>4.6027</w:t>
            </w:r>
          </w:p>
        </w:tc>
      </w:tr>
      <w:tr w:rsidR="007D1E74" w14:paraId="62E8A2D3" w14:textId="77777777">
        <w:trPr>
          <w:trHeight w:val="576"/>
        </w:trPr>
        <w:tc>
          <w:tcPr>
            <w:tcW w:w="216" w:type="pct"/>
            <w:vAlign w:val="center"/>
          </w:tcPr>
          <w:p w14:paraId="7D6D6641" w14:textId="77777777" w:rsidR="007D1E74" w:rsidRDefault="00A95641">
            <w:pPr>
              <w:adjustRightInd w:val="0"/>
              <w:snapToGrid w:val="0"/>
              <w:jc w:val="center"/>
              <w:rPr>
                <w:sz w:val="18"/>
                <w:szCs w:val="18"/>
              </w:rPr>
            </w:pPr>
            <w:r>
              <w:rPr>
                <w:sz w:val="18"/>
                <w:szCs w:val="18"/>
              </w:rPr>
              <w:t>须二下</w:t>
            </w:r>
          </w:p>
        </w:tc>
        <w:tc>
          <w:tcPr>
            <w:tcW w:w="264" w:type="pct"/>
            <w:vAlign w:val="center"/>
          </w:tcPr>
          <w:p w14:paraId="68F8D075" w14:textId="77777777" w:rsidR="007D1E74" w:rsidRDefault="00A95641">
            <w:pPr>
              <w:adjustRightInd w:val="0"/>
              <w:snapToGrid w:val="0"/>
              <w:jc w:val="center"/>
              <w:rPr>
                <w:sz w:val="18"/>
                <w:szCs w:val="18"/>
              </w:rPr>
            </w:pPr>
            <w:r>
              <w:rPr>
                <w:sz w:val="18"/>
                <w:szCs w:val="18"/>
              </w:rPr>
              <w:t>马</w:t>
            </w:r>
            <w:r>
              <w:rPr>
                <w:sz w:val="18"/>
                <w:szCs w:val="18"/>
              </w:rPr>
              <w:t>101</w:t>
            </w:r>
            <w:r>
              <w:rPr>
                <w:sz w:val="18"/>
                <w:szCs w:val="18"/>
              </w:rPr>
              <w:t>井</w:t>
            </w:r>
          </w:p>
        </w:tc>
        <w:tc>
          <w:tcPr>
            <w:tcW w:w="337" w:type="pct"/>
            <w:vAlign w:val="center"/>
          </w:tcPr>
          <w:p w14:paraId="2C621AA8" w14:textId="77777777" w:rsidR="007D1E74" w:rsidRDefault="00A95641">
            <w:pPr>
              <w:adjustRightInd w:val="0"/>
              <w:snapToGrid w:val="0"/>
              <w:jc w:val="center"/>
              <w:rPr>
                <w:sz w:val="16"/>
                <w:szCs w:val="16"/>
              </w:rPr>
            </w:pPr>
            <w:r>
              <w:rPr>
                <w:sz w:val="16"/>
                <w:szCs w:val="16"/>
              </w:rPr>
              <w:t>98.63</w:t>
            </w:r>
          </w:p>
        </w:tc>
        <w:tc>
          <w:tcPr>
            <w:tcW w:w="288" w:type="pct"/>
            <w:vAlign w:val="center"/>
          </w:tcPr>
          <w:p w14:paraId="4AA56610" w14:textId="77777777" w:rsidR="007D1E74" w:rsidRDefault="00A95641">
            <w:pPr>
              <w:adjustRightInd w:val="0"/>
              <w:snapToGrid w:val="0"/>
              <w:jc w:val="center"/>
              <w:rPr>
                <w:sz w:val="16"/>
                <w:szCs w:val="16"/>
              </w:rPr>
            </w:pPr>
            <w:r>
              <w:rPr>
                <w:sz w:val="16"/>
                <w:szCs w:val="16"/>
              </w:rPr>
              <w:t>0.67</w:t>
            </w:r>
          </w:p>
        </w:tc>
        <w:tc>
          <w:tcPr>
            <w:tcW w:w="288" w:type="pct"/>
            <w:vAlign w:val="center"/>
          </w:tcPr>
          <w:p w14:paraId="46495525" w14:textId="77777777" w:rsidR="007D1E74" w:rsidRDefault="00A95641">
            <w:pPr>
              <w:adjustRightInd w:val="0"/>
              <w:snapToGrid w:val="0"/>
              <w:jc w:val="center"/>
              <w:rPr>
                <w:sz w:val="16"/>
                <w:szCs w:val="16"/>
              </w:rPr>
            </w:pPr>
            <w:r>
              <w:rPr>
                <w:sz w:val="16"/>
                <w:szCs w:val="16"/>
              </w:rPr>
              <w:t>0.06</w:t>
            </w:r>
          </w:p>
        </w:tc>
        <w:tc>
          <w:tcPr>
            <w:tcW w:w="337" w:type="pct"/>
            <w:vAlign w:val="center"/>
          </w:tcPr>
          <w:p w14:paraId="06544469" w14:textId="77777777" w:rsidR="007D1E74" w:rsidRDefault="00A95641">
            <w:pPr>
              <w:adjustRightInd w:val="0"/>
              <w:snapToGrid w:val="0"/>
              <w:jc w:val="center"/>
              <w:rPr>
                <w:sz w:val="16"/>
                <w:szCs w:val="16"/>
              </w:rPr>
            </w:pPr>
            <w:r>
              <w:rPr>
                <w:sz w:val="16"/>
                <w:szCs w:val="16"/>
              </w:rPr>
              <w:t>99.26</w:t>
            </w:r>
          </w:p>
        </w:tc>
        <w:tc>
          <w:tcPr>
            <w:tcW w:w="216" w:type="pct"/>
            <w:vAlign w:val="center"/>
          </w:tcPr>
          <w:p w14:paraId="69D12D0F" w14:textId="77777777" w:rsidR="007D1E74" w:rsidRDefault="00A95641">
            <w:pPr>
              <w:adjustRightInd w:val="0"/>
              <w:snapToGrid w:val="0"/>
              <w:jc w:val="center"/>
              <w:rPr>
                <w:sz w:val="18"/>
                <w:szCs w:val="18"/>
              </w:rPr>
            </w:pPr>
            <w:r>
              <w:rPr>
                <w:sz w:val="18"/>
                <w:szCs w:val="18"/>
              </w:rPr>
              <w:t>干气</w:t>
            </w:r>
          </w:p>
        </w:tc>
        <w:tc>
          <w:tcPr>
            <w:tcW w:w="288" w:type="pct"/>
            <w:vAlign w:val="center"/>
          </w:tcPr>
          <w:p w14:paraId="18BA8C24" w14:textId="77777777" w:rsidR="007D1E74" w:rsidRDefault="00A95641">
            <w:pPr>
              <w:adjustRightInd w:val="0"/>
              <w:snapToGrid w:val="0"/>
              <w:jc w:val="center"/>
              <w:rPr>
                <w:sz w:val="16"/>
                <w:szCs w:val="16"/>
              </w:rPr>
            </w:pPr>
            <w:r>
              <w:rPr>
                <w:sz w:val="16"/>
                <w:szCs w:val="16"/>
              </w:rPr>
              <w:t>0.3</w:t>
            </w:r>
          </w:p>
        </w:tc>
        <w:tc>
          <w:tcPr>
            <w:tcW w:w="288" w:type="pct"/>
            <w:vAlign w:val="center"/>
          </w:tcPr>
          <w:p w14:paraId="479F05F0" w14:textId="77777777" w:rsidR="007D1E74" w:rsidRDefault="00A95641">
            <w:pPr>
              <w:adjustRightInd w:val="0"/>
              <w:snapToGrid w:val="0"/>
              <w:jc w:val="center"/>
              <w:rPr>
                <w:sz w:val="16"/>
                <w:szCs w:val="16"/>
              </w:rPr>
            </w:pPr>
            <w:r>
              <w:rPr>
                <w:sz w:val="16"/>
                <w:szCs w:val="16"/>
              </w:rPr>
              <w:t>0.02</w:t>
            </w:r>
          </w:p>
        </w:tc>
        <w:tc>
          <w:tcPr>
            <w:tcW w:w="288" w:type="pct"/>
            <w:vAlign w:val="center"/>
          </w:tcPr>
          <w:p w14:paraId="3AB39F41" w14:textId="77777777" w:rsidR="007D1E74" w:rsidRDefault="00A95641">
            <w:pPr>
              <w:adjustRightInd w:val="0"/>
              <w:snapToGrid w:val="0"/>
              <w:jc w:val="center"/>
              <w:rPr>
                <w:sz w:val="16"/>
                <w:szCs w:val="16"/>
              </w:rPr>
            </w:pPr>
            <w:r>
              <w:rPr>
                <w:sz w:val="16"/>
                <w:szCs w:val="16"/>
              </w:rPr>
              <w:t>0.27</w:t>
            </w:r>
          </w:p>
        </w:tc>
        <w:tc>
          <w:tcPr>
            <w:tcW w:w="288" w:type="pct"/>
            <w:vAlign w:val="center"/>
          </w:tcPr>
          <w:p w14:paraId="17F15D01" w14:textId="77777777" w:rsidR="007D1E74" w:rsidRDefault="00A95641">
            <w:pPr>
              <w:adjustRightInd w:val="0"/>
              <w:snapToGrid w:val="0"/>
              <w:jc w:val="center"/>
              <w:rPr>
                <w:sz w:val="16"/>
                <w:szCs w:val="16"/>
              </w:rPr>
            </w:pPr>
            <w:r>
              <w:rPr>
                <w:sz w:val="16"/>
                <w:szCs w:val="16"/>
              </w:rPr>
              <w:t>0.04</w:t>
            </w:r>
          </w:p>
        </w:tc>
        <w:tc>
          <w:tcPr>
            <w:tcW w:w="288" w:type="pct"/>
            <w:vAlign w:val="center"/>
          </w:tcPr>
          <w:p w14:paraId="2189A16B" w14:textId="77777777" w:rsidR="007D1E74" w:rsidRDefault="00A95641">
            <w:pPr>
              <w:adjustRightInd w:val="0"/>
              <w:snapToGrid w:val="0"/>
              <w:jc w:val="center"/>
              <w:rPr>
                <w:sz w:val="16"/>
                <w:szCs w:val="16"/>
              </w:rPr>
            </w:pPr>
            <w:r>
              <w:rPr>
                <w:sz w:val="16"/>
                <w:szCs w:val="16"/>
              </w:rPr>
              <w:t>0</w:t>
            </w:r>
          </w:p>
        </w:tc>
        <w:tc>
          <w:tcPr>
            <w:tcW w:w="414" w:type="pct"/>
            <w:vAlign w:val="center"/>
          </w:tcPr>
          <w:p w14:paraId="3802463C" w14:textId="77777777" w:rsidR="007D1E74" w:rsidRDefault="00A95641">
            <w:pPr>
              <w:adjustRightInd w:val="0"/>
              <w:snapToGrid w:val="0"/>
              <w:jc w:val="center"/>
              <w:rPr>
                <w:sz w:val="16"/>
                <w:szCs w:val="16"/>
              </w:rPr>
            </w:pPr>
            <w:r>
              <w:rPr>
                <w:sz w:val="16"/>
                <w:szCs w:val="16"/>
              </w:rPr>
              <w:t>0.6777</w:t>
            </w:r>
          </w:p>
        </w:tc>
        <w:tc>
          <w:tcPr>
            <w:tcW w:w="385" w:type="pct"/>
            <w:vAlign w:val="center"/>
          </w:tcPr>
          <w:p w14:paraId="4A4D46C2" w14:textId="77777777" w:rsidR="007D1E74" w:rsidRDefault="00A95641">
            <w:pPr>
              <w:adjustRightInd w:val="0"/>
              <w:snapToGrid w:val="0"/>
              <w:jc w:val="center"/>
              <w:rPr>
                <w:sz w:val="16"/>
                <w:szCs w:val="16"/>
              </w:rPr>
            </w:pPr>
            <w:r>
              <w:rPr>
                <w:sz w:val="16"/>
                <w:szCs w:val="16"/>
              </w:rPr>
              <w:t>0.5627</w:t>
            </w:r>
          </w:p>
        </w:tc>
        <w:tc>
          <w:tcPr>
            <w:tcW w:w="385" w:type="pct"/>
            <w:vAlign w:val="center"/>
          </w:tcPr>
          <w:p w14:paraId="11A06DF3" w14:textId="77777777" w:rsidR="007D1E74" w:rsidRDefault="00A95641">
            <w:pPr>
              <w:adjustRightInd w:val="0"/>
              <w:snapToGrid w:val="0"/>
              <w:jc w:val="center"/>
              <w:rPr>
                <w:sz w:val="16"/>
                <w:szCs w:val="16"/>
              </w:rPr>
            </w:pPr>
            <w:r>
              <w:rPr>
                <w:sz w:val="16"/>
                <w:szCs w:val="16"/>
              </w:rPr>
              <w:t>191.53</w:t>
            </w:r>
          </w:p>
        </w:tc>
        <w:tc>
          <w:tcPr>
            <w:tcW w:w="430" w:type="pct"/>
            <w:vAlign w:val="center"/>
          </w:tcPr>
          <w:p w14:paraId="52A6C537" w14:textId="77777777" w:rsidR="007D1E74" w:rsidRDefault="00A95641">
            <w:pPr>
              <w:adjustRightInd w:val="0"/>
              <w:snapToGrid w:val="0"/>
              <w:jc w:val="center"/>
              <w:rPr>
                <w:sz w:val="16"/>
                <w:szCs w:val="16"/>
              </w:rPr>
            </w:pPr>
            <w:r>
              <w:rPr>
                <w:sz w:val="16"/>
                <w:szCs w:val="16"/>
              </w:rPr>
              <w:t>4.6037</w:t>
            </w:r>
          </w:p>
        </w:tc>
      </w:tr>
    </w:tbl>
    <w:p w14:paraId="11BB5C4F" w14:textId="77777777" w:rsidR="007D1E74" w:rsidRDefault="00A95641">
      <w:pPr>
        <w:spacing w:line="360" w:lineRule="auto"/>
        <w:outlineLvl w:val="2"/>
        <w:rPr>
          <w:b/>
          <w:sz w:val="28"/>
          <w:szCs w:val="28"/>
        </w:rPr>
      </w:pPr>
      <w:r>
        <w:rPr>
          <w:b/>
          <w:sz w:val="28"/>
          <w:szCs w:val="28"/>
        </w:rPr>
        <w:t>3.1.3</w:t>
      </w:r>
      <w:r>
        <w:rPr>
          <w:b/>
          <w:sz w:val="28"/>
          <w:szCs w:val="28"/>
        </w:rPr>
        <w:t>项目组成及建设规模</w:t>
      </w:r>
    </w:p>
    <w:p w14:paraId="5BD10C81" w14:textId="77777777" w:rsidR="007D1E74" w:rsidRDefault="00A95641">
      <w:pPr>
        <w:pStyle w:val="41"/>
        <w:tabs>
          <w:tab w:val="left" w:pos="860"/>
        </w:tabs>
        <w:spacing w:line="360" w:lineRule="auto"/>
        <w:jc w:val="left"/>
        <w:rPr>
          <w:rFonts w:ascii="Times New Roman" w:hAnsi="Times New Roman"/>
          <w:sz w:val="24"/>
          <w:szCs w:val="24"/>
        </w:rPr>
      </w:pPr>
      <w:r>
        <w:rPr>
          <w:rFonts w:ascii="Times New Roman" w:hAnsi="Times New Roman"/>
          <w:sz w:val="24"/>
          <w:szCs w:val="24"/>
        </w:rPr>
        <w:t xml:space="preserve">3.1.3.1 </w:t>
      </w:r>
      <w:r>
        <w:rPr>
          <w:rFonts w:ascii="Times New Roman" w:hAnsi="Times New Roman"/>
          <w:sz w:val="24"/>
          <w:szCs w:val="24"/>
        </w:rPr>
        <w:t>项目组成及建设规模</w:t>
      </w:r>
    </w:p>
    <w:p w14:paraId="7DD9877A" w14:textId="77777777" w:rsidR="007D1E74" w:rsidRDefault="00A95641">
      <w:pPr>
        <w:spacing w:line="360" w:lineRule="auto"/>
        <w:ind w:firstLineChars="200" w:firstLine="480"/>
        <w:contextualSpacing/>
        <w:rPr>
          <w:sz w:val="24"/>
        </w:rPr>
      </w:pPr>
      <w:r>
        <w:rPr>
          <w:sz w:val="24"/>
        </w:rPr>
        <w:t>项目组成及主要环境问题见表</w:t>
      </w:r>
      <w:r>
        <w:rPr>
          <w:sz w:val="24"/>
        </w:rPr>
        <w:t>3.1-3</w:t>
      </w:r>
      <w:r>
        <w:rPr>
          <w:sz w:val="24"/>
        </w:rPr>
        <w:t>，项目主要工程量见表</w:t>
      </w:r>
      <w:r>
        <w:rPr>
          <w:sz w:val="24"/>
        </w:rPr>
        <w:t>3.1-4</w:t>
      </w:r>
      <w:r>
        <w:rPr>
          <w:sz w:val="24"/>
        </w:rPr>
        <w:t>，主要经济技术指标见表</w:t>
      </w:r>
      <w:r>
        <w:rPr>
          <w:sz w:val="24"/>
        </w:rPr>
        <w:t>3.1-5</w:t>
      </w:r>
      <w:r>
        <w:rPr>
          <w:sz w:val="24"/>
        </w:rPr>
        <w:t>。</w:t>
      </w:r>
    </w:p>
    <w:p w14:paraId="1D2F52A0" w14:textId="77777777" w:rsidR="007D1E74" w:rsidRDefault="00A95641">
      <w:pPr>
        <w:jc w:val="center"/>
        <w:rPr>
          <w:b/>
        </w:rPr>
      </w:pPr>
      <w:r>
        <w:rPr>
          <w:b/>
        </w:rPr>
        <w:t>表</w:t>
      </w:r>
      <w:r>
        <w:rPr>
          <w:b/>
        </w:rPr>
        <w:t xml:space="preserve">3.1-3  </w:t>
      </w:r>
      <w:r>
        <w:rPr>
          <w:b/>
        </w:rPr>
        <w:t>项目组成及主要环境问题</w:t>
      </w:r>
    </w:p>
    <w:tbl>
      <w:tblPr>
        <w:tblW w:w="5000" w:type="pct"/>
        <w:jc w:val="center"/>
        <w:tblBorders>
          <w:top w:val="single" w:sz="4" w:space="0" w:color="000000"/>
          <w:bottom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387"/>
        <w:gridCol w:w="882"/>
        <w:gridCol w:w="705"/>
        <w:gridCol w:w="5072"/>
        <w:gridCol w:w="985"/>
        <w:gridCol w:w="985"/>
      </w:tblGrid>
      <w:tr w:rsidR="007D1E74" w14:paraId="106F446D" w14:textId="77777777">
        <w:trPr>
          <w:trHeight w:val="311"/>
          <w:jc w:val="center"/>
        </w:trPr>
        <w:tc>
          <w:tcPr>
            <w:tcW w:w="389" w:type="dxa"/>
            <w:vMerge w:val="restart"/>
            <w:tcBorders>
              <w:top w:val="single" w:sz="4" w:space="0" w:color="auto"/>
              <w:left w:val="single" w:sz="4" w:space="0" w:color="auto"/>
              <w:bottom w:val="single" w:sz="4" w:space="0" w:color="auto"/>
              <w:right w:val="single" w:sz="4" w:space="0" w:color="auto"/>
              <w:tl2br w:val="nil"/>
              <w:tr2bl w:val="nil"/>
            </w:tcBorders>
            <w:vAlign w:val="center"/>
          </w:tcPr>
          <w:p w14:paraId="3B818EF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名称</w:t>
            </w:r>
          </w:p>
        </w:tc>
        <w:tc>
          <w:tcPr>
            <w:tcW w:w="887" w:type="dxa"/>
            <w:vMerge w:val="restart"/>
            <w:tcBorders>
              <w:top w:val="single" w:sz="4" w:space="0" w:color="auto"/>
              <w:left w:val="single" w:sz="4" w:space="0" w:color="auto"/>
              <w:bottom w:val="single" w:sz="4" w:space="0" w:color="auto"/>
              <w:right w:val="single" w:sz="4" w:space="0" w:color="auto"/>
              <w:tl2br w:val="nil"/>
              <w:tr2bl w:val="nil"/>
            </w:tcBorders>
            <w:vAlign w:val="center"/>
          </w:tcPr>
          <w:p w14:paraId="7456F84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项目名称</w:t>
            </w:r>
          </w:p>
        </w:tc>
        <w:tc>
          <w:tcPr>
            <w:tcW w:w="5812" w:type="dxa"/>
            <w:gridSpan w:val="2"/>
            <w:vMerge w:val="restart"/>
            <w:tcBorders>
              <w:top w:val="single" w:sz="4" w:space="0" w:color="auto"/>
              <w:left w:val="single" w:sz="4" w:space="0" w:color="auto"/>
              <w:bottom w:val="single" w:sz="4" w:space="0" w:color="auto"/>
              <w:right w:val="single" w:sz="4" w:space="0" w:color="auto"/>
              <w:tl2br w:val="nil"/>
              <w:tr2bl w:val="nil"/>
            </w:tcBorders>
            <w:vAlign w:val="center"/>
          </w:tcPr>
          <w:p w14:paraId="477F34A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主要建设的内容及规模</w:t>
            </w:r>
          </w:p>
        </w:tc>
        <w:tc>
          <w:tcPr>
            <w:tcW w:w="1982"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7614A0F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可能存在的环境问题</w:t>
            </w:r>
          </w:p>
        </w:tc>
      </w:tr>
      <w:tr w:rsidR="007D1E74" w14:paraId="5458ADD7" w14:textId="77777777">
        <w:trPr>
          <w:trHeight w:val="311"/>
          <w:jc w:val="center"/>
        </w:trPr>
        <w:tc>
          <w:tcPr>
            <w:tcW w:w="389" w:type="dxa"/>
            <w:vMerge/>
            <w:tcBorders>
              <w:top w:val="single" w:sz="4" w:space="0" w:color="auto"/>
              <w:left w:val="single" w:sz="4" w:space="0" w:color="auto"/>
              <w:bottom w:val="single" w:sz="4" w:space="0" w:color="auto"/>
              <w:right w:val="single" w:sz="4" w:space="0" w:color="auto"/>
              <w:tl2br w:val="nil"/>
              <w:tr2bl w:val="nil"/>
            </w:tcBorders>
            <w:vAlign w:val="center"/>
          </w:tcPr>
          <w:p w14:paraId="17A0BB47" w14:textId="77777777" w:rsidR="007D1E74" w:rsidRDefault="007D1E74">
            <w:pPr>
              <w:jc w:val="center"/>
              <w:rPr>
                <w:szCs w:val="21"/>
              </w:rPr>
            </w:pPr>
          </w:p>
        </w:tc>
        <w:tc>
          <w:tcPr>
            <w:tcW w:w="887" w:type="dxa"/>
            <w:vMerge/>
            <w:tcBorders>
              <w:top w:val="single" w:sz="4" w:space="0" w:color="auto"/>
              <w:left w:val="single" w:sz="4" w:space="0" w:color="auto"/>
              <w:bottom w:val="single" w:sz="4" w:space="0" w:color="auto"/>
              <w:right w:val="single" w:sz="4" w:space="0" w:color="auto"/>
              <w:tl2br w:val="nil"/>
              <w:tr2bl w:val="nil"/>
            </w:tcBorders>
            <w:vAlign w:val="center"/>
          </w:tcPr>
          <w:p w14:paraId="0C3D56AE" w14:textId="77777777" w:rsidR="007D1E74" w:rsidRDefault="007D1E74">
            <w:pPr>
              <w:jc w:val="center"/>
              <w:rPr>
                <w:szCs w:val="21"/>
              </w:rPr>
            </w:pPr>
          </w:p>
        </w:tc>
        <w:tc>
          <w:tcPr>
            <w:tcW w:w="5812" w:type="dxa"/>
            <w:gridSpan w:val="2"/>
            <w:vMerge/>
            <w:tcBorders>
              <w:top w:val="single" w:sz="4" w:space="0" w:color="auto"/>
              <w:left w:val="single" w:sz="4" w:space="0" w:color="auto"/>
              <w:bottom w:val="single" w:sz="4" w:space="0" w:color="auto"/>
              <w:right w:val="single" w:sz="4" w:space="0" w:color="auto"/>
              <w:tl2br w:val="nil"/>
              <w:tr2bl w:val="nil"/>
            </w:tcBorders>
            <w:vAlign w:val="center"/>
          </w:tcPr>
          <w:p w14:paraId="28331A6B" w14:textId="77777777" w:rsidR="007D1E74" w:rsidRDefault="007D1E74">
            <w:pPr>
              <w:jc w:val="center"/>
              <w:rPr>
                <w:szCs w:val="21"/>
              </w:rPr>
            </w:pPr>
          </w:p>
        </w:tc>
        <w:tc>
          <w:tcPr>
            <w:tcW w:w="991" w:type="dxa"/>
            <w:tcBorders>
              <w:top w:val="single" w:sz="4" w:space="0" w:color="auto"/>
              <w:left w:val="single" w:sz="4" w:space="0" w:color="auto"/>
              <w:bottom w:val="single" w:sz="4" w:space="0" w:color="auto"/>
              <w:right w:val="single" w:sz="4" w:space="0" w:color="auto"/>
              <w:tl2br w:val="nil"/>
              <w:tr2bl w:val="nil"/>
            </w:tcBorders>
            <w:vAlign w:val="center"/>
          </w:tcPr>
          <w:p w14:paraId="4B89401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施工期</w:t>
            </w:r>
          </w:p>
        </w:tc>
        <w:tc>
          <w:tcPr>
            <w:tcW w:w="991" w:type="dxa"/>
            <w:tcBorders>
              <w:top w:val="single" w:sz="4" w:space="0" w:color="auto"/>
              <w:left w:val="single" w:sz="4" w:space="0" w:color="auto"/>
              <w:bottom w:val="single" w:sz="4" w:space="0" w:color="auto"/>
              <w:right w:val="single" w:sz="4" w:space="0" w:color="auto"/>
              <w:tl2br w:val="nil"/>
              <w:tr2bl w:val="nil"/>
            </w:tcBorders>
            <w:vAlign w:val="center"/>
          </w:tcPr>
          <w:p w14:paraId="6B6D1F5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运行期</w:t>
            </w:r>
          </w:p>
        </w:tc>
      </w:tr>
      <w:tr w:rsidR="007D1E74" w14:paraId="5AE6B27A" w14:textId="77777777">
        <w:trPr>
          <w:trHeight w:val="3013"/>
          <w:jc w:val="center"/>
        </w:trPr>
        <w:tc>
          <w:tcPr>
            <w:tcW w:w="389" w:type="dxa"/>
            <w:vMerge w:val="restart"/>
            <w:tcBorders>
              <w:top w:val="single" w:sz="4" w:space="0" w:color="auto"/>
              <w:left w:val="single" w:sz="4" w:space="0" w:color="auto"/>
              <w:bottom w:val="single" w:sz="4" w:space="0" w:color="auto"/>
              <w:right w:val="single" w:sz="4" w:space="0" w:color="auto"/>
              <w:tl2br w:val="nil"/>
              <w:tr2bl w:val="nil"/>
            </w:tcBorders>
            <w:vAlign w:val="center"/>
          </w:tcPr>
          <w:p w14:paraId="6911EB8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主体工程</w:t>
            </w:r>
          </w:p>
        </w:tc>
        <w:tc>
          <w:tcPr>
            <w:tcW w:w="887" w:type="dxa"/>
            <w:tcBorders>
              <w:top w:val="single" w:sz="4" w:space="0" w:color="auto"/>
              <w:left w:val="single" w:sz="4" w:space="0" w:color="auto"/>
              <w:bottom w:val="single" w:sz="4" w:space="0" w:color="auto"/>
              <w:right w:val="single" w:sz="4" w:space="0" w:color="auto"/>
              <w:tl2br w:val="nil"/>
              <w:tr2bl w:val="nil"/>
            </w:tcBorders>
            <w:vAlign w:val="center"/>
          </w:tcPr>
          <w:p w14:paraId="6F86168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集输管线</w:t>
            </w:r>
          </w:p>
        </w:tc>
        <w:tc>
          <w:tcPr>
            <w:tcW w:w="5812"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061BFE03" w14:textId="77777777" w:rsidR="007D1E74" w:rsidRDefault="00A95641">
            <w:pPr>
              <w:pStyle w:val="TableParagraph"/>
              <w:rPr>
                <w:rFonts w:ascii="Times New Roman" w:hAnsi="Times New Roman"/>
                <w:sz w:val="21"/>
                <w:szCs w:val="21"/>
              </w:rPr>
            </w:pPr>
            <w:r>
              <w:rPr>
                <w:rFonts w:ascii="Times New Roman" w:hAnsi="Times New Roman"/>
                <w:sz w:val="21"/>
                <w:szCs w:val="21"/>
              </w:rPr>
              <w:t>干线：</w:t>
            </w:r>
          </w:p>
          <w:p w14:paraId="7AEC6405" w14:textId="77777777" w:rsidR="007D1E74" w:rsidRDefault="00A95641">
            <w:pPr>
              <w:pStyle w:val="TableParagraph"/>
              <w:rPr>
                <w:rFonts w:ascii="Times New Roman" w:hAnsi="Times New Roman"/>
                <w:sz w:val="21"/>
                <w:szCs w:val="21"/>
              </w:rPr>
            </w:pPr>
            <w:r>
              <w:rPr>
                <w:rFonts w:ascii="宋体" w:hAnsi="宋体" w:cs="宋体" w:hint="eastAsia"/>
                <w:sz w:val="21"/>
                <w:szCs w:val="21"/>
              </w:rPr>
              <w:t>①</w:t>
            </w:r>
            <w:r>
              <w:rPr>
                <w:rFonts w:ascii="Times New Roman" w:hAnsi="Times New Roman"/>
                <w:sz w:val="21"/>
                <w:szCs w:val="21"/>
              </w:rPr>
              <w:t>1#</w:t>
            </w:r>
            <w:r>
              <w:rPr>
                <w:rFonts w:ascii="Times New Roman" w:hAnsi="Times New Roman"/>
                <w:sz w:val="21"/>
                <w:szCs w:val="21"/>
              </w:rPr>
              <w:t>阀室至马</w:t>
            </w:r>
            <w:r>
              <w:rPr>
                <w:rFonts w:ascii="Times New Roman" w:hAnsi="Times New Roman"/>
                <w:sz w:val="21"/>
                <w:szCs w:val="21"/>
              </w:rPr>
              <w:t>1-11</w:t>
            </w:r>
            <w:r>
              <w:rPr>
                <w:rFonts w:ascii="Times New Roman" w:hAnsi="Times New Roman"/>
                <w:sz w:val="21"/>
                <w:szCs w:val="21"/>
              </w:rPr>
              <w:t>脱水井场，管径</w:t>
            </w:r>
            <w:r>
              <w:rPr>
                <w:rFonts w:ascii="Times New Roman" w:hAnsi="Times New Roman"/>
                <w:sz w:val="21"/>
                <w:szCs w:val="21"/>
              </w:rPr>
              <w:t>DN300</w:t>
            </w:r>
            <w:r>
              <w:rPr>
                <w:rFonts w:ascii="Times New Roman" w:hAnsi="Times New Roman"/>
                <w:sz w:val="21"/>
                <w:szCs w:val="21"/>
              </w:rPr>
              <w:t>，总长</w:t>
            </w:r>
            <w:r>
              <w:rPr>
                <w:rFonts w:ascii="Times New Roman" w:hAnsi="Times New Roman"/>
                <w:sz w:val="21"/>
                <w:szCs w:val="21"/>
              </w:rPr>
              <w:t>8.4km</w:t>
            </w:r>
            <w:r>
              <w:rPr>
                <w:rFonts w:ascii="Times New Roman" w:hAnsi="Times New Roman"/>
                <w:sz w:val="21"/>
                <w:szCs w:val="21"/>
              </w:rPr>
              <w:t>；</w:t>
            </w:r>
          </w:p>
          <w:p w14:paraId="59C61717" w14:textId="77777777" w:rsidR="007D1E74" w:rsidRDefault="00A95641">
            <w:pPr>
              <w:pStyle w:val="TableParagraph"/>
              <w:rPr>
                <w:rFonts w:ascii="Times New Roman" w:hAnsi="Times New Roman"/>
                <w:sz w:val="21"/>
                <w:szCs w:val="21"/>
              </w:rPr>
            </w:pPr>
            <w:r>
              <w:rPr>
                <w:rFonts w:ascii="宋体" w:hAnsi="宋体" w:cs="宋体" w:hint="eastAsia"/>
                <w:sz w:val="21"/>
                <w:szCs w:val="21"/>
              </w:rPr>
              <w:t>②</w:t>
            </w:r>
            <w:r>
              <w:rPr>
                <w:rFonts w:ascii="Times New Roman" w:hAnsi="Times New Roman"/>
                <w:sz w:val="21"/>
                <w:szCs w:val="21"/>
              </w:rPr>
              <w:t>马</w:t>
            </w:r>
            <w:r>
              <w:rPr>
                <w:rFonts w:ascii="Times New Roman" w:hAnsi="Times New Roman"/>
                <w:sz w:val="21"/>
                <w:szCs w:val="21"/>
              </w:rPr>
              <w:t>1-11</w:t>
            </w:r>
            <w:r>
              <w:rPr>
                <w:rFonts w:ascii="Times New Roman" w:hAnsi="Times New Roman"/>
                <w:sz w:val="21"/>
                <w:szCs w:val="21"/>
              </w:rPr>
              <w:t>脱水井场至</w:t>
            </w:r>
            <w:r>
              <w:rPr>
                <w:rFonts w:ascii="Times New Roman" w:hAnsi="Times New Roman"/>
                <w:sz w:val="21"/>
                <w:szCs w:val="21"/>
              </w:rPr>
              <w:t>4#</w:t>
            </w:r>
            <w:r>
              <w:rPr>
                <w:rFonts w:ascii="Times New Roman" w:hAnsi="Times New Roman"/>
                <w:sz w:val="21"/>
                <w:szCs w:val="21"/>
              </w:rPr>
              <w:t>清管阀组集输干线，管径</w:t>
            </w:r>
            <w:r>
              <w:rPr>
                <w:rFonts w:ascii="Times New Roman" w:hAnsi="Times New Roman"/>
                <w:sz w:val="21"/>
                <w:szCs w:val="21"/>
              </w:rPr>
              <w:t>DN300</w:t>
            </w:r>
            <w:r>
              <w:rPr>
                <w:rFonts w:ascii="Times New Roman" w:hAnsi="Times New Roman"/>
                <w:sz w:val="21"/>
                <w:szCs w:val="21"/>
              </w:rPr>
              <w:t>，总长</w:t>
            </w:r>
            <w:r>
              <w:rPr>
                <w:rFonts w:ascii="Times New Roman" w:hAnsi="Times New Roman"/>
                <w:sz w:val="21"/>
                <w:szCs w:val="21"/>
              </w:rPr>
              <w:t>7.1km</w:t>
            </w:r>
            <w:r>
              <w:rPr>
                <w:rFonts w:ascii="Times New Roman" w:hAnsi="Times New Roman"/>
                <w:sz w:val="21"/>
                <w:szCs w:val="21"/>
              </w:rPr>
              <w:t>；</w:t>
            </w:r>
          </w:p>
          <w:p w14:paraId="1F70B030" w14:textId="77777777" w:rsidR="007D1E74" w:rsidRDefault="00A95641">
            <w:pPr>
              <w:pStyle w:val="TableParagraph"/>
              <w:rPr>
                <w:rFonts w:ascii="Times New Roman" w:hAnsi="Times New Roman"/>
                <w:sz w:val="21"/>
                <w:szCs w:val="21"/>
              </w:rPr>
            </w:pPr>
            <w:r>
              <w:rPr>
                <w:rFonts w:ascii="宋体" w:hAnsi="宋体" w:cs="宋体" w:hint="eastAsia"/>
                <w:sz w:val="21"/>
                <w:szCs w:val="21"/>
              </w:rPr>
              <w:t>③</w:t>
            </w:r>
            <w:r>
              <w:rPr>
                <w:rFonts w:ascii="Times New Roman" w:hAnsi="Times New Roman"/>
                <w:sz w:val="21"/>
                <w:szCs w:val="21"/>
              </w:rPr>
              <w:t>4#</w:t>
            </w:r>
            <w:r>
              <w:rPr>
                <w:rFonts w:ascii="Times New Roman" w:hAnsi="Times New Roman"/>
                <w:sz w:val="21"/>
                <w:szCs w:val="21"/>
              </w:rPr>
              <w:t>清管阀组至草池增压站集输干线，管径</w:t>
            </w:r>
            <w:r>
              <w:rPr>
                <w:rFonts w:ascii="Times New Roman" w:hAnsi="Times New Roman"/>
                <w:sz w:val="21"/>
                <w:szCs w:val="21"/>
              </w:rPr>
              <w:t>DN350</w:t>
            </w:r>
            <w:r>
              <w:rPr>
                <w:rFonts w:ascii="Times New Roman" w:hAnsi="Times New Roman"/>
                <w:sz w:val="21"/>
                <w:szCs w:val="21"/>
              </w:rPr>
              <w:t>，总长</w:t>
            </w:r>
            <w:r>
              <w:rPr>
                <w:rFonts w:ascii="Times New Roman" w:hAnsi="Times New Roman"/>
                <w:sz w:val="21"/>
                <w:szCs w:val="21"/>
              </w:rPr>
              <w:t>14.3km</w:t>
            </w:r>
            <w:r>
              <w:rPr>
                <w:rFonts w:ascii="Times New Roman" w:hAnsi="Times New Roman"/>
                <w:sz w:val="21"/>
                <w:szCs w:val="21"/>
              </w:rPr>
              <w:t>。</w:t>
            </w:r>
          </w:p>
          <w:p w14:paraId="4123EB51" w14:textId="77777777" w:rsidR="007D1E74" w:rsidRDefault="00A95641">
            <w:pPr>
              <w:pStyle w:val="TableParagraph"/>
              <w:rPr>
                <w:rFonts w:ascii="Times New Roman" w:hAnsi="Times New Roman"/>
                <w:sz w:val="21"/>
                <w:szCs w:val="21"/>
              </w:rPr>
            </w:pPr>
            <w:r>
              <w:rPr>
                <w:rFonts w:ascii="Times New Roman" w:hAnsi="Times New Roman"/>
                <w:sz w:val="21"/>
                <w:szCs w:val="21"/>
              </w:rPr>
              <w:t>支线：</w:t>
            </w:r>
          </w:p>
          <w:p w14:paraId="1A076004" w14:textId="77777777" w:rsidR="007D1E74" w:rsidRDefault="00A95641">
            <w:pPr>
              <w:pStyle w:val="TableParagraph"/>
              <w:rPr>
                <w:rFonts w:ascii="Times New Roman" w:hAnsi="Times New Roman"/>
                <w:sz w:val="21"/>
                <w:szCs w:val="21"/>
              </w:rPr>
            </w:pPr>
            <w:r>
              <w:rPr>
                <w:rFonts w:ascii="宋体" w:hAnsi="宋体" w:cs="宋体" w:hint="eastAsia"/>
                <w:sz w:val="21"/>
                <w:szCs w:val="21"/>
              </w:rPr>
              <w:t>①</w:t>
            </w:r>
            <w:r>
              <w:rPr>
                <w:rFonts w:ascii="Times New Roman" w:hAnsi="Times New Roman"/>
                <w:sz w:val="21"/>
                <w:szCs w:val="21"/>
              </w:rPr>
              <w:t>1-10H</w:t>
            </w:r>
            <w:r>
              <w:rPr>
                <w:rFonts w:ascii="Times New Roman" w:hAnsi="Times New Roman"/>
                <w:sz w:val="21"/>
                <w:szCs w:val="21"/>
              </w:rPr>
              <w:t>采气井场至马</w:t>
            </w:r>
            <w:r>
              <w:rPr>
                <w:rFonts w:ascii="Times New Roman" w:hAnsi="Times New Roman"/>
                <w:sz w:val="21"/>
                <w:szCs w:val="21"/>
              </w:rPr>
              <w:t>1-1</w:t>
            </w:r>
            <w:r>
              <w:rPr>
                <w:rFonts w:ascii="Times New Roman" w:hAnsi="Times New Roman"/>
                <w:sz w:val="21"/>
                <w:szCs w:val="21"/>
              </w:rPr>
              <w:t>集气支线，管径</w:t>
            </w:r>
            <w:r>
              <w:rPr>
                <w:rFonts w:ascii="Times New Roman" w:hAnsi="Times New Roman"/>
                <w:sz w:val="21"/>
                <w:szCs w:val="21"/>
              </w:rPr>
              <w:t>DN114.3</w:t>
            </w:r>
            <w:r>
              <w:rPr>
                <w:rFonts w:ascii="Times New Roman" w:hAnsi="Times New Roman"/>
                <w:sz w:val="21"/>
                <w:szCs w:val="21"/>
              </w:rPr>
              <w:t>，总长</w:t>
            </w:r>
            <w:r>
              <w:rPr>
                <w:rFonts w:ascii="Times New Roman" w:hAnsi="Times New Roman"/>
                <w:sz w:val="21"/>
                <w:szCs w:val="21"/>
              </w:rPr>
              <w:t>4.1km</w:t>
            </w:r>
            <w:r>
              <w:rPr>
                <w:rFonts w:ascii="Times New Roman" w:hAnsi="Times New Roman"/>
                <w:sz w:val="21"/>
                <w:szCs w:val="21"/>
              </w:rPr>
              <w:t>；</w:t>
            </w:r>
          </w:p>
          <w:p w14:paraId="27FB27E9" w14:textId="77777777" w:rsidR="007D1E74" w:rsidRDefault="00A95641">
            <w:pPr>
              <w:pStyle w:val="TableParagraph"/>
              <w:rPr>
                <w:rFonts w:ascii="Times New Roman" w:hAnsi="Times New Roman"/>
                <w:sz w:val="21"/>
                <w:szCs w:val="21"/>
              </w:rPr>
            </w:pPr>
            <w:r>
              <w:rPr>
                <w:rFonts w:ascii="宋体" w:hAnsi="宋体" w:cs="宋体" w:hint="eastAsia"/>
                <w:sz w:val="21"/>
                <w:szCs w:val="21"/>
              </w:rPr>
              <w:t>②</w:t>
            </w:r>
            <w:r>
              <w:rPr>
                <w:rFonts w:ascii="Times New Roman" w:hAnsi="Times New Roman"/>
                <w:sz w:val="21"/>
                <w:szCs w:val="21"/>
              </w:rPr>
              <w:t>马</w:t>
            </w:r>
            <w:r>
              <w:rPr>
                <w:rFonts w:ascii="Times New Roman" w:hAnsi="Times New Roman"/>
                <w:sz w:val="21"/>
                <w:szCs w:val="21"/>
              </w:rPr>
              <w:t>1-1</w:t>
            </w:r>
            <w:r>
              <w:rPr>
                <w:rFonts w:ascii="Times New Roman" w:hAnsi="Times New Roman"/>
                <w:sz w:val="21"/>
                <w:szCs w:val="21"/>
              </w:rPr>
              <w:t>采气井场至干线，管径</w:t>
            </w:r>
            <w:r>
              <w:rPr>
                <w:rFonts w:ascii="Times New Roman" w:hAnsi="Times New Roman"/>
                <w:sz w:val="21"/>
                <w:szCs w:val="21"/>
              </w:rPr>
              <w:t>DN114.3</w:t>
            </w:r>
            <w:r>
              <w:rPr>
                <w:rFonts w:ascii="Times New Roman" w:hAnsi="Times New Roman"/>
                <w:sz w:val="21"/>
                <w:szCs w:val="21"/>
              </w:rPr>
              <w:t>，总长</w:t>
            </w:r>
            <w:r>
              <w:rPr>
                <w:rFonts w:ascii="Times New Roman" w:hAnsi="Times New Roman"/>
                <w:sz w:val="21"/>
                <w:szCs w:val="21"/>
              </w:rPr>
              <w:t>1.1km</w:t>
            </w:r>
            <w:r>
              <w:rPr>
                <w:rFonts w:ascii="Times New Roman" w:hAnsi="Times New Roman"/>
                <w:sz w:val="21"/>
                <w:szCs w:val="21"/>
              </w:rPr>
              <w:t>；</w:t>
            </w:r>
          </w:p>
          <w:p w14:paraId="6936E0CC" w14:textId="77777777" w:rsidR="007D1E74" w:rsidRDefault="00A95641">
            <w:pPr>
              <w:pStyle w:val="TableParagraph"/>
              <w:rPr>
                <w:rFonts w:ascii="Times New Roman" w:hAnsi="Times New Roman"/>
                <w:sz w:val="21"/>
                <w:szCs w:val="21"/>
              </w:rPr>
            </w:pPr>
            <w:r>
              <w:rPr>
                <w:rFonts w:ascii="宋体" w:hAnsi="宋体" w:cs="宋体" w:hint="eastAsia"/>
                <w:sz w:val="21"/>
                <w:szCs w:val="21"/>
              </w:rPr>
              <w:t>③</w:t>
            </w:r>
            <w:r>
              <w:rPr>
                <w:rFonts w:ascii="Times New Roman" w:hAnsi="Times New Roman"/>
                <w:sz w:val="21"/>
                <w:szCs w:val="21"/>
              </w:rPr>
              <w:t>马</w:t>
            </w:r>
            <w:r>
              <w:rPr>
                <w:rFonts w:ascii="Times New Roman" w:hAnsi="Times New Roman"/>
                <w:sz w:val="21"/>
                <w:szCs w:val="21"/>
              </w:rPr>
              <w:t>1-13H</w:t>
            </w:r>
            <w:r>
              <w:rPr>
                <w:rFonts w:ascii="Times New Roman" w:hAnsi="Times New Roman"/>
                <w:sz w:val="21"/>
                <w:szCs w:val="21"/>
              </w:rPr>
              <w:t>采气井场至干线，管径</w:t>
            </w:r>
            <w:r>
              <w:rPr>
                <w:rFonts w:ascii="Times New Roman" w:hAnsi="Times New Roman"/>
                <w:sz w:val="21"/>
                <w:szCs w:val="21"/>
              </w:rPr>
              <w:t>DN114.3</w:t>
            </w:r>
            <w:r>
              <w:rPr>
                <w:rFonts w:ascii="Times New Roman" w:hAnsi="Times New Roman"/>
                <w:sz w:val="21"/>
                <w:szCs w:val="21"/>
              </w:rPr>
              <w:t>，总长</w:t>
            </w:r>
            <w:r>
              <w:rPr>
                <w:rFonts w:ascii="Times New Roman" w:hAnsi="Times New Roman"/>
                <w:sz w:val="21"/>
                <w:szCs w:val="21"/>
              </w:rPr>
              <w:t>1.2km</w:t>
            </w:r>
            <w:r>
              <w:rPr>
                <w:rFonts w:ascii="Times New Roman" w:hAnsi="Times New Roman"/>
                <w:sz w:val="21"/>
                <w:szCs w:val="21"/>
              </w:rPr>
              <w:t>；</w:t>
            </w:r>
          </w:p>
          <w:p w14:paraId="795AD310" w14:textId="77777777" w:rsidR="007D1E74" w:rsidRDefault="00A95641">
            <w:pPr>
              <w:pStyle w:val="TableParagraph"/>
              <w:adjustRightInd/>
              <w:rPr>
                <w:rFonts w:ascii="Times New Roman" w:hAnsi="Times New Roman"/>
                <w:b/>
                <w:sz w:val="21"/>
                <w:szCs w:val="21"/>
              </w:rPr>
            </w:pPr>
            <w:r>
              <w:rPr>
                <w:rFonts w:ascii="宋体" w:hAnsi="宋体" w:cs="宋体" w:hint="eastAsia"/>
                <w:sz w:val="21"/>
                <w:szCs w:val="21"/>
              </w:rPr>
              <w:t>④</w:t>
            </w:r>
            <w:r>
              <w:rPr>
                <w:rFonts w:ascii="Times New Roman" w:hAnsi="Times New Roman"/>
                <w:sz w:val="21"/>
                <w:szCs w:val="21"/>
              </w:rPr>
              <w:t>马</w:t>
            </w:r>
            <w:r>
              <w:rPr>
                <w:rFonts w:ascii="Times New Roman" w:hAnsi="Times New Roman"/>
                <w:sz w:val="21"/>
                <w:szCs w:val="21"/>
              </w:rPr>
              <w:t>1-12H</w:t>
            </w:r>
            <w:r>
              <w:rPr>
                <w:rFonts w:ascii="Times New Roman" w:hAnsi="Times New Roman"/>
                <w:sz w:val="21"/>
                <w:szCs w:val="21"/>
              </w:rPr>
              <w:t>采气井场至干线，管径</w:t>
            </w:r>
            <w:r>
              <w:rPr>
                <w:rFonts w:ascii="Times New Roman" w:hAnsi="Times New Roman"/>
                <w:sz w:val="21"/>
                <w:szCs w:val="21"/>
              </w:rPr>
              <w:t>DN300</w:t>
            </w:r>
            <w:r>
              <w:rPr>
                <w:rFonts w:ascii="Times New Roman" w:hAnsi="Times New Roman"/>
                <w:sz w:val="21"/>
                <w:szCs w:val="21"/>
              </w:rPr>
              <w:t>，总长</w:t>
            </w:r>
            <w:r>
              <w:rPr>
                <w:rFonts w:ascii="Times New Roman" w:hAnsi="Times New Roman"/>
                <w:sz w:val="21"/>
                <w:szCs w:val="21"/>
              </w:rPr>
              <w:t>1.6km</w:t>
            </w:r>
            <w:r>
              <w:rPr>
                <w:rFonts w:ascii="Times New Roman" w:hAnsi="Times New Roman"/>
                <w:sz w:val="21"/>
                <w:szCs w:val="21"/>
              </w:rPr>
              <w:t>；</w:t>
            </w:r>
          </w:p>
        </w:tc>
        <w:tc>
          <w:tcPr>
            <w:tcW w:w="991" w:type="dxa"/>
            <w:tcBorders>
              <w:top w:val="single" w:sz="4" w:space="0" w:color="auto"/>
              <w:left w:val="single" w:sz="4" w:space="0" w:color="auto"/>
              <w:bottom w:val="single" w:sz="4" w:space="0" w:color="auto"/>
              <w:right w:val="single" w:sz="4" w:space="0" w:color="auto"/>
              <w:tl2br w:val="nil"/>
              <w:tr2bl w:val="nil"/>
            </w:tcBorders>
            <w:vAlign w:val="center"/>
          </w:tcPr>
          <w:p w14:paraId="2C600EA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临时改变土地利用性质，造成农业损失、生态破坏，产生水土流失，产生施工噪声、扬尘、渣土等</w:t>
            </w:r>
          </w:p>
        </w:tc>
        <w:tc>
          <w:tcPr>
            <w:tcW w:w="991" w:type="dxa"/>
            <w:tcBorders>
              <w:top w:val="single" w:sz="4" w:space="0" w:color="auto"/>
              <w:left w:val="single" w:sz="4" w:space="0" w:color="auto"/>
              <w:bottom w:val="single" w:sz="4" w:space="0" w:color="auto"/>
              <w:right w:val="single" w:sz="4" w:space="0" w:color="auto"/>
              <w:tl2br w:val="nil"/>
              <w:tr2bl w:val="nil"/>
            </w:tcBorders>
            <w:vAlign w:val="center"/>
          </w:tcPr>
          <w:p w14:paraId="7C1F615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环境风险</w:t>
            </w:r>
          </w:p>
        </w:tc>
      </w:tr>
      <w:tr w:rsidR="007D1E74" w14:paraId="46DDC06A" w14:textId="77777777">
        <w:trPr>
          <w:trHeight w:val="447"/>
          <w:jc w:val="center"/>
        </w:trPr>
        <w:tc>
          <w:tcPr>
            <w:tcW w:w="389" w:type="dxa"/>
            <w:vMerge/>
            <w:tcBorders>
              <w:top w:val="single" w:sz="4" w:space="0" w:color="auto"/>
              <w:left w:val="single" w:sz="4" w:space="0" w:color="auto"/>
              <w:bottom w:val="single" w:sz="4" w:space="0" w:color="auto"/>
              <w:right w:val="single" w:sz="4" w:space="0" w:color="auto"/>
              <w:tl2br w:val="nil"/>
              <w:tr2bl w:val="nil"/>
            </w:tcBorders>
            <w:vAlign w:val="center"/>
          </w:tcPr>
          <w:p w14:paraId="5F59EB07" w14:textId="77777777" w:rsidR="007D1E74" w:rsidRDefault="007D1E74">
            <w:pPr>
              <w:pStyle w:val="TableParagraph"/>
              <w:adjustRightInd/>
              <w:jc w:val="center"/>
              <w:rPr>
                <w:rFonts w:ascii="Times New Roman" w:hAnsi="Times New Roman"/>
                <w:sz w:val="21"/>
                <w:szCs w:val="21"/>
              </w:rPr>
            </w:pPr>
          </w:p>
        </w:tc>
        <w:tc>
          <w:tcPr>
            <w:tcW w:w="887" w:type="dxa"/>
            <w:tcBorders>
              <w:top w:val="single" w:sz="4" w:space="0" w:color="auto"/>
              <w:left w:val="single" w:sz="4" w:space="0" w:color="auto"/>
              <w:bottom w:val="single" w:sz="4" w:space="0" w:color="auto"/>
              <w:right w:val="single" w:sz="4" w:space="0" w:color="auto"/>
              <w:tl2br w:val="nil"/>
              <w:tr2bl w:val="nil"/>
            </w:tcBorders>
            <w:vAlign w:val="center"/>
          </w:tcPr>
          <w:p w14:paraId="179A5D4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w:t>
            </w:r>
            <w:r>
              <w:rPr>
                <w:rFonts w:ascii="Times New Roman" w:hAnsi="Times New Roman"/>
                <w:sz w:val="21"/>
                <w:szCs w:val="21"/>
              </w:rPr>
              <w:t>阀室</w:t>
            </w:r>
          </w:p>
        </w:tc>
        <w:tc>
          <w:tcPr>
            <w:tcW w:w="5812"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17F98905" w14:textId="77777777" w:rsidR="007D1E74" w:rsidRDefault="00A95641">
            <w:pPr>
              <w:pStyle w:val="TableParagraph"/>
              <w:rPr>
                <w:rFonts w:ascii="Times New Roman" w:hAnsi="Times New Roman"/>
                <w:sz w:val="21"/>
                <w:szCs w:val="21"/>
              </w:rPr>
            </w:pPr>
            <w:r>
              <w:rPr>
                <w:rFonts w:ascii="Times New Roman" w:hAnsi="Times New Roman"/>
                <w:sz w:val="21"/>
                <w:szCs w:val="21"/>
              </w:rPr>
              <w:t>新建</w:t>
            </w:r>
            <w:r>
              <w:rPr>
                <w:rFonts w:ascii="Times New Roman" w:hAnsi="Times New Roman"/>
                <w:sz w:val="21"/>
                <w:szCs w:val="21"/>
              </w:rPr>
              <w:t>1#</w:t>
            </w:r>
            <w:r>
              <w:rPr>
                <w:rFonts w:ascii="Times New Roman" w:hAnsi="Times New Roman"/>
                <w:sz w:val="21"/>
                <w:szCs w:val="21"/>
              </w:rPr>
              <w:t>阀室，阀室内新建重力分离器撬（</w:t>
            </w:r>
            <w:r>
              <w:rPr>
                <w:rFonts w:ascii="Times New Roman" w:hAnsi="Times New Roman"/>
                <w:sz w:val="21"/>
                <w:szCs w:val="21"/>
              </w:rPr>
              <w:t>1.8m×6m</w:t>
            </w:r>
            <w:r>
              <w:rPr>
                <w:rFonts w:ascii="Times New Roman" w:hAnsi="Times New Roman"/>
                <w:sz w:val="21"/>
                <w:szCs w:val="21"/>
              </w:rPr>
              <w:t>）、放空分液储存集成装置（</w:t>
            </w:r>
            <w:r>
              <w:rPr>
                <w:rFonts w:ascii="Times New Roman" w:hAnsi="Times New Roman"/>
                <w:sz w:val="21"/>
                <w:szCs w:val="21"/>
              </w:rPr>
              <w:t>3m×8m</w:t>
            </w:r>
            <w:r>
              <w:rPr>
                <w:rFonts w:ascii="Times New Roman" w:hAnsi="Times New Roman"/>
                <w:sz w:val="21"/>
                <w:szCs w:val="21"/>
              </w:rPr>
              <w:t>）各</w:t>
            </w:r>
            <w:r>
              <w:rPr>
                <w:rFonts w:ascii="Times New Roman" w:hAnsi="Times New Roman"/>
                <w:sz w:val="21"/>
                <w:szCs w:val="21"/>
              </w:rPr>
              <w:t xml:space="preserve"> 1 </w:t>
            </w:r>
            <w:r>
              <w:rPr>
                <w:rFonts w:ascii="Times New Roman" w:hAnsi="Times New Roman"/>
                <w:sz w:val="21"/>
                <w:szCs w:val="21"/>
              </w:rPr>
              <w:t>座，天然气阀组、放空立管及相应管线连接；占地面积为</w:t>
            </w:r>
            <w:r>
              <w:rPr>
                <w:rFonts w:ascii="Times New Roman" w:hAnsi="Times New Roman"/>
                <w:sz w:val="21"/>
                <w:szCs w:val="21"/>
              </w:rPr>
              <w:t>704m</w:t>
            </w:r>
            <w:r>
              <w:rPr>
                <w:rFonts w:ascii="Times New Roman" w:hAnsi="Times New Roman"/>
                <w:sz w:val="21"/>
                <w:szCs w:val="21"/>
                <w:vertAlign w:val="superscript"/>
              </w:rPr>
              <w:t>2</w:t>
            </w:r>
          </w:p>
        </w:tc>
        <w:tc>
          <w:tcPr>
            <w:tcW w:w="991" w:type="dxa"/>
            <w:vMerge w:val="restart"/>
            <w:tcBorders>
              <w:top w:val="single" w:sz="4" w:space="0" w:color="auto"/>
              <w:left w:val="single" w:sz="4" w:space="0" w:color="auto"/>
              <w:bottom w:val="single" w:sz="4" w:space="0" w:color="auto"/>
              <w:right w:val="single" w:sz="4" w:space="0" w:color="auto"/>
              <w:tl2br w:val="nil"/>
              <w:tr2bl w:val="nil"/>
            </w:tcBorders>
            <w:vAlign w:val="center"/>
          </w:tcPr>
          <w:p w14:paraId="5B0A53F0" w14:textId="77777777" w:rsidR="007D1E74" w:rsidRDefault="00A95641">
            <w:pPr>
              <w:pStyle w:val="TableParagraph"/>
              <w:jc w:val="center"/>
              <w:rPr>
                <w:rFonts w:ascii="Times New Roman" w:hAnsi="Times New Roman"/>
                <w:sz w:val="21"/>
                <w:szCs w:val="21"/>
              </w:rPr>
            </w:pPr>
            <w:r>
              <w:rPr>
                <w:rFonts w:ascii="Times New Roman" w:hAnsi="Times New Roman"/>
                <w:sz w:val="21"/>
                <w:szCs w:val="21"/>
              </w:rPr>
              <w:t>施工废水、扬尘、噪声、生活垃圾、建</w:t>
            </w:r>
            <w:r>
              <w:rPr>
                <w:rFonts w:ascii="Times New Roman" w:hAnsi="Times New Roman"/>
                <w:sz w:val="21"/>
                <w:szCs w:val="21"/>
              </w:rPr>
              <w:t xml:space="preserve"> </w:t>
            </w:r>
            <w:r>
              <w:rPr>
                <w:rFonts w:ascii="Times New Roman" w:hAnsi="Times New Roman"/>
                <w:sz w:val="21"/>
                <w:szCs w:val="21"/>
              </w:rPr>
              <w:t>筑垃圾</w:t>
            </w:r>
          </w:p>
        </w:tc>
        <w:tc>
          <w:tcPr>
            <w:tcW w:w="991" w:type="dxa"/>
            <w:tcBorders>
              <w:top w:val="single" w:sz="4" w:space="0" w:color="auto"/>
              <w:left w:val="single" w:sz="4" w:space="0" w:color="auto"/>
              <w:bottom w:val="single" w:sz="4" w:space="0" w:color="auto"/>
              <w:right w:val="single" w:sz="4" w:space="0" w:color="auto"/>
              <w:tl2br w:val="nil"/>
              <w:tr2bl w:val="nil"/>
            </w:tcBorders>
            <w:vAlign w:val="center"/>
          </w:tcPr>
          <w:p w14:paraId="36431733"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环境风险</w:t>
            </w:r>
          </w:p>
        </w:tc>
      </w:tr>
      <w:tr w:rsidR="007D1E74" w14:paraId="13F1AEFE" w14:textId="77777777">
        <w:trPr>
          <w:trHeight w:val="447"/>
          <w:jc w:val="center"/>
        </w:trPr>
        <w:tc>
          <w:tcPr>
            <w:tcW w:w="389" w:type="dxa"/>
            <w:vMerge/>
            <w:tcBorders>
              <w:top w:val="single" w:sz="4" w:space="0" w:color="auto"/>
              <w:left w:val="single" w:sz="4" w:space="0" w:color="auto"/>
              <w:bottom w:val="single" w:sz="4" w:space="0" w:color="auto"/>
              <w:right w:val="single" w:sz="4" w:space="0" w:color="auto"/>
              <w:tl2br w:val="nil"/>
              <w:tr2bl w:val="nil"/>
            </w:tcBorders>
            <w:vAlign w:val="center"/>
          </w:tcPr>
          <w:p w14:paraId="442B87E3" w14:textId="77777777" w:rsidR="007D1E74" w:rsidRDefault="007D1E74">
            <w:pPr>
              <w:pStyle w:val="TableParagraph"/>
              <w:adjustRightInd/>
              <w:jc w:val="center"/>
              <w:rPr>
                <w:rFonts w:ascii="Times New Roman" w:hAnsi="Times New Roman"/>
                <w:sz w:val="21"/>
                <w:szCs w:val="21"/>
              </w:rPr>
            </w:pPr>
          </w:p>
        </w:tc>
        <w:tc>
          <w:tcPr>
            <w:tcW w:w="887" w:type="dxa"/>
            <w:tcBorders>
              <w:top w:val="single" w:sz="4" w:space="0" w:color="auto"/>
              <w:left w:val="single" w:sz="4" w:space="0" w:color="auto"/>
              <w:bottom w:val="single" w:sz="4" w:space="0" w:color="auto"/>
              <w:right w:val="single" w:sz="4" w:space="0" w:color="auto"/>
              <w:tl2br w:val="nil"/>
              <w:tr2bl w:val="nil"/>
            </w:tcBorders>
            <w:vAlign w:val="center"/>
          </w:tcPr>
          <w:p w14:paraId="5508E01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2#</w:t>
            </w:r>
            <w:r>
              <w:rPr>
                <w:rFonts w:ascii="Times New Roman" w:hAnsi="Times New Roman"/>
                <w:sz w:val="21"/>
                <w:szCs w:val="21"/>
              </w:rPr>
              <w:t>、</w:t>
            </w:r>
            <w:r>
              <w:rPr>
                <w:rFonts w:ascii="Times New Roman" w:hAnsi="Times New Roman"/>
                <w:sz w:val="21"/>
                <w:szCs w:val="21"/>
              </w:rPr>
              <w:t>3#</w:t>
            </w:r>
            <w:r>
              <w:rPr>
                <w:rFonts w:ascii="Times New Roman" w:hAnsi="Times New Roman"/>
                <w:sz w:val="21"/>
                <w:szCs w:val="21"/>
              </w:rPr>
              <w:t>阀组</w:t>
            </w:r>
          </w:p>
        </w:tc>
        <w:tc>
          <w:tcPr>
            <w:tcW w:w="5812"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508996EA" w14:textId="77777777" w:rsidR="007D1E74" w:rsidRDefault="00A95641">
            <w:pPr>
              <w:pStyle w:val="TableParagraph"/>
              <w:rPr>
                <w:rFonts w:ascii="Times New Roman" w:hAnsi="Times New Roman"/>
                <w:sz w:val="21"/>
                <w:szCs w:val="21"/>
              </w:rPr>
            </w:pPr>
            <w:r>
              <w:rPr>
                <w:rFonts w:ascii="Times New Roman" w:hAnsi="Times New Roman"/>
                <w:sz w:val="21"/>
                <w:szCs w:val="21"/>
              </w:rPr>
              <w:t>插输阀组设备仅有为球阀和压力表，只有阀门和管道，没有计量调压设备，工艺流程相对简单，仅为接收支线来气。</w:t>
            </w:r>
          </w:p>
        </w:tc>
        <w:tc>
          <w:tcPr>
            <w:tcW w:w="991" w:type="dxa"/>
            <w:vMerge/>
            <w:tcBorders>
              <w:top w:val="single" w:sz="4" w:space="0" w:color="auto"/>
              <w:left w:val="single" w:sz="4" w:space="0" w:color="auto"/>
              <w:bottom w:val="single" w:sz="4" w:space="0" w:color="auto"/>
              <w:right w:val="single" w:sz="4" w:space="0" w:color="auto"/>
              <w:tl2br w:val="nil"/>
              <w:tr2bl w:val="nil"/>
            </w:tcBorders>
            <w:vAlign w:val="center"/>
          </w:tcPr>
          <w:p w14:paraId="496F7090" w14:textId="77777777" w:rsidR="007D1E74" w:rsidRDefault="007D1E74">
            <w:pPr>
              <w:pStyle w:val="TableParagraph"/>
              <w:adjustRightInd/>
              <w:jc w:val="center"/>
              <w:rPr>
                <w:rFonts w:ascii="Times New Roman" w:hAnsi="Times New Roman"/>
                <w:sz w:val="21"/>
                <w:szCs w:val="21"/>
              </w:rPr>
            </w:pPr>
          </w:p>
        </w:tc>
        <w:tc>
          <w:tcPr>
            <w:tcW w:w="991" w:type="dxa"/>
            <w:vMerge w:val="restart"/>
            <w:tcBorders>
              <w:top w:val="single" w:sz="4" w:space="0" w:color="auto"/>
              <w:left w:val="single" w:sz="4" w:space="0" w:color="auto"/>
              <w:bottom w:val="single" w:sz="4" w:space="0" w:color="auto"/>
              <w:right w:val="single" w:sz="4" w:space="0" w:color="auto"/>
              <w:tl2br w:val="nil"/>
              <w:tr2bl w:val="nil"/>
            </w:tcBorders>
            <w:vAlign w:val="center"/>
          </w:tcPr>
          <w:p w14:paraId="533E312F" w14:textId="77777777" w:rsidR="007D1E74" w:rsidRDefault="00A95641">
            <w:pPr>
              <w:pStyle w:val="TableParagraph"/>
              <w:jc w:val="center"/>
              <w:rPr>
                <w:rFonts w:ascii="Times New Roman" w:hAnsi="Times New Roman"/>
                <w:sz w:val="21"/>
                <w:szCs w:val="21"/>
              </w:rPr>
            </w:pPr>
            <w:r>
              <w:rPr>
                <w:rFonts w:ascii="Times New Roman" w:hAnsi="Times New Roman"/>
                <w:sz w:val="21"/>
                <w:szCs w:val="21"/>
              </w:rPr>
              <w:t>正常状态下无污染问题</w:t>
            </w:r>
          </w:p>
        </w:tc>
      </w:tr>
      <w:tr w:rsidR="007D1E74" w14:paraId="13AAABF8" w14:textId="77777777">
        <w:trPr>
          <w:trHeight w:val="447"/>
          <w:jc w:val="center"/>
        </w:trPr>
        <w:tc>
          <w:tcPr>
            <w:tcW w:w="389" w:type="dxa"/>
            <w:vMerge/>
            <w:tcBorders>
              <w:top w:val="single" w:sz="4" w:space="0" w:color="auto"/>
              <w:left w:val="single" w:sz="4" w:space="0" w:color="auto"/>
              <w:bottom w:val="single" w:sz="4" w:space="0" w:color="auto"/>
              <w:right w:val="single" w:sz="4" w:space="0" w:color="auto"/>
              <w:tl2br w:val="nil"/>
              <w:tr2bl w:val="nil"/>
            </w:tcBorders>
            <w:vAlign w:val="center"/>
          </w:tcPr>
          <w:p w14:paraId="39D314B9" w14:textId="77777777" w:rsidR="007D1E74" w:rsidRDefault="007D1E74">
            <w:pPr>
              <w:pStyle w:val="TableParagraph"/>
              <w:adjustRightInd/>
              <w:jc w:val="center"/>
              <w:rPr>
                <w:rFonts w:ascii="Times New Roman" w:hAnsi="Times New Roman"/>
                <w:sz w:val="21"/>
                <w:szCs w:val="21"/>
              </w:rPr>
            </w:pPr>
          </w:p>
        </w:tc>
        <w:tc>
          <w:tcPr>
            <w:tcW w:w="887" w:type="dxa"/>
            <w:tcBorders>
              <w:top w:val="single" w:sz="4" w:space="0" w:color="auto"/>
              <w:left w:val="single" w:sz="4" w:space="0" w:color="auto"/>
              <w:bottom w:val="single" w:sz="4" w:space="0" w:color="auto"/>
              <w:right w:val="single" w:sz="4" w:space="0" w:color="auto"/>
              <w:tl2br w:val="nil"/>
              <w:tr2bl w:val="nil"/>
            </w:tcBorders>
            <w:vAlign w:val="center"/>
          </w:tcPr>
          <w:p w14:paraId="71CEDDD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4#</w:t>
            </w:r>
            <w:r>
              <w:rPr>
                <w:rFonts w:ascii="Times New Roman" w:hAnsi="Times New Roman"/>
                <w:sz w:val="21"/>
                <w:szCs w:val="21"/>
              </w:rPr>
              <w:t>清管阀组</w:t>
            </w:r>
          </w:p>
        </w:tc>
        <w:tc>
          <w:tcPr>
            <w:tcW w:w="5812"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28224D44" w14:textId="77777777" w:rsidR="007D1E74" w:rsidRDefault="00A95641">
            <w:pPr>
              <w:pStyle w:val="TableParagraph"/>
              <w:rPr>
                <w:rFonts w:ascii="Times New Roman" w:hAnsi="Times New Roman"/>
                <w:sz w:val="21"/>
                <w:szCs w:val="21"/>
              </w:rPr>
            </w:pPr>
            <w:r>
              <w:rPr>
                <w:rFonts w:ascii="Times New Roman" w:hAnsi="Times New Roman"/>
                <w:sz w:val="21"/>
                <w:szCs w:val="21"/>
              </w:rPr>
              <w:t>4#</w:t>
            </w:r>
            <w:r>
              <w:rPr>
                <w:rFonts w:ascii="Times New Roman" w:hAnsi="Times New Roman"/>
                <w:sz w:val="21"/>
                <w:szCs w:val="21"/>
              </w:rPr>
              <w:t>阀组设备仅有为清管收球阀、清管发球阀、球阀和压力表。</w:t>
            </w:r>
          </w:p>
        </w:tc>
        <w:tc>
          <w:tcPr>
            <w:tcW w:w="991" w:type="dxa"/>
            <w:vMerge/>
            <w:tcBorders>
              <w:top w:val="single" w:sz="4" w:space="0" w:color="auto"/>
              <w:left w:val="single" w:sz="4" w:space="0" w:color="auto"/>
              <w:bottom w:val="single" w:sz="4" w:space="0" w:color="auto"/>
              <w:right w:val="single" w:sz="4" w:space="0" w:color="auto"/>
              <w:tl2br w:val="nil"/>
              <w:tr2bl w:val="nil"/>
            </w:tcBorders>
            <w:vAlign w:val="center"/>
          </w:tcPr>
          <w:p w14:paraId="46FAE56C" w14:textId="77777777" w:rsidR="007D1E74" w:rsidRDefault="007D1E74">
            <w:pPr>
              <w:pStyle w:val="TableParagraph"/>
              <w:adjustRightInd/>
              <w:jc w:val="center"/>
              <w:rPr>
                <w:rFonts w:ascii="Times New Roman" w:hAnsi="Times New Roman"/>
                <w:sz w:val="21"/>
                <w:szCs w:val="21"/>
              </w:rPr>
            </w:pPr>
          </w:p>
        </w:tc>
        <w:tc>
          <w:tcPr>
            <w:tcW w:w="991" w:type="dxa"/>
            <w:vMerge/>
            <w:tcBorders>
              <w:top w:val="single" w:sz="4" w:space="0" w:color="auto"/>
              <w:left w:val="single" w:sz="4" w:space="0" w:color="auto"/>
              <w:bottom w:val="single" w:sz="4" w:space="0" w:color="auto"/>
              <w:right w:val="single" w:sz="4" w:space="0" w:color="auto"/>
              <w:tl2br w:val="nil"/>
              <w:tr2bl w:val="nil"/>
            </w:tcBorders>
            <w:vAlign w:val="center"/>
          </w:tcPr>
          <w:p w14:paraId="22403129" w14:textId="77777777" w:rsidR="007D1E74" w:rsidRDefault="007D1E74">
            <w:pPr>
              <w:pStyle w:val="TableParagraph"/>
              <w:jc w:val="center"/>
              <w:rPr>
                <w:rFonts w:ascii="Times New Roman" w:hAnsi="Times New Roman"/>
                <w:sz w:val="21"/>
                <w:szCs w:val="21"/>
              </w:rPr>
            </w:pPr>
          </w:p>
        </w:tc>
      </w:tr>
      <w:tr w:rsidR="007D1E74" w14:paraId="14618B29" w14:textId="77777777">
        <w:trPr>
          <w:trHeight w:val="90"/>
          <w:jc w:val="center"/>
        </w:trPr>
        <w:tc>
          <w:tcPr>
            <w:tcW w:w="389" w:type="dxa"/>
            <w:vMerge/>
            <w:tcBorders>
              <w:top w:val="single" w:sz="4" w:space="0" w:color="auto"/>
              <w:left w:val="single" w:sz="4" w:space="0" w:color="auto"/>
              <w:bottom w:val="single" w:sz="4" w:space="0" w:color="auto"/>
              <w:right w:val="single" w:sz="4" w:space="0" w:color="auto"/>
              <w:tl2br w:val="nil"/>
              <w:tr2bl w:val="nil"/>
            </w:tcBorders>
            <w:vAlign w:val="center"/>
          </w:tcPr>
          <w:p w14:paraId="1593F3CE" w14:textId="77777777" w:rsidR="007D1E74" w:rsidRDefault="007D1E74">
            <w:pPr>
              <w:pStyle w:val="TableParagraph"/>
              <w:adjustRightInd/>
              <w:jc w:val="center"/>
              <w:rPr>
                <w:rFonts w:ascii="Times New Roman" w:hAnsi="Times New Roman"/>
                <w:sz w:val="21"/>
                <w:szCs w:val="21"/>
              </w:rPr>
            </w:pPr>
          </w:p>
        </w:tc>
        <w:tc>
          <w:tcPr>
            <w:tcW w:w="887" w:type="dxa"/>
            <w:vMerge w:val="restart"/>
            <w:tcBorders>
              <w:top w:val="single" w:sz="4" w:space="0" w:color="auto"/>
              <w:left w:val="single" w:sz="4" w:space="0" w:color="auto"/>
              <w:bottom w:val="single" w:sz="4" w:space="0" w:color="auto"/>
              <w:right w:val="single" w:sz="4" w:space="0" w:color="auto"/>
              <w:tl2br w:val="nil"/>
              <w:tr2bl w:val="nil"/>
            </w:tcBorders>
            <w:vAlign w:val="center"/>
          </w:tcPr>
          <w:p w14:paraId="67FCEDD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穿越工程</w:t>
            </w:r>
          </w:p>
        </w:tc>
        <w:tc>
          <w:tcPr>
            <w:tcW w:w="709" w:type="dxa"/>
            <w:tcBorders>
              <w:top w:val="single" w:sz="4" w:space="0" w:color="auto"/>
              <w:left w:val="single" w:sz="4" w:space="0" w:color="auto"/>
              <w:bottom w:val="single" w:sz="4" w:space="0" w:color="auto"/>
              <w:right w:val="single" w:sz="4" w:space="0" w:color="auto"/>
              <w:tl2br w:val="nil"/>
              <w:tr2bl w:val="nil"/>
            </w:tcBorders>
            <w:vAlign w:val="center"/>
          </w:tcPr>
          <w:p w14:paraId="6D3D404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沟渠</w:t>
            </w:r>
          </w:p>
        </w:tc>
        <w:tc>
          <w:tcPr>
            <w:tcW w:w="5103" w:type="dxa"/>
            <w:tcBorders>
              <w:top w:val="single" w:sz="4" w:space="0" w:color="auto"/>
              <w:left w:val="single" w:sz="4" w:space="0" w:color="auto"/>
              <w:bottom w:val="single" w:sz="4" w:space="0" w:color="auto"/>
              <w:right w:val="single" w:sz="4" w:space="0" w:color="auto"/>
              <w:tl2br w:val="nil"/>
              <w:tr2bl w:val="nil"/>
            </w:tcBorders>
            <w:vAlign w:val="center"/>
          </w:tcPr>
          <w:p w14:paraId="61D892BA" w14:textId="77777777" w:rsidR="007D1E74" w:rsidRDefault="00A95641">
            <w:pPr>
              <w:pStyle w:val="TableParagraph"/>
              <w:adjustRightInd/>
              <w:rPr>
                <w:rFonts w:ascii="Times New Roman" w:hAnsi="Times New Roman"/>
                <w:sz w:val="21"/>
                <w:szCs w:val="21"/>
              </w:rPr>
            </w:pPr>
            <w:r>
              <w:rPr>
                <w:rFonts w:ascii="Times New Roman" w:hAnsi="Times New Roman"/>
                <w:sz w:val="21"/>
                <w:szCs w:val="21"/>
              </w:rPr>
              <w:t>穿越小型沟渠</w:t>
            </w:r>
            <w:r>
              <w:rPr>
                <w:rFonts w:ascii="Times New Roman" w:hAnsi="Times New Roman"/>
                <w:sz w:val="21"/>
                <w:szCs w:val="21"/>
              </w:rPr>
              <w:t>115m/9</w:t>
            </w:r>
            <w:r>
              <w:rPr>
                <w:rFonts w:ascii="Times New Roman" w:hAnsi="Times New Roman"/>
                <w:sz w:val="21"/>
                <w:szCs w:val="21"/>
              </w:rPr>
              <w:t>次，全部采用挖沟法穿越，其中：</w:t>
            </w:r>
          </w:p>
          <w:p w14:paraId="4C81D1CC" w14:textId="77777777" w:rsidR="007D1E74" w:rsidRDefault="00A95641">
            <w:pPr>
              <w:pStyle w:val="TableParagraph"/>
              <w:adjustRightInd/>
              <w:rPr>
                <w:rFonts w:ascii="Times New Roman" w:hAnsi="Times New Roman"/>
                <w:sz w:val="21"/>
                <w:szCs w:val="21"/>
              </w:rPr>
            </w:pPr>
            <w:r>
              <w:rPr>
                <w:rFonts w:ascii="宋体" w:hAnsi="宋体" w:cs="宋体" w:hint="eastAsia"/>
                <w:sz w:val="21"/>
                <w:szCs w:val="21"/>
              </w:rPr>
              <w:t>①</w:t>
            </w:r>
            <w:r>
              <w:rPr>
                <w:rFonts w:ascii="Times New Roman" w:hAnsi="Times New Roman"/>
                <w:sz w:val="21"/>
                <w:szCs w:val="21"/>
              </w:rPr>
              <w:t>1#</w:t>
            </w:r>
            <w:r>
              <w:rPr>
                <w:rFonts w:ascii="Times New Roman" w:hAnsi="Times New Roman"/>
                <w:sz w:val="21"/>
                <w:szCs w:val="21"/>
              </w:rPr>
              <w:t>阀室至马</w:t>
            </w:r>
            <w:r>
              <w:rPr>
                <w:rFonts w:ascii="Times New Roman" w:hAnsi="Times New Roman"/>
                <w:sz w:val="21"/>
                <w:szCs w:val="21"/>
              </w:rPr>
              <w:t>1-11</w:t>
            </w:r>
            <w:r>
              <w:rPr>
                <w:rFonts w:ascii="Times New Roman" w:hAnsi="Times New Roman"/>
                <w:sz w:val="21"/>
                <w:szCs w:val="21"/>
              </w:rPr>
              <w:t>脱水井场集输管线穿越小型沟渠</w:t>
            </w:r>
            <w:r>
              <w:rPr>
                <w:rFonts w:ascii="Times New Roman" w:hAnsi="Times New Roman"/>
                <w:sz w:val="21"/>
                <w:szCs w:val="21"/>
              </w:rPr>
              <w:t>13.6m/2</w:t>
            </w:r>
            <w:r>
              <w:rPr>
                <w:rFonts w:ascii="Times New Roman" w:hAnsi="Times New Roman"/>
                <w:sz w:val="21"/>
                <w:szCs w:val="21"/>
              </w:rPr>
              <w:t>次；</w:t>
            </w:r>
          </w:p>
          <w:p w14:paraId="2B5A4BFD" w14:textId="77777777" w:rsidR="007D1E74" w:rsidRDefault="00A95641">
            <w:pPr>
              <w:pStyle w:val="TableParagraph"/>
              <w:adjustRightInd/>
              <w:rPr>
                <w:rFonts w:ascii="Times New Roman" w:hAnsi="Times New Roman"/>
                <w:sz w:val="21"/>
                <w:szCs w:val="21"/>
              </w:rPr>
            </w:pPr>
            <w:r>
              <w:rPr>
                <w:rFonts w:ascii="宋体" w:hAnsi="宋体" w:cs="宋体" w:hint="eastAsia"/>
                <w:sz w:val="21"/>
                <w:szCs w:val="21"/>
              </w:rPr>
              <w:t>②</w:t>
            </w:r>
            <w:r>
              <w:rPr>
                <w:rFonts w:ascii="Times New Roman" w:hAnsi="Times New Roman"/>
                <w:sz w:val="21"/>
                <w:szCs w:val="21"/>
              </w:rPr>
              <w:t>马</w:t>
            </w:r>
            <w:r>
              <w:rPr>
                <w:rFonts w:ascii="Times New Roman" w:hAnsi="Times New Roman"/>
                <w:sz w:val="21"/>
                <w:szCs w:val="21"/>
              </w:rPr>
              <w:t>1-11</w:t>
            </w:r>
            <w:r>
              <w:rPr>
                <w:rFonts w:ascii="Times New Roman" w:hAnsi="Times New Roman"/>
                <w:sz w:val="21"/>
                <w:szCs w:val="21"/>
              </w:rPr>
              <w:t>脱水井场至</w:t>
            </w:r>
            <w:r>
              <w:rPr>
                <w:rFonts w:ascii="Times New Roman" w:hAnsi="Times New Roman"/>
                <w:sz w:val="21"/>
                <w:szCs w:val="21"/>
              </w:rPr>
              <w:t>4#</w:t>
            </w:r>
            <w:r>
              <w:rPr>
                <w:rFonts w:ascii="Times New Roman" w:hAnsi="Times New Roman"/>
                <w:sz w:val="21"/>
                <w:szCs w:val="21"/>
              </w:rPr>
              <w:t>清管阀组集输干线穿跨越小型沟渠</w:t>
            </w:r>
            <w:r>
              <w:rPr>
                <w:rFonts w:ascii="Times New Roman" w:hAnsi="Times New Roman"/>
                <w:sz w:val="21"/>
                <w:szCs w:val="21"/>
              </w:rPr>
              <w:t>27.6m/2</w:t>
            </w:r>
            <w:r>
              <w:rPr>
                <w:rFonts w:ascii="Times New Roman" w:hAnsi="Times New Roman"/>
                <w:sz w:val="21"/>
                <w:szCs w:val="21"/>
              </w:rPr>
              <w:t>次；</w:t>
            </w:r>
          </w:p>
          <w:p w14:paraId="4221EA53" w14:textId="77777777" w:rsidR="007D1E74" w:rsidRDefault="00A95641">
            <w:pPr>
              <w:pStyle w:val="TableParagraph"/>
              <w:adjustRightInd/>
              <w:rPr>
                <w:rFonts w:ascii="Times New Roman" w:hAnsi="Times New Roman"/>
                <w:sz w:val="21"/>
                <w:szCs w:val="21"/>
              </w:rPr>
            </w:pPr>
            <w:r>
              <w:rPr>
                <w:rFonts w:ascii="宋体" w:hAnsi="宋体" w:cs="宋体" w:hint="eastAsia"/>
                <w:sz w:val="21"/>
                <w:szCs w:val="21"/>
              </w:rPr>
              <w:t>③</w:t>
            </w:r>
            <w:r>
              <w:rPr>
                <w:rFonts w:ascii="Times New Roman" w:hAnsi="Times New Roman"/>
                <w:sz w:val="21"/>
                <w:szCs w:val="21"/>
              </w:rPr>
              <w:t>马</w:t>
            </w:r>
            <w:r>
              <w:rPr>
                <w:rFonts w:ascii="Times New Roman" w:hAnsi="Times New Roman"/>
                <w:sz w:val="21"/>
                <w:szCs w:val="21"/>
              </w:rPr>
              <w:t>1-10H</w:t>
            </w:r>
            <w:r>
              <w:rPr>
                <w:rFonts w:ascii="Times New Roman" w:hAnsi="Times New Roman"/>
                <w:sz w:val="21"/>
                <w:szCs w:val="21"/>
              </w:rPr>
              <w:t>采气井场至马</w:t>
            </w:r>
            <w:r>
              <w:rPr>
                <w:rFonts w:ascii="Times New Roman" w:hAnsi="Times New Roman"/>
                <w:sz w:val="21"/>
                <w:szCs w:val="21"/>
              </w:rPr>
              <w:t>1-1</w:t>
            </w:r>
            <w:r>
              <w:rPr>
                <w:rFonts w:ascii="Times New Roman" w:hAnsi="Times New Roman"/>
                <w:sz w:val="21"/>
                <w:szCs w:val="21"/>
              </w:rPr>
              <w:t>集气支线穿跨越小型沟渠</w:t>
            </w:r>
            <w:r>
              <w:rPr>
                <w:rFonts w:ascii="Times New Roman" w:hAnsi="Times New Roman"/>
                <w:sz w:val="21"/>
                <w:szCs w:val="21"/>
              </w:rPr>
              <w:t>13.8m/1</w:t>
            </w:r>
            <w:r>
              <w:rPr>
                <w:rFonts w:ascii="Times New Roman" w:hAnsi="Times New Roman"/>
                <w:sz w:val="21"/>
                <w:szCs w:val="21"/>
              </w:rPr>
              <w:t>次；</w:t>
            </w:r>
          </w:p>
          <w:p w14:paraId="2A273B95" w14:textId="77777777" w:rsidR="007D1E74" w:rsidRDefault="00A95641">
            <w:pPr>
              <w:pStyle w:val="TableParagraph"/>
              <w:adjustRightInd/>
              <w:rPr>
                <w:rFonts w:ascii="Times New Roman" w:hAnsi="Times New Roman"/>
                <w:sz w:val="21"/>
                <w:szCs w:val="21"/>
              </w:rPr>
            </w:pPr>
            <w:r>
              <w:rPr>
                <w:rFonts w:ascii="宋体" w:hAnsi="宋体" w:cs="宋体" w:hint="eastAsia"/>
                <w:sz w:val="21"/>
                <w:szCs w:val="21"/>
              </w:rPr>
              <w:t>④</w:t>
            </w:r>
            <w:r>
              <w:rPr>
                <w:rFonts w:ascii="Times New Roman" w:hAnsi="Times New Roman"/>
                <w:sz w:val="21"/>
                <w:szCs w:val="21"/>
              </w:rPr>
              <w:t>4#</w:t>
            </w:r>
            <w:r>
              <w:rPr>
                <w:rFonts w:ascii="Times New Roman" w:hAnsi="Times New Roman"/>
                <w:sz w:val="21"/>
                <w:szCs w:val="21"/>
              </w:rPr>
              <w:t>清管阀组至草池增压站集输干线穿跨越小型沟渠</w:t>
            </w:r>
            <w:r>
              <w:rPr>
                <w:rFonts w:ascii="Times New Roman" w:hAnsi="Times New Roman"/>
                <w:sz w:val="21"/>
                <w:szCs w:val="21"/>
              </w:rPr>
              <w:t>19.4m/2</w:t>
            </w:r>
            <w:r>
              <w:rPr>
                <w:rFonts w:ascii="Times New Roman" w:hAnsi="Times New Roman"/>
                <w:sz w:val="21"/>
                <w:szCs w:val="21"/>
              </w:rPr>
              <w:t>次；</w:t>
            </w:r>
          </w:p>
        </w:tc>
        <w:tc>
          <w:tcPr>
            <w:tcW w:w="991" w:type="dxa"/>
            <w:vMerge w:val="restart"/>
            <w:tcBorders>
              <w:top w:val="single" w:sz="4" w:space="0" w:color="auto"/>
              <w:left w:val="single" w:sz="4" w:space="0" w:color="auto"/>
              <w:bottom w:val="single" w:sz="4" w:space="0" w:color="auto"/>
              <w:right w:val="single" w:sz="4" w:space="0" w:color="auto"/>
              <w:tl2br w:val="nil"/>
              <w:tr2bl w:val="nil"/>
            </w:tcBorders>
            <w:vAlign w:val="center"/>
          </w:tcPr>
          <w:p w14:paraId="3E259D4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施工废水、扬尘、噪声、生活垃圾、建</w:t>
            </w:r>
            <w:r>
              <w:rPr>
                <w:rFonts w:ascii="Times New Roman" w:hAnsi="Times New Roman"/>
                <w:sz w:val="21"/>
                <w:szCs w:val="21"/>
              </w:rPr>
              <w:t xml:space="preserve"> </w:t>
            </w:r>
            <w:r>
              <w:rPr>
                <w:rFonts w:ascii="Times New Roman" w:hAnsi="Times New Roman"/>
                <w:sz w:val="21"/>
                <w:szCs w:val="21"/>
              </w:rPr>
              <w:t>筑垃圾</w:t>
            </w:r>
          </w:p>
        </w:tc>
        <w:tc>
          <w:tcPr>
            <w:tcW w:w="991" w:type="dxa"/>
            <w:vMerge/>
            <w:tcBorders>
              <w:top w:val="single" w:sz="4" w:space="0" w:color="auto"/>
              <w:left w:val="single" w:sz="4" w:space="0" w:color="auto"/>
              <w:bottom w:val="single" w:sz="4" w:space="0" w:color="auto"/>
              <w:right w:val="single" w:sz="4" w:space="0" w:color="auto"/>
              <w:tl2br w:val="nil"/>
              <w:tr2bl w:val="nil"/>
            </w:tcBorders>
            <w:vAlign w:val="center"/>
          </w:tcPr>
          <w:p w14:paraId="440F2740" w14:textId="77777777" w:rsidR="007D1E74" w:rsidRDefault="007D1E74">
            <w:pPr>
              <w:pStyle w:val="TableParagraph"/>
              <w:adjustRightInd/>
              <w:jc w:val="center"/>
              <w:rPr>
                <w:rFonts w:ascii="Times New Roman" w:hAnsi="Times New Roman"/>
                <w:sz w:val="21"/>
                <w:szCs w:val="21"/>
              </w:rPr>
            </w:pPr>
          </w:p>
        </w:tc>
      </w:tr>
      <w:tr w:rsidR="007D1E74" w14:paraId="294DFF1C" w14:textId="77777777">
        <w:trPr>
          <w:trHeight w:val="90"/>
          <w:jc w:val="center"/>
        </w:trPr>
        <w:tc>
          <w:tcPr>
            <w:tcW w:w="389" w:type="dxa"/>
            <w:vMerge/>
            <w:tcBorders>
              <w:top w:val="single" w:sz="4" w:space="0" w:color="auto"/>
              <w:left w:val="single" w:sz="4" w:space="0" w:color="auto"/>
              <w:bottom w:val="single" w:sz="4" w:space="0" w:color="auto"/>
              <w:right w:val="single" w:sz="4" w:space="0" w:color="auto"/>
              <w:tl2br w:val="nil"/>
              <w:tr2bl w:val="nil"/>
            </w:tcBorders>
            <w:vAlign w:val="center"/>
          </w:tcPr>
          <w:p w14:paraId="7D244D40" w14:textId="77777777" w:rsidR="007D1E74" w:rsidRDefault="007D1E74">
            <w:pPr>
              <w:pStyle w:val="TableParagraph"/>
              <w:adjustRightInd/>
              <w:jc w:val="center"/>
              <w:rPr>
                <w:rFonts w:ascii="Times New Roman" w:hAnsi="Times New Roman"/>
                <w:sz w:val="21"/>
                <w:szCs w:val="21"/>
              </w:rPr>
            </w:pPr>
          </w:p>
        </w:tc>
        <w:tc>
          <w:tcPr>
            <w:tcW w:w="887" w:type="dxa"/>
            <w:vMerge/>
            <w:tcBorders>
              <w:top w:val="single" w:sz="4" w:space="0" w:color="auto"/>
              <w:left w:val="single" w:sz="4" w:space="0" w:color="auto"/>
              <w:bottom w:val="single" w:sz="4" w:space="0" w:color="auto"/>
              <w:right w:val="single" w:sz="4" w:space="0" w:color="auto"/>
              <w:tl2br w:val="nil"/>
              <w:tr2bl w:val="nil"/>
            </w:tcBorders>
            <w:vAlign w:val="center"/>
          </w:tcPr>
          <w:p w14:paraId="74B49AA4" w14:textId="77777777" w:rsidR="007D1E74" w:rsidRDefault="007D1E74">
            <w:pPr>
              <w:pStyle w:val="TableParagraph"/>
              <w:adjustRightInd/>
              <w:jc w:val="center"/>
              <w:rPr>
                <w:rFonts w:ascii="Times New Roman" w:hAnsi="Times New Roman"/>
                <w:sz w:val="21"/>
                <w:szCs w:val="21"/>
              </w:rPr>
            </w:pPr>
          </w:p>
        </w:tc>
        <w:tc>
          <w:tcPr>
            <w:tcW w:w="709" w:type="dxa"/>
            <w:tcBorders>
              <w:top w:val="single" w:sz="4" w:space="0" w:color="auto"/>
              <w:left w:val="single" w:sz="4" w:space="0" w:color="auto"/>
              <w:bottom w:val="single" w:sz="4" w:space="0" w:color="auto"/>
              <w:right w:val="single" w:sz="4" w:space="0" w:color="auto"/>
              <w:tl2br w:val="nil"/>
              <w:tr2bl w:val="nil"/>
            </w:tcBorders>
            <w:vAlign w:val="center"/>
          </w:tcPr>
          <w:p w14:paraId="4F9D724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小通江</w:t>
            </w:r>
          </w:p>
        </w:tc>
        <w:tc>
          <w:tcPr>
            <w:tcW w:w="5103" w:type="dxa"/>
            <w:tcBorders>
              <w:top w:val="single" w:sz="4" w:space="0" w:color="auto"/>
              <w:left w:val="single" w:sz="4" w:space="0" w:color="auto"/>
              <w:bottom w:val="single" w:sz="4" w:space="0" w:color="auto"/>
              <w:right w:val="single" w:sz="4" w:space="0" w:color="auto"/>
              <w:tl2br w:val="nil"/>
              <w:tr2bl w:val="nil"/>
            </w:tcBorders>
            <w:vAlign w:val="center"/>
          </w:tcPr>
          <w:p w14:paraId="6636BD07" w14:textId="77777777" w:rsidR="007D1E74" w:rsidRDefault="00A95641">
            <w:pPr>
              <w:pStyle w:val="TableParagraph"/>
              <w:adjustRightInd/>
              <w:rPr>
                <w:rFonts w:ascii="Times New Roman" w:hAnsi="Times New Roman"/>
                <w:sz w:val="21"/>
                <w:szCs w:val="21"/>
              </w:rPr>
            </w:pPr>
            <w:r>
              <w:rPr>
                <w:rFonts w:ascii="Times New Roman" w:hAnsi="Times New Roman"/>
                <w:sz w:val="21"/>
                <w:szCs w:val="21"/>
              </w:rPr>
              <w:t>项目穿越四川诺水河珍稀水生动物国家级自然保护区小通江</w:t>
            </w:r>
            <w:r>
              <w:rPr>
                <w:rFonts w:ascii="Times New Roman" w:hAnsi="Times New Roman"/>
                <w:sz w:val="21"/>
                <w:szCs w:val="21"/>
              </w:rPr>
              <w:t>1000.44m/3</w:t>
            </w:r>
            <w:r>
              <w:rPr>
                <w:rFonts w:ascii="Times New Roman" w:hAnsi="Times New Roman"/>
                <w:sz w:val="21"/>
                <w:szCs w:val="21"/>
              </w:rPr>
              <w:t>次，采取定向钻的方式进行穿越。</w:t>
            </w:r>
          </w:p>
          <w:p w14:paraId="5CFE9334" w14:textId="77777777" w:rsidR="007D1E74" w:rsidRDefault="00A95641">
            <w:pPr>
              <w:pStyle w:val="TableParagraph"/>
              <w:adjustRightInd/>
              <w:rPr>
                <w:rFonts w:ascii="Times New Roman" w:hAnsi="Times New Roman"/>
                <w:sz w:val="21"/>
                <w:szCs w:val="21"/>
              </w:rPr>
            </w:pPr>
            <w:r>
              <w:rPr>
                <w:rFonts w:ascii="Times New Roman" w:hAnsi="Times New Roman"/>
                <w:sz w:val="21"/>
                <w:szCs w:val="21"/>
              </w:rPr>
              <w:lastRenderedPageBreak/>
              <w:t>马</w:t>
            </w:r>
            <w:r>
              <w:rPr>
                <w:rFonts w:ascii="Times New Roman" w:hAnsi="Times New Roman"/>
                <w:sz w:val="21"/>
                <w:szCs w:val="21"/>
              </w:rPr>
              <w:t xml:space="preserve"> 1-13H </w:t>
            </w:r>
            <w:r>
              <w:rPr>
                <w:rFonts w:ascii="Times New Roman" w:hAnsi="Times New Roman"/>
                <w:sz w:val="21"/>
                <w:szCs w:val="21"/>
              </w:rPr>
              <w:t>采气井场至干线集气支线，桩号</w:t>
            </w:r>
            <w:r>
              <w:rPr>
                <w:rFonts w:ascii="Times New Roman" w:hAnsi="Times New Roman"/>
                <w:sz w:val="21"/>
                <w:szCs w:val="21"/>
              </w:rPr>
              <w:t>D0+035.25~D0+324.39</w:t>
            </w:r>
            <w:r>
              <w:rPr>
                <w:rFonts w:ascii="Times New Roman" w:hAnsi="Times New Roman"/>
                <w:sz w:val="21"/>
                <w:szCs w:val="21"/>
              </w:rPr>
              <w:t>，穿越</w:t>
            </w:r>
            <w:r>
              <w:rPr>
                <w:rFonts w:ascii="Times New Roman" w:hAnsi="Times New Roman"/>
                <w:sz w:val="21"/>
                <w:szCs w:val="21"/>
              </w:rPr>
              <w:t>289.1m/1</w:t>
            </w:r>
            <w:r>
              <w:rPr>
                <w:rFonts w:ascii="Times New Roman" w:hAnsi="Times New Roman"/>
                <w:sz w:val="21"/>
                <w:szCs w:val="21"/>
              </w:rPr>
              <w:t>次；</w:t>
            </w:r>
          </w:p>
          <w:p w14:paraId="2D620DAE" w14:textId="77777777" w:rsidR="007D1E74" w:rsidRDefault="00A95641">
            <w:pPr>
              <w:pStyle w:val="TableParagraph"/>
              <w:adjustRightInd/>
              <w:rPr>
                <w:rFonts w:ascii="Times New Roman" w:hAnsi="Times New Roman"/>
                <w:sz w:val="21"/>
                <w:szCs w:val="21"/>
              </w:rPr>
            </w:pPr>
            <w:r>
              <w:rPr>
                <w:rFonts w:ascii="Times New Roman" w:hAnsi="Times New Roman"/>
                <w:sz w:val="21"/>
                <w:szCs w:val="21"/>
              </w:rPr>
              <w:t>1#</w:t>
            </w:r>
            <w:r>
              <w:rPr>
                <w:rFonts w:ascii="Times New Roman" w:hAnsi="Times New Roman"/>
                <w:sz w:val="21"/>
                <w:szCs w:val="21"/>
              </w:rPr>
              <w:t>阀室至马</w:t>
            </w:r>
            <w:r>
              <w:rPr>
                <w:rFonts w:ascii="Times New Roman" w:hAnsi="Times New Roman"/>
                <w:sz w:val="21"/>
                <w:szCs w:val="21"/>
              </w:rPr>
              <w:t xml:space="preserve"> 1-11 </w:t>
            </w:r>
            <w:r>
              <w:rPr>
                <w:rFonts w:ascii="Times New Roman" w:hAnsi="Times New Roman"/>
                <w:sz w:val="21"/>
                <w:szCs w:val="21"/>
              </w:rPr>
              <w:t>脱水井场集输干线，桩号</w:t>
            </w:r>
            <w:r>
              <w:rPr>
                <w:rFonts w:ascii="Times New Roman" w:hAnsi="Times New Roman"/>
                <w:sz w:val="21"/>
                <w:szCs w:val="21"/>
              </w:rPr>
              <w:t>A6+072.50~A6+400.80</w:t>
            </w:r>
            <w:r>
              <w:rPr>
                <w:rFonts w:ascii="Times New Roman" w:hAnsi="Times New Roman"/>
                <w:sz w:val="21"/>
                <w:szCs w:val="21"/>
              </w:rPr>
              <w:t>，穿越</w:t>
            </w:r>
            <w:r>
              <w:rPr>
                <w:rFonts w:ascii="Times New Roman" w:hAnsi="Times New Roman"/>
                <w:sz w:val="21"/>
                <w:szCs w:val="21"/>
              </w:rPr>
              <w:t>328.3m/1</w:t>
            </w:r>
            <w:r>
              <w:rPr>
                <w:rFonts w:ascii="Times New Roman" w:hAnsi="Times New Roman"/>
                <w:sz w:val="21"/>
                <w:szCs w:val="21"/>
              </w:rPr>
              <w:t>次；</w:t>
            </w:r>
          </w:p>
          <w:p w14:paraId="25B3933F" w14:textId="77777777" w:rsidR="007D1E74" w:rsidRDefault="00A95641">
            <w:pPr>
              <w:pStyle w:val="TableParagraph"/>
              <w:adjustRightInd/>
              <w:rPr>
                <w:rFonts w:ascii="Times New Roman" w:hAnsi="Times New Roman"/>
                <w:sz w:val="21"/>
                <w:szCs w:val="21"/>
              </w:rPr>
            </w:pPr>
            <w:r>
              <w:rPr>
                <w:rFonts w:ascii="Times New Roman" w:hAnsi="Times New Roman"/>
                <w:sz w:val="21"/>
                <w:szCs w:val="21"/>
              </w:rPr>
              <w:t>马</w:t>
            </w:r>
            <w:r>
              <w:rPr>
                <w:rFonts w:ascii="Times New Roman" w:hAnsi="Times New Roman"/>
                <w:sz w:val="21"/>
                <w:szCs w:val="21"/>
              </w:rPr>
              <w:t>1-12H</w:t>
            </w:r>
            <w:r>
              <w:rPr>
                <w:rFonts w:ascii="Times New Roman" w:hAnsi="Times New Roman"/>
                <w:sz w:val="21"/>
                <w:szCs w:val="21"/>
              </w:rPr>
              <w:t>采气井场至集输干线，桩号</w:t>
            </w:r>
            <w:r>
              <w:rPr>
                <w:rFonts w:ascii="Times New Roman" w:hAnsi="Times New Roman"/>
                <w:sz w:val="21"/>
                <w:szCs w:val="21"/>
              </w:rPr>
              <w:t>G0+931~G1+314</w:t>
            </w:r>
            <w:r>
              <w:rPr>
                <w:rFonts w:ascii="Times New Roman" w:hAnsi="Times New Roman"/>
                <w:sz w:val="21"/>
                <w:szCs w:val="21"/>
              </w:rPr>
              <w:t>，穿越</w:t>
            </w:r>
            <w:r>
              <w:rPr>
                <w:rFonts w:ascii="Times New Roman" w:hAnsi="Times New Roman"/>
                <w:sz w:val="21"/>
                <w:szCs w:val="21"/>
              </w:rPr>
              <w:t>383m/1</w:t>
            </w:r>
            <w:r>
              <w:rPr>
                <w:rFonts w:ascii="Times New Roman" w:hAnsi="Times New Roman"/>
                <w:sz w:val="21"/>
                <w:szCs w:val="21"/>
              </w:rPr>
              <w:t>次；</w:t>
            </w:r>
          </w:p>
        </w:tc>
        <w:tc>
          <w:tcPr>
            <w:tcW w:w="991" w:type="dxa"/>
            <w:vMerge/>
            <w:tcBorders>
              <w:top w:val="single" w:sz="4" w:space="0" w:color="auto"/>
              <w:left w:val="single" w:sz="4" w:space="0" w:color="auto"/>
              <w:bottom w:val="single" w:sz="4" w:space="0" w:color="auto"/>
              <w:right w:val="single" w:sz="4" w:space="0" w:color="auto"/>
              <w:tl2br w:val="nil"/>
              <w:tr2bl w:val="nil"/>
            </w:tcBorders>
            <w:vAlign w:val="center"/>
          </w:tcPr>
          <w:p w14:paraId="752492DA" w14:textId="77777777" w:rsidR="007D1E74" w:rsidRDefault="007D1E74">
            <w:pPr>
              <w:pStyle w:val="TableParagraph"/>
              <w:adjustRightInd/>
              <w:jc w:val="center"/>
              <w:rPr>
                <w:rFonts w:ascii="Times New Roman" w:hAnsi="Times New Roman"/>
                <w:sz w:val="21"/>
                <w:szCs w:val="21"/>
              </w:rPr>
            </w:pPr>
          </w:p>
        </w:tc>
        <w:tc>
          <w:tcPr>
            <w:tcW w:w="991" w:type="dxa"/>
            <w:vMerge/>
            <w:tcBorders>
              <w:top w:val="single" w:sz="4" w:space="0" w:color="auto"/>
              <w:left w:val="single" w:sz="4" w:space="0" w:color="auto"/>
              <w:bottom w:val="single" w:sz="4" w:space="0" w:color="auto"/>
              <w:right w:val="single" w:sz="4" w:space="0" w:color="auto"/>
              <w:tl2br w:val="nil"/>
              <w:tr2bl w:val="nil"/>
            </w:tcBorders>
            <w:vAlign w:val="center"/>
          </w:tcPr>
          <w:p w14:paraId="1722B387" w14:textId="77777777" w:rsidR="007D1E74" w:rsidRDefault="007D1E74">
            <w:pPr>
              <w:pStyle w:val="TableParagraph"/>
              <w:adjustRightInd/>
              <w:jc w:val="center"/>
              <w:rPr>
                <w:rFonts w:ascii="Times New Roman" w:hAnsi="Times New Roman"/>
                <w:sz w:val="21"/>
                <w:szCs w:val="21"/>
              </w:rPr>
            </w:pPr>
          </w:p>
        </w:tc>
      </w:tr>
      <w:tr w:rsidR="007D1E74" w14:paraId="480A8DF9" w14:textId="77777777">
        <w:trPr>
          <w:trHeight w:val="322"/>
          <w:jc w:val="center"/>
        </w:trPr>
        <w:tc>
          <w:tcPr>
            <w:tcW w:w="389" w:type="dxa"/>
            <w:vMerge/>
            <w:tcBorders>
              <w:top w:val="single" w:sz="4" w:space="0" w:color="auto"/>
              <w:left w:val="single" w:sz="4" w:space="0" w:color="auto"/>
              <w:bottom w:val="single" w:sz="4" w:space="0" w:color="auto"/>
              <w:right w:val="single" w:sz="4" w:space="0" w:color="auto"/>
              <w:tl2br w:val="nil"/>
              <w:tr2bl w:val="nil"/>
            </w:tcBorders>
            <w:vAlign w:val="center"/>
          </w:tcPr>
          <w:p w14:paraId="3040B070" w14:textId="77777777" w:rsidR="007D1E74" w:rsidRDefault="007D1E74">
            <w:pPr>
              <w:pStyle w:val="TableParagraph"/>
              <w:adjustRightInd/>
              <w:jc w:val="center"/>
              <w:rPr>
                <w:rFonts w:ascii="Times New Roman" w:hAnsi="Times New Roman"/>
                <w:sz w:val="21"/>
                <w:szCs w:val="21"/>
              </w:rPr>
            </w:pPr>
          </w:p>
        </w:tc>
        <w:tc>
          <w:tcPr>
            <w:tcW w:w="887" w:type="dxa"/>
            <w:vMerge/>
            <w:tcBorders>
              <w:top w:val="single" w:sz="4" w:space="0" w:color="auto"/>
              <w:left w:val="single" w:sz="4" w:space="0" w:color="auto"/>
              <w:bottom w:val="single" w:sz="4" w:space="0" w:color="auto"/>
              <w:right w:val="single" w:sz="4" w:space="0" w:color="auto"/>
              <w:tl2br w:val="nil"/>
              <w:tr2bl w:val="nil"/>
            </w:tcBorders>
            <w:vAlign w:val="center"/>
          </w:tcPr>
          <w:p w14:paraId="3CBD754E" w14:textId="77777777" w:rsidR="007D1E74" w:rsidRDefault="007D1E74">
            <w:pPr>
              <w:pStyle w:val="TableParagraph"/>
              <w:adjustRightInd/>
              <w:jc w:val="center"/>
              <w:rPr>
                <w:rFonts w:ascii="Times New Roman" w:hAnsi="Times New Roman"/>
                <w:sz w:val="21"/>
                <w:szCs w:val="21"/>
              </w:rPr>
            </w:pPr>
          </w:p>
        </w:tc>
        <w:tc>
          <w:tcPr>
            <w:tcW w:w="709" w:type="dxa"/>
            <w:tcBorders>
              <w:top w:val="single" w:sz="4" w:space="0" w:color="auto"/>
              <w:left w:val="single" w:sz="4" w:space="0" w:color="auto"/>
              <w:bottom w:val="single" w:sz="4" w:space="0" w:color="auto"/>
              <w:right w:val="single" w:sz="4" w:space="0" w:color="auto"/>
              <w:tl2br w:val="nil"/>
              <w:tr2bl w:val="nil"/>
            </w:tcBorders>
            <w:vAlign w:val="center"/>
          </w:tcPr>
          <w:p w14:paraId="4B4A092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道路</w:t>
            </w:r>
          </w:p>
        </w:tc>
        <w:tc>
          <w:tcPr>
            <w:tcW w:w="5103" w:type="dxa"/>
            <w:tcBorders>
              <w:top w:val="single" w:sz="4" w:space="0" w:color="auto"/>
              <w:left w:val="single" w:sz="4" w:space="0" w:color="auto"/>
              <w:bottom w:val="single" w:sz="4" w:space="0" w:color="auto"/>
              <w:right w:val="single" w:sz="4" w:space="0" w:color="auto"/>
              <w:tl2br w:val="nil"/>
              <w:tr2bl w:val="nil"/>
            </w:tcBorders>
            <w:vAlign w:val="center"/>
          </w:tcPr>
          <w:p w14:paraId="724DF282" w14:textId="77777777" w:rsidR="007D1E74" w:rsidRDefault="00A95641">
            <w:pPr>
              <w:pStyle w:val="TableParagraph"/>
              <w:adjustRightInd/>
              <w:rPr>
                <w:rFonts w:ascii="Times New Roman" w:hAnsi="Times New Roman"/>
                <w:sz w:val="21"/>
                <w:szCs w:val="21"/>
              </w:rPr>
            </w:pPr>
            <w:r>
              <w:rPr>
                <w:rFonts w:ascii="Times New Roman" w:hAnsi="Times New Roman"/>
                <w:sz w:val="21"/>
                <w:szCs w:val="21"/>
              </w:rPr>
              <w:t>沿线共计穿越乡道</w:t>
            </w:r>
            <w:r>
              <w:rPr>
                <w:rFonts w:ascii="Times New Roman" w:hAnsi="Times New Roman"/>
                <w:sz w:val="21"/>
                <w:szCs w:val="21"/>
              </w:rPr>
              <w:t>335.4m/41</w:t>
            </w:r>
            <w:r>
              <w:rPr>
                <w:rFonts w:ascii="Times New Roman" w:hAnsi="Times New Roman"/>
                <w:sz w:val="21"/>
                <w:szCs w:val="21"/>
              </w:rPr>
              <w:t>次，穿越点均为乡村硬化道路；</w:t>
            </w:r>
            <w:r>
              <w:rPr>
                <w:rFonts w:ascii="Times New Roman" w:hAnsi="Times New Roman"/>
                <w:sz w:val="21"/>
                <w:szCs w:val="21"/>
              </w:rPr>
              <w:t>S204</w:t>
            </w:r>
            <w:r>
              <w:rPr>
                <w:rFonts w:ascii="Times New Roman" w:hAnsi="Times New Roman"/>
                <w:sz w:val="21"/>
                <w:szCs w:val="21"/>
              </w:rPr>
              <w:t>快速路穿越</w:t>
            </w:r>
            <w:r>
              <w:rPr>
                <w:rFonts w:ascii="Times New Roman" w:hAnsi="Times New Roman"/>
                <w:sz w:val="21"/>
                <w:szCs w:val="21"/>
              </w:rPr>
              <w:t>166.4m/4</w:t>
            </w:r>
            <w:r>
              <w:rPr>
                <w:rFonts w:ascii="Times New Roman" w:hAnsi="Times New Roman"/>
                <w:sz w:val="21"/>
                <w:szCs w:val="21"/>
              </w:rPr>
              <w:t>次，</w:t>
            </w:r>
            <w:r>
              <w:rPr>
                <w:rFonts w:ascii="Times New Roman" w:hAnsi="Times New Roman"/>
                <w:sz w:val="21"/>
                <w:szCs w:val="21"/>
              </w:rPr>
              <w:t>S201</w:t>
            </w:r>
            <w:r>
              <w:rPr>
                <w:rFonts w:ascii="Times New Roman" w:hAnsi="Times New Roman"/>
                <w:sz w:val="21"/>
                <w:szCs w:val="21"/>
              </w:rPr>
              <w:t>省道穿越</w:t>
            </w:r>
            <w:r>
              <w:rPr>
                <w:rFonts w:ascii="Times New Roman" w:hAnsi="Times New Roman"/>
                <w:sz w:val="21"/>
                <w:szCs w:val="21"/>
              </w:rPr>
              <w:t>30m/2</w:t>
            </w:r>
            <w:r>
              <w:rPr>
                <w:rFonts w:ascii="Times New Roman" w:hAnsi="Times New Roman"/>
                <w:sz w:val="21"/>
                <w:szCs w:val="21"/>
              </w:rPr>
              <w:t>次。其中：</w:t>
            </w:r>
          </w:p>
          <w:p w14:paraId="335D6129" w14:textId="77777777" w:rsidR="007D1E74" w:rsidRDefault="00A95641">
            <w:pPr>
              <w:pStyle w:val="TableParagraph"/>
              <w:rPr>
                <w:rFonts w:ascii="Times New Roman" w:hAnsi="Times New Roman"/>
                <w:sz w:val="21"/>
                <w:szCs w:val="21"/>
              </w:rPr>
            </w:pPr>
            <w:r>
              <w:rPr>
                <w:rFonts w:ascii="宋体" w:hAnsi="宋体" w:cs="宋体" w:hint="eastAsia"/>
                <w:sz w:val="21"/>
                <w:szCs w:val="21"/>
              </w:rPr>
              <w:t>①</w:t>
            </w:r>
            <w:r>
              <w:rPr>
                <w:rFonts w:ascii="Times New Roman" w:hAnsi="Times New Roman"/>
                <w:sz w:val="21"/>
                <w:szCs w:val="21"/>
              </w:rPr>
              <w:t>1#</w:t>
            </w:r>
            <w:r>
              <w:rPr>
                <w:rFonts w:ascii="Times New Roman" w:hAnsi="Times New Roman"/>
                <w:sz w:val="21"/>
                <w:szCs w:val="21"/>
              </w:rPr>
              <w:t>阀室至马</w:t>
            </w:r>
            <w:r>
              <w:rPr>
                <w:rFonts w:ascii="Times New Roman" w:hAnsi="Times New Roman"/>
                <w:sz w:val="21"/>
                <w:szCs w:val="21"/>
              </w:rPr>
              <w:t>1-11</w:t>
            </w:r>
            <w:r>
              <w:rPr>
                <w:rFonts w:ascii="Times New Roman" w:hAnsi="Times New Roman"/>
                <w:sz w:val="21"/>
                <w:szCs w:val="21"/>
              </w:rPr>
              <w:t>脱水井场穿越乡道</w:t>
            </w:r>
            <w:r>
              <w:rPr>
                <w:rFonts w:ascii="Times New Roman" w:hAnsi="Times New Roman"/>
                <w:sz w:val="21"/>
                <w:szCs w:val="21"/>
              </w:rPr>
              <w:t>88m/11</w:t>
            </w:r>
            <w:r>
              <w:rPr>
                <w:rFonts w:ascii="Times New Roman" w:hAnsi="Times New Roman"/>
                <w:sz w:val="21"/>
                <w:szCs w:val="21"/>
              </w:rPr>
              <w:t>次，均为顶管穿越；穿越</w:t>
            </w:r>
            <w:r>
              <w:rPr>
                <w:rFonts w:ascii="Times New Roman" w:hAnsi="Times New Roman"/>
                <w:sz w:val="21"/>
                <w:szCs w:val="21"/>
              </w:rPr>
              <w:t>S204</w:t>
            </w:r>
            <w:r>
              <w:rPr>
                <w:rFonts w:ascii="Times New Roman" w:hAnsi="Times New Roman"/>
                <w:sz w:val="21"/>
                <w:szCs w:val="21"/>
              </w:rPr>
              <w:t>快速路</w:t>
            </w:r>
            <w:r>
              <w:rPr>
                <w:rFonts w:ascii="Times New Roman" w:hAnsi="Times New Roman"/>
                <w:sz w:val="21"/>
                <w:szCs w:val="21"/>
              </w:rPr>
              <w:t>84.8m/2</w:t>
            </w:r>
            <w:r>
              <w:rPr>
                <w:rFonts w:ascii="Times New Roman" w:hAnsi="Times New Roman"/>
                <w:sz w:val="21"/>
                <w:szCs w:val="21"/>
              </w:rPr>
              <w:t>次，为桩号</w:t>
            </w:r>
            <w:r>
              <w:rPr>
                <w:rFonts w:ascii="Times New Roman" w:hAnsi="Times New Roman"/>
                <w:sz w:val="21"/>
                <w:szCs w:val="21"/>
              </w:rPr>
              <w:t>A1+556.8~A1+613.6</w:t>
            </w:r>
            <w:r>
              <w:rPr>
                <w:rFonts w:ascii="Times New Roman" w:hAnsi="Times New Roman"/>
                <w:sz w:val="21"/>
                <w:szCs w:val="21"/>
              </w:rPr>
              <w:t>段，桩号</w:t>
            </w:r>
            <w:r>
              <w:rPr>
                <w:rFonts w:ascii="Times New Roman" w:hAnsi="Times New Roman"/>
                <w:sz w:val="21"/>
                <w:szCs w:val="21"/>
              </w:rPr>
              <w:t>A5+046.6~A5074.6</w:t>
            </w:r>
            <w:r>
              <w:rPr>
                <w:rFonts w:ascii="Times New Roman" w:hAnsi="Times New Roman"/>
                <w:sz w:val="21"/>
                <w:szCs w:val="21"/>
              </w:rPr>
              <w:t>段，因</w:t>
            </w:r>
            <w:r>
              <w:rPr>
                <w:rFonts w:ascii="Times New Roman" w:hAnsi="Times New Roman"/>
                <w:sz w:val="21"/>
                <w:szCs w:val="21"/>
              </w:rPr>
              <w:t xml:space="preserve"> S204 </w:t>
            </w:r>
            <w:r>
              <w:rPr>
                <w:rFonts w:ascii="Times New Roman" w:hAnsi="Times New Roman"/>
                <w:sz w:val="21"/>
                <w:szCs w:val="21"/>
              </w:rPr>
              <w:t>快速路位于穿越点附近为架设，本工程穿越管段均采取直埋穿越的方式；穿越</w:t>
            </w:r>
            <w:r>
              <w:rPr>
                <w:rFonts w:ascii="Times New Roman" w:hAnsi="Times New Roman"/>
                <w:sz w:val="21"/>
                <w:szCs w:val="21"/>
              </w:rPr>
              <w:t>S201</w:t>
            </w:r>
            <w:r>
              <w:rPr>
                <w:rFonts w:ascii="Times New Roman" w:hAnsi="Times New Roman"/>
                <w:sz w:val="21"/>
                <w:szCs w:val="21"/>
              </w:rPr>
              <w:t>省道</w:t>
            </w:r>
            <w:r>
              <w:rPr>
                <w:rFonts w:ascii="Times New Roman" w:hAnsi="Times New Roman"/>
                <w:sz w:val="21"/>
                <w:szCs w:val="21"/>
              </w:rPr>
              <w:t>12m/1</w:t>
            </w:r>
            <w:r>
              <w:rPr>
                <w:rFonts w:ascii="Times New Roman" w:hAnsi="Times New Roman"/>
                <w:sz w:val="21"/>
                <w:szCs w:val="21"/>
              </w:rPr>
              <w:t>次，为桩号</w:t>
            </w:r>
            <w:r>
              <w:rPr>
                <w:rFonts w:ascii="Times New Roman" w:hAnsi="Times New Roman"/>
                <w:sz w:val="21"/>
                <w:szCs w:val="21"/>
              </w:rPr>
              <w:t>A5+498.6~A+510.6</w:t>
            </w:r>
            <w:r>
              <w:rPr>
                <w:rFonts w:ascii="Times New Roman" w:hAnsi="Times New Roman"/>
                <w:sz w:val="21"/>
                <w:szCs w:val="21"/>
              </w:rPr>
              <w:t>段，采用顶管穿越；</w:t>
            </w:r>
          </w:p>
          <w:p w14:paraId="20652628" w14:textId="77777777" w:rsidR="007D1E74" w:rsidRDefault="00A95641">
            <w:pPr>
              <w:pStyle w:val="TableParagraph"/>
              <w:adjustRightInd/>
              <w:rPr>
                <w:rFonts w:ascii="Times New Roman" w:hAnsi="Times New Roman"/>
                <w:sz w:val="21"/>
                <w:szCs w:val="21"/>
              </w:rPr>
            </w:pPr>
            <w:r>
              <w:rPr>
                <w:rFonts w:ascii="宋体" w:hAnsi="宋体" w:cs="宋体" w:hint="eastAsia"/>
                <w:sz w:val="21"/>
                <w:szCs w:val="21"/>
              </w:rPr>
              <w:t>②</w:t>
            </w:r>
            <w:r>
              <w:rPr>
                <w:rFonts w:ascii="Times New Roman" w:hAnsi="Times New Roman"/>
                <w:sz w:val="21"/>
                <w:szCs w:val="21"/>
              </w:rPr>
              <w:t>马</w:t>
            </w:r>
            <w:r>
              <w:rPr>
                <w:rFonts w:ascii="Times New Roman" w:hAnsi="Times New Roman"/>
                <w:sz w:val="21"/>
                <w:szCs w:val="21"/>
              </w:rPr>
              <w:t>1-11</w:t>
            </w:r>
            <w:r>
              <w:rPr>
                <w:rFonts w:ascii="Times New Roman" w:hAnsi="Times New Roman"/>
                <w:sz w:val="21"/>
                <w:szCs w:val="21"/>
              </w:rPr>
              <w:t>脱水井场至</w:t>
            </w:r>
            <w:r>
              <w:rPr>
                <w:rFonts w:ascii="Times New Roman" w:hAnsi="Times New Roman"/>
                <w:sz w:val="21"/>
                <w:szCs w:val="21"/>
              </w:rPr>
              <w:t>4#</w:t>
            </w:r>
            <w:r>
              <w:rPr>
                <w:rFonts w:ascii="Times New Roman" w:hAnsi="Times New Roman"/>
                <w:sz w:val="21"/>
                <w:szCs w:val="21"/>
              </w:rPr>
              <w:t>清管阀组集输干线穿越乡道</w:t>
            </w:r>
            <w:r>
              <w:rPr>
                <w:rFonts w:ascii="Times New Roman" w:hAnsi="Times New Roman"/>
                <w:sz w:val="21"/>
                <w:szCs w:val="21"/>
              </w:rPr>
              <w:t>66m/8</w:t>
            </w:r>
            <w:r>
              <w:rPr>
                <w:rFonts w:ascii="Times New Roman" w:hAnsi="Times New Roman"/>
                <w:sz w:val="21"/>
                <w:szCs w:val="21"/>
              </w:rPr>
              <w:t>次，均为顶管穿越；</w:t>
            </w:r>
          </w:p>
          <w:p w14:paraId="63759236" w14:textId="77777777" w:rsidR="007D1E74" w:rsidRDefault="00A95641">
            <w:pPr>
              <w:pStyle w:val="TableParagraph"/>
              <w:adjustRightInd/>
              <w:rPr>
                <w:rFonts w:ascii="Times New Roman" w:hAnsi="Times New Roman"/>
                <w:sz w:val="21"/>
                <w:szCs w:val="21"/>
              </w:rPr>
            </w:pPr>
            <w:r>
              <w:rPr>
                <w:rFonts w:ascii="宋体" w:hAnsi="宋体" w:cs="宋体" w:hint="eastAsia"/>
                <w:sz w:val="21"/>
                <w:szCs w:val="21"/>
              </w:rPr>
              <w:t>③</w:t>
            </w:r>
            <w:r>
              <w:rPr>
                <w:rFonts w:ascii="Times New Roman" w:hAnsi="Times New Roman"/>
                <w:sz w:val="21"/>
                <w:szCs w:val="21"/>
              </w:rPr>
              <w:t>马</w:t>
            </w:r>
            <w:r>
              <w:rPr>
                <w:rFonts w:ascii="Times New Roman" w:hAnsi="Times New Roman"/>
                <w:sz w:val="21"/>
                <w:szCs w:val="21"/>
              </w:rPr>
              <w:t>1-10H</w:t>
            </w:r>
            <w:r>
              <w:rPr>
                <w:rFonts w:ascii="Times New Roman" w:hAnsi="Times New Roman"/>
                <w:sz w:val="21"/>
                <w:szCs w:val="21"/>
              </w:rPr>
              <w:t>采气井场至马</w:t>
            </w:r>
            <w:r>
              <w:rPr>
                <w:rFonts w:ascii="Times New Roman" w:hAnsi="Times New Roman"/>
                <w:sz w:val="21"/>
                <w:szCs w:val="21"/>
              </w:rPr>
              <w:t>1-1</w:t>
            </w:r>
            <w:r>
              <w:rPr>
                <w:rFonts w:ascii="Times New Roman" w:hAnsi="Times New Roman"/>
                <w:sz w:val="21"/>
                <w:szCs w:val="21"/>
              </w:rPr>
              <w:t>集气支线穿越乡道</w:t>
            </w:r>
            <w:r>
              <w:rPr>
                <w:rFonts w:ascii="Times New Roman" w:hAnsi="Times New Roman"/>
                <w:sz w:val="21"/>
                <w:szCs w:val="21"/>
              </w:rPr>
              <w:t>36m/5</w:t>
            </w:r>
            <w:r>
              <w:rPr>
                <w:rFonts w:ascii="Times New Roman" w:hAnsi="Times New Roman"/>
                <w:sz w:val="21"/>
                <w:szCs w:val="21"/>
              </w:rPr>
              <w:t>次，均为顶管穿越；</w:t>
            </w:r>
          </w:p>
          <w:p w14:paraId="30771EF9" w14:textId="77777777" w:rsidR="007D1E74" w:rsidRDefault="00A95641">
            <w:pPr>
              <w:pStyle w:val="TableParagraph"/>
              <w:rPr>
                <w:rFonts w:ascii="Times New Roman" w:hAnsi="Times New Roman"/>
                <w:sz w:val="21"/>
                <w:szCs w:val="21"/>
              </w:rPr>
            </w:pPr>
            <w:r>
              <w:rPr>
                <w:rFonts w:ascii="宋体" w:hAnsi="宋体" w:cs="宋体" w:hint="eastAsia"/>
                <w:sz w:val="21"/>
                <w:szCs w:val="21"/>
              </w:rPr>
              <w:t>④</w:t>
            </w:r>
            <w:r>
              <w:rPr>
                <w:rFonts w:ascii="Times New Roman" w:hAnsi="Times New Roman"/>
                <w:sz w:val="21"/>
                <w:szCs w:val="21"/>
              </w:rPr>
              <w:t>马</w:t>
            </w:r>
            <w:r>
              <w:rPr>
                <w:rFonts w:ascii="Times New Roman" w:hAnsi="Times New Roman"/>
                <w:sz w:val="21"/>
                <w:szCs w:val="21"/>
              </w:rPr>
              <w:t>1-1</w:t>
            </w:r>
            <w:r>
              <w:rPr>
                <w:rFonts w:ascii="Times New Roman" w:hAnsi="Times New Roman"/>
                <w:sz w:val="21"/>
                <w:szCs w:val="21"/>
              </w:rPr>
              <w:t>采气井场至干线集气支线穿越</w:t>
            </w:r>
            <w:r>
              <w:rPr>
                <w:rFonts w:ascii="Times New Roman" w:hAnsi="Times New Roman"/>
                <w:sz w:val="21"/>
                <w:szCs w:val="21"/>
              </w:rPr>
              <w:t>S204</w:t>
            </w:r>
            <w:r>
              <w:rPr>
                <w:rFonts w:ascii="Times New Roman" w:hAnsi="Times New Roman"/>
                <w:sz w:val="21"/>
                <w:szCs w:val="21"/>
              </w:rPr>
              <w:t>快速路</w:t>
            </w:r>
            <w:r>
              <w:rPr>
                <w:rFonts w:ascii="Times New Roman" w:hAnsi="Times New Roman"/>
                <w:sz w:val="21"/>
                <w:szCs w:val="21"/>
              </w:rPr>
              <w:t>27.6m/1</w:t>
            </w:r>
            <w:r>
              <w:rPr>
                <w:rFonts w:ascii="Times New Roman" w:hAnsi="Times New Roman"/>
                <w:sz w:val="21"/>
                <w:szCs w:val="21"/>
              </w:rPr>
              <w:t>，桩号为</w:t>
            </w:r>
            <w:r>
              <w:rPr>
                <w:rFonts w:ascii="Times New Roman" w:hAnsi="Times New Roman"/>
                <w:sz w:val="21"/>
                <w:szCs w:val="21"/>
              </w:rPr>
              <w:t>F0+474.70~F0+502.30</w:t>
            </w:r>
            <w:r>
              <w:rPr>
                <w:rFonts w:ascii="Times New Roman" w:hAnsi="Times New Roman"/>
                <w:sz w:val="21"/>
                <w:szCs w:val="21"/>
              </w:rPr>
              <w:t>，因</w:t>
            </w:r>
            <w:r>
              <w:rPr>
                <w:rFonts w:ascii="Times New Roman" w:hAnsi="Times New Roman"/>
                <w:sz w:val="21"/>
                <w:szCs w:val="21"/>
              </w:rPr>
              <w:t xml:space="preserve"> S204 </w:t>
            </w:r>
            <w:r>
              <w:rPr>
                <w:rFonts w:ascii="Times New Roman" w:hAnsi="Times New Roman"/>
                <w:sz w:val="21"/>
                <w:szCs w:val="21"/>
              </w:rPr>
              <w:t>快速路位于穿越点附近为架设，本工程穿越管段采取直埋穿越的方式；穿越</w:t>
            </w:r>
            <w:r>
              <w:rPr>
                <w:rFonts w:ascii="Times New Roman" w:hAnsi="Times New Roman"/>
                <w:sz w:val="21"/>
                <w:szCs w:val="21"/>
              </w:rPr>
              <w:t>S201</w:t>
            </w:r>
            <w:r>
              <w:rPr>
                <w:rFonts w:ascii="Times New Roman" w:hAnsi="Times New Roman"/>
                <w:sz w:val="21"/>
                <w:szCs w:val="21"/>
              </w:rPr>
              <w:t>省道，桩号为</w:t>
            </w:r>
            <w:r>
              <w:rPr>
                <w:rFonts w:ascii="Times New Roman" w:hAnsi="Times New Roman"/>
                <w:sz w:val="21"/>
                <w:szCs w:val="21"/>
              </w:rPr>
              <w:t>F0+629.00~F0+647.00</w:t>
            </w:r>
            <w:r>
              <w:rPr>
                <w:rFonts w:ascii="Times New Roman" w:hAnsi="Times New Roman"/>
                <w:sz w:val="21"/>
                <w:szCs w:val="21"/>
              </w:rPr>
              <w:t>，采用顶管穿越。</w:t>
            </w:r>
          </w:p>
          <w:p w14:paraId="64EC0BE0" w14:textId="77777777" w:rsidR="007D1E74" w:rsidRDefault="00A95641">
            <w:pPr>
              <w:pStyle w:val="TableParagraph"/>
              <w:rPr>
                <w:rFonts w:ascii="Times New Roman" w:hAnsi="Times New Roman"/>
                <w:sz w:val="21"/>
                <w:szCs w:val="21"/>
              </w:rPr>
            </w:pPr>
            <w:r>
              <w:rPr>
                <w:rFonts w:ascii="宋体" w:hAnsi="宋体" w:cs="宋体" w:hint="eastAsia"/>
                <w:sz w:val="21"/>
                <w:szCs w:val="21"/>
              </w:rPr>
              <w:t>⑤</w:t>
            </w:r>
            <w:r>
              <w:rPr>
                <w:rFonts w:ascii="Times New Roman" w:hAnsi="Times New Roman"/>
                <w:sz w:val="21"/>
                <w:szCs w:val="21"/>
              </w:rPr>
              <w:t>马</w:t>
            </w:r>
            <w:r>
              <w:rPr>
                <w:rFonts w:ascii="Times New Roman" w:hAnsi="Times New Roman"/>
                <w:sz w:val="21"/>
                <w:szCs w:val="21"/>
              </w:rPr>
              <w:t>1-13H</w:t>
            </w:r>
            <w:r>
              <w:rPr>
                <w:rFonts w:ascii="Times New Roman" w:hAnsi="Times New Roman"/>
                <w:sz w:val="21"/>
                <w:szCs w:val="21"/>
              </w:rPr>
              <w:t>采气井场至干线集气支线穿越乡道</w:t>
            </w:r>
            <w:r>
              <w:rPr>
                <w:rFonts w:ascii="Times New Roman" w:hAnsi="Times New Roman"/>
                <w:sz w:val="21"/>
                <w:szCs w:val="21"/>
              </w:rPr>
              <w:t>10m/1</w:t>
            </w:r>
            <w:r>
              <w:rPr>
                <w:rFonts w:ascii="Times New Roman" w:hAnsi="Times New Roman"/>
                <w:sz w:val="21"/>
                <w:szCs w:val="21"/>
              </w:rPr>
              <w:t>次，采用顶管穿越；穿越</w:t>
            </w:r>
            <w:r>
              <w:rPr>
                <w:rFonts w:ascii="Times New Roman" w:hAnsi="Times New Roman"/>
                <w:sz w:val="21"/>
                <w:szCs w:val="21"/>
              </w:rPr>
              <w:t>S204</w:t>
            </w:r>
            <w:r>
              <w:rPr>
                <w:rFonts w:ascii="Times New Roman" w:hAnsi="Times New Roman"/>
                <w:sz w:val="21"/>
                <w:szCs w:val="21"/>
              </w:rPr>
              <w:t>快速路</w:t>
            </w:r>
            <w:r>
              <w:rPr>
                <w:rFonts w:ascii="Times New Roman" w:hAnsi="Times New Roman"/>
                <w:sz w:val="21"/>
                <w:szCs w:val="21"/>
              </w:rPr>
              <w:t>54m/1</w:t>
            </w:r>
            <w:r>
              <w:rPr>
                <w:rFonts w:ascii="Times New Roman" w:hAnsi="Times New Roman"/>
                <w:sz w:val="21"/>
                <w:szCs w:val="21"/>
              </w:rPr>
              <w:t>次，桩号为</w:t>
            </w:r>
            <w:r>
              <w:rPr>
                <w:rFonts w:ascii="Times New Roman" w:hAnsi="Times New Roman"/>
                <w:sz w:val="21"/>
                <w:szCs w:val="21"/>
              </w:rPr>
              <w:t xml:space="preserve">D0+670.40~D0+724.40, </w:t>
            </w:r>
            <w:r>
              <w:rPr>
                <w:rFonts w:ascii="Times New Roman" w:hAnsi="Times New Roman"/>
                <w:sz w:val="21"/>
                <w:szCs w:val="21"/>
              </w:rPr>
              <w:t>穿越管段采取顶管穿越的方式</w:t>
            </w:r>
            <w:r>
              <w:rPr>
                <w:rFonts w:ascii="Times New Roman" w:hAnsi="Times New Roman"/>
                <w:sz w:val="21"/>
                <w:szCs w:val="21"/>
              </w:rPr>
              <w:t>;</w:t>
            </w:r>
          </w:p>
          <w:p w14:paraId="4E906CE9" w14:textId="77777777" w:rsidR="007D1E74" w:rsidRDefault="00A95641">
            <w:pPr>
              <w:pStyle w:val="TableParagraph"/>
              <w:adjustRightInd/>
              <w:rPr>
                <w:rFonts w:ascii="Times New Roman" w:hAnsi="Times New Roman"/>
                <w:sz w:val="21"/>
                <w:szCs w:val="21"/>
              </w:rPr>
            </w:pPr>
            <w:r>
              <w:rPr>
                <w:rFonts w:ascii="宋体" w:hAnsi="宋体" w:cs="宋体" w:hint="eastAsia"/>
                <w:sz w:val="21"/>
                <w:szCs w:val="21"/>
              </w:rPr>
              <w:t>⑥</w:t>
            </w:r>
            <w:r>
              <w:rPr>
                <w:rFonts w:ascii="Times New Roman" w:hAnsi="Times New Roman"/>
                <w:sz w:val="21"/>
                <w:szCs w:val="21"/>
              </w:rPr>
              <w:t>4#</w:t>
            </w:r>
            <w:r>
              <w:rPr>
                <w:rFonts w:ascii="Times New Roman" w:hAnsi="Times New Roman"/>
                <w:sz w:val="21"/>
                <w:szCs w:val="21"/>
              </w:rPr>
              <w:t>清管阀组至草池增压站集输干线穿越乡道</w:t>
            </w:r>
            <w:r>
              <w:rPr>
                <w:rFonts w:ascii="Times New Roman" w:hAnsi="Times New Roman"/>
                <w:sz w:val="21"/>
                <w:szCs w:val="21"/>
              </w:rPr>
              <w:t>135.4m/16</w:t>
            </w:r>
            <w:r>
              <w:rPr>
                <w:rFonts w:ascii="Times New Roman" w:hAnsi="Times New Roman"/>
                <w:sz w:val="21"/>
                <w:szCs w:val="21"/>
              </w:rPr>
              <w:t>次，其中仅有</w:t>
            </w:r>
            <w:r>
              <w:rPr>
                <w:rFonts w:ascii="Times New Roman" w:hAnsi="Times New Roman"/>
                <w:sz w:val="21"/>
                <w:szCs w:val="21"/>
              </w:rPr>
              <w:t>C0+741.00~ C0+752.00</w:t>
            </w:r>
            <w:r>
              <w:rPr>
                <w:rFonts w:ascii="Times New Roman" w:hAnsi="Times New Roman"/>
                <w:sz w:val="21"/>
                <w:szCs w:val="21"/>
              </w:rPr>
              <w:t>，</w:t>
            </w:r>
            <w:r>
              <w:rPr>
                <w:rFonts w:ascii="Times New Roman" w:hAnsi="Times New Roman"/>
                <w:sz w:val="21"/>
                <w:szCs w:val="21"/>
              </w:rPr>
              <w:t>C1+979.60~C1+988.0</w:t>
            </w:r>
            <w:r>
              <w:rPr>
                <w:rFonts w:ascii="Times New Roman" w:hAnsi="Times New Roman"/>
                <w:sz w:val="21"/>
                <w:szCs w:val="21"/>
              </w:rPr>
              <w:t>两处采取开挖盖板，其余穿越方式为顶管穿越。</w:t>
            </w:r>
          </w:p>
        </w:tc>
        <w:tc>
          <w:tcPr>
            <w:tcW w:w="991" w:type="dxa"/>
            <w:vMerge/>
            <w:tcBorders>
              <w:top w:val="single" w:sz="4" w:space="0" w:color="auto"/>
              <w:left w:val="single" w:sz="4" w:space="0" w:color="auto"/>
              <w:bottom w:val="single" w:sz="4" w:space="0" w:color="auto"/>
              <w:right w:val="single" w:sz="4" w:space="0" w:color="auto"/>
              <w:tl2br w:val="nil"/>
              <w:tr2bl w:val="nil"/>
            </w:tcBorders>
            <w:vAlign w:val="center"/>
          </w:tcPr>
          <w:p w14:paraId="15AF0D00" w14:textId="77777777" w:rsidR="007D1E74" w:rsidRDefault="007D1E74">
            <w:pPr>
              <w:pStyle w:val="TableParagraph"/>
              <w:adjustRightInd/>
              <w:jc w:val="center"/>
              <w:rPr>
                <w:rFonts w:ascii="Times New Roman" w:hAnsi="Times New Roman"/>
                <w:sz w:val="21"/>
                <w:szCs w:val="21"/>
              </w:rPr>
            </w:pPr>
          </w:p>
        </w:tc>
        <w:tc>
          <w:tcPr>
            <w:tcW w:w="991" w:type="dxa"/>
            <w:vMerge/>
            <w:tcBorders>
              <w:top w:val="single" w:sz="4" w:space="0" w:color="auto"/>
              <w:left w:val="single" w:sz="4" w:space="0" w:color="auto"/>
              <w:bottom w:val="single" w:sz="4" w:space="0" w:color="auto"/>
              <w:right w:val="single" w:sz="4" w:space="0" w:color="auto"/>
              <w:tl2br w:val="nil"/>
              <w:tr2bl w:val="nil"/>
            </w:tcBorders>
            <w:vAlign w:val="center"/>
          </w:tcPr>
          <w:p w14:paraId="7792711E" w14:textId="77777777" w:rsidR="007D1E74" w:rsidRDefault="007D1E74">
            <w:pPr>
              <w:pStyle w:val="TableParagraph"/>
              <w:adjustRightInd/>
              <w:jc w:val="center"/>
              <w:rPr>
                <w:rFonts w:ascii="Times New Roman" w:hAnsi="Times New Roman"/>
                <w:sz w:val="21"/>
                <w:szCs w:val="21"/>
              </w:rPr>
            </w:pPr>
          </w:p>
        </w:tc>
      </w:tr>
      <w:tr w:rsidR="007D1E74" w14:paraId="01244EB7" w14:textId="77777777">
        <w:trPr>
          <w:trHeight w:val="777"/>
          <w:jc w:val="center"/>
        </w:trPr>
        <w:tc>
          <w:tcPr>
            <w:tcW w:w="389" w:type="dxa"/>
            <w:vMerge w:val="restart"/>
            <w:tcBorders>
              <w:top w:val="single" w:sz="4" w:space="0" w:color="auto"/>
              <w:left w:val="single" w:sz="4" w:space="0" w:color="auto"/>
              <w:bottom w:val="single" w:sz="4" w:space="0" w:color="auto"/>
              <w:right w:val="single" w:sz="4" w:space="0" w:color="auto"/>
              <w:tl2br w:val="nil"/>
              <w:tr2bl w:val="nil"/>
            </w:tcBorders>
            <w:vAlign w:val="center"/>
          </w:tcPr>
          <w:p w14:paraId="57F56FE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辅助及公用工程</w:t>
            </w:r>
          </w:p>
        </w:tc>
        <w:tc>
          <w:tcPr>
            <w:tcW w:w="887" w:type="dxa"/>
            <w:tcBorders>
              <w:top w:val="single" w:sz="4" w:space="0" w:color="auto"/>
              <w:left w:val="single" w:sz="4" w:space="0" w:color="auto"/>
              <w:bottom w:val="single" w:sz="4" w:space="0" w:color="auto"/>
              <w:right w:val="single" w:sz="4" w:space="0" w:color="auto"/>
              <w:tl2br w:val="nil"/>
              <w:tr2bl w:val="nil"/>
            </w:tcBorders>
            <w:vAlign w:val="center"/>
          </w:tcPr>
          <w:p w14:paraId="7DD2168D" w14:textId="77777777" w:rsidR="007D1E74" w:rsidRDefault="007D1E74">
            <w:pPr>
              <w:pStyle w:val="TableParagraph"/>
              <w:adjustRightInd/>
              <w:jc w:val="center"/>
              <w:rPr>
                <w:rFonts w:ascii="Times New Roman" w:hAnsi="Times New Roman"/>
                <w:b/>
                <w:sz w:val="21"/>
                <w:szCs w:val="21"/>
              </w:rPr>
            </w:pPr>
          </w:p>
          <w:p w14:paraId="7FB81D2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管道防腐</w:t>
            </w:r>
          </w:p>
        </w:tc>
        <w:tc>
          <w:tcPr>
            <w:tcW w:w="5812" w:type="dxa"/>
            <w:gridSpan w:val="2"/>
            <w:tcBorders>
              <w:top w:val="single" w:sz="4" w:space="0" w:color="auto"/>
              <w:left w:val="single" w:sz="4" w:space="0" w:color="auto"/>
              <w:bottom w:val="single" w:sz="4" w:space="0" w:color="auto"/>
              <w:right w:val="single" w:sz="4" w:space="0" w:color="auto"/>
              <w:tl2br w:val="nil"/>
              <w:tr2bl w:val="nil"/>
            </w:tcBorders>
          </w:tcPr>
          <w:p w14:paraId="55442E39" w14:textId="77777777" w:rsidR="007D1E74" w:rsidRDefault="00A95641">
            <w:pPr>
              <w:pStyle w:val="TableParagraph"/>
              <w:adjustRightInd/>
              <w:rPr>
                <w:rFonts w:ascii="Times New Roman" w:hAnsi="Times New Roman"/>
                <w:sz w:val="21"/>
                <w:szCs w:val="21"/>
              </w:rPr>
            </w:pPr>
            <w:r>
              <w:rPr>
                <w:rFonts w:ascii="Times New Roman" w:hAnsi="Times New Roman"/>
                <w:sz w:val="21"/>
                <w:szCs w:val="21"/>
              </w:rPr>
              <w:t>一般线路防腐采用常温型加强级三层</w:t>
            </w:r>
            <w:r>
              <w:rPr>
                <w:rFonts w:ascii="Times New Roman" w:hAnsi="Times New Roman"/>
                <w:sz w:val="21"/>
                <w:szCs w:val="21"/>
              </w:rPr>
              <w:t>PE</w:t>
            </w:r>
            <w:r>
              <w:rPr>
                <w:rFonts w:ascii="Times New Roman" w:hAnsi="Times New Roman"/>
                <w:sz w:val="21"/>
                <w:szCs w:val="21"/>
              </w:rPr>
              <w:t>防腐层，其中底层为熔结环氧粉末，中间层为胶粘剂层。热煨弯管外防腐层采用无溶剂液体环氧涂料</w:t>
            </w:r>
            <w:r>
              <w:rPr>
                <w:rFonts w:ascii="Times New Roman" w:hAnsi="Times New Roman"/>
                <w:sz w:val="21"/>
                <w:szCs w:val="21"/>
              </w:rPr>
              <w:t>+</w:t>
            </w:r>
            <w:r>
              <w:rPr>
                <w:rFonts w:ascii="Times New Roman" w:hAnsi="Times New Roman"/>
                <w:sz w:val="21"/>
                <w:szCs w:val="21"/>
              </w:rPr>
              <w:t>聚乙烯热收缩带。线路补口采用</w:t>
            </w:r>
            <w:r>
              <w:rPr>
                <w:rFonts w:ascii="Times New Roman" w:hAnsi="Times New Roman"/>
                <w:sz w:val="21"/>
                <w:szCs w:val="21"/>
              </w:rPr>
              <w:t>“</w:t>
            </w:r>
            <w:r>
              <w:rPr>
                <w:rFonts w:ascii="Times New Roman" w:hAnsi="Times New Roman"/>
                <w:sz w:val="21"/>
                <w:szCs w:val="21"/>
              </w:rPr>
              <w:t>无溶剂液体环氧涂料</w:t>
            </w:r>
            <w:r>
              <w:rPr>
                <w:rFonts w:ascii="Times New Roman" w:hAnsi="Times New Roman"/>
                <w:sz w:val="21"/>
                <w:szCs w:val="21"/>
              </w:rPr>
              <w:t>+</w:t>
            </w:r>
            <w:r>
              <w:rPr>
                <w:rFonts w:ascii="Times New Roman" w:hAnsi="Times New Roman"/>
                <w:sz w:val="21"/>
                <w:szCs w:val="21"/>
              </w:rPr>
              <w:t>热收缩缠绕带</w:t>
            </w:r>
            <w:r>
              <w:rPr>
                <w:rFonts w:ascii="Times New Roman" w:hAnsi="Times New Roman"/>
                <w:sz w:val="21"/>
                <w:szCs w:val="21"/>
              </w:rPr>
              <w:t>”</w:t>
            </w:r>
            <w:r>
              <w:rPr>
                <w:rFonts w:ascii="Times New Roman" w:hAnsi="Times New Roman"/>
                <w:sz w:val="21"/>
                <w:szCs w:val="21"/>
              </w:rPr>
              <w:t>结构。</w:t>
            </w:r>
          </w:p>
        </w:tc>
        <w:tc>
          <w:tcPr>
            <w:tcW w:w="991" w:type="dxa"/>
            <w:vMerge w:val="restart"/>
            <w:tcBorders>
              <w:top w:val="single" w:sz="4" w:space="0" w:color="auto"/>
              <w:left w:val="single" w:sz="4" w:space="0" w:color="auto"/>
              <w:bottom w:val="single" w:sz="4" w:space="0" w:color="auto"/>
              <w:right w:val="single" w:sz="4" w:space="0" w:color="auto"/>
              <w:tl2br w:val="nil"/>
              <w:tr2bl w:val="nil"/>
            </w:tcBorders>
            <w:vAlign w:val="center"/>
          </w:tcPr>
          <w:p w14:paraId="33AE29AF" w14:textId="77777777" w:rsidR="007D1E74" w:rsidRDefault="00A95641">
            <w:pPr>
              <w:pStyle w:val="TableParagraph"/>
              <w:ind w:left="28"/>
              <w:jc w:val="center"/>
              <w:rPr>
                <w:rFonts w:ascii="Times New Roman" w:hAnsi="Times New Roman"/>
                <w:sz w:val="21"/>
                <w:szCs w:val="21"/>
              </w:rPr>
            </w:pPr>
            <w:r>
              <w:rPr>
                <w:rFonts w:ascii="Times New Roman" w:hAnsi="Times New Roman"/>
                <w:sz w:val="21"/>
                <w:szCs w:val="21"/>
              </w:rPr>
              <w:t>施工废水、扬尘、噪声、生活垃圾、建筑垃圾</w:t>
            </w:r>
          </w:p>
        </w:tc>
        <w:tc>
          <w:tcPr>
            <w:tcW w:w="991" w:type="dxa"/>
            <w:vMerge w:val="restart"/>
            <w:tcBorders>
              <w:top w:val="single" w:sz="4" w:space="0" w:color="auto"/>
              <w:left w:val="single" w:sz="4" w:space="0" w:color="auto"/>
              <w:bottom w:val="single" w:sz="4" w:space="0" w:color="auto"/>
              <w:right w:val="single" w:sz="4" w:space="0" w:color="auto"/>
              <w:tl2br w:val="nil"/>
              <w:tr2bl w:val="nil"/>
            </w:tcBorders>
            <w:vAlign w:val="center"/>
          </w:tcPr>
          <w:p w14:paraId="3B81E468" w14:textId="77777777" w:rsidR="007D1E74" w:rsidRDefault="00A95641">
            <w:pPr>
              <w:pStyle w:val="TableParagraph"/>
              <w:spacing w:before="1"/>
              <w:ind w:left="2"/>
              <w:jc w:val="center"/>
              <w:rPr>
                <w:rFonts w:ascii="Times New Roman" w:hAnsi="Times New Roman"/>
                <w:sz w:val="21"/>
                <w:szCs w:val="21"/>
              </w:rPr>
            </w:pPr>
            <w:r>
              <w:rPr>
                <w:rFonts w:ascii="Times New Roman" w:hAnsi="Times New Roman"/>
                <w:sz w:val="21"/>
                <w:szCs w:val="21"/>
              </w:rPr>
              <w:t>正常状态下无污染问题</w:t>
            </w:r>
          </w:p>
        </w:tc>
      </w:tr>
      <w:tr w:rsidR="007D1E74" w14:paraId="1628C233" w14:textId="77777777">
        <w:trPr>
          <w:trHeight w:val="90"/>
          <w:jc w:val="center"/>
        </w:trPr>
        <w:tc>
          <w:tcPr>
            <w:tcW w:w="389" w:type="dxa"/>
            <w:vMerge/>
            <w:tcBorders>
              <w:top w:val="single" w:sz="4" w:space="0" w:color="auto"/>
              <w:left w:val="single" w:sz="4" w:space="0" w:color="auto"/>
              <w:bottom w:val="single" w:sz="4" w:space="0" w:color="auto"/>
              <w:right w:val="single" w:sz="4" w:space="0" w:color="auto"/>
              <w:tl2br w:val="nil"/>
              <w:tr2bl w:val="nil"/>
            </w:tcBorders>
            <w:vAlign w:val="center"/>
          </w:tcPr>
          <w:p w14:paraId="68EC694B" w14:textId="77777777" w:rsidR="007D1E74" w:rsidRDefault="007D1E74">
            <w:pPr>
              <w:jc w:val="center"/>
              <w:rPr>
                <w:szCs w:val="21"/>
              </w:rPr>
            </w:pPr>
          </w:p>
        </w:tc>
        <w:tc>
          <w:tcPr>
            <w:tcW w:w="887" w:type="dxa"/>
            <w:tcBorders>
              <w:top w:val="single" w:sz="4" w:space="0" w:color="auto"/>
              <w:left w:val="single" w:sz="4" w:space="0" w:color="auto"/>
              <w:bottom w:val="single" w:sz="4" w:space="0" w:color="auto"/>
              <w:right w:val="single" w:sz="4" w:space="0" w:color="auto"/>
              <w:tl2br w:val="nil"/>
              <w:tr2bl w:val="nil"/>
            </w:tcBorders>
            <w:vAlign w:val="center"/>
          </w:tcPr>
          <w:p w14:paraId="50903F8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标志桩、转角桩、警示牌</w:t>
            </w:r>
          </w:p>
        </w:tc>
        <w:tc>
          <w:tcPr>
            <w:tcW w:w="5812" w:type="dxa"/>
            <w:gridSpan w:val="2"/>
            <w:tcBorders>
              <w:top w:val="single" w:sz="4" w:space="0" w:color="auto"/>
              <w:left w:val="single" w:sz="4" w:space="0" w:color="auto"/>
              <w:bottom w:val="single" w:sz="4" w:space="0" w:color="auto"/>
              <w:right w:val="single" w:sz="4" w:space="0" w:color="auto"/>
              <w:tl2br w:val="nil"/>
              <w:tr2bl w:val="nil"/>
            </w:tcBorders>
          </w:tcPr>
          <w:p w14:paraId="48E22F2E" w14:textId="77777777" w:rsidR="007D1E74" w:rsidRDefault="00A95641">
            <w:pPr>
              <w:pStyle w:val="TableParagraph"/>
              <w:adjustRightInd/>
              <w:rPr>
                <w:rFonts w:ascii="Times New Roman" w:hAnsi="Times New Roman"/>
                <w:sz w:val="21"/>
                <w:szCs w:val="21"/>
              </w:rPr>
            </w:pPr>
            <w:r>
              <w:rPr>
                <w:rFonts w:ascii="Times New Roman" w:hAnsi="Times New Roman"/>
                <w:b/>
                <w:sz w:val="21"/>
                <w:szCs w:val="21"/>
              </w:rPr>
              <w:t>里程桩：</w:t>
            </w:r>
            <w:r>
              <w:rPr>
                <w:rFonts w:ascii="Times New Roman" w:hAnsi="Times New Roman"/>
                <w:sz w:val="21"/>
                <w:szCs w:val="21"/>
              </w:rPr>
              <w:t>每公里设一个，一般与阴极保护桩合用，本项目共计</w:t>
            </w:r>
            <w:r>
              <w:rPr>
                <w:rFonts w:ascii="Times New Roman" w:hAnsi="Times New Roman"/>
                <w:sz w:val="21"/>
                <w:szCs w:val="21"/>
              </w:rPr>
              <w:t>37</w:t>
            </w:r>
            <w:r>
              <w:rPr>
                <w:rFonts w:ascii="Times New Roman" w:hAnsi="Times New Roman"/>
                <w:sz w:val="21"/>
                <w:szCs w:val="21"/>
              </w:rPr>
              <w:t>个里程桩；</w:t>
            </w:r>
          </w:p>
          <w:p w14:paraId="2838CB55" w14:textId="77777777" w:rsidR="007D1E74" w:rsidRDefault="00A95641">
            <w:pPr>
              <w:pStyle w:val="TableParagraph"/>
              <w:adjustRightInd/>
              <w:rPr>
                <w:rFonts w:ascii="Times New Roman" w:hAnsi="Times New Roman"/>
                <w:sz w:val="21"/>
                <w:szCs w:val="21"/>
              </w:rPr>
            </w:pPr>
            <w:r>
              <w:rPr>
                <w:rFonts w:ascii="Times New Roman" w:hAnsi="Times New Roman"/>
                <w:b/>
                <w:sz w:val="21"/>
                <w:szCs w:val="21"/>
              </w:rPr>
              <w:t>转角桩：</w:t>
            </w:r>
            <w:r>
              <w:rPr>
                <w:rFonts w:ascii="Times New Roman" w:hAnsi="Times New Roman"/>
                <w:spacing w:val="-3"/>
                <w:sz w:val="21"/>
                <w:szCs w:val="21"/>
              </w:rPr>
              <w:t>管道水平改变方向的位置，转角角度大于等于</w:t>
            </w:r>
            <w:r>
              <w:rPr>
                <w:rFonts w:ascii="Times New Roman" w:hAnsi="Times New Roman"/>
                <w:sz w:val="21"/>
                <w:szCs w:val="21"/>
              </w:rPr>
              <w:t>5</w:t>
            </w:r>
            <w:r>
              <w:rPr>
                <w:rFonts w:ascii="Times New Roman" w:hAnsi="Times New Roman"/>
                <w:spacing w:val="-1"/>
                <w:sz w:val="21"/>
                <w:szCs w:val="21"/>
              </w:rPr>
              <w:t>°</w:t>
            </w:r>
            <w:r>
              <w:rPr>
                <w:rFonts w:ascii="Times New Roman" w:hAnsi="Times New Roman"/>
                <w:spacing w:val="-1"/>
                <w:sz w:val="21"/>
                <w:szCs w:val="21"/>
              </w:rPr>
              <w:t>时，设置转角桩，转角桩上标明管道里程，共</w:t>
            </w:r>
            <w:r>
              <w:rPr>
                <w:rFonts w:ascii="Times New Roman" w:hAnsi="Times New Roman"/>
                <w:spacing w:val="-3"/>
                <w:sz w:val="21"/>
                <w:szCs w:val="21"/>
              </w:rPr>
              <w:t>设置</w:t>
            </w:r>
            <w:r>
              <w:rPr>
                <w:rFonts w:ascii="Times New Roman" w:hAnsi="Times New Roman"/>
                <w:spacing w:val="-3"/>
                <w:sz w:val="21"/>
                <w:szCs w:val="21"/>
              </w:rPr>
              <w:t>156</w:t>
            </w:r>
            <w:r>
              <w:rPr>
                <w:rFonts w:ascii="Times New Roman" w:hAnsi="Times New Roman"/>
                <w:spacing w:val="-3"/>
                <w:sz w:val="21"/>
                <w:szCs w:val="21"/>
              </w:rPr>
              <w:t>个；</w:t>
            </w:r>
          </w:p>
          <w:p w14:paraId="25DD4AA1" w14:textId="77777777" w:rsidR="007D1E74" w:rsidRDefault="00A95641">
            <w:pPr>
              <w:pStyle w:val="TableParagraph"/>
              <w:adjustRightInd/>
              <w:rPr>
                <w:rFonts w:ascii="Times New Roman" w:hAnsi="Times New Roman"/>
                <w:sz w:val="21"/>
                <w:szCs w:val="21"/>
              </w:rPr>
            </w:pPr>
            <w:r>
              <w:rPr>
                <w:rFonts w:ascii="Times New Roman" w:hAnsi="Times New Roman"/>
                <w:b/>
                <w:sz w:val="21"/>
                <w:szCs w:val="21"/>
              </w:rPr>
              <w:t>穿越标志桩：</w:t>
            </w:r>
            <w:r>
              <w:rPr>
                <w:rFonts w:ascii="Times New Roman" w:hAnsi="Times New Roman"/>
                <w:sz w:val="21"/>
                <w:szCs w:val="21"/>
              </w:rPr>
              <w:t>管道穿越水域、公路处设置穿越标志桩，穿越标志桩上标明管道名称、穿越类型、公路的名称，线路里程，穿越长度，有套管的应注明套管的长度、规格和材质；穿越管道、光缆、电缆处应在交叉处两侧设置交叉标志桩，共</w:t>
            </w:r>
            <w:r>
              <w:rPr>
                <w:rFonts w:ascii="Times New Roman" w:hAnsi="Times New Roman"/>
                <w:sz w:val="21"/>
                <w:szCs w:val="21"/>
              </w:rPr>
              <w:t>83</w:t>
            </w:r>
            <w:r>
              <w:rPr>
                <w:rFonts w:ascii="Times New Roman" w:hAnsi="Times New Roman"/>
                <w:sz w:val="21"/>
                <w:szCs w:val="21"/>
              </w:rPr>
              <w:t>个；</w:t>
            </w:r>
          </w:p>
          <w:p w14:paraId="3584D8A8" w14:textId="77777777" w:rsidR="007D1E74" w:rsidRDefault="00A95641">
            <w:pPr>
              <w:pStyle w:val="TableParagraph"/>
              <w:adjustRightInd/>
              <w:rPr>
                <w:rFonts w:ascii="Times New Roman" w:hAnsi="Times New Roman"/>
                <w:sz w:val="21"/>
                <w:szCs w:val="21"/>
              </w:rPr>
            </w:pPr>
            <w:r>
              <w:rPr>
                <w:rFonts w:ascii="Times New Roman" w:hAnsi="Times New Roman"/>
                <w:b/>
                <w:sz w:val="21"/>
                <w:szCs w:val="21"/>
              </w:rPr>
              <w:t>警示牌：</w:t>
            </w:r>
            <w:r>
              <w:rPr>
                <w:rFonts w:ascii="Times New Roman" w:hAnsi="Times New Roman"/>
                <w:sz w:val="21"/>
                <w:szCs w:val="21"/>
              </w:rPr>
              <w:t>在穿越公路、沟渠、人口集中居住区设置警示牌，共</w:t>
            </w:r>
            <w:r>
              <w:rPr>
                <w:rFonts w:ascii="Times New Roman" w:hAnsi="Times New Roman"/>
                <w:sz w:val="21"/>
                <w:szCs w:val="21"/>
              </w:rPr>
              <w:lastRenderedPageBreak/>
              <w:t>41</w:t>
            </w:r>
            <w:r>
              <w:rPr>
                <w:rFonts w:ascii="Times New Roman" w:hAnsi="Times New Roman"/>
                <w:sz w:val="21"/>
                <w:szCs w:val="21"/>
              </w:rPr>
              <w:t>个；</w:t>
            </w:r>
          </w:p>
          <w:p w14:paraId="44787A86" w14:textId="77777777" w:rsidR="007D1E74" w:rsidRDefault="00A95641">
            <w:pPr>
              <w:pStyle w:val="TableParagraph"/>
              <w:adjustRightInd/>
              <w:rPr>
                <w:rFonts w:ascii="Times New Roman" w:hAnsi="Times New Roman"/>
                <w:sz w:val="21"/>
                <w:szCs w:val="21"/>
              </w:rPr>
            </w:pPr>
            <w:r>
              <w:rPr>
                <w:rFonts w:ascii="Times New Roman" w:hAnsi="Times New Roman"/>
                <w:b/>
                <w:bCs/>
                <w:sz w:val="21"/>
                <w:szCs w:val="21"/>
              </w:rPr>
              <w:t>踪迹警示带：</w:t>
            </w:r>
            <w:r>
              <w:rPr>
                <w:rFonts w:ascii="Times New Roman" w:hAnsi="Times New Roman"/>
                <w:sz w:val="21"/>
                <w:szCs w:val="21"/>
              </w:rPr>
              <w:t>金黄色，宽</w:t>
            </w:r>
            <w:r>
              <w:rPr>
                <w:rFonts w:ascii="Times New Roman" w:hAnsi="Times New Roman"/>
                <w:sz w:val="21"/>
                <w:szCs w:val="21"/>
              </w:rPr>
              <w:t>1000mm</w:t>
            </w:r>
            <w:r>
              <w:rPr>
                <w:rFonts w:ascii="Times New Roman" w:hAnsi="Times New Roman"/>
                <w:sz w:val="21"/>
                <w:szCs w:val="21"/>
              </w:rPr>
              <w:t>，合计</w:t>
            </w:r>
            <w:r>
              <w:rPr>
                <w:rFonts w:ascii="Times New Roman" w:hAnsi="Times New Roman"/>
                <w:sz w:val="21"/>
                <w:szCs w:val="21"/>
              </w:rPr>
              <w:t>29638m</w:t>
            </w:r>
            <w:r>
              <w:rPr>
                <w:rFonts w:ascii="Times New Roman" w:hAnsi="Times New Roman"/>
                <w:sz w:val="21"/>
                <w:szCs w:val="21"/>
              </w:rPr>
              <w:t>；</w:t>
            </w:r>
          </w:p>
        </w:tc>
        <w:tc>
          <w:tcPr>
            <w:tcW w:w="991" w:type="dxa"/>
            <w:vMerge/>
            <w:tcBorders>
              <w:top w:val="single" w:sz="4" w:space="0" w:color="auto"/>
              <w:left w:val="single" w:sz="4" w:space="0" w:color="auto"/>
              <w:bottom w:val="single" w:sz="4" w:space="0" w:color="auto"/>
              <w:right w:val="single" w:sz="4" w:space="0" w:color="auto"/>
              <w:tl2br w:val="nil"/>
              <w:tr2bl w:val="nil"/>
            </w:tcBorders>
            <w:vAlign w:val="center"/>
          </w:tcPr>
          <w:p w14:paraId="5D014A2F" w14:textId="77777777" w:rsidR="007D1E74" w:rsidRDefault="007D1E74">
            <w:pPr>
              <w:jc w:val="center"/>
              <w:rPr>
                <w:szCs w:val="21"/>
              </w:rPr>
            </w:pPr>
          </w:p>
        </w:tc>
        <w:tc>
          <w:tcPr>
            <w:tcW w:w="991" w:type="dxa"/>
            <w:vMerge/>
            <w:tcBorders>
              <w:top w:val="single" w:sz="4" w:space="0" w:color="auto"/>
              <w:left w:val="single" w:sz="4" w:space="0" w:color="auto"/>
              <w:bottom w:val="single" w:sz="4" w:space="0" w:color="auto"/>
              <w:right w:val="single" w:sz="4" w:space="0" w:color="auto"/>
              <w:tl2br w:val="nil"/>
              <w:tr2bl w:val="nil"/>
            </w:tcBorders>
            <w:vAlign w:val="center"/>
          </w:tcPr>
          <w:p w14:paraId="1587CF4F" w14:textId="77777777" w:rsidR="007D1E74" w:rsidRDefault="007D1E74">
            <w:pPr>
              <w:pStyle w:val="TableParagraph"/>
              <w:spacing w:before="1"/>
              <w:ind w:left="2"/>
              <w:jc w:val="center"/>
              <w:rPr>
                <w:rFonts w:ascii="Times New Roman" w:hAnsi="Times New Roman"/>
                <w:sz w:val="21"/>
                <w:szCs w:val="21"/>
              </w:rPr>
            </w:pPr>
          </w:p>
        </w:tc>
      </w:tr>
      <w:tr w:rsidR="007D1E74" w14:paraId="4A571BBB" w14:textId="77777777">
        <w:trPr>
          <w:trHeight w:val="311"/>
          <w:jc w:val="center"/>
        </w:trPr>
        <w:tc>
          <w:tcPr>
            <w:tcW w:w="389" w:type="dxa"/>
            <w:vMerge/>
            <w:tcBorders>
              <w:top w:val="single" w:sz="4" w:space="0" w:color="auto"/>
              <w:left w:val="single" w:sz="4" w:space="0" w:color="auto"/>
              <w:bottom w:val="single" w:sz="4" w:space="0" w:color="auto"/>
              <w:right w:val="single" w:sz="4" w:space="0" w:color="auto"/>
              <w:tl2br w:val="nil"/>
              <w:tr2bl w:val="nil"/>
            </w:tcBorders>
            <w:vAlign w:val="center"/>
          </w:tcPr>
          <w:p w14:paraId="34AED05B" w14:textId="77777777" w:rsidR="007D1E74" w:rsidRDefault="007D1E74">
            <w:pPr>
              <w:jc w:val="center"/>
              <w:rPr>
                <w:szCs w:val="21"/>
              </w:rPr>
            </w:pPr>
          </w:p>
        </w:tc>
        <w:tc>
          <w:tcPr>
            <w:tcW w:w="887" w:type="dxa"/>
            <w:tcBorders>
              <w:top w:val="single" w:sz="4" w:space="0" w:color="auto"/>
              <w:left w:val="single" w:sz="4" w:space="0" w:color="auto"/>
              <w:bottom w:val="single" w:sz="4" w:space="0" w:color="auto"/>
              <w:right w:val="single" w:sz="4" w:space="0" w:color="auto"/>
              <w:tl2br w:val="nil"/>
              <w:tr2bl w:val="nil"/>
            </w:tcBorders>
            <w:vAlign w:val="center"/>
          </w:tcPr>
          <w:p w14:paraId="317C04E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光缆</w:t>
            </w:r>
          </w:p>
        </w:tc>
        <w:tc>
          <w:tcPr>
            <w:tcW w:w="5812" w:type="dxa"/>
            <w:gridSpan w:val="2"/>
            <w:tcBorders>
              <w:top w:val="single" w:sz="4" w:space="0" w:color="auto"/>
              <w:left w:val="single" w:sz="4" w:space="0" w:color="auto"/>
              <w:bottom w:val="single" w:sz="4" w:space="0" w:color="auto"/>
              <w:right w:val="single" w:sz="4" w:space="0" w:color="auto"/>
              <w:tl2br w:val="nil"/>
              <w:tr2bl w:val="nil"/>
            </w:tcBorders>
          </w:tcPr>
          <w:p w14:paraId="7DD41310" w14:textId="77777777" w:rsidR="007D1E74" w:rsidRDefault="00A95641">
            <w:pPr>
              <w:pStyle w:val="TableParagraph"/>
              <w:rPr>
                <w:rFonts w:ascii="Times New Roman" w:hAnsi="Times New Roman"/>
                <w:sz w:val="21"/>
                <w:szCs w:val="21"/>
              </w:rPr>
            </w:pPr>
            <w:r>
              <w:rPr>
                <w:rFonts w:ascii="Times New Roman" w:hAnsi="Times New Roman"/>
                <w:sz w:val="21"/>
                <w:szCs w:val="21"/>
              </w:rPr>
              <w:t>随输气管道全线同沟敷设通信光缆线路，铺设长度</w:t>
            </w:r>
            <w:r>
              <w:rPr>
                <w:rFonts w:ascii="Times New Roman" w:hAnsi="Times New Roman"/>
                <w:sz w:val="21"/>
                <w:szCs w:val="21"/>
              </w:rPr>
              <w:t>40.4km</w:t>
            </w:r>
          </w:p>
        </w:tc>
        <w:tc>
          <w:tcPr>
            <w:tcW w:w="991" w:type="dxa"/>
            <w:vMerge/>
            <w:tcBorders>
              <w:top w:val="single" w:sz="4" w:space="0" w:color="auto"/>
              <w:left w:val="single" w:sz="4" w:space="0" w:color="auto"/>
              <w:bottom w:val="single" w:sz="4" w:space="0" w:color="auto"/>
              <w:right w:val="single" w:sz="4" w:space="0" w:color="auto"/>
              <w:tl2br w:val="nil"/>
              <w:tr2bl w:val="nil"/>
            </w:tcBorders>
            <w:vAlign w:val="center"/>
          </w:tcPr>
          <w:p w14:paraId="4BEC3929" w14:textId="77777777" w:rsidR="007D1E74" w:rsidRDefault="007D1E74">
            <w:pPr>
              <w:jc w:val="center"/>
              <w:rPr>
                <w:szCs w:val="21"/>
              </w:rPr>
            </w:pPr>
          </w:p>
        </w:tc>
        <w:tc>
          <w:tcPr>
            <w:tcW w:w="991" w:type="dxa"/>
            <w:vMerge/>
            <w:tcBorders>
              <w:top w:val="single" w:sz="4" w:space="0" w:color="auto"/>
              <w:left w:val="single" w:sz="4" w:space="0" w:color="auto"/>
              <w:bottom w:val="single" w:sz="4" w:space="0" w:color="auto"/>
              <w:right w:val="single" w:sz="4" w:space="0" w:color="auto"/>
              <w:tl2br w:val="nil"/>
              <w:tr2bl w:val="nil"/>
            </w:tcBorders>
            <w:vAlign w:val="center"/>
          </w:tcPr>
          <w:p w14:paraId="4059A68C" w14:textId="77777777" w:rsidR="007D1E74" w:rsidRDefault="007D1E74">
            <w:pPr>
              <w:pStyle w:val="TableParagraph"/>
              <w:spacing w:before="41"/>
              <w:ind w:left="2"/>
              <w:jc w:val="center"/>
              <w:rPr>
                <w:rFonts w:ascii="Times New Roman" w:hAnsi="Times New Roman"/>
                <w:sz w:val="21"/>
                <w:szCs w:val="21"/>
              </w:rPr>
            </w:pPr>
          </w:p>
        </w:tc>
      </w:tr>
      <w:tr w:rsidR="007D1E74" w14:paraId="2EFC0D70" w14:textId="77777777">
        <w:trPr>
          <w:trHeight w:val="411"/>
          <w:jc w:val="center"/>
        </w:trPr>
        <w:tc>
          <w:tcPr>
            <w:tcW w:w="389" w:type="dxa"/>
            <w:vMerge w:val="restart"/>
            <w:tcBorders>
              <w:top w:val="single" w:sz="4" w:space="0" w:color="auto"/>
              <w:left w:val="single" w:sz="4" w:space="0" w:color="auto"/>
              <w:bottom w:val="single" w:sz="4" w:space="0" w:color="auto"/>
              <w:right w:val="single" w:sz="4" w:space="0" w:color="auto"/>
              <w:tl2br w:val="nil"/>
              <w:tr2bl w:val="nil"/>
            </w:tcBorders>
            <w:vAlign w:val="center"/>
          </w:tcPr>
          <w:p w14:paraId="0ACFAAB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施工期辅助工程</w:t>
            </w:r>
          </w:p>
        </w:tc>
        <w:tc>
          <w:tcPr>
            <w:tcW w:w="887" w:type="dxa"/>
            <w:tcBorders>
              <w:top w:val="single" w:sz="4" w:space="0" w:color="auto"/>
              <w:left w:val="single" w:sz="4" w:space="0" w:color="auto"/>
              <w:bottom w:val="single" w:sz="4" w:space="0" w:color="auto"/>
              <w:right w:val="single" w:sz="4" w:space="0" w:color="auto"/>
              <w:tl2br w:val="nil"/>
              <w:tr2bl w:val="nil"/>
            </w:tcBorders>
            <w:vAlign w:val="center"/>
          </w:tcPr>
          <w:p w14:paraId="5BD57A9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水土保持</w:t>
            </w:r>
          </w:p>
        </w:tc>
        <w:tc>
          <w:tcPr>
            <w:tcW w:w="5812" w:type="dxa"/>
            <w:gridSpan w:val="2"/>
            <w:tcBorders>
              <w:top w:val="single" w:sz="4" w:space="0" w:color="auto"/>
              <w:left w:val="single" w:sz="4" w:space="0" w:color="auto"/>
              <w:bottom w:val="single" w:sz="4" w:space="0" w:color="auto"/>
              <w:right w:val="single" w:sz="4" w:space="0" w:color="auto"/>
              <w:tl2br w:val="nil"/>
              <w:tr2bl w:val="nil"/>
            </w:tcBorders>
          </w:tcPr>
          <w:p w14:paraId="27CC9E3E" w14:textId="77777777" w:rsidR="007D1E74" w:rsidRDefault="00A95641">
            <w:pPr>
              <w:pStyle w:val="TableParagraph"/>
              <w:adjustRightInd/>
              <w:rPr>
                <w:rFonts w:ascii="Times New Roman" w:hAnsi="Times New Roman"/>
                <w:sz w:val="21"/>
                <w:szCs w:val="21"/>
              </w:rPr>
            </w:pPr>
            <w:r>
              <w:rPr>
                <w:rFonts w:ascii="Times New Roman" w:hAnsi="Times New Roman"/>
                <w:sz w:val="21"/>
                <w:szCs w:val="21"/>
              </w:rPr>
              <w:t>做好护坡、堡坎和排水设施，在穿越沟渠时，没有护岸新修护岸，原有护岸损坏后立即恢复</w:t>
            </w:r>
          </w:p>
        </w:tc>
        <w:tc>
          <w:tcPr>
            <w:tcW w:w="991" w:type="dxa"/>
            <w:vMerge w:val="restart"/>
            <w:tcBorders>
              <w:top w:val="single" w:sz="4" w:space="0" w:color="auto"/>
              <w:left w:val="single" w:sz="4" w:space="0" w:color="auto"/>
              <w:bottom w:val="single" w:sz="4" w:space="0" w:color="auto"/>
              <w:right w:val="single" w:sz="4" w:space="0" w:color="auto"/>
              <w:tl2br w:val="nil"/>
              <w:tr2bl w:val="nil"/>
            </w:tcBorders>
            <w:vAlign w:val="center"/>
          </w:tcPr>
          <w:p w14:paraId="6FDF6A8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施工废水、扬尘、噪声、生活垃圾、建筑垃圾</w:t>
            </w:r>
          </w:p>
        </w:tc>
        <w:tc>
          <w:tcPr>
            <w:tcW w:w="991" w:type="dxa"/>
            <w:vMerge w:val="restart"/>
            <w:tcBorders>
              <w:top w:val="single" w:sz="4" w:space="0" w:color="auto"/>
              <w:left w:val="single" w:sz="4" w:space="0" w:color="auto"/>
              <w:bottom w:val="single" w:sz="4" w:space="0" w:color="auto"/>
              <w:right w:val="single" w:sz="4" w:space="0" w:color="auto"/>
              <w:tl2br w:val="nil"/>
              <w:tr2bl w:val="nil"/>
            </w:tcBorders>
            <w:vAlign w:val="center"/>
          </w:tcPr>
          <w:p w14:paraId="69063A6B" w14:textId="77777777" w:rsidR="007D1E74" w:rsidRDefault="00A95641">
            <w:pPr>
              <w:pStyle w:val="TableParagraph"/>
              <w:adjustRightInd/>
              <w:jc w:val="center"/>
              <w:rPr>
                <w:rFonts w:ascii="Times New Roman" w:hAnsi="Times New Roman"/>
                <w:sz w:val="21"/>
                <w:szCs w:val="21"/>
              </w:rPr>
            </w:pPr>
            <w:r>
              <w:rPr>
                <w:rFonts w:ascii="Times New Roman" w:hAnsi="Times New Roman"/>
                <w:spacing w:val="-3"/>
                <w:sz w:val="21"/>
                <w:szCs w:val="21"/>
              </w:rPr>
              <w:t>植被将得到一定的恢复，农田的生</w:t>
            </w:r>
            <w:r>
              <w:rPr>
                <w:rFonts w:ascii="Times New Roman" w:hAnsi="Times New Roman"/>
                <w:sz w:val="21"/>
                <w:szCs w:val="21"/>
              </w:rPr>
              <w:t>产力将得到恢</w:t>
            </w:r>
            <w:r>
              <w:rPr>
                <w:rFonts w:ascii="Times New Roman" w:hAnsi="Times New Roman"/>
                <w:sz w:val="21"/>
                <w:szCs w:val="21"/>
              </w:rPr>
              <w:t xml:space="preserve"> </w:t>
            </w:r>
            <w:r>
              <w:rPr>
                <w:rFonts w:ascii="Times New Roman" w:hAnsi="Times New Roman"/>
                <w:spacing w:val="-3"/>
                <w:sz w:val="21"/>
                <w:szCs w:val="21"/>
              </w:rPr>
              <w:t>复，水土流失将</w:t>
            </w:r>
            <w:r>
              <w:rPr>
                <w:rFonts w:ascii="Times New Roman" w:hAnsi="Times New Roman"/>
                <w:sz w:val="21"/>
                <w:szCs w:val="21"/>
              </w:rPr>
              <w:t>逐步减少</w:t>
            </w:r>
          </w:p>
        </w:tc>
      </w:tr>
      <w:tr w:rsidR="007D1E74" w14:paraId="0418766F" w14:textId="77777777">
        <w:trPr>
          <w:trHeight w:val="1353"/>
          <w:jc w:val="center"/>
        </w:trPr>
        <w:tc>
          <w:tcPr>
            <w:tcW w:w="389" w:type="dxa"/>
            <w:vMerge/>
            <w:tcBorders>
              <w:top w:val="single" w:sz="4" w:space="0" w:color="auto"/>
              <w:left w:val="single" w:sz="4" w:space="0" w:color="auto"/>
              <w:bottom w:val="single" w:sz="4" w:space="0" w:color="auto"/>
              <w:right w:val="single" w:sz="4" w:space="0" w:color="auto"/>
              <w:tl2br w:val="nil"/>
              <w:tr2bl w:val="nil"/>
            </w:tcBorders>
          </w:tcPr>
          <w:p w14:paraId="169C511D" w14:textId="77777777" w:rsidR="007D1E74" w:rsidRDefault="007D1E74">
            <w:pPr>
              <w:rPr>
                <w:szCs w:val="21"/>
              </w:rPr>
            </w:pPr>
          </w:p>
        </w:tc>
        <w:tc>
          <w:tcPr>
            <w:tcW w:w="887" w:type="dxa"/>
            <w:tcBorders>
              <w:top w:val="single" w:sz="4" w:space="0" w:color="auto"/>
              <w:left w:val="single" w:sz="4" w:space="0" w:color="auto"/>
              <w:bottom w:val="single" w:sz="4" w:space="0" w:color="auto"/>
              <w:right w:val="single" w:sz="4" w:space="0" w:color="auto"/>
              <w:tl2br w:val="nil"/>
              <w:tr2bl w:val="nil"/>
            </w:tcBorders>
            <w:vAlign w:val="center"/>
          </w:tcPr>
          <w:p w14:paraId="05E08DB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临时材料堆场</w:t>
            </w:r>
          </w:p>
        </w:tc>
        <w:tc>
          <w:tcPr>
            <w:tcW w:w="5812" w:type="dxa"/>
            <w:gridSpan w:val="2"/>
            <w:tcBorders>
              <w:top w:val="single" w:sz="4" w:space="0" w:color="auto"/>
              <w:left w:val="single" w:sz="4" w:space="0" w:color="auto"/>
              <w:bottom w:val="single" w:sz="4" w:space="0" w:color="auto"/>
              <w:right w:val="single" w:sz="4" w:space="0" w:color="auto"/>
              <w:tl2br w:val="nil"/>
              <w:tr2bl w:val="nil"/>
            </w:tcBorders>
          </w:tcPr>
          <w:p w14:paraId="12A89612" w14:textId="77777777" w:rsidR="007D1E74" w:rsidRDefault="00A95641">
            <w:pPr>
              <w:pStyle w:val="TableParagraph"/>
              <w:adjustRightInd/>
              <w:rPr>
                <w:rFonts w:ascii="Times New Roman" w:hAnsi="Times New Roman"/>
                <w:sz w:val="21"/>
                <w:szCs w:val="21"/>
              </w:rPr>
            </w:pPr>
            <w:r>
              <w:rPr>
                <w:rFonts w:ascii="Times New Roman" w:hAnsi="Times New Roman"/>
                <w:sz w:val="21"/>
                <w:szCs w:val="21"/>
              </w:rPr>
              <w:t>临时材料堆场占地共计</w:t>
            </w:r>
            <w:r>
              <w:rPr>
                <w:rFonts w:ascii="Times New Roman" w:hAnsi="Times New Roman"/>
                <w:sz w:val="21"/>
                <w:szCs w:val="21"/>
              </w:rPr>
              <w:t>450m</w:t>
            </w:r>
            <w:r>
              <w:rPr>
                <w:rFonts w:ascii="Times New Roman" w:hAnsi="Times New Roman"/>
                <w:sz w:val="21"/>
                <w:szCs w:val="21"/>
                <w:vertAlign w:val="superscript"/>
              </w:rPr>
              <w:t>2</w:t>
            </w:r>
            <w:r>
              <w:rPr>
                <w:rFonts w:ascii="Times New Roman" w:hAnsi="Times New Roman"/>
                <w:sz w:val="21"/>
                <w:szCs w:val="21"/>
              </w:rPr>
              <w:t>，用于堆放管材、设备等，其中：</w:t>
            </w:r>
          </w:p>
          <w:p w14:paraId="6891F10D" w14:textId="77777777" w:rsidR="007D1E74" w:rsidRDefault="00A95641">
            <w:pPr>
              <w:pStyle w:val="TableParagraph"/>
              <w:adjustRightInd/>
              <w:rPr>
                <w:rFonts w:ascii="Times New Roman" w:hAnsi="Times New Roman"/>
                <w:sz w:val="21"/>
                <w:szCs w:val="21"/>
              </w:rPr>
            </w:pPr>
            <w:r>
              <w:rPr>
                <w:rFonts w:ascii="宋体" w:hAnsi="宋体" w:cs="宋体" w:hint="eastAsia"/>
                <w:sz w:val="21"/>
                <w:szCs w:val="21"/>
              </w:rPr>
              <w:t>①</w:t>
            </w:r>
            <w:r>
              <w:rPr>
                <w:rFonts w:ascii="Times New Roman" w:hAnsi="Times New Roman"/>
                <w:sz w:val="21"/>
                <w:szCs w:val="21"/>
              </w:rPr>
              <w:t>马</w:t>
            </w:r>
            <w:r>
              <w:rPr>
                <w:rFonts w:ascii="Times New Roman" w:hAnsi="Times New Roman"/>
                <w:sz w:val="21"/>
                <w:szCs w:val="21"/>
              </w:rPr>
              <w:t>1-10H</w:t>
            </w:r>
            <w:r>
              <w:rPr>
                <w:rFonts w:ascii="Times New Roman" w:hAnsi="Times New Roman"/>
                <w:sz w:val="21"/>
                <w:szCs w:val="21"/>
              </w:rPr>
              <w:t>采气井场至马</w:t>
            </w:r>
            <w:r>
              <w:rPr>
                <w:rFonts w:ascii="Times New Roman" w:hAnsi="Times New Roman"/>
                <w:sz w:val="21"/>
                <w:szCs w:val="21"/>
              </w:rPr>
              <w:t>1-1</w:t>
            </w:r>
            <w:r>
              <w:rPr>
                <w:rFonts w:ascii="Times New Roman" w:hAnsi="Times New Roman"/>
                <w:sz w:val="21"/>
                <w:szCs w:val="21"/>
              </w:rPr>
              <w:t>集气支线设置</w:t>
            </w:r>
            <w:r>
              <w:rPr>
                <w:rFonts w:ascii="Times New Roman" w:hAnsi="Times New Roman"/>
                <w:sz w:val="21"/>
                <w:szCs w:val="21"/>
              </w:rPr>
              <w:t>1</w:t>
            </w:r>
            <w:r>
              <w:rPr>
                <w:rFonts w:ascii="Times New Roman" w:hAnsi="Times New Roman"/>
                <w:sz w:val="21"/>
                <w:szCs w:val="21"/>
              </w:rPr>
              <w:t>处临时材料堆场，占地面积约</w:t>
            </w:r>
            <w:r>
              <w:rPr>
                <w:rFonts w:ascii="Times New Roman" w:hAnsi="Times New Roman"/>
                <w:sz w:val="21"/>
                <w:szCs w:val="21"/>
              </w:rPr>
              <w:t>265m</w:t>
            </w:r>
            <w:r>
              <w:rPr>
                <w:rFonts w:ascii="Times New Roman" w:hAnsi="Times New Roman"/>
                <w:sz w:val="21"/>
                <w:szCs w:val="21"/>
                <w:vertAlign w:val="superscript"/>
              </w:rPr>
              <w:t>2</w:t>
            </w:r>
            <w:r>
              <w:rPr>
                <w:rFonts w:ascii="Times New Roman" w:hAnsi="Times New Roman"/>
                <w:sz w:val="21"/>
                <w:szCs w:val="21"/>
              </w:rPr>
              <w:t>；</w:t>
            </w:r>
          </w:p>
          <w:p w14:paraId="41D9689F" w14:textId="77777777" w:rsidR="007D1E74" w:rsidRDefault="00A95641">
            <w:pPr>
              <w:pStyle w:val="TableParagraph"/>
              <w:adjustRightInd/>
              <w:rPr>
                <w:rFonts w:ascii="Times New Roman" w:hAnsi="Times New Roman"/>
                <w:sz w:val="21"/>
                <w:szCs w:val="21"/>
              </w:rPr>
            </w:pPr>
            <w:r>
              <w:rPr>
                <w:rFonts w:ascii="宋体" w:hAnsi="宋体" w:cs="宋体" w:hint="eastAsia"/>
                <w:sz w:val="21"/>
                <w:szCs w:val="21"/>
              </w:rPr>
              <w:t>②</w:t>
            </w:r>
            <w:r>
              <w:rPr>
                <w:rFonts w:ascii="Times New Roman" w:hAnsi="Times New Roman"/>
                <w:sz w:val="21"/>
                <w:szCs w:val="21"/>
              </w:rPr>
              <w:t>马</w:t>
            </w:r>
            <w:r>
              <w:rPr>
                <w:rFonts w:ascii="Times New Roman" w:hAnsi="Times New Roman"/>
                <w:sz w:val="21"/>
                <w:szCs w:val="21"/>
              </w:rPr>
              <w:t>1-1</w:t>
            </w:r>
            <w:r>
              <w:rPr>
                <w:rFonts w:ascii="Times New Roman" w:hAnsi="Times New Roman"/>
                <w:sz w:val="21"/>
                <w:szCs w:val="21"/>
              </w:rPr>
              <w:t>采气井场至干线设置</w:t>
            </w:r>
            <w:r>
              <w:rPr>
                <w:rFonts w:ascii="Times New Roman" w:hAnsi="Times New Roman"/>
                <w:sz w:val="21"/>
                <w:szCs w:val="21"/>
              </w:rPr>
              <w:t>1</w:t>
            </w:r>
            <w:r>
              <w:rPr>
                <w:rFonts w:ascii="Times New Roman" w:hAnsi="Times New Roman"/>
                <w:sz w:val="21"/>
                <w:szCs w:val="21"/>
              </w:rPr>
              <w:t>处临时材料堆场，占地面积约</w:t>
            </w:r>
            <w:r>
              <w:rPr>
                <w:rFonts w:ascii="Times New Roman" w:hAnsi="Times New Roman"/>
                <w:sz w:val="21"/>
                <w:szCs w:val="21"/>
              </w:rPr>
              <w:t>120m</w:t>
            </w:r>
            <w:r>
              <w:rPr>
                <w:rFonts w:ascii="Times New Roman" w:hAnsi="Times New Roman"/>
                <w:sz w:val="21"/>
                <w:szCs w:val="21"/>
                <w:vertAlign w:val="superscript"/>
              </w:rPr>
              <w:t>2</w:t>
            </w:r>
            <w:r>
              <w:rPr>
                <w:rFonts w:ascii="Times New Roman" w:hAnsi="Times New Roman"/>
                <w:sz w:val="21"/>
                <w:szCs w:val="21"/>
              </w:rPr>
              <w:t>；</w:t>
            </w:r>
          </w:p>
          <w:p w14:paraId="4C8F80FD" w14:textId="77777777" w:rsidR="007D1E74" w:rsidRDefault="00A95641">
            <w:pPr>
              <w:pStyle w:val="TableParagraph"/>
              <w:adjustRightInd/>
              <w:rPr>
                <w:rFonts w:ascii="Times New Roman" w:hAnsi="Times New Roman"/>
                <w:sz w:val="21"/>
                <w:szCs w:val="21"/>
              </w:rPr>
            </w:pPr>
            <w:r>
              <w:rPr>
                <w:rFonts w:ascii="宋体" w:hAnsi="宋体" w:cs="宋体" w:hint="eastAsia"/>
                <w:sz w:val="21"/>
                <w:szCs w:val="21"/>
              </w:rPr>
              <w:t>③</w:t>
            </w:r>
            <w:r>
              <w:rPr>
                <w:rFonts w:ascii="Times New Roman" w:hAnsi="Times New Roman"/>
                <w:sz w:val="21"/>
                <w:szCs w:val="21"/>
              </w:rPr>
              <w:t>马</w:t>
            </w:r>
            <w:r>
              <w:rPr>
                <w:rFonts w:ascii="Times New Roman" w:hAnsi="Times New Roman"/>
                <w:sz w:val="21"/>
                <w:szCs w:val="21"/>
              </w:rPr>
              <w:t>1-13H</w:t>
            </w:r>
            <w:r>
              <w:rPr>
                <w:rFonts w:ascii="Times New Roman" w:hAnsi="Times New Roman"/>
                <w:sz w:val="21"/>
                <w:szCs w:val="21"/>
              </w:rPr>
              <w:t>采气井场至干线设置</w:t>
            </w:r>
            <w:r>
              <w:rPr>
                <w:rFonts w:ascii="Times New Roman" w:hAnsi="Times New Roman"/>
                <w:sz w:val="21"/>
                <w:szCs w:val="21"/>
              </w:rPr>
              <w:t>1</w:t>
            </w:r>
            <w:r>
              <w:rPr>
                <w:rFonts w:ascii="Times New Roman" w:hAnsi="Times New Roman"/>
                <w:sz w:val="21"/>
                <w:szCs w:val="21"/>
              </w:rPr>
              <w:t>处临时材料堆场，占地面积约</w:t>
            </w:r>
            <w:r>
              <w:rPr>
                <w:rFonts w:ascii="Times New Roman" w:hAnsi="Times New Roman"/>
                <w:sz w:val="21"/>
                <w:szCs w:val="21"/>
              </w:rPr>
              <w:t>65m</w:t>
            </w:r>
            <w:r>
              <w:rPr>
                <w:rFonts w:ascii="Times New Roman" w:hAnsi="Times New Roman"/>
                <w:sz w:val="21"/>
                <w:szCs w:val="21"/>
                <w:vertAlign w:val="superscript"/>
              </w:rPr>
              <w:t>2</w:t>
            </w:r>
            <w:r>
              <w:rPr>
                <w:rFonts w:ascii="Times New Roman" w:hAnsi="Times New Roman"/>
                <w:sz w:val="21"/>
                <w:szCs w:val="21"/>
              </w:rPr>
              <w:t>；</w:t>
            </w:r>
          </w:p>
        </w:tc>
        <w:tc>
          <w:tcPr>
            <w:tcW w:w="991" w:type="dxa"/>
            <w:vMerge/>
            <w:tcBorders>
              <w:top w:val="single" w:sz="4" w:space="0" w:color="auto"/>
              <w:left w:val="single" w:sz="4" w:space="0" w:color="auto"/>
              <w:bottom w:val="single" w:sz="4" w:space="0" w:color="auto"/>
              <w:right w:val="single" w:sz="4" w:space="0" w:color="auto"/>
              <w:tl2br w:val="nil"/>
              <w:tr2bl w:val="nil"/>
            </w:tcBorders>
            <w:vAlign w:val="center"/>
          </w:tcPr>
          <w:p w14:paraId="385452F6" w14:textId="77777777" w:rsidR="007D1E74" w:rsidRDefault="007D1E74">
            <w:pPr>
              <w:jc w:val="center"/>
              <w:rPr>
                <w:szCs w:val="21"/>
              </w:rPr>
            </w:pPr>
          </w:p>
        </w:tc>
        <w:tc>
          <w:tcPr>
            <w:tcW w:w="991" w:type="dxa"/>
            <w:vMerge/>
            <w:tcBorders>
              <w:top w:val="single" w:sz="4" w:space="0" w:color="auto"/>
              <w:left w:val="single" w:sz="4" w:space="0" w:color="auto"/>
              <w:bottom w:val="single" w:sz="4" w:space="0" w:color="auto"/>
              <w:right w:val="single" w:sz="4" w:space="0" w:color="auto"/>
              <w:tl2br w:val="nil"/>
              <w:tr2bl w:val="nil"/>
            </w:tcBorders>
            <w:vAlign w:val="center"/>
          </w:tcPr>
          <w:p w14:paraId="15FF742C" w14:textId="77777777" w:rsidR="007D1E74" w:rsidRDefault="007D1E74">
            <w:pPr>
              <w:pStyle w:val="TableParagraph"/>
              <w:adjustRightInd/>
              <w:jc w:val="center"/>
              <w:rPr>
                <w:rFonts w:ascii="Times New Roman" w:hAnsi="Times New Roman"/>
                <w:sz w:val="21"/>
                <w:szCs w:val="21"/>
              </w:rPr>
            </w:pPr>
          </w:p>
        </w:tc>
      </w:tr>
      <w:tr w:rsidR="007D1E74" w14:paraId="139D9936" w14:textId="77777777">
        <w:trPr>
          <w:trHeight w:val="90"/>
          <w:jc w:val="center"/>
        </w:trPr>
        <w:tc>
          <w:tcPr>
            <w:tcW w:w="389" w:type="dxa"/>
            <w:vMerge/>
            <w:tcBorders>
              <w:top w:val="single" w:sz="4" w:space="0" w:color="auto"/>
              <w:left w:val="single" w:sz="4" w:space="0" w:color="auto"/>
              <w:bottom w:val="single" w:sz="4" w:space="0" w:color="auto"/>
              <w:right w:val="single" w:sz="4" w:space="0" w:color="auto"/>
              <w:tl2br w:val="nil"/>
              <w:tr2bl w:val="nil"/>
            </w:tcBorders>
          </w:tcPr>
          <w:p w14:paraId="39842783" w14:textId="77777777" w:rsidR="007D1E74" w:rsidRDefault="007D1E74">
            <w:pPr>
              <w:rPr>
                <w:szCs w:val="21"/>
              </w:rPr>
            </w:pPr>
          </w:p>
        </w:tc>
        <w:tc>
          <w:tcPr>
            <w:tcW w:w="887" w:type="dxa"/>
            <w:tcBorders>
              <w:top w:val="single" w:sz="4" w:space="0" w:color="auto"/>
              <w:left w:val="single" w:sz="4" w:space="0" w:color="auto"/>
              <w:bottom w:val="single" w:sz="4" w:space="0" w:color="auto"/>
              <w:right w:val="single" w:sz="4" w:space="0" w:color="auto"/>
              <w:tl2br w:val="nil"/>
              <w:tr2bl w:val="nil"/>
            </w:tcBorders>
            <w:vAlign w:val="center"/>
          </w:tcPr>
          <w:p w14:paraId="1DECA65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施工便道</w:t>
            </w:r>
          </w:p>
        </w:tc>
        <w:tc>
          <w:tcPr>
            <w:tcW w:w="5812" w:type="dxa"/>
            <w:gridSpan w:val="2"/>
            <w:tcBorders>
              <w:top w:val="single" w:sz="4" w:space="0" w:color="auto"/>
              <w:left w:val="single" w:sz="4" w:space="0" w:color="auto"/>
              <w:bottom w:val="single" w:sz="4" w:space="0" w:color="auto"/>
              <w:right w:val="single" w:sz="4" w:space="0" w:color="auto"/>
              <w:tl2br w:val="nil"/>
              <w:tr2bl w:val="nil"/>
            </w:tcBorders>
          </w:tcPr>
          <w:p w14:paraId="1AB6BBC4" w14:textId="77777777" w:rsidR="007D1E74" w:rsidRDefault="00A95641">
            <w:pPr>
              <w:pStyle w:val="TableParagraph"/>
              <w:adjustRightInd/>
              <w:rPr>
                <w:rFonts w:ascii="Times New Roman" w:hAnsi="Times New Roman"/>
                <w:sz w:val="21"/>
                <w:szCs w:val="21"/>
              </w:rPr>
            </w:pPr>
            <w:r>
              <w:rPr>
                <w:rFonts w:ascii="Times New Roman" w:hAnsi="Times New Roman"/>
                <w:sz w:val="21"/>
                <w:szCs w:val="21"/>
              </w:rPr>
              <w:t>充分利用现有乡村道路和省道，局部困难路段修建或改建施工便道，通过挖填路基，建必要的护坡挡土墙、边沟等，施工便道</w:t>
            </w:r>
            <w:r>
              <w:rPr>
                <w:rFonts w:ascii="Times New Roman" w:hAnsi="Times New Roman"/>
                <w:sz w:val="21"/>
                <w:szCs w:val="21"/>
              </w:rPr>
              <w:t>2km</w:t>
            </w:r>
            <w:r>
              <w:rPr>
                <w:rFonts w:ascii="Times New Roman" w:hAnsi="Times New Roman"/>
                <w:sz w:val="21"/>
                <w:szCs w:val="21"/>
              </w:rPr>
              <w:t>，全部为新建。</w:t>
            </w:r>
          </w:p>
        </w:tc>
        <w:tc>
          <w:tcPr>
            <w:tcW w:w="991" w:type="dxa"/>
            <w:vMerge/>
            <w:tcBorders>
              <w:top w:val="single" w:sz="4" w:space="0" w:color="auto"/>
              <w:left w:val="single" w:sz="4" w:space="0" w:color="auto"/>
              <w:bottom w:val="single" w:sz="4" w:space="0" w:color="auto"/>
              <w:right w:val="single" w:sz="4" w:space="0" w:color="auto"/>
              <w:tl2br w:val="nil"/>
              <w:tr2bl w:val="nil"/>
            </w:tcBorders>
            <w:vAlign w:val="center"/>
          </w:tcPr>
          <w:p w14:paraId="6F4E0559" w14:textId="77777777" w:rsidR="007D1E74" w:rsidRDefault="007D1E74">
            <w:pPr>
              <w:jc w:val="center"/>
              <w:rPr>
                <w:szCs w:val="21"/>
              </w:rPr>
            </w:pPr>
          </w:p>
        </w:tc>
        <w:tc>
          <w:tcPr>
            <w:tcW w:w="991" w:type="dxa"/>
            <w:vMerge/>
            <w:tcBorders>
              <w:top w:val="single" w:sz="4" w:space="0" w:color="auto"/>
              <w:left w:val="single" w:sz="4" w:space="0" w:color="auto"/>
              <w:bottom w:val="single" w:sz="4" w:space="0" w:color="auto"/>
              <w:right w:val="single" w:sz="4" w:space="0" w:color="auto"/>
              <w:tl2br w:val="nil"/>
              <w:tr2bl w:val="nil"/>
            </w:tcBorders>
            <w:vAlign w:val="center"/>
          </w:tcPr>
          <w:p w14:paraId="1F301B8C" w14:textId="77777777" w:rsidR="007D1E74" w:rsidRDefault="007D1E74">
            <w:pPr>
              <w:pStyle w:val="TableParagraph"/>
              <w:adjustRightInd/>
              <w:jc w:val="center"/>
              <w:rPr>
                <w:rFonts w:ascii="Times New Roman" w:hAnsi="Times New Roman"/>
                <w:sz w:val="21"/>
                <w:szCs w:val="21"/>
              </w:rPr>
            </w:pPr>
          </w:p>
        </w:tc>
      </w:tr>
      <w:tr w:rsidR="007D1E74" w14:paraId="0BDF5F1B" w14:textId="77777777">
        <w:trPr>
          <w:trHeight w:val="90"/>
          <w:jc w:val="center"/>
        </w:trPr>
        <w:tc>
          <w:tcPr>
            <w:tcW w:w="389" w:type="dxa"/>
            <w:vMerge/>
            <w:tcBorders>
              <w:top w:val="single" w:sz="4" w:space="0" w:color="auto"/>
              <w:left w:val="single" w:sz="4" w:space="0" w:color="auto"/>
              <w:bottom w:val="single" w:sz="4" w:space="0" w:color="auto"/>
              <w:right w:val="single" w:sz="4" w:space="0" w:color="auto"/>
              <w:tl2br w:val="nil"/>
              <w:tr2bl w:val="nil"/>
            </w:tcBorders>
          </w:tcPr>
          <w:p w14:paraId="200B6DCF" w14:textId="77777777" w:rsidR="007D1E74" w:rsidRDefault="007D1E74">
            <w:pPr>
              <w:rPr>
                <w:szCs w:val="21"/>
              </w:rPr>
            </w:pPr>
          </w:p>
        </w:tc>
        <w:tc>
          <w:tcPr>
            <w:tcW w:w="887" w:type="dxa"/>
            <w:tcBorders>
              <w:top w:val="single" w:sz="4" w:space="0" w:color="auto"/>
              <w:left w:val="single" w:sz="4" w:space="0" w:color="auto"/>
              <w:bottom w:val="single" w:sz="4" w:space="0" w:color="auto"/>
              <w:right w:val="single" w:sz="4" w:space="0" w:color="auto"/>
              <w:tl2br w:val="nil"/>
              <w:tr2bl w:val="nil"/>
            </w:tcBorders>
            <w:vAlign w:val="center"/>
          </w:tcPr>
          <w:p w14:paraId="718052B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施工营地</w:t>
            </w:r>
          </w:p>
        </w:tc>
        <w:tc>
          <w:tcPr>
            <w:tcW w:w="5812" w:type="dxa"/>
            <w:gridSpan w:val="2"/>
            <w:tcBorders>
              <w:top w:val="single" w:sz="4" w:space="0" w:color="auto"/>
              <w:left w:val="single" w:sz="4" w:space="0" w:color="auto"/>
              <w:bottom w:val="single" w:sz="4" w:space="0" w:color="auto"/>
              <w:right w:val="single" w:sz="4" w:space="0" w:color="auto"/>
              <w:tl2br w:val="nil"/>
              <w:tr2bl w:val="nil"/>
            </w:tcBorders>
            <w:vAlign w:val="center"/>
          </w:tcPr>
          <w:p w14:paraId="62F269B5" w14:textId="77777777" w:rsidR="007D1E74" w:rsidRDefault="00A95641">
            <w:pPr>
              <w:pStyle w:val="TableParagraph"/>
              <w:adjustRightInd/>
              <w:jc w:val="both"/>
              <w:rPr>
                <w:rFonts w:ascii="Times New Roman" w:hAnsi="Times New Roman"/>
                <w:sz w:val="21"/>
                <w:szCs w:val="21"/>
              </w:rPr>
            </w:pPr>
            <w:r>
              <w:rPr>
                <w:rFonts w:ascii="Times New Roman" w:hAnsi="Times New Roman"/>
                <w:sz w:val="21"/>
                <w:szCs w:val="21"/>
              </w:rPr>
              <w:t>项目不设营地，施工员工生活租用附近居民房</w:t>
            </w:r>
          </w:p>
        </w:tc>
        <w:tc>
          <w:tcPr>
            <w:tcW w:w="991" w:type="dxa"/>
            <w:vMerge/>
            <w:tcBorders>
              <w:top w:val="single" w:sz="4" w:space="0" w:color="auto"/>
              <w:left w:val="single" w:sz="4" w:space="0" w:color="auto"/>
              <w:bottom w:val="single" w:sz="4" w:space="0" w:color="auto"/>
              <w:right w:val="single" w:sz="4" w:space="0" w:color="auto"/>
              <w:tl2br w:val="nil"/>
              <w:tr2bl w:val="nil"/>
            </w:tcBorders>
            <w:vAlign w:val="center"/>
          </w:tcPr>
          <w:p w14:paraId="08CE312E" w14:textId="77777777" w:rsidR="007D1E74" w:rsidRDefault="007D1E74">
            <w:pPr>
              <w:jc w:val="center"/>
              <w:rPr>
                <w:szCs w:val="21"/>
              </w:rPr>
            </w:pPr>
          </w:p>
        </w:tc>
        <w:tc>
          <w:tcPr>
            <w:tcW w:w="991" w:type="dxa"/>
            <w:vMerge/>
            <w:tcBorders>
              <w:top w:val="single" w:sz="4" w:space="0" w:color="auto"/>
              <w:left w:val="single" w:sz="4" w:space="0" w:color="auto"/>
              <w:bottom w:val="single" w:sz="4" w:space="0" w:color="auto"/>
              <w:right w:val="single" w:sz="4" w:space="0" w:color="auto"/>
              <w:tl2br w:val="nil"/>
              <w:tr2bl w:val="nil"/>
            </w:tcBorders>
            <w:vAlign w:val="center"/>
          </w:tcPr>
          <w:p w14:paraId="69415ED1" w14:textId="77777777" w:rsidR="007D1E74" w:rsidRDefault="007D1E74">
            <w:pPr>
              <w:pStyle w:val="TableParagraph"/>
              <w:adjustRightInd/>
              <w:jc w:val="center"/>
              <w:rPr>
                <w:rFonts w:ascii="Times New Roman" w:hAnsi="Times New Roman"/>
                <w:sz w:val="21"/>
                <w:szCs w:val="21"/>
              </w:rPr>
            </w:pPr>
          </w:p>
        </w:tc>
      </w:tr>
      <w:tr w:rsidR="007D1E74" w14:paraId="6C3658B3" w14:textId="77777777">
        <w:trPr>
          <w:trHeight w:val="615"/>
          <w:jc w:val="center"/>
        </w:trPr>
        <w:tc>
          <w:tcPr>
            <w:tcW w:w="389" w:type="dxa"/>
            <w:tcBorders>
              <w:top w:val="single" w:sz="4" w:space="0" w:color="auto"/>
              <w:left w:val="single" w:sz="4" w:space="0" w:color="auto"/>
              <w:bottom w:val="single" w:sz="4" w:space="0" w:color="auto"/>
              <w:right w:val="single" w:sz="4" w:space="0" w:color="auto"/>
              <w:tl2br w:val="nil"/>
              <w:tr2bl w:val="nil"/>
            </w:tcBorders>
            <w:vAlign w:val="center"/>
          </w:tcPr>
          <w:p w14:paraId="135046D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工程</w:t>
            </w:r>
          </w:p>
          <w:p w14:paraId="09BB144E"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占地</w:t>
            </w:r>
          </w:p>
        </w:tc>
        <w:tc>
          <w:tcPr>
            <w:tcW w:w="6699" w:type="dxa"/>
            <w:gridSpan w:val="3"/>
            <w:tcBorders>
              <w:top w:val="single" w:sz="4" w:space="0" w:color="auto"/>
              <w:left w:val="single" w:sz="4" w:space="0" w:color="auto"/>
              <w:bottom w:val="single" w:sz="4" w:space="0" w:color="auto"/>
              <w:right w:val="single" w:sz="4" w:space="0" w:color="auto"/>
              <w:tl2br w:val="nil"/>
              <w:tr2bl w:val="nil"/>
            </w:tcBorders>
          </w:tcPr>
          <w:p w14:paraId="6906B885" w14:textId="77777777" w:rsidR="007D1E74" w:rsidRDefault="00A95641">
            <w:pPr>
              <w:spacing w:before="28"/>
              <w:ind w:right="37"/>
              <w:jc w:val="left"/>
              <w:rPr>
                <w:szCs w:val="21"/>
              </w:rPr>
            </w:pPr>
            <w:r>
              <w:rPr>
                <w:szCs w:val="21"/>
              </w:rPr>
              <w:t>总占地</w:t>
            </w:r>
            <w:r>
              <w:rPr>
                <w:szCs w:val="21"/>
              </w:rPr>
              <w:t>37.0069hm</w:t>
            </w:r>
            <w:r>
              <w:rPr>
                <w:szCs w:val="21"/>
                <w:vertAlign w:val="superscript"/>
              </w:rPr>
              <w:t>2</w:t>
            </w:r>
          </w:p>
          <w:p w14:paraId="41E1AB65" w14:textId="77777777" w:rsidR="007D1E74" w:rsidRDefault="00A95641">
            <w:pPr>
              <w:spacing w:before="28"/>
              <w:ind w:right="37"/>
              <w:jc w:val="left"/>
              <w:rPr>
                <w:szCs w:val="21"/>
              </w:rPr>
            </w:pPr>
            <w:r>
              <w:rPr>
                <w:szCs w:val="21"/>
              </w:rPr>
              <w:t>其中临时占地：施工作业带、施工便道、临时材料堆场等，合计</w:t>
            </w:r>
            <w:r>
              <w:rPr>
                <w:szCs w:val="21"/>
              </w:rPr>
              <w:t>36.8970hm</w:t>
            </w:r>
            <w:r>
              <w:rPr>
                <w:szCs w:val="21"/>
                <w:vertAlign w:val="superscript"/>
              </w:rPr>
              <w:t>2</w:t>
            </w:r>
            <w:r>
              <w:rPr>
                <w:szCs w:val="21"/>
              </w:rPr>
              <w:t>。待施工期结束后，恢复临时占地原有土地功能。</w:t>
            </w:r>
          </w:p>
          <w:p w14:paraId="09791CCF" w14:textId="77777777" w:rsidR="007D1E74" w:rsidRDefault="00A95641">
            <w:pPr>
              <w:jc w:val="left"/>
              <w:rPr>
                <w:szCs w:val="21"/>
              </w:rPr>
            </w:pPr>
            <w:r>
              <w:rPr>
                <w:szCs w:val="21"/>
              </w:rPr>
              <w:t>永久占地：里程桩、转角桩、穿越标志桩、警示牌等零散占地约</w:t>
            </w:r>
            <w:r>
              <w:rPr>
                <w:szCs w:val="21"/>
              </w:rPr>
              <w:t>1099m</w:t>
            </w:r>
            <w:r>
              <w:rPr>
                <w:szCs w:val="21"/>
                <w:vertAlign w:val="superscript"/>
              </w:rPr>
              <w:t>2</w:t>
            </w:r>
          </w:p>
        </w:tc>
        <w:tc>
          <w:tcPr>
            <w:tcW w:w="991" w:type="dxa"/>
            <w:vMerge/>
            <w:tcBorders>
              <w:top w:val="single" w:sz="4" w:space="0" w:color="auto"/>
              <w:left w:val="single" w:sz="4" w:space="0" w:color="auto"/>
              <w:bottom w:val="single" w:sz="4" w:space="0" w:color="auto"/>
              <w:right w:val="single" w:sz="4" w:space="0" w:color="auto"/>
              <w:tl2br w:val="nil"/>
              <w:tr2bl w:val="nil"/>
            </w:tcBorders>
            <w:vAlign w:val="center"/>
          </w:tcPr>
          <w:p w14:paraId="0652DFE2" w14:textId="77777777" w:rsidR="007D1E74" w:rsidRDefault="007D1E74">
            <w:pPr>
              <w:jc w:val="center"/>
              <w:rPr>
                <w:szCs w:val="21"/>
              </w:rPr>
            </w:pPr>
          </w:p>
        </w:tc>
        <w:tc>
          <w:tcPr>
            <w:tcW w:w="991" w:type="dxa"/>
            <w:vMerge/>
            <w:tcBorders>
              <w:top w:val="single" w:sz="4" w:space="0" w:color="auto"/>
              <w:left w:val="single" w:sz="4" w:space="0" w:color="auto"/>
              <w:bottom w:val="single" w:sz="4" w:space="0" w:color="auto"/>
              <w:right w:val="single" w:sz="4" w:space="0" w:color="auto"/>
              <w:tl2br w:val="nil"/>
              <w:tr2bl w:val="nil"/>
            </w:tcBorders>
            <w:vAlign w:val="center"/>
          </w:tcPr>
          <w:p w14:paraId="34639ACC" w14:textId="77777777" w:rsidR="007D1E74" w:rsidRDefault="007D1E74">
            <w:pPr>
              <w:pStyle w:val="TableParagraph"/>
              <w:adjustRightInd/>
              <w:jc w:val="center"/>
              <w:rPr>
                <w:rFonts w:ascii="Times New Roman" w:hAnsi="Times New Roman"/>
                <w:sz w:val="21"/>
                <w:szCs w:val="21"/>
              </w:rPr>
            </w:pPr>
          </w:p>
        </w:tc>
      </w:tr>
    </w:tbl>
    <w:p w14:paraId="7BF5CE00" w14:textId="77777777" w:rsidR="007D1E74" w:rsidRDefault="00A95641">
      <w:pPr>
        <w:tabs>
          <w:tab w:val="left" w:pos="964"/>
        </w:tabs>
        <w:spacing w:after="20" w:line="268" w:lineRule="exact"/>
        <w:ind w:right="18"/>
        <w:jc w:val="center"/>
        <w:rPr>
          <w:b/>
        </w:rPr>
      </w:pPr>
      <w:r>
        <w:rPr>
          <w:b/>
        </w:rPr>
        <w:t>表</w:t>
      </w:r>
      <w:r>
        <w:rPr>
          <w:b/>
          <w:spacing w:val="1"/>
        </w:rPr>
        <w:t xml:space="preserve"> </w:t>
      </w:r>
      <w:r>
        <w:rPr>
          <w:b/>
        </w:rPr>
        <w:t>3.1-4</w:t>
      </w:r>
      <w:r>
        <w:rPr>
          <w:b/>
        </w:rPr>
        <w:tab/>
      </w:r>
      <w:r>
        <w:rPr>
          <w:b/>
        </w:rPr>
        <w:t>本工程主要工</w:t>
      </w:r>
      <w:r>
        <w:rPr>
          <w:b/>
          <w:spacing w:val="-3"/>
        </w:rPr>
        <w:t>程</w:t>
      </w:r>
      <w:r>
        <w:rPr>
          <w:b/>
        </w:rPr>
        <w:t>量表</w:t>
      </w:r>
    </w:p>
    <w:tbl>
      <w:tblPr>
        <w:tblStyle w:val="affffc"/>
        <w:tblW w:w="0" w:type="auto"/>
        <w:tblLook w:val="04A0" w:firstRow="1" w:lastRow="0" w:firstColumn="1" w:lastColumn="0" w:noHBand="0" w:noVBand="1"/>
      </w:tblPr>
      <w:tblGrid>
        <w:gridCol w:w="682"/>
        <w:gridCol w:w="3953"/>
        <w:gridCol w:w="781"/>
        <w:gridCol w:w="1396"/>
        <w:gridCol w:w="2204"/>
      </w:tblGrid>
      <w:tr w:rsidR="007D1E74" w14:paraId="663B6E17" w14:textId="77777777">
        <w:tc>
          <w:tcPr>
            <w:tcW w:w="684" w:type="dxa"/>
            <w:vAlign w:val="center"/>
          </w:tcPr>
          <w:p w14:paraId="1FECC353" w14:textId="77777777" w:rsidR="007D1E74" w:rsidRDefault="00A95641">
            <w:pPr>
              <w:tabs>
                <w:tab w:val="left" w:pos="964"/>
              </w:tabs>
              <w:jc w:val="center"/>
              <w:rPr>
                <w:b/>
                <w:szCs w:val="21"/>
              </w:rPr>
            </w:pPr>
            <w:r>
              <w:rPr>
                <w:b/>
                <w:szCs w:val="21"/>
              </w:rPr>
              <w:t>序号</w:t>
            </w:r>
          </w:p>
        </w:tc>
        <w:tc>
          <w:tcPr>
            <w:tcW w:w="3981" w:type="dxa"/>
            <w:vAlign w:val="center"/>
          </w:tcPr>
          <w:p w14:paraId="590DFB3A" w14:textId="77777777" w:rsidR="007D1E74" w:rsidRDefault="00A95641">
            <w:pPr>
              <w:tabs>
                <w:tab w:val="left" w:pos="964"/>
              </w:tabs>
              <w:jc w:val="center"/>
              <w:rPr>
                <w:b/>
                <w:szCs w:val="21"/>
              </w:rPr>
            </w:pPr>
            <w:r>
              <w:rPr>
                <w:b/>
                <w:szCs w:val="21"/>
              </w:rPr>
              <w:t>项目</w:t>
            </w:r>
          </w:p>
        </w:tc>
        <w:tc>
          <w:tcPr>
            <w:tcW w:w="783" w:type="dxa"/>
            <w:vAlign w:val="center"/>
          </w:tcPr>
          <w:p w14:paraId="086BC321" w14:textId="77777777" w:rsidR="007D1E74" w:rsidRDefault="00A95641">
            <w:pPr>
              <w:tabs>
                <w:tab w:val="left" w:pos="964"/>
              </w:tabs>
              <w:jc w:val="center"/>
              <w:rPr>
                <w:b/>
                <w:szCs w:val="21"/>
              </w:rPr>
            </w:pPr>
            <w:r>
              <w:rPr>
                <w:b/>
                <w:szCs w:val="21"/>
              </w:rPr>
              <w:t>单位</w:t>
            </w:r>
          </w:p>
        </w:tc>
        <w:tc>
          <w:tcPr>
            <w:tcW w:w="1401" w:type="dxa"/>
            <w:vAlign w:val="center"/>
          </w:tcPr>
          <w:p w14:paraId="29298169" w14:textId="77777777" w:rsidR="007D1E74" w:rsidRDefault="00A95641">
            <w:pPr>
              <w:tabs>
                <w:tab w:val="left" w:pos="964"/>
              </w:tabs>
              <w:jc w:val="center"/>
              <w:rPr>
                <w:b/>
                <w:szCs w:val="21"/>
              </w:rPr>
            </w:pPr>
            <w:r>
              <w:rPr>
                <w:b/>
                <w:szCs w:val="21"/>
              </w:rPr>
              <w:t>数量</w:t>
            </w:r>
          </w:p>
        </w:tc>
        <w:tc>
          <w:tcPr>
            <w:tcW w:w="2221" w:type="dxa"/>
            <w:vAlign w:val="center"/>
          </w:tcPr>
          <w:p w14:paraId="38566A5E" w14:textId="77777777" w:rsidR="007D1E74" w:rsidRDefault="00A95641">
            <w:pPr>
              <w:tabs>
                <w:tab w:val="left" w:pos="964"/>
              </w:tabs>
              <w:jc w:val="center"/>
              <w:rPr>
                <w:b/>
                <w:szCs w:val="21"/>
              </w:rPr>
            </w:pPr>
            <w:r>
              <w:rPr>
                <w:b/>
                <w:szCs w:val="21"/>
              </w:rPr>
              <w:t>备注</w:t>
            </w:r>
          </w:p>
        </w:tc>
      </w:tr>
      <w:tr w:rsidR="007D1E74" w14:paraId="4878B1EC" w14:textId="77777777">
        <w:tc>
          <w:tcPr>
            <w:tcW w:w="684" w:type="dxa"/>
            <w:vAlign w:val="center"/>
          </w:tcPr>
          <w:p w14:paraId="10FB4F4F" w14:textId="77777777" w:rsidR="007D1E74" w:rsidRDefault="00A95641">
            <w:pPr>
              <w:tabs>
                <w:tab w:val="left" w:pos="964"/>
              </w:tabs>
              <w:jc w:val="center"/>
              <w:rPr>
                <w:b/>
                <w:szCs w:val="21"/>
              </w:rPr>
            </w:pPr>
            <w:r>
              <w:rPr>
                <w:b/>
                <w:szCs w:val="21"/>
              </w:rPr>
              <w:t>一</w:t>
            </w:r>
          </w:p>
        </w:tc>
        <w:tc>
          <w:tcPr>
            <w:tcW w:w="3981" w:type="dxa"/>
            <w:vAlign w:val="center"/>
          </w:tcPr>
          <w:p w14:paraId="141E5335" w14:textId="77777777" w:rsidR="007D1E74" w:rsidRDefault="00A95641">
            <w:pPr>
              <w:tabs>
                <w:tab w:val="left" w:pos="964"/>
              </w:tabs>
              <w:jc w:val="center"/>
              <w:rPr>
                <w:b/>
                <w:szCs w:val="21"/>
              </w:rPr>
            </w:pPr>
            <w:r>
              <w:rPr>
                <w:b/>
                <w:szCs w:val="21"/>
              </w:rPr>
              <w:t>线路工程</w:t>
            </w:r>
          </w:p>
        </w:tc>
        <w:tc>
          <w:tcPr>
            <w:tcW w:w="783" w:type="dxa"/>
            <w:vAlign w:val="center"/>
          </w:tcPr>
          <w:p w14:paraId="6A6AD2FF" w14:textId="77777777" w:rsidR="007D1E74" w:rsidRDefault="007D1E74">
            <w:pPr>
              <w:tabs>
                <w:tab w:val="left" w:pos="964"/>
              </w:tabs>
              <w:jc w:val="center"/>
              <w:rPr>
                <w:b/>
                <w:szCs w:val="21"/>
              </w:rPr>
            </w:pPr>
          </w:p>
        </w:tc>
        <w:tc>
          <w:tcPr>
            <w:tcW w:w="1401" w:type="dxa"/>
            <w:vAlign w:val="center"/>
          </w:tcPr>
          <w:p w14:paraId="1F2D6A10" w14:textId="77777777" w:rsidR="007D1E74" w:rsidRDefault="007D1E74">
            <w:pPr>
              <w:tabs>
                <w:tab w:val="left" w:pos="964"/>
              </w:tabs>
              <w:jc w:val="center"/>
              <w:rPr>
                <w:b/>
                <w:szCs w:val="21"/>
              </w:rPr>
            </w:pPr>
          </w:p>
        </w:tc>
        <w:tc>
          <w:tcPr>
            <w:tcW w:w="2221" w:type="dxa"/>
            <w:vMerge w:val="restart"/>
            <w:vAlign w:val="center"/>
          </w:tcPr>
          <w:p w14:paraId="2C4AB118" w14:textId="77777777" w:rsidR="007D1E74" w:rsidRDefault="00A95641">
            <w:pPr>
              <w:tabs>
                <w:tab w:val="left" w:pos="964"/>
              </w:tabs>
              <w:jc w:val="center"/>
              <w:rPr>
                <w:b/>
                <w:szCs w:val="21"/>
              </w:rPr>
            </w:pPr>
            <w:r>
              <w:rPr>
                <w:bCs/>
                <w:szCs w:val="21"/>
              </w:rPr>
              <w:t>二级地区</w:t>
            </w:r>
          </w:p>
        </w:tc>
      </w:tr>
      <w:tr w:rsidR="007D1E74" w14:paraId="53CC5119" w14:textId="77777777">
        <w:tc>
          <w:tcPr>
            <w:tcW w:w="684" w:type="dxa"/>
            <w:vAlign w:val="center"/>
          </w:tcPr>
          <w:p w14:paraId="594E7A28" w14:textId="77777777" w:rsidR="007D1E74" w:rsidRDefault="007D1E74">
            <w:pPr>
              <w:tabs>
                <w:tab w:val="left" w:pos="964"/>
              </w:tabs>
              <w:jc w:val="center"/>
              <w:rPr>
                <w:b/>
                <w:szCs w:val="21"/>
              </w:rPr>
            </w:pPr>
          </w:p>
        </w:tc>
        <w:tc>
          <w:tcPr>
            <w:tcW w:w="3981" w:type="dxa"/>
            <w:vAlign w:val="center"/>
          </w:tcPr>
          <w:p w14:paraId="32B13F0D" w14:textId="77777777" w:rsidR="007D1E74" w:rsidRDefault="00A95641">
            <w:pPr>
              <w:tabs>
                <w:tab w:val="left" w:pos="964"/>
              </w:tabs>
              <w:jc w:val="center"/>
              <w:rPr>
                <w:b/>
                <w:szCs w:val="21"/>
              </w:rPr>
            </w:pPr>
            <w:r>
              <w:rPr>
                <w:b/>
                <w:szCs w:val="21"/>
              </w:rPr>
              <w:t>总长度</w:t>
            </w:r>
          </w:p>
        </w:tc>
        <w:tc>
          <w:tcPr>
            <w:tcW w:w="783" w:type="dxa"/>
            <w:vAlign w:val="center"/>
          </w:tcPr>
          <w:p w14:paraId="54CCAC7D" w14:textId="77777777" w:rsidR="007D1E74" w:rsidRDefault="00A95641">
            <w:pPr>
              <w:tabs>
                <w:tab w:val="left" w:pos="964"/>
              </w:tabs>
              <w:jc w:val="center"/>
              <w:rPr>
                <w:b/>
                <w:szCs w:val="21"/>
              </w:rPr>
            </w:pPr>
            <w:r>
              <w:rPr>
                <w:szCs w:val="21"/>
              </w:rPr>
              <w:t>km</w:t>
            </w:r>
          </w:p>
        </w:tc>
        <w:tc>
          <w:tcPr>
            <w:tcW w:w="1401" w:type="dxa"/>
            <w:vAlign w:val="center"/>
          </w:tcPr>
          <w:p w14:paraId="4B021E49" w14:textId="77777777" w:rsidR="007D1E74" w:rsidRDefault="00A95641">
            <w:pPr>
              <w:tabs>
                <w:tab w:val="left" w:pos="964"/>
              </w:tabs>
              <w:jc w:val="center"/>
              <w:rPr>
                <w:b/>
                <w:szCs w:val="21"/>
              </w:rPr>
            </w:pPr>
            <w:r>
              <w:rPr>
                <w:b/>
                <w:szCs w:val="21"/>
              </w:rPr>
              <w:t>37.8</w:t>
            </w:r>
          </w:p>
        </w:tc>
        <w:tc>
          <w:tcPr>
            <w:tcW w:w="2221" w:type="dxa"/>
            <w:vMerge/>
            <w:vAlign w:val="center"/>
          </w:tcPr>
          <w:p w14:paraId="2B50BF6C" w14:textId="77777777" w:rsidR="007D1E74" w:rsidRDefault="007D1E74">
            <w:pPr>
              <w:tabs>
                <w:tab w:val="left" w:pos="964"/>
              </w:tabs>
              <w:jc w:val="center"/>
              <w:rPr>
                <w:b/>
                <w:szCs w:val="21"/>
              </w:rPr>
            </w:pPr>
          </w:p>
        </w:tc>
      </w:tr>
      <w:tr w:rsidR="007D1E74" w14:paraId="2749E580" w14:textId="77777777">
        <w:tc>
          <w:tcPr>
            <w:tcW w:w="684" w:type="dxa"/>
            <w:vAlign w:val="center"/>
          </w:tcPr>
          <w:p w14:paraId="60501521" w14:textId="77777777" w:rsidR="007D1E74" w:rsidRDefault="007D1E74">
            <w:pPr>
              <w:tabs>
                <w:tab w:val="left" w:pos="964"/>
              </w:tabs>
              <w:jc w:val="center"/>
              <w:rPr>
                <w:b/>
                <w:szCs w:val="21"/>
              </w:rPr>
            </w:pPr>
          </w:p>
        </w:tc>
        <w:tc>
          <w:tcPr>
            <w:tcW w:w="3981" w:type="dxa"/>
            <w:vAlign w:val="center"/>
          </w:tcPr>
          <w:p w14:paraId="7B478626" w14:textId="77777777" w:rsidR="007D1E74" w:rsidRDefault="00A95641">
            <w:pPr>
              <w:tabs>
                <w:tab w:val="left" w:pos="964"/>
              </w:tabs>
              <w:jc w:val="center"/>
              <w:rPr>
                <w:b/>
                <w:szCs w:val="21"/>
              </w:rPr>
            </w:pPr>
            <w:r>
              <w:rPr>
                <w:szCs w:val="21"/>
              </w:rPr>
              <w:t>（一）集输管线</w:t>
            </w:r>
            <w:r>
              <w:rPr>
                <w:szCs w:val="21"/>
              </w:rPr>
              <w:t>(</w:t>
            </w:r>
            <w:r>
              <w:rPr>
                <w:szCs w:val="21"/>
              </w:rPr>
              <w:t>外径</w:t>
            </w:r>
            <w:r>
              <w:rPr>
                <w:szCs w:val="21"/>
              </w:rPr>
              <w:t>×</w:t>
            </w:r>
            <w:r>
              <w:rPr>
                <w:szCs w:val="21"/>
              </w:rPr>
              <w:t>壁厚</w:t>
            </w:r>
            <w:r>
              <w:rPr>
                <w:szCs w:val="21"/>
              </w:rPr>
              <w:t>)</w:t>
            </w:r>
            <w:r>
              <w:rPr>
                <w:szCs w:val="21"/>
              </w:rPr>
              <w:t>、材质、管型</w:t>
            </w:r>
          </w:p>
        </w:tc>
        <w:tc>
          <w:tcPr>
            <w:tcW w:w="783" w:type="dxa"/>
            <w:vAlign w:val="center"/>
          </w:tcPr>
          <w:p w14:paraId="01F266FB" w14:textId="77777777" w:rsidR="007D1E74" w:rsidRDefault="007D1E74">
            <w:pPr>
              <w:jc w:val="center"/>
              <w:rPr>
                <w:b/>
                <w:szCs w:val="21"/>
              </w:rPr>
            </w:pPr>
          </w:p>
        </w:tc>
        <w:tc>
          <w:tcPr>
            <w:tcW w:w="1401" w:type="dxa"/>
            <w:vAlign w:val="center"/>
          </w:tcPr>
          <w:p w14:paraId="4B65525F" w14:textId="77777777" w:rsidR="007D1E74" w:rsidRDefault="007D1E74">
            <w:pPr>
              <w:tabs>
                <w:tab w:val="left" w:pos="964"/>
              </w:tabs>
              <w:jc w:val="center"/>
              <w:rPr>
                <w:b/>
                <w:szCs w:val="21"/>
              </w:rPr>
            </w:pPr>
          </w:p>
        </w:tc>
        <w:tc>
          <w:tcPr>
            <w:tcW w:w="2221" w:type="dxa"/>
            <w:vMerge/>
            <w:vAlign w:val="center"/>
          </w:tcPr>
          <w:p w14:paraId="0915E048" w14:textId="77777777" w:rsidR="007D1E74" w:rsidRDefault="007D1E74">
            <w:pPr>
              <w:tabs>
                <w:tab w:val="left" w:pos="964"/>
              </w:tabs>
              <w:jc w:val="center"/>
              <w:rPr>
                <w:b/>
                <w:szCs w:val="21"/>
              </w:rPr>
            </w:pPr>
          </w:p>
        </w:tc>
      </w:tr>
      <w:tr w:rsidR="007D1E74" w14:paraId="2D13670C" w14:textId="77777777">
        <w:tc>
          <w:tcPr>
            <w:tcW w:w="684" w:type="dxa"/>
            <w:vAlign w:val="center"/>
          </w:tcPr>
          <w:p w14:paraId="58F633F1" w14:textId="77777777" w:rsidR="007D1E74" w:rsidRDefault="007D1E74">
            <w:pPr>
              <w:tabs>
                <w:tab w:val="left" w:pos="964"/>
              </w:tabs>
              <w:jc w:val="center"/>
              <w:rPr>
                <w:b/>
                <w:szCs w:val="21"/>
              </w:rPr>
            </w:pPr>
          </w:p>
        </w:tc>
        <w:tc>
          <w:tcPr>
            <w:tcW w:w="3981" w:type="dxa"/>
            <w:vAlign w:val="center"/>
          </w:tcPr>
          <w:p w14:paraId="78339996" w14:textId="77777777" w:rsidR="007D1E74" w:rsidRDefault="00A95641">
            <w:pPr>
              <w:tabs>
                <w:tab w:val="left" w:pos="964"/>
              </w:tabs>
              <w:jc w:val="center"/>
              <w:rPr>
                <w:szCs w:val="21"/>
              </w:rPr>
            </w:pPr>
            <w:r>
              <w:rPr>
                <w:szCs w:val="21"/>
              </w:rPr>
              <w:t>无缝钢管</w:t>
            </w:r>
            <w:r>
              <w:rPr>
                <w:szCs w:val="21"/>
              </w:rPr>
              <w:t xml:space="preserve"> D323.9×8 L360N</w:t>
            </w:r>
          </w:p>
        </w:tc>
        <w:tc>
          <w:tcPr>
            <w:tcW w:w="783" w:type="dxa"/>
            <w:vAlign w:val="center"/>
          </w:tcPr>
          <w:p w14:paraId="6E98050D" w14:textId="77777777" w:rsidR="007D1E74" w:rsidRDefault="00A95641">
            <w:pPr>
              <w:jc w:val="center"/>
              <w:rPr>
                <w:b/>
                <w:szCs w:val="21"/>
              </w:rPr>
            </w:pPr>
            <w:r>
              <w:rPr>
                <w:szCs w:val="21"/>
              </w:rPr>
              <w:t>m</w:t>
            </w:r>
          </w:p>
        </w:tc>
        <w:tc>
          <w:tcPr>
            <w:tcW w:w="1401" w:type="dxa"/>
            <w:vAlign w:val="center"/>
          </w:tcPr>
          <w:p w14:paraId="5906C3C6" w14:textId="77777777" w:rsidR="007D1E74" w:rsidRDefault="00A95641">
            <w:pPr>
              <w:tabs>
                <w:tab w:val="left" w:pos="964"/>
              </w:tabs>
              <w:jc w:val="center"/>
              <w:rPr>
                <w:bCs/>
                <w:szCs w:val="21"/>
              </w:rPr>
            </w:pPr>
            <w:r>
              <w:rPr>
                <w:bCs/>
                <w:szCs w:val="21"/>
              </w:rPr>
              <w:t>11292</w:t>
            </w:r>
          </w:p>
        </w:tc>
        <w:tc>
          <w:tcPr>
            <w:tcW w:w="2221" w:type="dxa"/>
            <w:vMerge/>
            <w:vAlign w:val="center"/>
          </w:tcPr>
          <w:p w14:paraId="73916D1A" w14:textId="77777777" w:rsidR="007D1E74" w:rsidRDefault="007D1E74">
            <w:pPr>
              <w:tabs>
                <w:tab w:val="left" w:pos="964"/>
              </w:tabs>
              <w:jc w:val="center"/>
              <w:rPr>
                <w:b/>
                <w:szCs w:val="21"/>
              </w:rPr>
            </w:pPr>
          </w:p>
        </w:tc>
      </w:tr>
      <w:tr w:rsidR="007D1E74" w14:paraId="0B56D5CE" w14:textId="77777777">
        <w:tc>
          <w:tcPr>
            <w:tcW w:w="684" w:type="dxa"/>
            <w:vAlign w:val="center"/>
          </w:tcPr>
          <w:p w14:paraId="5C6500B6" w14:textId="77777777" w:rsidR="007D1E74" w:rsidRDefault="007D1E74">
            <w:pPr>
              <w:tabs>
                <w:tab w:val="left" w:pos="964"/>
              </w:tabs>
              <w:jc w:val="center"/>
              <w:rPr>
                <w:b/>
                <w:szCs w:val="21"/>
              </w:rPr>
            </w:pPr>
          </w:p>
        </w:tc>
        <w:tc>
          <w:tcPr>
            <w:tcW w:w="3981" w:type="dxa"/>
            <w:vAlign w:val="center"/>
          </w:tcPr>
          <w:p w14:paraId="29D93FA7" w14:textId="77777777" w:rsidR="007D1E74" w:rsidRDefault="00A95641">
            <w:pPr>
              <w:tabs>
                <w:tab w:val="left" w:pos="964"/>
              </w:tabs>
              <w:jc w:val="center"/>
              <w:rPr>
                <w:szCs w:val="21"/>
              </w:rPr>
            </w:pPr>
            <w:r>
              <w:rPr>
                <w:szCs w:val="21"/>
              </w:rPr>
              <w:t>无缝钢管</w:t>
            </w:r>
            <w:r>
              <w:rPr>
                <w:szCs w:val="21"/>
              </w:rPr>
              <w:t xml:space="preserve"> D323.9×8.8 L360N</w:t>
            </w:r>
          </w:p>
        </w:tc>
        <w:tc>
          <w:tcPr>
            <w:tcW w:w="783" w:type="dxa"/>
          </w:tcPr>
          <w:p w14:paraId="0E6BB4F9" w14:textId="77777777" w:rsidR="007D1E74" w:rsidRDefault="00A95641">
            <w:pPr>
              <w:jc w:val="center"/>
              <w:rPr>
                <w:szCs w:val="21"/>
              </w:rPr>
            </w:pPr>
            <w:r>
              <w:rPr>
                <w:szCs w:val="21"/>
              </w:rPr>
              <w:t>m</w:t>
            </w:r>
          </w:p>
        </w:tc>
        <w:tc>
          <w:tcPr>
            <w:tcW w:w="1401" w:type="dxa"/>
            <w:vAlign w:val="center"/>
          </w:tcPr>
          <w:p w14:paraId="550A7CFD" w14:textId="77777777" w:rsidR="007D1E74" w:rsidRDefault="00A95641">
            <w:pPr>
              <w:tabs>
                <w:tab w:val="left" w:pos="964"/>
              </w:tabs>
              <w:jc w:val="center"/>
              <w:rPr>
                <w:bCs/>
                <w:szCs w:val="21"/>
              </w:rPr>
            </w:pPr>
            <w:r>
              <w:rPr>
                <w:bCs/>
                <w:szCs w:val="21"/>
              </w:rPr>
              <w:t>1768</w:t>
            </w:r>
          </w:p>
        </w:tc>
        <w:tc>
          <w:tcPr>
            <w:tcW w:w="2221" w:type="dxa"/>
            <w:vMerge/>
            <w:vAlign w:val="center"/>
          </w:tcPr>
          <w:p w14:paraId="0E69C929" w14:textId="77777777" w:rsidR="007D1E74" w:rsidRDefault="007D1E74">
            <w:pPr>
              <w:tabs>
                <w:tab w:val="left" w:pos="964"/>
              </w:tabs>
              <w:jc w:val="center"/>
              <w:rPr>
                <w:b/>
                <w:szCs w:val="21"/>
              </w:rPr>
            </w:pPr>
          </w:p>
        </w:tc>
      </w:tr>
      <w:tr w:rsidR="007D1E74" w14:paraId="02570700" w14:textId="77777777">
        <w:tc>
          <w:tcPr>
            <w:tcW w:w="684" w:type="dxa"/>
            <w:vAlign w:val="center"/>
          </w:tcPr>
          <w:p w14:paraId="1D55043F" w14:textId="77777777" w:rsidR="007D1E74" w:rsidRDefault="007D1E74">
            <w:pPr>
              <w:tabs>
                <w:tab w:val="left" w:pos="964"/>
              </w:tabs>
              <w:jc w:val="center"/>
              <w:rPr>
                <w:b/>
                <w:szCs w:val="21"/>
              </w:rPr>
            </w:pPr>
          </w:p>
        </w:tc>
        <w:tc>
          <w:tcPr>
            <w:tcW w:w="3981" w:type="dxa"/>
            <w:vAlign w:val="center"/>
          </w:tcPr>
          <w:p w14:paraId="6190B881" w14:textId="77777777" w:rsidR="007D1E74" w:rsidRDefault="00A95641">
            <w:pPr>
              <w:tabs>
                <w:tab w:val="left" w:pos="964"/>
              </w:tabs>
              <w:jc w:val="center"/>
              <w:rPr>
                <w:szCs w:val="21"/>
              </w:rPr>
            </w:pPr>
            <w:r>
              <w:rPr>
                <w:szCs w:val="21"/>
              </w:rPr>
              <w:t>无缝钢管</w:t>
            </w:r>
            <w:r>
              <w:rPr>
                <w:szCs w:val="21"/>
              </w:rPr>
              <w:t xml:space="preserve"> D114.3×6.3 L245N</w:t>
            </w:r>
          </w:p>
        </w:tc>
        <w:tc>
          <w:tcPr>
            <w:tcW w:w="783" w:type="dxa"/>
          </w:tcPr>
          <w:p w14:paraId="080321FB" w14:textId="77777777" w:rsidR="007D1E74" w:rsidRDefault="00A95641">
            <w:pPr>
              <w:jc w:val="center"/>
              <w:rPr>
                <w:szCs w:val="21"/>
              </w:rPr>
            </w:pPr>
            <w:r>
              <w:rPr>
                <w:szCs w:val="21"/>
              </w:rPr>
              <w:t>m</w:t>
            </w:r>
          </w:p>
        </w:tc>
        <w:tc>
          <w:tcPr>
            <w:tcW w:w="1401" w:type="dxa"/>
            <w:vAlign w:val="center"/>
          </w:tcPr>
          <w:p w14:paraId="7B3B49FC" w14:textId="77777777" w:rsidR="007D1E74" w:rsidRDefault="00A95641">
            <w:pPr>
              <w:tabs>
                <w:tab w:val="left" w:pos="964"/>
              </w:tabs>
              <w:jc w:val="center"/>
              <w:rPr>
                <w:bCs/>
                <w:szCs w:val="21"/>
              </w:rPr>
            </w:pPr>
            <w:r>
              <w:rPr>
                <w:bCs/>
                <w:szCs w:val="21"/>
              </w:rPr>
              <w:t>4872</w:t>
            </w:r>
          </w:p>
        </w:tc>
        <w:tc>
          <w:tcPr>
            <w:tcW w:w="2221" w:type="dxa"/>
            <w:vMerge/>
            <w:vAlign w:val="center"/>
          </w:tcPr>
          <w:p w14:paraId="2C924468" w14:textId="77777777" w:rsidR="007D1E74" w:rsidRDefault="007D1E74">
            <w:pPr>
              <w:tabs>
                <w:tab w:val="left" w:pos="964"/>
              </w:tabs>
              <w:jc w:val="center"/>
              <w:rPr>
                <w:b/>
                <w:szCs w:val="21"/>
              </w:rPr>
            </w:pPr>
          </w:p>
        </w:tc>
      </w:tr>
      <w:tr w:rsidR="007D1E74" w14:paraId="346F2605" w14:textId="77777777">
        <w:tc>
          <w:tcPr>
            <w:tcW w:w="684" w:type="dxa"/>
            <w:vAlign w:val="center"/>
          </w:tcPr>
          <w:p w14:paraId="5FB44DD6" w14:textId="77777777" w:rsidR="007D1E74" w:rsidRDefault="007D1E74">
            <w:pPr>
              <w:tabs>
                <w:tab w:val="left" w:pos="964"/>
              </w:tabs>
              <w:jc w:val="center"/>
              <w:rPr>
                <w:b/>
                <w:szCs w:val="21"/>
              </w:rPr>
            </w:pPr>
          </w:p>
        </w:tc>
        <w:tc>
          <w:tcPr>
            <w:tcW w:w="3981" w:type="dxa"/>
            <w:vAlign w:val="center"/>
          </w:tcPr>
          <w:p w14:paraId="231AE57C" w14:textId="77777777" w:rsidR="007D1E74" w:rsidRDefault="00A95641">
            <w:pPr>
              <w:tabs>
                <w:tab w:val="left" w:pos="964"/>
              </w:tabs>
              <w:jc w:val="center"/>
              <w:rPr>
                <w:szCs w:val="21"/>
              </w:rPr>
            </w:pPr>
            <w:r>
              <w:rPr>
                <w:szCs w:val="21"/>
              </w:rPr>
              <w:t>螺旋缝埋弧焊钢管</w:t>
            </w:r>
            <w:r>
              <w:rPr>
                <w:szCs w:val="21"/>
              </w:rPr>
              <w:t xml:space="preserve"> D355.6×10 L360M</w:t>
            </w:r>
          </w:p>
        </w:tc>
        <w:tc>
          <w:tcPr>
            <w:tcW w:w="783" w:type="dxa"/>
          </w:tcPr>
          <w:p w14:paraId="59E28F40" w14:textId="77777777" w:rsidR="007D1E74" w:rsidRDefault="00A95641">
            <w:pPr>
              <w:jc w:val="center"/>
              <w:rPr>
                <w:szCs w:val="21"/>
              </w:rPr>
            </w:pPr>
            <w:r>
              <w:rPr>
                <w:szCs w:val="21"/>
              </w:rPr>
              <w:t>m</w:t>
            </w:r>
          </w:p>
        </w:tc>
        <w:tc>
          <w:tcPr>
            <w:tcW w:w="1401" w:type="dxa"/>
            <w:vAlign w:val="center"/>
          </w:tcPr>
          <w:p w14:paraId="639E75D8" w14:textId="77777777" w:rsidR="007D1E74" w:rsidRDefault="00A95641">
            <w:pPr>
              <w:tabs>
                <w:tab w:val="left" w:pos="964"/>
              </w:tabs>
              <w:jc w:val="center"/>
              <w:rPr>
                <w:bCs/>
                <w:szCs w:val="21"/>
              </w:rPr>
            </w:pPr>
            <w:r>
              <w:rPr>
                <w:bCs/>
                <w:szCs w:val="21"/>
              </w:rPr>
              <w:t>10188</w:t>
            </w:r>
          </w:p>
        </w:tc>
        <w:tc>
          <w:tcPr>
            <w:tcW w:w="2221" w:type="dxa"/>
            <w:vMerge/>
            <w:vAlign w:val="center"/>
          </w:tcPr>
          <w:p w14:paraId="511BD960" w14:textId="77777777" w:rsidR="007D1E74" w:rsidRDefault="007D1E74">
            <w:pPr>
              <w:tabs>
                <w:tab w:val="left" w:pos="964"/>
              </w:tabs>
              <w:jc w:val="center"/>
              <w:rPr>
                <w:b/>
                <w:szCs w:val="21"/>
              </w:rPr>
            </w:pPr>
          </w:p>
        </w:tc>
      </w:tr>
      <w:tr w:rsidR="007D1E74" w14:paraId="5C1ADCF9" w14:textId="77777777">
        <w:tc>
          <w:tcPr>
            <w:tcW w:w="684" w:type="dxa"/>
            <w:vAlign w:val="center"/>
          </w:tcPr>
          <w:p w14:paraId="2712681B" w14:textId="77777777" w:rsidR="007D1E74" w:rsidRDefault="007D1E74">
            <w:pPr>
              <w:tabs>
                <w:tab w:val="left" w:pos="964"/>
              </w:tabs>
              <w:jc w:val="center"/>
              <w:rPr>
                <w:b/>
                <w:szCs w:val="21"/>
              </w:rPr>
            </w:pPr>
          </w:p>
        </w:tc>
        <w:tc>
          <w:tcPr>
            <w:tcW w:w="3981" w:type="dxa"/>
            <w:vAlign w:val="center"/>
          </w:tcPr>
          <w:p w14:paraId="0830A8EE" w14:textId="77777777" w:rsidR="007D1E74" w:rsidRDefault="00A95641">
            <w:pPr>
              <w:tabs>
                <w:tab w:val="left" w:pos="964"/>
              </w:tabs>
              <w:jc w:val="center"/>
              <w:rPr>
                <w:szCs w:val="21"/>
              </w:rPr>
            </w:pPr>
            <w:r>
              <w:rPr>
                <w:szCs w:val="21"/>
              </w:rPr>
              <w:t>无缝钢管</w:t>
            </w:r>
            <w:r>
              <w:rPr>
                <w:szCs w:val="21"/>
              </w:rPr>
              <w:t xml:space="preserve"> D355.6×12.5 L360N</w:t>
            </w:r>
          </w:p>
        </w:tc>
        <w:tc>
          <w:tcPr>
            <w:tcW w:w="783" w:type="dxa"/>
          </w:tcPr>
          <w:p w14:paraId="4DCD7320" w14:textId="77777777" w:rsidR="007D1E74" w:rsidRDefault="00A95641">
            <w:pPr>
              <w:jc w:val="center"/>
              <w:rPr>
                <w:szCs w:val="21"/>
              </w:rPr>
            </w:pPr>
            <w:r>
              <w:rPr>
                <w:szCs w:val="21"/>
              </w:rPr>
              <w:t>m</w:t>
            </w:r>
          </w:p>
        </w:tc>
        <w:tc>
          <w:tcPr>
            <w:tcW w:w="1401" w:type="dxa"/>
            <w:vAlign w:val="center"/>
          </w:tcPr>
          <w:p w14:paraId="5DC66319" w14:textId="77777777" w:rsidR="007D1E74" w:rsidRDefault="00A95641">
            <w:pPr>
              <w:tabs>
                <w:tab w:val="left" w:pos="964"/>
              </w:tabs>
              <w:jc w:val="center"/>
              <w:rPr>
                <w:bCs/>
                <w:szCs w:val="21"/>
              </w:rPr>
            </w:pPr>
            <w:r>
              <w:rPr>
                <w:bCs/>
                <w:szCs w:val="21"/>
              </w:rPr>
              <w:t>768</w:t>
            </w:r>
          </w:p>
        </w:tc>
        <w:tc>
          <w:tcPr>
            <w:tcW w:w="2221" w:type="dxa"/>
            <w:vMerge/>
            <w:vAlign w:val="center"/>
          </w:tcPr>
          <w:p w14:paraId="1ED49312" w14:textId="77777777" w:rsidR="007D1E74" w:rsidRDefault="007D1E74">
            <w:pPr>
              <w:tabs>
                <w:tab w:val="left" w:pos="964"/>
              </w:tabs>
              <w:jc w:val="center"/>
              <w:rPr>
                <w:b/>
                <w:szCs w:val="21"/>
              </w:rPr>
            </w:pPr>
          </w:p>
        </w:tc>
      </w:tr>
      <w:tr w:rsidR="007D1E74" w14:paraId="0C5C2E8A" w14:textId="77777777">
        <w:tc>
          <w:tcPr>
            <w:tcW w:w="684" w:type="dxa"/>
            <w:vAlign w:val="center"/>
          </w:tcPr>
          <w:p w14:paraId="0D9C2895" w14:textId="77777777" w:rsidR="007D1E74" w:rsidRDefault="007D1E74">
            <w:pPr>
              <w:tabs>
                <w:tab w:val="left" w:pos="964"/>
              </w:tabs>
              <w:jc w:val="center"/>
              <w:rPr>
                <w:b/>
                <w:szCs w:val="21"/>
              </w:rPr>
            </w:pPr>
          </w:p>
        </w:tc>
        <w:tc>
          <w:tcPr>
            <w:tcW w:w="3981" w:type="dxa"/>
            <w:vAlign w:val="center"/>
          </w:tcPr>
          <w:p w14:paraId="3ACD93B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冷弯弯管（</w:t>
            </w:r>
            <w:r>
              <w:rPr>
                <w:rFonts w:ascii="Times New Roman" w:hAnsi="Times New Roman"/>
                <w:sz w:val="21"/>
                <w:szCs w:val="21"/>
              </w:rPr>
              <w:t>3°-15°</w:t>
            </w:r>
            <w:r>
              <w:rPr>
                <w:rFonts w:ascii="Times New Roman" w:hAnsi="Times New Roman"/>
                <w:sz w:val="21"/>
                <w:szCs w:val="21"/>
              </w:rPr>
              <w:t>）</w:t>
            </w:r>
          </w:p>
        </w:tc>
        <w:tc>
          <w:tcPr>
            <w:tcW w:w="783" w:type="dxa"/>
            <w:vAlign w:val="center"/>
          </w:tcPr>
          <w:p w14:paraId="7BA917DD" w14:textId="77777777" w:rsidR="007D1E74" w:rsidRDefault="00A95641">
            <w:pPr>
              <w:jc w:val="center"/>
              <w:rPr>
                <w:szCs w:val="21"/>
              </w:rPr>
            </w:pPr>
            <w:r>
              <w:rPr>
                <w:szCs w:val="21"/>
              </w:rPr>
              <w:t>m</w:t>
            </w:r>
          </w:p>
        </w:tc>
        <w:tc>
          <w:tcPr>
            <w:tcW w:w="1401" w:type="dxa"/>
            <w:vAlign w:val="center"/>
          </w:tcPr>
          <w:p w14:paraId="21057C90" w14:textId="77777777" w:rsidR="007D1E74" w:rsidRDefault="00A95641">
            <w:pPr>
              <w:tabs>
                <w:tab w:val="left" w:pos="964"/>
              </w:tabs>
              <w:jc w:val="center"/>
              <w:rPr>
                <w:bCs/>
                <w:szCs w:val="21"/>
              </w:rPr>
            </w:pPr>
            <w:r>
              <w:rPr>
                <w:bCs/>
                <w:szCs w:val="21"/>
              </w:rPr>
              <w:t>8215.22</w:t>
            </w:r>
          </w:p>
        </w:tc>
        <w:tc>
          <w:tcPr>
            <w:tcW w:w="2221" w:type="dxa"/>
            <w:vMerge/>
            <w:vAlign w:val="center"/>
          </w:tcPr>
          <w:p w14:paraId="6A885CC7" w14:textId="77777777" w:rsidR="007D1E74" w:rsidRDefault="007D1E74">
            <w:pPr>
              <w:tabs>
                <w:tab w:val="left" w:pos="964"/>
              </w:tabs>
              <w:jc w:val="center"/>
              <w:rPr>
                <w:b/>
                <w:szCs w:val="21"/>
              </w:rPr>
            </w:pPr>
          </w:p>
        </w:tc>
      </w:tr>
      <w:tr w:rsidR="007D1E74" w14:paraId="0599DBA5" w14:textId="77777777">
        <w:tc>
          <w:tcPr>
            <w:tcW w:w="684" w:type="dxa"/>
            <w:vAlign w:val="center"/>
          </w:tcPr>
          <w:p w14:paraId="47721B5B" w14:textId="77777777" w:rsidR="007D1E74" w:rsidRDefault="007D1E74">
            <w:pPr>
              <w:tabs>
                <w:tab w:val="left" w:pos="964"/>
              </w:tabs>
              <w:jc w:val="center"/>
              <w:rPr>
                <w:b/>
                <w:szCs w:val="21"/>
              </w:rPr>
            </w:pPr>
          </w:p>
        </w:tc>
        <w:tc>
          <w:tcPr>
            <w:tcW w:w="3981" w:type="dxa"/>
            <w:vAlign w:val="center"/>
          </w:tcPr>
          <w:p w14:paraId="7F9046E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热煨弯头（</w:t>
            </w:r>
            <w:r>
              <w:rPr>
                <w:rFonts w:ascii="Times New Roman" w:hAnsi="Times New Roman"/>
                <w:sz w:val="21"/>
                <w:szCs w:val="21"/>
              </w:rPr>
              <w:t>15°-90°</w:t>
            </w:r>
            <w:r>
              <w:rPr>
                <w:rFonts w:ascii="Times New Roman" w:hAnsi="Times New Roman"/>
                <w:sz w:val="21"/>
                <w:szCs w:val="21"/>
              </w:rPr>
              <w:t>）</w:t>
            </w:r>
          </w:p>
        </w:tc>
        <w:tc>
          <w:tcPr>
            <w:tcW w:w="783" w:type="dxa"/>
            <w:vAlign w:val="center"/>
          </w:tcPr>
          <w:p w14:paraId="5CFBF0E4" w14:textId="77777777" w:rsidR="007D1E74" w:rsidRDefault="00A95641">
            <w:pPr>
              <w:jc w:val="center"/>
              <w:rPr>
                <w:szCs w:val="21"/>
              </w:rPr>
            </w:pPr>
            <w:r>
              <w:rPr>
                <w:szCs w:val="21"/>
              </w:rPr>
              <w:t>m</w:t>
            </w:r>
          </w:p>
        </w:tc>
        <w:tc>
          <w:tcPr>
            <w:tcW w:w="1401" w:type="dxa"/>
            <w:vAlign w:val="center"/>
          </w:tcPr>
          <w:p w14:paraId="48553BDC" w14:textId="77777777" w:rsidR="007D1E74" w:rsidRDefault="00A95641">
            <w:pPr>
              <w:tabs>
                <w:tab w:val="left" w:pos="964"/>
              </w:tabs>
              <w:jc w:val="center"/>
              <w:rPr>
                <w:bCs/>
                <w:szCs w:val="21"/>
              </w:rPr>
            </w:pPr>
            <w:r>
              <w:rPr>
                <w:bCs/>
                <w:szCs w:val="21"/>
              </w:rPr>
              <w:t>1026.96</w:t>
            </w:r>
          </w:p>
        </w:tc>
        <w:tc>
          <w:tcPr>
            <w:tcW w:w="2221" w:type="dxa"/>
            <w:vMerge/>
            <w:vAlign w:val="center"/>
          </w:tcPr>
          <w:p w14:paraId="08E64962" w14:textId="77777777" w:rsidR="007D1E74" w:rsidRDefault="007D1E74">
            <w:pPr>
              <w:tabs>
                <w:tab w:val="left" w:pos="964"/>
              </w:tabs>
              <w:jc w:val="center"/>
              <w:rPr>
                <w:b/>
                <w:szCs w:val="21"/>
              </w:rPr>
            </w:pPr>
          </w:p>
        </w:tc>
      </w:tr>
      <w:tr w:rsidR="007D1E74" w14:paraId="7AA6A8C2" w14:textId="77777777">
        <w:tc>
          <w:tcPr>
            <w:tcW w:w="684" w:type="dxa"/>
            <w:vAlign w:val="center"/>
          </w:tcPr>
          <w:p w14:paraId="7A8BEE67" w14:textId="77777777" w:rsidR="007D1E74" w:rsidRDefault="007D1E74">
            <w:pPr>
              <w:tabs>
                <w:tab w:val="left" w:pos="964"/>
              </w:tabs>
              <w:jc w:val="center"/>
              <w:rPr>
                <w:b/>
                <w:szCs w:val="21"/>
              </w:rPr>
            </w:pPr>
          </w:p>
        </w:tc>
        <w:tc>
          <w:tcPr>
            <w:tcW w:w="3981" w:type="dxa"/>
            <w:vAlign w:val="center"/>
          </w:tcPr>
          <w:p w14:paraId="6545DEB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（二）水域穿越</w:t>
            </w:r>
          </w:p>
        </w:tc>
        <w:tc>
          <w:tcPr>
            <w:tcW w:w="783" w:type="dxa"/>
            <w:vAlign w:val="center"/>
          </w:tcPr>
          <w:p w14:paraId="447E6268" w14:textId="77777777" w:rsidR="007D1E74" w:rsidRDefault="007D1E74">
            <w:pPr>
              <w:tabs>
                <w:tab w:val="left" w:pos="964"/>
              </w:tabs>
              <w:jc w:val="center"/>
              <w:rPr>
                <w:b/>
                <w:szCs w:val="21"/>
              </w:rPr>
            </w:pPr>
          </w:p>
        </w:tc>
        <w:tc>
          <w:tcPr>
            <w:tcW w:w="1401" w:type="dxa"/>
            <w:vAlign w:val="center"/>
          </w:tcPr>
          <w:p w14:paraId="3F920BA5" w14:textId="77777777" w:rsidR="007D1E74" w:rsidRDefault="007D1E74">
            <w:pPr>
              <w:tabs>
                <w:tab w:val="left" w:pos="964"/>
              </w:tabs>
              <w:jc w:val="center"/>
              <w:rPr>
                <w:b/>
                <w:szCs w:val="21"/>
              </w:rPr>
            </w:pPr>
          </w:p>
        </w:tc>
        <w:tc>
          <w:tcPr>
            <w:tcW w:w="2221" w:type="dxa"/>
            <w:vAlign w:val="center"/>
          </w:tcPr>
          <w:p w14:paraId="60D586F1" w14:textId="77777777" w:rsidR="007D1E74" w:rsidRDefault="007D1E74">
            <w:pPr>
              <w:tabs>
                <w:tab w:val="left" w:pos="964"/>
              </w:tabs>
              <w:jc w:val="center"/>
              <w:rPr>
                <w:b/>
                <w:szCs w:val="21"/>
              </w:rPr>
            </w:pPr>
          </w:p>
        </w:tc>
      </w:tr>
      <w:tr w:rsidR="007D1E74" w14:paraId="52B52455" w14:textId="77777777">
        <w:trPr>
          <w:trHeight w:val="276"/>
        </w:trPr>
        <w:tc>
          <w:tcPr>
            <w:tcW w:w="684" w:type="dxa"/>
            <w:vAlign w:val="center"/>
          </w:tcPr>
          <w:p w14:paraId="66A5192E" w14:textId="77777777" w:rsidR="007D1E74" w:rsidRDefault="007D1E74">
            <w:pPr>
              <w:tabs>
                <w:tab w:val="left" w:pos="964"/>
              </w:tabs>
              <w:jc w:val="center"/>
              <w:rPr>
                <w:b/>
                <w:szCs w:val="21"/>
              </w:rPr>
            </w:pPr>
          </w:p>
        </w:tc>
        <w:tc>
          <w:tcPr>
            <w:tcW w:w="3981" w:type="dxa"/>
            <w:vAlign w:val="center"/>
          </w:tcPr>
          <w:p w14:paraId="66C3D98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穿越小型沟渠（大开挖）</w:t>
            </w:r>
          </w:p>
        </w:tc>
        <w:tc>
          <w:tcPr>
            <w:tcW w:w="783" w:type="dxa"/>
            <w:vAlign w:val="center"/>
          </w:tcPr>
          <w:p w14:paraId="027D8F8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m/</w:t>
            </w:r>
            <w:r>
              <w:rPr>
                <w:rFonts w:ascii="Times New Roman" w:hAnsi="Times New Roman"/>
                <w:sz w:val="21"/>
                <w:szCs w:val="21"/>
              </w:rPr>
              <w:t>处</w:t>
            </w:r>
          </w:p>
        </w:tc>
        <w:tc>
          <w:tcPr>
            <w:tcW w:w="1401" w:type="dxa"/>
            <w:vAlign w:val="center"/>
          </w:tcPr>
          <w:p w14:paraId="25F8D6D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115/9</w:t>
            </w:r>
          </w:p>
        </w:tc>
        <w:tc>
          <w:tcPr>
            <w:tcW w:w="2221" w:type="dxa"/>
            <w:vAlign w:val="center"/>
          </w:tcPr>
          <w:p w14:paraId="56569594" w14:textId="77777777" w:rsidR="007D1E74" w:rsidRDefault="00A95641">
            <w:pPr>
              <w:tabs>
                <w:tab w:val="left" w:pos="964"/>
              </w:tabs>
              <w:jc w:val="center"/>
              <w:rPr>
                <w:b/>
                <w:szCs w:val="21"/>
              </w:rPr>
            </w:pPr>
            <w:r>
              <w:rPr>
                <w:b/>
                <w:szCs w:val="21"/>
              </w:rPr>
              <w:t>/</w:t>
            </w:r>
          </w:p>
        </w:tc>
      </w:tr>
      <w:tr w:rsidR="007D1E74" w14:paraId="256FE665" w14:textId="77777777">
        <w:trPr>
          <w:trHeight w:val="276"/>
        </w:trPr>
        <w:tc>
          <w:tcPr>
            <w:tcW w:w="684" w:type="dxa"/>
            <w:vAlign w:val="center"/>
          </w:tcPr>
          <w:p w14:paraId="0A3FBB5B" w14:textId="77777777" w:rsidR="007D1E74" w:rsidRDefault="007D1E74">
            <w:pPr>
              <w:tabs>
                <w:tab w:val="left" w:pos="964"/>
              </w:tabs>
              <w:jc w:val="center"/>
              <w:rPr>
                <w:b/>
                <w:szCs w:val="21"/>
              </w:rPr>
            </w:pPr>
          </w:p>
        </w:tc>
        <w:tc>
          <w:tcPr>
            <w:tcW w:w="3981" w:type="dxa"/>
            <w:vAlign w:val="center"/>
          </w:tcPr>
          <w:p w14:paraId="4A0349CE"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穿越小通江（定向钻）</w:t>
            </w:r>
          </w:p>
        </w:tc>
        <w:tc>
          <w:tcPr>
            <w:tcW w:w="783" w:type="dxa"/>
            <w:vAlign w:val="center"/>
          </w:tcPr>
          <w:p w14:paraId="7B33431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m/</w:t>
            </w:r>
            <w:r>
              <w:rPr>
                <w:rFonts w:ascii="Times New Roman" w:hAnsi="Times New Roman"/>
                <w:sz w:val="21"/>
                <w:szCs w:val="21"/>
              </w:rPr>
              <w:t>次</w:t>
            </w:r>
          </w:p>
        </w:tc>
        <w:tc>
          <w:tcPr>
            <w:tcW w:w="1401" w:type="dxa"/>
            <w:vAlign w:val="center"/>
          </w:tcPr>
          <w:p w14:paraId="78A0DE3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1000.4/3</w:t>
            </w:r>
          </w:p>
        </w:tc>
        <w:tc>
          <w:tcPr>
            <w:tcW w:w="2221" w:type="dxa"/>
            <w:vAlign w:val="center"/>
          </w:tcPr>
          <w:p w14:paraId="4E797AFC" w14:textId="77777777" w:rsidR="007D1E74" w:rsidRDefault="007D1E74">
            <w:pPr>
              <w:tabs>
                <w:tab w:val="left" w:pos="964"/>
              </w:tabs>
              <w:jc w:val="center"/>
              <w:rPr>
                <w:b/>
                <w:szCs w:val="21"/>
              </w:rPr>
            </w:pPr>
          </w:p>
        </w:tc>
      </w:tr>
      <w:tr w:rsidR="007D1E74" w14:paraId="56F9A640" w14:textId="77777777">
        <w:tc>
          <w:tcPr>
            <w:tcW w:w="684" w:type="dxa"/>
            <w:vAlign w:val="center"/>
          </w:tcPr>
          <w:p w14:paraId="50E68A28" w14:textId="77777777" w:rsidR="007D1E74" w:rsidRDefault="007D1E74">
            <w:pPr>
              <w:tabs>
                <w:tab w:val="left" w:pos="964"/>
              </w:tabs>
              <w:jc w:val="center"/>
              <w:rPr>
                <w:b/>
                <w:szCs w:val="21"/>
              </w:rPr>
            </w:pPr>
          </w:p>
        </w:tc>
        <w:tc>
          <w:tcPr>
            <w:tcW w:w="3981" w:type="dxa"/>
            <w:vAlign w:val="center"/>
          </w:tcPr>
          <w:p w14:paraId="374EF5B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（三）道路穿越</w:t>
            </w:r>
          </w:p>
        </w:tc>
        <w:tc>
          <w:tcPr>
            <w:tcW w:w="783" w:type="dxa"/>
            <w:vAlign w:val="center"/>
          </w:tcPr>
          <w:p w14:paraId="6B35A833" w14:textId="77777777" w:rsidR="007D1E74" w:rsidRDefault="007D1E74">
            <w:pPr>
              <w:tabs>
                <w:tab w:val="left" w:pos="964"/>
              </w:tabs>
              <w:jc w:val="center"/>
              <w:rPr>
                <w:b/>
                <w:szCs w:val="21"/>
              </w:rPr>
            </w:pPr>
          </w:p>
        </w:tc>
        <w:tc>
          <w:tcPr>
            <w:tcW w:w="1401" w:type="dxa"/>
            <w:vAlign w:val="center"/>
          </w:tcPr>
          <w:p w14:paraId="04829F3F" w14:textId="77777777" w:rsidR="007D1E74" w:rsidRDefault="007D1E74">
            <w:pPr>
              <w:tabs>
                <w:tab w:val="left" w:pos="964"/>
              </w:tabs>
              <w:jc w:val="center"/>
              <w:rPr>
                <w:b/>
                <w:szCs w:val="21"/>
              </w:rPr>
            </w:pPr>
          </w:p>
        </w:tc>
        <w:tc>
          <w:tcPr>
            <w:tcW w:w="2221" w:type="dxa"/>
            <w:vAlign w:val="center"/>
          </w:tcPr>
          <w:p w14:paraId="2223EAF6" w14:textId="77777777" w:rsidR="007D1E74" w:rsidRDefault="007D1E74">
            <w:pPr>
              <w:tabs>
                <w:tab w:val="left" w:pos="964"/>
              </w:tabs>
              <w:jc w:val="center"/>
              <w:rPr>
                <w:b/>
                <w:szCs w:val="21"/>
              </w:rPr>
            </w:pPr>
          </w:p>
        </w:tc>
      </w:tr>
      <w:tr w:rsidR="007D1E74" w14:paraId="61B85E58" w14:textId="77777777">
        <w:tc>
          <w:tcPr>
            <w:tcW w:w="684" w:type="dxa"/>
            <w:vAlign w:val="center"/>
          </w:tcPr>
          <w:p w14:paraId="426BB8A5" w14:textId="77777777" w:rsidR="007D1E74" w:rsidRDefault="007D1E74">
            <w:pPr>
              <w:tabs>
                <w:tab w:val="left" w:pos="964"/>
              </w:tabs>
              <w:jc w:val="center"/>
              <w:rPr>
                <w:b/>
                <w:szCs w:val="21"/>
              </w:rPr>
            </w:pPr>
          </w:p>
        </w:tc>
        <w:tc>
          <w:tcPr>
            <w:tcW w:w="3981" w:type="dxa"/>
            <w:vAlign w:val="center"/>
          </w:tcPr>
          <w:p w14:paraId="3997722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挖沟法</w:t>
            </w:r>
            <w:r>
              <w:rPr>
                <w:rFonts w:ascii="Times New Roman" w:hAnsi="Times New Roman"/>
                <w:sz w:val="21"/>
                <w:szCs w:val="21"/>
              </w:rPr>
              <w:t>+</w:t>
            </w:r>
            <w:r>
              <w:rPr>
                <w:rFonts w:ascii="Times New Roman" w:hAnsi="Times New Roman"/>
                <w:sz w:val="21"/>
                <w:szCs w:val="21"/>
              </w:rPr>
              <w:t>套管穿越普通公路（水泥）</w:t>
            </w:r>
          </w:p>
        </w:tc>
        <w:tc>
          <w:tcPr>
            <w:tcW w:w="783" w:type="dxa"/>
            <w:vAlign w:val="center"/>
          </w:tcPr>
          <w:p w14:paraId="0202FE5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m/</w:t>
            </w:r>
            <w:r>
              <w:rPr>
                <w:rFonts w:ascii="Times New Roman" w:hAnsi="Times New Roman"/>
                <w:sz w:val="21"/>
                <w:szCs w:val="21"/>
              </w:rPr>
              <w:t>次</w:t>
            </w:r>
          </w:p>
        </w:tc>
        <w:tc>
          <w:tcPr>
            <w:tcW w:w="1401" w:type="dxa"/>
            <w:vAlign w:val="center"/>
          </w:tcPr>
          <w:p w14:paraId="47E3FD9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335.4/41</w:t>
            </w:r>
          </w:p>
        </w:tc>
        <w:tc>
          <w:tcPr>
            <w:tcW w:w="2221" w:type="dxa"/>
            <w:vAlign w:val="center"/>
          </w:tcPr>
          <w:p w14:paraId="108537BF" w14:textId="77777777" w:rsidR="007D1E74" w:rsidRDefault="00A95641">
            <w:pPr>
              <w:tabs>
                <w:tab w:val="left" w:pos="964"/>
              </w:tabs>
              <w:jc w:val="center"/>
              <w:rPr>
                <w:b/>
                <w:szCs w:val="21"/>
              </w:rPr>
            </w:pPr>
            <w:r>
              <w:rPr>
                <w:b/>
                <w:szCs w:val="21"/>
              </w:rPr>
              <w:t>/</w:t>
            </w:r>
          </w:p>
        </w:tc>
      </w:tr>
      <w:tr w:rsidR="007D1E74" w14:paraId="4F08A503" w14:textId="77777777">
        <w:tc>
          <w:tcPr>
            <w:tcW w:w="684" w:type="dxa"/>
            <w:vAlign w:val="center"/>
          </w:tcPr>
          <w:p w14:paraId="79084C81" w14:textId="77777777" w:rsidR="007D1E74" w:rsidRDefault="007D1E74">
            <w:pPr>
              <w:tabs>
                <w:tab w:val="left" w:pos="964"/>
              </w:tabs>
              <w:jc w:val="center"/>
              <w:rPr>
                <w:b/>
                <w:szCs w:val="21"/>
              </w:rPr>
            </w:pPr>
          </w:p>
        </w:tc>
        <w:tc>
          <w:tcPr>
            <w:tcW w:w="3981" w:type="dxa"/>
            <w:vAlign w:val="center"/>
          </w:tcPr>
          <w:p w14:paraId="4E6BD85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穿越</w:t>
            </w:r>
            <w:r>
              <w:rPr>
                <w:rFonts w:ascii="Times New Roman" w:hAnsi="Times New Roman"/>
                <w:sz w:val="21"/>
                <w:szCs w:val="21"/>
              </w:rPr>
              <w:t>S201</w:t>
            </w:r>
            <w:r>
              <w:rPr>
                <w:rFonts w:ascii="Times New Roman" w:hAnsi="Times New Roman"/>
                <w:sz w:val="21"/>
                <w:szCs w:val="21"/>
              </w:rPr>
              <w:t>省道</w:t>
            </w:r>
          </w:p>
        </w:tc>
        <w:tc>
          <w:tcPr>
            <w:tcW w:w="783" w:type="dxa"/>
          </w:tcPr>
          <w:p w14:paraId="1A57559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m/</w:t>
            </w:r>
            <w:r>
              <w:rPr>
                <w:rFonts w:ascii="Times New Roman" w:hAnsi="Times New Roman"/>
                <w:sz w:val="21"/>
                <w:szCs w:val="21"/>
              </w:rPr>
              <w:t>次</w:t>
            </w:r>
          </w:p>
        </w:tc>
        <w:tc>
          <w:tcPr>
            <w:tcW w:w="1401" w:type="dxa"/>
            <w:vAlign w:val="center"/>
          </w:tcPr>
          <w:p w14:paraId="237BC02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30/2</w:t>
            </w:r>
          </w:p>
        </w:tc>
        <w:tc>
          <w:tcPr>
            <w:tcW w:w="2221" w:type="dxa"/>
            <w:vAlign w:val="center"/>
          </w:tcPr>
          <w:p w14:paraId="5D883FE9" w14:textId="77777777" w:rsidR="007D1E74" w:rsidRDefault="007D1E74">
            <w:pPr>
              <w:tabs>
                <w:tab w:val="left" w:pos="964"/>
              </w:tabs>
              <w:jc w:val="center"/>
              <w:rPr>
                <w:b/>
                <w:szCs w:val="21"/>
              </w:rPr>
            </w:pPr>
          </w:p>
        </w:tc>
      </w:tr>
      <w:tr w:rsidR="007D1E74" w14:paraId="4FC5C826" w14:textId="77777777">
        <w:tc>
          <w:tcPr>
            <w:tcW w:w="684" w:type="dxa"/>
            <w:vAlign w:val="center"/>
          </w:tcPr>
          <w:p w14:paraId="19AF35FD" w14:textId="77777777" w:rsidR="007D1E74" w:rsidRDefault="007D1E74">
            <w:pPr>
              <w:tabs>
                <w:tab w:val="left" w:pos="964"/>
              </w:tabs>
              <w:jc w:val="center"/>
              <w:rPr>
                <w:b/>
                <w:szCs w:val="21"/>
              </w:rPr>
            </w:pPr>
          </w:p>
        </w:tc>
        <w:tc>
          <w:tcPr>
            <w:tcW w:w="3981" w:type="dxa"/>
            <w:vAlign w:val="center"/>
          </w:tcPr>
          <w:p w14:paraId="71B6F2D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穿越</w:t>
            </w:r>
            <w:r>
              <w:rPr>
                <w:rFonts w:ascii="Times New Roman" w:hAnsi="Times New Roman"/>
                <w:sz w:val="21"/>
                <w:szCs w:val="21"/>
              </w:rPr>
              <w:t>S204</w:t>
            </w:r>
            <w:r>
              <w:rPr>
                <w:rFonts w:ascii="Times New Roman" w:hAnsi="Times New Roman"/>
                <w:sz w:val="21"/>
                <w:szCs w:val="21"/>
              </w:rPr>
              <w:t>快速路</w:t>
            </w:r>
          </w:p>
        </w:tc>
        <w:tc>
          <w:tcPr>
            <w:tcW w:w="783" w:type="dxa"/>
          </w:tcPr>
          <w:p w14:paraId="128F0A5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m/</w:t>
            </w:r>
            <w:r>
              <w:rPr>
                <w:rFonts w:ascii="Times New Roman" w:hAnsi="Times New Roman"/>
                <w:sz w:val="21"/>
                <w:szCs w:val="21"/>
              </w:rPr>
              <w:t>次</w:t>
            </w:r>
          </w:p>
        </w:tc>
        <w:tc>
          <w:tcPr>
            <w:tcW w:w="1401" w:type="dxa"/>
            <w:vAlign w:val="center"/>
          </w:tcPr>
          <w:p w14:paraId="148C2BD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166.4/4</w:t>
            </w:r>
          </w:p>
        </w:tc>
        <w:tc>
          <w:tcPr>
            <w:tcW w:w="2221" w:type="dxa"/>
            <w:vAlign w:val="center"/>
          </w:tcPr>
          <w:p w14:paraId="607A52C2" w14:textId="77777777" w:rsidR="007D1E74" w:rsidRDefault="007D1E74">
            <w:pPr>
              <w:tabs>
                <w:tab w:val="left" w:pos="964"/>
              </w:tabs>
              <w:jc w:val="center"/>
              <w:rPr>
                <w:b/>
                <w:szCs w:val="21"/>
              </w:rPr>
            </w:pPr>
          </w:p>
        </w:tc>
      </w:tr>
      <w:tr w:rsidR="007D1E74" w14:paraId="4EF55ADC" w14:textId="77777777">
        <w:tc>
          <w:tcPr>
            <w:tcW w:w="684" w:type="dxa"/>
            <w:vAlign w:val="center"/>
          </w:tcPr>
          <w:p w14:paraId="719C3451" w14:textId="77777777" w:rsidR="007D1E74" w:rsidRDefault="007D1E74">
            <w:pPr>
              <w:tabs>
                <w:tab w:val="left" w:pos="964"/>
              </w:tabs>
              <w:jc w:val="center"/>
              <w:rPr>
                <w:b/>
                <w:szCs w:val="21"/>
              </w:rPr>
            </w:pPr>
          </w:p>
        </w:tc>
        <w:tc>
          <w:tcPr>
            <w:tcW w:w="3981" w:type="dxa"/>
            <w:vAlign w:val="center"/>
          </w:tcPr>
          <w:p w14:paraId="108FF17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（四）防腐</w:t>
            </w:r>
          </w:p>
        </w:tc>
        <w:tc>
          <w:tcPr>
            <w:tcW w:w="783" w:type="dxa"/>
            <w:vAlign w:val="center"/>
          </w:tcPr>
          <w:p w14:paraId="7D2EA383" w14:textId="77777777" w:rsidR="007D1E74" w:rsidRDefault="007D1E74">
            <w:pPr>
              <w:tabs>
                <w:tab w:val="left" w:pos="964"/>
              </w:tabs>
              <w:jc w:val="center"/>
              <w:rPr>
                <w:b/>
                <w:szCs w:val="21"/>
              </w:rPr>
            </w:pPr>
          </w:p>
        </w:tc>
        <w:tc>
          <w:tcPr>
            <w:tcW w:w="1401" w:type="dxa"/>
            <w:vAlign w:val="center"/>
          </w:tcPr>
          <w:p w14:paraId="0143D786" w14:textId="77777777" w:rsidR="007D1E74" w:rsidRDefault="007D1E74">
            <w:pPr>
              <w:tabs>
                <w:tab w:val="left" w:pos="964"/>
              </w:tabs>
              <w:jc w:val="center"/>
              <w:rPr>
                <w:b/>
                <w:szCs w:val="21"/>
              </w:rPr>
            </w:pPr>
          </w:p>
        </w:tc>
        <w:tc>
          <w:tcPr>
            <w:tcW w:w="2221" w:type="dxa"/>
            <w:vAlign w:val="center"/>
          </w:tcPr>
          <w:p w14:paraId="22AFD7C5" w14:textId="77777777" w:rsidR="007D1E74" w:rsidRDefault="007D1E74">
            <w:pPr>
              <w:tabs>
                <w:tab w:val="left" w:pos="964"/>
              </w:tabs>
              <w:jc w:val="center"/>
              <w:rPr>
                <w:b/>
                <w:szCs w:val="21"/>
              </w:rPr>
            </w:pPr>
          </w:p>
        </w:tc>
      </w:tr>
      <w:tr w:rsidR="007D1E74" w14:paraId="50CA0533" w14:textId="77777777">
        <w:tc>
          <w:tcPr>
            <w:tcW w:w="684" w:type="dxa"/>
            <w:vAlign w:val="center"/>
          </w:tcPr>
          <w:p w14:paraId="35AB9B67" w14:textId="77777777" w:rsidR="007D1E74" w:rsidRDefault="007D1E74">
            <w:pPr>
              <w:tabs>
                <w:tab w:val="left" w:pos="964"/>
              </w:tabs>
              <w:jc w:val="center"/>
              <w:rPr>
                <w:b/>
                <w:szCs w:val="21"/>
              </w:rPr>
            </w:pPr>
          </w:p>
        </w:tc>
        <w:tc>
          <w:tcPr>
            <w:tcW w:w="3981" w:type="dxa"/>
            <w:vAlign w:val="center"/>
          </w:tcPr>
          <w:p w14:paraId="137588C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线路管道外防腐层采用加强级常温三层</w:t>
            </w:r>
            <w:r>
              <w:rPr>
                <w:rFonts w:ascii="Times New Roman" w:hAnsi="Times New Roman"/>
                <w:sz w:val="21"/>
                <w:szCs w:val="21"/>
              </w:rPr>
              <w:lastRenderedPageBreak/>
              <w:t>PE</w:t>
            </w:r>
            <w:r>
              <w:rPr>
                <w:rFonts w:ascii="Times New Roman" w:hAnsi="Times New Roman"/>
                <w:sz w:val="21"/>
                <w:szCs w:val="21"/>
              </w:rPr>
              <w:t>防腐层</w:t>
            </w:r>
          </w:p>
        </w:tc>
        <w:tc>
          <w:tcPr>
            <w:tcW w:w="783" w:type="dxa"/>
            <w:vAlign w:val="center"/>
          </w:tcPr>
          <w:p w14:paraId="1F0BE86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lastRenderedPageBreak/>
              <w:t>km</w:t>
            </w:r>
          </w:p>
        </w:tc>
        <w:tc>
          <w:tcPr>
            <w:tcW w:w="1401" w:type="dxa"/>
            <w:vAlign w:val="center"/>
          </w:tcPr>
          <w:p w14:paraId="26E0335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37.8</w:t>
            </w:r>
          </w:p>
        </w:tc>
        <w:tc>
          <w:tcPr>
            <w:tcW w:w="2221" w:type="dxa"/>
            <w:vAlign w:val="center"/>
          </w:tcPr>
          <w:p w14:paraId="021DEAEC" w14:textId="77777777" w:rsidR="007D1E74" w:rsidRDefault="007D1E74">
            <w:pPr>
              <w:tabs>
                <w:tab w:val="left" w:pos="964"/>
              </w:tabs>
              <w:jc w:val="center"/>
              <w:rPr>
                <w:b/>
                <w:szCs w:val="21"/>
              </w:rPr>
            </w:pPr>
          </w:p>
        </w:tc>
      </w:tr>
      <w:tr w:rsidR="007D1E74" w14:paraId="503F021F" w14:textId="77777777">
        <w:tc>
          <w:tcPr>
            <w:tcW w:w="684" w:type="dxa"/>
            <w:vAlign w:val="center"/>
          </w:tcPr>
          <w:p w14:paraId="71364879" w14:textId="77777777" w:rsidR="007D1E74" w:rsidRDefault="00A95641">
            <w:pPr>
              <w:tabs>
                <w:tab w:val="left" w:pos="964"/>
              </w:tabs>
              <w:jc w:val="center"/>
              <w:rPr>
                <w:b/>
                <w:szCs w:val="21"/>
              </w:rPr>
            </w:pPr>
            <w:r>
              <w:rPr>
                <w:b/>
                <w:szCs w:val="21"/>
              </w:rPr>
              <w:t>二</w:t>
            </w:r>
          </w:p>
        </w:tc>
        <w:tc>
          <w:tcPr>
            <w:tcW w:w="3981" w:type="dxa"/>
            <w:vAlign w:val="center"/>
          </w:tcPr>
          <w:p w14:paraId="4A873DB9" w14:textId="77777777" w:rsidR="007D1E74" w:rsidRDefault="00A95641">
            <w:pPr>
              <w:tabs>
                <w:tab w:val="left" w:pos="964"/>
              </w:tabs>
              <w:jc w:val="center"/>
              <w:rPr>
                <w:b/>
                <w:szCs w:val="21"/>
              </w:rPr>
            </w:pPr>
            <w:r>
              <w:rPr>
                <w:b/>
                <w:szCs w:val="21"/>
              </w:rPr>
              <w:t>道路</w:t>
            </w:r>
          </w:p>
        </w:tc>
        <w:tc>
          <w:tcPr>
            <w:tcW w:w="783" w:type="dxa"/>
            <w:vAlign w:val="center"/>
          </w:tcPr>
          <w:p w14:paraId="4157AE1C" w14:textId="77777777" w:rsidR="007D1E74" w:rsidRDefault="007D1E74">
            <w:pPr>
              <w:tabs>
                <w:tab w:val="left" w:pos="964"/>
              </w:tabs>
              <w:jc w:val="center"/>
              <w:rPr>
                <w:b/>
                <w:szCs w:val="21"/>
              </w:rPr>
            </w:pPr>
          </w:p>
        </w:tc>
        <w:tc>
          <w:tcPr>
            <w:tcW w:w="1401" w:type="dxa"/>
            <w:vAlign w:val="center"/>
          </w:tcPr>
          <w:p w14:paraId="5BBF4216" w14:textId="77777777" w:rsidR="007D1E74" w:rsidRDefault="007D1E74">
            <w:pPr>
              <w:tabs>
                <w:tab w:val="left" w:pos="964"/>
              </w:tabs>
              <w:jc w:val="center"/>
              <w:rPr>
                <w:b/>
                <w:szCs w:val="21"/>
              </w:rPr>
            </w:pPr>
          </w:p>
        </w:tc>
        <w:tc>
          <w:tcPr>
            <w:tcW w:w="2221" w:type="dxa"/>
            <w:vAlign w:val="center"/>
          </w:tcPr>
          <w:p w14:paraId="53571EA2" w14:textId="77777777" w:rsidR="007D1E74" w:rsidRDefault="007D1E74">
            <w:pPr>
              <w:tabs>
                <w:tab w:val="left" w:pos="964"/>
              </w:tabs>
              <w:jc w:val="center"/>
              <w:rPr>
                <w:b/>
                <w:szCs w:val="21"/>
              </w:rPr>
            </w:pPr>
          </w:p>
        </w:tc>
      </w:tr>
      <w:tr w:rsidR="007D1E74" w14:paraId="696DB61B" w14:textId="77777777">
        <w:tc>
          <w:tcPr>
            <w:tcW w:w="684" w:type="dxa"/>
            <w:vAlign w:val="center"/>
          </w:tcPr>
          <w:p w14:paraId="1C412DDD" w14:textId="77777777" w:rsidR="007D1E74" w:rsidRDefault="007D1E74">
            <w:pPr>
              <w:tabs>
                <w:tab w:val="left" w:pos="964"/>
              </w:tabs>
              <w:jc w:val="center"/>
              <w:rPr>
                <w:b/>
                <w:szCs w:val="21"/>
              </w:rPr>
            </w:pPr>
          </w:p>
        </w:tc>
        <w:tc>
          <w:tcPr>
            <w:tcW w:w="3981" w:type="dxa"/>
            <w:vAlign w:val="center"/>
          </w:tcPr>
          <w:p w14:paraId="0B893F85" w14:textId="77777777" w:rsidR="007D1E74" w:rsidRDefault="00A95641">
            <w:pPr>
              <w:tabs>
                <w:tab w:val="left" w:pos="964"/>
              </w:tabs>
              <w:jc w:val="center"/>
              <w:rPr>
                <w:bCs/>
                <w:szCs w:val="21"/>
              </w:rPr>
            </w:pPr>
            <w:r>
              <w:rPr>
                <w:bCs/>
                <w:szCs w:val="21"/>
              </w:rPr>
              <w:t>施工便道</w:t>
            </w:r>
          </w:p>
        </w:tc>
        <w:tc>
          <w:tcPr>
            <w:tcW w:w="783" w:type="dxa"/>
            <w:vAlign w:val="center"/>
          </w:tcPr>
          <w:p w14:paraId="2B5688B1" w14:textId="77777777" w:rsidR="007D1E74" w:rsidRDefault="00A95641">
            <w:pPr>
              <w:tabs>
                <w:tab w:val="left" w:pos="964"/>
              </w:tabs>
              <w:jc w:val="center"/>
              <w:rPr>
                <w:bCs/>
                <w:szCs w:val="21"/>
              </w:rPr>
            </w:pPr>
            <w:r>
              <w:rPr>
                <w:bCs/>
                <w:szCs w:val="21"/>
              </w:rPr>
              <w:t>km</w:t>
            </w:r>
          </w:p>
        </w:tc>
        <w:tc>
          <w:tcPr>
            <w:tcW w:w="1401" w:type="dxa"/>
            <w:vAlign w:val="center"/>
          </w:tcPr>
          <w:p w14:paraId="31C6AAB2" w14:textId="77777777" w:rsidR="007D1E74" w:rsidRDefault="00A95641">
            <w:pPr>
              <w:tabs>
                <w:tab w:val="left" w:pos="964"/>
              </w:tabs>
              <w:jc w:val="center"/>
              <w:rPr>
                <w:bCs/>
                <w:szCs w:val="21"/>
              </w:rPr>
            </w:pPr>
            <w:r>
              <w:rPr>
                <w:bCs/>
                <w:szCs w:val="21"/>
              </w:rPr>
              <w:t>2</w:t>
            </w:r>
          </w:p>
        </w:tc>
        <w:tc>
          <w:tcPr>
            <w:tcW w:w="2221" w:type="dxa"/>
            <w:vAlign w:val="center"/>
          </w:tcPr>
          <w:p w14:paraId="2D8F3194" w14:textId="77777777" w:rsidR="007D1E74" w:rsidRDefault="007D1E74">
            <w:pPr>
              <w:tabs>
                <w:tab w:val="left" w:pos="964"/>
              </w:tabs>
              <w:jc w:val="center"/>
              <w:rPr>
                <w:b/>
                <w:szCs w:val="21"/>
              </w:rPr>
            </w:pPr>
          </w:p>
        </w:tc>
      </w:tr>
      <w:tr w:rsidR="007D1E74" w14:paraId="7ED43C84" w14:textId="77777777">
        <w:trPr>
          <w:trHeight w:val="90"/>
        </w:trPr>
        <w:tc>
          <w:tcPr>
            <w:tcW w:w="684" w:type="dxa"/>
            <w:vAlign w:val="center"/>
          </w:tcPr>
          <w:p w14:paraId="30F0249E" w14:textId="77777777" w:rsidR="007D1E74" w:rsidRDefault="007D1E74">
            <w:pPr>
              <w:tabs>
                <w:tab w:val="left" w:pos="964"/>
              </w:tabs>
              <w:jc w:val="center"/>
              <w:rPr>
                <w:b/>
                <w:szCs w:val="21"/>
              </w:rPr>
            </w:pPr>
          </w:p>
        </w:tc>
        <w:tc>
          <w:tcPr>
            <w:tcW w:w="3981" w:type="dxa"/>
            <w:vAlign w:val="center"/>
          </w:tcPr>
          <w:p w14:paraId="07B99014" w14:textId="77777777" w:rsidR="007D1E74" w:rsidRDefault="00A95641">
            <w:pPr>
              <w:tabs>
                <w:tab w:val="left" w:pos="964"/>
              </w:tabs>
              <w:jc w:val="center"/>
              <w:rPr>
                <w:bCs/>
                <w:szCs w:val="21"/>
              </w:rPr>
            </w:pPr>
            <w:r>
              <w:rPr>
                <w:bCs/>
                <w:szCs w:val="21"/>
              </w:rPr>
              <w:t>其中：新建施工便道</w:t>
            </w:r>
          </w:p>
        </w:tc>
        <w:tc>
          <w:tcPr>
            <w:tcW w:w="783" w:type="dxa"/>
            <w:vAlign w:val="center"/>
          </w:tcPr>
          <w:p w14:paraId="74D8F819" w14:textId="77777777" w:rsidR="007D1E74" w:rsidRDefault="00A95641">
            <w:pPr>
              <w:tabs>
                <w:tab w:val="left" w:pos="964"/>
              </w:tabs>
              <w:jc w:val="center"/>
              <w:rPr>
                <w:bCs/>
                <w:szCs w:val="21"/>
              </w:rPr>
            </w:pPr>
            <w:r>
              <w:rPr>
                <w:bCs/>
                <w:szCs w:val="21"/>
              </w:rPr>
              <w:t>km</w:t>
            </w:r>
          </w:p>
        </w:tc>
        <w:tc>
          <w:tcPr>
            <w:tcW w:w="1401" w:type="dxa"/>
            <w:vAlign w:val="center"/>
          </w:tcPr>
          <w:p w14:paraId="42B2D70F" w14:textId="77777777" w:rsidR="007D1E74" w:rsidRDefault="00A95641">
            <w:pPr>
              <w:tabs>
                <w:tab w:val="left" w:pos="964"/>
              </w:tabs>
              <w:jc w:val="center"/>
              <w:rPr>
                <w:bCs/>
                <w:szCs w:val="21"/>
              </w:rPr>
            </w:pPr>
            <w:r>
              <w:rPr>
                <w:bCs/>
                <w:szCs w:val="21"/>
              </w:rPr>
              <w:t>2</w:t>
            </w:r>
          </w:p>
        </w:tc>
        <w:tc>
          <w:tcPr>
            <w:tcW w:w="2221" w:type="dxa"/>
            <w:vAlign w:val="center"/>
          </w:tcPr>
          <w:p w14:paraId="61F13D94" w14:textId="77777777" w:rsidR="007D1E74" w:rsidRDefault="007D1E74">
            <w:pPr>
              <w:tabs>
                <w:tab w:val="left" w:pos="964"/>
              </w:tabs>
              <w:jc w:val="center"/>
              <w:rPr>
                <w:b/>
                <w:szCs w:val="21"/>
              </w:rPr>
            </w:pPr>
          </w:p>
        </w:tc>
      </w:tr>
      <w:tr w:rsidR="007D1E74" w14:paraId="3317C72F" w14:textId="77777777">
        <w:trPr>
          <w:trHeight w:val="291"/>
        </w:trPr>
        <w:tc>
          <w:tcPr>
            <w:tcW w:w="684" w:type="dxa"/>
            <w:vAlign w:val="center"/>
          </w:tcPr>
          <w:p w14:paraId="2F22876B" w14:textId="77777777" w:rsidR="007D1E74" w:rsidRDefault="00A95641">
            <w:pPr>
              <w:tabs>
                <w:tab w:val="left" w:pos="964"/>
              </w:tabs>
              <w:jc w:val="center"/>
              <w:rPr>
                <w:b/>
                <w:szCs w:val="21"/>
              </w:rPr>
            </w:pPr>
            <w:r>
              <w:rPr>
                <w:b/>
                <w:szCs w:val="21"/>
              </w:rPr>
              <w:t>三</w:t>
            </w:r>
          </w:p>
        </w:tc>
        <w:tc>
          <w:tcPr>
            <w:tcW w:w="3981" w:type="dxa"/>
            <w:vAlign w:val="center"/>
          </w:tcPr>
          <w:p w14:paraId="5AB1EA43" w14:textId="77777777" w:rsidR="007D1E74" w:rsidRDefault="00A95641">
            <w:pPr>
              <w:tabs>
                <w:tab w:val="left" w:pos="964"/>
              </w:tabs>
              <w:jc w:val="center"/>
              <w:rPr>
                <w:b/>
                <w:szCs w:val="21"/>
              </w:rPr>
            </w:pPr>
            <w:r>
              <w:rPr>
                <w:b/>
                <w:szCs w:val="21"/>
              </w:rPr>
              <w:t>占地</w:t>
            </w:r>
          </w:p>
        </w:tc>
        <w:tc>
          <w:tcPr>
            <w:tcW w:w="783" w:type="dxa"/>
            <w:vAlign w:val="center"/>
          </w:tcPr>
          <w:p w14:paraId="7674F6BC" w14:textId="77777777" w:rsidR="007D1E74" w:rsidRDefault="00A95641">
            <w:pPr>
              <w:tabs>
                <w:tab w:val="left" w:pos="964"/>
              </w:tabs>
              <w:jc w:val="center"/>
              <w:rPr>
                <w:b/>
                <w:szCs w:val="21"/>
              </w:rPr>
            </w:pPr>
            <w:r>
              <w:rPr>
                <w:bCs/>
                <w:szCs w:val="21"/>
              </w:rPr>
              <w:t>hm</w:t>
            </w:r>
            <w:r>
              <w:rPr>
                <w:bCs/>
                <w:szCs w:val="21"/>
                <w:vertAlign w:val="superscript"/>
              </w:rPr>
              <w:t>2</w:t>
            </w:r>
          </w:p>
        </w:tc>
        <w:tc>
          <w:tcPr>
            <w:tcW w:w="1401" w:type="dxa"/>
            <w:vAlign w:val="center"/>
          </w:tcPr>
          <w:p w14:paraId="002A87CE" w14:textId="77777777" w:rsidR="007D1E74" w:rsidRDefault="00A95641">
            <w:pPr>
              <w:tabs>
                <w:tab w:val="left" w:pos="964"/>
              </w:tabs>
              <w:jc w:val="center"/>
              <w:rPr>
                <w:b/>
                <w:szCs w:val="21"/>
              </w:rPr>
            </w:pPr>
            <w:r>
              <w:rPr>
                <w:b/>
                <w:szCs w:val="21"/>
              </w:rPr>
              <w:t>37.0069</w:t>
            </w:r>
          </w:p>
        </w:tc>
        <w:tc>
          <w:tcPr>
            <w:tcW w:w="2221" w:type="dxa"/>
            <w:vAlign w:val="center"/>
          </w:tcPr>
          <w:p w14:paraId="7AA8A6E6" w14:textId="77777777" w:rsidR="007D1E74" w:rsidRDefault="007D1E74">
            <w:pPr>
              <w:tabs>
                <w:tab w:val="left" w:pos="964"/>
              </w:tabs>
              <w:jc w:val="center"/>
              <w:rPr>
                <w:b/>
                <w:szCs w:val="21"/>
              </w:rPr>
            </w:pPr>
          </w:p>
        </w:tc>
      </w:tr>
      <w:tr w:rsidR="007D1E74" w14:paraId="3EDF28E7" w14:textId="77777777">
        <w:tc>
          <w:tcPr>
            <w:tcW w:w="684" w:type="dxa"/>
            <w:vAlign w:val="center"/>
          </w:tcPr>
          <w:p w14:paraId="32412114" w14:textId="77777777" w:rsidR="007D1E74" w:rsidRDefault="007D1E74">
            <w:pPr>
              <w:tabs>
                <w:tab w:val="left" w:pos="964"/>
              </w:tabs>
              <w:jc w:val="center"/>
              <w:rPr>
                <w:b/>
                <w:szCs w:val="21"/>
              </w:rPr>
            </w:pPr>
          </w:p>
        </w:tc>
        <w:tc>
          <w:tcPr>
            <w:tcW w:w="3981" w:type="dxa"/>
            <w:vAlign w:val="center"/>
          </w:tcPr>
          <w:p w14:paraId="079ECF4A" w14:textId="77777777" w:rsidR="007D1E74" w:rsidRDefault="00A95641">
            <w:pPr>
              <w:tabs>
                <w:tab w:val="left" w:pos="964"/>
              </w:tabs>
              <w:jc w:val="center"/>
              <w:rPr>
                <w:bCs/>
                <w:szCs w:val="21"/>
              </w:rPr>
            </w:pPr>
            <w:r>
              <w:rPr>
                <w:bCs/>
                <w:szCs w:val="21"/>
              </w:rPr>
              <w:t>临时占地</w:t>
            </w:r>
          </w:p>
        </w:tc>
        <w:tc>
          <w:tcPr>
            <w:tcW w:w="783" w:type="dxa"/>
            <w:vAlign w:val="center"/>
          </w:tcPr>
          <w:p w14:paraId="7283073F" w14:textId="77777777" w:rsidR="007D1E74" w:rsidRDefault="00A95641">
            <w:pPr>
              <w:tabs>
                <w:tab w:val="left" w:pos="964"/>
              </w:tabs>
              <w:jc w:val="center"/>
              <w:rPr>
                <w:bCs/>
                <w:szCs w:val="21"/>
              </w:rPr>
            </w:pPr>
            <w:r>
              <w:rPr>
                <w:bCs/>
                <w:szCs w:val="21"/>
              </w:rPr>
              <w:t>hm</w:t>
            </w:r>
            <w:r>
              <w:rPr>
                <w:bCs/>
                <w:szCs w:val="21"/>
                <w:vertAlign w:val="superscript"/>
              </w:rPr>
              <w:t>2</w:t>
            </w:r>
          </w:p>
        </w:tc>
        <w:tc>
          <w:tcPr>
            <w:tcW w:w="1401" w:type="dxa"/>
            <w:vAlign w:val="center"/>
          </w:tcPr>
          <w:p w14:paraId="27B9F306" w14:textId="77777777" w:rsidR="007D1E74" w:rsidRDefault="00A95641">
            <w:pPr>
              <w:tabs>
                <w:tab w:val="left" w:pos="964"/>
              </w:tabs>
              <w:jc w:val="center"/>
              <w:rPr>
                <w:bCs/>
                <w:szCs w:val="21"/>
              </w:rPr>
            </w:pPr>
            <w:r>
              <w:rPr>
                <w:bCs/>
                <w:szCs w:val="21"/>
              </w:rPr>
              <w:t>36.8970</w:t>
            </w:r>
          </w:p>
        </w:tc>
        <w:tc>
          <w:tcPr>
            <w:tcW w:w="2221" w:type="dxa"/>
            <w:vAlign w:val="center"/>
          </w:tcPr>
          <w:p w14:paraId="23ACFFD4" w14:textId="77777777" w:rsidR="007D1E74" w:rsidRDefault="007D1E74">
            <w:pPr>
              <w:tabs>
                <w:tab w:val="left" w:pos="964"/>
              </w:tabs>
              <w:jc w:val="center"/>
              <w:rPr>
                <w:b/>
                <w:szCs w:val="21"/>
              </w:rPr>
            </w:pPr>
          </w:p>
        </w:tc>
      </w:tr>
      <w:tr w:rsidR="007D1E74" w14:paraId="4431DD17" w14:textId="77777777">
        <w:tc>
          <w:tcPr>
            <w:tcW w:w="684" w:type="dxa"/>
            <w:vAlign w:val="center"/>
          </w:tcPr>
          <w:p w14:paraId="12310B4D" w14:textId="77777777" w:rsidR="007D1E74" w:rsidRDefault="007D1E74">
            <w:pPr>
              <w:tabs>
                <w:tab w:val="left" w:pos="964"/>
              </w:tabs>
              <w:jc w:val="center"/>
              <w:rPr>
                <w:b/>
                <w:szCs w:val="21"/>
              </w:rPr>
            </w:pPr>
          </w:p>
        </w:tc>
        <w:tc>
          <w:tcPr>
            <w:tcW w:w="3981" w:type="dxa"/>
            <w:vAlign w:val="center"/>
          </w:tcPr>
          <w:p w14:paraId="7E8B333B" w14:textId="77777777" w:rsidR="007D1E74" w:rsidRDefault="00A95641">
            <w:pPr>
              <w:tabs>
                <w:tab w:val="left" w:pos="964"/>
              </w:tabs>
              <w:jc w:val="center"/>
              <w:rPr>
                <w:bCs/>
                <w:szCs w:val="21"/>
              </w:rPr>
            </w:pPr>
            <w:r>
              <w:rPr>
                <w:bCs/>
                <w:szCs w:val="21"/>
              </w:rPr>
              <w:t>永久占地</w:t>
            </w:r>
          </w:p>
        </w:tc>
        <w:tc>
          <w:tcPr>
            <w:tcW w:w="783" w:type="dxa"/>
            <w:vAlign w:val="center"/>
          </w:tcPr>
          <w:p w14:paraId="3D39495B" w14:textId="77777777" w:rsidR="007D1E74" w:rsidRDefault="00A95641">
            <w:pPr>
              <w:tabs>
                <w:tab w:val="left" w:pos="964"/>
              </w:tabs>
              <w:jc w:val="center"/>
              <w:rPr>
                <w:bCs/>
                <w:szCs w:val="21"/>
              </w:rPr>
            </w:pPr>
            <w:r>
              <w:rPr>
                <w:bCs/>
                <w:szCs w:val="21"/>
              </w:rPr>
              <w:t>hm</w:t>
            </w:r>
            <w:r>
              <w:rPr>
                <w:bCs/>
                <w:szCs w:val="21"/>
                <w:vertAlign w:val="superscript"/>
              </w:rPr>
              <w:t>2</w:t>
            </w:r>
          </w:p>
        </w:tc>
        <w:tc>
          <w:tcPr>
            <w:tcW w:w="1401" w:type="dxa"/>
            <w:vAlign w:val="center"/>
          </w:tcPr>
          <w:p w14:paraId="59C009B0" w14:textId="77777777" w:rsidR="007D1E74" w:rsidRDefault="00A95641">
            <w:pPr>
              <w:tabs>
                <w:tab w:val="left" w:pos="964"/>
              </w:tabs>
              <w:jc w:val="center"/>
              <w:rPr>
                <w:bCs/>
                <w:szCs w:val="21"/>
              </w:rPr>
            </w:pPr>
            <w:r>
              <w:rPr>
                <w:bCs/>
                <w:szCs w:val="21"/>
              </w:rPr>
              <w:t>0.1099</w:t>
            </w:r>
          </w:p>
        </w:tc>
        <w:tc>
          <w:tcPr>
            <w:tcW w:w="2221" w:type="dxa"/>
            <w:vAlign w:val="center"/>
          </w:tcPr>
          <w:p w14:paraId="374098C7" w14:textId="77777777" w:rsidR="007D1E74" w:rsidRDefault="007D1E74">
            <w:pPr>
              <w:tabs>
                <w:tab w:val="left" w:pos="964"/>
              </w:tabs>
              <w:jc w:val="center"/>
              <w:rPr>
                <w:b/>
                <w:szCs w:val="21"/>
              </w:rPr>
            </w:pPr>
          </w:p>
        </w:tc>
      </w:tr>
      <w:tr w:rsidR="007D1E74" w14:paraId="4A19610C" w14:textId="77777777">
        <w:tc>
          <w:tcPr>
            <w:tcW w:w="684" w:type="dxa"/>
            <w:vAlign w:val="center"/>
          </w:tcPr>
          <w:p w14:paraId="47FB8A2E" w14:textId="77777777" w:rsidR="007D1E74" w:rsidRDefault="00A95641">
            <w:pPr>
              <w:tabs>
                <w:tab w:val="left" w:pos="964"/>
              </w:tabs>
              <w:jc w:val="center"/>
              <w:rPr>
                <w:b/>
                <w:szCs w:val="21"/>
              </w:rPr>
            </w:pPr>
            <w:r>
              <w:rPr>
                <w:b/>
                <w:szCs w:val="21"/>
              </w:rPr>
              <w:t>四</w:t>
            </w:r>
          </w:p>
        </w:tc>
        <w:tc>
          <w:tcPr>
            <w:tcW w:w="3981" w:type="dxa"/>
            <w:vAlign w:val="center"/>
          </w:tcPr>
          <w:p w14:paraId="17F0E3D9" w14:textId="77777777" w:rsidR="007D1E74" w:rsidRDefault="00A95641">
            <w:pPr>
              <w:tabs>
                <w:tab w:val="left" w:pos="964"/>
              </w:tabs>
              <w:jc w:val="center"/>
              <w:rPr>
                <w:b/>
                <w:szCs w:val="21"/>
              </w:rPr>
            </w:pPr>
            <w:r>
              <w:rPr>
                <w:b/>
                <w:szCs w:val="21"/>
              </w:rPr>
              <w:t>土石方</w:t>
            </w:r>
          </w:p>
        </w:tc>
        <w:tc>
          <w:tcPr>
            <w:tcW w:w="783" w:type="dxa"/>
            <w:vAlign w:val="center"/>
          </w:tcPr>
          <w:p w14:paraId="0F61CD35" w14:textId="77777777" w:rsidR="007D1E74" w:rsidRDefault="007D1E74">
            <w:pPr>
              <w:tabs>
                <w:tab w:val="left" w:pos="964"/>
              </w:tabs>
              <w:jc w:val="center"/>
              <w:rPr>
                <w:b/>
                <w:szCs w:val="21"/>
              </w:rPr>
            </w:pPr>
          </w:p>
        </w:tc>
        <w:tc>
          <w:tcPr>
            <w:tcW w:w="1401" w:type="dxa"/>
            <w:vAlign w:val="center"/>
          </w:tcPr>
          <w:p w14:paraId="360A27C5" w14:textId="77777777" w:rsidR="007D1E74" w:rsidRDefault="007D1E74">
            <w:pPr>
              <w:tabs>
                <w:tab w:val="left" w:pos="964"/>
              </w:tabs>
              <w:jc w:val="center"/>
              <w:rPr>
                <w:b/>
                <w:szCs w:val="21"/>
              </w:rPr>
            </w:pPr>
          </w:p>
        </w:tc>
        <w:tc>
          <w:tcPr>
            <w:tcW w:w="2221" w:type="dxa"/>
            <w:vAlign w:val="center"/>
          </w:tcPr>
          <w:p w14:paraId="3EA48F47" w14:textId="77777777" w:rsidR="007D1E74" w:rsidRDefault="007D1E74">
            <w:pPr>
              <w:tabs>
                <w:tab w:val="left" w:pos="964"/>
              </w:tabs>
              <w:jc w:val="center"/>
              <w:rPr>
                <w:b/>
                <w:szCs w:val="21"/>
              </w:rPr>
            </w:pPr>
          </w:p>
        </w:tc>
      </w:tr>
      <w:tr w:rsidR="007D1E74" w14:paraId="2F2087F1" w14:textId="77777777">
        <w:tc>
          <w:tcPr>
            <w:tcW w:w="684" w:type="dxa"/>
            <w:vAlign w:val="center"/>
          </w:tcPr>
          <w:p w14:paraId="4AACE36C" w14:textId="77777777" w:rsidR="007D1E74" w:rsidRDefault="007D1E74">
            <w:pPr>
              <w:tabs>
                <w:tab w:val="left" w:pos="964"/>
              </w:tabs>
              <w:jc w:val="center"/>
              <w:rPr>
                <w:b/>
                <w:szCs w:val="21"/>
              </w:rPr>
            </w:pPr>
          </w:p>
        </w:tc>
        <w:tc>
          <w:tcPr>
            <w:tcW w:w="3981" w:type="dxa"/>
            <w:vAlign w:val="center"/>
          </w:tcPr>
          <w:p w14:paraId="659D8CC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土石方开挖</w:t>
            </w:r>
          </w:p>
        </w:tc>
        <w:tc>
          <w:tcPr>
            <w:tcW w:w="783" w:type="dxa"/>
            <w:vAlign w:val="center"/>
          </w:tcPr>
          <w:p w14:paraId="682FD496" w14:textId="77777777" w:rsidR="007D1E74" w:rsidRDefault="00A95641">
            <w:pPr>
              <w:pStyle w:val="TableParagraph"/>
              <w:adjustRightInd/>
              <w:jc w:val="center"/>
              <w:rPr>
                <w:rFonts w:ascii="Times New Roman" w:hAnsi="Times New Roman"/>
                <w:sz w:val="21"/>
                <w:szCs w:val="21"/>
              </w:rPr>
            </w:pPr>
            <w:r>
              <w:rPr>
                <w:rFonts w:ascii="Times New Roman" w:hAnsi="Times New Roman"/>
                <w:position w:val="-6"/>
                <w:sz w:val="21"/>
                <w:szCs w:val="21"/>
              </w:rPr>
              <w:t>m</w:t>
            </w:r>
            <w:r>
              <w:rPr>
                <w:rFonts w:ascii="Times New Roman" w:hAnsi="Times New Roman"/>
                <w:position w:val="-6"/>
                <w:sz w:val="21"/>
                <w:szCs w:val="21"/>
                <w:vertAlign w:val="superscript"/>
              </w:rPr>
              <w:t>3</w:t>
            </w:r>
          </w:p>
        </w:tc>
        <w:tc>
          <w:tcPr>
            <w:tcW w:w="1401" w:type="dxa"/>
            <w:vAlign w:val="center"/>
          </w:tcPr>
          <w:p w14:paraId="0DFB743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117026</w:t>
            </w:r>
          </w:p>
        </w:tc>
        <w:tc>
          <w:tcPr>
            <w:tcW w:w="2221" w:type="dxa"/>
            <w:vAlign w:val="center"/>
          </w:tcPr>
          <w:p w14:paraId="02A5D672" w14:textId="77777777" w:rsidR="007D1E74" w:rsidRDefault="007D1E74">
            <w:pPr>
              <w:tabs>
                <w:tab w:val="left" w:pos="964"/>
              </w:tabs>
              <w:jc w:val="center"/>
              <w:rPr>
                <w:b/>
                <w:szCs w:val="21"/>
              </w:rPr>
            </w:pPr>
          </w:p>
        </w:tc>
      </w:tr>
      <w:tr w:rsidR="007D1E74" w14:paraId="1458A6D9" w14:textId="77777777">
        <w:tc>
          <w:tcPr>
            <w:tcW w:w="684" w:type="dxa"/>
            <w:vAlign w:val="center"/>
          </w:tcPr>
          <w:p w14:paraId="0E0BE8B2" w14:textId="77777777" w:rsidR="007D1E74" w:rsidRDefault="007D1E74">
            <w:pPr>
              <w:tabs>
                <w:tab w:val="left" w:pos="964"/>
              </w:tabs>
              <w:jc w:val="center"/>
              <w:rPr>
                <w:b/>
                <w:szCs w:val="21"/>
              </w:rPr>
            </w:pPr>
          </w:p>
        </w:tc>
        <w:tc>
          <w:tcPr>
            <w:tcW w:w="3981" w:type="dxa"/>
            <w:vAlign w:val="center"/>
          </w:tcPr>
          <w:p w14:paraId="79EAAB5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土石方回填</w:t>
            </w:r>
          </w:p>
        </w:tc>
        <w:tc>
          <w:tcPr>
            <w:tcW w:w="783" w:type="dxa"/>
            <w:vAlign w:val="center"/>
          </w:tcPr>
          <w:p w14:paraId="3ABCD931" w14:textId="77777777" w:rsidR="007D1E74" w:rsidRDefault="00A95641">
            <w:pPr>
              <w:jc w:val="center"/>
              <w:rPr>
                <w:kern w:val="0"/>
                <w:szCs w:val="21"/>
              </w:rPr>
            </w:pPr>
            <w:r>
              <w:rPr>
                <w:position w:val="-6"/>
                <w:szCs w:val="21"/>
              </w:rPr>
              <w:t>m</w:t>
            </w:r>
            <w:r>
              <w:rPr>
                <w:position w:val="-6"/>
                <w:szCs w:val="21"/>
                <w:vertAlign w:val="superscript"/>
              </w:rPr>
              <w:t>3</w:t>
            </w:r>
          </w:p>
        </w:tc>
        <w:tc>
          <w:tcPr>
            <w:tcW w:w="1401" w:type="dxa"/>
            <w:vAlign w:val="center"/>
          </w:tcPr>
          <w:p w14:paraId="79E4EE8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113340</w:t>
            </w:r>
          </w:p>
        </w:tc>
        <w:tc>
          <w:tcPr>
            <w:tcW w:w="2221" w:type="dxa"/>
            <w:vAlign w:val="center"/>
          </w:tcPr>
          <w:p w14:paraId="5E9EFCE4" w14:textId="77777777" w:rsidR="007D1E74" w:rsidRDefault="007D1E74">
            <w:pPr>
              <w:tabs>
                <w:tab w:val="left" w:pos="964"/>
              </w:tabs>
              <w:jc w:val="center"/>
              <w:rPr>
                <w:b/>
                <w:szCs w:val="21"/>
              </w:rPr>
            </w:pPr>
          </w:p>
        </w:tc>
      </w:tr>
      <w:tr w:rsidR="007D1E74" w14:paraId="5ADC269C" w14:textId="77777777">
        <w:tc>
          <w:tcPr>
            <w:tcW w:w="684" w:type="dxa"/>
            <w:vAlign w:val="center"/>
          </w:tcPr>
          <w:p w14:paraId="28059B84" w14:textId="77777777" w:rsidR="007D1E74" w:rsidRDefault="007D1E74">
            <w:pPr>
              <w:tabs>
                <w:tab w:val="left" w:pos="964"/>
              </w:tabs>
              <w:jc w:val="center"/>
              <w:rPr>
                <w:b/>
                <w:szCs w:val="21"/>
              </w:rPr>
            </w:pPr>
          </w:p>
        </w:tc>
        <w:tc>
          <w:tcPr>
            <w:tcW w:w="3981" w:type="dxa"/>
            <w:vAlign w:val="center"/>
          </w:tcPr>
          <w:p w14:paraId="7A2BD1C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剩余土方</w:t>
            </w:r>
          </w:p>
        </w:tc>
        <w:tc>
          <w:tcPr>
            <w:tcW w:w="783" w:type="dxa"/>
            <w:vAlign w:val="center"/>
          </w:tcPr>
          <w:p w14:paraId="7E1B62F5" w14:textId="77777777" w:rsidR="007D1E74" w:rsidRDefault="00A95641">
            <w:pPr>
              <w:jc w:val="center"/>
              <w:rPr>
                <w:kern w:val="0"/>
                <w:szCs w:val="21"/>
              </w:rPr>
            </w:pPr>
            <w:r>
              <w:rPr>
                <w:position w:val="-6"/>
                <w:szCs w:val="21"/>
              </w:rPr>
              <w:t>m</w:t>
            </w:r>
            <w:r>
              <w:rPr>
                <w:position w:val="-6"/>
                <w:szCs w:val="21"/>
                <w:vertAlign w:val="superscript"/>
              </w:rPr>
              <w:t>3</w:t>
            </w:r>
          </w:p>
        </w:tc>
        <w:tc>
          <w:tcPr>
            <w:tcW w:w="1401" w:type="dxa"/>
            <w:vAlign w:val="center"/>
          </w:tcPr>
          <w:p w14:paraId="7BB03C8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3686</w:t>
            </w:r>
          </w:p>
        </w:tc>
        <w:tc>
          <w:tcPr>
            <w:tcW w:w="2221" w:type="dxa"/>
            <w:vAlign w:val="center"/>
          </w:tcPr>
          <w:p w14:paraId="330ED3B2" w14:textId="77777777" w:rsidR="007D1E74" w:rsidRDefault="00A95641">
            <w:pPr>
              <w:tabs>
                <w:tab w:val="left" w:pos="964"/>
              </w:tabs>
              <w:jc w:val="center"/>
              <w:rPr>
                <w:b/>
                <w:szCs w:val="21"/>
              </w:rPr>
            </w:pPr>
            <w:r>
              <w:rPr>
                <w:szCs w:val="21"/>
              </w:rPr>
              <w:t>就地平整，无永久弃方</w:t>
            </w:r>
          </w:p>
        </w:tc>
      </w:tr>
    </w:tbl>
    <w:p w14:paraId="4AC20B6F" w14:textId="77777777" w:rsidR="007D1E74" w:rsidRDefault="00A95641">
      <w:pPr>
        <w:tabs>
          <w:tab w:val="left" w:pos="964"/>
        </w:tabs>
        <w:spacing w:before="68" w:after="20"/>
        <w:ind w:right="75"/>
        <w:jc w:val="center"/>
        <w:rPr>
          <w:b/>
        </w:rPr>
      </w:pPr>
      <w:r>
        <w:rPr>
          <w:b/>
        </w:rPr>
        <w:t>表</w:t>
      </w:r>
      <w:r>
        <w:rPr>
          <w:b/>
        </w:rPr>
        <w:t>3.1-5</w:t>
      </w:r>
      <w:r>
        <w:rPr>
          <w:b/>
        </w:rPr>
        <w:tab/>
      </w:r>
      <w:r>
        <w:rPr>
          <w:b/>
        </w:rPr>
        <w:t>主要技术经济</w:t>
      </w:r>
      <w:r>
        <w:rPr>
          <w:b/>
          <w:spacing w:val="-3"/>
        </w:rPr>
        <w:t>指</w:t>
      </w:r>
      <w:r>
        <w:rPr>
          <w:b/>
        </w:rPr>
        <w:t>标表</w:t>
      </w:r>
    </w:p>
    <w:tbl>
      <w:tblPr>
        <w:tblW w:w="91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41"/>
        <w:gridCol w:w="985"/>
        <w:gridCol w:w="2622"/>
        <w:gridCol w:w="1464"/>
        <w:gridCol w:w="1239"/>
        <w:gridCol w:w="2180"/>
      </w:tblGrid>
      <w:tr w:rsidR="007D1E74" w14:paraId="1E2EFCF5" w14:textId="77777777">
        <w:trPr>
          <w:trHeight w:val="258"/>
          <w:jc w:val="center"/>
        </w:trPr>
        <w:tc>
          <w:tcPr>
            <w:tcW w:w="641" w:type="dxa"/>
            <w:vAlign w:val="center"/>
          </w:tcPr>
          <w:p w14:paraId="113D763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序号</w:t>
            </w:r>
          </w:p>
        </w:tc>
        <w:tc>
          <w:tcPr>
            <w:tcW w:w="3607" w:type="dxa"/>
            <w:gridSpan w:val="2"/>
            <w:vAlign w:val="center"/>
          </w:tcPr>
          <w:p w14:paraId="7DED147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项目</w:t>
            </w:r>
          </w:p>
        </w:tc>
        <w:tc>
          <w:tcPr>
            <w:tcW w:w="1464" w:type="dxa"/>
            <w:vAlign w:val="center"/>
          </w:tcPr>
          <w:p w14:paraId="0B36F61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单位</w:t>
            </w:r>
          </w:p>
        </w:tc>
        <w:tc>
          <w:tcPr>
            <w:tcW w:w="1239" w:type="dxa"/>
            <w:vAlign w:val="center"/>
          </w:tcPr>
          <w:p w14:paraId="568AC61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数量</w:t>
            </w:r>
          </w:p>
        </w:tc>
        <w:tc>
          <w:tcPr>
            <w:tcW w:w="2180" w:type="dxa"/>
            <w:vAlign w:val="center"/>
          </w:tcPr>
          <w:p w14:paraId="24DF1B8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备注</w:t>
            </w:r>
          </w:p>
        </w:tc>
      </w:tr>
      <w:tr w:rsidR="007D1E74" w14:paraId="1378C7F2" w14:textId="77777777">
        <w:trPr>
          <w:trHeight w:val="456"/>
          <w:jc w:val="center"/>
        </w:trPr>
        <w:tc>
          <w:tcPr>
            <w:tcW w:w="641" w:type="dxa"/>
            <w:vMerge w:val="restart"/>
            <w:vAlign w:val="center"/>
          </w:tcPr>
          <w:p w14:paraId="0BAAF55C"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1</w:t>
            </w:r>
          </w:p>
        </w:tc>
        <w:tc>
          <w:tcPr>
            <w:tcW w:w="985" w:type="dxa"/>
            <w:vMerge w:val="restart"/>
            <w:vAlign w:val="center"/>
          </w:tcPr>
          <w:p w14:paraId="3893804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设计输气量</w:t>
            </w:r>
          </w:p>
        </w:tc>
        <w:tc>
          <w:tcPr>
            <w:tcW w:w="2622" w:type="dxa"/>
            <w:vAlign w:val="center"/>
          </w:tcPr>
          <w:p w14:paraId="0DADAE17" w14:textId="77777777" w:rsidR="007D1E74" w:rsidRDefault="00A95641">
            <w:pPr>
              <w:pStyle w:val="TableParagraph"/>
              <w:adjustRightInd/>
              <w:jc w:val="center"/>
              <w:rPr>
                <w:rFonts w:ascii="Times New Roman" w:hAnsi="Times New Roman"/>
                <w:sz w:val="21"/>
                <w:szCs w:val="18"/>
              </w:rPr>
            </w:pPr>
            <w:r>
              <w:rPr>
                <w:rFonts w:ascii="Times New Roman" w:hAnsi="Times New Roman"/>
                <w:sz w:val="21"/>
                <w:szCs w:val="18"/>
              </w:rPr>
              <w:t>1#</w:t>
            </w:r>
            <w:r>
              <w:rPr>
                <w:rFonts w:ascii="Times New Roman" w:hAnsi="Times New Roman"/>
                <w:sz w:val="21"/>
                <w:szCs w:val="18"/>
              </w:rPr>
              <w:t>阀室至马</w:t>
            </w:r>
            <w:r>
              <w:rPr>
                <w:rFonts w:ascii="Times New Roman" w:hAnsi="Times New Roman"/>
                <w:sz w:val="21"/>
                <w:szCs w:val="18"/>
              </w:rPr>
              <w:t>1-11</w:t>
            </w:r>
            <w:r>
              <w:rPr>
                <w:rFonts w:ascii="Times New Roman" w:hAnsi="Times New Roman"/>
                <w:sz w:val="21"/>
                <w:szCs w:val="18"/>
              </w:rPr>
              <w:t>脱水井场</w:t>
            </w:r>
          </w:p>
        </w:tc>
        <w:tc>
          <w:tcPr>
            <w:tcW w:w="1464" w:type="dxa"/>
            <w:vMerge w:val="restart"/>
            <w:vAlign w:val="center"/>
          </w:tcPr>
          <w:p w14:paraId="5AFC70F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10</w:t>
            </w:r>
            <w:r>
              <w:rPr>
                <w:rFonts w:ascii="Times New Roman" w:hAnsi="Times New Roman"/>
                <w:sz w:val="21"/>
                <w:szCs w:val="21"/>
                <w:vertAlign w:val="superscript"/>
              </w:rPr>
              <w:t>4</w:t>
            </w:r>
            <w:r>
              <w:rPr>
                <w:rFonts w:ascii="Times New Roman" w:hAnsi="Times New Roman"/>
                <w:sz w:val="21"/>
                <w:szCs w:val="21"/>
              </w:rPr>
              <w:t>m</w:t>
            </w:r>
            <w:r>
              <w:rPr>
                <w:rFonts w:ascii="Times New Roman" w:hAnsi="Times New Roman"/>
                <w:sz w:val="21"/>
                <w:szCs w:val="21"/>
                <w:vertAlign w:val="superscript"/>
              </w:rPr>
              <w:t>3</w:t>
            </w:r>
            <w:r>
              <w:rPr>
                <w:rFonts w:ascii="Times New Roman" w:hAnsi="Times New Roman"/>
                <w:sz w:val="21"/>
                <w:szCs w:val="21"/>
              </w:rPr>
              <w:t>/d</w:t>
            </w:r>
          </w:p>
        </w:tc>
        <w:tc>
          <w:tcPr>
            <w:tcW w:w="1239" w:type="dxa"/>
            <w:vAlign w:val="center"/>
          </w:tcPr>
          <w:p w14:paraId="21866795" w14:textId="77777777" w:rsidR="007D1E74" w:rsidRDefault="00A95641">
            <w:pPr>
              <w:pStyle w:val="TableParagraph"/>
              <w:adjustRightInd/>
              <w:jc w:val="center"/>
              <w:rPr>
                <w:rFonts w:ascii="Times New Roman" w:hAnsi="Times New Roman"/>
                <w:sz w:val="21"/>
                <w:szCs w:val="21"/>
              </w:rPr>
            </w:pPr>
            <w:r>
              <w:rPr>
                <w:rFonts w:ascii="Times New Roman" w:hAnsi="Times New Roman"/>
                <w:szCs w:val="21"/>
              </w:rPr>
              <w:t>150</w:t>
            </w:r>
          </w:p>
        </w:tc>
        <w:tc>
          <w:tcPr>
            <w:tcW w:w="2180" w:type="dxa"/>
            <w:vAlign w:val="center"/>
          </w:tcPr>
          <w:p w14:paraId="3C408D4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w:t>
            </w:r>
          </w:p>
        </w:tc>
      </w:tr>
      <w:tr w:rsidR="007D1E74" w14:paraId="31582FEF" w14:textId="77777777">
        <w:trPr>
          <w:trHeight w:val="191"/>
          <w:jc w:val="center"/>
        </w:trPr>
        <w:tc>
          <w:tcPr>
            <w:tcW w:w="641" w:type="dxa"/>
            <w:vMerge/>
            <w:vAlign w:val="center"/>
          </w:tcPr>
          <w:p w14:paraId="1B9B38A7" w14:textId="77777777" w:rsidR="007D1E74" w:rsidRDefault="007D1E74">
            <w:pPr>
              <w:jc w:val="center"/>
              <w:rPr>
                <w:szCs w:val="21"/>
              </w:rPr>
            </w:pPr>
          </w:p>
        </w:tc>
        <w:tc>
          <w:tcPr>
            <w:tcW w:w="985" w:type="dxa"/>
            <w:vMerge/>
            <w:vAlign w:val="center"/>
          </w:tcPr>
          <w:p w14:paraId="2CD918D0" w14:textId="77777777" w:rsidR="007D1E74" w:rsidRDefault="007D1E74">
            <w:pPr>
              <w:jc w:val="center"/>
              <w:rPr>
                <w:szCs w:val="21"/>
              </w:rPr>
            </w:pPr>
          </w:p>
        </w:tc>
        <w:tc>
          <w:tcPr>
            <w:tcW w:w="2622" w:type="dxa"/>
            <w:vAlign w:val="center"/>
          </w:tcPr>
          <w:p w14:paraId="1F99BB9B" w14:textId="77777777" w:rsidR="007D1E74" w:rsidRDefault="00A95641">
            <w:pPr>
              <w:pStyle w:val="TableParagraph"/>
              <w:adjustRightInd/>
              <w:jc w:val="center"/>
              <w:rPr>
                <w:rFonts w:ascii="Times New Roman" w:hAnsi="Times New Roman"/>
                <w:sz w:val="21"/>
                <w:szCs w:val="18"/>
              </w:rPr>
            </w:pPr>
            <w:r>
              <w:rPr>
                <w:rFonts w:ascii="Times New Roman" w:hAnsi="Times New Roman"/>
                <w:sz w:val="21"/>
                <w:szCs w:val="18"/>
              </w:rPr>
              <w:t>马</w:t>
            </w:r>
            <w:r>
              <w:rPr>
                <w:rFonts w:ascii="Times New Roman" w:hAnsi="Times New Roman"/>
                <w:sz w:val="21"/>
                <w:szCs w:val="18"/>
              </w:rPr>
              <w:t>1-10H</w:t>
            </w:r>
            <w:r>
              <w:rPr>
                <w:rFonts w:ascii="Times New Roman" w:hAnsi="Times New Roman"/>
                <w:sz w:val="21"/>
                <w:szCs w:val="18"/>
              </w:rPr>
              <w:t>采气井场至马</w:t>
            </w:r>
            <w:r>
              <w:rPr>
                <w:rFonts w:ascii="Times New Roman" w:hAnsi="Times New Roman"/>
                <w:sz w:val="21"/>
                <w:szCs w:val="18"/>
              </w:rPr>
              <w:t>1-1</w:t>
            </w:r>
            <w:r>
              <w:rPr>
                <w:rFonts w:ascii="Times New Roman" w:hAnsi="Times New Roman"/>
                <w:sz w:val="21"/>
                <w:szCs w:val="18"/>
              </w:rPr>
              <w:t>集气支线</w:t>
            </w:r>
          </w:p>
        </w:tc>
        <w:tc>
          <w:tcPr>
            <w:tcW w:w="1464" w:type="dxa"/>
            <w:vMerge/>
            <w:vAlign w:val="center"/>
          </w:tcPr>
          <w:p w14:paraId="67BEED31" w14:textId="77777777" w:rsidR="007D1E74" w:rsidRDefault="007D1E74">
            <w:pPr>
              <w:jc w:val="center"/>
              <w:rPr>
                <w:szCs w:val="21"/>
              </w:rPr>
            </w:pPr>
          </w:p>
        </w:tc>
        <w:tc>
          <w:tcPr>
            <w:tcW w:w="1239" w:type="dxa"/>
          </w:tcPr>
          <w:p w14:paraId="229E605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w:t>
            </w:r>
          </w:p>
        </w:tc>
        <w:tc>
          <w:tcPr>
            <w:tcW w:w="2180" w:type="dxa"/>
            <w:vAlign w:val="center"/>
          </w:tcPr>
          <w:p w14:paraId="30E3E1BF" w14:textId="77777777" w:rsidR="007D1E74" w:rsidRDefault="007D1E74">
            <w:pPr>
              <w:pStyle w:val="TableParagraph"/>
              <w:adjustRightInd/>
              <w:jc w:val="center"/>
              <w:rPr>
                <w:rFonts w:ascii="Times New Roman" w:hAnsi="Times New Roman"/>
                <w:sz w:val="21"/>
                <w:szCs w:val="21"/>
              </w:rPr>
            </w:pPr>
          </w:p>
        </w:tc>
      </w:tr>
      <w:tr w:rsidR="007D1E74" w14:paraId="64C3C89F" w14:textId="77777777">
        <w:trPr>
          <w:trHeight w:val="191"/>
          <w:jc w:val="center"/>
        </w:trPr>
        <w:tc>
          <w:tcPr>
            <w:tcW w:w="641" w:type="dxa"/>
            <w:vMerge/>
            <w:vAlign w:val="center"/>
          </w:tcPr>
          <w:p w14:paraId="1F33AB9C" w14:textId="77777777" w:rsidR="007D1E74" w:rsidRDefault="007D1E74">
            <w:pPr>
              <w:jc w:val="center"/>
              <w:rPr>
                <w:szCs w:val="21"/>
              </w:rPr>
            </w:pPr>
          </w:p>
        </w:tc>
        <w:tc>
          <w:tcPr>
            <w:tcW w:w="985" w:type="dxa"/>
            <w:vMerge/>
            <w:vAlign w:val="center"/>
          </w:tcPr>
          <w:p w14:paraId="1C4B339A" w14:textId="77777777" w:rsidR="007D1E74" w:rsidRDefault="007D1E74">
            <w:pPr>
              <w:jc w:val="center"/>
              <w:rPr>
                <w:szCs w:val="21"/>
              </w:rPr>
            </w:pPr>
          </w:p>
        </w:tc>
        <w:tc>
          <w:tcPr>
            <w:tcW w:w="2622" w:type="dxa"/>
            <w:vAlign w:val="center"/>
          </w:tcPr>
          <w:p w14:paraId="0C0749B4" w14:textId="77777777" w:rsidR="007D1E74" w:rsidRDefault="00A95641">
            <w:pPr>
              <w:pStyle w:val="TableParagraph"/>
              <w:adjustRightInd/>
              <w:jc w:val="center"/>
              <w:rPr>
                <w:rFonts w:ascii="Times New Roman" w:hAnsi="Times New Roman"/>
                <w:sz w:val="21"/>
                <w:szCs w:val="18"/>
              </w:rPr>
            </w:pPr>
            <w:r>
              <w:rPr>
                <w:rFonts w:ascii="Times New Roman" w:hAnsi="Times New Roman"/>
                <w:sz w:val="21"/>
                <w:szCs w:val="18"/>
              </w:rPr>
              <w:t>马</w:t>
            </w:r>
            <w:r>
              <w:rPr>
                <w:rFonts w:ascii="Times New Roman" w:hAnsi="Times New Roman"/>
                <w:sz w:val="21"/>
                <w:szCs w:val="18"/>
              </w:rPr>
              <w:t>1-1</w:t>
            </w:r>
            <w:r>
              <w:rPr>
                <w:rFonts w:ascii="Times New Roman" w:hAnsi="Times New Roman"/>
                <w:sz w:val="21"/>
                <w:szCs w:val="18"/>
              </w:rPr>
              <w:t>采气井场至干线</w:t>
            </w:r>
          </w:p>
        </w:tc>
        <w:tc>
          <w:tcPr>
            <w:tcW w:w="1464" w:type="dxa"/>
            <w:vMerge/>
            <w:vAlign w:val="center"/>
          </w:tcPr>
          <w:p w14:paraId="0EA33F0F" w14:textId="77777777" w:rsidR="007D1E74" w:rsidRDefault="007D1E74">
            <w:pPr>
              <w:jc w:val="center"/>
              <w:rPr>
                <w:szCs w:val="21"/>
              </w:rPr>
            </w:pPr>
          </w:p>
        </w:tc>
        <w:tc>
          <w:tcPr>
            <w:tcW w:w="1239" w:type="dxa"/>
          </w:tcPr>
          <w:p w14:paraId="27B6CC9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w:t>
            </w:r>
          </w:p>
        </w:tc>
        <w:tc>
          <w:tcPr>
            <w:tcW w:w="2180" w:type="dxa"/>
            <w:vAlign w:val="center"/>
          </w:tcPr>
          <w:p w14:paraId="2AD266F0" w14:textId="77777777" w:rsidR="007D1E74" w:rsidRDefault="007D1E74">
            <w:pPr>
              <w:pStyle w:val="TableParagraph"/>
              <w:adjustRightInd/>
              <w:jc w:val="center"/>
              <w:rPr>
                <w:rFonts w:ascii="Times New Roman" w:hAnsi="Times New Roman"/>
                <w:sz w:val="21"/>
                <w:szCs w:val="21"/>
              </w:rPr>
            </w:pPr>
          </w:p>
        </w:tc>
      </w:tr>
      <w:tr w:rsidR="007D1E74" w14:paraId="0705B571" w14:textId="77777777">
        <w:trPr>
          <w:trHeight w:val="191"/>
          <w:jc w:val="center"/>
        </w:trPr>
        <w:tc>
          <w:tcPr>
            <w:tcW w:w="641" w:type="dxa"/>
            <w:vMerge/>
            <w:vAlign w:val="center"/>
          </w:tcPr>
          <w:p w14:paraId="45F467E2" w14:textId="77777777" w:rsidR="007D1E74" w:rsidRDefault="007D1E74">
            <w:pPr>
              <w:jc w:val="center"/>
              <w:rPr>
                <w:szCs w:val="21"/>
              </w:rPr>
            </w:pPr>
          </w:p>
        </w:tc>
        <w:tc>
          <w:tcPr>
            <w:tcW w:w="985" w:type="dxa"/>
            <w:vMerge/>
            <w:vAlign w:val="center"/>
          </w:tcPr>
          <w:p w14:paraId="4C422710" w14:textId="77777777" w:rsidR="007D1E74" w:rsidRDefault="007D1E74">
            <w:pPr>
              <w:jc w:val="center"/>
              <w:rPr>
                <w:szCs w:val="21"/>
              </w:rPr>
            </w:pPr>
          </w:p>
        </w:tc>
        <w:tc>
          <w:tcPr>
            <w:tcW w:w="2622" w:type="dxa"/>
            <w:vAlign w:val="center"/>
          </w:tcPr>
          <w:p w14:paraId="20E1621D" w14:textId="77777777" w:rsidR="007D1E74" w:rsidRDefault="00A95641">
            <w:pPr>
              <w:pStyle w:val="TableParagraph"/>
              <w:adjustRightInd/>
              <w:jc w:val="center"/>
              <w:rPr>
                <w:rFonts w:ascii="Times New Roman" w:hAnsi="Times New Roman"/>
                <w:sz w:val="21"/>
                <w:szCs w:val="18"/>
              </w:rPr>
            </w:pPr>
            <w:r>
              <w:rPr>
                <w:rFonts w:ascii="Times New Roman" w:hAnsi="Times New Roman"/>
                <w:sz w:val="21"/>
                <w:szCs w:val="18"/>
              </w:rPr>
              <w:t>马</w:t>
            </w:r>
            <w:r>
              <w:rPr>
                <w:rFonts w:ascii="Times New Roman" w:hAnsi="Times New Roman"/>
                <w:sz w:val="21"/>
                <w:szCs w:val="18"/>
              </w:rPr>
              <w:t>1-13H</w:t>
            </w:r>
            <w:r>
              <w:rPr>
                <w:rFonts w:ascii="Times New Roman" w:hAnsi="Times New Roman"/>
                <w:sz w:val="21"/>
                <w:szCs w:val="18"/>
              </w:rPr>
              <w:t>采气井场至干线</w:t>
            </w:r>
          </w:p>
        </w:tc>
        <w:tc>
          <w:tcPr>
            <w:tcW w:w="1464" w:type="dxa"/>
            <w:vMerge/>
            <w:vAlign w:val="center"/>
          </w:tcPr>
          <w:p w14:paraId="017DA916" w14:textId="77777777" w:rsidR="007D1E74" w:rsidRDefault="007D1E74">
            <w:pPr>
              <w:jc w:val="center"/>
              <w:rPr>
                <w:szCs w:val="21"/>
              </w:rPr>
            </w:pPr>
          </w:p>
        </w:tc>
        <w:tc>
          <w:tcPr>
            <w:tcW w:w="1239" w:type="dxa"/>
          </w:tcPr>
          <w:p w14:paraId="4CCC6D7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w:t>
            </w:r>
          </w:p>
        </w:tc>
        <w:tc>
          <w:tcPr>
            <w:tcW w:w="2180" w:type="dxa"/>
            <w:vAlign w:val="center"/>
          </w:tcPr>
          <w:p w14:paraId="599011BF" w14:textId="77777777" w:rsidR="007D1E74" w:rsidRDefault="007D1E74">
            <w:pPr>
              <w:pStyle w:val="TableParagraph"/>
              <w:adjustRightInd/>
              <w:jc w:val="center"/>
              <w:rPr>
                <w:rFonts w:ascii="Times New Roman" w:hAnsi="Times New Roman"/>
                <w:sz w:val="21"/>
                <w:szCs w:val="21"/>
              </w:rPr>
            </w:pPr>
          </w:p>
        </w:tc>
      </w:tr>
      <w:tr w:rsidR="007D1E74" w14:paraId="1B3FB7BC" w14:textId="77777777">
        <w:trPr>
          <w:trHeight w:val="191"/>
          <w:jc w:val="center"/>
        </w:trPr>
        <w:tc>
          <w:tcPr>
            <w:tcW w:w="641" w:type="dxa"/>
            <w:vMerge/>
            <w:vAlign w:val="center"/>
          </w:tcPr>
          <w:p w14:paraId="010E567E" w14:textId="77777777" w:rsidR="007D1E74" w:rsidRDefault="007D1E74">
            <w:pPr>
              <w:jc w:val="center"/>
              <w:rPr>
                <w:szCs w:val="21"/>
              </w:rPr>
            </w:pPr>
          </w:p>
        </w:tc>
        <w:tc>
          <w:tcPr>
            <w:tcW w:w="985" w:type="dxa"/>
            <w:vMerge/>
            <w:vAlign w:val="center"/>
          </w:tcPr>
          <w:p w14:paraId="1E18DA38" w14:textId="77777777" w:rsidR="007D1E74" w:rsidRDefault="007D1E74">
            <w:pPr>
              <w:jc w:val="center"/>
              <w:rPr>
                <w:szCs w:val="21"/>
              </w:rPr>
            </w:pPr>
          </w:p>
        </w:tc>
        <w:tc>
          <w:tcPr>
            <w:tcW w:w="2622" w:type="dxa"/>
            <w:vAlign w:val="center"/>
          </w:tcPr>
          <w:p w14:paraId="3A7863E5" w14:textId="77777777" w:rsidR="007D1E74" w:rsidRDefault="00A95641">
            <w:pPr>
              <w:pStyle w:val="TableParagraph"/>
              <w:adjustRightInd/>
              <w:jc w:val="center"/>
              <w:rPr>
                <w:rFonts w:ascii="Times New Roman" w:hAnsi="Times New Roman"/>
                <w:sz w:val="21"/>
                <w:szCs w:val="18"/>
              </w:rPr>
            </w:pPr>
            <w:r>
              <w:rPr>
                <w:rFonts w:ascii="Times New Roman" w:hAnsi="Times New Roman"/>
                <w:sz w:val="21"/>
                <w:szCs w:val="18"/>
              </w:rPr>
              <w:t>马</w:t>
            </w:r>
            <w:r>
              <w:rPr>
                <w:rFonts w:ascii="Times New Roman" w:hAnsi="Times New Roman"/>
                <w:sz w:val="21"/>
                <w:szCs w:val="18"/>
              </w:rPr>
              <w:t>1-12H</w:t>
            </w:r>
            <w:r>
              <w:rPr>
                <w:rFonts w:ascii="Times New Roman" w:hAnsi="Times New Roman"/>
                <w:sz w:val="21"/>
                <w:szCs w:val="18"/>
              </w:rPr>
              <w:t>采气井场至干线</w:t>
            </w:r>
          </w:p>
        </w:tc>
        <w:tc>
          <w:tcPr>
            <w:tcW w:w="1464" w:type="dxa"/>
            <w:vMerge/>
            <w:vAlign w:val="center"/>
          </w:tcPr>
          <w:p w14:paraId="379D2D75" w14:textId="77777777" w:rsidR="007D1E74" w:rsidRDefault="007D1E74">
            <w:pPr>
              <w:jc w:val="center"/>
              <w:rPr>
                <w:szCs w:val="21"/>
              </w:rPr>
            </w:pPr>
          </w:p>
        </w:tc>
        <w:tc>
          <w:tcPr>
            <w:tcW w:w="1239" w:type="dxa"/>
          </w:tcPr>
          <w:p w14:paraId="23E5BAD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w:t>
            </w:r>
          </w:p>
        </w:tc>
        <w:tc>
          <w:tcPr>
            <w:tcW w:w="2180" w:type="dxa"/>
            <w:vAlign w:val="center"/>
          </w:tcPr>
          <w:p w14:paraId="3F3CD18C" w14:textId="77777777" w:rsidR="007D1E74" w:rsidRDefault="007D1E74">
            <w:pPr>
              <w:pStyle w:val="TableParagraph"/>
              <w:adjustRightInd/>
              <w:jc w:val="center"/>
              <w:rPr>
                <w:rFonts w:ascii="Times New Roman" w:hAnsi="Times New Roman"/>
                <w:sz w:val="21"/>
                <w:szCs w:val="21"/>
              </w:rPr>
            </w:pPr>
          </w:p>
        </w:tc>
      </w:tr>
      <w:tr w:rsidR="007D1E74" w14:paraId="4A0A0345" w14:textId="77777777">
        <w:trPr>
          <w:trHeight w:val="191"/>
          <w:jc w:val="center"/>
        </w:trPr>
        <w:tc>
          <w:tcPr>
            <w:tcW w:w="641" w:type="dxa"/>
            <w:vMerge/>
            <w:vAlign w:val="center"/>
          </w:tcPr>
          <w:p w14:paraId="767872E6" w14:textId="77777777" w:rsidR="007D1E74" w:rsidRDefault="007D1E74">
            <w:pPr>
              <w:jc w:val="center"/>
              <w:rPr>
                <w:szCs w:val="21"/>
              </w:rPr>
            </w:pPr>
          </w:p>
        </w:tc>
        <w:tc>
          <w:tcPr>
            <w:tcW w:w="985" w:type="dxa"/>
            <w:vMerge/>
            <w:vAlign w:val="center"/>
          </w:tcPr>
          <w:p w14:paraId="05DCC5F6" w14:textId="77777777" w:rsidR="007D1E74" w:rsidRDefault="007D1E74">
            <w:pPr>
              <w:jc w:val="center"/>
              <w:rPr>
                <w:szCs w:val="21"/>
              </w:rPr>
            </w:pPr>
          </w:p>
        </w:tc>
        <w:tc>
          <w:tcPr>
            <w:tcW w:w="2622" w:type="dxa"/>
            <w:vAlign w:val="center"/>
          </w:tcPr>
          <w:p w14:paraId="01A33122" w14:textId="77777777" w:rsidR="007D1E74" w:rsidRDefault="00A95641">
            <w:pPr>
              <w:pStyle w:val="TableParagraph"/>
              <w:adjustRightInd/>
              <w:jc w:val="center"/>
              <w:rPr>
                <w:rFonts w:ascii="Times New Roman" w:hAnsi="Times New Roman"/>
                <w:sz w:val="21"/>
                <w:szCs w:val="18"/>
              </w:rPr>
            </w:pPr>
            <w:r>
              <w:rPr>
                <w:rFonts w:ascii="Times New Roman" w:hAnsi="Times New Roman"/>
                <w:sz w:val="21"/>
                <w:szCs w:val="18"/>
              </w:rPr>
              <w:t>马</w:t>
            </w:r>
            <w:r>
              <w:rPr>
                <w:rFonts w:ascii="Times New Roman" w:hAnsi="Times New Roman"/>
                <w:sz w:val="21"/>
                <w:szCs w:val="18"/>
              </w:rPr>
              <w:t>1-11</w:t>
            </w:r>
            <w:r>
              <w:rPr>
                <w:rFonts w:ascii="Times New Roman" w:hAnsi="Times New Roman"/>
                <w:sz w:val="21"/>
                <w:szCs w:val="18"/>
              </w:rPr>
              <w:t>脱水井场至</w:t>
            </w:r>
            <w:r>
              <w:rPr>
                <w:rFonts w:ascii="Times New Roman" w:hAnsi="Times New Roman"/>
                <w:sz w:val="21"/>
                <w:szCs w:val="18"/>
              </w:rPr>
              <w:t>4#</w:t>
            </w:r>
            <w:r>
              <w:rPr>
                <w:rFonts w:ascii="Times New Roman" w:hAnsi="Times New Roman"/>
                <w:sz w:val="21"/>
                <w:szCs w:val="18"/>
              </w:rPr>
              <w:t>清管阀组集输干线</w:t>
            </w:r>
          </w:p>
        </w:tc>
        <w:tc>
          <w:tcPr>
            <w:tcW w:w="1464" w:type="dxa"/>
            <w:vMerge/>
            <w:vAlign w:val="center"/>
          </w:tcPr>
          <w:p w14:paraId="6CA092C1" w14:textId="77777777" w:rsidR="007D1E74" w:rsidRDefault="007D1E74">
            <w:pPr>
              <w:jc w:val="center"/>
              <w:rPr>
                <w:szCs w:val="21"/>
              </w:rPr>
            </w:pPr>
          </w:p>
        </w:tc>
        <w:tc>
          <w:tcPr>
            <w:tcW w:w="1239" w:type="dxa"/>
          </w:tcPr>
          <w:p w14:paraId="672AF92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w:t>
            </w:r>
          </w:p>
        </w:tc>
        <w:tc>
          <w:tcPr>
            <w:tcW w:w="2180" w:type="dxa"/>
            <w:vAlign w:val="center"/>
          </w:tcPr>
          <w:p w14:paraId="76A599CB" w14:textId="77777777" w:rsidR="007D1E74" w:rsidRDefault="007D1E74">
            <w:pPr>
              <w:pStyle w:val="TableParagraph"/>
              <w:adjustRightInd/>
              <w:jc w:val="center"/>
              <w:rPr>
                <w:rFonts w:ascii="Times New Roman" w:hAnsi="Times New Roman"/>
                <w:sz w:val="21"/>
                <w:szCs w:val="21"/>
              </w:rPr>
            </w:pPr>
          </w:p>
        </w:tc>
      </w:tr>
      <w:tr w:rsidR="007D1E74" w14:paraId="01DE5E02" w14:textId="77777777">
        <w:trPr>
          <w:trHeight w:val="191"/>
          <w:jc w:val="center"/>
        </w:trPr>
        <w:tc>
          <w:tcPr>
            <w:tcW w:w="641" w:type="dxa"/>
            <w:vMerge/>
            <w:vAlign w:val="center"/>
          </w:tcPr>
          <w:p w14:paraId="7D2C5816" w14:textId="77777777" w:rsidR="007D1E74" w:rsidRDefault="007D1E74">
            <w:pPr>
              <w:jc w:val="center"/>
              <w:rPr>
                <w:szCs w:val="21"/>
              </w:rPr>
            </w:pPr>
          </w:p>
        </w:tc>
        <w:tc>
          <w:tcPr>
            <w:tcW w:w="985" w:type="dxa"/>
            <w:vMerge/>
            <w:vAlign w:val="center"/>
          </w:tcPr>
          <w:p w14:paraId="293C4505" w14:textId="77777777" w:rsidR="007D1E74" w:rsidRDefault="007D1E74">
            <w:pPr>
              <w:jc w:val="center"/>
              <w:rPr>
                <w:szCs w:val="21"/>
              </w:rPr>
            </w:pPr>
          </w:p>
        </w:tc>
        <w:tc>
          <w:tcPr>
            <w:tcW w:w="2622" w:type="dxa"/>
            <w:vAlign w:val="center"/>
          </w:tcPr>
          <w:p w14:paraId="0830A291" w14:textId="77777777" w:rsidR="007D1E74" w:rsidRDefault="00A95641">
            <w:pPr>
              <w:pStyle w:val="TableParagraph"/>
              <w:adjustRightInd/>
              <w:jc w:val="center"/>
              <w:rPr>
                <w:rFonts w:ascii="Times New Roman" w:hAnsi="Times New Roman"/>
                <w:sz w:val="21"/>
                <w:szCs w:val="18"/>
              </w:rPr>
            </w:pPr>
            <w:r>
              <w:rPr>
                <w:rFonts w:ascii="Times New Roman" w:hAnsi="Times New Roman"/>
                <w:sz w:val="21"/>
                <w:szCs w:val="18"/>
              </w:rPr>
              <w:t>4#</w:t>
            </w:r>
            <w:r>
              <w:rPr>
                <w:rFonts w:ascii="Times New Roman" w:hAnsi="Times New Roman"/>
                <w:sz w:val="21"/>
                <w:szCs w:val="18"/>
              </w:rPr>
              <w:t>清管阀组至草池增压站集输干线</w:t>
            </w:r>
          </w:p>
        </w:tc>
        <w:tc>
          <w:tcPr>
            <w:tcW w:w="1464" w:type="dxa"/>
            <w:vMerge/>
            <w:vAlign w:val="center"/>
          </w:tcPr>
          <w:p w14:paraId="4CD94EAB" w14:textId="77777777" w:rsidR="007D1E74" w:rsidRDefault="007D1E74">
            <w:pPr>
              <w:jc w:val="center"/>
              <w:rPr>
                <w:szCs w:val="21"/>
              </w:rPr>
            </w:pPr>
          </w:p>
        </w:tc>
        <w:tc>
          <w:tcPr>
            <w:tcW w:w="1239" w:type="dxa"/>
          </w:tcPr>
          <w:p w14:paraId="47ABE69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w:t>
            </w:r>
          </w:p>
        </w:tc>
        <w:tc>
          <w:tcPr>
            <w:tcW w:w="2180" w:type="dxa"/>
            <w:vAlign w:val="center"/>
          </w:tcPr>
          <w:p w14:paraId="28B9FAFC" w14:textId="77777777" w:rsidR="007D1E74" w:rsidRDefault="007D1E74">
            <w:pPr>
              <w:pStyle w:val="TableParagraph"/>
              <w:adjustRightInd/>
              <w:jc w:val="center"/>
              <w:rPr>
                <w:rFonts w:ascii="Times New Roman" w:hAnsi="Times New Roman"/>
                <w:sz w:val="21"/>
                <w:szCs w:val="21"/>
              </w:rPr>
            </w:pPr>
          </w:p>
        </w:tc>
      </w:tr>
      <w:tr w:rsidR="007D1E74" w14:paraId="41316354" w14:textId="77777777">
        <w:trPr>
          <w:trHeight w:val="90"/>
          <w:jc w:val="center"/>
        </w:trPr>
        <w:tc>
          <w:tcPr>
            <w:tcW w:w="641" w:type="dxa"/>
            <w:vAlign w:val="center"/>
          </w:tcPr>
          <w:p w14:paraId="4AC918A4"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2</w:t>
            </w:r>
          </w:p>
        </w:tc>
        <w:tc>
          <w:tcPr>
            <w:tcW w:w="3607" w:type="dxa"/>
            <w:gridSpan w:val="2"/>
            <w:vAlign w:val="center"/>
          </w:tcPr>
          <w:p w14:paraId="1FC321F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设计压力（除</w:t>
            </w:r>
            <w:r>
              <w:rPr>
                <w:rFonts w:ascii="Times New Roman" w:hAnsi="Times New Roman"/>
                <w:sz w:val="21"/>
                <w:szCs w:val="18"/>
              </w:rPr>
              <w:t>4#</w:t>
            </w:r>
            <w:r>
              <w:rPr>
                <w:rFonts w:ascii="Times New Roman" w:hAnsi="Times New Roman"/>
                <w:sz w:val="21"/>
                <w:szCs w:val="18"/>
              </w:rPr>
              <w:t>清管阀组至草池增压站</w:t>
            </w:r>
            <w:r>
              <w:rPr>
                <w:rFonts w:ascii="Times New Roman" w:hAnsi="Times New Roman"/>
                <w:sz w:val="21"/>
                <w:szCs w:val="21"/>
              </w:rPr>
              <w:t>）</w:t>
            </w:r>
          </w:p>
        </w:tc>
        <w:tc>
          <w:tcPr>
            <w:tcW w:w="1464" w:type="dxa"/>
            <w:vAlign w:val="center"/>
          </w:tcPr>
          <w:p w14:paraId="1BFB287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MPa</w:t>
            </w:r>
          </w:p>
        </w:tc>
        <w:tc>
          <w:tcPr>
            <w:tcW w:w="1239" w:type="dxa"/>
            <w:vAlign w:val="center"/>
          </w:tcPr>
          <w:p w14:paraId="0D4D5E3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6.3</w:t>
            </w:r>
          </w:p>
        </w:tc>
        <w:tc>
          <w:tcPr>
            <w:tcW w:w="2180" w:type="dxa"/>
          </w:tcPr>
          <w:p w14:paraId="6C2421C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w:t>
            </w:r>
          </w:p>
        </w:tc>
      </w:tr>
      <w:tr w:rsidR="007D1E74" w14:paraId="4A166C64" w14:textId="77777777">
        <w:trPr>
          <w:trHeight w:val="90"/>
          <w:jc w:val="center"/>
        </w:trPr>
        <w:tc>
          <w:tcPr>
            <w:tcW w:w="641" w:type="dxa"/>
            <w:vAlign w:val="center"/>
          </w:tcPr>
          <w:p w14:paraId="1EBC6DA7"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3</w:t>
            </w:r>
          </w:p>
        </w:tc>
        <w:tc>
          <w:tcPr>
            <w:tcW w:w="3607" w:type="dxa"/>
            <w:gridSpan w:val="2"/>
            <w:vAlign w:val="center"/>
          </w:tcPr>
          <w:p w14:paraId="3DC754DE"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设计压力（</w:t>
            </w:r>
            <w:r>
              <w:rPr>
                <w:rFonts w:ascii="Times New Roman" w:hAnsi="Times New Roman"/>
                <w:sz w:val="21"/>
                <w:szCs w:val="18"/>
              </w:rPr>
              <w:t>4#</w:t>
            </w:r>
            <w:r>
              <w:rPr>
                <w:rFonts w:ascii="Times New Roman" w:hAnsi="Times New Roman"/>
                <w:sz w:val="21"/>
                <w:szCs w:val="18"/>
              </w:rPr>
              <w:t>清管阀组至草池增压站</w:t>
            </w:r>
            <w:r>
              <w:rPr>
                <w:rFonts w:ascii="Times New Roman" w:hAnsi="Times New Roman"/>
                <w:sz w:val="21"/>
                <w:szCs w:val="21"/>
              </w:rPr>
              <w:t>）</w:t>
            </w:r>
          </w:p>
        </w:tc>
        <w:tc>
          <w:tcPr>
            <w:tcW w:w="1464" w:type="dxa"/>
            <w:vAlign w:val="center"/>
          </w:tcPr>
          <w:p w14:paraId="230FA12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MPa</w:t>
            </w:r>
          </w:p>
        </w:tc>
        <w:tc>
          <w:tcPr>
            <w:tcW w:w="1239" w:type="dxa"/>
            <w:vAlign w:val="center"/>
          </w:tcPr>
          <w:p w14:paraId="29A5A96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10</w:t>
            </w:r>
          </w:p>
        </w:tc>
        <w:tc>
          <w:tcPr>
            <w:tcW w:w="2180" w:type="dxa"/>
          </w:tcPr>
          <w:p w14:paraId="5360F7F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w:t>
            </w:r>
          </w:p>
        </w:tc>
      </w:tr>
      <w:tr w:rsidR="007D1E74" w14:paraId="3DE58327" w14:textId="77777777">
        <w:trPr>
          <w:trHeight w:val="258"/>
          <w:jc w:val="center"/>
        </w:trPr>
        <w:tc>
          <w:tcPr>
            <w:tcW w:w="641" w:type="dxa"/>
            <w:vAlign w:val="center"/>
          </w:tcPr>
          <w:p w14:paraId="59491D1B"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4</w:t>
            </w:r>
          </w:p>
        </w:tc>
        <w:tc>
          <w:tcPr>
            <w:tcW w:w="3607" w:type="dxa"/>
            <w:gridSpan w:val="2"/>
            <w:vAlign w:val="center"/>
          </w:tcPr>
          <w:p w14:paraId="64EE7A6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电力、燃料消耗</w:t>
            </w:r>
          </w:p>
        </w:tc>
        <w:tc>
          <w:tcPr>
            <w:tcW w:w="1464" w:type="dxa"/>
            <w:vAlign w:val="center"/>
          </w:tcPr>
          <w:p w14:paraId="2BDAF3AD" w14:textId="77777777" w:rsidR="007D1E74" w:rsidRDefault="007D1E74">
            <w:pPr>
              <w:pStyle w:val="TableParagraph"/>
              <w:adjustRightInd/>
              <w:jc w:val="center"/>
              <w:rPr>
                <w:rFonts w:ascii="Times New Roman" w:hAnsi="Times New Roman"/>
                <w:sz w:val="21"/>
                <w:szCs w:val="21"/>
              </w:rPr>
            </w:pPr>
          </w:p>
        </w:tc>
        <w:tc>
          <w:tcPr>
            <w:tcW w:w="1239" w:type="dxa"/>
            <w:vAlign w:val="center"/>
          </w:tcPr>
          <w:p w14:paraId="09C2EC0C" w14:textId="77777777" w:rsidR="007D1E74" w:rsidRDefault="007D1E74">
            <w:pPr>
              <w:pStyle w:val="TableParagraph"/>
              <w:adjustRightInd/>
              <w:jc w:val="center"/>
              <w:rPr>
                <w:rFonts w:ascii="Times New Roman" w:hAnsi="Times New Roman"/>
                <w:sz w:val="21"/>
                <w:szCs w:val="21"/>
              </w:rPr>
            </w:pPr>
          </w:p>
        </w:tc>
        <w:tc>
          <w:tcPr>
            <w:tcW w:w="2180" w:type="dxa"/>
          </w:tcPr>
          <w:p w14:paraId="15E644AE"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w:t>
            </w:r>
          </w:p>
        </w:tc>
      </w:tr>
      <w:tr w:rsidR="007D1E74" w14:paraId="7E3D1108" w14:textId="77777777">
        <w:trPr>
          <w:trHeight w:val="258"/>
          <w:jc w:val="center"/>
        </w:trPr>
        <w:tc>
          <w:tcPr>
            <w:tcW w:w="641" w:type="dxa"/>
            <w:vAlign w:val="center"/>
          </w:tcPr>
          <w:p w14:paraId="28E554F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4.1</w:t>
            </w:r>
          </w:p>
        </w:tc>
        <w:tc>
          <w:tcPr>
            <w:tcW w:w="3607" w:type="dxa"/>
            <w:gridSpan w:val="2"/>
            <w:vAlign w:val="center"/>
          </w:tcPr>
          <w:p w14:paraId="00FA8EB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电力</w:t>
            </w:r>
          </w:p>
        </w:tc>
        <w:tc>
          <w:tcPr>
            <w:tcW w:w="1464" w:type="dxa"/>
            <w:vAlign w:val="center"/>
          </w:tcPr>
          <w:p w14:paraId="274187F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(10</w:t>
            </w:r>
            <w:r>
              <w:rPr>
                <w:rFonts w:ascii="Times New Roman" w:hAnsi="Times New Roman"/>
                <w:sz w:val="21"/>
                <w:szCs w:val="21"/>
                <w:vertAlign w:val="superscript"/>
              </w:rPr>
              <w:t>4</w:t>
            </w:r>
            <w:r>
              <w:rPr>
                <w:rFonts w:ascii="Times New Roman" w:hAnsi="Times New Roman"/>
                <w:sz w:val="21"/>
                <w:szCs w:val="21"/>
              </w:rPr>
              <w:t>kWh)/a</w:t>
            </w:r>
          </w:p>
        </w:tc>
        <w:tc>
          <w:tcPr>
            <w:tcW w:w="1239" w:type="dxa"/>
            <w:vAlign w:val="center"/>
          </w:tcPr>
          <w:p w14:paraId="1809591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171.42</w:t>
            </w:r>
          </w:p>
        </w:tc>
        <w:tc>
          <w:tcPr>
            <w:tcW w:w="2180" w:type="dxa"/>
          </w:tcPr>
          <w:p w14:paraId="39AB5DD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w:t>
            </w:r>
          </w:p>
        </w:tc>
      </w:tr>
      <w:tr w:rsidR="007D1E74" w14:paraId="39D9CA2A" w14:textId="77777777">
        <w:trPr>
          <w:trHeight w:val="258"/>
          <w:jc w:val="center"/>
        </w:trPr>
        <w:tc>
          <w:tcPr>
            <w:tcW w:w="641" w:type="dxa"/>
            <w:vAlign w:val="center"/>
          </w:tcPr>
          <w:p w14:paraId="07C3605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4.2</w:t>
            </w:r>
          </w:p>
        </w:tc>
        <w:tc>
          <w:tcPr>
            <w:tcW w:w="3607" w:type="dxa"/>
            <w:gridSpan w:val="2"/>
            <w:vAlign w:val="center"/>
          </w:tcPr>
          <w:p w14:paraId="6D53839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水</w:t>
            </w:r>
          </w:p>
        </w:tc>
        <w:tc>
          <w:tcPr>
            <w:tcW w:w="1464" w:type="dxa"/>
            <w:vAlign w:val="center"/>
          </w:tcPr>
          <w:p w14:paraId="37ECAC4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m</w:t>
            </w:r>
            <w:r>
              <w:rPr>
                <w:rFonts w:ascii="Times New Roman" w:hAnsi="Times New Roman"/>
                <w:sz w:val="21"/>
                <w:szCs w:val="21"/>
                <w:vertAlign w:val="superscript"/>
              </w:rPr>
              <w:t>3</w:t>
            </w:r>
            <w:r>
              <w:rPr>
                <w:rFonts w:ascii="Times New Roman" w:hAnsi="Times New Roman"/>
                <w:sz w:val="21"/>
                <w:szCs w:val="21"/>
              </w:rPr>
              <w:t>/a</w:t>
            </w:r>
          </w:p>
        </w:tc>
        <w:tc>
          <w:tcPr>
            <w:tcW w:w="1239" w:type="dxa"/>
            <w:vAlign w:val="center"/>
          </w:tcPr>
          <w:p w14:paraId="0D99C0B1"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w:t>
            </w:r>
          </w:p>
        </w:tc>
        <w:tc>
          <w:tcPr>
            <w:tcW w:w="2180" w:type="dxa"/>
          </w:tcPr>
          <w:p w14:paraId="5E81EFC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w:t>
            </w:r>
          </w:p>
        </w:tc>
      </w:tr>
      <w:tr w:rsidR="007D1E74" w14:paraId="7D558D3B" w14:textId="77777777">
        <w:trPr>
          <w:trHeight w:val="261"/>
          <w:jc w:val="center"/>
        </w:trPr>
        <w:tc>
          <w:tcPr>
            <w:tcW w:w="641" w:type="dxa"/>
            <w:vAlign w:val="center"/>
          </w:tcPr>
          <w:p w14:paraId="732D91A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4.3</w:t>
            </w:r>
          </w:p>
        </w:tc>
        <w:tc>
          <w:tcPr>
            <w:tcW w:w="3607" w:type="dxa"/>
            <w:gridSpan w:val="2"/>
            <w:vAlign w:val="center"/>
          </w:tcPr>
          <w:p w14:paraId="3639E98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燃料</w:t>
            </w:r>
          </w:p>
        </w:tc>
        <w:tc>
          <w:tcPr>
            <w:tcW w:w="1464" w:type="dxa"/>
            <w:vAlign w:val="center"/>
          </w:tcPr>
          <w:p w14:paraId="66C0672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10</w:t>
            </w:r>
            <w:r>
              <w:rPr>
                <w:rFonts w:ascii="Times New Roman" w:hAnsi="Times New Roman"/>
                <w:sz w:val="21"/>
                <w:szCs w:val="21"/>
                <w:vertAlign w:val="superscript"/>
              </w:rPr>
              <w:t>4</w:t>
            </w:r>
            <w:r>
              <w:rPr>
                <w:rFonts w:ascii="Times New Roman" w:hAnsi="Times New Roman"/>
                <w:sz w:val="21"/>
                <w:szCs w:val="21"/>
              </w:rPr>
              <w:t>m</w:t>
            </w:r>
            <w:r>
              <w:rPr>
                <w:rFonts w:ascii="Times New Roman" w:hAnsi="Times New Roman"/>
                <w:sz w:val="21"/>
                <w:szCs w:val="21"/>
                <w:vertAlign w:val="superscript"/>
              </w:rPr>
              <w:t>3</w:t>
            </w:r>
            <w:r>
              <w:rPr>
                <w:rFonts w:ascii="Times New Roman" w:hAnsi="Times New Roman"/>
                <w:sz w:val="21"/>
                <w:szCs w:val="21"/>
              </w:rPr>
              <w:t>/a</w:t>
            </w:r>
          </w:p>
        </w:tc>
        <w:tc>
          <w:tcPr>
            <w:tcW w:w="1239" w:type="dxa"/>
            <w:vAlign w:val="center"/>
          </w:tcPr>
          <w:p w14:paraId="7E42738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1.16</w:t>
            </w:r>
          </w:p>
        </w:tc>
        <w:tc>
          <w:tcPr>
            <w:tcW w:w="2180" w:type="dxa"/>
          </w:tcPr>
          <w:p w14:paraId="5657B20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w:t>
            </w:r>
          </w:p>
        </w:tc>
      </w:tr>
      <w:tr w:rsidR="007D1E74" w14:paraId="348D0F1C" w14:textId="77777777">
        <w:trPr>
          <w:trHeight w:val="258"/>
          <w:jc w:val="center"/>
        </w:trPr>
        <w:tc>
          <w:tcPr>
            <w:tcW w:w="641" w:type="dxa"/>
            <w:vAlign w:val="center"/>
          </w:tcPr>
          <w:p w14:paraId="561816B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4.4</w:t>
            </w:r>
          </w:p>
        </w:tc>
        <w:tc>
          <w:tcPr>
            <w:tcW w:w="3607" w:type="dxa"/>
            <w:gridSpan w:val="2"/>
            <w:vAlign w:val="center"/>
          </w:tcPr>
          <w:p w14:paraId="752BE46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输气周转量综合能耗</w:t>
            </w:r>
          </w:p>
        </w:tc>
        <w:tc>
          <w:tcPr>
            <w:tcW w:w="1464" w:type="dxa"/>
            <w:vAlign w:val="center"/>
          </w:tcPr>
          <w:p w14:paraId="2FE6750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kgce/(10</w:t>
            </w:r>
            <w:r>
              <w:rPr>
                <w:rFonts w:ascii="Times New Roman" w:hAnsi="Times New Roman"/>
                <w:sz w:val="21"/>
                <w:szCs w:val="21"/>
                <w:vertAlign w:val="superscript"/>
              </w:rPr>
              <w:t>7</w:t>
            </w:r>
            <w:r>
              <w:rPr>
                <w:rFonts w:ascii="Times New Roman" w:hAnsi="Times New Roman"/>
                <w:sz w:val="21"/>
                <w:szCs w:val="21"/>
              </w:rPr>
              <w:t>m</w:t>
            </w:r>
            <w:r>
              <w:rPr>
                <w:rFonts w:ascii="Times New Roman" w:hAnsi="Times New Roman"/>
                <w:sz w:val="21"/>
                <w:szCs w:val="21"/>
                <w:vertAlign w:val="superscript"/>
              </w:rPr>
              <w:t>3</w:t>
            </w:r>
            <w:r>
              <w:rPr>
                <w:rFonts w:ascii="Times New Roman" w:hAnsi="Times New Roman"/>
                <w:sz w:val="21"/>
                <w:szCs w:val="21"/>
              </w:rPr>
              <w:t>km)</w:t>
            </w:r>
          </w:p>
        </w:tc>
        <w:tc>
          <w:tcPr>
            <w:tcW w:w="1239" w:type="dxa"/>
            <w:vAlign w:val="center"/>
          </w:tcPr>
          <w:p w14:paraId="3723475C"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0</w:t>
            </w:r>
          </w:p>
        </w:tc>
        <w:tc>
          <w:tcPr>
            <w:tcW w:w="2180" w:type="dxa"/>
          </w:tcPr>
          <w:p w14:paraId="5F755D6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w:t>
            </w:r>
          </w:p>
        </w:tc>
      </w:tr>
      <w:tr w:rsidR="007D1E74" w14:paraId="4F51EA34" w14:textId="77777777">
        <w:trPr>
          <w:trHeight w:val="258"/>
          <w:jc w:val="center"/>
        </w:trPr>
        <w:tc>
          <w:tcPr>
            <w:tcW w:w="641" w:type="dxa"/>
            <w:vAlign w:val="center"/>
          </w:tcPr>
          <w:p w14:paraId="22898515"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5</w:t>
            </w:r>
          </w:p>
        </w:tc>
        <w:tc>
          <w:tcPr>
            <w:tcW w:w="3607" w:type="dxa"/>
            <w:gridSpan w:val="2"/>
            <w:vAlign w:val="center"/>
          </w:tcPr>
          <w:p w14:paraId="10C33D4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总建筑面积</w:t>
            </w:r>
          </w:p>
        </w:tc>
        <w:tc>
          <w:tcPr>
            <w:tcW w:w="1464" w:type="dxa"/>
            <w:vAlign w:val="center"/>
          </w:tcPr>
          <w:p w14:paraId="2D12FE60" w14:textId="77777777" w:rsidR="007D1E74" w:rsidRDefault="00A95641">
            <w:pPr>
              <w:pStyle w:val="TableParagraph"/>
              <w:adjustRightInd/>
              <w:jc w:val="center"/>
              <w:rPr>
                <w:rFonts w:ascii="Times New Roman" w:hAnsi="Times New Roman"/>
                <w:sz w:val="21"/>
                <w:szCs w:val="21"/>
              </w:rPr>
            </w:pPr>
            <w:r>
              <w:rPr>
                <w:rFonts w:ascii="Times New Roman" w:hAnsi="Times New Roman"/>
                <w:position w:val="-6"/>
                <w:sz w:val="21"/>
                <w:szCs w:val="21"/>
              </w:rPr>
              <w:t>m</w:t>
            </w:r>
            <w:r>
              <w:rPr>
                <w:rFonts w:ascii="Times New Roman" w:hAnsi="Times New Roman"/>
                <w:position w:val="-6"/>
                <w:sz w:val="21"/>
                <w:szCs w:val="21"/>
                <w:vertAlign w:val="superscript"/>
              </w:rPr>
              <w:t>2</w:t>
            </w:r>
          </w:p>
        </w:tc>
        <w:tc>
          <w:tcPr>
            <w:tcW w:w="1239" w:type="dxa"/>
            <w:vAlign w:val="center"/>
          </w:tcPr>
          <w:p w14:paraId="4CB56F15"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w:t>
            </w:r>
          </w:p>
        </w:tc>
        <w:tc>
          <w:tcPr>
            <w:tcW w:w="2180" w:type="dxa"/>
          </w:tcPr>
          <w:p w14:paraId="67735A0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w:t>
            </w:r>
          </w:p>
        </w:tc>
      </w:tr>
      <w:tr w:rsidR="007D1E74" w14:paraId="7E08327B" w14:textId="77777777">
        <w:trPr>
          <w:trHeight w:val="258"/>
          <w:jc w:val="center"/>
        </w:trPr>
        <w:tc>
          <w:tcPr>
            <w:tcW w:w="641" w:type="dxa"/>
            <w:vAlign w:val="center"/>
          </w:tcPr>
          <w:p w14:paraId="1492AC0D"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6</w:t>
            </w:r>
          </w:p>
        </w:tc>
        <w:tc>
          <w:tcPr>
            <w:tcW w:w="3607" w:type="dxa"/>
            <w:gridSpan w:val="2"/>
            <w:vAlign w:val="center"/>
          </w:tcPr>
          <w:p w14:paraId="59DF3C6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用地面积</w:t>
            </w:r>
          </w:p>
        </w:tc>
        <w:tc>
          <w:tcPr>
            <w:tcW w:w="1464" w:type="dxa"/>
            <w:vAlign w:val="center"/>
          </w:tcPr>
          <w:p w14:paraId="641DE2EF" w14:textId="77777777" w:rsidR="007D1E74" w:rsidRDefault="00A95641">
            <w:pPr>
              <w:pStyle w:val="TableParagraph"/>
              <w:adjustRightInd/>
              <w:jc w:val="center"/>
              <w:rPr>
                <w:rFonts w:ascii="Times New Roman" w:hAnsi="Times New Roman"/>
                <w:sz w:val="21"/>
                <w:szCs w:val="21"/>
              </w:rPr>
            </w:pPr>
            <w:r>
              <w:rPr>
                <w:rFonts w:ascii="Times New Roman" w:hAnsi="Times New Roman"/>
                <w:position w:val="-6"/>
                <w:sz w:val="21"/>
                <w:szCs w:val="21"/>
              </w:rPr>
              <w:t>hm</w:t>
            </w:r>
            <w:r>
              <w:rPr>
                <w:rFonts w:ascii="Times New Roman" w:hAnsi="Times New Roman"/>
                <w:position w:val="-6"/>
                <w:sz w:val="21"/>
                <w:szCs w:val="21"/>
                <w:vertAlign w:val="superscript"/>
              </w:rPr>
              <w:t>2</w:t>
            </w:r>
          </w:p>
        </w:tc>
        <w:tc>
          <w:tcPr>
            <w:tcW w:w="1239" w:type="dxa"/>
            <w:vAlign w:val="center"/>
          </w:tcPr>
          <w:p w14:paraId="6997D3A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37.0069</w:t>
            </w:r>
          </w:p>
        </w:tc>
        <w:tc>
          <w:tcPr>
            <w:tcW w:w="2180" w:type="dxa"/>
          </w:tcPr>
          <w:p w14:paraId="009F659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w:t>
            </w:r>
          </w:p>
        </w:tc>
      </w:tr>
      <w:tr w:rsidR="007D1E74" w14:paraId="5EDED9AC" w14:textId="77777777">
        <w:trPr>
          <w:trHeight w:val="261"/>
          <w:jc w:val="center"/>
        </w:trPr>
        <w:tc>
          <w:tcPr>
            <w:tcW w:w="641" w:type="dxa"/>
            <w:vAlign w:val="center"/>
          </w:tcPr>
          <w:p w14:paraId="1B858B7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6.1</w:t>
            </w:r>
          </w:p>
        </w:tc>
        <w:tc>
          <w:tcPr>
            <w:tcW w:w="3607" w:type="dxa"/>
            <w:gridSpan w:val="2"/>
            <w:vAlign w:val="center"/>
          </w:tcPr>
          <w:p w14:paraId="6D4490D3"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永久性征地</w:t>
            </w:r>
          </w:p>
        </w:tc>
        <w:tc>
          <w:tcPr>
            <w:tcW w:w="1464" w:type="dxa"/>
            <w:vAlign w:val="center"/>
          </w:tcPr>
          <w:p w14:paraId="7A74CFC2" w14:textId="77777777" w:rsidR="007D1E74" w:rsidRDefault="00A95641">
            <w:pPr>
              <w:pStyle w:val="TableParagraph"/>
              <w:adjustRightInd/>
              <w:jc w:val="center"/>
              <w:rPr>
                <w:rFonts w:ascii="Times New Roman" w:hAnsi="Times New Roman"/>
                <w:sz w:val="21"/>
                <w:szCs w:val="21"/>
              </w:rPr>
            </w:pPr>
            <w:r>
              <w:rPr>
                <w:rFonts w:ascii="Times New Roman" w:hAnsi="Times New Roman"/>
                <w:position w:val="-6"/>
                <w:sz w:val="21"/>
                <w:szCs w:val="21"/>
              </w:rPr>
              <w:t>hm</w:t>
            </w:r>
            <w:r>
              <w:rPr>
                <w:rFonts w:ascii="Times New Roman" w:hAnsi="Times New Roman"/>
                <w:position w:val="-6"/>
                <w:sz w:val="21"/>
                <w:szCs w:val="21"/>
                <w:vertAlign w:val="superscript"/>
              </w:rPr>
              <w:t>2</w:t>
            </w:r>
          </w:p>
        </w:tc>
        <w:tc>
          <w:tcPr>
            <w:tcW w:w="1239" w:type="dxa"/>
            <w:vAlign w:val="center"/>
          </w:tcPr>
          <w:p w14:paraId="6E532EE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0.1099</w:t>
            </w:r>
          </w:p>
        </w:tc>
        <w:tc>
          <w:tcPr>
            <w:tcW w:w="2180" w:type="dxa"/>
          </w:tcPr>
          <w:p w14:paraId="083B1D4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w:t>
            </w:r>
          </w:p>
        </w:tc>
      </w:tr>
      <w:tr w:rsidR="007D1E74" w14:paraId="3685F164" w14:textId="77777777">
        <w:trPr>
          <w:trHeight w:val="258"/>
          <w:jc w:val="center"/>
        </w:trPr>
        <w:tc>
          <w:tcPr>
            <w:tcW w:w="641" w:type="dxa"/>
            <w:vAlign w:val="center"/>
          </w:tcPr>
          <w:p w14:paraId="2651941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6.2</w:t>
            </w:r>
          </w:p>
        </w:tc>
        <w:tc>
          <w:tcPr>
            <w:tcW w:w="3607" w:type="dxa"/>
            <w:gridSpan w:val="2"/>
            <w:vAlign w:val="center"/>
          </w:tcPr>
          <w:p w14:paraId="22AC2DA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临时用地</w:t>
            </w:r>
          </w:p>
        </w:tc>
        <w:tc>
          <w:tcPr>
            <w:tcW w:w="1464" w:type="dxa"/>
            <w:vAlign w:val="center"/>
          </w:tcPr>
          <w:p w14:paraId="4260F31B" w14:textId="77777777" w:rsidR="007D1E74" w:rsidRDefault="00A95641">
            <w:pPr>
              <w:pStyle w:val="TableParagraph"/>
              <w:adjustRightInd/>
              <w:jc w:val="center"/>
              <w:rPr>
                <w:rFonts w:ascii="Times New Roman" w:hAnsi="Times New Roman"/>
                <w:sz w:val="21"/>
                <w:szCs w:val="21"/>
              </w:rPr>
            </w:pPr>
            <w:r>
              <w:rPr>
                <w:rFonts w:ascii="Times New Roman" w:hAnsi="Times New Roman"/>
                <w:position w:val="-6"/>
                <w:sz w:val="21"/>
                <w:szCs w:val="21"/>
              </w:rPr>
              <w:t>hm</w:t>
            </w:r>
            <w:r>
              <w:rPr>
                <w:rFonts w:ascii="Times New Roman" w:hAnsi="Times New Roman"/>
                <w:position w:val="-6"/>
                <w:sz w:val="21"/>
                <w:szCs w:val="21"/>
                <w:vertAlign w:val="superscript"/>
              </w:rPr>
              <w:t>2</w:t>
            </w:r>
          </w:p>
        </w:tc>
        <w:tc>
          <w:tcPr>
            <w:tcW w:w="1239" w:type="dxa"/>
            <w:vAlign w:val="center"/>
          </w:tcPr>
          <w:p w14:paraId="1C5B219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36.897</w:t>
            </w:r>
          </w:p>
        </w:tc>
        <w:tc>
          <w:tcPr>
            <w:tcW w:w="2180" w:type="dxa"/>
          </w:tcPr>
          <w:p w14:paraId="6F23411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w:t>
            </w:r>
          </w:p>
        </w:tc>
      </w:tr>
      <w:tr w:rsidR="007D1E74" w14:paraId="037551A8" w14:textId="77777777">
        <w:trPr>
          <w:trHeight w:val="258"/>
          <w:jc w:val="center"/>
        </w:trPr>
        <w:tc>
          <w:tcPr>
            <w:tcW w:w="641" w:type="dxa"/>
            <w:vAlign w:val="center"/>
          </w:tcPr>
          <w:p w14:paraId="4B8A6CE8"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7</w:t>
            </w:r>
          </w:p>
        </w:tc>
        <w:tc>
          <w:tcPr>
            <w:tcW w:w="3607" w:type="dxa"/>
            <w:gridSpan w:val="2"/>
            <w:vAlign w:val="center"/>
          </w:tcPr>
          <w:p w14:paraId="1880E97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定员</w:t>
            </w:r>
          </w:p>
        </w:tc>
        <w:tc>
          <w:tcPr>
            <w:tcW w:w="1464" w:type="dxa"/>
            <w:vAlign w:val="center"/>
          </w:tcPr>
          <w:p w14:paraId="2489EE6C"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人</w:t>
            </w:r>
          </w:p>
        </w:tc>
        <w:tc>
          <w:tcPr>
            <w:tcW w:w="1239" w:type="dxa"/>
            <w:vAlign w:val="center"/>
          </w:tcPr>
          <w:p w14:paraId="5A8C7DCC"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0</w:t>
            </w:r>
          </w:p>
        </w:tc>
        <w:tc>
          <w:tcPr>
            <w:tcW w:w="2180" w:type="dxa"/>
          </w:tcPr>
          <w:p w14:paraId="5AC2EFC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w:t>
            </w:r>
          </w:p>
        </w:tc>
      </w:tr>
      <w:tr w:rsidR="007D1E74" w14:paraId="480E74CF" w14:textId="77777777">
        <w:trPr>
          <w:trHeight w:val="258"/>
          <w:jc w:val="center"/>
        </w:trPr>
        <w:tc>
          <w:tcPr>
            <w:tcW w:w="641" w:type="dxa"/>
            <w:vAlign w:val="center"/>
          </w:tcPr>
          <w:p w14:paraId="46CA3B86"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8</w:t>
            </w:r>
          </w:p>
        </w:tc>
        <w:tc>
          <w:tcPr>
            <w:tcW w:w="3607" w:type="dxa"/>
            <w:gridSpan w:val="2"/>
            <w:vAlign w:val="center"/>
          </w:tcPr>
          <w:p w14:paraId="575A64E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工程总投资</w:t>
            </w:r>
          </w:p>
        </w:tc>
        <w:tc>
          <w:tcPr>
            <w:tcW w:w="1464" w:type="dxa"/>
            <w:vAlign w:val="center"/>
          </w:tcPr>
          <w:p w14:paraId="41DF1C2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万元</w:t>
            </w:r>
          </w:p>
        </w:tc>
        <w:tc>
          <w:tcPr>
            <w:tcW w:w="1239" w:type="dxa"/>
            <w:vAlign w:val="center"/>
          </w:tcPr>
          <w:p w14:paraId="27491E7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13907</w:t>
            </w:r>
          </w:p>
        </w:tc>
        <w:tc>
          <w:tcPr>
            <w:tcW w:w="2180" w:type="dxa"/>
          </w:tcPr>
          <w:p w14:paraId="3B22FB4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w:t>
            </w:r>
          </w:p>
        </w:tc>
      </w:tr>
    </w:tbl>
    <w:p w14:paraId="6DA414DE" w14:textId="77777777" w:rsidR="007D1E74" w:rsidRDefault="00A95641">
      <w:pPr>
        <w:pStyle w:val="41"/>
        <w:tabs>
          <w:tab w:val="left" w:pos="860"/>
        </w:tabs>
        <w:spacing w:line="360" w:lineRule="auto"/>
        <w:jc w:val="left"/>
        <w:rPr>
          <w:rFonts w:ascii="Times New Roman" w:hAnsi="Times New Roman"/>
          <w:sz w:val="24"/>
          <w:szCs w:val="24"/>
        </w:rPr>
      </w:pPr>
      <w:r>
        <w:rPr>
          <w:rFonts w:ascii="Times New Roman" w:hAnsi="Times New Roman"/>
          <w:sz w:val="24"/>
          <w:szCs w:val="24"/>
        </w:rPr>
        <w:t>3.1.3.2</w:t>
      </w:r>
      <w:r>
        <w:rPr>
          <w:rFonts w:ascii="Times New Roman" w:hAnsi="Times New Roman"/>
          <w:sz w:val="24"/>
          <w:szCs w:val="24"/>
        </w:rPr>
        <w:t>关联工程及依托工程</w:t>
      </w:r>
    </w:p>
    <w:p w14:paraId="4AC18986" w14:textId="77777777" w:rsidR="007D1E74" w:rsidRDefault="00A95641">
      <w:pPr>
        <w:spacing w:line="360" w:lineRule="auto"/>
        <w:ind w:firstLineChars="200" w:firstLine="480"/>
        <w:rPr>
          <w:sz w:val="24"/>
        </w:rPr>
      </w:pPr>
      <w:r>
        <w:rPr>
          <w:sz w:val="24"/>
        </w:rPr>
        <w:t>马</w:t>
      </w:r>
      <w:r>
        <w:rPr>
          <w:sz w:val="24"/>
        </w:rPr>
        <w:t>1</w:t>
      </w:r>
      <w:r>
        <w:rPr>
          <w:sz w:val="24"/>
        </w:rPr>
        <w:t>及马</w:t>
      </w:r>
      <w:r>
        <w:rPr>
          <w:sz w:val="24"/>
        </w:rPr>
        <w:t>2</w:t>
      </w:r>
      <w:r>
        <w:rPr>
          <w:sz w:val="24"/>
        </w:rPr>
        <w:t>区块气井采出的天然气经过井下节流后经过井口带液计量橇后串接接入集输管线输送到马</w:t>
      </w:r>
      <w:r>
        <w:rPr>
          <w:sz w:val="24"/>
        </w:rPr>
        <w:t>1-11</w:t>
      </w:r>
      <w:r>
        <w:rPr>
          <w:sz w:val="24"/>
        </w:rPr>
        <w:t>脱水井场进行脱水。</w:t>
      </w:r>
    </w:p>
    <w:p w14:paraId="7DC5C3B3" w14:textId="77777777" w:rsidR="007D1E74" w:rsidRDefault="00A95641">
      <w:pPr>
        <w:spacing w:line="360" w:lineRule="auto"/>
        <w:ind w:firstLineChars="200" w:firstLine="480"/>
        <w:rPr>
          <w:b/>
          <w:sz w:val="24"/>
        </w:rPr>
      </w:pPr>
      <w:r>
        <w:rPr>
          <w:sz w:val="24"/>
        </w:rPr>
        <w:lastRenderedPageBreak/>
        <w:t>同时通南巴区块目前依托西南油气分公司输气管网外输。区块产出的天然气输至草池增压站，经河巴线输送到巴中末站供应当地市场。</w:t>
      </w:r>
    </w:p>
    <w:p w14:paraId="26F1AB0E" w14:textId="77777777" w:rsidR="007D1E74" w:rsidRDefault="00A95641">
      <w:pPr>
        <w:spacing w:line="360" w:lineRule="auto"/>
        <w:ind w:firstLineChars="200" w:firstLine="482"/>
        <w:rPr>
          <w:b/>
          <w:sz w:val="24"/>
        </w:rPr>
      </w:pPr>
      <w:r>
        <w:rPr>
          <w:b/>
          <w:sz w:val="24"/>
        </w:rPr>
        <w:t>1</w:t>
      </w:r>
      <w:r>
        <w:rPr>
          <w:b/>
          <w:sz w:val="24"/>
        </w:rPr>
        <w:t>、关联工程</w:t>
      </w:r>
    </w:p>
    <w:p w14:paraId="203C09D6" w14:textId="77777777" w:rsidR="007D1E74" w:rsidRDefault="00A95641">
      <w:pPr>
        <w:spacing w:line="360" w:lineRule="auto"/>
        <w:ind w:firstLineChars="200" w:firstLine="480"/>
        <w:rPr>
          <w:bCs/>
          <w:sz w:val="24"/>
        </w:rPr>
      </w:pPr>
      <w:r>
        <w:rPr>
          <w:bCs/>
          <w:sz w:val="24"/>
        </w:rPr>
        <w:t>1#</w:t>
      </w:r>
      <w:r>
        <w:rPr>
          <w:bCs/>
          <w:sz w:val="24"/>
        </w:rPr>
        <w:t>阀室上游为一期工程通南巴气田马</w:t>
      </w:r>
      <w:r>
        <w:rPr>
          <w:bCs/>
          <w:sz w:val="24"/>
        </w:rPr>
        <w:t>201</w:t>
      </w:r>
      <w:r>
        <w:rPr>
          <w:bCs/>
          <w:sz w:val="24"/>
        </w:rPr>
        <w:t>井</w:t>
      </w:r>
      <w:r>
        <w:rPr>
          <w:bCs/>
          <w:sz w:val="24"/>
        </w:rPr>
        <w:t>-</w:t>
      </w:r>
      <w:r>
        <w:rPr>
          <w:bCs/>
          <w:sz w:val="24"/>
        </w:rPr>
        <w:t>马</w:t>
      </w:r>
      <w:r>
        <w:rPr>
          <w:bCs/>
          <w:sz w:val="24"/>
        </w:rPr>
        <w:t>2</w:t>
      </w:r>
      <w:r>
        <w:rPr>
          <w:bCs/>
          <w:sz w:val="24"/>
        </w:rPr>
        <w:t>井、马</w:t>
      </w:r>
      <w:r>
        <w:rPr>
          <w:bCs/>
          <w:sz w:val="24"/>
        </w:rPr>
        <w:t>2</w:t>
      </w:r>
      <w:r>
        <w:rPr>
          <w:bCs/>
          <w:sz w:val="24"/>
        </w:rPr>
        <w:t>井</w:t>
      </w:r>
      <w:r>
        <w:rPr>
          <w:bCs/>
          <w:sz w:val="24"/>
        </w:rPr>
        <w:t>-1#</w:t>
      </w:r>
      <w:r>
        <w:rPr>
          <w:bCs/>
          <w:sz w:val="24"/>
        </w:rPr>
        <w:t>阀室地面配套工程来气，之后通过支线连接马</w:t>
      </w:r>
      <w:r>
        <w:rPr>
          <w:bCs/>
          <w:sz w:val="24"/>
        </w:rPr>
        <w:t>1-13H</w:t>
      </w:r>
      <w:r>
        <w:rPr>
          <w:bCs/>
          <w:sz w:val="24"/>
        </w:rPr>
        <w:t>、马</w:t>
      </w:r>
      <w:r>
        <w:rPr>
          <w:bCs/>
          <w:sz w:val="24"/>
        </w:rPr>
        <w:t>1-10H</w:t>
      </w:r>
      <w:r>
        <w:rPr>
          <w:bCs/>
          <w:sz w:val="24"/>
        </w:rPr>
        <w:t>、马</w:t>
      </w:r>
      <w:r>
        <w:rPr>
          <w:bCs/>
          <w:sz w:val="24"/>
        </w:rPr>
        <w:t>1-1</w:t>
      </w:r>
      <w:r>
        <w:rPr>
          <w:bCs/>
          <w:sz w:val="24"/>
        </w:rPr>
        <w:t>采气井场，汇入干管后至马</w:t>
      </w:r>
      <w:r>
        <w:rPr>
          <w:bCs/>
          <w:sz w:val="24"/>
        </w:rPr>
        <w:t>1-11</w:t>
      </w:r>
      <w:r>
        <w:rPr>
          <w:bCs/>
          <w:sz w:val="24"/>
        </w:rPr>
        <w:t>脱水井场脱水后，马</w:t>
      </w:r>
      <w:r>
        <w:rPr>
          <w:bCs/>
          <w:sz w:val="24"/>
        </w:rPr>
        <w:t>1-12</w:t>
      </w:r>
      <w:r>
        <w:rPr>
          <w:bCs/>
          <w:sz w:val="24"/>
        </w:rPr>
        <w:t>拟通过三期待建脱水站脱水后至干管，最后一起进入草池增压站。</w:t>
      </w:r>
    </w:p>
    <w:p w14:paraId="3A5210BD" w14:textId="77777777" w:rsidR="007D1E74" w:rsidRDefault="00A95641">
      <w:pPr>
        <w:pStyle w:val="affffff6"/>
        <w:ind w:firstLine="480"/>
        <w:rPr>
          <w:rFonts w:ascii="Times New Roman" w:hAnsi="Times New Roman" w:cs="Times New Roman"/>
        </w:rPr>
      </w:pPr>
      <w:r>
        <w:rPr>
          <w:rFonts w:ascii="Times New Roman" w:hAnsi="Times New Roman" w:cs="Times New Roman"/>
          <w:bCs/>
        </w:rPr>
        <w:t>其中草池增压站增压能力</w:t>
      </w:r>
      <w:r>
        <w:rPr>
          <w:rFonts w:ascii="Times New Roman" w:hAnsi="Times New Roman" w:cs="Times New Roman"/>
          <w:bCs/>
        </w:rPr>
        <w:t>150×10</w:t>
      </w:r>
      <w:r>
        <w:rPr>
          <w:rFonts w:ascii="Times New Roman" w:hAnsi="Times New Roman" w:cs="Times New Roman"/>
          <w:bCs/>
          <w:vertAlign w:val="superscript"/>
        </w:rPr>
        <w:t>4</w:t>
      </w:r>
      <w:r>
        <w:rPr>
          <w:rFonts w:ascii="Times New Roman" w:hAnsi="Times New Roman" w:cs="Times New Roman"/>
          <w:bCs/>
        </w:rPr>
        <w:t>Nm</w:t>
      </w:r>
      <w:r>
        <w:rPr>
          <w:rFonts w:ascii="Times New Roman" w:hAnsi="Times New Roman" w:cs="Times New Roman"/>
          <w:bCs/>
          <w:vertAlign w:val="superscript"/>
        </w:rPr>
        <w:t>3</w:t>
      </w:r>
      <w:r>
        <w:rPr>
          <w:rFonts w:ascii="Times New Roman" w:hAnsi="Times New Roman" w:cs="Times New Roman"/>
          <w:bCs/>
        </w:rPr>
        <w:t>/d</w:t>
      </w:r>
      <w:r>
        <w:rPr>
          <w:rFonts w:ascii="Times New Roman" w:hAnsi="Times New Roman" w:cs="Times New Roman"/>
          <w:bCs/>
        </w:rPr>
        <w:t>，压缩机</w:t>
      </w:r>
      <w:r>
        <w:rPr>
          <w:rFonts w:ascii="Times New Roman" w:hAnsi="Times New Roman" w:cs="Times New Roman"/>
          <w:bCs/>
        </w:rPr>
        <w:t>3</w:t>
      </w:r>
      <w:r>
        <w:rPr>
          <w:rFonts w:ascii="Times New Roman" w:hAnsi="Times New Roman" w:cs="Times New Roman"/>
          <w:bCs/>
        </w:rPr>
        <w:t>台（</w:t>
      </w:r>
      <w:r>
        <w:rPr>
          <w:rFonts w:ascii="Times New Roman" w:hAnsi="Times New Roman" w:cs="Times New Roman"/>
          <w:bCs/>
        </w:rPr>
        <w:t>2</w:t>
      </w:r>
      <w:r>
        <w:rPr>
          <w:rFonts w:ascii="Times New Roman" w:hAnsi="Times New Roman" w:cs="Times New Roman"/>
          <w:bCs/>
        </w:rPr>
        <w:t>用</w:t>
      </w:r>
      <w:r>
        <w:rPr>
          <w:rFonts w:ascii="Times New Roman" w:hAnsi="Times New Roman" w:cs="Times New Roman"/>
          <w:bCs/>
        </w:rPr>
        <w:t>1</w:t>
      </w:r>
      <w:r>
        <w:rPr>
          <w:rFonts w:ascii="Times New Roman" w:hAnsi="Times New Roman" w:cs="Times New Roman"/>
          <w:bCs/>
        </w:rPr>
        <w:t>备），单台</w:t>
      </w:r>
      <w:r>
        <w:rPr>
          <w:rFonts w:ascii="Times New Roman" w:hAnsi="Times New Roman" w:cs="Times New Roman"/>
          <w:bCs/>
        </w:rPr>
        <w:t>70×10</w:t>
      </w:r>
      <w:r>
        <w:rPr>
          <w:rFonts w:ascii="Times New Roman" w:hAnsi="Times New Roman" w:cs="Times New Roman"/>
          <w:bCs/>
          <w:vertAlign w:val="superscript"/>
        </w:rPr>
        <w:t>4</w:t>
      </w:r>
      <w:r>
        <w:rPr>
          <w:rFonts w:ascii="Times New Roman" w:hAnsi="Times New Roman" w:cs="Times New Roman"/>
          <w:bCs/>
        </w:rPr>
        <w:t>m</w:t>
      </w:r>
      <w:r>
        <w:rPr>
          <w:rFonts w:ascii="Times New Roman" w:hAnsi="Times New Roman" w:cs="Times New Roman"/>
          <w:bCs/>
          <w:vertAlign w:val="superscript"/>
        </w:rPr>
        <w:t>3</w:t>
      </w:r>
      <w:r>
        <w:rPr>
          <w:rFonts w:ascii="Times New Roman" w:hAnsi="Times New Roman" w:cs="Times New Roman"/>
          <w:bCs/>
        </w:rPr>
        <w:t>/d</w:t>
      </w:r>
      <w:r>
        <w:rPr>
          <w:rFonts w:ascii="Times New Roman" w:hAnsi="Times New Roman" w:cs="Times New Roman"/>
          <w:bCs/>
        </w:rPr>
        <w:t>，功率</w:t>
      </w:r>
      <w:r>
        <w:rPr>
          <w:rFonts w:ascii="Times New Roman" w:hAnsi="Times New Roman" w:cs="Times New Roman"/>
          <w:bCs/>
        </w:rPr>
        <w:t>900kW</w:t>
      </w:r>
      <w:r>
        <w:rPr>
          <w:rFonts w:ascii="Times New Roman" w:hAnsi="Times New Roman" w:cs="Times New Roman"/>
          <w:bCs/>
        </w:rPr>
        <w:t>，入口压力</w:t>
      </w:r>
      <w:r>
        <w:rPr>
          <w:rFonts w:ascii="Times New Roman" w:hAnsi="Times New Roman" w:cs="Times New Roman"/>
          <w:bCs/>
        </w:rPr>
        <w:t>3.5-5.0MPa</w:t>
      </w:r>
      <w:r>
        <w:rPr>
          <w:rFonts w:ascii="Times New Roman" w:hAnsi="Times New Roman" w:cs="Times New Roman"/>
          <w:bCs/>
        </w:rPr>
        <w:t>，出口压力</w:t>
      </w:r>
      <w:r>
        <w:rPr>
          <w:rFonts w:ascii="Times New Roman" w:hAnsi="Times New Roman" w:cs="Times New Roman"/>
          <w:bCs/>
        </w:rPr>
        <w:t>7.0-8.5Mpa</w:t>
      </w:r>
      <w:r>
        <w:rPr>
          <w:rFonts w:ascii="Times New Roman" w:hAnsi="Times New Roman" w:cs="Times New Roman"/>
          <w:bCs/>
        </w:rPr>
        <w:t>，</w:t>
      </w:r>
      <w:r>
        <w:rPr>
          <w:rFonts w:ascii="Times New Roman" w:hAnsi="Times New Roman" w:cs="Times New Roman"/>
          <w:bCs/>
        </w:rPr>
        <w:t>2022</w:t>
      </w:r>
      <w:r>
        <w:rPr>
          <w:rFonts w:ascii="Times New Roman" w:hAnsi="Times New Roman" w:cs="Times New Roman"/>
          <w:bCs/>
        </w:rPr>
        <w:t>年西南油气分公司将草池增压站移交天然气分公司管理。</w:t>
      </w:r>
    </w:p>
    <w:p w14:paraId="7958ECC3" w14:textId="77777777" w:rsidR="007D1E74" w:rsidRDefault="00A95641">
      <w:pPr>
        <w:spacing w:line="360" w:lineRule="auto"/>
        <w:ind w:firstLineChars="200" w:firstLine="480"/>
        <w:rPr>
          <w:b/>
          <w:bCs/>
        </w:rPr>
      </w:pPr>
      <w:r>
        <w:rPr>
          <w:bCs/>
          <w:sz w:val="24"/>
        </w:rPr>
        <w:t>关联井和管道环保手续履行情况见表</w:t>
      </w:r>
      <w:r>
        <w:rPr>
          <w:bCs/>
          <w:sz w:val="24"/>
        </w:rPr>
        <w:t xml:space="preserve"> 3.1-6</w:t>
      </w:r>
      <w:r>
        <w:rPr>
          <w:bCs/>
          <w:sz w:val="24"/>
        </w:rPr>
        <w:t>。</w:t>
      </w:r>
    </w:p>
    <w:p w14:paraId="637FE754" w14:textId="77777777" w:rsidR="007D1E74" w:rsidRDefault="00A95641">
      <w:pPr>
        <w:jc w:val="center"/>
        <w:rPr>
          <w:b/>
          <w:bCs/>
        </w:rPr>
      </w:pPr>
      <w:r>
        <w:rPr>
          <w:b/>
          <w:bCs/>
        </w:rPr>
        <w:t>表</w:t>
      </w:r>
      <w:r>
        <w:rPr>
          <w:b/>
          <w:bCs/>
        </w:rPr>
        <w:t xml:space="preserve">3.1-6   </w:t>
      </w:r>
      <w:r>
        <w:rPr>
          <w:b/>
          <w:bCs/>
        </w:rPr>
        <w:t>项目现有工程环保手续履行情况</w:t>
      </w:r>
    </w:p>
    <w:tbl>
      <w:tblPr>
        <w:tblW w:w="8946" w:type="dxa"/>
        <w:jc w:val="center"/>
        <w:tblBorders>
          <w:top w:val="single" w:sz="8" w:space="0" w:color="000000"/>
          <w:bottom w:val="single" w:sz="6" w:space="0" w:color="000000"/>
          <w:insideH w:val="single" w:sz="6" w:space="0" w:color="000000"/>
          <w:insideV w:val="single" w:sz="6" w:space="0" w:color="000000"/>
        </w:tblBorders>
        <w:tblLayout w:type="fixed"/>
        <w:tblCellMar>
          <w:left w:w="0" w:type="dxa"/>
          <w:right w:w="0" w:type="dxa"/>
        </w:tblCellMar>
        <w:tblLook w:val="04A0" w:firstRow="1" w:lastRow="0" w:firstColumn="1" w:lastColumn="0" w:noHBand="0" w:noVBand="1"/>
      </w:tblPr>
      <w:tblGrid>
        <w:gridCol w:w="2552"/>
        <w:gridCol w:w="3115"/>
        <w:gridCol w:w="3279"/>
      </w:tblGrid>
      <w:tr w:rsidR="007D1E74" w14:paraId="4948D527" w14:textId="77777777">
        <w:trPr>
          <w:trHeight w:val="340"/>
          <w:jc w:val="center"/>
        </w:trPr>
        <w:tc>
          <w:tcPr>
            <w:tcW w:w="2552" w:type="dxa"/>
            <w:tcBorders>
              <w:tl2br w:val="nil"/>
              <w:tr2bl w:val="nil"/>
            </w:tcBorders>
            <w:vAlign w:val="center"/>
          </w:tcPr>
          <w:p w14:paraId="3CDA7056" w14:textId="77777777" w:rsidR="007D1E74" w:rsidRDefault="00A95641">
            <w:pPr>
              <w:pStyle w:val="TableParagraph"/>
              <w:spacing w:before="29"/>
              <w:ind w:left="187" w:right="168"/>
              <w:jc w:val="center"/>
              <w:rPr>
                <w:rFonts w:ascii="Times New Roman" w:hAnsi="Times New Roman"/>
                <w:b/>
                <w:sz w:val="21"/>
                <w:szCs w:val="21"/>
              </w:rPr>
            </w:pPr>
            <w:r>
              <w:rPr>
                <w:rFonts w:ascii="Times New Roman" w:hAnsi="Times New Roman"/>
                <w:b/>
                <w:sz w:val="21"/>
                <w:szCs w:val="21"/>
              </w:rPr>
              <w:t>名称</w:t>
            </w:r>
          </w:p>
        </w:tc>
        <w:tc>
          <w:tcPr>
            <w:tcW w:w="3115" w:type="dxa"/>
            <w:tcBorders>
              <w:tl2br w:val="nil"/>
              <w:tr2bl w:val="nil"/>
            </w:tcBorders>
            <w:vAlign w:val="center"/>
          </w:tcPr>
          <w:p w14:paraId="23145F85" w14:textId="77777777" w:rsidR="007D1E74" w:rsidRDefault="00A95641">
            <w:pPr>
              <w:pStyle w:val="TableParagraph"/>
              <w:spacing w:before="29"/>
              <w:ind w:left="1270"/>
              <w:rPr>
                <w:rFonts w:ascii="Times New Roman" w:hAnsi="Times New Roman"/>
                <w:b/>
                <w:sz w:val="21"/>
                <w:szCs w:val="21"/>
              </w:rPr>
            </w:pPr>
            <w:r>
              <w:rPr>
                <w:rFonts w:ascii="Times New Roman" w:hAnsi="Times New Roman"/>
                <w:b/>
                <w:sz w:val="21"/>
                <w:szCs w:val="21"/>
              </w:rPr>
              <w:t>环评执行情况</w:t>
            </w:r>
          </w:p>
        </w:tc>
        <w:tc>
          <w:tcPr>
            <w:tcW w:w="3279" w:type="dxa"/>
            <w:tcBorders>
              <w:tl2br w:val="nil"/>
              <w:tr2bl w:val="nil"/>
            </w:tcBorders>
            <w:vAlign w:val="center"/>
          </w:tcPr>
          <w:p w14:paraId="5FA147B5" w14:textId="77777777" w:rsidR="007D1E74" w:rsidRDefault="00A95641">
            <w:pPr>
              <w:pStyle w:val="TableParagraph"/>
              <w:spacing w:before="29"/>
              <w:ind w:left="760"/>
              <w:rPr>
                <w:rFonts w:ascii="Times New Roman" w:hAnsi="Times New Roman"/>
                <w:b/>
                <w:sz w:val="21"/>
                <w:szCs w:val="21"/>
              </w:rPr>
            </w:pPr>
            <w:r>
              <w:rPr>
                <w:rFonts w:ascii="Times New Roman" w:hAnsi="Times New Roman"/>
                <w:b/>
                <w:sz w:val="21"/>
                <w:szCs w:val="21"/>
              </w:rPr>
              <w:t>环保竣工验收情况</w:t>
            </w:r>
          </w:p>
        </w:tc>
      </w:tr>
      <w:tr w:rsidR="007D1E74" w14:paraId="5DB437EA" w14:textId="77777777">
        <w:trPr>
          <w:trHeight w:val="553"/>
          <w:jc w:val="center"/>
        </w:trPr>
        <w:tc>
          <w:tcPr>
            <w:tcW w:w="2552" w:type="dxa"/>
            <w:tcBorders>
              <w:tl2br w:val="nil"/>
              <w:tr2bl w:val="nil"/>
            </w:tcBorders>
            <w:vAlign w:val="center"/>
          </w:tcPr>
          <w:p w14:paraId="0A261050" w14:textId="77777777" w:rsidR="007D1E74" w:rsidRDefault="00A95641">
            <w:pPr>
              <w:pStyle w:val="TableParagraph"/>
              <w:ind w:left="187" w:right="171"/>
              <w:jc w:val="center"/>
              <w:rPr>
                <w:rFonts w:ascii="Times New Roman" w:hAnsi="Times New Roman"/>
                <w:sz w:val="21"/>
                <w:szCs w:val="21"/>
              </w:rPr>
            </w:pPr>
            <w:r>
              <w:rPr>
                <w:rFonts w:ascii="Times New Roman" w:hAnsi="Times New Roman"/>
                <w:sz w:val="21"/>
                <w:szCs w:val="21"/>
              </w:rPr>
              <w:t>一期工程</w:t>
            </w:r>
          </w:p>
          <w:p w14:paraId="714C8A0D" w14:textId="77777777" w:rsidR="007D1E74" w:rsidRDefault="00A95641">
            <w:pPr>
              <w:pStyle w:val="TableParagraph"/>
              <w:ind w:left="187" w:right="171"/>
              <w:jc w:val="center"/>
              <w:rPr>
                <w:rFonts w:ascii="Times New Roman" w:hAnsi="Times New Roman"/>
                <w:sz w:val="21"/>
                <w:szCs w:val="21"/>
              </w:rPr>
            </w:pPr>
            <w:r>
              <w:rPr>
                <w:rFonts w:ascii="Times New Roman" w:hAnsi="Times New Roman"/>
                <w:sz w:val="21"/>
                <w:szCs w:val="21"/>
              </w:rPr>
              <w:t>（</w:t>
            </w:r>
            <w:r>
              <w:rPr>
                <w:rFonts w:ascii="Times New Roman" w:hAnsi="Times New Roman"/>
                <w:bCs/>
                <w:sz w:val="21"/>
                <w:szCs w:val="21"/>
              </w:rPr>
              <w:t>通南巴气田马</w:t>
            </w:r>
            <w:r>
              <w:rPr>
                <w:rFonts w:ascii="Times New Roman" w:hAnsi="Times New Roman"/>
                <w:bCs/>
                <w:sz w:val="21"/>
                <w:szCs w:val="21"/>
              </w:rPr>
              <w:t>201</w:t>
            </w:r>
            <w:r>
              <w:rPr>
                <w:rFonts w:ascii="Times New Roman" w:hAnsi="Times New Roman"/>
                <w:bCs/>
                <w:sz w:val="21"/>
                <w:szCs w:val="21"/>
              </w:rPr>
              <w:t>井</w:t>
            </w:r>
            <w:r>
              <w:rPr>
                <w:rFonts w:ascii="Times New Roman" w:hAnsi="Times New Roman"/>
                <w:bCs/>
                <w:sz w:val="21"/>
                <w:szCs w:val="21"/>
              </w:rPr>
              <w:t>-</w:t>
            </w:r>
            <w:r>
              <w:rPr>
                <w:rFonts w:ascii="Times New Roman" w:hAnsi="Times New Roman"/>
                <w:bCs/>
                <w:sz w:val="21"/>
                <w:szCs w:val="21"/>
              </w:rPr>
              <w:t>马</w:t>
            </w:r>
            <w:r>
              <w:rPr>
                <w:rFonts w:ascii="Times New Roman" w:hAnsi="Times New Roman"/>
                <w:bCs/>
                <w:sz w:val="21"/>
                <w:szCs w:val="21"/>
              </w:rPr>
              <w:t>2</w:t>
            </w:r>
            <w:r>
              <w:rPr>
                <w:rFonts w:ascii="Times New Roman" w:hAnsi="Times New Roman"/>
                <w:bCs/>
                <w:sz w:val="21"/>
                <w:szCs w:val="21"/>
              </w:rPr>
              <w:t>井、马</w:t>
            </w:r>
            <w:r>
              <w:rPr>
                <w:rFonts w:ascii="Times New Roman" w:hAnsi="Times New Roman"/>
                <w:bCs/>
                <w:sz w:val="21"/>
                <w:szCs w:val="21"/>
              </w:rPr>
              <w:t>2</w:t>
            </w:r>
            <w:r>
              <w:rPr>
                <w:rFonts w:ascii="Times New Roman" w:hAnsi="Times New Roman"/>
                <w:bCs/>
                <w:sz w:val="21"/>
                <w:szCs w:val="21"/>
              </w:rPr>
              <w:t>井</w:t>
            </w:r>
            <w:r>
              <w:rPr>
                <w:rFonts w:ascii="Times New Roman" w:hAnsi="Times New Roman"/>
                <w:bCs/>
                <w:sz w:val="21"/>
                <w:szCs w:val="21"/>
              </w:rPr>
              <w:t>-1#</w:t>
            </w:r>
            <w:r>
              <w:rPr>
                <w:rFonts w:ascii="Times New Roman" w:hAnsi="Times New Roman"/>
                <w:bCs/>
                <w:sz w:val="21"/>
                <w:szCs w:val="21"/>
              </w:rPr>
              <w:t>阀室地面配套工程</w:t>
            </w:r>
            <w:r>
              <w:rPr>
                <w:rFonts w:ascii="Times New Roman" w:hAnsi="Times New Roman"/>
                <w:sz w:val="21"/>
                <w:szCs w:val="21"/>
              </w:rPr>
              <w:t>）</w:t>
            </w:r>
          </w:p>
        </w:tc>
        <w:tc>
          <w:tcPr>
            <w:tcW w:w="3115" w:type="dxa"/>
            <w:tcBorders>
              <w:tl2br w:val="nil"/>
              <w:tr2bl w:val="nil"/>
            </w:tcBorders>
            <w:vAlign w:val="center"/>
          </w:tcPr>
          <w:p w14:paraId="20590F62" w14:textId="77777777" w:rsidR="007D1E74" w:rsidRDefault="00A95641">
            <w:pPr>
              <w:pStyle w:val="TableParagraph"/>
              <w:spacing w:before="144" w:line="242" w:lineRule="auto"/>
              <w:ind w:left="109" w:right="2"/>
              <w:jc w:val="both"/>
              <w:rPr>
                <w:rFonts w:ascii="Times New Roman" w:hAnsi="Times New Roman"/>
                <w:sz w:val="21"/>
                <w:szCs w:val="21"/>
              </w:rPr>
            </w:pPr>
            <w:r>
              <w:rPr>
                <w:rFonts w:ascii="Times New Roman" w:hAnsi="Times New Roman"/>
                <w:sz w:val="21"/>
                <w:szCs w:val="21"/>
              </w:rPr>
              <w:t>2021</w:t>
            </w:r>
            <w:r>
              <w:rPr>
                <w:rFonts w:ascii="Times New Roman" w:hAnsi="Times New Roman"/>
                <w:sz w:val="21"/>
                <w:szCs w:val="21"/>
              </w:rPr>
              <w:t>年</w:t>
            </w:r>
            <w:r>
              <w:rPr>
                <w:rFonts w:ascii="Times New Roman" w:hAnsi="Times New Roman"/>
                <w:sz w:val="21"/>
                <w:szCs w:val="21"/>
              </w:rPr>
              <w:t>10</w:t>
            </w:r>
            <w:r>
              <w:rPr>
                <w:rFonts w:ascii="Times New Roman" w:hAnsi="Times New Roman"/>
                <w:sz w:val="21"/>
                <w:szCs w:val="21"/>
              </w:rPr>
              <w:t>月</w:t>
            </w:r>
            <w:r>
              <w:rPr>
                <w:rFonts w:ascii="Times New Roman" w:hAnsi="Times New Roman"/>
                <w:sz w:val="21"/>
                <w:szCs w:val="21"/>
              </w:rPr>
              <w:t>25</w:t>
            </w:r>
            <w:r>
              <w:rPr>
                <w:rFonts w:ascii="Times New Roman" w:hAnsi="Times New Roman"/>
                <w:sz w:val="21"/>
                <w:szCs w:val="21"/>
              </w:rPr>
              <w:t>日，巴中市生态环境局《关于通南巴气田马</w:t>
            </w:r>
            <w:r>
              <w:rPr>
                <w:rFonts w:ascii="Times New Roman" w:hAnsi="Times New Roman"/>
                <w:sz w:val="21"/>
                <w:szCs w:val="21"/>
              </w:rPr>
              <w:t>201</w:t>
            </w:r>
            <w:r>
              <w:rPr>
                <w:rFonts w:ascii="Times New Roman" w:hAnsi="Times New Roman"/>
                <w:sz w:val="21"/>
                <w:szCs w:val="21"/>
              </w:rPr>
              <w:t>井</w:t>
            </w:r>
            <w:r>
              <w:rPr>
                <w:rFonts w:ascii="Times New Roman" w:hAnsi="Times New Roman"/>
                <w:sz w:val="21"/>
                <w:szCs w:val="21"/>
              </w:rPr>
              <w:t>-</w:t>
            </w:r>
            <w:r>
              <w:rPr>
                <w:rFonts w:ascii="Times New Roman" w:hAnsi="Times New Roman"/>
                <w:sz w:val="21"/>
                <w:szCs w:val="21"/>
              </w:rPr>
              <w:t>马</w:t>
            </w:r>
            <w:r>
              <w:rPr>
                <w:rFonts w:ascii="Times New Roman" w:hAnsi="Times New Roman"/>
                <w:sz w:val="21"/>
                <w:szCs w:val="21"/>
              </w:rPr>
              <w:t>2</w:t>
            </w:r>
            <w:r>
              <w:rPr>
                <w:rFonts w:ascii="Times New Roman" w:hAnsi="Times New Roman"/>
                <w:sz w:val="21"/>
                <w:szCs w:val="21"/>
              </w:rPr>
              <w:t>井、马</w:t>
            </w:r>
            <w:r>
              <w:rPr>
                <w:rFonts w:ascii="Times New Roman" w:hAnsi="Times New Roman"/>
                <w:sz w:val="21"/>
                <w:szCs w:val="21"/>
              </w:rPr>
              <w:t>2</w:t>
            </w:r>
            <w:r>
              <w:rPr>
                <w:rFonts w:ascii="Times New Roman" w:hAnsi="Times New Roman"/>
                <w:sz w:val="21"/>
                <w:szCs w:val="21"/>
              </w:rPr>
              <w:t>井</w:t>
            </w:r>
            <w:r>
              <w:rPr>
                <w:rFonts w:ascii="Times New Roman" w:hAnsi="Times New Roman"/>
                <w:sz w:val="21"/>
                <w:szCs w:val="21"/>
              </w:rPr>
              <w:t>-1#</w:t>
            </w:r>
            <w:r>
              <w:rPr>
                <w:rFonts w:ascii="Times New Roman" w:hAnsi="Times New Roman"/>
                <w:sz w:val="21"/>
                <w:szCs w:val="21"/>
              </w:rPr>
              <w:t>阀室地面配套工程环境影响报告书的批复》（</w:t>
            </w:r>
            <w:r>
              <w:rPr>
                <w:rFonts w:ascii="Times New Roman" w:hAnsi="Times New Roman"/>
                <w:sz w:val="20"/>
                <w:szCs w:val="20"/>
                <w:shd w:val="clear" w:color="auto" w:fill="FFFFFF"/>
              </w:rPr>
              <w:t>巴环境审〔</w:t>
            </w:r>
            <w:r>
              <w:rPr>
                <w:rFonts w:ascii="Times New Roman" w:hAnsi="Times New Roman"/>
                <w:sz w:val="20"/>
                <w:szCs w:val="20"/>
                <w:shd w:val="clear" w:color="auto" w:fill="FFFFFF"/>
              </w:rPr>
              <w:t>2021</w:t>
            </w:r>
            <w:r>
              <w:rPr>
                <w:rFonts w:ascii="Times New Roman" w:hAnsi="Times New Roman"/>
                <w:sz w:val="20"/>
                <w:szCs w:val="20"/>
                <w:shd w:val="clear" w:color="auto" w:fill="FFFFFF"/>
              </w:rPr>
              <w:t>〕</w:t>
            </w:r>
            <w:r>
              <w:rPr>
                <w:rFonts w:ascii="Times New Roman" w:hAnsi="Times New Roman"/>
                <w:sz w:val="20"/>
                <w:szCs w:val="20"/>
                <w:shd w:val="clear" w:color="auto" w:fill="FFFFFF"/>
              </w:rPr>
              <w:t>34</w:t>
            </w:r>
            <w:r>
              <w:rPr>
                <w:rFonts w:ascii="Times New Roman" w:hAnsi="Times New Roman"/>
                <w:sz w:val="20"/>
                <w:szCs w:val="20"/>
                <w:shd w:val="clear" w:color="auto" w:fill="FFFFFF"/>
              </w:rPr>
              <w:t>号</w:t>
            </w:r>
            <w:r>
              <w:rPr>
                <w:rFonts w:ascii="Times New Roman" w:hAnsi="Times New Roman"/>
                <w:sz w:val="21"/>
                <w:szCs w:val="21"/>
              </w:rPr>
              <w:t>）</w:t>
            </w:r>
          </w:p>
        </w:tc>
        <w:tc>
          <w:tcPr>
            <w:tcW w:w="3279" w:type="dxa"/>
            <w:tcBorders>
              <w:tl2br w:val="nil"/>
              <w:tr2bl w:val="nil"/>
            </w:tcBorders>
            <w:vAlign w:val="center"/>
          </w:tcPr>
          <w:p w14:paraId="13AFE36B" w14:textId="77777777" w:rsidR="007D1E74" w:rsidRDefault="00A95641">
            <w:pPr>
              <w:pStyle w:val="TableParagraph"/>
              <w:spacing w:before="2" w:line="242" w:lineRule="auto"/>
              <w:ind w:left="86" w:right="62"/>
              <w:jc w:val="center"/>
              <w:rPr>
                <w:rFonts w:ascii="Times New Roman" w:hAnsi="Times New Roman"/>
                <w:sz w:val="21"/>
                <w:szCs w:val="21"/>
              </w:rPr>
            </w:pPr>
            <w:r>
              <w:rPr>
                <w:rFonts w:ascii="Times New Roman" w:hAnsi="Times New Roman"/>
                <w:sz w:val="21"/>
                <w:szCs w:val="21"/>
              </w:rPr>
              <w:t>建设中</w:t>
            </w:r>
          </w:p>
        </w:tc>
      </w:tr>
      <w:tr w:rsidR="007D1E74" w14:paraId="250E5ADE" w14:textId="77777777">
        <w:trPr>
          <w:trHeight w:val="659"/>
          <w:jc w:val="center"/>
        </w:trPr>
        <w:tc>
          <w:tcPr>
            <w:tcW w:w="2552" w:type="dxa"/>
            <w:tcBorders>
              <w:tl2br w:val="nil"/>
              <w:tr2bl w:val="nil"/>
            </w:tcBorders>
            <w:vAlign w:val="center"/>
          </w:tcPr>
          <w:p w14:paraId="65D2071D" w14:textId="77777777" w:rsidR="007D1E74" w:rsidRDefault="00A95641">
            <w:pPr>
              <w:pStyle w:val="TableParagraph"/>
              <w:ind w:left="187" w:right="171"/>
              <w:jc w:val="center"/>
              <w:rPr>
                <w:rFonts w:ascii="Times New Roman" w:hAnsi="Times New Roman"/>
                <w:sz w:val="21"/>
                <w:szCs w:val="21"/>
              </w:rPr>
            </w:pPr>
            <w:r>
              <w:rPr>
                <w:rFonts w:ascii="Times New Roman" w:hAnsi="Times New Roman"/>
                <w:sz w:val="21"/>
                <w:szCs w:val="21"/>
              </w:rPr>
              <w:t>马</w:t>
            </w:r>
            <w:r>
              <w:rPr>
                <w:rFonts w:ascii="Times New Roman" w:hAnsi="Times New Roman"/>
                <w:sz w:val="21"/>
                <w:szCs w:val="21"/>
              </w:rPr>
              <w:t>1-13H</w:t>
            </w:r>
          </w:p>
        </w:tc>
        <w:tc>
          <w:tcPr>
            <w:tcW w:w="3115" w:type="dxa"/>
            <w:tcBorders>
              <w:tl2br w:val="nil"/>
              <w:tr2bl w:val="nil"/>
            </w:tcBorders>
            <w:vAlign w:val="center"/>
          </w:tcPr>
          <w:p w14:paraId="4567CE15" w14:textId="77777777" w:rsidR="007D1E74" w:rsidRDefault="00A95641">
            <w:pPr>
              <w:pStyle w:val="TableParagraph"/>
              <w:spacing w:before="144" w:line="242" w:lineRule="auto"/>
              <w:ind w:left="109" w:right="2"/>
              <w:jc w:val="both"/>
              <w:rPr>
                <w:rFonts w:ascii="Times New Roman" w:hAnsi="Times New Roman"/>
                <w:sz w:val="21"/>
                <w:szCs w:val="21"/>
              </w:rPr>
            </w:pPr>
            <w:r>
              <w:rPr>
                <w:rFonts w:ascii="Times New Roman" w:hAnsi="Times New Roman"/>
                <w:sz w:val="21"/>
                <w:szCs w:val="21"/>
              </w:rPr>
              <w:t>2022</w:t>
            </w:r>
            <w:r>
              <w:rPr>
                <w:rFonts w:ascii="Times New Roman" w:hAnsi="Times New Roman"/>
                <w:sz w:val="21"/>
                <w:szCs w:val="21"/>
              </w:rPr>
              <w:t>年</w:t>
            </w:r>
            <w:r>
              <w:rPr>
                <w:rFonts w:ascii="Times New Roman" w:hAnsi="Times New Roman"/>
                <w:sz w:val="21"/>
                <w:szCs w:val="21"/>
              </w:rPr>
              <w:t>3</w:t>
            </w:r>
            <w:r>
              <w:rPr>
                <w:rFonts w:ascii="Times New Roman" w:hAnsi="Times New Roman"/>
                <w:sz w:val="21"/>
                <w:szCs w:val="21"/>
              </w:rPr>
              <w:t>月</w:t>
            </w:r>
            <w:r>
              <w:rPr>
                <w:rFonts w:ascii="Times New Roman" w:hAnsi="Times New Roman"/>
                <w:sz w:val="21"/>
                <w:szCs w:val="21"/>
              </w:rPr>
              <w:t>8</w:t>
            </w:r>
            <w:r>
              <w:rPr>
                <w:rFonts w:ascii="Times New Roman" w:hAnsi="Times New Roman"/>
                <w:sz w:val="21"/>
                <w:szCs w:val="21"/>
              </w:rPr>
              <w:t>日，巴中市通江生态环境局《关于中原油田普光分公司马</w:t>
            </w:r>
            <w:r>
              <w:rPr>
                <w:rFonts w:ascii="Times New Roman" w:hAnsi="Times New Roman"/>
                <w:sz w:val="21"/>
                <w:szCs w:val="21"/>
              </w:rPr>
              <w:t>1-13H</w:t>
            </w:r>
            <w:r>
              <w:rPr>
                <w:rFonts w:ascii="Times New Roman" w:hAnsi="Times New Roman"/>
                <w:sz w:val="21"/>
                <w:szCs w:val="21"/>
              </w:rPr>
              <w:t>勘探评价工程环境影响报告表的批复》（</w:t>
            </w:r>
            <w:r>
              <w:rPr>
                <w:rFonts w:ascii="Times New Roman" w:hAnsi="Times New Roman"/>
                <w:sz w:val="20"/>
                <w:szCs w:val="20"/>
                <w:shd w:val="clear" w:color="auto" w:fill="FFFFFF"/>
              </w:rPr>
              <w:t>巴环境通江审〔</w:t>
            </w:r>
            <w:r>
              <w:rPr>
                <w:rFonts w:ascii="Times New Roman" w:hAnsi="Times New Roman"/>
                <w:sz w:val="20"/>
                <w:szCs w:val="20"/>
                <w:shd w:val="clear" w:color="auto" w:fill="FFFFFF"/>
              </w:rPr>
              <w:t>2022</w:t>
            </w:r>
            <w:r>
              <w:rPr>
                <w:rFonts w:ascii="Times New Roman" w:hAnsi="Times New Roman"/>
                <w:sz w:val="20"/>
                <w:szCs w:val="20"/>
                <w:shd w:val="clear" w:color="auto" w:fill="FFFFFF"/>
              </w:rPr>
              <w:t>〕</w:t>
            </w:r>
            <w:r>
              <w:rPr>
                <w:rFonts w:ascii="Times New Roman" w:hAnsi="Times New Roman"/>
                <w:sz w:val="20"/>
                <w:szCs w:val="20"/>
                <w:shd w:val="clear" w:color="auto" w:fill="FFFFFF"/>
              </w:rPr>
              <w:t>7</w:t>
            </w:r>
            <w:r>
              <w:rPr>
                <w:rFonts w:ascii="Times New Roman" w:hAnsi="Times New Roman"/>
                <w:sz w:val="20"/>
                <w:szCs w:val="20"/>
                <w:shd w:val="clear" w:color="auto" w:fill="FFFFFF"/>
              </w:rPr>
              <w:t>号</w:t>
            </w:r>
            <w:r>
              <w:rPr>
                <w:rFonts w:ascii="Times New Roman" w:hAnsi="Times New Roman"/>
                <w:sz w:val="21"/>
                <w:szCs w:val="21"/>
              </w:rPr>
              <w:t>）</w:t>
            </w:r>
          </w:p>
        </w:tc>
        <w:tc>
          <w:tcPr>
            <w:tcW w:w="3279" w:type="dxa"/>
            <w:tcBorders>
              <w:tl2br w:val="nil"/>
              <w:tr2bl w:val="nil"/>
            </w:tcBorders>
            <w:vAlign w:val="center"/>
          </w:tcPr>
          <w:p w14:paraId="3A59E0B5" w14:textId="77777777" w:rsidR="007D1E74" w:rsidRDefault="00A95641">
            <w:pPr>
              <w:pStyle w:val="TableParagraph"/>
              <w:spacing w:before="1" w:line="264" w:lineRule="exact"/>
              <w:ind w:left="83" w:right="62"/>
              <w:jc w:val="center"/>
              <w:rPr>
                <w:rFonts w:ascii="Times New Roman" w:hAnsi="Times New Roman"/>
                <w:sz w:val="21"/>
                <w:szCs w:val="21"/>
              </w:rPr>
            </w:pPr>
            <w:r>
              <w:rPr>
                <w:rFonts w:ascii="Times New Roman" w:hAnsi="Times New Roman"/>
                <w:sz w:val="21"/>
                <w:szCs w:val="21"/>
              </w:rPr>
              <w:t>建设中</w:t>
            </w:r>
          </w:p>
        </w:tc>
      </w:tr>
      <w:tr w:rsidR="007D1E74" w14:paraId="56C5E910" w14:textId="77777777">
        <w:trPr>
          <w:trHeight w:val="856"/>
          <w:jc w:val="center"/>
        </w:trPr>
        <w:tc>
          <w:tcPr>
            <w:tcW w:w="2552" w:type="dxa"/>
            <w:tcBorders>
              <w:tl2br w:val="nil"/>
              <w:tr2bl w:val="nil"/>
            </w:tcBorders>
            <w:vAlign w:val="center"/>
          </w:tcPr>
          <w:p w14:paraId="32C0CBB1" w14:textId="77777777" w:rsidR="007D1E74" w:rsidRDefault="00A95641">
            <w:pPr>
              <w:pStyle w:val="TableParagraph"/>
              <w:spacing w:before="1" w:line="242" w:lineRule="auto"/>
              <w:ind w:left="132" w:right="116" w:firstLine="184"/>
              <w:jc w:val="center"/>
              <w:rPr>
                <w:rFonts w:ascii="Times New Roman" w:hAnsi="Times New Roman"/>
                <w:sz w:val="21"/>
                <w:szCs w:val="21"/>
              </w:rPr>
            </w:pPr>
            <w:r>
              <w:rPr>
                <w:rFonts w:ascii="Times New Roman" w:hAnsi="Times New Roman"/>
                <w:sz w:val="21"/>
                <w:szCs w:val="21"/>
              </w:rPr>
              <w:t>马</w:t>
            </w:r>
            <w:r>
              <w:rPr>
                <w:rFonts w:ascii="Times New Roman" w:hAnsi="Times New Roman"/>
                <w:sz w:val="21"/>
                <w:szCs w:val="21"/>
              </w:rPr>
              <w:t>1-11</w:t>
            </w:r>
          </w:p>
        </w:tc>
        <w:tc>
          <w:tcPr>
            <w:tcW w:w="3115" w:type="dxa"/>
            <w:tcBorders>
              <w:tl2br w:val="nil"/>
              <w:tr2bl w:val="nil"/>
            </w:tcBorders>
            <w:vAlign w:val="center"/>
          </w:tcPr>
          <w:p w14:paraId="2953255C" w14:textId="77777777" w:rsidR="007D1E74" w:rsidRDefault="00A95641">
            <w:pPr>
              <w:pStyle w:val="TableParagraph"/>
              <w:spacing w:line="242" w:lineRule="auto"/>
              <w:ind w:left="109" w:right="112"/>
              <w:jc w:val="both"/>
              <w:rPr>
                <w:rFonts w:ascii="Times New Roman" w:hAnsi="Times New Roman"/>
                <w:sz w:val="21"/>
                <w:szCs w:val="21"/>
              </w:rPr>
            </w:pPr>
            <w:r>
              <w:rPr>
                <w:rFonts w:ascii="Times New Roman" w:hAnsi="Times New Roman"/>
                <w:sz w:val="21"/>
                <w:szCs w:val="21"/>
              </w:rPr>
              <w:t>2021</w:t>
            </w:r>
            <w:r>
              <w:rPr>
                <w:rFonts w:ascii="Times New Roman" w:hAnsi="Times New Roman"/>
                <w:sz w:val="21"/>
                <w:szCs w:val="21"/>
              </w:rPr>
              <w:t>年</w:t>
            </w:r>
            <w:r>
              <w:rPr>
                <w:rFonts w:ascii="Times New Roman" w:hAnsi="Times New Roman"/>
                <w:sz w:val="21"/>
                <w:szCs w:val="21"/>
              </w:rPr>
              <w:t>6</w:t>
            </w:r>
            <w:r>
              <w:rPr>
                <w:rFonts w:ascii="Times New Roman" w:hAnsi="Times New Roman"/>
                <w:sz w:val="21"/>
                <w:szCs w:val="21"/>
              </w:rPr>
              <w:t>月</w:t>
            </w:r>
            <w:r>
              <w:rPr>
                <w:rFonts w:ascii="Times New Roman" w:hAnsi="Times New Roman"/>
                <w:sz w:val="21"/>
                <w:szCs w:val="21"/>
              </w:rPr>
              <w:t>30</w:t>
            </w:r>
            <w:r>
              <w:rPr>
                <w:rFonts w:ascii="Times New Roman" w:hAnsi="Times New Roman"/>
                <w:sz w:val="21"/>
                <w:szCs w:val="21"/>
              </w:rPr>
              <w:t>日，巴中市通江生态环境局《关于马</w:t>
            </w:r>
            <w:r>
              <w:rPr>
                <w:rFonts w:ascii="Times New Roman" w:hAnsi="Times New Roman"/>
                <w:sz w:val="21"/>
                <w:szCs w:val="21"/>
              </w:rPr>
              <w:t>1-11</w:t>
            </w:r>
            <w:r>
              <w:rPr>
                <w:rFonts w:ascii="Times New Roman" w:hAnsi="Times New Roman"/>
                <w:sz w:val="21"/>
                <w:szCs w:val="21"/>
              </w:rPr>
              <w:t>井勘探评价工程环境影响报告表的批复》（</w:t>
            </w:r>
            <w:r>
              <w:rPr>
                <w:rFonts w:ascii="Times New Roman" w:hAnsi="Times New Roman"/>
                <w:sz w:val="20"/>
                <w:szCs w:val="20"/>
                <w:shd w:val="clear" w:color="auto" w:fill="FFFFFF"/>
              </w:rPr>
              <w:t>巴环境通江审〔</w:t>
            </w:r>
            <w:r>
              <w:rPr>
                <w:rFonts w:ascii="Times New Roman" w:hAnsi="Times New Roman"/>
                <w:sz w:val="20"/>
                <w:szCs w:val="20"/>
                <w:shd w:val="clear" w:color="auto" w:fill="FFFFFF"/>
              </w:rPr>
              <w:t>2021</w:t>
            </w:r>
            <w:r>
              <w:rPr>
                <w:rFonts w:ascii="Times New Roman" w:hAnsi="Times New Roman"/>
                <w:sz w:val="20"/>
                <w:szCs w:val="20"/>
                <w:shd w:val="clear" w:color="auto" w:fill="FFFFFF"/>
              </w:rPr>
              <w:t>〕</w:t>
            </w:r>
            <w:r>
              <w:rPr>
                <w:rFonts w:ascii="Times New Roman" w:hAnsi="Times New Roman"/>
                <w:sz w:val="20"/>
                <w:szCs w:val="20"/>
                <w:shd w:val="clear" w:color="auto" w:fill="FFFFFF"/>
              </w:rPr>
              <w:t>6</w:t>
            </w:r>
            <w:r>
              <w:rPr>
                <w:rFonts w:ascii="Times New Roman" w:hAnsi="Times New Roman"/>
                <w:sz w:val="20"/>
                <w:szCs w:val="20"/>
                <w:shd w:val="clear" w:color="auto" w:fill="FFFFFF"/>
              </w:rPr>
              <w:t>号</w:t>
            </w:r>
            <w:r>
              <w:rPr>
                <w:rFonts w:ascii="Times New Roman" w:hAnsi="Times New Roman"/>
                <w:sz w:val="21"/>
                <w:szCs w:val="21"/>
              </w:rPr>
              <w:t>）</w:t>
            </w:r>
          </w:p>
        </w:tc>
        <w:tc>
          <w:tcPr>
            <w:tcW w:w="3279" w:type="dxa"/>
            <w:tcBorders>
              <w:tl2br w:val="nil"/>
              <w:tr2bl w:val="nil"/>
            </w:tcBorders>
            <w:vAlign w:val="center"/>
          </w:tcPr>
          <w:p w14:paraId="75CD0F03" w14:textId="77777777" w:rsidR="007D1E74" w:rsidRDefault="00A95641">
            <w:pPr>
              <w:pStyle w:val="TableParagraph"/>
              <w:spacing w:before="109" w:line="242" w:lineRule="auto"/>
              <w:ind w:left="86" w:right="62"/>
              <w:jc w:val="center"/>
              <w:rPr>
                <w:rFonts w:ascii="Times New Roman" w:hAnsi="Times New Roman"/>
                <w:sz w:val="21"/>
                <w:szCs w:val="21"/>
              </w:rPr>
            </w:pPr>
            <w:r>
              <w:rPr>
                <w:rFonts w:ascii="Times New Roman" w:hAnsi="Times New Roman"/>
                <w:sz w:val="21"/>
                <w:szCs w:val="21"/>
              </w:rPr>
              <w:t>建设中</w:t>
            </w:r>
          </w:p>
        </w:tc>
      </w:tr>
      <w:tr w:rsidR="007D1E74" w14:paraId="03ACAB0D" w14:textId="77777777">
        <w:trPr>
          <w:trHeight w:val="856"/>
          <w:jc w:val="center"/>
        </w:trPr>
        <w:tc>
          <w:tcPr>
            <w:tcW w:w="2552" w:type="dxa"/>
            <w:tcBorders>
              <w:tl2br w:val="nil"/>
              <w:tr2bl w:val="nil"/>
            </w:tcBorders>
            <w:vAlign w:val="center"/>
          </w:tcPr>
          <w:p w14:paraId="018AF823" w14:textId="77777777" w:rsidR="007D1E74" w:rsidRDefault="00A95641">
            <w:pPr>
              <w:pStyle w:val="TableParagraph"/>
              <w:spacing w:before="1" w:line="242" w:lineRule="auto"/>
              <w:ind w:left="132" w:right="116" w:firstLine="184"/>
              <w:jc w:val="center"/>
              <w:rPr>
                <w:rFonts w:ascii="Times New Roman" w:hAnsi="Times New Roman"/>
                <w:sz w:val="21"/>
                <w:szCs w:val="21"/>
              </w:rPr>
            </w:pPr>
            <w:r>
              <w:rPr>
                <w:rFonts w:ascii="Times New Roman" w:hAnsi="Times New Roman" w:hint="eastAsia"/>
                <w:sz w:val="21"/>
                <w:szCs w:val="21"/>
              </w:rPr>
              <w:t>马</w:t>
            </w:r>
            <w:r>
              <w:rPr>
                <w:rFonts w:ascii="Times New Roman" w:hAnsi="Times New Roman" w:hint="eastAsia"/>
                <w:sz w:val="21"/>
                <w:szCs w:val="21"/>
              </w:rPr>
              <w:t>1</w:t>
            </w:r>
            <w:r>
              <w:rPr>
                <w:rFonts w:ascii="Times New Roman" w:hAnsi="Times New Roman"/>
                <w:sz w:val="21"/>
                <w:szCs w:val="21"/>
              </w:rPr>
              <w:t>-12</w:t>
            </w:r>
          </w:p>
        </w:tc>
        <w:tc>
          <w:tcPr>
            <w:tcW w:w="3115" w:type="dxa"/>
            <w:tcBorders>
              <w:tl2br w:val="nil"/>
              <w:tr2bl w:val="nil"/>
            </w:tcBorders>
            <w:vAlign w:val="center"/>
          </w:tcPr>
          <w:p w14:paraId="4B5E0AB7" w14:textId="77777777" w:rsidR="007D1E74" w:rsidRDefault="00A95641">
            <w:pPr>
              <w:pStyle w:val="TableParagraph"/>
              <w:spacing w:line="242" w:lineRule="auto"/>
              <w:ind w:left="109" w:right="112"/>
              <w:jc w:val="both"/>
              <w:rPr>
                <w:rFonts w:ascii="Times New Roman" w:hAnsi="Times New Roman"/>
                <w:sz w:val="21"/>
                <w:szCs w:val="21"/>
              </w:rPr>
            </w:pPr>
            <w:r>
              <w:rPr>
                <w:rFonts w:ascii="Times New Roman" w:hAnsi="Times New Roman" w:hint="eastAsia"/>
                <w:sz w:val="21"/>
                <w:szCs w:val="21"/>
              </w:rPr>
              <w:t>2</w:t>
            </w:r>
            <w:r>
              <w:rPr>
                <w:rFonts w:ascii="Times New Roman" w:hAnsi="Times New Roman"/>
                <w:sz w:val="21"/>
                <w:szCs w:val="21"/>
              </w:rPr>
              <w:t>022</w:t>
            </w:r>
            <w:r>
              <w:rPr>
                <w:rFonts w:ascii="Times New Roman" w:hAnsi="Times New Roman" w:hint="eastAsia"/>
                <w:sz w:val="21"/>
                <w:szCs w:val="21"/>
              </w:rPr>
              <w:t>年</w:t>
            </w:r>
            <w:r>
              <w:rPr>
                <w:rFonts w:ascii="Times New Roman" w:hAnsi="Times New Roman" w:hint="eastAsia"/>
                <w:sz w:val="21"/>
                <w:szCs w:val="21"/>
              </w:rPr>
              <w:t>3</w:t>
            </w:r>
            <w:r>
              <w:rPr>
                <w:rFonts w:ascii="Times New Roman" w:hAnsi="Times New Roman" w:hint="eastAsia"/>
                <w:sz w:val="21"/>
                <w:szCs w:val="21"/>
              </w:rPr>
              <w:t>月</w:t>
            </w:r>
            <w:r>
              <w:rPr>
                <w:rFonts w:ascii="Times New Roman" w:hAnsi="Times New Roman" w:hint="eastAsia"/>
                <w:sz w:val="21"/>
                <w:szCs w:val="21"/>
              </w:rPr>
              <w:t>8</w:t>
            </w:r>
            <w:r>
              <w:rPr>
                <w:rFonts w:ascii="Times New Roman" w:hAnsi="Times New Roman" w:hint="eastAsia"/>
                <w:sz w:val="21"/>
                <w:szCs w:val="21"/>
              </w:rPr>
              <w:t>日，</w:t>
            </w:r>
            <w:r>
              <w:rPr>
                <w:rFonts w:ascii="Times New Roman" w:hAnsi="Times New Roman"/>
                <w:sz w:val="21"/>
                <w:szCs w:val="21"/>
              </w:rPr>
              <w:t>巴中市通江生态环境局《关于中原油田普光分公司马</w:t>
            </w:r>
            <w:r>
              <w:rPr>
                <w:rFonts w:ascii="Times New Roman" w:hAnsi="Times New Roman"/>
                <w:sz w:val="21"/>
                <w:szCs w:val="21"/>
              </w:rPr>
              <w:t>1-12</w:t>
            </w:r>
            <w:r>
              <w:rPr>
                <w:rFonts w:ascii="Times New Roman" w:hAnsi="Times New Roman"/>
                <w:sz w:val="21"/>
                <w:szCs w:val="21"/>
              </w:rPr>
              <w:t>井勘探评价工程环境影响报告表的批复》（</w:t>
            </w:r>
            <w:r>
              <w:rPr>
                <w:rFonts w:ascii="Times New Roman" w:hAnsi="Times New Roman"/>
                <w:sz w:val="20"/>
                <w:szCs w:val="20"/>
                <w:shd w:val="clear" w:color="auto" w:fill="FFFFFF"/>
              </w:rPr>
              <w:t>巴环境通江审〔</w:t>
            </w:r>
            <w:r>
              <w:rPr>
                <w:rFonts w:ascii="Times New Roman" w:hAnsi="Times New Roman"/>
                <w:sz w:val="20"/>
                <w:szCs w:val="20"/>
                <w:shd w:val="clear" w:color="auto" w:fill="FFFFFF"/>
              </w:rPr>
              <w:t>2022</w:t>
            </w:r>
            <w:r>
              <w:rPr>
                <w:rFonts w:ascii="Times New Roman" w:hAnsi="Times New Roman"/>
                <w:sz w:val="20"/>
                <w:szCs w:val="20"/>
                <w:shd w:val="clear" w:color="auto" w:fill="FFFFFF"/>
              </w:rPr>
              <w:t>〕</w:t>
            </w:r>
            <w:r>
              <w:rPr>
                <w:rFonts w:ascii="Times New Roman" w:hAnsi="Times New Roman"/>
                <w:sz w:val="20"/>
                <w:szCs w:val="20"/>
                <w:shd w:val="clear" w:color="auto" w:fill="FFFFFF"/>
              </w:rPr>
              <w:t>10</w:t>
            </w:r>
            <w:r>
              <w:rPr>
                <w:rFonts w:ascii="Times New Roman" w:hAnsi="Times New Roman"/>
                <w:sz w:val="20"/>
                <w:szCs w:val="20"/>
                <w:shd w:val="clear" w:color="auto" w:fill="FFFFFF"/>
              </w:rPr>
              <w:t>号</w:t>
            </w:r>
            <w:r>
              <w:rPr>
                <w:rFonts w:ascii="Times New Roman" w:hAnsi="Times New Roman"/>
                <w:sz w:val="21"/>
                <w:szCs w:val="21"/>
              </w:rPr>
              <w:t>）</w:t>
            </w:r>
          </w:p>
        </w:tc>
        <w:tc>
          <w:tcPr>
            <w:tcW w:w="3279" w:type="dxa"/>
            <w:tcBorders>
              <w:tl2br w:val="nil"/>
              <w:tr2bl w:val="nil"/>
            </w:tcBorders>
            <w:vAlign w:val="center"/>
          </w:tcPr>
          <w:p w14:paraId="71CDEA91" w14:textId="77777777" w:rsidR="007D1E74" w:rsidRDefault="00A95641">
            <w:pPr>
              <w:pStyle w:val="TableParagraph"/>
              <w:spacing w:before="109" w:line="242" w:lineRule="auto"/>
              <w:ind w:left="86" w:right="62"/>
              <w:jc w:val="center"/>
              <w:rPr>
                <w:rFonts w:ascii="Times New Roman" w:hAnsi="Times New Roman"/>
                <w:sz w:val="21"/>
                <w:szCs w:val="21"/>
              </w:rPr>
            </w:pPr>
            <w:r>
              <w:rPr>
                <w:rFonts w:ascii="Times New Roman" w:hAnsi="Times New Roman"/>
                <w:sz w:val="21"/>
                <w:szCs w:val="21"/>
              </w:rPr>
              <w:t>建设中</w:t>
            </w:r>
          </w:p>
        </w:tc>
      </w:tr>
      <w:tr w:rsidR="007D1E74" w14:paraId="1EBD1FC6" w14:textId="77777777">
        <w:trPr>
          <w:trHeight w:val="856"/>
          <w:jc w:val="center"/>
        </w:trPr>
        <w:tc>
          <w:tcPr>
            <w:tcW w:w="2552" w:type="dxa"/>
            <w:tcBorders>
              <w:tl2br w:val="nil"/>
              <w:tr2bl w:val="nil"/>
            </w:tcBorders>
            <w:vAlign w:val="center"/>
          </w:tcPr>
          <w:p w14:paraId="122AB445" w14:textId="77777777" w:rsidR="007D1E74" w:rsidRDefault="00A95641">
            <w:pPr>
              <w:pStyle w:val="TableParagraph"/>
              <w:spacing w:before="1" w:line="242" w:lineRule="auto"/>
              <w:ind w:left="132" w:right="116" w:firstLine="184"/>
              <w:jc w:val="center"/>
              <w:rPr>
                <w:rFonts w:ascii="Times New Roman" w:hAnsi="Times New Roman"/>
                <w:sz w:val="21"/>
                <w:szCs w:val="21"/>
              </w:rPr>
            </w:pPr>
            <w:r>
              <w:rPr>
                <w:rFonts w:ascii="Times New Roman" w:hAnsi="Times New Roman" w:hint="eastAsia"/>
                <w:sz w:val="21"/>
                <w:szCs w:val="21"/>
              </w:rPr>
              <w:t>马</w:t>
            </w:r>
            <w:r>
              <w:rPr>
                <w:rFonts w:ascii="Times New Roman" w:hAnsi="Times New Roman" w:hint="eastAsia"/>
                <w:sz w:val="21"/>
                <w:szCs w:val="21"/>
              </w:rPr>
              <w:t>1</w:t>
            </w:r>
            <w:r>
              <w:rPr>
                <w:rFonts w:ascii="Times New Roman" w:hAnsi="Times New Roman"/>
                <w:sz w:val="21"/>
                <w:szCs w:val="21"/>
              </w:rPr>
              <w:t>-10H</w:t>
            </w:r>
          </w:p>
        </w:tc>
        <w:tc>
          <w:tcPr>
            <w:tcW w:w="3115" w:type="dxa"/>
            <w:tcBorders>
              <w:tl2br w:val="nil"/>
              <w:tr2bl w:val="nil"/>
            </w:tcBorders>
            <w:vAlign w:val="center"/>
          </w:tcPr>
          <w:p w14:paraId="0B52646E" w14:textId="77777777" w:rsidR="007D1E74" w:rsidRDefault="00A95641">
            <w:pPr>
              <w:pStyle w:val="TableParagraph"/>
              <w:spacing w:line="242" w:lineRule="auto"/>
              <w:ind w:left="109" w:right="112"/>
              <w:jc w:val="both"/>
              <w:rPr>
                <w:rFonts w:ascii="Times New Roman" w:hAnsi="Times New Roman"/>
                <w:sz w:val="21"/>
                <w:szCs w:val="21"/>
              </w:rPr>
            </w:pPr>
            <w:r>
              <w:rPr>
                <w:rFonts w:ascii="Times New Roman" w:hAnsi="Times New Roman"/>
                <w:sz w:val="21"/>
                <w:szCs w:val="21"/>
              </w:rPr>
              <w:t>《关于中原油田普光分公司马</w:t>
            </w:r>
            <w:r>
              <w:rPr>
                <w:rFonts w:ascii="Times New Roman" w:hAnsi="Times New Roman"/>
                <w:sz w:val="21"/>
                <w:szCs w:val="21"/>
              </w:rPr>
              <w:t>1-10</w:t>
            </w:r>
            <w:r>
              <w:rPr>
                <w:rFonts w:ascii="Times New Roman" w:hAnsi="Times New Roman"/>
                <w:sz w:val="21"/>
                <w:szCs w:val="21"/>
              </w:rPr>
              <w:t>井勘探评价工程环境影响报告表的批复》（</w:t>
            </w:r>
            <w:r>
              <w:rPr>
                <w:rFonts w:ascii="Times New Roman" w:hAnsi="Times New Roman"/>
                <w:sz w:val="20"/>
                <w:szCs w:val="20"/>
                <w:shd w:val="clear" w:color="auto" w:fill="FFFFFF"/>
              </w:rPr>
              <w:t>巴环境通江审〔</w:t>
            </w:r>
            <w:r>
              <w:rPr>
                <w:rFonts w:ascii="Times New Roman" w:hAnsi="Times New Roman"/>
                <w:sz w:val="20"/>
                <w:szCs w:val="20"/>
                <w:shd w:val="clear" w:color="auto" w:fill="FFFFFF"/>
              </w:rPr>
              <w:t>2022</w:t>
            </w:r>
            <w:r>
              <w:rPr>
                <w:rFonts w:ascii="Times New Roman" w:hAnsi="Times New Roman"/>
                <w:sz w:val="20"/>
                <w:szCs w:val="20"/>
                <w:shd w:val="clear" w:color="auto" w:fill="FFFFFF"/>
              </w:rPr>
              <w:t>〕</w:t>
            </w:r>
            <w:r>
              <w:rPr>
                <w:rFonts w:ascii="Times New Roman" w:hAnsi="Times New Roman"/>
                <w:sz w:val="20"/>
                <w:szCs w:val="20"/>
                <w:shd w:val="clear" w:color="auto" w:fill="FFFFFF"/>
              </w:rPr>
              <w:t>9</w:t>
            </w:r>
            <w:r>
              <w:rPr>
                <w:rFonts w:ascii="Times New Roman" w:hAnsi="Times New Roman"/>
                <w:sz w:val="20"/>
                <w:szCs w:val="20"/>
                <w:shd w:val="clear" w:color="auto" w:fill="FFFFFF"/>
              </w:rPr>
              <w:t>号</w:t>
            </w:r>
            <w:r>
              <w:rPr>
                <w:rFonts w:ascii="Times New Roman" w:hAnsi="Times New Roman"/>
                <w:sz w:val="21"/>
                <w:szCs w:val="21"/>
              </w:rPr>
              <w:t>）</w:t>
            </w:r>
          </w:p>
        </w:tc>
        <w:tc>
          <w:tcPr>
            <w:tcW w:w="3279" w:type="dxa"/>
            <w:tcBorders>
              <w:tl2br w:val="nil"/>
              <w:tr2bl w:val="nil"/>
            </w:tcBorders>
            <w:vAlign w:val="center"/>
          </w:tcPr>
          <w:p w14:paraId="72E38DA0" w14:textId="77777777" w:rsidR="007D1E74" w:rsidRDefault="00A95641">
            <w:pPr>
              <w:pStyle w:val="TableParagraph"/>
              <w:spacing w:before="109" w:line="242" w:lineRule="auto"/>
              <w:ind w:left="86" w:right="62"/>
              <w:jc w:val="center"/>
              <w:rPr>
                <w:rFonts w:ascii="Times New Roman" w:hAnsi="Times New Roman"/>
                <w:sz w:val="21"/>
                <w:szCs w:val="21"/>
              </w:rPr>
            </w:pPr>
            <w:r>
              <w:rPr>
                <w:rFonts w:ascii="Times New Roman" w:hAnsi="Times New Roman"/>
                <w:sz w:val="21"/>
                <w:szCs w:val="21"/>
              </w:rPr>
              <w:t>建设中</w:t>
            </w:r>
          </w:p>
        </w:tc>
      </w:tr>
    </w:tbl>
    <w:p w14:paraId="5878B117" w14:textId="77777777" w:rsidR="007D1E74" w:rsidRDefault="00A95641">
      <w:pPr>
        <w:spacing w:line="360" w:lineRule="auto"/>
        <w:ind w:firstLineChars="200" w:firstLine="482"/>
        <w:rPr>
          <w:b/>
          <w:bCs/>
          <w:sz w:val="24"/>
        </w:rPr>
      </w:pPr>
      <w:r>
        <w:rPr>
          <w:b/>
          <w:bCs/>
          <w:sz w:val="24"/>
        </w:rPr>
        <w:t>可见，项目相关联的井站均已开展了勘探井的环评并通过竣工环保验收，但并无勘</w:t>
      </w:r>
      <w:r>
        <w:rPr>
          <w:b/>
          <w:bCs/>
          <w:sz w:val="24"/>
        </w:rPr>
        <w:lastRenderedPageBreak/>
        <w:t>探井转生产井的相关手续，建设单位承诺，在相关手续未完善前，项目相关联的两口井均不进行开采。</w:t>
      </w:r>
    </w:p>
    <w:p w14:paraId="292EA81B" w14:textId="77777777" w:rsidR="007D1E74" w:rsidRDefault="00A95641">
      <w:pPr>
        <w:spacing w:line="360" w:lineRule="auto"/>
        <w:ind w:firstLineChars="200" w:firstLine="482"/>
        <w:rPr>
          <w:b/>
          <w:bCs/>
          <w:sz w:val="24"/>
        </w:rPr>
      </w:pPr>
      <w:r>
        <w:rPr>
          <w:b/>
          <w:bCs/>
          <w:sz w:val="24"/>
        </w:rPr>
        <w:t>2</w:t>
      </w:r>
      <w:r>
        <w:rPr>
          <w:b/>
          <w:bCs/>
          <w:sz w:val="24"/>
        </w:rPr>
        <w:t>、依托工程及可行性分析</w:t>
      </w:r>
    </w:p>
    <w:p w14:paraId="7DF3EB19" w14:textId="77777777" w:rsidR="007D1E74" w:rsidRDefault="00A95641">
      <w:pPr>
        <w:spacing w:line="360" w:lineRule="auto"/>
        <w:ind w:firstLineChars="200" w:firstLine="480"/>
        <w:rPr>
          <w:sz w:val="24"/>
        </w:rPr>
      </w:pPr>
      <w:r>
        <w:rPr>
          <w:sz w:val="24"/>
        </w:rPr>
        <w:t>（</w:t>
      </w:r>
      <w:r>
        <w:rPr>
          <w:sz w:val="24"/>
        </w:rPr>
        <w:t>1</w:t>
      </w:r>
      <w:r>
        <w:rPr>
          <w:sz w:val="24"/>
        </w:rPr>
        <w:t>）本项目拟依托马</w:t>
      </w:r>
      <w:r>
        <w:rPr>
          <w:sz w:val="24"/>
        </w:rPr>
        <w:t>1-11</w:t>
      </w:r>
      <w:r>
        <w:rPr>
          <w:sz w:val="24"/>
        </w:rPr>
        <w:t>脱水井场进行脱水，脱水装置设计规模</w:t>
      </w:r>
      <w:r>
        <w:rPr>
          <w:sz w:val="24"/>
        </w:rPr>
        <w:t>150</w:t>
      </w:r>
      <w:r>
        <w:rPr>
          <w:sz w:val="24"/>
        </w:rPr>
        <w:t>万立方米</w:t>
      </w:r>
      <w:r>
        <w:rPr>
          <w:sz w:val="24"/>
        </w:rPr>
        <w:t>/</w:t>
      </w:r>
      <w:r>
        <w:rPr>
          <w:sz w:val="24"/>
        </w:rPr>
        <w:t>天，采用三甘醇脱水工艺，其脱水范围覆盖通南巴马</w:t>
      </w:r>
      <w:r>
        <w:rPr>
          <w:sz w:val="24"/>
        </w:rPr>
        <w:t>1</w:t>
      </w:r>
      <w:r>
        <w:rPr>
          <w:sz w:val="24"/>
        </w:rPr>
        <w:t>、马</w:t>
      </w:r>
      <w:r>
        <w:rPr>
          <w:sz w:val="24"/>
        </w:rPr>
        <w:t>2</w:t>
      </w:r>
      <w:r>
        <w:rPr>
          <w:sz w:val="24"/>
        </w:rPr>
        <w:t>区块。</w:t>
      </w:r>
      <w:r>
        <w:rPr>
          <w:b/>
          <w:bCs/>
          <w:sz w:val="24"/>
        </w:rPr>
        <w:t>同时马</w:t>
      </w:r>
      <w:r>
        <w:rPr>
          <w:b/>
          <w:bCs/>
          <w:sz w:val="24"/>
        </w:rPr>
        <w:t>1-11</w:t>
      </w:r>
      <w:r>
        <w:rPr>
          <w:b/>
          <w:bCs/>
          <w:sz w:val="24"/>
        </w:rPr>
        <w:t>脱水撬为待建，须另行完善相关环保手续。</w:t>
      </w:r>
    </w:p>
    <w:p w14:paraId="118F0F60" w14:textId="77777777" w:rsidR="007D1E74" w:rsidRDefault="00A95641">
      <w:pPr>
        <w:spacing w:line="360" w:lineRule="auto"/>
        <w:ind w:firstLineChars="200" w:firstLine="480"/>
        <w:rPr>
          <w:sz w:val="24"/>
        </w:rPr>
      </w:pPr>
      <w:r>
        <w:rPr>
          <w:sz w:val="24"/>
        </w:rPr>
        <w:t>本项目集输干线输气设计规模为</w:t>
      </w:r>
      <w:r>
        <w:rPr>
          <w:sz w:val="24"/>
        </w:rPr>
        <w:t>150</w:t>
      </w:r>
      <w:r>
        <w:rPr>
          <w:sz w:val="24"/>
        </w:rPr>
        <w:t>万立方米</w:t>
      </w:r>
      <w:r>
        <w:rPr>
          <w:sz w:val="24"/>
        </w:rPr>
        <w:t>/</w:t>
      </w:r>
      <w:r>
        <w:rPr>
          <w:sz w:val="24"/>
        </w:rPr>
        <w:t>天，且位于拟建脱水撬脱水范围内，依托可行。</w:t>
      </w:r>
    </w:p>
    <w:p w14:paraId="384DA1EE" w14:textId="77777777" w:rsidR="007D1E74" w:rsidRDefault="00A95641">
      <w:pPr>
        <w:numPr>
          <w:ilvl w:val="0"/>
          <w:numId w:val="39"/>
        </w:numPr>
        <w:spacing w:line="360" w:lineRule="auto"/>
        <w:ind w:firstLineChars="200" w:firstLine="480"/>
        <w:rPr>
          <w:sz w:val="24"/>
        </w:rPr>
      </w:pPr>
      <w:r>
        <w:rPr>
          <w:sz w:val="24"/>
        </w:rPr>
        <w:t>通南巴区块没有单独的天然气外输系统，依托西南油气分公司已建的外输系统进行外输。目前马路背区块及河坝区块产出的气通过草池增压站后通过河巴线输送到巴中末站供应当地市场。</w:t>
      </w:r>
    </w:p>
    <w:p w14:paraId="1549E8F4" w14:textId="77777777" w:rsidR="007D1E74" w:rsidRDefault="00A95641">
      <w:pPr>
        <w:spacing w:line="360" w:lineRule="auto"/>
        <w:ind w:firstLineChars="200" w:firstLine="482"/>
        <w:rPr>
          <w:b/>
          <w:bCs/>
          <w:sz w:val="24"/>
        </w:rPr>
      </w:pPr>
      <w:r>
        <w:rPr>
          <w:b/>
          <w:bCs/>
          <w:sz w:val="24"/>
        </w:rPr>
        <w:t>3</w:t>
      </w:r>
      <w:r>
        <w:rPr>
          <w:b/>
          <w:bCs/>
          <w:sz w:val="24"/>
        </w:rPr>
        <w:t>、</w:t>
      </w:r>
      <w:r>
        <w:rPr>
          <w:b/>
          <w:bCs/>
          <w:sz w:val="24"/>
        </w:rPr>
        <w:t>“</w:t>
      </w:r>
      <w:r>
        <w:rPr>
          <w:b/>
          <w:bCs/>
          <w:sz w:val="24"/>
        </w:rPr>
        <w:t>以新带老</w:t>
      </w:r>
      <w:r>
        <w:rPr>
          <w:b/>
          <w:bCs/>
          <w:sz w:val="24"/>
        </w:rPr>
        <w:t>”</w:t>
      </w:r>
      <w:r>
        <w:rPr>
          <w:b/>
          <w:bCs/>
          <w:sz w:val="24"/>
        </w:rPr>
        <w:t>环保措施</w:t>
      </w:r>
    </w:p>
    <w:p w14:paraId="4F7A82AD" w14:textId="77777777" w:rsidR="007D1E74" w:rsidRDefault="00A95641">
      <w:pPr>
        <w:spacing w:line="360" w:lineRule="auto"/>
        <w:ind w:firstLineChars="200" w:firstLine="480"/>
        <w:rPr>
          <w:sz w:val="24"/>
        </w:rPr>
      </w:pPr>
      <w:r>
        <w:rPr>
          <w:sz w:val="24"/>
        </w:rPr>
        <w:t>项目关联的马</w:t>
      </w:r>
      <w:r>
        <w:rPr>
          <w:sz w:val="24"/>
        </w:rPr>
        <w:t>1-1</w:t>
      </w:r>
      <w:r>
        <w:rPr>
          <w:sz w:val="24"/>
        </w:rPr>
        <w:t>井、马</w:t>
      </w:r>
      <w:r>
        <w:rPr>
          <w:sz w:val="24"/>
        </w:rPr>
        <w:t>1-13H</w:t>
      </w:r>
      <w:r>
        <w:rPr>
          <w:sz w:val="24"/>
        </w:rPr>
        <w:t>、马</w:t>
      </w:r>
      <w:r>
        <w:rPr>
          <w:sz w:val="24"/>
        </w:rPr>
        <w:t>1-12</w:t>
      </w:r>
      <w:r>
        <w:rPr>
          <w:sz w:val="24"/>
        </w:rPr>
        <w:t>、马</w:t>
      </w:r>
      <w:r>
        <w:rPr>
          <w:sz w:val="24"/>
        </w:rPr>
        <w:t>1-10H</w:t>
      </w:r>
      <w:r>
        <w:rPr>
          <w:sz w:val="24"/>
        </w:rPr>
        <w:t>井目前为勘探井，在建设中。</w:t>
      </w:r>
    </w:p>
    <w:p w14:paraId="29F3FCDE" w14:textId="77777777" w:rsidR="007D1E74" w:rsidRDefault="00A95641">
      <w:pPr>
        <w:pStyle w:val="41"/>
        <w:tabs>
          <w:tab w:val="left" w:pos="860"/>
        </w:tabs>
        <w:spacing w:line="360" w:lineRule="auto"/>
        <w:jc w:val="left"/>
        <w:rPr>
          <w:rFonts w:ascii="Times New Roman" w:hAnsi="Times New Roman"/>
          <w:sz w:val="24"/>
          <w:szCs w:val="24"/>
        </w:rPr>
      </w:pPr>
      <w:r>
        <w:rPr>
          <w:rFonts w:ascii="Times New Roman" w:hAnsi="Times New Roman"/>
          <w:sz w:val="24"/>
          <w:szCs w:val="24"/>
        </w:rPr>
        <w:t>3.2.3.3</w:t>
      </w:r>
      <w:r>
        <w:rPr>
          <w:rFonts w:ascii="Times New Roman" w:hAnsi="Times New Roman"/>
          <w:sz w:val="24"/>
          <w:szCs w:val="24"/>
        </w:rPr>
        <w:t>输气工艺方案</w:t>
      </w:r>
    </w:p>
    <w:p w14:paraId="10389835" w14:textId="77777777" w:rsidR="007D1E74" w:rsidRDefault="00A95641">
      <w:pPr>
        <w:spacing w:line="360" w:lineRule="auto"/>
        <w:ind w:firstLineChars="200" w:firstLine="480"/>
        <w:rPr>
          <w:sz w:val="24"/>
        </w:rPr>
      </w:pPr>
      <w:r>
        <w:rPr>
          <w:sz w:val="24"/>
        </w:rPr>
        <w:t>本集输管线设计压力及管径见下表：</w:t>
      </w:r>
    </w:p>
    <w:p w14:paraId="6633EEA3" w14:textId="77777777" w:rsidR="007D1E74" w:rsidRDefault="00A95641">
      <w:pPr>
        <w:jc w:val="center"/>
        <w:rPr>
          <w:b/>
        </w:rPr>
      </w:pPr>
      <w:r>
        <w:rPr>
          <w:b/>
        </w:rPr>
        <w:t>表</w:t>
      </w:r>
      <w:r>
        <w:rPr>
          <w:b/>
        </w:rPr>
        <w:t>3.1-7</w:t>
      </w:r>
      <w:r>
        <w:rPr>
          <w:b/>
        </w:rPr>
        <w:tab/>
        <w:t xml:space="preserve">  </w:t>
      </w:r>
      <w:r>
        <w:rPr>
          <w:b/>
        </w:rPr>
        <w:t>集输管线设计压力及管径等设计</w:t>
      </w:r>
      <w:r>
        <w:rPr>
          <w:b/>
          <w:spacing w:val="-3"/>
        </w:rPr>
        <w:t>参</w:t>
      </w:r>
      <w:r>
        <w:rPr>
          <w:b/>
        </w:rPr>
        <w:t>数</w:t>
      </w:r>
    </w:p>
    <w:tbl>
      <w:tblPr>
        <w:tblW w:w="9128" w:type="dxa"/>
        <w:tblInd w:w="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00"/>
        <w:gridCol w:w="2309"/>
        <w:gridCol w:w="6219"/>
      </w:tblGrid>
      <w:tr w:rsidR="007D1E74" w14:paraId="1B83D18F" w14:textId="77777777">
        <w:trPr>
          <w:trHeight w:val="258"/>
        </w:trPr>
        <w:tc>
          <w:tcPr>
            <w:tcW w:w="600" w:type="dxa"/>
          </w:tcPr>
          <w:p w14:paraId="7156C4B2" w14:textId="77777777" w:rsidR="007D1E74" w:rsidRDefault="00A95641">
            <w:pPr>
              <w:pStyle w:val="TableParagraph"/>
              <w:adjustRightInd/>
              <w:rPr>
                <w:rFonts w:ascii="Times New Roman" w:hAnsi="Times New Roman"/>
                <w:sz w:val="21"/>
                <w:szCs w:val="21"/>
              </w:rPr>
            </w:pPr>
            <w:r>
              <w:rPr>
                <w:rFonts w:ascii="Times New Roman" w:hAnsi="Times New Roman"/>
                <w:sz w:val="21"/>
                <w:szCs w:val="21"/>
              </w:rPr>
              <w:t>序号</w:t>
            </w:r>
          </w:p>
        </w:tc>
        <w:tc>
          <w:tcPr>
            <w:tcW w:w="2309" w:type="dxa"/>
            <w:vAlign w:val="center"/>
          </w:tcPr>
          <w:p w14:paraId="28C4C69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项目</w:t>
            </w:r>
          </w:p>
        </w:tc>
        <w:tc>
          <w:tcPr>
            <w:tcW w:w="6219" w:type="dxa"/>
            <w:vAlign w:val="center"/>
          </w:tcPr>
          <w:p w14:paraId="200283B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参数</w:t>
            </w:r>
          </w:p>
        </w:tc>
      </w:tr>
      <w:tr w:rsidR="007D1E74" w14:paraId="17A3E7B7" w14:textId="77777777">
        <w:trPr>
          <w:trHeight w:val="258"/>
        </w:trPr>
        <w:tc>
          <w:tcPr>
            <w:tcW w:w="600" w:type="dxa"/>
          </w:tcPr>
          <w:p w14:paraId="2B0B18C4" w14:textId="77777777" w:rsidR="007D1E74" w:rsidRDefault="007D1E74">
            <w:pPr>
              <w:pStyle w:val="TableParagraph"/>
              <w:adjustRightInd/>
              <w:jc w:val="center"/>
              <w:rPr>
                <w:rFonts w:ascii="Times New Roman" w:hAnsi="Times New Roman"/>
                <w:b/>
                <w:bCs/>
                <w:sz w:val="21"/>
                <w:szCs w:val="21"/>
              </w:rPr>
            </w:pPr>
          </w:p>
        </w:tc>
        <w:tc>
          <w:tcPr>
            <w:tcW w:w="2309" w:type="dxa"/>
            <w:vAlign w:val="center"/>
          </w:tcPr>
          <w:p w14:paraId="63C1EB6C" w14:textId="77777777" w:rsidR="007D1E74" w:rsidRDefault="00A95641">
            <w:pPr>
              <w:pStyle w:val="TableParagraph"/>
              <w:adjustRightInd/>
              <w:jc w:val="center"/>
              <w:rPr>
                <w:rFonts w:ascii="Times New Roman" w:hAnsi="Times New Roman"/>
                <w:b/>
                <w:bCs/>
                <w:sz w:val="21"/>
                <w:szCs w:val="21"/>
              </w:rPr>
            </w:pPr>
            <w:r>
              <w:rPr>
                <w:rFonts w:ascii="Times New Roman" w:hAnsi="Times New Roman"/>
                <w:b/>
                <w:bCs/>
                <w:sz w:val="21"/>
                <w:szCs w:val="21"/>
              </w:rPr>
              <w:t>管道名称</w:t>
            </w:r>
          </w:p>
        </w:tc>
        <w:tc>
          <w:tcPr>
            <w:tcW w:w="6219" w:type="dxa"/>
            <w:vAlign w:val="center"/>
          </w:tcPr>
          <w:p w14:paraId="21716E5F" w14:textId="77777777" w:rsidR="007D1E74" w:rsidRDefault="00A95641">
            <w:pPr>
              <w:pStyle w:val="TableParagraph"/>
              <w:adjustRightInd/>
              <w:jc w:val="center"/>
              <w:rPr>
                <w:rFonts w:ascii="Times New Roman" w:hAnsi="Times New Roman"/>
                <w:b/>
                <w:bCs/>
                <w:sz w:val="21"/>
                <w:szCs w:val="21"/>
              </w:rPr>
            </w:pPr>
            <w:r>
              <w:rPr>
                <w:rFonts w:ascii="Times New Roman" w:hAnsi="Times New Roman"/>
                <w:b/>
                <w:bCs/>
                <w:sz w:val="21"/>
                <w:szCs w:val="21"/>
              </w:rPr>
              <w:t>1#</w:t>
            </w:r>
            <w:r>
              <w:rPr>
                <w:rFonts w:ascii="Times New Roman" w:hAnsi="Times New Roman"/>
                <w:b/>
                <w:bCs/>
                <w:sz w:val="21"/>
                <w:szCs w:val="21"/>
              </w:rPr>
              <w:t>阀室至马</w:t>
            </w:r>
            <w:r>
              <w:rPr>
                <w:rFonts w:ascii="Times New Roman" w:hAnsi="Times New Roman"/>
                <w:b/>
                <w:bCs/>
                <w:sz w:val="21"/>
                <w:szCs w:val="21"/>
              </w:rPr>
              <w:t>1-11</w:t>
            </w:r>
            <w:r>
              <w:rPr>
                <w:rFonts w:ascii="Times New Roman" w:hAnsi="Times New Roman"/>
                <w:b/>
                <w:bCs/>
                <w:sz w:val="21"/>
                <w:szCs w:val="21"/>
              </w:rPr>
              <w:t>脱水井场集输干线</w:t>
            </w:r>
          </w:p>
        </w:tc>
      </w:tr>
      <w:tr w:rsidR="007D1E74" w14:paraId="6D3F36BC" w14:textId="77777777">
        <w:trPr>
          <w:trHeight w:val="261"/>
        </w:trPr>
        <w:tc>
          <w:tcPr>
            <w:tcW w:w="600" w:type="dxa"/>
          </w:tcPr>
          <w:p w14:paraId="05FD099D" w14:textId="77777777" w:rsidR="007D1E74" w:rsidRDefault="00A95641">
            <w:pPr>
              <w:pStyle w:val="TableParagraph"/>
              <w:adjustRightInd/>
              <w:jc w:val="center"/>
              <w:rPr>
                <w:rFonts w:ascii="Times New Roman" w:hAnsi="Times New Roman"/>
                <w:b/>
                <w:bCs/>
                <w:sz w:val="21"/>
                <w:szCs w:val="21"/>
              </w:rPr>
            </w:pPr>
            <w:r>
              <w:rPr>
                <w:rFonts w:ascii="Times New Roman" w:hAnsi="Times New Roman"/>
                <w:b/>
                <w:bCs/>
                <w:w w:val="99"/>
                <w:sz w:val="21"/>
                <w:szCs w:val="21"/>
              </w:rPr>
              <w:t>1</w:t>
            </w:r>
          </w:p>
        </w:tc>
        <w:tc>
          <w:tcPr>
            <w:tcW w:w="2309" w:type="dxa"/>
            <w:vAlign w:val="center"/>
          </w:tcPr>
          <w:p w14:paraId="57666D0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长度（</w:t>
            </w:r>
            <w:r>
              <w:rPr>
                <w:rFonts w:ascii="Times New Roman" w:hAnsi="Times New Roman"/>
                <w:sz w:val="21"/>
                <w:szCs w:val="21"/>
              </w:rPr>
              <w:t>km</w:t>
            </w:r>
            <w:r>
              <w:rPr>
                <w:rFonts w:ascii="Times New Roman" w:hAnsi="Times New Roman"/>
                <w:sz w:val="21"/>
                <w:szCs w:val="21"/>
              </w:rPr>
              <w:t>）</w:t>
            </w:r>
          </w:p>
        </w:tc>
        <w:tc>
          <w:tcPr>
            <w:tcW w:w="6219" w:type="dxa"/>
            <w:vAlign w:val="center"/>
          </w:tcPr>
          <w:p w14:paraId="0F70963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8.4</w:t>
            </w:r>
          </w:p>
        </w:tc>
      </w:tr>
      <w:tr w:rsidR="007D1E74" w14:paraId="4CBFEFC7" w14:textId="77777777">
        <w:trPr>
          <w:trHeight w:val="258"/>
        </w:trPr>
        <w:tc>
          <w:tcPr>
            <w:tcW w:w="600" w:type="dxa"/>
          </w:tcPr>
          <w:p w14:paraId="2D23AF14"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2</w:t>
            </w:r>
          </w:p>
        </w:tc>
        <w:tc>
          <w:tcPr>
            <w:tcW w:w="2309" w:type="dxa"/>
            <w:vAlign w:val="center"/>
          </w:tcPr>
          <w:p w14:paraId="4D00519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管径（</w:t>
            </w:r>
            <w:r>
              <w:rPr>
                <w:rFonts w:ascii="Times New Roman" w:hAnsi="Times New Roman"/>
                <w:sz w:val="21"/>
                <w:szCs w:val="21"/>
              </w:rPr>
              <w:t>mm</w:t>
            </w:r>
            <w:r>
              <w:rPr>
                <w:rFonts w:ascii="Times New Roman" w:hAnsi="Times New Roman"/>
                <w:sz w:val="21"/>
                <w:szCs w:val="21"/>
              </w:rPr>
              <w:t>）</w:t>
            </w:r>
          </w:p>
        </w:tc>
        <w:tc>
          <w:tcPr>
            <w:tcW w:w="6219" w:type="dxa"/>
            <w:vAlign w:val="center"/>
          </w:tcPr>
          <w:p w14:paraId="2046874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DN300</w:t>
            </w:r>
          </w:p>
        </w:tc>
      </w:tr>
      <w:tr w:rsidR="007D1E74" w14:paraId="040BB014" w14:textId="77777777">
        <w:trPr>
          <w:trHeight w:val="258"/>
        </w:trPr>
        <w:tc>
          <w:tcPr>
            <w:tcW w:w="600" w:type="dxa"/>
          </w:tcPr>
          <w:p w14:paraId="7A5E8858"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3</w:t>
            </w:r>
          </w:p>
        </w:tc>
        <w:tc>
          <w:tcPr>
            <w:tcW w:w="2309" w:type="dxa"/>
            <w:vAlign w:val="center"/>
          </w:tcPr>
          <w:p w14:paraId="17A19D1E"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输气量</w:t>
            </w:r>
          </w:p>
        </w:tc>
        <w:tc>
          <w:tcPr>
            <w:tcW w:w="6219" w:type="dxa"/>
            <w:vAlign w:val="center"/>
          </w:tcPr>
          <w:p w14:paraId="2E15593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150×10</w:t>
            </w:r>
            <w:r>
              <w:rPr>
                <w:rFonts w:ascii="Times New Roman" w:hAnsi="Times New Roman"/>
                <w:sz w:val="21"/>
                <w:szCs w:val="21"/>
                <w:vertAlign w:val="superscript"/>
              </w:rPr>
              <w:t xml:space="preserve">4  </w:t>
            </w:r>
            <w:r>
              <w:rPr>
                <w:rFonts w:ascii="Times New Roman" w:hAnsi="Times New Roman"/>
                <w:sz w:val="21"/>
                <w:szCs w:val="21"/>
              </w:rPr>
              <w:t>m</w:t>
            </w:r>
            <w:r>
              <w:rPr>
                <w:rFonts w:ascii="Times New Roman" w:hAnsi="Times New Roman"/>
                <w:sz w:val="21"/>
                <w:szCs w:val="21"/>
                <w:vertAlign w:val="superscript"/>
              </w:rPr>
              <w:t>3</w:t>
            </w:r>
            <w:r>
              <w:rPr>
                <w:rFonts w:ascii="Times New Roman" w:hAnsi="Times New Roman"/>
                <w:sz w:val="21"/>
                <w:szCs w:val="21"/>
              </w:rPr>
              <w:t>/d</w:t>
            </w:r>
          </w:p>
        </w:tc>
      </w:tr>
      <w:tr w:rsidR="007D1E74" w14:paraId="68DA71A4" w14:textId="77777777">
        <w:trPr>
          <w:trHeight w:val="258"/>
        </w:trPr>
        <w:tc>
          <w:tcPr>
            <w:tcW w:w="600" w:type="dxa"/>
          </w:tcPr>
          <w:p w14:paraId="4F6EABBB"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4</w:t>
            </w:r>
          </w:p>
        </w:tc>
        <w:tc>
          <w:tcPr>
            <w:tcW w:w="2309" w:type="dxa"/>
            <w:vAlign w:val="center"/>
          </w:tcPr>
          <w:p w14:paraId="63BF152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设计压力（</w:t>
            </w:r>
            <w:r>
              <w:rPr>
                <w:rFonts w:ascii="Times New Roman" w:hAnsi="Times New Roman"/>
                <w:sz w:val="21"/>
                <w:szCs w:val="21"/>
              </w:rPr>
              <w:t>MPa</w:t>
            </w:r>
            <w:r>
              <w:rPr>
                <w:rFonts w:ascii="Times New Roman" w:hAnsi="Times New Roman"/>
                <w:sz w:val="21"/>
                <w:szCs w:val="21"/>
              </w:rPr>
              <w:t>）</w:t>
            </w:r>
          </w:p>
        </w:tc>
        <w:tc>
          <w:tcPr>
            <w:tcW w:w="6219" w:type="dxa"/>
            <w:vAlign w:val="center"/>
          </w:tcPr>
          <w:p w14:paraId="349C3CE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6.3MPa</w:t>
            </w:r>
          </w:p>
        </w:tc>
      </w:tr>
      <w:tr w:rsidR="007D1E74" w14:paraId="7E9537D6" w14:textId="77777777">
        <w:trPr>
          <w:trHeight w:val="261"/>
        </w:trPr>
        <w:tc>
          <w:tcPr>
            <w:tcW w:w="600" w:type="dxa"/>
          </w:tcPr>
          <w:p w14:paraId="1F469219"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5</w:t>
            </w:r>
          </w:p>
        </w:tc>
        <w:tc>
          <w:tcPr>
            <w:tcW w:w="2309" w:type="dxa"/>
            <w:vAlign w:val="center"/>
          </w:tcPr>
          <w:p w14:paraId="715F83A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年工作天数</w:t>
            </w:r>
          </w:p>
        </w:tc>
        <w:tc>
          <w:tcPr>
            <w:tcW w:w="6219" w:type="dxa"/>
            <w:vAlign w:val="center"/>
          </w:tcPr>
          <w:p w14:paraId="784B5F5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 xml:space="preserve">350 </w:t>
            </w:r>
            <w:r>
              <w:rPr>
                <w:rFonts w:ascii="Times New Roman" w:hAnsi="Times New Roman"/>
                <w:sz w:val="21"/>
                <w:szCs w:val="21"/>
              </w:rPr>
              <w:t>天</w:t>
            </w:r>
          </w:p>
        </w:tc>
      </w:tr>
      <w:tr w:rsidR="007D1E74" w14:paraId="228C4259" w14:textId="77777777">
        <w:trPr>
          <w:trHeight w:val="258"/>
        </w:trPr>
        <w:tc>
          <w:tcPr>
            <w:tcW w:w="600" w:type="dxa"/>
          </w:tcPr>
          <w:p w14:paraId="3D8C059A"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6</w:t>
            </w:r>
          </w:p>
        </w:tc>
        <w:tc>
          <w:tcPr>
            <w:tcW w:w="2309" w:type="dxa"/>
            <w:vAlign w:val="center"/>
          </w:tcPr>
          <w:p w14:paraId="3FBFBE5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管道防腐</w:t>
            </w:r>
          </w:p>
        </w:tc>
        <w:tc>
          <w:tcPr>
            <w:tcW w:w="6219" w:type="dxa"/>
            <w:vAlign w:val="center"/>
          </w:tcPr>
          <w:p w14:paraId="39F5B77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外防腐层采用常温型加强级三层</w:t>
            </w:r>
            <w:r>
              <w:rPr>
                <w:rFonts w:ascii="Times New Roman" w:hAnsi="Times New Roman"/>
                <w:sz w:val="21"/>
                <w:szCs w:val="21"/>
              </w:rPr>
              <w:t>PE</w:t>
            </w:r>
            <w:r>
              <w:rPr>
                <w:rFonts w:ascii="Times New Roman" w:hAnsi="Times New Roman"/>
                <w:sz w:val="21"/>
                <w:szCs w:val="21"/>
              </w:rPr>
              <w:t>防腐层</w:t>
            </w:r>
          </w:p>
        </w:tc>
      </w:tr>
      <w:tr w:rsidR="007D1E74" w14:paraId="188358D2" w14:textId="77777777">
        <w:trPr>
          <w:trHeight w:val="260"/>
        </w:trPr>
        <w:tc>
          <w:tcPr>
            <w:tcW w:w="600" w:type="dxa"/>
          </w:tcPr>
          <w:p w14:paraId="79DA1C4E"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7</w:t>
            </w:r>
          </w:p>
        </w:tc>
        <w:tc>
          <w:tcPr>
            <w:tcW w:w="2309" w:type="dxa"/>
            <w:vAlign w:val="center"/>
          </w:tcPr>
          <w:p w14:paraId="3F7CE39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用管规格</w:t>
            </w:r>
          </w:p>
        </w:tc>
        <w:tc>
          <w:tcPr>
            <w:tcW w:w="6219" w:type="dxa"/>
            <w:vAlign w:val="center"/>
          </w:tcPr>
          <w:p w14:paraId="35339FB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无缝钢管</w:t>
            </w:r>
            <w:r>
              <w:rPr>
                <w:rFonts w:ascii="Times New Roman" w:hAnsi="Times New Roman"/>
                <w:sz w:val="21"/>
                <w:szCs w:val="21"/>
              </w:rPr>
              <w:t xml:space="preserve"> D323.9×8 L360N</w:t>
            </w:r>
          </w:p>
        </w:tc>
      </w:tr>
      <w:tr w:rsidR="007D1E74" w14:paraId="57EB9A26" w14:textId="77777777">
        <w:trPr>
          <w:trHeight w:val="260"/>
        </w:trPr>
        <w:tc>
          <w:tcPr>
            <w:tcW w:w="600" w:type="dxa"/>
          </w:tcPr>
          <w:p w14:paraId="01F33740" w14:textId="77777777" w:rsidR="007D1E74" w:rsidRDefault="007D1E74">
            <w:pPr>
              <w:pStyle w:val="TableParagraph"/>
              <w:adjustRightInd/>
              <w:jc w:val="center"/>
              <w:rPr>
                <w:rFonts w:ascii="Times New Roman" w:hAnsi="Times New Roman"/>
                <w:b/>
                <w:bCs/>
                <w:sz w:val="21"/>
                <w:szCs w:val="21"/>
              </w:rPr>
            </w:pPr>
          </w:p>
        </w:tc>
        <w:tc>
          <w:tcPr>
            <w:tcW w:w="2309" w:type="dxa"/>
            <w:vAlign w:val="center"/>
          </w:tcPr>
          <w:p w14:paraId="6A9B463F" w14:textId="77777777" w:rsidR="007D1E74" w:rsidRDefault="00A95641">
            <w:pPr>
              <w:pStyle w:val="TableParagraph"/>
              <w:adjustRightInd/>
              <w:jc w:val="center"/>
              <w:rPr>
                <w:rFonts w:ascii="Times New Roman" w:hAnsi="Times New Roman"/>
                <w:b/>
                <w:bCs/>
                <w:sz w:val="21"/>
                <w:szCs w:val="21"/>
              </w:rPr>
            </w:pPr>
            <w:r>
              <w:rPr>
                <w:rFonts w:ascii="Times New Roman" w:hAnsi="Times New Roman"/>
                <w:b/>
                <w:bCs/>
                <w:sz w:val="21"/>
                <w:szCs w:val="21"/>
              </w:rPr>
              <w:t>管道名称</w:t>
            </w:r>
          </w:p>
        </w:tc>
        <w:tc>
          <w:tcPr>
            <w:tcW w:w="6219" w:type="dxa"/>
            <w:vAlign w:val="center"/>
          </w:tcPr>
          <w:p w14:paraId="61E2E156" w14:textId="77777777" w:rsidR="007D1E74" w:rsidRDefault="00A95641">
            <w:pPr>
              <w:pStyle w:val="TableParagraph"/>
              <w:adjustRightInd/>
              <w:jc w:val="center"/>
              <w:rPr>
                <w:rFonts w:ascii="Times New Roman" w:hAnsi="Times New Roman"/>
                <w:b/>
                <w:bCs/>
                <w:sz w:val="21"/>
                <w:szCs w:val="21"/>
              </w:rPr>
            </w:pPr>
            <w:r>
              <w:rPr>
                <w:rFonts w:ascii="Times New Roman" w:hAnsi="Times New Roman"/>
                <w:b/>
                <w:bCs/>
                <w:sz w:val="21"/>
                <w:szCs w:val="21"/>
              </w:rPr>
              <w:t>马</w:t>
            </w:r>
            <w:r>
              <w:rPr>
                <w:rFonts w:ascii="Times New Roman" w:hAnsi="Times New Roman"/>
                <w:b/>
                <w:bCs/>
                <w:sz w:val="21"/>
                <w:szCs w:val="21"/>
              </w:rPr>
              <w:t>1-10H</w:t>
            </w:r>
            <w:r>
              <w:rPr>
                <w:rFonts w:ascii="Times New Roman" w:hAnsi="Times New Roman"/>
                <w:b/>
                <w:bCs/>
                <w:sz w:val="21"/>
                <w:szCs w:val="21"/>
              </w:rPr>
              <w:t>采气井场至马</w:t>
            </w:r>
            <w:r>
              <w:rPr>
                <w:rFonts w:ascii="Times New Roman" w:hAnsi="Times New Roman"/>
                <w:b/>
                <w:bCs/>
                <w:sz w:val="21"/>
                <w:szCs w:val="21"/>
              </w:rPr>
              <w:t>1-1</w:t>
            </w:r>
            <w:r>
              <w:rPr>
                <w:rFonts w:ascii="Times New Roman" w:hAnsi="Times New Roman"/>
                <w:b/>
                <w:bCs/>
                <w:sz w:val="21"/>
                <w:szCs w:val="21"/>
              </w:rPr>
              <w:t>集气支线</w:t>
            </w:r>
          </w:p>
        </w:tc>
      </w:tr>
      <w:tr w:rsidR="007D1E74" w14:paraId="7FB97EC5" w14:textId="77777777">
        <w:trPr>
          <w:trHeight w:val="260"/>
        </w:trPr>
        <w:tc>
          <w:tcPr>
            <w:tcW w:w="600" w:type="dxa"/>
          </w:tcPr>
          <w:p w14:paraId="048591F4"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1</w:t>
            </w:r>
          </w:p>
        </w:tc>
        <w:tc>
          <w:tcPr>
            <w:tcW w:w="2309" w:type="dxa"/>
            <w:vAlign w:val="center"/>
          </w:tcPr>
          <w:p w14:paraId="133CF19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长度（</w:t>
            </w:r>
            <w:r>
              <w:rPr>
                <w:rFonts w:ascii="Times New Roman" w:hAnsi="Times New Roman"/>
                <w:sz w:val="21"/>
                <w:szCs w:val="21"/>
              </w:rPr>
              <w:t>km</w:t>
            </w:r>
            <w:r>
              <w:rPr>
                <w:rFonts w:ascii="Times New Roman" w:hAnsi="Times New Roman"/>
                <w:sz w:val="21"/>
                <w:szCs w:val="21"/>
              </w:rPr>
              <w:t>）</w:t>
            </w:r>
          </w:p>
        </w:tc>
        <w:tc>
          <w:tcPr>
            <w:tcW w:w="6219" w:type="dxa"/>
            <w:vAlign w:val="center"/>
          </w:tcPr>
          <w:p w14:paraId="240C1CC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4.1</w:t>
            </w:r>
          </w:p>
        </w:tc>
      </w:tr>
      <w:tr w:rsidR="007D1E74" w14:paraId="7C4E48E1" w14:textId="77777777">
        <w:trPr>
          <w:trHeight w:val="260"/>
        </w:trPr>
        <w:tc>
          <w:tcPr>
            <w:tcW w:w="600" w:type="dxa"/>
          </w:tcPr>
          <w:p w14:paraId="0A414268"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2</w:t>
            </w:r>
          </w:p>
        </w:tc>
        <w:tc>
          <w:tcPr>
            <w:tcW w:w="2309" w:type="dxa"/>
            <w:vAlign w:val="center"/>
          </w:tcPr>
          <w:p w14:paraId="049D468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管径（</w:t>
            </w:r>
            <w:r>
              <w:rPr>
                <w:rFonts w:ascii="Times New Roman" w:hAnsi="Times New Roman"/>
                <w:sz w:val="21"/>
                <w:szCs w:val="21"/>
              </w:rPr>
              <w:t>mm</w:t>
            </w:r>
            <w:r>
              <w:rPr>
                <w:rFonts w:ascii="Times New Roman" w:hAnsi="Times New Roman"/>
                <w:sz w:val="21"/>
                <w:szCs w:val="21"/>
              </w:rPr>
              <w:t>）</w:t>
            </w:r>
          </w:p>
        </w:tc>
        <w:tc>
          <w:tcPr>
            <w:tcW w:w="6219" w:type="dxa"/>
            <w:vAlign w:val="center"/>
          </w:tcPr>
          <w:p w14:paraId="20A886F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DN114.3</w:t>
            </w:r>
          </w:p>
        </w:tc>
      </w:tr>
      <w:tr w:rsidR="007D1E74" w14:paraId="16AF407D" w14:textId="77777777">
        <w:trPr>
          <w:trHeight w:val="260"/>
        </w:trPr>
        <w:tc>
          <w:tcPr>
            <w:tcW w:w="600" w:type="dxa"/>
          </w:tcPr>
          <w:p w14:paraId="624EE4CF"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3</w:t>
            </w:r>
          </w:p>
        </w:tc>
        <w:tc>
          <w:tcPr>
            <w:tcW w:w="2309" w:type="dxa"/>
            <w:vAlign w:val="center"/>
          </w:tcPr>
          <w:p w14:paraId="07ACC9D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输气量</w:t>
            </w:r>
          </w:p>
        </w:tc>
        <w:tc>
          <w:tcPr>
            <w:tcW w:w="6219" w:type="dxa"/>
            <w:vAlign w:val="center"/>
          </w:tcPr>
          <w:p w14:paraId="0AC730FE"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5~15×10</w:t>
            </w:r>
            <w:r>
              <w:rPr>
                <w:rFonts w:ascii="Times New Roman" w:hAnsi="Times New Roman"/>
                <w:sz w:val="21"/>
                <w:szCs w:val="21"/>
                <w:vertAlign w:val="superscript"/>
              </w:rPr>
              <w:t xml:space="preserve">4  </w:t>
            </w:r>
            <w:r>
              <w:rPr>
                <w:rFonts w:ascii="Times New Roman" w:hAnsi="Times New Roman"/>
                <w:sz w:val="21"/>
                <w:szCs w:val="21"/>
              </w:rPr>
              <w:t>m</w:t>
            </w:r>
            <w:r>
              <w:rPr>
                <w:rFonts w:ascii="Times New Roman" w:hAnsi="Times New Roman"/>
                <w:sz w:val="21"/>
                <w:szCs w:val="21"/>
                <w:vertAlign w:val="superscript"/>
              </w:rPr>
              <w:t>3</w:t>
            </w:r>
            <w:r>
              <w:rPr>
                <w:rFonts w:ascii="Times New Roman" w:hAnsi="Times New Roman"/>
                <w:sz w:val="21"/>
                <w:szCs w:val="21"/>
              </w:rPr>
              <w:t>/d</w:t>
            </w:r>
          </w:p>
        </w:tc>
      </w:tr>
      <w:tr w:rsidR="007D1E74" w14:paraId="61FED32D" w14:textId="77777777">
        <w:trPr>
          <w:trHeight w:val="260"/>
        </w:trPr>
        <w:tc>
          <w:tcPr>
            <w:tcW w:w="600" w:type="dxa"/>
          </w:tcPr>
          <w:p w14:paraId="5C49C86F"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4</w:t>
            </w:r>
          </w:p>
        </w:tc>
        <w:tc>
          <w:tcPr>
            <w:tcW w:w="2309" w:type="dxa"/>
            <w:vAlign w:val="center"/>
          </w:tcPr>
          <w:p w14:paraId="159B400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设计压力（</w:t>
            </w:r>
            <w:r>
              <w:rPr>
                <w:rFonts w:ascii="Times New Roman" w:hAnsi="Times New Roman"/>
                <w:sz w:val="21"/>
                <w:szCs w:val="21"/>
              </w:rPr>
              <w:t>MPa</w:t>
            </w:r>
            <w:r>
              <w:rPr>
                <w:rFonts w:ascii="Times New Roman" w:hAnsi="Times New Roman"/>
                <w:sz w:val="21"/>
                <w:szCs w:val="21"/>
              </w:rPr>
              <w:t>）</w:t>
            </w:r>
          </w:p>
        </w:tc>
        <w:tc>
          <w:tcPr>
            <w:tcW w:w="6219" w:type="dxa"/>
            <w:vAlign w:val="center"/>
          </w:tcPr>
          <w:p w14:paraId="7FF480D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6.3MPa</w:t>
            </w:r>
          </w:p>
        </w:tc>
      </w:tr>
      <w:tr w:rsidR="007D1E74" w14:paraId="74A13A01" w14:textId="77777777">
        <w:trPr>
          <w:trHeight w:val="260"/>
        </w:trPr>
        <w:tc>
          <w:tcPr>
            <w:tcW w:w="600" w:type="dxa"/>
          </w:tcPr>
          <w:p w14:paraId="07F84BEE"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5</w:t>
            </w:r>
          </w:p>
        </w:tc>
        <w:tc>
          <w:tcPr>
            <w:tcW w:w="2309" w:type="dxa"/>
            <w:vAlign w:val="center"/>
          </w:tcPr>
          <w:p w14:paraId="5B85901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年工作天数</w:t>
            </w:r>
          </w:p>
        </w:tc>
        <w:tc>
          <w:tcPr>
            <w:tcW w:w="6219" w:type="dxa"/>
            <w:vAlign w:val="center"/>
          </w:tcPr>
          <w:p w14:paraId="2DF6EAF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 xml:space="preserve">350 </w:t>
            </w:r>
            <w:r>
              <w:rPr>
                <w:rFonts w:ascii="Times New Roman" w:hAnsi="Times New Roman"/>
                <w:sz w:val="21"/>
                <w:szCs w:val="21"/>
              </w:rPr>
              <w:t>天</w:t>
            </w:r>
          </w:p>
        </w:tc>
      </w:tr>
      <w:tr w:rsidR="007D1E74" w14:paraId="2B7C6B2A" w14:textId="77777777">
        <w:trPr>
          <w:trHeight w:val="260"/>
        </w:trPr>
        <w:tc>
          <w:tcPr>
            <w:tcW w:w="600" w:type="dxa"/>
          </w:tcPr>
          <w:p w14:paraId="683B399D"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6</w:t>
            </w:r>
          </w:p>
        </w:tc>
        <w:tc>
          <w:tcPr>
            <w:tcW w:w="2309" w:type="dxa"/>
            <w:vAlign w:val="center"/>
          </w:tcPr>
          <w:p w14:paraId="431E229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管道防腐</w:t>
            </w:r>
          </w:p>
        </w:tc>
        <w:tc>
          <w:tcPr>
            <w:tcW w:w="6219" w:type="dxa"/>
            <w:vAlign w:val="center"/>
          </w:tcPr>
          <w:p w14:paraId="7622AE0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外防腐层采用常温型加强级三层</w:t>
            </w:r>
            <w:r>
              <w:rPr>
                <w:rFonts w:ascii="Times New Roman" w:hAnsi="Times New Roman"/>
                <w:sz w:val="21"/>
                <w:szCs w:val="21"/>
              </w:rPr>
              <w:t>PE</w:t>
            </w:r>
            <w:r>
              <w:rPr>
                <w:rFonts w:ascii="Times New Roman" w:hAnsi="Times New Roman"/>
                <w:sz w:val="21"/>
                <w:szCs w:val="21"/>
              </w:rPr>
              <w:t>防腐层</w:t>
            </w:r>
          </w:p>
        </w:tc>
      </w:tr>
      <w:tr w:rsidR="007D1E74" w14:paraId="47FD1595" w14:textId="77777777">
        <w:trPr>
          <w:trHeight w:val="260"/>
        </w:trPr>
        <w:tc>
          <w:tcPr>
            <w:tcW w:w="600" w:type="dxa"/>
          </w:tcPr>
          <w:p w14:paraId="5F27EB85"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7</w:t>
            </w:r>
          </w:p>
        </w:tc>
        <w:tc>
          <w:tcPr>
            <w:tcW w:w="2309" w:type="dxa"/>
            <w:vAlign w:val="center"/>
          </w:tcPr>
          <w:p w14:paraId="19832F2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用管规格</w:t>
            </w:r>
          </w:p>
        </w:tc>
        <w:tc>
          <w:tcPr>
            <w:tcW w:w="6219" w:type="dxa"/>
            <w:vAlign w:val="center"/>
          </w:tcPr>
          <w:p w14:paraId="58B58D5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无缝钢管</w:t>
            </w:r>
            <w:r>
              <w:rPr>
                <w:rFonts w:ascii="Times New Roman" w:hAnsi="Times New Roman"/>
                <w:sz w:val="21"/>
                <w:szCs w:val="21"/>
              </w:rPr>
              <w:t xml:space="preserve"> D114.3×6.3 L245N  </w:t>
            </w:r>
          </w:p>
        </w:tc>
      </w:tr>
      <w:tr w:rsidR="007D1E74" w14:paraId="62E6ABAD" w14:textId="77777777">
        <w:trPr>
          <w:trHeight w:val="260"/>
        </w:trPr>
        <w:tc>
          <w:tcPr>
            <w:tcW w:w="600" w:type="dxa"/>
          </w:tcPr>
          <w:p w14:paraId="5331C514" w14:textId="77777777" w:rsidR="007D1E74" w:rsidRDefault="007D1E74">
            <w:pPr>
              <w:pStyle w:val="TableParagraph"/>
              <w:adjustRightInd/>
              <w:jc w:val="center"/>
              <w:rPr>
                <w:rFonts w:ascii="Times New Roman" w:hAnsi="Times New Roman"/>
                <w:w w:val="99"/>
                <w:sz w:val="21"/>
                <w:szCs w:val="21"/>
              </w:rPr>
            </w:pPr>
          </w:p>
        </w:tc>
        <w:tc>
          <w:tcPr>
            <w:tcW w:w="2309" w:type="dxa"/>
            <w:vAlign w:val="center"/>
          </w:tcPr>
          <w:p w14:paraId="376262D6" w14:textId="77777777" w:rsidR="007D1E74" w:rsidRDefault="00A95641">
            <w:pPr>
              <w:pStyle w:val="TableParagraph"/>
              <w:adjustRightInd/>
              <w:jc w:val="center"/>
              <w:rPr>
                <w:rFonts w:ascii="Times New Roman" w:hAnsi="Times New Roman"/>
                <w:sz w:val="21"/>
                <w:szCs w:val="21"/>
              </w:rPr>
            </w:pPr>
            <w:r>
              <w:rPr>
                <w:rFonts w:ascii="Times New Roman" w:hAnsi="Times New Roman"/>
                <w:b/>
                <w:bCs/>
                <w:sz w:val="21"/>
                <w:szCs w:val="21"/>
              </w:rPr>
              <w:t>管道名称</w:t>
            </w:r>
          </w:p>
        </w:tc>
        <w:tc>
          <w:tcPr>
            <w:tcW w:w="6219" w:type="dxa"/>
            <w:vAlign w:val="center"/>
          </w:tcPr>
          <w:p w14:paraId="54768C06" w14:textId="77777777" w:rsidR="007D1E74" w:rsidRDefault="00A95641">
            <w:pPr>
              <w:pStyle w:val="TableParagraph"/>
              <w:adjustRightInd/>
              <w:jc w:val="center"/>
              <w:rPr>
                <w:rFonts w:ascii="Times New Roman" w:hAnsi="Times New Roman"/>
                <w:sz w:val="21"/>
                <w:szCs w:val="21"/>
              </w:rPr>
            </w:pPr>
            <w:r>
              <w:rPr>
                <w:rFonts w:ascii="Times New Roman" w:hAnsi="Times New Roman"/>
                <w:b/>
                <w:bCs/>
                <w:sz w:val="21"/>
                <w:szCs w:val="21"/>
              </w:rPr>
              <w:t>马</w:t>
            </w:r>
            <w:r>
              <w:rPr>
                <w:rFonts w:ascii="Times New Roman" w:hAnsi="Times New Roman"/>
                <w:b/>
                <w:bCs/>
                <w:sz w:val="21"/>
                <w:szCs w:val="21"/>
              </w:rPr>
              <w:t>1-1</w:t>
            </w:r>
            <w:r>
              <w:rPr>
                <w:rFonts w:ascii="Times New Roman" w:hAnsi="Times New Roman"/>
                <w:b/>
                <w:bCs/>
                <w:sz w:val="21"/>
                <w:szCs w:val="21"/>
              </w:rPr>
              <w:t>采气井场至干线</w:t>
            </w:r>
          </w:p>
        </w:tc>
      </w:tr>
      <w:tr w:rsidR="007D1E74" w14:paraId="0BCF85E7" w14:textId="77777777">
        <w:trPr>
          <w:trHeight w:val="260"/>
        </w:trPr>
        <w:tc>
          <w:tcPr>
            <w:tcW w:w="600" w:type="dxa"/>
          </w:tcPr>
          <w:p w14:paraId="46550276"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b/>
                <w:bCs/>
                <w:w w:val="99"/>
                <w:sz w:val="21"/>
                <w:szCs w:val="21"/>
              </w:rPr>
              <w:t>1</w:t>
            </w:r>
          </w:p>
        </w:tc>
        <w:tc>
          <w:tcPr>
            <w:tcW w:w="2309" w:type="dxa"/>
            <w:vAlign w:val="center"/>
          </w:tcPr>
          <w:p w14:paraId="464C30F3"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长度（</w:t>
            </w:r>
            <w:r>
              <w:rPr>
                <w:rFonts w:ascii="Times New Roman" w:hAnsi="Times New Roman"/>
                <w:sz w:val="21"/>
                <w:szCs w:val="21"/>
              </w:rPr>
              <w:t>km</w:t>
            </w:r>
            <w:r>
              <w:rPr>
                <w:rFonts w:ascii="Times New Roman" w:hAnsi="Times New Roman"/>
                <w:sz w:val="21"/>
                <w:szCs w:val="21"/>
              </w:rPr>
              <w:t>）</w:t>
            </w:r>
          </w:p>
        </w:tc>
        <w:tc>
          <w:tcPr>
            <w:tcW w:w="6219" w:type="dxa"/>
            <w:vAlign w:val="center"/>
          </w:tcPr>
          <w:p w14:paraId="73FEAA13"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1.1</w:t>
            </w:r>
          </w:p>
        </w:tc>
      </w:tr>
      <w:tr w:rsidR="007D1E74" w14:paraId="714BB750" w14:textId="77777777">
        <w:trPr>
          <w:trHeight w:val="260"/>
        </w:trPr>
        <w:tc>
          <w:tcPr>
            <w:tcW w:w="600" w:type="dxa"/>
          </w:tcPr>
          <w:p w14:paraId="3350B115"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2</w:t>
            </w:r>
          </w:p>
        </w:tc>
        <w:tc>
          <w:tcPr>
            <w:tcW w:w="2309" w:type="dxa"/>
            <w:vAlign w:val="center"/>
          </w:tcPr>
          <w:p w14:paraId="39A6350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管径（</w:t>
            </w:r>
            <w:r>
              <w:rPr>
                <w:rFonts w:ascii="Times New Roman" w:hAnsi="Times New Roman"/>
                <w:sz w:val="21"/>
                <w:szCs w:val="21"/>
              </w:rPr>
              <w:t>mm</w:t>
            </w:r>
            <w:r>
              <w:rPr>
                <w:rFonts w:ascii="Times New Roman" w:hAnsi="Times New Roman"/>
                <w:sz w:val="21"/>
                <w:szCs w:val="21"/>
              </w:rPr>
              <w:t>）</w:t>
            </w:r>
          </w:p>
        </w:tc>
        <w:tc>
          <w:tcPr>
            <w:tcW w:w="6219" w:type="dxa"/>
            <w:vAlign w:val="center"/>
          </w:tcPr>
          <w:p w14:paraId="384CB1B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DN114.3</w:t>
            </w:r>
          </w:p>
        </w:tc>
      </w:tr>
      <w:tr w:rsidR="007D1E74" w14:paraId="37718503" w14:textId="77777777">
        <w:trPr>
          <w:trHeight w:val="260"/>
        </w:trPr>
        <w:tc>
          <w:tcPr>
            <w:tcW w:w="600" w:type="dxa"/>
          </w:tcPr>
          <w:p w14:paraId="00C46A7B"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lastRenderedPageBreak/>
              <w:t>3</w:t>
            </w:r>
          </w:p>
        </w:tc>
        <w:tc>
          <w:tcPr>
            <w:tcW w:w="2309" w:type="dxa"/>
            <w:vAlign w:val="center"/>
          </w:tcPr>
          <w:p w14:paraId="0A35B24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输气量</w:t>
            </w:r>
          </w:p>
        </w:tc>
        <w:tc>
          <w:tcPr>
            <w:tcW w:w="6219" w:type="dxa"/>
            <w:vAlign w:val="center"/>
          </w:tcPr>
          <w:p w14:paraId="4903F24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5~15×10</w:t>
            </w:r>
            <w:r>
              <w:rPr>
                <w:rFonts w:ascii="Times New Roman" w:hAnsi="Times New Roman"/>
                <w:sz w:val="21"/>
                <w:szCs w:val="21"/>
                <w:vertAlign w:val="superscript"/>
              </w:rPr>
              <w:t xml:space="preserve">4  </w:t>
            </w:r>
            <w:r>
              <w:rPr>
                <w:rFonts w:ascii="Times New Roman" w:hAnsi="Times New Roman"/>
                <w:sz w:val="21"/>
                <w:szCs w:val="21"/>
              </w:rPr>
              <w:t>m</w:t>
            </w:r>
            <w:r>
              <w:rPr>
                <w:rFonts w:ascii="Times New Roman" w:hAnsi="Times New Roman"/>
                <w:sz w:val="21"/>
                <w:szCs w:val="21"/>
                <w:vertAlign w:val="superscript"/>
              </w:rPr>
              <w:t>3</w:t>
            </w:r>
            <w:r>
              <w:rPr>
                <w:rFonts w:ascii="Times New Roman" w:hAnsi="Times New Roman"/>
                <w:sz w:val="21"/>
                <w:szCs w:val="21"/>
              </w:rPr>
              <w:t>/d</w:t>
            </w:r>
          </w:p>
        </w:tc>
      </w:tr>
      <w:tr w:rsidR="007D1E74" w14:paraId="5412C8AE" w14:textId="77777777">
        <w:trPr>
          <w:trHeight w:val="260"/>
        </w:trPr>
        <w:tc>
          <w:tcPr>
            <w:tcW w:w="600" w:type="dxa"/>
          </w:tcPr>
          <w:p w14:paraId="19089AB6"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4</w:t>
            </w:r>
          </w:p>
        </w:tc>
        <w:tc>
          <w:tcPr>
            <w:tcW w:w="2309" w:type="dxa"/>
            <w:vAlign w:val="center"/>
          </w:tcPr>
          <w:p w14:paraId="7A23EAB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设计压力（</w:t>
            </w:r>
            <w:r>
              <w:rPr>
                <w:rFonts w:ascii="Times New Roman" w:hAnsi="Times New Roman"/>
                <w:sz w:val="21"/>
                <w:szCs w:val="21"/>
              </w:rPr>
              <w:t>MPa</w:t>
            </w:r>
            <w:r>
              <w:rPr>
                <w:rFonts w:ascii="Times New Roman" w:hAnsi="Times New Roman"/>
                <w:sz w:val="21"/>
                <w:szCs w:val="21"/>
              </w:rPr>
              <w:t>）</w:t>
            </w:r>
          </w:p>
        </w:tc>
        <w:tc>
          <w:tcPr>
            <w:tcW w:w="6219" w:type="dxa"/>
            <w:vAlign w:val="center"/>
          </w:tcPr>
          <w:p w14:paraId="4EEF797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6.3MPa</w:t>
            </w:r>
          </w:p>
        </w:tc>
      </w:tr>
      <w:tr w:rsidR="007D1E74" w14:paraId="170416D9" w14:textId="77777777">
        <w:trPr>
          <w:trHeight w:val="260"/>
        </w:trPr>
        <w:tc>
          <w:tcPr>
            <w:tcW w:w="600" w:type="dxa"/>
          </w:tcPr>
          <w:p w14:paraId="6FA992E0"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5</w:t>
            </w:r>
          </w:p>
        </w:tc>
        <w:tc>
          <w:tcPr>
            <w:tcW w:w="2309" w:type="dxa"/>
            <w:vAlign w:val="center"/>
          </w:tcPr>
          <w:p w14:paraId="5774892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年工作天数</w:t>
            </w:r>
          </w:p>
        </w:tc>
        <w:tc>
          <w:tcPr>
            <w:tcW w:w="6219" w:type="dxa"/>
            <w:vAlign w:val="center"/>
          </w:tcPr>
          <w:p w14:paraId="2CBE2E5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 xml:space="preserve">350 </w:t>
            </w:r>
            <w:r>
              <w:rPr>
                <w:rFonts w:ascii="Times New Roman" w:hAnsi="Times New Roman"/>
                <w:sz w:val="21"/>
                <w:szCs w:val="21"/>
              </w:rPr>
              <w:t>天</w:t>
            </w:r>
          </w:p>
        </w:tc>
      </w:tr>
      <w:tr w:rsidR="007D1E74" w14:paraId="3AF8169C" w14:textId="77777777">
        <w:trPr>
          <w:trHeight w:val="260"/>
        </w:trPr>
        <w:tc>
          <w:tcPr>
            <w:tcW w:w="600" w:type="dxa"/>
          </w:tcPr>
          <w:p w14:paraId="12ED3D81"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6</w:t>
            </w:r>
          </w:p>
        </w:tc>
        <w:tc>
          <w:tcPr>
            <w:tcW w:w="2309" w:type="dxa"/>
            <w:vAlign w:val="center"/>
          </w:tcPr>
          <w:p w14:paraId="325D39F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管道防腐</w:t>
            </w:r>
          </w:p>
        </w:tc>
        <w:tc>
          <w:tcPr>
            <w:tcW w:w="6219" w:type="dxa"/>
            <w:vAlign w:val="center"/>
          </w:tcPr>
          <w:p w14:paraId="3D85396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外防腐层采用常温型加强级三层</w:t>
            </w:r>
            <w:r>
              <w:rPr>
                <w:rFonts w:ascii="Times New Roman" w:hAnsi="Times New Roman"/>
                <w:sz w:val="21"/>
                <w:szCs w:val="21"/>
              </w:rPr>
              <w:t>PE</w:t>
            </w:r>
            <w:r>
              <w:rPr>
                <w:rFonts w:ascii="Times New Roman" w:hAnsi="Times New Roman"/>
                <w:sz w:val="21"/>
                <w:szCs w:val="21"/>
              </w:rPr>
              <w:t>防腐层</w:t>
            </w:r>
          </w:p>
        </w:tc>
      </w:tr>
      <w:tr w:rsidR="007D1E74" w14:paraId="0F88DB82" w14:textId="77777777">
        <w:trPr>
          <w:trHeight w:val="260"/>
        </w:trPr>
        <w:tc>
          <w:tcPr>
            <w:tcW w:w="600" w:type="dxa"/>
          </w:tcPr>
          <w:p w14:paraId="5A88319E"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7</w:t>
            </w:r>
          </w:p>
        </w:tc>
        <w:tc>
          <w:tcPr>
            <w:tcW w:w="2309" w:type="dxa"/>
            <w:vAlign w:val="center"/>
          </w:tcPr>
          <w:p w14:paraId="35E4572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用管规格</w:t>
            </w:r>
          </w:p>
        </w:tc>
        <w:tc>
          <w:tcPr>
            <w:tcW w:w="6219" w:type="dxa"/>
            <w:vAlign w:val="center"/>
          </w:tcPr>
          <w:p w14:paraId="13F094C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无缝钢管</w:t>
            </w:r>
            <w:r>
              <w:rPr>
                <w:rFonts w:ascii="Times New Roman" w:hAnsi="Times New Roman"/>
                <w:sz w:val="21"/>
                <w:szCs w:val="21"/>
              </w:rPr>
              <w:t xml:space="preserve"> D114.3×6.3 L245N  </w:t>
            </w:r>
          </w:p>
        </w:tc>
      </w:tr>
      <w:tr w:rsidR="007D1E74" w14:paraId="136B183B" w14:textId="77777777">
        <w:trPr>
          <w:trHeight w:val="260"/>
        </w:trPr>
        <w:tc>
          <w:tcPr>
            <w:tcW w:w="600" w:type="dxa"/>
          </w:tcPr>
          <w:p w14:paraId="1059C0B4" w14:textId="77777777" w:rsidR="007D1E74" w:rsidRDefault="007D1E74">
            <w:pPr>
              <w:pStyle w:val="TableParagraph"/>
              <w:adjustRightInd/>
              <w:jc w:val="center"/>
              <w:rPr>
                <w:rFonts w:ascii="Times New Roman" w:hAnsi="Times New Roman"/>
                <w:w w:val="99"/>
                <w:sz w:val="21"/>
                <w:szCs w:val="21"/>
              </w:rPr>
            </w:pPr>
          </w:p>
        </w:tc>
        <w:tc>
          <w:tcPr>
            <w:tcW w:w="2309" w:type="dxa"/>
            <w:vAlign w:val="center"/>
          </w:tcPr>
          <w:p w14:paraId="5E426EE3" w14:textId="77777777" w:rsidR="007D1E74" w:rsidRDefault="00A95641">
            <w:pPr>
              <w:pStyle w:val="TableParagraph"/>
              <w:adjustRightInd/>
              <w:jc w:val="center"/>
              <w:rPr>
                <w:rFonts w:ascii="Times New Roman" w:hAnsi="Times New Roman"/>
                <w:sz w:val="21"/>
                <w:szCs w:val="21"/>
              </w:rPr>
            </w:pPr>
            <w:r>
              <w:rPr>
                <w:rFonts w:ascii="Times New Roman" w:hAnsi="Times New Roman"/>
                <w:b/>
                <w:bCs/>
                <w:sz w:val="21"/>
                <w:szCs w:val="21"/>
              </w:rPr>
              <w:t>管道名称</w:t>
            </w:r>
          </w:p>
        </w:tc>
        <w:tc>
          <w:tcPr>
            <w:tcW w:w="6219" w:type="dxa"/>
            <w:vAlign w:val="center"/>
          </w:tcPr>
          <w:p w14:paraId="35A4EED4" w14:textId="77777777" w:rsidR="007D1E74" w:rsidRDefault="00A95641">
            <w:pPr>
              <w:pStyle w:val="TableParagraph"/>
              <w:adjustRightInd/>
              <w:jc w:val="center"/>
              <w:rPr>
                <w:rFonts w:ascii="Times New Roman" w:hAnsi="Times New Roman"/>
                <w:sz w:val="21"/>
                <w:szCs w:val="21"/>
              </w:rPr>
            </w:pPr>
            <w:r>
              <w:rPr>
                <w:rFonts w:ascii="Times New Roman" w:hAnsi="Times New Roman"/>
                <w:b/>
                <w:bCs/>
                <w:sz w:val="21"/>
                <w:szCs w:val="21"/>
              </w:rPr>
              <w:t>马</w:t>
            </w:r>
            <w:r>
              <w:rPr>
                <w:rFonts w:ascii="Times New Roman" w:hAnsi="Times New Roman"/>
                <w:b/>
                <w:bCs/>
                <w:sz w:val="21"/>
                <w:szCs w:val="21"/>
              </w:rPr>
              <w:t>1-13H</w:t>
            </w:r>
            <w:r>
              <w:rPr>
                <w:rFonts w:ascii="Times New Roman" w:hAnsi="Times New Roman"/>
                <w:b/>
                <w:bCs/>
                <w:sz w:val="21"/>
                <w:szCs w:val="21"/>
              </w:rPr>
              <w:t>采气井场至干线</w:t>
            </w:r>
          </w:p>
        </w:tc>
      </w:tr>
      <w:tr w:rsidR="007D1E74" w14:paraId="4B4A4E18" w14:textId="77777777">
        <w:trPr>
          <w:trHeight w:val="260"/>
        </w:trPr>
        <w:tc>
          <w:tcPr>
            <w:tcW w:w="600" w:type="dxa"/>
          </w:tcPr>
          <w:p w14:paraId="0E8D416A"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b/>
                <w:bCs/>
                <w:w w:val="99"/>
                <w:sz w:val="21"/>
                <w:szCs w:val="21"/>
              </w:rPr>
              <w:t>1</w:t>
            </w:r>
          </w:p>
        </w:tc>
        <w:tc>
          <w:tcPr>
            <w:tcW w:w="2309" w:type="dxa"/>
            <w:vAlign w:val="center"/>
          </w:tcPr>
          <w:p w14:paraId="5C1338E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长度（</w:t>
            </w:r>
            <w:r>
              <w:rPr>
                <w:rFonts w:ascii="Times New Roman" w:hAnsi="Times New Roman"/>
                <w:sz w:val="21"/>
                <w:szCs w:val="21"/>
              </w:rPr>
              <w:t>km</w:t>
            </w:r>
            <w:r>
              <w:rPr>
                <w:rFonts w:ascii="Times New Roman" w:hAnsi="Times New Roman"/>
                <w:sz w:val="21"/>
                <w:szCs w:val="21"/>
              </w:rPr>
              <w:t>）</w:t>
            </w:r>
          </w:p>
        </w:tc>
        <w:tc>
          <w:tcPr>
            <w:tcW w:w="6219" w:type="dxa"/>
            <w:vAlign w:val="center"/>
          </w:tcPr>
          <w:p w14:paraId="687AD50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1.2</w:t>
            </w:r>
          </w:p>
        </w:tc>
      </w:tr>
      <w:tr w:rsidR="007D1E74" w14:paraId="0B78CECD" w14:textId="77777777">
        <w:trPr>
          <w:trHeight w:val="260"/>
        </w:trPr>
        <w:tc>
          <w:tcPr>
            <w:tcW w:w="600" w:type="dxa"/>
          </w:tcPr>
          <w:p w14:paraId="7CA2DA8A"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2</w:t>
            </w:r>
          </w:p>
        </w:tc>
        <w:tc>
          <w:tcPr>
            <w:tcW w:w="2309" w:type="dxa"/>
            <w:vAlign w:val="center"/>
          </w:tcPr>
          <w:p w14:paraId="0EA6C89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管径（</w:t>
            </w:r>
            <w:r>
              <w:rPr>
                <w:rFonts w:ascii="Times New Roman" w:hAnsi="Times New Roman"/>
                <w:sz w:val="21"/>
                <w:szCs w:val="21"/>
              </w:rPr>
              <w:t>mm</w:t>
            </w:r>
            <w:r>
              <w:rPr>
                <w:rFonts w:ascii="Times New Roman" w:hAnsi="Times New Roman"/>
                <w:sz w:val="21"/>
                <w:szCs w:val="21"/>
              </w:rPr>
              <w:t>）</w:t>
            </w:r>
          </w:p>
        </w:tc>
        <w:tc>
          <w:tcPr>
            <w:tcW w:w="6219" w:type="dxa"/>
            <w:vAlign w:val="center"/>
          </w:tcPr>
          <w:p w14:paraId="2F69DE1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DN114.3</w:t>
            </w:r>
          </w:p>
        </w:tc>
      </w:tr>
      <w:tr w:rsidR="007D1E74" w14:paraId="6D2D657E" w14:textId="77777777">
        <w:trPr>
          <w:trHeight w:val="260"/>
        </w:trPr>
        <w:tc>
          <w:tcPr>
            <w:tcW w:w="600" w:type="dxa"/>
          </w:tcPr>
          <w:p w14:paraId="34A250C9"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3</w:t>
            </w:r>
          </w:p>
        </w:tc>
        <w:tc>
          <w:tcPr>
            <w:tcW w:w="2309" w:type="dxa"/>
            <w:vAlign w:val="center"/>
          </w:tcPr>
          <w:p w14:paraId="5201FF5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输气量</w:t>
            </w:r>
          </w:p>
        </w:tc>
        <w:tc>
          <w:tcPr>
            <w:tcW w:w="6219" w:type="dxa"/>
            <w:vAlign w:val="center"/>
          </w:tcPr>
          <w:p w14:paraId="31ADA20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5~15×10</w:t>
            </w:r>
            <w:r>
              <w:rPr>
                <w:rFonts w:ascii="Times New Roman" w:hAnsi="Times New Roman"/>
                <w:sz w:val="21"/>
                <w:szCs w:val="21"/>
                <w:vertAlign w:val="superscript"/>
              </w:rPr>
              <w:t xml:space="preserve">4  </w:t>
            </w:r>
            <w:r>
              <w:rPr>
                <w:rFonts w:ascii="Times New Roman" w:hAnsi="Times New Roman"/>
                <w:sz w:val="21"/>
                <w:szCs w:val="21"/>
              </w:rPr>
              <w:t>m</w:t>
            </w:r>
            <w:r>
              <w:rPr>
                <w:rFonts w:ascii="Times New Roman" w:hAnsi="Times New Roman"/>
                <w:sz w:val="21"/>
                <w:szCs w:val="21"/>
                <w:vertAlign w:val="superscript"/>
              </w:rPr>
              <w:t>3</w:t>
            </w:r>
            <w:r>
              <w:rPr>
                <w:rFonts w:ascii="Times New Roman" w:hAnsi="Times New Roman"/>
                <w:sz w:val="21"/>
                <w:szCs w:val="21"/>
              </w:rPr>
              <w:t>/d</w:t>
            </w:r>
          </w:p>
        </w:tc>
      </w:tr>
      <w:tr w:rsidR="007D1E74" w14:paraId="1E7FC779" w14:textId="77777777">
        <w:trPr>
          <w:trHeight w:val="260"/>
        </w:trPr>
        <w:tc>
          <w:tcPr>
            <w:tcW w:w="600" w:type="dxa"/>
          </w:tcPr>
          <w:p w14:paraId="019B7E26"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4</w:t>
            </w:r>
          </w:p>
        </w:tc>
        <w:tc>
          <w:tcPr>
            <w:tcW w:w="2309" w:type="dxa"/>
            <w:vAlign w:val="center"/>
          </w:tcPr>
          <w:p w14:paraId="4543368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设计压力（</w:t>
            </w:r>
            <w:r>
              <w:rPr>
                <w:rFonts w:ascii="Times New Roman" w:hAnsi="Times New Roman"/>
                <w:sz w:val="21"/>
                <w:szCs w:val="21"/>
              </w:rPr>
              <w:t>MPa</w:t>
            </w:r>
            <w:r>
              <w:rPr>
                <w:rFonts w:ascii="Times New Roman" w:hAnsi="Times New Roman"/>
                <w:sz w:val="21"/>
                <w:szCs w:val="21"/>
              </w:rPr>
              <w:t>）</w:t>
            </w:r>
          </w:p>
        </w:tc>
        <w:tc>
          <w:tcPr>
            <w:tcW w:w="6219" w:type="dxa"/>
            <w:vAlign w:val="center"/>
          </w:tcPr>
          <w:p w14:paraId="3E8F676E"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6.3MPa</w:t>
            </w:r>
          </w:p>
        </w:tc>
      </w:tr>
      <w:tr w:rsidR="007D1E74" w14:paraId="733E10E6" w14:textId="77777777">
        <w:trPr>
          <w:trHeight w:val="260"/>
        </w:trPr>
        <w:tc>
          <w:tcPr>
            <w:tcW w:w="600" w:type="dxa"/>
          </w:tcPr>
          <w:p w14:paraId="27141EA3"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5</w:t>
            </w:r>
          </w:p>
        </w:tc>
        <w:tc>
          <w:tcPr>
            <w:tcW w:w="2309" w:type="dxa"/>
            <w:vAlign w:val="center"/>
          </w:tcPr>
          <w:p w14:paraId="49E8171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年工作天数</w:t>
            </w:r>
          </w:p>
        </w:tc>
        <w:tc>
          <w:tcPr>
            <w:tcW w:w="6219" w:type="dxa"/>
            <w:vAlign w:val="center"/>
          </w:tcPr>
          <w:p w14:paraId="67CB09A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 xml:space="preserve">350 </w:t>
            </w:r>
            <w:r>
              <w:rPr>
                <w:rFonts w:ascii="Times New Roman" w:hAnsi="Times New Roman"/>
                <w:sz w:val="21"/>
                <w:szCs w:val="21"/>
              </w:rPr>
              <w:t>天</w:t>
            </w:r>
          </w:p>
        </w:tc>
      </w:tr>
      <w:tr w:rsidR="007D1E74" w14:paraId="27E74B40" w14:textId="77777777">
        <w:trPr>
          <w:trHeight w:val="260"/>
        </w:trPr>
        <w:tc>
          <w:tcPr>
            <w:tcW w:w="600" w:type="dxa"/>
          </w:tcPr>
          <w:p w14:paraId="2F1B4177"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6</w:t>
            </w:r>
          </w:p>
        </w:tc>
        <w:tc>
          <w:tcPr>
            <w:tcW w:w="2309" w:type="dxa"/>
            <w:vAlign w:val="center"/>
          </w:tcPr>
          <w:p w14:paraId="43AB3A1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管道防腐</w:t>
            </w:r>
          </w:p>
        </w:tc>
        <w:tc>
          <w:tcPr>
            <w:tcW w:w="6219" w:type="dxa"/>
            <w:vAlign w:val="center"/>
          </w:tcPr>
          <w:p w14:paraId="1AE03F4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外防腐层采用常温型加强级三层</w:t>
            </w:r>
            <w:r>
              <w:rPr>
                <w:rFonts w:ascii="Times New Roman" w:hAnsi="Times New Roman"/>
                <w:sz w:val="21"/>
                <w:szCs w:val="21"/>
              </w:rPr>
              <w:t>PE</w:t>
            </w:r>
            <w:r>
              <w:rPr>
                <w:rFonts w:ascii="Times New Roman" w:hAnsi="Times New Roman"/>
                <w:sz w:val="21"/>
                <w:szCs w:val="21"/>
              </w:rPr>
              <w:t>防腐层</w:t>
            </w:r>
          </w:p>
        </w:tc>
      </w:tr>
      <w:tr w:rsidR="007D1E74" w14:paraId="6F44D0CD" w14:textId="77777777">
        <w:trPr>
          <w:trHeight w:val="260"/>
        </w:trPr>
        <w:tc>
          <w:tcPr>
            <w:tcW w:w="600" w:type="dxa"/>
          </w:tcPr>
          <w:p w14:paraId="6F3E9749"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7</w:t>
            </w:r>
          </w:p>
        </w:tc>
        <w:tc>
          <w:tcPr>
            <w:tcW w:w="2309" w:type="dxa"/>
            <w:vAlign w:val="center"/>
          </w:tcPr>
          <w:p w14:paraId="4F3EBED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用管规格</w:t>
            </w:r>
          </w:p>
        </w:tc>
        <w:tc>
          <w:tcPr>
            <w:tcW w:w="6219" w:type="dxa"/>
            <w:vAlign w:val="center"/>
          </w:tcPr>
          <w:p w14:paraId="352BE033"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无缝钢管</w:t>
            </w:r>
            <w:r>
              <w:rPr>
                <w:rFonts w:ascii="Times New Roman" w:hAnsi="Times New Roman"/>
                <w:sz w:val="21"/>
                <w:szCs w:val="21"/>
              </w:rPr>
              <w:t xml:space="preserve"> D114.3×6.3 L245N  </w:t>
            </w:r>
          </w:p>
        </w:tc>
      </w:tr>
      <w:tr w:rsidR="007D1E74" w14:paraId="3653CF8B" w14:textId="77777777">
        <w:trPr>
          <w:trHeight w:val="260"/>
        </w:trPr>
        <w:tc>
          <w:tcPr>
            <w:tcW w:w="600" w:type="dxa"/>
          </w:tcPr>
          <w:p w14:paraId="3E0B453B" w14:textId="77777777" w:rsidR="007D1E74" w:rsidRDefault="007D1E74">
            <w:pPr>
              <w:pStyle w:val="TableParagraph"/>
              <w:adjustRightInd/>
              <w:jc w:val="center"/>
              <w:rPr>
                <w:rFonts w:ascii="Times New Roman" w:hAnsi="Times New Roman"/>
                <w:w w:val="99"/>
                <w:sz w:val="21"/>
                <w:szCs w:val="21"/>
              </w:rPr>
            </w:pPr>
          </w:p>
        </w:tc>
        <w:tc>
          <w:tcPr>
            <w:tcW w:w="2309" w:type="dxa"/>
            <w:vAlign w:val="center"/>
          </w:tcPr>
          <w:p w14:paraId="516BAC8B" w14:textId="77777777" w:rsidR="007D1E74" w:rsidRDefault="00A95641">
            <w:pPr>
              <w:pStyle w:val="TableParagraph"/>
              <w:adjustRightInd/>
              <w:jc w:val="center"/>
              <w:rPr>
                <w:rFonts w:ascii="Times New Roman" w:hAnsi="Times New Roman"/>
                <w:sz w:val="21"/>
                <w:szCs w:val="21"/>
              </w:rPr>
            </w:pPr>
            <w:r>
              <w:rPr>
                <w:rFonts w:ascii="Times New Roman" w:hAnsi="Times New Roman"/>
                <w:b/>
                <w:bCs/>
                <w:sz w:val="21"/>
                <w:szCs w:val="21"/>
              </w:rPr>
              <w:t>管道名称</w:t>
            </w:r>
          </w:p>
        </w:tc>
        <w:tc>
          <w:tcPr>
            <w:tcW w:w="6219" w:type="dxa"/>
            <w:vAlign w:val="center"/>
          </w:tcPr>
          <w:p w14:paraId="2AC72E9C" w14:textId="77777777" w:rsidR="007D1E74" w:rsidRDefault="00A95641">
            <w:pPr>
              <w:pStyle w:val="TableParagraph"/>
              <w:adjustRightInd/>
              <w:jc w:val="center"/>
              <w:rPr>
                <w:rFonts w:ascii="Times New Roman" w:hAnsi="Times New Roman"/>
                <w:sz w:val="21"/>
                <w:szCs w:val="21"/>
              </w:rPr>
            </w:pPr>
            <w:r>
              <w:rPr>
                <w:rFonts w:ascii="Times New Roman" w:hAnsi="Times New Roman"/>
                <w:b/>
                <w:bCs/>
                <w:sz w:val="21"/>
                <w:szCs w:val="21"/>
              </w:rPr>
              <w:t>马</w:t>
            </w:r>
            <w:r>
              <w:rPr>
                <w:rFonts w:ascii="Times New Roman" w:hAnsi="Times New Roman"/>
                <w:b/>
                <w:bCs/>
                <w:sz w:val="21"/>
                <w:szCs w:val="21"/>
              </w:rPr>
              <w:t>1-12H</w:t>
            </w:r>
            <w:r>
              <w:rPr>
                <w:rFonts w:ascii="Times New Roman" w:hAnsi="Times New Roman"/>
                <w:b/>
                <w:bCs/>
                <w:sz w:val="21"/>
                <w:szCs w:val="21"/>
              </w:rPr>
              <w:t>采气井场至干线</w:t>
            </w:r>
          </w:p>
        </w:tc>
      </w:tr>
      <w:tr w:rsidR="007D1E74" w14:paraId="760E3449" w14:textId="77777777">
        <w:trPr>
          <w:trHeight w:val="260"/>
        </w:trPr>
        <w:tc>
          <w:tcPr>
            <w:tcW w:w="600" w:type="dxa"/>
          </w:tcPr>
          <w:p w14:paraId="484DDC2A"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b/>
                <w:bCs/>
                <w:w w:val="99"/>
                <w:sz w:val="21"/>
                <w:szCs w:val="21"/>
              </w:rPr>
              <w:t>1</w:t>
            </w:r>
          </w:p>
        </w:tc>
        <w:tc>
          <w:tcPr>
            <w:tcW w:w="2309" w:type="dxa"/>
            <w:vAlign w:val="center"/>
          </w:tcPr>
          <w:p w14:paraId="6E041AD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长度（</w:t>
            </w:r>
            <w:r>
              <w:rPr>
                <w:rFonts w:ascii="Times New Roman" w:hAnsi="Times New Roman"/>
                <w:sz w:val="21"/>
                <w:szCs w:val="21"/>
              </w:rPr>
              <w:t>km</w:t>
            </w:r>
            <w:r>
              <w:rPr>
                <w:rFonts w:ascii="Times New Roman" w:hAnsi="Times New Roman"/>
                <w:sz w:val="21"/>
                <w:szCs w:val="21"/>
              </w:rPr>
              <w:t>）</w:t>
            </w:r>
          </w:p>
        </w:tc>
        <w:tc>
          <w:tcPr>
            <w:tcW w:w="6219" w:type="dxa"/>
            <w:vAlign w:val="center"/>
          </w:tcPr>
          <w:p w14:paraId="2E866CF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1.6</w:t>
            </w:r>
          </w:p>
        </w:tc>
      </w:tr>
      <w:tr w:rsidR="007D1E74" w14:paraId="63306BB2" w14:textId="77777777">
        <w:trPr>
          <w:trHeight w:val="260"/>
        </w:trPr>
        <w:tc>
          <w:tcPr>
            <w:tcW w:w="600" w:type="dxa"/>
          </w:tcPr>
          <w:p w14:paraId="19F8D373"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2</w:t>
            </w:r>
          </w:p>
        </w:tc>
        <w:tc>
          <w:tcPr>
            <w:tcW w:w="2309" w:type="dxa"/>
            <w:vAlign w:val="center"/>
          </w:tcPr>
          <w:p w14:paraId="79D4B13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管径（</w:t>
            </w:r>
            <w:r>
              <w:rPr>
                <w:rFonts w:ascii="Times New Roman" w:hAnsi="Times New Roman"/>
                <w:sz w:val="21"/>
                <w:szCs w:val="21"/>
              </w:rPr>
              <w:t>mm</w:t>
            </w:r>
            <w:r>
              <w:rPr>
                <w:rFonts w:ascii="Times New Roman" w:hAnsi="Times New Roman"/>
                <w:sz w:val="21"/>
                <w:szCs w:val="21"/>
              </w:rPr>
              <w:t>）</w:t>
            </w:r>
          </w:p>
        </w:tc>
        <w:tc>
          <w:tcPr>
            <w:tcW w:w="6219" w:type="dxa"/>
            <w:vAlign w:val="center"/>
          </w:tcPr>
          <w:p w14:paraId="6F9FDEB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DN300</w:t>
            </w:r>
          </w:p>
        </w:tc>
      </w:tr>
      <w:tr w:rsidR="007D1E74" w14:paraId="4D2BBB23" w14:textId="77777777">
        <w:trPr>
          <w:trHeight w:val="260"/>
        </w:trPr>
        <w:tc>
          <w:tcPr>
            <w:tcW w:w="600" w:type="dxa"/>
          </w:tcPr>
          <w:p w14:paraId="53A07BAE"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3</w:t>
            </w:r>
          </w:p>
        </w:tc>
        <w:tc>
          <w:tcPr>
            <w:tcW w:w="2309" w:type="dxa"/>
            <w:vAlign w:val="center"/>
          </w:tcPr>
          <w:p w14:paraId="4EB5B14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输气量</w:t>
            </w:r>
          </w:p>
        </w:tc>
        <w:tc>
          <w:tcPr>
            <w:tcW w:w="6219" w:type="dxa"/>
            <w:vAlign w:val="center"/>
          </w:tcPr>
          <w:p w14:paraId="2B5DEBC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5~15×10</w:t>
            </w:r>
            <w:r>
              <w:rPr>
                <w:rFonts w:ascii="Times New Roman" w:hAnsi="Times New Roman"/>
                <w:sz w:val="21"/>
                <w:szCs w:val="21"/>
                <w:vertAlign w:val="superscript"/>
              </w:rPr>
              <w:t xml:space="preserve">4  </w:t>
            </w:r>
            <w:r>
              <w:rPr>
                <w:rFonts w:ascii="Times New Roman" w:hAnsi="Times New Roman"/>
                <w:sz w:val="21"/>
                <w:szCs w:val="21"/>
              </w:rPr>
              <w:t>m</w:t>
            </w:r>
            <w:r>
              <w:rPr>
                <w:rFonts w:ascii="Times New Roman" w:hAnsi="Times New Roman"/>
                <w:sz w:val="21"/>
                <w:szCs w:val="21"/>
                <w:vertAlign w:val="superscript"/>
              </w:rPr>
              <w:t>3</w:t>
            </w:r>
            <w:r>
              <w:rPr>
                <w:rFonts w:ascii="Times New Roman" w:hAnsi="Times New Roman"/>
                <w:sz w:val="21"/>
                <w:szCs w:val="21"/>
              </w:rPr>
              <w:t>/d</w:t>
            </w:r>
          </w:p>
        </w:tc>
      </w:tr>
      <w:tr w:rsidR="007D1E74" w14:paraId="690B4139" w14:textId="77777777">
        <w:trPr>
          <w:trHeight w:val="260"/>
        </w:trPr>
        <w:tc>
          <w:tcPr>
            <w:tcW w:w="600" w:type="dxa"/>
          </w:tcPr>
          <w:p w14:paraId="21B7193D"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4</w:t>
            </w:r>
          </w:p>
        </w:tc>
        <w:tc>
          <w:tcPr>
            <w:tcW w:w="2309" w:type="dxa"/>
            <w:vAlign w:val="center"/>
          </w:tcPr>
          <w:p w14:paraId="085005BE"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设计压力（</w:t>
            </w:r>
            <w:r>
              <w:rPr>
                <w:rFonts w:ascii="Times New Roman" w:hAnsi="Times New Roman"/>
                <w:sz w:val="21"/>
                <w:szCs w:val="21"/>
              </w:rPr>
              <w:t>MPa</w:t>
            </w:r>
            <w:r>
              <w:rPr>
                <w:rFonts w:ascii="Times New Roman" w:hAnsi="Times New Roman"/>
                <w:sz w:val="21"/>
                <w:szCs w:val="21"/>
              </w:rPr>
              <w:t>）</w:t>
            </w:r>
          </w:p>
        </w:tc>
        <w:tc>
          <w:tcPr>
            <w:tcW w:w="6219" w:type="dxa"/>
            <w:vAlign w:val="center"/>
          </w:tcPr>
          <w:p w14:paraId="00F8EF9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6.3MPa</w:t>
            </w:r>
          </w:p>
        </w:tc>
      </w:tr>
      <w:tr w:rsidR="007D1E74" w14:paraId="38D43120" w14:textId="77777777">
        <w:trPr>
          <w:trHeight w:val="260"/>
        </w:trPr>
        <w:tc>
          <w:tcPr>
            <w:tcW w:w="600" w:type="dxa"/>
          </w:tcPr>
          <w:p w14:paraId="6FD226B6"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5</w:t>
            </w:r>
          </w:p>
        </w:tc>
        <w:tc>
          <w:tcPr>
            <w:tcW w:w="2309" w:type="dxa"/>
            <w:vAlign w:val="center"/>
          </w:tcPr>
          <w:p w14:paraId="6C23F4D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年工作天数</w:t>
            </w:r>
          </w:p>
        </w:tc>
        <w:tc>
          <w:tcPr>
            <w:tcW w:w="6219" w:type="dxa"/>
            <w:vAlign w:val="center"/>
          </w:tcPr>
          <w:p w14:paraId="3A7515D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 xml:space="preserve">350 </w:t>
            </w:r>
            <w:r>
              <w:rPr>
                <w:rFonts w:ascii="Times New Roman" w:hAnsi="Times New Roman"/>
                <w:sz w:val="21"/>
                <w:szCs w:val="21"/>
              </w:rPr>
              <w:t>天</w:t>
            </w:r>
          </w:p>
        </w:tc>
      </w:tr>
      <w:tr w:rsidR="007D1E74" w14:paraId="53717DA8" w14:textId="77777777">
        <w:trPr>
          <w:trHeight w:val="260"/>
        </w:trPr>
        <w:tc>
          <w:tcPr>
            <w:tcW w:w="600" w:type="dxa"/>
          </w:tcPr>
          <w:p w14:paraId="3F6D65CD"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6</w:t>
            </w:r>
          </w:p>
        </w:tc>
        <w:tc>
          <w:tcPr>
            <w:tcW w:w="2309" w:type="dxa"/>
            <w:vAlign w:val="center"/>
          </w:tcPr>
          <w:p w14:paraId="62E746C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管道防腐</w:t>
            </w:r>
          </w:p>
        </w:tc>
        <w:tc>
          <w:tcPr>
            <w:tcW w:w="6219" w:type="dxa"/>
            <w:vAlign w:val="center"/>
          </w:tcPr>
          <w:p w14:paraId="5D925FC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外防腐层采用常温型加强级三层</w:t>
            </w:r>
            <w:r>
              <w:rPr>
                <w:rFonts w:ascii="Times New Roman" w:hAnsi="Times New Roman"/>
                <w:sz w:val="21"/>
                <w:szCs w:val="21"/>
              </w:rPr>
              <w:t>PE</w:t>
            </w:r>
            <w:r>
              <w:rPr>
                <w:rFonts w:ascii="Times New Roman" w:hAnsi="Times New Roman"/>
                <w:sz w:val="21"/>
                <w:szCs w:val="21"/>
              </w:rPr>
              <w:t>防腐层</w:t>
            </w:r>
          </w:p>
        </w:tc>
      </w:tr>
      <w:tr w:rsidR="007D1E74" w14:paraId="1164222B" w14:textId="77777777">
        <w:trPr>
          <w:trHeight w:val="260"/>
        </w:trPr>
        <w:tc>
          <w:tcPr>
            <w:tcW w:w="600" w:type="dxa"/>
          </w:tcPr>
          <w:p w14:paraId="43EE757D"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7</w:t>
            </w:r>
          </w:p>
        </w:tc>
        <w:tc>
          <w:tcPr>
            <w:tcW w:w="2309" w:type="dxa"/>
            <w:vAlign w:val="center"/>
          </w:tcPr>
          <w:p w14:paraId="2E1E25F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用管规格</w:t>
            </w:r>
          </w:p>
        </w:tc>
        <w:tc>
          <w:tcPr>
            <w:tcW w:w="6219" w:type="dxa"/>
            <w:vAlign w:val="center"/>
          </w:tcPr>
          <w:p w14:paraId="55A40BC3"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无缝钢管</w:t>
            </w:r>
            <w:r>
              <w:rPr>
                <w:rFonts w:ascii="Times New Roman" w:hAnsi="Times New Roman"/>
                <w:sz w:val="21"/>
                <w:szCs w:val="21"/>
              </w:rPr>
              <w:t xml:space="preserve"> D323.9×8 L360N </w:t>
            </w:r>
          </w:p>
        </w:tc>
      </w:tr>
      <w:tr w:rsidR="007D1E74" w14:paraId="251CD4EF" w14:textId="77777777">
        <w:trPr>
          <w:trHeight w:val="260"/>
        </w:trPr>
        <w:tc>
          <w:tcPr>
            <w:tcW w:w="600" w:type="dxa"/>
          </w:tcPr>
          <w:p w14:paraId="497F756E" w14:textId="77777777" w:rsidR="007D1E74" w:rsidRDefault="007D1E74">
            <w:pPr>
              <w:pStyle w:val="TableParagraph"/>
              <w:adjustRightInd/>
              <w:jc w:val="center"/>
              <w:rPr>
                <w:rFonts w:ascii="Times New Roman" w:hAnsi="Times New Roman"/>
                <w:w w:val="99"/>
                <w:sz w:val="21"/>
                <w:szCs w:val="21"/>
              </w:rPr>
            </w:pPr>
          </w:p>
        </w:tc>
        <w:tc>
          <w:tcPr>
            <w:tcW w:w="2309" w:type="dxa"/>
            <w:vAlign w:val="center"/>
          </w:tcPr>
          <w:p w14:paraId="39C8E470" w14:textId="77777777" w:rsidR="007D1E74" w:rsidRDefault="00A95641">
            <w:pPr>
              <w:pStyle w:val="TableParagraph"/>
              <w:adjustRightInd/>
              <w:jc w:val="center"/>
              <w:rPr>
                <w:rFonts w:ascii="Times New Roman" w:hAnsi="Times New Roman"/>
                <w:sz w:val="21"/>
                <w:szCs w:val="21"/>
              </w:rPr>
            </w:pPr>
            <w:r>
              <w:rPr>
                <w:rFonts w:ascii="Times New Roman" w:hAnsi="Times New Roman"/>
                <w:b/>
                <w:bCs/>
                <w:sz w:val="21"/>
                <w:szCs w:val="21"/>
              </w:rPr>
              <w:t>管道名称</w:t>
            </w:r>
          </w:p>
        </w:tc>
        <w:tc>
          <w:tcPr>
            <w:tcW w:w="6219" w:type="dxa"/>
            <w:vAlign w:val="center"/>
          </w:tcPr>
          <w:p w14:paraId="6AF0709B" w14:textId="77777777" w:rsidR="007D1E74" w:rsidRDefault="00A95641">
            <w:pPr>
              <w:pStyle w:val="TableParagraph"/>
              <w:adjustRightInd/>
              <w:jc w:val="center"/>
              <w:rPr>
                <w:rFonts w:ascii="Times New Roman" w:hAnsi="Times New Roman"/>
                <w:sz w:val="21"/>
                <w:szCs w:val="21"/>
              </w:rPr>
            </w:pPr>
            <w:r>
              <w:rPr>
                <w:rFonts w:ascii="Times New Roman" w:hAnsi="Times New Roman"/>
                <w:b/>
                <w:bCs/>
                <w:sz w:val="21"/>
                <w:szCs w:val="21"/>
              </w:rPr>
              <w:t>马</w:t>
            </w:r>
            <w:r>
              <w:rPr>
                <w:rFonts w:ascii="Times New Roman" w:hAnsi="Times New Roman"/>
                <w:b/>
                <w:bCs/>
                <w:sz w:val="21"/>
                <w:szCs w:val="21"/>
              </w:rPr>
              <w:t>1-11</w:t>
            </w:r>
            <w:r>
              <w:rPr>
                <w:rFonts w:ascii="Times New Roman" w:hAnsi="Times New Roman"/>
                <w:b/>
                <w:bCs/>
                <w:sz w:val="21"/>
                <w:szCs w:val="21"/>
              </w:rPr>
              <w:t>脱水井场至</w:t>
            </w:r>
            <w:r>
              <w:rPr>
                <w:rFonts w:ascii="Times New Roman" w:hAnsi="Times New Roman"/>
                <w:b/>
                <w:bCs/>
                <w:sz w:val="21"/>
                <w:szCs w:val="21"/>
              </w:rPr>
              <w:t>4#</w:t>
            </w:r>
            <w:r>
              <w:rPr>
                <w:rFonts w:ascii="Times New Roman" w:hAnsi="Times New Roman"/>
                <w:b/>
                <w:bCs/>
                <w:sz w:val="21"/>
                <w:szCs w:val="21"/>
              </w:rPr>
              <w:t>清管阀组集输干线</w:t>
            </w:r>
          </w:p>
        </w:tc>
      </w:tr>
      <w:tr w:rsidR="007D1E74" w14:paraId="77847E93" w14:textId="77777777">
        <w:trPr>
          <w:trHeight w:val="260"/>
        </w:trPr>
        <w:tc>
          <w:tcPr>
            <w:tcW w:w="600" w:type="dxa"/>
          </w:tcPr>
          <w:p w14:paraId="5E219A95"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b/>
                <w:bCs/>
                <w:w w:val="99"/>
                <w:sz w:val="21"/>
                <w:szCs w:val="21"/>
              </w:rPr>
              <w:t>1</w:t>
            </w:r>
          </w:p>
        </w:tc>
        <w:tc>
          <w:tcPr>
            <w:tcW w:w="2309" w:type="dxa"/>
            <w:vAlign w:val="center"/>
          </w:tcPr>
          <w:p w14:paraId="4A34241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长度（</w:t>
            </w:r>
            <w:r>
              <w:rPr>
                <w:rFonts w:ascii="Times New Roman" w:hAnsi="Times New Roman"/>
                <w:sz w:val="21"/>
                <w:szCs w:val="21"/>
              </w:rPr>
              <w:t>km</w:t>
            </w:r>
            <w:r>
              <w:rPr>
                <w:rFonts w:ascii="Times New Roman" w:hAnsi="Times New Roman"/>
                <w:sz w:val="21"/>
                <w:szCs w:val="21"/>
              </w:rPr>
              <w:t>）</w:t>
            </w:r>
          </w:p>
        </w:tc>
        <w:tc>
          <w:tcPr>
            <w:tcW w:w="6219" w:type="dxa"/>
            <w:vAlign w:val="center"/>
          </w:tcPr>
          <w:p w14:paraId="4D5957A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7.1</w:t>
            </w:r>
          </w:p>
        </w:tc>
      </w:tr>
      <w:tr w:rsidR="007D1E74" w14:paraId="607759D9" w14:textId="77777777">
        <w:trPr>
          <w:trHeight w:val="260"/>
        </w:trPr>
        <w:tc>
          <w:tcPr>
            <w:tcW w:w="600" w:type="dxa"/>
          </w:tcPr>
          <w:p w14:paraId="30F8D699"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2</w:t>
            </w:r>
          </w:p>
        </w:tc>
        <w:tc>
          <w:tcPr>
            <w:tcW w:w="2309" w:type="dxa"/>
            <w:vAlign w:val="center"/>
          </w:tcPr>
          <w:p w14:paraId="554D758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管径（</w:t>
            </w:r>
            <w:r>
              <w:rPr>
                <w:rFonts w:ascii="Times New Roman" w:hAnsi="Times New Roman"/>
                <w:sz w:val="21"/>
                <w:szCs w:val="21"/>
              </w:rPr>
              <w:t>mm</w:t>
            </w:r>
            <w:r>
              <w:rPr>
                <w:rFonts w:ascii="Times New Roman" w:hAnsi="Times New Roman"/>
                <w:sz w:val="21"/>
                <w:szCs w:val="21"/>
              </w:rPr>
              <w:t>）</w:t>
            </w:r>
          </w:p>
        </w:tc>
        <w:tc>
          <w:tcPr>
            <w:tcW w:w="6219" w:type="dxa"/>
            <w:vAlign w:val="center"/>
          </w:tcPr>
          <w:p w14:paraId="17A2ED53"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DN300</w:t>
            </w:r>
          </w:p>
        </w:tc>
      </w:tr>
      <w:tr w:rsidR="007D1E74" w14:paraId="70B9AF32" w14:textId="77777777">
        <w:trPr>
          <w:trHeight w:val="260"/>
        </w:trPr>
        <w:tc>
          <w:tcPr>
            <w:tcW w:w="600" w:type="dxa"/>
          </w:tcPr>
          <w:p w14:paraId="5DBECBB9"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3</w:t>
            </w:r>
          </w:p>
        </w:tc>
        <w:tc>
          <w:tcPr>
            <w:tcW w:w="2309" w:type="dxa"/>
            <w:vAlign w:val="center"/>
          </w:tcPr>
          <w:p w14:paraId="7B9A55A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输气量</w:t>
            </w:r>
          </w:p>
        </w:tc>
        <w:tc>
          <w:tcPr>
            <w:tcW w:w="6219" w:type="dxa"/>
            <w:vAlign w:val="center"/>
          </w:tcPr>
          <w:p w14:paraId="6AD461D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150×10</w:t>
            </w:r>
            <w:r>
              <w:rPr>
                <w:rFonts w:ascii="Times New Roman" w:hAnsi="Times New Roman"/>
                <w:sz w:val="21"/>
                <w:szCs w:val="21"/>
                <w:vertAlign w:val="superscript"/>
              </w:rPr>
              <w:t xml:space="preserve">4  </w:t>
            </w:r>
            <w:r>
              <w:rPr>
                <w:rFonts w:ascii="Times New Roman" w:hAnsi="Times New Roman"/>
                <w:sz w:val="21"/>
                <w:szCs w:val="21"/>
              </w:rPr>
              <w:t>m</w:t>
            </w:r>
            <w:r>
              <w:rPr>
                <w:rFonts w:ascii="Times New Roman" w:hAnsi="Times New Roman"/>
                <w:sz w:val="21"/>
                <w:szCs w:val="21"/>
                <w:vertAlign w:val="superscript"/>
              </w:rPr>
              <w:t>3</w:t>
            </w:r>
            <w:r>
              <w:rPr>
                <w:rFonts w:ascii="Times New Roman" w:hAnsi="Times New Roman"/>
                <w:sz w:val="21"/>
                <w:szCs w:val="21"/>
              </w:rPr>
              <w:t>/d</w:t>
            </w:r>
          </w:p>
        </w:tc>
      </w:tr>
      <w:tr w:rsidR="007D1E74" w14:paraId="63833BA9" w14:textId="77777777">
        <w:trPr>
          <w:trHeight w:val="260"/>
        </w:trPr>
        <w:tc>
          <w:tcPr>
            <w:tcW w:w="600" w:type="dxa"/>
          </w:tcPr>
          <w:p w14:paraId="1E82FF63"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4</w:t>
            </w:r>
          </w:p>
        </w:tc>
        <w:tc>
          <w:tcPr>
            <w:tcW w:w="2309" w:type="dxa"/>
            <w:vAlign w:val="center"/>
          </w:tcPr>
          <w:p w14:paraId="228C33E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设计压力（</w:t>
            </w:r>
            <w:r>
              <w:rPr>
                <w:rFonts w:ascii="Times New Roman" w:hAnsi="Times New Roman"/>
                <w:sz w:val="21"/>
                <w:szCs w:val="21"/>
              </w:rPr>
              <w:t>MPa</w:t>
            </w:r>
            <w:r>
              <w:rPr>
                <w:rFonts w:ascii="Times New Roman" w:hAnsi="Times New Roman"/>
                <w:sz w:val="21"/>
                <w:szCs w:val="21"/>
              </w:rPr>
              <w:t>）</w:t>
            </w:r>
          </w:p>
        </w:tc>
        <w:tc>
          <w:tcPr>
            <w:tcW w:w="6219" w:type="dxa"/>
            <w:vAlign w:val="center"/>
          </w:tcPr>
          <w:p w14:paraId="77B12FC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6.3MPa</w:t>
            </w:r>
          </w:p>
        </w:tc>
      </w:tr>
      <w:tr w:rsidR="007D1E74" w14:paraId="29BB8EEE" w14:textId="77777777">
        <w:trPr>
          <w:trHeight w:val="260"/>
        </w:trPr>
        <w:tc>
          <w:tcPr>
            <w:tcW w:w="600" w:type="dxa"/>
          </w:tcPr>
          <w:p w14:paraId="3C94B629"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5</w:t>
            </w:r>
          </w:p>
        </w:tc>
        <w:tc>
          <w:tcPr>
            <w:tcW w:w="2309" w:type="dxa"/>
            <w:vAlign w:val="center"/>
          </w:tcPr>
          <w:p w14:paraId="301D0EB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年工作天数</w:t>
            </w:r>
          </w:p>
        </w:tc>
        <w:tc>
          <w:tcPr>
            <w:tcW w:w="6219" w:type="dxa"/>
            <w:vAlign w:val="center"/>
          </w:tcPr>
          <w:p w14:paraId="65CAA22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 xml:space="preserve">350 </w:t>
            </w:r>
            <w:r>
              <w:rPr>
                <w:rFonts w:ascii="Times New Roman" w:hAnsi="Times New Roman"/>
                <w:sz w:val="21"/>
                <w:szCs w:val="21"/>
              </w:rPr>
              <w:t>天</w:t>
            </w:r>
          </w:p>
        </w:tc>
      </w:tr>
      <w:tr w:rsidR="007D1E74" w14:paraId="5B8739B8" w14:textId="77777777">
        <w:trPr>
          <w:trHeight w:val="260"/>
        </w:trPr>
        <w:tc>
          <w:tcPr>
            <w:tcW w:w="600" w:type="dxa"/>
          </w:tcPr>
          <w:p w14:paraId="1B67155B"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6</w:t>
            </w:r>
          </w:p>
        </w:tc>
        <w:tc>
          <w:tcPr>
            <w:tcW w:w="2309" w:type="dxa"/>
            <w:vAlign w:val="center"/>
          </w:tcPr>
          <w:p w14:paraId="5CAB162E"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管道防腐</w:t>
            </w:r>
          </w:p>
        </w:tc>
        <w:tc>
          <w:tcPr>
            <w:tcW w:w="6219" w:type="dxa"/>
            <w:vAlign w:val="center"/>
          </w:tcPr>
          <w:p w14:paraId="2A7EBF8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外防腐层采用常温型加强级三层</w:t>
            </w:r>
            <w:r>
              <w:rPr>
                <w:rFonts w:ascii="Times New Roman" w:hAnsi="Times New Roman"/>
                <w:sz w:val="21"/>
                <w:szCs w:val="21"/>
              </w:rPr>
              <w:t>PE</w:t>
            </w:r>
            <w:r>
              <w:rPr>
                <w:rFonts w:ascii="Times New Roman" w:hAnsi="Times New Roman"/>
                <w:sz w:val="21"/>
                <w:szCs w:val="21"/>
              </w:rPr>
              <w:t>防腐层</w:t>
            </w:r>
          </w:p>
        </w:tc>
      </w:tr>
      <w:tr w:rsidR="007D1E74" w14:paraId="0BF883CD" w14:textId="77777777">
        <w:trPr>
          <w:trHeight w:val="260"/>
        </w:trPr>
        <w:tc>
          <w:tcPr>
            <w:tcW w:w="600" w:type="dxa"/>
          </w:tcPr>
          <w:p w14:paraId="6DBE3C34"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7</w:t>
            </w:r>
          </w:p>
        </w:tc>
        <w:tc>
          <w:tcPr>
            <w:tcW w:w="2309" w:type="dxa"/>
            <w:vAlign w:val="center"/>
          </w:tcPr>
          <w:p w14:paraId="36189A7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用管规格</w:t>
            </w:r>
          </w:p>
        </w:tc>
        <w:tc>
          <w:tcPr>
            <w:tcW w:w="6219" w:type="dxa"/>
            <w:vAlign w:val="center"/>
          </w:tcPr>
          <w:p w14:paraId="68EA9F9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无缝钢管</w:t>
            </w:r>
            <w:r>
              <w:rPr>
                <w:rFonts w:ascii="Times New Roman" w:hAnsi="Times New Roman"/>
                <w:sz w:val="21"/>
                <w:szCs w:val="21"/>
              </w:rPr>
              <w:t xml:space="preserve"> D323.9×8 L360N</w:t>
            </w:r>
          </w:p>
        </w:tc>
      </w:tr>
      <w:tr w:rsidR="007D1E74" w14:paraId="311B108B" w14:textId="77777777">
        <w:trPr>
          <w:trHeight w:val="260"/>
        </w:trPr>
        <w:tc>
          <w:tcPr>
            <w:tcW w:w="600" w:type="dxa"/>
          </w:tcPr>
          <w:p w14:paraId="57E50831" w14:textId="77777777" w:rsidR="007D1E74" w:rsidRDefault="007D1E74">
            <w:pPr>
              <w:pStyle w:val="TableParagraph"/>
              <w:adjustRightInd/>
              <w:jc w:val="center"/>
              <w:rPr>
                <w:rFonts w:ascii="Times New Roman" w:hAnsi="Times New Roman"/>
                <w:w w:val="99"/>
                <w:sz w:val="21"/>
                <w:szCs w:val="21"/>
              </w:rPr>
            </w:pPr>
          </w:p>
        </w:tc>
        <w:tc>
          <w:tcPr>
            <w:tcW w:w="2309" w:type="dxa"/>
            <w:vAlign w:val="center"/>
          </w:tcPr>
          <w:p w14:paraId="08782CE6" w14:textId="77777777" w:rsidR="007D1E74" w:rsidRDefault="00A95641">
            <w:pPr>
              <w:pStyle w:val="TableParagraph"/>
              <w:adjustRightInd/>
              <w:jc w:val="center"/>
              <w:rPr>
                <w:rFonts w:ascii="Times New Roman" w:hAnsi="Times New Roman"/>
                <w:sz w:val="21"/>
                <w:szCs w:val="21"/>
              </w:rPr>
            </w:pPr>
            <w:r>
              <w:rPr>
                <w:rFonts w:ascii="Times New Roman" w:hAnsi="Times New Roman"/>
                <w:b/>
                <w:bCs/>
                <w:sz w:val="21"/>
                <w:szCs w:val="21"/>
              </w:rPr>
              <w:t>管道名称</w:t>
            </w:r>
          </w:p>
        </w:tc>
        <w:tc>
          <w:tcPr>
            <w:tcW w:w="6219" w:type="dxa"/>
            <w:vAlign w:val="center"/>
          </w:tcPr>
          <w:p w14:paraId="055F3904" w14:textId="77777777" w:rsidR="007D1E74" w:rsidRDefault="00A95641">
            <w:pPr>
              <w:pStyle w:val="TableParagraph"/>
              <w:adjustRightInd/>
              <w:jc w:val="center"/>
              <w:rPr>
                <w:rFonts w:ascii="Times New Roman" w:hAnsi="Times New Roman"/>
                <w:sz w:val="21"/>
                <w:szCs w:val="21"/>
              </w:rPr>
            </w:pPr>
            <w:r>
              <w:rPr>
                <w:rFonts w:ascii="Times New Roman" w:hAnsi="Times New Roman"/>
                <w:b/>
                <w:bCs/>
                <w:sz w:val="21"/>
                <w:szCs w:val="21"/>
              </w:rPr>
              <w:t>4#</w:t>
            </w:r>
            <w:r>
              <w:rPr>
                <w:rFonts w:ascii="Times New Roman" w:hAnsi="Times New Roman"/>
                <w:b/>
                <w:bCs/>
                <w:sz w:val="21"/>
                <w:szCs w:val="21"/>
              </w:rPr>
              <w:t>清管阀组至草池增压站集输干线</w:t>
            </w:r>
          </w:p>
        </w:tc>
      </w:tr>
      <w:tr w:rsidR="007D1E74" w14:paraId="266BB0F5" w14:textId="77777777">
        <w:trPr>
          <w:trHeight w:val="260"/>
        </w:trPr>
        <w:tc>
          <w:tcPr>
            <w:tcW w:w="600" w:type="dxa"/>
          </w:tcPr>
          <w:p w14:paraId="76565FE9"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b/>
                <w:bCs/>
                <w:w w:val="99"/>
                <w:sz w:val="21"/>
                <w:szCs w:val="21"/>
              </w:rPr>
              <w:t>1</w:t>
            </w:r>
          </w:p>
        </w:tc>
        <w:tc>
          <w:tcPr>
            <w:tcW w:w="2309" w:type="dxa"/>
            <w:vAlign w:val="center"/>
          </w:tcPr>
          <w:p w14:paraId="6AAA6F6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长度（</w:t>
            </w:r>
            <w:r>
              <w:rPr>
                <w:rFonts w:ascii="Times New Roman" w:hAnsi="Times New Roman"/>
                <w:sz w:val="21"/>
                <w:szCs w:val="21"/>
              </w:rPr>
              <w:t>km</w:t>
            </w:r>
            <w:r>
              <w:rPr>
                <w:rFonts w:ascii="Times New Roman" w:hAnsi="Times New Roman"/>
                <w:sz w:val="21"/>
                <w:szCs w:val="21"/>
              </w:rPr>
              <w:t>）</w:t>
            </w:r>
          </w:p>
        </w:tc>
        <w:tc>
          <w:tcPr>
            <w:tcW w:w="6219" w:type="dxa"/>
            <w:vAlign w:val="center"/>
          </w:tcPr>
          <w:p w14:paraId="27814CC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14.3</w:t>
            </w:r>
          </w:p>
        </w:tc>
      </w:tr>
      <w:tr w:rsidR="007D1E74" w14:paraId="2628D5AF" w14:textId="77777777">
        <w:trPr>
          <w:trHeight w:val="260"/>
        </w:trPr>
        <w:tc>
          <w:tcPr>
            <w:tcW w:w="600" w:type="dxa"/>
          </w:tcPr>
          <w:p w14:paraId="0C707D1A"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2</w:t>
            </w:r>
          </w:p>
        </w:tc>
        <w:tc>
          <w:tcPr>
            <w:tcW w:w="2309" w:type="dxa"/>
            <w:vAlign w:val="center"/>
          </w:tcPr>
          <w:p w14:paraId="527BF69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管径（</w:t>
            </w:r>
            <w:r>
              <w:rPr>
                <w:rFonts w:ascii="Times New Roman" w:hAnsi="Times New Roman"/>
                <w:sz w:val="21"/>
                <w:szCs w:val="21"/>
              </w:rPr>
              <w:t>mm</w:t>
            </w:r>
            <w:r>
              <w:rPr>
                <w:rFonts w:ascii="Times New Roman" w:hAnsi="Times New Roman"/>
                <w:sz w:val="21"/>
                <w:szCs w:val="21"/>
              </w:rPr>
              <w:t>）</w:t>
            </w:r>
          </w:p>
        </w:tc>
        <w:tc>
          <w:tcPr>
            <w:tcW w:w="6219" w:type="dxa"/>
            <w:vAlign w:val="center"/>
          </w:tcPr>
          <w:p w14:paraId="78B07FEE"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DN350</w:t>
            </w:r>
          </w:p>
        </w:tc>
      </w:tr>
      <w:tr w:rsidR="007D1E74" w14:paraId="7876415F" w14:textId="77777777">
        <w:trPr>
          <w:trHeight w:val="260"/>
        </w:trPr>
        <w:tc>
          <w:tcPr>
            <w:tcW w:w="600" w:type="dxa"/>
          </w:tcPr>
          <w:p w14:paraId="079A56BF"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3</w:t>
            </w:r>
          </w:p>
        </w:tc>
        <w:tc>
          <w:tcPr>
            <w:tcW w:w="2309" w:type="dxa"/>
            <w:vAlign w:val="center"/>
          </w:tcPr>
          <w:p w14:paraId="46FE8B6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输气量</w:t>
            </w:r>
          </w:p>
        </w:tc>
        <w:tc>
          <w:tcPr>
            <w:tcW w:w="6219" w:type="dxa"/>
            <w:vAlign w:val="center"/>
          </w:tcPr>
          <w:p w14:paraId="2E36696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150×10</w:t>
            </w:r>
            <w:r>
              <w:rPr>
                <w:rFonts w:ascii="Times New Roman" w:hAnsi="Times New Roman"/>
                <w:sz w:val="21"/>
                <w:szCs w:val="21"/>
                <w:vertAlign w:val="superscript"/>
              </w:rPr>
              <w:t xml:space="preserve">4  </w:t>
            </w:r>
            <w:r>
              <w:rPr>
                <w:rFonts w:ascii="Times New Roman" w:hAnsi="Times New Roman"/>
                <w:sz w:val="21"/>
                <w:szCs w:val="21"/>
              </w:rPr>
              <w:t>m</w:t>
            </w:r>
            <w:r>
              <w:rPr>
                <w:rFonts w:ascii="Times New Roman" w:hAnsi="Times New Roman"/>
                <w:sz w:val="21"/>
                <w:szCs w:val="21"/>
                <w:vertAlign w:val="superscript"/>
              </w:rPr>
              <w:t>3</w:t>
            </w:r>
            <w:r>
              <w:rPr>
                <w:rFonts w:ascii="Times New Roman" w:hAnsi="Times New Roman"/>
                <w:sz w:val="21"/>
                <w:szCs w:val="21"/>
              </w:rPr>
              <w:t>/d</w:t>
            </w:r>
          </w:p>
        </w:tc>
      </w:tr>
      <w:tr w:rsidR="007D1E74" w14:paraId="24923C51" w14:textId="77777777">
        <w:trPr>
          <w:trHeight w:val="260"/>
        </w:trPr>
        <w:tc>
          <w:tcPr>
            <w:tcW w:w="600" w:type="dxa"/>
          </w:tcPr>
          <w:p w14:paraId="6BB6D91D"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4</w:t>
            </w:r>
          </w:p>
        </w:tc>
        <w:tc>
          <w:tcPr>
            <w:tcW w:w="2309" w:type="dxa"/>
            <w:vAlign w:val="center"/>
          </w:tcPr>
          <w:p w14:paraId="60B41443"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设计压力（</w:t>
            </w:r>
            <w:r>
              <w:rPr>
                <w:rFonts w:ascii="Times New Roman" w:hAnsi="Times New Roman"/>
                <w:sz w:val="21"/>
                <w:szCs w:val="21"/>
              </w:rPr>
              <w:t>MPa</w:t>
            </w:r>
            <w:r>
              <w:rPr>
                <w:rFonts w:ascii="Times New Roman" w:hAnsi="Times New Roman"/>
                <w:sz w:val="21"/>
                <w:szCs w:val="21"/>
              </w:rPr>
              <w:t>）</w:t>
            </w:r>
          </w:p>
        </w:tc>
        <w:tc>
          <w:tcPr>
            <w:tcW w:w="6219" w:type="dxa"/>
            <w:vAlign w:val="center"/>
          </w:tcPr>
          <w:p w14:paraId="777A296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6.3MPa</w:t>
            </w:r>
          </w:p>
        </w:tc>
      </w:tr>
      <w:tr w:rsidR="007D1E74" w14:paraId="3935BE80" w14:textId="77777777">
        <w:trPr>
          <w:trHeight w:val="260"/>
        </w:trPr>
        <w:tc>
          <w:tcPr>
            <w:tcW w:w="600" w:type="dxa"/>
          </w:tcPr>
          <w:p w14:paraId="1920AD65"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5</w:t>
            </w:r>
          </w:p>
        </w:tc>
        <w:tc>
          <w:tcPr>
            <w:tcW w:w="2309" w:type="dxa"/>
            <w:vAlign w:val="center"/>
          </w:tcPr>
          <w:p w14:paraId="15A8B77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年工作天数</w:t>
            </w:r>
          </w:p>
        </w:tc>
        <w:tc>
          <w:tcPr>
            <w:tcW w:w="6219" w:type="dxa"/>
            <w:vAlign w:val="center"/>
          </w:tcPr>
          <w:p w14:paraId="0493E7F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 xml:space="preserve">350 </w:t>
            </w:r>
            <w:r>
              <w:rPr>
                <w:rFonts w:ascii="Times New Roman" w:hAnsi="Times New Roman"/>
                <w:sz w:val="21"/>
                <w:szCs w:val="21"/>
              </w:rPr>
              <w:t>天</w:t>
            </w:r>
          </w:p>
        </w:tc>
      </w:tr>
      <w:tr w:rsidR="007D1E74" w14:paraId="7AF56496" w14:textId="77777777">
        <w:trPr>
          <w:trHeight w:val="260"/>
        </w:trPr>
        <w:tc>
          <w:tcPr>
            <w:tcW w:w="600" w:type="dxa"/>
          </w:tcPr>
          <w:p w14:paraId="5DDA05F2"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6</w:t>
            </w:r>
          </w:p>
        </w:tc>
        <w:tc>
          <w:tcPr>
            <w:tcW w:w="2309" w:type="dxa"/>
            <w:vAlign w:val="center"/>
          </w:tcPr>
          <w:p w14:paraId="1022FFC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管道防腐</w:t>
            </w:r>
          </w:p>
        </w:tc>
        <w:tc>
          <w:tcPr>
            <w:tcW w:w="6219" w:type="dxa"/>
            <w:vAlign w:val="center"/>
          </w:tcPr>
          <w:p w14:paraId="29BAB66E"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外防腐层采用常温型加强级三层</w:t>
            </w:r>
            <w:r>
              <w:rPr>
                <w:rFonts w:ascii="Times New Roman" w:hAnsi="Times New Roman"/>
                <w:sz w:val="21"/>
                <w:szCs w:val="21"/>
              </w:rPr>
              <w:t>PE</w:t>
            </w:r>
            <w:r>
              <w:rPr>
                <w:rFonts w:ascii="Times New Roman" w:hAnsi="Times New Roman"/>
                <w:sz w:val="21"/>
                <w:szCs w:val="21"/>
              </w:rPr>
              <w:t>防腐层</w:t>
            </w:r>
          </w:p>
        </w:tc>
      </w:tr>
      <w:tr w:rsidR="007D1E74" w14:paraId="092AF60D" w14:textId="77777777">
        <w:trPr>
          <w:trHeight w:val="260"/>
        </w:trPr>
        <w:tc>
          <w:tcPr>
            <w:tcW w:w="600" w:type="dxa"/>
          </w:tcPr>
          <w:p w14:paraId="3320CB66"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7</w:t>
            </w:r>
          </w:p>
        </w:tc>
        <w:tc>
          <w:tcPr>
            <w:tcW w:w="2309" w:type="dxa"/>
            <w:vAlign w:val="center"/>
          </w:tcPr>
          <w:p w14:paraId="0C27DA1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用管规格</w:t>
            </w:r>
          </w:p>
        </w:tc>
        <w:tc>
          <w:tcPr>
            <w:tcW w:w="6219" w:type="dxa"/>
            <w:vAlign w:val="center"/>
          </w:tcPr>
          <w:p w14:paraId="6FE6ED4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螺旋缝埋弧焊钢管</w:t>
            </w:r>
            <w:r>
              <w:rPr>
                <w:rFonts w:ascii="Times New Roman" w:hAnsi="Times New Roman"/>
                <w:sz w:val="21"/>
                <w:szCs w:val="21"/>
              </w:rPr>
              <w:t xml:space="preserve"> D355.6×10 L360M</w:t>
            </w:r>
          </w:p>
        </w:tc>
      </w:tr>
    </w:tbl>
    <w:p w14:paraId="502DF80F" w14:textId="77777777" w:rsidR="007D1E74" w:rsidRDefault="00A95641">
      <w:pPr>
        <w:spacing w:line="360" w:lineRule="auto"/>
        <w:outlineLvl w:val="2"/>
        <w:rPr>
          <w:b/>
          <w:sz w:val="28"/>
          <w:szCs w:val="28"/>
        </w:rPr>
      </w:pPr>
      <w:r>
        <w:rPr>
          <w:b/>
          <w:sz w:val="28"/>
          <w:szCs w:val="28"/>
        </w:rPr>
        <w:t>3.1.4</w:t>
      </w:r>
      <w:r>
        <w:rPr>
          <w:b/>
          <w:sz w:val="28"/>
          <w:szCs w:val="28"/>
        </w:rPr>
        <w:t>线路工程</w:t>
      </w:r>
    </w:p>
    <w:p w14:paraId="0E923F27" w14:textId="77777777" w:rsidR="007D1E74" w:rsidRDefault="00A95641">
      <w:pPr>
        <w:pStyle w:val="41"/>
        <w:tabs>
          <w:tab w:val="left" w:pos="860"/>
        </w:tabs>
        <w:spacing w:line="360" w:lineRule="auto"/>
        <w:jc w:val="left"/>
        <w:rPr>
          <w:rFonts w:ascii="Times New Roman" w:hAnsi="Times New Roman"/>
          <w:sz w:val="24"/>
          <w:szCs w:val="24"/>
        </w:rPr>
      </w:pPr>
      <w:r>
        <w:rPr>
          <w:rFonts w:ascii="Times New Roman" w:hAnsi="Times New Roman"/>
          <w:sz w:val="24"/>
          <w:szCs w:val="24"/>
        </w:rPr>
        <w:t>3.1.4.1</w:t>
      </w:r>
      <w:r>
        <w:rPr>
          <w:rFonts w:ascii="Times New Roman" w:hAnsi="Times New Roman"/>
          <w:sz w:val="24"/>
          <w:szCs w:val="24"/>
        </w:rPr>
        <w:t>管道路由</w:t>
      </w:r>
    </w:p>
    <w:p w14:paraId="1B8D7DA2" w14:textId="77777777" w:rsidR="007D1E74" w:rsidRDefault="00A95641">
      <w:pPr>
        <w:spacing w:line="360" w:lineRule="auto"/>
        <w:ind w:firstLineChars="200" w:firstLine="480"/>
        <w:rPr>
          <w:sz w:val="24"/>
        </w:rPr>
      </w:pPr>
      <w:r>
        <w:rPr>
          <w:sz w:val="24"/>
        </w:rPr>
        <w:t>1</w:t>
      </w:r>
      <w:r>
        <w:rPr>
          <w:sz w:val="24"/>
        </w:rPr>
        <w:t>、线路总体走向</w:t>
      </w:r>
    </w:p>
    <w:p w14:paraId="1E1967C0" w14:textId="77777777" w:rsidR="007D1E74" w:rsidRDefault="00A95641">
      <w:pPr>
        <w:spacing w:line="360" w:lineRule="auto"/>
        <w:ind w:firstLineChars="200" w:firstLine="480"/>
        <w:rPr>
          <w:sz w:val="24"/>
        </w:rPr>
      </w:pPr>
      <w:r>
        <w:rPr>
          <w:sz w:val="24"/>
        </w:rPr>
        <w:t>输气线路走向见下表。</w:t>
      </w:r>
    </w:p>
    <w:p w14:paraId="4FADF78E" w14:textId="77777777" w:rsidR="007D1E74" w:rsidRDefault="00A95641">
      <w:pPr>
        <w:tabs>
          <w:tab w:val="left" w:pos="4016"/>
        </w:tabs>
        <w:spacing w:before="101" w:after="21"/>
        <w:ind w:left="3051"/>
        <w:jc w:val="left"/>
        <w:rPr>
          <w:b/>
        </w:rPr>
      </w:pPr>
      <w:r>
        <w:rPr>
          <w:b/>
        </w:rPr>
        <w:lastRenderedPageBreak/>
        <w:t>表</w:t>
      </w:r>
      <w:r>
        <w:rPr>
          <w:b/>
        </w:rPr>
        <w:t>3.1-8</w:t>
      </w:r>
      <w:r>
        <w:rPr>
          <w:b/>
        </w:rPr>
        <w:tab/>
      </w:r>
      <w:r>
        <w:rPr>
          <w:b/>
        </w:rPr>
        <w:t>集输管线基本</w:t>
      </w:r>
      <w:r>
        <w:rPr>
          <w:b/>
          <w:spacing w:val="-3"/>
        </w:rPr>
        <w:t>情</w:t>
      </w:r>
      <w:r>
        <w:rPr>
          <w:b/>
        </w:rPr>
        <w:t>况一览表</w:t>
      </w:r>
    </w:p>
    <w:tbl>
      <w:tblPr>
        <w:tblW w:w="4900" w:type="pct"/>
        <w:tblInd w:w="1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9"/>
        <w:gridCol w:w="2202"/>
        <w:gridCol w:w="6055"/>
      </w:tblGrid>
      <w:tr w:rsidR="007D1E74" w14:paraId="66780540" w14:textId="77777777">
        <w:trPr>
          <w:trHeight w:val="90"/>
        </w:trPr>
        <w:tc>
          <w:tcPr>
            <w:tcW w:w="582" w:type="dxa"/>
            <w:vAlign w:val="center"/>
          </w:tcPr>
          <w:p w14:paraId="5FFEF56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序号</w:t>
            </w:r>
          </w:p>
        </w:tc>
        <w:tc>
          <w:tcPr>
            <w:tcW w:w="2215" w:type="dxa"/>
            <w:vAlign w:val="center"/>
          </w:tcPr>
          <w:p w14:paraId="5318483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项目名称</w:t>
            </w:r>
          </w:p>
        </w:tc>
        <w:tc>
          <w:tcPr>
            <w:tcW w:w="6092" w:type="dxa"/>
            <w:vAlign w:val="center"/>
          </w:tcPr>
          <w:p w14:paraId="6596D50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管道走向</w:t>
            </w:r>
          </w:p>
        </w:tc>
      </w:tr>
      <w:tr w:rsidR="007D1E74" w14:paraId="5D0B47A7" w14:textId="77777777">
        <w:trPr>
          <w:trHeight w:val="397"/>
        </w:trPr>
        <w:tc>
          <w:tcPr>
            <w:tcW w:w="582" w:type="dxa"/>
            <w:vAlign w:val="center"/>
          </w:tcPr>
          <w:p w14:paraId="256E4490"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1</w:t>
            </w:r>
          </w:p>
        </w:tc>
        <w:tc>
          <w:tcPr>
            <w:tcW w:w="2215" w:type="dxa"/>
            <w:vAlign w:val="center"/>
          </w:tcPr>
          <w:p w14:paraId="124919C3"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w:t>
            </w:r>
            <w:r>
              <w:rPr>
                <w:rFonts w:ascii="Times New Roman" w:hAnsi="Times New Roman"/>
                <w:sz w:val="21"/>
                <w:szCs w:val="21"/>
              </w:rPr>
              <w:t>阀室至天然气脱水增压站集气干线</w:t>
            </w:r>
          </w:p>
        </w:tc>
        <w:tc>
          <w:tcPr>
            <w:tcW w:w="6092" w:type="dxa"/>
            <w:vAlign w:val="center"/>
          </w:tcPr>
          <w:p w14:paraId="196E1254" w14:textId="77777777" w:rsidR="007D1E74" w:rsidRDefault="00A95641">
            <w:pPr>
              <w:pStyle w:val="TableParagraph"/>
              <w:jc w:val="center"/>
              <w:rPr>
                <w:rFonts w:ascii="Times New Roman" w:hAnsi="Times New Roman"/>
                <w:sz w:val="21"/>
                <w:szCs w:val="21"/>
              </w:rPr>
            </w:pPr>
            <w:r>
              <w:rPr>
                <w:rFonts w:ascii="Times New Roman" w:hAnsi="Times New Roman"/>
                <w:sz w:val="21"/>
                <w:szCs w:val="21"/>
              </w:rPr>
              <w:t>线路起点的</w:t>
            </w:r>
            <w:r>
              <w:rPr>
                <w:rFonts w:ascii="Times New Roman" w:hAnsi="Times New Roman"/>
                <w:sz w:val="21"/>
                <w:szCs w:val="21"/>
              </w:rPr>
              <w:t xml:space="preserve"> 1#</w:t>
            </w:r>
            <w:r>
              <w:rPr>
                <w:rFonts w:ascii="Times New Roman" w:hAnsi="Times New Roman"/>
                <w:sz w:val="21"/>
                <w:szCs w:val="21"/>
              </w:rPr>
              <w:t>阀室位于巴中市通江县青峪镇，线路向西敷设约</w:t>
            </w:r>
            <w:r>
              <w:rPr>
                <w:rFonts w:ascii="Times New Roman" w:hAnsi="Times New Roman"/>
                <w:sz w:val="21"/>
                <w:szCs w:val="21"/>
              </w:rPr>
              <w:t xml:space="preserve"> 2km </w:t>
            </w:r>
            <w:r>
              <w:rPr>
                <w:rFonts w:ascii="Times New Roman" w:hAnsi="Times New Roman"/>
                <w:sz w:val="21"/>
                <w:szCs w:val="21"/>
              </w:rPr>
              <w:t>后，转而沿小通江东岸向南方向敷设，沿途设</w:t>
            </w:r>
            <w:r>
              <w:rPr>
                <w:rFonts w:ascii="Times New Roman" w:hAnsi="Times New Roman"/>
                <w:sz w:val="21"/>
                <w:szCs w:val="21"/>
              </w:rPr>
              <w:t xml:space="preserve"> 2#</w:t>
            </w:r>
            <w:r>
              <w:rPr>
                <w:rFonts w:ascii="Times New Roman" w:hAnsi="Times New Roman"/>
                <w:sz w:val="21"/>
                <w:szCs w:val="21"/>
              </w:rPr>
              <w:t>插输阀组接入马</w:t>
            </w:r>
            <w:r>
              <w:rPr>
                <w:rFonts w:ascii="Times New Roman" w:hAnsi="Times New Roman"/>
                <w:sz w:val="21"/>
                <w:szCs w:val="21"/>
              </w:rPr>
              <w:t xml:space="preserve"> 1-13H </w:t>
            </w:r>
            <w:r>
              <w:rPr>
                <w:rFonts w:ascii="Times New Roman" w:hAnsi="Times New Roman"/>
                <w:sz w:val="21"/>
                <w:szCs w:val="21"/>
              </w:rPr>
              <w:t>井来气，线路再向南敷设越</w:t>
            </w:r>
            <w:r>
              <w:rPr>
                <w:rFonts w:ascii="Times New Roman" w:hAnsi="Times New Roman"/>
                <w:sz w:val="21"/>
                <w:szCs w:val="21"/>
              </w:rPr>
              <w:t xml:space="preserve"> 2km </w:t>
            </w:r>
            <w:r>
              <w:rPr>
                <w:rFonts w:ascii="Times New Roman" w:hAnsi="Times New Roman"/>
                <w:sz w:val="21"/>
                <w:szCs w:val="21"/>
              </w:rPr>
              <w:t>后，到达</w:t>
            </w:r>
            <w:r>
              <w:rPr>
                <w:rFonts w:ascii="Times New Roman" w:hAnsi="Times New Roman"/>
                <w:sz w:val="21"/>
                <w:szCs w:val="21"/>
              </w:rPr>
              <w:t xml:space="preserve"> 3#</w:t>
            </w:r>
          </w:p>
          <w:p w14:paraId="2EC1D4BE" w14:textId="77777777" w:rsidR="007D1E74" w:rsidRDefault="00A95641">
            <w:pPr>
              <w:pStyle w:val="TableParagraph"/>
              <w:jc w:val="center"/>
              <w:rPr>
                <w:rFonts w:ascii="Times New Roman" w:hAnsi="Times New Roman"/>
                <w:sz w:val="21"/>
                <w:szCs w:val="21"/>
              </w:rPr>
            </w:pPr>
            <w:r>
              <w:rPr>
                <w:rFonts w:ascii="Times New Roman" w:hAnsi="Times New Roman"/>
                <w:sz w:val="21"/>
                <w:szCs w:val="21"/>
              </w:rPr>
              <w:t>插输阀组接入马</w:t>
            </w:r>
            <w:r>
              <w:rPr>
                <w:rFonts w:ascii="Times New Roman" w:hAnsi="Times New Roman"/>
                <w:sz w:val="21"/>
                <w:szCs w:val="21"/>
              </w:rPr>
              <w:t xml:space="preserve"> 1-1 </w:t>
            </w:r>
            <w:r>
              <w:rPr>
                <w:rFonts w:ascii="Times New Roman" w:hAnsi="Times New Roman"/>
                <w:sz w:val="21"/>
                <w:szCs w:val="21"/>
              </w:rPr>
              <w:t>井、马</w:t>
            </w:r>
            <w:r>
              <w:rPr>
                <w:rFonts w:ascii="Times New Roman" w:hAnsi="Times New Roman"/>
                <w:sz w:val="21"/>
                <w:szCs w:val="21"/>
              </w:rPr>
              <w:t xml:space="preserve"> 1-10H </w:t>
            </w:r>
            <w:r>
              <w:rPr>
                <w:rFonts w:ascii="Times New Roman" w:hAnsi="Times New Roman"/>
                <w:sz w:val="21"/>
                <w:szCs w:val="21"/>
              </w:rPr>
              <w:t>井来气，而后定向钻穿越至小通江西岸何家坝村，再向南敷设越</w:t>
            </w:r>
            <w:r>
              <w:rPr>
                <w:rFonts w:ascii="Times New Roman" w:hAnsi="Times New Roman"/>
                <w:sz w:val="21"/>
                <w:szCs w:val="21"/>
              </w:rPr>
              <w:t xml:space="preserve"> 1.6km </w:t>
            </w:r>
            <w:r>
              <w:rPr>
                <w:rFonts w:ascii="Times New Roman" w:hAnsi="Times New Roman"/>
                <w:sz w:val="21"/>
                <w:szCs w:val="21"/>
              </w:rPr>
              <w:t>后，到达终点马</w:t>
            </w:r>
            <w:r>
              <w:rPr>
                <w:rFonts w:ascii="Times New Roman" w:hAnsi="Times New Roman"/>
                <w:sz w:val="21"/>
                <w:szCs w:val="21"/>
              </w:rPr>
              <w:t xml:space="preserve"> 1-11 </w:t>
            </w:r>
            <w:r>
              <w:rPr>
                <w:rFonts w:ascii="Times New Roman" w:hAnsi="Times New Roman"/>
                <w:sz w:val="21"/>
                <w:szCs w:val="21"/>
              </w:rPr>
              <w:t>脱水井场。</w:t>
            </w:r>
          </w:p>
        </w:tc>
      </w:tr>
      <w:tr w:rsidR="007D1E74" w14:paraId="671E5C4A" w14:textId="77777777">
        <w:trPr>
          <w:trHeight w:val="377"/>
        </w:trPr>
        <w:tc>
          <w:tcPr>
            <w:tcW w:w="582" w:type="dxa"/>
            <w:vAlign w:val="center"/>
          </w:tcPr>
          <w:p w14:paraId="14C8A837"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2</w:t>
            </w:r>
          </w:p>
        </w:tc>
        <w:tc>
          <w:tcPr>
            <w:tcW w:w="2215" w:type="dxa"/>
            <w:vAlign w:val="center"/>
          </w:tcPr>
          <w:p w14:paraId="70E9F19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马</w:t>
            </w:r>
            <w:r>
              <w:rPr>
                <w:rFonts w:ascii="Times New Roman" w:hAnsi="Times New Roman"/>
                <w:sz w:val="21"/>
                <w:szCs w:val="21"/>
              </w:rPr>
              <w:t>1-10H</w:t>
            </w:r>
            <w:r>
              <w:rPr>
                <w:rFonts w:ascii="Times New Roman" w:hAnsi="Times New Roman"/>
                <w:sz w:val="21"/>
                <w:szCs w:val="21"/>
              </w:rPr>
              <w:t>采气井场至马</w:t>
            </w:r>
            <w:r>
              <w:rPr>
                <w:rFonts w:ascii="Times New Roman" w:hAnsi="Times New Roman"/>
                <w:sz w:val="21"/>
                <w:szCs w:val="21"/>
              </w:rPr>
              <w:t>1-1</w:t>
            </w:r>
            <w:r>
              <w:rPr>
                <w:rFonts w:ascii="Times New Roman" w:hAnsi="Times New Roman"/>
                <w:sz w:val="21"/>
                <w:szCs w:val="21"/>
              </w:rPr>
              <w:t>集气支线</w:t>
            </w:r>
          </w:p>
        </w:tc>
        <w:tc>
          <w:tcPr>
            <w:tcW w:w="6092" w:type="dxa"/>
            <w:vAlign w:val="center"/>
          </w:tcPr>
          <w:p w14:paraId="59E5FCC1" w14:textId="77777777" w:rsidR="007D1E74" w:rsidRDefault="00A95641">
            <w:pPr>
              <w:pStyle w:val="TableParagraph"/>
              <w:jc w:val="center"/>
              <w:rPr>
                <w:rFonts w:ascii="Times New Roman" w:hAnsi="Times New Roman"/>
                <w:sz w:val="21"/>
                <w:szCs w:val="21"/>
              </w:rPr>
            </w:pPr>
            <w:r>
              <w:rPr>
                <w:rFonts w:ascii="Times New Roman" w:hAnsi="Times New Roman"/>
                <w:sz w:val="21"/>
                <w:szCs w:val="21"/>
              </w:rPr>
              <w:t>马</w:t>
            </w:r>
            <w:r>
              <w:rPr>
                <w:rFonts w:ascii="Times New Roman" w:hAnsi="Times New Roman"/>
                <w:sz w:val="21"/>
                <w:szCs w:val="21"/>
              </w:rPr>
              <w:t xml:space="preserve"> 1-10H </w:t>
            </w:r>
            <w:r>
              <w:rPr>
                <w:rFonts w:ascii="Times New Roman" w:hAnsi="Times New Roman"/>
                <w:sz w:val="21"/>
                <w:szCs w:val="21"/>
              </w:rPr>
              <w:t>井位于巴中市通江县吴家村，集气支线自马</w:t>
            </w:r>
            <w:r>
              <w:rPr>
                <w:rFonts w:ascii="Times New Roman" w:hAnsi="Times New Roman"/>
                <w:sz w:val="21"/>
                <w:szCs w:val="21"/>
              </w:rPr>
              <w:t xml:space="preserve"> 1-10H </w:t>
            </w:r>
            <w:r>
              <w:rPr>
                <w:rFonts w:ascii="Times New Roman" w:hAnsi="Times New Roman"/>
                <w:sz w:val="21"/>
                <w:szCs w:val="21"/>
              </w:rPr>
              <w:t>井场向西北方向敷设约</w:t>
            </w:r>
            <w:r>
              <w:rPr>
                <w:rFonts w:ascii="Times New Roman" w:hAnsi="Times New Roman"/>
                <w:sz w:val="21"/>
                <w:szCs w:val="21"/>
              </w:rPr>
              <w:t xml:space="preserve"> 4km </w:t>
            </w:r>
            <w:r>
              <w:rPr>
                <w:rFonts w:ascii="Times New Roman" w:hAnsi="Times New Roman"/>
                <w:sz w:val="21"/>
                <w:szCs w:val="21"/>
              </w:rPr>
              <w:t>后，于通江县新场乡茶园坪村碰接至新建马</w:t>
            </w:r>
            <w:r>
              <w:rPr>
                <w:rFonts w:ascii="Times New Roman" w:hAnsi="Times New Roman"/>
                <w:sz w:val="21"/>
                <w:szCs w:val="21"/>
              </w:rPr>
              <w:t xml:space="preserve"> 1-1 </w:t>
            </w:r>
            <w:r>
              <w:rPr>
                <w:rFonts w:ascii="Times New Roman" w:hAnsi="Times New Roman"/>
                <w:sz w:val="21"/>
                <w:szCs w:val="21"/>
              </w:rPr>
              <w:t>采气井场至干线集气支线。</w:t>
            </w:r>
          </w:p>
        </w:tc>
      </w:tr>
      <w:tr w:rsidR="007D1E74" w14:paraId="2E427BD3" w14:textId="77777777">
        <w:trPr>
          <w:trHeight w:val="377"/>
        </w:trPr>
        <w:tc>
          <w:tcPr>
            <w:tcW w:w="582" w:type="dxa"/>
            <w:vAlign w:val="center"/>
          </w:tcPr>
          <w:p w14:paraId="12C77D78"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3</w:t>
            </w:r>
          </w:p>
        </w:tc>
        <w:tc>
          <w:tcPr>
            <w:tcW w:w="2215" w:type="dxa"/>
            <w:vAlign w:val="center"/>
          </w:tcPr>
          <w:p w14:paraId="0A251E5E"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马</w:t>
            </w:r>
            <w:r>
              <w:rPr>
                <w:rFonts w:ascii="Times New Roman" w:hAnsi="Times New Roman"/>
                <w:sz w:val="21"/>
                <w:szCs w:val="21"/>
              </w:rPr>
              <w:t>1-1</w:t>
            </w:r>
            <w:r>
              <w:rPr>
                <w:rFonts w:ascii="Times New Roman" w:hAnsi="Times New Roman"/>
                <w:sz w:val="21"/>
                <w:szCs w:val="21"/>
              </w:rPr>
              <w:t>采气井场至干线集气支线</w:t>
            </w:r>
          </w:p>
        </w:tc>
        <w:tc>
          <w:tcPr>
            <w:tcW w:w="6092" w:type="dxa"/>
            <w:vAlign w:val="center"/>
          </w:tcPr>
          <w:p w14:paraId="4D0AB159" w14:textId="77777777" w:rsidR="007D1E74" w:rsidRDefault="00A95641">
            <w:pPr>
              <w:pStyle w:val="TableParagraph"/>
              <w:jc w:val="center"/>
              <w:rPr>
                <w:rFonts w:ascii="Times New Roman" w:hAnsi="Times New Roman"/>
                <w:sz w:val="21"/>
                <w:szCs w:val="21"/>
              </w:rPr>
            </w:pPr>
            <w:r>
              <w:rPr>
                <w:rFonts w:ascii="Times New Roman" w:hAnsi="Times New Roman"/>
                <w:sz w:val="21"/>
                <w:szCs w:val="21"/>
              </w:rPr>
              <w:t>集气管道自马</w:t>
            </w:r>
            <w:r>
              <w:rPr>
                <w:rFonts w:ascii="Times New Roman" w:hAnsi="Times New Roman"/>
                <w:sz w:val="21"/>
                <w:szCs w:val="21"/>
              </w:rPr>
              <w:t xml:space="preserve"> 1-1 </w:t>
            </w:r>
            <w:r>
              <w:rPr>
                <w:rFonts w:ascii="Times New Roman" w:hAnsi="Times New Roman"/>
                <w:sz w:val="21"/>
                <w:szCs w:val="21"/>
              </w:rPr>
              <w:t>井场向西南敷设，先后穿越</w:t>
            </w:r>
            <w:r>
              <w:rPr>
                <w:rFonts w:ascii="Times New Roman" w:hAnsi="Times New Roman"/>
                <w:sz w:val="21"/>
                <w:szCs w:val="21"/>
              </w:rPr>
              <w:t xml:space="preserve"> S204 </w:t>
            </w:r>
            <w:r>
              <w:rPr>
                <w:rFonts w:ascii="Times New Roman" w:hAnsi="Times New Roman"/>
                <w:sz w:val="21"/>
                <w:szCs w:val="21"/>
              </w:rPr>
              <w:t>快速路（在建）和</w:t>
            </w:r>
            <w:r>
              <w:rPr>
                <w:rFonts w:ascii="Times New Roman" w:hAnsi="Times New Roman"/>
                <w:sz w:val="21"/>
                <w:szCs w:val="21"/>
              </w:rPr>
              <w:t xml:space="preserve"> S201 </w:t>
            </w:r>
            <w:r>
              <w:rPr>
                <w:rFonts w:ascii="Times New Roman" w:hAnsi="Times New Roman"/>
                <w:sz w:val="21"/>
                <w:szCs w:val="21"/>
              </w:rPr>
              <w:t>省道，最终到达新建</w:t>
            </w:r>
            <w:r>
              <w:rPr>
                <w:rFonts w:ascii="Times New Roman" w:hAnsi="Times New Roman"/>
                <w:sz w:val="21"/>
                <w:szCs w:val="21"/>
              </w:rPr>
              <w:t xml:space="preserve"> 3#</w:t>
            </w:r>
            <w:r>
              <w:rPr>
                <w:rFonts w:ascii="Times New Roman" w:hAnsi="Times New Roman"/>
                <w:sz w:val="21"/>
                <w:szCs w:val="21"/>
              </w:rPr>
              <w:t>插输阀组，接入新建集输干线。</w:t>
            </w:r>
          </w:p>
        </w:tc>
      </w:tr>
      <w:tr w:rsidR="007D1E74" w14:paraId="092A0EFB" w14:textId="77777777">
        <w:trPr>
          <w:trHeight w:val="377"/>
        </w:trPr>
        <w:tc>
          <w:tcPr>
            <w:tcW w:w="582" w:type="dxa"/>
            <w:vAlign w:val="center"/>
          </w:tcPr>
          <w:p w14:paraId="479514FC"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4</w:t>
            </w:r>
          </w:p>
        </w:tc>
        <w:tc>
          <w:tcPr>
            <w:tcW w:w="2215" w:type="dxa"/>
            <w:vAlign w:val="center"/>
          </w:tcPr>
          <w:p w14:paraId="3D52DE6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马</w:t>
            </w:r>
            <w:r>
              <w:rPr>
                <w:rFonts w:ascii="Times New Roman" w:hAnsi="Times New Roman"/>
                <w:sz w:val="21"/>
                <w:szCs w:val="21"/>
              </w:rPr>
              <w:t>1-13H</w:t>
            </w:r>
            <w:r>
              <w:rPr>
                <w:rFonts w:ascii="Times New Roman" w:hAnsi="Times New Roman"/>
                <w:sz w:val="21"/>
                <w:szCs w:val="21"/>
              </w:rPr>
              <w:t>采气井场至干线集气支线</w:t>
            </w:r>
          </w:p>
        </w:tc>
        <w:tc>
          <w:tcPr>
            <w:tcW w:w="6092" w:type="dxa"/>
            <w:vAlign w:val="center"/>
          </w:tcPr>
          <w:p w14:paraId="2F2A69D0" w14:textId="77777777" w:rsidR="007D1E74" w:rsidRDefault="00A95641">
            <w:pPr>
              <w:pStyle w:val="TableParagraph"/>
              <w:jc w:val="center"/>
              <w:rPr>
                <w:rFonts w:ascii="Times New Roman" w:hAnsi="Times New Roman"/>
                <w:sz w:val="21"/>
                <w:szCs w:val="21"/>
              </w:rPr>
            </w:pPr>
            <w:r>
              <w:rPr>
                <w:rFonts w:ascii="Times New Roman" w:hAnsi="Times New Roman"/>
                <w:sz w:val="21"/>
                <w:szCs w:val="21"/>
              </w:rPr>
              <w:t>马</w:t>
            </w:r>
            <w:r>
              <w:rPr>
                <w:rFonts w:ascii="Times New Roman" w:hAnsi="Times New Roman"/>
                <w:sz w:val="21"/>
                <w:szCs w:val="21"/>
              </w:rPr>
              <w:t xml:space="preserve"> 1-13H </w:t>
            </w:r>
            <w:r>
              <w:rPr>
                <w:rFonts w:ascii="Times New Roman" w:hAnsi="Times New Roman"/>
                <w:sz w:val="21"/>
                <w:szCs w:val="21"/>
              </w:rPr>
              <w:t>井位于巴中市通江县桔子坝村，集气支线自马</w:t>
            </w:r>
            <w:r>
              <w:rPr>
                <w:rFonts w:ascii="Times New Roman" w:hAnsi="Times New Roman"/>
                <w:sz w:val="21"/>
                <w:szCs w:val="21"/>
              </w:rPr>
              <w:t xml:space="preserve"> 1-13H </w:t>
            </w:r>
            <w:r>
              <w:rPr>
                <w:rFonts w:ascii="Times New Roman" w:hAnsi="Times New Roman"/>
                <w:sz w:val="21"/>
                <w:szCs w:val="21"/>
              </w:rPr>
              <w:t>井场向东南方向敷设至小通江西岸后，定向钻穿越小通江，而后向东南敷设约</w:t>
            </w:r>
            <w:r>
              <w:rPr>
                <w:rFonts w:ascii="Times New Roman" w:hAnsi="Times New Roman"/>
                <w:sz w:val="21"/>
                <w:szCs w:val="21"/>
              </w:rPr>
              <w:t xml:space="preserve"> 1km </w:t>
            </w:r>
            <w:r>
              <w:rPr>
                <w:rFonts w:ascii="Times New Roman" w:hAnsi="Times New Roman"/>
                <w:sz w:val="21"/>
                <w:szCs w:val="21"/>
              </w:rPr>
              <w:t>后，通过新建</w:t>
            </w:r>
            <w:r>
              <w:rPr>
                <w:rFonts w:ascii="Times New Roman" w:hAnsi="Times New Roman"/>
                <w:sz w:val="21"/>
                <w:szCs w:val="21"/>
              </w:rPr>
              <w:t xml:space="preserve"> 2#</w:t>
            </w:r>
            <w:r>
              <w:rPr>
                <w:rFonts w:ascii="Times New Roman" w:hAnsi="Times New Roman"/>
                <w:sz w:val="21"/>
                <w:szCs w:val="21"/>
              </w:rPr>
              <w:t>插输阀组接入新建集输干线。</w:t>
            </w:r>
          </w:p>
        </w:tc>
      </w:tr>
      <w:tr w:rsidR="007D1E74" w14:paraId="413C74BC" w14:textId="77777777">
        <w:trPr>
          <w:trHeight w:val="377"/>
        </w:trPr>
        <w:tc>
          <w:tcPr>
            <w:tcW w:w="582" w:type="dxa"/>
            <w:vAlign w:val="center"/>
          </w:tcPr>
          <w:p w14:paraId="2D8D726D"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5</w:t>
            </w:r>
          </w:p>
        </w:tc>
        <w:tc>
          <w:tcPr>
            <w:tcW w:w="2215" w:type="dxa"/>
            <w:vAlign w:val="center"/>
          </w:tcPr>
          <w:p w14:paraId="266B7EC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马</w:t>
            </w:r>
            <w:r>
              <w:rPr>
                <w:rFonts w:ascii="Times New Roman" w:hAnsi="Times New Roman"/>
                <w:sz w:val="21"/>
                <w:szCs w:val="21"/>
              </w:rPr>
              <w:t>1-12</w:t>
            </w:r>
            <w:r>
              <w:rPr>
                <w:rFonts w:ascii="Times New Roman" w:hAnsi="Times New Roman"/>
                <w:sz w:val="21"/>
                <w:szCs w:val="21"/>
              </w:rPr>
              <w:t>采气井场至干线集气支线</w:t>
            </w:r>
          </w:p>
        </w:tc>
        <w:tc>
          <w:tcPr>
            <w:tcW w:w="6092" w:type="dxa"/>
            <w:vAlign w:val="center"/>
          </w:tcPr>
          <w:p w14:paraId="04EADD6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集气管道自马</w:t>
            </w:r>
            <w:r>
              <w:rPr>
                <w:rFonts w:ascii="Times New Roman" w:hAnsi="Times New Roman"/>
                <w:sz w:val="21"/>
                <w:szCs w:val="21"/>
              </w:rPr>
              <w:t>1-12</w:t>
            </w:r>
            <w:r>
              <w:rPr>
                <w:rFonts w:ascii="Times New Roman" w:hAnsi="Times New Roman"/>
                <w:sz w:val="21"/>
                <w:szCs w:val="21"/>
              </w:rPr>
              <w:t>采气井场相西北敷设</w:t>
            </w:r>
            <w:r>
              <w:rPr>
                <w:rFonts w:ascii="Times New Roman" w:hAnsi="Times New Roman"/>
                <w:sz w:val="21"/>
                <w:szCs w:val="21"/>
              </w:rPr>
              <w:t>0.4km</w:t>
            </w:r>
            <w:r>
              <w:rPr>
                <w:rFonts w:ascii="Times New Roman" w:hAnsi="Times New Roman"/>
                <w:sz w:val="21"/>
                <w:szCs w:val="21"/>
              </w:rPr>
              <w:t>，之后项西敷设，然后穿越小通江，接入</w:t>
            </w:r>
            <w:r>
              <w:rPr>
                <w:rFonts w:ascii="Times New Roman" w:hAnsi="Times New Roman"/>
                <w:sz w:val="21"/>
                <w:szCs w:val="21"/>
              </w:rPr>
              <w:t>4#</w:t>
            </w:r>
            <w:r>
              <w:rPr>
                <w:rFonts w:ascii="Times New Roman" w:hAnsi="Times New Roman"/>
                <w:sz w:val="21"/>
                <w:szCs w:val="21"/>
              </w:rPr>
              <w:t>清管阀组</w:t>
            </w:r>
          </w:p>
        </w:tc>
      </w:tr>
      <w:tr w:rsidR="007D1E74" w14:paraId="2754CD59" w14:textId="77777777">
        <w:trPr>
          <w:trHeight w:val="377"/>
        </w:trPr>
        <w:tc>
          <w:tcPr>
            <w:tcW w:w="582" w:type="dxa"/>
            <w:vAlign w:val="center"/>
          </w:tcPr>
          <w:p w14:paraId="4757329A"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6</w:t>
            </w:r>
          </w:p>
        </w:tc>
        <w:tc>
          <w:tcPr>
            <w:tcW w:w="2215" w:type="dxa"/>
            <w:vAlign w:val="center"/>
          </w:tcPr>
          <w:p w14:paraId="773D23C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马</w:t>
            </w:r>
            <w:r>
              <w:rPr>
                <w:rFonts w:ascii="Times New Roman" w:hAnsi="Times New Roman"/>
                <w:sz w:val="21"/>
                <w:szCs w:val="21"/>
              </w:rPr>
              <w:t>1-11</w:t>
            </w:r>
            <w:r>
              <w:rPr>
                <w:rFonts w:ascii="Times New Roman" w:hAnsi="Times New Roman"/>
                <w:sz w:val="21"/>
                <w:szCs w:val="21"/>
              </w:rPr>
              <w:t>脱水井场至</w:t>
            </w:r>
            <w:r>
              <w:rPr>
                <w:rFonts w:ascii="Times New Roman" w:hAnsi="Times New Roman"/>
                <w:sz w:val="21"/>
                <w:szCs w:val="21"/>
              </w:rPr>
              <w:t>4#</w:t>
            </w:r>
            <w:r>
              <w:rPr>
                <w:rFonts w:ascii="Times New Roman" w:hAnsi="Times New Roman"/>
                <w:sz w:val="21"/>
                <w:szCs w:val="21"/>
              </w:rPr>
              <w:t>清管阀组集气干线</w:t>
            </w:r>
          </w:p>
        </w:tc>
        <w:tc>
          <w:tcPr>
            <w:tcW w:w="6092" w:type="dxa"/>
            <w:vAlign w:val="center"/>
          </w:tcPr>
          <w:p w14:paraId="7F9236FF" w14:textId="77777777" w:rsidR="007D1E74" w:rsidRDefault="00A95641">
            <w:pPr>
              <w:pStyle w:val="TableParagraph"/>
              <w:jc w:val="center"/>
              <w:rPr>
                <w:rFonts w:ascii="Times New Roman" w:hAnsi="Times New Roman"/>
                <w:sz w:val="21"/>
                <w:szCs w:val="21"/>
              </w:rPr>
            </w:pPr>
            <w:r>
              <w:rPr>
                <w:rFonts w:ascii="Times New Roman" w:hAnsi="Times New Roman"/>
                <w:sz w:val="21"/>
                <w:szCs w:val="21"/>
              </w:rPr>
              <w:t>线路起点的马</w:t>
            </w:r>
            <w:r>
              <w:rPr>
                <w:rFonts w:ascii="Times New Roman" w:hAnsi="Times New Roman"/>
                <w:sz w:val="21"/>
                <w:szCs w:val="21"/>
              </w:rPr>
              <w:t xml:space="preserve"> 1-11 </w:t>
            </w:r>
            <w:r>
              <w:rPr>
                <w:rFonts w:ascii="Times New Roman" w:hAnsi="Times New Roman"/>
                <w:sz w:val="21"/>
                <w:szCs w:val="21"/>
              </w:rPr>
              <w:t>脱水井场位于巴中市通江县建营坝村，线路沿小通江西岸向南敷设约</w:t>
            </w:r>
            <w:r>
              <w:rPr>
                <w:rFonts w:ascii="Times New Roman" w:hAnsi="Times New Roman"/>
                <w:sz w:val="21"/>
                <w:szCs w:val="21"/>
              </w:rPr>
              <w:t xml:space="preserve">7km </w:t>
            </w:r>
            <w:r>
              <w:rPr>
                <w:rFonts w:ascii="Times New Roman" w:hAnsi="Times New Roman"/>
                <w:sz w:val="21"/>
                <w:szCs w:val="21"/>
              </w:rPr>
              <w:t>后，到达终点位于巴中市通江县清江坝村的</w:t>
            </w:r>
            <w:r>
              <w:rPr>
                <w:rFonts w:ascii="Times New Roman" w:hAnsi="Times New Roman"/>
                <w:sz w:val="21"/>
                <w:szCs w:val="21"/>
              </w:rPr>
              <w:t xml:space="preserve"> 4#</w:t>
            </w:r>
            <w:r>
              <w:rPr>
                <w:rFonts w:ascii="Times New Roman" w:hAnsi="Times New Roman"/>
                <w:sz w:val="21"/>
                <w:szCs w:val="21"/>
              </w:rPr>
              <w:t>清管阀组。</w:t>
            </w:r>
          </w:p>
        </w:tc>
      </w:tr>
      <w:tr w:rsidR="007D1E74" w14:paraId="79168244" w14:textId="77777777">
        <w:trPr>
          <w:trHeight w:val="377"/>
        </w:trPr>
        <w:tc>
          <w:tcPr>
            <w:tcW w:w="582" w:type="dxa"/>
            <w:vAlign w:val="center"/>
          </w:tcPr>
          <w:p w14:paraId="7B569AC8"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7</w:t>
            </w:r>
          </w:p>
        </w:tc>
        <w:tc>
          <w:tcPr>
            <w:tcW w:w="2215" w:type="dxa"/>
            <w:vAlign w:val="center"/>
          </w:tcPr>
          <w:p w14:paraId="447CE77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4#</w:t>
            </w:r>
            <w:r>
              <w:rPr>
                <w:rFonts w:ascii="Times New Roman" w:hAnsi="Times New Roman"/>
                <w:sz w:val="21"/>
                <w:szCs w:val="21"/>
              </w:rPr>
              <w:t>清管阀组至草池增压站集气干线</w:t>
            </w:r>
          </w:p>
        </w:tc>
        <w:tc>
          <w:tcPr>
            <w:tcW w:w="6092" w:type="dxa"/>
            <w:vAlign w:val="center"/>
          </w:tcPr>
          <w:p w14:paraId="06C97191" w14:textId="77777777" w:rsidR="007D1E74" w:rsidRDefault="00A95641">
            <w:pPr>
              <w:pStyle w:val="TableParagraph"/>
              <w:jc w:val="center"/>
              <w:rPr>
                <w:rFonts w:ascii="Times New Roman" w:hAnsi="Times New Roman"/>
                <w:sz w:val="21"/>
                <w:szCs w:val="21"/>
              </w:rPr>
            </w:pPr>
            <w:r>
              <w:rPr>
                <w:rFonts w:ascii="Times New Roman" w:hAnsi="Times New Roman"/>
                <w:sz w:val="21"/>
                <w:szCs w:val="21"/>
              </w:rPr>
              <w:t>线路起点为位于巴中市通江县清江坝村的新建</w:t>
            </w:r>
            <w:r>
              <w:rPr>
                <w:rFonts w:ascii="Times New Roman" w:hAnsi="Times New Roman"/>
                <w:sz w:val="21"/>
                <w:szCs w:val="21"/>
              </w:rPr>
              <w:t xml:space="preserve"> 4#</w:t>
            </w:r>
            <w:r>
              <w:rPr>
                <w:rFonts w:ascii="Times New Roman" w:hAnsi="Times New Roman"/>
                <w:sz w:val="21"/>
                <w:szCs w:val="21"/>
              </w:rPr>
              <w:t>清管阀组，向西南敷设约</w:t>
            </w:r>
            <w:r>
              <w:rPr>
                <w:rFonts w:ascii="Times New Roman" w:hAnsi="Times New Roman"/>
                <w:sz w:val="21"/>
                <w:szCs w:val="21"/>
              </w:rPr>
              <w:t xml:space="preserve"> 14km </w:t>
            </w:r>
            <w:r>
              <w:rPr>
                <w:rFonts w:ascii="Times New Roman" w:hAnsi="Times New Roman"/>
                <w:sz w:val="21"/>
                <w:szCs w:val="21"/>
              </w:rPr>
              <w:t>后，到达位于通江县涪阳镇的草池增压站。</w:t>
            </w:r>
          </w:p>
        </w:tc>
      </w:tr>
    </w:tbl>
    <w:p w14:paraId="6F906C8D" w14:textId="77777777" w:rsidR="007D1E74" w:rsidRDefault="00A95641">
      <w:pPr>
        <w:spacing w:line="360" w:lineRule="auto"/>
        <w:ind w:firstLineChars="200" w:firstLine="480"/>
        <w:rPr>
          <w:sz w:val="24"/>
        </w:rPr>
      </w:pPr>
      <w:r>
        <w:rPr>
          <w:sz w:val="24"/>
        </w:rPr>
        <w:t>2</w:t>
      </w:r>
      <w:r>
        <w:rPr>
          <w:sz w:val="24"/>
        </w:rPr>
        <w:t>、项目所在区域分类</w:t>
      </w:r>
    </w:p>
    <w:p w14:paraId="12A15530" w14:textId="77777777" w:rsidR="007D1E74" w:rsidRDefault="00A95641">
      <w:pPr>
        <w:spacing w:line="360" w:lineRule="auto"/>
        <w:ind w:firstLineChars="200" w:firstLine="480"/>
        <w:rPr>
          <w:sz w:val="24"/>
        </w:rPr>
      </w:pPr>
      <w:r>
        <w:rPr>
          <w:sz w:val="24"/>
        </w:rPr>
        <w:t>本方案集输管线总长</w:t>
      </w:r>
      <w:r>
        <w:rPr>
          <w:sz w:val="24"/>
        </w:rPr>
        <w:t>37.8km</w:t>
      </w:r>
      <w:r>
        <w:rPr>
          <w:sz w:val="24"/>
        </w:rPr>
        <w:t>。管道全线途经区域远离规划区，均为农村环境。均位于巴中市通江县青峪镇、新场镇、涪阳镇，均属于二级地区，属中</w:t>
      </w:r>
      <w:r>
        <w:rPr>
          <w:sz w:val="24"/>
        </w:rPr>
        <w:t>-</w:t>
      </w:r>
      <w:r>
        <w:rPr>
          <w:sz w:val="24"/>
        </w:rPr>
        <w:t>低山区。</w:t>
      </w:r>
    </w:p>
    <w:p w14:paraId="524DBE92" w14:textId="77777777" w:rsidR="007D1E74" w:rsidRDefault="00A95641">
      <w:pPr>
        <w:spacing w:line="360" w:lineRule="auto"/>
        <w:ind w:firstLineChars="200" w:firstLine="480"/>
        <w:rPr>
          <w:sz w:val="24"/>
        </w:rPr>
      </w:pPr>
      <w:r>
        <w:rPr>
          <w:sz w:val="24"/>
        </w:rPr>
        <w:t>3</w:t>
      </w:r>
      <w:r>
        <w:rPr>
          <w:sz w:val="24"/>
        </w:rPr>
        <w:t>、管道敷设方式</w:t>
      </w:r>
    </w:p>
    <w:p w14:paraId="0B94C05B" w14:textId="77777777" w:rsidR="007D1E74" w:rsidRDefault="00A95641">
      <w:pPr>
        <w:spacing w:line="360" w:lineRule="auto"/>
        <w:ind w:firstLineChars="200" w:firstLine="480"/>
        <w:rPr>
          <w:sz w:val="24"/>
        </w:rPr>
      </w:pPr>
      <w:r>
        <w:rPr>
          <w:sz w:val="24"/>
        </w:rPr>
        <w:t>本工程管道全部采用沟埋方式敷设，采用埋地敷设为主，同时采用弹性敷设、现场冷弯弯管、热煨弯头三种形式来满足管道变向要求。管道穿越公路应设保护套管，管道穿越地表水体段应敷设在稳定层以下，并采取相应的稳管措施。</w:t>
      </w:r>
    </w:p>
    <w:p w14:paraId="64A42A50" w14:textId="77777777" w:rsidR="007D1E74" w:rsidRDefault="00A95641">
      <w:pPr>
        <w:spacing w:line="360" w:lineRule="auto"/>
        <w:ind w:firstLineChars="200" w:firstLine="480"/>
        <w:rPr>
          <w:sz w:val="24"/>
        </w:rPr>
      </w:pPr>
      <w:r>
        <w:rPr>
          <w:sz w:val="24"/>
        </w:rPr>
        <w:t>（</w:t>
      </w:r>
      <w:r>
        <w:rPr>
          <w:sz w:val="24"/>
        </w:rPr>
        <w:t>1</w:t>
      </w:r>
      <w:r>
        <w:rPr>
          <w:sz w:val="24"/>
        </w:rPr>
        <w:t>）一般路段铺设方式</w:t>
      </w:r>
    </w:p>
    <w:p w14:paraId="08F8354E" w14:textId="77777777" w:rsidR="007D1E74" w:rsidRDefault="00A95641">
      <w:pPr>
        <w:spacing w:line="360" w:lineRule="auto"/>
        <w:ind w:firstLineChars="200" w:firstLine="480"/>
        <w:rPr>
          <w:sz w:val="24"/>
        </w:rPr>
      </w:pPr>
      <w:r>
        <w:rPr>
          <w:rFonts w:ascii="宋体" w:hAnsi="宋体" w:cs="宋体" w:hint="eastAsia"/>
          <w:sz w:val="24"/>
        </w:rPr>
        <w:t>①</w:t>
      </w:r>
      <w:r>
        <w:rPr>
          <w:sz w:val="24"/>
        </w:rPr>
        <w:t>挖深</w:t>
      </w:r>
    </w:p>
    <w:p w14:paraId="35219694" w14:textId="77777777" w:rsidR="007D1E74" w:rsidRDefault="00A95641">
      <w:pPr>
        <w:spacing w:line="360" w:lineRule="auto"/>
        <w:ind w:firstLineChars="200" w:firstLine="480"/>
        <w:rPr>
          <w:sz w:val="24"/>
        </w:rPr>
      </w:pPr>
      <w:r>
        <w:rPr>
          <w:sz w:val="24"/>
        </w:rPr>
        <w:t>管道沿途以中</w:t>
      </w:r>
      <w:r>
        <w:rPr>
          <w:sz w:val="24"/>
        </w:rPr>
        <w:t>-</w:t>
      </w:r>
      <w:r>
        <w:rPr>
          <w:sz w:val="24"/>
        </w:rPr>
        <w:t>低山区为主，一般地段管沟开挖时，管顶覆土深度要求不小于</w:t>
      </w:r>
      <w:r>
        <w:rPr>
          <w:sz w:val="24"/>
        </w:rPr>
        <w:t xml:space="preserve"> 1.2m</w:t>
      </w:r>
      <w:r>
        <w:rPr>
          <w:sz w:val="24"/>
        </w:rPr>
        <w:t>，在耕作区开挖管沟时，应将地表</w:t>
      </w:r>
      <w:r>
        <w:rPr>
          <w:sz w:val="24"/>
        </w:rPr>
        <w:t>300mm</w:t>
      </w:r>
      <w:r>
        <w:rPr>
          <w:sz w:val="24"/>
        </w:rPr>
        <w:t>的耕作土（熟土）与下层土分别堆放，以便后期进行地貌恢复时仍然覆于地表，为复耕、复植创造条件，下层土应放置在靠近管沟的一侧。管道通过岩石层、卵砾石地段时，管沟应超挖</w:t>
      </w:r>
      <w:r>
        <w:rPr>
          <w:sz w:val="24"/>
        </w:rPr>
        <w:t>0.2m</w:t>
      </w:r>
      <w:r>
        <w:rPr>
          <w:sz w:val="24"/>
        </w:rPr>
        <w:t>，并用细土或细砂将深挖部分</w:t>
      </w:r>
      <w:r>
        <w:rPr>
          <w:sz w:val="24"/>
        </w:rPr>
        <w:lastRenderedPageBreak/>
        <w:t>垫平后方可下管。在经过一些沟渠、陡坎时，为满足管道的弹性敷设要求及管道的轴向稳定性，局部地段应适当挖深，管沟宽度适当放大。</w:t>
      </w:r>
    </w:p>
    <w:p w14:paraId="649A69CE" w14:textId="77777777" w:rsidR="007D1E74" w:rsidRDefault="00A95641">
      <w:pPr>
        <w:spacing w:line="360" w:lineRule="auto"/>
        <w:ind w:firstLineChars="200" w:firstLine="480"/>
        <w:rPr>
          <w:sz w:val="24"/>
        </w:rPr>
      </w:pPr>
      <w:r>
        <w:rPr>
          <w:rFonts w:ascii="宋体" w:hAnsi="宋体" w:cs="宋体" w:hint="eastAsia"/>
          <w:sz w:val="24"/>
        </w:rPr>
        <w:t>②</w:t>
      </w:r>
      <w:r>
        <w:rPr>
          <w:sz w:val="24"/>
        </w:rPr>
        <w:t>管沟底宽</w:t>
      </w:r>
    </w:p>
    <w:p w14:paraId="12D9ECF7" w14:textId="77777777" w:rsidR="007D1E74" w:rsidRDefault="00A95641">
      <w:pPr>
        <w:spacing w:line="360" w:lineRule="auto"/>
        <w:ind w:firstLineChars="200" w:firstLine="480"/>
        <w:rPr>
          <w:sz w:val="24"/>
        </w:rPr>
      </w:pPr>
      <w:r>
        <w:rPr>
          <w:sz w:val="24"/>
        </w:rPr>
        <w:t>管沟底宽度根据管道外径、开挖方式、组装焊接工艺及工程地质等因素确定。</w:t>
      </w:r>
    </w:p>
    <w:p w14:paraId="4D646D23" w14:textId="77777777" w:rsidR="007D1E74" w:rsidRDefault="00A95641">
      <w:pPr>
        <w:spacing w:line="360" w:lineRule="auto"/>
        <w:ind w:firstLineChars="200" w:firstLine="480"/>
        <w:rPr>
          <w:sz w:val="24"/>
        </w:rPr>
      </w:pPr>
      <w:r>
        <w:rPr>
          <w:sz w:val="24"/>
        </w:rPr>
        <w:t>当管沟深</w:t>
      </w:r>
      <w:r>
        <w:rPr>
          <w:sz w:val="24"/>
        </w:rPr>
        <w:t>5m</w:t>
      </w:r>
      <w:r>
        <w:rPr>
          <w:sz w:val="24"/>
        </w:rPr>
        <w:t>以内时，管底宽度</w:t>
      </w:r>
      <w:r>
        <w:rPr>
          <w:sz w:val="24"/>
        </w:rPr>
        <w:t>0.5-1.5m</w:t>
      </w:r>
      <w:r>
        <w:rPr>
          <w:sz w:val="24"/>
        </w:rPr>
        <w:t>；管沟深度大于</w:t>
      </w:r>
      <w:r>
        <w:rPr>
          <w:sz w:val="24"/>
        </w:rPr>
        <w:t>5m</w:t>
      </w:r>
      <w:r>
        <w:rPr>
          <w:sz w:val="24"/>
        </w:rPr>
        <w:t>时，应根据土壤类别及物理力学性质确定管沟宽度；当管沟需加支撑时，应计入支撑结构厚度。</w:t>
      </w:r>
    </w:p>
    <w:p w14:paraId="20BBB467" w14:textId="77777777" w:rsidR="007D1E74" w:rsidRDefault="00A95641">
      <w:pPr>
        <w:spacing w:line="360" w:lineRule="auto"/>
        <w:ind w:firstLineChars="200" w:firstLine="480"/>
        <w:rPr>
          <w:sz w:val="24"/>
        </w:rPr>
      </w:pPr>
      <w:r>
        <w:rPr>
          <w:rFonts w:ascii="宋体" w:hAnsi="宋体" w:cs="宋体" w:hint="eastAsia"/>
          <w:sz w:val="24"/>
        </w:rPr>
        <w:t>③</w:t>
      </w:r>
      <w:r>
        <w:rPr>
          <w:sz w:val="24"/>
        </w:rPr>
        <w:t>管沟坡度</w:t>
      </w:r>
    </w:p>
    <w:p w14:paraId="5C04A158" w14:textId="77777777" w:rsidR="007D1E74" w:rsidRDefault="00A95641">
      <w:pPr>
        <w:spacing w:line="360" w:lineRule="auto"/>
        <w:ind w:firstLineChars="200" w:firstLine="480"/>
        <w:rPr>
          <w:sz w:val="24"/>
        </w:rPr>
      </w:pPr>
      <w:r>
        <w:rPr>
          <w:sz w:val="24"/>
        </w:rPr>
        <w:t>管沟坡度依据土壤性质确定，坡度比为</w:t>
      </w:r>
      <w:r>
        <w:rPr>
          <w:sz w:val="24"/>
        </w:rPr>
        <w:t xml:space="preserve"> 1:0~1:1.25</w:t>
      </w:r>
      <w:r>
        <w:rPr>
          <w:sz w:val="24"/>
        </w:rPr>
        <w:t>。</w:t>
      </w:r>
    </w:p>
    <w:p w14:paraId="38AE8336" w14:textId="77777777" w:rsidR="007D1E74" w:rsidRDefault="00A95641">
      <w:pPr>
        <w:spacing w:line="360" w:lineRule="auto"/>
        <w:ind w:firstLineChars="200" w:firstLine="480"/>
        <w:rPr>
          <w:sz w:val="24"/>
        </w:rPr>
      </w:pPr>
      <w:r>
        <w:rPr>
          <w:rFonts w:ascii="宋体" w:hAnsi="宋体" w:cs="宋体" w:hint="eastAsia"/>
          <w:sz w:val="24"/>
        </w:rPr>
        <w:t>④</w:t>
      </w:r>
      <w:r>
        <w:rPr>
          <w:sz w:val="24"/>
        </w:rPr>
        <w:t>施工作业带</w:t>
      </w:r>
    </w:p>
    <w:p w14:paraId="19EC8B15" w14:textId="77777777" w:rsidR="007D1E74" w:rsidRDefault="00A95641">
      <w:pPr>
        <w:spacing w:line="360" w:lineRule="auto"/>
        <w:ind w:firstLineChars="200" w:firstLine="480"/>
        <w:rPr>
          <w:sz w:val="24"/>
        </w:rPr>
      </w:pPr>
      <w:r>
        <w:rPr>
          <w:sz w:val="24"/>
        </w:rPr>
        <w:t>根据管道所连接的站场及管道的布置，管道尽可能采用同沟敷设，减少占地面积，管道的施工作业带宽度严格按《油气田集输管线施工规范》（</w:t>
      </w:r>
      <w:r>
        <w:rPr>
          <w:sz w:val="24"/>
        </w:rPr>
        <w:t>GB 50819-2013</w:t>
      </w:r>
      <w:r>
        <w:rPr>
          <w:sz w:val="24"/>
        </w:rPr>
        <w:t>）和《油气长输管道工程施工及验收规范》（</w:t>
      </w:r>
      <w:r>
        <w:rPr>
          <w:sz w:val="24"/>
        </w:rPr>
        <w:t>GB50369-2014</w:t>
      </w:r>
      <w:r>
        <w:rPr>
          <w:sz w:val="24"/>
        </w:rPr>
        <w:t>）的要求。施工作业带的宽度按照高陡边坡</w:t>
      </w:r>
      <w:r>
        <w:rPr>
          <w:sz w:val="24"/>
        </w:rPr>
        <w:t>12m</w:t>
      </w:r>
      <w:r>
        <w:rPr>
          <w:sz w:val="24"/>
        </w:rPr>
        <w:t>，普通段</w:t>
      </w:r>
      <w:r>
        <w:rPr>
          <w:sz w:val="24"/>
        </w:rPr>
        <w:t>10m</w:t>
      </w:r>
      <w:r>
        <w:rPr>
          <w:sz w:val="24"/>
        </w:rPr>
        <w:t>考虑。</w:t>
      </w:r>
    </w:p>
    <w:p w14:paraId="22A05DA7" w14:textId="77777777" w:rsidR="007D1E74" w:rsidRDefault="00A95641">
      <w:pPr>
        <w:spacing w:line="360" w:lineRule="auto"/>
        <w:ind w:firstLineChars="200" w:firstLine="480"/>
        <w:rPr>
          <w:sz w:val="24"/>
        </w:rPr>
      </w:pPr>
      <w:r>
        <w:rPr>
          <w:rFonts w:ascii="宋体" w:hAnsi="宋体" w:cs="宋体" w:hint="eastAsia"/>
          <w:sz w:val="24"/>
        </w:rPr>
        <w:t>⑤</w:t>
      </w:r>
      <w:r>
        <w:rPr>
          <w:sz w:val="24"/>
        </w:rPr>
        <w:t>管沟回填</w:t>
      </w:r>
    </w:p>
    <w:p w14:paraId="7D358BE8" w14:textId="77777777" w:rsidR="007D1E74" w:rsidRDefault="00A95641">
      <w:pPr>
        <w:spacing w:line="360" w:lineRule="auto"/>
        <w:ind w:firstLineChars="200" w:firstLine="480"/>
        <w:rPr>
          <w:sz w:val="24"/>
        </w:rPr>
      </w:pPr>
      <w:r>
        <w:rPr>
          <w:sz w:val="24"/>
        </w:rPr>
        <w:t>管沟回填宜分两次进行，第一次应回填细软土，并应高出管顶</w:t>
      </w:r>
      <w:r>
        <w:rPr>
          <w:sz w:val="24"/>
        </w:rPr>
        <w:t>300mm</w:t>
      </w:r>
      <w:r>
        <w:rPr>
          <w:sz w:val="24"/>
        </w:rPr>
        <w:t>；第二次可回填其他土，表层应回填耕植土，回填土应高出自然地面</w:t>
      </w:r>
      <w:r>
        <w:rPr>
          <w:sz w:val="24"/>
        </w:rPr>
        <w:t>300mm</w:t>
      </w:r>
      <w:r>
        <w:rPr>
          <w:sz w:val="24"/>
        </w:rPr>
        <w:t>。在管道出土端和弯头两侧，回填土应分层夯实。</w:t>
      </w:r>
    </w:p>
    <w:p w14:paraId="0A4544FC" w14:textId="77777777" w:rsidR="007D1E74" w:rsidRDefault="00A95641">
      <w:pPr>
        <w:spacing w:line="360" w:lineRule="auto"/>
        <w:ind w:firstLineChars="200" w:firstLine="480"/>
        <w:rPr>
          <w:sz w:val="24"/>
        </w:rPr>
      </w:pPr>
      <w:r>
        <w:rPr>
          <w:sz w:val="24"/>
        </w:rPr>
        <w:t>（</w:t>
      </w:r>
      <w:r>
        <w:rPr>
          <w:sz w:val="24"/>
        </w:rPr>
        <w:t>2</w:t>
      </w:r>
      <w:r>
        <w:rPr>
          <w:sz w:val="24"/>
        </w:rPr>
        <w:t>）沿线特殊地段及处理</w:t>
      </w:r>
    </w:p>
    <w:p w14:paraId="1E743B36" w14:textId="77777777" w:rsidR="007D1E74" w:rsidRDefault="00A95641">
      <w:pPr>
        <w:spacing w:line="360" w:lineRule="auto"/>
        <w:ind w:firstLineChars="200" w:firstLine="480"/>
        <w:rPr>
          <w:sz w:val="24"/>
        </w:rPr>
      </w:pPr>
      <w:r>
        <w:rPr>
          <w:rFonts w:ascii="宋体" w:hAnsi="宋体" w:cs="宋体" w:hint="eastAsia"/>
          <w:sz w:val="24"/>
        </w:rPr>
        <w:t>①</w:t>
      </w:r>
      <w:r>
        <w:rPr>
          <w:sz w:val="24"/>
        </w:rPr>
        <w:t>山区段</w:t>
      </w:r>
    </w:p>
    <w:p w14:paraId="6C103AEA" w14:textId="77777777" w:rsidR="007D1E74" w:rsidRDefault="00A95641">
      <w:pPr>
        <w:spacing w:line="360" w:lineRule="auto"/>
        <w:ind w:firstLineChars="200" w:firstLine="480"/>
        <w:rPr>
          <w:sz w:val="24"/>
        </w:rPr>
      </w:pPr>
      <w:r>
        <w:rPr>
          <w:sz w:val="24"/>
        </w:rPr>
        <w:t>山区段没有道路的需修路然后敷设管道，有山间道路的可拓宽，以便管道能够放置在路边。设计中尽量满足施工期间的设备、材料运输和管道安装的方便性以及后期运行中的安全性。</w:t>
      </w:r>
    </w:p>
    <w:p w14:paraId="45B11AF8" w14:textId="77777777" w:rsidR="007D1E74" w:rsidRDefault="00A95641">
      <w:pPr>
        <w:spacing w:line="360" w:lineRule="auto"/>
        <w:ind w:firstLineChars="200" w:firstLine="480"/>
        <w:rPr>
          <w:sz w:val="24"/>
        </w:rPr>
      </w:pPr>
      <w:r>
        <w:rPr>
          <w:rFonts w:ascii="宋体" w:hAnsi="宋体" w:cs="宋体" w:hint="eastAsia"/>
          <w:sz w:val="24"/>
        </w:rPr>
        <w:t>②</w:t>
      </w:r>
      <w:r>
        <w:rPr>
          <w:sz w:val="24"/>
        </w:rPr>
        <w:t>经济作物区、果园段</w:t>
      </w:r>
    </w:p>
    <w:p w14:paraId="36646E97" w14:textId="77777777" w:rsidR="007D1E74" w:rsidRDefault="00A95641">
      <w:pPr>
        <w:spacing w:line="360" w:lineRule="auto"/>
        <w:ind w:firstLineChars="200" w:firstLine="480"/>
        <w:rPr>
          <w:sz w:val="24"/>
        </w:rPr>
      </w:pPr>
      <w:r>
        <w:rPr>
          <w:sz w:val="24"/>
        </w:rPr>
        <w:t>管道所经地区以林区、耕地为主，为减少管道施工对经济作物、果园的损坏，选线过程中尽量选择避绕，对于无法避开区段，管道尽量靠近果树园内农用道路敷设，施工作业带宽度应尽量缩窄，可考虑采用沟下组焊方式以减小施工作业带宽度，以减少占地赔偿。</w:t>
      </w:r>
    </w:p>
    <w:p w14:paraId="45F3702C" w14:textId="77777777" w:rsidR="007D1E74" w:rsidRDefault="00A95641">
      <w:pPr>
        <w:spacing w:line="360" w:lineRule="auto"/>
        <w:ind w:firstLineChars="200" w:firstLine="480"/>
        <w:rPr>
          <w:sz w:val="24"/>
        </w:rPr>
      </w:pPr>
      <w:r>
        <w:rPr>
          <w:rFonts w:ascii="宋体" w:hAnsi="宋体" w:cs="宋体" w:hint="eastAsia"/>
          <w:sz w:val="24"/>
        </w:rPr>
        <w:t>③</w:t>
      </w:r>
      <w:r>
        <w:rPr>
          <w:sz w:val="24"/>
        </w:rPr>
        <w:t>穿越林区地段</w:t>
      </w:r>
    </w:p>
    <w:p w14:paraId="27230F3E" w14:textId="77777777" w:rsidR="007D1E74" w:rsidRDefault="00A95641">
      <w:pPr>
        <w:spacing w:line="360" w:lineRule="auto"/>
        <w:ind w:firstLineChars="200" w:firstLine="480"/>
        <w:rPr>
          <w:sz w:val="24"/>
        </w:rPr>
      </w:pPr>
      <w:r>
        <w:rPr>
          <w:sz w:val="24"/>
        </w:rPr>
        <w:t>对于林区内的管道施工，作业带宽度</w:t>
      </w:r>
      <w:r>
        <w:rPr>
          <w:sz w:val="24"/>
        </w:rPr>
        <w:t xml:space="preserve"> 5m</w:t>
      </w:r>
      <w:r>
        <w:rPr>
          <w:sz w:val="24"/>
        </w:rPr>
        <w:t>，并应预先编制施工安全预案，确保林区</w:t>
      </w:r>
      <w:r>
        <w:rPr>
          <w:sz w:val="24"/>
        </w:rPr>
        <w:lastRenderedPageBreak/>
        <w:t>内的施工安全。管沟开挖严禁采用爆破方式进行；管沟成型组焊前，应清除管沟附近的树枝、树叶，组焊建议采用沟下焊方式；焊接过程中，应对焊接区一定范围设置临时的隔阻材料（如隔板），防止电弧和火花进入林区；严禁在树林边或树林内吸烟、引弧；对于材料中的易燃物质，应设置于空旷的场地且远离焊接区；施工中应配备一定数量的移动灭火器。</w:t>
      </w:r>
    </w:p>
    <w:p w14:paraId="070C8D67" w14:textId="77777777" w:rsidR="007D1E74" w:rsidRDefault="00A95641">
      <w:pPr>
        <w:pStyle w:val="41"/>
        <w:tabs>
          <w:tab w:val="left" w:pos="860"/>
        </w:tabs>
        <w:spacing w:line="360" w:lineRule="auto"/>
        <w:jc w:val="left"/>
        <w:rPr>
          <w:rFonts w:ascii="Times New Roman" w:hAnsi="Times New Roman"/>
          <w:sz w:val="24"/>
          <w:szCs w:val="24"/>
        </w:rPr>
      </w:pPr>
      <w:r>
        <w:rPr>
          <w:rFonts w:ascii="Times New Roman" w:hAnsi="Times New Roman"/>
          <w:sz w:val="24"/>
          <w:szCs w:val="24"/>
        </w:rPr>
        <w:t>3.1.4.2</w:t>
      </w:r>
      <w:r>
        <w:rPr>
          <w:rFonts w:ascii="Times New Roman" w:hAnsi="Times New Roman"/>
          <w:sz w:val="24"/>
          <w:szCs w:val="24"/>
        </w:rPr>
        <w:t>管道地表水穿越</w:t>
      </w:r>
    </w:p>
    <w:p w14:paraId="07994DA9" w14:textId="77777777" w:rsidR="007D1E74" w:rsidRDefault="00A95641">
      <w:pPr>
        <w:spacing w:line="360" w:lineRule="auto"/>
        <w:ind w:firstLineChars="200" w:firstLine="480"/>
        <w:rPr>
          <w:sz w:val="24"/>
        </w:rPr>
      </w:pPr>
      <w:r>
        <w:rPr>
          <w:sz w:val="24"/>
        </w:rPr>
        <w:t>本项目穿跨越小型沟渠</w:t>
      </w:r>
      <w:r>
        <w:rPr>
          <w:sz w:val="24"/>
        </w:rPr>
        <w:t>115m/9</w:t>
      </w:r>
      <w:r>
        <w:rPr>
          <w:sz w:val="24"/>
        </w:rPr>
        <w:t>次，项目穿越四川诺水河珍稀水生动物国家级自然保护区小通江</w:t>
      </w:r>
      <w:r>
        <w:rPr>
          <w:sz w:val="24"/>
        </w:rPr>
        <w:t>1000.4m/3</w:t>
      </w:r>
      <w:r>
        <w:rPr>
          <w:sz w:val="24"/>
        </w:rPr>
        <w:t>次。</w:t>
      </w:r>
    </w:p>
    <w:p w14:paraId="1F450A70" w14:textId="77777777" w:rsidR="007D1E74" w:rsidRDefault="00A95641">
      <w:pPr>
        <w:spacing w:line="360" w:lineRule="auto"/>
        <w:ind w:firstLineChars="200" w:firstLine="480"/>
        <w:rPr>
          <w:sz w:val="24"/>
        </w:rPr>
      </w:pPr>
      <w:r>
        <w:rPr>
          <w:sz w:val="24"/>
        </w:rPr>
        <w:t>穿越小型沟渠全部采用挖沟法穿越，在枯水期采用围堰大开挖方式穿越，弹性敷设及弯管、弯头两端环焊缝严禁穿入套管内。套管内用细砂充填，间隔</w:t>
      </w:r>
      <w:r>
        <w:rPr>
          <w:sz w:val="24"/>
        </w:rPr>
        <w:t>2m</w:t>
      </w:r>
      <w:r>
        <w:rPr>
          <w:sz w:val="24"/>
        </w:rPr>
        <w:t>加管道隔离保护支架。项目穿越处沟渠丰水期有水，冬季水量小甚至断流。因此，沟渠穿越处施工计划在枯水期进行。</w:t>
      </w:r>
    </w:p>
    <w:p w14:paraId="36AE2D73" w14:textId="77777777" w:rsidR="007D1E74" w:rsidRDefault="00A95641">
      <w:pPr>
        <w:spacing w:line="360" w:lineRule="auto"/>
        <w:ind w:firstLineChars="200" w:firstLine="480"/>
        <w:rPr>
          <w:sz w:val="24"/>
        </w:rPr>
      </w:pPr>
      <w:r>
        <w:rPr>
          <w:sz w:val="24"/>
        </w:rPr>
        <w:t>项目穿越四川诺水河珍稀水生动物国家级自然保护区小通江，采取定向钻的方式进行穿越。</w:t>
      </w:r>
    </w:p>
    <w:p w14:paraId="5312688C" w14:textId="77777777" w:rsidR="007D1E74" w:rsidRDefault="00A95641">
      <w:pPr>
        <w:spacing w:line="360" w:lineRule="auto"/>
        <w:ind w:firstLineChars="200" w:firstLine="480"/>
        <w:rPr>
          <w:sz w:val="24"/>
        </w:rPr>
      </w:pPr>
      <w:r>
        <w:rPr>
          <w:sz w:val="24"/>
        </w:rPr>
        <w:t>项目穿越情况见表</w:t>
      </w:r>
      <w:r>
        <w:rPr>
          <w:sz w:val="24"/>
        </w:rPr>
        <w:t xml:space="preserve"> 3.1-9</w:t>
      </w:r>
      <w:r>
        <w:rPr>
          <w:sz w:val="24"/>
        </w:rPr>
        <w:t>。</w:t>
      </w:r>
    </w:p>
    <w:p w14:paraId="04419F8D" w14:textId="77777777" w:rsidR="007D1E74" w:rsidRDefault="00A95641">
      <w:pPr>
        <w:tabs>
          <w:tab w:val="left" w:pos="1074"/>
        </w:tabs>
        <w:spacing w:before="79" w:after="20"/>
        <w:ind w:left="4"/>
        <w:jc w:val="center"/>
        <w:rPr>
          <w:b/>
        </w:rPr>
      </w:pPr>
      <w:r>
        <w:rPr>
          <w:b/>
        </w:rPr>
        <w:t>表</w:t>
      </w:r>
      <w:r>
        <w:rPr>
          <w:b/>
          <w:spacing w:val="1"/>
        </w:rPr>
        <w:t xml:space="preserve"> </w:t>
      </w:r>
      <w:r>
        <w:rPr>
          <w:b/>
        </w:rPr>
        <w:t>3.1-9</w:t>
      </w:r>
      <w:r>
        <w:rPr>
          <w:b/>
        </w:rPr>
        <w:tab/>
      </w:r>
      <w:r>
        <w:rPr>
          <w:b/>
        </w:rPr>
        <w:t>管道地表水</w:t>
      </w:r>
      <w:r>
        <w:rPr>
          <w:b/>
          <w:spacing w:val="-3"/>
        </w:rPr>
        <w:t>穿</w:t>
      </w:r>
      <w:r>
        <w:rPr>
          <w:b/>
        </w:rPr>
        <w:t>越一览表</w:t>
      </w: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1"/>
        <w:gridCol w:w="1554"/>
        <w:gridCol w:w="833"/>
        <w:gridCol w:w="2387"/>
        <w:gridCol w:w="806"/>
        <w:gridCol w:w="965"/>
        <w:gridCol w:w="1030"/>
        <w:gridCol w:w="900"/>
      </w:tblGrid>
      <w:tr w:rsidR="007D1E74" w14:paraId="33B139DC" w14:textId="77777777">
        <w:trPr>
          <w:trHeight w:val="311"/>
        </w:trPr>
        <w:tc>
          <w:tcPr>
            <w:tcW w:w="300" w:type="pct"/>
            <w:vMerge w:val="restart"/>
            <w:vAlign w:val="center"/>
          </w:tcPr>
          <w:p w14:paraId="64928BC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序号</w:t>
            </w:r>
          </w:p>
        </w:tc>
        <w:tc>
          <w:tcPr>
            <w:tcW w:w="862" w:type="pct"/>
            <w:vMerge w:val="restart"/>
            <w:vAlign w:val="center"/>
          </w:tcPr>
          <w:p w14:paraId="65097443"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管道名称</w:t>
            </w:r>
          </w:p>
        </w:tc>
        <w:tc>
          <w:tcPr>
            <w:tcW w:w="3838" w:type="pct"/>
            <w:gridSpan w:val="6"/>
            <w:vAlign w:val="center"/>
          </w:tcPr>
          <w:p w14:paraId="36BE0AC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水渠穿越</w:t>
            </w:r>
          </w:p>
        </w:tc>
      </w:tr>
      <w:tr w:rsidR="007D1E74" w14:paraId="4BAD7AFE" w14:textId="77777777">
        <w:trPr>
          <w:trHeight w:val="311"/>
        </w:trPr>
        <w:tc>
          <w:tcPr>
            <w:tcW w:w="300" w:type="pct"/>
            <w:vMerge/>
            <w:vAlign w:val="center"/>
          </w:tcPr>
          <w:p w14:paraId="3105692A" w14:textId="77777777" w:rsidR="007D1E74" w:rsidRDefault="007D1E74">
            <w:pPr>
              <w:pStyle w:val="TableParagraph"/>
              <w:adjustRightInd/>
              <w:jc w:val="center"/>
              <w:rPr>
                <w:rFonts w:ascii="Times New Roman" w:hAnsi="Times New Roman"/>
                <w:sz w:val="21"/>
                <w:szCs w:val="21"/>
              </w:rPr>
            </w:pPr>
          </w:p>
        </w:tc>
        <w:tc>
          <w:tcPr>
            <w:tcW w:w="862" w:type="pct"/>
            <w:vMerge/>
            <w:vAlign w:val="center"/>
          </w:tcPr>
          <w:p w14:paraId="37A04B99" w14:textId="77777777" w:rsidR="007D1E74" w:rsidRDefault="007D1E74">
            <w:pPr>
              <w:pStyle w:val="TableParagraph"/>
              <w:adjustRightInd/>
              <w:jc w:val="center"/>
              <w:rPr>
                <w:rFonts w:ascii="Times New Roman" w:hAnsi="Times New Roman"/>
                <w:sz w:val="21"/>
                <w:szCs w:val="21"/>
              </w:rPr>
            </w:pPr>
          </w:p>
        </w:tc>
        <w:tc>
          <w:tcPr>
            <w:tcW w:w="462" w:type="pct"/>
            <w:vAlign w:val="center"/>
          </w:tcPr>
          <w:p w14:paraId="1B80F02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编号</w:t>
            </w:r>
          </w:p>
        </w:tc>
        <w:tc>
          <w:tcPr>
            <w:tcW w:w="1324" w:type="pct"/>
            <w:vAlign w:val="center"/>
          </w:tcPr>
          <w:p w14:paraId="3C8A755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穿越桩号</w:t>
            </w:r>
          </w:p>
        </w:tc>
        <w:tc>
          <w:tcPr>
            <w:tcW w:w="447" w:type="pct"/>
            <w:vAlign w:val="center"/>
          </w:tcPr>
          <w:p w14:paraId="26C37A2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穿跨越长度</w:t>
            </w:r>
          </w:p>
        </w:tc>
        <w:tc>
          <w:tcPr>
            <w:tcW w:w="535" w:type="pct"/>
            <w:vAlign w:val="center"/>
          </w:tcPr>
          <w:p w14:paraId="3431AF7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施工方式</w:t>
            </w:r>
          </w:p>
        </w:tc>
        <w:tc>
          <w:tcPr>
            <w:tcW w:w="571" w:type="pct"/>
            <w:vAlign w:val="center"/>
          </w:tcPr>
          <w:p w14:paraId="7126244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保护方式</w:t>
            </w:r>
          </w:p>
        </w:tc>
        <w:tc>
          <w:tcPr>
            <w:tcW w:w="499" w:type="pct"/>
            <w:vAlign w:val="center"/>
          </w:tcPr>
          <w:p w14:paraId="5F4A97C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备注</w:t>
            </w:r>
          </w:p>
        </w:tc>
      </w:tr>
      <w:tr w:rsidR="007D1E74" w14:paraId="32F9DB01" w14:textId="77777777">
        <w:trPr>
          <w:trHeight w:val="313"/>
        </w:trPr>
        <w:tc>
          <w:tcPr>
            <w:tcW w:w="300" w:type="pct"/>
            <w:vAlign w:val="center"/>
          </w:tcPr>
          <w:p w14:paraId="595449F9" w14:textId="77777777" w:rsidR="007D1E74" w:rsidRDefault="00A95641">
            <w:pPr>
              <w:jc w:val="center"/>
              <w:rPr>
                <w:szCs w:val="21"/>
              </w:rPr>
            </w:pPr>
            <w:r>
              <w:rPr>
                <w:szCs w:val="21"/>
              </w:rPr>
              <w:t>1</w:t>
            </w:r>
          </w:p>
        </w:tc>
        <w:tc>
          <w:tcPr>
            <w:tcW w:w="862" w:type="pct"/>
            <w:vMerge w:val="restart"/>
            <w:vAlign w:val="center"/>
          </w:tcPr>
          <w:p w14:paraId="11A6BE49" w14:textId="77777777" w:rsidR="007D1E74" w:rsidRDefault="00A95641">
            <w:pPr>
              <w:jc w:val="center"/>
              <w:rPr>
                <w:szCs w:val="21"/>
              </w:rPr>
            </w:pPr>
            <w:r>
              <w:rPr>
                <w:szCs w:val="21"/>
              </w:rPr>
              <w:t>1#</w:t>
            </w:r>
            <w:r>
              <w:rPr>
                <w:szCs w:val="21"/>
              </w:rPr>
              <w:t>阀室至马</w:t>
            </w:r>
            <w:r>
              <w:rPr>
                <w:szCs w:val="21"/>
              </w:rPr>
              <w:t>1-11</w:t>
            </w:r>
            <w:r>
              <w:rPr>
                <w:szCs w:val="21"/>
              </w:rPr>
              <w:t>脱水井场集输管线</w:t>
            </w:r>
          </w:p>
        </w:tc>
        <w:tc>
          <w:tcPr>
            <w:tcW w:w="462" w:type="pct"/>
            <w:vAlign w:val="center"/>
          </w:tcPr>
          <w:p w14:paraId="44DEAE6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w:t>
            </w:r>
          </w:p>
        </w:tc>
        <w:tc>
          <w:tcPr>
            <w:tcW w:w="1324" w:type="pct"/>
            <w:vAlign w:val="center"/>
          </w:tcPr>
          <w:p w14:paraId="2DD605AE"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A 5+848.1~ A 5+855.7</w:t>
            </w:r>
          </w:p>
        </w:tc>
        <w:tc>
          <w:tcPr>
            <w:tcW w:w="447" w:type="pct"/>
            <w:vAlign w:val="center"/>
          </w:tcPr>
          <w:p w14:paraId="06A4B0A4"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6</w:t>
            </w:r>
          </w:p>
        </w:tc>
        <w:tc>
          <w:tcPr>
            <w:tcW w:w="535" w:type="pct"/>
            <w:vAlign w:val="center"/>
          </w:tcPr>
          <w:p w14:paraId="7719418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大开挖</w:t>
            </w:r>
          </w:p>
        </w:tc>
        <w:tc>
          <w:tcPr>
            <w:tcW w:w="571" w:type="pct"/>
            <w:vAlign w:val="center"/>
          </w:tcPr>
          <w:p w14:paraId="1EF453A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弹性敷设</w:t>
            </w:r>
          </w:p>
        </w:tc>
        <w:tc>
          <w:tcPr>
            <w:tcW w:w="499" w:type="pct"/>
            <w:vAlign w:val="center"/>
          </w:tcPr>
          <w:p w14:paraId="1E3A05B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杨家河支流</w:t>
            </w:r>
          </w:p>
        </w:tc>
      </w:tr>
      <w:tr w:rsidR="007D1E74" w14:paraId="0DF06D2A" w14:textId="77777777">
        <w:trPr>
          <w:trHeight w:val="313"/>
        </w:trPr>
        <w:tc>
          <w:tcPr>
            <w:tcW w:w="300" w:type="pct"/>
            <w:vAlign w:val="center"/>
          </w:tcPr>
          <w:p w14:paraId="36537E92" w14:textId="77777777" w:rsidR="007D1E74" w:rsidRDefault="00A95641">
            <w:pPr>
              <w:jc w:val="center"/>
              <w:rPr>
                <w:szCs w:val="21"/>
              </w:rPr>
            </w:pPr>
            <w:r>
              <w:rPr>
                <w:szCs w:val="21"/>
              </w:rPr>
              <w:t>2</w:t>
            </w:r>
          </w:p>
        </w:tc>
        <w:tc>
          <w:tcPr>
            <w:tcW w:w="862" w:type="pct"/>
            <w:vMerge/>
            <w:vAlign w:val="center"/>
          </w:tcPr>
          <w:p w14:paraId="3C2B6C46" w14:textId="77777777" w:rsidR="007D1E74" w:rsidRDefault="007D1E74">
            <w:pPr>
              <w:jc w:val="center"/>
              <w:rPr>
                <w:szCs w:val="21"/>
              </w:rPr>
            </w:pPr>
          </w:p>
        </w:tc>
        <w:tc>
          <w:tcPr>
            <w:tcW w:w="462" w:type="pct"/>
            <w:vAlign w:val="center"/>
          </w:tcPr>
          <w:p w14:paraId="68E58CF9" w14:textId="77777777" w:rsidR="007D1E74" w:rsidRDefault="00A95641">
            <w:pPr>
              <w:pStyle w:val="TableParagraph"/>
              <w:adjustRightInd/>
              <w:jc w:val="center"/>
              <w:rPr>
                <w:rFonts w:ascii="Times New Roman" w:hAnsi="Times New Roman"/>
                <w:sz w:val="21"/>
                <w:szCs w:val="21"/>
              </w:rPr>
            </w:pPr>
            <w:r>
              <w:rPr>
                <w:rFonts w:ascii="Times New Roman" w:hAnsi="Times New Roman"/>
                <w:w w:val="95"/>
                <w:sz w:val="21"/>
                <w:szCs w:val="21"/>
              </w:rPr>
              <w:t>2#</w:t>
            </w:r>
          </w:p>
        </w:tc>
        <w:tc>
          <w:tcPr>
            <w:tcW w:w="1324" w:type="pct"/>
            <w:vAlign w:val="center"/>
          </w:tcPr>
          <w:p w14:paraId="495E1A9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A6+718~ A6+724</w:t>
            </w:r>
          </w:p>
        </w:tc>
        <w:tc>
          <w:tcPr>
            <w:tcW w:w="447" w:type="pct"/>
            <w:vAlign w:val="center"/>
          </w:tcPr>
          <w:p w14:paraId="3A2F603C"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7.6</w:t>
            </w:r>
          </w:p>
        </w:tc>
        <w:tc>
          <w:tcPr>
            <w:tcW w:w="535" w:type="pct"/>
            <w:vAlign w:val="center"/>
          </w:tcPr>
          <w:p w14:paraId="468BB2E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大开挖</w:t>
            </w:r>
          </w:p>
        </w:tc>
        <w:tc>
          <w:tcPr>
            <w:tcW w:w="571" w:type="pct"/>
            <w:vAlign w:val="center"/>
          </w:tcPr>
          <w:p w14:paraId="785BA20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弹性敷设</w:t>
            </w:r>
          </w:p>
        </w:tc>
        <w:tc>
          <w:tcPr>
            <w:tcW w:w="499" w:type="pct"/>
            <w:vAlign w:val="center"/>
          </w:tcPr>
          <w:p w14:paraId="6E6403B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杨家河支流</w:t>
            </w:r>
          </w:p>
        </w:tc>
      </w:tr>
      <w:tr w:rsidR="007D1E74" w14:paraId="24C0484E" w14:textId="77777777">
        <w:trPr>
          <w:trHeight w:val="313"/>
        </w:trPr>
        <w:tc>
          <w:tcPr>
            <w:tcW w:w="300" w:type="pct"/>
            <w:vAlign w:val="center"/>
          </w:tcPr>
          <w:p w14:paraId="5B988F57" w14:textId="77777777" w:rsidR="007D1E74" w:rsidRDefault="00A95641">
            <w:pPr>
              <w:jc w:val="center"/>
              <w:rPr>
                <w:szCs w:val="21"/>
              </w:rPr>
            </w:pPr>
            <w:r>
              <w:rPr>
                <w:szCs w:val="21"/>
              </w:rPr>
              <w:t>3</w:t>
            </w:r>
          </w:p>
        </w:tc>
        <w:tc>
          <w:tcPr>
            <w:tcW w:w="862" w:type="pct"/>
            <w:vMerge/>
            <w:vAlign w:val="center"/>
          </w:tcPr>
          <w:p w14:paraId="06BFE775" w14:textId="77777777" w:rsidR="007D1E74" w:rsidRDefault="007D1E74">
            <w:pPr>
              <w:jc w:val="center"/>
              <w:rPr>
                <w:szCs w:val="21"/>
              </w:rPr>
            </w:pPr>
          </w:p>
        </w:tc>
        <w:tc>
          <w:tcPr>
            <w:tcW w:w="462" w:type="pct"/>
            <w:vAlign w:val="center"/>
          </w:tcPr>
          <w:p w14:paraId="0B1F27BC" w14:textId="77777777" w:rsidR="007D1E74" w:rsidRDefault="00A95641">
            <w:pPr>
              <w:pStyle w:val="TableParagraph"/>
              <w:adjustRightInd/>
              <w:jc w:val="center"/>
              <w:rPr>
                <w:rFonts w:ascii="Times New Roman" w:hAnsi="Times New Roman"/>
                <w:w w:val="95"/>
                <w:sz w:val="21"/>
                <w:szCs w:val="21"/>
              </w:rPr>
            </w:pPr>
            <w:r>
              <w:rPr>
                <w:rFonts w:ascii="Times New Roman" w:hAnsi="Times New Roman"/>
                <w:w w:val="95"/>
                <w:sz w:val="21"/>
                <w:szCs w:val="21"/>
              </w:rPr>
              <w:t>3#</w:t>
            </w:r>
          </w:p>
        </w:tc>
        <w:tc>
          <w:tcPr>
            <w:tcW w:w="1324" w:type="pct"/>
            <w:vAlign w:val="center"/>
          </w:tcPr>
          <w:p w14:paraId="4543FB9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A6+072.50~ A6+400.80</w:t>
            </w:r>
          </w:p>
        </w:tc>
        <w:tc>
          <w:tcPr>
            <w:tcW w:w="447" w:type="pct"/>
            <w:vAlign w:val="center"/>
          </w:tcPr>
          <w:p w14:paraId="5C1699DA"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328.3</w:t>
            </w:r>
          </w:p>
        </w:tc>
        <w:tc>
          <w:tcPr>
            <w:tcW w:w="535" w:type="pct"/>
            <w:vAlign w:val="center"/>
          </w:tcPr>
          <w:p w14:paraId="6A19388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定向钻</w:t>
            </w:r>
          </w:p>
        </w:tc>
        <w:tc>
          <w:tcPr>
            <w:tcW w:w="571" w:type="pct"/>
            <w:vAlign w:val="center"/>
          </w:tcPr>
          <w:p w14:paraId="649A884E"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弹性敷设</w:t>
            </w:r>
          </w:p>
        </w:tc>
        <w:tc>
          <w:tcPr>
            <w:tcW w:w="499" w:type="pct"/>
            <w:vAlign w:val="center"/>
          </w:tcPr>
          <w:p w14:paraId="176BFC7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小通江</w:t>
            </w:r>
          </w:p>
        </w:tc>
      </w:tr>
      <w:tr w:rsidR="007D1E74" w14:paraId="5A11B84A" w14:textId="77777777">
        <w:trPr>
          <w:trHeight w:val="313"/>
        </w:trPr>
        <w:tc>
          <w:tcPr>
            <w:tcW w:w="300" w:type="pct"/>
            <w:vAlign w:val="center"/>
          </w:tcPr>
          <w:p w14:paraId="7FA29639" w14:textId="77777777" w:rsidR="007D1E74" w:rsidRDefault="00A95641">
            <w:pPr>
              <w:jc w:val="center"/>
              <w:rPr>
                <w:szCs w:val="21"/>
              </w:rPr>
            </w:pPr>
            <w:r>
              <w:rPr>
                <w:szCs w:val="21"/>
              </w:rPr>
              <w:t>4</w:t>
            </w:r>
          </w:p>
        </w:tc>
        <w:tc>
          <w:tcPr>
            <w:tcW w:w="862" w:type="pct"/>
            <w:vMerge w:val="restart"/>
            <w:vAlign w:val="center"/>
          </w:tcPr>
          <w:p w14:paraId="1B6A0A43" w14:textId="77777777" w:rsidR="007D1E74" w:rsidRDefault="00A95641">
            <w:pPr>
              <w:jc w:val="center"/>
              <w:rPr>
                <w:szCs w:val="21"/>
              </w:rPr>
            </w:pPr>
            <w:r>
              <w:rPr>
                <w:szCs w:val="21"/>
              </w:rPr>
              <w:t>马</w:t>
            </w:r>
            <w:r>
              <w:rPr>
                <w:szCs w:val="21"/>
              </w:rPr>
              <w:t>1-11</w:t>
            </w:r>
            <w:r>
              <w:rPr>
                <w:szCs w:val="21"/>
              </w:rPr>
              <w:t>至</w:t>
            </w:r>
            <w:r>
              <w:rPr>
                <w:szCs w:val="21"/>
              </w:rPr>
              <w:t>4#</w:t>
            </w:r>
            <w:r>
              <w:rPr>
                <w:szCs w:val="21"/>
              </w:rPr>
              <w:t>清管阀室</w:t>
            </w:r>
          </w:p>
        </w:tc>
        <w:tc>
          <w:tcPr>
            <w:tcW w:w="462" w:type="pct"/>
            <w:vAlign w:val="center"/>
          </w:tcPr>
          <w:p w14:paraId="4E186210" w14:textId="77777777" w:rsidR="007D1E74" w:rsidRDefault="00A95641">
            <w:pPr>
              <w:pStyle w:val="TableParagraph"/>
              <w:adjustRightInd/>
              <w:jc w:val="center"/>
              <w:rPr>
                <w:rFonts w:ascii="Times New Roman" w:hAnsi="Times New Roman"/>
                <w:w w:val="95"/>
                <w:sz w:val="21"/>
                <w:szCs w:val="21"/>
              </w:rPr>
            </w:pPr>
            <w:r>
              <w:rPr>
                <w:rFonts w:ascii="Times New Roman" w:hAnsi="Times New Roman"/>
                <w:sz w:val="21"/>
                <w:szCs w:val="21"/>
              </w:rPr>
              <w:t>1#</w:t>
            </w:r>
          </w:p>
        </w:tc>
        <w:tc>
          <w:tcPr>
            <w:tcW w:w="1324" w:type="pct"/>
            <w:vAlign w:val="center"/>
          </w:tcPr>
          <w:p w14:paraId="1876E2B8" w14:textId="77777777" w:rsidR="007D1E74" w:rsidRDefault="00A95641">
            <w:pPr>
              <w:widowControl/>
              <w:jc w:val="center"/>
              <w:rPr>
                <w:kern w:val="0"/>
                <w:sz w:val="22"/>
              </w:rPr>
            </w:pPr>
            <w:r>
              <w:rPr>
                <w:sz w:val="22"/>
              </w:rPr>
              <w:t>B0+257.6~ B 0+273</w:t>
            </w:r>
          </w:p>
        </w:tc>
        <w:tc>
          <w:tcPr>
            <w:tcW w:w="447" w:type="pct"/>
            <w:vAlign w:val="center"/>
          </w:tcPr>
          <w:p w14:paraId="23E47DB2"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15.4</w:t>
            </w:r>
          </w:p>
        </w:tc>
        <w:tc>
          <w:tcPr>
            <w:tcW w:w="535" w:type="pct"/>
            <w:vAlign w:val="center"/>
          </w:tcPr>
          <w:p w14:paraId="0FB6C8C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大开挖</w:t>
            </w:r>
          </w:p>
        </w:tc>
        <w:tc>
          <w:tcPr>
            <w:tcW w:w="571" w:type="pct"/>
            <w:vAlign w:val="center"/>
          </w:tcPr>
          <w:p w14:paraId="7240DC6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弹性敷设</w:t>
            </w:r>
          </w:p>
        </w:tc>
        <w:tc>
          <w:tcPr>
            <w:tcW w:w="499" w:type="pct"/>
            <w:vAlign w:val="center"/>
          </w:tcPr>
          <w:p w14:paraId="3D53FCB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小通江支流</w:t>
            </w:r>
          </w:p>
        </w:tc>
      </w:tr>
      <w:tr w:rsidR="007D1E74" w14:paraId="17CC305C" w14:textId="77777777">
        <w:trPr>
          <w:trHeight w:val="313"/>
        </w:trPr>
        <w:tc>
          <w:tcPr>
            <w:tcW w:w="300" w:type="pct"/>
            <w:vAlign w:val="center"/>
          </w:tcPr>
          <w:p w14:paraId="74D7CC3E" w14:textId="77777777" w:rsidR="007D1E74" w:rsidRDefault="00A95641">
            <w:pPr>
              <w:jc w:val="center"/>
              <w:rPr>
                <w:szCs w:val="21"/>
              </w:rPr>
            </w:pPr>
            <w:r>
              <w:rPr>
                <w:szCs w:val="21"/>
              </w:rPr>
              <w:t>5</w:t>
            </w:r>
          </w:p>
        </w:tc>
        <w:tc>
          <w:tcPr>
            <w:tcW w:w="862" w:type="pct"/>
            <w:vMerge/>
            <w:vAlign w:val="center"/>
          </w:tcPr>
          <w:p w14:paraId="15C34CCE" w14:textId="77777777" w:rsidR="007D1E74" w:rsidRDefault="007D1E74">
            <w:pPr>
              <w:jc w:val="center"/>
              <w:rPr>
                <w:szCs w:val="21"/>
              </w:rPr>
            </w:pPr>
          </w:p>
        </w:tc>
        <w:tc>
          <w:tcPr>
            <w:tcW w:w="462" w:type="pct"/>
            <w:vAlign w:val="center"/>
          </w:tcPr>
          <w:p w14:paraId="00662C11" w14:textId="77777777" w:rsidR="007D1E74" w:rsidRDefault="00A95641">
            <w:pPr>
              <w:pStyle w:val="TableParagraph"/>
              <w:adjustRightInd/>
              <w:jc w:val="center"/>
              <w:rPr>
                <w:rFonts w:ascii="Times New Roman" w:hAnsi="Times New Roman"/>
                <w:w w:val="95"/>
                <w:sz w:val="21"/>
                <w:szCs w:val="21"/>
              </w:rPr>
            </w:pPr>
            <w:r>
              <w:rPr>
                <w:rFonts w:ascii="Times New Roman" w:hAnsi="Times New Roman"/>
                <w:w w:val="95"/>
                <w:sz w:val="21"/>
                <w:szCs w:val="21"/>
              </w:rPr>
              <w:t>2#</w:t>
            </w:r>
          </w:p>
        </w:tc>
        <w:tc>
          <w:tcPr>
            <w:tcW w:w="1324" w:type="pct"/>
            <w:vAlign w:val="center"/>
          </w:tcPr>
          <w:p w14:paraId="6AB5489D" w14:textId="77777777" w:rsidR="007D1E74" w:rsidRDefault="00A95641">
            <w:pPr>
              <w:widowControl/>
              <w:jc w:val="center"/>
              <w:rPr>
                <w:kern w:val="0"/>
                <w:sz w:val="22"/>
              </w:rPr>
            </w:pPr>
            <w:r>
              <w:rPr>
                <w:sz w:val="22"/>
              </w:rPr>
              <w:t>B0+692.9~ B0+705.1</w:t>
            </w:r>
          </w:p>
        </w:tc>
        <w:tc>
          <w:tcPr>
            <w:tcW w:w="447" w:type="pct"/>
            <w:vAlign w:val="center"/>
          </w:tcPr>
          <w:p w14:paraId="47AF90F8"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12.2</w:t>
            </w:r>
          </w:p>
        </w:tc>
        <w:tc>
          <w:tcPr>
            <w:tcW w:w="535" w:type="pct"/>
            <w:vAlign w:val="center"/>
          </w:tcPr>
          <w:p w14:paraId="35594B7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大开挖</w:t>
            </w:r>
          </w:p>
        </w:tc>
        <w:tc>
          <w:tcPr>
            <w:tcW w:w="571" w:type="pct"/>
            <w:vAlign w:val="center"/>
          </w:tcPr>
          <w:p w14:paraId="3DB0F81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弹性敷设</w:t>
            </w:r>
          </w:p>
        </w:tc>
        <w:tc>
          <w:tcPr>
            <w:tcW w:w="499" w:type="pct"/>
            <w:vAlign w:val="center"/>
          </w:tcPr>
          <w:p w14:paraId="492B28E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小通江支流</w:t>
            </w:r>
          </w:p>
        </w:tc>
      </w:tr>
      <w:tr w:rsidR="007D1E74" w14:paraId="4D558277" w14:textId="77777777">
        <w:trPr>
          <w:trHeight w:val="313"/>
        </w:trPr>
        <w:tc>
          <w:tcPr>
            <w:tcW w:w="300" w:type="pct"/>
            <w:vAlign w:val="center"/>
          </w:tcPr>
          <w:p w14:paraId="0F67ED20" w14:textId="77777777" w:rsidR="007D1E74" w:rsidRDefault="00A95641">
            <w:pPr>
              <w:jc w:val="center"/>
              <w:rPr>
                <w:szCs w:val="21"/>
              </w:rPr>
            </w:pPr>
            <w:r>
              <w:rPr>
                <w:szCs w:val="21"/>
              </w:rPr>
              <w:t>6</w:t>
            </w:r>
          </w:p>
        </w:tc>
        <w:tc>
          <w:tcPr>
            <w:tcW w:w="862" w:type="pct"/>
            <w:vAlign w:val="center"/>
          </w:tcPr>
          <w:p w14:paraId="2100A4D7" w14:textId="77777777" w:rsidR="007D1E74" w:rsidRDefault="00A95641">
            <w:pPr>
              <w:jc w:val="center"/>
              <w:rPr>
                <w:szCs w:val="21"/>
              </w:rPr>
            </w:pPr>
            <w:r>
              <w:rPr>
                <w:kern w:val="0"/>
                <w:szCs w:val="21"/>
              </w:rPr>
              <w:t>马</w:t>
            </w:r>
            <w:r>
              <w:rPr>
                <w:kern w:val="0"/>
                <w:szCs w:val="21"/>
              </w:rPr>
              <w:t>1-10H</w:t>
            </w:r>
            <w:r>
              <w:rPr>
                <w:kern w:val="0"/>
                <w:szCs w:val="21"/>
              </w:rPr>
              <w:t>采气井场至马</w:t>
            </w:r>
            <w:r>
              <w:rPr>
                <w:kern w:val="0"/>
                <w:szCs w:val="21"/>
              </w:rPr>
              <w:t>1-1</w:t>
            </w:r>
            <w:r>
              <w:rPr>
                <w:kern w:val="0"/>
                <w:szCs w:val="21"/>
              </w:rPr>
              <w:t>集气支线</w:t>
            </w:r>
          </w:p>
        </w:tc>
        <w:tc>
          <w:tcPr>
            <w:tcW w:w="462" w:type="pct"/>
            <w:vAlign w:val="center"/>
          </w:tcPr>
          <w:p w14:paraId="30C09922" w14:textId="77777777" w:rsidR="007D1E74" w:rsidRDefault="00A95641">
            <w:pPr>
              <w:pStyle w:val="TableParagraph"/>
              <w:adjustRightInd/>
              <w:jc w:val="center"/>
              <w:rPr>
                <w:rFonts w:ascii="Times New Roman" w:hAnsi="Times New Roman"/>
                <w:w w:val="95"/>
                <w:sz w:val="21"/>
                <w:szCs w:val="21"/>
              </w:rPr>
            </w:pPr>
            <w:r>
              <w:rPr>
                <w:rFonts w:ascii="Times New Roman" w:hAnsi="Times New Roman"/>
                <w:w w:val="95"/>
                <w:sz w:val="21"/>
                <w:szCs w:val="21"/>
              </w:rPr>
              <w:t>1#</w:t>
            </w:r>
          </w:p>
        </w:tc>
        <w:tc>
          <w:tcPr>
            <w:tcW w:w="1324" w:type="pct"/>
            <w:vAlign w:val="center"/>
          </w:tcPr>
          <w:p w14:paraId="67BF7CB3" w14:textId="77777777" w:rsidR="007D1E74" w:rsidRDefault="00A95641">
            <w:pPr>
              <w:widowControl/>
              <w:jc w:val="center"/>
              <w:rPr>
                <w:kern w:val="0"/>
                <w:sz w:val="22"/>
              </w:rPr>
            </w:pPr>
            <w:r>
              <w:rPr>
                <w:sz w:val="22"/>
              </w:rPr>
              <w:t>E1+458.4~E1+472.2</w:t>
            </w:r>
          </w:p>
        </w:tc>
        <w:tc>
          <w:tcPr>
            <w:tcW w:w="447" w:type="pct"/>
            <w:vAlign w:val="center"/>
          </w:tcPr>
          <w:p w14:paraId="381FC694"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13.8</w:t>
            </w:r>
          </w:p>
        </w:tc>
        <w:tc>
          <w:tcPr>
            <w:tcW w:w="535" w:type="pct"/>
            <w:vAlign w:val="center"/>
          </w:tcPr>
          <w:p w14:paraId="3611F6A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大开挖</w:t>
            </w:r>
          </w:p>
        </w:tc>
        <w:tc>
          <w:tcPr>
            <w:tcW w:w="571" w:type="pct"/>
            <w:vAlign w:val="center"/>
          </w:tcPr>
          <w:p w14:paraId="6A304B2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弹性敷设</w:t>
            </w:r>
          </w:p>
        </w:tc>
        <w:tc>
          <w:tcPr>
            <w:tcW w:w="499" w:type="pct"/>
            <w:vAlign w:val="center"/>
          </w:tcPr>
          <w:p w14:paraId="59C09D0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小通江支流</w:t>
            </w:r>
          </w:p>
        </w:tc>
      </w:tr>
      <w:tr w:rsidR="007D1E74" w14:paraId="79DB30A0" w14:textId="77777777">
        <w:trPr>
          <w:trHeight w:val="313"/>
        </w:trPr>
        <w:tc>
          <w:tcPr>
            <w:tcW w:w="300" w:type="pct"/>
            <w:vAlign w:val="center"/>
          </w:tcPr>
          <w:p w14:paraId="647AF668" w14:textId="77777777" w:rsidR="007D1E74" w:rsidRDefault="00A95641">
            <w:pPr>
              <w:jc w:val="center"/>
              <w:rPr>
                <w:szCs w:val="21"/>
              </w:rPr>
            </w:pPr>
            <w:r>
              <w:rPr>
                <w:szCs w:val="21"/>
              </w:rPr>
              <w:t>7</w:t>
            </w:r>
          </w:p>
        </w:tc>
        <w:tc>
          <w:tcPr>
            <w:tcW w:w="862" w:type="pct"/>
            <w:vAlign w:val="center"/>
          </w:tcPr>
          <w:p w14:paraId="5C4BD231" w14:textId="77777777" w:rsidR="007D1E74" w:rsidRDefault="00A95641">
            <w:pPr>
              <w:jc w:val="center"/>
              <w:rPr>
                <w:szCs w:val="21"/>
              </w:rPr>
            </w:pPr>
            <w:r>
              <w:rPr>
                <w:kern w:val="0"/>
                <w:szCs w:val="21"/>
              </w:rPr>
              <w:t>马</w:t>
            </w:r>
            <w:r>
              <w:rPr>
                <w:kern w:val="0"/>
                <w:szCs w:val="21"/>
              </w:rPr>
              <w:t>1-13H</w:t>
            </w:r>
            <w:r>
              <w:rPr>
                <w:kern w:val="0"/>
                <w:szCs w:val="21"/>
              </w:rPr>
              <w:t>采气井场至干线</w:t>
            </w:r>
          </w:p>
        </w:tc>
        <w:tc>
          <w:tcPr>
            <w:tcW w:w="462" w:type="pct"/>
            <w:vAlign w:val="center"/>
          </w:tcPr>
          <w:p w14:paraId="63CB768B" w14:textId="77777777" w:rsidR="007D1E74" w:rsidRDefault="00A95641">
            <w:pPr>
              <w:pStyle w:val="TableParagraph"/>
              <w:adjustRightInd/>
              <w:jc w:val="center"/>
              <w:rPr>
                <w:rFonts w:ascii="Times New Roman" w:hAnsi="Times New Roman"/>
                <w:w w:val="95"/>
                <w:sz w:val="21"/>
                <w:szCs w:val="21"/>
              </w:rPr>
            </w:pPr>
            <w:r>
              <w:rPr>
                <w:rFonts w:ascii="Times New Roman" w:hAnsi="Times New Roman"/>
                <w:sz w:val="21"/>
                <w:szCs w:val="21"/>
              </w:rPr>
              <w:t>1#</w:t>
            </w:r>
          </w:p>
        </w:tc>
        <w:tc>
          <w:tcPr>
            <w:tcW w:w="1324" w:type="pct"/>
            <w:vAlign w:val="center"/>
          </w:tcPr>
          <w:p w14:paraId="0F8F9D0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D0+035.25~D0+324.39</w:t>
            </w:r>
          </w:p>
        </w:tc>
        <w:tc>
          <w:tcPr>
            <w:tcW w:w="447" w:type="pct"/>
            <w:vAlign w:val="center"/>
          </w:tcPr>
          <w:p w14:paraId="13889414"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289.1</w:t>
            </w:r>
          </w:p>
        </w:tc>
        <w:tc>
          <w:tcPr>
            <w:tcW w:w="535" w:type="pct"/>
            <w:vAlign w:val="center"/>
          </w:tcPr>
          <w:p w14:paraId="79A57803"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定向钻</w:t>
            </w:r>
          </w:p>
        </w:tc>
        <w:tc>
          <w:tcPr>
            <w:tcW w:w="571" w:type="pct"/>
            <w:vAlign w:val="center"/>
          </w:tcPr>
          <w:p w14:paraId="5BFA067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弹性敷设</w:t>
            </w:r>
          </w:p>
        </w:tc>
        <w:tc>
          <w:tcPr>
            <w:tcW w:w="499" w:type="pct"/>
            <w:vAlign w:val="center"/>
          </w:tcPr>
          <w:p w14:paraId="21D8164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小通江</w:t>
            </w:r>
          </w:p>
        </w:tc>
      </w:tr>
      <w:tr w:rsidR="007D1E74" w14:paraId="1E0E5194" w14:textId="77777777">
        <w:trPr>
          <w:trHeight w:val="313"/>
        </w:trPr>
        <w:tc>
          <w:tcPr>
            <w:tcW w:w="300" w:type="pct"/>
            <w:vAlign w:val="center"/>
          </w:tcPr>
          <w:p w14:paraId="68E568FA" w14:textId="77777777" w:rsidR="007D1E74" w:rsidRDefault="00A95641">
            <w:pPr>
              <w:jc w:val="center"/>
              <w:rPr>
                <w:szCs w:val="21"/>
              </w:rPr>
            </w:pPr>
            <w:r>
              <w:rPr>
                <w:szCs w:val="21"/>
              </w:rPr>
              <w:t>8</w:t>
            </w:r>
          </w:p>
        </w:tc>
        <w:tc>
          <w:tcPr>
            <w:tcW w:w="862" w:type="pct"/>
            <w:vAlign w:val="center"/>
          </w:tcPr>
          <w:p w14:paraId="43F92C97" w14:textId="77777777" w:rsidR="007D1E74" w:rsidRDefault="00A95641">
            <w:pPr>
              <w:jc w:val="center"/>
              <w:rPr>
                <w:szCs w:val="21"/>
              </w:rPr>
            </w:pPr>
            <w:r>
              <w:rPr>
                <w:szCs w:val="21"/>
              </w:rPr>
              <w:t>马</w:t>
            </w:r>
            <w:r>
              <w:rPr>
                <w:szCs w:val="21"/>
              </w:rPr>
              <w:t>1-12H</w:t>
            </w:r>
            <w:r>
              <w:rPr>
                <w:szCs w:val="21"/>
              </w:rPr>
              <w:t>采气井场至干线</w:t>
            </w:r>
          </w:p>
        </w:tc>
        <w:tc>
          <w:tcPr>
            <w:tcW w:w="462" w:type="pct"/>
            <w:vAlign w:val="center"/>
          </w:tcPr>
          <w:p w14:paraId="49307AAA" w14:textId="77777777" w:rsidR="007D1E74" w:rsidRDefault="00A95641">
            <w:pPr>
              <w:pStyle w:val="TableParagraph"/>
              <w:adjustRightInd/>
              <w:jc w:val="center"/>
              <w:rPr>
                <w:rFonts w:ascii="Times New Roman" w:hAnsi="Times New Roman"/>
                <w:w w:val="95"/>
                <w:sz w:val="21"/>
                <w:szCs w:val="21"/>
              </w:rPr>
            </w:pPr>
            <w:r>
              <w:rPr>
                <w:rFonts w:ascii="Times New Roman" w:hAnsi="Times New Roman"/>
                <w:w w:val="95"/>
                <w:sz w:val="21"/>
                <w:szCs w:val="21"/>
              </w:rPr>
              <w:t>1#</w:t>
            </w:r>
          </w:p>
        </w:tc>
        <w:tc>
          <w:tcPr>
            <w:tcW w:w="1324" w:type="pct"/>
            <w:vAlign w:val="center"/>
          </w:tcPr>
          <w:p w14:paraId="63DEB57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G0+931~G1+314</w:t>
            </w:r>
          </w:p>
        </w:tc>
        <w:tc>
          <w:tcPr>
            <w:tcW w:w="447" w:type="pct"/>
            <w:vAlign w:val="center"/>
          </w:tcPr>
          <w:p w14:paraId="71E514D6"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383</w:t>
            </w:r>
          </w:p>
        </w:tc>
        <w:tc>
          <w:tcPr>
            <w:tcW w:w="535" w:type="pct"/>
            <w:vAlign w:val="center"/>
          </w:tcPr>
          <w:p w14:paraId="7C5D37D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定向钻</w:t>
            </w:r>
          </w:p>
        </w:tc>
        <w:tc>
          <w:tcPr>
            <w:tcW w:w="571" w:type="pct"/>
            <w:vAlign w:val="center"/>
          </w:tcPr>
          <w:p w14:paraId="1F336AA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弹性敷设</w:t>
            </w:r>
          </w:p>
        </w:tc>
        <w:tc>
          <w:tcPr>
            <w:tcW w:w="499" w:type="pct"/>
            <w:vAlign w:val="center"/>
          </w:tcPr>
          <w:p w14:paraId="128F49C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小通江</w:t>
            </w:r>
          </w:p>
        </w:tc>
      </w:tr>
      <w:tr w:rsidR="007D1E74" w14:paraId="7A456C12" w14:textId="77777777">
        <w:trPr>
          <w:trHeight w:val="313"/>
        </w:trPr>
        <w:tc>
          <w:tcPr>
            <w:tcW w:w="300" w:type="pct"/>
            <w:vAlign w:val="center"/>
          </w:tcPr>
          <w:p w14:paraId="265C5F07" w14:textId="77777777" w:rsidR="007D1E74" w:rsidRDefault="00A95641">
            <w:pPr>
              <w:jc w:val="center"/>
              <w:rPr>
                <w:szCs w:val="21"/>
              </w:rPr>
            </w:pPr>
            <w:r>
              <w:rPr>
                <w:szCs w:val="21"/>
              </w:rPr>
              <w:t>9</w:t>
            </w:r>
          </w:p>
        </w:tc>
        <w:tc>
          <w:tcPr>
            <w:tcW w:w="862" w:type="pct"/>
            <w:vMerge w:val="restart"/>
            <w:vAlign w:val="center"/>
          </w:tcPr>
          <w:p w14:paraId="40B6553A" w14:textId="77777777" w:rsidR="007D1E74" w:rsidRDefault="00A95641">
            <w:pPr>
              <w:jc w:val="center"/>
              <w:rPr>
                <w:szCs w:val="21"/>
              </w:rPr>
            </w:pPr>
            <w:r>
              <w:rPr>
                <w:kern w:val="0"/>
                <w:szCs w:val="21"/>
              </w:rPr>
              <w:t>4#</w:t>
            </w:r>
            <w:r>
              <w:rPr>
                <w:kern w:val="0"/>
                <w:szCs w:val="21"/>
              </w:rPr>
              <w:t>清管阀组至草</w:t>
            </w:r>
            <w:r>
              <w:rPr>
                <w:kern w:val="0"/>
                <w:szCs w:val="21"/>
              </w:rPr>
              <w:lastRenderedPageBreak/>
              <w:t>池增压站集输干线</w:t>
            </w:r>
          </w:p>
        </w:tc>
        <w:tc>
          <w:tcPr>
            <w:tcW w:w="462" w:type="pct"/>
            <w:vAlign w:val="center"/>
          </w:tcPr>
          <w:p w14:paraId="2DF06910" w14:textId="77777777" w:rsidR="007D1E74" w:rsidRDefault="00A95641">
            <w:pPr>
              <w:pStyle w:val="TableParagraph"/>
              <w:adjustRightInd/>
              <w:jc w:val="center"/>
              <w:rPr>
                <w:rFonts w:ascii="Times New Roman" w:hAnsi="Times New Roman"/>
                <w:w w:val="95"/>
                <w:sz w:val="21"/>
                <w:szCs w:val="21"/>
              </w:rPr>
            </w:pPr>
            <w:r>
              <w:rPr>
                <w:rFonts w:ascii="Times New Roman" w:hAnsi="Times New Roman"/>
                <w:w w:val="95"/>
                <w:sz w:val="21"/>
                <w:szCs w:val="21"/>
              </w:rPr>
              <w:lastRenderedPageBreak/>
              <w:t>1#</w:t>
            </w:r>
          </w:p>
        </w:tc>
        <w:tc>
          <w:tcPr>
            <w:tcW w:w="1324" w:type="pct"/>
            <w:vAlign w:val="center"/>
          </w:tcPr>
          <w:p w14:paraId="7AFB603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C0+535.9~ C0+551.7</w:t>
            </w:r>
          </w:p>
        </w:tc>
        <w:tc>
          <w:tcPr>
            <w:tcW w:w="447" w:type="pct"/>
            <w:vAlign w:val="center"/>
          </w:tcPr>
          <w:p w14:paraId="18A793F9"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15.8</w:t>
            </w:r>
          </w:p>
        </w:tc>
        <w:tc>
          <w:tcPr>
            <w:tcW w:w="535" w:type="pct"/>
            <w:vAlign w:val="center"/>
          </w:tcPr>
          <w:p w14:paraId="6FE4778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大开挖</w:t>
            </w:r>
          </w:p>
        </w:tc>
        <w:tc>
          <w:tcPr>
            <w:tcW w:w="571" w:type="pct"/>
            <w:vAlign w:val="center"/>
          </w:tcPr>
          <w:p w14:paraId="2ACA0EC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弹性敷设</w:t>
            </w:r>
          </w:p>
        </w:tc>
        <w:tc>
          <w:tcPr>
            <w:tcW w:w="499" w:type="pct"/>
            <w:vAlign w:val="center"/>
          </w:tcPr>
          <w:p w14:paraId="24A5734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小通江支</w:t>
            </w:r>
            <w:r>
              <w:rPr>
                <w:rFonts w:ascii="Times New Roman" w:hAnsi="Times New Roman"/>
                <w:sz w:val="21"/>
                <w:szCs w:val="21"/>
              </w:rPr>
              <w:lastRenderedPageBreak/>
              <w:t>流</w:t>
            </w:r>
          </w:p>
        </w:tc>
      </w:tr>
      <w:tr w:rsidR="007D1E74" w14:paraId="02241B3F" w14:textId="77777777">
        <w:trPr>
          <w:trHeight w:val="313"/>
        </w:trPr>
        <w:tc>
          <w:tcPr>
            <w:tcW w:w="300" w:type="pct"/>
            <w:vAlign w:val="center"/>
          </w:tcPr>
          <w:p w14:paraId="544FEE97" w14:textId="77777777" w:rsidR="007D1E74" w:rsidRDefault="00A95641">
            <w:pPr>
              <w:jc w:val="center"/>
              <w:rPr>
                <w:szCs w:val="21"/>
              </w:rPr>
            </w:pPr>
            <w:r>
              <w:rPr>
                <w:szCs w:val="21"/>
              </w:rPr>
              <w:lastRenderedPageBreak/>
              <w:t>10</w:t>
            </w:r>
          </w:p>
        </w:tc>
        <w:tc>
          <w:tcPr>
            <w:tcW w:w="862" w:type="pct"/>
            <w:vMerge/>
            <w:vAlign w:val="center"/>
          </w:tcPr>
          <w:p w14:paraId="19810108" w14:textId="77777777" w:rsidR="007D1E74" w:rsidRDefault="007D1E74">
            <w:pPr>
              <w:jc w:val="center"/>
              <w:rPr>
                <w:szCs w:val="21"/>
              </w:rPr>
            </w:pPr>
          </w:p>
        </w:tc>
        <w:tc>
          <w:tcPr>
            <w:tcW w:w="462" w:type="pct"/>
            <w:vAlign w:val="center"/>
          </w:tcPr>
          <w:p w14:paraId="05115226" w14:textId="77777777" w:rsidR="007D1E74" w:rsidRDefault="00A95641">
            <w:pPr>
              <w:pStyle w:val="TableParagraph"/>
              <w:adjustRightInd/>
              <w:jc w:val="center"/>
              <w:rPr>
                <w:rFonts w:ascii="Times New Roman" w:hAnsi="Times New Roman"/>
                <w:w w:val="95"/>
                <w:sz w:val="21"/>
                <w:szCs w:val="21"/>
              </w:rPr>
            </w:pPr>
            <w:r>
              <w:rPr>
                <w:rFonts w:ascii="Times New Roman" w:hAnsi="Times New Roman"/>
                <w:w w:val="95"/>
                <w:sz w:val="21"/>
                <w:szCs w:val="21"/>
              </w:rPr>
              <w:t>2#</w:t>
            </w:r>
          </w:p>
        </w:tc>
        <w:tc>
          <w:tcPr>
            <w:tcW w:w="1324" w:type="pct"/>
            <w:vAlign w:val="center"/>
          </w:tcPr>
          <w:p w14:paraId="04891EC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C6+311~C6+332</w:t>
            </w:r>
          </w:p>
        </w:tc>
        <w:tc>
          <w:tcPr>
            <w:tcW w:w="447" w:type="pct"/>
            <w:vAlign w:val="center"/>
          </w:tcPr>
          <w:p w14:paraId="1B6F4B48"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21</w:t>
            </w:r>
          </w:p>
        </w:tc>
        <w:tc>
          <w:tcPr>
            <w:tcW w:w="535" w:type="pct"/>
            <w:vAlign w:val="center"/>
          </w:tcPr>
          <w:p w14:paraId="17A7D47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大开挖</w:t>
            </w:r>
          </w:p>
        </w:tc>
        <w:tc>
          <w:tcPr>
            <w:tcW w:w="571" w:type="pct"/>
            <w:vAlign w:val="center"/>
          </w:tcPr>
          <w:p w14:paraId="1C8E7B6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弹性敷设</w:t>
            </w:r>
          </w:p>
        </w:tc>
        <w:tc>
          <w:tcPr>
            <w:tcW w:w="499" w:type="pct"/>
            <w:vAlign w:val="center"/>
          </w:tcPr>
          <w:p w14:paraId="2120CB4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小通江支流</w:t>
            </w:r>
          </w:p>
        </w:tc>
      </w:tr>
      <w:tr w:rsidR="007D1E74" w14:paraId="0D8F5763" w14:textId="77777777">
        <w:trPr>
          <w:trHeight w:val="313"/>
        </w:trPr>
        <w:tc>
          <w:tcPr>
            <w:tcW w:w="300" w:type="pct"/>
            <w:vAlign w:val="center"/>
          </w:tcPr>
          <w:p w14:paraId="3E36044C" w14:textId="77777777" w:rsidR="007D1E74" w:rsidRDefault="00A95641">
            <w:pPr>
              <w:jc w:val="center"/>
              <w:rPr>
                <w:szCs w:val="21"/>
              </w:rPr>
            </w:pPr>
            <w:r>
              <w:rPr>
                <w:szCs w:val="21"/>
              </w:rPr>
              <w:t>11</w:t>
            </w:r>
          </w:p>
        </w:tc>
        <w:tc>
          <w:tcPr>
            <w:tcW w:w="862" w:type="pct"/>
            <w:vMerge/>
            <w:vAlign w:val="center"/>
          </w:tcPr>
          <w:p w14:paraId="394FAB3C" w14:textId="77777777" w:rsidR="007D1E74" w:rsidRDefault="007D1E74">
            <w:pPr>
              <w:jc w:val="center"/>
              <w:rPr>
                <w:szCs w:val="21"/>
              </w:rPr>
            </w:pPr>
          </w:p>
        </w:tc>
        <w:tc>
          <w:tcPr>
            <w:tcW w:w="462" w:type="pct"/>
            <w:vAlign w:val="center"/>
          </w:tcPr>
          <w:p w14:paraId="4068DC30" w14:textId="77777777" w:rsidR="007D1E74" w:rsidRDefault="00A95641">
            <w:pPr>
              <w:pStyle w:val="TableParagraph"/>
              <w:adjustRightInd/>
              <w:jc w:val="center"/>
              <w:rPr>
                <w:rFonts w:ascii="Times New Roman" w:hAnsi="Times New Roman"/>
                <w:w w:val="95"/>
                <w:sz w:val="21"/>
                <w:szCs w:val="21"/>
              </w:rPr>
            </w:pPr>
            <w:r>
              <w:rPr>
                <w:rFonts w:ascii="Times New Roman" w:hAnsi="Times New Roman"/>
                <w:w w:val="95"/>
                <w:sz w:val="21"/>
                <w:szCs w:val="21"/>
              </w:rPr>
              <w:t>3#</w:t>
            </w:r>
          </w:p>
        </w:tc>
        <w:tc>
          <w:tcPr>
            <w:tcW w:w="1324" w:type="pct"/>
            <w:vAlign w:val="center"/>
          </w:tcPr>
          <w:p w14:paraId="11D3EA8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C4+082~C4+093</w:t>
            </w:r>
          </w:p>
        </w:tc>
        <w:tc>
          <w:tcPr>
            <w:tcW w:w="447" w:type="pct"/>
            <w:vAlign w:val="center"/>
          </w:tcPr>
          <w:p w14:paraId="09D98674"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11</w:t>
            </w:r>
          </w:p>
        </w:tc>
        <w:tc>
          <w:tcPr>
            <w:tcW w:w="535" w:type="pct"/>
            <w:vAlign w:val="center"/>
          </w:tcPr>
          <w:p w14:paraId="7907CD3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大开挖</w:t>
            </w:r>
          </w:p>
        </w:tc>
        <w:tc>
          <w:tcPr>
            <w:tcW w:w="571" w:type="pct"/>
            <w:vAlign w:val="center"/>
          </w:tcPr>
          <w:p w14:paraId="3B58458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弹性敷设</w:t>
            </w:r>
          </w:p>
        </w:tc>
        <w:tc>
          <w:tcPr>
            <w:tcW w:w="499" w:type="pct"/>
            <w:vAlign w:val="center"/>
          </w:tcPr>
          <w:p w14:paraId="446FBC1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小通江支流</w:t>
            </w:r>
          </w:p>
        </w:tc>
      </w:tr>
      <w:tr w:rsidR="007D1E74" w14:paraId="44D31C99" w14:textId="77777777">
        <w:trPr>
          <w:trHeight w:val="313"/>
        </w:trPr>
        <w:tc>
          <w:tcPr>
            <w:tcW w:w="300" w:type="pct"/>
            <w:vAlign w:val="center"/>
          </w:tcPr>
          <w:p w14:paraId="4F1817B4" w14:textId="77777777" w:rsidR="007D1E74" w:rsidRDefault="00A95641">
            <w:pPr>
              <w:jc w:val="center"/>
              <w:rPr>
                <w:szCs w:val="21"/>
              </w:rPr>
            </w:pPr>
            <w:r>
              <w:rPr>
                <w:szCs w:val="21"/>
              </w:rPr>
              <w:t>12</w:t>
            </w:r>
          </w:p>
        </w:tc>
        <w:tc>
          <w:tcPr>
            <w:tcW w:w="862" w:type="pct"/>
            <w:vMerge/>
            <w:vAlign w:val="center"/>
          </w:tcPr>
          <w:p w14:paraId="6A522AB5" w14:textId="77777777" w:rsidR="007D1E74" w:rsidRDefault="007D1E74">
            <w:pPr>
              <w:jc w:val="center"/>
              <w:rPr>
                <w:szCs w:val="21"/>
              </w:rPr>
            </w:pPr>
          </w:p>
        </w:tc>
        <w:tc>
          <w:tcPr>
            <w:tcW w:w="462" w:type="pct"/>
            <w:vAlign w:val="center"/>
          </w:tcPr>
          <w:p w14:paraId="6D3D452E" w14:textId="77777777" w:rsidR="007D1E74" w:rsidRDefault="00A95641">
            <w:pPr>
              <w:pStyle w:val="TableParagraph"/>
              <w:adjustRightInd/>
              <w:jc w:val="center"/>
              <w:rPr>
                <w:rFonts w:ascii="Times New Roman" w:hAnsi="Times New Roman"/>
                <w:w w:val="95"/>
                <w:sz w:val="21"/>
                <w:szCs w:val="21"/>
              </w:rPr>
            </w:pPr>
            <w:r>
              <w:rPr>
                <w:rFonts w:ascii="Times New Roman" w:hAnsi="Times New Roman"/>
                <w:w w:val="95"/>
                <w:sz w:val="21"/>
                <w:szCs w:val="21"/>
              </w:rPr>
              <w:t>4#</w:t>
            </w:r>
          </w:p>
        </w:tc>
        <w:tc>
          <w:tcPr>
            <w:tcW w:w="1324" w:type="pct"/>
            <w:vAlign w:val="center"/>
          </w:tcPr>
          <w:p w14:paraId="6293F75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C1+979.6~C1+988.0</w:t>
            </w:r>
          </w:p>
        </w:tc>
        <w:tc>
          <w:tcPr>
            <w:tcW w:w="447" w:type="pct"/>
            <w:vAlign w:val="center"/>
          </w:tcPr>
          <w:p w14:paraId="6184815F"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8.4</w:t>
            </w:r>
          </w:p>
        </w:tc>
        <w:tc>
          <w:tcPr>
            <w:tcW w:w="535" w:type="pct"/>
            <w:vAlign w:val="center"/>
          </w:tcPr>
          <w:p w14:paraId="3363FF4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大开挖</w:t>
            </w:r>
          </w:p>
        </w:tc>
        <w:tc>
          <w:tcPr>
            <w:tcW w:w="571" w:type="pct"/>
            <w:vAlign w:val="center"/>
          </w:tcPr>
          <w:p w14:paraId="1E44A0C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弹性敷设</w:t>
            </w:r>
          </w:p>
        </w:tc>
        <w:tc>
          <w:tcPr>
            <w:tcW w:w="499" w:type="pct"/>
            <w:vAlign w:val="center"/>
          </w:tcPr>
          <w:p w14:paraId="49D9D52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小通江支流</w:t>
            </w:r>
          </w:p>
        </w:tc>
      </w:tr>
      <w:tr w:rsidR="007D1E74" w14:paraId="0A08C9AA" w14:textId="77777777">
        <w:trPr>
          <w:trHeight w:val="451"/>
        </w:trPr>
        <w:tc>
          <w:tcPr>
            <w:tcW w:w="300" w:type="pct"/>
            <w:vAlign w:val="center"/>
          </w:tcPr>
          <w:p w14:paraId="71FCF4D8" w14:textId="77777777" w:rsidR="007D1E74" w:rsidRDefault="00A95641">
            <w:pPr>
              <w:jc w:val="center"/>
              <w:rPr>
                <w:szCs w:val="21"/>
              </w:rPr>
            </w:pPr>
            <w:r>
              <w:rPr>
                <w:szCs w:val="21"/>
              </w:rPr>
              <w:t>13</w:t>
            </w:r>
          </w:p>
        </w:tc>
        <w:tc>
          <w:tcPr>
            <w:tcW w:w="862" w:type="pct"/>
            <w:vMerge/>
            <w:vAlign w:val="center"/>
          </w:tcPr>
          <w:p w14:paraId="1049E574" w14:textId="77777777" w:rsidR="007D1E74" w:rsidRDefault="007D1E74">
            <w:pPr>
              <w:jc w:val="center"/>
              <w:rPr>
                <w:szCs w:val="21"/>
              </w:rPr>
            </w:pPr>
          </w:p>
        </w:tc>
        <w:tc>
          <w:tcPr>
            <w:tcW w:w="462" w:type="pct"/>
            <w:vAlign w:val="center"/>
          </w:tcPr>
          <w:p w14:paraId="7DF444AA" w14:textId="77777777" w:rsidR="007D1E74" w:rsidRDefault="00A95641">
            <w:pPr>
              <w:pStyle w:val="TableParagraph"/>
              <w:adjustRightInd/>
              <w:jc w:val="center"/>
              <w:rPr>
                <w:rFonts w:ascii="Times New Roman" w:hAnsi="Times New Roman"/>
                <w:w w:val="95"/>
                <w:sz w:val="21"/>
                <w:szCs w:val="21"/>
              </w:rPr>
            </w:pPr>
            <w:r>
              <w:rPr>
                <w:rFonts w:ascii="Times New Roman" w:hAnsi="Times New Roman"/>
                <w:w w:val="95"/>
                <w:sz w:val="21"/>
                <w:szCs w:val="21"/>
              </w:rPr>
              <w:t>5#</w:t>
            </w:r>
          </w:p>
        </w:tc>
        <w:tc>
          <w:tcPr>
            <w:tcW w:w="1324" w:type="pct"/>
            <w:vAlign w:val="center"/>
          </w:tcPr>
          <w:p w14:paraId="1EFB306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C0+515.7~C0+527.9</w:t>
            </w:r>
          </w:p>
        </w:tc>
        <w:tc>
          <w:tcPr>
            <w:tcW w:w="447" w:type="pct"/>
            <w:vAlign w:val="center"/>
          </w:tcPr>
          <w:p w14:paraId="257DE3C6"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12.2</w:t>
            </w:r>
          </w:p>
        </w:tc>
        <w:tc>
          <w:tcPr>
            <w:tcW w:w="535" w:type="pct"/>
            <w:vAlign w:val="center"/>
          </w:tcPr>
          <w:p w14:paraId="6997E76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大开挖</w:t>
            </w:r>
          </w:p>
        </w:tc>
        <w:tc>
          <w:tcPr>
            <w:tcW w:w="571" w:type="pct"/>
            <w:vAlign w:val="center"/>
          </w:tcPr>
          <w:p w14:paraId="0395A81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弹性敷设</w:t>
            </w:r>
          </w:p>
        </w:tc>
        <w:tc>
          <w:tcPr>
            <w:tcW w:w="499" w:type="pct"/>
            <w:vAlign w:val="center"/>
          </w:tcPr>
          <w:p w14:paraId="1F5E91B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小通江支流</w:t>
            </w:r>
          </w:p>
        </w:tc>
      </w:tr>
    </w:tbl>
    <w:p w14:paraId="0E2D2A5F" w14:textId="77777777" w:rsidR="007D1E74" w:rsidRDefault="00A95641">
      <w:pPr>
        <w:pStyle w:val="41"/>
        <w:tabs>
          <w:tab w:val="left" w:pos="860"/>
        </w:tabs>
        <w:spacing w:line="360" w:lineRule="auto"/>
        <w:jc w:val="left"/>
        <w:rPr>
          <w:rFonts w:ascii="Times New Roman" w:hAnsi="Times New Roman"/>
          <w:sz w:val="24"/>
          <w:szCs w:val="24"/>
        </w:rPr>
      </w:pPr>
      <w:r>
        <w:rPr>
          <w:rFonts w:ascii="Times New Roman" w:hAnsi="Times New Roman"/>
          <w:sz w:val="24"/>
          <w:szCs w:val="24"/>
        </w:rPr>
        <w:t>3.1.4.3</w:t>
      </w:r>
      <w:r>
        <w:rPr>
          <w:rFonts w:ascii="Times New Roman" w:hAnsi="Times New Roman"/>
          <w:sz w:val="24"/>
          <w:szCs w:val="24"/>
        </w:rPr>
        <w:t>公路穿越</w:t>
      </w:r>
    </w:p>
    <w:p w14:paraId="75BF270C" w14:textId="77777777" w:rsidR="007D1E74" w:rsidRDefault="00A95641">
      <w:pPr>
        <w:spacing w:line="360" w:lineRule="auto"/>
        <w:ind w:firstLineChars="200" w:firstLine="480"/>
        <w:rPr>
          <w:sz w:val="24"/>
        </w:rPr>
      </w:pPr>
      <w:r>
        <w:rPr>
          <w:sz w:val="24"/>
        </w:rPr>
        <w:t>本工程管道沿线共计穿越乡村硬化道路</w:t>
      </w:r>
      <w:r>
        <w:rPr>
          <w:sz w:val="24"/>
        </w:rPr>
        <w:t>335.4m/41</w:t>
      </w:r>
      <w:r>
        <w:rPr>
          <w:sz w:val="24"/>
        </w:rPr>
        <w:t>次，采用大开挖及顶管方式进行穿越；</w:t>
      </w:r>
      <w:r>
        <w:rPr>
          <w:sz w:val="24"/>
        </w:rPr>
        <w:t xml:space="preserve"> S204</w:t>
      </w:r>
      <w:r>
        <w:rPr>
          <w:sz w:val="24"/>
        </w:rPr>
        <w:t>快速路穿越</w:t>
      </w:r>
      <w:r>
        <w:rPr>
          <w:sz w:val="24"/>
        </w:rPr>
        <w:t>166.4m/4</w:t>
      </w:r>
      <w:r>
        <w:rPr>
          <w:sz w:val="24"/>
        </w:rPr>
        <w:t>次，</w:t>
      </w:r>
      <w:r>
        <w:rPr>
          <w:sz w:val="24"/>
        </w:rPr>
        <w:t>S201</w:t>
      </w:r>
      <w:r>
        <w:rPr>
          <w:sz w:val="24"/>
        </w:rPr>
        <w:t>省道穿越</w:t>
      </w:r>
      <w:r>
        <w:rPr>
          <w:sz w:val="24"/>
        </w:rPr>
        <w:t>30m/2</w:t>
      </w:r>
      <w:r>
        <w:rPr>
          <w:sz w:val="24"/>
        </w:rPr>
        <w:t>次，采取直埋及顶管穿越。</w:t>
      </w:r>
    </w:p>
    <w:p w14:paraId="4149DB77" w14:textId="77777777" w:rsidR="007D1E74" w:rsidRDefault="00A95641">
      <w:pPr>
        <w:spacing w:line="360" w:lineRule="auto"/>
        <w:ind w:firstLineChars="200" w:firstLine="480"/>
        <w:rPr>
          <w:sz w:val="24"/>
        </w:rPr>
      </w:pPr>
      <w:r>
        <w:rPr>
          <w:sz w:val="24"/>
        </w:rPr>
        <w:t>项目穿越管道情况见表</w:t>
      </w:r>
      <w:r>
        <w:rPr>
          <w:sz w:val="24"/>
        </w:rPr>
        <w:t xml:space="preserve"> 3.1-10</w:t>
      </w:r>
      <w:r>
        <w:rPr>
          <w:sz w:val="24"/>
        </w:rPr>
        <w:t>。</w:t>
      </w:r>
    </w:p>
    <w:p w14:paraId="4975317B" w14:textId="77777777" w:rsidR="007D1E74" w:rsidRDefault="00A95641">
      <w:pPr>
        <w:jc w:val="center"/>
        <w:rPr>
          <w:b/>
        </w:rPr>
      </w:pPr>
      <w:r>
        <w:rPr>
          <w:b/>
        </w:rPr>
        <w:t>表</w:t>
      </w:r>
      <w:r>
        <w:rPr>
          <w:b/>
          <w:spacing w:val="1"/>
        </w:rPr>
        <w:t xml:space="preserve"> </w:t>
      </w:r>
      <w:r>
        <w:rPr>
          <w:b/>
        </w:rPr>
        <w:t>3.1-10</w:t>
      </w:r>
      <w:r>
        <w:rPr>
          <w:b/>
        </w:rPr>
        <w:tab/>
      </w:r>
      <w:r>
        <w:rPr>
          <w:b/>
        </w:rPr>
        <w:t>管道公路穿</w:t>
      </w:r>
      <w:r>
        <w:rPr>
          <w:b/>
          <w:spacing w:val="-3"/>
        </w:rPr>
        <w:t>越</w:t>
      </w:r>
      <w:r>
        <w:rPr>
          <w:b/>
        </w:rPr>
        <w:t>一览表</w:t>
      </w:r>
    </w:p>
    <w:tbl>
      <w:tblPr>
        <w:tblW w:w="507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04"/>
        <w:gridCol w:w="1926"/>
        <w:gridCol w:w="630"/>
        <w:gridCol w:w="1267"/>
        <w:gridCol w:w="1269"/>
        <w:gridCol w:w="564"/>
        <w:gridCol w:w="514"/>
        <w:gridCol w:w="1902"/>
        <w:gridCol w:w="682"/>
      </w:tblGrid>
      <w:tr w:rsidR="007D1E74" w14:paraId="66B7E366" w14:textId="77777777">
        <w:trPr>
          <w:trHeight w:val="311"/>
          <w:jc w:val="center"/>
        </w:trPr>
        <w:tc>
          <w:tcPr>
            <w:tcW w:w="405" w:type="dxa"/>
            <w:vAlign w:val="center"/>
          </w:tcPr>
          <w:p w14:paraId="2FF81FF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序号</w:t>
            </w:r>
          </w:p>
        </w:tc>
        <w:tc>
          <w:tcPr>
            <w:tcW w:w="1938" w:type="dxa"/>
            <w:vAlign w:val="center"/>
          </w:tcPr>
          <w:p w14:paraId="5CEE156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管道名称</w:t>
            </w:r>
          </w:p>
        </w:tc>
        <w:tc>
          <w:tcPr>
            <w:tcW w:w="6870" w:type="dxa"/>
            <w:gridSpan w:val="7"/>
            <w:vAlign w:val="center"/>
          </w:tcPr>
          <w:p w14:paraId="34B6DFE3"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道路穿越</w:t>
            </w:r>
          </w:p>
        </w:tc>
      </w:tr>
      <w:tr w:rsidR="007D1E74" w14:paraId="5AD97A00" w14:textId="77777777">
        <w:trPr>
          <w:trHeight w:val="311"/>
          <w:jc w:val="center"/>
        </w:trPr>
        <w:tc>
          <w:tcPr>
            <w:tcW w:w="405" w:type="dxa"/>
            <w:vMerge w:val="restart"/>
            <w:vAlign w:val="center"/>
          </w:tcPr>
          <w:p w14:paraId="379BBB63"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1</w:t>
            </w:r>
          </w:p>
        </w:tc>
        <w:tc>
          <w:tcPr>
            <w:tcW w:w="1938" w:type="dxa"/>
            <w:vMerge w:val="restart"/>
            <w:vAlign w:val="center"/>
          </w:tcPr>
          <w:p w14:paraId="6C709E0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w:t>
            </w:r>
            <w:r>
              <w:rPr>
                <w:rFonts w:ascii="Times New Roman" w:hAnsi="Times New Roman"/>
                <w:sz w:val="21"/>
                <w:szCs w:val="21"/>
              </w:rPr>
              <w:t>阀室至马</w:t>
            </w:r>
            <w:r>
              <w:rPr>
                <w:rFonts w:ascii="Times New Roman" w:hAnsi="Times New Roman"/>
                <w:sz w:val="21"/>
                <w:szCs w:val="21"/>
              </w:rPr>
              <w:t>1-11</w:t>
            </w:r>
            <w:r>
              <w:rPr>
                <w:rFonts w:ascii="Times New Roman" w:hAnsi="Times New Roman"/>
                <w:sz w:val="21"/>
                <w:szCs w:val="21"/>
              </w:rPr>
              <w:t>脱水井场</w:t>
            </w:r>
          </w:p>
        </w:tc>
        <w:tc>
          <w:tcPr>
            <w:tcW w:w="634" w:type="dxa"/>
            <w:vAlign w:val="center"/>
          </w:tcPr>
          <w:p w14:paraId="376C57C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编号</w:t>
            </w:r>
          </w:p>
        </w:tc>
        <w:tc>
          <w:tcPr>
            <w:tcW w:w="1275" w:type="dxa"/>
            <w:vAlign w:val="center"/>
          </w:tcPr>
          <w:p w14:paraId="52712FB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桩号</w:t>
            </w:r>
          </w:p>
        </w:tc>
        <w:tc>
          <w:tcPr>
            <w:tcW w:w="1277" w:type="dxa"/>
            <w:vAlign w:val="center"/>
          </w:tcPr>
          <w:p w14:paraId="5B40239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穿越情况</w:t>
            </w:r>
          </w:p>
        </w:tc>
        <w:tc>
          <w:tcPr>
            <w:tcW w:w="567" w:type="dxa"/>
            <w:vAlign w:val="center"/>
          </w:tcPr>
          <w:p w14:paraId="46A26D3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道路路面</w:t>
            </w:r>
          </w:p>
        </w:tc>
        <w:tc>
          <w:tcPr>
            <w:tcW w:w="517" w:type="dxa"/>
            <w:vAlign w:val="center"/>
          </w:tcPr>
          <w:p w14:paraId="6043A4A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施工方式</w:t>
            </w:r>
          </w:p>
        </w:tc>
        <w:tc>
          <w:tcPr>
            <w:tcW w:w="1914" w:type="dxa"/>
            <w:vAlign w:val="center"/>
          </w:tcPr>
          <w:p w14:paraId="1E1068D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保护方式</w:t>
            </w:r>
          </w:p>
        </w:tc>
        <w:tc>
          <w:tcPr>
            <w:tcW w:w="686" w:type="dxa"/>
            <w:vAlign w:val="center"/>
          </w:tcPr>
          <w:p w14:paraId="7692051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备注</w:t>
            </w:r>
          </w:p>
        </w:tc>
      </w:tr>
      <w:tr w:rsidR="007D1E74" w14:paraId="5E804771" w14:textId="77777777">
        <w:trPr>
          <w:trHeight w:val="313"/>
          <w:jc w:val="center"/>
        </w:trPr>
        <w:tc>
          <w:tcPr>
            <w:tcW w:w="405" w:type="dxa"/>
            <w:vMerge/>
            <w:vAlign w:val="center"/>
          </w:tcPr>
          <w:p w14:paraId="642A3295" w14:textId="77777777" w:rsidR="007D1E74" w:rsidRDefault="007D1E74">
            <w:pPr>
              <w:jc w:val="center"/>
              <w:rPr>
                <w:szCs w:val="21"/>
              </w:rPr>
            </w:pPr>
          </w:p>
        </w:tc>
        <w:tc>
          <w:tcPr>
            <w:tcW w:w="1938" w:type="dxa"/>
            <w:vMerge/>
            <w:vAlign w:val="center"/>
          </w:tcPr>
          <w:p w14:paraId="41E35D23" w14:textId="77777777" w:rsidR="007D1E74" w:rsidRDefault="007D1E74">
            <w:pPr>
              <w:jc w:val="center"/>
              <w:rPr>
                <w:szCs w:val="21"/>
              </w:rPr>
            </w:pPr>
          </w:p>
        </w:tc>
        <w:tc>
          <w:tcPr>
            <w:tcW w:w="634" w:type="dxa"/>
            <w:vAlign w:val="center"/>
          </w:tcPr>
          <w:p w14:paraId="4A78EDD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w:t>
            </w:r>
          </w:p>
        </w:tc>
        <w:tc>
          <w:tcPr>
            <w:tcW w:w="1275" w:type="dxa"/>
            <w:vAlign w:val="center"/>
          </w:tcPr>
          <w:p w14:paraId="1C49410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w:t>
            </w:r>
          </w:p>
        </w:tc>
        <w:tc>
          <w:tcPr>
            <w:tcW w:w="1277" w:type="dxa"/>
            <w:vAlign w:val="center"/>
          </w:tcPr>
          <w:p w14:paraId="4151516F"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88m/11</w:t>
            </w:r>
            <w:r>
              <w:rPr>
                <w:rFonts w:ascii="Times New Roman" w:hAnsi="Times New Roman"/>
                <w:w w:val="99"/>
                <w:sz w:val="21"/>
                <w:szCs w:val="21"/>
              </w:rPr>
              <w:t>次</w:t>
            </w:r>
          </w:p>
        </w:tc>
        <w:tc>
          <w:tcPr>
            <w:tcW w:w="567" w:type="dxa"/>
            <w:vAlign w:val="center"/>
          </w:tcPr>
          <w:p w14:paraId="67ADF4A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水泥</w:t>
            </w:r>
          </w:p>
        </w:tc>
        <w:tc>
          <w:tcPr>
            <w:tcW w:w="517" w:type="dxa"/>
            <w:vAlign w:val="center"/>
          </w:tcPr>
          <w:p w14:paraId="178E8E2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顶管</w:t>
            </w:r>
          </w:p>
        </w:tc>
        <w:tc>
          <w:tcPr>
            <w:tcW w:w="1914" w:type="dxa"/>
            <w:vAlign w:val="center"/>
          </w:tcPr>
          <w:p w14:paraId="52EFEA1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钢筋混凝土套管保护</w:t>
            </w:r>
          </w:p>
        </w:tc>
        <w:tc>
          <w:tcPr>
            <w:tcW w:w="686" w:type="dxa"/>
            <w:vAlign w:val="center"/>
          </w:tcPr>
          <w:p w14:paraId="58F5887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乡道</w:t>
            </w:r>
          </w:p>
        </w:tc>
      </w:tr>
      <w:tr w:rsidR="007D1E74" w14:paraId="7E8484C9" w14:textId="77777777">
        <w:trPr>
          <w:trHeight w:val="311"/>
          <w:jc w:val="center"/>
        </w:trPr>
        <w:tc>
          <w:tcPr>
            <w:tcW w:w="405" w:type="dxa"/>
            <w:vMerge/>
            <w:vAlign w:val="center"/>
          </w:tcPr>
          <w:p w14:paraId="7A41A592" w14:textId="77777777" w:rsidR="007D1E74" w:rsidRDefault="007D1E74">
            <w:pPr>
              <w:jc w:val="center"/>
              <w:rPr>
                <w:szCs w:val="21"/>
              </w:rPr>
            </w:pPr>
          </w:p>
        </w:tc>
        <w:tc>
          <w:tcPr>
            <w:tcW w:w="1938" w:type="dxa"/>
            <w:vMerge/>
            <w:vAlign w:val="center"/>
          </w:tcPr>
          <w:p w14:paraId="4379C4FB" w14:textId="77777777" w:rsidR="007D1E74" w:rsidRDefault="007D1E74">
            <w:pPr>
              <w:jc w:val="center"/>
              <w:rPr>
                <w:szCs w:val="21"/>
              </w:rPr>
            </w:pPr>
          </w:p>
        </w:tc>
        <w:tc>
          <w:tcPr>
            <w:tcW w:w="634" w:type="dxa"/>
            <w:vAlign w:val="center"/>
          </w:tcPr>
          <w:p w14:paraId="31869D3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2#</w:t>
            </w:r>
          </w:p>
        </w:tc>
        <w:tc>
          <w:tcPr>
            <w:tcW w:w="1275" w:type="dxa"/>
            <w:vAlign w:val="center"/>
          </w:tcPr>
          <w:p w14:paraId="144AEEA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A1+556.8~A1+613.6</w:t>
            </w:r>
          </w:p>
        </w:tc>
        <w:tc>
          <w:tcPr>
            <w:tcW w:w="1277" w:type="dxa"/>
            <w:vAlign w:val="center"/>
          </w:tcPr>
          <w:p w14:paraId="19B226B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28m</w:t>
            </w:r>
          </w:p>
        </w:tc>
        <w:tc>
          <w:tcPr>
            <w:tcW w:w="567" w:type="dxa"/>
            <w:vAlign w:val="center"/>
          </w:tcPr>
          <w:p w14:paraId="62839D6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水泥</w:t>
            </w:r>
          </w:p>
        </w:tc>
        <w:tc>
          <w:tcPr>
            <w:tcW w:w="517" w:type="dxa"/>
            <w:vAlign w:val="center"/>
          </w:tcPr>
          <w:p w14:paraId="6E3A8CB3"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直埋</w:t>
            </w:r>
          </w:p>
        </w:tc>
        <w:tc>
          <w:tcPr>
            <w:tcW w:w="1914" w:type="dxa"/>
            <w:vAlign w:val="center"/>
          </w:tcPr>
          <w:p w14:paraId="57349AC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钢筋混凝土套管保护</w:t>
            </w:r>
          </w:p>
        </w:tc>
        <w:tc>
          <w:tcPr>
            <w:tcW w:w="686" w:type="dxa"/>
            <w:vAlign w:val="center"/>
          </w:tcPr>
          <w:p w14:paraId="18227F9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S204</w:t>
            </w:r>
            <w:r>
              <w:rPr>
                <w:rFonts w:ascii="Times New Roman" w:hAnsi="Times New Roman"/>
                <w:sz w:val="21"/>
                <w:szCs w:val="21"/>
              </w:rPr>
              <w:t>快速路</w:t>
            </w:r>
          </w:p>
        </w:tc>
      </w:tr>
      <w:tr w:rsidR="007D1E74" w14:paraId="7B37609D" w14:textId="77777777">
        <w:trPr>
          <w:trHeight w:val="311"/>
          <w:jc w:val="center"/>
        </w:trPr>
        <w:tc>
          <w:tcPr>
            <w:tcW w:w="405" w:type="dxa"/>
            <w:vMerge/>
            <w:vAlign w:val="center"/>
          </w:tcPr>
          <w:p w14:paraId="3CE70C2E" w14:textId="77777777" w:rsidR="007D1E74" w:rsidRDefault="007D1E74">
            <w:pPr>
              <w:jc w:val="center"/>
              <w:rPr>
                <w:szCs w:val="21"/>
              </w:rPr>
            </w:pPr>
          </w:p>
        </w:tc>
        <w:tc>
          <w:tcPr>
            <w:tcW w:w="1938" w:type="dxa"/>
            <w:vMerge/>
            <w:vAlign w:val="center"/>
          </w:tcPr>
          <w:p w14:paraId="06CB0F9D" w14:textId="77777777" w:rsidR="007D1E74" w:rsidRDefault="007D1E74">
            <w:pPr>
              <w:jc w:val="center"/>
              <w:rPr>
                <w:szCs w:val="21"/>
              </w:rPr>
            </w:pPr>
          </w:p>
        </w:tc>
        <w:tc>
          <w:tcPr>
            <w:tcW w:w="634" w:type="dxa"/>
            <w:vAlign w:val="center"/>
          </w:tcPr>
          <w:p w14:paraId="3722B7C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3#</w:t>
            </w:r>
          </w:p>
        </w:tc>
        <w:tc>
          <w:tcPr>
            <w:tcW w:w="1275" w:type="dxa"/>
            <w:vAlign w:val="center"/>
          </w:tcPr>
          <w:p w14:paraId="49F11A8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A5+046.6~A5074.6</w:t>
            </w:r>
          </w:p>
        </w:tc>
        <w:tc>
          <w:tcPr>
            <w:tcW w:w="1277" w:type="dxa"/>
            <w:vAlign w:val="center"/>
          </w:tcPr>
          <w:p w14:paraId="41942AC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56.8m</w:t>
            </w:r>
          </w:p>
        </w:tc>
        <w:tc>
          <w:tcPr>
            <w:tcW w:w="567" w:type="dxa"/>
            <w:vAlign w:val="center"/>
          </w:tcPr>
          <w:p w14:paraId="6C38E2E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水泥</w:t>
            </w:r>
          </w:p>
        </w:tc>
        <w:tc>
          <w:tcPr>
            <w:tcW w:w="517" w:type="dxa"/>
            <w:vAlign w:val="center"/>
          </w:tcPr>
          <w:p w14:paraId="5D66ED33"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直埋</w:t>
            </w:r>
          </w:p>
        </w:tc>
        <w:tc>
          <w:tcPr>
            <w:tcW w:w="1914" w:type="dxa"/>
            <w:vAlign w:val="center"/>
          </w:tcPr>
          <w:p w14:paraId="50A6997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钢筋混凝土套管保护</w:t>
            </w:r>
          </w:p>
        </w:tc>
        <w:tc>
          <w:tcPr>
            <w:tcW w:w="686" w:type="dxa"/>
            <w:vAlign w:val="center"/>
          </w:tcPr>
          <w:p w14:paraId="225A3F3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S204</w:t>
            </w:r>
            <w:r>
              <w:rPr>
                <w:rFonts w:ascii="Times New Roman" w:hAnsi="Times New Roman"/>
                <w:sz w:val="21"/>
                <w:szCs w:val="21"/>
              </w:rPr>
              <w:t>快速路</w:t>
            </w:r>
          </w:p>
        </w:tc>
      </w:tr>
      <w:tr w:rsidR="007D1E74" w14:paraId="7194FA54" w14:textId="77777777">
        <w:trPr>
          <w:trHeight w:val="311"/>
          <w:jc w:val="center"/>
        </w:trPr>
        <w:tc>
          <w:tcPr>
            <w:tcW w:w="405" w:type="dxa"/>
            <w:vMerge/>
            <w:vAlign w:val="center"/>
          </w:tcPr>
          <w:p w14:paraId="1682661E" w14:textId="77777777" w:rsidR="007D1E74" w:rsidRDefault="007D1E74">
            <w:pPr>
              <w:jc w:val="center"/>
              <w:rPr>
                <w:szCs w:val="21"/>
              </w:rPr>
            </w:pPr>
          </w:p>
        </w:tc>
        <w:tc>
          <w:tcPr>
            <w:tcW w:w="1938" w:type="dxa"/>
            <w:vMerge/>
            <w:vAlign w:val="center"/>
          </w:tcPr>
          <w:p w14:paraId="239442C6" w14:textId="77777777" w:rsidR="007D1E74" w:rsidRDefault="007D1E74">
            <w:pPr>
              <w:jc w:val="center"/>
              <w:rPr>
                <w:szCs w:val="21"/>
              </w:rPr>
            </w:pPr>
          </w:p>
        </w:tc>
        <w:tc>
          <w:tcPr>
            <w:tcW w:w="634" w:type="dxa"/>
            <w:vAlign w:val="center"/>
          </w:tcPr>
          <w:p w14:paraId="09D2706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4#</w:t>
            </w:r>
          </w:p>
        </w:tc>
        <w:tc>
          <w:tcPr>
            <w:tcW w:w="1275" w:type="dxa"/>
            <w:vAlign w:val="center"/>
          </w:tcPr>
          <w:p w14:paraId="692F34B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A5+498.6~A+510.6</w:t>
            </w:r>
          </w:p>
        </w:tc>
        <w:tc>
          <w:tcPr>
            <w:tcW w:w="1277" w:type="dxa"/>
            <w:vAlign w:val="center"/>
          </w:tcPr>
          <w:p w14:paraId="530783F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12 m</w:t>
            </w:r>
          </w:p>
        </w:tc>
        <w:tc>
          <w:tcPr>
            <w:tcW w:w="567" w:type="dxa"/>
            <w:vAlign w:val="center"/>
          </w:tcPr>
          <w:p w14:paraId="625E68E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水泥</w:t>
            </w:r>
          </w:p>
        </w:tc>
        <w:tc>
          <w:tcPr>
            <w:tcW w:w="517" w:type="dxa"/>
            <w:vAlign w:val="center"/>
          </w:tcPr>
          <w:p w14:paraId="5AEA6AE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顶管</w:t>
            </w:r>
          </w:p>
        </w:tc>
        <w:tc>
          <w:tcPr>
            <w:tcW w:w="1914" w:type="dxa"/>
            <w:vAlign w:val="center"/>
          </w:tcPr>
          <w:p w14:paraId="6E13569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钢筋混凝土套管保护</w:t>
            </w:r>
          </w:p>
        </w:tc>
        <w:tc>
          <w:tcPr>
            <w:tcW w:w="686" w:type="dxa"/>
            <w:vAlign w:val="center"/>
          </w:tcPr>
          <w:p w14:paraId="76ECB2D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S201</w:t>
            </w:r>
            <w:r>
              <w:rPr>
                <w:rFonts w:ascii="Times New Roman" w:hAnsi="Times New Roman"/>
                <w:sz w:val="21"/>
                <w:szCs w:val="21"/>
              </w:rPr>
              <w:t>省道</w:t>
            </w:r>
          </w:p>
        </w:tc>
      </w:tr>
      <w:tr w:rsidR="007D1E74" w14:paraId="469D117B" w14:textId="77777777">
        <w:trPr>
          <w:trHeight w:val="311"/>
          <w:jc w:val="center"/>
        </w:trPr>
        <w:tc>
          <w:tcPr>
            <w:tcW w:w="405" w:type="dxa"/>
            <w:vAlign w:val="center"/>
          </w:tcPr>
          <w:p w14:paraId="7B5452D6"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2</w:t>
            </w:r>
          </w:p>
        </w:tc>
        <w:tc>
          <w:tcPr>
            <w:tcW w:w="1938" w:type="dxa"/>
            <w:vAlign w:val="center"/>
          </w:tcPr>
          <w:p w14:paraId="6CFAD25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马</w:t>
            </w:r>
            <w:r>
              <w:rPr>
                <w:rFonts w:ascii="Times New Roman" w:hAnsi="Times New Roman"/>
                <w:sz w:val="21"/>
                <w:szCs w:val="21"/>
              </w:rPr>
              <w:t>1-11</w:t>
            </w:r>
            <w:r>
              <w:rPr>
                <w:rFonts w:ascii="Times New Roman" w:hAnsi="Times New Roman"/>
                <w:sz w:val="21"/>
                <w:szCs w:val="21"/>
              </w:rPr>
              <w:t>脱水井场至</w:t>
            </w:r>
            <w:r>
              <w:rPr>
                <w:rFonts w:ascii="Times New Roman" w:hAnsi="Times New Roman"/>
                <w:sz w:val="21"/>
                <w:szCs w:val="21"/>
              </w:rPr>
              <w:t>4#</w:t>
            </w:r>
            <w:r>
              <w:rPr>
                <w:rFonts w:ascii="Times New Roman" w:hAnsi="Times New Roman"/>
                <w:sz w:val="21"/>
                <w:szCs w:val="21"/>
              </w:rPr>
              <w:t>清管阀组</w:t>
            </w:r>
          </w:p>
        </w:tc>
        <w:tc>
          <w:tcPr>
            <w:tcW w:w="634" w:type="dxa"/>
            <w:vAlign w:val="center"/>
          </w:tcPr>
          <w:p w14:paraId="6D64B53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w:t>
            </w:r>
          </w:p>
        </w:tc>
        <w:tc>
          <w:tcPr>
            <w:tcW w:w="1275" w:type="dxa"/>
            <w:vAlign w:val="center"/>
          </w:tcPr>
          <w:p w14:paraId="4B88D5D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w:t>
            </w:r>
          </w:p>
        </w:tc>
        <w:tc>
          <w:tcPr>
            <w:tcW w:w="1277" w:type="dxa"/>
            <w:vAlign w:val="center"/>
          </w:tcPr>
          <w:p w14:paraId="5B7FC73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66m/8</w:t>
            </w:r>
            <w:r>
              <w:rPr>
                <w:rFonts w:ascii="Times New Roman" w:hAnsi="Times New Roman"/>
                <w:w w:val="99"/>
                <w:sz w:val="21"/>
                <w:szCs w:val="21"/>
              </w:rPr>
              <w:t>次</w:t>
            </w:r>
          </w:p>
        </w:tc>
        <w:tc>
          <w:tcPr>
            <w:tcW w:w="567" w:type="dxa"/>
            <w:vAlign w:val="center"/>
          </w:tcPr>
          <w:p w14:paraId="500A280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水泥</w:t>
            </w:r>
          </w:p>
        </w:tc>
        <w:tc>
          <w:tcPr>
            <w:tcW w:w="517" w:type="dxa"/>
            <w:vAlign w:val="center"/>
          </w:tcPr>
          <w:p w14:paraId="30AD697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顶管</w:t>
            </w:r>
          </w:p>
        </w:tc>
        <w:tc>
          <w:tcPr>
            <w:tcW w:w="1914" w:type="dxa"/>
            <w:vAlign w:val="center"/>
          </w:tcPr>
          <w:p w14:paraId="07B4799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钢筋混凝土套管保护</w:t>
            </w:r>
          </w:p>
        </w:tc>
        <w:tc>
          <w:tcPr>
            <w:tcW w:w="686" w:type="dxa"/>
            <w:vAlign w:val="center"/>
          </w:tcPr>
          <w:p w14:paraId="31A94A8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乡道</w:t>
            </w:r>
          </w:p>
        </w:tc>
      </w:tr>
      <w:tr w:rsidR="007D1E74" w14:paraId="628E0686" w14:textId="77777777">
        <w:trPr>
          <w:trHeight w:val="298"/>
          <w:jc w:val="center"/>
        </w:trPr>
        <w:tc>
          <w:tcPr>
            <w:tcW w:w="405" w:type="dxa"/>
            <w:vAlign w:val="center"/>
          </w:tcPr>
          <w:p w14:paraId="12B47FDE" w14:textId="77777777" w:rsidR="007D1E74" w:rsidRDefault="00A95641">
            <w:pPr>
              <w:jc w:val="center"/>
              <w:rPr>
                <w:szCs w:val="21"/>
              </w:rPr>
            </w:pPr>
            <w:r>
              <w:rPr>
                <w:szCs w:val="21"/>
              </w:rPr>
              <w:t>3</w:t>
            </w:r>
          </w:p>
        </w:tc>
        <w:tc>
          <w:tcPr>
            <w:tcW w:w="1938" w:type="dxa"/>
            <w:vAlign w:val="center"/>
          </w:tcPr>
          <w:p w14:paraId="319A1581" w14:textId="77777777" w:rsidR="007D1E74" w:rsidRDefault="00A95641">
            <w:pPr>
              <w:jc w:val="center"/>
              <w:rPr>
                <w:szCs w:val="21"/>
              </w:rPr>
            </w:pPr>
            <w:r>
              <w:rPr>
                <w:szCs w:val="21"/>
              </w:rPr>
              <w:t>马</w:t>
            </w:r>
            <w:r>
              <w:rPr>
                <w:szCs w:val="21"/>
              </w:rPr>
              <w:t>1-10H</w:t>
            </w:r>
            <w:r>
              <w:rPr>
                <w:szCs w:val="21"/>
              </w:rPr>
              <w:t>采气井场至马</w:t>
            </w:r>
            <w:r>
              <w:rPr>
                <w:szCs w:val="21"/>
              </w:rPr>
              <w:t>1-1</w:t>
            </w:r>
            <w:r>
              <w:rPr>
                <w:szCs w:val="21"/>
              </w:rPr>
              <w:t>集气支线</w:t>
            </w:r>
          </w:p>
        </w:tc>
        <w:tc>
          <w:tcPr>
            <w:tcW w:w="634" w:type="dxa"/>
            <w:vAlign w:val="center"/>
          </w:tcPr>
          <w:p w14:paraId="7F37D5FE"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w:t>
            </w:r>
          </w:p>
        </w:tc>
        <w:tc>
          <w:tcPr>
            <w:tcW w:w="1275" w:type="dxa"/>
            <w:vAlign w:val="center"/>
          </w:tcPr>
          <w:p w14:paraId="1C19733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w:t>
            </w:r>
          </w:p>
        </w:tc>
        <w:tc>
          <w:tcPr>
            <w:tcW w:w="1277" w:type="dxa"/>
            <w:vAlign w:val="center"/>
          </w:tcPr>
          <w:p w14:paraId="1765442C"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sz w:val="21"/>
                <w:szCs w:val="21"/>
              </w:rPr>
              <w:t>36m/5</w:t>
            </w:r>
            <w:r>
              <w:rPr>
                <w:rFonts w:ascii="Times New Roman" w:hAnsi="Times New Roman"/>
                <w:w w:val="99"/>
                <w:sz w:val="21"/>
                <w:szCs w:val="21"/>
              </w:rPr>
              <w:t>次</w:t>
            </w:r>
          </w:p>
        </w:tc>
        <w:tc>
          <w:tcPr>
            <w:tcW w:w="567" w:type="dxa"/>
            <w:vAlign w:val="center"/>
          </w:tcPr>
          <w:p w14:paraId="22F4FAE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水泥</w:t>
            </w:r>
          </w:p>
        </w:tc>
        <w:tc>
          <w:tcPr>
            <w:tcW w:w="517" w:type="dxa"/>
            <w:vAlign w:val="center"/>
          </w:tcPr>
          <w:p w14:paraId="2B49CB6E"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顶管</w:t>
            </w:r>
          </w:p>
        </w:tc>
        <w:tc>
          <w:tcPr>
            <w:tcW w:w="1914" w:type="dxa"/>
            <w:vAlign w:val="center"/>
          </w:tcPr>
          <w:p w14:paraId="490E033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钢筋混凝土套管保护</w:t>
            </w:r>
          </w:p>
        </w:tc>
        <w:tc>
          <w:tcPr>
            <w:tcW w:w="686" w:type="dxa"/>
            <w:vAlign w:val="center"/>
          </w:tcPr>
          <w:p w14:paraId="399D4C8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乡道</w:t>
            </w:r>
          </w:p>
        </w:tc>
      </w:tr>
      <w:tr w:rsidR="007D1E74" w14:paraId="68BD7ACA" w14:textId="77777777">
        <w:trPr>
          <w:trHeight w:val="298"/>
          <w:jc w:val="center"/>
        </w:trPr>
        <w:tc>
          <w:tcPr>
            <w:tcW w:w="405" w:type="dxa"/>
            <w:vMerge w:val="restart"/>
            <w:vAlign w:val="center"/>
          </w:tcPr>
          <w:p w14:paraId="7D9D2BF3" w14:textId="77777777" w:rsidR="007D1E74" w:rsidRDefault="00A95641">
            <w:pPr>
              <w:jc w:val="center"/>
              <w:rPr>
                <w:szCs w:val="21"/>
              </w:rPr>
            </w:pPr>
            <w:r>
              <w:rPr>
                <w:szCs w:val="21"/>
              </w:rPr>
              <w:t>4</w:t>
            </w:r>
          </w:p>
        </w:tc>
        <w:tc>
          <w:tcPr>
            <w:tcW w:w="1938" w:type="dxa"/>
            <w:vMerge w:val="restart"/>
            <w:vAlign w:val="center"/>
          </w:tcPr>
          <w:p w14:paraId="11AC115A" w14:textId="77777777" w:rsidR="007D1E74" w:rsidRDefault="00A95641">
            <w:pPr>
              <w:jc w:val="center"/>
              <w:rPr>
                <w:szCs w:val="21"/>
              </w:rPr>
            </w:pPr>
            <w:r>
              <w:rPr>
                <w:szCs w:val="21"/>
              </w:rPr>
              <w:t>马</w:t>
            </w:r>
            <w:r>
              <w:rPr>
                <w:szCs w:val="21"/>
              </w:rPr>
              <w:t>1-1</w:t>
            </w:r>
            <w:r>
              <w:rPr>
                <w:szCs w:val="21"/>
              </w:rPr>
              <w:t>采气井场至干线集气支线</w:t>
            </w:r>
          </w:p>
        </w:tc>
        <w:tc>
          <w:tcPr>
            <w:tcW w:w="634" w:type="dxa"/>
            <w:vAlign w:val="center"/>
          </w:tcPr>
          <w:p w14:paraId="112257C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w:t>
            </w:r>
          </w:p>
        </w:tc>
        <w:tc>
          <w:tcPr>
            <w:tcW w:w="1275" w:type="dxa"/>
            <w:vAlign w:val="center"/>
          </w:tcPr>
          <w:p w14:paraId="6D8E3BF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F0+474.70~F0+502.30</w:t>
            </w:r>
          </w:p>
        </w:tc>
        <w:tc>
          <w:tcPr>
            <w:tcW w:w="1277" w:type="dxa"/>
            <w:vAlign w:val="center"/>
          </w:tcPr>
          <w:p w14:paraId="049F684C"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27.6</w:t>
            </w:r>
            <w:r>
              <w:rPr>
                <w:rFonts w:ascii="Times New Roman" w:hAnsi="Times New Roman"/>
                <w:sz w:val="21"/>
                <w:szCs w:val="21"/>
              </w:rPr>
              <w:t xml:space="preserve"> m</w:t>
            </w:r>
          </w:p>
        </w:tc>
        <w:tc>
          <w:tcPr>
            <w:tcW w:w="567" w:type="dxa"/>
            <w:vAlign w:val="center"/>
          </w:tcPr>
          <w:p w14:paraId="7270DEE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水泥</w:t>
            </w:r>
          </w:p>
        </w:tc>
        <w:tc>
          <w:tcPr>
            <w:tcW w:w="517" w:type="dxa"/>
            <w:vAlign w:val="center"/>
          </w:tcPr>
          <w:p w14:paraId="6F2560E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直埋</w:t>
            </w:r>
          </w:p>
        </w:tc>
        <w:tc>
          <w:tcPr>
            <w:tcW w:w="1914" w:type="dxa"/>
            <w:vAlign w:val="center"/>
          </w:tcPr>
          <w:p w14:paraId="08041F5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钢筋混凝土套管保护</w:t>
            </w:r>
          </w:p>
        </w:tc>
        <w:tc>
          <w:tcPr>
            <w:tcW w:w="686" w:type="dxa"/>
            <w:vAlign w:val="center"/>
          </w:tcPr>
          <w:p w14:paraId="213426B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S204</w:t>
            </w:r>
            <w:r>
              <w:rPr>
                <w:rFonts w:ascii="Times New Roman" w:hAnsi="Times New Roman"/>
                <w:sz w:val="21"/>
                <w:szCs w:val="21"/>
              </w:rPr>
              <w:t>快速路</w:t>
            </w:r>
          </w:p>
        </w:tc>
      </w:tr>
      <w:tr w:rsidR="007D1E74" w14:paraId="3338E841" w14:textId="77777777">
        <w:trPr>
          <w:trHeight w:val="298"/>
          <w:jc w:val="center"/>
        </w:trPr>
        <w:tc>
          <w:tcPr>
            <w:tcW w:w="405" w:type="dxa"/>
            <w:vMerge/>
            <w:vAlign w:val="center"/>
          </w:tcPr>
          <w:p w14:paraId="481C8873" w14:textId="77777777" w:rsidR="007D1E74" w:rsidRDefault="007D1E74">
            <w:pPr>
              <w:jc w:val="center"/>
              <w:rPr>
                <w:szCs w:val="21"/>
              </w:rPr>
            </w:pPr>
          </w:p>
        </w:tc>
        <w:tc>
          <w:tcPr>
            <w:tcW w:w="1938" w:type="dxa"/>
            <w:vMerge/>
            <w:vAlign w:val="center"/>
          </w:tcPr>
          <w:p w14:paraId="09AB814B" w14:textId="77777777" w:rsidR="007D1E74" w:rsidRDefault="007D1E74">
            <w:pPr>
              <w:jc w:val="center"/>
              <w:rPr>
                <w:szCs w:val="21"/>
              </w:rPr>
            </w:pPr>
          </w:p>
        </w:tc>
        <w:tc>
          <w:tcPr>
            <w:tcW w:w="634" w:type="dxa"/>
            <w:vAlign w:val="center"/>
          </w:tcPr>
          <w:p w14:paraId="138BC1B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2#</w:t>
            </w:r>
          </w:p>
        </w:tc>
        <w:tc>
          <w:tcPr>
            <w:tcW w:w="1275" w:type="dxa"/>
            <w:vAlign w:val="center"/>
          </w:tcPr>
          <w:p w14:paraId="73941891" w14:textId="77777777" w:rsidR="007D1E74" w:rsidRDefault="00A95641">
            <w:pPr>
              <w:widowControl/>
              <w:jc w:val="center"/>
              <w:rPr>
                <w:kern w:val="0"/>
                <w:sz w:val="22"/>
              </w:rPr>
            </w:pPr>
            <w:r>
              <w:rPr>
                <w:sz w:val="22"/>
              </w:rPr>
              <w:t>F0+629.00~F0+647.00</w:t>
            </w:r>
          </w:p>
        </w:tc>
        <w:tc>
          <w:tcPr>
            <w:tcW w:w="1277" w:type="dxa"/>
            <w:vAlign w:val="center"/>
          </w:tcPr>
          <w:p w14:paraId="137F79A0"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18</w:t>
            </w:r>
            <w:r>
              <w:rPr>
                <w:rFonts w:ascii="Times New Roman" w:hAnsi="Times New Roman"/>
                <w:sz w:val="21"/>
                <w:szCs w:val="21"/>
              </w:rPr>
              <w:t xml:space="preserve"> m</w:t>
            </w:r>
          </w:p>
        </w:tc>
        <w:tc>
          <w:tcPr>
            <w:tcW w:w="567" w:type="dxa"/>
            <w:vAlign w:val="center"/>
          </w:tcPr>
          <w:p w14:paraId="1C69A7D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水泥</w:t>
            </w:r>
          </w:p>
        </w:tc>
        <w:tc>
          <w:tcPr>
            <w:tcW w:w="517" w:type="dxa"/>
            <w:vAlign w:val="center"/>
          </w:tcPr>
          <w:p w14:paraId="1C58F69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顶管</w:t>
            </w:r>
          </w:p>
        </w:tc>
        <w:tc>
          <w:tcPr>
            <w:tcW w:w="1914" w:type="dxa"/>
            <w:vAlign w:val="center"/>
          </w:tcPr>
          <w:p w14:paraId="1BF7DE23"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钢筋混凝土套管保护</w:t>
            </w:r>
          </w:p>
        </w:tc>
        <w:tc>
          <w:tcPr>
            <w:tcW w:w="686" w:type="dxa"/>
            <w:vAlign w:val="center"/>
          </w:tcPr>
          <w:p w14:paraId="0F11A6CE"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S201</w:t>
            </w:r>
            <w:r>
              <w:rPr>
                <w:rFonts w:ascii="Times New Roman" w:hAnsi="Times New Roman"/>
                <w:sz w:val="21"/>
                <w:szCs w:val="21"/>
              </w:rPr>
              <w:t>省道</w:t>
            </w:r>
          </w:p>
        </w:tc>
      </w:tr>
      <w:tr w:rsidR="007D1E74" w14:paraId="76A6164C" w14:textId="77777777">
        <w:trPr>
          <w:trHeight w:val="298"/>
          <w:jc w:val="center"/>
        </w:trPr>
        <w:tc>
          <w:tcPr>
            <w:tcW w:w="405" w:type="dxa"/>
            <w:vMerge w:val="restart"/>
            <w:vAlign w:val="center"/>
          </w:tcPr>
          <w:p w14:paraId="2932E107" w14:textId="77777777" w:rsidR="007D1E74" w:rsidRDefault="00A95641">
            <w:pPr>
              <w:jc w:val="center"/>
              <w:rPr>
                <w:szCs w:val="21"/>
              </w:rPr>
            </w:pPr>
            <w:r>
              <w:rPr>
                <w:szCs w:val="21"/>
              </w:rPr>
              <w:t>5</w:t>
            </w:r>
          </w:p>
        </w:tc>
        <w:tc>
          <w:tcPr>
            <w:tcW w:w="1938" w:type="dxa"/>
            <w:vMerge w:val="restart"/>
            <w:vAlign w:val="center"/>
          </w:tcPr>
          <w:p w14:paraId="1FEF9419" w14:textId="77777777" w:rsidR="007D1E74" w:rsidRDefault="00A95641">
            <w:pPr>
              <w:jc w:val="center"/>
              <w:rPr>
                <w:szCs w:val="21"/>
              </w:rPr>
            </w:pPr>
            <w:r>
              <w:rPr>
                <w:szCs w:val="21"/>
              </w:rPr>
              <w:t>马</w:t>
            </w:r>
            <w:r>
              <w:rPr>
                <w:szCs w:val="21"/>
              </w:rPr>
              <w:t>1-13H</w:t>
            </w:r>
            <w:r>
              <w:rPr>
                <w:szCs w:val="21"/>
              </w:rPr>
              <w:t>采气井场至干线集气支线</w:t>
            </w:r>
          </w:p>
        </w:tc>
        <w:tc>
          <w:tcPr>
            <w:tcW w:w="634" w:type="dxa"/>
            <w:vAlign w:val="center"/>
          </w:tcPr>
          <w:p w14:paraId="451152A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w:t>
            </w:r>
          </w:p>
        </w:tc>
        <w:tc>
          <w:tcPr>
            <w:tcW w:w="1275" w:type="dxa"/>
            <w:vAlign w:val="center"/>
          </w:tcPr>
          <w:p w14:paraId="449CCD2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w:t>
            </w:r>
          </w:p>
        </w:tc>
        <w:tc>
          <w:tcPr>
            <w:tcW w:w="1277" w:type="dxa"/>
            <w:vAlign w:val="center"/>
          </w:tcPr>
          <w:p w14:paraId="4E761326"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10</w:t>
            </w:r>
            <w:r>
              <w:rPr>
                <w:rFonts w:ascii="Times New Roman" w:hAnsi="Times New Roman"/>
                <w:sz w:val="21"/>
                <w:szCs w:val="21"/>
              </w:rPr>
              <w:t xml:space="preserve"> m</w:t>
            </w:r>
            <w:r>
              <w:rPr>
                <w:rFonts w:ascii="Times New Roman" w:hAnsi="Times New Roman"/>
                <w:w w:val="99"/>
                <w:sz w:val="21"/>
                <w:szCs w:val="21"/>
              </w:rPr>
              <w:t xml:space="preserve"> /1</w:t>
            </w:r>
            <w:r>
              <w:rPr>
                <w:rFonts w:ascii="Times New Roman" w:hAnsi="Times New Roman"/>
                <w:w w:val="99"/>
                <w:sz w:val="21"/>
                <w:szCs w:val="21"/>
              </w:rPr>
              <w:t>次</w:t>
            </w:r>
          </w:p>
        </w:tc>
        <w:tc>
          <w:tcPr>
            <w:tcW w:w="567" w:type="dxa"/>
            <w:vAlign w:val="center"/>
          </w:tcPr>
          <w:p w14:paraId="22C9806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水泥</w:t>
            </w:r>
          </w:p>
        </w:tc>
        <w:tc>
          <w:tcPr>
            <w:tcW w:w="517" w:type="dxa"/>
            <w:vAlign w:val="center"/>
          </w:tcPr>
          <w:p w14:paraId="2750DDD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顶管</w:t>
            </w:r>
          </w:p>
        </w:tc>
        <w:tc>
          <w:tcPr>
            <w:tcW w:w="1914" w:type="dxa"/>
            <w:vAlign w:val="center"/>
          </w:tcPr>
          <w:p w14:paraId="645A7D4E"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钢筋混凝土套管保护</w:t>
            </w:r>
          </w:p>
        </w:tc>
        <w:tc>
          <w:tcPr>
            <w:tcW w:w="686" w:type="dxa"/>
            <w:vAlign w:val="center"/>
          </w:tcPr>
          <w:p w14:paraId="7E86062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乡道</w:t>
            </w:r>
          </w:p>
        </w:tc>
      </w:tr>
      <w:tr w:rsidR="007D1E74" w14:paraId="2992124E" w14:textId="77777777">
        <w:trPr>
          <w:trHeight w:val="298"/>
          <w:jc w:val="center"/>
        </w:trPr>
        <w:tc>
          <w:tcPr>
            <w:tcW w:w="405" w:type="dxa"/>
            <w:vMerge/>
            <w:vAlign w:val="center"/>
          </w:tcPr>
          <w:p w14:paraId="5CB25A9E" w14:textId="77777777" w:rsidR="007D1E74" w:rsidRDefault="007D1E74">
            <w:pPr>
              <w:jc w:val="center"/>
              <w:rPr>
                <w:szCs w:val="21"/>
              </w:rPr>
            </w:pPr>
          </w:p>
        </w:tc>
        <w:tc>
          <w:tcPr>
            <w:tcW w:w="1938" w:type="dxa"/>
            <w:vMerge/>
            <w:vAlign w:val="center"/>
          </w:tcPr>
          <w:p w14:paraId="414B46BA" w14:textId="77777777" w:rsidR="007D1E74" w:rsidRDefault="007D1E74">
            <w:pPr>
              <w:jc w:val="center"/>
              <w:rPr>
                <w:szCs w:val="21"/>
              </w:rPr>
            </w:pPr>
          </w:p>
        </w:tc>
        <w:tc>
          <w:tcPr>
            <w:tcW w:w="634" w:type="dxa"/>
            <w:vAlign w:val="center"/>
          </w:tcPr>
          <w:p w14:paraId="7FE5138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2#</w:t>
            </w:r>
          </w:p>
        </w:tc>
        <w:tc>
          <w:tcPr>
            <w:tcW w:w="1275" w:type="dxa"/>
            <w:vAlign w:val="center"/>
          </w:tcPr>
          <w:p w14:paraId="122BFB1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D0+670.40~D0+724.40</w:t>
            </w:r>
          </w:p>
        </w:tc>
        <w:tc>
          <w:tcPr>
            <w:tcW w:w="1277" w:type="dxa"/>
            <w:vAlign w:val="center"/>
          </w:tcPr>
          <w:p w14:paraId="3C4C665D"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54m</w:t>
            </w:r>
          </w:p>
        </w:tc>
        <w:tc>
          <w:tcPr>
            <w:tcW w:w="567" w:type="dxa"/>
            <w:vAlign w:val="center"/>
          </w:tcPr>
          <w:p w14:paraId="59FFE2C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水泥</w:t>
            </w:r>
          </w:p>
        </w:tc>
        <w:tc>
          <w:tcPr>
            <w:tcW w:w="517" w:type="dxa"/>
            <w:vAlign w:val="center"/>
          </w:tcPr>
          <w:p w14:paraId="48AC338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顶管</w:t>
            </w:r>
          </w:p>
        </w:tc>
        <w:tc>
          <w:tcPr>
            <w:tcW w:w="1914" w:type="dxa"/>
            <w:vAlign w:val="center"/>
          </w:tcPr>
          <w:p w14:paraId="11419B3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钢筋混凝土套管保护</w:t>
            </w:r>
          </w:p>
        </w:tc>
        <w:tc>
          <w:tcPr>
            <w:tcW w:w="686" w:type="dxa"/>
            <w:vAlign w:val="center"/>
          </w:tcPr>
          <w:p w14:paraId="1CEC1FF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S204</w:t>
            </w:r>
            <w:r>
              <w:rPr>
                <w:rFonts w:ascii="Times New Roman" w:hAnsi="Times New Roman"/>
                <w:sz w:val="21"/>
                <w:szCs w:val="21"/>
              </w:rPr>
              <w:t>快速路</w:t>
            </w:r>
          </w:p>
        </w:tc>
      </w:tr>
      <w:tr w:rsidR="007D1E74" w14:paraId="2BA0E43B" w14:textId="77777777">
        <w:trPr>
          <w:trHeight w:val="298"/>
          <w:jc w:val="center"/>
        </w:trPr>
        <w:tc>
          <w:tcPr>
            <w:tcW w:w="405" w:type="dxa"/>
            <w:vMerge w:val="restart"/>
            <w:vAlign w:val="center"/>
          </w:tcPr>
          <w:p w14:paraId="63D50530" w14:textId="77777777" w:rsidR="007D1E74" w:rsidRDefault="00A95641">
            <w:pPr>
              <w:jc w:val="center"/>
              <w:rPr>
                <w:szCs w:val="21"/>
              </w:rPr>
            </w:pPr>
            <w:r>
              <w:rPr>
                <w:szCs w:val="21"/>
              </w:rPr>
              <w:t>6</w:t>
            </w:r>
          </w:p>
        </w:tc>
        <w:tc>
          <w:tcPr>
            <w:tcW w:w="1938" w:type="dxa"/>
            <w:vMerge w:val="restart"/>
            <w:vAlign w:val="center"/>
          </w:tcPr>
          <w:p w14:paraId="7E34EDE2" w14:textId="77777777" w:rsidR="007D1E74" w:rsidRDefault="00A95641">
            <w:pPr>
              <w:jc w:val="center"/>
              <w:rPr>
                <w:szCs w:val="21"/>
              </w:rPr>
            </w:pPr>
            <w:r>
              <w:rPr>
                <w:szCs w:val="21"/>
              </w:rPr>
              <w:t>4#</w:t>
            </w:r>
            <w:r>
              <w:rPr>
                <w:szCs w:val="21"/>
              </w:rPr>
              <w:t>清管阀室</w:t>
            </w:r>
            <w:r>
              <w:rPr>
                <w:szCs w:val="21"/>
              </w:rPr>
              <w:t>-</w:t>
            </w:r>
            <w:r>
              <w:rPr>
                <w:szCs w:val="21"/>
              </w:rPr>
              <w:t>增压站</w:t>
            </w:r>
          </w:p>
        </w:tc>
        <w:tc>
          <w:tcPr>
            <w:tcW w:w="634" w:type="dxa"/>
            <w:vAlign w:val="center"/>
          </w:tcPr>
          <w:p w14:paraId="4F96E313"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w:t>
            </w:r>
          </w:p>
        </w:tc>
        <w:tc>
          <w:tcPr>
            <w:tcW w:w="1275" w:type="dxa"/>
            <w:vAlign w:val="center"/>
          </w:tcPr>
          <w:p w14:paraId="6A92200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w:t>
            </w:r>
          </w:p>
        </w:tc>
        <w:tc>
          <w:tcPr>
            <w:tcW w:w="1277" w:type="dxa"/>
            <w:vAlign w:val="center"/>
          </w:tcPr>
          <w:p w14:paraId="02E28083"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111.2m/14</w:t>
            </w:r>
            <w:r>
              <w:rPr>
                <w:rFonts w:ascii="Times New Roman" w:hAnsi="Times New Roman"/>
                <w:w w:val="99"/>
                <w:sz w:val="21"/>
                <w:szCs w:val="21"/>
              </w:rPr>
              <w:t>次</w:t>
            </w:r>
          </w:p>
        </w:tc>
        <w:tc>
          <w:tcPr>
            <w:tcW w:w="567" w:type="dxa"/>
            <w:vAlign w:val="center"/>
          </w:tcPr>
          <w:p w14:paraId="4668D34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水泥</w:t>
            </w:r>
          </w:p>
        </w:tc>
        <w:tc>
          <w:tcPr>
            <w:tcW w:w="517" w:type="dxa"/>
            <w:vAlign w:val="center"/>
          </w:tcPr>
          <w:p w14:paraId="3E7DC1F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顶管</w:t>
            </w:r>
          </w:p>
        </w:tc>
        <w:tc>
          <w:tcPr>
            <w:tcW w:w="1914" w:type="dxa"/>
            <w:vAlign w:val="center"/>
          </w:tcPr>
          <w:p w14:paraId="79868DD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钢筋混凝土套管保护</w:t>
            </w:r>
          </w:p>
        </w:tc>
        <w:tc>
          <w:tcPr>
            <w:tcW w:w="686" w:type="dxa"/>
            <w:vAlign w:val="center"/>
          </w:tcPr>
          <w:p w14:paraId="39FCA05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乡道</w:t>
            </w:r>
          </w:p>
        </w:tc>
      </w:tr>
      <w:tr w:rsidR="007D1E74" w14:paraId="0187AF1E" w14:textId="77777777">
        <w:trPr>
          <w:trHeight w:val="298"/>
          <w:jc w:val="center"/>
        </w:trPr>
        <w:tc>
          <w:tcPr>
            <w:tcW w:w="405" w:type="dxa"/>
            <w:vMerge/>
            <w:vAlign w:val="center"/>
          </w:tcPr>
          <w:p w14:paraId="56607A1B" w14:textId="77777777" w:rsidR="007D1E74" w:rsidRDefault="007D1E74">
            <w:pPr>
              <w:jc w:val="center"/>
              <w:rPr>
                <w:szCs w:val="21"/>
              </w:rPr>
            </w:pPr>
          </w:p>
        </w:tc>
        <w:tc>
          <w:tcPr>
            <w:tcW w:w="1938" w:type="dxa"/>
            <w:vMerge/>
            <w:vAlign w:val="center"/>
          </w:tcPr>
          <w:p w14:paraId="4E39535F" w14:textId="77777777" w:rsidR="007D1E74" w:rsidRDefault="007D1E74">
            <w:pPr>
              <w:jc w:val="center"/>
              <w:rPr>
                <w:szCs w:val="21"/>
              </w:rPr>
            </w:pPr>
          </w:p>
        </w:tc>
        <w:tc>
          <w:tcPr>
            <w:tcW w:w="634" w:type="dxa"/>
            <w:vAlign w:val="center"/>
          </w:tcPr>
          <w:p w14:paraId="08403D2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2#</w:t>
            </w:r>
          </w:p>
        </w:tc>
        <w:tc>
          <w:tcPr>
            <w:tcW w:w="1275" w:type="dxa"/>
            <w:vAlign w:val="center"/>
          </w:tcPr>
          <w:p w14:paraId="2375D7C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C0+741~C0+752</w:t>
            </w:r>
          </w:p>
        </w:tc>
        <w:tc>
          <w:tcPr>
            <w:tcW w:w="1277" w:type="dxa"/>
            <w:vAlign w:val="center"/>
          </w:tcPr>
          <w:p w14:paraId="7AE2ECDD"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15.8</w:t>
            </w:r>
          </w:p>
        </w:tc>
        <w:tc>
          <w:tcPr>
            <w:tcW w:w="567" w:type="dxa"/>
            <w:vAlign w:val="center"/>
          </w:tcPr>
          <w:p w14:paraId="6EA5CDB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碎石</w:t>
            </w:r>
          </w:p>
        </w:tc>
        <w:tc>
          <w:tcPr>
            <w:tcW w:w="517" w:type="dxa"/>
            <w:vAlign w:val="center"/>
          </w:tcPr>
          <w:p w14:paraId="69D3152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开挖</w:t>
            </w:r>
          </w:p>
        </w:tc>
        <w:tc>
          <w:tcPr>
            <w:tcW w:w="1914" w:type="dxa"/>
            <w:vAlign w:val="center"/>
          </w:tcPr>
          <w:p w14:paraId="61DEF08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钢筋混凝土套管保护</w:t>
            </w:r>
          </w:p>
        </w:tc>
        <w:tc>
          <w:tcPr>
            <w:tcW w:w="686" w:type="dxa"/>
            <w:vAlign w:val="center"/>
          </w:tcPr>
          <w:p w14:paraId="40BF2F5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乡道</w:t>
            </w:r>
          </w:p>
        </w:tc>
      </w:tr>
      <w:tr w:rsidR="007D1E74" w14:paraId="6E85B122" w14:textId="77777777">
        <w:trPr>
          <w:trHeight w:val="298"/>
          <w:jc w:val="center"/>
        </w:trPr>
        <w:tc>
          <w:tcPr>
            <w:tcW w:w="405" w:type="dxa"/>
            <w:vMerge/>
            <w:vAlign w:val="center"/>
          </w:tcPr>
          <w:p w14:paraId="4D55C034" w14:textId="77777777" w:rsidR="007D1E74" w:rsidRDefault="007D1E74">
            <w:pPr>
              <w:jc w:val="center"/>
              <w:rPr>
                <w:szCs w:val="21"/>
              </w:rPr>
            </w:pPr>
          </w:p>
        </w:tc>
        <w:tc>
          <w:tcPr>
            <w:tcW w:w="1938" w:type="dxa"/>
            <w:vMerge/>
            <w:vAlign w:val="center"/>
          </w:tcPr>
          <w:p w14:paraId="6DBB6E78" w14:textId="77777777" w:rsidR="007D1E74" w:rsidRDefault="007D1E74">
            <w:pPr>
              <w:jc w:val="center"/>
              <w:rPr>
                <w:szCs w:val="21"/>
              </w:rPr>
            </w:pPr>
          </w:p>
        </w:tc>
        <w:tc>
          <w:tcPr>
            <w:tcW w:w="634" w:type="dxa"/>
            <w:vAlign w:val="center"/>
          </w:tcPr>
          <w:p w14:paraId="4A89E64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3#</w:t>
            </w:r>
          </w:p>
        </w:tc>
        <w:tc>
          <w:tcPr>
            <w:tcW w:w="1275" w:type="dxa"/>
            <w:vAlign w:val="center"/>
          </w:tcPr>
          <w:p w14:paraId="275344C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C1+979.60~C1+988.0</w:t>
            </w:r>
          </w:p>
        </w:tc>
        <w:tc>
          <w:tcPr>
            <w:tcW w:w="1277" w:type="dxa"/>
            <w:vAlign w:val="center"/>
          </w:tcPr>
          <w:p w14:paraId="40822EC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8.4</w:t>
            </w:r>
          </w:p>
        </w:tc>
        <w:tc>
          <w:tcPr>
            <w:tcW w:w="567" w:type="dxa"/>
            <w:vAlign w:val="center"/>
          </w:tcPr>
          <w:p w14:paraId="5D487F3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碎石</w:t>
            </w:r>
          </w:p>
        </w:tc>
        <w:tc>
          <w:tcPr>
            <w:tcW w:w="517" w:type="dxa"/>
            <w:vAlign w:val="center"/>
          </w:tcPr>
          <w:p w14:paraId="41468B9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开挖</w:t>
            </w:r>
          </w:p>
        </w:tc>
        <w:tc>
          <w:tcPr>
            <w:tcW w:w="1914" w:type="dxa"/>
            <w:vAlign w:val="center"/>
          </w:tcPr>
          <w:p w14:paraId="4A6736A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钢筋混凝土套管保护</w:t>
            </w:r>
          </w:p>
        </w:tc>
        <w:tc>
          <w:tcPr>
            <w:tcW w:w="686" w:type="dxa"/>
            <w:vAlign w:val="center"/>
          </w:tcPr>
          <w:p w14:paraId="74A8104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乡道</w:t>
            </w:r>
          </w:p>
        </w:tc>
      </w:tr>
    </w:tbl>
    <w:p w14:paraId="19E965DB" w14:textId="77777777" w:rsidR="007D1E74" w:rsidRDefault="00A95641">
      <w:pPr>
        <w:pStyle w:val="41"/>
        <w:tabs>
          <w:tab w:val="left" w:pos="860"/>
        </w:tabs>
        <w:spacing w:line="360" w:lineRule="auto"/>
        <w:jc w:val="left"/>
        <w:rPr>
          <w:rFonts w:ascii="Times New Roman" w:hAnsi="Times New Roman"/>
          <w:sz w:val="24"/>
          <w:szCs w:val="24"/>
        </w:rPr>
      </w:pPr>
      <w:r>
        <w:rPr>
          <w:rFonts w:ascii="Times New Roman" w:hAnsi="Times New Roman"/>
          <w:sz w:val="24"/>
          <w:szCs w:val="24"/>
        </w:rPr>
        <w:lastRenderedPageBreak/>
        <w:t>3.1.4.4</w:t>
      </w:r>
      <w:r>
        <w:rPr>
          <w:rFonts w:ascii="Times New Roman" w:hAnsi="Times New Roman"/>
          <w:sz w:val="24"/>
          <w:szCs w:val="24"/>
        </w:rPr>
        <w:t>穿越工程汇总</w:t>
      </w:r>
    </w:p>
    <w:p w14:paraId="29F549D1" w14:textId="77777777" w:rsidR="007D1E74" w:rsidRDefault="00A95641">
      <w:pPr>
        <w:spacing w:line="360" w:lineRule="auto"/>
        <w:ind w:firstLineChars="200" w:firstLine="480"/>
        <w:rPr>
          <w:sz w:val="24"/>
        </w:rPr>
      </w:pPr>
      <w:r>
        <w:rPr>
          <w:sz w:val="24"/>
        </w:rPr>
        <w:t>本工程管道在建设过程中，需要穿越小型沟渠、乡村道路等，项目穿越情况汇总见表</w:t>
      </w:r>
      <w:r>
        <w:rPr>
          <w:sz w:val="24"/>
        </w:rPr>
        <w:t xml:space="preserve"> 3.1-11</w:t>
      </w:r>
      <w:r>
        <w:rPr>
          <w:sz w:val="24"/>
        </w:rPr>
        <w:t>。</w:t>
      </w:r>
    </w:p>
    <w:p w14:paraId="421DA6CD" w14:textId="77777777" w:rsidR="007D1E74" w:rsidRDefault="00A95641">
      <w:pPr>
        <w:tabs>
          <w:tab w:val="left" w:pos="1070"/>
        </w:tabs>
        <w:spacing w:before="22" w:after="21"/>
        <w:ind w:right="18"/>
        <w:jc w:val="center"/>
        <w:rPr>
          <w:b/>
        </w:rPr>
      </w:pPr>
      <w:r>
        <w:rPr>
          <w:b/>
        </w:rPr>
        <w:t>表</w:t>
      </w:r>
      <w:r>
        <w:rPr>
          <w:b/>
          <w:spacing w:val="1"/>
        </w:rPr>
        <w:t xml:space="preserve"> </w:t>
      </w:r>
      <w:r>
        <w:rPr>
          <w:b/>
        </w:rPr>
        <w:t>3.1-11</w:t>
      </w:r>
      <w:r>
        <w:rPr>
          <w:b/>
        </w:rPr>
        <w:tab/>
      </w:r>
      <w:r>
        <w:rPr>
          <w:b/>
        </w:rPr>
        <w:t>项目穿越工</w:t>
      </w:r>
      <w:r>
        <w:rPr>
          <w:b/>
          <w:spacing w:val="-3"/>
        </w:rPr>
        <w:t>程</w:t>
      </w:r>
      <w:r>
        <w:rPr>
          <w:b/>
        </w:rPr>
        <w:t>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99"/>
        <w:gridCol w:w="3245"/>
        <w:gridCol w:w="1266"/>
        <w:gridCol w:w="1271"/>
        <w:gridCol w:w="2535"/>
      </w:tblGrid>
      <w:tr w:rsidR="007D1E74" w14:paraId="164C074F" w14:textId="77777777">
        <w:trPr>
          <w:trHeight w:val="311"/>
        </w:trPr>
        <w:tc>
          <w:tcPr>
            <w:tcW w:w="9060" w:type="dxa"/>
            <w:gridSpan w:val="5"/>
            <w:vAlign w:val="center"/>
          </w:tcPr>
          <w:p w14:paraId="0694D214" w14:textId="77777777" w:rsidR="007D1E74" w:rsidRDefault="00A95641">
            <w:pPr>
              <w:pStyle w:val="TableParagraph"/>
              <w:snapToGrid w:val="0"/>
              <w:jc w:val="center"/>
              <w:rPr>
                <w:rFonts w:ascii="Times New Roman" w:hAnsi="Times New Roman"/>
                <w:b/>
                <w:bCs/>
                <w:sz w:val="21"/>
                <w:szCs w:val="21"/>
              </w:rPr>
            </w:pPr>
            <w:r>
              <w:rPr>
                <w:rFonts w:ascii="Times New Roman" w:hAnsi="Times New Roman"/>
                <w:b/>
                <w:bCs/>
                <w:sz w:val="21"/>
                <w:szCs w:val="21"/>
              </w:rPr>
              <w:t>沟渠</w:t>
            </w:r>
          </w:p>
        </w:tc>
      </w:tr>
      <w:tr w:rsidR="007D1E74" w14:paraId="0C9BF6E1" w14:textId="77777777">
        <w:trPr>
          <w:trHeight w:val="311"/>
        </w:trPr>
        <w:tc>
          <w:tcPr>
            <w:tcW w:w="703" w:type="dxa"/>
            <w:vAlign w:val="center"/>
          </w:tcPr>
          <w:p w14:paraId="7DC12475" w14:textId="77777777" w:rsidR="007D1E74" w:rsidRDefault="00A95641">
            <w:pPr>
              <w:pStyle w:val="TableParagraph"/>
              <w:snapToGrid w:val="0"/>
              <w:jc w:val="center"/>
              <w:rPr>
                <w:rFonts w:ascii="Times New Roman" w:hAnsi="Times New Roman"/>
                <w:b/>
                <w:bCs/>
                <w:sz w:val="21"/>
                <w:szCs w:val="21"/>
              </w:rPr>
            </w:pPr>
            <w:r>
              <w:rPr>
                <w:rFonts w:ascii="Times New Roman" w:hAnsi="Times New Roman"/>
                <w:b/>
                <w:bCs/>
                <w:sz w:val="21"/>
                <w:szCs w:val="21"/>
              </w:rPr>
              <w:t>序号</w:t>
            </w:r>
          </w:p>
        </w:tc>
        <w:tc>
          <w:tcPr>
            <w:tcW w:w="3261" w:type="dxa"/>
            <w:vAlign w:val="center"/>
          </w:tcPr>
          <w:p w14:paraId="75A096A2" w14:textId="77777777" w:rsidR="007D1E74" w:rsidRDefault="00A95641">
            <w:pPr>
              <w:pStyle w:val="TableParagraph"/>
              <w:snapToGrid w:val="0"/>
              <w:jc w:val="center"/>
              <w:rPr>
                <w:rFonts w:ascii="Times New Roman" w:hAnsi="Times New Roman"/>
                <w:b/>
                <w:bCs/>
                <w:sz w:val="21"/>
                <w:szCs w:val="21"/>
              </w:rPr>
            </w:pPr>
            <w:r>
              <w:rPr>
                <w:rFonts w:ascii="Times New Roman" w:hAnsi="Times New Roman"/>
                <w:b/>
                <w:bCs/>
                <w:sz w:val="21"/>
                <w:szCs w:val="21"/>
              </w:rPr>
              <w:t>名称</w:t>
            </w:r>
          </w:p>
        </w:tc>
        <w:tc>
          <w:tcPr>
            <w:tcW w:w="1272" w:type="dxa"/>
            <w:vAlign w:val="center"/>
          </w:tcPr>
          <w:p w14:paraId="2CBFC80D" w14:textId="77777777" w:rsidR="007D1E74" w:rsidRDefault="00A95641">
            <w:pPr>
              <w:pStyle w:val="TableParagraph"/>
              <w:snapToGrid w:val="0"/>
              <w:jc w:val="center"/>
              <w:rPr>
                <w:rFonts w:ascii="Times New Roman" w:hAnsi="Times New Roman"/>
                <w:b/>
                <w:bCs/>
                <w:sz w:val="21"/>
                <w:szCs w:val="21"/>
              </w:rPr>
            </w:pPr>
            <w:r>
              <w:rPr>
                <w:rFonts w:ascii="Times New Roman" w:hAnsi="Times New Roman"/>
                <w:b/>
                <w:bCs/>
                <w:sz w:val="21"/>
                <w:szCs w:val="21"/>
              </w:rPr>
              <w:t>长度</w:t>
            </w:r>
          </w:p>
        </w:tc>
        <w:tc>
          <w:tcPr>
            <w:tcW w:w="1277" w:type="dxa"/>
            <w:vAlign w:val="center"/>
          </w:tcPr>
          <w:p w14:paraId="546A76A9" w14:textId="77777777" w:rsidR="007D1E74" w:rsidRDefault="00A95641">
            <w:pPr>
              <w:pStyle w:val="TableParagraph"/>
              <w:snapToGrid w:val="0"/>
              <w:jc w:val="center"/>
              <w:rPr>
                <w:rFonts w:ascii="Times New Roman" w:hAnsi="Times New Roman"/>
                <w:b/>
                <w:bCs/>
                <w:sz w:val="21"/>
                <w:szCs w:val="21"/>
              </w:rPr>
            </w:pPr>
            <w:r>
              <w:rPr>
                <w:rFonts w:ascii="Times New Roman" w:hAnsi="Times New Roman"/>
                <w:b/>
                <w:bCs/>
                <w:sz w:val="21"/>
                <w:szCs w:val="21"/>
              </w:rPr>
              <w:t>穿越方式</w:t>
            </w:r>
          </w:p>
        </w:tc>
        <w:tc>
          <w:tcPr>
            <w:tcW w:w="2547" w:type="dxa"/>
            <w:vAlign w:val="center"/>
          </w:tcPr>
          <w:p w14:paraId="1357065E" w14:textId="77777777" w:rsidR="007D1E74" w:rsidRDefault="00A95641">
            <w:pPr>
              <w:pStyle w:val="TableParagraph"/>
              <w:snapToGrid w:val="0"/>
              <w:jc w:val="center"/>
              <w:rPr>
                <w:rFonts w:ascii="Times New Roman" w:hAnsi="Times New Roman"/>
                <w:b/>
                <w:bCs/>
                <w:sz w:val="21"/>
                <w:szCs w:val="21"/>
              </w:rPr>
            </w:pPr>
            <w:r>
              <w:rPr>
                <w:rFonts w:ascii="Times New Roman" w:hAnsi="Times New Roman"/>
                <w:b/>
                <w:bCs/>
                <w:sz w:val="21"/>
                <w:szCs w:val="21"/>
              </w:rPr>
              <w:t>备注</w:t>
            </w:r>
          </w:p>
        </w:tc>
      </w:tr>
      <w:tr w:rsidR="007D1E74" w14:paraId="541D891B" w14:textId="77777777">
        <w:trPr>
          <w:trHeight w:val="314"/>
        </w:trPr>
        <w:tc>
          <w:tcPr>
            <w:tcW w:w="703" w:type="dxa"/>
            <w:vAlign w:val="center"/>
          </w:tcPr>
          <w:p w14:paraId="565AC817" w14:textId="77777777" w:rsidR="007D1E74" w:rsidRDefault="00A95641">
            <w:pPr>
              <w:pStyle w:val="TableParagraph"/>
              <w:snapToGrid w:val="0"/>
              <w:jc w:val="center"/>
              <w:rPr>
                <w:rFonts w:ascii="Times New Roman" w:hAnsi="Times New Roman"/>
                <w:sz w:val="21"/>
                <w:szCs w:val="21"/>
              </w:rPr>
            </w:pPr>
            <w:r>
              <w:rPr>
                <w:rFonts w:ascii="Times New Roman" w:hAnsi="Times New Roman"/>
                <w:w w:val="99"/>
                <w:sz w:val="21"/>
                <w:szCs w:val="21"/>
              </w:rPr>
              <w:t>1</w:t>
            </w:r>
          </w:p>
        </w:tc>
        <w:tc>
          <w:tcPr>
            <w:tcW w:w="3261" w:type="dxa"/>
            <w:vAlign w:val="center"/>
          </w:tcPr>
          <w:p w14:paraId="73BAF697"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1#</w:t>
            </w:r>
            <w:r>
              <w:rPr>
                <w:rFonts w:ascii="Times New Roman" w:hAnsi="Times New Roman"/>
                <w:sz w:val="21"/>
                <w:szCs w:val="21"/>
              </w:rPr>
              <w:t>阀室至马</w:t>
            </w:r>
            <w:r>
              <w:rPr>
                <w:rFonts w:ascii="Times New Roman" w:hAnsi="Times New Roman"/>
                <w:sz w:val="21"/>
                <w:szCs w:val="21"/>
              </w:rPr>
              <w:t>1-11</w:t>
            </w:r>
            <w:r>
              <w:rPr>
                <w:rFonts w:ascii="Times New Roman" w:hAnsi="Times New Roman"/>
                <w:sz w:val="21"/>
                <w:szCs w:val="21"/>
              </w:rPr>
              <w:t>脱水井场集输管线</w:t>
            </w:r>
          </w:p>
        </w:tc>
        <w:tc>
          <w:tcPr>
            <w:tcW w:w="1272" w:type="dxa"/>
            <w:vAlign w:val="center"/>
          </w:tcPr>
          <w:p w14:paraId="6692EFB2"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13.6m/2</w:t>
            </w:r>
            <w:r>
              <w:rPr>
                <w:rFonts w:ascii="Times New Roman" w:hAnsi="Times New Roman"/>
                <w:sz w:val="21"/>
                <w:szCs w:val="21"/>
              </w:rPr>
              <w:t>次</w:t>
            </w:r>
          </w:p>
        </w:tc>
        <w:tc>
          <w:tcPr>
            <w:tcW w:w="1277" w:type="dxa"/>
            <w:vAlign w:val="center"/>
          </w:tcPr>
          <w:p w14:paraId="2E026EC9"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开挖</w:t>
            </w:r>
          </w:p>
        </w:tc>
        <w:tc>
          <w:tcPr>
            <w:tcW w:w="2547" w:type="dxa"/>
            <w:vAlign w:val="center"/>
          </w:tcPr>
          <w:p w14:paraId="2E60D6CF"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w:t>
            </w:r>
          </w:p>
        </w:tc>
      </w:tr>
      <w:tr w:rsidR="007D1E74" w14:paraId="1CF1D524" w14:textId="77777777">
        <w:trPr>
          <w:trHeight w:val="314"/>
        </w:trPr>
        <w:tc>
          <w:tcPr>
            <w:tcW w:w="703" w:type="dxa"/>
            <w:vAlign w:val="center"/>
          </w:tcPr>
          <w:p w14:paraId="0C21BCB5" w14:textId="77777777" w:rsidR="007D1E74" w:rsidRDefault="00A95641">
            <w:pPr>
              <w:pStyle w:val="TableParagraph"/>
              <w:snapToGrid w:val="0"/>
              <w:jc w:val="center"/>
              <w:rPr>
                <w:rFonts w:ascii="Times New Roman" w:hAnsi="Times New Roman"/>
                <w:w w:val="99"/>
                <w:sz w:val="21"/>
                <w:szCs w:val="21"/>
              </w:rPr>
            </w:pPr>
            <w:r>
              <w:rPr>
                <w:rFonts w:ascii="Times New Roman" w:hAnsi="Times New Roman"/>
                <w:w w:val="99"/>
                <w:sz w:val="21"/>
                <w:szCs w:val="21"/>
              </w:rPr>
              <w:t>2</w:t>
            </w:r>
          </w:p>
        </w:tc>
        <w:tc>
          <w:tcPr>
            <w:tcW w:w="3261" w:type="dxa"/>
            <w:vAlign w:val="center"/>
          </w:tcPr>
          <w:p w14:paraId="055134D0"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马</w:t>
            </w:r>
            <w:r>
              <w:rPr>
                <w:rFonts w:ascii="Times New Roman" w:hAnsi="Times New Roman"/>
                <w:sz w:val="21"/>
                <w:szCs w:val="21"/>
              </w:rPr>
              <w:t>1-11</w:t>
            </w:r>
            <w:r>
              <w:rPr>
                <w:rFonts w:ascii="Times New Roman" w:hAnsi="Times New Roman"/>
                <w:sz w:val="21"/>
                <w:szCs w:val="21"/>
              </w:rPr>
              <w:t>脱水井场至</w:t>
            </w:r>
            <w:r>
              <w:rPr>
                <w:rFonts w:ascii="Times New Roman" w:hAnsi="Times New Roman"/>
                <w:sz w:val="21"/>
                <w:szCs w:val="21"/>
              </w:rPr>
              <w:t>4#</w:t>
            </w:r>
            <w:r>
              <w:rPr>
                <w:rFonts w:ascii="Times New Roman" w:hAnsi="Times New Roman"/>
                <w:sz w:val="21"/>
                <w:szCs w:val="21"/>
              </w:rPr>
              <w:t>清管阀组集输干线</w:t>
            </w:r>
          </w:p>
        </w:tc>
        <w:tc>
          <w:tcPr>
            <w:tcW w:w="1272" w:type="dxa"/>
            <w:vAlign w:val="center"/>
          </w:tcPr>
          <w:p w14:paraId="1763C6DD"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27.6m/2</w:t>
            </w:r>
            <w:r>
              <w:rPr>
                <w:rFonts w:ascii="Times New Roman" w:hAnsi="Times New Roman"/>
                <w:sz w:val="21"/>
                <w:szCs w:val="21"/>
              </w:rPr>
              <w:t>次</w:t>
            </w:r>
          </w:p>
        </w:tc>
        <w:tc>
          <w:tcPr>
            <w:tcW w:w="1277" w:type="dxa"/>
            <w:vAlign w:val="center"/>
          </w:tcPr>
          <w:p w14:paraId="69D0C1B5"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开挖</w:t>
            </w:r>
          </w:p>
        </w:tc>
        <w:tc>
          <w:tcPr>
            <w:tcW w:w="2547" w:type="dxa"/>
            <w:vAlign w:val="center"/>
          </w:tcPr>
          <w:p w14:paraId="08A42A27"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w:t>
            </w:r>
          </w:p>
        </w:tc>
      </w:tr>
      <w:tr w:rsidR="007D1E74" w14:paraId="5D5A3CCE" w14:textId="77777777">
        <w:trPr>
          <w:trHeight w:val="314"/>
        </w:trPr>
        <w:tc>
          <w:tcPr>
            <w:tcW w:w="703" w:type="dxa"/>
            <w:vAlign w:val="center"/>
          </w:tcPr>
          <w:p w14:paraId="048A77AF" w14:textId="77777777" w:rsidR="007D1E74" w:rsidRDefault="00A95641">
            <w:pPr>
              <w:pStyle w:val="TableParagraph"/>
              <w:snapToGrid w:val="0"/>
              <w:jc w:val="center"/>
              <w:rPr>
                <w:rFonts w:ascii="Times New Roman" w:hAnsi="Times New Roman"/>
                <w:w w:val="99"/>
                <w:sz w:val="21"/>
                <w:szCs w:val="21"/>
              </w:rPr>
            </w:pPr>
            <w:r>
              <w:rPr>
                <w:rFonts w:ascii="Times New Roman" w:hAnsi="Times New Roman"/>
                <w:w w:val="99"/>
                <w:sz w:val="21"/>
                <w:szCs w:val="21"/>
              </w:rPr>
              <w:t>3</w:t>
            </w:r>
          </w:p>
        </w:tc>
        <w:tc>
          <w:tcPr>
            <w:tcW w:w="3261" w:type="dxa"/>
            <w:vAlign w:val="center"/>
          </w:tcPr>
          <w:p w14:paraId="4F1E317E"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马</w:t>
            </w:r>
            <w:r>
              <w:rPr>
                <w:rFonts w:ascii="Times New Roman" w:hAnsi="Times New Roman"/>
                <w:sz w:val="21"/>
                <w:szCs w:val="21"/>
              </w:rPr>
              <w:t>1-10H</w:t>
            </w:r>
            <w:r>
              <w:rPr>
                <w:rFonts w:ascii="Times New Roman" w:hAnsi="Times New Roman"/>
                <w:sz w:val="21"/>
                <w:szCs w:val="21"/>
              </w:rPr>
              <w:t>采气井场至马</w:t>
            </w:r>
            <w:r>
              <w:rPr>
                <w:rFonts w:ascii="Times New Roman" w:hAnsi="Times New Roman"/>
                <w:sz w:val="21"/>
                <w:szCs w:val="21"/>
              </w:rPr>
              <w:t>1-1</w:t>
            </w:r>
            <w:r>
              <w:rPr>
                <w:rFonts w:ascii="Times New Roman" w:hAnsi="Times New Roman"/>
                <w:sz w:val="21"/>
                <w:szCs w:val="21"/>
              </w:rPr>
              <w:t>集气支线</w:t>
            </w:r>
          </w:p>
        </w:tc>
        <w:tc>
          <w:tcPr>
            <w:tcW w:w="1272" w:type="dxa"/>
            <w:vAlign w:val="center"/>
          </w:tcPr>
          <w:p w14:paraId="545D7C19"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13.8m/1</w:t>
            </w:r>
            <w:r>
              <w:rPr>
                <w:rFonts w:ascii="Times New Roman" w:hAnsi="Times New Roman"/>
                <w:sz w:val="21"/>
                <w:szCs w:val="21"/>
              </w:rPr>
              <w:t>次</w:t>
            </w:r>
          </w:p>
        </w:tc>
        <w:tc>
          <w:tcPr>
            <w:tcW w:w="1277" w:type="dxa"/>
          </w:tcPr>
          <w:p w14:paraId="216EB64E"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开挖</w:t>
            </w:r>
          </w:p>
        </w:tc>
        <w:tc>
          <w:tcPr>
            <w:tcW w:w="2547" w:type="dxa"/>
            <w:vAlign w:val="center"/>
          </w:tcPr>
          <w:p w14:paraId="2F54A567"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w:t>
            </w:r>
          </w:p>
        </w:tc>
      </w:tr>
      <w:tr w:rsidR="007D1E74" w14:paraId="4E03DDF1" w14:textId="77777777">
        <w:trPr>
          <w:trHeight w:val="314"/>
        </w:trPr>
        <w:tc>
          <w:tcPr>
            <w:tcW w:w="703" w:type="dxa"/>
            <w:vAlign w:val="center"/>
          </w:tcPr>
          <w:p w14:paraId="69DB8340" w14:textId="77777777" w:rsidR="007D1E74" w:rsidRDefault="00A95641">
            <w:pPr>
              <w:pStyle w:val="TableParagraph"/>
              <w:snapToGrid w:val="0"/>
              <w:jc w:val="center"/>
              <w:rPr>
                <w:rFonts w:ascii="Times New Roman" w:hAnsi="Times New Roman"/>
                <w:w w:val="99"/>
                <w:sz w:val="21"/>
                <w:szCs w:val="21"/>
              </w:rPr>
            </w:pPr>
            <w:r>
              <w:rPr>
                <w:rFonts w:ascii="Times New Roman" w:hAnsi="Times New Roman"/>
                <w:w w:val="99"/>
                <w:sz w:val="21"/>
                <w:szCs w:val="21"/>
              </w:rPr>
              <w:t>4</w:t>
            </w:r>
          </w:p>
        </w:tc>
        <w:tc>
          <w:tcPr>
            <w:tcW w:w="3261" w:type="dxa"/>
            <w:vAlign w:val="center"/>
          </w:tcPr>
          <w:p w14:paraId="254714FB"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4#</w:t>
            </w:r>
            <w:r>
              <w:rPr>
                <w:rFonts w:ascii="Times New Roman" w:hAnsi="Times New Roman"/>
                <w:sz w:val="21"/>
                <w:szCs w:val="21"/>
              </w:rPr>
              <w:t>清管阀组至草池增压站集输干线</w:t>
            </w:r>
          </w:p>
        </w:tc>
        <w:tc>
          <w:tcPr>
            <w:tcW w:w="1272" w:type="dxa"/>
            <w:vAlign w:val="center"/>
          </w:tcPr>
          <w:p w14:paraId="32FC95C9"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60m/4</w:t>
            </w:r>
            <w:r>
              <w:rPr>
                <w:rFonts w:ascii="Times New Roman" w:hAnsi="Times New Roman"/>
                <w:sz w:val="21"/>
                <w:szCs w:val="21"/>
              </w:rPr>
              <w:t>次</w:t>
            </w:r>
          </w:p>
        </w:tc>
        <w:tc>
          <w:tcPr>
            <w:tcW w:w="1277" w:type="dxa"/>
          </w:tcPr>
          <w:p w14:paraId="1F0B0721"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开挖</w:t>
            </w:r>
          </w:p>
        </w:tc>
        <w:tc>
          <w:tcPr>
            <w:tcW w:w="2547" w:type="dxa"/>
            <w:vAlign w:val="center"/>
          </w:tcPr>
          <w:p w14:paraId="051D3EEE"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w:t>
            </w:r>
          </w:p>
        </w:tc>
      </w:tr>
      <w:tr w:rsidR="007D1E74" w14:paraId="289E1E33" w14:textId="77777777">
        <w:trPr>
          <w:trHeight w:val="314"/>
        </w:trPr>
        <w:tc>
          <w:tcPr>
            <w:tcW w:w="703" w:type="dxa"/>
            <w:vAlign w:val="center"/>
          </w:tcPr>
          <w:p w14:paraId="05664A36" w14:textId="77777777" w:rsidR="007D1E74" w:rsidRDefault="00A95641">
            <w:pPr>
              <w:pStyle w:val="TableParagraph"/>
              <w:snapToGrid w:val="0"/>
              <w:jc w:val="center"/>
              <w:rPr>
                <w:rFonts w:ascii="Times New Roman" w:hAnsi="Times New Roman"/>
                <w:w w:val="99"/>
                <w:sz w:val="21"/>
                <w:szCs w:val="21"/>
              </w:rPr>
            </w:pPr>
            <w:r>
              <w:rPr>
                <w:rFonts w:ascii="Times New Roman" w:hAnsi="Times New Roman"/>
                <w:w w:val="99"/>
                <w:sz w:val="21"/>
                <w:szCs w:val="21"/>
              </w:rPr>
              <w:t>5</w:t>
            </w:r>
          </w:p>
        </w:tc>
        <w:tc>
          <w:tcPr>
            <w:tcW w:w="3261" w:type="dxa"/>
            <w:vAlign w:val="center"/>
          </w:tcPr>
          <w:p w14:paraId="40399D0F"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合计</w:t>
            </w:r>
          </w:p>
        </w:tc>
        <w:tc>
          <w:tcPr>
            <w:tcW w:w="1272" w:type="dxa"/>
            <w:vAlign w:val="center"/>
          </w:tcPr>
          <w:p w14:paraId="7D4B1F10"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115 m /9</w:t>
            </w:r>
            <w:r>
              <w:rPr>
                <w:rFonts w:ascii="Times New Roman" w:hAnsi="Times New Roman"/>
                <w:sz w:val="21"/>
                <w:szCs w:val="21"/>
              </w:rPr>
              <w:t>次</w:t>
            </w:r>
          </w:p>
        </w:tc>
        <w:tc>
          <w:tcPr>
            <w:tcW w:w="1277" w:type="dxa"/>
          </w:tcPr>
          <w:p w14:paraId="45F3A81E"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w:t>
            </w:r>
          </w:p>
        </w:tc>
        <w:tc>
          <w:tcPr>
            <w:tcW w:w="2547" w:type="dxa"/>
            <w:vAlign w:val="center"/>
          </w:tcPr>
          <w:p w14:paraId="2F8551C1"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w:t>
            </w:r>
          </w:p>
        </w:tc>
      </w:tr>
      <w:tr w:rsidR="007D1E74" w14:paraId="7B841EBC" w14:textId="77777777">
        <w:trPr>
          <w:trHeight w:val="314"/>
        </w:trPr>
        <w:tc>
          <w:tcPr>
            <w:tcW w:w="9060" w:type="dxa"/>
            <w:gridSpan w:val="5"/>
            <w:vAlign w:val="center"/>
          </w:tcPr>
          <w:p w14:paraId="54F95023" w14:textId="77777777" w:rsidR="007D1E74" w:rsidRDefault="00A95641">
            <w:pPr>
              <w:pStyle w:val="TableParagraph"/>
              <w:snapToGrid w:val="0"/>
              <w:jc w:val="center"/>
              <w:rPr>
                <w:rFonts w:ascii="Times New Roman" w:hAnsi="Times New Roman"/>
                <w:b/>
                <w:bCs/>
                <w:sz w:val="21"/>
                <w:szCs w:val="21"/>
              </w:rPr>
            </w:pPr>
            <w:r>
              <w:rPr>
                <w:rFonts w:ascii="Times New Roman" w:hAnsi="Times New Roman"/>
                <w:b/>
                <w:bCs/>
                <w:sz w:val="21"/>
                <w:szCs w:val="21"/>
              </w:rPr>
              <w:t>小通江</w:t>
            </w:r>
          </w:p>
        </w:tc>
      </w:tr>
      <w:tr w:rsidR="007D1E74" w14:paraId="3E03B508" w14:textId="77777777">
        <w:trPr>
          <w:trHeight w:val="314"/>
        </w:trPr>
        <w:tc>
          <w:tcPr>
            <w:tcW w:w="703" w:type="dxa"/>
            <w:vAlign w:val="center"/>
          </w:tcPr>
          <w:p w14:paraId="169C1234" w14:textId="77777777" w:rsidR="007D1E74" w:rsidRDefault="00A95641">
            <w:pPr>
              <w:pStyle w:val="TableParagraph"/>
              <w:snapToGrid w:val="0"/>
              <w:jc w:val="center"/>
              <w:rPr>
                <w:rFonts w:ascii="Times New Roman" w:hAnsi="Times New Roman"/>
                <w:b/>
                <w:bCs/>
                <w:w w:val="99"/>
                <w:sz w:val="21"/>
                <w:szCs w:val="21"/>
              </w:rPr>
            </w:pPr>
            <w:r>
              <w:rPr>
                <w:rFonts w:ascii="Times New Roman" w:hAnsi="Times New Roman"/>
                <w:b/>
                <w:bCs/>
                <w:sz w:val="21"/>
                <w:szCs w:val="21"/>
              </w:rPr>
              <w:t>序号</w:t>
            </w:r>
          </w:p>
        </w:tc>
        <w:tc>
          <w:tcPr>
            <w:tcW w:w="3261" w:type="dxa"/>
            <w:vAlign w:val="center"/>
          </w:tcPr>
          <w:p w14:paraId="7C730AC3" w14:textId="77777777" w:rsidR="007D1E74" w:rsidRDefault="00A95641">
            <w:pPr>
              <w:pStyle w:val="TableParagraph"/>
              <w:snapToGrid w:val="0"/>
              <w:jc w:val="center"/>
              <w:rPr>
                <w:rFonts w:ascii="Times New Roman" w:hAnsi="Times New Roman"/>
                <w:b/>
                <w:bCs/>
                <w:sz w:val="21"/>
                <w:szCs w:val="21"/>
              </w:rPr>
            </w:pPr>
            <w:r>
              <w:rPr>
                <w:rFonts w:ascii="Times New Roman" w:hAnsi="Times New Roman"/>
                <w:b/>
                <w:bCs/>
                <w:sz w:val="21"/>
                <w:szCs w:val="21"/>
              </w:rPr>
              <w:t>名称</w:t>
            </w:r>
          </w:p>
        </w:tc>
        <w:tc>
          <w:tcPr>
            <w:tcW w:w="1272" w:type="dxa"/>
            <w:vAlign w:val="center"/>
          </w:tcPr>
          <w:p w14:paraId="6470CBAE" w14:textId="77777777" w:rsidR="007D1E74" w:rsidRDefault="00A95641">
            <w:pPr>
              <w:pStyle w:val="TableParagraph"/>
              <w:snapToGrid w:val="0"/>
              <w:jc w:val="center"/>
              <w:rPr>
                <w:rFonts w:ascii="Times New Roman" w:hAnsi="Times New Roman"/>
                <w:b/>
                <w:bCs/>
                <w:sz w:val="21"/>
                <w:szCs w:val="21"/>
              </w:rPr>
            </w:pPr>
            <w:r>
              <w:rPr>
                <w:rFonts w:ascii="Times New Roman" w:hAnsi="Times New Roman"/>
                <w:b/>
                <w:bCs/>
                <w:sz w:val="21"/>
                <w:szCs w:val="21"/>
              </w:rPr>
              <w:t>长度</w:t>
            </w:r>
          </w:p>
        </w:tc>
        <w:tc>
          <w:tcPr>
            <w:tcW w:w="1277" w:type="dxa"/>
            <w:vAlign w:val="center"/>
          </w:tcPr>
          <w:p w14:paraId="5642C154" w14:textId="77777777" w:rsidR="007D1E74" w:rsidRDefault="00A95641">
            <w:pPr>
              <w:pStyle w:val="TableParagraph"/>
              <w:snapToGrid w:val="0"/>
              <w:jc w:val="center"/>
              <w:rPr>
                <w:rFonts w:ascii="Times New Roman" w:hAnsi="Times New Roman"/>
                <w:b/>
                <w:bCs/>
                <w:sz w:val="21"/>
                <w:szCs w:val="21"/>
              </w:rPr>
            </w:pPr>
            <w:r>
              <w:rPr>
                <w:rFonts w:ascii="Times New Roman" w:hAnsi="Times New Roman"/>
                <w:b/>
                <w:bCs/>
                <w:sz w:val="21"/>
                <w:szCs w:val="21"/>
              </w:rPr>
              <w:t>穿越方式</w:t>
            </w:r>
          </w:p>
        </w:tc>
        <w:tc>
          <w:tcPr>
            <w:tcW w:w="2547" w:type="dxa"/>
            <w:vAlign w:val="center"/>
          </w:tcPr>
          <w:p w14:paraId="59FF9BAA" w14:textId="77777777" w:rsidR="007D1E74" w:rsidRDefault="00A95641">
            <w:pPr>
              <w:pStyle w:val="TableParagraph"/>
              <w:snapToGrid w:val="0"/>
              <w:jc w:val="center"/>
              <w:rPr>
                <w:rFonts w:ascii="Times New Roman" w:hAnsi="Times New Roman"/>
                <w:b/>
                <w:bCs/>
                <w:sz w:val="21"/>
                <w:szCs w:val="21"/>
              </w:rPr>
            </w:pPr>
            <w:r>
              <w:rPr>
                <w:rFonts w:ascii="Times New Roman" w:hAnsi="Times New Roman"/>
                <w:b/>
                <w:bCs/>
                <w:sz w:val="21"/>
                <w:szCs w:val="21"/>
              </w:rPr>
              <w:t>备注</w:t>
            </w:r>
          </w:p>
        </w:tc>
      </w:tr>
      <w:tr w:rsidR="007D1E74" w14:paraId="3644B2F7" w14:textId="77777777">
        <w:trPr>
          <w:trHeight w:val="314"/>
        </w:trPr>
        <w:tc>
          <w:tcPr>
            <w:tcW w:w="703" w:type="dxa"/>
            <w:vAlign w:val="center"/>
          </w:tcPr>
          <w:p w14:paraId="2F44B971"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1</w:t>
            </w:r>
          </w:p>
        </w:tc>
        <w:tc>
          <w:tcPr>
            <w:tcW w:w="3261" w:type="dxa"/>
            <w:vAlign w:val="center"/>
          </w:tcPr>
          <w:p w14:paraId="7A8AED1A"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马</w:t>
            </w:r>
            <w:r>
              <w:rPr>
                <w:rFonts w:ascii="Times New Roman" w:hAnsi="Times New Roman"/>
                <w:sz w:val="21"/>
                <w:szCs w:val="21"/>
              </w:rPr>
              <w:t xml:space="preserve"> 1-13H </w:t>
            </w:r>
            <w:r>
              <w:rPr>
                <w:rFonts w:ascii="Times New Roman" w:hAnsi="Times New Roman"/>
                <w:sz w:val="21"/>
                <w:szCs w:val="21"/>
              </w:rPr>
              <w:t>采气井场至干线集气支线</w:t>
            </w:r>
          </w:p>
        </w:tc>
        <w:tc>
          <w:tcPr>
            <w:tcW w:w="1272" w:type="dxa"/>
            <w:vAlign w:val="center"/>
          </w:tcPr>
          <w:p w14:paraId="3EB70278"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289.1m/1</w:t>
            </w:r>
            <w:r>
              <w:rPr>
                <w:rFonts w:ascii="Times New Roman" w:hAnsi="Times New Roman"/>
                <w:sz w:val="21"/>
                <w:szCs w:val="21"/>
              </w:rPr>
              <w:t>次</w:t>
            </w:r>
          </w:p>
        </w:tc>
        <w:tc>
          <w:tcPr>
            <w:tcW w:w="1277" w:type="dxa"/>
            <w:vAlign w:val="center"/>
          </w:tcPr>
          <w:p w14:paraId="0DE69189"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定向钻</w:t>
            </w:r>
          </w:p>
        </w:tc>
        <w:tc>
          <w:tcPr>
            <w:tcW w:w="2547" w:type="dxa"/>
            <w:vAlign w:val="center"/>
          </w:tcPr>
          <w:p w14:paraId="6169E360" w14:textId="77777777" w:rsidR="007D1E74" w:rsidRDefault="00A95641">
            <w:pPr>
              <w:pStyle w:val="TableParagraph"/>
              <w:snapToGrid w:val="0"/>
              <w:jc w:val="center"/>
              <w:rPr>
                <w:rFonts w:ascii="Times New Roman" w:hAnsi="Times New Roman"/>
                <w:sz w:val="21"/>
                <w:szCs w:val="21"/>
              </w:rPr>
            </w:pPr>
            <w:r>
              <w:rPr>
                <w:rFonts w:ascii="Times New Roman" w:hAnsi="Times New Roman"/>
                <w:noProof/>
                <w:sz w:val="21"/>
                <w:szCs w:val="21"/>
              </w:rPr>
              <w:drawing>
                <wp:inline distT="0" distB="0" distL="0" distR="0" wp14:anchorId="0FB168EB" wp14:editId="2412B9BE">
                  <wp:extent cx="1614170" cy="1214120"/>
                  <wp:effectExtent l="0" t="0" r="1270" b="50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6"/>
                          <a:stretch>
                            <a:fillRect/>
                          </a:stretch>
                        </pic:blipFill>
                        <pic:spPr>
                          <a:xfrm>
                            <a:off x="0" y="0"/>
                            <a:ext cx="1614170" cy="1214120"/>
                          </a:xfrm>
                          <a:prstGeom prst="rect">
                            <a:avLst/>
                          </a:prstGeom>
                        </pic:spPr>
                      </pic:pic>
                    </a:graphicData>
                  </a:graphic>
                </wp:inline>
              </w:drawing>
            </w:r>
          </w:p>
        </w:tc>
      </w:tr>
      <w:tr w:rsidR="007D1E74" w14:paraId="2DD0C393" w14:textId="77777777">
        <w:trPr>
          <w:trHeight w:val="314"/>
        </w:trPr>
        <w:tc>
          <w:tcPr>
            <w:tcW w:w="703" w:type="dxa"/>
            <w:vAlign w:val="center"/>
          </w:tcPr>
          <w:p w14:paraId="04928673"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2</w:t>
            </w:r>
          </w:p>
        </w:tc>
        <w:tc>
          <w:tcPr>
            <w:tcW w:w="3261" w:type="dxa"/>
            <w:vAlign w:val="center"/>
          </w:tcPr>
          <w:p w14:paraId="043C9FA8"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1#</w:t>
            </w:r>
            <w:r>
              <w:rPr>
                <w:rFonts w:ascii="Times New Roman" w:hAnsi="Times New Roman"/>
                <w:sz w:val="21"/>
                <w:szCs w:val="21"/>
              </w:rPr>
              <w:t>阀室至马</w:t>
            </w:r>
            <w:r>
              <w:rPr>
                <w:rFonts w:ascii="Times New Roman" w:hAnsi="Times New Roman"/>
                <w:sz w:val="21"/>
                <w:szCs w:val="21"/>
              </w:rPr>
              <w:t xml:space="preserve"> 1-11 </w:t>
            </w:r>
            <w:r>
              <w:rPr>
                <w:rFonts w:ascii="Times New Roman" w:hAnsi="Times New Roman"/>
                <w:sz w:val="21"/>
                <w:szCs w:val="21"/>
              </w:rPr>
              <w:t>脱水井场集输干线</w:t>
            </w:r>
          </w:p>
        </w:tc>
        <w:tc>
          <w:tcPr>
            <w:tcW w:w="1272" w:type="dxa"/>
            <w:vAlign w:val="center"/>
          </w:tcPr>
          <w:p w14:paraId="24C59426"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328.3m/1</w:t>
            </w:r>
            <w:r>
              <w:rPr>
                <w:rFonts w:ascii="Times New Roman" w:hAnsi="Times New Roman"/>
                <w:sz w:val="21"/>
                <w:szCs w:val="21"/>
              </w:rPr>
              <w:t>次</w:t>
            </w:r>
          </w:p>
        </w:tc>
        <w:tc>
          <w:tcPr>
            <w:tcW w:w="1277" w:type="dxa"/>
            <w:vAlign w:val="center"/>
          </w:tcPr>
          <w:p w14:paraId="4AD13E69"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定向钻</w:t>
            </w:r>
          </w:p>
        </w:tc>
        <w:tc>
          <w:tcPr>
            <w:tcW w:w="2547" w:type="dxa"/>
            <w:vAlign w:val="center"/>
          </w:tcPr>
          <w:p w14:paraId="58541C5B" w14:textId="77777777" w:rsidR="007D1E74" w:rsidRDefault="00A95641">
            <w:pPr>
              <w:pStyle w:val="TableParagraph"/>
              <w:snapToGrid w:val="0"/>
              <w:jc w:val="center"/>
              <w:rPr>
                <w:rFonts w:ascii="Times New Roman" w:hAnsi="Times New Roman"/>
                <w:sz w:val="21"/>
                <w:szCs w:val="21"/>
              </w:rPr>
            </w:pPr>
            <w:r>
              <w:rPr>
                <w:rFonts w:ascii="Times New Roman" w:hAnsi="Times New Roman"/>
                <w:noProof/>
                <w:sz w:val="21"/>
                <w:szCs w:val="21"/>
              </w:rPr>
              <w:drawing>
                <wp:inline distT="0" distB="0" distL="0" distR="0" wp14:anchorId="7D6C749A" wp14:editId="44C23C32">
                  <wp:extent cx="1614170" cy="1076325"/>
                  <wp:effectExtent l="0" t="0" r="1270" b="571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1614170" cy="1076325"/>
                          </a:xfrm>
                          <a:prstGeom prst="rect">
                            <a:avLst/>
                          </a:prstGeom>
                          <a:noFill/>
                          <a:ln>
                            <a:noFill/>
                          </a:ln>
                        </pic:spPr>
                      </pic:pic>
                    </a:graphicData>
                  </a:graphic>
                </wp:inline>
              </w:drawing>
            </w:r>
          </w:p>
        </w:tc>
      </w:tr>
      <w:tr w:rsidR="007D1E74" w14:paraId="5EC79DB1" w14:textId="77777777">
        <w:trPr>
          <w:trHeight w:val="314"/>
        </w:trPr>
        <w:tc>
          <w:tcPr>
            <w:tcW w:w="703" w:type="dxa"/>
            <w:vAlign w:val="center"/>
          </w:tcPr>
          <w:p w14:paraId="3CEBA330"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3</w:t>
            </w:r>
          </w:p>
        </w:tc>
        <w:tc>
          <w:tcPr>
            <w:tcW w:w="3261" w:type="dxa"/>
            <w:vAlign w:val="center"/>
          </w:tcPr>
          <w:p w14:paraId="36E03889"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马</w:t>
            </w:r>
            <w:r>
              <w:rPr>
                <w:rFonts w:ascii="Times New Roman" w:hAnsi="Times New Roman"/>
                <w:sz w:val="21"/>
                <w:szCs w:val="21"/>
              </w:rPr>
              <w:t>1-12H</w:t>
            </w:r>
            <w:r>
              <w:rPr>
                <w:rFonts w:ascii="Times New Roman" w:hAnsi="Times New Roman"/>
                <w:sz w:val="21"/>
                <w:szCs w:val="21"/>
              </w:rPr>
              <w:t>采气井场至集输干线</w:t>
            </w:r>
          </w:p>
        </w:tc>
        <w:tc>
          <w:tcPr>
            <w:tcW w:w="1272" w:type="dxa"/>
            <w:vAlign w:val="center"/>
          </w:tcPr>
          <w:p w14:paraId="52E5C047"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383m/1</w:t>
            </w:r>
            <w:r>
              <w:rPr>
                <w:rFonts w:ascii="Times New Roman" w:hAnsi="Times New Roman"/>
                <w:sz w:val="21"/>
                <w:szCs w:val="21"/>
              </w:rPr>
              <w:t>次</w:t>
            </w:r>
          </w:p>
        </w:tc>
        <w:tc>
          <w:tcPr>
            <w:tcW w:w="1277" w:type="dxa"/>
            <w:vAlign w:val="center"/>
          </w:tcPr>
          <w:p w14:paraId="530E3BD5"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定向钻</w:t>
            </w:r>
          </w:p>
        </w:tc>
        <w:tc>
          <w:tcPr>
            <w:tcW w:w="2547" w:type="dxa"/>
            <w:vAlign w:val="center"/>
          </w:tcPr>
          <w:p w14:paraId="641A44A0" w14:textId="77777777" w:rsidR="007D1E74" w:rsidRDefault="00A95641">
            <w:pPr>
              <w:pStyle w:val="TableParagraph"/>
              <w:snapToGrid w:val="0"/>
              <w:jc w:val="center"/>
              <w:rPr>
                <w:rFonts w:ascii="Times New Roman" w:hAnsi="Times New Roman"/>
                <w:sz w:val="21"/>
                <w:szCs w:val="21"/>
              </w:rPr>
            </w:pPr>
            <w:r>
              <w:rPr>
                <w:rFonts w:ascii="Times New Roman" w:hAnsi="Times New Roman"/>
                <w:noProof/>
                <w:sz w:val="21"/>
                <w:szCs w:val="21"/>
              </w:rPr>
              <w:drawing>
                <wp:inline distT="0" distB="0" distL="0" distR="0" wp14:anchorId="6A8C1491" wp14:editId="1AFDE6AE">
                  <wp:extent cx="1614170" cy="1076325"/>
                  <wp:effectExtent l="0" t="0" r="1270" b="571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1614170" cy="1076325"/>
                          </a:xfrm>
                          <a:prstGeom prst="rect">
                            <a:avLst/>
                          </a:prstGeom>
                          <a:noFill/>
                          <a:ln>
                            <a:noFill/>
                          </a:ln>
                        </pic:spPr>
                      </pic:pic>
                    </a:graphicData>
                  </a:graphic>
                </wp:inline>
              </w:drawing>
            </w:r>
          </w:p>
        </w:tc>
      </w:tr>
      <w:tr w:rsidR="007D1E74" w14:paraId="709F8C1A" w14:textId="77777777">
        <w:trPr>
          <w:trHeight w:val="314"/>
        </w:trPr>
        <w:tc>
          <w:tcPr>
            <w:tcW w:w="703" w:type="dxa"/>
            <w:vAlign w:val="center"/>
          </w:tcPr>
          <w:p w14:paraId="2AF97AE6"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4</w:t>
            </w:r>
          </w:p>
        </w:tc>
        <w:tc>
          <w:tcPr>
            <w:tcW w:w="3261" w:type="dxa"/>
            <w:vAlign w:val="center"/>
          </w:tcPr>
          <w:p w14:paraId="3FEC9D1A"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合计</w:t>
            </w:r>
          </w:p>
        </w:tc>
        <w:tc>
          <w:tcPr>
            <w:tcW w:w="1272" w:type="dxa"/>
            <w:vAlign w:val="center"/>
          </w:tcPr>
          <w:p w14:paraId="7353B639"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1000.4m/3</w:t>
            </w:r>
            <w:r>
              <w:rPr>
                <w:rFonts w:ascii="Times New Roman" w:hAnsi="Times New Roman"/>
                <w:sz w:val="21"/>
                <w:szCs w:val="21"/>
              </w:rPr>
              <w:t>次</w:t>
            </w:r>
          </w:p>
        </w:tc>
        <w:tc>
          <w:tcPr>
            <w:tcW w:w="1277" w:type="dxa"/>
            <w:vAlign w:val="center"/>
          </w:tcPr>
          <w:p w14:paraId="6D82A95B"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w:t>
            </w:r>
          </w:p>
        </w:tc>
        <w:tc>
          <w:tcPr>
            <w:tcW w:w="2547" w:type="dxa"/>
            <w:vAlign w:val="center"/>
          </w:tcPr>
          <w:p w14:paraId="48A8039D"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w:t>
            </w:r>
          </w:p>
        </w:tc>
      </w:tr>
      <w:tr w:rsidR="007D1E74" w14:paraId="1CEDBA3B" w14:textId="77777777">
        <w:trPr>
          <w:trHeight w:val="314"/>
        </w:trPr>
        <w:tc>
          <w:tcPr>
            <w:tcW w:w="9060" w:type="dxa"/>
            <w:gridSpan w:val="5"/>
            <w:vAlign w:val="center"/>
          </w:tcPr>
          <w:p w14:paraId="33CEBB21" w14:textId="77777777" w:rsidR="007D1E74" w:rsidRDefault="00A95641">
            <w:pPr>
              <w:pStyle w:val="TableParagraph"/>
              <w:snapToGrid w:val="0"/>
              <w:jc w:val="center"/>
              <w:rPr>
                <w:rFonts w:ascii="Times New Roman" w:hAnsi="Times New Roman"/>
                <w:b/>
                <w:bCs/>
                <w:sz w:val="21"/>
                <w:szCs w:val="21"/>
              </w:rPr>
            </w:pPr>
            <w:r>
              <w:rPr>
                <w:rFonts w:ascii="Times New Roman" w:hAnsi="Times New Roman"/>
                <w:b/>
                <w:bCs/>
                <w:sz w:val="21"/>
                <w:szCs w:val="21"/>
              </w:rPr>
              <w:t>乡道</w:t>
            </w:r>
          </w:p>
        </w:tc>
      </w:tr>
      <w:tr w:rsidR="007D1E74" w14:paraId="4E576595" w14:textId="77777777">
        <w:trPr>
          <w:trHeight w:val="314"/>
        </w:trPr>
        <w:tc>
          <w:tcPr>
            <w:tcW w:w="703" w:type="dxa"/>
            <w:vAlign w:val="center"/>
          </w:tcPr>
          <w:p w14:paraId="670E29B8" w14:textId="77777777" w:rsidR="007D1E74" w:rsidRDefault="00A95641">
            <w:pPr>
              <w:pStyle w:val="TableParagraph"/>
              <w:snapToGrid w:val="0"/>
              <w:jc w:val="center"/>
              <w:rPr>
                <w:rFonts w:ascii="Times New Roman" w:hAnsi="Times New Roman"/>
                <w:w w:val="99"/>
                <w:sz w:val="21"/>
                <w:szCs w:val="21"/>
              </w:rPr>
            </w:pPr>
            <w:r>
              <w:rPr>
                <w:rFonts w:ascii="Times New Roman" w:hAnsi="Times New Roman"/>
                <w:b/>
                <w:bCs/>
                <w:sz w:val="21"/>
                <w:szCs w:val="21"/>
              </w:rPr>
              <w:t>序号</w:t>
            </w:r>
          </w:p>
        </w:tc>
        <w:tc>
          <w:tcPr>
            <w:tcW w:w="3261" w:type="dxa"/>
            <w:vAlign w:val="center"/>
          </w:tcPr>
          <w:p w14:paraId="25637234" w14:textId="77777777" w:rsidR="007D1E74" w:rsidRDefault="00A95641">
            <w:pPr>
              <w:pStyle w:val="TableParagraph"/>
              <w:snapToGrid w:val="0"/>
              <w:jc w:val="center"/>
              <w:rPr>
                <w:rFonts w:ascii="Times New Roman" w:hAnsi="Times New Roman"/>
                <w:b/>
                <w:bCs/>
                <w:sz w:val="21"/>
                <w:szCs w:val="21"/>
              </w:rPr>
            </w:pPr>
            <w:r>
              <w:rPr>
                <w:rFonts w:ascii="Times New Roman" w:hAnsi="Times New Roman"/>
                <w:b/>
                <w:bCs/>
                <w:sz w:val="21"/>
                <w:szCs w:val="21"/>
              </w:rPr>
              <w:t>名称</w:t>
            </w:r>
          </w:p>
        </w:tc>
        <w:tc>
          <w:tcPr>
            <w:tcW w:w="1272" w:type="dxa"/>
            <w:vAlign w:val="center"/>
          </w:tcPr>
          <w:p w14:paraId="7321001E" w14:textId="77777777" w:rsidR="007D1E74" w:rsidRDefault="00A95641">
            <w:pPr>
              <w:pStyle w:val="TableParagraph"/>
              <w:snapToGrid w:val="0"/>
              <w:jc w:val="center"/>
              <w:rPr>
                <w:rFonts w:ascii="Times New Roman" w:hAnsi="Times New Roman"/>
                <w:b/>
                <w:bCs/>
                <w:sz w:val="21"/>
                <w:szCs w:val="21"/>
              </w:rPr>
            </w:pPr>
            <w:r>
              <w:rPr>
                <w:rFonts w:ascii="Times New Roman" w:hAnsi="Times New Roman"/>
                <w:b/>
                <w:bCs/>
                <w:sz w:val="21"/>
                <w:szCs w:val="21"/>
              </w:rPr>
              <w:t>长度</w:t>
            </w:r>
          </w:p>
        </w:tc>
        <w:tc>
          <w:tcPr>
            <w:tcW w:w="1277" w:type="dxa"/>
            <w:vAlign w:val="center"/>
          </w:tcPr>
          <w:p w14:paraId="540E66D3" w14:textId="77777777" w:rsidR="007D1E74" w:rsidRDefault="00A95641">
            <w:pPr>
              <w:pStyle w:val="TableParagraph"/>
              <w:snapToGrid w:val="0"/>
              <w:jc w:val="center"/>
              <w:rPr>
                <w:rFonts w:ascii="Times New Roman" w:hAnsi="Times New Roman"/>
                <w:b/>
                <w:bCs/>
                <w:sz w:val="21"/>
                <w:szCs w:val="21"/>
              </w:rPr>
            </w:pPr>
            <w:r>
              <w:rPr>
                <w:rFonts w:ascii="Times New Roman" w:hAnsi="Times New Roman"/>
                <w:b/>
                <w:bCs/>
                <w:sz w:val="21"/>
                <w:szCs w:val="21"/>
              </w:rPr>
              <w:t>穿越方式</w:t>
            </w:r>
          </w:p>
        </w:tc>
        <w:tc>
          <w:tcPr>
            <w:tcW w:w="2547" w:type="dxa"/>
            <w:vAlign w:val="center"/>
          </w:tcPr>
          <w:p w14:paraId="478B8418" w14:textId="77777777" w:rsidR="007D1E74" w:rsidRDefault="00A95641">
            <w:pPr>
              <w:pStyle w:val="TableParagraph"/>
              <w:snapToGrid w:val="0"/>
              <w:jc w:val="center"/>
              <w:rPr>
                <w:rFonts w:ascii="Times New Roman" w:hAnsi="Times New Roman"/>
                <w:b/>
                <w:bCs/>
                <w:sz w:val="21"/>
                <w:szCs w:val="21"/>
              </w:rPr>
            </w:pPr>
            <w:r>
              <w:rPr>
                <w:rFonts w:ascii="Times New Roman" w:hAnsi="Times New Roman"/>
                <w:b/>
                <w:bCs/>
                <w:sz w:val="21"/>
                <w:szCs w:val="21"/>
              </w:rPr>
              <w:t>备注</w:t>
            </w:r>
          </w:p>
        </w:tc>
      </w:tr>
      <w:tr w:rsidR="007D1E74" w14:paraId="51ED7A47" w14:textId="77777777">
        <w:trPr>
          <w:trHeight w:val="314"/>
        </w:trPr>
        <w:tc>
          <w:tcPr>
            <w:tcW w:w="703" w:type="dxa"/>
            <w:vAlign w:val="center"/>
          </w:tcPr>
          <w:p w14:paraId="09E0EF4E" w14:textId="77777777" w:rsidR="007D1E74" w:rsidRDefault="00A95641">
            <w:pPr>
              <w:pStyle w:val="TableParagraph"/>
              <w:snapToGrid w:val="0"/>
              <w:jc w:val="center"/>
              <w:rPr>
                <w:rFonts w:ascii="Times New Roman" w:hAnsi="Times New Roman"/>
                <w:w w:val="99"/>
                <w:sz w:val="21"/>
                <w:szCs w:val="21"/>
              </w:rPr>
            </w:pPr>
            <w:r>
              <w:rPr>
                <w:rFonts w:ascii="Times New Roman" w:hAnsi="Times New Roman"/>
                <w:w w:val="99"/>
                <w:sz w:val="21"/>
                <w:szCs w:val="21"/>
              </w:rPr>
              <w:t>1</w:t>
            </w:r>
          </w:p>
        </w:tc>
        <w:tc>
          <w:tcPr>
            <w:tcW w:w="3261" w:type="dxa"/>
            <w:vAlign w:val="center"/>
          </w:tcPr>
          <w:p w14:paraId="15494593"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1#</w:t>
            </w:r>
            <w:r>
              <w:rPr>
                <w:rFonts w:ascii="Times New Roman" w:hAnsi="Times New Roman"/>
                <w:sz w:val="21"/>
                <w:szCs w:val="21"/>
              </w:rPr>
              <w:t>阀室至马</w:t>
            </w:r>
            <w:r>
              <w:rPr>
                <w:rFonts w:ascii="Times New Roman" w:hAnsi="Times New Roman"/>
                <w:sz w:val="21"/>
                <w:szCs w:val="21"/>
              </w:rPr>
              <w:t>1-11</w:t>
            </w:r>
            <w:r>
              <w:rPr>
                <w:rFonts w:ascii="Times New Roman" w:hAnsi="Times New Roman"/>
                <w:sz w:val="21"/>
                <w:szCs w:val="21"/>
              </w:rPr>
              <w:t>脱水井场</w:t>
            </w:r>
          </w:p>
        </w:tc>
        <w:tc>
          <w:tcPr>
            <w:tcW w:w="1272" w:type="dxa"/>
            <w:vAlign w:val="center"/>
          </w:tcPr>
          <w:p w14:paraId="36FEE1C2" w14:textId="77777777" w:rsidR="007D1E74" w:rsidRDefault="00A95641">
            <w:pPr>
              <w:pStyle w:val="TableParagraph"/>
              <w:snapToGrid w:val="0"/>
              <w:jc w:val="center"/>
              <w:rPr>
                <w:rFonts w:ascii="Times New Roman" w:hAnsi="Times New Roman"/>
                <w:sz w:val="21"/>
                <w:szCs w:val="21"/>
              </w:rPr>
            </w:pPr>
            <w:r>
              <w:rPr>
                <w:rFonts w:ascii="Times New Roman" w:hAnsi="Times New Roman"/>
                <w:w w:val="99"/>
                <w:sz w:val="21"/>
                <w:szCs w:val="21"/>
              </w:rPr>
              <w:t>88m/11</w:t>
            </w:r>
            <w:r>
              <w:rPr>
                <w:rFonts w:ascii="Times New Roman" w:hAnsi="Times New Roman"/>
                <w:w w:val="99"/>
                <w:sz w:val="21"/>
                <w:szCs w:val="21"/>
              </w:rPr>
              <w:t>次</w:t>
            </w:r>
          </w:p>
        </w:tc>
        <w:tc>
          <w:tcPr>
            <w:tcW w:w="1277" w:type="dxa"/>
            <w:vAlign w:val="center"/>
          </w:tcPr>
          <w:p w14:paraId="6B27A2A5"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顶管</w:t>
            </w:r>
          </w:p>
        </w:tc>
        <w:tc>
          <w:tcPr>
            <w:tcW w:w="2547" w:type="dxa"/>
            <w:vAlign w:val="center"/>
          </w:tcPr>
          <w:p w14:paraId="6A97859B"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w:t>
            </w:r>
          </w:p>
        </w:tc>
      </w:tr>
      <w:tr w:rsidR="007D1E74" w14:paraId="77CA7483" w14:textId="77777777">
        <w:trPr>
          <w:trHeight w:val="314"/>
        </w:trPr>
        <w:tc>
          <w:tcPr>
            <w:tcW w:w="703" w:type="dxa"/>
            <w:vAlign w:val="center"/>
          </w:tcPr>
          <w:p w14:paraId="1E78D002" w14:textId="77777777" w:rsidR="007D1E74" w:rsidRDefault="00A95641">
            <w:pPr>
              <w:pStyle w:val="TableParagraph"/>
              <w:snapToGrid w:val="0"/>
              <w:jc w:val="center"/>
              <w:rPr>
                <w:rFonts w:ascii="Times New Roman" w:hAnsi="Times New Roman"/>
                <w:w w:val="99"/>
                <w:sz w:val="21"/>
                <w:szCs w:val="21"/>
              </w:rPr>
            </w:pPr>
            <w:r>
              <w:rPr>
                <w:rFonts w:ascii="Times New Roman" w:hAnsi="Times New Roman"/>
                <w:w w:val="99"/>
                <w:sz w:val="21"/>
                <w:szCs w:val="21"/>
              </w:rPr>
              <w:t>2</w:t>
            </w:r>
          </w:p>
        </w:tc>
        <w:tc>
          <w:tcPr>
            <w:tcW w:w="3261" w:type="dxa"/>
            <w:vAlign w:val="center"/>
          </w:tcPr>
          <w:p w14:paraId="1BD0AAE1"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马</w:t>
            </w:r>
            <w:r>
              <w:rPr>
                <w:rFonts w:ascii="Times New Roman" w:hAnsi="Times New Roman"/>
                <w:sz w:val="21"/>
                <w:szCs w:val="21"/>
              </w:rPr>
              <w:t>1-11</w:t>
            </w:r>
            <w:r>
              <w:rPr>
                <w:rFonts w:ascii="Times New Roman" w:hAnsi="Times New Roman"/>
                <w:sz w:val="21"/>
                <w:szCs w:val="21"/>
              </w:rPr>
              <w:t>脱水井场至</w:t>
            </w:r>
            <w:r>
              <w:rPr>
                <w:rFonts w:ascii="Times New Roman" w:hAnsi="Times New Roman"/>
                <w:sz w:val="21"/>
                <w:szCs w:val="21"/>
              </w:rPr>
              <w:t>4#</w:t>
            </w:r>
            <w:r>
              <w:rPr>
                <w:rFonts w:ascii="Times New Roman" w:hAnsi="Times New Roman"/>
                <w:sz w:val="21"/>
                <w:szCs w:val="21"/>
              </w:rPr>
              <w:t>清管阀组</w:t>
            </w:r>
          </w:p>
        </w:tc>
        <w:tc>
          <w:tcPr>
            <w:tcW w:w="1272" w:type="dxa"/>
            <w:vAlign w:val="center"/>
          </w:tcPr>
          <w:p w14:paraId="2F383E86"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66m/8</w:t>
            </w:r>
            <w:r>
              <w:rPr>
                <w:rFonts w:ascii="Times New Roman" w:hAnsi="Times New Roman"/>
                <w:sz w:val="21"/>
                <w:szCs w:val="21"/>
              </w:rPr>
              <w:t>次</w:t>
            </w:r>
          </w:p>
        </w:tc>
        <w:tc>
          <w:tcPr>
            <w:tcW w:w="1277" w:type="dxa"/>
            <w:vAlign w:val="center"/>
          </w:tcPr>
          <w:p w14:paraId="1BC36AC8"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顶管</w:t>
            </w:r>
          </w:p>
        </w:tc>
        <w:tc>
          <w:tcPr>
            <w:tcW w:w="2547" w:type="dxa"/>
            <w:vAlign w:val="center"/>
          </w:tcPr>
          <w:p w14:paraId="32E434CD"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w:t>
            </w:r>
          </w:p>
        </w:tc>
      </w:tr>
      <w:tr w:rsidR="007D1E74" w14:paraId="19994117" w14:textId="77777777">
        <w:trPr>
          <w:trHeight w:val="314"/>
        </w:trPr>
        <w:tc>
          <w:tcPr>
            <w:tcW w:w="703" w:type="dxa"/>
            <w:vAlign w:val="center"/>
          </w:tcPr>
          <w:p w14:paraId="2CE4AFD7" w14:textId="77777777" w:rsidR="007D1E74" w:rsidRDefault="00A95641">
            <w:pPr>
              <w:pStyle w:val="TableParagraph"/>
              <w:snapToGrid w:val="0"/>
              <w:jc w:val="center"/>
              <w:rPr>
                <w:rFonts w:ascii="Times New Roman" w:hAnsi="Times New Roman"/>
                <w:w w:val="99"/>
                <w:sz w:val="21"/>
                <w:szCs w:val="21"/>
              </w:rPr>
            </w:pPr>
            <w:r>
              <w:rPr>
                <w:rFonts w:ascii="Times New Roman" w:hAnsi="Times New Roman"/>
                <w:w w:val="99"/>
                <w:sz w:val="21"/>
                <w:szCs w:val="21"/>
              </w:rPr>
              <w:t>3</w:t>
            </w:r>
          </w:p>
        </w:tc>
        <w:tc>
          <w:tcPr>
            <w:tcW w:w="3261" w:type="dxa"/>
            <w:vAlign w:val="center"/>
          </w:tcPr>
          <w:p w14:paraId="5C3A9475"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马</w:t>
            </w:r>
            <w:r>
              <w:rPr>
                <w:rFonts w:ascii="Times New Roman" w:hAnsi="Times New Roman"/>
                <w:sz w:val="21"/>
                <w:szCs w:val="21"/>
              </w:rPr>
              <w:t>1-10H</w:t>
            </w:r>
            <w:r>
              <w:rPr>
                <w:rFonts w:ascii="Times New Roman" w:hAnsi="Times New Roman"/>
                <w:sz w:val="21"/>
                <w:szCs w:val="21"/>
              </w:rPr>
              <w:t>采气井场至马</w:t>
            </w:r>
            <w:r>
              <w:rPr>
                <w:rFonts w:ascii="Times New Roman" w:hAnsi="Times New Roman"/>
                <w:sz w:val="21"/>
                <w:szCs w:val="21"/>
              </w:rPr>
              <w:t>1-1</w:t>
            </w:r>
            <w:r>
              <w:rPr>
                <w:rFonts w:ascii="Times New Roman" w:hAnsi="Times New Roman"/>
                <w:sz w:val="21"/>
                <w:szCs w:val="21"/>
              </w:rPr>
              <w:t>集气支线</w:t>
            </w:r>
          </w:p>
        </w:tc>
        <w:tc>
          <w:tcPr>
            <w:tcW w:w="1272" w:type="dxa"/>
            <w:vAlign w:val="center"/>
          </w:tcPr>
          <w:p w14:paraId="4E5E4609"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36m/5</w:t>
            </w:r>
            <w:r>
              <w:rPr>
                <w:rFonts w:ascii="Times New Roman" w:hAnsi="Times New Roman"/>
                <w:sz w:val="21"/>
                <w:szCs w:val="21"/>
              </w:rPr>
              <w:t>次</w:t>
            </w:r>
          </w:p>
        </w:tc>
        <w:tc>
          <w:tcPr>
            <w:tcW w:w="1277" w:type="dxa"/>
            <w:vAlign w:val="center"/>
          </w:tcPr>
          <w:p w14:paraId="11B1B8F0"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顶管</w:t>
            </w:r>
          </w:p>
        </w:tc>
        <w:tc>
          <w:tcPr>
            <w:tcW w:w="2547" w:type="dxa"/>
            <w:vAlign w:val="center"/>
          </w:tcPr>
          <w:p w14:paraId="6A1097B7"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w:t>
            </w:r>
          </w:p>
        </w:tc>
      </w:tr>
      <w:tr w:rsidR="007D1E74" w14:paraId="18D22ABF" w14:textId="77777777">
        <w:trPr>
          <w:trHeight w:val="314"/>
        </w:trPr>
        <w:tc>
          <w:tcPr>
            <w:tcW w:w="703" w:type="dxa"/>
            <w:vAlign w:val="center"/>
          </w:tcPr>
          <w:p w14:paraId="2762E1A1" w14:textId="77777777" w:rsidR="007D1E74" w:rsidRDefault="00A95641">
            <w:pPr>
              <w:pStyle w:val="TableParagraph"/>
              <w:snapToGrid w:val="0"/>
              <w:jc w:val="center"/>
              <w:rPr>
                <w:rFonts w:ascii="Times New Roman" w:hAnsi="Times New Roman"/>
                <w:w w:val="99"/>
                <w:sz w:val="21"/>
                <w:szCs w:val="21"/>
              </w:rPr>
            </w:pPr>
            <w:r>
              <w:rPr>
                <w:rFonts w:ascii="Times New Roman" w:hAnsi="Times New Roman"/>
                <w:w w:val="99"/>
                <w:sz w:val="21"/>
                <w:szCs w:val="21"/>
              </w:rPr>
              <w:t>4</w:t>
            </w:r>
          </w:p>
        </w:tc>
        <w:tc>
          <w:tcPr>
            <w:tcW w:w="3261" w:type="dxa"/>
            <w:vAlign w:val="center"/>
          </w:tcPr>
          <w:p w14:paraId="1776A1E7"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马</w:t>
            </w:r>
            <w:r>
              <w:rPr>
                <w:rFonts w:ascii="Times New Roman" w:hAnsi="Times New Roman"/>
                <w:sz w:val="21"/>
                <w:szCs w:val="21"/>
              </w:rPr>
              <w:t>1-13H</w:t>
            </w:r>
            <w:r>
              <w:rPr>
                <w:rFonts w:ascii="Times New Roman" w:hAnsi="Times New Roman"/>
                <w:sz w:val="21"/>
                <w:szCs w:val="21"/>
              </w:rPr>
              <w:t>采气井场至干线集气支线</w:t>
            </w:r>
          </w:p>
        </w:tc>
        <w:tc>
          <w:tcPr>
            <w:tcW w:w="1272" w:type="dxa"/>
            <w:vAlign w:val="center"/>
          </w:tcPr>
          <w:p w14:paraId="3D2DC82D" w14:textId="77777777" w:rsidR="007D1E74" w:rsidRDefault="00A95641">
            <w:pPr>
              <w:pStyle w:val="TableParagraph"/>
              <w:snapToGrid w:val="0"/>
              <w:jc w:val="center"/>
              <w:rPr>
                <w:rFonts w:ascii="Times New Roman" w:hAnsi="Times New Roman"/>
                <w:sz w:val="21"/>
                <w:szCs w:val="21"/>
              </w:rPr>
            </w:pPr>
            <w:r>
              <w:rPr>
                <w:rFonts w:ascii="Times New Roman" w:hAnsi="Times New Roman"/>
                <w:w w:val="99"/>
                <w:sz w:val="21"/>
                <w:szCs w:val="21"/>
              </w:rPr>
              <w:t>10</w:t>
            </w:r>
            <w:r>
              <w:rPr>
                <w:rFonts w:ascii="Times New Roman" w:hAnsi="Times New Roman"/>
                <w:sz w:val="21"/>
                <w:szCs w:val="21"/>
              </w:rPr>
              <w:t xml:space="preserve"> m</w:t>
            </w:r>
            <w:r>
              <w:rPr>
                <w:rFonts w:ascii="Times New Roman" w:hAnsi="Times New Roman"/>
                <w:w w:val="99"/>
                <w:sz w:val="21"/>
                <w:szCs w:val="21"/>
              </w:rPr>
              <w:t xml:space="preserve"> /1</w:t>
            </w:r>
            <w:r>
              <w:rPr>
                <w:rFonts w:ascii="Times New Roman" w:hAnsi="Times New Roman"/>
                <w:w w:val="99"/>
                <w:sz w:val="21"/>
                <w:szCs w:val="21"/>
              </w:rPr>
              <w:t>次</w:t>
            </w:r>
          </w:p>
        </w:tc>
        <w:tc>
          <w:tcPr>
            <w:tcW w:w="1277" w:type="dxa"/>
            <w:vAlign w:val="center"/>
          </w:tcPr>
          <w:p w14:paraId="20653519"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顶管</w:t>
            </w:r>
          </w:p>
        </w:tc>
        <w:tc>
          <w:tcPr>
            <w:tcW w:w="2547" w:type="dxa"/>
            <w:vAlign w:val="center"/>
          </w:tcPr>
          <w:p w14:paraId="65B2D63F"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w:t>
            </w:r>
          </w:p>
        </w:tc>
      </w:tr>
      <w:tr w:rsidR="007D1E74" w14:paraId="46DBC888" w14:textId="77777777">
        <w:trPr>
          <w:trHeight w:val="314"/>
        </w:trPr>
        <w:tc>
          <w:tcPr>
            <w:tcW w:w="703" w:type="dxa"/>
            <w:vAlign w:val="center"/>
          </w:tcPr>
          <w:p w14:paraId="51BE9E87" w14:textId="77777777" w:rsidR="007D1E74" w:rsidRDefault="00A95641">
            <w:pPr>
              <w:pStyle w:val="TableParagraph"/>
              <w:snapToGrid w:val="0"/>
              <w:jc w:val="center"/>
              <w:rPr>
                <w:rFonts w:ascii="Times New Roman" w:hAnsi="Times New Roman"/>
                <w:w w:val="99"/>
                <w:sz w:val="21"/>
                <w:szCs w:val="21"/>
              </w:rPr>
            </w:pPr>
            <w:r>
              <w:rPr>
                <w:rFonts w:ascii="Times New Roman" w:hAnsi="Times New Roman"/>
                <w:w w:val="99"/>
                <w:sz w:val="21"/>
                <w:szCs w:val="21"/>
              </w:rPr>
              <w:t>5</w:t>
            </w:r>
          </w:p>
        </w:tc>
        <w:tc>
          <w:tcPr>
            <w:tcW w:w="3261" w:type="dxa"/>
            <w:vAlign w:val="center"/>
          </w:tcPr>
          <w:p w14:paraId="18D48347"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4#</w:t>
            </w:r>
            <w:r>
              <w:rPr>
                <w:rFonts w:ascii="Times New Roman" w:hAnsi="Times New Roman"/>
                <w:sz w:val="21"/>
                <w:szCs w:val="21"/>
              </w:rPr>
              <w:t>清管阀室</w:t>
            </w:r>
            <w:r>
              <w:rPr>
                <w:rFonts w:ascii="Times New Roman" w:hAnsi="Times New Roman"/>
                <w:sz w:val="21"/>
                <w:szCs w:val="21"/>
              </w:rPr>
              <w:t>-</w:t>
            </w:r>
            <w:r>
              <w:rPr>
                <w:rFonts w:ascii="Times New Roman" w:hAnsi="Times New Roman"/>
                <w:sz w:val="21"/>
                <w:szCs w:val="21"/>
              </w:rPr>
              <w:t>增压站</w:t>
            </w:r>
          </w:p>
        </w:tc>
        <w:tc>
          <w:tcPr>
            <w:tcW w:w="1272" w:type="dxa"/>
            <w:vAlign w:val="center"/>
          </w:tcPr>
          <w:p w14:paraId="2BBCF34A"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135.4m/16</w:t>
            </w:r>
            <w:r>
              <w:rPr>
                <w:rFonts w:ascii="Times New Roman" w:hAnsi="Times New Roman"/>
                <w:sz w:val="21"/>
                <w:szCs w:val="21"/>
              </w:rPr>
              <w:t>次</w:t>
            </w:r>
          </w:p>
        </w:tc>
        <w:tc>
          <w:tcPr>
            <w:tcW w:w="1277" w:type="dxa"/>
            <w:vAlign w:val="center"/>
          </w:tcPr>
          <w:p w14:paraId="0ACE3614"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顶管</w:t>
            </w:r>
            <w:r>
              <w:rPr>
                <w:rFonts w:ascii="Times New Roman" w:hAnsi="Times New Roman"/>
                <w:sz w:val="21"/>
                <w:szCs w:val="21"/>
              </w:rPr>
              <w:t>/</w:t>
            </w:r>
            <w:r>
              <w:rPr>
                <w:rFonts w:ascii="Times New Roman" w:hAnsi="Times New Roman"/>
                <w:sz w:val="21"/>
                <w:szCs w:val="21"/>
              </w:rPr>
              <w:t>开挖</w:t>
            </w:r>
          </w:p>
        </w:tc>
        <w:tc>
          <w:tcPr>
            <w:tcW w:w="2547" w:type="dxa"/>
            <w:vAlign w:val="center"/>
          </w:tcPr>
          <w:p w14:paraId="23FD48BA"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w:t>
            </w:r>
          </w:p>
        </w:tc>
      </w:tr>
      <w:tr w:rsidR="007D1E74" w14:paraId="6A61786C" w14:textId="77777777">
        <w:trPr>
          <w:trHeight w:val="314"/>
        </w:trPr>
        <w:tc>
          <w:tcPr>
            <w:tcW w:w="703" w:type="dxa"/>
            <w:vAlign w:val="center"/>
          </w:tcPr>
          <w:p w14:paraId="78A8F5C0" w14:textId="77777777" w:rsidR="007D1E74" w:rsidRDefault="007D1E74">
            <w:pPr>
              <w:pStyle w:val="TableParagraph"/>
              <w:snapToGrid w:val="0"/>
              <w:jc w:val="center"/>
              <w:rPr>
                <w:rFonts w:ascii="Times New Roman" w:hAnsi="Times New Roman"/>
                <w:w w:val="99"/>
                <w:sz w:val="21"/>
                <w:szCs w:val="21"/>
              </w:rPr>
            </w:pPr>
          </w:p>
        </w:tc>
        <w:tc>
          <w:tcPr>
            <w:tcW w:w="3261" w:type="dxa"/>
            <w:vAlign w:val="center"/>
          </w:tcPr>
          <w:p w14:paraId="04E8B99E"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合计</w:t>
            </w:r>
          </w:p>
        </w:tc>
        <w:tc>
          <w:tcPr>
            <w:tcW w:w="1272" w:type="dxa"/>
            <w:vAlign w:val="center"/>
          </w:tcPr>
          <w:p w14:paraId="6F25A768"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335.4m/41</w:t>
            </w:r>
            <w:r>
              <w:rPr>
                <w:rFonts w:ascii="Times New Roman" w:hAnsi="Times New Roman"/>
                <w:sz w:val="21"/>
                <w:szCs w:val="21"/>
              </w:rPr>
              <w:t>次</w:t>
            </w:r>
          </w:p>
        </w:tc>
        <w:tc>
          <w:tcPr>
            <w:tcW w:w="1277" w:type="dxa"/>
            <w:vAlign w:val="center"/>
          </w:tcPr>
          <w:p w14:paraId="129425CA" w14:textId="77777777" w:rsidR="007D1E74" w:rsidRDefault="007D1E74">
            <w:pPr>
              <w:pStyle w:val="TableParagraph"/>
              <w:snapToGrid w:val="0"/>
              <w:jc w:val="center"/>
              <w:rPr>
                <w:rFonts w:ascii="Times New Roman" w:hAnsi="Times New Roman"/>
                <w:sz w:val="21"/>
                <w:szCs w:val="21"/>
              </w:rPr>
            </w:pPr>
          </w:p>
        </w:tc>
        <w:tc>
          <w:tcPr>
            <w:tcW w:w="2547" w:type="dxa"/>
            <w:vAlign w:val="center"/>
          </w:tcPr>
          <w:p w14:paraId="587A642A" w14:textId="77777777" w:rsidR="007D1E74" w:rsidRDefault="007D1E74">
            <w:pPr>
              <w:pStyle w:val="TableParagraph"/>
              <w:snapToGrid w:val="0"/>
              <w:jc w:val="center"/>
              <w:rPr>
                <w:rFonts w:ascii="Times New Roman" w:hAnsi="Times New Roman"/>
                <w:sz w:val="21"/>
                <w:szCs w:val="21"/>
              </w:rPr>
            </w:pPr>
          </w:p>
        </w:tc>
      </w:tr>
      <w:tr w:rsidR="007D1E74" w14:paraId="48F15D7D" w14:textId="77777777">
        <w:trPr>
          <w:trHeight w:val="314"/>
        </w:trPr>
        <w:tc>
          <w:tcPr>
            <w:tcW w:w="9060" w:type="dxa"/>
            <w:gridSpan w:val="5"/>
            <w:vAlign w:val="center"/>
          </w:tcPr>
          <w:p w14:paraId="3855A6EB" w14:textId="77777777" w:rsidR="007D1E74" w:rsidRDefault="00A95641">
            <w:pPr>
              <w:pStyle w:val="TableParagraph"/>
              <w:snapToGrid w:val="0"/>
              <w:jc w:val="center"/>
              <w:rPr>
                <w:rFonts w:ascii="Times New Roman" w:hAnsi="Times New Roman"/>
                <w:b/>
                <w:bCs/>
                <w:sz w:val="21"/>
                <w:szCs w:val="21"/>
              </w:rPr>
            </w:pPr>
            <w:r>
              <w:rPr>
                <w:rFonts w:ascii="Times New Roman" w:hAnsi="Times New Roman"/>
                <w:b/>
                <w:bCs/>
                <w:sz w:val="21"/>
                <w:szCs w:val="21"/>
              </w:rPr>
              <w:t>S204</w:t>
            </w:r>
            <w:r>
              <w:rPr>
                <w:rFonts w:ascii="Times New Roman" w:hAnsi="Times New Roman"/>
                <w:b/>
                <w:bCs/>
                <w:sz w:val="21"/>
                <w:szCs w:val="21"/>
              </w:rPr>
              <w:t>快速路</w:t>
            </w:r>
          </w:p>
        </w:tc>
      </w:tr>
      <w:tr w:rsidR="007D1E74" w14:paraId="4DD0FB43" w14:textId="77777777">
        <w:trPr>
          <w:trHeight w:val="314"/>
        </w:trPr>
        <w:tc>
          <w:tcPr>
            <w:tcW w:w="703" w:type="dxa"/>
            <w:vAlign w:val="center"/>
          </w:tcPr>
          <w:p w14:paraId="6E9C4F43" w14:textId="77777777" w:rsidR="007D1E74" w:rsidRDefault="00A95641">
            <w:pPr>
              <w:pStyle w:val="TableParagraph"/>
              <w:snapToGrid w:val="0"/>
              <w:jc w:val="center"/>
              <w:rPr>
                <w:rFonts w:ascii="Times New Roman" w:hAnsi="Times New Roman"/>
                <w:w w:val="99"/>
                <w:sz w:val="21"/>
                <w:szCs w:val="21"/>
              </w:rPr>
            </w:pPr>
            <w:r>
              <w:rPr>
                <w:rFonts w:ascii="Times New Roman" w:hAnsi="Times New Roman"/>
                <w:b/>
                <w:bCs/>
                <w:sz w:val="21"/>
                <w:szCs w:val="21"/>
              </w:rPr>
              <w:t>序号</w:t>
            </w:r>
          </w:p>
        </w:tc>
        <w:tc>
          <w:tcPr>
            <w:tcW w:w="3261" w:type="dxa"/>
            <w:vAlign w:val="center"/>
          </w:tcPr>
          <w:p w14:paraId="7D99A8C9" w14:textId="77777777" w:rsidR="007D1E74" w:rsidRDefault="00A95641">
            <w:pPr>
              <w:pStyle w:val="TableParagraph"/>
              <w:snapToGrid w:val="0"/>
              <w:jc w:val="center"/>
              <w:rPr>
                <w:rFonts w:ascii="Times New Roman" w:hAnsi="Times New Roman"/>
                <w:sz w:val="21"/>
                <w:szCs w:val="21"/>
              </w:rPr>
            </w:pPr>
            <w:r>
              <w:rPr>
                <w:rFonts w:ascii="Times New Roman" w:hAnsi="Times New Roman"/>
                <w:b/>
                <w:bCs/>
                <w:sz w:val="21"/>
                <w:szCs w:val="21"/>
              </w:rPr>
              <w:t>名称</w:t>
            </w:r>
          </w:p>
        </w:tc>
        <w:tc>
          <w:tcPr>
            <w:tcW w:w="1272" w:type="dxa"/>
            <w:vAlign w:val="center"/>
          </w:tcPr>
          <w:p w14:paraId="0AED1325" w14:textId="77777777" w:rsidR="007D1E74" w:rsidRDefault="00A95641">
            <w:pPr>
              <w:pStyle w:val="TableParagraph"/>
              <w:snapToGrid w:val="0"/>
              <w:jc w:val="center"/>
              <w:rPr>
                <w:rFonts w:ascii="Times New Roman" w:hAnsi="Times New Roman"/>
                <w:sz w:val="21"/>
                <w:szCs w:val="21"/>
              </w:rPr>
            </w:pPr>
            <w:r>
              <w:rPr>
                <w:rFonts w:ascii="Times New Roman" w:hAnsi="Times New Roman"/>
                <w:b/>
                <w:bCs/>
                <w:sz w:val="21"/>
                <w:szCs w:val="21"/>
              </w:rPr>
              <w:t>长度</w:t>
            </w:r>
          </w:p>
        </w:tc>
        <w:tc>
          <w:tcPr>
            <w:tcW w:w="1277" w:type="dxa"/>
            <w:vAlign w:val="center"/>
          </w:tcPr>
          <w:p w14:paraId="44042A1D" w14:textId="77777777" w:rsidR="007D1E74" w:rsidRDefault="00A95641">
            <w:pPr>
              <w:pStyle w:val="TableParagraph"/>
              <w:snapToGrid w:val="0"/>
              <w:jc w:val="center"/>
              <w:rPr>
                <w:rFonts w:ascii="Times New Roman" w:hAnsi="Times New Roman"/>
                <w:sz w:val="21"/>
                <w:szCs w:val="21"/>
              </w:rPr>
            </w:pPr>
            <w:r>
              <w:rPr>
                <w:rFonts w:ascii="Times New Roman" w:hAnsi="Times New Roman"/>
                <w:b/>
                <w:bCs/>
                <w:sz w:val="21"/>
                <w:szCs w:val="21"/>
              </w:rPr>
              <w:t>穿越方式</w:t>
            </w:r>
          </w:p>
        </w:tc>
        <w:tc>
          <w:tcPr>
            <w:tcW w:w="2547" w:type="dxa"/>
            <w:vAlign w:val="center"/>
          </w:tcPr>
          <w:p w14:paraId="6ED072CC" w14:textId="77777777" w:rsidR="007D1E74" w:rsidRDefault="00A95641">
            <w:pPr>
              <w:pStyle w:val="TableParagraph"/>
              <w:snapToGrid w:val="0"/>
              <w:jc w:val="center"/>
              <w:rPr>
                <w:rFonts w:ascii="Times New Roman" w:hAnsi="Times New Roman"/>
                <w:sz w:val="21"/>
                <w:szCs w:val="21"/>
              </w:rPr>
            </w:pPr>
            <w:r>
              <w:rPr>
                <w:rFonts w:ascii="Times New Roman" w:hAnsi="Times New Roman"/>
                <w:b/>
                <w:bCs/>
                <w:sz w:val="21"/>
                <w:szCs w:val="21"/>
              </w:rPr>
              <w:t>备注</w:t>
            </w:r>
          </w:p>
        </w:tc>
      </w:tr>
      <w:tr w:rsidR="007D1E74" w14:paraId="76C9A8F3" w14:textId="77777777">
        <w:trPr>
          <w:trHeight w:val="314"/>
        </w:trPr>
        <w:tc>
          <w:tcPr>
            <w:tcW w:w="703" w:type="dxa"/>
            <w:vAlign w:val="center"/>
          </w:tcPr>
          <w:p w14:paraId="65441C9E" w14:textId="77777777" w:rsidR="007D1E74" w:rsidRDefault="00A95641">
            <w:pPr>
              <w:pStyle w:val="TableParagraph"/>
              <w:snapToGrid w:val="0"/>
              <w:jc w:val="center"/>
              <w:rPr>
                <w:rFonts w:ascii="Times New Roman" w:hAnsi="Times New Roman"/>
                <w:w w:val="99"/>
                <w:sz w:val="21"/>
                <w:szCs w:val="21"/>
              </w:rPr>
            </w:pPr>
            <w:r>
              <w:rPr>
                <w:rFonts w:ascii="Times New Roman" w:hAnsi="Times New Roman"/>
                <w:w w:val="99"/>
                <w:sz w:val="21"/>
                <w:szCs w:val="21"/>
              </w:rPr>
              <w:lastRenderedPageBreak/>
              <w:t>1</w:t>
            </w:r>
          </w:p>
        </w:tc>
        <w:tc>
          <w:tcPr>
            <w:tcW w:w="3261" w:type="dxa"/>
            <w:vMerge w:val="restart"/>
            <w:vAlign w:val="center"/>
          </w:tcPr>
          <w:p w14:paraId="010ACD18"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1#</w:t>
            </w:r>
            <w:r>
              <w:rPr>
                <w:rFonts w:ascii="Times New Roman" w:hAnsi="Times New Roman"/>
                <w:sz w:val="21"/>
                <w:szCs w:val="21"/>
              </w:rPr>
              <w:t>阀室至马</w:t>
            </w:r>
            <w:r>
              <w:rPr>
                <w:rFonts w:ascii="Times New Roman" w:hAnsi="Times New Roman"/>
                <w:sz w:val="21"/>
                <w:szCs w:val="21"/>
              </w:rPr>
              <w:t>1-11</w:t>
            </w:r>
            <w:r>
              <w:rPr>
                <w:rFonts w:ascii="Times New Roman" w:hAnsi="Times New Roman"/>
                <w:sz w:val="21"/>
                <w:szCs w:val="21"/>
              </w:rPr>
              <w:t>脱水井场</w:t>
            </w:r>
          </w:p>
        </w:tc>
        <w:tc>
          <w:tcPr>
            <w:tcW w:w="1272" w:type="dxa"/>
            <w:vMerge w:val="restart"/>
            <w:vAlign w:val="center"/>
          </w:tcPr>
          <w:p w14:paraId="166AB038"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84.8m/2</w:t>
            </w:r>
            <w:r>
              <w:rPr>
                <w:rFonts w:ascii="Times New Roman" w:hAnsi="Times New Roman"/>
                <w:sz w:val="21"/>
                <w:szCs w:val="21"/>
              </w:rPr>
              <w:t>次</w:t>
            </w:r>
          </w:p>
        </w:tc>
        <w:tc>
          <w:tcPr>
            <w:tcW w:w="1277" w:type="dxa"/>
            <w:vAlign w:val="center"/>
          </w:tcPr>
          <w:p w14:paraId="15F7050D"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直埋</w:t>
            </w:r>
          </w:p>
        </w:tc>
        <w:tc>
          <w:tcPr>
            <w:tcW w:w="2547" w:type="dxa"/>
            <w:vAlign w:val="center"/>
          </w:tcPr>
          <w:p w14:paraId="4089853F" w14:textId="77777777" w:rsidR="007D1E74" w:rsidRDefault="00A95641">
            <w:pPr>
              <w:pStyle w:val="TableParagraph"/>
              <w:snapToGrid w:val="0"/>
              <w:jc w:val="center"/>
              <w:rPr>
                <w:rFonts w:ascii="Times New Roman" w:hAnsi="Times New Roman"/>
                <w:sz w:val="21"/>
                <w:szCs w:val="21"/>
              </w:rPr>
            </w:pPr>
            <w:r>
              <w:rPr>
                <w:rFonts w:ascii="Times New Roman" w:hAnsi="Times New Roman"/>
                <w:noProof/>
                <w:sz w:val="21"/>
                <w:szCs w:val="21"/>
              </w:rPr>
              <w:drawing>
                <wp:inline distT="0" distB="0" distL="0" distR="0" wp14:anchorId="1987592F" wp14:editId="78752DD9">
                  <wp:extent cx="1614170" cy="1187450"/>
                  <wp:effectExtent l="0" t="0" r="1270" b="127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9"/>
                          <a:stretch>
                            <a:fillRect/>
                          </a:stretch>
                        </pic:blipFill>
                        <pic:spPr>
                          <a:xfrm>
                            <a:off x="0" y="0"/>
                            <a:ext cx="1614170" cy="1187450"/>
                          </a:xfrm>
                          <a:prstGeom prst="rect">
                            <a:avLst/>
                          </a:prstGeom>
                        </pic:spPr>
                      </pic:pic>
                    </a:graphicData>
                  </a:graphic>
                </wp:inline>
              </w:drawing>
            </w:r>
          </w:p>
        </w:tc>
      </w:tr>
      <w:tr w:rsidR="007D1E74" w14:paraId="6B47B737" w14:textId="77777777">
        <w:trPr>
          <w:trHeight w:val="314"/>
        </w:trPr>
        <w:tc>
          <w:tcPr>
            <w:tcW w:w="703" w:type="dxa"/>
            <w:vAlign w:val="center"/>
          </w:tcPr>
          <w:p w14:paraId="31635961" w14:textId="77777777" w:rsidR="007D1E74" w:rsidRDefault="00A95641">
            <w:pPr>
              <w:pStyle w:val="TableParagraph"/>
              <w:snapToGrid w:val="0"/>
              <w:jc w:val="center"/>
              <w:rPr>
                <w:rFonts w:ascii="Times New Roman" w:hAnsi="Times New Roman"/>
                <w:w w:val="99"/>
                <w:sz w:val="21"/>
                <w:szCs w:val="21"/>
              </w:rPr>
            </w:pPr>
            <w:r>
              <w:rPr>
                <w:rFonts w:ascii="Times New Roman" w:hAnsi="Times New Roman"/>
                <w:w w:val="99"/>
                <w:sz w:val="21"/>
                <w:szCs w:val="21"/>
              </w:rPr>
              <w:t>2</w:t>
            </w:r>
          </w:p>
        </w:tc>
        <w:tc>
          <w:tcPr>
            <w:tcW w:w="3261" w:type="dxa"/>
            <w:vMerge/>
            <w:vAlign w:val="center"/>
          </w:tcPr>
          <w:p w14:paraId="4B68B5AE" w14:textId="77777777" w:rsidR="007D1E74" w:rsidRDefault="007D1E74">
            <w:pPr>
              <w:pStyle w:val="TableParagraph"/>
              <w:snapToGrid w:val="0"/>
              <w:jc w:val="center"/>
              <w:rPr>
                <w:rFonts w:ascii="Times New Roman" w:hAnsi="Times New Roman"/>
                <w:sz w:val="21"/>
                <w:szCs w:val="21"/>
              </w:rPr>
            </w:pPr>
          </w:p>
        </w:tc>
        <w:tc>
          <w:tcPr>
            <w:tcW w:w="1272" w:type="dxa"/>
            <w:vMerge/>
            <w:vAlign w:val="center"/>
          </w:tcPr>
          <w:p w14:paraId="0B0EAD14" w14:textId="77777777" w:rsidR="007D1E74" w:rsidRDefault="007D1E74">
            <w:pPr>
              <w:pStyle w:val="TableParagraph"/>
              <w:snapToGrid w:val="0"/>
              <w:jc w:val="center"/>
              <w:rPr>
                <w:rFonts w:ascii="Times New Roman" w:hAnsi="Times New Roman"/>
                <w:sz w:val="21"/>
                <w:szCs w:val="21"/>
              </w:rPr>
            </w:pPr>
          </w:p>
        </w:tc>
        <w:tc>
          <w:tcPr>
            <w:tcW w:w="1277" w:type="dxa"/>
            <w:vAlign w:val="center"/>
          </w:tcPr>
          <w:p w14:paraId="4D129C13"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直埋</w:t>
            </w:r>
          </w:p>
        </w:tc>
        <w:tc>
          <w:tcPr>
            <w:tcW w:w="2547" w:type="dxa"/>
            <w:vAlign w:val="center"/>
          </w:tcPr>
          <w:p w14:paraId="5DFA6D80" w14:textId="77777777" w:rsidR="007D1E74" w:rsidRDefault="00A95641">
            <w:pPr>
              <w:pStyle w:val="TableParagraph"/>
              <w:snapToGrid w:val="0"/>
              <w:jc w:val="center"/>
              <w:rPr>
                <w:rFonts w:ascii="Times New Roman" w:hAnsi="Times New Roman"/>
                <w:sz w:val="21"/>
                <w:szCs w:val="21"/>
              </w:rPr>
            </w:pPr>
            <w:r>
              <w:rPr>
                <w:rFonts w:ascii="Times New Roman" w:hAnsi="Times New Roman"/>
                <w:noProof/>
                <w:sz w:val="21"/>
                <w:szCs w:val="21"/>
              </w:rPr>
              <w:drawing>
                <wp:inline distT="0" distB="0" distL="0" distR="0" wp14:anchorId="426CCC80" wp14:editId="62EE2F47">
                  <wp:extent cx="1614170" cy="1216025"/>
                  <wp:effectExtent l="0" t="0" r="1270" b="317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20"/>
                          <a:stretch>
                            <a:fillRect/>
                          </a:stretch>
                        </pic:blipFill>
                        <pic:spPr>
                          <a:xfrm>
                            <a:off x="0" y="0"/>
                            <a:ext cx="1614170" cy="1216025"/>
                          </a:xfrm>
                          <a:prstGeom prst="rect">
                            <a:avLst/>
                          </a:prstGeom>
                        </pic:spPr>
                      </pic:pic>
                    </a:graphicData>
                  </a:graphic>
                </wp:inline>
              </w:drawing>
            </w:r>
          </w:p>
        </w:tc>
      </w:tr>
      <w:tr w:rsidR="007D1E74" w14:paraId="70085594" w14:textId="77777777">
        <w:trPr>
          <w:trHeight w:val="314"/>
        </w:trPr>
        <w:tc>
          <w:tcPr>
            <w:tcW w:w="703" w:type="dxa"/>
            <w:vAlign w:val="center"/>
          </w:tcPr>
          <w:p w14:paraId="394CB284" w14:textId="77777777" w:rsidR="007D1E74" w:rsidRDefault="00A95641">
            <w:pPr>
              <w:pStyle w:val="TableParagraph"/>
              <w:snapToGrid w:val="0"/>
              <w:jc w:val="center"/>
              <w:rPr>
                <w:rFonts w:ascii="Times New Roman" w:hAnsi="Times New Roman"/>
                <w:w w:val="99"/>
                <w:sz w:val="21"/>
                <w:szCs w:val="21"/>
              </w:rPr>
            </w:pPr>
            <w:r>
              <w:rPr>
                <w:rFonts w:ascii="Times New Roman" w:hAnsi="Times New Roman"/>
                <w:w w:val="99"/>
                <w:sz w:val="21"/>
                <w:szCs w:val="21"/>
              </w:rPr>
              <w:t>3</w:t>
            </w:r>
          </w:p>
        </w:tc>
        <w:tc>
          <w:tcPr>
            <w:tcW w:w="3261" w:type="dxa"/>
            <w:vAlign w:val="center"/>
          </w:tcPr>
          <w:p w14:paraId="4E693D68"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马</w:t>
            </w:r>
            <w:r>
              <w:rPr>
                <w:rFonts w:ascii="Times New Roman" w:hAnsi="Times New Roman"/>
                <w:sz w:val="21"/>
                <w:szCs w:val="21"/>
              </w:rPr>
              <w:t>1-1</w:t>
            </w:r>
            <w:r>
              <w:rPr>
                <w:rFonts w:ascii="Times New Roman" w:hAnsi="Times New Roman"/>
                <w:sz w:val="21"/>
                <w:szCs w:val="21"/>
              </w:rPr>
              <w:t>采气井场至干线集气支线</w:t>
            </w:r>
          </w:p>
        </w:tc>
        <w:tc>
          <w:tcPr>
            <w:tcW w:w="1272" w:type="dxa"/>
            <w:vAlign w:val="center"/>
          </w:tcPr>
          <w:p w14:paraId="36659540"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27.6m/1</w:t>
            </w:r>
            <w:r>
              <w:rPr>
                <w:rFonts w:ascii="Times New Roman" w:hAnsi="Times New Roman"/>
                <w:w w:val="99"/>
                <w:sz w:val="21"/>
                <w:szCs w:val="21"/>
              </w:rPr>
              <w:t>次</w:t>
            </w:r>
          </w:p>
        </w:tc>
        <w:tc>
          <w:tcPr>
            <w:tcW w:w="1277" w:type="dxa"/>
            <w:vAlign w:val="center"/>
          </w:tcPr>
          <w:p w14:paraId="721B8340"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直埋</w:t>
            </w:r>
          </w:p>
        </w:tc>
        <w:tc>
          <w:tcPr>
            <w:tcW w:w="2547" w:type="dxa"/>
            <w:vAlign w:val="center"/>
          </w:tcPr>
          <w:p w14:paraId="248727A3" w14:textId="77777777" w:rsidR="007D1E74" w:rsidRDefault="00A95641">
            <w:pPr>
              <w:pStyle w:val="TableParagraph"/>
              <w:snapToGrid w:val="0"/>
              <w:jc w:val="center"/>
              <w:rPr>
                <w:rFonts w:ascii="Times New Roman" w:hAnsi="Times New Roman"/>
                <w:sz w:val="21"/>
                <w:szCs w:val="21"/>
              </w:rPr>
            </w:pPr>
            <w:r>
              <w:rPr>
                <w:rFonts w:ascii="Times New Roman" w:hAnsi="Times New Roman"/>
                <w:noProof/>
                <w:sz w:val="21"/>
                <w:szCs w:val="21"/>
              </w:rPr>
              <w:drawing>
                <wp:inline distT="0" distB="0" distL="0" distR="0" wp14:anchorId="66989C65" wp14:editId="07B4B439">
                  <wp:extent cx="1615440" cy="1190625"/>
                  <wp:effectExtent l="0" t="0" r="0" b="13335"/>
                  <wp:docPr id="897" name="图片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图片 897"/>
                          <pic:cNvPicPr>
                            <a:picLocks noChangeAspect="1"/>
                          </pic:cNvPicPr>
                        </pic:nvPicPr>
                        <pic:blipFill>
                          <a:blip r:embed="rId21"/>
                          <a:stretch>
                            <a:fillRect/>
                          </a:stretch>
                        </pic:blipFill>
                        <pic:spPr>
                          <a:xfrm>
                            <a:off x="0" y="0"/>
                            <a:ext cx="1615440" cy="1190625"/>
                          </a:xfrm>
                          <a:prstGeom prst="rect">
                            <a:avLst/>
                          </a:prstGeom>
                        </pic:spPr>
                      </pic:pic>
                    </a:graphicData>
                  </a:graphic>
                </wp:inline>
              </w:drawing>
            </w:r>
          </w:p>
        </w:tc>
      </w:tr>
      <w:tr w:rsidR="007D1E74" w14:paraId="3D0BFFA8" w14:textId="77777777">
        <w:trPr>
          <w:trHeight w:val="314"/>
        </w:trPr>
        <w:tc>
          <w:tcPr>
            <w:tcW w:w="703" w:type="dxa"/>
            <w:vAlign w:val="center"/>
          </w:tcPr>
          <w:p w14:paraId="0AC805E8" w14:textId="77777777" w:rsidR="007D1E74" w:rsidRDefault="00A95641">
            <w:pPr>
              <w:pStyle w:val="TableParagraph"/>
              <w:snapToGrid w:val="0"/>
              <w:jc w:val="center"/>
              <w:rPr>
                <w:rFonts w:ascii="Times New Roman" w:hAnsi="Times New Roman"/>
                <w:w w:val="99"/>
                <w:sz w:val="21"/>
                <w:szCs w:val="21"/>
              </w:rPr>
            </w:pPr>
            <w:r>
              <w:rPr>
                <w:rFonts w:ascii="Times New Roman" w:hAnsi="Times New Roman"/>
                <w:w w:val="99"/>
                <w:sz w:val="21"/>
                <w:szCs w:val="21"/>
              </w:rPr>
              <w:t>4</w:t>
            </w:r>
          </w:p>
        </w:tc>
        <w:tc>
          <w:tcPr>
            <w:tcW w:w="3261" w:type="dxa"/>
            <w:vAlign w:val="center"/>
          </w:tcPr>
          <w:p w14:paraId="36974191"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马</w:t>
            </w:r>
            <w:r>
              <w:rPr>
                <w:rFonts w:ascii="Times New Roman" w:hAnsi="Times New Roman"/>
                <w:sz w:val="21"/>
                <w:szCs w:val="21"/>
              </w:rPr>
              <w:t>1-13H</w:t>
            </w:r>
            <w:r>
              <w:rPr>
                <w:rFonts w:ascii="Times New Roman" w:hAnsi="Times New Roman"/>
                <w:sz w:val="21"/>
                <w:szCs w:val="21"/>
              </w:rPr>
              <w:t>采气井场至干线集气支线</w:t>
            </w:r>
          </w:p>
        </w:tc>
        <w:tc>
          <w:tcPr>
            <w:tcW w:w="1272" w:type="dxa"/>
            <w:vAlign w:val="center"/>
          </w:tcPr>
          <w:p w14:paraId="63BB1890"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54m/1</w:t>
            </w:r>
            <w:r>
              <w:rPr>
                <w:rFonts w:ascii="Times New Roman" w:hAnsi="Times New Roman"/>
                <w:sz w:val="21"/>
                <w:szCs w:val="21"/>
              </w:rPr>
              <w:t>次</w:t>
            </w:r>
          </w:p>
        </w:tc>
        <w:tc>
          <w:tcPr>
            <w:tcW w:w="1277" w:type="dxa"/>
            <w:vAlign w:val="center"/>
          </w:tcPr>
          <w:p w14:paraId="1BAA31B1"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顶管</w:t>
            </w:r>
          </w:p>
        </w:tc>
        <w:tc>
          <w:tcPr>
            <w:tcW w:w="2547" w:type="dxa"/>
            <w:vAlign w:val="center"/>
          </w:tcPr>
          <w:p w14:paraId="6B4123EC" w14:textId="77777777" w:rsidR="007D1E74" w:rsidRDefault="00A95641">
            <w:pPr>
              <w:pStyle w:val="TableParagraph"/>
              <w:snapToGrid w:val="0"/>
              <w:jc w:val="center"/>
              <w:rPr>
                <w:rFonts w:ascii="Times New Roman" w:hAnsi="Times New Roman"/>
                <w:sz w:val="21"/>
                <w:szCs w:val="21"/>
              </w:rPr>
            </w:pPr>
            <w:r>
              <w:rPr>
                <w:rFonts w:ascii="Times New Roman" w:hAnsi="Times New Roman"/>
                <w:noProof/>
                <w:sz w:val="21"/>
                <w:szCs w:val="21"/>
              </w:rPr>
              <w:drawing>
                <wp:inline distT="0" distB="0" distL="0" distR="0" wp14:anchorId="3A72A6E7" wp14:editId="5B79CE99">
                  <wp:extent cx="1615440" cy="1193800"/>
                  <wp:effectExtent l="0" t="0" r="0" b="10160"/>
                  <wp:docPr id="898" name="图片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图片 898"/>
                          <pic:cNvPicPr>
                            <a:picLocks noChangeAspect="1"/>
                          </pic:cNvPicPr>
                        </pic:nvPicPr>
                        <pic:blipFill>
                          <a:blip r:embed="rId22"/>
                          <a:stretch>
                            <a:fillRect/>
                          </a:stretch>
                        </pic:blipFill>
                        <pic:spPr>
                          <a:xfrm>
                            <a:off x="0" y="0"/>
                            <a:ext cx="1615440" cy="1193800"/>
                          </a:xfrm>
                          <a:prstGeom prst="rect">
                            <a:avLst/>
                          </a:prstGeom>
                        </pic:spPr>
                      </pic:pic>
                    </a:graphicData>
                  </a:graphic>
                </wp:inline>
              </w:drawing>
            </w:r>
          </w:p>
        </w:tc>
      </w:tr>
      <w:tr w:rsidR="007D1E74" w14:paraId="51152AB9" w14:textId="77777777">
        <w:trPr>
          <w:trHeight w:val="314"/>
        </w:trPr>
        <w:tc>
          <w:tcPr>
            <w:tcW w:w="703" w:type="dxa"/>
            <w:vAlign w:val="center"/>
          </w:tcPr>
          <w:p w14:paraId="105BB1AB" w14:textId="77777777" w:rsidR="007D1E74" w:rsidRDefault="00A95641">
            <w:pPr>
              <w:pStyle w:val="TableParagraph"/>
              <w:snapToGrid w:val="0"/>
              <w:jc w:val="center"/>
              <w:rPr>
                <w:rFonts w:ascii="Times New Roman" w:hAnsi="Times New Roman"/>
                <w:w w:val="99"/>
                <w:sz w:val="21"/>
                <w:szCs w:val="21"/>
              </w:rPr>
            </w:pPr>
            <w:r>
              <w:rPr>
                <w:rFonts w:ascii="Times New Roman" w:hAnsi="Times New Roman"/>
                <w:w w:val="99"/>
                <w:sz w:val="21"/>
                <w:szCs w:val="21"/>
              </w:rPr>
              <w:t>5</w:t>
            </w:r>
          </w:p>
        </w:tc>
        <w:tc>
          <w:tcPr>
            <w:tcW w:w="3261" w:type="dxa"/>
            <w:vAlign w:val="center"/>
          </w:tcPr>
          <w:p w14:paraId="28BB943C"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合计</w:t>
            </w:r>
          </w:p>
        </w:tc>
        <w:tc>
          <w:tcPr>
            <w:tcW w:w="1272" w:type="dxa"/>
            <w:vAlign w:val="center"/>
          </w:tcPr>
          <w:p w14:paraId="3F329498"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166.4m/4</w:t>
            </w:r>
            <w:r>
              <w:rPr>
                <w:rFonts w:ascii="Times New Roman" w:hAnsi="Times New Roman"/>
                <w:sz w:val="21"/>
                <w:szCs w:val="21"/>
              </w:rPr>
              <w:t>次</w:t>
            </w:r>
          </w:p>
        </w:tc>
        <w:tc>
          <w:tcPr>
            <w:tcW w:w="1277" w:type="dxa"/>
            <w:vAlign w:val="center"/>
          </w:tcPr>
          <w:p w14:paraId="127B5A0C" w14:textId="77777777" w:rsidR="007D1E74" w:rsidRDefault="00A95641">
            <w:pPr>
              <w:pStyle w:val="TableParagraph"/>
              <w:snapToGrid w:val="0"/>
              <w:jc w:val="center"/>
              <w:rPr>
                <w:rFonts w:ascii="Times New Roman" w:hAnsi="Times New Roman"/>
                <w:sz w:val="21"/>
                <w:szCs w:val="21"/>
              </w:rPr>
            </w:pPr>
            <w:r>
              <w:rPr>
                <w:rFonts w:ascii="Times New Roman" w:hAnsi="Times New Roman" w:hint="eastAsia"/>
                <w:sz w:val="21"/>
                <w:szCs w:val="21"/>
              </w:rPr>
              <w:t>/</w:t>
            </w:r>
          </w:p>
        </w:tc>
        <w:tc>
          <w:tcPr>
            <w:tcW w:w="2547" w:type="dxa"/>
            <w:vAlign w:val="center"/>
          </w:tcPr>
          <w:p w14:paraId="213A3522" w14:textId="77777777" w:rsidR="007D1E74" w:rsidRDefault="00A95641">
            <w:pPr>
              <w:pStyle w:val="TableParagraph"/>
              <w:snapToGrid w:val="0"/>
              <w:jc w:val="center"/>
              <w:rPr>
                <w:rFonts w:ascii="Times New Roman" w:hAnsi="Times New Roman"/>
                <w:sz w:val="21"/>
                <w:szCs w:val="21"/>
              </w:rPr>
            </w:pPr>
            <w:r>
              <w:rPr>
                <w:rFonts w:ascii="Times New Roman" w:hAnsi="Times New Roman" w:hint="eastAsia"/>
                <w:sz w:val="21"/>
                <w:szCs w:val="21"/>
              </w:rPr>
              <w:t>/</w:t>
            </w:r>
          </w:p>
        </w:tc>
      </w:tr>
      <w:tr w:rsidR="007D1E74" w14:paraId="1FBF2DB4" w14:textId="77777777">
        <w:trPr>
          <w:trHeight w:val="314"/>
        </w:trPr>
        <w:tc>
          <w:tcPr>
            <w:tcW w:w="9060" w:type="dxa"/>
            <w:gridSpan w:val="5"/>
            <w:vAlign w:val="center"/>
          </w:tcPr>
          <w:p w14:paraId="3414DF16" w14:textId="77777777" w:rsidR="007D1E74" w:rsidRDefault="00A95641">
            <w:pPr>
              <w:pStyle w:val="TableParagraph"/>
              <w:snapToGrid w:val="0"/>
              <w:jc w:val="center"/>
              <w:rPr>
                <w:rFonts w:ascii="Times New Roman" w:hAnsi="Times New Roman"/>
                <w:b/>
                <w:sz w:val="21"/>
                <w:szCs w:val="21"/>
              </w:rPr>
            </w:pPr>
            <w:r>
              <w:rPr>
                <w:rFonts w:ascii="Times New Roman" w:hAnsi="Times New Roman"/>
                <w:b/>
                <w:sz w:val="21"/>
                <w:szCs w:val="21"/>
              </w:rPr>
              <w:t>S201</w:t>
            </w:r>
            <w:r>
              <w:rPr>
                <w:rFonts w:ascii="Times New Roman" w:hAnsi="Times New Roman"/>
                <w:b/>
                <w:sz w:val="21"/>
                <w:szCs w:val="21"/>
              </w:rPr>
              <w:t>省道</w:t>
            </w:r>
          </w:p>
        </w:tc>
      </w:tr>
      <w:tr w:rsidR="007D1E74" w14:paraId="4998DF16" w14:textId="77777777">
        <w:trPr>
          <w:trHeight w:val="314"/>
        </w:trPr>
        <w:tc>
          <w:tcPr>
            <w:tcW w:w="703" w:type="dxa"/>
            <w:vAlign w:val="center"/>
          </w:tcPr>
          <w:p w14:paraId="04491CA6" w14:textId="77777777" w:rsidR="007D1E74" w:rsidRDefault="00A95641">
            <w:pPr>
              <w:pStyle w:val="TableParagraph"/>
              <w:snapToGrid w:val="0"/>
              <w:jc w:val="center"/>
              <w:rPr>
                <w:rFonts w:ascii="Times New Roman" w:hAnsi="Times New Roman"/>
                <w:w w:val="99"/>
                <w:sz w:val="21"/>
                <w:szCs w:val="21"/>
              </w:rPr>
            </w:pPr>
            <w:r>
              <w:rPr>
                <w:rFonts w:ascii="Times New Roman" w:hAnsi="Times New Roman"/>
                <w:b/>
                <w:bCs/>
                <w:sz w:val="21"/>
                <w:szCs w:val="21"/>
              </w:rPr>
              <w:t>序号</w:t>
            </w:r>
          </w:p>
        </w:tc>
        <w:tc>
          <w:tcPr>
            <w:tcW w:w="3261" w:type="dxa"/>
            <w:vAlign w:val="center"/>
          </w:tcPr>
          <w:p w14:paraId="03DCC002" w14:textId="77777777" w:rsidR="007D1E74" w:rsidRDefault="00A95641">
            <w:pPr>
              <w:pStyle w:val="TableParagraph"/>
              <w:snapToGrid w:val="0"/>
              <w:jc w:val="center"/>
              <w:rPr>
                <w:rFonts w:ascii="Times New Roman" w:hAnsi="Times New Roman"/>
                <w:sz w:val="21"/>
                <w:szCs w:val="21"/>
              </w:rPr>
            </w:pPr>
            <w:r>
              <w:rPr>
                <w:rFonts w:ascii="Times New Roman" w:hAnsi="Times New Roman"/>
                <w:b/>
                <w:bCs/>
                <w:sz w:val="21"/>
                <w:szCs w:val="21"/>
              </w:rPr>
              <w:t>名称</w:t>
            </w:r>
          </w:p>
        </w:tc>
        <w:tc>
          <w:tcPr>
            <w:tcW w:w="1272" w:type="dxa"/>
            <w:vAlign w:val="center"/>
          </w:tcPr>
          <w:p w14:paraId="46BECCF1" w14:textId="77777777" w:rsidR="007D1E74" w:rsidRDefault="00A95641">
            <w:pPr>
              <w:pStyle w:val="TableParagraph"/>
              <w:snapToGrid w:val="0"/>
              <w:jc w:val="center"/>
              <w:rPr>
                <w:rFonts w:ascii="Times New Roman" w:hAnsi="Times New Roman"/>
                <w:sz w:val="21"/>
                <w:szCs w:val="21"/>
              </w:rPr>
            </w:pPr>
            <w:r>
              <w:rPr>
                <w:rFonts w:ascii="Times New Roman" w:hAnsi="Times New Roman"/>
                <w:b/>
                <w:bCs/>
                <w:sz w:val="21"/>
                <w:szCs w:val="21"/>
              </w:rPr>
              <w:t>长度</w:t>
            </w:r>
          </w:p>
        </w:tc>
        <w:tc>
          <w:tcPr>
            <w:tcW w:w="1277" w:type="dxa"/>
            <w:vAlign w:val="center"/>
          </w:tcPr>
          <w:p w14:paraId="20C90694" w14:textId="77777777" w:rsidR="007D1E74" w:rsidRDefault="00A95641">
            <w:pPr>
              <w:pStyle w:val="TableParagraph"/>
              <w:snapToGrid w:val="0"/>
              <w:jc w:val="center"/>
              <w:rPr>
                <w:rFonts w:ascii="Times New Roman" w:hAnsi="Times New Roman"/>
                <w:sz w:val="21"/>
                <w:szCs w:val="21"/>
              </w:rPr>
            </w:pPr>
            <w:r>
              <w:rPr>
                <w:rFonts w:ascii="Times New Roman" w:hAnsi="Times New Roman"/>
                <w:b/>
                <w:bCs/>
                <w:sz w:val="21"/>
                <w:szCs w:val="21"/>
              </w:rPr>
              <w:t>穿越方式</w:t>
            </w:r>
          </w:p>
        </w:tc>
        <w:tc>
          <w:tcPr>
            <w:tcW w:w="2547" w:type="dxa"/>
            <w:vAlign w:val="center"/>
          </w:tcPr>
          <w:p w14:paraId="5B0E2B1D" w14:textId="77777777" w:rsidR="007D1E74" w:rsidRDefault="00A95641">
            <w:pPr>
              <w:pStyle w:val="TableParagraph"/>
              <w:snapToGrid w:val="0"/>
              <w:jc w:val="center"/>
              <w:rPr>
                <w:rFonts w:ascii="Times New Roman" w:hAnsi="Times New Roman"/>
                <w:sz w:val="21"/>
                <w:szCs w:val="21"/>
              </w:rPr>
            </w:pPr>
            <w:r>
              <w:rPr>
                <w:rFonts w:ascii="Times New Roman" w:hAnsi="Times New Roman"/>
                <w:b/>
                <w:bCs/>
                <w:sz w:val="21"/>
                <w:szCs w:val="21"/>
              </w:rPr>
              <w:t>备注</w:t>
            </w:r>
          </w:p>
        </w:tc>
      </w:tr>
      <w:tr w:rsidR="007D1E74" w14:paraId="4892D6E3" w14:textId="77777777">
        <w:trPr>
          <w:trHeight w:val="314"/>
        </w:trPr>
        <w:tc>
          <w:tcPr>
            <w:tcW w:w="703" w:type="dxa"/>
            <w:vAlign w:val="center"/>
          </w:tcPr>
          <w:p w14:paraId="08B329E2" w14:textId="77777777" w:rsidR="007D1E74" w:rsidRDefault="00A95641">
            <w:pPr>
              <w:pStyle w:val="TableParagraph"/>
              <w:snapToGrid w:val="0"/>
              <w:jc w:val="center"/>
              <w:rPr>
                <w:rFonts w:ascii="Times New Roman" w:hAnsi="Times New Roman"/>
                <w:w w:val="99"/>
                <w:sz w:val="21"/>
                <w:szCs w:val="21"/>
              </w:rPr>
            </w:pPr>
            <w:r>
              <w:rPr>
                <w:rFonts w:ascii="Times New Roman" w:hAnsi="Times New Roman"/>
                <w:w w:val="99"/>
                <w:sz w:val="21"/>
                <w:szCs w:val="21"/>
              </w:rPr>
              <w:t>1</w:t>
            </w:r>
          </w:p>
        </w:tc>
        <w:tc>
          <w:tcPr>
            <w:tcW w:w="3261" w:type="dxa"/>
            <w:vAlign w:val="center"/>
          </w:tcPr>
          <w:p w14:paraId="5C5A833D"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1#</w:t>
            </w:r>
            <w:r>
              <w:rPr>
                <w:rFonts w:ascii="Times New Roman" w:hAnsi="Times New Roman"/>
                <w:sz w:val="21"/>
                <w:szCs w:val="21"/>
              </w:rPr>
              <w:t>阀室至马</w:t>
            </w:r>
            <w:r>
              <w:rPr>
                <w:rFonts w:ascii="Times New Roman" w:hAnsi="Times New Roman"/>
                <w:sz w:val="21"/>
                <w:szCs w:val="21"/>
              </w:rPr>
              <w:t>1-11</w:t>
            </w:r>
            <w:r>
              <w:rPr>
                <w:rFonts w:ascii="Times New Roman" w:hAnsi="Times New Roman"/>
                <w:sz w:val="21"/>
                <w:szCs w:val="21"/>
              </w:rPr>
              <w:t>脱水井场</w:t>
            </w:r>
          </w:p>
        </w:tc>
        <w:tc>
          <w:tcPr>
            <w:tcW w:w="1272" w:type="dxa"/>
            <w:vAlign w:val="center"/>
          </w:tcPr>
          <w:p w14:paraId="1769A796"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12 m/1</w:t>
            </w:r>
            <w:r>
              <w:rPr>
                <w:rFonts w:ascii="Times New Roman" w:hAnsi="Times New Roman"/>
                <w:sz w:val="21"/>
                <w:szCs w:val="21"/>
              </w:rPr>
              <w:t>次</w:t>
            </w:r>
          </w:p>
        </w:tc>
        <w:tc>
          <w:tcPr>
            <w:tcW w:w="1277" w:type="dxa"/>
            <w:vAlign w:val="center"/>
          </w:tcPr>
          <w:p w14:paraId="4B4ED299"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顶管</w:t>
            </w:r>
          </w:p>
        </w:tc>
        <w:tc>
          <w:tcPr>
            <w:tcW w:w="2547" w:type="dxa"/>
            <w:vAlign w:val="center"/>
          </w:tcPr>
          <w:p w14:paraId="29F21EC3" w14:textId="77777777" w:rsidR="007D1E74" w:rsidRDefault="00A95641">
            <w:pPr>
              <w:pStyle w:val="TableParagraph"/>
              <w:snapToGrid w:val="0"/>
              <w:jc w:val="center"/>
              <w:rPr>
                <w:rFonts w:ascii="Times New Roman" w:hAnsi="Times New Roman"/>
                <w:sz w:val="21"/>
                <w:szCs w:val="21"/>
              </w:rPr>
            </w:pPr>
            <w:r>
              <w:rPr>
                <w:rFonts w:ascii="Times New Roman" w:hAnsi="Times New Roman"/>
                <w:noProof/>
                <w:sz w:val="21"/>
                <w:szCs w:val="21"/>
              </w:rPr>
              <w:drawing>
                <wp:inline distT="0" distB="0" distL="0" distR="0" wp14:anchorId="6AF7A5E3" wp14:editId="39A3DB4B">
                  <wp:extent cx="1615440" cy="1211580"/>
                  <wp:effectExtent l="0" t="0" r="0" b="7620"/>
                  <wp:docPr id="899" name="图片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图片 899"/>
                          <pic:cNvPicPr>
                            <a:picLocks noChangeAspect="1"/>
                          </pic:cNvPicPr>
                        </pic:nvPicPr>
                        <pic:blipFill>
                          <a:blip r:embed="rId23"/>
                          <a:stretch>
                            <a:fillRect/>
                          </a:stretch>
                        </pic:blipFill>
                        <pic:spPr>
                          <a:xfrm>
                            <a:off x="0" y="0"/>
                            <a:ext cx="1615440" cy="1211580"/>
                          </a:xfrm>
                          <a:prstGeom prst="rect">
                            <a:avLst/>
                          </a:prstGeom>
                        </pic:spPr>
                      </pic:pic>
                    </a:graphicData>
                  </a:graphic>
                </wp:inline>
              </w:drawing>
            </w:r>
          </w:p>
        </w:tc>
      </w:tr>
      <w:tr w:rsidR="007D1E74" w14:paraId="1F589578" w14:textId="77777777">
        <w:trPr>
          <w:trHeight w:val="314"/>
        </w:trPr>
        <w:tc>
          <w:tcPr>
            <w:tcW w:w="703" w:type="dxa"/>
            <w:vAlign w:val="center"/>
          </w:tcPr>
          <w:p w14:paraId="444A9735" w14:textId="77777777" w:rsidR="007D1E74" w:rsidRDefault="00A95641">
            <w:pPr>
              <w:pStyle w:val="TableParagraph"/>
              <w:snapToGrid w:val="0"/>
              <w:jc w:val="center"/>
              <w:rPr>
                <w:rFonts w:ascii="Times New Roman" w:hAnsi="Times New Roman"/>
                <w:w w:val="99"/>
                <w:sz w:val="21"/>
                <w:szCs w:val="21"/>
              </w:rPr>
            </w:pPr>
            <w:r>
              <w:rPr>
                <w:rFonts w:ascii="Times New Roman" w:hAnsi="Times New Roman"/>
                <w:w w:val="99"/>
                <w:sz w:val="21"/>
                <w:szCs w:val="21"/>
              </w:rPr>
              <w:t>2</w:t>
            </w:r>
          </w:p>
        </w:tc>
        <w:tc>
          <w:tcPr>
            <w:tcW w:w="3261" w:type="dxa"/>
            <w:vAlign w:val="center"/>
          </w:tcPr>
          <w:p w14:paraId="7C97B6CC"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马</w:t>
            </w:r>
            <w:r>
              <w:rPr>
                <w:rFonts w:ascii="Times New Roman" w:hAnsi="Times New Roman"/>
                <w:sz w:val="21"/>
                <w:szCs w:val="21"/>
              </w:rPr>
              <w:t>1-1</w:t>
            </w:r>
            <w:r>
              <w:rPr>
                <w:rFonts w:ascii="Times New Roman" w:hAnsi="Times New Roman"/>
                <w:sz w:val="21"/>
                <w:szCs w:val="21"/>
              </w:rPr>
              <w:t>采气井场至干线集气支线</w:t>
            </w:r>
          </w:p>
        </w:tc>
        <w:tc>
          <w:tcPr>
            <w:tcW w:w="1272" w:type="dxa"/>
            <w:vAlign w:val="center"/>
          </w:tcPr>
          <w:p w14:paraId="634CBB8D"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18 m/1</w:t>
            </w:r>
            <w:r>
              <w:rPr>
                <w:rFonts w:ascii="Times New Roman" w:hAnsi="Times New Roman"/>
                <w:sz w:val="21"/>
                <w:szCs w:val="21"/>
              </w:rPr>
              <w:t>次</w:t>
            </w:r>
          </w:p>
        </w:tc>
        <w:tc>
          <w:tcPr>
            <w:tcW w:w="1277" w:type="dxa"/>
            <w:vAlign w:val="center"/>
          </w:tcPr>
          <w:p w14:paraId="11C3EB6A"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顶管</w:t>
            </w:r>
          </w:p>
        </w:tc>
        <w:tc>
          <w:tcPr>
            <w:tcW w:w="2547" w:type="dxa"/>
            <w:vAlign w:val="center"/>
          </w:tcPr>
          <w:p w14:paraId="242AF729" w14:textId="77777777" w:rsidR="007D1E74" w:rsidRDefault="00A95641">
            <w:pPr>
              <w:pStyle w:val="TableParagraph"/>
              <w:snapToGrid w:val="0"/>
              <w:jc w:val="center"/>
              <w:rPr>
                <w:rFonts w:ascii="Times New Roman" w:hAnsi="Times New Roman"/>
                <w:sz w:val="21"/>
                <w:szCs w:val="21"/>
              </w:rPr>
            </w:pPr>
            <w:r>
              <w:rPr>
                <w:rFonts w:ascii="Times New Roman" w:hAnsi="Times New Roman"/>
                <w:noProof/>
                <w:sz w:val="21"/>
                <w:szCs w:val="21"/>
              </w:rPr>
              <w:drawing>
                <wp:inline distT="0" distB="0" distL="0" distR="0" wp14:anchorId="5E20A064" wp14:editId="24B5F57F">
                  <wp:extent cx="1615440" cy="1202055"/>
                  <wp:effectExtent l="0" t="0" r="0" b="1905"/>
                  <wp:docPr id="900" name="图片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图片 900"/>
                          <pic:cNvPicPr>
                            <a:picLocks noChangeAspect="1"/>
                          </pic:cNvPicPr>
                        </pic:nvPicPr>
                        <pic:blipFill>
                          <a:blip r:embed="rId24"/>
                          <a:stretch>
                            <a:fillRect/>
                          </a:stretch>
                        </pic:blipFill>
                        <pic:spPr>
                          <a:xfrm>
                            <a:off x="0" y="0"/>
                            <a:ext cx="1615440" cy="1202055"/>
                          </a:xfrm>
                          <a:prstGeom prst="rect">
                            <a:avLst/>
                          </a:prstGeom>
                        </pic:spPr>
                      </pic:pic>
                    </a:graphicData>
                  </a:graphic>
                </wp:inline>
              </w:drawing>
            </w:r>
          </w:p>
        </w:tc>
      </w:tr>
      <w:tr w:rsidR="007D1E74" w14:paraId="6DD980B7" w14:textId="77777777">
        <w:trPr>
          <w:trHeight w:val="314"/>
        </w:trPr>
        <w:tc>
          <w:tcPr>
            <w:tcW w:w="703" w:type="dxa"/>
            <w:vAlign w:val="center"/>
          </w:tcPr>
          <w:p w14:paraId="246AF190" w14:textId="77777777" w:rsidR="007D1E74" w:rsidRDefault="00A95641">
            <w:pPr>
              <w:pStyle w:val="TableParagraph"/>
              <w:snapToGrid w:val="0"/>
              <w:jc w:val="center"/>
              <w:rPr>
                <w:rFonts w:ascii="Times New Roman" w:hAnsi="Times New Roman"/>
                <w:w w:val="99"/>
                <w:sz w:val="21"/>
                <w:szCs w:val="21"/>
              </w:rPr>
            </w:pPr>
            <w:r>
              <w:rPr>
                <w:rFonts w:ascii="Times New Roman" w:hAnsi="Times New Roman"/>
                <w:w w:val="99"/>
                <w:sz w:val="21"/>
                <w:szCs w:val="21"/>
              </w:rPr>
              <w:t>3</w:t>
            </w:r>
          </w:p>
        </w:tc>
        <w:tc>
          <w:tcPr>
            <w:tcW w:w="3261" w:type="dxa"/>
            <w:vAlign w:val="center"/>
          </w:tcPr>
          <w:p w14:paraId="35C1FA67"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合计</w:t>
            </w:r>
          </w:p>
        </w:tc>
        <w:tc>
          <w:tcPr>
            <w:tcW w:w="1272" w:type="dxa"/>
            <w:vAlign w:val="center"/>
          </w:tcPr>
          <w:p w14:paraId="6DB01A21" w14:textId="77777777" w:rsidR="007D1E74" w:rsidRDefault="00A95641">
            <w:pPr>
              <w:pStyle w:val="TableParagraph"/>
              <w:snapToGrid w:val="0"/>
              <w:jc w:val="center"/>
              <w:rPr>
                <w:rFonts w:ascii="Times New Roman" w:hAnsi="Times New Roman"/>
                <w:sz w:val="21"/>
                <w:szCs w:val="21"/>
              </w:rPr>
            </w:pPr>
            <w:r>
              <w:rPr>
                <w:rFonts w:ascii="Times New Roman" w:hAnsi="Times New Roman"/>
                <w:sz w:val="21"/>
                <w:szCs w:val="21"/>
              </w:rPr>
              <w:t>30m/2</w:t>
            </w:r>
            <w:r>
              <w:rPr>
                <w:rFonts w:ascii="Times New Roman" w:hAnsi="Times New Roman"/>
                <w:sz w:val="21"/>
                <w:szCs w:val="21"/>
              </w:rPr>
              <w:t>次</w:t>
            </w:r>
          </w:p>
        </w:tc>
        <w:tc>
          <w:tcPr>
            <w:tcW w:w="1277" w:type="dxa"/>
            <w:vAlign w:val="center"/>
          </w:tcPr>
          <w:p w14:paraId="17E76697" w14:textId="77777777" w:rsidR="007D1E74" w:rsidRDefault="00A95641">
            <w:pPr>
              <w:pStyle w:val="TableParagraph"/>
              <w:snapToGrid w:val="0"/>
              <w:jc w:val="center"/>
              <w:rPr>
                <w:rFonts w:ascii="Times New Roman" w:hAnsi="Times New Roman"/>
                <w:sz w:val="21"/>
                <w:szCs w:val="21"/>
              </w:rPr>
            </w:pPr>
            <w:r>
              <w:rPr>
                <w:rFonts w:ascii="Times New Roman" w:hAnsi="Times New Roman" w:hint="eastAsia"/>
                <w:sz w:val="21"/>
                <w:szCs w:val="21"/>
              </w:rPr>
              <w:t>/</w:t>
            </w:r>
          </w:p>
        </w:tc>
        <w:tc>
          <w:tcPr>
            <w:tcW w:w="2547" w:type="dxa"/>
            <w:vAlign w:val="center"/>
          </w:tcPr>
          <w:p w14:paraId="23577969" w14:textId="77777777" w:rsidR="007D1E74" w:rsidRDefault="00A95641">
            <w:pPr>
              <w:pStyle w:val="TableParagraph"/>
              <w:snapToGrid w:val="0"/>
              <w:jc w:val="center"/>
              <w:rPr>
                <w:rFonts w:ascii="Times New Roman" w:hAnsi="Times New Roman"/>
                <w:sz w:val="21"/>
                <w:szCs w:val="21"/>
              </w:rPr>
            </w:pPr>
            <w:r>
              <w:rPr>
                <w:rFonts w:ascii="Times New Roman" w:hAnsi="Times New Roman" w:hint="eastAsia"/>
                <w:sz w:val="21"/>
                <w:szCs w:val="21"/>
              </w:rPr>
              <w:t>/</w:t>
            </w:r>
          </w:p>
        </w:tc>
      </w:tr>
    </w:tbl>
    <w:p w14:paraId="4C2BE8F0" w14:textId="77777777" w:rsidR="007D1E74" w:rsidRDefault="00A95641">
      <w:pPr>
        <w:pStyle w:val="41"/>
        <w:tabs>
          <w:tab w:val="left" w:pos="860"/>
        </w:tabs>
        <w:spacing w:line="360" w:lineRule="auto"/>
        <w:jc w:val="left"/>
        <w:rPr>
          <w:rFonts w:ascii="Times New Roman" w:hAnsi="Times New Roman"/>
          <w:sz w:val="24"/>
          <w:szCs w:val="24"/>
        </w:rPr>
      </w:pPr>
      <w:r>
        <w:rPr>
          <w:rFonts w:ascii="Times New Roman" w:hAnsi="Times New Roman"/>
          <w:sz w:val="24"/>
          <w:szCs w:val="24"/>
        </w:rPr>
        <w:t>3.1.4.5</w:t>
      </w:r>
      <w:r>
        <w:rPr>
          <w:rFonts w:ascii="Times New Roman" w:hAnsi="Times New Roman" w:hint="eastAsia"/>
          <w:sz w:val="24"/>
          <w:szCs w:val="24"/>
        </w:rPr>
        <w:t>饮用水源穿越情况</w:t>
      </w:r>
    </w:p>
    <w:p w14:paraId="4B940DC9" w14:textId="77777777" w:rsidR="007D1E74" w:rsidRDefault="00A95641">
      <w:pPr>
        <w:spacing w:line="360" w:lineRule="auto"/>
        <w:ind w:firstLineChars="200" w:firstLine="480"/>
        <w:rPr>
          <w:sz w:val="24"/>
        </w:rPr>
      </w:pPr>
      <w:r>
        <w:rPr>
          <w:sz w:val="24"/>
        </w:rPr>
        <w:t>根据</w:t>
      </w:r>
      <w:r>
        <w:rPr>
          <w:rFonts w:hint="eastAsia"/>
          <w:sz w:val="24"/>
        </w:rPr>
        <w:t>巴中市人民政府</w:t>
      </w:r>
      <w:r>
        <w:rPr>
          <w:sz w:val="24"/>
        </w:rPr>
        <w:t>《</w:t>
      </w:r>
      <w:r>
        <w:rPr>
          <w:rFonts w:hint="eastAsia"/>
          <w:sz w:val="24"/>
        </w:rPr>
        <w:t>关于同意调整划定通江县春在镇文笔河、永安镇骡马沟等</w:t>
      </w:r>
      <w:r>
        <w:rPr>
          <w:rFonts w:hint="eastAsia"/>
          <w:sz w:val="24"/>
        </w:rPr>
        <w:t>5</w:t>
      </w:r>
      <w:r>
        <w:rPr>
          <w:sz w:val="24"/>
        </w:rPr>
        <w:t>7</w:t>
      </w:r>
      <w:r>
        <w:rPr>
          <w:rFonts w:hint="eastAsia"/>
          <w:sz w:val="24"/>
        </w:rPr>
        <w:lastRenderedPageBreak/>
        <w:t>个乡镇集中式饮用水水源保护区的批复》（巴府函【</w:t>
      </w:r>
      <w:r>
        <w:rPr>
          <w:rFonts w:hint="eastAsia"/>
          <w:sz w:val="24"/>
        </w:rPr>
        <w:t>2</w:t>
      </w:r>
      <w:r>
        <w:rPr>
          <w:sz w:val="24"/>
        </w:rPr>
        <w:t>019</w:t>
      </w:r>
      <w:r>
        <w:rPr>
          <w:rFonts w:hint="eastAsia"/>
          <w:sz w:val="24"/>
        </w:rPr>
        <w:t>】</w:t>
      </w:r>
      <w:r>
        <w:rPr>
          <w:rFonts w:hint="eastAsia"/>
          <w:sz w:val="24"/>
        </w:rPr>
        <w:t>7</w:t>
      </w:r>
      <w:r>
        <w:rPr>
          <w:sz w:val="24"/>
        </w:rPr>
        <w:t>1</w:t>
      </w:r>
      <w:r>
        <w:rPr>
          <w:rFonts w:hint="eastAsia"/>
          <w:sz w:val="24"/>
        </w:rPr>
        <w:t>），本次涉及其中涪阳镇酒厂沟（河流型）地表水饮用水源及新场镇沙湾里（河流型）地表水饮用水源。</w:t>
      </w:r>
    </w:p>
    <w:p w14:paraId="09E1C69E" w14:textId="77777777" w:rsidR="007D1E74" w:rsidRDefault="00A95641">
      <w:pPr>
        <w:tabs>
          <w:tab w:val="left" w:pos="1070"/>
        </w:tabs>
        <w:spacing w:before="22" w:after="21"/>
        <w:ind w:right="18"/>
        <w:jc w:val="center"/>
        <w:rPr>
          <w:b/>
        </w:rPr>
      </w:pPr>
      <w:r>
        <w:rPr>
          <w:b/>
        </w:rPr>
        <w:t>表</w:t>
      </w:r>
      <w:r>
        <w:rPr>
          <w:b/>
          <w:spacing w:val="1"/>
        </w:rPr>
        <w:t xml:space="preserve"> </w:t>
      </w:r>
      <w:r>
        <w:rPr>
          <w:b/>
        </w:rPr>
        <w:t>3.1-12</w:t>
      </w:r>
      <w:r>
        <w:rPr>
          <w:b/>
        </w:rPr>
        <w:tab/>
      </w:r>
      <w:r>
        <w:rPr>
          <w:rFonts w:hint="eastAsia"/>
          <w:b/>
        </w:rPr>
        <w:t>饮用水源情况一览表</w:t>
      </w:r>
    </w:p>
    <w:tbl>
      <w:tblPr>
        <w:tblStyle w:val="affffc"/>
        <w:tblW w:w="0" w:type="auto"/>
        <w:tblLook w:val="04A0" w:firstRow="1" w:lastRow="0" w:firstColumn="1" w:lastColumn="0" w:noHBand="0" w:noVBand="1"/>
      </w:tblPr>
      <w:tblGrid>
        <w:gridCol w:w="559"/>
        <w:gridCol w:w="565"/>
        <w:gridCol w:w="1418"/>
        <w:gridCol w:w="1690"/>
        <w:gridCol w:w="1689"/>
        <w:gridCol w:w="1806"/>
        <w:gridCol w:w="1289"/>
      </w:tblGrid>
      <w:tr w:rsidR="007D1E74" w14:paraId="581992C2" w14:textId="77777777">
        <w:tc>
          <w:tcPr>
            <w:tcW w:w="562" w:type="dxa"/>
            <w:vMerge w:val="restart"/>
            <w:vAlign w:val="center"/>
          </w:tcPr>
          <w:p w14:paraId="358D52C5"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乡镇</w:t>
            </w:r>
          </w:p>
        </w:tc>
        <w:tc>
          <w:tcPr>
            <w:tcW w:w="567" w:type="dxa"/>
            <w:vMerge w:val="restart"/>
            <w:vAlign w:val="center"/>
          </w:tcPr>
          <w:p w14:paraId="09AD3253"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水源地</w:t>
            </w:r>
          </w:p>
        </w:tc>
        <w:tc>
          <w:tcPr>
            <w:tcW w:w="1418" w:type="dxa"/>
            <w:vMerge w:val="restart"/>
            <w:vAlign w:val="center"/>
          </w:tcPr>
          <w:p w14:paraId="54705D10"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取水点</w:t>
            </w:r>
          </w:p>
        </w:tc>
        <w:tc>
          <w:tcPr>
            <w:tcW w:w="6513" w:type="dxa"/>
            <w:gridSpan w:val="4"/>
            <w:vAlign w:val="center"/>
          </w:tcPr>
          <w:p w14:paraId="75AF1084"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保护区范围</w:t>
            </w:r>
          </w:p>
        </w:tc>
      </w:tr>
      <w:tr w:rsidR="007D1E74" w14:paraId="294B9BF0" w14:textId="77777777">
        <w:trPr>
          <w:trHeight w:val="255"/>
        </w:trPr>
        <w:tc>
          <w:tcPr>
            <w:tcW w:w="562" w:type="dxa"/>
            <w:vMerge/>
            <w:vAlign w:val="center"/>
          </w:tcPr>
          <w:p w14:paraId="68201196" w14:textId="77777777" w:rsidR="007D1E74" w:rsidRDefault="007D1E74">
            <w:pPr>
              <w:pStyle w:val="affffff6"/>
              <w:adjustRightInd w:val="0"/>
              <w:snapToGrid w:val="0"/>
              <w:spacing w:line="240" w:lineRule="auto"/>
              <w:ind w:firstLineChars="0" w:firstLine="0"/>
              <w:jc w:val="center"/>
              <w:rPr>
                <w:rFonts w:ascii="Times New Roman" w:hAnsi="Times New Roman" w:cs="Times New Roman"/>
                <w:sz w:val="21"/>
                <w:szCs w:val="20"/>
              </w:rPr>
            </w:pPr>
          </w:p>
        </w:tc>
        <w:tc>
          <w:tcPr>
            <w:tcW w:w="567" w:type="dxa"/>
            <w:vMerge/>
            <w:vAlign w:val="center"/>
          </w:tcPr>
          <w:p w14:paraId="314FA406" w14:textId="77777777" w:rsidR="007D1E74" w:rsidRDefault="007D1E74">
            <w:pPr>
              <w:pStyle w:val="affffff6"/>
              <w:adjustRightInd w:val="0"/>
              <w:snapToGrid w:val="0"/>
              <w:spacing w:line="240" w:lineRule="auto"/>
              <w:ind w:firstLineChars="0" w:firstLine="0"/>
              <w:jc w:val="center"/>
              <w:rPr>
                <w:rFonts w:ascii="Times New Roman" w:hAnsi="Times New Roman" w:cs="Times New Roman"/>
                <w:sz w:val="21"/>
                <w:szCs w:val="20"/>
              </w:rPr>
            </w:pPr>
          </w:p>
        </w:tc>
        <w:tc>
          <w:tcPr>
            <w:tcW w:w="1418" w:type="dxa"/>
            <w:vMerge/>
            <w:vAlign w:val="center"/>
          </w:tcPr>
          <w:p w14:paraId="57544FAC" w14:textId="77777777" w:rsidR="007D1E74" w:rsidRDefault="007D1E74">
            <w:pPr>
              <w:pStyle w:val="affffff6"/>
              <w:adjustRightInd w:val="0"/>
              <w:snapToGrid w:val="0"/>
              <w:spacing w:line="240" w:lineRule="auto"/>
              <w:ind w:firstLineChars="0" w:firstLine="0"/>
              <w:jc w:val="center"/>
              <w:rPr>
                <w:rFonts w:ascii="Times New Roman" w:hAnsi="Times New Roman" w:cs="Times New Roman"/>
                <w:sz w:val="21"/>
                <w:szCs w:val="20"/>
              </w:rPr>
            </w:pPr>
          </w:p>
        </w:tc>
        <w:tc>
          <w:tcPr>
            <w:tcW w:w="3402" w:type="dxa"/>
            <w:gridSpan w:val="2"/>
            <w:vAlign w:val="center"/>
          </w:tcPr>
          <w:p w14:paraId="58815CFD"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一级保护区</w:t>
            </w:r>
          </w:p>
        </w:tc>
        <w:tc>
          <w:tcPr>
            <w:tcW w:w="3111" w:type="dxa"/>
            <w:gridSpan w:val="2"/>
            <w:vAlign w:val="center"/>
          </w:tcPr>
          <w:p w14:paraId="75D93823"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二级保护区</w:t>
            </w:r>
          </w:p>
        </w:tc>
      </w:tr>
      <w:tr w:rsidR="007D1E74" w14:paraId="110D7485" w14:textId="77777777">
        <w:tc>
          <w:tcPr>
            <w:tcW w:w="562" w:type="dxa"/>
            <w:vMerge/>
            <w:vAlign w:val="center"/>
          </w:tcPr>
          <w:p w14:paraId="54AA1E87" w14:textId="77777777" w:rsidR="007D1E74" w:rsidRDefault="007D1E74">
            <w:pPr>
              <w:pStyle w:val="affffff6"/>
              <w:adjustRightInd w:val="0"/>
              <w:snapToGrid w:val="0"/>
              <w:spacing w:line="240" w:lineRule="auto"/>
              <w:ind w:firstLineChars="0" w:firstLine="0"/>
              <w:jc w:val="center"/>
              <w:rPr>
                <w:rFonts w:ascii="Times New Roman" w:hAnsi="Times New Roman" w:cs="Times New Roman"/>
                <w:sz w:val="21"/>
                <w:szCs w:val="20"/>
              </w:rPr>
            </w:pPr>
          </w:p>
        </w:tc>
        <w:tc>
          <w:tcPr>
            <w:tcW w:w="567" w:type="dxa"/>
            <w:vMerge/>
            <w:vAlign w:val="center"/>
          </w:tcPr>
          <w:p w14:paraId="1D6200CE" w14:textId="77777777" w:rsidR="007D1E74" w:rsidRDefault="007D1E74">
            <w:pPr>
              <w:pStyle w:val="affffff6"/>
              <w:adjustRightInd w:val="0"/>
              <w:snapToGrid w:val="0"/>
              <w:spacing w:line="240" w:lineRule="auto"/>
              <w:ind w:firstLineChars="0" w:firstLine="0"/>
              <w:jc w:val="center"/>
              <w:rPr>
                <w:rFonts w:ascii="Times New Roman" w:hAnsi="Times New Roman" w:cs="Times New Roman"/>
                <w:sz w:val="21"/>
                <w:szCs w:val="20"/>
              </w:rPr>
            </w:pPr>
          </w:p>
        </w:tc>
        <w:tc>
          <w:tcPr>
            <w:tcW w:w="1418" w:type="dxa"/>
            <w:vMerge/>
            <w:vAlign w:val="center"/>
          </w:tcPr>
          <w:p w14:paraId="53C5978E" w14:textId="77777777" w:rsidR="007D1E74" w:rsidRDefault="007D1E74">
            <w:pPr>
              <w:pStyle w:val="affffff6"/>
              <w:adjustRightInd w:val="0"/>
              <w:snapToGrid w:val="0"/>
              <w:spacing w:line="240" w:lineRule="auto"/>
              <w:ind w:firstLineChars="0" w:firstLine="0"/>
              <w:jc w:val="center"/>
              <w:rPr>
                <w:rFonts w:ascii="Times New Roman" w:hAnsi="Times New Roman" w:cs="Times New Roman"/>
                <w:sz w:val="21"/>
                <w:szCs w:val="20"/>
              </w:rPr>
            </w:pPr>
          </w:p>
        </w:tc>
        <w:tc>
          <w:tcPr>
            <w:tcW w:w="1701" w:type="dxa"/>
            <w:vAlign w:val="center"/>
          </w:tcPr>
          <w:p w14:paraId="5E540FAE"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水域范围</w:t>
            </w:r>
          </w:p>
        </w:tc>
        <w:tc>
          <w:tcPr>
            <w:tcW w:w="1701" w:type="dxa"/>
            <w:vAlign w:val="center"/>
          </w:tcPr>
          <w:p w14:paraId="59EA7208"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陆域范围</w:t>
            </w:r>
          </w:p>
        </w:tc>
        <w:tc>
          <w:tcPr>
            <w:tcW w:w="1816" w:type="dxa"/>
            <w:vAlign w:val="center"/>
          </w:tcPr>
          <w:p w14:paraId="1225855C"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水域范围</w:t>
            </w:r>
          </w:p>
        </w:tc>
        <w:tc>
          <w:tcPr>
            <w:tcW w:w="1295" w:type="dxa"/>
            <w:vAlign w:val="center"/>
          </w:tcPr>
          <w:p w14:paraId="4479D5D7"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陆域范围</w:t>
            </w:r>
          </w:p>
        </w:tc>
      </w:tr>
      <w:tr w:rsidR="007D1E74" w14:paraId="18828245" w14:textId="77777777">
        <w:trPr>
          <w:trHeight w:val="1295"/>
        </w:trPr>
        <w:tc>
          <w:tcPr>
            <w:tcW w:w="562" w:type="dxa"/>
            <w:vAlign w:val="center"/>
          </w:tcPr>
          <w:p w14:paraId="4C3BDCDF"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涪阳镇</w:t>
            </w:r>
          </w:p>
        </w:tc>
        <w:tc>
          <w:tcPr>
            <w:tcW w:w="567" w:type="dxa"/>
            <w:vAlign w:val="center"/>
          </w:tcPr>
          <w:p w14:paraId="2F952696"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酒厂沟</w:t>
            </w:r>
          </w:p>
        </w:tc>
        <w:tc>
          <w:tcPr>
            <w:tcW w:w="1418" w:type="dxa"/>
            <w:vAlign w:val="center"/>
          </w:tcPr>
          <w:p w14:paraId="07F61E97"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107°10′14″</w:t>
            </w:r>
            <w:r>
              <w:rPr>
                <w:rFonts w:ascii="Times New Roman" w:hAnsi="Times New Roman" w:cs="Times New Roman"/>
                <w:sz w:val="21"/>
                <w:szCs w:val="20"/>
              </w:rPr>
              <w:t>，</w:t>
            </w:r>
            <w:r>
              <w:rPr>
                <w:rFonts w:ascii="Times New Roman" w:hAnsi="Times New Roman" w:cs="Times New Roman"/>
                <w:sz w:val="21"/>
                <w:szCs w:val="20"/>
              </w:rPr>
              <w:t>32°3′52″</w:t>
            </w:r>
          </w:p>
        </w:tc>
        <w:tc>
          <w:tcPr>
            <w:tcW w:w="1701" w:type="dxa"/>
            <w:vAlign w:val="center"/>
          </w:tcPr>
          <w:p w14:paraId="08002F05"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取</w:t>
            </w:r>
            <w:r>
              <w:rPr>
                <w:rFonts w:ascii="Times New Roman" w:hAnsi="Times New Roman" w:cs="Times New Roman"/>
                <w:sz w:val="21"/>
                <w:szCs w:val="20"/>
              </w:rPr>
              <w:t xml:space="preserve"> </w:t>
            </w:r>
            <w:r>
              <w:rPr>
                <w:rFonts w:ascii="Times New Roman" w:hAnsi="Times New Roman" w:cs="Times New Roman"/>
                <w:sz w:val="21"/>
                <w:szCs w:val="20"/>
              </w:rPr>
              <w:t>水</w:t>
            </w:r>
            <w:r>
              <w:rPr>
                <w:rFonts w:ascii="Times New Roman" w:hAnsi="Times New Roman" w:cs="Times New Roman"/>
                <w:sz w:val="21"/>
                <w:szCs w:val="20"/>
              </w:rPr>
              <w:t xml:space="preserve"> </w:t>
            </w:r>
            <w:r>
              <w:rPr>
                <w:rFonts w:ascii="Times New Roman" w:hAnsi="Times New Roman" w:cs="Times New Roman"/>
                <w:sz w:val="21"/>
                <w:szCs w:val="20"/>
              </w:rPr>
              <w:t>口</w:t>
            </w:r>
            <w:r>
              <w:rPr>
                <w:rFonts w:ascii="Times New Roman" w:hAnsi="Times New Roman" w:cs="Times New Roman"/>
                <w:sz w:val="21"/>
                <w:szCs w:val="20"/>
              </w:rPr>
              <w:t xml:space="preserve"> </w:t>
            </w:r>
            <w:r>
              <w:rPr>
                <w:rFonts w:ascii="Times New Roman" w:hAnsi="Times New Roman" w:cs="Times New Roman"/>
                <w:sz w:val="21"/>
                <w:szCs w:val="20"/>
              </w:rPr>
              <w:t>上</w:t>
            </w:r>
            <w:r>
              <w:rPr>
                <w:rFonts w:ascii="Times New Roman" w:hAnsi="Times New Roman" w:cs="Times New Roman"/>
                <w:sz w:val="21"/>
                <w:szCs w:val="20"/>
              </w:rPr>
              <w:t xml:space="preserve"> </w:t>
            </w:r>
            <w:r>
              <w:rPr>
                <w:rFonts w:ascii="Times New Roman" w:hAnsi="Times New Roman" w:cs="Times New Roman"/>
                <w:sz w:val="21"/>
                <w:szCs w:val="20"/>
              </w:rPr>
              <w:t>游</w:t>
            </w:r>
          </w:p>
          <w:p w14:paraId="0A189415"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 xml:space="preserve">1000m </w:t>
            </w:r>
            <w:r>
              <w:rPr>
                <w:rFonts w:ascii="Times New Roman" w:hAnsi="Times New Roman" w:cs="Times New Roman"/>
                <w:sz w:val="21"/>
                <w:szCs w:val="20"/>
              </w:rPr>
              <w:t>至下游</w:t>
            </w:r>
          </w:p>
          <w:p w14:paraId="6BF5A51F"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 xml:space="preserve">100m </w:t>
            </w:r>
            <w:r>
              <w:rPr>
                <w:rFonts w:ascii="Times New Roman" w:hAnsi="Times New Roman" w:cs="Times New Roman"/>
                <w:sz w:val="21"/>
                <w:szCs w:val="20"/>
              </w:rPr>
              <w:t>范围内整</w:t>
            </w:r>
          </w:p>
          <w:p w14:paraId="49CC78A4"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个河道水域。</w:t>
            </w:r>
          </w:p>
        </w:tc>
        <w:tc>
          <w:tcPr>
            <w:tcW w:w="1701" w:type="dxa"/>
            <w:vAlign w:val="center"/>
          </w:tcPr>
          <w:p w14:paraId="443D1873"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沿一级保护区水域范围向两边陆域纵深</w:t>
            </w:r>
            <w:r>
              <w:rPr>
                <w:rFonts w:ascii="Times New Roman" w:hAnsi="Times New Roman" w:cs="Times New Roman"/>
                <w:sz w:val="21"/>
                <w:szCs w:val="20"/>
              </w:rPr>
              <w:t xml:space="preserve"> 50m </w:t>
            </w:r>
            <w:r>
              <w:rPr>
                <w:rFonts w:ascii="Times New Roman" w:hAnsi="Times New Roman" w:cs="Times New Roman"/>
                <w:sz w:val="21"/>
                <w:szCs w:val="20"/>
              </w:rPr>
              <w:t>范围内区域（东侧不超过</w:t>
            </w:r>
            <w:r>
              <w:rPr>
                <w:rFonts w:ascii="Times New Roman" w:hAnsi="Times New Roman" w:cs="Times New Roman"/>
                <w:sz w:val="21"/>
                <w:szCs w:val="20"/>
              </w:rPr>
              <w:t xml:space="preserve"> </w:t>
            </w:r>
            <w:r>
              <w:rPr>
                <w:rFonts w:ascii="Times New Roman" w:hAnsi="Times New Roman" w:cs="Times New Roman"/>
                <w:sz w:val="21"/>
                <w:szCs w:val="20"/>
              </w:rPr>
              <w:t>公</w:t>
            </w:r>
            <w:r>
              <w:rPr>
                <w:rFonts w:ascii="Times New Roman" w:hAnsi="Times New Roman" w:cs="Times New Roman"/>
                <w:sz w:val="21"/>
                <w:szCs w:val="20"/>
              </w:rPr>
              <w:t xml:space="preserve"> </w:t>
            </w:r>
            <w:r>
              <w:rPr>
                <w:rFonts w:ascii="Times New Roman" w:hAnsi="Times New Roman" w:cs="Times New Roman"/>
                <w:sz w:val="21"/>
                <w:szCs w:val="20"/>
              </w:rPr>
              <w:t>路</w:t>
            </w:r>
            <w:r>
              <w:rPr>
                <w:rFonts w:ascii="Times New Roman" w:hAnsi="Times New Roman" w:cs="Times New Roman"/>
                <w:sz w:val="21"/>
                <w:szCs w:val="20"/>
              </w:rPr>
              <w:t xml:space="preserve"> </w:t>
            </w:r>
            <w:r>
              <w:rPr>
                <w:rFonts w:ascii="Times New Roman" w:hAnsi="Times New Roman" w:cs="Times New Roman"/>
                <w:sz w:val="21"/>
                <w:szCs w:val="20"/>
              </w:rPr>
              <w:t>临</w:t>
            </w:r>
            <w:r>
              <w:rPr>
                <w:rFonts w:ascii="Times New Roman" w:hAnsi="Times New Roman" w:cs="Times New Roman"/>
                <w:sz w:val="21"/>
                <w:szCs w:val="20"/>
              </w:rPr>
              <w:t xml:space="preserve"> </w:t>
            </w:r>
            <w:r>
              <w:rPr>
                <w:rFonts w:ascii="Times New Roman" w:hAnsi="Times New Roman" w:cs="Times New Roman"/>
                <w:sz w:val="21"/>
                <w:szCs w:val="20"/>
              </w:rPr>
              <w:t>库</w:t>
            </w:r>
            <w:r>
              <w:rPr>
                <w:rFonts w:ascii="Times New Roman" w:hAnsi="Times New Roman" w:cs="Times New Roman"/>
                <w:sz w:val="21"/>
                <w:szCs w:val="20"/>
              </w:rPr>
              <w:t xml:space="preserve"> </w:t>
            </w:r>
            <w:r>
              <w:rPr>
                <w:rFonts w:ascii="Times New Roman" w:hAnsi="Times New Roman" w:cs="Times New Roman"/>
                <w:sz w:val="21"/>
                <w:szCs w:val="20"/>
              </w:rPr>
              <w:t>界限）。</w:t>
            </w:r>
          </w:p>
        </w:tc>
        <w:tc>
          <w:tcPr>
            <w:tcW w:w="1816" w:type="dxa"/>
            <w:vAlign w:val="center"/>
          </w:tcPr>
          <w:p w14:paraId="76DFCAB1"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从一级保护区的上游边界向上游延伸</w:t>
            </w:r>
            <w:r>
              <w:rPr>
                <w:rFonts w:ascii="Times New Roman" w:hAnsi="Times New Roman" w:cs="Times New Roman"/>
                <w:sz w:val="21"/>
                <w:szCs w:val="20"/>
              </w:rPr>
              <w:t>2000m</w:t>
            </w:r>
            <w:r>
              <w:rPr>
                <w:rFonts w:ascii="Times New Roman" w:hAnsi="Times New Roman" w:cs="Times New Roman"/>
                <w:sz w:val="21"/>
                <w:szCs w:val="20"/>
              </w:rPr>
              <w:t>，下游侧的外边界距一级保护区边界</w:t>
            </w:r>
            <w:r>
              <w:rPr>
                <w:rFonts w:ascii="Times New Roman" w:hAnsi="Times New Roman" w:cs="Times New Roman"/>
                <w:sz w:val="21"/>
                <w:szCs w:val="20"/>
              </w:rPr>
              <w:t xml:space="preserve"> 200m</w:t>
            </w:r>
            <w:r>
              <w:rPr>
                <w:rFonts w:ascii="Times New Roman" w:hAnsi="Times New Roman" w:cs="Times New Roman"/>
                <w:sz w:val="21"/>
                <w:szCs w:val="20"/>
              </w:rPr>
              <w:t>。</w:t>
            </w:r>
          </w:p>
        </w:tc>
        <w:tc>
          <w:tcPr>
            <w:tcW w:w="1295" w:type="dxa"/>
            <w:vAlign w:val="center"/>
          </w:tcPr>
          <w:p w14:paraId="026FDD1E"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沿保护区水域两岸</w:t>
            </w:r>
            <w:r>
              <w:rPr>
                <w:rFonts w:ascii="Times New Roman" w:hAnsi="Times New Roman" w:cs="Times New Roman"/>
                <w:sz w:val="21"/>
                <w:szCs w:val="20"/>
              </w:rPr>
              <w:t xml:space="preserve"> </w:t>
            </w:r>
            <w:r>
              <w:rPr>
                <w:rFonts w:ascii="Times New Roman" w:hAnsi="Times New Roman" w:cs="Times New Roman"/>
                <w:sz w:val="21"/>
                <w:szCs w:val="20"/>
              </w:rPr>
              <w:t>向</w:t>
            </w:r>
            <w:r>
              <w:rPr>
                <w:rFonts w:ascii="Times New Roman" w:hAnsi="Times New Roman" w:cs="Times New Roman"/>
                <w:sz w:val="21"/>
                <w:szCs w:val="20"/>
              </w:rPr>
              <w:t xml:space="preserve"> </w:t>
            </w:r>
            <w:r>
              <w:rPr>
                <w:rFonts w:ascii="Times New Roman" w:hAnsi="Times New Roman" w:cs="Times New Roman"/>
                <w:sz w:val="21"/>
                <w:szCs w:val="20"/>
              </w:rPr>
              <w:t>陆</w:t>
            </w:r>
            <w:r>
              <w:rPr>
                <w:rFonts w:ascii="Times New Roman" w:hAnsi="Times New Roman" w:cs="Times New Roman"/>
                <w:sz w:val="21"/>
                <w:szCs w:val="20"/>
              </w:rPr>
              <w:t xml:space="preserve"> </w:t>
            </w:r>
            <w:r>
              <w:rPr>
                <w:rFonts w:ascii="Times New Roman" w:hAnsi="Times New Roman" w:cs="Times New Roman"/>
                <w:sz w:val="21"/>
                <w:szCs w:val="20"/>
              </w:rPr>
              <w:t>地</w:t>
            </w:r>
            <w:r>
              <w:rPr>
                <w:rFonts w:ascii="Times New Roman" w:hAnsi="Times New Roman" w:cs="Times New Roman"/>
                <w:sz w:val="21"/>
                <w:szCs w:val="20"/>
              </w:rPr>
              <w:t xml:space="preserve"> </w:t>
            </w:r>
            <w:r>
              <w:rPr>
                <w:rFonts w:ascii="Times New Roman" w:hAnsi="Times New Roman" w:cs="Times New Roman"/>
                <w:sz w:val="21"/>
                <w:szCs w:val="20"/>
              </w:rPr>
              <w:t>纵深</w:t>
            </w:r>
            <w:r>
              <w:rPr>
                <w:rFonts w:ascii="Times New Roman" w:hAnsi="Times New Roman" w:cs="Times New Roman"/>
                <w:sz w:val="21"/>
                <w:szCs w:val="20"/>
              </w:rPr>
              <w:t xml:space="preserve">1000m </w:t>
            </w:r>
            <w:r>
              <w:rPr>
                <w:rFonts w:ascii="Times New Roman" w:hAnsi="Times New Roman" w:cs="Times New Roman"/>
                <w:sz w:val="21"/>
                <w:szCs w:val="20"/>
              </w:rPr>
              <w:t>范围内的分水岭范围。</w:t>
            </w:r>
          </w:p>
        </w:tc>
      </w:tr>
      <w:tr w:rsidR="007D1E74" w14:paraId="22A16FA4" w14:textId="77777777">
        <w:tc>
          <w:tcPr>
            <w:tcW w:w="562" w:type="dxa"/>
            <w:vAlign w:val="center"/>
          </w:tcPr>
          <w:p w14:paraId="61CC57A6"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新场镇</w:t>
            </w:r>
          </w:p>
        </w:tc>
        <w:tc>
          <w:tcPr>
            <w:tcW w:w="567" w:type="dxa"/>
            <w:vAlign w:val="center"/>
          </w:tcPr>
          <w:p w14:paraId="774B7031"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沙湾里</w:t>
            </w:r>
          </w:p>
        </w:tc>
        <w:tc>
          <w:tcPr>
            <w:tcW w:w="1418" w:type="dxa"/>
            <w:vAlign w:val="center"/>
          </w:tcPr>
          <w:p w14:paraId="241BEF6E" w14:textId="77777777" w:rsidR="007D1E74" w:rsidRDefault="007D1E74">
            <w:pPr>
              <w:pStyle w:val="affffff6"/>
              <w:adjustRightInd w:val="0"/>
              <w:snapToGrid w:val="0"/>
              <w:spacing w:line="240" w:lineRule="auto"/>
              <w:ind w:firstLineChars="0" w:firstLine="0"/>
              <w:jc w:val="center"/>
              <w:rPr>
                <w:rFonts w:ascii="Times New Roman" w:hAnsi="Times New Roman" w:cs="Times New Roman"/>
                <w:sz w:val="21"/>
                <w:szCs w:val="20"/>
              </w:rPr>
            </w:pPr>
          </w:p>
          <w:p w14:paraId="5EBD0A87" w14:textId="77777777" w:rsidR="007D1E74" w:rsidRDefault="00A95641">
            <w:pPr>
              <w:jc w:val="center"/>
              <w:rPr>
                <w:rFonts w:eastAsiaTheme="minorEastAsia"/>
                <w:szCs w:val="20"/>
              </w:rPr>
            </w:pPr>
            <w:r>
              <w:rPr>
                <w:rFonts w:eastAsiaTheme="minorEastAsia"/>
                <w:szCs w:val="20"/>
              </w:rPr>
              <w:t>107°10′49″</w:t>
            </w:r>
            <w:r>
              <w:rPr>
                <w:rFonts w:eastAsiaTheme="minorEastAsia"/>
                <w:szCs w:val="20"/>
              </w:rPr>
              <w:t>，</w:t>
            </w:r>
            <w:r>
              <w:rPr>
                <w:rFonts w:eastAsiaTheme="minorEastAsia"/>
                <w:szCs w:val="20"/>
              </w:rPr>
              <w:t>32°8′32″</w:t>
            </w:r>
          </w:p>
          <w:p w14:paraId="1549C665" w14:textId="77777777" w:rsidR="007D1E74" w:rsidRDefault="007D1E74">
            <w:pPr>
              <w:jc w:val="center"/>
              <w:rPr>
                <w:szCs w:val="20"/>
              </w:rPr>
            </w:pPr>
          </w:p>
        </w:tc>
        <w:tc>
          <w:tcPr>
            <w:tcW w:w="1701" w:type="dxa"/>
            <w:vAlign w:val="center"/>
          </w:tcPr>
          <w:p w14:paraId="4A4CD301"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取</w:t>
            </w:r>
            <w:r>
              <w:rPr>
                <w:rFonts w:ascii="Times New Roman" w:hAnsi="Times New Roman" w:cs="Times New Roman"/>
                <w:sz w:val="21"/>
                <w:szCs w:val="20"/>
              </w:rPr>
              <w:t xml:space="preserve"> </w:t>
            </w:r>
            <w:r>
              <w:rPr>
                <w:rFonts w:ascii="Times New Roman" w:hAnsi="Times New Roman" w:cs="Times New Roman"/>
                <w:sz w:val="21"/>
                <w:szCs w:val="20"/>
              </w:rPr>
              <w:t>水</w:t>
            </w:r>
            <w:r>
              <w:rPr>
                <w:rFonts w:ascii="Times New Roman" w:hAnsi="Times New Roman" w:cs="Times New Roman"/>
                <w:sz w:val="21"/>
                <w:szCs w:val="20"/>
              </w:rPr>
              <w:t xml:space="preserve"> </w:t>
            </w:r>
            <w:r>
              <w:rPr>
                <w:rFonts w:ascii="Times New Roman" w:hAnsi="Times New Roman" w:cs="Times New Roman"/>
                <w:sz w:val="21"/>
                <w:szCs w:val="20"/>
              </w:rPr>
              <w:t>口</w:t>
            </w:r>
            <w:r>
              <w:rPr>
                <w:rFonts w:ascii="Times New Roman" w:hAnsi="Times New Roman" w:cs="Times New Roman"/>
                <w:sz w:val="21"/>
                <w:szCs w:val="20"/>
              </w:rPr>
              <w:t xml:space="preserve"> </w:t>
            </w:r>
            <w:r>
              <w:rPr>
                <w:rFonts w:ascii="Times New Roman" w:hAnsi="Times New Roman" w:cs="Times New Roman"/>
                <w:sz w:val="21"/>
                <w:szCs w:val="20"/>
              </w:rPr>
              <w:t>上</w:t>
            </w:r>
            <w:r>
              <w:rPr>
                <w:rFonts w:ascii="Times New Roman" w:hAnsi="Times New Roman" w:cs="Times New Roman"/>
                <w:sz w:val="21"/>
                <w:szCs w:val="20"/>
              </w:rPr>
              <w:t xml:space="preserve"> </w:t>
            </w:r>
            <w:r>
              <w:rPr>
                <w:rFonts w:ascii="Times New Roman" w:hAnsi="Times New Roman" w:cs="Times New Roman"/>
                <w:sz w:val="21"/>
                <w:szCs w:val="20"/>
              </w:rPr>
              <w:t>游</w:t>
            </w:r>
          </w:p>
          <w:p w14:paraId="00479DB1"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 xml:space="preserve">1000m </w:t>
            </w:r>
            <w:r>
              <w:rPr>
                <w:rFonts w:ascii="Times New Roman" w:hAnsi="Times New Roman" w:cs="Times New Roman"/>
                <w:sz w:val="21"/>
                <w:szCs w:val="20"/>
              </w:rPr>
              <w:t>至下游</w:t>
            </w:r>
          </w:p>
          <w:p w14:paraId="567937FC"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 xml:space="preserve">100m </w:t>
            </w:r>
            <w:r>
              <w:rPr>
                <w:rFonts w:ascii="Times New Roman" w:hAnsi="Times New Roman" w:cs="Times New Roman"/>
                <w:sz w:val="21"/>
                <w:szCs w:val="20"/>
              </w:rPr>
              <w:t>范围内河</w:t>
            </w:r>
          </w:p>
          <w:p w14:paraId="0365B098"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道水域。</w:t>
            </w:r>
          </w:p>
        </w:tc>
        <w:tc>
          <w:tcPr>
            <w:tcW w:w="1701" w:type="dxa"/>
            <w:vAlign w:val="center"/>
          </w:tcPr>
          <w:p w14:paraId="6F346440"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一级水域保护区向南北两侧陆域纵深</w:t>
            </w:r>
            <w:r>
              <w:rPr>
                <w:rFonts w:ascii="Times New Roman" w:hAnsi="Times New Roman" w:cs="Times New Roman"/>
                <w:sz w:val="21"/>
                <w:szCs w:val="20"/>
              </w:rPr>
              <w:t xml:space="preserve"> 50m </w:t>
            </w:r>
            <w:r>
              <w:rPr>
                <w:rFonts w:ascii="Times New Roman" w:hAnsi="Times New Roman" w:cs="Times New Roman"/>
                <w:sz w:val="21"/>
                <w:szCs w:val="20"/>
              </w:rPr>
              <w:t>范围内区域（河岸两侧不超过公路临河边界）。</w:t>
            </w:r>
          </w:p>
        </w:tc>
        <w:tc>
          <w:tcPr>
            <w:tcW w:w="1816" w:type="dxa"/>
            <w:vAlign w:val="center"/>
          </w:tcPr>
          <w:p w14:paraId="47F6CB75"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一级水域保护区边界上游延伸</w:t>
            </w:r>
            <w:r>
              <w:rPr>
                <w:rFonts w:ascii="Times New Roman" w:hAnsi="Times New Roman" w:cs="Times New Roman"/>
                <w:sz w:val="21"/>
                <w:szCs w:val="20"/>
              </w:rPr>
              <w:t xml:space="preserve"> 2000m</w:t>
            </w:r>
            <w:r>
              <w:rPr>
                <w:rFonts w:ascii="Times New Roman" w:hAnsi="Times New Roman" w:cs="Times New Roman"/>
                <w:sz w:val="21"/>
                <w:szCs w:val="20"/>
              </w:rPr>
              <w:t>，下游延伸</w:t>
            </w:r>
            <w:r>
              <w:rPr>
                <w:rFonts w:ascii="Times New Roman" w:hAnsi="Times New Roman" w:cs="Times New Roman"/>
                <w:sz w:val="21"/>
                <w:szCs w:val="20"/>
              </w:rPr>
              <w:t>200m</w:t>
            </w:r>
            <w:r>
              <w:rPr>
                <w:rFonts w:ascii="Times New Roman" w:hAnsi="Times New Roman" w:cs="Times New Roman"/>
                <w:sz w:val="21"/>
                <w:szCs w:val="20"/>
              </w:rPr>
              <w:t>范围内的水域。二级陆域保护区。</w:t>
            </w:r>
          </w:p>
        </w:tc>
        <w:tc>
          <w:tcPr>
            <w:tcW w:w="1295" w:type="dxa"/>
            <w:vAlign w:val="center"/>
          </w:tcPr>
          <w:p w14:paraId="61E82A08"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二级水域保护区沿河岸向两侧陆地纵深</w:t>
            </w:r>
            <w:r>
              <w:rPr>
                <w:rFonts w:ascii="Times New Roman" w:hAnsi="Times New Roman" w:cs="Times New Roman"/>
                <w:sz w:val="21"/>
                <w:szCs w:val="20"/>
              </w:rPr>
              <w:t>1000m</w:t>
            </w:r>
            <w:r>
              <w:rPr>
                <w:rFonts w:ascii="Times New Roman" w:hAnsi="Times New Roman" w:cs="Times New Roman"/>
                <w:sz w:val="21"/>
                <w:szCs w:val="20"/>
              </w:rPr>
              <w:t>范围内区域。</w:t>
            </w:r>
          </w:p>
        </w:tc>
      </w:tr>
    </w:tbl>
    <w:p w14:paraId="2644AE49" w14:textId="77777777" w:rsidR="007D1E74" w:rsidRDefault="00A95641">
      <w:pPr>
        <w:pStyle w:val="affffff6"/>
        <w:ind w:firstLine="480"/>
      </w:pPr>
      <w:r>
        <w:rPr>
          <w:rFonts w:ascii="Times New Roman" w:hAnsi="Times New Roman" w:hint="eastAsia"/>
        </w:rPr>
        <w:t>本项目</w:t>
      </w:r>
      <w:r>
        <w:rPr>
          <w:rFonts w:ascii="Times New Roman" w:hAnsi="Times New Roman"/>
        </w:rPr>
        <w:t>穿越新场镇饮用水源保护区二级保护区（陆域）</w:t>
      </w:r>
      <w:r>
        <w:rPr>
          <w:rFonts w:ascii="Times New Roman" w:hAnsi="Times New Roman"/>
        </w:rPr>
        <w:t>4219m/2</w:t>
      </w:r>
      <w:r>
        <w:rPr>
          <w:rFonts w:ascii="Times New Roman" w:hAnsi="Times New Roman"/>
        </w:rPr>
        <w:t>次，涪阳镇饮用水源保护区二级保护区（陆域）</w:t>
      </w:r>
      <w:r>
        <w:rPr>
          <w:rFonts w:ascii="Times New Roman" w:hAnsi="Times New Roman"/>
        </w:rPr>
        <w:t>2680m/1</w:t>
      </w:r>
      <w:r>
        <w:rPr>
          <w:rFonts w:ascii="Times New Roman" w:hAnsi="Times New Roman"/>
        </w:rPr>
        <w:t>次。</w:t>
      </w:r>
      <w:r>
        <w:rPr>
          <w:rFonts w:ascii="Times New Roman" w:hAnsi="Times New Roman" w:hint="eastAsia"/>
        </w:rPr>
        <w:t>具体穿越情况如下：</w:t>
      </w:r>
    </w:p>
    <w:p w14:paraId="33DEF9D7" w14:textId="77777777" w:rsidR="007D1E74" w:rsidRDefault="00A95641">
      <w:pPr>
        <w:pStyle w:val="affffff6"/>
        <w:ind w:firstLineChars="0" w:firstLine="0"/>
      </w:pPr>
      <w:r>
        <w:rPr>
          <w:noProof/>
        </w:rPr>
        <w:drawing>
          <wp:inline distT="0" distB="0" distL="0" distR="0" wp14:anchorId="7397C274" wp14:editId="200BDA9F">
            <wp:extent cx="5759450" cy="3739515"/>
            <wp:effectExtent l="0" t="0" r="1270"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5"/>
                    <a:stretch>
                      <a:fillRect/>
                    </a:stretch>
                  </pic:blipFill>
                  <pic:spPr>
                    <a:xfrm>
                      <a:off x="0" y="0"/>
                      <a:ext cx="5759450" cy="3739515"/>
                    </a:xfrm>
                    <a:prstGeom prst="rect">
                      <a:avLst/>
                    </a:prstGeom>
                  </pic:spPr>
                </pic:pic>
              </a:graphicData>
            </a:graphic>
          </wp:inline>
        </w:drawing>
      </w:r>
    </w:p>
    <w:p w14:paraId="0C238659" w14:textId="77777777" w:rsidR="007D1E74" w:rsidRDefault="00A95641">
      <w:pPr>
        <w:jc w:val="center"/>
        <w:rPr>
          <w:b/>
        </w:rPr>
      </w:pPr>
      <w:r>
        <w:rPr>
          <w:rFonts w:hint="eastAsia"/>
          <w:b/>
        </w:rPr>
        <w:t>图</w:t>
      </w:r>
      <w:r>
        <w:rPr>
          <w:b/>
        </w:rPr>
        <w:t xml:space="preserve">3.1-1  </w:t>
      </w:r>
      <w:r>
        <w:rPr>
          <w:b/>
        </w:rPr>
        <w:tab/>
        <w:t>B</w:t>
      </w:r>
      <w:r>
        <w:rPr>
          <w:rFonts w:hint="eastAsia"/>
          <w:b/>
        </w:rPr>
        <w:t>段集气干线、马</w:t>
      </w:r>
      <w:r>
        <w:rPr>
          <w:rFonts w:hint="eastAsia"/>
          <w:b/>
        </w:rPr>
        <w:t>1</w:t>
      </w:r>
      <w:r>
        <w:rPr>
          <w:b/>
        </w:rPr>
        <w:t>-10H</w:t>
      </w:r>
      <w:r>
        <w:rPr>
          <w:rFonts w:hint="eastAsia"/>
          <w:b/>
        </w:rPr>
        <w:t>支线穿越沙湾里饮用水源保护区关系图</w:t>
      </w:r>
    </w:p>
    <w:p w14:paraId="49E5C49F" w14:textId="77777777" w:rsidR="007D1E74" w:rsidRDefault="00A95641">
      <w:pPr>
        <w:pStyle w:val="affffff6"/>
        <w:ind w:firstLineChars="0" w:firstLine="0"/>
      </w:pPr>
      <w:r>
        <w:rPr>
          <w:noProof/>
        </w:rPr>
        <w:lastRenderedPageBreak/>
        <w:drawing>
          <wp:inline distT="0" distB="0" distL="0" distR="0" wp14:anchorId="01CED09F" wp14:editId="7626027B">
            <wp:extent cx="5759450" cy="3986530"/>
            <wp:effectExtent l="0" t="0" r="1270" b="635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6"/>
                    <a:stretch>
                      <a:fillRect/>
                    </a:stretch>
                  </pic:blipFill>
                  <pic:spPr>
                    <a:xfrm>
                      <a:off x="0" y="0"/>
                      <a:ext cx="5759450" cy="3986530"/>
                    </a:xfrm>
                    <a:prstGeom prst="rect">
                      <a:avLst/>
                    </a:prstGeom>
                  </pic:spPr>
                </pic:pic>
              </a:graphicData>
            </a:graphic>
          </wp:inline>
        </w:drawing>
      </w:r>
    </w:p>
    <w:p w14:paraId="0EB4DBC2" w14:textId="77777777" w:rsidR="007D1E74" w:rsidRDefault="00A95641">
      <w:pPr>
        <w:jc w:val="center"/>
        <w:rPr>
          <w:b/>
        </w:rPr>
      </w:pPr>
      <w:r>
        <w:rPr>
          <w:rFonts w:hint="eastAsia"/>
          <w:b/>
        </w:rPr>
        <w:t>图</w:t>
      </w:r>
      <w:r>
        <w:rPr>
          <w:b/>
        </w:rPr>
        <w:t xml:space="preserve">3.1-2  </w:t>
      </w:r>
      <w:r>
        <w:rPr>
          <w:b/>
        </w:rPr>
        <w:tab/>
        <w:t>C</w:t>
      </w:r>
      <w:r>
        <w:rPr>
          <w:rFonts w:hint="eastAsia"/>
          <w:b/>
        </w:rPr>
        <w:t>段集气干线支线穿越酒厂沟饮用水源保护区关系图</w:t>
      </w:r>
    </w:p>
    <w:p w14:paraId="4B5F6CB4" w14:textId="77777777" w:rsidR="007D1E74" w:rsidRDefault="00A95641">
      <w:pPr>
        <w:pStyle w:val="41"/>
        <w:tabs>
          <w:tab w:val="left" w:pos="860"/>
        </w:tabs>
        <w:spacing w:line="360" w:lineRule="auto"/>
        <w:jc w:val="left"/>
        <w:rPr>
          <w:rFonts w:ascii="Times New Roman" w:hAnsi="Times New Roman"/>
          <w:sz w:val="24"/>
          <w:szCs w:val="24"/>
        </w:rPr>
      </w:pPr>
      <w:r>
        <w:rPr>
          <w:rFonts w:ascii="Times New Roman" w:hAnsi="Times New Roman"/>
          <w:sz w:val="24"/>
          <w:szCs w:val="24"/>
        </w:rPr>
        <w:t>3.1.4.6</w:t>
      </w:r>
      <w:r>
        <w:rPr>
          <w:rFonts w:ascii="Times New Roman" w:hAnsi="Times New Roman"/>
          <w:sz w:val="24"/>
          <w:szCs w:val="24"/>
        </w:rPr>
        <w:t>与高压线并行</w:t>
      </w:r>
    </w:p>
    <w:p w14:paraId="26DA1D51" w14:textId="77777777" w:rsidR="007D1E74" w:rsidRDefault="00A95641">
      <w:pPr>
        <w:spacing w:line="360" w:lineRule="auto"/>
        <w:ind w:firstLineChars="200" w:firstLine="480"/>
        <w:rPr>
          <w:sz w:val="24"/>
        </w:rPr>
      </w:pPr>
      <w:r>
        <w:rPr>
          <w:sz w:val="24"/>
        </w:rPr>
        <w:t>根据《石油天然气工程设计防火规范》（</w:t>
      </w:r>
      <w:r>
        <w:rPr>
          <w:sz w:val="24"/>
        </w:rPr>
        <w:t>GB50183-2004</w:t>
      </w:r>
      <w:r>
        <w:rPr>
          <w:sz w:val="24"/>
        </w:rPr>
        <w:t>），集输管线与架空输电线路平行时，</w:t>
      </w:r>
      <w:r>
        <w:rPr>
          <w:sz w:val="24"/>
        </w:rPr>
        <w:t>3kV</w:t>
      </w:r>
      <w:r>
        <w:rPr>
          <w:sz w:val="24"/>
        </w:rPr>
        <w:t>以下距离需大于</w:t>
      </w:r>
      <w:r>
        <w:rPr>
          <w:sz w:val="24"/>
        </w:rPr>
        <w:t>1.5m</w:t>
      </w:r>
      <w:r>
        <w:rPr>
          <w:sz w:val="24"/>
        </w:rPr>
        <w:t>，</w:t>
      </w:r>
      <w:r>
        <w:rPr>
          <w:sz w:val="24"/>
        </w:rPr>
        <w:t xml:space="preserve">3~10kV </w:t>
      </w:r>
      <w:r>
        <w:rPr>
          <w:sz w:val="24"/>
        </w:rPr>
        <w:t>距离应大于</w:t>
      </w:r>
      <w:r>
        <w:rPr>
          <w:sz w:val="24"/>
        </w:rPr>
        <w:t>2m</w:t>
      </w:r>
      <w:r>
        <w:rPr>
          <w:sz w:val="24"/>
        </w:rPr>
        <w:t>，</w:t>
      </w:r>
      <w:r>
        <w:rPr>
          <w:sz w:val="24"/>
        </w:rPr>
        <w:t>35~66kV</w:t>
      </w:r>
      <w:r>
        <w:rPr>
          <w:sz w:val="24"/>
        </w:rPr>
        <w:t>距离应大于</w:t>
      </w:r>
      <w:r>
        <w:rPr>
          <w:sz w:val="24"/>
        </w:rPr>
        <w:t xml:space="preserve"> 4m</w:t>
      </w:r>
      <w:r>
        <w:rPr>
          <w:sz w:val="24"/>
        </w:rPr>
        <w:t>，</w:t>
      </w:r>
      <w:r>
        <w:rPr>
          <w:sz w:val="24"/>
        </w:rPr>
        <w:t>110kV</w:t>
      </w:r>
      <w:r>
        <w:rPr>
          <w:sz w:val="24"/>
        </w:rPr>
        <w:t>距离应大于</w:t>
      </w:r>
      <w:r>
        <w:rPr>
          <w:sz w:val="24"/>
        </w:rPr>
        <w:t>4m</w:t>
      </w:r>
      <w:r>
        <w:rPr>
          <w:sz w:val="24"/>
        </w:rPr>
        <w:t>，</w:t>
      </w:r>
      <w:r>
        <w:rPr>
          <w:sz w:val="24"/>
        </w:rPr>
        <w:t>220kV</w:t>
      </w:r>
      <w:r>
        <w:rPr>
          <w:sz w:val="24"/>
        </w:rPr>
        <w:t>距离应大于</w:t>
      </w:r>
      <w:r>
        <w:rPr>
          <w:sz w:val="24"/>
        </w:rPr>
        <w:t>5m</w:t>
      </w:r>
      <w:r>
        <w:rPr>
          <w:sz w:val="24"/>
        </w:rPr>
        <w:t>。根据可研资料及现场踏勘，本工程满足《石油天然气工程设计防火规范》（</w:t>
      </w:r>
      <w:r>
        <w:rPr>
          <w:sz w:val="24"/>
        </w:rPr>
        <w:t>GB50183-2004</w:t>
      </w:r>
      <w:r>
        <w:rPr>
          <w:sz w:val="24"/>
        </w:rPr>
        <w:t>）中相关距离要求。</w:t>
      </w:r>
    </w:p>
    <w:p w14:paraId="18A383CB" w14:textId="77777777" w:rsidR="007D1E74" w:rsidRDefault="00A95641">
      <w:pPr>
        <w:pStyle w:val="41"/>
        <w:tabs>
          <w:tab w:val="left" w:pos="860"/>
        </w:tabs>
        <w:spacing w:line="360" w:lineRule="auto"/>
        <w:jc w:val="left"/>
        <w:rPr>
          <w:rFonts w:ascii="Times New Roman" w:hAnsi="Times New Roman"/>
          <w:sz w:val="24"/>
          <w:szCs w:val="24"/>
        </w:rPr>
      </w:pPr>
      <w:r>
        <w:rPr>
          <w:rFonts w:ascii="Times New Roman" w:hAnsi="Times New Roman"/>
          <w:sz w:val="24"/>
          <w:szCs w:val="24"/>
        </w:rPr>
        <w:t>3.1.4.7</w:t>
      </w:r>
      <w:r>
        <w:rPr>
          <w:rFonts w:ascii="Times New Roman" w:hAnsi="Times New Roman"/>
          <w:sz w:val="24"/>
          <w:szCs w:val="24"/>
        </w:rPr>
        <w:t>与其他障碍物的交叉穿越</w:t>
      </w:r>
    </w:p>
    <w:p w14:paraId="5403D4A4" w14:textId="77777777" w:rsidR="007D1E74" w:rsidRDefault="00A95641">
      <w:pPr>
        <w:spacing w:line="360" w:lineRule="auto"/>
        <w:ind w:firstLineChars="200" w:firstLine="480"/>
        <w:rPr>
          <w:sz w:val="24"/>
        </w:rPr>
      </w:pPr>
      <w:r>
        <w:rPr>
          <w:sz w:val="24"/>
        </w:rPr>
        <w:t>本工程管道沿线暂未发现需穿越的各类地下设施。在设计阶段和施工过程中若发现有穿越的各类地下设施，在穿越前应获取相关管理部门同意，管道应在其下部通过。对于与埋地管道交叉穿越，垂直净距不小于</w:t>
      </w:r>
      <w:r>
        <w:rPr>
          <w:sz w:val="24"/>
        </w:rPr>
        <w:t>0.3m</w:t>
      </w:r>
      <w:r>
        <w:rPr>
          <w:sz w:val="24"/>
        </w:rPr>
        <w:t>。施工时还需对穿越的管道采取妥善的保护措施。</w:t>
      </w:r>
    </w:p>
    <w:p w14:paraId="320185E0" w14:textId="77777777" w:rsidR="007D1E74" w:rsidRDefault="00A95641">
      <w:pPr>
        <w:pStyle w:val="41"/>
        <w:tabs>
          <w:tab w:val="left" w:pos="860"/>
        </w:tabs>
        <w:spacing w:line="360" w:lineRule="auto"/>
        <w:jc w:val="left"/>
        <w:rPr>
          <w:rFonts w:ascii="Times New Roman" w:hAnsi="Times New Roman"/>
          <w:sz w:val="24"/>
          <w:szCs w:val="24"/>
        </w:rPr>
      </w:pPr>
      <w:r>
        <w:rPr>
          <w:rFonts w:ascii="Times New Roman" w:hAnsi="Times New Roman"/>
          <w:sz w:val="24"/>
          <w:szCs w:val="24"/>
        </w:rPr>
        <w:t>3.1.4.8</w:t>
      </w:r>
      <w:r>
        <w:rPr>
          <w:rFonts w:ascii="Times New Roman" w:hAnsi="Times New Roman"/>
          <w:sz w:val="24"/>
          <w:szCs w:val="24"/>
        </w:rPr>
        <w:t>线路附属设施</w:t>
      </w:r>
    </w:p>
    <w:p w14:paraId="7F79A43C" w14:textId="77777777" w:rsidR="007D1E74" w:rsidRDefault="00A95641">
      <w:pPr>
        <w:spacing w:line="360" w:lineRule="auto"/>
        <w:ind w:firstLineChars="200" w:firstLine="482"/>
        <w:rPr>
          <w:b/>
          <w:bCs/>
          <w:sz w:val="24"/>
        </w:rPr>
      </w:pPr>
      <w:r>
        <w:rPr>
          <w:b/>
          <w:bCs/>
          <w:sz w:val="24"/>
        </w:rPr>
        <w:t>1</w:t>
      </w:r>
      <w:r>
        <w:rPr>
          <w:b/>
          <w:bCs/>
          <w:sz w:val="24"/>
        </w:rPr>
        <w:t>、管道地面标示设置</w:t>
      </w:r>
    </w:p>
    <w:p w14:paraId="789E8509" w14:textId="77777777" w:rsidR="007D1E74" w:rsidRDefault="00A95641">
      <w:pPr>
        <w:spacing w:line="360" w:lineRule="auto"/>
        <w:ind w:firstLineChars="200" w:firstLine="480"/>
        <w:rPr>
          <w:sz w:val="24"/>
        </w:rPr>
      </w:pPr>
      <w:r>
        <w:rPr>
          <w:sz w:val="24"/>
        </w:rPr>
        <w:t>（</w:t>
      </w:r>
      <w:r>
        <w:rPr>
          <w:sz w:val="24"/>
        </w:rPr>
        <w:t>1</w:t>
      </w:r>
      <w:r>
        <w:rPr>
          <w:sz w:val="24"/>
        </w:rPr>
        <w:t>）标志桩</w:t>
      </w:r>
    </w:p>
    <w:p w14:paraId="74629231" w14:textId="77777777" w:rsidR="007D1E74" w:rsidRDefault="00A95641">
      <w:pPr>
        <w:spacing w:line="360" w:lineRule="auto"/>
        <w:ind w:firstLineChars="200" w:firstLine="480"/>
        <w:rPr>
          <w:sz w:val="24"/>
        </w:rPr>
      </w:pPr>
      <w:r>
        <w:rPr>
          <w:sz w:val="24"/>
        </w:rPr>
        <w:t>根据《管道干线标记设置技术规定》</w:t>
      </w:r>
      <w:r>
        <w:rPr>
          <w:sz w:val="24"/>
        </w:rPr>
        <w:t>SY/T6064</w:t>
      </w:r>
      <w:r>
        <w:rPr>
          <w:sz w:val="24"/>
        </w:rPr>
        <w:t>－</w:t>
      </w:r>
      <w:r>
        <w:rPr>
          <w:sz w:val="24"/>
        </w:rPr>
        <w:t xml:space="preserve">2011 </w:t>
      </w:r>
      <w:r>
        <w:rPr>
          <w:sz w:val="24"/>
        </w:rPr>
        <w:t>的规定，管道沿线应设置：</w:t>
      </w:r>
      <w:r>
        <w:rPr>
          <w:sz w:val="24"/>
        </w:rPr>
        <w:t xml:space="preserve"> </w:t>
      </w:r>
      <w:r>
        <w:rPr>
          <w:sz w:val="24"/>
        </w:rPr>
        <w:t>里程桩：每公里设一个，一般与阴极保护桩合用，本项目共计</w:t>
      </w:r>
      <w:r>
        <w:rPr>
          <w:sz w:val="24"/>
        </w:rPr>
        <w:t>37</w:t>
      </w:r>
      <w:r>
        <w:rPr>
          <w:sz w:val="24"/>
        </w:rPr>
        <w:t>个里程桩。</w:t>
      </w:r>
    </w:p>
    <w:p w14:paraId="048F5F9C" w14:textId="77777777" w:rsidR="007D1E74" w:rsidRDefault="00A95641">
      <w:pPr>
        <w:spacing w:line="360" w:lineRule="auto"/>
        <w:ind w:firstLineChars="200" w:firstLine="480"/>
        <w:rPr>
          <w:sz w:val="24"/>
        </w:rPr>
      </w:pPr>
      <w:r>
        <w:rPr>
          <w:sz w:val="24"/>
        </w:rPr>
        <w:lastRenderedPageBreak/>
        <w:t>转角桩：管道水平改变方向的位置，均应设置转角桩。转角桩上要标明管道里程，</w:t>
      </w:r>
      <w:r>
        <w:rPr>
          <w:sz w:val="24"/>
        </w:rPr>
        <w:t xml:space="preserve"> </w:t>
      </w:r>
      <w:r>
        <w:rPr>
          <w:sz w:val="24"/>
        </w:rPr>
        <w:t>转角角度，项目共计</w:t>
      </w:r>
      <w:r>
        <w:rPr>
          <w:sz w:val="24"/>
        </w:rPr>
        <w:t>156</w:t>
      </w:r>
      <w:r>
        <w:rPr>
          <w:sz w:val="24"/>
        </w:rPr>
        <w:t>个转角桩。</w:t>
      </w:r>
    </w:p>
    <w:p w14:paraId="0B539641" w14:textId="77777777" w:rsidR="007D1E74" w:rsidRDefault="00A95641">
      <w:pPr>
        <w:spacing w:line="360" w:lineRule="auto"/>
        <w:ind w:firstLineChars="200" w:firstLine="480"/>
        <w:rPr>
          <w:sz w:val="24"/>
        </w:rPr>
      </w:pPr>
      <w:r>
        <w:rPr>
          <w:sz w:val="24"/>
        </w:rPr>
        <w:t>穿越标志桩：管道穿跨越沟渠、公路的两侧，均设置穿越标志桩，穿越标志桩上应标明管道名称、穿越类型、穿越对象名称，线路里程，穿越长度，有套管的应注明套管的长度、规格和材质，项目共计</w:t>
      </w:r>
      <w:r>
        <w:rPr>
          <w:sz w:val="24"/>
        </w:rPr>
        <w:t>83</w:t>
      </w:r>
      <w:r>
        <w:rPr>
          <w:sz w:val="24"/>
        </w:rPr>
        <w:t>个穿越标志桩。</w:t>
      </w:r>
    </w:p>
    <w:p w14:paraId="20B7E008" w14:textId="77777777" w:rsidR="007D1E74" w:rsidRDefault="00A95641">
      <w:pPr>
        <w:spacing w:line="360" w:lineRule="auto"/>
        <w:ind w:firstLineChars="200" w:firstLine="480"/>
        <w:rPr>
          <w:sz w:val="24"/>
        </w:rPr>
      </w:pPr>
      <w:r>
        <w:rPr>
          <w:sz w:val="24"/>
        </w:rPr>
        <w:t>（</w:t>
      </w:r>
      <w:r>
        <w:rPr>
          <w:sz w:val="24"/>
        </w:rPr>
        <w:t>2</w:t>
      </w:r>
      <w:r>
        <w:rPr>
          <w:sz w:val="24"/>
        </w:rPr>
        <w:t>）警示牌</w:t>
      </w:r>
    </w:p>
    <w:p w14:paraId="491A5106" w14:textId="77777777" w:rsidR="007D1E74" w:rsidRDefault="00A95641">
      <w:pPr>
        <w:spacing w:line="360" w:lineRule="auto"/>
        <w:ind w:firstLineChars="200" w:firstLine="480"/>
        <w:rPr>
          <w:sz w:val="24"/>
        </w:rPr>
      </w:pPr>
      <w:r>
        <w:rPr>
          <w:sz w:val="24"/>
        </w:rPr>
        <w:t>为保护管道不受意外外力破坏，提高管道沿线群众保护管道的意识，集输管线沿途设置一定数量的警示牌。项目共计</w:t>
      </w:r>
      <w:r>
        <w:rPr>
          <w:sz w:val="24"/>
        </w:rPr>
        <w:t>41</w:t>
      </w:r>
      <w:r>
        <w:rPr>
          <w:sz w:val="24"/>
        </w:rPr>
        <w:t>个警示牌。</w:t>
      </w:r>
    </w:p>
    <w:p w14:paraId="11A31CEA" w14:textId="77777777" w:rsidR="007D1E74" w:rsidRDefault="00A95641">
      <w:pPr>
        <w:spacing w:line="360" w:lineRule="auto"/>
        <w:ind w:firstLineChars="200" w:firstLine="480"/>
        <w:rPr>
          <w:sz w:val="24"/>
        </w:rPr>
      </w:pPr>
      <w:r>
        <w:rPr>
          <w:sz w:val="24"/>
        </w:rPr>
        <w:t>警示牌设置位置：管道经过人口分布较集中区域，在进出两端各设警示牌一块，中间每</w:t>
      </w:r>
      <w:r>
        <w:rPr>
          <w:sz w:val="24"/>
        </w:rPr>
        <w:t>300m</w:t>
      </w:r>
      <w:r>
        <w:rPr>
          <w:sz w:val="24"/>
        </w:rPr>
        <w:t>设置一块警示牌。警示牌应设置在明显醒目的地方，可依托水工保护护坡、挡土墙等光滑面刻写标语。</w:t>
      </w:r>
    </w:p>
    <w:p w14:paraId="3998E64B" w14:textId="77777777" w:rsidR="007D1E74" w:rsidRDefault="00A95641">
      <w:pPr>
        <w:spacing w:line="360" w:lineRule="auto"/>
        <w:ind w:firstLineChars="200" w:firstLine="480"/>
        <w:rPr>
          <w:sz w:val="24"/>
        </w:rPr>
      </w:pPr>
      <w:r>
        <w:rPr>
          <w:sz w:val="24"/>
        </w:rPr>
        <w:t>（</w:t>
      </w:r>
      <w:r>
        <w:rPr>
          <w:sz w:val="24"/>
        </w:rPr>
        <w:t>3</w:t>
      </w:r>
      <w:r>
        <w:rPr>
          <w:sz w:val="24"/>
        </w:rPr>
        <w:t>）警示带</w:t>
      </w:r>
    </w:p>
    <w:p w14:paraId="39C7A84F" w14:textId="77777777" w:rsidR="007D1E74" w:rsidRDefault="00A95641">
      <w:pPr>
        <w:spacing w:line="360" w:lineRule="auto"/>
        <w:ind w:firstLineChars="200" w:firstLine="480"/>
        <w:rPr>
          <w:sz w:val="24"/>
        </w:rPr>
      </w:pPr>
      <w:r>
        <w:rPr>
          <w:sz w:val="24"/>
        </w:rPr>
        <w:t>为尽可能避免管道受外力破坏，管道沿线设置警示带。管道警示带作用是警示下方敷设有天然气管道，其敷设位置在管道管顶正上方</w:t>
      </w:r>
      <w:r>
        <w:rPr>
          <w:sz w:val="24"/>
        </w:rPr>
        <w:t>500mm</w:t>
      </w:r>
      <w:r>
        <w:rPr>
          <w:sz w:val="24"/>
        </w:rPr>
        <w:t>处。金黄色，宽</w:t>
      </w:r>
      <w:r>
        <w:rPr>
          <w:sz w:val="24"/>
        </w:rPr>
        <w:t>1000mm</w:t>
      </w:r>
      <w:r>
        <w:rPr>
          <w:sz w:val="24"/>
        </w:rPr>
        <w:t>，合计</w:t>
      </w:r>
      <w:r>
        <w:rPr>
          <w:sz w:val="24"/>
        </w:rPr>
        <w:t>29638m</w:t>
      </w:r>
      <w:r>
        <w:rPr>
          <w:sz w:val="24"/>
        </w:rPr>
        <w:t>。</w:t>
      </w:r>
    </w:p>
    <w:p w14:paraId="3B90A91B" w14:textId="77777777" w:rsidR="007D1E74" w:rsidRDefault="00A95641">
      <w:pPr>
        <w:spacing w:line="360" w:lineRule="auto"/>
        <w:ind w:firstLineChars="200" w:firstLine="482"/>
        <w:rPr>
          <w:b/>
          <w:bCs/>
          <w:sz w:val="24"/>
        </w:rPr>
      </w:pPr>
      <w:r>
        <w:rPr>
          <w:b/>
          <w:bCs/>
          <w:sz w:val="24"/>
        </w:rPr>
        <w:t>2</w:t>
      </w:r>
      <w:r>
        <w:rPr>
          <w:b/>
          <w:bCs/>
          <w:sz w:val="24"/>
        </w:rPr>
        <w:t>、水工保护</w:t>
      </w:r>
    </w:p>
    <w:p w14:paraId="37B43272" w14:textId="77777777" w:rsidR="007D1E74" w:rsidRDefault="00A95641">
      <w:pPr>
        <w:spacing w:line="360" w:lineRule="auto"/>
        <w:ind w:firstLineChars="200" w:firstLine="480"/>
        <w:rPr>
          <w:sz w:val="24"/>
        </w:rPr>
      </w:pPr>
      <w:r>
        <w:rPr>
          <w:sz w:val="24"/>
        </w:rPr>
        <w:t>管道沿线所经地貌基本为山林地区。为减缓管道附近地表或地基由于洪水、重力作用、风蚀、地震及人为改变地貌的活动给管道造成的破坏，在必要地段（河流岸坡、冲沟、高边陡坎）设置护坡、挡土墙等保护措施，同时对管道穿越田埂、果园、陡坎及乡镇机耕道路的路堤、路堑加以恢复、保护，以保证管道及周边地带的安全。</w:t>
      </w:r>
    </w:p>
    <w:p w14:paraId="17001DC0" w14:textId="77777777" w:rsidR="007D1E74" w:rsidRDefault="00A95641">
      <w:pPr>
        <w:spacing w:line="360" w:lineRule="auto"/>
        <w:ind w:firstLineChars="200" w:firstLine="480"/>
        <w:rPr>
          <w:sz w:val="24"/>
        </w:rPr>
      </w:pPr>
      <w:r>
        <w:rPr>
          <w:sz w:val="24"/>
        </w:rPr>
        <w:t>（</w:t>
      </w:r>
      <w:r>
        <w:rPr>
          <w:sz w:val="24"/>
        </w:rPr>
        <w:t>1</w:t>
      </w:r>
      <w:r>
        <w:rPr>
          <w:sz w:val="24"/>
        </w:rPr>
        <w:t>）管道穿越山地地段水工保护</w:t>
      </w:r>
    </w:p>
    <w:p w14:paraId="7A821C86" w14:textId="77777777" w:rsidR="007D1E74" w:rsidRDefault="00A95641">
      <w:pPr>
        <w:spacing w:line="360" w:lineRule="auto"/>
        <w:ind w:firstLineChars="200" w:firstLine="480"/>
        <w:rPr>
          <w:sz w:val="24"/>
        </w:rPr>
      </w:pPr>
      <w:r>
        <w:rPr>
          <w:sz w:val="24"/>
        </w:rPr>
        <w:t>管道在经过山地地段时，为了避免可能出现的塌方和山体冲蚀对管道造成的不利影响，采用护坡、挡土墙、截水墙、截（排）水沟等方式进行管道保护。管道穿越山地地段水工保护设计采用</w:t>
      </w:r>
      <w:r>
        <w:rPr>
          <w:sz w:val="24"/>
        </w:rPr>
        <w:t>20</w:t>
      </w:r>
      <w:r>
        <w:rPr>
          <w:sz w:val="24"/>
        </w:rPr>
        <w:t>年一遇</w:t>
      </w:r>
      <w:r>
        <w:rPr>
          <w:sz w:val="24"/>
        </w:rPr>
        <w:t>24</w:t>
      </w:r>
      <w:r>
        <w:rPr>
          <w:sz w:val="24"/>
        </w:rPr>
        <w:t>小时最大降雨量作为防护标准。</w:t>
      </w:r>
    </w:p>
    <w:p w14:paraId="6C8D2F59" w14:textId="77777777" w:rsidR="007D1E74" w:rsidRDefault="00A95641">
      <w:pPr>
        <w:spacing w:line="360" w:lineRule="auto"/>
        <w:ind w:firstLineChars="200" w:firstLine="480"/>
        <w:rPr>
          <w:sz w:val="24"/>
        </w:rPr>
      </w:pPr>
      <w:r>
        <w:rPr>
          <w:sz w:val="24"/>
        </w:rPr>
        <w:t>水工保护设计须根据工程现场实际勘察测量资料与工程地质资料、管道埋设情况及管沟开挖后地貌破坏情况等综合考虑，选取适当的水工保护的类型及材质。水工保护基本类型主要有顺坡敷设、横坡敷设及管道斜交坡体的水工保护。</w:t>
      </w:r>
    </w:p>
    <w:p w14:paraId="7F5E4E1B" w14:textId="77777777" w:rsidR="007D1E74" w:rsidRDefault="00A95641">
      <w:pPr>
        <w:spacing w:line="360" w:lineRule="auto"/>
        <w:ind w:firstLineChars="200" w:firstLine="480"/>
        <w:rPr>
          <w:sz w:val="24"/>
        </w:rPr>
      </w:pPr>
      <w:r>
        <w:rPr>
          <w:sz w:val="24"/>
        </w:rPr>
        <w:t>1</w:t>
      </w:r>
      <w:r>
        <w:rPr>
          <w:sz w:val="24"/>
        </w:rPr>
        <w:t>）顺坡敷设水工保护型式</w:t>
      </w:r>
    </w:p>
    <w:p w14:paraId="5FE76DD9" w14:textId="77777777" w:rsidR="007D1E74" w:rsidRDefault="00A95641">
      <w:pPr>
        <w:spacing w:line="360" w:lineRule="auto"/>
        <w:ind w:firstLineChars="200" w:firstLine="480"/>
        <w:rPr>
          <w:sz w:val="24"/>
        </w:rPr>
      </w:pPr>
      <w:r>
        <w:rPr>
          <w:sz w:val="24"/>
        </w:rPr>
        <w:t>截水墙：根据山地地形、地质情况及冲沟、山垭口汇流情况等确定截水墙型式、截</w:t>
      </w:r>
      <w:r>
        <w:rPr>
          <w:sz w:val="24"/>
        </w:rPr>
        <w:lastRenderedPageBreak/>
        <w:t>水墙断面和截水墙设置的间距。截水墙材料一般采用浆砌块石及砼预制块等材质。</w:t>
      </w:r>
    </w:p>
    <w:p w14:paraId="4C6E0A67" w14:textId="77777777" w:rsidR="007D1E74" w:rsidRDefault="00A95641">
      <w:pPr>
        <w:spacing w:line="360" w:lineRule="auto"/>
        <w:ind w:firstLineChars="200" w:firstLine="480"/>
        <w:rPr>
          <w:sz w:val="24"/>
        </w:rPr>
      </w:pPr>
      <w:r>
        <w:rPr>
          <w:sz w:val="24"/>
        </w:rPr>
        <w:t>实体护坡：对于植被不易生长的山坡坡地，坡度</w:t>
      </w:r>
      <w:r>
        <w:rPr>
          <w:sz w:val="24"/>
        </w:rPr>
        <w:t>15°</w:t>
      </w:r>
      <w:r>
        <w:rPr>
          <w:sz w:val="24"/>
        </w:rPr>
        <w:t>～</w:t>
      </w:r>
      <w:r>
        <w:rPr>
          <w:sz w:val="24"/>
        </w:rPr>
        <w:t>45°</w:t>
      </w:r>
      <w:r>
        <w:rPr>
          <w:sz w:val="24"/>
        </w:rPr>
        <w:t>时采用浆砌块石或预制混凝土框格等型式护坡。</w:t>
      </w:r>
    </w:p>
    <w:p w14:paraId="3491F2D3" w14:textId="77777777" w:rsidR="007D1E74" w:rsidRDefault="00A95641">
      <w:pPr>
        <w:spacing w:line="360" w:lineRule="auto"/>
        <w:ind w:firstLineChars="200" w:firstLine="480"/>
        <w:rPr>
          <w:sz w:val="24"/>
        </w:rPr>
      </w:pPr>
      <w:r>
        <w:rPr>
          <w:sz w:val="24"/>
        </w:rPr>
        <w:t>挡土墙：坡度大于</w:t>
      </w:r>
      <w:r>
        <w:rPr>
          <w:sz w:val="24"/>
        </w:rPr>
        <w:t>45°</w:t>
      </w:r>
      <w:r>
        <w:rPr>
          <w:sz w:val="24"/>
        </w:rPr>
        <w:t>的山坡、陡坎，采用挡土墙结构防护。挡土墙一般为浆砌块石或浆砌混凝土预制块挡土墙。</w:t>
      </w:r>
    </w:p>
    <w:p w14:paraId="5E1D6796" w14:textId="77777777" w:rsidR="007D1E74" w:rsidRDefault="00A95641">
      <w:pPr>
        <w:spacing w:line="360" w:lineRule="auto"/>
        <w:ind w:firstLineChars="200" w:firstLine="480"/>
        <w:rPr>
          <w:sz w:val="24"/>
        </w:rPr>
      </w:pPr>
      <w:r>
        <w:rPr>
          <w:sz w:val="24"/>
        </w:rPr>
        <w:t>截、排水沟：对于管道所经山坡坡度较陡、山坡坡顶汇流面积较大、洪水宣泄较集中的复杂部位，进行相应的边坡排水设计和综合治理措施。可适当在管沟护面两侧设置截、排水沟等导水、排水设施。</w:t>
      </w:r>
    </w:p>
    <w:p w14:paraId="291BC4A7" w14:textId="77777777" w:rsidR="007D1E74" w:rsidRDefault="00A95641">
      <w:pPr>
        <w:spacing w:line="360" w:lineRule="auto"/>
        <w:ind w:firstLineChars="200" w:firstLine="480"/>
        <w:rPr>
          <w:sz w:val="24"/>
        </w:rPr>
      </w:pPr>
      <w:r>
        <w:rPr>
          <w:sz w:val="24"/>
        </w:rPr>
        <w:t>综合防护：对于特殊地形地段可综合采用上述方式两种或两种以上。</w:t>
      </w:r>
    </w:p>
    <w:p w14:paraId="2954085F" w14:textId="77777777" w:rsidR="007D1E74" w:rsidRDefault="00A95641">
      <w:pPr>
        <w:spacing w:line="360" w:lineRule="auto"/>
        <w:ind w:firstLineChars="200" w:firstLine="480"/>
        <w:rPr>
          <w:sz w:val="24"/>
        </w:rPr>
      </w:pPr>
      <w:r>
        <w:rPr>
          <w:rFonts w:ascii="宋体" w:hAnsi="宋体" w:cs="宋体" w:hint="eastAsia"/>
          <w:sz w:val="24"/>
        </w:rPr>
        <w:t>②</w:t>
      </w:r>
      <w:r>
        <w:rPr>
          <w:sz w:val="24"/>
        </w:rPr>
        <w:t>横坡敷设水工保护型式</w:t>
      </w:r>
    </w:p>
    <w:p w14:paraId="17D1E5DA" w14:textId="77777777" w:rsidR="007D1E74" w:rsidRDefault="00A95641">
      <w:pPr>
        <w:spacing w:line="360" w:lineRule="auto"/>
        <w:ind w:firstLineChars="200" w:firstLine="480"/>
        <w:rPr>
          <w:sz w:val="24"/>
        </w:rPr>
      </w:pPr>
      <w:r>
        <w:rPr>
          <w:sz w:val="24"/>
        </w:rPr>
        <w:t>对于需要削坡开挖施工作业带的岩质较好的边坡，开挖边坡顶部设浆砌石截水沟，</w:t>
      </w:r>
      <w:r>
        <w:rPr>
          <w:sz w:val="24"/>
        </w:rPr>
        <w:t xml:space="preserve"> </w:t>
      </w:r>
      <w:r>
        <w:rPr>
          <w:sz w:val="24"/>
        </w:rPr>
        <w:t>作业带下坡侧设挡土墙。</w:t>
      </w:r>
    </w:p>
    <w:p w14:paraId="6A6B9EA8" w14:textId="77777777" w:rsidR="007D1E74" w:rsidRDefault="00A95641">
      <w:pPr>
        <w:spacing w:line="360" w:lineRule="auto"/>
        <w:ind w:firstLineChars="200" w:firstLine="480"/>
        <w:rPr>
          <w:sz w:val="24"/>
        </w:rPr>
      </w:pPr>
      <w:r>
        <w:rPr>
          <w:sz w:val="24"/>
        </w:rPr>
        <w:t>对于需要削坡开挖施工作业带的岩质不好的边坡或土质边坡，开挖边坡采用浆砌块石护坡、护面墙、挡土墙、喷射混凝土、锚杆喷射混凝土等方式支护，开挖边坡顶部设浆砌石截水沟，作业带下坡侧设挡土墙。</w:t>
      </w:r>
    </w:p>
    <w:p w14:paraId="3DB2714B" w14:textId="77777777" w:rsidR="007D1E74" w:rsidRDefault="00A95641">
      <w:pPr>
        <w:spacing w:line="360" w:lineRule="auto"/>
        <w:ind w:firstLineChars="200" w:firstLine="480"/>
        <w:rPr>
          <w:sz w:val="24"/>
        </w:rPr>
      </w:pPr>
      <w:r>
        <w:rPr>
          <w:sz w:val="24"/>
        </w:rPr>
        <w:t>对于不需要削坡开挖施工作业带的，管沟保护可根据具体地形、地貌情况分别采用植被恢复、浆砌石覆盖、预制混凝土框格内植草、植生带覆盖等方式进行防护。</w:t>
      </w:r>
    </w:p>
    <w:p w14:paraId="01B1110F" w14:textId="77777777" w:rsidR="007D1E74" w:rsidRDefault="00A95641">
      <w:pPr>
        <w:spacing w:line="360" w:lineRule="auto"/>
        <w:ind w:firstLineChars="200" w:firstLine="480"/>
        <w:rPr>
          <w:sz w:val="24"/>
        </w:rPr>
      </w:pPr>
      <w:r>
        <w:rPr>
          <w:rFonts w:ascii="宋体" w:hAnsi="宋体" w:cs="宋体" w:hint="eastAsia"/>
          <w:sz w:val="24"/>
        </w:rPr>
        <w:t>③</w:t>
      </w:r>
      <w:r>
        <w:rPr>
          <w:sz w:val="24"/>
        </w:rPr>
        <w:t>管道斜交坡体水工保护型式</w:t>
      </w:r>
    </w:p>
    <w:p w14:paraId="00E81284" w14:textId="77777777" w:rsidR="007D1E74" w:rsidRDefault="00A95641">
      <w:pPr>
        <w:spacing w:line="360" w:lineRule="auto"/>
        <w:ind w:firstLineChars="200" w:firstLine="480"/>
        <w:rPr>
          <w:sz w:val="24"/>
        </w:rPr>
      </w:pPr>
      <w:r>
        <w:rPr>
          <w:sz w:val="24"/>
        </w:rPr>
        <w:t>斜交坡体的水工保护设计，可依据实际情况参照顺坡敷设和横坡敷设的水工保护形式进行防护。</w:t>
      </w:r>
    </w:p>
    <w:p w14:paraId="621B0FEB" w14:textId="77777777" w:rsidR="007D1E74" w:rsidRDefault="00A95641">
      <w:pPr>
        <w:spacing w:line="360" w:lineRule="auto"/>
        <w:ind w:firstLineChars="200" w:firstLine="480"/>
        <w:rPr>
          <w:sz w:val="24"/>
        </w:rPr>
      </w:pPr>
      <w:r>
        <w:rPr>
          <w:sz w:val="24"/>
        </w:rPr>
        <w:t>（</w:t>
      </w:r>
      <w:r>
        <w:rPr>
          <w:sz w:val="24"/>
        </w:rPr>
        <w:t>2</w:t>
      </w:r>
      <w:r>
        <w:rPr>
          <w:sz w:val="24"/>
        </w:rPr>
        <w:t>）小型沟渠防护</w:t>
      </w:r>
    </w:p>
    <w:p w14:paraId="433EA386" w14:textId="77777777" w:rsidR="007D1E74" w:rsidRDefault="00A95641">
      <w:pPr>
        <w:spacing w:line="360" w:lineRule="auto"/>
        <w:ind w:firstLineChars="200" w:firstLine="480"/>
        <w:rPr>
          <w:sz w:val="24"/>
        </w:rPr>
      </w:pPr>
      <w:r>
        <w:rPr>
          <w:sz w:val="24"/>
        </w:rPr>
        <w:t>1</w:t>
      </w:r>
      <w:r>
        <w:rPr>
          <w:sz w:val="24"/>
        </w:rPr>
        <w:t>）对于管道建设损毁的原有田间灌溉水渠、排水沟等设施，应按原水渠断面尺寸及结构形式恢复。</w:t>
      </w:r>
    </w:p>
    <w:p w14:paraId="55142DC3" w14:textId="77777777" w:rsidR="007D1E74" w:rsidRDefault="00A95641">
      <w:pPr>
        <w:spacing w:line="360" w:lineRule="auto"/>
        <w:ind w:firstLineChars="200" w:firstLine="480"/>
        <w:rPr>
          <w:sz w:val="24"/>
        </w:rPr>
      </w:pPr>
      <w:r>
        <w:rPr>
          <w:sz w:val="24"/>
        </w:rPr>
        <w:t>2</w:t>
      </w:r>
      <w:r>
        <w:rPr>
          <w:sz w:val="24"/>
        </w:rPr>
        <w:t>）对于损毁的堤上渠，恢复时应对渠堤进行原土分层夯填，且夯实系数不小于</w:t>
      </w:r>
      <w:r>
        <w:rPr>
          <w:sz w:val="24"/>
        </w:rPr>
        <w:t>0.85</w:t>
      </w:r>
      <w:r>
        <w:rPr>
          <w:sz w:val="24"/>
        </w:rPr>
        <w:t>。</w:t>
      </w:r>
    </w:p>
    <w:p w14:paraId="022C62C4" w14:textId="77777777" w:rsidR="007D1E74" w:rsidRDefault="00A95641">
      <w:pPr>
        <w:spacing w:line="360" w:lineRule="auto"/>
        <w:ind w:firstLineChars="200" w:firstLine="480"/>
        <w:rPr>
          <w:sz w:val="24"/>
        </w:rPr>
      </w:pPr>
      <w:r>
        <w:rPr>
          <w:sz w:val="24"/>
        </w:rPr>
        <w:t>3</w:t>
      </w:r>
      <w:r>
        <w:rPr>
          <w:sz w:val="24"/>
        </w:rPr>
        <w:t>）材质一般可选用浆砌片石或者混凝土。</w:t>
      </w:r>
    </w:p>
    <w:p w14:paraId="7BD5B345" w14:textId="77777777" w:rsidR="007D1E74" w:rsidRDefault="00A95641">
      <w:pPr>
        <w:spacing w:line="360" w:lineRule="auto"/>
        <w:ind w:firstLineChars="200" w:firstLine="480"/>
        <w:rPr>
          <w:sz w:val="24"/>
        </w:rPr>
      </w:pPr>
      <w:r>
        <w:rPr>
          <w:sz w:val="24"/>
        </w:rPr>
        <w:t>（</w:t>
      </w:r>
      <w:r>
        <w:rPr>
          <w:sz w:val="24"/>
        </w:rPr>
        <w:t>3</w:t>
      </w:r>
      <w:r>
        <w:rPr>
          <w:sz w:val="24"/>
        </w:rPr>
        <w:t>）农田田坎、地坎防护</w:t>
      </w:r>
    </w:p>
    <w:p w14:paraId="504B5581" w14:textId="77777777" w:rsidR="007D1E74" w:rsidRDefault="00A95641">
      <w:pPr>
        <w:spacing w:line="360" w:lineRule="auto"/>
        <w:ind w:firstLineChars="200" w:firstLine="480"/>
        <w:rPr>
          <w:sz w:val="24"/>
        </w:rPr>
      </w:pPr>
      <w:r>
        <w:rPr>
          <w:sz w:val="24"/>
        </w:rPr>
        <w:t>1</w:t>
      </w:r>
      <w:r>
        <w:rPr>
          <w:sz w:val="24"/>
        </w:rPr>
        <w:t>）对于施工扫线、管沟开挖影响、破坏的田坎、地坎，应及时按原结构形式恢复。</w:t>
      </w:r>
    </w:p>
    <w:p w14:paraId="751C14F2" w14:textId="77777777" w:rsidR="007D1E74" w:rsidRDefault="00A95641">
      <w:pPr>
        <w:spacing w:line="360" w:lineRule="auto"/>
        <w:ind w:firstLineChars="200" w:firstLine="480"/>
        <w:rPr>
          <w:sz w:val="24"/>
        </w:rPr>
      </w:pPr>
      <w:r>
        <w:rPr>
          <w:sz w:val="24"/>
        </w:rPr>
        <w:t>2</w:t>
      </w:r>
      <w:r>
        <w:rPr>
          <w:sz w:val="24"/>
        </w:rPr>
        <w:t>）对于高度</w:t>
      </w:r>
      <w:r>
        <w:rPr>
          <w:sz w:val="24"/>
        </w:rPr>
        <w:t>0.8m</w:t>
      </w:r>
      <w:r>
        <w:rPr>
          <w:sz w:val="24"/>
        </w:rPr>
        <w:t>及以上的或有特殊要求的田坎、地坎，应根据农田的利用类型和地方要求选取适当的堡坎措施。对于坡台地的田坎、地坎的堡坎设计，还应采取防止堡</w:t>
      </w:r>
      <w:r>
        <w:rPr>
          <w:sz w:val="24"/>
        </w:rPr>
        <w:lastRenderedPageBreak/>
        <w:t>坎基础淘蚀的措施。</w:t>
      </w:r>
    </w:p>
    <w:p w14:paraId="515C7502" w14:textId="77777777" w:rsidR="007D1E74" w:rsidRDefault="00A95641">
      <w:pPr>
        <w:spacing w:line="360" w:lineRule="auto"/>
        <w:ind w:firstLineChars="200" w:firstLine="480"/>
        <w:rPr>
          <w:sz w:val="24"/>
        </w:rPr>
      </w:pPr>
      <w:r>
        <w:rPr>
          <w:sz w:val="24"/>
        </w:rPr>
        <w:t>3</w:t>
      </w:r>
      <w:r>
        <w:rPr>
          <w:sz w:val="24"/>
        </w:rPr>
        <w:t>）对于施工扫线、管沟开挖影响的果园、林地、经济作物区，应根据具体地形情况恢复其地貌。</w:t>
      </w:r>
    </w:p>
    <w:p w14:paraId="6301B98C" w14:textId="77777777" w:rsidR="007D1E74" w:rsidRDefault="00A95641">
      <w:pPr>
        <w:spacing w:line="360" w:lineRule="auto"/>
        <w:ind w:firstLineChars="200" w:firstLine="480"/>
        <w:rPr>
          <w:sz w:val="24"/>
        </w:rPr>
      </w:pPr>
      <w:r>
        <w:rPr>
          <w:sz w:val="24"/>
        </w:rPr>
        <w:t>（</w:t>
      </w:r>
      <w:r>
        <w:rPr>
          <w:sz w:val="24"/>
        </w:rPr>
        <w:t>4</w:t>
      </w:r>
      <w:r>
        <w:rPr>
          <w:sz w:val="24"/>
        </w:rPr>
        <w:t>）道路穿越防护</w:t>
      </w:r>
    </w:p>
    <w:p w14:paraId="5438184F" w14:textId="77777777" w:rsidR="007D1E74" w:rsidRDefault="00A95641">
      <w:pPr>
        <w:spacing w:line="360" w:lineRule="auto"/>
        <w:ind w:firstLineChars="200" w:firstLine="480"/>
        <w:rPr>
          <w:sz w:val="24"/>
        </w:rPr>
      </w:pPr>
      <w:r>
        <w:rPr>
          <w:sz w:val="24"/>
        </w:rPr>
        <w:t>1</w:t>
      </w:r>
      <w:r>
        <w:rPr>
          <w:sz w:val="24"/>
        </w:rPr>
        <w:t>）对于受到管沟开挖影响的路堤、路堑，有防护结构的按原结构恢复，无防护结构的应视实际情况适当加设挡土墙、护坡等防护措施。</w:t>
      </w:r>
    </w:p>
    <w:p w14:paraId="0709707C" w14:textId="77777777" w:rsidR="007D1E74" w:rsidRDefault="00A95641">
      <w:pPr>
        <w:spacing w:line="360" w:lineRule="auto"/>
        <w:ind w:firstLineChars="200" w:firstLine="480"/>
        <w:rPr>
          <w:sz w:val="24"/>
        </w:rPr>
      </w:pPr>
      <w:r>
        <w:rPr>
          <w:sz w:val="24"/>
        </w:rPr>
        <w:t>2</w:t>
      </w:r>
      <w:r>
        <w:rPr>
          <w:sz w:val="24"/>
        </w:rPr>
        <w:t>）当管道沿道路一侧平行敷设时，管道水工保护结构应与道路支护、排水结构相结合，保证道路、桥涵的排水畅通。</w:t>
      </w:r>
    </w:p>
    <w:p w14:paraId="102CFA19" w14:textId="77777777" w:rsidR="007D1E74" w:rsidRDefault="00A95641">
      <w:pPr>
        <w:pStyle w:val="41"/>
        <w:tabs>
          <w:tab w:val="left" w:pos="860"/>
        </w:tabs>
        <w:spacing w:line="360" w:lineRule="auto"/>
        <w:jc w:val="left"/>
        <w:rPr>
          <w:rFonts w:ascii="Times New Roman" w:hAnsi="Times New Roman"/>
          <w:sz w:val="24"/>
          <w:szCs w:val="24"/>
        </w:rPr>
      </w:pPr>
      <w:r>
        <w:rPr>
          <w:rFonts w:ascii="Times New Roman" w:hAnsi="Times New Roman"/>
          <w:sz w:val="24"/>
          <w:szCs w:val="24"/>
        </w:rPr>
        <w:t>3.1.4.9</w:t>
      </w:r>
      <w:r>
        <w:rPr>
          <w:rFonts w:ascii="Times New Roman" w:hAnsi="Times New Roman"/>
          <w:sz w:val="24"/>
          <w:szCs w:val="24"/>
        </w:rPr>
        <w:t>施工便道工程</w:t>
      </w:r>
    </w:p>
    <w:p w14:paraId="28835BA3" w14:textId="77777777" w:rsidR="007D1E74" w:rsidRDefault="00A95641">
      <w:pPr>
        <w:spacing w:line="360" w:lineRule="auto"/>
        <w:ind w:firstLineChars="200" w:firstLine="480"/>
        <w:rPr>
          <w:sz w:val="24"/>
        </w:rPr>
      </w:pPr>
      <w:r>
        <w:rPr>
          <w:sz w:val="24"/>
        </w:rPr>
        <w:t>管道运输尽量利用已有道路，但必须对其进行整修。整修道路工程主要有管道工程施工前整修及管道工程完工后需整修两部分。管道工程施工前，对已有的路况较差，承压能力较低，路面较窄的道路进行加宽、加固、填平坑凹等整修措施；工程结束后，必须采取对运管车辆压损的道路进行修补、恢复的措施。</w:t>
      </w:r>
    </w:p>
    <w:p w14:paraId="525F4BCA" w14:textId="77777777" w:rsidR="007D1E74" w:rsidRDefault="00A95641">
      <w:pPr>
        <w:spacing w:line="360" w:lineRule="auto"/>
        <w:ind w:firstLineChars="200" w:firstLine="480"/>
        <w:rPr>
          <w:sz w:val="24"/>
        </w:rPr>
      </w:pPr>
      <w:r>
        <w:rPr>
          <w:sz w:val="24"/>
        </w:rPr>
        <w:t>在与管道作业带较远的无公路段或穿越工程的施工场地连接，则需新建临时运管道路。新建运管道路长度一般较短，车行路面宽</w:t>
      </w:r>
      <w:r>
        <w:rPr>
          <w:sz w:val="24"/>
        </w:rPr>
        <w:t xml:space="preserve"> 4~5m</w:t>
      </w:r>
      <w:r>
        <w:rPr>
          <w:sz w:val="24"/>
        </w:rPr>
        <w:t>（采取局部设置会车处方式），从已有道路连接至管道作业带附近的临时材料堆场或施工场地。道路施工首先要清除地表植被，然后在道路两侧开挖边沟，并进行原地面碾压，结合农田水系，在必要的地方设置截水、排水设施。临时运管道路修筑施工方法主要采取机械开挖、汽车运输、机械平整碾压和人工砌筑等方式。</w:t>
      </w:r>
    </w:p>
    <w:p w14:paraId="2CEB5A7A" w14:textId="77777777" w:rsidR="007D1E74" w:rsidRDefault="00A95641">
      <w:pPr>
        <w:spacing w:line="360" w:lineRule="auto"/>
        <w:ind w:firstLineChars="200" w:firstLine="480"/>
        <w:rPr>
          <w:sz w:val="24"/>
        </w:rPr>
      </w:pPr>
      <w:r>
        <w:rPr>
          <w:sz w:val="24"/>
        </w:rPr>
        <w:t>本集输管线项目施工道路主要依托乡村道路。根据建设单位提供资料，本工程共设置施工便道</w:t>
      </w:r>
      <w:r>
        <w:rPr>
          <w:sz w:val="24"/>
        </w:rPr>
        <w:t>2km</w:t>
      </w:r>
      <w:r>
        <w:rPr>
          <w:sz w:val="24"/>
        </w:rPr>
        <w:t>，全部为新建，主体工程在现初步设计阶段，对道路工程的位置及长度统计均采用的估算的方式进行，在实际施工过程中可能会有变化。同时，通过现场踏勘，可依托道路主要为</w:t>
      </w:r>
      <w:r>
        <w:rPr>
          <w:sz w:val="24"/>
        </w:rPr>
        <w:t>S201</w:t>
      </w:r>
      <w:r>
        <w:rPr>
          <w:sz w:val="24"/>
        </w:rPr>
        <w:t>以及各个乡镇村庄村道等，道路平整，车行路面宽度满足要求，满足依托要求，依托可行。</w:t>
      </w:r>
    </w:p>
    <w:p w14:paraId="5BFAC8D8" w14:textId="77777777" w:rsidR="007D1E74" w:rsidRDefault="00A95641">
      <w:pPr>
        <w:spacing w:line="360" w:lineRule="auto"/>
        <w:ind w:firstLineChars="200" w:firstLine="482"/>
        <w:rPr>
          <w:b/>
          <w:bCs/>
          <w:sz w:val="24"/>
        </w:rPr>
      </w:pPr>
      <w:r>
        <w:rPr>
          <w:b/>
          <w:bCs/>
          <w:sz w:val="24"/>
        </w:rPr>
        <w:t>1</w:t>
      </w:r>
      <w:r>
        <w:rPr>
          <w:b/>
          <w:bCs/>
          <w:sz w:val="24"/>
        </w:rPr>
        <w:t>、施工道路</w:t>
      </w:r>
    </w:p>
    <w:p w14:paraId="3EF7EE18" w14:textId="77777777" w:rsidR="007D1E74" w:rsidRDefault="00A95641">
      <w:pPr>
        <w:spacing w:line="360" w:lineRule="auto"/>
        <w:ind w:firstLineChars="200" w:firstLine="480"/>
        <w:rPr>
          <w:sz w:val="24"/>
        </w:rPr>
      </w:pPr>
      <w:r>
        <w:rPr>
          <w:sz w:val="24"/>
        </w:rPr>
        <w:t>施工道路主要是满足工程施工需求，尽量利用现有道路工程，道路设计时，尽可能优化线型，提高线路行车条件。道路建设针对局部深丘、低山地段无道路可利用时新建道路。</w:t>
      </w:r>
    </w:p>
    <w:p w14:paraId="4875F093" w14:textId="77777777" w:rsidR="007D1E74" w:rsidRDefault="00A95641">
      <w:pPr>
        <w:spacing w:line="360" w:lineRule="auto"/>
        <w:ind w:firstLineChars="200" w:firstLine="482"/>
        <w:rPr>
          <w:b/>
          <w:bCs/>
          <w:sz w:val="24"/>
        </w:rPr>
      </w:pPr>
      <w:r>
        <w:rPr>
          <w:b/>
          <w:bCs/>
          <w:sz w:val="24"/>
        </w:rPr>
        <w:t>2</w:t>
      </w:r>
      <w:r>
        <w:rPr>
          <w:b/>
          <w:bCs/>
          <w:sz w:val="24"/>
        </w:rPr>
        <w:t>、道路主要技术参数</w:t>
      </w:r>
    </w:p>
    <w:p w14:paraId="6F9B19C8" w14:textId="77777777" w:rsidR="007D1E74" w:rsidRDefault="00A95641">
      <w:pPr>
        <w:spacing w:line="360" w:lineRule="auto"/>
        <w:ind w:firstLineChars="200" w:firstLine="480"/>
        <w:rPr>
          <w:sz w:val="24"/>
        </w:rPr>
      </w:pPr>
      <w:r>
        <w:rPr>
          <w:sz w:val="24"/>
        </w:rPr>
        <w:lastRenderedPageBreak/>
        <w:t>公路等级：施工便道为等外级或四级公路。</w:t>
      </w:r>
    </w:p>
    <w:p w14:paraId="2C38FA74" w14:textId="77777777" w:rsidR="007D1E74" w:rsidRDefault="00A95641">
      <w:pPr>
        <w:spacing w:line="360" w:lineRule="auto"/>
        <w:ind w:firstLineChars="200" w:firstLine="480"/>
        <w:rPr>
          <w:sz w:val="24"/>
        </w:rPr>
      </w:pPr>
      <w:r>
        <w:rPr>
          <w:sz w:val="24"/>
        </w:rPr>
        <w:t>最大纵坡</w:t>
      </w:r>
      <w:r>
        <w:rPr>
          <w:sz w:val="24"/>
        </w:rPr>
        <w:t>10%</w:t>
      </w:r>
      <w:r>
        <w:rPr>
          <w:sz w:val="24"/>
        </w:rPr>
        <w:t>（其它运输方式</w:t>
      </w:r>
      <w:r>
        <w:rPr>
          <w:sz w:val="24"/>
        </w:rPr>
        <w:t>17%</w:t>
      </w:r>
      <w:r>
        <w:rPr>
          <w:sz w:val="24"/>
        </w:rPr>
        <w:t>），最小平曲线半径为</w:t>
      </w:r>
      <w:r>
        <w:rPr>
          <w:sz w:val="24"/>
        </w:rPr>
        <w:t>18m</w:t>
      </w:r>
      <w:r>
        <w:rPr>
          <w:sz w:val="24"/>
        </w:rPr>
        <w:t>（其它运输方式</w:t>
      </w:r>
      <w:r>
        <w:rPr>
          <w:sz w:val="24"/>
        </w:rPr>
        <w:t>12m</w:t>
      </w:r>
      <w:r>
        <w:rPr>
          <w:sz w:val="24"/>
        </w:rPr>
        <w:t>），最小坡长</w:t>
      </w:r>
      <w:r>
        <w:rPr>
          <w:sz w:val="24"/>
        </w:rPr>
        <w:t>60m</w:t>
      </w:r>
      <w:r>
        <w:rPr>
          <w:sz w:val="24"/>
        </w:rPr>
        <w:t>。</w:t>
      </w:r>
    </w:p>
    <w:p w14:paraId="20ED0417" w14:textId="77777777" w:rsidR="007D1E74" w:rsidRDefault="00A95641">
      <w:pPr>
        <w:spacing w:line="360" w:lineRule="auto"/>
        <w:ind w:firstLineChars="200" w:firstLine="480"/>
        <w:rPr>
          <w:sz w:val="24"/>
        </w:rPr>
      </w:pPr>
      <w:r>
        <w:rPr>
          <w:sz w:val="24"/>
        </w:rPr>
        <w:t>公路路基宽度为</w:t>
      </w:r>
      <w:r>
        <w:rPr>
          <w:sz w:val="24"/>
        </w:rPr>
        <w:t>4.5m</w:t>
      </w:r>
      <w:r>
        <w:rPr>
          <w:sz w:val="24"/>
        </w:rPr>
        <w:t>，路面宽度为</w:t>
      </w:r>
      <w:r>
        <w:rPr>
          <w:sz w:val="24"/>
        </w:rPr>
        <w:t>3.5m</w:t>
      </w:r>
      <w:r>
        <w:rPr>
          <w:sz w:val="24"/>
        </w:rPr>
        <w:t>，路肩宽度为</w:t>
      </w:r>
      <w:r>
        <w:rPr>
          <w:sz w:val="24"/>
        </w:rPr>
        <w:t>0.5m</w:t>
      </w:r>
      <w:r>
        <w:rPr>
          <w:sz w:val="24"/>
        </w:rPr>
        <w:t>，错车道按</w:t>
      </w:r>
      <w:r>
        <w:rPr>
          <w:sz w:val="24"/>
        </w:rPr>
        <w:t>1</w:t>
      </w:r>
      <w:r>
        <w:rPr>
          <w:sz w:val="24"/>
        </w:rPr>
        <w:t>个</w:t>
      </w:r>
      <w:r>
        <w:rPr>
          <w:sz w:val="24"/>
        </w:rPr>
        <w:t>/1km</w:t>
      </w:r>
      <w:r>
        <w:rPr>
          <w:sz w:val="24"/>
        </w:rPr>
        <w:t>。施工道路在交通比较发达地段</w:t>
      </w:r>
      <w:r>
        <w:rPr>
          <w:sz w:val="24"/>
        </w:rPr>
        <w:t>1km</w:t>
      </w:r>
      <w:r>
        <w:rPr>
          <w:sz w:val="24"/>
        </w:rPr>
        <w:t>选择一条施工道路；在交通不发达，地形条件受限止，深丘地段为</w:t>
      </w:r>
      <w:r>
        <w:rPr>
          <w:sz w:val="24"/>
        </w:rPr>
        <w:t>2~3km</w:t>
      </w:r>
      <w:r>
        <w:rPr>
          <w:sz w:val="24"/>
        </w:rPr>
        <w:t>选择一条施工道路；局部特殊地段为施工方便实地考虑施工道路。</w:t>
      </w:r>
    </w:p>
    <w:p w14:paraId="3FC2B8ED" w14:textId="77777777" w:rsidR="007D1E74" w:rsidRDefault="00A95641">
      <w:pPr>
        <w:spacing w:line="360" w:lineRule="auto"/>
        <w:ind w:firstLineChars="200" w:firstLine="480"/>
        <w:rPr>
          <w:sz w:val="24"/>
        </w:rPr>
      </w:pPr>
      <w:r>
        <w:rPr>
          <w:sz w:val="24"/>
        </w:rPr>
        <w:t>路面基层采用片石基层</w:t>
      </w:r>
      <w:r>
        <w:rPr>
          <w:sz w:val="24"/>
        </w:rPr>
        <w:t>20cm</w:t>
      </w:r>
      <w:r>
        <w:rPr>
          <w:sz w:val="24"/>
        </w:rPr>
        <w:t>，路面面层采用泥结碎石</w:t>
      </w:r>
      <w:r>
        <w:rPr>
          <w:sz w:val="24"/>
        </w:rPr>
        <w:t>6cm</w:t>
      </w:r>
      <w:r>
        <w:rPr>
          <w:sz w:val="24"/>
        </w:rPr>
        <w:t>，维修路面面层采用泥结碎石</w:t>
      </w:r>
      <w:r>
        <w:rPr>
          <w:sz w:val="24"/>
        </w:rPr>
        <w:t>12cm</w:t>
      </w:r>
      <w:r>
        <w:rPr>
          <w:sz w:val="24"/>
        </w:rPr>
        <w:t>。</w:t>
      </w:r>
    </w:p>
    <w:p w14:paraId="2C3D3C62" w14:textId="77777777" w:rsidR="007D1E74" w:rsidRDefault="00A95641">
      <w:pPr>
        <w:spacing w:line="360" w:lineRule="auto"/>
        <w:outlineLvl w:val="2"/>
        <w:rPr>
          <w:b/>
          <w:sz w:val="28"/>
          <w:szCs w:val="28"/>
        </w:rPr>
      </w:pPr>
      <w:r>
        <w:rPr>
          <w:b/>
          <w:sz w:val="28"/>
          <w:szCs w:val="28"/>
        </w:rPr>
        <w:t>3.1.5</w:t>
      </w:r>
      <w:r>
        <w:rPr>
          <w:b/>
          <w:sz w:val="28"/>
          <w:szCs w:val="28"/>
        </w:rPr>
        <w:t>辅助工程</w:t>
      </w:r>
    </w:p>
    <w:p w14:paraId="44423EBD" w14:textId="77777777" w:rsidR="007D1E74" w:rsidRDefault="00A95641">
      <w:pPr>
        <w:pStyle w:val="41"/>
        <w:tabs>
          <w:tab w:val="left" w:pos="860"/>
        </w:tabs>
        <w:spacing w:line="360" w:lineRule="auto"/>
        <w:jc w:val="left"/>
        <w:rPr>
          <w:rFonts w:ascii="Times New Roman" w:hAnsi="Times New Roman"/>
          <w:sz w:val="24"/>
          <w:szCs w:val="24"/>
        </w:rPr>
      </w:pPr>
      <w:r>
        <w:rPr>
          <w:rFonts w:ascii="Times New Roman" w:hAnsi="Times New Roman"/>
          <w:sz w:val="24"/>
          <w:szCs w:val="24"/>
        </w:rPr>
        <w:t>3.1.5.1</w:t>
      </w:r>
      <w:r>
        <w:rPr>
          <w:rFonts w:ascii="Times New Roman" w:hAnsi="Times New Roman"/>
          <w:sz w:val="24"/>
          <w:szCs w:val="24"/>
        </w:rPr>
        <w:t>防腐</w:t>
      </w:r>
    </w:p>
    <w:p w14:paraId="3C6DA8E9" w14:textId="77777777" w:rsidR="007D1E74" w:rsidRDefault="00A95641">
      <w:pPr>
        <w:spacing w:line="360" w:lineRule="auto"/>
        <w:ind w:firstLineChars="200" w:firstLine="480"/>
        <w:rPr>
          <w:sz w:val="24"/>
        </w:rPr>
      </w:pPr>
      <w:r>
        <w:rPr>
          <w:sz w:val="24"/>
        </w:rPr>
        <w:t>线路管道外防腐层采用常温型加强级三层</w:t>
      </w:r>
      <w:r>
        <w:rPr>
          <w:sz w:val="24"/>
        </w:rPr>
        <w:t>PE</w:t>
      </w:r>
      <w:r>
        <w:rPr>
          <w:sz w:val="24"/>
        </w:rPr>
        <w:t>防腐层，其中底层为熔结环氧粉末，中间层为胶粘剂层。热煨弯管外防腐层采用无溶剂液体环氧涂料</w:t>
      </w:r>
      <w:r>
        <w:rPr>
          <w:sz w:val="24"/>
        </w:rPr>
        <w:t>+</w:t>
      </w:r>
      <w:r>
        <w:rPr>
          <w:sz w:val="24"/>
        </w:rPr>
        <w:t>聚乙烯热收缩带。</w:t>
      </w:r>
    </w:p>
    <w:p w14:paraId="55F5BAB9" w14:textId="77777777" w:rsidR="007D1E74" w:rsidRDefault="00A95641">
      <w:pPr>
        <w:spacing w:line="360" w:lineRule="auto"/>
        <w:ind w:firstLineChars="200" w:firstLine="480"/>
        <w:rPr>
          <w:sz w:val="24"/>
        </w:rPr>
      </w:pPr>
      <w:r>
        <w:rPr>
          <w:sz w:val="24"/>
        </w:rPr>
        <w:t>线路补口采用</w:t>
      </w:r>
      <w:r>
        <w:rPr>
          <w:sz w:val="24"/>
        </w:rPr>
        <w:t>“</w:t>
      </w:r>
      <w:r>
        <w:rPr>
          <w:sz w:val="24"/>
        </w:rPr>
        <w:t>无溶剂液体环氧涂料</w:t>
      </w:r>
      <w:r>
        <w:rPr>
          <w:sz w:val="24"/>
        </w:rPr>
        <w:t>+</w:t>
      </w:r>
      <w:r>
        <w:rPr>
          <w:sz w:val="24"/>
        </w:rPr>
        <w:t>热收缩缠绕带</w:t>
      </w:r>
      <w:r>
        <w:rPr>
          <w:sz w:val="24"/>
        </w:rPr>
        <w:t>”</w:t>
      </w:r>
      <w:r>
        <w:rPr>
          <w:sz w:val="24"/>
        </w:rPr>
        <w:t>结构。</w:t>
      </w:r>
    </w:p>
    <w:p w14:paraId="4F09415E" w14:textId="77777777" w:rsidR="007D1E74" w:rsidRDefault="00A95641">
      <w:pPr>
        <w:pStyle w:val="41"/>
        <w:tabs>
          <w:tab w:val="left" w:pos="860"/>
        </w:tabs>
        <w:spacing w:line="360" w:lineRule="auto"/>
        <w:jc w:val="left"/>
        <w:rPr>
          <w:rFonts w:ascii="Times New Roman" w:hAnsi="Times New Roman"/>
          <w:sz w:val="24"/>
          <w:szCs w:val="24"/>
        </w:rPr>
      </w:pPr>
      <w:r>
        <w:rPr>
          <w:rFonts w:ascii="Times New Roman" w:hAnsi="Times New Roman"/>
          <w:sz w:val="24"/>
          <w:szCs w:val="24"/>
        </w:rPr>
        <w:t>3.1.5.2</w:t>
      </w:r>
      <w:r>
        <w:rPr>
          <w:rFonts w:ascii="Times New Roman" w:hAnsi="Times New Roman"/>
          <w:sz w:val="24"/>
          <w:szCs w:val="24"/>
        </w:rPr>
        <w:t>自动控制</w:t>
      </w:r>
    </w:p>
    <w:p w14:paraId="311D9E26" w14:textId="77777777" w:rsidR="007D1E74" w:rsidRDefault="00A95641">
      <w:pPr>
        <w:spacing w:line="360" w:lineRule="auto"/>
        <w:ind w:firstLineChars="200" w:firstLine="480"/>
        <w:rPr>
          <w:sz w:val="24"/>
        </w:rPr>
      </w:pPr>
      <w:r>
        <w:rPr>
          <w:sz w:val="24"/>
        </w:rPr>
        <w:t>采用以计算机为核心的监控及数据采集（</w:t>
      </w:r>
      <w:r>
        <w:rPr>
          <w:sz w:val="24"/>
        </w:rPr>
        <w:t xml:space="preserve">Supervisory Control And Data Acquisition </w:t>
      </w:r>
      <w:r>
        <w:rPr>
          <w:sz w:val="24"/>
        </w:rPr>
        <w:t>简称</w:t>
      </w:r>
      <w:r>
        <w:rPr>
          <w:sz w:val="24"/>
        </w:rPr>
        <w:t xml:space="preserve"> SCADA</w:t>
      </w:r>
      <w:r>
        <w:rPr>
          <w:sz w:val="24"/>
        </w:rPr>
        <w:t>）系统，对管道全线进行实时的监控和管理。拟建项目自动控制系统依托沿线各井站，不单另设置。</w:t>
      </w:r>
      <w:r>
        <w:rPr>
          <w:sz w:val="24"/>
        </w:rPr>
        <w:t>RTU</w:t>
      </w:r>
      <w:r>
        <w:rPr>
          <w:sz w:val="24"/>
        </w:rPr>
        <w:t>机柜设置在电控一体化撬内。</w:t>
      </w:r>
    </w:p>
    <w:p w14:paraId="5848D9F7" w14:textId="77777777" w:rsidR="007D1E74" w:rsidRDefault="00A95641">
      <w:pPr>
        <w:spacing w:line="360" w:lineRule="auto"/>
        <w:ind w:firstLineChars="200" w:firstLine="480"/>
        <w:rPr>
          <w:sz w:val="24"/>
        </w:rPr>
      </w:pPr>
      <w:r>
        <w:rPr>
          <w:sz w:val="24"/>
        </w:rPr>
        <w:t>整个集输管线工程</w:t>
      </w:r>
      <w:r>
        <w:rPr>
          <w:sz w:val="24"/>
        </w:rPr>
        <w:t>SCADA</w:t>
      </w:r>
      <w:r>
        <w:rPr>
          <w:sz w:val="24"/>
        </w:rPr>
        <w:t>系统控制分为三级：</w:t>
      </w:r>
    </w:p>
    <w:p w14:paraId="7DDEC17A" w14:textId="77777777" w:rsidR="007D1E74" w:rsidRDefault="00A95641">
      <w:pPr>
        <w:spacing w:line="360" w:lineRule="auto"/>
        <w:ind w:firstLineChars="200" w:firstLine="480"/>
        <w:rPr>
          <w:sz w:val="24"/>
        </w:rPr>
      </w:pPr>
      <w:r>
        <w:rPr>
          <w:sz w:val="24"/>
        </w:rPr>
        <w:t>第一级为调度中心控制级：对全线进行远程监控，实行统一调度管理。在正常情况下，由调控中心对全线进行监视和控制。沿线各站控制无需人工干预，工艺站场的</w:t>
      </w:r>
      <w:r>
        <w:rPr>
          <w:sz w:val="24"/>
        </w:rPr>
        <w:t xml:space="preserve">SCS </w:t>
      </w:r>
      <w:r>
        <w:rPr>
          <w:sz w:val="24"/>
        </w:rPr>
        <w:t>在调度控制中心的统一指挥下完成各自的监控工作。</w:t>
      </w:r>
    </w:p>
    <w:p w14:paraId="65B162F9" w14:textId="77777777" w:rsidR="007D1E74" w:rsidRDefault="00A95641">
      <w:pPr>
        <w:spacing w:line="360" w:lineRule="auto"/>
        <w:ind w:firstLineChars="200" w:firstLine="480"/>
        <w:rPr>
          <w:sz w:val="24"/>
        </w:rPr>
      </w:pPr>
      <w:r>
        <w:rPr>
          <w:sz w:val="24"/>
        </w:rPr>
        <w:t>第二级为站场控制级：输气站场通过站控系统（</w:t>
      </w:r>
      <w:r>
        <w:rPr>
          <w:sz w:val="24"/>
        </w:rPr>
        <w:t>SCS</w:t>
      </w:r>
      <w:r>
        <w:rPr>
          <w:sz w:val="24"/>
        </w:rPr>
        <w:t>）对站内工艺变量及设备运行状态进行数据采集、监视控制及连锁保护。站场控制级控制权限由调控中心确定，经调控中心授权后，才允许操作人员通过</w:t>
      </w:r>
      <w:r>
        <w:rPr>
          <w:sz w:val="24"/>
        </w:rPr>
        <w:t>SCS</w:t>
      </w:r>
      <w:r>
        <w:rPr>
          <w:sz w:val="24"/>
        </w:rPr>
        <w:t>对该站进行授权范围内的操作。当通信系统发生故障或者系统检修时，用站控系统实现站内的监视与控制。</w:t>
      </w:r>
    </w:p>
    <w:p w14:paraId="612EDBD2" w14:textId="77777777" w:rsidR="007D1E74" w:rsidRDefault="00A95641">
      <w:pPr>
        <w:spacing w:line="360" w:lineRule="auto"/>
        <w:ind w:firstLineChars="200" w:firstLine="480"/>
        <w:rPr>
          <w:sz w:val="24"/>
        </w:rPr>
      </w:pPr>
      <w:r>
        <w:rPr>
          <w:sz w:val="24"/>
        </w:rPr>
        <w:t>第三级为就地控制级：当进行设备检修或紧急切断时，可采用就地控制方式。</w:t>
      </w:r>
    </w:p>
    <w:p w14:paraId="5DB400AC" w14:textId="77777777" w:rsidR="007D1E74" w:rsidRDefault="00A95641">
      <w:pPr>
        <w:pStyle w:val="41"/>
        <w:tabs>
          <w:tab w:val="left" w:pos="860"/>
        </w:tabs>
        <w:spacing w:line="360" w:lineRule="auto"/>
        <w:jc w:val="left"/>
        <w:rPr>
          <w:rFonts w:ascii="Times New Roman" w:hAnsi="Times New Roman"/>
          <w:sz w:val="24"/>
          <w:szCs w:val="24"/>
        </w:rPr>
      </w:pPr>
      <w:r>
        <w:rPr>
          <w:rFonts w:ascii="Times New Roman" w:hAnsi="Times New Roman"/>
          <w:sz w:val="24"/>
          <w:szCs w:val="24"/>
        </w:rPr>
        <w:t>3.1.5.3</w:t>
      </w:r>
      <w:r>
        <w:rPr>
          <w:rFonts w:ascii="Times New Roman" w:hAnsi="Times New Roman"/>
          <w:sz w:val="24"/>
          <w:szCs w:val="24"/>
        </w:rPr>
        <w:t>通信</w:t>
      </w:r>
    </w:p>
    <w:p w14:paraId="5D8AAA36" w14:textId="77777777" w:rsidR="007D1E74" w:rsidRDefault="00A95641">
      <w:pPr>
        <w:spacing w:line="360" w:lineRule="auto"/>
        <w:ind w:firstLineChars="200" w:firstLine="480"/>
        <w:rPr>
          <w:sz w:val="24"/>
        </w:rPr>
      </w:pPr>
      <w:r>
        <w:rPr>
          <w:sz w:val="24"/>
        </w:rPr>
        <w:t>本工程新建集输管线采用同沟敷设</w:t>
      </w:r>
      <w:r>
        <w:rPr>
          <w:sz w:val="24"/>
        </w:rPr>
        <w:t>24</w:t>
      </w:r>
      <w:r>
        <w:rPr>
          <w:sz w:val="24"/>
        </w:rPr>
        <w:t>芯光缆方式作为</w:t>
      </w:r>
      <w:r>
        <w:rPr>
          <w:sz w:val="24"/>
        </w:rPr>
        <w:t>SCADA</w:t>
      </w:r>
      <w:r>
        <w:rPr>
          <w:sz w:val="24"/>
        </w:rPr>
        <w:t>系统数据传输的主</w:t>
      </w:r>
      <w:r>
        <w:rPr>
          <w:sz w:val="24"/>
        </w:rPr>
        <w:lastRenderedPageBreak/>
        <w:t>要通道，采用租用通信公网电路方案作为</w:t>
      </w:r>
      <w:r>
        <w:rPr>
          <w:sz w:val="24"/>
        </w:rPr>
        <w:t xml:space="preserve">SCADA </w:t>
      </w:r>
      <w:r>
        <w:rPr>
          <w:sz w:val="24"/>
        </w:rPr>
        <w:t>数据传输备用通信方式。</w:t>
      </w:r>
    </w:p>
    <w:p w14:paraId="2BB0D0C1" w14:textId="77777777" w:rsidR="007D1E74" w:rsidRDefault="00A95641">
      <w:pPr>
        <w:spacing w:line="360" w:lineRule="auto"/>
        <w:outlineLvl w:val="2"/>
        <w:rPr>
          <w:b/>
          <w:sz w:val="28"/>
          <w:szCs w:val="28"/>
        </w:rPr>
      </w:pPr>
      <w:r>
        <w:rPr>
          <w:b/>
          <w:sz w:val="28"/>
          <w:szCs w:val="28"/>
        </w:rPr>
        <w:t>3.1.6</w:t>
      </w:r>
      <w:r>
        <w:rPr>
          <w:b/>
          <w:sz w:val="28"/>
          <w:szCs w:val="28"/>
        </w:rPr>
        <w:t>临时工程施工布局</w:t>
      </w:r>
    </w:p>
    <w:p w14:paraId="39454E9C" w14:textId="77777777" w:rsidR="007D1E74" w:rsidRDefault="00A95641">
      <w:pPr>
        <w:spacing w:line="360" w:lineRule="auto"/>
        <w:ind w:firstLineChars="200" w:firstLine="480"/>
        <w:rPr>
          <w:sz w:val="24"/>
        </w:rPr>
      </w:pPr>
      <w:r>
        <w:rPr>
          <w:sz w:val="24"/>
        </w:rPr>
        <w:t>根据以往施工经验，施工队伍除业主方的施工技术人员外，其余均雇佣当地的民工，</w:t>
      </w:r>
      <w:r>
        <w:rPr>
          <w:sz w:val="24"/>
        </w:rPr>
        <w:t xml:space="preserve"> </w:t>
      </w:r>
      <w:r>
        <w:rPr>
          <w:sz w:val="24"/>
        </w:rPr>
        <w:t>项目不建设施工营地，施工队伍的吃住一般依托当地的居民，施工是分段分期进行，因此，项目不设置施工生活区，临时工程包括为方便车辆、管材等运输的临时施工道路和堆放管材、设备的临时材料堆场。</w:t>
      </w:r>
    </w:p>
    <w:p w14:paraId="32E58FFD" w14:textId="77777777" w:rsidR="007D1E74" w:rsidRDefault="00A95641">
      <w:pPr>
        <w:pStyle w:val="41"/>
        <w:tabs>
          <w:tab w:val="left" w:pos="860"/>
        </w:tabs>
        <w:spacing w:line="360" w:lineRule="auto"/>
        <w:jc w:val="left"/>
        <w:rPr>
          <w:rFonts w:ascii="Times New Roman" w:hAnsi="Times New Roman"/>
          <w:sz w:val="24"/>
          <w:szCs w:val="24"/>
        </w:rPr>
      </w:pPr>
      <w:r>
        <w:rPr>
          <w:rFonts w:ascii="Times New Roman" w:hAnsi="Times New Roman"/>
          <w:sz w:val="24"/>
          <w:szCs w:val="24"/>
        </w:rPr>
        <w:t>3.1.6.1</w:t>
      </w:r>
      <w:r>
        <w:rPr>
          <w:rFonts w:ascii="Times New Roman" w:hAnsi="Times New Roman"/>
          <w:sz w:val="24"/>
          <w:szCs w:val="24"/>
        </w:rPr>
        <w:t>施工道路</w:t>
      </w:r>
    </w:p>
    <w:p w14:paraId="2BD1A42B" w14:textId="77777777" w:rsidR="007D1E74" w:rsidRDefault="00A95641">
      <w:pPr>
        <w:spacing w:line="360" w:lineRule="auto"/>
        <w:ind w:firstLineChars="200" w:firstLine="480"/>
        <w:rPr>
          <w:sz w:val="24"/>
        </w:rPr>
      </w:pPr>
      <w:r>
        <w:rPr>
          <w:sz w:val="24"/>
        </w:rPr>
        <w:t>项目所在地区交通比较方便，但是由于本项目绝大部分经过山林地貌，从山脊通过，植被茂盛，交通条件差，项目在施工期间还需要布置总长约</w:t>
      </w:r>
      <w:r>
        <w:rPr>
          <w:sz w:val="24"/>
        </w:rPr>
        <w:t>2km</w:t>
      </w:r>
      <w:r>
        <w:rPr>
          <w:sz w:val="24"/>
        </w:rPr>
        <w:t>的施工道路连接临时材料堆场各工区现有可利用公路，以满足本项目施工交通要求。施工道路临时占地</w:t>
      </w:r>
      <w:r>
        <w:rPr>
          <w:sz w:val="24"/>
        </w:rPr>
        <w:t xml:space="preserve"> 0.9hm</w:t>
      </w:r>
      <w:r>
        <w:rPr>
          <w:sz w:val="24"/>
          <w:vertAlign w:val="superscript"/>
        </w:rPr>
        <w:t>2</w:t>
      </w:r>
      <w:r>
        <w:rPr>
          <w:sz w:val="24"/>
        </w:rPr>
        <w:t>，使用结束后及时迹地恢复。</w:t>
      </w:r>
    </w:p>
    <w:p w14:paraId="2493D57F" w14:textId="77777777" w:rsidR="007D1E74" w:rsidRDefault="00A95641">
      <w:pPr>
        <w:pStyle w:val="41"/>
        <w:tabs>
          <w:tab w:val="left" w:pos="860"/>
        </w:tabs>
        <w:spacing w:line="360" w:lineRule="auto"/>
        <w:jc w:val="left"/>
        <w:rPr>
          <w:rFonts w:ascii="Times New Roman" w:hAnsi="Times New Roman"/>
          <w:sz w:val="24"/>
          <w:szCs w:val="24"/>
        </w:rPr>
      </w:pPr>
      <w:r>
        <w:rPr>
          <w:rFonts w:ascii="Times New Roman" w:hAnsi="Times New Roman"/>
          <w:sz w:val="24"/>
          <w:szCs w:val="24"/>
        </w:rPr>
        <w:t>3.1.6.2</w:t>
      </w:r>
      <w:r>
        <w:rPr>
          <w:rFonts w:ascii="Times New Roman" w:hAnsi="Times New Roman"/>
          <w:sz w:val="24"/>
          <w:szCs w:val="24"/>
        </w:rPr>
        <w:t>临时材料堆场</w:t>
      </w:r>
    </w:p>
    <w:p w14:paraId="567234BD" w14:textId="77777777" w:rsidR="007D1E74" w:rsidRDefault="00A95641">
      <w:pPr>
        <w:spacing w:line="360" w:lineRule="auto"/>
        <w:ind w:firstLineChars="200" w:firstLine="480"/>
        <w:rPr>
          <w:b/>
        </w:rPr>
      </w:pPr>
      <w:r>
        <w:rPr>
          <w:sz w:val="24"/>
        </w:rPr>
        <w:t>根据主体工程施工组织设计，工程建设过程中需设置临时材料堆场，共设置</w:t>
      </w:r>
      <w:r>
        <w:rPr>
          <w:sz w:val="24"/>
        </w:rPr>
        <w:t>3</w:t>
      </w:r>
      <w:r>
        <w:rPr>
          <w:sz w:val="24"/>
        </w:rPr>
        <w:t>处，</w:t>
      </w:r>
      <w:r>
        <w:rPr>
          <w:sz w:val="24"/>
        </w:rPr>
        <w:t xml:space="preserve"> </w:t>
      </w:r>
      <w:r>
        <w:rPr>
          <w:sz w:val="24"/>
        </w:rPr>
        <w:t>全部为临时材料堆场，临时材料堆场共占地</w:t>
      </w:r>
      <w:r>
        <w:rPr>
          <w:sz w:val="24"/>
        </w:rPr>
        <w:t>0.045hm</w:t>
      </w:r>
      <w:r>
        <w:rPr>
          <w:sz w:val="24"/>
          <w:vertAlign w:val="superscript"/>
        </w:rPr>
        <w:t>2</w:t>
      </w:r>
      <w:r>
        <w:rPr>
          <w:sz w:val="24"/>
        </w:rPr>
        <w:t>，用于堆放管材、设备等，在项目建成后对堆场进行植被恢复。施工结束后将及时迹地恢复，不会当地生活生产、生态环境造成太大影响。临时材料堆场沿项目管道沿线设置，评价要求在临时材料堆场选址过程中，应尽量选取管道沿线的荒地，尽可能少占用林地，需远离居民点设置，减少在堆管、运管过程中对居民的影响，尽量选取现有道路可以达到的位置，减少施工便道的建设量。</w:t>
      </w:r>
    </w:p>
    <w:p w14:paraId="765E1B10" w14:textId="77777777" w:rsidR="007D1E74" w:rsidRDefault="00A95641">
      <w:pPr>
        <w:jc w:val="center"/>
        <w:rPr>
          <w:b/>
        </w:rPr>
      </w:pPr>
      <w:r>
        <w:rPr>
          <w:b/>
        </w:rPr>
        <w:t>表</w:t>
      </w:r>
      <w:r>
        <w:rPr>
          <w:b/>
        </w:rPr>
        <w:t xml:space="preserve">3.1-13  </w:t>
      </w:r>
      <w:r>
        <w:rPr>
          <w:b/>
        </w:rPr>
        <w:t>临时材料堆场设置</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7"/>
        <w:gridCol w:w="4875"/>
        <w:gridCol w:w="1163"/>
        <w:gridCol w:w="826"/>
        <w:gridCol w:w="773"/>
        <w:gridCol w:w="622"/>
      </w:tblGrid>
      <w:tr w:rsidR="007D1E74" w14:paraId="212E6585" w14:textId="77777777">
        <w:trPr>
          <w:trHeight w:val="258"/>
          <w:jc w:val="center"/>
        </w:trPr>
        <w:tc>
          <w:tcPr>
            <w:tcW w:w="579" w:type="dxa"/>
            <w:vMerge w:val="restart"/>
            <w:vAlign w:val="center"/>
          </w:tcPr>
          <w:p w14:paraId="13411DF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序号</w:t>
            </w:r>
          </w:p>
        </w:tc>
        <w:tc>
          <w:tcPr>
            <w:tcW w:w="4905" w:type="dxa"/>
            <w:vMerge w:val="restart"/>
            <w:vAlign w:val="center"/>
          </w:tcPr>
          <w:p w14:paraId="4426540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项目名称</w:t>
            </w:r>
          </w:p>
        </w:tc>
        <w:tc>
          <w:tcPr>
            <w:tcW w:w="1170" w:type="dxa"/>
            <w:vMerge w:val="restart"/>
            <w:vAlign w:val="center"/>
          </w:tcPr>
          <w:p w14:paraId="0D729A9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临时材料堆场数量</w:t>
            </w:r>
            <w:r>
              <w:rPr>
                <w:rFonts w:ascii="Times New Roman" w:hAnsi="Times New Roman"/>
                <w:sz w:val="21"/>
                <w:szCs w:val="21"/>
              </w:rPr>
              <w:t>(</w:t>
            </w:r>
            <w:r>
              <w:rPr>
                <w:rFonts w:ascii="Times New Roman" w:hAnsi="Times New Roman"/>
                <w:sz w:val="21"/>
                <w:szCs w:val="21"/>
              </w:rPr>
              <w:t>个</w:t>
            </w:r>
            <w:r>
              <w:rPr>
                <w:rFonts w:ascii="Times New Roman" w:hAnsi="Times New Roman"/>
                <w:sz w:val="21"/>
                <w:szCs w:val="21"/>
              </w:rPr>
              <w:t>)</w:t>
            </w:r>
          </w:p>
        </w:tc>
        <w:tc>
          <w:tcPr>
            <w:tcW w:w="2235" w:type="dxa"/>
            <w:gridSpan w:val="3"/>
            <w:vAlign w:val="center"/>
          </w:tcPr>
          <w:p w14:paraId="00A0501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土地利用现状</w:t>
            </w:r>
            <w:r>
              <w:rPr>
                <w:rFonts w:ascii="Times New Roman" w:hAnsi="Times New Roman"/>
                <w:sz w:val="21"/>
                <w:szCs w:val="21"/>
              </w:rPr>
              <w:t>(m</w:t>
            </w:r>
            <w:r>
              <w:rPr>
                <w:rFonts w:ascii="Times New Roman" w:hAnsi="Times New Roman"/>
                <w:sz w:val="21"/>
                <w:szCs w:val="21"/>
                <w:vertAlign w:val="superscript"/>
              </w:rPr>
              <w:t>2</w:t>
            </w:r>
            <w:r>
              <w:rPr>
                <w:rFonts w:ascii="Times New Roman" w:hAnsi="Times New Roman"/>
                <w:sz w:val="21"/>
                <w:szCs w:val="21"/>
              </w:rPr>
              <w:t>)</w:t>
            </w:r>
          </w:p>
        </w:tc>
      </w:tr>
      <w:tr w:rsidR="007D1E74" w14:paraId="1B32A2A9" w14:textId="77777777">
        <w:trPr>
          <w:trHeight w:val="261"/>
          <w:jc w:val="center"/>
        </w:trPr>
        <w:tc>
          <w:tcPr>
            <w:tcW w:w="579" w:type="dxa"/>
            <w:vMerge/>
            <w:vAlign w:val="center"/>
          </w:tcPr>
          <w:p w14:paraId="0BF951E6" w14:textId="77777777" w:rsidR="007D1E74" w:rsidRDefault="007D1E74">
            <w:pPr>
              <w:jc w:val="center"/>
              <w:rPr>
                <w:szCs w:val="21"/>
              </w:rPr>
            </w:pPr>
          </w:p>
        </w:tc>
        <w:tc>
          <w:tcPr>
            <w:tcW w:w="4905" w:type="dxa"/>
            <w:vMerge/>
            <w:vAlign w:val="center"/>
          </w:tcPr>
          <w:p w14:paraId="76C79478" w14:textId="77777777" w:rsidR="007D1E74" w:rsidRDefault="007D1E74">
            <w:pPr>
              <w:pStyle w:val="TableParagraph"/>
              <w:adjustRightInd/>
              <w:jc w:val="center"/>
              <w:rPr>
                <w:rFonts w:ascii="Times New Roman" w:hAnsi="Times New Roman"/>
                <w:sz w:val="21"/>
                <w:szCs w:val="21"/>
              </w:rPr>
            </w:pPr>
          </w:p>
        </w:tc>
        <w:tc>
          <w:tcPr>
            <w:tcW w:w="1170" w:type="dxa"/>
            <w:vMerge/>
            <w:vAlign w:val="center"/>
          </w:tcPr>
          <w:p w14:paraId="6197B2B8" w14:textId="77777777" w:rsidR="007D1E74" w:rsidRDefault="007D1E74">
            <w:pPr>
              <w:pStyle w:val="TableParagraph"/>
              <w:adjustRightInd/>
              <w:jc w:val="center"/>
              <w:rPr>
                <w:rFonts w:ascii="Times New Roman" w:hAnsi="Times New Roman"/>
                <w:sz w:val="21"/>
                <w:szCs w:val="21"/>
              </w:rPr>
            </w:pPr>
          </w:p>
        </w:tc>
        <w:tc>
          <w:tcPr>
            <w:tcW w:w="831" w:type="dxa"/>
            <w:vAlign w:val="center"/>
          </w:tcPr>
          <w:p w14:paraId="13B02D7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耕地</w:t>
            </w:r>
          </w:p>
        </w:tc>
        <w:tc>
          <w:tcPr>
            <w:tcW w:w="778" w:type="dxa"/>
            <w:vAlign w:val="center"/>
          </w:tcPr>
          <w:p w14:paraId="68CCE1EE"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林地</w:t>
            </w:r>
          </w:p>
        </w:tc>
        <w:tc>
          <w:tcPr>
            <w:tcW w:w="626" w:type="dxa"/>
            <w:vAlign w:val="center"/>
          </w:tcPr>
          <w:p w14:paraId="17044E0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小计</w:t>
            </w:r>
          </w:p>
        </w:tc>
      </w:tr>
      <w:tr w:rsidR="007D1E74" w14:paraId="2BE25681" w14:textId="77777777">
        <w:trPr>
          <w:trHeight w:val="258"/>
          <w:jc w:val="center"/>
        </w:trPr>
        <w:tc>
          <w:tcPr>
            <w:tcW w:w="579" w:type="dxa"/>
            <w:vAlign w:val="center"/>
          </w:tcPr>
          <w:p w14:paraId="0096FCBF"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1</w:t>
            </w:r>
          </w:p>
        </w:tc>
        <w:tc>
          <w:tcPr>
            <w:tcW w:w="4905" w:type="dxa"/>
            <w:vAlign w:val="center"/>
          </w:tcPr>
          <w:p w14:paraId="3B6AEC93"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马</w:t>
            </w:r>
            <w:r>
              <w:rPr>
                <w:rFonts w:ascii="Times New Roman" w:hAnsi="Times New Roman"/>
                <w:sz w:val="21"/>
                <w:szCs w:val="21"/>
              </w:rPr>
              <w:t>1-10H</w:t>
            </w:r>
            <w:r>
              <w:rPr>
                <w:rFonts w:ascii="Times New Roman" w:hAnsi="Times New Roman"/>
                <w:sz w:val="21"/>
                <w:szCs w:val="21"/>
              </w:rPr>
              <w:t>采气井场至马</w:t>
            </w:r>
            <w:r>
              <w:rPr>
                <w:rFonts w:ascii="Times New Roman" w:hAnsi="Times New Roman"/>
                <w:sz w:val="21"/>
                <w:szCs w:val="21"/>
              </w:rPr>
              <w:t>1-1</w:t>
            </w:r>
            <w:r>
              <w:rPr>
                <w:rFonts w:ascii="Times New Roman" w:hAnsi="Times New Roman"/>
                <w:sz w:val="21"/>
                <w:szCs w:val="21"/>
              </w:rPr>
              <w:t>集气支线</w:t>
            </w:r>
          </w:p>
        </w:tc>
        <w:tc>
          <w:tcPr>
            <w:tcW w:w="1170" w:type="dxa"/>
            <w:vAlign w:val="center"/>
          </w:tcPr>
          <w:p w14:paraId="10029E4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w:t>
            </w:r>
          </w:p>
        </w:tc>
        <w:tc>
          <w:tcPr>
            <w:tcW w:w="831" w:type="dxa"/>
            <w:vAlign w:val="center"/>
          </w:tcPr>
          <w:p w14:paraId="4F7F6ED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265</w:t>
            </w:r>
          </w:p>
        </w:tc>
        <w:tc>
          <w:tcPr>
            <w:tcW w:w="778" w:type="dxa"/>
            <w:vAlign w:val="center"/>
          </w:tcPr>
          <w:p w14:paraId="66CC5F3C" w14:textId="77777777" w:rsidR="007D1E74" w:rsidRDefault="007D1E74">
            <w:pPr>
              <w:pStyle w:val="TableParagraph"/>
              <w:adjustRightInd/>
              <w:jc w:val="center"/>
              <w:rPr>
                <w:rFonts w:ascii="Times New Roman" w:hAnsi="Times New Roman"/>
                <w:sz w:val="21"/>
                <w:szCs w:val="21"/>
              </w:rPr>
            </w:pPr>
          </w:p>
        </w:tc>
        <w:tc>
          <w:tcPr>
            <w:tcW w:w="626" w:type="dxa"/>
            <w:vAlign w:val="center"/>
          </w:tcPr>
          <w:p w14:paraId="496E69E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265</w:t>
            </w:r>
          </w:p>
        </w:tc>
      </w:tr>
      <w:tr w:rsidR="007D1E74" w14:paraId="65E9BBE5" w14:textId="77777777">
        <w:trPr>
          <w:trHeight w:val="258"/>
          <w:jc w:val="center"/>
        </w:trPr>
        <w:tc>
          <w:tcPr>
            <w:tcW w:w="579" w:type="dxa"/>
            <w:vAlign w:val="center"/>
          </w:tcPr>
          <w:p w14:paraId="251D6F8D"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2</w:t>
            </w:r>
          </w:p>
        </w:tc>
        <w:tc>
          <w:tcPr>
            <w:tcW w:w="4905" w:type="dxa"/>
            <w:vAlign w:val="center"/>
          </w:tcPr>
          <w:p w14:paraId="754D422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马</w:t>
            </w:r>
            <w:r>
              <w:rPr>
                <w:rFonts w:ascii="Times New Roman" w:hAnsi="Times New Roman"/>
                <w:sz w:val="21"/>
                <w:szCs w:val="21"/>
              </w:rPr>
              <w:t>1-1</w:t>
            </w:r>
            <w:r>
              <w:rPr>
                <w:rFonts w:ascii="Times New Roman" w:hAnsi="Times New Roman"/>
                <w:sz w:val="21"/>
                <w:szCs w:val="21"/>
              </w:rPr>
              <w:t>采气井场至干线</w:t>
            </w:r>
          </w:p>
        </w:tc>
        <w:tc>
          <w:tcPr>
            <w:tcW w:w="1170" w:type="dxa"/>
          </w:tcPr>
          <w:p w14:paraId="2FEF820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w:t>
            </w:r>
          </w:p>
        </w:tc>
        <w:tc>
          <w:tcPr>
            <w:tcW w:w="831" w:type="dxa"/>
            <w:vAlign w:val="center"/>
          </w:tcPr>
          <w:p w14:paraId="125CE2E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120</w:t>
            </w:r>
          </w:p>
        </w:tc>
        <w:tc>
          <w:tcPr>
            <w:tcW w:w="778" w:type="dxa"/>
            <w:vAlign w:val="center"/>
          </w:tcPr>
          <w:p w14:paraId="1079518C" w14:textId="77777777" w:rsidR="007D1E74" w:rsidRDefault="007D1E74">
            <w:pPr>
              <w:pStyle w:val="TableParagraph"/>
              <w:adjustRightInd/>
              <w:jc w:val="center"/>
              <w:rPr>
                <w:rFonts w:ascii="Times New Roman" w:hAnsi="Times New Roman"/>
                <w:sz w:val="21"/>
                <w:szCs w:val="21"/>
              </w:rPr>
            </w:pPr>
          </w:p>
        </w:tc>
        <w:tc>
          <w:tcPr>
            <w:tcW w:w="626" w:type="dxa"/>
            <w:vAlign w:val="center"/>
          </w:tcPr>
          <w:p w14:paraId="193A1FF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120</w:t>
            </w:r>
          </w:p>
        </w:tc>
      </w:tr>
      <w:tr w:rsidR="007D1E74" w14:paraId="240C2CFA" w14:textId="77777777">
        <w:trPr>
          <w:trHeight w:val="258"/>
          <w:jc w:val="center"/>
        </w:trPr>
        <w:tc>
          <w:tcPr>
            <w:tcW w:w="579" w:type="dxa"/>
            <w:vAlign w:val="center"/>
          </w:tcPr>
          <w:p w14:paraId="52DA269E" w14:textId="77777777" w:rsidR="007D1E74" w:rsidRDefault="00A95641">
            <w:pPr>
              <w:pStyle w:val="TableParagraph"/>
              <w:adjustRightInd/>
              <w:jc w:val="center"/>
              <w:rPr>
                <w:rFonts w:ascii="Times New Roman" w:hAnsi="Times New Roman"/>
                <w:w w:val="99"/>
                <w:sz w:val="21"/>
                <w:szCs w:val="21"/>
              </w:rPr>
            </w:pPr>
            <w:r>
              <w:rPr>
                <w:rFonts w:ascii="Times New Roman" w:hAnsi="Times New Roman"/>
                <w:w w:val="99"/>
                <w:sz w:val="21"/>
                <w:szCs w:val="21"/>
              </w:rPr>
              <w:t>3</w:t>
            </w:r>
          </w:p>
        </w:tc>
        <w:tc>
          <w:tcPr>
            <w:tcW w:w="4905" w:type="dxa"/>
            <w:vAlign w:val="center"/>
          </w:tcPr>
          <w:p w14:paraId="160860D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马</w:t>
            </w:r>
            <w:r>
              <w:rPr>
                <w:rFonts w:ascii="Times New Roman" w:hAnsi="Times New Roman"/>
                <w:sz w:val="21"/>
                <w:szCs w:val="21"/>
              </w:rPr>
              <w:t>1-13H</w:t>
            </w:r>
            <w:r>
              <w:rPr>
                <w:rFonts w:ascii="Times New Roman" w:hAnsi="Times New Roman"/>
                <w:sz w:val="21"/>
                <w:szCs w:val="21"/>
              </w:rPr>
              <w:t>采气井场至干线</w:t>
            </w:r>
          </w:p>
        </w:tc>
        <w:tc>
          <w:tcPr>
            <w:tcW w:w="1170" w:type="dxa"/>
          </w:tcPr>
          <w:p w14:paraId="5A7862C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w:t>
            </w:r>
          </w:p>
        </w:tc>
        <w:tc>
          <w:tcPr>
            <w:tcW w:w="831" w:type="dxa"/>
            <w:vAlign w:val="center"/>
          </w:tcPr>
          <w:p w14:paraId="57729FD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65</w:t>
            </w:r>
          </w:p>
        </w:tc>
        <w:tc>
          <w:tcPr>
            <w:tcW w:w="778" w:type="dxa"/>
            <w:vAlign w:val="center"/>
          </w:tcPr>
          <w:p w14:paraId="636A1D38" w14:textId="77777777" w:rsidR="007D1E74" w:rsidRDefault="007D1E74">
            <w:pPr>
              <w:pStyle w:val="TableParagraph"/>
              <w:adjustRightInd/>
              <w:jc w:val="center"/>
              <w:rPr>
                <w:rFonts w:ascii="Times New Roman" w:hAnsi="Times New Roman"/>
                <w:sz w:val="21"/>
                <w:szCs w:val="21"/>
              </w:rPr>
            </w:pPr>
          </w:p>
        </w:tc>
        <w:tc>
          <w:tcPr>
            <w:tcW w:w="626" w:type="dxa"/>
            <w:vAlign w:val="center"/>
          </w:tcPr>
          <w:p w14:paraId="78EFD6B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65</w:t>
            </w:r>
          </w:p>
        </w:tc>
      </w:tr>
      <w:tr w:rsidR="007D1E74" w14:paraId="5FF46F89" w14:textId="77777777">
        <w:trPr>
          <w:trHeight w:val="261"/>
          <w:jc w:val="center"/>
        </w:trPr>
        <w:tc>
          <w:tcPr>
            <w:tcW w:w="579" w:type="dxa"/>
            <w:vAlign w:val="center"/>
          </w:tcPr>
          <w:p w14:paraId="02264339" w14:textId="77777777" w:rsidR="007D1E74" w:rsidRDefault="007D1E74">
            <w:pPr>
              <w:pStyle w:val="TableParagraph"/>
              <w:adjustRightInd/>
              <w:jc w:val="center"/>
              <w:rPr>
                <w:rFonts w:ascii="Times New Roman" w:hAnsi="Times New Roman"/>
                <w:sz w:val="21"/>
                <w:szCs w:val="21"/>
              </w:rPr>
            </w:pPr>
          </w:p>
        </w:tc>
        <w:tc>
          <w:tcPr>
            <w:tcW w:w="4905" w:type="dxa"/>
            <w:vAlign w:val="center"/>
          </w:tcPr>
          <w:p w14:paraId="10ED915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合计</w:t>
            </w:r>
          </w:p>
        </w:tc>
        <w:tc>
          <w:tcPr>
            <w:tcW w:w="1170" w:type="dxa"/>
            <w:vAlign w:val="center"/>
          </w:tcPr>
          <w:p w14:paraId="04EE645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3</w:t>
            </w:r>
          </w:p>
        </w:tc>
        <w:tc>
          <w:tcPr>
            <w:tcW w:w="831" w:type="dxa"/>
            <w:vAlign w:val="center"/>
          </w:tcPr>
          <w:p w14:paraId="488C605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450</w:t>
            </w:r>
          </w:p>
        </w:tc>
        <w:tc>
          <w:tcPr>
            <w:tcW w:w="778" w:type="dxa"/>
            <w:vAlign w:val="center"/>
          </w:tcPr>
          <w:p w14:paraId="4C595B7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w:t>
            </w:r>
          </w:p>
        </w:tc>
        <w:tc>
          <w:tcPr>
            <w:tcW w:w="626" w:type="dxa"/>
            <w:vAlign w:val="center"/>
          </w:tcPr>
          <w:p w14:paraId="1B1717B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450</w:t>
            </w:r>
          </w:p>
        </w:tc>
      </w:tr>
    </w:tbl>
    <w:p w14:paraId="3F67C83D" w14:textId="77777777" w:rsidR="007D1E74" w:rsidRDefault="00A95641">
      <w:pPr>
        <w:spacing w:line="360" w:lineRule="auto"/>
        <w:outlineLvl w:val="2"/>
        <w:rPr>
          <w:b/>
          <w:sz w:val="28"/>
          <w:szCs w:val="28"/>
        </w:rPr>
      </w:pPr>
      <w:r>
        <w:rPr>
          <w:b/>
          <w:sz w:val="28"/>
          <w:szCs w:val="28"/>
        </w:rPr>
        <w:t>3.1.7</w:t>
      </w:r>
      <w:r>
        <w:rPr>
          <w:b/>
          <w:sz w:val="28"/>
          <w:szCs w:val="28"/>
        </w:rPr>
        <w:t>拆迁安置工程</w:t>
      </w:r>
    </w:p>
    <w:p w14:paraId="0B79B477" w14:textId="77777777" w:rsidR="007D1E74" w:rsidRDefault="00A95641">
      <w:pPr>
        <w:spacing w:line="360" w:lineRule="auto"/>
        <w:ind w:firstLineChars="200" w:firstLine="480"/>
        <w:rPr>
          <w:sz w:val="24"/>
        </w:rPr>
      </w:pPr>
      <w:r>
        <w:rPr>
          <w:sz w:val="24"/>
        </w:rPr>
        <w:t>本工程建设前，对管道沿线民房进行调查，无需拆迁，本项目不涉及工程拆迁和环保拆迁。</w:t>
      </w:r>
    </w:p>
    <w:p w14:paraId="570CE6B6" w14:textId="77777777" w:rsidR="007D1E74" w:rsidRDefault="00A95641">
      <w:pPr>
        <w:spacing w:line="360" w:lineRule="auto"/>
        <w:outlineLvl w:val="2"/>
        <w:rPr>
          <w:b/>
          <w:sz w:val="28"/>
          <w:szCs w:val="28"/>
        </w:rPr>
      </w:pPr>
      <w:r>
        <w:rPr>
          <w:b/>
          <w:sz w:val="28"/>
          <w:szCs w:val="28"/>
        </w:rPr>
        <w:t>3.1.8</w:t>
      </w:r>
      <w:r>
        <w:rPr>
          <w:b/>
          <w:sz w:val="28"/>
          <w:szCs w:val="28"/>
        </w:rPr>
        <w:t>项目占地</w:t>
      </w:r>
    </w:p>
    <w:p w14:paraId="24FBB7C6" w14:textId="77777777" w:rsidR="007D1E74" w:rsidRDefault="00A95641">
      <w:pPr>
        <w:pStyle w:val="affffff0"/>
        <w:spacing w:line="360" w:lineRule="auto"/>
        <w:ind w:firstLineChars="200" w:firstLine="480"/>
        <w:rPr>
          <w:rFonts w:ascii="Times New Roman" w:hAnsi="Times New Roman" w:cs="Times New Roman"/>
        </w:rPr>
      </w:pPr>
      <w:r>
        <w:rPr>
          <w:rFonts w:ascii="Times New Roman" w:hAnsi="Times New Roman" w:cs="Times New Roman"/>
        </w:rPr>
        <w:t>项目直接影响区为天然气管道开挖工程占地及施工作业带的区域，包括线路定线、</w:t>
      </w:r>
      <w:r>
        <w:rPr>
          <w:rFonts w:ascii="Times New Roman" w:hAnsi="Times New Roman" w:cs="Times New Roman"/>
        </w:rPr>
        <w:lastRenderedPageBreak/>
        <w:t>管道敷设、管道安装与检验、管道试压与吹扫、线路附属工程、管道防腐、水工保护、通信光缆等，以及施工人员人为活动、生活垃圾、生活废水、施工产生的废气、废水、噪声、垃圾等带来的直接影响区域。根据管道施工特点并结合本工程实际，在一般地段，施工作业带考虑机械化施工所需要的宽度。施工作业带的宽度按照高陡边坡</w:t>
      </w:r>
      <w:r>
        <w:rPr>
          <w:rFonts w:ascii="Times New Roman" w:hAnsi="Times New Roman" w:cs="Times New Roman"/>
        </w:rPr>
        <w:t xml:space="preserve"> 12m</w:t>
      </w:r>
      <w:r>
        <w:rPr>
          <w:rFonts w:ascii="Times New Roman" w:hAnsi="Times New Roman" w:cs="Times New Roman"/>
        </w:rPr>
        <w:t>，普通段</w:t>
      </w:r>
      <w:r>
        <w:rPr>
          <w:rFonts w:ascii="Times New Roman" w:hAnsi="Times New Roman" w:cs="Times New Roman"/>
        </w:rPr>
        <w:t xml:space="preserve"> 10m</w:t>
      </w:r>
      <w:r>
        <w:rPr>
          <w:rFonts w:ascii="Times New Roman" w:hAnsi="Times New Roman" w:cs="Times New Roman"/>
        </w:rPr>
        <w:t>考虑。</w:t>
      </w:r>
    </w:p>
    <w:p w14:paraId="67C5F0BB" w14:textId="77777777" w:rsidR="007D1E74" w:rsidRDefault="00A95641">
      <w:pPr>
        <w:pStyle w:val="affffff0"/>
        <w:spacing w:line="360" w:lineRule="auto"/>
        <w:ind w:firstLineChars="200" w:firstLine="480"/>
        <w:rPr>
          <w:rFonts w:ascii="Times New Roman" w:hAnsi="Times New Roman" w:cs="Times New Roman"/>
        </w:rPr>
      </w:pPr>
      <w:r>
        <w:rPr>
          <w:rFonts w:ascii="Times New Roman" w:hAnsi="Times New Roman" w:cs="Times New Roman"/>
        </w:rPr>
        <w:t>项目配套建设的标识标牌等占地均为永久占地，环评要求该部分永久占地均不占用永久基本农田。经现场踏勘结合</w:t>
      </w:r>
      <w:r>
        <w:rPr>
          <w:rFonts w:ascii="Times New Roman" w:hAnsi="Times New Roman" w:cs="Times New Roman"/>
        </w:rPr>
        <w:t>ArcGIS</w:t>
      </w:r>
      <w:r>
        <w:rPr>
          <w:rFonts w:ascii="Times New Roman" w:hAnsi="Times New Roman" w:cs="Times New Roman"/>
        </w:rPr>
        <w:t>软件，项目占地情况见</w:t>
      </w:r>
      <w:hyperlink w:anchor="_bookmark42" w:history="1">
        <w:r>
          <w:rPr>
            <w:rFonts w:ascii="Times New Roman" w:hAnsi="Times New Roman" w:cs="Times New Roman"/>
          </w:rPr>
          <w:t>表</w:t>
        </w:r>
        <w:r>
          <w:rPr>
            <w:rFonts w:ascii="Times New Roman" w:hAnsi="Times New Roman" w:cs="Times New Roman"/>
          </w:rPr>
          <w:t>3.1-</w:t>
        </w:r>
      </w:hyperlink>
      <w:hyperlink w:anchor="_bookmark42" w:history="1">
        <w:r>
          <w:rPr>
            <w:rFonts w:ascii="Times New Roman" w:hAnsi="Times New Roman" w:cs="Times New Roman"/>
          </w:rPr>
          <w:t>14</w:t>
        </w:r>
      </w:hyperlink>
      <w:r>
        <w:rPr>
          <w:rFonts w:ascii="Times New Roman" w:hAnsi="Times New Roman" w:cs="Times New Roman"/>
        </w:rPr>
        <w:t>。</w:t>
      </w:r>
    </w:p>
    <w:p w14:paraId="2FB132EA" w14:textId="77777777" w:rsidR="007D1E74" w:rsidRDefault="00A95641">
      <w:pPr>
        <w:tabs>
          <w:tab w:val="left" w:pos="1070"/>
          <w:tab w:val="left" w:pos="3600"/>
        </w:tabs>
        <w:spacing w:before="102" w:after="20"/>
        <w:ind w:right="73"/>
        <w:jc w:val="center"/>
        <w:rPr>
          <w:b/>
        </w:rPr>
      </w:pPr>
      <w:r>
        <w:rPr>
          <w:b/>
        </w:rPr>
        <w:t>表</w:t>
      </w:r>
      <w:r>
        <w:rPr>
          <w:b/>
        </w:rPr>
        <w:t>3.1-14</w:t>
      </w:r>
      <w:r>
        <w:rPr>
          <w:b/>
        </w:rPr>
        <w:tab/>
      </w:r>
      <w:r>
        <w:rPr>
          <w:b/>
        </w:rPr>
        <w:t>沿线地表占地情况统计表</w:t>
      </w:r>
      <w:r>
        <w:rPr>
          <w:b/>
        </w:rPr>
        <w:tab/>
      </w:r>
      <w:r>
        <w:rPr>
          <w:b/>
        </w:rPr>
        <w:t>单位：</w:t>
      </w:r>
      <w:r>
        <w:rPr>
          <w:b/>
        </w:rPr>
        <w:t>hm</w:t>
      </w:r>
      <w:r>
        <w:rPr>
          <w:b/>
          <w:vertAlign w:val="superscript"/>
        </w:rPr>
        <w:t>2</w:t>
      </w:r>
    </w:p>
    <w:tbl>
      <w:tblPr>
        <w:tblW w:w="532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8"/>
        <w:gridCol w:w="1232"/>
        <w:gridCol w:w="826"/>
        <w:gridCol w:w="825"/>
        <w:gridCol w:w="826"/>
        <w:gridCol w:w="825"/>
        <w:gridCol w:w="826"/>
        <w:gridCol w:w="825"/>
        <w:gridCol w:w="826"/>
        <w:gridCol w:w="554"/>
        <w:gridCol w:w="418"/>
        <w:gridCol w:w="806"/>
      </w:tblGrid>
      <w:tr w:rsidR="007D1E74" w14:paraId="2DC98A6E" w14:textId="77777777">
        <w:trPr>
          <w:jc w:val="center"/>
        </w:trPr>
        <w:tc>
          <w:tcPr>
            <w:tcW w:w="2051" w:type="dxa"/>
            <w:gridSpan w:val="2"/>
            <w:vMerge w:val="restart"/>
            <w:shd w:val="clear" w:color="auto" w:fill="auto"/>
            <w:noWrap/>
            <w:vAlign w:val="center"/>
          </w:tcPr>
          <w:p w14:paraId="3BFB13F3" w14:textId="77777777" w:rsidR="007D1E74" w:rsidRDefault="00A95641">
            <w:pPr>
              <w:widowControl/>
              <w:jc w:val="center"/>
              <w:rPr>
                <w:b/>
                <w:bCs/>
                <w:kern w:val="0"/>
                <w:sz w:val="18"/>
                <w:szCs w:val="18"/>
              </w:rPr>
            </w:pPr>
            <w:r>
              <w:rPr>
                <w:b/>
                <w:bCs/>
                <w:kern w:val="0"/>
                <w:sz w:val="18"/>
                <w:szCs w:val="18"/>
              </w:rPr>
              <w:t>工程类型</w:t>
            </w:r>
          </w:p>
        </w:tc>
        <w:tc>
          <w:tcPr>
            <w:tcW w:w="4148" w:type="dxa"/>
            <w:gridSpan w:val="5"/>
          </w:tcPr>
          <w:p w14:paraId="2A391C0F" w14:textId="77777777" w:rsidR="007D1E74" w:rsidRDefault="00A95641">
            <w:pPr>
              <w:widowControl/>
              <w:jc w:val="center"/>
              <w:rPr>
                <w:b/>
                <w:bCs/>
                <w:kern w:val="0"/>
                <w:sz w:val="18"/>
                <w:szCs w:val="18"/>
              </w:rPr>
            </w:pPr>
            <w:r>
              <w:rPr>
                <w:b/>
                <w:bCs/>
                <w:kern w:val="0"/>
                <w:sz w:val="18"/>
                <w:szCs w:val="18"/>
              </w:rPr>
              <w:t>临时占地（</w:t>
            </w:r>
            <w:r>
              <w:rPr>
                <w:b/>
                <w:bCs/>
                <w:kern w:val="0"/>
                <w:sz w:val="18"/>
                <w:szCs w:val="18"/>
              </w:rPr>
              <w:t>hm</w:t>
            </w:r>
            <w:r>
              <w:rPr>
                <w:b/>
                <w:bCs/>
                <w:kern w:val="0"/>
                <w:sz w:val="18"/>
                <w:szCs w:val="18"/>
                <w:vertAlign w:val="superscript"/>
              </w:rPr>
              <w:t>2</w:t>
            </w:r>
            <w:r>
              <w:rPr>
                <w:b/>
                <w:bCs/>
                <w:kern w:val="0"/>
                <w:sz w:val="18"/>
                <w:szCs w:val="18"/>
              </w:rPr>
              <w:t>）</w:t>
            </w:r>
          </w:p>
        </w:tc>
        <w:tc>
          <w:tcPr>
            <w:tcW w:w="2634" w:type="dxa"/>
            <w:gridSpan w:val="4"/>
            <w:shd w:val="clear" w:color="auto" w:fill="auto"/>
            <w:noWrap/>
            <w:vAlign w:val="center"/>
          </w:tcPr>
          <w:p w14:paraId="6BF62990" w14:textId="77777777" w:rsidR="007D1E74" w:rsidRDefault="00A95641">
            <w:pPr>
              <w:widowControl/>
              <w:jc w:val="center"/>
              <w:rPr>
                <w:b/>
                <w:bCs/>
                <w:kern w:val="0"/>
                <w:sz w:val="18"/>
                <w:szCs w:val="18"/>
              </w:rPr>
            </w:pPr>
            <w:r>
              <w:rPr>
                <w:b/>
                <w:bCs/>
                <w:kern w:val="0"/>
                <w:sz w:val="18"/>
                <w:szCs w:val="18"/>
              </w:rPr>
              <w:t>永久占地（</w:t>
            </w:r>
            <w:r>
              <w:rPr>
                <w:b/>
                <w:bCs/>
                <w:kern w:val="0"/>
                <w:sz w:val="18"/>
                <w:szCs w:val="18"/>
              </w:rPr>
              <w:t>m</w:t>
            </w:r>
            <w:r>
              <w:rPr>
                <w:b/>
                <w:bCs/>
                <w:kern w:val="0"/>
                <w:sz w:val="18"/>
                <w:szCs w:val="18"/>
                <w:vertAlign w:val="superscript"/>
              </w:rPr>
              <w:t>2</w:t>
            </w:r>
            <w:r>
              <w:rPr>
                <w:b/>
                <w:bCs/>
                <w:kern w:val="0"/>
                <w:sz w:val="18"/>
                <w:szCs w:val="18"/>
              </w:rPr>
              <w:t>）</w:t>
            </w:r>
          </w:p>
        </w:tc>
        <w:tc>
          <w:tcPr>
            <w:tcW w:w="810" w:type="dxa"/>
            <w:vMerge w:val="restart"/>
            <w:vAlign w:val="center"/>
          </w:tcPr>
          <w:p w14:paraId="5DA56967" w14:textId="77777777" w:rsidR="007D1E74" w:rsidRDefault="00A95641">
            <w:pPr>
              <w:widowControl/>
              <w:jc w:val="center"/>
              <w:rPr>
                <w:b/>
                <w:bCs/>
                <w:kern w:val="0"/>
                <w:sz w:val="18"/>
                <w:szCs w:val="18"/>
              </w:rPr>
            </w:pPr>
            <w:r>
              <w:rPr>
                <w:b/>
                <w:bCs/>
                <w:kern w:val="0"/>
                <w:sz w:val="18"/>
                <w:szCs w:val="18"/>
              </w:rPr>
              <w:t>合计</w:t>
            </w:r>
          </w:p>
        </w:tc>
      </w:tr>
      <w:tr w:rsidR="007D1E74" w14:paraId="69FEE85C" w14:textId="77777777">
        <w:trPr>
          <w:trHeight w:val="282"/>
          <w:jc w:val="center"/>
        </w:trPr>
        <w:tc>
          <w:tcPr>
            <w:tcW w:w="2051" w:type="dxa"/>
            <w:gridSpan w:val="2"/>
            <w:vMerge/>
            <w:shd w:val="clear" w:color="auto" w:fill="auto"/>
            <w:noWrap/>
            <w:vAlign w:val="center"/>
          </w:tcPr>
          <w:p w14:paraId="27D07B06" w14:textId="77777777" w:rsidR="007D1E74" w:rsidRDefault="007D1E74">
            <w:pPr>
              <w:widowControl/>
              <w:jc w:val="center"/>
              <w:rPr>
                <w:b/>
                <w:bCs/>
                <w:kern w:val="0"/>
                <w:sz w:val="18"/>
                <w:szCs w:val="18"/>
              </w:rPr>
            </w:pPr>
          </w:p>
        </w:tc>
        <w:tc>
          <w:tcPr>
            <w:tcW w:w="830" w:type="dxa"/>
            <w:shd w:val="clear" w:color="auto" w:fill="auto"/>
            <w:noWrap/>
            <w:vAlign w:val="center"/>
          </w:tcPr>
          <w:p w14:paraId="040C5F96" w14:textId="77777777" w:rsidR="007D1E74" w:rsidRDefault="00A95641">
            <w:pPr>
              <w:widowControl/>
              <w:jc w:val="center"/>
              <w:rPr>
                <w:b/>
                <w:bCs/>
                <w:kern w:val="0"/>
                <w:sz w:val="18"/>
                <w:szCs w:val="18"/>
              </w:rPr>
            </w:pPr>
            <w:r>
              <w:rPr>
                <w:b/>
                <w:bCs/>
                <w:kern w:val="0"/>
                <w:sz w:val="18"/>
                <w:szCs w:val="18"/>
              </w:rPr>
              <w:t>耕地</w:t>
            </w:r>
          </w:p>
        </w:tc>
        <w:tc>
          <w:tcPr>
            <w:tcW w:w="829" w:type="dxa"/>
            <w:shd w:val="clear" w:color="auto" w:fill="auto"/>
            <w:noWrap/>
            <w:vAlign w:val="center"/>
          </w:tcPr>
          <w:p w14:paraId="69BBBF21" w14:textId="77777777" w:rsidR="007D1E74" w:rsidRDefault="00A95641">
            <w:pPr>
              <w:widowControl/>
              <w:jc w:val="center"/>
              <w:rPr>
                <w:b/>
                <w:bCs/>
                <w:kern w:val="0"/>
                <w:sz w:val="18"/>
                <w:szCs w:val="18"/>
              </w:rPr>
            </w:pPr>
            <w:r>
              <w:rPr>
                <w:b/>
                <w:bCs/>
                <w:kern w:val="0"/>
                <w:sz w:val="18"/>
                <w:szCs w:val="18"/>
              </w:rPr>
              <w:t>林地</w:t>
            </w:r>
          </w:p>
        </w:tc>
        <w:tc>
          <w:tcPr>
            <w:tcW w:w="830" w:type="dxa"/>
            <w:vAlign w:val="center"/>
          </w:tcPr>
          <w:p w14:paraId="62A03352" w14:textId="77777777" w:rsidR="007D1E74" w:rsidRDefault="00A95641">
            <w:pPr>
              <w:widowControl/>
              <w:jc w:val="center"/>
              <w:rPr>
                <w:b/>
                <w:bCs/>
                <w:kern w:val="0"/>
                <w:sz w:val="18"/>
                <w:szCs w:val="18"/>
              </w:rPr>
            </w:pPr>
            <w:r>
              <w:rPr>
                <w:b/>
                <w:bCs/>
                <w:kern w:val="0"/>
                <w:sz w:val="18"/>
                <w:szCs w:val="18"/>
              </w:rPr>
              <w:t>草地</w:t>
            </w:r>
          </w:p>
        </w:tc>
        <w:tc>
          <w:tcPr>
            <w:tcW w:w="829" w:type="dxa"/>
            <w:shd w:val="clear" w:color="auto" w:fill="auto"/>
            <w:noWrap/>
            <w:vAlign w:val="center"/>
          </w:tcPr>
          <w:p w14:paraId="36DDC4EE" w14:textId="77777777" w:rsidR="007D1E74" w:rsidRDefault="00A95641">
            <w:pPr>
              <w:widowControl/>
              <w:jc w:val="center"/>
              <w:rPr>
                <w:b/>
                <w:bCs/>
                <w:kern w:val="0"/>
                <w:sz w:val="18"/>
                <w:szCs w:val="18"/>
              </w:rPr>
            </w:pPr>
            <w:r>
              <w:rPr>
                <w:b/>
                <w:bCs/>
                <w:kern w:val="0"/>
                <w:sz w:val="18"/>
                <w:szCs w:val="18"/>
              </w:rPr>
              <w:t>水域</w:t>
            </w:r>
          </w:p>
        </w:tc>
        <w:tc>
          <w:tcPr>
            <w:tcW w:w="830" w:type="dxa"/>
            <w:shd w:val="clear" w:color="auto" w:fill="auto"/>
            <w:noWrap/>
            <w:vAlign w:val="center"/>
          </w:tcPr>
          <w:p w14:paraId="74D8A6C4" w14:textId="77777777" w:rsidR="007D1E74" w:rsidRDefault="00A95641">
            <w:pPr>
              <w:widowControl/>
              <w:jc w:val="center"/>
              <w:rPr>
                <w:b/>
                <w:bCs/>
                <w:kern w:val="0"/>
                <w:sz w:val="18"/>
                <w:szCs w:val="18"/>
              </w:rPr>
            </w:pPr>
            <w:r>
              <w:rPr>
                <w:b/>
                <w:bCs/>
                <w:kern w:val="0"/>
                <w:sz w:val="18"/>
                <w:szCs w:val="18"/>
              </w:rPr>
              <w:t>建筑</w:t>
            </w:r>
          </w:p>
          <w:p w14:paraId="368291E8" w14:textId="77777777" w:rsidR="007D1E74" w:rsidRDefault="00A95641">
            <w:pPr>
              <w:widowControl/>
              <w:jc w:val="center"/>
              <w:rPr>
                <w:b/>
                <w:bCs/>
                <w:kern w:val="0"/>
                <w:sz w:val="18"/>
                <w:szCs w:val="18"/>
              </w:rPr>
            </w:pPr>
            <w:r>
              <w:rPr>
                <w:b/>
                <w:bCs/>
                <w:kern w:val="0"/>
                <w:sz w:val="18"/>
                <w:szCs w:val="18"/>
              </w:rPr>
              <w:t>用地</w:t>
            </w:r>
          </w:p>
        </w:tc>
        <w:tc>
          <w:tcPr>
            <w:tcW w:w="829" w:type="dxa"/>
            <w:shd w:val="clear" w:color="auto" w:fill="auto"/>
            <w:noWrap/>
            <w:vAlign w:val="center"/>
          </w:tcPr>
          <w:p w14:paraId="4A244FEA" w14:textId="77777777" w:rsidR="007D1E74" w:rsidRDefault="00A95641">
            <w:pPr>
              <w:widowControl/>
              <w:jc w:val="center"/>
              <w:rPr>
                <w:b/>
                <w:bCs/>
                <w:kern w:val="0"/>
                <w:sz w:val="18"/>
                <w:szCs w:val="18"/>
              </w:rPr>
            </w:pPr>
            <w:r>
              <w:rPr>
                <w:b/>
                <w:bCs/>
                <w:kern w:val="0"/>
                <w:sz w:val="18"/>
                <w:szCs w:val="18"/>
              </w:rPr>
              <w:t>林地</w:t>
            </w:r>
          </w:p>
        </w:tc>
        <w:tc>
          <w:tcPr>
            <w:tcW w:w="830" w:type="dxa"/>
            <w:shd w:val="clear" w:color="auto" w:fill="auto"/>
            <w:noWrap/>
            <w:vAlign w:val="center"/>
          </w:tcPr>
          <w:p w14:paraId="6E1AADA7" w14:textId="77777777" w:rsidR="007D1E74" w:rsidRDefault="00A95641">
            <w:pPr>
              <w:widowControl/>
              <w:jc w:val="center"/>
              <w:rPr>
                <w:b/>
                <w:bCs/>
                <w:kern w:val="0"/>
                <w:sz w:val="18"/>
                <w:szCs w:val="18"/>
              </w:rPr>
            </w:pPr>
            <w:r>
              <w:rPr>
                <w:b/>
                <w:bCs/>
                <w:kern w:val="0"/>
                <w:sz w:val="18"/>
                <w:szCs w:val="18"/>
              </w:rPr>
              <w:t>耕地</w:t>
            </w:r>
          </w:p>
        </w:tc>
        <w:tc>
          <w:tcPr>
            <w:tcW w:w="556" w:type="dxa"/>
            <w:shd w:val="clear" w:color="auto" w:fill="auto"/>
            <w:noWrap/>
            <w:vAlign w:val="center"/>
          </w:tcPr>
          <w:p w14:paraId="1084E438" w14:textId="77777777" w:rsidR="007D1E74" w:rsidRDefault="00A95641">
            <w:pPr>
              <w:widowControl/>
              <w:jc w:val="center"/>
              <w:rPr>
                <w:b/>
                <w:bCs/>
                <w:kern w:val="0"/>
                <w:sz w:val="18"/>
                <w:szCs w:val="18"/>
              </w:rPr>
            </w:pPr>
            <w:r>
              <w:rPr>
                <w:b/>
                <w:bCs/>
                <w:kern w:val="0"/>
                <w:sz w:val="18"/>
                <w:szCs w:val="18"/>
              </w:rPr>
              <w:t>水域</w:t>
            </w:r>
          </w:p>
        </w:tc>
        <w:tc>
          <w:tcPr>
            <w:tcW w:w="419" w:type="dxa"/>
            <w:shd w:val="clear" w:color="auto" w:fill="auto"/>
            <w:noWrap/>
            <w:vAlign w:val="center"/>
          </w:tcPr>
          <w:p w14:paraId="5533F842" w14:textId="77777777" w:rsidR="007D1E74" w:rsidRDefault="00A95641">
            <w:pPr>
              <w:widowControl/>
              <w:jc w:val="center"/>
              <w:rPr>
                <w:b/>
                <w:bCs/>
                <w:kern w:val="0"/>
                <w:sz w:val="18"/>
                <w:szCs w:val="18"/>
              </w:rPr>
            </w:pPr>
            <w:r>
              <w:rPr>
                <w:b/>
                <w:bCs/>
                <w:kern w:val="0"/>
                <w:sz w:val="18"/>
                <w:szCs w:val="18"/>
              </w:rPr>
              <w:t>建筑</w:t>
            </w:r>
          </w:p>
          <w:p w14:paraId="45C7D37E" w14:textId="77777777" w:rsidR="007D1E74" w:rsidRDefault="00A95641">
            <w:pPr>
              <w:widowControl/>
              <w:jc w:val="center"/>
              <w:rPr>
                <w:b/>
                <w:bCs/>
                <w:kern w:val="0"/>
                <w:sz w:val="18"/>
                <w:szCs w:val="18"/>
              </w:rPr>
            </w:pPr>
            <w:r>
              <w:rPr>
                <w:b/>
                <w:bCs/>
                <w:kern w:val="0"/>
                <w:sz w:val="18"/>
                <w:szCs w:val="18"/>
              </w:rPr>
              <w:t>用地</w:t>
            </w:r>
          </w:p>
        </w:tc>
        <w:tc>
          <w:tcPr>
            <w:tcW w:w="810" w:type="dxa"/>
            <w:vMerge/>
            <w:vAlign w:val="center"/>
          </w:tcPr>
          <w:p w14:paraId="1E09689C" w14:textId="77777777" w:rsidR="007D1E74" w:rsidRDefault="007D1E74">
            <w:pPr>
              <w:widowControl/>
              <w:jc w:val="center"/>
              <w:rPr>
                <w:b/>
                <w:bCs/>
                <w:kern w:val="0"/>
                <w:sz w:val="18"/>
                <w:szCs w:val="18"/>
              </w:rPr>
            </w:pPr>
          </w:p>
        </w:tc>
      </w:tr>
      <w:tr w:rsidR="007D1E74" w14:paraId="767A2449" w14:textId="77777777">
        <w:trPr>
          <w:jc w:val="center"/>
        </w:trPr>
        <w:tc>
          <w:tcPr>
            <w:tcW w:w="812" w:type="dxa"/>
            <w:vMerge w:val="restart"/>
            <w:shd w:val="clear" w:color="auto" w:fill="auto"/>
            <w:noWrap/>
            <w:vAlign w:val="center"/>
          </w:tcPr>
          <w:p w14:paraId="7324FA65" w14:textId="77777777" w:rsidR="007D1E74" w:rsidRDefault="00A95641">
            <w:pPr>
              <w:widowControl/>
              <w:jc w:val="center"/>
              <w:rPr>
                <w:kern w:val="0"/>
                <w:sz w:val="18"/>
                <w:szCs w:val="18"/>
              </w:rPr>
            </w:pPr>
            <w:r>
              <w:rPr>
                <w:kern w:val="0"/>
                <w:sz w:val="18"/>
                <w:szCs w:val="18"/>
              </w:rPr>
              <w:t>施工作业带及对管</w:t>
            </w:r>
          </w:p>
        </w:tc>
        <w:tc>
          <w:tcPr>
            <w:tcW w:w="1239" w:type="dxa"/>
            <w:shd w:val="clear" w:color="auto" w:fill="auto"/>
            <w:noWrap/>
            <w:vAlign w:val="center"/>
          </w:tcPr>
          <w:p w14:paraId="6CA6E0E3" w14:textId="77777777" w:rsidR="007D1E74" w:rsidRDefault="00A95641">
            <w:pPr>
              <w:widowControl/>
              <w:jc w:val="center"/>
              <w:rPr>
                <w:rFonts w:eastAsiaTheme="minorEastAsia"/>
                <w:kern w:val="0"/>
                <w:sz w:val="18"/>
                <w:szCs w:val="18"/>
              </w:rPr>
            </w:pPr>
            <w:r>
              <w:rPr>
                <w:rFonts w:eastAsiaTheme="minorEastAsia"/>
                <w:sz w:val="18"/>
                <w:szCs w:val="18"/>
              </w:rPr>
              <w:t>1#</w:t>
            </w:r>
            <w:r>
              <w:rPr>
                <w:rFonts w:eastAsiaTheme="minorEastAsia"/>
                <w:sz w:val="18"/>
                <w:szCs w:val="18"/>
              </w:rPr>
              <w:t>阀室至马</w:t>
            </w:r>
            <w:r>
              <w:rPr>
                <w:rFonts w:eastAsiaTheme="minorEastAsia"/>
                <w:sz w:val="18"/>
                <w:szCs w:val="18"/>
              </w:rPr>
              <w:t>1-11</w:t>
            </w:r>
          </w:p>
        </w:tc>
        <w:tc>
          <w:tcPr>
            <w:tcW w:w="830" w:type="dxa"/>
            <w:shd w:val="clear" w:color="auto" w:fill="auto"/>
            <w:noWrap/>
            <w:vAlign w:val="center"/>
          </w:tcPr>
          <w:p w14:paraId="590E4964" w14:textId="77777777" w:rsidR="007D1E74" w:rsidRDefault="00A95641">
            <w:pPr>
              <w:widowControl/>
              <w:jc w:val="center"/>
              <w:textAlignment w:val="center"/>
              <w:rPr>
                <w:kern w:val="0"/>
                <w:sz w:val="18"/>
                <w:szCs w:val="18"/>
              </w:rPr>
            </w:pPr>
            <w:r>
              <w:rPr>
                <w:rFonts w:eastAsia="微软雅黑"/>
                <w:sz w:val="18"/>
                <w:szCs w:val="18"/>
              </w:rPr>
              <w:t>2.5672</w:t>
            </w:r>
          </w:p>
        </w:tc>
        <w:tc>
          <w:tcPr>
            <w:tcW w:w="829" w:type="dxa"/>
            <w:shd w:val="clear" w:color="auto" w:fill="auto"/>
            <w:noWrap/>
            <w:vAlign w:val="center"/>
          </w:tcPr>
          <w:p w14:paraId="142274F2" w14:textId="77777777" w:rsidR="007D1E74" w:rsidRDefault="00A95641">
            <w:pPr>
              <w:widowControl/>
              <w:jc w:val="center"/>
              <w:textAlignment w:val="center"/>
              <w:rPr>
                <w:kern w:val="0"/>
                <w:sz w:val="18"/>
                <w:szCs w:val="18"/>
              </w:rPr>
            </w:pPr>
            <w:r>
              <w:rPr>
                <w:rFonts w:eastAsia="微软雅黑"/>
                <w:sz w:val="18"/>
                <w:szCs w:val="18"/>
              </w:rPr>
              <w:t>5.0427</w:t>
            </w:r>
          </w:p>
        </w:tc>
        <w:tc>
          <w:tcPr>
            <w:tcW w:w="830" w:type="dxa"/>
            <w:vAlign w:val="center"/>
          </w:tcPr>
          <w:p w14:paraId="08ED25CF" w14:textId="77777777" w:rsidR="007D1E74" w:rsidRDefault="00A95641">
            <w:pPr>
              <w:widowControl/>
              <w:jc w:val="center"/>
              <w:textAlignment w:val="center"/>
              <w:rPr>
                <w:kern w:val="0"/>
                <w:sz w:val="18"/>
                <w:szCs w:val="18"/>
              </w:rPr>
            </w:pPr>
            <w:r>
              <w:rPr>
                <w:rFonts w:eastAsia="微软雅黑"/>
                <w:sz w:val="18"/>
                <w:szCs w:val="18"/>
              </w:rPr>
              <w:t>0.6418</w:t>
            </w:r>
          </w:p>
        </w:tc>
        <w:tc>
          <w:tcPr>
            <w:tcW w:w="829" w:type="dxa"/>
            <w:shd w:val="clear" w:color="auto" w:fill="auto"/>
            <w:noWrap/>
            <w:vAlign w:val="center"/>
          </w:tcPr>
          <w:p w14:paraId="0CD02B07" w14:textId="77777777" w:rsidR="007D1E74" w:rsidRDefault="00A95641">
            <w:pPr>
              <w:widowControl/>
              <w:jc w:val="center"/>
              <w:textAlignment w:val="center"/>
              <w:rPr>
                <w:kern w:val="0"/>
                <w:sz w:val="18"/>
                <w:szCs w:val="18"/>
              </w:rPr>
            </w:pPr>
            <w:r>
              <w:rPr>
                <w:rFonts w:eastAsia="微软雅黑"/>
                <w:sz w:val="18"/>
                <w:szCs w:val="18"/>
              </w:rPr>
              <w:t>0.7335</w:t>
            </w:r>
          </w:p>
        </w:tc>
        <w:tc>
          <w:tcPr>
            <w:tcW w:w="830" w:type="dxa"/>
            <w:shd w:val="clear" w:color="auto" w:fill="auto"/>
            <w:noWrap/>
            <w:vAlign w:val="center"/>
          </w:tcPr>
          <w:p w14:paraId="290F6131" w14:textId="77777777" w:rsidR="007D1E74" w:rsidRDefault="00A95641">
            <w:pPr>
              <w:widowControl/>
              <w:jc w:val="center"/>
              <w:textAlignment w:val="center"/>
              <w:rPr>
                <w:kern w:val="0"/>
                <w:sz w:val="18"/>
                <w:szCs w:val="18"/>
              </w:rPr>
            </w:pPr>
            <w:r>
              <w:rPr>
                <w:rFonts w:eastAsia="微软雅黑"/>
                <w:sz w:val="18"/>
                <w:szCs w:val="18"/>
              </w:rPr>
              <w:t>0.1833</w:t>
            </w:r>
          </w:p>
        </w:tc>
        <w:tc>
          <w:tcPr>
            <w:tcW w:w="829" w:type="dxa"/>
            <w:shd w:val="clear" w:color="auto" w:fill="auto"/>
            <w:noWrap/>
          </w:tcPr>
          <w:p w14:paraId="4E1070BD" w14:textId="77777777" w:rsidR="007D1E74" w:rsidRDefault="00A95641">
            <w:pPr>
              <w:widowControl/>
              <w:jc w:val="center"/>
              <w:textAlignment w:val="center"/>
              <w:rPr>
                <w:kern w:val="0"/>
                <w:sz w:val="18"/>
                <w:szCs w:val="18"/>
              </w:rPr>
            </w:pPr>
            <w:r>
              <w:rPr>
                <w:kern w:val="0"/>
                <w:sz w:val="18"/>
                <w:szCs w:val="18"/>
              </w:rPr>
              <w:t>/</w:t>
            </w:r>
          </w:p>
        </w:tc>
        <w:tc>
          <w:tcPr>
            <w:tcW w:w="830" w:type="dxa"/>
            <w:shd w:val="clear" w:color="auto" w:fill="auto"/>
            <w:noWrap/>
          </w:tcPr>
          <w:p w14:paraId="67C1D7A0" w14:textId="77777777" w:rsidR="007D1E74" w:rsidRDefault="00A95641">
            <w:pPr>
              <w:widowControl/>
              <w:jc w:val="center"/>
              <w:textAlignment w:val="center"/>
              <w:rPr>
                <w:kern w:val="0"/>
                <w:sz w:val="18"/>
                <w:szCs w:val="18"/>
              </w:rPr>
            </w:pPr>
            <w:r>
              <w:rPr>
                <w:kern w:val="0"/>
                <w:sz w:val="18"/>
                <w:szCs w:val="18"/>
              </w:rPr>
              <w:t>/</w:t>
            </w:r>
          </w:p>
        </w:tc>
        <w:tc>
          <w:tcPr>
            <w:tcW w:w="556" w:type="dxa"/>
            <w:shd w:val="clear" w:color="auto" w:fill="auto"/>
            <w:noWrap/>
          </w:tcPr>
          <w:p w14:paraId="127A1495" w14:textId="77777777" w:rsidR="007D1E74" w:rsidRDefault="00A95641">
            <w:pPr>
              <w:widowControl/>
              <w:jc w:val="center"/>
              <w:textAlignment w:val="center"/>
              <w:rPr>
                <w:kern w:val="0"/>
                <w:sz w:val="18"/>
                <w:szCs w:val="18"/>
              </w:rPr>
            </w:pPr>
            <w:r>
              <w:rPr>
                <w:kern w:val="0"/>
                <w:sz w:val="18"/>
                <w:szCs w:val="18"/>
              </w:rPr>
              <w:t>/</w:t>
            </w:r>
          </w:p>
        </w:tc>
        <w:tc>
          <w:tcPr>
            <w:tcW w:w="419" w:type="dxa"/>
            <w:shd w:val="clear" w:color="auto" w:fill="auto"/>
            <w:noWrap/>
          </w:tcPr>
          <w:p w14:paraId="70744A7A" w14:textId="77777777" w:rsidR="007D1E74" w:rsidRDefault="00A95641">
            <w:pPr>
              <w:widowControl/>
              <w:jc w:val="center"/>
              <w:textAlignment w:val="center"/>
              <w:rPr>
                <w:kern w:val="0"/>
                <w:sz w:val="18"/>
                <w:szCs w:val="18"/>
              </w:rPr>
            </w:pPr>
            <w:r>
              <w:rPr>
                <w:kern w:val="0"/>
                <w:sz w:val="18"/>
                <w:szCs w:val="18"/>
              </w:rPr>
              <w:t>/</w:t>
            </w:r>
          </w:p>
        </w:tc>
        <w:tc>
          <w:tcPr>
            <w:tcW w:w="810" w:type="dxa"/>
            <w:vAlign w:val="center"/>
          </w:tcPr>
          <w:p w14:paraId="385A2CEC" w14:textId="77777777" w:rsidR="007D1E74" w:rsidRDefault="00A95641">
            <w:pPr>
              <w:widowControl/>
              <w:jc w:val="center"/>
              <w:textAlignment w:val="center"/>
              <w:rPr>
                <w:rFonts w:eastAsia="微软雅黑"/>
                <w:sz w:val="18"/>
                <w:szCs w:val="18"/>
              </w:rPr>
            </w:pPr>
            <w:r>
              <w:rPr>
                <w:rFonts w:eastAsia="微软雅黑"/>
                <w:sz w:val="18"/>
                <w:szCs w:val="18"/>
              </w:rPr>
              <w:t>9.1685</w:t>
            </w:r>
          </w:p>
        </w:tc>
      </w:tr>
      <w:tr w:rsidR="007D1E74" w14:paraId="09ED5AE1" w14:textId="77777777">
        <w:trPr>
          <w:jc w:val="center"/>
        </w:trPr>
        <w:tc>
          <w:tcPr>
            <w:tcW w:w="812" w:type="dxa"/>
            <w:vMerge/>
            <w:shd w:val="clear" w:color="auto" w:fill="auto"/>
            <w:noWrap/>
            <w:vAlign w:val="center"/>
          </w:tcPr>
          <w:p w14:paraId="46CEFA75" w14:textId="77777777" w:rsidR="007D1E74" w:rsidRDefault="007D1E74">
            <w:pPr>
              <w:widowControl/>
              <w:jc w:val="center"/>
              <w:rPr>
                <w:kern w:val="0"/>
                <w:sz w:val="18"/>
                <w:szCs w:val="18"/>
              </w:rPr>
            </w:pPr>
          </w:p>
        </w:tc>
        <w:tc>
          <w:tcPr>
            <w:tcW w:w="1239" w:type="dxa"/>
            <w:shd w:val="clear" w:color="auto" w:fill="auto"/>
            <w:noWrap/>
            <w:vAlign w:val="center"/>
          </w:tcPr>
          <w:p w14:paraId="0D6B30C0" w14:textId="77777777" w:rsidR="007D1E74" w:rsidRDefault="00A95641">
            <w:pPr>
              <w:widowControl/>
              <w:jc w:val="center"/>
              <w:rPr>
                <w:rFonts w:eastAsiaTheme="minorEastAsia"/>
                <w:kern w:val="0"/>
                <w:sz w:val="18"/>
                <w:szCs w:val="18"/>
              </w:rPr>
            </w:pPr>
            <w:r>
              <w:rPr>
                <w:rFonts w:eastAsiaTheme="minorEastAsia"/>
                <w:sz w:val="18"/>
                <w:szCs w:val="18"/>
              </w:rPr>
              <w:t>马</w:t>
            </w:r>
            <w:r>
              <w:rPr>
                <w:rFonts w:eastAsiaTheme="minorEastAsia"/>
                <w:sz w:val="18"/>
                <w:szCs w:val="18"/>
              </w:rPr>
              <w:t>1-11</w:t>
            </w:r>
            <w:r>
              <w:rPr>
                <w:rFonts w:eastAsiaTheme="minorEastAsia"/>
                <w:sz w:val="18"/>
                <w:szCs w:val="18"/>
              </w:rPr>
              <w:t>至</w:t>
            </w:r>
            <w:r>
              <w:rPr>
                <w:rFonts w:eastAsiaTheme="minorEastAsia"/>
                <w:sz w:val="18"/>
                <w:szCs w:val="18"/>
              </w:rPr>
              <w:t>4#</w:t>
            </w:r>
            <w:r>
              <w:rPr>
                <w:rFonts w:eastAsiaTheme="minorEastAsia"/>
                <w:sz w:val="18"/>
                <w:szCs w:val="18"/>
              </w:rPr>
              <w:t>清管阀室</w:t>
            </w:r>
          </w:p>
        </w:tc>
        <w:tc>
          <w:tcPr>
            <w:tcW w:w="830" w:type="dxa"/>
            <w:shd w:val="clear" w:color="auto" w:fill="auto"/>
            <w:noWrap/>
            <w:vAlign w:val="center"/>
          </w:tcPr>
          <w:p w14:paraId="6439EBD9" w14:textId="77777777" w:rsidR="007D1E74" w:rsidRDefault="00A95641">
            <w:pPr>
              <w:widowControl/>
              <w:jc w:val="center"/>
              <w:textAlignment w:val="center"/>
              <w:rPr>
                <w:kern w:val="0"/>
                <w:sz w:val="18"/>
                <w:szCs w:val="18"/>
              </w:rPr>
            </w:pPr>
            <w:r>
              <w:rPr>
                <w:rFonts w:eastAsia="微软雅黑"/>
                <w:sz w:val="18"/>
                <w:szCs w:val="18"/>
              </w:rPr>
              <w:t>2.1615</w:t>
            </w:r>
          </w:p>
        </w:tc>
        <w:tc>
          <w:tcPr>
            <w:tcW w:w="829" w:type="dxa"/>
            <w:shd w:val="clear" w:color="auto" w:fill="auto"/>
            <w:noWrap/>
            <w:vAlign w:val="center"/>
          </w:tcPr>
          <w:p w14:paraId="1D19C338" w14:textId="77777777" w:rsidR="007D1E74" w:rsidRDefault="00A95641">
            <w:pPr>
              <w:widowControl/>
              <w:jc w:val="center"/>
              <w:textAlignment w:val="center"/>
              <w:rPr>
                <w:kern w:val="0"/>
                <w:sz w:val="18"/>
                <w:szCs w:val="18"/>
              </w:rPr>
            </w:pPr>
            <w:r>
              <w:rPr>
                <w:rFonts w:eastAsia="微软雅黑"/>
                <w:sz w:val="18"/>
                <w:szCs w:val="18"/>
              </w:rPr>
              <w:t>4.2459</w:t>
            </w:r>
          </w:p>
        </w:tc>
        <w:tc>
          <w:tcPr>
            <w:tcW w:w="830" w:type="dxa"/>
            <w:vAlign w:val="center"/>
          </w:tcPr>
          <w:p w14:paraId="0062F797" w14:textId="77777777" w:rsidR="007D1E74" w:rsidRDefault="00A95641">
            <w:pPr>
              <w:widowControl/>
              <w:jc w:val="center"/>
              <w:textAlignment w:val="center"/>
              <w:rPr>
                <w:kern w:val="0"/>
                <w:sz w:val="18"/>
                <w:szCs w:val="18"/>
              </w:rPr>
            </w:pPr>
            <w:r>
              <w:rPr>
                <w:rFonts w:eastAsia="微软雅黑"/>
                <w:sz w:val="18"/>
                <w:szCs w:val="18"/>
              </w:rPr>
              <w:t>0.5404</w:t>
            </w:r>
          </w:p>
        </w:tc>
        <w:tc>
          <w:tcPr>
            <w:tcW w:w="829" w:type="dxa"/>
            <w:shd w:val="clear" w:color="auto" w:fill="auto"/>
            <w:noWrap/>
            <w:vAlign w:val="center"/>
          </w:tcPr>
          <w:p w14:paraId="6FC110D4" w14:textId="77777777" w:rsidR="007D1E74" w:rsidRDefault="00A95641">
            <w:pPr>
              <w:widowControl/>
              <w:jc w:val="center"/>
              <w:textAlignment w:val="center"/>
              <w:rPr>
                <w:kern w:val="0"/>
                <w:sz w:val="18"/>
                <w:szCs w:val="18"/>
              </w:rPr>
            </w:pPr>
            <w:r>
              <w:rPr>
                <w:rFonts w:eastAsia="微软雅黑"/>
                <w:sz w:val="18"/>
                <w:szCs w:val="18"/>
              </w:rPr>
              <w:t>0.6176</w:t>
            </w:r>
          </w:p>
        </w:tc>
        <w:tc>
          <w:tcPr>
            <w:tcW w:w="830" w:type="dxa"/>
            <w:shd w:val="clear" w:color="auto" w:fill="auto"/>
            <w:noWrap/>
            <w:vAlign w:val="center"/>
          </w:tcPr>
          <w:p w14:paraId="5CAF7EF7" w14:textId="77777777" w:rsidR="007D1E74" w:rsidRDefault="00A95641">
            <w:pPr>
              <w:widowControl/>
              <w:jc w:val="center"/>
              <w:textAlignment w:val="center"/>
              <w:rPr>
                <w:kern w:val="0"/>
                <w:sz w:val="18"/>
                <w:szCs w:val="18"/>
              </w:rPr>
            </w:pPr>
            <w:r>
              <w:rPr>
                <w:rFonts w:eastAsia="微软雅黑"/>
                <w:sz w:val="18"/>
                <w:szCs w:val="18"/>
              </w:rPr>
              <w:t>0.1544</w:t>
            </w:r>
          </w:p>
        </w:tc>
        <w:tc>
          <w:tcPr>
            <w:tcW w:w="829" w:type="dxa"/>
            <w:shd w:val="clear" w:color="auto" w:fill="auto"/>
            <w:noWrap/>
          </w:tcPr>
          <w:p w14:paraId="53A6ABD0" w14:textId="77777777" w:rsidR="007D1E74" w:rsidRDefault="00A95641">
            <w:pPr>
              <w:widowControl/>
              <w:jc w:val="center"/>
              <w:textAlignment w:val="center"/>
              <w:rPr>
                <w:kern w:val="0"/>
                <w:sz w:val="18"/>
                <w:szCs w:val="18"/>
              </w:rPr>
            </w:pPr>
            <w:r>
              <w:rPr>
                <w:kern w:val="0"/>
                <w:sz w:val="18"/>
                <w:szCs w:val="18"/>
              </w:rPr>
              <w:t>/</w:t>
            </w:r>
          </w:p>
        </w:tc>
        <w:tc>
          <w:tcPr>
            <w:tcW w:w="830" w:type="dxa"/>
            <w:shd w:val="clear" w:color="auto" w:fill="auto"/>
            <w:noWrap/>
          </w:tcPr>
          <w:p w14:paraId="3C1A1B7C" w14:textId="77777777" w:rsidR="007D1E74" w:rsidRDefault="00A95641">
            <w:pPr>
              <w:widowControl/>
              <w:jc w:val="center"/>
              <w:textAlignment w:val="center"/>
              <w:rPr>
                <w:kern w:val="0"/>
                <w:sz w:val="18"/>
                <w:szCs w:val="18"/>
              </w:rPr>
            </w:pPr>
            <w:r>
              <w:rPr>
                <w:kern w:val="0"/>
                <w:sz w:val="18"/>
                <w:szCs w:val="18"/>
              </w:rPr>
              <w:t>/</w:t>
            </w:r>
          </w:p>
        </w:tc>
        <w:tc>
          <w:tcPr>
            <w:tcW w:w="556" w:type="dxa"/>
            <w:shd w:val="clear" w:color="auto" w:fill="auto"/>
            <w:noWrap/>
          </w:tcPr>
          <w:p w14:paraId="509D447B" w14:textId="77777777" w:rsidR="007D1E74" w:rsidRDefault="00A95641">
            <w:pPr>
              <w:widowControl/>
              <w:jc w:val="center"/>
              <w:textAlignment w:val="center"/>
              <w:rPr>
                <w:kern w:val="0"/>
                <w:sz w:val="18"/>
                <w:szCs w:val="18"/>
              </w:rPr>
            </w:pPr>
            <w:r>
              <w:rPr>
                <w:kern w:val="0"/>
                <w:sz w:val="18"/>
                <w:szCs w:val="18"/>
              </w:rPr>
              <w:t>/</w:t>
            </w:r>
          </w:p>
        </w:tc>
        <w:tc>
          <w:tcPr>
            <w:tcW w:w="419" w:type="dxa"/>
            <w:shd w:val="clear" w:color="auto" w:fill="auto"/>
            <w:noWrap/>
          </w:tcPr>
          <w:p w14:paraId="3C58F3C2" w14:textId="77777777" w:rsidR="007D1E74" w:rsidRDefault="00A95641">
            <w:pPr>
              <w:widowControl/>
              <w:jc w:val="center"/>
              <w:textAlignment w:val="center"/>
              <w:rPr>
                <w:kern w:val="0"/>
                <w:sz w:val="18"/>
                <w:szCs w:val="18"/>
              </w:rPr>
            </w:pPr>
            <w:r>
              <w:rPr>
                <w:kern w:val="0"/>
                <w:sz w:val="18"/>
                <w:szCs w:val="18"/>
              </w:rPr>
              <w:t>/</w:t>
            </w:r>
          </w:p>
        </w:tc>
        <w:tc>
          <w:tcPr>
            <w:tcW w:w="810" w:type="dxa"/>
            <w:vAlign w:val="center"/>
          </w:tcPr>
          <w:p w14:paraId="3B8C217C" w14:textId="77777777" w:rsidR="007D1E74" w:rsidRDefault="00A95641">
            <w:pPr>
              <w:widowControl/>
              <w:jc w:val="center"/>
              <w:textAlignment w:val="center"/>
              <w:rPr>
                <w:rFonts w:eastAsia="微软雅黑"/>
                <w:sz w:val="18"/>
                <w:szCs w:val="18"/>
              </w:rPr>
            </w:pPr>
            <w:r>
              <w:rPr>
                <w:rFonts w:eastAsia="微软雅黑"/>
                <w:sz w:val="18"/>
                <w:szCs w:val="18"/>
              </w:rPr>
              <w:t>7.7198</w:t>
            </w:r>
          </w:p>
        </w:tc>
      </w:tr>
      <w:tr w:rsidR="007D1E74" w14:paraId="69AE47DA" w14:textId="77777777">
        <w:trPr>
          <w:jc w:val="center"/>
        </w:trPr>
        <w:tc>
          <w:tcPr>
            <w:tcW w:w="812" w:type="dxa"/>
            <w:vMerge/>
            <w:shd w:val="clear" w:color="auto" w:fill="auto"/>
            <w:noWrap/>
            <w:vAlign w:val="center"/>
          </w:tcPr>
          <w:p w14:paraId="71C4327E" w14:textId="77777777" w:rsidR="007D1E74" w:rsidRDefault="007D1E74">
            <w:pPr>
              <w:widowControl/>
              <w:jc w:val="center"/>
              <w:rPr>
                <w:kern w:val="0"/>
                <w:sz w:val="18"/>
                <w:szCs w:val="18"/>
              </w:rPr>
            </w:pPr>
          </w:p>
        </w:tc>
        <w:tc>
          <w:tcPr>
            <w:tcW w:w="1239" w:type="dxa"/>
            <w:shd w:val="clear" w:color="auto" w:fill="auto"/>
            <w:noWrap/>
            <w:vAlign w:val="center"/>
          </w:tcPr>
          <w:p w14:paraId="0ED1F3ED" w14:textId="77777777" w:rsidR="007D1E74" w:rsidRDefault="00A95641">
            <w:pPr>
              <w:widowControl/>
              <w:jc w:val="center"/>
              <w:rPr>
                <w:rFonts w:eastAsiaTheme="minorEastAsia"/>
                <w:kern w:val="0"/>
                <w:sz w:val="18"/>
                <w:szCs w:val="18"/>
              </w:rPr>
            </w:pPr>
            <w:r>
              <w:rPr>
                <w:rFonts w:eastAsiaTheme="minorEastAsia"/>
                <w:sz w:val="18"/>
                <w:szCs w:val="18"/>
              </w:rPr>
              <w:t>马</w:t>
            </w:r>
            <w:r>
              <w:rPr>
                <w:rFonts w:eastAsiaTheme="minorEastAsia"/>
                <w:sz w:val="18"/>
                <w:szCs w:val="18"/>
              </w:rPr>
              <w:t>1-10</w:t>
            </w:r>
          </w:p>
        </w:tc>
        <w:tc>
          <w:tcPr>
            <w:tcW w:w="830" w:type="dxa"/>
            <w:shd w:val="clear" w:color="auto" w:fill="auto"/>
            <w:noWrap/>
            <w:vAlign w:val="center"/>
          </w:tcPr>
          <w:p w14:paraId="27879128" w14:textId="77777777" w:rsidR="007D1E74" w:rsidRDefault="00A95641">
            <w:pPr>
              <w:widowControl/>
              <w:jc w:val="center"/>
              <w:textAlignment w:val="center"/>
              <w:rPr>
                <w:kern w:val="0"/>
                <w:sz w:val="18"/>
                <w:szCs w:val="18"/>
                <w:lang w:bidi="ar"/>
              </w:rPr>
            </w:pPr>
            <w:r>
              <w:rPr>
                <w:rFonts w:eastAsia="微软雅黑"/>
                <w:sz w:val="18"/>
                <w:szCs w:val="18"/>
              </w:rPr>
              <w:t>0.7495</w:t>
            </w:r>
          </w:p>
        </w:tc>
        <w:tc>
          <w:tcPr>
            <w:tcW w:w="829" w:type="dxa"/>
            <w:shd w:val="clear" w:color="auto" w:fill="auto"/>
            <w:noWrap/>
            <w:vAlign w:val="center"/>
          </w:tcPr>
          <w:p w14:paraId="16D87F01" w14:textId="77777777" w:rsidR="007D1E74" w:rsidRDefault="00A95641">
            <w:pPr>
              <w:widowControl/>
              <w:jc w:val="center"/>
              <w:textAlignment w:val="center"/>
              <w:rPr>
                <w:kern w:val="0"/>
                <w:sz w:val="18"/>
                <w:szCs w:val="18"/>
                <w:lang w:bidi="ar"/>
              </w:rPr>
            </w:pPr>
            <w:r>
              <w:rPr>
                <w:rFonts w:eastAsia="微软雅黑"/>
                <w:sz w:val="18"/>
                <w:szCs w:val="18"/>
              </w:rPr>
              <w:t>1.4723</w:t>
            </w:r>
          </w:p>
        </w:tc>
        <w:tc>
          <w:tcPr>
            <w:tcW w:w="830" w:type="dxa"/>
            <w:vAlign w:val="center"/>
          </w:tcPr>
          <w:p w14:paraId="0A8D0A2E" w14:textId="77777777" w:rsidR="007D1E74" w:rsidRDefault="00A95641">
            <w:pPr>
              <w:widowControl/>
              <w:jc w:val="center"/>
              <w:textAlignment w:val="center"/>
              <w:rPr>
                <w:kern w:val="0"/>
                <w:sz w:val="18"/>
                <w:szCs w:val="18"/>
                <w:lang w:bidi="ar"/>
              </w:rPr>
            </w:pPr>
            <w:r>
              <w:rPr>
                <w:rFonts w:eastAsia="微软雅黑"/>
                <w:sz w:val="18"/>
                <w:szCs w:val="18"/>
              </w:rPr>
              <w:t>0.2409</w:t>
            </w:r>
          </w:p>
        </w:tc>
        <w:tc>
          <w:tcPr>
            <w:tcW w:w="829" w:type="dxa"/>
            <w:shd w:val="clear" w:color="auto" w:fill="auto"/>
            <w:noWrap/>
            <w:vAlign w:val="center"/>
          </w:tcPr>
          <w:p w14:paraId="5FCC3EC1" w14:textId="77777777" w:rsidR="007D1E74" w:rsidRDefault="00A95641">
            <w:pPr>
              <w:widowControl/>
              <w:jc w:val="center"/>
              <w:textAlignment w:val="center"/>
              <w:rPr>
                <w:kern w:val="0"/>
                <w:sz w:val="18"/>
                <w:szCs w:val="18"/>
                <w:lang w:bidi="ar"/>
              </w:rPr>
            </w:pPr>
            <w:r>
              <w:rPr>
                <w:rFonts w:eastAsia="微软雅黑"/>
                <w:sz w:val="18"/>
                <w:szCs w:val="18"/>
              </w:rPr>
              <w:t>0.2142</w:t>
            </w:r>
          </w:p>
        </w:tc>
        <w:tc>
          <w:tcPr>
            <w:tcW w:w="830" w:type="dxa"/>
            <w:shd w:val="clear" w:color="auto" w:fill="auto"/>
            <w:noWrap/>
            <w:vAlign w:val="center"/>
          </w:tcPr>
          <w:p w14:paraId="39906D39" w14:textId="77777777" w:rsidR="007D1E74" w:rsidRDefault="00A95641">
            <w:pPr>
              <w:widowControl/>
              <w:jc w:val="center"/>
              <w:textAlignment w:val="center"/>
              <w:rPr>
                <w:kern w:val="0"/>
                <w:sz w:val="18"/>
                <w:szCs w:val="18"/>
                <w:lang w:bidi="ar"/>
              </w:rPr>
            </w:pPr>
            <w:r>
              <w:rPr>
                <w:kern w:val="0"/>
                <w:sz w:val="18"/>
                <w:szCs w:val="18"/>
                <w:lang w:bidi="ar"/>
              </w:rPr>
              <w:t>/</w:t>
            </w:r>
          </w:p>
        </w:tc>
        <w:tc>
          <w:tcPr>
            <w:tcW w:w="829" w:type="dxa"/>
            <w:shd w:val="clear" w:color="auto" w:fill="auto"/>
            <w:noWrap/>
          </w:tcPr>
          <w:p w14:paraId="74BAE7E4" w14:textId="77777777" w:rsidR="007D1E74" w:rsidRDefault="00A95641">
            <w:pPr>
              <w:widowControl/>
              <w:jc w:val="center"/>
              <w:textAlignment w:val="center"/>
              <w:rPr>
                <w:kern w:val="0"/>
                <w:sz w:val="18"/>
                <w:szCs w:val="18"/>
                <w:lang w:bidi="ar"/>
              </w:rPr>
            </w:pPr>
            <w:r>
              <w:rPr>
                <w:kern w:val="0"/>
                <w:sz w:val="18"/>
                <w:szCs w:val="18"/>
              </w:rPr>
              <w:t>/</w:t>
            </w:r>
          </w:p>
        </w:tc>
        <w:tc>
          <w:tcPr>
            <w:tcW w:w="830" w:type="dxa"/>
            <w:shd w:val="clear" w:color="auto" w:fill="auto"/>
            <w:noWrap/>
          </w:tcPr>
          <w:p w14:paraId="415EFAE8" w14:textId="77777777" w:rsidR="007D1E74" w:rsidRDefault="00A95641">
            <w:pPr>
              <w:widowControl/>
              <w:jc w:val="center"/>
              <w:textAlignment w:val="center"/>
              <w:rPr>
                <w:kern w:val="0"/>
                <w:sz w:val="18"/>
                <w:szCs w:val="18"/>
                <w:lang w:bidi="ar"/>
              </w:rPr>
            </w:pPr>
            <w:r>
              <w:rPr>
                <w:kern w:val="0"/>
                <w:sz w:val="18"/>
                <w:szCs w:val="18"/>
              </w:rPr>
              <w:t>/</w:t>
            </w:r>
          </w:p>
        </w:tc>
        <w:tc>
          <w:tcPr>
            <w:tcW w:w="556" w:type="dxa"/>
            <w:shd w:val="clear" w:color="auto" w:fill="auto"/>
            <w:noWrap/>
          </w:tcPr>
          <w:p w14:paraId="73CC7177" w14:textId="77777777" w:rsidR="007D1E74" w:rsidRDefault="00A95641">
            <w:pPr>
              <w:widowControl/>
              <w:jc w:val="center"/>
              <w:textAlignment w:val="center"/>
              <w:rPr>
                <w:kern w:val="0"/>
                <w:sz w:val="18"/>
                <w:szCs w:val="18"/>
                <w:lang w:bidi="ar"/>
              </w:rPr>
            </w:pPr>
            <w:r>
              <w:rPr>
                <w:kern w:val="0"/>
                <w:sz w:val="18"/>
                <w:szCs w:val="18"/>
              </w:rPr>
              <w:t>/</w:t>
            </w:r>
          </w:p>
        </w:tc>
        <w:tc>
          <w:tcPr>
            <w:tcW w:w="419" w:type="dxa"/>
            <w:shd w:val="clear" w:color="auto" w:fill="auto"/>
            <w:noWrap/>
          </w:tcPr>
          <w:p w14:paraId="0529E49C" w14:textId="77777777" w:rsidR="007D1E74" w:rsidRDefault="00A95641">
            <w:pPr>
              <w:widowControl/>
              <w:jc w:val="center"/>
              <w:textAlignment w:val="center"/>
              <w:rPr>
                <w:kern w:val="0"/>
                <w:sz w:val="18"/>
                <w:szCs w:val="18"/>
                <w:lang w:bidi="ar"/>
              </w:rPr>
            </w:pPr>
            <w:r>
              <w:rPr>
                <w:kern w:val="0"/>
                <w:sz w:val="18"/>
                <w:szCs w:val="18"/>
              </w:rPr>
              <w:t>/</w:t>
            </w:r>
          </w:p>
        </w:tc>
        <w:tc>
          <w:tcPr>
            <w:tcW w:w="810" w:type="dxa"/>
            <w:vAlign w:val="center"/>
          </w:tcPr>
          <w:p w14:paraId="3333EA3F" w14:textId="77777777" w:rsidR="007D1E74" w:rsidRDefault="00A95641">
            <w:pPr>
              <w:widowControl/>
              <w:jc w:val="center"/>
              <w:textAlignment w:val="center"/>
              <w:rPr>
                <w:rFonts w:eastAsia="微软雅黑"/>
                <w:sz w:val="18"/>
                <w:szCs w:val="18"/>
              </w:rPr>
            </w:pPr>
            <w:r>
              <w:rPr>
                <w:rFonts w:eastAsia="微软雅黑"/>
                <w:sz w:val="18"/>
                <w:szCs w:val="18"/>
              </w:rPr>
              <w:t>2.6769</w:t>
            </w:r>
          </w:p>
        </w:tc>
      </w:tr>
      <w:tr w:rsidR="007D1E74" w14:paraId="18759825" w14:textId="77777777">
        <w:trPr>
          <w:jc w:val="center"/>
        </w:trPr>
        <w:tc>
          <w:tcPr>
            <w:tcW w:w="812" w:type="dxa"/>
            <w:vMerge/>
            <w:shd w:val="clear" w:color="auto" w:fill="auto"/>
            <w:noWrap/>
            <w:vAlign w:val="center"/>
          </w:tcPr>
          <w:p w14:paraId="5E0775A6" w14:textId="77777777" w:rsidR="007D1E74" w:rsidRDefault="007D1E74">
            <w:pPr>
              <w:widowControl/>
              <w:jc w:val="center"/>
              <w:rPr>
                <w:kern w:val="0"/>
                <w:sz w:val="18"/>
                <w:szCs w:val="18"/>
              </w:rPr>
            </w:pPr>
          </w:p>
        </w:tc>
        <w:tc>
          <w:tcPr>
            <w:tcW w:w="1239" w:type="dxa"/>
            <w:shd w:val="clear" w:color="auto" w:fill="auto"/>
            <w:noWrap/>
            <w:vAlign w:val="center"/>
          </w:tcPr>
          <w:p w14:paraId="5F393A05" w14:textId="77777777" w:rsidR="007D1E74" w:rsidRDefault="00A95641">
            <w:pPr>
              <w:widowControl/>
              <w:jc w:val="center"/>
              <w:rPr>
                <w:rFonts w:eastAsiaTheme="minorEastAsia"/>
                <w:kern w:val="0"/>
                <w:sz w:val="18"/>
                <w:szCs w:val="18"/>
              </w:rPr>
            </w:pPr>
            <w:r>
              <w:rPr>
                <w:rFonts w:eastAsiaTheme="minorEastAsia"/>
                <w:sz w:val="18"/>
                <w:szCs w:val="18"/>
              </w:rPr>
              <w:t>马</w:t>
            </w:r>
            <w:r>
              <w:rPr>
                <w:rFonts w:eastAsiaTheme="minorEastAsia"/>
                <w:sz w:val="18"/>
                <w:szCs w:val="18"/>
              </w:rPr>
              <w:t>1-1</w:t>
            </w:r>
          </w:p>
        </w:tc>
        <w:tc>
          <w:tcPr>
            <w:tcW w:w="830" w:type="dxa"/>
            <w:shd w:val="clear" w:color="auto" w:fill="auto"/>
            <w:noWrap/>
            <w:vAlign w:val="center"/>
          </w:tcPr>
          <w:p w14:paraId="3173AE0E" w14:textId="77777777" w:rsidR="007D1E74" w:rsidRDefault="00A95641">
            <w:pPr>
              <w:widowControl/>
              <w:jc w:val="center"/>
              <w:textAlignment w:val="center"/>
              <w:rPr>
                <w:kern w:val="0"/>
                <w:sz w:val="18"/>
                <w:szCs w:val="18"/>
                <w:lang w:bidi="ar"/>
              </w:rPr>
            </w:pPr>
            <w:r>
              <w:rPr>
                <w:rFonts w:eastAsia="微软雅黑"/>
                <w:sz w:val="18"/>
                <w:szCs w:val="18"/>
              </w:rPr>
              <w:t>0.3329</w:t>
            </w:r>
          </w:p>
        </w:tc>
        <w:tc>
          <w:tcPr>
            <w:tcW w:w="829" w:type="dxa"/>
            <w:shd w:val="clear" w:color="auto" w:fill="auto"/>
            <w:noWrap/>
            <w:vAlign w:val="center"/>
          </w:tcPr>
          <w:p w14:paraId="3DE91991" w14:textId="77777777" w:rsidR="007D1E74" w:rsidRDefault="00A95641">
            <w:pPr>
              <w:widowControl/>
              <w:jc w:val="center"/>
              <w:textAlignment w:val="center"/>
              <w:rPr>
                <w:kern w:val="0"/>
                <w:sz w:val="18"/>
                <w:szCs w:val="18"/>
                <w:lang w:bidi="ar"/>
              </w:rPr>
            </w:pPr>
            <w:r>
              <w:rPr>
                <w:rFonts w:eastAsia="微软雅黑"/>
                <w:sz w:val="18"/>
                <w:szCs w:val="18"/>
              </w:rPr>
              <w:t>0.654</w:t>
            </w:r>
          </w:p>
        </w:tc>
        <w:tc>
          <w:tcPr>
            <w:tcW w:w="830" w:type="dxa"/>
            <w:vAlign w:val="center"/>
          </w:tcPr>
          <w:p w14:paraId="32869848" w14:textId="77777777" w:rsidR="007D1E74" w:rsidRDefault="00A95641">
            <w:pPr>
              <w:widowControl/>
              <w:jc w:val="center"/>
              <w:textAlignment w:val="center"/>
              <w:rPr>
                <w:kern w:val="0"/>
                <w:sz w:val="18"/>
                <w:szCs w:val="18"/>
                <w:lang w:bidi="ar"/>
              </w:rPr>
            </w:pPr>
            <w:r>
              <w:rPr>
                <w:rFonts w:eastAsia="微软雅黑"/>
                <w:sz w:val="18"/>
                <w:szCs w:val="18"/>
              </w:rPr>
              <w:t>0.2021</w:t>
            </w:r>
          </w:p>
        </w:tc>
        <w:tc>
          <w:tcPr>
            <w:tcW w:w="829" w:type="dxa"/>
            <w:shd w:val="clear" w:color="auto" w:fill="auto"/>
            <w:noWrap/>
            <w:vAlign w:val="center"/>
          </w:tcPr>
          <w:p w14:paraId="708CDC5E" w14:textId="77777777" w:rsidR="007D1E74" w:rsidRDefault="00A95641">
            <w:pPr>
              <w:widowControl/>
              <w:jc w:val="center"/>
              <w:textAlignment w:val="center"/>
              <w:rPr>
                <w:kern w:val="0"/>
                <w:sz w:val="18"/>
                <w:szCs w:val="18"/>
                <w:lang w:bidi="ar"/>
              </w:rPr>
            </w:pPr>
            <w:r>
              <w:rPr>
                <w:kern w:val="0"/>
                <w:sz w:val="18"/>
                <w:szCs w:val="18"/>
                <w:lang w:bidi="ar"/>
              </w:rPr>
              <w:t>/</w:t>
            </w:r>
          </w:p>
        </w:tc>
        <w:tc>
          <w:tcPr>
            <w:tcW w:w="830" w:type="dxa"/>
            <w:shd w:val="clear" w:color="auto" w:fill="auto"/>
            <w:noWrap/>
            <w:vAlign w:val="center"/>
          </w:tcPr>
          <w:p w14:paraId="66EEF6A9" w14:textId="77777777" w:rsidR="007D1E74" w:rsidRDefault="00A95641">
            <w:pPr>
              <w:widowControl/>
              <w:jc w:val="center"/>
              <w:textAlignment w:val="center"/>
              <w:rPr>
                <w:kern w:val="0"/>
                <w:sz w:val="18"/>
                <w:szCs w:val="18"/>
                <w:lang w:bidi="ar"/>
              </w:rPr>
            </w:pPr>
            <w:r>
              <w:rPr>
                <w:kern w:val="0"/>
                <w:sz w:val="18"/>
                <w:szCs w:val="18"/>
                <w:lang w:bidi="ar"/>
              </w:rPr>
              <w:t>/</w:t>
            </w:r>
          </w:p>
        </w:tc>
        <w:tc>
          <w:tcPr>
            <w:tcW w:w="829" w:type="dxa"/>
            <w:shd w:val="clear" w:color="auto" w:fill="auto"/>
            <w:noWrap/>
          </w:tcPr>
          <w:p w14:paraId="78799C9D" w14:textId="77777777" w:rsidR="007D1E74" w:rsidRDefault="00A95641">
            <w:pPr>
              <w:widowControl/>
              <w:jc w:val="center"/>
              <w:textAlignment w:val="center"/>
              <w:rPr>
                <w:kern w:val="0"/>
                <w:sz w:val="18"/>
                <w:szCs w:val="18"/>
                <w:lang w:bidi="ar"/>
              </w:rPr>
            </w:pPr>
            <w:r>
              <w:rPr>
                <w:kern w:val="0"/>
                <w:sz w:val="18"/>
                <w:szCs w:val="18"/>
              </w:rPr>
              <w:t>/</w:t>
            </w:r>
          </w:p>
        </w:tc>
        <w:tc>
          <w:tcPr>
            <w:tcW w:w="830" w:type="dxa"/>
            <w:shd w:val="clear" w:color="auto" w:fill="auto"/>
            <w:noWrap/>
          </w:tcPr>
          <w:p w14:paraId="6C7A3076" w14:textId="77777777" w:rsidR="007D1E74" w:rsidRDefault="00A95641">
            <w:pPr>
              <w:widowControl/>
              <w:jc w:val="center"/>
              <w:textAlignment w:val="center"/>
              <w:rPr>
                <w:kern w:val="0"/>
                <w:sz w:val="18"/>
                <w:szCs w:val="18"/>
                <w:lang w:bidi="ar"/>
              </w:rPr>
            </w:pPr>
            <w:r>
              <w:rPr>
                <w:kern w:val="0"/>
                <w:sz w:val="18"/>
                <w:szCs w:val="18"/>
              </w:rPr>
              <w:t>/</w:t>
            </w:r>
          </w:p>
        </w:tc>
        <w:tc>
          <w:tcPr>
            <w:tcW w:w="556" w:type="dxa"/>
            <w:shd w:val="clear" w:color="auto" w:fill="auto"/>
            <w:noWrap/>
          </w:tcPr>
          <w:p w14:paraId="26A221C5" w14:textId="77777777" w:rsidR="007D1E74" w:rsidRDefault="00A95641">
            <w:pPr>
              <w:widowControl/>
              <w:jc w:val="center"/>
              <w:textAlignment w:val="center"/>
              <w:rPr>
                <w:kern w:val="0"/>
                <w:sz w:val="18"/>
                <w:szCs w:val="18"/>
                <w:lang w:bidi="ar"/>
              </w:rPr>
            </w:pPr>
            <w:r>
              <w:rPr>
                <w:kern w:val="0"/>
                <w:sz w:val="18"/>
                <w:szCs w:val="18"/>
              </w:rPr>
              <w:t>/</w:t>
            </w:r>
          </w:p>
        </w:tc>
        <w:tc>
          <w:tcPr>
            <w:tcW w:w="419" w:type="dxa"/>
            <w:shd w:val="clear" w:color="auto" w:fill="auto"/>
            <w:noWrap/>
          </w:tcPr>
          <w:p w14:paraId="34F642A2" w14:textId="77777777" w:rsidR="007D1E74" w:rsidRDefault="00A95641">
            <w:pPr>
              <w:widowControl/>
              <w:jc w:val="center"/>
              <w:textAlignment w:val="center"/>
              <w:rPr>
                <w:kern w:val="0"/>
                <w:sz w:val="18"/>
                <w:szCs w:val="18"/>
                <w:lang w:bidi="ar"/>
              </w:rPr>
            </w:pPr>
            <w:r>
              <w:rPr>
                <w:kern w:val="0"/>
                <w:sz w:val="18"/>
                <w:szCs w:val="18"/>
              </w:rPr>
              <w:t>/</w:t>
            </w:r>
          </w:p>
        </w:tc>
        <w:tc>
          <w:tcPr>
            <w:tcW w:w="810" w:type="dxa"/>
            <w:vAlign w:val="center"/>
          </w:tcPr>
          <w:p w14:paraId="6666FFF0" w14:textId="77777777" w:rsidR="007D1E74" w:rsidRDefault="00A95641">
            <w:pPr>
              <w:widowControl/>
              <w:jc w:val="center"/>
              <w:textAlignment w:val="center"/>
              <w:rPr>
                <w:rFonts w:eastAsia="微软雅黑"/>
                <w:sz w:val="18"/>
                <w:szCs w:val="18"/>
              </w:rPr>
            </w:pPr>
            <w:r>
              <w:rPr>
                <w:rFonts w:eastAsia="微软雅黑"/>
                <w:sz w:val="18"/>
                <w:szCs w:val="18"/>
              </w:rPr>
              <w:t>1.189</w:t>
            </w:r>
          </w:p>
        </w:tc>
      </w:tr>
      <w:tr w:rsidR="007D1E74" w14:paraId="33F073D3" w14:textId="77777777">
        <w:trPr>
          <w:jc w:val="center"/>
        </w:trPr>
        <w:tc>
          <w:tcPr>
            <w:tcW w:w="812" w:type="dxa"/>
            <w:vMerge/>
            <w:shd w:val="clear" w:color="auto" w:fill="auto"/>
            <w:noWrap/>
            <w:vAlign w:val="center"/>
          </w:tcPr>
          <w:p w14:paraId="725A83E1" w14:textId="77777777" w:rsidR="007D1E74" w:rsidRDefault="007D1E74">
            <w:pPr>
              <w:widowControl/>
              <w:jc w:val="center"/>
              <w:rPr>
                <w:kern w:val="0"/>
                <w:sz w:val="18"/>
                <w:szCs w:val="18"/>
              </w:rPr>
            </w:pPr>
          </w:p>
        </w:tc>
        <w:tc>
          <w:tcPr>
            <w:tcW w:w="1239" w:type="dxa"/>
            <w:shd w:val="clear" w:color="auto" w:fill="auto"/>
            <w:noWrap/>
            <w:vAlign w:val="center"/>
          </w:tcPr>
          <w:p w14:paraId="158230AC" w14:textId="77777777" w:rsidR="007D1E74" w:rsidRDefault="00A95641">
            <w:pPr>
              <w:widowControl/>
              <w:jc w:val="center"/>
              <w:rPr>
                <w:rFonts w:eastAsiaTheme="minorEastAsia"/>
                <w:kern w:val="0"/>
                <w:sz w:val="18"/>
                <w:szCs w:val="18"/>
              </w:rPr>
            </w:pPr>
            <w:r>
              <w:rPr>
                <w:rFonts w:eastAsiaTheme="minorEastAsia"/>
                <w:sz w:val="18"/>
                <w:szCs w:val="18"/>
              </w:rPr>
              <w:t>马</w:t>
            </w:r>
            <w:r>
              <w:rPr>
                <w:rFonts w:eastAsiaTheme="minorEastAsia"/>
                <w:sz w:val="18"/>
                <w:szCs w:val="18"/>
              </w:rPr>
              <w:t>1-13H</w:t>
            </w:r>
          </w:p>
        </w:tc>
        <w:tc>
          <w:tcPr>
            <w:tcW w:w="830" w:type="dxa"/>
            <w:shd w:val="clear" w:color="auto" w:fill="auto"/>
            <w:noWrap/>
            <w:vAlign w:val="center"/>
          </w:tcPr>
          <w:p w14:paraId="3E91F98C" w14:textId="77777777" w:rsidR="007D1E74" w:rsidRDefault="00A95641">
            <w:pPr>
              <w:widowControl/>
              <w:jc w:val="center"/>
              <w:textAlignment w:val="center"/>
              <w:rPr>
                <w:kern w:val="0"/>
                <w:sz w:val="18"/>
                <w:szCs w:val="18"/>
                <w:lang w:bidi="ar"/>
              </w:rPr>
            </w:pPr>
            <w:r>
              <w:rPr>
                <w:rFonts w:eastAsia="微软雅黑"/>
                <w:sz w:val="18"/>
                <w:szCs w:val="18"/>
              </w:rPr>
              <w:t>0.1978</w:t>
            </w:r>
          </w:p>
        </w:tc>
        <w:tc>
          <w:tcPr>
            <w:tcW w:w="829" w:type="dxa"/>
            <w:shd w:val="clear" w:color="auto" w:fill="auto"/>
            <w:noWrap/>
            <w:vAlign w:val="center"/>
          </w:tcPr>
          <w:p w14:paraId="011F3925" w14:textId="77777777" w:rsidR="007D1E74" w:rsidRDefault="00A95641">
            <w:pPr>
              <w:widowControl/>
              <w:jc w:val="center"/>
              <w:textAlignment w:val="center"/>
              <w:rPr>
                <w:kern w:val="0"/>
                <w:sz w:val="18"/>
                <w:szCs w:val="18"/>
                <w:lang w:bidi="ar"/>
              </w:rPr>
            </w:pPr>
            <w:r>
              <w:rPr>
                <w:rFonts w:eastAsia="微软雅黑"/>
                <w:sz w:val="18"/>
                <w:szCs w:val="18"/>
              </w:rPr>
              <w:t>0.3886</w:t>
            </w:r>
          </w:p>
        </w:tc>
        <w:tc>
          <w:tcPr>
            <w:tcW w:w="830" w:type="dxa"/>
            <w:vAlign w:val="center"/>
          </w:tcPr>
          <w:p w14:paraId="25DFE648" w14:textId="77777777" w:rsidR="007D1E74" w:rsidRDefault="00A95641">
            <w:pPr>
              <w:widowControl/>
              <w:jc w:val="center"/>
              <w:textAlignment w:val="center"/>
              <w:rPr>
                <w:kern w:val="0"/>
                <w:sz w:val="18"/>
                <w:szCs w:val="18"/>
                <w:lang w:bidi="ar"/>
              </w:rPr>
            </w:pPr>
            <w:r>
              <w:rPr>
                <w:rFonts w:eastAsia="微软雅黑"/>
                <w:sz w:val="18"/>
                <w:szCs w:val="18"/>
              </w:rPr>
              <w:t>0.0636</w:t>
            </w:r>
          </w:p>
        </w:tc>
        <w:tc>
          <w:tcPr>
            <w:tcW w:w="829" w:type="dxa"/>
            <w:shd w:val="clear" w:color="auto" w:fill="auto"/>
            <w:noWrap/>
            <w:vAlign w:val="center"/>
          </w:tcPr>
          <w:p w14:paraId="19922796" w14:textId="77777777" w:rsidR="007D1E74" w:rsidRDefault="00A95641">
            <w:pPr>
              <w:widowControl/>
              <w:jc w:val="center"/>
              <w:textAlignment w:val="center"/>
              <w:rPr>
                <w:kern w:val="0"/>
                <w:sz w:val="18"/>
                <w:szCs w:val="18"/>
                <w:lang w:bidi="ar"/>
              </w:rPr>
            </w:pPr>
            <w:r>
              <w:rPr>
                <w:rFonts w:eastAsia="微软雅黑"/>
                <w:sz w:val="18"/>
                <w:szCs w:val="18"/>
              </w:rPr>
              <w:t>0.0565</w:t>
            </w:r>
          </w:p>
        </w:tc>
        <w:tc>
          <w:tcPr>
            <w:tcW w:w="830" w:type="dxa"/>
            <w:shd w:val="clear" w:color="auto" w:fill="auto"/>
            <w:noWrap/>
            <w:vAlign w:val="center"/>
          </w:tcPr>
          <w:p w14:paraId="170552CA" w14:textId="77777777" w:rsidR="007D1E74" w:rsidRDefault="00A95641">
            <w:pPr>
              <w:widowControl/>
              <w:jc w:val="center"/>
              <w:textAlignment w:val="center"/>
              <w:rPr>
                <w:kern w:val="0"/>
                <w:sz w:val="18"/>
                <w:szCs w:val="18"/>
                <w:lang w:bidi="ar"/>
              </w:rPr>
            </w:pPr>
            <w:r>
              <w:rPr>
                <w:kern w:val="0"/>
                <w:sz w:val="18"/>
                <w:szCs w:val="18"/>
                <w:lang w:bidi="ar"/>
              </w:rPr>
              <w:t>/</w:t>
            </w:r>
          </w:p>
        </w:tc>
        <w:tc>
          <w:tcPr>
            <w:tcW w:w="829" w:type="dxa"/>
            <w:shd w:val="clear" w:color="auto" w:fill="auto"/>
            <w:noWrap/>
          </w:tcPr>
          <w:p w14:paraId="4245CE6F" w14:textId="77777777" w:rsidR="007D1E74" w:rsidRDefault="00A95641">
            <w:pPr>
              <w:widowControl/>
              <w:jc w:val="center"/>
              <w:textAlignment w:val="center"/>
              <w:rPr>
                <w:kern w:val="0"/>
                <w:sz w:val="18"/>
                <w:szCs w:val="18"/>
                <w:lang w:bidi="ar"/>
              </w:rPr>
            </w:pPr>
            <w:r>
              <w:rPr>
                <w:kern w:val="0"/>
                <w:sz w:val="18"/>
                <w:szCs w:val="18"/>
              </w:rPr>
              <w:t>/</w:t>
            </w:r>
          </w:p>
        </w:tc>
        <w:tc>
          <w:tcPr>
            <w:tcW w:w="830" w:type="dxa"/>
            <w:shd w:val="clear" w:color="auto" w:fill="auto"/>
            <w:noWrap/>
          </w:tcPr>
          <w:p w14:paraId="0B0D5F9E" w14:textId="77777777" w:rsidR="007D1E74" w:rsidRDefault="00A95641">
            <w:pPr>
              <w:widowControl/>
              <w:jc w:val="center"/>
              <w:textAlignment w:val="center"/>
              <w:rPr>
                <w:kern w:val="0"/>
                <w:sz w:val="18"/>
                <w:szCs w:val="18"/>
                <w:lang w:bidi="ar"/>
              </w:rPr>
            </w:pPr>
            <w:r>
              <w:rPr>
                <w:kern w:val="0"/>
                <w:sz w:val="18"/>
                <w:szCs w:val="18"/>
              </w:rPr>
              <w:t>/</w:t>
            </w:r>
          </w:p>
        </w:tc>
        <w:tc>
          <w:tcPr>
            <w:tcW w:w="556" w:type="dxa"/>
            <w:shd w:val="clear" w:color="auto" w:fill="auto"/>
            <w:noWrap/>
          </w:tcPr>
          <w:p w14:paraId="1B19DFC1" w14:textId="77777777" w:rsidR="007D1E74" w:rsidRDefault="00A95641">
            <w:pPr>
              <w:widowControl/>
              <w:jc w:val="center"/>
              <w:textAlignment w:val="center"/>
              <w:rPr>
                <w:kern w:val="0"/>
                <w:sz w:val="18"/>
                <w:szCs w:val="18"/>
                <w:lang w:bidi="ar"/>
              </w:rPr>
            </w:pPr>
            <w:r>
              <w:rPr>
                <w:kern w:val="0"/>
                <w:sz w:val="18"/>
                <w:szCs w:val="18"/>
              </w:rPr>
              <w:t>/</w:t>
            </w:r>
          </w:p>
        </w:tc>
        <w:tc>
          <w:tcPr>
            <w:tcW w:w="419" w:type="dxa"/>
            <w:shd w:val="clear" w:color="auto" w:fill="auto"/>
            <w:noWrap/>
          </w:tcPr>
          <w:p w14:paraId="4AA9C129" w14:textId="77777777" w:rsidR="007D1E74" w:rsidRDefault="00A95641">
            <w:pPr>
              <w:widowControl/>
              <w:jc w:val="center"/>
              <w:textAlignment w:val="center"/>
              <w:rPr>
                <w:kern w:val="0"/>
                <w:sz w:val="18"/>
                <w:szCs w:val="18"/>
                <w:lang w:bidi="ar"/>
              </w:rPr>
            </w:pPr>
            <w:r>
              <w:rPr>
                <w:kern w:val="0"/>
                <w:sz w:val="18"/>
                <w:szCs w:val="18"/>
              </w:rPr>
              <w:t>/</w:t>
            </w:r>
          </w:p>
        </w:tc>
        <w:tc>
          <w:tcPr>
            <w:tcW w:w="810" w:type="dxa"/>
            <w:vAlign w:val="center"/>
          </w:tcPr>
          <w:p w14:paraId="6D6417C3" w14:textId="77777777" w:rsidR="007D1E74" w:rsidRDefault="00A95641">
            <w:pPr>
              <w:widowControl/>
              <w:jc w:val="center"/>
              <w:textAlignment w:val="center"/>
              <w:rPr>
                <w:rFonts w:eastAsia="微软雅黑"/>
                <w:sz w:val="18"/>
                <w:szCs w:val="18"/>
              </w:rPr>
            </w:pPr>
            <w:r>
              <w:rPr>
                <w:rFonts w:eastAsia="微软雅黑"/>
                <w:sz w:val="18"/>
                <w:szCs w:val="18"/>
              </w:rPr>
              <w:t>0.7065</w:t>
            </w:r>
          </w:p>
        </w:tc>
      </w:tr>
      <w:tr w:rsidR="007D1E74" w14:paraId="4287B9C1" w14:textId="77777777">
        <w:trPr>
          <w:jc w:val="center"/>
        </w:trPr>
        <w:tc>
          <w:tcPr>
            <w:tcW w:w="812" w:type="dxa"/>
            <w:vMerge/>
            <w:shd w:val="clear" w:color="auto" w:fill="auto"/>
            <w:noWrap/>
            <w:vAlign w:val="center"/>
          </w:tcPr>
          <w:p w14:paraId="2A98335B" w14:textId="77777777" w:rsidR="007D1E74" w:rsidRDefault="007D1E74">
            <w:pPr>
              <w:widowControl/>
              <w:jc w:val="center"/>
              <w:rPr>
                <w:kern w:val="0"/>
                <w:sz w:val="18"/>
                <w:szCs w:val="18"/>
              </w:rPr>
            </w:pPr>
          </w:p>
        </w:tc>
        <w:tc>
          <w:tcPr>
            <w:tcW w:w="1239" w:type="dxa"/>
            <w:shd w:val="clear" w:color="auto" w:fill="auto"/>
            <w:noWrap/>
            <w:vAlign w:val="center"/>
          </w:tcPr>
          <w:p w14:paraId="2BF6EB66" w14:textId="77777777" w:rsidR="007D1E74" w:rsidRDefault="00A95641">
            <w:pPr>
              <w:widowControl/>
              <w:jc w:val="center"/>
              <w:rPr>
                <w:rFonts w:eastAsiaTheme="minorEastAsia"/>
                <w:kern w:val="0"/>
                <w:sz w:val="18"/>
                <w:szCs w:val="18"/>
              </w:rPr>
            </w:pPr>
            <w:r>
              <w:rPr>
                <w:rFonts w:eastAsiaTheme="minorEastAsia"/>
                <w:sz w:val="18"/>
                <w:szCs w:val="18"/>
              </w:rPr>
              <w:t>4#</w:t>
            </w:r>
            <w:r>
              <w:rPr>
                <w:rFonts w:eastAsiaTheme="minorEastAsia"/>
                <w:sz w:val="18"/>
                <w:szCs w:val="18"/>
              </w:rPr>
              <w:t>清管阀室至增压站</w:t>
            </w:r>
          </w:p>
        </w:tc>
        <w:tc>
          <w:tcPr>
            <w:tcW w:w="830" w:type="dxa"/>
            <w:shd w:val="clear" w:color="auto" w:fill="auto"/>
            <w:noWrap/>
            <w:vAlign w:val="center"/>
          </w:tcPr>
          <w:p w14:paraId="3AB16A84" w14:textId="77777777" w:rsidR="007D1E74" w:rsidRDefault="00A95641">
            <w:pPr>
              <w:widowControl/>
              <w:jc w:val="center"/>
              <w:textAlignment w:val="center"/>
              <w:rPr>
                <w:kern w:val="0"/>
                <w:sz w:val="18"/>
                <w:szCs w:val="18"/>
                <w:lang w:bidi="ar"/>
              </w:rPr>
            </w:pPr>
            <w:r>
              <w:rPr>
                <w:rFonts w:eastAsia="微软雅黑"/>
                <w:sz w:val="18"/>
                <w:szCs w:val="18"/>
              </w:rPr>
              <w:t>4.3998</w:t>
            </w:r>
          </w:p>
        </w:tc>
        <w:tc>
          <w:tcPr>
            <w:tcW w:w="829" w:type="dxa"/>
            <w:shd w:val="clear" w:color="auto" w:fill="auto"/>
            <w:noWrap/>
            <w:vAlign w:val="center"/>
          </w:tcPr>
          <w:p w14:paraId="43502837" w14:textId="77777777" w:rsidR="007D1E74" w:rsidRDefault="00A95641">
            <w:pPr>
              <w:widowControl/>
              <w:jc w:val="center"/>
              <w:textAlignment w:val="center"/>
              <w:rPr>
                <w:kern w:val="0"/>
                <w:sz w:val="18"/>
                <w:szCs w:val="18"/>
                <w:lang w:bidi="ar"/>
              </w:rPr>
            </w:pPr>
            <w:r>
              <w:rPr>
                <w:rFonts w:eastAsia="微软雅黑"/>
                <w:sz w:val="18"/>
                <w:szCs w:val="18"/>
              </w:rPr>
              <w:t>8.9567</w:t>
            </w:r>
          </w:p>
        </w:tc>
        <w:tc>
          <w:tcPr>
            <w:tcW w:w="830" w:type="dxa"/>
            <w:vAlign w:val="center"/>
          </w:tcPr>
          <w:p w14:paraId="75238CC9" w14:textId="77777777" w:rsidR="007D1E74" w:rsidRDefault="00A95641">
            <w:pPr>
              <w:widowControl/>
              <w:jc w:val="center"/>
              <w:textAlignment w:val="center"/>
              <w:rPr>
                <w:kern w:val="0"/>
                <w:sz w:val="18"/>
                <w:szCs w:val="18"/>
                <w:lang w:bidi="ar"/>
              </w:rPr>
            </w:pPr>
            <w:r>
              <w:rPr>
                <w:rFonts w:eastAsia="微软雅黑"/>
                <w:sz w:val="18"/>
                <w:szCs w:val="18"/>
              </w:rPr>
              <w:t>2.0999</w:t>
            </w:r>
          </w:p>
        </w:tc>
        <w:tc>
          <w:tcPr>
            <w:tcW w:w="829" w:type="dxa"/>
            <w:shd w:val="clear" w:color="auto" w:fill="auto"/>
            <w:noWrap/>
            <w:vAlign w:val="center"/>
          </w:tcPr>
          <w:p w14:paraId="6FDCEDCF" w14:textId="77777777" w:rsidR="007D1E74" w:rsidRDefault="00A95641">
            <w:pPr>
              <w:widowControl/>
              <w:jc w:val="center"/>
              <w:textAlignment w:val="center"/>
              <w:rPr>
                <w:kern w:val="0"/>
                <w:sz w:val="18"/>
                <w:szCs w:val="18"/>
                <w:lang w:bidi="ar"/>
              </w:rPr>
            </w:pPr>
            <w:r>
              <w:rPr>
                <w:rFonts w:eastAsia="微软雅黑"/>
                <w:sz w:val="18"/>
                <w:szCs w:val="18"/>
              </w:rPr>
              <w:t>0.2571</w:t>
            </w:r>
          </w:p>
        </w:tc>
        <w:tc>
          <w:tcPr>
            <w:tcW w:w="830" w:type="dxa"/>
            <w:shd w:val="clear" w:color="auto" w:fill="auto"/>
            <w:noWrap/>
            <w:vAlign w:val="center"/>
          </w:tcPr>
          <w:p w14:paraId="099C0288" w14:textId="77777777" w:rsidR="007D1E74" w:rsidRDefault="00A95641">
            <w:pPr>
              <w:widowControl/>
              <w:jc w:val="center"/>
              <w:textAlignment w:val="center"/>
              <w:rPr>
                <w:kern w:val="0"/>
                <w:sz w:val="18"/>
                <w:szCs w:val="18"/>
                <w:lang w:bidi="ar"/>
              </w:rPr>
            </w:pPr>
            <w:r>
              <w:rPr>
                <w:kern w:val="0"/>
                <w:sz w:val="18"/>
                <w:szCs w:val="18"/>
                <w:lang w:bidi="ar"/>
              </w:rPr>
              <w:t>/</w:t>
            </w:r>
          </w:p>
        </w:tc>
        <w:tc>
          <w:tcPr>
            <w:tcW w:w="829" w:type="dxa"/>
            <w:shd w:val="clear" w:color="auto" w:fill="auto"/>
            <w:noWrap/>
          </w:tcPr>
          <w:p w14:paraId="4119D746" w14:textId="77777777" w:rsidR="007D1E74" w:rsidRDefault="00A95641">
            <w:pPr>
              <w:widowControl/>
              <w:jc w:val="center"/>
              <w:textAlignment w:val="center"/>
              <w:rPr>
                <w:kern w:val="0"/>
                <w:sz w:val="18"/>
                <w:szCs w:val="18"/>
                <w:lang w:bidi="ar"/>
              </w:rPr>
            </w:pPr>
            <w:r>
              <w:rPr>
                <w:kern w:val="0"/>
                <w:sz w:val="18"/>
                <w:szCs w:val="18"/>
              </w:rPr>
              <w:t>/</w:t>
            </w:r>
          </w:p>
        </w:tc>
        <w:tc>
          <w:tcPr>
            <w:tcW w:w="830" w:type="dxa"/>
            <w:shd w:val="clear" w:color="auto" w:fill="auto"/>
            <w:noWrap/>
          </w:tcPr>
          <w:p w14:paraId="1764774B" w14:textId="77777777" w:rsidR="007D1E74" w:rsidRDefault="00A95641">
            <w:pPr>
              <w:widowControl/>
              <w:jc w:val="center"/>
              <w:textAlignment w:val="center"/>
              <w:rPr>
                <w:kern w:val="0"/>
                <w:sz w:val="18"/>
                <w:szCs w:val="18"/>
                <w:lang w:bidi="ar"/>
              </w:rPr>
            </w:pPr>
            <w:r>
              <w:rPr>
                <w:kern w:val="0"/>
                <w:sz w:val="18"/>
                <w:szCs w:val="18"/>
              </w:rPr>
              <w:t>/</w:t>
            </w:r>
          </w:p>
        </w:tc>
        <w:tc>
          <w:tcPr>
            <w:tcW w:w="556" w:type="dxa"/>
            <w:shd w:val="clear" w:color="auto" w:fill="auto"/>
            <w:noWrap/>
          </w:tcPr>
          <w:p w14:paraId="04412A14" w14:textId="77777777" w:rsidR="007D1E74" w:rsidRDefault="00A95641">
            <w:pPr>
              <w:widowControl/>
              <w:jc w:val="center"/>
              <w:textAlignment w:val="center"/>
              <w:rPr>
                <w:kern w:val="0"/>
                <w:sz w:val="18"/>
                <w:szCs w:val="18"/>
                <w:lang w:bidi="ar"/>
              </w:rPr>
            </w:pPr>
            <w:r>
              <w:rPr>
                <w:kern w:val="0"/>
                <w:sz w:val="18"/>
                <w:szCs w:val="18"/>
              </w:rPr>
              <w:t>/</w:t>
            </w:r>
          </w:p>
        </w:tc>
        <w:tc>
          <w:tcPr>
            <w:tcW w:w="419" w:type="dxa"/>
            <w:shd w:val="clear" w:color="auto" w:fill="auto"/>
            <w:noWrap/>
          </w:tcPr>
          <w:p w14:paraId="52F7ECB9" w14:textId="77777777" w:rsidR="007D1E74" w:rsidRDefault="00A95641">
            <w:pPr>
              <w:widowControl/>
              <w:jc w:val="center"/>
              <w:textAlignment w:val="center"/>
              <w:rPr>
                <w:kern w:val="0"/>
                <w:sz w:val="18"/>
                <w:szCs w:val="18"/>
                <w:lang w:bidi="ar"/>
              </w:rPr>
            </w:pPr>
            <w:r>
              <w:rPr>
                <w:kern w:val="0"/>
                <w:sz w:val="18"/>
                <w:szCs w:val="18"/>
              </w:rPr>
              <w:t>/</w:t>
            </w:r>
          </w:p>
        </w:tc>
        <w:tc>
          <w:tcPr>
            <w:tcW w:w="810" w:type="dxa"/>
            <w:vAlign w:val="center"/>
          </w:tcPr>
          <w:p w14:paraId="0C415C89" w14:textId="77777777" w:rsidR="007D1E74" w:rsidRDefault="00A95641">
            <w:pPr>
              <w:widowControl/>
              <w:jc w:val="center"/>
              <w:textAlignment w:val="center"/>
              <w:rPr>
                <w:rFonts w:eastAsia="微软雅黑"/>
                <w:sz w:val="18"/>
                <w:szCs w:val="18"/>
              </w:rPr>
            </w:pPr>
            <w:r>
              <w:rPr>
                <w:rFonts w:eastAsia="微软雅黑"/>
                <w:sz w:val="18"/>
                <w:szCs w:val="18"/>
              </w:rPr>
              <w:t>15.7135</w:t>
            </w:r>
          </w:p>
        </w:tc>
      </w:tr>
      <w:tr w:rsidR="007D1E74" w14:paraId="54FFB9F9" w14:textId="77777777">
        <w:trPr>
          <w:jc w:val="center"/>
        </w:trPr>
        <w:tc>
          <w:tcPr>
            <w:tcW w:w="812" w:type="dxa"/>
            <w:vMerge/>
            <w:shd w:val="clear" w:color="auto" w:fill="auto"/>
            <w:noWrap/>
            <w:vAlign w:val="center"/>
          </w:tcPr>
          <w:p w14:paraId="6BEDED9D" w14:textId="77777777" w:rsidR="007D1E74" w:rsidRDefault="007D1E74">
            <w:pPr>
              <w:widowControl/>
              <w:jc w:val="center"/>
              <w:rPr>
                <w:kern w:val="0"/>
                <w:sz w:val="18"/>
                <w:szCs w:val="18"/>
              </w:rPr>
            </w:pPr>
          </w:p>
        </w:tc>
        <w:tc>
          <w:tcPr>
            <w:tcW w:w="1239" w:type="dxa"/>
            <w:shd w:val="clear" w:color="auto" w:fill="auto"/>
            <w:noWrap/>
            <w:vAlign w:val="center"/>
          </w:tcPr>
          <w:p w14:paraId="21C18B56" w14:textId="77777777" w:rsidR="007D1E74" w:rsidRDefault="00A95641">
            <w:pPr>
              <w:widowControl/>
              <w:jc w:val="center"/>
              <w:rPr>
                <w:rFonts w:eastAsiaTheme="minorEastAsia"/>
                <w:kern w:val="0"/>
                <w:sz w:val="18"/>
                <w:szCs w:val="18"/>
              </w:rPr>
            </w:pPr>
            <w:r>
              <w:rPr>
                <w:rFonts w:eastAsiaTheme="minorEastAsia"/>
                <w:sz w:val="18"/>
                <w:szCs w:val="18"/>
              </w:rPr>
              <w:t>马</w:t>
            </w:r>
            <w:r>
              <w:rPr>
                <w:rFonts w:eastAsiaTheme="minorEastAsia"/>
                <w:sz w:val="18"/>
                <w:szCs w:val="18"/>
              </w:rPr>
              <w:t>1-12</w:t>
            </w:r>
          </w:p>
        </w:tc>
        <w:tc>
          <w:tcPr>
            <w:tcW w:w="830" w:type="dxa"/>
            <w:shd w:val="clear" w:color="auto" w:fill="auto"/>
            <w:noWrap/>
            <w:vAlign w:val="center"/>
          </w:tcPr>
          <w:p w14:paraId="190B19EB" w14:textId="77777777" w:rsidR="007D1E74" w:rsidRDefault="00A95641">
            <w:pPr>
              <w:widowControl/>
              <w:jc w:val="center"/>
              <w:textAlignment w:val="center"/>
              <w:rPr>
                <w:kern w:val="0"/>
                <w:sz w:val="18"/>
                <w:szCs w:val="18"/>
                <w:lang w:bidi="ar"/>
              </w:rPr>
            </w:pPr>
            <w:r>
              <w:rPr>
                <w:rFonts w:eastAsia="微软雅黑"/>
                <w:sz w:val="18"/>
                <w:szCs w:val="18"/>
              </w:rPr>
              <w:t>0.448</w:t>
            </w:r>
          </w:p>
        </w:tc>
        <w:tc>
          <w:tcPr>
            <w:tcW w:w="829" w:type="dxa"/>
            <w:shd w:val="clear" w:color="auto" w:fill="auto"/>
            <w:noWrap/>
            <w:vAlign w:val="center"/>
          </w:tcPr>
          <w:p w14:paraId="59EDFE46" w14:textId="77777777" w:rsidR="007D1E74" w:rsidRDefault="00A95641">
            <w:pPr>
              <w:widowControl/>
              <w:jc w:val="center"/>
              <w:textAlignment w:val="center"/>
              <w:rPr>
                <w:kern w:val="0"/>
                <w:sz w:val="18"/>
                <w:szCs w:val="18"/>
                <w:lang w:bidi="ar"/>
              </w:rPr>
            </w:pPr>
            <w:r>
              <w:rPr>
                <w:rFonts w:eastAsia="微软雅黑"/>
                <w:sz w:val="18"/>
                <w:szCs w:val="18"/>
              </w:rPr>
              <w:t>0.88</w:t>
            </w:r>
          </w:p>
        </w:tc>
        <w:tc>
          <w:tcPr>
            <w:tcW w:w="830" w:type="dxa"/>
            <w:vAlign w:val="center"/>
          </w:tcPr>
          <w:p w14:paraId="1A409C39" w14:textId="77777777" w:rsidR="007D1E74" w:rsidRDefault="00A95641">
            <w:pPr>
              <w:widowControl/>
              <w:jc w:val="center"/>
              <w:textAlignment w:val="center"/>
              <w:rPr>
                <w:kern w:val="0"/>
                <w:sz w:val="18"/>
                <w:szCs w:val="18"/>
                <w:lang w:bidi="ar"/>
              </w:rPr>
            </w:pPr>
            <w:r>
              <w:rPr>
                <w:rFonts w:eastAsia="微软雅黑"/>
                <w:sz w:val="18"/>
                <w:szCs w:val="18"/>
              </w:rPr>
              <w:t>0.112</w:t>
            </w:r>
          </w:p>
        </w:tc>
        <w:tc>
          <w:tcPr>
            <w:tcW w:w="829" w:type="dxa"/>
            <w:shd w:val="clear" w:color="auto" w:fill="auto"/>
            <w:noWrap/>
            <w:vAlign w:val="center"/>
          </w:tcPr>
          <w:p w14:paraId="3BB5F38D" w14:textId="77777777" w:rsidR="007D1E74" w:rsidRDefault="00A95641">
            <w:pPr>
              <w:widowControl/>
              <w:jc w:val="center"/>
              <w:textAlignment w:val="center"/>
              <w:rPr>
                <w:kern w:val="0"/>
                <w:sz w:val="18"/>
                <w:szCs w:val="18"/>
                <w:lang w:bidi="ar"/>
              </w:rPr>
            </w:pPr>
            <w:r>
              <w:rPr>
                <w:rFonts w:eastAsia="微软雅黑"/>
                <w:sz w:val="18"/>
                <w:szCs w:val="18"/>
              </w:rPr>
              <w:t>0.128</w:t>
            </w:r>
          </w:p>
        </w:tc>
        <w:tc>
          <w:tcPr>
            <w:tcW w:w="830" w:type="dxa"/>
            <w:shd w:val="clear" w:color="auto" w:fill="auto"/>
            <w:noWrap/>
            <w:vAlign w:val="center"/>
          </w:tcPr>
          <w:p w14:paraId="4E4D2E94" w14:textId="77777777" w:rsidR="007D1E74" w:rsidRDefault="00A95641">
            <w:pPr>
              <w:widowControl/>
              <w:jc w:val="center"/>
              <w:textAlignment w:val="center"/>
              <w:rPr>
                <w:kern w:val="0"/>
                <w:sz w:val="18"/>
                <w:szCs w:val="18"/>
                <w:lang w:bidi="ar"/>
              </w:rPr>
            </w:pPr>
            <w:r>
              <w:rPr>
                <w:rFonts w:eastAsia="微软雅黑"/>
                <w:sz w:val="18"/>
                <w:szCs w:val="18"/>
              </w:rPr>
              <w:t>0.032</w:t>
            </w:r>
          </w:p>
        </w:tc>
        <w:tc>
          <w:tcPr>
            <w:tcW w:w="829" w:type="dxa"/>
            <w:shd w:val="clear" w:color="auto" w:fill="auto"/>
            <w:noWrap/>
          </w:tcPr>
          <w:p w14:paraId="0200D31D" w14:textId="77777777" w:rsidR="007D1E74" w:rsidRDefault="00A95641">
            <w:pPr>
              <w:widowControl/>
              <w:jc w:val="center"/>
              <w:textAlignment w:val="center"/>
              <w:rPr>
                <w:kern w:val="0"/>
                <w:sz w:val="18"/>
                <w:szCs w:val="18"/>
                <w:lang w:bidi="ar"/>
              </w:rPr>
            </w:pPr>
            <w:r>
              <w:rPr>
                <w:kern w:val="0"/>
                <w:sz w:val="18"/>
                <w:szCs w:val="18"/>
              </w:rPr>
              <w:t>/</w:t>
            </w:r>
          </w:p>
        </w:tc>
        <w:tc>
          <w:tcPr>
            <w:tcW w:w="830" w:type="dxa"/>
            <w:shd w:val="clear" w:color="auto" w:fill="auto"/>
            <w:noWrap/>
          </w:tcPr>
          <w:p w14:paraId="74AFAFDC" w14:textId="77777777" w:rsidR="007D1E74" w:rsidRDefault="00A95641">
            <w:pPr>
              <w:widowControl/>
              <w:jc w:val="center"/>
              <w:textAlignment w:val="center"/>
              <w:rPr>
                <w:kern w:val="0"/>
                <w:sz w:val="18"/>
                <w:szCs w:val="18"/>
                <w:lang w:bidi="ar"/>
              </w:rPr>
            </w:pPr>
            <w:r>
              <w:rPr>
                <w:kern w:val="0"/>
                <w:sz w:val="18"/>
                <w:szCs w:val="18"/>
              </w:rPr>
              <w:t>/</w:t>
            </w:r>
          </w:p>
        </w:tc>
        <w:tc>
          <w:tcPr>
            <w:tcW w:w="556" w:type="dxa"/>
            <w:shd w:val="clear" w:color="auto" w:fill="auto"/>
            <w:noWrap/>
          </w:tcPr>
          <w:p w14:paraId="12FA9133" w14:textId="77777777" w:rsidR="007D1E74" w:rsidRDefault="00A95641">
            <w:pPr>
              <w:widowControl/>
              <w:jc w:val="center"/>
              <w:textAlignment w:val="center"/>
              <w:rPr>
                <w:kern w:val="0"/>
                <w:sz w:val="18"/>
                <w:szCs w:val="18"/>
                <w:lang w:bidi="ar"/>
              </w:rPr>
            </w:pPr>
            <w:r>
              <w:rPr>
                <w:kern w:val="0"/>
                <w:sz w:val="18"/>
                <w:szCs w:val="18"/>
              </w:rPr>
              <w:t>/</w:t>
            </w:r>
          </w:p>
        </w:tc>
        <w:tc>
          <w:tcPr>
            <w:tcW w:w="419" w:type="dxa"/>
            <w:shd w:val="clear" w:color="auto" w:fill="auto"/>
            <w:noWrap/>
          </w:tcPr>
          <w:p w14:paraId="31A108E7" w14:textId="77777777" w:rsidR="007D1E74" w:rsidRDefault="00A95641">
            <w:pPr>
              <w:widowControl/>
              <w:jc w:val="center"/>
              <w:textAlignment w:val="center"/>
              <w:rPr>
                <w:kern w:val="0"/>
                <w:sz w:val="18"/>
                <w:szCs w:val="18"/>
                <w:lang w:bidi="ar"/>
              </w:rPr>
            </w:pPr>
            <w:r>
              <w:rPr>
                <w:kern w:val="0"/>
                <w:sz w:val="18"/>
                <w:szCs w:val="18"/>
              </w:rPr>
              <w:t>/</w:t>
            </w:r>
          </w:p>
        </w:tc>
        <w:tc>
          <w:tcPr>
            <w:tcW w:w="810" w:type="dxa"/>
            <w:vAlign w:val="center"/>
          </w:tcPr>
          <w:p w14:paraId="09DF4250" w14:textId="77777777" w:rsidR="007D1E74" w:rsidRDefault="00A95641">
            <w:pPr>
              <w:widowControl/>
              <w:jc w:val="center"/>
              <w:textAlignment w:val="center"/>
              <w:rPr>
                <w:rFonts w:eastAsia="微软雅黑"/>
                <w:sz w:val="18"/>
                <w:szCs w:val="18"/>
              </w:rPr>
            </w:pPr>
            <w:r>
              <w:rPr>
                <w:rFonts w:eastAsia="微软雅黑"/>
                <w:sz w:val="18"/>
                <w:szCs w:val="18"/>
              </w:rPr>
              <w:t>1.6</w:t>
            </w:r>
          </w:p>
        </w:tc>
      </w:tr>
      <w:tr w:rsidR="007D1E74" w14:paraId="54985CE1" w14:textId="77777777">
        <w:trPr>
          <w:jc w:val="center"/>
        </w:trPr>
        <w:tc>
          <w:tcPr>
            <w:tcW w:w="2051" w:type="dxa"/>
            <w:gridSpan w:val="2"/>
            <w:shd w:val="clear" w:color="auto" w:fill="auto"/>
            <w:noWrap/>
            <w:vAlign w:val="center"/>
          </w:tcPr>
          <w:p w14:paraId="718E6729" w14:textId="77777777" w:rsidR="007D1E74" w:rsidRDefault="00A95641">
            <w:pPr>
              <w:widowControl/>
              <w:jc w:val="center"/>
              <w:rPr>
                <w:kern w:val="0"/>
                <w:sz w:val="18"/>
                <w:szCs w:val="18"/>
              </w:rPr>
            </w:pPr>
            <w:r>
              <w:rPr>
                <w:sz w:val="18"/>
                <w:szCs w:val="18"/>
              </w:rPr>
              <w:t>标识标牌</w:t>
            </w:r>
          </w:p>
        </w:tc>
        <w:tc>
          <w:tcPr>
            <w:tcW w:w="830" w:type="dxa"/>
            <w:shd w:val="clear" w:color="auto" w:fill="auto"/>
            <w:noWrap/>
          </w:tcPr>
          <w:p w14:paraId="7F188AB3" w14:textId="77777777" w:rsidR="007D1E74" w:rsidRDefault="00A95641">
            <w:pPr>
              <w:widowControl/>
              <w:jc w:val="center"/>
              <w:textAlignment w:val="center"/>
              <w:rPr>
                <w:kern w:val="0"/>
                <w:sz w:val="18"/>
                <w:szCs w:val="18"/>
              </w:rPr>
            </w:pPr>
            <w:r>
              <w:rPr>
                <w:kern w:val="0"/>
                <w:sz w:val="18"/>
                <w:szCs w:val="18"/>
              </w:rPr>
              <w:t>/</w:t>
            </w:r>
          </w:p>
        </w:tc>
        <w:tc>
          <w:tcPr>
            <w:tcW w:w="829" w:type="dxa"/>
            <w:shd w:val="clear" w:color="auto" w:fill="auto"/>
            <w:noWrap/>
          </w:tcPr>
          <w:p w14:paraId="6B8DEA23" w14:textId="77777777" w:rsidR="007D1E74" w:rsidRDefault="00A95641">
            <w:pPr>
              <w:widowControl/>
              <w:jc w:val="center"/>
              <w:textAlignment w:val="center"/>
              <w:rPr>
                <w:kern w:val="0"/>
                <w:sz w:val="18"/>
                <w:szCs w:val="18"/>
              </w:rPr>
            </w:pPr>
            <w:r>
              <w:rPr>
                <w:kern w:val="0"/>
                <w:sz w:val="18"/>
                <w:szCs w:val="18"/>
              </w:rPr>
              <w:t>/</w:t>
            </w:r>
          </w:p>
        </w:tc>
        <w:tc>
          <w:tcPr>
            <w:tcW w:w="830" w:type="dxa"/>
          </w:tcPr>
          <w:p w14:paraId="3E5C3D52" w14:textId="77777777" w:rsidR="007D1E74" w:rsidRDefault="00A95641">
            <w:pPr>
              <w:widowControl/>
              <w:jc w:val="center"/>
              <w:textAlignment w:val="center"/>
              <w:rPr>
                <w:kern w:val="0"/>
                <w:sz w:val="18"/>
                <w:szCs w:val="18"/>
                <w:lang w:bidi="ar"/>
              </w:rPr>
            </w:pPr>
            <w:r>
              <w:rPr>
                <w:kern w:val="0"/>
                <w:sz w:val="18"/>
                <w:szCs w:val="18"/>
              </w:rPr>
              <w:t>/</w:t>
            </w:r>
          </w:p>
        </w:tc>
        <w:tc>
          <w:tcPr>
            <w:tcW w:w="829" w:type="dxa"/>
            <w:shd w:val="clear" w:color="auto" w:fill="auto"/>
            <w:noWrap/>
          </w:tcPr>
          <w:p w14:paraId="73A94F53" w14:textId="77777777" w:rsidR="007D1E74" w:rsidRDefault="00A95641">
            <w:pPr>
              <w:widowControl/>
              <w:jc w:val="center"/>
              <w:textAlignment w:val="center"/>
              <w:rPr>
                <w:kern w:val="0"/>
                <w:sz w:val="18"/>
                <w:szCs w:val="18"/>
              </w:rPr>
            </w:pPr>
            <w:r>
              <w:rPr>
                <w:kern w:val="0"/>
                <w:sz w:val="18"/>
                <w:szCs w:val="18"/>
              </w:rPr>
              <w:t>/</w:t>
            </w:r>
          </w:p>
        </w:tc>
        <w:tc>
          <w:tcPr>
            <w:tcW w:w="830" w:type="dxa"/>
            <w:shd w:val="clear" w:color="auto" w:fill="auto"/>
            <w:noWrap/>
          </w:tcPr>
          <w:p w14:paraId="41550981" w14:textId="77777777" w:rsidR="007D1E74" w:rsidRDefault="00A95641">
            <w:pPr>
              <w:widowControl/>
              <w:jc w:val="center"/>
              <w:textAlignment w:val="center"/>
              <w:rPr>
                <w:kern w:val="0"/>
                <w:sz w:val="18"/>
                <w:szCs w:val="18"/>
              </w:rPr>
            </w:pPr>
            <w:r>
              <w:rPr>
                <w:kern w:val="0"/>
                <w:sz w:val="18"/>
                <w:szCs w:val="18"/>
              </w:rPr>
              <w:t>/</w:t>
            </w:r>
          </w:p>
        </w:tc>
        <w:tc>
          <w:tcPr>
            <w:tcW w:w="829" w:type="dxa"/>
            <w:shd w:val="clear" w:color="auto" w:fill="auto"/>
            <w:noWrap/>
            <w:vAlign w:val="center"/>
          </w:tcPr>
          <w:p w14:paraId="765A787F" w14:textId="77777777" w:rsidR="007D1E74" w:rsidRDefault="007D1E74">
            <w:pPr>
              <w:widowControl/>
              <w:jc w:val="center"/>
              <w:textAlignment w:val="center"/>
              <w:rPr>
                <w:kern w:val="0"/>
                <w:sz w:val="18"/>
                <w:szCs w:val="18"/>
              </w:rPr>
            </w:pPr>
          </w:p>
        </w:tc>
        <w:tc>
          <w:tcPr>
            <w:tcW w:w="830" w:type="dxa"/>
            <w:shd w:val="clear" w:color="auto" w:fill="auto"/>
            <w:noWrap/>
            <w:vAlign w:val="center"/>
          </w:tcPr>
          <w:p w14:paraId="07CD89CA" w14:textId="77777777" w:rsidR="007D1E74" w:rsidRDefault="00A95641">
            <w:pPr>
              <w:widowControl/>
              <w:jc w:val="center"/>
              <w:textAlignment w:val="center"/>
              <w:rPr>
                <w:kern w:val="0"/>
                <w:sz w:val="18"/>
                <w:szCs w:val="18"/>
              </w:rPr>
            </w:pPr>
            <w:r>
              <w:rPr>
                <w:kern w:val="0"/>
                <w:sz w:val="18"/>
                <w:szCs w:val="18"/>
              </w:rPr>
              <w:t>0.0329</w:t>
            </w:r>
          </w:p>
        </w:tc>
        <w:tc>
          <w:tcPr>
            <w:tcW w:w="556" w:type="dxa"/>
            <w:shd w:val="clear" w:color="auto" w:fill="auto"/>
            <w:noWrap/>
          </w:tcPr>
          <w:p w14:paraId="732BC25A" w14:textId="77777777" w:rsidR="007D1E74" w:rsidRDefault="00A95641">
            <w:pPr>
              <w:widowControl/>
              <w:jc w:val="center"/>
              <w:textAlignment w:val="center"/>
              <w:rPr>
                <w:kern w:val="0"/>
                <w:sz w:val="18"/>
                <w:szCs w:val="18"/>
              </w:rPr>
            </w:pPr>
            <w:r>
              <w:rPr>
                <w:kern w:val="0"/>
                <w:sz w:val="18"/>
                <w:szCs w:val="18"/>
              </w:rPr>
              <w:t>/</w:t>
            </w:r>
          </w:p>
        </w:tc>
        <w:tc>
          <w:tcPr>
            <w:tcW w:w="419" w:type="dxa"/>
            <w:shd w:val="clear" w:color="auto" w:fill="auto"/>
            <w:noWrap/>
          </w:tcPr>
          <w:p w14:paraId="70CBEAD5" w14:textId="77777777" w:rsidR="007D1E74" w:rsidRDefault="00A95641">
            <w:pPr>
              <w:widowControl/>
              <w:jc w:val="center"/>
              <w:textAlignment w:val="center"/>
              <w:rPr>
                <w:kern w:val="0"/>
                <w:sz w:val="18"/>
                <w:szCs w:val="18"/>
              </w:rPr>
            </w:pPr>
            <w:r>
              <w:rPr>
                <w:kern w:val="0"/>
                <w:sz w:val="18"/>
                <w:szCs w:val="18"/>
              </w:rPr>
              <w:t>/</w:t>
            </w:r>
          </w:p>
        </w:tc>
        <w:tc>
          <w:tcPr>
            <w:tcW w:w="810" w:type="dxa"/>
            <w:vAlign w:val="center"/>
          </w:tcPr>
          <w:p w14:paraId="59FCDC32" w14:textId="77777777" w:rsidR="007D1E74" w:rsidRDefault="00A95641">
            <w:pPr>
              <w:widowControl/>
              <w:jc w:val="center"/>
              <w:textAlignment w:val="center"/>
              <w:rPr>
                <w:kern w:val="0"/>
                <w:sz w:val="18"/>
                <w:szCs w:val="18"/>
              </w:rPr>
            </w:pPr>
            <w:r>
              <w:rPr>
                <w:kern w:val="0"/>
                <w:sz w:val="18"/>
                <w:szCs w:val="18"/>
              </w:rPr>
              <w:t>0.0329</w:t>
            </w:r>
          </w:p>
        </w:tc>
      </w:tr>
      <w:tr w:rsidR="007D1E74" w14:paraId="6C3195EC" w14:textId="77777777">
        <w:trPr>
          <w:jc w:val="center"/>
        </w:trPr>
        <w:tc>
          <w:tcPr>
            <w:tcW w:w="2051" w:type="dxa"/>
            <w:gridSpan w:val="2"/>
            <w:shd w:val="clear" w:color="auto" w:fill="auto"/>
            <w:noWrap/>
            <w:vAlign w:val="center"/>
          </w:tcPr>
          <w:p w14:paraId="74300119" w14:textId="77777777" w:rsidR="007D1E74" w:rsidRDefault="00A95641">
            <w:pPr>
              <w:widowControl/>
              <w:jc w:val="center"/>
              <w:rPr>
                <w:kern w:val="0"/>
                <w:sz w:val="18"/>
                <w:szCs w:val="18"/>
              </w:rPr>
            </w:pPr>
            <w:r>
              <w:rPr>
                <w:kern w:val="0"/>
                <w:sz w:val="18"/>
                <w:szCs w:val="18"/>
              </w:rPr>
              <w:t>1#</w:t>
            </w:r>
            <w:r>
              <w:rPr>
                <w:kern w:val="0"/>
                <w:sz w:val="18"/>
                <w:szCs w:val="18"/>
              </w:rPr>
              <w:t>阀室</w:t>
            </w:r>
          </w:p>
        </w:tc>
        <w:tc>
          <w:tcPr>
            <w:tcW w:w="830" w:type="dxa"/>
            <w:shd w:val="clear" w:color="auto" w:fill="auto"/>
            <w:noWrap/>
          </w:tcPr>
          <w:p w14:paraId="70A7025B" w14:textId="77777777" w:rsidR="007D1E74" w:rsidRDefault="00A95641">
            <w:pPr>
              <w:widowControl/>
              <w:jc w:val="center"/>
              <w:textAlignment w:val="center"/>
              <w:rPr>
                <w:kern w:val="0"/>
                <w:sz w:val="18"/>
                <w:szCs w:val="18"/>
                <w:lang w:bidi="ar"/>
              </w:rPr>
            </w:pPr>
            <w:r>
              <w:rPr>
                <w:kern w:val="0"/>
                <w:sz w:val="18"/>
                <w:szCs w:val="18"/>
              </w:rPr>
              <w:t>/</w:t>
            </w:r>
          </w:p>
        </w:tc>
        <w:tc>
          <w:tcPr>
            <w:tcW w:w="829" w:type="dxa"/>
            <w:shd w:val="clear" w:color="auto" w:fill="auto"/>
            <w:noWrap/>
          </w:tcPr>
          <w:p w14:paraId="52125B03" w14:textId="77777777" w:rsidR="007D1E74" w:rsidRDefault="00A95641">
            <w:pPr>
              <w:widowControl/>
              <w:jc w:val="center"/>
              <w:textAlignment w:val="center"/>
              <w:rPr>
                <w:kern w:val="0"/>
                <w:sz w:val="18"/>
                <w:szCs w:val="18"/>
                <w:lang w:bidi="ar"/>
              </w:rPr>
            </w:pPr>
            <w:r>
              <w:rPr>
                <w:kern w:val="0"/>
                <w:sz w:val="18"/>
                <w:szCs w:val="18"/>
              </w:rPr>
              <w:t>/</w:t>
            </w:r>
          </w:p>
        </w:tc>
        <w:tc>
          <w:tcPr>
            <w:tcW w:w="830" w:type="dxa"/>
          </w:tcPr>
          <w:p w14:paraId="253A68F8" w14:textId="77777777" w:rsidR="007D1E74" w:rsidRDefault="00A95641">
            <w:pPr>
              <w:widowControl/>
              <w:jc w:val="center"/>
              <w:textAlignment w:val="center"/>
              <w:rPr>
                <w:kern w:val="0"/>
                <w:sz w:val="18"/>
                <w:szCs w:val="18"/>
                <w:lang w:bidi="ar"/>
              </w:rPr>
            </w:pPr>
            <w:r>
              <w:rPr>
                <w:kern w:val="0"/>
                <w:sz w:val="18"/>
                <w:szCs w:val="18"/>
              </w:rPr>
              <w:t>/</w:t>
            </w:r>
          </w:p>
        </w:tc>
        <w:tc>
          <w:tcPr>
            <w:tcW w:w="829" w:type="dxa"/>
            <w:shd w:val="clear" w:color="auto" w:fill="auto"/>
            <w:noWrap/>
          </w:tcPr>
          <w:p w14:paraId="4CD9B4A1" w14:textId="77777777" w:rsidR="007D1E74" w:rsidRDefault="00A95641">
            <w:pPr>
              <w:widowControl/>
              <w:jc w:val="center"/>
              <w:textAlignment w:val="center"/>
              <w:rPr>
                <w:kern w:val="0"/>
                <w:sz w:val="18"/>
                <w:szCs w:val="18"/>
                <w:lang w:bidi="ar"/>
              </w:rPr>
            </w:pPr>
            <w:r>
              <w:rPr>
                <w:kern w:val="0"/>
                <w:sz w:val="18"/>
                <w:szCs w:val="18"/>
              </w:rPr>
              <w:t>/</w:t>
            </w:r>
          </w:p>
        </w:tc>
        <w:tc>
          <w:tcPr>
            <w:tcW w:w="830" w:type="dxa"/>
            <w:shd w:val="clear" w:color="auto" w:fill="auto"/>
            <w:noWrap/>
          </w:tcPr>
          <w:p w14:paraId="56F369B7" w14:textId="77777777" w:rsidR="007D1E74" w:rsidRDefault="00A95641">
            <w:pPr>
              <w:widowControl/>
              <w:jc w:val="center"/>
              <w:textAlignment w:val="center"/>
              <w:rPr>
                <w:kern w:val="0"/>
                <w:sz w:val="18"/>
                <w:szCs w:val="18"/>
                <w:lang w:bidi="ar"/>
              </w:rPr>
            </w:pPr>
            <w:r>
              <w:rPr>
                <w:kern w:val="0"/>
                <w:sz w:val="18"/>
                <w:szCs w:val="18"/>
              </w:rPr>
              <w:t>/</w:t>
            </w:r>
          </w:p>
        </w:tc>
        <w:tc>
          <w:tcPr>
            <w:tcW w:w="829" w:type="dxa"/>
            <w:shd w:val="clear" w:color="auto" w:fill="auto"/>
            <w:noWrap/>
            <w:vAlign w:val="center"/>
          </w:tcPr>
          <w:p w14:paraId="532B7A87" w14:textId="77777777" w:rsidR="007D1E74" w:rsidRDefault="007D1E74">
            <w:pPr>
              <w:widowControl/>
              <w:jc w:val="center"/>
              <w:textAlignment w:val="center"/>
              <w:rPr>
                <w:kern w:val="0"/>
                <w:sz w:val="18"/>
                <w:szCs w:val="18"/>
                <w:lang w:bidi="ar"/>
              </w:rPr>
            </w:pPr>
          </w:p>
        </w:tc>
        <w:tc>
          <w:tcPr>
            <w:tcW w:w="830" w:type="dxa"/>
            <w:shd w:val="clear" w:color="auto" w:fill="auto"/>
            <w:noWrap/>
            <w:vAlign w:val="center"/>
          </w:tcPr>
          <w:p w14:paraId="46088035" w14:textId="77777777" w:rsidR="007D1E74" w:rsidRDefault="00A95641">
            <w:pPr>
              <w:widowControl/>
              <w:jc w:val="center"/>
              <w:textAlignment w:val="center"/>
              <w:rPr>
                <w:kern w:val="0"/>
                <w:sz w:val="18"/>
                <w:szCs w:val="18"/>
                <w:lang w:bidi="ar"/>
              </w:rPr>
            </w:pPr>
            <w:r>
              <w:rPr>
                <w:kern w:val="0"/>
                <w:sz w:val="18"/>
                <w:szCs w:val="18"/>
                <w:lang w:bidi="ar"/>
              </w:rPr>
              <w:t>0.0704</w:t>
            </w:r>
          </w:p>
        </w:tc>
        <w:tc>
          <w:tcPr>
            <w:tcW w:w="556" w:type="dxa"/>
            <w:shd w:val="clear" w:color="auto" w:fill="auto"/>
            <w:noWrap/>
          </w:tcPr>
          <w:p w14:paraId="4F2B5210" w14:textId="77777777" w:rsidR="007D1E74" w:rsidRDefault="00A95641">
            <w:pPr>
              <w:widowControl/>
              <w:jc w:val="center"/>
              <w:textAlignment w:val="center"/>
              <w:rPr>
                <w:kern w:val="0"/>
                <w:sz w:val="18"/>
                <w:szCs w:val="18"/>
                <w:lang w:bidi="ar"/>
              </w:rPr>
            </w:pPr>
            <w:r>
              <w:rPr>
                <w:kern w:val="0"/>
                <w:sz w:val="18"/>
                <w:szCs w:val="18"/>
              </w:rPr>
              <w:t>/</w:t>
            </w:r>
          </w:p>
        </w:tc>
        <w:tc>
          <w:tcPr>
            <w:tcW w:w="419" w:type="dxa"/>
            <w:shd w:val="clear" w:color="auto" w:fill="auto"/>
            <w:noWrap/>
          </w:tcPr>
          <w:p w14:paraId="4BF7FD5D" w14:textId="77777777" w:rsidR="007D1E74" w:rsidRDefault="00A95641">
            <w:pPr>
              <w:widowControl/>
              <w:jc w:val="center"/>
              <w:textAlignment w:val="center"/>
              <w:rPr>
                <w:kern w:val="0"/>
                <w:sz w:val="18"/>
                <w:szCs w:val="18"/>
                <w:lang w:bidi="ar"/>
              </w:rPr>
            </w:pPr>
            <w:r>
              <w:rPr>
                <w:kern w:val="0"/>
                <w:sz w:val="18"/>
                <w:szCs w:val="18"/>
              </w:rPr>
              <w:t>/</w:t>
            </w:r>
          </w:p>
        </w:tc>
        <w:tc>
          <w:tcPr>
            <w:tcW w:w="810" w:type="dxa"/>
            <w:vAlign w:val="center"/>
          </w:tcPr>
          <w:p w14:paraId="03BFB28E" w14:textId="77777777" w:rsidR="007D1E74" w:rsidRDefault="00A95641">
            <w:pPr>
              <w:widowControl/>
              <w:jc w:val="center"/>
              <w:textAlignment w:val="center"/>
              <w:rPr>
                <w:kern w:val="0"/>
                <w:sz w:val="18"/>
                <w:szCs w:val="18"/>
                <w:lang w:bidi="ar"/>
              </w:rPr>
            </w:pPr>
            <w:r>
              <w:rPr>
                <w:kern w:val="0"/>
                <w:sz w:val="18"/>
                <w:szCs w:val="18"/>
                <w:lang w:bidi="ar"/>
              </w:rPr>
              <w:t>0.0704</w:t>
            </w:r>
          </w:p>
        </w:tc>
      </w:tr>
      <w:tr w:rsidR="007D1E74" w14:paraId="504524A8" w14:textId="77777777">
        <w:trPr>
          <w:jc w:val="center"/>
        </w:trPr>
        <w:tc>
          <w:tcPr>
            <w:tcW w:w="2051" w:type="dxa"/>
            <w:gridSpan w:val="2"/>
            <w:shd w:val="clear" w:color="auto" w:fill="auto"/>
            <w:noWrap/>
            <w:vAlign w:val="center"/>
          </w:tcPr>
          <w:p w14:paraId="4551829C" w14:textId="77777777" w:rsidR="007D1E74" w:rsidRDefault="00A95641">
            <w:pPr>
              <w:widowControl/>
              <w:jc w:val="center"/>
              <w:rPr>
                <w:kern w:val="0"/>
                <w:sz w:val="18"/>
                <w:szCs w:val="18"/>
              </w:rPr>
            </w:pPr>
            <w:r>
              <w:rPr>
                <w:kern w:val="0"/>
                <w:sz w:val="18"/>
                <w:szCs w:val="18"/>
              </w:rPr>
              <w:t>2#</w:t>
            </w:r>
            <w:r>
              <w:rPr>
                <w:kern w:val="0"/>
                <w:sz w:val="18"/>
                <w:szCs w:val="18"/>
              </w:rPr>
              <w:t>、</w:t>
            </w:r>
            <w:r>
              <w:rPr>
                <w:kern w:val="0"/>
                <w:sz w:val="18"/>
                <w:szCs w:val="18"/>
              </w:rPr>
              <w:t>3#</w:t>
            </w:r>
            <w:r>
              <w:rPr>
                <w:kern w:val="0"/>
                <w:sz w:val="18"/>
                <w:szCs w:val="18"/>
              </w:rPr>
              <w:t>阀组</w:t>
            </w:r>
          </w:p>
        </w:tc>
        <w:tc>
          <w:tcPr>
            <w:tcW w:w="830" w:type="dxa"/>
            <w:shd w:val="clear" w:color="auto" w:fill="auto"/>
            <w:noWrap/>
          </w:tcPr>
          <w:p w14:paraId="630C6885" w14:textId="77777777" w:rsidR="007D1E74" w:rsidRDefault="00A95641">
            <w:pPr>
              <w:widowControl/>
              <w:jc w:val="center"/>
              <w:textAlignment w:val="center"/>
              <w:rPr>
                <w:kern w:val="0"/>
                <w:sz w:val="18"/>
                <w:szCs w:val="18"/>
                <w:lang w:bidi="ar"/>
              </w:rPr>
            </w:pPr>
            <w:r>
              <w:rPr>
                <w:kern w:val="0"/>
                <w:sz w:val="18"/>
                <w:szCs w:val="18"/>
              </w:rPr>
              <w:t>/</w:t>
            </w:r>
          </w:p>
        </w:tc>
        <w:tc>
          <w:tcPr>
            <w:tcW w:w="829" w:type="dxa"/>
            <w:shd w:val="clear" w:color="auto" w:fill="auto"/>
            <w:noWrap/>
          </w:tcPr>
          <w:p w14:paraId="6E12ABF4" w14:textId="77777777" w:rsidR="007D1E74" w:rsidRDefault="00A95641">
            <w:pPr>
              <w:widowControl/>
              <w:jc w:val="center"/>
              <w:textAlignment w:val="center"/>
              <w:rPr>
                <w:kern w:val="0"/>
                <w:sz w:val="18"/>
                <w:szCs w:val="18"/>
                <w:lang w:bidi="ar"/>
              </w:rPr>
            </w:pPr>
            <w:r>
              <w:rPr>
                <w:kern w:val="0"/>
                <w:sz w:val="18"/>
                <w:szCs w:val="18"/>
              </w:rPr>
              <w:t>/</w:t>
            </w:r>
          </w:p>
        </w:tc>
        <w:tc>
          <w:tcPr>
            <w:tcW w:w="830" w:type="dxa"/>
          </w:tcPr>
          <w:p w14:paraId="5D5B9039" w14:textId="77777777" w:rsidR="007D1E74" w:rsidRDefault="00A95641">
            <w:pPr>
              <w:widowControl/>
              <w:jc w:val="center"/>
              <w:textAlignment w:val="center"/>
              <w:rPr>
                <w:kern w:val="0"/>
                <w:sz w:val="18"/>
                <w:szCs w:val="18"/>
                <w:lang w:bidi="ar"/>
              </w:rPr>
            </w:pPr>
            <w:r>
              <w:rPr>
                <w:kern w:val="0"/>
                <w:sz w:val="18"/>
                <w:szCs w:val="18"/>
              </w:rPr>
              <w:t>/</w:t>
            </w:r>
          </w:p>
        </w:tc>
        <w:tc>
          <w:tcPr>
            <w:tcW w:w="829" w:type="dxa"/>
            <w:shd w:val="clear" w:color="auto" w:fill="auto"/>
            <w:noWrap/>
          </w:tcPr>
          <w:p w14:paraId="1CB8B9CB" w14:textId="77777777" w:rsidR="007D1E74" w:rsidRDefault="00A95641">
            <w:pPr>
              <w:widowControl/>
              <w:jc w:val="center"/>
              <w:textAlignment w:val="center"/>
              <w:rPr>
                <w:kern w:val="0"/>
                <w:sz w:val="18"/>
                <w:szCs w:val="18"/>
                <w:lang w:bidi="ar"/>
              </w:rPr>
            </w:pPr>
            <w:r>
              <w:rPr>
                <w:kern w:val="0"/>
                <w:sz w:val="18"/>
                <w:szCs w:val="18"/>
              </w:rPr>
              <w:t>/</w:t>
            </w:r>
          </w:p>
        </w:tc>
        <w:tc>
          <w:tcPr>
            <w:tcW w:w="830" w:type="dxa"/>
            <w:shd w:val="clear" w:color="auto" w:fill="auto"/>
            <w:noWrap/>
          </w:tcPr>
          <w:p w14:paraId="75BC677A" w14:textId="77777777" w:rsidR="007D1E74" w:rsidRDefault="00A95641">
            <w:pPr>
              <w:widowControl/>
              <w:jc w:val="center"/>
              <w:textAlignment w:val="center"/>
              <w:rPr>
                <w:kern w:val="0"/>
                <w:sz w:val="18"/>
                <w:szCs w:val="18"/>
                <w:lang w:bidi="ar"/>
              </w:rPr>
            </w:pPr>
            <w:r>
              <w:rPr>
                <w:kern w:val="0"/>
                <w:sz w:val="18"/>
                <w:szCs w:val="18"/>
              </w:rPr>
              <w:t>/</w:t>
            </w:r>
          </w:p>
        </w:tc>
        <w:tc>
          <w:tcPr>
            <w:tcW w:w="829" w:type="dxa"/>
            <w:shd w:val="clear" w:color="auto" w:fill="auto"/>
            <w:noWrap/>
            <w:vAlign w:val="center"/>
          </w:tcPr>
          <w:p w14:paraId="57DA9F24" w14:textId="77777777" w:rsidR="007D1E74" w:rsidRDefault="00A95641">
            <w:pPr>
              <w:widowControl/>
              <w:jc w:val="center"/>
              <w:textAlignment w:val="center"/>
              <w:rPr>
                <w:kern w:val="0"/>
                <w:sz w:val="18"/>
                <w:szCs w:val="18"/>
                <w:lang w:bidi="ar"/>
              </w:rPr>
            </w:pPr>
            <w:r>
              <w:rPr>
                <w:kern w:val="0"/>
                <w:sz w:val="18"/>
                <w:szCs w:val="18"/>
                <w:lang w:bidi="ar"/>
              </w:rPr>
              <w:t>0.0066</w:t>
            </w:r>
          </w:p>
        </w:tc>
        <w:tc>
          <w:tcPr>
            <w:tcW w:w="830" w:type="dxa"/>
            <w:shd w:val="clear" w:color="auto" w:fill="auto"/>
            <w:noWrap/>
            <w:vAlign w:val="center"/>
          </w:tcPr>
          <w:p w14:paraId="7918109A" w14:textId="77777777" w:rsidR="007D1E74" w:rsidRDefault="007D1E74">
            <w:pPr>
              <w:widowControl/>
              <w:jc w:val="center"/>
              <w:textAlignment w:val="center"/>
              <w:rPr>
                <w:kern w:val="0"/>
                <w:sz w:val="18"/>
                <w:szCs w:val="18"/>
                <w:lang w:bidi="ar"/>
              </w:rPr>
            </w:pPr>
          </w:p>
        </w:tc>
        <w:tc>
          <w:tcPr>
            <w:tcW w:w="556" w:type="dxa"/>
            <w:shd w:val="clear" w:color="auto" w:fill="auto"/>
            <w:noWrap/>
          </w:tcPr>
          <w:p w14:paraId="2B41CCB2" w14:textId="77777777" w:rsidR="007D1E74" w:rsidRDefault="00A95641">
            <w:pPr>
              <w:widowControl/>
              <w:jc w:val="center"/>
              <w:textAlignment w:val="center"/>
              <w:rPr>
                <w:kern w:val="0"/>
                <w:sz w:val="18"/>
                <w:szCs w:val="18"/>
                <w:lang w:bidi="ar"/>
              </w:rPr>
            </w:pPr>
            <w:r>
              <w:rPr>
                <w:kern w:val="0"/>
                <w:sz w:val="18"/>
                <w:szCs w:val="18"/>
              </w:rPr>
              <w:t>/</w:t>
            </w:r>
          </w:p>
        </w:tc>
        <w:tc>
          <w:tcPr>
            <w:tcW w:w="419" w:type="dxa"/>
            <w:shd w:val="clear" w:color="auto" w:fill="auto"/>
            <w:noWrap/>
          </w:tcPr>
          <w:p w14:paraId="1656A01C" w14:textId="77777777" w:rsidR="007D1E74" w:rsidRDefault="00A95641">
            <w:pPr>
              <w:widowControl/>
              <w:jc w:val="center"/>
              <w:textAlignment w:val="center"/>
              <w:rPr>
                <w:kern w:val="0"/>
                <w:sz w:val="18"/>
                <w:szCs w:val="18"/>
                <w:lang w:bidi="ar"/>
              </w:rPr>
            </w:pPr>
            <w:r>
              <w:rPr>
                <w:kern w:val="0"/>
                <w:sz w:val="18"/>
                <w:szCs w:val="18"/>
              </w:rPr>
              <w:t>/</w:t>
            </w:r>
          </w:p>
        </w:tc>
        <w:tc>
          <w:tcPr>
            <w:tcW w:w="810" w:type="dxa"/>
            <w:vAlign w:val="center"/>
          </w:tcPr>
          <w:p w14:paraId="144904AD" w14:textId="77777777" w:rsidR="007D1E74" w:rsidRDefault="00A95641">
            <w:pPr>
              <w:widowControl/>
              <w:jc w:val="center"/>
              <w:textAlignment w:val="center"/>
              <w:rPr>
                <w:kern w:val="0"/>
                <w:sz w:val="18"/>
                <w:szCs w:val="18"/>
                <w:lang w:bidi="ar"/>
              </w:rPr>
            </w:pPr>
            <w:r>
              <w:rPr>
                <w:kern w:val="0"/>
                <w:sz w:val="18"/>
                <w:szCs w:val="18"/>
                <w:lang w:bidi="ar"/>
              </w:rPr>
              <w:t>0.0066</w:t>
            </w:r>
          </w:p>
        </w:tc>
      </w:tr>
      <w:tr w:rsidR="007D1E74" w14:paraId="72BBB372" w14:textId="77777777">
        <w:trPr>
          <w:jc w:val="center"/>
        </w:trPr>
        <w:tc>
          <w:tcPr>
            <w:tcW w:w="2051" w:type="dxa"/>
            <w:gridSpan w:val="2"/>
            <w:shd w:val="clear" w:color="auto" w:fill="auto"/>
            <w:noWrap/>
            <w:vAlign w:val="center"/>
          </w:tcPr>
          <w:p w14:paraId="079C29A3" w14:textId="77777777" w:rsidR="007D1E74" w:rsidRDefault="00A95641">
            <w:pPr>
              <w:widowControl/>
              <w:jc w:val="center"/>
              <w:rPr>
                <w:kern w:val="0"/>
                <w:sz w:val="18"/>
                <w:szCs w:val="18"/>
              </w:rPr>
            </w:pPr>
            <w:r>
              <w:rPr>
                <w:kern w:val="0"/>
                <w:sz w:val="18"/>
                <w:szCs w:val="18"/>
              </w:rPr>
              <w:t>合计</w:t>
            </w:r>
          </w:p>
        </w:tc>
        <w:tc>
          <w:tcPr>
            <w:tcW w:w="4148" w:type="dxa"/>
            <w:gridSpan w:val="5"/>
            <w:shd w:val="clear" w:color="auto" w:fill="auto"/>
            <w:noWrap/>
            <w:vAlign w:val="center"/>
          </w:tcPr>
          <w:p w14:paraId="0CF5F536" w14:textId="77777777" w:rsidR="007D1E74" w:rsidRDefault="00A95641">
            <w:pPr>
              <w:widowControl/>
              <w:jc w:val="center"/>
              <w:rPr>
                <w:kern w:val="0"/>
                <w:sz w:val="18"/>
                <w:szCs w:val="18"/>
              </w:rPr>
            </w:pPr>
            <w:r>
              <w:rPr>
                <w:kern w:val="0"/>
                <w:sz w:val="18"/>
                <w:szCs w:val="18"/>
              </w:rPr>
              <w:t>36.8970</w:t>
            </w:r>
          </w:p>
        </w:tc>
        <w:tc>
          <w:tcPr>
            <w:tcW w:w="2634" w:type="dxa"/>
            <w:gridSpan w:val="4"/>
            <w:shd w:val="clear" w:color="auto" w:fill="auto"/>
            <w:noWrap/>
            <w:vAlign w:val="center"/>
          </w:tcPr>
          <w:p w14:paraId="52CCC56C" w14:textId="77777777" w:rsidR="007D1E74" w:rsidRDefault="00A95641">
            <w:pPr>
              <w:widowControl/>
              <w:jc w:val="center"/>
              <w:rPr>
                <w:kern w:val="0"/>
                <w:sz w:val="18"/>
                <w:szCs w:val="18"/>
              </w:rPr>
            </w:pPr>
            <w:r>
              <w:rPr>
                <w:kern w:val="0"/>
                <w:sz w:val="18"/>
                <w:szCs w:val="18"/>
              </w:rPr>
              <w:t>0.1099</w:t>
            </w:r>
          </w:p>
        </w:tc>
        <w:tc>
          <w:tcPr>
            <w:tcW w:w="810" w:type="dxa"/>
            <w:vAlign w:val="center"/>
          </w:tcPr>
          <w:p w14:paraId="14BEB1E7" w14:textId="77777777" w:rsidR="007D1E74" w:rsidRDefault="00A95641">
            <w:pPr>
              <w:widowControl/>
              <w:jc w:val="center"/>
              <w:textAlignment w:val="center"/>
              <w:rPr>
                <w:kern w:val="0"/>
                <w:sz w:val="18"/>
                <w:szCs w:val="18"/>
              </w:rPr>
            </w:pPr>
            <w:r>
              <w:rPr>
                <w:kern w:val="0"/>
                <w:sz w:val="18"/>
                <w:szCs w:val="18"/>
              </w:rPr>
              <w:t>37.0069</w:t>
            </w:r>
          </w:p>
        </w:tc>
      </w:tr>
    </w:tbl>
    <w:p w14:paraId="25E01606" w14:textId="77777777" w:rsidR="007D1E74" w:rsidRDefault="00A95641">
      <w:pPr>
        <w:spacing w:line="360" w:lineRule="auto"/>
        <w:outlineLvl w:val="2"/>
        <w:rPr>
          <w:b/>
          <w:sz w:val="28"/>
          <w:szCs w:val="28"/>
        </w:rPr>
      </w:pPr>
      <w:r>
        <w:rPr>
          <w:b/>
          <w:sz w:val="28"/>
          <w:szCs w:val="28"/>
        </w:rPr>
        <w:t>3.1.9</w:t>
      </w:r>
      <w:r>
        <w:rPr>
          <w:b/>
          <w:sz w:val="28"/>
          <w:szCs w:val="28"/>
        </w:rPr>
        <w:t>土石方平衡</w:t>
      </w:r>
    </w:p>
    <w:p w14:paraId="20B9B687" w14:textId="77777777" w:rsidR="007D1E74" w:rsidRDefault="00A95641">
      <w:pPr>
        <w:spacing w:line="360" w:lineRule="auto"/>
        <w:ind w:firstLineChars="200" w:firstLine="480"/>
        <w:rPr>
          <w:sz w:val="24"/>
        </w:rPr>
      </w:pPr>
      <w:r>
        <w:rPr>
          <w:sz w:val="24"/>
        </w:rPr>
        <w:t>本项目管道工程施工开挖土石方约</w:t>
      </w:r>
      <w:r>
        <w:rPr>
          <w:sz w:val="24"/>
        </w:rPr>
        <w:t>117026m</w:t>
      </w:r>
      <w:r>
        <w:rPr>
          <w:sz w:val="24"/>
          <w:vertAlign w:val="superscript"/>
        </w:rPr>
        <w:t>3</w:t>
      </w:r>
      <w:r>
        <w:rPr>
          <w:sz w:val="24"/>
        </w:rPr>
        <w:t>，开挖土石方中主体设计回填利用</w:t>
      </w:r>
      <w:r>
        <w:rPr>
          <w:sz w:val="24"/>
        </w:rPr>
        <w:t>113340m</w:t>
      </w:r>
      <w:r>
        <w:rPr>
          <w:sz w:val="24"/>
          <w:vertAlign w:val="superscript"/>
        </w:rPr>
        <w:t>3</w:t>
      </w:r>
      <w:r>
        <w:rPr>
          <w:sz w:val="24"/>
        </w:rPr>
        <w:t>，多余土石方</w:t>
      </w:r>
      <w:r>
        <w:rPr>
          <w:sz w:val="24"/>
        </w:rPr>
        <w:t>3686m</w:t>
      </w:r>
      <w:r>
        <w:rPr>
          <w:sz w:val="24"/>
          <w:vertAlign w:val="superscript"/>
        </w:rPr>
        <w:t>3</w:t>
      </w:r>
      <w:r>
        <w:rPr>
          <w:sz w:val="24"/>
        </w:rPr>
        <w:t>就地平整，无弃方产生。</w:t>
      </w:r>
    </w:p>
    <w:p w14:paraId="0F9C246D" w14:textId="77777777" w:rsidR="007D1E74" w:rsidRDefault="00A95641">
      <w:pPr>
        <w:spacing w:line="360" w:lineRule="auto"/>
        <w:outlineLvl w:val="2"/>
        <w:rPr>
          <w:b/>
          <w:sz w:val="28"/>
          <w:szCs w:val="28"/>
        </w:rPr>
      </w:pPr>
      <w:r>
        <w:rPr>
          <w:b/>
          <w:sz w:val="28"/>
          <w:szCs w:val="28"/>
        </w:rPr>
        <w:t>3.1.10</w:t>
      </w:r>
      <w:r>
        <w:rPr>
          <w:b/>
          <w:sz w:val="28"/>
          <w:szCs w:val="28"/>
        </w:rPr>
        <w:t>劳动定员</w:t>
      </w:r>
    </w:p>
    <w:p w14:paraId="742E12BB" w14:textId="77777777" w:rsidR="007D1E74" w:rsidRDefault="00A95641">
      <w:pPr>
        <w:spacing w:line="360" w:lineRule="auto"/>
        <w:ind w:firstLineChars="200" w:firstLine="480"/>
        <w:rPr>
          <w:sz w:val="24"/>
        </w:rPr>
      </w:pPr>
      <w:r>
        <w:rPr>
          <w:sz w:val="24"/>
        </w:rPr>
        <w:t>本项目不设置劳动定员，巡线人员由线路起终点站场配置。</w:t>
      </w:r>
    </w:p>
    <w:p w14:paraId="2691856C" w14:textId="77777777" w:rsidR="007D1E74" w:rsidRDefault="00A95641">
      <w:pPr>
        <w:spacing w:line="360" w:lineRule="auto"/>
        <w:outlineLvl w:val="1"/>
        <w:rPr>
          <w:b/>
          <w:sz w:val="30"/>
          <w:szCs w:val="30"/>
        </w:rPr>
      </w:pPr>
      <w:bookmarkStart w:id="20" w:name="_Toc25968"/>
      <w:r>
        <w:rPr>
          <w:b/>
          <w:sz w:val="30"/>
          <w:szCs w:val="30"/>
        </w:rPr>
        <w:t>3.2</w:t>
      </w:r>
      <w:r>
        <w:rPr>
          <w:b/>
          <w:sz w:val="30"/>
          <w:szCs w:val="30"/>
        </w:rPr>
        <w:t>工程分析</w:t>
      </w:r>
      <w:bookmarkEnd w:id="20"/>
    </w:p>
    <w:p w14:paraId="37B852E2" w14:textId="77777777" w:rsidR="007D1E74" w:rsidRDefault="00A95641">
      <w:pPr>
        <w:spacing w:line="360" w:lineRule="auto"/>
        <w:outlineLvl w:val="2"/>
        <w:rPr>
          <w:b/>
          <w:sz w:val="28"/>
          <w:szCs w:val="28"/>
        </w:rPr>
      </w:pPr>
      <w:r>
        <w:rPr>
          <w:b/>
          <w:sz w:val="28"/>
          <w:szCs w:val="28"/>
        </w:rPr>
        <w:t>3.2.1</w:t>
      </w:r>
      <w:r>
        <w:rPr>
          <w:b/>
          <w:sz w:val="28"/>
          <w:szCs w:val="28"/>
        </w:rPr>
        <w:t>施工期工程分析</w:t>
      </w:r>
    </w:p>
    <w:p w14:paraId="355068FE" w14:textId="77777777" w:rsidR="007D1E74" w:rsidRDefault="00A95641">
      <w:pPr>
        <w:pStyle w:val="41"/>
        <w:tabs>
          <w:tab w:val="left" w:pos="860"/>
        </w:tabs>
        <w:spacing w:line="360" w:lineRule="auto"/>
        <w:jc w:val="left"/>
        <w:rPr>
          <w:rFonts w:ascii="Times New Roman" w:hAnsi="Times New Roman"/>
          <w:sz w:val="24"/>
          <w:szCs w:val="24"/>
        </w:rPr>
      </w:pPr>
      <w:r>
        <w:rPr>
          <w:rFonts w:ascii="Times New Roman" w:hAnsi="Times New Roman"/>
          <w:sz w:val="24"/>
          <w:szCs w:val="24"/>
        </w:rPr>
        <w:lastRenderedPageBreak/>
        <w:t>3.2.1.1</w:t>
      </w:r>
      <w:r>
        <w:rPr>
          <w:rFonts w:ascii="Times New Roman" w:hAnsi="Times New Roman"/>
          <w:sz w:val="24"/>
          <w:szCs w:val="24"/>
        </w:rPr>
        <w:t>施工期工艺流程</w:t>
      </w:r>
    </w:p>
    <w:p w14:paraId="68D89749" w14:textId="77777777" w:rsidR="007D1E74" w:rsidRDefault="00A95641">
      <w:pPr>
        <w:spacing w:line="360" w:lineRule="auto"/>
        <w:ind w:firstLineChars="200" w:firstLine="482"/>
        <w:rPr>
          <w:b/>
          <w:bCs/>
          <w:sz w:val="24"/>
        </w:rPr>
      </w:pPr>
      <w:r>
        <w:rPr>
          <w:b/>
          <w:bCs/>
          <w:sz w:val="24"/>
        </w:rPr>
        <w:t>3.2.1.1.1</w:t>
      </w:r>
      <w:r>
        <w:rPr>
          <w:b/>
          <w:bCs/>
          <w:sz w:val="24"/>
        </w:rPr>
        <w:t>线路施工总工艺</w:t>
      </w:r>
    </w:p>
    <w:p w14:paraId="5830C281" w14:textId="77777777" w:rsidR="007D1E74" w:rsidRDefault="00A95641">
      <w:pPr>
        <w:spacing w:line="360" w:lineRule="auto"/>
        <w:ind w:firstLineChars="200" w:firstLine="480"/>
        <w:rPr>
          <w:sz w:val="24"/>
        </w:rPr>
      </w:pPr>
      <w:r>
        <w:rPr>
          <w:sz w:val="24"/>
        </w:rPr>
        <w:t>首先要测量定线，清理施工现场、平整工作带，修筑施工便道（以便施工人员、施工车辆、管材等进入施工场地），管材防腐绝缘后运到现场，开始布管、组装焊接，无损探伤，补口及防腐检漏，在完成管沟开挖、道路穿越、沟渠穿越等基础工作以后管道下沟，分段试压，站间连接，通球扫线，阴极保护，竣工验收后投入使用。</w:t>
      </w:r>
    </w:p>
    <w:p w14:paraId="61A2B9C9" w14:textId="77777777" w:rsidR="007D1E74" w:rsidRDefault="00A95641">
      <w:pPr>
        <w:spacing w:line="360" w:lineRule="auto"/>
        <w:rPr>
          <w:sz w:val="24"/>
        </w:rPr>
      </w:pPr>
      <w:r>
        <w:rPr>
          <w:noProof/>
        </w:rPr>
        <mc:AlternateContent>
          <mc:Choice Requires="wpg">
            <w:drawing>
              <wp:inline distT="0" distB="0" distL="0" distR="0" wp14:anchorId="2B3A14A9" wp14:editId="6E37580E">
                <wp:extent cx="5727700" cy="5078730"/>
                <wp:effectExtent l="0" t="0" r="2540" b="11430"/>
                <wp:docPr id="51" name="组合 204"/>
                <wp:cNvGraphicFramePr/>
                <a:graphic xmlns:a="http://schemas.openxmlformats.org/drawingml/2006/main">
                  <a:graphicData uri="http://schemas.microsoft.com/office/word/2010/wordprocessingGroup">
                    <wpg:wgp>
                      <wpg:cNvGrpSpPr/>
                      <wpg:grpSpPr>
                        <a:xfrm>
                          <a:off x="0" y="0"/>
                          <a:ext cx="5727700" cy="5078730"/>
                          <a:chOff x="0" y="0"/>
                          <a:chExt cx="9020" cy="7998"/>
                        </a:xfrm>
                      </wpg:grpSpPr>
                      <pic:pic xmlns:pic="http://schemas.openxmlformats.org/drawingml/2006/picture">
                        <pic:nvPicPr>
                          <pic:cNvPr id="52" name="图片 20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3656" y="0"/>
                            <a:ext cx="1410" cy="540"/>
                          </a:xfrm>
                          <a:prstGeom prst="rect">
                            <a:avLst/>
                          </a:prstGeom>
                          <a:noFill/>
                        </pic:spPr>
                      </pic:pic>
                      <wps:wsp>
                        <wps:cNvPr id="53" name="矩形 206"/>
                        <wps:cNvSpPr>
                          <a:spLocks noChangeArrowheads="1"/>
                        </wps:cNvSpPr>
                        <wps:spPr bwMode="auto">
                          <a:xfrm>
                            <a:off x="3677" y="17"/>
                            <a:ext cx="1300" cy="434"/>
                          </a:xfrm>
                          <a:prstGeom prst="rect">
                            <a:avLst/>
                          </a:prstGeom>
                          <a:solidFill>
                            <a:srgbClr val="FFFFFF"/>
                          </a:solidFill>
                          <a:ln>
                            <a:noFill/>
                          </a:ln>
                        </wps:spPr>
                        <wps:bodyPr rot="0" vert="horz" wrap="square" lIns="91440" tIns="45720" rIns="91440" bIns="45720" anchor="t" anchorCtr="0" upright="1">
                          <a:noAutofit/>
                        </wps:bodyPr>
                      </wps:wsp>
                      <pic:pic xmlns:pic="http://schemas.openxmlformats.org/drawingml/2006/picture">
                        <pic:nvPicPr>
                          <pic:cNvPr id="54" name="图片 20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3174" y="929"/>
                            <a:ext cx="2373" cy="540"/>
                          </a:xfrm>
                          <a:prstGeom prst="rect">
                            <a:avLst/>
                          </a:prstGeom>
                          <a:noFill/>
                        </pic:spPr>
                      </pic:pic>
                      <wps:wsp>
                        <wps:cNvPr id="55" name="矩形 208"/>
                        <wps:cNvSpPr>
                          <a:spLocks noChangeArrowheads="1"/>
                        </wps:cNvSpPr>
                        <wps:spPr bwMode="auto">
                          <a:xfrm>
                            <a:off x="3201" y="946"/>
                            <a:ext cx="2253" cy="434"/>
                          </a:xfrm>
                          <a:prstGeom prst="rect">
                            <a:avLst/>
                          </a:prstGeom>
                          <a:solidFill>
                            <a:srgbClr val="FFFFFF"/>
                          </a:solidFill>
                          <a:ln>
                            <a:noFill/>
                          </a:ln>
                        </wps:spPr>
                        <wps:bodyPr rot="0" vert="horz" wrap="square" lIns="91440" tIns="45720" rIns="91440" bIns="45720" anchor="t" anchorCtr="0" upright="1">
                          <a:noAutofit/>
                        </wps:bodyPr>
                      </wps:wsp>
                      <pic:pic xmlns:pic="http://schemas.openxmlformats.org/drawingml/2006/picture">
                        <pic:nvPicPr>
                          <pic:cNvPr id="59" name="图片 20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4229" y="390"/>
                            <a:ext cx="264" cy="666"/>
                          </a:xfrm>
                          <a:prstGeom prst="rect">
                            <a:avLst/>
                          </a:prstGeom>
                          <a:noFill/>
                        </pic:spPr>
                      </pic:pic>
                      <wps:wsp>
                        <wps:cNvPr id="60" name="直线 210"/>
                        <wps:cNvCnPr>
                          <a:cxnSpLocks noChangeShapeType="1"/>
                        </wps:cNvCnPr>
                        <wps:spPr bwMode="auto">
                          <a:xfrm>
                            <a:off x="4327" y="451"/>
                            <a:ext cx="0" cy="401"/>
                          </a:xfrm>
                          <a:prstGeom prst="line">
                            <a:avLst/>
                          </a:prstGeom>
                          <a:noFill/>
                          <a:ln w="9704">
                            <a:solidFill>
                              <a:srgbClr val="000000"/>
                            </a:solidFill>
                            <a:round/>
                          </a:ln>
                        </wps:spPr>
                        <wps:bodyPr/>
                      </wps:wsp>
                      <wps:wsp>
                        <wps:cNvPr id="61" name="任意多边形 211"/>
                        <wps:cNvSpPr/>
                        <wps:spPr bwMode="auto">
                          <a:xfrm>
                            <a:off x="4273" y="838"/>
                            <a:ext cx="108" cy="108"/>
                          </a:xfrm>
                          <a:custGeom>
                            <a:avLst/>
                            <a:gdLst>
                              <a:gd name="T0" fmla="*/ 107 w 108"/>
                              <a:gd name="T1" fmla="*/ 0 h 108"/>
                              <a:gd name="T2" fmla="*/ 0 w 108"/>
                              <a:gd name="T3" fmla="*/ 0 h 108"/>
                              <a:gd name="T4" fmla="*/ 53 w 108"/>
                              <a:gd name="T5" fmla="*/ 107 h 108"/>
                              <a:gd name="T6" fmla="*/ 107 w 108"/>
                              <a:gd name="T7" fmla="*/ 0 h 108"/>
                              <a:gd name="T8" fmla="*/ 0 w 108"/>
                              <a:gd name="T9" fmla="*/ 0 h 108"/>
                              <a:gd name="T10" fmla="*/ 108 w 108"/>
                              <a:gd name="T11" fmla="*/ 108 h 108"/>
                            </a:gdLst>
                            <a:ahLst/>
                            <a:cxnLst>
                              <a:cxn ang="0">
                                <a:pos x="T0" y="T1"/>
                              </a:cxn>
                              <a:cxn ang="0">
                                <a:pos x="T2" y="T3"/>
                              </a:cxn>
                              <a:cxn ang="0">
                                <a:pos x="T4" y="T5"/>
                              </a:cxn>
                              <a:cxn ang="0">
                                <a:pos x="T6" y="T7"/>
                              </a:cxn>
                            </a:cxnLst>
                            <a:rect l="T8" t="T9" r="T10" b="T11"/>
                            <a:pathLst>
                              <a:path w="108" h="108">
                                <a:moveTo>
                                  <a:pt x="107" y="0"/>
                                </a:moveTo>
                                <a:lnTo>
                                  <a:pt x="0" y="0"/>
                                </a:lnTo>
                                <a:lnTo>
                                  <a:pt x="53" y="107"/>
                                </a:lnTo>
                                <a:lnTo>
                                  <a:pt x="107" y="0"/>
                                </a:lnTo>
                                <a:close/>
                              </a:path>
                            </a:pathLst>
                          </a:custGeom>
                          <a:solidFill>
                            <a:srgbClr val="000000"/>
                          </a:solidFill>
                          <a:ln>
                            <a:noFill/>
                          </a:ln>
                        </wps:spPr>
                        <wps:bodyPr rot="0" vert="horz" wrap="square" lIns="91440" tIns="45720" rIns="91440" bIns="45720" anchor="t" anchorCtr="0" upright="1">
                          <a:noAutofit/>
                        </wps:bodyPr>
                      </wps:wsp>
                      <pic:pic xmlns:pic="http://schemas.openxmlformats.org/drawingml/2006/picture">
                        <pic:nvPicPr>
                          <pic:cNvPr id="62" name="图片 2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1467" y="1927"/>
                            <a:ext cx="2362" cy="540"/>
                          </a:xfrm>
                          <a:prstGeom prst="rect">
                            <a:avLst/>
                          </a:prstGeom>
                          <a:noFill/>
                        </pic:spPr>
                      </pic:pic>
                      <wps:wsp>
                        <wps:cNvPr id="63" name="矩形 213"/>
                        <wps:cNvSpPr>
                          <a:spLocks noChangeArrowheads="1"/>
                        </wps:cNvSpPr>
                        <wps:spPr bwMode="auto">
                          <a:xfrm>
                            <a:off x="1490" y="1947"/>
                            <a:ext cx="2253" cy="434"/>
                          </a:xfrm>
                          <a:prstGeom prst="rect">
                            <a:avLst/>
                          </a:prstGeom>
                          <a:solidFill>
                            <a:srgbClr val="FFFFFF"/>
                          </a:solidFill>
                          <a:ln>
                            <a:noFill/>
                          </a:ln>
                        </wps:spPr>
                        <wps:bodyPr rot="0" vert="horz" wrap="square" lIns="91440" tIns="45720" rIns="91440" bIns="45720" anchor="t" anchorCtr="0" upright="1">
                          <a:noAutofit/>
                        </wps:bodyPr>
                      </wps:wsp>
                      <pic:pic xmlns:pic="http://schemas.openxmlformats.org/drawingml/2006/picture">
                        <pic:nvPicPr>
                          <pic:cNvPr id="901" name="图片 2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2510" y="1319"/>
                            <a:ext cx="1937" cy="746"/>
                          </a:xfrm>
                          <a:prstGeom prst="rect">
                            <a:avLst/>
                          </a:prstGeom>
                          <a:noFill/>
                        </pic:spPr>
                      </pic:pic>
                      <wps:wsp>
                        <wps:cNvPr id="902" name="任意多边形 215"/>
                        <wps:cNvSpPr/>
                        <wps:spPr bwMode="auto">
                          <a:xfrm>
                            <a:off x="2616" y="1380"/>
                            <a:ext cx="1711" cy="473"/>
                          </a:xfrm>
                          <a:custGeom>
                            <a:avLst/>
                            <a:gdLst>
                              <a:gd name="T0" fmla="*/ 1711 w 1711"/>
                              <a:gd name="T1" fmla="*/ 0 h 473"/>
                              <a:gd name="T2" fmla="*/ 1711 w 1711"/>
                              <a:gd name="T3" fmla="*/ 163 h 473"/>
                              <a:gd name="T4" fmla="*/ 0 w 1711"/>
                              <a:gd name="T5" fmla="*/ 163 h 473"/>
                              <a:gd name="T6" fmla="*/ 0 w 1711"/>
                              <a:gd name="T7" fmla="*/ 473 h 473"/>
                              <a:gd name="T8" fmla="*/ 0 w 1711"/>
                              <a:gd name="T9" fmla="*/ 0 h 473"/>
                              <a:gd name="T10" fmla="*/ 1711 w 1711"/>
                              <a:gd name="T11" fmla="*/ 473 h 473"/>
                            </a:gdLst>
                            <a:ahLst/>
                            <a:cxnLst>
                              <a:cxn ang="0">
                                <a:pos x="T0" y="T1"/>
                              </a:cxn>
                              <a:cxn ang="0">
                                <a:pos x="T2" y="T3"/>
                              </a:cxn>
                              <a:cxn ang="0">
                                <a:pos x="T4" y="T5"/>
                              </a:cxn>
                              <a:cxn ang="0">
                                <a:pos x="T6" y="T7"/>
                              </a:cxn>
                            </a:cxnLst>
                            <a:rect l="T8" t="T9" r="T10" b="T11"/>
                            <a:pathLst>
                              <a:path w="1711" h="473">
                                <a:moveTo>
                                  <a:pt x="1711" y="0"/>
                                </a:moveTo>
                                <a:lnTo>
                                  <a:pt x="1711" y="163"/>
                                </a:lnTo>
                                <a:lnTo>
                                  <a:pt x="0" y="163"/>
                                </a:lnTo>
                                <a:lnTo>
                                  <a:pt x="0" y="473"/>
                                </a:lnTo>
                              </a:path>
                            </a:pathLst>
                          </a:custGeom>
                          <a:noFill/>
                          <a:ln w="9715">
                            <a:solidFill>
                              <a:srgbClr val="000000"/>
                            </a:solidFill>
                            <a:round/>
                          </a:ln>
                        </wps:spPr>
                        <wps:bodyPr rot="0" vert="horz" wrap="square" lIns="91440" tIns="45720" rIns="91440" bIns="45720" anchor="t" anchorCtr="0" upright="1">
                          <a:noAutofit/>
                        </wps:bodyPr>
                      </wps:wsp>
                      <wps:wsp>
                        <wps:cNvPr id="903" name="任意多边形 216"/>
                        <wps:cNvSpPr/>
                        <wps:spPr bwMode="auto">
                          <a:xfrm>
                            <a:off x="2562" y="1839"/>
                            <a:ext cx="108" cy="108"/>
                          </a:xfrm>
                          <a:custGeom>
                            <a:avLst/>
                            <a:gdLst>
                              <a:gd name="T0" fmla="*/ 107 w 108"/>
                              <a:gd name="T1" fmla="*/ 0 h 108"/>
                              <a:gd name="T2" fmla="*/ 0 w 108"/>
                              <a:gd name="T3" fmla="*/ 0 h 108"/>
                              <a:gd name="T4" fmla="*/ 53 w 108"/>
                              <a:gd name="T5" fmla="*/ 107 h 108"/>
                              <a:gd name="T6" fmla="*/ 107 w 108"/>
                              <a:gd name="T7" fmla="*/ 0 h 108"/>
                              <a:gd name="T8" fmla="*/ 0 w 108"/>
                              <a:gd name="T9" fmla="*/ 0 h 108"/>
                              <a:gd name="T10" fmla="*/ 108 w 108"/>
                              <a:gd name="T11" fmla="*/ 108 h 108"/>
                            </a:gdLst>
                            <a:ahLst/>
                            <a:cxnLst>
                              <a:cxn ang="0">
                                <a:pos x="T0" y="T1"/>
                              </a:cxn>
                              <a:cxn ang="0">
                                <a:pos x="T2" y="T3"/>
                              </a:cxn>
                              <a:cxn ang="0">
                                <a:pos x="T4" y="T5"/>
                              </a:cxn>
                              <a:cxn ang="0">
                                <a:pos x="T6" y="T7"/>
                              </a:cxn>
                            </a:cxnLst>
                            <a:rect l="T8" t="T9" r="T10" b="T11"/>
                            <a:pathLst>
                              <a:path w="108" h="108">
                                <a:moveTo>
                                  <a:pt x="107" y="0"/>
                                </a:moveTo>
                                <a:lnTo>
                                  <a:pt x="0" y="0"/>
                                </a:lnTo>
                                <a:lnTo>
                                  <a:pt x="53" y="107"/>
                                </a:lnTo>
                                <a:lnTo>
                                  <a:pt x="107" y="0"/>
                                </a:lnTo>
                                <a:close/>
                              </a:path>
                            </a:pathLst>
                          </a:custGeom>
                          <a:solidFill>
                            <a:srgbClr val="000000"/>
                          </a:solidFill>
                          <a:ln>
                            <a:noFill/>
                          </a:ln>
                        </wps:spPr>
                        <wps:bodyPr rot="0" vert="horz" wrap="square" lIns="91440" tIns="45720" rIns="91440" bIns="45720" anchor="t" anchorCtr="0" upright="1">
                          <a:noAutofit/>
                        </wps:bodyPr>
                      </wps:wsp>
                      <pic:pic xmlns:pic="http://schemas.openxmlformats.org/drawingml/2006/picture">
                        <pic:nvPicPr>
                          <pic:cNvPr id="904" name="图片 2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2303" y="3121"/>
                            <a:ext cx="4115" cy="540"/>
                          </a:xfrm>
                          <a:prstGeom prst="rect">
                            <a:avLst/>
                          </a:prstGeom>
                          <a:noFill/>
                        </pic:spPr>
                      </pic:pic>
                      <wps:wsp>
                        <wps:cNvPr id="905" name="矩形 218"/>
                        <wps:cNvSpPr>
                          <a:spLocks noChangeArrowheads="1"/>
                        </wps:cNvSpPr>
                        <wps:spPr bwMode="auto">
                          <a:xfrm>
                            <a:off x="2322" y="3140"/>
                            <a:ext cx="4010" cy="434"/>
                          </a:xfrm>
                          <a:prstGeom prst="rect">
                            <a:avLst/>
                          </a:prstGeom>
                          <a:solidFill>
                            <a:srgbClr val="FFFFFF"/>
                          </a:solidFill>
                          <a:ln>
                            <a:noFill/>
                          </a:ln>
                        </wps:spPr>
                        <wps:bodyPr rot="0" vert="horz" wrap="square" lIns="91440" tIns="45720" rIns="91440" bIns="45720" anchor="t" anchorCtr="0" upright="1">
                          <a:noAutofit/>
                        </wps:bodyPr>
                      </wps:wsp>
                      <pic:pic xmlns:pic="http://schemas.openxmlformats.org/drawingml/2006/picture">
                        <pic:nvPicPr>
                          <pic:cNvPr id="906" name="图片 2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2555" y="2329"/>
                            <a:ext cx="1937" cy="919"/>
                          </a:xfrm>
                          <a:prstGeom prst="rect">
                            <a:avLst/>
                          </a:prstGeom>
                          <a:noFill/>
                        </pic:spPr>
                      </pic:pic>
                      <wps:wsp>
                        <wps:cNvPr id="907" name="任意多边形 220"/>
                        <wps:cNvSpPr/>
                        <wps:spPr bwMode="auto">
                          <a:xfrm>
                            <a:off x="2616" y="2380"/>
                            <a:ext cx="1711" cy="665"/>
                          </a:xfrm>
                          <a:custGeom>
                            <a:avLst/>
                            <a:gdLst>
                              <a:gd name="T0" fmla="*/ 0 w 1711"/>
                              <a:gd name="T1" fmla="*/ 0 h 665"/>
                              <a:gd name="T2" fmla="*/ 0 w 1711"/>
                              <a:gd name="T3" fmla="*/ 163 h 665"/>
                              <a:gd name="T4" fmla="*/ 1711 w 1711"/>
                              <a:gd name="T5" fmla="*/ 163 h 665"/>
                              <a:gd name="T6" fmla="*/ 1711 w 1711"/>
                              <a:gd name="T7" fmla="*/ 665 h 665"/>
                              <a:gd name="T8" fmla="*/ 0 w 1711"/>
                              <a:gd name="T9" fmla="*/ 0 h 665"/>
                              <a:gd name="T10" fmla="*/ 1711 w 1711"/>
                              <a:gd name="T11" fmla="*/ 665 h 665"/>
                            </a:gdLst>
                            <a:ahLst/>
                            <a:cxnLst>
                              <a:cxn ang="0">
                                <a:pos x="T0" y="T1"/>
                              </a:cxn>
                              <a:cxn ang="0">
                                <a:pos x="T2" y="T3"/>
                              </a:cxn>
                              <a:cxn ang="0">
                                <a:pos x="T4" y="T5"/>
                              </a:cxn>
                              <a:cxn ang="0">
                                <a:pos x="T6" y="T7"/>
                              </a:cxn>
                            </a:cxnLst>
                            <a:rect l="T8" t="T9" r="T10" b="T11"/>
                            <a:pathLst>
                              <a:path w="1711" h="665">
                                <a:moveTo>
                                  <a:pt x="0" y="0"/>
                                </a:moveTo>
                                <a:lnTo>
                                  <a:pt x="0" y="163"/>
                                </a:lnTo>
                                <a:lnTo>
                                  <a:pt x="1711" y="163"/>
                                </a:lnTo>
                                <a:lnTo>
                                  <a:pt x="1711" y="665"/>
                                </a:lnTo>
                              </a:path>
                            </a:pathLst>
                          </a:custGeom>
                          <a:noFill/>
                          <a:ln w="9714">
                            <a:solidFill>
                              <a:srgbClr val="000000"/>
                            </a:solidFill>
                            <a:round/>
                          </a:ln>
                        </wps:spPr>
                        <wps:bodyPr rot="0" vert="horz" wrap="square" lIns="91440" tIns="45720" rIns="91440" bIns="45720" anchor="t" anchorCtr="0" upright="1">
                          <a:noAutofit/>
                        </wps:bodyPr>
                      </wps:wsp>
                      <wps:wsp>
                        <wps:cNvPr id="908" name="任意多边形 221"/>
                        <wps:cNvSpPr/>
                        <wps:spPr bwMode="auto">
                          <a:xfrm>
                            <a:off x="4273" y="3032"/>
                            <a:ext cx="108" cy="108"/>
                          </a:xfrm>
                          <a:custGeom>
                            <a:avLst/>
                            <a:gdLst>
                              <a:gd name="T0" fmla="*/ 107 w 108"/>
                              <a:gd name="T1" fmla="*/ 0 h 108"/>
                              <a:gd name="T2" fmla="*/ 0 w 108"/>
                              <a:gd name="T3" fmla="*/ 0 h 108"/>
                              <a:gd name="T4" fmla="*/ 53 w 108"/>
                              <a:gd name="T5" fmla="*/ 108 h 108"/>
                              <a:gd name="T6" fmla="*/ 107 w 108"/>
                              <a:gd name="T7" fmla="*/ 0 h 108"/>
                              <a:gd name="T8" fmla="*/ 0 w 108"/>
                              <a:gd name="T9" fmla="*/ 0 h 108"/>
                              <a:gd name="T10" fmla="*/ 108 w 108"/>
                              <a:gd name="T11" fmla="*/ 108 h 108"/>
                            </a:gdLst>
                            <a:ahLst/>
                            <a:cxnLst>
                              <a:cxn ang="0">
                                <a:pos x="T0" y="T1"/>
                              </a:cxn>
                              <a:cxn ang="0">
                                <a:pos x="T2" y="T3"/>
                              </a:cxn>
                              <a:cxn ang="0">
                                <a:pos x="T4" y="T5"/>
                              </a:cxn>
                              <a:cxn ang="0">
                                <a:pos x="T6" y="T7"/>
                              </a:cxn>
                            </a:cxnLst>
                            <a:rect l="T8" t="T9" r="T10" b="T11"/>
                            <a:pathLst>
                              <a:path w="108" h="108">
                                <a:moveTo>
                                  <a:pt x="107" y="0"/>
                                </a:moveTo>
                                <a:lnTo>
                                  <a:pt x="0" y="0"/>
                                </a:lnTo>
                                <a:lnTo>
                                  <a:pt x="53" y="108"/>
                                </a:lnTo>
                                <a:lnTo>
                                  <a:pt x="107" y="0"/>
                                </a:lnTo>
                                <a:close/>
                              </a:path>
                            </a:pathLst>
                          </a:custGeom>
                          <a:solidFill>
                            <a:srgbClr val="000000"/>
                          </a:solidFill>
                          <a:ln>
                            <a:noFill/>
                          </a:ln>
                        </wps:spPr>
                        <wps:bodyPr rot="0" vert="horz" wrap="square" lIns="91440" tIns="45720" rIns="91440" bIns="45720" anchor="t" anchorCtr="0" upright="1">
                          <a:noAutofit/>
                        </wps:bodyPr>
                      </wps:wsp>
                      <pic:pic xmlns:pic="http://schemas.openxmlformats.org/drawingml/2006/picture">
                        <pic:nvPicPr>
                          <pic:cNvPr id="909" name="图片 2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5008" y="1927"/>
                            <a:ext cx="1410" cy="540"/>
                          </a:xfrm>
                          <a:prstGeom prst="rect">
                            <a:avLst/>
                          </a:prstGeom>
                          <a:noFill/>
                        </pic:spPr>
                      </pic:pic>
                      <wps:wsp>
                        <wps:cNvPr id="910" name="矩形 223"/>
                        <wps:cNvSpPr>
                          <a:spLocks noChangeArrowheads="1"/>
                        </wps:cNvSpPr>
                        <wps:spPr bwMode="auto">
                          <a:xfrm>
                            <a:off x="5032" y="1947"/>
                            <a:ext cx="1300" cy="434"/>
                          </a:xfrm>
                          <a:prstGeom prst="rect">
                            <a:avLst/>
                          </a:prstGeom>
                          <a:solidFill>
                            <a:srgbClr val="FFFFFF"/>
                          </a:solidFill>
                          <a:ln>
                            <a:noFill/>
                          </a:ln>
                        </wps:spPr>
                        <wps:bodyPr rot="0" vert="horz" wrap="square" lIns="91440" tIns="45720" rIns="91440" bIns="45720" anchor="t" anchorCtr="0" upright="1">
                          <a:noAutofit/>
                        </wps:bodyPr>
                      </wps:wsp>
                      <pic:pic xmlns:pic="http://schemas.openxmlformats.org/drawingml/2006/picture">
                        <pic:nvPicPr>
                          <pic:cNvPr id="911" name="图片 2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4275" y="1319"/>
                            <a:ext cx="1571" cy="746"/>
                          </a:xfrm>
                          <a:prstGeom prst="rect">
                            <a:avLst/>
                          </a:prstGeom>
                          <a:noFill/>
                        </pic:spPr>
                      </pic:pic>
                      <wps:wsp>
                        <wps:cNvPr id="912" name="任意多边形 225"/>
                        <wps:cNvSpPr/>
                        <wps:spPr bwMode="auto">
                          <a:xfrm>
                            <a:off x="4327" y="1380"/>
                            <a:ext cx="1356" cy="473"/>
                          </a:xfrm>
                          <a:custGeom>
                            <a:avLst/>
                            <a:gdLst>
                              <a:gd name="T0" fmla="*/ 0 w 1356"/>
                              <a:gd name="T1" fmla="*/ 0 h 473"/>
                              <a:gd name="T2" fmla="*/ 0 w 1356"/>
                              <a:gd name="T3" fmla="*/ 163 h 473"/>
                              <a:gd name="T4" fmla="*/ 1356 w 1356"/>
                              <a:gd name="T5" fmla="*/ 163 h 473"/>
                              <a:gd name="T6" fmla="*/ 1356 w 1356"/>
                              <a:gd name="T7" fmla="*/ 473 h 473"/>
                              <a:gd name="T8" fmla="*/ 0 w 1356"/>
                              <a:gd name="T9" fmla="*/ 0 h 473"/>
                              <a:gd name="T10" fmla="*/ 1356 w 1356"/>
                              <a:gd name="T11" fmla="*/ 473 h 473"/>
                            </a:gdLst>
                            <a:ahLst/>
                            <a:cxnLst>
                              <a:cxn ang="0">
                                <a:pos x="T0" y="T1"/>
                              </a:cxn>
                              <a:cxn ang="0">
                                <a:pos x="T2" y="T3"/>
                              </a:cxn>
                              <a:cxn ang="0">
                                <a:pos x="T4" y="T5"/>
                              </a:cxn>
                              <a:cxn ang="0">
                                <a:pos x="T6" y="T7"/>
                              </a:cxn>
                            </a:cxnLst>
                            <a:rect l="T8" t="T9" r="T10" b="T11"/>
                            <a:pathLst>
                              <a:path w="1356" h="473">
                                <a:moveTo>
                                  <a:pt x="0" y="0"/>
                                </a:moveTo>
                                <a:lnTo>
                                  <a:pt x="0" y="163"/>
                                </a:lnTo>
                                <a:lnTo>
                                  <a:pt x="1356" y="163"/>
                                </a:lnTo>
                                <a:lnTo>
                                  <a:pt x="1356" y="473"/>
                                </a:lnTo>
                              </a:path>
                            </a:pathLst>
                          </a:custGeom>
                          <a:noFill/>
                          <a:ln w="9715">
                            <a:solidFill>
                              <a:srgbClr val="000000"/>
                            </a:solidFill>
                            <a:round/>
                          </a:ln>
                        </wps:spPr>
                        <wps:bodyPr rot="0" vert="horz" wrap="square" lIns="91440" tIns="45720" rIns="91440" bIns="45720" anchor="t" anchorCtr="0" upright="1">
                          <a:noAutofit/>
                        </wps:bodyPr>
                      </wps:wsp>
                      <wps:wsp>
                        <wps:cNvPr id="913" name="任意多边形 226"/>
                        <wps:cNvSpPr/>
                        <wps:spPr bwMode="auto">
                          <a:xfrm>
                            <a:off x="5628" y="1839"/>
                            <a:ext cx="108" cy="108"/>
                          </a:xfrm>
                          <a:custGeom>
                            <a:avLst/>
                            <a:gdLst>
                              <a:gd name="T0" fmla="*/ 107 w 108"/>
                              <a:gd name="T1" fmla="*/ 0 h 108"/>
                              <a:gd name="T2" fmla="*/ 0 w 108"/>
                              <a:gd name="T3" fmla="*/ 0 h 108"/>
                              <a:gd name="T4" fmla="*/ 54 w 108"/>
                              <a:gd name="T5" fmla="*/ 107 h 108"/>
                              <a:gd name="T6" fmla="*/ 107 w 108"/>
                              <a:gd name="T7" fmla="*/ 0 h 108"/>
                              <a:gd name="T8" fmla="*/ 0 w 108"/>
                              <a:gd name="T9" fmla="*/ 0 h 108"/>
                              <a:gd name="T10" fmla="*/ 108 w 108"/>
                              <a:gd name="T11" fmla="*/ 108 h 108"/>
                            </a:gdLst>
                            <a:ahLst/>
                            <a:cxnLst>
                              <a:cxn ang="0">
                                <a:pos x="T0" y="T1"/>
                              </a:cxn>
                              <a:cxn ang="0">
                                <a:pos x="T2" y="T3"/>
                              </a:cxn>
                              <a:cxn ang="0">
                                <a:pos x="T4" y="T5"/>
                              </a:cxn>
                              <a:cxn ang="0">
                                <a:pos x="T6" y="T7"/>
                              </a:cxn>
                            </a:cxnLst>
                            <a:rect l="T8" t="T9" r="T10" b="T11"/>
                            <a:pathLst>
                              <a:path w="108" h="108">
                                <a:moveTo>
                                  <a:pt x="107" y="0"/>
                                </a:moveTo>
                                <a:lnTo>
                                  <a:pt x="0" y="0"/>
                                </a:lnTo>
                                <a:lnTo>
                                  <a:pt x="54" y="107"/>
                                </a:lnTo>
                                <a:lnTo>
                                  <a:pt x="107" y="0"/>
                                </a:lnTo>
                                <a:close/>
                              </a:path>
                            </a:pathLst>
                          </a:custGeom>
                          <a:solidFill>
                            <a:srgbClr val="000000"/>
                          </a:solidFill>
                          <a:ln>
                            <a:noFill/>
                          </a:ln>
                        </wps:spPr>
                        <wps:bodyPr rot="0" vert="horz" wrap="square" lIns="91440" tIns="45720" rIns="91440" bIns="45720" anchor="t" anchorCtr="0" upright="1">
                          <a:noAutofit/>
                        </wps:bodyPr>
                      </wps:wsp>
                      <pic:pic xmlns:pic="http://schemas.openxmlformats.org/drawingml/2006/picture">
                        <pic:nvPicPr>
                          <pic:cNvPr id="914" name="图片 22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4229" y="2329"/>
                            <a:ext cx="1571" cy="919"/>
                          </a:xfrm>
                          <a:prstGeom prst="rect">
                            <a:avLst/>
                          </a:prstGeom>
                          <a:noFill/>
                        </pic:spPr>
                      </pic:pic>
                      <wps:wsp>
                        <wps:cNvPr id="915" name="任意多边形 228"/>
                        <wps:cNvSpPr/>
                        <wps:spPr bwMode="auto">
                          <a:xfrm>
                            <a:off x="4327" y="2380"/>
                            <a:ext cx="1356" cy="665"/>
                          </a:xfrm>
                          <a:custGeom>
                            <a:avLst/>
                            <a:gdLst>
                              <a:gd name="T0" fmla="*/ 1356 w 1356"/>
                              <a:gd name="T1" fmla="*/ 0 h 665"/>
                              <a:gd name="T2" fmla="*/ 1356 w 1356"/>
                              <a:gd name="T3" fmla="*/ 163 h 665"/>
                              <a:gd name="T4" fmla="*/ 0 w 1356"/>
                              <a:gd name="T5" fmla="*/ 163 h 665"/>
                              <a:gd name="T6" fmla="*/ 0 w 1356"/>
                              <a:gd name="T7" fmla="*/ 665 h 665"/>
                              <a:gd name="T8" fmla="*/ 0 w 1356"/>
                              <a:gd name="T9" fmla="*/ 0 h 665"/>
                              <a:gd name="T10" fmla="*/ 1356 w 1356"/>
                              <a:gd name="T11" fmla="*/ 665 h 665"/>
                            </a:gdLst>
                            <a:ahLst/>
                            <a:cxnLst>
                              <a:cxn ang="0">
                                <a:pos x="T0" y="T1"/>
                              </a:cxn>
                              <a:cxn ang="0">
                                <a:pos x="T2" y="T3"/>
                              </a:cxn>
                              <a:cxn ang="0">
                                <a:pos x="T4" y="T5"/>
                              </a:cxn>
                              <a:cxn ang="0">
                                <a:pos x="T6" y="T7"/>
                              </a:cxn>
                            </a:cxnLst>
                            <a:rect l="T8" t="T9" r="T10" b="T11"/>
                            <a:pathLst>
                              <a:path w="1356" h="665">
                                <a:moveTo>
                                  <a:pt x="1356" y="0"/>
                                </a:moveTo>
                                <a:lnTo>
                                  <a:pt x="1356" y="163"/>
                                </a:lnTo>
                                <a:lnTo>
                                  <a:pt x="0" y="163"/>
                                </a:lnTo>
                                <a:lnTo>
                                  <a:pt x="0" y="665"/>
                                </a:lnTo>
                              </a:path>
                            </a:pathLst>
                          </a:custGeom>
                          <a:noFill/>
                          <a:ln w="9714">
                            <a:solidFill>
                              <a:srgbClr val="000000"/>
                            </a:solidFill>
                            <a:round/>
                          </a:ln>
                        </wps:spPr>
                        <wps:bodyPr rot="0" vert="horz" wrap="square" lIns="91440" tIns="45720" rIns="91440" bIns="45720" anchor="t" anchorCtr="0" upright="1">
                          <a:noAutofit/>
                        </wps:bodyPr>
                      </wps:wsp>
                      <wps:wsp>
                        <wps:cNvPr id="916" name="任意多边形 229"/>
                        <wps:cNvSpPr/>
                        <wps:spPr bwMode="auto">
                          <a:xfrm>
                            <a:off x="4273" y="3032"/>
                            <a:ext cx="108" cy="108"/>
                          </a:xfrm>
                          <a:custGeom>
                            <a:avLst/>
                            <a:gdLst>
                              <a:gd name="T0" fmla="*/ 107 w 108"/>
                              <a:gd name="T1" fmla="*/ 0 h 108"/>
                              <a:gd name="T2" fmla="*/ 0 w 108"/>
                              <a:gd name="T3" fmla="*/ 0 h 108"/>
                              <a:gd name="T4" fmla="*/ 53 w 108"/>
                              <a:gd name="T5" fmla="*/ 108 h 108"/>
                              <a:gd name="T6" fmla="*/ 107 w 108"/>
                              <a:gd name="T7" fmla="*/ 0 h 108"/>
                              <a:gd name="T8" fmla="*/ 0 w 108"/>
                              <a:gd name="T9" fmla="*/ 0 h 108"/>
                              <a:gd name="T10" fmla="*/ 108 w 108"/>
                              <a:gd name="T11" fmla="*/ 108 h 108"/>
                            </a:gdLst>
                            <a:ahLst/>
                            <a:cxnLst>
                              <a:cxn ang="0">
                                <a:pos x="T0" y="T1"/>
                              </a:cxn>
                              <a:cxn ang="0">
                                <a:pos x="T2" y="T3"/>
                              </a:cxn>
                              <a:cxn ang="0">
                                <a:pos x="T4" y="T5"/>
                              </a:cxn>
                              <a:cxn ang="0">
                                <a:pos x="T6" y="T7"/>
                              </a:cxn>
                            </a:cxnLst>
                            <a:rect l="T8" t="T9" r="T10" b="T11"/>
                            <a:pathLst>
                              <a:path w="108" h="108">
                                <a:moveTo>
                                  <a:pt x="107" y="0"/>
                                </a:moveTo>
                                <a:lnTo>
                                  <a:pt x="0" y="0"/>
                                </a:lnTo>
                                <a:lnTo>
                                  <a:pt x="53" y="108"/>
                                </a:lnTo>
                                <a:lnTo>
                                  <a:pt x="107" y="0"/>
                                </a:lnTo>
                                <a:close/>
                              </a:path>
                            </a:pathLst>
                          </a:custGeom>
                          <a:solidFill>
                            <a:srgbClr val="000000"/>
                          </a:solidFill>
                          <a:ln>
                            <a:noFill/>
                          </a:ln>
                        </wps:spPr>
                        <wps:bodyPr rot="0" vert="horz" wrap="square" lIns="91440" tIns="45720" rIns="91440" bIns="45720" anchor="t" anchorCtr="0" upright="1">
                          <a:noAutofit/>
                        </wps:bodyPr>
                      </wps:wsp>
                      <pic:pic xmlns:pic="http://schemas.openxmlformats.org/drawingml/2006/picture">
                        <pic:nvPicPr>
                          <pic:cNvPr id="917" name="图片 2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3174" y="3981"/>
                            <a:ext cx="2373" cy="551"/>
                          </a:xfrm>
                          <a:prstGeom prst="rect">
                            <a:avLst/>
                          </a:prstGeom>
                          <a:noFill/>
                        </pic:spPr>
                      </pic:pic>
                      <wps:wsp>
                        <wps:cNvPr id="918" name="矩形 231"/>
                        <wps:cNvSpPr>
                          <a:spLocks noChangeArrowheads="1"/>
                        </wps:cNvSpPr>
                        <wps:spPr bwMode="auto">
                          <a:xfrm>
                            <a:off x="3201" y="4007"/>
                            <a:ext cx="2253" cy="434"/>
                          </a:xfrm>
                          <a:prstGeom prst="rect">
                            <a:avLst/>
                          </a:prstGeom>
                          <a:solidFill>
                            <a:srgbClr val="FFFFFF"/>
                          </a:solidFill>
                          <a:ln>
                            <a:noFill/>
                          </a:ln>
                        </wps:spPr>
                        <wps:bodyPr rot="0" vert="horz" wrap="square" lIns="91440" tIns="45720" rIns="91440" bIns="45720" anchor="t" anchorCtr="0" upright="1">
                          <a:noAutofit/>
                        </wps:bodyPr>
                      </wps:wsp>
                      <pic:pic xmlns:pic="http://schemas.openxmlformats.org/drawingml/2006/picture">
                        <pic:nvPicPr>
                          <pic:cNvPr id="919" name="图片 2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4229" y="3522"/>
                            <a:ext cx="264" cy="597"/>
                          </a:xfrm>
                          <a:prstGeom prst="rect">
                            <a:avLst/>
                          </a:prstGeom>
                          <a:noFill/>
                        </pic:spPr>
                      </pic:pic>
                      <wps:wsp>
                        <wps:cNvPr id="920" name="直线 233"/>
                        <wps:cNvCnPr>
                          <a:cxnSpLocks noChangeShapeType="1"/>
                        </wps:cNvCnPr>
                        <wps:spPr bwMode="auto">
                          <a:xfrm>
                            <a:off x="4327" y="3574"/>
                            <a:ext cx="0" cy="339"/>
                          </a:xfrm>
                          <a:prstGeom prst="line">
                            <a:avLst/>
                          </a:prstGeom>
                          <a:noFill/>
                          <a:ln w="9704">
                            <a:solidFill>
                              <a:srgbClr val="000000"/>
                            </a:solidFill>
                            <a:round/>
                          </a:ln>
                        </wps:spPr>
                        <wps:bodyPr/>
                      </wps:wsp>
                      <wps:wsp>
                        <wps:cNvPr id="921" name="任意多边形 234"/>
                        <wps:cNvSpPr/>
                        <wps:spPr bwMode="auto">
                          <a:xfrm>
                            <a:off x="4273" y="3899"/>
                            <a:ext cx="108" cy="108"/>
                          </a:xfrm>
                          <a:custGeom>
                            <a:avLst/>
                            <a:gdLst>
                              <a:gd name="T0" fmla="*/ 107 w 108"/>
                              <a:gd name="T1" fmla="*/ 0 h 108"/>
                              <a:gd name="T2" fmla="*/ 0 w 108"/>
                              <a:gd name="T3" fmla="*/ 0 h 108"/>
                              <a:gd name="T4" fmla="*/ 53 w 108"/>
                              <a:gd name="T5" fmla="*/ 107 h 108"/>
                              <a:gd name="T6" fmla="*/ 107 w 108"/>
                              <a:gd name="T7" fmla="*/ 0 h 108"/>
                              <a:gd name="T8" fmla="*/ 0 w 108"/>
                              <a:gd name="T9" fmla="*/ 0 h 108"/>
                              <a:gd name="T10" fmla="*/ 108 w 108"/>
                              <a:gd name="T11" fmla="*/ 108 h 108"/>
                            </a:gdLst>
                            <a:ahLst/>
                            <a:cxnLst>
                              <a:cxn ang="0">
                                <a:pos x="T0" y="T1"/>
                              </a:cxn>
                              <a:cxn ang="0">
                                <a:pos x="T2" y="T3"/>
                              </a:cxn>
                              <a:cxn ang="0">
                                <a:pos x="T4" y="T5"/>
                              </a:cxn>
                              <a:cxn ang="0">
                                <a:pos x="T6" y="T7"/>
                              </a:cxn>
                            </a:cxnLst>
                            <a:rect l="T8" t="T9" r="T10" b="T11"/>
                            <a:pathLst>
                              <a:path w="108" h="108">
                                <a:moveTo>
                                  <a:pt x="107" y="0"/>
                                </a:moveTo>
                                <a:lnTo>
                                  <a:pt x="0" y="0"/>
                                </a:lnTo>
                                <a:lnTo>
                                  <a:pt x="53" y="107"/>
                                </a:lnTo>
                                <a:lnTo>
                                  <a:pt x="107" y="0"/>
                                </a:lnTo>
                                <a:close/>
                              </a:path>
                            </a:pathLst>
                          </a:custGeom>
                          <a:solidFill>
                            <a:srgbClr val="000000"/>
                          </a:solidFill>
                          <a:ln>
                            <a:noFill/>
                          </a:ln>
                        </wps:spPr>
                        <wps:bodyPr rot="0" vert="horz" wrap="square" lIns="91440" tIns="45720" rIns="91440" bIns="45720" anchor="t" anchorCtr="0" upright="1">
                          <a:noAutofit/>
                        </wps:bodyPr>
                      </wps:wsp>
                      <pic:pic xmlns:pic="http://schemas.openxmlformats.org/drawingml/2006/picture">
                        <pic:nvPicPr>
                          <pic:cNvPr id="922" name="图片 23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3174" y="4854"/>
                            <a:ext cx="2373" cy="540"/>
                          </a:xfrm>
                          <a:prstGeom prst="rect">
                            <a:avLst/>
                          </a:prstGeom>
                          <a:noFill/>
                        </pic:spPr>
                      </pic:pic>
                      <wps:wsp>
                        <wps:cNvPr id="923" name="矩形 236"/>
                        <wps:cNvSpPr>
                          <a:spLocks noChangeArrowheads="1"/>
                        </wps:cNvSpPr>
                        <wps:spPr bwMode="auto">
                          <a:xfrm>
                            <a:off x="3201" y="4874"/>
                            <a:ext cx="2253" cy="434"/>
                          </a:xfrm>
                          <a:prstGeom prst="rect">
                            <a:avLst/>
                          </a:prstGeom>
                          <a:solidFill>
                            <a:srgbClr val="FFFFFF"/>
                          </a:solidFill>
                          <a:ln>
                            <a:noFill/>
                          </a:ln>
                        </wps:spPr>
                        <wps:bodyPr rot="0" vert="horz" wrap="square" lIns="91440" tIns="45720" rIns="91440" bIns="45720" anchor="t" anchorCtr="0" upright="1">
                          <a:noAutofit/>
                        </wps:bodyPr>
                      </wps:wsp>
                      <pic:pic xmlns:pic="http://schemas.openxmlformats.org/drawingml/2006/picture">
                        <pic:nvPicPr>
                          <pic:cNvPr id="924" name="图片 23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4229" y="4383"/>
                            <a:ext cx="264" cy="609"/>
                          </a:xfrm>
                          <a:prstGeom prst="rect">
                            <a:avLst/>
                          </a:prstGeom>
                          <a:noFill/>
                        </pic:spPr>
                      </pic:pic>
                      <wps:wsp>
                        <wps:cNvPr id="925" name="直线 238"/>
                        <wps:cNvCnPr>
                          <a:cxnSpLocks noChangeShapeType="1"/>
                        </wps:cNvCnPr>
                        <wps:spPr bwMode="auto">
                          <a:xfrm>
                            <a:off x="4327" y="4441"/>
                            <a:ext cx="0" cy="340"/>
                          </a:xfrm>
                          <a:prstGeom prst="line">
                            <a:avLst/>
                          </a:prstGeom>
                          <a:noFill/>
                          <a:ln w="9704">
                            <a:solidFill>
                              <a:srgbClr val="000000"/>
                            </a:solidFill>
                            <a:round/>
                          </a:ln>
                        </wps:spPr>
                        <wps:bodyPr/>
                      </wps:wsp>
                      <wps:wsp>
                        <wps:cNvPr id="926" name="任意多边形 239"/>
                        <wps:cNvSpPr/>
                        <wps:spPr bwMode="auto">
                          <a:xfrm>
                            <a:off x="4273" y="4767"/>
                            <a:ext cx="108" cy="108"/>
                          </a:xfrm>
                          <a:custGeom>
                            <a:avLst/>
                            <a:gdLst>
                              <a:gd name="T0" fmla="*/ 107 w 108"/>
                              <a:gd name="T1" fmla="*/ 0 h 108"/>
                              <a:gd name="T2" fmla="*/ 0 w 108"/>
                              <a:gd name="T3" fmla="*/ 0 h 108"/>
                              <a:gd name="T4" fmla="*/ 53 w 108"/>
                              <a:gd name="T5" fmla="*/ 108 h 108"/>
                              <a:gd name="T6" fmla="*/ 107 w 108"/>
                              <a:gd name="T7" fmla="*/ 0 h 108"/>
                              <a:gd name="T8" fmla="*/ 0 w 108"/>
                              <a:gd name="T9" fmla="*/ 0 h 108"/>
                              <a:gd name="T10" fmla="*/ 108 w 108"/>
                              <a:gd name="T11" fmla="*/ 108 h 108"/>
                            </a:gdLst>
                            <a:ahLst/>
                            <a:cxnLst>
                              <a:cxn ang="0">
                                <a:pos x="T0" y="T1"/>
                              </a:cxn>
                              <a:cxn ang="0">
                                <a:pos x="T2" y="T3"/>
                              </a:cxn>
                              <a:cxn ang="0">
                                <a:pos x="T4" y="T5"/>
                              </a:cxn>
                              <a:cxn ang="0">
                                <a:pos x="T6" y="T7"/>
                              </a:cxn>
                            </a:cxnLst>
                            <a:rect l="T8" t="T9" r="T10" b="T11"/>
                            <a:pathLst>
                              <a:path w="108" h="108">
                                <a:moveTo>
                                  <a:pt x="107" y="0"/>
                                </a:moveTo>
                                <a:lnTo>
                                  <a:pt x="0" y="0"/>
                                </a:lnTo>
                                <a:lnTo>
                                  <a:pt x="53" y="108"/>
                                </a:lnTo>
                                <a:lnTo>
                                  <a:pt x="107" y="0"/>
                                </a:lnTo>
                                <a:close/>
                              </a:path>
                            </a:pathLst>
                          </a:custGeom>
                          <a:solidFill>
                            <a:srgbClr val="000000"/>
                          </a:solidFill>
                          <a:ln>
                            <a:noFill/>
                          </a:ln>
                        </wps:spPr>
                        <wps:bodyPr rot="0" vert="horz" wrap="square" lIns="91440" tIns="45720" rIns="91440" bIns="45720" anchor="t" anchorCtr="0" upright="1">
                          <a:noAutofit/>
                        </wps:bodyPr>
                      </wps:wsp>
                      <pic:pic xmlns:pic="http://schemas.openxmlformats.org/drawingml/2006/picture">
                        <pic:nvPicPr>
                          <pic:cNvPr id="927" name="图片 24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2303" y="5714"/>
                            <a:ext cx="4115" cy="551"/>
                          </a:xfrm>
                          <a:prstGeom prst="rect">
                            <a:avLst/>
                          </a:prstGeom>
                          <a:noFill/>
                        </pic:spPr>
                      </pic:pic>
                      <wps:wsp>
                        <wps:cNvPr id="928" name="矩形 241"/>
                        <wps:cNvSpPr>
                          <a:spLocks noChangeArrowheads="1"/>
                        </wps:cNvSpPr>
                        <wps:spPr bwMode="auto">
                          <a:xfrm>
                            <a:off x="2322" y="5742"/>
                            <a:ext cx="4010" cy="434"/>
                          </a:xfrm>
                          <a:prstGeom prst="rect">
                            <a:avLst/>
                          </a:prstGeom>
                          <a:solidFill>
                            <a:srgbClr val="FFFFFF"/>
                          </a:solidFill>
                          <a:ln>
                            <a:noFill/>
                          </a:ln>
                        </wps:spPr>
                        <wps:bodyPr rot="0" vert="horz" wrap="square" lIns="91440" tIns="45720" rIns="91440" bIns="45720" anchor="t" anchorCtr="0" upright="1">
                          <a:noAutofit/>
                        </wps:bodyPr>
                      </wps:wsp>
                      <pic:pic xmlns:pic="http://schemas.openxmlformats.org/drawingml/2006/picture">
                        <pic:nvPicPr>
                          <pic:cNvPr id="929" name="图片 24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4229" y="5255"/>
                            <a:ext cx="264" cy="597"/>
                          </a:xfrm>
                          <a:prstGeom prst="rect">
                            <a:avLst/>
                          </a:prstGeom>
                          <a:noFill/>
                        </pic:spPr>
                      </pic:pic>
                      <wps:wsp>
                        <wps:cNvPr id="930" name="直线 243"/>
                        <wps:cNvCnPr>
                          <a:cxnSpLocks noChangeShapeType="1"/>
                        </wps:cNvCnPr>
                        <wps:spPr bwMode="auto">
                          <a:xfrm>
                            <a:off x="4327" y="5308"/>
                            <a:ext cx="0" cy="340"/>
                          </a:xfrm>
                          <a:prstGeom prst="line">
                            <a:avLst/>
                          </a:prstGeom>
                          <a:noFill/>
                          <a:ln w="9704">
                            <a:solidFill>
                              <a:srgbClr val="000000"/>
                            </a:solidFill>
                            <a:round/>
                          </a:ln>
                        </wps:spPr>
                        <wps:bodyPr/>
                      </wps:wsp>
                      <wps:wsp>
                        <wps:cNvPr id="931" name="任意多边形 244"/>
                        <wps:cNvSpPr/>
                        <wps:spPr bwMode="auto">
                          <a:xfrm>
                            <a:off x="4273" y="5634"/>
                            <a:ext cx="108" cy="108"/>
                          </a:xfrm>
                          <a:custGeom>
                            <a:avLst/>
                            <a:gdLst>
                              <a:gd name="T0" fmla="*/ 107 w 108"/>
                              <a:gd name="T1" fmla="*/ 0 h 108"/>
                              <a:gd name="T2" fmla="*/ 0 w 108"/>
                              <a:gd name="T3" fmla="*/ 0 h 108"/>
                              <a:gd name="T4" fmla="*/ 53 w 108"/>
                              <a:gd name="T5" fmla="*/ 107 h 108"/>
                              <a:gd name="T6" fmla="*/ 107 w 108"/>
                              <a:gd name="T7" fmla="*/ 0 h 108"/>
                              <a:gd name="T8" fmla="*/ 0 w 108"/>
                              <a:gd name="T9" fmla="*/ 0 h 108"/>
                              <a:gd name="T10" fmla="*/ 108 w 108"/>
                              <a:gd name="T11" fmla="*/ 108 h 108"/>
                            </a:gdLst>
                            <a:ahLst/>
                            <a:cxnLst>
                              <a:cxn ang="0">
                                <a:pos x="T0" y="T1"/>
                              </a:cxn>
                              <a:cxn ang="0">
                                <a:pos x="T2" y="T3"/>
                              </a:cxn>
                              <a:cxn ang="0">
                                <a:pos x="T4" y="T5"/>
                              </a:cxn>
                              <a:cxn ang="0">
                                <a:pos x="T6" y="T7"/>
                              </a:cxn>
                            </a:cxnLst>
                            <a:rect l="T8" t="T9" r="T10" b="T11"/>
                            <a:pathLst>
                              <a:path w="108" h="108">
                                <a:moveTo>
                                  <a:pt x="107" y="0"/>
                                </a:moveTo>
                                <a:lnTo>
                                  <a:pt x="0" y="0"/>
                                </a:lnTo>
                                <a:lnTo>
                                  <a:pt x="53" y="107"/>
                                </a:lnTo>
                                <a:lnTo>
                                  <a:pt x="107" y="0"/>
                                </a:lnTo>
                                <a:close/>
                              </a:path>
                            </a:pathLst>
                          </a:custGeom>
                          <a:solidFill>
                            <a:srgbClr val="000000"/>
                          </a:solidFill>
                          <a:ln>
                            <a:noFill/>
                          </a:ln>
                        </wps:spPr>
                        <wps:bodyPr rot="0" vert="horz" wrap="square" lIns="91440" tIns="45720" rIns="91440" bIns="45720" anchor="t" anchorCtr="0" upright="1">
                          <a:noAutofit/>
                        </wps:bodyPr>
                      </wps:wsp>
                      <pic:pic xmlns:pic="http://schemas.openxmlformats.org/drawingml/2006/picture">
                        <pic:nvPicPr>
                          <pic:cNvPr id="932" name="图片 24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3656" y="6586"/>
                            <a:ext cx="1410" cy="551"/>
                          </a:xfrm>
                          <a:prstGeom prst="rect">
                            <a:avLst/>
                          </a:prstGeom>
                          <a:noFill/>
                        </pic:spPr>
                      </pic:pic>
                      <wps:wsp>
                        <wps:cNvPr id="933" name="矩形 246"/>
                        <wps:cNvSpPr>
                          <a:spLocks noChangeArrowheads="1"/>
                        </wps:cNvSpPr>
                        <wps:spPr bwMode="auto">
                          <a:xfrm>
                            <a:off x="3677" y="6609"/>
                            <a:ext cx="1300" cy="434"/>
                          </a:xfrm>
                          <a:prstGeom prst="rect">
                            <a:avLst/>
                          </a:prstGeom>
                          <a:solidFill>
                            <a:srgbClr val="FFFFFF"/>
                          </a:solidFill>
                          <a:ln>
                            <a:noFill/>
                          </a:ln>
                        </wps:spPr>
                        <wps:bodyPr rot="0" vert="horz" wrap="square" lIns="91440" tIns="45720" rIns="91440" bIns="45720" anchor="t" anchorCtr="0" upright="1">
                          <a:noAutofit/>
                        </wps:bodyPr>
                      </wps:wsp>
                      <pic:pic xmlns:pic="http://schemas.openxmlformats.org/drawingml/2006/picture">
                        <pic:nvPicPr>
                          <pic:cNvPr id="934" name="图片 24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4229" y="6116"/>
                            <a:ext cx="264" cy="609"/>
                          </a:xfrm>
                          <a:prstGeom prst="rect">
                            <a:avLst/>
                          </a:prstGeom>
                          <a:noFill/>
                        </pic:spPr>
                      </pic:pic>
                      <wps:wsp>
                        <wps:cNvPr id="935" name="直线 248"/>
                        <wps:cNvCnPr>
                          <a:cxnSpLocks noChangeShapeType="1"/>
                        </wps:cNvCnPr>
                        <wps:spPr bwMode="auto">
                          <a:xfrm>
                            <a:off x="4327" y="6176"/>
                            <a:ext cx="0" cy="339"/>
                          </a:xfrm>
                          <a:prstGeom prst="line">
                            <a:avLst/>
                          </a:prstGeom>
                          <a:noFill/>
                          <a:ln w="9704">
                            <a:solidFill>
                              <a:srgbClr val="000000"/>
                            </a:solidFill>
                            <a:round/>
                          </a:ln>
                        </wps:spPr>
                        <wps:bodyPr/>
                      </wps:wsp>
                      <wps:wsp>
                        <wps:cNvPr id="936" name="任意多边形 249"/>
                        <wps:cNvSpPr/>
                        <wps:spPr bwMode="auto">
                          <a:xfrm>
                            <a:off x="4273" y="6501"/>
                            <a:ext cx="108" cy="108"/>
                          </a:xfrm>
                          <a:custGeom>
                            <a:avLst/>
                            <a:gdLst>
                              <a:gd name="T0" fmla="*/ 107 w 108"/>
                              <a:gd name="T1" fmla="*/ 0 h 108"/>
                              <a:gd name="T2" fmla="*/ 0 w 108"/>
                              <a:gd name="T3" fmla="*/ 0 h 108"/>
                              <a:gd name="T4" fmla="*/ 53 w 108"/>
                              <a:gd name="T5" fmla="*/ 108 h 108"/>
                              <a:gd name="T6" fmla="*/ 107 w 108"/>
                              <a:gd name="T7" fmla="*/ 0 h 108"/>
                              <a:gd name="T8" fmla="*/ 0 w 108"/>
                              <a:gd name="T9" fmla="*/ 0 h 108"/>
                              <a:gd name="T10" fmla="*/ 108 w 108"/>
                              <a:gd name="T11" fmla="*/ 108 h 108"/>
                            </a:gdLst>
                            <a:ahLst/>
                            <a:cxnLst>
                              <a:cxn ang="0">
                                <a:pos x="T0" y="T1"/>
                              </a:cxn>
                              <a:cxn ang="0">
                                <a:pos x="T2" y="T3"/>
                              </a:cxn>
                              <a:cxn ang="0">
                                <a:pos x="T4" y="T5"/>
                              </a:cxn>
                              <a:cxn ang="0">
                                <a:pos x="T6" y="T7"/>
                              </a:cxn>
                            </a:cxnLst>
                            <a:rect l="T8" t="T9" r="T10" b="T11"/>
                            <a:pathLst>
                              <a:path w="108" h="108">
                                <a:moveTo>
                                  <a:pt x="107" y="0"/>
                                </a:moveTo>
                                <a:lnTo>
                                  <a:pt x="0" y="0"/>
                                </a:lnTo>
                                <a:lnTo>
                                  <a:pt x="53" y="108"/>
                                </a:lnTo>
                                <a:lnTo>
                                  <a:pt x="107" y="0"/>
                                </a:lnTo>
                                <a:close/>
                              </a:path>
                            </a:pathLst>
                          </a:custGeom>
                          <a:solidFill>
                            <a:srgbClr val="000000"/>
                          </a:solidFill>
                          <a:ln>
                            <a:noFill/>
                          </a:ln>
                        </wps:spPr>
                        <wps:bodyPr rot="0" vert="horz" wrap="square" lIns="91440" tIns="45720" rIns="91440" bIns="45720" anchor="t" anchorCtr="0" upright="1">
                          <a:noAutofit/>
                        </wps:bodyPr>
                      </wps:wsp>
                      <pic:pic xmlns:pic="http://schemas.openxmlformats.org/drawingml/2006/picture">
                        <pic:nvPicPr>
                          <pic:cNvPr id="937" name="图片 25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3656" y="7458"/>
                            <a:ext cx="1410" cy="540"/>
                          </a:xfrm>
                          <a:prstGeom prst="rect">
                            <a:avLst/>
                          </a:prstGeom>
                          <a:noFill/>
                        </pic:spPr>
                      </pic:pic>
                      <wps:wsp>
                        <wps:cNvPr id="938" name="矩形 251"/>
                        <wps:cNvSpPr>
                          <a:spLocks noChangeArrowheads="1"/>
                        </wps:cNvSpPr>
                        <wps:spPr bwMode="auto">
                          <a:xfrm>
                            <a:off x="3677" y="7477"/>
                            <a:ext cx="1300" cy="434"/>
                          </a:xfrm>
                          <a:prstGeom prst="rect">
                            <a:avLst/>
                          </a:prstGeom>
                          <a:solidFill>
                            <a:srgbClr val="FFFFFF"/>
                          </a:solidFill>
                          <a:ln>
                            <a:noFill/>
                          </a:ln>
                        </wps:spPr>
                        <wps:bodyPr rot="0" vert="horz" wrap="square" lIns="91440" tIns="45720" rIns="91440" bIns="45720" anchor="t" anchorCtr="0" upright="1">
                          <a:noAutofit/>
                        </wps:bodyPr>
                      </wps:wsp>
                      <pic:pic xmlns:pic="http://schemas.openxmlformats.org/drawingml/2006/picture">
                        <pic:nvPicPr>
                          <pic:cNvPr id="939" name="图片 25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4229" y="6988"/>
                            <a:ext cx="264" cy="597"/>
                          </a:xfrm>
                          <a:prstGeom prst="rect">
                            <a:avLst/>
                          </a:prstGeom>
                          <a:noFill/>
                        </pic:spPr>
                      </pic:pic>
                      <wps:wsp>
                        <wps:cNvPr id="940" name="直线 253"/>
                        <wps:cNvCnPr>
                          <a:cxnSpLocks noChangeShapeType="1"/>
                        </wps:cNvCnPr>
                        <wps:spPr bwMode="auto">
                          <a:xfrm>
                            <a:off x="4327" y="7043"/>
                            <a:ext cx="0" cy="340"/>
                          </a:xfrm>
                          <a:prstGeom prst="line">
                            <a:avLst/>
                          </a:prstGeom>
                          <a:noFill/>
                          <a:ln w="9704">
                            <a:solidFill>
                              <a:srgbClr val="000000"/>
                            </a:solidFill>
                            <a:round/>
                          </a:ln>
                        </wps:spPr>
                        <wps:bodyPr/>
                      </wps:wsp>
                      <wps:wsp>
                        <wps:cNvPr id="941" name="任意多边形 254"/>
                        <wps:cNvSpPr/>
                        <wps:spPr bwMode="auto">
                          <a:xfrm>
                            <a:off x="4273" y="7369"/>
                            <a:ext cx="108" cy="108"/>
                          </a:xfrm>
                          <a:custGeom>
                            <a:avLst/>
                            <a:gdLst>
                              <a:gd name="T0" fmla="*/ 107 w 108"/>
                              <a:gd name="T1" fmla="*/ 0 h 108"/>
                              <a:gd name="T2" fmla="*/ 0 w 108"/>
                              <a:gd name="T3" fmla="*/ 0 h 108"/>
                              <a:gd name="T4" fmla="*/ 53 w 108"/>
                              <a:gd name="T5" fmla="*/ 108 h 108"/>
                              <a:gd name="T6" fmla="*/ 107 w 108"/>
                              <a:gd name="T7" fmla="*/ 0 h 108"/>
                              <a:gd name="T8" fmla="*/ 0 w 108"/>
                              <a:gd name="T9" fmla="*/ 0 h 108"/>
                              <a:gd name="T10" fmla="*/ 108 w 108"/>
                              <a:gd name="T11" fmla="*/ 108 h 108"/>
                            </a:gdLst>
                            <a:ahLst/>
                            <a:cxnLst>
                              <a:cxn ang="0">
                                <a:pos x="T0" y="T1"/>
                              </a:cxn>
                              <a:cxn ang="0">
                                <a:pos x="T2" y="T3"/>
                              </a:cxn>
                              <a:cxn ang="0">
                                <a:pos x="T4" y="T5"/>
                              </a:cxn>
                              <a:cxn ang="0">
                                <a:pos x="T6" y="T7"/>
                              </a:cxn>
                            </a:cxnLst>
                            <a:rect l="T8" t="T9" r="T10" b="T11"/>
                            <a:pathLst>
                              <a:path w="108" h="108">
                                <a:moveTo>
                                  <a:pt x="107" y="0"/>
                                </a:moveTo>
                                <a:lnTo>
                                  <a:pt x="0" y="0"/>
                                </a:lnTo>
                                <a:lnTo>
                                  <a:pt x="53" y="108"/>
                                </a:lnTo>
                                <a:lnTo>
                                  <a:pt x="107" y="0"/>
                                </a:lnTo>
                                <a:close/>
                              </a:path>
                            </a:pathLst>
                          </a:custGeom>
                          <a:solidFill>
                            <a:srgbClr val="000000"/>
                          </a:solidFill>
                          <a:ln>
                            <a:noFill/>
                          </a:ln>
                        </wps:spPr>
                        <wps:bodyPr rot="0" vert="horz" wrap="square" lIns="91440" tIns="45720" rIns="91440" bIns="45720" anchor="t" anchorCtr="0" upright="1">
                          <a:noAutofit/>
                        </wps:bodyPr>
                      </wps:wsp>
                      <pic:pic xmlns:pic="http://schemas.openxmlformats.org/drawingml/2006/picture">
                        <pic:nvPicPr>
                          <pic:cNvPr id="942" name="图片 25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7610" y="5726"/>
                            <a:ext cx="1410" cy="540"/>
                          </a:xfrm>
                          <a:prstGeom prst="rect">
                            <a:avLst/>
                          </a:prstGeom>
                          <a:noFill/>
                        </pic:spPr>
                      </pic:pic>
                      <wps:wsp>
                        <wps:cNvPr id="943" name="矩形 256"/>
                        <wps:cNvSpPr>
                          <a:spLocks noChangeArrowheads="1"/>
                        </wps:cNvSpPr>
                        <wps:spPr bwMode="auto">
                          <a:xfrm>
                            <a:off x="7631" y="5742"/>
                            <a:ext cx="1300" cy="434"/>
                          </a:xfrm>
                          <a:prstGeom prst="rect">
                            <a:avLst/>
                          </a:prstGeom>
                          <a:solidFill>
                            <a:srgbClr val="FFFFFF"/>
                          </a:solidFill>
                          <a:ln>
                            <a:noFill/>
                          </a:ln>
                        </wps:spPr>
                        <wps:bodyPr rot="0" vert="horz" wrap="square" lIns="91440" tIns="45720" rIns="91440" bIns="45720" anchor="t" anchorCtr="0" upright="1">
                          <a:noAutofit/>
                        </wps:bodyPr>
                      </wps:wsp>
                      <pic:pic xmlns:pic="http://schemas.openxmlformats.org/drawingml/2006/picture">
                        <pic:nvPicPr>
                          <pic:cNvPr id="944" name="图片 25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6281" y="5852"/>
                            <a:ext cx="1468" cy="276"/>
                          </a:xfrm>
                          <a:prstGeom prst="rect">
                            <a:avLst/>
                          </a:prstGeom>
                          <a:noFill/>
                        </pic:spPr>
                      </pic:pic>
                      <wps:wsp>
                        <wps:cNvPr id="945" name="直线 258"/>
                        <wps:cNvCnPr>
                          <a:cxnSpLocks noChangeShapeType="1"/>
                        </wps:cNvCnPr>
                        <wps:spPr bwMode="auto">
                          <a:xfrm>
                            <a:off x="6332" y="5959"/>
                            <a:ext cx="1206" cy="0"/>
                          </a:xfrm>
                          <a:prstGeom prst="line">
                            <a:avLst/>
                          </a:prstGeom>
                          <a:noFill/>
                          <a:ln w="9716">
                            <a:solidFill>
                              <a:srgbClr val="000000"/>
                            </a:solidFill>
                            <a:prstDash val="lgDash"/>
                            <a:round/>
                          </a:ln>
                        </wps:spPr>
                        <wps:bodyPr/>
                      </wps:wsp>
                      <wps:wsp>
                        <wps:cNvPr id="946" name="任意多边形 259"/>
                        <wps:cNvSpPr/>
                        <wps:spPr bwMode="auto">
                          <a:xfrm>
                            <a:off x="7524" y="5905"/>
                            <a:ext cx="108" cy="108"/>
                          </a:xfrm>
                          <a:custGeom>
                            <a:avLst/>
                            <a:gdLst>
                              <a:gd name="T0" fmla="*/ 0 w 108"/>
                              <a:gd name="T1" fmla="*/ 0 h 108"/>
                              <a:gd name="T2" fmla="*/ 0 w 108"/>
                              <a:gd name="T3" fmla="*/ 108 h 108"/>
                              <a:gd name="T4" fmla="*/ 108 w 108"/>
                              <a:gd name="T5" fmla="*/ 54 h 108"/>
                              <a:gd name="T6" fmla="*/ 0 w 108"/>
                              <a:gd name="T7" fmla="*/ 0 h 108"/>
                              <a:gd name="T8" fmla="*/ 0 w 108"/>
                              <a:gd name="T9" fmla="*/ 0 h 108"/>
                              <a:gd name="T10" fmla="*/ 108 w 108"/>
                              <a:gd name="T11" fmla="*/ 108 h 108"/>
                            </a:gdLst>
                            <a:ahLst/>
                            <a:cxnLst>
                              <a:cxn ang="0">
                                <a:pos x="T0" y="T1"/>
                              </a:cxn>
                              <a:cxn ang="0">
                                <a:pos x="T2" y="T3"/>
                              </a:cxn>
                              <a:cxn ang="0">
                                <a:pos x="T4" y="T5"/>
                              </a:cxn>
                              <a:cxn ang="0">
                                <a:pos x="T6" y="T7"/>
                              </a:cxn>
                            </a:cxnLst>
                            <a:rect l="T8" t="T9" r="T10" b="T11"/>
                            <a:pathLst>
                              <a:path w="108" h="108">
                                <a:moveTo>
                                  <a:pt x="0" y="0"/>
                                </a:moveTo>
                                <a:lnTo>
                                  <a:pt x="0" y="108"/>
                                </a:lnTo>
                                <a:lnTo>
                                  <a:pt x="108" y="54"/>
                                </a:lnTo>
                                <a:lnTo>
                                  <a:pt x="0" y="0"/>
                                </a:lnTo>
                                <a:close/>
                              </a:path>
                            </a:pathLst>
                          </a:custGeom>
                          <a:solidFill>
                            <a:srgbClr val="000000"/>
                          </a:solidFill>
                          <a:ln>
                            <a:noFill/>
                          </a:ln>
                        </wps:spPr>
                        <wps:bodyPr rot="0" vert="horz" wrap="square" lIns="91440" tIns="45720" rIns="91440" bIns="45720" anchor="t" anchorCtr="0" upright="1">
                          <a:noAutofit/>
                        </wps:bodyPr>
                      </wps:wsp>
                      <pic:pic xmlns:pic="http://schemas.openxmlformats.org/drawingml/2006/picture">
                        <pic:nvPicPr>
                          <pic:cNvPr id="947" name="图片 26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7610" y="1927"/>
                            <a:ext cx="757" cy="1814"/>
                          </a:xfrm>
                          <a:prstGeom prst="rect">
                            <a:avLst/>
                          </a:prstGeom>
                          <a:noFill/>
                        </pic:spPr>
                      </pic:pic>
                      <wps:wsp>
                        <wps:cNvPr id="948" name="矩形 261"/>
                        <wps:cNvSpPr>
                          <a:spLocks noChangeArrowheads="1"/>
                        </wps:cNvSpPr>
                        <wps:spPr bwMode="auto">
                          <a:xfrm>
                            <a:off x="7631" y="1947"/>
                            <a:ext cx="650" cy="1714"/>
                          </a:xfrm>
                          <a:prstGeom prst="rect">
                            <a:avLst/>
                          </a:prstGeom>
                          <a:solidFill>
                            <a:srgbClr val="FFFFFF"/>
                          </a:solidFill>
                          <a:ln>
                            <a:noFill/>
                          </a:ln>
                        </wps:spPr>
                        <wps:bodyPr rot="0" vert="horz" wrap="square" lIns="91440" tIns="45720" rIns="91440" bIns="45720" anchor="t" anchorCtr="0" upright="1">
                          <a:noAutofit/>
                        </wps:bodyPr>
                      </wps:wsp>
                      <wps:wsp>
                        <wps:cNvPr id="949" name="矩形 262"/>
                        <wps:cNvSpPr>
                          <a:spLocks noChangeArrowheads="1"/>
                        </wps:cNvSpPr>
                        <wps:spPr bwMode="auto">
                          <a:xfrm>
                            <a:off x="7631" y="1947"/>
                            <a:ext cx="650" cy="1714"/>
                          </a:xfrm>
                          <a:prstGeom prst="rect">
                            <a:avLst/>
                          </a:prstGeom>
                          <a:noFill/>
                          <a:ln w="2425">
                            <a:solidFill>
                              <a:srgbClr val="000000"/>
                            </a:solidFill>
                            <a:prstDash val="lgDash"/>
                            <a:miter lim="800000"/>
                          </a:ln>
                        </wps:spPr>
                        <wps:bodyPr rot="0" vert="horz" wrap="square" lIns="91440" tIns="45720" rIns="91440" bIns="45720" anchor="t" anchorCtr="0" upright="1">
                          <a:noAutofit/>
                        </wps:bodyPr>
                      </wps:wsp>
                      <pic:pic xmlns:pic="http://schemas.openxmlformats.org/drawingml/2006/picture">
                        <pic:nvPicPr>
                          <pic:cNvPr id="950" name="图片 26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6281" y="2696"/>
                            <a:ext cx="1468" cy="781"/>
                          </a:xfrm>
                          <a:prstGeom prst="rect">
                            <a:avLst/>
                          </a:prstGeom>
                          <a:noFill/>
                        </pic:spPr>
                      </pic:pic>
                      <wps:wsp>
                        <wps:cNvPr id="951" name="任意多边形 264"/>
                        <wps:cNvSpPr/>
                        <wps:spPr bwMode="auto">
                          <a:xfrm>
                            <a:off x="6332" y="2803"/>
                            <a:ext cx="1206" cy="553"/>
                          </a:xfrm>
                          <a:custGeom>
                            <a:avLst/>
                            <a:gdLst>
                              <a:gd name="T0" fmla="*/ 0 w 1206"/>
                              <a:gd name="T1" fmla="*/ 553 h 553"/>
                              <a:gd name="T2" fmla="*/ 163 w 1206"/>
                              <a:gd name="T3" fmla="*/ 553 h 553"/>
                              <a:gd name="T4" fmla="*/ 163 w 1206"/>
                              <a:gd name="T5" fmla="*/ 0 h 553"/>
                              <a:gd name="T6" fmla="*/ 1206 w 1206"/>
                              <a:gd name="T7" fmla="*/ 0 h 553"/>
                              <a:gd name="T8" fmla="*/ 0 w 1206"/>
                              <a:gd name="T9" fmla="*/ 0 h 553"/>
                              <a:gd name="T10" fmla="*/ 1206 w 1206"/>
                              <a:gd name="T11" fmla="*/ 553 h 553"/>
                            </a:gdLst>
                            <a:ahLst/>
                            <a:cxnLst>
                              <a:cxn ang="0">
                                <a:pos x="T0" y="T1"/>
                              </a:cxn>
                              <a:cxn ang="0">
                                <a:pos x="T2" y="T3"/>
                              </a:cxn>
                              <a:cxn ang="0">
                                <a:pos x="T4" y="T5"/>
                              </a:cxn>
                              <a:cxn ang="0">
                                <a:pos x="T6" y="T7"/>
                              </a:cxn>
                            </a:cxnLst>
                            <a:rect l="T8" t="T9" r="T10" b="T11"/>
                            <a:pathLst>
                              <a:path w="1206" h="553">
                                <a:moveTo>
                                  <a:pt x="0" y="553"/>
                                </a:moveTo>
                                <a:lnTo>
                                  <a:pt x="163" y="553"/>
                                </a:lnTo>
                                <a:lnTo>
                                  <a:pt x="163" y="0"/>
                                </a:lnTo>
                                <a:lnTo>
                                  <a:pt x="1206" y="0"/>
                                </a:lnTo>
                              </a:path>
                            </a:pathLst>
                          </a:custGeom>
                          <a:noFill/>
                          <a:ln w="9714">
                            <a:solidFill>
                              <a:srgbClr val="000000"/>
                            </a:solidFill>
                            <a:prstDash val="lgDash"/>
                            <a:round/>
                          </a:ln>
                        </wps:spPr>
                        <wps:bodyPr rot="0" vert="horz" wrap="square" lIns="91440" tIns="45720" rIns="91440" bIns="45720" anchor="t" anchorCtr="0" upright="1">
                          <a:noAutofit/>
                        </wps:bodyPr>
                      </wps:wsp>
                      <wps:wsp>
                        <wps:cNvPr id="952" name="任意多边形 265"/>
                        <wps:cNvSpPr/>
                        <wps:spPr bwMode="auto">
                          <a:xfrm>
                            <a:off x="7524" y="2749"/>
                            <a:ext cx="108" cy="108"/>
                          </a:xfrm>
                          <a:custGeom>
                            <a:avLst/>
                            <a:gdLst>
                              <a:gd name="T0" fmla="*/ 0 w 108"/>
                              <a:gd name="T1" fmla="*/ 0 h 108"/>
                              <a:gd name="T2" fmla="*/ 0 w 108"/>
                              <a:gd name="T3" fmla="*/ 108 h 108"/>
                              <a:gd name="T4" fmla="*/ 108 w 108"/>
                              <a:gd name="T5" fmla="*/ 54 h 108"/>
                              <a:gd name="T6" fmla="*/ 0 w 108"/>
                              <a:gd name="T7" fmla="*/ 0 h 108"/>
                              <a:gd name="T8" fmla="*/ 0 w 108"/>
                              <a:gd name="T9" fmla="*/ 0 h 108"/>
                              <a:gd name="T10" fmla="*/ 108 w 108"/>
                              <a:gd name="T11" fmla="*/ 108 h 108"/>
                            </a:gdLst>
                            <a:ahLst/>
                            <a:cxnLst>
                              <a:cxn ang="0">
                                <a:pos x="T0" y="T1"/>
                              </a:cxn>
                              <a:cxn ang="0">
                                <a:pos x="T2" y="T3"/>
                              </a:cxn>
                              <a:cxn ang="0">
                                <a:pos x="T4" y="T5"/>
                              </a:cxn>
                              <a:cxn ang="0">
                                <a:pos x="T6" y="T7"/>
                              </a:cxn>
                            </a:cxnLst>
                            <a:rect l="T8" t="T9" r="T10" b="T11"/>
                            <a:pathLst>
                              <a:path w="108" h="108">
                                <a:moveTo>
                                  <a:pt x="0" y="0"/>
                                </a:moveTo>
                                <a:lnTo>
                                  <a:pt x="0" y="108"/>
                                </a:lnTo>
                                <a:lnTo>
                                  <a:pt x="108" y="54"/>
                                </a:lnTo>
                                <a:lnTo>
                                  <a:pt x="0" y="0"/>
                                </a:lnTo>
                                <a:close/>
                              </a:path>
                            </a:pathLst>
                          </a:custGeom>
                          <a:solidFill>
                            <a:srgbClr val="000000"/>
                          </a:solidFill>
                          <a:ln>
                            <a:noFill/>
                          </a:ln>
                        </wps:spPr>
                        <wps:bodyPr rot="0" vert="horz" wrap="square" lIns="91440" tIns="45720" rIns="91440" bIns="45720" anchor="t" anchorCtr="0" upright="1">
                          <a:noAutofit/>
                        </wps:bodyPr>
                      </wps:wsp>
                      <pic:pic xmlns:pic="http://schemas.openxmlformats.org/drawingml/2006/picture">
                        <pic:nvPicPr>
                          <pic:cNvPr id="953" name="图片 26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6281" y="2111"/>
                            <a:ext cx="1468" cy="861"/>
                          </a:xfrm>
                          <a:prstGeom prst="rect">
                            <a:avLst/>
                          </a:prstGeom>
                          <a:noFill/>
                        </pic:spPr>
                      </pic:pic>
                      <wps:wsp>
                        <wps:cNvPr id="954" name="任意多边形 267"/>
                        <wps:cNvSpPr/>
                        <wps:spPr bwMode="auto">
                          <a:xfrm>
                            <a:off x="6332" y="2164"/>
                            <a:ext cx="1206" cy="640"/>
                          </a:xfrm>
                          <a:custGeom>
                            <a:avLst/>
                            <a:gdLst>
                              <a:gd name="T0" fmla="*/ 0 w 1206"/>
                              <a:gd name="T1" fmla="*/ 0 h 640"/>
                              <a:gd name="T2" fmla="*/ 163 w 1206"/>
                              <a:gd name="T3" fmla="*/ 0 h 640"/>
                              <a:gd name="T4" fmla="*/ 163 w 1206"/>
                              <a:gd name="T5" fmla="*/ 640 h 640"/>
                              <a:gd name="T6" fmla="*/ 1206 w 1206"/>
                              <a:gd name="T7" fmla="*/ 640 h 640"/>
                              <a:gd name="T8" fmla="*/ 0 w 1206"/>
                              <a:gd name="T9" fmla="*/ 0 h 640"/>
                              <a:gd name="T10" fmla="*/ 1206 w 1206"/>
                              <a:gd name="T11" fmla="*/ 640 h 640"/>
                            </a:gdLst>
                            <a:ahLst/>
                            <a:cxnLst>
                              <a:cxn ang="0">
                                <a:pos x="T0" y="T1"/>
                              </a:cxn>
                              <a:cxn ang="0">
                                <a:pos x="T2" y="T3"/>
                              </a:cxn>
                              <a:cxn ang="0">
                                <a:pos x="T4" y="T5"/>
                              </a:cxn>
                              <a:cxn ang="0">
                                <a:pos x="T6" y="T7"/>
                              </a:cxn>
                            </a:cxnLst>
                            <a:rect l="T8" t="T9" r="T10" b="T11"/>
                            <a:pathLst>
                              <a:path w="1206" h="640">
                                <a:moveTo>
                                  <a:pt x="0" y="0"/>
                                </a:moveTo>
                                <a:lnTo>
                                  <a:pt x="163" y="0"/>
                                </a:lnTo>
                                <a:lnTo>
                                  <a:pt x="163" y="640"/>
                                </a:lnTo>
                                <a:lnTo>
                                  <a:pt x="1206" y="640"/>
                                </a:lnTo>
                              </a:path>
                            </a:pathLst>
                          </a:custGeom>
                          <a:noFill/>
                          <a:ln w="9713">
                            <a:solidFill>
                              <a:srgbClr val="000000"/>
                            </a:solidFill>
                            <a:prstDash val="lgDash"/>
                            <a:round/>
                          </a:ln>
                        </wps:spPr>
                        <wps:bodyPr rot="0" vert="horz" wrap="square" lIns="91440" tIns="45720" rIns="91440" bIns="45720" anchor="t" anchorCtr="0" upright="1">
                          <a:noAutofit/>
                        </wps:bodyPr>
                      </wps:wsp>
                      <wps:wsp>
                        <wps:cNvPr id="955" name="任意多边形 268"/>
                        <wps:cNvSpPr/>
                        <wps:spPr bwMode="auto">
                          <a:xfrm>
                            <a:off x="7524" y="2749"/>
                            <a:ext cx="108" cy="108"/>
                          </a:xfrm>
                          <a:custGeom>
                            <a:avLst/>
                            <a:gdLst>
                              <a:gd name="T0" fmla="*/ 0 w 108"/>
                              <a:gd name="T1" fmla="*/ 0 h 108"/>
                              <a:gd name="T2" fmla="*/ 0 w 108"/>
                              <a:gd name="T3" fmla="*/ 108 h 108"/>
                              <a:gd name="T4" fmla="*/ 108 w 108"/>
                              <a:gd name="T5" fmla="*/ 54 h 108"/>
                              <a:gd name="T6" fmla="*/ 0 w 108"/>
                              <a:gd name="T7" fmla="*/ 0 h 108"/>
                              <a:gd name="T8" fmla="*/ 0 w 108"/>
                              <a:gd name="T9" fmla="*/ 0 h 108"/>
                              <a:gd name="T10" fmla="*/ 108 w 108"/>
                              <a:gd name="T11" fmla="*/ 108 h 108"/>
                            </a:gdLst>
                            <a:ahLst/>
                            <a:cxnLst>
                              <a:cxn ang="0">
                                <a:pos x="T0" y="T1"/>
                              </a:cxn>
                              <a:cxn ang="0">
                                <a:pos x="T2" y="T3"/>
                              </a:cxn>
                              <a:cxn ang="0">
                                <a:pos x="T4" y="T5"/>
                              </a:cxn>
                              <a:cxn ang="0">
                                <a:pos x="T6" y="T7"/>
                              </a:cxn>
                            </a:cxnLst>
                            <a:rect l="T8" t="T9" r="T10" b="T11"/>
                            <a:pathLst>
                              <a:path w="108" h="108">
                                <a:moveTo>
                                  <a:pt x="0" y="0"/>
                                </a:moveTo>
                                <a:lnTo>
                                  <a:pt x="0" y="108"/>
                                </a:lnTo>
                                <a:lnTo>
                                  <a:pt x="108" y="54"/>
                                </a:lnTo>
                                <a:lnTo>
                                  <a:pt x="0" y="0"/>
                                </a:lnTo>
                                <a:close/>
                              </a:path>
                            </a:pathLst>
                          </a:custGeom>
                          <a:solidFill>
                            <a:srgbClr val="000000"/>
                          </a:solidFill>
                          <a:ln>
                            <a:noFill/>
                          </a:ln>
                        </wps:spPr>
                        <wps:bodyPr rot="0" vert="horz" wrap="square" lIns="91440" tIns="45720" rIns="91440" bIns="45720" anchor="t" anchorCtr="0" upright="1">
                          <a:noAutofit/>
                        </wps:bodyPr>
                      </wps:wsp>
                      <pic:pic xmlns:pic="http://schemas.openxmlformats.org/drawingml/2006/picture">
                        <pic:nvPicPr>
                          <pic:cNvPr id="956" name="图片 26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6716" y="814"/>
                            <a:ext cx="2052" cy="758"/>
                          </a:xfrm>
                          <a:prstGeom prst="rect">
                            <a:avLst/>
                          </a:prstGeom>
                          <a:noFill/>
                        </pic:spPr>
                      </pic:pic>
                      <wps:wsp>
                        <wps:cNvPr id="957" name="矩形 270"/>
                        <wps:cNvSpPr>
                          <a:spLocks noChangeArrowheads="1"/>
                        </wps:cNvSpPr>
                        <wps:spPr bwMode="auto">
                          <a:xfrm>
                            <a:off x="6731" y="838"/>
                            <a:ext cx="1950" cy="651"/>
                          </a:xfrm>
                          <a:prstGeom prst="rect">
                            <a:avLst/>
                          </a:prstGeom>
                          <a:solidFill>
                            <a:srgbClr val="FFFFFF"/>
                          </a:solidFill>
                          <a:ln>
                            <a:noFill/>
                          </a:ln>
                        </wps:spPr>
                        <wps:bodyPr rot="0" vert="horz" wrap="square" lIns="91440" tIns="45720" rIns="91440" bIns="45720" anchor="t" anchorCtr="0" upright="1">
                          <a:noAutofit/>
                        </wps:bodyPr>
                      </wps:wsp>
                      <pic:pic xmlns:pic="http://schemas.openxmlformats.org/drawingml/2006/picture">
                        <pic:nvPicPr>
                          <pic:cNvPr id="958" name="图片 27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5398" y="1067"/>
                            <a:ext cx="1445" cy="264"/>
                          </a:xfrm>
                          <a:prstGeom prst="rect">
                            <a:avLst/>
                          </a:prstGeom>
                          <a:noFill/>
                        </pic:spPr>
                      </pic:pic>
                      <wps:wsp>
                        <wps:cNvPr id="959" name="直线 272"/>
                        <wps:cNvCnPr>
                          <a:cxnSpLocks noChangeShapeType="1"/>
                        </wps:cNvCnPr>
                        <wps:spPr bwMode="auto">
                          <a:xfrm>
                            <a:off x="5454" y="1163"/>
                            <a:ext cx="1184" cy="0"/>
                          </a:xfrm>
                          <a:prstGeom prst="line">
                            <a:avLst/>
                          </a:prstGeom>
                          <a:noFill/>
                          <a:ln w="9716">
                            <a:solidFill>
                              <a:srgbClr val="000000"/>
                            </a:solidFill>
                            <a:prstDash val="lgDash"/>
                            <a:round/>
                          </a:ln>
                        </wps:spPr>
                        <wps:bodyPr/>
                      </wps:wsp>
                      <wps:wsp>
                        <wps:cNvPr id="96" name="任意多边形 273"/>
                        <wps:cNvSpPr/>
                        <wps:spPr bwMode="auto">
                          <a:xfrm>
                            <a:off x="6624" y="1109"/>
                            <a:ext cx="108" cy="108"/>
                          </a:xfrm>
                          <a:custGeom>
                            <a:avLst/>
                            <a:gdLst>
                              <a:gd name="T0" fmla="*/ 0 w 108"/>
                              <a:gd name="T1" fmla="*/ 0 h 108"/>
                              <a:gd name="T2" fmla="*/ 0 w 108"/>
                              <a:gd name="T3" fmla="*/ 108 h 108"/>
                              <a:gd name="T4" fmla="*/ 108 w 108"/>
                              <a:gd name="T5" fmla="*/ 54 h 108"/>
                              <a:gd name="T6" fmla="*/ 0 w 108"/>
                              <a:gd name="T7" fmla="*/ 0 h 108"/>
                              <a:gd name="T8" fmla="*/ 0 w 108"/>
                              <a:gd name="T9" fmla="*/ 0 h 108"/>
                              <a:gd name="T10" fmla="*/ 108 w 108"/>
                              <a:gd name="T11" fmla="*/ 108 h 108"/>
                            </a:gdLst>
                            <a:ahLst/>
                            <a:cxnLst>
                              <a:cxn ang="0">
                                <a:pos x="T0" y="T1"/>
                              </a:cxn>
                              <a:cxn ang="0">
                                <a:pos x="T2" y="T3"/>
                              </a:cxn>
                              <a:cxn ang="0">
                                <a:pos x="T4" y="T5"/>
                              </a:cxn>
                              <a:cxn ang="0">
                                <a:pos x="T6" y="T7"/>
                              </a:cxn>
                            </a:cxnLst>
                            <a:rect l="T8" t="T9" r="T10" b="T11"/>
                            <a:pathLst>
                              <a:path w="108" h="108">
                                <a:moveTo>
                                  <a:pt x="0" y="0"/>
                                </a:moveTo>
                                <a:lnTo>
                                  <a:pt x="0" y="108"/>
                                </a:lnTo>
                                <a:lnTo>
                                  <a:pt x="108" y="54"/>
                                </a:lnTo>
                                <a:lnTo>
                                  <a:pt x="0" y="0"/>
                                </a:lnTo>
                                <a:close/>
                              </a:path>
                            </a:pathLst>
                          </a:custGeom>
                          <a:solidFill>
                            <a:srgbClr val="000000"/>
                          </a:solidFill>
                          <a:ln>
                            <a:noFill/>
                          </a:ln>
                        </wps:spPr>
                        <wps:bodyPr rot="0" vert="horz" wrap="square" lIns="91440" tIns="45720" rIns="91440" bIns="45720" anchor="t" anchorCtr="0" upright="1">
                          <a:noAutofit/>
                        </wps:bodyPr>
                      </wps:wsp>
                      <pic:pic xmlns:pic="http://schemas.openxmlformats.org/drawingml/2006/picture">
                        <pic:nvPicPr>
                          <pic:cNvPr id="97" name="图片 27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1285"/>
                            <a:ext cx="757" cy="1825"/>
                          </a:xfrm>
                          <a:prstGeom prst="rect">
                            <a:avLst/>
                          </a:prstGeom>
                          <a:noFill/>
                        </pic:spPr>
                      </pic:pic>
                      <pic:pic xmlns:pic="http://schemas.openxmlformats.org/drawingml/2006/picture">
                        <pic:nvPicPr>
                          <pic:cNvPr id="98" name="图片 27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618" y="2065"/>
                            <a:ext cx="998" cy="264"/>
                          </a:xfrm>
                          <a:prstGeom prst="rect">
                            <a:avLst/>
                          </a:prstGeom>
                          <a:noFill/>
                        </pic:spPr>
                      </pic:pic>
                      <wps:wsp>
                        <wps:cNvPr id="99" name="直线 276"/>
                        <wps:cNvCnPr>
                          <a:cxnSpLocks noChangeShapeType="1"/>
                        </wps:cNvCnPr>
                        <wps:spPr bwMode="auto">
                          <a:xfrm>
                            <a:off x="1140" y="2164"/>
                            <a:ext cx="350" cy="0"/>
                          </a:xfrm>
                          <a:prstGeom prst="line">
                            <a:avLst/>
                          </a:prstGeom>
                          <a:noFill/>
                          <a:ln w="9716">
                            <a:solidFill>
                              <a:srgbClr val="000000"/>
                            </a:solidFill>
                            <a:prstDash val="lgDash"/>
                            <a:round/>
                          </a:ln>
                        </wps:spPr>
                        <wps:bodyPr/>
                      </wps:wsp>
                      <wps:wsp>
                        <wps:cNvPr id="100" name="直线 277"/>
                        <wps:cNvCnPr>
                          <a:cxnSpLocks noChangeShapeType="1"/>
                        </wps:cNvCnPr>
                        <wps:spPr bwMode="auto">
                          <a:xfrm>
                            <a:off x="761" y="2164"/>
                            <a:ext cx="256" cy="0"/>
                          </a:xfrm>
                          <a:prstGeom prst="line">
                            <a:avLst/>
                          </a:prstGeom>
                          <a:noFill/>
                          <a:ln w="9716">
                            <a:solidFill>
                              <a:srgbClr val="000000"/>
                            </a:solidFill>
                            <a:prstDash val="lgDash"/>
                            <a:round/>
                          </a:ln>
                        </wps:spPr>
                        <wps:bodyPr/>
                      </wps:wsp>
                      <wps:wsp>
                        <wps:cNvPr id="102" name="任意多边形 278"/>
                        <wps:cNvSpPr/>
                        <wps:spPr bwMode="auto">
                          <a:xfrm>
                            <a:off x="667" y="2110"/>
                            <a:ext cx="108" cy="108"/>
                          </a:xfrm>
                          <a:custGeom>
                            <a:avLst/>
                            <a:gdLst>
                              <a:gd name="T0" fmla="*/ 108 w 108"/>
                              <a:gd name="T1" fmla="*/ 0 h 108"/>
                              <a:gd name="T2" fmla="*/ 0 w 108"/>
                              <a:gd name="T3" fmla="*/ 54 h 108"/>
                              <a:gd name="T4" fmla="*/ 108 w 108"/>
                              <a:gd name="T5" fmla="*/ 108 h 108"/>
                              <a:gd name="T6" fmla="*/ 108 w 108"/>
                              <a:gd name="T7" fmla="*/ 0 h 108"/>
                              <a:gd name="T8" fmla="*/ 0 w 108"/>
                              <a:gd name="T9" fmla="*/ 0 h 108"/>
                              <a:gd name="T10" fmla="*/ 108 w 108"/>
                              <a:gd name="T11" fmla="*/ 108 h 108"/>
                            </a:gdLst>
                            <a:ahLst/>
                            <a:cxnLst>
                              <a:cxn ang="0">
                                <a:pos x="T0" y="T1"/>
                              </a:cxn>
                              <a:cxn ang="0">
                                <a:pos x="T2" y="T3"/>
                              </a:cxn>
                              <a:cxn ang="0">
                                <a:pos x="T4" y="T5"/>
                              </a:cxn>
                              <a:cxn ang="0">
                                <a:pos x="T6" y="T7"/>
                              </a:cxn>
                            </a:cxnLst>
                            <a:rect l="T8" t="T9" r="T10" b="T11"/>
                            <a:pathLst>
                              <a:path w="108" h="108">
                                <a:moveTo>
                                  <a:pt x="108" y="0"/>
                                </a:moveTo>
                                <a:lnTo>
                                  <a:pt x="0" y="54"/>
                                </a:lnTo>
                                <a:lnTo>
                                  <a:pt x="108" y="108"/>
                                </a:lnTo>
                                <a:lnTo>
                                  <a:pt x="108" y="0"/>
                                </a:lnTo>
                                <a:close/>
                              </a:path>
                            </a:pathLst>
                          </a:custGeom>
                          <a:solidFill>
                            <a:srgbClr val="000000"/>
                          </a:solidFill>
                          <a:ln>
                            <a:noFill/>
                          </a:ln>
                        </wps:spPr>
                        <wps:bodyPr rot="0" vert="horz" wrap="square" lIns="91440" tIns="45720" rIns="91440" bIns="45720" anchor="t" anchorCtr="0" upright="1">
                          <a:noAutofit/>
                        </wps:bodyPr>
                      </wps:wsp>
                      <pic:pic xmlns:pic="http://schemas.openxmlformats.org/drawingml/2006/picture">
                        <pic:nvPicPr>
                          <pic:cNvPr id="103" name="图片 27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6739" y="4877"/>
                            <a:ext cx="1410" cy="528"/>
                          </a:xfrm>
                          <a:prstGeom prst="rect">
                            <a:avLst/>
                          </a:prstGeom>
                          <a:noFill/>
                        </pic:spPr>
                      </pic:pic>
                      <wps:wsp>
                        <wps:cNvPr id="104" name="矩形 280"/>
                        <wps:cNvSpPr>
                          <a:spLocks noChangeArrowheads="1"/>
                        </wps:cNvSpPr>
                        <wps:spPr bwMode="auto">
                          <a:xfrm>
                            <a:off x="6760" y="4890"/>
                            <a:ext cx="1300" cy="434"/>
                          </a:xfrm>
                          <a:prstGeom prst="rect">
                            <a:avLst/>
                          </a:prstGeom>
                          <a:solidFill>
                            <a:srgbClr val="FFFFFF"/>
                          </a:solidFill>
                          <a:ln>
                            <a:noFill/>
                          </a:ln>
                        </wps:spPr>
                        <wps:bodyPr rot="0" vert="horz" wrap="square" lIns="91440" tIns="45720" rIns="91440" bIns="45720" anchor="t" anchorCtr="0" upright="1">
                          <a:noAutofit/>
                        </wps:bodyPr>
                      </wps:wsp>
                      <pic:pic xmlns:pic="http://schemas.openxmlformats.org/drawingml/2006/picture">
                        <pic:nvPicPr>
                          <pic:cNvPr id="105" name="图片 28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5409" y="5003"/>
                            <a:ext cx="1468" cy="276"/>
                          </a:xfrm>
                          <a:prstGeom prst="rect">
                            <a:avLst/>
                          </a:prstGeom>
                          <a:noFill/>
                        </pic:spPr>
                      </pic:pic>
                      <wps:wsp>
                        <wps:cNvPr id="106" name="任意多边形 282"/>
                        <wps:cNvSpPr/>
                        <wps:spPr bwMode="auto">
                          <a:xfrm>
                            <a:off x="6652" y="5053"/>
                            <a:ext cx="108" cy="108"/>
                          </a:xfrm>
                          <a:custGeom>
                            <a:avLst/>
                            <a:gdLst>
                              <a:gd name="T0" fmla="*/ 0 w 108"/>
                              <a:gd name="T1" fmla="*/ 0 h 108"/>
                              <a:gd name="T2" fmla="*/ 0 w 108"/>
                              <a:gd name="T3" fmla="*/ 107 h 108"/>
                              <a:gd name="T4" fmla="*/ 107 w 108"/>
                              <a:gd name="T5" fmla="*/ 54 h 108"/>
                              <a:gd name="T6" fmla="*/ 0 w 108"/>
                              <a:gd name="T7" fmla="*/ 0 h 108"/>
                              <a:gd name="T8" fmla="*/ 0 w 108"/>
                              <a:gd name="T9" fmla="*/ 0 h 108"/>
                              <a:gd name="T10" fmla="*/ 108 w 108"/>
                              <a:gd name="T11" fmla="*/ 108 h 108"/>
                            </a:gdLst>
                            <a:ahLst/>
                            <a:cxnLst>
                              <a:cxn ang="0">
                                <a:pos x="T0" y="T1"/>
                              </a:cxn>
                              <a:cxn ang="0">
                                <a:pos x="T2" y="T3"/>
                              </a:cxn>
                              <a:cxn ang="0">
                                <a:pos x="T4" y="T5"/>
                              </a:cxn>
                              <a:cxn ang="0">
                                <a:pos x="T6" y="T7"/>
                              </a:cxn>
                            </a:cxnLst>
                            <a:rect l="T8" t="T9" r="T10" b="T11"/>
                            <a:pathLst>
                              <a:path w="108" h="108">
                                <a:moveTo>
                                  <a:pt x="0" y="0"/>
                                </a:moveTo>
                                <a:lnTo>
                                  <a:pt x="0" y="107"/>
                                </a:lnTo>
                                <a:lnTo>
                                  <a:pt x="107" y="54"/>
                                </a:lnTo>
                                <a:lnTo>
                                  <a:pt x="0" y="0"/>
                                </a:lnTo>
                                <a:close/>
                              </a:path>
                            </a:pathLst>
                          </a:custGeom>
                          <a:solidFill>
                            <a:srgbClr val="000000"/>
                          </a:solidFill>
                          <a:ln>
                            <a:noFill/>
                          </a:ln>
                        </wps:spPr>
                        <wps:bodyPr rot="0" vert="horz" wrap="square" lIns="91440" tIns="45720" rIns="91440" bIns="45720" anchor="t" anchorCtr="0" upright="1">
                          <a:noAutofit/>
                        </wps:bodyPr>
                      </wps:wsp>
                      <wps:wsp>
                        <wps:cNvPr id="107" name="文本框 283"/>
                        <wps:cNvSpPr txBox="1">
                          <a:spLocks noChangeArrowheads="1"/>
                        </wps:cNvSpPr>
                        <wps:spPr bwMode="auto">
                          <a:xfrm>
                            <a:off x="1013" y="2090"/>
                            <a:ext cx="147" cy="127"/>
                          </a:xfrm>
                          <a:prstGeom prst="rect">
                            <a:avLst/>
                          </a:prstGeom>
                          <a:noFill/>
                          <a:ln>
                            <a:noFill/>
                          </a:ln>
                        </wps:spPr>
                        <wps:txbx>
                          <w:txbxContent>
                            <w:p w14:paraId="27C077EC" w14:textId="77777777" w:rsidR="007D1E74" w:rsidRDefault="00A95641">
                              <w:pPr>
                                <w:spacing w:line="126" w:lineRule="exact"/>
                                <w:jc w:val="left"/>
                                <w:rPr>
                                  <w:rFonts w:ascii="黑体" w:hAnsi="黑体"/>
                                  <w:sz w:val="12"/>
                                </w:rPr>
                              </w:pPr>
                              <w:r>
                                <w:rPr>
                                  <w:rFonts w:ascii="黑体" w:hAnsi="黑体"/>
                                  <w:color w:val="4F87BA"/>
                                  <w:w w:val="105"/>
                                  <w:sz w:val="12"/>
                                  <w:shd w:val="clear" w:color="auto" w:fill="FFFFFF"/>
                                </w:rPr>
                                <w:t>·</w:t>
                              </w:r>
                            </w:p>
                          </w:txbxContent>
                        </wps:txbx>
                        <wps:bodyPr rot="0" vert="horz" wrap="square" lIns="0" tIns="0" rIns="0" bIns="0" anchor="t" anchorCtr="0" upright="1">
                          <a:noAutofit/>
                        </wps:bodyPr>
                      </wps:wsp>
                      <wps:wsp>
                        <wps:cNvPr id="108" name="文本框 284"/>
                        <wps:cNvSpPr txBox="1">
                          <a:spLocks noChangeArrowheads="1"/>
                        </wps:cNvSpPr>
                        <wps:spPr bwMode="auto">
                          <a:xfrm>
                            <a:off x="7778" y="2258"/>
                            <a:ext cx="387" cy="1067"/>
                          </a:xfrm>
                          <a:prstGeom prst="rect">
                            <a:avLst/>
                          </a:prstGeom>
                          <a:noFill/>
                          <a:ln>
                            <a:noFill/>
                          </a:ln>
                        </wps:spPr>
                        <wps:txbx>
                          <w:txbxContent>
                            <w:p w14:paraId="38E378EE" w14:textId="77777777" w:rsidR="007D1E74" w:rsidRDefault="00A95641">
                              <w:pPr>
                                <w:spacing w:line="204" w:lineRule="exact"/>
                                <w:jc w:val="left"/>
                                <w:rPr>
                                  <w:sz w:val="18"/>
                                </w:rPr>
                              </w:pPr>
                              <w:r>
                                <w:rPr>
                                  <w:spacing w:val="-1"/>
                                  <w:sz w:val="18"/>
                                </w:rPr>
                                <w:t>噪声</w:t>
                              </w:r>
                            </w:p>
                            <w:p w14:paraId="09A321C6" w14:textId="77777777" w:rsidR="007D1E74" w:rsidRDefault="00A95641">
                              <w:pPr>
                                <w:spacing w:before="2" w:line="230" w:lineRule="auto"/>
                                <w:ind w:right="18"/>
                                <w:rPr>
                                  <w:sz w:val="18"/>
                                </w:rPr>
                              </w:pPr>
                              <w:r>
                                <w:rPr>
                                  <w:spacing w:val="-9"/>
                                  <w:sz w:val="18"/>
                                </w:rPr>
                                <w:t>扬尘固体废物</w:t>
                              </w:r>
                              <w:r>
                                <w:rPr>
                                  <w:spacing w:val="-10"/>
                                  <w:sz w:val="18"/>
                                </w:rPr>
                                <w:t>废水</w:t>
                              </w:r>
                            </w:p>
                          </w:txbxContent>
                        </wps:txbx>
                        <wps:bodyPr rot="0" vert="horz" wrap="square" lIns="0" tIns="0" rIns="0" bIns="0" anchor="t" anchorCtr="0" upright="1">
                          <a:noAutofit/>
                        </wps:bodyPr>
                      </wps:wsp>
                      <wps:wsp>
                        <wps:cNvPr id="109" name="文本框 285"/>
                        <wps:cNvSpPr txBox="1">
                          <a:spLocks noChangeArrowheads="1"/>
                        </wps:cNvSpPr>
                        <wps:spPr bwMode="auto">
                          <a:xfrm>
                            <a:off x="5460" y="4984"/>
                            <a:ext cx="1268" cy="204"/>
                          </a:xfrm>
                          <a:prstGeom prst="rect">
                            <a:avLst/>
                          </a:prstGeom>
                          <a:noFill/>
                          <a:ln>
                            <a:noFill/>
                          </a:ln>
                        </wps:spPr>
                        <wps:txbx>
                          <w:txbxContent>
                            <w:p w14:paraId="6351D059" w14:textId="77777777" w:rsidR="007D1E74" w:rsidRDefault="00A95641">
                              <w:pPr>
                                <w:tabs>
                                  <w:tab w:val="left" w:pos="1247"/>
                                </w:tabs>
                                <w:spacing w:line="203" w:lineRule="exact"/>
                                <w:jc w:val="left"/>
                                <w:rPr>
                                  <w:sz w:val="18"/>
                                </w:rPr>
                              </w:pPr>
                              <w:r>
                                <w:rPr>
                                  <w:w w:val="102"/>
                                  <w:sz w:val="18"/>
                                  <w:u w:val="dash"/>
                                </w:rPr>
                                <w:t xml:space="preserve"> </w:t>
                              </w:r>
                              <w:r>
                                <w:rPr>
                                  <w:sz w:val="18"/>
                                  <w:u w:val="dash"/>
                                </w:rPr>
                                <w:tab/>
                              </w:r>
                            </w:p>
                          </w:txbxContent>
                        </wps:txbx>
                        <wps:bodyPr rot="0" vert="horz" wrap="square" lIns="0" tIns="0" rIns="0" bIns="0" anchor="t" anchorCtr="0" upright="1">
                          <a:noAutofit/>
                        </wps:bodyPr>
                      </wps:wsp>
                      <wps:wsp>
                        <wps:cNvPr id="110" name="文本框 286"/>
                        <wps:cNvSpPr txBox="1">
                          <a:spLocks noChangeArrowheads="1"/>
                        </wps:cNvSpPr>
                        <wps:spPr bwMode="auto">
                          <a:xfrm>
                            <a:off x="3677" y="6609"/>
                            <a:ext cx="1300" cy="434"/>
                          </a:xfrm>
                          <a:prstGeom prst="rect">
                            <a:avLst/>
                          </a:prstGeom>
                          <a:noFill/>
                          <a:ln w="2429">
                            <a:solidFill>
                              <a:srgbClr val="000000"/>
                            </a:solidFill>
                            <a:miter lim="800000"/>
                          </a:ln>
                        </wps:spPr>
                        <wps:txbx>
                          <w:txbxContent>
                            <w:p w14:paraId="6ADECE7F" w14:textId="77777777" w:rsidR="007D1E74" w:rsidRDefault="00A95641">
                              <w:pPr>
                                <w:spacing w:before="94"/>
                                <w:ind w:left="280"/>
                                <w:jc w:val="left"/>
                                <w:rPr>
                                  <w:sz w:val="18"/>
                                </w:rPr>
                              </w:pPr>
                              <w:r>
                                <w:rPr>
                                  <w:sz w:val="18"/>
                                </w:rPr>
                                <w:t>竣工验收</w:t>
                              </w:r>
                            </w:p>
                          </w:txbxContent>
                        </wps:txbx>
                        <wps:bodyPr rot="0" vert="horz" wrap="square" lIns="0" tIns="0" rIns="0" bIns="0" anchor="t" anchorCtr="0" upright="1">
                          <a:noAutofit/>
                        </wps:bodyPr>
                      </wps:wsp>
                      <wps:wsp>
                        <wps:cNvPr id="111" name="文本框 287"/>
                        <wps:cNvSpPr txBox="1">
                          <a:spLocks noChangeArrowheads="1"/>
                        </wps:cNvSpPr>
                        <wps:spPr bwMode="auto">
                          <a:xfrm>
                            <a:off x="2322" y="5742"/>
                            <a:ext cx="4010" cy="434"/>
                          </a:xfrm>
                          <a:prstGeom prst="rect">
                            <a:avLst/>
                          </a:prstGeom>
                          <a:noFill/>
                          <a:ln w="2429">
                            <a:solidFill>
                              <a:srgbClr val="000000"/>
                            </a:solidFill>
                            <a:miter lim="800000"/>
                          </a:ln>
                        </wps:spPr>
                        <wps:txbx>
                          <w:txbxContent>
                            <w:p w14:paraId="4CAB271D" w14:textId="77777777" w:rsidR="007D1E74" w:rsidRDefault="00A95641">
                              <w:pPr>
                                <w:spacing w:before="93"/>
                                <w:ind w:left="442"/>
                                <w:jc w:val="left"/>
                                <w:rPr>
                                  <w:sz w:val="18"/>
                                </w:rPr>
                              </w:pPr>
                              <w:r>
                                <w:rPr>
                                  <w:sz w:val="18"/>
                                </w:rPr>
                                <w:t>清理现场、恢复地貌、恢复植被、绿化</w:t>
                              </w:r>
                            </w:p>
                          </w:txbxContent>
                        </wps:txbx>
                        <wps:bodyPr rot="0" vert="horz" wrap="square" lIns="0" tIns="0" rIns="0" bIns="0" anchor="t" anchorCtr="0" upright="1">
                          <a:noAutofit/>
                        </wps:bodyPr>
                      </wps:wsp>
                      <wps:wsp>
                        <wps:cNvPr id="112" name="文本框 288"/>
                        <wps:cNvSpPr txBox="1">
                          <a:spLocks noChangeArrowheads="1"/>
                        </wps:cNvSpPr>
                        <wps:spPr bwMode="auto">
                          <a:xfrm>
                            <a:off x="3201" y="4874"/>
                            <a:ext cx="2253" cy="434"/>
                          </a:xfrm>
                          <a:prstGeom prst="rect">
                            <a:avLst/>
                          </a:prstGeom>
                          <a:noFill/>
                          <a:ln w="2429">
                            <a:solidFill>
                              <a:srgbClr val="000000"/>
                            </a:solidFill>
                            <a:miter lim="800000"/>
                          </a:ln>
                        </wps:spPr>
                        <wps:txbx>
                          <w:txbxContent>
                            <w:p w14:paraId="28098573" w14:textId="77777777" w:rsidR="007D1E74" w:rsidRDefault="00A95641">
                              <w:pPr>
                                <w:spacing w:before="92"/>
                                <w:ind w:left="665"/>
                                <w:jc w:val="left"/>
                                <w:rPr>
                                  <w:sz w:val="18"/>
                                </w:rPr>
                              </w:pPr>
                              <w:r>
                                <w:rPr>
                                  <w:sz w:val="18"/>
                                </w:rPr>
                                <w:t>清管、试压</w:t>
                              </w:r>
                            </w:p>
                          </w:txbxContent>
                        </wps:txbx>
                        <wps:bodyPr rot="0" vert="horz" wrap="square" lIns="0" tIns="0" rIns="0" bIns="0" anchor="t" anchorCtr="0" upright="1">
                          <a:noAutofit/>
                        </wps:bodyPr>
                      </wps:wsp>
                      <wps:wsp>
                        <wps:cNvPr id="113" name="文本框 289"/>
                        <wps:cNvSpPr txBox="1">
                          <a:spLocks noChangeArrowheads="1"/>
                        </wps:cNvSpPr>
                        <wps:spPr bwMode="auto">
                          <a:xfrm>
                            <a:off x="3201" y="4007"/>
                            <a:ext cx="2253" cy="434"/>
                          </a:xfrm>
                          <a:prstGeom prst="rect">
                            <a:avLst/>
                          </a:prstGeom>
                          <a:noFill/>
                          <a:ln w="2429">
                            <a:solidFill>
                              <a:srgbClr val="000000"/>
                            </a:solidFill>
                            <a:miter lim="800000"/>
                          </a:ln>
                        </wps:spPr>
                        <wps:txbx>
                          <w:txbxContent>
                            <w:p w14:paraId="19797F83" w14:textId="77777777" w:rsidR="007D1E74" w:rsidRDefault="00A95641">
                              <w:pPr>
                                <w:spacing w:before="90"/>
                                <w:ind w:left="206"/>
                                <w:jc w:val="left"/>
                                <w:rPr>
                                  <w:sz w:val="18"/>
                                </w:rPr>
                              </w:pPr>
                              <w:r>
                                <w:rPr>
                                  <w:sz w:val="18"/>
                                </w:rPr>
                                <w:t>下沟、稳管、覆土回填</w:t>
                              </w:r>
                            </w:p>
                          </w:txbxContent>
                        </wps:txbx>
                        <wps:bodyPr rot="0" vert="horz" wrap="square" lIns="0" tIns="0" rIns="0" bIns="0" anchor="t" anchorCtr="0" upright="1">
                          <a:noAutofit/>
                        </wps:bodyPr>
                      </wps:wsp>
                      <wps:wsp>
                        <wps:cNvPr id="114" name="文本框 290"/>
                        <wps:cNvSpPr txBox="1">
                          <a:spLocks noChangeArrowheads="1"/>
                        </wps:cNvSpPr>
                        <wps:spPr bwMode="auto">
                          <a:xfrm>
                            <a:off x="2322" y="3140"/>
                            <a:ext cx="4010" cy="434"/>
                          </a:xfrm>
                          <a:prstGeom prst="rect">
                            <a:avLst/>
                          </a:prstGeom>
                          <a:noFill/>
                          <a:ln w="2429">
                            <a:solidFill>
                              <a:srgbClr val="000000"/>
                            </a:solidFill>
                            <a:miter lim="800000"/>
                          </a:ln>
                        </wps:spPr>
                        <wps:txbx>
                          <w:txbxContent>
                            <w:p w14:paraId="35E77D9C" w14:textId="77777777" w:rsidR="007D1E74" w:rsidRDefault="00A95641">
                              <w:pPr>
                                <w:spacing w:before="89"/>
                                <w:ind w:left="442"/>
                                <w:jc w:val="left"/>
                                <w:rPr>
                                  <w:sz w:val="18"/>
                                </w:rPr>
                              </w:pPr>
                              <w:r>
                                <w:rPr>
                                  <w:sz w:val="18"/>
                                </w:rPr>
                                <w:t>运管、布管、焊接、补口、补伤、防腐</w:t>
                              </w:r>
                            </w:p>
                          </w:txbxContent>
                        </wps:txbx>
                        <wps:bodyPr rot="0" vert="horz" wrap="square" lIns="0" tIns="0" rIns="0" bIns="0" anchor="t" anchorCtr="0" upright="1">
                          <a:noAutofit/>
                        </wps:bodyPr>
                      </wps:wsp>
                      <wps:wsp>
                        <wps:cNvPr id="115" name="文本框 291"/>
                        <wps:cNvSpPr txBox="1">
                          <a:spLocks noChangeArrowheads="1"/>
                        </wps:cNvSpPr>
                        <wps:spPr bwMode="auto">
                          <a:xfrm>
                            <a:off x="5032" y="1947"/>
                            <a:ext cx="1300" cy="434"/>
                          </a:xfrm>
                          <a:prstGeom prst="rect">
                            <a:avLst/>
                          </a:prstGeom>
                          <a:noFill/>
                          <a:ln w="2429">
                            <a:solidFill>
                              <a:srgbClr val="000000"/>
                            </a:solidFill>
                            <a:miter lim="800000"/>
                          </a:ln>
                        </wps:spPr>
                        <wps:txbx>
                          <w:txbxContent>
                            <w:p w14:paraId="51AE0FC4" w14:textId="77777777" w:rsidR="007D1E74" w:rsidRDefault="00A95641">
                              <w:pPr>
                                <w:spacing w:before="88"/>
                                <w:ind w:left="282"/>
                                <w:jc w:val="left"/>
                                <w:rPr>
                                  <w:sz w:val="18"/>
                                </w:rPr>
                              </w:pPr>
                              <w:r>
                                <w:rPr>
                                  <w:sz w:val="18"/>
                                </w:rPr>
                                <w:t>管沟开挖</w:t>
                              </w:r>
                            </w:p>
                          </w:txbxContent>
                        </wps:txbx>
                        <wps:bodyPr rot="0" vert="horz" wrap="square" lIns="0" tIns="0" rIns="0" bIns="0" anchor="t" anchorCtr="0" upright="1">
                          <a:noAutofit/>
                        </wps:bodyPr>
                      </wps:wsp>
                      <wps:wsp>
                        <wps:cNvPr id="126" name="文本框 292"/>
                        <wps:cNvSpPr txBox="1">
                          <a:spLocks noChangeArrowheads="1"/>
                        </wps:cNvSpPr>
                        <wps:spPr bwMode="auto">
                          <a:xfrm>
                            <a:off x="1490" y="1947"/>
                            <a:ext cx="2253" cy="434"/>
                          </a:xfrm>
                          <a:prstGeom prst="rect">
                            <a:avLst/>
                          </a:prstGeom>
                          <a:noFill/>
                          <a:ln w="2429">
                            <a:solidFill>
                              <a:srgbClr val="000000"/>
                            </a:solidFill>
                            <a:miter lim="800000"/>
                          </a:ln>
                        </wps:spPr>
                        <wps:txbx>
                          <w:txbxContent>
                            <w:p w14:paraId="1266EA5C" w14:textId="77777777" w:rsidR="007D1E74" w:rsidRDefault="00A95641">
                              <w:pPr>
                                <w:spacing w:before="88"/>
                                <w:ind w:firstLineChars="100" w:firstLine="180"/>
                                <w:jc w:val="left"/>
                                <w:rPr>
                                  <w:sz w:val="18"/>
                                </w:rPr>
                              </w:pPr>
                              <w:r>
                                <w:rPr>
                                  <w:sz w:val="18"/>
                                </w:rPr>
                                <w:t>道路、沟渠</w:t>
                              </w:r>
                              <w:r>
                                <w:rPr>
                                  <w:rFonts w:hint="eastAsia"/>
                                  <w:sz w:val="18"/>
                                </w:rPr>
                                <w:t>、河流</w:t>
                              </w:r>
                              <w:r>
                                <w:rPr>
                                  <w:sz w:val="18"/>
                                </w:rPr>
                                <w:t>穿越</w:t>
                              </w:r>
                            </w:p>
                          </w:txbxContent>
                        </wps:txbx>
                        <wps:bodyPr rot="0" vert="horz" wrap="square" lIns="0" tIns="0" rIns="0" bIns="0" anchor="t" anchorCtr="0" upright="1">
                          <a:noAutofit/>
                        </wps:bodyPr>
                      </wps:wsp>
                      <wps:wsp>
                        <wps:cNvPr id="127" name="文本框 293"/>
                        <wps:cNvSpPr txBox="1">
                          <a:spLocks noChangeArrowheads="1"/>
                        </wps:cNvSpPr>
                        <wps:spPr bwMode="auto">
                          <a:xfrm>
                            <a:off x="3201" y="912"/>
                            <a:ext cx="2253" cy="468"/>
                          </a:xfrm>
                          <a:prstGeom prst="rect">
                            <a:avLst/>
                          </a:prstGeom>
                          <a:noFill/>
                          <a:ln w="2429">
                            <a:solidFill>
                              <a:srgbClr val="000000"/>
                            </a:solidFill>
                            <a:miter lim="800000"/>
                          </a:ln>
                        </wps:spPr>
                        <wps:txbx>
                          <w:txbxContent>
                            <w:p w14:paraId="673BBE69" w14:textId="77777777" w:rsidR="007D1E74" w:rsidRDefault="00A95641">
                              <w:pPr>
                                <w:spacing w:line="202" w:lineRule="exact"/>
                                <w:ind w:left="114" w:right="114"/>
                                <w:jc w:val="center"/>
                                <w:rPr>
                                  <w:sz w:val="18"/>
                                </w:rPr>
                              </w:pPr>
                              <w:r>
                                <w:rPr>
                                  <w:sz w:val="18"/>
                                </w:rPr>
                                <w:t>施工便道、作业线路、场</w:t>
                              </w:r>
                            </w:p>
                            <w:p w14:paraId="7A04C33E" w14:textId="77777777" w:rsidR="007D1E74" w:rsidRDefault="00A95641">
                              <w:pPr>
                                <w:spacing w:line="226" w:lineRule="exact"/>
                                <w:ind w:left="114" w:right="114"/>
                                <w:jc w:val="center"/>
                                <w:rPr>
                                  <w:sz w:val="18"/>
                                </w:rPr>
                              </w:pPr>
                              <w:r>
                                <w:rPr>
                                  <w:sz w:val="18"/>
                                </w:rPr>
                                <w:t>地清理</w:t>
                              </w:r>
                            </w:p>
                          </w:txbxContent>
                        </wps:txbx>
                        <wps:bodyPr rot="0" vert="horz" wrap="square" lIns="0" tIns="0" rIns="0" bIns="0" anchor="t" anchorCtr="0" upright="1">
                          <a:noAutofit/>
                        </wps:bodyPr>
                      </wps:wsp>
                      <wps:wsp>
                        <wps:cNvPr id="128" name="文本框 294"/>
                        <wps:cNvSpPr txBox="1">
                          <a:spLocks noChangeArrowheads="1"/>
                        </wps:cNvSpPr>
                        <wps:spPr bwMode="auto">
                          <a:xfrm>
                            <a:off x="3677" y="17"/>
                            <a:ext cx="1300" cy="434"/>
                          </a:xfrm>
                          <a:prstGeom prst="rect">
                            <a:avLst/>
                          </a:prstGeom>
                          <a:noFill/>
                          <a:ln w="2429">
                            <a:solidFill>
                              <a:srgbClr val="000000"/>
                            </a:solidFill>
                            <a:miter lim="800000"/>
                          </a:ln>
                        </wps:spPr>
                        <wps:txbx>
                          <w:txbxContent>
                            <w:p w14:paraId="0FC0D098" w14:textId="77777777" w:rsidR="007D1E74" w:rsidRDefault="00A95641">
                              <w:pPr>
                                <w:spacing w:before="85"/>
                                <w:ind w:left="280"/>
                                <w:jc w:val="left"/>
                                <w:rPr>
                                  <w:sz w:val="18"/>
                                </w:rPr>
                              </w:pPr>
                              <w:r>
                                <w:rPr>
                                  <w:sz w:val="18"/>
                                </w:rPr>
                                <w:t>测定放线</w:t>
                              </w:r>
                            </w:p>
                          </w:txbxContent>
                        </wps:txbx>
                        <wps:bodyPr rot="0" vert="horz" wrap="square" lIns="0" tIns="0" rIns="0" bIns="0" anchor="t" anchorCtr="0" upright="1">
                          <a:noAutofit/>
                        </wps:bodyPr>
                      </wps:wsp>
                      <wps:wsp>
                        <wps:cNvPr id="129" name="文本框 295"/>
                        <wps:cNvSpPr txBox="1">
                          <a:spLocks noChangeArrowheads="1"/>
                        </wps:cNvSpPr>
                        <wps:spPr bwMode="auto">
                          <a:xfrm>
                            <a:off x="3677" y="7477"/>
                            <a:ext cx="1300" cy="434"/>
                          </a:xfrm>
                          <a:prstGeom prst="rect">
                            <a:avLst/>
                          </a:prstGeom>
                          <a:noFill/>
                          <a:ln w="2429">
                            <a:solidFill>
                              <a:srgbClr val="000000"/>
                            </a:solidFill>
                            <a:miter lim="800000"/>
                          </a:ln>
                        </wps:spPr>
                        <wps:txbx>
                          <w:txbxContent>
                            <w:p w14:paraId="241FB492" w14:textId="77777777" w:rsidR="007D1E74" w:rsidRDefault="00A95641">
                              <w:pPr>
                                <w:spacing w:before="95"/>
                                <w:ind w:left="280"/>
                                <w:jc w:val="left"/>
                                <w:rPr>
                                  <w:sz w:val="18"/>
                                </w:rPr>
                              </w:pPr>
                              <w:r>
                                <w:rPr>
                                  <w:sz w:val="18"/>
                                </w:rPr>
                                <w:t>投入运营</w:t>
                              </w:r>
                            </w:p>
                          </w:txbxContent>
                        </wps:txbx>
                        <wps:bodyPr rot="0" vert="horz" wrap="square" lIns="0" tIns="0" rIns="0" bIns="0" anchor="t" anchorCtr="0" upright="1">
                          <a:noAutofit/>
                        </wps:bodyPr>
                      </wps:wsp>
                      <wps:wsp>
                        <wps:cNvPr id="130" name="文本框 296"/>
                        <wps:cNvSpPr txBox="1">
                          <a:spLocks noChangeArrowheads="1"/>
                        </wps:cNvSpPr>
                        <wps:spPr bwMode="auto">
                          <a:xfrm>
                            <a:off x="7631" y="5742"/>
                            <a:ext cx="1300" cy="434"/>
                          </a:xfrm>
                          <a:prstGeom prst="rect">
                            <a:avLst/>
                          </a:prstGeom>
                          <a:noFill/>
                          <a:ln w="2429">
                            <a:solidFill>
                              <a:srgbClr val="000000"/>
                            </a:solidFill>
                            <a:prstDash val="lgDash"/>
                            <a:miter lim="800000"/>
                          </a:ln>
                        </wps:spPr>
                        <wps:txbx>
                          <w:txbxContent>
                            <w:p w14:paraId="2AACE367" w14:textId="77777777" w:rsidR="007D1E74" w:rsidRDefault="00A95641">
                              <w:pPr>
                                <w:spacing w:before="93"/>
                                <w:ind w:left="194"/>
                                <w:jc w:val="left"/>
                                <w:rPr>
                                  <w:sz w:val="18"/>
                                </w:rPr>
                              </w:pPr>
                              <w:r>
                                <w:rPr>
                                  <w:sz w:val="18"/>
                                </w:rPr>
                                <w:t>粉尘、噪声</w:t>
                              </w:r>
                            </w:p>
                          </w:txbxContent>
                        </wps:txbx>
                        <wps:bodyPr rot="0" vert="horz" wrap="square" lIns="0" tIns="0" rIns="0" bIns="0" anchor="t" anchorCtr="0" upright="1">
                          <a:noAutofit/>
                        </wps:bodyPr>
                      </wps:wsp>
                      <wps:wsp>
                        <wps:cNvPr id="131" name="文本框 297"/>
                        <wps:cNvSpPr txBox="1">
                          <a:spLocks noChangeArrowheads="1"/>
                        </wps:cNvSpPr>
                        <wps:spPr bwMode="auto">
                          <a:xfrm>
                            <a:off x="6760" y="4890"/>
                            <a:ext cx="1300" cy="434"/>
                          </a:xfrm>
                          <a:prstGeom prst="rect">
                            <a:avLst/>
                          </a:prstGeom>
                          <a:noFill/>
                          <a:ln w="2429">
                            <a:solidFill>
                              <a:srgbClr val="000000"/>
                            </a:solidFill>
                            <a:prstDash val="lgDash"/>
                            <a:miter lim="800000"/>
                          </a:ln>
                        </wps:spPr>
                        <wps:txbx>
                          <w:txbxContent>
                            <w:p w14:paraId="24C5AC7C" w14:textId="77777777" w:rsidR="007D1E74" w:rsidRDefault="00A95641">
                              <w:pPr>
                                <w:spacing w:before="92"/>
                                <w:ind w:left="284"/>
                                <w:jc w:val="left"/>
                                <w:rPr>
                                  <w:sz w:val="18"/>
                                </w:rPr>
                              </w:pPr>
                              <w:r>
                                <w:rPr>
                                  <w:sz w:val="18"/>
                                </w:rPr>
                                <w:t>试压废水</w:t>
                              </w:r>
                            </w:p>
                          </w:txbxContent>
                        </wps:txbx>
                        <wps:bodyPr rot="0" vert="horz" wrap="square" lIns="0" tIns="0" rIns="0" bIns="0" anchor="t" anchorCtr="0" upright="1">
                          <a:noAutofit/>
                        </wps:bodyPr>
                      </wps:wsp>
                      <wps:wsp>
                        <wps:cNvPr id="132" name="文本框 298"/>
                        <wps:cNvSpPr txBox="1">
                          <a:spLocks noChangeArrowheads="1"/>
                        </wps:cNvSpPr>
                        <wps:spPr bwMode="auto">
                          <a:xfrm>
                            <a:off x="17" y="1307"/>
                            <a:ext cx="650" cy="1714"/>
                          </a:xfrm>
                          <a:prstGeom prst="rect">
                            <a:avLst/>
                          </a:prstGeom>
                          <a:solidFill>
                            <a:srgbClr val="FFFFFF"/>
                          </a:solidFill>
                          <a:ln w="2426">
                            <a:solidFill>
                              <a:srgbClr val="000000"/>
                            </a:solidFill>
                            <a:prstDash val="lgDash"/>
                            <a:miter lim="800000"/>
                          </a:ln>
                        </wps:spPr>
                        <wps:txbx>
                          <w:txbxContent>
                            <w:p w14:paraId="4071B6EB" w14:textId="77777777" w:rsidR="007D1E74" w:rsidRDefault="00A95641">
                              <w:pPr>
                                <w:spacing w:line="230" w:lineRule="auto"/>
                                <w:ind w:left="134" w:right="142"/>
                                <w:rPr>
                                  <w:sz w:val="18"/>
                                </w:rPr>
                              </w:pPr>
                              <w:r>
                                <w:rPr>
                                  <w:sz w:val="18"/>
                                </w:rPr>
                                <w:t>噪声扬尘固体废物废水</w:t>
                              </w:r>
                            </w:p>
                          </w:txbxContent>
                        </wps:txbx>
                        <wps:bodyPr rot="0" vert="horz" wrap="square" lIns="0" tIns="0" rIns="0" bIns="0" anchor="t" anchorCtr="0" upright="1">
                          <a:noAutofit/>
                        </wps:bodyPr>
                      </wps:wsp>
                      <wps:wsp>
                        <wps:cNvPr id="133" name="文本框 299"/>
                        <wps:cNvSpPr txBox="1">
                          <a:spLocks noChangeArrowheads="1"/>
                        </wps:cNvSpPr>
                        <wps:spPr bwMode="auto">
                          <a:xfrm>
                            <a:off x="6731" y="838"/>
                            <a:ext cx="1950" cy="651"/>
                          </a:xfrm>
                          <a:prstGeom prst="rect">
                            <a:avLst/>
                          </a:prstGeom>
                          <a:noFill/>
                          <a:ln w="2429">
                            <a:solidFill>
                              <a:srgbClr val="000000"/>
                            </a:solidFill>
                            <a:prstDash val="lgDash"/>
                            <a:miter lim="800000"/>
                          </a:ln>
                        </wps:spPr>
                        <wps:txbx>
                          <w:txbxContent>
                            <w:p w14:paraId="722799C6" w14:textId="77777777" w:rsidR="007D1E74" w:rsidRDefault="00A95641">
                              <w:pPr>
                                <w:spacing w:before="84" w:line="226" w:lineRule="exact"/>
                                <w:ind w:left="146" w:right="138"/>
                                <w:jc w:val="center"/>
                                <w:rPr>
                                  <w:sz w:val="18"/>
                                </w:rPr>
                              </w:pPr>
                              <w:r>
                                <w:rPr>
                                  <w:sz w:val="18"/>
                                </w:rPr>
                                <w:t>噪声、扬尘</w:t>
                              </w:r>
                            </w:p>
                            <w:p w14:paraId="74432D33" w14:textId="77777777" w:rsidR="007D1E74" w:rsidRDefault="00A95641">
                              <w:pPr>
                                <w:spacing w:line="226" w:lineRule="exact"/>
                                <w:ind w:left="147" w:right="138"/>
                                <w:jc w:val="center"/>
                                <w:rPr>
                                  <w:sz w:val="18"/>
                                </w:rPr>
                              </w:pPr>
                              <w:r>
                                <w:rPr>
                                  <w:sz w:val="18"/>
                                </w:rPr>
                                <w:t>固体废物、生态破坏</w:t>
                              </w:r>
                            </w:p>
                          </w:txbxContent>
                        </wps:txbx>
                        <wps:bodyPr rot="0" vert="horz" wrap="square" lIns="0" tIns="0" rIns="0" bIns="0" anchor="t" anchorCtr="0" upright="1">
                          <a:noAutofit/>
                        </wps:bodyPr>
                      </wps:wsp>
                    </wpg:wgp>
                  </a:graphicData>
                </a:graphic>
              </wp:inline>
            </w:drawing>
          </mc:Choice>
          <mc:Fallback>
            <w:pict>
              <v:group w14:anchorId="2B3A14A9" id="组合 204" o:spid="_x0000_s1028" style="width:451pt;height:399.9pt;mso-position-horizontal-relative:char;mso-position-vertical-relative:line" coordsize="9020,7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">
                <v:shape id="图片 205" o:spid="_x0000_s1029" type="#_x0000_t75" style="position:absolute;left:3656;width:141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">
                  <v:imagedata r:id="rId58" o:title=""/>
                </v:shape>
                <v:rect id="矩形 206" o:spid="_x0000_s1030" style="position:absolute;left:3677;top:17;width:1300;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" stroked="f"/>
                <v:shape id="图片 207" o:spid="_x0000_s1031" type="#_x0000_t75" style="position:absolute;left:3174;top:929;width:2373;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">
                  <v:imagedata r:id="rId59" o:title=""/>
                </v:shape>
                <v:rect id="矩形 208" o:spid="_x0000_s1032" style="position:absolute;left:3201;top:946;width:2253;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" stroked="f"/>
                <v:shape id="图片 209" o:spid="_x0000_s1033" type="#_x0000_t75" style="position:absolute;left:4229;top:390;width:264;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">
                  <v:imagedata r:id="rId60" o:title=""/>
                </v:shape>
                <v:line id="直线 210" o:spid="_x0000_s1034" style="position:absolute;visibility:visible;mso-wrap-style:square" from="4327,451" to="4327,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" strokeweight=".26956mm"/>
                <v:shape id="任意多边形 211" o:spid="_x0000_s1035" style="position:absolute;left:4273;top:838;width:108;height:108;visibility:visible;mso-wrap-style:square;v-text-anchor:top" coordsize="108,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" path="m107,l,,53,107,107,xe" fillcolor="black" stroked="f">
                  <v:path arrowok="t" o:connecttype="custom" o:connectlocs="107,0;0,0;53,107;107,0" o:connectangles="0,0,0,0" textboxrect="0,0,108,108"/>
                </v:shape>
                <v:shape id="图片 212" o:spid="_x0000_s1036" type="#_x0000_t75" style="position:absolute;left:1467;top:1927;width:2362;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">
                  <v:imagedata r:id="rId61" o:title=""/>
                </v:shape>
                <v:rect id="矩形 213" o:spid="_x0000_s1037" style="position:absolute;left:1490;top:1947;width:2253;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" stroked="f"/>
                <v:shape id="图片 214" o:spid="_x0000_s1038" type="#_x0000_t75" style="position:absolute;left:2510;top:1319;width:1937;height: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">
                  <v:imagedata r:id="rId62" o:title=""/>
                </v:shape>
                <v:shape id="任意多边形 215" o:spid="_x0000_s1039" style="position:absolute;left:2616;top:1380;width:1711;height:473;visibility:visible;mso-wrap-style:square;v-text-anchor:top" coordsize="1711,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" path="m1711,r,163l,163,,473e" filled="f" strokeweight=".26986mm">
                  <v:path arrowok="t" o:connecttype="custom" o:connectlocs="1711,0;1711,163;0,163;0,473" o:connectangles="0,0,0,0" textboxrect="0,0,1711,473"/>
                </v:shape>
                <v:shape id="任意多边形 216" o:spid="_x0000_s1040" style="position:absolute;left:2562;top:1839;width:108;height:108;visibility:visible;mso-wrap-style:square;v-text-anchor:top" coordsize="108,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" path="m107,l,,53,107,107,xe" fillcolor="black" stroked="f">
                  <v:path arrowok="t" o:connecttype="custom" o:connectlocs="107,0;0,0;53,107;107,0" o:connectangles="0,0,0,0" textboxrect="0,0,108,108"/>
                </v:shape>
                <v:shape id="图片 217" o:spid="_x0000_s1041" type="#_x0000_t75" style="position:absolute;left:2303;top:3121;width:4115;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">
                  <v:imagedata r:id="rId63" o:title=""/>
                </v:shape>
                <v:rect id="矩形 218" o:spid="_x0000_s1042" style="position:absolute;left:2322;top:3140;width:4010;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" stroked="f"/>
                <v:shape id="图片 219" o:spid="_x0000_s1043" type="#_x0000_t75" style="position:absolute;left:2555;top:2329;width:1937;height: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">
                  <v:imagedata r:id="rId64" o:title=""/>
                </v:shape>
                <v:shape id="任意多边形 220" o:spid="_x0000_s1044" style="position:absolute;left:2616;top:2380;width:1711;height:665;visibility:visible;mso-wrap-style:square;v-text-anchor:top" coordsize="1711,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" path="m,l,163r1711,l1711,665e" filled="f" strokeweight=".26983mm">
                  <v:path arrowok="t" o:connecttype="custom" o:connectlocs="0,0;0,163;1711,163;1711,665" o:connectangles="0,0,0,0" textboxrect="0,0,1711,665"/>
                </v:shape>
                <v:shape id="任意多边形 221" o:spid="_x0000_s1045" style="position:absolute;left:4273;top:3032;width:108;height:108;visibility:visible;mso-wrap-style:square;v-text-anchor:top" coordsize="108,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" path="m107,l,,53,108,107,xe" fillcolor="black" stroked="f">
                  <v:path arrowok="t" o:connecttype="custom" o:connectlocs="107,0;0,0;53,108;107,0" o:connectangles="0,0,0,0" textboxrect="0,0,108,108"/>
                </v:shape>
                <v:shape id="图片 222" o:spid="_x0000_s1046" type="#_x0000_t75" style="position:absolute;left:5008;top:1927;width:141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">
                  <v:imagedata r:id="rId65" o:title=""/>
                </v:shape>
                <v:rect id="矩形 223" o:spid="_x0000_s1047" style="position:absolute;left:5032;top:1947;width:1300;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" stroked="f"/>
                <v:shape id="图片 224" o:spid="_x0000_s1048" type="#_x0000_t75" style="position:absolute;left:4275;top:1319;width:1571;height: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">
                  <v:imagedata r:id="rId66" o:title=""/>
                </v:shape>
                <v:shape id="任意多边形 225" o:spid="_x0000_s1049" style="position:absolute;left:4327;top:1380;width:1356;height:473;visibility:visible;mso-wrap-style:square;v-text-anchor:top" coordsize="1356,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" path="m,l,163r1356,l1356,473e" filled="f" strokeweight=".26986mm">
                  <v:path arrowok="t" o:connecttype="custom" o:connectlocs="0,0;0,163;1356,163;1356,473" o:connectangles="0,0,0,0" textboxrect="0,0,1356,473"/>
                </v:shape>
                <v:shape id="任意多边形 226" o:spid="_x0000_s1050" style="position:absolute;left:5628;top:1839;width:108;height:108;visibility:visible;mso-wrap-style:square;v-text-anchor:top" coordsize="108,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" path="m107,l,,54,107,107,xe" fillcolor="black" stroked="f">
                  <v:path arrowok="t" o:connecttype="custom" o:connectlocs="107,0;0,0;54,107;107,0" o:connectangles="0,0,0,0" textboxrect="0,0,108,108"/>
                </v:shape>
                <v:shape id="图片 227" o:spid="_x0000_s1051" type="#_x0000_t75" style="position:absolute;left:4229;top:2329;width:1571;height: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">
                  <v:imagedata r:id="rId67" o:title=""/>
                </v:shape>
                <v:shape id="任意多边形 228" o:spid="_x0000_s1052" style="position:absolute;left:4327;top:2380;width:1356;height:665;visibility:visible;mso-wrap-style:square;v-text-anchor:top" coordsize="1356,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" path="m1356,r,163l,163,,665e" filled="f" strokeweight=".26983mm">
                  <v:path arrowok="t" o:connecttype="custom" o:connectlocs="1356,0;1356,163;0,163;0,665" o:connectangles="0,0,0,0" textboxrect="0,0,1356,665"/>
                </v:shape>
                <v:shape id="任意多边形 229" o:spid="_x0000_s1053" style="position:absolute;left:4273;top:3032;width:108;height:108;visibility:visible;mso-wrap-style:square;v-text-anchor:top" coordsize="108,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" path="m107,l,,53,108,107,xe" fillcolor="black" stroked="f">
                  <v:path arrowok="t" o:connecttype="custom" o:connectlocs="107,0;0,0;53,108;107,0" o:connectangles="0,0,0,0" textboxrect="0,0,108,108"/>
                </v:shape>
                <v:shape id="图片 230" o:spid="_x0000_s1054" type="#_x0000_t75" style="position:absolute;left:3174;top:3981;width:2373;height: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">
                  <v:imagedata r:id="rId68" o:title=""/>
                </v:shape>
                <v:rect id="矩形 231" o:spid="_x0000_s1055" style="position:absolute;left:3201;top:4007;width:2253;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" stroked="f"/>
                <v:shape id="图片 232" o:spid="_x0000_s1056" type="#_x0000_t75" style="position:absolute;left:4229;top:3522;width:264;height: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">
                  <v:imagedata r:id="rId69" o:title=""/>
                </v:shape>
                <v:line id="直线 233" o:spid="_x0000_s1057" style="position:absolute;visibility:visible;mso-wrap-style:square" from="4327,3574" to="4327,3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" strokeweight=".26956mm"/>
                <v:shape id="任意多边形 234" o:spid="_x0000_s1058" style="position:absolute;left:4273;top:3899;width:108;height:108;visibility:visible;mso-wrap-style:square;v-text-anchor:top" coordsize="108,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" path="m107,l,,53,107,107,xe" fillcolor="black" stroked="f">
                  <v:path arrowok="t" o:connecttype="custom" o:connectlocs="107,0;0,0;53,107;107,0" o:connectangles="0,0,0,0" textboxrect="0,0,108,108"/>
                </v:shape>
                <v:shape id="图片 235" o:spid="_x0000_s1059" type="#_x0000_t75" style="position:absolute;left:3174;top:4854;width:2373;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">
                  <v:imagedata r:id="rId70" o:title=""/>
                </v:shape>
                <v:rect id="矩形 236" o:spid="_x0000_s1060" style="position:absolute;left:3201;top:4874;width:2253;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" stroked="f"/>
                <v:shape id="图片 237" o:spid="_x0000_s1061" type="#_x0000_t75" style="position:absolute;left:4229;top:4383;width:264;height: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">
                  <v:imagedata r:id="rId71" o:title=""/>
                </v:shape>
                <v:line id="直线 238" o:spid="_x0000_s1062" style="position:absolute;visibility:visible;mso-wrap-style:square" from="4327,4441" to="4327,4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" strokeweight=".26956mm"/>
                <v:shape id="任意多边形 239" o:spid="_x0000_s1063" style="position:absolute;left:4273;top:4767;width:108;height:108;visibility:visible;mso-wrap-style:square;v-text-anchor:top" coordsize="108,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" path="m107,l,,53,108,107,xe" fillcolor="black" stroked="f">
                  <v:path arrowok="t" o:connecttype="custom" o:connectlocs="107,0;0,0;53,108;107,0" o:connectangles="0,0,0,0" textboxrect="0,0,108,108"/>
                </v:shape>
                <v:shape id="图片 240" o:spid="_x0000_s1064" type="#_x0000_t75" style="position:absolute;left:2303;top:5714;width:4115;height: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">
                  <v:imagedata r:id="rId72" o:title=""/>
                </v:shape>
                <v:rect id="矩形 241" o:spid="_x0000_s1065" style="position:absolute;left:2322;top:5742;width:4010;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" stroked="f"/>
                <v:shape id="图片 242" o:spid="_x0000_s1066" type="#_x0000_t75" style="position:absolute;left:4229;top:5255;width:264;height: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">
                  <v:imagedata r:id="rId73" o:title=""/>
                </v:shape>
                <v:line id="直线 243" o:spid="_x0000_s1067" style="position:absolute;visibility:visible;mso-wrap-style:square" from="4327,5308" to="4327,5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" strokeweight=".26956mm"/>
                <v:shape id="任意多边形 244" o:spid="_x0000_s1068" style="position:absolute;left:4273;top:5634;width:108;height:108;visibility:visible;mso-wrap-style:square;v-text-anchor:top" coordsize="108,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" path="m107,l,,53,107,107,xe" fillcolor="black" stroked="f">
                  <v:path arrowok="t" o:connecttype="custom" o:connectlocs="107,0;0,0;53,107;107,0" o:connectangles="0,0,0,0" textboxrect="0,0,108,108"/>
                </v:shape>
                <v:shape id="图片 245" o:spid="_x0000_s1069" type="#_x0000_t75" style="position:absolute;left:3656;top:6586;width:1410;height: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">
                  <v:imagedata r:id="rId74" o:title=""/>
                </v:shape>
                <v:rect id="矩形 246" o:spid="_x0000_s1070" style="position:absolute;left:3677;top:6609;width:1300;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" stroked="f"/>
                <v:shape id="图片 247" o:spid="_x0000_s1071" type="#_x0000_t75" style="position:absolute;left:4229;top:6116;width:264;height: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">
                  <v:imagedata r:id="rId75" o:title=""/>
                </v:shape>
                <v:line id="直线 248" o:spid="_x0000_s1072" style="position:absolute;visibility:visible;mso-wrap-style:square" from="4327,6176" to="4327,6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" strokeweight=".26956mm"/>
                <v:shape id="任意多边形 249" o:spid="_x0000_s1073" style="position:absolute;left:4273;top:6501;width:108;height:108;visibility:visible;mso-wrap-style:square;v-text-anchor:top" coordsize="108,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" path="m107,l,,53,108,107,xe" fillcolor="black" stroked="f">
                  <v:path arrowok="t" o:connecttype="custom" o:connectlocs="107,0;0,0;53,108;107,0" o:connectangles="0,0,0,0" textboxrect="0,0,108,108"/>
                </v:shape>
                <v:shape id="图片 250" o:spid="_x0000_s1074" type="#_x0000_t75" style="position:absolute;left:3656;top:7458;width:141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">
                  <v:imagedata r:id="rId76" o:title=""/>
                </v:shape>
                <v:rect id="矩形 251" o:spid="_x0000_s1075" style="position:absolute;left:3677;top:7477;width:1300;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" stroked="f"/>
                <v:shape id="图片 252" o:spid="_x0000_s1076" type="#_x0000_t75" style="position:absolute;left:4229;top:6988;width:264;height: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">
                  <v:imagedata r:id="rId77" o:title=""/>
                </v:shape>
                <v:line id="直线 253" o:spid="_x0000_s1077" style="position:absolute;visibility:visible;mso-wrap-style:square" from="4327,7043" to="4327,7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" strokeweight=".26956mm"/>
                <v:shape id="任意多边形 254" o:spid="_x0000_s1078" style="position:absolute;left:4273;top:7369;width:108;height:108;visibility:visible;mso-wrap-style:square;v-text-anchor:top" coordsize="108,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" path="m107,l,,53,108,107,xe" fillcolor="black" stroked="f">
                  <v:path arrowok="t" o:connecttype="custom" o:connectlocs="107,0;0,0;53,108;107,0" o:connectangles="0,0,0,0" textboxrect="0,0,108,108"/>
                </v:shape>
                <v:shape id="图片 255" o:spid="_x0000_s1079" type="#_x0000_t75" style="position:absolute;left:7610;top:5726;width:141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">
                  <v:imagedata r:id="rId78" o:title=""/>
                </v:shape>
                <v:rect id="矩形 256" o:spid="_x0000_s1080" style="position:absolute;left:7631;top:5742;width:1300;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" stroked="f"/>
                <v:shape id="图片 257" o:spid="_x0000_s1081" type="#_x0000_t75" style="position:absolute;left:6281;top:5852;width:1468;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">
                  <v:imagedata r:id="rId79" o:title=""/>
                </v:shape>
                <v:line id="直线 258" o:spid="_x0000_s1082" style="position:absolute;visibility:visible;mso-wrap-style:square" from="6332,5959" to="7538,5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" strokeweight=".26989mm">
                  <v:stroke dashstyle="longDash"/>
                </v:line>
                <v:shape id="任意多边形 259" o:spid="_x0000_s1083" style="position:absolute;left:7524;top:5905;width:108;height:108;visibility:visible;mso-wrap-style:square;v-text-anchor:top" coordsize="108,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" path="m,l,108,108,54,,xe" fillcolor="black" stroked="f">
                  <v:path arrowok="t" o:connecttype="custom" o:connectlocs="0,0;0,108;108,54;0,0" o:connectangles="0,0,0,0" textboxrect="0,0,108,108"/>
                </v:shape>
                <v:shape id="图片 260" o:spid="_x0000_s1084" type="#_x0000_t75" style="position:absolute;left:7610;top:1927;width:757;height:1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">
                  <v:imagedata r:id="rId80" o:title=""/>
                </v:shape>
                <v:rect id="矩形 261" o:spid="_x0000_s1085" style="position:absolute;left:7631;top:1947;width:65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" stroked="f"/>
                <v:rect id="矩形 262" o:spid="_x0000_s1086" style="position:absolute;left:7631;top:1947;width:65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" filled="f" strokeweight=".06736mm">
                  <v:stroke dashstyle="longDash"/>
                </v:rect>
                <v:shape id="图片 263" o:spid="_x0000_s1087" type="#_x0000_t75" style="position:absolute;left:6281;top:2696;width:1468;height: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">
                  <v:imagedata r:id="rId81" o:title=""/>
                </v:shape>
                <v:shape id="任意多边形 264" o:spid="_x0000_s1088" style="position:absolute;left:6332;top:2803;width:1206;height:553;visibility:visible;mso-wrap-style:square;v-text-anchor:top" coordsize="1206,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" path="m,553r163,l163,,1206,e" filled="f" strokeweight=".26983mm">
                  <v:stroke dashstyle="longDash"/>
                  <v:path arrowok="t" o:connecttype="custom" o:connectlocs="0,553;163,553;163,0;1206,0" o:connectangles="0,0,0,0" textboxrect="0,0,1206,553"/>
                </v:shape>
                <v:shape id="任意多边形 265" o:spid="_x0000_s1089" style="position:absolute;left:7524;top:2749;width:108;height:108;visibility:visible;mso-wrap-style:square;v-text-anchor:top" coordsize="108,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" path="m,l,108,108,54,,xe" fillcolor="black" stroked="f">
                  <v:path arrowok="t" o:connecttype="custom" o:connectlocs="0,0;0,108;108,54;0,0" o:connectangles="0,0,0,0" textboxrect="0,0,108,108"/>
                </v:shape>
                <v:shape id="图片 266" o:spid="_x0000_s1090" type="#_x0000_t75" style="position:absolute;left:6281;top:2111;width:1468;height: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">
                  <v:imagedata r:id="rId82" o:title=""/>
                </v:shape>
                <v:shape id="任意多边形 267" o:spid="_x0000_s1091" style="position:absolute;left:6332;top:2164;width:1206;height:640;visibility:visible;mso-wrap-style:square;v-text-anchor:top" coordsize="120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" path="m,l163,r,640l1206,640e" filled="f" strokeweight=".26981mm">
                  <v:stroke dashstyle="longDash"/>
                  <v:path arrowok="t" o:connecttype="custom" o:connectlocs="0,0;163,0;163,640;1206,640" o:connectangles="0,0,0,0" textboxrect="0,0,1206,640"/>
                </v:shape>
                <v:shape id="任意多边形 268" o:spid="_x0000_s1092" style="position:absolute;left:7524;top:2749;width:108;height:108;visibility:visible;mso-wrap-style:square;v-text-anchor:top" coordsize="108,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" path="m,l,108,108,54,,xe" fillcolor="black" stroked="f">
                  <v:path arrowok="t" o:connecttype="custom" o:connectlocs="0,0;0,108;108,54;0,0" o:connectangles="0,0,0,0" textboxrect="0,0,108,108"/>
                </v:shape>
                <v:shape id="图片 269" o:spid="_x0000_s1093" type="#_x0000_t75" style="position:absolute;left:6716;top:814;width:2052;height: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">
                  <v:imagedata r:id="rId83" o:title=""/>
                </v:shape>
                <v:rect id="矩形 270" o:spid="_x0000_s1094" style="position:absolute;left:6731;top:838;width:1950;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" stroked="f"/>
                <v:shape id="图片 271" o:spid="_x0000_s1095" type="#_x0000_t75" style="position:absolute;left:5398;top:1067;width:1445;height: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">
                  <v:imagedata r:id="rId84" o:title=""/>
                </v:shape>
                <v:line id="直线 272" o:spid="_x0000_s1096" style="position:absolute;visibility:visible;mso-wrap-style:square" from="5454,1163" to="6638,1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" strokeweight=".26989mm">
                  <v:stroke dashstyle="longDash"/>
                </v:line>
                <v:shape id="任意多边形 273" o:spid="_x0000_s1097" style="position:absolute;left:6624;top:1109;width:108;height:108;visibility:visible;mso-wrap-style:square;v-text-anchor:top" coordsize="108,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" path="m,l,108,108,54,,xe" fillcolor="black" stroked="f">
                  <v:path arrowok="t" o:connecttype="custom" o:connectlocs="0,0;0,108;108,54;0,0" o:connectangles="0,0,0,0" textboxrect="0,0,108,108"/>
                </v:shape>
                <v:shape id="图片 274" o:spid="_x0000_s1098" type="#_x0000_t75" style="position:absolute;top:1285;width:757;height:1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">
                  <v:imagedata r:id="rId85" o:title=""/>
                </v:shape>
                <v:shape id="图片 275" o:spid="_x0000_s1099" type="#_x0000_t75" style="position:absolute;left:618;top:2065;width:998;height: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">
                  <v:imagedata r:id="rId86" o:title=""/>
                </v:shape>
                <v:line id="直线 276" o:spid="_x0000_s1100" style="position:absolute;visibility:visible;mso-wrap-style:square" from="1140,2164" to="1490,2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" strokeweight=".26989mm">
                  <v:stroke dashstyle="longDash"/>
                </v:line>
                <v:line id="直线 277" o:spid="_x0000_s1101" style="position:absolute;visibility:visible;mso-wrap-style:square" from="761,2164" to="1017,2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" strokeweight=".26989mm">
                  <v:stroke dashstyle="longDash"/>
                </v:line>
                <v:shape id="任意多边形 278" o:spid="_x0000_s1102" style="position:absolute;left:667;top:2110;width:108;height:108;visibility:visible;mso-wrap-style:square;v-text-anchor:top" coordsize="108,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" path="m108,l,54r108,54l108,xe" fillcolor="black" stroked="f">
                  <v:path arrowok="t" o:connecttype="custom" o:connectlocs="108,0;0,54;108,108;108,0" o:connectangles="0,0,0,0" textboxrect="0,0,108,108"/>
                </v:shape>
                <v:shape id="图片 279" o:spid="_x0000_s1103" type="#_x0000_t75" style="position:absolute;left:6739;top:4877;width:1410;height: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">
                  <v:imagedata r:id="rId87" o:title=""/>
                </v:shape>
                <v:rect id="矩形 280" o:spid="_x0000_s1104" style="position:absolute;left:6760;top:4890;width:1300;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" stroked="f"/>
                <v:shape id="图片 281" o:spid="_x0000_s1105" type="#_x0000_t75" style="position:absolute;left:5409;top:5003;width:1468;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">
                  <v:imagedata r:id="rId88" o:title=""/>
                </v:shape>
                <v:shape id="任意多边形 282" o:spid="_x0000_s1106" style="position:absolute;left:6652;top:5053;width:108;height:108;visibility:visible;mso-wrap-style:square;v-text-anchor:top" coordsize="108,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" path="m,l,107,107,54,,xe" fillcolor="black" stroked="f">
                  <v:path arrowok="t" o:connecttype="custom" o:connectlocs="0,0;0,107;107,54;0,0" o:connectangles="0,0,0,0" textboxrect="0,0,108,108"/>
                </v:shape>
                <v:shapetype id="_x0000_t202" coordsize="21600,21600" o:spt="202" path="m,l,21600r21600,l21600,xe">
                  <v:stroke joinstyle="miter"/>
                  <v:path gradientshapeok="t" o:connecttype="rect"/>
                </v:shapetype>
                <v:shape id="文本框 283" o:spid="_x0000_s1107" type="#_x0000_t202" style="position:absolute;left:1013;top:2090;width:147;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" filled="f" stroked="f">
                  <v:textbox inset="0,0,0,0">
                    <w:txbxContent>
                      <w:p w14:paraId="27C077EC" w14:textId="77777777" w:rsidR="007D1E74" w:rsidRDefault="00A95641">
                        <w:pPr>
                          <w:spacing w:line="126" w:lineRule="exact"/>
                          <w:jc w:val="left"/>
                          <w:rPr>
                            <w:rFonts w:ascii="黑体" w:hAnsi="黑体"/>
                            <w:sz w:val="12"/>
                          </w:rPr>
                        </w:pPr>
                        <w:r>
                          <w:rPr>
                            <w:rFonts w:ascii="黑体" w:hAnsi="黑体"/>
                            <w:color w:val="4F87BA"/>
                            <w:w w:val="105"/>
                            <w:sz w:val="12"/>
                            <w:shd w:val="clear" w:color="auto" w:fill="FFFFFF"/>
                          </w:rPr>
                          <w:t>·</w:t>
                        </w:r>
                      </w:p>
                    </w:txbxContent>
                  </v:textbox>
                </v:shape>
                <v:shape id="文本框 284" o:spid="_x0000_s1108" type="#_x0000_t202" style="position:absolute;left:7778;top:2258;width:387;height:1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14:paraId="38E378EE" w14:textId="77777777" w:rsidR="007D1E74" w:rsidRDefault="00A95641">
                        <w:pPr>
                          <w:spacing w:line="204" w:lineRule="exact"/>
                          <w:jc w:val="left"/>
                          <w:rPr>
                            <w:sz w:val="18"/>
                          </w:rPr>
                        </w:pPr>
                        <w:r>
                          <w:rPr>
                            <w:spacing w:val="-1"/>
                            <w:sz w:val="18"/>
                          </w:rPr>
                          <w:t>噪声</w:t>
                        </w:r>
                      </w:p>
                      <w:p w14:paraId="09A321C6" w14:textId="77777777" w:rsidR="007D1E74" w:rsidRDefault="00A95641">
                        <w:pPr>
                          <w:spacing w:before="2" w:line="230" w:lineRule="auto"/>
                          <w:ind w:right="18"/>
                          <w:rPr>
                            <w:sz w:val="18"/>
                          </w:rPr>
                        </w:pPr>
                        <w:r>
                          <w:rPr>
                            <w:spacing w:val="-9"/>
                            <w:sz w:val="18"/>
                          </w:rPr>
                          <w:t>扬尘固体废物</w:t>
                        </w:r>
                        <w:r>
                          <w:rPr>
                            <w:spacing w:val="-10"/>
                            <w:sz w:val="18"/>
                          </w:rPr>
                          <w:t>废水</w:t>
                        </w:r>
                      </w:p>
                    </w:txbxContent>
                  </v:textbox>
                </v:shape>
                <v:shape id="文本框 285" o:spid="_x0000_s1109" type="#_x0000_t202" style="position:absolute;left:5460;top:4984;width:1268;height: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" filled="f" stroked="f">
                  <v:textbox inset="0,0,0,0">
                    <w:txbxContent>
                      <w:p w14:paraId="6351D059" w14:textId="77777777" w:rsidR="007D1E74" w:rsidRDefault="00A95641">
                        <w:pPr>
                          <w:tabs>
                            <w:tab w:val="left" w:pos="1247"/>
                          </w:tabs>
                          <w:spacing w:line="203" w:lineRule="exact"/>
                          <w:jc w:val="left"/>
                          <w:rPr>
                            <w:sz w:val="18"/>
                          </w:rPr>
                        </w:pPr>
                        <w:r>
                          <w:rPr>
                            <w:w w:val="102"/>
                            <w:sz w:val="18"/>
                            <w:u w:val="dash"/>
                          </w:rPr>
                          <w:t xml:space="preserve"> </w:t>
                        </w:r>
                        <w:r>
                          <w:rPr>
                            <w:sz w:val="18"/>
                            <w:u w:val="dash"/>
                          </w:rPr>
                          <w:tab/>
                        </w:r>
                      </w:p>
                    </w:txbxContent>
                  </v:textbox>
                </v:shape>
                <v:shape id="文本框 286" o:spid="_x0000_s1110" type="#_x0000_t202" style="position:absolute;left:3677;top:6609;width:1300;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" filled="f" strokeweight=".06747mm">
                  <v:textbox inset="0,0,0,0">
                    <w:txbxContent>
                      <w:p w14:paraId="6ADECE7F" w14:textId="77777777" w:rsidR="007D1E74" w:rsidRDefault="00A95641">
                        <w:pPr>
                          <w:spacing w:before="94"/>
                          <w:ind w:left="280"/>
                          <w:jc w:val="left"/>
                          <w:rPr>
                            <w:sz w:val="18"/>
                          </w:rPr>
                        </w:pPr>
                        <w:r>
                          <w:rPr>
                            <w:sz w:val="18"/>
                          </w:rPr>
                          <w:t>竣工验收</w:t>
                        </w:r>
                      </w:p>
                    </w:txbxContent>
                  </v:textbox>
                </v:shape>
                <v:shape id="文本框 287" o:spid="_x0000_s1111" type="#_x0000_t202" style="position:absolute;left:2322;top:5742;width:4010;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" filled="f" strokeweight=".06747mm">
                  <v:textbox inset="0,0,0,0">
                    <w:txbxContent>
                      <w:p w14:paraId="4CAB271D" w14:textId="77777777" w:rsidR="007D1E74" w:rsidRDefault="00A95641">
                        <w:pPr>
                          <w:spacing w:before="93"/>
                          <w:ind w:left="442"/>
                          <w:jc w:val="left"/>
                          <w:rPr>
                            <w:sz w:val="18"/>
                          </w:rPr>
                        </w:pPr>
                        <w:r>
                          <w:rPr>
                            <w:sz w:val="18"/>
                          </w:rPr>
                          <w:t>清理现场、恢复地貌、恢复植被、绿化</w:t>
                        </w:r>
                      </w:p>
                    </w:txbxContent>
                  </v:textbox>
                </v:shape>
                <v:shape id="文本框 288" o:spid="_x0000_s1112" type="#_x0000_t202" style="position:absolute;left:3201;top:4874;width:2253;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" filled="f" strokeweight=".06747mm">
                  <v:textbox inset="0,0,0,0">
                    <w:txbxContent>
                      <w:p w14:paraId="28098573" w14:textId="77777777" w:rsidR="007D1E74" w:rsidRDefault="00A95641">
                        <w:pPr>
                          <w:spacing w:before="92"/>
                          <w:ind w:left="665"/>
                          <w:jc w:val="left"/>
                          <w:rPr>
                            <w:sz w:val="18"/>
                          </w:rPr>
                        </w:pPr>
                        <w:r>
                          <w:rPr>
                            <w:sz w:val="18"/>
                          </w:rPr>
                          <w:t>清管、试压</w:t>
                        </w:r>
                      </w:p>
                    </w:txbxContent>
                  </v:textbox>
                </v:shape>
                <v:shape id="文本框 289" o:spid="_x0000_s1113" type="#_x0000_t202" style="position:absolute;left:3201;top:4007;width:2253;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" filled="f" strokeweight=".06747mm">
                  <v:textbox inset="0,0,0,0">
                    <w:txbxContent>
                      <w:p w14:paraId="19797F83" w14:textId="77777777" w:rsidR="007D1E74" w:rsidRDefault="00A95641">
                        <w:pPr>
                          <w:spacing w:before="90"/>
                          <w:ind w:left="206"/>
                          <w:jc w:val="left"/>
                          <w:rPr>
                            <w:sz w:val="18"/>
                          </w:rPr>
                        </w:pPr>
                        <w:r>
                          <w:rPr>
                            <w:sz w:val="18"/>
                          </w:rPr>
                          <w:t>下沟、稳管、覆土回填</w:t>
                        </w:r>
                      </w:p>
                    </w:txbxContent>
                  </v:textbox>
                </v:shape>
                <v:shape id="文本框 290" o:spid="_x0000_s1114" type="#_x0000_t202" style="position:absolute;left:2322;top:3140;width:4010;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" filled="f" strokeweight=".06747mm">
                  <v:textbox inset="0,0,0,0">
                    <w:txbxContent>
                      <w:p w14:paraId="35E77D9C" w14:textId="77777777" w:rsidR="007D1E74" w:rsidRDefault="00A95641">
                        <w:pPr>
                          <w:spacing w:before="89"/>
                          <w:ind w:left="442"/>
                          <w:jc w:val="left"/>
                          <w:rPr>
                            <w:sz w:val="18"/>
                          </w:rPr>
                        </w:pPr>
                        <w:r>
                          <w:rPr>
                            <w:sz w:val="18"/>
                          </w:rPr>
                          <w:t>运管、布管、焊接、补口、补伤、防腐</w:t>
                        </w:r>
                      </w:p>
                    </w:txbxContent>
                  </v:textbox>
                </v:shape>
                <v:shape id="文本框 291" o:spid="_x0000_s1115" type="#_x0000_t202" style="position:absolute;left:5032;top:1947;width:1300;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" filled="f" strokeweight=".06747mm">
                  <v:textbox inset="0,0,0,0">
                    <w:txbxContent>
                      <w:p w14:paraId="51AE0FC4" w14:textId="77777777" w:rsidR="007D1E74" w:rsidRDefault="00A95641">
                        <w:pPr>
                          <w:spacing w:before="88"/>
                          <w:ind w:left="282"/>
                          <w:jc w:val="left"/>
                          <w:rPr>
                            <w:sz w:val="18"/>
                          </w:rPr>
                        </w:pPr>
                        <w:r>
                          <w:rPr>
                            <w:sz w:val="18"/>
                          </w:rPr>
                          <w:t>管沟开挖</w:t>
                        </w:r>
                      </w:p>
                    </w:txbxContent>
                  </v:textbox>
                </v:shape>
                <v:shape id="文本框 292" o:spid="_x0000_s1116" type="#_x0000_t202" style="position:absolute;left:1490;top:1947;width:2253;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" filled="f" strokeweight=".06747mm">
                  <v:textbox inset="0,0,0,0">
                    <w:txbxContent>
                      <w:p w14:paraId="1266EA5C" w14:textId="77777777" w:rsidR="007D1E74" w:rsidRDefault="00A95641">
                        <w:pPr>
                          <w:spacing w:before="88"/>
                          <w:ind w:firstLineChars="100" w:firstLine="180"/>
                          <w:jc w:val="left"/>
                          <w:rPr>
                            <w:sz w:val="18"/>
                          </w:rPr>
                        </w:pPr>
                        <w:r>
                          <w:rPr>
                            <w:sz w:val="18"/>
                          </w:rPr>
                          <w:t>道路、沟渠</w:t>
                        </w:r>
                        <w:r>
                          <w:rPr>
                            <w:rFonts w:hint="eastAsia"/>
                            <w:sz w:val="18"/>
                          </w:rPr>
                          <w:t>、河流</w:t>
                        </w:r>
                        <w:r>
                          <w:rPr>
                            <w:sz w:val="18"/>
                          </w:rPr>
                          <w:t>穿越</w:t>
                        </w:r>
                      </w:p>
                    </w:txbxContent>
                  </v:textbox>
                </v:shape>
                <v:shape id="文本框 293" o:spid="_x0000_s1117" type="#_x0000_t202" style="position:absolute;left:3201;top:912;width:2253;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" filled="f" strokeweight=".06747mm">
                  <v:textbox inset="0,0,0,0">
                    <w:txbxContent>
                      <w:p w14:paraId="673BBE69" w14:textId="77777777" w:rsidR="007D1E74" w:rsidRDefault="00A95641">
                        <w:pPr>
                          <w:spacing w:line="202" w:lineRule="exact"/>
                          <w:ind w:left="114" w:right="114"/>
                          <w:jc w:val="center"/>
                          <w:rPr>
                            <w:sz w:val="18"/>
                          </w:rPr>
                        </w:pPr>
                        <w:r>
                          <w:rPr>
                            <w:sz w:val="18"/>
                          </w:rPr>
                          <w:t>施工便道、作业线路、场</w:t>
                        </w:r>
                      </w:p>
                      <w:p w14:paraId="7A04C33E" w14:textId="77777777" w:rsidR="007D1E74" w:rsidRDefault="00A95641">
                        <w:pPr>
                          <w:spacing w:line="226" w:lineRule="exact"/>
                          <w:ind w:left="114" w:right="114"/>
                          <w:jc w:val="center"/>
                          <w:rPr>
                            <w:sz w:val="18"/>
                          </w:rPr>
                        </w:pPr>
                        <w:r>
                          <w:rPr>
                            <w:sz w:val="18"/>
                          </w:rPr>
                          <w:t>地清理</w:t>
                        </w:r>
                      </w:p>
                    </w:txbxContent>
                  </v:textbox>
                </v:shape>
                <v:shape id="文本框 294" o:spid="_x0000_s1118" type="#_x0000_t202" style="position:absolute;left:3677;top:17;width:1300;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" filled="f" strokeweight=".06747mm">
                  <v:textbox inset="0,0,0,0">
                    <w:txbxContent>
                      <w:p w14:paraId="0FC0D098" w14:textId="77777777" w:rsidR="007D1E74" w:rsidRDefault="00A95641">
                        <w:pPr>
                          <w:spacing w:before="85"/>
                          <w:ind w:left="280"/>
                          <w:jc w:val="left"/>
                          <w:rPr>
                            <w:sz w:val="18"/>
                          </w:rPr>
                        </w:pPr>
                        <w:r>
                          <w:rPr>
                            <w:sz w:val="18"/>
                          </w:rPr>
                          <w:t>测定放线</w:t>
                        </w:r>
                      </w:p>
                    </w:txbxContent>
                  </v:textbox>
                </v:shape>
                <v:shape id="文本框 295" o:spid="_x0000_s1119" type="#_x0000_t202" style="position:absolute;left:3677;top:7477;width:1300;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" filled="f" strokeweight=".06747mm">
                  <v:textbox inset="0,0,0,0">
                    <w:txbxContent>
                      <w:p w14:paraId="241FB492" w14:textId="77777777" w:rsidR="007D1E74" w:rsidRDefault="00A95641">
                        <w:pPr>
                          <w:spacing w:before="95"/>
                          <w:ind w:left="280"/>
                          <w:jc w:val="left"/>
                          <w:rPr>
                            <w:sz w:val="18"/>
                          </w:rPr>
                        </w:pPr>
                        <w:r>
                          <w:rPr>
                            <w:sz w:val="18"/>
                          </w:rPr>
                          <w:t>投入运营</w:t>
                        </w:r>
                      </w:p>
                    </w:txbxContent>
                  </v:textbox>
                </v:shape>
                <v:shape id="文本框 296" o:spid="_x0000_s1120" type="#_x0000_t202" style="position:absolute;left:7631;top:5742;width:1300;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" filled="f" strokeweight=".06747mm">
                  <v:stroke dashstyle="longDash"/>
                  <v:textbox inset="0,0,0,0">
                    <w:txbxContent>
                      <w:p w14:paraId="2AACE367" w14:textId="77777777" w:rsidR="007D1E74" w:rsidRDefault="00A95641">
                        <w:pPr>
                          <w:spacing w:before="93"/>
                          <w:ind w:left="194"/>
                          <w:jc w:val="left"/>
                          <w:rPr>
                            <w:sz w:val="18"/>
                          </w:rPr>
                        </w:pPr>
                        <w:r>
                          <w:rPr>
                            <w:sz w:val="18"/>
                          </w:rPr>
                          <w:t>粉尘、噪声</w:t>
                        </w:r>
                      </w:p>
                    </w:txbxContent>
                  </v:textbox>
                </v:shape>
                <v:shape id="文本框 297" o:spid="_x0000_s1121" type="#_x0000_t202" style="position:absolute;left:6760;top:4890;width:1300;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" filled="f" strokeweight=".06747mm">
                  <v:stroke dashstyle="longDash"/>
                  <v:textbox inset="0,0,0,0">
                    <w:txbxContent>
                      <w:p w14:paraId="24C5AC7C" w14:textId="77777777" w:rsidR="007D1E74" w:rsidRDefault="00A95641">
                        <w:pPr>
                          <w:spacing w:before="92"/>
                          <w:ind w:left="284"/>
                          <w:jc w:val="left"/>
                          <w:rPr>
                            <w:sz w:val="18"/>
                          </w:rPr>
                        </w:pPr>
                        <w:r>
                          <w:rPr>
                            <w:sz w:val="18"/>
                          </w:rPr>
                          <w:t>试压废水</w:t>
                        </w:r>
                      </w:p>
                    </w:txbxContent>
                  </v:textbox>
                </v:shape>
                <v:shape id="文本框 298" o:spid="_x0000_s1122" type="#_x0000_t202" style="position:absolute;left:17;top:1307;width:65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" strokeweight=".06739mm">
                  <v:stroke dashstyle="longDash"/>
                  <v:textbox inset="0,0,0,0">
                    <w:txbxContent>
                      <w:p w14:paraId="4071B6EB" w14:textId="77777777" w:rsidR="007D1E74" w:rsidRDefault="00A95641">
                        <w:pPr>
                          <w:spacing w:line="230" w:lineRule="auto"/>
                          <w:ind w:left="134" w:right="142"/>
                          <w:rPr>
                            <w:sz w:val="18"/>
                          </w:rPr>
                        </w:pPr>
                        <w:r>
                          <w:rPr>
                            <w:sz w:val="18"/>
                          </w:rPr>
                          <w:t>噪声扬尘固体废物废水</w:t>
                        </w:r>
                      </w:p>
                    </w:txbxContent>
                  </v:textbox>
                </v:shape>
                <v:shape id="文本框 299" o:spid="_x0000_s1123" type="#_x0000_t202" style="position:absolute;left:6731;top:838;width:1950;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" filled="f" strokeweight=".06747mm">
                  <v:stroke dashstyle="longDash"/>
                  <v:textbox inset="0,0,0,0">
                    <w:txbxContent>
                      <w:p w14:paraId="722799C6" w14:textId="77777777" w:rsidR="007D1E74" w:rsidRDefault="00A95641">
                        <w:pPr>
                          <w:spacing w:before="84" w:line="226" w:lineRule="exact"/>
                          <w:ind w:left="146" w:right="138"/>
                          <w:jc w:val="center"/>
                          <w:rPr>
                            <w:sz w:val="18"/>
                          </w:rPr>
                        </w:pPr>
                        <w:r>
                          <w:rPr>
                            <w:sz w:val="18"/>
                          </w:rPr>
                          <w:t>噪声、扬尘</w:t>
                        </w:r>
                      </w:p>
                      <w:p w14:paraId="74432D33" w14:textId="77777777" w:rsidR="007D1E74" w:rsidRDefault="00A95641">
                        <w:pPr>
                          <w:spacing w:line="226" w:lineRule="exact"/>
                          <w:ind w:left="147" w:right="138"/>
                          <w:jc w:val="center"/>
                          <w:rPr>
                            <w:sz w:val="18"/>
                          </w:rPr>
                        </w:pPr>
                        <w:r>
                          <w:rPr>
                            <w:sz w:val="18"/>
                          </w:rPr>
                          <w:t>固体废物、生态破坏</w:t>
                        </w:r>
                      </w:p>
                    </w:txbxContent>
                  </v:textbox>
                </v:shape>
                <w10:anchorlock/>
              </v:group>
            </w:pict>
          </mc:Fallback>
        </mc:AlternateContent>
      </w:r>
    </w:p>
    <w:p w14:paraId="3ABE3594" w14:textId="77777777" w:rsidR="007D1E74" w:rsidRDefault="00A95641">
      <w:pPr>
        <w:spacing w:line="360" w:lineRule="auto"/>
        <w:jc w:val="center"/>
        <w:rPr>
          <w:b/>
        </w:rPr>
      </w:pPr>
      <w:r>
        <w:rPr>
          <w:b/>
        </w:rPr>
        <w:t>图</w:t>
      </w:r>
      <w:r>
        <w:rPr>
          <w:b/>
          <w:spacing w:val="1"/>
        </w:rPr>
        <w:t xml:space="preserve"> </w:t>
      </w:r>
      <w:r>
        <w:rPr>
          <w:b/>
        </w:rPr>
        <w:t xml:space="preserve">3.2-1 </w:t>
      </w:r>
      <w:r>
        <w:rPr>
          <w:b/>
        </w:rPr>
        <w:tab/>
      </w:r>
      <w:r>
        <w:rPr>
          <w:b/>
        </w:rPr>
        <w:t>管道工程主要</w:t>
      </w:r>
      <w:r>
        <w:rPr>
          <w:b/>
          <w:spacing w:val="-3"/>
        </w:rPr>
        <w:t>施</w:t>
      </w:r>
      <w:r>
        <w:rPr>
          <w:b/>
        </w:rPr>
        <w:t>工过程及产物节点图</w:t>
      </w:r>
    </w:p>
    <w:p w14:paraId="2E1A3546" w14:textId="77777777" w:rsidR="007D1E74" w:rsidRDefault="00A95641">
      <w:pPr>
        <w:spacing w:line="360" w:lineRule="auto"/>
        <w:ind w:firstLineChars="200" w:firstLine="482"/>
        <w:rPr>
          <w:b/>
          <w:bCs/>
          <w:sz w:val="24"/>
        </w:rPr>
      </w:pPr>
      <w:r>
        <w:rPr>
          <w:b/>
          <w:bCs/>
          <w:sz w:val="24"/>
        </w:rPr>
        <w:t>施工期工艺流程简述：</w:t>
      </w:r>
    </w:p>
    <w:p w14:paraId="3E7A9559" w14:textId="77777777" w:rsidR="007D1E74" w:rsidRDefault="00A95641">
      <w:pPr>
        <w:spacing w:line="360" w:lineRule="auto"/>
        <w:ind w:firstLineChars="200" w:firstLine="480"/>
        <w:rPr>
          <w:sz w:val="24"/>
        </w:rPr>
      </w:pPr>
      <w:r>
        <w:rPr>
          <w:sz w:val="24"/>
        </w:rPr>
        <w:t>（</w:t>
      </w:r>
      <w:r>
        <w:rPr>
          <w:sz w:val="24"/>
        </w:rPr>
        <w:t>1</w:t>
      </w:r>
      <w:r>
        <w:rPr>
          <w:sz w:val="24"/>
        </w:rPr>
        <w:t>）现场勘查，确认路由后进行作业线路的清理。在完成管沟开挖、道路穿越、沟渠穿越等基础工程后，将钢管运至各施工现场。将管段及必要的弯头等组装后，用人工或自动方式焊接，然后进行防腐工艺的施工，最后按管道施工规范下到管沟内，覆土回填。</w:t>
      </w:r>
    </w:p>
    <w:p w14:paraId="7FC045C7" w14:textId="77777777" w:rsidR="007D1E74" w:rsidRDefault="00A95641">
      <w:pPr>
        <w:spacing w:line="360" w:lineRule="auto"/>
        <w:ind w:firstLineChars="200" w:firstLine="480"/>
        <w:rPr>
          <w:sz w:val="24"/>
        </w:rPr>
      </w:pPr>
      <w:r>
        <w:rPr>
          <w:sz w:val="24"/>
        </w:rPr>
        <w:lastRenderedPageBreak/>
        <w:t>（</w:t>
      </w:r>
      <w:r>
        <w:rPr>
          <w:sz w:val="24"/>
        </w:rPr>
        <w:t>2</w:t>
      </w:r>
      <w:r>
        <w:rPr>
          <w:sz w:val="24"/>
        </w:rPr>
        <w:t>）对管道进行清管、吹扫试压，清理作业现场，恢复地貌。</w:t>
      </w:r>
    </w:p>
    <w:p w14:paraId="0E41EA51" w14:textId="77777777" w:rsidR="007D1E74" w:rsidRDefault="00A95641">
      <w:pPr>
        <w:spacing w:line="360" w:lineRule="auto"/>
        <w:ind w:firstLineChars="200" w:firstLine="480"/>
        <w:rPr>
          <w:sz w:val="24"/>
        </w:rPr>
      </w:pPr>
      <w:r>
        <w:rPr>
          <w:sz w:val="24"/>
        </w:rPr>
        <w:t>（</w:t>
      </w:r>
      <w:r>
        <w:rPr>
          <w:sz w:val="24"/>
        </w:rPr>
        <w:t>3</w:t>
      </w:r>
      <w:r>
        <w:rPr>
          <w:sz w:val="24"/>
        </w:rPr>
        <w:t>）管道试运行正常后正式投产输气。</w:t>
      </w:r>
    </w:p>
    <w:p w14:paraId="11C6E531" w14:textId="77777777" w:rsidR="007D1E74" w:rsidRDefault="00A95641">
      <w:pPr>
        <w:spacing w:line="360" w:lineRule="auto"/>
        <w:ind w:firstLineChars="200" w:firstLine="480"/>
        <w:rPr>
          <w:sz w:val="24"/>
        </w:rPr>
      </w:pPr>
      <w:r>
        <w:rPr>
          <w:sz w:val="24"/>
        </w:rPr>
        <w:t>从上图可以看出，工程建设期环境影响因素主要来自管道敷设施工过程中的开挖管沟、管道穿越工程、清管试压、清理现场等活动。另外，工程临时和永久性占地也将对环境造成一定影响。</w:t>
      </w:r>
    </w:p>
    <w:p w14:paraId="16535262" w14:textId="77777777" w:rsidR="007D1E74" w:rsidRDefault="00A95641">
      <w:pPr>
        <w:spacing w:line="360" w:lineRule="auto"/>
        <w:ind w:firstLineChars="200" w:firstLine="482"/>
        <w:rPr>
          <w:b/>
          <w:bCs/>
          <w:sz w:val="24"/>
        </w:rPr>
      </w:pPr>
      <w:r>
        <w:rPr>
          <w:b/>
          <w:bCs/>
          <w:sz w:val="24"/>
        </w:rPr>
        <w:t>3.2.1.1.2</w:t>
      </w:r>
      <w:r>
        <w:rPr>
          <w:b/>
          <w:bCs/>
          <w:sz w:val="24"/>
        </w:rPr>
        <w:t>施工作业带清理和管沟开挖</w:t>
      </w:r>
    </w:p>
    <w:p w14:paraId="158C3B51" w14:textId="77777777" w:rsidR="007D1E74" w:rsidRDefault="00A95641">
      <w:pPr>
        <w:spacing w:line="360" w:lineRule="auto"/>
        <w:ind w:firstLineChars="200" w:firstLine="480"/>
        <w:rPr>
          <w:sz w:val="24"/>
        </w:rPr>
      </w:pPr>
      <w:r>
        <w:rPr>
          <w:sz w:val="24"/>
        </w:rPr>
        <w:t>（</w:t>
      </w:r>
      <w:r>
        <w:rPr>
          <w:sz w:val="24"/>
        </w:rPr>
        <w:t>1</w:t>
      </w:r>
      <w:r>
        <w:rPr>
          <w:sz w:val="24"/>
        </w:rPr>
        <w:t>）作业带清理</w:t>
      </w:r>
    </w:p>
    <w:p w14:paraId="3FCC515E" w14:textId="77777777" w:rsidR="007D1E74" w:rsidRDefault="00A95641">
      <w:pPr>
        <w:spacing w:line="360" w:lineRule="auto"/>
        <w:ind w:firstLineChars="200" w:firstLine="480"/>
        <w:rPr>
          <w:sz w:val="24"/>
        </w:rPr>
      </w:pPr>
      <w:r>
        <w:rPr>
          <w:sz w:val="24"/>
        </w:rPr>
        <w:t>一般线路段管道采用沟埋方式敷设，管道施工作业带应以少占良田、好地为原则，</w:t>
      </w:r>
      <w:r>
        <w:rPr>
          <w:sz w:val="24"/>
        </w:rPr>
        <w:t xml:space="preserve"> </w:t>
      </w:r>
      <w:r>
        <w:rPr>
          <w:sz w:val="24"/>
        </w:rPr>
        <w:t>根据管道施工特点并结合本工程实际，在一般地段，施工作业带考虑机械化施工所需要的宽度。施工作业带的宽度按照高陡边坡</w:t>
      </w:r>
      <w:r>
        <w:rPr>
          <w:sz w:val="24"/>
        </w:rPr>
        <w:t xml:space="preserve"> 12m</w:t>
      </w:r>
      <w:r>
        <w:rPr>
          <w:sz w:val="24"/>
        </w:rPr>
        <w:t>，普通段</w:t>
      </w:r>
      <w:r>
        <w:rPr>
          <w:sz w:val="24"/>
        </w:rPr>
        <w:t xml:space="preserve"> 10m</w:t>
      </w:r>
      <w:r>
        <w:rPr>
          <w:sz w:val="24"/>
        </w:rPr>
        <w:t>考虑。</w:t>
      </w:r>
    </w:p>
    <w:p w14:paraId="1C5A4CCE" w14:textId="77777777" w:rsidR="007D1E74" w:rsidRDefault="00A95641">
      <w:pPr>
        <w:spacing w:line="360" w:lineRule="auto"/>
        <w:ind w:firstLineChars="200" w:firstLine="480"/>
        <w:rPr>
          <w:sz w:val="24"/>
        </w:rPr>
      </w:pPr>
      <w:r>
        <w:rPr>
          <w:sz w:val="24"/>
        </w:rPr>
        <w:t>在管道通过经济作物区等特殊地带，尽量采取沟下组焊等占地宽度较小的施工作业方式，减少施工作业带宽度。在施工作业带范围内，对于影响施工机具通行或施工作业的石块、杂草、树木应清理干净，沟、坎应予以平整。有积水的地市低洼地段应排水，施工作业带清理时，应注意对土地的保护，减少或防止产生水土流失。清理和平整施工作业带时，应注意保护标志桩，如果破坏应立即恢复。在耕地开挖管沟时，应严格将表层耕作土和底层生土分层堆放。</w:t>
      </w:r>
    </w:p>
    <w:p w14:paraId="4F414384" w14:textId="77777777" w:rsidR="007D1E74" w:rsidRDefault="00A95641">
      <w:pPr>
        <w:spacing w:line="360" w:lineRule="auto"/>
        <w:ind w:firstLineChars="200" w:firstLine="480"/>
        <w:rPr>
          <w:sz w:val="24"/>
        </w:rPr>
      </w:pPr>
      <w:r>
        <w:rPr>
          <w:sz w:val="24"/>
        </w:rPr>
        <w:t>（</w:t>
      </w:r>
      <w:r>
        <w:rPr>
          <w:sz w:val="24"/>
        </w:rPr>
        <w:t>2</w:t>
      </w:r>
      <w:r>
        <w:rPr>
          <w:sz w:val="24"/>
        </w:rPr>
        <w:t>）管沟挖深</w:t>
      </w:r>
    </w:p>
    <w:p w14:paraId="15C80023" w14:textId="77777777" w:rsidR="007D1E74" w:rsidRDefault="00A95641">
      <w:pPr>
        <w:spacing w:line="360" w:lineRule="auto"/>
        <w:ind w:firstLineChars="200" w:firstLine="480"/>
        <w:rPr>
          <w:sz w:val="24"/>
        </w:rPr>
      </w:pPr>
      <w:r>
        <w:rPr>
          <w:sz w:val="24"/>
        </w:rPr>
        <w:t>一般地段管沟开挖时，管顶覆土厚度要求不小于</w:t>
      </w:r>
      <w:r>
        <w:rPr>
          <w:sz w:val="24"/>
        </w:rPr>
        <w:t>1.2m</w:t>
      </w:r>
      <w:r>
        <w:rPr>
          <w:sz w:val="24"/>
        </w:rPr>
        <w:t>，管道通过岩石层、卵砾石地段时，管沟应超挖</w:t>
      </w:r>
      <w:r>
        <w:rPr>
          <w:sz w:val="24"/>
        </w:rPr>
        <w:t>0.2m</w:t>
      </w:r>
      <w:r>
        <w:rPr>
          <w:sz w:val="24"/>
        </w:rPr>
        <w:t>，并用细土或细砂将深挖部分垫平后方可下管。管沟回填时，应先用细土或细砂（最大粒径不应大于</w:t>
      </w:r>
      <w:r>
        <w:rPr>
          <w:sz w:val="24"/>
        </w:rPr>
        <w:t>3mm</w:t>
      </w:r>
      <w:r>
        <w:rPr>
          <w:sz w:val="24"/>
        </w:rPr>
        <w:t>）回填至管顶以上</w:t>
      </w:r>
      <w:r>
        <w:rPr>
          <w:sz w:val="24"/>
        </w:rPr>
        <w:t>0.3m</w:t>
      </w:r>
      <w:r>
        <w:rPr>
          <w:sz w:val="24"/>
        </w:rPr>
        <w:t>，方可用土、砂或粒径小于</w:t>
      </w:r>
      <w:r>
        <w:rPr>
          <w:sz w:val="24"/>
        </w:rPr>
        <w:t>100mm</w:t>
      </w:r>
      <w:r>
        <w:rPr>
          <w:sz w:val="24"/>
        </w:rPr>
        <w:t>的碎石回填压实。管沟回填土应高出地面</w:t>
      </w:r>
      <w:r>
        <w:rPr>
          <w:sz w:val="24"/>
        </w:rPr>
        <w:t>0.3m</w:t>
      </w:r>
      <w:r>
        <w:rPr>
          <w:sz w:val="24"/>
        </w:rPr>
        <w:t>。在经过一些沟渠、陡坡、陡坎时，为满足管道的弹性敷设要求及管道的轴向稳定性，局部地段应适当挖深，管沟宽度适当放大。本工程集输管线与通信光缆路由一致，管沟开挖时沟底宽能保证回填时管道与光缆之间</w:t>
      </w:r>
      <w:r>
        <w:rPr>
          <w:sz w:val="24"/>
        </w:rPr>
        <w:t>200-300mm</w:t>
      </w:r>
      <w:r>
        <w:rPr>
          <w:sz w:val="24"/>
        </w:rPr>
        <w:t>的距离，一般沟底宽度能满足</w:t>
      </w:r>
      <w:r>
        <w:rPr>
          <w:sz w:val="24"/>
        </w:rPr>
        <w:t xml:space="preserve">1.1-1.2m </w:t>
      </w:r>
      <w:r>
        <w:rPr>
          <w:sz w:val="24"/>
        </w:rPr>
        <w:t>之间即可。</w:t>
      </w:r>
    </w:p>
    <w:p w14:paraId="34BA08BF" w14:textId="77777777" w:rsidR="007D1E74" w:rsidRDefault="00A95641">
      <w:pPr>
        <w:spacing w:line="360" w:lineRule="auto"/>
        <w:ind w:firstLineChars="200" w:firstLine="480"/>
        <w:rPr>
          <w:sz w:val="24"/>
        </w:rPr>
      </w:pPr>
      <w:r>
        <w:rPr>
          <w:sz w:val="24"/>
        </w:rPr>
        <w:t>（</w:t>
      </w:r>
      <w:r>
        <w:rPr>
          <w:sz w:val="24"/>
        </w:rPr>
        <w:t>3</w:t>
      </w:r>
      <w:r>
        <w:rPr>
          <w:sz w:val="24"/>
        </w:rPr>
        <w:t>）管沟边坡</w:t>
      </w:r>
    </w:p>
    <w:p w14:paraId="5FEE4C8B" w14:textId="77777777" w:rsidR="007D1E74" w:rsidRDefault="00A95641">
      <w:pPr>
        <w:spacing w:line="360" w:lineRule="auto"/>
        <w:ind w:firstLineChars="200" w:firstLine="480"/>
        <w:rPr>
          <w:sz w:val="24"/>
        </w:rPr>
      </w:pPr>
      <w:r>
        <w:rPr>
          <w:sz w:val="24"/>
        </w:rPr>
        <w:t>根据线路的特点，一般地段管沟边坡坡度执行以下规定（管沟挖深在</w:t>
      </w:r>
      <w:r>
        <w:rPr>
          <w:sz w:val="24"/>
        </w:rPr>
        <w:t>5m</w:t>
      </w:r>
      <w:r>
        <w:rPr>
          <w:sz w:val="24"/>
        </w:rPr>
        <w:t>以内）：中密的沙土：</w:t>
      </w:r>
      <w:r>
        <w:rPr>
          <w:sz w:val="24"/>
        </w:rPr>
        <w:t>1:1.25</w:t>
      </w:r>
      <w:r>
        <w:rPr>
          <w:sz w:val="24"/>
        </w:rPr>
        <w:t>；</w:t>
      </w:r>
    </w:p>
    <w:p w14:paraId="53FB636F" w14:textId="77777777" w:rsidR="007D1E74" w:rsidRDefault="00A95641">
      <w:pPr>
        <w:spacing w:line="360" w:lineRule="auto"/>
        <w:ind w:firstLineChars="200" w:firstLine="480"/>
        <w:rPr>
          <w:sz w:val="24"/>
        </w:rPr>
      </w:pPr>
      <w:r>
        <w:rPr>
          <w:sz w:val="24"/>
        </w:rPr>
        <w:t>中密的碎石类土（填充物为沙土）：</w:t>
      </w:r>
      <w:r>
        <w:rPr>
          <w:sz w:val="24"/>
        </w:rPr>
        <w:t>1:1.0</w:t>
      </w:r>
      <w:r>
        <w:rPr>
          <w:sz w:val="24"/>
        </w:rPr>
        <w:t>；</w:t>
      </w:r>
    </w:p>
    <w:p w14:paraId="6E228B96" w14:textId="77777777" w:rsidR="007D1E74" w:rsidRDefault="00A95641">
      <w:pPr>
        <w:spacing w:line="360" w:lineRule="auto"/>
        <w:ind w:firstLineChars="200" w:firstLine="480"/>
        <w:rPr>
          <w:sz w:val="24"/>
        </w:rPr>
      </w:pPr>
      <w:r>
        <w:rPr>
          <w:sz w:val="24"/>
        </w:rPr>
        <w:t>中密的碎石类土（填充物为粘性土）：</w:t>
      </w:r>
      <w:r>
        <w:rPr>
          <w:sz w:val="24"/>
        </w:rPr>
        <w:t>1:0.67</w:t>
      </w:r>
      <w:r>
        <w:rPr>
          <w:sz w:val="24"/>
        </w:rPr>
        <w:t>；硬塑的粉土：</w:t>
      </w:r>
      <w:r>
        <w:rPr>
          <w:sz w:val="24"/>
        </w:rPr>
        <w:t>1:0.75</w:t>
      </w:r>
      <w:r>
        <w:rPr>
          <w:sz w:val="24"/>
        </w:rPr>
        <w:t>；</w:t>
      </w:r>
    </w:p>
    <w:p w14:paraId="3E51F9C5" w14:textId="77777777" w:rsidR="007D1E74" w:rsidRDefault="00A95641">
      <w:pPr>
        <w:spacing w:line="360" w:lineRule="auto"/>
        <w:ind w:firstLineChars="200" w:firstLine="480"/>
        <w:rPr>
          <w:sz w:val="24"/>
        </w:rPr>
      </w:pPr>
      <w:r>
        <w:rPr>
          <w:sz w:val="24"/>
        </w:rPr>
        <w:lastRenderedPageBreak/>
        <w:t>硬塑的粉质粘土、粘土：</w:t>
      </w:r>
      <w:r>
        <w:rPr>
          <w:sz w:val="24"/>
        </w:rPr>
        <w:t>1:0.5</w:t>
      </w:r>
      <w:r>
        <w:rPr>
          <w:sz w:val="24"/>
        </w:rPr>
        <w:t>；</w:t>
      </w:r>
      <w:r>
        <w:rPr>
          <w:sz w:val="24"/>
        </w:rPr>
        <w:t xml:space="preserve"> </w:t>
      </w:r>
      <w:r>
        <w:rPr>
          <w:sz w:val="24"/>
        </w:rPr>
        <w:t>软土（经井点降水）：</w:t>
      </w:r>
      <w:r>
        <w:rPr>
          <w:sz w:val="24"/>
        </w:rPr>
        <w:t>1:1.0</w:t>
      </w:r>
    </w:p>
    <w:p w14:paraId="69E7D334" w14:textId="77777777" w:rsidR="007D1E74" w:rsidRDefault="00A95641">
      <w:pPr>
        <w:spacing w:line="360" w:lineRule="auto"/>
        <w:ind w:firstLineChars="200" w:firstLine="480"/>
        <w:rPr>
          <w:sz w:val="24"/>
        </w:rPr>
      </w:pPr>
      <w:r>
        <w:rPr>
          <w:sz w:val="24"/>
        </w:rPr>
        <w:t>石方段：</w:t>
      </w:r>
      <w:r>
        <w:rPr>
          <w:sz w:val="24"/>
        </w:rPr>
        <w:t>1:0-1:0.1</w:t>
      </w:r>
      <w:r>
        <w:rPr>
          <w:sz w:val="24"/>
        </w:rPr>
        <w:t>（强风化岩石）。</w:t>
      </w:r>
    </w:p>
    <w:p w14:paraId="7D9E6D85" w14:textId="77777777" w:rsidR="007D1E74" w:rsidRDefault="00A95641">
      <w:pPr>
        <w:spacing w:line="360" w:lineRule="auto"/>
        <w:ind w:firstLineChars="200" w:firstLine="480"/>
        <w:rPr>
          <w:sz w:val="24"/>
        </w:rPr>
      </w:pPr>
      <w:r>
        <w:rPr>
          <w:sz w:val="24"/>
        </w:rPr>
        <w:t>特殊地段、管沟挖深超过</w:t>
      </w:r>
      <w:r>
        <w:rPr>
          <w:sz w:val="24"/>
        </w:rPr>
        <w:t xml:space="preserve">5m </w:t>
      </w:r>
      <w:r>
        <w:rPr>
          <w:sz w:val="24"/>
        </w:rPr>
        <w:t>时，可根据实际情况，采取边坡适当放缓，加支撑或采取阶梯式开挖措施。</w:t>
      </w:r>
    </w:p>
    <w:p w14:paraId="41DC7C48" w14:textId="77777777" w:rsidR="007D1E74" w:rsidRDefault="00A95641">
      <w:pPr>
        <w:numPr>
          <w:ilvl w:val="0"/>
          <w:numId w:val="40"/>
        </w:numPr>
        <w:spacing w:line="360" w:lineRule="auto"/>
        <w:ind w:firstLineChars="200" w:firstLine="480"/>
        <w:rPr>
          <w:sz w:val="24"/>
        </w:rPr>
      </w:pPr>
      <w:r>
        <w:rPr>
          <w:sz w:val="24"/>
        </w:rPr>
        <w:t>管沟底宽</w:t>
      </w:r>
    </w:p>
    <w:p w14:paraId="42989E76" w14:textId="77777777" w:rsidR="007D1E74" w:rsidRDefault="00A95641">
      <w:pPr>
        <w:spacing w:line="360" w:lineRule="auto"/>
        <w:ind w:firstLineChars="200" w:firstLine="480"/>
        <w:rPr>
          <w:sz w:val="24"/>
        </w:rPr>
      </w:pPr>
      <w:r>
        <w:rPr>
          <w:sz w:val="24"/>
        </w:rPr>
        <w:t>当管沟深度小于或等于</w:t>
      </w:r>
      <w:r>
        <w:rPr>
          <w:sz w:val="24"/>
        </w:rPr>
        <w:t>3m</w:t>
      </w:r>
      <w:r>
        <w:rPr>
          <w:sz w:val="24"/>
        </w:rPr>
        <w:t>时，沟底宽度应按下式计算：</w:t>
      </w:r>
    </w:p>
    <w:p w14:paraId="7403F991" w14:textId="77777777" w:rsidR="007D1E74" w:rsidRDefault="00A95641">
      <w:pPr>
        <w:spacing w:line="360" w:lineRule="auto"/>
        <w:ind w:firstLineChars="200" w:firstLine="480"/>
        <w:rPr>
          <w:sz w:val="24"/>
        </w:rPr>
      </w:pPr>
      <w:r>
        <w:rPr>
          <w:sz w:val="24"/>
        </w:rPr>
        <w:t>B</w:t>
      </w:r>
      <w:r>
        <w:rPr>
          <w:sz w:val="24"/>
        </w:rPr>
        <w:t>＝</w:t>
      </w:r>
      <w:r>
        <w:rPr>
          <w:sz w:val="24"/>
        </w:rPr>
        <w:t>D</w:t>
      </w:r>
      <w:r>
        <w:rPr>
          <w:sz w:val="24"/>
        </w:rPr>
        <w:t>＋</w:t>
      </w:r>
      <w:r>
        <w:rPr>
          <w:sz w:val="24"/>
        </w:rPr>
        <w:t>K</w:t>
      </w:r>
    </w:p>
    <w:p w14:paraId="578A34AC" w14:textId="77777777" w:rsidR="007D1E74" w:rsidRDefault="00A95641">
      <w:pPr>
        <w:spacing w:line="360" w:lineRule="auto"/>
        <w:ind w:firstLineChars="200" w:firstLine="480"/>
        <w:rPr>
          <w:sz w:val="24"/>
        </w:rPr>
      </w:pPr>
      <w:r>
        <w:rPr>
          <w:sz w:val="24"/>
        </w:rPr>
        <w:t>式中：</w:t>
      </w:r>
      <w:r>
        <w:rPr>
          <w:sz w:val="24"/>
        </w:rPr>
        <w:t>B—</w:t>
      </w:r>
      <w:r>
        <w:rPr>
          <w:sz w:val="24"/>
        </w:rPr>
        <w:t>沟底宽度（</w:t>
      </w:r>
      <w:r>
        <w:rPr>
          <w:sz w:val="24"/>
        </w:rPr>
        <w:t>m</w:t>
      </w:r>
      <w:r>
        <w:rPr>
          <w:sz w:val="24"/>
        </w:rPr>
        <w:t>）；</w:t>
      </w:r>
    </w:p>
    <w:p w14:paraId="6C139435" w14:textId="77777777" w:rsidR="007D1E74" w:rsidRDefault="00A95641">
      <w:pPr>
        <w:spacing w:line="360" w:lineRule="auto"/>
        <w:ind w:firstLineChars="200" w:firstLine="480"/>
        <w:rPr>
          <w:sz w:val="24"/>
        </w:rPr>
      </w:pPr>
      <w:r>
        <w:rPr>
          <w:sz w:val="24"/>
        </w:rPr>
        <w:t>D—</w:t>
      </w:r>
      <w:r>
        <w:rPr>
          <w:sz w:val="24"/>
        </w:rPr>
        <w:t>钢管的结构外径（包括防腐层的厚度）（</w:t>
      </w:r>
      <w:r>
        <w:rPr>
          <w:sz w:val="24"/>
        </w:rPr>
        <w:t>m</w:t>
      </w:r>
      <w:r>
        <w:rPr>
          <w:sz w:val="24"/>
        </w:rPr>
        <w:t>）；</w:t>
      </w:r>
      <w:r>
        <w:rPr>
          <w:sz w:val="24"/>
        </w:rPr>
        <w:t xml:space="preserve"> </w:t>
      </w:r>
    </w:p>
    <w:p w14:paraId="46299A68" w14:textId="77777777" w:rsidR="007D1E74" w:rsidRDefault="00A95641">
      <w:pPr>
        <w:spacing w:line="360" w:lineRule="auto"/>
        <w:ind w:firstLineChars="200" w:firstLine="480"/>
        <w:rPr>
          <w:sz w:val="24"/>
        </w:rPr>
      </w:pPr>
      <w:r>
        <w:rPr>
          <w:sz w:val="24"/>
        </w:rPr>
        <w:t>K—</w:t>
      </w:r>
      <w:r>
        <w:rPr>
          <w:sz w:val="24"/>
        </w:rPr>
        <w:t>沟底加宽裕量（</w:t>
      </w:r>
      <w:r>
        <w:rPr>
          <w:sz w:val="24"/>
        </w:rPr>
        <w:t>m</w:t>
      </w:r>
      <w:r>
        <w:rPr>
          <w:sz w:val="24"/>
        </w:rPr>
        <w:t>）。</w:t>
      </w:r>
    </w:p>
    <w:p w14:paraId="45156A03" w14:textId="77777777" w:rsidR="007D1E74" w:rsidRDefault="00A95641">
      <w:pPr>
        <w:spacing w:line="360" w:lineRule="auto"/>
        <w:ind w:firstLineChars="200" w:firstLine="480"/>
        <w:rPr>
          <w:sz w:val="24"/>
        </w:rPr>
      </w:pPr>
      <w:r>
        <w:rPr>
          <w:sz w:val="24"/>
        </w:rPr>
        <w:t>按下表取值。</w:t>
      </w:r>
    </w:p>
    <w:p w14:paraId="6190D3F3" w14:textId="77777777" w:rsidR="007D1E74" w:rsidRDefault="00A95641">
      <w:pPr>
        <w:tabs>
          <w:tab w:val="left" w:pos="1070"/>
        </w:tabs>
        <w:spacing w:before="79" w:after="20"/>
        <w:ind w:right="18"/>
        <w:jc w:val="center"/>
        <w:rPr>
          <w:b/>
        </w:rPr>
      </w:pPr>
      <w:r>
        <w:rPr>
          <w:b/>
        </w:rPr>
        <w:t>表</w:t>
      </w:r>
      <w:r>
        <w:rPr>
          <w:b/>
          <w:spacing w:val="1"/>
        </w:rPr>
        <w:t xml:space="preserve"> </w:t>
      </w:r>
      <w:r>
        <w:rPr>
          <w:b/>
        </w:rPr>
        <w:t>3.2-1</w:t>
      </w:r>
      <w:r>
        <w:rPr>
          <w:b/>
        </w:rPr>
        <w:tab/>
      </w:r>
      <w:r>
        <w:rPr>
          <w:b/>
        </w:rPr>
        <w:t>沟底加宽裕量（</w:t>
      </w:r>
      <w:r>
        <w:rPr>
          <w:b/>
        </w:rPr>
        <w:t>m</w:t>
      </w:r>
      <w:r>
        <w:rPr>
          <w:b/>
        </w:rPr>
        <w:t>）</w:t>
      </w:r>
    </w:p>
    <w:tbl>
      <w:tblPr>
        <w:tblW w:w="487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704"/>
        <w:gridCol w:w="705"/>
        <w:gridCol w:w="846"/>
        <w:gridCol w:w="844"/>
        <w:gridCol w:w="705"/>
        <w:gridCol w:w="705"/>
        <w:gridCol w:w="846"/>
        <w:gridCol w:w="1267"/>
        <w:gridCol w:w="1186"/>
      </w:tblGrid>
      <w:tr w:rsidR="007D1E74" w14:paraId="3B32A7A7" w14:textId="77777777">
        <w:trPr>
          <w:trHeight w:val="283"/>
          <w:jc w:val="center"/>
        </w:trPr>
        <w:tc>
          <w:tcPr>
            <w:tcW w:w="561" w:type="pct"/>
            <w:vMerge w:val="restart"/>
            <w:vAlign w:val="center"/>
          </w:tcPr>
          <w:p w14:paraId="0C1FE979" w14:textId="77777777" w:rsidR="007D1E74" w:rsidRDefault="00A95641">
            <w:pPr>
              <w:pStyle w:val="affffff2"/>
              <w:rPr>
                <w:rFonts w:ascii="Times New Roman" w:hAnsi="Times New Roman"/>
              </w:rPr>
            </w:pPr>
            <w:r>
              <w:rPr>
                <w:rFonts w:ascii="Times New Roman" w:hAnsi="Times New Roman"/>
              </w:rPr>
              <w:t>条件因素</w:t>
            </w:r>
          </w:p>
        </w:tc>
        <w:tc>
          <w:tcPr>
            <w:tcW w:w="1762" w:type="pct"/>
            <w:gridSpan w:val="4"/>
            <w:vAlign w:val="center"/>
          </w:tcPr>
          <w:p w14:paraId="3F4C726A" w14:textId="77777777" w:rsidR="007D1E74" w:rsidRDefault="00A95641">
            <w:pPr>
              <w:pStyle w:val="affffff2"/>
              <w:rPr>
                <w:rFonts w:ascii="Times New Roman" w:hAnsi="Times New Roman"/>
              </w:rPr>
            </w:pPr>
            <w:r>
              <w:rPr>
                <w:rFonts w:ascii="Times New Roman" w:hAnsi="Times New Roman"/>
              </w:rPr>
              <w:t>沟上焊接</w:t>
            </w:r>
          </w:p>
        </w:tc>
        <w:tc>
          <w:tcPr>
            <w:tcW w:w="1283" w:type="pct"/>
            <w:gridSpan w:val="3"/>
            <w:vAlign w:val="center"/>
          </w:tcPr>
          <w:p w14:paraId="72CE33D5" w14:textId="77777777" w:rsidR="007D1E74" w:rsidRDefault="00A95641">
            <w:pPr>
              <w:pStyle w:val="affffff2"/>
              <w:rPr>
                <w:rFonts w:ascii="Times New Roman" w:hAnsi="Times New Roman"/>
              </w:rPr>
            </w:pPr>
            <w:r>
              <w:rPr>
                <w:rFonts w:ascii="Times New Roman" w:hAnsi="Times New Roman"/>
              </w:rPr>
              <w:t>沟下焊条电弧焊接</w:t>
            </w:r>
          </w:p>
        </w:tc>
        <w:tc>
          <w:tcPr>
            <w:tcW w:w="720" w:type="pct"/>
            <w:vMerge w:val="restart"/>
            <w:vAlign w:val="center"/>
          </w:tcPr>
          <w:p w14:paraId="6BA75EB9" w14:textId="77777777" w:rsidR="007D1E74" w:rsidRDefault="00A95641">
            <w:pPr>
              <w:pStyle w:val="affffff2"/>
              <w:rPr>
                <w:rFonts w:ascii="Times New Roman" w:hAnsi="Times New Roman"/>
              </w:rPr>
            </w:pPr>
            <w:r>
              <w:rPr>
                <w:rFonts w:ascii="Times New Roman" w:hAnsi="Times New Roman"/>
              </w:rPr>
              <w:t>沟下半自动焊接处管够</w:t>
            </w:r>
          </w:p>
        </w:tc>
        <w:tc>
          <w:tcPr>
            <w:tcW w:w="674" w:type="pct"/>
            <w:vMerge w:val="restart"/>
            <w:vAlign w:val="center"/>
          </w:tcPr>
          <w:p w14:paraId="0EE9D23A" w14:textId="77777777" w:rsidR="007D1E74" w:rsidRDefault="00A95641">
            <w:pPr>
              <w:pStyle w:val="affffff2"/>
              <w:rPr>
                <w:rFonts w:ascii="Times New Roman" w:hAnsi="Times New Roman"/>
              </w:rPr>
            </w:pPr>
            <w:r>
              <w:rPr>
                <w:rFonts w:ascii="Times New Roman" w:hAnsi="Times New Roman"/>
              </w:rPr>
              <w:t>沟下焊接弯头、弯管及连头处管沟</w:t>
            </w:r>
          </w:p>
        </w:tc>
      </w:tr>
      <w:tr w:rsidR="007D1E74" w14:paraId="5F87334C" w14:textId="77777777">
        <w:trPr>
          <w:trHeight w:val="283"/>
          <w:jc w:val="center"/>
        </w:trPr>
        <w:tc>
          <w:tcPr>
            <w:tcW w:w="561" w:type="pct"/>
            <w:vMerge/>
            <w:vAlign w:val="center"/>
          </w:tcPr>
          <w:p w14:paraId="21568E6E" w14:textId="77777777" w:rsidR="007D1E74" w:rsidRDefault="007D1E74">
            <w:pPr>
              <w:pStyle w:val="affffff2"/>
              <w:rPr>
                <w:rFonts w:ascii="Times New Roman" w:hAnsi="Times New Roman"/>
              </w:rPr>
            </w:pPr>
          </w:p>
        </w:tc>
        <w:tc>
          <w:tcPr>
            <w:tcW w:w="801" w:type="pct"/>
            <w:gridSpan w:val="2"/>
            <w:vAlign w:val="center"/>
          </w:tcPr>
          <w:p w14:paraId="10A2E6DC" w14:textId="77777777" w:rsidR="007D1E74" w:rsidRDefault="00A95641">
            <w:pPr>
              <w:pStyle w:val="affffff2"/>
              <w:rPr>
                <w:rFonts w:ascii="Times New Roman" w:hAnsi="Times New Roman"/>
              </w:rPr>
            </w:pPr>
            <w:r>
              <w:rPr>
                <w:rFonts w:ascii="Times New Roman" w:hAnsi="Times New Roman"/>
              </w:rPr>
              <w:t>土质管沟</w:t>
            </w:r>
          </w:p>
        </w:tc>
        <w:tc>
          <w:tcPr>
            <w:tcW w:w="481" w:type="pct"/>
            <w:vMerge w:val="restart"/>
            <w:vAlign w:val="center"/>
          </w:tcPr>
          <w:p w14:paraId="547F31AE" w14:textId="77777777" w:rsidR="007D1E74" w:rsidRDefault="00A95641">
            <w:pPr>
              <w:pStyle w:val="affffff2"/>
              <w:rPr>
                <w:rFonts w:ascii="Times New Roman" w:hAnsi="Times New Roman"/>
              </w:rPr>
            </w:pPr>
            <w:r>
              <w:rPr>
                <w:rFonts w:ascii="Times New Roman" w:hAnsi="Times New Roman"/>
              </w:rPr>
              <w:t>岩石爆破管沟</w:t>
            </w:r>
          </w:p>
        </w:tc>
        <w:tc>
          <w:tcPr>
            <w:tcW w:w="480" w:type="pct"/>
            <w:vMerge w:val="restart"/>
            <w:vAlign w:val="center"/>
          </w:tcPr>
          <w:p w14:paraId="2EA1BD0C" w14:textId="77777777" w:rsidR="007D1E74" w:rsidRDefault="00A95641">
            <w:pPr>
              <w:pStyle w:val="affffff2"/>
              <w:rPr>
                <w:rFonts w:ascii="Times New Roman" w:hAnsi="Times New Roman"/>
              </w:rPr>
            </w:pPr>
            <w:r>
              <w:rPr>
                <w:rFonts w:ascii="Times New Roman" w:hAnsi="Times New Roman"/>
              </w:rPr>
              <w:t>弯头、冷弯管处管沟</w:t>
            </w:r>
          </w:p>
        </w:tc>
        <w:tc>
          <w:tcPr>
            <w:tcW w:w="802" w:type="pct"/>
            <w:gridSpan w:val="2"/>
            <w:vAlign w:val="center"/>
          </w:tcPr>
          <w:p w14:paraId="0DDE513A" w14:textId="77777777" w:rsidR="007D1E74" w:rsidRDefault="00A95641">
            <w:pPr>
              <w:pStyle w:val="affffff2"/>
              <w:rPr>
                <w:rFonts w:ascii="Times New Roman" w:hAnsi="Times New Roman"/>
              </w:rPr>
            </w:pPr>
            <w:r>
              <w:rPr>
                <w:rFonts w:ascii="Times New Roman" w:hAnsi="Times New Roman"/>
              </w:rPr>
              <w:t>土质管沟</w:t>
            </w:r>
          </w:p>
        </w:tc>
        <w:tc>
          <w:tcPr>
            <w:tcW w:w="481" w:type="pct"/>
            <w:vMerge w:val="restart"/>
            <w:vAlign w:val="center"/>
          </w:tcPr>
          <w:p w14:paraId="24DEC5B6" w14:textId="77777777" w:rsidR="007D1E74" w:rsidRDefault="00A95641">
            <w:pPr>
              <w:pStyle w:val="affffff2"/>
              <w:rPr>
                <w:rFonts w:ascii="Times New Roman" w:hAnsi="Times New Roman"/>
              </w:rPr>
            </w:pPr>
            <w:r>
              <w:rPr>
                <w:rFonts w:ascii="Times New Roman" w:hAnsi="Times New Roman"/>
              </w:rPr>
              <w:t>岩石爆破管沟</w:t>
            </w:r>
          </w:p>
        </w:tc>
        <w:tc>
          <w:tcPr>
            <w:tcW w:w="720" w:type="pct"/>
            <w:vMerge/>
            <w:vAlign w:val="center"/>
          </w:tcPr>
          <w:p w14:paraId="11538DF8" w14:textId="77777777" w:rsidR="007D1E74" w:rsidRDefault="007D1E74">
            <w:pPr>
              <w:pStyle w:val="affffff2"/>
              <w:rPr>
                <w:rFonts w:ascii="Times New Roman" w:hAnsi="Times New Roman"/>
              </w:rPr>
            </w:pPr>
          </w:p>
        </w:tc>
        <w:tc>
          <w:tcPr>
            <w:tcW w:w="674" w:type="pct"/>
            <w:vMerge/>
            <w:vAlign w:val="center"/>
          </w:tcPr>
          <w:p w14:paraId="4D7A1512" w14:textId="77777777" w:rsidR="007D1E74" w:rsidRDefault="007D1E74">
            <w:pPr>
              <w:pStyle w:val="affffff2"/>
              <w:rPr>
                <w:rFonts w:ascii="Times New Roman" w:hAnsi="Times New Roman"/>
              </w:rPr>
            </w:pPr>
          </w:p>
        </w:tc>
      </w:tr>
      <w:tr w:rsidR="007D1E74" w14:paraId="008EC1F8" w14:textId="77777777">
        <w:trPr>
          <w:trHeight w:val="283"/>
          <w:jc w:val="center"/>
        </w:trPr>
        <w:tc>
          <w:tcPr>
            <w:tcW w:w="561" w:type="pct"/>
            <w:vMerge/>
            <w:vAlign w:val="center"/>
          </w:tcPr>
          <w:p w14:paraId="60C7C9B1" w14:textId="77777777" w:rsidR="007D1E74" w:rsidRDefault="007D1E74">
            <w:pPr>
              <w:pStyle w:val="affffff2"/>
              <w:rPr>
                <w:rFonts w:ascii="Times New Roman" w:hAnsi="Times New Roman"/>
              </w:rPr>
            </w:pPr>
          </w:p>
        </w:tc>
        <w:tc>
          <w:tcPr>
            <w:tcW w:w="400" w:type="pct"/>
            <w:vAlign w:val="center"/>
          </w:tcPr>
          <w:p w14:paraId="6B917865" w14:textId="77777777" w:rsidR="007D1E74" w:rsidRDefault="00A95641">
            <w:pPr>
              <w:pStyle w:val="affffff2"/>
              <w:rPr>
                <w:rFonts w:ascii="Times New Roman" w:hAnsi="Times New Roman"/>
              </w:rPr>
            </w:pPr>
            <w:r>
              <w:rPr>
                <w:rFonts w:ascii="Times New Roman" w:hAnsi="Times New Roman"/>
              </w:rPr>
              <w:t>沟中有水</w:t>
            </w:r>
          </w:p>
        </w:tc>
        <w:tc>
          <w:tcPr>
            <w:tcW w:w="401" w:type="pct"/>
            <w:vAlign w:val="center"/>
          </w:tcPr>
          <w:p w14:paraId="46C4A683" w14:textId="77777777" w:rsidR="007D1E74" w:rsidRDefault="00A95641">
            <w:pPr>
              <w:pStyle w:val="affffff2"/>
              <w:rPr>
                <w:rFonts w:ascii="Times New Roman" w:hAnsi="Times New Roman"/>
              </w:rPr>
            </w:pPr>
            <w:r>
              <w:rPr>
                <w:rFonts w:ascii="Times New Roman" w:hAnsi="Times New Roman"/>
              </w:rPr>
              <w:t>沟中无水</w:t>
            </w:r>
          </w:p>
        </w:tc>
        <w:tc>
          <w:tcPr>
            <w:tcW w:w="481" w:type="pct"/>
            <w:vMerge/>
            <w:vAlign w:val="center"/>
          </w:tcPr>
          <w:p w14:paraId="0134D81E" w14:textId="77777777" w:rsidR="007D1E74" w:rsidRDefault="007D1E74">
            <w:pPr>
              <w:pStyle w:val="affffff2"/>
              <w:rPr>
                <w:rFonts w:ascii="Times New Roman" w:hAnsi="Times New Roman"/>
              </w:rPr>
            </w:pPr>
          </w:p>
        </w:tc>
        <w:tc>
          <w:tcPr>
            <w:tcW w:w="480" w:type="pct"/>
            <w:vMerge/>
            <w:vAlign w:val="center"/>
          </w:tcPr>
          <w:p w14:paraId="6353B948" w14:textId="77777777" w:rsidR="007D1E74" w:rsidRDefault="007D1E74">
            <w:pPr>
              <w:pStyle w:val="affffff2"/>
              <w:rPr>
                <w:rFonts w:ascii="Times New Roman" w:hAnsi="Times New Roman"/>
              </w:rPr>
            </w:pPr>
          </w:p>
        </w:tc>
        <w:tc>
          <w:tcPr>
            <w:tcW w:w="401" w:type="pct"/>
            <w:vAlign w:val="center"/>
          </w:tcPr>
          <w:p w14:paraId="1DF7FCD1" w14:textId="77777777" w:rsidR="007D1E74" w:rsidRDefault="00A95641">
            <w:pPr>
              <w:pStyle w:val="affffff2"/>
              <w:rPr>
                <w:rFonts w:ascii="Times New Roman" w:hAnsi="Times New Roman"/>
              </w:rPr>
            </w:pPr>
            <w:r>
              <w:rPr>
                <w:rFonts w:ascii="Times New Roman" w:hAnsi="Times New Roman"/>
              </w:rPr>
              <w:t>沟中有水</w:t>
            </w:r>
          </w:p>
        </w:tc>
        <w:tc>
          <w:tcPr>
            <w:tcW w:w="401" w:type="pct"/>
            <w:vAlign w:val="center"/>
          </w:tcPr>
          <w:p w14:paraId="4DAA8DF4" w14:textId="77777777" w:rsidR="007D1E74" w:rsidRDefault="00A95641">
            <w:pPr>
              <w:pStyle w:val="affffff2"/>
              <w:rPr>
                <w:rFonts w:ascii="Times New Roman" w:hAnsi="Times New Roman"/>
              </w:rPr>
            </w:pPr>
            <w:r>
              <w:rPr>
                <w:rFonts w:ascii="Times New Roman" w:hAnsi="Times New Roman"/>
              </w:rPr>
              <w:t>沟中无水</w:t>
            </w:r>
          </w:p>
        </w:tc>
        <w:tc>
          <w:tcPr>
            <w:tcW w:w="481" w:type="pct"/>
            <w:vMerge/>
            <w:vAlign w:val="center"/>
          </w:tcPr>
          <w:p w14:paraId="2314B40A" w14:textId="77777777" w:rsidR="007D1E74" w:rsidRDefault="007D1E74">
            <w:pPr>
              <w:pStyle w:val="affffff2"/>
              <w:rPr>
                <w:rFonts w:ascii="Times New Roman" w:hAnsi="Times New Roman"/>
              </w:rPr>
            </w:pPr>
          </w:p>
        </w:tc>
        <w:tc>
          <w:tcPr>
            <w:tcW w:w="720" w:type="pct"/>
            <w:vMerge/>
            <w:vAlign w:val="center"/>
          </w:tcPr>
          <w:p w14:paraId="6C4BBAC6" w14:textId="77777777" w:rsidR="007D1E74" w:rsidRDefault="007D1E74">
            <w:pPr>
              <w:pStyle w:val="affffff2"/>
              <w:rPr>
                <w:rFonts w:ascii="Times New Roman" w:hAnsi="Times New Roman"/>
              </w:rPr>
            </w:pPr>
          </w:p>
        </w:tc>
        <w:tc>
          <w:tcPr>
            <w:tcW w:w="674" w:type="pct"/>
            <w:vMerge/>
            <w:vAlign w:val="center"/>
          </w:tcPr>
          <w:p w14:paraId="30492149" w14:textId="77777777" w:rsidR="007D1E74" w:rsidRDefault="007D1E74">
            <w:pPr>
              <w:pStyle w:val="affffff2"/>
              <w:rPr>
                <w:rFonts w:ascii="Times New Roman" w:hAnsi="Times New Roman"/>
              </w:rPr>
            </w:pPr>
          </w:p>
        </w:tc>
      </w:tr>
      <w:tr w:rsidR="007D1E74" w14:paraId="24E2729B" w14:textId="77777777">
        <w:trPr>
          <w:trHeight w:val="283"/>
          <w:jc w:val="center"/>
        </w:trPr>
        <w:tc>
          <w:tcPr>
            <w:tcW w:w="561" w:type="pct"/>
            <w:vAlign w:val="center"/>
          </w:tcPr>
          <w:p w14:paraId="7FB3EF67" w14:textId="77777777" w:rsidR="007D1E74" w:rsidRDefault="00A95641">
            <w:pPr>
              <w:pStyle w:val="affffff2"/>
              <w:rPr>
                <w:rFonts w:ascii="Times New Roman" w:hAnsi="Times New Roman"/>
              </w:rPr>
            </w:pPr>
            <w:r>
              <w:rPr>
                <w:rFonts w:ascii="Times New Roman" w:hAnsi="Times New Roman"/>
              </w:rPr>
              <w:t>沟深</w:t>
            </w:r>
            <w:r>
              <w:rPr>
                <w:rFonts w:ascii="Times New Roman" w:hAnsi="Times New Roman"/>
              </w:rPr>
              <w:t>3m</w:t>
            </w:r>
            <w:r>
              <w:rPr>
                <w:rFonts w:ascii="Times New Roman" w:hAnsi="Times New Roman"/>
              </w:rPr>
              <w:t>以内</w:t>
            </w:r>
          </w:p>
        </w:tc>
        <w:tc>
          <w:tcPr>
            <w:tcW w:w="400" w:type="pct"/>
            <w:vAlign w:val="center"/>
          </w:tcPr>
          <w:p w14:paraId="34F437FC" w14:textId="77777777" w:rsidR="007D1E74" w:rsidRDefault="00A95641">
            <w:pPr>
              <w:pStyle w:val="affffff2"/>
              <w:rPr>
                <w:rFonts w:ascii="Times New Roman" w:hAnsi="Times New Roman"/>
              </w:rPr>
            </w:pPr>
            <w:r>
              <w:rPr>
                <w:rFonts w:ascii="Times New Roman" w:hAnsi="Times New Roman"/>
              </w:rPr>
              <w:t>0.7</w:t>
            </w:r>
          </w:p>
        </w:tc>
        <w:tc>
          <w:tcPr>
            <w:tcW w:w="401" w:type="pct"/>
            <w:vAlign w:val="center"/>
          </w:tcPr>
          <w:p w14:paraId="18147D6A" w14:textId="77777777" w:rsidR="007D1E74" w:rsidRDefault="00A95641">
            <w:pPr>
              <w:pStyle w:val="affffff2"/>
              <w:rPr>
                <w:rFonts w:ascii="Times New Roman" w:hAnsi="Times New Roman"/>
              </w:rPr>
            </w:pPr>
            <w:r>
              <w:rPr>
                <w:rFonts w:ascii="Times New Roman" w:hAnsi="Times New Roman"/>
              </w:rPr>
              <w:t>0.5</w:t>
            </w:r>
          </w:p>
        </w:tc>
        <w:tc>
          <w:tcPr>
            <w:tcW w:w="481" w:type="pct"/>
            <w:vAlign w:val="center"/>
          </w:tcPr>
          <w:p w14:paraId="651C0E31" w14:textId="77777777" w:rsidR="007D1E74" w:rsidRDefault="00A95641">
            <w:pPr>
              <w:pStyle w:val="affffff2"/>
              <w:rPr>
                <w:rFonts w:ascii="Times New Roman" w:hAnsi="Times New Roman"/>
              </w:rPr>
            </w:pPr>
            <w:r>
              <w:rPr>
                <w:rFonts w:ascii="Times New Roman" w:hAnsi="Times New Roman"/>
              </w:rPr>
              <w:t>0.9</w:t>
            </w:r>
          </w:p>
        </w:tc>
        <w:tc>
          <w:tcPr>
            <w:tcW w:w="480" w:type="pct"/>
            <w:vAlign w:val="center"/>
          </w:tcPr>
          <w:p w14:paraId="005960F8" w14:textId="77777777" w:rsidR="007D1E74" w:rsidRDefault="00A95641">
            <w:pPr>
              <w:pStyle w:val="affffff2"/>
              <w:rPr>
                <w:rFonts w:ascii="Times New Roman" w:hAnsi="Times New Roman"/>
              </w:rPr>
            </w:pPr>
            <w:r>
              <w:rPr>
                <w:rFonts w:ascii="Times New Roman" w:hAnsi="Times New Roman"/>
              </w:rPr>
              <w:t>1.5</w:t>
            </w:r>
          </w:p>
        </w:tc>
        <w:tc>
          <w:tcPr>
            <w:tcW w:w="401" w:type="pct"/>
            <w:vAlign w:val="center"/>
          </w:tcPr>
          <w:p w14:paraId="7FE9C489" w14:textId="77777777" w:rsidR="007D1E74" w:rsidRDefault="00A95641">
            <w:pPr>
              <w:pStyle w:val="affffff2"/>
              <w:rPr>
                <w:rFonts w:ascii="Times New Roman" w:hAnsi="Times New Roman"/>
              </w:rPr>
            </w:pPr>
            <w:r>
              <w:rPr>
                <w:rFonts w:ascii="Times New Roman" w:hAnsi="Times New Roman"/>
              </w:rPr>
              <w:t>1.0</w:t>
            </w:r>
          </w:p>
        </w:tc>
        <w:tc>
          <w:tcPr>
            <w:tcW w:w="401" w:type="pct"/>
            <w:vAlign w:val="center"/>
          </w:tcPr>
          <w:p w14:paraId="4625AFAF" w14:textId="77777777" w:rsidR="007D1E74" w:rsidRDefault="00A95641">
            <w:pPr>
              <w:pStyle w:val="affffff2"/>
              <w:rPr>
                <w:rFonts w:ascii="Times New Roman" w:hAnsi="Times New Roman"/>
              </w:rPr>
            </w:pPr>
            <w:r>
              <w:rPr>
                <w:rFonts w:ascii="Times New Roman" w:hAnsi="Times New Roman"/>
              </w:rPr>
              <w:t>0.8</w:t>
            </w:r>
          </w:p>
        </w:tc>
        <w:tc>
          <w:tcPr>
            <w:tcW w:w="481" w:type="pct"/>
            <w:vAlign w:val="center"/>
          </w:tcPr>
          <w:p w14:paraId="2ED1B4CD" w14:textId="77777777" w:rsidR="007D1E74" w:rsidRDefault="00A95641">
            <w:pPr>
              <w:pStyle w:val="affffff2"/>
              <w:rPr>
                <w:rFonts w:ascii="Times New Roman" w:hAnsi="Times New Roman"/>
              </w:rPr>
            </w:pPr>
            <w:r>
              <w:rPr>
                <w:rFonts w:ascii="Times New Roman" w:hAnsi="Times New Roman"/>
              </w:rPr>
              <w:t>0.9</w:t>
            </w:r>
          </w:p>
        </w:tc>
        <w:tc>
          <w:tcPr>
            <w:tcW w:w="720" w:type="pct"/>
            <w:vAlign w:val="center"/>
          </w:tcPr>
          <w:p w14:paraId="3E11E959" w14:textId="77777777" w:rsidR="007D1E74" w:rsidRDefault="00A95641">
            <w:pPr>
              <w:pStyle w:val="affffff2"/>
              <w:rPr>
                <w:rFonts w:ascii="Times New Roman" w:hAnsi="Times New Roman"/>
              </w:rPr>
            </w:pPr>
            <w:r>
              <w:rPr>
                <w:rFonts w:ascii="Times New Roman" w:hAnsi="Times New Roman"/>
              </w:rPr>
              <w:t>1.6</w:t>
            </w:r>
          </w:p>
        </w:tc>
        <w:tc>
          <w:tcPr>
            <w:tcW w:w="674" w:type="pct"/>
            <w:vAlign w:val="center"/>
          </w:tcPr>
          <w:p w14:paraId="5031E31B" w14:textId="77777777" w:rsidR="007D1E74" w:rsidRDefault="00A95641">
            <w:pPr>
              <w:pStyle w:val="affffff2"/>
              <w:rPr>
                <w:rFonts w:ascii="Times New Roman" w:hAnsi="Times New Roman"/>
              </w:rPr>
            </w:pPr>
            <w:r>
              <w:rPr>
                <w:rFonts w:ascii="Times New Roman" w:hAnsi="Times New Roman"/>
              </w:rPr>
              <w:t>2.0</w:t>
            </w:r>
          </w:p>
        </w:tc>
      </w:tr>
      <w:tr w:rsidR="007D1E74" w14:paraId="1F5B283A" w14:textId="77777777">
        <w:trPr>
          <w:trHeight w:val="283"/>
          <w:jc w:val="center"/>
        </w:trPr>
        <w:tc>
          <w:tcPr>
            <w:tcW w:w="561" w:type="pct"/>
            <w:vAlign w:val="center"/>
          </w:tcPr>
          <w:p w14:paraId="1E535816" w14:textId="77777777" w:rsidR="007D1E74" w:rsidRDefault="00A95641">
            <w:pPr>
              <w:pStyle w:val="affffff2"/>
              <w:rPr>
                <w:rFonts w:ascii="Times New Roman" w:hAnsi="Times New Roman"/>
              </w:rPr>
            </w:pPr>
            <w:r>
              <w:rPr>
                <w:rFonts w:ascii="Times New Roman" w:hAnsi="Times New Roman"/>
              </w:rPr>
              <w:t>沟深</w:t>
            </w:r>
            <w:r>
              <w:rPr>
                <w:rFonts w:ascii="Times New Roman" w:hAnsi="Times New Roman"/>
              </w:rPr>
              <w:t>3</w:t>
            </w:r>
            <w:r>
              <w:rPr>
                <w:rFonts w:ascii="Times New Roman" w:hAnsi="Times New Roman"/>
              </w:rPr>
              <w:t>～</w:t>
            </w:r>
            <w:r>
              <w:rPr>
                <w:rFonts w:ascii="Times New Roman" w:hAnsi="Times New Roman"/>
              </w:rPr>
              <w:t>5m</w:t>
            </w:r>
          </w:p>
        </w:tc>
        <w:tc>
          <w:tcPr>
            <w:tcW w:w="400" w:type="pct"/>
            <w:vAlign w:val="center"/>
          </w:tcPr>
          <w:p w14:paraId="7E670B2C" w14:textId="77777777" w:rsidR="007D1E74" w:rsidRDefault="00A95641">
            <w:pPr>
              <w:pStyle w:val="affffff2"/>
              <w:rPr>
                <w:rFonts w:ascii="Times New Roman" w:hAnsi="Times New Roman"/>
              </w:rPr>
            </w:pPr>
            <w:r>
              <w:rPr>
                <w:rFonts w:ascii="Times New Roman" w:hAnsi="Times New Roman"/>
              </w:rPr>
              <w:t>0.9</w:t>
            </w:r>
          </w:p>
        </w:tc>
        <w:tc>
          <w:tcPr>
            <w:tcW w:w="401" w:type="pct"/>
            <w:vAlign w:val="center"/>
          </w:tcPr>
          <w:p w14:paraId="52248641" w14:textId="77777777" w:rsidR="007D1E74" w:rsidRDefault="00A95641">
            <w:pPr>
              <w:pStyle w:val="affffff2"/>
              <w:rPr>
                <w:rFonts w:ascii="Times New Roman" w:hAnsi="Times New Roman"/>
              </w:rPr>
            </w:pPr>
            <w:r>
              <w:rPr>
                <w:rFonts w:ascii="Times New Roman" w:hAnsi="Times New Roman"/>
              </w:rPr>
              <w:t>0.7</w:t>
            </w:r>
          </w:p>
        </w:tc>
        <w:tc>
          <w:tcPr>
            <w:tcW w:w="481" w:type="pct"/>
            <w:vAlign w:val="center"/>
          </w:tcPr>
          <w:p w14:paraId="5E3F3B69" w14:textId="77777777" w:rsidR="007D1E74" w:rsidRDefault="00A95641">
            <w:pPr>
              <w:pStyle w:val="affffff2"/>
              <w:rPr>
                <w:rFonts w:ascii="Times New Roman" w:hAnsi="Times New Roman"/>
              </w:rPr>
            </w:pPr>
            <w:r>
              <w:rPr>
                <w:rFonts w:ascii="Times New Roman" w:hAnsi="Times New Roman"/>
              </w:rPr>
              <w:t>1.1</w:t>
            </w:r>
          </w:p>
        </w:tc>
        <w:tc>
          <w:tcPr>
            <w:tcW w:w="480" w:type="pct"/>
            <w:vAlign w:val="center"/>
          </w:tcPr>
          <w:p w14:paraId="3AD71625" w14:textId="77777777" w:rsidR="007D1E74" w:rsidRDefault="00A95641">
            <w:pPr>
              <w:pStyle w:val="affffff2"/>
              <w:rPr>
                <w:rFonts w:ascii="Times New Roman" w:hAnsi="Times New Roman"/>
              </w:rPr>
            </w:pPr>
            <w:r>
              <w:rPr>
                <w:rFonts w:ascii="Times New Roman" w:hAnsi="Times New Roman"/>
              </w:rPr>
              <w:t>1.5</w:t>
            </w:r>
          </w:p>
        </w:tc>
        <w:tc>
          <w:tcPr>
            <w:tcW w:w="401" w:type="pct"/>
            <w:vAlign w:val="center"/>
          </w:tcPr>
          <w:p w14:paraId="68794B9A" w14:textId="77777777" w:rsidR="007D1E74" w:rsidRDefault="00A95641">
            <w:pPr>
              <w:pStyle w:val="affffff2"/>
              <w:rPr>
                <w:rFonts w:ascii="Times New Roman" w:hAnsi="Times New Roman"/>
              </w:rPr>
            </w:pPr>
            <w:r>
              <w:rPr>
                <w:rFonts w:ascii="Times New Roman" w:hAnsi="Times New Roman"/>
              </w:rPr>
              <w:t>1.2</w:t>
            </w:r>
          </w:p>
        </w:tc>
        <w:tc>
          <w:tcPr>
            <w:tcW w:w="401" w:type="pct"/>
            <w:vAlign w:val="center"/>
          </w:tcPr>
          <w:p w14:paraId="10563BB3" w14:textId="77777777" w:rsidR="007D1E74" w:rsidRDefault="00A95641">
            <w:pPr>
              <w:pStyle w:val="affffff2"/>
              <w:rPr>
                <w:rFonts w:ascii="Times New Roman" w:hAnsi="Times New Roman"/>
              </w:rPr>
            </w:pPr>
            <w:r>
              <w:rPr>
                <w:rFonts w:ascii="Times New Roman" w:hAnsi="Times New Roman"/>
              </w:rPr>
              <w:t>1.0</w:t>
            </w:r>
          </w:p>
        </w:tc>
        <w:tc>
          <w:tcPr>
            <w:tcW w:w="481" w:type="pct"/>
            <w:vAlign w:val="center"/>
          </w:tcPr>
          <w:p w14:paraId="573CF2F4" w14:textId="77777777" w:rsidR="007D1E74" w:rsidRDefault="00A95641">
            <w:pPr>
              <w:pStyle w:val="affffff2"/>
              <w:rPr>
                <w:rFonts w:ascii="Times New Roman" w:hAnsi="Times New Roman"/>
              </w:rPr>
            </w:pPr>
            <w:r>
              <w:rPr>
                <w:rFonts w:ascii="Times New Roman" w:hAnsi="Times New Roman"/>
              </w:rPr>
              <w:t>1.1</w:t>
            </w:r>
          </w:p>
        </w:tc>
        <w:tc>
          <w:tcPr>
            <w:tcW w:w="720" w:type="pct"/>
            <w:vAlign w:val="center"/>
          </w:tcPr>
          <w:p w14:paraId="58416BEE" w14:textId="77777777" w:rsidR="007D1E74" w:rsidRDefault="00A95641">
            <w:pPr>
              <w:pStyle w:val="affffff2"/>
              <w:rPr>
                <w:rFonts w:ascii="Times New Roman" w:hAnsi="Times New Roman"/>
              </w:rPr>
            </w:pPr>
            <w:r>
              <w:rPr>
                <w:rFonts w:ascii="Times New Roman" w:hAnsi="Times New Roman"/>
              </w:rPr>
              <w:t>1.6</w:t>
            </w:r>
          </w:p>
        </w:tc>
        <w:tc>
          <w:tcPr>
            <w:tcW w:w="674" w:type="pct"/>
            <w:vAlign w:val="center"/>
          </w:tcPr>
          <w:p w14:paraId="60D67BE0" w14:textId="77777777" w:rsidR="007D1E74" w:rsidRDefault="00A95641">
            <w:pPr>
              <w:pStyle w:val="affffff2"/>
              <w:rPr>
                <w:rFonts w:ascii="Times New Roman" w:hAnsi="Times New Roman"/>
              </w:rPr>
            </w:pPr>
            <w:r>
              <w:rPr>
                <w:rFonts w:ascii="Times New Roman" w:hAnsi="Times New Roman"/>
              </w:rPr>
              <w:t>2.0</w:t>
            </w:r>
          </w:p>
        </w:tc>
      </w:tr>
    </w:tbl>
    <w:p w14:paraId="07230979" w14:textId="77777777" w:rsidR="007D1E74" w:rsidRDefault="00A95641">
      <w:pPr>
        <w:spacing w:line="360" w:lineRule="auto"/>
        <w:ind w:firstLineChars="200" w:firstLine="480"/>
        <w:rPr>
          <w:sz w:val="24"/>
        </w:rPr>
      </w:pPr>
      <w:r>
        <w:rPr>
          <w:sz w:val="24"/>
        </w:rPr>
        <w:t>当管沟深度大于</w:t>
      </w:r>
      <w:r>
        <w:rPr>
          <w:sz w:val="24"/>
        </w:rPr>
        <w:t>5m</w:t>
      </w:r>
      <w:r>
        <w:rPr>
          <w:sz w:val="24"/>
        </w:rPr>
        <w:t>时，应根据土壤类别及物理力学性质确定沟底宽度。</w:t>
      </w:r>
    </w:p>
    <w:p w14:paraId="662F169C" w14:textId="77777777" w:rsidR="007D1E74" w:rsidRDefault="00A95641">
      <w:pPr>
        <w:spacing w:line="360" w:lineRule="auto"/>
        <w:ind w:firstLineChars="200" w:firstLine="480"/>
        <w:rPr>
          <w:sz w:val="24"/>
        </w:rPr>
      </w:pPr>
      <w:r>
        <w:rPr>
          <w:sz w:val="24"/>
        </w:rPr>
        <w:t>（</w:t>
      </w:r>
      <w:r>
        <w:rPr>
          <w:sz w:val="24"/>
        </w:rPr>
        <w:t>5</w:t>
      </w:r>
      <w:r>
        <w:rPr>
          <w:sz w:val="24"/>
        </w:rPr>
        <w:t>）管沟回填</w:t>
      </w:r>
    </w:p>
    <w:p w14:paraId="37834C98" w14:textId="77777777" w:rsidR="007D1E74" w:rsidRDefault="00A95641">
      <w:pPr>
        <w:spacing w:line="360" w:lineRule="auto"/>
        <w:ind w:firstLineChars="200" w:firstLine="480"/>
        <w:rPr>
          <w:sz w:val="24"/>
        </w:rPr>
      </w:pPr>
      <w:r>
        <w:rPr>
          <w:sz w:val="24"/>
        </w:rPr>
        <w:t>岩石、砾石区的管沟，应在沟底先铺设</w:t>
      </w:r>
      <w:r>
        <w:rPr>
          <w:sz w:val="24"/>
        </w:rPr>
        <w:t>0.2m</w:t>
      </w:r>
      <w:r>
        <w:rPr>
          <w:sz w:val="24"/>
        </w:rPr>
        <w:t>厚的细土或细砂垫层且平整后方可管道下沟，对于管沟坡度较大，散土无法固定，细土垫层必须全部用编织袋或草口袋装袋，</w:t>
      </w:r>
      <w:r>
        <w:rPr>
          <w:sz w:val="24"/>
        </w:rPr>
        <w:t xml:space="preserve"> </w:t>
      </w:r>
      <w:r>
        <w:rPr>
          <w:sz w:val="24"/>
        </w:rPr>
        <w:t>由下而上堆码回填，在堆码时必须分层交叉；有空隙的地方，再用散土填充。回填岩石、砾石区的管沟时，必须用细土或砂（最大粒径不超过</w:t>
      </w:r>
      <w:r>
        <w:rPr>
          <w:sz w:val="24"/>
        </w:rPr>
        <w:t>3mm</w:t>
      </w:r>
      <w:r>
        <w:rPr>
          <w:sz w:val="24"/>
        </w:rPr>
        <w:t>）回填至管顶以上</w:t>
      </w:r>
      <w:r>
        <w:rPr>
          <w:sz w:val="24"/>
        </w:rPr>
        <w:t>0.3m</w:t>
      </w:r>
      <w:r>
        <w:rPr>
          <w:sz w:val="24"/>
        </w:rPr>
        <w:t>后，</w:t>
      </w:r>
      <w:r>
        <w:rPr>
          <w:sz w:val="24"/>
        </w:rPr>
        <w:t xml:space="preserve"> </w:t>
      </w:r>
      <w:r>
        <w:rPr>
          <w:sz w:val="24"/>
        </w:rPr>
        <w:t>方可用原土，回填压实，其回填土的岩石和砾石块径不得超过</w:t>
      </w:r>
      <w:r>
        <w:rPr>
          <w:sz w:val="24"/>
        </w:rPr>
        <w:t>100mm</w:t>
      </w:r>
      <w:r>
        <w:rPr>
          <w:sz w:val="24"/>
        </w:rPr>
        <w:t>。管沟回填应留有沉降裕量，一般高出地面</w:t>
      </w:r>
      <w:r>
        <w:rPr>
          <w:sz w:val="24"/>
        </w:rPr>
        <w:t>0.3m</w:t>
      </w:r>
      <w:r>
        <w:rPr>
          <w:sz w:val="24"/>
        </w:rPr>
        <w:t>。管道出土端、弯头两侧非嵌固端及固定墩处，回填土时应分层夯实。管沟回填后，应恢复原地貌，并保护耕植层，防止水土流失和积水。</w:t>
      </w:r>
    </w:p>
    <w:p w14:paraId="431E289A" w14:textId="77777777" w:rsidR="007D1E74" w:rsidRDefault="00A95641">
      <w:pPr>
        <w:spacing w:line="360" w:lineRule="auto"/>
        <w:ind w:firstLineChars="200" w:firstLine="482"/>
        <w:rPr>
          <w:b/>
          <w:bCs/>
          <w:sz w:val="24"/>
        </w:rPr>
      </w:pPr>
      <w:r>
        <w:rPr>
          <w:b/>
          <w:bCs/>
          <w:sz w:val="24"/>
        </w:rPr>
        <w:t>3.2.1.1.3</w:t>
      </w:r>
      <w:r>
        <w:rPr>
          <w:b/>
          <w:bCs/>
          <w:sz w:val="24"/>
        </w:rPr>
        <w:t>大开挖施工</w:t>
      </w:r>
    </w:p>
    <w:p w14:paraId="77087D6D" w14:textId="77777777" w:rsidR="007D1E74" w:rsidRDefault="00A95641">
      <w:pPr>
        <w:spacing w:line="360" w:lineRule="auto"/>
        <w:ind w:firstLineChars="200" w:firstLine="482"/>
        <w:rPr>
          <w:b/>
          <w:bCs/>
          <w:sz w:val="24"/>
        </w:rPr>
      </w:pPr>
      <w:r>
        <w:rPr>
          <w:b/>
          <w:bCs/>
          <w:sz w:val="24"/>
        </w:rPr>
        <w:t>（</w:t>
      </w:r>
      <w:r>
        <w:rPr>
          <w:b/>
          <w:bCs/>
          <w:sz w:val="24"/>
        </w:rPr>
        <w:t>1</w:t>
      </w:r>
      <w:r>
        <w:rPr>
          <w:b/>
          <w:bCs/>
          <w:sz w:val="24"/>
        </w:rPr>
        <w:t>）陆地大开挖施工</w:t>
      </w:r>
    </w:p>
    <w:p w14:paraId="1BC0A481" w14:textId="77777777" w:rsidR="007D1E74" w:rsidRDefault="00A95641">
      <w:pPr>
        <w:spacing w:line="360" w:lineRule="auto"/>
        <w:ind w:firstLineChars="200" w:firstLine="480"/>
        <w:rPr>
          <w:sz w:val="24"/>
        </w:rPr>
      </w:pPr>
      <w:r>
        <w:rPr>
          <w:sz w:val="24"/>
        </w:rPr>
        <w:lastRenderedPageBreak/>
        <w:t>本项目管道穿越耕地、林地等地段时均采取大开挖方式施工，管道安装完毕后，立即按原貌恢复地面和路面，采用大开挖方式不设保护套管。</w:t>
      </w:r>
    </w:p>
    <w:p w14:paraId="48739D8A" w14:textId="77777777" w:rsidR="007D1E74" w:rsidRDefault="00A95641">
      <w:pPr>
        <w:spacing w:line="360" w:lineRule="auto"/>
        <w:ind w:firstLineChars="200" w:firstLine="480"/>
        <w:rPr>
          <w:sz w:val="24"/>
        </w:rPr>
      </w:pPr>
      <w:r>
        <w:rPr>
          <w:sz w:val="24"/>
        </w:rPr>
        <w:t>本项目集输管线采用埋地敷设。机械开挖时，管沟边坡土壤结构不得被搅动或破坏。管沟开挖土石方堆放于管沟一侧，另一侧为施工场地。为有效保护耕作层，要求采取分层开挖，分层堆放，分层回填的原则。采用细土垫实超挖部分，以保护管道外防腐层，</w:t>
      </w:r>
      <w:r>
        <w:rPr>
          <w:sz w:val="24"/>
        </w:rPr>
        <w:t xml:space="preserve"> </w:t>
      </w:r>
      <w:r>
        <w:rPr>
          <w:sz w:val="24"/>
        </w:rPr>
        <w:t>多余土方就近平整。</w:t>
      </w:r>
    </w:p>
    <w:p w14:paraId="166F8536" w14:textId="77777777" w:rsidR="007D1E74" w:rsidRDefault="00A95641">
      <w:pPr>
        <w:spacing w:line="360" w:lineRule="auto"/>
        <w:ind w:firstLineChars="200" w:firstLine="480"/>
        <w:rPr>
          <w:sz w:val="24"/>
        </w:rPr>
      </w:pPr>
      <w:r>
        <w:rPr>
          <w:sz w:val="24"/>
        </w:rPr>
        <w:t>一般地段管道开挖作业示意图见下图。</w:t>
      </w:r>
    </w:p>
    <w:p w14:paraId="4F56266F" w14:textId="77777777" w:rsidR="007D1E74" w:rsidRDefault="00A95641">
      <w:pPr>
        <w:pStyle w:val="affe"/>
        <w:ind w:left="345"/>
        <w:rPr>
          <w:rFonts w:ascii="Times New Roman" w:hAnsi="Times New Roman"/>
          <w:sz w:val="20"/>
        </w:rPr>
      </w:pPr>
      <w:r>
        <w:rPr>
          <w:rFonts w:ascii="Times New Roman" w:hAnsi="Times New Roman"/>
          <w:noProof/>
        </w:rPr>
        <mc:AlternateContent>
          <mc:Choice Requires="wpg">
            <w:drawing>
              <wp:inline distT="0" distB="0" distL="0" distR="0" wp14:anchorId="5C3A07EC" wp14:editId="394EC5DF">
                <wp:extent cx="5520690" cy="2908300"/>
                <wp:effectExtent l="0" t="0" r="11430" b="2540"/>
                <wp:docPr id="36" name="组合 159"/>
                <wp:cNvGraphicFramePr/>
                <a:graphic xmlns:a="http://schemas.openxmlformats.org/drawingml/2006/main">
                  <a:graphicData uri="http://schemas.microsoft.com/office/word/2010/wordprocessingGroup">
                    <wpg:wgp>
                      <wpg:cNvGrpSpPr/>
                      <wpg:grpSpPr>
                        <a:xfrm>
                          <a:off x="0" y="0"/>
                          <a:ext cx="5520690" cy="2908300"/>
                          <a:chOff x="0" y="0"/>
                          <a:chExt cx="8694" cy="4580"/>
                        </a:xfrm>
                      </wpg:grpSpPr>
                      <pic:pic xmlns:pic="http://schemas.openxmlformats.org/drawingml/2006/picture">
                        <pic:nvPicPr>
                          <pic:cNvPr id="37" name="图片 16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8694" cy="4343"/>
                          </a:xfrm>
                          <a:prstGeom prst="rect">
                            <a:avLst/>
                          </a:prstGeom>
                          <a:noFill/>
                        </pic:spPr>
                      </pic:pic>
                      <wps:wsp>
                        <wps:cNvPr id="38" name="直线 161"/>
                        <wps:cNvCnPr>
                          <a:cxnSpLocks noChangeShapeType="1"/>
                        </wps:cNvCnPr>
                        <wps:spPr bwMode="auto">
                          <a:xfrm>
                            <a:off x="2772" y="4195"/>
                            <a:ext cx="0" cy="262"/>
                          </a:xfrm>
                          <a:prstGeom prst="line">
                            <a:avLst/>
                          </a:prstGeom>
                          <a:noFill/>
                          <a:ln w="6350">
                            <a:solidFill>
                              <a:srgbClr val="000000"/>
                            </a:solidFill>
                            <a:round/>
                          </a:ln>
                        </wps:spPr>
                        <wps:bodyPr/>
                      </wps:wsp>
                      <wps:wsp>
                        <wps:cNvPr id="39" name="直线 162"/>
                        <wps:cNvCnPr>
                          <a:cxnSpLocks noChangeShapeType="1"/>
                        </wps:cNvCnPr>
                        <wps:spPr bwMode="auto">
                          <a:xfrm>
                            <a:off x="3963" y="4195"/>
                            <a:ext cx="0" cy="262"/>
                          </a:xfrm>
                          <a:prstGeom prst="line">
                            <a:avLst/>
                          </a:prstGeom>
                          <a:noFill/>
                          <a:ln w="6350">
                            <a:solidFill>
                              <a:srgbClr val="000000"/>
                            </a:solidFill>
                            <a:round/>
                          </a:ln>
                        </wps:spPr>
                        <wps:bodyPr/>
                      </wps:wsp>
                      <wps:wsp>
                        <wps:cNvPr id="40" name="直线 163"/>
                        <wps:cNvCnPr>
                          <a:cxnSpLocks noChangeShapeType="1"/>
                        </wps:cNvCnPr>
                        <wps:spPr bwMode="auto">
                          <a:xfrm>
                            <a:off x="8265" y="4195"/>
                            <a:ext cx="0" cy="262"/>
                          </a:xfrm>
                          <a:prstGeom prst="line">
                            <a:avLst/>
                          </a:prstGeom>
                          <a:noFill/>
                          <a:ln w="6350">
                            <a:solidFill>
                              <a:srgbClr val="000000"/>
                            </a:solidFill>
                            <a:round/>
                          </a:ln>
                        </wps:spPr>
                        <wps:bodyPr/>
                      </wps:wsp>
                      <wps:wsp>
                        <wps:cNvPr id="41" name="直线 164"/>
                        <wps:cNvCnPr>
                          <a:cxnSpLocks noChangeShapeType="1"/>
                        </wps:cNvCnPr>
                        <wps:spPr bwMode="auto">
                          <a:xfrm>
                            <a:off x="879" y="4195"/>
                            <a:ext cx="0" cy="261"/>
                          </a:xfrm>
                          <a:prstGeom prst="line">
                            <a:avLst/>
                          </a:prstGeom>
                          <a:noFill/>
                          <a:ln w="6350">
                            <a:solidFill>
                              <a:srgbClr val="000000"/>
                            </a:solidFill>
                            <a:round/>
                          </a:ln>
                        </wps:spPr>
                        <wps:bodyPr/>
                      </wps:wsp>
                      <wps:wsp>
                        <wps:cNvPr id="42" name="任意多边形 165"/>
                        <wps:cNvSpPr/>
                        <wps:spPr bwMode="auto">
                          <a:xfrm>
                            <a:off x="877" y="4252"/>
                            <a:ext cx="1889" cy="120"/>
                          </a:xfrm>
                          <a:custGeom>
                            <a:avLst/>
                            <a:gdLst>
                              <a:gd name="T0" fmla="*/ 120 w 1889"/>
                              <a:gd name="T1" fmla="*/ 0 h 120"/>
                              <a:gd name="T2" fmla="*/ 0 w 1889"/>
                              <a:gd name="T3" fmla="*/ 60 h 120"/>
                              <a:gd name="T4" fmla="*/ 120 w 1889"/>
                              <a:gd name="T5" fmla="*/ 120 h 120"/>
                              <a:gd name="T6" fmla="*/ 120 w 1889"/>
                              <a:gd name="T7" fmla="*/ 65 h 120"/>
                              <a:gd name="T8" fmla="*/ 100 w 1889"/>
                              <a:gd name="T9" fmla="*/ 65 h 120"/>
                              <a:gd name="T10" fmla="*/ 100 w 1889"/>
                              <a:gd name="T11" fmla="*/ 55 h 120"/>
                              <a:gd name="T12" fmla="*/ 120 w 1889"/>
                              <a:gd name="T13" fmla="*/ 55 h 120"/>
                              <a:gd name="T14" fmla="*/ 120 w 1889"/>
                              <a:gd name="T15" fmla="*/ 0 h 120"/>
                              <a:gd name="T16" fmla="*/ 1769 w 1889"/>
                              <a:gd name="T17" fmla="*/ 0 h 120"/>
                              <a:gd name="T18" fmla="*/ 1769 w 1889"/>
                              <a:gd name="T19" fmla="*/ 120 h 120"/>
                              <a:gd name="T20" fmla="*/ 1879 w 1889"/>
                              <a:gd name="T21" fmla="*/ 65 h 120"/>
                              <a:gd name="T22" fmla="*/ 1789 w 1889"/>
                              <a:gd name="T23" fmla="*/ 65 h 120"/>
                              <a:gd name="T24" fmla="*/ 1789 w 1889"/>
                              <a:gd name="T25" fmla="*/ 55 h 120"/>
                              <a:gd name="T26" fmla="*/ 1879 w 1889"/>
                              <a:gd name="T27" fmla="*/ 55 h 120"/>
                              <a:gd name="T28" fmla="*/ 1769 w 1889"/>
                              <a:gd name="T29" fmla="*/ 0 h 120"/>
                              <a:gd name="T30" fmla="*/ 120 w 1889"/>
                              <a:gd name="T31" fmla="*/ 55 h 120"/>
                              <a:gd name="T32" fmla="*/ 100 w 1889"/>
                              <a:gd name="T33" fmla="*/ 55 h 120"/>
                              <a:gd name="T34" fmla="*/ 100 w 1889"/>
                              <a:gd name="T35" fmla="*/ 65 h 120"/>
                              <a:gd name="T36" fmla="*/ 120 w 1889"/>
                              <a:gd name="T37" fmla="*/ 65 h 120"/>
                              <a:gd name="T38" fmla="*/ 120 w 1889"/>
                              <a:gd name="T39" fmla="*/ 55 h 120"/>
                              <a:gd name="T40" fmla="*/ 1769 w 1889"/>
                              <a:gd name="T41" fmla="*/ 55 h 120"/>
                              <a:gd name="T42" fmla="*/ 120 w 1889"/>
                              <a:gd name="T43" fmla="*/ 55 h 120"/>
                              <a:gd name="T44" fmla="*/ 120 w 1889"/>
                              <a:gd name="T45" fmla="*/ 65 h 120"/>
                              <a:gd name="T46" fmla="*/ 1769 w 1889"/>
                              <a:gd name="T47" fmla="*/ 65 h 120"/>
                              <a:gd name="T48" fmla="*/ 1769 w 1889"/>
                              <a:gd name="T49" fmla="*/ 55 h 120"/>
                              <a:gd name="T50" fmla="*/ 1879 w 1889"/>
                              <a:gd name="T51" fmla="*/ 55 h 120"/>
                              <a:gd name="T52" fmla="*/ 1789 w 1889"/>
                              <a:gd name="T53" fmla="*/ 55 h 120"/>
                              <a:gd name="T54" fmla="*/ 1789 w 1889"/>
                              <a:gd name="T55" fmla="*/ 65 h 120"/>
                              <a:gd name="T56" fmla="*/ 1879 w 1889"/>
                              <a:gd name="T57" fmla="*/ 65 h 120"/>
                              <a:gd name="T58" fmla="*/ 1889 w 1889"/>
                              <a:gd name="T59" fmla="*/ 60 h 120"/>
                              <a:gd name="T60" fmla="*/ 1879 w 1889"/>
                              <a:gd name="T61" fmla="*/ 55 h 120"/>
                              <a:gd name="T62" fmla="*/ 0 w 1889"/>
                              <a:gd name="T63" fmla="*/ 0 h 120"/>
                              <a:gd name="T64" fmla="*/ 1889 w 1889"/>
                              <a:gd name="T65" fmla="*/ 120 h 1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T62" t="T63" r="T64" b="T65"/>
                            <a:pathLst>
                              <a:path w="1889" h="120">
                                <a:moveTo>
                                  <a:pt x="120" y="0"/>
                                </a:moveTo>
                                <a:lnTo>
                                  <a:pt x="0" y="60"/>
                                </a:lnTo>
                                <a:lnTo>
                                  <a:pt x="120" y="120"/>
                                </a:lnTo>
                                <a:lnTo>
                                  <a:pt x="120" y="65"/>
                                </a:lnTo>
                                <a:lnTo>
                                  <a:pt x="100" y="65"/>
                                </a:lnTo>
                                <a:lnTo>
                                  <a:pt x="100" y="55"/>
                                </a:lnTo>
                                <a:lnTo>
                                  <a:pt x="120" y="55"/>
                                </a:lnTo>
                                <a:lnTo>
                                  <a:pt x="120" y="0"/>
                                </a:lnTo>
                                <a:close/>
                                <a:moveTo>
                                  <a:pt x="1769" y="0"/>
                                </a:moveTo>
                                <a:lnTo>
                                  <a:pt x="1769" y="120"/>
                                </a:lnTo>
                                <a:lnTo>
                                  <a:pt x="1879" y="65"/>
                                </a:lnTo>
                                <a:lnTo>
                                  <a:pt x="1789" y="65"/>
                                </a:lnTo>
                                <a:lnTo>
                                  <a:pt x="1789" y="55"/>
                                </a:lnTo>
                                <a:lnTo>
                                  <a:pt x="1879" y="55"/>
                                </a:lnTo>
                                <a:lnTo>
                                  <a:pt x="1769" y="0"/>
                                </a:lnTo>
                                <a:close/>
                                <a:moveTo>
                                  <a:pt x="120" y="55"/>
                                </a:moveTo>
                                <a:lnTo>
                                  <a:pt x="100" y="55"/>
                                </a:lnTo>
                                <a:lnTo>
                                  <a:pt x="100" y="65"/>
                                </a:lnTo>
                                <a:lnTo>
                                  <a:pt x="120" y="65"/>
                                </a:lnTo>
                                <a:lnTo>
                                  <a:pt x="120" y="55"/>
                                </a:lnTo>
                                <a:close/>
                                <a:moveTo>
                                  <a:pt x="1769" y="55"/>
                                </a:moveTo>
                                <a:lnTo>
                                  <a:pt x="120" y="55"/>
                                </a:lnTo>
                                <a:lnTo>
                                  <a:pt x="120" y="65"/>
                                </a:lnTo>
                                <a:lnTo>
                                  <a:pt x="1769" y="65"/>
                                </a:lnTo>
                                <a:lnTo>
                                  <a:pt x="1769" y="55"/>
                                </a:lnTo>
                                <a:close/>
                                <a:moveTo>
                                  <a:pt x="1879" y="55"/>
                                </a:moveTo>
                                <a:lnTo>
                                  <a:pt x="1789" y="55"/>
                                </a:lnTo>
                                <a:lnTo>
                                  <a:pt x="1789" y="65"/>
                                </a:lnTo>
                                <a:lnTo>
                                  <a:pt x="1879" y="65"/>
                                </a:lnTo>
                                <a:lnTo>
                                  <a:pt x="1889" y="60"/>
                                </a:lnTo>
                                <a:lnTo>
                                  <a:pt x="1879" y="55"/>
                                </a:lnTo>
                                <a:close/>
                              </a:path>
                            </a:pathLst>
                          </a:custGeom>
                          <a:solidFill>
                            <a:srgbClr val="000000"/>
                          </a:solidFill>
                          <a:ln>
                            <a:noFill/>
                          </a:ln>
                        </wps:spPr>
                        <wps:bodyPr rot="0" vert="horz" wrap="square" lIns="91440" tIns="45720" rIns="91440" bIns="45720" anchor="t" anchorCtr="0" upright="1">
                          <a:noAutofit/>
                        </wps:bodyPr>
                      </wps:wsp>
                      <wps:wsp>
                        <wps:cNvPr id="43" name="任意多边形 166"/>
                        <wps:cNvSpPr/>
                        <wps:spPr bwMode="auto">
                          <a:xfrm>
                            <a:off x="2792" y="4269"/>
                            <a:ext cx="1182" cy="120"/>
                          </a:xfrm>
                          <a:custGeom>
                            <a:avLst/>
                            <a:gdLst>
                              <a:gd name="T0" fmla="*/ 120 w 1182"/>
                              <a:gd name="T1" fmla="*/ 0 h 120"/>
                              <a:gd name="T2" fmla="*/ 0 w 1182"/>
                              <a:gd name="T3" fmla="*/ 60 h 120"/>
                              <a:gd name="T4" fmla="*/ 120 w 1182"/>
                              <a:gd name="T5" fmla="*/ 120 h 120"/>
                              <a:gd name="T6" fmla="*/ 120 w 1182"/>
                              <a:gd name="T7" fmla="*/ 65 h 120"/>
                              <a:gd name="T8" fmla="*/ 100 w 1182"/>
                              <a:gd name="T9" fmla="*/ 65 h 120"/>
                              <a:gd name="T10" fmla="*/ 100 w 1182"/>
                              <a:gd name="T11" fmla="*/ 55 h 120"/>
                              <a:gd name="T12" fmla="*/ 120 w 1182"/>
                              <a:gd name="T13" fmla="*/ 55 h 120"/>
                              <a:gd name="T14" fmla="*/ 120 w 1182"/>
                              <a:gd name="T15" fmla="*/ 0 h 120"/>
                              <a:gd name="T16" fmla="*/ 1062 w 1182"/>
                              <a:gd name="T17" fmla="*/ 0 h 120"/>
                              <a:gd name="T18" fmla="*/ 1062 w 1182"/>
                              <a:gd name="T19" fmla="*/ 120 h 120"/>
                              <a:gd name="T20" fmla="*/ 1172 w 1182"/>
                              <a:gd name="T21" fmla="*/ 65 h 120"/>
                              <a:gd name="T22" fmla="*/ 1082 w 1182"/>
                              <a:gd name="T23" fmla="*/ 65 h 120"/>
                              <a:gd name="T24" fmla="*/ 1082 w 1182"/>
                              <a:gd name="T25" fmla="*/ 55 h 120"/>
                              <a:gd name="T26" fmla="*/ 1172 w 1182"/>
                              <a:gd name="T27" fmla="*/ 55 h 120"/>
                              <a:gd name="T28" fmla="*/ 1062 w 1182"/>
                              <a:gd name="T29" fmla="*/ 0 h 120"/>
                              <a:gd name="T30" fmla="*/ 120 w 1182"/>
                              <a:gd name="T31" fmla="*/ 55 h 120"/>
                              <a:gd name="T32" fmla="*/ 100 w 1182"/>
                              <a:gd name="T33" fmla="*/ 55 h 120"/>
                              <a:gd name="T34" fmla="*/ 100 w 1182"/>
                              <a:gd name="T35" fmla="*/ 65 h 120"/>
                              <a:gd name="T36" fmla="*/ 120 w 1182"/>
                              <a:gd name="T37" fmla="*/ 65 h 120"/>
                              <a:gd name="T38" fmla="*/ 120 w 1182"/>
                              <a:gd name="T39" fmla="*/ 55 h 120"/>
                              <a:gd name="T40" fmla="*/ 1062 w 1182"/>
                              <a:gd name="T41" fmla="*/ 55 h 120"/>
                              <a:gd name="T42" fmla="*/ 120 w 1182"/>
                              <a:gd name="T43" fmla="*/ 55 h 120"/>
                              <a:gd name="T44" fmla="*/ 120 w 1182"/>
                              <a:gd name="T45" fmla="*/ 65 h 120"/>
                              <a:gd name="T46" fmla="*/ 1062 w 1182"/>
                              <a:gd name="T47" fmla="*/ 65 h 120"/>
                              <a:gd name="T48" fmla="*/ 1062 w 1182"/>
                              <a:gd name="T49" fmla="*/ 55 h 120"/>
                              <a:gd name="T50" fmla="*/ 1172 w 1182"/>
                              <a:gd name="T51" fmla="*/ 55 h 120"/>
                              <a:gd name="T52" fmla="*/ 1082 w 1182"/>
                              <a:gd name="T53" fmla="*/ 55 h 120"/>
                              <a:gd name="T54" fmla="*/ 1082 w 1182"/>
                              <a:gd name="T55" fmla="*/ 65 h 120"/>
                              <a:gd name="T56" fmla="*/ 1172 w 1182"/>
                              <a:gd name="T57" fmla="*/ 65 h 120"/>
                              <a:gd name="T58" fmla="*/ 1182 w 1182"/>
                              <a:gd name="T59" fmla="*/ 60 h 120"/>
                              <a:gd name="T60" fmla="*/ 1172 w 1182"/>
                              <a:gd name="T61" fmla="*/ 55 h 120"/>
                              <a:gd name="T62" fmla="*/ 0 w 1182"/>
                              <a:gd name="T63" fmla="*/ 0 h 120"/>
                              <a:gd name="T64" fmla="*/ 1182 w 1182"/>
                              <a:gd name="T65" fmla="*/ 120 h 1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T62" t="T63" r="T64" b="T65"/>
                            <a:pathLst>
                              <a:path w="1182" h="120">
                                <a:moveTo>
                                  <a:pt x="120" y="0"/>
                                </a:moveTo>
                                <a:lnTo>
                                  <a:pt x="0" y="60"/>
                                </a:lnTo>
                                <a:lnTo>
                                  <a:pt x="120" y="120"/>
                                </a:lnTo>
                                <a:lnTo>
                                  <a:pt x="120" y="65"/>
                                </a:lnTo>
                                <a:lnTo>
                                  <a:pt x="100" y="65"/>
                                </a:lnTo>
                                <a:lnTo>
                                  <a:pt x="100" y="55"/>
                                </a:lnTo>
                                <a:lnTo>
                                  <a:pt x="120" y="55"/>
                                </a:lnTo>
                                <a:lnTo>
                                  <a:pt x="120" y="0"/>
                                </a:lnTo>
                                <a:close/>
                                <a:moveTo>
                                  <a:pt x="1062" y="0"/>
                                </a:moveTo>
                                <a:lnTo>
                                  <a:pt x="1062" y="120"/>
                                </a:lnTo>
                                <a:lnTo>
                                  <a:pt x="1172" y="65"/>
                                </a:lnTo>
                                <a:lnTo>
                                  <a:pt x="1082" y="65"/>
                                </a:lnTo>
                                <a:lnTo>
                                  <a:pt x="1082" y="55"/>
                                </a:lnTo>
                                <a:lnTo>
                                  <a:pt x="1172" y="55"/>
                                </a:lnTo>
                                <a:lnTo>
                                  <a:pt x="1062" y="0"/>
                                </a:lnTo>
                                <a:close/>
                                <a:moveTo>
                                  <a:pt x="120" y="55"/>
                                </a:moveTo>
                                <a:lnTo>
                                  <a:pt x="100" y="55"/>
                                </a:lnTo>
                                <a:lnTo>
                                  <a:pt x="100" y="65"/>
                                </a:lnTo>
                                <a:lnTo>
                                  <a:pt x="120" y="65"/>
                                </a:lnTo>
                                <a:lnTo>
                                  <a:pt x="120" y="55"/>
                                </a:lnTo>
                                <a:close/>
                                <a:moveTo>
                                  <a:pt x="1062" y="55"/>
                                </a:moveTo>
                                <a:lnTo>
                                  <a:pt x="120" y="55"/>
                                </a:lnTo>
                                <a:lnTo>
                                  <a:pt x="120" y="65"/>
                                </a:lnTo>
                                <a:lnTo>
                                  <a:pt x="1062" y="65"/>
                                </a:lnTo>
                                <a:lnTo>
                                  <a:pt x="1062" y="55"/>
                                </a:lnTo>
                                <a:close/>
                                <a:moveTo>
                                  <a:pt x="1172" y="55"/>
                                </a:moveTo>
                                <a:lnTo>
                                  <a:pt x="1082" y="55"/>
                                </a:lnTo>
                                <a:lnTo>
                                  <a:pt x="1082" y="65"/>
                                </a:lnTo>
                                <a:lnTo>
                                  <a:pt x="1172" y="65"/>
                                </a:lnTo>
                                <a:lnTo>
                                  <a:pt x="1182" y="60"/>
                                </a:lnTo>
                                <a:lnTo>
                                  <a:pt x="1172" y="55"/>
                                </a:lnTo>
                                <a:close/>
                              </a:path>
                            </a:pathLst>
                          </a:custGeom>
                          <a:solidFill>
                            <a:srgbClr val="000000"/>
                          </a:solidFill>
                          <a:ln>
                            <a:noFill/>
                          </a:ln>
                        </wps:spPr>
                        <wps:bodyPr rot="0" vert="horz" wrap="square" lIns="91440" tIns="45720" rIns="91440" bIns="45720" anchor="t" anchorCtr="0" upright="1">
                          <a:noAutofit/>
                        </wps:bodyPr>
                      </wps:wsp>
                      <wps:wsp>
                        <wps:cNvPr id="45" name="矩形 167"/>
                        <wps:cNvSpPr>
                          <a:spLocks noChangeArrowheads="1"/>
                        </wps:cNvSpPr>
                        <wps:spPr bwMode="auto">
                          <a:xfrm>
                            <a:off x="1470" y="4077"/>
                            <a:ext cx="615" cy="450"/>
                          </a:xfrm>
                          <a:prstGeom prst="rect">
                            <a:avLst/>
                          </a:prstGeom>
                          <a:solidFill>
                            <a:srgbClr val="FFFFFF"/>
                          </a:solidFill>
                          <a:ln>
                            <a:noFill/>
                          </a:ln>
                        </wps:spPr>
                        <wps:bodyPr rot="0" vert="horz" wrap="square" lIns="91440" tIns="45720" rIns="91440" bIns="45720" anchor="t" anchorCtr="0" upright="1">
                          <a:noAutofit/>
                        </wps:bodyPr>
                      </wps:wsp>
                      <wps:wsp>
                        <wps:cNvPr id="46" name="任意多边形 168"/>
                        <wps:cNvSpPr/>
                        <wps:spPr bwMode="auto">
                          <a:xfrm>
                            <a:off x="3982" y="4285"/>
                            <a:ext cx="4295" cy="120"/>
                          </a:xfrm>
                          <a:custGeom>
                            <a:avLst/>
                            <a:gdLst>
                              <a:gd name="T0" fmla="*/ 120 w 4295"/>
                              <a:gd name="T1" fmla="*/ 0 h 120"/>
                              <a:gd name="T2" fmla="*/ 0 w 4295"/>
                              <a:gd name="T3" fmla="*/ 60 h 120"/>
                              <a:gd name="T4" fmla="*/ 120 w 4295"/>
                              <a:gd name="T5" fmla="*/ 120 h 120"/>
                              <a:gd name="T6" fmla="*/ 120 w 4295"/>
                              <a:gd name="T7" fmla="*/ 65 h 120"/>
                              <a:gd name="T8" fmla="*/ 100 w 4295"/>
                              <a:gd name="T9" fmla="*/ 65 h 120"/>
                              <a:gd name="T10" fmla="*/ 100 w 4295"/>
                              <a:gd name="T11" fmla="*/ 55 h 120"/>
                              <a:gd name="T12" fmla="*/ 120 w 4295"/>
                              <a:gd name="T13" fmla="*/ 55 h 120"/>
                              <a:gd name="T14" fmla="*/ 120 w 4295"/>
                              <a:gd name="T15" fmla="*/ 0 h 120"/>
                              <a:gd name="T16" fmla="*/ 4175 w 4295"/>
                              <a:gd name="T17" fmla="*/ 0 h 120"/>
                              <a:gd name="T18" fmla="*/ 4175 w 4295"/>
                              <a:gd name="T19" fmla="*/ 120 h 120"/>
                              <a:gd name="T20" fmla="*/ 4285 w 4295"/>
                              <a:gd name="T21" fmla="*/ 65 h 120"/>
                              <a:gd name="T22" fmla="*/ 4195 w 4295"/>
                              <a:gd name="T23" fmla="*/ 65 h 120"/>
                              <a:gd name="T24" fmla="*/ 4195 w 4295"/>
                              <a:gd name="T25" fmla="*/ 55 h 120"/>
                              <a:gd name="T26" fmla="*/ 4285 w 4295"/>
                              <a:gd name="T27" fmla="*/ 55 h 120"/>
                              <a:gd name="T28" fmla="*/ 4175 w 4295"/>
                              <a:gd name="T29" fmla="*/ 0 h 120"/>
                              <a:gd name="T30" fmla="*/ 120 w 4295"/>
                              <a:gd name="T31" fmla="*/ 55 h 120"/>
                              <a:gd name="T32" fmla="*/ 100 w 4295"/>
                              <a:gd name="T33" fmla="*/ 55 h 120"/>
                              <a:gd name="T34" fmla="*/ 100 w 4295"/>
                              <a:gd name="T35" fmla="*/ 65 h 120"/>
                              <a:gd name="T36" fmla="*/ 120 w 4295"/>
                              <a:gd name="T37" fmla="*/ 65 h 120"/>
                              <a:gd name="T38" fmla="*/ 120 w 4295"/>
                              <a:gd name="T39" fmla="*/ 55 h 120"/>
                              <a:gd name="T40" fmla="*/ 4175 w 4295"/>
                              <a:gd name="T41" fmla="*/ 55 h 120"/>
                              <a:gd name="T42" fmla="*/ 120 w 4295"/>
                              <a:gd name="T43" fmla="*/ 55 h 120"/>
                              <a:gd name="T44" fmla="*/ 120 w 4295"/>
                              <a:gd name="T45" fmla="*/ 65 h 120"/>
                              <a:gd name="T46" fmla="*/ 4175 w 4295"/>
                              <a:gd name="T47" fmla="*/ 65 h 120"/>
                              <a:gd name="T48" fmla="*/ 4175 w 4295"/>
                              <a:gd name="T49" fmla="*/ 55 h 120"/>
                              <a:gd name="T50" fmla="*/ 4285 w 4295"/>
                              <a:gd name="T51" fmla="*/ 55 h 120"/>
                              <a:gd name="T52" fmla="*/ 4195 w 4295"/>
                              <a:gd name="T53" fmla="*/ 55 h 120"/>
                              <a:gd name="T54" fmla="*/ 4195 w 4295"/>
                              <a:gd name="T55" fmla="*/ 65 h 120"/>
                              <a:gd name="T56" fmla="*/ 4285 w 4295"/>
                              <a:gd name="T57" fmla="*/ 65 h 120"/>
                              <a:gd name="T58" fmla="*/ 4295 w 4295"/>
                              <a:gd name="T59" fmla="*/ 60 h 120"/>
                              <a:gd name="T60" fmla="*/ 4285 w 4295"/>
                              <a:gd name="T61" fmla="*/ 55 h 120"/>
                              <a:gd name="T62" fmla="*/ 0 w 4295"/>
                              <a:gd name="T63" fmla="*/ 0 h 120"/>
                              <a:gd name="T64" fmla="*/ 4295 w 4295"/>
                              <a:gd name="T65" fmla="*/ 120 h 1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T62" t="T63" r="T64" b="T65"/>
                            <a:pathLst>
                              <a:path w="4295" h="120">
                                <a:moveTo>
                                  <a:pt x="120" y="0"/>
                                </a:moveTo>
                                <a:lnTo>
                                  <a:pt x="0" y="60"/>
                                </a:lnTo>
                                <a:lnTo>
                                  <a:pt x="120" y="120"/>
                                </a:lnTo>
                                <a:lnTo>
                                  <a:pt x="120" y="65"/>
                                </a:lnTo>
                                <a:lnTo>
                                  <a:pt x="100" y="65"/>
                                </a:lnTo>
                                <a:lnTo>
                                  <a:pt x="100" y="55"/>
                                </a:lnTo>
                                <a:lnTo>
                                  <a:pt x="120" y="55"/>
                                </a:lnTo>
                                <a:lnTo>
                                  <a:pt x="120" y="0"/>
                                </a:lnTo>
                                <a:close/>
                                <a:moveTo>
                                  <a:pt x="4175" y="0"/>
                                </a:moveTo>
                                <a:lnTo>
                                  <a:pt x="4175" y="120"/>
                                </a:lnTo>
                                <a:lnTo>
                                  <a:pt x="4285" y="65"/>
                                </a:lnTo>
                                <a:lnTo>
                                  <a:pt x="4195" y="65"/>
                                </a:lnTo>
                                <a:lnTo>
                                  <a:pt x="4195" y="55"/>
                                </a:lnTo>
                                <a:lnTo>
                                  <a:pt x="4285" y="55"/>
                                </a:lnTo>
                                <a:lnTo>
                                  <a:pt x="4175" y="0"/>
                                </a:lnTo>
                                <a:close/>
                                <a:moveTo>
                                  <a:pt x="120" y="55"/>
                                </a:moveTo>
                                <a:lnTo>
                                  <a:pt x="100" y="55"/>
                                </a:lnTo>
                                <a:lnTo>
                                  <a:pt x="100" y="65"/>
                                </a:lnTo>
                                <a:lnTo>
                                  <a:pt x="120" y="65"/>
                                </a:lnTo>
                                <a:lnTo>
                                  <a:pt x="120" y="55"/>
                                </a:lnTo>
                                <a:close/>
                                <a:moveTo>
                                  <a:pt x="4175" y="55"/>
                                </a:moveTo>
                                <a:lnTo>
                                  <a:pt x="120" y="55"/>
                                </a:lnTo>
                                <a:lnTo>
                                  <a:pt x="120" y="65"/>
                                </a:lnTo>
                                <a:lnTo>
                                  <a:pt x="4175" y="65"/>
                                </a:lnTo>
                                <a:lnTo>
                                  <a:pt x="4175" y="55"/>
                                </a:lnTo>
                                <a:close/>
                                <a:moveTo>
                                  <a:pt x="4285" y="55"/>
                                </a:moveTo>
                                <a:lnTo>
                                  <a:pt x="4195" y="55"/>
                                </a:lnTo>
                                <a:lnTo>
                                  <a:pt x="4195" y="65"/>
                                </a:lnTo>
                                <a:lnTo>
                                  <a:pt x="4285" y="65"/>
                                </a:lnTo>
                                <a:lnTo>
                                  <a:pt x="4295" y="60"/>
                                </a:lnTo>
                                <a:lnTo>
                                  <a:pt x="4285" y="55"/>
                                </a:lnTo>
                                <a:close/>
                              </a:path>
                            </a:pathLst>
                          </a:custGeom>
                          <a:solidFill>
                            <a:srgbClr val="000000"/>
                          </a:solidFill>
                          <a:ln>
                            <a:noFill/>
                          </a:ln>
                        </wps:spPr>
                        <wps:bodyPr rot="0" vert="horz" wrap="square" lIns="91440" tIns="45720" rIns="91440" bIns="45720" anchor="t" anchorCtr="0" upright="1">
                          <a:noAutofit/>
                        </wps:bodyPr>
                      </wps:wsp>
                      <wps:wsp>
                        <wps:cNvPr id="47" name="矩形 169"/>
                        <wps:cNvSpPr>
                          <a:spLocks noChangeArrowheads="1"/>
                        </wps:cNvSpPr>
                        <wps:spPr bwMode="auto">
                          <a:xfrm>
                            <a:off x="3045" y="4129"/>
                            <a:ext cx="615" cy="450"/>
                          </a:xfrm>
                          <a:prstGeom prst="rect">
                            <a:avLst/>
                          </a:prstGeom>
                          <a:solidFill>
                            <a:srgbClr val="FFFFFF"/>
                          </a:solidFill>
                          <a:ln>
                            <a:noFill/>
                          </a:ln>
                        </wps:spPr>
                        <wps:bodyPr rot="0" vert="horz" wrap="square" lIns="91440" tIns="45720" rIns="91440" bIns="45720" anchor="t" anchorCtr="0" upright="1">
                          <a:noAutofit/>
                        </wps:bodyPr>
                      </wps:wsp>
                      <wps:wsp>
                        <wps:cNvPr id="48" name="文本框 170"/>
                        <wps:cNvSpPr txBox="1">
                          <a:spLocks noChangeArrowheads="1"/>
                        </wps:cNvSpPr>
                        <wps:spPr bwMode="auto">
                          <a:xfrm>
                            <a:off x="1619" y="4199"/>
                            <a:ext cx="290" cy="234"/>
                          </a:xfrm>
                          <a:prstGeom prst="rect">
                            <a:avLst/>
                          </a:prstGeom>
                          <a:noFill/>
                          <a:ln>
                            <a:noFill/>
                          </a:ln>
                        </wps:spPr>
                        <wps:txbx>
                          <w:txbxContent>
                            <w:p w14:paraId="72EFA398" w14:textId="77777777" w:rsidR="007D1E74" w:rsidRDefault="00A95641">
                              <w:pPr>
                                <w:spacing w:line="234" w:lineRule="exact"/>
                                <w:jc w:val="left"/>
                              </w:pPr>
                              <w:r>
                                <w:rPr>
                                  <w:rFonts w:hint="eastAsia"/>
                                </w:rPr>
                                <w:t>2</w:t>
                              </w:r>
                              <w:r>
                                <w:t>m</w:t>
                              </w:r>
                            </w:p>
                          </w:txbxContent>
                        </wps:txbx>
                        <wps:bodyPr rot="0" vert="horz" wrap="square" lIns="0" tIns="0" rIns="0" bIns="0" anchor="t" anchorCtr="0" upright="1">
                          <a:noAutofit/>
                        </wps:bodyPr>
                      </wps:wsp>
                      <wps:wsp>
                        <wps:cNvPr id="49" name="文本框 171"/>
                        <wps:cNvSpPr txBox="1">
                          <a:spLocks noChangeArrowheads="1"/>
                        </wps:cNvSpPr>
                        <wps:spPr bwMode="auto">
                          <a:xfrm>
                            <a:off x="3196" y="4252"/>
                            <a:ext cx="290" cy="234"/>
                          </a:xfrm>
                          <a:prstGeom prst="rect">
                            <a:avLst/>
                          </a:prstGeom>
                          <a:noFill/>
                          <a:ln>
                            <a:noFill/>
                          </a:ln>
                        </wps:spPr>
                        <wps:txbx>
                          <w:txbxContent>
                            <w:p w14:paraId="0E241B66" w14:textId="77777777" w:rsidR="007D1E74" w:rsidRDefault="00A95641">
                              <w:pPr>
                                <w:spacing w:line="234" w:lineRule="exact"/>
                                <w:jc w:val="left"/>
                              </w:pPr>
                              <w:r>
                                <w:t>1m</w:t>
                              </w:r>
                            </w:p>
                          </w:txbxContent>
                        </wps:txbx>
                        <wps:bodyPr rot="0" vert="horz" wrap="square" lIns="0" tIns="0" rIns="0" bIns="0" anchor="t" anchorCtr="0" upright="1">
                          <a:noAutofit/>
                        </wps:bodyPr>
                      </wps:wsp>
                      <wps:wsp>
                        <wps:cNvPr id="50" name="文本框 172"/>
                        <wps:cNvSpPr txBox="1">
                          <a:spLocks noChangeArrowheads="1"/>
                        </wps:cNvSpPr>
                        <wps:spPr bwMode="auto">
                          <a:xfrm>
                            <a:off x="6089" y="4230"/>
                            <a:ext cx="290" cy="234"/>
                          </a:xfrm>
                          <a:prstGeom prst="rect">
                            <a:avLst/>
                          </a:prstGeom>
                          <a:noFill/>
                          <a:ln>
                            <a:noFill/>
                          </a:ln>
                        </wps:spPr>
                        <wps:txbx>
                          <w:txbxContent>
                            <w:p w14:paraId="057455A1" w14:textId="77777777" w:rsidR="007D1E74" w:rsidRDefault="00A95641">
                              <w:pPr>
                                <w:spacing w:line="234" w:lineRule="exact"/>
                                <w:jc w:val="left"/>
                              </w:pPr>
                              <w:r>
                                <w:rPr>
                                  <w:rFonts w:hint="eastAsia"/>
                                </w:rPr>
                                <w:t>5</w:t>
                              </w:r>
                              <w:r>
                                <w:t>m</w:t>
                              </w:r>
                            </w:p>
                          </w:txbxContent>
                        </wps:txbx>
                        <wps:bodyPr rot="0" vert="horz" wrap="square" lIns="0" tIns="0" rIns="0" bIns="0" anchor="t" anchorCtr="0" upright="1">
                          <a:noAutofit/>
                        </wps:bodyPr>
                      </wps:wsp>
                    </wpg:wgp>
                  </a:graphicData>
                </a:graphic>
              </wp:inline>
            </w:drawing>
          </mc:Choice>
          <mc:Fallback>
            <w:pict>
              <v:group w14:anchorId="5C3A07EC" id="组合 159" o:spid="_x0000_s1124" style="width:434.7pt;height:229pt;mso-position-horizontal-relative:char;mso-position-vertical-relative:line" coordsize="8694,45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">
                <v:shape id="图片 160" o:spid="_x0000_s1125" type="#_x0000_t75" style="position:absolute;width:8694;height:4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">
                  <v:imagedata r:id="rId90" o:title=""/>
                </v:shape>
                <v:line id="直线 161" o:spid="_x0000_s1126" style="position:absolute;visibility:visible;mso-wrap-style:square" from="2772,4195" to="2772,4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" strokeweight=".5pt"/>
                <v:line id="直线 162" o:spid="_x0000_s1127" style="position:absolute;visibility:visible;mso-wrap-style:square" from="3963,4195" to="3963,4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" strokeweight=".5pt"/>
                <v:line id="直线 163" o:spid="_x0000_s1128" style="position:absolute;visibility:visible;mso-wrap-style:square" from="8265,4195" to="8265,4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" strokeweight=".5pt"/>
                <v:line id="直线 164" o:spid="_x0000_s1129" style="position:absolute;visibility:visible;mso-wrap-style:square" from="879,4195" to="879,44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" strokeweight=".5pt"/>
                <v:shape id="任意多边形 165" o:spid="_x0000_s1130" style="position:absolute;left:877;top:4252;width:1889;height:120;visibility:visible;mso-wrap-style:square;v-text-anchor:top" coordsize="188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" path="m120,l,60r120,60l120,65r-20,l100,55r20,l120,xm1769,r,120l1879,65r-90,l1789,55r90,l1769,xm120,55r-20,l100,65r20,l120,55xm1769,55l120,55r,10l1769,65r,-10xm1879,55r-90,l1789,65r90,l1889,60r-10,-5xe" fillcolor="black" stroked="f">
                  <v:path arrowok="t" o:connecttype="custom" o:connectlocs="120,0;0,60;120,120;120,65;100,65;100,55;120,55;120,0;1769,0;1769,120;1879,65;1789,65;1789,55;1879,55;1769,0;120,55;100,55;100,65;120,65;120,55;1769,55;120,55;120,65;1769,65;1769,55;1879,55;1789,55;1789,65;1879,65;1889,60;1879,55" o:connectangles="0,0,0,0,0,0,0,0,0,0,0,0,0,0,0,0,0,0,0,0,0,0,0,0,0,0,0,0,0,0,0" textboxrect="0,0,1889,120"/>
                </v:shape>
                <v:shape id="任意多边形 166" o:spid="_x0000_s1131" style="position:absolute;left:2792;top:4269;width:1182;height:120;visibility:visible;mso-wrap-style:square;v-text-anchor:top" coordsize="118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" path="m120,l,60r120,60l120,65r-20,l100,55r20,l120,xm1062,r,120l1172,65r-90,l1082,55r90,l1062,xm120,55r-20,l100,65r20,l120,55xm1062,55r-942,l120,65r942,l1062,55xm1172,55r-90,l1082,65r90,l1182,60r-10,-5xe" fillcolor="black" stroked="f">
                  <v:path arrowok="t" o:connecttype="custom" o:connectlocs="120,0;0,60;120,120;120,65;100,65;100,55;120,55;120,0;1062,0;1062,120;1172,65;1082,65;1082,55;1172,55;1062,0;120,55;100,55;100,65;120,65;120,55;1062,55;120,55;120,65;1062,65;1062,55;1172,55;1082,55;1082,65;1172,65;1182,60;1172,55" o:connectangles="0,0,0,0,0,0,0,0,0,0,0,0,0,0,0,0,0,0,0,0,0,0,0,0,0,0,0,0,0,0,0" textboxrect="0,0,1182,120"/>
                </v:shape>
                <v:rect id="矩形 167" o:spid="_x0000_s1132" style="position:absolute;left:1470;top:4077;width:61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" stroked="f"/>
                <v:shape id="任意多边形 168" o:spid="_x0000_s1133" style="position:absolute;left:3982;top:4285;width:4295;height:120;visibility:visible;mso-wrap-style:square;v-text-anchor:top" coordsize="429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" path="m120,l,60r120,60l120,65r-20,l100,55r20,l120,xm4175,r,120l4285,65r-90,l4195,55r90,l4175,xm120,55r-20,l100,65r20,l120,55xm4175,55l120,55r,10l4175,65r,-10xm4285,55r-90,l4195,65r90,l4295,60r-10,-5xe" fillcolor="black" stroked="f">
                  <v:path arrowok="t" o:connecttype="custom" o:connectlocs="120,0;0,60;120,120;120,65;100,65;100,55;120,55;120,0;4175,0;4175,120;4285,65;4195,65;4195,55;4285,55;4175,0;120,55;100,55;100,65;120,65;120,55;4175,55;120,55;120,65;4175,65;4175,55;4285,55;4195,55;4195,65;4285,65;4295,60;4285,55" o:connectangles="0,0,0,0,0,0,0,0,0,0,0,0,0,0,0,0,0,0,0,0,0,0,0,0,0,0,0,0,0,0,0" textboxrect="0,0,4295,120"/>
                </v:shape>
                <v:rect id="矩形 169" o:spid="_x0000_s1134" style="position:absolute;left:3045;top:4129;width:615;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" stroked="f"/>
                <v:shape id="文本框 170" o:spid="_x0000_s1135" type="#_x0000_t202" style="position:absolute;left:1619;top:4199;width:290;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14:paraId="72EFA398" w14:textId="77777777" w:rsidR="007D1E74" w:rsidRDefault="00A95641">
                        <w:pPr>
                          <w:spacing w:line="234" w:lineRule="exact"/>
                          <w:jc w:val="left"/>
                        </w:pPr>
                        <w:r>
                          <w:rPr>
                            <w:rFonts w:hint="eastAsia"/>
                          </w:rPr>
                          <w:t>2</w:t>
                        </w:r>
                        <w:r>
                          <w:t>m</w:t>
                        </w:r>
                      </w:p>
                    </w:txbxContent>
                  </v:textbox>
                </v:shape>
                <v:shape id="文本框 171" o:spid="_x0000_s1136" type="#_x0000_t202" style="position:absolute;left:3196;top:4252;width:290;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0E241B66" w14:textId="77777777" w:rsidR="007D1E74" w:rsidRDefault="00A95641">
                        <w:pPr>
                          <w:spacing w:line="234" w:lineRule="exact"/>
                          <w:jc w:val="left"/>
                        </w:pPr>
                        <w:r>
                          <w:t>1m</w:t>
                        </w:r>
                      </w:p>
                    </w:txbxContent>
                  </v:textbox>
                </v:shape>
                <v:shape id="文本框 172" o:spid="_x0000_s1137" type="#_x0000_t202" style="position:absolute;left:6089;top:4230;width:290;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w:p w14:paraId="057455A1" w14:textId="77777777" w:rsidR="007D1E74" w:rsidRDefault="00A95641">
                        <w:pPr>
                          <w:spacing w:line="234" w:lineRule="exact"/>
                          <w:jc w:val="left"/>
                        </w:pPr>
                        <w:r>
                          <w:rPr>
                            <w:rFonts w:hint="eastAsia"/>
                          </w:rPr>
                          <w:t>5</w:t>
                        </w:r>
                        <w:r>
                          <w:t>m</w:t>
                        </w:r>
                      </w:p>
                    </w:txbxContent>
                  </v:textbox>
                </v:shape>
                <w10:anchorlock/>
              </v:group>
            </w:pict>
          </mc:Fallback>
        </mc:AlternateContent>
      </w:r>
    </w:p>
    <w:p w14:paraId="370D448B" w14:textId="77777777" w:rsidR="007D1E74" w:rsidRDefault="00A95641">
      <w:pPr>
        <w:tabs>
          <w:tab w:val="left" w:pos="3613"/>
        </w:tabs>
        <w:spacing w:before="54"/>
        <w:ind w:left="2648"/>
        <w:jc w:val="left"/>
        <w:rPr>
          <w:b/>
        </w:rPr>
      </w:pPr>
      <w:r>
        <w:rPr>
          <w:b/>
        </w:rPr>
        <w:t>图</w:t>
      </w:r>
      <w:r>
        <w:rPr>
          <w:b/>
          <w:spacing w:val="1"/>
        </w:rPr>
        <w:t xml:space="preserve"> </w:t>
      </w:r>
      <w:r>
        <w:rPr>
          <w:b/>
        </w:rPr>
        <w:t>3.2-2</w:t>
      </w:r>
      <w:r>
        <w:rPr>
          <w:b/>
        </w:rPr>
        <w:tab/>
      </w:r>
      <w:r>
        <w:rPr>
          <w:b/>
        </w:rPr>
        <w:t>一般地段管道</w:t>
      </w:r>
      <w:r>
        <w:rPr>
          <w:b/>
          <w:spacing w:val="-3"/>
        </w:rPr>
        <w:t>施</w:t>
      </w:r>
      <w:r>
        <w:rPr>
          <w:b/>
        </w:rPr>
        <w:t>工方式断面示意图</w:t>
      </w:r>
    </w:p>
    <w:p w14:paraId="130B68A2" w14:textId="77777777" w:rsidR="007D1E74" w:rsidRDefault="00A95641">
      <w:pPr>
        <w:spacing w:line="360" w:lineRule="auto"/>
        <w:ind w:firstLineChars="200" w:firstLine="480"/>
        <w:rPr>
          <w:sz w:val="24"/>
        </w:rPr>
      </w:pPr>
      <w:r>
        <w:rPr>
          <w:sz w:val="24"/>
        </w:rPr>
        <w:t>管沟开挖过程中，地表扰动剧烈，流失强度可能达到剧烈侵蚀以上，特别是如果遇到雨季，水土流失将十分严重。</w:t>
      </w:r>
    </w:p>
    <w:p w14:paraId="37B9C40D" w14:textId="77777777" w:rsidR="007D1E74" w:rsidRDefault="00A95641">
      <w:pPr>
        <w:spacing w:line="360" w:lineRule="auto"/>
        <w:ind w:firstLineChars="200" w:firstLine="482"/>
        <w:rPr>
          <w:b/>
          <w:bCs/>
          <w:sz w:val="24"/>
        </w:rPr>
      </w:pPr>
      <w:r>
        <w:rPr>
          <w:b/>
          <w:bCs/>
          <w:sz w:val="24"/>
        </w:rPr>
        <w:t>（</w:t>
      </w:r>
      <w:r>
        <w:rPr>
          <w:b/>
          <w:bCs/>
          <w:sz w:val="24"/>
        </w:rPr>
        <w:t>2</w:t>
      </w:r>
      <w:r>
        <w:rPr>
          <w:b/>
          <w:bCs/>
          <w:sz w:val="24"/>
        </w:rPr>
        <w:t>）大开挖穿越道路挖施工方法</w:t>
      </w:r>
    </w:p>
    <w:p w14:paraId="6CA2FF36" w14:textId="77777777" w:rsidR="007D1E74" w:rsidRDefault="00A95641">
      <w:pPr>
        <w:spacing w:line="360" w:lineRule="auto"/>
        <w:ind w:firstLineChars="200" w:firstLine="480"/>
        <w:rPr>
          <w:sz w:val="24"/>
        </w:rPr>
      </w:pPr>
      <w:r>
        <w:rPr>
          <w:sz w:val="24"/>
        </w:rPr>
        <w:t>1</w:t>
      </w:r>
      <w:r>
        <w:rPr>
          <w:sz w:val="24"/>
        </w:rPr>
        <w:t>）测量放线</w:t>
      </w:r>
    </w:p>
    <w:p w14:paraId="4425A850" w14:textId="77777777" w:rsidR="007D1E74" w:rsidRDefault="00A95641">
      <w:pPr>
        <w:spacing w:line="360" w:lineRule="auto"/>
        <w:ind w:firstLineChars="200" w:firstLine="480"/>
        <w:rPr>
          <w:sz w:val="24"/>
        </w:rPr>
      </w:pPr>
      <w:r>
        <w:rPr>
          <w:sz w:val="24"/>
        </w:rPr>
        <w:t>根据设计控制桩，用经纬仪打出穿越管道的中心段，并撒上白灰线，同时放出临时便道的起点、终点及边界线。定出穿越点的限速、转向标志的位置，定出施工警戒线的位置。</w:t>
      </w:r>
    </w:p>
    <w:p w14:paraId="73B6DBE7" w14:textId="77777777" w:rsidR="007D1E74" w:rsidRDefault="00A95641">
      <w:pPr>
        <w:spacing w:line="360" w:lineRule="auto"/>
        <w:ind w:firstLineChars="200" w:firstLine="480"/>
        <w:rPr>
          <w:sz w:val="24"/>
        </w:rPr>
      </w:pPr>
      <w:r>
        <w:rPr>
          <w:sz w:val="24"/>
        </w:rPr>
        <w:t>2</w:t>
      </w:r>
      <w:r>
        <w:rPr>
          <w:sz w:val="24"/>
        </w:rPr>
        <w:t>）便道修筑及场地平整</w:t>
      </w:r>
    </w:p>
    <w:p w14:paraId="491F1AC3" w14:textId="77777777" w:rsidR="007D1E74" w:rsidRDefault="00A95641">
      <w:pPr>
        <w:spacing w:line="360" w:lineRule="auto"/>
        <w:ind w:firstLineChars="200" w:firstLine="480"/>
        <w:rPr>
          <w:sz w:val="24"/>
        </w:rPr>
      </w:pPr>
      <w:r>
        <w:rPr>
          <w:sz w:val="24"/>
        </w:rPr>
        <w:t>临时便道的修筑要满足道路部门的要求。施工平面布置示意图见下图。</w:t>
      </w:r>
    </w:p>
    <w:p w14:paraId="49528FC5" w14:textId="77777777" w:rsidR="007D1E74" w:rsidRDefault="00A95641">
      <w:pPr>
        <w:pStyle w:val="affe"/>
        <w:spacing w:before="3"/>
        <w:jc w:val="center"/>
        <w:rPr>
          <w:rFonts w:ascii="Times New Roman" w:hAnsi="Times New Roman"/>
          <w:b/>
        </w:rPr>
      </w:pPr>
      <w:r>
        <w:rPr>
          <w:rFonts w:ascii="Times New Roman" w:hAnsi="Times New Roman"/>
          <w:noProof/>
        </w:rPr>
        <w:lastRenderedPageBreak/>
        <w:drawing>
          <wp:anchor distT="0" distB="0" distL="0" distR="0" simplePos="0" relativeHeight="251667456" behindDoc="0" locked="0" layoutInCell="1" allowOverlap="1" wp14:anchorId="1E09CD63" wp14:editId="79190C7A">
            <wp:simplePos x="0" y="0"/>
            <wp:positionH relativeFrom="page">
              <wp:posOffset>2145665</wp:posOffset>
            </wp:positionH>
            <wp:positionV relativeFrom="paragraph">
              <wp:posOffset>45085</wp:posOffset>
            </wp:positionV>
            <wp:extent cx="3093720" cy="2202180"/>
            <wp:effectExtent l="0" t="0" r="0" b="7620"/>
            <wp:wrapTopAndBottom/>
            <wp:docPr id="14" name="image43.png" descr="C:/Users/Administrator/AppData/Local/Temp/picturecompress_20210816174539/output_4.pngoutput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43.png" descr="C:/Users/Administrator/AppData/Local/Temp/picturecompress_20210816174539/output_4.pngoutput_4"/>
                    <pic:cNvPicPr>
                      <a:picLocks noChangeAspect="1"/>
                    </pic:cNvPicPr>
                  </pic:nvPicPr>
                  <pic:blipFill>
                    <a:blip r:embed="rId91"/>
                    <a:stretch>
                      <a:fillRect/>
                    </a:stretch>
                  </pic:blipFill>
                  <pic:spPr>
                    <a:xfrm>
                      <a:off x="0" y="0"/>
                      <a:ext cx="3093720" cy="2202180"/>
                    </a:xfrm>
                    <a:prstGeom prst="rect">
                      <a:avLst/>
                    </a:prstGeom>
                  </pic:spPr>
                </pic:pic>
              </a:graphicData>
            </a:graphic>
          </wp:anchor>
        </w:drawing>
      </w:r>
      <w:r>
        <w:rPr>
          <w:rFonts w:ascii="Times New Roman" w:hAnsi="Times New Roman"/>
          <w:b/>
        </w:rPr>
        <w:t>图</w:t>
      </w:r>
      <w:r>
        <w:rPr>
          <w:rFonts w:ascii="Times New Roman" w:hAnsi="Times New Roman"/>
          <w:b/>
          <w:spacing w:val="1"/>
        </w:rPr>
        <w:t xml:space="preserve"> </w:t>
      </w:r>
      <w:r>
        <w:rPr>
          <w:rFonts w:ascii="Times New Roman" w:hAnsi="Times New Roman"/>
          <w:b/>
        </w:rPr>
        <w:t>3.2-3</w:t>
      </w:r>
      <w:r>
        <w:rPr>
          <w:rFonts w:ascii="Times New Roman" w:hAnsi="Times New Roman"/>
          <w:b/>
        </w:rPr>
        <w:tab/>
        <w:t xml:space="preserve"> </w:t>
      </w:r>
      <w:r>
        <w:rPr>
          <w:rFonts w:ascii="Times New Roman" w:hAnsi="Times New Roman"/>
          <w:b/>
        </w:rPr>
        <w:t>穿越公路段施</w:t>
      </w:r>
      <w:r>
        <w:rPr>
          <w:rFonts w:ascii="Times New Roman" w:hAnsi="Times New Roman"/>
          <w:b/>
          <w:spacing w:val="-3"/>
        </w:rPr>
        <w:t>工</w:t>
      </w:r>
      <w:r>
        <w:rPr>
          <w:rFonts w:ascii="Times New Roman" w:hAnsi="Times New Roman"/>
          <w:b/>
        </w:rPr>
        <w:t>平面布置示意图</w:t>
      </w:r>
    </w:p>
    <w:p w14:paraId="7F6245BD" w14:textId="77777777" w:rsidR="007D1E74" w:rsidRDefault="00A95641">
      <w:pPr>
        <w:spacing w:line="360" w:lineRule="auto"/>
        <w:ind w:firstLineChars="200" w:firstLine="480"/>
        <w:rPr>
          <w:sz w:val="24"/>
        </w:rPr>
      </w:pPr>
      <w:r>
        <w:rPr>
          <w:sz w:val="24"/>
        </w:rPr>
        <w:t>3</w:t>
      </w:r>
      <w:r>
        <w:rPr>
          <w:sz w:val="24"/>
        </w:rPr>
        <w:t>）管沟开挖、管道预制、焊接、探伤、防腐同一般管段陆地大开挖，不再赘述。</w:t>
      </w:r>
      <w:r>
        <w:rPr>
          <w:sz w:val="24"/>
        </w:rPr>
        <w:t xml:space="preserve">     </w:t>
      </w:r>
    </w:p>
    <w:p w14:paraId="781A674E" w14:textId="77777777" w:rsidR="007D1E74" w:rsidRDefault="00A95641">
      <w:pPr>
        <w:spacing w:line="360" w:lineRule="auto"/>
        <w:ind w:firstLineChars="200" w:firstLine="480"/>
        <w:rPr>
          <w:sz w:val="24"/>
        </w:rPr>
      </w:pPr>
      <w:r>
        <w:rPr>
          <w:sz w:val="24"/>
        </w:rPr>
        <w:t>4</w:t>
      </w:r>
      <w:r>
        <w:rPr>
          <w:sz w:val="24"/>
        </w:rPr>
        <w:t>）回填</w:t>
      </w:r>
    </w:p>
    <w:p w14:paraId="27FA2116" w14:textId="77777777" w:rsidR="007D1E74" w:rsidRDefault="00A95641">
      <w:pPr>
        <w:spacing w:line="360" w:lineRule="auto"/>
        <w:ind w:firstLineChars="200" w:firstLine="480"/>
        <w:rPr>
          <w:sz w:val="24"/>
        </w:rPr>
      </w:pPr>
      <w:r>
        <w:rPr>
          <w:sz w:val="24"/>
        </w:rPr>
        <w:t>细土回填至管顶</w:t>
      </w:r>
      <w:r>
        <w:rPr>
          <w:sz w:val="24"/>
        </w:rPr>
        <w:t xml:space="preserve"> 300mm </w:t>
      </w:r>
      <w:r>
        <w:rPr>
          <w:sz w:val="24"/>
        </w:rPr>
        <w:t>后，用原装土分层回填压实，并按照道路管理部门要求恢复路面及公路路边沟。</w:t>
      </w:r>
    </w:p>
    <w:p w14:paraId="41D4054F" w14:textId="77777777" w:rsidR="007D1E74" w:rsidRDefault="00A95641">
      <w:pPr>
        <w:spacing w:line="360" w:lineRule="auto"/>
        <w:ind w:firstLineChars="200" w:firstLine="480"/>
        <w:rPr>
          <w:sz w:val="24"/>
        </w:rPr>
      </w:pPr>
      <w:r>
        <w:rPr>
          <w:sz w:val="24"/>
        </w:rPr>
        <w:t>5</w:t>
      </w:r>
      <w:r>
        <w:rPr>
          <w:sz w:val="24"/>
        </w:rPr>
        <w:t>）清管、试压</w:t>
      </w:r>
    </w:p>
    <w:p w14:paraId="7DDC8A00" w14:textId="77777777" w:rsidR="007D1E74" w:rsidRDefault="00A95641">
      <w:pPr>
        <w:spacing w:line="360" w:lineRule="auto"/>
        <w:ind w:firstLineChars="200" w:firstLine="480"/>
        <w:rPr>
          <w:sz w:val="24"/>
        </w:rPr>
      </w:pPr>
      <w:r>
        <w:rPr>
          <w:sz w:val="24"/>
        </w:rPr>
        <w:t>同一般管段陆地大开挖，不再赘述。</w:t>
      </w:r>
    </w:p>
    <w:p w14:paraId="10A72E32" w14:textId="77777777" w:rsidR="007D1E74" w:rsidRDefault="00A95641">
      <w:pPr>
        <w:spacing w:line="360" w:lineRule="auto"/>
        <w:ind w:firstLineChars="200" w:firstLine="480"/>
        <w:rPr>
          <w:sz w:val="24"/>
        </w:rPr>
      </w:pPr>
      <w:r>
        <w:rPr>
          <w:sz w:val="24"/>
        </w:rPr>
        <w:t>6</w:t>
      </w:r>
      <w:r>
        <w:rPr>
          <w:sz w:val="24"/>
        </w:rPr>
        <w:t>）地貌恢复</w:t>
      </w:r>
    </w:p>
    <w:p w14:paraId="78A3E1F1" w14:textId="77777777" w:rsidR="007D1E74" w:rsidRDefault="00A95641">
      <w:pPr>
        <w:spacing w:line="360" w:lineRule="auto"/>
        <w:ind w:firstLineChars="200" w:firstLine="480"/>
        <w:rPr>
          <w:sz w:val="24"/>
        </w:rPr>
      </w:pPr>
      <w:r>
        <w:rPr>
          <w:sz w:val="24"/>
        </w:rPr>
        <w:t>穿越施工结束后，清理现场的各种材料、杂物和生活垃圾，远离施工现场，拆除临时便道，并将临时便道恢复至原有土地利用类型。</w:t>
      </w:r>
    </w:p>
    <w:p w14:paraId="421FDA14" w14:textId="77777777" w:rsidR="007D1E74" w:rsidRDefault="00A95641">
      <w:pPr>
        <w:spacing w:line="360" w:lineRule="auto"/>
        <w:ind w:firstLineChars="200" w:firstLine="482"/>
        <w:rPr>
          <w:b/>
          <w:bCs/>
          <w:sz w:val="24"/>
        </w:rPr>
      </w:pPr>
      <w:r>
        <w:rPr>
          <w:b/>
          <w:bCs/>
          <w:sz w:val="24"/>
        </w:rPr>
        <w:t>（</w:t>
      </w:r>
      <w:r>
        <w:rPr>
          <w:b/>
          <w:bCs/>
          <w:sz w:val="24"/>
        </w:rPr>
        <w:t>3</w:t>
      </w:r>
      <w:r>
        <w:rPr>
          <w:b/>
          <w:bCs/>
          <w:sz w:val="24"/>
        </w:rPr>
        <w:t>）穿越沟渠大开挖施工</w:t>
      </w:r>
    </w:p>
    <w:p w14:paraId="5AFE1119" w14:textId="77777777" w:rsidR="007D1E74" w:rsidRDefault="00A95641">
      <w:pPr>
        <w:spacing w:line="360" w:lineRule="auto"/>
        <w:ind w:firstLineChars="200" w:firstLine="480"/>
        <w:rPr>
          <w:sz w:val="24"/>
        </w:rPr>
      </w:pPr>
      <w:r>
        <w:rPr>
          <w:sz w:val="24"/>
        </w:rPr>
        <w:t>本项目穿越的沟渠采用围堰导流方式开挖河道，用围堰将河槽中河流截断一半，利用另一半作为导流沟，待一端管道组装回填结束后，再用同样的方法开挖河流的另一侧。</w:t>
      </w:r>
    </w:p>
    <w:p w14:paraId="5FE2D222" w14:textId="77777777" w:rsidR="007D1E74" w:rsidRDefault="00A95641">
      <w:pPr>
        <w:spacing w:line="360" w:lineRule="auto"/>
        <w:ind w:firstLineChars="200" w:firstLine="480"/>
        <w:rPr>
          <w:sz w:val="24"/>
        </w:rPr>
      </w:pPr>
      <w:r>
        <w:rPr>
          <w:sz w:val="24"/>
        </w:rPr>
        <w:t>为减小围堰开挖施工对河流生态系统影响，建议安排在枯水期施工。同时，提高作业效率，缩短河流穿越作业时间，缩短穿越施工对河流水域的影响时间。</w:t>
      </w:r>
    </w:p>
    <w:p w14:paraId="1BA44B54" w14:textId="77777777" w:rsidR="007D1E74" w:rsidRDefault="00A95641">
      <w:pPr>
        <w:spacing w:line="360" w:lineRule="auto"/>
        <w:ind w:firstLineChars="200" w:firstLine="480"/>
        <w:rPr>
          <w:sz w:val="24"/>
        </w:rPr>
      </w:pPr>
      <w:r>
        <w:rPr>
          <w:sz w:val="24"/>
        </w:rPr>
        <w:t>围堰开挖作业带示意图见下图。</w:t>
      </w:r>
    </w:p>
    <w:p w14:paraId="08EA9B5A" w14:textId="77777777" w:rsidR="007D1E74" w:rsidRDefault="00A95641">
      <w:pPr>
        <w:pStyle w:val="aff7"/>
        <w:spacing w:line="240" w:lineRule="auto"/>
        <w:jc w:val="center"/>
        <w:rPr>
          <w:rStyle w:val="Charfffffff9"/>
          <w:b/>
          <w:sz w:val="21"/>
          <w:szCs w:val="21"/>
        </w:rPr>
      </w:pPr>
      <w:r>
        <w:rPr>
          <w:rFonts w:ascii="Times New Roman" w:hAnsi="Times New Roman"/>
          <w:sz w:val="21"/>
        </w:rPr>
        <w:lastRenderedPageBreak/>
        <w:t>图</w:t>
      </w:r>
      <w:r>
        <w:rPr>
          <w:rFonts w:ascii="Times New Roman" w:hAnsi="Times New Roman"/>
          <w:sz w:val="21"/>
        </w:rPr>
        <w:t>3.2-4</w:t>
      </w:r>
      <w:r>
        <w:rPr>
          <w:rFonts w:ascii="Times New Roman" w:hAnsi="Times New Roman"/>
          <w:noProof/>
          <w:sz w:val="21"/>
          <w:szCs w:val="21"/>
        </w:rPr>
        <w:drawing>
          <wp:anchor distT="0" distB="0" distL="114935" distR="114935" simplePos="0" relativeHeight="251668480" behindDoc="0" locked="0" layoutInCell="1" allowOverlap="1" wp14:anchorId="5100A964" wp14:editId="216F51F3">
            <wp:simplePos x="0" y="0"/>
            <wp:positionH relativeFrom="column">
              <wp:posOffset>527685</wp:posOffset>
            </wp:positionH>
            <wp:positionV relativeFrom="paragraph">
              <wp:posOffset>57785</wp:posOffset>
            </wp:positionV>
            <wp:extent cx="4580255" cy="2674620"/>
            <wp:effectExtent l="9525" t="9525" r="12700" b="13335"/>
            <wp:wrapTopAndBottom/>
            <wp:docPr id="20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4"/>
                    <pic:cNvPicPr>
                      <a:picLocks noChangeAspect="1"/>
                    </pic:cNvPicPr>
                  </pic:nvPicPr>
                  <pic:blipFill>
                    <a:blip r:embed="rId92"/>
                    <a:srcRect l="31703" t="17175" r="13894" b="22034"/>
                    <a:stretch>
                      <a:fillRect/>
                    </a:stretch>
                  </pic:blipFill>
                  <pic:spPr>
                    <a:xfrm>
                      <a:off x="0" y="0"/>
                      <a:ext cx="4580255" cy="2674620"/>
                    </a:xfrm>
                    <a:prstGeom prst="rect">
                      <a:avLst/>
                    </a:prstGeom>
                    <a:noFill/>
                    <a:ln>
                      <a:solidFill>
                        <a:schemeClr val="tx1"/>
                      </a:solidFill>
                    </a:ln>
                  </pic:spPr>
                </pic:pic>
              </a:graphicData>
            </a:graphic>
          </wp:anchor>
        </w:drawing>
      </w:r>
      <w:r>
        <w:rPr>
          <w:rStyle w:val="Charfffffff9"/>
          <w:b/>
          <w:sz w:val="21"/>
          <w:szCs w:val="21"/>
        </w:rPr>
        <w:t xml:space="preserve">   </w:t>
      </w:r>
      <w:r>
        <w:rPr>
          <w:rStyle w:val="Charfffffff9"/>
          <w:b/>
          <w:sz w:val="21"/>
          <w:szCs w:val="21"/>
        </w:rPr>
        <w:t>围堰导流开挖管沟法施工断面示意图</w:t>
      </w:r>
    </w:p>
    <w:p w14:paraId="2B568A43" w14:textId="77777777" w:rsidR="007D1E74" w:rsidRDefault="00A95641">
      <w:pPr>
        <w:spacing w:line="360" w:lineRule="auto"/>
        <w:ind w:firstLineChars="200" w:firstLine="482"/>
        <w:rPr>
          <w:b/>
          <w:bCs/>
          <w:sz w:val="24"/>
        </w:rPr>
      </w:pPr>
      <w:r>
        <w:rPr>
          <w:b/>
          <w:bCs/>
          <w:sz w:val="24"/>
        </w:rPr>
        <w:t>施工工序：</w:t>
      </w:r>
    </w:p>
    <w:p w14:paraId="3202F984" w14:textId="77777777" w:rsidR="007D1E74" w:rsidRDefault="00A95641">
      <w:pPr>
        <w:spacing w:line="360" w:lineRule="auto"/>
        <w:ind w:firstLineChars="200" w:firstLine="480"/>
        <w:rPr>
          <w:sz w:val="24"/>
        </w:rPr>
      </w:pPr>
      <w:r>
        <w:rPr>
          <w:sz w:val="24"/>
        </w:rPr>
        <w:t>先挖导流沟，用围堰对河流进行导流或截流至导流沟，然后再用机械或人工在河道开挖管沟。两端截水坝间的距离根据施工作业需要设置，穿越河流要保证管道的安全埋深，保证管道从河床底部稳定层通过。</w:t>
      </w:r>
    </w:p>
    <w:p w14:paraId="372B1A3D" w14:textId="77777777" w:rsidR="007D1E74" w:rsidRDefault="00A95641">
      <w:pPr>
        <w:spacing w:line="360" w:lineRule="auto"/>
        <w:ind w:firstLineChars="200" w:firstLine="480"/>
        <w:rPr>
          <w:sz w:val="24"/>
        </w:rPr>
      </w:pPr>
      <w:r>
        <w:rPr>
          <w:sz w:val="24"/>
        </w:rPr>
        <w:t>施工作业时首先在河流一侧开挖导流渠（有水时），然后开挖河床管沟，采用管段上加混凝土压块进行稳管处理，管道埋深在河底稳定层中，其挖深根据工程等级与冲刷情况。水下管沟底宽和边坡根据土壤性质、水流速度、回淤情况及施工条件确定，采用水下机械挖掘。回填物由下至上由细到粗，河床底砌筑干砌片石，两岸陡坡设浆砌块石护岸。护岸、护堤严格按照水利部门的有关要求进行建设。</w:t>
      </w:r>
    </w:p>
    <w:p w14:paraId="0B9A7579" w14:textId="77777777" w:rsidR="007D1E74" w:rsidRDefault="00A95641">
      <w:pPr>
        <w:spacing w:line="360" w:lineRule="auto"/>
        <w:ind w:firstLine="482"/>
        <w:rPr>
          <w:sz w:val="24"/>
        </w:rPr>
      </w:pPr>
      <w:r>
        <w:rPr>
          <w:sz w:val="24"/>
        </w:rPr>
        <w:t>根据管道穿越河流的地质水文的不同，管道在河流下埋深也有所区别，埋深原则如下：</w:t>
      </w:r>
    </w:p>
    <w:p w14:paraId="3F99583B" w14:textId="77777777" w:rsidR="007D1E74" w:rsidRDefault="00A95641">
      <w:pPr>
        <w:spacing w:line="360" w:lineRule="auto"/>
        <w:ind w:firstLine="480"/>
        <w:rPr>
          <w:sz w:val="24"/>
        </w:rPr>
      </w:pPr>
      <w:r>
        <w:rPr>
          <w:sz w:val="24"/>
        </w:rPr>
        <w:t>1</w:t>
      </w:r>
      <w:r>
        <w:rPr>
          <w:sz w:val="24"/>
        </w:rPr>
        <w:t>、有冲刷或疏浚的水域，应在设计洪水冲刷线或规划疏浚线下（取其深者）</w:t>
      </w:r>
      <w:r>
        <w:rPr>
          <w:sz w:val="24"/>
        </w:rPr>
        <w:t>≥0.5m</w:t>
      </w:r>
      <w:r>
        <w:rPr>
          <w:sz w:val="24"/>
        </w:rPr>
        <w:t>；</w:t>
      </w:r>
    </w:p>
    <w:p w14:paraId="78DAAEE4" w14:textId="77777777" w:rsidR="007D1E74" w:rsidRDefault="00A95641">
      <w:pPr>
        <w:spacing w:line="360" w:lineRule="auto"/>
        <w:ind w:firstLine="482"/>
        <w:rPr>
          <w:sz w:val="24"/>
        </w:rPr>
      </w:pPr>
      <w:r>
        <w:rPr>
          <w:sz w:val="24"/>
        </w:rPr>
        <w:t>2</w:t>
      </w:r>
      <w:r>
        <w:rPr>
          <w:sz w:val="24"/>
        </w:rPr>
        <w:t>、无冲刷或疏浚的水域，应在水床底面以下</w:t>
      </w:r>
      <w:r>
        <w:rPr>
          <w:sz w:val="24"/>
        </w:rPr>
        <w:t>≥1.0m</w:t>
      </w:r>
      <w:r>
        <w:rPr>
          <w:sz w:val="24"/>
        </w:rPr>
        <w:t>；</w:t>
      </w:r>
    </w:p>
    <w:p w14:paraId="78744A66" w14:textId="77777777" w:rsidR="007D1E74" w:rsidRDefault="00A95641">
      <w:pPr>
        <w:spacing w:line="360" w:lineRule="auto"/>
        <w:ind w:firstLineChars="200" w:firstLine="480"/>
        <w:rPr>
          <w:sz w:val="24"/>
        </w:rPr>
      </w:pPr>
      <w:r>
        <w:rPr>
          <w:sz w:val="24"/>
        </w:rPr>
        <w:t>3</w:t>
      </w:r>
      <w:r>
        <w:rPr>
          <w:sz w:val="24"/>
        </w:rPr>
        <w:t>、河床为基岩，并在设计洪水下不被冲刷时，管段应嵌入基岩深度</w:t>
      </w:r>
      <w:r>
        <w:rPr>
          <w:sz w:val="24"/>
        </w:rPr>
        <w:t>≥0.5m</w:t>
      </w:r>
      <w:r>
        <w:rPr>
          <w:sz w:val="24"/>
        </w:rPr>
        <w:t>。</w:t>
      </w:r>
    </w:p>
    <w:p w14:paraId="205728B6" w14:textId="77777777" w:rsidR="007D1E74" w:rsidRDefault="00A95641">
      <w:pPr>
        <w:spacing w:line="360" w:lineRule="auto"/>
        <w:ind w:firstLineChars="200" w:firstLine="482"/>
        <w:rPr>
          <w:b/>
          <w:bCs/>
          <w:sz w:val="24"/>
        </w:rPr>
      </w:pPr>
      <w:r>
        <w:rPr>
          <w:b/>
          <w:bCs/>
          <w:sz w:val="24"/>
        </w:rPr>
        <w:t>3.2.1.1.4</w:t>
      </w:r>
      <w:r>
        <w:rPr>
          <w:b/>
          <w:bCs/>
          <w:sz w:val="24"/>
        </w:rPr>
        <w:t>顶管施工</w:t>
      </w:r>
    </w:p>
    <w:p w14:paraId="4AC1991F" w14:textId="77777777" w:rsidR="007D1E74" w:rsidRDefault="00A95641">
      <w:pPr>
        <w:pStyle w:val="aff7"/>
        <w:spacing w:line="360" w:lineRule="auto"/>
        <w:ind w:firstLineChars="200" w:firstLine="480"/>
        <w:rPr>
          <w:rFonts w:ascii="Times New Roman" w:hAnsi="Times New Roman"/>
          <w:b w:val="0"/>
          <w:bCs w:val="0"/>
        </w:rPr>
      </w:pPr>
      <w:r>
        <w:rPr>
          <w:rFonts w:ascii="Times New Roman" w:hAnsi="Times New Roman"/>
          <w:b w:val="0"/>
          <w:bCs w:val="0"/>
        </w:rPr>
        <w:t>项目乡道、省道部分采取顶管穿越法，管线穿越铁路严格执行《油气输送管道穿越工程设计规范》。</w:t>
      </w:r>
    </w:p>
    <w:p w14:paraId="001C0D49" w14:textId="77777777" w:rsidR="007D1E74" w:rsidRDefault="00A95641">
      <w:pPr>
        <w:pStyle w:val="aff7"/>
        <w:spacing w:line="360" w:lineRule="auto"/>
        <w:ind w:firstLineChars="200" w:firstLine="480"/>
        <w:rPr>
          <w:rFonts w:ascii="Times New Roman" w:hAnsi="Times New Roman"/>
          <w:b w:val="0"/>
          <w:bCs w:val="0"/>
        </w:rPr>
      </w:pPr>
      <w:r>
        <w:rPr>
          <w:rFonts w:ascii="Times New Roman" w:hAnsi="Times New Roman"/>
          <w:b w:val="0"/>
          <w:bCs w:val="0"/>
        </w:rPr>
        <w:t>挖槽布置设备，用千斤顶顶推钢筋混凝土套管，并从管内不断挖出弃土。穿越过程中，在布管一侧开挖好发送沟，并进行顶管设备组装焊接，顶管穿越施工完毕后，将管</w:t>
      </w:r>
      <w:r>
        <w:rPr>
          <w:rFonts w:ascii="Times New Roman" w:hAnsi="Times New Roman"/>
          <w:b w:val="0"/>
          <w:bCs w:val="0"/>
        </w:rPr>
        <w:lastRenderedPageBreak/>
        <w:t>道拖回至施工场地。</w:t>
      </w:r>
    </w:p>
    <w:p w14:paraId="4F3666E3" w14:textId="77777777" w:rsidR="007D1E74" w:rsidRDefault="00A95641">
      <w:pPr>
        <w:pStyle w:val="affffff6"/>
        <w:ind w:firstLine="480"/>
        <w:rPr>
          <w:rFonts w:ascii="Times New Roman" w:hAnsi="Times New Roman" w:cs="Times New Roman"/>
        </w:rPr>
      </w:pPr>
      <w:r>
        <w:rPr>
          <w:rFonts w:ascii="Times New Roman" w:hAnsi="Times New Roman" w:cs="Times New Roman"/>
        </w:rPr>
        <w:t>施工前开挖工作坑，将设备安装就位，吊装套管、安装盲板顶环，利用液压千斤顶顶推套管，每顶进一定行程，退回顶缸，操作人员进入套管内挖土外运，然后加入套管并更换顶铁继续顶进，循环作业，直至套管顶至对面接收坑；拆除设备，清理套管内余土，进行主管穿越。</w:t>
      </w:r>
    </w:p>
    <w:p w14:paraId="7515E33C" w14:textId="77777777" w:rsidR="007D1E74" w:rsidRDefault="00A95641">
      <w:pPr>
        <w:pStyle w:val="affffff6"/>
        <w:ind w:firstLineChars="0" w:firstLine="0"/>
        <w:rPr>
          <w:rFonts w:ascii="Times New Roman" w:hAnsi="Times New Roman" w:cs="Times New Roman"/>
        </w:rPr>
      </w:pPr>
      <w:r>
        <w:rPr>
          <w:rFonts w:ascii="Times New Roman" w:hAnsi="Times New Roman" w:cs="Times New Roman"/>
          <w:noProof/>
        </w:rPr>
        <w:drawing>
          <wp:inline distT="0" distB="0" distL="0" distR="0" wp14:anchorId="46A78AFA" wp14:editId="248B7F66">
            <wp:extent cx="5759450" cy="1176655"/>
            <wp:effectExtent l="9525" t="9525" r="22225" b="1778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93"/>
                    <a:stretch>
                      <a:fillRect/>
                    </a:stretch>
                  </pic:blipFill>
                  <pic:spPr>
                    <a:xfrm>
                      <a:off x="0" y="0"/>
                      <a:ext cx="5759450" cy="1176655"/>
                    </a:xfrm>
                    <a:prstGeom prst="rect">
                      <a:avLst/>
                    </a:prstGeom>
                    <a:ln>
                      <a:solidFill>
                        <a:schemeClr val="tx1"/>
                      </a:solidFill>
                    </a:ln>
                  </pic:spPr>
                </pic:pic>
              </a:graphicData>
            </a:graphic>
          </wp:inline>
        </w:drawing>
      </w:r>
    </w:p>
    <w:p w14:paraId="63BB7C0A" w14:textId="77777777" w:rsidR="007D1E74" w:rsidRDefault="00A95641">
      <w:pPr>
        <w:pStyle w:val="affffff6"/>
        <w:ind w:firstLineChars="0" w:firstLine="0"/>
        <w:jc w:val="center"/>
        <w:rPr>
          <w:rFonts w:ascii="Times New Roman" w:hAnsi="Times New Roman" w:cs="Times New Roman"/>
          <w:sz w:val="21"/>
          <w:szCs w:val="20"/>
        </w:rPr>
      </w:pPr>
      <w:r>
        <w:rPr>
          <w:rFonts w:ascii="Times New Roman" w:hAnsi="Times New Roman" w:cs="Times New Roman"/>
          <w:b/>
          <w:sz w:val="21"/>
          <w:szCs w:val="20"/>
        </w:rPr>
        <w:t>图</w:t>
      </w:r>
      <w:r>
        <w:rPr>
          <w:rFonts w:ascii="Times New Roman" w:hAnsi="Times New Roman" w:cs="Times New Roman"/>
          <w:b/>
          <w:sz w:val="21"/>
          <w:szCs w:val="20"/>
        </w:rPr>
        <w:t xml:space="preserve">3.2-5   </w:t>
      </w:r>
      <w:r>
        <w:rPr>
          <w:rFonts w:ascii="Times New Roman" w:hAnsi="Times New Roman" w:cs="Times New Roman"/>
          <w:b/>
          <w:sz w:val="21"/>
          <w:szCs w:val="20"/>
        </w:rPr>
        <w:t>顶管穿越道路施</w:t>
      </w:r>
      <w:r>
        <w:rPr>
          <w:rFonts w:ascii="Times New Roman" w:hAnsi="Times New Roman" w:cs="Times New Roman"/>
          <w:b/>
          <w:spacing w:val="-3"/>
          <w:sz w:val="21"/>
          <w:szCs w:val="20"/>
        </w:rPr>
        <w:t>工</w:t>
      </w:r>
      <w:r>
        <w:rPr>
          <w:rFonts w:ascii="Times New Roman" w:hAnsi="Times New Roman" w:cs="Times New Roman"/>
          <w:b/>
          <w:sz w:val="21"/>
          <w:szCs w:val="20"/>
        </w:rPr>
        <w:t>断面布置示意图</w:t>
      </w:r>
    </w:p>
    <w:p w14:paraId="2A928697" w14:textId="77777777" w:rsidR="007D1E74" w:rsidRDefault="00A95641">
      <w:pPr>
        <w:pStyle w:val="aff7"/>
        <w:spacing w:before="0" w:line="360" w:lineRule="auto"/>
        <w:ind w:firstLineChars="200" w:firstLine="482"/>
        <w:rPr>
          <w:rFonts w:ascii="Times New Roman" w:hAnsi="Times New Roman"/>
        </w:rPr>
      </w:pPr>
      <w:r>
        <w:rPr>
          <w:rFonts w:ascii="Times New Roman" w:hAnsi="Times New Roman"/>
        </w:rPr>
        <w:t>3.2.1.1.5</w:t>
      </w:r>
      <w:r>
        <w:rPr>
          <w:rFonts w:ascii="Times New Roman" w:hAnsi="Times New Roman"/>
        </w:rPr>
        <w:t>定向钻施工</w:t>
      </w:r>
    </w:p>
    <w:p w14:paraId="52422B77" w14:textId="77777777" w:rsidR="007D1E74" w:rsidRDefault="00A95641">
      <w:pPr>
        <w:spacing w:line="360" w:lineRule="auto"/>
        <w:ind w:firstLineChars="200" w:firstLine="480"/>
        <w:rPr>
          <w:sz w:val="24"/>
        </w:rPr>
      </w:pPr>
      <w:r>
        <w:rPr>
          <w:sz w:val="24"/>
        </w:rPr>
        <w:t>本项目共有</w:t>
      </w:r>
      <w:r>
        <w:rPr>
          <w:sz w:val="24"/>
        </w:rPr>
        <w:t>3</w:t>
      </w:r>
      <w:r>
        <w:rPr>
          <w:sz w:val="24"/>
        </w:rPr>
        <w:t>处穿越定向钻穿越，光缆采用海缆，与主管线平行穿越，间距</w:t>
      </w:r>
      <w:r>
        <w:rPr>
          <w:sz w:val="24"/>
        </w:rPr>
        <w:t>10m</w:t>
      </w:r>
      <w:r>
        <w:rPr>
          <w:sz w:val="24"/>
        </w:rPr>
        <w:t>。</w:t>
      </w:r>
    </w:p>
    <w:p w14:paraId="4F8A618D" w14:textId="77777777" w:rsidR="007D1E74" w:rsidRDefault="00A95641">
      <w:pPr>
        <w:pStyle w:val="aff7"/>
        <w:spacing w:line="240" w:lineRule="auto"/>
        <w:jc w:val="center"/>
        <w:rPr>
          <w:rFonts w:ascii="Times New Roman" w:hAnsi="Times New Roman"/>
          <w:sz w:val="21"/>
        </w:rPr>
      </w:pPr>
      <w:r>
        <w:rPr>
          <w:rFonts w:ascii="Times New Roman" w:hAnsi="Times New Roman"/>
          <w:noProof/>
        </w:rPr>
        <w:lastRenderedPageBreak/>
        <w:drawing>
          <wp:inline distT="0" distB="0" distL="0" distR="0" wp14:anchorId="16A33915" wp14:editId="0ED1A9FB">
            <wp:extent cx="4762500" cy="5204460"/>
            <wp:effectExtent l="0" t="0" r="7620" b="762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94"/>
                    <a:stretch>
                      <a:fillRect/>
                    </a:stretch>
                  </pic:blipFill>
                  <pic:spPr>
                    <a:xfrm>
                      <a:off x="0" y="0"/>
                      <a:ext cx="4762913" cy="5204911"/>
                    </a:xfrm>
                    <a:prstGeom prst="rect">
                      <a:avLst/>
                    </a:prstGeom>
                  </pic:spPr>
                </pic:pic>
              </a:graphicData>
            </a:graphic>
          </wp:inline>
        </w:drawing>
      </w:r>
    </w:p>
    <w:p w14:paraId="0ACD3897" w14:textId="77777777" w:rsidR="007D1E74" w:rsidRDefault="00A95641">
      <w:pPr>
        <w:pStyle w:val="aff7"/>
        <w:spacing w:line="240" w:lineRule="auto"/>
        <w:jc w:val="center"/>
        <w:rPr>
          <w:rStyle w:val="Charfffffff9"/>
          <w:b/>
          <w:sz w:val="21"/>
          <w:szCs w:val="21"/>
        </w:rPr>
      </w:pPr>
      <w:r>
        <w:rPr>
          <w:rFonts w:ascii="Times New Roman" w:hAnsi="Times New Roman"/>
          <w:sz w:val="21"/>
        </w:rPr>
        <w:t>图</w:t>
      </w:r>
      <w:r>
        <w:rPr>
          <w:rFonts w:ascii="Times New Roman" w:hAnsi="Times New Roman"/>
          <w:sz w:val="21"/>
        </w:rPr>
        <w:t>3.2-6</w:t>
      </w:r>
      <w:r>
        <w:rPr>
          <w:rStyle w:val="Charfffffff9"/>
          <w:b/>
          <w:sz w:val="21"/>
          <w:szCs w:val="21"/>
        </w:rPr>
        <w:t xml:space="preserve">   </w:t>
      </w:r>
      <w:r>
        <w:rPr>
          <w:rStyle w:val="Charfffffff9"/>
          <w:b/>
          <w:sz w:val="21"/>
          <w:szCs w:val="21"/>
        </w:rPr>
        <w:t>定向钻施工流程图</w:t>
      </w:r>
    </w:p>
    <w:p w14:paraId="7E00AE93" w14:textId="77777777" w:rsidR="007D1E74" w:rsidRDefault="00A95641">
      <w:pPr>
        <w:spacing w:line="360" w:lineRule="auto"/>
        <w:rPr>
          <w:b/>
          <w:bCs/>
          <w:sz w:val="24"/>
        </w:rPr>
      </w:pPr>
      <w:r>
        <w:rPr>
          <w:noProof/>
        </w:rPr>
        <w:drawing>
          <wp:inline distT="0" distB="0" distL="0" distR="0" wp14:anchorId="1C72C360" wp14:editId="79BDEE66">
            <wp:extent cx="5759450" cy="2197735"/>
            <wp:effectExtent l="0" t="0" r="1270" b="12065"/>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pic:cNvPicPr>
                  </pic:nvPicPr>
                  <pic:blipFill>
                    <a:blip r:embed="rId95"/>
                    <a:stretch>
                      <a:fillRect/>
                    </a:stretch>
                  </pic:blipFill>
                  <pic:spPr>
                    <a:xfrm>
                      <a:off x="0" y="0"/>
                      <a:ext cx="5759450" cy="2197735"/>
                    </a:xfrm>
                    <a:prstGeom prst="rect">
                      <a:avLst/>
                    </a:prstGeom>
                  </pic:spPr>
                </pic:pic>
              </a:graphicData>
            </a:graphic>
          </wp:inline>
        </w:drawing>
      </w:r>
    </w:p>
    <w:p w14:paraId="7B3646AB" w14:textId="77777777" w:rsidR="007D1E74" w:rsidRDefault="00A95641">
      <w:pPr>
        <w:pStyle w:val="aff7"/>
        <w:spacing w:line="240" w:lineRule="auto"/>
        <w:jc w:val="center"/>
        <w:rPr>
          <w:rStyle w:val="Charfffffff9"/>
          <w:b/>
          <w:sz w:val="21"/>
          <w:szCs w:val="21"/>
        </w:rPr>
      </w:pPr>
      <w:r>
        <w:rPr>
          <w:rFonts w:ascii="Times New Roman" w:hAnsi="Times New Roman"/>
          <w:sz w:val="21"/>
        </w:rPr>
        <w:t>图</w:t>
      </w:r>
      <w:r>
        <w:rPr>
          <w:rFonts w:ascii="Times New Roman" w:hAnsi="Times New Roman"/>
          <w:sz w:val="21"/>
        </w:rPr>
        <w:t>3.2-7</w:t>
      </w:r>
      <w:r>
        <w:rPr>
          <w:rStyle w:val="Charfffffff9"/>
          <w:b/>
          <w:sz w:val="21"/>
          <w:szCs w:val="21"/>
        </w:rPr>
        <w:t xml:space="preserve">   </w:t>
      </w:r>
      <w:r>
        <w:rPr>
          <w:rStyle w:val="Charfffffff9"/>
          <w:b/>
          <w:sz w:val="21"/>
          <w:szCs w:val="21"/>
        </w:rPr>
        <w:t>钻导向孔示意图</w:t>
      </w:r>
    </w:p>
    <w:p w14:paraId="6C420554" w14:textId="77777777" w:rsidR="007D1E74" w:rsidRDefault="00A95641">
      <w:pPr>
        <w:spacing w:line="360" w:lineRule="auto"/>
        <w:ind w:firstLineChars="200" w:firstLine="482"/>
        <w:rPr>
          <w:b/>
          <w:bCs/>
          <w:sz w:val="24"/>
        </w:rPr>
      </w:pPr>
      <w:r>
        <w:rPr>
          <w:b/>
          <w:bCs/>
          <w:sz w:val="24"/>
        </w:rPr>
        <w:t>施工工序：</w:t>
      </w:r>
    </w:p>
    <w:p w14:paraId="3BD3676B" w14:textId="77777777" w:rsidR="007D1E74" w:rsidRDefault="00A95641">
      <w:pPr>
        <w:spacing w:line="360" w:lineRule="auto"/>
        <w:ind w:firstLineChars="200" w:firstLine="480"/>
        <w:rPr>
          <w:sz w:val="24"/>
        </w:rPr>
      </w:pPr>
      <w:r>
        <w:rPr>
          <w:sz w:val="24"/>
        </w:rPr>
        <w:t>（</w:t>
      </w:r>
      <w:r>
        <w:rPr>
          <w:sz w:val="24"/>
        </w:rPr>
        <w:t>1</w:t>
      </w:r>
      <w:r>
        <w:rPr>
          <w:sz w:val="24"/>
        </w:rPr>
        <w:t>）测量放线</w:t>
      </w:r>
    </w:p>
    <w:p w14:paraId="3833501C" w14:textId="77777777" w:rsidR="007D1E74" w:rsidRDefault="00A95641">
      <w:pPr>
        <w:spacing w:line="360" w:lineRule="auto"/>
        <w:ind w:firstLineChars="200" w:firstLine="480"/>
        <w:rPr>
          <w:sz w:val="24"/>
        </w:rPr>
      </w:pPr>
      <w:r>
        <w:rPr>
          <w:sz w:val="24"/>
        </w:rPr>
        <w:lastRenderedPageBreak/>
        <w:t>1</w:t>
      </w:r>
      <w:r>
        <w:rPr>
          <w:sz w:val="24"/>
        </w:rPr>
        <w:t>）工程施工前约请设计人员进行设计交底，并现场交桩。施工队根据设计资料和设计人员所交的控制桩等进行复测，并设置可供控制和复查的标志桩、入土点桩、出土点桩和穿越中心线桩每边各</w:t>
      </w:r>
      <w:r>
        <w:rPr>
          <w:sz w:val="24"/>
        </w:rPr>
        <w:t>2</w:t>
      </w:r>
      <w:r>
        <w:rPr>
          <w:sz w:val="24"/>
        </w:rPr>
        <w:t>个。设置的各种桩标识明显记号予以保护，避免被人为破坏。</w:t>
      </w:r>
    </w:p>
    <w:p w14:paraId="23950CA7" w14:textId="77777777" w:rsidR="007D1E74" w:rsidRDefault="00A95641">
      <w:pPr>
        <w:spacing w:line="360" w:lineRule="auto"/>
        <w:ind w:firstLineChars="200" w:firstLine="480"/>
        <w:rPr>
          <w:sz w:val="24"/>
        </w:rPr>
      </w:pPr>
      <w:r>
        <w:rPr>
          <w:sz w:val="24"/>
        </w:rPr>
        <w:t>2</w:t>
      </w:r>
      <w:r>
        <w:rPr>
          <w:sz w:val="24"/>
        </w:rPr>
        <w:t>）复测用的测量仪器为</w:t>
      </w:r>
      <w:r>
        <w:rPr>
          <w:sz w:val="24"/>
        </w:rPr>
        <w:t>GPS</w:t>
      </w:r>
      <w:r>
        <w:rPr>
          <w:sz w:val="24"/>
        </w:rPr>
        <w:t>，在施工前必须经过法定计量单位校验合格且在有效期内，方能投入使用。</w:t>
      </w:r>
    </w:p>
    <w:p w14:paraId="28132B46" w14:textId="77777777" w:rsidR="007D1E74" w:rsidRDefault="00A95641">
      <w:pPr>
        <w:spacing w:line="360" w:lineRule="auto"/>
        <w:ind w:firstLineChars="200" w:firstLine="480"/>
        <w:rPr>
          <w:sz w:val="24"/>
        </w:rPr>
      </w:pPr>
      <w:r>
        <w:rPr>
          <w:sz w:val="24"/>
        </w:rPr>
        <w:t>3</w:t>
      </w:r>
      <w:r>
        <w:rPr>
          <w:sz w:val="24"/>
        </w:rPr>
        <w:t>）根据设置的穿越中心线桩和出、入土点桩放线，用白石灰将边线和穿越中心线标识出。根据施工场地的具体情况，灵活调整出、入土点作业区的面积和设备的安装空间，以安全、够用、经济为原则。</w:t>
      </w:r>
    </w:p>
    <w:p w14:paraId="026FF6A6" w14:textId="77777777" w:rsidR="007D1E74" w:rsidRDefault="00A95641">
      <w:pPr>
        <w:spacing w:line="360" w:lineRule="auto"/>
        <w:ind w:firstLineChars="200" w:firstLine="480"/>
        <w:rPr>
          <w:sz w:val="24"/>
        </w:rPr>
      </w:pPr>
      <w:r>
        <w:rPr>
          <w:sz w:val="24"/>
        </w:rPr>
        <w:t>（</w:t>
      </w:r>
      <w:r>
        <w:rPr>
          <w:sz w:val="24"/>
        </w:rPr>
        <w:t>2</w:t>
      </w:r>
      <w:r>
        <w:rPr>
          <w:sz w:val="24"/>
        </w:rPr>
        <w:t>）场地平整及便道修筑</w:t>
      </w:r>
    </w:p>
    <w:p w14:paraId="1C55E618" w14:textId="77777777" w:rsidR="007D1E74" w:rsidRDefault="00A95641">
      <w:pPr>
        <w:spacing w:line="360" w:lineRule="auto"/>
        <w:ind w:firstLineChars="200" w:firstLine="480"/>
        <w:rPr>
          <w:sz w:val="24"/>
        </w:rPr>
      </w:pPr>
      <w:r>
        <w:rPr>
          <w:sz w:val="24"/>
        </w:rPr>
        <w:t>1</w:t>
      </w:r>
      <w:r>
        <w:rPr>
          <w:sz w:val="24"/>
        </w:rPr>
        <w:t>）施工前施工现场需要达到</w:t>
      </w:r>
      <w:r>
        <w:rPr>
          <w:sz w:val="24"/>
        </w:rPr>
        <w:t>“</w:t>
      </w:r>
      <w:r>
        <w:rPr>
          <w:sz w:val="24"/>
        </w:rPr>
        <w:t>三通一平</w:t>
      </w:r>
      <w:r>
        <w:rPr>
          <w:sz w:val="24"/>
        </w:rPr>
        <w:t>”</w:t>
      </w:r>
      <w:r>
        <w:rPr>
          <w:sz w:val="24"/>
        </w:rPr>
        <w:t>的条件：路通、水通、电通和作业区平整。</w:t>
      </w:r>
    </w:p>
    <w:p w14:paraId="2668EB82" w14:textId="77777777" w:rsidR="007D1E74" w:rsidRDefault="00A95641">
      <w:pPr>
        <w:spacing w:line="360" w:lineRule="auto"/>
        <w:ind w:firstLineChars="200" w:firstLine="480"/>
        <w:rPr>
          <w:sz w:val="24"/>
        </w:rPr>
      </w:pPr>
      <w:r>
        <w:rPr>
          <w:sz w:val="24"/>
        </w:rPr>
        <w:t>2</w:t>
      </w:r>
      <w:r>
        <w:rPr>
          <w:sz w:val="24"/>
        </w:rPr>
        <w:t>）施工用电由机组自带发电机发电；施工用水在施工现场附近解决；生活用水、用电可以在租用民房附近解决。</w:t>
      </w:r>
    </w:p>
    <w:p w14:paraId="221F9AF7" w14:textId="77777777" w:rsidR="007D1E74" w:rsidRDefault="00A95641">
      <w:pPr>
        <w:spacing w:line="360" w:lineRule="auto"/>
        <w:ind w:firstLineChars="200" w:firstLine="480"/>
        <w:rPr>
          <w:sz w:val="24"/>
        </w:rPr>
      </w:pPr>
      <w:r>
        <w:rPr>
          <w:sz w:val="24"/>
        </w:rPr>
        <w:t>3</w:t>
      </w:r>
      <w:r>
        <w:rPr>
          <w:sz w:val="24"/>
        </w:rPr>
        <w:t>）定向钻设备进场可利用</w:t>
      </w:r>
      <w:r>
        <w:rPr>
          <w:sz w:val="24"/>
        </w:rPr>
        <w:t>201</w:t>
      </w:r>
      <w:r>
        <w:rPr>
          <w:sz w:val="24"/>
        </w:rPr>
        <w:t>省道运输，有乡村水泥道路接近穿越场地，因道路承压强度不能满足运输条件，需进行施工便道修筑。出土点可利用部分乡村水泥道路接近穿越场地，水泥路与场地间需修筑施工便道。</w:t>
      </w:r>
    </w:p>
    <w:p w14:paraId="3188CD2C" w14:textId="77777777" w:rsidR="007D1E74" w:rsidRDefault="00A95641">
      <w:pPr>
        <w:spacing w:line="360" w:lineRule="auto"/>
        <w:ind w:firstLineChars="200" w:firstLine="480"/>
        <w:rPr>
          <w:sz w:val="24"/>
        </w:rPr>
      </w:pPr>
      <w:r>
        <w:rPr>
          <w:sz w:val="24"/>
        </w:rPr>
        <w:t>4</w:t>
      </w:r>
      <w:r>
        <w:rPr>
          <w:sz w:val="24"/>
        </w:rPr>
        <w:t>）施工便道修筑方法：首先用白石灰放出到作业区的</w:t>
      </w:r>
      <w:r>
        <w:rPr>
          <w:sz w:val="24"/>
        </w:rPr>
        <w:t>6m</w:t>
      </w:r>
      <w:r>
        <w:rPr>
          <w:sz w:val="24"/>
        </w:rPr>
        <w:t>宽便道，用挖掘机将白石灰范围内地表上的障碍物清理干净，对高低不平的地段进行平整。然后铺设</w:t>
      </w:r>
      <w:r>
        <w:rPr>
          <w:sz w:val="24"/>
        </w:rPr>
        <w:t xml:space="preserve"> 50cm </w:t>
      </w:r>
      <w:r>
        <w:rPr>
          <w:sz w:val="24"/>
        </w:rPr>
        <w:t>厚的级配碎（砾）石，确保施工机具、设备的行驶安全。最后平行施工便道两旁开挖</w:t>
      </w:r>
      <w:r>
        <w:rPr>
          <w:sz w:val="24"/>
        </w:rPr>
        <w:t xml:space="preserve"> 0.5m×0.5m</w:t>
      </w:r>
      <w:r>
        <w:rPr>
          <w:sz w:val="24"/>
        </w:rPr>
        <w:t>排水沟，避免下雨冲坏便道及设备无法通行。</w:t>
      </w:r>
    </w:p>
    <w:p w14:paraId="6833E9D9" w14:textId="77777777" w:rsidR="007D1E74" w:rsidRDefault="00A95641">
      <w:pPr>
        <w:spacing w:line="360" w:lineRule="auto"/>
        <w:ind w:firstLineChars="200" w:firstLine="480"/>
        <w:rPr>
          <w:sz w:val="24"/>
        </w:rPr>
      </w:pPr>
      <w:r>
        <w:rPr>
          <w:sz w:val="24"/>
        </w:rPr>
        <w:t>5</w:t>
      </w:r>
      <w:r>
        <w:rPr>
          <w:sz w:val="24"/>
        </w:rPr>
        <w:t>）场地平整：用挖掘机将作业区平整、压实，并在进口醒目处安装有工序、分区等标示牌、安全生产和操作规程牌，在其他有安全隐患的部位安装安全警示标识。</w:t>
      </w:r>
    </w:p>
    <w:p w14:paraId="2A9F1402" w14:textId="77777777" w:rsidR="007D1E74" w:rsidRDefault="00A95641">
      <w:pPr>
        <w:spacing w:line="360" w:lineRule="auto"/>
        <w:ind w:firstLineChars="200" w:firstLine="480"/>
        <w:rPr>
          <w:sz w:val="24"/>
        </w:rPr>
      </w:pPr>
      <w:r>
        <w:rPr>
          <w:sz w:val="24"/>
        </w:rPr>
        <w:t>（</w:t>
      </w:r>
      <w:r>
        <w:rPr>
          <w:sz w:val="24"/>
        </w:rPr>
        <w:t>3</w:t>
      </w:r>
      <w:r>
        <w:rPr>
          <w:sz w:val="24"/>
        </w:rPr>
        <w:t>）场地布置</w:t>
      </w:r>
    </w:p>
    <w:p w14:paraId="33CF52F7" w14:textId="77777777" w:rsidR="007D1E74" w:rsidRDefault="00A95641">
      <w:pPr>
        <w:spacing w:line="360" w:lineRule="auto"/>
        <w:ind w:firstLineChars="200" w:firstLine="480"/>
        <w:rPr>
          <w:sz w:val="24"/>
        </w:rPr>
      </w:pPr>
      <w:r>
        <w:rPr>
          <w:sz w:val="24"/>
        </w:rPr>
        <w:t>场地修垫面积，放置钻机、钻杆、泥浆罐等设备。场地采用机械碾压平整后作为钻机场地。根据</w:t>
      </w:r>
      <w:r>
        <w:rPr>
          <w:sz w:val="24"/>
        </w:rPr>
        <w:t>GB50424-2015</w:t>
      </w:r>
      <w:r>
        <w:rPr>
          <w:sz w:val="24"/>
        </w:rPr>
        <w:t>油气输送管道穿越工程施工规范要求及现场实际，在入土点设置钻机安装场地，施工时需对场地进行硬化，在出土点设置钻具操作场地。其中穿越管段的预制场地的长度宜为设计水平长度加</w:t>
      </w:r>
      <w:r>
        <w:rPr>
          <w:sz w:val="24"/>
        </w:rPr>
        <w:t>20m</w:t>
      </w:r>
      <w:r>
        <w:rPr>
          <w:sz w:val="24"/>
        </w:rPr>
        <w:t>。</w:t>
      </w:r>
    </w:p>
    <w:p w14:paraId="33AE9716" w14:textId="77777777" w:rsidR="007D1E74" w:rsidRDefault="00A95641">
      <w:pPr>
        <w:spacing w:line="360" w:lineRule="auto"/>
        <w:ind w:firstLineChars="200" w:firstLine="480"/>
        <w:rPr>
          <w:sz w:val="24"/>
        </w:rPr>
      </w:pPr>
      <w:r>
        <w:rPr>
          <w:sz w:val="24"/>
        </w:rPr>
        <w:t>（</w:t>
      </w:r>
      <w:r>
        <w:rPr>
          <w:sz w:val="24"/>
        </w:rPr>
        <w:t>4</w:t>
      </w:r>
      <w:r>
        <w:rPr>
          <w:sz w:val="24"/>
        </w:rPr>
        <w:t>）泥浆池开挖</w:t>
      </w:r>
    </w:p>
    <w:p w14:paraId="4BE6FA2A" w14:textId="77777777" w:rsidR="007D1E74" w:rsidRDefault="00A95641">
      <w:pPr>
        <w:spacing w:line="360" w:lineRule="auto"/>
        <w:ind w:firstLineChars="200" w:firstLine="480"/>
        <w:rPr>
          <w:sz w:val="24"/>
        </w:rPr>
      </w:pPr>
      <w:r>
        <w:rPr>
          <w:sz w:val="24"/>
        </w:rPr>
        <w:t>泥浆池与泥浆回流沟内四周和底部铺塑料布，回流沟宽</w:t>
      </w:r>
      <w:r>
        <w:rPr>
          <w:sz w:val="24"/>
        </w:rPr>
        <w:t>1m</w:t>
      </w:r>
      <w:r>
        <w:rPr>
          <w:sz w:val="24"/>
        </w:rPr>
        <w:t>，深度平均为</w:t>
      </w:r>
      <w:r>
        <w:rPr>
          <w:sz w:val="24"/>
        </w:rPr>
        <w:t>0.5m</w:t>
      </w:r>
      <w:r>
        <w:rPr>
          <w:sz w:val="24"/>
        </w:rPr>
        <w:t>，防</w:t>
      </w:r>
      <w:r>
        <w:rPr>
          <w:sz w:val="24"/>
        </w:rPr>
        <w:lastRenderedPageBreak/>
        <w:t>止泥浆渗漏而污染土壤。泥浆池尺寸为</w:t>
      </w:r>
      <w:r>
        <w:rPr>
          <w:sz w:val="24"/>
        </w:rPr>
        <w:t>20m×20m×2m</w:t>
      </w:r>
      <w:r>
        <w:rPr>
          <w:sz w:val="24"/>
        </w:rPr>
        <w:t>，四周设立警示牌。</w:t>
      </w:r>
    </w:p>
    <w:p w14:paraId="7717E88F" w14:textId="77777777" w:rsidR="007D1E74" w:rsidRDefault="00A95641">
      <w:pPr>
        <w:pStyle w:val="aff7"/>
        <w:spacing w:before="0" w:line="360" w:lineRule="auto"/>
        <w:ind w:firstLineChars="200" w:firstLine="482"/>
        <w:rPr>
          <w:rFonts w:ascii="Times New Roman" w:hAnsi="Times New Roman"/>
        </w:rPr>
      </w:pPr>
      <w:r>
        <w:rPr>
          <w:rFonts w:ascii="Times New Roman" w:hAnsi="Times New Roman"/>
        </w:rPr>
        <w:t>（</w:t>
      </w:r>
      <w:r>
        <w:rPr>
          <w:rFonts w:ascii="Times New Roman" w:hAnsi="Times New Roman"/>
        </w:rPr>
        <w:t>5</w:t>
      </w:r>
      <w:r>
        <w:rPr>
          <w:rFonts w:ascii="Times New Roman" w:hAnsi="Times New Roman"/>
        </w:rPr>
        <w:t>）设备进场布置</w:t>
      </w:r>
    </w:p>
    <w:p w14:paraId="6B41A4D7"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为保证设备安装顺利进行，设备进场安装应按照先后顺序进行。设备进场安装顺序为：钻机安装</w:t>
      </w:r>
      <w:r>
        <w:rPr>
          <w:rFonts w:ascii="Times New Roman" w:hAnsi="Times New Roman"/>
          <w:b w:val="0"/>
          <w:bCs w:val="0"/>
        </w:rPr>
        <w:t>→</w:t>
      </w:r>
      <w:r>
        <w:rPr>
          <w:rFonts w:ascii="Times New Roman" w:hAnsi="Times New Roman"/>
          <w:b w:val="0"/>
          <w:bCs w:val="0"/>
        </w:rPr>
        <w:t>钻机操作控制室安装</w:t>
      </w:r>
      <w:r>
        <w:rPr>
          <w:rFonts w:ascii="Times New Roman" w:hAnsi="Times New Roman"/>
          <w:b w:val="0"/>
          <w:bCs w:val="0"/>
        </w:rPr>
        <w:t>→</w:t>
      </w:r>
      <w:r>
        <w:rPr>
          <w:rFonts w:ascii="Times New Roman" w:hAnsi="Times New Roman"/>
          <w:b w:val="0"/>
          <w:bCs w:val="0"/>
        </w:rPr>
        <w:t>泥浆系统安装</w:t>
      </w:r>
      <w:r>
        <w:rPr>
          <w:rFonts w:ascii="Times New Roman" w:hAnsi="Times New Roman"/>
          <w:b w:val="0"/>
          <w:bCs w:val="0"/>
        </w:rPr>
        <w:t>→</w:t>
      </w:r>
      <w:r>
        <w:rPr>
          <w:rFonts w:ascii="Times New Roman" w:hAnsi="Times New Roman"/>
          <w:b w:val="0"/>
          <w:bCs w:val="0"/>
        </w:rPr>
        <w:t>泥浆泵安装</w:t>
      </w:r>
      <w:r>
        <w:rPr>
          <w:rFonts w:ascii="Times New Roman" w:hAnsi="Times New Roman"/>
          <w:b w:val="0"/>
          <w:bCs w:val="0"/>
        </w:rPr>
        <w:t>→</w:t>
      </w:r>
      <w:r>
        <w:rPr>
          <w:rFonts w:ascii="Times New Roman" w:hAnsi="Times New Roman"/>
          <w:b w:val="0"/>
          <w:bCs w:val="0"/>
        </w:rPr>
        <w:t>钻杆摆放就位</w:t>
      </w:r>
      <w:r>
        <w:rPr>
          <w:rFonts w:ascii="Times New Roman" w:hAnsi="Times New Roman"/>
          <w:b w:val="0"/>
          <w:bCs w:val="0"/>
        </w:rPr>
        <w:t>→</w:t>
      </w:r>
      <w:r>
        <w:rPr>
          <w:rFonts w:ascii="Times New Roman" w:hAnsi="Times New Roman"/>
          <w:b w:val="0"/>
          <w:bCs w:val="0"/>
        </w:rPr>
        <w:t>其他设备安装就位。锚固箱安装就位后，用吊车配合，将钻机及配套设备连接安装就位，根据管道穿越中心线，调整钻机的左右位置，使钻机中心线与管道穿越中心线重合；根据设计图纸提供的入、出土角调整钻机高度，使钻机的行走轨道与水平面的夹角与设计的入、出土角相吻合。其它动力系统、泥浆系统按平面布置摆放在相应的位置。钻机场地和管线组装场地各有一个泥浆收集池，泥浆通过泥浆池收集，再经过泥浆回收系统回收再使用。反循环砂石泵从泥浆沉淀池中抽吸出的泥浆通过总进浆管输送到泥浆净化装置的粗筛网，经过其振动将粒径在</w:t>
      </w:r>
      <w:r>
        <w:rPr>
          <w:rFonts w:ascii="Times New Roman" w:hAnsi="Times New Roman"/>
          <w:b w:val="0"/>
          <w:bCs w:val="0"/>
        </w:rPr>
        <w:t>3mm</w:t>
      </w:r>
      <w:r>
        <w:rPr>
          <w:rFonts w:ascii="Times New Roman" w:hAnsi="Times New Roman"/>
          <w:b w:val="0"/>
          <w:bCs w:val="0"/>
        </w:rPr>
        <w:t>以上的颗粒分离出来。经过粗筛筛选的泥浆进入泥浆净化装置的储浆槽，由净化装置的渣浆泵从槽内抽吸泥浆，在泵的出口具有一定储能的泥浆沿输浆软管从水里旋流器的进浆口切向射入，通过水里旋流器的分选，粒径微细的泥砂由旋流器下端的沉砂嘴排出落入细筛。经细筛脱水筛选后，较干燥的细渣料分离出来，经过细筛筛选的泥浆再次返回储浆槽内，处理后的的干净泥浆从旋流器溢流管进入中储箱，然后沿总出浆管再次进入泥浆的搅拌罐，重新配置合格后泵送入空内。</w:t>
      </w:r>
    </w:p>
    <w:p w14:paraId="505DC5B7" w14:textId="77777777" w:rsidR="007D1E74" w:rsidRDefault="00A95641">
      <w:pPr>
        <w:pStyle w:val="aff7"/>
        <w:spacing w:before="0" w:line="360" w:lineRule="auto"/>
        <w:rPr>
          <w:rFonts w:ascii="Times New Roman" w:hAnsi="Times New Roman"/>
          <w:b w:val="0"/>
          <w:bCs w:val="0"/>
        </w:rPr>
      </w:pPr>
      <w:r>
        <w:rPr>
          <w:rFonts w:ascii="Times New Roman" w:hAnsi="Times New Roman"/>
          <w:b w:val="0"/>
          <w:bCs w:val="0"/>
        </w:rPr>
        <w:t>在穿越施工中，返回泥浆一般经过以上三级处理即可满足施工要求，重复利用。</w:t>
      </w:r>
    </w:p>
    <w:p w14:paraId="3876CFD4"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w:t>
      </w:r>
      <w:r>
        <w:rPr>
          <w:rFonts w:ascii="Times New Roman" w:hAnsi="Times New Roman"/>
          <w:b w:val="0"/>
          <w:bCs w:val="0"/>
        </w:rPr>
        <w:t>6</w:t>
      </w:r>
      <w:r>
        <w:rPr>
          <w:rFonts w:ascii="Times New Roman" w:hAnsi="Times New Roman"/>
          <w:b w:val="0"/>
          <w:bCs w:val="0"/>
        </w:rPr>
        <w:t>）钻导向孔</w:t>
      </w:r>
    </w:p>
    <w:p w14:paraId="410FC365"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管线两侧穿越杂（素）填土，中砂</w:t>
      </w:r>
      <w:r>
        <w:rPr>
          <w:rFonts w:ascii="Times New Roman" w:hAnsi="Times New Roman"/>
          <w:b w:val="0"/>
          <w:bCs w:val="0"/>
        </w:rPr>
        <w:t>,</w:t>
      </w:r>
      <w:r>
        <w:rPr>
          <w:rFonts w:ascii="Times New Roman" w:hAnsi="Times New Roman"/>
          <w:b w:val="0"/>
          <w:bCs w:val="0"/>
        </w:rPr>
        <w:t>卵石层及风化花岗岩层。砂</w:t>
      </w:r>
      <w:r>
        <w:rPr>
          <w:rFonts w:ascii="Times New Roman" w:hAnsi="Times New Roman"/>
          <w:b w:val="0"/>
          <w:bCs w:val="0"/>
        </w:rPr>
        <w:t>-</w:t>
      </w:r>
      <w:r>
        <w:rPr>
          <w:rFonts w:ascii="Times New Roman" w:hAnsi="Times New Roman"/>
          <w:b w:val="0"/>
          <w:bCs w:val="0"/>
        </w:rPr>
        <w:t>卵石层</w:t>
      </w:r>
      <w:r>
        <w:rPr>
          <w:rFonts w:ascii="Times New Roman" w:hAnsi="Times New Roman"/>
          <w:b w:val="0"/>
          <w:bCs w:val="0"/>
        </w:rPr>
        <w:t>-</w:t>
      </w:r>
      <w:r>
        <w:rPr>
          <w:rFonts w:ascii="Times New Roman" w:hAnsi="Times New Roman"/>
          <w:b w:val="0"/>
          <w:bCs w:val="0"/>
        </w:rPr>
        <w:t>岩石层，此段地层较复杂不易定向钻施工，为保证施工安全，出、入土点需采用夯套管方式隔离不良地层。</w:t>
      </w:r>
    </w:p>
    <w:p w14:paraId="14C7C931"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w:t>
      </w:r>
      <w:r>
        <w:rPr>
          <w:rFonts w:ascii="Times New Roman" w:hAnsi="Times New Roman"/>
          <w:b w:val="0"/>
          <w:bCs w:val="0"/>
        </w:rPr>
        <w:t>7</w:t>
      </w:r>
      <w:r>
        <w:rPr>
          <w:rFonts w:ascii="Times New Roman" w:hAnsi="Times New Roman"/>
          <w:b w:val="0"/>
          <w:bCs w:val="0"/>
        </w:rPr>
        <w:t>）夯管</w:t>
      </w:r>
    </w:p>
    <w:p w14:paraId="4F7E2BED"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1</w:t>
      </w:r>
      <w:r>
        <w:rPr>
          <w:rFonts w:ascii="Times New Roman" w:hAnsi="Times New Roman"/>
          <w:b w:val="0"/>
          <w:bCs w:val="0"/>
        </w:rPr>
        <w:t>）工作坑和安装导轨</w:t>
      </w:r>
    </w:p>
    <w:p w14:paraId="3667F5BF"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工作坑的长度为</w:t>
      </w:r>
      <w:r>
        <w:rPr>
          <w:rFonts w:ascii="Times New Roman" w:hAnsi="Times New Roman"/>
          <w:b w:val="0"/>
          <w:bCs w:val="0"/>
        </w:rPr>
        <w:t>20</w:t>
      </w:r>
      <w:r>
        <w:rPr>
          <w:rFonts w:ascii="Times New Roman" w:hAnsi="Times New Roman"/>
          <w:b w:val="0"/>
          <w:bCs w:val="0"/>
        </w:rPr>
        <w:t>米，宽为上口</w:t>
      </w:r>
      <w:r>
        <w:rPr>
          <w:rFonts w:ascii="Times New Roman" w:hAnsi="Times New Roman"/>
          <w:b w:val="0"/>
          <w:bCs w:val="0"/>
        </w:rPr>
        <w:t>8</w:t>
      </w:r>
      <w:r>
        <w:rPr>
          <w:rFonts w:ascii="Times New Roman" w:hAnsi="Times New Roman"/>
          <w:b w:val="0"/>
          <w:bCs w:val="0"/>
        </w:rPr>
        <w:t>米坑底宽</w:t>
      </w:r>
      <w:r>
        <w:rPr>
          <w:rFonts w:ascii="Times New Roman" w:hAnsi="Times New Roman"/>
          <w:b w:val="0"/>
          <w:bCs w:val="0"/>
        </w:rPr>
        <w:t>5</w:t>
      </w:r>
      <w:r>
        <w:rPr>
          <w:rFonts w:ascii="Times New Roman" w:hAnsi="Times New Roman"/>
          <w:b w:val="0"/>
          <w:bCs w:val="0"/>
        </w:rPr>
        <w:t>米</w:t>
      </w:r>
      <w:r>
        <w:rPr>
          <w:rFonts w:ascii="Times New Roman" w:hAnsi="Times New Roman"/>
          <w:b w:val="0"/>
          <w:bCs w:val="0"/>
        </w:rPr>
        <w:t>,</w:t>
      </w:r>
      <w:r>
        <w:rPr>
          <w:rFonts w:ascii="Times New Roman" w:hAnsi="Times New Roman"/>
          <w:b w:val="0"/>
          <w:bCs w:val="0"/>
        </w:rPr>
        <w:t>以设计钻机的入土点为工作坑的最前端</w:t>
      </w:r>
      <w:r>
        <w:rPr>
          <w:rFonts w:ascii="Times New Roman" w:hAnsi="Times New Roman"/>
          <w:b w:val="0"/>
          <w:bCs w:val="0"/>
        </w:rPr>
        <w:t>,</w:t>
      </w:r>
      <w:r>
        <w:rPr>
          <w:rFonts w:ascii="Times New Roman" w:hAnsi="Times New Roman"/>
          <w:b w:val="0"/>
          <w:bCs w:val="0"/>
        </w:rPr>
        <w:t>深度为</w:t>
      </w:r>
      <w:r>
        <w:rPr>
          <w:rFonts w:ascii="Times New Roman" w:hAnsi="Times New Roman"/>
          <w:b w:val="0"/>
          <w:bCs w:val="0"/>
        </w:rPr>
        <w:t>2</w:t>
      </w:r>
      <w:r>
        <w:rPr>
          <w:rFonts w:ascii="Times New Roman" w:hAnsi="Times New Roman"/>
          <w:b w:val="0"/>
          <w:bCs w:val="0"/>
        </w:rPr>
        <w:t>米的锚喷工作坑</w:t>
      </w:r>
      <w:r>
        <w:rPr>
          <w:rFonts w:ascii="Times New Roman" w:hAnsi="Times New Roman"/>
          <w:b w:val="0"/>
          <w:bCs w:val="0"/>
        </w:rPr>
        <w:t>.</w:t>
      </w:r>
      <w:r>
        <w:rPr>
          <w:rFonts w:ascii="Times New Roman" w:hAnsi="Times New Roman"/>
          <w:b w:val="0"/>
          <w:bCs w:val="0"/>
        </w:rPr>
        <w:t>开挖支护到底后，用水准仪定出管轴线位置，同时，对坑底进行超平，并做好标记。首先，将挖好操作坑进行角度找平，在铺设碎石子约</w:t>
      </w:r>
      <w:r>
        <w:rPr>
          <w:rFonts w:ascii="Times New Roman" w:hAnsi="Times New Roman"/>
          <w:b w:val="0"/>
          <w:bCs w:val="0"/>
        </w:rPr>
        <w:t>260mm</w:t>
      </w:r>
      <w:r>
        <w:rPr>
          <w:rFonts w:ascii="Times New Roman" w:hAnsi="Times New Roman"/>
          <w:b w:val="0"/>
          <w:bCs w:val="0"/>
        </w:rPr>
        <w:t>，在铺设钢板进行找平（工作平台），在工作平台上固定安放</w:t>
      </w:r>
      <w:r>
        <w:rPr>
          <w:rFonts w:ascii="Times New Roman" w:hAnsi="Times New Roman"/>
          <w:b w:val="0"/>
          <w:bCs w:val="0"/>
        </w:rPr>
        <w:t xml:space="preserve"> 450mm </w:t>
      </w:r>
      <w:r>
        <w:rPr>
          <w:rFonts w:ascii="Times New Roman" w:hAnsi="Times New Roman"/>
          <w:b w:val="0"/>
          <w:bCs w:val="0"/>
        </w:rPr>
        <w:t>工字钢，由于钢管轨迹设计为水平，因此，工字钢作为导向轨道，自身必须平直无弯曲。用水准仪多点测量控制槽钢的水平，在根据需要的水平角度调节导轨的倾角</w:t>
      </w:r>
      <w:r>
        <w:rPr>
          <w:rFonts w:ascii="Times New Roman" w:hAnsi="Times New Roman"/>
          <w:b w:val="0"/>
          <w:bCs w:val="0"/>
        </w:rPr>
        <w:t xml:space="preserve">. </w:t>
      </w:r>
      <w:r>
        <w:rPr>
          <w:rFonts w:ascii="Times New Roman" w:hAnsi="Times New Roman"/>
          <w:b w:val="0"/>
          <w:bCs w:val="0"/>
        </w:rPr>
        <w:t>导向、对中、安</w:t>
      </w:r>
      <w:r>
        <w:rPr>
          <w:rFonts w:ascii="Times New Roman" w:hAnsi="Times New Roman"/>
          <w:b w:val="0"/>
          <w:bCs w:val="0"/>
        </w:rPr>
        <w:lastRenderedPageBreak/>
        <w:t>平仪器严格遵守使用技术规程，正确安装，细心调试，直到精度测量误差达到规范要求为止。</w:t>
      </w:r>
    </w:p>
    <w:p w14:paraId="4D4B6146"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2</w:t>
      </w:r>
      <w:r>
        <w:rPr>
          <w:rFonts w:ascii="Times New Roman" w:hAnsi="Times New Roman"/>
          <w:b w:val="0"/>
          <w:bCs w:val="0"/>
        </w:rPr>
        <w:t>）铺管</w:t>
      </w:r>
    </w:p>
    <w:p w14:paraId="5FDF9FCE"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按工作平台长度，将</w:t>
      </w:r>
      <w:r>
        <w:rPr>
          <w:rFonts w:ascii="Times New Roman" w:hAnsi="Times New Roman"/>
          <w:b w:val="0"/>
          <w:bCs w:val="0"/>
        </w:rPr>
        <w:t xml:space="preserve">Φ1016 </w:t>
      </w:r>
      <w:r>
        <w:rPr>
          <w:rFonts w:ascii="Times New Roman" w:hAnsi="Times New Roman"/>
          <w:b w:val="0"/>
          <w:bCs w:val="0"/>
        </w:rPr>
        <w:t>钢管加工为</w:t>
      </w:r>
      <w:r>
        <w:rPr>
          <w:rFonts w:ascii="Times New Roman" w:hAnsi="Times New Roman"/>
          <w:b w:val="0"/>
          <w:bCs w:val="0"/>
        </w:rPr>
        <w:t xml:space="preserve"> 12m </w:t>
      </w:r>
      <w:r>
        <w:rPr>
          <w:rFonts w:ascii="Times New Roman" w:hAnsi="Times New Roman"/>
          <w:b w:val="0"/>
          <w:bCs w:val="0"/>
        </w:rPr>
        <w:t>一根，第一根前端安装好切削环。将第一根钢管和夯管锤安放在轨道上，用张紧器将夯管锤通过锥套与钢管连为整体。安装完成后，检查钢管的所需的倾角、垂直位置。送风后夯管锤即开始工作。第一根管操作上应缓慢开启注油器、控制空气量，采用</w:t>
      </w:r>
      <w:r>
        <w:rPr>
          <w:rFonts w:ascii="Times New Roman" w:hAnsi="Times New Roman"/>
          <w:b w:val="0"/>
          <w:bCs w:val="0"/>
        </w:rPr>
        <w:t>“</w:t>
      </w:r>
      <w:r>
        <w:rPr>
          <w:rFonts w:ascii="Times New Roman" w:hAnsi="Times New Roman"/>
          <w:b w:val="0"/>
          <w:bCs w:val="0"/>
        </w:rPr>
        <w:t>轻锤慢进</w:t>
      </w:r>
      <w:r>
        <w:rPr>
          <w:rFonts w:ascii="Times New Roman" w:hAnsi="Times New Roman"/>
          <w:b w:val="0"/>
          <w:bCs w:val="0"/>
        </w:rPr>
        <w:t>”</w:t>
      </w:r>
      <w:r>
        <w:rPr>
          <w:rFonts w:ascii="Times New Roman" w:hAnsi="Times New Roman"/>
          <w:b w:val="0"/>
          <w:bCs w:val="0"/>
        </w:rPr>
        <w:t>，防止钢管和夯管锤一起往复串动。钢管夯进土层</w:t>
      </w:r>
      <w:r>
        <w:rPr>
          <w:rFonts w:ascii="Times New Roman" w:hAnsi="Times New Roman"/>
          <w:b w:val="0"/>
          <w:bCs w:val="0"/>
        </w:rPr>
        <w:t xml:space="preserve">30-50cm </w:t>
      </w:r>
      <w:r>
        <w:rPr>
          <w:rFonts w:ascii="Times New Roman" w:hAnsi="Times New Roman"/>
          <w:b w:val="0"/>
          <w:bCs w:val="0"/>
        </w:rPr>
        <w:t>后，停锤校核钢管位置，无误后，再继续轻锤夯进</w:t>
      </w:r>
      <w:r>
        <w:rPr>
          <w:rFonts w:ascii="Times New Roman" w:hAnsi="Times New Roman"/>
          <w:b w:val="0"/>
          <w:bCs w:val="0"/>
        </w:rPr>
        <w:t>2-3m</w:t>
      </w:r>
      <w:r>
        <w:rPr>
          <w:rFonts w:ascii="Times New Roman" w:hAnsi="Times New Roman"/>
          <w:b w:val="0"/>
          <w:bCs w:val="0"/>
        </w:rPr>
        <w:t>，再次校核钢管位置，继续采用</w:t>
      </w:r>
      <w:r>
        <w:rPr>
          <w:rFonts w:ascii="Times New Roman" w:hAnsi="Times New Roman"/>
          <w:b w:val="0"/>
          <w:bCs w:val="0"/>
        </w:rPr>
        <w:t>“</w:t>
      </w:r>
      <w:r>
        <w:rPr>
          <w:rFonts w:ascii="Times New Roman" w:hAnsi="Times New Roman"/>
          <w:b w:val="0"/>
          <w:bCs w:val="0"/>
        </w:rPr>
        <w:t>轻锤慢进</w:t>
      </w:r>
      <w:r>
        <w:rPr>
          <w:rFonts w:ascii="Times New Roman" w:hAnsi="Times New Roman"/>
          <w:b w:val="0"/>
          <w:bCs w:val="0"/>
        </w:rPr>
        <w:t>”</w:t>
      </w:r>
      <w:r>
        <w:rPr>
          <w:rFonts w:ascii="Times New Roman" w:hAnsi="Times New Roman"/>
          <w:b w:val="0"/>
          <w:bCs w:val="0"/>
        </w:rPr>
        <w:t>参数将第一根管夯入土层。校核导轨位置无误后，吊装第二根钢管，钢管之间采用</w:t>
      </w:r>
      <w:r>
        <w:rPr>
          <w:rFonts w:ascii="Times New Roman" w:hAnsi="Times New Roman"/>
          <w:b w:val="0"/>
          <w:bCs w:val="0"/>
        </w:rPr>
        <w:t>V</w:t>
      </w:r>
      <w:r>
        <w:rPr>
          <w:rFonts w:ascii="Times New Roman" w:hAnsi="Times New Roman"/>
          <w:b w:val="0"/>
          <w:bCs w:val="0"/>
        </w:rPr>
        <w:t>型剖口焊缝焊接。</w:t>
      </w:r>
    </w:p>
    <w:p w14:paraId="210298D3"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在钢管焊缝处，要对焊缝进行处理，应把焊缝打平减小钢管与土体的摩擦力。焊接前，应检查两钢管的水平、垂直位置及两管的同轴情况。钢管焊接好后，夯管锤送风工作，此时，完全打开注油器阀进入正常参数夯管。直至第二根管进入土层，校核导轨位置，吊装第三根管，再校核钢管对接情况，焊接、夯管，如此循环，直至钢管进入接收坑。</w:t>
      </w:r>
    </w:p>
    <w:p w14:paraId="7BAD9B35"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w:t>
      </w:r>
      <w:r>
        <w:rPr>
          <w:rFonts w:ascii="Times New Roman" w:hAnsi="Times New Roman"/>
          <w:b w:val="0"/>
          <w:bCs w:val="0"/>
        </w:rPr>
        <w:t>8</w:t>
      </w:r>
      <w:r>
        <w:rPr>
          <w:rFonts w:ascii="Times New Roman" w:hAnsi="Times New Roman"/>
          <w:b w:val="0"/>
          <w:bCs w:val="0"/>
        </w:rPr>
        <w:t>）导向孔施工</w:t>
      </w:r>
    </w:p>
    <w:p w14:paraId="4E28482C"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夯套管施工完毕后，为提高导向成功率，避免钢管与基岩形成折角，需在钢套管内安装中心支架。</w:t>
      </w:r>
    </w:p>
    <w:p w14:paraId="7A65AD00"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w:t>
      </w:r>
      <w:r>
        <w:rPr>
          <w:rFonts w:ascii="Times New Roman" w:hAnsi="Times New Roman"/>
          <w:b w:val="0"/>
          <w:bCs w:val="0"/>
        </w:rPr>
        <w:t>9</w:t>
      </w:r>
      <w:r>
        <w:rPr>
          <w:rFonts w:ascii="Times New Roman" w:hAnsi="Times New Roman"/>
          <w:b w:val="0"/>
          <w:bCs w:val="0"/>
        </w:rPr>
        <w:t>）扩孔施工过程</w:t>
      </w:r>
    </w:p>
    <w:p w14:paraId="29AAE438"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在扩孔施工中，要认真观察扩孔情况，选用合理参数进行施工，保证泥浆的压力和流速，从而提高携带能力，减少岩屑床的生成。由于岩石硬度较高，根据扩孔器的使用寿命，及时回退钻杆，进行岩石扩孔器牙轮的检查，防止出现掉轮情况，在扩孔作业进行时可根据扩孔实际情况调整扩孔级差和洗孔次数。在每级扩孔施工中，根据返浆含沙量以及扭矩变化来确定是否洗孔，避免发生扩卡钻、抱钻等情况。</w:t>
      </w:r>
    </w:p>
    <w:p w14:paraId="1C01FEB4"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w:t>
      </w:r>
      <w:r>
        <w:rPr>
          <w:rFonts w:ascii="Times New Roman" w:hAnsi="Times New Roman"/>
          <w:b w:val="0"/>
          <w:bCs w:val="0"/>
        </w:rPr>
        <w:t>10</w:t>
      </w:r>
      <w:r>
        <w:rPr>
          <w:rFonts w:ascii="Times New Roman" w:hAnsi="Times New Roman"/>
          <w:b w:val="0"/>
          <w:bCs w:val="0"/>
        </w:rPr>
        <w:t>）补口补伤</w:t>
      </w:r>
    </w:p>
    <w:p w14:paraId="13950860"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1</w:t>
      </w:r>
      <w:r>
        <w:rPr>
          <w:rFonts w:ascii="Times New Roman" w:hAnsi="Times New Roman"/>
          <w:b w:val="0"/>
          <w:bCs w:val="0"/>
        </w:rPr>
        <w:t>）施工程序</w:t>
      </w:r>
    </w:p>
    <w:p w14:paraId="576EFB34"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所有补口均采用无溶剂双组分液体环氧涂料＋辐射交联聚乙烯热收缩补口带组成的防腐结构。</w:t>
      </w:r>
    </w:p>
    <w:p w14:paraId="57A7D9CC"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2</w:t>
      </w:r>
      <w:r>
        <w:rPr>
          <w:rFonts w:ascii="Times New Roman" w:hAnsi="Times New Roman"/>
          <w:b w:val="0"/>
          <w:bCs w:val="0"/>
        </w:rPr>
        <w:t>）防腐补口施工</w:t>
      </w:r>
    </w:p>
    <w:p w14:paraId="5D5B5421"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lastRenderedPageBreak/>
        <w:t xml:space="preserve">a </w:t>
      </w:r>
      <w:r>
        <w:rPr>
          <w:rFonts w:ascii="Times New Roman" w:hAnsi="Times New Roman"/>
          <w:b w:val="0"/>
          <w:bCs w:val="0"/>
        </w:rPr>
        <w:t>钢管焊接的补口区域在喷涂底漆前必须进行彻底的表面预处理，表面处理前清楚油污，表面预处理质量应达到</w:t>
      </w:r>
      <w:r>
        <w:rPr>
          <w:rFonts w:ascii="Times New Roman" w:hAnsi="Times New Roman"/>
          <w:b w:val="0"/>
          <w:bCs w:val="0"/>
        </w:rPr>
        <w:t xml:space="preserve"> GB/T8923.1 </w:t>
      </w:r>
      <w:r>
        <w:rPr>
          <w:rFonts w:ascii="Times New Roman" w:hAnsi="Times New Roman"/>
          <w:b w:val="0"/>
          <w:bCs w:val="0"/>
        </w:rPr>
        <w:t>规定的</w:t>
      </w:r>
      <w:r>
        <w:rPr>
          <w:rFonts w:ascii="Times New Roman" w:hAnsi="Times New Roman"/>
          <w:b w:val="0"/>
          <w:bCs w:val="0"/>
        </w:rPr>
        <w:t xml:space="preserve"> Sa2.5 </w:t>
      </w:r>
      <w:r>
        <w:rPr>
          <w:rFonts w:ascii="Times New Roman" w:hAnsi="Times New Roman"/>
          <w:b w:val="0"/>
          <w:bCs w:val="0"/>
        </w:rPr>
        <w:t>级，表面粗糙度需达到</w:t>
      </w:r>
      <w:r>
        <w:rPr>
          <w:rFonts w:ascii="Times New Roman" w:hAnsi="Times New Roman"/>
          <w:b w:val="0"/>
          <w:bCs w:val="0"/>
        </w:rPr>
        <w:t xml:space="preserve"> 40</w:t>
      </w:r>
      <w:r>
        <w:rPr>
          <w:rFonts w:ascii="Times New Roman" w:hAnsi="Times New Roman"/>
          <w:b w:val="0"/>
          <w:bCs w:val="0"/>
        </w:rPr>
        <w:t>～</w:t>
      </w:r>
      <w:r>
        <w:rPr>
          <w:rFonts w:ascii="Times New Roman" w:hAnsi="Times New Roman"/>
          <w:b w:val="0"/>
          <w:bCs w:val="0"/>
        </w:rPr>
        <w:t xml:space="preserve">70 </w:t>
      </w:r>
      <w:r>
        <w:rPr>
          <w:rFonts w:ascii="Times New Roman" w:hAnsi="Times New Roman"/>
          <w:b w:val="0"/>
          <w:bCs w:val="0"/>
        </w:rPr>
        <w:t>微米。</w:t>
      </w:r>
    </w:p>
    <w:p w14:paraId="13B75AD8"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 xml:space="preserve">b </w:t>
      </w:r>
      <w:r>
        <w:rPr>
          <w:rFonts w:ascii="Times New Roman" w:hAnsi="Times New Roman"/>
          <w:b w:val="0"/>
          <w:bCs w:val="0"/>
        </w:rPr>
        <w:t>表面除锈与补口施工间隔时间不宜超过</w:t>
      </w:r>
      <w:r>
        <w:rPr>
          <w:rFonts w:ascii="Times New Roman" w:hAnsi="Times New Roman"/>
          <w:b w:val="0"/>
          <w:bCs w:val="0"/>
        </w:rPr>
        <w:t xml:space="preserve"> 2h</w:t>
      </w:r>
      <w:r>
        <w:rPr>
          <w:rFonts w:ascii="Times New Roman" w:hAnsi="Times New Roman"/>
          <w:b w:val="0"/>
          <w:bCs w:val="0"/>
        </w:rPr>
        <w:t>，表面返修时，应重新进行表面处理。</w:t>
      </w:r>
    </w:p>
    <w:p w14:paraId="7C24D6AC"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 xml:space="preserve">c </w:t>
      </w:r>
      <w:r>
        <w:rPr>
          <w:rFonts w:ascii="Times New Roman" w:hAnsi="Times New Roman"/>
          <w:b w:val="0"/>
          <w:bCs w:val="0"/>
        </w:rPr>
        <w:t>经表面处理合格后的补口处，先涂覆无溶剂液体双组份环氧底漆，实干并检测合格后，再进行热收缩补口带的施工。无溶剂双组份液体环氧底漆不允许涂刷在聚乙烯层表面。</w:t>
      </w:r>
    </w:p>
    <w:p w14:paraId="2C4C8C42"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3</w:t>
      </w:r>
      <w:r>
        <w:rPr>
          <w:rFonts w:ascii="Times New Roman" w:hAnsi="Times New Roman"/>
          <w:b w:val="0"/>
          <w:bCs w:val="0"/>
        </w:rPr>
        <w:t>）补口质量检验</w:t>
      </w:r>
    </w:p>
    <w:p w14:paraId="0FAD788D"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 xml:space="preserve">a </w:t>
      </w:r>
      <w:r>
        <w:rPr>
          <w:rFonts w:ascii="Times New Roman" w:hAnsi="Times New Roman"/>
          <w:b w:val="0"/>
          <w:bCs w:val="0"/>
        </w:rPr>
        <w:t>补口处无溶剂液体双组分环氧涂料涂覆完成后应进行质量检测，包括漏点、厚度及附着力等三项内容：</w:t>
      </w:r>
    </w:p>
    <w:p w14:paraId="0CF67206" w14:textId="77777777" w:rsidR="007D1E74" w:rsidRDefault="00A95641">
      <w:pPr>
        <w:pStyle w:val="aff7"/>
        <w:spacing w:before="0" w:line="360" w:lineRule="auto"/>
        <w:ind w:firstLineChars="200" w:firstLine="480"/>
        <w:rPr>
          <w:rFonts w:ascii="Times New Roman" w:hAnsi="Times New Roman"/>
          <w:b w:val="0"/>
          <w:bCs w:val="0"/>
        </w:rPr>
      </w:pPr>
      <w:r>
        <w:rPr>
          <w:rFonts w:ascii="宋体" w:hAnsi="宋体" w:cs="宋体" w:hint="eastAsia"/>
          <w:b w:val="0"/>
          <w:bCs w:val="0"/>
        </w:rPr>
        <w:t>①</w:t>
      </w:r>
      <w:r>
        <w:rPr>
          <w:rFonts w:ascii="Times New Roman" w:hAnsi="Times New Roman"/>
          <w:b w:val="0"/>
          <w:bCs w:val="0"/>
        </w:rPr>
        <w:t>漏点检验：使用</w:t>
      </w:r>
      <w:r>
        <w:rPr>
          <w:rFonts w:ascii="Times New Roman" w:hAnsi="Times New Roman"/>
          <w:b w:val="0"/>
          <w:bCs w:val="0"/>
        </w:rPr>
        <w:t xml:space="preserve"> 2kv </w:t>
      </w:r>
      <w:r>
        <w:rPr>
          <w:rFonts w:ascii="Times New Roman" w:hAnsi="Times New Roman"/>
          <w:b w:val="0"/>
          <w:bCs w:val="0"/>
        </w:rPr>
        <w:t>电压对每一个补口进行针孔检漏，不允许有漏点，若有漏点，应重新补口并检漏，直至合格。</w:t>
      </w:r>
    </w:p>
    <w:p w14:paraId="6580F784" w14:textId="77777777" w:rsidR="007D1E74" w:rsidRDefault="00A95641">
      <w:pPr>
        <w:pStyle w:val="aff7"/>
        <w:spacing w:before="0" w:line="360" w:lineRule="auto"/>
        <w:ind w:firstLineChars="200" w:firstLine="480"/>
        <w:rPr>
          <w:rFonts w:ascii="Times New Roman" w:hAnsi="Times New Roman"/>
          <w:b w:val="0"/>
          <w:bCs w:val="0"/>
        </w:rPr>
      </w:pPr>
      <w:r>
        <w:rPr>
          <w:rFonts w:ascii="宋体" w:hAnsi="宋体" w:cs="宋体" w:hint="eastAsia"/>
          <w:b w:val="0"/>
          <w:bCs w:val="0"/>
        </w:rPr>
        <w:t>②</w:t>
      </w:r>
      <w:r>
        <w:rPr>
          <w:rFonts w:ascii="Times New Roman" w:hAnsi="Times New Roman"/>
          <w:b w:val="0"/>
          <w:bCs w:val="0"/>
        </w:rPr>
        <w:t>附着力：本穿越段随机抽查</w:t>
      </w:r>
      <w:r>
        <w:rPr>
          <w:rFonts w:ascii="Times New Roman" w:hAnsi="Times New Roman"/>
          <w:b w:val="0"/>
          <w:bCs w:val="0"/>
        </w:rPr>
        <w:t xml:space="preserve"> 1 </w:t>
      </w:r>
      <w:r>
        <w:rPr>
          <w:rFonts w:ascii="Times New Roman" w:hAnsi="Times New Roman"/>
          <w:b w:val="0"/>
          <w:bCs w:val="0"/>
        </w:rPr>
        <w:t>道口按照</w:t>
      </w:r>
      <w:r>
        <w:rPr>
          <w:rFonts w:ascii="Times New Roman" w:hAnsi="Times New Roman"/>
          <w:b w:val="0"/>
          <w:bCs w:val="0"/>
        </w:rPr>
        <w:t xml:space="preserve"> SY/T6854 </w:t>
      </w:r>
      <w:r>
        <w:rPr>
          <w:rFonts w:ascii="Times New Roman" w:hAnsi="Times New Roman"/>
          <w:b w:val="0"/>
          <w:bCs w:val="0"/>
        </w:rPr>
        <w:t>中的附录</w:t>
      </w:r>
      <w:r>
        <w:rPr>
          <w:rFonts w:ascii="Times New Roman" w:hAnsi="Times New Roman"/>
          <w:b w:val="0"/>
          <w:bCs w:val="0"/>
        </w:rPr>
        <w:t xml:space="preserve"> A </w:t>
      </w:r>
      <w:r>
        <w:rPr>
          <w:rFonts w:ascii="Times New Roman" w:hAnsi="Times New Roman"/>
          <w:b w:val="0"/>
          <w:bCs w:val="0"/>
        </w:rPr>
        <w:t>中规定的方法进行附着力检测，无溶剂液体双组分环氧涂料与管道黏结强度＞</w:t>
      </w:r>
      <w:r>
        <w:rPr>
          <w:rFonts w:ascii="Times New Roman" w:hAnsi="Times New Roman"/>
          <w:b w:val="0"/>
          <w:bCs w:val="0"/>
        </w:rPr>
        <w:t>10MPa</w:t>
      </w:r>
      <w:r>
        <w:rPr>
          <w:rFonts w:ascii="Times New Roman" w:hAnsi="Times New Roman"/>
          <w:b w:val="0"/>
          <w:bCs w:val="0"/>
        </w:rPr>
        <w:t>，如果不合格，应加倍抽查。若仍不合格，则该段管道的所有补口必须返修。</w:t>
      </w:r>
    </w:p>
    <w:p w14:paraId="1FA46AA8"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 xml:space="preserve">b </w:t>
      </w:r>
      <w:r>
        <w:rPr>
          <w:rFonts w:ascii="Times New Roman" w:hAnsi="Times New Roman"/>
          <w:b w:val="0"/>
          <w:bCs w:val="0"/>
        </w:rPr>
        <w:t>补口带检验包括外观、漏点及粘结力等三项内容：</w:t>
      </w:r>
    </w:p>
    <w:p w14:paraId="019C717F" w14:textId="77777777" w:rsidR="007D1E74" w:rsidRDefault="00A95641">
      <w:pPr>
        <w:pStyle w:val="aff7"/>
        <w:spacing w:before="0" w:line="360" w:lineRule="auto"/>
        <w:ind w:firstLineChars="200" w:firstLine="480"/>
        <w:rPr>
          <w:rFonts w:ascii="Times New Roman" w:hAnsi="Times New Roman"/>
          <w:b w:val="0"/>
          <w:bCs w:val="0"/>
        </w:rPr>
      </w:pPr>
      <w:r>
        <w:rPr>
          <w:rFonts w:ascii="宋体" w:hAnsi="宋体" w:cs="宋体" w:hint="eastAsia"/>
          <w:b w:val="0"/>
          <w:bCs w:val="0"/>
        </w:rPr>
        <w:t>①</w:t>
      </w:r>
      <w:r>
        <w:rPr>
          <w:rFonts w:ascii="Times New Roman" w:hAnsi="Times New Roman"/>
          <w:b w:val="0"/>
          <w:bCs w:val="0"/>
        </w:rPr>
        <w:t>外观检查：补口的外观应逐个检查，热收缩补口带表面应平整、无褶皱、无气泡、</w:t>
      </w:r>
    </w:p>
    <w:p w14:paraId="69BACD08"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无烧焦碳化等现象；热收缩补口带应光滑，在胶粘剂下面没有迹象表面存在异物；热收缩补口带边缘整个圆周应与管道完全粘结，周向应有胶粘剂均匀溢出。</w:t>
      </w:r>
    </w:p>
    <w:p w14:paraId="3E589914" w14:textId="77777777" w:rsidR="007D1E74" w:rsidRDefault="00A95641">
      <w:pPr>
        <w:pStyle w:val="aff7"/>
        <w:spacing w:before="0" w:line="360" w:lineRule="auto"/>
        <w:ind w:firstLineChars="200" w:firstLine="480"/>
        <w:rPr>
          <w:rFonts w:ascii="Times New Roman" w:hAnsi="Times New Roman"/>
          <w:b w:val="0"/>
          <w:bCs w:val="0"/>
        </w:rPr>
      </w:pPr>
      <w:r>
        <w:rPr>
          <w:rFonts w:ascii="宋体" w:hAnsi="宋体" w:cs="宋体" w:hint="eastAsia"/>
          <w:b w:val="0"/>
          <w:bCs w:val="0"/>
        </w:rPr>
        <w:t>②</w:t>
      </w:r>
      <w:r>
        <w:rPr>
          <w:rFonts w:ascii="Times New Roman" w:hAnsi="Times New Roman"/>
          <w:b w:val="0"/>
          <w:bCs w:val="0"/>
        </w:rPr>
        <w:t>漏点检验：每一个补口施工完后均应有电火花检漏仪进行漏点检查，检漏电压为</w:t>
      </w:r>
      <w:r>
        <w:rPr>
          <w:rFonts w:ascii="Times New Roman" w:hAnsi="Times New Roman"/>
          <w:b w:val="0"/>
          <w:bCs w:val="0"/>
        </w:rPr>
        <w:t>15KV</w:t>
      </w:r>
      <w:r>
        <w:rPr>
          <w:rFonts w:ascii="Times New Roman" w:hAnsi="Times New Roman"/>
          <w:b w:val="0"/>
          <w:bCs w:val="0"/>
        </w:rPr>
        <w:t>，检测速度为</w:t>
      </w:r>
      <w:r>
        <w:rPr>
          <w:rFonts w:ascii="Times New Roman" w:hAnsi="Times New Roman"/>
          <w:b w:val="0"/>
          <w:bCs w:val="0"/>
        </w:rPr>
        <w:t xml:space="preserve"> 200</w:t>
      </w:r>
      <w:r>
        <w:rPr>
          <w:rFonts w:ascii="Times New Roman" w:hAnsi="Times New Roman"/>
          <w:b w:val="0"/>
          <w:bCs w:val="0"/>
        </w:rPr>
        <w:t>～</w:t>
      </w:r>
      <w:r>
        <w:rPr>
          <w:rFonts w:ascii="Times New Roman" w:hAnsi="Times New Roman"/>
          <w:b w:val="0"/>
          <w:bCs w:val="0"/>
        </w:rPr>
        <w:t>300m/S</w:t>
      </w:r>
      <w:r>
        <w:rPr>
          <w:rFonts w:ascii="Times New Roman" w:hAnsi="Times New Roman"/>
          <w:b w:val="0"/>
          <w:bCs w:val="0"/>
        </w:rPr>
        <w:t>。若有针孔，应重新补口检漏，直至合格。</w:t>
      </w:r>
    </w:p>
    <w:p w14:paraId="67F56C28" w14:textId="77777777" w:rsidR="007D1E74" w:rsidRDefault="00A95641">
      <w:pPr>
        <w:pStyle w:val="aff7"/>
        <w:spacing w:before="0" w:line="360" w:lineRule="auto"/>
        <w:ind w:firstLineChars="200" w:firstLine="480"/>
        <w:rPr>
          <w:rFonts w:ascii="Times New Roman" w:hAnsi="Times New Roman"/>
          <w:b w:val="0"/>
          <w:bCs w:val="0"/>
        </w:rPr>
      </w:pPr>
      <w:r>
        <w:rPr>
          <w:rFonts w:ascii="宋体" w:hAnsi="宋体" w:cs="宋体" w:hint="eastAsia"/>
          <w:b w:val="0"/>
          <w:bCs w:val="0"/>
        </w:rPr>
        <w:t>③</w:t>
      </w:r>
      <w:r>
        <w:rPr>
          <w:rFonts w:ascii="Times New Roman" w:hAnsi="Times New Roman"/>
          <w:b w:val="0"/>
          <w:bCs w:val="0"/>
        </w:rPr>
        <w:t>粘结力检测：本段穿越段随机抽测一个补口，管体温度在</w:t>
      </w:r>
      <w:r>
        <w:rPr>
          <w:rFonts w:ascii="Times New Roman" w:hAnsi="Times New Roman"/>
          <w:b w:val="0"/>
          <w:bCs w:val="0"/>
        </w:rPr>
        <w:t xml:space="preserve"> 15℃</w:t>
      </w:r>
      <w:r>
        <w:rPr>
          <w:rFonts w:ascii="Times New Roman" w:hAnsi="Times New Roman"/>
          <w:b w:val="0"/>
          <w:bCs w:val="0"/>
        </w:rPr>
        <w:t>～</w:t>
      </w:r>
      <w:r>
        <w:rPr>
          <w:rFonts w:ascii="Times New Roman" w:hAnsi="Times New Roman"/>
          <w:b w:val="0"/>
          <w:bCs w:val="0"/>
        </w:rPr>
        <w:t>25℃</w:t>
      </w:r>
      <w:r>
        <w:rPr>
          <w:rFonts w:ascii="Times New Roman" w:hAnsi="Times New Roman"/>
          <w:b w:val="0"/>
          <w:bCs w:val="0"/>
        </w:rPr>
        <w:t>时的剥离强度应不小于</w:t>
      </w:r>
      <w:r>
        <w:rPr>
          <w:rFonts w:ascii="Times New Roman" w:hAnsi="Times New Roman"/>
          <w:b w:val="0"/>
          <w:bCs w:val="0"/>
        </w:rPr>
        <w:t xml:space="preserve"> 50N/cm</w:t>
      </w:r>
      <w:r>
        <w:rPr>
          <w:rFonts w:ascii="Times New Roman" w:hAnsi="Times New Roman"/>
          <w:b w:val="0"/>
          <w:bCs w:val="0"/>
        </w:rPr>
        <w:t>。如果不合格，应加倍抽查，若仍不合格，则该段管道的所有补口必须返修。</w:t>
      </w:r>
    </w:p>
    <w:p w14:paraId="4D4316D8"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w:t>
      </w:r>
      <w:r>
        <w:rPr>
          <w:rFonts w:ascii="Times New Roman" w:hAnsi="Times New Roman"/>
          <w:b w:val="0"/>
          <w:bCs w:val="0"/>
        </w:rPr>
        <w:t>11</w:t>
      </w:r>
      <w:r>
        <w:rPr>
          <w:rFonts w:ascii="Times New Roman" w:hAnsi="Times New Roman"/>
          <w:b w:val="0"/>
          <w:bCs w:val="0"/>
        </w:rPr>
        <w:t>）环氧玻璃钢防腐</w:t>
      </w:r>
    </w:p>
    <w:p w14:paraId="21D02DEB"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穿越地层存在岩石，为了定向钻穿越段防腐层的完整，对穿越段防腐层外增加环氧玻璃钢防护层，环氧玻璃钢防护层采用二布五胶，即环氧树脂（表干）</w:t>
      </w:r>
      <w:r>
        <w:rPr>
          <w:rFonts w:ascii="Times New Roman" w:hAnsi="Times New Roman"/>
          <w:b w:val="0"/>
          <w:bCs w:val="0"/>
        </w:rPr>
        <w:t>+</w:t>
      </w:r>
      <w:r>
        <w:rPr>
          <w:rFonts w:ascii="Times New Roman" w:hAnsi="Times New Roman"/>
          <w:b w:val="0"/>
          <w:bCs w:val="0"/>
        </w:rPr>
        <w:t>环氧树脂</w:t>
      </w:r>
      <w:r>
        <w:rPr>
          <w:rFonts w:ascii="Times New Roman" w:hAnsi="Times New Roman"/>
          <w:b w:val="0"/>
          <w:bCs w:val="0"/>
        </w:rPr>
        <w:t>+</w:t>
      </w:r>
      <w:r>
        <w:rPr>
          <w:rFonts w:ascii="Times New Roman" w:hAnsi="Times New Roman"/>
          <w:b w:val="0"/>
          <w:bCs w:val="0"/>
        </w:rPr>
        <w:t>玻璃布</w:t>
      </w:r>
      <w:r>
        <w:rPr>
          <w:rFonts w:ascii="Times New Roman" w:hAnsi="Times New Roman"/>
          <w:b w:val="0"/>
          <w:bCs w:val="0"/>
        </w:rPr>
        <w:t>+</w:t>
      </w:r>
      <w:r>
        <w:rPr>
          <w:rFonts w:ascii="Times New Roman" w:hAnsi="Times New Roman"/>
          <w:b w:val="0"/>
          <w:bCs w:val="0"/>
        </w:rPr>
        <w:t>环氧树脂</w:t>
      </w:r>
      <w:r>
        <w:rPr>
          <w:rFonts w:ascii="Times New Roman" w:hAnsi="Times New Roman"/>
          <w:b w:val="0"/>
          <w:bCs w:val="0"/>
        </w:rPr>
        <w:t>+</w:t>
      </w:r>
      <w:r>
        <w:rPr>
          <w:rFonts w:ascii="Times New Roman" w:hAnsi="Times New Roman"/>
          <w:b w:val="0"/>
          <w:bCs w:val="0"/>
        </w:rPr>
        <w:t>玻璃布</w:t>
      </w:r>
      <w:r>
        <w:rPr>
          <w:rFonts w:ascii="Times New Roman" w:hAnsi="Times New Roman"/>
          <w:b w:val="0"/>
          <w:bCs w:val="0"/>
        </w:rPr>
        <w:t>+</w:t>
      </w:r>
      <w:r>
        <w:rPr>
          <w:rFonts w:ascii="Times New Roman" w:hAnsi="Times New Roman"/>
          <w:b w:val="0"/>
          <w:bCs w:val="0"/>
        </w:rPr>
        <w:t>环氧树脂（表干）</w:t>
      </w:r>
      <w:r>
        <w:rPr>
          <w:rFonts w:ascii="Times New Roman" w:hAnsi="Times New Roman"/>
          <w:b w:val="0"/>
          <w:bCs w:val="0"/>
        </w:rPr>
        <w:t>+</w:t>
      </w:r>
      <w:r>
        <w:rPr>
          <w:rFonts w:ascii="Times New Roman" w:hAnsi="Times New Roman"/>
          <w:b w:val="0"/>
          <w:bCs w:val="0"/>
        </w:rPr>
        <w:t>环氧树脂，厚度</w:t>
      </w:r>
      <w:r>
        <w:rPr>
          <w:rFonts w:ascii="Times New Roman" w:hAnsi="Times New Roman"/>
          <w:b w:val="0"/>
          <w:bCs w:val="0"/>
        </w:rPr>
        <w:t>≥1200μm</w:t>
      </w:r>
      <w:r>
        <w:rPr>
          <w:rFonts w:ascii="Times New Roman" w:hAnsi="Times New Roman"/>
          <w:b w:val="0"/>
          <w:bCs w:val="0"/>
        </w:rPr>
        <w:t>。</w:t>
      </w:r>
    </w:p>
    <w:p w14:paraId="4A7E54DB"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1</w:t>
      </w:r>
      <w:r>
        <w:rPr>
          <w:rFonts w:ascii="Times New Roman" w:hAnsi="Times New Roman"/>
          <w:b w:val="0"/>
          <w:bCs w:val="0"/>
        </w:rPr>
        <w:t>）环氧玻璃钢外护层施工</w:t>
      </w:r>
    </w:p>
    <w:p w14:paraId="6B8A3025"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lastRenderedPageBreak/>
        <w:t>现场预制完毕后的整段管道在补口补伤后，采用环氧玻璃钢防腐从而完成穿越管道外护层的整体包覆。</w:t>
      </w:r>
    </w:p>
    <w:p w14:paraId="2F65EC6F"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2</w:t>
      </w:r>
      <w:r>
        <w:rPr>
          <w:rFonts w:ascii="Times New Roman" w:hAnsi="Times New Roman"/>
          <w:b w:val="0"/>
          <w:bCs w:val="0"/>
        </w:rPr>
        <w:t>）手工缠绕玻璃纤维布施工程序</w:t>
      </w:r>
    </w:p>
    <w:p w14:paraId="742C34DD"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底层环氧涂层表干后，进行玻璃纤维的缠绕。手工缠绕具体做法如下：底层环氧树脂胶表干后，涂刷第二层环氧树脂胶，第二层环氧树脂胶涂刷完毕后，缠绕安装玻璃布。安装时，将玻璃布一端撑平绷紧，先将一端搭接在涂刷区，螺旋缠绕，环向滚刷，保证玻璃纤维布完全被环氧树脂胶润湿，没有露白空鼓现象，胶料无流挂。根据环氧玻璃钢设计工艺，重复步骤</w:t>
      </w:r>
      <w:r>
        <w:rPr>
          <w:rFonts w:ascii="Times New Roman" w:hAnsi="Times New Roman"/>
          <w:b w:val="0"/>
          <w:bCs w:val="0"/>
        </w:rPr>
        <w:t xml:space="preserve"> 2</w:t>
      </w:r>
      <w:r>
        <w:rPr>
          <w:rFonts w:ascii="Times New Roman" w:hAnsi="Times New Roman"/>
          <w:b w:val="0"/>
          <w:bCs w:val="0"/>
        </w:rPr>
        <w:t>～</w:t>
      </w:r>
      <w:r>
        <w:rPr>
          <w:rFonts w:ascii="Times New Roman" w:hAnsi="Times New Roman"/>
          <w:b w:val="0"/>
          <w:bCs w:val="0"/>
        </w:rPr>
        <w:t>3</w:t>
      </w:r>
      <w:r>
        <w:rPr>
          <w:rFonts w:ascii="Times New Roman" w:hAnsi="Times New Roman"/>
          <w:b w:val="0"/>
          <w:bCs w:val="0"/>
        </w:rPr>
        <w:t>。</w:t>
      </w:r>
    </w:p>
    <w:p w14:paraId="5EF4FA9E"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3</w:t>
      </w:r>
      <w:r>
        <w:rPr>
          <w:rFonts w:ascii="Times New Roman" w:hAnsi="Times New Roman"/>
          <w:b w:val="0"/>
          <w:bCs w:val="0"/>
        </w:rPr>
        <w:t>）表面处理</w:t>
      </w:r>
    </w:p>
    <w:p w14:paraId="773F74CF"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防腐层在使用电火花检验合格后，采用喷砂打磨的方式对防腐层表面进行打毛处理。</w:t>
      </w:r>
    </w:p>
    <w:p w14:paraId="58711B3D"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 xml:space="preserve">4) </w:t>
      </w:r>
      <w:r>
        <w:rPr>
          <w:rFonts w:ascii="Times New Roman" w:hAnsi="Times New Roman"/>
          <w:b w:val="0"/>
          <w:bCs w:val="0"/>
        </w:rPr>
        <w:t>涂装</w:t>
      </w:r>
    </w:p>
    <w:p w14:paraId="062EDEB0"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 xml:space="preserve">a </w:t>
      </w:r>
      <w:r>
        <w:rPr>
          <w:rFonts w:ascii="Times New Roman" w:hAnsi="Times New Roman"/>
          <w:b w:val="0"/>
          <w:bCs w:val="0"/>
        </w:rPr>
        <w:t>不得在潮湿的钢表面上进行涂装，被涂表面温度至少应高于露点以上</w:t>
      </w:r>
      <w:r>
        <w:rPr>
          <w:rFonts w:ascii="Times New Roman" w:hAnsi="Times New Roman"/>
          <w:b w:val="0"/>
          <w:bCs w:val="0"/>
        </w:rPr>
        <w:t xml:space="preserve"> 3℃</w:t>
      </w:r>
      <w:r>
        <w:rPr>
          <w:rFonts w:ascii="Times New Roman" w:hAnsi="Times New Roman"/>
          <w:b w:val="0"/>
          <w:bCs w:val="0"/>
        </w:rPr>
        <w:t>；在温度低于</w:t>
      </w:r>
      <w:r>
        <w:rPr>
          <w:rFonts w:ascii="Times New Roman" w:hAnsi="Times New Roman"/>
          <w:b w:val="0"/>
          <w:bCs w:val="0"/>
        </w:rPr>
        <w:t xml:space="preserve"> 5℃</w:t>
      </w:r>
      <w:r>
        <w:rPr>
          <w:rFonts w:ascii="Times New Roman" w:hAnsi="Times New Roman"/>
          <w:b w:val="0"/>
          <w:bCs w:val="0"/>
        </w:rPr>
        <w:t>或相对湿度大于</w:t>
      </w:r>
      <w:r>
        <w:rPr>
          <w:rFonts w:ascii="Times New Roman" w:hAnsi="Times New Roman"/>
          <w:b w:val="0"/>
          <w:bCs w:val="0"/>
        </w:rPr>
        <w:t xml:space="preserve"> 85%</w:t>
      </w:r>
      <w:r>
        <w:rPr>
          <w:rFonts w:ascii="Times New Roman" w:hAnsi="Times New Roman"/>
          <w:b w:val="0"/>
          <w:bCs w:val="0"/>
        </w:rPr>
        <w:t>时，不得进行涂装作业。</w:t>
      </w:r>
    </w:p>
    <w:p w14:paraId="4F21AC26"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 xml:space="preserve">b </w:t>
      </w:r>
      <w:r>
        <w:rPr>
          <w:rFonts w:ascii="Times New Roman" w:hAnsi="Times New Roman"/>
          <w:b w:val="0"/>
          <w:bCs w:val="0"/>
        </w:rPr>
        <w:t>在管道表面处理达到要求后，应尽快涂装。涂层涂敷应均匀、无漏涂、无气泡、无流挂，涂层厚度应达到本设计的要求。</w:t>
      </w:r>
    </w:p>
    <w:p w14:paraId="59D62012"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 xml:space="preserve">c </w:t>
      </w:r>
      <w:r>
        <w:rPr>
          <w:rFonts w:ascii="Times New Roman" w:hAnsi="Times New Roman"/>
          <w:b w:val="0"/>
          <w:bCs w:val="0"/>
        </w:rPr>
        <w:t>刷涂时，层间应纵横交错，每层宜往复进行，玻璃纤维布宜采用对包工艺，玻璃纤维布间的搭接应顺定向钻穿越方向。</w:t>
      </w:r>
    </w:p>
    <w:p w14:paraId="06992C75"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 xml:space="preserve">d </w:t>
      </w:r>
      <w:r>
        <w:rPr>
          <w:rFonts w:ascii="Times New Roman" w:hAnsi="Times New Roman"/>
          <w:b w:val="0"/>
          <w:bCs w:val="0"/>
        </w:rPr>
        <w:t>环氧玻璃钢固化温度及时间应符合产品说明书的要求。</w:t>
      </w:r>
    </w:p>
    <w:p w14:paraId="3D4B36C8"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5</w:t>
      </w:r>
      <w:r>
        <w:rPr>
          <w:rFonts w:ascii="Times New Roman" w:hAnsi="Times New Roman"/>
          <w:b w:val="0"/>
          <w:bCs w:val="0"/>
        </w:rPr>
        <w:t>）面层环氧涂料涂敷</w:t>
      </w:r>
    </w:p>
    <w:p w14:paraId="09816BEE"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玻璃布缠绕完成后，在其表面涂敷一层环氧树脂，以提高环氧玻璃钢的耐划伤性能。要求涂敷均匀，厚度厚度</w:t>
      </w:r>
      <w:r>
        <w:rPr>
          <w:rFonts w:ascii="Times New Roman" w:hAnsi="Times New Roman"/>
          <w:b w:val="0"/>
          <w:bCs w:val="0"/>
        </w:rPr>
        <w:t>≥1200μm</w:t>
      </w:r>
      <w:r>
        <w:rPr>
          <w:rFonts w:ascii="Times New Roman" w:hAnsi="Times New Roman"/>
          <w:b w:val="0"/>
          <w:bCs w:val="0"/>
        </w:rPr>
        <w:t>。</w:t>
      </w:r>
    </w:p>
    <w:p w14:paraId="451631B3"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6</w:t>
      </w:r>
      <w:r>
        <w:rPr>
          <w:rFonts w:ascii="Times New Roman" w:hAnsi="Times New Roman"/>
          <w:b w:val="0"/>
          <w:bCs w:val="0"/>
        </w:rPr>
        <w:t>）防雨施工预案</w:t>
      </w:r>
    </w:p>
    <w:p w14:paraId="7F7D6841"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因施工工地经常有阵雨，为了保证施工的连续性及施工质量，在施工时搭建防水雨棚以备不时之需。</w:t>
      </w:r>
    </w:p>
    <w:p w14:paraId="091589B7"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7</w:t>
      </w:r>
      <w:r>
        <w:rPr>
          <w:rFonts w:ascii="Times New Roman" w:hAnsi="Times New Roman"/>
          <w:b w:val="0"/>
          <w:bCs w:val="0"/>
        </w:rPr>
        <w:t>）环境安全措施</w:t>
      </w:r>
    </w:p>
    <w:p w14:paraId="1A50EDF3"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环氧玻璃钢采用现场涂装方式，由于在施工及固化过程中涂料会有滴落现象，鉴于此，在施工时在管体铺垫彩条布或塑料膜等，涂层表干后方可撤去，保证施工过程涂料滴落，污染土地。</w:t>
      </w:r>
    </w:p>
    <w:p w14:paraId="2DC54D28"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8</w:t>
      </w:r>
      <w:r>
        <w:rPr>
          <w:rFonts w:ascii="Times New Roman" w:hAnsi="Times New Roman"/>
          <w:b w:val="0"/>
          <w:bCs w:val="0"/>
        </w:rPr>
        <w:t>）环氧玻璃钢防护层检验</w:t>
      </w:r>
    </w:p>
    <w:p w14:paraId="052DD51F"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lastRenderedPageBreak/>
        <w:t>1</w:t>
      </w:r>
      <w:r>
        <w:rPr>
          <w:rFonts w:ascii="Times New Roman" w:hAnsi="Times New Roman"/>
          <w:b w:val="0"/>
          <w:bCs w:val="0"/>
        </w:rPr>
        <w:t>）外观检验：应逐根进行目测检查，环氧玻璃钢表面应平整，无开裂、皱褶、空鼓、流挂、脱层、发白以及玻璃纤维外露，压边和搭接均匀且粘结紧密，玻璃布网孔为漆料所灌满。</w:t>
      </w:r>
    </w:p>
    <w:p w14:paraId="4A55B4B8"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2</w:t>
      </w:r>
      <w:r>
        <w:rPr>
          <w:rFonts w:ascii="Times New Roman" w:hAnsi="Times New Roman"/>
          <w:b w:val="0"/>
          <w:bCs w:val="0"/>
        </w:rPr>
        <w:t>）厚度检验：环氧玻璃钢实干后，采用磁性涂层测厚仪逐根测试，沿每根钢管轴向随机取三个位置，测量每个位置圆周方向均匀分布的任意四点的涂层厚度并记录，其厚度不小于设计选用的防护层厚度。涂层测厚仪应至少每班校正一次。</w:t>
      </w:r>
    </w:p>
    <w:p w14:paraId="5502C1FF"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3</w:t>
      </w:r>
      <w:r>
        <w:rPr>
          <w:rFonts w:ascii="Times New Roman" w:hAnsi="Times New Roman"/>
          <w:b w:val="0"/>
          <w:bCs w:val="0"/>
        </w:rPr>
        <w:t>）固化度检验：环氧玻璃钢固化后应逐根进行固化度检验。沿管子轴向测量平均分布的</w:t>
      </w:r>
      <w:r>
        <w:rPr>
          <w:rFonts w:ascii="Times New Roman" w:hAnsi="Times New Roman"/>
          <w:b w:val="0"/>
          <w:bCs w:val="0"/>
        </w:rPr>
        <w:t xml:space="preserve"> 3 </w:t>
      </w:r>
      <w:r>
        <w:rPr>
          <w:rFonts w:ascii="Times New Roman" w:hAnsi="Times New Roman"/>
          <w:b w:val="0"/>
          <w:bCs w:val="0"/>
        </w:rPr>
        <w:t>个点，采用巴氏硬度计进行玻璃钢防护层硬度检验，检测结果应不小于</w:t>
      </w:r>
      <w:r>
        <w:rPr>
          <w:rFonts w:ascii="Times New Roman" w:hAnsi="Times New Roman"/>
          <w:b w:val="0"/>
          <w:bCs w:val="0"/>
        </w:rPr>
        <w:t xml:space="preserve"> 30</w:t>
      </w:r>
      <w:r>
        <w:rPr>
          <w:rFonts w:ascii="Times New Roman" w:hAnsi="Times New Roman"/>
          <w:b w:val="0"/>
          <w:bCs w:val="0"/>
        </w:rPr>
        <w:t>；</w:t>
      </w:r>
    </w:p>
    <w:p w14:paraId="65D93498"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4</w:t>
      </w:r>
      <w:r>
        <w:rPr>
          <w:rFonts w:ascii="Times New Roman" w:hAnsi="Times New Roman"/>
          <w:b w:val="0"/>
          <w:bCs w:val="0"/>
        </w:rPr>
        <w:t>）粘结强度检验：对连续涂敷的</w:t>
      </w:r>
      <w:r>
        <w:rPr>
          <w:rFonts w:ascii="Times New Roman" w:hAnsi="Times New Roman"/>
          <w:b w:val="0"/>
          <w:bCs w:val="0"/>
        </w:rPr>
        <w:t xml:space="preserve"> 100 </w:t>
      </w:r>
      <w:r>
        <w:rPr>
          <w:rFonts w:ascii="Times New Roman" w:hAnsi="Times New Roman"/>
          <w:b w:val="0"/>
          <w:bCs w:val="0"/>
        </w:rPr>
        <w:t>根钢管至少抽一根（不足</w:t>
      </w:r>
      <w:r>
        <w:rPr>
          <w:rFonts w:ascii="Times New Roman" w:hAnsi="Times New Roman"/>
          <w:b w:val="0"/>
          <w:bCs w:val="0"/>
        </w:rPr>
        <w:t xml:space="preserve"> 100 </w:t>
      </w:r>
      <w:r>
        <w:rPr>
          <w:rFonts w:ascii="Times New Roman" w:hAnsi="Times New Roman"/>
          <w:b w:val="0"/>
          <w:bCs w:val="0"/>
        </w:rPr>
        <w:t>根时以</w:t>
      </w:r>
      <w:r>
        <w:rPr>
          <w:rFonts w:ascii="Times New Roman" w:hAnsi="Times New Roman"/>
          <w:b w:val="0"/>
          <w:bCs w:val="0"/>
        </w:rPr>
        <w:t xml:space="preserve"> 100 </w:t>
      </w:r>
      <w:r>
        <w:rPr>
          <w:rFonts w:ascii="Times New Roman" w:hAnsi="Times New Roman"/>
          <w:b w:val="0"/>
          <w:bCs w:val="0"/>
        </w:rPr>
        <w:t>根计）按照</w:t>
      </w:r>
      <w:r>
        <w:rPr>
          <w:rFonts w:ascii="Times New Roman" w:hAnsi="Times New Roman"/>
          <w:b w:val="0"/>
          <w:bCs w:val="0"/>
        </w:rPr>
        <w:t xml:space="preserve"> Q/SY 1477 </w:t>
      </w:r>
      <w:r>
        <w:rPr>
          <w:rFonts w:ascii="Times New Roman" w:hAnsi="Times New Roman"/>
          <w:b w:val="0"/>
          <w:bCs w:val="0"/>
        </w:rPr>
        <w:t>附录</w:t>
      </w:r>
      <w:r>
        <w:rPr>
          <w:rFonts w:ascii="Times New Roman" w:hAnsi="Times New Roman"/>
          <w:b w:val="0"/>
          <w:bCs w:val="0"/>
        </w:rPr>
        <w:t xml:space="preserve"> D </w:t>
      </w:r>
      <w:r>
        <w:rPr>
          <w:rFonts w:ascii="Times New Roman" w:hAnsi="Times New Roman"/>
          <w:b w:val="0"/>
          <w:bCs w:val="0"/>
        </w:rPr>
        <w:t>规定的方法进行粘结强度测试，粘结强度</w:t>
      </w:r>
      <w:r>
        <w:rPr>
          <w:rFonts w:ascii="Times New Roman" w:hAnsi="Times New Roman"/>
          <w:b w:val="0"/>
          <w:bCs w:val="0"/>
        </w:rPr>
        <w:t>≥3.5Ma</w:t>
      </w:r>
      <w:r>
        <w:rPr>
          <w:rFonts w:ascii="Times New Roman" w:hAnsi="Times New Roman"/>
          <w:b w:val="0"/>
          <w:bCs w:val="0"/>
        </w:rPr>
        <w:t>，若不合格，应加倍检验，若仍不合格，则该段管线防腐层不合格。</w:t>
      </w:r>
    </w:p>
    <w:p w14:paraId="58C386B4"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5</w:t>
      </w:r>
      <w:r>
        <w:rPr>
          <w:rFonts w:ascii="Times New Roman" w:hAnsi="Times New Roman"/>
          <w:b w:val="0"/>
          <w:bCs w:val="0"/>
        </w:rPr>
        <w:t>）定向钻穿越施工完毕后按照</w:t>
      </w:r>
      <w:r>
        <w:rPr>
          <w:rFonts w:ascii="Times New Roman" w:hAnsi="Times New Roman"/>
          <w:b w:val="0"/>
          <w:bCs w:val="0"/>
        </w:rPr>
        <w:t xml:space="preserve"> SY/T6968-2013 </w:t>
      </w:r>
      <w:r>
        <w:rPr>
          <w:rFonts w:ascii="Times New Roman" w:hAnsi="Times New Roman"/>
          <w:b w:val="0"/>
          <w:bCs w:val="0"/>
        </w:rPr>
        <w:t>的要求检查出土端外防腐层的完整性、是否存在贯穿性损伤等，并对穿越段外涂层电导率进行测试，测试宜在穿越完成后与主管线连接前进行。</w:t>
      </w:r>
    </w:p>
    <w:p w14:paraId="60139F46"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w:t>
      </w:r>
      <w:r>
        <w:rPr>
          <w:rFonts w:ascii="Times New Roman" w:hAnsi="Times New Roman"/>
          <w:b w:val="0"/>
          <w:bCs w:val="0"/>
        </w:rPr>
        <w:t>9</w:t>
      </w:r>
      <w:r>
        <w:rPr>
          <w:rFonts w:ascii="Times New Roman" w:hAnsi="Times New Roman"/>
          <w:b w:val="0"/>
          <w:bCs w:val="0"/>
        </w:rPr>
        <w:t>）管道清管</w:t>
      </w:r>
    </w:p>
    <w:p w14:paraId="6BD2323E"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安装空压机，并将空气出口与管道进口连接好，在清管器装入发球筒前，测试接收、发射机是否工作正常。正常工作后，将清管器装入发球筒内，然后启动空压机，缓慢注入空气，用压缩空气推动清管器进行清扫。注意发球筒上的压力表和接收机信号，记录清管器的起动时间和压力。</w:t>
      </w:r>
    </w:p>
    <w:p w14:paraId="79DE715A"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1</w:t>
      </w:r>
      <w:r>
        <w:rPr>
          <w:rFonts w:ascii="Times New Roman" w:hAnsi="Times New Roman"/>
          <w:b w:val="0"/>
          <w:bCs w:val="0"/>
        </w:rPr>
        <w:t>）清管器清扫时，要对排量严加控制，使清管器速度稳定。</w:t>
      </w:r>
    </w:p>
    <w:p w14:paraId="65AF7B36"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2</w:t>
      </w:r>
      <w:r>
        <w:rPr>
          <w:rFonts w:ascii="Times New Roman" w:hAnsi="Times New Roman"/>
          <w:b w:val="0"/>
          <w:bCs w:val="0"/>
        </w:rPr>
        <w:t>）清管时作好进气排量和压力记录，在收球处应观察排出气体的变化，清管器的正常行走压力为</w:t>
      </w:r>
      <w:r>
        <w:rPr>
          <w:rFonts w:ascii="Times New Roman" w:hAnsi="Times New Roman"/>
          <w:b w:val="0"/>
          <w:bCs w:val="0"/>
        </w:rPr>
        <w:t xml:space="preserve"> 0.05MPa</w:t>
      </w:r>
      <w:r>
        <w:rPr>
          <w:rFonts w:ascii="Times New Roman" w:hAnsi="Times New Roman"/>
          <w:b w:val="0"/>
          <w:bCs w:val="0"/>
        </w:rPr>
        <w:t>～</w:t>
      </w:r>
      <w:r>
        <w:rPr>
          <w:rFonts w:ascii="Times New Roman" w:hAnsi="Times New Roman"/>
          <w:b w:val="0"/>
          <w:bCs w:val="0"/>
        </w:rPr>
        <w:t>0.2MPa</w:t>
      </w:r>
      <w:r>
        <w:rPr>
          <w:rFonts w:ascii="Times New Roman" w:hAnsi="Times New Roman"/>
          <w:b w:val="0"/>
          <w:bCs w:val="0"/>
        </w:rPr>
        <w:t>。当清管器受阻时，可逐步提高压力，但最大不得超过设计压力。</w:t>
      </w:r>
    </w:p>
    <w:p w14:paraId="1816A7A7"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3</w:t>
      </w:r>
      <w:r>
        <w:rPr>
          <w:rFonts w:ascii="Times New Roman" w:hAnsi="Times New Roman"/>
          <w:b w:val="0"/>
          <w:bCs w:val="0"/>
        </w:rPr>
        <w:t>）清管器使用后，在下次清管前应检查清管器皮碗的外形尺寸变化，对磨损较大的必须进行更换。</w:t>
      </w:r>
    </w:p>
    <w:p w14:paraId="382A6DC3"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4</w:t>
      </w:r>
      <w:r>
        <w:rPr>
          <w:rFonts w:ascii="Times New Roman" w:hAnsi="Times New Roman"/>
          <w:b w:val="0"/>
          <w:bCs w:val="0"/>
        </w:rPr>
        <w:t>）若清管器卡在管道内，泄压割断管线后取出清管器及管内杂物，重新连头清扫。管道清扫完毕应立即进行封堵。</w:t>
      </w:r>
    </w:p>
    <w:p w14:paraId="4EC19F3D"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w:t>
      </w:r>
      <w:r>
        <w:rPr>
          <w:rFonts w:ascii="Times New Roman" w:hAnsi="Times New Roman"/>
          <w:b w:val="0"/>
          <w:bCs w:val="0"/>
        </w:rPr>
        <w:t>10</w:t>
      </w:r>
      <w:r>
        <w:rPr>
          <w:rFonts w:ascii="Times New Roman" w:hAnsi="Times New Roman"/>
          <w:b w:val="0"/>
          <w:bCs w:val="0"/>
        </w:rPr>
        <w:t>）管道回拖</w:t>
      </w:r>
    </w:p>
    <w:p w14:paraId="7506D959"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一切准备就绪后，开始正式回拖，回拖时应尽量减少管线在孔内完全静止时间。回</w:t>
      </w:r>
      <w:r>
        <w:rPr>
          <w:rFonts w:ascii="Times New Roman" w:hAnsi="Times New Roman"/>
          <w:b w:val="0"/>
          <w:bCs w:val="0"/>
        </w:rPr>
        <w:lastRenderedPageBreak/>
        <w:t>拖时钻具连接顺序为：钻机</w:t>
      </w:r>
      <w:r>
        <w:rPr>
          <w:rFonts w:ascii="Times New Roman" w:hAnsi="Times New Roman"/>
          <w:b w:val="0"/>
          <w:bCs w:val="0"/>
        </w:rPr>
        <w:t>→</w:t>
      </w:r>
      <w:r>
        <w:rPr>
          <w:rFonts w:ascii="Times New Roman" w:hAnsi="Times New Roman"/>
          <w:b w:val="0"/>
          <w:bCs w:val="0"/>
        </w:rPr>
        <w:t>钻杆</w:t>
      </w:r>
      <w:r>
        <w:rPr>
          <w:rFonts w:ascii="Times New Roman" w:hAnsi="Times New Roman"/>
          <w:b w:val="0"/>
          <w:bCs w:val="0"/>
        </w:rPr>
        <w:t>→</w:t>
      </w:r>
      <w:r>
        <w:rPr>
          <w:rFonts w:ascii="Times New Roman" w:hAnsi="Times New Roman"/>
          <w:b w:val="0"/>
          <w:bCs w:val="0"/>
        </w:rPr>
        <w:t>扩孔器</w:t>
      </w:r>
      <w:r>
        <w:rPr>
          <w:rFonts w:ascii="Times New Roman" w:hAnsi="Times New Roman"/>
          <w:b w:val="0"/>
          <w:bCs w:val="0"/>
        </w:rPr>
        <w:t>→</w:t>
      </w:r>
      <w:r>
        <w:rPr>
          <w:rFonts w:ascii="Times New Roman" w:hAnsi="Times New Roman"/>
          <w:b w:val="0"/>
          <w:bCs w:val="0"/>
        </w:rPr>
        <w:t>万向节（</w:t>
      </w:r>
      <w:r>
        <w:rPr>
          <w:rFonts w:ascii="Times New Roman" w:hAnsi="Times New Roman"/>
          <w:b w:val="0"/>
          <w:bCs w:val="0"/>
        </w:rPr>
        <w:t>200T</w:t>
      </w:r>
      <w:r>
        <w:rPr>
          <w:rFonts w:ascii="Times New Roman" w:hAnsi="Times New Roman"/>
          <w:b w:val="0"/>
          <w:bCs w:val="0"/>
        </w:rPr>
        <w:t>）</w:t>
      </w:r>
      <w:r>
        <w:rPr>
          <w:rFonts w:ascii="Times New Roman" w:hAnsi="Times New Roman"/>
          <w:b w:val="0"/>
          <w:bCs w:val="0"/>
        </w:rPr>
        <w:t xml:space="preserve">→U </w:t>
      </w:r>
      <w:r>
        <w:rPr>
          <w:rFonts w:ascii="Times New Roman" w:hAnsi="Times New Roman"/>
          <w:b w:val="0"/>
          <w:bCs w:val="0"/>
        </w:rPr>
        <w:t>形环（</w:t>
      </w:r>
      <w:r>
        <w:rPr>
          <w:rFonts w:ascii="Times New Roman" w:hAnsi="Times New Roman"/>
          <w:b w:val="0"/>
          <w:bCs w:val="0"/>
        </w:rPr>
        <w:t>200T</w:t>
      </w:r>
      <w:r>
        <w:rPr>
          <w:rFonts w:ascii="Times New Roman" w:hAnsi="Times New Roman"/>
          <w:b w:val="0"/>
          <w:bCs w:val="0"/>
        </w:rPr>
        <w:t>）</w:t>
      </w:r>
      <w:r>
        <w:rPr>
          <w:rFonts w:ascii="Times New Roman" w:hAnsi="Times New Roman"/>
          <w:b w:val="0"/>
          <w:bCs w:val="0"/>
        </w:rPr>
        <w:t>→</w:t>
      </w:r>
      <w:r>
        <w:rPr>
          <w:rFonts w:ascii="Times New Roman" w:hAnsi="Times New Roman"/>
          <w:b w:val="0"/>
          <w:bCs w:val="0"/>
        </w:rPr>
        <w:t>拖拉头</w:t>
      </w:r>
      <w:r>
        <w:rPr>
          <w:rFonts w:ascii="Times New Roman" w:hAnsi="Times New Roman"/>
          <w:b w:val="0"/>
          <w:bCs w:val="0"/>
        </w:rPr>
        <w:t>→</w:t>
      </w:r>
      <w:r>
        <w:rPr>
          <w:rFonts w:ascii="Times New Roman" w:hAnsi="Times New Roman"/>
          <w:b w:val="0"/>
          <w:bCs w:val="0"/>
        </w:rPr>
        <w:t>穿越段管道</w:t>
      </w:r>
      <w:r>
        <w:rPr>
          <w:rFonts w:ascii="Times New Roman" w:hAnsi="Times New Roman"/>
          <w:b w:val="0"/>
          <w:bCs w:val="0"/>
        </w:rPr>
        <w:t>→</w:t>
      </w:r>
      <w:r>
        <w:rPr>
          <w:rFonts w:ascii="Times New Roman" w:hAnsi="Times New Roman"/>
          <w:b w:val="0"/>
          <w:bCs w:val="0"/>
        </w:rPr>
        <w:t>夯管锤（备用）。</w:t>
      </w:r>
    </w:p>
    <w:p w14:paraId="22CD24A5" w14:textId="77777777" w:rsidR="007D1E74" w:rsidRDefault="00A95641">
      <w:r>
        <w:rPr>
          <w:noProof/>
        </w:rPr>
        <w:drawing>
          <wp:inline distT="0" distB="0" distL="114300" distR="114300" wp14:anchorId="066FA58F" wp14:editId="042F2503">
            <wp:extent cx="5751195" cy="1473835"/>
            <wp:effectExtent l="0" t="0" r="9525" b="4445"/>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96"/>
                    <a:srcRect b="15323"/>
                    <a:stretch>
                      <a:fillRect/>
                    </a:stretch>
                  </pic:blipFill>
                  <pic:spPr>
                    <a:xfrm>
                      <a:off x="0" y="0"/>
                      <a:ext cx="5751195" cy="1473835"/>
                    </a:xfrm>
                    <a:prstGeom prst="rect">
                      <a:avLst/>
                    </a:prstGeom>
                    <a:noFill/>
                    <a:ln>
                      <a:noFill/>
                    </a:ln>
                  </pic:spPr>
                </pic:pic>
              </a:graphicData>
            </a:graphic>
          </wp:inline>
        </w:drawing>
      </w:r>
    </w:p>
    <w:p w14:paraId="3303846A" w14:textId="77777777" w:rsidR="007D1E74" w:rsidRDefault="00A95641">
      <w:pPr>
        <w:pStyle w:val="aff7"/>
        <w:spacing w:line="240" w:lineRule="auto"/>
        <w:jc w:val="center"/>
        <w:rPr>
          <w:rStyle w:val="Charfffffff9"/>
          <w:b/>
          <w:sz w:val="21"/>
          <w:szCs w:val="21"/>
        </w:rPr>
      </w:pPr>
      <w:r>
        <w:rPr>
          <w:rFonts w:ascii="Times New Roman" w:hAnsi="Times New Roman"/>
          <w:sz w:val="21"/>
        </w:rPr>
        <w:t>图</w:t>
      </w:r>
      <w:r>
        <w:rPr>
          <w:rFonts w:ascii="Times New Roman" w:hAnsi="Times New Roman"/>
          <w:sz w:val="21"/>
        </w:rPr>
        <w:t>3.2-8</w:t>
      </w:r>
      <w:r>
        <w:rPr>
          <w:rStyle w:val="Charfffffff9"/>
          <w:b/>
          <w:sz w:val="21"/>
          <w:szCs w:val="21"/>
        </w:rPr>
        <w:t xml:space="preserve">   </w:t>
      </w:r>
      <w:r>
        <w:rPr>
          <w:rStyle w:val="Charfffffff9"/>
          <w:b/>
          <w:sz w:val="21"/>
          <w:szCs w:val="21"/>
        </w:rPr>
        <w:t>管道回拖示意图</w:t>
      </w:r>
    </w:p>
    <w:p w14:paraId="28FBB25F"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w:t>
      </w:r>
      <w:r>
        <w:rPr>
          <w:rFonts w:ascii="Times New Roman" w:hAnsi="Times New Roman"/>
          <w:b w:val="0"/>
          <w:bCs w:val="0"/>
        </w:rPr>
        <w:t>11</w:t>
      </w:r>
      <w:r>
        <w:rPr>
          <w:rFonts w:ascii="Times New Roman" w:hAnsi="Times New Roman"/>
          <w:b w:val="0"/>
          <w:bCs w:val="0"/>
        </w:rPr>
        <w:t>）回拖管的支撑和发送</w:t>
      </w:r>
    </w:p>
    <w:p w14:paraId="5AF6B483"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1</w:t>
      </w:r>
      <w:r>
        <w:rPr>
          <w:rFonts w:ascii="Times New Roman" w:hAnsi="Times New Roman"/>
          <w:b w:val="0"/>
          <w:bCs w:val="0"/>
        </w:rPr>
        <w:t>）首先用吊车（挖掘机）把钢管分段吊起，每隔钢管长度距离</w:t>
      </w:r>
      <w:r>
        <w:rPr>
          <w:rFonts w:ascii="Times New Roman" w:hAnsi="Times New Roman"/>
          <w:b w:val="0"/>
          <w:bCs w:val="0"/>
        </w:rPr>
        <w:t xml:space="preserve"> 20m </w:t>
      </w:r>
      <w:r>
        <w:rPr>
          <w:rFonts w:ascii="Times New Roman" w:hAnsi="Times New Roman"/>
          <w:b w:val="0"/>
          <w:bCs w:val="0"/>
        </w:rPr>
        <w:t>处搭一个土堆，</w:t>
      </w:r>
    </w:p>
    <w:p w14:paraId="4577E2CD"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用挖掘机把土堆压实。托管时在管道上采用浇水方式，使土堆泥土松软，同时土堆上用人工放置膨润土，利用膨润土的润滑性减小管道与土堆的摩擦。</w:t>
      </w:r>
    </w:p>
    <w:p w14:paraId="2344AAD1"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2</w:t>
      </w:r>
      <w:r>
        <w:rPr>
          <w:rFonts w:ascii="Times New Roman" w:hAnsi="Times New Roman"/>
          <w:b w:val="0"/>
          <w:bCs w:val="0"/>
        </w:rPr>
        <w:t>）在拖管的过程中安排专人在托管的场地来回巡视检查钢管，以防止管道从土堆滑落。如出现滑落应及时通知现场负责人暂定回拖，重新做好后再进行管道回拖。</w:t>
      </w:r>
    </w:p>
    <w:p w14:paraId="1C59CD53"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3</w:t>
      </w:r>
      <w:r>
        <w:rPr>
          <w:rFonts w:ascii="Times New Roman" w:hAnsi="Times New Roman"/>
          <w:b w:val="0"/>
          <w:bCs w:val="0"/>
        </w:rPr>
        <w:t>）管道吊装时吊带禁止安放在管道连接焊口处，吊装发送时出入土两侧使用对讲机进行有效沟通，管道要保证全部吊离地面后，在现场指挥人员的命令下进行回拖作业，以保证防腐层不因摩擦拖拽导致损坏。</w:t>
      </w:r>
    </w:p>
    <w:p w14:paraId="3C26A1E0"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4</w:t>
      </w:r>
      <w:r>
        <w:rPr>
          <w:rFonts w:ascii="Times New Roman" w:hAnsi="Times New Roman"/>
          <w:b w:val="0"/>
          <w:bCs w:val="0"/>
        </w:rPr>
        <w:t>）回拖时应符合下列条件</w:t>
      </w:r>
    </w:p>
    <w:p w14:paraId="311CD51C" w14:textId="77777777" w:rsidR="007D1E74" w:rsidRDefault="00A95641">
      <w:pPr>
        <w:pStyle w:val="aff7"/>
        <w:spacing w:before="0" w:line="360" w:lineRule="auto"/>
        <w:ind w:firstLineChars="200" w:firstLine="480"/>
        <w:rPr>
          <w:rFonts w:ascii="Times New Roman" w:hAnsi="Times New Roman"/>
          <w:b w:val="0"/>
          <w:bCs w:val="0"/>
        </w:rPr>
      </w:pPr>
      <w:r>
        <w:rPr>
          <w:rFonts w:ascii="宋体" w:hAnsi="宋体" w:cs="宋体" w:hint="eastAsia"/>
          <w:b w:val="0"/>
          <w:bCs w:val="0"/>
        </w:rPr>
        <w:t>①</w:t>
      </w:r>
      <w:r>
        <w:rPr>
          <w:rFonts w:ascii="Times New Roman" w:hAnsi="Times New Roman"/>
          <w:b w:val="0"/>
          <w:bCs w:val="0"/>
        </w:rPr>
        <w:t>在回拖作业时，增加泥浆润滑剂，使高润滑泥浆像薄膜一样附着于防腐层表面，减少回拖阻力。</w:t>
      </w:r>
    </w:p>
    <w:p w14:paraId="3A2858A2" w14:textId="77777777" w:rsidR="007D1E74" w:rsidRDefault="00A95641">
      <w:pPr>
        <w:pStyle w:val="aff7"/>
        <w:spacing w:before="0" w:line="360" w:lineRule="auto"/>
        <w:ind w:firstLineChars="200" w:firstLine="480"/>
        <w:rPr>
          <w:rFonts w:ascii="Times New Roman" w:hAnsi="Times New Roman"/>
          <w:b w:val="0"/>
          <w:bCs w:val="0"/>
        </w:rPr>
      </w:pPr>
      <w:r>
        <w:rPr>
          <w:rFonts w:ascii="宋体" w:hAnsi="宋体" w:cs="宋体" w:hint="eastAsia"/>
          <w:b w:val="0"/>
          <w:bCs w:val="0"/>
        </w:rPr>
        <w:t>②</w:t>
      </w:r>
      <w:r>
        <w:rPr>
          <w:rFonts w:ascii="Times New Roman" w:hAnsi="Times New Roman"/>
          <w:b w:val="0"/>
          <w:bCs w:val="0"/>
        </w:rPr>
        <w:t>回拖前后，准备好补口、补伤材料及电火花检漏仪，安排专人巡视管道。</w:t>
      </w:r>
    </w:p>
    <w:p w14:paraId="38DD00F0" w14:textId="77777777" w:rsidR="007D1E74" w:rsidRDefault="00A95641">
      <w:pPr>
        <w:pStyle w:val="aff7"/>
        <w:spacing w:before="0" w:line="360" w:lineRule="auto"/>
        <w:ind w:firstLineChars="200" w:firstLine="480"/>
        <w:rPr>
          <w:rFonts w:ascii="Times New Roman" w:hAnsi="Times New Roman"/>
          <w:b w:val="0"/>
          <w:bCs w:val="0"/>
        </w:rPr>
      </w:pPr>
      <w:r>
        <w:rPr>
          <w:rFonts w:ascii="宋体" w:hAnsi="宋体" w:cs="宋体" w:hint="eastAsia"/>
          <w:b w:val="0"/>
          <w:bCs w:val="0"/>
        </w:rPr>
        <w:t>③</w:t>
      </w:r>
      <w:r>
        <w:rPr>
          <w:rFonts w:ascii="Times New Roman" w:hAnsi="Times New Roman"/>
          <w:b w:val="0"/>
          <w:bCs w:val="0"/>
        </w:rPr>
        <w:t>扩孔器旋转和回拖速度应均匀；回拖速度</w:t>
      </w:r>
      <w:r>
        <w:rPr>
          <w:rFonts w:ascii="Times New Roman" w:hAnsi="Times New Roman"/>
          <w:b w:val="0"/>
          <w:bCs w:val="0"/>
        </w:rPr>
        <w:t>≤2.5m/min</w:t>
      </w:r>
      <w:r>
        <w:rPr>
          <w:rFonts w:ascii="Times New Roman" w:hAnsi="Times New Roman"/>
          <w:b w:val="0"/>
          <w:bCs w:val="0"/>
        </w:rPr>
        <w:t>。</w:t>
      </w:r>
    </w:p>
    <w:p w14:paraId="1179D8F9" w14:textId="77777777" w:rsidR="007D1E74" w:rsidRDefault="00A95641">
      <w:pPr>
        <w:pStyle w:val="aff7"/>
        <w:spacing w:before="0" w:line="360" w:lineRule="auto"/>
        <w:ind w:firstLineChars="200" w:firstLine="480"/>
        <w:rPr>
          <w:rFonts w:ascii="Times New Roman" w:hAnsi="Times New Roman"/>
          <w:b w:val="0"/>
          <w:bCs w:val="0"/>
        </w:rPr>
      </w:pPr>
      <w:r>
        <w:rPr>
          <w:rFonts w:ascii="宋体" w:hAnsi="宋体" w:cs="宋体" w:hint="eastAsia"/>
          <w:b w:val="0"/>
          <w:bCs w:val="0"/>
        </w:rPr>
        <w:t>④</w:t>
      </w:r>
      <w:r>
        <w:rPr>
          <w:rFonts w:ascii="Times New Roman" w:hAnsi="Times New Roman"/>
          <w:b w:val="0"/>
          <w:bCs w:val="0"/>
        </w:rPr>
        <w:t>牙轮式扩孔器内各泥浆水眼及回拖万向节工作正常。</w:t>
      </w:r>
    </w:p>
    <w:p w14:paraId="0A857D83" w14:textId="77777777" w:rsidR="007D1E74" w:rsidRDefault="00A95641">
      <w:pPr>
        <w:pStyle w:val="aff7"/>
        <w:spacing w:before="0" w:line="360" w:lineRule="auto"/>
        <w:ind w:firstLineChars="200" w:firstLine="480"/>
        <w:rPr>
          <w:rFonts w:ascii="Times New Roman" w:hAnsi="Times New Roman"/>
          <w:b w:val="0"/>
          <w:bCs w:val="0"/>
        </w:rPr>
      </w:pPr>
      <w:r>
        <w:rPr>
          <w:rFonts w:ascii="宋体" w:hAnsi="宋体" w:cs="宋体" w:hint="eastAsia"/>
          <w:b w:val="0"/>
          <w:bCs w:val="0"/>
        </w:rPr>
        <w:t>⑤</w:t>
      </w:r>
      <w:r>
        <w:rPr>
          <w:rFonts w:ascii="Times New Roman" w:hAnsi="Times New Roman"/>
          <w:b w:val="0"/>
          <w:bCs w:val="0"/>
        </w:rPr>
        <w:t>回拖过程中，要认真观察浆泥运行情况，运用泥浆制浆系统、泥浆循环处理系统尽量回收利用泥浆残物，减少环境污染。</w:t>
      </w:r>
    </w:p>
    <w:p w14:paraId="3E2CAEC8" w14:textId="77777777" w:rsidR="007D1E74" w:rsidRDefault="00A95641">
      <w:pPr>
        <w:pStyle w:val="aff7"/>
        <w:spacing w:before="0" w:line="360" w:lineRule="auto"/>
        <w:ind w:firstLineChars="200" w:firstLine="480"/>
        <w:rPr>
          <w:rFonts w:ascii="Times New Roman" w:hAnsi="Times New Roman"/>
          <w:b w:val="0"/>
          <w:bCs w:val="0"/>
        </w:rPr>
      </w:pPr>
      <w:r>
        <w:rPr>
          <w:rFonts w:ascii="宋体" w:hAnsi="宋体" w:cs="宋体" w:hint="eastAsia"/>
          <w:b w:val="0"/>
          <w:bCs w:val="0"/>
        </w:rPr>
        <w:t>⑥</w:t>
      </w:r>
      <w:r>
        <w:rPr>
          <w:rFonts w:ascii="Times New Roman" w:hAnsi="Times New Roman"/>
          <w:b w:val="0"/>
          <w:bCs w:val="0"/>
        </w:rPr>
        <w:t>管道回拖出土后，用</w:t>
      </w:r>
      <w:r>
        <w:rPr>
          <w:rFonts w:ascii="Times New Roman" w:hAnsi="Times New Roman"/>
          <w:b w:val="0"/>
          <w:bCs w:val="0"/>
        </w:rPr>
        <w:t xml:space="preserve"> B </w:t>
      </w:r>
      <w:r>
        <w:rPr>
          <w:rFonts w:ascii="Times New Roman" w:hAnsi="Times New Roman"/>
          <w:b w:val="0"/>
          <w:bCs w:val="0"/>
        </w:rPr>
        <w:t>型钳与挖掘机、人工配合卸下扩孔器、万向节和</w:t>
      </w:r>
      <w:r>
        <w:rPr>
          <w:rFonts w:ascii="Times New Roman" w:hAnsi="Times New Roman"/>
          <w:b w:val="0"/>
          <w:bCs w:val="0"/>
        </w:rPr>
        <w:t xml:space="preserve"> U </w:t>
      </w:r>
      <w:r>
        <w:rPr>
          <w:rFonts w:ascii="Times New Roman" w:hAnsi="Times New Roman"/>
          <w:b w:val="0"/>
          <w:bCs w:val="0"/>
        </w:rPr>
        <w:t>型环等机具，割掉回拖头，用事先准备好的盲板将回拖管管口焊接封堵。</w:t>
      </w:r>
    </w:p>
    <w:p w14:paraId="5339FE3B" w14:textId="77777777" w:rsidR="007D1E74" w:rsidRDefault="00A95641">
      <w:pPr>
        <w:pStyle w:val="aff7"/>
        <w:spacing w:before="0" w:line="360" w:lineRule="auto"/>
        <w:ind w:firstLineChars="200" w:firstLine="480"/>
        <w:rPr>
          <w:rFonts w:ascii="Times New Roman" w:hAnsi="Times New Roman"/>
          <w:b w:val="0"/>
          <w:bCs w:val="0"/>
        </w:rPr>
      </w:pPr>
      <w:r>
        <w:rPr>
          <w:rFonts w:ascii="宋体" w:hAnsi="宋体" w:cs="宋体" w:hint="eastAsia"/>
          <w:b w:val="0"/>
          <w:bCs w:val="0"/>
        </w:rPr>
        <w:t>⑦</w:t>
      </w:r>
      <w:r>
        <w:rPr>
          <w:rFonts w:ascii="Times New Roman" w:hAnsi="Times New Roman"/>
          <w:b w:val="0"/>
          <w:bCs w:val="0"/>
        </w:rPr>
        <w:t>当管道回拖完毕后，需对管线出、入土点各再延长一根管的距离焊接收发球筒，进行清管测径及第二次严密试验，本次清管、测径的目的是保证管道内无积水、杂物，</w:t>
      </w:r>
      <w:r>
        <w:rPr>
          <w:rFonts w:ascii="Times New Roman" w:hAnsi="Times New Roman"/>
          <w:b w:val="0"/>
          <w:bCs w:val="0"/>
        </w:rPr>
        <w:lastRenderedPageBreak/>
        <w:t>并检测管道在回拖过程中是否受到伤害发生变形。</w:t>
      </w:r>
    </w:p>
    <w:p w14:paraId="72DAF386"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w:t>
      </w:r>
      <w:r>
        <w:rPr>
          <w:rFonts w:ascii="Times New Roman" w:hAnsi="Times New Roman"/>
          <w:b w:val="0"/>
          <w:bCs w:val="0"/>
        </w:rPr>
        <w:t>12</w:t>
      </w:r>
      <w:r>
        <w:rPr>
          <w:rFonts w:ascii="Times New Roman" w:hAnsi="Times New Roman"/>
          <w:b w:val="0"/>
          <w:bCs w:val="0"/>
        </w:rPr>
        <w:t>）地貌恢复、泥浆处理</w:t>
      </w:r>
    </w:p>
    <w:p w14:paraId="54BD5091"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定向钻穿越施工前，用挖掘机将穿越工地的表层耕植土剥离，堆放在工地边沿。然后用土工布将可能跑、冒、流淌泥浆的地方覆盖铺垫。并开挖导流沟，将可能跑、冒、流淌的泥浆引向泥浆回收池，泥浆部分循环利用。</w:t>
      </w:r>
    </w:p>
    <w:p w14:paraId="7DC8B24C" w14:textId="77777777" w:rsidR="007D1E74" w:rsidRDefault="00A95641">
      <w:pPr>
        <w:pStyle w:val="aff7"/>
        <w:spacing w:before="0" w:line="360" w:lineRule="auto"/>
        <w:ind w:firstLineChars="200" w:firstLine="480"/>
        <w:rPr>
          <w:rFonts w:ascii="Times New Roman" w:hAnsi="Times New Roman"/>
          <w:b w:val="0"/>
          <w:bCs w:val="0"/>
        </w:rPr>
      </w:pPr>
      <w:r>
        <w:rPr>
          <w:rFonts w:ascii="Times New Roman" w:hAnsi="Times New Roman"/>
          <w:b w:val="0"/>
          <w:bCs w:val="0"/>
        </w:rPr>
        <w:t>施工完毕待设备全部撤离后，将泥浆池中的剩余泥浆用专用的泥浆罐车拉运到当地环境保护部门指定的泥浆填埋场。清除场地上的杂物，用单斗及人工回填开挖的沟、渠等，分层压实，将已剥离的表层耕植土恢复到表层，填土方高出地表</w:t>
      </w:r>
      <w:r>
        <w:rPr>
          <w:rFonts w:ascii="Times New Roman" w:hAnsi="Times New Roman"/>
          <w:b w:val="0"/>
          <w:bCs w:val="0"/>
        </w:rPr>
        <w:t xml:space="preserve"> 300mm</w:t>
      </w:r>
      <w:r>
        <w:rPr>
          <w:rFonts w:ascii="Times New Roman" w:hAnsi="Times New Roman"/>
          <w:b w:val="0"/>
          <w:bCs w:val="0"/>
        </w:rPr>
        <w:t>。农地田坎、沟渠堤用铁锹分层拍打密实，逐层恢复到原貌。</w:t>
      </w:r>
    </w:p>
    <w:p w14:paraId="176D15D5" w14:textId="77777777" w:rsidR="007D1E74" w:rsidRDefault="00A95641">
      <w:pPr>
        <w:spacing w:line="360" w:lineRule="auto"/>
        <w:ind w:firstLineChars="200" w:firstLine="482"/>
        <w:rPr>
          <w:sz w:val="24"/>
        </w:rPr>
      </w:pPr>
      <w:r>
        <w:rPr>
          <w:b/>
          <w:bCs/>
          <w:sz w:val="24"/>
        </w:rPr>
        <w:t>3.2.1.1.5</w:t>
      </w:r>
      <w:r>
        <w:rPr>
          <w:b/>
          <w:bCs/>
          <w:sz w:val="24"/>
        </w:rPr>
        <w:t>焊接、清管、试压、干燥、置换</w:t>
      </w:r>
    </w:p>
    <w:p w14:paraId="4EEB488C" w14:textId="77777777" w:rsidR="007D1E74" w:rsidRDefault="00A95641">
      <w:pPr>
        <w:spacing w:line="360" w:lineRule="auto"/>
        <w:ind w:firstLineChars="200" w:firstLine="480"/>
        <w:rPr>
          <w:sz w:val="24"/>
        </w:rPr>
      </w:pPr>
      <w:r>
        <w:rPr>
          <w:sz w:val="24"/>
        </w:rPr>
        <w:t>（</w:t>
      </w:r>
      <w:r>
        <w:rPr>
          <w:sz w:val="24"/>
        </w:rPr>
        <w:t>1</w:t>
      </w:r>
      <w:r>
        <w:rPr>
          <w:sz w:val="24"/>
        </w:rPr>
        <w:t>）管道焊接</w:t>
      </w:r>
    </w:p>
    <w:p w14:paraId="334AF73B" w14:textId="77777777" w:rsidR="007D1E74" w:rsidRDefault="00A95641">
      <w:pPr>
        <w:spacing w:line="360" w:lineRule="auto"/>
        <w:ind w:firstLineChars="200" w:firstLine="480"/>
        <w:rPr>
          <w:sz w:val="24"/>
        </w:rPr>
      </w:pPr>
      <w:r>
        <w:rPr>
          <w:sz w:val="24"/>
        </w:rPr>
        <w:t>本工程推荐采用半自动焊接，建议吊管机进行机械布管，内对口器进行组对，采用半自动焊进行焊接，沟上组焊，利用吊管机整体下沟，焊条为</w:t>
      </w:r>
      <w:r>
        <w:rPr>
          <w:sz w:val="24"/>
        </w:rPr>
        <w:t>E6010</w:t>
      </w:r>
      <w:r>
        <w:rPr>
          <w:sz w:val="24"/>
        </w:rPr>
        <w:t>。管道焊缝质量先进行外观检查，外观检查标准应符合《油气长输管道工程施工及验收规范》（</w:t>
      </w:r>
      <w:r>
        <w:rPr>
          <w:sz w:val="24"/>
        </w:rPr>
        <w:t>GB50369- 2006</w:t>
      </w:r>
      <w:r>
        <w:rPr>
          <w:sz w:val="24"/>
        </w:rPr>
        <w:t>）的规定，合格后方可进行无损检测。管道所有焊缝内部质量检查均应进行</w:t>
      </w:r>
      <w:r>
        <w:rPr>
          <w:sz w:val="24"/>
        </w:rPr>
        <w:t>100%</w:t>
      </w:r>
      <w:r>
        <w:rPr>
          <w:sz w:val="24"/>
        </w:rPr>
        <w:t>的超声波探伤检查，要求达到《石油天然气钢质管道无损检测》（</w:t>
      </w:r>
      <w:r>
        <w:rPr>
          <w:sz w:val="24"/>
        </w:rPr>
        <w:t>SY/T4109</w:t>
      </w:r>
      <w:r>
        <w:rPr>
          <w:sz w:val="24"/>
        </w:rPr>
        <w:t>－</w:t>
      </w:r>
      <w:r>
        <w:rPr>
          <w:sz w:val="24"/>
        </w:rPr>
        <w:t>2005</w:t>
      </w:r>
      <w:r>
        <w:rPr>
          <w:sz w:val="24"/>
        </w:rPr>
        <w:t>）的</w:t>
      </w:r>
      <w:r>
        <w:rPr>
          <w:sz w:val="24"/>
        </w:rPr>
        <w:t>Ⅱ</w:t>
      </w:r>
      <w:r>
        <w:rPr>
          <w:sz w:val="24"/>
        </w:rPr>
        <w:t>级质量要求。无损检测方法应选用射线检测和超声波检测，焊缝表面缺陷应选用液体渗透探伤。</w:t>
      </w:r>
    </w:p>
    <w:p w14:paraId="5DFB5A23" w14:textId="77777777" w:rsidR="007D1E74" w:rsidRDefault="00A95641">
      <w:pPr>
        <w:spacing w:line="360" w:lineRule="auto"/>
        <w:ind w:firstLineChars="200" w:firstLine="480"/>
        <w:rPr>
          <w:sz w:val="24"/>
        </w:rPr>
      </w:pPr>
      <w:r>
        <w:rPr>
          <w:sz w:val="24"/>
        </w:rPr>
        <w:t>（</w:t>
      </w:r>
      <w:r>
        <w:rPr>
          <w:sz w:val="24"/>
        </w:rPr>
        <w:t>2</w:t>
      </w:r>
      <w:r>
        <w:rPr>
          <w:sz w:val="24"/>
        </w:rPr>
        <w:t>）清管</w:t>
      </w:r>
    </w:p>
    <w:p w14:paraId="0EBDEA67" w14:textId="77777777" w:rsidR="007D1E74" w:rsidRDefault="00A95641">
      <w:pPr>
        <w:spacing w:line="360" w:lineRule="auto"/>
        <w:ind w:firstLineChars="200" w:firstLine="480"/>
        <w:rPr>
          <w:sz w:val="24"/>
        </w:rPr>
      </w:pPr>
      <w:r>
        <w:rPr>
          <w:sz w:val="24"/>
        </w:rPr>
        <w:t>分段试压前，应采用清管球（器）进行清管，清管介质应用空气。清管次数不少于</w:t>
      </w:r>
      <w:r>
        <w:rPr>
          <w:sz w:val="24"/>
        </w:rPr>
        <w:t xml:space="preserve"> 2 </w:t>
      </w:r>
      <w:r>
        <w:rPr>
          <w:sz w:val="24"/>
        </w:rPr>
        <w:t>次，以开口端不再排除杂物为合格。分段清管应设临时清管器收发装置，清管器接受装置应选择在地势较高且</w:t>
      </w:r>
      <w:r>
        <w:rPr>
          <w:sz w:val="24"/>
        </w:rPr>
        <w:t xml:space="preserve">50m </w:t>
      </w:r>
      <w:r>
        <w:rPr>
          <w:sz w:val="24"/>
        </w:rPr>
        <w:t>范围内没有建筑物和人口的的区域内，并应设警示标志。清管选用复合式清管器，清管球充水后直径过盈量应为管内径的</w:t>
      </w:r>
      <w:r>
        <w:rPr>
          <w:sz w:val="24"/>
        </w:rPr>
        <w:t>5%~8%</w:t>
      </w:r>
      <w:r>
        <w:rPr>
          <w:sz w:val="24"/>
        </w:rPr>
        <w:t>。清管时的最大压力不得超过管材最小屈服强度的</w:t>
      </w:r>
      <w:r>
        <w:rPr>
          <w:sz w:val="24"/>
        </w:rPr>
        <w:t>30%</w:t>
      </w:r>
      <w:r>
        <w:rPr>
          <w:sz w:val="24"/>
        </w:rPr>
        <w:t>。清管器应适用于管道弯管的曲率半径。</w:t>
      </w:r>
    </w:p>
    <w:p w14:paraId="26D6244C" w14:textId="77777777" w:rsidR="007D1E74" w:rsidRDefault="00A95641">
      <w:pPr>
        <w:spacing w:line="360" w:lineRule="auto"/>
        <w:ind w:firstLineChars="200" w:firstLine="480"/>
        <w:rPr>
          <w:sz w:val="24"/>
        </w:rPr>
      </w:pPr>
      <w:r>
        <w:rPr>
          <w:sz w:val="24"/>
        </w:rPr>
        <w:t>（</w:t>
      </w:r>
      <w:r>
        <w:rPr>
          <w:sz w:val="24"/>
        </w:rPr>
        <w:t>3</w:t>
      </w:r>
      <w:r>
        <w:rPr>
          <w:sz w:val="24"/>
        </w:rPr>
        <w:t>）管道试压</w:t>
      </w:r>
    </w:p>
    <w:p w14:paraId="003B37E7" w14:textId="77777777" w:rsidR="007D1E74" w:rsidRDefault="00A95641">
      <w:pPr>
        <w:spacing w:line="360" w:lineRule="auto"/>
        <w:ind w:firstLineChars="200" w:firstLine="480"/>
        <w:rPr>
          <w:sz w:val="24"/>
        </w:rPr>
      </w:pPr>
      <w:r>
        <w:rPr>
          <w:sz w:val="24"/>
        </w:rPr>
        <w:t>本项目采用分段试压的方式进行，本工程强度试压、严密性试压介质采用洁净水。强度试压时，低点环向应力达到</w:t>
      </w:r>
      <w:r>
        <w:rPr>
          <w:sz w:val="24"/>
        </w:rPr>
        <w:t xml:space="preserve"> 95%σs</w:t>
      </w:r>
      <w:r>
        <w:rPr>
          <w:sz w:val="24"/>
        </w:rPr>
        <w:t>为宜。</w:t>
      </w:r>
    </w:p>
    <w:p w14:paraId="7ADC468C" w14:textId="77777777" w:rsidR="007D1E74" w:rsidRDefault="00A95641">
      <w:pPr>
        <w:tabs>
          <w:tab w:val="left" w:pos="965"/>
        </w:tabs>
        <w:jc w:val="center"/>
        <w:rPr>
          <w:b/>
        </w:rPr>
      </w:pPr>
      <w:r>
        <w:rPr>
          <w:b/>
        </w:rPr>
        <w:t>表</w:t>
      </w:r>
      <w:r>
        <w:rPr>
          <w:b/>
          <w:spacing w:val="1"/>
        </w:rPr>
        <w:t xml:space="preserve"> </w:t>
      </w:r>
      <w:r>
        <w:rPr>
          <w:b/>
        </w:rPr>
        <w:t xml:space="preserve">3.2-3  </w:t>
      </w:r>
      <w:r>
        <w:rPr>
          <w:b/>
        </w:rPr>
        <w:t>试验压力值、</w:t>
      </w:r>
      <w:r>
        <w:rPr>
          <w:b/>
          <w:spacing w:val="-3"/>
        </w:rPr>
        <w:t>稳</w:t>
      </w:r>
      <w:r>
        <w:rPr>
          <w:b/>
        </w:rPr>
        <w:t>压时间及允许压降值</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01"/>
        <w:gridCol w:w="1457"/>
        <w:gridCol w:w="1086"/>
        <w:gridCol w:w="2339"/>
        <w:gridCol w:w="2453"/>
      </w:tblGrid>
      <w:tr w:rsidR="007D1E74" w14:paraId="4D6908A1" w14:textId="77777777">
        <w:trPr>
          <w:trHeight w:val="258"/>
          <w:jc w:val="center"/>
        </w:trPr>
        <w:tc>
          <w:tcPr>
            <w:tcW w:w="2976" w:type="dxa"/>
            <w:gridSpan w:val="2"/>
            <w:vAlign w:val="center"/>
          </w:tcPr>
          <w:p w14:paraId="6F8B5A73"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分类</w:t>
            </w:r>
          </w:p>
        </w:tc>
        <w:tc>
          <w:tcPr>
            <w:tcW w:w="1092" w:type="dxa"/>
            <w:vAlign w:val="center"/>
          </w:tcPr>
          <w:p w14:paraId="5019E41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试验介质</w:t>
            </w:r>
          </w:p>
        </w:tc>
        <w:tc>
          <w:tcPr>
            <w:tcW w:w="2353" w:type="dxa"/>
            <w:vAlign w:val="center"/>
          </w:tcPr>
          <w:p w14:paraId="0C50190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强度试压</w:t>
            </w:r>
          </w:p>
        </w:tc>
        <w:tc>
          <w:tcPr>
            <w:tcW w:w="2468" w:type="dxa"/>
            <w:vAlign w:val="center"/>
          </w:tcPr>
          <w:p w14:paraId="77DBFC4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严密性试压</w:t>
            </w:r>
          </w:p>
        </w:tc>
      </w:tr>
      <w:tr w:rsidR="007D1E74" w14:paraId="2C9109ED" w14:textId="77777777">
        <w:trPr>
          <w:trHeight w:val="261"/>
          <w:jc w:val="center"/>
        </w:trPr>
        <w:tc>
          <w:tcPr>
            <w:tcW w:w="1510" w:type="dxa"/>
            <w:vMerge w:val="restart"/>
            <w:vAlign w:val="center"/>
          </w:tcPr>
          <w:p w14:paraId="517CD92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二级地区管道</w:t>
            </w:r>
          </w:p>
        </w:tc>
        <w:tc>
          <w:tcPr>
            <w:tcW w:w="1466" w:type="dxa"/>
            <w:vAlign w:val="center"/>
          </w:tcPr>
          <w:p w14:paraId="3DA4D1F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压力值（</w:t>
            </w:r>
            <w:r>
              <w:rPr>
                <w:rFonts w:ascii="Times New Roman" w:hAnsi="Times New Roman"/>
                <w:sz w:val="21"/>
                <w:szCs w:val="21"/>
              </w:rPr>
              <w:t>MPa</w:t>
            </w:r>
            <w:r>
              <w:rPr>
                <w:rFonts w:ascii="Times New Roman" w:hAnsi="Times New Roman"/>
                <w:sz w:val="21"/>
                <w:szCs w:val="21"/>
              </w:rPr>
              <w:t>）</w:t>
            </w:r>
          </w:p>
        </w:tc>
        <w:tc>
          <w:tcPr>
            <w:tcW w:w="1092" w:type="dxa"/>
            <w:vMerge w:val="restart"/>
            <w:vAlign w:val="center"/>
          </w:tcPr>
          <w:p w14:paraId="7717CE2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洁净水</w:t>
            </w:r>
          </w:p>
        </w:tc>
        <w:tc>
          <w:tcPr>
            <w:tcW w:w="2353" w:type="dxa"/>
            <w:vAlign w:val="center"/>
          </w:tcPr>
          <w:p w14:paraId="674D0E8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不小于</w:t>
            </w:r>
            <w:r>
              <w:rPr>
                <w:rFonts w:ascii="Times New Roman" w:hAnsi="Times New Roman"/>
                <w:sz w:val="21"/>
                <w:szCs w:val="21"/>
              </w:rPr>
              <w:t xml:space="preserve"> 1.2</w:t>
            </w:r>
            <w:r>
              <w:rPr>
                <w:rFonts w:ascii="Times New Roman" w:hAnsi="Times New Roman"/>
                <w:sz w:val="21"/>
                <w:szCs w:val="21"/>
              </w:rPr>
              <w:t>倍设计压力</w:t>
            </w:r>
          </w:p>
        </w:tc>
        <w:tc>
          <w:tcPr>
            <w:tcW w:w="2468" w:type="dxa"/>
            <w:vAlign w:val="center"/>
          </w:tcPr>
          <w:p w14:paraId="12323E6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设计压力</w:t>
            </w:r>
          </w:p>
        </w:tc>
      </w:tr>
      <w:tr w:rsidR="007D1E74" w14:paraId="56650885" w14:textId="77777777">
        <w:trPr>
          <w:trHeight w:val="258"/>
          <w:jc w:val="center"/>
        </w:trPr>
        <w:tc>
          <w:tcPr>
            <w:tcW w:w="1510" w:type="dxa"/>
            <w:vMerge/>
            <w:vAlign w:val="center"/>
          </w:tcPr>
          <w:p w14:paraId="5336A363" w14:textId="77777777" w:rsidR="007D1E74" w:rsidRDefault="007D1E74">
            <w:pPr>
              <w:pStyle w:val="TableParagraph"/>
              <w:adjustRightInd/>
              <w:jc w:val="center"/>
              <w:rPr>
                <w:rFonts w:ascii="Times New Roman" w:hAnsi="Times New Roman"/>
                <w:sz w:val="21"/>
                <w:szCs w:val="21"/>
              </w:rPr>
            </w:pPr>
          </w:p>
        </w:tc>
        <w:tc>
          <w:tcPr>
            <w:tcW w:w="1466" w:type="dxa"/>
            <w:vAlign w:val="center"/>
          </w:tcPr>
          <w:p w14:paraId="7226E21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稳压时间（</w:t>
            </w:r>
            <w:r>
              <w:rPr>
                <w:rFonts w:ascii="Times New Roman" w:hAnsi="Times New Roman"/>
                <w:sz w:val="21"/>
                <w:szCs w:val="21"/>
              </w:rPr>
              <w:t>h</w:t>
            </w:r>
            <w:r>
              <w:rPr>
                <w:rFonts w:ascii="Times New Roman" w:hAnsi="Times New Roman"/>
                <w:sz w:val="21"/>
                <w:szCs w:val="21"/>
              </w:rPr>
              <w:t>）</w:t>
            </w:r>
          </w:p>
        </w:tc>
        <w:tc>
          <w:tcPr>
            <w:tcW w:w="1092" w:type="dxa"/>
            <w:vMerge/>
            <w:vAlign w:val="center"/>
          </w:tcPr>
          <w:p w14:paraId="58BC26A7" w14:textId="77777777" w:rsidR="007D1E74" w:rsidRDefault="007D1E74">
            <w:pPr>
              <w:pStyle w:val="TableParagraph"/>
              <w:adjustRightInd/>
              <w:jc w:val="center"/>
              <w:rPr>
                <w:rFonts w:ascii="Times New Roman" w:hAnsi="Times New Roman"/>
                <w:sz w:val="21"/>
                <w:szCs w:val="21"/>
              </w:rPr>
            </w:pPr>
          </w:p>
        </w:tc>
        <w:tc>
          <w:tcPr>
            <w:tcW w:w="2353" w:type="dxa"/>
            <w:vAlign w:val="center"/>
          </w:tcPr>
          <w:p w14:paraId="4523CB9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4</w:t>
            </w:r>
          </w:p>
        </w:tc>
        <w:tc>
          <w:tcPr>
            <w:tcW w:w="2468" w:type="dxa"/>
            <w:vAlign w:val="center"/>
          </w:tcPr>
          <w:p w14:paraId="0945D0B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24</w:t>
            </w:r>
          </w:p>
        </w:tc>
      </w:tr>
      <w:tr w:rsidR="007D1E74" w14:paraId="3718CEBE" w14:textId="77777777">
        <w:trPr>
          <w:trHeight w:val="520"/>
          <w:jc w:val="center"/>
        </w:trPr>
        <w:tc>
          <w:tcPr>
            <w:tcW w:w="4068" w:type="dxa"/>
            <w:gridSpan w:val="3"/>
            <w:vAlign w:val="center"/>
          </w:tcPr>
          <w:p w14:paraId="7D04C2C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lastRenderedPageBreak/>
              <w:t>合格标准</w:t>
            </w:r>
          </w:p>
        </w:tc>
        <w:tc>
          <w:tcPr>
            <w:tcW w:w="2353" w:type="dxa"/>
            <w:vAlign w:val="center"/>
          </w:tcPr>
          <w:p w14:paraId="3AB2800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无变形、无泄漏</w:t>
            </w:r>
          </w:p>
        </w:tc>
        <w:tc>
          <w:tcPr>
            <w:tcW w:w="2468" w:type="dxa"/>
            <w:vAlign w:val="center"/>
          </w:tcPr>
          <w:p w14:paraId="6CE5632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无泄漏为合格</w:t>
            </w:r>
          </w:p>
        </w:tc>
      </w:tr>
    </w:tbl>
    <w:p w14:paraId="4DC01C46" w14:textId="77777777" w:rsidR="007D1E74" w:rsidRDefault="00A95641">
      <w:pPr>
        <w:spacing w:line="360" w:lineRule="auto"/>
        <w:ind w:firstLineChars="200" w:firstLine="480"/>
        <w:rPr>
          <w:sz w:val="24"/>
        </w:rPr>
      </w:pPr>
      <w:r>
        <w:rPr>
          <w:sz w:val="24"/>
        </w:rPr>
        <w:t>施工期管道试压分段进行，为节约用水，避免水资源的浪费，部分试压用水过滤后可重复使用。此类废水中主要污染物为含少量铁锈、泥沙等悬浮物，根据国内其它管道建设经验，这部分废水经沉淀后可直接用于周边施工场地、临时便道及临时材料堆场洒水抑尘。</w:t>
      </w:r>
    </w:p>
    <w:p w14:paraId="5E098DAF" w14:textId="77777777" w:rsidR="007D1E74" w:rsidRDefault="00A95641">
      <w:pPr>
        <w:spacing w:line="360" w:lineRule="auto"/>
        <w:ind w:firstLineChars="200" w:firstLine="480"/>
        <w:rPr>
          <w:sz w:val="24"/>
        </w:rPr>
      </w:pPr>
      <w:r>
        <w:rPr>
          <w:sz w:val="24"/>
        </w:rPr>
        <w:t>（</w:t>
      </w:r>
      <w:r>
        <w:rPr>
          <w:sz w:val="24"/>
        </w:rPr>
        <w:t>4</w:t>
      </w:r>
      <w:r>
        <w:rPr>
          <w:sz w:val="24"/>
        </w:rPr>
        <w:t>）干燥</w:t>
      </w:r>
    </w:p>
    <w:p w14:paraId="2F8D4DC3" w14:textId="77777777" w:rsidR="007D1E74" w:rsidRDefault="00A95641">
      <w:pPr>
        <w:spacing w:line="360" w:lineRule="auto"/>
        <w:ind w:firstLineChars="200" w:firstLine="480"/>
        <w:rPr>
          <w:sz w:val="24"/>
        </w:rPr>
      </w:pPr>
      <w:r>
        <w:rPr>
          <w:sz w:val="24"/>
        </w:rPr>
        <w:t>排水作业完成后，安放临时收、发球筒，对管段内的积水进行清扫，清扫的污物应排放到规定区域。扫水采用直板清管器，清扫应多次进行，直至没有流动的水。直板清管器扫水后，多次使用泡沫清管器（每隔</w:t>
      </w:r>
      <w:r>
        <w:rPr>
          <w:sz w:val="24"/>
        </w:rPr>
        <w:t xml:space="preserve"> 1h </w:t>
      </w:r>
      <w:r>
        <w:rPr>
          <w:sz w:val="24"/>
        </w:rPr>
        <w:t>发送一次）清管。在泡沫清管器后跟一个机械清管器，发送前和接收后称测泡沫清管器质量，连续</w:t>
      </w:r>
      <w:r>
        <w:rPr>
          <w:sz w:val="24"/>
        </w:rPr>
        <w:t>2</w:t>
      </w:r>
      <w:r>
        <w:rPr>
          <w:sz w:val="24"/>
        </w:rPr>
        <w:t>次称重含水量不应大于（</w:t>
      </w:r>
      <w:r>
        <w:rPr>
          <w:sz w:val="24"/>
        </w:rPr>
        <w:t>1.5×D/1000</w:t>
      </w:r>
      <w:r>
        <w:rPr>
          <w:sz w:val="24"/>
        </w:rPr>
        <w:t>）</w:t>
      </w:r>
      <w:r>
        <w:rPr>
          <w:sz w:val="24"/>
        </w:rPr>
        <w:t>kg</w:t>
      </w:r>
      <w:r>
        <w:rPr>
          <w:sz w:val="24"/>
        </w:rPr>
        <w:t>为合格。</w:t>
      </w:r>
    </w:p>
    <w:p w14:paraId="5AED0DDA" w14:textId="77777777" w:rsidR="007D1E74" w:rsidRDefault="00A95641">
      <w:pPr>
        <w:spacing w:line="360" w:lineRule="auto"/>
        <w:ind w:firstLineChars="200" w:firstLine="480"/>
        <w:rPr>
          <w:sz w:val="24"/>
        </w:rPr>
      </w:pPr>
      <w:r>
        <w:rPr>
          <w:sz w:val="24"/>
        </w:rPr>
        <w:t>管道干燥可采用干空气法（用露点低于</w:t>
      </w:r>
      <w:r>
        <w:rPr>
          <w:sz w:val="24"/>
        </w:rPr>
        <w:t>-40℃</w:t>
      </w:r>
      <w:r>
        <w:rPr>
          <w:sz w:val="24"/>
        </w:rPr>
        <w:t>的干燥空气）。干燥空气吹扫时，在管道末端配置水露点分析仪，以排处气体水露点连续</w:t>
      </w:r>
      <w:r>
        <w:rPr>
          <w:sz w:val="24"/>
        </w:rPr>
        <w:t>4h</w:t>
      </w:r>
      <w:r>
        <w:rPr>
          <w:sz w:val="24"/>
        </w:rPr>
        <w:t>比管输条件下最低环境温度低</w:t>
      </w:r>
      <w:r>
        <w:rPr>
          <w:sz w:val="24"/>
        </w:rPr>
        <w:t xml:space="preserve"> 5℃</w:t>
      </w:r>
      <w:r>
        <w:rPr>
          <w:sz w:val="24"/>
        </w:rPr>
        <w:t>且变化幅度不大于</w:t>
      </w:r>
      <w:r>
        <w:rPr>
          <w:sz w:val="24"/>
        </w:rPr>
        <w:t>3℃</w:t>
      </w:r>
      <w:r>
        <w:rPr>
          <w:sz w:val="24"/>
        </w:rPr>
        <w:t>为合格。</w:t>
      </w:r>
    </w:p>
    <w:p w14:paraId="53394022" w14:textId="77777777" w:rsidR="007D1E74" w:rsidRDefault="00A95641">
      <w:pPr>
        <w:spacing w:line="360" w:lineRule="auto"/>
        <w:ind w:firstLineChars="200" w:firstLine="480"/>
        <w:rPr>
          <w:sz w:val="24"/>
        </w:rPr>
      </w:pPr>
      <w:r>
        <w:rPr>
          <w:sz w:val="24"/>
        </w:rPr>
        <w:t>（</w:t>
      </w:r>
      <w:r>
        <w:rPr>
          <w:sz w:val="24"/>
        </w:rPr>
        <w:t>5</w:t>
      </w:r>
      <w:r>
        <w:rPr>
          <w:sz w:val="24"/>
        </w:rPr>
        <w:t>）置换空气</w:t>
      </w:r>
    </w:p>
    <w:p w14:paraId="565E2D52" w14:textId="77777777" w:rsidR="007D1E74" w:rsidRDefault="00A95641">
      <w:pPr>
        <w:spacing w:line="360" w:lineRule="auto"/>
        <w:ind w:firstLineChars="200" w:firstLine="480"/>
        <w:rPr>
          <w:sz w:val="24"/>
        </w:rPr>
      </w:pPr>
      <w:r>
        <w:rPr>
          <w:sz w:val="24"/>
        </w:rPr>
        <w:t>试压、吹扫、干燥完毕后，须采用氮气进行置换空气工作，以保证在未投产前管内的防锈蚀和天然气进气时的安全。用氮气置换空气时，当置换管道末端放空管口置换气中氧气浓度小于</w:t>
      </w:r>
      <w:r>
        <w:rPr>
          <w:sz w:val="24"/>
        </w:rPr>
        <w:t>2%</w:t>
      </w:r>
      <w:r>
        <w:rPr>
          <w:sz w:val="24"/>
        </w:rPr>
        <w:t>，每间隔</w:t>
      </w:r>
      <w:r>
        <w:rPr>
          <w:sz w:val="24"/>
        </w:rPr>
        <w:t xml:space="preserve"> 5min</w:t>
      </w:r>
      <w:r>
        <w:rPr>
          <w:sz w:val="24"/>
        </w:rPr>
        <w:t>连续</w:t>
      </w:r>
      <w:r>
        <w:rPr>
          <w:sz w:val="24"/>
        </w:rPr>
        <w:t>3</w:t>
      </w:r>
      <w:r>
        <w:rPr>
          <w:sz w:val="24"/>
        </w:rPr>
        <w:t>次取样分析，均达到此指标为置换合格。</w:t>
      </w:r>
    </w:p>
    <w:p w14:paraId="75FD7BE0" w14:textId="77777777" w:rsidR="007D1E74" w:rsidRDefault="00A95641">
      <w:pPr>
        <w:spacing w:line="360" w:lineRule="auto"/>
        <w:ind w:firstLineChars="200" w:firstLine="480"/>
        <w:rPr>
          <w:sz w:val="24"/>
        </w:rPr>
      </w:pPr>
      <w:r>
        <w:rPr>
          <w:sz w:val="24"/>
        </w:rPr>
        <w:t>（</w:t>
      </w:r>
      <w:r>
        <w:rPr>
          <w:sz w:val="24"/>
        </w:rPr>
        <w:t>6</w:t>
      </w:r>
      <w:r>
        <w:rPr>
          <w:sz w:val="24"/>
        </w:rPr>
        <w:t>）投运</w:t>
      </w:r>
    </w:p>
    <w:p w14:paraId="18863F75" w14:textId="77777777" w:rsidR="007D1E74" w:rsidRDefault="00A95641">
      <w:pPr>
        <w:spacing w:line="360" w:lineRule="auto"/>
        <w:ind w:firstLineChars="200" w:firstLine="480"/>
        <w:rPr>
          <w:sz w:val="24"/>
        </w:rPr>
      </w:pPr>
      <w:r>
        <w:rPr>
          <w:sz w:val="24"/>
        </w:rPr>
        <w:t>试压合格后，管道管理单位应根据《天然气管道运行规范》（</w:t>
      </w:r>
      <w:r>
        <w:rPr>
          <w:sz w:val="24"/>
        </w:rPr>
        <w:t>SY/T5922-2012</w:t>
      </w:r>
      <w:r>
        <w:rPr>
          <w:sz w:val="24"/>
        </w:rPr>
        <w:t>）相关规定制定投运方案及相应的安全应急预案，经相关部门审查通过后实施。</w:t>
      </w:r>
    </w:p>
    <w:p w14:paraId="713D2160" w14:textId="77777777" w:rsidR="007D1E74" w:rsidRDefault="00A95641">
      <w:pPr>
        <w:pStyle w:val="41"/>
        <w:tabs>
          <w:tab w:val="left" w:pos="860"/>
        </w:tabs>
        <w:spacing w:line="360" w:lineRule="auto"/>
        <w:jc w:val="left"/>
        <w:rPr>
          <w:rFonts w:ascii="Times New Roman" w:hAnsi="Times New Roman"/>
          <w:sz w:val="24"/>
          <w:szCs w:val="24"/>
        </w:rPr>
      </w:pPr>
      <w:r>
        <w:rPr>
          <w:rFonts w:ascii="Times New Roman" w:hAnsi="Times New Roman"/>
          <w:sz w:val="24"/>
          <w:szCs w:val="24"/>
        </w:rPr>
        <w:t>3.2.1.2</w:t>
      </w:r>
      <w:r>
        <w:rPr>
          <w:rFonts w:ascii="Times New Roman" w:hAnsi="Times New Roman"/>
          <w:sz w:val="24"/>
          <w:szCs w:val="24"/>
        </w:rPr>
        <w:t>施工期产污环节分析</w:t>
      </w:r>
    </w:p>
    <w:p w14:paraId="513650B7" w14:textId="77777777" w:rsidR="007D1E74" w:rsidRDefault="00A95641">
      <w:pPr>
        <w:spacing w:line="360" w:lineRule="auto"/>
        <w:ind w:firstLineChars="200" w:firstLine="480"/>
        <w:rPr>
          <w:sz w:val="24"/>
        </w:rPr>
      </w:pPr>
      <w:r>
        <w:rPr>
          <w:sz w:val="24"/>
        </w:rPr>
        <w:t>根据项目工艺流程分析可知，管道在施工过程中由于施工作业带的清理、管沟的开挖、布管、施工便道修建、临时材料堆场修建等施工活动将不可避免地会对周围环境产生不利影响。一种影响是对土壤扰动和自然植被等的破坏，这种影响是比较持久的，在管道施工完成后的一段时间内仍将存在。另一种是在施工过程中产生的</w:t>
      </w:r>
      <w:r>
        <w:rPr>
          <w:sz w:val="24"/>
        </w:rPr>
        <w:t>“</w:t>
      </w:r>
      <w:r>
        <w:rPr>
          <w:sz w:val="24"/>
        </w:rPr>
        <w:t>三废</w:t>
      </w:r>
      <w:r>
        <w:rPr>
          <w:sz w:val="24"/>
        </w:rPr>
        <w:t>”</w:t>
      </w:r>
      <w:r>
        <w:rPr>
          <w:sz w:val="24"/>
        </w:rPr>
        <w:t>排放对环境造成的影响，这种影响是短暂的，待施工结束后将随之消失。</w:t>
      </w:r>
    </w:p>
    <w:p w14:paraId="2BC36B9A" w14:textId="77777777" w:rsidR="007D1E74" w:rsidRDefault="00A95641">
      <w:pPr>
        <w:spacing w:line="360" w:lineRule="auto"/>
        <w:ind w:firstLineChars="200" w:firstLine="480"/>
        <w:rPr>
          <w:sz w:val="24"/>
        </w:rPr>
      </w:pPr>
      <w:r>
        <w:rPr>
          <w:sz w:val="24"/>
        </w:rPr>
        <w:t>工程施工期间对环境的影响主要表现在以下几方面：</w:t>
      </w:r>
    </w:p>
    <w:p w14:paraId="0303B4BD" w14:textId="77777777" w:rsidR="007D1E74" w:rsidRDefault="00A95641">
      <w:pPr>
        <w:spacing w:line="360" w:lineRule="auto"/>
        <w:ind w:firstLineChars="200" w:firstLine="480"/>
        <w:rPr>
          <w:sz w:val="24"/>
        </w:rPr>
      </w:pPr>
      <w:r>
        <w:rPr>
          <w:sz w:val="24"/>
        </w:rPr>
        <w:t>1</w:t>
      </w:r>
      <w:r>
        <w:rPr>
          <w:sz w:val="24"/>
        </w:rPr>
        <w:t>、施工中产生的施工扬尘、噪声、固废等</w:t>
      </w:r>
      <w:r>
        <w:rPr>
          <w:sz w:val="24"/>
        </w:rPr>
        <w:t>“</w:t>
      </w:r>
      <w:r>
        <w:rPr>
          <w:sz w:val="24"/>
        </w:rPr>
        <w:t>三废</w:t>
      </w:r>
      <w:r>
        <w:rPr>
          <w:sz w:val="24"/>
        </w:rPr>
        <w:t>”</w:t>
      </w:r>
      <w:r>
        <w:rPr>
          <w:sz w:val="24"/>
        </w:rPr>
        <w:t>排放对环境的影响；</w:t>
      </w:r>
    </w:p>
    <w:p w14:paraId="40395635" w14:textId="77777777" w:rsidR="007D1E74" w:rsidRDefault="00A95641">
      <w:pPr>
        <w:spacing w:line="360" w:lineRule="auto"/>
        <w:ind w:firstLineChars="200" w:firstLine="480"/>
        <w:rPr>
          <w:sz w:val="24"/>
        </w:rPr>
      </w:pPr>
      <w:r>
        <w:rPr>
          <w:sz w:val="24"/>
        </w:rPr>
        <w:lastRenderedPageBreak/>
        <w:t>2</w:t>
      </w:r>
      <w:r>
        <w:rPr>
          <w:sz w:val="24"/>
        </w:rPr>
        <w:t>、在工程施工前期准备阶段，路线方案的选择、施工场地的准备，施工便道的修建，对土地利用产生明显的影响；</w:t>
      </w:r>
    </w:p>
    <w:p w14:paraId="72ACF4C9" w14:textId="77777777" w:rsidR="007D1E74" w:rsidRDefault="00A95641">
      <w:pPr>
        <w:spacing w:line="360" w:lineRule="auto"/>
        <w:ind w:firstLineChars="200" w:firstLine="480"/>
        <w:rPr>
          <w:sz w:val="24"/>
        </w:rPr>
      </w:pPr>
      <w:r>
        <w:rPr>
          <w:sz w:val="24"/>
        </w:rPr>
        <w:t>3</w:t>
      </w:r>
      <w:r>
        <w:rPr>
          <w:sz w:val="24"/>
        </w:rPr>
        <w:t>、施工期间土石方工程的开挖引起自然地貌的改变和地表自然及人工植被的破坏，</w:t>
      </w:r>
      <w:r>
        <w:rPr>
          <w:sz w:val="24"/>
        </w:rPr>
        <w:t xml:space="preserve"> </w:t>
      </w:r>
      <w:r>
        <w:rPr>
          <w:sz w:val="24"/>
        </w:rPr>
        <w:t>生物量和生产力的变化，由此引发的区域生态环境的破坏；</w:t>
      </w:r>
    </w:p>
    <w:p w14:paraId="7037C970" w14:textId="77777777" w:rsidR="007D1E74" w:rsidRDefault="00A95641">
      <w:pPr>
        <w:spacing w:line="360" w:lineRule="auto"/>
        <w:ind w:firstLineChars="200" w:firstLine="480"/>
        <w:rPr>
          <w:sz w:val="24"/>
        </w:rPr>
      </w:pPr>
      <w:r>
        <w:rPr>
          <w:sz w:val="24"/>
        </w:rPr>
        <w:t>4</w:t>
      </w:r>
      <w:r>
        <w:rPr>
          <w:sz w:val="24"/>
        </w:rPr>
        <w:t>、施工中施工便道、管道敷设、临时材料堆场占用导致农业生态系统发生变化；</w:t>
      </w:r>
    </w:p>
    <w:p w14:paraId="2737C8CC" w14:textId="77777777" w:rsidR="007D1E74" w:rsidRDefault="00A95641">
      <w:pPr>
        <w:spacing w:line="360" w:lineRule="auto"/>
        <w:ind w:firstLineChars="200" w:firstLine="480"/>
        <w:rPr>
          <w:sz w:val="24"/>
        </w:rPr>
      </w:pPr>
      <w:r>
        <w:rPr>
          <w:sz w:val="24"/>
        </w:rPr>
        <w:t>5</w:t>
      </w:r>
      <w:r>
        <w:rPr>
          <w:sz w:val="24"/>
        </w:rPr>
        <w:t>、施工过程中产生的建筑垃圾，穿越施工行为对沟渠水环境质量的影响；</w:t>
      </w:r>
    </w:p>
    <w:p w14:paraId="221EFE5F" w14:textId="77777777" w:rsidR="007D1E74" w:rsidRDefault="00A95641">
      <w:pPr>
        <w:spacing w:line="360" w:lineRule="auto"/>
        <w:ind w:firstLineChars="200" w:firstLine="480"/>
        <w:rPr>
          <w:sz w:val="24"/>
        </w:rPr>
      </w:pPr>
      <w:r>
        <w:rPr>
          <w:sz w:val="24"/>
        </w:rPr>
        <w:t>6</w:t>
      </w:r>
      <w:r>
        <w:rPr>
          <w:sz w:val="24"/>
        </w:rPr>
        <w:t>、施工中对地表土壤进行扰动，造成新的水土流失，增加了区域内的水土流失量，</w:t>
      </w:r>
      <w:r>
        <w:rPr>
          <w:sz w:val="24"/>
        </w:rPr>
        <w:t xml:space="preserve"> </w:t>
      </w:r>
      <w:r>
        <w:rPr>
          <w:sz w:val="24"/>
        </w:rPr>
        <w:t>加剧了生态环境的破坏。</w:t>
      </w:r>
    </w:p>
    <w:p w14:paraId="1A114833" w14:textId="77777777" w:rsidR="007D1E74" w:rsidRDefault="00A95641">
      <w:pPr>
        <w:pStyle w:val="41"/>
        <w:tabs>
          <w:tab w:val="left" w:pos="860"/>
        </w:tabs>
        <w:spacing w:line="360" w:lineRule="auto"/>
        <w:jc w:val="left"/>
        <w:rPr>
          <w:rFonts w:ascii="Times New Roman" w:hAnsi="Times New Roman"/>
          <w:sz w:val="24"/>
          <w:szCs w:val="24"/>
        </w:rPr>
      </w:pPr>
      <w:r>
        <w:rPr>
          <w:rFonts w:ascii="Times New Roman" w:hAnsi="Times New Roman"/>
          <w:sz w:val="24"/>
          <w:szCs w:val="24"/>
        </w:rPr>
        <w:t>3.2.1.3</w:t>
      </w:r>
      <w:r>
        <w:rPr>
          <w:rFonts w:ascii="Times New Roman" w:hAnsi="Times New Roman"/>
          <w:sz w:val="24"/>
          <w:szCs w:val="24"/>
        </w:rPr>
        <w:t>施工期污染物排放及治理措施</w:t>
      </w:r>
    </w:p>
    <w:p w14:paraId="240B7D28" w14:textId="77777777" w:rsidR="007D1E74" w:rsidRDefault="00A95641">
      <w:pPr>
        <w:spacing w:line="360" w:lineRule="auto"/>
        <w:ind w:firstLineChars="200" w:firstLine="482"/>
        <w:rPr>
          <w:b/>
          <w:bCs/>
          <w:sz w:val="24"/>
        </w:rPr>
      </w:pPr>
      <w:r>
        <w:rPr>
          <w:b/>
          <w:bCs/>
          <w:sz w:val="24"/>
        </w:rPr>
        <w:t>3.2.1.3.1</w:t>
      </w:r>
      <w:r>
        <w:rPr>
          <w:b/>
          <w:bCs/>
          <w:sz w:val="24"/>
        </w:rPr>
        <w:t>大气污染物</w:t>
      </w:r>
    </w:p>
    <w:p w14:paraId="67CD3CF3" w14:textId="77777777" w:rsidR="007D1E74" w:rsidRDefault="00A95641">
      <w:pPr>
        <w:spacing w:line="360" w:lineRule="auto"/>
        <w:ind w:firstLineChars="200" w:firstLine="480"/>
        <w:rPr>
          <w:sz w:val="24"/>
        </w:rPr>
      </w:pPr>
      <w:r>
        <w:rPr>
          <w:sz w:val="24"/>
        </w:rPr>
        <w:t>机械废气：项目施工阶段频繁使用机动车辆运输材料、施工设备及器材等，排出的机动车尾气主要污染物是</w:t>
      </w:r>
      <w:r>
        <w:rPr>
          <w:sz w:val="24"/>
        </w:rPr>
        <w:t>CH</w:t>
      </w:r>
      <w:r>
        <w:rPr>
          <w:sz w:val="24"/>
        </w:rPr>
        <w:t>、</w:t>
      </w:r>
      <w:r>
        <w:rPr>
          <w:sz w:val="24"/>
        </w:rPr>
        <w:t>CO</w:t>
      </w:r>
      <w:r>
        <w:rPr>
          <w:sz w:val="24"/>
        </w:rPr>
        <w:t>、</w:t>
      </w:r>
      <w:r>
        <w:rPr>
          <w:sz w:val="24"/>
        </w:rPr>
        <w:t>NOx</w:t>
      </w:r>
      <w:r>
        <w:rPr>
          <w:sz w:val="24"/>
        </w:rPr>
        <w:t>等；</w:t>
      </w:r>
    </w:p>
    <w:p w14:paraId="47A812D0" w14:textId="77777777" w:rsidR="007D1E74" w:rsidRDefault="00A95641">
      <w:pPr>
        <w:spacing w:line="360" w:lineRule="auto"/>
        <w:ind w:firstLineChars="200" w:firstLine="480"/>
        <w:rPr>
          <w:sz w:val="24"/>
        </w:rPr>
      </w:pPr>
      <w:r>
        <w:rPr>
          <w:sz w:val="24"/>
        </w:rPr>
        <w:t>焊接烟尘：管道现场焊接过程中产生的焊接烟尘；</w:t>
      </w:r>
    </w:p>
    <w:p w14:paraId="15E69BEB" w14:textId="77777777" w:rsidR="007D1E74" w:rsidRDefault="00A95641">
      <w:pPr>
        <w:spacing w:line="360" w:lineRule="auto"/>
        <w:ind w:firstLineChars="200" w:firstLine="480"/>
        <w:rPr>
          <w:sz w:val="24"/>
        </w:rPr>
      </w:pPr>
      <w:r>
        <w:rPr>
          <w:sz w:val="24"/>
        </w:rPr>
        <w:t>扬尘：项目在施工阶段，扬尘主要产生于土方挖掘产生的扬尘、露天堆场和裸露场地风力扬尘、运输车辆行驶动力起尘等。影响起尘量的因素包括：基础开挖起尘量、施工土石方堆场起尘量、进出车辆泥砂量、水泥搬运量、以及起尘高度、采取的防护措施、空气湿度、风速等。</w:t>
      </w:r>
    </w:p>
    <w:p w14:paraId="4AF83E7E" w14:textId="77777777" w:rsidR="007D1E74" w:rsidRDefault="00A95641">
      <w:pPr>
        <w:spacing w:line="360" w:lineRule="auto"/>
        <w:ind w:firstLineChars="200" w:firstLine="482"/>
        <w:rPr>
          <w:b/>
          <w:bCs/>
          <w:sz w:val="24"/>
        </w:rPr>
      </w:pPr>
      <w:r>
        <w:rPr>
          <w:b/>
          <w:bCs/>
          <w:sz w:val="24"/>
        </w:rPr>
        <w:t>1</w:t>
      </w:r>
      <w:r>
        <w:rPr>
          <w:b/>
          <w:bCs/>
          <w:sz w:val="24"/>
        </w:rPr>
        <w:t>、施工扬尘</w:t>
      </w:r>
    </w:p>
    <w:p w14:paraId="3082437D" w14:textId="77777777" w:rsidR="007D1E74" w:rsidRDefault="00A95641">
      <w:pPr>
        <w:spacing w:line="360" w:lineRule="auto"/>
        <w:ind w:firstLineChars="200" w:firstLine="482"/>
        <w:rPr>
          <w:b/>
          <w:bCs/>
          <w:sz w:val="24"/>
        </w:rPr>
      </w:pPr>
      <w:r>
        <w:rPr>
          <w:b/>
          <w:bCs/>
          <w:sz w:val="24"/>
        </w:rPr>
        <w:t>（</w:t>
      </w:r>
      <w:r>
        <w:rPr>
          <w:b/>
          <w:bCs/>
          <w:sz w:val="24"/>
        </w:rPr>
        <w:t>1</w:t>
      </w:r>
      <w:r>
        <w:rPr>
          <w:b/>
          <w:bCs/>
          <w:sz w:val="24"/>
        </w:rPr>
        <w:t>）施工扬尘产生情况</w:t>
      </w:r>
    </w:p>
    <w:p w14:paraId="1063D27A" w14:textId="77777777" w:rsidR="007D1E74" w:rsidRDefault="00A95641">
      <w:pPr>
        <w:spacing w:line="360" w:lineRule="auto"/>
        <w:ind w:firstLineChars="200" w:firstLine="482"/>
        <w:rPr>
          <w:b/>
          <w:bCs/>
          <w:sz w:val="24"/>
        </w:rPr>
      </w:pPr>
      <w:r>
        <w:rPr>
          <w:rFonts w:ascii="宋体" w:hAnsi="宋体" w:cs="宋体" w:hint="eastAsia"/>
          <w:b/>
          <w:bCs/>
          <w:sz w:val="24"/>
        </w:rPr>
        <w:t>①</w:t>
      </w:r>
      <w:r>
        <w:rPr>
          <w:b/>
          <w:bCs/>
          <w:sz w:val="24"/>
        </w:rPr>
        <w:t>土方挖掘产生的扬尘</w:t>
      </w:r>
    </w:p>
    <w:p w14:paraId="608E5169" w14:textId="77777777" w:rsidR="007D1E74" w:rsidRDefault="00A95641">
      <w:pPr>
        <w:spacing w:line="360" w:lineRule="auto"/>
        <w:ind w:firstLineChars="200" w:firstLine="480"/>
        <w:rPr>
          <w:sz w:val="24"/>
        </w:rPr>
      </w:pPr>
      <w:r>
        <w:rPr>
          <w:sz w:val="24"/>
        </w:rPr>
        <w:t>挖土的扬尘对环境的浓度贡献较大，特别在近距离</w:t>
      </w:r>
      <w:r>
        <w:rPr>
          <w:sz w:val="24"/>
        </w:rPr>
        <w:t xml:space="preserve"> 50m </w:t>
      </w:r>
      <w:r>
        <w:rPr>
          <w:sz w:val="24"/>
        </w:rPr>
        <w:t>以内</w:t>
      </w:r>
      <w:r>
        <w:rPr>
          <w:sz w:val="24"/>
        </w:rPr>
        <w:t xml:space="preserve"> TSP </w:t>
      </w:r>
      <w:r>
        <w:rPr>
          <w:sz w:val="24"/>
        </w:rPr>
        <w:t>浓度超过《大气污染物综合排放标准》</w:t>
      </w:r>
      <w:r>
        <w:rPr>
          <w:sz w:val="24"/>
        </w:rPr>
        <w:t>(GB16297-1996)</w:t>
      </w:r>
      <w:r>
        <w:rPr>
          <w:sz w:val="24"/>
        </w:rPr>
        <w:t>中二级标准几倍，个别情况可达到</w:t>
      </w:r>
      <w:r>
        <w:rPr>
          <w:sz w:val="24"/>
        </w:rPr>
        <w:t xml:space="preserve"> 10 </w:t>
      </w:r>
      <w:r>
        <w:rPr>
          <w:sz w:val="24"/>
        </w:rPr>
        <w:t>倍。但随着距离增加，衰减很快，</w:t>
      </w:r>
      <w:r>
        <w:rPr>
          <w:sz w:val="24"/>
        </w:rPr>
        <w:t>300m</w:t>
      </w:r>
      <w:r>
        <w:rPr>
          <w:sz w:val="24"/>
        </w:rPr>
        <w:t>左右就能达到《大气污染物综合排放标准》</w:t>
      </w:r>
      <w:r>
        <w:rPr>
          <w:sz w:val="24"/>
        </w:rPr>
        <w:t xml:space="preserve">(GB16297-1996) </w:t>
      </w:r>
      <w:r>
        <w:rPr>
          <w:sz w:val="24"/>
        </w:rPr>
        <w:t>中二级标准。本项目施工期间对环境空气影响最主要的是粉尘。干燥地表的开挖产生的粉尘，一部分悬浮于空中，另一部分随风飘落到附近地面和建筑物表面；开挖的泥土堆砌过程中，在风力较大时，会产生粉尘扬起。</w:t>
      </w:r>
    </w:p>
    <w:p w14:paraId="4ED600BC" w14:textId="77777777" w:rsidR="007D1E74" w:rsidRDefault="00A95641">
      <w:pPr>
        <w:spacing w:line="360" w:lineRule="auto"/>
        <w:ind w:firstLineChars="200" w:firstLine="482"/>
        <w:rPr>
          <w:b/>
          <w:bCs/>
          <w:sz w:val="24"/>
        </w:rPr>
      </w:pPr>
      <w:r>
        <w:rPr>
          <w:rFonts w:ascii="宋体" w:hAnsi="宋体" w:cs="宋体" w:hint="eastAsia"/>
          <w:b/>
          <w:bCs/>
          <w:sz w:val="24"/>
        </w:rPr>
        <w:t>②</w:t>
      </w:r>
      <w:r>
        <w:rPr>
          <w:b/>
          <w:bCs/>
          <w:sz w:val="24"/>
        </w:rPr>
        <w:t>露天堆场和裸露场地风力扬尘</w:t>
      </w:r>
    </w:p>
    <w:p w14:paraId="02E7131A" w14:textId="77777777" w:rsidR="007D1E74" w:rsidRDefault="00A95641">
      <w:pPr>
        <w:spacing w:line="360" w:lineRule="auto"/>
        <w:ind w:firstLineChars="200" w:firstLine="480"/>
        <w:rPr>
          <w:sz w:val="24"/>
        </w:rPr>
      </w:pPr>
      <w:r>
        <w:rPr>
          <w:sz w:val="24"/>
        </w:rPr>
        <w:t>由于施工需要，施工作业现场需露天临时堆放一些管材和一些施工点开挖出来的土方。在气候干燥又有风的情况下，上述情况均会产生扬尘，其扬尘量可按堆放场起尘的</w:t>
      </w:r>
      <w:r>
        <w:rPr>
          <w:sz w:val="24"/>
        </w:rPr>
        <w:lastRenderedPageBreak/>
        <w:t>经验公式计算：</w:t>
      </w:r>
    </w:p>
    <w:p w14:paraId="75D48803" w14:textId="77777777" w:rsidR="007D1E74" w:rsidRDefault="00A95641">
      <w:pPr>
        <w:spacing w:line="360" w:lineRule="auto"/>
        <w:ind w:firstLineChars="200" w:firstLine="480"/>
        <w:rPr>
          <w:sz w:val="24"/>
        </w:rPr>
      </w:pPr>
      <w:r>
        <w:rPr>
          <w:sz w:val="24"/>
        </w:rPr>
        <w:t>Q</w:t>
      </w:r>
      <w:r>
        <w:rPr>
          <w:sz w:val="24"/>
        </w:rPr>
        <w:t>＝</w:t>
      </w:r>
      <w:r>
        <w:rPr>
          <w:sz w:val="24"/>
        </w:rPr>
        <w:t>2.1</w:t>
      </w:r>
      <w:r>
        <w:rPr>
          <w:sz w:val="24"/>
        </w:rPr>
        <w:t>（</w:t>
      </w:r>
      <w:r>
        <w:rPr>
          <w:sz w:val="24"/>
        </w:rPr>
        <w:t>V</w:t>
      </w:r>
      <w:r>
        <w:rPr>
          <w:sz w:val="24"/>
          <w:vertAlign w:val="subscript"/>
        </w:rPr>
        <w:t>50</w:t>
      </w:r>
      <w:r>
        <w:rPr>
          <w:sz w:val="24"/>
        </w:rPr>
        <w:t>—V</w:t>
      </w:r>
      <w:r>
        <w:rPr>
          <w:sz w:val="24"/>
          <w:vertAlign w:val="subscript"/>
        </w:rPr>
        <w:t>0</w:t>
      </w:r>
      <w:r>
        <w:rPr>
          <w:sz w:val="24"/>
        </w:rPr>
        <w:t>）</w:t>
      </w:r>
      <w:r>
        <w:rPr>
          <w:sz w:val="24"/>
          <w:vertAlign w:val="superscript"/>
        </w:rPr>
        <w:t>3</w:t>
      </w:r>
      <w:r>
        <w:rPr>
          <w:sz w:val="24"/>
        </w:rPr>
        <w:t xml:space="preserve">e </w:t>
      </w:r>
      <w:r>
        <w:rPr>
          <w:sz w:val="24"/>
          <w:vertAlign w:val="superscript"/>
        </w:rPr>
        <w:t>-1.023w</w:t>
      </w:r>
    </w:p>
    <w:p w14:paraId="7572C470" w14:textId="77777777" w:rsidR="007D1E74" w:rsidRDefault="00A95641">
      <w:pPr>
        <w:spacing w:line="360" w:lineRule="auto"/>
        <w:ind w:firstLineChars="200" w:firstLine="480"/>
        <w:rPr>
          <w:sz w:val="24"/>
        </w:rPr>
      </w:pPr>
      <w:r>
        <w:rPr>
          <w:sz w:val="24"/>
        </w:rPr>
        <w:t>式中：</w:t>
      </w:r>
      <w:r>
        <w:rPr>
          <w:sz w:val="24"/>
        </w:rPr>
        <w:t>Q—</w:t>
      </w:r>
      <w:r>
        <w:rPr>
          <w:sz w:val="24"/>
        </w:rPr>
        <w:t>起尘量，</w:t>
      </w:r>
      <w:r>
        <w:rPr>
          <w:sz w:val="24"/>
        </w:rPr>
        <w:t>kg/t·a</w:t>
      </w:r>
      <w:r>
        <w:rPr>
          <w:sz w:val="24"/>
        </w:rPr>
        <w:t>；</w:t>
      </w:r>
    </w:p>
    <w:p w14:paraId="4EE6FC71" w14:textId="77777777" w:rsidR="007D1E74" w:rsidRDefault="00A95641">
      <w:pPr>
        <w:spacing w:line="360" w:lineRule="auto"/>
        <w:ind w:firstLineChars="200" w:firstLine="480"/>
        <w:rPr>
          <w:sz w:val="24"/>
        </w:rPr>
      </w:pPr>
      <w:r>
        <w:rPr>
          <w:sz w:val="24"/>
        </w:rPr>
        <w:t>V</w:t>
      </w:r>
      <w:r>
        <w:rPr>
          <w:sz w:val="24"/>
          <w:vertAlign w:val="subscript"/>
        </w:rPr>
        <w:t>50</w:t>
      </w:r>
      <w:r>
        <w:rPr>
          <w:sz w:val="24"/>
        </w:rPr>
        <w:t>—</w:t>
      </w:r>
      <w:r>
        <w:rPr>
          <w:sz w:val="24"/>
        </w:rPr>
        <w:t>距地面</w:t>
      </w:r>
      <w:r>
        <w:rPr>
          <w:sz w:val="24"/>
        </w:rPr>
        <w:t xml:space="preserve"> 50m </w:t>
      </w:r>
      <w:r>
        <w:rPr>
          <w:sz w:val="24"/>
        </w:rPr>
        <w:t>处风速，</w:t>
      </w:r>
      <w:r>
        <w:rPr>
          <w:sz w:val="24"/>
        </w:rPr>
        <w:t>m/s</w:t>
      </w:r>
      <w:r>
        <w:rPr>
          <w:sz w:val="24"/>
        </w:rPr>
        <w:t>；</w:t>
      </w:r>
    </w:p>
    <w:p w14:paraId="0E6F495B" w14:textId="77777777" w:rsidR="007D1E74" w:rsidRDefault="00A95641">
      <w:pPr>
        <w:spacing w:line="360" w:lineRule="auto"/>
        <w:ind w:firstLineChars="200" w:firstLine="480"/>
        <w:rPr>
          <w:sz w:val="24"/>
        </w:rPr>
      </w:pPr>
      <w:r>
        <w:rPr>
          <w:sz w:val="24"/>
        </w:rPr>
        <w:t>V</w:t>
      </w:r>
      <w:r>
        <w:rPr>
          <w:sz w:val="24"/>
          <w:vertAlign w:val="subscript"/>
        </w:rPr>
        <w:t>0</w:t>
      </w:r>
      <w:r>
        <w:rPr>
          <w:sz w:val="24"/>
        </w:rPr>
        <w:t>—</w:t>
      </w:r>
      <w:r>
        <w:rPr>
          <w:sz w:val="24"/>
        </w:rPr>
        <w:t>起尘风速，</w:t>
      </w:r>
      <w:r>
        <w:rPr>
          <w:sz w:val="24"/>
        </w:rPr>
        <w:t>m/s</w:t>
      </w:r>
      <w:r>
        <w:rPr>
          <w:sz w:val="24"/>
        </w:rPr>
        <w:t>；</w:t>
      </w:r>
      <w:r>
        <w:rPr>
          <w:sz w:val="24"/>
        </w:rPr>
        <w:t xml:space="preserve"> W—</w:t>
      </w:r>
      <w:r>
        <w:rPr>
          <w:sz w:val="24"/>
        </w:rPr>
        <w:t>尘粒含水率，</w:t>
      </w:r>
      <w:r>
        <w:rPr>
          <w:sz w:val="24"/>
        </w:rPr>
        <w:t>%</w:t>
      </w:r>
      <w:r>
        <w:rPr>
          <w:sz w:val="24"/>
        </w:rPr>
        <w:t>。</w:t>
      </w:r>
    </w:p>
    <w:p w14:paraId="5E5DD46A" w14:textId="77777777" w:rsidR="007D1E74" w:rsidRDefault="00A95641">
      <w:pPr>
        <w:spacing w:line="360" w:lineRule="auto"/>
        <w:ind w:firstLineChars="200" w:firstLine="480"/>
        <w:rPr>
          <w:sz w:val="24"/>
        </w:rPr>
      </w:pPr>
      <w:r>
        <w:rPr>
          <w:sz w:val="24"/>
        </w:rPr>
        <w:t>V</w:t>
      </w:r>
      <w:r>
        <w:rPr>
          <w:sz w:val="24"/>
          <w:vertAlign w:val="subscript"/>
        </w:rPr>
        <w:t>0</w:t>
      </w:r>
      <w:r>
        <w:rPr>
          <w:sz w:val="24"/>
        </w:rPr>
        <w:t xml:space="preserve"> </w:t>
      </w:r>
      <w:r>
        <w:rPr>
          <w:sz w:val="24"/>
        </w:rPr>
        <w:t>与粒径和含水率有关，因此减少建材露天堆放时间、保证建材中一定的含水率是减少风力起尘的有效手段。</w:t>
      </w:r>
    </w:p>
    <w:p w14:paraId="50AAD4BA" w14:textId="77777777" w:rsidR="007D1E74" w:rsidRDefault="00A95641">
      <w:pPr>
        <w:spacing w:line="360" w:lineRule="auto"/>
        <w:ind w:firstLineChars="200" w:firstLine="480"/>
        <w:rPr>
          <w:sz w:val="24"/>
        </w:rPr>
      </w:pPr>
      <w:r>
        <w:rPr>
          <w:sz w:val="24"/>
        </w:rPr>
        <w:t>据有关资料，尘粒在空气中的传播扩散情况与风速等气象条件有关，也与尘粒本身的沉降速度有关。不同尘粒的沉降速度见下表。</w:t>
      </w:r>
    </w:p>
    <w:p w14:paraId="44AFC4D4" w14:textId="77777777" w:rsidR="007D1E74" w:rsidRDefault="00A95641">
      <w:pPr>
        <w:tabs>
          <w:tab w:val="left" w:pos="965"/>
        </w:tabs>
        <w:jc w:val="center"/>
        <w:rPr>
          <w:b/>
        </w:rPr>
      </w:pPr>
      <w:r>
        <w:rPr>
          <w:b/>
        </w:rPr>
        <w:t>表</w:t>
      </w:r>
      <w:r>
        <w:rPr>
          <w:b/>
        </w:rPr>
        <w:t xml:space="preserve"> 3.2-4</w:t>
      </w:r>
      <w:r>
        <w:rPr>
          <w:b/>
        </w:rPr>
        <w:tab/>
      </w:r>
      <w:r>
        <w:rPr>
          <w:b/>
        </w:rPr>
        <w:t>不同粒径尘粒的沉降速度</w:t>
      </w:r>
    </w:p>
    <w:tbl>
      <w:tblPr>
        <w:tblW w:w="5000" w:type="pct"/>
        <w:jc w:val="center"/>
        <w:tblBorders>
          <w:top w:val="single" w:sz="4" w:space="0" w:color="000000"/>
          <w:bottom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114"/>
        <w:gridCol w:w="986"/>
        <w:gridCol w:w="985"/>
        <w:gridCol w:w="985"/>
        <w:gridCol w:w="983"/>
        <w:gridCol w:w="985"/>
        <w:gridCol w:w="983"/>
        <w:gridCol w:w="1005"/>
      </w:tblGrid>
      <w:tr w:rsidR="007D1E74" w14:paraId="01A73C04" w14:textId="77777777">
        <w:trPr>
          <w:trHeight w:val="258"/>
          <w:jc w:val="center"/>
        </w:trPr>
        <w:tc>
          <w:tcPr>
            <w:tcW w:w="2138" w:type="dxa"/>
            <w:tcBorders>
              <w:tl2br w:val="nil"/>
              <w:tr2bl w:val="nil"/>
            </w:tcBorders>
            <w:vAlign w:val="center"/>
          </w:tcPr>
          <w:p w14:paraId="261ECA0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粒径</w:t>
            </w:r>
            <w:r>
              <w:rPr>
                <w:rFonts w:ascii="Times New Roman" w:hAnsi="Times New Roman"/>
                <w:sz w:val="21"/>
                <w:szCs w:val="21"/>
              </w:rPr>
              <w:t>(mm)</w:t>
            </w:r>
          </w:p>
        </w:tc>
        <w:tc>
          <w:tcPr>
            <w:tcW w:w="996" w:type="dxa"/>
            <w:tcBorders>
              <w:tl2br w:val="nil"/>
              <w:tr2bl w:val="nil"/>
            </w:tcBorders>
            <w:vAlign w:val="center"/>
          </w:tcPr>
          <w:p w14:paraId="0638BC7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10</w:t>
            </w:r>
          </w:p>
        </w:tc>
        <w:tc>
          <w:tcPr>
            <w:tcW w:w="995" w:type="dxa"/>
            <w:tcBorders>
              <w:tl2br w:val="nil"/>
              <w:tr2bl w:val="nil"/>
            </w:tcBorders>
            <w:vAlign w:val="center"/>
          </w:tcPr>
          <w:p w14:paraId="49A3FAB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20</w:t>
            </w:r>
          </w:p>
        </w:tc>
        <w:tc>
          <w:tcPr>
            <w:tcW w:w="995" w:type="dxa"/>
            <w:tcBorders>
              <w:tl2br w:val="nil"/>
              <w:tr2bl w:val="nil"/>
            </w:tcBorders>
            <w:vAlign w:val="center"/>
          </w:tcPr>
          <w:p w14:paraId="32D679F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30</w:t>
            </w:r>
          </w:p>
        </w:tc>
        <w:tc>
          <w:tcPr>
            <w:tcW w:w="993" w:type="dxa"/>
            <w:tcBorders>
              <w:tl2br w:val="nil"/>
              <w:tr2bl w:val="nil"/>
            </w:tcBorders>
            <w:vAlign w:val="center"/>
          </w:tcPr>
          <w:p w14:paraId="69114AF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40</w:t>
            </w:r>
          </w:p>
        </w:tc>
        <w:tc>
          <w:tcPr>
            <w:tcW w:w="995" w:type="dxa"/>
            <w:tcBorders>
              <w:tl2br w:val="nil"/>
              <w:tr2bl w:val="nil"/>
            </w:tcBorders>
            <w:vAlign w:val="center"/>
          </w:tcPr>
          <w:p w14:paraId="577526C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50</w:t>
            </w:r>
          </w:p>
        </w:tc>
        <w:tc>
          <w:tcPr>
            <w:tcW w:w="993" w:type="dxa"/>
            <w:tcBorders>
              <w:tl2br w:val="nil"/>
              <w:tr2bl w:val="nil"/>
            </w:tcBorders>
            <w:vAlign w:val="center"/>
          </w:tcPr>
          <w:p w14:paraId="445DFD6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60</w:t>
            </w:r>
          </w:p>
        </w:tc>
        <w:tc>
          <w:tcPr>
            <w:tcW w:w="1016" w:type="dxa"/>
            <w:tcBorders>
              <w:tl2br w:val="nil"/>
              <w:tr2bl w:val="nil"/>
            </w:tcBorders>
            <w:vAlign w:val="center"/>
          </w:tcPr>
          <w:p w14:paraId="64CF597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70</w:t>
            </w:r>
          </w:p>
        </w:tc>
      </w:tr>
      <w:tr w:rsidR="007D1E74" w14:paraId="752F94A6" w14:textId="77777777">
        <w:trPr>
          <w:trHeight w:val="261"/>
          <w:jc w:val="center"/>
        </w:trPr>
        <w:tc>
          <w:tcPr>
            <w:tcW w:w="2138" w:type="dxa"/>
            <w:tcBorders>
              <w:tl2br w:val="nil"/>
              <w:tr2bl w:val="nil"/>
            </w:tcBorders>
            <w:vAlign w:val="center"/>
          </w:tcPr>
          <w:p w14:paraId="07B6118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沉降速度</w:t>
            </w:r>
            <w:r>
              <w:rPr>
                <w:rFonts w:ascii="Times New Roman" w:hAnsi="Times New Roman"/>
                <w:sz w:val="21"/>
                <w:szCs w:val="21"/>
              </w:rPr>
              <w:t>(m/s)</w:t>
            </w:r>
          </w:p>
        </w:tc>
        <w:tc>
          <w:tcPr>
            <w:tcW w:w="996" w:type="dxa"/>
            <w:tcBorders>
              <w:tl2br w:val="nil"/>
              <w:tr2bl w:val="nil"/>
            </w:tcBorders>
            <w:vAlign w:val="center"/>
          </w:tcPr>
          <w:p w14:paraId="6ECAA0E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0.03</w:t>
            </w:r>
          </w:p>
        </w:tc>
        <w:tc>
          <w:tcPr>
            <w:tcW w:w="995" w:type="dxa"/>
            <w:tcBorders>
              <w:tl2br w:val="nil"/>
              <w:tr2bl w:val="nil"/>
            </w:tcBorders>
            <w:vAlign w:val="center"/>
          </w:tcPr>
          <w:p w14:paraId="6E8CEE1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0.012</w:t>
            </w:r>
          </w:p>
        </w:tc>
        <w:tc>
          <w:tcPr>
            <w:tcW w:w="995" w:type="dxa"/>
            <w:tcBorders>
              <w:tl2br w:val="nil"/>
              <w:tr2bl w:val="nil"/>
            </w:tcBorders>
            <w:vAlign w:val="center"/>
          </w:tcPr>
          <w:p w14:paraId="2F95E05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0.027</w:t>
            </w:r>
          </w:p>
        </w:tc>
        <w:tc>
          <w:tcPr>
            <w:tcW w:w="993" w:type="dxa"/>
            <w:tcBorders>
              <w:tl2br w:val="nil"/>
              <w:tr2bl w:val="nil"/>
            </w:tcBorders>
            <w:vAlign w:val="center"/>
          </w:tcPr>
          <w:p w14:paraId="23CD0FB3"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0.048</w:t>
            </w:r>
          </w:p>
        </w:tc>
        <w:tc>
          <w:tcPr>
            <w:tcW w:w="995" w:type="dxa"/>
            <w:tcBorders>
              <w:tl2br w:val="nil"/>
              <w:tr2bl w:val="nil"/>
            </w:tcBorders>
            <w:vAlign w:val="center"/>
          </w:tcPr>
          <w:p w14:paraId="0CE01D8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0.075</w:t>
            </w:r>
          </w:p>
        </w:tc>
        <w:tc>
          <w:tcPr>
            <w:tcW w:w="993" w:type="dxa"/>
            <w:tcBorders>
              <w:tl2br w:val="nil"/>
              <w:tr2bl w:val="nil"/>
            </w:tcBorders>
            <w:vAlign w:val="center"/>
          </w:tcPr>
          <w:p w14:paraId="0CDA3D5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0.108</w:t>
            </w:r>
          </w:p>
        </w:tc>
        <w:tc>
          <w:tcPr>
            <w:tcW w:w="1016" w:type="dxa"/>
            <w:tcBorders>
              <w:tl2br w:val="nil"/>
              <w:tr2bl w:val="nil"/>
            </w:tcBorders>
            <w:vAlign w:val="center"/>
          </w:tcPr>
          <w:p w14:paraId="2B6FA59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0.147</w:t>
            </w:r>
          </w:p>
        </w:tc>
      </w:tr>
      <w:tr w:rsidR="007D1E74" w14:paraId="2CB43E2A" w14:textId="77777777">
        <w:trPr>
          <w:trHeight w:val="258"/>
          <w:jc w:val="center"/>
        </w:trPr>
        <w:tc>
          <w:tcPr>
            <w:tcW w:w="2138" w:type="dxa"/>
            <w:tcBorders>
              <w:tl2br w:val="nil"/>
              <w:tr2bl w:val="nil"/>
            </w:tcBorders>
            <w:vAlign w:val="center"/>
          </w:tcPr>
          <w:p w14:paraId="3D66908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粒径</w:t>
            </w:r>
            <w:r>
              <w:rPr>
                <w:rFonts w:ascii="Times New Roman" w:hAnsi="Times New Roman"/>
                <w:sz w:val="21"/>
                <w:szCs w:val="21"/>
              </w:rPr>
              <w:t>(mm)</w:t>
            </w:r>
          </w:p>
        </w:tc>
        <w:tc>
          <w:tcPr>
            <w:tcW w:w="996" w:type="dxa"/>
            <w:tcBorders>
              <w:tl2br w:val="nil"/>
              <w:tr2bl w:val="nil"/>
            </w:tcBorders>
            <w:vAlign w:val="center"/>
          </w:tcPr>
          <w:p w14:paraId="22C2636E"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80</w:t>
            </w:r>
          </w:p>
        </w:tc>
        <w:tc>
          <w:tcPr>
            <w:tcW w:w="995" w:type="dxa"/>
            <w:tcBorders>
              <w:tl2br w:val="nil"/>
              <w:tr2bl w:val="nil"/>
            </w:tcBorders>
            <w:vAlign w:val="center"/>
          </w:tcPr>
          <w:p w14:paraId="166D402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90</w:t>
            </w:r>
          </w:p>
        </w:tc>
        <w:tc>
          <w:tcPr>
            <w:tcW w:w="995" w:type="dxa"/>
            <w:tcBorders>
              <w:tl2br w:val="nil"/>
              <w:tr2bl w:val="nil"/>
            </w:tcBorders>
            <w:vAlign w:val="center"/>
          </w:tcPr>
          <w:p w14:paraId="78425BF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100</w:t>
            </w:r>
          </w:p>
        </w:tc>
        <w:tc>
          <w:tcPr>
            <w:tcW w:w="993" w:type="dxa"/>
            <w:tcBorders>
              <w:tl2br w:val="nil"/>
              <w:tr2bl w:val="nil"/>
            </w:tcBorders>
            <w:vAlign w:val="center"/>
          </w:tcPr>
          <w:p w14:paraId="24D04B5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150</w:t>
            </w:r>
          </w:p>
        </w:tc>
        <w:tc>
          <w:tcPr>
            <w:tcW w:w="995" w:type="dxa"/>
            <w:tcBorders>
              <w:tl2br w:val="nil"/>
              <w:tr2bl w:val="nil"/>
            </w:tcBorders>
            <w:vAlign w:val="center"/>
          </w:tcPr>
          <w:p w14:paraId="65E5F15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200</w:t>
            </w:r>
          </w:p>
        </w:tc>
        <w:tc>
          <w:tcPr>
            <w:tcW w:w="993" w:type="dxa"/>
            <w:tcBorders>
              <w:tl2br w:val="nil"/>
              <w:tr2bl w:val="nil"/>
            </w:tcBorders>
            <w:vAlign w:val="center"/>
          </w:tcPr>
          <w:p w14:paraId="41684FB3"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250</w:t>
            </w:r>
          </w:p>
        </w:tc>
        <w:tc>
          <w:tcPr>
            <w:tcW w:w="1016" w:type="dxa"/>
            <w:tcBorders>
              <w:tl2br w:val="nil"/>
              <w:tr2bl w:val="nil"/>
            </w:tcBorders>
            <w:vAlign w:val="center"/>
          </w:tcPr>
          <w:p w14:paraId="59C66F9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300</w:t>
            </w:r>
          </w:p>
        </w:tc>
      </w:tr>
      <w:tr w:rsidR="007D1E74" w14:paraId="41F23A20" w14:textId="77777777">
        <w:trPr>
          <w:trHeight w:val="258"/>
          <w:jc w:val="center"/>
        </w:trPr>
        <w:tc>
          <w:tcPr>
            <w:tcW w:w="2138" w:type="dxa"/>
            <w:tcBorders>
              <w:tl2br w:val="nil"/>
              <w:tr2bl w:val="nil"/>
            </w:tcBorders>
            <w:vAlign w:val="center"/>
          </w:tcPr>
          <w:p w14:paraId="19C1953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沉降速度</w:t>
            </w:r>
            <w:r>
              <w:rPr>
                <w:rFonts w:ascii="Times New Roman" w:hAnsi="Times New Roman"/>
                <w:sz w:val="21"/>
                <w:szCs w:val="21"/>
              </w:rPr>
              <w:t>(m/s)</w:t>
            </w:r>
          </w:p>
        </w:tc>
        <w:tc>
          <w:tcPr>
            <w:tcW w:w="996" w:type="dxa"/>
            <w:tcBorders>
              <w:tl2br w:val="nil"/>
              <w:tr2bl w:val="nil"/>
            </w:tcBorders>
            <w:vAlign w:val="center"/>
          </w:tcPr>
          <w:p w14:paraId="3286558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0.158</w:t>
            </w:r>
          </w:p>
        </w:tc>
        <w:tc>
          <w:tcPr>
            <w:tcW w:w="995" w:type="dxa"/>
            <w:tcBorders>
              <w:tl2br w:val="nil"/>
              <w:tr2bl w:val="nil"/>
            </w:tcBorders>
            <w:vAlign w:val="center"/>
          </w:tcPr>
          <w:p w14:paraId="668B906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0.170</w:t>
            </w:r>
          </w:p>
        </w:tc>
        <w:tc>
          <w:tcPr>
            <w:tcW w:w="995" w:type="dxa"/>
            <w:tcBorders>
              <w:tl2br w:val="nil"/>
              <w:tr2bl w:val="nil"/>
            </w:tcBorders>
            <w:vAlign w:val="center"/>
          </w:tcPr>
          <w:p w14:paraId="13309FE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0.182</w:t>
            </w:r>
          </w:p>
        </w:tc>
        <w:tc>
          <w:tcPr>
            <w:tcW w:w="993" w:type="dxa"/>
            <w:tcBorders>
              <w:tl2br w:val="nil"/>
              <w:tr2bl w:val="nil"/>
            </w:tcBorders>
            <w:vAlign w:val="center"/>
          </w:tcPr>
          <w:p w14:paraId="4B72655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0.239</w:t>
            </w:r>
          </w:p>
        </w:tc>
        <w:tc>
          <w:tcPr>
            <w:tcW w:w="995" w:type="dxa"/>
            <w:tcBorders>
              <w:tl2br w:val="nil"/>
              <w:tr2bl w:val="nil"/>
            </w:tcBorders>
            <w:vAlign w:val="center"/>
          </w:tcPr>
          <w:p w14:paraId="7EA7667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0.804</w:t>
            </w:r>
          </w:p>
        </w:tc>
        <w:tc>
          <w:tcPr>
            <w:tcW w:w="993" w:type="dxa"/>
            <w:tcBorders>
              <w:tl2br w:val="nil"/>
              <w:tr2bl w:val="nil"/>
            </w:tcBorders>
            <w:vAlign w:val="center"/>
          </w:tcPr>
          <w:p w14:paraId="7712E09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1.005</w:t>
            </w:r>
          </w:p>
        </w:tc>
        <w:tc>
          <w:tcPr>
            <w:tcW w:w="1016" w:type="dxa"/>
            <w:tcBorders>
              <w:tl2br w:val="nil"/>
              <w:tr2bl w:val="nil"/>
            </w:tcBorders>
            <w:vAlign w:val="center"/>
          </w:tcPr>
          <w:p w14:paraId="2A3EAFF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1.829</w:t>
            </w:r>
          </w:p>
        </w:tc>
      </w:tr>
      <w:tr w:rsidR="007D1E74" w14:paraId="5E0618A1" w14:textId="77777777">
        <w:trPr>
          <w:trHeight w:val="260"/>
          <w:jc w:val="center"/>
        </w:trPr>
        <w:tc>
          <w:tcPr>
            <w:tcW w:w="2138" w:type="dxa"/>
            <w:tcBorders>
              <w:tl2br w:val="nil"/>
              <w:tr2bl w:val="nil"/>
            </w:tcBorders>
            <w:vAlign w:val="center"/>
          </w:tcPr>
          <w:p w14:paraId="04ACC6D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粒径</w:t>
            </w:r>
            <w:r>
              <w:rPr>
                <w:rFonts w:ascii="Times New Roman" w:hAnsi="Times New Roman"/>
                <w:sz w:val="21"/>
                <w:szCs w:val="21"/>
              </w:rPr>
              <w:t>(mm)</w:t>
            </w:r>
          </w:p>
        </w:tc>
        <w:tc>
          <w:tcPr>
            <w:tcW w:w="996" w:type="dxa"/>
            <w:tcBorders>
              <w:tl2br w:val="nil"/>
              <w:tr2bl w:val="nil"/>
            </w:tcBorders>
            <w:vAlign w:val="center"/>
          </w:tcPr>
          <w:p w14:paraId="73546763"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450</w:t>
            </w:r>
          </w:p>
        </w:tc>
        <w:tc>
          <w:tcPr>
            <w:tcW w:w="995" w:type="dxa"/>
            <w:tcBorders>
              <w:tl2br w:val="nil"/>
              <w:tr2bl w:val="nil"/>
            </w:tcBorders>
            <w:vAlign w:val="center"/>
          </w:tcPr>
          <w:p w14:paraId="080F3FE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550</w:t>
            </w:r>
          </w:p>
        </w:tc>
        <w:tc>
          <w:tcPr>
            <w:tcW w:w="995" w:type="dxa"/>
            <w:tcBorders>
              <w:tl2br w:val="nil"/>
              <w:tr2bl w:val="nil"/>
            </w:tcBorders>
            <w:vAlign w:val="center"/>
          </w:tcPr>
          <w:p w14:paraId="4C1302A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650</w:t>
            </w:r>
          </w:p>
        </w:tc>
        <w:tc>
          <w:tcPr>
            <w:tcW w:w="993" w:type="dxa"/>
            <w:tcBorders>
              <w:tl2br w:val="nil"/>
              <w:tr2bl w:val="nil"/>
            </w:tcBorders>
            <w:vAlign w:val="center"/>
          </w:tcPr>
          <w:p w14:paraId="10592E3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750</w:t>
            </w:r>
          </w:p>
        </w:tc>
        <w:tc>
          <w:tcPr>
            <w:tcW w:w="995" w:type="dxa"/>
            <w:tcBorders>
              <w:tl2br w:val="nil"/>
              <w:tr2bl w:val="nil"/>
            </w:tcBorders>
            <w:vAlign w:val="center"/>
          </w:tcPr>
          <w:p w14:paraId="484F99C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850</w:t>
            </w:r>
          </w:p>
        </w:tc>
        <w:tc>
          <w:tcPr>
            <w:tcW w:w="993" w:type="dxa"/>
            <w:tcBorders>
              <w:tl2br w:val="nil"/>
              <w:tr2bl w:val="nil"/>
            </w:tcBorders>
            <w:vAlign w:val="center"/>
          </w:tcPr>
          <w:p w14:paraId="30CB22F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950</w:t>
            </w:r>
          </w:p>
        </w:tc>
        <w:tc>
          <w:tcPr>
            <w:tcW w:w="1016" w:type="dxa"/>
            <w:tcBorders>
              <w:tl2br w:val="nil"/>
              <w:tr2bl w:val="nil"/>
            </w:tcBorders>
            <w:vAlign w:val="center"/>
          </w:tcPr>
          <w:p w14:paraId="7C081B23"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1050</w:t>
            </w:r>
          </w:p>
        </w:tc>
      </w:tr>
      <w:tr w:rsidR="007D1E74" w14:paraId="20BD7FEF" w14:textId="77777777">
        <w:trPr>
          <w:trHeight w:val="260"/>
          <w:jc w:val="center"/>
        </w:trPr>
        <w:tc>
          <w:tcPr>
            <w:tcW w:w="2138" w:type="dxa"/>
            <w:tcBorders>
              <w:tl2br w:val="nil"/>
              <w:tr2bl w:val="nil"/>
            </w:tcBorders>
            <w:vAlign w:val="center"/>
          </w:tcPr>
          <w:p w14:paraId="2AEBCFB3"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沉降速度</w:t>
            </w:r>
            <w:r>
              <w:rPr>
                <w:rFonts w:ascii="Times New Roman" w:hAnsi="Times New Roman"/>
                <w:sz w:val="21"/>
                <w:szCs w:val="21"/>
              </w:rPr>
              <w:t>(m/s)</w:t>
            </w:r>
          </w:p>
        </w:tc>
        <w:tc>
          <w:tcPr>
            <w:tcW w:w="996" w:type="dxa"/>
            <w:tcBorders>
              <w:tl2br w:val="nil"/>
              <w:tr2bl w:val="nil"/>
            </w:tcBorders>
            <w:vAlign w:val="center"/>
          </w:tcPr>
          <w:p w14:paraId="338BDF7E"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2.211</w:t>
            </w:r>
          </w:p>
        </w:tc>
        <w:tc>
          <w:tcPr>
            <w:tcW w:w="995" w:type="dxa"/>
            <w:tcBorders>
              <w:tl2br w:val="nil"/>
              <w:tr2bl w:val="nil"/>
            </w:tcBorders>
            <w:vAlign w:val="center"/>
          </w:tcPr>
          <w:p w14:paraId="1809B9F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2.614</w:t>
            </w:r>
          </w:p>
        </w:tc>
        <w:tc>
          <w:tcPr>
            <w:tcW w:w="995" w:type="dxa"/>
            <w:tcBorders>
              <w:tl2br w:val="nil"/>
              <w:tr2bl w:val="nil"/>
            </w:tcBorders>
            <w:vAlign w:val="center"/>
          </w:tcPr>
          <w:p w14:paraId="483026B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3.016</w:t>
            </w:r>
          </w:p>
        </w:tc>
        <w:tc>
          <w:tcPr>
            <w:tcW w:w="993" w:type="dxa"/>
            <w:tcBorders>
              <w:tl2br w:val="nil"/>
              <w:tr2bl w:val="nil"/>
            </w:tcBorders>
            <w:vAlign w:val="center"/>
          </w:tcPr>
          <w:p w14:paraId="7A4A79E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3.418</w:t>
            </w:r>
          </w:p>
        </w:tc>
        <w:tc>
          <w:tcPr>
            <w:tcW w:w="995" w:type="dxa"/>
            <w:tcBorders>
              <w:tl2br w:val="nil"/>
              <w:tr2bl w:val="nil"/>
            </w:tcBorders>
            <w:vAlign w:val="center"/>
          </w:tcPr>
          <w:p w14:paraId="1634301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3.820</w:t>
            </w:r>
          </w:p>
        </w:tc>
        <w:tc>
          <w:tcPr>
            <w:tcW w:w="993" w:type="dxa"/>
            <w:tcBorders>
              <w:tl2br w:val="nil"/>
              <w:tr2bl w:val="nil"/>
            </w:tcBorders>
            <w:vAlign w:val="center"/>
          </w:tcPr>
          <w:p w14:paraId="6B25EF2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4.222</w:t>
            </w:r>
          </w:p>
        </w:tc>
        <w:tc>
          <w:tcPr>
            <w:tcW w:w="1016" w:type="dxa"/>
            <w:tcBorders>
              <w:tl2br w:val="nil"/>
              <w:tr2bl w:val="nil"/>
            </w:tcBorders>
            <w:vAlign w:val="center"/>
          </w:tcPr>
          <w:p w14:paraId="295443E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4.624</w:t>
            </w:r>
          </w:p>
        </w:tc>
      </w:tr>
    </w:tbl>
    <w:p w14:paraId="20E1C234" w14:textId="77777777" w:rsidR="007D1E74" w:rsidRDefault="00A95641">
      <w:pPr>
        <w:spacing w:line="360" w:lineRule="auto"/>
        <w:ind w:firstLineChars="200" w:firstLine="480"/>
        <w:rPr>
          <w:sz w:val="24"/>
        </w:rPr>
      </w:pPr>
      <w:r>
        <w:rPr>
          <w:sz w:val="24"/>
        </w:rPr>
        <w:t>由上表可知，尘粒的沉降速度随粒径的增大而迅速增大。当粒径为</w:t>
      </w:r>
      <w:r>
        <w:rPr>
          <w:sz w:val="24"/>
        </w:rPr>
        <w:t>250mm</w:t>
      </w:r>
      <w:r>
        <w:rPr>
          <w:sz w:val="24"/>
        </w:rPr>
        <w:t>时，主要影响范围在扬尘点下风向近距离范围内，而真正对外环境产生影响的是一些微小尘粒。根据施工作业现场气候的不同情况，扬尘影响范围也有所不同。施工期间施工单位若不采取措施，扬尘势必对该区域环境产生一定影响。尤其是在雨水偏少时期，扬尘现象较为严重。环评要求施工单位选址堆放钢管等建材时应避开周围散居居民点，并做好钢材临时堆放点洒水抑尘等扬尘防治工作，对开挖的地面及时洒水，防止土壤脱水后产生较多的扬尘。</w:t>
      </w:r>
    </w:p>
    <w:p w14:paraId="0FE3F838" w14:textId="77777777" w:rsidR="007D1E74" w:rsidRDefault="00A95641">
      <w:pPr>
        <w:spacing w:line="360" w:lineRule="auto"/>
        <w:ind w:firstLineChars="200" w:firstLine="482"/>
        <w:rPr>
          <w:b/>
          <w:bCs/>
          <w:sz w:val="24"/>
        </w:rPr>
      </w:pPr>
      <w:r>
        <w:rPr>
          <w:rFonts w:ascii="宋体" w:hAnsi="宋体" w:cs="宋体" w:hint="eastAsia"/>
          <w:b/>
          <w:bCs/>
          <w:sz w:val="24"/>
        </w:rPr>
        <w:t>③</w:t>
      </w:r>
      <w:r>
        <w:rPr>
          <w:b/>
          <w:bCs/>
          <w:sz w:val="24"/>
        </w:rPr>
        <w:t>运输车辆行驶动力起尘</w:t>
      </w:r>
    </w:p>
    <w:p w14:paraId="37B64014" w14:textId="77777777" w:rsidR="007D1E74" w:rsidRDefault="00A95641">
      <w:pPr>
        <w:spacing w:line="360" w:lineRule="auto"/>
        <w:ind w:firstLineChars="200" w:firstLine="480"/>
        <w:rPr>
          <w:sz w:val="24"/>
        </w:rPr>
      </w:pPr>
      <w:r>
        <w:rPr>
          <w:sz w:val="24"/>
        </w:rPr>
        <w:t>据有关调查显示，施工作业现场扬尘主要来自于运输车辆在行驶过程中产生的扬尘，</w:t>
      </w:r>
      <w:r>
        <w:rPr>
          <w:sz w:val="24"/>
        </w:rPr>
        <w:t xml:space="preserve"> </w:t>
      </w:r>
      <w:r>
        <w:rPr>
          <w:sz w:val="24"/>
        </w:rPr>
        <w:t>其产生量约占工地扬尘总量的</w:t>
      </w:r>
      <w:r>
        <w:rPr>
          <w:sz w:val="24"/>
        </w:rPr>
        <w:t>40%</w:t>
      </w:r>
      <w:r>
        <w:rPr>
          <w:sz w:val="24"/>
        </w:rPr>
        <w:t>。在施工便道完全干燥的情况下，运输车辆行驶动力起尘量可按下述经验公式计算：</w:t>
      </w:r>
    </w:p>
    <w:p w14:paraId="65C520E5" w14:textId="77777777" w:rsidR="007D1E74" w:rsidRDefault="00A95641">
      <w:pPr>
        <w:spacing w:line="360" w:lineRule="auto"/>
        <w:ind w:firstLineChars="200" w:firstLine="480"/>
        <w:rPr>
          <w:sz w:val="24"/>
        </w:rPr>
      </w:pPr>
      <w:r>
        <w:rPr>
          <w:sz w:val="24"/>
        </w:rPr>
        <w:t>Q</w:t>
      </w:r>
      <w:r>
        <w:rPr>
          <w:sz w:val="24"/>
        </w:rPr>
        <w:t>＝</w:t>
      </w:r>
      <w:r>
        <w:rPr>
          <w:sz w:val="24"/>
        </w:rPr>
        <w:t>0.123(V/5)(W/6.8)</w:t>
      </w:r>
      <w:r>
        <w:rPr>
          <w:sz w:val="24"/>
          <w:vertAlign w:val="superscript"/>
        </w:rPr>
        <w:t>0.85</w:t>
      </w:r>
      <w:r>
        <w:rPr>
          <w:sz w:val="24"/>
        </w:rPr>
        <w:t>(P/0.5)</w:t>
      </w:r>
      <w:r>
        <w:rPr>
          <w:sz w:val="24"/>
          <w:vertAlign w:val="superscript"/>
        </w:rPr>
        <w:t>0.75</w:t>
      </w:r>
    </w:p>
    <w:p w14:paraId="568BE508" w14:textId="77777777" w:rsidR="007D1E74" w:rsidRDefault="00A95641">
      <w:pPr>
        <w:spacing w:line="360" w:lineRule="auto"/>
        <w:ind w:firstLineChars="200" w:firstLine="480"/>
        <w:rPr>
          <w:sz w:val="24"/>
        </w:rPr>
      </w:pPr>
      <w:r>
        <w:rPr>
          <w:sz w:val="24"/>
        </w:rPr>
        <w:t>式中：</w:t>
      </w:r>
      <w:r>
        <w:rPr>
          <w:sz w:val="24"/>
        </w:rPr>
        <w:t>Q—</w:t>
      </w:r>
      <w:r>
        <w:rPr>
          <w:sz w:val="24"/>
        </w:rPr>
        <w:t>汽车行驶时的扬尘，</w:t>
      </w:r>
      <w:r>
        <w:rPr>
          <w:sz w:val="24"/>
        </w:rPr>
        <w:t>kg/km·</w:t>
      </w:r>
      <w:r>
        <w:rPr>
          <w:sz w:val="24"/>
        </w:rPr>
        <w:t>辆；</w:t>
      </w:r>
    </w:p>
    <w:p w14:paraId="4FDE36B4" w14:textId="77777777" w:rsidR="007D1E74" w:rsidRDefault="00A95641">
      <w:pPr>
        <w:spacing w:line="360" w:lineRule="auto"/>
        <w:ind w:firstLineChars="200" w:firstLine="480"/>
        <w:rPr>
          <w:sz w:val="24"/>
        </w:rPr>
      </w:pPr>
      <w:r>
        <w:rPr>
          <w:sz w:val="24"/>
        </w:rPr>
        <w:t>V—</w:t>
      </w:r>
      <w:r>
        <w:rPr>
          <w:sz w:val="24"/>
        </w:rPr>
        <w:t>汽车速度，</w:t>
      </w:r>
      <w:r>
        <w:rPr>
          <w:sz w:val="24"/>
        </w:rPr>
        <w:t>km/h</w:t>
      </w:r>
      <w:r>
        <w:rPr>
          <w:sz w:val="24"/>
        </w:rPr>
        <w:t>；</w:t>
      </w:r>
    </w:p>
    <w:p w14:paraId="1AE56638" w14:textId="77777777" w:rsidR="007D1E74" w:rsidRDefault="00A95641">
      <w:pPr>
        <w:spacing w:line="360" w:lineRule="auto"/>
        <w:ind w:firstLineChars="200" w:firstLine="480"/>
        <w:rPr>
          <w:sz w:val="24"/>
        </w:rPr>
      </w:pPr>
      <w:r>
        <w:rPr>
          <w:sz w:val="24"/>
        </w:rPr>
        <w:t>W—</w:t>
      </w:r>
      <w:r>
        <w:rPr>
          <w:sz w:val="24"/>
        </w:rPr>
        <w:t>汽车载重量，</w:t>
      </w:r>
      <w:r>
        <w:rPr>
          <w:sz w:val="24"/>
        </w:rPr>
        <w:t>t</w:t>
      </w:r>
      <w:r>
        <w:rPr>
          <w:sz w:val="24"/>
        </w:rPr>
        <w:t>；</w:t>
      </w:r>
    </w:p>
    <w:p w14:paraId="6D8F291D" w14:textId="77777777" w:rsidR="007D1E74" w:rsidRDefault="00A95641">
      <w:pPr>
        <w:spacing w:line="360" w:lineRule="auto"/>
        <w:ind w:firstLineChars="200" w:firstLine="480"/>
        <w:rPr>
          <w:sz w:val="24"/>
        </w:rPr>
      </w:pPr>
      <w:r>
        <w:rPr>
          <w:sz w:val="24"/>
        </w:rPr>
        <w:t>P—</w:t>
      </w:r>
      <w:r>
        <w:rPr>
          <w:sz w:val="24"/>
        </w:rPr>
        <w:t>道路表面粉尘量，</w:t>
      </w:r>
      <w:r>
        <w:rPr>
          <w:sz w:val="24"/>
        </w:rPr>
        <w:t>kg/m</w:t>
      </w:r>
      <w:r>
        <w:rPr>
          <w:sz w:val="24"/>
          <w:vertAlign w:val="superscript"/>
        </w:rPr>
        <w:t>2</w:t>
      </w:r>
      <w:r>
        <w:rPr>
          <w:sz w:val="24"/>
        </w:rPr>
        <w:t>；为</w:t>
      </w:r>
      <w:r>
        <w:rPr>
          <w:sz w:val="24"/>
        </w:rPr>
        <w:t>1km</w:t>
      </w:r>
      <w:r>
        <w:rPr>
          <w:sz w:val="24"/>
        </w:rPr>
        <w:t>路面时，在不同路面清洁程度、不同行驶速度</w:t>
      </w:r>
      <w:r>
        <w:rPr>
          <w:sz w:val="24"/>
        </w:rPr>
        <w:lastRenderedPageBreak/>
        <w:t>情况下产生的扬尘量。</w:t>
      </w:r>
    </w:p>
    <w:p w14:paraId="28293546" w14:textId="77777777" w:rsidR="007D1E74" w:rsidRDefault="00A95641">
      <w:pPr>
        <w:spacing w:line="360" w:lineRule="auto"/>
        <w:ind w:firstLineChars="200" w:firstLine="480"/>
        <w:rPr>
          <w:sz w:val="24"/>
        </w:rPr>
      </w:pPr>
      <w:r>
        <w:rPr>
          <w:sz w:val="24"/>
        </w:rPr>
        <w:t>由此可见，在同样路面清洁程度条件下，车速越快，扬尘量越大；在同样车速情况下，路面越脏，扬尘量越大。因此限速行驶及保持路面清洁是减少运输车辆动力起尘的有效办法。</w:t>
      </w:r>
    </w:p>
    <w:p w14:paraId="4FED7C18" w14:textId="77777777" w:rsidR="007D1E74" w:rsidRDefault="007D1E74">
      <w:pPr>
        <w:jc w:val="center"/>
        <w:rPr>
          <w:b/>
        </w:rPr>
      </w:pPr>
    </w:p>
    <w:p w14:paraId="64BE915D" w14:textId="77777777" w:rsidR="007D1E74" w:rsidRDefault="00A95641">
      <w:pPr>
        <w:jc w:val="center"/>
        <w:rPr>
          <w:b/>
        </w:rPr>
      </w:pPr>
      <w:r>
        <w:rPr>
          <w:b/>
        </w:rPr>
        <w:t>表</w:t>
      </w:r>
      <w:r>
        <w:rPr>
          <w:b/>
        </w:rPr>
        <w:t xml:space="preserve"> 3.3-5  </w:t>
      </w:r>
      <w:r>
        <w:rPr>
          <w:b/>
        </w:rPr>
        <w:tab/>
      </w:r>
      <w:r>
        <w:rPr>
          <w:b/>
        </w:rPr>
        <w:t>在不同车速和地面清洁程度的汽车扬尘</w:t>
      </w:r>
      <w:r>
        <w:rPr>
          <w:b/>
        </w:rPr>
        <w:tab/>
      </w:r>
      <w:r>
        <w:rPr>
          <w:b/>
        </w:rPr>
        <w:t>单位：</w:t>
      </w:r>
      <w:r>
        <w:rPr>
          <w:b/>
        </w:rPr>
        <w:t>kg/km·</w:t>
      </w:r>
      <w:r>
        <w:rPr>
          <w:b/>
        </w:rPr>
        <w:t>量</w:t>
      </w:r>
    </w:p>
    <w:tbl>
      <w:tblPr>
        <w:tblW w:w="0" w:type="auto"/>
        <w:tblInd w:w="1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22"/>
        <w:gridCol w:w="1294"/>
        <w:gridCol w:w="1297"/>
        <w:gridCol w:w="1294"/>
        <w:gridCol w:w="1294"/>
        <w:gridCol w:w="1294"/>
        <w:gridCol w:w="1335"/>
      </w:tblGrid>
      <w:tr w:rsidR="007D1E74" w14:paraId="386D539D" w14:textId="77777777">
        <w:trPr>
          <w:trHeight w:val="311"/>
        </w:trPr>
        <w:tc>
          <w:tcPr>
            <w:tcW w:w="1322" w:type="dxa"/>
            <w:vAlign w:val="center"/>
          </w:tcPr>
          <w:p w14:paraId="7DDB8528"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P</w:t>
            </w:r>
          </w:p>
        </w:tc>
        <w:tc>
          <w:tcPr>
            <w:tcW w:w="1294" w:type="dxa"/>
            <w:vAlign w:val="center"/>
          </w:tcPr>
          <w:p w14:paraId="699050B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0.1</w:t>
            </w:r>
          </w:p>
        </w:tc>
        <w:tc>
          <w:tcPr>
            <w:tcW w:w="1297" w:type="dxa"/>
            <w:vAlign w:val="center"/>
          </w:tcPr>
          <w:p w14:paraId="60750F4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0.2</w:t>
            </w:r>
          </w:p>
        </w:tc>
        <w:tc>
          <w:tcPr>
            <w:tcW w:w="1294" w:type="dxa"/>
            <w:vAlign w:val="center"/>
          </w:tcPr>
          <w:p w14:paraId="05D8541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0.3</w:t>
            </w:r>
          </w:p>
        </w:tc>
        <w:tc>
          <w:tcPr>
            <w:tcW w:w="1294" w:type="dxa"/>
            <w:vAlign w:val="center"/>
          </w:tcPr>
          <w:p w14:paraId="571DBCE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0.4</w:t>
            </w:r>
          </w:p>
        </w:tc>
        <w:tc>
          <w:tcPr>
            <w:tcW w:w="1294" w:type="dxa"/>
            <w:vAlign w:val="center"/>
          </w:tcPr>
          <w:p w14:paraId="2AE4FAF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0.5</w:t>
            </w:r>
          </w:p>
        </w:tc>
        <w:tc>
          <w:tcPr>
            <w:tcW w:w="1335" w:type="dxa"/>
            <w:vAlign w:val="center"/>
          </w:tcPr>
          <w:p w14:paraId="2D7D3BD6"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1</w:t>
            </w:r>
          </w:p>
        </w:tc>
      </w:tr>
      <w:tr w:rsidR="007D1E74" w14:paraId="5E4C0FEF" w14:textId="77777777">
        <w:trPr>
          <w:trHeight w:val="313"/>
        </w:trPr>
        <w:tc>
          <w:tcPr>
            <w:tcW w:w="1322" w:type="dxa"/>
            <w:vAlign w:val="center"/>
          </w:tcPr>
          <w:p w14:paraId="552D83D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5km/h</w:t>
            </w:r>
          </w:p>
        </w:tc>
        <w:tc>
          <w:tcPr>
            <w:tcW w:w="1294" w:type="dxa"/>
            <w:vAlign w:val="center"/>
          </w:tcPr>
          <w:p w14:paraId="4E27350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0.051</w:t>
            </w:r>
          </w:p>
        </w:tc>
        <w:tc>
          <w:tcPr>
            <w:tcW w:w="1297" w:type="dxa"/>
            <w:vAlign w:val="center"/>
          </w:tcPr>
          <w:p w14:paraId="512A45A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0.086</w:t>
            </w:r>
          </w:p>
        </w:tc>
        <w:tc>
          <w:tcPr>
            <w:tcW w:w="1294" w:type="dxa"/>
            <w:vAlign w:val="center"/>
          </w:tcPr>
          <w:p w14:paraId="5DBEF80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0.116</w:t>
            </w:r>
          </w:p>
        </w:tc>
        <w:tc>
          <w:tcPr>
            <w:tcW w:w="1294" w:type="dxa"/>
            <w:vAlign w:val="center"/>
          </w:tcPr>
          <w:p w14:paraId="023DEEA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0.144</w:t>
            </w:r>
          </w:p>
        </w:tc>
        <w:tc>
          <w:tcPr>
            <w:tcW w:w="1294" w:type="dxa"/>
            <w:vAlign w:val="center"/>
          </w:tcPr>
          <w:p w14:paraId="1CF9226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0.171</w:t>
            </w:r>
          </w:p>
        </w:tc>
        <w:tc>
          <w:tcPr>
            <w:tcW w:w="1335" w:type="dxa"/>
            <w:vAlign w:val="center"/>
          </w:tcPr>
          <w:p w14:paraId="1CAAC4C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0.287</w:t>
            </w:r>
          </w:p>
        </w:tc>
      </w:tr>
      <w:tr w:rsidR="007D1E74" w14:paraId="5891CFFC" w14:textId="77777777">
        <w:trPr>
          <w:trHeight w:val="311"/>
        </w:trPr>
        <w:tc>
          <w:tcPr>
            <w:tcW w:w="1322" w:type="dxa"/>
            <w:vAlign w:val="center"/>
          </w:tcPr>
          <w:p w14:paraId="270C378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10km/h</w:t>
            </w:r>
          </w:p>
        </w:tc>
        <w:tc>
          <w:tcPr>
            <w:tcW w:w="1294" w:type="dxa"/>
            <w:vAlign w:val="center"/>
          </w:tcPr>
          <w:p w14:paraId="1ABA87D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0.102</w:t>
            </w:r>
          </w:p>
        </w:tc>
        <w:tc>
          <w:tcPr>
            <w:tcW w:w="1297" w:type="dxa"/>
            <w:vAlign w:val="center"/>
          </w:tcPr>
          <w:p w14:paraId="00F90DA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0.171</w:t>
            </w:r>
          </w:p>
        </w:tc>
        <w:tc>
          <w:tcPr>
            <w:tcW w:w="1294" w:type="dxa"/>
            <w:vAlign w:val="center"/>
          </w:tcPr>
          <w:p w14:paraId="6D8CB5D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0.232</w:t>
            </w:r>
          </w:p>
        </w:tc>
        <w:tc>
          <w:tcPr>
            <w:tcW w:w="1294" w:type="dxa"/>
            <w:vAlign w:val="center"/>
          </w:tcPr>
          <w:p w14:paraId="4A2A2AC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0.289</w:t>
            </w:r>
          </w:p>
        </w:tc>
        <w:tc>
          <w:tcPr>
            <w:tcW w:w="1294" w:type="dxa"/>
            <w:vAlign w:val="center"/>
          </w:tcPr>
          <w:p w14:paraId="4EB879A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0.341</w:t>
            </w:r>
          </w:p>
        </w:tc>
        <w:tc>
          <w:tcPr>
            <w:tcW w:w="1335" w:type="dxa"/>
            <w:vAlign w:val="center"/>
          </w:tcPr>
          <w:p w14:paraId="161FAF3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0.574</w:t>
            </w:r>
          </w:p>
        </w:tc>
      </w:tr>
      <w:tr w:rsidR="007D1E74" w14:paraId="5733A0DD" w14:textId="77777777">
        <w:trPr>
          <w:trHeight w:val="311"/>
        </w:trPr>
        <w:tc>
          <w:tcPr>
            <w:tcW w:w="1322" w:type="dxa"/>
            <w:vAlign w:val="center"/>
          </w:tcPr>
          <w:p w14:paraId="6CE4CBD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15km/h</w:t>
            </w:r>
          </w:p>
        </w:tc>
        <w:tc>
          <w:tcPr>
            <w:tcW w:w="1294" w:type="dxa"/>
            <w:vAlign w:val="center"/>
          </w:tcPr>
          <w:p w14:paraId="206BDF8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0.153</w:t>
            </w:r>
          </w:p>
        </w:tc>
        <w:tc>
          <w:tcPr>
            <w:tcW w:w="1297" w:type="dxa"/>
            <w:vAlign w:val="center"/>
          </w:tcPr>
          <w:p w14:paraId="656B065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0.257</w:t>
            </w:r>
          </w:p>
        </w:tc>
        <w:tc>
          <w:tcPr>
            <w:tcW w:w="1294" w:type="dxa"/>
            <w:vAlign w:val="center"/>
          </w:tcPr>
          <w:p w14:paraId="55DF690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0.349</w:t>
            </w:r>
          </w:p>
        </w:tc>
        <w:tc>
          <w:tcPr>
            <w:tcW w:w="1294" w:type="dxa"/>
            <w:vAlign w:val="center"/>
          </w:tcPr>
          <w:p w14:paraId="76CD5CE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0.433</w:t>
            </w:r>
          </w:p>
        </w:tc>
        <w:tc>
          <w:tcPr>
            <w:tcW w:w="1294" w:type="dxa"/>
            <w:vAlign w:val="center"/>
          </w:tcPr>
          <w:p w14:paraId="3F71F39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0.512</w:t>
            </w:r>
          </w:p>
        </w:tc>
        <w:tc>
          <w:tcPr>
            <w:tcW w:w="1335" w:type="dxa"/>
            <w:vAlign w:val="center"/>
          </w:tcPr>
          <w:p w14:paraId="1199E003"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0.861</w:t>
            </w:r>
          </w:p>
        </w:tc>
      </w:tr>
      <w:tr w:rsidR="007D1E74" w14:paraId="7DC4D0A6" w14:textId="77777777">
        <w:trPr>
          <w:trHeight w:val="313"/>
        </w:trPr>
        <w:tc>
          <w:tcPr>
            <w:tcW w:w="1322" w:type="dxa"/>
            <w:vAlign w:val="center"/>
          </w:tcPr>
          <w:p w14:paraId="72AF2CF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20km/h .</w:t>
            </w:r>
          </w:p>
        </w:tc>
        <w:tc>
          <w:tcPr>
            <w:tcW w:w="1294" w:type="dxa"/>
            <w:vAlign w:val="center"/>
          </w:tcPr>
          <w:p w14:paraId="455C715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0.255</w:t>
            </w:r>
          </w:p>
        </w:tc>
        <w:tc>
          <w:tcPr>
            <w:tcW w:w="1297" w:type="dxa"/>
            <w:vAlign w:val="center"/>
          </w:tcPr>
          <w:p w14:paraId="06751B9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0.429</w:t>
            </w:r>
          </w:p>
        </w:tc>
        <w:tc>
          <w:tcPr>
            <w:tcW w:w="1294" w:type="dxa"/>
            <w:vAlign w:val="center"/>
          </w:tcPr>
          <w:p w14:paraId="55B0CC9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0.582</w:t>
            </w:r>
          </w:p>
        </w:tc>
        <w:tc>
          <w:tcPr>
            <w:tcW w:w="1294" w:type="dxa"/>
            <w:vAlign w:val="center"/>
          </w:tcPr>
          <w:p w14:paraId="7AA5C16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0.722</w:t>
            </w:r>
          </w:p>
        </w:tc>
        <w:tc>
          <w:tcPr>
            <w:tcW w:w="1294" w:type="dxa"/>
            <w:vAlign w:val="center"/>
          </w:tcPr>
          <w:p w14:paraId="43F9729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0.853</w:t>
            </w:r>
          </w:p>
        </w:tc>
        <w:tc>
          <w:tcPr>
            <w:tcW w:w="1335" w:type="dxa"/>
            <w:vAlign w:val="center"/>
          </w:tcPr>
          <w:p w14:paraId="53AF0E4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1.435</w:t>
            </w:r>
          </w:p>
        </w:tc>
      </w:tr>
    </w:tbl>
    <w:p w14:paraId="02857C5A" w14:textId="77777777" w:rsidR="007D1E74" w:rsidRDefault="00A95641">
      <w:pPr>
        <w:spacing w:line="360" w:lineRule="auto"/>
        <w:ind w:firstLineChars="200" w:firstLine="480"/>
        <w:rPr>
          <w:sz w:val="24"/>
        </w:rPr>
      </w:pPr>
      <w:r>
        <w:rPr>
          <w:sz w:val="24"/>
        </w:rPr>
        <w:t>运输车辆动力起尘属于等效线源，扬尘会向道路两边扩散，最大扬尘浓度出现在道路两侧。随着离道路的距离增加，扬尘浓度逐渐递减，直至最后趋于背景值。据类别调查，一般情况下，施工场地在自然风作用下产生的扬尘影响范围在周边</w:t>
      </w:r>
      <w:r>
        <w:rPr>
          <w:sz w:val="24"/>
        </w:rPr>
        <w:t>100m</w:t>
      </w:r>
      <w:r>
        <w:rPr>
          <w:sz w:val="24"/>
        </w:rPr>
        <w:t>范围。</w:t>
      </w:r>
    </w:p>
    <w:p w14:paraId="5600288A" w14:textId="77777777" w:rsidR="007D1E74" w:rsidRDefault="00A95641">
      <w:pPr>
        <w:spacing w:line="360" w:lineRule="auto"/>
        <w:ind w:firstLineChars="200" w:firstLine="482"/>
        <w:rPr>
          <w:b/>
          <w:bCs/>
          <w:sz w:val="24"/>
        </w:rPr>
      </w:pPr>
      <w:r>
        <w:rPr>
          <w:b/>
          <w:bCs/>
          <w:sz w:val="24"/>
        </w:rPr>
        <w:t>（</w:t>
      </w:r>
      <w:r>
        <w:rPr>
          <w:b/>
          <w:bCs/>
          <w:sz w:val="24"/>
        </w:rPr>
        <w:t>2</w:t>
      </w:r>
      <w:r>
        <w:rPr>
          <w:b/>
          <w:bCs/>
          <w:sz w:val="24"/>
        </w:rPr>
        <w:t>）拟减轻不利环境影响措施</w:t>
      </w:r>
    </w:p>
    <w:p w14:paraId="5F20178A" w14:textId="77777777" w:rsidR="007D1E74" w:rsidRDefault="00A95641">
      <w:pPr>
        <w:spacing w:line="360" w:lineRule="auto"/>
        <w:ind w:firstLineChars="200" w:firstLine="480"/>
        <w:rPr>
          <w:rFonts w:eastAsia="黑体"/>
          <w:sz w:val="24"/>
        </w:rPr>
      </w:pPr>
      <w:r>
        <w:rPr>
          <w:rFonts w:eastAsia="黑体"/>
          <w:sz w:val="24"/>
        </w:rPr>
        <w:t>为有效减少建设工地扬尘污染，施工单位必需加强施工场地扬尘的控制，全面督查建筑工地现场管理</w:t>
      </w:r>
      <w:r>
        <w:rPr>
          <w:rFonts w:eastAsia="黑体"/>
          <w:sz w:val="24"/>
        </w:rPr>
        <w:t>“</w:t>
      </w:r>
      <w:r>
        <w:rPr>
          <w:rFonts w:eastAsia="黑体"/>
          <w:sz w:val="24"/>
        </w:rPr>
        <w:t>六必须</w:t>
      </w:r>
      <w:r>
        <w:rPr>
          <w:rFonts w:eastAsia="黑体"/>
          <w:sz w:val="24"/>
        </w:rPr>
        <w:t>”</w:t>
      </w:r>
      <w:r>
        <w:rPr>
          <w:rFonts w:eastAsia="黑体"/>
          <w:sz w:val="24"/>
        </w:rPr>
        <w:t>、</w:t>
      </w:r>
      <w:r>
        <w:rPr>
          <w:rFonts w:eastAsia="黑体"/>
          <w:sz w:val="24"/>
        </w:rPr>
        <w:t>“</w:t>
      </w:r>
      <w:r>
        <w:rPr>
          <w:rFonts w:eastAsia="黑体"/>
          <w:sz w:val="24"/>
        </w:rPr>
        <w:t>六不准</w:t>
      </w:r>
      <w:r>
        <w:rPr>
          <w:rFonts w:eastAsia="黑体"/>
          <w:sz w:val="24"/>
        </w:rPr>
        <w:t>”</w:t>
      </w:r>
      <w:r>
        <w:rPr>
          <w:rFonts w:eastAsia="黑体"/>
          <w:sz w:val="24"/>
        </w:rPr>
        <w:t>的执行情况，即：必须打围作业、必须硬化道路、必须设置冲洗设施、必须湿法作业、必须配齐保洁人员、必须定时清扫施工现场；不准车辆带泥出门，不准运渣车辆冒顶装载、不准高空抛撒建渣、不准现场搅拌混凝土、不准场地积水、不准现场焚烧废弃物。施工单位必须严格按照《关于印发四川省建筑工程扬尘污染防治技术导则（试行）的通知》（川建发【</w:t>
      </w:r>
      <w:r>
        <w:rPr>
          <w:rFonts w:eastAsia="黑体"/>
          <w:sz w:val="24"/>
        </w:rPr>
        <w:t>2019</w:t>
      </w:r>
      <w:r>
        <w:rPr>
          <w:rFonts w:eastAsia="黑体"/>
          <w:sz w:val="24"/>
        </w:rPr>
        <w:t>】</w:t>
      </w:r>
      <w:r>
        <w:rPr>
          <w:rFonts w:eastAsia="黑体"/>
          <w:sz w:val="24"/>
        </w:rPr>
        <w:t>16</w:t>
      </w:r>
      <w:r>
        <w:rPr>
          <w:rFonts w:eastAsia="黑体"/>
          <w:sz w:val="24"/>
        </w:rPr>
        <w:t>号）中要求，严格落实</w:t>
      </w:r>
      <w:r>
        <w:rPr>
          <w:rFonts w:eastAsia="黑体"/>
          <w:sz w:val="24"/>
        </w:rPr>
        <w:t>“</w:t>
      </w:r>
      <w:r>
        <w:rPr>
          <w:rFonts w:eastAsia="黑体"/>
          <w:sz w:val="24"/>
        </w:rPr>
        <w:t>六个百分百</w:t>
      </w:r>
      <w:r>
        <w:rPr>
          <w:rFonts w:eastAsia="黑体"/>
          <w:sz w:val="24"/>
        </w:rPr>
        <w:t>”</w:t>
      </w:r>
      <w:r>
        <w:rPr>
          <w:rFonts w:eastAsia="黑体"/>
          <w:sz w:val="24"/>
        </w:rPr>
        <w:t>要求，包括：工地周边围挡、物料堆放覆盖、出入车辆冲洗、施工现场道路及材料堆场硬化、工地湿法作业及渣土车辆密闭运输，并严格执行《巴中市扬尘污染防条例》（</w:t>
      </w:r>
      <w:r>
        <w:rPr>
          <w:rFonts w:eastAsia="黑体"/>
          <w:sz w:val="24"/>
        </w:rPr>
        <w:t>2021</w:t>
      </w:r>
      <w:r>
        <w:rPr>
          <w:rFonts w:eastAsia="黑体"/>
          <w:sz w:val="24"/>
        </w:rPr>
        <w:t>年</w:t>
      </w:r>
      <w:r>
        <w:rPr>
          <w:rFonts w:eastAsia="黑体"/>
          <w:sz w:val="24"/>
        </w:rPr>
        <w:t>1</w:t>
      </w:r>
      <w:r>
        <w:rPr>
          <w:rFonts w:eastAsia="黑体"/>
          <w:sz w:val="24"/>
        </w:rPr>
        <w:t>月</w:t>
      </w:r>
      <w:r>
        <w:rPr>
          <w:rFonts w:eastAsia="黑体"/>
          <w:sz w:val="24"/>
        </w:rPr>
        <w:t>1</w:t>
      </w:r>
      <w:r>
        <w:rPr>
          <w:rFonts w:eastAsia="黑体"/>
          <w:sz w:val="24"/>
        </w:rPr>
        <w:t>日起）。同时施工期扬尘执行《四川省施工场地扬尘排放标准》（</w:t>
      </w:r>
      <w:r>
        <w:rPr>
          <w:rFonts w:eastAsia="黑体"/>
          <w:sz w:val="24"/>
        </w:rPr>
        <w:t>DB51/2682-2020</w:t>
      </w:r>
      <w:r>
        <w:rPr>
          <w:rFonts w:eastAsia="黑体"/>
          <w:sz w:val="24"/>
        </w:rPr>
        <w:t>）表</w:t>
      </w:r>
      <w:r>
        <w:rPr>
          <w:rFonts w:eastAsia="黑体"/>
          <w:sz w:val="24"/>
        </w:rPr>
        <w:t>1</w:t>
      </w:r>
      <w:r>
        <w:rPr>
          <w:rFonts w:eastAsia="黑体"/>
          <w:sz w:val="24"/>
        </w:rPr>
        <w:t>标准限值。</w:t>
      </w:r>
    </w:p>
    <w:p w14:paraId="6D33FF11" w14:textId="77777777" w:rsidR="007D1E74" w:rsidRDefault="00A95641">
      <w:pPr>
        <w:spacing w:line="360" w:lineRule="auto"/>
        <w:ind w:firstLineChars="200" w:firstLine="480"/>
        <w:rPr>
          <w:rFonts w:eastAsia="黑体"/>
          <w:sz w:val="24"/>
        </w:rPr>
      </w:pPr>
      <w:r>
        <w:rPr>
          <w:rFonts w:eastAsia="黑体"/>
          <w:sz w:val="24"/>
        </w:rPr>
        <w:t>施工建设中环评提出以下措施减少扬尘排放：</w:t>
      </w:r>
    </w:p>
    <w:p w14:paraId="7ECD2BA1" w14:textId="77777777" w:rsidR="007D1E74" w:rsidRDefault="00A95641">
      <w:pPr>
        <w:spacing w:line="360" w:lineRule="auto"/>
        <w:ind w:firstLineChars="200" w:firstLine="480"/>
        <w:rPr>
          <w:sz w:val="24"/>
        </w:rPr>
      </w:pPr>
      <w:r>
        <w:rPr>
          <w:rFonts w:ascii="宋体" w:hAnsi="宋体" w:cs="宋体" w:hint="eastAsia"/>
          <w:sz w:val="24"/>
        </w:rPr>
        <w:t>①</w:t>
      </w:r>
      <w:r>
        <w:rPr>
          <w:sz w:val="24"/>
        </w:rPr>
        <w:t>项目施工场地严格落实施工现场管理，在施工现场须湿法作业，对施工作业区进行打围作业，不准施工车辆带泥出门、严禁运渣车辆冒顶装载和现场焚烧废弃物；</w:t>
      </w:r>
    </w:p>
    <w:p w14:paraId="200FB474" w14:textId="77777777" w:rsidR="007D1E74" w:rsidRDefault="00A95641">
      <w:pPr>
        <w:spacing w:line="360" w:lineRule="auto"/>
        <w:ind w:firstLineChars="200" w:firstLine="480"/>
        <w:rPr>
          <w:sz w:val="24"/>
        </w:rPr>
      </w:pPr>
      <w:r>
        <w:rPr>
          <w:rFonts w:ascii="宋体" w:hAnsi="宋体" w:cs="宋体" w:hint="eastAsia"/>
          <w:sz w:val="24"/>
        </w:rPr>
        <w:t>②</w:t>
      </w:r>
      <w:r>
        <w:rPr>
          <w:sz w:val="24"/>
        </w:rPr>
        <w:t>在施工现场采取湿法作业，施工场地在非雨天场地干燥时适量洒水，保持施工区土壤水分，洒水区域包括正在施工的区域、主要运输道路等。洒水频次由现场监理人员根据实际情况而定，在施工场地清理阶段，做到先洒水，后清扫，防止扬尘产生；</w:t>
      </w:r>
    </w:p>
    <w:p w14:paraId="158A8E73" w14:textId="77777777" w:rsidR="007D1E74" w:rsidRDefault="00A95641">
      <w:pPr>
        <w:spacing w:line="360" w:lineRule="auto"/>
        <w:ind w:firstLineChars="200" w:firstLine="480"/>
        <w:rPr>
          <w:sz w:val="24"/>
        </w:rPr>
      </w:pPr>
      <w:r>
        <w:rPr>
          <w:rFonts w:ascii="宋体" w:hAnsi="宋体" w:cs="宋体" w:hint="eastAsia"/>
          <w:sz w:val="24"/>
        </w:rPr>
        <w:t>③</w:t>
      </w:r>
      <w:r>
        <w:rPr>
          <w:sz w:val="24"/>
        </w:rPr>
        <w:t>禁止散装运输粉状物料，严禁运输途中扬尘散落，储存时应堆入库房。必要时设</w:t>
      </w:r>
      <w:r>
        <w:rPr>
          <w:sz w:val="24"/>
        </w:rPr>
        <w:lastRenderedPageBreak/>
        <w:t>围栏并用篷布覆盖，定时洒水防止飞扬；土、砂、石料运输禁止超载，装高不得超过车厢板，并盖篷布，严禁沿途撒落；</w:t>
      </w:r>
    </w:p>
    <w:p w14:paraId="7F87901D" w14:textId="77777777" w:rsidR="007D1E74" w:rsidRDefault="00A95641">
      <w:pPr>
        <w:spacing w:line="360" w:lineRule="auto"/>
        <w:ind w:firstLineChars="200" w:firstLine="480"/>
        <w:rPr>
          <w:sz w:val="24"/>
        </w:rPr>
      </w:pPr>
      <w:r>
        <w:rPr>
          <w:rFonts w:ascii="宋体" w:hAnsi="宋体" w:cs="宋体" w:hint="eastAsia"/>
          <w:sz w:val="24"/>
        </w:rPr>
        <w:t>④</w:t>
      </w:r>
      <w:r>
        <w:rPr>
          <w:sz w:val="24"/>
        </w:rPr>
        <w:t>风速四级以上易产生扬尘时暂停土方开挖，采取覆盖堆料、湿润等措施，有效减少扬尘污染；及时清运施工废弃物，暂时不能清运的应采取覆盖等措施；</w:t>
      </w:r>
    </w:p>
    <w:p w14:paraId="0EB0AD89" w14:textId="77777777" w:rsidR="007D1E74" w:rsidRDefault="00A95641">
      <w:pPr>
        <w:spacing w:line="360" w:lineRule="auto"/>
        <w:ind w:firstLineChars="200" w:firstLine="480"/>
        <w:rPr>
          <w:sz w:val="24"/>
        </w:rPr>
      </w:pPr>
      <w:r>
        <w:rPr>
          <w:rFonts w:ascii="宋体" w:hAnsi="宋体" w:cs="宋体" w:hint="eastAsia"/>
          <w:sz w:val="24"/>
        </w:rPr>
        <w:t>⑤</w:t>
      </w:r>
      <w:r>
        <w:rPr>
          <w:sz w:val="24"/>
        </w:rPr>
        <w:t>合理科学制定运输车辆运行班次，减少行驶动力扬尘起尘量，定期对道路进行洒水抑尘，开挖出的土石方和建材加强围栏，表面用篷布覆盖；</w:t>
      </w:r>
    </w:p>
    <w:p w14:paraId="2AFE2422" w14:textId="77777777" w:rsidR="007D1E74" w:rsidRDefault="00A95641">
      <w:pPr>
        <w:spacing w:line="360" w:lineRule="auto"/>
        <w:ind w:firstLineChars="200" w:firstLine="480"/>
        <w:rPr>
          <w:sz w:val="24"/>
        </w:rPr>
      </w:pPr>
      <w:r>
        <w:rPr>
          <w:rFonts w:ascii="宋体" w:hAnsi="宋体" w:cs="宋体" w:hint="eastAsia"/>
          <w:sz w:val="24"/>
        </w:rPr>
        <w:t>⑥</w:t>
      </w:r>
      <w:r>
        <w:rPr>
          <w:sz w:val="24"/>
        </w:rPr>
        <w:t>工程完毕后及时清理施工场地。对施工场地、临时材料堆场等，除及时进行清理外，恢复临时占地原有使用功能；</w:t>
      </w:r>
    </w:p>
    <w:p w14:paraId="72BCEB24" w14:textId="77777777" w:rsidR="007D1E74" w:rsidRDefault="00A95641">
      <w:pPr>
        <w:spacing w:line="360" w:lineRule="auto"/>
        <w:ind w:firstLineChars="200" w:firstLine="480"/>
        <w:rPr>
          <w:sz w:val="24"/>
        </w:rPr>
      </w:pPr>
      <w:r>
        <w:rPr>
          <w:rFonts w:ascii="宋体" w:hAnsi="宋体" w:cs="宋体" w:hint="eastAsia"/>
          <w:sz w:val="24"/>
        </w:rPr>
        <w:t>⑦</w:t>
      </w:r>
      <w:r>
        <w:rPr>
          <w:sz w:val="24"/>
        </w:rPr>
        <w:t>施工单位必须选用符合国家卫生防护标准的施工机械设备和运输工具，确保废气排放符合国家有关标准的规定；</w:t>
      </w:r>
    </w:p>
    <w:p w14:paraId="5495A629" w14:textId="77777777" w:rsidR="007D1E74" w:rsidRDefault="00A95641">
      <w:pPr>
        <w:spacing w:line="360" w:lineRule="auto"/>
        <w:ind w:firstLineChars="200" w:firstLine="480"/>
        <w:rPr>
          <w:sz w:val="24"/>
        </w:rPr>
      </w:pPr>
      <w:r>
        <w:rPr>
          <w:rFonts w:ascii="宋体" w:hAnsi="宋体" w:cs="宋体" w:hint="eastAsia"/>
          <w:sz w:val="24"/>
        </w:rPr>
        <w:t>⑧</w:t>
      </w:r>
      <w:r>
        <w:rPr>
          <w:sz w:val="24"/>
        </w:rPr>
        <w:t>车辆及施工器械在施工过程中应尽量避免扰动原始地面、碾压周围地区的植被，</w:t>
      </w:r>
      <w:r>
        <w:rPr>
          <w:sz w:val="24"/>
        </w:rPr>
        <w:t xml:space="preserve"> </w:t>
      </w:r>
      <w:r>
        <w:rPr>
          <w:sz w:val="24"/>
        </w:rPr>
        <w:t>不得随意开辟便道，严禁车辆下道行驶，并对施工集中区进行喷洒作业，以减少大气中浮尘及扬尘来源。</w:t>
      </w:r>
    </w:p>
    <w:p w14:paraId="0C1443E5" w14:textId="77777777" w:rsidR="007D1E74" w:rsidRDefault="00A95641">
      <w:pPr>
        <w:adjustRightInd w:val="0"/>
        <w:snapToGrid w:val="0"/>
        <w:spacing w:line="360" w:lineRule="auto"/>
        <w:ind w:firstLineChars="200" w:firstLine="482"/>
        <w:jc w:val="left"/>
        <w:rPr>
          <w:b/>
          <w:sz w:val="24"/>
        </w:rPr>
      </w:pPr>
      <w:r>
        <w:rPr>
          <w:b/>
          <w:sz w:val="24"/>
        </w:rPr>
        <w:t>环评要求：施工期扬尘执行《四川省施工场地扬尘排放标准》（</w:t>
      </w:r>
      <w:r>
        <w:rPr>
          <w:b/>
          <w:sz w:val="24"/>
        </w:rPr>
        <w:t>DB51/2682-2020</w:t>
      </w:r>
      <w:r>
        <w:rPr>
          <w:b/>
          <w:sz w:val="24"/>
        </w:rPr>
        <w:t>）表</w:t>
      </w:r>
      <w:r>
        <w:rPr>
          <w:b/>
          <w:sz w:val="24"/>
        </w:rPr>
        <w:t>1</w:t>
      </w:r>
      <w:r>
        <w:rPr>
          <w:b/>
          <w:sz w:val="24"/>
        </w:rPr>
        <w:t>标准限值。土石方和建筑垃圾临时堆场采取薄膜覆盖，土石方及时回填，运输车辆行驶路线应尽量避开人口聚集区，避免对现有交通产生较大影响。</w:t>
      </w:r>
    </w:p>
    <w:p w14:paraId="007D693C" w14:textId="77777777" w:rsidR="007D1E74" w:rsidRDefault="00A95641">
      <w:pPr>
        <w:pStyle w:val="Default"/>
        <w:spacing w:line="360" w:lineRule="auto"/>
        <w:ind w:firstLineChars="150" w:firstLine="361"/>
        <w:rPr>
          <w:rFonts w:ascii="Times New Roman" w:eastAsia="宋体" w:hAnsi="Times New Roman" w:cs="Times New Roman"/>
          <w:b/>
          <w:bCs/>
          <w:color w:val="auto"/>
        </w:rPr>
      </w:pPr>
      <w:r>
        <w:rPr>
          <w:rFonts w:ascii="Times New Roman" w:eastAsia="宋体" w:hAnsi="Times New Roman" w:cs="Times New Roman"/>
          <w:b/>
          <w:bCs/>
          <w:color w:val="auto"/>
        </w:rPr>
        <w:t>2</w:t>
      </w:r>
      <w:r>
        <w:rPr>
          <w:rFonts w:ascii="Times New Roman" w:eastAsia="宋体" w:hAnsi="Times New Roman" w:cs="Times New Roman"/>
          <w:b/>
          <w:bCs/>
          <w:color w:val="auto"/>
        </w:rPr>
        <w:t>、施工机械废气</w:t>
      </w:r>
    </w:p>
    <w:p w14:paraId="663AC962" w14:textId="77777777" w:rsidR="007D1E74" w:rsidRDefault="00A95641">
      <w:pPr>
        <w:pStyle w:val="Default"/>
        <w:spacing w:line="360" w:lineRule="auto"/>
        <w:ind w:firstLineChars="200" w:firstLine="482"/>
        <w:rPr>
          <w:rFonts w:ascii="Times New Roman" w:eastAsia="宋体" w:hAnsi="Times New Roman" w:cs="Times New Roman"/>
          <w:b/>
          <w:bCs/>
          <w:color w:val="auto"/>
        </w:rPr>
      </w:pPr>
      <w:r>
        <w:rPr>
          <w:rFonts w:ascii="Times New Roman" w:eastAsia="宋体" w:hAnsi="Times New Roman" w:cs="Times New Roman"/>
          <w:b/>
          <w:bCs/>
          <w:color w:val="auto"/>
        </w:rPr>
        <w:t>（</w:t>
      </w:r>
      <w:r>
        <w:rPr>
          <w:rFonts w:ascii="Times New Roman" w:eastAsia="宋体" w:hAnsi="Times New Roman" w:cs="Times New Roman"/>
          <w:b/>
          <w:bCs/>
          <w:color w:val="auto"/>
        </w:rPr>
        <w:t>1</w:t>
      </w:r>
      <w:r>
        <w:rPr>
          <w:rFonts w:ascii="Times New Roman" w:eastAsia="宋体" w:hAnsi="Times New Roman" w:cs="Times New Roman"/>
          <w:b/>
          <w:bCs/>
          <w:color w:val="auto"/>
        </w:rPr>
        <w:t>）机械废气产生情况</w:t>
      </w:r>
    </w:p>
    <w:p w14:paraId="784CA358" w14:textId="77777777" w:rsidR="007D1E74" w:rsidRDefault="00A95641">
      <w:pPr>
        <w:pStyle w:val="Default"/>
        <w:spacing w:line="360" w:lineRule="auto"/>
        <w:ind w:firstLineChars="200" w:firstLine="480"/>
        <w:rPr>
          <w:rFonts w:ascii="Times New Roman" w:eastAsia="宋体" w:hAnsi="Times New Roman" w:cs="Times New Roman"/>
          <w:color w:val="auto"/>
        </w:rPr>
      </w:pPr>
      <w:r>
        <w:rPr>
          <w:rFonts w:ascii="Times New Roman" w:eastAsia="宋体" w:hAnsi="Times New Roman" w:cs="Times New Roman"/>
          <w:color w:val="auto"/>
        </w:rPr>
        <w:t>施工期间，使用机动车运送原材料、设备和建筑机械设备的运转，均会排放一定量的</w:t>
      </w:r>
      <w:r>
        <w:rPr>
          <w:rFonts w:ascii="Times New Roman" w:eastAsia="宋体" w:hAnsi="Times New Roman" w:cs="Times New Roman"/>
          <w:color w:val="auto"/>
        </w:rPr>
        <w:t>CO</w:t>
      </w:r>
      <w:r>
        <w:rPr>
          <w:rFonts w:ascii="Times New Roman" w:eastAsia="宋体" w:hAnsi="Times New Roman" w:cs="Times New Roman"/>
          <w:color w:val="auto"/>
        </w:rPr>
        <w:t>、</w:t>
      </w:r>
      <w:r>
        <w:rPr>
          <w:rFonts w:ascii="Times New Roman" w:eastAsia="宋体" w:hAnsi="Times New Roman" w:cs="Times New Roman"/>
          <w:color w:val="auto"/>
        </w:rPr>
        <w:t>NOx</w:t>
      </w:r>
      <w:r>
        <w:rPr>
          <w:rFonts w:ascii="Times New Roman" w:eastAsia="宋体" w:hAnsi="Times New Roman" w:cs="Times New Roman"/>
          <w:color w:val="auto"/>
        </w:rPr>
        <w:t>以及未完全燃烧的</w:t>
      </w:r>
      <w:r>
        <w:rPr>
          <w:rFonts w:ascii="Times New Roman" w:eastAsia="宋体" w:hAnsi="Times New Roman" w:cs="Times New Roman"/>
          <w:color w:val="auto"/>
        </w:rPr>
        <w:t>THC</w:t>
      </w:r>
      <w:r>
        <w:rPr>
          <w:rFonts w:ascii="Times New Roman" w:eastAsia="宋体" w:hAnsi="Times New Roman" w:cs="Times New Roman"/>
          <w:color w:val="auto"/>
        </w:rPr>
        <w:t>等，其特点是排放量小，且属间断性无组织排放，由于其这一特点，加之施工场地扩散条件良好，因此对其不加处理也可达到相应的排放标准。在施工期内应多加注意施工设备的维护，使其能够正常的运行，提高设备原料的利用率。</w:t>
      </w:r>
      <w:r>
        <w:rPr>
          <w:rFonts w:ascii="Times New Roman" w:eastAsia="宋体" w:hAnsi="Times New Roman" w:cs="Times New Roman"/>
          <w:color w:val="auto"/>
        </w:rPr>
        <w:t xml:space="preserve"> </w:t>
      </w:r>
    </w:p>
    <w:p w14:paraId="2F235E1B" w14:textId="77777777" w:rsidR="007D1E74" w:rsidRDefault="00A95641">
      <w:pPr>
        <w:spacing w:line="360" w:lineRule="auto"/>
        <w:ind w:firstLineChars="200" w:firstLine="482"/>
        <w:rPr>
          <w:b/>
          <w:bCs/>
          <w:sz w:val="24"/>
        </w:rPr>
      </w:pPr>
      <w:r>
        <w:rPr>
          <w:b/>
          <w:bCs/>
          <w:sz w:val="24"/>
        </w:rPr>
        <w:t>（</w:t>
      </w:r>
      <w:r>
        <w:rPr>
          <w:b/>
          <w:bCs/>
          <w:sz w:val="24"/>
        </w:rPr>
        <w:t>2</w:t>
      </w:r>
      <w:r>
        <w:rPr>
          <w:b/>
          <w:bCs/>
          <w:sz w:val="24"/>
        </w:rPr>
        <w:t>）拟减轻不利环境影响措施</w:t>
      </w:r>
    </w:p>
    <w:p w14:paraId="7ADE0474" w14:textId="77777777" w:rsidR="007D1E74" w:rsidRDefault="00A95641">
      <w:pPr>
        <w:adjustRightInd w:val="0"/>
        <w:snapToGrid w:val="0"/>
        <w:spacing w:line="360" w:lineRule="auto"/>
        <w:ind w:firstLineChars="200" w:firstLine="482"/>
        <w:jc w:val="left"/>
        <w:rPr>
          <w:b/>
          <w:sz w:val="24"/>
        </w:rPr>
      </w:pPr>
      <w:r>
        <w:rPr>
          <w:b/>
          <w:sz w:val="24"/>
        </w:rPr>
        <w:t>环评要求：</w:t>
      </w:r>
      <w:r>
        <w:rPr>
          <w:bCs/>
          <w:sz w:val="24"/>
        </w:rPr>
        <w:t>项目施工期选择环保型机械设备，运输车辆按规定方向进出，减少怠速行使，将尾气排放降到最低。同时制定施工现场非道路移动机械管理制度，并加强施工设备的维护和用油管理，在施工期内多加注意施工设备的维护，使其能够正常的运行，从而避免施工机械非正常运行而使产生的废气超标排放。</w:t>
      </w:r>
    </w:p>
    <w:p w14:paraId="325DBD65" w14:textId="77777777" w:rsidR="007D1E74" w:rsidRDefault="00A95641">
      <w:pPr>
        <w:spacing w:line="360" w:lineRule="auto"/>
        <w:ind w:firstLineChars="200" w:firstLine="480"/>
        <w:rPr>
          <w:sz w:val="24"/>
        </w:rPr>
      </w:pPr>
      <w:r>
        <w:rPr>
          <w:sz w:val="24"/>
        </w:rPr>
        <w:t>尽量将燃油设备工作场所移至当地常年主导风下风向和场地开阔的地方，以利于污染物的扩散。</w:t>
      </w:r>
    </w:p>
    <w:p w14:paraId="51378ADB" w14:textId="77777777" w:rsidR="007D1E74" w:rsidRDefault="00A95641">
      <w:pPr>
        <w:spacing w:line="360" w:lineRule="auto"/>
        <w:ind w:firstLineChars="200" w:firstLine="482"/>
        <w:rPr>
          <w:b/>
          <w:bCs/>
          <w:sz w:val="24"/>
        </w:rPr>
      </w:pPr>
      <w:r>
        <w:rPr>
          <w:b/>
          <w:bCs/>
          <w:sz w:val="24"/>
        </w:rPr>
        <w:lastRenderedPageBreak/>
        <w:t>3</w:t>
      </w:r>
      <w:r>
        <w:rPr>
          <w:b/>
          <w:bCs/>
          <w:sz w:val="24"/>
        </w:rPr>
        <w:t>、焊烟</w:t>
      </w:r>
    </w:p>
    <w:p w14:paraId="5AD6D21E" w14:textId="77777777" w:rsidR="007D1E74" w:rsidRDefault="00A95641">
      <w:pPr>
        <w:spacing w:line="360" w:lineRule="auto"/>
        <w:ind w:firstLineChars="200" w:firstLine="482"/>
        <w:rPr>
          <w:b/>
          <w:bCs/>
          <w:sz w:val="24"/>
        </w:rPr>
      </w:pPr>
      <w:r>
        <w:rPr>
          <w:b/>
          <w:bCs/>
          <w:sz w:val="24"/>
        </w:rPr>
        <w:t>（</w:t>
      </w:r>
      <w:r>
        <w:rPr>
          <w:b/>
          <w:bCs/>
          <w:sz w:val="24"/>
        </w:rPr>
        <w:t>1</w:t>
      </w:r>
      <w:r>
        <w:rPr>
          <w:b/>
          <w:bCs/>
          <w:sz w:val="24"/>
        </w:rPr>
        <w:t>）焊烟产生情况</w:t>
      </w:r>
    </w:p>
    <w:p w14:paraId="7E47AB93" w14:textId="77777777" w:rsidR="007D1E74" w:rsidRDefault="00A95641">
      <w:pPr>
        <w:spacing w:line="360" w:lineRule="auto"/>
        <w:ind w:firstLineChars="200" w:firstLine="480"/>
        <w:rPr>
          <w:sz w:val="24"/>
        </w:rPr>
      </w:pPr>
      <w:r>
        <w:rPr>
          <w:sz w:val="24"/>
        </w:rPr>
        <w:t>本项目会对管道进行焊接、防腐，会产生少量焊烟。</w:t>
      </w:r>
    </w:p>
    <w:p w14:paraId="1E8E2F13" w14:textId="77777777" w:rsidR="007D1E74" w:rsidRDefault="00A95641">
      <w:pPr>
        <w:spacing w:line="360" w:lineRule="auto"/>
        <w:ind w:firstLineChars="200" w:firstLine="482"/>
        <w:rPr>
          <w:b/>
          <w:bCs/>
          <w:sz w:val="24"/>
        </w:rPr>
      </w:pPr>
      <w:r>
        <w:rPr>
          <w:b/>
          <w:bCs/>
          <w:sz w:val="24"/>
        </w:rPr>
        <w:t>（</w:t>
      </w:r>
      <w:r>
        <w:rPr>
          <w:b/>
          <w:bCs/>
          <w:sz w:val="24"/>
        </w:rPr>
        <w:t>2</w:t>
      </w:r>
      <w:r>
        <w:rPr>
          <w:b/>
          <w:bCs/>
          <w:sz w:val="24"/>
        </w:rPr>
        <w:t>）拟减轻不利环境影响措施</w:t>
      </w:r>
    </w:p>
    <w:p w14:paraId="4FB0AB5E" w14:textId="77777777" w:rsidR="007D1E74" w:rsidRDefault="00A95641">
      <w:pPr>
        <w:spacing w:line="360" w:lineRule="auto"/>
        <w:ind w:firstLineChars="200" w:firstLine="480"/>
        <w:rPr>
          <w:sz w:val="24"/>
        </w:rPr>
      </w:pPr>
      <w:r>
        <w:rPr>
          <w:bCs/>
          <w:sz w:val="24"/>
        </w:rPr>
        <w:t>项目</w:t>
      </w:r>
      <w:r>
        <w:rPr>
          <w:sz w:val="24"/>
        </w:rPr>
        <w:t>采用半自动焊接方式进行，并选用环保焊条，焊烟产生量较小且间断性排放。且施工场地地势开阔，利于焊接烟气扩散，减少对周围环境的影响。</w:t>
      </w:r>
    </w:p>
    <w:p w14:paraId="47AB0938" w14:textId="77777777" w:rsidR="007D1E74" w:rsidRDefault="00A95641">
      <w:pPr>
        <w:spacing w:line="360" w:lineRule="auto"/>
        <w:ind w:firstLineChars="200" w:firstLine="482"/>
        <w:rPr>
          <w:b/>
          <w:bCs/>
          <w:sz w:val="24"/>
        </w:rPr>
      </w:pPr>
      <w:r>
        <w:rPr>
          <w:b/>
          <w:bCs/>
          <w:sz w:val="24"/>
        </w:rPr>
        <w:t>3.2.1.3.2</w:t>
      </w:r>
      <w:r>
        <w:rPr>
          <w:b/>
          <w:bCs/>
          <w:sz w:val="24"/>
        </w:rPr>
        <w:t>施工期废水分析</w:t>
      </w:r>
    </w:p>
    <w:p w14:paraId="078D7B8B" w14:textId="77777777" w:rsidR="007D1E74" w:rsidRDefault="00A95641">
      <w:pPr>
        <w:spacing w:line="360" w:lineRule="auto"/>
        <w:ind w:firstLineChars="200" w:firstLine="480"/>
        <w:rPr>
          <w:sz w:val="24"/>
        </w:rPr>
      </w:pPr>
      <w:r>
        <w:rPr>
          <w:sz w:val="24"/>
        </w:rPr>
        <w:t>管道施工期废水主要来自施工人员产生的生活污水、施工生产废水、管道试压产生的试压废水。</w:t>
      </w:r>
    </w:p>
    <w:p w14:paraId="59C940F0" w14:textId="77777777" w:rsidR="007D1E74" w:rsidRDefault="00A95641">
      <w:pPr>
        <w:spacing w:line="360" w:lineRule="auto"/>
        <w:ind w:firstLineChars="200" w:firstLine="482"/>
        <w:rPr>
          <w:b/>
          <w:bCs/>
          <w:sz w:val="24"/>
        </w:rPr>
      </w:pPr>
      <w:r>
        <w:rPr>
          <w:b/>
          <w:bCs/>
          <w:sz w:val="24"/>
        </w:rPr>
        <w:t>1</w:t>
      </w:r>
      <w:r>
        <w:rPr>
          <w:b/>
          <w:bCs/>
          <w:sz w:val="24"/>
        </w:rPr>
        <w:t>、生活污水</w:t>
      </w:r>
    </w:p>
    <w:p w14:paraId="18CD0EEE" w14:textId="77777777" w:rsidR="007D1E74" w:rsidRDefault="00A95641">
      <w:pPr>
        <w:spacing w:line="360" w:lineRule="auto"/>
        <w:ind w:firstLineChars="200" w:firstLine="482"/>
        <w:rPr>
          <w:b/>
          <w:bCs/>
          <w:sz w:val="24"/>
        </w:rPr>
      </w:pPr>
      <w:r>
        <w:rPr>
          <w:b/>
          <w:bCs/>
          <w:sz w:val="24"/>
        </w:rPr>
        <w:t>（</w:t>
      </w:r>
      <w:r>
        <w:rPr>
          <w:b/>
          <w:bCs/>
          <w:sz w:val="24"/>
        </w:rPr>
        <w:t>1</w:t>
      </w:r>
      <w:r>
        <w:rPr>
          <w:b/>
          <w:bCs/>
          <w:sz w:val="24"/>
        </w:rPr>
        <w:t>）生活废水产生情况</w:t>
      </w:r>
    </w:p>
    <w:p w14:paraId="0DC28ED7" w14:textId="77777777" w:rsidR="007D1E74" w:rsidRDefault="00A95641">
      <w:pPr>
        <w:spacing w:line="360" w:lineRule="auto"/>
        <w:ind w:firstLineChars="200" w:firstLine="480"/>
        <w:rPr>
          <w:sz w:val="24"/>
        </w:rPr>
      </w:pPr>
      <w:r>
        <w:rPr>
          <w:sz w:val="24"/>
        </w:rPr>
        <w:t>施工人员生活污水产生量按</w:t>
      </w:r>
      <w:r>
        <w:rPr>
          <w:sz w:val="24"/>
        </w:rPr>
        <w:t>75L/</w:t>
      </w:r>
      <w:r>
        <w:rPr>
          <w:sz w:val="24"/>
        </w:rPr>
        <w:t>人日计算，施工人数约为</w:t>
      </w:r>
      <w:r>
        <w:rPr>
          <w:sz w:val="24"/>
        </w:rPr>
        <w:t>400</w:t>
      </w:r>
      <w:r>
        <w:rPr>
          <w:sz w:val="24"/>
        </w:rPr>
        <w:t>人，污水系数按</w:t>
      </w:r>
      <w:r>
        <w:rPr>
          <w:sz w:val="24"/>
        </w:rPr>
        <w:t>85%</w:t>
      </w:r>
      <w:r>
        <w:rPr>
          <w:sz w:val="24"/>
        </w:rPr>
        <w:t>计，</w:t>
      </w:r>
      <w:r>
        <w:rPr>
          <w:sz w:val="24"/>
        </w:rPr>
        <w:t>COD</w:t>
      </w:r>
      <w:r>
        <w:rPr>
          <w:sz w:val="24"/>
          <w:vertAlign w:val="subscript"/>
        </w:rPr>
        <w:t xml:space="preserve">Cr </w:t>
      </w:r>
      <w:r>
        <w:rPr>
          <w:sz w:val="24"/>
        </w:rPr>
        <w:t>浓度按</w:t>
      </w:r>
      <w:r>
        <w:rPr>
          <w:sz w:val="24"/>
        </w:rPr>
        <w:t>300mg/L</w:t>
      </w:r>
      <w:r>
        <w:rPr>
          <w:sz w:val="24"/>
        </w:rPr>
        <w:t>，氨氮浓度按</w:t>
      </w:r>
      <w:r>
        <w:rPr>
          <w:sz w:val="24"/>
        </w:rPr>
        <w:t>30mg/L</w:t>
      </w:r>
      <w:r>
        <w:rPr>
          <w:sz w:val="24"/>
        </w:rPr>
        <w:t>计算。则管道施工生活污水、</w:t>
      </w:r>
      <w:r>
        <w:rPr>
          <w:sz w:val="24"/>
        </w:rPr>
        <w:t>COD</w:t>
      </w:r>
      <w:r>
        <w:rPr>
          <w:sz w:val="24"/>
          <w:vertAlign w:val="subscript"/>
        </w:rPr>
        <w:t>Cr</w:t>
      </w:r>
      <w:r>
        <w:rPr>
          <w:sz w:val="24"/>
        </w:rPr>
        <w:t>、氨氮排放量分别为</w:t>
      </w:r>
      <w:r>
        <w:rPr>
          <w:sz w:val="24"/>
        </w:rPr>
        <w:t>37.5m</w:t>
      </w:r>
      <w:r>
        <w:rPr>
          <w:sz w:val="24"/>
          <w:vertAlign w:val="superscript"/>
        </w:rPr>
        <w:t>3</w:t>
      </w:r>
      <w:r>
        <w:rPr>
          <w:sz w:val="24"/>
        </w:rPr>
        <w:t>/d</w:t>
      </w:r>
      <w:r>
        <w:rPr>
          <w:sz w:val="24"/>
        </w:rPr>
        <w:t>、</w:t>
      </w:r>
      <w:r>
        <w:rPr>
          <w:sz w:val="24"/>
        </w:rPr>
        <w:t>7.2kg/d</w:t>
      </w:r>
      <w:r>
        <w:rPr>
          <w:sz w:val="24"/>
        </w:rPr>
        <w:t>、</w:t>
      </w:r>
      <w:r>
        <w:rPr>
          <w:sz w:val="24"/>
        </w:rPr>
        <w:t>0.72kg/d</w:t>
      </w:r>
      <w:r>
        <w:rPr>
          <w:sz w:val="24"/>
        </w:rPr>
        <w:t>。</w:t>
      </w:r>
    </w:p>
    <w:p w14:paraId="7BEE816E" w14:textId="77777777" w:rsidR="007D1E74" w:rsidRDefault="00A95641">
      <w:pPr>
        <w:spacing w:line="360" w:lineRule="auto"/>
        <w:ind w:firstLineChars="200" w:firstLine="482"/>
        <w:rPr>
          <w:b/>
          <w:bCs/>
          <w:sz w:val="24"/>
        </w:rPr>
      </w:pPr>
      <w:r>
        <w:rPr>
          <w:b/>
          <w:bCs/>
          <w:sz w:val="24"/>
        </w:rPr>
        <w:t>（</w:t>
      </w:r>
      <w:r>
        <w:rPr>
          <w:b/>
          <w:bCs/>
          <w:sz w:val="24"/>
        </w:rPr>
        <w:t>2</w:t>
      </w:r>
      <w:r>
        <w:rPr>
          <w:b/>
          <w:bCs/>
          <w:sz w:val="24"/>
        </w:rPr>
        <w:t>）拟减轻不利环境影响措施</w:t>
      </w:r>
    </w:p>
    <w:p w14:paraId="07E84310" w14:textId="77777777" w:rsidR="007D1E74" w:rsidRDefault="00A95641">
      <w:pPr>
        <w:spacing w:line="360" w:lineRule="auto"/>
        <w:ind w:firstLineChars="200" w:firstLine="480"/>
        <w:rPr>
          <w:sz w:val="24"/>
        </w:rPr>
      </w:pPr>
      <w:r>
        <w:rPr>
          <w:sz w:val="24"/>
        </w:rPr>
        <w:t>根据以往施工经验，施工队伍除业主方的施工技术人员外，其余均雇佣当地的民工，</w:t>
      </w:r>
      <w:r>
        <w:rPr>
          <w:sz w:val="24"/>
        </w:rPr>
        <w:t xml:space="preserve"> </w:t>
      </w:r>
      <w:r>
        <w:rPr>
          <w:sz w:val="24"/>
        </w:rPr>
        <w:t>项目不建设施工营地，施工队伍的吃住一般依托当地的居民，施工是分段分期进行，具有较大的分散性，局部排放量很小。</w:t>
      </w:r>
    </w:p>
    <w:p w14:paraId="74617814" w14:textId="77777777" w:rsidR="007D1E74" w:rsidRDefault="00A95641">
      <w:pPr>
        <w:spacing w:line="360" w:lineRule="auto"/>
        <w:ind w:firstLineChars="200" w:firstLine="480"/>
        <w:rPr>
          <w:sz w:val="24"/>
        </w:rPr>
      </w:pPr>
      <w:bookmarkStart w:id="21" w:name="_Hlk98315976"/>
      <w:r>
        <w:rPr>
          <w:sz w:val="24"/>
        </w:rPr>
        <w:t>项目施工期间，远离城镇的施工人员产生的生活污水经过周围农户旱厕处理后直接用于农业灌溉，由于周围主要为农村环境，项目产生的生活污水用于农业灌溉满足需求；城镇施工人员依托现有化粪池处理后进入污水</w:t>
      </w:r>
      <w:r>
        <w:rPr>
          <w:rFonts w:hint="eastAsia"/>
          <w:sz w:val="24"/>
        </w:rPr>
        <w:t>管网</w:t>
      </w:r>
      <w:r>
        <w:rPr>
          <w:sz w:val="24"/>
        </w:rPr>
        <w:t>最终进入城镇污水处理厂处理后达标排放。</w:t>
      </w:r>
    </w:p>
    <w:bookmarkEnd w:id="21"/>
    <w:p w14:paraId="5A488B1A" w14:textId="77777777" w:rsidR="007D1E74" w:rsidRDefault="00A95641">
      <w:pPr>
        <w:spacing w:line="360" w:lineRule="auto"/>
        <w:ind w:firstLineChars="200" w:firstLine="480"/>
        <w:rPr>
          <w:sz w:val="24"/>
        </w:rPr>
      </w:pPr>
      <w:r>
        <w:rPr>
          <w:sz w:val="24"/>
        </w:rPr>
        <w:t>因此，只要控制不让施工生活污水进入河道，一般不会造成水体污染。</w:t>
      </w:r>
    </w:p>
    <w:p w14:paraId="2C0D5DC1" w14:textId="77777777" w:rsidR="007D1E74" w:rsidRDefault="00A95641">
      <w:pPr>
        <w:spacing w:line="360" w:lineRule="auto"/>
        <w:ind w:firstLineChars="200" w:firstLine="482"/>
        <w:rPr>
          <w:b/>
          <w:bCs/>
          <w:sz w:val="24"/>
        </w:rPr>
      </w:pPr>
      <w:r>
        <w:rPr>
          <w:b/>
          <w:bCs/>
          <w:sz w:val="24"/>
        </w:rPr>
        <w:t>2</w:t>
      </w:r>
      <w:r>
        <w:rPr>
          <w:b/>
          <w:bCs/>
          <w:sz w:val="24"/>
        </w:rPr>
        <w:t>、施工生产废水</w:t>
      </w:r>
    </w:p>
    <w:p w14:paraId="17D291E1" w14:textId="77777777" w:rsidR="007D1E74" w:rsidRDefault="00A95641">
      <w:pPr>
        <w:spacing w:line="360" w:lineRule="auto"/>
        <w:ind w:firstLineChars="200" w:firstLine="482"/>
        <w:rPr>
          <w:b/>
          <w:bCs/>
          <w:sz w:val="24"/>
        </w:rPr>
      </w:pPr>
      <w:r>
        <w:rPr>
          <w:b/>
          <w:bCs/>
          <w:sz w:val="24"/>
        </w:rPr>
        <w:t>（</w:t>
      </w:r>
      <w:r>
        <w:rPr>
          <w:b/>
          <w:bCs/>
          <w:sz w:val="24"/>
        </w:rPr>
        <w:t>1</w:t>
      </w:r>
      <w:r>
        <w:rPr>
          <w:b/>
          <w:bCs/>
          <w:sz w:val="24"/>
        </w:rPr>
        <w:t>）施工生产废水产生情况</w:t>
      </w:r>
    </w:p>
    <w:p w14:paraId="04331346" w14:textId="77777777" w:rsidR="007D1E74" w:rsidRDefault="00A95641">
      <w:pPr>
        <w:spacing w:line="360" w:lineRule="auto"/>
        <w:ind w:firstLineChars="200" w:firstLine="480"/>
        <w:rPr>
          <w:sz w:val="24"/>
        </w:rPr>
      </w:pPr>
      <w:r>
        <w:rPr>
          <w:sz w:val="24"/>
        </w:rPr>
        <w:t>施工废水主要为河流定向钻以及机械施工场地产生的机械冲洗废水、基坑废水等，主要污染物为</w:t>
      </w:r>
      <w:r>
        <w:rPr>
          <w:sz w:val="24"/>
        </w:rPr>
        <w:t>SS</w:t>
      </w:r>
      <w:r>
        <w:rPr>
          <w:sz w:val="24"/>
        </w:rPr>
        <w:t>和石油类。根据类比分析，本项目施工期产生的施工废水约</w:t>
      </w:r>
      <w:r>
        <w:rPr>
          <w:sz w:val="24"/>
        </w:rPr>
        <w:t>50m</w:t>
      </w:r>
      <w:r>
        <w:rPr>
          <w:sz w:val="24"/>
          <w:vertAlign w:val="superscript"/>
        </w:rPr>
        <w:t>3</w:t>
      </w:r>
      <w:r>
        <w:rPr>
          <w:sz w:val="24"/>
        </w:rPr>
        <w:t>/d</w:t>
      </w:r>
      <w:r>
        <w:rPr>
          <w:sz w:val="24"/>
        </w:rPr>
        <w:t>，其中</w:t>
      </w:r>
      <w:r>
        <w:rPr>
          <w:sz w:val="24"/>
        </w:rPr>
        <w:t>SS</w:t>
      </w:r>
      <w:r>
        <w:rPr>
          <w:sz w:val="24"/>
        </w:rPr>
        <w:t>浓度约为</w:t>
      </w:r>
      <w:r>
        <w:rPr>
          <w:sz w:val="24"/>
        </w:rPr>
        <w:t>2000mg/L</w:t>
      </w:r>
      <w:r>
        <w:rPr>
          <w:sz w:val="24"/>
        </w:rPr>
        <w:t>，石油类浓度约为</w:t>
      </w:r>
      <w:r>
        <w:rPr>
          <w:sz w:val="24"/>
        </w:rPr>
        <w:t>20mg/L</w:t>
      </w:r>
      <w:r>
        <w:rPr>
          <w:sz w:val="24"/>
        </w:rPr>
        <w:t>。</w:t>
      </w:r>
    </w:p>
    <w:p w14:paraId="36771030" w14:textId="77777777" w:rsidR="007D1E74" w:rsidRDefault="00A95641">
      <w:pPr>
        <w:spacing w:line="360" w:lineRule="auto"/>
        <w:ind w:firstLineChars="200" w:firstLine="482"/>
        <w:rPr>
          <w:b/>
          <w:bCs/>
          <w:sz w:val="24"/>
        </w:rPr>
      </w:pPr>
      <w:r>
        <w:rPr>
          <w:b/>
          <w:bCs/>
          <w:sz w:val="24"/>
        </w:rPr>
        <w:t>（</w:t>
      </w:r>
      <w:r>
        <w:rPr>
          <w:b/>
          <w:bCs/>
          <w:sz w:val="24"/>
        </w:rPr>
        <w:t>2</w:t>
      </w:r>
      <w:r>
        <w:rPr>
          <w:b/>
          <w:bCs/>
          <w:sz w:val="24"/>
        </w:rPr>
        <w:t>）拟减轻不利环境影响措施</w:t>
      </w:r>
    </w:p>
    <w:p w14:paraId="10B4DE47" w14:textId="77777777" w:rsidR="007D1E74" w:rsidRDefault="00A95641">
      <w:pPr>
        <w:spacing w:line="360" w:lineRule="auto"/>
        <w:ind w:firstLineChars="200" w:firstLine="480"/>
        <w:rPr>
          <w:sz w:val="24"/>
        </w:rPr>
      </w:pPr>
      <w:r>
        <w:rPr>
          <w:sz w:val="24"/>
        </w:rPr>
        <w:lastRenderedPageBreak/>
        <w:t>项目拟在各施工场地设置临时隔油沉淀池，施工废水经隔油沉淀池处理后循环使用或回用于施工场地的洒水抑尘等，不外排。</w:t>
      </w:r>
    </w:p>
    <w:p w14:paraId="05BFFF4C" w14:textId="77777777" w:rsidR="007D1E74" w:rsidRDefault="00A95641">
      <w:pPr>
        <w:spacing w:line="360" w:lineRule="auto"/>
        <w:ind w:firstLineChars="200" w:firstLine="482"/>
        <w:rPr>
          <w:b/>
          <w:bCs/>
          <w:sz w:val="24"/>
        </w:rPr>
      </w:pPr>
      <w:r>
        <w:rPr>
          <w:b/>
          <w:bCs/>
          <w:sz w:val="24"/>
        </w:rPr>
        <w:t>同时环评要求：</w:t>
      </w:r>
    </w:p>
    <w:p w14:paraId="31B1AE3F" w14:textId="77777777" w:rsidR="007D1E74" w:rsidRDefault="00A95641">
      <w:pPr>
        <w:spacing w:line="360" w:lineRule="auto"/>
        <w:ind w:firstLineChars="200" w:firstLine="480"/>
        <w:rPr>
          <w:sz w:val="24"/>
        </w:rPr>
      </w:pPr>
      <w:r>
        <w:rPr>
          <w:rFonts w:ascii="宋体" w:hAnsi="宋体" w:cs="宋体" w:hint="eastAsia"/>
          <w:sz w:val="24"/>
        </w:rPr>
        <w:t>①</w:t>
      </w:r>
      <w:r>
        <w:rPr>
          <w:sz w:val="24"/>
        </w:rPr>
        <w:t>施工机械和运输车辆维修保养均在城内修配厂内进行，施工现场不设维修站；</w:t>
      </w:r>
    </w:p>
    <w:p w14:paraId="0876841A" w14:textId="77777777" w:rsidR="007D1E74" w:rsidRDefault="00A95641">
      <w:pPr>
        <w:spacing w:line="360" w:lineRule="auto"/>
        <w:ind w:firstLineChars="200" w:firstLine="480"/>
        <w:rPr>
          <w:sz w:val="24"/>
        </w:rPr>
      </w:pPr>
      <w:r>
        <w:rPr>
          <w:rFonts w:ascii="宋体" w:hAnsi="宋体" w:cs="宋体" w:hint="eastAsia"/>
          <w:sz w:val="24"/>
        </w:rPr>
        <w:t>②</w:t>
      </w:r>
      <w:r>
        <w:rPr>
          <w:sz w:val="24"/>
        </w:rPr>
        <w:t>加强施工材料的管理，运输材料的车辆必须覆盖防尘网；如遇雨天，将施工材料外运至远离四川诺水河珍稀水生动物国家级自然保护区小通江的区域，避免雨水冲刷废水进行水体；</w:t>
      </w:r>
    </w:p>
    <w:p w14:paraId="45B68B6C" w14:textId="77777777" w:rsidR="007D1E74" w:rsidRDefault="00A95641">
      <w:pPr>
        <w:spacing w:line="360" w:lineRule="auto"/>
        <w:ind w:firstLineChars="200" w:firstLine="480"/>
        <w:rPr>
          <w:sz w:val="24"/>
        </w:rPr>
      </w:pPr>
      <w:r>
        <w:rPr>
          <w:rFonts w:ascii="宋体" w:hAnsi="宋体" w:cs="宋体" w:hint="eastAsia"/>
          <w:sz w:val="24"/>
        </w:rPr>
        <w:t>③</w:t>
      </w:r>
      <w:r>
        <w:rPr>
          <w:sz w:val="24"/>
        </w:rPr>
        <w:t>加强机械车辆的维护管理，最大可能的避免施工机械</w:t>
      </w:r>
      <w:r>
        <w:rPr>
          <w:sz w:val="24"/>
        </w:rPr>
        <w:t>“</w:t>
      </w:r>
      <w:r>
        <w:rPr>
          <w:sz w:val="24"/>
        </w:rPr>
        <w:t>跑、冒、滴、漏</w:t>
      </w:r>
      <w:r>
        <w:rPr>
          <w:sz w:val="24"/>
        </w:rPr>
        <w:t>”</w:t>
      </w:r>
      <w:r>
        <w:rPr>
          <w:sz w:val="24"/>
        </w:rPr>
        <w:t>油污等进入水体；</w:t>
      </w:r>
    </w:p>
    <w:p w14:paraId="070F8DFF" w14:textId="77777777" w:rsidR="007D1E74" w:rsidRDefault="00A95641">
      <w:pPr>
        <w:spacing w:line="360" w:lineRule="auto"/>
        <w:ind w:firstLineChars="200" w:firstLine="480"/>
        <w:rPr>
          <w:sz w:val="24"/>
        </w:rPr>
      </w:pPr>
      <w:r>
        <w:rPr>
          <w:rFonts w:ascii="宋体" w:hAnsi="宋体" w:cs="宋体" w:hint="eastAsia"/>
          <w:sz w:val="24"/>
        </w:rPr>
        <w:t>④</w:t>
      </w:r>
      <w:r>
        <w:rPr>
          <w:sz w:val="24"/>
        </w:rPr>
        <w:t>加强对施工废水的管理，严禁将施工废水和生活污水排入四川诺水河珍稀水生动物国家级自然保护区小通江以及具有饮水源功能的水体；</w:t>
      </w:r>
    </w:p>
    <w:p w14:paraId="7AC7285B" w14:textId="77777777" w:rsidR="007D1E74" w:rsidRDefault="00A95641">
      <w:pPr>
        <w:spacing w:line="360" w:lineRule="auto"/>
        <w:ind w:firstLineChars="200" w:firstLine="480"/>
        <w:rPr>
          <w:sz w:val="24"/>
        </w:rPr>
      </w:pPr>
      <w:r>
        <w:rPr>
          <w:rFonts w:ascii="宋体" w:hAnsi="宋体" w:cs="宋体" w:hint="eastAsia"/>
          <w:sz w:val="24"/>
        </w:rPr>
        <w:t>⑤</w:t>
      </w:r>
      <w:r>
        <w:rPr>
          <w:sz w:val="24"/>
        </w:rPr>
        <w:t>建设单位加强管理，安排环保专人监督施工现场，文明施工。</w:t>
      </w:r>
    </w:p>
    <w:p w14:paraId="45641827" w14:textId="77777777" w:rsidR="007D1E74" w:rsidRDefault="00A95641">
      <w:pPr>
        <w:spacing w:line="360" w:lineRule="auto"/>
        <w:ind w:firstLineChars="200" w:firstLine="480"/>
        <w:rPr>
          <w:sz w:val="24"/>
        </w:rPr>
      </w:pPr>
      <w:r>
        <w:rPr>
          <w:sz w:val="24"/>
        </w:rPr>
        <w:t>因此，只要控制不让施工生活污水进入河道，一般不会造成水体污染。</w:t>
      </w:r>
    </w:p>
    <w:p w14:paraId="2BFF7BFE" w14:textId="77777777" w:rsidR="007D1E74" w:rsidRDefault="00A95641">
      <w:pPr>
        <w:spacing w:line="360" w:lineRule="auto"/>
        <w:ind w:firstLineChars="200" w:firstLine="482"/>
        <w:rPr>
          <w:b/>
          <w:bCs/>
          <w:sz w:val="24"/>
        </w:rPr>
      </w:pPr>
      <w:r>
        <w:rPr>
          <w:b/>
          <w:bCs/>
          <w:sz w:val="24"/>
        </w:rPr>
        <w:t>3</w:t>
      </w:r>
      <w:r>
        <w:rPr>
          <w:b/>
          <w:bCs/>
          <w:sz w:val="24"/>
        </w:rPr>
        <w:t>、试压废水</w:t>
      </w:r>
    </w:p>
    <w:p w14:paraId="0344815D" w14:textId="77777777" w:rsidR="007D1E74" w:rsidRDefault="00A95641">
      <w:pPr>
        <w:spacing w:line="360" w:lineRule="auto"/>
        <w:ind w:firstLineChars="200" w:firstLine="482"/>
        <w:rPr>
          <w:b/>
          <w:bCs/>
          <w:sz w:val="24"/>
        </w:rPr>
      </w:pPr>
      <w:r>
        <w:rPr>
          <w:b/>
          <w:bCs/>
          <w:sz w:val="24"/>
        </w:rPr>
        <w:t>（</w:t>
      </w:r>
      <w:r>
        <w:rPr>
          <w:b/>
          <w:bCs/>
          <w:sz w:val="24"/>
        </w:rPr>
        <w:t>1</w:t>
      </w:r>
      <w:r>
        <w:rPr>
          <w:b/>
          <w:bCs/>
          <w:sz w:val="24"/>
        </w:rPr>
        <w:t>）试压废水产生情况</w:t>
      </w:r>
    </w:p>
    <w:p w14:paraId="76238833" w14:textId="77777777" w:rsidR="007D1E74" w:rsidRDefault="00A95641">
      <w:pPr>
        <w:spacing w:line="360" w:lineRule="auto"/>
        <w:ind w:firstLineChars="200" w:firstLine="480"/>
        <w:rPr>
          <w:sz w:val="24"/>
        </w:rPr>
      </w:pPr>
      <w:r>
        <w:rPr>
          <w:sz w:val="24"/>
        </w:rPr>
        <w:t>本项目管道试压使用洁净水，且采取分段试压的方式进行，产生量约为</w:t>
      </w:r>
      <w:r>
        <w:rPr>
          <w:sz w:val="24"/>
        </w:rPr>
        <w:t>185m</w:t>
      </w:r>
      <w:r>
        <w:rPr>
          <w:sz w:val="24"/>
          <w:vertAlign w:val="superscript"/>
        </w:rPr>
        <w:t>3</w:t>
      </w:r>
      <w:r>
        <w:rPr>
          <w:sz w:val="24"/>
        </w:rPr>
        <w:t>，水中的主要污染物为管道敷设时掉落的少量泥沙，由于在试压前已经过清管处理，试压废水中所含污染物主要是机械杂质、泥沙等，</w:t>
      </w:r>
      <w:r>
        <w:rPr>
          <w:sz w:val="24"/>
        </w:rPr>
        <w:t>SS</w:t>
      </w:r>
      <w:r>
        <w:rPr>
          <w:sz w:val="24"/>
        </w:rPr>
        <w:t>浓度较低，约为</w:t>
      </w:r>
      <w:r>
        <w:rPr>
          <w:sz w:val="24"/>
        </w:rPr>
        <w:t>60mg/m</w:t>
      </w:r>
      <w:r>
        <w:rPr>
          <w:sz w:val="24"/>
          <w:vertAlign w:val="superscript"/>
        </w:rPr>
        <w:t>3</w:t>
      </w:r>
      <w:r>
        <w:rPr>
          <w:sz w:val="24"/>
        </w:rPr>
        <w:t>。</w:t>
      </w:r>
    </w:p>
    <w:p w14:paraId="4C2D0E4E" w14:textId="77777777" w:rsidR="007D1E74" w:rsidRDefault="00A95641">
      <w:pPr>
        <w:spacing w:line="360" w:lineRule="auto"/>
        <w:ind w:firstLineChars="200" w:firstLine="482"/>
        <w:rPr>
          <w:b/>
          <w:bCs/>
          <w:sz w:val="24"/>
        </w:rPr>
      </w:pPr>
      <w:r>
        <w:rPr>
          <w:b/>
          <w:bCs/>
          <w:sz w:val="24"/>
        </w:rPr>
        <w:t>（</w:t>
      </w:r>
      <w:r>
        <w:rPr>
          <w:b/>
          <w:bCs/>
          <w:sz w:val="24"/>
        </w:rPr>
        <w:t>2</w:t>
      </w:r>
      <w:r>
        <w:rPr>
          <w:b/>
          <w:bCs/>
          <w:sz w:val="24"/>
        </w:rPr>
        <w:t>）拟减轻不利环境影响措施</w:t>
      </w:r>
    </w:p>
    <w:p w14:paraId="778AA7F7" w14:textId="77777777" w:rsidR="007D1E74" w:rsidRDefault="00A95641">
      <w:pPr>
        <w:spacing w:line="360" w:lineRule="auto"/>
        <w:ind w:firstLineChars="200" w:firstLine="480"/>
        <w:rPr>
          <w:sz w:val="24"/>
        </w:rPr>
      </w:pPr>
      <w:r>
        <w:rPr>
          <w:sz w:val="24"/>
        </w:rPr>
        <w:t>污水排放采用罐车拉运至污水处理厂进行处理。</w:t>
      </w:r>
    </w:p>
    <w:p w14:paraId="1D5AA292" w14:textId="77777777" w:rsidR="007D1E74" w:rsidRDefault="00A95641">
      <w:pPr>
        <w:spacing w:line="360" w:lineRule="auto"/>
        <w:ind w:firstLineChars="200" w:firstLine="480"/>
        <w:rPr>
          <w:sz w:val="24"/>
        </w:rPr>
      </w:pPr>
      <w:r>
        <w:rPr>
          <w:sz w:val="24"/>
        </w:rPr>
        <w:t>本项目沿线基本沿小通江河布设，本次环评提出严禁将试压废水直接排入四川诺水河珍稀水生动物国家级自然保护区小通江以及具有饮水源功能的水体。</w:t>
      </w:r>
    </w:p>
    <w:p w14:paraId="391B8DFC" w14:textId="77777777" w:rsidR="007D1E74" w:rsidRDefault="00A95641">
      <w:pPr>
        <w:spacing w:line="360" w:lineRule="auto"/>
        <w:ind w:firstLineChars="200" w:firstLine="482"/>
        <w:rPr>
          <w:b/>
          <w:bCs/>
          <w:sz w:val="24"/>
        </w:rPr>
      </w:pPr>
      <w:r>
        <w:rPr>
          <w:b/>
          <w:bCs/>
          <w:sz w:val="24"/>
        </w:rPr>
        <w:t>3.3.1.3.3</w:t>
      </w:r>
      <w:r>
        <w:rPr>
          <w:b/>
          <w:bCs/>
          <w:sz w:val="24"/>
        </w:rPr>
        <w:t>施工期噪声分析</w:t>
      </w:r>
    </w:p>
    <w:p w14:paraId="7122D94E" w14:textId="77777777" w:rsidR="007D1E74" w:rsidRDefault="00A95641">
      <w:pPr>
        <w:spacing w:line="360" w:lineRule="auto"/>
        <w:ind w:firstLineChars="200" w:firstLine="482"/>
        <w:rPr>
          <w:b/>
          <w:bCs/>
          <w:sz w:val="24"/>
        </w:rPr>
      </w:pPr>
      <w:r>
        <w:rPr>
          <w:b/>
          <w:bCs/>
          <w:sz w:val="24"/>
        </w:rPr>
        <w:t>1</w:t>
      </w:r>
      <w:r>
        <w:rPr>
          <w:b/>
          <w:bCs/>
          <w:sz w:val="24"/>
        </w:rPr>
        <w:t>、施工噪声源强</w:t>
      </w:r>
    </w:p>
    <w:p w14:paraId="60F78097" w14:textId="77777777" w:rsidR="007D1E74" w:rsidRDefault="00A95641">
      <w:pPr>
        <w:spacing w:line="360" w:lineRule="auto"/>
        <w:ind w:firstLineChars="200" w:firstLine="480"/>
        <w:rPr>
          <w:sz w:val="24"/>
        </w:rPr>
      </w:pPr>
      <w:r>
        <w:rPr>
          <w:sz w:val="24"/>
        </w:rPr>
        <w:t>在施工过程中，由于各种施工机械设备的运转和各类车辆的运行，不可避免地将产生噪声污染。施工期的机械有挖掘机、吊管机、电焊机、推土机等都是噪声的产生源。在实际施工过程中，往往是各种机械同时工作，各种噪声源辐射的相互叠加，噪声级将会更高，辐射面也会更大。施工噪声对周围地区声环境的影响，将采用《建筑施工场界环境噪声排放标准》（</w:t>
      </w:r>
      <w:r>
        <w:rPr>
          <w:sz w:val="24"/>
        </w:rPr>
        <w:t>GB12523-2011</w:t>
      </w:r>
      <w:r>
        <w:rPr>
          <w:sz w:val="24"/>
        </w:rPr>
        <w:t>）进行评价。</w:t>
      </w:r>
    </w:p>
    <w:p w14:paraId="120D196B" w14:textId="77777777" w:rsidR="007D1E74" w:rsidRDefault="00A95641">
      <w:pPr>
        <w:tabs>
          <w:tab w:val="left" w:pos="964"/>
        </w:tabs>
        <w:spacing w:before="84" w:after="20"/>
        <w:ind w:right="175"/>
        <w:jc w:val="center"/>
        <w:rPr>
          <w:b/>
        </w:rPr>
      </w:pPr>
      <w:r>
        <w:rPr>
          <w:b/>
        </w:rPr>
        <w:t>表</w:t>
      </w:r>
      <w:r>
        <w:rPr>
          <w:b/>
          <w:spacing w:val="1"/>
        </w:rPr>
        <w:t xml:space="preserve"> </w:t>
      </w:r>
      <w:r>
        <w:rPr>
          <w:b/>
        </w:rPr>
        <w:t>3.2-6</w:t>
      </w:r>
      <w:r>
        <w:rPr>
          <w:b/>
        </w:rPr>
        <w:tab/>
      </w:r>
      <w:r>
        <w:rPr>
          <w:b/>
        </w:rPr>
        <w:t>施工期主要噪</w:t>
      </w:r>
      <w:r>
        <w:rPr>
          <w:b/>
          <w:spacing w:val="-3"/>
        </w:rPr>
        <w:t>声</w:t>
      </w:r>
      <w:r>
        <w:rPr>
          <w:b/>
        </w:rPr>
        <w:t>源及其声级值</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58"/>
        <w:gridCol w:w="1101"/>
        <w:gridCol w:w="2191"/>
        <w:gridCol w:w="829"/>
        <w:gridCol w:w="1638"/>
        <w:gridCol w:w="2219"/>
      </w:tblGrid>
      <w:tr w:rsidR="007D1E74" w14:paraId="68789E7A" w14:textId="77777777">
        <w:trPr>
          <w:trHeight w:val="258"/>
          <w:jc w:val="center"/>
        </w:trPr>
        <w:tc>
          <w:tcPr>
            <w:tcW w:w="863" w:type="dxa"/>
            <w:vAlign w:val="center"/>
          </w:tcPr>
          <w:p w14:paraId="1B94DB5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lastRenderedPageBreak/>
              <w:t>序号</w:t>
            </w:r>
          </w:p>
        </w:tc>
        <w:tc>
          <w:tcPr>
            <w:tcW w:w="1108" w:type="dxa"/>
            <w:vAlign w:val="center"/>
          </w:tcPr>
          <w:p w14:paraId="38AE63CE"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噪声源</w:t>
            </w:r>
          </w:p>
        </w:tc>
        <w:tc>
          <w:tcPr>
            <w:tcW w:w="2204" w:type="dxa"/>
            <w:vAlign w:val="center"/>
          </w:tcPr>
          <w:p w14:paraId="1537A43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噪声强度</w:t>
            </w:r>
            <w:r>
              <w:rPr>
                <w:rFonts w:ascii="Times New Roman" w:hAnsi="Times New Roman"/>
                <w:sz w:val="21"/>
                <w:szCs w:val="21"/>
              </w:rPr>
              <w:t xml:space="preserve"> dB (A)</w:t>
            </w:r>
          </w:p>
        </w:tc>
        <w:tc>
          <w:tcPr>
            <w:tcW w:w="834" w:type="dxa"/>
            <w:vAlign w:val="center"/>
          </w:tcPr>
          <w:p w14:paraId="12A3854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序号</w:t>
            </w:r>
          </w:p>
        </w:tc>
        <w:tc>
          <w:tcPr>
            <w:tcW w:w="1648" w:type="dxa"/>
            <w:vAlign w:val="center"/>
          </w:tcPr>
          <w:p w14:paraId="263DEB7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噪声源</w:t>
            </w:r>
          </w:p>
        </w:tc>
        <w:tc>
          <w:tcPr>
            <w:tcW w:w="2232" w:type="dxa"/>
            <w:vAlign w:val="center"/>
          </w:tcPr>
          <w:p w14:paraId="307DE2F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噪声强度</w:t>
            </w:r>
            <w:r>
              <w:rPr>
                <w:rFonts w:ascii="Times New Roman" w:hAnsi="Times New Roman"/>
                <w:sz w:val="21"/>
                <w:szCs w:val="21"/>
              </w:rPr>
              <w:t xml:space="preserve"> dB (A)</w:t>
            </w:r>
          </w:p>
        </w:tc>
      </w:tr>
      <w:tr w:rsidR="007D1E74" w14:paraId="280138BF" w14:textId="77777777">
        <w:trPr>
          <w:trHeight w:val="261"/>
          <w:jc w:val="center"/>
        </w:trPr>
        <w:tc>
          <w:tcPr>
            <w:tcW w:w="863" w:type="dxa"/>
            <w:vAlign w:val="center"/>
          </w:tcPr>
          <w:p w14:paraId="7664A77A"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1</w:t>
            </w:r>
          </w:p>
        </w:tc>
        <w:tc>
          <w:tcPr>
            <w:tcW w:w="1108" w:type="dxa"/>
            <w:vAlign w:val="center"/>
          </w:tcPr>
          <w:p w14:paraId="0E79E883"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挖掘机</w:t>
            </w:r>
          </w:p>
        </w:tc>
        <w:tc>
          <w:tcPr>
            <w:tcW w:w="2204" w:type="dxa"/>
            <w:vAlign w:val="center"/>
          </w:tcPr>
          <w:p w14:paraId="75D9A05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92</w:t>
            </w:r>
          </w:p>
        </w:tc>
        <w:tc>
          <w:tcPr>
            <w:tcW w:w="834" w:type="dxa"/>
            <w:vAlign w:val="center"/>
          </w:tcPr>
          <w:p w14:paraId="38E9E128"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4</w:t>
            </w:r>
          </w:p>
        </w:tc>
        <w:tc>
          <w:tcPr>
            <w:tcW w:w="1648" w:type="dxa"/>
            <w:vAlign w:val="center"/>
          </w:tcPr>
          <w:p w14:paraId="7F6F9F8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推土机</w:t>
            </w:r>
          </w:p>
        </w:tc>
        <w:tc>
          <w:tcPr>
            <w:tcW w:w="2232" w:type="dxa"/>
            <w:vAlign w:val="center"/>
          </w:tcPr>
          <w:p w14:paraId="78491D9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90</w:t>
            </w:r>
          </w:p>
        </w:tc>
      </w:tr>
      <w:tr w:rsidR="007D1E74" w14:paraId="5F9866B8" w14:textId="77777777">
        <w:trPr>
          <w:trHeight w:val="258"/>
          <w:jc w:val="center"/>
        </w:trPr>
        <w:tc>
          <w:tcPr>
            <w:tcW w:w="863" w:type="dxa"/>
            <w:vAlign w:val="center"/>
          </w:tcPr>
          <w:p w14:paraId="51EAB9D9"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2</w:t>
            </w:r>
          </w:p>
        </w:tc>
        <w:tc>
          <w:tcPr>
            <w:tcW w:w="1108" w:type="dxa"/>
            <w:vAlign w:val="center"/>
          </w:tcPr>
          <w:p w14:paraId="34E8981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吊管机</w:t>
            </w:r>
          </w:p>
        </w:tc>
        <w:tc>
          <w:tcPr>
            <w:tcW w:w="2204" w:type="dxa"/>
            <w:vAlign w:val="center"/>
          </w:tcPr>
          <w:p w14:paraId="5A1F978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88</w:t>
            </w:r>
          </w:p>
        </w:tc>
        <w:tc>
          <w:tcPr>
            <w:tcW w:w="834" w:type="dxa"/>
            <w:vAlign w:val="center"/>
          </w:tcPr>
          <w:p w14:paraId="0904E279"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5</w:t>
            </w:r>
          </w:p>
        </w:tc>
        <w:tc>
          <w:tcPr>
            <w:tcW w:w="1648" w:type="dxa"/>
            <w:vAlign w:val="center"/>
          </w:tcPr>
          <w:p w14:paraId="1B70F9E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柴油发电机</w:t>
            </w:r>
          </w:p>
        </w:tc>
        <w:tc>
          <w:tcPr>
            <w:tcW w:w="2232" w:type="dxa"/>
            <w:vAlign w:val="center"/>
          </w:tcPr>
          <w:p w14:paraId="5830B4E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100</w:t>
            </w:r>
          </w:p>
        </w:tc>
      </w:tr>
      <w:tr w:rsidR="007D1E74" w14:paraId="5946CFCD" w14:textId="77777777">
        <w:trPr>
          <w:trHeight w:val="260"/>
          <w:jc w:val="center"/>
        </w:trPr>
        <w:tc>
          <w:tcPr>
            <w:tcW w:w="863" w:type="dxa"/>
            <w:vAlign w:val="center"/>
          </w:tcPr>
          <w:p w14:paraId="74A97D27"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3</w:t>
            </w:r>
          </w:p>
        </w:tc>
        <w:tc>
          <w:tcPr>
            <w:tcW w:w="1108" w:type="dxa"/>
            <w:vAlign w:val="center"/>
          </w:tcPr>
          <w:p w14:paraId="253338F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电焊机</w:t>
            </w:r>
          </w:p>
        </w:tc>
        <w:tc>
          <w:tcPr>
            <w:tcW w:w="2204" w:type="dxa"/>
            <w:vAlign w:val="center"/>
          </w:tcPr>
          <w:p w14:paraId="391DB9BE"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85</w:t>
            </w:r>
          </w:p>
        </w:tc>
        <w:tc>
          <w:tcPr>
            <w:tcW w:w="834" w:type="dxa"/>
            <w:vAlign w:val="center"/>
          </w:tcPr>
          <w:p w14:paraId="446B8F95" w14:textId="77777777" w:rsidR="007D1E74" w:rsidRDefault="00A95641">
            <w:pPr>
              <w:pStyle w:val="TableParagraph"/>
              <w:adjustRightInd/>
              <w:jc w:val="center"/>
              <w:rPr>
                <w:rFonts w:ascii="Times New Roman" w:hAnsi="Times New Roman"/>
                <w:sz w:val="21"/>
                <w:szCs w:val="21"/>
              </w:rPr>
            </w:pPr>
            <w:r>
              <w:rPr>
                <w:rFonts w:ascii="Times New Roman" w:hAnsi="Times New Roman"/>
                <w:w w:val="99"/>
                <w:sz w:val="21"/>
                <w:szCs w:val="21"/>
              </w:rPr>
              <w:t>6</w:t>
            </w:r>
          </w:p>
        </w:tc>
        <w:tc>
          <w:tcPr>
            <w:tcW w:w="1648" w:type="dxa"/>
            <w:vAlign w:val="center"/>
          </w:tcPr>
          <w:p w14:paraId="6D700DA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切割机</w:t>
            </w:r>
          </w:p>
        </w:tc>
        <w:tc>
          <w:tcPr>
            <w:tcW w:w="2232" w:type="dxa"/>
            <w:vAlign w:val="center"/>
          </w:tcPr>
          <w:p w14:paraId="7EC7FD2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95</w:t>
            </w:r>
          </w:p>
        </w:tc>
      </w:tr>
    </w:tbl>
    <w:p w14:paraId="0C9ECC35" w14:textId="77777777" w:rsidR="007D1E74" w:rsidRDefault="00A95641">
      <w:pPr>
        <w:spacing w:line="360" w:lineRule="auto"/>
        <w:ind w:firstLineChars="200" w:firstLine="482"/>
        <w:rPr>
          <w:b/>
          <w:bCs/>
          <w:sz w:val="24"/>
        </w:rPr>
      </w:pPr>
      <w:r>
        <w:rPr>
          <w:b/>
          <w:bCs/>
          <w:sz w:val="24"/>
        </w:rPr>
        <w:t>2</w:t>
      </w:r>
      <w:r>
        <w:rPr>
          <w:b/>
          <w:bCs/>
          <w:sz w:val="24"/>
        </w:rPr>
        <w:t>、拟采取减轻不利环境影响措施</w:t>
      </w:r>
    </w:p>
    <w:p w14:paraId="430CD3D6" w14:textId="77777777" w:rsidR="007D1E74" w:rsidRDefault="00A95641">
      <w:pPr>
        <w:spacing w:line="360" w:lineRule="auto"/>
        <w:ind w:firstLineChars="200" w:firstLine="480"/>
        <w:rPr>
          <w:sz w:val="24"/>
        </w:rPr>
      </w:pPr>
      <w:r>
        <w:rPr>
          <w:sz w:val="24"/>
        </w:rPr>
        <w:t>项目部分管段周边分布有声环境敏感点，施工噪声将对这些敏感点产生不同程度的影响，夜间影响尤为明显，因此，必须严格采取措施，最大限度地降低施工噪声对环境保护目标的影响。</w:t>
      </w:r>
      <w:r>
        <w:rPr>
          <w:b/>
          <w:bCs/>
          <w:sz w:val="24"/>
        </w:rPr>
        <w:t>环评要求提出以下噪声污染防治措施：</w:t>
      </w:r>
    </w:p>
    <w:p w14:paraId="5E2796A0" w14:textId="77777777" w:rsidR="007D1E74" w:rsidRDefault="00A95641">
      <w:pPr>
        <w:spacing w:line="360" w:lineRule="auto"/>
        <w:ind w:firstLineChars="200" w:firstLine="480"/>
        <w:rPr>
          <w:sz w:val="24"/>
        </w:rPr>
      </w:pPr>
      <w:r>
        <w:rPr>
          <w:rFonts w:ascii="宋体" w:hAnsi="宋体" w:cs="宋体" w:hint="eastAsia"/>
          <w:sz w:val="24"/>
        </w:rPr>
        <w:t>①</w:t>
      </w:r>
      <w:r>
        <w:rPr>
          <w:sz w:val="24"/>
        </w:rPr>
        <w:t>合理布局施工现场，在居民点附近施工时采取临时的消声围护结构或临时隔声屏障；</w:t>
      </w:r>
    </w:p>
    <w:p w14:paraId="2FCA68D2" w14:textId="77777777" w:rsidR="007D1E74" w:rsidRDefault="00A95641">
      <w:pPr>
        <w:spacing w:line="360" w:lineRule="auto"/>
        <w:ind w:firstLineChars="200" w:firstLine="480"/>
        <w:rPr>
          <w:sz w:val="24"/>
        </w:rPr>
      </w:pPr>
      <w:r>
        <w:rPr>
          <w:rFonts w:ascii="宋体" w:hAnsi="宋体" w:cs="宋体" w:hint="eastAsia"/>
          <w:sz w:val="24"/>
        </w:rPr>
        <w:t>②</w:t>
      </w:r>
      <w:r>
        <w:rPr>
          <w:sz w:val="24"/>
        </w:rPr>
        <w:t>合理安排施工运输车辆的行走路线和行走时间，车辆运行线路尽量避开居民区；</w:t>
      </w:r>
    </w:p>
    <w:p w14:paraId="0323FAF6" w14:textId="77777777" w:rsidR="007D1E74" w:rsidRDefault="00A95641">
      <w:pPr>
        <w:spacing w:line="360" w:lineRule="auto"/>
        <w:ind w:firstLineChars="200" w:firstLine="480"/>
        <w:rPr>
          <w:sz w:val="24"/>
        </w:rPr>
      </w:pPr>
      <w:r>
        <w:rPr>
          <w:rFonts w:ascii="宋体" w:hAnsi="宋体" w:cs="宋体" w:hint="eastAsia"/>
          <w:sz w:val="24"/>
        </w:rPr>
        <w:t>③</w:t>
      </w:r>
      <w:r>
        <w:rPr>
          <w:sz w:val="24"/>
        </w:rPr>
        <w:t>尽量采用低噪声机械，工程施工所用的施工机械设备应事先对其常规工作状态下的噪声进行测量，超过国家标准的机械应禁止入场施工。施工过程中还应经常对设备进行维修保养，避免由于设备性能差而使噪声增加的现象发生；</w:t>
      </w:r>
    </w:p>
    <w:p w14:paraId="165F6B76" w14:textId="77777777" w:rsidR="007D1E74" w:rsidRDefault="00A95641">
      <w:pPr>
        <w:spacing w:line="360" w:lineRule="auto"/>
        <w:ind w:firstLineChars="200" w:firstLine="480"/>
        <w:rPr>
          <w:sz w:val="24"/>
        </w:rPr>
      </w:pPr>
      <w:r>
        <w:rPr>
          <w:rFonts w:ascii="宋体" w:hAnsi="宋体" w:cs="宋体" w:hint="eastAsia"/>
          <w:sz w:val="24"/>
        </w:rPr>
        <w:t>④</w:t>
      </w:r>
      <w:r>
        <w:rPr>
          <w:sz w:val="24"/>
        </w:rPr>
        <w:t>施工单位通过文明施工、加强有效管理缓解人为因素造成的噪声强度升高。施工方应该合理有效的制定施工计划，提高工作效率，把施工时间控制在最短范围内，并提前发布公告，最大限度的争取民众支持；</w:t>
      </w:r>
    </w:p>
    <w:p w14:paraId="65AA5B45" w14:textId="77777777" w:rsidR="007D1E74" w:rsidRDefault="00A95641">
      <w:pPr>
        <w:spacing w:line="360" w:lineRule="auto"/>
        <w:ind w:firstLineChars="200" w:firstLine="480"/>
        <w:rPr>
          <w:sz w:val="24"/>
        </w:rPr>
      </w:pPr>
      <w:r>
        <w:rPr>
          <w:rFonts w:ascii="宋体" w:hAnsi="宋体" w:cs="宋体" w:hint="eastAsia"/>
          <w:sz w:val="24"/>
        </w:rPr>
        <w:t>⑤</w:t>
      </w:r>
      <w:r>
        <w:rPr>
          <w:sz w:val="24"/>
        </w:rPr>
        <w:t>施工单位要加强对施工人员的教育，提高作业人员的环保意识，坚持科学组织、文明施工；</w:t>
      </w:r>
    </w:p>
    <w:p w14:paraId="537C48E5" w14:textId="77777777" w:rsidR="007D1E74" w:rsidRDefault="00A95641">
      <w:pPr>
        <w:spacing w:line="360" w:lineRule="auto"/>
        <w:ind w:firstLineChars="200" w:firstLine="480"/>
        <w:rPr>
          <w:sz w:val="24"/>
        </w:rPr>
      </w:pPr>
      <w:r>
        <w:rPr>
          <w:rFonts w:ascii="宋体" w:hAnsi="宋体" w:cs="宋体" w:hint="eastAsia"/>
          <w:sz w:val="24"/>
        </w:rPr>
        <w:t>⑥</w:t>
      </w:r>
      <w:r>
        <w:rPr>
          <w:sz w:val="24"/>
        </w:rPr>
        <w:t>合理安排施工作业时间，严格控制各种强噪声施工机械的作业时间。除抢修、抢险作业和因生产工艺上要求或者特殊要求必须连续作业外，禁止夜间（</w:t>
      </w:r>
      <w:r>
        <w:rPr>
          <w:sz w:val="24"/>
        </w:rPr>
        <w:t>22</w:t>
      </w:r>
      <w:r>
        <w:rPr>
          <w:sz w:val="24"/>
        </w:rPr>
        <w:t>：</w:t>
      </w:r>
      <w:r>
        <w:rPr>
          <w:sz w:val="24"/>
        </w:rPr>
        <w:t>00</w:t>
      </w:r>
      <w:r>
        <w:rPr>
          <w:sz w:val="24"/>
        </w:rPr>
        <w:t>～</w:t>
      </w:r>
      <w:r>
        <w:rPr>
          <w:sz w:val="24"/>
        </w:rPr>
        <w:t>06:00</w:t>
      </w:r>
      <w:r>
        <w:rPr>
          <w:sz w:val="24"/>
        </w:rPr>
        <w:t>）进行产生环境噪声污染的建筑施工作业，</w:t>
      </w:r>
      <w:r>
        <w:rPr>
          <w:sz w:val="24"/>
        </w:rPr>
        <w:t>“</w:t>
      </w:r>
      <w:r>
        <w:rPr>
          <w:sz w:val="24"/>
        </w:rPr>
        <w:t>因特殊要求必须连续作业的，必须有县级以上人民政府或者有关主管部门的证明</w:t>
      </w:r>
      <w:r>
        <w:rPr>
          <w:sz w:val="24"/>
        </w:rPr>
        <w:t>”</w:t>
      </w:r>
      <w:r>
        <w:rPr>
          <w:sz w:val="24"/>
        </w:rPr>
        <w:t>，并公告附近居民。</w:t>
      </w:r>
    </w:p>
    <w:p w14:paraId="6205696F" w14:textId="77777777" w:rsidR="007D1E74" w:rsidRDefault="00A95641">
      <w:pPr>
        <w:spacing w:line="360" w:lineRule="auto"/>
        <w:ind w:firstLineChars="200" w:firstLine="480"/>
        <w:rPr>
          <w:sz w:val="24"/>
        </w:rPr>
      </w:pPr>
      <w:r>
        <w:rPr>
          <w:rFonts w:ascii="宋体" w:hAnsi="宋体" w:cs="宋体" w:hint="eastAsia"/>
          <w:sz w:val="24"/>
        </w:rPr>
        <w:t>⑦</w:t>
      </w:r>
      <w:r>
        <w:rPr>
          <w:b/>
          <w:bCs/>
          <w:sz w:val="24"/>
        </w:rPr>
        <w:t>根据《关于宣传贯彻《中华人民共和国噪声污染防治法》的通知》</w:t>
      </w:r>
      <w:r>
        <w:rPr>
          <w:b/>
          <w:bCs/>
          <w:sz w:val="24"/>
        </w:rPr>
        <w:t xml:space="preserve"> (</w:t>
      </w:r>
      <w:r>
        <w:rPr>
          <w:b/>
          <w:bCs/>
          <w:sz w:val="24"/>
        </w:rPr>
        <w:t>环法规</w:t>
      </w:r>
      <w:r>
        <w:rPr>
          <w:b/>
          <w:bCs/>
          <w:sz w:val="24"/>
        </w:rPr>
        <w:t>[2022]13</w:t>
      </w:r>
      <w:r>
        <w:rPr>
          <w:b/>
          <w:bCs/>
          <w:sz w:val="24"/>
        </w:rPr>
        <w:t>号</w:t>
      </w:r>
      <w:r>
        <w:rPr>
          <w:b/>
          <w:bCs/>
          <w:sz w:val="24"/>
        </w:rPr>
        <w:t>)</w:t>
      </w:r>
      <w:r>
        <w:rPr>
          <w:b/>
          <w:bCs/>
          <w:sz w:val="24"/>
        </w:rPr>
        <w:t>的规定，对建筑施工噪声，要求在噪声敏感建筑集中区域施工的优先使用低噪声施工工艺和设备，并实施噪声自动监测；</w:t>
      </w:r>
    </w:p>
    <w:p w14:paraId="04AAA4EA" w14:textId="77777777" w:rsidR="007D1E74" w:rsidRDefault="00A95641">
      <w:pPr>
        <w:spacing w:line="360" w:lineRule="auto"/>
        <w:ind w:firstLineChars="200" w:firstLine="480"/>
        <w:rPr>
          <w:sz w:val="24"/>
        </w:rPr>
      </w:pPr>
      <w:r>
        <w:rPr>
          <w:rFonts w:ascii="宋体" w:hAnsi="宋体" w:cs="宋体" w:hint="eastAsia"/>
          <w:sz w:val="24"/>
        </w:rPr>
        <w:t>⑧</w:t>
      </w:r>
      <w:r>
        <w:rPr>
          <w:sz w:val="24"/>
        </w:rPr>
        <w:t>项目在清管试压过程中会使用空压机，鉴于空压机产生噪声较大，项目试压点分布较多，试压时间较短的特点，环评要求，项目应将试压点设置在远离居民点等敏感区域的地方，合理安排试压时间，使噪声经过衰减后不会对居民点造成影响。</w:t>
      </w:r>
    </w:p>
    <w:p w14:paraId="21855377" w14:textId="77777777" w:rsidR="007D1E74" w:rsidRDefault="00A95641">
      <w:pPr>
        <w:spacing w:line="360" w:lineRule="auto"/>
        <w:ind w:firstLineChars="200" w:firstLine="480"/>
        <w:rPr>
          <w:sz w:val="24"/>
        </w:rPr>
      </w:pPr>
      <w:r>
        <w:rPr>
          <w:sz w:val="24"/>
        </w:rPr>
        <w:t>本项目在同一现场施工的时间较短，约</w:t>
      </w:r>
      <w:r>
        <w:rPr>
          <w:sz w:val="24"/>
        </w:rPr>
        <w:t>3-5</w:t>
      </w:r>
      <w:r>
        <w:rPr>
          <w:sz w:val="24"/>
        </w:rPr>
        <w:t>天左右，施工噪声在进行以上防治措施后，对声环境影响较小。</w:t>
      </w:r>
    </w:p>
    <w:p w14:paraId="12DFC763" w14:textId="77777777" w:rsidR="007D1E74" w:rsidRDefault="00A95641">
      <w:pPr>
        <w:spacing w:line="360" w:lineRule="auto"/>
        <w:ind w:firstLineChars="200" w:firstLine="482"/>
        <w:rPr>
          <w:b/>
          <w:bCs/>
          <w:sz w:val="24"/>
        </w:rPr>
      </w:pPr>
      <w:r>
        <w:rPr>
          <w:b/>
          <w:bCs/>
          <w:sz w:val="24"/>
        </w:rPr>
        <w:lastRenderedPageBreak/>
        <w:t>3.2.1.3.4</w:t>
      </w:r>
      <w:r>
        <w:rPr>
          <w:b/>
          <w:bCs/>
          <w:sz w:val="24"/>
        </w:rPr>
        <w:t>施工期固体废物分析</w:t>
      </w:r>
    </w:p>
    <w:p w14:paraId="2DF0DB8F" w14:textId="77777777" w:rsidR="007D1E74" w:rsidRDefault="00A95641">
      <w:pPr>
        <w:spacing w:line="360" w:lineRule="auto"/>
        <w:ind w:firstLineChars="200" w:firstLine="480"/>
        <w:rPr>
          <w:sz w:val="24"/>
        </w:rPr>
      </w:pPr>
      <w:r>
        <w:rPr>
          <w:sz w:val="24"/>
        </w:rPr>
        <w:t>项目施工过程中产生的固体废物主要为生活垃圾、施工废料、废弃土石方等。</w:t>
      </w:r>
    </w:p>
    <w:p w14:paraId="0C23D871" w14:textId="77777777" w:rsidR="007D1E74" w:rsidRDefault="00A95641">
      <w:pPr>
        <w:spacing w:line="360" w:lineRule="auto"/>
        <w:ind w:firstLineChars="200" w:firstLine="482"/>
        <w:rPr>
          <w:b/>
          <w:bCs/>
          <w:sz w:val="24"/>
        </w:rPr>
      </w:pPr>
      <w:r>
        <w:rPr>
          <w:b/>
          <w:bCs/>
          <w:sz w:val="24"/>
        </w:rPr>
        <w:t>1</w:t>
      </w:r>
      <w:r>
        <w:rPr>
          <w:b/>
          <w:bCs/>
          <w:sz w:val="24"/>
        </w:rPr>
        <w:t>、生活垃圾</w:t>
      </w:r>
    </w:p>
    <w:p w14:paraId="56331235" w14:textId="77777777" w:rsidR="007D1E74" w:rsidRDefault="00A95641">
      <w:pPr>
        <w:spacing w:line="360" w:lineRule="auto"/>
        <w:ind w:firstLineChars="200" w:firstLine="480"/>
        <w:rPr>
          <w:sz w:val="24"/>
        </w:rPr>
      </w:pPr>
      <w:r>
        <w:rPr>
          <w:sz w:val="24"/>
        </w:rPr>
        <w:t>根据类比调查，一般地段管道施工生活垃圾产生量为</w:t>
      </w:r>
      <w:r>
        <w:rPr>
          <w:sz w:val="24"/>
        </w:rPr>
        <w:t>0.35t/km</w:t>
      </w:r>
      <w:r>
        <w:rPr>
          <w:sz w:val="24"/>
        </w:rPr>
        <w:t>。则本项目施工期施工人员产生的生活垃圾约为</w:t>
      </w:r>
      <w:r>
        <w:rPr>
          <w:sz w:val="24"/>
        </w:rPr>
        <w:t>13.23t</w:t>
      </w:r>
      <w:r>
        <w:rPr>
          <w:sz w:val="24"/>
        </w:rPr>
        <w:t>。</w:t>
      </w:r>
    </w:p>
    <w:p w14:paraId="004E6D13" w14:textId="77777777" w:rsidR="007D1E74" w:rsidRDefault="00A95641">
      <w:pPr>
        <w:spacing w:line="360" w:lineRule="auto"/>
        <w:ind w:firstLineChars="200" w:firstLine="480"/>
        <w:rPr>
          <w:sz w:val="24"/>
        </w:rPr>
      </w:pPr>
      <w:r>
        <w:rPr>
          <w:sz w:val="24"/>
        </w:rPr>
        <w:t>施工生活垃圾应袋装收集，并集中收入项目垃圾桶内，依托当地环卫部门处置，纳入城市垃圾清运系统。</w:t>
      </w:r>
    </w:p>
    <w:p w14:paraId="5BBB2201" w14:textId="77777777" w:rsidR="007D1E74" w:rsidRDefault="00A95641">
      <w:pPr>
        <w:spacing w:line="360" w:lineRule="auto"/>
        <w:ind w:firstLineChars="200" w:firstLine="482"/>
        <w:rPr>
          <w:b/>
          <w:bCs/>
          <w:sz w:val="24"/>
        </w:rPr>
      </w:pPr>
      <w:r>
        <w:rPr>
          <w:b/>
          <w:bCs/>
          <w:sz w:val="24"/>
        </w:rPr>
        <w:t>（</w:t>
      </w:r>
      <w:r>
        <w:rPr>
          <w:b/>
          <w:bCs/>
          <w:sz w:val="24"/>
        </w:rPr>
        <w:t>2</w:t>
      </w:r>
      <w:r>
        <w:rPr>
          <w:b/>
          <w:bCs/>
          <w:sz w:val="24"/>
        </w:rPr>
        <w:t>）施工废料</w:t>
      </w:r>
    </w:p>
    <w:p w14:paraId="351471BB" w14:textId="77777777" w:rsidR="007D1E74" w:rsidRDefault="00A95641">
      <w:pPr>
        <w:spacing w:line="360" w:lineRule="auto"/>
        <w:ind w:firstLineChars="200" w:firstLine="480"/>
        <w:rPr>
          <w:sz w:val="24"/>
        </w:rPr>
      </w:pPr>
      <w:r>
        <w:rPr>
          <w:sz w:val="24"/>
        </w:rPr>
        <w:t>施工废料主要包括焊接作业中产生废焊条、防腐作业中产生的废防腐材料及施工过程及穿越乡道大开挖过程产生的废混凝土等。根据类比调查，施工废料的产生量按</w:t>
      </w:r>
      <w:r>
        <w:rPr>
          <w:sz w:val="24"/>
        </w:rPr>
        <w:t>0.2t/km</w:t>
      </w:r>
      <w:r>
        <w:rPr>
          <w:sz w:val="24"/>
        </w:rPr>
        <w:t>估算，本项目施工过程产生的施工废料量约为</w:t>
      </w:r>
      <w:r>
        <w:rPr>
          <w:sz w:val="24"/>
        </w:rPr>
        <w:t>7.56t</w:t>
      </w:r>
      <w:r>
        <w:rPr>
          <w:sz w:val="24"/>
        </w:rPr>
        <w:t>。施工废料部分可回收利用，</w:t>
      </w:r>
      <w:r>
        <w:rPr>
          <w:sz w:val="24"/>
        </w:rPr>
        <w:t xml:space="preserve"> </w:t>
      </w:r>
      <w:r>
        <w:rPr>
          <w:sz w:val="24"/>
        </w:rPr>
        <w:t>可回收的部分全部由废品收购方回收处理，剩余废料依托当地环卫部门有偿清运，纳入城市垃圾清运系统。</w:t>
      </w:r>
    </w:p>
    <w:p w14:paraId="6C5BF457" w14:textId="77777777" w:rsidR="007D1E74" w:rsidRDefault="00A95641">
      <w:pPr>
        <w:spacing w:line="360" w:lineRule="auto"/>
        <w:ind w:firstLineChars="200" w:firstLine="482"/>
        <w:rPr>
          <w:b/>
          <w:bCs/>
          <w:sz w:val="24"/>
        </w:rPr>
      </w:pPr>
      <w:r>
        <w:rPr>
          <w:b/>
          <w:bCs/>
          <w:sz w:val="24"/>
        </w:rPr>
        <w:t>（</w:t>
      </w:r>
      <w:r>
        <w:rPr>
          <w:b/>
          <w:bCs/>
          <w:sz w:val="24"/>
        </w:rPr>
        <w:t>3</w:t>
      </w:r>
      <w:r>
        <w:rPr>
          <w:b/>
          <w:bCs/>
          <w:sz w:val="24"/>
        </w:rPr>
        <w:t>）工程废弃土石方</w:t>
      </w:r>
    </w:p>
    <w:p w14:paraId="1EB98C8B" w14:textId="77777777" w:rsidR="007D1E74" w:rsidRDefault="00A95641">
      <w:pPr>
        <w:spacing w:line="360" w:lineRule="auto"/>
        <w:ind w:firstLineChars="200" w:firstLine="480"/>
        <w:rPr>
          <w:sz w:val="24"/>
        </w:rPr>
      </w:pPr>
      <w:r>
        <w:rPr>
          <w:sz w:val="24"/>
        </w:rPr>
        <w:t>本项目土石方经平衡分析，土石方开挖总量</w:t>
      </w:r>
      <w:r>
        <w:rPr>
          <w:sz w:val="24"/>
        </w:rPr>
        <w:t>117026m</w:t>
      </w:r>
      <w:r>
        <w:rPr>
          <w:sz w:val="24"/>
          <w:vertAlign w:val="superscript"/>
        </w:rPr>
        <w:t>3</w:t>
      </w:r>
      <w:r>
        <w:rPr>
          <w:sz w:val="24"/>
        </w:rPr>
        <w:t>，本工程为天然气开采站场间的集输管线，工程土石方主要来源于管沟开挖、穿越工程等。本项目土石方结合段管沟敷设情况见下图：</w:t>
      </w:r>
    </w:p>
    <w:p w14:paraId="4F51695E" w14:textId="77777777" w:rsidR="007D1E74" w:rsidRDefault="00A95641">
      <w:pPr>
        <w:spacing w:line="360" w:lineRule="auto"/>
        <w:jc w:val="center"/>
        <w:rPr>
          <w:sz w:val="20"/>
        </w:rPr>
      </w:pPr>
      <w:r>
        <w:rPr>
          <w:noProof/>
          <w:sz w:val="20"/>
        </w:rPr>
        <w:drawing>
          <wp:inline distT="0" distB="0" distL="0" distR="0" wp14:anchorId="1FAB9133" wp14:editId="13EE1258">
            <wp:extent cx="3613785" cy="3258185"/>
            <wp:effectExtent l="0" t="0" r="13335" b="3175"/>
            <wp:docPr id="19" name="image48.jpeg" descr="C:/Users/Administrator/AppData/Local/Temp/picturecompress_20210816174539/output_8.jpgoutput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48.jpeg" descr="C:/Users/Administrator/AppData/Local/Temp/picturecompress_20210816174539/output_8.jpgoutput_8"/>
                    <pic:cNvPicPr>
                      <a:picLocks noChangeAspect="1"/>
                    </pic:cNvPicPr>
                  </pic:nvPicPr>
                  <pic:blipFill>
                    <a:blip r:embed="rId97"/>
                    <a:stretch>
                      <a:fillRect/>
                    </a:stretch>
                  </pic:blipFill>
                  <pic:spPr>
                    <a:xfrm>
                      <a:off x="0" y="0"/>
                      <a:ext cx="3613785" cy="3258185"/>
                    </a:xfrm>
                    <a:prstGeom prst="rect">
                      <a:avLst/>
                    </a:prstGeom>
                  </pic:spPr>
                </pic:pic>
              </a:graphicData>
            </a:graphic>
          </wp:inline>
        </w:drawing>
      </w:r>
    </w:p>
    <w:p w14:paraId="01440FD2" w14:textId="77777777" w:rsidR="007D1E74" w:rsidRDefault="00A95641">
      <w:pPr>
        <w:spacing w:line="360" w:lineRule="auto"/>
        <w:ind w:firstLineChars="200" w:firstLine="422"/>
        <w:jc w:val="center"/>
        <w:rPr>
          <w:b/>
        </w:rPr>
      </w:pPr>
      <w:r>
        <w:rPr>
          <w:b/>
        </w:rPr>
        <w:t>图</w:t>
      </w:r>
      <w:r>
        <w:rPr>
          <w:b/>
          <w:spacing w:val="1"/>
        </w:rPr>
        <w:t xml:space="preserve"> </w:t>
      </w:r>
      <w:r>
        <w:rPr>
          <w:b/>
        </w:rPr>
        <w:t xml:space="preserve">3.2-9 </w:t>
      </w:r>
      <w:r>
        <w:rPr>
          <w:b/>
        </w:rPr>
        <w:tab/>
      </w:r>
      <w:r>
        <w:rPr>
          <w:b/>
        </w:rPr>
        <w:t>土石方结合段</w:t>
      </w:r>
      <w:r>
        <w:rPr>
          <w:b/>
          <w:spacing w:val="-3"/>
        </w:rPr>
        <w:t>管</w:t>
      </w:r>
      <w:r>
        <w:rPr>
          <w:b/>
        </w:rPr>
        <w:t>沟敷设典型图</w:t>
      </w:r>
    </w:p>
    <w:p w14:paraId="2B1FA882" w14:textId="77777777" w:rsidR="007D1E74" w:rsidRDefault="00A95641">
      <w:pPr>
        <w:spacing w:line="360" w:lineRule="auto"/>
        <w:ind w:firstLineChars="200" w:firstLine="480"/>
        <w:rPr>
          <w:sz w:val="24"/>
        </w:rPr>
      </w:pPr>
      <w:r>
        <w:rPr>
          <w:sz w:val="24"/>
        </w:rPr>
        <w:lastRenderedPageBreak/>
        <w:t>根据《输气管道工程设计规范》（</w:t>
      </w:r>
      <w:r>
        <w:rPr>
          <w:sz w:val="24"/>
        </w:rPr>
        <w:t>GB50251-2003</w:t>
      </w:r>
      <w:r>
        <w:rPr>
          <w:sz w:val="24"/>
        </w:rPr>
        <w:t>）的规定，天然气管道工程回填高度应高于原地表</w:t>
      </w:r>
      <w:r>
        <w:rPr>
          <w:sz w:val="24"/>
        </w:rPr>
        <w:t>300mm</w:t>
      </w:r>
      <w:r>
        <w:rPr>
          <w:sz w:val="24"/>
        </w:rPr>
        <w:t>，见上图，以便让地表土进行自然沉降从而确保天然气管道的埋深及输送安全。根据此规定，天然气管道在埋设于地下所占有的回填空间则有了弥补，</w:t>
      </w:r>
      <w:r>
        <w:rPr>
          <w:sz w:val="24"/>
        </w:rPr>
        <w:t xml:space="preserve"> </w:t>
      </w:r>
      <w:r>
        <w:rPr>
          <w:sz w:val="24"/>
        </w:rPr>
        <w:t>故可以实现线路管道的土石方挖填基本平衡。石方大部分回填，较大块石二次利用于线路构筑物，作干砌块石挡墙或护坡；多余土方为表层耕作土，均匀分布在管道两侧，项目不设置弃渣场。</w:t>
      </w:r>
    </w:p>
    <w:p w14:paraId="78904610" w14:textId="77777777" w:rsidR="007D1E74" w:rsidRDefault="00A95641">
      <w:pPr>
        <w:spacing w:line="360" w:lineRule="auto"/>
        <w:ind w:firstLineChars="200" w:firstLine="482"/>
        <w:rPr>
          <w:b/>
          <w:bCs/>
          <w:sz w:val="24"/>
        </w:rPr>
      </w:pPr>
      <w:r>
        <w:rPr>
          <w:b/>
          <w:bCs/>
          <w:sz w:val="24"/>
        </w:rPr>
        <w:t>（</w:t>
      </w:r>
      <w:r>
        <w:rPr>
          <w:b/>
          <w:bCs/>
          <w:sz w:val="24"/>
        </w:rPr>
        <w:t>4</w:t>
      </w:r>
      <w:r>
        <w:rPr>
          <w:b/>
          <w:bCs/>
          <w:sz w:val="24"/>
        </w:rPr>
        <w:t>）定向钻泥浆</w:t>
      </w:r>
    </w:p>
    <w:p w14:paraId="51DCBA0D" w14:textId="77777777" w:rsidR="007D1E74" w:rsidRDefault="00A95641">
      <w:pPr>
        <w:pStyle w:val="affffff6"/>
        <w:ind w:firstLine="480"/>
        <w:rPr>
          <w:rFonts w:ascii="Times New Roman" w:hAnsi="Times New Roman" w:cs="Times New Roman"/>
        </w:rPr>
      </w:pPr>
      <w:r>
        <w:rPr>
          <w:rFonts w:ascii="Times New Roman" w:hAnsi="Times New Roman" w:cs="Times New Roman"/>
        </w:rPr>
        <w:t>项目定向钻施工过程中会产生泥浆约</w:t>
      </w:r>
      <w:r>
        <w:rPr>
          <w:rFonts w:ascii="Times New Roman" w:hAnsi="Times New Roman" w:cs="Times New Roman"/>
        </w:rPr>
        <w:t>240m</w:t>
      </w:r>
      <w:r>
        <w:rPr>
          <w:rFonts w:ascii="Times New Roman" w:hAnsi="Times New Roman" w:cs="Times New Roman"/>
          <w:vertAlign w:val="superscript"/>
        </w:rPr>
        <w:t>3</w:t>
      </w:r>
      <w:r>
        <w:rPr>
          <w:rFonts w:ascii="Times New Roman" w:hAnsi="Times New Roman" w:cs="Times New Roman"/>
        </w:rPr>
        <w:t>，泥浆的主要由水、膨润土、添加剂等组成。本工程定向钻穿越要求泥浆为环保泥浆。泥浆基本功能包括：抑制粘土和岩石、悬浮固体钻屑、稳定钻孔、控制失水、减少</w:t>
      </w:r>
      <w:r>
        <w:rPr>
          <w:rFonts w:ascii="Times New Roman" w:hAnsi="Times New Roman" w:cs="Times New Roman"/>
        </w:rPr>
        <w:t>“</w:t>
      </w:r>
      <w:r>
        <w:rPr>
          <w:rFonts w:ascii="Times New Roman" w:hAnsi="Times New Roman" w:cs="Times New Roman"/>
        </w:rPr>
        <w:t>糊钻</w:t>
      </w:r>
      <w:r>
        <w:rPr>
          <w:rFonts w:ascii="Times New Roman" w:hAnsi="Times New Roman" w:cs="Times New Roman"/>
        </w:rPr>
        <w:t>”</w:t>
      </w:r>
      <w:r>
        <w:rPr>
          <w:rFonts w:ascii="Times New Roman" w:hAnsi="Times New Roman" w:cs="Times New Roman"/>
        </w:rPr>
        <w:t>、减小旋转扭矩降低钻杆的摩擦、提高钻机性能和寿命。</w:t>
      </w:r>
    </w:p>
    <w:p w14:paraId="1BDA6C0D" w14:textId="77777777" w:rsidR="007D1E74" w:rsidRDefault="00A95641">
      <w:pPr>
        <w:pStyle w:val="affffff6"/>
        <w:ind w:firstLine="480"/>
        <w:rPr>
          <w:rFonts w:ascii="Times New Roman" w:hAnsi="Times New Roman" w:cs="Times New Roman"/>
        </w:rPr>
      </w:pPr>
      <w:r>
        <w:rPr>
          <w:rFonts w:ascii="Times New Roman" w:hAnsi="Times New Roman" w:cs="Times New Roman"/>
        </w:rPr>
        <w:t>本次泥浆使用淡水泥浆体系，钻机场地和管线组装场地各有一个泥浆收集池，泥浆通过泥浆池收集，再经过泥浆回收系统回收再使用。</w:t>
      </w:r>
    </w:p>
    <w:p w14:paraId="256FF4B5" w14:textId="77777777" w:rsidR="007D1E74" w:rsidRDefault="00A95641">
      <w:pPr>
        <w:pStyle w:val="affffff6"/>
        <w:ind w:firstLine="480"/>
        <w:rPr>
          <w:rFonts w:ascii="Times New Roman" w:hAnsi="Times New Roman" w:cs="Times New Roman"/>
        </w:rPr>
      </w:pPr>
      <w:r>
        <w:rPr>
          <w:rFonts w:ascii="Times New Roman" w:hAnsi="Times New Roman" w:cs="Times New Roman"/>
        </w:rPr>
        <w:t>根据施工设计，施工完毕待设备全部撤离后，将泥浆池中的剩余泥浆用专用的泥浆罐车拉运到当</w:t>
      </w:r>
    </w:p>
    <w:p w14:paraId="530B9041" w14:textId="77777777" w:rsidR="007D1E74" w:rsidRDefault="00A95641">
      <w:pPr>
        <w:pStyle w:val="affffff6"/>
        <w:ind w:firstLineChars="0" w:firstLine="0"/>
        <w:rPr>
          <w:rFonts w:ascii="Times New Roman" w:hAnsi="Times New Roman" w:cs="Times New Roman"/>
        </w:rPr>
      </w:pPr>
      <w:r>
        <w:rPr>
          <w:rFonts w:ascii="Times New Roman" w:hAnsi="Times New Roman" w:cs="Times New Roman"/>
        </w:rPr>
        <w:t>地环境保护部门指定的泥浆填埋场。</w:t>
      </w:r>
    </w:p>
    <w:p w14:paraId="7DA9F8E8" w14:textId="77777777" w:rsidR="007D1E74" w:rsidRDefault="00A95641">
      <w:pPr>
        <w:spacing w:line="360" w:lineRule="auto"/>
        <w:ind w:firstLineChars="200" w:firstLine="482"/>
        <w:rPr>
          <w:b/>
          <w:bCs/>
          <w:sz w:val="24"/>
        </w:rPr>
      </w:pPr>
      <w:r>
        <w:rPr>
          <w:b/>
          <w:bCs/>
          <w:sz w:val="24"/>
        </w:rPr>
        <w:t>3.3.1.3.5</w:t>
      </w:r>
      <w:r>
        <w:rPr>
          <w:b/>
          <w:bCs/>
          <w:sz w:val="24"/>
        </w:rPr>
        <w:t>生态影响</w:t>
      </w:r>
    </w:p>
    <w:p w14:paraId="7CBEE0AD" w14:textId="77777777" w:rsidR="007D1E74" w:rsidRDefault="00A95641">
      <w:pPr>
        <w:spacing w:line="360" w:lineRule="auto"/>
        <w:ind w:firstLineChars="200" w:firstLine="480"/>
        <w:rPr>
          <w:sz w:val="24"/>
        </w:rPr>
      </w:pPr>
      <w:r>
        <w:rPr>
          <w:sz w:val="24"/>
        </w:rPr>
        <w:t>本工程对生态环境的影响主要表现为开挖管沟、敷设管道、修筑施工道路、临时材料堆场堆放钢管、停放车辆等工程活动占用土地导致临时改变土地利用性质、对地表植被的破坏、对土壤环境的破坏等，即打破了地表的原有平衡状态。若恢复治理措施不当，</w:t>
      </w:r>
      <w:r>
        <w:rPr>
          <w:sz w:val="24"/>
        </w:rPr>
        <w:t xml:space="preserve"> </w:t>
      </w:r>
      <w:r>
        <w:rPr>
          <w:sz w:val="24"/>
        </w:rPr>
        <w:t>土壤的每一个新剖面，每条新车印都可能形成新的侵蚀起点，从而加重当地的水土流失，</w:t>
      </w:r>
      <w:r>
        <w:rPr>
          <w:sz w:val="24"/>
        </w:rPr>
        <w:t xml:space="preserve"> </w:t>
      </w:r>
      <w:r>
        <w:rPr>
          <w:sz w:val="24"/>
        </w:rPr>
        <w:t>并影响农业生产，使当地农民的收入受到一定的损失。</w:t>
      </w:r>
    </w:p>
    <w:p w14:paraId="41BE4B8D" w14:textId="77777777" w:rsidR="007D1E74" w:rsidRDefault="00A95641">
      <w:pPr>
        <w:spacing w:line="360" w:lineRule="auto"/>
        <w:outlineLvl w:val="2"/>
        <w:rPr>
          <w:b/>
          <w:sz w:val="28"/>
          <w:szCs w:val="28"/>
        </w:rPr>
      </w:pPr>
      <w:r>
        <w:rPr>
          <w:b/>
          <w:sz w:val="28"/>
          <w:szCs w:val="28"/>
        </w:rPr>
        <w:t>3.2.2</w:t>
      </w:r>
      <w:r>
        <w:rPr>
          <w:b/>
          <w:sz w:val="28"/>
          <w:szCs w:val="28"/>
        </w:rPr>
        <w:t>运营期工程分析</w:t>
      </w:r>
    </w:p>
    <w:p w14:paraId="3C65400E" w14:textId="77777777" w:rsidR="007D1E74" w:rsidRDefault="00A95641">
      <w:pPr>
        <w:pStyle w:val="41"/>
        <w:tabs>
          <w:tab w:val="left" w:pos="860"/>
        </w:tabs>
        <w:spacing w:line="360" w:lineRule="auto"/>
        <w:jc w:val="left"/>
        <w:rPr>
          <w:rFonts w:ascii="Times New Roman" w:hAnsi="Times New Roman"/>
          <w:sz w:val="24"/>
          <w:szCs w:val="24"/>
        </w:rPr>
      </w:pPr>
      <w:r>
        <w:rPr>
          <w:rFonts w:ascii="Times New Roman" w:hAnsi="Times New Roman"/>
          <w:sz w:val="24"/>
          <w:szCs w:val="24"/>
        </w:rPr>
        <w:lastRenderedPageBreak/>
        <w:t>3.2.2.1</w:t>
      </w:r>
      <w:r>
        <w:rPr>
          <w:rFonts w:ascii="Times New Roman" w:hAnsi="Times New Roman"/>
          <w:sz w:val="24"/>
          <w:szCs w:val="24"/>
        </w:rPr>
        <w:t>运营期工艺流程</w:t>
      </w:r>
    </w:p>
    <w:p w14:paraId="13573F24" w14:textId="77777777" w:rsidR="007D1E74" w:rsidRDefault="00A95641">
      <w:pPr>
        <w:spacing w:line="360" w:lineRule="auto"/>
        <w:jc w:val="center"/>
      </w:pPr>
      <w:r>
        <w:object w:dxaOrig="7200" w:dyaOrig="11076" w14:anchorId="2F427204">
          <v:shape id="_x0000_i1026" type="#_x0000_t75" style="width:5in;height:554.25pt" o:ole="">
            <v:imagedata r:id="rId98" o:title=""/>
          </v:shape>
          <o:OLEObject Type="Embed" ProgID="Visio.Drawing.15" ShapeID="_x0000_i1026" DrawAspect="Content" ObjectID="_1710238124" r:id="rId99"/>
        </w:object>
      </w:r>
    </w:p>
    <w:p w14:paraId="151E0AB1" w14:textId="77777777" w:rsidR="007D1E74" w:rsidRDefault="00A95641">
      <w:pPr>
        <w:spacing w:line="360" w:lineRule="auto"/>
        <w:ind w:firstLineChars="200" w:firstLine="422"/>
        <w:jc w:val="center"/>
        <w:rPr>
          <w:b/>
        </w:rPr>
      </w:pPr>
      <w:r>
        <w:rPr>
          <w:b/>
        </w:rPr>
        <w:t>图</w:t>
      </w:r>
      <w:r>
        <w:rPr>
          <w:b/>
          <w:spacing w:val="1"/>
        </w:rPr>
        <w:t xml:space="preserve"> </w:t>
      </w:r>
      <w:r>
        <w:rPr>
          <w:b/>
        </w:rPr>
        <w:t>3.2-10</w:t>
      </w:r>
      <w:r>
        <w:rPr>
          <w:b/>
        </w:rPr>
        <w:tab/>
        <w:t xml:space="preserve"> </w:t>
      </w:r>
      <w:r>
        <w:rPr>
          <w:b/>
        </w:rPr>
        <w:t>运营期工艺流程图</w:t>
      </w:r>
    </w:p>
    <w:p w14:paraId="3C8CEE22" w14:textId="77777777" w:rsidR="007D1E74" w:rsidRDefault="00A95641">
      <w:pPr>
        <w:spacing w:line="360" w:lineRule="auto"/>
        <w:ind w:firstLineChars="200" w:firstLine="480"/>
        <w:rPr>
          <w:sz w:val="24"/>
        </w:rPr>
      </w:pPr>
      <w:r>
        <w:rPr>
          <w:sz w:val="24"/>
        </w:rPr>
        <w:t>本项目无钻井工程，仅为集输管线、阀室、阀组建设。集输工程采用总体部署的</w:t>
      </w:r>
      <w:r>
        <w:rPr>
          <w:sz w:val="24"/>
        </w:rPr>
        <w:t>“</w:t>
      </w:r>
      <w:r>
        <w:rPr>
          <w:sz w:val="24"/>
        </w:rPr>
        <w:t>井下节流、带液计量、串接集气、集中脱水、一级增压</w:t>
      </w:r>
      <w:r>
        <w:rPr>
          <w:sz w:val="24"/>
        </w:rPr>
        <w:t>”</w:t>
      </w:r>
      <w:r>
        <w:rPr>
          <w:sz w:val="24"/>
        </w:rPr>
        <w:t>的天然气集输工艺。</w:t>
      </w:r>
    </w:p>
    <w:p w14:paraId="05987349" w14:textId="77777777" w:rsidR="007D1E74" w:rsidRDefault="00A95641">
      <w:pPr>
        <w:spacing w:line="360" w:lineRule="auto"/>
        <w:ind w:firstLineChars="200" w:firstLine="480"/>
        <w:rPr>
          <w:sz w:val="24"/>
        </w:rPr>
      </w:pPr>
      <w:r>
        <w:rPr>
          <w:sz w:val="24"/>
        </w:rPr>
        <w:t>本项目马</w:t>
      </w:r>
      <w:r>
        <w:rPr>
          <w:sz w:val="24"/>
        </w:rPr>
        <w:t>1-13H</w:t>
      </w:r>
      <w:r>
        <w:rPr>
          <w:sz w:val="24"/>
        </w:rPr>
        <w:t>、马</w:t>
      </w:r>
      <w:r>
        <w:rPr>
          <w:sz w:val="24"/>
        </w:rPr>
        <w:t>1-1</w:t>
      </w:r>
      <w:r>
        <w:rPr>
          <w:sz w:val="24"/>
        </w:rPr>
        <w:t>、马</w:t>
      </w:r>
      <w:r>
        <w:rPr>
          <w:sz w:val="24"/>
        </w:rPr>
        <w:t>1-10</w:t>
      </w:r>
      <w:r>
        <w:rPr>
          <w:sz w:val="24"/>
        </w:rPr>
        <w:t>井场采气经输气管线进入马</w:t>
      </w:r>
      <w:r>
        <w:rPr>
          <w:sz w:val="24"/>
        </w:rPr>
        <w:t>1-11</w:t>
      </w:r>
      <w:r>
        <w:rPr>
          <w:sz w:val="24"/>
        </w:rPr>
        <w:t>脱水井场后，经</w:t>
      </w:r>
      <w:r>
        <w:rPr>
          <w:sz w:val="24"/>
        </w:rPr>
        <w:lastRenderedPageBreak/>
        <w:t>进站截断放空、重力分离器橇、水套加热炉橇、三甘醇脱水橇、外输计量、发球和截断放空等设施，对进站原料气进行气液分离、脱水、计量后通过外输管线至草池增压站进行计量后输送至下游用户；马</w:t>
      </w:r>
      <w:r>
        <w:rPr>
          <w:sz w:val="24"/>
        </w:rPr>
        <w:t>1-12</w:t>
      </w:r>
      <w:r>
        <w:rPr>
          <w:sz w:val="24"/>
        </w:rPr>
        <w:t>井场拟依托三期工程待建脱水场站进行脱水后通过外输管线至草池增压站输送至下游用户。</w:t>
      </w:r>
    </w:p>
    <w:p w14:paraId="448B5E55" w14:textId="77777777" w:rsidR="007D1E74" w:rsidRDefault="00A95641">
      <w:pPr>
        <w:pStyle w:val="affffff6"/>
        <w:ind w:firstLine="480"/>
        <w:rPr>
          <w:rFonts w:ascii="Times New Roman" w:hAnsi="Times New Roman" w:cs="Times New Roman"/>
        </w:rPr>
      </w:pPr>
      <w:r>
        <w:rPr>
          <w:rFonts w:ascii="Times New Roman" w:hAnsi="Times New Roman" w:cs="Times New Roman"/>
        </w:rPr>
        <w:t>1</w:t>
      </w:r>
      <w:r>
        <w:rPr>
          <w:rFonts w:ascii="Times New Roman" w:hAnsi="Times New Roman" w:cs="Times New Roman"/>
        </w:rPr>
        <w:t>、主体工艺</w:t>
      </w:r>
    </w:p>
    <w:p w14:paraId="31AEC02A"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）分离流程</w:t>
      </w:r>
    </w:p>
    <w:p w14:paraId="180EEA92" w14:textId="77777777" w:rsidR="007D1E74" w:rsidRDefault="00A95641">
      <w:pPr>
        <w:pStyle w:val="affffff6"/>
        <w:ind w:firstLine="480"/>
        <w:rPr>
          <w:rFonts w:ascii="Times New Roman" w:hAnsi="Times New Roman" w:cs="Times New Roman"/>
        </w:rPr>
      </w:pPr>
      <w:r>
        <w:rPr>
          <w:rFonts w:ascii="Times New Roman" w:hAnsi="Times New Roman" w:cs="Times New Roman"/>
        </w:rPr>
        <w:t>1#</w:t>
      </w:r>
      <w:r>
        <w:rPr>
          <w:rFonts w:ascii="Times New Roman" w:hAnsi="Times New Roman" w:cs="Times New Roman"/>
        </w:rPr>
        <w:t>阀室上游（马</w:t>
      </w:r>
      <w:r>
        <w:rPr>
          <w:rFonts w:ascii="Times New Roman" w:hAnsi="Times New Roman" w:cs="Times New Roman"/>
        </w:rPr>
        <w:t xml:space="preserve"> 1 </w:t>
      </w:r>
      <w:r>
        <w:rPr>
          <w:rFonts w:ascii="Times New Roman" w:hAnsi="Times New Roman" w:cs="Times New Roman"/>
        </w:rPr>
        <w:t>马</w:t>
      </w:r>
      <w:r>
        <w:rPr>
          <w:rFonts w:ascii="Times New Roman" w:hAnsi="Times New Roman" w:cs="Times New Roman"/>
        </w:rPr>
        <w:t xml:space="preserve"> 2 </w:t>
      </w:r>
      <w:r>
        <w:rPr>
          <w:rFonts w:ascii="Times New Roman" w:hAnsi="Times New Roman" w:cs="Times New Roman"/>
        </w:rPr>
        <w:t>区块来气、马</w:t>
      </w:r>
      <w:r>
        <w:rPr>
          <w:rFonts w:ascii="Times New Roman" w:hAnsi="Times New Roman" w:cs="Times New Roman"/>
        </w:rPr>
        <w:t xml:space="preserve"> 1-3 </w:t>
      </w:r>
      <w:r>
        <w:rPr>
          <w:rFonts w:ascii="Times New Roman" w:hAnsi="Times New Roman" w:cs="Times New Roman"/>
        </w:rPr>
        <w:t>来气）来气，经已建天然气阀组进入新建的重力分离器撬，在分离器内进行气液分离后，分离出的天然气经</w:t>
      </w:r>
      <w:r>
        <w:rPr>
          <w:rFonts w:ascii="Times New Roman" w:hAnsi="Times New Roman" w:cs="Times New Roman"/>
        </w:rPr>
        <w:t xml:space="preserve"> DN300 </w:t>
      </w:r>
      <w:r>
        <w:rPr>
          <w:rFonts w:ascii="Times New Roman" w:hAnsi="Times New Roman" w:cs="Times New Roman"/>
        </w:rPr>
        <w:t>通球阀去下游天然气脱水增压站，分离出的液进入放空分液储存集成装置收集，定期用槽车拉运。天然气阀组及重力分离器撬的放空气均经放空分液储存集成装置，然后接着放空立管放空。</w:t>
      </w:r>
    </w:p>
    <w:p w14:paraId="0F499851"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）插输阀组</w:t>
      </w:r>
    </w:p>
    <w:p w14:paraId="15651486" w14:textId="77777777" w:rsidR="007D1E74" w:rsidRDefault="00A95641">
      <w:pPr>
        <w:pStyle w:val="affffff6"/>
        <w:ind w:firstLine="480"/>
        <w:rPr>
          <w:rFonts w:ascii="Times New Roman" w:hAnsi="Times New Roman" w:cs="Times New Roman"/>
        </w:rPr>
      </w:pPr>
      <w:r>
        <w:rPr>
          <w:rFonts w:ascii="Times New Roman" w:hAnsi="Times New Roman" w:cs="Times New Roman"/>
        </w:rPr>
        <w:t>2#</w:t>
      </w:r>
      <w:r>
        <w:rPr>
          <w:rFonts w:ascii="Times New Roman" w:hAnsi="Times New Roman" w:cs="Times New Roman"/>
        </w:rPr>
        <w:t>、</w:t>
      </w:r>
      <w:r>
        <w:rPr>
          <w:rFonts w:ascii="Times New Roman" w:hAnsi="Times New Roman" w:cs="Times New Roman"/>
        </w:rPr>
        <w:t>3#</w:t>
      </w:r>
      <w:r>
        <w:rPr>
          <w:rFonts w:ascii="Times New Roman" w:hAnsi="Times New Roman" w:cs="Times New Roman"/>
        </w:rPr>
        <w:t>阀组全为插输阀组，只有阀门和管道，没有计量调压设备，工艺流程相对简单，仅为接收支线来气。</w:t>
      </w:r>
    </w:p>
    <w:p w14:paraId="61D11BE3"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）脱水流程</w:t>
      </w:r>
    </w:p>
    <w:p w14:paraId="2E27D10C" w14:textId="77777777" w:rsidR="007D1E74" w:rsidRDefault="00A95641">
      <w:pPr>
        <w:pStyle w:val="affffff6"/>
        <w:ind w:firstLine="480"/>
        <w:rPr>
          <w:rFonts w:ascii="Times New Roman" w:hAnsi="Times New Roman" w:cs="Times New Roman"/>
        </w:rPr>
      </w:pPr>
      <w:r>
        <w:rPr>
          <w:rFonts w:ascii="Times New Roman" w:hAnsi="Times New Roman" w:cs="Times New Roman"/>
        </w:rPr>
        <w:t>项目拟依托马</w:t>
      </w:r>
      <w:r>
        <w:rPr>
          <w:rFonts w:ascii="Times New Roman" w:hAnsi="Times New Roman" w:cs="Times New Roman"/>
        </w:rPr>
        <w:t>1-11</w:t>
      </w:r>
      <w:r>
        <w:rPr>
          <w:rFonts w:ascii="Times New Roman" w:hAnsi="Times New Roman" w:cs="Times New Roman"/>
        </w:rPr>
        <w:t>脱水井场待建脱水撬进行天然气脱水。</w:t>
      </w:r>
    </w:p>
    <w:p w14:paraId="488B7D52"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4</w:t>
      </w:r>
      <w:r>
        <w:rPr>
          <w:rFonts w:ascii="Times New Roman" w:hAnsi="Times New Roman" w:cs="Times New Roman"/>
        </w:rPr>
        <w:t>）计量流程</w:t>
      </w:r>
    </w:p>
    <w:p w14:paraId="2A5382F7" w14:textId="77777777" w:rsidR="007D1E74" w:rsidRDefault="00A95641">
      <w:pPr>
        <w:pStyle w:val="affffff6"/>
        <w:ind w:firstLine="480"/>
        <w:rPr>
          <w:rFonts w:ascii="Times New Roman" w:hAnsi="Times New Roman" w:cs="Times New Roman"/>
        </w:rPr>
      </w:pPr>
      <w:r>
        <w:rPr>
          <w:rFonts w:ascii="Times New Roman" w:hAnsi="Times New Roman" w:cs="Times New Roman"/>
        </w:rPr>
        <w:t>经脱水后的天然气经孔板流量计计量后外输。</w:t>
      </w:r>
    </w:p>
    <w:p w14:paraId="60D3FED7"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5</w:t>
      </w:r>
      <w:r>
        <w:rPr>
          <w:rFonts w:ascii="Times New Roman" w:hAnsi="Times New Roman" w:cs="Times New Roman"/>
        </w:rPr>
        <w:t>）清管流程</w:t>
      </w:r>
    </w:p>
    <w:p w14:paraId="3FE47864" w14:textId="77777777" w:rsidR="007D1E74" w:rsidRDefault="00A95641">
      <w:pPr>
        <w:pStyle w:val="affffff6"/>
        <w:ind w:firstLine="480"/>
        <w:rPr>
          <w:rFonts w:ascii="Times New Roman" w:hAnsi="Times New Roman" w:cs="Times New Roman"/>
        </w:rPr>
      </w:pPr>
      <w:r>
        <w:rPr>
          <w:rFonts w:ascii="Times New Roman" w:hAnsi="Times New Roman" w:cs="Times New Roman"/>
        </w:rPr>
        <w:t>根据生产运行需要，</w:t>
      </w:r>
      <w:r>
        <w:rPr>
          <w:rFonts w:ascii="Times New Roman" w:hAnsi="Times New Roman" w:cs="Times New Roman"/>
        </w:rPr>
        <w:t>1#</w:t>
      </w:r>
      <w:r>
        <w:rPr>
          <w:rFonts w:ascii="Times New Roman" w:hAnsi="Times New Roman" w:cs="Times New Roman"/>
        </w:rPr>
        <w:t>阀室发送清管球至马</w:t>
      </w:r>
      <w:r>
        <w:rPr>
          <w:rFonts w:ascii="Times New Roman" w:hAnsi="Times New Roman" w:cs="Times New Roman"/>
        </w:rPr>
        <w:t>1-11</w:t>
      </w:r>
      <w:r>
        <w:rPr>
          <w:rFonts w:ascii="Times New Roman" w:hAnsi="Times New Roman" w:cs="Times New Roman"/>
        </w:rPr>
        <w:t>，马</w:t>
      </w:r>
      <w:r>
        <w:rPr>
          <w:rFonts w:ascii="Times New Roman" w:hAnsi="Times New Roman" w:cs="Times New Roman"/>
        </w:rPr>
        <w:t>1-11</w:t>
      </w:r>
      <w:r>
        <w:rPr>
          <w:rFonts w:ascii="Times New Roman" w:hAnsi="Times New Roman" w:cs="Times New Roman"/>
        </w:rPr>
        <w:t>发送清管球</w:t>
      </w:r>
      <w:r>
        <w:rPr>
          <w:rFonts w:ascii="Times New Roman" w:hAnsi="Times New Roman" w:cs="Times New Roman"/>
        </w:rPr>
        <w:t>4#</w:t>
      </w:r>
      <w:r>
        <w:rPr>
          <w:rFonts w:ascii="Times New Roman" w:hAnsi="Times New Roman" w:cs="Times New Roman"/>
        </w:rPr>
        <w:t>清管阀组，</w:t>
      </w:r>
      <w:r>
        <w:rPr>
          <w:rFonts w:ascii="Times New Roman" w:hAnsi="Times New Roman" w:cs="Times New Roman"/>
        </w:rPr>
        <w:t>4#</w:t>
      </w:r>
      <w:r>
        <w:rPr>
          <w:rFonts w:ascii="Times New Roman" w:hAnsi="Times New Roman" w:cs="Times New Roman"/>
        </w:rPr>
        <w:t>清管阀组发送清管球至马</w:t>
      </w:r>
      <w:r>
        <w:rPr>
          <w:rFonts w:ascii="Times New Roman" w:hAnsi="Times New Roman" w:cs="Times New Roman"/>
        </w:rPr>
        <w:t>1-11</w:t>
      </w:r>
      <w:r>
        <w:rPr>
          <w:rFonts w:ascii="Times New Roman" w:hAnsi="Times New Roman" w:cs="Times New Roman"/>
        </w:rPr>
        <w:t>草池增压站。</w:t>
      </w:r>
    </w:p>
    <w:p w14:paraId="3AEB5897" w14:textId="77777777" w:rsidR="007D1E74" w:rsidRDefault="00A95641">
      <w:pPr>
        <w:pStyle w:val="affffff6"/>
        <w:ind w:firstLineChars="83" w:firstLine="199"/>
        <w:rPr>
          <w:rFonts w:ascii="Times New Roman" w:hAnsi="Times New Roman" w:cs="Times New Roman"/>
        </w:rPr>
      </w:pPr>
      <w:r>
        <w:rPr>
          <w:rFonts w:ascii="Times New Roman" w:hAnsi="Times New Roman" w:cs="Times New Roman"/>
        </w:rPr>
        <w:t>2</w:t>
      </w:r>
      <w:r>
        <w:rPr>
          <w:rFonts w:ascii="Times New Roman" w:hAnsi="Times New Roman" w:cs="Times New Roman"/>
        </w:rPr>
        <w:t>、辅助流程</w:t>
      </w:r>
    </w:p>
    <w:p w14:paraId="71B25E89"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）排液系统</w:t>
      </w:r>
    </w:p>
    <w:p w14:paraId="62E1AB1F" w14:textId="77777777" w:rsidR="007D1E74" w:rsidRDefault="00A95641">
      <w:pPr>
        <w:pStyle w:val="affffff6"/>
        <w:ind w:firstLine="480"/>
        <w:rPr>
          <w:rFonts w:ascii="Times New Roman" w:hAnsi="Times New Roman" w:cs="Times New Roman"/>
        </w:rPr>
      </w:pPr>
      <w:r>
        <w:rPr>
          <w:rFonts w:ascii="Times New Roman" w:hAnsi="Times New Roman" w:cs="Times New Roman"/>
        </w:rPr>
        <w:t>站场内重力分离器橇工艺装置在运行过程中产生的采出水，经排污总管汇集至采出水罐，采出水定期装车外运处理，采出水罐车需自带污水抽取装车装置。</w:t>
      </w:r>
    </w:p>
    <w:p w14:paraId="066EC01F" w14:textId="77777777" w:rsidR="007D1E74" w:rsidRDefault="00A95641">
      <w:pPr>
        <w:pStyle w:val="affffff6"/>
        <w:ind w:firstLineChars="0" w:firstLine="0"/>
        <w:rPr>
          <w:rFonts w:ascii="Times New Roman" w:hAnsi="Times New Roman" w:cs="Times New Roman"/>
        </w:rPr>
      </w:pPr>
      <w:r>
        <w:rPr>
          <w:rFonts w:ascii="Times New Roman" w:hAnsi="Times New Roman" w:cs="Times New Roman"/>
          <w:noProof/>
        </w:rPr>
        <w:drawing>
          <wp:inline distT="0" distB="0" distL="114300" distR="114300" wp14:anchorId="231CD833" wp14:editId="249EE0B7">
            <wp:extent cx="5757545" cy="692785"/>
            <wp:effectExtent l="0" t="0" r="3175" b="8255"/>
            <wp:docPr id="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
                    <pic:cNvPicPr>
                      <a:picLocks noChangeAspect="1"/>
                    </pic:cNvPicPr>
                  </pic:nvPicPr>
                  <pic:blipFill>
                    <a:blip r:embed="rId100"/>
                    <a:stretch>
                      <a:fillRect/>
                    </a:stretch>
                  </pic:blipFill>
                  <pic:spPr>
                    <a:xfrm>
                      <a:off x="0" y="0"/>
                      <a:ext cx="5757545" cy="692785"/>
                    </a:xfrm>
                    <a:prstGeom prst="rect">
                      <a:avLst/>
                    </a:prstGeom>
                    <a:noFill/>
                    <a:ln>
                      <a:noFill/>
                    </a:ln>
                  </pic:spPr>
                </pic:pic>
              </a:graphicData>
            </a:graphic>
          </wp:inline>
        </w:drawing>
      </w:r>
    </w:p>
    <w:p w14:paraId="61CD2267" w14:textId="77777777" w:rsidR="007D1E74" w:rsidRDefault="00A95641">
      <w:pPr>
        <w:spacing w:line="360" w:lineRule="auto"/>
        <w:ind w:firstLineChars="200" w:firstLine="422"/>
        <w:jc w:val="center"/>
        <w:rPr>
          <w:b/>
        </w:rPr>
      </w:pPr>
      <w:r>
        <w:rPr>
          <w:b/>
        </w:rPr>
        <w:t>图</w:t>
      </w:r>
      <w:r>
        <w:rPr>
          <w:b/>
        </w:rPr>
        <w:t xml:space="preserve">3.2-11  </w:t>
      </w:r>
      <w:r>
        <w:rPr>
          <w:b/>
        </w:rPr>
        <w:t>运营期脱水增压站排液系统流程图</w:t>
      </w:r>
    </w:p>
    <w:p w14:paraId="15ADABA7"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）事故及安全放空流程</w:t>
      </w:r>
    </w:p>
    <w:p w14:paraId="429EDE2A" w14:textId="77777777" w:rsidR="007D1E74" w:rsidRDefault="00A95641">
      <w:pPr>
        <w:pStyle w:val="affffff6"/>
        <w:ind w:firstLine="480"/>
        <w:rPr>
          <w:rFonts w:ascii="Times New Roman" w:hAnsi="Times New Roman" w:cs="Times New Roman"/>
        </w:rPr>
      </w:pPr>
      <w:r>
        <w:rPr>
          <w:rFonts w:ascii="Times New Roman" w:hAnsi="Times New Roman" w:cs="Times New Roman"/>
        </w:rPr>
        <w:lastRenderedPageBreak/>
        <w:t>1#</w:t>
      </w:r>
      <w:r>
        <w:rPr>
          <w:rFonts w:ascii="Times New Roman" w:hAnsi="Times New Roman" w:cs="Times New Roman"/>
        </w:rPr>
        <w:t>阀室内重力分离器橇的放空管线，以及进站截断放空、出站截断放空均接入阀室放空总管，放空气经放空总管汇集至放空分液储存集成装置进行分液后再进入放空立管进行安全放空。</w:t>
      </w:r>
    </w:p>
    <w:p w14:paraId="63BDC972" w14:textId="77777777" w:rsidR="007D1E74" w:rsidRDefault="00A95641">
      <w:pPr>
        <w:pStyle w:val="41"/>
        <w:tabs>
          <w:tab w:val="left" w:pos="860"/>
        </w:tabs>
        <w:spacing w:line="360" w:lineRule="auto"/>
        <w:jc w:val="left"/>
        <w:rPr>
          <w:rFonts w:ascii="Times New Roman" w:hAnsi="Times New Roman"/>
          <w:sz w:val="24"/>
          <w:szCs w:val="24"/>
        </w:rPr>
      </w:pPr>
      <w:r>
        <w:rPr>
          <w:rFonts w:ascii="Times New Roman" w:hAnsi="Times New Roman"/>
          <w:sz w:val="24"/>
          <w:szCs w:val="24"/>
        </w:rPr>
        <w:t>3.2.2.2</w:t>
      </w:r>
      <w:r>
        <w:rPr>
          <w:rFonts w:ascii="Times New Roman" w:hAnsi="Times New Roman"/>
          <w:sz w:val="24"/>
          <w:szCs w:val="24"/>
        </w:rPr>
        <w:t>运营期产污环节分析</w:t>
      </w:r>
    </w:p>
    <w:p w14:paraId="02E6129A" w14:textId="77777777" w:rsidR="007D1E74" w:rsidRDefault="00A95641">
      <w:pPr>
        <w:spacing w:line="360" w:lineRule="auto"/>
        <w:ind w:firstLineChars="200" w:firstLine="480"/>
        <w:rPr>
          <w:b/>
          <w:bCs/>
          <w:sz w:val="24"/>
        </w:rPr>
      </w:pPr>
      <w:r>
        <w:rPr>
          <w:sz w:val="24"/>
        </w:rPr>
        <w:t>输气管道埋地敷设，密闭输送，且本项目建设管线为内部集输管线，管径较小，长度较短，生产过程中无需定期清管，因此管线运营期在正常情况下不产生和排放污染物。</w:t>
      </w:r>
    </w:p>
    <w:p w14:paraId="4F645EE8" w14:textId="77777777" w:rsidR="007D1E74" w:rsidRDefault="00A95641">
      <w:pPr>
        <w:spacing w:line="360" w:lineRule="auto"/>
        <w:ind w:firstLineChars="200" w:firstLine="482"/>
        <w:rPr>
          <w:b/>
          <w:bCs/>
          <w:sz w:val="24"/>
        </w:rPr>
      </w:pPr>
      <w:r>
        <w:rPr>
          <w:b/>
          <w:bCs/>
          <w:sz w:val="24"/>
        </w:rPr>
        <w:t>3.2.2.2.1</w:t>
      </w:r>
      <w:r>
        <w:rPr>
          <w:b/>
          <w:bCs/>
          <w:sz w:val="24"/>
        </w:rPr>
        <w:t>正常工况下污染源强</w:t>
      </w:r>
    </w:p>
    <w:p w14:paraId="5899D6A1" w14:textId="77777777" w:rsidR="007D1E74" w:rsidRDefault="00A95641">
      <w:pPr>
        <w:spacing w:line="360" w:lineRule="auto"/>
        <w:ind w:firstLineChars="200" w:firstLine="482"/>
        <w:rPr>
          <w:b/>
          <w:bCs/>
          <w:sz w:val="24"/>
        </w:rPr>
      </w:pPr>
      <w:r>
        <w:rPr>
          <w:b/>
          <w:bCs/>
          <w:sz w:val="24"/>
        </w:rPr>
        <w:t>1</w:t>
      </w:r>
      <w:r>
        <w:rPr>
          <w:b/>
          <w:bCs/>
          <w:sz w:val="24"/>
        </w:rPr>
        <w:t>、废气</w:t>
      </w:r>
    </w:p>
    <w:p w14:paraId="20CBC1FF" w14:textId="77777777" w:rsidR="007D1E74" w:rsidRDefault="00A95641">
      <w:pPr>
        <w:spacing w:line="360" w:lineRule="auto"/>
        <w:ind w:firstLineChars="200" w:firstLine="480"/>
        <w:rPr>
          <w:sz w:val="24"/>
        </w:rPr>
      </w:pPr>
      <w:r>
        <w:rPr>
          <w:sz w:val="24"/>
        </w:rPr>
        <w:t>项目管道输送的介质为经过净化后的天然气，不含硫，全线采用密闭输送，在正常工况下，无废气排放。</w:t>
      </w:r>
    </w:p>
    <w:p w14:paraId="43DE0F81" w14:textId="77777777" w:rsidR="007D1E74" w:rsidRDefault="00A95641">
      <w:pPr>
        <w:spacing w:line="360" w:lineRule="auto"/>
        <w:ind w:firstLineChars="200" w:firstLine="482"/>
        <w:rPr>
          <w:b/>
          <w:bCs/>
          <w:sz w:val="24"/>
        </w:rPr>
      </w:pPr>
      <w:r>
        <w:rPr>
          <w:b/>
          <w:bCs/>
          <w:sz w:val="24"/>
        </w:rPr>
        <w:t>（</w:t>
      </w:r>
      <w:r>
        <w:rPr>
          <w:b/>
          <w:bCs/>
          <w:sz w:val="24"/>
        </w:rPr>
        <w:t>1</w:t>
      </w:r>
      <w:r>
        <w:rPr>
          <w:b/>
          <w:bCs/>
          <w:sz w:val="24"/>
        </w:rPr>
        <w:t>）清管作业排放天然气</w:t>
      </w:r>
    </w:p>
    <w:p w14:paraId="3905A6B9" w14:textId="77777777" w:rsidR="007D1E74" w:rsidRDefault="00A95641">
      <w:pPr>
        <w:pStyle w:val="affffff6"/>
        <w:ind w:firstLine="480"/>
        <w:rPr>
          <w:rFonts w:ascii="Times New Roman" w:hAnsi="Times New Roman" w:cs="Times New Roman"/>
        </w:rPr>
      </w:pPr>
      <w:r>
        <w:rPr>
          <w:rFonts w:ascii="Times New Roman" w:hAnsi="Times New Roman" w:cs="Times New Roman"/>
        </w:rPr>
        <w:t>本项目在正常运行期间，管线每年将进行</w:t>
      </w:r>
      <w:r>
        <w:rPr>
          <w:rFonts w:ascii="Times New Roman" w:hAnsi="Times New Roman" w:cs="Times New Roman"/>
        </w:rPr>
        <w:t xml:space="preserve"> 1</w:t>
      </w:r>
      <w:r>
        <w:rPr>
          <w:rFonts w:ascii="Times New Roman" w:hAnsi="Times New Roman" w:cs="Times New Roman"/>
        </w:rPr>
        <w:t>次清管作业，根据类比调查，每次清管收球作业排放天然气约为</w:t>
      </w:r>
      <w:r>
        <w:rPr>
          <w:rFonts w:ascii="Times New Roman" w:hAnsi="Times New Roman" w:cs="Times New Roman"/>
        </w:rPr>
        <w:t>30m</w:t>
      </w:r>
      <w:r>
        <w:rPr>
          <w:rFonts w:ascii="Times New Roman" w:hAnsi="Times New Roman" w:cs="Times New Roman"/>
          <w:vertAlign w:val="superscript"/>
        </w:rPr>
        <w:t>3</w:t>
      </w:r>
      <w:r>
        <w:rPr>
          <w:rFonts w:ascii="Times New Roman" w:hAnsi="Times New Roman" w:cs="Times New Roman"/>
        </w:rPr>
        <w:t>。本项目具有清管收球作业的站场为草池增压站，排放天然气约为</w:t>
      </w:r>
      <w:r>
        <w:rPr>
          <w:rFonts w:ascii="Times New Roman" w:hAnsi="Times New Roman" w:cs="Times New Roman"/>
        </w:rPr>
        <w:t xml:space="preserve"> 30m</w:t>
      </w:r>
      <w:r>
        <w:rPr>
          <w:rFonts w:ascii="Times New Roman" w:hAnsi="Times New Roman" w:cs="Times New Roman"/>
          <w:vertAlign w:val="superscript"/>
        </w:rPr>
        <w:t>3</w:t>
      </w:r>
      <w:r>
        <w:rPr>
          <w:rFonts w:ascii="Times New Roman" w:hAnsi="Times New Roman" w:cs="Times New Roman"/>
        </w:rPr>
        <w:t>/a</w:t>
      </w:r>
      <w:r>
        <w:rPr>
          <w:rFonts w:ascii="Times New Roman" w:hAnsi="Times New Roman" w:cs="Times New Roman"/>
        </w:rPr>
        <w:t>。</w:t>
      </w:r>
    </w:p>
    <w:p w14:paraId="28D9DF66" w14:textId="77777777" w:rsidR="007D1E74" w:rsidRDefault="00A95641">
      <w:pPr>
        <w:spacing w:line="360" w:lineRule="auto"/>
        <w:ind w:firstLineChars="200" w:firstLine="482"/>
        <w:rPr>
          <w:b/>
          <w:bCs/>
          <w:sz w:val="24"/>
        </w:rPr>
      </w:pPr>
      <w:r>
        <w:rPr>
          <w:b/>
          <w:bCs/>
          <w:sz w:val="24"/>
        </w:rPr>
        <w:t>2</w:t>
      </w:r>
      <w:r>
        <w:rPr>
          <w:b/>
          <w:bCs/>
          <w:sz w:val="24"/>
        </w:rPr>
        <w:t>、废水</w:t>
      </w:r>
    </w:p>
    <w:p w14:paraId="495C1DE0" w14:textId="77777777" w:rsidR="007D1E74" w:rsidRDefault="00A95641">
      <w:pPr>
        <w:spacing w:line="360" w:lineRule="auto"/>
        <w:ind w:firstLineChars="200" w:firstLine="482"/>
        <w:rPr>
          <w:b/>
          <w:bCs/>
          <w:sz w:val="24"/>
        </w:rPr>
      </w:pPr>
      <w:r>
        <w:rPr>
          <w:b/>
          <w:bCs/>
          <w:sz w:val="24"/>
        </w:rPr>
        <w:t>（</w:t>
      </w:r>
      <w:r>
        <w:rPr>
          <w:b/>
          <w:bCs/>
          <w:sz w:val="24"/>
        </w:rPr>
        <w:t>1</w:t>
      </w:r>
      <w:r>
        <w:rPr>
          <w:b/>
          <w:bCs/>
          <w:sz w:val="24"/>
        </w:rPr>
        <w:t>）分离废水</w:t>
      </w:r>
    </w:p>
    <w:p w14:paraId="6DF301B3" w14:textId="77777777" w:rsidR="007D1E74" w:rsidRDefault="00A95641">
      <w:pPr>
        <w:spacing w:line="360" w:lineRule="auto"/>
        <w:ind w:firstLineChars="200" w:firstLine="482"/>
        <w:rPr>
          <w:b/>
          <w:bCs/>
          <w:sz w:val="24"/>
        </w:rPr>
      </w:pPr>
      <w:r>
        <w:rPr>
          <w:rFonts w:ascii="宋体" w:hAnsi="宋体" w:cs="宋体" w:hint="eastAsia"/>
          <w:b/>
          <w:bCs/>
          <w:sz w:val="24"/>
        </w:rPr>
        <w:t>①</w:t>
      </w:r>
      <w:r>
        <w:rPr>
          <w:b/>
          <w:bCs/>
          <w:sz w:val="24"/>
        </w:rPr>
        <w:t>分离废水产生情况</w:t>
      </w:r>
    </w:p>
    <w:p w14:paraId="1E951C60" w14:textId="77777777" w:rsidR="007D1E74" w:rsidRDefault="00A95641">
      <w:pPr>
        <w:spacing w:line="360" w:lineRule="auto"/>
        <w:ind w:firstLineChars="200" w:firstLine="480"/>
        <w:rPr>
          <w:sz w:val="24"/>
        </w:rPr>
      </w:pPr>
      <w:r>
        <w:rPr>
          <w:sz w:val="24"/>
        </w:rPr>
        <w:t>本项目运行期废水主要就是重力分离撬分离天然气中采出水水、颗粒产生的废水。根据设计资料，项目重力分离器撬设计处理量为</w:t>
      </w:r>
      <w:r>
        <w:rPr>
          <w:sz w:val="24"/>
        </w:rPr>
        <w:t>40.0*10</w:t>
      </w:r>
      <w:r>
        <w:rPr>
          <w:sz w:val="24"/>
          <w:vertAlign w:val="superscript"/>
        </w:rPr>
        <w:t>4</w:t>
      </w:r>
      <w:r>
        <w:rPr>
          <w:sz w:val="24"/>
        </w:rPr>
        <w:t>Nm</w:t>
      </w:r>
      <w:r>
        <w:rPr>
          <w:sz w:val="24"/>
          <w:vertAlign w:val="superscript"/>
        </w:rPr>
        <w:t>3</w:t>
      </w:r>
      <w:r>
        <w:rPr>
          <w:sz w:val="24"/>
        </w:rPr>
        <w:t>/d,</w:t>
      </w:r>
      <w:r>
        <w:rPr>
          <w:sz w:val="24"/>
        </w:rPr>
        <w:t>区块天然气采出水为</w:t>
      </w:r>
      <w:r>
        <w:rPr>
          <w:sz w:val="24"/>
        </w:rPr>
        <w:t>0.3m</w:t>
      </w:r>
      <w:r>
        <w:rPr>
          <w:sz w:val="24"/>
          <w:vertAlign w:val="superscript"/>
        </w:rPr>
        <w:t>3</w:t>
      </w:r>
      <w:r>
        <w:rPr>
          <w:sz w:val="24"/>
        </w:rPr>
        <w:t>/10</w:t>
      </w:r>
      <w:r>
        <w:rPr>
          <w:sz w:val="24"/>
          <w:vertAlign w:val="superscript"/>
        </w:rPr>
        <w:t>4</w:t>
      </w:r>
      <w:r>
        <w:rPr>
          <w:sz w:val="24"/>
        </w:rPr>
        <w:t xml:space="preserve"> Nm</w:t>
      </w:r>
      <w:r>
        <w:rPr>
          <w:sz w:val="24"/>
          <w:vertAlign w:val="superscript"/>
        </w:rPr>
        <w:t>3</w:t>
      </w:r>
      <w:r>
        <w:rPr>
          <w:sz w:val="24"/>
        </w:rPr>
        <w:t>,</w:t>
      </w:r>
      <w:r>
        <w:rPr>
          <w:sz w:val="24"/>
        </w:rPr>
        <w:t>因此分离废水约为</w:t>
      </w:r>
      <w:r>
        <w:rPr>
          <w:sz w:val="24"/>
        </w:rPr>
        <w:t>12m</w:t>
      </w:r>
      <w:r>
        <w:rPr>
          <w:sz w:val="24"/>
          <w:vertAlign w:val="superscript"/>
        </w:rPr>
        <w:t>3</w:t>
      </w:r>
      <w:r>
        <w:rPr>
          <w:sz w:val="24"/>
        </w:rPr>
        <w:t>/d</w:t>
      </w:r>
      <w:r>
        <w:rPr>
          <w:sz w:val="24"/>
        </w:rPr>
        <w:t>。</w:t>
      </w:r>
    </w:p>
    <w:p w14:paraId="596E5B87" w14:textId="77777777" w:rsidR="007D1E74" w:rsidRDefault="00A95641">
      <w:pPr>
        <w:pStyle w:val="affffff6"/>
        <w:ind w:firstLine="482"/>
        <w:rPr>
          <w:rFonts w:ascii="Times New Roman" w:hAnsi="Times New Roman" w:cs="Times New Roman"/>
          <w:b/>
          <w:bCs/>
        </w:rPr>
      </w:pPr>
      <w:r>
        <w:rPr>
          <w:rFonts w:ascii="宋体" w:eastAsia="宋体" w:hAnsi="宋体" w:cs="宋体" w:hint="eastAsia"/>
          <w:b/>
          <w:bCs/>
        </w:rPr>
        <w:t>②</w:t>
      </w:r>
      <w:r>
        <w:rPr>
          <w:rFonts w:ascii="Times New Roman" w:hAnsi="Times New Roman" w:cs="Times New Roman"/>
          <w:b/>
          <w:bCs/>
        </w:rPr>
        <w:t>拟减轻不利环境影措施</w:t>
      </w:r>
    </w:p>
    <w:p w14:paraId="79BA1CE9" w14:textId="77777777" w:rsidR="007D1E74" w:rsidRDefault="00A95641">
      <w:pPr>
        <w:spacing w:line="360" w:lineRule="auto"/>
        <w:ind w:firstLineChars="200" w:firstLine="480"/>
        <w:rPr>
          <w:sz w:val="24"/>
        </w:rPr>
      </w:pPr>
      <w:r>
        <w:rPr>
          <w:sz w:val="24"/>
        </w:rPr>
        <w:t>分离废水经</w:t>
      </w:r>
      <w:r>
        <w:rPr>
          <w:rFonts w:hint="eastAsia"/>
          <w:sz w:val="24"/>
        </w:rPr>
        <w:t>采出水</w:t>
      </w:r>
      <w:r>
        <w:rPr>
          <w:sz w:val="24"/>
        </w:rPr>
        <w:t>罐</w:t>
      </w:r>
      <w:r>
        <w:rPr>
          <w:rFonts w:hint="eastAsia"/>
          <w:sz w:val="24"/>
        </w:rPr>
        <w:t>（</w:t>
      </w:r>
      <w:r>
        <w:rPr>
          <w:rFonts w:hint="eastAsia"/>
          <w:sz w:val="24"/>
        </w:rPr>
        <w:t>1</w:t>
      </w:r>
      <w:r>
        <w:rPr>
          <w:sz w:val="24"/>
        </w:rPr>
        <w:t>个</w:t>
      </w:r>
      <w:r>
        <w:rPr>
          <w:rFonts w:hint="eastAsia"/>
          <w:sz w:val="24"/>
        </w:rPr>
        <w:t>，容积约为</w:t>
      </w:r>
      <w:r>
        <w:rPr>
          <w:rFonts w:hint="eastAsia"/>
          <w:sz w:val="24"/>
        </w:rPr>
        <w:t>2</w:t>
      </w:r>
      <w:r>
        <w:rPr>
          <w:sz w:val="24"/>
        </w:rPr>
        <w:t>0m</w:t>
      </w:r>
      <w:r>
        <w:rPr>
          <w:sz w:val="24"/>
          <w:vertAlign w:val="superscript"/>
        </w:rPr>
        <w:t>3</w:t>
      </w:r>
      <w:r>
        <w:rPr>
          <w:rFonts w:hint="eastAsia"/>
          <w:sz w:val="24"/>
        </w:rPr>
        <w:t>）</w:t>
      </w:r>
      <w:r>
        <w:rPr>
          <w:sz w:val="24"/>
        </w:rPr>
        <w:t>暂存后由罐车定期转运至污水处理厂处理。</w:t>
      </w:r>
    </w:p>
    <w:p w14:paraId="73F412CC" w14:textId="77777777" w:rsidR="007D1E74" w:rsidRDefault="00A95641">
      <w:pPr>
        <w:spacing w:line="360" w:lineRule="auto"/>
        <w:ind w:firstLineChars="200" w:firstLine="482"/>
        <w:rPr>
          <w:b/>
          <w:bCs/>
          <w:sz w:val="24"/>
        </w:rPr>
      </w:pPr>
      <w:r>
        <w:rPr>
          <w:b/>
          <w:bCs/>
          <w:sz w:val="24"/>
        </w:rPr>
        <w:t>3</w:t>
      </w:r>
      <w:r>
        <w:rPr>
          <w:b/>
          <w:bCs/>
          <w:sz w:val="24"/>
        </w:rPr>
        <w:t>、噪声</w:t>
      </w:r>
    </w:p>
    <w:p w14:paraId="75821B8F" w14:textId="77777777" w:rsidR="007D1E74" w:rsidRDefault="00A95641">
      <w:pPr>
        <w:spacing w:line="360" w:lineRule="auto"/>
        <w:ind w:firstLineChars="200" w:firstLine="480"/>
        <w:rPr>
          <w:sz w:val="24"/>
        </w:rPr>
      </w:pPr>
      <w:r>
        <w:rPr>
          <w:sz w:val="24"/>
        </w:rPr>
        <w:t>集输管线采用埋地敷设，在正常生产过程中不会产生噪声污染，噪声主要来自气流摩擦噪声，气流摩擦噪声大小与天然气产量有关。根据类比调查，噪声级一般在</w:t>
      </w:r>
      <w:r>
        <w:rPr>
          <w:sz w:val="24"/>
        </w:rPr>
        <w:t>60</w:t>
      </w:r>
      <w:r>
        <w:rPr>
          <w:sz w:val="24"/>
        </w:rPr>
        <w:t>～</w:t>
      </w:r>
      <w:r>
        <w:rPr>
          <w:sz w:val="24"/>
        </w:rPr>
        <w:t>65dB</w:t>
      </w:r>
      <w:r>
        <w:rPr>
          <w:sz w:val="24"/>
        </w:rPr>
        <w:t>（</w:t>
      </w:r>
      <w:r>
        <w:rPr>
          <w:sz w:val="24"/>
        </w:rPr>
        <w:t>A</w:t>
      </w:r>
      <w:r>
        <w:rPr>
          <w:sz w:val="24"/>
        </w:rPr>
        <w:t>）。</w:t>
      </w:r>
    </w:p>
    <w:p w14:paraId="1B683C1B" w14:textId="77777777" w:rsidR="007D1E74" w:rsidRDefault="00A95641">
      <w:pPr>
        <w:pStyle w:val="affffff6"/>
        <w:ind w:firstLine="480"/>
        <w:rPr>
          <w:rFonts w:ascii="Times New Roman" w:hAnsi="Times New Roman" w:cs="Times New Roman"/>
        </w:rPr>
      </w:pPr>
      <w:r>
        <w:rPr>
          <w:rFonts w:ascii="Times New Roman" w:hAnsi="Times New Roman" w:cs="Times New Roman"/>
        </w:rPr>
        <w:t>主要为</w:t>
      </w:r>
      <w:r>
        <w:rPr>
          <w:rFonts w:ascii="Times New Roman" w:hAnsi="Times New Roman" w:cs="Times New Roman"/>
        </w:rPr>
        <w:t>1#</w:t>
      </w:r>
      <w:r>
        <w:rPr>
          <w:rFonts w:ascii="Times New Roman" w:hAnsi="Times New Roman" w:cs="Times New Roman"/>
        </w:rPr>
        <w:t>阀类重力分离器撬噪声，营运期各站场主要噪声源及声级强度见表</w:t>
      </w:r>
      <w:r>
        <w:rPr>
          <w:rFonts w:ascii="Times New Roman" w:hAnsi="Times New Roman" w:cs="Times New Roman"/>
        </w:rPr>
        <w:t xml:space="preserve"> 3.2-7</w:t>
      </w:r>
      <w:r>
        <w:rPr>
          <w:rFonts w:ascii="Times New Roman" w:hAnsi="Times New Roman" w:cs="Times New Roman"/>
        </w:rPr>
        <w:t>。</w:t>
      </w:r>
    </w:p>
    <w:p w14:paraId="08D694BB" w14:textId="77777777" w:rsidR="007D1E74" w:rsidRDefault="00A95641">
      <w:pPr>
        <w:pStyle w:val="affffff6"/>
        <w:ind w:firstLineChars="0" w:firstLine="0"/>
        <w:jc w:val="center"/>
        <w:rPr>
          <w:rFonts w:ascii="Times New Roman" w:hAnsi="Times New Roman" w:cs="Times New Roman"/>
          <w:sz w:val="21"/>
          <w:szCs w:val="20"/>
        </w:rPr>
      </w:pPr>
      <w:r>
        <w:rPr>
          <w:rFonts w:ascii="Times New Roman" w:hAnsi="Times New Roman" w:cs="Times New Roman"/>
          <w:b/>
          <w:sz w:val="21"/>
          <w:szCs w:val="20"/>
        </w:rPr>
        <w:t>表</w:t>
      </w:r>
      <w:r>
        <w:rPr>
          <w:rFonts w:ascii="Times New Roman" w:hAnsi="Times New Roman" w:cs="Times New Roman"/>
          <w:b/>
          <w:spacing w:val="1"/>
          <w:sz w:val="21"/>
          <w:szCs w:val="20"/>
        </w:rPr>
        <w:t xml:space="preserve"> </w:t>
      </w:r>
      <w:r>
        <w:rPr>
          <w:rFonts w:ascii="Times New Roman" w:hAnsi="Times New Roman" w:cs="Times New Roman"/>
          <w:b/>
          <w:sz w:val="21"/>
          <w:szCs w:val="20"/>
        </w:rPr>
        <w:t xml:space="preserve">3.2-7   </w:t>
      </w:r>
      <w:r>
        <w:rPr>
          <w:rFonts w:ascii="Times New Roman" w:hAnsi="Times New Roman" w:cs="Times New Roman"/>
          <w:b/>
          <w:sz w:val="21"/>
          <w:szCs w:val="20"/>
        </w:rPr>
        <w:t>阀室主要噪声源及声级强度</w:t>
      </w:r>
    </w:p>
    <w:tbl>
      <w:tblPr>
        <w:tblStyle w:val="affffc"/>
        <w:tblW w:w="0" w:type="auto"/>
        <w:tblLook w:val="04A0" w:firstRow="1" w:lastRow="0" w:firstColumn="1" w:lastColumn="0" w:noHBand="0" w:noVBand="1"/>
      </w:tblPr>
      <w:tblGrid>
        <w:gridCol w:w="700"/>
        <w:gridCol w:w="987"/>
        <w:gridCol w:w="1550"/>
        <w:gridCol w:w="1131"/>
        <w:gridCol w:w="1411"/>
        <w:gridCol w:w="1973"/>
        <w:gridCol w:w="1264"/>
      </w:tblGrid>
      <w:tr w:rsidR="007D1E74" w14:paraId="46E46023" w14:textId="77777777">
        <w:tc>
          <w:tcPr>
            <w:tcW w:w="704" w:type="dxa"/>
            <w:vAlign w:val="center"/>
          </w:tcPr>
          <w:p w14:paraId="2B1470E6"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sz w:val="18"/>
                <w:szCs w:val="18"/>
              </w:rPr>
              <w:lastRenderedPageBreak/>
              <w:t>序号</w:t>
            </w:r>
          </w:p>
        </w:tc>
        <w:tc>
          <w:tcPr>
            <w:tcW w:w="992" w:type="dxa"/>
            <w:vAlign w:val="center"/>
          </w:tcPr>
          <w:p w14:paraId="4A3BEC6A"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sz w:val="18"/>
                <w:szCs w:val="18"/>
              </w:rPr>
              <w:t>位置</w:t>
            </w:r>
          </w:p>
        </w:tc>
        <w:tc>
          <w:tcPr>
            <w:tcW w:w="1560" w:type="dxa"/>
            <w:vAlign w:val="center"/>
          </w:tcPr>
          <w:p w14:paraId="77E97592"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sz w:val="18"/>
                <w:szCs w:val="18"/>
              </w:rPr>
              <w:t>主要噪声设备</w:t>
            </w:r>
          </w:p>
        </w:tc>
        <w:tc>
          <w:tcPr>
            <w:tcW w:w="1134" w:type="dxa"/>
            <w:vAlign w:val="center"/>
          </w:tcPr>
          <w:p w14:paraId="525064CA"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sz w:val="18"/>
                <w:szCs w:val="18"/>
              </w:rPr>
              <w:t>数量（台）</w:t>
            </w:r>
          </w:p>
        </w:tc>
        <w:tc>
          <w:tcPr>
            <w:tcW w:w="1417" w:type="dxa"/>
            <w:vAlign w:val="center"/>
          </w:tcPr>
          <w:p w14:paraId="713771DF"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sz w:val="18"/>
                <w:szCs w:val="18"/>
              </w:rPr>
              <w:t>声级</w:t>
            </w:r>
            <w:r>
              <w:rPr>
                <w:rFonts w:ascii="Times New Roman" w:hAnsi="Times New Roman" w:cs="Times New Roman"/>
                <w:sz w:val="18"/>
                <w:szCs w:val="18"/>
              </w:rPr>
              <w:t>[dB</w:t>
            </w:r>
            <w:r>
              <w:rPr>
                <w:rFonts w:ascii="Times New Roman" w:hAnsi="Times New Roman" w:cs="Times New Roman"/>
                <w:sz w:val="18"/>
                <w:szCs w:val="18"/>
              </w:rPr>
              <w:t>（</w:t>
            </w:r>
            <w:r>
              <w:rPr>
                <w:rFonts w:ascii="Times New Roman" w:hAnsi="Times New Roman" w:cs="Times New Roman"/>
                <w:sz w:val="18"/>
                <w:szCs w:val="18"/>
              </w:rPr>
              <w:t>A</w:t>
            </w:r>
            <w:r>
              <w:rPr>
                <w:rFonts w:ascii="Times New Roman" w:hAnsi="Times New Roman" w:cs="Times New Roman"/>
                <w:sz w:val="18"/>
                <w:szCs w:val="18"/>
              </w:rPr>
              <w:t>）</w:t>
            </w:r>
            <w:r>
              <w:rPr>
                <w:rFonts w:ascii="Times New Roman" w:hAnsi="Times New Roman" w:cs="Times New Roman"/>
                <w:sz w:val="18"/>
                <w:szCs w:val="18"/>
              </w:rPr>
              <w:t>]</w:t>
            </w:r>
          </w:p>
        </w:tc>
        <w:tc>
          <w:tcPr>
            <w:tcW w:w="1985" w:type="dxa"/>
            <w:vAlign w:val="center"/>
          </w:tcPr>
          <w:p w14:paraId="771865B4"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sz w:val="18"/>
                <w:szCs w:val="18"/>
              </w:rPr>
              <w:t>降噪措施</w:t>
            </w:r>
          </w:p>
        </w:tc>
        <w:tc>
          <w:tcPr>
            <w:tcW w:w="1268" w:type="dxa"/>
            <w:vAlign w:val="center"/>
          </w:tcPr>
          <w:p w14:paraId="7E02A798"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sz w:val="18"/>
                <w:szCs w:val="18"/>
              </w:rPr>
              <w:t>降噪后声级</w:t>
            </w:r>
            <w:r>
              <w:rPr>
                <w:rFonts w:ascii="Times New Roman" w:hAnsi="Times New Roman" w:cs="Times New Roman"/>
                <w:sz w:val="18"/>
                <w:szCs w:val="18"/>
              </w:rPr>
              <w:t>[dB</w:t>
            </w:r>
            <w:r>
              <w:rPr>
                <w:rFonts w:ascii="Times New Roman" w:hAnsi="Times New Roman" w:cs="Times New Roman"/>
                <w:sz w:val="18"/>
                <w:szCs w:val="18"/>
              </w:rPr>
              <w:t>（</w:t>
            </w:r>
            <w:r>
              <w:rPr>
                <w:rFonts w:ascii="Times New Roman" w:hAnsi="Times New Roman" w:cs="Times New Roman"/>
                <w:sz w:val="18"/>
                <w:szCs w:val="18"/>
              </w:rPr>
              <w:t>A</w:t>
            </w:r>
            <w:r>
              <w:rPr>
                <w:rFonts w:ascii="Times New Roman" w:hAnsi="Times New Roman" w:cs="Times New Roman"/>
                <w:sz w:val="18"/>
                <w:szCs w:val="18"/>
              </w:rPr>
              <w:t>）</w:t>
            </w:r>
            <w:r>
              <w:rPr>
                <w:rFonts w:ascii="Times New Roman" w:hAnsi="Times New Roman" w:cs="Times New Roman"/>
                <w:sz w:val="18"/>
                <w:szCs w:val="18"/>
              </w:rPr>
              <w:t>]</w:t>
            </w:r>
          </w:p>
        </w:tc>
      </w:tr>
      <w:tr w:rsidR="007D1E74" w14:paraId="32584057" w14:textId="77777777">
        <w:tc>
          <w:tcPr>
            <w:tcW w:w="704" w:type="dxa"/>
            <w:vAlign w:val="center"/>
          </w:tcPr>
          <w:p w14:paraId="42490A89"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sz w:val="18"/>
                <w:szCs w:val="18"/>
              </w:rPr>
              <w:t>1</w:t>
            </w:r>
          </w:p>
        </w:tc>
        <w:tc>
          <w:tcPr>
            <w:tcW w:w="992" w:type="dxa"/>
            <w:vAlign w:val="center"/>
          </w:tcPr>
          <w:p w14:paraId="07261239"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sz w:val="18"/>
                <w:szCs w:val="18"/>
              </w:rPr>
              <w:t>1#</w:t>
            </w:r>
            <w:r>
              <w:rPr>
                <w:rFonts w:ascii="Times New Roman" w:hAnsi="Times New Roman" w:cs="Times New Roman"/>
                <w:sz w:val="18"/>
                <w:szCs w:val="18"/>
              </w:rPr>
              <w:t>阀室</w:t>
            </w:r>
          </w:p>
        </w:tc>
        <w:tc>
          <w:tcPr>
            <w:tcW w:w="1560" w:type="dxa"/>
            <w:vAlign w:val="center"/>
          </w:tcPr>
          <w:p w14:paraId="5A95D020"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sz w:val="18"/>
                <w:szCs w:val="18"/>
              </w:rPr>
              <w:t>重力分离器撬</w:t>
            </w:r>
          </w:p>
        </w:tc>
        <w:tc>
          <w:tcPr>
            <w:tcW w:w="1134" w:type="dxa"/>
            <w:vAlign w:val="center"/>
          </w:tcPr>
          <w:p w14:paraId="405E370A"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sz w:val="18"/>
                <w:szCs w:val="18"/>
              </w:rPr>
              <w:t>1</w:t>
            </w:r>
          </w:p>
        </w:tc>
        <w:tc>
          <w:tcPr>
            <w:tcW w:w="1417" w:type="dxa"/>
            <w:vAlign w:val="center"/>
          </w:tcPr>
          <w:p w14:paraId="7972452F"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sz w:val="18"/>
                <w:szCs w:val="18"/>
              </w:rPr>
              <w:t>75</w:t>
            </w:r>
          </w:p>
        </w:tc>
        <w:tc>
          <w:tcPr>
            <w:tcW w:w="1985" w:type="dxa"/>
            <w:vAlign w:val="center"/>
          </w:tcPr>
          <w:p w14:paraId="2FD51203" w14:textId="77777777" w:rsidR="007D1E74" w:rsidRDefault="00A95641">
            <w:pPr>
              <w:pStyle w:val="affffff6"/>
              <w:spacing w:line="240" w:lineRule="auto"/>
              <w:ind w:firstLineChars="100" w:firstLine="180"/>
              <w:rPr>
                <w:rFonts w:ascii="Times New Roman" w:hAnsi="Times New Roman" w:cs="Times New Roman"/>
                <w:sz w:val="18"/>
                <w:szCs w:val="18"/>
              </w:rPr>
            </w:pPr>
            <w:r>
              <w:rPr>
                <w:rFonts w:ascii="Times New Roman" w:hAnsi="Times New Roman" w:cs="Times New Roman"/>
                <w:sz w:val="18"/>
                <w:szCs w:val="18"/>
              </w:rPr>
              <w:t>隔声、低噪声设备</w:t>
            </w:r>
          </w:p>
        </w:tc>
        <w:tc>
          <w:tcPr>
            <w:tcW w:w="1268" w:type="dxa"/>
            <w:vAlign w:val="center"/>
          </w:tcPr>
          <w:p w14:paraId="1C20D356"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sz w:val="18"/>
                <w:szCs w:val="18"/>
              </w:rPr>
              <w:t>55</w:t>
            </w:r>
          </w:p>
        </w:tc>
      </w:tr>
      <w:tr w:rsidR="007D1E74" w14:paraId="0B8EA9F6" w14:textId="77777777">
        <w:tc>
          <w:tcPr>
            <w:tcW w:w="704" w:type="dxa"/>
            <w:vAlign w:val="center"/>
          </w:tcPr>
          <w:p w14:paraId="7EA928FC"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hint="eastAsia"/>
                <w:sz w:val="18"/>
                <w:szCs w:val="18"/>
              </w:rPr>
              <w:t>2</w:t>
            </w:r>
          </w:p>
        </w:tc>
        <w:tc>
          <w:tcPr>
            <w:tcW w:w="992" w:type="dxa"/>
            <w:vAlign w:val="center"/>
          </w:tcPr>
          <w:p w14:paraId="3A965484"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sz w:val="18"/>
                <w:szCs w:val="18"/>
              </w:rPr>
              <w:t>2#</w:t>
            </w:r>
            <w:r>
              <w:rPr>
                <w:rFonts w:ascii="Times New Roman" w:hAnsi="Times New Roman" w:cs="Times New Roman"/>
                <w:sz w:val="18"/>
                <w:szCs w:val="18"/>
              </w:rPr>
              <w:t>阀组</w:t>
            </w:r>
          </w:p>
        </w:tc>
        <w:tc>
          <w:tcPr>
            <w:tcW w:w="1560" w:type="dxa"/>
            <w:vAlign w:val="center"/>
          </w:tcPr>
          <w:p w14:paraId="3435274B"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sz w:val="18"/>
                <w:szCs w:val="18"/>
              </w:rPr>
              <w:t>气流</w:t>
            </w:r>
          </w:p>
        </w:tc>
        <w:tc>
          <w:tcPr>
            <w:tcW w:w="1134" w:type="dxa"/>
            <w:vAlign w:val="center"/>
          </w:tcPr>
          <w:p w14:paraId="76312BD4"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sz w:val="18"/>
                <w:szCs w:val="18"/>
              </w:rPr>
              <w:t>/</w:t>
            </w:r>
          </w:p>
        </w:tc>
        <w:tc>
          <w:tcPr>
            <w:tcW w:w="1417" w:type="dxa"/>
            <w:vAlign w:val="center"/>
          </w:tcPr>
          <w:p w14:paraId="576B5E13"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sz w:val="18"/>
                <w:szCs w:val="18"/>
              </w:rPr>
              <w:t>65</w:t>
            </w:r>
          </w:p>
        </w:tc>
        <w:tc>
          <w:tcPr>
            <w:tcW w:w="1985" w:type="dxa"/>
            <w:vAlign w:val="center"/>
          </w:tcPr>
          <w:p w14:paraId="4D04D4B2"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sz w:val="18"/>
                <w:szCs w:val="18"/>
              </w:rPr>
              <w:t>隔声、控制流速</w:t>
            </w:r>
          </w:p>
        </w:tc>
        <w:tc>
          <w:tcPr>
            <w:tcW w:w="1268" w:type="dxa"/>
            <w:vAlign w:val="center"/>
          </w:tcPr>
          <w:p w14:paraId="4D6089AE"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sz w:val="18"/>
                <w:szCs w:val="18"/>
              </w:rPr>
              <w:t>50</w:t>
            </w:r>
          </w:p>
        </w:tc>
      </w:tr>
      <w:tr w:rsidR="007D1E74" w14:paraId="13BE0758" w14:textId="77777777">
        <w:tc>
          <w:tcPr>
            <w:tcW w:w="704" w:type="dxa"/>
            <w:vAlign w:val="center"/>
          </w:tcPr>
          <w:p w14:paraId="7B1AFC5C"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hint="eastAsia"/>
                <w:sz w:val="18"/>
                <w:szCs w:val="18"/>
              </w:rPr>
              <w:t>3</w:t>
            </w:r>
          </w:p>
        </w:tc>
        <w:tc>
          <w:tcPr>
            <w:tcW w:w="992" w:type="dxa"/>
            <w:vAlign w:val="center"/>
          </w:tcPr>
          <w:p w14:paraId="555045E3"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sz w:val="18"/>
                <w:szCs w:val="18"/>
              </w:rPr>
              <w:t>3#</w:t>
            </w:r>
            <w:r>
              <w:rPr>
                <w:rFonts w:ascii="Times New Roman" w:hAnsi="Times New Roman" w:cs="Times New Roman"/>
                <w:sz w:val="18"/>
                <w:szCs w:val="18"/>
              </w:rPr>
              <w:t>阀组</w:t>
            </w:r>
          </w:p>
        </w:tc>
        <w:tc>
          <w:tcPr>
            <w:tcW w:w="1560" w:type="dxa"/>
          </w:tcPr>
          <w:p w14:paraId="03960809"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sz w:val="18"/>
                <w:szCs w:val="18"/>
              </w:rPr>
              <w:t>气流</w:t>
            </w:r>
          </w:p>
        </w:tc>
        <w:tc>
          <w:tcPr>
            <w:tcW w:w="1134" w:type="dxa"/>
            <w:vAlign w:val="center"/>
          </w:tcPr>
          <w:p w14:paraId="2DBEEA55"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sz w:val="18"/>
                <w:szCs w:val="18"/>
              </w:rPr>
              <w:t>/</w:t>
            </w:r>
          </w:p>
        </w:tc>
        <w:tc>
          <w:tcPr>
            <w:tcW w:w="1417" w:type="dxa"/>
            <w:vAlign w:val="center"/>
          </w:tcPr>
          <w:p w14:paraId="1030870A"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sz w:val="18"/>
                <w:szCs w:val="18"/>
              </w:rPr>
              <w:t>65</w:t>
            </w:r>
          </w:p>
        </w:tc>
        <w:tc>
          <w:tcPr>
            <w:tcW w:w="1985" w:type="dxa"/>
            <w:vAlign w:val="center"/>
          </w:tcPr>
          <w:p w14:paraId="30B93B0A"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sz w:val="18"/>
                <w:szCs w:val="18"/>
              </w:rPr>
              <w:t>隔声、控制流速</w:t>
            </w:r>
          </w:p>
        </w:tc>
        <w:tc>
          <w:tcPr>
            <w:tcW w:w="1268" w:type="dxa"/>
            <w:vAlign w:val="center"/>
          </w:tcPr>
          <w:p w14:paraId="4D1AAF25"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sz w:val="18"/>
                <w:szCs w:val="18"/>
              </w:rPr>
              <w:t>50</w:t>
            </w:r>
          </w:p>
        </w:tc>
      </w:tr>
      <w:tr w:rsidR="007D1E74" w14:paraId="5CC59CF5" w14:textId="77777777">
        <w:tc>
          <w:tcPr>
            <w:tcW w:w="704" w:type="dxa"/>
            <w:vAlign w:val="center"/>
          </w:tcPr>
          <w:p w14:paraId="7C2C79D5"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hint="eastAsia"/>
                <w:sz w:val="18"/>
                <w:szCs w:val="18"/>
              </w:rPr>
              <w:t>4</w:t>
            </w:r>
          </w:p>
        </w:tc>
        <w:tc>
          <w:tcPr>
            <w:tcW w:w="992" w:type="dxa"/>
            <w:vAlign w:val="center"/>
          </w:tcPr>
          <w:p w14:paraId="514AC96D"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sz w:val="18"/>
                <w:szCs w:val="18"/>
              </w:rPr>
              <w:t>4#</w:t>
            </w:r>
            <w:r>
              <w:rPr>
                <w:rFonts w:ascii="Times New Roman" w:hAnsi="Times New Roman" w:cs="Times New Roman"/>
                <w:sz w:val="18"/>
                <w:szCs w:val="18"/>
              </w:rPr>
              <w:t>阀组</w:t>
            </w:r>
          </w:p>
        </w:tc>
        <w:tc>
          <w:tcPr>
            <w:tcW w:w="1560" w:type="dxa"/>
          </w:tcPr>
          <w:p w14:paraId="3D1E4DEA"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sz w:val="18"/>
                <w:szCs w:val="18"/>
              </w:rPr>
              <w:t>气流</w:t>
            </w:r>
          </w:p>
        </w:tc>
        <w:tc>
          <w:tcPr>
            <w:tcW w:w="1134" w:type="dxa"/>
            <w:vAlign w:val="center"/>
          </w:tcPr>
          <w:p w14:paraId="4E9FD263"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sz w:val="18"/>
                <w:szCs w:val="18"/>
              </w:rPr>
              <w:t>/</w:t>
            </w:r>
          </w:p>
        </w:tc>
        <w:tc>
          <w:tcPr>
            <w:tcW w:w="1417" w:type="dxa"/>
            <w:vAlign w:val="center"/>
          </w:tcPr>
          <w:p w14:paraId="64570BA3"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sz w:val="18"/>
                <w:szCs w:val="18"/>
              </w:rPr>
              <w:t>65</w:t>
            </w:r>
          </w:p>
        </w:tc>
        <w:tc>
          <w:tcPr>
            <w:tcW w:w="1985" w:type="dxa"/>
            <w:vAlign w:val="center"/>
          </w:tcPr>
          <w:p w14:paraId="7A6646BA"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sz w:val="18"/>
                <w:szCs w:val="18"/>
              </w:rPr>
              <w:t>隔声、控制流速</w:t>
            </w:r>
          </w:p>
        </w:tc>
        <w:tc>
          <w:tcPr>
            <w:tcW w:w="1268" w:type="dxa"/>
            <w:vAlign w:val="center"/>
          </w:tcPr>
          <w:p w14:paraId="40B43798" w14:textId="77777777" w:rsidR="007D1E74" w:rsidRDefault="00A95641">
            <w:pPr>
              <w:pStyle w:val="affffff6"/>
              <w:spacing w:line="240" w:lineRule="auto"/>
              <w:ind w:firstLineChars="0" w:firstLine="0"/>
              <w:jc w:val="center"/>
              <w:rPr>
                <w:rFonts w:ascii="Times New Roman" w:hAnsi="Times New Roman" w:cs="Times New Roman"/>
                <w:sz w:val="18"/>
                <w:szCs w:val="18"/>
              </w:rPr>
            </w:pPr>
            <w:r>
              <w:rPr>
                <w:rFonts w:ascii="Times New Roman" w:hAnsi="Times New Roman" w:cs="Times New Roman"/>
                <w:sz w:val="18"/>
                <w:szCs w:val="18"/>
              </w:rPr>
              <w:t>50</w:t>
            </w:r>
          </w:p>
        </w:tc>
      </w:tr>
    </w:tbl>
    <w:p w14:paraId="24233B92" w14:textId="77777777" w:rsidR="007D1E74" w:rsidRDefault="00A95641">
      <w:pPr>
        <w:pStyle w:val="affffff6"/>
        <w:ind w:firstLine="480"/>
        <w:rPr>
          <w:rFonts w:ascii="Times New Roman" w:hAnsi="Times New Roman" w:cs="Times New Roman"/>
        </w:rPr>
      </w:pPr>
      <w:r>
        <w:rPr>
          <w:rFonts w:ascii="Times New Roman" w:hAnsi="Times New Roman" w:cs="Times New Roman"/>
        </w:rPr>
        <w:t>针对</w:t>
      </w:r>
      <w:r>
        <w:rPr>
          <w:rFonts w:ascii="Times New Roman" w:hAnsi="Times New Roman" w:cs="Times New Roman"/>
        </w:rPr>
        <w:t>1#</w:t>
      </w:r>
      <w:r>
        <w:rPr>
          <w:rFonts w:ascii="Times New Roman" w:hAnsi="Times New Roman" w:cs="Times New Roman"/>
        </w:rPr>
        <w:t>阀室，通过选用低噪声设备、采取隔声减振措施后，可使站场厂界噪声满足《工业企业场界环境噪声排放标准》（</w:t>
      </w:r>
      <w:r>
        <w:rPr>
          <w:rFonts w:ascii="Times New Roman" w:hAnsi="Times New Roman" w:cs="Times New Roman"/>
        </w:rPr>
        <w:t>GB12348-2008</w:t>
      </w:r>
      <w:r>
        <w:rPr>
          <w:rFonts w:ascii="Times New Roman" w:hAnsi="Times New Roman" w:cs="Times New Roman"/>
        </w:rPr>
        <w:t>）中</w:t>
      </w:r>
      <w:r>
        <w:rPr>
          <w:rFonts w:ascii="Times New Roman" w:hAnsi="Times New Roman" w:cs="Times New Roman"/>
        </w:rPr>
        <w:t>2</w:t>
      </w:r>
      <w:r>
        <w:rPr>
          <w:rFonts w:ascii="Times New Roman" w:hAnsi="Times New Roman" w:cs="Times New Roman"/>
        </w:rPr>
        <w:t>类区标准（昼间</w:t>
      </w:r>
      <w:r>
        <w:rPr>
          <w:rFonts w:ascii="Times New Roman" w:hAnsi="Times New Roman" w:cs="Times New Roman"/>
        </w:rPr>
        <w:t>60dB</w:t>
      </w:r>
      <w:r>
        <w:rPr>
          <w:rFonts w:ascii="Times New Roman" w:hAnsi="Times New Roman" w:cs="Times New Roman"/>
        </w:rPr>
        <w:t>，夜间</w:t>
      </w:r>
      <w:r>
        <w:rPr>
          <w:rFonts w:ascii="Times New Roman" w:hAnsi="Times New Roman" w:cs="Times New Roman"/>
        </w:rPr>
        <w:t>50dB</w:t>
      </w:r>
      <w:r>
        <w:rPr>
          <w:rFonts w:ascii="Times New Roman" w:hAnsi="Times New Roman" w:cs="Times New Roman"/>
        </w:rPr>
        <w:t>）。</w:t>
      </w:r>
    </w:p>
    <w:p w14:paraId="76B11E56" w14:textId="77777777" w:rsidR="007D1E74" w:rsidRDefault="00A95641">
      <w:pPr>
        <w:spacing w:line="360" w:lineRule="auto"/>
        <w:ind w:firstLineChars="200" w:firstLine="480"/>
        <w:rPr>
          <w:sz w:val="24"/>
        </w:rPr>
      </w:pPr>
      <w:r>
        <w:rPr>
          <w:sz w:val="24"/>
        </w:rPr>
        <w:t>管线噪声控制措施：为有效控制噪声，首先在管道选线时尽量顺直，减少弯道控制气流速度，减少管道的弯头、三通等管建，降低噪声。</w:t>
      </w:r>
    </w:p>
    <w:p w14:paraId="03E5C255" w14:textId="77777777" w:rsidR="007D1E74" w:rsidRDefault="00A95641">
      <w:pPr>
        <w:spacing w:line="360" w:lineRule="auto"/>
        <w:ind w:firstLineChars="200" w:firstLine="480"/>
        <w:rPr>
          <w:sz w:val="24"/>
        </w:rPr>
      </w:pPr>
      <w:r>
        <w:rPr>
          <w:sz w:val="24"/>
        </w:rPr>
        <w:t>通过采取这些噪声控制措施后，噪声源声级值能降至</w:t>
      </w:r>
      <w:r>
        <w:rPr>
          <w:sz w:val="24"/>
        </w:rPr>
        <w:t>60dB</w:t>
      </w:r>
      <w:r>
        <w:rPr>
          <w:sz w:val="24"/>
        </w:rPr>
        <w:t>（</w:t>
      </w:r>
      <w:r>
        <w:rPr>
          <w:sz w:val="24"/>
        </w:rPr>
        <w:t>A</w:t>
      </w:r>
      <w:r>
        <w:rPr>
          <w:sz w:val="24"/>
        </w:rPr>
        <w:t>）以下。</w:t>
      </w:r>
    </w:p>
    <w:p w14:paraId="205CD860" w14:textId="77777777" w:rsidR="007D1E74" w:rsidRDefault="00A95641">
      <w:pPr>
        <w:spacing w:line="360" w:lineRule="auto"/>
        <w:ind w:firstLineChars="200" w:firstLine="482"/>
        <w:rPr>
          <w:b/>
          <w:bCs/>
          <w:sz w:val="24"/>
        </w:rPr>
      </w:pPr>
      <w:r>
        <w:rPr>
          <w:b/>
          <w:bCs/>
          <w:sz w:val="24"/>
        </w:rPr>
        <w:t>4</w:t>
      </w:r>
      <w:r>
        <w:rPr>
          <w:b/>
          <w:bCs/>
          <w:sz w:val="24"/>
        </w:rPr>
        <w:t>、固体废物</w:t>
      </w:r>
    </w:p>
    <w:p w14:paraId="24E595C5" w14:textId="77777777" w:rsidR="007D1E74" w:rsidRDefault="00A95641">
      <w:pPr>
        <w:spacing w:line="360" w:lineRule="auto"/>
        <w:ind w:firstLineChars="200" w:firstLine="480"/>
        <w:rPr>
          <w:sz w:val="24"/>
        </w:rPr>
      </w:pPr>
      <w:r>
        <w:rPr>
          <w:sz w:val="24"/>
        </w:rPr>
        <w:t>营运期管线采用密闭输气工艺，正常情况下不会产生固体废物。</w:t>
      </w:r>
    </w:p>
    <w:p w14:paraId="16AF7791" w14:textId="77777777" w:rsidR="007D1E74" w:rsidRDefault="00A95641">
      <w:pPr>
        <w:spacing w:line="360" w:lineRule="auto"/>
        <w:ind w:firstLineChars="200" w:firstLine="480"/>
        <w:rPr>
          <w:sz w:val="24"/>
        </w:rPr>
      </w:pPr>
      <w:r>
        <w:rPr>
          <w:rFonts w:hint="eastAsia"/>
          <w:sz w:val="24"/>
        </w:rPr>
        <w:t>本工程新增的固体废弃物主要为重力分离器撬正常运行时产生的过滤废渣，以及清管作业时产生的少量清管废渣，主要成分为天然气中的固体杂质、废铁屑、废清管球等。</w:t>
      </w:r>
    </w:p>
    <w:p w14:paraId="648AB6B6" w14:textId="77777777" w:rsidR="007D1E74" w:rsidRDefault="00A95641">
      <w:pPr>
        <w:pStyle w:val="affffff6"/>
        <w:ind w:firstLine="480"/>
      </w:pPr>
      <w:r>
        <w:rPr>
          <w:rFonts w:ascii="Times New Roman" w:hAnsi="Times New Roman" w:hint="eastAsia"/>
        </w:rPr>
        <w:t>过滤废渣类比中石油同类项目过滤池过滤废渣月</w:t>
      </w:r>
      <w:r>
        <w:rPr>
          <w:rFonts w:ascii="Times New Roman" w:hAnsi="Times New Roman"/>
        </w:rPr>
        <w:t>3kg/</w:t>
      </w:r>
      <w:r>
        <w:rPr>
          <w:rFonts w:ascii="Times New Roman" w:hAnsi="Times New Roman" w:hint="eastAsia"/>
        </w:rPr>
        <w:t>a</w:t>
      </w:r>
      <w:r>
        <w:rPr>
          <w:rFonts w:ascii="Times New Roman" w:hAnsi="Times New Roman" w:hint="eastAsia"/>
        </w:rPr>
        <w:t>，清管废渣产生量极少，约为</w:t>
      </w:r>
      <w:r>
        <w:rPr>
          <w:rFonts w:ascii="Times New Roman" w:hAnsi="Times New Roman" w:hint="eastAsia"/>
        </w:rPr>
        <w:t>1</w:t>
      </w:r>
      <w:r>
        <w:rPr>
          <w:rFonts w:ascii="Times New Roman" w:hAnsi="Times New Roman"/>
        </w:rPr>
        <w:t>0kg/</w:t>
      </w:r>
      <w:r>
        <w:rPr>
          <w:rFonts w:ascii="Times New Roman" w:hAnsi="Times New Roman" w:hint="eastAsia"/>
        </w:rPr>
        <w:t>次，本项目</w:t>
      </w:r>
      <w:r>
        <w:rPr>
          <w:rFonts w:ascii="Times New Roman" w:hAnsi="Times New Roman" w:hint="eastAsia"/>
        </w:rPr>
        <w:t>1#</w:t>
      </w:r>
      <w:r>
        <w:rPr>
          <w:rFonts w:ascii="Times New Roman" w:hAnsi="Times New Roman" w:hint="eastAsia"/>
        </w:rPr>
        <w:t>阀室、马</w:t>
      </w:r>
      <w:r>
        <w:rPr>
          <w:rFonts w:ascii="Times New Roman" w:hAnsi="Times New Roman" w:hint="eastAsia"/>
        </w:rPr>
        <w:t>1</w:t>
      </w:r>
      <w:r>
        <w:rPr>
          <w:rFonts w:ascii="Times New Roman" w:hAnsi="Times New Roman"/>
        </w:rPr>
        <w:t>-11</w:t>
      </w:r>
      <w:r>
        <w:rPr>
          <w:rFonts w:ascii="Times New Roman" w:hAnsi="Times New Roman" w:hint="eastAsia"/>
        </w:rPr>
        <w:t>、</w:t>
      </w:r>
      <w:r>
        <w:rPr>
          <w:rFonts w:ascii="Times New Roman" w:hAnsi="Times New Roman" w:hint="eastAsia"/>
        </w:rPr>
        <w:t>4#</w:t>
      </w:r>
      <w:r>
        <w:rPr>
          <w:rFonts w:ascii="Times New Roman" w:hAnsi="Times New Roman" w:hint="eastAsia"/>
        </w:rPr>
        <w:t>阀组等年产生清管废渣</w:t>
      </w:r>
      <w:r>
        <w:rPr>
          <w:rFonts w:ascii="Times New Roman" w:hAnsi="Times New Roman" w:hint="eastAsia"/>
        </w:rPr>
        <w:t>4</w:t>
      </w:r>
      <w:r>
        <w:rPr>
          <w:rFonts w:ascii="Times New Roman" w:hAnsi="Times New Roman"/>
        </w:rPr>
        <w:t>0kg/a</w:t>
      </w:r>
      <w:r>
        <w:rPr>
          <w:rFonts w:ascii="Times New Roman" w:hAnsi="Times New Roman" w:hint="eastAsia"/>
        </w:rPr>
        <w:t>，定期交由环卫部门清运。</w:t>
      </w:r>
    </w:p>
    <w:p w14:paraId="3890576F" w14:textId="77777777" w:rsidR="007D1E74" w:rsidRDefault="00A95641">
      <w:pPr>
        <w:pStyle w:val="affffff6"/>
        <w:ind w:firstLineChars="0" w:firstLine="0"/>
        <w:jc w:val="center"/>
        <w:rPr>
          <w:rFonts w:ascii="Times New Roman" w:hAnsi="Times New Roman" w:cs="Times New Roman"/>
          <w:b/>
          <w:sz w:val="21"/>
          <w:szCs w:val="20"/>
        </w:rPr>
      </w:pPr>
      <w:r>
        <w:rPr>
          <w:rFonts w:ascii="Times New Roman" w:hAnsi="Times New Roman" w:cs="Times New Roman"/>
          <w:b/>
          <w:sz w:val="21"/>
          <w:szCs w:val="20"/>
        </w:rPr>
        <w:t>表</w:t>
      </w:r>
      <w:r>
        <w:rPr>
          <w:rFonts w:ascii="Times New Roman" w:hAnsi="Times New Roman" w:cs="Times New Roman"/>
          <w:b/>
          <w:sz w:val="21"/>
          <w:szCs w:val="20"/>
        </w:rPr>
        <w:t xml:space="preserve">3.2-8   </w:t>
      </w:r>
      <w:r>
        <w:rPr>
          <w:rFonts w:ascii="Times New Roman" w:hAnsi="Times New Roman" w:cs="Times New Roman"/>
          <w:b/>
          <w:sz w:val="21"/>
          <w:szCs w:val="20"/>
        </w:rPr>
        <w:t>营运期主要污染源和污染物源强汇总表</w:t>
      </w:r>
    </w:p>
    <w:tbl>
      <w:tblPr>
        <w:tblStyle w:val="affffc"/>
        <w:tblW w:w="0" w:type="auto"/>
        <w:jc w:val="center"/>
        <w:tblLook w:val="04A0" w:firstRow="1" w:lastRow="0" w:firstColumn="1" w:lastColumn="0" w:noHBand="0" w:noVBand="1"/>
      </w:tblPr>
      <w:tblGrid>
        <w:gridCol w:w="1123"/>
        <w:gridCol w:w="2116"/>
        <w:gridCol w:w="1268"/>
        <w:gridCol w:w="1556"/>
        <w:gridCol w:w="1451"/>
        <w:gridCol w:w="1502"/>
      </w:tblGrid>
      <w:tr w:rsidR="007D1E74" w14:paraId="6935875B" w14:textId="77777777">
        <w:trPr>
          <w:jc w:val="center"/>
        </w:trPr>
        <w:tc>
          <w:tcPr>
            <w:tcW w:w="1129" w:type="dxa"/>
          </w:tcPr>
          <w:p w14:paraId="147705B5"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b/>
                <w:bCs/>
                <w:sz w:val="21"/>
                <w:szCs w:val="20"/>
              </w:rPr>
            </w:pPr>
            <w:r>
              <w:rPr>
                <w:rFonts w:ascii="Times New Roman" w:hAnsi="Times New Roman" w:cs="Times New Roman"/>
                <w:b/>
                <w:bCs/>
                <w:sz w:val="21"/>
                <w:szCs w:val="20"/>
              </w:rPr>
              <w:t>污染类型</w:t>
            </w:r>
          </w:p>
        </w:tc>
        <w:tc>
          <w:tcPr>
            <w:tcW w:w="2127" w:type="dxa"/>
          </w:tcPr>
          <w:p w14:paraId="3522B610"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b/>
                <w:bCs/>
                <w:sz w:val="21"/>
                <w:szCs w:val="20"/>
              </w:rPr>
            </w:pPr>
            <w:r>
              <w:rPr>
                <w:rFonts w:ascii="Times New Roman" w:hAnsi="Times New Roman" w:cs="Times New Roman"/>
                <w:b/>
                <w:bCs/>
                <w:sz w:val="21"/>
                <w:szCs w:val="20"/>
              </w:rPr>
              <w:t>污染源</w:t>
            </w:r>
          </w:p>
        </w:tc>
        <w:tc>
          <w:tcPr>
            <w:tcW w:w="1275" w:type="dxa"/>
          </w:tcPr>
          <w:p w14:paraId="0FAF5E54"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b/>
                <w:bCs/>
                <w:sz w:val="21"/>
                <w:szCs w:val="20"/>
              </w:rPr>
            </w:pPr>
            <w:r>
              <w:rPr>
                <w:rFonts w:ascii="Times New Roman" w:hAnsi="Times New Roman" w:cs="Times New Roman"/>
                <w:b/>
                <w:bCs/>
                <w:sz w:val="21"/>
                <w:szCs w:val="20"/>
              </w:rPr>
              <w:t>主要污染物</w:t>
            </w:r>
          </w:p>
        </w:tc>
        <w:tc>
          <w:tcPr>
            <w:tcW w:w="1560" w:type="dxa"/>
          </w:tcPr>
          <w:p w14:paraId="55C2802D"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b/>
                <w:bCs/>
                <w:sz w:val="21"/>
                <w:szCs w:val="20"/>
              </w:rPr>
            </w:pPr>
            <w:r>
              <w:rPr>
                <w:rFonts w:ascii="Times New Roman" w:hAnsi="Times New Roman" w:cs="Times New Roman"/>
                <w:b/>
                <w:bCs/>
                <w:sz w:val="21"/>
                <w:szCs w:val="20"/>
              </w:rPr>
              <w:t>产生量</w:t>
            </w:r>
          </w:p>
        </w:tc>
        <w:tc>
          <w:tcPr>
            <w:tcW w:w="1459" w:type="dxa"/>
          </w:tcPr>
          <w:p w14:paraId="21BC1903"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b/>
                <w:bCs/>
                <w:sz w:val="21"/>
                <w:szCs w:val="20"/>
              </w:rPr>
            </w:pPr>
            <w:r>
              <w:rPr>
                <w:rFonts w:ascii="Times New Roman" w:hAnsi="Times New Roman" w:cs="Times New Roman"/>
                <w:b/>
                <w:bCs/>
                <w:sz w:val="21"/>
                <w:szCs w:val="20"/>
              </w:rPr>
              <w:t>排放方式</w:t>
            </w:r>
          </w:p>
        </w:tc>
        <w:tc>
          <w:tcPr>
            <w:tcW w:w="1510" w:type="dxa"/>
          </w:tcPr>
          <w:p w14:paraId="481859B0"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b/>
                <w:bCs/>
                <w:sz w:val="21"/>
                <w:szCs w:val="20"/>
              </w:rPr>
            </w:pPr>
            <w:r>
              <w:rPr>
                <w:rFonts w:ascii="Times New Roman" w:hAnsi="Times New Roman" w:cs="Times New Roman"/>
                <w:b/>
                <w:bCs/>
                <w:sz w:val="21"/>
                <w:szCs w:val="20"/>
              </w:rPr>
              <w:t>排放去向</w:t>
            </w:r>
          </w:p>
        </w:tc>
      </w:tr>
      <w:tr w:rsidR="007D1E74" w14:paraId="3DD46D58" w14:textId="77777777">
        <w:trPr>
          <w:jc w:val="center"/>
        </w:trPr>
        <w:tc>
          <w:tcPr>
            <w:tcW w:w="1129" w:type="dxa"/>
            <w:vAlign w:val="center"/>
          </w:tcPr>
          <w:p w14:paraId="4596A6C5"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废气</w:t>
            </w:r>
          </w:p>
        </w:tc>
        <w:tc>
          <w:tcPr>
            <w:tcW w:w="2127" w:type="dxa"/>
            <w:vAlign w:val="center"/>
          </w:tcPr>
          <w:p w14:paraId="3F889EF2"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清管作业废气</w:t>
            </w:r>
          </w:p>
        </w:tc>
        <w:tc>
          <w:tcPr>
            <w:tcW w:w="1275" w:type="dxa"/>
            <w:vAlign w:val="center"/>
          </w:tcPr>
          <w:p w14:paraId="77467969"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总烃</w:t>
            </w:r>
          </w:p>
        </w:tc>
        <w:tc>
          <w:tcPr>
            <w:tcW w:w="1560" w:type="dxa"/>
            <w:vAlign w:val="center"/>
          </w:tcPr>
          <w:p w14:paraId="65ACA6A1"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60m</w:t>
            </w:r>
            <w:r>
              <w:rPr>
                <w:rFonts w:ascii="Times New Roman" w:hAnsi="Times New Roman" w:cs="Times New Roman"/>
                <w:sz w:val="21"/>
                <w:szCs w:val="20"/>
                <w:vertAlign w:val="superscript"/>
              </w:rPr>
              <w:t>3</w:t>
            </w:r>
            <w:r>
              <w:rPr>
                <w:rFonts w:ascii="Times New Roman" w:hAnsi="Times New Roman" w:cs="Times New Roman"/>
                <w:sz w:val="21"/>
                <w:szCs w:val="20"/>
              </w:rPr>
              <w:t>/a</w:t>
            </w:r>
          </w:p>
        </w:tc>
        <w:tc>
          <w:tcPr>
            <w:tcW w:w="1459" w:type="dxa"/>
            <w:vAlign w:val="center"/>
          </w:tcPr>
          <w:p w14:paraId="2B816780"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间歇排放</w:t>
            </w:r>
          </w:p>
        </w:tc>
        <w:tc>
          <w:tcPr>
            <w:tcW w:w="1510" w:type="dxa"/>
            <w:vAlign w:val="center"/>
          </w:tcPr>
          <w:p w14:paraId="1E6C5A64"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无组织排放进入环境空气</w:t>
            </w:r>
          </w:p>
        </w:tc>
      </w:tr>
      <w:tr w:rsidR="007D1E74" w14:paraId="416CA7C4" w14:textId="77777777">
        <w:trPr>
          <w:jc w:val="center"/>
        </w:trPr>
        <w:tc>
          <w:tcPr>
            <w:tcW w:w="1129" w:type="dxa"/>
            <w:vAlign w:val="center"/>
          </w:tcPr>
          <w:p w14:paraId="19739998"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废水</w:t>
            </w:r>
          </w:p>
        </w:tc>
        <w:tc>
          <w:tcPr>
            <w:tcW w:w="2127" w:type="dxa"/>
            <w:vAlign w:val="center"/>
          </w:tcPr>
          <w:p w14:paraId="02D820C8"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分离废水</w:t>
            </w:r>
          </w:p>
        </w:tc>
        <w:tc>
          <w:tcPr>
            <w:tcW w:w="1275" w:type="dxa"/>
            <w:vAlign w:val="center"/>
          </w:tcPr>
          <w:p w14:paraId="386E53DA"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w:t>
            </w:r>
          </w:p>
        </w:tc>
        <w:tc>
          <w:tcPr>
            <w:tcW w:w="1560" w:type="dxa"/>
            <w:vAlign w:val="center"/>
          </w:tcPr>
          <w:p w14:paraId="7B9398B4"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12m</w:t>
            </w:r>
            <w:r>
              <w:rPr>
                <w:rFonts w:ascii="Times New Roman" w:hAnsi="Times New Roman" w:cs="Times New Roman"/>
                <w:sz w:val="21"/>
                <w:szCs w:val="20"/>
                <w:vertAlign w:val="superscript"/>
              </w:rPr>
              <w:t>3</w:t>
            </w:r>
            <w:r>
              <w:rPr>
                <w:rFonts w:ascii="Times New Roman" w:hAnsi="Times New Roman" w:cs="Times New Roman"/>
                <w:sz w:val="21"/>
                <w:szCs w:val="20"/>
              </w:rPr>
              <w:t>/d</w:t>
            </w:r>
          </w:p>
        </w:tc>
        <w:tc>
          <w:tcPr>
            <w:tcW w:w="1459" w:type="dxa"/>
            <w:vAlign w:val="center"/>
          </w:tcPr>
          <w:p w14:paraId="68561F4F"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不外排</w:t>
            </w:r>
          </w:p>
        </w:tc>
        <w:tc>
          <w:tcPr>
            <w:tcW w:w="1510" w:type="dxa"/>
            <w:vAlign w:val="center"/>
          </w:tcPr>
          <w:p w14:paraId="4AFC0585"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定期转运至污水处理厂</w:t>
            </w:r>
          </w:p>
        </w:tc>
      </w:tr>
      <w:tr w:rsidR="007D1E74" w14:paraId="63415D1F" w14:textId="77777777">
        <w:trPr>
          <w:jc w:val="center"/>
        </w:trPr>
        <w:tc>
          <w:tcPr>
            <w:tcW w:w="1129" w:type="dxa"/>
            <w:vAlign w:val="center"/>
          </w:tcPr>
          <w:p w14:paraId="006CEBFD"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噪声</w:t>
            </w:r>
          </w:p>
        </w:tc>
        <w:tc>
          <w:tcPr>
            <w:tcW w:w="2127" w:type="dxa"/>
            <w:vAlign w:val="center"/>
          </w:tcPr>
          <w:p w14:paraId="6DA5FDF5"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重力分离器撬、管线</w:t>
            </w:r>
          </w:p>
        </w:tc>
        <w:tc>
          <w:tcPr>
            <w:tcW w:w="1275" w:type="dxa"/>
            <w:vAlign w:val="center"/>
          </w:tcPr>
          <w:p w14:paraId="140C90ED"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噪声</w:t>
            </w:r>
          </w:p>
        </w:tc>
        <w:tc>
          <w:tcPr>
            <w:tcW w:w="1560" w:type="dxa"/>
            <w:vAlign w:val="center"/>
          </w:tcPr>
          <w:p w14:paraId="412088EC"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60~75dB</w:t>
            </w:r>
            <w:r>
              <w:rPr>
                <w:rFonts w:ascii="Times New Roman" w:hAnsi="Times New Roman" w:cs="Times New Roman"/>
                <w:sz w:val="21"/>
                <w:szCs w:val="20"/>
              </w:rPr>
              <w:t>（</w:t>
            </w:r>
            <w:r>
              <w:rPr>
                <w:rFonts w:ascii="Times New Roman" w:hAnsi="Times New Roman" w:cs="Times New Roman"/>
                <w:sz w:val="21"/>
                <w:szCs w:val="20"/>
              </w:rPr>
              <w:t>A</w:t>
            </w:r>
            <w:r>
              <w:rPr>
                <w:rFonts w:ascii="Times New Roman" w:hAnsi="Times New Roman" w:cs="Times New Roman"/>
                <w:sz w:val="21"/>
                <w:szCs w:val="20"/>
              </w:rPr>
              <w:t>）</w:t>
            </w:r>
          </w:p>
        </w:tc>
        <w:tc>
          <w:tcPr>
            <w:tcW w:w="1459" w:type="dxa"/>
            <w:vAlign w:val="center"/>
          </w:tcPr>
          <w:p w14:paraId="1831A1C0"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连续排放</w:t>
            </w:r>
          </w:p>
        </w:tc>
        <w:tc>
          <w:tcPr>
            <w:tcW w:w="1510" w:type="dxa"/>
            <w:vAlign w:val="center"/>
          </w:tcPr>
          <w:p w14:paraId="4316F853"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周围环境</w:t>
            </w:r>
          </w:p>
        </w:tc>
      </w:tr>
      <w:tr w:rsidR="007D1E74" w14:paraId="498FB13D" w14:textId="77777777">
        <w:trPr>
          <w:jc w:val="center"/>
        </w:trPr>
        <w:tc>
          <w:tcPr>
            <w:tcW w:w="1129" w:type="dxa"/>
            <w:vMerge w:val="restart"/>
            <w:vAlign w:val="center"/>
          </w:tcPr>
          <w:p w14:paraId="5D9E475A"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hint="eastAsia"/>
                <w:sz w:val="21"/>
                <w:szCs w:val="20"/>
              </w:rPr>
              <w:t>固废</w:t>
            </w:r>
          </w:p>
        </w:tc>
        <w:tc>
          <w:tcPr>
            <w:tcW w:w="2127" w:type="dxa"/>
            <w:vMerge w:val="restart"/>
            <w:vAlign w:val="center"/>
          </w:tcPr>
          <w:p w14:paraId="1C24206A"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hint="eastAsia"/>
                <w:sz w:val="21"/>
                <w:szCs w:val="20"/>
              </w:rPr>
              <w:t>1#</w:t>
            </w:r>
            <w:r>
              <w:rPr>
                <w:rFonts w:ascii="Times New Roman" w:hAnsi="Times New Roman" w:cs="Times New Roman" w:hint="eastAsia"/>
                <w:sz w:val="21"/>
                <w:szCs w:val="20"/>
              </w:rPr>
              <w:t>阀室等</w:t>
            </w:r>
          </w:p>
        </w:tc>
        <w:tc>
          <w:tcPr>
            <w:tcW w:w="1275" w:type="dxa"/>
            <w:vAlign w:val="center"/>
          </w:tcPr>
          <w:p w14:paraId="30FC3862"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hint="eastAsia"/>
                <w:sz w:val="21"/>
                <w:szCs w:val="20"/>
              </w:rPr>
              <w:t>过滤废渣</w:t>
            </w:r>
          </w:p>
        </w:tc>
        <w:tc>
          <w:tcPr>
            <w:tcW w:w="1560" w:type="dxa"/>
            <w:vAlign w:val="center"/>
          </w:tcPr>
          <w:p w14:paraId="570BD214"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hint="eastAsia"/>
                <w:sz w:val="21"/>
                <w:szCs w:val="20"/>
              </w:rPr>
              <w:t>3</w:t>
            </w:r>
            <w:r>
              <w:rPr>
                <w:rFonts w:ascii="Times New Roman" w:hAnsi="Times New Roman" w:cs="Times New Roman"/>
                <w:sz w:val="21"/>
                <w:szCs w:val="20"/>
              </w:rPr>
              <w:t>kg/a</w:t>
            </w:r>
          </w:p>
        </w:tc>
        <w:tc>
          <w:tcPr>
            <w:tcW w:w="1459" w:type="dxa"/>
          </w:tcPr>
          <w:p w14:paraId="7B87383B"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间歇排放</w:t>
            </w:r>
          </w:p>
        </w:tc>
        <w:tc>
          <w:tcPr>
            <w:tcW w:w="1510" w:type="dxa"/>
            <w:vMerge w:val="restart"/>
            <w:vAlign w:val="center"/>
          </w:tcPr>
          <w:p w14:paraId="0D853004"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hint="eastAsia"/>
                <w:sz w:val="21"/>
                <w:szCs w:val="20"/>
              </w:rPr>
              <w:t>定期交由环卫部门清运</w:t>
            </w:r>
          </w:p>
        </w:tc>
      </w:tr>
      <w:tr w:rsidR="007D1E74" w14:paraId="03C128D2" w14:textId="77777777">
        <w:trPr>
          <w:jc w:val="center"/>
        </w:trPr>
        <w:tc>
          <w:tcPr>
            <w:tcW w:w="1129" w:type="dxa"/>
            <w:vMerge/>
            <w:vAlign w:val="center"/>
          </w:tcPr>
          <w:p w14:paraId="288F5C4F" w14:textId="77777777" w:rsidR="007D1E74" w:rsidRDefault="007D1E74">
            <w:pPr>
              <w:pStyle w:val="affffff6"/>
              <w:adjustRightInd w:val="0"/>
              <w:snapToGrid w:val="0"/>
              <w:spacing w:line="240" w:lineRule="auto"/>
              <w:ind w:firstLineChars="0" w:firstLine="0"/>
              <w:jc w:val="center"/>
              <w:rPr>
                <w:rFonts w:ascii="Times New Roman" w:hAnsi="Times New Roman" w:cs="Times New Roman"/>
                <w:sz w:val="21"/>
                <w:szCs w:val="20"/>
              </w:rPr>
            </w:pPr>
          </w:p>
        </w:tc>
        <w:tc>
          <w:tcPr>
            <w:tcW w:w="2127" w:type="dxa"/>
            <w:vMerge/>
            <w:vAlign w:val="center"/>
          </w:tcPr>
          <w:p w14:paraId="1ED512CD" w14:textId="77777777" w:rsidR="007D1E74" w:rsidRDefault="007D1E74">
            <w:pPr>
              <w:pStyle w:val="affffff6"/>
              <w:adjustRightInd w:val="0"/>
              <w:snapToGrid w:val="0"/>
              <w:spacing w:line="240" w:lineRule="auto"/>
              <w:ind w:firstLineChars="0" w:firstLine="0"/>
              <w:jc w:val="center"/>
              <w:rPr>
                <w:rFonts w:ascii="Times New Roman" w:hAnsi="Times New Roman" w:cs="Times New Roman"/>
                <w:sz w:val="21"/>
                <w:szCs w:val="20"/>
              </w:rPr>
            </w:pPr>
          </w:p>
        </w:tc>
        <w:tc>
          <w:tcPr>
            <w:tcW w:w="1275" w:type="dxa"/>
            <w:vAlign w:val="center"/>
          </w:tcPr>
          <w:p w14:paraId="6F3EFC9D"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hint="eastAsia"/>
                <w:sz w:val="21"/>
                <w:szCs w:val="20"/>
              </w:rPr>
              <w:t>清管废渣</w:t>
            </w:r>
          </w:p>
        </w:tc>
        <w:tc>
          <w:tcPr>
            <w:tcW w:w="1560" w:type="dxa"/>
            <w:vAlign w:val="center"/>
          </w:tcPr>
          <w:p w14:paraId="5E6E1170"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40kg/a</w:t>
            </w:r>
          </w:p>
        </w:tc>
        <w:tc>
          <w:tcPr>
            <w:tcW w:w="1459" w:type="dxa"/>
          </w:tcPr>
          <w:p w14:paraId="3F9FE003"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间歇排放</w:t>
            </w:r>
          </w:p>
        </w:tc>
        <w:tc>
          <w:tcPr>
            <w:tcW w:w="1510" w:type="dxa"/>
            <w:vMerge/>
            <w:vAlign w:val="center"/>
          </w:tcPr>
          <w:p w14:paraId="7361A343" w14:textId="77777777" w:rsidR="007D1E74" w:rsidRDefault="007D1E74">
            <w:pPr>
              <w:pStyle w:val="affffff6"/>
              <w:adjustRightInd w:val="0"/>
              <w:snapToGrid w:val="0"/>
              <w:spacing w:line="240" w:lineRule="auto"/>
              <w:ind w:firstLineChars="0" w:firstLine="0"/>
              <w:jc w:val="center"/>
              <w:rPr>
                <w:rFonts w:ascii="Times New Roman" w:hAnsi="Times New Roman" w:cs="Times New Roman"/>
                <w:sz w:val="21"/>
                <w:szCs w:val="20"/>
              </w:rPr>
            </w:pPr>
          </w:p>
        </w:tc>
      </w:tr>
    </w:tbl>
    <w:p w14:paraId="2447ADEC" w14:textId="77777777" w:rsidR="007D1E74" w:rsidRDefault="00A95641">
      <w:pPr>
        <w:spacing w:line="360" w:lineRule="auto"/>
        <w:ind w:firstLineChars="200" w:firstLine="482"/>
        <w:rPr>
          <w:b/>
          <w:bCs/>
          <w:sz w:val="24"/>
        </w:rPr>
      </w:pPr>
      <w:r>
        <w:rPr>
          <w:b/>
          <w:bCs/>
          <w:sz w:val="24"/>
        </w:rPr>
        <w:t>3.2.2.2.2</w:t>
      </w:r>
      <w:r>
        <w:rPr>
          <w:b/>
          <w:bCs/>
          <w:sz w:val="24"/>
        </w:rPr>
        <w:t>正常工况下污染源强</w:t>
      </w:r>
    </w:p>
    <w:p w14:paraId="6CE801F6" w14:textId="77777777" w:rsidR="007D1E74" w:rsidRDefault="00A95641">
      <w:pPr>
        <w:pStyle w:val="affffff6"/>
        <w:ind w:firstLine="482"/>
        <w:rPr>
          <w:rFonts w:ascii="Times New Roman" w:hAnsi="Times New Roman" w:cs="Times New Roman"/>
          <w:b/>
          <w:bCs/>
        </w:rPr>
      </w:pPr>
      <w:r>
        <w:rPr>
          <w:rFonts w:ascii="Times New Roman" w:hAnsi="Times New Roman" w:cs="Times New Roman"/>
          <w:b/>
          <w:bCs/>
        </w:rPr>
        <w:t>1</w:t>
      </w:r>
      <w:r>
        <w:rPr>
          <w:rFonts w:ascii="Times New Roman" w:hAnsi="Times New Roman" w:cs="Times New Roman"/>
          <w:b/>
          <w:bCs/>
        </w:rPr>
        <w:t>、废气</w:t>
      </w:r>
    </w:p>
    <w:p w14:paraId="1BA0224C"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）事故放空</w:t>
      </w:r>
    </w:p>
    <w:p w14:paraId="69506EAF" w14:textId="77777777" w:rsidR="007D1E74" w:rsidRDefault="00A95641">
      <w:pPr>
        <w:spacing w:line="360" w:lineRule="auto"/>
        <w:ind w:firstLineChars="200" w:firstLine="480"/>
        <w:rPr>
          <w:sz w:val="24"/>
        </w:rPr>
      </w:pPr>
      <w:r>
        <w:rPr>
          <w:sz w:val="24"/>
        </w:rPr>
        <w:t>非正常工况，排放的废气主要为在系统超压或事故时排放的事故废气。系统发生事故时，会将管道线路内的余气通过放空立管放空。天然气事故放空的次数极少，发生的</w:t>
      </w:r>
      <w:r>
        <w:rPr>
          <w:sz w:val="24"/>
        </w:rPr>
        <w:lastRenderedPageBreak/>
        <w:t>频率极低，不超过</w:t>
      </w:r>
      <w:r>
        <w:rPr>
          <w:sz w:val="24"/>
        </w:rPr>
        <w:t>1</w:t>
      </w:r>
      <w:r>
        <w:rPr>
          <w:sz w:val="24"/>
        </w:rPr>
        <w:t>次</w:t>
      </w:r>
      <w:r>
        <w:rPr>
          <w:sz w:val="24"/>
        </w:rPr>
        <w:t>/</w:t>
      </w:r>
      <w:r>
        <w:rPr>
          <w:sz w:val="24"/>
        </w:rPr>
        <w:t>年，由于项目站场设置了紧急隔离系统，一旦管道发生事故，两端迅速关闭，泄漏时间一般不会超过</w:t>
      </w:r>
      <w:r>
        <w:rPr>
          <w:sz w:val="24"/>
        </w:rPr>
        <w:t>10min</w:t>
      </w:r>
      <w:r>
        <w:rPr>
          <w:sz w:val="24"/>
        </w:rPr>
        <w:t>。</w:t>
      </w:r>
      <w:r>
        <w:rPr>
          <w:sz w:val="24"/>
        </w:rPr>
        <w:t>1#</w:t>
      </w:r>
      <w:r>
        <w:rPr>
          <w:sz w:val="24"/>
        </w:rPr>
        <w:t>阀室设计放空量为</w:t>
      </w:r>
      <w:r>
        <w:rPr>
          <w:sz w:val="24"/>
        </w:rPr>
        <w:t>1*10</w:t>
      </w:r>
      <w:r>
        <w:rPr>
          <w:sz w:val="24"/>
          <w:vertAlign w:val="superscript"/>
        </w:rPr>
        <w:t>4</w:t>
      </w:r>
      <w:r>
        <w:rPr>
          <w:sz w:val="24"/>
        </w:rPr>
        <w:t>Nm</w:t>
      </w:r>
      <w:r>
        <w:rPr>
          <w:sz w:val="24"/>
          <w:vertAlign w:val="superscript"/>
        </w:rPr>
        <w:t>3</w:t>
      </w:r>
      <w:r>
        <w:rPr>
          <w:sz w:val="24"/>
        </w:rPr>
        <w:t>/h,</w:t>
      </w:r>
      <w:r>
        <w:rPr>
          <w:sz w:val="24"/>
        </w:rPr>
        <w:t>则最大为</w:t>
      </w:r>
      <w:r>
        <w:rPr>
          <w:sz w:val="24"/>
        </w:rPr>
        <w:t>1667 m</w:t>
      </w:r>
      <w:r>
        <w:rPr>
          <w:sz w:val="24"/>
          <w:vertAlign w:val="superscript"/>
        </w:rPr>
        <w:t>3</w:t>
      </w:r>
      <w:r>
        <w:rPr>
          <w:sz w:val="24"/>
        </w:rPr>
        <w:t>。</w:t>
      </w:r>
    </w:p>
    <w:p w14:paraId="4DB32ECD" w14:textId="77777777" w:rsidR="007D1E74" w:rsidRDefault="00A95641">
      <w:pPr>
        <w:spacing w:line="360" w:lineRule="auto"/>
        <w:ind w:firstLineChars="200" w:firstLine="480"/>
        <w:rPr>
          <w:sz w:val="24"/>
        </w:rPr>
      </w:pPr>
      <w:r>
        <w:rPr>
          <w:sz w:val="24"/>
        </w:rPr>
        <w:t>由本项目输送的天然气性质得知，项目输送天然气不含</w:t>
      </w:r>
      <w:r>
        <w:rPr>
          <w:sz w:val="24"/>
        </w:rPr>
        <w:t>H</w:t>
      </w:r>
      <w:r>
        <w:rPr>
          <w:sz w:val="24"/>
          <w:vertAlign w:val="subscript"/>
        </w:rPr>
        <w:t>2</w:t>
      </w:r>
      <w:r>
        <w:rPr>
          <w:sz w:val="24"/>
        </w:rPr>
        <w:t>S</w:t>
      </w:r>
      <w:r>
        <w:rPr>
          <w:sz w:val="24"/>
        </w:rPr>
        <w:t>，因此不点火排放的天然气中主要污染物为总烃，具体见表</w:t>
      </w:r>
      <w:r>
        <w:rPr>
          <w:sz w:val="24"/>
        </w:rPr>
        <w:t xml:space="preserve"> 3.2-9</w:t>
      </w:r>
      <w:r>
        <w:rPr>
          <w:sz w:val="24"/>
        </w:rPr>
        <w:t>。</w:t>
      </w:r>
    </w:p>
    <w:p w14:paraId="6E1758A5" w14:textId="77777777" w:rsidR="007D1E74" w:rsidRDefault="00A95641">
      <w:pPr>
        <w:pStyle w:val="affffff6"/>
        <w:ind w:firstLineChars="0" w:firstLine="0"/>
        <w:jc w:val="center"/>
        <w:rPr>
          <w:rFonts w:ascii="Times New Roman" w:hAnsi="Times New Roman" w:cs="Times New Roman"/>
          <w:b/>
          <w:sz w:val="21"/>
          <w:szCs w:val="20"/>
        </w:rPr>
      </w:pPr>
      <w:r>
        <w:rPr>
          <w:rFonts w:ascii="Times New Roman" w:hAnsi="Times New Roman" w:cs="Times New Roman"/>
          <w:b/>
          <w:sz w:val="21"/>
          <w:szCs w:val="20"/>
        </w:rPr>
        <w:t>表</w:t>
      </w:r>
      <w:r>
        <w:rPr>
          <w:rFonts w:ascii="Times New Roman" w:hAnsi="Times New Roman" w:cs="Times New Roman"/>
          <w:b/>
          <w:sz w:val="21"/>
          <w:szCs w:val="20"/>
        </w:rPr>
        <w:t xml:space="preserve">3.2-9   </w:t>
      </w:r>
      <w:r>
        <w:rPr>
          <w:rFonts w:ascii="Times New Roman" w:hAnsi="Times New Roman" w:cs="Times New Roman"/>
          <w:b/>
          <w:sz w:val="21"/>
          <w:szCs w:val="20"/>
        </w:rPr>
        <w:t>营运期主要污染源和污染物源强汇总表</w:t>
      </w:r>
    </w:p>
    <w:tbl>
      <w:tblPr>
        <w:tblStyle w:val="affffc"/>
        <w:tblW w:w="0" w:type="auto"/>
        <w:jc w:val="center"/>
        <w:tblLayout w:type="fixed"/>
        <w:tblLook w:val="04A0" w:firstRow="1" w:lastRow="0" w:firstColumn="1" w:lastColumn="0" w:noHBand="0" w:noVBand="1"/>
      </w:tblPr>
      <w:tblGrid>
        <w:gridCol w:w="562"/>
        <w:gridCol w:w="851"/>
        <w:gridCol w:w="1276"/>
        <w:gridCol w:w="1494"/>
        <w:gridCol w:w="865"/>
        <w:gridCol w:w="759"/>
        <w:gridCol w:w="851"/>
        <w:gridCol w:w="708"/>
        <w:gridCol w:w="923"/>
        <w:gridCol w:w="771"/>
      </w:tblGrid>
      <w:tr w:rsidR="007D1E74" w14:paraId="6332878A" w14:textId="77777777">
        <w:trPr>
          <w:jc w:val="center"/>
        </w:trPr>
        <w:tc>
          <w:tcPr>
            <w:tcW w:w="562" w:type="dxa"/>
            <w:vMerge w:val="restart"/>
            <w:vAlign w:val="center"/>
          </w:tcPr>
          <w:p w14:paraId="10B09A8B" w14:textId="77777777" w:rsidR="007D1E74" w:rsidRDefault="00A95641">
            <w:pPr>
              <w:pStyle w:val="affffff6"/>
              <w:adjustRightInd w:val="0"/>
              <w:snapToGrid w:val="0"/>
              <w:spacing w:line="240" w:lineRule="auto"/>
              <w:ind w:firstLineChars="0" w:firstLine="0"/>
              <w:rPr>
                <w:rFonts w:ascii="Times New Roman" w:hAnsi="Times New Roman" w:cs="Times New Roman"/>
                <w:b/>
                <w:bCs/>
                <w:sz w:val="21"/>
                <w:szCs w:val="20"/>
              </w:rPr>
            </w:pPr>
            <w:r>
              <w:rPr>
                <w:rFonts w:ascii="Times New Roman" w:hAnsi="Times New Roman" w:cs="Times New Roman"/>
                <w:b/>
                <w:bCs/>
                <w:sz w:val="21"/>
                <w:szCs w:val="20"/>
              </w:rPr>
              <w:t>序号</w:t>
            </w:r>
          </w:p>
        </w:tc>
        <w:tc>
          <w:tcPr>
            <w:tcW w:w="851" w:type="dxa"/>
            <w:vMerge w:val="restart"/>
            <w:vAlign w:val="center"/>
          </w:tcPr>
          <w:p w14:paraId="62258FD9"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b/>
                <w:bCs/>
                <w:sz w:val="21"/>
                <w:szCs w:val="20"/>
              </w:rPr>
            </w:pPr>
            <w:r>
              <w:rPr>
                <w:rFonts w:ascii="Times New Roman" w:hAnsi="Times New Roman" w:cs="Times New Roman"/>
                <w:b/>
                <w:bCs/>
                <w:sz w:val="21"/>
                <w:szCs w:val="20"/>
              </w:rPr>
              <w:t>站场</w:t>
            </w:r>
          </w:p>
        </w:tc>
        <w:tc>
          <w:tcPr>
            <w:tcW w:w="1276" w:type="dxa"/>
            <w:vMerge w:val="restart"/>
            <w:vAlign w:val="center"/>
          </w:tcPr>
          <w:p w14:paraId="560C715D" w14:textId="77777777" w:rsidR="007D1E74" w:rsidRDefault="00A95641">
            <w:pPr>
              <w:pStyle w:val="affffff6"/>
              <w:adjustRightInd w:val="0"/>
              <w:snapToGrid w:val="0"/>
              <w:spacing w:line="240" w:lineRule="auto"/>
              <w:ind w:firstLineChars="0" w:firstLine="0"/>
              <w:rPr>
                <w:rFonts w:ascii="Times New Roman" w:hAnsi="Times New Roman" w:cs="Times New Roman"/>
                <w:b/>
                <w:bCs/>
                <w:sz w:val="21"/>
                <w:szCs w:val="20"/>
              </w:rPr>
            </w:pPr>
            <w:r>
              <w:rPr>
                <w:rFonts w:ascii="Times New Roman" w:hAnsi="Times New Roman" w:cs="Times New Roman"/>
                <w:b/>
                <w:bCs/>
                <w:sz w:val="21"/>
                <w:szCs w:val="20"/>
              </w:rPr>
              <w:t>烟气排放量</w:t>
            </w:r>
            <w:r>
              <w:rPr>
                <w:rFonts w:ascii="Times New Roman" w:hAnsi="Times New Roman" w:cs="Times New Roman"/>
                <w:b/>
                <w:bCs/>
                <w:sz w:val="21"/>
                <w:szCs w:val="20"/>
              </w:rPr>
              <w:t xml:space="preserve"> </w:t>
            </w:r>
            <w:r>
              <w:rPr>
                <w:rFonts w:ascii="Times New Roman" w:hAnsi="Times New Roman" w:cs="Times New Roman"/>
                <w:b/>
                <w:bCs/>
                <w:sz w:val="21"/>
                <w:szCs w:val="20"/>
              </w:rPr>
              <w:t>（</w:t>
            </w:r>
            <w:r>
              <w:rPr>
                <w:rFonts w:ascii="Times New Roman" w:hAnsi="Times New Roman" w:cs="Times New Roman"/>
                <w:b/>
                <w:bCs/>
                <w:sz w:val="21"/>
                <w:szCs w:val="20"/>
              </w:rPr>
              <w:t>m</w:t>
            </w:r>
            <w:r>
              <w:rPr>
                <w:rFonts w:ascii="Times New Roman" w:hAnsi="Times New Roman" w:cs="Times New Roman"/>
                <w:b/>
                <w:bCs/>
                <w:sz w:val="21"/>
                <w:szCs w:val="20"/>
                <w:vertAlign w:val="superscript"/>
              </w:rPr>
              <w:t>3</w:t>
            </w:r>
            <w:r>
              <w:rPr>
                <w:rFonts w:ascii="Times New Roman" w:hAnsi="Times New Roman" w:cs="Times New Roman"/>
                <w:b/>
                <w:bCs/>
                <w:sz w:val="21"/>
                <w:szCs w:val="20"/>
              </w:rPr>
              <w:t xml:space="preserve">/h </w:t>
            </w:r>
            <w:r>
              <w:rPr>
                <w:rFonts w:ascii="Times New Roman" w:hAnsi="Times New Roman" w:cs="Times New Roman"/>
                <w:b/>
                <w:bCs/>
                <w:sz w:val="21"/>
                <w:szCs w:val="20"/>
              </w:rPr>
              <w:t>）</w:t>
            </w:r>
          </w:p>
        </w:tc>
        <w:tc>
          <w:tcPr>
            <w:tcW w:w="1494" w:type="dxa"/>
            <w:vMerge w:val="restart"/>
            <w:vAlign w:val="center"/>
          </w:tcPr>
          <w:p w14:paraId="3665EE74"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b/>
                <w:bCs/>
                <w:sz w:val="21"/>
                <w:szCs w:val="20"/>
              </w:rPr>
            </w:pPr>
            <w:r>
              <w:rPr>
                <w:rFonts w:ascii="Times New Roman" w:hAnsi="Times New Roman" w:cs="Times New Roman"/>
                <w:b/>
                <w:bCs/>
                <w:sz w:val="21"/>
                <w:szCs w:val="20"/>
              </w:rPr>
              <w:t>污染物</w:t>
            </w:r>
          </w:p>
        </w:tc>
        <w:tc>
          <w:tcPr>
            <w:tcW w:w="1624" w:type="dxa"/>
            <w:gridSpan w:val="2"/>
            <w:vAlign w:val="center"/>
          </w:tcPr>
          <w:p w14:paraId="7F79A0AB"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b/>
                <w:bCs/>
                <w:sz w:val="21"/>
                <w:szCs w:val="20"/>
              </w:rPr>
            </w:pPr>
            <w:r>
              <w:rPr>
                <w:rFonts w:ascii="Times New Roman" w:hAnsi="Times New Roman" w:cs="Times New Roman"/>
                <w:b/>
                <w:bCs/>
                <w:sz w:val="21"/>
                <w:szCs w:val="20"/>
              </w:rPr>
              <w:t>排放量</w:t>
            </w:r>
          </w:p>
        </w:tc>
        <w:tc>
          <w:tcPr>
            <w:tcW w:w="851" w:type="dxa"/>
            <w:vMerge w:val="restart"/>
            <w:vAlign w:val="center"/>
          </w:tcPr>
          <w:p w14:paraId="7815B9BA"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b/>
                <w:bCs/>
                <w:sz w:val="21"/>
                <w:szCs w:val="20"/>
              </w:rPr>
            </w:pPr>
            <w:r>
              <w:rPr>
                <w:rFonts w:ascii="Times New Roman" w:hAnsi="Times New Roman" w:cs="Times New Roman"/>
                <w:b/>
                <w:bCs/>
                <w:sz w:val="21"/>
                <w:szCs w:val="20"/>
              </w:rPr>
              <w:t>高度（</w:t>
            </w:r>
            <w:r>
              <w:rPr>
                <w:rFonts w:ascii="Times New Roman" w:hAnsi="Times New Roman" w:cs="Times New Roman"/>
                <w:b/>
                <w:bCs/>
                <w:sz w:val="21"/>
                <w:szCs w:val="20"/>
              </w:rPr>
              <w:t>m</w:t>
            </w:r>
            <w:r>
              <w:rPr>
                <w:rFonts w:ascii="Times New Roman" w:hAnsi="Times New Roman" w:cs="Times New Roman"/>
                <w:b/>
                <w:bCs/>
                <w:sz w:val="21"/>
                <w:szCs w:val="20"/>
              </w:rPr>
              <w:t>）</w:t>
            </w:r>
          </w:p>
        </w:tc>
        <w:tc>
          <w:tcPr>
            <w:tcW w:w="708" w:type="dxa"/>
            <w:vMerge w:val="restart"/>
            <w:vAlign w:val="center"/>
          </w:tcPr>
          <w:p w14:paraId="74830D47"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b/>
                <w:bCs/>
                <w:sz w:val="21"/>
                <w:szCs w:val="20"/>
              </w:rPr>
            </w:pPr>
            <w:r>
              <w:rPr>
                <w:rFonts w:ascii="Times New Roman" w:hAnsi="Times New Roman" w:cs="Times New Roman"/>
                <w:b/>
                <w:bCs/>
                <w:sz w:val="21"/>
                <w:szCs w:val="20"/>
              </w:rPr>
              <w:t>内径</w:t>
            </w:r>
            <w:r>
              <w:rPr>
                <w:rFonts w:ascii="Times New Roman" w:hAnsi="Times New Roman" w:cs="Times New Roman"/>
                <w:b/>
                <w:bCs/>
                <w:sz w:val="21"/>
                <w:szCs w:val="20"/>
              </w:rPr>
              <w:t>(m)</w:t>
            </w:r>
          </w:p>
        </w:tc>
        <w:tc>
          <w:tcPr>
            <w:tcW w:w="923" w:type="dxa"/>
            <w:vMerge w:val="restart"/>
            <w:vAlign w:val="center"/>
          </w:tcPr>
          <w:p w14:paraId="62A14E9B"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b/>
                <w:bCs/>
                <w:sz w:val="21"/>
                <w:szCs w:val="20"/>
              </w:rPr>
            </w:pPr>
            <w:r>
              <w:rPr>
                <w:rFonts w:ascii="Times New Roman" w:hAnsi="Times New Roman" w:cs="Times New Roman"/>
                <w:b/>
                <w:bCs/>
                <w:sz w:val="21"/>
                <w:szCs w:val="20"/>
              </w:rPr>
              <w:t>排放</w:t>
            </w:r>
          </w:p>
          <w:p w14:paraId="61518D36"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b/>
                <w:bCs/>
                <w:sz w:val="21"/>
                <w:szCs w:val="20"/>
              </w:rPr>
            </w:pPr>
            <w:r>
              <w:rPr>
                <w:rFonts w:ascii="Times New Roman" w:hAnsi="Times New Roman" w:cs="Times New Roman"/>
                <w:b/>
                <w:bCs/>
                <w:sz w:val="21"/>
                <w:szCs w:val="20"/>
              </w:rPr>
              <w:t>规律</w:t>
            </w:r>
          </w:p>
        </w:tc>
        <w:tc>
          <w:tcPr>
            <w:tcW w:w="771" w:type="dxa"/>
            <w:vMerge w:val="restart"/>
            <w:vAlign w:val="center"/>
          </w:tcPr>
          <w:p w14:paraId="10A348F5"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b/>
                <w:bCs/>
                <w:sz w:val="21"/>
                <w:szCs w:val="20"/>
              </w:rPr>
            </w:pPr>
            <w:r>
              <w:rPr>
                <w:rFonts w:ascii="Times New Roman" w:hAnsi="Times New Roman" w:cs="Times New Roman"/>
                <w:b/>
                <w:bCs/>
                <w:sz w:val="21"/>
                <w:szCs w:val="20"/>
              </w:rPr>
              <w:t>排放去向</w:t>
            </w:r>
          </w:p>
        </w:tc>
      </w:tr>
      <w:tr w:rsidR="007D1E74" w14:paraId="52AA8FCE" w14:textId="77777777">
        <w:trPr>
          <w:trHeight w:val="373"/>
          <w:jc w:val="center"/>
        </w:trPr>
        <w:tc>
          <w:tcPr>
            <w:tcW w:w="562" w:type="dxa"/>
            <w:vMerge/>
            <w:vAlign w:val="center"/>
          </w:tcPr>
          <w:p w14:paraId="24869D3D" w14:textId="77777777" w:rsidR="007D1E74" w:rsidRDefault="007D1E74">
            <w:pPr>
              <w:pStyle w:val="affffff6"/>
              <w:adjustRightInd w:val="0"/>
              <w:snapToGrid w:val="0"/>
              <w:spacing w:line="240" w:lineRule="auto"/>
              <w:ind w:firstLine="422"/>
              <w:jc w:val="center"/>
              <w:rPr>
                <w:rFonts w:ascii="Times New Roman" w:hAnsi="Times New Roman" w:cs="Times New Roman"/>
                <w:b/>
                <w:bCs/>
                <w:sz w:val="21"/>
                <w:szCs w:val="20"/>
              </w:rPr>
            </w:pPr>
          </w:p>
        </w:tc>
        <w:tc>
          <w:tcPr>
            <w:tcW w:w="851" w:type="dxa"/>
            <w:vMerge/>
            <w:vAlign w:val="center"/>
          </w:tcPr>
          <w:p w14:paraId="5B4AFA69" w14:textId="77777777" w:rsidR="007D1E74" w:rsidRDefault="007D1E74">
            <w:pPr>
              <w:pStyle w:val="affffff6"/>
              <w:adjustRightInd w:val="0"/>
              <w:snapToGrid w:val="0"/>
              <w:spacing w:line="240" w:lineRule="auto"/>
              <w:ind w:firstLineChars="0" w:firstLine="0"/>
              <w:jc w:val="center"/>
              <w:rPr>
                <w:rFonts w:ascii="Times New Roman" w:hAnsi="Times New Roman" w:cs="Times New Roman"/>
                <w:b/>
                <w:bCs/>
                <w:sz w:val="21"/>
                <w:szCs w:val="20"/>
              </w:rPr>
            </w:pPr>
          </w:p>
        </w:tc>
        <w:tc>
          <w:tcPr>
            <w:tcW w:w="1276" w:type="dxa"/>
            <w:vMerge/>
            <w:vAlign w:val="center"/>
          </w:tcPr>
          <w:p w14:paraId="66757266" w14:textId="77777777" w:rsidR="007D1E74" w:rsidRDefault="007D1E74">
            <w:pPr>
              <w:pStyle w:val="affffff6"/>
              <w:adjustRightInd w:val="0"/>
              <w:snapToGrid w:val="0"/>
              <w:spacing w:line="240" w:lineRule="auto"/>
              <w:ind w:firstLine="422"/>
              <w:jc w:val="center"/>
              <w:rPr>
                <w:rFonts w:ascii="Times New Roman" w:hAnsi="Times New Roman" w:cs="Times New Roman"/>
                <w:b/>
                <w:bCs/>
                <w:sz w:val="21"/>
                <w:szCs w:val="20"/>
              </w:rPr>
            </w:pPr>
          </w:p>
        </w:tc>
        <w:tc>
          <w:tcPr>
            <w:tcW w:w="1494" w:type="dxa"/>
            <w:vMerge/>
            <w:vAlign w:val="center"/>
          </w:tcPr>
          <w:p w14:paraId="42B28E3E" w14:textId="77777777" w:rsidR="007D1E74" w:rsidRDefault="007D1E74">
            <w:pPr>
              <w:pStyle w:val="affffff6"/>
              <w:adjustRightInd w:val="0"/>
              <w:snapToGrid w:val="0"/>
              <w:spacing w:line="240" w:lineRule="auto"/>
              <w:ind w:firstLineChars="0" w:firstLine="0"/>
              <w:jc w:val="center"/>
              <w:rPr>
                <w:rFonts w:ascii="Times New Roman" w:hAnsi="Times New Roman" w:cs="Times New Roman"/>
                <w:b/>
                <w:bCs/>
                <w:sz w:val="21"/>
                <w:szCs w:val="20"/>
              </w:rPr>
            </w:pPr>
          </w:p>
        </w:tc>
        <w:tc>
          <w:tcPr>
            <w:tcW w:w="865" w:type="dxa"/>
            <w:vAlign w:val="center"/>
          </w:tcPr>
          <w:p w14:paraId="5707BC89"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b/>
                <w:bCs/>
                <w:sz w:val="21"/>
                <w:szCs w:val="20"/>
              </w:rPr>
            </w:pPr>
            <w:r>
              <w:rPr>
                <w:rFonts w:ascii="Times New Roman" w:hAnsi="Times New Roman" w:cs="Times New Roman"/>
                <w:b/>
                <w:bCs/>
                <w:sz w:val="21"/>
                <w:szCs w:val="20"/>
              </w:rPr>
              <w:t>m</w:t>
            </w:r>
            <w:r>
              <w:rPr>
                <w:rFonts w:ascii="Times New Roman" w:hAnsi="Times New Roman" w:cs="Times New Roman"/>
                <w:b/>
                <w:bCs/>
                <w:sz w:val="21"/>
                <w:szCs w:val="20"/>
                <w:vertAlign w:val="superscript"/>
              </w:rPr>
              <w:t>3</w:t>
            </w:r>
            <w:r>
              <w:rPr>
                <w:rFonts w:ascii="Times New Roman" w:hAnsi="Times New Roman" w:cs="Times New Roman"/>
                <w:b/>
                <w:bCs/>
                <w:sz w:val="21"/>
                <w:szCs w:val="20"/>
              </w:rPr>
              <w:t xml:space="preserve"> / </w:t>
            </w:r>
            <w:r>
              <w:rPr>
                <w:rFonts w:ascii="Times New Roman" w:hAnsi="Times New Roman" w:cs="Times New Roman"/>
                <w:b/>
                <w:bCs/>
                <w:sz w:val="21"/>
                <w:szCs w:val="20"/>
              </w:rPr>
              <w:t>次</w:t>
            </w:r>
          </w:p>
        </w:tc>
        <w:tc>
          <w:tcPr>
            <w:tcW w:w="759" w:type="dxa"/>
            <w:vAlign w:val="center"/>
          </w:tcPr>
          <w:p w14:paraId="5ED8AFB4"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b/>
                <w:bCs/>
                <w:sz w:val="21"/>
                <w:szCs w:val="20"/>
              </w:rPr>
            </w:pPr>
            <w:r>
              <w:rPr>
                <w:rFonts w:ascii="Times New Roman" w:hAnsi="Times New Roman" w:cs="Times New Roman"/>
                <w:b/>
                <w:bCs/>
                <w:sz w:val="21"/>
                <w:szCs w:val="20"/>
              </w:rPr>
              <w:t>kg/h</w:t>
            </w:r>
          </w:p>
        </w:tc>
        <w:tc>
          <w:tcPr>
            <w:tcW w:w="851" w:type="dxa"/>
            <w:vMerge/>
            <w:vAlign w:val="center"/>
          </w:tcPr>
          <w:p w14:paraId="39D987B9" w14:textId="77777777" w:rsidR="007D1E74" w:rsidRDefault="007D1E74">
            <w:pPr>
              <w:pStyle w:val="affffff6"/>
              <w:adjustRightInd w:val="0"/>
              <w:snapToGrid w:val="0"/>
              <w:spacing w:line="240" w:lineRule="auto"/>
              <w:ind w:firstLineChars="0" w:firstLine="0"/>
              <w:jc w:val="center"/>
              <w:rPr>
                <w:rFonts w:ascii="Times New Roman" w:hAnsi="Times New Roman" w:cs="Times New Roman"/>
                <w:b/>
                <w:bCs/>
                <w:sz w:val="21"/>
                <w:szCs w:val="20"/>
              </w:rPr>
            </w:pPr>
          </w:p>
        </w:tc>
        <w:tc>
          <w:tcPr>
            <w:tcW w:w="708" w:type="dxa"/>
            <w:vMerge/>
            <w:vAlign w:val="center"/>
          </w:tcPr>
          <w:p w14:paraId="69389D4B" w14:textId="77777777" w:rsidR="007D1E74" w:rsidRDefault="007D1E74">
            <w:pPr>
              <w:pStyle w:val="affffff6"/>
              <w:adjustRightInd w:val="0"/>
              <w:snapToGrid w:val="0"/>
              <w:spacing w:line="240" w:lineRule="auto"/>
              <w:ind w:firstLineChars="0" w:firstLine="0"/>
              <w:jc w:val="center"/>
              <w:rPr>
                <w:rFonts w:ascii="Times New Roman" w:hAnsi="Times New Roman" w:cs="Times New Roman"/>
                <w:b/>
                <w:bCs/>
                <w:sz w:val="21"/>
                <w:szCs w:val="20"/>
              </w:rPr>
            </w:pPr>
          </w:p>
        </w:tc>
        <w:tc>
          <w:tcPr>
            <w:tcW w:w="923" w:type="dxa"/>
            <w:vMerge/>
            <w:vAlign w:val="center"/>
          </w:tcPr>
          <w:p w14:paraId="3BF74553" w14:textId="77777777" w:rsidR="007D1E74" w:rsidRDefault="007D1E74">
            <w:pPr>
              <w:pStyle w:val="affffff6"/>
              <w:adjustRightInd w:val="0"/>
              <w:snapToGrid w:val="0"/>
              <w:spacing w:line="240" w:lineRule="auto"/>
              <w:ind w:firstLineChars="0" w:firstLine="0"/>
              <w:jc w:val="center"/>
              <w:rPr>
                <w:rFonts w:ascii="Times New Roman" w:hAnsi="Times New Roman" w:cs="Times New Roman"/>
                <w:b/>
                <w:bCs/>
                <w:sz w:val="21"/>
                <w:szCs w:val="20"/>
              </w:rPr>
            </w:pPr>
          </w:p>
        </w:tc>
        <w:tc>
          <w:tcPr>
            <w:tcW w:w="771" w:type="dxa"/>
            <w:vMerge/>
            <w:vAlign w:val="center"/>
          </w:tcPr>
          <w:p w14:paraId="182B5D64" w14:textId="77777777" w:rsidR="007D1E74" w:rsidRDefault="007D1E74">
            <w:pPr>
              <w:pStyle w:val="affffff6"/>
              <w:adjustRightInd w:val="0"/>
              <w:snapToGrid w:val="0"/>
              <w:spacing w:line="240" w:lineRule="auto"/>
              <w:ind w:firstLine="422"/>
              <w:jc w:val="center"/>
              <w:rPr>
                <w:rFonts w:ascii="Times New Roman" w:hAnsi="Times New Roman" w:cs="Times New Roman"/>
                <w:b/>
                <w:bCs/>
                <w:sz w:val="21"/>
                <w:szCs w:val="20"/>
              </w:rPr>
            </w:pPr>
          </w:p>
        </w:tc>
      </w:tr>
      <w:tr w:rsidR="007D1E74" w14:paraId="3C8F4843" w14:textId="77777777">
        <w:trPr>
          <w:jc w:val="center"/>
        </w:trPr>
        <w:tc>
          <w:tcPr>
            <w:tcW w:w="562" w:type="dxa"/>
            <w:vMerge w:val="restart"/>
            <w:vAlign w:val="center"/>
          </w:tcPr>
          <w:p w14:paraId="745BC0CD"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1</w:t>
            </w:r>
          </w:p>
        </w:tc>
        <w:tc>
          <w:tcPr>
            <w:tcW w:w="851" w:type="dxa"/>
            <w:vMerge w:val="restart"/>
            <w:vAlign w:val="center"/>
          </w:tcPr>
          <w:p w14:paraId="7F00790C"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1#</w:t>
            </w:r>
            <w:r>
              <w:rPr>
                <w:rFonts w:ascii="Times New Roman" w:hAnsi="Times New Roman" w:cs="Times New Roman"/>
                <w:sz w:val="21"/>
                <w:szCs w:val="20"/>
              </w:rPr>
              <w:t>阀室</w:t>
            </w:r>
          </w:p>
        </w:tc>
        <w:tc>
          <w:tcPr>
            <w:tcW w:w="1276" w:type="dxa"/>
            <w:vMerge w:val="restart"/>
            <w:vAlign w:val="center"/>
          </w:tcPr>
          <w:p w14:paraId="5030B5DF"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1.0*10</w:t>
            </w:r>
            <w:r>
              <w:rPr>
                <w:rFonts w:ascii="Times New Roman" w:hAnsi="Times New Roman" w:cs="Times New Roman"/>
                <w:sz w:val="21"/>
                <w:szCs w:val="20"/>
                <w:vertAlign w:val="superscript"/>
              </w:rPr>
              <w:t>4</w:t>
            </w:r>
          </w:p>
        </w:tc>
        <w:tc>
          <w:tcPr>
            <w:tcW w:w="1494" w:type="dxa"/>
            <w:vAlign w:val="center"/>
          </w:tcPr>
          <w:p w14:paraId="77BE173B"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总烃</w:t>
            </w:r>
          </w:p>
        </w:tc>
        <w:tc>
          <w:tcPr>
            <w:tcW w:w="865" w:type="dxa"/>
            <w:vAlign w:val="center"/>
          </w:tcPr>
          <w:p w14:paraId="528E2FDD"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1634</w:t>
            </w:r>
          </w:p>
        </w:tc>
        <w:tc>
          <w:tcPr>
            <w:tcW w:w="759" w:type="dxa"/>
            <w:vAlign w:val="center"/>
          </w:tcPr>
          <w:p w14:paraId="33CF0DD3"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1176</w:t>
            </w:r>
          </w:p>
        </w:tc>
        <w:tc>
          <w:tcPr>
            <w:tcW w:w="851" w:type="dxa"/>
            <w:vAlign w:val="center"/>
          </w:tcPr>
          <w:p w14:paraId="295217A5"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15</w:t>
            </w:r>
          </w:p>
        </w:tc>
        <w:tc>
          <w:tcPr>
            <w:tcW w:w="708" w:type="dxa"/>
            <w:vAlign w:val="center"/>
          </w:tcPr>
          <w:p w14:paraId="4D61CD10"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0.15</w:t>
            </w:r>
          </w:p>
        </w:tc>
        <w:tc>
          <w:tcPr>
            <w:tcW w:w="923" w:type="dxa"/>
            <w:vMerge w:val="restart"/>
            <w:vAlign w:val="center"/>
          </w:tcPr>
          <w:p w14:paraId="3C04BA86"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1</w:t>
            </w:r>
            <w:r>
              <w:rPr>
                <w:rFonts w:ascii="Times New Roman" w:hAnsi="Times New Roman" w:cs="Times New Roman"/>
                <w:sz w:val="21"/>
                <w:szCs w:val="20"/>
              </w:rPr>
              <w:t>次</w:t>
            </w:r>
          </w:p>
          <w:p w14:paraId="1C748D1C"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w:t>
            </w:r>
            <w:r>
              <w:rPr>
                <w:rFonts w:ascii="Times New Roman" w:hAnsi="Times New Roman" w:cs="Times New Roman"/>
                <w:sz w:val="21"/>
                <w:szCs w:val="20"/>
              </w:rPr>
              <w:t>年</w:t>
            </w:r>
          </w:p>
        </w:tc>
        <w:tc>
          <w:tcPr>
            <w:tcW w:w="771" w:type="dxa"/>
            <w:vMerge w:val="restart"/>
            <w:vAlign w:val="center"/>
          </w:tcPr>
          <w:p w14:paraId="3E562A43"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环境</w:t>
            </w:r>
          </w:p>
          <w:p w14:paraId="0AA023EF"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空气</w:t>
            </w:r>
          </w:p>
        </w:tc>
      </w:tr>
      <w:tr w:rsidR="007D1E74" w14:paraId="618BC346" w14:textId="77777777">
        <w:trPr>
          <w:jc w:val="center"/>
        </w:trPr>
        <w:tc>
          <w:tcPr>
            <w:tcW w:w="562" w:type="dxa"/>
            <w:vMerge/>
            <w:vAlign w:val="center"/>
          </w:tcPr>
          <w:p w14:paraId="5FD41445" w14:textId="77777777" w:rsidR="007D1E74" w:rsidRDefault="007D1E74">
            <w:pPr>
              <w:pStyle w:val="affffff6"/>
              <w:adjustRightInd w:val="0"/>
              <w:snapToGrid w:val="0"/>
              <w:spacing w:line="240" w:lineRule="auto"/>
              <w:ind w:firstLineChars="0" w:firstLine="0"/>
              <w:jc w:val="center"/>
              <w:rPr>
                <w:rFonts w:ascii="Times New Roman" w:hAnsi="Times New Roman" w:cs="Times New Roman"/>
                <w:sz w:val="21"/>
                <w:szCs w:val="20"/>
              </w:rPr>
            </w:pPr>
          </w:p>
        </w:tc>
        <w:tc>
          <w:tcPr>
            <w:tcW w:w="851" w:type="dxa"/>
            <w:vMerge/>
            <w:vAlign w:val="center"/>
          </w:tcPr>
          <w:p w14:paraId="661A846A" w14:textId="77777777" w:rsidR="007D1E74" w:rsidRDefault="007D1E74">
            <w:pPr>
              <w:pStyle w:val="affffff6"/>
              <w:adjustRightInd w:val="0"/>
              <w:snapToGrid w:val="0"/>
              <w:spacing w:line="240" w:lineRule="auto"/>
              <w:ind w:firstLineChars="0" w:firstLine="0"/>
              <w:jc w:val="center"/>
              <w:rPr>
                <w:rFonts w:ascii="Times New Roman" w:hAnsi="Times New Roman" w:cs="Times New Roman"/>
                <w:sz w:val="21"/>
                <w:szCs w:val="20"/>
              </w:rPr>
            </w:pPr>
          </w:p>
        </w:tc>
        <w:tc>
          <w:tcPr>
            <w:tcW w:w="1276" w:type="dxa"/>
            <w:vMerge/>
            <w:vAlign w:val="center"/>
          </w:tcPr>
          <w:p w14:paraId="2256BF2F" w14:textId="77777777" w:rsidR="007D1E74" w:rsidRDefault="007D1E74">
            <w:pPr>
              <w:pStyle w:val="affffff6"/>
              <w:adjustRightInd w:val="0"/>
              <w:snapToGrid w:val="0"/>
              <w:spacing w:line="240" w:lineRule="auto"/>
              <w:ind w:firstLineChars="0" w:firstLine="0"/>
              <w:jc w:val="center"/>
              <w:rPr>
                <w:rFonts w:ascii="Times New Roman" w:hAnsi="Times New Roman" w:cs="Times New Roman"/>
                <w:sz w:val="21"/>
                <w:szCs w:val="20"/>
              </w:rPr>
            </w:pPr>
          </w:p>
        </w:tc>
        <w:tc>
          <w:tcPr>
            <w:tcW w:w="1494" w:type="dxa"/>
            <w:vAlign w:val="center"/>
          </w:tcPr>
          <w:p w14:paraId="74F13E65"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非甲烷总烃</w:t>
            </w:r>
          </w:p>
        </w:tc>
        <w:tc>
          <w:tcPr>
            <w:tcW w:w="865" w:type="dxa"/>
            <w:vAlign w:val="center"/>
          </w:tcPr>
          <w:p w14:paraId="65F39E1A"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33</w:t>
            </w:r>
          </w:p>
        </w:tc>
        <w:tc>
          <w:tcPr>
            <w:tcW w:w="759" w:type="dxa"/>
            <w:vAlign w:val="center"/>
          </w:tcPr>
          <w:p w14:paraId="4E053D90"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24</w:t>
            </w:r>
          </w:p>
        </w:tc>
        <w:tc>
          <w:tcPr>
            <w:tcW w:w="851" w:type="dxa"/>
            <w:vAlign w:val="center"/>
          </w:tcPr>
          <w:p w14:paraId="3A17894A"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15</w:t>
            </w:r>
          </w:p>
        </w:tc>
        <w:tc>
          <w:tcPr>
            <w:tcW w:w="708" w:type="dxa"/>
            <w:vAlign w:val="center"/>
          </w:tcPr>
          <w:p w14:paraId="33FABCC4" w14:textId="77777777" w:rsidR="007D1E74" w:rsidRDefault="00A95641">
            <w:pPr>
              <w:pStyle w:val="affffff6"/>
              <w:adjustRightInd w:val="0"/>
              <w:snapToGrid w:val="0"/>
              <w:spacing w:line="240" w:lineRule="auto"/>
              <w:ind w:firstLineChars="0" w:firstLine="0"/>
              <w:jc w:val="center"/>
              <w:rPr>
                <w:rFonts w:ascii="Times New Roman" w:hAnsi="Times New Roman" w:cs="Times New Roman"/>
                <w:sz w:val="21"/>
                <w:szCs w:val="20"/>
              </w:rPr>
            </w:pPr>
            <w:r>
              <w:rPr>
                <w:rFonts w:ascii="Times New Roman" w:hAnsi="Times New Roman" w:cs="Times New Roman"/>
                <w:sz w:val="21"/>
                <w:szCs w:val="20"/>
              </w:rPr>
              <w:t>0.15</w:t>
            </w:r>
          </w:p>
        </w:tc>
        <w:tc>
          <w:tcPr>
            <w:tcW w:w="923" w:type="dxa"/>
            <w:vMerge/>
            <w:vAlign w:val="center"/>
          </w:tcPr>
          <w:p w14:paraId="35287FB9" w14:textId="77777777" w:rsidR="007D1E74" w:rsidRDefault="007D1E74">
            <w:pPr>
              <w:pStyle w:val="affffff6"/>
              <w:adjustRightInd w:val="0"/>
              <w:snapToGrid w:val="0"/>
              <w:spacing w:line="240" w:lineRule="auto"/>
              <w:ind w:firstLineChars="0" w:firstLine="0"/>
              <w:jc w:val="center"/>
              <w:rPr>
                <w:rFonts w:ascii="Times New Roman" w:hAnsi="Times New Roman" w:cs="Times New Roman"/>
                <w:sz w:val="21"/>
                <w:szCs w:val="20"/>
              </w:rPr>
            </w:pPr>
          </w:p>
        </w:tc>
        <w:tc>
          <w:tcPr>
            <w:tcW w:w="771" w:type="dxa"/>
            <w:vMerge/>
            <w:vAlign w:val="center"/>
          </w:tcPr>
          <w:p w14:paraId="6DB8B1D9" w14:textId="77777777" w:rsidR="007D1E74" w:rsidRDefault="007D1E74">
            <w:pPr>
              <w:pStyle w:val="affffff6"/>
              <w:adjustRightInd w:val="0"/>
              <w:snapToGrid w:val="0"/>
              <w:spacing w:line="240" w:lineRule="auto"/>
              <w:ind w:firstLineChars="0" w:firstLine="0"/>
              <w:jc w:val="center"/>
              <w:rPr>
                <w:rFonts w:ascii="Times New Roman" w:hAnsi="Times New Roman" w:cs="Times New Roman"/>
                <w:sz w:val="21"/>
                <w:szCs w:val="20"/>
              </w:rPr>
            </w:pPr>
          </w:p>
        </w:tc>
      </w:tr>
    </w:tbl>
    <w:p w14:paraId="49CF2E91" w14:textId="77777777" w:rsidR="007D1E74" w:rsidRDefault="00A95641">
      <w:pPr>
        <w:spacing w:line="360" w:lineRule="auto"/>
        <w:outlineLvl w:val="1"/>
        <w:rPr>
          <w:b/>
          <w:sz w:val="30"/>
          <w:szCs w:val="30"/>
        </w:rPr>
      </w:pPr>
      <w:bookmarkStart w:id="22" w:name="_Toc10989"/>
      <w:r>
        <w:rPr>
          <w:b/>
          <w:sz w:val="30"/>
          <w:szCs w:val="30"/>
        </w:rPr>
        <w:t>3.3</w:t>
      </w:r>
      <w:r>
        <w:rPr>
          <w:b/>
          <w:sz w:val="30"/>
          <w:szCs w:val="30"/>
        </w:rPr>
        <w:t>总量控制</w:t>
      </w:r>
      <w:bookmarkEnd w:id="22"/>
    </w:p>
    <w:p w14:paraId="2C3A5E39" w14:textId="77777777" w:rsidR="007D1E74" w:rsidRDefault="00A95641">
      <w:pPr>
        <w:spacing w:line="360" w:lineRule="auto"/>
        <w:ind w:firstLineChars="200" w:firstLine="480"/>
        <w:rPr>
          <w:sz w:val="24"/>
        </w:rPr>
      </w:pPr>
      <w:r>
        <w:rPr>
          <w:sz w:val="24"/>
        </w:rPr>
        <w:t>本工程天然气集输管线项目，在项目正常运行过程中不产生废水、废气等，阀室、阀组</w:t>
      </w:r>
      <w:r>
        <w:rPr>
          <w:rFonts w:hint="eastAsia"/>
          <w:sz w:val="24"/>
        </w:rPr>
        <w:t>废水、固废</w:t>
      </w:r>
      <w:r>
        <w:rPr>
          <w:sz w:val="24"/>
        </w:rPr>
        <w:t>污染物不外排</w:t>
      </w:r>
      <w:r>
        <w:rPr>
          <w:rFonts w:hint="eastAsia"/>
          <w:sz w:val="24"/>
        </w:rPr>
        <w:t>，仅有清管时有少量总烃、非甲烷总烃无组织排放</w:t>
      </w:r>
      <w:r>
        <w:rPr>
          <w:sz w:val="24"/>
        </w:rPr>
        <w:t>。</w:t>
      </w:r>
    </w:p>
    <w:p w14:paraId="563D799C" w14:textId="77777777" w:rsidR="007D1E74" w:rsidRDefault="00A95641">
      <w:pPr>
        <w:spacing w:line="360" w:lineRule="auto"/>
        <w:ind w:firstLineChars="200" w:firstLine="480"/>
        <w:rPr>
          <w:sz w:val="24"/>
        </w:rPr>
      </w:pPr>
      <w:r>
        <w:rPr>
          <w:sz w:val="24"/>
        </w:rPr>
        <w:t>因此，本工程不设置总量控制指标。</w:t>
      </w:r>
      <w:bookmarkEnd w:id="18"/>
    </w:p>
    <w:p w14:paraId="0F6F4BC3" w14:textId="77777777" w:rsidR="007D1E74" w:rsidRDefault="00A95641">
      <w:pPr>
        <w:rPr>
          <w:sz w:val="24"/>
        </w:rPr>
      </w:pPr>
      <w:r>
        <w:rPr>
          <w:sz w:val="24"/>
        </w:rPr>
        <w:br w:type="page"/>
      </w:r>
    </w:p>
    <w:p w14:paraId="3BBA3582" w14:textId="77777777" w:rsidR="007D1E74" w:rsidRDefault="007D1E74">
      <w:pPr>
        <w:pStyle w:val="afffffe"/>
        <w:numPr>
          <w:ilvl w:val="0"/>
          <w:numId w:val="12"/>
        </w:numPr>
        <w:spacing w:line="360" w:lineRule="auto"/>
        <w:ind w:firstLineChars="0"/>
        <w:outlineLvl w:val="0"/>
        <w:rPr>
          <w:rFonts w:eastAsia="黑体"/>
          <w:vanish/>
          <w:sz w:val="32"/>
          <w:szCs w:val="24"/>
        </w:rPr>
      </w:pPr>
    </w:p>
    <w:p w14:paraId="71A38282" w14:textId="77777777" w:rsidR="007D1E74" w:rsidRDefault="007D1E74">
      <w:pPr>
        <w:pStyle w:val="afffffe"/>
        <w:numPr>
          <w:ilvl w:val="0"/>
          <w:numId w:val="12"/>
        </w:numPr>
        <w:spacing w:line="360" w:lineRule="auto"/>
        <w:ind w:firstLineChars="0"/>
        <w:outlineLvl w:val="0"/>
        <w:rPr>
          <w:rFonts w:eastAsia="黑体"/>
          <w:vanish/>
          <w:sz w:val="32"/>
          <w:szCs w:val="24"/>
        </w:rPr>
      </w:pPr>
    </w:p>
    <w:p w14:paraId="28D29D9A" w14:textId="77777777" w:rsidR="007D1E74" w:rsidRDefault="007D1E74">
      <w:pPr>
        <w:pStyle w:val="afffffe"/>
        <w:numPr>
          <w:ilvl w:val="0"/>
          <w:numId w:val="12"/>
        </w:numPr>
        <w:spacing w:line="360" w:lineRule="auto"/>
        <w:ind w:firstLineChars="0"/>
        <w:outlineLvl w:val="0"/>
        <w:rPr>
          <w:rFonts w:eastAsia="黑体"/>
          <w:vanish/>
          <w:sz w:val="32"/>
          <w:szCs w:val="24"/>
        </w:rPr>
      </w:pPr>
    </w:p>
    <w:p w14:paraId="32F4F7D6" w14:textId="77777777" w:rsidR="007D1E74" w:rsidRDefault="00A95641">
      <w:pPr>
        <w:pStyle w:val="a7"/>
      </w:pPr>
      <w:r>
        <w:rPr>
          <w:rFonts w:hint="eastAsia"/>
        </w:rPr>
        <w:t>环境现状调查与评价</w:t>
      </w:r>
    </w:p>
    <w:p w14:paraId="7AD48CE1" w14:textId="77777777" w:rsidR="007D1E74" w:rsidRDefault="00A95641">
      <w:pPr>
        <w:pStyle w:val="a8"/>
      </w:pPr>
      <w:r>
        <w:rPr>
          <w:rFonts w:hint="eastAsia"/>
        </w:rPr>
        <w:t>自然环境概况</w:t>
      </w:r>
    </w:p>
    <w:p w14:paraId="472D8029" w14:textId="77777777" w:rsidR="007D1E74" w:rsidRDefault="00A95641">
      <w:pPr>
        <w:pStyle w:val="a9"/>
      </w:pPr>
      <w:r>
        <w:rPr>
          <w:rFonts w:hint="eastAsia"/>
        </w:rPr>
        <w:t>地理位置</w:t>
      </w:r>
    </w:p>
    <w:p w14:paraId="379A7871" w14:textId="77777777" w:rsidR="007D1E74" w:rsidRDefault="00A95641">
      <w:pPr>
        <w:spacing w:line="360" w:lineRule="auto"/>
        <w:ind w:firstLineChars="200" w:firstLine="480"/>
        <w:rPr>
          <w:rFonts w:cs="Times New Roman"/>
          <w:sz w:val="24"/>
          <w:szCs w:val="24"/>
        </w:rPr>
      </w:pPr>
      <w:r>
        <w:rPr>
          <w:rFonts w:cs="Times New Roman"/>
          <w:sz w:val="24"/>
          <w:szCs w:val="24"/>
        </w:rPr>
        <w:t>通江县位于</w:t>
      </w:r>
      <w:r>
        <w:rPr>
          <w:rFonts w:cs="Times New Roman" w:hint="eastAsia"/>
          <w:sz w:val="24"/>
          <w:szCs w:val="24"/>
        </w:rPr>
        <w:t>四川省</w:t>
      </w:r>
      <w:r>
        <w:rPr>
          <w:rFonts w:cs="Times New Roman"/>
          <w:sz w:val="24"/>
          <w:szCs w:val="24"/>
        </w:rPr>
        <w:t>巴中市东北部、米仓山东段南</w:t>
      </w:r>
      <w:r>
        <w:rPr>
          <w:rFonts w:cs="Times New Roman" w:hint="eastAsia"/>
          <w:sz w:val="24"/>
          <w:szCs w:val="24"/>
        </w:rPr>
        <w:t>麓大巴山缺口处</w:t>
      </w:r>
      <w:r>
        <w:rPr>
          <w:rFonts w:cs="Times New Roman"/>
          <w:sz w:val="24"/>
          <w:szCs w:val="24"/>
        </w:rPr>
        <w:t>，居北纬</w:t>
      </w:r>
      <w:r>
        <w:rPr>
          <w:rFonts w:cs="Times New Roman"/>
          <w:sz w:val="24"/>
          <w:szCs w:val="24"/>
        </w:rPr>
        <w:t>31°39′</w:t>
      </w:r>
      <w:r>
        <w:rPr>
          <w:rFonts w:cs="Times New Roman" w:hint="eastAsia"/>
          <w:sz w:val="24"/>
          <w:szCs w:val="24"/>
        </w:rPr>
        <w:t>~</w:t>
      </w:r>
      <w:r>
        <w:rPr>
          <w:rFonts w:cs="Times New Roman"/>
          <w:sz w:val="24"/>
          <w:szCs w:val="24"/>
        </w:rPr>
        <w:t>32°33′</w:t>
      </w:r>
      <w:r>
        <w:rPr>
          <w:rFonts w:cs="Times New Roman"/>
          <w:sz w:val="24"/>
          <w:szCs w:val="24"/>
        </w:rPr>
        <w:t>，东经</w:t>
      </w:r>
      <w:r>
        <w:rPr>
          <w:rFonts w:cs="Times New Roman"/>
          <w:sz w:val="24"/>
          <w:szCs w:val="24"/>
        </w:rPr>
        <w:t>106°59′</w:t>
      </w:r>
      <w:r>
        <w:rPr>
          <w:rFonts w:cs="Times New Roman" w:hint="eastAsia"/>
          <w:sz w:val="24"/>
          <w:szCs w:val="24"/>
        </w:rPr>
        <w:t>~</w:t>
      </w:r>
      <w:r>
        <w:rPr>
          <w:rFonts w:cs="Times New Roman"/>
          <w:sz w:val="24"/>
          <w:szCs w:val="24"/>
        </w:rPr>
        <w:t>107°46′</w:t>
      </w:r>
      <w:r>
        <w:rPr>
          <w:rFonts w:cs="Times New Roman"/>
          <w:sz w:val="24"/>
          <w:szCs w:val="24"/>
        </w:rPr>
        <w:t>之间</w:t>
      </w:r>
      <w:r>
        <w:rPr>
          <w:rFonts w:cs="Times New Roman" w:hint="eastAsia"/>
          <w:sz w:val="24"/>
          <w:szCs w:val="24"/>
        </w:rPr>
        <w:t>，旧时有“依三巴之旧域，控全蜀之左隅”之称。县域东接万源市，南邻平昌县，西靠巴州、南江二区县，北连陕西省南郑、西乡、镇巴三县。县人民政</w:t>
      </w:r>
      <w:r>
        <w:rPr>
          <w:rFonts w:cs="Times New Roman"/>
          <w:sz w:val="24"/>
          <w:szCs w:val="24"/>
        </w:rPr>
        <w:t>府驻地</w:t>
      </w:r>
      <w:r>
        <w:rPr>
          <w:rFonts w:cs="Times New Roman"/>
          <w:sz w:val="24"/>
          <w:szCs w:val="24"/>
        </w:rPr>
        <w:t>——</w:t>
      </w:r>
      <w:r>
        <w:rPr>
          <w:rFonts w:cs="Times New Roman"/>
          <w:sz w:val="24"/>
          <w:szCs w:val="24"/>
        </w:rPr>
        <w:t>壁州街道</w:t>
      </w:r>
      <w:r>
        <w:rPr>
          <w:rFonts w:cs="Times New Roman" w:hint="eastAsia"/>
          <w:sz w:val="24"/>
          <w:szCs w:val="24"/>
        </w:rPr>
        <w:t>，南距达州市约</w:t>
      </w:r>
      <w:r>
        <w:rPr>
          <w:rFonts w:cs="Times New Roman" w:hint="eastAsia"/>
          <w:sz w:val="24"/>
          <w:szCs w:val="24"/>
        </w:rPr>
        <w:t>140km</w:t>
      </w:r>
      <w:r>
        <w:rPr>
          <w:rFonts w:cs="Times New Roman" w:hint="eastAsia"/>
          <w:sz w:val="24"/>
          <w:szCs w:val="24"/>
        </w:rPr>
        <w:t>，距重庆市约</w:t>
      </w:r>
      <w:r>
        <w:rPr>
          <w:rFonts w:cs="Times New Roman" w:hint="eastAsia"/>
          <w:sz w:val="24"/>
          <w:szCs w:val="24"/>
        </w:rPr>
        <w:t>330km</w:t>
      </w:r>
      <w:r>
        <w:rPr>
          <w:rFonts w:cs="Times New Roman" w:hint="eastAsia"/>
          <w:sz w:val="24"/>
          <w:szCs w:val="24"/>
        </w:rPr>
        <w:t>；西距巴中市约</w:t>
      </w:r>
      <w:r>
        <w:rPr>
          <w:rFonts w:cs="Times New Roman" w:hint="eastAsia"/>
          <w:sz w:val="24"/>
          <w:szCs w:val="24"/>
        </w:rPr>
        <w:t>70km</w:t>
      </w:r>
      <w:r>
        <w:rPr>
          <w:rFonts w:cs="Times New Roman" w:hint="eastAsia"/>
          <w:sz w:val="24"/>
          <w:szCs w:val="24"/>
        </w:rPr>
        <w:t>，距成都市约</w:t>
      </w:r>
      <w:r>
        <w:rPr>
          <w:rFonts w:cs="Times New Roman" w:hint="eastAsia"/>
          <w:sz w:val="24"/>
          <w:szCs w:val="24"/>
        </w:rPr>
        <w:t>400km</w:t>
      </w:r>
      <w:r>
        <w:rPr>
          <w:rFonts w:cs="Times New Roman" w:hint="eastAsia"/>
          <w:sz w:val="24"/>
          <w:szCs w:val="24"/>
        </w:rPr>
        <w:t>；东距万源市约</w:t>
      </w:r>
      <w:r>
        <w:rPr>
          <w:rFonts w:cs="Times New Roman" w:hint="eastAsia"/>
          <w:sz w:val="24"/>
          <w:szCs w:val="24"/>
        </w:rPr>
        <w:t>113km</w:t>
      </w:r>
      <w:r>
        <w:rPr>
          <w:rFonts w:cs="Times New Roman" w:hint="eastAsia"/>
          <w:sz w:val="24"/>
          <w:szCs w:val="24"/>
        </w:rPr>
        <w:t>；北距陕西省镇巴县约</w:t>
      </w:r>
      <w:r>
        <w:rPr>
          <w:rFonts w:cs="Times New Roman" w:hint="eastAsia"/>
          <w:sz w:val="24"/>
          <w:szCs w:val="24"/>
        </w:rPr>
        <w:t>170km</w:t>
      </w:r>
      <w:r>
        <w:rPr>
          <w:rFonts w:cs="Times New Roman" w:hint="eastAsia"/>
          <w:sz w:val="24"/>
          <w:szCs w:val="24"/>
        </w:rPr>
        <w:t>。</w:t>
      </w:r>
    </w:p>
    <w:p w14:paraId="3C0B4ED5" w14:textId="77777777" w:rsidR="007D1E74" w:rsidRDefault="00A95641">
      <w:pPr>
        <w:spacing w:line="360" w:lineRule="auto"/>
        <w:ind w:firstLineChars="200" w:firstLine="480"/>
        <w:rPr>
          <w:rFonts w:cs="Times New Roman"/>
          <w:sz w:val="24"/>
          <w:szCs w:val="24"/>
        </w:rPr>
      </w:pPr>
      <w:r>
        <w:rPr>
          <w:rFonts w:cs="Times New Roman" w:hint="eastAsia"/>
          <w:sz w:val="24"/>
          <w:szCs w:val="24"/>
        </w:rPr>
        <w:t>本项目位于巴中市通江县青峪镇、新场镇、涪阳镇，地理位置见附图</w:t>
      </w:r>
      <w:r>
        <w:rPr>
          <w:rFonts w:cs="Times New Roman" w:hint="eastAsia"/>
          <w:sz w:val="24"/>
          <w:szCs w:val="24"/>
        </w:rPr>
        <w:t>2</w:t>
      </w:r>
      <w:r>
        <w:rPr>
          <w:rFonts w:cs="Times New Roman" w:hint="eastAsia"/>
          <w:sz w:val="24"/>
          <w:szCs w:val="24"/>
        </w:rPr>
        <w:t>。</w:t>
      </w:r>
    </w:p>
    <w:p w14:paraId="18DC1BAC" w14:textId="77777777" w:rsidR="007D1E74" w:rsidRDefault="00A95641">
      <w:pPr>
        <w:pStyle w:val="a9"/>
      </w:pPr>
      <w:r>
        <w:rPr>
          <w:rFonts w:hint="eastAsia"/>
        </w:rPr>
        <w:t>地形地貌</w:t>
      </w:r>
    </w:p>
    <w:p w14:paraId="4F1E443D" w14:textId="77777777" w:rsidR="007D1E74" w:rsidRDefault="00A95641">
      <w:pPr>
        <w:spacing w:line="360" w:lineRule="auto"/>
        <w:ind w:firstLineChars="200" w:firstLine="480"/>
        <w:rPr>
          <w:rFonts w:cs="Times New Roman"/>
          <w:sz w:val="24"/>
          <w:szCs w:val="24"/>
        </w:rPr>
      </w:pPr>
      <w:r>
        <w:rPr>
          <w:rFonts w:cs="Times New Roman"/>
          <w:sz w:val="24"/>
          <w:szCs w:val="24"/>
        </w:rPr>
        <w:t>通江县属上扬子地台北部范围，处于四川台向斜秦岭地槽褶皱带的过渡地区。据《四川省构造分区略图》载，境内跨及米仓山台穹、</w:t>
      </w:r>
      <w:r>
        <w:rPr>
          <w:rFonts w:cs="Times New Roman" w:hint="eastAsia"/>
          <w:sz w:val="24"/>
          <w:szCs w:val="24"/>
        </w:rPr>
        <w:t>大巴山</w:t>
      </w:r>
      <w:r>
        <w:rPr>
          <w:rFonts w:cs="Times New Roman"/>
          <w:sz w:val="24"/>
          <w:szCs w:val="24"/>
        </w:rPr>
        <w:t>弧形构造、川北台陷三个二级构造单元。地质构造的复杂性，形成县地貌的多样化。根据全国的地貌划分标准，</w:t>
      </w:r>
      <w:r>
        <w:rPr>
          <w:rFonts w:cs="Times New Roman" w:hint="eastAsia"/>
          <w:sz w:val="24"/>
          <w:szCs w:val="24"/>
        </w:rPr>
        <w:t>县属中、低山区，包括中切割低山、中切割中山和深切割中山，呈“三山夹两谷”地形，低、中山界限明显，均受三个二级构造单元的构造线控制。涪阳—五龙山鼻状构造轴线，为县境低、中山的分界线，此线以南为中切割低山。川北台陷与米仓山、大巴山交界线，形成县境中切割中山与深切割中山的分界线，此线以北为深切割中山。米仓山台穹中楼子庙—空山坝挠曲褶皱带之南端，为县境岩溶地貌的分界线，此线以北为中山岩溶地貌。切割深，多窄谷、峡谷。中切割低山切割一般</w:t>
      </w:r>
      <w:r>
        <w:rPr>
          <w:rFonts w:cs="Times New Roman" w:hint="eastAsia"/>
          <w:sz w:val="24"/>
          <w:szCs w:val="24"/>
        </w:rPr>
        <w:t>600m</w:t>
      </w:r>
      <w:r>
        <w:rPr>
          <w:rFonts w:cs="Times New Roman" w:hint="eastAsia"/>
          <w:sz w:val="24"/>
          <w:szCs w:val="24"/>
        </w:rPr>
        <w:t>，多“</w:t>
      </w:r>
      <w:r>
        <w:rPr>
          <w:rFonts w:cs="Times New Roman" w:hint="eastAsia"/>
          <w:sz w:val="24"/>
          <w:szCs w:val="24"/>
        </w:rPr>
        <w:t>V</w:t>
      </w:r>
      <w:r>
        <w:rPr>
          <w:rFonts w:cs="Times New Roman" w:hint="eastAsia"/>
          <w:sz w:val="24"/>
          <w:szCs w:val="24"/>
        </w:rPr>
        <w:t>”型谷、平底谷；中切割中山切割一般</w:t>
      </w:r>
      <w:r>
        <w:rPr>
          <w:rFonts w:cs="Times New Roman" w:hint="eastAsia"/>
          <w:sz w:val="24"/>
          <w:szCs w:val="24"/>
        </w:rPr>
        <w:t>700~900m</w:t>
      </w:r>
      <w:r>
        <w:rPr>
          <w:rFonts w:cs="Times New Roman" w:hint="eastAsia"/>
          <w:sz w:val="24"/>
          <w:szCs w:val="24"/>
        </w:rPr>
        <w:t>，多窄谷；深切割中山切割高达</w:t>
      </w:r>
      <w:r>
        <w:rPr>
          <w:rFonts w:cs="Times New Roman" w:hint="eastAsia"/>
          <w:sz w:val="24"/>
          <w:szCs w:val="24"/>
        </w:rPr>
        <w:t>1200m</w:t>
      </w:r>
      <w:r>
        <w:rPr>
          <w:rFonts w:cs="Times New Roman" w:hint="eastAsia"/>
          <w:sz w:val="24"/>
          <w:szCs w:val="24"/>
        </w:rPr>
        <w:t>以上，多峡谷。三级阶梯状构造，从北至南逐渐降低。北部深切割中山海拔</w:t>
      </w:r>
      <w:r>
        <w:rPr>
          <w:rFonts w:cs="Times New Roman" w:hint="eastAsia"/>
          <w:sz w:val="24"/>
          <w:szCs w:val="24"/>
        </w:rPr>
        <w:t>1500~2000m</w:t>
      </w:r>
      <w:r>
        <w:rPr>
          <w:rFonts w:cs="Times New Roman" w:hint="eastAsia"/>
          <w:sz w:val="24"/>
          <w:szCs w:val="24"/>
        </w:rPr>
        <w:t>；中部中切割中山海拔</w:t>
      </w:r>
      <w:r>
        <w:rPr>
          <w:rFonts w:cs="Times New Roman" w:hint="eastAsia"/>
          <w:sz w:val="24"/>
          <w:szCs w:val="24"/>
        </w:rPr>
        <w:t>1300~1500m</w:t>
      </w:r>
      <w:r>
        <w:rPr>
          <w:rFonts w:cs="Times New Roman" w:hint="eastAsia"/>
          <w:sz w:val="24"/>
          <w:szCs w:val="24"/>
        </w:rPr>
        <w:t>；南部中切割低山海拔</w:t>
      </w:r>
      <w:r>
        <w:rPr>
          <w:rFonts w:cs="Times New Roman" w:hint="eastAsia"/>
          <w:sz w:val="24"/>
          <w:szCs w:val="24"/>
        </w:rPr>
        <w:t>800~1000m</w:t>
      </w:r>
      <w:r>
        <w:rPr>
          <w:rFonts w:cs="Times New Roman" w:hint="eastAsia"/>
          <w:sz w:val="24"/>
          <w:szCs w:val="24"/>
        </w:rPr>
        <w:t>。</w:t>
      </w:r>
    </w:p>
    <w:p w14:paraId="572CBF2F" w14:textId="77777777" w:rsidR="007D1E74" w:rsidRDefault="00A95641">
      <w:pPr>
        <w:pStyle w:val="a9"/>
      </w:pPr>
      <w:r>
        <w:rPr>
          <w:rFonts w:hint="eastAsia"/>
        </w:rPr>
        <w:t>气候、气象</w:t>
      </w:r>
    </w:p>
    <w:p w14:paraId="6AAF64E9" w14:textId="77777777" w:rsidR="007D1E74" w:rsidRDefault="00A95641">
      <w:pPr>
        <w:spacing w:line="360" w:lineRule="auto"/>
        <w:ind w:firstLineChars="200" w:firstLine="480"/>
        <w:rPr>
          <w:rFonts w:cs="Times New Roman"/>
          <w:sz w:val="24"/>
          <w:szCs w:val="24"/>
        </w:rPr>
      </w:pPr>
      <w:r>
        <w:rPr>
          <w:rFonts w:cs="Times New Roman" w:hint="eastAsia"/>
          <w:sz w:val="24"/>
          <w:szCs w:val="24"/>
        </w:rPr>
        <w:t>通江县属中亚热带湿润季风气候区，气候受海拔高度影响大，海拔</w:t>
      </w:r>
      <w:r>
        <w:rPr>
          <w:rFonts w:cs="Times New Roman" w:hint="eastAsia"/>
          <w:sz w:val="24"/>
          <w:szCs w:val="24"/>
        </w:rPr>
        <w:t>500m</w:t>
      </w:r>
      <w:r>
        <w:rPr>
          <w:rFonts w:cs="Times New Roman" w:hint="eastAsia"/>
          <w:sz w:val="24"/>
          <w:szCs w:val="24"/>
        </w:rPr>
        <w:t>以下地区属四川盆地亚热带气候，全年四季分明，雨量充沛，气候温和，雨水集中在夏季，冬暖雪少，主要气象资料如下：</w:t>
      </w:r>
    </w:p>
    <w:p w14:paraId="65BF1BA1" w14:textId="77777777" w:rsidR="007D1E74" w:rsidRDefault="00A95641">
      <w:pPr>
        <w:spacing w:line="360" w:lineRule="auto"/>
        <w:ind w:firstLineChars="200" w:firstLine="480"/>
        <w:rPr>
          <w:rFonts w:cs="Times New Roman"/>
          <w:sz w:val="24"/>
          <w:szCs w:val="24"/>
        </w:rPr>
      </w:pPr>
      <w:r>
        <w:rPr>
          <w:rFonts w:cs="Times New Roman" w:hint="eastAsia"/>
          <w:sz w:val="24"/>
          <w:szCs w:val="24"/>
        </w:rPr>
        <w:t>①气温：多年平均气温</w:t>
      </w:r>
      <w:r>
        <w:rPr>
          <w:rFonts w:cs="Times New Roman" w:hint="eastAsia"/>
          <w:sz w:val="24"/>
          <w:szCs w:val="24"/>
        </w:rPr>
        <w:t>16.6</w:t>
      </w:r>
      <w:r>
        <w:rPr>
          <w:rFonts w:cs="Times New Roman" w:hint="eastAsia"/>
          <w:sz w:val="24"/>
          <w:szCs w:val="24"/>
        </w:rPr>
        <w:t>度，月平均最高气温</w:t>
      </w:r>
      <w:r>
        <w:rPr>
          <w:rFonts w:cs="Times New Roman" w:hint="eastAsia"/>
          <w:sz w:val="24"/>
          <w:szCs w:val="24"/>
        </w:rPr>
        <w:t>21.3</w:t>
      </w:r>
      <w:r>
        <w:rPr>
          <w:rFonts w:cs="Times New Roman" w:hint="eastAsia"/>
          <w:sz w:val="24"/>
          <w:szCs w:val="24"/>
        </w:rPr>
        <w:t>度，月平均最低气温</w:t>
      </w:r>
      <w:r>
        <w:rPr>
          <w:rFonts w:cs="Times New Roman" w:hint="eastAsia"/>
          <w:sz w:val="24"/>
          <w:szCs w:val="24"/>
        </w:rPr>
        <w:t>13.2</w:t>
      </w:r>
      <w:r>
        <w:rPr>
          <w:rFonts w:cs="Times New Roman" w:hint="eastAsia"/>
          <w:sz w:val="24"/>
          <w:szCs w:val="24"/>
        </w:rPr>
        <w:t>度，</w:t>
      </w:r>
      <w:r>
        <w:rPr>
          <w:rFonts w:cs="Times New Roman" w:hint="eastAsia"/>
          <w:sz w:val="24"/>
          <w:szCs w:val="24"/>
        </w:rPr>
        <w:lastRenderedPageBreak/>
        <w:t>极端最高气温</w:t>
      </w:r>
      <w:r>
        <w:rPr>
          <w:rFonts w:cs="Times New Roman" w:hint="eastAsia"/>
          <w:sz w:val="24"/>
          <w:szCs w:val="24"/>
        </w:rPr>
        <w:t>40.2</w:t>
      </w:r>
      <w:r>
        <w:rPr>
          <w:rFonts w:cs="Times New Roman" w:hint="eastAsia"/>
          <w:sz w:val="24"/>
          <w:szCs w:val="24"/>
        </w:rPr>
        <w:t>度（</w:t>
      </w:r>
      <w:r>
        <w:rPr>
          <w:rFonts w:cs="Times New Roman" w:hint="eastAsia"/>
          <w:sz w:val="24"/>
          <w:szCs w:val="24"/>
        </w:rPr>
        <w:t>1994</w:t>
      </w:r>
      <w:r>
        <w:rPr>
          <w:rFonts w:cs="Times New Roman" w:hint="eastAsia"/>
          <w:sz w:val="24"/>
          <w:szCs w:val="24"/>
        </w:rPr>
        <w:t>年</w:t>
      </w:r>
      <w:r>
        <w:rPr>
          <w:rFonts w:cs="Times New Roman" w:hint="eastAsia"/>
          <w:sz w:val="24"/>
          <w:szCs w:val="24"/>
        </w:rPr>
        <w:t>8</w:t>
      </w:r>
      <w:r>
        <w:rPr>
          <w:rFonts w:cs="Times New Roman" w:hint="eastAsia"/>
          <w:sz w:val="24"/>
          <w:szCs w:val="24"/>
        </w:rPr>
        <w:t>月</w:t>
      </w:r>
      <w:r>
        <w:rPr>
          <w:rFonts w:cs="Times New Roman" w:hint="eastAsia"/>
          <w:sz w:val="24"/>
          <w:szCs w:val="24"/>
        </w:rPr>
        <w:t>5</w:t>
      </w:r>
      <w:r>
        <w:rPr>
          <w:rFonts w:cs="Times New Roman" w:hint="eastAsia"/>
          <w:sz w:val="24"/>
          <w:szCs w:val="24"/>
        </w:rPr>
        <w:t>日），历年极端紧低气温</w:t>
      </w:r>
      <w:r>
        <w:rPr>
          <w:rFonts w:cs="Times New Roman" w:hint="eastAsia"/>
          <w:sz w:val="24"/>
          <w:szCs w:val="24"/>
        </w:rPr>
        <w:t>-6.2</w:t>
      </w:r>
      <w:r>
        <w:rPr>
          <w:rFonts w:cs="Times New Roman" w:hint="eastAsia"/>
          <w:sz w:val="24"/>
          <w:szCs w:val="24"/>
        </w:rPr>
        <w:t>度（</w:t>
      </w:r>
      <w:r>
        <w:rPr>
          <w:rFonts w:cs="Times New Roman" w:hint="eastAsia"/>
          <w:sz w:val="24"/>
          <w:szCs w:val="24"/>
        </w:rPr>
        <w:t>1975</w:t>
      </w:r>
      <w:r>
        <w:rPr>
          <w:rFonts w:cs="Times New Roman" w:hint="eastAsia"/>
          <w:sz w:val="24"/>
          <w:szCs w:val="24"/>
        </w:rPr>
        <w:t>年</w:t>
      </w:r>
      <w:r>
        <w:rPr>
          <w:rFonts w:cs="Times New Roman" w:hint="eastAsia"/>
          <w:sz w:val="24"/>
          <w:szCs w:val="24"/>
        </w:rPr>
        <w:t>12</w:t>
      </w:r>
      <w:r>
        <w:rPr>
          <w:rFonts w:cs="Times New Roman" w:hint="eastAsia"/>
          <w:sz w:val="24"/>
          <w:szCs w:val="24"/>
        </w:rPr>
        <w:t>月</w:t>
      </w:r>
      <w:r>
        <w:rPr>
          <w:rFonts w:cs="Times New Roman" w:hint="eastAsia"/>
          <w:sz w:val="24"/>
          <w:szCs w:val="24"/>
        </w:rPr>
        <w:t>5</w:t>
      </w:r>
      <w:r>
        <w:rPr>
          <w:rFonts w:cs="Times New Roman" w:hint="eastAsia"/>
          <w:sz w:val="24"/>
          <w:szCs w:val="24"/>
        </w:rPr>
        <w:t>日）。</w:t>
      </w:r>
    </w:p>
    <w:p w14:paraId="6F93D949" w14:textId="77777777" w:rsidR="007D1E74" w:rsidRDefault="00A95641">
      <w:pPr>
        <w:spacing w:line="360" w:lineRule="auto"/>
        <w:ind w:firstLineChars="200" w:firstLine="480"/>
        <w:rPr>
          <w:rFonts w:cs="Times New Roman"/>
          <w:sz w:val="24"/>
          <w:szCs w:val="24"/>
        </w:rPr>
      </w:pPr>
      <w:r>
        <w:rPr>
          <w:rFonts w:cs="Times New Roman" w:hint="eastAsia"/>
          <w:sz w:val="24"/>
          <w:szCs w:val="24"/>
        </w:rPr>
        <w:t>②降雨量：多年平均降雨量</w:t>
      </w:r>
      <w:r>
        <w:rPr>
          <w:rFonts w:cs="Times New Roman" w:hint="eastAsia"/>
          <w:sz w:val="24"/>
          <w:szCs w:val="24"/>
        </w:rPr>
        <w:t>1050-1150mm</w:t>
      </w:r>
      <w:r>
        <w:rPr>
          <w:rFonts w:cs="Times New Roman" w:hint="eastAsia"/>
          <w:sz w:val="24"/>
          <w:szCs w:val="24"/>
        </w:rPr>
        <w:t>，一天最大降雨量为</w:t>
      </w:r>
      <w:r>
        <w:rPr>
          <w:rFonts w:cs="Times New Roman" w:hint="eastAsia"/>
          <w:sz w:val="24"/>
          <w:szCs w:val="24"/>
        </w:rPr>
        <w:t>211.1mm</w:t>
      </w:r>
      <w:r>
        <w:rPr>
          <w:rFonts w:cs="Times New Roman" w:hint="eastAsia"/>
          <w:sz w:val="24"/>
          <w:szCs w:val="24"/>
        </w:rPr>
        <w:t>（</w:t>
      </w:r>
      <w:r>
        <w:rPr>
          <w:rFonts w:cs="Times New Roman" w:hint="eastAsia"/>
          <w:sz w:val="24"/>
          <w:szCs w:val="24"/>
        </w:rPr>
        <w:t>1989</w:t>
      </w:r>
      <w:r>
        <w:rPr>
          <w:rFonts w:cs="Times New Roman" w:hint="eastAsia"/>
          <w:sz w:val="24"/>
          <w:szCs w:val="24"/>
        </w:rPr>
        <w:t>年</w:t>
      </w:r>
      <w:r>
        <w:rPr>
          <w:rFonts w:cs="Times New Roman" w:hint="eastAsia"/>
          <w:sz w:val="24"/>
          <w:szCs w:val="24"/>
        </w:rPr>
        <w:t>6</w:t>
      </w:r>
      <w:r>
        <w:rPr>
          <w:rFonts w:cs="Times New Roman" w:hint="eastAsia"/>
          <w:sz w:val="24"/>
          <w:szCs w:val="24"/>
        </w:rPr>
        <w:t>月</w:t>
      </w:r>
      <w:r>
        <w:rPr>
          <w:rFonts w:cs="Times New Roman" w:hint="eastAsia"/>
          <w:sz w:val="24"/>
          <w:szCs w:val="24"/>
        </w:rPr>
        <w:t>7</w:t>
      </w:r>
      <w:r>
        <w:rPr>
          <w:rFonts w:cs="Times New Roman" w:hint="eastAsia"/>
          <w:sz w:val="24"/>
          <w:szCs w:val="24"/>
        </w:rPr>
        <w:t>日），一小时最大降雨量为</w:t>
      </w:r>
      <w:r>
        <w:rPr>
          <w:rFonts w:cs="Times New Roman" w:hint="eastAsia"/>
          <w:sz w:val="24"/>
          <w:szCs w:val="24"/>
        </w:rPr>
        <w:t>59.1mm</w:t>
      </w:r>
      <w:r>
        <w:rPr>
          <w:rFonts w:cs="Times New Roman" w:hint="eastAsia"/>
          <w:sz w:val="24"/>
          <w:szCs w:val="24"/>
        </w:rPr>
        <w:t>（</w:t>
      </w:r>
      <w:r>
        <w:rPr>
          <w:rFonts w:cs="Times New Roman" w:hint="eastAsia"/>
          <w:sz w:val="24"/>
          <w:szCs w:val="24"/>
        </w:rPr>
        <w:t>2000</w:t>
      </w:r>
      <w:r>
        <w:rPr>
          <w:rFonts w:cs="Times New Roman" w:hint="eastAsia"/>
          <w:sz w:val="24"/>
          <w:szCs w:val="24"/>
        </w:rPr>
        <w:t>年</w:t>
      </w:r>
      <w:r>
        <w:rPr>
          <w:rFonts w:cs="Times New Roman" w:hint="eastAsia"/>
          <w:sz w:val="24"/>
          <w:szCs w:val="24"/>
        </w:rPr>
        <w:t>7</w:t>
      </w:r>
      <w:r>
        <w:rPr>
          <w:rFonts w:cs="Times New Roman" w:hint="eastAsia"/>
          <w:sz w:val="24"/>
          <w:szCs w:val="24"/>
        </w:rPr>
        <w:t>月</w:t>
      </w:r>
      <w:r>
        <w:rPr>
          <w:rFonts w:cs="Times New Roman" w:hint="eastAsia"/>
          <w:sz w:val="24"/>
          <w:szCs w:val="24"/>
        </w:rPr>
        <w:t>7</w:t>
      </w:r>
      <w:r>
        <w:rPr>
          <w:rFonts w:cs="Times New Roman" w:hint="eastAsia"/>
          <w:sz w:val="24"/>
          <w:szCs w:val="24"/>
        </w:rPr>
        <w:t>日），一次暴雨持续日数为</w:t>
      </w:r>
      <w:r>
        <w:rPr>
          <w:rFonts w:cs="Times New Roman" w:hint="eastAsia"/>
          <w:sz w:val="24"/>
          <w:szCs w:val="24"/>
        </w:rPr>
        <w:t>5</w:t>
      </w:r>
      <w:r>
        <w:rPr>
          <w:rFonts w:cs="Times New Roman" w:hint="eastAsia"/>
          <w:sz w:val="24"/>
          <w:szCs w:val="24"/>
        </w:rPr>
        <w:t>天、雨量为</w:t>
      </w:r>
      <w:r>
        <w:rPr>
          <w:rFonts w:cs="Times New Roman" w:hint="eastAsia"/>
          <w:sz w:val="24"/>
          <w:szCs w:val="24"/>
        </w:rPr>
        <w:t>1827.5mm</w:t>
      </w:r>
      <w:r>
        <w:rPr>
          <w:rFonts w:cs="Times New Roman" w:hint="eastAsia"/>
          <w:sz w:val="24"/>
          <w:szCs w:val="24"/>
        </w:rPr>
        <w:t>（</w:t>
      </w:r>
      <w:r>
        <w:rPr>
          <w:rFonts w:cs="Times New Roman" w:hint="eastAsia"/>
          <w:sz w:val="24"/>
          <w:szCs w:val="24"/>
        </w:rPr>
        <w:t>1983</w:t>
      </w:r>
      <w:r>
        <w:rPr>
          <w:rFonts w:cs="Times New Roman" w:hint="eastAsia"/>
          <w:sz w:val="24"/>
          <w:szCs w:val="24"/>
        </w:rPr>
        <w:t>年），近五年最长连续暴雨天日数为</w:t>
      </w:r>
      <w:r>
        <w:rPr>
          <w:rFonts w:cs="Times New Roman" w:hint="eastAsia"/>
          <w:sz w:val="24"/>
          <w:szCs w:val="24"/>
        </w:rPr>
        <w:t>9</w:t>
      </w:r>
      <w:r>
        <w:rPr>
          <w:rFonts w:cs="Times New Roman" w:hint="eastAsia"/>
          <w:sz w:val="24"/>
          <w:szCs w:val="24"/>
        </w:rPr>
        <w:t>天（</w:t>
      </w:r>
      <w:r>
        <w:rPr>
          <w:rFonts w:cs="Times New Roman" w:hint="eastAsia"/>
          <w:sz w:val="24"/>
          <w:szCs w:val="24"/>
        </w:rPr>
        <w:t>2004</w:t>
      </w:r>
      <w:r>
        <w:rPr>
          <w:rFonts w:cs="Times New Roman" w:hint="eastAsia"/>
          <w:sz w:val="24"/>
          <w:szCs w:val="24"/>
        </w:rPr>
        <w:t>年</w:t>
      </w:r>
      <w:r>
        <w:rPr>
          <w:rFonts w:cs="Times New Roman" w:hint="eastAsia"/>
          <w:sz w:val="24"/>
          <w:szCs w:val="24"/>
        </w:rPr>
        <w:t>8</w:t>
      </w:r>
      <w:r>
        <w:rPr>
          <w:rFonts w:cs="Times New Roman" w:hint="eastAsia"/>
          <w:sz w:val="24"/>
          <w:szCs w:val="24"/>
        </w:rPr>
        <w:t>月</w:t>
      </w:r>
      <w:r>
        <w:rPr>
          <w:rFonts w:cs="Times New Roman" w:hint="eastAsia"/>
          <w:sz w:val="24"/>
          <w:szCs w:val="24"/>
        </w:rPr>
        <w:t>31</w:t>
      </w:r>
      <w:r>
        <w:rPr>
          <w:rFonts w:cs="Times New Roman" w:hint="eastAsia"/>
          <w:sz w:val="24"/>
          <w:szCs w:val="24"/>
        </w:rPr>
        <w:t>日</w:t>
      </w:r>
      <w:r>
        <w:rPr>
          <w:rFonts w:cs="Times New Roman" w:hint="eastAsia"/>
          <w:sz w:val="24"/>
          <w:szCs w:val="24"/>
        </w:rPr>
        <w:t>-9</w:t>
      </w:r>
      <w:r>
        <w:rPr>
          <w:rFonts w:cs="Times New Roman" w:hint="eastAsia"/>
          <w:sz w:val="24"/>
          <w:szCs w:val="24"/>
        </w:rPr>
        <w:t>月</w:t>
      </w:r>
      <w:r>
        <w:rPr>
          <w:rFonts w:cs="Times New Roman" w:hint="eastAsia"/>
          <w:sz w:val="24"/>
          <w:szCs w:val="24"/>
        </w:rPr>
        <w:t>8</w:t>
      </w:r>
      <w:r>
        <w:rPr>
          <w:rFonts w:cs="Times New Roman" w:hint="eastAsia"/>
          <w:sz w:val="24"/>
          <w:szCs w:val="24"/>
        </w:rPr>
        <w:t>日）。</w:t>
      </w:r>
    </w:p>
    <w:p w14:paraId="1603B1A5" w14:textId="77777777" w:rsidR="007D1E74" w:rsidRDefault="00A95641">
      <w:pPr>
        <w:spacing w:line="360" w:lineRule="auto"/>
        <w:ind w:firstLineChars="200" w:firstLine="480"/>
        <w:rPr>
          <w:rFonts w:cs="Times New Roman"/>
          <w:sz w:val="24"/>
          <w:szCs w:val="24"/>
        </w:rPr>
      </w:pPr>
      <w:r>
        <w:rPr>
          <w:rFonts w:cs="Times New Roman" w:hint="eastAsia"/>
          <w:sz w:val="24"/>
          <w:szCs w:val="24"/>
        </w:rPr>
        <w:t>③蒸发量：年均蒸发量为</w:t>
      </w:r>
      <w:r>
        <w:rPr>
          <w:rFonts w:cs="Times New Roman" w:hint="eastAsia"/>
          <w:sz w:val="24"/>
          <w:szCs w:val="24"/>
        </w:rPr>
        <w:t>1184.0mm</w:t>
      </w:r>
      <w:r>
        <w:rPr>
          <w:rFonts w:cs="Times New Roman" w:hint="eastAsia"/>
          <w:sz w:val="24"/>
          <w:szCs w:val="24"/>
        </w:rPr>
        <w:t>，月蒸发量最大值为</w:t>
      </w:r>
      <w:r>
        <w:rPr>
          <w:rFonts w:cs="Times New Roman" w:hint="eastAsia"/>
          <w:sz w:val="24"/>
          <w:szCs w:val="24"/>
        </w:rPr>
        <w:t>174.3mm</w:t>
      </w:r>
      <w:r>
        <w:rPr>
          <w:rFonts w:cs="Times New Roman" w:hint="eastAsia"/>
          <w:sz w:val="24"/>
          <w:szCs w:val="24"/>
        </w:rPr>
        <w:t>（</w:t>
      </w:r>
      <w:r>
        <w:rPr>
          <w:rFonts w:cs="Times New Roman" w:hint="eastAsia"/>
          <w:sz w:val="24"/>
          <w:szCs w:val="24"/>
        </w:rPr>
        <w:t>8</w:t>
      </w:r>
      <w:r>
        <w:rPr>
          <w:rFonts w:cs="Times New Roman" w:hint="eastAsia"/>
          <w:sz w:val="24"/>
          <w:szCs w:val="24"/>
        </w:rPr>
        <w:t>月份），月蒸发量最小值为</w:t>
      </w:r>
      <w:r>
        <w:rPr>
          <w:rFonts w:cs="Times New Roman" w:hint="eastAsia"/>
          <w:sz w:val="24"/>
          <w:szCs w:val="24"/>
        </w:rPr>
        <w:t>36.2mm</w:t>
      </w:r>
      <w:r>
        <w:rPr>
          <w:rFonts w:cs="Times New Roman" w:hint="eastAsia"/>
          <w:sz w:val="24"/>
          <w:szCs w:val="24"/>
        </w:rPr>
        <w:t>（</w:t>
      </w:r>
      <w:r>
        <w:rPr>
          <w:rFonts w:cs="Times New Roman" w:hint="eastAsia"/>
          <w:sz w:val="24"/>
          <w:szCs w:val="24"/>
        </w:rPr>
        <w:t>12</w:t>
      </w:r>
      <w:r>
        <w:rPr>
          <w:rFonts w:cs="Times New Roman" w:hint="eastAsia"/>
          <w:sz w:val="24"/>
          <w:szCs w:val="24"/>
        </w:rPr>
        <w:t>月份）。</w:t>
      </w:r>
    </w:p>
    <w:p w14:paraId="26C2BE9D" w14:textId="77777777" w:rsidR="007D1E74" w:rsidRDefault="00A95641">
      <w:pPr>
        <w:spacing w:line="360" w:lineRule="auto"/>
        <w:ind w:firstLineChars="200" w:firstLine="480"/>
        <w:rPr>
          <w:rFonts w:cs="Times New Roman"/>
          <w:sz w:val="24"/>
          <w:szCs w:val="24"/>
        </w:rPr>
      </w:pPr>
      <w:r>
        <w:rPr>
          <w:rFonts w:cs="Times New Roman" w:hint="eastAsia"/>
          <w:sz w:val="24"/>
          <w:szCs w:val="24"/>
        </w:rPr>
        <w:t>④地温：年平均地温</w:t>
      </w:r>
      <w:r>
        <w:rPr>
          <w:rFonts w:cs="Times New Roman" w:hint="eastAsia"/>
          <w:sz w:val="24"/>
          <w:szCs w:val="24"/>
        </w:rPr>
        <w:t>18.1</w:t>
      </w:r>
      <w:r>
        <w:rPr>
          <w:rFonts w:cs="Times New Roman" w:hint="eastAsia"/>
          <w:sz w:val="24"/>
          <w:szCs w:val="24"/>
        </w:rPr>
        <w:t>度。</w:t>
      </w:r>
    </w:p>
    <w:p w14:paraId="1817654E" w14:textId="77777777" w:rsidR="007D1E74" w:rsidRDefault="00A95641">
      <w:pPr>
        <w:spacing w:line="360" w:lineRule="auto"/>
        <w:ind w:firstLineChars="200" w:firstLine="480"/>
        <w:rPr>
          <w:rFonts w:cs="Times New Roman"/>
          <w:sz w:val="24"/>
          <w:szCs w:val="24"/>
        </w:rPr>
      </w:pPr>
      <w:r>
        <w:rPr>
          <w:rFonts w:cs="Times New Roman" w:hint="eastAsia"/>
          <w:sz w:val="24"/>
          <w:szCs w:val="24"/>
        </w:rPr>
        <w:t>⑤日照：常年平均日照时数为</w:t>
      </w:r>
      <w:r>
        <w:rPr>
          <w:rFonts w:cs="Times New Roman" w:hint="eastAsia"/>
          <w:sz w:val="24"/>
          <w:szCs w:val="24"/>
        </w:rPr>
        <w:t>1348.7h</w:t>
      </w:r>
      <w:r>
        <w:rPr>
          <w:rFonts w:cs="Times New Roman" w:hint="eastAsia"/>
          <w:sz w:val="24"/>
          <w:szCs w:val="24"/>
        </w:rPr>
        <w:t>。</w:t>
      </w:r>
    </w:p>
    <w:p w14:paraId="549613C3" w14:textId="77777777" w:rsidR="007D1E74" w:rsidRDefault="00A95641">
      <w:pPr>
        <w:spacing w:line="360" w:lineRule="auto"/>
        <w:ind w:firstLineChars="200" w:firstLine="480"/>
        <w:rPr>
          <w:rFonts w:cs="Times New Roman"/>
          <w:sz w:val="24"/>
          <w:szCs w:val="24"/>
        </w:rPr>
      </w:pPr>
      <w:r>
        <w:rPr>
          <w:rFonts w:cs="Times New Roman" w:hint="eastAsia"/>
          <w:sz w:val="24"/>
          <w:szCs w:val="24"/>
        </w:rPr>
        <w:t>⑥风向：全年主导风向为</w:t>
      </w:r>
      <w:r>
        <w:rPr>
          <w:rFonts w:cs="Times New Roman" w:hint="eastAsia"/>
          <w:sz w:val="24"/>
          <w:szCs w:val="24"/>
        </w:rPr>
        <w:t>SE</w:t>
      </w:r>
      <w:r>
        <w:rPr>
          <w:rFonts w:cs="Times New Roman" w:hint="eastAsia"/>
          <w:sz w:val="24"/>
          <w:szCs w:val="24"/>
        </w:rPr>
        <w:t>，次主导风向为</w:t>
      </w:r>
      <w:r>
        <w:rPr>
          <w:rFonts w:cs="Times New Roman" w:hint="eastAsia"/>
          <w:sz w:val="24"/>
          <w:szCs w:val="24"/>
        </w:rPr>
        <w:t>NW</w:t>
      </w:r>
      <w:r>
        <w:rPr>
          <w:rFonts w:cs="Times New Roman" w:hint="eastAsia"/>
          <w:sz w:val="24"/>
          <w:szCs w:val="24"/>
        </w:rPr>
        <w:t>、</w:t>
      </w:r>
      <w:r>
        <w:rPr>
          <w:rFonts w:cs="Times New Roman" w:hint="eastAsia"/>
          <w:sz w:val="24"/>
          <w:szCs w:val="24"/>
        </w:rPr>
        <w:t>ESE</w:t>
      </w:r>
      <w:r>
        <w:rPr>
          <w:rFonts w:cs="Times New Roman" w:hint="eastAsia"/>
          <w:sz w:val="24"/>
          <w:szCs w:val="24"/>
        </w:rPr>
        <w:t>；年平均风速</w:t>
      </w:r>
      <w:r>
        <w:rPr>
          <w:rFonts w:cs="Times New Roman" w:hint="eastAsia"/>
          <w:sz w:val="24"/>
          <w:szCs w:val="24"/>
        </w:rPr>
        <w:t>1.2m/s</w:t>
      </w:r>
      <w:r>
        <w:rPr>
          <w:rFonts w:cs="Times New Roman" w:hint="eastAsia"/>
          <w:sz w:val="24"/>
          <w:szCs w:val="24"/>
        </w:rPr>
        <w:t>，极端最大风速（风向）为</w:t>
      </w:r>
      <w:r>
        <w:rPr>
          <w:rFonts w:cs="Times New Roman" w:hint="eastAsia"/>
          <w:sz w:val="24"/>
          <w:szCs w:val="24"/>
        </w:rPr>
        <w:t>14.0m/s</w:t>
      </w:r>
      <w:r>
        <w:rPr>
          <w:rFonts w:cs="Times New Roman" w:hint="eastAsia"/>
          <w:sz w:val="24"/>
          <w:szCs w:val="24"/>
        </w:rPr>
        <w:t>（</w:t>
      </w:r>
      <w:r>
        <w:rPr>
          <w:rFonts w:cs="Times New Roman" w:hint="eastAsia"/>
          <w:sz w:val="24"/>
          <w:szCs w:val="24"/>
        </w:rPr>
        <w:t>SE</w:t>
      </w:r>
      <w:r>
        <w:rPr>
          <w:rFonts w:cs="Times New Roman" w:hint="eastAsia"/>
          <w:sz w:val="24"/>
          <w:szCs w:val="24"/>
        </w:rPr>
        <w:t>，</w:t>
      </w:r>
      <w:r>
        <w:rPr>
          <w:rFonts w:cs="Times New Roman" w:hint="eastAsia"/>
          <w:sz w:val="24"/>
          <w:szCs w:val="24"/>
        </w:rPr>
        <w:t>1973</w:t>
      </w:r>
      <w:r>
        <w:rPr>
          <w:rFonts w:cs="Times New Roman" w:hint="eastAsia"/>
          <w:sz w:val="24"/>
          <w:szCs w:val="24"/>
        </w:rPr>
        <w:t>年</w:t>
      </w:r>
      <w:r>
        <w:rPr>
          <w:rFonts w:cs="Times New Roman" w:hint="eastAsia"/>
          <w:sz w:val="24"/>
          <w:szCs w:val="24"/>
        </w:rPr>
        <w:t>8</w:t>
      </w:r>
      <w:r>
        <w:rPr>
          <w:rFonts w:cs="Times New Roman" w:hint="eastAsia"/>
          <w:sz w:val="24"/>
          <w:szCs w:val="24"/>
        </w:rPr>
        <w:t>月</w:t>
      </w:r>
      <w:r>
        <w:rPr>
          <w:rFonts w:cs="Times New Roman" w:hint="eastAsia"/>
          <w:sz w:val="24"/>
          <w:szCs w:val="24"/>
        </w:rPr>
        <w:t>11</w:t>
      </w:r>
      <w:r>
        <w:rPr>
          <w:rFonts w:cs="Times New Roman" w:hint="eastAsia"/>
          <w:sz w:val="24"/>
          <w:szCs w:val="24"/>
        </w:rPr>
        <w:t>日）。</w:t>
      </w:r>
    </w:p>
    <w:p w14:paraId="1C81030C" w14:textId="77777777" w:rsidR="007D1E74" w:rsidRDefault="00A95641">
      <w:pPr>
        <w:spacing w:line="360" w:lineRule="auto"/>
        <w:ind w:firstLineChars="200" w:firstLine="480"/>
        <w:rPr>
          <w:rFonts w:cs="Times New Roman"/>
          <w:sz w:val="24"/>
          <w:szCs w:val="24"/>
        </w:rPr>
      </w:pPr>
      <w:r>
        <w:rPr>
          <w:rFonts w:cs="Times New Roman" w:hint="eastAsia"/>
          <w:sz w:val="24"/>
          <w:szCs w:val="24"/>
        </w:rPr>
        <w:t>⑦雾：多年平均雾日</w:t>
      </w:r>
      <w:r>
        <w:rPr>
          <w:rFonts w:cs="Times New Roman" w:hint="eastAsia"/>
          <w:sz w:val="24"/>
          <w:szCs w:val="24"/>
        </w:rPr>
        <w:t>28.0</w:t>
      </w:r>
      <w:r>
        <w:rPr>
          <w:rFonts w:cs="Times New Roman" w:hint="eastAsia"/>
          <w:sz w:val="24"/>
          <w:szCs w:val="24"/>
        </w:rPr>
        <w:t>天，最多年份雾日</w:t>
      </w:r>
      <w:r>
        <w:rPr>
          <w:rFonts w:cs="Times New Roman" w:hint="eastAsia"/>
          <w:sz w:val="24"/>
          <w:szCs w:val="24"/>
        </w:rPr>
        <w:t>42</w:t>
      </w:r>
      <w:r>
        <w:rPr>
          <w:rFonts w:cs="Times New Roman" w:hint="eastAsia"/>
          <w:sz w:val="24"/>
          <w:szCs w:val="24"/>
        </w:rPr>
        <w:t>天，最少年份雾日</w:t>
      </w:r>
      <w:r>
        <w:rPr>
          <w:rFonts w:cs="Times New Roman" w:hint="eastAsia"/>
          <w:sz w:val="24"/>
          <w:szCs w:val="24"/>
        </w:rPr>
        <w:t>18</w:t>
      </w:r>
      <w:r>
        <w:rPr>
          <w:rFonts w:cs="Times New Roman" w:hint="eastAsia"/>
          <w:sz w:val="24"/>
          <w:szCs w:val="24"/>
        </w:rPr>
        <w:t>天。</w:t>
      </w:r>
    </w:p>
    <w:p w14:paraId="1C5EA9B8" w14:textId="77777777" w:rsidR="007D1E74" w:rsidRDefault="00A95641">
      <w:pPr>
        <w:spacing w:line="360" w:lineRule="auto"/>
        <w:ind w:firstLineChars="200" w:firstLine="480"/>
        <w:rPr>
          <w:rFonts w:cs="Times New Roman"/>
          <w:sz w:val="24"/>
          <w:szCs w:val="24"/>
        </w:rPr>
      </w:pPr>
      <w:r>
        <w:rPr>
          <w:rFonts w:cs="Times New Roman" w:hint="eastAsia"/>
          <w:sz w:val="24"/>
          <w:szCs w:val="24"/>
        </w:rPr>
        <w:t>⑧雷暴：年均雷暴天数</w:t>
      </w:r>
      <w:r>
        <w:rPr>
          <w:rFonts w:cs="Times New Roman" w:hint="eastAsia"/>
          <w:sz w:val="24"/>
          <w:szCs w:val="24"/>
        </w:rPr>
        <w:t>33.2</w:t>
      </w:r>
      <w:r>
        <w:rPr>
          <w:rFonts w:cs="Times New Roman" w:hint="eastAsia"/>
          <w:sz w:val="24"/>
          <w:szCs w:val="24"/>
        </w:rPr>
        <w:t>天。</w:t>
      </w:r>
    </w:p>
    <w:p w14:paraId="76A1C0D2" w14:textId="77777777" w:rsidR="007D1E74" w:rsidRDefault="00A95641">
      <w:pPr>
        <w:spacing w:line="360" w:lineRule="auto"/>
        <w:ind w:firstLineChars="200" w:firstLine="480"/>
        <w:rPr>
          <w:rFonts w:cs="Times New Roman"/>
          <w:sz w:val="24"/>
          <w:szCs w:val="24"/>
        </w:rPr>
      </w:pPr>
      <w:r>
        <w:rPr>
          <w:rFonts w:cs="Times New Roman" w:hint="eastAsia"/>
          <w:sz w:val="24"/>
          <w:szCs w:val="24"/>
        </w:rPr>
        <w:t>⑨主要灾害性天气：夏旱、伏旱，秋绵雨，冰雹，洪涝。</w:t>
      </w:r>
    </w:p>
    <w:p w14:paraId="366F3558" w14:textId="77777777" w:rsidR="007D1E74" w:rsidRDefault="00A95641">
      <w:pPr>
        <w:pStyle w:val="a9"/>
      </w:pPr>
      <w:r>
        <w:rPr>
          <w:rFonts w:hint="eastAsia"/>
        </w:rPr>
        <w:t>水文特征</w:t>
      </w:r>
    </w:p>
    <w:p w14:paraId="635E50F3" w14:textId="77777777" w:rsidR="007D1E74" w:rsidRDefault="00A95641">
      <w:pPr>
        <w:spacing w:line="360" w:lineRule="auto"/>
        <w:ind w:firstLineChars="200" w:firstLine="480"/>
        <w:rPr>
          <w:rFonts w:cs="Times New Roman"/>
          <w:sz w:val="24"/>
          <w:szCs w:val="24"/>
        </w:rPr>
      </w:pPr>
      <w:r>
        <w:rPr>
          <w:rFonts w:cs="Times New Roman" w:hint="eastAsia"/>
          <w:sz w:val="24"/>
          <w:szCs w:val="24"/>
        </w:rPr>
        <w:t>通江县水系呈网状发育，河谷溪沟密布，宕（大通江）、诺（小通江）二水从北至南，纵贯北部中部区域。境内流域面积</w:t>
      </w:r>
      <w:r>
        <w:rPr>
          <w:rFonts w:cs="Times New Roman" w:hint="eastAsia"/>
          <w:sz w:val="24"/>
          <w:szCs w:val="24"/>
        </w:rPr>
        <w:t>50km</w:t>
      </w:r>
      <w:r>
        <w:rPr>
          <w:rFonts w:cs="Times New Roman"/>
          <w:sz w:val="24"/>
          <w:szCs w:val="24"/>
          <w:vertAlign w:val="superscript"/>
        </w:rPr>
        <w:t>2</w:t>
      </w:r>
      <w:r>
        <w:rPr>
          <w:rFonts w:cs="Times New Roman" w:hint="eastAsia"/>
          <w:sz w:val="24"/>
          <w:szCs w:val="24"/>
        </w:rPr>
        <w:t>以上的河流</w:t>
      </w:r>
      <w:r>
        <w:rPr>
          <w:rFonts w:cs="Times New Roman" w:hint="eastAsia"/>
          <w:sz w:val="24"/>
          <w:szCs w:val="24"/>
        </w:rPr>
        <w:t>27</w:t>
      </w:r>
      <w:r>
        <w:rPr>
          <w:rFonts w:cs="Times New Roman" w:hint="eastAsia"/>
          <w:sz w:val="24"/>
          <w:szCs w:val="24"/>
        </w:rPr>
        <w:t>条，其中流域面积在</w:t>
      </w:r>
      <w:r>
        <w:rPr>
          <w:rFonts w:cs="Times New Roman" w:hint="eastAsia"/>
          <w:sz w:val="24"/>
          <w:szCs w:val="24"/>
        </w:rPr>
        <w:t>100km</w:t>
      </w:r>
      <w:r>
        <w:rPr>
          <w:rFonts w:cs="Times New Roman"/>
          <w:sz w:val="24"/>
          <w:szCs w:val="24"/>
          <w:vertAlign w:val="superscript"/>
        </w:rPr>
        <w:t>2</w:t>
      </w:r>
      <w:r>
        <w:rPr>
          <w:rFonts w:cs="Times New Roman" w:hint="eastAsia"/>
          <w:sz w:val="24"/>
          <w:szCs w:val="24"/>
        </w:rPr>
        <w:t>以上的</w:t>
      </w:r>
      <w:r>
        <w:rPr>
          <w:rFonts w:cs="Times New Roman" w:hint="eastAsia"/>
          <w:sz w:val="24"/>
          <w:szCs w:val="24"/>
        </w:rPr>
        <w:t>14</w:t>
      </w:r>
      <w:r>
        <w:rPr>
          <w:rFonts w:cs="Times New Roman" w:hint="eastAsia"/>
          <w:sz w:val="24"/>
          <w:szCs w:val="24"/>
        </w:rPr>
        <w:t>条，流域面积在</w:t>
      </w:r>
      <w:r>
        <w:rPr>
          <w:rFonts w:cs="Times New Roman" w:hint="eastAsia"/>
          <w:sz w:val="24"/>
          <w:szCs w:val="24"/>
        </w:rPr>
        <w:t>1000km</w:t>
      </w:r>
      <w:r>
        <w:rPr>
          <w:rFonts w:cs="Times New Roman"/>
          <w:sz w:val="24"/>
          <w:szCs w:val="24"/>
          <w:vertAlign w:val="superscript"/>
        </w:rPr>
        <w:t>2</w:t>
      </w:r>
      <w:r>
        <w:rPr>
          <w:rFonts w:cs="Times New Roman" w:hint="eastAsia"/>
          <w:sz w:val="24"/>
          <w:szCs w:val="24"/>
        </w:rPr>
        <w:t>以上的</w:t>
      </w:r>
      <w:r>
        <w:rPr>
          <w:rFonts w:cs="Times New Roman" w:hint="eastAsia"/>
          <w:sz w:val="24"/>
          <w:szCs w:val="24"/>
        </w:rPr>
        <w:t>4</w:t>
      </w:r>
      <w:r>
        <w:rPr>
          <w:rFonts w:cs="Times New Roman" w:hint="eastAsia"/>
          <w:sz w:val="24"/>
          <w:szCs w:val="24"/>
        </w:rPr>
        <w:t>条。境内地表水多年平均径流总量为</w:t>
      </w:r>
      <w:r>
        <w:rPr>
          <w:rFonts w:cs="Times New Roman" w:hint="eastAsia"/>
          <w:sz w:val="24"/>
          <w:szCs w:val="24"/>
        </w:rPr>
        <w:t>26.9</w:t>
      </w:r>
      <w:r>
        <w:rPr>
          <w:rFonts w:cs="Times New Roman" w:hint="eastAsia"/>
          <w:sz w:val="24"/>
          <w:szCs w:val="24"/>
        </w:rPr>
        <w:t>亿</w:t>
      </w:r>
      <w:r>
        <w:rPr>
          <w:rFonts w:cs="Times New Roman" w:hint="eastAsia"/>
          <w:sz w:val="24"/>
          <w:szCs w:val="24"/>
        </w:rPr>
        <w:t>m</w:t>
      </w:r>
      <w:r>
        <w:rPr>
          <w:rFonts w:cs="Times New Roman"/>
          <w:sz w:val="24"/>
          <w:szCs w:val="24"/>
          <w:vertAlign w:val="superscript"/>
        </w:rPr>
        <w:t>3</w:t>
      </w:r>
      <w:r>
        <w:rPr>
          <w:rFonts w:cs="Times New Roman" w:hint="eastAsia"/>
          <w:sz w:val="24"/>
          <w:szCs w:val="24"/>
        </w:rPr>
        <w:t>。其中境内地下水年出露量为</w:t>
      </w:r>
      <w:r>
        <w:rPr>
          <w:rFonts w:cs="Times New Roman" w:hint="eastAsia"/>
          <w:sz w:val="24"/>
          <w:szCs w:val="24"/>
        </w:rPr>
        <w:t>2.260</w:t>
      </w:r>
      <w:r>
        <w:rPr>
          <w:rFonts w:cs="Times New Roman" w:hint="eastAsia"/>
          <w:sz w:val="24"/>
          <w:szCs w:val="24"/>
        </w:rPr>
        <w:t>亿</w:t>
      </w:r>
      <w:r>
        <w:rPr>
          <w:rFonts w:cs="Times New Roman" w:hint="eastAsia"/>
          <w:sz w:val="24"/>
          <w:szCs w:val="24"/>
        </w:rPr>
        <w:t>m</w:t>
      </w:r>
      <w:r>
        <w:rPr>
          <w:rFonts w:cs="Times New Roman"/>
          <w:sz w:val="24"/>
          <w:szCs w:val="24"/>
          <w:vertAlign w:val="superscript"/>
        </w:rPr>
        <w:t>3</w:t>
      </w:r>
      <w:r>
        <w:rPr>
          <w:rFonts w:cs="Times New Roman" w:hint="eastAsia"/>
          <w:sz w:val="24"/>
          <w:szCs w:val="24"/>
        </w:rPr>
        <w:t>。县过境地表水数量较大，多年平均年径量</w:t>
      </w:r>
      <w:r>
        <w:rPr>
          <w:rFonts w:cs="Times New Roman" w:hint="eastAsia"/>
          <w:sz w:val="24"/>
          <w:szCs w:val="24"/>
        </w:rPr>
        <w:t>32.8</w:t>
      </w:r>
      <w:r>
        <w:rPr>
          <w:rFonts w:cs="Times New Roman" w:hint="eastAsia"/>
          <w:sz w:val="24"/>
          <w:szCs w:val="24"/>
        </w:rPr>
        <w:t>亿</w:t>
      </w:r>
      <w:r>
        <w:rPr>
          <w:rFonts w:cs="Times New Roman" w:hint="eastAsia"/>
          <w:sz w:val="24"/>
          <w:szCs w:val="24"/>
        </w:rPr>
        <w:t>m</w:t>
      </w:r>
      <w:r>
        <w:rPr>
          <w:rFonts w:cs="Times New Roman"/>
          <w:sz w:val="24"/>
          <w:szCs w:val="24"/>
          <w:vertAlign w:val="superscript"/>
        </w:rPr>
        <w:t>3</w:t>
      </w:r>
      <w:r>
        <w:rPr>
          <w:rFonts w:cs="Times New Roman" w:hint="eastAsia"/>
          <w:sz w:val="24"/>
          <w:szCs w:val="24"/>
        </w:rPr>
        <w:t>。县水能理论蕴藏总量</w:t>
      </w:r>
      <w:r>
        <w:rPr>
          <w:rFonts w:cs="Times New Roman" w:hint="eastAsia"/>
          <w:sz w:val="24"/>
          <w:szCs w:val="24"/>
        </w:rPr>
        <w:t>36.70</w:t>
      </w:r>
      <w:r>
        <w:rPr>
          <w:rFonts w:cs="Times New Roman" w:hint="eastAsia"/>
          <w:sz w:val="24"/>
          <w:szCs w:val="24"/>
        </w:rPr>
        <w:t>万千瓦，可开发水能资源</w:t>
      </w:r>
      <w:r>
        <w:rPr>
          <w:rFonts w:cs="Times New Roman" w:hint="eastAsia"/>
          <w:sz w:val="24"/>
          <w:szCs w:val="24"/>
        </w:rPr>
        <w:t>20.22</w:t>
      </w:r>
      <w:r>
        <w:rPr>
          <w:rFonts w:cs="Times New Roman" w:hint="eastAsia"/>
          <w:sz w:val="24"/>
          <w:szCs w:val="24"/>
        </w:rPr>
        <w:t>万千瓦，占总蕴藏量的</w:t>
      </w:r>
      <w:r>
        <w:rPr>
          <w:rFonts w:cs="Times New Roman" w:hint="eastAsia"/>
          <w:sz w:val="24"/>
          <w:szCs w:val="24"/>
        </w:rPr>
        <w:t>55%</w:t>
      </w:r>
      <w:r>
        <w:rPr>
          <w:rFonts w:cs="Times New Roman" w:hint="eastAsia"/>
          <w:sz w:val="24"/>
          <w:szCs w:val="24"/>
        </w:rPr>
        <w:t>。</w:t>
      </w:r>
    </w:p>
    <w:p w14:paraId="34546E44" w14:textId="77777777" w:rsidR="007D1E74" w:rsidRDefault="00A95641">
      <w:pPr>
        <w:spacing w:line="360" w:lineRule="auto"/>
        <w:ind w:firstLineChars="200" w:firstLine="480"/>
        <w:rPr>
          <w:rFonts w:cs="Times New Roman"/>
          <w:sz w:val="24"/>
          <w:szCs w:val="24"/>
        </w:rPr>
      </w:pPr>
      <w:r>
        <w:rPr>
          <w:rFonts w:cs="Times New Roman" w:hint="eastAsia"/>
          <w:sz w:val="24"/>
          <w:szCs w:val="24"/>
        </w:rPr>
        <w:t>小通江河属通江河一级支流，发源于陕西省南郑县广家乡大红岩，主河偏县境西部，流向由北至南，纵贯诺水河保护区，河谷陡峻，沿河溶洞密布。河流南流，先后汇入黄家河、鲁坝河、临江河、金溪沟、砥坝河、青峪溪、关路溪、刘家河，于县城下游汇入大通江河。小通江河与大通江河会合处流程</w:t>
      </w:r>
      <w:r>
        <w:rPr>
          <w:rFonts w:cs="Times New Roman" w:hint="eastAsia"/>
          <w:sz w:val="24"/>
          <w:szCs w:val="24"/>
        </w:rPr>
        <w:t>153.8km</w:t>
      </w:r>
      <w:r>
        <w:rPr>
          <w:rFonts w:cs="Times New Roman" w:hint="eastAsia"/>
          <w:sz w:val="24"/>
          <w:szCs w:val="24"/>
        </w:rPr>
        <w:t>，其中县境内长</w:t>
      </w:r>
      <w:r>
        <w:rPr>
          <w:rFonts w:cs="Times New Roman" w:hint="eastAsia"/>
          <w:sz w:val="24"/>
          <w:szCs w:val="24"/>
        </w:rPr>
        <w:t>108.3km</w:t>
      </w:r>
      <w:r>
        <w:rPr>
          <w:rFonts w:cs="Times New Roman" w:hint="eastAsia"/>
          <w:sz w:val="24"/>
          <w:szCs w:val="24"/>
        </w:rPr>
        <w:t>，境内流域面积</w:t>
      </w:r>
      <w:r>
        <w:rPr>
          <w:rFonts w:cs="Times New Roman" w:hint="eastAsia"/>
          <w:sz w:val="24"/>
          <w:szCs w:val="24"/>
        </w:rPr>
        <w:t>1102.9km</w:t>
      </w:r>
      <w:r>
        <w:rPr>
          <w:rFonts w:cs="Times New Roman" w:hint="eastAsia"/>
          <w:sz w:val="24"/>
          <w:szCs w:val="24"/>
          <w:vertAlign w:val="superscript"/>
        </w:rPr>
        <w:t>2</w:t>
      </w:r>
      <w:r>
        <w:rPr>
          <w:rFonts w:cs="Times New Roman" w:hint="eastAsia"/>
          <w:sz w:val="24"/>
          <w:szCs w:val="24"/>
        </w:rPr>
        <w:t>，多年平均流量</w:t>
      </w:r>
      <w:r>
        <w:rPr>
          <w:rFonts w:cs="Times New Roman" w:hint="eastAsia"/>
          <w:sz w:val="24"/>
          <w:szCs w:val="24"/>
        </w:rPr>
        <w:t>8.33</w:t>
      </w:r>
      <w:r>
        <w:rPr>
          <w:rFonts w:cs="Times New Roman" w:hint="eastAsia"/>
          <w:sz w:val="24"/>
          <w:szCs w:val="24"/>
        </w:rPr>
        <w:t>亿</w:t>
      </w:r>
      <w:r>
        <w:rPr>
          <w:rFonts w:cs="Times New Roman" w:hint="eastAsia"/>
          <w:sz w:val="24"/>
          <w:szCs w:val="24"/>
        </w:rPr>
        <w:t>m</w:t>
      </w:r>
      <w:r>
        <w:rPr>
          <w:rFonts w:cs="Times New Roman" w:hint="eastAsia"/>
          <w:sz w:val="24"/>
          <w:szCs w:val="24"/>
          <w:vertAlign w:val="superscript"/>
        </w:rPr>
        <w:t>3</w:t>
      </w:r>
      <w:r>
        <w:rPr>
          <w:rFonts w:cs="Times New Roman" w:hint="eastAsia"/>
          <w:sz w:val="24"/>
          <w:szCs w:val="24"/>
        </w:rPr>
        <w:t>。</w:t>
      </w:r>
    </w:p>
    <w:p w14:paraId="26170770" w14:textId="77777777" w:rsidR="007D1E74" w:rsidRDefault="00A95641">
      <w:pPr>
        <w:pStyle w:val="a9"/>
      </w:pPr>
      <w:r>
        <w:rPr>
          <w:rFonts w:hint="eastAsia"/>
        </w:rPr>
        <w:t>自然资源</w:t>
      </w:r>
    </w:p>
    <w:p w14:paraId="5C851A45" w14:textId="77777777" w:rsidR="007D1E74" w:rsidRDefault="00A95641">
      <w:pPr>
        <w:spacing w:line="360" w:lineRule="auto"/>
        <w:ind w:firstLineChars="200" w:firstLine="480"/>
        <w:rPr>
          <w:rFonts w:cs="Times New Roman"/>
          <w:sz w:val="24"/>
          <w:szCs w:val="24"/>
        </w:rPr>
      </w:pPr>
      <w:r>
        <w:rPr>
          <w:rFonts w:cs="Times New Roman" w:hint="eastAsia"/>
          <w:sz w:val="24"/>
          <w:szCs w:val="24"/>
        </w:rPr>
        <w:t>通江县境内植物、动物资源丰富，全县有植物乔灌术</w:t>
      </w:r>
      <w:r>
        <w:rPr>
          <w:rFonts w:cs="Times New Roman" w:hint="eastAsia"/>
          <w:sz w:val="24"/>
          <w:szCs w:val="24"/>
        </w:rPr>
        <w:t>77</w:t>
      </w:r>
      <w:r>
        <w:rPr>
          <w:rFonts w:cs="Times New Roman" w:hint="eastAsia"/>
          <w:sz w:val="24"/>
          <w:szCs w:val="24"/>
        </w:rPr>
        <w:t>科</w:t>
      </w:r>
      <w:r>
        <w:rPr>
          <w:rFonts w:cs="Times New Roman" w:hint="eastAsia"/>
          <w:sz w:val="24"/>
          <w:szCs w:val="24"/>
        </w:rPr>
        <w:t>308</w:t>
      </w:r>
      <w:r>
        <w:rPr>
          <w:rFonts w:cs="Times New Roman" w:hint="eastAsia"/>
          <w:sz w:val="24"/>
          <w:szCs w:val="24"/>
        </w:rPr>
        <w:t>种，其中果木类</w:t>
      </w:r>
      <w:r>
        <w:rPr>
          <w:rFonts w:cs="Times New Roman" w:hint="eastAsia"/>
          <w:sz w:val="24"/>
          <w:szCs w:val="24"/>
        </w:rPr>
        <w:t>13</w:t>
      </w:r>
      <w:r>
        <w:rPr>
          <w:rFonts w:cs="Times New Roman" w:hint="eastAsia"/>
          <w:sz w:val="24"/>
          <w:szCs w:val="24"/>
        </w:rPr>
        <w:lastRenderedPageBreak/>
        <w:t>种，竹类</w:t>
      </w:r>
      <w:r>
        <w:rPr>
          <w:rFonts w:cs="Times New Roman" w:hint="eastAsia"/>
          <w:sz w:val="24"/>
          <w:szCs w:val="24"/>
        </w:rPr>
        <w:t>8</w:t>
      </w:r>
      <w:r>
        <w:rPr>
          <w:rFonts w:cs="Times New Roman" w:hint="eastAsia"/>
          <w:sz w:val="24"/>
          <w:szCs w:val="24"/>
        </w:rPr>
        <w:t>种，属国家一、二、三级保护树种主要有水杉、三尖杉、银杏、鹅掌概、红豆树、须春木、华榛等</w:t>
      </w:r>
      <w:r>
        <w:rPr>
          <w:rFonts w:cs="Times New Roman" w:hint="eastAsia"/>
          <w:sz w:val="24"/>
          <w:szCs w:val="24"/>
        </w:rPr>
        <w:t>14</w:t>
      </w:r>
      <w:r>
        <w:rPr>
          <w:rFonts w:cs="Times New Roman" w:hint="eastAsia"/>
          <w:sz w:val="24"/>
          <w:szCs w:val="24"/>
        </w:rPr>
        <w:t>种。有野生动物（不含昆虫）</w:t>
      </w:r>
      <w:r>
        <w:rPr>
          <w:rFonts w:cs="Times New Roman" w:hint="eastAsia"/>
          <w:sz w:val="24"/>
          <w:szCs w:val="24"/>
        </w:rPr>
        <w:t>331</w:t>
      </w:r>
      <w:r>
        <w:rPr>
          <w:rFonts w:cs="Times New Roman" w:hint="eastAsia"/>
          <w:sz w:val="24"/>
          <w:szCs w:val="24"/>
        </w:rPr>
        <w:t>种，其中列人国家一、二类保护的动物主要有毛冠鹿、金雕、云豹、金钱豹、猕猴、苏门羚、林麝、大鯢、白冠长尾雉、红腹锦鸡等</w:t>
      </w:r>
      <w:r>
        <w:rPr>
          <w:rFonts w:cs="Times New Roman" w:hint="eastAsia"/>
          <w:sz w:val="24"/>
          <w:szCs w:val="24"/>
        </w:rPr>
        <w:t>21</w:t>
      </w:r>
      <w:r>
        <w:rPr>
          <w:rFonts w:cs="Times New Roman" w:hint="eastAsia"/>
          <w:sz w:val="24"/>
          <w:szCs w:val="24"/>
        </w:rPr>
        <w:t>余种。</w:t>
      </w:r>
    </w:p>
    <w:p w14:paraId="794DA6F3" w14:textId="77777777" w:rsidR="007D1E74" w:rsidRDefault="00A95641">
      <w:pPr>
        <w:spacing w:line="360" w:lineRule="auto"/>
        <w:ind w:firstLineChars="200" w:firstLine="480"/>
        <w:rPr>
          <w:rFonts w:cs="Times New Roman"/>
          <w:sz w:val="24"/>
          <w:szCs w:val="24"/>
        </w:rPr>
      </w:pPr>
      <w:r>
        <w:rPr>
          <w:rFonts w:cs="Times New Roman" w:hint="eastAsia"/>
          <w:sz w:val="24"/>
          <w:szCs w:val="24"/>
        </w:rPr>
        <w:t>通江县播种耕地面积</w:t>
      </w:r>
      <w:r>
        <w:rPr>
          <w:rFonts w:cs="Times New Roman" w:hint="eastAsia"/>
          <w:sz w:val="24"/>
          <w:szCs w:val="24"/>
        </w:rPr>
        <w:t>89693</w:t>
      </w:r>
      <w:r>
        <w:rPr>
          <w:rFonts w:cs="Times New Roman" w:hint="eastAsia"/>
          <w:sz w:val="24"/>
          <w:szCs w:val="24"/>
        </w:rPr>
        <w:t>公顷。县内土壤共有</w:t>
      </w:r>
      <w:r>
        <w:rPr>
          <w:rFonts w:cs="Times New Roman" w:hint="eastAsia"/>
          <w:sz w:val="24"/>
          <w:szCs w:val="24"/>
        </w:rPr>
        <w:t>6</w:t>
      </w:r>
      <w:r>
        <w:rPr>
          <w:rFonts w:cs="Times New Roman" w:hint="eastAsia"/>
          <w:sz w:val="24"/>
          <w:szCs w:val="24"/>
        </w:rPr>
        <w:t>个土类、</w:t>
      </w:r>
      <w:r>
        <w:rPr>
          <w:rFonts w:cs="Times New Roman" w:hint="eastAsia"/>
          <w:sz w:val="24"/>
          <w:szCs w:val="24"/>
        </w:rPr>
        <w:t>10</w:t>
      </w:r>
      <w:r>
        <w:rPr>
          <w:rFonts w:cs="Times New Roman" w:hint="eastAsia"/>
          <w:sz w:val="24"/>
          <w:szCs w:val="24"/>
        </w:rPr>
        <w:t>个亚类、</w:t>
      </w:r>
      <w:r>
        <w:rPr>
          <w:rFonts w:cs="Times New Roman" w:hint="eastAsia"/>
          <w:sz w:val="24"/>
          <w:szCs w:val="24"/>
        </w:rPr>
        <w:t>16</w:t>
      </w:r>
      <w:r>
        <w:rPr>
          <w:rFonts w:cs="Times New Roman" w:hint="eastAsia"/>
          <w:sz w:val="24"/>
          <w:szCs w:val="24"/>
        </w:rPr>
        <w:t>个土属、</w:t>
      </w:r>
      <w:r>
        <w:rPr>
          <w:rFonts w:cs="Times New Roman" w:hint="eastAsia"/>
          <w:sz w:val="24"/>
          <w:szCs w:val="24"/>
        </w:rPr>
        <w:t>36</w:t>
      </w:r>
      <w:r>
        <w:rPr>
          <w:rFonts w:cs="Times New Roman" w:hint="eastAsia"/>
          <w:sz w:val="24"/>
          <w:szCs w:val="24"/>
        </w:rPr>
        <w:t>个土种。其中有</w:t>
      </w:r>
      <w:r>
        <w:rPr>
          <w:rFonts w:cs="Times New Roman" w:hint="eastAsia"/>
          <w:sz w:val="24"/>
          <w:szCs w:val="24"/>
        </w:rPr>
        <w:t>31</w:t>
      </w:r>
      <w:r>
        <w:rPr>
          <w:rFonts w:cs="Times New Roman" w:hint="eastAsia"/>
          <w:sz w:val="24"/>
          <w:szCs w:val="24"/>
        </w:rPr>
        <w:t>个土种是农业土壤，</w:t>
      </w:r>
      <w:r>
        <w:rPr>
          <w:rFonts w:cs="Times New Roman" w:hint="eastAsia"/>
          <w:sz w:val="24"/>
          <w:szCs w:val="24"/>
        </w:rPr>
        <w:t>7</w:t>
      </w:r>
      <w:r>
        <w:rPr>
          <w:rFonts w:cs="Times New Roman" w:hint="eastAsia"/>
          <w:sz w:val="24"/>
          <w:szCs w:val="24"/>
        </w:rPr>
        <w:t>个土种是森林土。水稻土是全县农业土壤中最大的土类，面积</w:t>
      </w:r>
      <w:r>
        <w:rPr>
          <w:rFonts w:cs="Times New Roman" w:hint="eastAsia"/>
          <w:sz w:val="24"/>
          <w:szCs w:val="24"/>
        </w:rPr>
        <w:t>406858</w:t>
      </w:r>
      <w:r>
        <w:rPr>
          <w:rFonts w:cs="Times New Roman" w:hint="eastAsia"/>
          <w:sz w:val="24"/>
          <w:szCs w:val="24"/>
        </w:rPr>
        <w:t>亩，占农业土壤的</w:t>
      </w:r>
      <w:r>
        <w:rPr>
          <w:rFonts w:cs="Times New Roman" w:hint="eastAsia"/>
          <w:sz w:val="24"/>
          <w:szCs w:val="24"/>
        </w:rPr>
        <w:t>54%</w:t>
      </w:r>
      <w:r>
        <w:rPr>
          <w:rFonts w:cs="Times New Roman" w:hint="eastAsia"/>
          <w:sz w:val="24"/>
          <w:szCs w:val="24"/>
        </w:rPr>
        <w:t>；次为紫色土类，面积</w:t>
      </w:r>
      <w:r>
        <w:rPr>
          <w:rFonts w:cs="Times New Roman" w:hint="eastAsia"/>
          <w:sz w:val="24"/>
          <w:szCs w:val="24"/>
        </w:rPr>
        <w:t>194108</w:t>
      </w:r>
      <w:r>
        <w:rPr>
          <w:rFonts w:cs="Times New Roman" w:hint="eastAsia"/>
          <w:sz w:val="24"/>
          <w:szCs w:val="24"/>
        </w:rPr>
        <w:t>亩，占</w:t>
      </w:r>
      <w:r>
        <w:rPr>
          <w:rFonts w:cs="Times New Roman" w:hint="eastAsia"/>
          <w:sz w:val="24"/>
          <w:szCs w:val="24"/>
        </w:rPr>
        <w:t>25.8%</w:t>
      </w:r>
      <w:r>
        <w:rPr>
          <w:rFonts w:cs="Times New Roman" w:hint="eastAsia"/>
          <w:sz w:val="24"/>
          <w:szCs w:val="24"/>
        </w:rPr>
        <w:t>；再次为黄棕壤、黄壤、石灰岩土、新积土等</w:t>
      </w:r>
      <w:r>
        <w:rPr>
          <w:rFonts w:cs="Times New Roman" w:hint="eastAsia"/>
          <w:sz w:val="24"/>
          <w:szCs w:val="24"/>
        </w:rPr>
        <w:t>4</w:t>
      </w:r>
      <w:r>
        <w:rPr>
          <w:rFonts w:cs="Times New Roman" w:hint="eastAsia"/>
          <w:sz w:val="24"/>
          <w:szCs w:val="24"/>
        </w:rPr>
        <w:t>个土类。水稻土类有</w:t>
      </w:r>
      <w:r>
        <w:rPr>
          <w:rFonts w:cs="Times New Roman" w:hint="eastAsia"/>
          <w:sz w:val="24"/>
          <w:szCs w:val="24"/>
        </w:rPr>
        <w:t>3</w:t>
      </w:r>
      <w:r>
        <w:rPr>
          <w:rFonts w:cs="Times New Roman" w:hint="eastAsia"/>
          <w:sz w:val="24"/>
          <w:szCs w:val="24"/>
        </w:rPr>
        <w:t>个亚类、</w:t>
      </w:r>
      <w:r>
        <w:rPr>
          <w:rFonts w:cs="Times New Roman" w:hint="eastAsia"/>
          <w:sz w:val="24"/>
          <w:szCs w:val="24"/>
        </w:rPr>
        <w:t>7</w:t>
      </w:r>
      <w:r>
        <w:rPr>
          <w:rFonts w:cs="Times New Roman" w:hint="eastAsia"/>
          <w:sz w:val="24"/>
          <w:szCs w:val="24"/>
        </w:rPr>
        <w:t>个土属、</w:t>
      </w:r>
      <w:r>
        <w:rPr>
          <w:rFonts w:cs="Times New Roman" w:hint="eastAsia"/>
          <w:sz w:val="24"/>
          <w:szCs w:val="24"/>
        </w:rPr>
        <w:t>15</w:t>
      </w:r>
      <w:r>
        <w:rPr>
          <w:rFonts w:cs="Times New Roman" w:hint="eastAsia"/>
          <w:sz w:val="24"/>
          <w:szCs w:val="24"/>
        </w:rPr>
        <w:t>个土种，其中淹育型水稻土亚类紫泥土田土属是最大的土属，有</w:t>
      </w:r>
      <w:r>
        <w:rPr>
          <w:rFonts w:cs="Times New Roman" w:hint="eastAsia"/>
          <w:sz w:val="24"/>
          <w:szCs w:val="24"/>
        </w:rPr>
        <w:t>3</w:t>
      </w:r>
      <w:r>
        <w:rPr>
          <w:rFonts w:cs="Times New Roman" w:hint="eastAsia"/>
          <w:sz w:val="24"/>
          <w:szCs w:val="24"/>
        </w:rPr>
        <w:t>个土种，面积</w:t>
      </w:r>
      <w:r>
        <w:rPr>
          <w:rFonts w:cs="Times New Roman" w:hint="eastAsia"/>
          <w:sz w:val="24"/>
          <w:szCs w:val="24"/>
        </w:rPr>
        <w:t>193840</w:t>
      </w:r>
      <w:r>
        <w:rPr>
          <w:rFonts w:cs="Times New Roman" w:hint="eastAsia"/>
          <w:sz w:val="24"/>
          <w:szCs w:val="24"/>
        </w:rPr>
        <w:t>亩，占水稻土的</w:t>
      </w:r>
      <w:r>
        <w:rPr>
          <w:rFonts w:cs="Times New Roman" w:hint="eastAsia"/>
          <w:sz w:val="24"/>
          <w:szCs w:val="24"/>
        </w:rPr>
        <w:t>47.6%</w:t>
      </w:r>
      <w:r>
        <w:rPr>
          <w:rFonts w:cs="Times New Roman" w:hint="eastAsia"/>
          <w:sz w:val="24"/>
          <w:szCs w:val="24"/>
        </w:rPr>
        <w:t>；次为潴育型水稻土亚类紫黄泥田土属，有</w:t>
      </w:r>
      <w:r>
        <w:rPr>
          <w:rFonts w:cs="Times New Roman" w:hint="eastAsia"/>
          <w:sz w:val="24"/>
          <w:szCs w:val="24"/>
        </w:rPr>
        <w:t>4</w:t>
      </w:r>
      <w:r>
        <w:rPr>
          <w:rFonts w:cs="Times New Roman" w:hint="eastAsia"/>
          <w:sz w:val="24"/>
          <w:szCs w:val="24"/>
        </w:rPr>
        <w:t>个土种，面积</w:t>
      </w:r>
      <w:r>
        <w:rPr>
          <w:rFonts w:cs="Times New Roman" w:hint="eastAsia"/>
          <w:sz w:val="24"/>
          <w:szCs w:val="24"/>
        </w:rPr>
        <w:t>177021</w:t>
      </w:r>
      <w:r>
        <w:rPr>
          <w:rFonts w:cs="Times New Roman" w:hint="eastAsia"/>
          <w:sz w:val="24"/>
          <w:szCs w:val="24"/>
        </w:rPr>
        <w:t>亩，占</w:t>
      </w:r>
      <w:r>
        <w:rPr>
          <w:rFonts w:cs="Times New Roman" w:hint="eastAsia"/>
          <w:sz w:val="24"/>
          <w:szCs w:val="24"/>
        </w:rPr>
        <w:t>43.5%</w:t>
      </w:r>
      <w:r>
        <w:rPr>
          <w:rFonts w:cs="Times New Roman" w:hint="eastAsia"/>
          <w:sz w:val="24"/>
          <w:szCs w:val="24"/>
        </w:rPr>
        <w:t>。旱作土壤有</w:t>
      </w:r>
      <w:r>
        <w:rPr>
          <w:rFonts w:cs="Times New Roman" w:hint="eastAsia"/>
          <w:sz w:val="24"/>
          <w:szCs w:val="24"/>
        </w:rPr>
        <w:t>5</w:t>
      </w:r>
      <w:r>
        <w:rPr>
          <w:rFonts w:cs="Times New Roman" w:hint="eastAsia"/>
          <w:sz w:val="24"/>
          <w:szCs w:val="24"/>
        </w:rPr>
        <w:t>个土类、</w:t>
      </w:r>
      <w:r>
        <w:rPr>
          <w:rFonts w:cs="Times New Roman" w:hint="eastAsia"/>
          <w:sz w:val="24"/>
          <w:szCs w:val="24"/>
        </w:rPr>
        <w:t>7</w:t>
      </w:r>
      <w:r>
        <w:rPr>
          <w:rFonts w:cs="Times New Roman" w:hint="eastAsia"/>
          <w:sz w:val="24"/>
          <w:szCs w:val="24"/>
        </w:rPr>
        <w:t>个亚类、</w:t>
      </w:r>
      <w:r>
        <w:rPr>
          <w:rFonts w:cs="Times New Roman" w:hint="eastAsia"/>
          <w:sz w:val="24"/>
          <w:szCs w:val="24"/>
        </w:rPr>
        <w:t>9</w:t>
      </w:r>
      <w:r>
        <w:rPr>
          <w:rFonts w:cs="Times New Roman" w:hint="eastAsia"/>
          <w:sz w:val="24"/>
          <w:szCs w:val="24"/>
        </w:rPr>
        <w:t>个土属、</w:t>
      </w:r>
      <w:r>
        <w:rPr>
          <w:rFonts w:cs="Times New Roman" w:hint="eastAsia"/>
          <w:sz w:val="24"/>
          <w:szCs w:val="24"/>
        </w:rPr>
        <w:t>16</w:t>
      </w:r>
      <w:r>
        <w:rPr>
          <w:rFonts w:cs="Times New Roman" w:hint="eastAsia"/>
          <w:sz w:val="24"/>
          <w:szCs w:val="24"/>
        </w:rPr>
        <w:t>个土种，其中最大的土类是紫色土类，面积</w:t>
      </w:r>
      <w:r>
        <w:rPr>
          <w:rFonts w:cs="Times New Roman" w:hint="eastAsia"/>
          <w:sz w:val="24"/>
          <w:szCs w:val="24"/>
        </w:rPr>
        <w:t>194108</w:t>
      </w:r>
      <w:r>
        <w:rPr>
          <w:rFonts w:cs="Times New Roman" w:hint="eastAsia"/>
          <w:sz w:val="24"/>
          <w:szCs w:val="24"/>
        </w:rPr>
        <w:t>亩，占旱地面积的</w:t>
      </w:r>
      <w:r>
        <w:rPr>
          <w:rFonts w:cs="Times New Roman" w:hint="eastAsia"/>
          <w:sz w:val="24"/>
          <w:szCs w:val="24"/>
        </w:rPr>
        <w:t>56%</w:t>
      </w:r>
      <w:r>
        <w:rPr>
          <w:rFonts w:cs="Times New Roman" w:hint="eastAsia"/>
          <w:sz w:val="24"/>
          <w:szCs w:val="24"/>
        </w:rPr>
        <w:t>。</w:t>
      </w:r>
    </w:p>
    <w:p w14:paraId="330AA8F8" w14:textId="77777777" w:rsidR="007D1E74" w:rsidRDefault="00A95641">
      <w:pPr>
        <w:spacing w:line="360" w:lineRule="auto"/>
        <w:ind w:firstLineChars="200" w:firstLine="480"/>
        <w:rPr>
          <w:rFonts w:cs="Times New Roman"/>
          <w:sz w:val="24"/>
          <w:szCs w:val="24"/>
        </w:rPr>
      </w:pPr>
      <w:r>
        <w:rPr>
          <w:rFonts w:cs="Times New Roman"/>
          <w:sz w:val="24"/>
          <w:szCs w:val="24"/>
        </w:rPr>
        <w:t>县境内</w:t>
      </w:r>
      <w:r>
        <w:rPr>
          <w:rFonts w:cs="Times New Roman" w:hint="eastAsia"/>
          <w:sz w:val="24"/>
          <w:szCs w:val="24"/>
        </w:rPr>
        <w:t>金属矿藏有菱铁矿、赤铁矿、铅土矿、银矿等，能源矿藏有煤、石油、铀等，此外，石灰石、白云岩，石英石、石膏、大理石、硫铁矿、钾矿石、膨润土均有一定的分布。已探明县境天然气储量</w:t>
      </w:r>
      <w:r>
        <w:rPr>
          <w:rFonts w:cs="Times New Roman" w:hint="eastAsia"/>
          <w:sz w:val="24"/>
          <w:szCs w:val="24"/>
        </w:rPr>
        <w:t>5501</w:t>
      </w:r>
      <w:r>
        <w:rPr>
          <w:rFonts w:cs="Times New Roman" w:hint="eastAsia"/>
          <w:sz w:val="24"/>
          <w:szCs w:val="24"/>
        </w:rPr>
        <w:t>亿</w:t>
      </w:r>
      <w:r>
        <w:rPr>
          <w:rFonts w:cs="Times New Roman" w:hint="eastAsia"/>
          <w:sz w:val="24"/>
          <w:szCs w:val="24"/>
        </w:rPr>
        <w:t>m</w:t>
      </w:r>
      <w:r>
        <w:rPr>
          <w:rFonts w:cs="Times New Roman"/>
          <w:sz w:val="24"/>
          <w:szCs w:val="24"/>
          <w:vertAlign w:val="superscript"/>
        </w:rPr>
        <w:t>3</w:t>
      </w:r>
      <w:r>
        <w:rPr>
          <w:rFonts w:cs="Times New Roman" w:hint="eastAsia"/>
          <w:sz w:val="24"/>
          <w:szCs w:val="24"/>
        </w:rPr>
        <w:t>。</w:t>
      </w:r>
    </w:p>
    <w:p w14:paraId="3B011320" w14:textId="77777777" w:rsidR="007D1E74" w:rsidRDefault="00A95641">
      <w:pPr>
        <w:pStyle w:val="a8"/>
      </w:pPr>
      <w:r>
        <w:rPr>
          <w:rFonts w:hint="eastAsia"/>
        </w:rPr>
        <w:t>四川诺水河珍稀水生动物国家级自然保护区概况</w:t>
      </w:r>
    </w:p>
    <w:p w14:paraId="33479515" w14:textId="77777777" w:rsidR="007D1E74" w:rsidRDefault="00A95641">
      <w:pPr>
        <w:pStyle w:val="a9"/>
      </w:pPr>
      <w:r>
        <w:rPr>
          <w:rFonts w:hint="eastAsia"/>
        </w:rPr>
        <w:t>自然保护区基本情况</w:t>
      </w:r>
    </w:p>
    <w:p w14:paraId="5C2F1407" w14:textId="77777777" w:rsidR="007D1E74" w:rsidRDefault="00A95641">
      <w:pPr>
        <w:spacing w:line="360" w:lineRule="auto"/>
        <w:ind w:firstLineChars="200" w:firstLine="480"/>
        <w:rPr>
          <w:rFonts w:cs="Times New Roman"/>
          <w:sz w:val="24"/>
          <w:szCs w:val="24"/>
        </w:rPr>
      </w:pPr>
      <w:r>
        <w:rPr>
          <w:rFonts w:cs="Times New Roman" w:hint="eastAsia"/>
          <w:sz w:val="24"/>
          <w:szCs w:val="24"/>
        </w:rPr>
        <w:t>四川诺水河珍稀水生动物国家级自然保护区位于四川省东北部大巴山南麓通江县境内，始建于</w:t>
      </w:r>
      <w:r>
        <w:rPr>
          <w:rFonts w:cs="Times New Roman" w:hint="eastAsia"/>
          <w:sz w:val="24"/>
          <w:szCs w:val="24"/>
        </w:rPr>
        <w:t>1998</w:t>
      </w:r>
      <w:r>
        <w:rPr>
          <w:rFonts w:cs="Times New Roman" w:hint="eastAsia"/>
          <w:sz w:val="24"/>
          <w:szCs w:val="24"/>
        </w:rPr>
        <w:t>年</w:t>
      </w:r>
      <w:r>
        <w:rPr>
          <w:rFonts w:cs="Times New Roman" w:hint="eastAsia"/>
          <w:sz w:val="24"/>
          <w:szCs w:val="24"/>
        </w:rPr>
        <w:t>1</w:t>
      </w:r>
      <w:r>
        <w:rPr>
          <w:rFonts w:cs="Times New Roman" w:hint="eastAsia"/>
          <w:sz w:val="24"/>
          <w:szCs w:val="24"/>
        </w:rPr>
        <w:t>月</w:t>
      </w:r>
      <w:r>
        <w:rPr>
          <w:rFonts w:cs="Times New Roman" w:hint="eastAsia"/>
          <w:sz w:val="24"/>
          <w:szCs w:val="24"/>
        </w:rPr>
        <w:t>10</w:t>
      </w:r>
      <w:r>
        <w:rPr>
          <w:rFonts w:cs="Times New Roman" w:hint="eastAsia"/>
          <w:sz w:val="24"/>
          <w:szCs w:val="24"/>
        </w:rPr>
        <w:t>日，由通江县人民政府批准为县级自然保护区，</w:t>
      </w:r>
      <w:r>
        <w:rPr>
          <w:rFonts w:cs="Times New Roman" w:hint="eastAsia"/>
          <w:sz w:val="24"/>
          <w:szCs w:val="24"/>
        </w:rPr>
        <w:t>2000</w:t>
      </w:r>
      <w:r>
        <w:rPr>
          <w:rFonts w:cs="Times New Roman" w:hint="eastAsia"/>
          <w:sz w:val="24"/>
          <w:szCs w:val="24"/>
        </w:rPr>
        <w:t>年</w:t>
      </w:r>
      <w:r>
        <w:rPr>
          <w:rFonts w:cs="Times New Roman" w:hint="eastAsia"/>
          <w:sz w:val="24"/>
          <w:szCs w:val="24"/>
        </w:rPr>
        <w:t>12</w:t>
      </w:r>
      <w:r>
        <w:rPr>
          <w:rFonts w:cs="Times New Roman" w:hint="eastAsia"/>
          <w:sz w:val="24"/>
          <w:szCs w:val="24"/>
        </w:rPr>
        <w:t>月</w:t>
      </w:r>
      <w:r>
        <w:rPr>
          <w:rFonts w:cs="Times New Roman" w:hint="eastAsia"/>
          <w:sz w:val="24"/>
          <w:szCs w:val="24"/>
        </w:rPr>
        <w:t>30</w:t>
      </w:r>
      <w:r>
        <w:rPr>
          <w:rFonts w:cs="Times New Roman" w:hint="eastAsia"/>
          <w:sz w:val="24"/>
          <w:szCs w:val="24"/>
        </w:rPr>
        <w:t>日，由巴中市人民政府批准为市级自然保护区，</w:t>
      </w:r>
      <w:r>
        <w:rPr>
          <w:rFonts w:cs="Times New Roman" w:hint="eastAsia"/>
          <w:sz w:val="24"/>
          <w:szCs w:val="24"/>
        </w:rPr>
        <w:t>2004</w:t>
      </w:r>
      <w:r>
        <w:rPr>
          <w:rFonts w:cs="Times New Roman" w:hint="eastAsia"/>
          <w:sz w:val="24"/>
          <w:szCs w:val="24"/>
        </w:rPr>
        <w:t>年</w:t>
      </w:r>
      <w:r>
        <w:rPr>
          <w:rFonts w:cs="Times New Roman" w:hint="eastAsia"/>
          <w:sz w:val="24"/>
          <w:szCs w:val="24"/>
        </w:rPr>
        <w:t>2</w:t>
      </w:r>
      <w:r>
        <w:rPr>
          <w:rFonts w:cs="Times New Roman" w:hint="eastAsia"/>
          <w:sz w:val="24"/>
          <w:szCs w:val="24"/>
        </w:rPr>
        <w:t>月</w:t>
      </w:r>
      <w:r>
        <w:rPr>
          <w:rFonts w:cs="Times New Roman" w:hint="eastAsia"/>
          <w:sz w:val="24"/>
          <w:szCs w:val="24"/>
        </w:rPr>
        <w:t>20</w:t>
      </w:r>
      <w:r>
        <w:rPr>
          <w:rFonts w:cs="Times New Roman" w:hint="eastAsia"/>
          <w:sz w:val="24"/>
          <w:szCs w:val="24"/>
        </w:rPr>
        <w:t>日由四川省人民政府批准为省级自然保护区（川府函〔</w:t>
      </w:r>
      <w:r>
        <w:rPr>
          <w:rFonts w:cs="Times New Roman" w:hint="eastAsia"/>
          <w:sz w:val="24"/>
          <w:szCs w:val="24"/>
        </w:rPr>
        <w:t>2004</w:t>
      </w:r>
      <w:r>
        <w:rPr>
          <w:rFonts w:cs="Times New Roman" w:hint="eastAsia"/>
          <w:sz w:val="24"/>
          <w:szCs w:val="24"/>
        </w:rPr>
        <w:t>〕</w:t>
      </w:r>
      <w:r>
        <w:rPr>
          <w:rFonts w:cs="Times New Roman" w:hint="eastAsia"/>
          <w:sz w:val="24"/>
          <w:szCs w:val="24"/>
        </w:rPr>
        <w:t>36</w:t>
      </w:r>
      <w:r>
        <w:rPr>
          <w:rFonts w:cs="Times New Roman" w:hint="eastAsia"/>
          <w:sz w:val="24"/>
          <w:szCs w:val="24"/>
        </w:rPr>
        <w:t>号），</w:t>
      </w:r>
      <w:r>
        <w:rPr>
          <w:rFonts w:cs="Times New Roman" w:hint="eastAsia"/>
          <w:sz w:val="24"/>
          <w:szCs w:val="24"/>
        </w:rPr>
        <w:t>2012</w:t>
      </w:r>
      <w:r>
        <w:rPr>
          <w:rFonts w:cs="Times New Roman" w:hint="eastAsia"/>
          <w:sz w:val="24"/>
          <w:szCs w:val="24"/>
        </w:rPr>
        <w:t>年</w:t>
      </w:r>
      <w:r>
        <w:rPr>
          <w:rFonts w:cs="Times New Roman" w:hint="eastAsia"/>
          <w:sz w:val="24"/>
          <w:szCs w:val="24"/>
        </w:rPr>
        <w:t>1</w:t>
      </w:r>
      <w:r>
        <w:rPr>
          <w:rFonts w:cs="Times New Roman" w:hint="eastAsia"/>
          <w:sz w:val="24"/>
          <w:szCs w:val="24"/>
        </w:rPr>
        <w:t>月</w:t>
      </w:r>
      <w:r>
        <w:rPr>
          <w:rFonts w:cs="Times New Roman" w:hint="eastAsia"/>
          <w:sz w:val="24"/>
          <w:szCs w:val="24"/>
        </w:rPr>
        <w:t>21</w:t>
      </w:r>
      <w:r>
        <w:rPr>
          <w:rFonts w:cs="Times New Roman" w:hint="eastAsia"/>
          <w:sz w:val="24"/>
          <w:szCs w:val="24"/>
        </w:rPr>
        <w:t>日由国务院准为国家级自然保护区（国办发〔</w:t>
      </w:r>
      <w:r>
        <w:rPr>
          <w:rFonts w:cs="Times New Roman" w:hint="eastAsia"/>
          <w:sz w:val="24"/>
          <w:szCs w:val="24"/>
        </w:rPr>
        <w:t>2012</w:t>
      </w:r>
      <w:r>
        <w:rPr>
          <w:rFonts w:cs="Times New Roman" w:hint="eastAsia"/>
          <w:sz w:val="24"/>
          <w:szCs w:val="24"/>
        </w:rPr>
        <w:t>〕</w:t>
      </w:r>
      <w:r>
        <w:rPr>
          <w:rFonts w:cs="Times New Roman" w:hint="eastAsia"/>
          <w:sz w:val="24"/>
          <w:szCs w:val="24"/>
        </w:rPr>
        <w:t>7</w:t>
      </w:r>
      <w:r>
        <w:rPr>
          <w:rFonts w:cs="Times New Roman" w:hint="eastAsia"/>
          <w:sz w:val="24"/>
          <w:szCs w:val="24"/>
        </w:rPr>
        <w:t>号）。</w:t>
      </w:r>
    </w:p>
    <w:p w14:paraId="152042BD" w14:textId="77777777" w:rsidR="007D1E74" w:rsidRDefault="00A95641">
      <w:pPr>
        <w:pStyle w:val="aa"/>
      </w:pPr>
      <w:r>
        <w:rPr>
          <w:rFonts w:hint="eastAsia"/>
        </w:rPr>
        <w:t>保护区地理位置和范围</w:t>
      </w:r>
    </w:p>
    <w:p w14:paraId="11ACF93F" w14:textId="77777777" w:rsidR="007D1E74" w:rsidRDefault="00A95641">
      <w:pPr>
        <w:spacing w:line="360" w:lineRule="auto"/>
        <w:ind w:firstLineChars="200" w:firstLine="480"/>
        <w:rPr>
          <w:rFonts w:cs="Times New Roman"/>
          <w:sz w:val="24"/>
          <w:szCs w:val="24"/>
        </w:rPr>
      </w:pPr>
      <w:r>
        <w:rPr>
          <w:rFonts w:cs="Times New Roman"/>
          <w:sz w:val="24"/>
          <w:szCs w:val="24"/>
        </w:rPr>
        <w:t>四川诺水河珍稀水生动物国家级自然保护区位于四川省通江县大、小通江河河段上，地理坐标为东经</w:t>
      </w:r>
      <w:r>
        <w:rPr>
          <w:rFonts w:cs="Times New Roman"/>
          <w:sz w:val="24"/>
          <w:szCs w:val="24"/>
        </w:rPr>
        <w:t>107°8′14″</w:t>
      </w:r>
      <w:r>
        <w:rPr>
          <w:rFonts w:cs="Times New Roman" w:hint="eastAsia"/>
          <w:sz w:val="24"/>
          <w:szCs w:val="24"/>
        </w:rPr>
        <w:t>~</w:t>
      </w:r>
      <w:r>
        <w:rPr>
          <w:rFonts w:cs="Times New Roman"/>
          <w:sz w:val="24"/>
          <w:szCs w:val="24"/>
        </w:rPr>
        <w:t>107°40′7″</w:t>
      </w:r>
      <w:r>
        <w:rPr>
          <w:rFonts w:cs="Times New Roman"/>
          <w:sz w:val="24"/>
          <w:szCs w:val="24"/>
        </w:rPr>
        <w:t>，北纬</w:t>
      </w:r>
      <w:r>
        <w:rPr>
          <w:rFonts w:cs="Times New Roman"/>
          <w:sz w:val="24"/>
          <w:szCs w:val="24"/>
        </w:rPr>
        <w:t>31°56′54″</w:t>
      </w:r>
      <w:r>
        <w:rPr>
          <w:rFonts w:cs="Times New Roman" w:hint="eastAsia"/>
          <w:sz w:val="24"/>
          <w:szCs w:val="24"/>
        </w:rPr>
        <w:t>~</w:t>
      </w:r>
      <w:r>
        <w:rPr>
          <w:rFonts w:cs="Times New Roman"/>
          <w:sz w:val="24"/>
          <w:szCs w:val="24"/>
        </w:rPr>
        <w:t>32°28′50″</w:t>
      </w:r>
      <w:r>
        <w:rPr>
          <w:rFonts w:cs="Times New Roman"/>
          <w:sz w:val="24"/>
          <w:szCs w:val="24"/>
        </w:rPr>
        <w:t>，大通江河碧溪水文站</w:t>
      </w:r>
      <w:r>
        <w:rPr>
          <w:rFonts w:cs="Times New Roman"/>
          <w:sz w:val="24"/>
          <w:szCs w:val="24"/>
        </w:rPr>
        <w:t>—</w:t>
      </w:r>
      <w:r>
        <w:rPr>
          <w:rFonts w:cs="Times New Roman"/>
          <w:sz w:val="24"/>
          <w:szCs w:val="24"/>
        </w:rPr>
        <w:t>陕西西乡交界处、大通江河支流钢溪河长坪</w:t>
      </w:r>
      <w:r>
        <w:rPr>
          <w:rFonts w:cs="Times New Roman"/>
          <w:sz w:val="24"/>
          <w:szCs w:val="24"/>
        </w:rPr>
        <w:t>—</w:t>
      </w:r>
      <w:r>
        <w:rPr>
          <w:rFonts w:cs="Times New Roman"/>
          <w:sz w:val="24"/>
          <w:szCs w:val="24"/>
        </w:rPr>
        <w:t>什字，小通江河赤江</w:t>
      </w:r>
      <w:r>
        <w:rPr>
          <w:rFonts w:cs="Times New Roman"/>
          <w:sz w:val="24"/>
          <w:szCs w:val="24"/>
        </w:rPr>
        <w:t>—</w:t>
      </w:r>
      <w:r>
        <w:rPr>
          <w:rFonts w:cs="Times New Roman"/>
          <w:sz w:val="24"/>
          <w:szCs w:val="24"/>
        </w:rPr>
        <w:t>诺水河镇苦竹滩河段，保护区河流全长</w:t>
      </w:r>
      <w:r>
        <w:rPr>
          <w:rFonts w:cs="Times New Roman"/>
          <w:sz w:val="24"/>
          <w:szCs w:val="24"/>
        </w:rPr>
        <w:t>217km</w:t>
      </w:r>
      <w:r>
        <w:rPr>
          <w:rFonts w:cs="Times New Roman"/>
          <w:sz w:val="24"/>
          <w:szCs w:val="24"/>
        </w:rPr>
        <w:t>（包括大通江河</w:t>
      </w:r>
      <w:r>
        <w:rPr>
          <w:rFonts w:cs="Times New Roman"/>
          <w:sz w:val="24"/>
          <w:szCs w:val="24"/>
        </w:rPr>
        <w:t>135km</w:t>
      </w:r>
      <w:r>
        <w:rPr>
          <w:rFonts w:cs="Times New Roman"/>
          <w:sz w:val="24"/>
          <w:szCs w:val="24"/>
        </w:rPr>
        <w:t>，小通江河</w:t>
      </w:r>
      <w:r>
        <w:rPr>
          <w:rFonts w:cs="Times New Roman"/>
          <w:sz w:val="24"/>
          <w:szCs w:val="24"/>
        </w:rPr>
        <w:t>82km</w:t>
      </w:r>
      <w:r>
        <w:rPr>
          <w:rFonts w:cs="Times New Roman"/>
          <w:sz w:val="24"/>
          <w:szCs w:val="24"/>
        </w:rPr>
        <w:t>），总面积</w:t>
      </w:r>
      <w:r>
        <w:rPr>
          <w:rFonts w:cs="Times New Roman"/>
          <w:sz w:val="24"/>
          <w:szCs w:val="24"/>
        </w:rPr>
        <w:t>9220hm</w:t>
      </w:r>
      <w:r>
        <w:rPr>
          <w:rFonts w:cs="Times New Roman"/>
          <w:sz w:val="24"/>
          <w:szCs w:val="24"/>
          <w:vertAlign w:val="superscript"/>
        </w:rPr>
        <w:t>2</w:t>
      </w:r>
      <w:r>
        <w:rPr>
          <w:rFonts w:cs="Times New Roman"/>
          <w:sz w:val="24"/>
          <w:szCs w:val="24"/>
        </w:rPr>
        <w:t>。</w:t>
      </w:r>
    </w:p>
    <w:p w14:paraId="33E29C49" w14:textId="77777777" w:rsidR="007D1E74" w:rsidRDefault="00A95641">
      <w:pPr>
        <w:pStyle w:val="aa"/>
      </w:pPr>
      <w:r>
        <w:rPr>
          <w:rFonts w:hint="eastAsia"/>
        </w:rPr>
        <w:t>保护区功能区划分</w:t>
      </w:r>
    </w:p>
    <w:p w14:paraId="1792716B" w14:textId="77777777" w:rsidR="007D1E74" w:rsidRDefault="00A95641">
      <w:pPr>
        <w:spacing w:line="360" w:lineRule="auto"/>
        <w:ind w:firstLineChars="200" w:firstLine="480"/>
        <w:rPr>
          <w:rFonts w:cs="Times New Roman"/>
          <w:sz w:val="24"/>
          <w:szCs w:val="24"/>
        </w:rPr>
      </w:pPr>
      <w:r>
        <w:rPr>
          <w:rFonts w:cs="Times New Roman" w:hint="eastAsia"/>
          <w:sz w:val="24"/>
          <w:szCs w:val="24"/>
        </w:rPr>
        <w:t>依据自然保护区功能区划分原则，《四川诺水河珍稀水生动物自然保护区总体规划》</w:t>
      </w:r>
      <w:r>
        <w:rPr>
          <w:rFonts w:cs="Times New Roman" w:hint="eastAsia"/>
          <w:sz w:val="24"/>
          <w:szCs w:val="24"/>
        </w:rPr>
        <w:lastRenderedPageBreak/>
        <w:t>将四川诺水河珍稀水生动物国家级自然保护区划分为三大功能区，即核心区、缓冲区和实验区。</w:t>
      </w:r>
    </w:p>
    <w:p w14:paraId="6815C1A1" w14:textId="77777777" w:rsidR="007D1E74" w:rsidRDefault="00A95641">
      <w:pPr>
        <w:pStyle w:val="afffff7"/>
        <w:ind w:firstLine="482"/>
      </w:pPr>
      <w:r>
        <w:rPr>
          <w:rFonts w:hint="eastAsia"/>
        </w:rPr>
        <w:t>1</w:t>
      </w:r>
      <w:r>
        <w:rPr>
          <w:rFonts w:hint="eastAsia"/>
        </w:rPr>
        <w:t>、核心区</w:t>
      </w:r>
    </w:p>
    <w:p w14:paraId="25B21A54" w14:textId="77777777" w:rsidR="007D1E74" w:rsidRDefault="00A95641">
      <w:pPr>
        <w:spacing w:line="360" w:lineRule="auto"/>
        <w:ind w:firstLineChars="200" w:firstLine="480"/>
        <w:rPr>
          <w:rFonts w:cs="Times New Roman"/>
          <w:sz w:val="24"/>
          <w:szCs w:val="24"/>
        </w:rPr>
      </w:pPr>
      <w:r>
        <w:rPr>
          <w:rFonts w:cs="Times New Roman" w:hint="eastAsia"/>
          <w:sz w:val="24"/>
          <w:szCs w:val="24"/>
        </w:rPr>
        <w:t>根据保护区地势，大鲵、鳖、岩原鲤等水生野生动物产卵场、越冬场、索饵场分布特点，以及自然保护区河流的特性，将小通江河板桥—诺水河镇苦竹滩河段长</w:t>
      </w:r>
      <w:r>
        <w:rPr>
          <w:rFonts w:cs="Times New Roman" w:hint="eastAsia"/>
          <w:sz w:val="24"/>
          <w:szCs w:val="24"/>
        </w:rPr>
        <w:t>48km</w:t>
      </w:r>
      <w:r>
        <w:rPr>
          <w:rFonts w:cs="Times New Roman" w:hint="eastAsia"/>
          <w:sz w:val="24"/>
          <w:szCs w:val="24"/>
        </w:rPr>
        <w:t>，大通江河长坪—陕西西乡交界处，长坪—什字长</w:t>
      </w:r>
      <w:r>
        <w:rPr>
          <w:rFonts w:cs="Times New Roman" w:hint="eastAsia"/>
          <w:sz w:val="24"/>
          <w:szCs w:val="24"/>
        </w:rPr>
        <w:t>88km</w:t>
      </w:r>
      <w:r>
        <w:rPr>
          <w:rFonts w:cs="Times New Roman" w:hint="eastAsia"/>
          <w:sz w:val="24"/>
          <w:szCs w:val="24"/>
        </w:rPr>
        <w:t>，共</w:t>
      </w:r>
      <w:r>
        <w:rPr>
          <w:rFonts w:cs="Times New Roman" w:hint="eastAsia"/>
          <w:sz w:val="24"/>
          <w:szCs w:val="24"/>
        </w:rPr>
        <w:t>136km</w:t>
      </w:r>
      <w:r>
        <w:rPr>
          <w:rFonts w:cs="Times New Roman" w:hint="eastAsia"/>
          <w:sz w:val="24"/>
          <w:szCs w:val="24"/>
        </w:rPr>
        <w:t>河段划为核心区，面积约</w:t>
      </w:r>
      <w:r>
        <w:rPr>
          <w:rFonts w:cs="Times New Roman" w:hint="eastAsia"/>
          <w:sz w:val="24"/>
          <w:szCs w:val="24"/>
        </w:rPr>
        <w:t>5440hm</w:t>
      </w:r>
      <w:r>
        <w:rPr>
          <w:rFonts w:cs="Times New Roman"/>
          <w:sz w:val="24"/>
          <w:szCs w:val="24"/>
          <w:vertAlign w:val="superscript"/>
        </w:rPr>
        <w:t>2</w:t>
      </w:r>
      <w:r>
        <w:rPr>
          <w:rFonts w:cs="Times New Roman" w:hint="eastAsia"/>
          <w:sz w:val="24"/>
          <w:szCs w:val="24"/>
        </w:rPr>
        <w:t>，占整个保护区面积的</w:t>
      </w:r>
      <w:r>
        <w:rPr>
          <w:rFonts w:cs="Times New Roman" w:hint="eastAsia"/>
          <w:sz w:val="24"/>
          <w:szCs w:val="24"/>
        </w:rPr>
        <w:t>59%</w:t>
      </w:r>
      <w:r>
        <w:rPr>
          <w:rFonts w:cs="Times New Roman" w:hint="eastAsia"/>
          <w:sz w:val="24"/>
          <w:szCs w:val="24"/>
        </w:rPr>
        <w:t>。</w:t>
      </w:r>
    </w:p>
    <w:p w14:paraId="3CA8BE04" w14:textId="77777777" w:rsidR="007D1E74" w:rsidRDefault="00A95641">
      <w:pPr>
        <w:spacing w:line="360" w:lineRule="auto"/>
        <w:ind w:firstLineChars="200" w:firstLine="480"/>
        <w:rPr>
          <w:rFonts w:cs="Times New Roman"/>
          <w:sz w:val="24"/>
          <w:szCs w:val="24"/>
        </w:rPr>
      </w:pPr>
      <w:r>
        <w:rPr>
          <w:rFonts w:cs="Times New Roman" w:hint="eastAsia"/>
          <w:sz w:val="24"/>
          <w:szCs w:val="24"/>
        </w:rPr>
        <w:t>保护区核心区是大鲵、鳖、重口裂腹鱼、青石爬鮡等重点保护水生动物的主要栖息场所，和集中分布区，其繁殖、越冬和索饵场在区内广泛分布，生长、繁殖和越冬均可在该区内完成。同时，核心区也是南方鲇、黄颡鱼、华鲮等重要经济鱼类的主要分布区域。核心区地处川陕交接地带，河流的上游地区，受人为的影响很少，水生生态系统保存较完整。</w:t>
      </w:r>
    </w:p>
    <w:p w14:paraId="308E6D74" w14:textId="77777777" w:rsidR="007D1E74" w:rsidRDefault="00A95641">
      <w:pPr>
        <w:pStyle w:val="afffff7"/>
        <w:ind w:firstLine="482"/>
      </w:pPr>
      <w:r>
        <w:t>2</w:t>
      </w:r>
      <w:r>
        <w:rPr>
          <w:rFonts w:hint="eastAsia"/>
        </w:rPr>
        <w:t>、缓冲区</w:t>
      </w:r>
    </w:p>
    <w:p w14:paraId="6309D859" w14:textId="77777777" w:rsidR="007D1E74" w:rsidRDefault="00A95641">
      <w:pPr>
        <w:spacing w:line="360" w:lineRule="auto"/>
        <w:ind w:firstLineChars="200" w:firstLine="480"/>
        <w:rPr>
          <w:rFonts w:cs="Times New Roman"/>
          <w:sz w:val="24"/>
          <w:szCs w:val="24"/>
        </w:rPr>
      </w:pPr>
      <w:r>
        <w:rPr>
          <w:rFonts w:cs="Times New Roman" w:hint="eastAsia"/>
          <w:sz w:val="24"/>
          <w:szCs w:val="24"/>
        </w:rPr>
        <w:t>在核心区与实验区之间，划分出缓冲区域，避免保护区的核心区天然性受到外界的干扰和破坏，为保护物种提供后备性、补充性和替代性的栖息地，同时也是核心区内珍稀物种的延伸生存环境。</w:t>
      </w:r>
    </w:p>
    <w:p w14:paraId="0BBDCD0A" w14:textId="77777777" w:rsidR="007D1E74" w:rsidRDefault="00A95641">
      <w:pPr>
        <w:spacing w:line="360" w:lineRule="auto"/>
        <w:ind w:firstLineChars="200" w:firstLine="480"/>
        <w:rPr>
          <w:rFonts w:cs="Times New Roman"/>
          <w:sz w:val="24"/>
          <w:szCs w:val="24"/>
        </w:rPr>
      </w:pPr>
      <w:r>
        <w:rPr>
          <w:rFonts w:cs="Times New Roman" w:hint="eastAsia"/>
          <w:sz w:val="24"/>
          <w:szCs w:val="24"/>
        </w:rPr>
        <w:t>将保护区内小通江河新场—板桥，大通江河碧溪水文站—长坪，共</w:t>
      </w:r>
      <w:r>
        <w:rPr>
          <w:rFonts w:cs="Times New Roman" w:hint="eastAsia"/>
          <w:sz w:val="24"/>
          <w:szCs w:val="24"/>
        </w:rPr>
        <w:t>54km</w:t>
      </w:r>
      <w:r>
        <w:rPr>
          <w:rFonts w:cs="Times New Roman" w:hint="eastAsia"/>
          <w:sz w:val="24"/>
          <w:szCs w:val="24"/>
        </w:rPr>
        <w:t>河段划为缓冲区，面积</w:t>
      </w:r>
      <w:r>
        <w:rPr>
          <w:rFonts w:cs="Times New Roman" w:hint="eastAsia"/>
          <w:sz w:val="24"/>
          <w:szCs w:val="24"/>
        </w:rPr>
        <w:t>2430hm</w:t>
      </w:r>
      <w:r>
        <w:rPr>
          <w:rFonts w:cs="Times New Roman"/>
          <w:sz w:val="24"/>
          <w:szCs w:val="24"/>
          <w:vertAlign w:val="superscript"/>
        </w:rPr>
        <w:t>2</w:t>
      </w:r>
      <w:r>
        <w:rPr>
          <w:rFonts w:cs="Times New Roman" w:hint="eastAsia"/>
          <w:sz w:val="24"/>
          <w:szCs w:val="24"/>
        </w:rPr>
        <w:t>，占整个保护区面积的</w:t>
      </w:r>
      <w:r>
        <w:rPr>
          <w:rFonts w:cs="Times New Roman" w:hint="eastAsia"/>
          <w:sz w:val="24"/>
          <w:szCs w:val="24"/>
        </w:rPr>
        <w:t>26%</w:t>
      </w:r>
      <w:r>
        <w:rPr>
          <w:rFonts w:cs="Times New Roman" w:hint="eastAsia"/>
          <w:sz w:val="24"/>
          <w:szCs w:val="24"/>
        </w:rPr>
        <w:t>。</w:t>
      </w:r>
    </w:p>
    <w:p w14:paraId="0B6FB208" w14:textId="77777777" w:rsidR="007D1E74" w:rsidRDefault="00A95641">
      <w:pPr>
        <w:pStyle w:val="afffff7"/>
        <w:ind w:firstLine="482"/>
      </w:pPr>
      <w:r>
        <w:rPr>
          <w:rFonts w:hint="eastAsia"/>
        </w:rPr>
        <w:t>3</w:t>
      </w:r>
      <w:r>
        <w:rPr>
          <w:rFonts w:hint="eastAsia"/>
        </w:rPr>
        <w:t>、实验区</w:t>
      </w:r>
    </w:p>
    <w:p w14:paraId="570D95A0" w14:textId="77777777" w:rsidR="007D1E74" w:rsidRDefault="00A95641">
      <w:pPr>
        <w:spacing w:line="360" w:lineRule="auto"/>
        <w:ind w:firstLineChars="200" w:firstLine="480"/>
        <w:rPr>
          <w:rFonts w:cs="Times New Roman"/>
          <w:sz w:val="24"/>
          <w:szCs w:val="24"/>
        </w:rPr>
      </w:pPr>
      <w:r>
        <w:rPr>
          <w:rFonts w:cs="Times New Roman" w:hint="eastAsia"/>
          <w:sz w:val="24"/>
          <w:szCs w:val="24"/>
        </w:rPr>
        <w:t>实验区是连接保护区核心区或者缓冲区与自然保护区外界的区域，在最大程度上起到缓解自然保护区外界施加给核心区的压力，同时实验区内也是保护区内人为活动较为频繁的区域。</w:t>
      </w:r>
    </w:p>
    <w:p w14:paraId="3F320839" w14:textId="77777777" w:rsidR="007D1E74" w:rsidRDefault="00A95641">
      <w:pPr>
        <w:spacing w:line="360" w:lineRule="auto"/>
        <w:ind w:firstLineChars="200" w:firstLine="480"/>
        <w:rPr>
          <w:rFonts w:cs="Times New Roman"/>
          <w:sz w:val="24"/>
          <w:szCs w:val="24"/>
        </w:rPr>
      </w:pPr>
      <w:r>
        <w:rPr>
          <w:rFonts w:cs="Times New Roman" w:hint="eastAsia"/>
          <w:sz w:val="24"/>
          <w:szCs w:val="24"/>
        </w:rPr>
        <w:t>将保护区内小通江河赤江—新场，全长</w:t>
      </w:r>
      <w:r>
        <w:rPr>
          <w:rFonts w:cs="Times New Roman" w:hint="eastAsia"/>
          <w:sz w:val="24"/>
          <w:szCs w:val="24"/>
        </w:rPr>
        <w:t>27km</w:t>
      </w:r>
      <w:r>
        <w:rPr>
          <w:rFonts w:cs="Times New Roman" w:hint="eastAsia"/>
          <w:sz w:val="24"/>
          <w:szCs w:val="24"/>
        </w:rPr>
        <w:t>划为实验区，面积</w:t>
      </w:r>
      <w:r>
        <w:rPr>
          <w:rFonts w:cs="Times New Roman" w:hint="eastAsia"/>
          <w:sz w:val="24"/>
          <w:szCs w:val="24"/>
        </w:rPr>
        <w:t>1350hm</w:t>
      </w:r>
      <w:r>
        <w:rPr>
          <w:rFonts w:cs="Times New Roman"/>
          <w:sz w:val="24"/>
          <w:szCs w:val="24"/>
          <w:vertAlign w:val="superscript"/>
        </w:rPr>
        <w:t>2</w:t>
      </w:r>
      <w:r>
        <w:rPr>
          <w:rFonts w:cs="Times New Roman" w:hint="eastAsia"/>
          <w:sz w:val="24"/>
          <w:szCs w:val="24"/>
        </w:rPr>
        <w:t>，占整个保护区面积的</w:t>
      </w:r>
      <w:r>
        <w:rPr>
          <w:rFonts w:cs="Times New Roman" w:hint="eastAsia"/>
          <w:sz w:val="24"/>
          <w:szCs w:val="24"/>
        </w:rPr>
        <w:t>15%</w:t>
      </w:r>
      <w:r>
        <w:rPr>
          <w:rFonts w:cs="Times New Roman" w:hint="eastAsia"/>
          <w:sz w:val="24"/>
          <w:szCs w:val="24"/>
        </w:rPr>
        <w:t>。</w:t>
      </w:r>
    </w:p>
    <w:p w14:paraId="7D72382A" w14:textId="77777777" w:rsidR="007D1E74" w:rsidRDefault="00A95641">
      <w:pPr>
        <w:pStyle w:val="aa"/>
      </w:pPr>
      <w:r>
        <w:rPr>
          <w:rFonts w:hint="eastAsia"/>
        </w:rPr>
        <w:t>保护区主要保护对象</w:t>
      </w:r>
    </w:p>
    <w:p w14:paraId="21E18BB6" w14:textId="77777777" w:rsidR="007D1E74" w:rsidRDefault="00A95641">
      <w:pPr>
        <w:spacing w:line="360" w:lineRule="auto"/>
        <w:ind w:firstLineChars="200" w:firstLine="480"/>
        <w:rPr>
          <w:rFonts w:cs="Times New Roman"/>
          <w:sz w:val="24"/>
          <w:szCs w:val="24"/>
        </w:rPr>
      </w:pPr>
      <w:r>
        <w:rPr>
          <w:rFonts w:cs="Times New Roman" w:hint="eastAsia"/>
          <w:sz w:val="24"/>
          <w:szCs w:val="24"/>
        </w:rPr>
        <w:t>保护区是以大鲵、水獭、岩原鲤、重口裂腹鱼、青石爬鮡、鳖、乌龟等珍稀水生动物，中华倒刺鲃、白甲鱼、华鲮、南方鲇、鳜、黄颡鱼等名贵经济鱼类，及水生生态系统为主要保护目的的野生动物类型自然保护区，在珍稀水生动物物种多样性和水生生态系统保护上具有重要的科学、生态和社会价值。</w:t>
      </w:r>
    </w:p>
    <w:p w14:paraId="64B980AF" w14:textId="77777777" w:rsidR="007D1E74" w:rsidRDefault="00A95641">
      <w:pPr>
        <w:spacing w:line="360" w:lineRule="auto"/>
        <w:ind w:firstLineChars="200" w:firstLine="480"/>
        <w:rPr>
          <w:rFonts w:cs="Times New Roman"/>
          <w:sz w:val="24"/>
          <w:szCs w:val="24"/>
        </w:rPr>
      </w:pPr>
      <w:r>
        <w:rPr>
          <w:rFonts w:cs="Times New Roman" w:hint="eastAsia"/>
          <w:sz w:val="24"/>
          <w:szCs w:val="24"/>
        </w:rPr>
        <w:lastRenderedPageBreak/>
        <w:t>保护区有鱼类</w:t>
      </w:r>
      <w:r>
        <w:rPr>
          <w:rFonts w:cs="Times New Roman" w:hint="eastAsia"/>
          <w:sz w:val="24"/>
          <w:szCs w:val="24"/>
        </w:rPr>
        <w:t>82</w:t>
      </w:r>
      <w:r>
        <w:rPr>
          <w:rFonts w:cs="Times New Roman" w:hint="eastAsia"/>
          <w:sz w:val="24"/>
          <w:szCs w:val="24"/>
        </w:rPr>
        <w:t>种，分属于</w:t>
      </w:r>
      <w:r>
        <w:rPr>
          <w:rFonts w:cs="Times New Roman" w:hint="eastAsia"/>
          <w:sz w:val="24"/>
          <w:szCs w:val="24"/>
        </w:rPr>
        <w:t>5</w:t>
      </w:r>
      <w:r>
        <w:rPr>
          <w:rFonts w:cs="Times New Roman" w:hint="eastAsia"/>
          <w:sz w:val="24"/>
          <w:szCs w:val="24"/>
        </w:rPr>
        <w:t>目</w:t>
      </w:r>
      <w:r>
        <w:rPr>
          <w:rFonts w:cs="Times New Roman" w:hint="eastAsia"/>
          <w:sz w:val="24"/>
          <w:szCs w:val="24"/>
        </w:rPr>
        <w:t>14</w:t>
      </w:r>
      <w:r>
        <w:rPr>
          <w:rFonts w:cs="Times New Roman" w:hint="eastAsia"/>
          <w:sz w:val="24"/>
          <w:szCs w:val="24"/>
        </w:rPr>
        <w:t>科（四川省</w:t>
      </w:r>
      <w:r>
        <w:rPr>
          <w:rFonts w:cs="Times New Roman" w:hint="eastAsia"/>
          <w:sz w:val="24"/>
          <w:szCs w:val="24"/>
        </w:rPr>
        <w:t>9</w:t>
      </w:r>
      <w:r>
        <w:rPr>
          <w:rFonts w:cs="Times New Roman" w:hint="eastAsia"/>
          <w:sz w:val="24"/>
          <w:szCs w:val="24"/>
        </w:rPr>
        <w:t>目</w:t>
      </w:r>
      <w:r>
        <w:rPr>
          <w:rFonts w:cs="Times New Roman" w:hint="eastAsia"/>
          <w:sz w:val="24"/>
          <w:szCs w:val="24"/>
        </w:rPr>
        <w:t>20</w:t>
      </w:r>
      <w:r>
        <w:rPr>
          <w:rFonts w:cs="Times New Roman" w:hint="eastAsia"/>
          <w:sz w:val="24"/>
          <w:szCs w:val="24"/>
        </w:rPr>
        <w:t>科），约占四川省（包括重庆市）鱼类种类的</w:t>
      </w:r>
      <w:r>
        <w:rPr>
          <w:rFonts w:cs="Times New Roman" w:hint="eastAsia"/>
          <w:sz w:val="24"/>
          <w:szCs w:val="24"/>
        </w:rPr>
        <w:t>1/3</w:t>
      </w:r>
      <w:r>
        <w:rPr>
          <w:rFonts w:cs="Times New Roman" w:hint="eastAsia"/>
          <w:sz w:val="24"/>
          <w:szCs w:val="24"/>
        </w:rPr>
        <w:t>；保护区鱼类区系成分包括中国江河平原、南方（印度）平原、南方山地（中印山区）、中亚山地、晚第三纪早期、北方山区共</w:t>
      </w:r>
      <w:r>
        <w:rPr>
          <w:rFonts w:cs="Times New Roman" w:hint="eastAsia"/>
          <w:sz w:val="24"/>
          <w:szCs w:val="24"/>
        </w:rPr>
        <w:t>6</w:t>
      </w:r>
      <w:r>
        <w:rPr>
          <w:rFonts w:cs="Times New Roman" w:hint="eastAsia"/>
          <w:sz w:val="24"/>
          <w:szCs w:val="24"/>
        </w:rPr>
        <w:t>个区系复合体，占淡水鱼类区系复合体类型（</w:t>
      </w:r>
      <w:r>
        <w:rPr>
          <w:rFonts w:cs="Times New Roman" w:hint="eastAsia"/>
          <w:sz w:val="24"/>
          <w:szCs w:val="24"/>
        </w:rPr>
        <w:t>8</w:t>
      </w:r>
      <w:r>
        <w:rPr>
          <w:rFonts w:cs="Times New Roman" w:hint="eastAsia"/>
          <w:sz w:val="24"/>
          <w:szCs w:val="24"/>
        </w:rPr>
        <w:t>）的</w:t>
      </w:r>
      <w:r>
        <w:rPr>
          <w:rFonts w:cs="Times New Roman" w:hint="eastAsia"/>
          <w:sz w:val="24"/>
          <w:szCs w:val="24"/>
        </w:rPr>
        <w:t>3/4</w:t>
      </w:r>
      <w:r>
        <w:rPr>
          <w:rFonts w:cs="Times New Roman" w:hint="eastAsia"/>
          <w:sz w:val="24"/>
          <w:szCs w:val="24"/>
        </w:rPr>
        <w:t>；保护区有长江上游特鱼类</w:t>
      </w:r>
      <w:r>
        <w:rPr>
          <w:rFonts w:cs="Times New Roman" w:hint="eastAsia"/>
          <w:sz w:val="24"/>
          <w:szCs w:val="24"/>
        </w:rPr>
        <w:t>22</w:t>
      </w:r>
      <w:r>
        <w:rPr>
          <w:rFonts w:cs="Times New Roman" w:hint="eastAsia"/>
          <w:sz w:val="24"/>
          <w:szCs w:val="24"/>
        </w:rPr>
        <w:t>种，约占长江上游特有鱼类总种数（</w:t>
      </w:r>
      <w:r>
        <w:rPr>
          <w:rFonts w:cs="Times New Roman" w:hint="eastAsia"/>
          <w:sz w:val="24"/>
          <w:szCs w:val="24"/>
        </w:rPr>
        <w:t>112</w:t>
      </w:r>
      <w:r>
        <w:rPr>
          <w:rFonts w:cs="Times New Roman" w:hint="eastAsia"/>
          <w:sz w:val="24"/>
          <w:szCs w:val="24"/>
        </w:rPr>
        <w:t>）的</w:t>
      </w:r>
      <w:r>
        <w:rPr>
          <w:rFonts w:cs="Times New Roman" w:hint="eastAsia"/>
          <w:sz w:val="24"/>
          <w:szCs w:val="24"/>
        </w:rPr>
        <w:t>1/5</w:t>
      </w:r>
      <w:r>
        <w:rPr>
          <w:rFonts w:cs="Times New Roman" w:hint="eastAsia"/>
          <w:sz w:val="24"/>
          <w:szCs w:val="24"/>
        </w:rPr>
        <w:t>，占四川省长江上游特有鱼类（</w:t>
      </w:r>
      <w:r>
        <w:rPr>
          <w:rFonts w:cs="Times New Roman" w:hint="eastAsia"/>
          <w:sz w:val="24"/>
          <w:szCs w:val="24"/>
        </w:rPr>
        <w:t>80</w:t>
      </w:r>
      <w:r>
        <w:rPr>
          <w:rFonts w:cs="Times New Roman" w:hint="eastAsia"/>
          <w:sz w:val="24"/>
          <w:szCs w:val="24"/>
        </w:rPr>
        <w:t>）的</w:t>
      </w:r>
      <w:r>
        <w:rPr>
          <w:rFonts w:cs="Times New Roman" w:hint="eastAsia"/>
          <w:sz w:val="24"/>
          <w:szCs w:val="24"/>
        </w:rPr>
        <w:t>3/10</w:t>
      </w:r>
      <w:r>
        <w:rPr>
          <w:rFonts w:cs="Times New Roman" w:hint="eastAsia"/>
          <w:sz w:val="24"/>
          <w:szCs w:val="24"/>
        </w:rPr>
        <w:t>。因此，从保护区内动物的保护价值、种群数量、区系成分、珍稀特有种类等方面看，保护区在长江上游水生动物保护上具有典型的代表性。此外，保护区地处全球生物多样性保护</w:t>
      </w:r>
      <w:r>
        <w:rPr>
          <w:rFonts w:cs="Times New Roman" w:hint="eastAsia"/>
          <w:sz w:val="24"/>
          <w:szCs w:val="24"/>
        </w:rPr>
        <w:t>25</w:t>
      </w:r>
      <w:r>
        <w:rPr>
          <w:rFonts w:cs="Times New Roman" w:hint="eastAsia"/>
          <w:sz w:val="24"/>
          <w:szCs w:val="24"/>
        </w:rPr>
        <w:t>个热点地区之一的中国西南山地地区，在全球的生物多样性保护方面也有突出的代表意义。</w:t>
      </w:r>
    </w:p>
    <w:p w14:paraId="3B8AA2ED" w14:textId="77777777" w:rsidR="007D1E74" w:rsidRDefault="00A95641">
      <w:pPr>
        <w:spacing w:line="360" w:lineRule="auto"/>
        <w:ind w:firstLineChars="200" w:firstLine="480"/>
        <w:rPr>
          <w:rFonts w:cs="Times New Roman"/>
          <w:sz w:val="24"/>
          <w:szCs w:val="24"/>
        </w:rPr>
      </w:pPr>
      <w:r>
        <w:rPr>
          <w:rFonts w:cs="Times New Roman" w:hint="eastAsia"/>
          <w:sz w:val="24"/>
          <w:szCs w:val="24"/>
        </w:rPr>
        <w:t>保护区地处长江上游地区，在涵养水分，稳定长江流域水资源、保护生物多样性等方面具有非常重要的生态功能。保护区是我国长江上游大鲵的重要分布区，也是长江上游特有鱼类岩原鲤种群在嘉陵江上游支流的集中分布区，是水獭、重口裂腹鱼、青石爬鮡、鳖、乌龟等多种珍稀水生动物的重要栖息和繁殖场所，在长江上游重要水生动物及其生境多样性保护上具有非常重要的地位。保护区不仅在水生动物的物种多样性、遗传多样性及水生生态系统多样性保护方面具有重大价值，而且对当地经济发展和资源的可持续利用，对建设生态文明等具有重要意义。</w:t>
      </w:r>
    </w:p>
    <w:p w14:paraId="50992069" w14:textId="77777777" w:rsidR="007D1E74" w:rsidRDefault="00A95641">
      <w:pPr>
        <w:spacing w:line="360" w:lineRule="auto"/>
        <w:ind w:firstLineChars="200" w:firstLine="480"/>
        <w:rPr>
          <w:rFonts w:cs="Times New Roman"/>
          <w:sz w:val="24"/>
          <w:szCs w:val="24"/>
        </w:rPr>
      </w:pPr>
      <w:r>
        <w:rPr>
          <w:rFonts w:cs="Times New Roman" w:hint="eastAsia"/>
          <w:sz w:val="24"/>
          <w:szCs w:val="24"/>
        </w:rPr>
        <w:t>保护区是长江上游大鲵的重要栖息地，也是长江上游特有鱼类岩原鲤种群在嘉陵江支流的集中分布区，保护区项目的建设有利于生物学和鱼类学工作者在区域内开展针对大鲵、岩原鲤等珍稀水生动物的种群生态学、繁殖生物学等相关科学考察和研究工作，具有重要的学术价值。</w:t>
      </w:r>
    </w:p>
    <w:p w14:paraId="1D7D2C78" w14:textId="77777777" w:rsidR="007D1E74" w:rsidRDefault="00A95641">
      <w:pPr>
        <w:pStyle w:val="aa"/>
      </w:pPr>
      <w:r>
        <w:rPr>
          <w:rFonts w:hint="eastAsia"/>
        </w:rPr>
        <w:t>保护区重点保护的生境及其特点</w:t>
      </w:r>
    </w:p>
    <w:p w14:paraId="661FC6A4" w14:textId="77777777" w:rsidR="007D1E74" w:rsidRDefault="00A95641">
      <w:pPr>
        <w:spacing w:line="360" w:lineRule="auto"/>
        <w:ind w:firstLineChars="200" w:firstLine="480"/>
        <w:rPr>
          <w:rFonts w:cs="Times New Roman"/>
          <w:sz w:val="24"/>
          <w:szCs w:val="24"/>
        </w:rPr>
      </w:pPr>
      <w:r>
        <w:rPr>
          <w:rFonts w:cs="Times New Roman" w:hint="eastAsia"/>
          <w:sz w:val="24"/>
          <w:szCs w:val="24"/>
        </w:rPr>
        <w:t>保护区位于四川东北部，大巴山西段与米仓山东段南部交接部位褶皱山区，地势由北东向南西倾斜，北高南低，地形北陡南缓，处于中山区向低山丘陵过渡地带。保护区所属通江县境最高海拔高度为</w:t>
      </w:r>
      <w:r>
        <w:rPr>
          <w:rFonts w:cs="Times New Roman" w:hint="eastAsia"/>
          <w:sz w:val="24"/>
          <w:szCs w:val="24"/>
        </w:rPr>
        <w:t>2117m</w:t>
      </w:r>
      <w:r>
        <w:rPr>
          <w:rFonts w:cs="Times New Roman" w:hint="eastAsia"/>
          <w:sz w:val="24"/>
          <w:szCs w:val="24"/>
        </w:rPr>
        <w:t>（空山红荀林），最低海拔高度为</w:t>
      </w:r>
      <w:r>
        <w:rPr>
          <w:rFonts w:cs="Times New Roman" w:hint="eastAsia"/>
          <w:sz w:val="24"/>
          <w:szCs w:val="24"/>
        </w:rPr>
        <w:t>374m</w:t>
      </w:r>
      <w:r>
        <w:rPr>
          <w:rFonts w:cs="Times New Roman" w:hint="eastAsia"/>
          <w:sz w:val="24"/>
          <w:szCs w:val="24"/>
        </w:rPr>
        <w:t>（赤江），相对高差</w:t>
      </w:r>
      <w:r>
        <w:rPr>
          <w:rFonts w:cs="Times New Roman" w:hint="eastAsia"/>
          <w:sz w:val="24"/>
          <w:szCs w:val="24"/>
        </w:rPr>
        <w:t>1743m</w:t>
      </w:r>
      <w:r>
        <w:rPr>
          <w:rFonts w:cs="Times New Roman" w:hint="eastAsia"/>
          <w:sz w:val="24"/>
          <w:szCs w:val="24"/>
        </w:rPr>
        <w:t>，高程在</w:t>
      </w:r>
      <w:r>
        <w:rPr>
          <w:rFonts w:cs="Times New Roman" w:hint="eastAsia"/>
          <w:sz w:val="24"/>
          <w:szCs w:val="24"/>
        </w:rPr>
        <w:t>1500m</w:t>
      </w:r>
      <w:r>
        <w:rPr>
          <w:rFonts w:cs="Times New Roman" w:hint="eastAsia"/>
          <w:sz w:val="24"/>
          <w:szCs w:val="24"/>
        </w:rPr>
        <w:t>以上的山峰有</w:t>
      </w:r>
      <w:r>
        <w:rPr>
          <w:rFonts w:cs="Times New Roman" w:hint="eastAsia"/>
          <w:sz w:val="24"/>
          <w:szCs w:val="24"/>
        </w:rPr>
        <w:t>220</w:t>
      </w:r>
      <w:r>
        <w:rPr>
          <w:rFonts w:cs="Times New Roman" w:hint="eastAsia"/>
          <w:sz w:val="24"/>
          <w:szCs w:val="24"/>
        </w:rPr>
        <w:t>座，境内山高坡陡地形崎岖，山峰如林，坡多坝少、陡岩、深涧、峡谷各地皆有。保护区地处县境北部碳酸盐岩区，该区岩洞地貌发育，喀斯特地貌突出，主要分布于保护区上段的铁厂、诺水河、空山、河口、什字等部分地区，山体海拔</w:t>
      </w:r>
      <w:r>
        <w:rPr>
          <w:rFonts w:cs="Times New Roman" w:hint="eastAsia"/>
          <w:sz w:val="24"/>
          <w:szCs w:val="24"/>
        </w:rPr>
        <w:t>1500~2000m</w:t>
      </w:r>
      <w:r>
        <w:rPr>
          <w:rFonts w:cs="Times New Roman" w:hint="eastAsia"/>
          <w:sz w:val="24"/>
          <w:szCs w:val="24"/>
        </w:rPr>
        <w:t>，相对高差</w:t>
      </w:r>
      <w:r>
        <w:rPr>
          <w:rFonts w:cs="Times New Roman" w:hint="eastAsia"/>
          <w:sz w:val="24"/>
          <w:szCs w:val="24"/>
        </w:rPr>
        <w:t>1000~1200m</w:t>
      </w:r>
      <w:r>
        <w:rPr>
          <w:rFonts w:cs="Times New Roman" w:hint="eastAsia"/>
          <w:sz w:val="24"/>
          <w:szCs w:val="24"/>
        </w:rPr>
        <w:t>，由三叠系、二叠系、志留系、奥陶系等地层组成，因流水溶蚀而成漏斗、溶洞、峰丛、石芽坡、溶蚀谷、溶蚀洼地等地貌，尤以地下溶洞为多，且空间很大。仅诺水河镇就有地下溶洞</w:t>
      </w:r>
      <w:r>
        <w:rPr>
          <w:rFonts w:cs="Times New Roman" w:hint="eastAsia"/>
          <w:sz w:val="24"/>
          <w:szCs w:val="24"/>
        </w:rPr>
        <w:t>100</w:t>
      </w:r>
      <w:r>
        <w:rPr>
          <w:rFonts w:cs="Times New Roman" w:hint="eastAsia"/>
          <w:sz w:val="24"/>
          <w:szCs w:val="24"/>
        </w:rPr>
        <w:t>多个。</w:t>
      </w:r>
      <w:r>
        <w:rPr>
          <w:rFonts w:cs="Times New Roman" w:hint="eastAsia"/>
          <w:sz w:val="24"/>
          <w:szCs w:val="24"/>
        </w:rPr>
        <w:lastRenderedPageBreak/>
        <w:t>保护区河流海拔高度在</w:t>
      </w:r>
      <w:r>
        <w:rPr>
          <w:rFonts w:cs="Times New Roman" w:hint="eastAsia"/>
          <w:sz w:val="24"/>
          <w:szCs w:val="24"/>
        </w:rPr>
        <w:t>374-608m</w:t>
      </w:r>
      <w:r>
        <w:rPr>
          <w:rFonts w:cs="Times New Roman" w:hint="eastAsia"/>
          <w:sz w:val="24"/>
          <w:szCs w:val="24"/>
        </w:rPr>
        <w:t>之间，河道较宽阔、曲折，滩潭频繁交替，落差有大有小，滩处水流稍急，潭处河水流速相对平缓。</w:t>
      </w:r>
    </w:p>
    <w:p w14:paraId="6C14739E" w14:textId="77777777" w:rsidR="007D1E74" w:rsidRDefault="00A95641">
      <w:pPr>
        <w:spacing w:line="360" w:lineRule="auto"/>
        <w:ind w:firstLineChars="200" w:firstLine="480"/>
        <w:rPr>
          <w:rFonts w:cs="Times New Roman"/>
          <w:sz w:val="24"/>
          <w:szCs w:val="24"/>
        </w:rPr>
      </w:pPr>
      <w:r>
        <w:rPr>
          <w:rFonts w:cs="Times New Roman" w:hint="eastAsia"/>
          <w:sz w:val="24"/>
          <w:szCs w:val="24"/>
        </w:rPr>
        <w:t>保护区北有米仓山、大巴山作屏障，气候明显受到地形的影响，南北的气候差异较大，总的气候特点是：气候较温和，雨量充沛，霜雪期短、湿度大、光照充足，大陆性季风气候显著，农业气候四季分明，春早、气温回升快，但冷空气活动频繁，气温不稳定，有倒春寒出现，夏季气温高，光照充足，降雨集中，多连晴高温，常有夏旱发生；秋季气温下降快，多雨、时有秋干、秋涝相间发生；冬季阴晴，云多且光照少，较温和，但北部较南部寒冷，在同一时间，北部气温较南部低</w:t>
      </w:r>
      <w:r>
        <w:rPr>
          <w:rFonts w:cs="Times New Roman" w:hint="eastAsia"/>
          <w:sz w:val="24"/>
          <w:szCs w:val="24"/>
        </w:rPr>
        <w:t>0.4</w:t>
      </w:r>
      <w:r>
        <w:rPr>
          <w:rFonts w:cs="Times New Roman" w:hint="eastAsia"/>
          <w:sz w:val="24"/>
          <w:szCs w:val="24"/>
        </w:rPr>
        <w:t>℃，气温在年际间变化很大。区内气候主要为中山温和区和中山温凉区，多年平均气温</w:t>
      </w:r>
      <w:r>
        <w:rPr>
          <w:rFonts w:cs="Times New Roman" w:hint="eastAsia"/>
          <w:sz w:val="24"/>
          <w:szCs w:val="24"/>
        </w:rPr>
        <w:t>7-14</w:t>
      </w:r>
      <w:r>
        <w:rPr>
          <w:rFonts w:cs="Times New Roman" w:hint="eastAsia"/>
          <w:sz w:val="24"/>
          <w:szCs w:val="24"/>
        </w:rPr>
        <w:t>℃，年积温</w:t>
      </w:r>
      <w:r>
        <w:rPr>
          <w:rFonts w:cs="Times New Roman" w:hint="eastAsia"/>
          <w:sz w:val="24"/>
          <w:szCs w:val="24"/>
        </w:rPr>
        <w:t>2590~5110</w:t>
      </w:r>
      <w:r>
        <w:rPr>
          <w:rFonts w:cs="Times New Roman" w:hint="eastAsia"/>
          <w:sz w:val="24"/>
          <w:szCs w:val="24"/>
        </w:rPr>
        <w:t>℃，极端最高温度</w:t>
      </w:r>
      <w:r>
        <w:rPr>
          <w:rFonts w:cs="Times New Roman" w:hint="eastAsia"/>
          <w:sz w:val="24"/>
          <w:szCs w:val="24"/>
        </w:rPr>
        <w:t>37.8</w:t>
      </w:r>
      <w:r>
        <w:rPr>
          <w:rFonts w:cs="Times New Roman" w:hint="eastAsia"/>
          <w:sz w:val="24"/>
          <w:szCs w:val="24"/>
        </w:rPr>
        <w:t>℃，极端最低温度零下</w:t>
      </w:r>
      <w:r>
        <w:rPr>
          <w:rFonts w:cs="Times New Roman" w:hint="eastAsia"/>
          <w:sz w:val="24"/>
          <w:szCs w:val="24"/>
        </w:rPr>
        <w:t>18</w:t>
      </w:r>
      <w:r>
        <w:rPr>
          <w:rFonts w:cs="Times New Roman" w:hint="eastAsia"/>
          <w:sz w:val="24"/>
          <w:szCs w:val="24"/>
        </w:rPr>
        <w:t>℃，无霜期</w:t>
      </w:r>
      <w:r>
        <w:rPr>
          <w:rFonts w:cs="Times New Roman" w:hint="eastAsia"/>
          <w:sz w:val="24"/>
          <w:szCs w:val="24"/>
        </w:rPr>
        <w:t>230</w:t>
      </w:r>
      <w:r>
        <w:rPr>
          <w:rFonts w:cs="Times New Roman" w:hint="eastAsia"/>
          <w:sz w:val="24"/>
          <w:szCs w:val="24"/>
        </w:rPr>
        <w:t>天以下，年日照</w:t>
      </w:r>
      <w:r>
        <w:rPr>
          <w:rFonts w:cs="Times New Roman" w:hint="eastAsia"/>
          <w:sz w:val="24"/>
          <w:szCs w:val="24"/>
        </w:rPr>
        <w:t>1000~1200</w:t>
      </w:r>
      <w:r>
        <w:rPr>
          <w:rFonts w:cs="Times New Roman" w:hint="eastAsia"/>
          <w:sz w:val="24"/>
          <w:szCs w:val="24"/>
        </w:rPr>
        <w:t>小时。年总降水量</w:t>
      </w:r>
      <w:r>
        <w:rPr>
          <w:rFonts w:cs="Times New Roman" w:hint="eastAsia"/>
          <w:sz w:val="24"/>
          <w:szCs w:val="24"/>
        </w:rPr>
        <w:t>1500~1970mm</w:t>
      </w:r>
      <w:r>
        <w:rPr>
          <w:rFonts w:cs="Times New Roman" w:hint="eastAsia"/>
          <w:sz w:val="24"/>
          <w:szCs w:val="24"/>
        </w:rPr>
        <w:t>，由南向北递增，以碧溪和空山为降水中心。</w:t>
      </w:r>
    </w:p>
    <w:p w14:paraId="67A45FC5" w14:textId="77777777" w:rsidR="007D1E74" w:rsidRDefault="00A95641">
      <w:pPr>
        <w:spacing w:line="360" w:lineRule="auto"/>
        <w:ind w:firstLineChars="200" w:firstLine="480"/>
        <w:rPr>
          <w:rFonts w:cs="Times New Roman"/>
          <w:sz w:val="24"/>
          <w:szCs w:val="24"/>
        </w:rPr>
      </w:pPr>
      <w:r>
        <w:rPr>
          <w:rFonts w:cs="Times New Roman" w:hint="eastAsia"/>
          <w:sz w:val="24"/>
          <w:szCs w:val="24"/>
        </w:rPr>
        <w:t>保护区内主要河流二条（小通江河赤江以上县境内河段，长</w:t>
      </w:r>
      <w:r>
        <w:rPr>
          <w:rFonts w:cs="Times New Roman" w:hint="eastAsia"/>
          <w:sz w:val="24"/>
          <w:szCs w:val="24"/>
        </w:rPr>
        <w:t>82km</w:t>
      </w:r>
      <w:r>
        <w:rPr>
          <w:rFonts w:cs="Times New Roman" w:hint="eastAsia"/>
          <w:sz w:val="24"/>
          <w:szCs w:val="24"/>
        </w:rPr>
        <w:t>，大通江河碧溪水文站以上县境内河段，长</w:t>
      </w:r>
      <w:r>
        <w:rPr>
          <w:rFonts w:cs="Times New Roman" w:hint="eastAsia"/>
          <w:sz w:val="24"/>
          <w:szCs w:val="24"/>
        </w:rPr>
        <w:t>135km</w:t>
      </w:r>
      <w:r>
        <w:rPr>
          <w:rFonts w:cs="Times New Roman" w:hint="eastAsia"/>
          <w:sz w:val="24"/>
          <w:szCs w:val="24"/>
        </w:rPr>
        <w:t>（干流＋钢溪河），河道较宽阔、平缓，多弯曲，宽窄变化，滩潭交替，多边滩、石嵌、泉眼和岩洞，河底主要由砂、砾石组成；水流缓急交错，适宜大鲵等水生生物栖息、生长和繁育。</w:t>
      </w:r>
    </w:p>
    <w:p w14:paraId="27FAEDA5" w14:textId="77777777" w:rsidR="007D1E74" w:rsidRDefault="00A95641">
      <w:pPr>
        <w:spacing w:line="360" w:lineRule="auto"/>
        <w:ind w:firstLineChars="200" w:firstLine="480"/>
        <w:rPr>
          <w:rFonts w:cs="Times New Roman"/>
          <w:sz w:val="24"/>
          <w:szCs w:val="24"/>
        </w:rPr>
      </w:pPr>
      <w:r>
        <w:rPr>
          <w:rFonts w:cs="Times New Roman" w:hint="eastAsia"/>
          <w:sz w:val="24"/>
          <w:szCs w:val="24"/>
        </w:rPr>
        <w:t>保护区涉及乡镇主要集中在保护区下段的实验区和缓冲区，河流流经时与社区连接。在保护区的核心区，人烟相对比较稀少，沿岸植被茂密，长期以来由于交通不便，水生生物资源和水生生态环境等受人类干扰破坏较少，保存了比较好的自然性。此外，保护区内无工矿企业，无大型涉水工程，河流生态系统未被污染或破碎化，所以属无污染水质区。</w:t>
      </w:r>
    </w:p>
    <w:p w14:paraId="607BAE0D" w14:textId="77777777" w:rsidR="007D1E74" w:rsidRDefault="00A95641">
      <w:pPr>
        <w:pStyle w:val="a9"/>
      </w:pPr>
      <w:r>
        <w:rPr>
          <w:rFonts w:hint="eastAsia"/>
        </w:rPr>
        <w:t>本项目与保护区关系</w:t>
      </w:r>
    </w:p>
    <w:p w14:paraId="03D12422" w14:textId="77777777" w:rsidR="007D1E74" w:rsidRDefault="00A95641">
      <w:pPr>
        <w:spacing w:line="360" w:lineRule="auto"/>
        <w:ind w:firstLineChars="200" w:firstLine="480"/>
        <w:rPr>
          <w:rFonts w:cs="Times New Roman"/>
          <w:sz w:val="24"/>
          <w:szCs w:val="24"/>
        </w:rPr>
      </w:pPr>
      <w:r>
        <w:rPr>
          <w:rFonts w:cs="Times New Roman" w:hint="eastAsia"/>
          <w:sz w:val="24"/>
          <w:szCs w:val="24"/>
        </w:rPr>
        <w:t>通南巴气田马</w:t>
      </w:r>
      <w:r>
        <w:rPr>
          <w:rFonts w:cs="Times New Roman" w:hint="eastAsia"/>
          <w:sz w:val="24"/>
          <w:szCs w:val="24"/>
        </w:rPr>
        <w:t>1</w:t>
      </w:r>
      <w:r>
        <w:rPr>
          <w:rFonts w:cs="Times New Roman" w:hint="eastAsia"/>
          <w:sz w:val="24"/>
          <w:szCs w:val="24"/>
        </w:rPr>
        <w:t>马</w:t>
      </w:r>
      <w:r>
        <w:rPr>
          <w:rFonts w:cs="Times New Roman" w:hint="eastAsia"/>
          <w:sz w:val="24"/>
          <w:szCs w:val="24"/>
        </w:rPr>
        <w:t>2</w:t>
      </w:r>
      <w:r>
        <w:rPr>
          <w:rFonts w:cs="Times New Roman" w:hint="eastAsia"/>
          <w:sz w:val="24"/>
          <w:szCs w:val="24"/>
        </w:rPr>
        <w:t>块产能建设项目（二期）地面集输工程有</w:t>
      </w:r>
      <w:r>
        <w:rPr>
          <w:rFonts w:cs="Times New Roman"/>
          <w:sz w:val="24"/>
          <w:szCs w:val="24"/>
        </w:rPr>
        <w:t>3</w:t>
      </w:r>
      <w:r>
        <w:rPr>
          <w:rFonts w:cs="Times New Roman" w:hint="eastAsia"/>
          <w:sz w:val="24"/>
          <w:szCs w:val="24"/>
        </w:rPr>
        <w:t>处管道将定向穿越四川诺水河珍稀水生动物国家级自然保护区河段，如下图所示。其中穿越点</w:t>
      </w:r>
      <w:r>
        <w:rPr>
          <w:rFonts w:cs="Times New Roman" w:hint="eastAsia"/>
          <w:sz w:val="24"/>
          <w:szCs w:val="24"/>
        </w:rPr>
        <w:t>1</w:t>
      </w:r>
      <w:r>
        <w:rPr>
          <w:rFonts w:cs="Times New Roman" w:hint="eastAsia"/>
          <w:sz w:val="24"/>
          <w:szCs w:val="24"/>
        </w:rPr>
        <w:t>和穿越点</w:t>
      </w:r>
      <w:r>
        <w:rPr>
          <w:rFonts w:cs="Times New Roman" w:hint="eastAsia"/>
          <w:sz w:val="24"/>
          <w:szCs w:val="24"/>
        </w:rPr>
        <w:t>2</w:t>
      </w:r>
      <w:r>
        <w:rPr>
          <w:rFonts w:cs="Times New Roman" w:hint="eastAsia"/>
          <w:sz w:val="24"/>
          <w:szCs w:val="24"/>
        </w:rPr>
        <w:t>将穿越保护区缓冲区，穿越点</w:t>
      </w:r>
      <w:r>
        <w:rPr>
          <w:rFonts w:cs="Times New Roman" w:hint="eastAsia"/>
          <w:sz w:val="24"/>
          <w:szCs w:val="24"/>
        </w:rPr>
        <w:t>3</w:t>
      </w:r>
      <w:r>
        <w:rPr>
          <w:rFonts w:cs="Times New Roman" w:hint="eastAsia"/>
          <w:sz w:val="24"/>
          <w:szCs w:val="24"/>
        </w:rPr>
        <w:t>将穿越保护区实验区。穿越点</w:t>
      </w:r>
      <w:r>
        <w:rPr>
          <w:rFonts w:cs="Times New Roman" w:hint="eastAsia"/>
          <w:sz w:val="24"/>
          <w:szCs w:val="24"/>
        </w:rPr>
        <w:t>1</w:t>
      </w:r>
      <w:r>
        <w:rPr>
          <w:rFonts w:cs="Times New Roman" w:hint="eastAsia"/>
          <w:sz w:val="24"/>
          <w:szCs w:val="24"/>
        </w:rPr>
        <w:t>距离保护区小通江上边界诺水河镇苦竹滩约</w:t>
      </w:r>
      <w:r>
        <w:rPr>
          <w:rFonts w:cs="Times New Roman" w:hint="eastAsia"/>
          <w:sz w:val="24"/>
          <w:szCs w:val="24"/>
        </w:rPr>
        <w:t>31.5km</w:t>
      </w:r>
      <w:r>
        <w:rPr>
          <w:rFonts w:cs="Times New Roman" w:hint="eastAsia"/>
          <w:sz w:val="24"/>
          <w:szCs w:val="24"/>
        </w:rPr>
        <w:t>，穿越点</w:t>
      </w:r>
      <w:r>
        <w:rPr>
          <w:rFonts w:cs="Times New Roman" w:hint="eastAsia"/>
          <w:sz w:val="24"/>
          <w:szCs w:val="24"/>
        </w:rPr>
        <w:t>2</w:t>
      </w:r>
      <w:r>
        <w:rPr>
          <w:rFonts w:cs="Times New Roman" w:hint="eastAsia"/>
          <w:sz w:val="24"/>
          <w:szCs w:val="24"/>
        </w:rPr>
        <w:t>距离保护区小通江下边界赤江约</w:t>
      </w:r>
      <w:r>
        <w:rPr>
          <w:rFonts w:cs="Times New Roman" w:hint="eastAsia"/>
          <w:sz w:val="24"/>
          <w:szCs w:val="24"/>
        </w:rPr>
        <w:t>32km</w:t>
      </w:r>
      <w:r>
        <w:rPr>
          <w:rFonts w:cs="Times New Roman" w:hint="eastAsia"/>
          <w:sz w:val="24"/>
          <w:szCs w:val="24"/>
        </w:rPr>
        <w:t>。</w:t>
      </w:r>
    </w:p>
    <w:p w14:paraId="0963E60D" w14:textId="77777777" w:rsidR="007D1E74" w:rsidRDefault="00A95641">
      <w:pPr>
        <w:spacing w:line="360" w:lineRule="auto"/>
        <w:jc w:val="center"/>
        <w:rPr>
          <w:rFonts w:cs="Times New Roman"/>
          <w:sz w:val="24"/>
          <w:szCs w:val="24"/>
        </w:rPr>
      </w:pPr>
      <w:r>
        <w:rPr>
          <w:rFonts w:cs="Times New Roman" w:hint="eastAsia"/>
          <w:noProof/>
          <w:sz w:val="24"/>
          <w:szCs w:val="24"/>
        </w:rPr>
        <w:lastRenderedPageBreak/>
        <w:drawing>
          <wp:inline distT="0" distB="0" distL="0" distR="0" wp14:anchorId="7E1F8B31" wp14:editId="1B2BD848">
            <wp:extent cx="2819400" cy="7181850"/>
            <wp:effectExtent l="0" t="0" r="0" b="1143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01"/>
                    <a:srcRect b="19294"/>
                    <a:stretch>
                      <a:fillRect/>
                    </a:stretch>
                  </pic:blipFill>
                  <pic:spPr>
                    <a:xfrm>
                      <a:off x="0" y="0"/>
                      <a:ext cx="2838349" cy="7230668"/>
                    </a:xfrm>
                    <a:prstGeom prst="rect">
                      <a:avLst/>
                    </a:prstGeom>
                    <a:ln>
                      <a:noFill/>
                    </a:ln>
                  </pic:spPr>
                </pic:pic>
              </a:graphicData>
            </a:graphic>
          </wp:inline>
        </w:drawing>
      </w:r>
    </w:p>
    <w:p w14:paraId="587D2EF4" w14:textId="77777777" w:rsidR="007D1E74" w:rsidRDefault="00A95641">
      <w:pPr>
        <w:pStyle w:val="afffffe"/>
        <w:numPr>
          <w:ilvl w:val="0"/>
          <w:numId w:val="41"/>
        </w:numPr>
        <w:spacing w:line="360" w:lineRule="auto"/>
        <w:ind w:firstLineChars="0"/>
        <w:jc w:val="center"/>
        <w:rPr>
          <w:rFonts w:eastAsia="黑体" w:cs="Times New Roman"/>
          <w:szCs w:val="21"/>
        </w:rPr>
      </w:pPr>
      <w:r>
        <w:rPr>
          <w:rFonts w:eastAsia="黑体" w:cs="Times New Roman" w:hint="eastAsia"/>
          <w:szCs w:val="21"/>
        </w:rPr>
        <w:t>项目管线穿越点与保护区位置关系图</w:t>
      </w:r>
    </w:p>
    <w:p w14:paraId="557F2340" w14:textId="77777777" w:rsidR="007D1E74" w:rsidRDefault="00A95641">
      <w:pPr>
        <w:pStyle w:val="a8"/>
      </w:pPr>
      <w:r>
        <w:rPr>
          <w:rFonts w:hint="eastAsia"/>
        </w:rPr>
        <w:t>环境质量现状调查与评价</w:t>
      </w:r>
    </w:p>
    <w:p w14:paraId="09783B93" w14:textId="77777777" w:rsidR="007D1E74" w:rsidRDefault="00A95641">
      <w:pPr>
        <w:pStyle w:val="a9"/>
      </w:pPr>
      <w:r>
        <w:rPr>
          <w:rFonts w:hint="eastAsia"/>
        </w:rPr>
        <w:t>环境空气质量现状监测与评价</w:t>
      </w:r>
    </w:p>
    <w:p w14:paraId="64922A67" w14:textId="77777777" w:rsidR="007D1E74" w:rsidRDefault="00A95641">
      <w:pPr>
        <w:spacing w:line="360" w:lineRule="auto"/>
        <w:ind w:firstLineChars="200" w:firstLine="480"/>
        <w:rPr>
          <w:rFonts w:cs="Times New Roman"/>
          <w:sz w:val="24"/>
          <w:szCs w:val="24"/>
        </w:rPr>
      </w:pPr>
      <w:r>
        <w:rPr>
          <w:rFonts w:cs="Times New Roman" w:hint="eastAsia"/>
          <w:sz w:val="24"/>
          <w:szCs w:val="24"/>
        </w:rPr>
        <w:t>本项目位于巴中市通江县青峪镇、新场镇、涪阳镇，根据《环境影响评价技术导则</w:t>
      </w:r>
      <w:r>
        <w:rPr>
          <w:rFonts w:cs="Times New Roman" w:hint="eastAsia"/>
          <w:sz w:val="24"/>
          <w:szCs w:val="24"/>
        </w:rPr>
        <w:t xml:space="preserve"> </w:t>
      </w:r>
      <w:r>
        <w:rPr>
          <w:rFonts w:cs="Times New Roman" w:hint="eastAsia"/>
          <w:sz w:val="24"/>
          <w:szCs w:val="24"/>
        </w:rPr>
        <w:lastRenderedPageBreak/>
        <w:t>大气环境》（</w:t>
      </w:r>
      <w:r>
        <w:rPr>
          <w:rFonts w:cs="Times New Roman" w:hint="eastAsia"/>
          <w:sz w:val="24"/>
          <w:szCs w:val="24"/>
        </w:rPr>
        <w:t>HJ2.2-2018</w:t>
      </w:r>
      <w:r>
        <w:rPr>
          <w:rFonts w:cs="Times New Roman" w:hint="eastAsia"/>
          <w:sz w:val="24"/>
          <w:szCs w:val="24"/>
        </w:rPr>
        <w:t>）中“</w:t>
      </w:r>
      <w:r>
        <w:rPr>
          <w:rFonts w:cs="Times New Roman" w:hint="eastAsia"/>
          <w:i/>
          <w:sz w:val="24"/>
          <w:szCs w:val="24"/>
        </w:rPr>
        <w:t>优先采用国家或地方生态环境主管部门公开发布的评价基准年环境质量公告或环境质量报告中的数据或结论</w:t>
      </w:r>
      <w:r>
        <w:rPr>
          <w:rFonts w:cs="Times New Roman" w:hint="eastAsia"/>
          <w:sz w:val="24"/>
          <w:szCs w:val="24"/>
        </w:rPr>
        <w:t>”的规定，本次环评基本污染物引用巴中市通江生态环境局公开发布的《通江县</w:t>
      </w:r>
      <w:r>
        <w:rPr>
          <w:rFonts w:cs="Times New Roman" w:hint="eastAsia"/>
          <w:sz w:val="24"/>
          <w:szCs w:val="24"/>
        </w:rPr>
        <w:t>2020</w:t>
      </w:r>
      <w:r>
        <w:rPr>
          <w:rFonts w:cs="Times New Roman" w:hint="eastAsia"/>
          <w:sz w:val="24"/>
          <w:szCs w:val="24"/>
        </w:rPr>
        <w:t>年环境质量公报》中空气质量数据；同时，委托四川众兴诚检测科技有限公司于</w:t>
      </w:r>
      <w:r>
        <w:rPr>
          <w:rFonts w:cs="Times New Roman" w:hint="eastAsia"/>
          <w:sz w:val="24"/>
          <w:szCs w:val="24"/>
        </w:rPr>
        <w:t>202</w:t>
      </w:r>
      <w:r>
        <w:rPr>
          <w:rFonts w:cs="Times New Roman"/>
          <w:sz w:val="24"/>
          <w:szCs w:val="24"/>
        </w:rPr>
        <w:t>1</w:t>
      </w:r>
      <w:r>
        <w:rPr>
          <w:rFonts w:cs="Times New Roman" w:hint="eastAsia"/>
          <w:sz w:val="24"/>
          <w:szCs w:val="24"/>
        </w:rPr>
        <w:t>年</w:t>
      </w:r>
      <w:r>
        <w:rPr>
          <w:rFonts w:cs="Times New Roman" w:hint="eastAsia"/>
          <w:sz w:val="24"/>
          <w:szCs w:val="24"/>
        </w:rPr>
        <w:t>11</w:t>
      </w:r>
      <w:r>
        <w:rPr>
          <w:rFonts w:cs="Times New Roman" w:hint="eastAsia"/>
          <w:sz w:val="24"/>
          <w:szCs w:val="24"/>
        </w:rPr>
        <w:t>月</w:t>
      </w:r>
      <w:r>
        <w:rPr>
          <w:rFonts w:cs="Times New Roman"/>
          <w:sz w:val="24"/>
          <w:szCs w:val="24"/>
        </w:rPr>
        <w:t>8</w:t>
      </w:r>
      <w:r>
        <w:rPr>
          <w:rFonts w:cs="Times New Roman" w:hint="eastAsia"/>
          <w:sz w:val="24"/>
          <w:szCs w:val="24"/>
        </w:rPr>
        <w:t>日</w:t>
      </w:r>
      <w:r>
        <w:rPr>
          <w:rFonts w:cs="Times New Roman" w:hint="eastAsia"/>
          <w:sz w:val="24"/>
          <w:szCs w:val="24"/>
        </w:rPr>
        <w:t>~</w:t>
      </w:r>
      <w:r>
        <w:rPr>
          <w:rFonts w:cs="Times New Roman"/>
          <w:sz w:val="24"/>
          <w:szCs w:val="24"/>
        </w:rPr>
        <w:t>14</w:t>
      </w:r>
      <w:r>
        <w:rPr>
          <w:rFonts w:cs="Times New Roman" w:hint="eastAsia"/>
          <w:sz w:val="24"/>
          <w:szCs w:val="24"/>
        </w:rPr>
        <w:t>日对其他污染物进行补充监测（报告编号：众（测）字</w:t>
      </w:r>
      <w:r>
        <w:rPr>
          <w:rFonts w:cs="Times New Roman" w:hint="eastAsia"/>
          <w:sz w:val="24"/>
          <w:szCs w:val="24"/>
        </w:rPr>
        <w:t>[2021]</w:t>
      </w:r>
      <w:r>
        <w:rPr>
          <w:rFonts w:cs="Times New Roman" w:hint="eastAsia"/>
          <w:sz w:val="24"/>
          <w:szCs w:val="24"/>
        </w:rPr>
        <w:t>第</w:t>
      </w:r>
      <w:r>
        <w:rPr>
          <w:rFonts w:cs="Times New Roman" w:hint="eastAsia"/>
          <w:sz w:val="24"/>
          <w:szCs w:val="24"/>
        </w:rPr>
        <w:t>0365-3</w:t>
      </w:r>
      <w:r>
        <w:rPr>
          <w:rFonts w:cs="Times New Roman" w:hint="eastAsia"/>
          <w:sz w:val="24"/>
          <w:szCs w:val="24"/>
        </w:rPr>
        <w:t>号）。</w:t>
      </w:r>
    </w:p>
    <w:p w14:paraId="56718D81" w14:textId="77777777" w:rsidR="007D1E74" w:rsidRDefault="00A95641">
      <w:pPr>
        <w:pStyle w:val="aa"/>
      </w:pPr>
      <w:r>
        <w:rPr>
          <w:rFonts w:hint="eastAsia"/>
        </w:rPr>
        <w:t>基本污染物现状评价</w:t>
      </w:r>
    </w:p>
    <w:p w14:paraId="5D4E70C4" w14:textId="77777777" w:rsidR="007D1E74" w:rsidRDefault="00A95641">
      <w:pPr>
        <w:spacing w:line="360" w:lineRule="auto"/>
        <w:ind w:firstLineChars="200" w:firstLine="480"/>
        <w:rPr>
          <w:sz w:val="24"/>
          <w:szCs w:val="24"/>
        </w:rPr>
      </w:pPr>
      <w:r>
        <w:rPr>
          <w:rFonts w:cs="Times New Roman"/>
          <w:sz w:val="24"/>
          <w:szCs w:val="24"/>
        </w:rPr>
        <w:t>根据</w:t>
      </w:r>
      <w:r>
        <w:rPr>
          <w:rFonts w:cs="Times New Roman" w:hint="eastAsia"/>
          <w:sz w:val="24"/>
          <w:szCs w:val="24"/>
        </w:rPr>
        <w:t>《通江县</w:t>
      </w:r>
      <w:r>
        <w:rPr>
          <w:rFonts w:cs="Times New Roman" w:hint="eastAsia"/>
          <w:sz w:val="24"/>
          <w:szCs w:val="24"/>
        </w:rPr>
        <w:t>2020</w:t>
      </w:r>
      <w:r>
        <w:rPr>
          <w:rFonts w:cs="Times New Roman" w:hint="eastAsia"/>
          <w:sz w:val="24"/>
          <w:szCs w:val="24"/>
        </w:rPr>
        <w:t>年环境质量公报》，</w:t>
      </w:r>
      <w:r>
        <w:rPr>
          <w:rFonts w:cs="Times New Roman" w:hint="eastAsia"/>
          <w:sz w:val="24"/>
          <w:szCs w:val="24"/>
        </w:rPr>
        <w:t>2</w:t>
      </w:r>
      <w:r>
        <w:rPr>
          <w:rFonts w:hint="eastAsia"/>
          <w:sz w:val="24"/>
          <w:szCs w:val="24"/>
        </w:rPr>
        <w:t>020</w:t>
      </w:r>
      <w:r>
        <w:rPr>
          <w:rFonts w:hint="eastAsia"/>
          <w:sz w:val="24"/>
          <w:szCs w:val="24"/>
        </w:rPr>
        <w:t>年通江县城区空气质量优良天数为</w:t>
      </w:r>
      <w:r>
        <w:rPr>
          <w:rFonts w:hint="eastAsia"/>
          <w:sz w:val="24"/>
          <w:szCs w:val="24"/>
        </w:rPr>
        <w:t>349</w:t>
      </w:r>
      <w:r>
        <w:rPr>
          <w:rFonts w:hint="eastAsia"/>
          <w:sz w:val="24"/>
          <w:szCs w:val="24"/>
        </w:rPr>
        <w:t>天（其中优</w:t>
      </w:r>
      <w:r>
        <w:rPr>
          <w:rFonts w:hint="eastAsia"/>
          <w:sz w:val="24"/>
          <w:szCs w:val="24"/>
        </w:rPr>
        <w:t>222</w:t>
      </w:r>
      <w:r>
        <w:rPr>
          <w:rFonts w:hint="eastAsia"/>
          <w:sz w:val="24"/>
          <w:szCs w:val="24"/>
        </w:rPr>
        <w:t>天，良</w:t>
      </w:r>
      <w:r>
        <w:rPr>
          <w:rFonts w:hint="eastAsia"/>
          <w:sz w:val="24"/>
          <w:szCs w:val="24"/>
        </w:rPr>
        <w:t>127</w:t>
      </w:r>
      <w:r>
        <w:rPr>
          <w:rFonts w:hint="eastAsia"/>
          <w:sz w:val="24"/>
          <w:szCs w:val="24"/>
        </w:rPr>
        <w:t>天），优良率</w:t>
      </w:r>
      <w:r>
        <w:rPr>
          <w:rFonts w:hint="eastAsia"/>
          <w:sz w:val="24"/>
          <w:szCs w:val="24"/>
        </w:rPr>
        <w:t>95.4%</w:t>
      </w:r>
      <w:r>
        <w:rPr>
          <w:rFonts w:hint="eastAsia"/>
          <w:sz w:val="24"/>
          <w:szCs w:val="24"/>
        </w:rPr>
        <w:t>。通江县环境空气各评价因子的浓度、标准及达标判定结果见下表。</w:t>
      </w:r>
    </w:p>
    <w:p w14:paraId="2549066A" w14:textId="77777777" w:rsidR="007D1E74" w:rsidRDefault="00A95641">
      <w:pPr>
        <w:pStyle w:val="afffffe"/>
        <w:numPr>
          <w:ilvl w:val="0"/>
          <w:numId w:val="42"/>
        </w:numPr>
        <w:spacing w:line="360" w:lineRule="auto"/>
        <w:ind w:firstLineChars="0"/>
        <w:jc w:val="center"/>
        <w:rPr>
          <w:rFonts w:eastAsia="黑体" w:cs="Times New Roman"/>
          <w:szCs w:val="21"/>
        </w:rPr>
      </w:pPr>
      <w:r>
        <w:rPr>
          <w:rFonts w:eastAsia="黑体" w:cs="Times New Roman"/>
          <w:szCs w:val="21"/>
        </w:rPr>
        <w:t>环境空气</w:t>
      </w:r>
      <w:r>
        <w:rPr>
          <w:rFonts w:eastAsia="黑体" w:cs="Times New Roman" w:hint="eastAsia"/>
          <w:szCs w:val="21"/>
        </w:rPr>
        <w:t>质量现状评价表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6"/>
        <w:gridCol w:w="2461"/>
        <w:gridCol w:w="1437"/>
        <w:gridCol w:w="1437"/>
        <w:gridCol w:w="1437"/>
        <w:gridCol w:w="1168"/>
      </w:tblGrid>
      <w:tr w:rsidR="007D1E74" w14:paraId="27F75189" w14:textId="77777777">
        <w:trPr>
          <w:tblHeader/>
        </w:trPr>
        <w:tc>
          <w:tcPr>
            <w:tcW w:w="596" w:type="pct"/>
            <w:vAlign w:val="center"/>
          </w:tcPr>
          <w:p w14:paraId="7D87E9F8" w14:textId="77777777" w:rsidR="007D1E74" w:rsidRDefault="00A95641">
            <w:pPr>
              <w:jc w:val="center"/>
              <w:rPr>
                <w:rFonts w:cstheme="minorHAnsi"/>
                <w:szCs w:val="21"/>
              </w:rPr>
            </w:pPr>
            <w:r>
              <w:rPr>
                <w:rFonts w:cstheme="minorHAnsi"/>
                <w:szCs w:val="21"/>
              </w:rPr>
              <w:t>污染物</w:t>
            </w:r>
          </w:p>
        </w:tc>
        <w:tc>
          <w:tcPr>
            <w:tcW w:w="1365" w:type="pct"/>
            <w:vAlign w:val="center"/>
          </w:tcPr>
          <w:p w14:paraId="6227CAA6" w14:textId="77777777" w:rsidR="007D1E74" w:rsidRDefault="00A95641">
            <w:pPr>
              <w:jc w:val="center"/>
              <w:rPr>
                <w:rFonts w:cstheme="minorHAnsi"/>
                <w:szCs w:val="21"/>
              </w:rPr>
            </w:pPr>
            <w:r>
              <w:rPr>
                <w:rFonts w:cstheme="minorHAnsi"/>
                <w:szCs w:val="21"/>
              </w:rPr>
              <w:t>年评价指标</w:t>
            </w:r>
          </w:p>
        </w:tc>
        <w:tc>
          <w:tcPr>
            <w:tcW w:w="797" w:type="pct"/>
            <w:vAlign w:val="center"/>
          </w:tcPr>
          <w:p w14:paraId="2B963060" w14:textId="77777777" w:rsidR="007D1E74" w:rsidRDefault="00A95641">
            <w:pPr>
              <w:jc w:val="center"/>
              <w:rPr>
                <w:rFonts w:cstheme="minorHAnsi"/>
                <w:szCs w:val="21"/>
              </w:rPr>
            </w:pPr>
            <w:r>
              <w:rPr>
                <w:rFonts w:cstheme="minorHAnsi"/>
                <w:szCs w:val="21"/>
              </w:rPr>
              <w:t>现状浓度</w:t>
            </w:r>
            <w:r>
              <w:rPr>
                <w:rFonts w:cstheme="minorHAnsi" w:hint="eastAsia"/>
                <w:szCs w:val="21"/>
              </w:rPr>
              <w:t>（</w:t>
            </w:r>
            <w:r>
              <w:rPr>
                <w:rFonts w:cstheme="minorHAnsi"/>
                <w:szCs w:val="21"/>
              </w:rPr>
              <w:t>ug/m</w:t>
            </w:r>
            <w:r>
              <w:rPr>
                <w:rFonts w:cstheme="minorHAnsi"/>
                <w:szCs w:val="21"/>
                <w:vertAlign w:val="superscript"/>
              </w:rPr>
              <w:t>3</w:t>
            </w:r>
            <w:r>
              <w:rPr>
                <w:rFonts w:cstheme="minorHAnsi" w:hint="eastAsia"/>
                <w:szCs w:val="21"/>
              </w:rPr>
              <w:t>）</w:t>
            </w:r>
          </w:p>
        </w:tc>
        <w:tc>
          <w:tcPr>
            <w:tcW w:w="797" w:type="pct"/>
            <w:vAlign w:val="center"/>
          </w:tcPr>
          <w:p w14:paraId="3BCAA632" w14:textId="77777777" w:rsidR="007D1E74" w:rsidRDefault="00A95641">
            <w:pPr>
              <w:jc w:val="center"/>
              <w:rPr>
                <w:rFonts w:cstheme="minorHAnsi"/>
                <w:szCs w:val="21"/>
              </w:rPr>
            </w:pPr>
            <w:r>
              <w:rPr>
                <w:rFonts w:cstheme="minorHAnsi" w:hint="eastAsia"/>
                <w:szCs w:val="21"/>
              </w:rPr>
              <w:t>标准值（</w:t>
            </w:r>
            <w:r>
              <w:rPr>
                <w:rFonts w:cstheme="minorHAnsi"/>
                <w:szCs w:val="21"/>
              </w:rPr>
              <w:t>ug/m</w:t>
            </w:r>
            <w:r>
              <w:rPr>
                <w:rFonts w:cstheme="minorHAnsi"/>
                <w:szCs w:val="21"/>
                <w:vertAlign w:val="superscript"/>
              </w:rPr>
              <w:t>3</w:t>
            </w:r>
            <w:r>
              <w:rPr>
                <w:rFonts w:cstheme="minorHAnsi" w:hint="eastAsia"/>
                <w:szCs w:val="21"/>
              </w:rPr>
              <w:t>）</w:t>
            </w:r>
          </w:p>
        </w:tc>
        <w:tc>
          <w:tcPr>
            <w:tcW w:w="797" w:type="pct"/>
            <w:vAlign w:val="center"/>
          </w:tcPr>
          <w:p w14:paraId="6856A567" w14:textId="77777777" w:rsidR="007D1E74" w:rsidRDefault="00A95641">
            <w:pPr>
              <w:jc w:val="center"/>
              <w:rPr>
                <w:rFonts w:cstheme="minorHAnsi"/>
                <w:szCs w:val="21"/>
              </w:rPr>
            </w:pPr>
            <w:r>
              <w:rPr>
                <w:rFonts w:cstheme="minorHAnsi"/>
                <w:szCs w:val="21"/>
              </w:rPr>
              <w:t>占标率</w:t>
            </w:r>
            <w:r>
              <w:rPr>
                <w:rFonts w:cstheme="minorHAnsi" w:hint="eastAsia"/>
                <w:szCs w:val="21"/>
              </w:rPr>
              <w:t>（</w:t>
            </w:r>
            <w:r>
              <w:rPr>
                <w:rFonts w:cstheme="minorHAnsi" w:hint="eastAsia"/>
                <w:szCs w:val="21"/>
              </w:rPr>
              <w:t>%</w:t>
            </w:r>
            <w:r>
              <w:rPr>
                <w:rFonts w:cstheme="minorHAnsi" w:hint="eastAsia"/>
                <w:szCs w:val="21"/>
              </w:rPr>
              <w:t>）</w:t>
            </w:r>
          </w:p>
        </w:tc>
        <w:tc>
          <w:tcPr>
            <w:tcW w:w="648" w:type="pct"/>
            <w:vAlign w:val="center"/>
          </w:tcPr>
          <w:p w14:paraId="5F144711" w14:textId="77777777" w:rsidR="007D1E74" w:rsidRDefault="00A95641">
            <w:pPr>
              <w:jc w:val="center"/>
              <w:rPr>
                <w:rFonts w:cstheme="minorHAnsi"/>
                <w:szCs w:val="21"/>
              </w:rPr>
            </w:pPr>
            <w:r>
              <w:rPr>
                <w:rFonts w:cstheme="minorHAnsi" w:hint="eastAsia"/>
                <w:szCs w:val="21"/>
              </w:rPr>
              <w:t>达标情况</w:t>
            </w:r>
          </w:p>
        </w:tc>
      </w:tr>
      <w:tr w:rsidR="007D1E74" w14:paraId="4FEA976F" w14:textId="77777777">
        <w:tc>
          <w:tcPr>
            <w:tcW w:w="596" w:type="pct"/>
            <w:vAlign w:val="center"/>
          </w:tcPr>
          <w:p w14:paraId="55FFBFFF" w14:textId="77777777" w:rsidR="007D1E74" w:rsidRDefault="00A95641">
            <w:pPr>
              <w:jc w:val="center"/>
              <w:rPr>
                <w:rFonts w:cstheme="minorHAnsi"/>
                <w:szCs w:val="21"/>
              </w:rPr>
            </w:pPr>
            <w:r>
              <w:rPr>
                <w:rFonts w:cstheme="minorHAnsi"/>
                <w:szCs w:val="21"/>
              </w:rPr>
              <w:t>SO</w:t>
            </w:r>
            <w:r>
              <w:rPr>
                <w:rFonts w:cstheme="minorHAnsi"/>
                <w:szCs w:val="21"/>
                <w:vertAlign w:val="subscript"/>
              </w:rPr>
              <w:t>2</w:t>
            </w:r>
          </w:p>
        </w:tc>
        <w:tc>
          <w:tcPr>
            <w:tcW w:w="1365" w:type="pct"/>
            <w:vAlign w:val="center"/>
          </w:tcPr>
          <w:p w14:paraId="4F758190" w14:textId="77777777" w:rsidR="007D1E74" w:rsidRDefault="00A95641">
            <w:pPr>
              <w:jc w:val="center"/>
              <w:rPr>
                <w:rFonts w:cstheme="minorHAnsi"/>
                <w:szCs w:val="21"/>
              </w:rPr>
            </w:pPr>
            <w:r>
              <w:rPr>
                <w:rFonts w:cstheme="minorHAnsi"/>
                <w:szCs w:val="21"/>
              </w:rPr>
              <w:t>年平均质量浓度</w:t>
            </w:r>
          </w:p>
        </w:tc>
        <w:tc>
          <w:tcPr>
            <w:tcW w:w="797" w:type="pct"/>
            <w:vAlign w:val="center"/>
          </w:tcPr>
          <w:p w14:paraId="69F848AD" w14:textId="77777777" w:rsidR="007D1E74" w:rsidRDefault="00A95641">
            <w:pPr>
              <w:jc w:val="center"/>
              <w:rPr>
                <w:rFonts w:cstheme="minorHAnsi"/>
                <w:szCs w:val="21"/>
              </w:rPr>
            </w:pPr>
            <w:r>
              <w:rPr>
                <w:rFonts w:cstheme="minorHAnsi" w:hint="eastAsia"/>
                <w:szCs w:val="21"/>
              </w:rPr>
              <w:t>5</w:t>
            </w:r>
            <w:r>
              <w:rPr>
                <w:rFonts w:cstheme="minorHAnsi"/>
                <w:szCs w:val="21"/>
              </w:rPr>
              <w:t>.8</w:t>
            </w:r>
          </w:p>
        </w:tc>
        <w:tc>
          <w:tcPr>
            <w:tcW w:w="797" w:type="pct"/>
            <w:vAlign w:val="center"/>
          </w:tcPr>
          <w:p w14:paraId="75090D1B" w14:textId="77777777" w:rsidR="007D1E74" w:rsidRDefault="00A95641">
            <w:pPr>
              <w:jc w:val="center"/>
              <w:rPr>
                <w:rFonts w:cstheme="minorHAnsi"/>
                <w:szCs w:val="21"/>
              </w:rPr>
            </w:pPr>
            <w:r>
              <w:rPr>
                <w:rFonts w:cstheme="minorHAnsi" w:hint="eastAsia"/>
                <w:szCs w:val="21"/>
              </w:rPr>
              <w:t>60</w:t>
            </w:r>
          </w:p>
        </w:tc>
        <w:tc>
          <w:tcPr>
            <w:tcW w:w="797" w:type="pct"/>
            <w:vAlign w:val="center"/>
          </w:tcPr>
          <w:p w14:paraId="7748B31A" w14:textId="77777777" w:rsidR="007D1E74" w:rsidRDefault="00A95641">
            <w:pPr>
              <w:jc w:val="center"/>
              <w:rPr>
                <w:szCs w:val="21"/>
              </w:rPr>
            </w:pPr>
            <w:r>
              <w:rPr>
                <w:rFonts w:hint="eastAsia"/>
                <w:szCs w:val="21"/>
              </w:rPr>
              <w:t>9</w:t>
            </w:r>
            <w:r>
              <w:rPr>
                <w:szCs w:val="21"/>
              </w:rPr>
              <w:t>.7</w:t>
            </w:r>
          </w:p>
        </w:tc>
        <w:tc>
          <w:tcPr>
            <w:tcW w:w="648" w:type="pct"/>
            <w:vAlign w:val="center"/>
          </w:tcPr>
          <w:p w14:paraId="3B0BD4AC" w14:textId="77777777" w:rsidR="007D1E74" w:rsidRDefault="00A95641">
            <w:pPr>
              <w:jc w:val="center"/>
              <w:rPr>
                <w:rFonts w:cstheme="minorHAnsi"/>
                <w:szCs w:val="21"/>
              </w:rPr>
            </w:pPr>
            <w:r>
              <w:rPr>
                <w:rFonts w:cstheme="minorHAnsi" w:hint="eastAsia"/>
                <w:szCs w:val="21"/>
              </w:rPr>
              <w:t>达标</w:t>
            </w:r>
          </w:p>
        </w:tc>
      </w:tr>
      <w:tr w:rsidR="007D1E74" w14:paraId="60CA3E03" w14:textId="77777777">
        <w:tc>
          <w:tcPr>
            <w:tcW w:w="596" w:type="pct"/>
            <w:vAlign w:val="center"/>
          </w:tcPr>
          <w:p w14:paraId="75C06C11" w14:textId="77777777" w:rsidR="007D1E74" w:rsidRDefault="00A95641">
            <w:pPr>
              <w:jc w:val="center"/>
              <w:rPr>
                <w:rFonts w:cstheme="minorHAnsi"/>
                <w:szCs w:val="21"/>
              </w:rPr>
            </w:pPr>
            <w:r>
              <w:rPr>
                <w:rFonts w:cstheme="minorHAnsi"/>
                <w:szCs w:val="21"/>
              </w:rPr>
              <w:t>NO</w:t>
            </w:r>
            <w:r>
              <w:rPr>
                <w:rFonts w:cstheme="minorHAnsi"/>
                <w:szCs w:val="21"/>
                <w:vertAlign w:val="subscript"/>
              </w:rPr>
              <w:t>2</w:t>
            </w:r>
          </w:p>
        </w:tc>
        <w:tc>
          <w:tcPr>
            <w:tcW w:w="1365" w:type="pct"/>
            <w:vAlign w:val="center"/>
          </w:tcPr>
          <w:p w14:paraId="71FEB3D8" w14:textId="77777777" w:rsidR="007D1E74" w:rsidRDefault="00A95641">
            <w:pPr>
              <w:jc w:val="center"/>
              <w:rPr>
                <w:rFonts w:cstheme="minorHAnsi"/>
                <w:szCs w:val="21"/>
              </w:rPr>
            </w:pPr>
            <w:r>
              <w:rPr>
                <w:rFonts w:cstheme="minorHAnsi"/>
                <w:szCs w:val="21"/>
              </w:rPr>
              <w:t>年平均质量浓度</w:t>
            </w:r>
          </w:p>
        </w:tc>
        <w:tc>
          <w:tcPr>
            <w:tcW w:w="797" w:type="pct"/>
            <w:vAlign w:val="center"/>
          </w:tcPr>
          <w:p w14:paraId="5346666B" w14:textId="77777777" w:rsidR="007D1E74" w:rsidRDefault="00A95641">
            <w:pPr>
              <w:jc w:val="center"/>
              <w:rPr>
                <w:rFonts w:cstheme="minorHAnsi"/>
                <w:szCs w:val="21"/>
              </w:rPr>
            </w:pPr>
            <w:r>
              <w:rPr>
                <w:rFonts w:cstheme="minorHAnsi" w:hint="eastAsia"/>
                <w:szCs w:val="21"/>
              </w:rPr>
              <w:t>1</w:t>
            </w:r>
            <w:r>
              <w:rPr>
                <w:rFonts w:cstheme="minorHAnsi"/>
                <w:szCs w:val="21"/>
              </w:rPr>
              <w:t>8.7</w:t>
            </w:r>
          </w:p>
        </w:tc>
        <w:tc>
          <w:tcPr>
            <w:tcW w:w="797" w:type="pct"/>
            <w:vAlign w:val="center"/>
          </w:tcPr>
          <w:p w14:paraId="4ED407F0" w14:textId="77777777" w:rsidR="007D1E74" w:rsidRDefault="00A95641">
            <w:pPr>
              <w:jc w:val="center"/>
              <w:rPr>
                <w:rFonts w:cstheme="minorHAnsi"/>
                <w:szCs w:val="21"/>
              </w:rPr>
            </w:pPr>
            <w:r>
              <w:rPr>
                <w:rFonts w:cstheme="minorHAnsi" w:hint="eastAsia"/>
                <w:szCs w:val="21"/>
              </w:rPr>
              <w:t>40</w:t>
            </w:r>
          </w:p>
        </w:tc>
        <w:tc>
          <w:tcPr>
            <w:tcW w:w="797" w:type="pct"/>
            <w:vAlign w:val="center"/>
          </w:tcPr>
          <w:p w14:paraId="37415FB3" w14:textId="77777777" w:rsidR="007D1E74" w:rsidRDefault="00A95641">
            <w:pPr>
              <w:jc w:val="center"/>
              <w:rPr>
                <w:szCs w:val="21"/>
              </w:rPr>
            </w:pPr>
            <w:r>
              <w:rPr>
                <w:rFonts w:hint="eastAsia"/>
                <w:szCs w:val="21"/>
              </w:rPr>
              <w:t>4</w:t>
            </w:r>
            <w:r>
              <w:rPr>
                <w:szCs w:val="21"/>
              </w:rPr>
              <w:t>6.8</w:t>
            </w:r>
          </w:p>
        </w:tc>
        <w:tc>
          <w:tcPr>
            <w:tcW w:w="648" w:type="pct"/>
            <w:vAlign w:val="center"/>
          </w:tcPr>
          <w:p w14:paraId="620123E0" w14:textId="77777777" w:rsidR="007D1E74" w:rsidRDefault="00A95641">
            <w:pPr>
              <w:jc w:val="center"/>
              <w:rPr>
                <w:rFonts w:cstheme="minorHAnsi"/>
                <w:szCs w:val="21"/>
              </w:rPr>
            </w:pPr>
            <w:r>
              <w:rPr>
                <w:rFonts w:cstheme="minorHAnsi" w:hint="eastAsia"/>
                <w:szCs w:val="21"/>
              </w:rPr>
              <w:t>达标</w:t>
            </w:r>
          </w:p>
        </w:tc>
      </w:tr>
      <w:tr w:rsidR="007D1E74" w14:paraId="6097DF97" w14:textId="77777777">
        <w:tc>
          <w:tcPr>
            <w:tcW w:w="596" w:type="pct"/>
            <w:vAlign w:val="center"/>
          </w:tcPr>
          <w:p w14:paraId="49B9D9AC" w14:textId="77777777" w:rsidR="007D1E74" w:rsidRDefault="00A95641">
            <w:pPr>
              <w:jc w:val="center"/>
              <w:rPr>
                <w:rFonts w:cstheme="minorHAnsi"/>
                <w:szCs w:val="21"/>
              </w:rPr>
            </w:pPr>
            <w:r>
              <w:rPr>
                <w:rFonts w:cstheme="minorHAnsi"/>
                <w:szCs w:val="21"/>
              </w:rPr>
              <w:t>PM</w:t>
            </w:r>
            <w:r>
              <w:rPr>
                <w:rFonts w:cstheme="minorHAnsi"/>
                <w:szCs w:val="21"/>
                <w:vertAlign w:val="subscript"/>
              </w:rPr>
              <w:t>10</w:t>
            </w:r>
          </w:p>
        </w:tc>
        <w:tc>
          <w:tcPr>
            <w:tcW w:w="1365" w:type="pct"/>
            <w:vAlign w:val="center"/>
          </w:tcPr>
          <w:p w14:paraId="79E07A7E" w14:textId="77777777" w:rsidR="007D1E74" w:rsidRDefault="00A95641">
            <w:pPr>
              <w:jc w:val="center"/>
              <w:rPr>
                <w:rFonts w:cstheme="minorHAnsi"/>
                <w:szCs w:val="21"/>
              </w:rPr>
            </w:pPr>
            <w:r>
              <w:rPr>
                <w:rFonts w:cstheme="minorHAnsi"/>
                <w:szCs w:val="21"/>
              </w:rPr>
              <w:t>年平均质量浓度</w:t>
            </w:r>
          </w:p>
        </w:tc>
        <w:tc>
          <w:tcPr>
            <w:tcW w:w="797" w:type="pct"/>
            <w:vAlign w:val="center"/>
          </w:tcPr>
          <w:p w14:paraId="33C819E7" w14:textId="77777777" w:rsidR="007D1E74" w:rsidRDefault="00A95641">
            <w:pPr>
              <w:jc w:val="center"/>
              <w:rPr>
                <w:rFonts w:cstheme="minorHAnsi"/>
                <w:szCs w:val="21"/>
              </w:rPr>
            </w:pPr>
            <w:r>
              <w:rPr>
                <w:rFonts w:cstheme="minorHAnsi"/>
                <w:szCs w:val="21"/>
              </w:rPr>
              <w:t>42.4</w:t>
            </w:r>
          </w:p>
        </w:tc>
        <w:tc>
          <w:tcPr>
            <w:tcW w:w="797" w:type="pct"/>
            <w:vAlign w:val="center"/>
          </w:tcPr>
          <w:p w14:paraId="1E967C93" w14:textId="77777777" w:rsidR="007D1E74" w:rsidRDefault="00A95641">
            <w:pPr>
              <w:jc w:val="center"/>
              <w:rPr>
                <w:rFonts w:cstheme="minorHAnsi"/>
                <w:szCs w:val="21"/>
              </w:rPr>
            </w:pPr>
            <w:r>
              <w:rPr>
                <w:rFonts w:cstheme="minorHAnsi" w:hint="eastAsia"/>
                <w:szCs w:val="21"/>
              </w:rPr>
              <w:t>70</w:t>
            </w:r>
          </w:p>
        </w:tc>
        <w:tc>
          <w:tcPr>
            <w:tcW w:w="797" w:type="pct"/>
            <w:vAlign w:val="center"/>
          </w:tcPr>
          <w:p w14:paraId="0E35DC16" w14:textId="77777777" w:rsidR="007D1E74" w:rsidRDefault="00A95641">
            <w:pPr>
              <w:jc w:val="center"/>
              <w:rPr>
                <w:szCs w:val="21"/>
              </w:rPr>
            </w:pPr>
            <w:r>
              <w:rPr>
                <w:szCs w:val="21"/>
              </w:rPr>
              <w:t>60.6</w:t>
            </w:r>
          </w:p>
        </w:tc>
        <w:tc>
          <w:tcPr>
            <w:tcW w:w="648" w:type="pct"/>
            <w:vAlign w:val="center"/>
          </w:tcPr>
          <w:p w14:paraId="4348F2D0" w14:textId="77777777" w:rsidR="007D1E74" w:rsidRDefault="00A95641">
            <w:pPr>
              <w:jc w:val="center"/>
              <w:rPr>
                <w:rFonts w:cstheme="minorHAnsi"/>
                <w:szCs w:val="21"/>
              </w:rPr>
            </w:pPr>
            <w:r>
              <w:rPr>
                <w:rFonts w:cstheme="minorHAnsi" w:hint="eastAsia"/>
                <w:szCs w:val="21"/>
              </w:rPr>
              <w:t>达标</w:t>
            </w:r>
          </w:p>
        </w:tc>
      </w:tr>
      <w:tr w:rsidR="007D1E74" w14:paraId="7DDEF2F3" w14:textId="77777777">
        <w:tc>
          <w:tcPr>
            <w:tcW w:w="596" w:type="pct"/>
            <w:vAlign w:val="center"/>
          </w:tcPr>
          <w:p w14:paraId="3D698F61" w14:textId="77777777" w:rsidR="007D1E74" w:rsidRDefault="00A95641">
            <w:pPr>
              <w:jc w:val="center"/>
              <w:rPr>
                <w:rFonts w:cstheme="minorHAnsi"/>
                <w:szCs w:val="21"/>
              </w:rPr>
            </w:pPr>
            <w:r>
              <w:rPr>
                <w:rFonts w:cstheme="minorHAnsi"/>
                <w:szCs w:val="21"/>
              </w:rPr>
              <w:t>PM</w:t>
            </w:r>
            <w:r>
              <w:rPr>
                <w:rFonts w:cstheme="minorHAnsi"/>
                <w:szCs w:val="21"/>
                <w:vertAlign w:val="subscript"/>
              </w:rPr>
              <w:t>2.5</w:t>
            </w:r>
          </w:p>
        </w:tc>
        <w:tc>
          <w:tcPr>
            <w:tcW w:w="1365" w:type="pct"/>
            <w:vAlign w:val="center"/>
          </w:tcPr>
          <w:p w14:paraId="15AE48D1" w14:textId="77777777" w:rsidR="007D1E74" w:rsidRDefault="00A95641">
            <w:pPr>
              <w:jc w:val="center"/>
              <w:rPr>
                <w:rFonts w:cstheme="minorHAnsi"/>
                <w:szCs w:val="21"/>
              </w:rPr>
            </w:pPr>
            <w:r>
              <w:rPr>
                <w:rFonts w:cstheme="minorHAnsi"/>
                <w:szCs w:val="21"/>
              </w:rPr>
              <w:t>年平均质量浓度</w:t>
            </w:r>
          </w:p>
        </w:tc>
        <w:tc>
          <w:tcPr>
            <w:tcW w:w="797" w:type="pct"/>
            <w:vAlign w:val="center"/>
          </w:tcPr>
          <w:p w14:paraId="5A2C45D4" w14:textId="77777777" w:rsidR="007D1E74" w:rsidRDefault="00A95641">
            <w:pPr>
              <w:jc w:val="center"/>
              <w:rPr>
                <w:rFonts w:cstheme="minorHAnsi"/>
                <w:szCs w:val="21"/>
              </w:rPr>
            </w:pPr>
            <w:r>
              <w:rPr>
                <w:rFonts w:cstheme="minorHAnsi" w:hint="eastAsia"/>
                <w:szCs w:val="21"/>
              </w:rPr>
              <w:t>2</w:t>
            </w:r>
            <w:r>
              <w:rPr>
                <w:rFonts w:cstheme="minorHAnsi"/>
                <w:szCs w:val="21"/>
              </w:rPr>
              <w:t>7.3</w:t>
            </w:r>
          </w:p>
        </w:tc>
        <w:tc>
          <w:tcPr>
            <w:tcW w:w="797" w:type="pct"/>
            <w:vAlign w:val="center"/>
          </w:tcPr>
          <w:p w14:paraId="6F7FAFED" w14:textId="77777777" w:rsidR="007D1E74" w:rsidRDefault="00A95641">
            <w:pPr>
              <w:jc w:val="center"/>
              <w:rPr>
                <w:rFonts w:cstheme="minorHAnsi"/>
                <w:szCs w:val="21"/>
              </w:rPr>
            </w:pPr>
            <w:r>
              <w:rPr>
                <w:rFonts w:cstheme="minorHAnsi" w:hint="eastAsia"/>
                <w:szCs w:val="21"/>
              </w:rPr>
              <w:t>35</w:t>
            </w:r>
          </w:p>
        </w:tc>
        <w:tc>
          <w:tcPr>
            <w:tcW w:w="797" w:type="pct"/>
            <w:vAlign w:val="center"/>
          </w:tcPr>
          <w:p w14:paraId="108D161B" w14:textId="77777777" w:rsidR="007D1E74" w:rsidRDefault="00A95641">
            <w:pPr>
              <w:jc w:val="center"/>
              <w:rPr>
                <w:szCs w:val="21"/>
              </w:rPr>
            </w:pPr>
            <w:r>
              <w:rPr>
                <w:rFonts w:hint="eastAsia"/>
                <w:szCs w:val="21"/>
              </w:rPr>
              <w:t>7</w:t>
            </w:r>
            <w:r>
              <w:rPr>
                <w:szCs w:val="21"/>
              </w:rPr>
              <w:t>8.0</w:t>
            </w:r>
          </w:p>
        </w:tc>
        <w:tc>
          <w:tcPr>
            <w:tcW w:w="648" w:type="pct"/>
            <w:vAlign w:val="center"/>
          </w:tcPr>
          <w:p w14:paraId="0F95B8CB" w14:textId="77777777" w:rsidR="007D1E74" w:rsidRDefault="00A95641">
            <w:pPr>
              <w:jc w:val="center"/>
              <w:rPr>
                <w:rFonts w:cstheme="minorHAnsi"/>
                <w:b/>
                <w:szCs w:val="21"/>
              </w:rPr>
            </w:pPr>
            <w:r>
              <w:rPr>
                <w:rFonts w:cstheme="minorHAnsi" w:hint="eastAsia"/>
                <w:szCs w:val="21"/>
              </w:rPr>
              <w:t>达标</w:t>
            </w:r>
          </w:p>
        </w:tc>
      </w:tr>
      <w:tr w:rsidR="007D1E74" w14:paraId="518EA5E4" w14:textId="77777777">
        <w:tc>
          <w:tcPr>
            <w:tcW w:w="596" w:type="pct"/>
            <w:vAlign w:val="center"/>
          </w:tcPr>
          <w:p w14:paraId="6D1B3EBF" w14:textId="77777777" w:rsidR="007D1E74" w:rsidRDefault="00A95641">
            <w:pPr>
              <w:jc w:val="center"/>
              <w:rPr>
                <w:rFonts w:cstheme="minorHAnsi"/>
                <w:szCs w:val="21"/>
              </w:rPr>
            </w:pPr>
            <w:r>
              <w:rPr>
                <w:rFonts w:cstheme="minorHAnsi"/>
                <w:szCs w:val="21"/>
              </w:rPr>
              <w:t>O</w:t>
            </w:r>
            <w:r>
              <w:rPr>
                <w:rFonts w:cstheme="minorHAnsi"/>
                <w:szCs w:val="21"/>
                <w:vertAlign w:val="subscript"/>
              </w:rPr>
              <w:t>3</w:t>
            </w:r>
          </w:p>
        </w:tc>
        <w:tc>
          <w:tcPr>
            <w:tcW w:w="1365" w:type="pct"/>
            <w:vAlign w:val="center"/>
          </w:tcPr>
          <w:p w14:paraId="494329EF" w14:textId="77777777" w:rsidR="007D1E74" w:rsidRDefault="00A95641">
            <w:pPr>
              <w:jc w:val="center"/>
              <w:rPr>
                <w:rFonts w:cstheme="minorHAnsi"/>
                <w:szCs w:val="21"/>
              </w:rPr>
            </w:pPr>
            <w:r>
              <w:rPr>
                <w:rFonts w:cstheme="minorHAnsi" w:hint="eastAsia"/>
                <w:szCs w:val="21"/>
              </w:rPr>
              <w:t>日最大</w:t>
            </w:r>
            <w:r>
              <w:rPr>
                <w:rFonts w:cstheme="minorHAnsi" w:hint="eastAsia"/>
                <w:szCs w:val="21"/>
              </w:rPr>
              <w:t>8</w:t>
            </w:r>
            <w:r>
              <w:rPr>
                <w:rFonts w:cstheme="minorHAnsi" w:hint="eastAsia"/>
                <w:szCs w:val="21"/>
              </w:rPr>
              <w:t>小时平均第</w:t>
            </w:r>
            <w:r>
              <w:rPr>
                <w:rFonts w:cstheme="minorHAnsi" w:hint="eastAsia"/>
                <w:szCs w:val="21"/>
              </w:rPr>
              <w:t>90</w:t>
            </w:r>
            <w:r>
              <w:rPr>
                <w:rFonts w:cstheme="minorHAnsi" w:hint="eastAsia"/>
                <w:szCs w:val="21"/>
              </w:rPr>
              <w:t>百分位数</w:t>
            </w:r>
          </w:p>
        </w:tc>
        <w:tc>
          <w:tcPr>
            <w:tcW w:w="797" w:type="pct"/>
            <w:vAlign w:val="center"/>
          </w:tcPr>
          <w:p w14:paraId="30AC9C1A" w14:textId="77777777" w:rsidR="007D1E74" w:rsidRDefault="00A95641">
            <w:pPr>
              <w:jc w:val="center"/>
              <w:rPr>
                <w:rFonts w:cstheme="minorHAnsi"/>
                <w:szCs w:val="21"/>
              </w:rPr>
            </w:pPr>
            <w:r>
              <w:rPr>
                <w:rFonts w:cstheme="minorHAnsi" w:hint="eastAsia"/>
                <w:szCs w:val="21"/>
              </w:rPr>
              <w:t>1</w:t>
            </w:r>
            <w:r>
              <w:rPr>
                <w:rFonts w:cstheme="minorHAnsi"/>
                <w:szCs w:val="21"/>
              </w:rPr>
              <w:t>03.5</w:t>
            </w:r>
          </w:p>
        </w:tc>
        <w:tc>
          <w:tcPr>
            <w:tcW w:w="797" w:type="pct"/>
            <w:vAlign w:val="center"/>
          </w:tcPr>
          <w:p w14:paraId="68ED68F6" w14:textId="77777777" w:rsidR="007D1E74" w:rsidRDefault="00A95641">
            <w:pPr>
              <w:jc w:val="center"/>
              <w:rPr>
                <w:rFonts w:cstheme="minorHAnsi"/>
                <w:szCs w:val="21"/>
              </w:rPr>
            </w:pPr>
            <w:r>
              <w:rPr>
                <w:rFonts w:cstheme="minorHAnsi" w:hint="eastAsia"/>
                <w:szCs w:val="21"/>
              </w:rPr>
              <w:t>160</w:t>
            </w:r>
          </w:p>
        </w:tc>
        <w:tc>
          <w:tcPr>
            <w:tcW w:w="797" w:type="pct"/>
            <w:vAlign w:val="center"/>
          </w:tcPr>
          <w:p w14:paraId="76E08533" w14:textId="77777777" w:rsidR="007D1E74" w:rsidRDefault="00A95641">
            <w:pPr>
              <w:jc w:val="center"/>
              <w:rPr>
                <w:szCs w:val="21"/>
              </w:rPr>
            </w:pPr>
            <w:r>
              <w:rPr>
                <w:rFonts w:hint="eastAsia"/>
                <w:szCs w:val="21"/>
              </w:rPr>
              <w:t>6</w:t>
            </w:r>
            <w:r>
              <w:rPr>
                <w:szCs w:val="21"/>
              </w:rPr>
              <w:t>4.7</w:t>
            </w:r>
          </w:p>
        </w:tc>
        <w:tc>
          <w:tcPr>
            <w:tcW w:w="648" w:type="pct"/>
            <w:vAlign w:val="center"/>
          </w:tcPr>
          <w:p w14:paraId="1E62DB95" w14:textId="77777777" w:rsidR="007D1E74" w:rsidRDefault="00A95641">
            <w:pPr>
              <w:jc w:val="center"/>
              <w:rPr>
                <w:rFonts w:cstheme="minorHAnsi"/>
                <w:szCs w:val="21"/>
              </w:rPr>
            </w:pPr>
            <w:r>
              <w:rPr>
                <w:rFonts w:cstheme="minorHAnsi" w:hint="eastAsia"/>
                <w:szCs w:val="21"/>
              </w:rPr>
              <w:t>达标</w:t>
            </w:r>
          </w:p>
        </w:tc>
      </w:tr>
      <w:tr w:rsidR="007D1E74" w14:paraId="7C1A2981" w14:textId="77777777">
        <w:tc>
          <w:tcPr>
            <w:tcW w:w="596" w:type="pct"/>
            <w:vAlign w:val="center"/>
          </w:tcPr>
          <w:p w14:paraId="687EEF99" w14:textId="77777777" w:rsidR="007D1E74" w:rsidRDefault="00A95641">
            <w:pPr>
              <w:jc w:val="center"/>
              <w:rPr>
                <w:rFonts w:cstheme="minorHAnsi"/>
                <w:szCs w:val="21"/>
              </w:rPr>
            </w:pPr>
            <w:r>
              <w:rPr>
                <w:rFonts w:cstheme="minorHAnsi"/>
                <w:szCs w:val="21"/>
              </w:rPr>
              <w:t>CO</w:t>
            </w:r>
          </w:p>
        </w:tc>
        <w:tc>
          <w:tcPr>
            <w:tcW w:w="1365" w:type="pct"/>
            <w:vAlign w:val="center"/>
          </w:tcPr>
          <w:p w14:paraId="68BA9D44" w14:textId="77777777" w:rsidR="007D1E74" w:rsidRDefault="00A95641">
            <w:pPr>
              <w:jc w:val="center"/>
              <w:rPr>
                <w:rFonts w:cstheme="minorHAnsi"/>
                <w:szCs w:val="21"/>
              </w:rPr>
            </w:pPr>
            <w:r>
              <w:rPr>
                <w:rFonts w:cstheme="minorHAnsi" w:hint="eastAsia"/>
                <w:szCs w:val="21"/>
              </w:rPr>
              <w:t>日均值第</w:t>
            </w:r>
            <w:r>
              <w:rPr>
                <w:rFonts w:cstheme="minorHAnsi" w:hint="eastAsia"/>
                <w:szCs w:val="21"/>
              </w:rPr>
              <w:t>95</w:t>
            </w:r>
            <w:r>
              <w:rPr>
                <w:rFonts w:cstheme="minorHAnsi" w:hint="eastAsia"/>
                <w:szCs w:val="21"/>
              </w:rPr>
              <w:t>百分位数</w:t>
            </w:r>
          </w:p>
        </w:tc>
        <w:tc>
          <w:tcPr>
            <w:tcW w:w="797" w:type="pct"/>
            <w:vAlign w:val="center"/>
          </w:tcPr>
          <w:p w14:paraId="5A302DFE" w14:textId="77777777" w:rsidR="007D1E74" w:rsidRDefault="00A95641">
            <w:pPr>
              <w:jc w:val="center"/>
              <w:rPr>
                <w:rFonts w:cstheme="minorHAnsi"/>
                <w:szCs w:val="21"/>
              </w:rPr>
            </w:pPr>
            <w:r>
              <w:rPr>
                <w:rFonts w:cstheme="minorHAnsi" w:hint="eastAsia"/>
                <w:szCs w:val="21"/>
              </w:rPr>
              <w:t>1</w:t>
            </w:r>
            <w:r>
              <w:rPr>
                <w:rFonts w:cstheme="minorHAnsi"/>
                <w:szCs w:val="21"/>
              </w:rPr>
              <w:t>300</w:t>
            </w:r>
          </w:p>
        </w:tc>
        <w:tc>
          <w:tcPr>
            <w:tcW w:w="797" w:type="pct"/>
            <w:vAlign w:val="center"/>
          </w:tcPr>
          <w:p w14:paraId="05613F85" w14:textId="77777777" w:rsidR="007D1E74" w:rsidRDefault="00A95641">
            <w:pPr>
              <w:jc w:val="center"/>
              <w:rPr>
                <w:rFonts w:cstheme="minorHAnsi"/>
                <w:szCs w:val="21"/>
              </w:rPr>
            </w:pPr>
            <w:r>
              <w:rPr>
                <w:rFonts w:cstheme="minorHAnsi" w:hint="eastAsia"/>
                <w:szCs w:val="21"/>
              </w:rPr>
              <w:t>4000</w:t>
            </w:r>
          </w:p>
        </w:tc>
        <w:tc>
          <w:tcPr>
            <w:tcW w:w="797" w:type="pct"/>
            <w:vAlign w:val="center"/>
          </w:tcPr>
          <w:p w14:paraId="7ECE8769" w14:textId="77777777" w:rsidR="007D1E74" w:rsidRDefault="00A95641">
            <w:pPr>
              <w:jc w:val="center"/>
              <w:rPr>
                <w:szCs w:val="21"/>
              </w:rPr>
            </w:pPr>
            <w:r>
              <w:rPr>
                <w:rFonts w:hint="eastAsia"/>
                <w:szCs w:val="21"/>
              </w:rPr>
              <w:t>3</w:t>
            </w:r>
            <w:r>
              <w:rPr>
                <w:szCs w:val="21"/>
              </w:rPr>
              <w:t>2.5</w:t>
            </w:r>
          </w:p>
        </w:tc>
        <w:tc>
          <w:tcPr>
            <w:tcW w:w="648" w:type="pct"/>
            <w:vAlign w:val="center"/>
          </w:tcPr>
          <w:p w14:paraId="542DCCE4" w14:textId="77777777" w:rsidR="007D1E74" w:rsidRDefault="00A95641">
            <w:pPr>
              <w:jc w:val="center"/>
              <w:rPr>
                <w:rFonts w:cstheme="minorHAnsi"/>
                <w:szCs w:val="21"/>
              </w:rPr>
            </w:pPr>
            <w:r>
              <w:rPr>
                <w:rFonts w:cstheme="minorHAnsi" w:hint="eastAsia"/>
                <w:szCs w:val="21"/>
              </w:rPr>
              <w:t>达标</w:t>
            </w:r>
          </w:p>
        </w:tc>
      </w:tr>
    </w:tbl>
    <w:p w14:paraId="12B74289" w14:textId="77777777" w:rsidR="007D1E74" w:rsidRDefault="00A95641">
      <w:pPr>
        <w:spacing w:line="360" w:lineRule="auto"/>
        <w:ind w:firstLineChars="200" w:firstLine="480"/>
        <w:rPr>
          <w:sz w:val="24"/>
          <w:szCs w:val="24"/>
        </w:rPr>
      </w:pPr>
      <w:r>
        <w:rPr>
          <w:rFonts w:hint="eastAsia"/>
          <w:sz w:val="24"/>
          <w:szCs w:val="24"/>
        </w:rPr>
        <w:t>根据《环境影响评价技术导则</w:t>
      </w:r>
      <w:r>
        <w:rPr>
          <w:rFonts w:hint="eastAsia"/>
          <w:sz w:val="24"/>
          <w:szCs w:val="24"/>
        </w:rPr>
        <w:t xml:space="preserve"> </w:t>
      </w:r>
      <w:r>
        <w:rPr>
          <w:rFonts w:hint="eastAsia"/>
          <w:sz w:val="24"/>
          <w:szCs w:val="24"/>
        </w:rPr>
        <w:t>大气环境》（</w:t>
      </w:r>
      <w:r>
        <w:rPr>
          <w:rFonts w:hint="eastAsia"/>
          <w:sz w:val="24"/>
          <w:szCs w:val="24"/>
        </w:rPr>
        <w:t>HJ2.2-2018</w:t>
      </w:r>
      <w:r>
        <w:rPr>
          <w:rFonts w:hint="eastAsia"/>
          <w:sz w:val="24"/>
          <w:szCs w:val="24"/>
        </w:rPr>
        <w:t>）中达标判断要求，区域为空气质量达标区。</w:t>
      </w:r>
    </w:p>
    <w:p w14:paraId="1B80413D" w14:textId="77777777" w:rsidR="007D1E74" w:rsidRDefault="00A95641">
      <w:pPr>
        <w:pStyle w:val="aa"/>
      </w:pPr>
      <w:r>
        <w:rPr>
          <w:rFonts w:hint="eastAsia"/>
        </w:rPr>
        <w:t>其他污染物现状监测</w:t>
      </w:r>
    </w:p>
    <w:p w14:paraId="22536EDE" w14:textId="77777777" w:rsidR="007D1E74" w:rsidRDefault="00A95641">
      <w:pPr>
        <w:pStyle w:val="afffff7"/>
        <w:ind w:firstLine="482"/>
      </w:pPr>
      <w:r>
        <w:rPr>
          <w:rFonts w:hint="eastAsia"/>
        </w:rPr>
        <w:t>1</w:t>
      </w:r>
      <w:r>
        <w:rPr>
          <w:rFonts w:hint="eastAsia"/>
        </w:rPr>
        <w:t>、监测点位</w:t>
      </w:r>
    </w:p>
    <w:p w14:paraId="75D10CD8" w14:textId="77777777" w:rsidR="007D1E74" w:rsidRDefault="00A95641">
      <w:pPr>
        <w:spacing w:line="360" w:lineRule="auto"/>
        <w:ind w:firstLineChars="200" w:firstLine="480"/>
        <w:rPr>
          <w:rFonts w:cs="Times New Roman"/>
          <w:sz w:val="24"/>
          <w:szCs w:val="24"/>
        </w:rPr>
      </w:pPr>
      <w:r>
        <w:rPr>
          <w:rFonts w:cs="Times New Roman" w:hint="eastAsia"/>
          <w:sz w:val="24"/>
          <w:szCs w:val="24"/>
        </w:rPr>
        <w:t>本次环评共设环境空气监测点</w:t>
      </w:r>
      <w:r>
        <w:rPr>
          <w:rFonts w:cs="Times New Roman"/>
          <w:sz w:val="24"/>
          <w:szCs w:val="24"/>
        </w:rPr>
        <w:t>1</w:t>
      </w:r>
      <w:r>
        <w:rPr>
          <w:rFonts w:cs="Times New Roman" w:hint="eastAsia"/>
          <w:sz w:val="24"/>
          <w:szCs w:val="24"/>
        </w:rPr>
        <w:t>个，监测点位置见下表。</w:t>
      </w:r>
    </w:p>
    <w:p w14:paraId="6FE69E45" w14:textId="77777777" w:rsidR="007D1E74" w:rsidRDefault="00A95641">
      <w:pPr>
        <w:pStyle w:val="afffffe"/>
        <w:numPr>
          <w:ilvl w:val="0"/>
          <w:numId w:val="42"/>
        </w:numPr>
        <w:spacing w:line="360" w:lineRule="auto"/>
        <w:ind w:firstLineChars="0"/>
        <w:jc w:val="center"/>
        <w:rPr>
          <w:rFonts w:eastAsia="黑体" w:cs="Times New Roman"/>
          <w:szCs w:val="21"/>
        </w:rPr>
      </w:pPr>
      <w:r>
        <w:rPr>
          <w:rFonts w:eastAsia="黑体" w:cs="Times New Roman"/>
          <w:szCs w:val="21"/>
        </w:rPr>
        <w:t>环境空气监测点</w:t>
      </w:r>
      <w:r>
        <w:rPr>
          <w:rFonts w:eastAsia="黑体" w:cs="Times New Roman" w:hint="eastAsia"/>
          <w:szCs w:val="21"/>
        </w:rPr>
        <w:t>位置</w:t>
      </w:r>
      <w:r>
        <w:rPr>
          <w:rFonts w:eastAsia="黑体" w:cs="Times New Roman"/>
          <w:szCs w:val="21"/>
        </w:rPr>
        <w:t>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0"/>
        <w:gridCol w:w="7096"/>
      </w:tblGrid>
      <w:tr w:rsidR="007D1E74" w14:paraId="5151640E" w14:textId="77777777">
        <w:trPr>
          <w:trHeight w:val="312"/>
          <w:tblHeader/>
        </w:trPr>
        <w:tc>
          <w:tcPr>
            <w:tcW w:w="1065" w:type="pct"/>
            <w:vAlign w:val="center"/>
          </w:tcPr>
          <w:p w14:paraId="7D52BB2B" w14:textId="77777777" w:rsidR="007D1E74" w:rsidRDefault="00A95641">
            <w:pPr>
              <w:jc w:val="center"/>
              <w:rPr>
                <w:rFonts w:cstheme="minorHAnsi"/>
                <w:szCs w:val="21"/>
              </w:rPr>
            </w:pPr>
            <w:r>
              <w:rPr>
                <w:rFonts w:cstheme="minorHAnsi" w:hint="eastAsia"/>
                <w:szCs w:val="21"/>
              </w:rPr>
              <w:t>编号</w:t>
            </w:r>
          </w:p>
        </w:tc>
        <w:tc>
          <w:tcPr>
            <w:tcW w:w="3935" w:type="pct"/>
            <w:vAlign w:val="center"/>
          </w:tcPr>
          <w:p w14:paraId="69E3556F" w14:textId="77777777" w:rsidR="007D1E74" w:rsidRDefault="00A95641">
            <w:pPr>
              <w:jc w:val="center"/>
              <w:rPr>
                <w:rFonts w:cstheme="minorHAnsi"/>
                <w:szCs w:val="21"/>
              </w:rPr>
            </w:pPr>
            <w:r>
              <w:rPr>
                <w:rFonts w:cstheme="minorHAnsi" w:hint="eastAsia"/>
                <w:szCs w:val="21"/>
              </w:rPr>
              <w:t>监测点名称</w:t>
            </w:r>
          </w:p>
        </w:tc>
      </w:tr>
      <w:tr w:rsidR="007D1E74" w14:paraId="6E97B013" w14:textId="77777777">
        <w:trPr>
          <w:trHeight w:val="70"/>
        </w:trPr>
        <w:tc>
          <w:tcPr>
            <w:tcW w:w="1065" w:type="pct"/>
            <w:vAlign w:val="center"/>
          </w:tcPr>
          <w:p w14:paraId="3A785A08" w14:textId="77777777" w:rsidR="007D1E74" w:rsidRDefault="00A95641">
            <w:pPr>
              <w:jc w:val="center"/>
              <w:rPr>
                <w:rFonts w:cstheme="minorHAnsi"/>
                <w:szCs w:val="21"/>
              </w:rPr>
            </w:pPr>
            <w:r>
              <w:rPr>
                <w:rFonts w:cstheme="minorHAnsi"/>
                <w:szCs w:val="21"/>
              </w:rPr>
              <w:t>1</w:t>
            </w:r>
            <w:r>
              <w:rPr>
                <w:rFonts w:cstheme="minorHAnsi" w:hint="eastAsia"/>
                <w:szCs w:val="21"/>
              </w:rPr>
              <w:t>#</w:t>
            </w:r>
          </w:p>
        </w:tc>
        <w:tc>
          <w:tcPr>
            <w:tcW w:w="3935" w:type="pct"/>
            <w:vAlign w:val="center"/>
          </w:tcPr>
          <w:p w14:paraId="3622C2CB" w14:textId="77777777" w:rsidR="007D1E74" w:rsidRDefault="00A95641">
            <w:pPr>
              <w:jc w:val="center"/>
              <w:rPr>
                <w:rFonts w:cstheme="minorHAnsi"/>
                <w:szCs w:val="21"/>
              </w:rPr>
            </w:pPr>
            <w:r>
              <w:rPr>
                <w:rFonts w:cstheme="minorHAnsi" w:hint="eastAsia"/>
                <w:szCs w:val="21"/>
              </w:rPr>
              <w:t>草池首站南侧居民点附近</w:t>
            </w:r>
          </w:p>
        </w:tc>
      </w:tr>
    </w:tbl>
    <w:p w14:paraId="4C4AA9EF" w14:textId="77777777" w:rsidR="007D1E74" w:rsidRDefault="00A95641">
      <w:pPr>
        <w:pStyle w:val="afffff7"/>
        <w:ind w:firstLine="482"/>
      </w:pPr>
      <w:r>
        <w:t>2</w:t>
      </w:r>
      <w:r>
        <w:rPr>
          <w:rFonts w:hint="eastAsia"/>
        </w:rPr>
        <w:t>、监测因子</w:t>
      </w:r>
    </w:p>
    <w:p w14:paraId="6766185A" w14:textId="77777777" w:rsidR="007D1E74" w:rsidRDefault="00A95641">
      <w:pPr>
        <w:spacing w:line="360" w:lineRule="auto"/>
        <w:ind w:firstLineChars="200" w:firstLine="480"/>
        <w:rPr>
          <w:rFonts w:cs="Times New Roman"/>
          <w:sz w:val="24"/>
          <w:szCs w:val="24"/>
        </w:rPr>
      </w:pPr>
      <w:r>
        <w:rPr>
          <w:rFonts w:cs="Times New Roman" w:hint="eastAsia"/>
          <w:sz w:val="24"/>
          <w:szCs w:val="24"/>
        </w:rPr>
        <w:t>NO</w:t>
      </w:r>
      <w:r>
        <w:rPr>
          <w:rFonts w:cs="Times New Roman" w:hint="eastAsia"/>
          <w:sz w:val="24"/>
          <w:szCs w:val="24"/>
          <w:vertAlign w:val="subscript"/>
        </w:rPr>
        <w:t>x</w:t>
      </w:r>
      <w:r>
        <w:rPr>
          <w:rFonts w:cs="Times New Roman" w:hint="eastAsia"/>
          <w:sz w:val="24"/>
          <w:szCs w:val="24"/>
        </w:rPr>
        <w:t>、</w:t>
      </w:r>
      <w:r>
        <w:rPr>
          <w:rFonts w:cs="Times New Roman" w:hint="eastAsia"/>
          <w:sz w:val="24"/>
          <w:szCs w:val="24"/>
        </w:rPr>
        <w:t>NMHC</w:t>
      </w:r>
      <w:r>
        <w:rPr>
          <w:rFonts w:cs="Times New Roman" w:hint="eastAsia"/>
          <w:sz w:val="24"/>
          <w:szCs w:val="24"/>
        </w:rPr>
        <w:t>。</w:t>
      </w:r>
    </w:p>
    <w:p w14:paraId="52C12F6D" w14:textId="77777777" w:rsidR="007D1E74" w:rsidRDefault="00A95641">
      <w:pPr>
        <w:pStyle w:val="afffff7"/>
        <w:ind w:firstLine="482"/>
      </w:pPr>
      <w:r>
        <w:t>3</w:t>
      </w:r>
      <w:r>
        <w:rPr>
          <w:rFonts w:hint="eastAsia"/>
        </w:rPr>
        <w:t>、监测时间</w:t>
      </w:r>
    </w:p>
    <w:p w14:paraId="584556AB" w14:textId="77777777" w:rsidR="007D1E74" w:rsidRDefault="00A95641">
      <w:pPr>
        <w:spacing w:line="360" w:lineRule="auto"/>
        <w:ind w:firstLineChars="200" w:firstLine="480"/>
        <w:rPr>
          <w:rFonts w:cs="Times New Roman"/>
          <w:sz w:val="24"/>
          <w:szCs w:val="24"/>
        </w:rPr>
      </w:pPr>
      <w:r>
        <w:rPr>
          <w:rFonts w:cs="Times New Roman" w:hint="eastAsia"/>
          <w:sz w:val="24"/>
          <w:szCs w:val="24"/>
        </w:rPr>
        <w:t>202</w:t>
      </w:r>
      <w:r>
        <w:rPr>
          <w:rFonts w:cs="Times New Roman"/>
          <w:sz w:val="24"/>
          <w:szCs w:val="24"/>
        </w:rPr>
        <w:t>1</w:t>
      </w:r>
      <w:r>
        <w:rPr>
          <w:rFonts w:cs="Times New Roman" w:hint="eastAsia"/>
          <w:sz w:val="24"/>
          <w:szCs w:val="24"/>
        </w:rPr>
        <w:t>年</w:t>
      </w:r>
      <w:r>
        <w:rPr>
          <w:rFonts w:cs="Times New Roman" w:hint="eastAsia"/>
          <w:sz w:val="24"/>
          <w:szCs w:val="24"/>
        </w:rPr>
        <w:t>11</w:t>
      </w:r>
      <w:r>
        <w:rPr>
          <w:rFonts w:cs="Times New Roman" w:hint="eastAsia"/>
          <w:sz w:val="24"/>
          <w:szCs w:val="24"/>
        </w:rPr>
        <w:t>月</w:t>
      </w:r>
      <w:r>
        <w:rPr>
          <w:rFonts w:cs="Times New Roman"/>
          <w:sz w:val="24"/>
          <w:szCs w:val="24"/>
        </w:rPr>
        <w:t>8</w:t>
      </w:r>
      <w:r>
        <w:rPr>
          <w:rFonts w:cs="Times New Roman" w:hint="eastAsia"/>
          <w:sz w:val="24"/>
          <w:szCs w:val="24"/>
        </w:rPr>
        <w:t>日</w:t>
      </w:r>
      <w:r>
        <w:rPr>
          <w:rFonts w:cs="Times New Roman" w:hint="eastAsia"/>
          <w:sz w:val="24"/>
          <w:szCs w:val="24"/>
        </w:rPr>
        <w:t>~</w:t>
      </w:r>
      <w:r>
        <w:rPr>
          <w:rFonts w:cs="Times New Roman"/>
          <w:sz w:val="24"/>
          <w:szCs w:val="24"/>
        </w:rPr>
        <w:t>14</w:t>
      </w:r>
      <w:r>
        <w:rPr>
          <w:rFonts w:cs="Times New Roman" w:hint="eastAsia"/>
          <w:sz w:val="24"/>
          <w:szCs w:val="24"/>
        </w:rPr>
        <w:t>日，共</w:t>
      </w:r>
      <w:r>
        <w:rPr>
          <w:rFonts w:cs="Times New Roman" w:hint="eastAsia"/>
          <w:sz w:val="24"/>
          <w:szCs w:val="24"/>
        </w:rPr>
        <w:t>7</w:t>
      </w:r>
      <w:r>
        <w:rPr>
          <w:rFonts w:cs="Times New Roman" w:hint="eastAsia"/>
          <w:sz w:val="24"/>
          <w:szCs w:val="24"/>
        </w:rPr>
        <w:t>天。</w:t>
      </w:r>
    </w:p>
    <w:p w14:paraId="771AB170" w14:textId="77777777" w:rsidR="007D1E74" w:rsidRDefault="00A95641">
      <w:pPr>
        <w:pStyle w:val="afffff7"/>
        <w:ind w:firstLine="482"/>
      </w:pPr>
      <w:r>
        <w:t>4</w:t>
      </w:r>
      <w:r>
        <w:rPr>
          <w:rFonts w:hint="eastAsia"/>
        </w:rPr>
        <w:t>、监测结果</w:t>
      </w:r>
    </w:p>
    <w:p w14:paraId="5616154A" w14:textId="77777777" w:rsidR="007D1E74" w:rsidRDefault="00A95641">
      <w:pPr>
        <w:spacing w:line="360" w:lineRule="auto"/>
        <w:ind w:firstLineChars="200" w:firstLine="480"/>
        <w:rPr>
          <w:rFonts w:cs="Times New Roman"/>
          <w:sz w:val="24"/>
          <w:szCs w:val="24"/>
        </w:rPr>
      </w:pPr>
      <w:r>
        <w:rPr>
          <w:rFonts w:cs="Times New Roman" w:hint="eastAsia"/>
          <w:sz w:val="24"/>
          <w:szCs w:val="24"/>
        </w:rPr>
        <w:t>区域环境空气其他污染物现状监测结果见下表。</w:t>
      </w:r>
    </w:p>
    <w:p w14:paraId="283B9E9C" w14:textId="77777777" w:rsidR="007D1E74" w:rsidRDefault="00A95641">
      <w:pPr>
        <w:pStyle w:val="afffffe"/>
        <w:numPr>
          <w:ilvl w:val="0"/>
          <w:numId w:val="42"/>
        </w:numPr>
        <w:spacing w:line="360" w:lineRule="auto"/>
        <w:ind w:firstLineChars="0"/>
        <w:jc w:val="center"/>
        <w:rPr>
          <w:rFonts w:eastAsia="黑体" w:cs="Times New Roman"/>
          <w:szCs w:val="21"/>
        </w:rPr>
      </w:pPr>
      <w:r>
        <w:rPr>
          <w:rFonts w:eastAsia="黑体" w:cs="Times New Roman" w:hint="eastAsia"/>
          <w:szCs w:val="21"/>
        </w:rPr>
        <w:lastRenderedPageBreak/>
        <w:t>其他</w:t>
      </w:r>
      <w:r>
        <w:rPr>
          <w:rFonts w:eastAsia="黑体" w:cs="Times New Roman"/>
          <w:szCs w:val="21"/>
        </w:rPr>
        <w:t>污染物现状监测结果</w:t>
      </w:r>
    </w:p>
    <w:tbl>
      <w:tblPr>
        <w:tblStyle w:val="affffc"/>
        <w:tblW w:w="5000" w:type="pct"/>
        <w:tblLayout w:type="fixed"/>
        <w:tblLook w:val="04A0" w:firstRow="1" w:lastRow="0" w:firstColumn="1" w:lastColumn="0" w:noHBand="0" w:noVBand="1"/>
      </w:tblPr>
      <w:tblGrid>
        <w:gridCol w:w="688"/>
        <w:gridCol w:w="959"/>
        <w:gridCol w:w="1053"/>
        <w:gridCol w:w="1053"/>
        <w:gridCol w:w="1053"/>
        <w:gridCol w:w="1053"/>
        <w:gridCol w:w="1053"/>
        <w:gridCol w:w="1053"/>
        <w:gridCol w:w="1051"/>
      </w:tblGrid>
      <w:tr w:rsidR="007D1E74" w14:paraId="5318ADE1" w14:textId="77777777">
        <w:trPr>
          <w:tblHeader/>
        </w:trPr>
        <w:tc>
          <w:tcPr>
            <w:tcW w:w="381" w:type="pct"/>
            <w:vMerge w:val="restart"/>
            <w:vAlign w:val="center"/>
          </w:tcPr>
          <w:p w14:paraId="1240A1A3" w14:textId="77777777" w:rsidR="007D1E74" w:rsidRDefault="00A95641">
            <w:pPr>
              <w:jc w:val="center"/>
              <w:rPr>
                <w:rFonts w:cstheme="minorHAnsi"/>
                <w:szCs w:val="21"/>
              </w:rPr>
            </w:pPr>
            <w:r>
              <w:rPr>
                <w:rFonts w:cstheme="minorHAnsi" w:hint="eastAsia"/>
                <w:szCs w:val="21"/>
              </w:rPr>
              <w:t>监测</w:t>
            </w:r>
          </w:p>
          <w:p w14:paraId="5485B152" w14:textId="77777777" w:rsidR="007D1E74" w:rsidRDefault="00A95641">
            <w:pPr>
              <w:jc w:val="center"/>
              <w:rPr>
                <w:rFonts w:cstheme="minorHAnsi"/>
                <w:szCs w:val="21"/>
              </w:rPr>
            </w:pPr>
            <w:r>
              <w:rPr>
                <w:rFonts w:cstheme="minorHAnsi"/>
                <w:szCs w:val="21"/>
              </w:rPr>
              <w:t>点位</w:t>
            </w:r>
          </w:p>
        </w:tc>
        <w:tc>
          <w:tcPr>
            <w:tcW w:w="532" w:type="pct"/>
            <w:vMerge w:val="restart"/>
            <w:vAlign w:val="center"/>
          </w:tcPr>
          <w:p w14:paraId="27F07F17" w14:textId="77777777" w:rsidR="007D1E74" w:rsidRDefault="00A95641">
            <w:pPr>
              <w:jc w:val="center"/>
              <w:rPr>
                <w:rFonts w:cstheme="minorHAnsi"/>
                <w:szCs w:val="21"/>
              </w:rPr>
            </w:pPr>
            <w:r>
              <w:rPr>
                <w:rFonts w:cstheme="minorHAnsi" w:hint="eastAsia"/>
                <w:szCs w:val="21"/>
              </w:rPr>
              <w:t>监测</w:t>
            </w:r>
          </w:p>
          <w:p w14:paraId="50486933" w14:textId="77777777" w:rsidR="007D1E74" w:rsidRDefault="00A95641">
            <w:pPr>
              <w:jc w:val="center"/>
              <w:rPr>
                <w:rFonts w:cstheme="minorHAnsi"/>
                <w:szCs w:val="21"/>
              </w:rPr>
            </w:pPr>
            <w:r>
              <w:rPr>
                <w:rFonts w:cstheme="minorHAnsi" w:hint="eastAsia"/>
                <w:szCs w:val="21"/>
              </w:rPr>
              <w:t>因子</w:t>
            </w:r>
          </w:p>
        </w:tc>
        <w:tc>
          <w:tcPr>
            <w:tcW w:w="4088" w:type="pct"/>
            <w:gridSpan w:val="7"/>
            <w:vAlign w:val="center"/>
          </w:tcPr>
          <w:p w14:paraId="04F8AD30" w14:textId="77777777" w:rsidR="007D1E74" w:rsidRDefault="00A95641">
            <w:pPr>
              <w:jc w:val="center"/>
              <w:rPr>
                <w:rFonts w:cstheme="minorHAnsi"/>
                <w:szCs w:val="21"/>
              </w:rPr>
            </w:pPr>
            <w:r>
              <w:rPr>
                <w:rFonts w:cstheme="minorHAnsi" w:hint="eastAsia"/>
                <w:szCs w:val="21"/>
              </w:rPr>
              <w:t>监测</w:t>
            </w:r>
            <w:r>
              <w:rPr>
                <w:rFonts w:cstheme="minorHAnsi"/>
                <w:szCs w:val="21"/>
              </w:rPr>
              <w:t>结果</w:t>
            </w:r>
            <w:r>
              <w:rPr>
                <w:rFonts w:cstheme="minorHAnsi" w:hint="eastAsia"/>
                <w:szCs w:val="21"/>
              </w:rPr>
              <w:t>（</w:t>
            </w:r>
            <w:r>
              <w:rPr>
                <w:rFonts w:cstheme="minorHAnsi" w:hint="eastAsia"/>
                <w:szCs w:val="21"/>
              </w:rPr>
              <w:t>mg/</w:t>
            </w:r>
            <w:r>
              <w:rPr>
                <w:rFonts w:cstheme="minorHAnsi"/>
                <w:szCs w:val="21"/>
              </w:rPr>
              <w:t>m</w:t>
            </w:r>
            <w:r>
              <w:rPr>
                <w:rFonts w:cstheme="minorHAnsi"/>
                <w:szCs w:val="21"/>
                <w:vertAlign w:val="superscript"/>
              </w:rPr>
              <w:t>3</w:t>
            </w:r>
            <w:r>
              <w:rPr>
                <w:rFonts w:cstheme="minorHAnsi"/>
                <w:szCs w:val="21"/>
              </w:rPr>
              <w:t>）</w:t>
            </w:r>
          </w:p>
        </w:tc>
      </w:tr>
      <w:tr w:rsidR="007D1E74" w14:paraId="78365393" w14:textId="77777777">
        <w:trPr>
          <w:tblHeader/>
        </w:trPr>
        <w:tc>
          <w:tcPr>
            <w:tcW w:w="381" w:type="pct"/>
            <w:vMerge/>
            <w:vAlign w:val="center"/>
          </w:tcPr>
          <w:p w14:paraId="74D3675A" w14:textId="77777777" w:rsidR="007D1E74" w:rsidRDefault="007D1E74">
            <w:pPr>
              <w:jc w:val="center"/>
              <w:rPr>
                <w:rFonts w:cstheme="minorHAnsi"/>
                <w:szCs w:val="21"/>
              </w:rPr>
            </w:pPr>
          </w:p>
        </w:tc>
        <w:tc>
          <w:tcPr>
            <w:tcW w:w="532" w:type="pct"/>
            <w:vMerge/>
            <w:vAlign w:val="center"/>
          </w:tcPr>
          <w:p w14:paraId="6D30E6FF" w14:textId="77777777" w:rsidR="007D1E74" w:rsidRDefault="007D1E74">
            <w:pPr>
              <w:jc w:val="center"/>
              <w:rPr>
                <w:rFonts w:cstheme="minorHAnsi"/>
                <w:szCs w:val="21"/>
              </w:rPr>
            </w:pPr>
          </w:p>
        </w:tc>
        <w:tc>
          <w:tcPr>
            <w:tcW w:w="584" w:type="pct"/>
            <w:vAlign w:val="center"/>
          </w:tcPr>
          <w:p w14:paraId="081AB5DB" w14:textId="77777777" w:rsidR="007D1E74" w:rsidRDefault="00A95641">
            <w:pPr>
              <w:jc w:val="center"/>
              <w:rPr>
                <w:rFonts w:cstheme="minorHAnsi"/>
                <w:szCs w:val="21"/>
              </w:rPr>
            </w:pPr>
            <w:r>
              <w:rPr>
                <w:rFonts w:cstheme="minorHAnsi"/>
                <w:szCs w:val="21"/>
              </w:rPr>
              <w:t>11.8</w:t>
            </w:r>
          </w:p>
        </w:tc>
        <w:tc>
          <w:tcPr>
            <w:tcW w:w="584" w:type="pct"/>
            <w:vAlign w:val="center"/>
          </w:tcPr>
          <w:p w14:paraId="03BF57B9" w14:textId="77777777" w:rsidR="007D1E74" w:rsidRDefault="00A95641">
            <w:pPr>
              <w:jc w:val="center"/>
              <w:rPr>
                <w:rFonts w:cstheme="minorHAnsi"/>
                <w:szCs w:val="21"/>
              </w:rPr>
            </w:pPr>
            <w:r>
              <w:rPr>
                <w:rFonts w:cstheme="minorHAnsi" w:hint="eastAsia"/>
                <w:szCs w:val="21"/>
              </w:rPr>
              <w:t>1</w:t>
            </w:r>
            <w:r>
              <w:rPr>
                <w:rFonts w:cstheme="minorHAnsi"/>
                <w:szCs w:val="21"/>
              </w:rPr>
              <w:t>1.9</w:t>
            </w:r>
          </w:p>
        </w:tc>
        <w:tc>
          <w:tcPr>
            <w:tcW w:w="584" w:type="pct"/>
            <w:vAlign w:val="center"/>
          </w:tcPr>
          <w:p w14:paraId="5E94FA6B" w14:textId="77777777" w:rsidR="007D1E74" w:rsidRDefault="00A95641">
            <w:pPr>
              <w:jc w:val="center"/>
              <w:rPr>
                <w:rFonts w:cstheme="minorHAnsi"/>
                <w:szCs w:val="21"/>
              </w:rPr>
            </w:pPr>
            <w:r>
              <w:rPr>
                <w:rFonts w:cstheme="minorHAnsi" w:hint="eastAsia"/>
                <w:szCs w:val="21"/>
              </w:rPr>
              <w:t>1</w:t>
            </w:r>
            <w:r>
              <w:rPr>
                <w:rFonts w:cstheme="minorHAnsi"/>
                <w:szCs w:val="21"/>
              </w:rPr>
              <w:t>1.10</w:t>
            </w:r>
          </w:p>
        </w:tc>
        <w:tc>
          <w:tcPr>
            <w:tcW w:w="584" w:type="pct"/>
            <w:vAlign w:val="center"/>
          </w:tcPr>
          <w:p w14:paraId="1457CD24" w14:textId="77777777" w:rsidR="007D1E74" w:rsidRDefault="00A95641">
            <w:pPr>
              <w:jc w:val="center"/>
              <w:rPr>
                <w:rFonts w:cstheme="minorHAnsi"/>
                <w:szCs w:val="21"/>
              </w:rPr>
            </w:pPr>
            <w:r>
              <w:rPr>
                <w:rFonts w:cstheme="minorHAnsi" w:hint="eastAsia"/>
                <w:szCs w:val="21"/>
              </w:rPr>
              <w:t>1</w:t>
            </w:r>
            <w:r>
              <w:rPr>
                <w:rFonts w:cstheme="minorHAnsi"/>
                <w:szCs w:val="21"/>
              </w:rPr>
              <w:t>1.11</w:t>
            </w:r>
          </w:p>
        </w:tc>
        <w:tc>
          <w:tcPr>
            <w:tcW w:w="584" w:type="pct"/>
            <w:vAlign w:val="center"/>
          </w:tcPr>
          <w:p w14:paraId="076591A2" w14:textId="77777777" w:rsidR="007D1E74" w:rsidRDefault="00A95641">
            <w:pPr>
              <w:jc w:val="center"/>
              <w:rPr>
                <w:rFonts w:cstheme="minorHAnsi"/>
                <w:szCs w:val="21"/>
              </w:rPr>
            </w:pPr>
            <w:r>
              <w:rPr>
                <w:rFonts w:cstheme="minorHAnsi" w:hint="eastAsia"/>
                <w:szCs w:val="21"/>
              </w:rPr>
              <w:t>1</w:t>
            </w:r>
            <w:r>
              <w:rPr>
                <w:rFonts w:cstheme="minorHAnsi"/>
                <w:szCs w:val="21"/>
              </w:rPr>
              <w:t>1.12</w:t>
            </w:r>
          </w:p>
        </w:tc>
        <w:tc>
          <w:tcPr>
            <w:tcW w:w="584" w:type="pct"/>
            <w:vAlign w:val="center"/>
          </w:tcPr>
          <w:p w14:paraId="5E90A620" w14:textId="77777777" w:rsidR="007D1E74" w:rsidRDefault="00A95641">
            <w:pPr>
              <w:jc w:val="center"/>
              <w:rPr>
                <w:rFonts w:cstheme="minorHAnsi"/>
                <w:szCs w:val="21"/>
              </w:rPr>
            </w:pPr>
            <w:r>
              <w:rPr>
                <w:rFonts w:cstheme="minorHAnsi" w:hint="eastAsia"/>
                <w:szCs w:val="21"/>
              </w:rPr>
              <w:t>1</w:t>
            </w:r>
            <w:r>
              <w:rPr>
                <w:rFonts w:cstheme="minorHAnsi"/>
                <w:szCs w:val="21"/>
              </w:rPr>
              <w:t>1.13</w:t>
            </w:r>
          </w:p>
        </w:tc>
        <w:tc>
          <w:tcPr>
            <w:tcW w:w="584" w:type="pct"/>
            <w:vAlign w:val="center"/>
          </w:tcPr>
          <w:p w14:paraId="6E421541" w14:textId="77777777" w:rsidR="007D1E74" w:rsidRDefault="00A95641">
            <w:pPr>
              <w:jc w:val="center"/>
              <w:rPr>
                <w:rFonts w:cstheme="minorHAnsi"/>
                <w:szCs w:val="21"/>
              </w:rPr>
            </w:pPr>
            <w:r>
              <w:rPr>
                <w:rFonts w:cstheme="minorHAnsi" w:hint="eastAsia"/>
                <w:szCs w:val="21"/>
              </w:rPr>
              <w:t>1</w:t>
            </w:r>
            <w:r>
              <w:rPr>
                <w:rFonts w:cstheme="minorHAnsi"/>
                <w:szCs w:val="21"/>
              </w:rPr>
              <w:t>1.14</w:t>
            </w:r>
          </w:p>
        </w:tc>
      </w:tr>
      <w:tr w:rsidR="007D1E74" w14:paraId="3E2B1CE9" w14:textId="77777777">
        <w:tc>
          <w:tcPr>
            <w:tcW w:w="381" w:type="pct"/>
            <w:vMerge w:val="restart"/>
            <w:vAlign w:val="center"/>
          </w:tcPr>
          <w:p w14:paraId="57311D12" w14:textId="77777777" w:rsidR="007D1E74" w:rsidRDefault="00A95641">
            <w:pPr>
              <w:jc w:val="center"/>
              <w:rPr>
                <w:rFonts w:cstheme="minorHAnsi"/>
                <w:szCs w:val="21"/>
              </w:rPr>
            </w:pPr>
            <w:r>
              <w:rPr>
                <w:rFonts w:cstheme="minorHAnsi"/>
                <w:szCs w:val="21"/>
              </w:rPr>
              <w:t>1</w:t>
            </w:r>
            <w:r>
              <w:rPr>
                <w:rFonts w:cstheme="minorHAnsi" w:hint="eastAsia"/>
                <w:szCs w:val="21"/>
              </w:rPr>
              <w:t>#</w:t>
            </w:r>
          </w:p>
        </w:tc>
        <w:tc>
          <w:tcPr>
            <w:tcW w:w="532" w:type="pct"/>
            <w:vAlign w:val="center"/>
          </w:tcPr>
          <w:p w14:paraId="12352052" w14:textId="77777777" w:rsidR="007D1E74" w:rsidRDefault="00A95641">
            <w:pPr>
              <w:jc w:val="center"/>
              <w:rPr>
                <w:rFonts w:cstheme="minorHAnsi"/>
                <w:szCs w:val="21"/>
              </w:rPr>
            </w:pPr>
            <w:r>
              <w:rPr>
                <w:rFonts w:cstheme="minorHAnsi"/>
                <w:szCs w:val="21"/>
              </w:rPr>
              <w:t>NO</w:t>
            </w:r>
            <w:r>
              <w:rPr>
                <w:rFonts w:cstheme="minorHAnsi"/>
                <w:szCs w:val="21"/>
                <w:vertAlign w:val="subscript"/>
              </w:rPr>
              <w:t>x</w:t>
            </w:r>
          </w:p>
        </w:tc>
        <w:tc>
          <w:tcPr>
            <w:tcW w:w="584" w:type="pct"/>
            <w:vAlign w:val="center"/>
          </w:tcPr>
          <w:p w14:paraId="1B25A908" w14:textId="77777777" w:rsidR="007D1E74" w:rsidRDefault="00A95641">
            <w:pPr>
              <w:jc w:val="center"/>
              <w:rPr>
                <w:rFonts w:cs="Times New Roman"/>
                <w:szCs w:val="21"/>
              </w:rPr>
            </w:pPr>
            <w:r>
              <w:rPr>
                <w:rFonts w:cs="Times New Roman" w:hint="eastAsia"/>
                <w:szCs w:val="21"/>
              </w:rPr>
              <w:t>0</w:t>
            </w:r>
            <w:r>
              <w:rPr>
                <w:rFonts w:cs="Times New Roman"/>
                <w:szCs w:val="21"/>
              </w:rPr>
              <w:t>.026~0.034</w:t>
            </w:r>
          </w:p>
        </w:tc>
        <w:tc>
          <w:tcPr>
            <w:tcW w:w="584" w:type="pct"/>
            <w:vAlign w:val="center"/>
          </w:tcPr>
          <w:p w14:paraId="0ED25713" w14:textId="77777777" w:rsidR="007D1E74" w:rsidRDefault="00A95641">
            <w:pPr>
              <w:jc w:val="center"/>
              <w:rPr>
                <w:rFonts w:cs="Times New Roman"/>
                <w:szCs w:val="21"/>
              </w:rPr>
            </w:pPr>
            <w:r>
              <w:rPr>
                <w:rFonts w:cs="Times New Roman" w:hint="eastAsia"/>
                <w:szCs w:val="21"/>
              </w:rPr>
              <w:t>0</w:t>
            </w:r>
            <w:r>
              <w:rPr>
                <w:rFonts w:cs="Times New Roman"/>
                <w:szCs w:val="21"/>
              </w:rPr>
              <w:t>.010~0.013</w:t>
            </w:r>
          </w:p>
        </w:tc>
        <w:tc>
          <w:tcPr>
            <w:tcW w:w="584" w:type="pct"/>
            <w:vAlign w:val="center"/>
          </w:tcPr>
          <w:p w14:paraId="36632C19" w14:textId="77777777" w:rsidR="007D1E74" w:rsidRDefault="00A95641">
            <w:pPr>
              <w:jc w:val="center"/>
              <w:rPr>
                <w:rFonts w:cstheme="minorHAnsi"/>
                <w:szCs w:val="21"/>
              </w:rPr>
            </w:pPr>
            <w:r>
              <w:rPr>
                <w:rFonts w:cstheme="minorHAnsi" w:hint="eastAsia"/>
                <w:szCs w:val="21"/>
              </w:rPr>
              <w:t>0</w:t>
            </w:r>
            <w:r>
              <w:rPr>
                <w:rFonts w:cstheme="minorHAnsi"/>
                <w:szCs w:val="21"/>
              </w:rPr>
              <w:t>.010~0.016</w:t>
            </w:r>
          </w:p>
        </w:tc>
        <w:tc>
          <w:tcPr>
            <w:tcW w:w="584" w:type="pct"/>
            <w:vAlign w:val="center"/>
          </w:tcPr>
          <w:p w14:paraId="159F9DC4" w14:textId="77777777" w:rsidR="007D1E74" w:rsidRDefault="00A95641">
            <w:pPr>
              <w:jc w:val="center"/>
              <w:rPr>
                <w:rFonts w:cstheme="minorHAnsi"/>
                <w:szCs w:val="21"/>
              </w:rPr>
            </w:pPr>
            <w:r>
              <w:rPr>
                <w:rFonts w:cstheme="minorHAnsi" w:hint="eastAsia"/>
                <w:szCs w:val="21"/>
              </w:rPr>
              <w:t>0</w:t>
            </w:r>
            <w:r>
              <w:rPr>
                <w:rFonts w:cstheme="minorHAnsi"/>
                <w:szCs w:val="21"/>
              </w:rPr>
              <w:t>.012~0.014</w:t>
            </w:r>
          </w:p>
        </w:tc>
        <w:tc>
          <w:tcPr>
            <w:tcW w:w="584" w:type="pct"/>
            <w:vAlign w:val="center"/>
          </w:tcPr>
          <w:p w14:paraId="27742426" w14:textId="77777777" w:rsidR="007D1E74" w:rsidRDefault="00A95641">
            <w:pPr>
              <w:jc w:val="center"/>
              <w:rPr>
                <w:rFonts w:cs="Times New Roman"/>
                <w:szCs w:val="21"/>
              </w:rPr>
            </w:pPr>
            <w:r>
              <w:rPr>
                <w:rFonts w:cs="Times New Roman" w:hint="eastAsia"/>
                <w:szCs w:val="21"/>
              </w:rPr>
              <w:t>0</w:t>
            </w:r>
            <w:r>
              <w:rPr>
                <w:rFonts w:cs="Times New Roman"/>
                <w:szCs w:val="21"/>
              </w:rPr>
              <w:t>.008~0.012</w:t>
            </w:r>
          </w:p>
        </w:tc>
        <w:tc>
          <w:tcPr>
            <w:tcW w:w="584" w:type="pct"/>
            <w:vAlign w:val="center"/>
          </w:tcPr>
          <w:p w14:paraId="2D9B8545" w14:textId="77777777" w:rsidR="007D1E74" w:rsidRDefault="00A95641">
            <w:pPr>
              <w:jc w:val="center"/>
              <w:rPr>
                <w:rFonts w:cs="Times New Roman"/>
                <w:szCs w:val="21"/>
              </w:rPr>
            </w:pPr>
            <w:r>
              <w:rPr>
                <w:rFonts w:cs="Times New Roman" w:hint="eastAsia"/>
                <w:szCs w:val="21"/>
              </w:rPr>
              <w:t>0</w:t>
            </w:r>
            <w:r>
              <w:rPr>
                <w:rFonts w:cs="Times New Roman"/>
                <w:szCs w:val="21"/>
              </w:rPr>
              <w:t>.008~0.010</w:t>
            </w:r>
          </w:p>
        </w:tc>
        <w:tc>
          <w:tcPr>
            <w:tcW w:w="584" w:type="pct"/>
            <w:vAlign w:val="center"/>
          </w:tcPr>
          <w:p w14:paraId="42547C23" w14:textId="77777777" w:rsidR="007D1E74" w:rsidRDefault="00A95641">
            <w:pPr>
              <w:jc w:val="center"/>
              <w:rPr>
                <w:rFonts w:cs="Times New Roman"/>
                <w:szCs w:val="21"/>
              </w:rPr>
            </w:pPr>
            <w:r>
              <w:rPr>
                <w:rFonts w:cs="Times New Roman" w:hint="eastAsia"/>
                <w:szCs w:val="21"/>
              </w:rPr>
              <w:t>0</w:t>
            </w:r>
            <w:r>
              <w:rPr>
                <w:rFonts w:cs="Times New Roman"/>
                <w:szCs w:val="21"/>
              </w:rPr>
              <w:t>.009~0.013</w:t>
            </w:r>
          </w:p>
        </w:tc>
      </w:tr>
      <w:tr w:rsidR="007D1E74" w14:paraId="67E29C73" w14:textId="77777777">
        <w:tc>
          <w:tcPr>
            <w:tcW w:w="381" w:type="pct"/>
            <w:vMerge/>
            <w:vAlign w:val="center"/>
          </w:tcPr>
          <w:p w14:paraId="1700FA74" w14:textId="77777777" w:rsidR="007D1E74" w:rsidRDefault="007D1E74">
            <w:pPr>
              <w:jc w:val="center"/>
              <w:rPr>
                <w:rFonts w:cstheme="minorHAnsi"/>
                <w:szCs w:val="21"/>
              </w:rPr>
            </w:pPr>
          </w:p>
        </w:tc>
        <w:tc>
          <w:tcPr>
            <w:tcW w:w="532" w:type="pct"/>
            <w:vAlign w:val="center"/>
          </w:tcPr>
          <w:p w14:paraId="1B94E585" w14:textId="77777777" w:rsidR="007D1E74" w:rsidRDefault="00A95641">
            <w:pPr>
              <w:jc w:val="center"/>
              <w:rPr>
                <w:rFonts w:cstheme="minorHAnsi"/>
                <w:szCs w:val="21"/>
              </w:rPr>
            </w:pPr>
            <w:r>
              <w:rPr>
                <w:rFonts w:cstheme="minorHAnsi"/>
                <w:szCs w:val="21"/>
              </w:rPr>
              <w:t>NMHC</w:t>
            </w:r>
          </w:p>
        </w:tc>
        <w:tc>
          <w:tcPr>
            <w:tcW w:w="584" w:type="pct"/>
            <w:vAlign w:val="center"/>
          </w:tcPr>
          <w:p w14:paraId="3A35EDB1" w14:textId="77777777" w:rsidR="007D1E74" w:rsidRDefault="00A95641">
            <w:pPr>
              <w:jc w:val="center"/>
              <w:rPr>
                <w:rFonts w:cs="Times New Roman"/>
                <w:szCs w:val="21"/>
              </w:rPr>
            </w:pPr>
            <w:r>
              <w:rPr>
                <w:rFonts w:cs="Times New Roman" w:hint="eastAsia"/>
                <w:szCs w:val="21"/>
              </w:rPr>
              <w:t>0</w:t>
            </w:r>
            <w:r>
              <w:rPr>
                <w:rFonts w:cs="Times New Roman"/>
                <w:szCs w:val="21"/>
              </w:rPr>
              <w:t>.33~0.35</w:t>
            </w:r>
          </w:p>
        </w:tc>
        <w:tc>
          <w:tcPr>
            <w:tcW w:w="584" w:type="pct"/>
            <w:vAlign w:val="center"/>
          </w:tcPr>
          <w:p w14:paraId="41EC78FD" w14:textId="77777777" w:rsidR="007D1E74" w:rsidRDefault="00A95641">
            <w:pPr>
              <w:jc w:val="center"/>
              <w:rPr>
                <w:rFonts w:cs="Times New Roman"/>
                <w:szCs w:val="21"/>
              </w:rPr>
            </w:pPr>
            <w:r>
              <w:rPr>
                <w:rFonts w:cs="Times New Roman" w:hint="eastAsia"/>
                <w:szCs w:val="21"/>
              </w:rPr>
              <w:t>0</w:t>
            </w:r>
            <w:r>
              <w:rPr>
                <w:rFonts w:cs="Times New Roman"/>
                <w:szCs w:val="21"/>
              </w:rPr>
              <w:t>.30~0.34</w:t>
            </w:r>
          </w:p>
        </w:tc>
        <w:tc>
          <w:tcPr>
            <w:tcW w:w="584" w:type="pct"/>
            <w:vAlign w:val="center"/>
          </w:tcPr>
          <w:p w14:paraId="27EA6C03" w14:textId="77777777" w:rsidR="007D1E74" w:rsidRDefault="00A95641">
            <w:pPr>
              <w:jc w:val="center"/>
              <w:rPr>
                <w:rFonts w:cstheme="minorHAnsi"/>
                <w:szCs w:val="21"/>
              </w:rPr>
            </w:pPr>
            <w:r>
              <w:rPr>
                <w:rFonts w:cstheme="minorHAnsi" w:hint="eastAsia"/>
                <w:szCs w:val="21"/>
              </w:rPr>
              <w:t>0</w:t>
            </w:r>
            <w:r>
              <w:rPr>
                <w:rFonts w:cstheme="minorHAnsi"/>
                <w:szCs w:val="21"/>
              </w:rPr>
              <w:t>.45~0.48</w:t>
            </w:r>
          </w:p>
        </w:tc>
        <w:tc>
          <w:tcPr>
            <w:tcW w:w="584" w:type="pct"/>
            <w:vAlign w:val="center"/>
          </w:tcPr>
          <w:p w14:paraId="673E6A5B" w14:textId="77777777" w:rsidR="007D1E74" w:rsidRDefault="00A95641">
            <w:pPr>
              <w:jc w:val="center"/>
              <w:rPr>
                <w:rFonts w:cstheme="minorHAnsi"/>
                <w:szCs w:val="21"/>
              </w:rPr>
            </w:pPr>
            <w:r>
              <w:rPr>
                <w:rFonts w:cstheme="minorHAnsi" w:hint="eastAsia"/>
                <w:szCs w:val="21"/>
              </w:rPr>
              <w:t>0</w:t>
            </w:r>
            <w:r>
              <w:rPr>
                <w:rFonts w:cstheme="minorHAnsi"/>
                <w:szCs w:val="21"/>
              </w:rPr>
              <w:t>.42~0.44</w:t>
            </w:r>
          </w:p>
        </w:tc>
        <w:tc>
          <w:tcPr>
            <w:tcW w:w="584" w:type="pct"/>
            <w:vAlign w:val="center"/>
          </w:tcPr>
          <w:p w14:paraId="608318E5" w14:textId="77777777" w:rsidR="007D1E74" w:rsidRDefault="00A95641">
            <w:pPr>
              <w:jc w:val="center"/>
              <w:rPr>
                <w:rFonts w:cs="Times New Roman"/>
                <w:szCs w:val="21"/>
              </w:rPr>
            </w:pPr>
            <w:r>
              <w:rPr>
                <w:rFonts w:cs="Times New Roman" w:hint="eastAsia"/>
                <w:szCs w:val="21"/>
              </w:rPr>
              <w:t>0</w:t>
            </w:r>
            <w:r>
              <w:rPr>
                <w:rFonts w:cs="Times New Roman"/>
                <w:szCs w:val="21"/>
              </w:rPr>
              <w:t>.42~0.46</w:t>
            </w:r>
          </w:p>
        </w:tc>
        <w:tc>
          <w:tcPr>
            <w:tcW w:w="584" w:type="pct"/>
            <w:vAlign w:val="center"/>
          </w:tcPr>
          <w:p w14:paraId="205F025A" w14:textId="77777777" w:rsidR="007D1E74" w:rsidRDefault="00A95641">
            <w:pPr>
              <w:jc w:val="center"/>
              <w:rPr>
                <w:rFonts w:cs="Times New Roman"/>
                <w:szCs w:val="21"/>
              </w:rPr>
            </w:pPr>
            <w:r>
              <w:rPr>
                <w:rFonts w:cs="Times New Roman" w:hint="eastAsia"/>
                <w:szCs w:val="21"/>
              </w:rPr>
              <w:t>0</w:t>
            </w:r>
            <w:r>
              <w:rPr>
                <w:rFonts w:cs="Times New Roman"/>
                <w:szCs w:val="21"/>
              </w:rPr>
              <w:t>.44~0.46</w:t>
            </w:r>
          </w:p>
        </w:tc>
        <w:tc>
          <w:tcPr>
            <w:tcW w:w="584" w:type="pct"/>
            <w:vAlign w:val="center"/>
          </w:tcPr>
          <w:p w14:paraId="77EA0584" w14:textId="77777777" w:rsidR="007D1E74" w:rsidRDefault="00A95641">
            <w:pPr>
              <w:jc w:val="center"/>
              <w:rPr>
                <w:rFonts w:cs="Times New Roman"/>
                <w:szCs w:val="21"/>
              </w:rPr>
            </w:pPr>
            <w:r>
              <w:rPr>
                <w:rFonts w:cs="Times New Roman" w:hint="eastAsia"/>
                <w:szCs w:val="21"/>
              </w:rPr>
              <w:t>0</w:t>
            </w:r>
            <w:r>
              <w:rPr>
                <w:rFonts w:cs="Times New Roman"/>
                <w:szCs w:val="21"/>
              </w:rPr>
              <w:t>.43~0.52</w:t>
            </w:r>
          </w:p>
        </w:tc>
      </w:tr>
    </w:tbl>
    <w:p w14:paraId="7B98DF96" w14:textId="77777777" w:rsidR="007D1E74" w:rsidRDefault="00A95641">
      <w:pPr>
        <w:pStyle w:val="aa"/>
      </w:pPr>
      <w:r>
        <w:rPr>
          <w:rFonts w:hint="eastAsia"/>
        </w:rPr>
        <w:t>其他污染物现状评价</w:t>
      </w:r>
    </w:p>
    <w:p w14:paraId="32C66857" w14:textId="77777777" w:rsidR="007D1E74" w:rsidRDefault="00A95641">
      <w:pPr>
        <w:pStyle w:val="afffff7"/>
        <w:ind w:firstLine="482"/>
      </w:pPr>
      <w:r>
        <w:t>1</w:t>
      </w:r>
      <w:r>
        <w:rPr>
          <w:rFonts w:hint="eastAsia"/>
        </w:rPr>
        <w:t>、评价因子</w:t>
      </w:r>
    </w:p>
    <w:p w14:paraId="009DAC59" w14:textId="77777777" w:rsidR="007D1E74" w:rsidRDefault="00A95641">
      <w:pPr>
        <w:spacing w:line="360" w:lineRule="auto"/>
        <w:ind w:firstLineChars="200" w:firstLine="480"/>
        <w:rPr>
          <w:rFonts w:cs="Times New Roman"/>
          <w:sz w:val="24"/>
          <w:szCs w:val="24"/>
        </w:rPr>
      </w:pPr>
      <w:r>
        <w:rPr>
          <w:rFonts w:cs="Times New Roman" w:hint="eastAsia"/>
          <w:sz w:val="24"/>
          <w:szCs w:val="24"/>
        </w:rPr>
        <w:t>NO</w:t>
      </w:r>
      <w:r>
        <w:rPr>
          <w:rFonts w:cs="Times New Roman" w:hint="eastAsia"/>
          <w:sz w:val="24"/>
          <w:szCs w:val="24"/>
          <w:vertAlign w:val="subscript"/>
        </w:rPr>
        <w:t>x</w:t>
      </w:r>
      <w:r>
        <w:rPr>
          <w:rFonts w:cs="Times New Roman" w:hint="eastAsia"/>
          <w:sz w:val="24"/>
          <w:szCs w:val="24"/>
        </w:rPr>
        <w:t>、</w:t>
      </w:r>
      <w:r>
        <w:rPr>
          <w:rFonts w:cs="Times New Roman" w:hint="eastAsia"/>
          <w:sz w:val="24"/>
          <w:szCs w:val="24"/>
        </w:rPr>
        <w:t>NMHC</w:t>
      </w:r>
      <w:r>
        <w:rPr>
          <w:rFonts w:cs="Times New Roman" w:hint="eastAsia"/>
          <w:sz w:val="24"/>
          <w:szCs w:val="24"/>
        </w:rPr>
        <w:t>。</w:t>
      </w:r>
    </w:p>
    <w:p w14:paraId="3BE98489" w14:textId="77777777" w:rsidR="007D1E74" w:rsidRDefault="00A95641">
      <w:pPr>
        <w:pStyle w:val="afffff7"/>
        <w:ind w:firstLine="482"/>
      </w:pPr>
      <w:r>
        <w:t>2</w:t>
      </w:r>
      <w:r>
        <w:rPr>
          <w:rFonts w:hint="eastAsia"/>
        </w:rPr>
        <w:t>、评价标准</w:t>
      </w:r>
    </w:p>
    <w:p w14:paraId="088E4A13" w14:textId="77777777" w:rsidR="007D1E74" w:rsidRDefault="00A95641">
      <w:pPr>
        <w:spacing w:line="360" w:lineRule="auto"/>
        <w:ind w:firstLineChars="200" w:firstLine="480"/>
        <w:rPr>
          <w:rFonts w:cs="Times New Roman"/>
          <w:sz w:val="24"/>
          <w:szCs w:val="24"/>
        </w:rPr>
      </w:pPr>
      <w:r>
        <w:rPr>
          <w:rFonts w:cs="Times New Roman" w:hint="eastAsia"/>
          <w:sz w:val="24"/>
          <w:szCs w:val="24"/>
        </w:rPr>
        <w:t>NO</w:t>
      </w:r>
      <w:r>
        <w:rPr>
          <w:rFonts w:cs="Times New Roman" w:hint="eastAsia"/>
          <w:sz w:val="24"/>
          <w:szCs w:val="24"/>
          <w:vertAlign w:val="subscript"/>
        </w:rPr>
        <w:t>x</w:t>
      </w:r>
      <w:r>
        <w:rPr>
          <w:rFonts w:cs="Times New Roman" w:hint="eastAsia"/>
          <w:sz w:val="24"/>
          <w:szCs w:val="24"/>
        </w:rPr>
        <w:t>执行《环境空气质量标准》（</w:t>
      </w:r>
      <w:r>
        <w:rPr>
          <w:rFonts w:cs="Times New Roman" w:hint="eastAsia"/>
          <w:sz w:val="24"/>
          <w:szCs w:val="24"/>
        </w:rPr>
        <w:t>GB3095-2012</w:t>
      </w:r>
      <w:r>
        <w:rPr>
          <w:rFonts w:cs="Times New Roman" w:hint="eastAsia"/>
          <w:sz w:val="24"/>
          <w:szCs w:val="24"/>
        </w:rPr>
        <w:t>）二级标准，</w:t>
      </w:r>
      <w:r>
        <w:rPr>
          <w:rFonts w:cs="Times New Roman" w:hint="eastAsia"/>
          <w:sz w:val="24"/>
          <w:szCs w:val="24"/>
        </w:rPr>
        <w:t>NMHC</w:t>
      </w:r>
      <w:r>
        <w:rPr>
          <w:rFonts w:hint="eastAsia"/>
          <w:sz w:val="24"/>
          <w:szCs w:val="24"/>
        </w:rPr>
        <w:t>参照《大气污染物综合排放标准详解》中取值</w:t>
      </w:r>
      <w:r>
        <w:rPr>
          <w:rFonts w:cs="Times New Roman" w:hint="eastAsia"/>
          <w:sz w:val="24"/>
          <w:szCs w:val="24"/>
        </w:rPr>
        <w:t>。</w:t>
      </w:r>
    </w:p>
    <w:p w14:paraId="55BC72B9" w14:textId="77777777" w:rsidR="007D1E74" w:rsidRDefault="00A95641">
      <w:pPr>
        <w:pStyle w:val="afffff7"/>
        <w:ind w:firstLine="482"/>
      </w:pPr>
      <w:r>
        <w:t>3</w:t>
      </w:r>
      <w:r>
        <w:rPr>
          <w:rFonts w:hint="eastAsia"/>
        </w:rPr>
        <w:t>、评价方法</w:t>
      </w:r>
    </w:p>
    <w:p w14:paraId="398A0969" w14:textId="77777777" w:rsidR="007D1E74" w:rsidRDefault="00A95641">
      <w:pPr>
        <w:spacing w:line="360" w:lineRule="auto"/>
        <w:ind w:firstLineChars="200" w:firstLine="480"/>
        <w:rPr>
          <w:sz w:val="24"/>
        </w:rPr>
      </w:pPr>
      <w:r>
        <w:rPr>
          <w:rFonts w:hint="eastAsia"/>
          <w:sz w:val="24"/>
          <w:szCs w:val="24"/>
        </w:rPr>
        <w:t>采用</w:t>
      </w:r>
      <w:r>
        <w:rPr>
          <w:sz w:val="24"/>
        </w:rPr>
        <w:t>单项质量指数法</w:t>
      </w:r>
      <w:r>
        <w:rPr>
          <w:rFonts w:hint="eastAsia"/>
          <w:sz w:val="24"/>
        </w:rPr>
        <w:t>，</w:t>
      </w:r>
      <w:r>
        <w:rPr>
          <w:sz w:val="24"/>
        </w:rPr>
        <w:t>公式为：</w:t>
      </w:r>
    </w:p>
    <w:p w14:paraId="7F97D1B0" w14:textId="77777777" w:rsidR="007D1E74" w:rsidRDefault="00A95641">
      <w:pPr>
        <w:spacing w:line="360" w:lineRule="auto"/>
        <w:jc w:val="center"/>
        <w:rPr>
          <w:i/>
          <w:sz w:val="24"/>
        </w:rPr>
      </w:pPr>
      <w:r>
        <w:rPr>
          <w:i/>
          <w:sz w:val="24"/>
          <w:szCs w:val="24"/>
        </w:rPr>
        <w:t>P</w:t>
      </w:r>
      <w:r>
        <w:rPr>
          <w:i/>
          <w:sz w:val="24"/>
          <w:szCs w:val="24"/>
          <w:vertAlign w:val="subscript"/>
        </w:rPr>
        <w:t>i</w:t>
      </w:r>
      <w:r>
        <w:rPr>
          <w:sz w:val="24"/>
          <w:szCs w:val="24"/>
        </w:rPr>
        <w:t xml:space="preserve"> = </w:t>
      </w:r>
      <w:r>
        <w:rPr>
          <w:i/>
          <w:sz w:val="24"/>
          <w:szCs w:val="24"/>
        </w:rPr>
        <w:t>C</w:t>
      </w:r>
      <w:r>
        <w:rPr>
          <w:i/>
          <w:sz w:val="24"/>
          <w:szCs w:val="24"/>
          <w:vertAlign w:val="subscript"/>
        </w:rPr>
        <w:t>i</w:t>
      </w:r>
      <w:r>
        <w:rPr>
          <w:sz w:val="24"/>
          <w:szCs w:val="24"/>
        </w:rPr>
        <w:t xml:space="preserve"> / </w:t>
      </w:r>
      <w:r>
        <w:rPr>
          <w:i/>
          <w:sz w:val="24"/>
          <w:szCs w:val="24"/>
        </w:rPr>
        <w:t>S</w:t>
      </w:r>
      <w:r>
        <w:rPr>
          <w:i/>
          <w:sz w:val="24"/>
          <w:szCs w:val="24"/>
          <w:vertAlign w:val="subscript"/>
        </w:rPr>
        <w:t>i</w:t>
      </w:r>
    </w:p>
    <w:p w14:paraId="7E545740" w14:textId="77777777" w:rsidR="007D1E74" w:rsidRDefault="00A95641">
      <w:pPr>
        <w:pStyle w:val="affe"/>
        <w:spacing w:after="0" w:line="360" w:lineRule="auto"/>
        <w:ind w:firstLineChars="200" w:firstLine="480"/>
        <w:rPr>
          <w:rFonts w:ascii="Times New Roman" w:hAnsi="Times New Roman"/>
          <w:sz w:val="24"/>
        </w:rPr>
      </w:pPr>
      <w:r>
        <w:rPr>
          <w:rFonts w:ascii="Times New Roman" w:hAnsi="Times New Roman"/>
          <w:sz w:val="24"/>
        </w:rPr>
        <w:t>式中，</w:t>
      </w:r>
      <w:r>
        <w:rPr>
          <w:rFonts w:ascii="Times New Roman" w:hAnsi="Times New Roman"/>
          <w:i/>
          <w:sz w:val="24"/>
        </w:rPr>
        <w:t>P</w:t>
      </w:r>
      <w:r>
        <w:rPr>
          <w:rFonts w:ascii="Times New Roman" w:hAnsi="Times New Roman"/>
          <w:i/>
          <w:sz w:val="24"/>
          <w:vertAlign w:val="subscript"/>
        </w:rPr>
        <w:t>i</w:t>
      </w:r>
      <w:r>
        <w:rPr>
          <w:rFonts w:ascii="Times New Roman" w:hAnsi="Times New Roman"/>
          <w:sz w:val="24"/>
        </w:rPr>
        <w:t>——</w:t>
      </w:r>
      <w:r>
        <w:rPr>
          <w:rFonts w:ascii="Times New Roman" w:hAnsi="Times New Roman" w:hint="eastAsia"/>
          <w:sz w:val="24"/>
        </w:rPr>
        <w:t>第</w:t>
      </w:r>
      <w:r>
        <w:rPr>
          <w:rFonts w:ascii="Times New Roman" w:hAnsi="Times New Roman"/>
          <w:i/>
          <w:sz w:val="24"/>
        </w:rPr>
        <w:t>i</w:t>
      </w:r>
      <w:r>
        <w:rPr>
          <w:rFonts w:ascii="Times New Roman" w:hAnsi="Times New Roman" w:hint="eastAsia"/>
          <w:sz w:val="24"/>
        </w:rPr>
        <w:t>个</w:t>
      </w:r>
      <w:r>
        <w:rPr>
          <w:rFonts w:ascii="Times New Roman" w:hAnsi="Times New Roman"/>
          <w:sz w:val="24"/>
        </w:rPr>
        <w:t>污染物</w:t>
      </w:r>
      <w:r>
        <w:rPr>
          <w:rFonts w:ascii="Times New Roman" w:hAnsi="Times New Roman" w:hint="eastAsia"/>
          <w:sz w:val="24"/>
        </w:rPr>
        <w:t>标准</w:t>
      </w:r>
      <w:r>
        <w:rPr>
          <w:rFonts w:ascii="Times New Roman" w:hAnsi="Times New Roman"/>
          <w:sz w:val="24"/>
        </w:rPr>
        <w:t>指数</w:t>
      </w:r>
      <w:r>
        <w:rPr>
          <w:rFonts w:ascii="Times New Roman" w:hAnsi="Times New Roman" w:hint="eastAsia"/>
          <w:sz w:val="24"/>
        </w:rPr>
        <w:t>值；</w:t>
      </w:r>
    </w:p>
    <w:p w14:paraId="04A43E72" w14:textId="77777777" w:rsidR="007D1E74" w:rsidRDefault="00A95641">
      <w:pPr>
        <w:pStyle w:val="affe"/>
        <w:spacing w:after="0" w:line="360" w:lineRule="auto"/>
        <w:ind w:firstLineChars="500" w:firstLine="1200"/>
        <w:rPr>
          <w:rFonts w:ascii="Times New Roman" w:hAnsi="Times New Roman"/>
          <w:sz w:val="24"/>
        </w:rPr>
      </w:pPr>
      <w:r>
        <w:rPr>
          <w:rFonts w:ascii="Times New Roman" w:hAnsi="Times New Roman"/>
          <w:i/>
          <w:sz w:val="24"/>
        </w:rPr>
        <w:t>C</w:t>
      </w:r>
      <w:r>
        <w:rPr>
          <w:rFonts w:ascii="Times New Roman" w:hAnsi="Times New Roman"/>
          <w:i/>
          <w:sz w:val="24"/>
          <w:vertAlign w:val="subscript"/>
        </w:rPr>
        <w:t>i</w:t>
      </w:r>
      <w:r>
        <w:rPr>
          <w:rFonts w:ascii="Times New Roman" w:hAnsi="Times New Roman"/>
          <w:sz w:val="24"/>
        </w:rPr>
        <w:t>——</w:t>
      </w:r>
      <w:r>
        <w:rPr>
          <w:rFonts w:ascii="Times New Roman" w:hAnsi="Times New Roman" w:hint="eastAsia"/>
          <w:sz w:val="24"/>
        </w:rPr>
        <w:t>第</w:t>
      </w:r>
      <w:r>
        <w:rPr>
          <w:rFonts w:ascii="Times New Roman" w:hAnsi="Times New Roman"/>
          <w:i/>
          <w:sz w:val="24"/>
        </w:rPr>
        <w:t>i</w:t>
      </w:r>
      <w:r>
        <w:rPr>
          <w:rFonts w:ascii="Times New Roman" w:hAnsi="Times New Roman" w:hint="eastAsia"/>
          <w:sz w:val="24"/>
        </w:rPr>
        <w:t>个</w:t>
      </w:r>
      <w:r>
        <w:rPr>
          <w:rFonts w:ascii="Times New Roman" w:hAnsi="Times New Roman"/>
          <w:sz w:val="24"/>
        </w:rPr>
        <w:t>污染物实测浓度值</w:t>
      </w:r>
      <w:r>
        <w:rPr>
          <w:rFonts w:ascii="Times New Roman" w:hAnsi="Times New Roman" w:hint="eastAsia"/>
          <w:sz w:val="24"/>
        </w:rPr>
        <w:t>，</w:t>
      </w:r>
      <w:r>
        <w:rPr>
          <w:rFonts w:ascii="Times New Roman" w:hAnsi="Times New Roman"/>
          <w:sz w:val="24"/>
        </w:rPr>
        <w:t>mg/m</w:t>
      </w:r>
      <w:r>
        <w:rPr>
          <w:rFonts w:ascii="Times New Roman" w:hAnsi="Times New Roman"/>
          <w:sz w:val="24"/>
          <w:vertAlign w:val="superscript"/>
        </w:rPr>
        <w:t>3</w:t>
      </w:r>
      <w:r>
        <w:rPr>
          <w:rFonts w:ascii="Times New Roman" w:hAnsi="Times New Roman" w:hint="eastAsia"/>
          <w:sz w:val="24"/>
        </w:rPr>
        <w:t>；</w:t>
      </w:r>
    </w:p>
    <w:p w14:paraId="2BFC4932" w14:textId="77777777" w:rsidR="007D1E74" w:rsidRDefault="00A95641">
      <w:pPr>
        <w:pStyle w:val="affe"/>
        <w:spacing w:after="0" w:line="360" w:lineRule="auto"/>
        <w:ind w:firstLineChars="500" w:firstLine="1200"/>
        <w:rPr>
          <w:rFonts w:ascii="Times New Roman" w:hAnsi="Times New Roman"/>
          <w:sz w:val="24"/>
        </w:rPr>
      </w:pPr>
      <w:r>
        <w:rPr>
          <w:rFonts w:ascii="Times New Roman" w:hAnsi="Times New Roman"/>
          <w:i/>
          <w:sz w:val="24"/>
        </w:rPr>
        <w:t>S</w:t>
      </w:r>
      <w:r>
        <w:rPr>
          <w:rFonts w:ascii="Times New Roman" w:hAnsi="Times New Roman"/>
          <w:i/>
          <w:sz w:val="24"/>
          <w:vertAlign w:val="subscript"/>
        </w:rPr>
        <w:t>i</w:t>
      </w:r>
      <w:r>
        <w:rPr>
          <w:rFonts w:ascii="Times New Roman" w:hAnsi="Times New Roman"/>
          <w:sz w:val="24"/>
        </w:rPr>
        <w:t>——</w:t>
      </w:r>
      <w:r>
        <w:rPr>
          <w:rFonts w:ascii="Times New Roman" w:hAnsi="Times New Roman" w:hint="eastAsia"/>
          <w:sz w:val="24"/>
        </w:rPr>
        <w:t>第</w:t>
      </w:r>
      <w:r>
        <w:rPr>
          <w:rFonts w:ascii="Times New Roman" w:hAnsi="Times New Roman"/>
          <w:i/>
          <w:sz w:val="24"/>
        </w:rPr>
        <w:t>i</w:t>
      </w:r>
      <w:r>
        <w:rPr>
          <w:rFonts w:ascii="Times New Roman" w:hAnsi="Times New Roman" w:hint="eastAsia"/>
          <w:sz w:val="24"/>
        </w:rPr>
        <w:t>个</w:t>
      </w:r>
      <w:r>
        <w:rPr>
          <w:rFonts w:ascii="Times New Roman" w:hAnsi="Times New Roman"/>
          <w:sz w:val="24"/>
        </w:rPr>
        <w:t>污染物评价标准</w:t>
      </w:r>
      <w:r>
        <w:rPr>
          <w:rFonts w:ascii="Times New Roman" w:hAnsi="Times New Roman" w:hint="eastAsia"/>
          <w:sz w:val="24"/>
        </w:rPr>
        <w:t>限值，</w:t>
      </w:r>
      <w:r>
        <w:rPr>
          <w:rFonts w:ascii="Times New Roman" w:hAnsi="Times New Roman"/>
          <w:sz w:val="24"/>
        </w:rPr>
        <w:t>mg/m</w:t>
      </w:r>
      <w:r>
        <w:rPr>
          <w:rFonts w:ascii="Times New Roman" w:hAnsi="Times New Roman"/>
          <w:sz w:val="24"/>
          <w:vertAlign w:val="superscript"/>
        </w:rPr>
        <w:t>3</w:t>
      </w:r>
      <w:r>
        <w:rPr>
          <w:rFonts w:ascii="Times New Roman" w:hAnsi="Times New Roman"/>
          <w:sz w:val="24"/>
        </w:rPr>
        <w:t>。</w:t>
      </w:r>
    </w:p>
    <w:p w14:paraId="0890DC55" w14:textId="77777777" w:rsidR="007D1E74" w:rsidRDefault="00A95641">
      <w:pPr>
        <w:spacing w:line="360" w:lineRule="auto"/>
        <w:ind w:firstLineChars="200" w:firstLine="480"/>
        <w:rPr>
          <w:sz w:val="24"/>
        </w:rPr>
      </w:pPr>
      <w:r>
        <w:rPr>
          <w:sz w:val="24"/>
        </w:rPr>
        <w:t>当</w:t>
      </w:r>
      <w:r>
        <w:rPr>
          <w:i/>
          <w:sz w:val="24"/>
        </w:rPr>
        <w:t>P</w:t>
      </w:r>
      <w:r>
        <w:rPr>
          <w:i/>
          <w:sz w:val="24"/>
          <w:vertAlign w:val="subscript"/>
        </w:rPr>
        <w:t>i</w:t>
      </w:r>
      <w:r>
        <w:rPr>
          <w:sz w:val="24"/>
        </w:rPr>
        <w:t>值大于</w:t>
      </w:r>
      <w:r>
        <w:rPr>
          <w:sz w:val="24"/>
        </w:rPr>
        <w:t>1.0</w:t>
      </w:r>
      <w:r>
        <w:rPr>
          <w:sz w:val="24"/>
        </w:rPr>
        <w:t>时，表明</w:t>
      </w:r>
      <w:r>
        <w:rPr>
          <w:rFonts w:hint="eastAsia"/>
          <w:sz w:val="24"/>
        </w:rPr>
        <w:t>环境空气</w:t>
      </w:r>
      <w:r>
        <w:rPr>
          <w:sz w:val="24"/>
        </w:rPr>
        <w:t>已受到该项评价因子所表征的污染物的污染</w:t>
      </w:r>
      <w:r>
        <w:rPr>
          <w:rFonts w:hint="eastAsia"/>
          <w:sz w:val="24"/>
        </w:rPr>
        <w:t>。</w:t>
      </w:r>
      <w:r>
        <w:rPr>
          <w:i/>
          <w:sz w:val="24"/>
        </w:rPr>
        <w:t>P</w:t>
      </w:r>
      <w:r>
        <w:rPr>
          <w:i/>
          <w:sz w:val="24"/>
          <w:vertAlign w:val="subscript"/>
        </w:rPr>
        <w:t>i</w:t>
      </w:r>
      <w:r>
        <w:rPr>
          <w:sz w:val="24"/>
        </w:rPr>
        <w:t>值越大，受污染程度越重</w:t>
      </w:r>
      <w:r>
        <w:rPr>
          <w:rFonts w:hint="eastAsia"/>
          <w:sz w:val="24"/>
        </w:rPr>
        <w:t>；</w:t>
      </w:r>
      <w:r>
        <w:rPr>
          <w:i/>
          <w:sz w:val="24"/>
        </w:rPr>
        <w:t>P</w:t>
      </w:r>
      <w:r>
        <w:rPr>
          <w:i/>
          <w:sz w:val="24"/>
          <w:vertAlign w:val="subscript"/>
        </w:rPr>
        <w:t>i</w:t>
      </w:r>
      <w:r>
        <w:rPr>
          <w:sz w:val="24"/>
        </w:rPr>
        <w:t>值越</w:t>
      </w:r>
      <w:r>
        <w:rPr>
          <w:rFonts w:hint="eastAsia"/>
          <w:sz w:val="24"/>
        </w:rPr>
        <w:t>小</w:t>
      </w:r>
      <w:r>
        <w:rPr>
          <w:sz w:val="24"/>
        </w:rPr>
        <w:t>，受污染程度越</w:t>
      </w:r>
      <w:r>
        <w:rPr>
          <w:rFonts w:hint="eastAsia"/>
          <w:sz w:val="24"/>
        </w:rPr>
        <w:t>轻</w:t>
      </w:r>
      <w:r>
        <w:rPr>
          <w:sz w:val="24"/>
        </w:rPr>
        <w:t>。</w:t>
      </w:r>
    </w:p>
    <w:p w14:paraId="38616233" w14:textId="77777777" w:rsidR="007D1E74" w:rsidRDefault="00A95641">
      <w:pPr>
        <w:pStyle w:val="afffff7"/>
        <w:ind w:firstLine="482"/>
      </w:pPr>
      <w:r>
        <w:t>4</w:t>
      </w:r>
      <w:r>
        <w:rPr>
          <w:rFonts w:hint="eastAsia"/>
        </w:rPr>
        <w:t>、评价结果</w:t>
      </w:r>
    </w:p>
    <w:p w14:paraId="0B0116A6" w14:textId="77777777" w:rsidR="007D1E74" w:rsidRDefault="00A95641">
      <w:pPr>
        <w:spacing w:line="360" w:lineRule="auto"/>
        <w:ind w:firstLineChars="200" w:firstLine="480"/>
        <w:rPr>
          <w:rFonts w:cs="Times New Roman"/>
          <w:sz w:val="24"/>
          <w:szCs w:val="24"/>
        </w:rPr>
      </w:pPr>
      <w:r>
        <w:rPr>
          <w:rFonts w:cs="Times New Roman" w:hint="eastAsia"/>
          <w:sz w:val="24"/>
          <w:szCs w:val="24"/>
        </w:rPr>
        <w:t>区域环境空气其他污染物现状评价结果见下表。</w:t>
      </w:r>
    </w:p>
    <w:p w14:paraId="43CE82CB" w14:textId="77777777" w:rsidR="007D1E74" w:rsidRDefault="00A95641">
      <w:pPr>
        <w:pStyle w:val="afffffe"/>
        <w:numPr>
          <w:ilvl w:val="0"/>
          <w:numId w:val="42"/>
        </w:numPr>
        <w:spacing w:line="360" w:lineRule="auto"/>
        <w:ind w:firstLineChars="0"/>
        <w:jc w:val="center"/>
        <w:rPr>
          <w:rFonts w:eastAsia="黑体" w:cs="Times New Roman"/>
          <w:szCs w:val="21"/>
        </w:rPr>
      </w:pPr>
      <w:r>
        <w:rPr>
          <w:rFonts w:eastAsia="黑体" w:cs="Times New Roman" w:hint="eastAsia"/>
          <w:szCs w:val="21"/>
        </w:rPr>
        <w:t>其他</w:t>
      </w:r>
      <w:r>
        <w:rPr>
          <w:rFonts w:eastAsia="黑体" w:cs="Times New Roman"/>
          <w:szCs w:val="21"/>
        </w:rPr>
        <w:t>污染物现状</w:t>
      </w:r>
      <w:r>
        <w:rPr>
          <w:rFonts w:eastAsia="黑体" w:cs="Times New Roman" w:hint="eastAsia"/>
          <w:szCs w:val="21"/>
        </w:rPr>
        <w:t>评价</w:t>
      </w:r>
      <w:r>
        <w:rPr>
          <w:rFonts w:eastAsia="黑体" w:cs="Times New Roman"/>
          <w:szCs w:val="21"/>
        </w:rPr>
        <w:t>结果</w:t>
      </w:r>
    </w:p>
    <w:tbl>
      <w:tblPr>
        <w:tblW w:w="49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7"/>
        <w:gridCol w:w="1099"/>
        <w:gridCol w:w="1375"/>
        <w:gridCol w:w="1650"/>
        <w:gridCol w:w="1375"/>
        <w:gridCol w:w="1233"/>
        <w:gridCol w:w="1090"/>
      </w:tblGrid>
      <w:tr w:rsidR="007D1E74" w14:paraId="3F35FBD8" w14:textId="77777777">
        <w:trPr>
          <w:trHeight w:val="70"/>
          <w:tblHeader/>
        </w:trPr>
        <w:tc>
          <w:tcPr>
            <w:tcW w:w="615" w:type="pct"/>
            <w:vAlign w:val="center"/>
          </w:tcPr>
          <w:p w14:paraId="647C9131" w14:textId="77777777" w:rsidR="007D1E74" w:rsidRDefault="00A95641">
            <w:pPr>
              <w:jc w:val="center"/>
              <w:rPr>
                <w:rFonts w:cstheme="minorHAnsi"/>
                <w:szCs w:val="21"/>
              </w:rPr>
            </w:pPr>
            <w:r>
              <w:rPr>
                <w:rFonts w:cstheme="minorHAnsi" w:hint="eastAsia"/>
                <w:szCs w:val="21"/>
              </w:rPr>
              <w:t>污染物</w:t>
            </w:r>
          </w:p>
        </w:tc>
        <w:tc>
          <w:tcPr>
            <w:tcW w:w="616" w:type="pct"/>
            <w:vAlign w:val="center"/>
          </w:tcPr>
          <w:p w14:paraId="19DAF0C6" w14:textId="77777777" w:rsidR="007D1E74" w:rsidRDefault="00A95641">
            <w:pPr>
              <w:jc w:val="center"/>
              <w:rPr>
                <w:rFonts w:cstheme="minorHAnsi"/>
                <w:szCs w:val="21"/>
              </w:rPr>
            </w:pPr>
            <w:r>
              <w:rPr>
                <w:rFonts w:cstheme="minorHAnsi" w:hint="eastAsia"/>
                <w:szCs w:val="21"/>
              </w:rPr>
              <w:t>平均时间</w:t>
            </w:r>
          </w:p>
        </w:tc>
        <w:tc>
          <w:tcPr>
            <w:tcW w:w="771" w:type="pct"/>
            <w:vAlign w:val="center"/>
          </w:tcPr>
          <w:p w14:paraId="7F53ABF3" w14:textId="77777777" w:rsidR="007D1E74" w:rsidRDefault="00A95641">
            <w:pPr>
              <w:jc w:val="center"/>
              <w:rPr>
                <w:rFonts w:cstheme="minorHAnsi"/>
                <w:szCs w:val="21"/>
              </w:rPr>
            </w:pPr>
            <w:r>
              <w:rPr>
                <w:rFonts w:cstheme="minorHAnsi"/>
                <w:szCs w:val="21"/>
              </w:rPr>
              <w:t>标准限值（</w:t>
            </w:r>
            <w:r>
              <w:rPr>
                <w:rFonts w:cstheme="minorHAnsi" w:hint="eastAsia"/>
                <w:szCs w:val="21"/>
              </w:rPr>
              <w:t>m</w:t>
            </w:r>
            <w:r>
              <w:rPr>
                <w:rFonts w:cstheme="minorHAnsi"/>
                <w:szCs w:val="21"/>
              </w:rPr>
              <w:t>g/m</w:t>
            </w:r>
            <w:r>
              <w:rPr>
                <w:rFonts w:cstheme="minorHAnsi"/>
                <w:szCs w:val="21"/>
                <w:vertAlign w:val="superscript"/>
              </w:rPr>
              <w:t>3</w:t>
            </w:r>
            <w:r>
              <w:rPr>
                <w:rFonts w:cstheme="minorHAnsi"/>
                <w:szCs w:val="21"/>
              </w:rPr>
              <w:t>）</w:t>
            </w:r>
          </w:p>
        </w:tc>
        <w:tc>
          <w:tcPr>
            <w:tcW w:w="925" w:type="pct"/>
            <w:vAlign w:val="center"/>
          </w:tcPr>
          <w:p w14:paraId="47F8892E" w14:textId="77777777" w:rsidR="007D1E74" w:rsidRDefault="00A95641">
            <w:pPr>
              <w:jc w:val="center"/>
              <w:rPr>
                <w:rFonts w:cstheme="minorHAnsi"/>
                <w:szCs w:val="21"/>
              </w:rPr>
            </w:pPr>
            <w:r>
              <w:rPr>
                <w:rFonts w:cstheme="minorHAnsi" w:hint="eastAsia"/>
                <w:szCs w:val="21"/>
              </w:rPr>
              <w:t>监测浓度范围</w:t>
            </w:r>
            <w:r>
              <w:rPr>
                <w:rFonts w:cstheme="minorHAnsi"/>
                <w:szCs w:val="21"/>
              </w:rPr>
              <w:t>（</w:t>
            </w:r>
            <w:r>
              <w:rPr>
                <w:rFonts w:cstheme="minorHAnsi"/>
                <w:szCs w:val="21"/>
              </w:rPr>
              <w:t>mg/m</w:t>
            </w:r>
            <w:r>
              <w:rPr>
                <w:rFonts w:cstheme="minorHAnsi"/>
                <w:szCs w:val="21"/>
                <w:vertAlign w:val="superscript"/>
              </w:rPr>
              <w:t>3</w:t>
            </w:r>
            <w:r>
              <w:rPr>
                <w:rFonts w:cstheme="minorHAnsi"/>
                <w:szCs w:val="21"/>
              </w:rPr>
              <w:t>）</w:t>
            </w:r>
          </w:p>
        </w:tc>
        <w:tc>
          <w:tcPr>
            <w:tcW w:w="771" w:type="pct"/>
            <w:vAlign w:val="center"/>
          </w:tcPr>
          <w:p w14:paraId="24B385F3" w14:textId="77777777" w:rsidR="007D1E74" w:rsidRDefault="00A95641">
            <w:pPr>
              <w:jc w:val="center"/>
              <w:rPr>
                <w:rFonts w:cstheme="minorHAnsi"/>
                <w:szCs w:val="21"/>
              </w:rPr>
            </w:pPr>
            <w:r>
              <w:rPr>
                <w:rFonts w:cstheme="minorHAnsi" w:hint="eastAsia"/>
                <w:szCs w:val="21"/>
              </w:rPr>
              <w:t>最大浓度占标率（</w:t>
            </w:r>
            <w:r>
              <w:rPr>
                <w:rFonts w:cstheme="minorHAnsi" w:hint="eastAsia"/>
                <w:szCs w:val="21"/>
              </w:rPr>
              <w:t>%</w:t>
            </w:r>
            <w:r>
              <w:rPr>
                <w:rFonts w:cstheme="minorHAnsi" w:hint="eastAsia"/>
                <w:szCs w:val="21"/>
              </w:rPr>
              <w:t>）</w:t>
            </w:r>
          </w:p>
        </w:tc>
        <w:tc>
          <w:tcPr>
            <w:tcW w:w="691" w:type="pct"/>
            <w:vAlign w:val="center"/>
          </w:tcPr>
          <w:p w14:paraId="162685C2" w14:textId="77777777" w:rsidR="007D1E74" w:rsidRDefault="00A95641">
            <w:pPr>
              <w:jc w:val="center"/>
              <w:rPr>
                <w:rFonts w:cstheme="minorHAnsi"/>
                <w:szCs w:val="21"/>
              </w:rPr>
            </w:pPr>
            <w:r>
              <w:rPr>
                <w:rFonts w:cstheme="minorHAnsi" w:hint="eastAsia"/>
                <w:szCs w:val="21"/>
              </w:rPr>
              <w:t>超标率（</w:t>
            </w:r>
            <w:r>
              <w:rPr>
                <w:rFonts w:cstheme="minorHAnsi" w:hint="eastAsia"/>
                <w:szCs w:val="21"/>
              </w:rPr>
              <w:t>%</w:t>
            </w:r>
            <w:r>
              <w:rPr>
                <w:rFonts w:cstheme="minorHAnsi" w:hint="eastAsia"/>
                <w:szCs w:val="21"/>
              </w:rPr>
              <w:t>）</w:t>
            </w:r>
          </w:p>
        </w:tc>
        <w:tc>
          <w:tcPr>
            <w:tcW w:w="611" w:type="pct"/>
            <w:vAlign w:val="center"/>
          </w:tcPr>
          <w:p w14:paraId="5EE62C15" w14:textId="77777777" w:rsidR="007D1E74" w:rsidRDefault="00A95641">
            <w:pPr>
              <w:jc w:val="center"/>
              <w:rPr>
                <w:rFonts w:cstheme="minorHAnsi"/>
                <w:szCs w:val="21"/>
              </w:rPr>
            </w:pPr>
            <w:r>
              <w:rPr>
                <w:rFonts w:cstheme="minorHAnsi" w:hint="eastAsia"/>
                <w:szCs w:val="21"/>
              </w:rPr>
              <w:t>达标情况</w:t>
            </w:r>
          </w:p>
        </w:tc>
      </w:tr>
      <w:tr w:rsidR="007D1E74" w14:paraId="30547F41" w14:textId="77777777">
        <w:tc>
          <w:tcPr>
            <w:tcW w:w="615" w:type="pct"/>
            <w:vAlign w:val="center"/>
          </w:tcPr>
          <w:p w14:paraId="150B5B9F" w14:textId="77777777" w:rsidR="007D1E74" w:rsidRDefault="00A95641">
            <w:pPr>
              <w:jc w:val="center"/>
              <w:rPr>
                <w:rFonts w:cstheme="minorHAnsi"/>
                <w:szCs w:val="21"/>
              </w:rPr>
            </w:pPr>
            <w:r>
              <w:rPr>
                <w:rFonts w:cstheme="minorHAnsi"/>
                <w:szCs w:val="21"/>
              </w:rPr>
              <w:t>NO</w:t>
            </w:r>
            <w:r>
              <w:rPr>
                <w:rFonts w:cstheme="minorHAnsi"/>
                <w:szCs w:val="21"/>
                <w:vertAlign w:val="subscript"/>
              </w:rPr>
              <w:t>x</w:t>
            </w:r>
          </w:p>
        </w:tc>
        <w:tc>
          <w:tcPr>
            <w:tcW w:w="616" w:type="pct"/>
            <w:vAlign w:val="center"/>
          </w:tcPr>
          <w:p w14:paraId="6FC6A78B" w14:textId="77777777" w:rsidR="007D1E74" w:rsidRDefault="00A95641">
            <w:pPr>
              <w:jc w:val="center"/>
              <w:rPr>
                <w:rFonts w:cstheme="minorHAnsi"/>
                <w:szCs w:val="21"/>
              </w:rPr>
            </w:pPr>
            <w:r>
              <w:rPr>
                <w:rFonts w:cstheme="minorHAnsi" w:hint="eastAsia"/>
                <w:szCs w:val="21"/>
              </w:rPr>
              <w:t>1h</w:t>
            </w:r>
            <w:r>
              <w:rPr>
                <w:rFonts w:cstheme="minorHAnsi" w:hint="eastAsia"/>
                <w:szCs w:val="21"/>
              </w:rPr>
              <w:t>平均</w:t>
            </w:r>
          </w:p>
        </w:tc>
        <w:tc>
          <w:tcPr>
            <w:tcW w:w="771" w:type="pct"/>
            <w:vAlign w:val="center"/>
          </w:tcPr>
          <w:p w14:paraId="331675F5" w14:textId="77777777" w:rsidR="007D1E74" w:rsidRDefault="00A95641">
            <w:pPr>
              <w:jc w:val="center"/>
              <w:rPr>
                <w:rFonts w:cstheme="minorHAnsi"/>
                <w:szCs w:val="21"/>
              </w:rPr>
            </w:pPr>
            <w:r>
              <w:rPr>
                <w:rFonts w:cstheme="minorHAnsi" w:hint="eastAsia"/>
                <w:szCs w:val="21"/>
              </w:rPr>
              <w:t>0</w:t>
            </w:r>
            <w:r>
              <w:rPr>
                <w:rFonts w:cstheme="minorHAnsi"/>
                <w:szCs w:val="21"/>
              </w:rPr>
              <w:t>.25</w:t>
            </w:r>
          </w:p>
        </w:tc>
        <w:tc>
          <w:tcPr>
            <w:tcW w:w="925" w:type="pct"/>
            <w:vAlign w:val="center"/>
          </w:tcPr>
          <w:p w14:paraId="7FB81895" w14:textId="77777777" w:rsidR="007D1E74" w:rsidRDefault="00A95641">
            <w:pPr>
              <w:jc w:val="center"/>
              <w:rPr>
                <w:rFonts w:cs="Times New Roman"/>
                <w:szCs w:val="21"/>
              </w:rPr>
            </w:pPr>
            <w:r>
              <w:rPr>
                <w:rFonts w:cs="Times New Roman" w:hint="eastAsia"/>
                <w:szCs w:val="21"/>
              </w:rPr>
              <w:t>0</w:t>
            </w:r>
            <w:r>
              <w:rPr>
                <w:rFonts w:cs="Times New Roman"/>
                <w:szCs w:val="21"/>
              </w:rPr>
              <w:t>.008~0.034</w:t>
            </w:r>
          </w:p>
        </w:tc>
        <w:tc>
          <w:tcPr>
            <w:tcW w:w="771" w:type="pct"/>
            <w:vAlign w:val="center"/>
          </w:tcPr>
          <w:p w14:paraId="54941180" w14:textId="77777777" w:rsidR="007D1E74" w:rsidRDefault="00A95641">
            <w:pPr>
              <w:jc w:val="center"/>
              <w:rPr>
                <w:rFonts w:cstheme="minorHAnsi"/>
                <w:szCs w:val="21"/>
              </w:rPr>
            </w:pPr>
            <w:r>
              <w:rPr>
                <w:rFonts w:cstheme="minorHAnsi"/>
                <w:szCs w:val="21"/>
              </w:rPr>
              <w:t>13.6</w:t>
            </w:r>
          </w:p>
        </w:tc>
        <w:tc>
          <w:tcPr>
            <w:tcW w:w="691" w:type="pct"/>
            <w:vAlign w:val="center"/>
          </w:tcPr>
          <w:p w14:paraId="4F7041A0" w14:textId="77777777" w:rsidR="007D1E74" w:rsidRDefault="00A95641">
            <w:pPr>
              <w:jc w:val="center"/>
              <w:rPr>
                <w:rFonts w:cstheme="minorHAnsi"/>
                <w:szCs w:val="21"/>
              </w:rPr>
            </w:pPr>
            <w:r>
              <w:rPr>
                <w:rFonts w:cstheme="minorHAnsi" w:hint="eastAsia"/>
                <w:szCs w:val="21"/>
              </w:rPr>
              <w:t>0</w:t>
            </w:r>
          </w:p>
        </w:tc>
        <w:tc>
          <w:tcPr>
            <w:tcW w:w="611" w:type="pct"/>
            <w:vAlign w:val="center"/>
          </w:tcPr>
          <w:p w14:paraId="20928712" w14:textId="77777777" w:rsidR="007D1E74" w:rsidRDefault="00A95641">
            <w:pPr>
              <w:jc w:val="center"/>
              <w:rPr>
                <w:rFonts w:cstheme="minorHAnsi"/>
                <w:szCs w:val="21"/>
              </w:rPr>
            </w:pPr>
            <w:r>
              <w:rPr>
                <w:rFonts w:cstheme="minorHAnsi" w:hint="eastAsia"/>
                <w:szCs w:val="21"/>
              </w:rPr>
              <w:t>达标</w:t>
            </w:r>
          </w:p>
        </w:tc>
      </w:tr>
      <w:tr w:rsidR="007D1E74" w14:paraId="6DD7C586" w14:textId="77777777">
        <w:tc>
          <w:tcPr>
            <w:tcW w:w="615" w:type="pct"/>
            <w:vAlign w:val="center"/>
          </w:tcPr>
          <w:p w14:paraId="34A29F8E" w14:textId="77777777" w:rsidR="007D1E74" w:rsidRDefault="00A95641">
            <w:pPr>
              <w:jc w:val="center"/>
              <w:rPr>
                <w:rFonts w:cstheme="minorHAnsi"/>
                <w:szCs w:val="21"/>
              </w:rPr>
            </w:pPr>
            <w:r>
              <w:rPr>
                <w:rFonts w:cstheme="minorHAnsi"/>
                <w:szCs w:val="21"/>
              </w:rPr>
              <w:t>NMHC</w:t>
            </w:r>
          </w:p>
        </w:tc>
        <w:tc>
          <w:tcPr>
            <w:tcW w:w="616" w:type="pct"/>
            <w:vAlign w:val="center"/>
          </w:tcPr>
          <w:p w14:paraId="5DCFD43D" w14:textId="77777777" w:rsidR="007D1E74" w:rsidRDefault="00A95641">
            <w:pPr>
              <w:jc w:val="center"/>
              <w:rPr>
                <w:rFonts w:cstheme="minorHAnsi"/>
                <w:szCs w:val="21"/>
              </w:rPr>
            </w:pPr>
            <w:r>
              <w:rPr>
                <w:rFonts w:cstheme="minorHAnsi" w:hint="eastAsia"/>
                <w:szCs w:val="21"/>
              </w:rPr>
              <w:t>1h</w:t>
            </w:r>
            <w:r>
              <w:rPr>
                <w:rFonts w:cstheme="minorHAnsi" w:hint="eastAsia"/>
                <w:szCs w:val="21"/>
              </w:rPr>
              <w:t>平均</w:t>
            </w:r>
          </w:p>
        </w:tc>
        <w:tc>
          <w:tcPr>
            <w:tcW w:w="771" w:type="pct"/>
            <w:vAlign w:val="center"/>
          </w:tcPr>
          <w:p w14:paraId="090E1735" w14:textId="77777777" w:rsidR="007D1E74" w:rsidRDefault="00A95641">
            <w:pPr>
              <w:jc w:val="center"/>
              <w:rPr>
                <w:rFonts w:cstheme="minorHAnsi"/>
                <w:szCs w:val="21"/>
              </w:rPr>
            </w:pPr>
            <w:r>
              <w:rPr>
                <w:rFonts w:cstheme="minorHAnsi" w:hint="eastAsia"/>
                <w:szCs w:val="21"/>
              </w:rPr>
              <w:t>2</w:t>
            </w:r>
            <w:r>
              <w:rPr>
                <w:rFonts w:cstheme="minorHAnsi"/>
                <w:szCs w:val="21"/>
              </w:rPr>
              <w:t>.0</w:t>
            </w:r>
          </w:p>
        </w:tc>
        <w:tc>
          <w:tcPr>
            <w:tcW w:w="925" w:type="pct"/>
            <w:vAlign w:val="center"/>
          </w:tcPr>
          <w:p w14:paraId="7C9D0712" w14:textId="77777777" w:rsidR="007D1E74" w:rsidRDefault="00A95641">
            <w:pPr>
              <w:jc w:val="center"/>
              <w:rPr>
                <w:rFonts w:cstheme="minorHAnsi"/>
                <w:szCs w:val="21"/>
              </w:rPr>
            </w:pPr>
            <w:r>
              <w:rPr>
                <w:rFonts w:cstheme="minorHAnsi" w:hint="eastAsia"/>
                <w:szCs w:val="21"/>
              </w:rPr>
              <w:t>0</w:t>
            </w:r>
            <w:r>
              <w:rPr>
                <w:rFonts w:cstheme="minorHAnsi"/>
                <w:szCs w:val="21"/>
              </w:rPr>
              <w:t>.30~0.52</w:t>
            </w:r>
          </w:p>
        </w:tc>
        <w:tc>
          <w:tcPr>
            <w:tcW w:w="771" w:type="pct"/>
            <w:vAlign w:val="center"/>
          </w:tcPr>
          <w:p w14:paraId="2F252DEF" w14:textId="77777777" w:rsidR="007D1E74" w:rsidRDefault="00A95641">
            <w:pPr>
              <w:jc w:val="center"/>
              <w:rPr>
                <w:rFonts w:cstheme="minorHAnsi"/>
                <w:szCs w:val="21"/>
              </w:rPr>
            </w:pPr>
            <w:r>
              <w:rPr>
                <w:rFonts w:cstheme="minorHAnsi"/>
                <w:szCs w:val="21"/>
              </w:rPr>
              <w:t>26.0</w:t>
            </w:r>
          </w:p>
        </w:tc>
        <w:tc>
          <w:tcPr>
            <w:tcW w:w="691" w:type="pct"/>
            <w:vAlign w:val="center"/>
          </w:tcPr>
          <w:p w14:paraId="405FEEFC" w14:textId="77777777" w:rsidR="007D1E74" w:rsidRDefault="00A95641">
            <w:pPr>
              <w:jc w:val="center"/>
              <w:rPr>
                <w:rFonts w:cstheme="minorHAnsi"/>
                <w:szCs w:val="21"/>
              </w:rPr>
            </w:pPr>
            <w:r>
              <w:rPr>
                <w:rFonts w:cstheme="minorHAnsi" w:hint="eastAsia"/>
                <w:szCs w:val="21"/>
              </w:rPr>
              <w:t>0</w:t>
            </w:r>
          </w:p>
        </w:tc>
        <w:tc>
          <w:tcPr>
            <w:tcW w:w="611" w:type="pct"/>
            <w:vAlign w:val="center"/>
          </w:tcPr>
          <w:p w14:paraId="3B600620" w14:textId="77777777" w:rsidR="007D1E74" w:rsidRDefault="00A95641">
            <w:pPr>
              <w:jc w:val="center"/>
              <w:rPr>
                <w:rFonts w:cstheme="minorHAnsi"/>
                <w:szCs w:val="21"/>
              </w:rPr>
            </w:pPr>
            <w:r>
              <w:rPr>
                <w:rFonts w:cstheme="minorHAnsi" w:hint="eastAsia"/>
                <w:szCs w:val="21"/>
              </w:rPr>
              <w:t>达标</w:t>
            </w:r>
          </w:p>
        </w:tc>
      </w:tr>
    </w:tbl>
    <w:p w14:paraId="09C1A5F6" w14:textId="77777777" w:rsidR="007D1E74" w:rsidRDefault="00A95641">
      <w:pPr>
        <w:spacing w:line="360" w:lineRule="auto"/>
        <w:ind w:firstLineChars="200" w:firstLine="480"/>
        <w:rPr>
          <w:rFonts w:cs="Times New Roman"/>
          <w:sz w:val="24"/>
          <w:szCs w:val="24"/>
        </w:rPr>
      </w:pPr>
      <w:r>
        <w:rPr>
          <w:rFonts w:cs="Times New Roman" w:hint="eastAsia"/>
          <w:sz w:val="24"/>
          <w:szCs w:val="24"/>
        </w:rPr>
        <w:t>结果表明，评价区域环境空气中</w:t>
      </w:r>
      <w:r>
        <w:rPr>
          <w:rFonts w:cs="Times New Roman" w:hint="eastAsia"/>
          <w:sz w:val="24"/>
          <w:szCs w:val="24"/>
        </w:rPr>
        <w:t>NO</w:t>
      </w:r>
      <w:r>
        <w:rPr>
          <w:rFonts w:cs="Times New Roman" w:hint="eastAsia"/>
          <w:sz w:val="24"/>
          <w:szCs w:val="24"/>
          <w:vertAlign w:val="subscript"/>
        </w:rPr>
        <w:t>x</w:t>
      </w:r>
      <w:r>
        <w:rPr>
          <w:rFonts w:cs="Times New Roman" w:hint="eastAsia"/>
          <w:sz w:val="24"/>
          <w:szCs w:val="24"/>
        </w:rPr>
        <w:t>浓度满足《环境空气质量标准》（</w:t>
      </w:r>
      <w:r>
        <w:rPr>
          <w:rFonts w:cs="Times New Roman" w:hint="eastAsia"/>
          <w:sz w:val="24"/>
          <w:szCs w:val="24"/>
        </w:rPr>
        <w:t>GB3095-2012</w:t>
      </w:r>
      <w:r>
        <w:rPr>
          <w:rFonts w:cs="Times New Roman" w:hint="eastAsia"/>
          <w:sz w:val="24"/>
          <w:szCs w:val="24"/>
        </w:rPr>
        <w:t>）二级标准，</w:t>
      </w:r>
      <w:r>
        <w:rPr>
          <w:rFonts w:cs="Times New Roman" w:hint="eastAsia"/>
          <w:sz w:val="24"/>
          <w:szCs w:val="24"/>
        </w:rPr>
        <w:t>NMHC</w:t>
      </w:r>
      <w:r>
        <w:rPr>
          <w:rFonts w:cs="Times New Roman" w:hint="eastAsia"/>
          <w:sz w:val="24"/>
          <w:szCs w:val="24"/>
        </w:rPr>
        <w:t>浓度满足参照的《大气污染物综合排放标准详解》中取值。</w:t>
      </w:r>
    </w:p>
    <w:p w14:paraId="650880A4" w14:textId="77777777" w:rsidR="007D1E74" w:rsidRDefault="00A95641">
      <w:pPr>
        <w:pStyle w:val="a9"/>
      </w:pPr>
      <w:r>
        <w:rPr>
          <w:rFonts w:hint="eastAsia"/>
        </w:rPr>
        <w:t>地表水环境质量现状监测与评价</w:t>
      </w:r>
    </w:p>
    <w:p w14:paraId="123C0F37" w14:textId="77777777" w:rsidR="007D1E74" w:rsidRDefault="00A95641">
      <w:pPr>
        <w:spacing w:line="360" w:lineRule="auto"/>
        <w:ind w:firstLineChars="200" w:firstLine="480"/>
        <w:rPr>
          <w:rFonts w:cs="Times New Roman"/>
          <w:sz w:val="24"/>
          <w:szCs w:val="24"/>
        </w:rPr>
      </w:pPr>
      <w:r>
        <w:rPr>
          <w:rFonts w:cs="Times New Roman"/>
          <w:sz w:val="24"/>
          <w:szCs w:val="24"/>
        </w:rPr>
        <w:t>根据</w:t>
      </w:r>
      <w:r>
        <w:rPr>
          <w:rFonts w:cs="Times New Roman" w:hint="eastAsia"/>
          <w:sz w:val="24"/>
          <w:szCs w:val="24"/>
        </w:rPr>
        <w:t>《通江县</w:t>
      </w:r>
      <w:r>
        <w:rPr>
          <w:rFonts w:cs="Times New Roman" w:hint="eastAsia"/>
          <w:sz w:val="24"/>
          <w:szCs w:val="24"/>
        </w:rPr>
        <w:t>2020</w:t>
      </w:r>
      <w:r>
        <w:rPr>
          <w:rFonts w:cs="Times New Roman" w:hint="eastAsia"/>
          <w:sz w:val="24"/>
          <w:szCs w:val="24"/>
        </w:rPr>
        <w:t>年环境质量公报》，通江县出境断面为通江县三溪镇纳溪口，</w:t>
      </w:r>
      <w:r>
        <w:rPr>
          <w:rFonts w:cs="Times New Roman" w:hint="eastAsia"/>
          <w:sz w:val="24"/>
          <w:szCs w:val="24"/>
        </w:rPr>
        <w:lastRenderedPageBreak/>
        <w:t>2020</w:t>
      </w:r>
      <w:r>
        <w:rPr>
          <w:rFonts w:cs="Times New Roman" w:hint="eastAsia"/>
          <w:sz w:val="24"/>
          <w:szCs w:val="24"/>
        </w:rPr>
        <w:t>年地表水共监测项目</w:t>
      </w:r>
      <w:r>
        <w:rPr>
          <w:rFonts w:cs="Times New Roman" w:hint="eastAsia"/>
          <w:sz w:val="24"/>
          <w:szCs w:val="24"/>
        </w:rPr>
        <w:t>29</w:t>
      </w:r>
      <w:r>
        <w:rPr>
          <w:rFonts w:cs="Times New Roman" w:hint="eastAsia"/>
          <w:sz w:val="24"/>
          <w:szCs w:val="24"/>
        </w:rPr>
        <w:t>项，综合评定为</w:t>
      </w:r>
      <w:r>
        <w:rPr>
          <w:rFonts w:cs="Times New Roman" w:hint="eastAsia"/>
          <w:sz w:val="24"/>
          <w:szCs w:val="24"/>
        </w:rPr>
        <w:t>II</w:t>
      </w:r>
      <w:r>
        <w:rPr>
          <w:rFonts w:cs="Times New Roman" w:hint="eastAsia"/>
          <w:sz w:val="24"/>
          <w:szCs w:val="24"/>
        </w:rPr>
        <w:t>类，全部优于国家地表水环境质量</w:t>
      </w:r>
      <w:r>
        <w:rPr>
          <w:rFonts w:cs="Times New Roman" w:hint="eastAsia"/>
          <w:sz w:val="24"/>
          <w:szCs w:val="24"/>
        </w:rPr>
        <w:t>III</w:t>
      </w:r>
      <w:r>
        <w:rPr>
          <w:rFonts w:cs="Times New Roman" w:hint="eastAsia"/>
          <w:sz w:val="24"/>
          <w:szCs w:val="24"/>
        </w:rPr>
        <w:t>类标准。与去年同期相比，水质质量持平。</w:t>
      </w:r>
    </w:p>
    <w:p w14:paraId="25205938" w14:textId="77777777" w:rsidR="007D1E74" w:rsidRDefault="00A95641">
      <w:pPr>
        <w:spacing w:line="360" w:lineRule="auto"/>
        <w:ind w:firstLineChars="200" w:firstLine="480"/>
        <w:rPr>
          <w:rFonts w:cs="Times New Roman"/>
          <w:sz w:val="24"/>
          <w:szCs w:val="24"/>
        </w:rPr>
      </w:pPr>
      <w:r>
        <w:rPr>
          <w:rFonts w:cs="Times New Roman"/>
          <w:sz w:val="24"/>
          <w:szCs w:val="24"/>
        </w:rPr>
        <w:t>为进一步了解项目沿线小通江河环境质量现状，本次环评</w:t>
      </w:r>
      <w:r>
        <w:rPr>
          <w:rFonts w:cs="Times New Roman" w:hint="eastAsia"/>
          <w:sz w:val="24"/>
          <w:szCs w:val="24"/>
        </w:rPr>
        <w:t>委托四川众兴诚检测科技有限公司于</w:t>
      </w:r>
      <w:r>
        <w:rPr>
          <w:rFonts w:cs="Times New Roman" w:hint="eastAsia"/>
          <w:sz w:val="24"/>
          <w:szCs w:val="24"/>
        </w:rPr>
        <w:t>202</w:t>
      </w:r>
      <w:r>
        <w:rPr>
          <w:rFonts w:cs="Times New Roman"/>
          <w:sz w:val="24"/>
          <w:szCs w:val="24"/>
        </w:rPr>
        <w:t>1</w:t>
      </w:r>
      <w:r>
        <w:rPr>
          <w:rFonts w:cs="Times New Roman" w:hint="eastAsia"/>
          <w:sz w:val="24"/>
          <w:szCs w:val="24"/>
        </w:rPr>
        <w:t>年</w:t>
      </w:r>
      <w:r>
        <w:rPr>
          <w:rFonts w:cs="Times New Roman" w:hint="eastAsia"/>
          <w:sz w:val="24"/>
          <w:szCs w:val="24"/>
        </w:rPr>
        <w:t>11</w:t>
      </w:r>
      <w:r>
        <w:rPr>
          <w:rFonts w:cs="Times New Roman" w:hint="eastAsia"/>
          <w:sz w:val="24"/>
          <w:szCs w:val="24"/>
        </w:rPr>
        <w:t>月</w:t>
      </w:r>
      <w:r>
        <w:rPr>
          <w:rFonts w:cs="Times New Roman"/>
          <w:sz w:val="24"/>
          <w:szCs w:val="24"/>
        </w:rPr>
        <w:t>9</w:t>
      </w:r>
      <w:r>
        <w:rPr>
          <w:rFonts w:cs="Times New Roman" w:hint="eastAsia"/>
          <w:sz w:val="24"/>
          <w:szCs w:val="24"/>
        </w:rPr>
        <w:t>日</w:t>
      </w:r>
      <w:r>
        <w:rPr>
          <w:rFonts w:cs="Times New Roman" w:hint="eastAsia"/>
          <w:sz w:val="24"/>
          <w:szCs w:val="24"/>
        </w:rPr>
        <w:t>~</w:t>
      </w:r>
      <w:r>
        <w:rPr>
          <w:rFonts w:cs="Times New Roman"/>
          <w:sz w:val="24"/>
          <w:szCs w:val="24"/>
        </w:rPr>
        <w:t>11</w:t>
      </w:r>
      <w:r>
        <w:rPr>
          <w:rFonts w:cs="Times New Roman" w:hint="eastAsia"/>
          <w:sz w:val="24"/>
          <w:szCs w:val="24"/>
        </w:rPr>
        <w:t>日对区域地表水环境质量进行补充监测（报告编号：众（测）字</w:t>
      </w:r>
      <w:r>
        <w:rPr>
          <w:rFonts w:cs="Times New Roman" w:hint="eastAsia"/>
          <w:sz w:val="24"/>
          <w:szCs w:val="24"/>
        </w:rPr>
        <w:t>[2021]</w:t>
      </w:r>
      <w:r>
        <w:rPr>
          <w:rFonts w:cs="Times New Roman" w:hint="eastAsia"/>
          <w:sz w:val="24"/>
          <w:szCs w:val="24"/>
        </w:rPr>
        <w:t>第</w:t>
      </w:r>
      <w:r>
        <w:rPr>
          <w:rFonts w:cs="Times New Roman" w:hint="eastAsia"/>
          <w:sz w:val="24"/>
          <w:szCs w:val="24"/>
        </w:rPr>
        <w:t>0365-3</w:t>
      </w:r>
      <w:r>
        <w:rPr>
          <w:rFonts w:cs="Times New Roman" w:hint="eastAsia"/>
          <w:sz w:val="24"/>
          <w:szCs w:val="24"/>
        </w:rPr>
        <w:t>号）。</w:t>
      </w:r>
    </w:p>
    <w:p w14:paraId="650B8193" w14:textId="77777777" w:rsidR="007D1E74" w:rsidRDefault="00A95641">
      <w:pPr>
        <w:pStyle w:val="aa"/>
      </w:pPr>
      <w:r>
        <w:rPr>
          <w:rFonts w:hint="eastAsia"/>
        </w:rPr>
        <w:t>地表水环境质量现状监测</w:t>
      </w:r>
    </w:p>
    <w:p w14:paraId="0576C224" w14:textId="77777777" w:rsidR="007D1E74" w:rsidRDefault="00A95641">
      <w:pPr>
        <w:pStyle w:val="afffff7"/>
        <w:ind w:firstLine="482"/>
      </w:pPr>
      <w:r>
        <w:rPr>
          <w:rFonts w:hint="eastAsia"/>
        </w:rPr>
        <w:t>1</w:t>
      </w:r>
      <w:r>
        <w:rPr>
          <w:rFonts w:hint="eastAsia"/>
        </w:rPr>
        <w:t>、监测断面</w:t>
      </w:r>
    </w:p>
    <w:p w14:paraId="38029B79" w14:textId="77777777" w:rsidR="007D1E74" w:rsidRDefault="00A95641">
      <w:pPr>
        <w:spacing w:line="360" w:lineRule="auto"/>
        <w:ind w:firstLineChars="200" w:firstLine="480"/>
        <w:rPr>
          <w:rFonts w:cs="Times New Roman"/>
          <w:sz w:val="24"/>
          <w:szCs w:val="24"/>
        </w:rPr>
      </w:pPr>
      <w:r>
        <w:rPr>
          <w:rFonts w:cs="Times New Roman" w:hint="eastAsia"/>
          <w:sz w:val="24"/>
          <w:szCs w:val="24"/>
        </w:rPr>
        <w:t>本次环评共设地表水监测断面</w:t>
      </w:r>
      <w:r>
        <w:rPr>
          <w:rFonts w:cs="Times New Roman"/>
          <w:sz w:val="24"/>
          <w:szCs w:val="24"/>
        </w:rPr>
        <w:t>3</w:t>
      </w:r>
      <w:r>
        <w:rPr>
          <w:rFonts w:cs="Times New Roman" w:hint="eastAsia"/>
          <w:sz w:val="24"/>
          <w:szCs w:val="24"/>
        </w:rPr>
        <w:t>个，监测断面位置见下表。</w:t>
      </w:r>
    </w:p>
    <w:p w14:paraId="571333DE" w14:textId="77777777" w:rsidR="007D1E74" w:rsidRDefault="00A95641">
      <w:pPr>
        <w:pStyle w:val="afffffe"/>
        <w:numPr>
          <w:ilvl w:val="0"/>
          <w:numId w:val="42"/>
        </w:numPr>
        <w:spacing w:line="360" w:lineRule="auto"/>
        <w:ind w:firstLineChars="0"/>
        <w:jc w:val="center"/>
        <w:rPr>
          <w:rFonts w:eastAsia="黑体" w:cs="Times New Roman"/>
          <w:szCs w:val="21"/>
        </w:rPr>
      </w:pPr>
      <w:r>
        <w:rPr>
          <w:rFonts w:eastAsia="黑体" w:cs="Times New Roman" w:hint="eastAsia"/>
          <w:szCs w:val="21"/>
        </w:rPr>
        <w:t>地表水</w:t>
      </w:r>
      <w:r>
        <w:rPr>
          <w:rFonts w:eastAsia="黑体" w:cs="Times New Roman"/>
          <w:szCs w:val="21"/>
        </w:rPr>
        <w:t>监测断面</w:t>
      </w:r>
      <w:r>
        <w:rPr>
          <w:rFonts w:eastAsia="黑体" w:cs="Times New Roman" w:hint="eastAsia"/>
          <w:szCs w:val="21"/>
        </w:rPr>
        <w:t>位置</w:t>
      </w:r>
      <w:r>
        <w:rPr>
          <w:rFonts w:eastAsia="黑体" w:cs="Times New Roman"/>
          <w:szCs w:val="21"/>
        </w:rPr>
        <w:t>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2"/>
        <w:gridCol w:w="4948"/>
        <w:gridCol w:w="2286"/>
      </w:tblGrid>
      <w:tr w:rsidR="007D1E74" w14:paraId="6D6B047B" w14:textId="77777777">
        <w:trPr>
          <w:trHeight w:val="312"/>
          <w:tblHeader/>
        </w:trPr>
        <w:tc>
          <w:tcPr>
            <w:tcW w:w="988" w:type="pct"/>
            <w:vAlign w:val="center"/>
          </w:tcPr>
          <w:p w14:paraId="16B9AD5C" w14:textId="77777777" w:rsidR="007D1E74" w:rsidRDefault="00A95641">
            <w:pPr>
              <w:jc w:val="center"/>
              <w:rPr>
                <w:rFonts w:cstheme="minorHAnsi"/>
                <w:szCs w:val="21"/>
              </w:rPr>
            </w:pPr>
            <w:r>
              <w:rPr>
                <w:rFonts w:cstheme="minorHAnsi" w:hint="eastAsia"/>
                <w:szCs w:val="21"/>
              </w:rPr>
              <w:t>编号</w:t>
            </w:r>
          </w:p>
        </w:tc>
        <w:tc>
          <w:tcPr>
            <w:tcW w:w="2744" w:type="pct"/>
            <w:vAlign w:val="center"/>
          </w:tcPr>
          <w:p w14:paraId="6C3C5080" w14:textId="77777777" w:rsidR="007D1E74" w:rsidRDefault="00A95641">
            <w:pPr>
              <w:jc w:val="center"/>
              <w:rPr>
                <w:rFonts w:cstheme="minorHAnsi"/>
                <w:szCs w:val="21"/>
              </w:rPr>
            </w:pPr>
            <w:r>
              <w:rPr>
                <w:rFonts w:cstheme="minorHAnsi" w:hint="eastAsia"/>
                <w:szCs w:val="21"/>
              </w:rPr>
              <w:t>监测点名称</w:t>
            </w:r>
          </w:p>
        </w:tc>
        <w:tc>
          <w:tcPr>
            <w:tcW w:w="1268" w:type="pct"/>
            <w:vAlign w:val="center"/>
          </w:tcPr>
          <w:p w14:paraId="60E93389" w14:textId="77777777" w:rsidR="007D1E74" w:rsidRDefault="00A95641">
            <w:pPr>
              <w:jc w:val="center"/>
              <w:rPr>
                <w:rFonts w:cstheme="minorHAnsi"/>
                <w:szCs w:val="21"/>
              </w:rPr>
            </w:pPr>
            <w:r>
              <w:rPr>
                <w:rFonts w:cstheme="minorHAnsi" w:hint="eastAsia"/>
                <w:szCs w:val="21"/>
              </w:rPr>
              <w:t>河流名称</w:t>
            </w:r>
          </w:p>
        </w:tc>
      </w:tr>
      <w:tr w:rsidR="007D1E74" w14:paraId="77F8C31B" w14:textId="77777777">
        <w:trPr>
          <w:trHeight w:val="70"/>
        </w:trPr>
        <w:tc>
          <w:tcPr>
            <w:tcW w:w="988" w:type="pct"/>
            <w:vAlign w:val="center"/>
          </w:tcPr>
          <w:p w14:paraId="3D97CA3C" w14:textId="77777777" w:rsidR="007D1E74" w:rsidRDefault="00A95641">
            <w:pPr>
              <w:jc w:val="center"/>
              <w:rPr>
                <w:rFonts w:cstheme="minorHAnsi"/>
                <w:szCs w:val="21"/>
              </w:rPr>
            </w:pPr>
            <w:r>
              <w:rPr>
                <w:rFonts w:cstheme="minorHAnsi"/>
                <w:szCs w:val="21"/>
              </w:rPr>
              <w:t>1#</w:t>
            </w:r>
          </w:p>
        </w:tc>
        <w:tc>
          <w:tcPr>
            <w:tcW w:w="2744" w:type="pct"/>
            <w:vAlign w:val="center"/>
          </w:tcPr>
          <w:p w14:paraId="03363AD7" w14:textId="77777777" w:rsidR="007D1E74" w:rsidRDefault="00A95641">
            <w:pPr>
              <w:jc w:val="center"/>
              <w:rPr>
                <w:rFonts w:cstheme="minorHAnsi"/>
                <w:szCs w:val="21"/>
              </w:rPr>
            </w:pPr>
            <w:r>
              <w:rPr>
                <w:rFonts w:cstheme="minorHAnsi"/>
                <w:szCs w:val="21"/>
              </w:rPr>
              <w:t>小通江河马</w:t>
            </w:r>
            <w:r>
              <w:rPr>
                <w:rFonts w:cstheme="minorHAnsi" w:hint="eastAsia"/>
                <w:szCs w:val="21"/>
              </w:rPr>
              <w:t>1-</w:t>
            </w:r>
            <w:r>
              <w:rPr>
                <w:rFonts w:cstheme="minorHAnsi"/>
                <w:szCs w:val="21"/>
              </w:rPr>
              <w:t>13H</w:t>
            </w:r>
            <w:r>
              <w:rPr>
                <w:rFonts w:cstheme="minorHAnsi"/>
                <w:szCs w:val="21"/>
              </w:rPr>
              <w:t>采气井场至干线集气支线穿越处</w:t>
            </w:r>
          </w:p>
        </w:tc>
        <w:tc>
          <w:tcPr>
            <w:tcW w:w="1268" w:type="pct"/>
            <w:vMerge w:val="restart"/>
            <w:vAlign w:val="center"/>
          </w:tcPr>
          <w:p w14:paraId="527BF1D1" w14:textId="77777777" w:rsidR="007D1E74" w:rsidRDefault="00A95641">
            <w:pPr>
              <w:jc w:val="center"/>
              <w:rPr>
                <w:rFonts w:cstheme="minorHAnsi"/>
                <w:szCs w:val="21"/>
              </w:rPr>
            </w:pPr>
            <w:r>
              <w:rPr>
                <w:rFonts w:cstheme="minorHAnsi"/>
                <w:szCs w:val="21"/>
              </w:rPr>
              <w:t>小通江河</w:t>
            </w:r>
          </w:p>
        </w:tc>
      </w:tr>
      <w:tr w:rsidR="007D1E74" w14:paraId="74B8B3C6" w14:textId="77777777">
        <w:trPr>
          <w:trHeight w:val="70"/>
        </w:trPr>
        <w:tc>
          <w:tcPr>
            <w:tcW w:w="988" w:type="pct"/>
            <w:vAlign w:val="center"/>
          </w:tcPr>
          <w:p w14:paraId="1D61CE09" w14:textId="77777777" w:rsidR="007D1E74" w:rsidRDefault="00A95641">
            <w:pPr>
              <w:jc w:val="center"/>
              <w:rPr>
                <w:rFonts w:cstheme="minorHAnsi"/>
                <w:szCs w:val="21"/>
              </w:rPr>
            </w:pPr>
            <w:r>
              <w:rPr>
                <w:rFonts w:cstheme="minorHAnsi" w:hint="eastAsia"/>
                <w:szCs w:val="21"/>
              </w:rPr>
              <w:t>2#</w:t>
            </w:r>
          </w:p>
        </w:tc>
        <w:tc>
          <w:tcPr>
            <w:tcW w:w="2744" w:type="pct"/>
            <w:vAlign w:val="center"/>
          </w:tcPr>
          <w:p w14:paraId="4C29E00C" w14:textId="77777777" w:rsidR="007D1E74" w:rsidRDefault="00A95641">
            <w:pPr>
              <w:jc w:val="center"/>
              <w:rPr>
                <w:rFonts w:cstheme="minorHAnsi"/>
                <w:szCs w:val="21"/>
              </w:rPr>
            </w:pPr>
            <w:r>
              <w:rPr>
                <w:rFonts w:cstheme="minorHAnsi" w:hint="eastAsia"/>
                <w:szCs w:val="21"/>
              </w:rPr>
              <w:t>小通江河涪阳镇下游</w:t>
            </w:r>
            <w:r>
              <w:rPr>
                <w:rFonts w:cstheme="minorHAnsi" w:hint="eastAsia"/>
                <w:szCs w:val="21"/>
              </w:rPr>
              <w:t>590m</w:t>
            </w:r>
            <w:r>
              <w:rPr>
                <w:rFonts w:cstheme="minorHAnsi" w:hint="eastAsia"/>
                <w:szCs w:val="21"/>
              </w:rPr>
              <w:t>处</w:t>
            </w:r>
          </w:p>
        </w:tc>
        <w:tc>
          <w:tcPr>
            <w:tcW w:w="1268" w:type="pct"/>
            <w:vMerge/>
            <w:vAlign w:val="center"/>
          </w:tcPr>
          <w:p w14:paraId="7D850FB6" w14:textId="77777777" w:rsidR="007D1E74" w:rsidRDefault="007D1E74">
            <w:pPr>
              <w:jc w:val="center"/>
              <w:rPr>
                <w:rFonts w:cstheme="minorHAnsi"/>
                <w:szCs w:val="21"/>
              </w:rPr>
            </w:pPr>
          </w:p>
        </w:tc>
      </w:tr>
      <w:tr w:rsidR="007D1E74" w14:paraId="480AF14D" w14:textId="77777777">
        <w:trPr>
          <w:trHeight w:val="70"/>
        </w:trPr>
        <w:tc>
          <w:tcPr>
            <w:tcW w:w="988" w:type="pct"/>
            <w:vAlign w:val="center"/>
          </w:tcPr>
          <w:p w14:paraId="6CD59A1B" w14:textId="77777777" w:rsidR="007D1E74" w:rsidRDefault="00A95641">
            <w:pPr>
              <w:jc w:val="center"/>
              <w:rPr>
                <w:rFonts w:cstheme="minorHAnsi"/>
                <w:szCs w:val="21"/>
              </w:rPr>
            </w:pPr>
            <w:r>
              <w:rPr>
                <w:rFonts w:cstheme="minorHAnsi" w:hint="eastAsia"/>
                <w:szCs w:val="21"/>
              </w:rPr>
              <w:t>3#</w:t>
            </w:r>
          </w:p>
        </w:tc>
        <w:tc>
          <w:tcPr>
            <w:tcW w:w="2744" w:type="pct"/>
            <w:vAlign w:val="center"/>
          </w:tcPr>
          <w:p w14:paraId="5985DC4B" w14:textId="77777777" w:rsidR="007D1E74" w:rsidRDefault="00A95641">
            <w:pPr>
              <w:jc w:val="center"/>
              <w:rPr>
                <w:rFonts w:cstheme="minorHAnsi"/>
                <w:szCs w:val="21"/>
              </w:rPr>
            </w:pPr>
            <w:r>
              <w:rPr>
                <w:rFonts w:cstheme="minorHAnsi" w:hint="eastAsia"/>
                <w:szCs w:val="21"/>
              </w:rPr>
              <w:t>小通江河支流外输管道关路潭穿越处</w:t>
            </w:r>
          </w:p>
        </w:tc>
        <w:tc>
          <w:tcPr>
            <w:tcW w:w="1268" w:type="pct"/>
            <w:vAlign w:val="center"/>
          </w:tcPr>
          <w:p w14:paraId="7F610508" w14:textId="77777777" w:rsidR="007D1E74" w:rsidRDefault="00A95641">
            <w:pPr>
              <w:jc w:val="center"/>
              <w:rPr>
                <w:rFonts w:cstheme="minorHAnsi"/>
                <w:szCs w:val="21"/>
              </w:rPr>
            </w:pPr>
            <w:r>
              <w:rPr>
                <w:rFonts w:cstheme="minorHAnsi" w:hint="eastAsia"/>
                <w:szCs w:val="21"/>
              </w:rPr>
              <w:t>小通江河支流</w:t>
            </w:r>
          </w:p>
        </w:tc>
      </w:tr>
    </w:tbl>
    <w:p w14:paraId="66D7F84D" w14:textId="77777777" w:rsidR="007D1E74" w:rsidRDefault="00A95641">
      <w:pPr>
        <w:pStyle w:val="afffff7"/>
        <w:ind w:firstLine="482"/>
      </w:pPr>
      <w:r>
        <w:t>2</w:t>
      </w:r>
      <w:r>
        <w:rPr>
          <w:rFonts w:hint="eastAsia"/>
        </w:rPr>
        <w:t>、监测因子</w:t>
      </w:r>
    </w:p>
    <w:p w14:paraId="065DA04E" w14:textId="77777777" w:rsidR="007D1E74" w:rsidRDefault="00A95641">
      <w:pPr>
        <w:spacing w:line="360" w:lineRule="auto"/>
        <w:ind w:firstLineChars="200" w:firstLine="480"/>
        <w:rPr>
          <w:rFonts w:cs="Times New Roman"/>
          <w:sz w:val="24"/>
          <w:szCs w:val="24"/>
        </w:rPr>
      </w:pPr>
      <w:r>
        <w:rPr>
          <w:rFonts w:cs="Times New Roman"/>
          <w:sz w:val="24"/>
          <w:szCs w:val="24"/>
        </w:rPr>
        <w:t>pH</w:t>
      </w:r>
      <w:r>
        <w:rPr>
          <w:rFonts w:cs="Times New Roman"/>
          <w:sz w:val="24"/>
          <w:szCs w:val="24"/>
        </w:rPr>
        <w:t>、</w:t>
      </w:r>
      <w:r>
        <w:rPr>
          <w:rFonts w:cs="Times New Roman"/>
          <w:sz w:val="24"/>
          <w:szCs w:val="24"/>
        </w:rPr>
        <w:t>COD</w:t>
      </w:r>
      <w:r>
        <w:rPr>
          <w:rFonts w:cs="Times New Roman"/>
          <w:sz w:val="24"/>
          <w:szCs w:val="24"/>
        </w:rPr>
        <w:t>、</w:t>
      </w:r>
      <w:r>
        <w:rPr>
          <w:rFonts w:cs="Times New Roman"/>
          <w:sz w:val="24"/>
          <w:szCs w:val="24"/>
        </w:rPr>
        <w:t>NH</w:t>
      </w:r>
      <w:r>
        <w:rPr>
          <w:rFonts w:cs="Times New Roman"/>
          <w:sz w:val="24"/>
          <w:szCs w:val="24"/>
          <w:vertAlign w:val="subscript"/>
        </w:rPr>
        <w:t>3</w:t>
      </w:r>
      <w:r>
        <w:rPr>
          <w:rFonts w:cs="Times New Roman"/>
          <w:sz w:val="24"/>
          <w:szCs w:val="24"/>
        </w:rPr>
        <w:t>-N</w:t>
      </w:r>
      <w:r>
        <w:rPr>
          <w:rFonts w:cs="Times New Roman"/>
          <w:sz w:val="24"/>
          <w:szCs w:val="24"/>
        </w:rPr>
        <w:t>、</w:t>
      </w:r>
      <w:r>
        <w:rPr>
          <w:rFonts w:cs="Times New Roman"/>
          <w:sz w:val="24"/>
          <w:szCs w:val="24"/>
        </w:rPr>
        <w:t>SS</w:t>
      </w:r>
      <w:r>
        <w:rPr>
          <w:rFonts w:cs="Times New Roman"/>
          <w:sz w:val="24"/>
          <w:szCs w:val="24"/>
        </w:rPr>
        <w:t>、挥发酚、石油类。</w:t>
      </w:r>
    </w:p>
    <w:p w14:paraId="50DB8D40" w14:textId="77777777" w:rsidR="007D1E74" w:rsidRDefault="00A95641">
      <w:pPr>
        <w:pStyle w:val="afffff7"/>
        <w:ind w:firstLine="482"/>
      </w:pPr>
      <w:r>
        <w:t>3</w:t>
      </w:r>
      <w:r>
        <w:rPr>
          <w:rFonts w:hint="eastAsia"/>
        </w:rPr>
        <w:t>、监测时间</w:t>
      </w:r>
    </w:p>
    <w:p w14:paraId="11C6C3F1" w14:textId="77777777" w:rsidR="007D1E74" w:rsidRDefault="00A95641">
      <w:pPr>
        <w:spacing w:line="360" w:lineRule="auto"/>
        <w:ind w:firstLineChars="200" w:firstLine="480"/>
        <w:rPr>
          <w:rFonts w:cs="Times New Roman"/>
          <w:sz w:val="24"/>
          <w:szCs w:val="24"/>
        </w:rPr>
      </w:pPr>
      <w:r>
        <w:rPr>
          <w:rFonts w:cs="Times New Roman" w:hint="eastAsia"/>
          <w:sz w:val="24"/>
          <w:szCs w:val="24"/>
        </w:rPr>
        <w:t>202</w:t>
      </w:r>
      <w:r>
        <w:rPr>
          <w:rFonts w:cs="Times New Roman"/>
          <w:sz w:val="24"/>
          <w:szCs w:val="24"/>
        </w:rPr>
        <w:t>1</w:t>
      </w:r>
      <w:r>
        <w:rPr>
          <w:rFonts w:cs="Times New Roman" w:hint="eastAsia"/>
          <w:sz w:val="24"/>
          <w:szCs w:val="24"/>
        </w:rPr>
        <w:t>年</w:t>
      </w:r>
      <w:r>
        <w:rPr>
          <w:rFonts w:cs="Times New Roman" w:hint="eastAsia"/>
          <w:sz w:val="24"/>
          <w:szCs w:val="24"/>
        </w:rPr>
        <w:t>11</w:t>
      </w:r>
      <w:r>
        <w:rPr>
          <w:rFonts w:cs="Times New Roman" w:hint="eastAsia"/>
          <w:sz w:val="24"/>
          <w:szCs w:val="24"/>
        </w:rPr>
        <w:t>月</w:t>
      </w:r>
      <w:r>
        <w:rPr>
          <w:rFonts w:cs="Times New Roman"/>
          <w:sz w:val="24"/>
          <w:szCs w:val="24"/>
        </w:rPr>
        <w:t>9</w:t>
      </w:r>
      <w:r>
        <w:rPr>
          <w:rFonts w:cs="Times New Roman" w:hint="eastAsia"/>
          <w:sz w:val="24"/>
          <w:szCs w:val="24"/>
        </w:rPr>
        <w:t>日</w:t>
      </w:r>
      <w:r>
        <w:rPr>
          <w:rFonts w:cs="Times New Roman" w:hint="eastAsia"/>
          <w:sz w:val="24"/>
          <w:szCs w:val="24"/>
        </w:rPr>
        <w:t>~</w:t>
      </w:r>
      <w:r>
        <w:rPr>
          <w:rFonts w:cs="Times New Roman"/>
          <w:sz w:val="24"/>
          <w:szCs w:val="24"/>
        </w:rPr>
        <w:t>11</w:t>
      </w:r>
      <w:r>
        <w:rPr>
          <w:rFonts w:cs="Times New Roman" w:hint="eastAsia"/>
          <w:sz w:val="24"/>
          <w:szCs w:val="24"/>
        </w:rPr>
        <w:t>日，共</w:t>
      </w:r>
      <w:r>
        <w:rPr>
          <w:rFonts w:cs="Times New Roman" w:hint="eastAsia"/>
          <w:sz w:val="24"/>
          <w:szCs w:val="24"/>
        </w:rPr>
        <w:t>3</w:t>
      </w:r>
      <w:r>
        <w:rPr>
          <w:rFonts w:cs="Times New Roman" w:hint="eastAsia"/>
          <w:sz w:val="24"/>
          <w:szCs w:val="24"/>
        </w:rPr>
        <w:t>天。</w:t>
      </w:r>
    </w:p>
    <w:p w14:paraId="1157B96A" w14:textId="77777777" w:rsidR="007D1E74" w:rsidRDefault="00A95641">
      <w:pPr>
        <w:pStyle w:val="afffff7"/>
        <w:ind w:firstLine="482"/>
      </w:pPr>
      <w:r>
        <w:t>4</w:t>
      </w:r>
      <w:r>
        <w:rPr>
          <w:rFonts w:hint="eastAsia"/>
        </w:rPr>
        <w:t>、监测结果</w:t>
      </w:r>
    </w:p>
    <w:p w14:paraId="6D70C835" w14:textId="77777777" w:rsidR="007D1E74" w:rsidRDefault="00A95641">
      <w:pPr>
        <w:spacing w:line="360" w:lineRule="auto"/>
        <w:ind w:firstLineChars="200" w:firstLine="480"/>
        <w:rPr>
          <w:rFonts w:cs="Times New Roman"/>
          <w:sz w:val="24"/>
          <w:szCs w:val="24"/>
        </w:rPr>
      </w:pPr>
      <w:r>
        <w:rPr>
          <w:rFonts w:cs="Times New Roman" w:hint="eastAsia"/>
          <w:sz w:val="24"/>
          <w:szCs w:val="24"/>
        </w:rPr>
        <w:t>区域地表水环境质量现状监测结果见下表。</w:t>
      </w:r>
    </w:p>
    <w:p w14:paraId="1ABD9C02" w14:textId="77777777" w:rsidR="007D1E74" w:rsidRDefault="00A95641">
      <w:pPr>
        <w:pStyle w:val="afffffe"/>
        <w:numPr>
          <w:ilvl w:val="0"/>
          <w:numId w:val="42"/>
        </w:numPr>
        <w:spacing w:line="360" w:lineRule="auto"/>
        <w:ind w:firstLineChars="0"/>
        <w:jc w:val="center"/>
        <w:rPr>
          <w:rFonts w:eastAsia="黑体" w:cs="Times New Roman"/>
          <w:szCs w:val="21"/>
        </w:rPr>
      </w:pPr>
      <w:r>
        <w:rPr>
          <w:rFonts w:eastAsia="黑体" w:cs="Times New Roman" w:hint="eastAsia"/>
          <w:szCs w:val="21"/>
        </w:rPr>
        <w:t>地表水环境质量</w:t>
      </w:r>
      <w:r>
        <w:rPr>
          <w:rFonts w:eastAsia="黑体" w:cs="Times New Roman"/>
          <w:szCs w:val="21"/>
        </w:rPr>
        <w:t>现状监测结果</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
        <w:gridCol w:w="901"/>
        <w:gridCol w:w="901"/>
        <w:gridCol w:w="901"/>
        <w:gridCol w:w="902"/>
        <w:gridCol w:w="902"/>
        <w:gridCol w:w="902"/>
        <w:gridCol w:w="902"/>
        <w:gridCol w:w="902"/>
        <w:gridCol w:w="902"/>
      </w:tblGrid>
      <w:tr w:rsidR="007D1E74" w14:paraId="03A594F8" w14:textId="77777777">
        <w:trPr>
          <w:trHeight w:val="312"/>
          <w:tblHeader/>
        </w:trPr>
        <w:tc>
          <w:tcPr>
            <w:tcW w:w="500" w:type="pct"/>
            <w:vMerge w:val="restart"/>
            <w:vAlign w:val="center"/>
          </w:tcPr>
          <w:p w14:paraId="7716AADA" w14:textId="77777777" w:rsidR="007D1E74" w:rsidRDefault="00A95641">
            <w:pPr>
              <w:jc w:val="center"/>
              <w:rPr>
                <w:rFonts w:cstheme="minorHAnsi"/>
                <w:szCs w:val="21"/>
              </w:rPr>
            </w:pPr>
            <w:r>
              <w:rPr>
                <w:rFonts w:cstheme="minorHAnsi"/>
                <w:szCs w:val="21"/>
              </w:rPr>
              <w:t>监测</w:t>
            </w:r>
          </w:p>
          <w:p w14:paraId="3BA55AE4" w14:textId="77777777" w:rsidR="007D1E74" w:rsidRDefault="00A95641">
            <w:pPr>
              <w:jc w:val="center"/>
              <w:rPr>
                <w:rFonts w:cstheme="minorHAnsi"/>
                <w:szCs w:val="21"/>
              </w:rPr>
            </w:pPr>
            <w:r>
              <w:rPr>
                <w:rFonts w:cstheme="minorHAnsi"/>
                <w:szCs w:val="21"/>
              </w:rPr>
              <w:t>项目</w:t>
            </w:r>
          </w:p>
        </w:tc>
        <w:tc>
          <w:tcPr>
            <w:tcW w:w="4500" w:type="pct"/>
            <w:gridSpan w:val="9"/>
            <w:vAlign w:val="center"/>
          </w:tcPr>
          <w:p w14:paraId="519CB3AB" w14:textId="77777777" w:rsidR="007D1E74" w:rsidRDefault="00A95641">
            <w:pPr>
              <w:jc w:val="center"/>
              <w:rPr>
                <w:rFonts w:cstheme="minorHAnsi"/>
                <w:szCs w:val="21"/>
              </w:rPr>
            </w:pPr>
            <w:r>
              <w:rPr>
                <w:rFonts w:cstheme="minorHAnsi" w:hint="eastAsia"/>
                <w:szCs w:val="21"/>
              </w:rPr>
              <w:t>监测结果（</w:t>
            </w:r>
            <w:r>
              <w:rPr>
                <w:rFonts w:cstheme="minorHAnsi" w:hint="eastAsia"/>
                <w:szCs w:val="21"/>
              </w:rPr>
              <w:t>mg</w:t>
            </w:r>
            <w:r>
              <w:rPr>
                <w:rFonts w:cstheme="minorHAnsi"/>
                <w:szCs w:val="21"/>
              </w:rPr>
              <w:t>/L</w:t>
            </w:r>
            <w:r>
              <w:rPr>
                <w:rFonts w:cstheme="minorHAnsi"/>
                <w:szCs w:val="21"/>
              </w:rPr>
              <w:t>）</w:t>
            </w:r>
          </w:p>
        </w:tc>
      </w:tr>
      <w:tr w:rsidR="007D1E74" w14:paraId="6B974123" w14:textId="77777777">
        <w:trPr>
          <w:trHeight w:val="70"/>
        </w:trPr>
        <w:tc>
          <w:tcPr>
            <w:tcW w:w="500" w:type="pct"/>
            <w:vMerge/>
            <w:vAlign w:val="center"/>
          </w:tcPr>
          <w:p w14:paraId="0250AC83" w14:textId="77777777" w:rsidR="007D1E74" w:rsidRDefault="007D1E74">
            <w:pPr>
              <w:jc w:val="center"/>
              <w:rPr>
                <w:rFonts w:cstheme="minorHAnsi"/>
                <w:szCs w:val="21"/>
              </w:rPr>
            </w:pPr>
          </w:p>
        </w:tc>
        <w:tc>
          <w:tcPr>
            <w:tcW w:w="1500" w:type="pct"/>
            <w:gridSpan w:val="3"/>
            <w:vAlign w:val="center"/>
          </w:tcPr>
          <w:p w14:paraId="6BF6DCD4" w14:textId="77777777" w:rsidR="007D1E74" w:rsidRDefault="00A95641">
            <w:pPr>
              <w:jc w:val="center"/>
              <w:rPr>
                <w:rFonts w:cstheme="minorHAnsi"/>
                <w:szCs w:val="21"/>
              </w:rPr>
            </w:pPr>
            <w:r>
              <w:rPr>
                <w:rFonts w:cstheme="minorHAnsi" w:hint="eastAsia"/>
                <w:szCs w:val="21"/>
              </w:rPr>
              <w:t>1#</w:t>
            </w:r>
            <w:r>
              <w:rPr>
                <w:rFonts w:cstheme="minorHAnsi" w:hint="eastAsia"/>
                <w:szCs w:val="21"/>
              </w:rPr>
              <w:t>断面</w:t>
            </w:r>
          </w:p>
        </w:tc>
        <w:tc>
          <w:tcPr>
            <w:tcW w:w="1500" w:type="pct"/>
            <w:gridSpan w:val="3"/>
          </w:tcPr>
          <w:p w14:paraId="7882968B" w14:textId="77777777" w:rsidR="007D1E74" w:rsidRDefault="00A95641">
            <w:pPr>
              <w:jc w:val="center"/>
              <w:rPr>
                <w:rFonts w:cstheme="minorHAnsi"/>
                <w:szCs w:val="21"/>
              </w:rPr>
            </w:pPr>
            <w:r>
              <w:rPr>
                <w:rFonts w:cstheme="minorHAnsi" w:hint="eastAsia"/>
                <w:szCs w:val="21"/>
              </w:rPr>
              <w:t>2#</w:t>
            </w:r>
            <w:r>
              <w:rPr>
                <w:rFonts w:cstheme="minorHAnsi" w:hint="eastAsia"/>
                <w:szCs w:val="21"/>
              </w:rPr>
              <w:t>断面</w:t>
            </w:r>
          </w:p>
        </w:tc>
        <w:tc>
          <w:tcPr>
            <w:tcW w:w="1500" w:type="pct"/>
            <w:gridSpan w:val="3"/>
          </w:tcPr>
          <w:p w14:paraId="44D6480F" w14:textId="77777777" w:rsidR="007D1E74" w:rsidRDefault="00A95641">
            <w:pPr>
              <w:jc w:val="center"/>
              <w:rPr>
                <w:rFonts w:cstheme="minorHAnsi"/>
                <w:szCs w:val="21"/>
              </w:rPr>
            </w:pPr>
            <w:r>
              <w:rPr>
                <w:rFonts w:cstheme="minorHAnsi" w:hint="eastAsia"/>
                <w:szCs w:val="21"/>
              </w:rPr>
              <w:t>3#</w:t>
            </w:r>
            <w:r>
              <w:rPr>
                <w:rFonts w:cstheme="minorHAnsi" w:hint="eastAsia"/>
                <w:szCs w:val="21"/>
              </w:rPr>
              <w:t>断面</w:t>
            </w:r>
          </w:p>
        </w:tc>
      </w:tr>
      <w:tr w:rsidR="007D1E74" w14:paraId="700294E5" w14:textId="77777777">
        <w:trPr>
          <w:trHeight w:val="70"/>
        </w:trPr>
        <w:tc>
          <w:tcPr>
            <w:tcW w:w="500" w:type="pct"/>
            <w:vMerge/>
            <w:vAlign w:val="center"/>
          </w:tcPr>
          <w:p w14:paraId="24AAC5D1" w14:textId="77777777" w:rsidR="007D1E74" w:rsidRDefault="007D1E74">
            <w:pPr>
              <w:jc w:val="center"/>
              <w:rPr>
                <w:rFonts w:cstheme="minorHAnsi"/>
                <w:szCs w:val="21"/>
              </w:rPr>
            </w:pPr>
          </w:p>
        </w:tc>
        <w:tc>
          <w:tcPr>
            <w:tcW w:w="500" w:type="pct"/>
            <w:vAlign w:val="center"/>
          </w:tcPr>
          <w:p w14:paraId="46739E32" w14:textId="77777777" w:rsidR="007D1E74" w:rsidRDefault="00A95641">
            <w:pPr>
              <w:jc w:val="center"/>
              <w:rPr>
                <w:rFonts w:cstheme="minorHAnsi"/>
                <w:szCs w:val="21"/>
              </w:rPr>
            </w:pPr>
            <w:r>
              <w:rPr>
                <w:rFonts w:cstheme="minorHAnsi" w:hint="eastAsia"/>
                <w:szCs w:val="21"/>
              </w:rPr>
              <w:t>1</w:t>
            </w:r>
            <w:r>
              <w:rPr>
                <w:rFonts w:cstheme="minorHAnsi"/>
                <w:szCs w:val="21"/>
              </w:rPr>
              <w:t>1.9</w:t>
            </w:r>
          </w:p>
        </w:tc>
        <w:tc>
          <w:tcPr>
            <w:tcW w:w="500" w:type="pct"/>
            <w:vAlign w:val="center"/>
          </w:tcPr>
          <w:p w14:paraId="5C88B1A3" w14:textId="77777777" w:rsidR="007D1E74" w:rsidRDefault="00A95641">
            <w:pPr>
              <w:jc w:val="center"/>
              <w:rPr>
                <w:rFonts w:cstheme="minorHAnsi"/>
                <w:szCs w:val="21"/>
              </w:rPr>
            </w:pPr>
            <w:r>
              <w:rPr>
                <w:rFonts w:cstheme="minorHAnsi" w:hint="eastAsia"/>
                <w:szCs w:val="21"/>
              </w:rPr>
              <w:t>1</w:t>
            </w:r>
            <w:r>
              <w:rPr>
                <w:rFonts w:cstheme="minorHAnsi"/>
                <w:szCs w:val="21"/>
              </w:rPr>
              <w:t>1.10</w:t>
            </w:r>
          </w:p>
        </w:tc>
        <w:tc>
          <w:tcPr>
            <w:tcW w:w="500" w:type="pct"/>
          </w:tcPr>
          <w:p w14:paraId="0313B361" w14:textId="77777777" w:rsidR="007D1E74" w:rsidRDefault="00A95641">
            <w:pPr>
              <w:jc w:val="center"/>
              <w:rPr>
                <w:rFonts w:cstheme="minorHAnsi"/>
                <w:szCs w:val="21"/>
              </w:rPr>
            </w:pPr>
            <w:r>
              <w:rPr>
                <w:rFonts w:cstheme="minorHAnsi" w:hint="eastAsia"/>
                <w:szCs w:val="21"/>
              </w:rPr>
              <w:t>1</w:t>
            </w:r>
            <w:r>
              <w:rPr>
                <w:rFonts w:cstheme="minorHAnsi"/>
                <w:szCs w:val="21"/>
              </w:rPr>
              <w:t>1.11</w:t>
            </w:r>
          </w:p>
        </w:tc>
        <w:tc>
          <w:tcPr>
            <w:tcW w:w="500" w:type="pct"/>
            <w:vAlign w:val="center"/>
          </w:tcPr>
          <w:p w14:paraId="25D538B4" w14:textId="77777777" w:rsidR="007D1E74" w:rsidRDefault="00A95641">
            <w:pPr>
              <w:jc w:val="center"/>
              <w:rPr>
                <w:rFonts w:cstheme="minorHAnsi"/>
                <w:szCs w:val="21"/>
              </w:rPr>
            </w:pPr>
            <w:r>
              <w:rPr>
                <w:rFonts w:cstheme="minorHAnsi" w:hint="eastAsia"/>
                <w:szCs w:val="21"/>
              </w:rPr>
              <w:t>1</w:t>
            </w:r>
            <w:r>
              <w:rPr>
                <w:rFonts w:cstheme="minorHAnsi"/>
                <w:szCs w:val="21"/>
              </w:rPr>
              <w:t>1.9</w:t>
            </w:r>
          </w:p>
        </w:tc>
        <w:tc>
          <w:tcPr>
            <w:tcW w:w="500" w:type="pct"/>
            <w:vAlign w:val="center"/>
          </w:tcPr>
          <w:p w14:paraId="7FED0829" w14:textId="77777777" w:rsidR="007D1E74" w:rsidRDefault="00A95641">
            <w:pPr>
              <w:jc w:val="center"/>
              <w:rPr>
                <w:rFonts w:cstheme="minorHAnsi"/>
                <w:szCs w:val="21"/>
              </w:rPr>
            </w:pPr>
            <w:r>
              <w:rPr>
                <w:rFonts w:cstheme="minorHAnsi" w:hint="eastAsia"/>
                <w:szCs w:val="21"/>
              </w:rPr>
              <w:t>1</w:t>
            </w:r>
            <w:r>
              <w:rPr>
                <w:rFonts w:cstheme="minorHAnsi"/>
                <w:szCs w:val="21"/>
              </w:rPr>
              <w:t>1.10</w:t>
            </w:r>
          </w:p>
        </w:tc>
        <w:tc>
          <w:tcPr>
            <w:tcW w:w="500" w:type="pct"/>
          </w:tcPr>
          <w:p w14:paraId="435F1BA2" w14:textId="77777777" w:rsidR="007D1E74" w:rsidRDefault="00A95641">
            <w:pPr>
              <w:jc w:val="center"/>
              <w:rPr>
                <w:rFonts w:cstheme="minorHAnsi"/>
                <w:szCs w:val="21"/>
              </w:rPr>
            </w:pPr>
            <w:r>
              <w:rPr>
                <w:rFonts w:cstheme="minorHAnsi" w:hint="eastAsia"/>
                <w:szCs w:val="21"/>
              </w:rPr>
              <w:t>1</w:t>
            </w:r>
            <w:r>
              <w:rPr>
                <w:rFonts w:cstheme="minorHAnsi"/>
                <w:szCs w:val="21"/>
              </w:rPr>
              <w:t>1.11</w:t>
            </w:r>
          </w:p>
        </w:tc>
        <w:tc>
          <w:tcPr>
            <w:tcW w:w="500" w:type="pct"/>
            <w:vAlign w:val="center"/>
          </w:tcPr>
          <w:p w14:paraId="32B3F0BE" w14:textId="77777777" w:rsidR="007D1E74" w:rsidRDefault="00A95641">
            <w:pPr>
              <w:jc w:val="center"/>
              <w:rPr>
                <w:rFonts w:cstheme="minorHAnsi"/>
                <w:szCs w:val="21"/>
              </w:rPr>
            </w:pPr>
            <w:r>
              <w:rPr>
                <w:rFonts w:cstheme="minorHAnsi" w:hint="eastAsia"/>
                <w:szCs w:val="21"/>
              </w:rPr>
              <w:t>1</w:t>
            </w:r>
            <w:r>
              <w:rPr>
                <w:rFonts w:cstheme="minorHAnsi"/>
                <w:szCs w:val="21"/>
              </w:rPr>
              <w:t>1.9</w:t>
            </w:r>
          </w:p>
        </w:tc>
        <w:tc>
          <w:tcPr>
            <w:tcW w:w="500" w:type="pct"/>
            <w:vAlign w:val="center"/>
          </w:tcPr>
          <w:p w14:paraId="3C27692A" w14:textId="77777777" w:rsidR="007D1E74" w:rsidRDefault="00A95641">
            <w:pPr>
              <w:jc w:val="center"/>
              <w:rPr>
                <w:rFonts w:cstheme="minorHAnsi"/>
                <w:szCs w:val="21"/>
              </w:rPr>
            </w:pPr>
            <w:r>
              <w:rPr>
                <w:rFonts w:cstheme="minorHAnsi" w:hint="eastAsia"/>
                <w:szCs w:val="21"/>
              </w:rPr>
              <w:t>1</w:t>
            </w:r>
            <w:r>
              <w:rPr>
                <w:rFonts w:cstheme="minorHAnsi"/>
                <w:szCs w:val="21"/>
              </w:rPr>
              <w:t>1.10</w:t>
            </w:r>
          </w:p>
        </w:tc>
        <w:tc>
          <w:tcPr>
            <w:tcW w:w="500" w:type="pct"/>
          </w:tcPr>
          <w:p w14:paraId="4EFA3651" w14:textId="77777777" w:rsidR="007D1E74" w:rsidRDefault="00A95641">
            <w:pPr>
              <w:jc w:val="center"/>
              <w:rPr>
                <w:rFonts w:cstheme="minorHAnsi"/>
                <w:szCs w:val="21"/>
              </w:rPr>
            </w:pPr>
            <w:r>
              <w:rPr>
                <w:rFonts w:cstheme="minorHAnsi" w:hint="eastAsia"/>
                <w:szCs w:val="21"/>
              </w:rPr>
              <w:t>1</w:t>
            </w:r>
            <w:r>
              <w:rPr>
                <w:rFonts w:cstheme="minorHAnsi"/>
                <w:szCs w:val="21"/>
              </w:rPr>
              <w:t>1.11</w:t>
            </w:r>
          </w:p>
        </w:tc>
      </w:tr>
      <w:tr w:rsidR="007D1E74" w14:paraId="133F9CB1" w14:textId="77777777">
        <w:trPr>
          <w:trHeight w:val="70"/>
        </w:trPr>
        <w:tc>
          <w:tcPr>
            <w:tcW w:w="500" w:type="pct"/>
            <w:vAlign w:val="center"/>
          </w:tcPr>
          <w:p w14:paraId="2E16FC5E" w14:textId="77777777" w:rsidR="007D1E74" w:rsidRDefault="00A95641">
            <w:pPr>
              <w:jc w:val="center"/>
              <w:rPr>
                <w:rFonts w:cstheme="minorHAnsi"/>
                <w:szCs w:val="21"/>
              </w:rPr>
            </w:pPr>
            <w:r>
              <w:rPr>
                <w:rFonts w:cstheme="minorHAnsi"/>
                <w:szCs w:val="21"/>
              </w:rPr>
              <w:t>pH</w:t>
            </w:r>
          </w:p>
        </w:tc>
        <w:tc>
          <w:tcPr>
            <w:tcW w:w="500" w:type="pct"/>
            <w:vAlign w:val="center"/>
          </w:tcPr>
          <w:p w14:paraId="42DC80A2" w14:textId="77777777" w:rsidR="007D1E74" w:rsidRDefault="00A95641">
            <w:pPr>
              <w:jc w:val="center"/>
              <w:rPr>
                <w:rFonts w:cstheme="minorHAnsi"/>
                <w:szCs w:val="21"/>
              </w:rPr>
            </w:pPr>
            <w:r>
              <w:rPr>
                <w:rFonts w:cstheme="minorHAnsi" w:hint="eastAsia"/>
                <w:szCs w:val="21"/>
              </w:rPr>
              <w:t>7</w:t>
            </w:r>
            <w:r>
              <w:rPr>
                <w:rFonts w:cstheme="minorHAnsi"/>
                <w:szCs w:val="21"/>
              </w:rPr>
              <w:t>.4</w:t>
            </w:r>
          </w:p>
        </w:tc>
        <w:tc>
          <w:tcPr>
            <w:tcW w:w="500" w:type="pct"/>
            <w:vAlign w:val="center"/>
          </w:tcPr>
          <w:p w14:paraId="203FA291" w14:textId="77777777" w:rsidR="007D1E74" w:rsidRDefault="00A95641">
            <w:pPr>
              <w:jc w:val="center"/>
              <w:rPr>
                <w:rFonts w:cstheme="minorHAnsi"/>
                <w:szCs w:val="21"/>
              </w:rPr>
            </w:pPr>
            <w:r>
              <w:rPr>
                <w:rFonts w:cstheme="minorHAnsi" w:hint="eastAsia"/>
                <w:szCs w:val="21"/>
              </w:rPr>
              <w:t>7</w:t>
            </w:r>
            <w:r>
              <w:rPr>
                <w:rFonts w:cstheme="minorHAnsi"/>
                <w:szCs w:val="21"/>
              </w:rPr>
              <w:t>.3</w:t>
            </w:r>
          </w:p>
        </w:tc>
        <w:tc>
          <w:tcPr>
            <w:tcW w:w="500" w:type="pct"/>
          </w:tcPr>
          <w:p w14:paraId="444C54BD" w14:textId="77777777" w:rsidR="007D1E74" w:rsidRDefault="00A95641">
            <w:pPr>
              <w:jc w:val="center"/>
              <w:rPr>
                <w:rFonts w:cstheme="minorHAnsi"/>
                <w:szCs w:val="21"/>
              </w:rPr>
            </w:pPr>
            <w:r>
              <w:rPr>
                <w:rFonts w:cstheme="minorHAnsi" w:hint="eastAsia"/>
                <w:szCs w:val="21"/>
              </w:rPr>
              <w:t>7</w:t>
            </w:r>
            <w:r>
              <w:rPr>
                <w:rFonts w:cstheme="minorHAnsi"/>
                <w:szCs w:val="21"/>
              </w:rPr>
              <w:t>.3</w:t>
            </w:r>
          </w:p>
        </w:tc>
        <w:tc>
          <w:tcPr>
            <w:tcW w:w="500" w:type="pct"/>
          </w:tcPr>
          <w:p w14:paraId="3F5BBC1D" w14:textId="77777777" w:rsidR="007D1E74" w:rsidRDefault="00A95641">
            <w:pPr>
              <w:jc w:val="center"/>
              <w:rPr>
                <w:rFonts w:cstheme="minorHAnsi"/>
                <w:szCs w:val="21"/>
              </w:rPr>
            </w:pPr>
            <w:r>
              <w:rPr>
                <w:rFonts w:cstheme="minorHAnsi" w:hint="eastAsia"/>
                <w:szCs w:val="21"/>
              </w:rPr>
              <w:t>7</w:t>
            </w:r>
            <w:r>
              <w:rPr>
                <w:rFonts w:cstheme="minorHAnsi"/>
                <w:szCs w:val="21"/>
              </w:rPr>
              <w:t>.3</w:t>
            </w:r>
          </w:p>
        </w:tc>
        <w:tc>
          <w:tcPr>
            <w:tcW w:w="500" w:type="pct"/>
          </w:tcPr>
          <w:p w14:paraId="3D4C7C20" w14:textId="77777777" w:rsidR="007D1E74" w:rsidRDefault="00A95641">
            <w:pPr>
              <w:jc w:val="center"/>
              <w:rPr>
                <w:rFonts w:cstheme="minorHAnsi"/>
                <w:szCs w:val="21"/>
              </w:rPr>
            </w:pPr>
            <w:r>
              <w:rPr>
                <w:rFonts w:cstheme="minorHAnsi" w:hint="eastAsia"/>
                <w:szCs w:val="21"/>
              </w:rPr>
              <w:t>7</w:t>
            </w:r>
            <w:r>
              <w:rPr>
                <w:rFonts w:cstheme="minorHAnsi"/>
                <w:szCs w:val="21"/>
              </w:rPr>
              <w:t>.4</w:t>
            </w:r>
          </w:p>
        </w:tc>
        <w:tc>
          <w:tcPr>
            <w:tcW w:w="500" w:type="pct"/>
          </w:tcPr>
          <w:p w14:paraId="3A42BE6D" w14:textId="77777777" w:rsidR="007D1E74" w:rsidRDefault="00A95641">
            <w:pPr>
              <w:jc w:val="center"/>
              <w:rPr>
                <w:rFonts w:cstheme="minorHAnsi"/>
                <w:szCs w:val="21"/>
              </w:rPr>
            </w:pPr>
            <w:r>
              <w:rPr>
                <w:rFonts w:cstheme="minorHAnsi" w:hint="eastAsia"/>
                <w:szCs w:val="21"/>
              </w:rPr>
              <w:t>7</w:t>
            </w:r>
            <w:r>
              <w:rPr>
                <w:rFonts w:cstheme="minorHAnsi"/>
                <w:szCs w:val="21"/>
              </w:rPr>
              <w:t>.4</w:t>
            </w:r>
          </w:p>
        </w:tc>
        <w:tc>
          <w:tcPr>
            <w:tcW w:w="500" w:type="pct"/>
          </w:tcPr>
          <w:p w14:paraId="2D903D88" w14:textId="77777777" w:rsidR="007D1E74" w:rsidRDefault="00A95641">
            <w:pPr>
              <w:jc w:val="center"/>
              <w:rPr>
                <w:rFonts w:cstheme="minorHAnsi"/>
                <w:szCs w:val="21"/>
              </w:rPr>
            </w:pPr>
            <w:r>
              <w:rPr>
                <w:rFonts w:cstheme="minorHAnsi" w:hint="eastAsia"/>
                <w:szCs w:val="21"/>
              </w:rPr>
              <w:t>7</w:t>
            </w:r>
            <w:r>
              <w:rPr>
                <w:rFonts w:cstheme="minorHAnsi"/>
                <w:szCs w:val="21"/>
              </w:rPr>
              <w:t>.5</w:t>
            </w:r>
          </w:p>
        </w:tc>
        <w:tc>
          <w:tcPr>
            <w:tcW w:w="500" w:type="pct"/>
          </w:tcPr>
          <w:p w14:paraId="11954D65" w14:textId="77777777" w:rsidR="007D1E74" w:rsidRDefault="00A95641">
            <w:pPr>
              <w:jc w:val="center"/>
              <w:rPr>
                <w:rFonts w:cstheme="minorHAnsi"/>
                <w:szCs w:val="21"/>
              </w:rPr>
            </w:pPr>
            <w:r>
              <w:rPr>
                <w:rFonts w:cstheme="minorHAnsi" w:hint="eastAsia"/>
                <w:szCs w:val="21"/>
              </w:rPr>
              <w:t>7</w:t>
            </w:r>
            <w:r>
              <w:rPr>
                <w:rFonts w:cstheme="minorHAnsi"/>
                <w:szCs w:val="21"/>
              </w:rPr>
              <w:t>.4</w:t>
            </w:r>
          </w:p>
        </w:tc>
        <w:tc>
          <w:tcPr>
            <w:tcW w:w="500" w:type="pct"/>
          </w:tcPr>
          <w:p w14:paraId="27C6DE01" w14:textId="77777777" w:rsidR="007D1E74" w:rsidRDefault="00A95641">
            <w:pPr>
              <w:jc w:val="center"/>
              <w:rPr>
                <w:rFonts w:cstheme="minorHAnsi"/>
                <w:szCs w:val="21"/>
              </w:rPr>
            </w:pPr>
            <w:r>
              <w:rPr>
                <w:rFonts w:cstheme="minorHAnsi" w:hint="eastAsia"/>
                <w:szCs w:val="21"/>
              </w:rPr>
              <w:t>7</w:t>
            </w:r>
            <w:r>
              <w:rPr>
                <w:rFonts w:cstheme="minorHAnsi"/>
                <w:szCs w:val="21"/>
              </w:rPr>
              <w:t>.4</w:t>
            </w:r>
          </w:p>
        </w:tc>
      </w:tr>
      <w:tr w:rsidR="007D1E74" w14:paraId="4029ADDA" w14:textId="77777777">
        <w:trPr>
          <w:trHeight w:val="70"/>
        </w:trPr>
        <w:tc>
          <w:tcPr>
            <w:tcW w:w="500" w:type="pct"/>
            <w:vAlign w:val="center"/>
          </w:tcPr>
          <w:p w14:paraId="0A6ADAFE" w14:textId="77777777" w:rsidR="007D1E74" w:rsidRDefault="00A95641">
            <w:pPr>
              <w:jc w:val="center"/>
              <w:rPr>
                <w:rFonts w:cstheme="minorHAnsi"/>
                <w:szCs w:val="21"/>
              </w:rPr>
            </w:pPr>
            <w:r>
              <w:rPr>
                <w:rFonts w:cstheme="minorHAnsi"/>
                <w:szCs w:val="21"/>
              </w:rPr>
              <w:t>COD</w:t>
            </w:r>
          </w:p>
        </w:tc>
        <w:tc>
          <w:tcPr>
            <w:tcW w:w="500" w:type="pct"/>
            <w:vAlign w:val="center"/>
          </w:tcPr>
          <w:p w14:paraId="405FE797" w14:textId="77777777" w:rsidR="007D1E74" w:rsidRDefault="00A95641">
            <w:pPr>
              <w:jc w:val="center"/>
              <w:rPr>
                <w:rFonts w:cstheme="minorHAnsi"/>
                <w:szCs w:val="21"/>
              </w:rPr>
            </w:pPr>
            <w:r>
              <w:rPr>
                <w:rFonts w:cstheme="minorHAnsi"/>
                <w:szCs w:val="21"/>
              </w:rPr>
              <w:t>未检出</w:t>
            </w:r>
          </w:p>
        </w:tc>
        <w:tc>
          <w:tcPr>
            <w:tcW w:w="500" w:type="pct"/>
            <w:vAlign w:val="center"/>
          </w:tcPr>
          <w:p w14:paraId="3A4450DD" w14:textId="77777777" w:rsidR="007D1E74" w:rsidRDefault="00A95641">
            <w:pPr>
              <w:jc w:val="center"/>
              <w:rPr>
                <w:rFonts w:cstheme="minorHAnsi"/>
                <w:szCs w:val="21"/>
              </w:rPr>
            </w:pPr>
            <w:r>
              <w:rPr>
                <w:rFonts w:cstheme="minorHAnsi" w:hint="eastAsia"/>
                <w:szCs w:val="21"/>
              </w:rPr>
              <w:t>1</w:t>
            </w:r>
            <w:r>
              <w:rPr>
                <w:rFonts w:cstheme="minorHAnsi"/>
                <w:szCs w:val="21"/>
              </w:rPr>
              <w:t>0</w:t>
            </w:r>
          </w:p>
        </w:tc>
        <w:tc>
          <w:tcPr>
            <w:tcW w:w="500" w:type="pct"/>
          </w:tcPr>
          <w:p w14:paraId="69DF1349" w14:textId="77777777" w:rsidR="007D1E74" w:rsidRDefault="00A95641">
            <w:pPr>
              <w:jc w:val="center"/>
              <w:rPr>
                <w:rFonts w:cstheme="minorHAnsi"/>
                <w:szCs w:val="21"/>
              </w:rPr>
            </w:pPr>
            <w:r>
              <w:rPr>
                <w:rFonts w:cstheme="minorHAnsi" w:hint="eastAsia"/>
                <w:szCs w:val="21"/>
              </w:rPr>
              <w:t>6</w:t>
            </w:r>
          </w:p>
        </w:tc>
        <w:tc>
          <w:tcPr>
            <w:tcW w:w="500" w:type="pct"/>
          </w:tcPr>
          <w:p w14:paraId="2DF3D207" w14:textId="77777777" w:rsidR="007D1E74" w:rsidRDefault="00A95641">
            <w:pPr>
              <w:jc w:val="center"/>
              <w:rPr>
                <w:rFonts w:cstheme="minorHAnsi"/>
                <w:szCs w:val="21"/>
              </w:rPr>
            </w:pPr>
            <w:r>
              <w:rPr>
                <w:rFonts w:cstheme="minorHAnsi"/>
                <w:szCs w:val="21"/>
              </w:rPr>
              <w:t>未检出</w:t>
            </w:r>
          </w:p>
        </w:tc>
        <w:tc>
          <w:tcPr>
            <w:tcW w:w="500" w:type="pct"/>
          </w:tcPr>
          <w:p w14:paraId="7DCD2FB4" w14:textId="77777777" w:rsidR="007D1E74" w:rsidRDefault="00A95641">
            <w:pPr>
              <w:jc w:val="center"/>
              <w:rPr>
                <w:rFonts w:cstheme="minorHAnsi"/>
                <w:szCs w:val="21"/>
              </w:rPr>
            </w:pPr>
            <w:r>
              <w:rPr>
                <w:rFonts w:cstheme="minorHAnsi" w:hint="eastAsia"/>
                <w:szCs w:val="21"/>
              </w:rPr>
              <w:t>9</w:t>
            </w:r>
          </w:p>
        </w:tc>
        <w:tc>
          <w:tcPr>
            <w:tcW w:w="500" w:type="pct"/>
          </w:tcPr>
          <w:p w14:paraId="43AC1270" w14:textId="77777777" w:rsidR="007D1E74" w:rsidRDefault="00A95641">
            <w:pPr>
              <w:jc w:val="center"/>
              <w:rPr>
                <w:rFonts w:cstheme="minorHAnsi"/>
                <w:szCs w:val="21"/>
              </w:rPr>
            </w:pPr>
            <w:r>
              <w:rPr>
                <w:rFonts w:cstheme="minorHAnsi" w:hint="eastAsia"/>
                <w:szCs w:val="21"/>
              </w:rPr>
              <w:t>7</w:t>
            </w:r>
          </w:p>
        </w:tc>
        <w:tc>
          <w:tcPr>
            <w:tcW w:w="500" w:type="pct"/>
          </w:tcPr>
          <w:p w14:paraId="3B4C2AE1" w14:textId="77777777" w:rsidR="007D1E74" w:rsidRDefault="00A95641">
            <w:pPr>
              <w:jc w:val="center"/>
              <w:rPr>
                <w:rFonts w:cstheme="minorHAnsi"/>
                <w:szCs w:val="21"/>
              </w:rPr>
            </w:pPr>
            <w:r>
              <w:rPr>
                <w:rFonts w:cstheme="minorHAnsi" w:hint="eastAsia"/>
                <w:szCs w:val="21"/>
              </w:rPr>
              <w:t>4</w:t>
            </w:r>
          </w:p>
        </w:tc>
        <w:tc>
          <w:tcPr>
            <w:tcW w:w="500" w:type="pct"/>
          </w:tcPr>
          <w:p w14:paraId="7415CB8F" w14:textId="77777777" w:rsidR="007D1E74" w:rsidRDefault="00A95641">
            <w:pPr>
              <w:jc w:val="center"/>
              <w:rPr>
                <w:rFonts w:cstheme="minorHAnsi"/>
                <w:szCs w:val="21"/>
              </w:rPr>
            </w:pPr>
            <w:r>
              <w:rPr>
                <w:rFonts w:cstheme="minorHAnsi" w:hint="eastAsia"/>
                <w:szCs w:val="21"/>
              </w:rPr>
              <w:t>1</w:t>
            </w:r>
            <w:r>
              <w:rPr>
                <w:rFonts w:cstheme="minorHAnsi"/>
                <w:szCs w:val="21"/>
              </w:rPr>
              <w:t>0</w:t>
            </w:r>
          </w:p>
        </w:tc>
        <w:tc>
          <w:tcPr>
            <w:tcW w:w="500" w:type="pct"/>
          </w:tcPr>
          <w:p w14:paraId="032F1448" w14:textId="77777777" w:rsidR="007D1E74" w:rsidRDefault="00A95641">
            <w:pPr>
              <w:jc w:val="center"/>
              <w:rPr>
                <w:rFonts w:cstheme="minorHAnsi"/>
                <w:szCs w:val="21"/>
              </w:rPr>
            </w:pPr>
            <w:r>
              <w:rPr>
                <w:rFonts w:cstheme="minorHAnsi" w:hint="eastAsia"/>
                <w:szCs w:val="21"/>
              </w:rPr>
              <w:t>5</w:t>
            </w:r>
          </w:p>
        </w:tc>
      </w:tr>
      <w:tr w:rsidR="007D1E74" w14:paraId="4E73167F" w14:textId="77777777">
        <w:trPr>
          <w:trHeight w:val="70"/>
        </w:trPr>
        <w:tc>
          <w:tcPr>
            <w:tcW w:w="500" w:type="pct"/>
            <w:vAlign w:val="center"/>
          </w:tcPr>
          <w:p w14:paraId="19FF57AC" w14:textId="77777777" w:rsidR="007D1E74" w:rsidRDefault="00A95641">
            <w:pPr>
              <w:jc w:val="center"/>
              <w:rPr>
                <w:rFonts w:cstheme="minorHAnsi"/>
                <w:szCs w:val="21"/>
              </w:rPr>
            </w:pPr>
            <w:r>
              <w:rPr>
                <w:rFonts w:cstheme="minorHAnsi"/>
                <w:szCs w:val="21"/>
              </w:rPr>
              <w:t>NH</w:t>
            </w:r>
            <w:r>
              <w:rPr>
                <w:rFonts w:cstheme="minorHAnsi"/>
                <w:szCs w:val="21"/>
                <w:vertAlign w:val="subscript"/>
              </w:rPr>
              <w:t>3</w:t>
            </w:r>
            <w:r>
              <w:rPr>
                <w:rFonts w:cstheme="minorHAnsi"/>
                <w:szCs w:val="21"/>
              </w:rPr>
              <w:t>-N</w:t>
            </w:r>
          </w:p>
        </w:tc>
        <w:tc>
          <w:tcPr>
            <w:tcW w:w="500" w:type="pct"/>
            <w:vAlign w:val="center"/>
          </w:tcPr>
          <w:p w14:paraId="73D312EF" w14:textId="77777777" w:rsidR="007D1E74" w:rsidRDefault="00A95641">
            <w:pPr>
              <w:jc w:val="center"/>
              <w:rPr>
                <w:rFonts w:cstheme="minorHAnsi"/>
                <w:szCs w:val="21"/>
              </w:rPr>
            </w:pPr>
            <w:r>
              <w:rPr>
                <w:rFonts w:cstheme="minorHAnsi" w:hint="eastAsia"/>
                <w:szCs w:val="21"/>
              </w:rPr>
              <w:t>0</w:t>
            </w:r>
            <w:r>
              <w:rPr>
                <w:rFonts w:cstheme="minorHAnsi"/>
                <w:szCs w:val="21"/>
              </w:rPr>
              <w:t>.064</w:t>
            </w:r>
          </w:p>
        </w:tc>
        <w:tc>
          <w:tcPr>
            <w:tcW w:w="500" w:type="pct"/>
            <w:vAlign w:val="center"/>
          </w:tcPr>
          <w:p w14:paraId="038A5689" w14:textId="77777777" w:rsidR="007D1E74" w:rsidRDefault="00A95641">
            <w:pPr>
              <w:jc w:val="center"/>
              <w:rPr>
                <w:rFonts w:cstheme="minorHAnsi"/>
                <w:szCs w:val="21"/>
              </w:rPr>
            </w:pPr>
            <w:r>
              <w:rPr>
                <w:rFonts w:cstheme="minorHAnsi" w:hint="eastAsia"/>
                <w:szCs w:val="21"/>
              </w:rPr>
              <w:t>0</w:t>
            </w:r>
            <w:r>
              <w:rPr>
                <w:rFonts w:cstheme="minorHAnsi"/>
                <w:szCs w:val="21"/>
              </w:rPr>
              <w:t>.070</w:t>
            </w:r>
          </w:p>
        </w:tc>
        <w:tc>
          <w:tcPr>
            <w:tcW w:w="500" w:type="pct"/>
          </w:tcPr>
          <w:p w14:paraId="6D26750C" w14:textId="77777777" w:rsidR="007D1E74" w:rsidRDefault="00A95641">
            <w:pPr>
              <w:jc w:val="center"/>
              <w:rPr>
                <w:rFonts w:cstheme="minorHAnsi"/>
                <w:szCs w:val="21"/>
              </w:rPr>
            </w:pPr>
            <w:r>
              <w:rPr>
                <w:rFonts w:cstheme="minorHAnsi" w:hint="eastAsia"/>
                <w:szCs w:val="21"/>
              </w:rPr>
              <w:t>0</w:t>
            </w:r>
            <w:r>
              <w:rPr>
                <w:rFonts w:cstheme="minorHAnsi"/>
                <w:szCs w:val="21"/>
              </w:rPr>
              <w:t>.079</w:t>
            </w:r>
          </w:p>
        </w:tc>
        <w:tc>
          <w:tcPr>
            <w:tcW w:w="500" w:type="pct"/>
          </w:tcPr>
          <w:p w14:paraId="77653ECC" w14:textId="77777777" w:rsidR="007D1E74" w:rsidRDefault="00A95641">
            <w:pPr>
              <w:jc w:val="center"/>
              <w:rPr>
                <w:rFonts w:cstheme="minorHAnsi"/>
                <w:szCs w:val="21"/>
              </w:rPr>
            </w:pPr>
            <w:r>
              <w:rPr>
                <w:rFonts w:cstheme="minorHAnsi" w:hint="eastAsia"/>
                <w:szCs w:val="21"/>
              </w:rPr>
              <w:t>0</w:t>
            </w:r>
            <w:r>
              <w:rPr>
                <w:rFonts w:cstheme="minorHAnsi"/>
                <w:szCs w:val="21"/>
              </w:rPr>
              <w:t>.053</w:t>
            </w:r>
          </w:p>
        </w:tc>
        <w:tc>
          <w:tcPr>
            <w:tcW w:w="500" w:type="pct"/>
          </w:tcPr>
          <w:p w14:paraId="0227189E" w14:textId="77777777" w:rsidR="007D1E74" w:rsidRDefault="00A95641">
            <w:pPr>
              <w:jc w:val="center"/>
              <w:rPr>
                <w:rFonts w:cstheme="minorHAnsi"/>
                <w:szCs w:val="21"/>
              </w:rPr>
            </w:pPr>
            <w:r>
              <w:rPr>
                <w:rFonts w:cstheme="minorHAnsi" w:hint="eastAsia"/>
                <w:szCs w:val="21"/>
              </w:rPr>
              <w:t>0</w:t>
            </w:r>
            <w:r>
              <w:rPr>
                <w:rFonts w:cstheme="minorHAnsi"/>
                <w:szCs w:val="21"/>
              </w:rPr>
              <w:t>.079</w:t>
            </w:r>
          </w:p>
        </w:tc>
        <w:tc>
          <w:tcPr>
            <w:tcW w:w="500" w:type="pct"/>
          </w:tcPr>
          <w:p w14:paraId="30E8064B" w14:textId="77777777" w:rsidR="007D1E74" w:rsidRDefault="00A95641">
            <w:pPr>
              <w:jc w:val="center"/>
              <w:rPr>
                <w:rFonts w:cstheme="minorHAnsi"/>
                <w:szCs w:val="21"/>
              </w:rPr>
            </w:pPr>
            <w:r>
              <w:rPr>
                <w:rFonts w:cstheme="minorHAnsi" w:hint="eastAsia"/>
                <w:szCs w:val="21"/>
              </w:rPr>
              <w:t>0</w:t>
            </w:r>
            <w:r>
              <w:rPr>
                <w:rFonts w:cstheme="minorHAnsi"/>
                <w:szCs w:val="21"/>
              </w:rPr>
              <w:t>.071</w:t>
            </w:r>
          </w:p>
        </w:tc>
        <w:tc>
          <w:tcPr>
            <w:tcW w:w="500" w:type="pct"/>
          </w:tcPr>
          <w:p w14:paraId="50463B1F" w14:textId="77777777" w:rsidR="007D1E74" w:rsidRDefault="00A95641">
            <w:pPr>
              <w:jc w:val="center"/>
              <w:rPr>
                <w:rFonts w:cstheme="minorHAnsi"/>
                <w:szCs w:val="21"/>
              </w:rPr>
            </w:pPr>
            <w:r>
              <w:rPr>
                <w:rFonts w:cstheme="minorHAnsi" w:hint="eastAsia"/>
                <w:szCs w:val="21"/>
              </w:rPr>
              <w:t>0</w:t>
            </w:r>
            <w:r>
              <w:rPr>
                <w:rFonts w:cstheme="minorHAnsi"/>
                <w:szCs w:val="21"/>
              </w:rPr>
              <w:t>.091</w:t>
            </w:r>
          </w:p>
        </w:tc>
        <w:tc>
          <w:tcPr>
            <w:tcW w:w="500" w:type="pct"/>
          </w:tcPr>
          <w:p w14:paraId="3156F6DE" w14:textId="77777777" w:rsidR="007D1E74" w:rsidRDefault="00A95641">
            <w:pPr>
              <w:jc w:val="center"/>
              <w:rPr>
                <w:rFonts w:cstheme="minorHAnsi"/>
                <w:szCs w:val="21"/>
              </w:rPr>
            </w:pPr>
            <w:r>
              <w:rPr>
                <w:rFonts w:cstheme="minorHAnsi" w:hint="eastAsia"/>
                <w:szCs w:val="21"/>
              </w:rPr>
              <w:t>0</w:t>
            </w:r>
            <w:r>
              <w:rPr>
                <w:rFonts w:cstheme="minorHAnsi"/>
                <w:szCs w:val="21"/>
              </w:rPr>
              <w:t>.088</w:t>
            </w:r>
          </w:p>
        </w:tc>
        <w:tc>
          <w:tcPr>
            <w:tcW w:w="500" w:type="pct"/>
          </w:tcPr>
          <w:p w14:paraId="70497DFC" w14:textId="77777777" w:rsidR="007D1E74" w:rsidRDefault="00A95641">
            <w:pPr>
              <w:jc w:val="center"/>
              <w:rPr>
                <w:rFonts w:cstheme="minorHAnsi"/>
                <w:szCs w:val="21"/>
              </w:rPr>
            </w:pPr>
            <w:r>
              <w:rPr>
                <w:rFonts w:cstheme="minorHAnsi" w:hint="eastAsia"/>
                <w:szCs w:val="21"/>
              </w:rPr>
              <w:t>0</w:t>
            </w:r>
            <w:r>
              <w:rPr>
                <w:rFonts w:cstheme="minorHAnsi"/>
                <w:szCs w:val="21"/>
              </w:rPr>
              <w:t>.141</w:t>
            </w:r>
          </w:p>
        </w:tc>
      </w:tr>
      <w:tr w:rsidR="007D1E74" w14:paraId="61CBF616" w14:textId="77777777">
        <w:trPr>
          <w:trHeight w:val="70"/>
        </w:trPr>
        <w:tc>
          <w:tcPr>
            <w:tcW w:w="500" w:type="pct"/>
            <w:vAlign w:val="center"/>
          </w:tcPr>
          <w:p w14:paraId="3032D9FC" w14:textId="77777777" w:rsidR="007D1E74" w:rsidRDefault="00A95641">
            <w:pPr>
              <w:jc w:val="center"/>
              <w:rPr>
                <w:rFonts w:cstheme="minorHAnsi"/>
                <w:szCs w:val="21"/>
              </w:rPr>
            </w:pPr>
            <w:r>
              <w:rPr>
                <w:rFonts w:cstheme="minorHAnsi"/>
                <w:szCs w:val="21"/>
              </w:rPr>
              <w:t>SS</w:t>
            </w:r>
          </w:p>
        </w:tc>
        <w:tc>
          <w:tcPr>
            <w:tcW w:w="500" w:type="pct"/>
            <w:vAlign w:val="center"/>
          </w:tcPr>
          <w:p w14:paraId="29E155D7" w14:textId="77777777" w:rsidR="007D1E74" w:rsidRDefault="00A95641">
            <w:pPr>
              <w:jc w:val="center"/>
              <w:rPr>
                <w:rFonts w:cstheme="minorHAnsi"/>
                <w:szCs w:val="21"/>
              </w:rPr>
            </w:pPr>
            <w:r>
              <w:rPr>
                <w:rFonts w:cstheme="minorHAnsi" w:hint="eastAsia"/>
                <w:szCs w:val="21"/>
              </w:rPr>
              <w:t>9</w:t>
            </w:r>
          </w:p>
        </w:tc>
        <w:tc>
          <w:tcPr>
            <w:tcW w:w="500" w:type="pct"/>
            <w:vAlign w:val="center"/>
          </w:tcPr>
          <w:p w14:paraId="44A6E2E9" w14:textId="77777777" w:rsidR="007D1E74" w:rsidRDefault="00A95641">
            <w:pPr>
              <w:jc w:val="center"/>
              <w:rPr>
                <w:rFonts w:cstheme="minorHAnsi"/>
                <w:szCs w:val="21"/>
              </w:rPr>
            </w:pPr>
            <w:r>
              <w:rPr>
                <w:rFonts w:cstheme="minorHAnsi" w:hint="eastAsia"/>
                <w:szCs w:val="21"/>
              </w:rPr>
              <w:t>9</w:t>
            </w:r>
          </w:p>
        </w:tc>
        <w:tc>
          <w:tcPr>
            <w:tcW w:w="500" w:type="pct"/>
          </w:tcPr>
          <w:p w14:paraId="515BDB43" w14:textId="77777777" w:rsidR="007D1E74" w:rsidRDefault="00A95641">
            <w:pPr>
              <w:jc w:val="center"/>
              <w:rPr>
                <w:rFonts w:cstheme="minorHAnsi"/>
                <w:szCs w:val="21"/>
              </w:rPr>
            </w:pPr>
            <w:r>
              <w:rPr>
                <w:rFonts w:cstheme="minorHAnsi" w:hint="eastAsia"/>
                <w:szCs w:val="21"/>
              </w:rPr>
              <w:t>6</w:t>
            </w:r>
          </w:p>
        </w:tc>
        <w:tc>
          <w:tcPr>
            <w:tcW w:w="500" w:type="pct"/>
          </w:tcPr>
          <w:p w14:paraId="4BF77248" w14:textId="77777777" w:rsidR="007D1E74" w:rsidRDefault="00A95641">
            <w:pPr>
              <w:jc w:val="center"/>
              <w:rPr>
                <w:rFonts w:cstheme="minorHAnsi"/>
                <w:szCs w:val="21"/>
              </w:rPr>
            </w:pPr>
            <w:r>
              <w:rPr>
                <w:rFonts w:cstheme="minorHAnsi" w:hint="eastAsia"/>
                <w:szCs w:val="21"/>
              </w:rPr>
              <w:t>9</w:t>
            </w:r>
          </w:p>
        </w:tc>
        <w:tc>
          <w:tcPr>
            <w:tcW w:w="500" w:type="pct"/>
          </w:tcPr>
          <w:p w14:paraId="6EE7FEEF" w14:textId="77777777" w:rsidR="007D1E74" w:rsidRDefault="00A95641">
            <w:pPr>
              <w:jc w:val="center"/>
              <w:rPr>
                <w:rFonts w:cstheme="minorHAnsi"/>
                <w:szCs w:val="21"/>
              </w:rPr>
            </w:pPr>
            <w:r>
              <w:rPr>
                <w:rFonts w:cstheme="minorHAnsi" w:hint="eastAsia"/>
                <w:szCs w:val="21"/>
              </w:rPr>
              <w:t>7</w:t>
            </w:r>
          </w:p>
        </w:tc>
        <w:tc>
          <w:tcPr>
            <w:tcW w:w="500" w:type="pct"/>
          </w:tcPr>
          <w:p w14:paraId="552BFB4D" w14:textId="77777777" w:rsidR="007D1E74" w:rsidRDefault="00A95641">
            <w:pPr>
              <w:jc w:val="center"/>
              <w:rPr>
                <w:rFonts w:cstheme="minorHAnsi"/>
                <w:szCs w:val="21"/>
              </w:rPr>
            </w:pPr>
            <w:r>
              <w:rPr>
                <w:rFonts w:cstheme="minorHAnsi" w:hint="eastAsia"/>
                <w:szCs w:val="21"/>
              </w:rPr>
              <w:t>6</w:t>
            </w:r>
          </w:p>
        </w:tc>
        <w:tc>
          <w:tcPr>
            <w:tcW w:w="500" w:type="pct"/>
          </w:tcPr>
          <w:p w14:paraId="1354A925" w14:textId="77777777" w:rsidR="007D1E74" w:rsidRDefault="00A95641">
            <w:pPr>
              <w:jc w:val="center"/>
              <w:rPr>
                <w:rFonts w:cstheme="minorHAnsi"/>
                <w:szCs w:val="21"/>
              </w:rPr>
            </w:pPr>
            <w:r>
              <w:rPr>
                <w:rFonts w:cstheme="minorHAnsi" w:hint="eastAsia"/>
                <w:szCs w:val="21"/>
              </w:rPr>
              <w:t>9</w:t>
            </w:r>
          </w:p>
        </w:tc>
        <w:tc>
          <w:tcPr>
            <w:tcW w:w="500" w:type="pct"/>
          </w:tcPr>
          <w:p w14:paraId="31E9A0B2" w14:textId="77777777" w:rsidR="007D1E74" w:rsidRDefault="00A95641">
            <w:pPr>
              <w:jc w:val="center"/>
              <w:rPr>
                <w:rFonts w:cstheme="minorHAnsi"/>
                <w:szCs w:val="21"/>
              </w:rPr>
            </w:pPr>
            <w:r>
              <w:rPr>
                <w:rFonts w:cstheme="minorHAnsi" w:hint="eastAsia"/>
                <w:szCs w:val="21"/>
              </w:rPr>
              <w:t>8</w:t>
            </w:r>
          </w:p>
        </w:tc>
        <w:tc>
          <w:tcPr>
            <w:tcW w:w="500" w:type="pct"/>
          </w:tcPr>
          <w:p w14:paraId="6AC6A59A" w14:textId="77777777" w:rsidR="007D1E74" w:rsidRDefault="00A95641">
            <w:pPr>
              <w:jc w:val="center"/>
              <w:rPr>
                <w:rFonts w:cstheme="minorHAnsi"/>
                <w:szCs w:val="21"/>
              </w:rPr>
            </w:pPr>
            <w:r>
              <w:rPr>
                <w:rFonts w:cstheme="minorHAnsi" w:hint="eastAsia"/>
                <w:szCs w:val="21"/>
              </w:rPr>
              <w:t>6</w:t>
            </w:r>
          </w:p>
        </w:tc>
      </w:tr>
      <w:tr w:rsidR="007D1E74" w14:paraId="22E57CF5" w14:textId="77777777">
        <w:trPr>
          <w:trHeight w:val="70"/>
        </w:trPr>
        <w:tc>
          <w:tcPr>
            <w:tcW w:w="500" w:type="pct"/>
            <w:vAlign w:val="center"/>
          </w:tcPr>
          <w:p w14:paraId="68AC8E9E" w14:textId="77777777" w:rsidR="007D1E74" w:rsidRDefault="00A95641">
            <w:pPr>
              <w:jc w:val="center"/>
              <w:rPr>
                <w:rFonts w:cstheme="minorHAnsi"/>
                <w:szCs w:val="21"/>
              </w:rPr>
            </w:pPr>
            <w:r>
              <w:rPr>
                <w:rFonts w:cstheme="minorHAnsi"/>
                <w:szCs w:val="21"/>
              </w:rPr>
              <w:t>挥发酚</w:t>
            </w:r>
          </w:p>
        </w:tc>
        <w:tc>
          <w:tcPr>
            <w:tcW w:w="500" w:type="pct"/>
            <w:vAlign w:val="center"/>
          </w:tcPr>
          <w:p w14:paraId="3EE8416E" w14:textId="77777777" w:rsidR="007D1E74" w:rsidRDefault="00A95641">
            <w:pPr>
              <w:jc w:val="center"/>
              <w:rPr>
                <w:rFonts w:cstheme="minorHAnsi"/>
                <w:szCs w:val="21"/>
              </w:rPr>
            </w:pPr>
            <w:r>
              <w:rPr>
                <w:rFonts w:cstheme="minorHAnsi" w:hint="eastAsia"/>
                <w:szCs w:val="21"/>
              </w:rPr>
              <w:t>0</w:t>
            </w:r>
            <w:r>
              <w:rPr>
                <w:rFonts w:cstheme="minorHAnsi"/>
                <w:szCs w:val="21"/>
              </w:rPr>
              <w:t>.0005</w:t>
            </w:r>
          </w:p>
        </w:tc>
        <w:tc>
          <w:tcPr>
            <w:tcW w:w="500" w:type="pct"/>
            <w:vAlign w:val="center"/>
          </w:tcPr>
          <w:p w14:paraId="6F22E05D" w14:textId="77777777" w:rsidR="007D1E74" w:rsidRDefault="00A95641">
            <w:pPr>
              <w:jc w:val="center"/>
              <w:rPr>
                <w:rFonts w:cstheme="minorHAnsi"/>
                <w:szCs w:val="21"/>
              </w:rPr>
            </w:pPr>
            <w:r>
              <w:rPr>
                <w:rFonts w:cstheme="minorHAnsi" w:hint="eastAsia"/>
                <w:szCs w:val="21"/>
              </w:rPr>
              <w:t>0</w:t>
            </w:r>
            <w:r>
              <w:rPr>
                <w:rFonts w:cstheme="minorHAnsi"/>
                <w:szCs w:val="21"/>
              </w:rPr>
              <w:t>.0005</w:t>
            </w:r>
          </w:p>
        </w:tc>
        <w:tc>
          <w:tcPr>
            <w:tcW w:w="500" w:type="pct"/>
          </w:tcPr>
          <w:p w14:paraId="280653F6" w14:textId="77777777" w:rsidR="007D1E74" w:rsidRDefault="00A95641">
            <w:pPr>
              <w:jc w:val="center"/>
              <w:rPr>
                <w:rFonts w:cstheme="minorHAnsi"/>
                <w:szCs w:val="21"/>
              </w:rPr>
            </w:pPr>
            <w:r>
              <w:rPr>
                <w:rFonts w:cstheme="minorHAnsi"/>
                <w:szCs w:val="21"/>
              </w:rPr>
              <w:t>未检出</w:t>
            </w:r>
          </w:p>
        </w:tc>
        <w:tc>
          <w:tcPr>
            <w:tcW w:w="500" w:type="pct"/>
          </w:tcPr>
          <w:p w14:paraId="15CFC7BB" w14:textId="77777777" w:rsidR="007D1E74" w:rsidRDefault="00A95641">
            <w:pPr>
              <w:jc w:val="center"/>
              <w:rPr>
                <w:rFonts w:cstheme="minorHAnsi"/>
                <w:szCs w:val="21"/>
              </w:rPr>
            </w:pPr>
            <w:r>
              <w:rPr>
                <w:rFonts w:cstheme="minorHAnsi"/>
                <w:szCs w:val="21"/>
              </w:rPr>
              <w:t>未检出</w:t>
            </w:r>
          </w:p>
        </w:tc>
        <w:tc>
          <w:tcPr>
            <w:tcW w:w="500" w:type="pct"/>
          </w:tcPr>
          <w:p w14:paraId="5F2E0FB9" w14:textId="77777777" w:rsidR="007D1E74" w:rsidRDefault="00A95641">
            <w:pPr>
              <w:jc w:val="center"/>
              <w:rPr>
                <w:rFonts w:cstheme="minorHAnsi"/>
                <w:szCs w:val="21"/>
              </w:rPr>
            </w:pPr>
            <w:r>
              <w:rPr>
                <w:rFonts w:cstheme="minorHAnsi"/>
                <w:szCs w:val="21"/>
              </w:rPr>
              <w:t>未检出</w:t>
            </w:r>
          </w:p>
        </w:tc>
        <w:tc>
          <w:tcPr>
            <w:tcW w:w="500" w:type="pct"/>
          </w:tcPr>
          <w:p w14:paraId="051E0E4B" w14:textId="77777777" w:rsidR="007D1E74" w:rsidRDefault="00A95641">
            <w:pPr>
              <w:jc w:val="center"/>
              <w:rPr>
                <w:rFonts w:cstheme="minorHAnsi"/>
                <w:szCs w:val="21"/>
              </w:rPr>
            </w:pPr>
            <w:r>
              <w:rPr>
                <w:rFonts w:cstheme="minorHAnsi" w:hint="eastAsia"/>
                <w:szCs w:val="21"/>
              </w:rPr>
              <w:t>0</w:t>
            </w:r>
            <w:r>
              <w:rPr>
                <w:rFonts w:cstheme="minorHAnsi"/>
                <w:szCs w:val="21"/>
              </w:rPr>
              <w:t>.0004</w:t>
            </w:r>
          </w:p>
        </w:tc>
        <w:tc>
          <w:tcPr>
            <w:tcW w:w="500" w:type="pct"/>
          </w:tcPr>
          <w:p w14:paraId="6D16FDCE" w14:textId="77777777" w:rsidR="007D1E74" w:rsidRDefault="00A95641">
            <w:pPr>
              <w:jc w:val="center"/>
              <w:rPr>
                <w:rFonts w:cstheme="minorHAnsi"/>
                <w:szCs w:val="21"/>
              </w:rPr>
            </w:pPr>
            <w:r>
              <w:rPr>
                <w:rFonts w:cstheme="minorHAnsi"/>
                <w:szCs w:val="21"/>
              </w:rPr>
              <w:t>未检出</w:t>
            </w:r>
          </w:p>
        </w:tc>
        <w:tc>
          <w:tcPr>
            <w:tcW w:w="500" w:type="pct"/>
          </w:tcPr>
          <w:p w14:paraId="2613A845" w14:textId="77777777" w:rsidR="007D1E74" w:rsidRDefault="00A95641">
            <w:pPr>
              <w:jc w:val="center"/>
              <w:rPr>
                <w:rFonts w:cstheme="minorHAnsi"/>
                <w:szCs w:val="21"/>
              </w:rPr>
            </w:pPr>
            <w:r>
              <w:rPr>
                <w:rFonts w:cstheme="minorHAnsi"/>
                <w:szCs w:val="21"/>
              </w:rPr>
              <w:t>未检出</w:t>
            </w:r>
          </w:p>
        </w:tc>
        <w:tc>
          <w:tcPr>
            <w:tcW w:w="500" w:type="pct"/>
          </w:tcPr>
          <w:p w14:paraId="5B2B3036" w14:textId="77777777" w:rsidR="007D1E74" w:rsidRDefault="00A95641">
            <w:pPr>
              <w:jc w:val="center"/>
              <w:rPr>
                <w:rFonts w:cstheme="minorHAnsi"/>
                <w:szCs w:val="21"/>
              </w:rPr>
            </w:pPr>
            <w:r>
              <w:rPr>
                <w:rFonts w:cstheme="minorHAnsi"/>
                <w:szCs w:val="21"/>
              </w:rPr>
              <w:t>未检出</w:t>
            </w:r>
          </w:p>
        </w:tc>
      </w:tr>
      <w:tr w:rsidR="007D1E74" w14:paraId="3DC39BB3" w14:textId="77777777">
        <w:trPr>
          <w:trHeight w:val="70"/>
        </w:trPr>
        <w:tc>
          <w:tcPr>
            <w:tcW w:w="500" w:type="pct"/>
            <w:vAlign w:val="center"/>
          </w:tcPr>
          <w:p w14:paraId="58F787B6" w14:textId="77777777" w:rsidR="007D1E74" w:rsidRDefault="00A95641">
            <w:pPr>
              <w:jc w:val="center"/>
              <w:rPr>
                <w:rFonts w:cstheme="minorHAnsi"/>
                <w:szCs w:val="21"/>
              </w:rPr>
            </w:pPr>
            <w:r>
              <w:rPr>
                <w:rFonts w:cstheme="minorHAnsi"/>
                <w:szCs w:val="21"/>
              </w:rPr>
              <w:t>石油类</w:t>
            </w:r>
          </w:p>
        </w:tc>
        <w:tc>
          <w:tcPr>
            <w:tcW w:w="500" w:type="pct"/>
            <w:vAlign w:val="center"/>
          </w:tcPr>
          <w:p w14:paraId="2B1E409D" w14:textId="77777777" w:rsidR="007D1E74" w:rsidRDefault="00A95641">
            <w:pPr>
              <w:jc w:val="center"/>
              <w:rPr>
                <w:rFonts w:cstheme="minorHAnsi"/>
                <w:szCs w:val="21"/>
              </w:rPr>
            </w:pPr>
            <w:r>
              <w:rPr>
                <w:rFonts w:cstheme="minorHAnsi"/>
                <w:szCs w:val="21"/>
              </w:rPr>
              <w:t>未检出</w:t>
            </w:r>
          </w:p>
        </w:tc>
        <w:tc>
          <w:tcPr>
            <w:tcW w:w="500" w:type="pct"/>
            <w:vAlign w:val="center"/>
          </w:tcPr>
          <w:p w14:paraId="42A1854D" w14:textId="77777777" w:rsidR="007D1E74" w:rsidRDefault="00A95641">
            <w:pPr>
              <w:jc w:val="center"/>
              <w:rPr>
                <w:rFonts w:cstheme="minorHAnsi"/>
                <w:szCs w:val="21"/>
              </w:rPr>
            </w:pPr>
            <w:r>
              <w:rPr>
                <w:rFonts w:cstheme="minorHAnsi"/>
                <w:szCs w:val="21"/>
              </w:rPr>
              <w:t>未检出</w:t>
            </w:r>
          </w:p>
        </w:tc>
        <w:tc>
          <w:tcPr>
            <w:tcW w:w="500" w:type="pct"/>
          </w:tcPr>
          <w:p w14:paraId="4983B2A3" w14:textId="77777777" w:rsidR="007D1E74" w:rsidRDefault="00A95641">
            <w:pPr>
              <w:jc w:val="center"/>
              <w:rPr>
                <w:rFonts w:cstheme="minorHAnsi"/>
                <w:szCs w:val="21"/>
              </w:rPr>
            </w:pPr>
            <w:r>
              <w:rPr>
                <w:rFonts w:cstheme="minorHAnsi"/>
                <w:szCs w:val="21"/>
              </w:rPr>
              <w:t>未检出</w:t>
            </w:r>
          </w:p>
        </w:tc>
        <w:tc>
          <w:tcPr>
            <w:tcW w:w="500" w:type="pct"/>
          </w:tcPr>
          <w:p w14:paraId="5C6904FC" w14:textId="77777777" w:rsidR="007D1E74" w:rsidRDefault="00A95641">
            <w:pPr>
              <w:jc w:val="center"/>
              <w:rPr>
                <w:rFonts w:cstheme="minorHAnsi"/>
                <w:szCs w:val="21"/>
              </w:rPr>
            </w:pPr>
            <w:r>
              <w:rPr>
                <w:rFonts w:cstheme="minorHAnsi"/>
                <w:szCs w:val="21"/>
              </w:rPr>
              <w:t>未检出</w:t>
            </w:r>
          </w:p>
        </w:tc>
        <w:tc>
          <w:tcPr>
            <w:tcW w:w="500" w:type="pct"/>
          </w:tcPr>
          <w:p w14:paraId="43F1155B" w14:textId="77777777" w:rsidR="007D1E74" w:rsidRDefault="00A95641">
            <w:pPr>
              <w:jc w:val="center"/>
              <w:rPr>
                <w:rFonts w:cstheme="minorHAnsi"/>
                <w:szCs w:val="21"/>
              </w:rPr>
            </w:pPr>
            <w:r>
              <w:rPr>
                <w:rFonts w:cstheme="minorHAnsi"/>
                <w:szCs w:val="21"/>
              </w:rPr>
              <w:t>未检出</w:t>
            </w:r>
          </w:p>
        </w:tc>
        <w:tc>
          <w:tcPr>
            <w:tcW w:w="500" w:type="pct"/>
          </w:tcPr>
          <w:p w14:paraId="12CD2DC9" w14:textId="77777777" w:rsidR="007D1E74" w:rsidRDefault="00A95641">
            <w:pPr>
              <w:jc w:val="center"/>
              <w:rPr>
                <w:rFonts w:cstheme="minorHAnsi"/>
                <w:szCs w:val="21"/>
              </w:rPr>
            </w:pPr>
            <w:r>
              <w:rPr>
                <w:rFonts w:cstheme="minorHAnsi"/>
                <w:szCs w:val="21"/>
              </w:rPr>
              <w:t>未检出</w:t>
            </w:r>
          </w:p>
        </w:tc>
        <w:tc>
          <w:tcPr>
            <w:tcW w:w="500" w:type="pct"/>
          </w:tcPr>
          <w:p w14:paraId="646236CF" w14:textId="77777777" w:rsidR="007D1E74" w:rsidRDefault="00A95641">
            <w:pPr>
              <w:jc w:val="center"/>
              <w:rPr>
                <w:rFonts w:cstheme="minorHAnsi"/>
                <w:szCs w:val="21"/>
              </w:rPr>
            </w:pPr>
            <w:r>
              <w:rPr>
                <w:rFonts w:cstheme="minorHAnsi"/>
                <w:szCs w:val="21"/>
              </w:rPr>
              <w:t>未检出</w:t>
            </w:r>
          </w:p>
        </w:tc>
        <w:tc>
          <w:tcPr>
            <w:tcW w:w="500" w:type="pct"/>
          </w:tcPr>
          <w:p w14:paraId="26DD8548" w14:textId="77777777" w:rsidR="007D1E74" w:rsidRDefault="00A95641">
            <w:pPr>
              <w:jc w:val="center"/>
              <w:rPr>
                <w:rFonts w:cstheme="minorHAnsi"/>
                <w:szCs w:val="21"/>
              </w:rPr>
            </w:pPr>
            <w:r>
              <w:rPr>
                <w:rFonts w:cstheme="minorHAnsi"/>
                <w:szCs w:val="21"/>
              </w:rPr>
              <w:t>未检出</w:t>
            </w:r>
          </w:p>
        </w:tc>
        <w:tc>
          <w:tcPr>
            <w:tcW w:w="500" w:type="pct"/>
          </w:tcPr>
          <w:p w14:paraId="1B4EEC15" w14:textId="77777777" w:rsidR="007D1E74" w:rsidRDefault="00A95641">
            <w:pPr>
              <w:jc w:val="center"/>
              <w:rPr>
                <w:rFonts w:cstheme="minorHAnsi"/>
                <w:szCs w:val="21"/>
              </w:rPr>
            </w:pPr>
            <w:r>
              <w:rPr>
                <w:rFonts w:cstheme="minorHAnsi"/>
                <w:szCs w:val="21"/>
              </w:rPr>
              <w:t>未检出</w:t>
            </w:r>
          </w:p>
        </w:tc>
      </w:tr>
    </w:tbl>
    <w:p w14:paraId="1438F31A" w14:textId="77777777" w:rsidR="007D1E74" w:rsidRDefault="00A95641">
      <w:pPr>
        <w:pStyle w:val="aa"/>
      </w:pPr>
      <w:r>
        <w:rPr>
          <w:rFonts w:hint="eastAsia"/>
        </w:rPr>
        <w:t>地表水环境质量现状评价</w:t>
      </w:r>
    </w:p>
    <w:p w14:paraId="67D2F473" w14:textId="77777777" w:rsidR="007D1E74" w:rsidRDefault="00A95641">
      <w:pPr>
        <w:pStyle w:val="afffff7"/>
        <w:ind w:firstLine="482"/>
      </w:pPr>
      <w:r>
        <w:t>1</w:t>
      </w:r>
      <w:r>
        <w:rPr>
          <w:rFonts w:hint="eastAsia"/>
        </w:rPr>
        <w:t>、评价因子</w:t>
      </w:r>
    </w:p>
    <w:p w14:paraId="22F8CEF9" w14:textId="77777777" w:rsidR="007D1E74" w:rsidRDefault="00A95641">
      <w:pPr>
        <w:spacing w:line="360" w:lineRule="auto"/>
        <w:ind w:firstLineChars="200" w:firstLine="480"/>
        <w:rPr>
          <w:rFonts w:cs="Times New Roman"/>
          <w:sz w:val="24"/>
          <w:szCs w:val="24"/>
        </w:rPr>
      </w:pPr>
      <w:r>
        <w:rPr>
          <w:rFonts w:cs="Times New Roman"/>
          <w:sz w:val="24"/>
          <w:szCs w:val="24"/>
        </w:rPr>
        <w:t>pH</w:t>
      </w:r>
      <w:r>
        <w:rPr>
          <w:rFonts w:cs="Times New Roman"/>
          <w:sz w:val="24"/>
          <w:szCs w:val="24"/>
        </w:rPr>
        <w:t>、</w:t>
      </w:r>
      <w:r>
        <w:rPr>
          <w:rFonts w:cs="Times New Roman"/>
          <w:sz w:val="24"/>
          <w:szCs w:val="24"/>
        </w:rPr>
        <w:t>COD</w:t>
      </w:r>
      <w:r>
        <w:rPr>
          <w:rFonts w:cs="Times New Roman"/>
          <w:sz w:val="24"/>
          <w:szCs w:val="24"/>
        </w:rPr>
        <w:t>、</w:t>
      </w:r>
      <w:r>
        <w:rPr>
          <w:rFonts w:cs="Times New Roman"/>
          <w:sz w:val="24"/>
          <w:szCs w:val="24"/>
        </w:rPr>
        <w:t>NH</w:t>
      </w:r>
      <w:r>
        <w:rPr>
          <w:rFonts w:cs="Times New Roman"/>
          <w:sz w:val="24"/>
          <w:szCs w:val="24"/>
          <w:vertAlign w:val="subscript"/>
        </w:rPr>
        <w:t>3</w:t>
      </w:r>
      <w:r>
        <w:rPr>
          <w:rFonts w:cs="Times New Roman"/>
          <w:sz w:val="24"/>
          <w:szCs w:val="24"/>
        </w:rPr>
        <w:t>-N</w:t>
      </w:r>
      <w:r>
        <w:rPr>
          <w:rFonts w:cs="Times New Roman"/>
          <w:sz w:val="24"/>
          <w:szCs w:val="24"/>
        </w:rPr>
        <w:t>、挥发酚、石油类</w:t>
      </w:r>
      <w:r>
        <w:rPr>
          <w:rFonts w:cs="Times New Roman" w:hint="eastAsia"/>
          <w:sz w:val="24"/>
          <w:szCs w:val="24"/>
        </w:rPr>
        <w:t>。</w:t>
      </w:r>
    </w:p>
    <w:p w14:paraId="3E28EF36" w14:textId="77777777" w:rsidR="007D1E74" w:rsidRDefault="00A95641">
      <w:pPr>
        <w:pStyle w:val="afffff7"/>
        <w:ind w:firstLine="482"/>
      </w:pPr>
      <w:r>
        <w:t>2</w:t>
      </w:r>
      <w:r>
        <w:rPr>
          <w:rFonts w:hint="eastAsia"/>
        </w:rPr>
        <w:t>、评价标准</w:t>
      </w:r>
    </w:p>
    <w:p w14:paraId="436DD2C5" w14:textId="77777777" w:rsidR="007D1E74" w:rsidRDefault="00A95641">
      <w:pPr>
        <w:spacing w:line="360" w:lineRule="auto"/>
        <w:ind w:firstLineChars="200" w:firstLine="480"/>
        <w:rPr>
          <w:rFonts w:cs="Times New Roman"/>
          <w:sz w:val="24"/>
          <w:szCs w:val="24"/>
        </w:rPr>
      </w:pPr>
      <w:r>
        <w:rPr>
          <w:rFonts w:hint="eastAsia"/>
          <w:sz w:val="24"/>
        </w:rPr>
        <w:t>执行《地表水环境质量标准》（</w:t>
      </w:r>
      <w:r>
        <w:rPr>
          <w:sz w:val="24"/>
        </w:rPr>
        <w:t>GB3838-2002</w:t>
      </w:r>
      <w:r>
        <w:rPr>
          <w:rFonts w:hint="eastAsia"/>
          <w:sz w:val="24"/>
        </w:rPr>
        <w:t>）中</w:t>
      </w:r>
      <w:r>
        <w:rPr>
          <w:sz w:val="24"/>
        </w:rPr>
        <w:t>III</w:t>
      </w:r>
      <w:r>
        <w:rPr>
          <w:sz w:val="24"/>
        </w:rPr>
        <w:t>类</w:t>
      </w:r>
      <w:r>
        <w:rPr>
          <w:rFonts w:hint="eastAsia"/>
          <w:sz w:val="24"/>
        </w:rPr>
        <w:t>标准</w:t>
      </w:r>
      <w:r>
        <w:rPr>
          <w:rFonts w:cs="Times New Roman" w:hint="eastAsia"/>
          <w:sz w:val="24"/>
          <w:szCs w:val="24"/>
        </w:rPr>
        <w:t>。</w:t>
      </w:r>
    </w:p>
    <w:p w14:paraId="673B9579" w14:textId="77777777" w:rsidR="007D1E74" w:rsidRDefault="00A95641">
      <w:pPr>
        <w:pStyle w:val="afffff7"/>
        <w:ind w:firstLine="482"/>
      </w:pPr>
      <w:r>
        <w:lastRenderedPageBreak/>
        <w:t>3</w:t>
      </w:r>
      <w:r>
        <w:rPr>
          <w:rFonts w:hint="eastAsia"/>
        </w:rPr>
        <w:t>、评价方法</w:t>
      </w:r>
    </w:p>
    <w:p w14:paraId="73E22EDA" w14:textId="77777777" w:rsidR="007D1E74" w:rsidRDefault="00A95641">
      <w:pPr>
        <w:spacing w:line="360" w:lineRule="auto"/>
        <w:ind w:firstLine="480"/>
        <w:rPr>
          <w:sz w:val="24"/>
        </w:rPr>
      </w:pPr>
      <w:r>
        <w:rPr>
          <w:rFonts w:hint="eastAsia"/>
          <w:sz w:val="24"/>
        </w:rPr>
        <w:t>本次评价采用单项水质指数评价法，公式为：</w:t>
      </w:r>
    </w:p>
    <w:p w14:paraId="472C509D" w14:textId="77777777" w:rsidR="007D1E74" w:rsidRDefault="00A95641">
      <w:pPr>
        <w:spacing w:line="360" w:lineRule="auto"/>
        <w:jc w:val="center"/>
        <w:rPr>
          <w:i/>
          <w:sz w:val="24"/>
        </w:rPr>
      </w:pPr>
      <w:r>
        <w:rPr>
          <w:i/>
          <w:sz w:val="24"/>
        </w:rPr>
        <w:t>S</w:t>
      </w:r>
      <w:r>
        <w:rPr>
          <w:i/>
          <w:sz w:val="24"/>
          <w:vertAlign w:val="subscript"/>
        </w:rPr>
        <w:t>i</w:t>
      </w:r>
      <w:r>
        <w:rPr>
          <w:rFonts w:hint="eastAsia"/>
          <w:i/>
          <w:sz w:val="24"/>
          <w:vertAlign w:val="subscript"/>
        </w:rPr>
        <w:t>，</w:t>
      </w:r>
      <w:r>
        <w:rPr>
          <w:i/>
          <w:sz w:val="24"/>
          <w:vertAlign w:val="subscript"/>
        </w:rPr>
        <w:t>j</w:t>
      </w:r>
      <w:r>
        <w:rPr>
          <w:i/>
          <w:sz w:val="24"/>
        </w:rPr>
        <w:t>=C</w:t>
      </w:r>
      <w:r>
        <w:rPr>
          <w:i/>
          <w:sz w:val="24"/>
          <w:vertAlign w:val="subscript"/>
        </w:rPr>
        <w:t>i</w:t>
      </w:r>
      <w:r>
        <w:rPr>
          <w:rFonts w:hint="eastAsia"/>
          <w:i/>
          <w:sz w:val="24"/>
          <w:vertAlign w:val="subscript"/>
        </w:rPr>
        <w:t>，</w:t>
      </w:r>
      <w:r>
        <w:rPr>
          <w:i/>
          <w:sz w:val="24"/>
          <w:vertAlign w:val="subscript"/>
        </w:rPr>
        <w:t>j</w:t>
      </w:r>
      <w:r>
        <w:rPr>
          <w:i/>
          <w:sz w:val="24"/>
        </w:rPr>
        <w:t>/C</w:t>
      </w:r>
      <w:r>
        <w:rPr>
          <w:i/>
          <w:sz w:val="24"/>
          <w:vertAlign w:val="subscript"/>
        </w:rPr>
        <w:t>si</w:t>
      </w:r>
    </w:p>
    <w:p w14:paraId="0A1D74C6" w14:textId="77777777" w:rsidR="007D1E74" w:rsidRDefault="00A95641">
      <w:pPr>
        <w:spacing w:line="360" w:lineRule="auto"/>
        <w:ind w:firstLineChars="200" w:firstLine="480"/>
        <w:rPr>
          <w:sz w:val="24"/>
        </w:rPr>
      </w:pPr>
      <w:r>
        <w:rPr>
          <w:sz w:val="24"/>
        </w:rPr>
        <w:t xml:space="preserve">    </w:t>
      </w:r>
      <w:r>
        <w:rPr>
          <w:rFonts w:hint="eastAsia"/>
          <w:sz w:val="24"/>
        </w:rPr>
        <w:t>式中：</w:t>
      </w:r>
      <w:r>
        <w:rPr>
          <w:i/>
          <w:sz w:val="24"/>
        </w:rPr>
        <w:t>S</w:t>
      </w:r>
      <w:r>
        <w:rPr>
          <w:i/>
          <w:sz w:val="24"/>
          <w:vertAlign w:val="subscript"/>
        </w:rPr>
        <w:t>i</w:t>
      </w:r>
      <w:r>
        <w:rPr>
          <w:rFonts w:hint="eastAsia"/>
          <w:i/>
          <w:sz w:val="24"/>
          <w:vertAlign w:val="subscript"/>
        </w:rPr>
        <w:t>，</w:t>
      </w:r>
      <w:r>
        <w:rPr>
          <w:i/>
          <w:sz w:val="24"/>
          <w:vertAlign w:val="subscript"/>
        </w:rPr>
        <w:t>j</w:t>
      </w:r>
      <w:r>
        <w:rPr>
          <w:i/>
          <w:sz w:val="24"/>
        </w:rPr>
        <w:t xml:space="preserve"> </w:t>
      </w:r>
      <w:r>
        <w:rPr>
          <w:sz w:val="24"/>
        </w:rPr>
        <w:t>——</w:t>
      </w:r>
      <w:r>
        <w:rPr>
          <w:rFonts w:hint="eastAsia"/>
          <w:sz w:val="24"/>
        </w:rPr>
        <w:t>单项水质因子</w:t>
      </w:r>
      <w:r>
        <w:rPr>
          <w:i/>
          <w:sz w:val="24"/>
        </w:rPr>
        <w:t>i</w:t>
      </w:r>
      <w:r>
        <w:rPr>
          <w:rFonts w:hint="eastAsia"/>
          <w:sz w:val="24"/>
        </w:rPr>
        <w:t>在第</w:t>
      </w:r>
      <w:r>
        <w:rPr>
          <w:i/>
          <w:sz w:val="24"/>
        </w:rPr>
        <w:t>j</w:t>
      </w:r>
      <w:r>
        <w:rPr>
          <w:rFonts w:hint="eastAsia"/>
          <w:sz w:val="24"/>
        </w:rPr>
        <w:t>点的标准指数；</w:t>
      </w:r>
    </w:p>
    <w:p w14:paraId="27158C53" w14:textId="77777777" w:rsidR="007D1E74" w:rsidRDefault="00A95641">
      <w:pPr>
        <w:spacing w:line="360" w:lineRule="auto"/>
        <w:ind w:firstLineChars="700" w:firstLine="1680"/>
        <w:rPr>
          <w:sz w:val="24"/>
        </w:rPr>
      </w:pPr>
      <w:r>
        <w:rPr>
          <w:i/>
          <w:sz w:val="24"/>
        </w:rPr>
        <w:t>C</w:t>
      </w:r>
      <w:r>
        <w:rPr>
          <w:i/>
          <w:sz w:val="24"/>
          <w:vertAlign w:val="subscript"/>
        </w:rPr>
        <w:t>i</w:t>
      </w:r>
      <w:r>
        <w:rPr>
          <w:rFonts w:hint="eastAsia"/>
          <w:i/>
          <w:sz w:val="24"/>
          <w:vertAlign w:val="subscript"/>
        </w:rPr>
        <w:t>，</w:t>
      </w:r>
      <w:r>
        <w:rPr>
          <w:i/>
          <w:sz w:val="24"/>
          <w:vertAlign w:val="subscript"/>
        </w:rPr>
        <w:t>j</w:t>
      </w:r>
      <w:r>
        <w:rPr>
          <w:i/>
          <w:sz w:val="24"/>
        </w:rPr>
        <w:t xml:space="preserve"> </w:t>
      </w:r>
      <w:r>
        <w:rPr>
          <w:sz w:val="24"/>
        </w:rPr>
        <w:t>——</w:t>
      </w:r>
      <w:r>
        <w:rPr>
          <w:rFonts w:hint="eastAsia"/>
          <w:sz w:val="24"/>
        </w:rPr>
        <w:t>（</w:t>
      </w:r>
      <w:r>
        <w:rPr>
          <w:i/>
          <w:sz w:val="24"/>
        </w:rPr>
        <w:t>i</w:t>
      </w:r>
      <w:r>
        <w:rPr>
          <w:rFonts w:hint="eastAsia"/>
          <w:sz w:val="24"/>
        </w:rPr>
        <w:t>，</w:t>
      </w:r>
      <w:r>
        <w:rPr>
          <w:i/>
          <w:sz w:val="24"/>
        </w:rPr>
        <w:t>j</w:t>
      </w:r>
      <w:r>
        <w:rPr>
          <w:rFonts w:hint="eastAsia"/>
          <w:sz w:val="24"/>
        </w:rPr>
        <w:t>）点的评价因子水质浓度或水质因子</w:t>
      </w:r>
      <w:r>
        <w:rPr>
          <w:i/>
          <w:sz w:val="24"/>
        </w:rPr>
        <w:t>i</w:t>
      </w:r>
      <w:r>
        <w:rPr>
          <w:rFonts w:hint="eastAsia"/>
          <w:sz w:val="24"/>
        </w:rPr>
        <w:t>在监测点（或预测点）</w:t>
      </w:r>
      <w:r>
        <w:rPr>
          <w:i/>
          <w:sz w:val="24"/>
        </w:rPr>
        <w:t>j</w:t>
      </w:r>
      <w:r>
        <w:rPr>
          <w:rFonts w:hint="eastAsia"/>
          <w:sz w:val="24"/>
        </w:rPr>
        <w:t>的水质浓度，</w:t>
      </w:r>
      <w:r>
        <w:rPr>
          <w:sz w:val="24"/>
        </w:rPr>
        <w:t>mg/L</w:t>
      </w:r>
      <w:r>
        <w:rPr>
          <w:rFonts w:hint="eastAsia"/>
          <w:sz w:val="24"/>
        </w:rPr>
        <w:t>；</w:t>
      </w:r>
    </w:p>
    <w:p w14:paraId="00B50F11" w14:textId="77777777" w:rsidR="007D1E74" w:rsidRDefault="00A95641">
      <w:pPr>
        <w:spacing w:line="360" w:lineRule="auto"/>
        <w:ind w:firstLineChars="700" w:firstLine="1680"/>
        <w:rPr>
          <w:sz w:val="24"/>
        </w:rPr>
      </w:pPr>
      <w:r>
        <w:rPr>
          <w:i/>
          <w:sz w:val="24"/>
        </w:rPr>
        <w:t>C</w:t>
      </w:r>
      <w:r>
        <w:rPr>
          <w:i/>
          <w:sz w:val="24"/>
          <w:vertAlign w:val="subscript"/>
        </w:rPr>
        <w:t>sj</w:t>
      </w:r>
      <w:r>
        <w:rPr>
          <w:i/>
          <w:sz w:val="24"/>
        </w:rPr>
        <w:t xml:space="preserve"> </w:t>
      </w:r>
      <w:r>
        <w:rPr>
          <w:sz w:val="24"/>
        </w:rPr>
        <w:t>——</w:t>
      </w:r>
      <w:r>
        <w:rPr>
          <w:rFonts w:hint="eastAsia"/>
          <w:sz w:val="24"/>
        </w:rPr>
        <w:t>水质评价因子</w:t>
      </w:r>
      <w:r>
        <w:rPr>
          <w:i/>
          <w:sz w:val="24"/>
        </w:rPr>
        <w:t>i</w:t>
      </w:r>
      <w:r>
        <w:rPr>
          <w:rFonts w:hint="eastAsia"/>
          <w:sz w:val="24"/>
        </w:rPr>
        <w:t>的水质评价标准限值，</w:t>
      </w:r>
      <w:r>
        <w:rPr>
          <w:sz w:val="24"/>
        </w:rPr>
        <w:t>mg/L</w:t>
      </w:r>
      <w:r>
        <w:rPr>
          <w:rFonts w:hint="eastAsia"/>
          <w:sz w:val="24"/>
        </w:rPr>
        <w:t>。</w:t>
      </w:r>
    </w:p>
    <w:p w14:paraId="3D0FBA85" w14:textId="77777777" w:rsidR="007D1E74" w:rsidRDefault="00A95641">
      <w:pPr>
        <w:spacing w:line="360" w:lineRule="auto"/>
        <w:ind w:firstLineChars="200" w:firstLine="480"/>
        <w:rPr>
          <w:sz w:val="24"/>
        </w:rPr>
      </w:pPr>
      <w:r>
        <w:rPr>
          <w:rFonts w:hint="eastAsia"/>
          <w:sz w:val="24"/>
        </w:rPr>
        <w:t>对具有上、下限标准值的指标</w:t>
      </w:r>
      <w:r>
        <w:rPr>
          <w:sz w:val="24"/>
        </w:rPr>
        <w:t>pH</w:t>
      </w:r>
      <w:r>
        <w:rPr>
          <w:rFonts w:hint="eastAsia"/>
          <w:sz w:val="24"/>
        </w:rPr>
        <w:t>，公式为：</w:t>
      </w:r>
    </w:p>
    <w:p w14:paraId="1F7354C4" w14:textId="77777777" w:rsidR="007D1E74" w:rsidRDefault="00A95641">
      <w:pPr>
        <w:spacing w:line="360" w:lineRule="auto"/>
        <w:jc w:val="center"/>
        <w:rPr>
          <w:sz w:val="24"/>
        </w:rPr>
      </w:pPr>
      <w:r>
        <w:rPr>
          <w:i/>
          <w:sz w:val="24"/>
        </w:rPr>
        <w:t>S</w:t>
      </w:r>
      <w:r>
        <w:rPr>
          <w:sz w:val="24"/>
          <w:vertAlign w:val="subscript"/>
        </w:rPr>
        <w:t>pH</w:t>
      </w:r>
      <w:r>
        <w:rPr>
          <w:rFonts w:hint="eastAsia"/>
          <w:sz w:val="24"/>
          <w:vertAlign w:val="subscript"/>
        </w:rPr>
        <w:t>，</w:t>
      </w:r>
      <w:r>
        <w:rPr>
          <w:i/>
          <w:sz w:val="24"/>
          <w:vertAlign w:val="subscript"/>
        </w:rPr>
        <w:t xml:space="preserve">j </w:t>
      </w:r>
      <w:r>
        <w:rPr>
          <w:sz w:val="24"/>
        </w:rPr>
        <w:t>=</w:t>
      </w:r>
      <w:r>
        <w:rPr>
          <w:rFonts w:hint="eastAsia"/>
          <w:sz w:val="24"/>
        </w:rPr>
        <w:t>（</w:t>
      </w:r>
      <w:r>
        <w:rPr>
          <w:sz w:val="24"/>
        </w:rPr>
        <w:t>7.0</w:t>
      </w:r>
      <w:r>
        <w:rPr>
          <w:rFonts w:ascii="仿宋" w:eastAsia="仿宋" w:hAnsi="仿宋"/>
          <w:sz w:val="24"/>
        </w:rPr>
        <w:t>-</w:t>
      </w:r>
      <w:r>
        <w:rPr>
          <w:sz w:val="24"/>
        </w:rPr>
        <w:t>pH</w:t>
      </w:r>
      <w:r>
        <w:rPr>
          <w:i/>
          <w:sz w:val="24"/>
          <w:vertAlign w:val="subscript"/>
        </w:rPr>
        <w:t>j</w:t>
      </w:r>
      <w:r>
        <w:rPr>
          <w:rFonts w:hint="eastAsia"/>
          <w:sz w:val="24"/>
        </w:rPr>
        <w:t>）</w:t>
      </w:r>
      <w:r>
        <w:rPr>
          <w:sz w:val="24"/>
        </w:rPr>
        <w:t>/</w:t>
      </w:r>
      <w:r>
        <w:rPr>
          <w:rFonts w:hint="eastAsia"/>
          <w:sz w:val="24"/>
        </w:rPr>
        <w:t>（</w:t>
      </w:r>
      <w:r>
        <w:rPr>
          <w:sz w:val="24"/>
        </w:rPr>
        <w:t>7.0</w:t>
      </w:r>
      <w:r>
        <w:rPr>
          <w:rFonts w:ascii="仿宋" w:eastAsia="仿宋" w:hAnsi="仿宋"/>
          <w:sz w:val="24"/>
        </w:rPr>
        <w:t>-</w:t>
      </w:r>
      <w:r>
        <w:rPr>
          <w:sz w:val="24"/>
        </w:rPr>
        <w:t>pH</w:t>
      </w:r>
      <w:r>
        <w:rPr>
          <w:sz w:val="24"/>
          <w:vertAlign w:val="subscript"/>
        </w:rPr>
        <w:t>sd</w:t>
      </w:r>
      <w:r>
        <w:rPr>
          <w:rFonts w:hint="eastAsia"/>
          <w:sz w:val="24"/>
        </w:rPr>
        <w:t>）</w:t>
      </w:r>
      <w:r>
        <w:rPr>
          <w:sz w:val="24"/>
        </w:rPr>
        <w:t xml:space="preserve">  pH</w:t>
      </w:r>
      <w:r>
        <w:rPr>
          <w:i/>
          <w:sz w:val="24"/>
          <w:vertAlign w:val="subscript"/>
        </w:rPr>
        <w:t>j</w:t>
      </w:r>
      <w:r>
        <w:rPr>
          <w:rFonts w:ascii="仿宋" w:eastAsia="仿宋" w:hAnsi="仿宋" w:hint="eastAsia"/>
          <w:sz w:val="24"/>
        </w:rPr>
        <w:t>≤</w:t>
      </w:r>
      <w:r>
        <w:rPr>
          <w:sz w:val="24"/>
        </w:rPr>
        <w:t>7.0</w:t>
      </w:r>
    </w:p>
    <w:p w14:paraId="268796FB" w14:textId="77777777" w:rsidR="007D1E74" w:rsidRDefault="00A95641">
      <w:pPr>
        <w:spacing w:line="360" w:lineRule="auto"/>
        <w:jc w:val="center"/>
        <w:rPr>
          <w:sz w:val="24"/>
        </w:rPr>
      </w:pPr>
      <w:r>
        <w:rPr>
          <w:i/>
          <w:sz w:val="24"/>
        </w:rPr>
        <w:t>S</w:t>
      </w:r>
      <w:r>
        <w:rPr>
          <w:sz w:val="24"/>
          <w:vertAlign w:val="subscript"/>
        </w:rPr>
        <w:t>pH</w:t>
      </w:r>
      <w:r>
        <w:rPr>
          <w:rFonts w:hint="eastAsia"/>
          <w:sz w:val="24"/>
          <w:vertAlign w:val="subscript"/>
        </w:rPr>
        <w:t>，</w:t>
      </w:r>
      <w:r>
        <w:rPr>
          <w:i/>
          <w:sz w:val="24"/>
          <w:vertAlign w:val="subscript"/>
        </w:rPr>
        <w:t xml:space="preserve">j </w:t>
      </w:r>
      <w:r>
        <w:rPr>
          <w:sz w:val="24"/>
        </w:rPr>
        <w:t>=</w:t>
      </w:r>
      <w:r>
        <w:rPr>
          <w:rFonts w:hint="eastAsia"/>
          <w:sz w:val="24"/>
        </w:rPr>
        <w:t>（</w:t>
      </w:r>
      <w:r>
        <w:rPr>
          <w:sz w:val="24"/>
        </w:rPr>
        <w:t>pH</w:t>
      </w:r>
      <w:r>
        <w:rPr>
          <w:i/>
          <w:sz w:val="24"/>
          <w:vertAlign w:val="subscript"/>
        </w:rPr>
        <w:t>j</w:t>
      </w:r>
      <w:r>
        <w:rPr>
          <w:rFonts w:ascii="仿宋" w:eastAsia="仿宋" w:hAnsi="仿宋"/>
          <w:sz w:val="24"/>
        </w:rPr>
        <w:t>-</w:t>
      </w:r>
      <w:r>
        <w:rPr>
          <w:sz w:val="24"/>
        </w:rPr>
        <w:t>7.0</w:t>
      </w:r>
      <w:r>
        <w:rPr>
          <w:rFonts w:hint="eastAsia"/>
          <w:sz w:val="24"/>
        </w:rPr>
        <w:t>）</w:t>
      </w:r>
      <w:r>
        <w:rPr>
          <w:sz w:val="24"/>
        </w:rPr>
        <w:t>/</w:t>
      </w:r>
      <w:r>
        <w:rPr>
          <w:rFonts w:hint="eastAsia"/>
          <w:sz w:val="24"/>
        </w:rPr>
        <w:t>（</w:t>
      </w:r>
      <w:r>
        <w:rPr>
          <w:sz w:val="24"/>
        </w:rPr>
        <w:t>pH</w:t>
      </w:r>
      <w:r>
        <w:rPr>
          <w:sz w:val="24"/>
          <w:vertAlign w:val="subscript"/>
        </w:rPr>
        <w:t>su</w:t>
      </w:r>
      <w:r>
        <w:rPr>
          <w:rFonts w:ascii="仿宋" w:eastAsia="仿宋" w:hAnsi="仿宋"/>
          <w:sz w:val="24"/>
        </w:rPr>
        <w:t>-</w:t>
      </w:r>
      <w:r>
        <w:rPr>
          <w:sz w:val="24"/>
        </w:rPr>
        <w:t>7.0</w:t>
      </w:r>
      <w:r>
        <w:rPr>
          <w:rFonts w:hint="eastAsia"/>
          <w:sz w:val="24"/>
        </w:rPr>
        <w:t>）</w:t>
      </w:r>
      <w:r>
        <w:rPr>
          <w:sz w:val="24"/>
        </w:rPr>
        <w:t xml:space="preserve">  pH</w:t>
      </w:r>
      <w:r>
        <w:rPr>
          <w:i/>
          <w:sz w:val="24"/>
          <w:vertAlign w:val="subscript"/>
        </w:rPr>
        <w:t>j</w:t>
      </w:r>
      <w:r>
        <w:rPr>
          <w:rFonts w:ascii="仿宋" w:eastAsia="仿宋" w:hAnsi="仿宋" w:hint="eastAsia"/>
          <w:sz w:val="24"/>
        </w:rPr>
        <w:t>＞</w:t>
      </w:r>
      <w:r>
        <w:rPr>
          <w:sz w:val="24"/>
        </w:rPr>
        <w:t>7.0</w:t>
      </w:r>
    </w:p>
    <w:p w14:paraId="3AB7E25E" w14:textId="77777777" w:rsidR="007D1E74" w:rsidRDefault="00A95641">
      <w:pPr>
        <w:spacing w:line="360" w:lineRule="auto"/>
        <w:ind w:firstLineChars="400" w:firstLine="960"/>
        <w:rPr>
          <w:sz w:val="24"/>
        </w:rPr>
      </w:pPr>
      <w:r>
        <w:rPr>
          <w:rFonts w:hint="eastAsia"/>
          <w:sz w:val="24"/>
        </w:rPr>
        <w:t>式中：</w:t>
      </w:r>
      <w:r>
        <w:rPr>
          <w:i/>
          <w:sz w:val="24"/>
        </w:rPr>
        <w:t>S</w:t>
      </w:r>
      <w:r>
        <w:rPr>
          <w:sz w:val="24"/>
          <w:vertAlign w:val="subscript"/>
        </w:rPr>
        <w:t>pH</w:t>
      </w:r>
      <w:r>
        <w:rPr>
          <w:rFonts w:hint="eastAsia"/>
          <w:sz w:val="24"/>
          <w:vertAlign w:val="subscript"/>
        </w:rPr>
        <w:t>，</w:t>
      </w:r>
      <w:r>
        <w:rPr>
          <w:i/>
          <w:sz w:val="24"/>
          <w:vertAlign w:val="subscript"/>
        </w:rPr>
        <w:t xml:space="preserve">j </w:t>
      </w:r>
      <w:r>
        <w:rPr>
          <w:sz w:val="24"/>
        </w:rPr>
        <w:t>——pH</w:t>
      </w:r>
      <w:r>
        <w:rPr>
          <w:rFonts w:hint="eastAsia"/>
          <w:sz w:val="24"/>
        </w:rPr>
        <w:t>值的标准指数；</w:t>
      </w:r>
    </w:p>
    <w:p w14:paraId="3B73F90E" w14:textId="77777777" w:rsidR="007D1E74" w:rsidRDefault="00A95641">
      <w:pPr>
        <w:spacing w:line="360" w:lineRule="auto"/>
        <w:ind w:firstLineChars="700" w:firstLine="1680"/>
        <w:rPr>
          <w:sz w:val="24"/>
        </w:rPr>
      </w:pPr>
      <w:r>
        <w:rPr>
          <w:sz w:val="24"/>
        </w:rPr>
        <w:t>pH</w:t>
      </w:r>
      <w:r>
        <w:rPr>
          <w:i/>
          <w:sz w:val="24"/>
          <w:vertAlign w:val="subscript"/>
        </w:rPr>
        <w:t xml:space="preserve">j </w:t>
      </w:r>
      <w:r>
        <w:rPr>
          <w:sz w:val="24"/>
        </w:rPr>
        <w:t>——pH</w:t>
      </w:r>
      <w:r>
        <w:rPr>
          <w:rFonts w:hint="eastAsia"/>
          <w:sz w:val="24"/>
        </w:rPr>
        <w:t>值实测值；</w:t>
      </w:r>
    </w:p>
    <w:p w14:paraId="6B265DCF" w14:textId="77777777" w:rsidR="007D1E74" w:rsidRDefault="00A95641">
      <w:pPr>
        <w:spacing w:line="360" w:lineRule="auto"/>
        <w:ind w:firstLineChars="700" w:firstLine="1680"/>
        <w:rPr>
          <w:sz w:val="24"/>
        </w:rPr>
      </w:pPr>
      <w:r>
        <w:rPr>
          <w:sz w:val="24"/>
        </w:rPr>
        <w:t>pH</w:t>
      </w:r>
      <w:r>
        <w:rPr>
          <w:sz w:val="24"/>
          <w:vertAlign w:val="subscript"/>
        </w:rPr>
        <w:t xml:space="preserve">sd </w:t>
      </w:r>
      <w:r>
        <w:rPr>
          <w:sz w:val="24"/>
        </w:rPr>
        <w:t>——</w:t>
      </w:r>
      <w:r>
        <w:rPr>
          <w:rFonts w:hint="eastAsia"/>
          <w:sz w:val="24"/>
        </w:rPr>
        <w:t>水质标准中规定的</w:t>
      </w:r>
      <w:r>
        <w:rPr>
          <w:sz w:val="24"/>
        </w:rPr>
        <w:t>pH</w:t>
      </w:r>
      <w:r>
        <w:rPr>
          <w:rFonts w:hint="eastAsia"/>
          <w:sz w:val="24"/>
        </w:rPr>
        <w:t>值下限值；</w:t>
      </w:r>
    </w:p>
    <w:p w14:paraId="39E9B23B" w14:textId="77777777" w:rsidR="007D1E74" w:rsidRDefault="00A95641">
      <w:pPr>
        <w:spacing w:line="360" w:lineRule="auto"/>
        <w:ind w:firstLineChars="700" w:firstLine="1680"/>
        <w:rPr>
          <w:sz w:val="24"/>
        </w:rPr>
      </w:pPr>
      <w:r>
        <w:rPr>
          <w:sz w:val="24"/>
        </w:rPr>
        <w:t>pH</w:t>
      </w:r>
      <w:r>
        <w:rPr>
          <w:sz w:val="24"/>
          <w:vertAlign w:val="subscript"/>
        </w:rPr>
        <w:t xml:space="preserve">su </w:t>
      </w:r>
      <w:r>
        <w:rPr>
          <w:sz w:val="24"/>
        </w:rPr>
        <w:t>——</w:t>
      </w:r>
      <w:r>
        <w:rPr>
          <w:rFonts w:hint="eastAsia"/>
          <w:sz w:val="24"/>
        </w:rPr>
        <w:t>水质标准中规定的</w:t>
      </w:r>
      <w:r>
        <w:rPr>
          <w:sz w:val="24"/>
        </w:rPr>
        <w:t>pH</w:t>
      </w:r>
      <w:r>
        <w:rPr>
          <w:rFonts w:hint="eastAsia"/>
          <w:sz w:val="24"/>
        </w:rPr>
        <w:t>值上限值。</w:t>
      </w:r>
    </w:p>
    <w:p w14:paraId="556747CA" w14:textId="77777777" w:rsidR="007D1E74" w:rsidRDefault="00A95641">
      <w:pPr>
        <w:spacing w:line="360" w:lineRule="auto"/>
        <w:ind w:firstLineChars="200" w:firstLine="480"/>
        <w:rPr>
          <w:sz w:val="24"/>
        </w:rPr>
      </w:pPr>
      <w:r>
        <w:rPr>
          <w:rFonts w:hint="eastAsia"/>
          <w:sz w:val="24"/>
        </w:rPr>
        <w:t>水质评价因子的标准指数大于</w:t>
      </w:r>
      <w:r>
        <w:rPr>
          <w:sz w:val="24"/>
        </w:rPr>
        <w:t>1</w:t>
      </w:r>
      <w:r>
        <w:rPr>
          <w:rFonts w:hint="eastAsia"/>
          <w:sz w:val="24"/>
        </w:rPr>
        <w:t>时，表明该评价因子的水质超过了规定的水质标准，已经不能满足相应的水域功能要求。</w:t>
      </w:r>
    </w:p>
    <w:p w14:paraId="7639FFB9" w14:textId="77777777" w:rsidR="007D1E74" w:rsidRDefault="00A95641">
      <w:pPr>
        <w:pStyle w:val="afffff7"/>
        <w:ind w:firstLine="482"/>
      </w:pPr>
      <w:r>
        <w:t>4</w:t>
      </w:r>
      <w:r>
        <w:rPr>
          <w:rFonts w:hint="eastAsia"/>
        </w:rPr>
        <w:t>、评价结果</w:t>
      </w:r>
    </w:p>
    <w:p w14:paraId="2A145944" w14:textId="77777777" w:rsidR="007D1E74" w:rsidRDefault="00A95641">
      <w:pPr>
        <w:spacing w:line="360" w:lineRule="auto"/>
        <w:ind w:firstLineChars="200" w:firstLine="480"/>
        <w:rPr>
          <w:rFonts w:cs="Times New Roman"/>
          <w:sz w:val="24"/>
          <w:szCs w:val="24"/>
        </w:rPr>
      </w:pPr>
      <w:r>
        <w:rPr>
          <w:rFonts w:cs="Times New Roman" w:hint="eastAsia"/>
          <w:sz w:val="24"/>
          <w:szCs w:val="24"/>
        </w:rPr>
        <w:t>采用上述评价方法，各水质评价因子的标准指数见下表。</w:t>
      </w:r>
    </w:p>
    <w:p w14:paraId="69B13F52" w14:textId="77777777" w:rsidR="007D1E74" w:rsidRDefault="00A95641">
      <w:pPr>
        <w:pStyle w:val="afffffe"/>
        <w:numPr>
          <w:ilvl w:val="0"/>
          <w:numId w:val="42"/>
        </w:numPr>
        <w:spacing w:line="360" w:lineRule="auto"/>
        <w:ind w:firstLineChars="0"/>
        <w:jc w:val="center"/>
        <w:rPr>
          <w:rFonts w:eastAsia="黑体" w:cs="Times New Roman"/>
          <w:szCs w:val="21"/>
        </w:rPr>
      </w:pPr>
      <w:r>
        <w:rPr>
          <w:rFonts w:eastAsia="黑体" w:cs="Times New Roman" w:hint="eastAsia"/>
          <w:szCs w:val="21"/>
        </w:rPr>
        <w:t>地表水环境质量现状评价结果</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930"/>
        <w:gridCol w:w="931"/>
        <w:gridCol w:w="1193"/>
        <w:gridCol w:w="1193"/>
        <w:gridCol w:w="1193"/>
        <w:gridCol w:w="1193"/>
        <w:gridCol w:w="1194"/>
        <w:gridCol w:w="1189"/>
      </w:tblGrid>
      <w:tr w:rsidR="007D1E74" w14:paraId="644A7B82" w14:textId="77777777">
        <w:trPr>
          <w:tblHeader/>
        </w:trPr>
        <w:tc>
          <w:tcPr>
            <w:tcW w:w="518" w:type="pct"/>
            <w:vMerge w:val="restart"/>
            <w:tcMar>
              <w:left w:w="28" w:type="dxa"/>
              <w:right w:w="28" w:type="dxa"/>
            </w:tcMar>
            <w:vAlign w:val="center"/>
          </w:tcPr>
          <w:p w14:paraId="4FD720C7" w14:textId="77777777" w:rsidR="007D1E74" w:rsidRDefault="00A95641">
            <w:pPr>
              <w:pStyle w:val="afffff8"/>
              <w:rPr>
                <w:rFonts w:eastAsiaTheme="minorEastAsia" w:cs="Times New Roman"/>
              </w:rPr>
            </w:pPr>
            <w:r>
              <w:rPr>
                <w:rFonts w:eastAsiaTheme="minorEastAsia" w:cs="Times New Roman"/>
              </w:rPr>
              <w:t>项目</w:t>
            </w:r>
          </w:p>
        </w:tc>
        <w:tc>
          <w:tcPr>
            <w:tcW w:w="501" w:type="pct"/>
            <w:vMerge w:val="restart"/>
            <w:tcMar>
              <w:left w:w="28" w:type="dxa"/>
              <w:right w:w="28" w:type="dxa"/>
            </w:tcMar>
            <w:vAlign w:val="center"/>
          </w:tcPr>
          <w:p w14:paraId="0B115307" w14:textId="77777777" w:rsidR="007D1E74" w:rsidRDefault="00A95641">
            <w:pPr>
              <w:pStyle w:val="afffff8"/>
              <w:rPr>
                <w:rFonts w:eastAsiaTheme="minorEastAsia" w:cs="Times New Roman"/>
              </w:rPr>
            </w:pPr>
            <w:r>
              <w:rPr>
                <w:rFonts w:eastAsiaTheme="minorEastAsia" w:cs="Times New Roman"/>
              </w:rPr>
              <w:t>标准限值（</w:t>
            </w:r>
            <w:r>
              <w:rPr>
                <w:rFonts w:eastAsiaTheme="minorEastAsia" w:cs="Times New Roman"/>
              </w:rPr>
              <w:t>mg/L</w:t>
            </w:r>
            <w:r>
              <w:rPr>
                <w:rFonts w:eastAsiaTheme="minorEastAsia" w:cs="Times New Roman"/>
              </w:rPr>
              <w:t>）</w:t>
            </w:r>
          </w:p>
        </w:tc>
        <w:tc>
          <w:tcPr>
            <w:tcW w:w="3981" w:type="pct"/>
            <w:gridSpan w:val="6"/>
            <w:tcMar>
              <w:left w:w="28" w:type="dxa"/>
              <w:right w:w="28" w:type="dxa"/>
            </w:tcMar>
            <w:vAlign w:val="center"/>
          </w:tcPr>
          <w:p w14:paraId="32AAFA20" w14:textId="77777777" w:rsidR="007D1E74" w:rsidRDefault="00A95641">
            <w:pPr>
              <w:pStyle w:val="afffff8"/>
              <w:rPr>
                <w:rFonts w:eastAsiaTheme="minorEastAsia" w:cs="Times New Roman"/>
              </w:rPr>
            </w:pPr>
            <w:r>
              <w:rPr>
                <w:rFonts w:eastAsiaTheme="minorEastAsia" w:cs="Times New Roman"/>
              </w:rPr>
              <w:t>评价结果</w:t>
            </w:r>
          </w:p>
        </w:tc>
      </w:tr>
      <w:tr w:rsidR="007D1E74" w14:paraId="535CEB35" w14:textId="77777777">
        <w:trPr>
          <w:tblHeader/>
        </w:trPr>
        <w:tc>
          <w:tcPr>
            <w:tcW w:w="518" w:type="pct"/>
            <w:vMerge/>
            <w:tcMar>
              <w:left w:w="28" w:type="dxa"/>
              <w:right w:w="28" w:type="dxa"/>
            </w:tcMar>
            <w:vAlign w:val="center"/>
          </w:tcPr>
          <w:p w14:paraId="18711AEC" w14:textId="77777777" w:rsidR="007D1E74" w:rsidRDefault="007D1E74">
            <w:pPr>
              <w:pStyle w:val="afffff8"/>
              <w:rPr>
                <w:rFonts w:eastAsiaTheme="minorEastAsia" w:cs="Times New Roman"/>
              </w:rPr>
            </w:pPr>
          </w:p>
        </w:tc>
        <w:tc>
          <w:tcPr>
            <w:tcW w:w="501" w:type="pct"/>
            <w:vMerge/>
            <w:tcMar>
              <w:left w:w="28" w:type="dxa"/>
              <w:right w:w="28" w:type="dxa"/>
            </w:tcMar>
            <w:vAlign w:val="center"/>
          </w:tcPr>
          <w:p w14:paraId="46228A67" w14:textId="77777777" w:rsidR="007D1E74" w:rsidRDefault="007D1E74">
            <w:pPr>
              <w:pStyle w:val="afffff8"/>
              <w:rPr>
                <w:rFonts w:eastAsiaTheme="minorEastAsia" w:cs="Times New Roman"/>
              </w:rPr>
            </w:pPr>
          </w:p>
        </w:tc>
        <w:tc>
          <w:tcPr>
            <w:tcW w:w="1328" w:type="pct"/>
            <w:gridSpan w:val="2"/>
            <w:tcMar>
              <w:left w:w="28" w:type="dxa"/>
              <w:right w:w="28" w:type="dxa"/>
            </w:tcMar>
            <w:vAlign w:val="center"/>
          </w:tcPr>
          <w:p w14:paraId="362473E0" w14:textId="77777777" w:rsidR="007D1E74" w:rsidRDefault="00A95641">
            <w:pPr>
              <w:pStyle w:val="afffff8"/>
              <w:rPr>
                <w:rFonts w:eastAsiaTheme="minorEastAsia" w:cs="Times New Roman"/>
              </w:rPr>
            </w:pPr>
            <w:r>
              <w:rPr>
                <w:rFonts w:eastAsiaTheme="minorEastAsia" w:cs="Times New Roman"/>
              </w:rPr>
              <w:t>1#</w:t>
            </w:r>
            <w:r>
              <w:rPr>
                <w:rFonts w:eastAsiaTheme="minorEastAsia" w:cs="Times New Roman"/>
              </w:rPr>
              <w:t>断面</w:t>
            </w:r>
          </w:p>
        </w:tc>
        <w:tc>
          <w:tcPr>
            <w:tcW w:w="1328" w:type="pct"/>
            <w:gridSpan w:val="2"/>
            <w:tcMar>
              <w:left w:w="28" w:type="dxa"/>
              <w:right w:w="28" w:type="dxa"/>
            </w:tcMar>
            <w:vAlign w:val="center"/>
          </w:tcPr>
          <w:p w14:paraId="2F7E25C7" w14:textId="77777777" w:rsidR="007D1E74" w:rsidRDefault="00A95641">
            <w:pPr>
              <w:pStyle w:val="afffff8"/>
              <w:rPr>
                <w:rFonts w:eastAsiaTheme="minorEastAsia" w:cs="Times New Roman"/>
              </w:rPr>
            </w:pPr>
            <w:r>
              <w:rPr>
                <w:rFonts w:eastAsiaTheme="minorEastAsia" w:cs="Times New Roman"/>
              </w:rPr>
              <w:t>2#</w:t>
            </w:r>
            <w:r>
              <w:rPr>
                <w:rFonts w:eastAsiaTheme="minorEastAsia" w:cs="Times New Roman"/>
              </w:rPr>
              <w:t>断面</w:t>
            </w:r>
          </w:p>
        </w:tc>
        <w:tc>
          <w:tcPr>
            <w:tcW w:w="1325" w:type="pct"/>
            <w:gridSpan w:val="2"/>
            <w:tcMar>
              <w:left w:w="28" w:type="dxa"/>
              <w:right w:w="28" w:type="dxa"/>
            </w:tcMar>
            <w:vAlign w:val="center"/>
          </w:tcPr>
          <w:p w14:paraId="157C0F20" w14:textId="77777777" w:rsidR="007D1E74" w:rsidRDefault="00A95641">
            <w:pPr>
              <w:pStyle w:val="afffff8"/>
              <w:rPr>
                <w:rFonts w:eastAsiaTheme="minorEastAsia" w:cs="Times New Roman"/>
              </w:rPr>
            </w:pPr>
            <w:r>
              <w:rPr>
                <w:rFonts w:eastAsiaTheme="minorEastAsia" w:cs="Times New Roman"/>
              </w:rPr>
              <w:t>3#</w:t>
            </w:r>
            <w:r>
              <w:rPr>
                <w:rFonts w:eastAsiaTheme="minorEastAsia" w:cs="Times New Roman"/>
              </w:rPr>
              <w:t>断面</w:t>
            </w:r>
          </w:p>
        </w:tc>
      </w:tr>
      <w:tr w:rsidR="007D1E74" w14:paraId="68BF89ED" w14:textId="77777777">
        <w:trPr>
          <w:tblHeader/>
        </w:trPr>
        <w:tc>
          <w:tcPr>
            <w:tcW w:w="518" w:type="pct"/>
            <w:vMerge/>
            <w:tcMar>
              <w:left w:w="28" w:type="dxa"/>
              <w:right w:w="28" w:type="dxa"/>
            </w:tcMar>
            <w:vAlign w:val="center"/>
          </w:tcPr>
          <w:p w14:paraId="2EB82D04" w14:textId="77777777" w:rsidR="007D1E74" w:rsidRDefault="007D1E74">
            <w:pPr>
              <w:pStyle w:val="afffff8"/>
              <w:rPr>
                <w:rFonts w:eastAsiaTheme="minorEastAsia" w:cs="Times New Roman"/>
              </w:rPr>
            </w:pPr>
          </w:p>
        </w:tc>
        <w:tc>
          <w:tcPr>
            <w:tcW w:w="501" w:type="pct"/>
            <w:vMerge/>
            <w:tcMar>
              <w:left w:w="28" w:type="dxa"/>
              <w:right w:w="28" w:type="dxa"/>
            </w:tcMar>
            <w:vAlign w:val="center"/>
          </w:tcPr>
          <w:p w14:paraId="6AA3C758" w14:textId="77777777" w:rsidR="007D1E74" w:rsidRDefault="007D1E74">
            <w:pPr>
              <w:pStyle w:val="afffff8"/>
              <w:rPr>
                <w:rFonts w:eastAsiaTheme="minorEastAsia" w:cs="Times New Roman"/>
              </w:rPr>
            </w:pPr>
          </w:p>
        </w:tc>
        <w:tc>
          <w:tcPr>
            <w:tcW w:w="664" w:type="pct"/>
            <w:tcMar>
              <w:left w:w="28" w:type="dxa"/>
              <w:right w:w="28" w:type="dxa"/>
            </w:tcMar>
            <w:vAlign w:val="center"/>
          </w:tcPr>
          <w:p w14:paraId="28237375" w14:textId="77777777" w:rsidR="007D1E74" w:rsidRDefault="00A95641">
            <w:pPr>
              <w:pStyle w:val="afffff8"/>
              <w:rPr>
                <w:rFonts w:eastAsiaTheme="minorEastAsia" w:cs="Times New Roman"/>
              </w:rPr>
            </w:pPr>
            <w:r>
              <w:rPr>
                <w:rFonts w:eastAsiaTheme="minorEastAsia" w:cs="Times New Roman"/>
              </w:rPr>
              <w:t>监测浓度（</w:t>
            </w:r>
            <w:r>
              <w:rPr>
                <w:rFonts w:eastAsiaTheme="minorEastAsia" w:cs="Times New Roman"/>
              </w:rPr>
              <w:t>mg/L</w:t>
            </w:r>
            <w:r>
              <w:rPr>
                <w:rFonts w:eastAsiaTheme="minorEastAsia" w:cs="Times New Roman"/>
              </w:rPr>
              <w:t>）</w:t>
            </w:r>
          </w:p>
        </w:tc>
        <w:tc>
          <w:tcPr>
            <w:tcW w:w="664" w:type="pct"/>
            <w:tcMar>
              <w:left w:w="28" w:type="dxa"/>
              <w:right w:w="28" w:type="dxa"/>
            </w:tcMar>
            <w:vAlign w:val="center"/>
          </w:tcPr>
          <w:p w14:paraId="731105F9" w14:textId="77777777" w:rsidR="007D1E74" w:rsidRDefault="00A95641">
            <w:pPr>
              <w:pStyle w:val="afffff8"/>
              <w:rPr>
                <w:rFonts w:eastAsiaTheme="minorEastAsia" w:cs="Times New Roman"/>
              </w:rPr>
            </w:pPr>
            <w:r>
              <w:rPr>
                <w:rFonts w:eastAsiaTheme="minorEastAsia" w:cs="Times New Roman"/>
              </w:rPr>
              <w:t>标准指数</w:t>
            </w:r>
          </w:p>
        </w:tc>
        <w:tc>
          <w:tcPr>
            <w:tcW w:w="664" w:type="pct"/>
            <w:tcMar>
              <w:left w:w="28" w:type="dxa"/>
              <w:right w:w="28" w:type="dxa"/>
            </w:tcMar>
            <w:vAlign w:val="center"/>
          </w:tcPr>
          <w:p w14:paraId="6F1F23AE" w14:textId="77777777" w:rsidR="007D1E74" w:rsidRDefault="00A95641">
            <w:pPr>
              <w:pStyle w:val="afffff8"/>
              <w:rPr>
                <w:rFonts w:eastAsiaTheme="minorEastAsia" w:cs="Times New Roman"/>
              </w:rPr>
            </w:pPr>
            <w:r>
              <w:rPr>
                <w:rFonts w:eastAsiaTheme="minorEastAsia" w:cs="Times New Roman"/>
              </w:rPr>
              <w:t>监测浓度（</w:t>
            </w:r>
            <w:r>
              <w:rPr>
                <w:rFonts w:eastAsiaTheme="minorEastAsia" w:cs="Times New Roman"/>
              </w:rPr>
              <w:t>mg/L</w:t>
            </w:r>
            <w:r>
              <w:rPr>
                <w:rFonts w:eastAsiaTheme="minorEastAsia" w:cs="Times New Roman"/>
              </w:rPr>
              <w:t>）</w:t>
            </w:r>
          </w:p>
        </w:tc>
        <w:tc>
          <w:tcPr>
            <w:tcW w:w="664" w:type="pct"/>
            <w:tcMar>
              <w:left w:w="28" w:type="dxa"/>
              <w:right w:w="28" w:type="dxa"/>
            </w:tcMar>
            <w:vAlign w:val="center"/>
          </w:tcPr>
          <w:p w14:paraId="18A8BEBA" w14:textId="77777777" w:rsidR="007D1E74" w:rsidRDefault="00A95641">
            <w:pPr>
              <w:pStyle w:val="afffff8"/>
              <w:rPr>
                <w:rFonts w:eastAsiaTheme="minorEastAsia" w:cs="Times New Roman"/>
              </w:rPr>
            </w:pPr>
            <w:r>
              <w:rPr>
                <w:rFonts w:eastAsiaTheme="minorEastAsia" w:cs="Times New Roman"/>
              </w:rPr>
              <w:t>标准指数</w:t>
            </w:r>
          </w:p>
        </w:tc>
        <w:tc>
          <w:tcPr>
            <w:tcW w:w="664" w:type="pct"/>
            <w:tcMar>
              <w:left w:w="28" w:type="dxa"/>
              <w:right w:w="28" w:type="dxa"/>
            </w:tcMar>
            <w:vAlign w:val="center"/>
          </w:tcPr>
          <w:p w14:paraId="1CA9AA6F" w14:textId="77777777" w:rsidR="007D1E74" w:rsidRDefault="00A95641">
            <w:pPr>
              <w:pStyle w:val="afffff8"/>
              <w:rPr>
                <w:rFonts w:eastAsiaTheme="minorEastAsia" w:cs="Times New Roman"/>
              </w:rPr>
            </w:pPr>
            <w:r>
              <w:rPr>
                <w:rFonts w:eastAsiaTheme="minorEastAsia" w:cs="Times New Roman"/>
              </w:rPr>
              <w:t>监测浓度（</w:t>
            </w:r>
            <w:r>
              <w:rPr>
                <w:rFonts w:eastAsiaTheme="minorEastAsia" w:cs="Times New Roman"/>
              </w:rPr>
              <w:t>mg/L</w:t>
            </w:r>
            <w:r>
              <w:rPr>
                <w:rFonts w:eastAsiaTheme="minorEastAsia" w:cs="Times New Roman"/>
              </w:rPr>
              <w:t>）</w:t>
            </w:r>
          </w:p>
        </w:tc>
        <w:tc>
          <w:tcPr>
            <w:tcW w:w="661" w:type="pct"/>
            <w:tcMar>
              <w:left w:w="28" w:type="dxa"/>
              <w:right w:w="28" w:type="dxa"/>
            </w:tcMar>
            <w:vAlign w:val="center"/>
          </w:tcPr>
          <w:p w14:paraId="33FC1507" w14:textId="77777777" w:rsidR="007D1E74" w:rsidRDefault="00A95641">
            <w:pPr>
              <w:pStyle w:val="afffff8"/>
              <w:rPr>
                <w:rFonts w:eastAsiaTheme="minorEastAsia" w:cs="Times New Roman"/>
              </w:rPr>
            </w:pPr>
            <w:r>
              <w:rPr>
                <w:rFonts w:eastAsiaTheme="minorEastAsia" w:cs="Times New Roman"/>
              </w:rPr>
              <w:t>标准指数</w:t>
            </w:r>
          </w:p>
        </w:tc>
      </w:tr>
      <w:tr w:rsidR="007D1E74" w14:paraId="7F5F3FFC" w14:textId="77777777">
        <w:trPr>
          <w:trHeight w:val="65"/>
        </w:trPr>
        <w:tc>
          <w:tcPr>
            <w:tcW w:w="518" w:type="pct"/>
            <w:tcMar>
              <w:left w:w="28" w:type="dxa"/>
              <w:right w:w="28" w:type="dxa"/>
            </w:tcMar>
            <w:vAlign w:val="center"/>
          </w:tcPr>
          <w:p w14:paraId="171B47E1" w14:textId="77777777" w:rsidR="007D1E74" w:rsidRDefault="00A95641">
            <w:pPr>
              <w:pStyle w:val="afffff8"/>
              <w:rPr>
                <w:rFonts w:eastAsiaTheme="minorEastAsia" w:cs="Times New Roman"/>
              </w:rPr>
            </w:pPr>
            <w:r>
              <w:rPr>
                <w:rFonts w:eastAsiaTheme="minorEastAsia" w:cs="Times New Roman"/>
              </w:rPr>
              <w:t>pH</w:t>
            </w:r>
          </w:p>
        </w:tc>
        <w:tc>
          <w:tcPr>
            <w:tcW w:w="501" w:type="pct"/>
            <w:tcMar>
              <w:left w:w="28" w:type="dxa"/>
              <w:right w:w="28" w:type="dxa"/>
            </w:tcMar>
            <w:vAlign w:val="center"/>
          </w:tcPr>
          <w:p w14:paraId="0CA1431B" w14:textId="77777777" w:rsidR="007D1E74" w:rsidRDefault="00A95641">
            <w:pPr>
              <w:pStyle w:val="afffff8"/>
              <w:rPr>
                <w:rFonts w:eastAsiaTheme="minorEastAsia" w:cs="Times New Roman"/>
              </w:rPr>
            </w:pPr>
            <w:r>
              <w:rPr>
                <w:rFonts w:eastAsiaTheme="minorEastAsia" w:cs="Times New Roman"/>
              </w:rPr>
              <w:t>6</w:t>
            </w:r>
            <w:r>
              <w:rPr>
                <w:rFonts w:eastAsiaTheme="minorEastAsia" w:cs="Times New Roman" w:hint="eastAsia"/>
              </w:rPr>
              <w:t>~</w:t>
            </w:r>
            <w:r>
              <w:rPr>
                <w:rFonts w:eastAsiaTheme="minorEastAsia" w:cs="Times New Roman"/>
              </w:rPr>
              <w:t>9</w:t>
            </w:r>
          </w:p>
        </w:tc>
        <w:tc>
          <w:tcPr>
            <w:tcW w:w="664" w:type="pct"/>
            <w:tcMar>
              <w:left w:w="28" w:type="dxa"/>
              <w:right w:w="28" w:type="dxa"/>
            </w:tcMar>
            <w:vAlign w:val="center"/>
          </w:tcPr>
          <w:p w14:paraId="21981769" w14:textId="77777777" w:rsidR="007D1E74" w:rsidRDefault="00A95641">
            <w:pPr>
              <w:pStyle w:val="afffff8"/>
              <w:rPr>
                <w:rFonts w:eastAsiaTheme="minorEastAsia" w:cs="Times New Roman"/>
              </w:rPr>
            </w:pPr>
            <w:r>
              <w:rPr>
                <w:rFonts w:eastAsiaTheme="minorEastAsia" w:cs="Times New Roman"/>
              </w:rPr>
              <w:t>7.3~7.4</w:t>
            </w:r>
          </w:p>
        </w:tc>
        <w:tc>
          <w:tcPr>
            <w:tcW w:w="664" w:type="pct"/>
            <w:tcMar>
              <w:left w:w="28" w:type="dxa"/>
              <w:right w:w="28" w:type="dxa"/>
            </w:tcMar>
            <w:vAlign w:val="center"/>
          </w:tcPr>
          <w:p w14:paraId="62C6DE40" w14:textId="77777777" w:rsidR="007D1E74" w:rsidRDefault="00A95641">
            <w:pPr>
              <w:pStyle w:val="afffff8"/>
              <w:rPr>
                <w:rFonts w:eastAsiaTheme="minorEastAsia" w:cs="Times New Roman"/>
              </w:rPr>
            </w:pPr>
            <w:r>
              <w:rPr>
                <w:rFonts w:eastAsiaTheme="minorEastAsia" w:cs="Times New Roman"/>
              </w:rPr>
              <w:t>0.150~0.200</w:t>
            </w:r>
          </w:p>
        </w:tc>
        <w:tc>
          <w:tcPr>
            <w:tcW w:w="664" w:type="pct"/>
            <w:tcMar>
              <w:left w:w="28" w:type="dxa"/>
              <w:right w:w="28" w:type="dxa"/>
            </w:tcMar>
            <w:vAlign w:val="center"/>
          </w:tcPr>
          <w:p w14:paraId="0249258E" w14:textId="77777777" w:rsidR="007D1E74" w:rsidRDefault="00A95641">
            <w:pPr>
              <w:pStyle w:val="afffff8"/>
              <w:rPr>
                <w:rFonts w:eastAsiaTheme="minorEastAsia" w:cs="Times New Roman"/>
              </w:rPr>
            </w:pPr>
            <w:r>
              <w:rPr>
                <w:rFonts w:eastAsiaTheme="minorEastAsia" w:cs="Times New Roman" w:hint="eastAsia"/>
              </w:rPr>
              <w:t>7</w:t>
            </w:r>
            <w:r>
              <w:rPr>
                <w:rFonts w:eastAsiaTheme="minorEastAsia" w:cs="Times New Roman"/>
              </w:rPr>
              <w:t>.3~7.4</w:t>
            </w:r>
          </w:p>
        </w:tc>
        <w:tc>
          <w:tcPr>
            <w:tcW w:w="664" w:type="pct"/>
            <w:tcMar>
              <w:left w:w="28" w:type="dxa"/>
              <w:right w:w="28" w:type="dxa"/>
            </w:tcMar>
            <w:vAlign w:val="center"/>
          </w:tcPr>
          <w:p w14:paraId="4B326611" w14:textId="77777777" w:rsidR="007D1E74" w:rsidRDefault="00A95641">
            <w:pPr>
              <w:pStyle w:val="afffff8"/>
              <w:rPr>
                <w:rFonts w:eastAsiaTheme="minorEastAsia" w:cs="Times New Roman"/>
              </w:rPr>
            </w:pPr>
            <w:r>
              <w:rPr>
                <w:rFonts w:eastAsiaTheme="minorEastAsia" w:cs="Times New Roman"/>
              </w:rPr>
              <w:t>0.150~0.200</w:t>
            </w:r>
          </w:p>
        </w:tc>
        <w:tc>
          <w:tcPr>
            <w:tcW w:w="664" w:type="pct"/>
            <w:tcMar>
              <w:left w:w="28" w:type="dxa"/>
              <w:right w:w="28" w:type="dxa"/>
            </w:tcMar>
            <w:vAlign w:val="center"/>
          </w:tcPr>
          <w:p w14:paraId="67827DD5" w14:textId="77777777" w:rsidR="007D1E74" w:rsidRDefault="00A95641">
            <w:pPr>
              <w:pStyle w:val="afffff8"/>
              <w:rPr>
                <w:rFonts w:eastAsiaTheme="minorEastAsia" w:cs="Times New Roman"/>
              </w:rPr>
            </w:pPr>
            <w:r>
              <w:rPr>
                <w:rFonts w:eastAsiaTheme="minorEastAsia" w:cs="Times New Roman" w:hint="eastAsia"/>
              </w:rPr>
              <w:t>7</w:t>
            </w:r>
            <w:r>
              <w:rPr>
                <w:rFonts w:eastAsiaTheme="minorEastAsia" w:cs="Times New Roman"/>
              </w:rPr>
              <w:t>.4~7.5</w:t>
            </w:r>
          </w:p>
        </w:tc>
        <w:tc>
          <w:tcPr>
            <w:tcW w:w="661" w:type="pct"/>
            <w:tcMar>
              <w:left w:w="28" w:type="dxa"/>
              <w:right w:w="28" w:type="dxa"/>
            </w:tcMar>
            <w:vAlign w:val="center"/>
          </w:tcPr>
          <w:p w14:paraId="14223530" w14:textId="77777777" w:rsidR="007D1E74" w:rsidRDefault="00A95641">
            <w:pPr>
              <w:pStyle w:val="afffff8"/>
              <w:rPr>
                <w:rFonts w:eastAsiaTheme="minorEastAsia" w:cs="Times New Roman"/>
              </w:rPr>
            </w:pPr>
            <w:r>
              <w:rPr>
                <w:rFonts w:eastAsiaTheme="minorEastAsia" w:cs="Times New Roman"/>
                <w:kern w:val="0"/>
              </w:rPr>
              <w:t>0.200~0.250</w:t>
            </w:r>
          </w:p>
        </w:tc>
      </w:tr>
      <w:tr w:rsidR="007D1E74" w14:paraId="5D93D6F6" w14:textId="77777777">
        <w:trPr>
          <w:trHeight w:val="90"/>
        </w:trPr>
        <w:tc>
          <w:tcPr>
            <w:tcW w:w="518" w:type="pct"/>
            <w:tcMar>
              <w:left w:w="28" w:type="dxa"/>
              <w:right w:w="28" w:type="dxa"/>
            </w:tcMar>
            <w:vAlign w:val="center"/>
          </w:tcPr>
          <w:p w14:paraId="0426A6AE" w14:textId="77777777" w:rsidR="007D1E74" w:rsidRDefault="00A95641">
            <w:pPr>
              <w:pStyle w:val="afffff8"/>
              <w:rPr>
                <w:rFonts w:eastAsiaTheme="minorEastAsia" w:cs="Times New Roman"/>
              </w:rPr>
            </w:pPr>
            <w:r>
              <w:rPr>
                <w:rFonts w:eastAsiaTheme="minorEastAsia" w:cs="Times New Roman"/>
              </w:rPr>
              <w:t>COD</w:t>
            </w:r>
          </w:p>
        </w:tc>
        <w:tc>
          <w:tcPr>
            <w:tcW w:w="501" w:type="pct"/>
            <w:tcMar>
              <w:left w:w="28" w:type="dxa"/>
              <w:right w:w="28" w:type="dxa"/>
            </w:tcMar>
            <w:vAlign w:val="center"/>
          </w:tcPr>
          <w:p w14:paraId="59D505B3" w14:textId="77777777" w:rsidR="007D1E74" w:rsidRDefault="00A95641">
            <w:pPr>
              <w:pStyle w:val="afffff8"/>
              <w:rPr>
                <w:rFonts w:eastAsiaTheme="minorEastAsia" w:cs="Times New Roman"/>
              </w:rPr>
            </w:pPr>
            <w:r>
              <w:rPr>
                <w:rFonts w:eastAsiaTheme="minorEastAsia" w:cs="Times New Roman"/>
              </w:rPr>
              <w:t>≤20</w:t>
            </w:r>
          </w:p>
        </w:tc>
        <w:tc>
          <w:tcPr>
            <w:tcW w:w="664" w:type="pct"/>
            <w:tcMar>
              <w:left w:w="28" w:type="dxa"/>
              <w:right w:w="28" w:type="dxa"/>
            </w:tcMar>
            <w:vAlign w:val="center"/>
          </w:tcPr>
          <w:p w14:paraId="5C488F79" w14:textId="77777777" w:rsidR="007D1E74" w:rsidRDefault="00A95641">
            <w:pPr>
              <w:pStyle w:val="afffff8"/>
              <w:rPr>
                <w:rFonts w:eastAsiaTheme="minorEastAsia" w:cs="Times New Roman"/>
              </w:rPr>
            </w:pPr>
            <w:r>
              <w:rPr>
                <w:rFonts w:eastAsiaTheme="minorEastAsia" w:cs="Times New Roman" w:hint="eastAsia"/>
              </w:rPr>
              <w:t>6~</w:t>
            </w:r>
            <w:r>
              <w:rPr>
                <w:rFonts w:eastAsiaTheme="minorEastAsia" w:cs="Times New Roman"/>
              </w:rPr>
              <w:t>10</w:t>
            </w:r>
          </w:p>
        </w:tc>
        <w:tc>
          <w:tcPr>
            <w:tcW w:w="664" w:type="pct"/>
            <w:shd w:val="clear" w:color="auto" w:fill="auto"/>
            <w:tcMar>
              <w:left w:w="28" w:type="dxa"/>
              <w:right w:w="28" w:type="dxa"/>
            </w:tcMar>
            <w:vAlign w:val="center"/>
          </w:tcPr>
          <w:p w14:paraId="66B500ED" w14:textId="77777777" w:rsidR="007D1E74" w:rsidRDefault="00A95641">
            <w:pPr>
              <w:pStyle w:val="afffff8"/>
              <w:rPr>
                <w:rFonts w:eastAsiaTheme="minorEastAsia" w:cs="Times New Roman"/>
              </w:rPr>
            </w:pPr>
            <w:r>
              <w:rPr>
                <w:rFonts w:eastAsiaTheme="minorEastAsia" w:cs="Times New Roman"/>
              </w:rPr>
              <w:t>0.300~0.500</w:t>
            </w:r>
          </w:p>
        </w:tc>
        <w:tc>
          <w:tcPr>
            <w:tcW w:w="664" w:type="pct"/>
            <w:tcMar>
              <w:left w:w="28" w:type="dxa"/>
              <w:right w:w="28" w:type="dxa"/>
            </w:tcMar>
            <w:vAlign w:val="center"/>
          </w:tcPr>
          <w:p w14:paraId="48F17A7C" w14:textId="77777777" w:rsidR="007D1E74" w:rsidRDefault="00A95641">
            <w:pPr>
              <w:pStyle w:val="afffff8"/>
              <w:rPr>
                <w:rFonts w:eastAsiaTheme="minorEastAsia" w:cs="Times New Roman"/>
              </w:rPr>
            </w:pPr>
            <w:r>
              <w:rPr>
                <w:rFonts w:eastAsiaTheme="minorEastAsia" w:cs="Times New Roman" w:hint="eastAsia"/>
              </w:rPr>
              <w:t>7~</w:t>
            </w:r>
            <w:r>
              <w:rPr>
                <w:rFonts w:eastAsiaTheme="minorEastAsia" w:cs="Times New Roman"/>
              </w:rPr>
              <w:t>9</w:t>
            </w:r>
          </w:p>
        </w:tc>
        <w:tc>
          <w:tcPr>
            <w:tcW w:w="664" w:type="pct"/>
            <w:tcMar>
              <w:left w:w="28" w:type="dxa"/>
              <w:right w:w="28" w:type="dxa"/>
            </w:tcMar>
            <w:vAlign w:val="center"/>
          </w:tcPr>
          <w:p w14:paraId="72F4C095" w14:textId="77777777" w:rsidR="007D1E74" w:rsidRDefault="00A95641">
            <w:pPr>
              <w:pStyle w:val="afffff8"/>
              <w:rPr>
                <w:rFonts w:eastAsiaTheme="minorEastAsia" w:cs="Times New Roman"/>
              </w:rPr>
            </w:pPr>
            <w:r>
              <w:rPr>
                <w:rFonts w:eastAsiaTheme="minorEastAsia" w:cs="Times New Roman"/>
              </w:rPr>
              <w:t>0.350~0.450</w:t>
            </w:r>
          </w:p>
        </w:tc>
        <w:tc>
          <w:tcPr>
            <w:tcW w:w="664" w:type="pct"/>
            <w:tcMar>
              <w:left w:w="28" w:type="dxa"/>
              <w:right w:w="28" w:type="dxa"/>
            </w:tcMar>
            <w:vAlign w:val="center"/>
          </w:tcPr>
          <w:p w14:paraId="328D16A8" w14:textId="77777777" w:rsidR="007D1E74" w:rsidRDefault="00A95641">
            <w:pPr>
              <w:pStyle w:val="afffff8"/>
              <w:rPr>
                <w:rFonts w:eastAsiaTheme="minorEastAsia" w:cs="Times New Roman"/>
              </w:rPr>
            </w:pPr>
            <w:r>
              <w:rPr>
                <w:rFonts w:eastAsiaTheme="minorEastAsia" w:cs="Times New Roman" w:hint="eastAsia"/>
              </w:rPr>
              <w:t>4~</w:t>
            </w:r>
            <w:r>
              <w:rPr>
                <w:rFonts w:eastAsiaTheme="minorEastAsia" w:cs="Times New Roman"/>
              </w:rPr>
              <w:t>10</w:t>
            </w:r>
          </w:p>
        </w:tc>
        <w:tc>
          <w:tcPr>
            <w:tcW w:w="661" w:type="pct"/>
            <w:tcMar>
              <w:left w:w="28" w:type="dxa"/>
              <w:right w:w="28" w:type="dxa"/>
            </w:tcMar>
            <w:vAlign w:val="center"/>
          </w:tcPr>
          <w:p w14:paraId="69AAEEB0" w14:textId="77777777" w:rsidR="007D1E74" w:rsidRDefault="00A95641">
            <w:pPr>
              <w:pStyle w:val="afffff8"/>
              <w:rPr>
                <w:rFonts w:eastAsiaTheme="minorEastAsia" w:cs="Times New Roman"/>
              </w:rPr>
            </w:pPr>
            <w:r>
              <w:rPr>
                <w:rFonts w:eastAsiaTheme="minorEastAsia" w:cs="Times New Roman"/>
                <w:kern w:val="0"/>
              </w:rPr>
              <w:t>0.200~0.500</w:t>
            </w:r>
          </w:p>
        </w:tc>
      </w:tr>
      <w:tr w:rsidR="007D1E74" w14:paraId="78C8057D" w14:textId="77777777">
        <w:trPr>
          <w:trHeight w:val="285"/>
        </w:trPr>
        <w:tc>
          <w:tcPr>
            <w:tcW w:w="518" w:type="pct"/>
            <w:tcMar>
              <w:left w:w="28" w:type="dxa"/>
              <w:right w:w="28" w:type="dxa"/>
            </w:tcMar>
            <w:vAlign w:val="center"/>
          </w:tcPr>
          <w:p w14:paraId="0BAA9355" w14:textId="77777777" w:rsidR="007D1E74" w:rsidRDefault="00A95641">
            <w:pPr>
              <w:pStyle w:val="afffff8"/>
              <w:rPr>
                <w:rFonts w:eastAsiaTheme="minorEastAsia" w:cs="Times New Roman"/>
              </w:rPr>
            </w:pPr>
            <w:r>
              <w:rPr>
                <w:rFonts w:eastAsiaTheme="minorEastAsia" w:cs="Times New Roman" w:hint="eastAsia"/>
              </w:rPr>
              <w:t>NH</w:t>
            </w:r>
            <w:r>
              <w:rPr>
                <w:rFonts w:eastAsiaTheme="minorEastAsia" w:cs="Times New Roman"/>
                <w:vertAlign w:val="subscript"/>
              </w:rPr>
              <w:t>3</w:t>
            </w:r>
            <w:r>
              <w:rPr>
                <w:rFonts w:eastAsiaTheme="minorEastAsia" w:cs="Times New Roman"/>
              </w:rPr>
              <w:t>-N</w:t>
            </w:r>
          </w:p>
        </w:tc>
        <w:tc>
          <w:tcPr>
            <w:tcW w:w="501" w:type="pct"/>
            <w:tcMar>
              <w:left w:w="28" w:type="dxa"/>
              <w:right w:w="28" w:type="dxa"/>
            </w:tcMar>
            <w:vAlign w:val="center"/>
          </w:tcPr>
          <w:p w14:paraId="29E2CFF0" w14:textId="77777777" w:rsidR="007D1E74" w:rsidRDefault="00A95641">
            <w:pPr>
              <w:pStyle w:val="afffff8"/>
              <w:rPr>
                <w:rFonts w:eastAsiaTheme="minorEastAsia" w:cs="Times New Roman"/>
              </w:rPr>
            </w:pPr>
            <w:r>
              <w:rPr>
                <w:rFonts w:eastAsiaTheme="minorEastAsia" w:cs="Times New Roman"/>
              </w:rPr>
              <w:t>≤1.0</w:t>
            </w:r>
          </w:p>
        </w:tc>
        <w:tc>
          <w:tcPr>
            <w:tcW w:w="664" w:type="pct"/>
            <w:tcMar>
              <w:left w:w="28" w:type="dxa"/>
              <w:right w:w="28" w:type="dxa"/>
            </w:tcMar>
            <w:vAlign w:val="center"/>
          </w:tcPr>
          <w:p w14:paraId="7D4FFC88" w14:textId="77777777" w:rsidR="007D1E74" w:rsidRDefault="00A95641">
            <w:pPr>
              <w:pStyle w:val="afffff8"/>
              <w:rPr>
                <w:rFonts w:eastAsiaTheme="minorEastAsia" w:cs="Times New Roman"/>
              </w:rPr>
            </w:pPr>
            <w:r>
              <w:rPr>
                <w:rFonts w:eastAsiaTheme="minorEastAsia" w:cs="Times New Roman"/>
              </w:rPr>
              <w:t>0.064~0.079</w:t>
            </w:r>
          </w:p>
        </w:tc>
        <w:tc>
          <w:tcPr>
            <w:tcW w:w="664" w:type="pct"/>
            <w:shd w:val="clear" w:color="auto" w:fill="auto"/>
            <w:tcMar>
              <w:left w:w="28" w:type="dxa"/>
              <w:right w:w="28" w:type="dxa"/>
            </w:tcMar>
            <w:vAlign w:val="center"/>
          </w:tcPr>
          <w:p w14:paraId="0097DF27" w14:textId="77777777" w:rsidR="007D1E74" w:rsidRDefault="00A95641">
            <w:pPr>
              <w:pStyle w:val="afffff8"/>
              <w:rPr>
                <w:rFonts w:eastAsiaTheme="minorEastAsia" w:cs="Times New Roman"/>
              </w:rPr>
            </w:pPr>
            <w:r>
              <w:rPr>
                <w:rFonts w:eastAsiaTheme="minorEastAsia" w:cs="Times New Roman"/>
              </w:rPr>
              <w:t>0.064~0.079</w:t>
            </w:r>
          </w:p>
        </w:tc>
        <w:tc>
          <w:tcPr>
            <w:tcW w:w="664" w:type="pct"/>
            <w:tcMar>
              <w:left w:w="28" w:type="dxa"/>
              <w:right w:w="28" w:type="dxa"/>
            </w:tcMar>
            <w:vAlign w:val="center"/>
          </w:tcPr>
          <w:p w14:paraId="5D588474" w14:textId="77777777" w:rsidR="007D1E74" w:rsidRDefault="00A95641">
            <w:pPr>
              <w:pStyle w:val="afffff8"/>
              <w:rPr>
                <w:rFonts w:eastAsiaTheme="minorEastAsia" w:cs="Times New Roman"/>
              </w:rPr>
            </w:pPr>
            <w:r>
              <w:rPr>
                <w:rFonts w:eastAsiaTheme="minorEastAsia" w:cs="Times New Roman" w:hint="eastAsia"/>
              </w:rPr>
              <w:t>0</w:t>
            </w:r>
            <w:r>
              <w:rPr>
                <w:rFonts w:eastAsiaTheme="minorEastAsia" w:cs="Times New Roman"/>
              </w:rPr>
              <w:t>.053~0.079</w:t>
            </w:r>
          </w:p>
        </w:tc>
        <w:tc>
          <w:tcPr>
            <w:tcW w:w="664" w:type="pct"/>
            <w:tcMar>
              <w:left w:w="28" w:type="dxa"/>
              <w:right w:w="28" w:type="dxa"/>
            </w:tcMar>
            <w:vAlign w:val="center"/>
          </w:tcPr>
          <w:p w14:paraId="27DE3334" w14:textId="77777777" w:rsidR="007D1E74" w:rsidRDefault="00A95641">
            <w:pPr>
              <w:pStyle w:val="afffff8"/>
              <w:rPr>
                <w:rFonts w:eastAsiaTheme="minorEastAsia" w:cs="Times New Roman"/>
              </w:rPr>
            </w:pPr>
            <w:r>
              <w:rPr>
                <w:rFonts w:eastAsiaTheme="minorEastAsia" w:cs="Times New Roman" w:hint="eastAsia"/>
              </w:rPr>
              <w:t>0</w:t>
            </w:r>
            <w:r>
              <w:rPr>
                <w:rFonts w:eastAsiaTheme="minorEastAsia" w:cs="Times New Roman"/>
              </w:rPr>
              <w:t>.053~0.079</w:t>
            </w:r>
          </w:p>
        </w:tc>
        <w:tc>
          <w:tcPr>
            <w:tcW w:w="664" w:type="pct"/>
            <w:tcMar>
              <w:left w:w="28" w:type="dxa"/>
              <w:right w:w="28" w:type="dxa"/>
            </w:tcMar>
            <w:vAlign w:val="center"/>
          </w:tcPr>
          <w:p w14:paraId="125F27C3" w14:textId="77777777" w:rsidR="007D1E74" w:rsidRDefault="00A95641">
            <w:pPr>
              <w:pStyle w:val="afffff8"/>
              <w:rPr>
                <w:rFonts w:eastAsiaTheme="minorEastAsia" w:cs="Times New Roman"/>
              </w:rPr>
            </w:pPr>
            <w:r>
              <w:rPr>
                <w:rFonts w:eastAsiaTheme="minorEastAsia" w:cs="Times New Roman" w:hint="eastAsia"/>
              </w:rPr>
              <w:t>0</w:t>
            </w:r>
            <w:r>
              <w:rPr>
                <w:rFonts w:eastAsiaTheme="minorEastAsia" w:cs="Times New Roman"/>
              </w:rPr>
              <w:t>.088~0.141</w:t>
            </w:r>
          </w:p>
        </w:tc>
        <w:tc>
          <w:tcPr>
            <w:tcW w:w="661" w:type="pct"/>
            <w:tcMar>
              <w:left w:w="28" w:type="dxa"/>
              <w:right w:w="28" w:type="dxa"/>
            </w:tcMar>
            <w:vAlign w:val="center"/>
          </w:tcPr>
          <w:p w14:paraId="67851D75" w14:textId="77777777" w:rsidR="007D1E74" w:rsidRDefault="00A95641">
            <w:pPr>
              <w:pStyle w:val="afffff8"/>
              <w:rPr>
                <w:rFonts w:eastAsiaTheme="minorEastAsia" w:cs="Times New Roman"/>
              </w:rPr>
            </w:pPr>
            <w:r>
              <w:rPr>
                <w:rFonts w:eastAsiaTheme="minorEastAsia" w:cs="Times New Roman" w:hint="eastAsia"/>
              </w:rPr>
              <w:t>0</w:t>
            </w:r>
            <w:r>
              <w:rPr>
                <w:rFonts w:eastAsiaTheme="minorEastAsia" w:cs="Times New Roman"/>
              </w:rPr>
              <w:t>.088~0.141</w:t>
            </w:r>
          </w:p>
        </w:tc>
      </w:tr>
      <w:tr w:rsidR="007D1E74" w14:paraId="49E3150F" w14:textId="77777777">
        <w:trPr>
          <w:trHeight w:val="65"/>
        </w:trPr>
        <w:tc>
          <w:tcPr>
            <w:tcW w:w="518" w:type="pct"/>
            <w:tcMar>
              <w:left w:w="28" w:type="dxa"/>
              <w:right w:w="28" w:type="dxa"/>
            </w:tcMar>
            <w:vAlign w:val="center"/>
          </w:tcPr>
          <w:p w14:paraId="2C879382" w14:textId="77777777" w:rsidR="007D1E74" w:rsidRDefault="00A95641">
            <w:pPr>
              <w:pStyle w:val="afffff8"/>
              <w:rPr>
                <w:rFonts w:eastAsiaTheme="minorEastAsia" w:cs="Times New Roman"/>
              </w:rPr>
            </w:pPr>
            <w:r>
              <w:rPr>
                <w:rFonts w:eastAsiaTheme="minorEastAsia" w:cs="Times New Roman" w:hint="eastAsia"/>
              </w:rPr>
              <w:t>挥发酚</w:t>
            </w:r>
          </w:p>
        </w:tc>
        <w:tc>
          <w:tcPr>
            <w:tcW w:w="501" w:type="pct"/>
            <w:tcMar>
              <w:left w:w="28" w:type="dxa"/>
              <w:right w:w="28" w:type="dxa"/>
            </w:tcMar>
            <w:vAlign w:val="center"/>
          </w:tcPr>
          <w:p w14:paraId="6832A8E2" w14:textId="77777777" w:rsidR="007D1E74" w:rsidRDefault="00A95641">
            <w:pPr>
              <w:pStyle w:val="afffff8"/>
              <w:rPr>
                <w:rFonts w:eastAsiaTheme="minorEastAsia" w:cs="Times New Roman"/>
              </w:rPr>
            </w:pPr>
            <w:r>
              <w:rPr>
                <w:rFonts w:eastAsiaTheme="minorEastAsia" w:cs="Times New Roman"/>
              </w:rPr>
              <w:t>≤0.005</w:t>
            </w:r>
          </w:p>
        </w:tc>
        <w:tc>
          <w:tcPr>
            <w:tcW w:w="664" w:type="pct"/>
            <w:tcMar>
              <w:left w:w="28" w:type="dxa"/>
              <w:right w:w="28" w:type="dxa"/>
            </w:tcMar>
            <w:vAlign w:val="center"/>
          </w:tcPr>
          <w:p w14:paraId="7A85CAF4" w14:textId="77777777" w:rsidR="007D1E74" w:rsidRDefault="00A95641">
            <w:pPr>
              <w:pStyle w:val="afffff8"/>
              <w:rPr>
                <w:rFonts w:eastAsiaTheme="minorEastAsia" w:cs="Times New Roman"/>
              </w:rPr>
            </w:pPr>
            <w:r>
              <w:rPr>
                <w:rFonts w:eastAsiaTheme="minorEastAsia" w:cs="Times New Roman" w:hint="eastAsia"/>
              </w:rPr>
              <w:t>0</w:t>
            </w:r>
            <w:r>
              <w:rPr>
                <w:rFonts w:eastAsiaTheme="minorEastAsia" w:cs="Times New Roman"/>
              </w:rPr>
              <w:t>.0005</w:t>
            </w:r>
          </w:p>
        </w:tc>
        <w:tc>
          <w:tcPr>
            <w:tcW w:w="664" w:type="pct"/>
            <w:shd w:val="clear" w:color="auto" w:fill="auto"/>
            <w:tcMar>
              <w:left w:w="28" w:type="dxa"/>
              <w:right w:w="28" w:type="dxa"/>
            </w:tcMar>
            <w:vAlign w:val="center"/>
          </w:tcPr>
          <w:p w14:paraId="79C7DF35" w14:textId="77777777" w:rsidR="007D1E74" w:rsidRDefault="00A95641">
            <w:pPr>
              <w:pStyle w:val="afffff8"/>
              <w:rPr>
                <w:rFonts w:eastAsiaTheme="minorEastAsia" w:cs="Times New Roman"/>
              </w:rPr>
            </w:pPr>
            <w:r>
              <w:rPr>
                <w:rFonts w:eastAsiaTheme="minorEastAsia" w:cs="Times New Roman" w:hint="eastAsia"/>
              </w:rPr>
              <w:t>0</w:t>
            </w:r>
            <w:r>
              <w:rPr>
                <w:rFonts w:eastAsiaTheme="minorEastAsia" w:cs="Times New Roman"/>
              </w:rPr>
              <w:t>.100</w:t>
            </w:r>
          </w:p>
        </w:tc>
        <w:tc>
          <w:tcPr>
            <w:tcW w:w="664" w:type="pct"/>
            <w:tcMar>
              <w:left w:w="28" w:type="dxa"/>
              <w:right w:w="28" w:type="dxa"/>
            </w:tcMar>
            <w:vAlign w:val="center"/>
          </w:tcPr>
          <w:p w14:paraId="03CAFC1A" w14:textId="77777777" w:rsidR="007D1E74" w:rsidRDefault="00A95641">
            <w:pPr>
              <w:pStyle w:val="afffff8"/>
              <w:rPr>
                <w:rFonts w:eastAsiaTheme="minorEastAsia" w:cs="Times New Roman"/>
              </w:rPr>
            </w:pPr>
            <w:r>
              <w:rPr>
                <w:rFonts w:eastAsiaTheme="minorEastAsia" w:cs="Times New Roman" w:hint="eastAsia"/>
              </w:rPr>
              <w:t>0</w:t>
            </w:r>
            <w:r>
              <w:rPr>
                <w:rFonts w:eastAsiaTheme="minorEastAsia" w:cs="Times New Roman"/>
              </w:rPr>
              <w:t>.0004</w:t>
            </w:r>
          </w:p>
        </w:tc>
        <w:tc>
          <w:tcPr>
            <w:tcW w:w="664" w:type="pct"/>
            <w:tcMar>
              <w:left w:w="28" w:type="dxa"/>
              <w:right w:w="28" w:type="dxa"/>
            </w:tcMar>
            <w:vAlign w:val="center"/>
          </w:tcPr>
          <w:p w14:paraId="1D363110" w14:textId="77777777" w:rsidR="007D1E74" w:rsidRDefault="00A95641">
            <w:pPr>
              <w:pStyle w:val="afffff8"/>
              <w:rPr>
                <w:rFonts w:eastAsiaTheme="minorEastAsia" w:cs="Times New Roman"/>
              </w:rPr>
            </w:pPr>
            <w:r>
              <w:rPr>
                <w:rFonts w:eastAsiaTheme="minorEastAsia" w:cs="Times New Roman" w:hint="eastAsia"/>
              </w:rPr>
              <w:t>0</w:t>
            </w:r>
            <w:r>
              <w:rPr>
                <w:rFonts w:eastAsiaTheme="minorEastAsia" w:cs="Times New Roman"/>
              </w:rPr>
              <w:t>.080</w:t>
            </w:r>
          </w:p>
        </w:tc>
        <w:tc>
          <w:tcPr>
            <w:tcW w:w="664" w:type="pct"/>
            <w:tcMar>
              <w:left w:w="28" w:type="dxa"/>
              <w:right w:w="28" w:type="dxa"/>
            </w:tcMar>
            <w:vAlign w:val="center"/>
          </w:tcPr>
          <w:p w14:paraId="4304EE75" w14:textId="77777777" w:rsidR="007D1E74" w:rsidRDefault="00A95641">
            <w:pPr>
              <w:pStyle w:val="afffff8"/>
              <w:rPr>
                <w:rFonts w:eastAsiaTheme="minorEastAsia" w:cs="Times New Roman"/>
                <w:kern w:val="0"/>
              </w:rPr>
            </w:pPr>
            <w:r>
              <w:rPr>
                <w:rFonts w:eastAsiaTheme="minorEastAsia" w:cs="Times New Roman"/>
                <w:kern w:val="0"/>
              </w:rPr>
              <w:t>未检出</w:t>
            </w:r>
          </w:p>
        </w:tc>
        <w:tc>
          <w:tcPr>
            <w:tcW w:w="661" w:type="pct"/>
            <w:tcMar>
              <w:left w:w="28" w:type="dxa"/>
              <w:right w:w="28" w:type="dxa"/>
            </w:tcMar>
            <w:vAlign w:val="center"/>
          </w:tcPr>
          <w:p w14:paraId="2F3CC876" w14:textId="77777777" w:rsidR="007D1E74" w:rsidRDefault="00A95641">
            <w:pPr>
              <w:pStyle w:val="afffff8"/>
              <w:rPr>
                <w:rFonts w:eastAsiaTheme="minorEastAsia" w:cs="Times New Roman"/>
                <w:kern w:val="0"/>
              </w:rPr>
            </w:pPr>
            <w:r>
              <w:rPr>
                <w:rFonts w:eastAsiaTheme="minorEastAsia" w:cs="Times New Roman"/>
                <w:kern w:val="0"/>
              </w:rPr>
              <w:t>/</w:t>
            </w:r>
          </w:p>
        </w:tc>
      </w:tr>
      <w:tr w:rsidR="007D1E74" w14:paraId="1EC524DF" w14:textId="77777777">
        <w:trPr>
          <w:trHeight w:val="285"/>
        </w:trPr>
        <w:tc>
          <w:tcPr>
            <w:tcW w:w="518" w:type="pct"/>
            <w:tcMar>
              <w:left w:w="28" w:type="dxa"/>
              <w:right w:w="28" w:type="dxa"/>
            </w:tcMar>
            <w:vAlign w:val="center"/>
          </w:tcPr>
          <w:p w14:paraId="27ABB126" w14:textId="77777777" w:rsidR="007D1E74" w:rsidRDefault="00A95641">
            <w:pPr>
              <w:pStyle w:val="afffff8"/>
              <w:rPr>
                <w:rFonts w:eastAsiaTheme="minorEastAsia" w:cs="Times New Roman"/>
              </w:rPr>
            </w:pPr>
            <w:r>
              <w:rPr>
                <w:rFonts w:eastAsiaTheme="minorEastAsia" w:cs="Times New Roman"/>
              </w:rPr>
              <w:t>石油类</w:t>
            </w:r>
          </w:p>
        </w:tc>
        <w:tc>
          <w:tcPr>
            <w:tcW w:w="501" w:type="pct"/>
            <w:tcMar>
              <w:left w:w="28" w:type="dxa"/>
              <w:right w:w="28" w:type="dxa"/>
            </w:tcMar>
            <w:vAlign w:val="center"/>
          </w:tcPr>
          <w:p w14:paraId="00B7CA56" w14:textId="77777777" w:rsidR="007D1E74" w:rsidRDefault="00A95641">
            <w:pPr>
              <w:pStyle w:val="afffff8"/>
              <w:rPr>
                <w:rFonts w:eastAsiaTheme="minorEastAsia" w:cs="Times New Roman"/>
              </w:rPr>
            </w:pPr>
            <w:r>
              <w:rPr>
                <w:rFonts w:eastAsiaTheme="minorEastAsia" w:cs="Times New Roman"/>
              </w:rPr>
              <w:t>≤0.05</w:t>
            </w:r>
          </w:p>
        </w:tc>
        <w:tc>
          <w:tcPr>
            <w:tcW w:w="664" w:type="pct"/>
            <w:tcMar>
              <w:left w:w="28" w:type="dxa"/>
              <w:right w:w="28" w:type="dxa"/>
            </w:tcMar>
            <w:vAlign w:val="center"/>
          </w:tcPr>
          <w:p w14:paraId="25D9FC51" w14:textId="77777777" w:rsidR="007D1E74" w:rsidRDefault="00A95641">
            <w:pPr>
              <w:pStyle w:val="afffff8"/>
              <w:rPr>
                <w:rFonts w:eastAsiaTheme="minorEastAsia" w:cs="Times New Roman"/>
              </w:rPr>
            </w:pPr>
            <w:r>
              <w:rPr>
                <w:rFonts w:eastAsiaTheme="minorEastAsia" w:cs="Times New Roman"/>
              </w:rPr>
              <w:t>未检出</w:t>
            </w:r>
          </w:p>
        </w:tc>
        <w:tc>
          <w:tcPr>
            <w:tcW w:w="664" w:type="pct"/>
            <w:shd w:val="clear" w:color="auto" w:fill="auto"/>
            <w:tcMar>
              <w:left w:w="28" w:type="dxa"/>
              <w:right w:w="28" w:type="dxa"/>
            </w:tcMar>
            <w:vAlign w:val="center"/>
          </w:tcPr>
          <w:p w14:paraId="36B1764F" w14:textId="77777777" w:rsidR="007D1E74" w:rsidRDefault="00A95641">
            <w:pPr>
              <w:pStyle w:val="afffff8"/>
              <w:rPr>
                <w:rFonts w:eastAsiaTheme="minorEastAsia" w:cs="Times New Roman"/>
              </w:rPr>
            </w:pPr>
            <w:r>
              <w:rPr>
                <w:rFonts w:eastAsiaTheme="minorEastAsia" w:cs="Times New Roman"/>
              </w:rPr>
              <w:t>/</w:t>
            </w:r>
          </w:p>
        </w:tc>
        <w:tc>
          <w:tcPr>
            <w:tcW w:w="664" w:type="pct"/>
            <w:tcMar>
              <w:left w:w="28" w:type="dxa"/>
              <w:right w:w="28" w:type="dxa"/>
            </w:tcMar>
            <w:vAlign w:val="center"/>
          </w:tcPr>
          <w:p w14:paraId="51149398" w14:textId="77777777" w:rsidR="007D1E74" w:rsidRDefault="00A95641">
            <w:pPr>
              <w:pStyle w:val="afffff8"/>
              <w:rPr>
                <w:rFonts w:eastAsiaTheme="minorEastAsia" w:cs="Times New Roman"/>
              </w:rPr>
            </w:pPr>
            <w:r>
              <w:rPr>
                <w:rFonts w:eastAsiaTheme="minorEastAsia" w:cs="Times New Roman"/>
              </w:rPr>
              <w:t>未检出</w:t>
            </w:r>
          </w:p>
        </w:tc>
        <w:tc>
          <w:tcPr>
            <w:tcW w:w="664" w:type="pct"/>
            <w:tcMar>
              <w:left w:w="28" w:type="dxa"/>
              <w:right w:w="28" w:type="dxa"/>
            </w:tcMar>
            <w:vAlign w:val="center"/>
          </w:tcPr>
          <w:p w14:paraId="1D6F1D1D" w14:textId="77777777" w:rsidR="007D1E74" w:rsidRDefault="00A95641">
            <w:pPr>
              <w:pStyle w:val="afffff8"/>
              <w:rPr>
                <w:rFonts w:eastAsiaTheme="minorEastAsia" w:cs="Times New Roman"/>
              </w:rPr>
            </w:pPr>
            <w:r>
              <w:rPr>
                <w:rFonts w:eastAsiaTheme="minorEastAsia" w:cs="Times New Roman"/>
              </w:rPr>
              <w:t>/</w:t>
            </w:r>
          </w:p>
        </w:tc>
        <w:tc>
          <w:tcPr>
            <w:tcW w:w="664" w:type="pct"/>
            <w:tcMar>
              <w:left w:w="28" w:type="dxa"/>
              <w:right w:w="28" w:type="dxa"/>
            </w:tcMar>
            <w:vAlign w:val="center"/>
          </w:tcPr>
          <w:p w14:paraId="4ABCB4C8" w14:textId="77777777" w:rsidR="007D1E74" w:rsidRDefault="00A95641">
            <w:pPr>
              <w:pStyle w:val="afffff8"/>
              <w:rPr>
                <w:rFonts w:eastAsiaTheme="minorEastAsia" w:cs="Times New Roman"/>
              </w:rPr>
            </w:pPr>
            <w:r>
              <w:rPr>
                <w:rFonts w:eastAsiaTheme="minorEastAsia" w:cs="Times New Roman"/>
                <w:kern w:val="0"/>
              </w:rPr>
              <w:t>未检出</w:t>
            </w:r>
          </w:p>
        </w:tc>
        <w:tc>
          <w:tcPr>
            <w:tcW w:w="661" w:type="pct"/>
            <w:tcMar>
              <w:left w:w="28" w:type="dxa"/>
              <w:right w:w="28" w:type="dxa"/>
            </w:tcMar>
            <w:vAlign w:val="center"/>
          </w:tcPr>
          <w:p w14:paraId="44702EED" w14:textId="77777777" w:rsidR="007D1E74" w:rsidRDefault="00A95641">
            <w:pPr>
              <w:pStyle w:val="afffff8"/>
              <w:rPr>
                <w:rFonts w:eastAsiaTheme="minorEastAsia" w:cs="Times New Roman"/>
              </w:rPr>
            </w:pPr>
            <w:r>
              <w:rPr>
                <w:rFonts w:eastAsiaTheme="minorEastAsia" w:cs="Times New Roman"/>
                <w:kern w:val="0"/>
              </w:rPr>
              <w:t>/</w:t>
            </w:r>
          </w:p>
        </w:tc>
      </w:tr>
    </w:tbl>
    <w:p w14:paraId="0C2452A3" w14:textId="77777777" w:rsidR="007D1E74" w:rsidRDefault="00A95641">
      <w:pPr>
        <w:spacing w:line="360" w:lineRule="auto"/>
        <w:ind w:firstLineChars="200" w:firstLine="480"/>
        <w:rPr>
          <w:rFonts w:cs="Times New Roman"/>
          <w:sz w:val="24"/>
          <w:szCs w:val="24"/>
        </w:rPr>
      </w:pPr>
      <w:r>
        <w:rPr>
          <w:rFonts w:cs="Times New Roman" w:hint="eastAsia"/>
          <w:sz w:val="24"/>
          <w:szCs w:val="24"/>
        </w:rPr>
        <w:t>结果表明，评价河段小通江河及其支流</w:t>
      </w:r>
      <w:r>
        <w:rPr>
          <w:rFonts w:cs="Times New Roman"/>
          <w:sz w:val="24"/>
          <w:szCs w:val="24"/>
        </w:rPr>
        <w:t>pH</w:t>
      </w:r>
      <w:r>
        <w:rPr>
          <w:rFonts w:cs="Times New Roman"/>
          <w:sz w:val="24"/>
          <w:szCs w:val="24"/>
        </w:rPr>
        <w:t>、</w:t>
      </w:r>
      <w:r>
        <w:rPr>
          <w:rFonts w:cs="Times New Roman"/>
          <w:sz w:val="24"/>
          <w:szCs w:val="24"/>
        </w:rPr>
        <w:t>COD</w:t>
      </w:r>
      <w:r>
        <w:rPr>
          <w:rFonts w:cs="Times New Roman"/>
          <w:sz w:val="24"/>
          <w:szCs w:val="24"/>
        </w:rPr>
        <w:t>、</w:t>
      </w:r>
      <w:r>
        <w:rPr>
          <w:rFonts w:cs="Times New Roman"/>
          <w:sz w:val="24"/>
          <w:szCs w:val="24"/>
        </w:rPr>
        <w:t>NH</w:t>
      </w:r>
      <w:r>
        <w:rPr>
          <w:rFonts w:cs="Times New Roman"/>
          <w:sz w:val="24"/>
          <w:szCs w:val="24"/>
          <w:vertAlign w:val="subscript"/>
        </w:rPr>
        <w:t>3</w:t>
      </w:r>
      <w:r>
        <w:rPr>
          <w:rFonts w:cs="Times New Roman"/>
          <w:sz w:val="24"/>
          <w:szCs w:val="24"/>
        </w:rPr>
        <w:t>-N</w:t>
      </w:r>
      <w:r>
        <w:rPr>
          <w:rFonts w:cs="Times New Roman"/>
          <w:sz w:val="24"/>
          <w:szCs w:val="24"/>
        </w:rPr>
        <w:t>、挥发酚、石油类等</w:t>
      </w:r>
      <w:r>
        <w:rPr>
          <w:rFonts w:cs="Times New Roman" w:hint="eastAsia"/>
          <w:sz w:val="24"/>
          <w:szCs w:val="24"/>
        </w:rPr>
        <w:t>评价因子标准指数均小于</w:t>
      </w:r>
      <w:r>
        <w:rPr>
          <w:rFonts w:cs="Times New Roman" w:hint="eastAsia"/>
          <w:sz w:val="24"/>
          <w:szCs w:val="24"/>
        </w:rPr>
        <w:t>1</w:t>
      </w:r>
      <w:r>
        <w:rPr>
          <w:rFonts w:cs="Times New Roman" w:hint="eastAsia"/>
          <w:sz w:val="24"/>
          <w:szCs w:val="24"/>
        </w:rPr>
        <w:t>，满足《地表水环境质量标准》（</w:t>
      </w:r>
      <w:r>
        <w:rPr>
          <w:rFonts w:cs="Times New Roman" w:hint="eastAsia"/>
          <w:sz w:val="24"/>
          <w:szCs w:val="24"/>
        </w:rPr>
        <w:t>GB3838-2002</w:t>
      </w:r>
      <w:r>
        <w:rPr>
          <w:rFonts w:cs="Times New Roman" w:hint="eastAsia"/>
          <w:sz w:val="24"/>
          <w:szCs w:val="24"/>
        </w:rPr>
        <w:t>）</w:t>
      </w:r>
      <w:r>
        <w:rPr>
          <w:rFonts w:cs="Times New Roman" w:hint="eastAsia"/>
          <w:sz w:val="24"/>
          <w:szCs w:val="24"/>
        </w:rPr>
        <w:t>III</w:t>
      </w:r>
      <w:r>
        <w:rPr>
          <w:rFonts w:cs="Times New Roman" w:hint="eastAsia"/>
          <w:sz w:val="24"/>
          <w:szCs w:val="24"/>
        </w:rPr>
        <w:t>类水域标准。</w:t>
      </w:r>
    </w:p>
    <w:p w14:paraId="6882DF99" w14:textId="77777777" w:rsidR="007D1E74" w:rsidRDefault="00A95641">
      <w:pPr>
        <w:pStyle w:val="a9"/>
      </w:pPr>
      <w:r>
        <w:rPr>
          <w:rFonts w:hint="eastAsia"/>
        </w:rPr>
        <w:t>地下水环境质量现状监测与评价</w:t>
      </w:r>
    </w:p>
    <w:p w14:paraId="7FC8ED1C" w14:textId="77777777" w:rsidR="007D1E74" w:rsidRDefault="00A95641">
      <w:pPr>
        <w:spacing w:line="360" w:lineRule="auto"/>
        <w:ind w:firstLineChars="200" w:firstLine="480"/>
        <w:rPr>
          <w:rFonts w:cs="Times New Roman"/>
          <w:sz w:val="24"/>
          <w:szCs w:val="24"/>
        </w:rPr>
      </w:pPr>
      <w:r>
        <w:rPr>
          <w:rFonts w:cs="Times New Roman" w:hint="eastAsia"/>
          <w:sz w:val="24"/>
          <w:szCs w:val="24"/>
        </w:rPr>
        <w:lastRenderedPageBreak/>
        <w:t>为了解区域地下水环境质量现状，本次评价委托四川众兴诚检测科技有限公司于</w:t>
      </w:r>
      <w:r>
        <w:rPr>
          <w:rFonts w:cs="Times New Roman" w:hint="eastAsia"/>
          <w:sz w:val="24"/>
          <w:szCs w:val="24"/>
        </w:rPr>
        <w:t>202</w:t>
      </w:r>
      <w:r>
        <w:rPr>
          <w:rFonts w:cs="Times New Roman"/>
          <w:sz w:val="24"/>
          <w:szCs w:val="24"/>
        </w:rPr>
        <w:t>1</w:t>
      </w:r>
      <w:r>
        <w:rPr>
          <w:rFonts w:cs="Times New Roman" w:hint="eastAsia"/>
          <w:sz w:val="24"/>
          <w:szCs w:val="24"/>
        </w:rPr>
        <w:t>年</w:t>
      </w:r>
      <w:r>
        <w:rPr>
          <w:rFonts w:cs="Times New Roman" w:hint="eastAsia"/>
          <w:sz w:val="24"/>
          <w:szCs w:val="24"/>
        </w:rPr>
        <w:t>11</w:t>
      </w:r>
      <w:r>
        <w:rPr>
          <w:rFonts w:cs="Times New Roman" w:hint="eastAsia"/>
          <w:sz w:val="24"/>
          <w:szCs w:val="24"/>
        </w:rPr>
        <w:t>月</w:t>
      </w:r>
      <w:r>
        <w:rPr>
          <w:rFonts w:cs="Times New Roman"/>
          <w:sz w:val="24"/>
          <w:szCs w:val="24"/>
        </w:rPr>
        <w:t>11</w:t>
      </w:r>
      <w:r>
        <w:rPr>
          <w:rFonts w:cs="Times New Roman" w:hint="eastAsia"/>
          <w:sz w:val="24"/>
          <w:szCs w:val="24"/>
        </w:rPr>
        <w:t>日对区域地下水水质进行监测（报告编号：众（测）字</w:t>
      </w:r>
      <w:r>
        <w:rPr>
          <w:rFonts w:cs="Times New Roman" w:hint="eastAsia"/>
          <w:sz w:val="24"/>
          <w:szCs w:val="24"/>
        </w:rPr>
        <w:t>[2021]</w:t>
      </w:r>
      <w:r>
        <w:rPr>
          <w:rFonts w:cs="Times New Roman" w:hint="eastAsia"/>
          <w:sz w:val="24"/>
          <w:szCs w:val="24"/>
        </w:rPr>
        <w:t>第</w:t>
      </w:r>
      <w:r>
        <w:rPr>
          <w:rFonts w:cs="Times New Roman" w:hint="eastAsia"/>
          <w:sz w:val="24"/>
          <w:szCs w:val="24"/>
        </w:rPr>
        <w:t>0365-3</w:t>
      </w:r>
      <w:r>
        <w:rPr>
          <w:rFonts w:cs="Times New Roman" w:hint="eastAsia"/>
          <w:sz w:val="24"/>
          <w:szCs w:val="24"/>
        </w:rPr>
        <w:t>号）。</w:t>
      </w:r>
    </w:p>
    <w:p w14:paraId="5A3D4707" w14:textId="77777777" w:rsidR="007D1E74" w:rsidRDefault="00A95641">
      <w:pPr>
        <w:pStyle w:val="aa"/>
      </w:pPr>
      <w:r>
        <w:rPr>
          <w:rFonts w:hint="eastAsia"/>
        </w:rPr>
        <w:t>地下水环境质量现状监测</w:t>
      </w:r>
    </w:p>
    <w:p w14:paraId="7BDABB1F" w14:textId="77777777" w:rsidR="007D1E74" w:rsidRDefault="00A95641">
      <w:pPr>
        <w:pStyle w:val="afffff7"/>
        <w:ind w:firstLine="482"/>
      </w:pPr>
      <w:r>
        <w:rPr>
          <w:rFonts w:hint="eastAsia"/>
        </w:rPr>
        <w:t>1</w:t>
      </w:r>
      <w:r>
        <w:rPr>
          <w:rFonts w:hint="eastAsia"/>
        </w:rPr>
        <w:t>、监测点位</w:t>
      </w:r>
    </w:p>
    <w:p w14:paraId="11497D77" w14:textId="77777777" w:rsidR="007D1E74" w:rsidRDefault="00A95641">
      <w:pPr>
        <w:spacing w:line="360" w:lineRule="auto"/>
        <w:ind w:firstLineChars="200" w:firstLine="480"/>
        <w:rPr>
          <w:rFonts w:cs="Times New Roman"/>
          <w:sz w:val="24"/>
          <w:szCs w:val="24"/>
        </w:rPr>
      </w:pPr>
      <w:r>
        <w:rPr>
          <w:rFonts w:cs="Times New Roman" w:hint="eastAsia"/>
          <w:sz w:val="24"/>
          <w:szCs w:val="24"/>
        </w:rPr>
        <w:t>本次环评共设地下水水质监测点</w:t>
      </w:r>
      <w:r>
        <w:rPr>
          <w:rFonts w:cs="Times New Roman" w:hint="eastAsia"/>
          <w:sz w:val="24"/>
          <w:szCs w:val="24"/>
        </w:rPr>
        <w:t>3</w:t>
      </w:r>
      <w:r>
        <w:rPr>
          <w:rFonts w:cs="Times New Roman" w:hint="eastAsia"/>
          <w:sz w:val="24"/>
          <w:szCs w:val="24"/>
        </w:rPr>
        <w:t>个，监测点位置见下表。</w:t>
      </w:r>
    </w:p>
    <w:p w14:paraId="4B5EF29B" w14:textId="77777777" w:rsidR="007D1E74" w:rsidRDefault="00A95641">
      <w:pPr>
        <w:pStyle w:val="afffffe"/>
        <w:numPr>
          <w:ilvl w:val="0"/>
          <w:numId w:val="42"/>
        </w:numPr>
        <w:spacing w:line="360" w:lineRule="auto"/>
        <w:ind w:firstLineChars="0"/>
        <w:jc w:val="center"/>
        <w:rPr>
          <w:rFonts w:eastAsia="黑体" w:cs="Times New Roman"/>
          <w:szCs w:val="21"/>
        </w:rPr>
      </w:pPr>
      <w:r>
        <w:rPr>
          <w:rFonts w:eastAsia="黑体" w:cs="Times New Roman" w:hint="eastAsia"/>
          <w:szCs w:val="21"/>
        </w:rPr>
        <w:t>地下水环境质量监测点位置</w:t>
      </w:r>
    </w:p>
    <w:tbl>
      <w:tblPr>
        <w:tblStyle w:val="affffc"/>
        <w:tblW w:w="5000" w:type="pct"/>
        <w:tblLook w:val="04A0" w:firstRow="1" w:lastRow="0" w:firstColumn="1" w:lastColumn="0" w:noHBand="0" w:noVBand="1"/>
      </w:tblPr>
      <w:tblGrid>
        <w:gridCol w:w="1944"/>
        <w:gridCol w:w="7072"/>
      </w:tblGrid>
      <w:tr w:rsidR="007D1E74" w14:paraId="57A01E91" w14:textId="77777777">
        <w:tc>
          <w:tcPr>
            <w:tcW w:w="1078" w:type="pct"/>
            <w:vAlign w:val="center"/>
          </w:tcPr>
          <w:p w14:paraId="148DFCE0" w14:textId="77777777" w:rsidR="007D1E74" w:rsidRDefault="00A95641">
            <w:pPr>
              <w:jc w:val="center"/>
              <w:rPr>
                <w:rFonts w:cstheme="minorHAnsi"/>
                <w:szCs w:val="21"/>
              </w:rPr>
            </w:pPr>
            <w:r>
              <w:rPr>
                <w:rFonts w:cstheme="minorHAnsi" w:hint="eastAsia"/>
                <w:szCs w:val="21"/>
              </w:rPr>
              <w:t>点位编号</w:t>
            </w:r>
          </w:p>
        </w:tc>
        <w:tc>
          <w:tcPr>
            <w:tcW w:w="3922" w:type="pct"/>
            <w:vAlign w:val="center"/>
          </w:tcPr>
          <w:p w14:paraId="262AEBAD" w14:textId="77777777" w:rsidR="007D1E74" w:rsidRDefault="00A95641">
            <w:pPr>
              <w:jc w:val="center"/>
              <w:rPr>
                <w:rFonts w:cstheme="minorHAnsi"/>
                <w:szCs w:val="21"/>
              </w:rPr>
            </w:pPr>
            <w:r>
              <w:rPr>
                <w:rFonts w:cstheme="minorHAnsi" w:hint="eastAsia"/>
                <w:szCs w:val="21"/>
              </w:rPr>
              <w:t>监测点</w:t>
            </w:r>
            <w:r>
              <w:rPr>
                <w:rFonts w:cstheme="minorHAnsi"/>
                <w:szCs w:val="21"/>
              </w:rPr>
              <w:t>位置</w:t>
            </w:r>
          </w:p>
        </w:tc>
      </w:tr>
      <w:tr w:rsidR="007D1E74" w14:paraId="407DB4C6" w14:textId="77777777">
        <w:tc>
          <w:tcPr>
            <w:tcW w:w="1078" w:type="pct"/>
            <w:vAlign w:val="center"/>
          </w:tcPr>
          <w:p w14:paraId="34C18EE5" w14:textId="77777777" w:rsidR="007D1E74" w:rsidRDefault="00A95641">
            <w:pPr>
              <w:jc w:val="center"/>
              <w:rPr>
                <w:rFonts w:cstheme="minorHAnsi"/>
                <w:szCs w:val="21"/>
              </w:rPr>
            </w:pPr>
            <w:r>
              <w:rPr>
                <w:rFonts w:cstheme="minorHAnsi"/>
                <w:szCs w:val="21"/>
              </w:rPr>
              <w:t>2#</w:t>
            </w:r>
          </w:p>
        </w:tc>
        <w:tc>
          <w:tcPr>
            <w:tcW w:w="3922" w:type="pct"/>
            <w:vAlign w:val="center"/>
          </w:tcPr>
          <w:p w14:paraId="0093C874" w14:textId="77777777" w:rsidR="007D1E74" w:rsidRDefault="00A95641">
            <w:pPr>
              <w:jc w:val="center"/>
              <w:rPr>
                <w:rFonts w:cstheme="minorHAnsi"/>
                <w:szCs w:val="21"/>
              </w:rPr>
            </w:pPr>
            <w:r>
              <w:rPr>
                <w:rFonts w:cstheme="minorHAnsi"/>
                <w:szCs w:val="21"/>
              </w:rPr>
              <w:t>何家坝居民水井</w:t>
            </w:r>
          </w:p>
        </w:tc>
      </w:tr>
      <w:tr w:rsidR="007D1E74" w14:paraId="028A33FA" w14:textId="77777777">
        <w:tc>
          <w:tcPr>
            <w:tcW w:w="1078" w:type="pct"/>
            <w:vAlign w:val="center"/>
          </w:tcPr>
          <w:p w14:paraId="318CF755" w14:textId="77777777" w:rsidR="007D1E74" w:rsidRDefault="00A95641">
            <w:pPr>
              <w:jc w:val="center"/>
              <w:rPr>
                <w:rFonts w:cstheme="minorHAnsi"/>
                <w:szCs w:val="21"/>
              </w:rPr>
            </w:pPr>
            <w:r>
              <w:rPr>
                <w:rFonts w:cstheme="minorHAnsi"/>
                <w:szCs w:val="21"/>
              </w:rPr>
              <w:t>3#</w:t>
            </w:r>
          </w:p>
        </w:tc>
        <w:tc>
          <w:tcPr>
            <w:tcW w:w="3922" w:type="pct"/>
            <w:vAlign w:val="center"/>
          </w:tcPr>
          <w:p w14:paraId="07F9504C" w14:textId="77777777" w:rsidR="007D1E74" w:rsidRDefault="00A95641">
            <w:pPr>
              <w:jc w:val="center"/>
              <w:rPr>
                <w:rFonts w:cstheme="minorHAnsi"/>
                <w:szCs w:val="21"/>
              </w:rPr>
            </w:pPr>
            <w:r>
              <w:rPr>
                <w:rFonts w:cstheme="minorHAnsi"/>
                <w:szCs w:val="21"/>
              </w:rPr>
              <w:t>脱水站居民水井</w:t>
            </w:r>
          </w:p>
        </w:tc>
      </w:tr>
      <w:tr w:rsidR="007D1E74" w14:paraId="47D128E6" w14:textId="77777777">
        <w:tc>
          <w:tcPr>
            <w:tcW w:w="1078" w:type="pct"/>
            <w:vAlign w:val="center"/>
          </w:tcPr>
          <w:p w14:paraId="0AF8B26C" w14:textId="77777777" w:rsidR="007D1E74" w:rsidRDefault="00A95641">
            <w:pPr>
              <w:jc w:val="center"/>
              <w:rPr>
                <w:rFonts w:cstheme="minorHAnsi"/>
                <w:szCs w:val="21"/>
              </w:rPr>
            </w:pPr>
            <w:r>
              <w:rPr>
                <w:rFonts w:cstheme="minorHAnsi"/>
                <w:szCs w:val="21"/>
              </w:rPr>
              <w:t>6#</w:t>
            </w:r>
          </w:p>
        </w:tc>
        <w:tc>
          <w:tcPr>
            <w:tcW w:w="3922" w:type="pct"/>
            <w:vAlign w:val="center"/>
          </w:tcPr>
          <w:p w14:paraId="01E1A059" w14:textId="77777777" w:rsidR="007D1E74" w:rsidRDefault="00A95641">
            <w:pPr>
              <w:jc w:val="center"/>
              <w:rPr>
                <w:rFonts w:cstheme="minorHAnsi"/>
                <w:szCs w:val="21"/>
              </w:rPr>
            </w:pPr>
            <w:r>
              <w:rPr>
                <w:rFonts w:cstheme="minorHAnsi"/>
                <w:szCs w:val="21"/>
              </w:rPr>
              <w:t>草池增压站南侧居民水井</w:t>
            </w:r>
          </w:p>
        </w:tc>
      </w:tr>
    </w:tbl>
    <w:p w14:paraId="3E1AE171" w14:textId="77777777" w:rsidR="007D1E74" w:rsidRDefault="00A95641">
      <w:pPr>
        <w:pStyle w:val="afffff7"/>
        <w:ind w:firstLine="482"/>
      </w:pPr>
      <w:r>
        <w:t>2</w:t>
      </w:r>
      <w:r>
        <w:rPr>
          <w:rFonts w:hint="eastAsia"/>
        </w:rPr>
        <w:t>、监测因子</w:t>
      </w:r>
    </w:p>
    <w:p w14:paraId="2847867E" w14:textId="77777777" w:rsidR="007D1E74" w:rsidRDefault="00A95641">
      <w:pPr>
        <w:spacing w:line="360" w:lineRule="auto"/>
        <w:ind w:firstLineChars="200" w:firstLine="480"/>
        <w:rPr>
          <w:sz w:val="24"/>
          <w:szCs w:val="24"/>
        </w:rPr>
      </w:pPr>
      <w:r>
        <w:rPr>
          <w:sz w:val="24"/>
          <w:szCs w:val="24"/>
        </w:rPr>
        <w:t>pH</w:t>
      </w:r>
      <w:r>
        <w:rPr>
          <w:sz w:val="24"/>
          <w:szCs w:val="24"/>
        </w:rPr>
        <w:t>、</w:t>
      </w:r>
      <w:r>
        <w:rPr>
          <w:sz w:val="24"/>
          <w:szCs w:val="24"/>
          <w:lang w:bidi="ar"/>
        </w:rPr>
        <w:t>K</w:t>
      </w:r>
      <w:r>
        <w:rPr>
          <w:sz w:val="24"/>
          <w:szCs w:val="24"/>
          <w:vertAlign w:val="superscript"/>
          <w:lang w:bidi="ar"/>
        </w:rPr>
        <w:t>+</w:t>
      </w:r>
      <w:r>
        <w:rPr>
          <w:sz w:val="24"/>
          <w:szCs w:val="24"/>
          <w:lang w:bidi="ar"/>
        </w:rPr>
        <w:t>、</w:t>
      </w:r>
      <w:r>
        <w:rPr>
          <w:sz w:val="24"/>
          <w:szCs w:val="24"/>
          <w:lang w:bidi="ar"/>
        </w:rPr>
        <w:t>Na</w:t>
      </w:r>
      <w:r>
        <w:rPr>
          <w:sz w:val="24"/>
          <w:szCs w:val="24"/>
          <w:vertAlign w:val="superscript"/>
          <w:lang w:bidi="ar"/>
        </w:rPr>
        <w:t>+</w:t>
      </w:r>
      <w:r>
        <w:rPr>
          <w:sz w:val="24"/>
          <w:szCs w:val="24"/>
          <w:lang w:bidi="ar"/>
        </w:rPr>
        <w:t>、</w:t>
      </w:r>
      <w:r>
        <w:rPr>
          <w:sz w:val="24"/>
          <w:szCs w:val="24"/>
          <w:lang w:bidi="ar"/>
        </w:rPr>
        <w:t>Ca</w:t>
      </w:r>
      <w:r>
        <w:rPr>
          <w:sz w:val="24"/>
          <w:szCs w:val="24"/>
          <w:vertAlign w:val="superscript"/>
          <w:lang w:bidi="ar"/>
        </w:rPr>
        <w:t>2+</w:t>
      </w:r>
      <w:r>
        <w:rPr>
          <w:sz w:val="24"/>
          <w:szCs w:val="24"/>
          <w:lang w:bidi="ar"/>
        </w:rPr>
        <w:t>、</w:t>
      </w:r>
      <w:r>
        <w:rPr>
          <w:sz w:val="24"/>
          <w:szCs w:val="24"/>
          <w:lang w:bidi="ar"/>
        </w:rPr>
        <w:t>Mg</w:t>
      </w:r>
      <w:r>
        <w:rPr>
          <w:sz w:val="24"/>
          <w:szCs w:val="24"/>
          <w:vertAlign w:val="superscript"/>
          <w:lang w:bidi="ar"/>
        </w:rPr>
        <w:t>2+</w:t>
      </w:r>
      <w:r>
        <w:rPr>
          <w:sz w:val="24"/>
          <w:szCs w:val="24"/>
          <w:lang w:bidi="ar"/>
        </w:rPr>
        <w:t>、</w:t>
      </w:r>
      <w:r>
        <w:rPr>
          <w:sz w:val="24"/>
          <w:szCs w:val="24"/>
          <w:lang w:bidi="ar"/>
        </w:rPr>
        <w:t>CO</w:t>
      </w:r>
      <w:r>
        <w:rPr>
          <w:sz w:val="24"/>
          <w:szCs w:val="24"/>
          <w:vertAlign w:val="subscript"/>
          <w:lang w:bidi="ar"/>
        </w:rPr>
        <w:t>3</w:t>
      </w:r>
      <w:r>
        <w:rPr>
          <w:sz w:val="24"/>
          <w:szCs w:val="24"/>
          <w:vertAlign w:val="superscript"/>
          <w:lang w:bidi="ar"/>
        </w:rPr>
        <w:t>2-</w:t>
      </w:r>
      <w:r>
        <w:rPr>
          <w:sz w:val="24"/>
          <w:szCs w:val="24"/>
          <w:lang w:bidi="ar"/>
        </w:rPr>
        <w:t>、</w:t>
      </w:r>
      <w:r>
        <w:rPr>
          <w:sz w:val="24"/>
          <w:szCs w:val="24"/>
          <w:lang w:bidi="ar"/>
        </w:rPr>
        <w:t>HCO</w:t>
      </w:r>
      <w:r>
        <w:rPr>
          <w:sz w:val="24"/>
          <w:szCs w:val="24"/>
          <w:vertAlign w:val="subscript"/>
          <w:lang w:bidi="ar"/>
        </w:rPr>
        <w:t>3</w:t>
      </w:r>
      <w:r>
        <w:rPr>
          <w:sz w:val="24"/>
          <w:szCs w:val="24"/>
          <w:vertAlign w:val="superscript"/>
          <w:lang w:bidi="ar"/>
        </w:rPr>
        <w:t>-</w:t>
      </w:r>
      <w:r>
        <w:rPr>
          <w:sz w:val="24"/>
          <w:szCs w:val="24"/>
          <w:lang w:bidi="ar"/>
        </w:rPr>
        <w:t>、</w:t>
      </w:r>
      <w:r>
        <w:rPr>
          <w:sz w:val="24"/>
          <w:szCs w:val="24"/>
          <w:lang w:bidi="ar"/>
        </w:rPr>
        <w:t>Cl</w:t>
      </w:r>
      <w:r>
        <w:rPr>
          <w:sz w:val="24"/>
          <w:szCs w:val="24"/>
          <w:vertAlign w:val="superscript"/>
          <w:lang w:bidi="ar"/>
        </w:rPr>
        <w:t>-</w:t>
      </w:r>
      <w:r>
        <w:rPr>
          <w:sz w:val="24"/>
          <w:szCs w:val="24"/>
          <w:lang w:bidi="ar"/>
        </w:rPr>
        <w:t>、</w:t>
      </w:r>
      <w:r>
        <w:rPr>
          <w:sz w:val="24"/>
          <w:szCs w:val="24"/>
          <w:lang w:bidi="ar"/>
        </w:rPr>
        <w:t>SO</w:t>
      </w:r>
      <w:r>
        <w:rPr>
          <w:sz w:val="24"/>
          <w:szCs w:val="24"/>
          <w:vertAlign w:val="subscript"/>
          <w:lang w:bidi="ar"/>
        </w:rPr>
        <w:t>4</w:t>
      </w:r>
      <w:r>
        <w:rPr>
          <w:sz w:val="24"/>
          <w:szCs w:val="24"/>
          <w:vertAlign w:val="superscript"/>
          <w:lang w:bidi="ar"/>
        </w:rPr>
        <w:t>2-</w:t>
      </w:r>
      <w:r>
        <w:rPr>
          <w:rFonts w:hint="eastAsia"/>
          <w:sz w:val="24"/>
          <w:szCs w:val="24"/>
          <w:lang w:bidi="ar"/>
        </w:rPr>
        <w:t>、氟化物、</w:t>
      </w:r>
      <w:r>
        <w:rPr>
          <w:sz w:val="24"/>
          <w:szCs w:val="24"/>
        </w:rPr>
        <w:t>氨氮、硝酸盐、亚硝酸盐、挥发酚、氰化物、砷、汞、六价铬、总硬度、铅、镉、铁、锰、溶解性总固体、耗氧量、硫化物、石油类、总大肠菌群、细菌总数。</w:t>
      </w:r>
    </w:p>
    <w:p w14:paraId="5AFF4C77" w14:textId="77777777" w:rsidR="007D1E74" w:rsidRDefault="00A95641">
      <w:pPr>
        <w:pStyle w:val="afffff7"/>
        <w:ind w:firstLine="482"/>
      </w:pPr>
      <w:r>
        <w:t>3</w:t>
      </w:r>
      <w:r>
        <w:rPr>
          <w:rFonts w:hint="eastAsia"/>
        </w:rPr>
        <w:t>、监测时间</w:t>
      </w:r>
    </w:p>
    <w:p w14:paraId="0F255005" w14:textId="77777777" w:rsidR="007D1E74" w:rsidRDefault="00A95641">
      <w:pPr>
        <w:spacing w:line="360" w:lineRule="auto"/>
        <w:ind w:firstLine="480"/>
        <w:rPr>
          <w:sz w:val="24"/>
          <w:szCs w:val="24"/>
        </w:rPr>
      </w:pPr>
      <w:r>
        <w:rPr>
          <w:rFonts w:cs="Times New Roman" w:hint="eastAsia"/>
          <w:sz w:val="24"/>
          <w:szCs w:val="24"/>
        </w:rPr>
        <w:t>202</w:t>
      </w:r>
      <w:r>
        <w:rPr>
          <w:rFonts w:cs="Times New Roman"/>
          <w:sz w:val="24"/>
          <w:szCs w:val="24"/>
        </w:rPr>
        <w:t>1</w:t>
      </w:r>
      <w:r>
        <w:rPr>
          <w:rFonts w:cs="Times New Roman" w:hint="eastAsia"/>
          <w:sz w:val="24"/>
          <w:szCs w:val="24"/>
        </w:rPr>
        <w:t>年</w:t>
      </w:r>
      <w:r>
        <w:rPr>
          <w:rFonts w:cs="Times New Roman" w:hint="eastAsia"/>
          <w:sz w:val="24"/>
          <w:szCs w:val="24"/>
        </w:rPr>
        <w:t>11</w:t>
      </w:r>
      <w:r>
        <w:rPr>
          <w:rFonts w:cs="Times New Roman" w:hint="eastAsia"/>
          <w:sz w:val="24"/>
          <w:szCs w:val="24"/>
        </w:rPr>
        <w:t>月</w:t>
      </w:r>
      <w:r>
        <w:rPr>
          <w:rFonts w:cs="Times New Roman"/>
          <w:sz w:val="24"/>
          <w:szCs w:val="24"/>
        </w:rPr>
        <w:t>11</w:t>
      </w:r>
      <w:r>
        <w:rPr>
          <w:rFonts w:cs="Times New Roman" w:hint="eastAsia"/>
          <w:sz w:val="24"/>
          <w:szCs w:val="24"/>
        </w:rPr>
        <w:t>日</w:t>
      </w:r>
      <w:r>
        <w:rPr>
          <w:rFonts w:hint="eastAsia"/>
          <w:sz w:val="24"/>
          <w:szCs w:val="24"/>
        </w:rPr>
        <w:t>，</w:t>
      </w:r>
      <w:r>
        <w:rPr>
          <w:sz w:val="24"/>
          <w:szCs w:val="24"/>
        </w:rPr>
        <w:t>共</w:t>
      </w:r>
      <w:r>
        <w:rPr>
          <w:sz w:val="24"/>
          <w:szCs w:val="24"/>
        </w:rPr>
        <w:t>1</w:t>
      </w:r>
      <w:r>
        <w:rPr>
          <w:sz w:val="24"/>
          <w:szCs w:val="24"/>
        </w:rPr>
        <w:t>天</w:t>
      </w:r>
      <w:r>
        <w:rPr>
          <w:rFonts w:hint="eastAsia"/>
          <w:sz w:val="24"/>
          <w:szCs w:val="24"/>
        </w:rPr>
        <w:t>。</w:t>
      </w:r>
    </w:p>
    <w:p w14:paraId="257B7AAD" w14:textId="77777777" w:rsidR="007D1E74" w:rsidRDefault="00A95641">
      <w:pPr>
        <w:pStyle w:val="afffff7"/>
        <w:ind w:firstLine="482"/>
      </w:pPr>
      <w:r>
        <w:t>4</w:t>
      </w:r>
      <w:r>
        <w:rPr>
          <w:rFonts w:hint="eastAsia"/>
        </w:rPr>
        <w:t>、监测结果</w:t>
      </w:r>
    </w:p>
    <w:p w14:paraId="0D1E14CB" w14:textId="77777777" w:rsidR="007D1E74" w:rsidRDefault="00A95641">
      <w:pPr>
        <w:spacing w:line="360" w:lineRule="auto"/>
        <w:ind w:firstLineChars="200" w:firstLine="480"/>
        <w:rPr>
          <w:sz w:val="24"/>
          <w:szCs w:val="24"/>
        </w:rPr>
      </w:pPr>
      <w:r>
        <w:rPr>
          <w:rFonts w:hint="eastAsia"/>
          <w:sz w:val="24"/>
          <w:szCs w:val="24"/>
        </w:rPr>
        <w:t>区域地下水环境质量现状监测结果见下表。</w:t>
      </w:r>
    </w:p>
    <w:p w14:paraId="56107055" w14:textId="77777777" w:rsidR="007D1E74" w:rsidRDefault="00A95641">
      <w:pPr>
        <w:pStyle w:val="afffffe"/>
        <w:numPr>
          <w:ilvl w:val="0"/>
          <w:numId w:val="42"/>
        </w:numPr>
        <w:spacing w:line="360" w:lineRule="auto"/>
        <w:ind w:firstLineChars="0"/>
        <w:jc w:val="center"/>
        <w:rPr>
          <w:rFonts w:eastAsia="黑体" w:cs="Times New Roman"/>
          <w:szCs w:val="21"/>
        </w:rPr>
      </w:pPr>
      <w:r>
        <w:rPr>
          <w:rFonts w:eastAsia="黑体" w:cs="Times New Roman" w:hint="eastAsia"/>
          <w:szCs w:val="21"/>
        </w:rPr>
        <w:t>地下水环境质量现状监测结果</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1"/>
        <w:gridCol w:w="1650"/>
        <w:gridCol w:w="1861"/>
        <w:gridCol w:w="1861"/>
        <w:gridCol w:w="1863"/>
      </w:tblGrid>
      <w:tr w:rsidR="007D1E74" w14:paraId="5F3478CE" w14:textId="77777777">
        <w:trPr>
          <w:trHeight w:val="60"/>
          <w:tblHeader/>
        </w:trPr>
        <w:tc>
          <w:tcPr>
            <w:tcW w:w="988" w:type="pct"/>
            <w:vMerge w:val="restart"/>
            <w:shd w:val="clear" w:color="auto" w:fill="auto"/>
            <w:vAlign w:val="center"/>
          </w:tcPr>
          <w:p w14:paraId="4FB25CBF" w14:textId="77777777" w:rsidR="007D1E74" w:rsidRDefault="00A95641">
            <w:pPr>
              <w:jc w:val="center"/>
              <w:rPr>
                <w:rFonts w:cs="Times New Roman"/>
                <w:bCs/>
                <w:szCs w:val="21"/>
              </w:rPr>
            </w:pPr>
            <w:r>
              <w:rPr>
                <w:rFonts w:cs="Times New Roman"/>
                <w:bCs/>
                <w:szCs w:val="21"/>
              </w:rPr>
              <w:t>监测</w:t>
            </w:r>
            <w:r>
              <w:rPr>
                <w:rFonts w:cs="Times New Roman" w:hint="eastAsia"/>
                <w:bCs/>
                <w:szCs w:val="21"/>
              </w:rPr>
              <w:t>因子</w:t>
            </w:r>
          </w:p>
        </w:tc>
        <w:tc>
          <w:tcPr>
            <w:tcW w:w="915" w:type="pct"/>
            <w:vMerge w:val="restart"/>
            <w:vAlign w:val="center"/>
          </w:tcPr>
          <w:p w14:paraId="089CEC7F" w14:textId="77777777" w:rsidR="007D1E74" w:rsidRDefault="00A95641">
            <w:pPr>
              <w:jc w:val="center"/>
              <w:rPr>
                <w:rFonts w:cs="Times New Roman"/>
                <w:bCs/>
                <w:szCs w:val="21"/>
              </w:rPr>
            </w:pPr>
            <w:r>
              <w:rPr>
                <w:rFonts w:cs="Times New Roman"/>
                <w:bCs/>
                <w:szCs w:val="21"/>
              </w:rPr>
              <w:t>单位</w:t>
            </w:r>
          </w:p>
        </w:tc>
        <w:tc>
          <w:tcPr>
            <w:tcW w:w="3097" w:type="pct"/>
            <w:gridSpan w:val="3"/>
            <w:shd w:val="clear" w:color="auto" w:fill="auto"/>
            <w:vAlign w:val="center"/>
          </w:tcPr>
          <w:p w14:paraId="07298734" w14:textId="77777777" w:rsidR="007D1E74" w:rsidRDefault="00A95641">
            <w:pPr>
              <w:jc w:val="center"/>
              <w:rPr>
                <w:rFonts w:cs="Times New Roman"/>
                <w:bCs/>
                <w:szCs w:val="21"/>
              </w:rPr>
            </w:pPr>
            <w:r>
              <w:rPr>
                <w:rFonts w:cs="Times New Roman"/>
                <w:bCs/>
                <w:szCs w:val="21"/>
              </w:rPr>
              <w:t>监测结果</w:t>
            </w:r>
          </w:p>
        </w:tc>
      </w:tr>
      <w:tr w:rsidR="007D1E74" w14:paraId="1AC35A55" w14:textId="77777777">
        <w:trPr>
          <w:trHeight w:val="70"/>
          <w:tblHeader/>
        </w:trPr>
        <w:tc>
          <w:tcPr>
            <w:tcW w:w="988" w:type="pct"/>
            <w:vMerge/>
            <w:shd w:val="clear" w:color="auto" w:fill="auto"/>
            <w:vAlign w:val="center"/>
          </w:tcPr>
          <w:p w14:paraId="7B0B6966" w14:textId="77777777" w:rsidR="007D1E74" w:rsidRDefault="007D1E74">
            <w:pPr>
              <w:jc w:val="center"/>
              <w:rPr>
                <w:rFonts w:cs="Times New Roman"/>
                <w:bCs/>
                <w:szCs w:val="21"/>
              </w:rPr>
            </w:pPr>
          </w:p>
        </w:tc>
        <w:tc>
          <w:tcPr>
            <w:tcW w:w="915" w:type="pct"/>
            <w:vMerge/>
            <w:vAlign w:val="center"/>
          </w:tcPr>
          <w:p w14:paraId="7FD763D7" w14:textId="77777777" w:rsidR="007D1E74" w:rsidRDefault="007D1E74">
            <w:pPr>
              <w:jc w:val="center"/>
              <w:rPr>
                <w:rFonts w:cs="Times New Roman"/>
                <w:bCs/>
                <w:szCs w:val="21"/>
              </w:rPr>
            </w:pPr>
          </w:p>
        </w:tc>
        <w:tc>
          <w:tcPr>
            <w:tcW w:w="1032" w:type="pct"/>
            <w:shd w:val="clear" w:color="auto" w:fill="auto"/>
            <w:vAlign w:val="center"/>
          </w:tcPr>
          <w:p w14:paraId="051E1DA1" w14:textId="77777777" w:rsidR="007D1E74" w:rsidRDefault="00A95641">
            <w:pPr>
              <w:jc w:val="center"/>
              <w:rPr>
                <w:rFonts w:cs="Times New Roman"/>
                <w:bCs/>
                <w:szCs w:val="21"/>
              </w:rPr>
            </w:pPr>
            <w:r>
              <w:rPr>
                <w:rFonts w:cs="Times New Roman"/>
                <w:bCs/>
                <w:szCs w:val="21"/>
              </w:rPr>
              <w:t>2#</w:t>
            </w:r>
          </w:p>
        </w:tc>
        <w:tc>
          <w:tcPr>
            <w:tcW w:w="1032" w:type="pct"/>
            <w:vAlign w:val="center"/>
          </w:tcPr>
          <w:p w14:paraId="6F6359F7" w14:textId="77777777" w:rsidR="007D1E74" w:rsidRDefault="00A95641">
            <w:pPr>
              <w:jc w:val="center"/>
              <w:rPr>
                <w:rFonts w:cs="Times New Roman"/>
                <w:bCs/>
                <w:szCs w:val="21"/>
              </w:rPr>
            </w:pPr>
            <w:r>
              <w:rPr>
                <w:rFonts w:cs="Times New Roman"/>
                <w:bCs/>
                <w:szCs w:val="21"/>
              </w:rPr>
              <w:t>3</w:t>
            </w:r>
            <w:r>
              <w:rPr>
                <w:rFonts w:cs="Times New Roman" w:hint="eastAsia"/>
                <w:bCs/>
                <w:szCs w:val="21"/>
              </w:rPr>
              <w:t>#</w:t>
            </w:r>
          </w:p>
        </w:tc>
        <w:tc>
          <w:tcPr>
            <w:tcW w:w="1033" w:type="pct"/>
            <w:vAlign w:val="center"/>
          </w:tcPr>
          <w:p w14:paraId="517F4693" w14:textId="77777777" w:rsidR="007D1E74" w:rsidRDefault="00A95641">
            <w:pPr>
              <w:jc w:val="center"/>
              <w:rPr>
                <w:rFonts w:cs="Times New Roman"/>
                <w:bCs/>
                <w:szCs w:val="21"/>
              </w:rPr>
            </w:pPr>
            <w:r>
              <w:rPr>
                <w:rFonts w:cs="Times New Roman"/>
                <w:bCs/>
                <w:szCs w:val="21"/>
              </w:rPr>
              <w:t>6</w:t>
            </w:r>
            <w:r>
              <w:rPr>
                <w:rFonts w:cs="Times New Roman" w:hint="eastAsia"/>
                <w:bCs/>
                <w:szCs w:val="21"/>
              </w:rPr>
              <w:t>#</w:t>
            </w:r>
          </w:p>
        </w:tc>
      </w:tr>
      <w:tr w:rsidR="007D1E74" w14:paraId="347D3C29" w14:textId="77777777">
        <w:trPr>
          <w:trHeight w:val="70"/>
        </w:trPr>
        <w:tc>
          <w:tcPr>
            <w:tcW w:w="988" w:type="pct"/>
            <w:shd w:val="clear" w:color="auto" w:fill="auto"/>
            <w:vAlign w:val="center"/>
          </w:tcPr>
          <w:p w14:paraId="536D3C0E" w14:textId="77777777" w:rsidR="007D1E74" w:rsidRDefault="00A95641">
            <w:pPr>
              <w:jc w:val="center"/>
              <w:rPr>
                <w:rFonts w:cs="Times New Roman"/>
                <w:bCs/>
                <w:szCs w:val="21"/>
              </w:rPr>
            </w:pPr>
            <w:r>
              <w:rPr>
                <w:rFonts w:cs="Times New Roman"/>
                <w:szCs w:val="21"/>
              </w:rPr>
              <w:t>pH</w:t>
            </w:r>
          </w:p>
        </w:tc>
        <w:tc>
          <w:tcPr>
            <w:tcW w:w="915" w:type="pct"/>
            <w:vAlign w:val="center"/>
          </w:tcPr>
          <w:p w14:paraId="20A5C260" w14:textId="77777777" w:rsidR="007D1E74" w:rsidRDefault="00A95641">
            <w:pPr>
              <w:jc w:val="center"/>
              <w:rPr>
                <w:rFonts w:cs="Times New Roman"/>
                <w:bCs/>
                <w:szCs w:val="21"/>
              </w:rPr>
            </w:pPr>
            <w:r>
              <w:rPr>
                <w:rFonts w:cs="Times New Roman" w:hint="eastAsia"/>
                <w:szCs w:val="21"/>
              </w:rPr>
              <w:t>无量纲</w:t>
            </w:r>
          </w:p>
        </w:tc>
        <w:tc>
          <w:tcPr>
            <w:tcW w:w="1032" w:type="pct"/>
            <w:shd w:val="clear" w:color="auto" w:fill="auto"/>
            <w:vAlign w:val="center"/>
          </w:tcPr>
          <w:p w14:paraId="121E95D3" w14:textId="77777777" w:rsidR="007D1E74" w:rsidRDefault="00A95641">
            <w:pPr>
              <w:jc w:val="center"/>
              <w:rPr>
                <w:rFonts w:cs="Times New Roman"/>
                <w:bCs/>
                <w:szCs w:val="21"/>
              </w:rPr>
            </w:pPr>
            <w:r>
              <w:rPr>
                <w:rFonts w:cs="Times New Roman" w:hint="eastAsia"/>
                <w:bCs/>
                <w:szCs w:val="21"/>
              </w:rPr>
              <w:t>7</w:t>
            </w:r>
            <w:r>
              <w:rPr>
                <w:rFonts w:cs="Times New Roman"/>
                <w:bCs/>
                <w:szCs w:val="21"/>
              </w:rPr>
              <w:t>.3</w:t>
            </w:r>
          </w:p>
        </w:tc>
        <w:tc>
          <w:tcPr>
            <w:tcW w:w="1032" w:type="pct"/>
            <w:vAlign w:val="center"/>
          </w:tcPr>
          <w:p w14:paraId="3A6674ED" w14:textId="77777777" w:rsidR="007D1E74" w:rsidRDefault="00A95641">
            <w:pPr>
              <w:jc w:val="center"/>
              <w:rPr>
                <w:rFonts w:cs="Times New Roman"/>
                <w:bCs/>
                <w:szCs w:val="21"/>
              </w:rPr>
            </w:pPr>
            <w:r>
              <w:rPr>
                <w:rFonts w:cs="Times New Roman" w:hint="eastAsia"/>
                <w:bCs/>
                <w:szCs w:val="21"/>
              </w:rPr>
              <w:t>7</w:t>
            </w:r>
            <w:r>
              <w:rPr>
                <w:rFonts w:cs="Times New Roman"/>
                <w:bCs/>
                <w:szCs w:val="21"/>
              </w:rPr>
              <w:t>.2</w:t>
            </w:r>
          </w:p>
        </w:tc>
        <w:tc>
          <w:tcPr>
            <w:tcW w:w="1033" w:type="pct"/>
            <w:vAlign w:val="center"/>
          </w:tcPr>
          <w:p w14:paraId="07A0878F" w14:textId="77777777" w:rsidR="007D1E74" w:rsidRDefault="00A95641">
            <w:pPr>
              <w:jc w:val="center"/>
              <w:rPr>
                <w:rFonts w:cs="Times New Roman"/>
                <w:bCs/>
                <w:szCs w:val="21"/>
              </w:rPr>
            </w:pPr>
            <w:r>
              <w:rPr>
                <w:rFonts w:cs="Times New Roman" w:hint="eastAsia"/>
                <w:bCs/>
                <w:szCs w:val="21"/>
              </w:rPr>
              <w:t>7</w:t>
            </w:r>
            <w:r>
              <w:rPr>
                <w:rFonts w:cs="Times New Roman"/>
                <w:bCs/>
                <w:szCs w:val="21"/>
              </w:rPr>
              <w:t>.4</w:t>
            </w:r>
          </w:p>
        </w:tc>
      </w:tr>
      <w:tr w:rsidR="007D1E74" w14:paraId="67CB8F53" w14:textId="77777777">
        <w:trPr>
          <w:trHeight w:val="70"/>
        </w:trPr>
        <w:tc>
          <w:tcPr>
            <w:tcW w:w="988" w:type="pct"/>
            <w:shd w:val="clear" w:color="auto" w:fill="auto"/>
            <w:vAlign w:val="center"/>
          </w:tcPr>
          <w:p w14:paraId="4379C81C" w14:textId="77777777" w:rsidR="007D1E74" w:rsidRDefault="00A95641">
            <w:pPr>
              <w:jc w:val="center"/>
              <w:rPr>
                <w:rFonts w:cs="Times New Roman"/>
                <w:szCs w:val="21"/>
              </w:rPr>
            </w:pPr>
            <w:r>
              <w:rPr>
                <w:rFonts w:cs="Times New Roman"/>
                <w:szCs w:val="21"/>
              </w:rPr>
              <w:t>钾</w:t>
            </w:r>
          </w:p>
        </w:tc>
        <w:tc>
          <w:tcPr>
            <w:tcW w:w="915" w:type="pct"/>
          </w:tcPr>
          <w:p w14:paraId="31FEC47F" w14:textId="77777777" w:rsidR="007D1E74" w:rsidRDefault="00A95641">
            <w:pPr>
              <w:jc w:val="center"/>
              <w:rPr>
                <w:rFonts w:cs="Times New Roman"/>
                <w:szCs w:val="21"/>
              </w:rPr>
            </w:pPr>
            <w:r>
              <w:rPr>
                <w:rFonts w:cs="Times New Roman"/>
                <w:szCs w:val="21"/>
              </w:rPr>
              <w:t>mg/L</w:t>
            </w:r>
          </w:p>
        </w:tc>
        <w:tc>
          <w:tcPr>
            <w:tcW w:w="1032" w:type="pct"/>
            <w:shd w:val="clear" w:color="auto" w:fill="auto"/>
            <w:vAlign w:val="center"/>
          </w:tcPr>
          <w:p w14:paraId="15C50C50" w14:textId="77777777" w:rsidR="007D1E74" w:rsidRDefault="00A95641">
            <w:pPr>
              <w:jc w:val="center"/>
              <w:rPr>
                <w:rFonts w:cs="Times New Roman"/>
                <w:szCs w:val="21"/>
              </w:rPr>
            </w:pPr>
            <w:r>
              <w:rPr>
                <w:rFonts w:cs="Times New Roman" w:hint="eastAsia"/>
                <w:szCs w:val="21"/>
              </w:rPr>
              <w:t>1</w:t>
            </w:r>
            <w:r>
              <w:rPr>
                <w:rFonts w:cs="Times New Roman"/>
                <w:szCs w:val="21"/>
              </w:rPr>
              <w:t>.42</w:t>
            </w:r>
          </w:p>
        </w:tc>
        <w:tc>
          <w:tcPr>
            <w:tcW w:w="1032" w:type="pct"/>
            <w:vAlign w:val="center"/>
          </w:tcPr>
          <w:p w14:paraId="43761A2D" w14:textId="77777777" w:rsidR="007D1E74" w:rsidRDefault="00A95641">
            <w:pPr>
              <w:jc w:val="center"/>
              <w:rPr>
                <w:rFonts w:cs="Times New Roman"/>
                <w:szCs w:val="21"/>
              </w:rPr>
            </w:pPr>
            <w:r>
              <w:rPr>
                <w:rFonts w:cs="Times New Roman" w:hint="eastAsia"/>
                <w:szCs w:val="21"/>
              </w:rPr>
              <w:t>0</w:t>
            </w:r>
            <w:r>
              <w:rPr>
                <w:rFonts w:cs="Times New Roman"/>
                <w:szCs w:val="21"/>
              </w:rPr>
              <w:t>.92</w:t>
            </w:r>
          </w:p>
        </w:tc>
        <w:tc>
          <w:tcPr>
            <w:tcW w:w="1033" w:type="pct"/>
            <w:vAlign w:val="center"/>
          </w:tcPr>
          <w:p w14:paraId="24D70445" w14:textId="77777777" w:rsidR="007D1E74" w:rsidRDefault="00A95641">
            <w:pPr>
              <w:jc w:val="center"/>
              <w:rPr>
                <w:rFonts w:cs="Times New Roman"/>
                <w:szCs w:val="21"/>
              </w:rPr>
            </w:pPr>
            <w:r>
              <w:rPr>
                <w:rFonts w:cs="Times New Roman" w:hint="eastAsia"/>
                <w:szCs w:val="21"/>
              </w:rPr>
              <w:t>1</w:t>
            </w:r>
            <w:r>
              <w:rPr>
                <w:rFonts w:cs="Times New Roman"/>
                <w:szCs w:val="21"/>
              </w:rPr>
              <w:t>.38</w:t>
            </w:r>
          </w:p>
        </w:tc>
      </w:tr>
      <w:tr w:rsidR="007D1E74" w14:paraId="59E2766B" w14:textId="77777777">
        <w:trPr>
          <w:trHeight w:val="70"/>
        </w:trPr>
        <w:tc>
          <w:tcPr>
            <w:tcW w:w="988" w:type="pct"/>
            <w:shd w:val="clear" w:color="auto" w:fill="auto"/>
            <w:vAlign w:val="center"/>
          </w:tcPr>
          <w:p w14:paraId="07464F34" w14:textId="77777777" w:rsidR="007D1E74" w:rsidRDefault="00A95641">
            <w:pPr>
              <w:jc w:val="center"/>
              <w:rPr>
                <w:rFonts w:cs="Times New Roman"/>
                <w:szCs w:val="21"/>
              </w:rPr>
            </w:pPr>
            <w:r>
              <w:rPr>
                <w:rFonts w:cs="Times New Roman"/>
                <w:szCs w:val="21"/>
              </w:rPr>
              <w:t>钠</w:t>
            </w:r>
          </w:p>
        </w:tc>
        <w:tc>
          <w:tcPr>
            <w:tcW w:w="915" w:type="pct"/>
          </w:tcPr>
          <w:p w14:paraId="2F592E85" w14:textId="77777777" w:rsidR="007D1E74" w:rsidRDefault="00A95641">
            <w:pPr>
              <w:jc w:val="center"/>
              <w:rPr>
                <w:rFonts w:cs="Times New Roman"/>
                <w:szCs w:val="21"/>
              </w:rPr>
            </w:pPr>
            <w:r>
              <w:rPr>
                <w:rFonts w:cs="Times New Roman"/>
                <w:szCs w:val="21"/>
              </w:rPr>
              <w:t>mg/L</w:t>
            </w:r>
          </w:p>
        </w:tc>
        <w:tc>
          <w:tcPr>
            <w:tcW w:w="1032" w:type="pct"/>
            <w:shd w:val="clear" w:color="auto" w:fill="auto"/>
            <w:vAlign w:val="center"/>
          </w:tcPr>
          <w:p w14:paraId="0B5A79BD" w14:textId="77777777" w:rsidR="007D1E74" w:rsidRDefault="00A95641">
            <w:pPr>
              <w:jc w:val="center"/>
              <w:rPr>
                <w:rFonts w:cs="Times New Roman"/>
                <w:szCs w:val="21"/>
              </w:rPr>
            </w:pPr>
            <w:r>
              <w:rPr>
                <w:rFonts w:cs="Times New Roman" w:hint="eastAsia"/>
                <w:szCs w:val="21"/>
              </w:rPr>
              <w:t>1</w:t>
            </w:r>
            <w:r>
              <w:rPr>
                <w:rFonts w:cs="Times New Roman"/>
                <w:szCs w:val="21"/>
              </w:rPr>
              <w:t>6.2</w:t>
            </w:r>
          </w:p>
        </w:tc>
        <w:tc>
          <w:tcPr>
            <w:tcW w:w="1032" w:type="pct"/>
            <w:vAlign w:val="center"/>
          </w:tcPr>
          <w:p w14:paraId="28FCFDD6" w14:textId="77777777" w:rsidR="007D1E74" w:rsidRDefault="00A95641">
            <w:pPr>
              <w:jc w:val="center"/>
              <w:rPr>
                <w:rFonts w:cs="Times New Roman"/>
                <w:szCs w:val="21"/>
              </w:rPr>
            </w:pPr>
            <w:r>
              <w:rPr>
                <w:rFonts w:cs="Times New Roman" w:hint="eastAsia"/>
                <w:szCs w:val="21"/>
              </w:rPr>
              <w:t>6</w:t>
            </w:r>
            <w:r>
              <w:rPr>
                <w:rFonts w:cs="Times New Roman"/>
                <w:szCs w:val="21"/>
              </w:rPr>
              <w:t>.49</w:t>
            </w:r>
          </w:p>
        </w:tc>
        <w:tc>
          <w:tcPr>
            <w:tcW w:w="1033" w:type="pct"/>
            <w:vAlign w:val="center"/>
          </w:tcPr>
          <w:p w14:paraId="0CA2BABC" w14:textId="77777777" w:rsidR="007D1E74" w:rsidRDefault="00A95641">
            <w:pPr>
              <w:jc w:val="center"/>
              <w:rPr>
                <w:rFonts w:cs="Times New Roman"/>
                <w:szCs w:val="21"/>
              </w:rPr>
            </w:pPr>
            <w:r>
              <w:rPr>
                <w:rFonts w:cs="Times New Roman" w:hint="eastAsia"/>
                <w:szCs w:val="21"/>
              </w:rPr>
              <w:t>1</w:t>
            </w:r>
            <w:r>
              <w:rPr>
                <w:rFonts w:cs="Times New Roman"/>
                <w:szCs w:val="21"/>
              </w:rPr>
              <w:t>3.7</w:t>
            </w:r>
          </w:p>
        </w:tc>
      </w:tr>
      <w:tr w:rsidR="007D1E74" w14:paraId="22458E29" w14:textId="77777777">
        <w:trPr>
          <w:trHeight w:val="70"/>
        </w:trPr>
        <w:tc>
          <w:tcPr>
            <w:tcW w:w="988" w:type="pct"/>
            <w:shd w:val="clear" w:color="auto" w:fill="auto"/>
            <w:vAlign w:val="center"/>
          </w:tcPr>
          <w:p w14:paraId="5FE5C295" w14:textId="77777777" w:rsidR="007D1E74" w:rsidRDefault="00A95641">
            <w:pPr>
              <w:jc w:val="center"/>
              <w:rPr>
                <w:rFonts w:cs="Times New Roman"/>
                <w:szCs w:val="21"/>
              </w:rPr>
            </w:pPr>
            <w:r>
              <w:rPr>
                <w:rFonts w:cs="Times New Roman"/>
                <w:szCs w:val="21"/>
              </w:rPr>
              <w:t>钙</w:t>
            </w:r>
          </w:p>
        </w:tc>
        <w:tc>
          <w:tcPr>
            <w:tcW w:w="915" w:type="pct"/>
          </w:tcPr>
          <w:p w14:paraId="0C66B48F" w14:textId="77777777" w:rsidR="007D1E74" w:rsidRDefault="00A95641">
            <w:pPr>
              <w:jc w:val="center"/>
              <w:rPr>
                <w:rFonts w:cs="Times New Roman"/>
                <w:szCs w:val="21"/>
              </w:rPr>
            </w:pPr>
            <w:r>
              <w:rPr>
                <w:rFonts w:cs="Times New Roman"/>
                <w:szCs w:val="21"/>
              </w:rPr>
              <w:t>mg/L</w:t>
            </w:r>
          </w:p>
        </w:tc>
        <w:tc>
          <w:tcPr>
            <w:tcW w:w="1032" w:type="pct"/>
            <w:shd w:val="clear" w:color="auto" w:fill="auto"/>
            <w:vAlign w:val="center"/>
          </w:tcPr>
          <w:p w14:paraId="5B29910A" w14:textId="77777777" w:rsidR="007D1E74" w:rsidRDefault="00A95641">
            <w:pPr>
              <w:jc w:val="center"/>
              <w:rPr>
                <w:rFonts w:cs="Times New Roman"/>
                <w:szCs w:val="21"/>
              </w:rPr>
            </w:pPr>
            <w:r>
              <w:rPr>
                <w:rFonts w:cs="Times New Roman" w:hint="eastAsia"/>
                <w:szCs w:val="21"/>
              </w:rPr>
              <w:t>8</w:t>
            </w:r>
            <w:r>
              <w:rPr>
                <w:rFonts w:cs="Times New Roman"/>
                <w:szCs w:val="21"/>
              </w:rPr>
              <w:t>1.2</w:t>
            </w:r>
          </w:p>
        </w:tc>
        <w:tc>
          <w:tcPr>
            <w:tcW w:w="1032" w:type="pct"/>
            <w:vAlign w:val="center"/>
          </w:tcPr>
          <w:p w14:paraId="64AE0439" w14:textId="77777777" w:rsidR="007D1E74" w:rsidRDefault="00A95641">
            <w:pPr>
              <w:jc w:val="center"/>
              <w:rPr>
                <w:rFonts w:cs="Times New Roman"/>
                <w:szCs w:val="21"/>
              </w:rPr>
            </w:pPr>
            <w:r>
              <w:rPr>
                <w:rFonts w:cs="Times New Roman" w:hint="eastAsia"/>
                <w:szCs w:val="21"/>
              </w:rPr>
              <w:t>5</w:t>
            </w:r>
            <w:r>
              <w:rPr>
                <w:rFonts w:cs="Times New Roman"/>
                <w:szCs w:val="21"/>
              </w:rPr>
              <w:t>9.3</w:t>
            </w:r>
          </w:p>
        </w:tc>
        <w:tc>
          <w:tcPr>
            <w:tcW w:w="1033" w:type="pct"/>
            <w:vAlign w:val="center"/>
          </w:tcPr>
          <w:p w14:paraId="02E4E583" w14:textId="77777777" w:rsidR="007D1E74" w:rsidRDefault="00A95641">
            <w:pPr>
              <w:jc w:val="center"/>
              <w:rPr>
                <w:rFonts w:cs="Times New Roman"/>
                <w:szCs w:val="21"/>
              </w:rPr>
            </w:pPr>
            <w:r>
              <w:rPr>
                <w:rFonts w:cs="Times New Roman" w:hint="eastAsia"/>
                <w:szCs w:val="21"/>
              </w:rPr>
              <w:t>1</w:t>
            </w:r>
            <w:r>
              <w:rPr>
                <w:rFonts w:cs="Times New Roman"/>
                <w:szCs w:val="21"/>
              </w:rPr>
              <w:t>00</w:t>
            </w:r>
          </w:p>
        </w:tc>
      </w:tr>
      <w:tr w:rsidR="007D1E74" w14:paraId="0249B0C4" w14:textId="77777777">
        <w:trPr>
          <w:trHeight w:val="70"/>
        </w:trPr>
        <w:tc>
          <w:tcPr>
            <w:tcW w:w="988" w:type="pct"/>
            <w:shd w:val="clear" w:color="auto" w:fill="auto"/>
            <w:vAlign w:val="center"/>
          </w:tcPr>
          <w:p w14:paraId="616B7DE2" w14:textId="77777777" w:rsidR="007D1E74" w:rsidRDefault="00A95641">
            <w:pPr>
              <w:jc w:val="center"/>
              <w:rPr>
                <w:rFonts w:cs="Times New Roman"/>
                <w:szCs w:val="21"/>
              </w:rPr>
            </w:pPr>
            <w:r>
              <w:rPr>
                <w:rFonts w:cs="Times New Roman"/>
                <w:szCs w:val="21"/>
              </w:rPr>
              <w:t>镁</w:t>
            </w:r>
          </w:p>
        </w:tc>
        <w:tc>
          <w:tcPr>
            <w:tcW w:w="915" w:type="pct"/>
          </w:tcPr>
          <w:p w14:paraId="73C9206A" w14:textId="77777777" w:rsidR="007D1E74" w:rsidRDefault="00A95641">
            <w:pPr>
              <w:jc w:val="center"/>
              <w:rPr>
                <w:rFonts w:cs="Times New Roman"/>
                <w:szCs w:val="21"/>
              </w:rPr>
            </w:pPr>
            <w:r>
              <w:rPr>
                <w:rFonts w:cs="Times New Roman"/>
                <w:szCs w:val="21"/>
              </w:rPr>
              <w:t>mg/L</w:t>
            </w:r>
          </w:p>
        </w:tc>
        <w:tc>
          <w:tcPr>
            <w:tcW w:w="1032" w:type="pct"/>
            <w:shd w:val="clear" w:color="auto" w:fill="auto"/>
            <w:vAlign w:val="center"/>
          </w:tcPr>
          <w:p w14:paraId="05ED7022" w14:textId="77777777" w:rsidR="007D1E74" w:rsidRDefault="00A95641">
            <w:pPr>
              <w:jc w:val="center"/>
              <w:rPr>
                <w:rFonts w:cs="Times New Roman"/>
                <w:szCs w:val="21"/>
              </w:rPr>
            </w:pPr>
            <w:r>
              <w:rPr>
                <w:rFonts w:cs="Times New Roman" w:hint="eastAsia"/>
                <w:szCs w:val="21"/>
              </w:rPr>
              <w:t>1</w:t>
            </w:r>
            <w:r>
              <w:rPr>
                <w:rFonts w:cs="Times New Roman"/>
                <w:szCs w:val="21"/>
              </w:rPr>
              <w:t>1.6</w:t>
            </w:r>
          </w:p>
        </w:tc>
        <w:tc>
          <w:tcPr>
            <w:tcW w:w="1032" w:type="pct"/>
            <w:vAlign w:val="center"/>
          </w:tcPr>
          <w:p w14:paraId="00F371F1" w14:textId="77777777" w:rsidR="007D1E74" w:rsidRDefault="00A95641">
            <w:pPr>
              <w:jc w:val="center"/>
              <w:rPr>
                <w:rFonts w:cs="Times New Roman"/>
                <w:szCs w:val="21"/>
              </w:rPr>
            </w:pPr>
            <w:r>
              <w:rPr>
                <w:rFonts w:cs="Times New Roman" w:hint="eastAsia"/>
                <w:szCs w:val="21"/>
              </w:rPr>
              <w:t>7</w:t>
            </w:r>
            <w:r>
              <w:rPr>
                <w:rFonts w:cs="Times New Roman"/>
                <w:szCs w:val="21"/>
              </w:rPr>
              <w:t>.99</w:t>
            </w:r>
          </w:p>
        </w:tc>
        <w:tc>
          <w:tcPr>
            <w:tcW w:w="1033" w:type="pct"/>
            <w:vAlign w:val="center"/>
          </w:tcPr>
          <w:p w14:paraId="1666D6C3" w14:textId="77777777" w:rsidR="007D1E74" w:rsidRDefault="00A95641">
            <w:pPr>
              <w:jc w:val="center"/>
              <w:rPr>
                <w:rFonts w:cs="Times New Roman"/>
                <w:szCs w:val="21"/>
              </w:rPr>
            </w:pPr>
            <w:r>
              <w:rPr>
                <w:rFonts w:cs="Times New Roman" w:hint="eastAsia"/>
                <w:szCs w:val="21"/>
              </w:rPr>
              <w:t>1</w:t>
            </w:r>
            <w:r>
              <w:rPr>
                <w:rFonts w:cs="Times New Roman"/>
                <w:szCs w:val="21"/>
              </w:rPr>
              <w:t>7.7</w:t>
            </w:r>
          </w:p>
        </w:tc>
      </w:tr>
      <w:tr w:rsidR="007D1E74" w14:paraId="3CA32BBA" w14:textId="77777777">
        <w:trPr>
          <w:trHeight w:val="70"/>
        </w:trPr>
        <w:tc>
          <w:tcPr>
            <w:tcW w:w="988" w:type="pct"/>
            <w:shd w:val="clear" w:color="auto" w:fill="auto"/>
            <w:vAlign w:val="center"/>
          </w:tcPr>
          <w:p w14:paraId="600EF77A" w14:textId="77777777" w:rsidR="007D1E74" w:rsidRDefault="00A95641">
            <w:pPr>
              <w:jc w:val="center"/>
              <w:rPr>
                <w:rFonts w:cs="Times New Roman"/>
                <w:szCs w:val="21"/>
              </w:rPr>
            </w:pPr>
            <w:r>
              <w:rPr>
                <w:rFonts w:cs="Times New Roman" w:hint="eastAsia"/>
                <w:szCs w:val="21"/>
              </w:rPr>
              <w:t>碳酸根</w:t>
            </w:r>
          </w:p>
        </w:tc>
        <w:tc>
          <w:tcPr>
            <w:tcW w:w="915" w:type="pct"/>
            <w:vAlign w:val="center"/>
          </w:tcPr>
          <w:p w14:paraId="3938E238" w14:textId="77777777" w:rsidR="007D1E74" w:rsidRDefault="00A95641">
            <w:pPr>
              <w:jc w:val="center"/>
            </w:pPr>
            <w:r>
              <w:rPr>
                <w:rFonts w:cs="Times New Roman"/>
                <w:szCs w:val="21"/>
              </w:rPr>
              <w:t>mg/L</w:t>
            </w:r>
          </w:p>
        </w:tc>
        <w:tc>
          <w:tcPr>
            <w:tcW w:w="1032" w:type="pct"/>
            <w:shd w:val="clear" w:color="auto" w:fill="auto"/>
            <w:vAlign w:val="center"/>
          </w:tcPr>
          <w:p w14:paraId="564B5DCD" w14:textId="77777777" w:rsidR="007D1E74" w:rsidRDefault="00A95641">
            <w:pPr>
              <w:jc w:val="center"/>
              <w:rPr>
                <w:rFonts w:cs="Times New Roman"/>
                <w:szCs w:val="21"/>
              </w:rPr>
            </w:pPr>
            <w:r>
              <w:rPr>
                <w:rFonts w:cs="Times New Roman" w:hint="eastAsia"/>
                <w:szCs w:val="21"/>
              </w:rPr>
              <w:t>未检出</w:t>
            </w:r>
          </w:p>
        </w:tc>
        <w:tc>
          <w:tcPr>
            <w:tcW w:w="1032" w:type="pct"/>
            <w:vAlign w:val="center"/>
          </w:tcPr>
          <w:p w14:paraId="245A6B0C" w14:textId="77777777" w:rsidR="007D1E74" w:rsidRDefault="00A95641">
            <w:pPr>
              <w:jc w:val="center"/>
              <w:rPr>
                <w:rFonts w:cs="Times New Roman"/>
                <w:szCs w:val="21"/>
              </w:rPr>
            </w:pPr>
            <w:r>
              <w:rPr>
                <w:rFonts w:cs="Times New Roman" w:hint="eastAsia"/>
                <w:szCs w:val="21"/>
              </w:rPr>
              <w:t>未检出</w:t>
            </w:r>
          </w:p>
        </w:tc>
        <w:tc>
          <w:tcPr>
            <w:tcW w:w="1033" w:type="pct"/>
            <w:vAlign w:val="center"/>
          </w:tcPr>
          <w:p w14:paraId="3BC98294" w14:textId="77777777" w:rsidR="007D1E74" w:rsidRDefault="00A95641">
            <w:pPr>
              <w:jc w:val="center"/>
              <w:rPr>
                <w:rFonts w:cs="Times New Roman"/>
                <w:szCs w:val="21"/>
              </w:rPr>
            </w:pPr>
            <w:r>
              <w:rPr>
                <w:rFonts w:cs="Times New Roman" w:hint="eastAsia"/>
                <w:szCs w:val="21"/>
              </w:rPr>
              <w:t>未检出</w:t>
            </w:r>
          </w:p>
        </w:tc>
      </w:tr>
      <w:tr w:rsidR="007D1E74" w14:paraId="72EE3347" w14:textId="77777777">
        <w:trPr>
          <w:trHeight w:val="70"/>
        </w:trPr>
        <w:tc>
          <w:tcPr>
            <w:tcW w:w="988" w:type="pct"/>
            <w:shd w:val="clear" w:color="auto" w:fill="auto"/>
            <w:vAlign w:val="center"/>
          </w:tcPr>
          <w:p w14:paraId="5AD14EBE" w14:textId="77777777" w:rsidR="007D1E74" w:rsidRDefault="00A95641">
            <w:pPr>
              <w:jc w:val="center"/>
              <w:rPr>
                <w:rFonts w:cs="Times New Roman"/>
                <w:szCs w:val="21"/>
              </w:rPr>
            </w:pPr>
            <w:r>
              <w:rPr>
                <w:rFonts w:cs="Times New Roman" w:hint="eastAsia"/>
                <w:szCs w:val="21"/>
              </w:rPr>
              <w:t>碳酸氢根</w:t>
            </w:r>
          </w:p>
        </w:tc>
        <w:tc>
          <w:tcPr>
            <w:tcW w:w="915" w:type="pct"/>
            <w:vAlign w:val="center"/>
          </w:tcPr>
          <w:p w14:paraId="2AC6B680" w14:textId="77777777" w:rsidR="007D1E74" w:rsidRDefault="00A95641">
            <w:pPr>
              <w:jc w:val="center"/>
            </w:pPr>
            <w:r>
              <w:rPr>
                <w:rFonts w:cs="Times New Roman"/>
                <w:szCs w:val="21"/>
              </w:rPr>
              <w:t>mg/L</w:t>
            </w:r>
          </w:p>
        </w:tc>
        <w:tc>
          <w:tcPr>
            <w:tcW w:w="1032" w:type="pct"/>
            <w:shd w:val="clear" w:color="auto" w:fill="auto"/>
            <w:vAlign w:val="center"/>
          </w:tcPr>
          <w:p w14:paraId="2454206C" w14:textId="77777777" w:rsidR="007D1E74" w:rsidRDefault="00A95641">
            <w:pPr>
              <w:jc w:val="center"/>
              <w:rPr>
                <w:rFonts w:cs="Times New Roman"/>
                <w:szCs w:val="21"/>
              </w:rPr>
            </w:pPr>
            <w:r>
              <w:rPr>
                <w:rFonts w:cs="Times New Roman" w:hint="eastAsia"/>
                <w:szCs w:val="21"/>
              </w:rPr>
              <w:t>3</w:t>
            </w:r>
            <w:r>
              <w:rPr>
                <w:rFonts w:cs="Times New Roman"/>
                <w:szCs w:val="21"/>
              </w:rPr>
              <w:t>48</w:t>
            </w:r>
          </w:p>
        </w:tc>
        <w:tc>
          <w:tcPr>
            <w:tcW w:w="1032" w:type="pct"/>
            <w:vAlign w:val="center"/>
          </w:tcPr>
          <w:p w14:paraId="4A6C937E" w14:textId="77777777" w:rsidR="007D1E74" w:rsidRDefault="00A95641">
            <w:pPr>
              <w:jc w:val="center"/>
              <w:rPr>
                <w:rFonts w:cs="Times New Roman"/>
                <w:szCs w:val="21"/>
              </w:rPr>
            </w:pPr>
            <w:r>
              <w:rPr>
                <w:rFonts w:cs="Times New Roman" w:hint="eastAsia"/>
                <w:szCs w:val="21"/>
              </w:rPr>
              <w:t>2</w:t>
            </w:r>
            <w:r>
              <w:rPr>
                <w:rFonts w:cs="Times New Roman"/>
                <w:szCs w:val="21"/>
              </w:rPr>
              <w:t>29</w:t>
            </w:r>
          </w:p>
        </w:tc>
        <w:tc>
          <w:tcPr>
            <w:tcW w:w="1033" w:type="pct"/>
            <w:vAlign w:val="center"/>
          </w:tcPr>
          <w:p w14:paraId="426334D2" w14:textId="77777777" w:rsidR="007D1E74" w:rsidRDefault="00A95641">
            <w:pPr>
              <w:jc w:val="center"/>
              <w:rPr>
                <w:rFonts w:cs="Times New Roman"/>
                <w:szCs w:val="21"/>
              </w:rPr>
            </w:pPr>
            <w:r>
              <w:rPr>
                <w:rFonts w:cs="Times New Roman" w:hint="eastAsia"/>
                <w:szCs w:val="21"/>
              </w:rPr>
              <w:t>3</w:t>
            </w:r>
            <w:r>
              <w:rPr>
                <w:rFonts w:cs="Times New Roman"/>
                <w:szCs w:val="21"/>
              </w:rPr>
              <w:t>93</w:t>
            </w:r>
          </w:p>
        </w:tc>
      </w:tr>
      <w:tr w:rsidR="007D1E74" w14:paraId="17219B9A" w14:textId="77777777">
        <w:trPr>
          <w:trHeight w:val="70"/>
        </w:trPr>
        <w:tc>
          <w:tcPr>
            <w:tcW w:w="988" w:type="pct"/>
            <w:shd w:val="clear" w:color="auto" w:fill="auto"/>
            <w:vAlign w:val="center"/>
          </w:tcPr>
          <w:p w14:paraId="37322693" w14:textId="77777777" w:rsidR="007D1E74" w:rsidRDefault="00A95641">
            <w:pPr>
              <w:jc w:val="center"/>
              <w:rPr>
                <w:rFonts w:cs="Times New Roman"/>
                <w:szCs w:val="21"/>
              </w:rPr>
            </w:pPr>
            <w:r>
              <w:rPr>
                <w:rFonts w:cs="Times New Roman"/>
                <w:szCs w:val="21"/>
              </w:rPr>
              <w:t>氯化物</w:t>
            </w:r>
          </w:p>
        </w:tc>
        <w:tc>
          <w:tcPr>
            <w:tcW w:w="915" w:type="pct"/>
            <w:vAlign w:val="center"/>
          </w:tcPr>
          <w:p w14:paraId="19FEB1F1" w14:textId="77777777" w:rsidR="007D1E74" w:rsidRDefault="00A95641">
            <w:pPr>
              <w:jc w:val="center"/>
            </w:pPr>
            <w:r>
              <w:rPr>
                <w:rFonts w:cs="Times New Roman"/>
                <w:szCs w:val="21"/>
              </w:rPr>
              <w:t>mg/L</w:t>
            </w:r>
          </w:p>
        </w:tc>
        <w:tc>
          <w:tcPr>
            <w:tcW w:w="1032" w:type="pct"/>
            <w:shd w:val="clear" w:color="auto" w:fill="auto"/>
            <w:vAlign w:val="center"/>
          </w:tcPr>
          <w:p w14:paraId="5AFD2A8A" w14:textId="77777777" w:rsidR="007D1E74" w:rsidRDefault="00A95641">
            <w:pPr>
              <w:jc w:val="center"/>
              <w:rPr>
                <w:rFonts w:cs="Times New Roman"/>
                <w:szCs w:val="21"/>
              </w:rPr>
            </w:pPr>
            <w:r>
              <w:rPr>
                <w:rFonts w:cs="Times New Roman" w:hint="eastAsia"/>
                <w:szCs w:val="21"/>
              </w:rPr>
              <w:t>7</w:t>
            </w:r>
            <w:r>
              <w:rPr>
                <w:rFonts w:cs="Times New Roman"/>
                <w:szCs w:val="21"/>
              </w:rPr>
              <w:t>.62</w:t>
            </w:r>
          </w:p>
        </w:tc>
        <w:tc>
          <w:tcPr>
            <w:tcW w:w="1032" w:type="pct"/>
            <w:vAlign w:val="center"/>
          </w:tcPr>
          <w:p w14:paraId="3D55CE9E" w14:textId="77777777" w:rsidR="007D1E74" w:rsidRDefault="00A95641">
            <w:pPr>
              <w:jc w:val="center"/>
              <w:rPr>
                <w:rFonts w:cs="Times New Roman"/>
                <w:szCs w:val="21"/>
              </w:rPr>
            </w:pPr>
            <w:r>
              <w:rPr>
                <w:rFonts w:cs="Times New Roman" w:hint="eastAsia"/>
                <w:szCs w:val="21"/>
              </w:rPr>
              <w:t>1</w:t>
            </w:r>
            <w:r>
              <w:rPr>
                <w:rFonts w:cs="Times New Roman"/>
                <w:szCs w:val="21"/>
              </w:rPr>
              <w:t>.44</w:t>
            </w:r>
          </w:p>
        </w:tc>
        <w:tc>
          <w:tcPr>
            <w:tcW w:w="1033" w:type="pct"/>
            <w:vAlign w:val="center"/>
          </w:tcPr>
          <w:p w14:paraId="1FE45F1D" w14:textId="77777777" w:rsidR="007D1E74" w:rsidRDefault="00A95641">
            <w:pPr>
              <w:jc w:val="center"/>
              <w:rPr>
                <w:rFonts w:cs="Times New Roman"/>
                <w:szCs w:val="21"/>
              </w:rPr>
            </w:pPr>
            <w:r>
              <w:rPr>
                <w:rFonts w:cs="Times New Roman" w:hint="eastAsia"/>
                <w:szCs w:val="21"/>
              </w:rPr>
              <w:t>2</w:t>
            </w:r>
            <w:r>
              <w:rPr>
                <w:rFonts w:cs="Times New Roman"/>
                <w:szCs w:val="21"/>
              </w:rPr>
              <w:t>8.0</w:t>
            </w:r>
          </w:p>
        </w:tc>
      </w:tr>
      <w:tr w:rsidR="007D1E74" w14:paraId="2BC5D9B1" w14:textId="77777777">
        <w:trPr>
          <w:trHeight w:val="70"/>
        </w:trPr>
        <w:tc>
          <w:tcPr>
            <w:tcW w:w="988" w:type="pct"/>
            <w:shd w:val="clear" w:color="auto" w:fill="auto"/>
            <w:vAlign w:val="center"/>
          </w:tcPr>
          <w:p w14:paraId="7F5B2208" w14:textId="77777777" w:rsidR="007D1E74" w:rsidRDefault="00A95641">
            <w:pPr>
              <w:jc w:val="center"/>
              <w:rPr>
                <w:rFonts w:cs="Times New Roman"/>
                <w:szCs w:val="21"/>
              </w:rPr>
            </w:pPr>
            <w:r>
              <w:rPr>
                <w:rFonts w:cs="Times New Roman" w:hint="eastAsia"/>
                <w:szCs w:val="21"/>
              </w:rPr>
              <w:t>硫酸盐</w:t>
            </w:r>
          </w:p>
        </w:tc>
        <w:tc>
          <w:tcPr>
            <w:tcW w:w="915" w:type="pct"/>
            <w:vAlign w:val="center"/>
          </w:tcPr>
          <w:p w14:paraId="66358ADC" w14:textId="77777777" w:rsidR="007D1E74" w:rsidRDefault="00A95641">
            <w:pPr>
              <w:jc w:val="center"/>
            </w:pPr>
            <w:r>
              <w:rPr>
                <w:rFonts w:cs="Times New Roman"/>
                <w:szCs w:val="21"/>
              </w:rPr>
              <w:t>mg/L</w:t>
            </w:r>
          </w:p>
        </w:tc>
        <w:tc>
          <w:tcPr>
            <w:tcW w:w="1032" w:type="pct"/>
            <w:shd w:val="clear" w:color="auto" w:fill="auto"/>
            <w:vAlign w:val="center"/>
          </w:tcPr>
          <w:p w14:paraId="2F1D00CD" w14:textId="77777777" w:rsidR="007D1E74" w:rsidRDefault="00A95641">
            <w:pPr>
              <w:jc w:val="center"/>
              <w:rPr>
                <w:rFonts w:cs="Times New Roman"/>
                <w:szCs w:val="21"/>
              </w:rPr>
            </w:pPr>
            <w:r>
              <w:rPr>
                <w:rFonts w:cs="Times New Roman" w:hint="eastAsia"/>
                <w:szCs w:val="21"/>
              </w:rPr>
              <w:t>1</w:t>
            </w:r>
            <w:r>
              <w:rPr>
                <w:rFonts w:cs="Times New Roman"/>
                <w:szCs w:val="21"/>
              </w:rPr>
              <w:t>0.2</w:t>
            </w:r>
          </w:p>
        </w:tc>
        <w:tc>
          <w:tcPr>
            <w:tcW w:w="1032" w:type="pct"/>
            <w:vAlign w:val="center"/>
          </w:tcPr>
          <w:p w14:paraId="06B47B03" w14:textId="77777777" w:rsidR="007D1E74" w:rsidRDefault="00A95641">
            <w:pPr>
              <w:jc w:val="center"/>
              <w:rPr>
                <w:rFonts w:cs="Times New Roman"/>
                <w:szCs w:val="21"/>
              </w:rPr>
            </w:pPr>
            <w:r>
              <w:rPr>
                <w:rFonts w:cs="Times New Roman" w:hint="eastAsia"/>
                <w:szCs w:val="21"/>
              </w:rPr>
              <w:t>1</w:t>
            </w:r>
            <w:r>
              <w:rPr>
                <w:rFonts w:cs="Times New Roman"/>
                <w:szCs w:val="21"/>
              </w:rPr>
              <w:t>7.9</w:t>
            </w:r>
          </w:p>
        </w:tc>
        <w:tc>
          <w:tcPr>
            <w:tcW w:w="1033" w:type="pct"/>
            <w:vAlign w:val="center"/>
          </w:tcPr>
          <w:p w14:paraId="54DFE0F4" w14:textId="77777777" w:rsidR="007D1E74" w:rsidRDefault="00A95641">
            <w:pPr>
              <w:jc w:val="center"/>
              <w:rPr>
                <w:rFonts w:cs="Times New Roman"/>
                <w:szCs w:val="21"/>
              </w:rPr>
            </w:pPr>
            <w:r>
              <w:rPr>
                <w:rFonts w:cs="Times New Roman" w:hint="eastAsia"/>
                <w:szCs w:val="21"/>
              </w:rPr>
              <w:t>1</w:t>
            </w:r>
            <w:r>
              <w:rPr>
                <w:rFonts w:cs="Times New Roman"/>
                <w:szCs w:val="21"/>
              </w:rPr>
              <w:t>3.8</w:t>
            </w:r>
          </w:p>
        </w:tc>
      </w:tr>
      <w:tr w:rsidR="007D1E74" w14:paraId="7608DD5A" w14:textId="77777777">
        <w:trPr>
          <w:trHeight w:val="70"/>
        </w:trPr>
        <w:tc>
          <w:tcPr>
            <w:tcW w:w="988" w:type="pct"/>
            <w:shd w:val="clear" w:color="auto" w:fill="auto"/>
            <w:vAlign w:val="center"/>
          </w:tcPr>
          <w:p w14:paraId="603D281A" w14:textId="77777777" w:rsidR="007D1E74" w:rsidRDefault="00A95641">
            <w:pPr>
              <w:jc w:val="center"/>
              <w:rPr>
                <w:rFonts w:cs="Times New Roman"/>
                <w:szCs w:val="21"/>
              </w:rPr>
            </w:pPr>
            <w:r>
              <w:rPr>
                <w:rFonts w:cs="Times New Roman" w:hint="eastAsia"/>
                <w:szCs w:val="21"/>
              </w:rPr>
              <w:t>氟化物</w:t>
            </w:r>
          </w:p>
        </w:tc>
        <w:tc>
          <w:tcPr>
            <w:tcW w:w="915" w:type="pct"/>
            <w:vAlign w:val="center"/>
          </w:tcPr>
          <w:p w14:paraId="25384E41" w14:textId="77777777" w:rsidR="007D1E74" w:rsidRDefault="00A95641">
            <w:pPr>
              <w:jc w:val="center"/>
            </w:pPr>
            <w:r>
              <w:rPr>
                <w:rFonts w:cs="Times New Roman"/>
                <w:szCs w:val="21"/>
              </w:rPr>
              <w:t>mg/L</w:t>
            </w:r>
          </w:p>
        </w:tc>
        <w:tc>
          <w:tcPr>
            <w:tcW w:w="1032" w:type="pct"/>
            <w:shd w:val="clear" w:color="auto" w:fill="auto"/>
            <w:vAlign w:val="center"/>
          </w:tcPr>
          <w:p w14:paraId="7C1EE129" w14:textId="77777777" w:rsidR="007D1E74" w:rsidRDefault="00A95641">
            <w:pPr>
              <w:jc w:val="center"/>
              <w:rPr>
                <w:rFonts w:cs="Times New Roman"/>
                <w:szCs w:val="21"/>
              </w:rPr>
            </w:pPr>
            <w:r>
              <w:rPr>
                <w:rFonts w:cs="Times New Roman" w:hint="eastAsia"/>
                <w:szCs w:val="21"/>
              </w:rPr>
              <w:t>0</w:t>
            </w:r>
            <w:r>
              <w:rPr>
                <w:rFonts w:cs="Times New Roman"/>
                <w:szCs w:val="21"/>
              </w:rPr>
              <w:t>.259</w:t>
            </w:r>
          </w:p>
        </w:tc>
        <w:tc>
          <w:tcPr>
            <w:tcW w:w="1032" w:type="pct"/>
            <w:vAlign w:val="center"/>
          </w:tcPr>
          <w:p w14:paraId="47B0E206" w14:textId="77777777" w:rsidR="007D1E74" w:rsidRDefault="00A95641">
            <w:pPr>
              <w:jc w:val="center"/>
              <w:rPr>
                <w:rFonts w:cs="Times New Roman"/>
                <w:szCs w:val="21"/>
              </w:rPr>
            </w:pPr>
            <w:r>
              <w:rPr>
                <w:rFonts w:cs="Times New Roman" w:hint="eastAsia"/>
                <w:szCs w:val="21"/>
              </w:rPr>
              <w:t>0</w:t>
            </w:r>
            <w:r>
              <w:rPr>
                <w:rFonts w:cs="Times New Roman"/>
                <w:szCs w:val="21"/>
              </w:rPr>
              <w:t>.152</w:t>
            </w:r>
          </w:p>
        </w:tc>
        <w:tc>
          <w:tcPr>
            <w:tcW w:w="1033" w:type="pct"/>
            <w:vAlign w:val="center"/>
          </w:tcPr>
          <w:p w14:paraId="67DBCB08" w14:textId="77777777" w:rsidR="007D1E74" w:rsidRDefault="00A95641">
            <w:pPr>
              <w:jc w:val="center"/>
              <w:rPr>
                <w:rFonts w:cs="Times New Roman"/>
                <w:szCs w:val="21"/>
              </w:rPr>
            </w:pPr>
            <w:r>
              <w:rPr>
                <w:rFonts w:cs="Times New Roman" w:hint="eastAsia"/>
                <w:szCs w:val="21"/>
              </w:rPr>
              <w:t>0</w:t>
            </w:r>
            <w:r>
              <w:rPr>
                <w:rFonts w:cs="Times New Roman"/>
                <w:szCs w:val="21"/>
              </w:rPr>
              <w:t>.077</w:t>
            </w:r>
          </w:p>
        </w:tc>
      </w:tr>
      <w:tr w:rsidR="007D1E74" w14:paraId="6925396F" w14:textId="77777777">
        <w:trPr>
          <w:trHeight w:val="70"/>
        </w:trPr>
        <w:tc>
          <w:tcPr>
            <w:tcW w:w="988" w:type="pct"/>
            <w:shd w:val="clear" w:color="auto" w:fill="auto"/>
            <w:vAlign w:val="center"/>
          </w:tcPr>
          <w:p w14:paraId="4D20B1AB" w14:textId="77777777" w:rsidR="007D1E74" w:rsidRDefault="00A95641">
            <w:pPr>
              <w:jc w:val="center"/>
              <w:rPr>
                <w:rFonts w:cs="Times New Roman"/>
                <w:szCs w:val="21"/>
              </w:rPr>
            </w:pPr>
            <w:r>
              <w:rPr>
                <w:rFonts w:cs="Times New Roman" w:hint="eastAsia"/>
                <w:szCs w:val="21"/>
              </w:rPr>
              <w:t>氨氮</w:t>
            </w:r>
          </w:p>
        </w:tc>
        <w:tc>
          <w:tcPr>
            <w:tcW w:w="915" w:type="pct"/>
            <w:vAlign w:val="center"/>
          </w:tcPr>
          <w:p w14:paraId="7A4CBD37" w14:textId="77777777" w:rsidR="007D1E74" w:rsidRDefault="00A95641">
            <w:pPr>
              <w:jc w:val="center"/>
              <w:rPr>
                <w:rFonts w:cs="Times New Roman"/>
                <w:szCs w:val="21"/>
              </w:rPr>
            </w:pPr>
            <w:r>
              <w:rPr>
                <w:rFonts w:cs="Times New Roman"/>
                <w:szCs w:val="21"/>
              </w:rPr>
              <w:t>mg/L</w:t>
            </w:r>
          </w:p>
        </w:tc>
        <w:tc>
          <w:tcPr>
            <w:tcW w:w="1032" w:type="pct"/>
            <w:shd w:val="clear" w:color="auto" w:fill="auto"/>
            <w:vAlign w:val="center"/>
          </w:tcPr>
          <w:p w14:paraId="6D03EDD9" w14:textId="77777777" w:rsidR="007D1E74" w:rsidRDefault="00A95641">
            <w:pPr>
              <w:jc w:val="center"/>
              <w:rPr>
                <w:rFonts w:cs="Times New Roman"/>
                <w:szCs w:val="21"/>
              </w:rPr>
            </w:pPr>
            <w:r>
              <w:rPr>
                <w:rFonts w:cs="Times New Roman" w:hint="eastAsia"/>
                <w:szCs w:val="21"/>
              </w:rPr>
              <w:t>0</w:t>
            </w:r>
            <w:r>
              <w:rPr>
                <w:rFonts w:cs="Times New Roman"/>
                <w:szCs w:val="21"/>
              </w:rPr>
              <w:t>.158</w:t>
            </w:r>
          </w:p>
        </w:tc>
        <w:tc>
          <w:tcPr>
            <w:tcW w:w="1032" w:type="pct"/>
            <w:vAlign w:val="center"/>
          </w:tcPr>
          <w:p w14:paraId="4AC89C3C" w14:textId="77777777" w:rsidR="007D1E74" w:rsidRDefault="00A95641">
            <w:pPr>
              <w:jc w:val="center"/>
              <w:rPr>
                <w:rFonts w:cs="Times New Roman"/>
                <w:szCs w:val="21"/>
              </w:rPr>
            </w:pPr>
            <w:r>
              <w:rPr>
                <w:rFonts w:cs="Times New Roman" w:hint="eastAsia"/>
                <w:szCs w:val="21"/>
              </w:rPr>
              <w:t>0</w:t>
            </w:r>
            <w:r>
              <w:rPr>
                <w:rFonts w:cs="Times New Roman"/>
                <w:szCs w:val="21"/>
              </w:rPr>
              <w:t>.071</w:t>
            </w:r>
          </w:p>
        </w:tc>
        <w:tc>
          <w:tcPr>
            <w:tcW w:w="1033" w:type="pct"/>
            <w:vAlign w:val="center"/>
          </w:tcPr>
          <w:p w14:paraId="0D1E9420" w14:textId="77777777" w:rsidR="007D1E74" w:rsidRDefault="00A95641">
            <w:pPr>
              <w:jc w:val="center"/>
              <w:rPr>
                <w:rFonts w:cs="Times New Roman"/>
                <w:szCs w:val="21"/>
              </w:rPr>
            </w:pPr>
            <w:r>
              <w:rPr>
                <w:rFonts w:cs="Times New Roman" w:hint="eastAsia"/>
                <w:szCs w:val="21"/>
              </w:rPr>
              <w:t>0</w:t>
            </w:r>
            <w:r>
              <w:rPr>
                <w:rFonts w:cs="Times New Roman"/>
                <w:szCs w:val="21"/>
              </w:rPr>
              <w:t>.132</w:t>
            </w:r>
          </w:p>
        </w:tc>
      </w:tr>
      <w:tr w:rsidR="007D1E74" w14:paraId="4608E1EF" w14:textId="77777777">
        <w:trPr>
          <w:trHeight w:val="70"/>
        </w:trPr>
        <w:tc>
          <w:tcPr>
            <w:tcW w:w="988" w:type="pct"/>
            <w:shd w:val="clear" w:color="auto" w:fill="auto"/>
            <w:vAlign w:val="center"/>
          </w:tcPr>
          <w:p w14:paraId="54193ECD" w14:textId="77777777" w:rsidR="007D1E74" w:rsidRDefault="00A95641">
            <w:pPr>
              <w:jc w:val="center"/>
              <w:rPr>
                <w:rFonts w:cs="Times New Roman"/>
                <w:szCs w:val="21"/>
              </w:rPr>
            </w:pPr>
            <w:r>
              <w:rPr>
                <w:rFonts w:cs="Times New Roman" w:hint="eastAsia"/>
                <w:szCs w:val="21"/>
              </w:rPr>
              <w:t>硝酸盐</w:t>
            </w:r>
          </w:p>
        </w:tc>
        <w:tc>
          <w:tcPr>
            <w:tcW w:w="915" w:type="pct"/>
            <w:vAlign w:val="center"/>
          </w:tcPr>
          <w:p w14:paraId="678B1264" w14:textId="77777777" w:rsidR="007D1E74" w:rsidRDefault="00A95641">
            <w:pPr>
              <w:jc w:val="center"/>
              <w:rPr>
                <w:rFonts w:cs="Times New Roman"/>
                <w:szCs w:val="21"/>
              </w:rPr>
            </w:pPr>
            <w:r>
              <w:rPr>
                <w:rFonts w:cs="Times New Roman"/>
                <w:szCs w:val="21"/>
              </w:rPr>
              <w:t>mg/L</w:t>
            </w:r>
          </w:p>
        </w:tc>
        <w:tc>
          <w:tcPr>
            <w:tcW w:w="1032" w:type="pct"/>
            <w:shd w:val="clear" w:color="auto" w:fill="auto"/>
            <w:vAlign w:val="center"/>
          </w:tcPr>
          <w:p w14:paraId="5D4D70F3" w14:textId="77777777" w:rsidR="007D1E74" w:rsidRDefault="00A95641">
            <w:pPr>
              <w:jc w:val="center"/>
              <w:rPr>
                <w:rFonts w:cs="Times New Roman"/>
                <w:szCs w:val="21"/>
              </w:rPr>
            </w:pPr>
            <w:r>
              <w:rPr>
                <w:rFonts w:cs="Times New Roman" w:hint="eastAsia"/>
                <w:szCs w:val="21"/>
              </w:rPr>
              <w:t>0</w:t>
            </w:r>
            <w:r>
              <w:rPr>
                <w:rFonts w:cs="Times New Roman"/>
                <w:szCs w:val="21"/>
              </w:rPr>
              <w:t>.274</w:t>
            </w:r>
          </w:p>
        </w:tc>
        <w:tc>
          <w:tcPr>
            <w:tcW w:w="1032" w:type="pct"/>
            <w:vAlign w:val="center"/>
          </w:tcPr>
          <w:p w14:paraId="7EF30652" w14:textId="77777777" w:rsidR="007D1E74" w:rsidRDefault="00A95641">
            <w:pPr>
              <w:jc w:val="center"/>
              <w:rPr>
                <w:rFonts w:cs="Times New Roman"/>
                <w:szCs w:val="21"/>
              </w:rPr>
            </w:pPr>
            <w:r>
              <w:rPr>
                <w:rFonts w:cs="Times New Roman" w:hint="eastAsia"/>
                <w:szCs w:val="21"/>
              </w:rPr>
              <w:t>0</w:t>
            </w:r>
            <w:r>
              <w:rPr>
                <w:rFonts w:cs="Times New Roman"/>
                <w:szCs w:val="21"/>
              </w:rPr>
              <w:t>.420</w:t>
            </w:r>
          </w:p>
        </w:tc>
        <w:tc>
          <w:tcPr>
            <w:tcW w:w="1033" w:type="pct"/>
            <w:vAlign w:val="center"/>
          </w:tcPr>
          <w:p w14:paraId="4C467525" w14:textId="77777777" w:rsidR="007D1E74" w:rsidRDefault="00A95641">
            <w:pPr>
              <w:jc w:val="center"/>
              <w:rPr>
                <w:rFonts w:cs="Times New Roman"/>
                <w:szCs w:val="21"/>
              </w:rPr>
            </w:pPr>
            <w:r>
              <w:rPr>
                <w:rFonts w:cs="Times New Roman"/>
                <w:szCs w:val="21"/>
              </w:rPr>
              <w:t>1.49</w:t>
            </w:r>
          </w:p>
        </w:tc>
      </w:tr>
      <w:tr w:rsidR="007D1E74" w14:paraId="5E807C51" w14:textId="77777777">
        <w:trPr>
          <w:trHeight w:val="70"/>
        </w:trPr>
        <w:tc>
          <w:tcPr>
            <w:tcW w:w="988" w:type="pct"/>
            <w:shd w:val="clear" w:color="auto" w:fill="auto"/>
            <w:vAlign w:val="center"/>
          </w:tcPr>
          <w:p w14:paraId="5DD07154" w14:textId="77777777" w:rsidR="007D1E74" w:rsidRDefault="00A95641">
            <w:pPr>
              <w:jc w:val="center"/>
              <w:rPr>
                <w:rFonts w:cs="Times New Roman"/>
                <w:szCs w:val="21"/>
              </w:rPr>
            </w:pPr>
            <w:r>
              <w:rPr>
                <w:rFonts w:cs="Times New Roman" w:hint="eastAsia"/>
                <w:szCs w:val="21"/>
              </w:rPr>
              <w:t>亚硝酸盐</w:t>
            </w:r>
          </w:p>
        </w:tc>
        <w:tc>
          <w:tcPr>
            <w:tcW w:w="915" w:type="pct"/>
            <w:vAlign w:val="center"/>
          </w:tcPr>
          <w:p w14:paraId="209885C0" w14:textId="77777777" w:rsidR="007D1E74" w:rsidRDefault="00A95641">
            <w:pPr>
              <w:jc w:val="center"/>
              <w:rPr>
                <w:rFonts w:cs="Times New Roman"/>
                <w:szCs w:val="21"/>
              </w:rPr>
            </w:pPr>
            <w:r>
              <w:rPr>
                <w:rFonts w:cs="Times New Roman"/>
                <w:szCs w:val="21"/>
              </w:rPr>
              <w:t>mg/L</w:t>
            </w:r>
          </w:p>
        </w:tc>
        <w:tc>
          <w:tcPr>
            <w:tcW w:w="1032" w:type="pct"/>
            <w:shd w:val="clear" w:color="auto" w:fill="auto"/>
          </w:tcPr>
          <w:p w14:paraId="164FCF40" w14:textId="77777777" w:rsidR="007D1E74" w:rsidRDefault="00A95641">
            <w:pPr>
              <w:jc w:val="center"/>
              <w:rPr>
                <w:rFonts w:cs="Times New Roman"/>
                <w:szCs w:val="21"/>
              </w:rPr>
            </w:pPr>
            <w:r>
              <w:rPr>
                <w:rFonts w:cs="Times New Roman"/>
                <w:szCs w:val="21"/>
              </w:rPr>
              <w:t>未检出</w:t>
            </w:r>
          </w:p>
        </w:tc>
        <w:tc>
          <w:tcPr>
            <w:tcW w:w="1032" w:type="pct"/>
          </w:tcPr>
          <w:p w14:paraId="0ECE7C15" w14:textId="77777777" w:rsidR="007D1E74" w:rsidRDefault="00A95641">
            <w:pPr>
              <w:jc w:val="center"/>
              <w:rPr>
                <w:rFonts w:cs="Times New Roman"/>
                <w:szCs w:val="21"/>
              </w:rPr>
            </w:pPr>
            <w:r>
              <w:rPr>
                <w:rFonts w:cs="Times New Roman"/>
                <w:szCs w:val="21"/>
              </w:rPr>
              <w:t>未检出</w:t>
            </w:r>
          </w:p>
        </w:tc>
        <w:tc>
          <w:tcPr>
            <w:tcW w:w="1033" w:type="pct"/>
          </w:tcPr>
          <w:p w14:paraId="227ADD17" w14:textId="77777777" w:rsidR="007D1E74" w:rsidRDefault="00A95641">
            <w:pPr>
              <w:jc w:val="center"/>
              <w:rPr>
                <w:rFonts w:cs="Times New Roman"/>
                <w:szCs w:val="21"/>
              </w:rPr>
            </w:pPr>
            <w:r>
              <w:rPr>
                <w:rFonts w:cs="Times New Roman"/>
                <w:szCs w:val="21"/>
              </w:rPr>
              <w:t>未检出</w:t>
            </w:r>
          </w:p>
        </w:tc>
      </w:tr>
      <w:tr w:rsidR="007D1E74" w14:paraId="5A1C0348" w14:textId="77777777">
        <w:trPr>
          <w:trHeight w:val="70"/>
        </w:trPr>
        <w:tc>
          <w:tcPr>
            <w:tcW w:w="988" w:type="pct"/>
            <w:shd w:val="clear" w:color="auto" w:fill="auto"/>
            <w:vAlign w:val="center"/>
          </w:tcPr>
          <w:p w14:paraId="022E1BC7" w14:textId="77777777" w:rsidR="007D1E74" w:rsidRDefault="00A95641">
            <w:pPr>
              <w:jc w:val="center"/>
              <w:rPr>
                <w:rFonts w:cs="Times New Roman"/>
                <w:szCs w:val="21"/>
              </w:rPr>
            </w:pPr>
            <w:r>
              <w:rPr>
                <w:rFonts w:cs="Times New Roman" w:hint="eastAsia"/>
                <w:szCs w:val="21"/>
              </w:rPr>
              <w:t>挥发酚</w:t>
            </w:r>
          </w:p>
        </w:tc>
        <w:tc>
          <w:tcPr>
            <w:tcW w:w="915" w:type="pct"/>
            <w:vAlign w:val="center"/>
          </w:tcPr>
          <w:p w14:paraId="3DEC476F" w14:textId="77777777" w:rsidR="007D1E74" w:rsidRDefault="00A95641">
            <w:pPr>
              <w:jc w:val="center"/>
              <w:rPr>
                <w:rFonts w:cs="Times New Roman"/>
                <w:szCs w:val="21"/>
              </w:rPr>
            </w:pPr>
            <w:r>
              <w:rPr>
                <w:rFonts w:cs="Times New Roman"/>
                <w:szCs w:val="21"/>
              </w:rPr>
              <w:t>mg/L</w:t>
            </w:r>
          </w:p>
        </w:tc>
        <w:tc>
          <w:tcPr>
            <w:tcW w:w="1032" w:type="pct"/>
            <w:shd w:val="clear" w:color="auto" w:fill="auto"/>
          </w:tcPr>
          <w:p w14:paraId="2C7D3243" w14:textId="77777777" w:rsidR="007D1E74" w:rsidRDefault="00A95641">
            <w:pPr>
              <w:jc w:val="center"/>
              <w:rPr>
                <w:rFonts w:cs="Times New Roman"/>
                <w:szCs w:val="21"/>
              </w:rPr>
            </w:pPr>
            <w:r>
              <w:rPr>
                <w:rFonts w:cs="Times New Roman" w:hint="eastAsia"/>
                <w:szCs w:val="21"/>
              </w:rPr>
              <w:t>0</w:t>
            </w:r>
            <w:r>
              <w:rPr>
                <w:rFonts w:cs="Times New Roman"/>
                <w:szCs w:val="21"/>
              </w:rPr>
              <w:t>.0006</w:t>
            </w:r>
          </w:p>
        </w:tc>
        <w:tc>
          <w:tcPr>
            <w:tcW w:w="1032" w:type="pct"/>
          </w:tcPr>
          <w:p w14:paraId="59FE0303" w14:textId="77777777" w:rsidR="007D1E74" w:rsidRDefault="00A95641">
            <w:pPr>
              <w:jc w:val="center"/>
              <w:rPr>
                <w:rFonts w:cs="Times New Roman"/>
                <w:szCs w:val="21"/>
              </w:rPr>
            </w:pPr>
            <w:r>
              <w:rPr>
                <w:rFonts w:cs="Times New Roman" w:hint="eastAsia"/>
                <w:szCs w:val="21"/>
              </w:rPr>
              <w:t>0</w:t>
            </w:r>
            <w:r>
              <w:rPr>
                <w:rFonts w:cs="Times New Roman"/>
                <w:szCs w:val="21"/>
              </w:rPr>
              <w:t>.0005</w:t>
            </w:r>
          </w:p>
        </w:tc>
        <w:tc>
          <w:tcPr>
            <w:tcW w:w="1033" w:type="pct"/>
          </w:tcPr>
          <w:p w14:paraId="00C67FA8" w14:textId="77777777" w:rsidR="007D1E74" w:rsidRDefault="00A95641">
            <w:pPr>
              <w:jc w:val="center"/>
              <w:rPr>
                <w:rFonts w:cs="Times New Roman"/>
                <w:szCs w:val="21"/>
              </w:rPr>
            </w:pPr>
            <w:r>
              <w:rPr>
                <w:rFonts w:cs="Times New Roman" w:hint="eastAsia"/>
                <w:szCs w:val="21"/>
              </w:rPr>
              <w:t>0</w:t>
            </w:r>
            <w:r>
              <w:rPr>
                <w:rFonts w:cs="Times New Roman"/>
                <w:szCs w:val="21"/>
              </w:rPr>
              <w:t>.0007</w:t>
            </w:r>
          </w:p>
        </w:tc>
      </w:tr>
      <w:tr w:rsidR="007D1E74" w14:paraId="2E2786E1" w14:textId="77777777">
        <w:trPr>
          <w:trHeight w:val="70"/>
        </w:trPr>
        <w:tc>
          <w:tcPr>
            <w:tcW w:w="988" w:type="pct"/>
            <w:shd w:val="clear" w:color="auto" w:fill="auto"/>
            <w:vAlign w:val="center"/>
          </w:tcPr>
          <w:p w14:paraId="7FB6C449" w14:textId="77777777" w:rsidR="007D1E74" w:rsidRDefault="00A95641">
            <w:pPr>
              <w:jc w:val="center"/>
              <w:rPr>
                <w:rFonts w:cs="Times New Roman"/>
                <w:szCs w:val="21"/>
              </w:rPr>
            </w:pPr>
            <w:r>
              <w:rPr>
                <w:rFonts w:cs="Times New Roman" w:hint="eastAsia"/>
                <w:szCs w:val="21"/>
              </w:rPr>
              <w:lastRenderedPageBreak/>
              <w:t>氰化物</w:t>
            </w:r>
          </w:p>
        </w:tc>
        <w:tc>
          <w:tcPr>
            <w:tcW w:w="915" w:type="pct"/>
            <w:vAlign w:val="center"/>
          </w:tcPr>
          <w:p w14:paraId="219515BD" w14:textId="77777777" w:rsidR="007D1E74" w:rsidRDefault="00A95641">
            <w:pPr>
              <w:jc w:val="center"/>
              <w:rPr>
                <w:rFonts w:cs="Times New Roman"/>
                <w:bCs/>
                <w:szCs w:val="21"/>
              </w:rPr>
            </w:pPr>
            <w:r>
              <w:rPr>
                <w:rFonts w:cs="Times New Roman"/>
                <w:szCs w:val="21"/>
              </w:rPr>
              <w:t>mg/L</w:t>
            </w:r>
          </w:p>
        </w:tc>
        <w:tc>
          <w:tcPr>
            <w:tcW w:w="1032" w:type="pct"/>
            <w:shd w:val="clear" w:color="auto" w:fill="auto"/>
          </w:tcPr>
          <w:p w14:paraId="6F6FB8D1" w14:textId="77777777" w:rsidR="007D1E74" w:rsidRDefault="00A95641">
            <w:pPr>
              <w:jc w:val="center"/>
              <w:rPr>
                <w:rFonts w:cs="Times New Roman"/>
                <w:szCs w:val="21"/>
              </w:rPr>
            </w:pPr>
            <w:r>
              <w:rPr>
                <w:rFonts w:cs="Times New Roman"/>
                <w:szCs w:val="21"/>
              </w:rPr>
              <w:t>未检出</w:t>
            </w:r>
          </w:p>
        </w:tc>
        <w:tc>
          <w:tcPr>
            <w:tcW w:w="1032" w:type="pct"/>
          </w:tcPr>
          <w:p w14:paraId="2C121CDE" w14:textId="77777777" w:rsidR="007D1E74" w:rsidRDefault="00A95641">
            <w:pPr>
              <w:jc w:val="center"/>
              <w:rPr>
                <w:rFonts w:cs="Times New Roman"/>
                <w:szCs w:val="21"/>
              </w:rPr>
            </w:pPr>
            <w:r>
              <w:rPr>
                <w:rFonts w:cs="Times New Roman"/>
                <w:szCs w:val="21"/>
              </w:rPr>
              <w:t>未检出</w:t>
            </w:r>
          </w:p>
        </w:tc>
        <w:tc>
          <w:tcPr>
            <w:tcW w:w="1033" w:type="pct"/>
          </w:tcPr>
          <w:p w14:paraId="4DEA3CB3" w14:textId="77777777" w:rsidR="007D1E74" w:rsidRDefault="00A95641">
            <w:pPr>
              <w:jc w:val="center"/>
              <w:rPr>
                <w:rFonts w:cs="Times New Roman"/>
                <w:szCs w:val="21"/>
              </w:rPr>
            </w:pPr>
            <w:r>
              <w:rPr>
                <w:rFonts w:cs="Times New Roman"/>
                <w:szCs w:val="21"/>
              </w:rPr>
              <w:t>未检出</w:t>
            </w:r>
          </w:p>
        </w:tc>
      </w:tr>
      <w:tr w:rsidR="007D1E74" w14:paraId="5B60A9CF" w14:textId="77777777">
        <w:trPr>
          <w:trHeight w:val="70"/>
        </w:trPr>
        <w:tc>
          <w:tcPr>
            <w:tcW w:w="988" w:type="pct"/>
            <w:shd w:val="clear" w:color="auto" w:fill="auto"/>
            <w:vAlign w:val="center"/>
          </w:tcPr>
          <w:p w14:paraId="3D6E3623" w14:textId="77777777" w:rsidR="007D1E74" w:rsidRDefault="00A95641">
            <w:pPr>
              <w:jc w:val="center"/>
              <w:rPr>
                <w:rFonts w:cs="Times New Roman"/>
                <w:szCs w:val="21"/>
              </w:rPr>
            </w:pPr>
            <w:r>
              <w:rPr>
                <w:rFonts w:cs="Times New Roman" w:hint="eastAsia"/>
                <w:szCs w:val="21"/>
              </w:rPr>
              <w:t>砷</w:t>
            </w:r>
          </w:p>
        </w:tc>
        <w:tc>
          <w:tcPr>
            <w:tcW w:w="915" w:type="pct"/>
            <w:vAlign w:val="center"/>
          </w:tcPr>
          <w:p w14:paraId="481FB2BB" w14:textId="77777777" w:rsidR="007D1E74" w:rsidRDefault="00A95641">
            <w:pPr>
              <w:jc w:val="center"/>
              <w:rPr>
                <w:rFonts w:cs="Times New Roman"/>
                <w:szCs w:val="21"/>
              </w:rPr>
            </w:pPr>
            <w:r>
              <w:rPr>
                <w:rFonts w:cs="Times New Roman" w:hint="eastAsia"/>
                <w:szCs w:val="21"/>
              </w:rPr>
              <w:t>u</w:t>
            </w:r>
            <w:r>
              <w:rPr>
                <w:rFonts w:cs="Times New Roman"/>
                <w:szCs w:val="21"/>
              </w:rPr>
              <w:t>g/L</w:t>
            </w:r>
          </w:p>
        </w:tc>
        <w:tc>
          <w:tcPr>
            <w:tcW w:w="1032" w:type="pct"/>
            <w:shd w:val="clear" w:color="auto" w:fill="auto"/>
          </w:tcPr>
          <w:p w14:paraId="03189DDC" w14:textId="77777777" w:rsidR="007D1E74" w:rsidRDefault="00A95641">
            <w:pPr>
              <w:jc w:val="center"/>
              <w:rPr>
                <w:rFonts w:cs="Times New Roman"/>
                <w:szCs w:val="21"/>
              </w:rPr>
            </w:pPr>
            <w:r>
              <w:rPr>
                <w:rFonts w:cs="Times New Roman"/>
                <w:szCs w:val="21"/>
              </w:rPr>
              <w:t>未检出</w:t>
            </w:r>
          </w:p>
        </w:tc>
        <w:tc>
          <w:tcPr>
            <w:tcW w:w="1032" w:type="pct"/>
          </w:tcPr>
          <w:p w14:paraId="626C9FF1" w14:textId="77777777" w:rsidR="007D1E74" w:rsidRDefault="00A95641">
            <w:pPr>
              <w:jc w:val="center"/>
              <w:rPr>
                <w:rFonts w:cs="Times New Roman"/>
                <w:szCs w:val="21"/>
              </w:rPr>
            </w:pPr>
            <w:r>
              <w:rPr>
                <w:rFonts w:cs="Times New Roman"/>
                <w:szCs w:val="21"/>
              </w:rPr>
              <w:t>未检出</w:t>
            </w:r>
          </w:p>
        </w:tc>
        <w:tc>
          <w:tcPr>
            <w:tcW w:w="1033" w:type="pct"/>
          </w:tcPr>
          <w:p w14:paraId="7C40C208" w14:textId="77777777" w:rsidR="007D1E74" w:rsidRDefault="00A95641">
            <w:pPr>
              <w:jc w:val="center"/>
              <w:rPr>
                <w:rFonts w:cs="Times New Roman"/>
                <w:szCs w:val="21"/>
              </w:rPr>
            </w:pPr>
            <w:r>
              <w:rPr>
                <w:rFonts w:cs="Times New Roman"/>
                <w:szCs w:val="21"/>
              </w:rPr>
              <w:t>未检出</w:t>
            </w:r>
          </w:p>
        </w:tc>
      </w:tr>
      <w:tr w:rsidR="007D1E74" w14:paraId="054BF78F" w14:textId="77777777">
        <w:trPr>
          <w:trHeight w:val="71"/>
        </w:trPr>
        <w:tc>
          <w:tcPr>
            <w:tcW w:w="988" w:type="pct"/>
            <w:shd w:val="clear" w:color="auto" w:fill="auto"/>
            <w:vAlign w:val="center"/>
          </w:tcPr>
          <w:p w14:paraId="265F629C" w14:textId="77777777" w:rsidR="007D1E74" w:rsidRDefault="00A95641">
            <w:pPr>
              <w:jc w:val="center"/>
              <w:rPr>
                <w:rFonts w:cs="Times New Roman"/>
                <w:bCs/>
                <w:szCs w:val="21"/>
              </w:rPr>
            </w:pPr>
            <w:r>
              <w:rPr>
                <w:rFonts w:cs="Times New Roman" w:hint="eastAsia"/>
                <w:szCs w:val="21"/>
              </w:rPr>
              <w:t>汞</w:t>
            </w:r>
          </w:p>
        </w:tc>
        <w:tc>
          <w:tcPr>
            <w:tcW w:w="915" w:type="pct"/>
            <w:vAlign w:val="center"/>
          </w:tcPr>
          <w:p w14:paraId="3456D08A" w14:textId="77777777" w:rsidR="007D1E74" w:rsidRDefault="00A95641">
            <w:pPr>
              <w:jc w:val="center"/>
              <w:rPr>
                <w:rFonts w:cs="Times New Roman"/>
                <w:bCs/>
                <w:szCs w:val="21"/>
              </w:rPr>
            </w:pPr>
            <w:r>
              <w:rPr>
                <w:rFonts w:cs="Times New Roman" w:hint="eastAsia"/>
                <w:szCs w:val="21"/>
              </w:rPr>
              <w:t>u</w:t>
            </w:r>
            <w:r>
              <w:rPr>
                <w:rFonts w:cs="Times New Roman"/>
                <w:szCs w:val="21"/>
              </w:rPr>
              <w:t>g/L</w:t>
            </w:r>
          </w:p>
        </w:tc>
        <w:tc>
          <w:tcPr>
            <w:tcW w:w="1032" w:type="pct"/>
            <w:shd w:val="clear" w:color="auto" w:fill="auto"/>
          </w:tcPr>
          <w:p w14:paraId="018B1E1F" w14:textId="77777777" w:rsidR="007D1E74" w:rsidRDefault="00A95641">
            <w:pPr>
              <w:jc w:val="center"/>
              <w:rPr>
                <w:rFonts w:cs="Times New Roman"/>
                <w:bCs/>
                <w:szCs w:val="21"/>
              </w:rPr>
            </w:pPr>
            <w:r>
              <w:rPr>
                <w:rFonts w:cs="Times New Roman" w:hint="eastAsia"/>
                <w:bCs/>
                <w:szCs w:val="21"/>
              </w:rPr>
              <w:t>0</w:t>
            </w:r>
            <w:r>
              <w:rPr>
                <w:rFonts w:cs="Times New Roman"/>
                <w:bCs/>
                <w:szCs w:val="21"/>
              </w:rPr>
              <w:t>.26</w:t>
            </w:r>
          </w:p>
        </w:tc>
        <w:tc>
          <w:tcPr>
            <w:tcW w:w="1032" w:type="pct"/>
          </w:tcPr>
          <w:p w14:paraId="510F3286" w14:textId="77777777" w:rsidR="007D1E74" w:rsidRDefault="00A95641">
            <w:pPr>
              <w:jc w:val="center"/>
              <w:rPr>
                <w:rFonts w:cs="Times New Roman"/>
                <w:bCs/>
                <w:szCs w:val="21"/>
              </w:rPr>
            </w:pPr>
            <w:r>
              <w:rPr>
                <w:rFonts w:cs="Times New Roman" w:hint="eastAsia"/>
                <w:bCs/>
                <w:szCs w:val="21"/>
              </w:rPr>
              <w:t>0</w:t>
            </w:r>
            <w:r>
              <w:rPr>
                <w:rFonts w:cs="Times New Roman"/>
                <w:bCs/>
                <w:szCs w:val="21"/>
              </w:rPr>
              <w:t>.34</w:t>
            </w:r>
          </w:p>
        </w:tc>
        <w:tc>
          <w:tcPr>
            <w:tcW w:w="1033" w:type="pct"/>
          </w:tcPr>
          <w:p w14:paraId="4F121F6A" w14:textId="77777777" w:rsidR="007D1E74" w:rsidRDefault="00A95641">
            <w:pPr>
              <w:jc w:val="center"/>
              <w:rPr>
                <w:rFonts w:cs="Times New Roman"/>
                <w:bCs/>
                <w:szCs w:val="21"/>
              </w:rPr>
            </w:pPr>
            <w:r>
              <w:rPr>
                <w:rFonts w:cs="Times New Roman" w:hint="eastAsia"/>
                <w:bCs/>
                <w:szCs w:val="21"/>
              </w:rPr>
              <w:t>0</w:t>
            </w:r>
            <w:r>
              <w:rPr>
                <w:rFonts w:cs="Times New Roman"/>
                <w:bCs/>
                <w:szCs w:val="21"/>
              </w:rPr>
              <w:t>.24</w:t>
            </w:r>
          </w:p>
        </w:tc>
      </w:tr>
      <w:tr w:rsidR="007D1E74" w14:paraId="048637E1" w14:textId="77777777">
        <w:trPr>
          <w:trHeight w:val="71"/>
        </w:trPr>
        <w:tc>
          <w:tcPr>
            <w:tcW w:w="988" w:type="pct"/>
            <w:shd w:val="clear" w:color="auto" w:fill="auto"/>
            <w:vAlign w:val="center"/>
          </w:tcPr>
          <w:p w14:paraId="4E64D874" w14:textId="77777777" w:rsidR="007D1E74" w:rsidRDefault="00A95641">
            <w:pPr>
              <w:jc w:val="center"/>
              <w:rPr>
                <w:rFonts w:cs="Times New Roman"/>
                <w:szCs w:val="21"/>
              </w:rPr>
            </w:pPr>
            <w:r>
              <w:rPr>
                <w:rFonts w:cs="Times New Roman" w:hint="eastAsia"/>
                <w:szCs w:val="21"/>
              </w:rPr>
              <w:t>六价铬</w:t>
            </w:r>
          </w:p>
        </w:tc>
        <w:tc>
          <w:tcPr>
            <w:tcW w:w="915" w:type="pct"/>
            <w:vAlign w:val="center"/>
          </w:tcPr>
          <w:p w14:paraId="0DD0BA21" w14:textId="77777777" w:rsidR="007D1E74" w:rsidRDefault="00A95641">
            <w:pPr>
              <w:jc w:val="center"/>
              <w:rPr>
                <w:rFonts w:cs="Times New Roman"/>
                <w:szCs w:val="21"/>
              </w:rPr>
            </w:pPr>
            <w:r>
              <w:rPr>
                <w:rFonts w:cs="Times New Roman"/>
                <w:szCs w:val="21"/>
              </w:rPr>
              <w:t>mg/L</w:t>
            </w:r>
          </w:p>
        </w:tc>
        <w:tc>
          <w:tcPr>
            <w:tcW w:w="1032" w:type="pct"/>
            <w:shd w:val="clear" w:color="auto" w:fill="auto"/>
          </w:tcPr>
          <w:p w14:paraId="1B812B41" w14:textId="77777777" w:rsidR="007D1E74" w:rsidRDefault="00A95641">
            <w:pPr>
              <w:jc w:val="center"/>
              <w:rPr>
                <w:rFonts w:cs="Times New Roman"/>
                <w:bCs/>
                <w:szCs w:val="21"/>
              </w:rPr>
            </w:pPr>
            <w:r>
              <w:rPr>
                <w:rFonts w:cs="Times New Roman" w:hint="eastAsia"/>
                <w:bCs/>
                <w:szCs w:val="21"/>
              </w:rPr>
              <w:t>0</w:t>
            </w:r>
            <w:r>
              <w:rPr>
                <w:rFonts w:cs="Times New Roman"/>
                <w:bCs/>
                <w:szCs w:val="21"/>
              </w:rPr>
              <w:t>.004</w:t>
            </w:r>
          </w:p>
        </w:tc>
        <w:tc>
          <w:tcPr>
            <w:tcW w:w="1032" w:type="pct"/>
          </w:tcPr>
          <w:p w14:paraId="456516FB" w14:textId="77777777" w:rsidR="007D1E74" w:rsidRDefault="00A95641">
            <w:pPr>
              <w:jc w:val="center"/>
              <w:rPr>
                <w:rFonts w:cs="Times New Roman"/>
                <w:szCs w:val="21"/>
              </w:rPr>
            </w:pPr>
            <w:r>
              <w:rPr>
                <w:rFonts w:cs="Times New Roman"/>
                <w:szCs w:val="21"/>
              </w:rPr>
              <w:t>未检出</w:t>
            </w:r>
          </w:p>
        </w:tc>
        <w:tc>
          <w:tcPr>
            <w:tcW w:w="1033" w:type="pct"/>
          </w:tcPr>
          <w:p w14:paraId="522F8821" w14:textId="77777777" w:rsidR="007D1E74" w:rsidRDefault="00A95641">
            <w:pPr>
              <w:jc w:val="center"/>
              <w:rPr>
                <w:rFonts w:cs="Times New Roman"/>
                <w:szCs w:val="21"/>
              </w:rPr>
            </w:pPr>
            <w:r>
              <w:rPr>
                <w:rFonts w:cs="Times New Roman"/>
                <w:szCs w:val="21"/>
              </w:rPr>
              <w:t>未检出</w:t>
            </w:r>
          </w:p>
        </w:tc>
      </w:tr>
      <w:tr w:rsidR="007D1E74" w14:paraId="7A8EE049" w14:textId="77777777">
        <w:trPr>
          <w:trHeight w:val="71"/>
        </w:trPr>
        <w:tc>
          <w:tcPr>
            <w:tcW w:w="988" w:type="pct"/>
            <w:shd w:val="clear" w:color="auto" w:fill="auto"/>
            <w:vAlign w:val="center"/>
          </w:tcPr>
          <w:p w14:paraId="2C1A56B5" w14:textId="77777777" w:rsidR="007D1E74" w:rsidRDefault="00A95641">
            <w:pPr>
              <w:jc w:val="center"/>
              <w:rPr>
                <w:rFonts w:cs="Times New Roman"/>
                <w:szCs w:val="21"/>
              </w:rPr>
            </w:pPr>
            <w:r>
              <w:rPr>
                <w:rFonts w:cs="Times New Roman" w:hint="eastAsia"/>
                <w:szCs w:val="21"/>
              </w:rPr>
              <w:t>总硬度</w:t>
            </w:r>
          </w:p>
        </w:tc>
        <w:tc>
          <w:tcPr>
            <w:tcW w:w="915" w:type="pct"/>
            <w:vAlign w:val="center"/>
          </w:tcPr>
          <w:p w14:paraId="097D186D" w14:textId="77777777" w:rsidR="007D1E74" w:rsidRDefault="00A95641">
            <w:pPr>
              <w:jc w:val="center"/>
              <w:rPr>
                <w:rFonts w:cs="Times New Roman"/>
                <w:szCs w:val="21"/>
              </w:rPr>
            </w:pPr>
            <w:r>
              <w:rPr>
                <w:rFonts w:cs="Times New Roman"/>
                <w:szCs w:val="21"/>
              </w:rPr>
              <w:t>mg/L</w:t>
            </w:r>
          </w:p>
        </w:tc>
        <w:tc>
          <w:tcPr>
            <w:tcW w:w="1032" w:type="pct"/>
            <w:shd w:val="clear" w:color="auto" w:fill="auto"/>
            <w:vAlign w:val="center"/>
          </w:tcPr>
          <w:p w14:paraId="1F1EC9B1" w14:textId="77777777" w:rsidR="007D1E74" w:rsidRDefault="00A95641">
            <w:pPr>
              <w:jc w:val="center"/>
              <w:rPr>
                <w:rFonts w:cs="Times New Roman"/>
                <w:bCs/>
                <w:szCs w:val="21"/>
              </w:rPr>
            </w:pPr>
            <w:r>
              <w:rPr>
                <w:rFonts w:cs="Times New Roman" w:hint="eastAsia"/>
                <w:bCs/>
                <w:szCs w:val="21"/>
              </w:rPr>
              <w:t>2</w:t>
            </w:r>
            <w:r>
              <w:rPr>
                <w:rFonts w:cs="Times New Roman"/>
                <w:bCs/>
                <w:szCs w:val="21"/>
              </w:rPr>
              <w:t>58</w:t>
            </w:r>
          </w:p>
        </w:tc>
        <w:tc>
          <w:tcPr>
            <w:tcW w:w="1032" w:type="pct"/>
            <w:vAlign w:val="center"/>
          </w:tcPr>
          <w:p w14:paraId="7B2C58B3" w14:textId="77777777" w:rsidR="007D1E74" w:rsidRDefault="00A95641">
            <w:pPr>
              <w:jc w:val="center"/>
              <w:rPr>
                <w:rFonts w:cs="Times New Roman"/>
                <w:bCs/>
                <w:szCs w:val="21"/>
              </w:rPr>
            </w:pPr>
            <w:r>
              <w:rPr>
                <w:rFonts w:cs="Times New Roman" w:hint="eastAsia"/>
                <w:bCs/>
                <w:szCs w:val="21"/>
              </w:rPr>
              <w:t>1</w:t>
            </w:r>
            <w:r>
              <w:rPr>
                <w:rFonts w:cs="Times New Roman"/>
                <w:bCs/>
                <w:szCs w:val="21"/>
              </w:rPr>
              <w:t>87</w:t>
            </w:r>
          </w:p>
        </w:tc>
        <w:tc>
          <w:tcPr>
            <w:tcW w:w="1033" w:type="pct"/>
            <w:vAlign w:val="center"/>
          </w:tcPr>
          <w:p w14:paraId="6F53BD37" w14:textId="77777777" w:rsidR="007D1E74" w:rsidRDefault="00A95641">
            <w:pPr>
              <w:jc w:val="center"/>
              <w:rPr>
                <w:rFonts w:cs="Times New Roman"/>
                <w:bCs/>
                <w:szCs w:val="21"/>
              </w:rPr>
            </w:pPr>
            <w:r>
              <w:rPr>
                <w:rFonts w:cs="Times New Roman" w:hint="eastAsia"/>
                <w:bCs/>
                <w:szCs w:val="21"/>
              </w:rPr>
              <w:t>3</w:t>
            </w:r>
            <w:r>
              <w:rPr>
                <w:rFonts w:cs="Times New Roman"/>
                <w:bCs/>
                <w:szCs w:val="21"/>
              </w:rPr>
              <w:t>21</w:t>
            </w:r>
          </w:p>
        </w:tc>
      </w:tr>
      <w:tr w:rsidR="007D1E74" w14:paraId="629AD7E6" w14:textId="77777777">
        <w:trPr>
          <w:trHeight w:val="71"/>
        </w:trPr>
        <w:tc>
          <w:tcPr>
            <w:tcW w:w="988" w:type="pct"/>
            <w:shd w:val="clear" w:color="auto" w:fill="auto"/>
            <w:vAlign w:val="center"/>
          </w:tcPr>
          <w:p w14:paraId="563F53B8" w14:textId="77777777" w:rsidR="007D1E74" w:rsidRDefault="00A95641">
            <w:pPr>
              <w:jc w:val="center"/>
              <w:rPr>
                <w:rFonts w:cs="Times New Roman"/>
                <w:szCs w:val="21"/>
              </w:rPr>
            </w:pPr>
            <w:r>
              <w:rPr>
                <w:rFonts w:cs="Times New Roman" w:hint="eastAsia"/>
                <w:szCs w:val="21"/>
              </w:rPr>
              <w:t>铅</w:t>
            </w:r>
          </w:p>
        </w:tc>
        <w:tc>
          <w:tcPr>
            <w:tcW w:w="915" w:type="pct"/>
            <w:vAlign w:val="center"/>
          </w:tcPr>
          <w:p w14:paraId="567B95C8" w14:textId="77777777" w:rsidR="007D1E74" w:rsidRDefault="00A95641">
            <w:pPr>
              <w:jc w:val="center"/>
              <w:rPr>
                <w:rFonts w:cs="Times New Roman"/>
                <w:szCs w:val="21"/>
              </w:rPr>
            </w:pPr>
            <w:r>
              <w:rPr>
                <w:rFonts w:cs="Times New Roman" w:hint="eastAsia"/>
                <w:szCs w:val="21"/>
              </w:rPr>
              <w:t>u</w:t>
            </w:r>
            <w:r>
              <w:rPr>
                <w:rFonts w:cs="Times New Roman"/>
                <w:szCs w:val="21"/>
              </w:rPr>
              <w:t>g/L</w:t>
            </w:r>
          </w:p>
        </w:tc>
        <w:tc>
          <w:tcPr>
            <w:tcW w:w="1032" w:type="pct"/>
            <w:shd w:val="clear" w:color="auto" w:fill="auto"/>
            <w:vAlign w:val="center"/>
          </w:tcPr>
          <w:p w14:paraId="5E2DEEA0" w14:textId="77777777" w:rsidR="007D1E74" w:rsidRDefault="00A95641">
            <w:pPr>
              <w:jc w:val="center"/>
              <w:rPr>
                <w:rFonts w:cs="Times New Roman"/>
                <w:bCs/>
                <w:szCs w:val="21"/>
              </w:rPr>
            </w:pPr>
            <w:r>
              <w:rPr>
                <w:rFonts w:cs="Times New Roman"/>
                <w:bCs/>
                <w:szCs w:val="21"/>
              </w:rPr>
              <w:t>未检出</w:t>
            </w:r>
          </w:p>
        </w:tc>
        <w:tc>
          <w:tcPr>
            <w:tcW w:w="1032" w:type="pct"/>
            <w:vAlign w:val="center"/>
          </w:tcPr>
          <w:p w14:paraId="23284938" w14:textId="77777777" w:rsidR="007D1E74" w:rsidRDefault="00A95641">
            <w:pPr>
              <w:jc w:val="center"/>
              <w:rPr>
                <w:rFonts w:cs="Times New Roman"/>
                <w:bCs/>
                <w:szCs w:val="21"/>
              </w:rPr>
            </w:pPr>
            <w:r>
              <w:rPr>
                <w:rFonts w:cs="Times New Roman"/>
                <w:bCs/>
                <w:szCs w:val="21"/>
              </w:rPr>
              <w:t>未检出</w:t>
            </w:r>
          </w:p>
        </w:tc>
        <w:tc>
          <w:tcPr>
            <w:tcW w:w="1033" w:type="pct"/>
            <w:vAlign w:val="center"/>
          </w:tcPr>
          <w:p w14:paraId="5B8D9BB2" w14:textId="77777777" w:rsidR="007D1E74" w:rsidRDefault="00A95641">
            <w:pPr>
              <w:jc w:val="center"/>
              <w:rPr>
                <w:rFonts w:cs="Times New Roman"/>
                <w:bCs/>
                <w:szCs w:val="21"/>
              </w:rPr>
            </w:pPr>
            <w:r>
              <w:rPr>
                <w:rFonts w:cs="Times New Roman"/>
                <w:bCs/>
                <w:szCs w:val="21"/>
              </w:rPr>
              <w:t>未检出</w:t>
            </w:r>
          </w:p>
        </w:tc>
      </w:tr>
      <w:tr w:rsidR="007D1E74" w14:paraId="3507B6C9" w14:textId="77777777">
        <w:trPr>
          <w:trHeight w:val="71"/>
        </w:trPr>
        <w:tc>
          <w:tcPr>
            <w:tcW w:w="988" w:type="pct"/>
            <w:shd w:val="clear" w:color="auto" w:fill="auto"/>
            <w:vAlign w:val="center"/>
          </w:tcPr>
          <w:p w14:paraId="69598365" w14:textId="77777777" w:rsidR="007D1E74" w:rsidRDefault="00A95641">
            <w:pPr>
              <w:jc w:val="center"/>
              <w:rPr>
                <w:rFonts w:cs="Times New Roman"/>
                <w:szCs w:val="21"/>
              </w:rPr>
            </w:pPr>
            <w:r>
              <w:rPr>
                <w:rFonts w:cs="Times New Roman" w:hint="eastAsia"/>
                <w:szCs w:val="21"/>
              </w:rPr>
              <w:t>镉</w:t>
            </w:r>
          </w:p>
        </w:tc>
        <w:tc>
          <w:tcPr>
            <w:tcW w:w="915" w:type="pct"/>
            <w:vAlign w:val="center"/>
          </w:tcPr>
          <w:p w14:paraId="2A12A8A9" w14:textId="77777777" w:rsidR="007D1E74" w:rsidRDefault="00A95641">
            <w:pPr>
              <w:jc w:val="center"/>
              <w:rPr>
                <w:rFonts w:cs="Times New Roman"/>
                <w:szCs w:val="21"/>
              </w:rPr>
            </w:pPr>
            <w:r>
              <w:rPr>
                <w:rFonts w:cs="Times New Roman" w:hint="eastAsia"/>
                <w:szCs w:val="21"/>
              </w:rPr>
              <w:t>u</w:t>
            </w:r>
            <w:r>
              <w:rPr>
                <w:rFonts w:cs="Times New Roman"/>
                <w:szCs w:val="21"/>
              </w:rPr>
              <w:t>g/L</w:t>
            </w:r>
          </w:p>
        </w:tc>
        <w:tc>
          <w:tcPr>
            <w:tcW w:w="1032" w:type="pct"/>
            <w:shd w:val="clear" w:color="auto" w:fill="auto"/>
          </w:tcPr>
          <w:p w14:paraId="28DD359C" w14:textId="77777777" w:rsidR="007D1E74" w:rsidRDefault="00A95641">
            <w:pPr>
              <w:jc w:val="center"/>
              <w:rPr>
                <w:rFonts w:cs="Times New Roman"/>
                <w:bCs/>
                <w:szCs w:val="21"/>
              </w:rPr>
            </w:pPr>
            <w:r>
              <w:rPr>
                <w:rFonts w:cs="Times New Roman"/>
                <w:szCs w:val="21"/>
              </w:rPr>
              <w:t>未检出</w:t>
            </w:r>
          </w:p>
        </w:tc>
        <w:tc>
          <w:tcPr>
            <w:tcW w:w="1032" w:type="pct"/>
          </w:tcPr>
          <w:p w14:paraId="495E6FD2" w14:textId="77777777" w:rsidR="007D1E74" w:rsidRDefault="00A95641">
            <w:pPr>
              <w:jc w:val="center"/>
              <w:rPr>
                <w:rFonts w:cs="Times New Roman"/>
                <w:bCs/>
                <w:szCs w:val="21"/>
              </w:rPr>
            </w:pPr>
            <w:r>
              <w:rPr>
                <w:rFonts w:cs="Times New Roman"/>
                <w:szCs w:val="21"/>
              </w:rPr>
              <w:t>未检出</w:t>
            </w:r>
          </w:p>
        </w:tc>
        <w:tc>
          <w:tcPr>
            <w:tcW w:w="1033" w:type="pct"/>
          </w:tcPr>
          <w:p w14:paraId="46F4B670" w14:textId="77777777" w:rsidR="007D1E74" w:rsidRDefault="00A95641">
            <w:pPr>
              <w:jc w:val="center"/>
              <w:rPr>
                <w:rFonts w:cs="Times New Roman"/>
                <w:bCs/>
                <w:szCs w:val="21"/>
              </w:rPr>
            </w:pPr>
            <w:r>
              <w:rPr>
                <w:rFonts w:cs="Times New Roman"/>
                <w:szCs w:val="21"/>
              </w:rPr>
              <w:t>未检出</w:t>
            </w:r>
          </w:p>
        </w:tc>
      </w:tr>
      <w:tr w:rsidR="007D1E74" w14:paraId="1C28C522" w14:textId="77777777">
        <w:trPr>
          <w:trHeight w:val="71"/>
        </w:trPr>
        <w:tc>
          <w:tcPr>
            <w:tcW w:w="988" w:type="pct"/>
            <w:shd w:val="clear" w:color="auto" w:fill="auto"/>
            <w:vAlign w:val="center"/>
          </w:tcPr>
          <w:p w14:paraId="03FC1D88" w14:textId="77777777" w:rsidR="007D1E74" w:rsidRDefault="00A95641">
            <w:pPr>
              <w:jc w:val="center"/>
              <w:rPr>
                <w:rFonts w:cs="Times New Roman"/>
                <w:szCs w:val="21"/>
              </w:rPr>
            </w:pPr>
            <w:r>
              <w:rPr>
                <w:rFonts w:cs="Times New Roman" w:hint="eastAsia"/>
                <w:szCs w:val="21"/>
              </w:rPr>
              <w:t>铁</w:t>
            </w:r>
          </w:p>
        </w:tc>
        <w:tc>
          <w:tcPr>
            <w:tcW w:w="915" w:type="pct"/>
            <w:vAlign w:val="center"/>
          </w:tcPr>
          <w:p w14:paraId="7A059C15" w14:textId="77777777" w:rsidR="007D1E74" w:rsidRDefault="00A95641">
            <w:pPr>
              <w:jc w:val="center"/>
              <w:rPr>
                <w:rFonts w:cs="Times New Roman"/>
                <w:szCs w:val="21"/>
              </w:rPr>
            </w:pPr>
            <w:r>
              <w:rPr>
                <w:rFonts w:cs="Times New Roman"/>
                <w:szCs w:val="21"/>
              </w:rPr>
              <w:t>mg/L</w:t>
            </w:r>
          </w:p>
        </w:tc>
        <w:tc>
          <w:tcPr>
            <w:tcW w:w="1032" w:type="pct"/>
            <w:shd w:val="clear" w:color="auto" w:fill="auto"/>
            <w:vAlign w:val="center"/>
          </w:tcPr>
          <w:p w14:paraId="4441BBE1" w14:textId="77777777" w:rsidR="007D1E74" w:rsidRDefault="00A95641">
            <w:pPr>
              <w:jc w:val="center"/>
              <w:rPr>
                <w:rFonts w:cs="Times New Roman"/>
                <w:bCs/>
                <w:szCs w:val="21"/>
              </w:rPr>
            </w:pPr>
            <w:r>
              <w:rPr>
                <w:rFonts w:cs="Times New Roman"/>
                <w:bCs/>
                <w:szCs w:val="21"/>
              </w:rPr>
              <w:t>未检出</w:t>
            </w:r>
          </w:p>
        </w:tc>
        <w:tc>
          <w:tcPr>
            <w:tcW w:w="1032" w:type="pct"/>
            <w:vAlign w:val="center"/>
          </w:tcPr>
          <w:p w14:paraId="28D17018" w14:textId="77777777" w:rsidR="007D1E74" w:rsidRDefault="00A95641">
            <w:pPr>
              <w:jc w:val="center"/>
              <w:rPr>
                <w:rFonts w:cs="Times New Roman"/>
                <w:bCs/>
                <w:szCs w:val="21"/>
              </w:rPr>
            </w:pPr>
            <w:r>
              <w:rPr>
                <w:rFonts w:cs="Times New Roman"/>
                <w:bCs/>
                <w:szCs w:val="21"/>
              </w:rPr>
              <w:t>未检出</w:t>
            </w:r>
          </w:p>
        </w:tc>
        <w:tc>
          <w:tcPr>
            <w:tcW w:w="1033" w:type="pct"/>
            <w:vAlign w:val="center"/>
          </w:tcPr>
          <w:p w14:paraId="05C61BE5" w14:textId="77777777" w:rsidR="007D1E74" w:rsidRDefault="00A95641">
            <w:pPr>
              <w:jc w:val="center"/>
              <w:rPr>
                <w:rFonts w:cs="Times New Roman"/>
                <w:bCs/>
                <w:szCs w:val="21"/>
              </w:rPr>
            </w:pPr>
            <w:r>
              <w:rPr>
                <w:rFonts w:cs="Times New Roman"/>
                <w:bCs/>
                <w:szCs w:val="21"/>
              </w:rPr>
              <w:t>未检出</w:t>
            </w:r>
          </w:p>
        </w:tc>
      </w:tr>
      <w:tr w:rsidR="007D1E74" w14:paraId="0DE805FC" w14:textId="77777777">
        <w:trPr>
          <w:trHeight w:val="71"/>
        </w:trPr>
        <w:tc>
          <w:tcPr>
            <w:tcW w:w="988" w:type="pct"/>
            <w:shd w:val="clear" w:color="auto" w:fill="auto"/>
            <w:vAlign w:val="center"/>
          </w:tcPr>
          <w:p w14:paraId="631F71E1" w14:textId="77777777" w:rsidR="007D1E74" w:rsidRDefault="00A95641">
            <w:pPr>
              <w:jc w:val="center"/>
              <w:rPr>
                <w:rFonts w:cs="Times New Roman"/>
                <w:szCs w:val="21"/>
              </w:rPr>
            </w:pPr>
            <w:r>
              <w:rPr>
                <w:rFonts w:cs="Times New Roman" w:hint="eastAsia"/>
                <w:szCs w:val="21"/>
              </w:rPr>
              <w:t>锰</w:t>
            </w:r>
          </w:p>
        </w:tc>
        <w:tc>
          <w:tcPr>
            <w:tcW w:w="915" w:type="pct"/>
            <w:vAlign w:val="center"/>
          </w:tcPr>
          <w:p w14:paraId="4860BE59" w14:textId="77777777" w:rsidR="007D1E74" w:rsidRDefault="00A95641">
            <w:pPr>
              <w:jc w:val="center"/>
              <w:rPr>
                <w:rFonts w:cs="Times New Roman"/>
                <w:bCs/>
                <w:szCs w:val="21"/>
              </w:rPr>
            </w:pPr>
            <w:r>
              <w:rPr>
                <w:rFonts w:cs="Times New Roman"/>
                <w:szCs w:val="21"/>
              </w:rPr>
              <w:t>mg/L</w:t>
            </w:r>
          </w:p>
        </w:tc>
        <w:tc>
          <w:tcPr>
            <w:tcW w:w="1032" w:type="pct"/>
            <w:shd w:val="clear" w:color="auto" w:fill="auto"/>
          </w:tcPr>
          <w:p w14:paraId="42732E9A" w14:textId="77777777" w:rsidR="007D1E74" w:rsidRDefault="00A95641">
            <w:pPr>
              <w:jc w:val="center"/>
              <w:rPr>
                <w:rFonts w:cs="Times New Roman"/>
                <w:bCs/>
                <w:szCs w:val="21"/>
              </w:rPr>
            </w:pPr>
            <w:r>
              <w:rPr>
                <w:rFonts w:cs="Times New Roman"/>
                <w:szCs w:val="21"/>
              </w:rPr>
              <w:t>未检出</w:t>
            </w:r>
          </w:p>
        </w:tc>
        <w:tc>
          <w:tcPr>
            <w:tcW w:w="1032" w:type="pct"/>
          </w:tcPr>
          <w:p w14:paraId="57CFB4B8" w14:textId="77777777" w:rsidR="007D1E74" w:rsidRDefault="00A95641">
            <w:pPr>
              <w:jc w:val="center"/>
              <w:rPr>
                <w:rFonts w:cs="Times New Roman"/>
                <w:bCs/>
                <w:szCs w:val="21"/>
              </w:rPr>
            </w:pPr>
            <w:r>
              <w:rPr>
                <w:rFonts w:cs="Times New Roman"/>
                <w:szCs w:val="21"/>
              </w:rPr>
              <w:t>未检出</w:t>
            </w:r>
          </w:p>
        </w:tc>
        <w:tc>
          <w:tcPr>
            <w:tcW w:w="1033" w:type="pct"/>
          </w:tcPr>
          <w:p w14:paraId="5654CA76" w14:textId="77777777" w:rsidR="007D1E74" w:rsidRDefault="00A95641">
            <w:pPr>
              <w:jc w:val="center"/>
              <w:rPr>
                <w:rFonts w:cs="Times New Roman"/>
                <w:bCs/>
                <w:szCs w:val="21"/>
              </w:rPr>
            </w:pPr>
            <w:r>
              <w:rPr>
                <w:rFonts w:cs="Times New Roman"/>
                <w:szCs w:val="21"/>
              </w:rPr>
              <w:t>未检出</w:t>
            </w:r>
          </w:p>
        </w:tc>
      </w:tr>
      <w:tr w:rsidR="007D1E74" w14:paraId="23B63C25" w14:textId="77777777">
        <w:trPr>
          <w:trHeight w:val="71"/>
        </w:trPr>
        <w:tc>
          <w:tcPr>
            <w:tcW w:w="988" w:type="pct"/>
            <w:shd w:val="clear" w:color="auto" w:fill="auto"/>
            <w:vAlign w:val="center"/>
          </w:tcPr>
          <w:p w14:paraId="193A445B" w14:textId="77777777" w:rsidR="007D1E74" w:rsidRDefault="00A95641">
            <w:pPr>
              <w:jc w:val="center"/>
              <w:rPr>
                <w:rFonts w:cs="Times New Roman"/>
                <w:szCs w:val="21"/>
              </w:rPr>
            </w:pPr>
            <w:r>
              <w:rPr>
                <w:rFonts w:cs="Times New Roman" w:hint="eastAsia"/>
                <w:szCs w:val="21"/>
              </w:rPr>
              <w:t>溶解性总固体</w:t>
            </w:r>
          </w:p>
        </w:tc>
        <w:tc>
          <w:tcPr>
            <w:tcW w:w="915" w:type="pct"/>
            <w:vAlign w:val="center"/>
          </w:tcPr>
          <w:p w14:paraId="6B5D0630" w14:textId="77777777" w:rsidR="007D1E74" w:rsidRDefault="00A95641">
            <w:pPr>
              <w:jc w:val="center"/>
            </w:pPr>
            <w:r>
              <w:rPr>
                <w:rFonts w:cs="Times New Roman"/>
                <w:szCs w:val="21"/>
              </w:rPr>
              <w:t>mg/L</w:t>
            </w:r>
          </w:p>
        </w:tc>
        <w:tc>
          <w:tcPr>
            <w:tcW w:w="1032" w:type="pct"/>
            <w:shd w:val="clear" w:color="auto" w:fill="auto"/>
            <w:vAlign w:val="center"/>
          </w:tcPr>
          <w:p w14:paraId="6AC342F1" w14:textId="77777777" w:rsidR="007D1E74" w:rsidRDefault="00A95641">
            <w:pPr>
              <w:jc w:val="center"/>
              <w:rPr>
                <w:rFonts w:cs="Times New Roman"/>
                <w:bCs/>
                <w:szCs w:val="21"/>
              </w:rPr>
            </w:pPr>
            <w:r>
              <w:rPr>
                <w:rFonts w:cs="Times New Roman" w:hint="eastAsia"/>
                <w:bCs/>
                <w:szCs w:val="21"/>
              </w:rPr>
              <w:t>3</w:t>
            </w:r>
            <w:r>
              <w:rPr>
                <w:rFonts w:cs="Times New Roman"/>
                <w:bCs/>
                <w:szCs w:val="21"/>
              </w:rPr>
              <w:t>06</w:t>
            </w:r>
          </w:p>
        </w:tc>
        <w:tc>
          <w:tcPr>
            <w:tcW w:w="1032" w:type="pct"/>
            <w:vAlign w:val="center"/>
          </w:tcPr>
          <w:p w14:paraId="5FEBF9C8" w14:textId="77777777" w:rsidR="007D1E74" w:rsidRDefault="00A95641">
            <w:pPr>
              <w:jc w:val="center"/>
              <w:rPr>
                <w:rFonts w:cs="Times New Roman"/>
                <w:bCs/>
                <w:szCs w:val="21"/>
              </w:rPr>
            </w:pPr>
            <w:r>
              <w:rPr>
                <w:rFonts w:cs="Times New Roman" w:hint="eastAsia"/>
                <w:bCs/>
                <w:szCs w:val="21"/>
              </w:rPr>
              <w:t>2</w:t>
            </w:r>
            <w:r>
              <w:rPr>
                <w:rFonts w:cs="Times New Roman"/>
                <w:bCs/>
                <w:szCs w:val="21"/>
              </w:rPr>
              <w:t>08</w:t>
            </w:r>
          </w:p>
        </w:tc>
        <w:tc>
          <w:tcPr>
            <w:tcW w:w="1033" w:type="pct"/>
            <w:vAlign w:val="center"/>
          </w:tcPr>
          <w:p w14:paraId="7ADA4C83" w14:textId="77777777" w:rsidR="007D1E74" w:rsidRDefault="00A95641">
            <w:pPr>
              <w:jc w:val="center"/>
              <w:rPr>
                <w:rFonts w:cs="Times New Roman"/>
                <w:bCs/>
                <w:szCs w:val="21"/>
              </w:rPr>
            </w:pPr>
            <w:r>
              <w:rPr>
                <w:rFonts w:cs="Times New Roman"/>
                <w:bCs/>
                <w:szCs w:val="21"/>
              </w:rPr>
              <w:t>376</w:t>
            </w:r>
          </w:p>
        </w:tc>
      </w:tr>
      <w:tr w:rsidR="007D1E74" w14:paraId="515AFF5E" w14:textId="77777777">
        <w:trPr>
          <w:trHeight w:val="71"/>
        </w:trPr>
        <w:tc>
          <w:tcPr>
            <w:tcW w:w="988" w:type="pct"/>
            <w:shd w:val="clear" w:color="auto" w:fill="auto"/>
            <w:vAlign w:val="center"/>
          </w:tcPr>
          <w:p w14:paraId="212E2957" w14:textId="77777777" w:rsidR="007D1E74" w:rsidRDefault="00A95641">
            <w:pPr>
              <w:jc w:val="center"/>
              <w:rPr>
                <w:rFonts w:cs="Times New Roman"/>
                <w:szCs w:val="21"/>
              </w:rPr>
            </w:pPr>
            <w:r>
              <w:rPr>
                <w:rFonts w:cs="Times New Roman" w:hint="eastAsia"/>
                <w:szCs w:val="21"/>
              </w:rPr>
              <w:t>耗氧量</w:t>
            </w:r>
          </w:p>
        </w:tc>
        <w:tc>
          <w:tcPr>
            <w:tcW w:w="915" w:type="pct"/>
            <w:vAlign w:val="center"/>
          </w:tcPr>
          <w:p w14:paraId="02F4B68A" w14:textId="77777777" w:rsidR="007D1E74" w:rsidRDefault="00A95641">
            <w:pPr>
              <w:jc w:val="center"/>
            </w:pPr>
            <w:r>
              <w:rPr>
                <w:rFonts w:cs="Times New Roman"/>
                <w:szCs w:val="21"/>
              </w:rPr>
              <w:t>mg/L</w:t>
            </w:r>
          </w:p>
        </w:tc>
        <w:tc>
          <w:tcPr>
            <w:tcW w:w="1032" w:type="pct"/>
            <w:shd w:val="clear" w:color="auto" w:fill="auto"/>
            <w:vAlign w:val="center"/>
          </w:tcPr>
          <w:p w14:paraId="010B8E00" w14:textId="77777777" w:rsidR="007D1E74" w:rsidRDefault="00A95641">
            <w:pPr>
              <w:jc w:val="center"/>
              <w:rPr>
                <w:rFonts w:cs="Times New Roman"/>
                <w:bCs/>
                <w:szCs w:val="21"/>
              </w:rPr>
            </w:pPr>
            <w:r>
              <w:rPr>
                <w:rFonts w:cs="Times New Roman" w:hint="eastAsia"/>
                <w:bCs/>
                <w:szCs w:val="21"/>
              </w:rPr>
              <w:t>1</w:t>
            </w:r>
            <w:r>
              <w:rPr>
                <w:rFonts w:cs="Times New Roman"/>
                <w:bCs/>
                <w:szCs w:val="21"/>
              </w:rPr>
              <w:t>.4</w:t>
            </w:r>
          </w:p>
        </w:tc>
        <w:tc>
          <w:tcPr>
            <w:tcW w:w="1032" w:type="pct"/>
            <w:vAlign w:val="center"/>
          </w:tcPr>
          <w:p w14:paraId="33533C84" w14:textId="77777777" w:rsidR="007D1E74" w:rsidRDefault="00A95641">
            <w:pPr>
              <w:jc w:val="center"/>
              <w:rPr>
                <w:rFonts w:cs="Times New Roman"/>
                <w:bCs/>
                <w:szCs w:val="21"/>
              </w:rPr>
            </w:pPr>
            <w:r>
              <w:rPr>
                <w:rFonts w:cs="Times New Roman" w:hint="eastAsia"/>
                <w:bCs/>
                <w:szCs w:val="21"/>
              </w:rPr>
              <w:t>0</w:t>
            </w:r>
            <w:r>
              <w:rPr>
                <w:rFonts w:cs="Times New Roman"/>
                <w:bCs/>
                <w:szCs w:val="21"/>
              </w:rPr>
              <w:t>.7</w:t>
            </w:r>
          </w:p>
        </w:tc>
        <w:tc>
          <w:tcPr>
            <w:tcW w:w="1033" w:type="pct"/>
            <w:vAlign w:val="center"/>
          </w:tcPr>
          <w:p w14:paraId="1B456C5D" w14:textId="77777777" w:rsidR="007D1E74" w:rsidRDefault="00A95641">
            <w:pPr>
              <w:jc w:val="center"/>
              <w:rPr>
                <w:rFonts w:cs="Times New Roman"/>
                <w:bCs/>
                <w:szCs w:val="21"/>
              </w:rPr>
            </w:pPr>
            <w:r>
              <w:rPr>
                <w:rFonts w:cs="Times New Roman" w:hint="eastAsia"/>
                <w:bCs/>
                <w:szCs w:val="21"/>
              </w:rPr>
              <w:t>0</w:t>
            </w:r>
            <w:r>
              <w:rPr>
                <w:rFonts w:cs="Times New Roman"/>
                <w:bCs/>
                <w:szCs w:val="21"/>
              </w:rPr>
              <w:t>.6</w:t>
            </w:r>
          </w:p>
        </w:tc>
      </w:tr>
      <w:tr w:rsidR="007D1E74" w14:paraId="5C7453A8" w14:textId="77777777">
        <w:trPr>
          <w:trHeight w:val="71"/>
        </w:trPr>
        <w:tc>
          <w:tcPr>
            <w:tcW w:w="988" w:type="pct"/>
            <w:shd w:val="clear" w:color="auto" w:fill="auto"/>
            <w:vAlign w:val="center"/>
          </w:tcPr>
          <w:p w14:paraId="2B039799" w14:textId="77777777" w:rsidR="007D1E74" w:rsidRDefault="00A95641">
            <w:pPr>
              <w:jc w:val="center"/>
              <w:rPr>
                <w:rFonts w:cs="Times New Roman"/>
                <w:szCs w:val="21"/>
              </w:rPr>
            </w:pPr>
            <w:r>
              <w:rPr>
                <w:rFonts w:cs="Times New Roman" w:hint="eastAsia"/>
                <w:szCs w:val="21"/>
              </w:rPr>
              <w:t>硫化物</w:t>
            </w:r>
          </w:p>
        </w:tc>
        <w:tc>
          <w:tcPr>
            <w:tcW w:w="915" w:type="pct"/>
            <w:vAlign w:val="center"/>
          </w:tcPr>
          <w:p w14:paraId="43DB8DAA" w14:textId="77777777" w:rsidR="007D1E74" w:rsidRDefault="00A95641">
            <w:pPr>
              <w:jc w:val="center"/>
            </w:pPr>
            <w:r>
              <w:rPr>
                <w:rFonts w:cs="Times New Roman"/>
                <w:szCs w:val="21"/>
              </w:rPr>
              <w:t>mg/L</w:t>
            </w:r>
          </w:p>
        </w:tc>
        <w:tc>
          <w:tcPr>
            <w:tcW w:w="1032" w:type="pct"/>
            <w:shd w:val="clear" w:color="auto" w:fill="auto"/>
          </w:tcPr>
          <w:p w14:paraId="58D69EBA" w14:textId="77777777" w:rsidR="007D1E74" w:rsidRDefault="00A95641">
            <w:pPr>
              <w:jc w:val="center"/>
              <w:rPr>
                <w:rFonts w:cs="Times New Roman"/>
                <w:bCs/>
                <w:szCs w:val="21"/>
              </w:rPr>
            </w:pPr>
            <w:r>
              <w:rPr>
                <w:rFonts w:cs="Times New Roman"/>
                <w:szCs w:val="21"/>
              </w:rPr>
              <w:t>未检出</w:t>
            </w:r>
          </w:p>
        </w:tc>
        <w:tc>
          <w:tcPr>
            <w:tcW w:w="1032" w:type="pct"/>
          </w:tcPr>
          <w:p w14:paraId="3C943BF5" w14:textId="77777777" w:rsidR="007D1E74" w:rsidRDefault="00A95641">
            <w:pPr>
              <w:jc w:val="center"/>
              <w:rPr>
                <w:rFonts w:cs="Times New Roman"/>
                <w:bCs/>
                <w:szCs w:val="21"/>
              </w:rPr>
            </w:pPr>
            <w:r>
              <w:rPr>
                <w:rFonts w:cs="Times New Roman"/>
                <w:szCs w:val="21"/>
              </w:rPr>
              <w:t>未检出</w:t>
            </w:r>
          </w:p>
        </w:tc>
        <w:tc>
          <w:tcPr>
            <w:tcW w:w="1033" w:type="pct"/>
          </w:tcPr>
          <w:p w14:paraId="1DCCFF8C" w14:textId="77777777" w:rsidR="007D1E74" w:rsidRDefault="00A95641">
            <w:pPr>
              <w:jc w:val="center"/>
              <w:rPr>
                <w:rFonts w:cs="Times New Roman"/>
                <w:bCs/>
                <w:szCs w:val="21"/>
              </w:rPr>
            </w:pPr>
            <w:r>
              <w:rPr>
                <w:rFonts w:cs="Times New Roman"/>
                <w:szCs w:val="21"/>
              </w:rPr>
              <w:t>未检出</w:t>
            </w:r>
          </w:p>
        </w:tc>
      </w:tr>
      <w:tr w:rsidR="007D1E74" w14:paraId="667BDE2C" w14:textId="77777777">
        <w:trPr>
          <w:trHeight w:val="71"/>
        </w:trPr>
        <w:tc>
          <w:tcPr>
            <w:tcW w:w="988" w:type="pct"/>
            <w:shd w:val="clear" w:color="auto" w:fill="auto"/>
            <w:vAlign w:val="center"/>
          </w:tcPr>
          <w:p w14:paraId="75BA3DE7" w14:textId="77777777" w:rsidR="007D1E74" w:rsidRDefault="00A95641">
            <w:pPr>
              <w:jc w:val="center"/>
              <w:rPr>
                <w:rFonts w:cs="Times New Roman"/>
                <w:szCs w:val="21"/>
              </w:rPr>
            </w:pPr>
            <w:r>
              <w:rPr>
                <w:rFonts w:cs="Times New Roman" w:hint="eastAsia"/>
                <w:szCs w:val="21"/>
              </w:rPr>
              <w:t>石油类</w:t>
            </w:r>
          </w:p>
        </w:tc>
        <w:tc>
          <w:tcPr>
            <w:tcW w:w="915" w:type="pct"/>
            <w:vAlign w:val="center"/>
          </w:tcPr>
          <w:p w14:paraId="04E5BA03" w14:textId="77777777" w:rsidR="007D1E74" w:rsidRDefault="00A95641">
            <w:pPr>
              <w:jc w:val="center"/>
            </w:pPr>
            <w:r>
              <w:rPr>
                <w:rFonts w:cs="Times New Roman"/>
                <w:szCs w:val="21"/>
              </w:rPr>
              <w:t>mg/L</w:t>
            </w:r>
          </w:p>
        </w:tc>
        <w:tc>
          <w:tcPr>
            <w:tcW w:w="1032" w:type="pct"/>
            <w:shd w:val="clear" w:color="auto" w:fill="auto"/>
          </w:tcPr>
          <w:p w14:paraId="7C1DB890" w14:textId="77777777" w:rsidR="007D1E74" w:rsidRDefault="00A95641">
            <w:pPr>
              <w:jc w:val="center"/>
              <w:rPr>
                <w:rFonts w:cs="Times New Roman"/>
                <w:bCs/>
                <w:szCs w:val="21"/>
              </w:rPr>
            </w:pPr>
            <w:r>
              <w:rPr>
                <w:rFonts w:cs="Times New Roman"/>
                <w:szCs w:val="21"/>
              </w:rPr>
              <w:t>未检出</w:t>
            </w:r>
          </w:p>
        </w:tc>
        <w:tc>
          <w:tcPr>
            <w:tcW w:w="1032" w:type="pct"/>
          </w:tcPr>
          <w:p w14:paraId="1B3E645A" w14:textId="77777777" w:rsidR="007D1E74" w:rsidRDefault="00A95641">
            <w:pPr>
              <w:jc w:val="center"/>
              <w:rPr>
                <w:rFonts w:cs="Times New Roman"/>
                <w:bCs/>
                <w:szCs w:val="21"/>
              </w:rPr>
            </w:pPr>
            <w:r>
              <w:rPr>
                <w:rFonts w:cs="Times New Roman"/>
                <w:szCs w:val="21"/>
              </w:rPr>
              <w:t>未检出</w:t>
            </w:r>
          </w:p>
        </w:tc>
        <w:tc>
          <w:tcPr>
            <w:tcW w:w="1033" w:type="pct"/>
          </w:tcPr>
          <w:p w14:paraId="439C83DF" w14:textId="77777777" w:rsidR="007D1E74" w:rsidRDefault="00A95641">
            <w:pPr>
              <w:jc w:val="center"/>
              <w:rPr>
                <w:rFonts w:cs="Times New Roman"/>
                <w:bCs/>
                <w:szCs w:val="21"/>
              </w:rPr>
            </w:pPr>
            <w:r>
              <w:rPr>
                <w:rFonts w:cs="Times New Roman"/>
                <w:szCs w:val="21"/>
              </w:rPr>
              <w:t>未检出</w:t>
            </w:r>
          </w:p>
        </w:tc>
      </w:tr>
      <w:tr w:rsidR="007D1E74" w14:paraId="2857A511" w14:textId="77777777">
        <w:trPr>
          <w:trHeight w:val="71"/>
        </w:trPr>
        <w:tc>
          <w:tcPr>
            <w:tcW w:w="988" w:type="pct"/>
            <w:shd w:val="clear" w:color="auto" w:fill="auto"/>
            <w:vAlign w:val="center"/>
          </w:tcPr>
          <w:p w14:paraId="390727DC" w14:textId="77777777" w:rsidR="007D1E74" w:rsidRDefault="00A95641">
            <w:pPr>
              <w:jc w:val="center"/>
              <w:rPr>
                <w:rFonts w:cs="Times New Roman"/>
                <w:bCs/>
                <w:szCs w:val="21"/>
              </w:rPr>
            </w:pPr>
            <w:r>
              <w:rPr>
                <w:rFonts w:cs="Times New Roman" w:hint="eastAsia"/>
                <w:szCs w:val="21"/>
              </w:rPr>
              <w:t>总大肠菌群</w:t>
            </w:r>
          </w:p>
        </w:tc>
        <w:tc>
          <w:tcPr>
            <w:tcW w:w="915" w:type="pct"/>
            <w:vAlign w:val="center"/>
          </w:tcPr>
          <w:p w14:paraId="6290EFA6" w14:textId="77777777" w:rsidR="007D1E74" w:rsidRDefault="00A95641">
            <w:pPr>
              <w:jc w:val="center"/>
              <w:rPr>
                <w:rFonts w:cs="Times New Roman"/>
                <w:bCs/>
                <w:szCs w:val="21"/>
              </w:rPr>
            </w:pPr>
            <w:r>
              <w:rPr>
                <w:rFonts w:cs="Times New Roman" w:hint="eastAsia"/>
                <w:szCs w:val="21"/>
              </w:rPr>
              <w:t>MPN</w:t>
            </w:r>
            <w:r>
              <w:rPr>
                <w:rFonts w:cs="Times New Roman"/>
                <w:szCs w:val="21"/>
              </w:rPr>
              <w:t>/L</w:t>
            </w:r>
          </w:p>
        </w:tc>
        <w:tc>
          <w:tcPr>
            <w:tcW w:w="1032" w:type="pct"/>
            <w:shd w:val="clear" w:color="auto" w:fill="auto"/>
            <w:vAlign w:val="center"/>
          </w:tcPr>
          <w:p w14:paraId="6D468D24" w14:textId="77777777" w:rsidR="007D1E74" w:rsidRDefault="00A95641">
            <w:pPr>
              <w:jc w:val="center"/>
              <w:rPr>
                <w:rFonts w:cs="Times New Roman"/>
                <w:bCs/>
                <w:szCs w:val="21"/>
              </w:rPr>
            </w:pPr>
            <w:r>
              <w:rPr>
                <w:rFonts w:cs="Times New Roman" w:hint="eastAsia"/>
                <w:bCs/>
                <w:szCs w:val="21"/>
              </w:rPr>
              <w:t>&lt;</w:t>
            </w:r>
            <w:r>
              <w:rPr>
                <w:rFonts w:cs="Times New Roman"/>
                <w:bCs/>
                <w:szCs w:val="21"/>
              </w:rPr>
              <w:t>2</w:t>
            </w:r>
          </w:p>
        </w:tc>
        <w:tc>
          <w:tcPr>
            <w:tcW w:w="1032" w:type="pct"/>
            <w:vAlign w:val="center"/>
          </w:tcPr>
          <w:p w14:paraId="46A1961D" w14:textId="77777777" w:rsidR="007D1E74" w:rsidRDefault="00A95641">
            <w:pPr>
              <w:jc w:val="center"/>
            </w:pPr>
            <w:r>
              <w:rPr>
                <w:rFonts w:cs="Times New Roman" w:hint="eastAsia"/>
                <w:bCs/>
                <w:szCs w:val="21"/>
              </w:rPr>
              <w:t>&lt;</w:t>
            </w:r>
            <w:r>
              <w:rPr>
                <w:rFonts w:cs="Times New Roman"/>
                <w:bCs/>
                <w:szCs w:val="21"/>
              </w:rPr>
              <w:t>2</w:t>
            </w:r>
          </w:p>
        </w:tc>
        <w:tc>
          <w:tcPr>
            <w:tcW w:w="1033" w:type="pct"/>
            <w:vAlign w:val="center"/>
          </w:tcPr>
          <w:p w14:paraId="4008B013" w14:textId="77777777" w:rsidR="007D1E74" w:rsidRDefault="00A95641">
            <w:pPr>
              <w:jc w:val="center"/>
            </w:pPr>
            <w:r>
              <w:rPr>
                <w:rFonts w:cs="Times New Roman" w:hint="eastAsia"/>
                <w:bCs/>
                <w:szCs w:val="21"/>
              </w:rPr>
              <w:t>&lt;</w:t>
            </w:r>
            <w:r>
              <w:rPr>
                <w:rFonts w:cs="Times New Roman"/>
                <w:bCs/>
                <w:szCs w:val="21"/>
              </w:rPr>
              <w:t>2</w:t>
            </w:r>
          </w:p>
        </w:tc>
      </w:tr>
      <w:tr w:rsidR="007D1E74" w14:paraId="2CD59197" w14:textId="77777777">
        <w:trPr>
          <w:trHeight w:val="206"/>
        </w:trPr>
        <w:tc>
          <w:tcPr>
            <w:tcW w:w="988" w:type="pct"/>
            <w:shd w:val="clear" w:color="auto" w:fill="auto"/>
            <w:vAlign w:val="center"/>
          </w:tcPr>
          <w:p w14:paraId="456440B0" w14:textId="77777777" w:rsidR="007D1E74" w:rsidRDefault="00A95641">
            <w:pPr>
              <w:jc w:val="center"/>
              <w:rPr>
                <w:rFonts w:cs="Times New Roman"/>
                <w:bCs/>
                <w:szCs w:val="21"/>
              </w:rPr>
            </w:pPr>
            <w:r>
              <w:rPr>
                <w:rFonts w:cs="Times New Roman" w:hint="eastAsia"/>
                <w:szCs w:val="21"/>
              </w:rPr>
              <w:t>菌落总数</w:t>
            </w:r>
          </w:p>
        </w:tc>
        <w:tc>
          <w:tcPr>
            <w:tcW w:w="915" w:type="pct"/>
            <w:vAlign w:val="center"/>
          </w:tcPr>
          <w:p w14:paraId="32126CAA" w14:textId="77777777" w:rsidR="007D1E74" w:rsidRDefault="00A95641">
            <w:pPr>
              <w:jc w:val="center"/>
              <w:rPr>
                <w:rFonts w:cs="Times New Roman"/>
                <w:bCs/>
                <w:szCs w:val="21"/>
              </w:rPr>
            </w:pPr>
            <w:r>
              <w:rPr>
                <w:rFonts w:cs="Times New Roman" w:hint="eastAsia"/>
                <w:szCs w:val="21"/>
              </w:rPr>
              <w:t>CFU</w:t>
            </w:r>
            <w:r>
              <w:rPr>
                <w:rFonts w:cs="Times New Roman"/>
                <w:szCs w:val="21"/>
              </w:rPr>
              <w:t>/mL</w:t>
            </w:r>
          </w:p>
        </w:tc>
        <w:tc>
          <w:tcPr>
            <w:tcW w:w="1032" w:type="pct"/>
            <w:shd w:val="clear" w:color="auto" w:fill="auto"/>
            <w:vAlign w:val="center"/>
          </w:tcPr>
          <w:p w14:paraId="07DF8F9A" w14:textId="77777777" w:rsidR="007D1E74" w:rsidRDefault="00A95641">
            <w:pPr>
              <w:jc w:val="center"/>
              <w:rPr>
                <w:rFonts w:cs="Times New Roman"/>
                <w:bCs/>
                <w:szCs w:val="21"/>
              </w:rPr>
            </w:pPr>
            <w:r>
              <w:rPr>
                <w:rFonts w:cs="Times New Roman" w:hint="eastAsia"/>
                <w:bCs/>
                <w:szCs w:val="21"/>
              </w:rPr>
              <w:t>2</w:t>
            </w:r>
          </w:p>
        </w:tc>
        <w:tc>
          <w:tcPr>
            <w:tcW w:w="1032" w:type="pct"/>
            <w:vAlign w:val="center"/>
          </w:tcPr>
          <w:p w14:paraId="2694B241" w14:textId="77777777" w:rsidR="007D1E74" w:rsidRDefault="00A95641">
            <w:pPr>
              <w:jc w:val="center"/>
              <w:rPr>
                <w:rFonts w:cs="Times New Roman"/>
                <w:bCs/>
                <w:szCs w:val="21"/>
              </w:rPr>
            </w:pPr>
            <w:r>
              <w:rPr>
                <w:rFonts w:cs="Times New Roman" w:hint="eastAsia"/>
                <w:bCs/>
                <w:szCs w:val="21"/>
              </w:rPr>
              <w:t>4</w:t>
            </w:r>
          </w:p>
        </w:tc>
        <w:tc>
          <w:tcPr>
            <w:tcW w:w="1033" w:type="pct"/>
            <w:vAlign w:val="center"/>
          </w:tcPr>
          <w:p w14:paraId="31874101" w14:textId="77777777" w:rsidR="007D1E74" w:rsidRDefault="00A95641">
            <w:pPr>
              <w:jc w:val="center"/>
              <w:rPr>
                <w:rFonts w:cs="Times New Roman"/>
                <w:bCs/>
                <w:szCs w:val="21"/>
              </w:rPr>
            </w:pPr>
            <w:r>
              <w:rPr>
                <w:rFonts w:cs="Times New Roman" w:hint="eastAsia"/>
                <w:bCs/>
                <w:szCs w:val="21"/>
              </w:rPr>
              <w:t>4</w:t>
            </w:r>
          </w:p>
        </w:tc>
      </w:tr>
    </w:tbl>
    <w:p w14:paraId="183F199C" w14:textId="77777777" w:rsidR="007D1E74" w:rsidRDefault="00A95641">
      <w:pPr>
        <w:pStyle w:val="aa"/>
      </w:pPr>
      <w:r>
        <w:rPr>
          <w:rFonts w:hint="eastAsia"/>
        </w:rPr>
        <w:t>地下水环境质量现状评价</w:t>
      </w:r>
    </w:p>
    <w:p w14:paraId="47C641A6" w14:textId="77777777" w:rsidR="007D1E74" w:rsidRDefault="00A95641">
      <w:pPr>
        <w:pStyle w:val="afffff7"/>
        <w:ind w:firstLine="482"/>
      </w:pPr>
      <w:r>
        <w:rPr>
          <w:rFonts w:hint="eastAsia"/>
        </w:rPr>
        <w:t>1</w:t>
      </w:r>
      <w:r>
        <w:rPr>
          <w:rFonts w:hint="eastAsia"/>
        </w:rPr>
        <w:t>、评价因子</w:t>
      </w:r>
    </w:p>
    <w:p w14:paraId="1BD15E31" w14:textId="77777777" w:rsidR="007D1E74" w:rsidRDefault="00A95641">
      <w:pPr>
        <w:spacing w:line="360" w:lineRule="auto"/>
        <w:ind w:firstLineChars="200" w:firstLine="480"/>
        <w:rPr>
          <w:sz w:val="24"/>
          <w:szCs w:val="24"/>
        </w:rPr>
      </w:pPr>
      <w:r>
        <w:rPr>
          <w:sz w:val="24"/>
          <w:szCs w:val="24"/>
        </w:rPr>
        <w:t>pH</w:t>
      </w:r>
      <w:r>
        <w:rPr>
          <w:sz w:val="24"/>
          <w:szCs w:val="24"/>
        </w:rPr>
        <w:t>、</w:t>
      </w:r>
      <w:r>
        <w:rPr>
          <w:sz w:val="24"/>
          <w:szCs w:val="24"/>
          <w:lang w:bidi="ar"/>
        </w:rPr>
        <w:t>Na</w:t>
      </w:r>
      <w:r>
        <w:rPr>
          <w:sz w:val="24"/>
          <w:szCs w:val="24"/>
          <w:vertAlign w:val="superscript"/>
          <w:lang w:bidi="ar"/>
        </w:rPr>
        <w:t>+</w:t>
      </w:r>
      <w:r>
        <w:rPr>
          <w:sz w:val="24"/>
          <w:szCs w:val="24"/>
          <w:lang w:bidi="ar"/>
        </w:rPr>
        <w:t>、</w:t>
      </w:r>
      <w:r>
        <w:rPr>
          <w:rFonts w:hint="eastAsia"/>
          <w:sz w:val="24"/>
          <w:szCs w:val="24"/>
          <w:lang w:bidi="ar"/>
        </w:rPr>
        <w:t>氯化物</w:t>
      </w:r>
      <w:r>
        <w:rPr>
          <w:sz w:val="24"/>
          <w:szCs w:val="24"/>
          <w:lang w:bidi="ar"/>
        </w:rPr>
        <w:t>、</w:t>
      </w:r>
      <w:r>
        <w:rPr>
          <w:rFonts w:hint="eastAsia"/>
          <w:sz w:val="24"/>
          <w:szCs w:val="24"/>
          <w:lang w:bidi="ar"/>
        </w:rPr>
        <w:t>硫酸盐、氟化物、</w:t>
      </w:r>
      <w:r>
        <w:rPr>
          <w:sz w:val="24"/>
          <w:szCs w:val="24"/>
        </w:rPr>
        <w:t>氨氮、硝酸盐、亚硝酸盐、挥发酚、氰化物、砷、汞、六价铬、总硬度、铅、镉、铁、锰、溶解性总固体、耗氧量、硫化物、石油类、总大肠菌群、细菌总数。</w:t>
      </w:r>
    </w:p>
    <w:p w14:paraId="4A172BF5" w14:textId="77777777" w:rsidR="007D1E74" w:rsidRDefault="00A95641">
      <w:pPr>
        <w:pStyle w:val="afffff7"/>
        <w:ind w:firstLine="482"/>
      </w:pPr>
      <w:r>
        <w:t>2</w:t>
      </w:r>
      <w:r>
        <w:rPr>
          <w:rFonts w:hint="eastAsia"/>
        </w:rPr>
        <w:t>、评价标准</w:t>
      </w:r>
    </w:p>
    <w:p w14:paraId="75FE2BA5" w14:textId="77777777" w:rsidR="007D1E74" w:rsidRDefault="00A95641">
      <w:pPr>
        <w:spacing w:line="360" w:lineRule="auto"/>
        <w:ind w:firstLineChars="200" w:firstLine="480"/>
        <w:rPr>
          <w:sz w:val="24"/>
        </w:rPr>
      </w:pPr>
      <w:r>
        <w:rPr>
          <w:rFonts w:hint="eastAsia"/>
          <w:sz w:val="24"/>
        </w:rPr>
        <w:t>执行</w:t>
      </w:r>
      <w:r>
        <w:rPr>
          <w:rFonts w:hint="eastAsia"/>
          <w:sz w:val="24"/>
          <w:szCs w:val="24"/>
        </w:rPr>
        <w:t>《地下水质量标准》（</w:t>
      </w:r>
      <w:r>
        <w:rPr>
          <w:rFonts w:hint="eastAsia"/>
          <w:sz w:val="24"/>
          <w:szCs w:val="24"/>
        </w:rPr>
        <w:t>GB/T14848-2017</w:t>
      </w:r>
      <w:r>
        <w:rPr>
          <w:rFonts w:hint="eastAsia"/>
          <w:sz w:val="24"/>
          <w:szCs w:val="24"/>
        </w:rPr>
        <w:t>）</w:t>
      </w:r>
      <w:r>
        <w:rPr>
          <w:sz w:val="24"/>
          <w:szCs w:val="24"/>
        </w:rPr>
        <w:t>III</w:t>
      </w:r>
      <w:r>
        <w:rPr>
          <w:sz w:val="24"/>
          <w:szCs w:val="24"/>
        </w:rPr>
        <w:t>类标准</w:t>
      </w:r>
      <w:r>
        <w:rPr>
          <w:rFonts w:hint="eastAsia"/>
          <w:sz w:val="24"/>
        </w:rPr>
        <w:t>。</w:t>
      </w:r>
    </w:p>
    <w:p w14:paraId="32DD4A62" w14:textId="77777777" w:rsidR="007D1E74" w:rsidRDefault="00A95641">
      <w:pPr>
        <w:pStyle w:val="afffff7"/>
        <w:ind w:firstLine="482"/>
      </w:pPr>
      <w:r>
        <w:t>3</w:t>
      </w:r>
      <w:r>
        <w:rPr>
          <w:rFonts w:hint="eastAsia"/>
        </w:rPr>
        <w:t>、评价方法</w:t>
      </w:r>
    </w:p>
    <w:p w14:paraId="6E7B6BBD" w14:textId="77777777" w:rsidR="007D1E74" w:rsidRDefault="00A95641">
      <w:pPr>
        <w:spacing w:line="360" w:lineRule="auto"/>
        <w:ind w:firstLineChars="200" w:firstLine="480"/>
        <w:rPr>
          <w:sz w:val="24"/>
        </w:rPr>
      </w:pPr>
      <w:r>
        <w:rPr>
          <w:rFonts w:hint="eastAsia"/>
          <w:sz w:val="24"/>
          <w:szCs w:val="24"/>
        </w:rPr>
        <w:t>采用</w:t>
      </w:r>
      <w:r>
        <w:rPr>
          <w:sz w:val="24"/>
        </w:rPr>
        <w:t>单项</w:t>
      </w:r>
      <w:r>
        <w:rPr>
          <w:rFonts w:hint="eastAsia"/>
          <w:sz w:val="24"/>
        </w:rPr>
        <w:t>水质</w:t>
      </w:r>
      <w:r>
        <w:rPr>
          <w:sz w:val="24"/>
        </w:rPr>
        <w:t>指数</w:t>
      </w:r>
      <w:r>
        <w:rPr>
          <w:rFonts w:hint="eastAsia"/>
          <w:sz w:val="24"/>
        </w:rPr>
        <w:t>评价</w:t>
      </w:r>
      <w:r>
        <w:rPr>
          <w:sz w:val="24"/>
        </w:rPr>
        <w:t>法</w:t>
      </w:r>
      <w:r>
        <w:rPr>
          <w:rFonts w:hint="eastAsia"/>
          <w:sz w:val="24"/>
        </w:rPr>
        <w:t>，</w:t>
      </w:r>
      <w:r>
        <w:rPr>
          <w:sz w:val="24"/>
        </w:rPr>
        <w:t>公式为：</w:t>
      </w:r>
    </w:p>
    <w:p w14:paraId="0FE11F35" w14:textId="77777777" w:rsidR="007D1E74" w:rsidRDefault="00A95641">
      <w:pPr>
        <w:spacing w:line="360" w:lineRule="auto"/>
        <w:jc w:val="center"/>
        <w:rPr>
          <w:i/>
          <w:sz w:val="24"/>
        </w:rPr>
      </w:pPr>
      <w:r>
        <w:rPr>
          <w:i/>
          <w:sz w:val="24"/>
        </w:rPr>
        <w:t>P</w:t>
      </w:r>
      <w:r>
        <w:rPr>
          <w:i/>
          <w:sz w:val="24"/>
          <w:vertAlign w:val="subscript"/>
        </w:rPr>
        <w:t>i</w:t>
      </w:r>
      <w:r>
        <w:rPr>
          <w:i/>
          <w:sz w:val="24"/>
        </w:rPr>
        <w:t xml:space="preserve"> =C</w:t>
      </w:r>
      <w:r>
        <w:rPr>
          <w:i/>
          <w:sz w:val="24"/>
          <w:vertAlign w:val="subscript"/>
        </w:rPr>
        <w:t>i</w:t>
      </w:r>
      <w:r>
        <w:rPr>
          <w:i/>
          <w:sz w:val="24"/>
        </w:rPr>
        <w:t>/C</w:t>
      </w:r>
      <w:r>
        <w:rPr>
          <w:i/>
          <w:sz w:val="24"/>
          <w:vertAlign w:val="subscript"/>
        </w:rPr>
        <w:t>si</w:t>
      </w:r>
    </w:p>
    <w:p w14:paraId="4A76FD4F" w14:textId="77777777" w:rsidR="007D1E74" w:rsidRDefault="00A95641">
      <w:pPr>
        <w:spacing w:line="360" w:lineRule="auto"/>
        <w:ind w:firstLineChars="200" w:firstLine="480"/>
        <w:rPr>
          <w:sz w:val="24"/>
        </w:rPr>
      </w:pPr>
      <w:r>
        <w:rPr>
          <w:rFonts w:hint="eastAsia"/>
          <w:sz w:val="24"/>
        </w:rPr>
        <w:t>式中，</w:t>
      </w:r>
      <w:r>
        <w:rPr>
          <w:i/>
          <w:sz w:val="24"/>
        </w:rPr>
        <w:t>P</w:t>
      </w:r>
      <w:r>
        <w:rPr>
          <w:i/>
          <w:sz w:val="24"/>
          <w:vertAlign w:val="subscript"/>
        </w:rPr>
        <w:t>i</w:t>
      </w:r>
      <w:r>
        <w:rPr>
          <w:sz w:val="24"/>
        </w:rPr>
        <w:t xml:space="preserve"> ——</w:t>
      </w:r>
      <w:r>
        <w:rPr>
          <w:rFonts w:hint="eastAsia"/>
          <w:sz w:val="24"/>
        </w:rPr>
        <w:t>第</w:t>
      </w:r>
      <w:r>
        <w:rPr>
          <w:i/>
          <w:sz w:val="24"/>
        </w:rPr>
        <w:t>i</w:t>
      </w:r>
      <w:r>
        <w:rPr>
          <w:rFonts w:hint="eastAsia"/>
          <w:sz w:val="24"/>
        </w:rPr>
        <w:t>个</w:t>
      </w:r>
      <w:r>
        <w:rPr>
          <w:sz w:val="24"/>
        </w:rPr>
        <w:t>水质因子的标准指数</w:t>
      </w:r>
      <w:r>
        <w:rPr>
          <w:rFonts w:hint="eastAsia"/>
          <w:sz w:val="24"/>
        </w:rPr>
        <w:t>，</w:t>
      </w:r>
      <w:r>
        <w:rPr>
          <w:sz w:val="24"/>
        </w:rPr>
        <w:t>无量纲；</w:t>
      </w:r>
    </w:p>
    <w:p w14:paraId="51E09D5C" w14:textId="77777777" w:rsidR="007D1E74" w:rsidRDefault="00A95641">
      <w:pPr>
        <w:spacing w:line="360" w:lineRule="auto"/>
        <w:ind w:firstLineChars="500" w:firstLine="1200"/>
        <w:rPr>
          <w:sz w:val="24"/>
        </w:rPr>
      </w:pPr>
      <w:r>
        <w:rPr>
          <w:i/>
          <w:sz w:val="24"/>
        </w:rPr>
        <w:t>C</w:t>
      </w:r>
      <w:r>
        <w:rPr>
          <w:i/>
          <w:sz w:val="24"/>
          <w:vertAlign w:val="subscript"/>
        </w:rPr>
        <w:t>i</w:t>
      </w:r>
      <w:r>
        <w:rPr>
          <w:sz w:val="24"/>
        </w:rPr>
        <w:t>——</w:t>
      </w:r>
      <w:r>
        <w:rPr>
          <w:rFonts w:hint="eastAsia"/>
          <w:sz w:val="24"/>
        </w:rPr>
        <w:t>第</w:t>
      </w:r>
      <w:r>
        <w:rPr>
          <w:i/>
          <w:sz w:val="24"/>
        </w:rPr>
        <w:t>i</w:t>
      </w:r>
      <w:r>
        <w:rPr>
          <w:rFonts w:hint="eastAsia"/>
          <w:sz w:val="24"/>
        </w:rPr>
        <w:t>个</w:t>
      </w:r>
      <w:r>
        <w:rPr>
          <w:sz w:val="24"/>
        </w:rPr>
        <w:t>水质因子</w:t>
      </w:r>
      <w:r>
        <w:rPr>
          <w:rFonts w:hint="eastAsia"/>
          <w:sz w:val="24"/>
        </w:rPr>
        <w:t>的监测</w:t>
      </w:r>
      <w:r>
        <w:rPr>
          <w:sz w:val="24"/>
        </w:rPr>
        <w:t>浓度限值，</w:t>
      </w:r>
      <w:r>
        <w:rPr>
          <w:rFonts w:hint="eastAsia"/>
          <w:sz w:val="24"/>
        </w:rPr>
        <w:t>mg/L</w:t>
      </w:r>
      <w:r>
        <w:rPr>
          <w:rFonts w:hint="eastAsia"/>
          <w:sz w:val="24"/>
        </w:rPr>
        <w:t>；</w:t>
      </w:r>
    </w:p>
    <w:p w14:paraId="3101AE36" w14:textId="77777777" w:rsidR="007D1E74" w:rsidRDefault="00A95641">
      <w:pPr>
        <w:spacing w:line="360" w:lineRule="auto"/>
        <w:ind w:firstLineChars="500" w:firstLine="1200"/>
        <w:rPr>
          <w:sz w:val="24"/>
        </w:rPr>
      </w:pPr>
      <w:r>
        <w:rPr>
          <w:i/>
          <w:sz w:val="24"/>
        </w:rPr>
        <w:t>C</w:t>
      </w:r>
      <w:r>
        <w:rPr>
          <w:i/>
          <w:sz w:val="24"/>
          <w:vertAlign w:val="subscript"/>
        </w:rPr>
        <w:t>s</w:t>
      </w:r>
      <w:r>
        <w:rPr>
          <w:rFonts w:hint="eastAsia"/>
          <w:i/>
          <w:sz w:val="24"/>
          <w:vertAlign w:val="subscript"/>
        </w:rPr>
        <w:t>j</w:t>
      </w:r>
      <w:r>
        <w:rPr>
          <w:sz w:val="24"/>
        </w:rPr>
        <w:t>——</w:t>
      </w:r>
      <w:r>
        <w:rPr>
          <w:rFonts w:hint="eastAsia"/>
          <w:sz w:val="24"/>
        </w:rPr>
        <w:t>第</w:t>
      </w:r>
      <w:r>
        <w:rPr>
          <w:i/>
          <w:sz w:val="24"/>
        </w:rPr>
        <w:t>i</w:t>
      </w:r>
      <w:r>
        <w:rPr>
          <w:rFonts w:hint="eastAsia"/>
          <w:sz w:val="24"/>
        </w:rPr>
        <w:t>个</w:t>
      </w:r>
      <w:r>
        <w:rPr>
          <w:sz w:val="24"/>
        </w:rPr>
        <w:t>水质因子</w:t>
      </w:r>
      <w:r>
        <w:rPr>
          <w:rFonts w:hint="eastAsia"/>
          <w:sz w:val="24"/>
        </w:rPr>
        <w:t>的</w:t>
      </w:r>
      <w:r>
        <w:rPr>
          <w:sz w:val="24"/>
        </w:rPr>
        <w:t>标准浓度限值，</w:t>
      </w:r>
      <w:r>
        <w:rPr>
          <w:rFonts w:hint="eastAsia"/>
          <w:sz w:val="24"/>
        </w:rPr>
        <w:t>mg/L</w:t>
      </w:r>
      <w:r>
        <w:rPr>
          <w:rFonts w:hint="eastAsia"/>
          <w:sz w:val="24"/>
        </w:rPr>
        <w:t>。</w:t>
      </w:r>
    </w:p>
    <w:p w14:paraId="288514A7" w14:textId="77777777" w:rsidR="007D1E74" w:rsidRDefault="00A95641">
      <w:pPr>
        <w:spacing w:line="360" w:lineRule="auto"/>
        <w:ind w:firstLineChars="200" w:firstLine="480"/>
        <w:rPr>
          <w:sz w:val="24"/>
        </w:rPr>
      </w:pPr>
      <w:r>
        <w:rPr>
          <w:rFonts w:hint="eastAsia"/>
          <w:sz w:val="24"/>
        </w:rPr>
        <w:t>对具有</w:t>
      </w:r>
      <w:r>
        <w:rPr>
          <w:sz w:val="24"/>
        </w:rPr>
        <w:t>上</w:t>
      </w:r>
      <w:r>
        <w:rPr>
          <w:rFonts w:hint="eastAsia"/>
          <w:sz w:val="24"/>
        </w:rPr>
        <w:t>、</w:t>
      </w:r>
      <w:r>
        <w:rPr>
          <w:sz w:val="24"/>
        </w:rPr>
        <w:t>下限</w:t>
      </w:r>
      <w:r>
        <w:rPr>
          <w:rFonts w:hint="eastAsia"/>
          <w:sz w:val="24"/>
        </w:rPr>
        <w:t>标准值</w:t>
      </w:r>
      <w:r>
        <w:rPr>
          <w:sz w:val="24"/>
        </w:rPr>
        <w:t>的</w:t>
      </w:r>
      <w:r>
        <w:rPr>
          <w:rFonts w:hint="eastAsia"/>
          <w:sz w:val="24"/>
        </w:rPr>
        <w:t>指标</w:t>
      </w:r>
      <w:r>
        <w:rPr>
          <w:sz w:val="24"/>
        </w:rPr>
        <w:t>pH</w:t>
      </w:r>
      <w:r>
        <w:rPr>
          <w:rFonts w:hint="eastAsia"/>
          <w:sz w:val="24"/>
        </w:rPr>
        <w:t>，</w:t>
      </w:r>
      <w:r>
        <w:rPr>
          <w:sz w:val="24"/>
        </w:rPr>
        <w:t>公式为</w:t>
      </w:r>
      <w:r>
        <w:rPr>
          <w:rFonts w:hint="eastAsia"/>
          <w:sz w:val="24"/>
        </w:rPr>
        <w:t>：</w:t>
      </w:r>
    </w:p>
    <w:p w14:paraId="147605A4" w14:textId="77777777" w:rsidR="007D1E74" w:rsidRDefault="00A95641">
      <w:pPr>
        <w:spacing w:line="360" w:lineRule="auto"/>
        <w:jc w:val="center"/>
        <w:rPr>
          <w:sz w:val="24"/>
        </w:rPr>
      </w:pPr>
      <w:r>
        <w:rPr>
          <w:i/>
          <w:sz w:val="24"/>
        </w:rPr>
        <w:t>P</w:t>
      </w:r>
      <w:r>
        <w:rPr>
          <w:sz w:val="24"/>
          <w:vertAlign w:val="subscript"/>
        </w:rPr>
        <w:t>pH</w:t>
      </w:r>
      <w:r>
        <w:rPr>
          <w:sz w:val="24"/>
        </w:rPr>
        <w:t>=</w:t>
      </w:r>
      <w:r>
        <w:rPr>
          <w:sz w:val="24"/>
        </w:rPr>
        <w:t>（</w:t>
      </w:r>
      <w:r>
        <w:rPr>
          <w:rFonts w:hint="eastAsia"/>
          <w:sz w:val="24"/>
        </w:rPr>
        <w:t>7</w:t>
      </w:r>
      <w:r>
        <w:rPr>
          <w:sz w:val="24"/>
        </w:rPr>
        <w:t>.0</w:t>
      </w:r>
      <w:r>
        <w:rPr>
          <w:rFonts w:eastAsia="仿宋"/>
          <w:sz w:val="24"/>
        </w:rPr>
        <w:t>-</w:t>
      </w:r>
      <w:r>
        <w:rPr>
          <w:sz w:val="24"/>
        </w:rPr>
        <w:t>pH</w:t>
      </w:r>
      <w:r>
        <w:rPr>
          <w:sz w:val="24"/>
        </w:rPr>
        <w:t>）</w:t>
      </w:r>
      <w:r>
        <w:rPr>
          <w:rFonts w:hint="eastAsia"/>
          <w:sz w:val="24"/>
        </w:rPr>
        <w:t>/</w:t>
      </w:r>
      <w:r>
        <w:rPr>
          <w:rFonts w:hint="eastAsia"/>
          <w:sz w:val="24"/>
        </w:rPr>
        <w:t>（</w:t>
      </w:r>
      <w:r>
        <w:rPr>
          <w:rFonts w:hint="eastAsia"/>
          <w:sz w:val="24"/>
        </w:rPr>
        <w:t>7</w:t>
      </w:r>
      <w:r>
        <w:rPr>
          <w:sz w:val="24"/>
        </w:rPr>
        <w:t>.0</w:t>
      </w:r>
      <w:r>
        <w:rPr>
          <w:rFonts w:eastAsia="仿宋"/>
          <w:sz w:val="24"/>
        </w:rPr>
        <w:t>-</w:t>
      </w:r>
      <w:r>
        <w:rPr>
          <w:sz w:val="24"/>
        </w:rPr>
        <w:t>pH</w:t>
      </w:r>
      <w:r>
        <w:rPr>
          <w:sz w:val="24"/>
          <w:vertAlign w:val="subscript"/>
        </w:rPr>
        <w:t>sd</w:t>
      </w:r>
      <w:r>
        <w:rPr>
          <w:rFonts w:hint="eastAsia"/>
          <w:sz w:val="24"/>
        </w:rPr>
        <w:t>）</w:t>
      </w:r>
      <w:r>
        <w:rPr>
          <w:sz w:val="24"/>
        </w:rPr>
        <w:t>pH</w:t>
      </w:r>
      <w:r>
        <w:rPr>
          <w:i/>
          <w:sz w:val="24"/>
          <w:vertAlign w:val="subscript"/>
        </w:rPr>
        <w:t>j</w:t>
      </w:r>
      <w:r>
        <w:rPr>
          <w:rFonts w:eastAsia="仿宋"/>
          <w:sz w:val="24"/>
        </w:rPr>
        <w:t>≤</w:t>
      </w:r>
      <w:r>
        <w:rPr>
          <w:sz w:val="24"/>
        </w:rPr>
        <w:t>7.0</w:t>
      </w:r>
    </w:p>
    <w:p w14:paraId="0EC3162F" w14:textId="77777777" w:rsidR="007D1E74" w:rsidRDefault="00A95641">
      <w:pPr>
        <w:spacing w:line="360" w:lineRule="auto"/>
        <w:jc w:val="center"/>
        <w:rPr>
          <w:sz w:val="24"/>
        </w:rPr>
      </w:pPr>
      <w:r>
        <w:rPr>
          <w:i/>
          <w:sz w:val="24"/>
        </w:rPr>
        <w:t>P</w:t>
      </w:r>
      <w:r>
        <w:rPr>
          <w:sz w:val="24"/>
          <w:vertAlign w:val="subscript"/>
        </w:rPr>
        <w:t>pH</w:t>
      </w:r>
      <w:r>
        <w:rPr>
          <w:rFonts w:hint="eastAsia"/>
          <w:sz w:val="24"/>
        </w:rPr>
        <w:t>=</w:t>
      </w:r>
      <w:r>
        <w:rPr>
          <w:sz w:val="24"/>
        </w:rPr>
        <w:t>（</w:t>
      </w:r>
      <w:r>
        <w:rPr>
          <w:rFonts w:hint="eastAsia"/>
          <w:sz w:val="24"/>
        </w:rPr>
        <w:t>p</w:t>
      </w:r>
      <w:r>
        <w:rPr>
          <w:sz w:val="24"/>
        </w:rPr>
        <w:t>H</w:t>
      </w:r>
      <w:r>
        <w:rPr>
          <w:rFonts w:eastAsia="仿宋"/>
          <w:sz w:val="24"/>
        </w:rPr>
        <w:t>-</w:t>
      </w:r>
      <w:r>
        <w:rPr>
          <w:sz w:val="24"/>
        </w:rPr>
        <w:t>7.0</w:t>
      </w:r>
      <w:r>
        <w:rPr>
          <w:sz w:val="24"/>
        </w:rPr>
        <w:t>）</w:t>
      </w:r>
      <w:r>
        <w:rPr>
          <w:rFonts w:hint="eastAsia"/>
          <w:sz w:val="24"/>
        </w:rPr>
        <w:t>/</w:t>
      </w:r>
      <w:r>
        <w:rPr>
          <w:rFonts w:hint="eastAsia"/>
          <w:sz w:val="24"/>
        </w:rPr>
        <w:t>（</w:t>
      </w:r>
      <w:r>
        <w:rPr>
          <w:rFonts w:hint="eastAsia"/>
          <w:sz w:val="24"/>
        </w:rPr>
        <w:t>p</w:t>
      </w:r>
      <w:r>
        <w:rPr>
          <w:sz w:val="24"/>
        </w:rPr>
        <w:t>H</w:t>
      </w:r>
      <w:r>
        <w:rPr>
          <w:sz w:val="24"/>
          <w:vertAlign w:val="subscript"/>
        </w:rPr>
        <w:t>su</w:t>
      </w:r>
      <w:r>
        <w:rPr>
          <w:rFonts w:eastAsia="仿宋"/>
          <w:sz w:val="24"/>
        </w:rPr>
        <w:t>-</w:t>
      </w:r>
      <w:r>
        <w:rPr>
          <w:sz w:val="24"/>
        </w:rPr>
        <w:t>7.0</w:t>
      </w:r>
      <w:r>
        <w:rPr>
          <w:rFonts w:hint="eastAsia"/>
          <w:sz w:val="24"/>
        </w:rPr>
        <w:t>）</w:t>
      </w:r>
      <w:r>
        <w:rPr>
          <w:sz w:val="24"/>
        </w:rPr>
        <w:t>pH</w:t>
      </w:r>
      <w:r>
        <w:rPr>
          <w:i/>
          <w:sz w:val="24"/>
          <w:vertAlign w:val="subscript"/>
        </w:rPr>
        <w:t>j</w:t>
      </w:r>
      <w:r>
        <w:rPr>
          <w:rFonts w:eastAsia="仿宋"/>
          <w:sz w:val="24"/>
        </w:rPr>
        <w:t>&gt;</w:t>
      </w:r>
      <w:r>
        <w:rPr>
          <w:rFonts w:hint="eastAsia"/>
          <w:sz w:val="24"/>
        </w:rPr>
        <w:t>7</w:t>
      </w:r>
      <w:r>
        <w:rPr>
          <w:sz w:val="24"/>
        </w:rPr>
        <w:t>.0</w:t>
      </w:r>
    </w:p>
    <w:p w14:paraId="6D36C5FD" w14:textId="77777777" w:rsidR="007D1E74" w:rsidRDefault="00A95641">
      <w:pPr>
        <w:spacing w:line="360" w:lineRule="auto"/>
        <w:ind w:firstLineChars="200" w:firstLine="480"/>
        <w:rPr>
          <w:sz w:val="24"/>
        </w:rPr>
      </w:pPr>
      <w:r>
        <w:rPr>
          <w:rFonts w:hint="eastAsia"/>
          <w:sz w:val="24"/>
        </w:rPr>
        <w:t>式中，</w:t>
      </w:r>
      <w:r>
        <w:rPr>
          <w:i/>
          <w:sz w:val="24"/>
        </w:rPr>
        <w:t>P</w:t>
      </w:r>
      <w:r>
        <w:rPr>
          <w:sz w:val="24"/>
          <w:vertAlign w:val="subscript"/>
        </w:rPr>
        <w:t>pH</w:t>
      </w:r>
      <w:r>
        <w:rPr>
          <w:sz w:val="24"/>
        </w:rPr>
        <w:t>——pH</w:t>
      </w:r>
      <w:r>
        <w:rPr>
          <w:sz w:val="24"/>
        </w:rPr>
        <w:t>值的标准指数</w:t>
      </w:r>
      <w:r>
        <w:rPr>
          <w:rFonts w:hint="eastAsia"/>
          <w:sz w:val="24"/>
        </w:rPr>
        <w:t>，</w:t>
      </w:r>
      <w:r>
        <w:rPr>
          <w:sz w:val="24"/>
        </w:rPr>
        <w:t>无量纲</w:t>
      </w:r>
      <w:r>
        <w:rPr>
          <w:rFonts w:hint="eastAsia"/>
          <w:sz w:val="24"/>
        </w:rPr>
        <w:t>；</w:t>
      </w:r>
    </w:p>
    <w:p w14:paraId="69566E99" w14:textId="77777777" w:rsidR="007D1E74" w:rsidRDefault="00A95641">
      <w:pPr>
        <w:spacing w:line="360" w:lineRule="auto"/>
        <w:ind w:firstLineChars="400" w:firstLine="960"/>
        <w:rPr>
          <w:sz w:val="24"/>
        </w:rPr>
      </w:pPr>
      <w:r>
        <w:rPr>
          <w:sz w:val="24"/>
        </w:rPr>
        <w:t xml:space="preserve">  pH——pH</w:t>
      </w:r>
      <w:r>
        <w:rPr>
          <w:rFonts w:hint="eastAsia"/>
          <w:sz w:val="24"/>
        </w:rPr>
        <w:t>监测值；</w:t>
      </w:r>
    </w:p>
    <w:p w14:paraId="33DDCECE" w14:textId="77777777" w:rsidR="007D1E74" w:rsidRDefault="00A95641">
      <w:pPr>
        <w:spacing w:line="360" w:lineRule="auto"/>
        <w:ind w:firstLineChars="500" w:firstLine="1200"/>
        <w:rPr>
          <w:sz w:val="24"/>
        </w:rPr>
      </w:pPr>
      <w:r>
        <w:rPr>
          <w:sz w:val="24"/>
        </w:rPr>
        <w:lastRenderedPageBreak/>
        <w:t>pH</w:t>
      </w:r>
      <w:r>
        <w:rPr>
          <w:sz w:val="24"/>
          <w:vertAlign w:val="subscript"/>
        </w:rPr>
        <w:t xml:space="preserve">sd </w:t>
      </w:r>
      <w:r>
        <w:rPr>
          <w:sz w:val="24"/>
        </w:rPr>
        <w:t>——</w:t>
      </w:r>
      <w:r>
        <w:rPr>
          <w:rFonts w:hint="eastAsia"/>
          <w:sz w:val="24"/>
        </w:rPr>
        <w:t>标准中</w:t>
      </w:r>
      <w:r>
        <w:rPr>
          <w:sz w:val="24"/>
        </w:rPr>
        <w:t>pH</w:t>
      </w:r>
      <w:r>
        <w:rPr>
          <w:rFonts w:hint="eastAsia"/>
          <w:sz w:val="24"/>
        </w:rPr>
        <w:t>的</w:t>
      </w:r>
      <w:r>
        <w:rPr>
          <w:sz w:val="24"/>
        </w:rPr>
        <w:t>下限值；</w:t>
      </w:r>
    </w:p>
    <w:p w14:paraId="5F538BE7" w14:textId="77777777" w:rsidR="007D1E74" w:rsidRDefault="00A95641">
      <w:pPr>
        <w:spacing w:line="360" w:lineRule="auto"/>
        <w:ind w:firstLineChars="500" w:firstLine="1200"/>
        <w:rPr>
          <w:sz w:val="24"/>
        </w:rPr>
      </w:pPr>
      <w:r>
        <w:rPr>
          <w:rFonts w:hint="eastAsia"/>
          <w:sz w:val="24"/>
        </w:rPr>
        <w:t>p</w:t>
      </w:r>
      <w:r>
        <w:rPr>
          <w:sz w:val="24"/>
        </w:rPr>
        <w:t>H</w:t>
      </w:r>
      <w:r>
        <w:rPr>
          <w:sz w:val="24"/>
          <w:vertAlign w:val="subscript"/>
        </w:rPr>
        <w:t xml:space="preserve">su </w:t>
      </w:r>
      <w:r>
        <w:rPr>
          <w:sz w:val="24"/>
        </w:rPr>
        <w:t>——</w:t>
      </w:r>
      <w:r>
        <w:rPr>
          <w:rFonts w:hint="eastAsia"/>
          <w:sz w:val="24"/>
        </w:rPr>
        <w:t>标准中</w:t>
      </w:r>
      <w:r>
        <w:rPr>
          <w:sz w:val="24"/>
        </w:rPr>
        <w:t>pH</w:t>
      </w:r>
      <w:r>
        <w:rPr>
          <w:rFonts w:hint="eastAsia"/>
          <w:sz w:val="24"/>
        </w:rPr>
        <w:t>的上</w:t>
      </w:r>
      <w:r>
        <w:rPr>
          <w:sz w:val="24"/>
        </w:rPr>
        <w:t>限值</w:t>
      </w:r>
      <w:r>
        <w:rPr>
          <w:rFonts w:hint="eastAsia"/>
          <w:sz w:val="24"/>
        </w:rPr>
        <w:t>。</w:t>
      </w:r>
    </w:p>
    <w:p w14:paraId="232AF94E" w14:textId="77777777" w:rsidR="007D1E74" w:rsidRDefault="00A95641">
      <w:pPr>
        <w:spacing w:line="360" w:lineRule="auto"/>
        <w:ind w:firstLine="480"/>
        <w:rPr>
          <w:sz w:val="24"/>
        </w:rPr>
      </w:pPr>
      <w:r>
        <w:rPr>
          <w:rFonts w:hint="eastAsia"/>
          <w:sz w:val="24"/>
        </w:rPr>
        <w:t>当</w:t>
      </w:r>
      <w:r>
        <w:rPr>
          <w:sz w:val="24"/>
        </w:rPr>
        <w:t>水质评价因子的标准指</w:t>
      </w:r>
      <w:r>
        <w:rPr>
          <w:rFonts w:hint="eastAsia"/>
          <w:sz w:val="24"/>
        </w:rPr>
        <w:t>数</w:t>
      </w:r>
      <w:r>
        <w:rPr>
          <w:sz w:val="24"/>
        </w:rPr>
        <w:t>大于</w:t>
      </w:r>
      <w:r>
        <w:rPr>
          <w:rFonts w:hint="eastAsia"/>
          <w:sz w:val="24"/>
        </w:rPr>
        <w:t>1</w:t>
      </w:r>
      <w:r>
        <w:rPr>
          <w:rFonts w:hint="eastAsia"/>
          <w:sz w:val="24"/>
        </w:rPr>
        <w:t>，</w:t>
      </w:r>
      <w:r>
        <w:rPr>
          <w:sz w:val="24"/>
        </w:rPr>
        <w:t>表明该评价因子的水质超过了规定的水质标准，已经不能满足相应的水</w:t>
      </w:r>
      <w:r>
        <w:rPr>
          <w:rFonts w:hint="eastAsia"/>
          <w:sz w:val="24"/>
        </w:rPr>
        <w:t>环境</w:t>
      </w:r>
      <w:r>
        <w:rPr>
          <w:sz w:val="24"/>
        </w:rPr>
        <w:t>要求。</w:t>
      </w:r>
    </w:p>
    <w:p w14:paraId="42AAFDC0" w14:textId="77777777" w:rsidR="007D1E74" w:rsidRDefault="00A95641">
      <w:pPr>
        <w:pStyle w:val="afffff7"/>
        <w:ind w:firstLine="482"/>
      </w:pPr>
      <w:r>
        <w:t>4</w:t>
      </w:r>
      <w:r>
        <w:rPr>
          <w:rFonts w:hint="eastAsia"/>
        </w:rPr>
        <w:t>、评价结果</w:t>
      </w:r>
    </w:p>
    <w:p w14:paraId="34D5957A" w14:textId="77777777" w:rsidR="007D1E74" w:rsidRDefault="00A95641">
      <w:pPr>
        <w:spacing w:line="360" w:lineRule="auto"/>
        <w:ind w:firstLine="480"/>
        <w:rPr>
          <w:sz w:val="24"/>
        </w:rPr>
      </w:pPr>
      <w:r>
        <w:rPr>
          <w:rFonts w:hint="eastAsia"/>
          <w:sz w:val="24"/>
        </w:rPr>
        <w:t>区域地下水环境质量现状评价结果见下表。</w:t>
      </w:r>
    </w:p>
    <w:p w14:paraId="00D4444A" w14:textId="77777777" w:rsidR="007D1E74" w:rsidRDefault="00A95641">
      <w:pPr>
        <w:pStyle w:val="afffffe"/>
        <w:numPr>
          <w:ilvl w:val="0"/>
          <w:numId w:val="42"/>
        </w:numPr>
        <w:spacing w:line="360" w:lineRule="auto"/>
        <w:ind w:firstLineChars="0"/>
        <w:jc w:val="center"/>
        <w:rPr>
          <w:rFonts w:eastAsia="黑体" w:cs="Times New Roman"/>
          <w:szCs w:val="21"/>
        </w:rPr>
      </w:pPr>
      <w:r>
        <w:rPr>
          <w:rFonts w:eastAsia="黑体" w:cs="Times New Roman" w:hint="eastAsia"/>
          <w:szCs w:val="21"/>
        </w:rPr>
        <w:t>地下水环境质量现状评价结果</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1"/>
        <w:gridCol w:w="1648"/>
        <w:gridCol w:w="1908"/>
        <w:gridCol w:w="1908"/>
        <w:gridCol w:w="1911"/>
      </w:tblGrid>
      <w:tr w:rsidR="007D1E74" w14:paraId="6B690CEB" w14:textId="77777777">
        <w:trPr>
          <w:trHeight w:val="60"/>
          <w:tblHeader/>
        </w:trPr>
        <w:tc>
          <w:tcPr>
            <w:tcW w:w="910" w:type="pct"/>
            <w:vMerge w:val="restart"/>
            <w:shd w:val="clear" w:color="auto" w:fill="auto"/>
            <w:vAlign w:val="center"/>
          </w:tcPr>
          <w:p w14:paraId="6A4C6BA0" w14:textId="77777777" w:rsidR="007D1E74" w:rsidRDefault="00A95641">
            <w:pPr>
              <w:jc w:val="center"/>
              <w:rPr>
                <w:rFonts w:cs="Times New Roman"/>
                <w:bCs/>
                <w:szCs w:val="21"/>
              </w:rPr>
            </w:pPr>
            <w:r>
              <w:rPr>
                <w:rFonts w:cs="Times New Roman" w:hint="eastAsia"/>
                <w:bCs/>
                <w:szCs w:val="21"/>
              </w:rPr>
              <w:t>评价因子</w:t>
            </w:r>
          </w:p>
        </w:tc>
        <w:tc>
          <w:tcPr>
            <w:tcW w:w="914" w:type="pct"/>
            <w:vMerge w:val="restart"/>
            <w:vAlign w:val="center"/>
          </w:tcPr>
          <w:p w14:paraId="10C9C16E" w14:textId="77777777" w:rsidR="007D1E74" w:rsidRDefault="00A95641">
            <w:pPr>
              <w:jc w:val="center"/>
              <w:rPr>
                <w:rFonts w:cs="Times New Roman"/>
                <w:bCs/>
                <w:szCs w:val="21"/>
              </w:rPr>
            </w:pPr>
            <w:r>
              <w:rPr>
                <w:rFonts w:cs="Times New Roman" w:hint="eastAsia"/>
                <w:bCs/>
                <w:szCs w:val="21"/>
              </w:rPr>
              <w:t>标准限值（</w:t>
            </w:r>
            <w:r>
              <w:rPr>
                <w:rFonts w:cs="Times New Roman" w:hint="eastAsia"/>
                <w:bCs/>
                <w:szCs w:val="21"/>
              </w:rPr>
              <w:t>mg</w:t>
            </w:r>
            <w:r>
              <w:rPr>
                <w:rFonts w:cs="Times New Roman"/>
                <w:bCs/>
                <w:szCs w:val="21"/>
              </w:rPr>
              <w:t>/L</w:t>
            </w:r>
            <w:r>
              <w:rPr>
                <w:rFonts w:cs="Times New Roman" w:hint="eastAsia"/>
                <w:bCs/>
                <w:szCs w:val="21"/>
              </w:rPr>
              <w:t>）</w:t>
            </w:r>
          </w:p>
        </w:tc>
        <w:tc>
          <w:tcPr>
            <w:tcW w:w="3176" w:type="pct"/>
            <w:gridSpan w:val="3"/>
            <w:shd w:val="clear" w:color="auto" w:fill="auto"/>
            <w:vAlign w:val="center"/>
          </w:tcPr>
          <w:p w14:paraId="270E51E9" w14:textId="77777777" w:rsidR="007D1E74" w:rsidRDefault="00A95641">
            <w:pPr>
              <w:jc w:val="center"/>
              <w:rPr>
                <w:rFonts w:cs="Times New Roman"/>
                <w:bCs/>
                <w:szCs w:val="21"/>
              </w:rPr>
            </w:pPr>
            <w:r>
              <w:rPr>
                <w:rFonts w:cs="Times New Roman" w:hint="eastAsia"/>
                <w:bCs/>
                <w:szCs w:val="21"/>
              </w:rPr>
              <w:t>评价</w:t>
            </w:r>
            <w:r>
              <w:rPr>
                <w:rFonts w:cs="Times New Roman"/>
                <w:bCs/>
                <w:szCs w:val="21"/>
              </w:rPr>
              <w:t>结果</w:t>
            </w:r>
          </w:p>
        </w:tc>
      </w:tr>
      <w:tr w:rsidR="007D1E74" w14:paraId="70FCB471" w14:textId="77777777">
        <w:trPr>
          <w:trHeight w:val="70"/>
          <w:tblHeader/>
        </w:trPr>
        <w:tc>
          <w:tcPr>
            <w:tcW w:w="910" w:type="pct"/>
            <w:vMerge/>
            <w:shd w:val="clear" w:color="auto" w:fill="auto"/>
            <w:vAlign w:val="center"/>
          </w:tcPr>
          <w:p w14:paraId="382172D5" w14:textId="77777777" w:rsidR="007D1E74" w:rsidRDefault="007D1E74">
            <w:pPr>
              <w:jc w:val="center"/>
              <w:rPr>
                <w:rFonts w:cs="Times New Roman"/>
                <w:bCs/>
                <w:szCs w:val="21"/>
              </w:rPr>
            </w:pPr>
          </w:p>
        </w:tc>
        <w:tc>
          <w:tcPr>
            <w:tcW w:w="914" w:type="pct"/>
            <w:vMerge/>
            <w:vAlign w:val="center"/>
          </w:tcPr>
          <w:p w14:paraId="763F18BD" w14:textId="77777777" w:rsidR="007D1E74" w:rsidRDefault="007D1E74">
            <w:pPr>
              <w:jc w:val="center"/>
              <w:rPr>
                <w:rFonts w:cs="Times New Roman"/>
                <w:bCs/>
                <w:szCs w:val="21"/>
              </w:rPr>
            </w:pPr>
          </w:p>
        </w:tc>
        <w:tc>
          <w:tcPr>
            <w:tcW w:w="1058" w:type="pct"/>
            <w:shd w:val="clear" w:color="auto" w:fill="auto"/>
            <w:vAlign w:val="center"/>
          </w:tcPr>
          <w:p w14:paraId="6DA4EFD0" w14:textId="77777777" w:rsidR="007D1E74" w:rsidRDefault="00A95641">
            <w:pPr>
              <w:jc w:val="center"/>
              <w:rPr>
                <w:rFonts w:cs="Times New Roman"/>
                <w:bCs/>
                <w:szCs w:val="21"/>
              </w:rPr>
            </w:pPr>
            <w:r>
              <w:rPr>
                <w:rFonts w:cs="Times New Roman"/>
                <w:bCs/>
                <w:szCs w:val="21"/>
              </w:rPr>
              <w:t>2#</w:t>
            </w:r>
          </w:p>
        </w:tc>
        <w:tc>
          <w:tcPr>
            <w:tcW w:w="1058" w:type="pct"/>
            <w:vAlign w:val="center"/>
          </w:tcPr>
          <w:p w14:paraId="6B90E0CB" w14:textId="77777777" w:rsidR="007D1E74" w:rsidRDefault="00A95641">
            <w:pPr>
              <w:jc w:val="center"/>
              <w:rPr>
                <w:rFonts w:cs="Times New Roman"/>
                <w:bCs/>
                <w:szCs w:val="21"/>
              </w:rPr>
            </w:pPr>
            <w:r>
              <w:rPr>
                <w:rFonts w:cs="Times New Roman"/>
                <w:bCs/>
                <w:szCs w:val="21"/>
              </w:rPr>
              <w:t>3</w:t>
            </w:r>
            <w:r>
              <w:rPr>
                <w:rFonts w:cs="Times New Roman" w:hint="eastAsia"/>
                <w:bCs/>
                <w:szCs w:val="21"/>
              </w:rPr>
              <w:t>#</w:t>
            </w:r>
          </w:p>
        </w:tc>
        <w:tc>
          <w:tcPr>
            <w:tcW w:w="1060" w:type="pct"/>
            <w:vAlign w:val="center"/>
          </w:tcPr>
          <w:p w14:paraId="300CAAAE" w14:textId="77777777" w:rsidR="007D1E74" w:rsidRDefault="00A95641">
            <w:pPr>
              <w:jc w:val="center"/>
              <w:rPr>
                <w:rFonts w:cs="Times New Roman"/>
                <w:bCs/>
                <w:szCs w:val="21"/>
              </w:rPr>
            </w:pPr>
            <w:r>
              <w:rPr>
                <w:rFonts w:cs="Times New Roman"/>
                <w:bCs/>
                <w:szCs w:val="21"/>
              </w:rPr>
              <w:t>6</w:t>
            </w:r>
            <w:r>
              <w:rPr>
                <w:rFonts w:cs="Times New Roman" w:hint="eastAsia"/>
                <w:bCs/>
                <w:szCs w:val="21"/>
              </w:rPr>
              <w:t>#</w:t>
            </w:r>
          </w:p>
        </w:tc>
      </w:tr>
      <w:tr w:rsidR="007D1E74" w14:paraId="58203E27" w14:textId="77777777">
        <w:trPr>
          <w:trHeight w:val="70"/>
        </w:trPr>
        <w:tc>
          <w:tcPr>
            <w:tcW w:w="910" w:type="pct"/>
            <w:shd w:val="clear" w:color="auto" w:fill="auto"/>
            <w:vAlign w:val="center"/>
          </w:tcPr>
          <w:p w14:paraId="29A34E16" w14:textId="77777777" w:rsidR="007D1E74" w:rsidRDefault="00A95641">
            <w:pPr>
              <w:jc w:val="center"/>
              <w:rPr>
                <w:rFonts w:cs="Times New Roman"/>
                <w:bCs/>
                <w:szCs w:val="21"/>
              </w:rPr>
            </w:pPr>
            <w:r>
              <w:rPr>
                <w:rFonts w:cs="Times New Roman"/>
                <w:szCs w:val="21"/>
              </w:rPr>
              <w:t>pH</w:t>
            </w:r>
          </w:p>
        </w:tc>
        <w:tc>
          <w:tcPr>
            <w:tcW w:w="914" w:type="pct"/>
            <w:vAlign w:val="center"/>
          </w:tcPr>
          <w:p w14:paraId="78F75F5B" w14:textId="77777777" w:rsidR="007D1E74" w:rsidRDefault="00A95641">
            <w:pPr>
              <w:jc w:val="center"/>
              <w:rPr>
                <w:rFonts w:cs="Times New Roman"/>
                <w:bCs/>
                <w:szCs w:val="21"/>
              </w:rPr>
            </w:pPr>
            <w:r>
              <w:rPr>
                <w:rFonts w:cs="Times New Roman" w:hint="eastAsia"/>
                <w:szCs w:val="21"/>
              </w:rPr>
              <w:t>6</w:t>
            </w:r>
            <w:r>
              <w:rPr>
                <w:rFonts w:cs="Times New Roman"/>
                <w:szCs w:val="21"/>
              </w:rPr>
              <w:t>.5~8.5</w:t>
            </w:r>
          </w:p>
        </w:tc>
        <w:tc>
          <w:tcPr>
            <w:tcW w:w="1058" w:type="pct"/>
            <w:shd w:val="clear" w:color="auto" w:fill="auto"/>
            <w:vAlign w:val="center"/>
          </w:tcPr>
          <w:p w14:paraId="45121D32" w14:textId="77777777" w:rsidR="007D1E74" w:rsidRDefault="00A95641">
            <w:pPr>
              <w:jc w:val="center"/>
              <w:rPr>
                <w:rFonts w:cs="Times New Roman"/>
                <w:bCs/>
                <w:szCs w:val="21"/>
              </w:rPr>
            </w:pPr>
            <w:r>
              <w:rPr>
                <w:rFonts w:cs="Times New Roman"/>
                <w:bCs/>
                <w:szCs w:val="21"/>
              </w:rPr>
              <w:t>0.200</w:t>
            </w:r>
          </w:p>
        </w:tc>
        <w:tc>
          <w:tcPr>
            <w:tcW w:w="1058" w:type="pct"/>
            <w:vAlign w:val="center"/>
          </w:tcPr>
          <w:p w14:paraId="62F6D9CF" w14:textId="77777777" w:rsidR="007D1E74" w:rsidRDefault="00A95641">
            <w:pPr>
              <w:jc w:val="center"/>
              <w:rPr>
                <w:rFonts w:cs="Times New Roman"/>
                <w:bCs/>
                <w:szCs w:val="21"/>
              </w:rPr>
            </w:pPr>
            <w:r>
              <w:rPr>
                <w:rFonts w:cs="Times New Roman"/>
                <w:bCs/>
                <w:szCs w:val="21"/>
              </w:rPr>
              <w:t>0.133</w:t>
            </w:r>
          </w:p>
        </w:tc>
        <w:tc>
          <w:tcPr>
            <w:tcW w:w="1060" w:type="pct"/>
            <w:vAlign w:val="center"/>
          </w:tcPr>
          <w:p w14:paraId="330EC174" w14:textId="77777777" w:rsidR="007D1E74" w:rsidRDefault="00A95641">
            <w:pPr>
              <w:jc w:val="center"/>
              <w:rPr>
                <w:rFonts w:cs="Times New Roman"/>
                <w:bCs/>
                <w:szCs w:val="21"/>
              </w:rPr>
            </w:pPr>
            <w:r>
              <w:rPr>
                <w:rFonts w:cs="Times New Roman"/>
                <w:bCs/>
                <w:szCs w:val="21"/>
              </w:rPr>
              <w:t>0.267</w:t>
            </w:r>
          </w:p>
        </w:tc>
      </w:tr>
      <w:tr w:rsidR="007D1E74" w14:paraId="0B36C565" w14:textId="77777777">
        <w:trPr>
          <w:trHeight w:val="70"/>
        </w:trPr>
        <w:tc>
          <w:tcPr>
            <w:tcW w:w="910" w:type="pct"/>
            <w:shd w:val="clear" w:color="auto" w:fill="auto"/>
            <w:vAlign w:val="center"/>
          </w:tcPr>
          <w:p w14:paraId="67FD5527" w14:textId="77777777" w:rsidR="007D1E74" w:rsidRDefault="00A95641">
            <w:pPr>
              <w:jc w:val="center"/>
              <w:rPr>
                <w:rFonts w:cs="Times New Roman"/>
                <w:szCs w:val="21"/>
              </w:rPr>
            </w:pPr>
            <w:r>
              <w:rPr>
                <w:rFonts w:cs="Times New Roman"/>
                <w:szCs w:val="21"/>
              </w:rPr>
              <w:t>钠</w:t>
            </w:r>
          </w:p>
        </w:tc>
        <w:tc>
          <w:tcPr>
            <w:tcW w:w="914" w:type="pct"/>
          </w:tcPr>
          <w:p w14:paraId="7CB8A416" w14:textId="77777777" w:rsidR="007D1E74" w:rsidRDefault="00A95641">
            <w:pPr>
              <w:jc w:val="center"/>
              <w:rPr>
                <w:rFonts w:cs="Times New Roman"/>
                <w:szCs w:val="21"/>
              </w:rPr>
            </w:pPr>
            <w:r>
              <w:rPr>
                <w:rFonts w:cs="Times New Roman"/>
                <w:szCs w:val="21"/>
              </w:rPr>
              <w:t>200</w:t>
            </w:r>
          </w:p>
        </w:tc>
        <w:tc>
          <w:tcPr>
            <w:tcW w:w="1058" w:type="pct"/>
            <w:shd w:val="clear" w:color="auto" w:fill="auto"/>
            <w:vAlign w:val="center"/>
          </w:tcPr>
          <w:p w14:paraId="527BE7E9" w14:textId="77777777" w:rsidR="007D1E74" w:rsidRDefault="00A95641">
            <w:pPr>
              <w:jc w:val="center"/>
              <w:rPr>
                <w:rFonts w:cs="Times New Roman"/>
                <w:szCs w:val="21"/>
              </w:rPr>
            </w:pPr>
            <w:r>
              <w:rPr>
                <w:rFonts w:cs="Times New Roman" w:hint="eastAsia"/>
                <w:szCs w:val="21"/>
              </w:rPr>
              <w:t>0</w:t>
            </w:r>
            <w:r>
              <w:rPr>
                <w:rFonts w:cs="Times New Roman"/>
                <w:szCs w:val="21"/>
              </w:rPr>
              <w:t>.081</w:t>
            </w:r>
          </w:p>
        </w:tc>
        <w:tc>
          <w:tcPr>
            <w:tcW w:w="1058" w:type="pct"/>
            <w:vAlign w:val="center"/>
          </w:tcPr>
          <w:p w14:paraId="767CC2AA" w14:textId="77777777" w:rsidR="007D1E74" w:rsidRDefault="00A95641">
            <w:pPr>
              <w:jc w:val="center"/>
              <w:rPr>
                <w:rFonts w:cs="Times New Roman"/>
                <w:szCs w:val="21"/>
              </w:rPr>
            </w:pPr>
            <w:r>
              <w:rPr>
                <w:rFonts w:cs="Times New Roman"/>
                <w:szCs w:val="21"/>
              </w:rPr>
              <w:t>0.032</w:t>
            </w:r>
          </w:p>
        </w:tc>
        <w:tc>
          <w:tcPr>
            <w:tcW w:w="1060" w:type="pct"/>
            <w:vAlign w:val="center"/>
          </w:tcPr>
          <w:p w14:paraId="2B44D89D" w14:textId="77777777" w:rsidR="007D1E74" w:rsidRDefault="00A95641">
            <w:pPr>
              <w:jc w:val="center"/>
              <w:rPr>
                <w:rFonts w:cs="Times New Roman"/>
                <w:szCs w:val="21"/>
              </w:rPr>
            </w:pPr>
            <w:r>
              <w:rPr>
                <w:rFonts w:cs="Times New Roman"/>
                <w:szCs w:val="21"/>
              </w:rPr>
              <w:t>0.069</w:t>
            </w:r>
          </w:p>
        </w:tc>
      </w:tr>
      <w:tr w:rsidR="007D1E74" w14:paraId="7FB10DF5" w14:textId="77777777">
        <w:trPr>
          <w:trHeight w:val="70"/>
        </w:trPr>
        <w:tc>
          <w:tcPr>
            <w:tcW w:w="910" w:type="pct"/>
            <w:shd w:val="clear" w:color="auto" w:fill="auto"/>
            <w:vAlign w:val="center"/>
          </w:tcPr>
          <w:p w14:paraId="4F3F7CAC" w14:textId="77777777" w:rsidR="007D1E74" w:rsidRDefault="00A95641">
            <w:pPr>
              <w:jc w:val="center"/>
              <w:rPr>
                <w:rFonts w:cs="Times New Roman"/>
                <w:szCs w:val="21"/>
              </w:rPr>
            </w:pPr>
            <w:r>
              <w:rPr>
                <w:rFonts w:cs="Times New Roman"/>
                <w:szCs w:val="21"/>
              </w:rPr>
              <w:t>氯化物</w:t>
            </w:r>
          </w:p>
        </w:tc>
        <w:tc>
          <w:tcPr>
            <w:tcW w:w="914" w:type="pct"/>
            <w:vAlign w:val="center"/>
          </w:tcPr>
          <w:p w14:paraId="519EA92D" w14:textId="77777777" w:rsidR="007D1E74" w:rsidRDefault="00A95641">
            <w:pPr>
              <w:jc w:val="center"/>
            </w:pPr>
            <w:r>
              <w:rPr>
                <w:rFonts w:cs="Times New Roman"/>
                <w:szCs w:val="21"/>
              </w:rPr>
              <w:t>250</w:t>
            </w:r>
          </w:p>
        </w:tc>
        <w:tc>
          <w:tcPr>
            <w:tcW w:w="1058" w:type="pct"/>
            <w:shd w:val="clear" w:color="auto" w:fill="auto"/>
            <w:vAlign w:val="center"/>
          </w:tcPr>
          <w:p w14:paraId="4ECD0341" w14:textId="77777777" w:rsidR="007D1E74" w:rsidRDefault="00A95641">
            <w:pPr>
              <w:jc w:val="center"/>
              <w:rPr>
                <w:rFonts w:cs="Times New Roman"/>
                <w:szCs w:val="21"/>
              </w:rPr>
            </w:pPr>
            <w:r>
              <w:rPr>
                <w:rFonts w:cs="Times New Roman" w:hint="eastAsia"/>
                <w:szCs w:val="21"/>
              </w:rPr>
              <w:t>0</w:t>
            </w:r>
            <w:r>
              <w:rPr>
                <w:rFonts w:cs="Times New Roman"/>
                <w:szCs w:val="21"/>
              </w:rPr>
              <w:t>.030</w:t>
            </w:r>
          </w:p>
        </w:tc>
        <w:tc>
          <w:tcPr>
            <w:tcW w:w="1058" w:type="pct"/>
            <w:vAlign w:val="center"/>
          </w:tcPr>
          <w:p w14:paraId="2A02C1A3" w14:textId="77777777" w:rsidR="007D1E74" w:rsidRDefault="00A95641">
            <w:pPr>
              <w:jc w:val="center"/>
              <w:rPr>
                <w:rFonts w:cs="Times New Roman"/>
                <w:szCs w:val="21"/>
              </w:rPr>
            </w:pPr>
            <w:r>
              <w:rPr>
                <w:rFonts w:cs="Times New Roman" w:hint="eastAsia"/>
                <w:szCs w:val="21"/>
              </w:rPr>
              <w:t>0</w:t>
            </w:r>
            <w:r>
              <w:rPr>
                <w:rFonts w:cs="Times New Roman"/>
                <w:szCs w:val="21"/>
              </w:rPr>
              <w:t>.006</w:t>
            </w:r>
          </w:p>
        </w:tc>
        <w:tc>
          <w:tcPr>
            <w:tcW w:w="1060" w:type="pct"/>
            <w:vAlign w:val="center"/>
          </w:tcPr>
          <w:p w14:paraId="46CB48B4" w14:textId="77777777" w:rsidR="007D1E74" w:rsidRDefault="00A95641">
            <w:pPr>
              <w:jc w:val="center"/>
              <w:rPr>
                <w:rFonts w:cs="Times New Roman"/>
                <w:szCs w:val="21"/>
              </w:rPr>
            </w:pPr>
            <w:r>
              <w:rPr>
                <w:rFonts w:cs="Times New Roman" w:hint="eastAsia"/>
                <w:szCs w:val="21"/>
              </w:rPr>
              <w:t>0</w:t>
            </w:r>
            <w:r>
              <w:rPr>
                <w:rFonts w:cs="Times New Roman"/>
                <w:szCs w:val="21"/>
              </w:rPr>
              <w:t>.112</w:t>
            </w:r>
          </w:p>
        </w:tc>
      </w:tr>
      <w:tr w:rsidR="007D1E74" w14:paraId="2C2627A0" w14:textId="77777777">
        <w:trPr>
          <w:trHeight w:val="70"/>
        </w:trPr>
        <w:tc>
          <w:tcPr>
            <w:tcW w:w="910" w:type="pct"/>
            <w:shd w:val="clear" w:color="auto" w:fill="auto"/>
            <w:vAlign w:val="center"/>
          </w:tcPr>
          <w:p w14:paraId="467177C6" w14:textId="77777777" w:rsidR="007D1E74" w:rsidRDefault="00A95641">
            <w:pPr>
              <w:jc w:val="center"/>
              <w:rPr>
                <w:rFonts w:cs="Times New Roman"/>
                <w:szCs w:val="21"/>
              </w:rPr>
            </w:pPr>
            <w:r>
              <w:rPr>
                <w:rFonts w:cs="Times New Roman" w:hint="eastAsia"/>
                <w:szCs w:val="21"/>
              </w:rPr>
              <w:t>硫酸盐</w:t>
            </w:r>
          </w:p>
        </w:tc>
        <w:tc>
          <w:tcPr>
            <w:tcW w:w="914" w:type="pct"/>
            <w:vAlign w:val="center"/>
          </w:tcPr>
          <w:p w14:paraId="0A0CC5DE" w14:textId="77777777" w:rsidR="007D1E74" w:rsidRDefault="00A95641">
            <w:pPr>
              <w:jc w:val="center"/>
            </w:pPr>
            <w:r>
              <w:rPr>
                <w:rFonts w:cs="Times New Roman"/>
                <w:szCs w:val="21"/>
              </w:rPr>
              <w:t>250</w:t>
            </w:r>
          </w:p>
        </w:tc>
        <w:tc>
          <w:tcPr>
            <w:tcW w:w="1058" w:type="pct"/>
            <w:shd w:val="clear" w:color="auto" w:fill="auto"/>
            <w:vAlign w:val="center"/>
          </w:tcPr>
          <w:p w14:paraId="270F8E72" w14:textId="77777777" w:rsidR="007D1E74" w:rsidRDefault="00A95641">
            <w:pPr>
              <w:jc w:val="center"/>
              <w:rPr>
                <w:rFonts w:cs="Times New Roman"/>
                <w:szCs w:val="21"/>
              </w:rPr>
            </w:pPr>
            <w:r>
              <w:rPr>
                <w:rFonts w:cs="Times New Roman" w:hint="eastAsia"/>
                <w:szCs w:val="21"/>
              </w:rPr>
              <w:t>0</w:t>
            </w:r>
            <w:r>
              <w:rPr>
                <w:rFonts w:cs="Times New Roman"/>
                <w:szCs w:val="21"/>
              </w:rPr>
              <w:t>.041</w:t>
            </w:r>
          </w:p>
        </w:tc>
        <w:tc>
          <w:tcPr>
            <w:tcW w:w="1058" w:type="pct"/>
            <w:vAlign w:val="center"/>
          </w:tcPr>
          <w:p w14:paraId="1AD8791E" w14:textId="77777777" w:rsidR="007D1E74" w:rsidRDefault="00A95641">
            <w:pPr>
              <w:jc w:val="center"/>
              <w:rPr>
                <w:rFonts w:cs="Times New Roman"/>
                <w:szCs w:val="21"/>
              </w:rPr>
            </w:pPr>
            <w:r>
              <w:rPr>
                <w:rFonts w:cs="Times New Roman" w:hint="eastAsia"/>
                <w:szCs w:val="21"/>
              </w:rPr>
              <w:t>0</w:t>
            </w:r>
            <w:r>
              <w:rPr>
                <w:rFonts w:cs="Times New Roman"/>
                <w:szCs w:val="21"/>
              </w:rPr>
              <w:t>.072</w:t>
            </w:r>
          </w:p>
        </w:tc>
        <w:tc>
          <w:tcPr>
            <w:tcW w:w="1060" w:type="pct"/>
            <w:vAlign w:val="center"/>
          </w:tcPr>
          <w:p w14:paraId="7DAB353C" w14:textId="77777777" w:rsidR="007D1E74" w:rsidRDefault="00A95641">
            <w:pPr>
              <w:jc w:val="center"/>
              <w:rPr>
                <w:rFonts w:cs="Times New Roman"/>
                <w:szCs w:val="21"/>
              </w:rPr>
            </w:pPr>
            <w:r>
              <w:rPr>
                <w:rFonts w:cs="Times New Roman" w:hint="eastAsia"/>
                <w:szCs w:val="21"/>
              </w:rPr>
              <w:t>0</w:t>
            </w:r>
            <w:r>
              <w:rPr>
                <w:rFonts w:cs="Times New Roman"/>
                <w:szCs w:val="21"/>
              </w:rPr>
              <w:t>.055</w:t>
            </w:r>
          </w:p>
        </w:tc>
      </w:tr>
      <w:tr w:rsidR="007D1E74" w14:paraId="10DB41F7" w14:textId="77777777">
        <w:trPr>
          <w:trHeight w:val="70"/>
        </w:trPr>
        <w:tc>
          <w:tcPr>
            <w:tcW w:w="910" w:type="pct"/>
            <w:shd w:val="clear" w:color="auto" w:fill="auto"/>
            <w:vAlign w:val="center"/>
          </w:tcPr>
          <w:p w14:paraId="4ECADD19" w14:textId="77777777" w:rsidR="007D1E74" w:rsidRDefault="00A95641">
            <w:pPr>
              <w:jc w:val="center"/>
              <w:rPr>
                <w:rFonts w:cs="Times New Roman"/>
                <w:szCs w:val="21"/>
              </w:rPr>
            </w:pPr>
            <w:r>
              <w:rPr>
                <w:rFonts w:cs="Times New Roman" w:hint="eastAsia"/>
                <w:szCs w:val="21"/>
              </w:rPr>
              <w:t>氟化物</w:t>
            </w:r>
          </w:p>
        </w:tc>
        <w:tc>
          <w:tcPr>
            <w:tcW w:w="914" w:type="pct"/>
            <w:vAlign w:val="center"/>
          </w:tcPr>
          <w:p w14:paraId="5790D5DB" w14:textId="77777777" w:rsidR="007D1E74" w:rsidRDefault="00A95641">
            <w:pPr>
              <w:jc w:val="center"/>
            </w:pPr>
            <w:r>
              <w:rPr>
                <w:rFonts w:cs="Times New Roman"/>
                <w:szCs w:val="21"/>
              </w:rPr>
              <w:t>1.0</w:t>
            </w:r>
          </w:p>
        </w:tc>
        <w:tc>
          <w:tcPr>
            <w:tcW w:w="1058" w:type="pct"/>
            <w:shd w:val="clear" w:color="auto" w:fill="auto"/>
            <w:vAlign w:val="center"/>
          </w:tcPr>
          <w:p w14:paraId="6A69213A" w14:textId="77777777" w:rsidR="007D1E74" w:rsidRDefault="00A95641">
            <w:pPr>
              <w:jc w:val="center"/>
              <w:rPr>
                <w:rFonts w:cs="Times New Roman"/>
                <w:szCs w:val="21"/>
              </w:rPr>
            </w:pPr>
            <w:r>
              <w:rPr>
                <w:rFonts w:cs="Times New Roman" w:hint="eastAsia"/>
                <w:szCs w:val="21"/>
              </w:rPr>
              <w:t>0</w:t>
            </w:r>
            <w:r>
              <w:rPr>
                <w:rFonts w:cs="Times New Roman"/>
                <w:szCs w:val="21"/>
              </w:rPr>
              <w:t>.259</w:t>
            </w:r>
          </w:p>
        </w:tc>
        <w:tc>
          <w:tcPr>
            <w:tcW w:w="1058" w:type="pct"/>
            <w:vAlign w:val="center"/>
          </w:tcPr>
          <w:p w14:paraId="5E2C92C6" w14:textId="77777777" w:rsidR="007D1E74" w:rsidRDefault="00A95641">
            <w:pPr>
              <w:jc w:val="center"/>
              <w:rPr>
                <w:rFonts w:cs="Times New Roman"/>
                <w:szCs w:val="21"/>
              </w:rPr>
            </w:pPr>
            <w:r>
              <w:rPr>
                <w:rFonts w:cs="Times New Roman" w:hint="eastAsia"/>
                <w:szCs w:val="21"/>
              </w:rPr>
              <w:t>0</w:t>
            </w:r>
            <w:r>
              <w:rPr>
                <w:rFonts w:cs="Times New Roman"/>
                <w:szCs w:val="21"/>
              </w:rPr>
              <w:t>.152</w:t>
            </w:r>
          </w:p>
        </w:tc>
        <w:tc>
          <w:tcPr>
            <w:tcW w:w="1060" w:type="pct"/>
            <w:vAlign w:val="center"/>
          </w:tcPr>
          <w:p w14:paraId="6F079490" w14:textId="77777777" w:rsidR="007D1E74" w:rsidRDefault="00A95641">
            <w:pPr>
              <w:jc w:val="center"/>
              <w:rPr>
                <w:rFonts w:cs="Times New Roman"/>
                <w:szCs w:val="21"/>
              </w:rPr>
            </w:pPr>
            <w:r>
              <w:rPr>
                <w:rFonts w:cs="Times New Roman" w:hint="eastAsia"/>
                <w:szCs w:val="21"/>
              </w:rPr>
              <w:t>0</w:t>
            </w:r>
            <w:r>
              <w:rPr>
                <w:rFonts w:cs="Times New Roman"/>
                <w:szCs w:val="21"/>
              </w:rPr>
              <w:t>.077</w:t>
            </w:r>
          </w:p>
        </w:tc>
      </w:tr>
      <w:tr w:rsidR="007D1E74" w14:paraId="7D6AEE58" w14:textId="77777777">
        <w:trPr>
          <w:trHeight w:val="70"/>
        </w:trPr>
        <w:tc>
          <w:tcPr>
            <w:tcW w:w="910" w:type="pct"/>
            <w:shd w:val="clear" w:color="auto" w:fill="auto"/>
            <w:vAlign w:val="center"/>
          </w:tcPr>
          <w:p w14:paraId="467E58B4" w14:textId="77777777" w:rsidR="007D1E74" w:rsidRDefault="00A95641">
            <w:pPr>
              <w:jc w:val="center"/>
              <w:rPr>
                <w:rFonts w:cs="Times New Roman"/>
                <w:szCs w:val="21"/>
              </w:rPr>
            </w:pPr>
            <w:r>
              <w:rPr>
                <w:rFonts w:cs="Times New Roman" w:hint="eastAsia"/>
                <w:szCs w:val="21"/>
              </w:rPr>
              <w:t>氨氮</w:t>
            </w:r>
          </w:p>
        </w:tc>
        <w:tc>
          <w:tcPr>
            <w:tcW w:w="914" w:type="pct"/>
            <w:vAlign w:val="center"/>
          </w:tcPr>
          <w:p w14:paraId="781DBF2A" w14:textId="77777777" w:rsidR="007D1E74" w:rsidRDefault="00A95641">
            <w:pPr>
              <w:jc w:val="center"/>
              <w:rPr>
                <w:rFonts w:cs="Times New Roman"/>
                <w:szCs w:val="21"/>
              </w:rPr>
            </w:pPr>
            <w:r>
              <w:rPr>
                <w:rFonts w:cs="Times New Roman"/>
                <w:szCs w:val="21"/>
              </w:rPr>
              <w:t>0.50</w:t>
            </w:r>
          </w:p>
        </w:tc>
        <w:tc>
          <w:tcPr>
            <w:tcW w:w="1058" w:type="pct"/>
            <w:shd w:val="clear" w:color="auto" w:fill="auto"/>
            <w:vAlign w:val="center"/>
          </w:tcPr>
          <w:p w14:paraId="283B9CEE" w14:textId="77777777" w:rsidR="007D1E74" w:rsidRDefault="00A95641">
            <w:pPr>
              <w:jc w:val="center"/>
              <w:rPr>
                <w:rFonts w:cs="Times New Roman"/>
                <w:szCs w:val="21"/>
              </w:rPr>
            </w:pPr>
            <w:r>
              <w:rPr>
                <w:rFonts w:cs="Times New Roman" w:hint="eastAsia"/>
                <w:szCs w:val="21"/>
              </w:rPr>
              <w:t>0</w:t>
            </w:r>
            <w:r>
              <w:rPr>
                <w:rFonts w:cs="Times New Roman"/>
                <w:szCs w:val="21"/>
              </w:rPr>
              <w:t>.316</w:t>
            </w:r>
          </w:p>
        </w:tc>
        <w:tc>
          <w:tcPr>
            <w:tcW w:w="1058" w:type="pct"/>
            <w:vAlign w:val="center"/>
          </w:tcPr>
          <w:p w14:paraId="120014E1" w14:textId="77777777" w:rsidR="007D1E74" w:rsidRDefault="00A95641">
            <w:pPr>
              <w:jc w:val="center"/>
              <w:rPr>
                <w:rFonts w:cs="Times New Roman"/>
                <w:szCs w:val="21"/>
              </w:rPr>
            </w:pPr>
            <w:r>
              <w:rPr>
                <w:rFonts w:cs="Times New Roman" w:hint="eastAsia"/>
                <w:szCs w:val="21"/>
              </w:rPr>
              <w:t>0</w:t>
            </w:r>
            <w:r>
              <w:rPr>
                <w:rFonts w:cs="Times New Roman"/>
                <w:szCs w:val="21"/>
              </w:rPr>
              <w:t>.142</w:t>
            </w:r>
          </w:p>
        </w:tc>
        <w:tc>
          <w:tcPr>
            <w:tcW w:w="1060" w:type="pct"/>
            <w:vAlign w:val="center"/>
          </w:tcPr>
          <w:p w14:paraId="282DBAFB" w14:textId="77777777" w:rsidR="007D1E74" w:rsidRDefault="00A95641">
            <w:pPr>
              <w:jc w:val="center"/>
              <w:rPr>
                <w:rFonts w:cs="Times New Roman"/>
                <w:szCs w:val="21"/>
              </w:rPr>
            </w:pPr>
            <w:r>
              <w:rPr>
                <w:rFonts w:cs="Times New Roman" w:hint="eastAsia"/>
                <w:szCs w:val="21"/>
              </w:rPr>
              <w:t>0</w:t>
            </w:r>
            <w:r>
              <w:rPr>
                <w:rFonts w:cs="Times New Roman"/>
                <w:szCs w:val="21"/>
              </w:rPr>
              <w:t>.264</w:t>
            </w:r>
          </w:p>
        </w:tc>
      </w:tr>
      <w:tr w:rsidR="007D1E74" w14:paraId="3F204195" w14:textId="77777777">
        <w:trPr>
          <w:trHeight w:val="70"/>
        </w:trPr>
        <w:tc>
          <w:tcPr>
            <w:tcW w:w="910" w:type="pct"/>
            <w:shd w:val="clear" w:color="auto" w:fill="auto"/>
            <w:vAlign w:val="center"/>
          </w:tcPr>
          <w:p w14:paraId="0A46AAE5" w14:textId="77777777" w:rsidR="007D1E74" w:rsidRDefault="00A95641">
            <w:pPr>
              <w:jc w:val="center"/>
              <w:rPr>
                <w:rFonts w:cs="Times New Roman"/>
                <w:szCs w:val="21"/>
              </w:rPr>
            </w:pPr>
            <w:r>
              <w:rPr>
                <w:rFonts w:cs="Times New Roman" w:hint="eastAsia"/>
                <w:szCs w:val="21"/>
              </w:rPr>
              <w:t>硝酸盐</w:t>
            </w:r>
          </w:p>
        </w:tc>
        <w:tc>
          <w:tcPr>
            <w:tcW w:w="914" w:type="pct"/>
            <w:vAlign w:val="center"/>
          </w:tcPr>
          <w:p w14:paraId="5416CFA8" w14:textId="77777777" w:rsidR="007D1E74" w:rsidRDefault="00A95641">
            <w:pPr>
              <w:jc w:val="center"/>
              <w:rPr>
                <w:rFonts w:cs="Times New Roman"/>
                <w:szCs w:val="21"/>
              </w:rPr>
            </w:pPr>
            <w:r>
              <w:rPr>
                <w:rFonts w:cs="Times New Roman"/>
                <w:szCs w:val="21"/>
              </w:rPr>
              <w:t>20.0</w:t>
            </w:r>
          </w:p>
        </w:tc>
        <w:tc>
          <w:tcPr>
            <w:tcW w:w="1058" w:type="pct"/>
            <w:shd w:val="clear" w:color="auto" w:fill="auto"/>
            <w:vAlign w:val="center"/>
          </w:tcPr>
          <w:p w14:paraId="0A295047" w14:textId="77777777" w:rsidR="007D1E74" w:rsidRDefault="00A95641">
            <w:pPr>
              <w:jc w:val="center"/>
              <w:rPr>
                <w:rFonts w:cs="Times New Roman"/>
                <w:szCs w:val="21"/>
              </w:rPr>
            </w:pPr>
            <w:r>
              <w:rPr>
                <w:rFonts w:cs="Times New Roman" w:hint="eastAsia"/>
                <w:szCs w:val="21"/>
              </w:rPr>
              <w:t>0</w:t>
            </w:r>
            <w:r>
              <w:rPr>
                <w:rFonts w:cs="Times New Roman"/>
                <w:szCs w:val="21"/>
              </w:rPr>
              <w:t>.014</w:t>
            </w:r>
          </w:p>
        </w:tc>
        <w:tc>
          <w:tcPr>
            <w:tcW w:w="1058" w:type="pct"/>
            <w:vAlign w:val="center"/>
          </w:tcPr>
          <w:p w14:paraId="6DF96B03" w14:textId="77777777" w:rsidR="007D1E74" w:rsidRDefault="00A95641">
            <w:pPr>
              <w:jc w:val="center"/>
              <w:rPr>
                <w:rFonts w:cs="Times New Roman"/>
                <w:szCs w:val="21"/>
              </w:rPr>
            </w:pPr>
            <w:r>
              <w:rPr>
                <w:rFonts w:cs="Times New Roman" w:hint="eastAsia"/>
                <w:szCs w:val="21"/>
              </w:rPr>
              <w:t>0</w:t>
            </w:r>
            <w:r>
              <w:rPr>
                <w:rFonts w:cs="Times New Roman"/>
                <w:szCs w:val="21"/>
              </w:rPr>
              <w:t>.021</w:t>
            </w:r>
          </w:p>
        </w:tc>
        <w:tc>
          <w:tcPr>
            <w:tcW w:w="1060" w:type="pct"/>
            <w:vAlign w:val="center"/>
          </w:tcPr>
          <w:p w14:paraId="148B4D46" w14:textId="77777777" w:rsidR="007D1E74" w:rsidRDefault="00A95641">
            <w:pPr>
              <w:jc w:val="center"/>
              <w:rPr>
                <w:rFonts w:cs="Times New Roman"/>
                <w:szCs w:val="21"/>
              </w:rPr>
            </w:pPr>
            <w:r>
              <w:rPr>
                <w:rFonts w:cs="Times New Roman" w:hint="eastAsia"/>
                <w:szCs w:val="21"/>
              </w:rPr>
              <w:t>0</w:t>
            </w:r>
            <w:r>
              <w:rPr>
                <w:rFonts w:cs="Times New Roman"/>
                <w:szCs w:val="21"/>
              </w:rPr>
              <w:t>.075</w:t>
            </w:r>
          </w:p>
        </w:tc>
      </w:tr>
      <w:tr w:rsidR="007D1E74" w14:paraId="0B28D0B7" w14:textId="77777777">
        <w:trPr>
          <w:trHeight w:val="70"/>
        </w:trPr>
        <w:tc>
          <w:tcPr>
            <w:tcW w:w="910" w:type="pct"/>
            <w:shd w:val="clear" w:color="auto" w:fill="auto"/>
            <w:vAlign w:val="center"/>
          </w:tcPr>
          <w:p w14:paraId="5380D216" w14:textId="77777777" w:rsidR="007D1E74" w:rsidRDefault="00A95641">
            <w:pPr>
              <w:jc w:val="center"/>
              <w:rPr>
                <w:rFonts w:cs="Times New Roman"/>
                <w:szCs w:val="21"/>
              </w:rPr>
            </w:pPr>
            <w:r>
              <w:rPr>
                <w:rFonts w:cs="Times New Roman" w:hint="eastAsia"/>
                <w:szCs w:val="21"/>
              </w:rPr>
              <w:t>亚硝酸盐</w:t>
            </w:r>
          </w:p>
        </w:tc>
        <w:tc>
          <w:tcPr>
            <w:tcW w:w="914" w:type="pct"/>
            <w:vAlign w:val="center"/>
          </w:tcPr>
          <w:p w14:paraId="1008717C" w14:textId="77777777" w:rsidR="007D1E74" w:rsidRDefault="00A95641">
            <w:pPr>
              <w:jc w:val="center"/>
              <w:rPr>
                <w:rFonts w:cs="Times New Roman"/>
                <w:szCs w:val="21"/>
              </w:rPr>
            </w:pPr>
            <w:r>
              <w:rPr>
                <w:rFonts w:cs="Times New Roman"/>
                <w:szCs w:val="21"/>
              </w:rPr>
              <w:t>1.00</w:t>
            </w:r>
          </w:p>
        </w:tc>
        <w:tc>
          <w:tcPr>
            <w:tcW w:w="1058" w:type="pct"/>
            <w:shd w:val="clear" w:color="auto" w:fill="auto"/>
          </w:tcPr>
          <w:p w14:paraId="2EF64D35" w14:textId="77777777" w:rsidR="007D1E74" w:rsidRDefault="00A95641">
            <w:pPr>
              <w:jc w:val="center"/>
              <w:rPr>
                <w:rFonts w:cs="Times New Roman"/>
                <w:szCs w:val="21"/>
              </w:rPr>
            </w:pPr>
            <w:r>
              <w:rPr>
                <w:rFonts w:cs="Times New Roman" w:hint="eastAsia"/>
                <w:szCs w:val="21"/>
              </w:rPr>
              <w:t>/</w:t>
            </w:r>
          </w:p>
        </w:tc>
        <w:tc>
          <w:tcPr>
            <w:tcW w:w="1058" w:type="pct"/>
          </w:tcPr>
          <w:p w14:paraId="39FCB5B5" w14:textId="77777777" w:rsidR="007D1E74" w:rsidRDefault="00A95641">
            <w:pPr>
              <w:jc w:val="center"/>
              <w:rPr>
                <w:rFonts w:cs="Times New Roman"/>
                <w:szCs w:val="21"/>
              </w:rPr>
            </w:pPr>
            <w:r>
              <w:rPr>
                <w:rFonts w:cs="Times New Roman" w:hint="eastAsia"/>
                <w:szCs w:val="21"/>
              </w:rPr>
              <w:t>/</w:t>
            </w:r>
          </w:p>
        </w:tc>
        <w:tc>
          <w:tcPr>
            <w:tcW w:w="1060" w:type="pct"/>
          </w:tcPr>
          <w:p w14:paraId="2ED3B739" w14:textId="77777777" w:rsidR="007D1E74" w:rsidRDefault="00A95641">
            <w:pPr>
              <w:jc w:val="center"/>
              <w:rPr>
                <w:rFonts w:cs="Times New Roman"/>
                <w:szCs w:val="21"/>
              </w:rPr>
            </w:pPr>
            <w:r>
              <w:rPr>
                <w:rFonts w:cs="Times New Roman" w:hint="eastAsia"/>
                <w:szCs w:val="21"/>
              </w:rPr>
              <w:t>/</w:t>
            </w:r>
          </w:p>
        </w:tc>
      </w:tr>
      <w:tr w:rsidR="007D1E74" w14:paraId="7BD9CA8B" w14:textId="77777777">
        <w:trPr>
          <w:trHeight w:val="70"/>
        </w:trPr>
        <w:tc>
          <w:tcPr>
            <w:tcW w:w="910" w:type="pct"/>
            <w:shd w:val="clear" w:color="auto" w:fill="auto"/>
            <w:vAlign w:val="center"/>
          </w:tcPr>
          <w:p w14:paraId="37DBA923" w14:textId="77777777" w:rsidR="007D1E74" w:rsidRDefault="00A95641">
            <w:pPr>
              <w:jc w:val="center"/>
              <w:rPr>
                <w:rFonts w:cs="Times New Roman"/>
                <w:szCs w:val="21"/>
              </w:rPr>
            </w:pPr>
            <w:r>
              <w:rPr>
                <w:rFonts w:cs="Times New Roman" w:hint="eastAsia"/>
                <w:szCs w:val="21"/>
              </w:rPr>
              <w:t>挥发酚</w:t>
            </w:r>
          </w:p>
        </w:tc>
        <w:tc>
          <w:tcPr>
            <w:tcW w:w="914" w:type="pct"/>
            <w:vAlign w:val="center"/>
          </w:tcPr>
          <w:p w14:paraId="00F48773" w14:textId="77777777" w:rsidR="007D1E74" w:rsidRDefault="00A95641">
            <w:pPr>
              <w:jc w:val="center"/>
              <w:rPr>
                <w:rFonts w:cs="Times New Roman"/>
                <w:szCs w:val="21"/>
              </w:rPr>
            </w:pPr>
            <w:r>
              <w:rPr>
                <w:rFonts w:cs="Times New Roman"/>
                <w:szCs w:val="21"/>
              </w:rPr>
              <w:t>0.002</w:t>
            </w:r>
          </w:p>
        </w:tc>
        <w:tc>
          <w:tcPr>
            <w:tcW w:w="1058" w:type="pct"/>
            <w:shd w:val="clear" w:color="auto" w:fill="auto"/>
          </w:tcPr>
          <w:p w14:paraId="3FFCF130" w14:textId="77777777" w:rsidR="007D1E74" w:rsidRDefault="00A95641">
            <w:pPr>
              <w:jc w:val="center"/>
              <w:rPr>
                <w:rFonts w:cs="Times New Roman"/>
                <w:szCs w:val="21"/>
              </w:rPr>
            </w:pPr>
            <w:r>
              <w:rPr>
                <w:rFonts w:cs="Times New Roman" w:hint="eastAsia"/>
                <w:szCs w:val="21"/>
              </w:rPr>
              <w:t>0</w:t>
            </w:r>
            <w:r>
              <w:rPr>
                <w:rFonts w:cs="Times New Roman"/>
                <w:szCs w:val="21"/>
              </w:rPr>
              <w:t>.300</w:t>
            </w:r>
          </w:p>
        </w:tc>
        <w:tc>
          <w:tcPr>
            <w:tcW w:w="1058" w:type="pct"/>
          </w:tcPr>
          <w:p w14:paraId="65BD90EF" w14:textId="77777777" w:rsidR="007D1E74" w:rsidRDefault="00A95641">
            <w:pPr>
              <w:jc w:val="center"/>
              <w:rPr>
                <w:rFonts w:cs="Times New Roman"/>
                <w:szCs w:val="21"/>
              </w:rPr>
            </w:pPr>
            <w:r>
              <w:rPr>
                <w:rFonts w:cs="Times New Roman" w:hint="eastAsia"/>
                <w:szCs w:val="21"/>
              </w:rPr>
              <w:t>0</w:t>
            </w:r>
            <w:r>
              <w:rPr>
                <w:rFonts w:cs="Times New Roman"/>
                <w:szCs w:val="21"/>
              </w:rPr>
              <w:t>.250</w:t>
            </w:r>
          </w:p>
        </w:tc>
        <w:tc>
          <w:tcPr>
            <w:tcW w:w="1060" w:type="pct"/>
          </w:tcPr>
          <w:p w14:paraId="346E059B" w14:textId="77777777" w:rsidR="007D1E74" w:rsidRDefault="00A95641">
            <w:pPr>
              <w:jc w:val="center"/>
              <w:rPr>
                <w:rFonts w:cs="Times New Roman"/>
                <w:szCs w:val="21"/>
              </w:rPr>
            </w:pPr>
            <w:r>
              <w:rPr>
                <w:rFonts w:cs="Times New Roman" w:hint="eastAsia"/>
                <w:szCs w:val="21"/>
              </w:rPr>
              <w:t>0</w:t>
            </w:r>
            <w:r>
              <w:rPr>
                <w:rFonts w:cs="Times New Roman"/>
                <w:szCs w:val="21"/>
              </w:rPr>
              <w:t>.350</w:t>
            </w:r>
          </w:p>
        </w:tc>
      </w:tr>
      <w:tr w:rsidR="007D1E74" w14:paraId="7F2DF9C4" w14:textId="77777777">
        <w:trPr>
          <w:trHeight w:val="70"/>
        </w:trPr>
        <w:tc>
          <w:tcPr>
            <w:tcW w:w="910" w:type="pct"/>
            <w:shd w:val="clear" w:color="auto" w:fill="auto"/>
            <w:vAlign w:val="center"/>
          </w:tcPr>
          <w:p w14:paraId="6D3C4263" w14:textId="77777777" w:rsidR="007D1E74" w:rsidRDefault="00A95641">
            <w:pPr>
              <w:jc w:val="center"/>
              <w:rPr>
                <w:rFonts w:cs="Times New Roman"/>
                <w:szCs w:val="21"/>
              </w:rPr>
            </w:pPr>
            <w:r>
              <w:rPr>
                <w:rFonts w:cs="Times New Roman" w:hint="eastAsia"/>
                <w:szCs w:val="21"/>
              </w:rPr>
              <w:t>氰化物</w:t>
            </w:r>
          </w:p>
        </w:tc>
        <w:tc>
          <w:tcPr>
            <w:tcW w:w="914" w:type="pct"/>
            <w:vAlign w:val="center"/>
          </w:tcPr>
          <w:p w14:paraId="3BCBAE9A" w14:textId="77777777" w:rsidR="007D1E74" w:rsidRDefault="00A95641">
            <w:pPr>
              <w:jc w:val="center"/>
              <w:rPr>
                <w:rFonts w:cs="Times New Roman"/>
                <w:bCs/>
                <w:szCs w:val="21"/>
              </w:rPr>
            </w:pPr>
            <w:r>
              <w:rPr>
                <w:rFonts w:cs="Times New Roman"/>
                <w:szCs w:val="21"/>
              </w:rPr>
              <w:t>0.05</w:t>
            </w:r>
          </w:p>
        </w:tc>
        <w:tc>
          <w:tcPr>
            <w:tcW w:w="1058" w:type="pct"/>
            <w:shd w:val="clear" w:color="auto" w:fill="auto"/>
          </w:tcPr>
          <w:p w14:paraId="0FF60D4F" w14:textId="77777777" w:rsidR="007D1E74" w:rsidRDefault="00A95641">
            <w:pPr>
              <w:jc w:val="center"/>
              <w:rPr>
                <w:rFonts w:cs="Times New Roman"/>
                <w:szCs w:val="21"/>
              </w:rPr>
            </w:pPr>
            <w:r>
              <w:rPr>
                <w:rFonts w:cs="Times New Roman" w:hint="eastAsia"/>
                <w:szCs w:val="21"/>
              </w:rPr>
              <w:t>/</w:t>
            </w:r>
          </w:p>
        </w:tc>
        <w:tc>
          <w:tcPr>
            <w:tcW w:w="1058" w:type="pct"/>
          </w:tcPr>
          <w:p w14:paraId="6D694E7D" w14:textId="77777777" w:rsidR="007D1E74" w:rsidRDefault="00A95641">
            <w:pPr>
              <w:jc w:val="center"/>
              <w:rPr>
                <w:rFonts w:cs="Times New Roman"/>
                <w:szCs w:val="21"/>
              </w:rPr>
            </w:pPr>
            <w:r>
              <w:rPr>
                <w:rFonts w:cs="Times New Roman" w:hint="eastAsia"/>
                <w:szCs w:val="21"/>
              </w:rPr>
              <w:t>/</w:t>
            </w:r>
          </w:p>
        </w:tc>
        <w:tc>
          <w:tcPr>
            <w:tcW w:w="1060" w:type="pct"/>
          </w:tcPr>
          <w:p w14:paraId="7BF4F37D" w14:textId="77777777" w:rsidR="007D1E74" w:rsidRDefault="00A95641">
            <w:pPr>
              <w:jc w:val="center"/>
              <w:rPr>
                <w:rFonts w:cs="Times New Roman"/>
                <w:szCs w:val="21"/>
              </w:rPr>
            </w:pPr>
            <w:r>
              <w:rPr>
                <w:rFonts w:cs="Times New Roman" w:hint="eastAsia"/>
                <w:szCs w:val="21"/>
              </w:rPr>
              <w:t>/</w:t>
            </w:r>
          </w:p>
        </w:tc>
      </w:tr>
      <w:tr w:rsidR="007D1E74" w14:paraId="047861A2" w14:textId="77777777">
        <w:trPr>
          <w:trHeight w:val="70"/>
        </w:trPr>
        <w:tc>
          <w:tcPr>
            <w:tcW w:w="910" w:type="pct"/>
            <w:shd w:val="clear" w:color="auto" w:fill="auto"/>
            <w:vAlign w:val="center"/>
          </w:tcPr>
          <w:p w14:paraId="21D3E20B" w14:textId="77777777" w:rsidR="007D1E74" w:rsidRDefault="00A95641">
            <w:pPr>
              <w:jc w:val="center"/>
              <w:rPr>
                <w:rFonts w:cs="Times New Roman"/>
                <w:szCs w:val="21"/>
              </w:rPr>
            </w:pPr>
            <w:r>
              <w:rPr>
                <w:rFonts w:cs="Times New Roman" w:hint="eastAsia"/>
                <w:szCs w:val="21"/>
              </w:rPr>
              <w:t>砷</w:t>
            </w:r>
          </w:p>
        </w:tc>
        <w:tc>
          <w:tcPr>
            <w:tcW w:w="914" w:type="pct"/>
            <w:vAlign w:val="center"/>
          </w:tcPr>
          <w:p w14:paraId="589393FD" w14:textId="77777777" w:rsidR="007D1E74" w:rsidRDefault="00A95641">
            <w:pPr>
              <w:jc w:val="center"/>
              <w:rPr>
                <w:rFonts w:cs="Times New Roman"/>
                <w:szCs w:val="21"/>
              </w:rPr>
            </w:pPr>
            <w:r>
              <w:rPr>
                <w:rFonts w:cs="Times New Roman" w:hint="eastAsia"/>
                <w:szCs w:val="21"/>
              </w:rPr>
              <w:t>0</w:t>
            </w:r>
            <w:r>
              <w:rPr>
                <w:rFonts w:cs="Times New Roman"/>
                <w:szCs w:val="21"/>
              </w:rPr>
              <w:t>.01</w:t>
            </w:r>
          </w:p>
        </w:tc>
        <w:tc>
          <w:tcPr>
            <w:tcW w:w="1058" w:type="pct"/>
            <w:shd w:val="clear" w:color="auto" w:fill="auto"/>
          </w:tcPr>
          <w:p w14:paraId="30A14281" w14:textId="77777777" w:rsidR="007D1E74" w:rsidRDefault="00A95641">
            <w:pPr>
              <w:jc w:val="center"/>
              <w:rPr>
                <w:rFonts w:cs="Times New Roman"/>
                <w:szCs w:val="21"/>
              </w:rPr>
            </w:pPr>
            <w:r>
              <w:rPr>
                <w:rFonts w:cs="Times New Roman" w:hint="eastAsia"/>
                <w:szCs w:val="21"/>
              </w:rPr>
              <w:t>/</w:t>
            </w:r>
          </w:p>
        </w:tc>
        <w:tc>
          <w:tcPr>
            <w:tcW w:w="1058" w:type="pct"/>
          </w:tcPr>
          <w:p w14:paraId="3581106D" w14:textId="77777777" w:rsidR="007D1E74" w:rsidRDefault="00A95641">
            <w:pPr>
              <w:jc w:val="center"/>
              <w:rPr>
                <w:rFonts w:cs="Times New Roman"/>
                <w:szCs w:val="21"/>
              </w:rPr>
            </w:pPr>
            <w:r>
              <w:rPr>
                <w:rFonts w:cs="Times New Roman" w:hint="eastAsia"/>
                <w:szCs w:val="21"/>
              </w:rPr>
              <w:t>/</w:t>
            </w:r>
          </w:p>
        </w:tc>
        <w:tc>
          <w:tcPr>
            <w:tcW w:w="1060" w:type="pct"/>
          </w:tcPr>
          <w:p w14:paraId="335FFCF7" w14:textId="77777777" w:rsidR="007D1E74" w:rsidRDefault="00A95641">
            <w:pPr>
              <w:jc w:val="center"/>
              <w:rPr>
                <w:rFonts w:cs="Times New Roman"/>
                <w:szCs w:val="21"/>
              </w:rPr>
            </w:pPr>
            <w:r>
              <w:rPr>
                <w:rFonts w:cs="Times New Roman" w:hint="eastAsia"/>
                <w:szCs w:val="21"/>
              </w:rPr>
              <w:t>/</w:t>
            </w:r>
          </w:p>
        </w:tc>
      </w:tr>
      <w:tr w:rsidR="007D1E74" w14:paraId="2BA14701" w14:textId="77777777">
        <w:trPr>
          <w:trHeight w:val="71"/>
        </w:trPr>
        <w:tc>
          <w:tcPr>
            <w:tcW w:w="910" w:type="pct"/>
            <w:shd w:val="clear" w:color="auto" w:fill="auto"/>
            <w:vAlign w:val="center"/>
          </w:tcPr>
          <w:p w14:paraId="1946256C" w14:textId="77777777" w:rsidR="007D1E74" w:rsidRDefault="00A95641">
            <w:pPr>
              <w:jc w:val="center"/>
              <w:rPr>
                <w:rFonts w:cs="Times New Roman"/>
                <w:bCs/>
                <w:szCs w:val="21"/>
              </w:rPr>
            </w:pPr>
            <w:r>
              <w:rPr>
                <w:rFonts w:cs="Times New Roman" w:hint="eastAsia"/>
                <w:szCs w:val="21"/>
              </w:rPr>
              <w:t>汞</w:t>
            </w:r>
          </w:p>
        </w:tc>
        <w:tc>
          <w:tcPr>
            <w:tcW w:w="914" w:type="pct"/>
            <w:vAlign w:val="center"/>
          </w:tcPr>
          <w:p w14:paraId="33166219" w14:textId="77777777" w:rsidR="007D1E74" w:rsidRDefault="00A95641">
            <w:pPr>
              <w:jc w:val="center"/>
              <w:rPr>
                <w:rFonts w:cs="Times New Roman"/>
                <w:bCs/>
                <w:szCs w:val="21"/>
              </w:rPr>
            </w:pPr>
            <w:r>
              <w:rPr>
                <w:rFonts w:cs="Times New Roman"/>
                <w:szCs w:val="21"/>
              </w:rPr>
              <w:t>0.001</w:t>
            </w:r>
          </w:p>
        </w:tc>
        <w:tc>
          <w:tcPr>
            <w:tcW w:w="1058" w:type="pct"/>
            <w:shd w:val="clear" w:color="auto" w:fill="auto"/>
          </w:tcPr>
          <w:p w14:paraId="7CBE25F5" w14:textId="77777777" w:rsidR="007D1E74" w:rsidRDefault="00A95641">
            <w:pPr>
              <w:jc w:val="center"/>
              <w:rPr>
                <w:rFonts w:cs="Times New Roman"/>
                <w:bCs/>
                <w:szCs w:val="21"/>
              </w:rPr>
            </w:pPr>
            <w:r>
              <w:rPr>
                <w:rFonts w:cs="Times New Roman" w:hint="eastAsia"/>
                <w:bCs/>
                <w:szCs w:val="21"/>
              </w:rPr>
              <w:t>0</w:t>
            </w:r>
            <w:r>
              <w:rPr>
                <w:rFonts w:cs="Times New Roman"/>
                <w:bCs/>
                <w:szCs w:val="21"/>
              </w:rPr>
              <w:t>.260</w:t>
            </w:r>
          </w:p>
        </w:tc>
        <w:tc>
          <w:tcPr>
            <w:tcW w:w="1058" w:type="pct"/>
          </w:tcPr>
          <w:p w14:paraId="25C30FC8" w14:textId="77777777" w:rsidR="007D1E74" w:rsidRDefault="00A95641">
            <w:pPr>
              <w:jc w:val="center"/>
              <w:rPr>
                <w:rFonts w:cs="Times New Roman"/>
                <w:bCs/>
                <w:szCs w:val="21"/>
              </w:rPr>
            </w:pPr>
            <w:r>
              <w:rPr>
                <w:rFonts w:cs="Times New Roman" w:hint="eastAsia"/>
                <w:bCs/>
                <w:szCs w:val="21"/>
              </w:rPr>
              <w:t>0</w:t>
            </w:r>
            <w:r>
              <w:rPr>
                <w:rFonts w:cs="Times New Roman"/>
                <w:bCs/>
                <w:szCs w:val="21"/>
              </w:rPr>
              <w:t>.340</w:t>
            </w:r>
          </w:p>
        </w:tc>
        <w:tc>
          <w:tcPr>
            <w:tcW w:w="1060" w:type="pct"/>
          </w:tcPr>
          <w:p w14:paraId="47413529" w14:textId="77777777" w:rsidR="007D1E74" w:rsidRDefault="00A95641">
            <w:pPr>
              <w:jc w:val="center"/>
              <w:rPr>
                <w:rFonts w:cs="Times New Roman"/>
                <w:bCs/>
                <w:szCs w:val="21"/>
              </w:rPr>
            </w:pPr>
            <w:r>
              <w:rPr>
                <w:rFonts w:cs="Times New Roman" w:hint="eastAsia"/>
                <w:bCs/>
                <w:szCs w:val="21"/>
              </w:rPr>
              <w:t>0</w:t>
            </w:r>
            <w:r>
              <w:rPr>
                <w:rFonts w:cs="Times New Roman"/>
                <w:bCs/>
                <w:szCs w:val="21"/>
              </w:rPr>
              <w:t>.240</w:t>
            </w:r>
          </w:p>
        </w:tc>
      </w:tr>
      <w:tr w:rsidR="007D1E74" w14:paraId="01E3D097" w14:textId="77777777">
        <w:trPr>
          <w:trHeight w:val="71"/>
        </w:trPr>
        <w:tc>
          <w:tcPr>
            <w:tcW w:w="910" w:type="pct"/>
            <w:shd w:val="clear" w:color="auto" w:fill="auto"/>
            <w:vAlign w:val="center"/>
          </w:tcPr>
          <w:p w14:paraId="652DB46C" w14:textId="77777777" w:rsidR="007D1E74" w:rsidRDefault="00A95641">
            <w:pPr>
              <w:jc w:val="center"/>
              <w:rPr>
                <w:rFonts w:cs="Times New Roman"/>
                <w:szCs w:val="21"/>
              </w:rPr>
            </w:pPr>
            <w:r>
              <w:rPr>
                <w:rFonts w:cs="Times New Roman" w:hint="eastAsia"/>
                <w:szCs w:val="21"/>
              </w:rPr>
              <w:t>六价铬</w:t>
            </w:r>
          </w:p>
        </w:tc>
        <w:tc>
          <w:tcPr>
            <w:tcW w:w="914" w:type="pct"/>
            <w:vAlign w:val="center"/>
          </w:tcPr>
          <w:p w14:paraId="256F82E1" w14:textId="77777777" w:rsidR="007D1E74" w:rsidRDefault="00A95641">
            <w:pPr>
              <w:jc w:val="center"/>
              <w:rPr>
                <w:rFonts w:cs="Times New Roman"/>
                <w:szCs w:val="21"/>
              </w:rPr>
            </w:pPr>
            <w:r>
              <w:rPr>
                <w:rFonts w:cs="Times New Roman"/>
                <w:szCs w:val="21"/>
              </w:rPr>
              <w:t>0.05</w:t>
            </w:r>
          </w:p>
        </w:tc>
        <w:tc>
          <w:tcPr>
            <w:tcW w:w="1058" w:type="pct"/>
            <w:shd w:val="clear" w:color="auto" w:fill="auto"/>
          </w:tcPr>
          <w:p w14:paraId="41FCBDF1" w14:textId="77777777" w:rsidR="007D1E74" w:rsidRDefault="00A95641">
            <w:pPr>
              <w:jc w:val="center"/>
              <w:rPr>
                <w:rFonts w:cs="Times New Roman"/>
                <w:bCs/>
                <w:szCs w:val="21"/>
              </w:rPr>
            </w:pPr>
            <w:r>
              <w:rPr>
                <w:rFonts w:cs="Times New Roman" w:hint="eastAsia"/>
                <w:bCs/>
                <w:szCs w:val="21"/>
              </w:rPr>
              <w:t>0</w:t>
            </w:r>
            <w:r>
              <w:rPr>
                <w:rFonts w:cs="Times New Roman"/>
                <w:bCs/>
                <w:szCs w:val="21"/>
              </w:rPr>
              <w:t>.080</w:t>
            </w:r>
          </w:p>
        </w:tc>
        <w:tc>
          <w:tcPr>
            <w:tcW w:w="1058" w:type="pct"/>
          </w:tcPr>
          <w:p w14:paraId="180F95FA" w14:textId="77777777" w:rsidR="007D1E74" w:rsidRDefault="00A95641">
            <w:pPr>
              <w:jc w:val="center"/>
              <w:rPr>
                <w:rFonts w:cs="Times New Roman"/>
                <w:szCs w:val="21"/>
              </w:rPr>
            </w:pPr>
            <w:r>
              <w:rPr>
                <w:rFonts w:cs="Times New Roman" w:hint="eastAsia"/>
                <w:szCs w:val="21"/>
              </w:rPr>
              <w:t>/</w:t>
            </w:r>
          </w:p>
        </w:tc>
        <w:tc>
          <w:tcPr>
            <w:tcW w:w="1060" w:type="pct"/>
          </w:tcPr>
          <w:p w14:paraId="28F95FFA" w14:textId="77777777" w:rsidR="007D1E74" w:rsidRDefault="00A95641">
            <w:pPr>
              <w:jc w:val="center"/>
              <w:rPr>
                <w:rFonts w:cs="Times New Roman"/>
                <w:szCs w:val="21"/>
              </w:rPr>
            </w:pPr>
            <w:r>
              <w:rPr>
                <w:rFonts w:cs="Times New Roman" w:hint="eastAsia"/>
                <w:szCs w:val="21"/>
              </w:rPr>
              <w:t>/</w:t>
            </w:r>
          </w:p>
        </w:tc>
      </w:tr>
      <w:tr w:rsidR="007D1E74" w14:paraId="580A6BAA" w14:textId="77777777">
        <w:trPr>
          <w:trHeight w:val="71"/>
        </w:trPr>
        <w:tc>
          <w:tcPr>
            <w:tcW w:w="910" w:type="pct"/>
            <w:shd w:val="clear" w:color="auto" w:fill="auto"/>
            <w:vAlign w:val="center"/>
          </w:tcPr>
          <w:p w14:paraId="1BC5F15F" w14:textId="77777777" w:rsidR="007D1E74" w:rsidRDefault="00A95641">
            <w:pPr>
              <w:jc w:val="center"/>
              <w:rPr>
                <w:rFonts w:cs="Times New Roman"/>
                <w:szCs w:val="21"/>
              </w:rPr>
            </w:pPr>
            <w:r>
              <w:rPr>
                <w:rFonts w:cs="Times New Roman" w:hint="eastAsia"/>
                <w:szCs w:val="21"/>
              </w:rPr>
              <w:t>总硬度</w:t>
            </w:r>
          </w:p>
        </w:tc>
        <w:tc>
          <w:tcPr>
            <w:tcW w:w="914" w:type="pct"/>
            <w:vAlign w:val="center"/>
          </w:tcPr>
          <w:p w14:paraId="13C98C0E" w14:textId="77777777" w:rsidR="007D1E74" w:rsidRDefault="00A95641">
            <w:pPr>
              <w:jc w:val="center"/>
              <w:rPr>
                <w:rFonts w:cs="Times New Roman"/>
                <w:szCs w:val="21"/>
              </w:rPr>
            </w:pPr>
            <w:r>
              <w:rPr>
                <w:rFonts w:cs="Times New Roman"/>
                <w:szCs w:val="21"/>
              </w:rPr>
              <w:t>450</w:t>
            </w:r>
          </w:p>
        </w:tc>
        <w:tc>
          <w:tcPr>
            <w:tcW w:w="1058" w:type="pct"/>
            <w:shd w:val="clear" w:color="auto" w:fill="auto"/>
            <w:vAlign w:val="center"/>
          </w:tcPr>
          <w:p w14:paraId="360EA497" w14:textId="77777777" w:rsidR="007D1E74" w:rsidRDefault="00A95641">
            <w:pPr>
              <w:jc w:val="center"/>
              <w:rPr>
                <w:rFonts w:cs="Times New Roman"/>
                <w:bCs/>
                <w:szCs w:val="21"/>
              </w:rPr>
            </w:pPr>
            <w:r>
              <w:rPr>
                <w:rFonts w:cs="Times New Roman" w:hint="eastAsia"/>
                <w:bCs/>
                <w:szCs w:val="21"/>
              </w:rPr>
              <w:t>0</w:t>
            </w:r>
            <w:r>
              <w:rPr>
                <w:rFonts w:cs="Times New Roman"/>
                <w:bCs/>
                <w:szCs w:val="21"/>
              </w:rPr>
              <w:t>.573</w:t>
            </w:r>
          </w:p>
        </w:tc>
        <w:tc>
          <w:tcPr>
            <w:tcW w:w="1058" w:type="pct"/>
            <w:vAlign w:val="center"/>
          </w:tcPr>
          <w:p w14:paraId="6ACD14D6" w14:textId="77777777" w:rsidR="007D1E74" w:rsidRDefault="00A95641">
            <w:pPr>
              <w:jc w:val="center"/>
              <w:rPr>
                <w:rFonts w:cs="Times New Roman"/>
                <w:bCs/>
                <w:szCs w:val="21"/>
              </w:rPr>
            </w:pPr>
            <w:r>
              <w:rPr>
                <w:rFonts w:cs="Times New Roman" w:hint="eastAsia"/>
                <w:bCs/>
                <w:szCs w:val="21"/>
              </w:rPr>
              <w:t>0</w:t>
            </w:r>
            <w:r>
              <w:rPr>
                <w:rFonts w:cs="Times New Roman"/>
                <w:bCs/>
                <w:szCs w:val="21"/>
              </w:rPr>
              <w:t>.416</w:t>
            </w:r>
          </w:p>
        </w:tc>
        <w:tc>
          <w:tcPr>
            <w:tcW w:w="1060" w:type="pct"/>
            <w:vAlign w:val="center"/>
          </w:tcPr>
          <w:p w14:paraId="58A549BB" w14:textId="77777777" w:rsidR="007D1E74" w:rsidRDefault="00A95641">
            <w:pPr>
              <w:jc w:val="center"/>
              <w:rPr>
                <w:rFonts w:cs="Times New Roman"/>
                <w:bCs/>
                <w:szCs w:val="21"/>
              </w:rPr>
            </w:pPr>
            <w:r>
              <w:rPr>
                <w:rFonts w:cs="Times New Roman" w:hint="eastAsia"/>
                <w:bCs/>
                <w:szCs w:val="21"/>
              </w:rPr>
              <w:t>0</w:t>
            </w:r>
            <w:r>
              <w:rPr>
                <w:rFonts w:cs="Times New Roman"/>
                <w:bCs/>
                <w:szCs w:val="21"/>
              </w:rPr>
              <w:t>.713</w:t>
            </w:r>
          </w:p>
        </w:tc>
      </w:tr>
      <w:tr w:rsidR="007D1E74" w14:paraId="150ACDCB" w14:textId="77777777">
        <w:trPr>
          <w:trHeight w:val="71"/>
        </w:trPr>
        <w:tc>
          <w:tcPr>
            <w:tcW w:w="910" w:type="pct"/>
            <w:shd w:val="clear" w:color="auto" w:fill="auto"/>
            <w:vAlign w:val="center"/>
          </w:tcPr>
          <w:p w14:paraId="22D145B5" w14:textId="77777777" w:rsidR="007D1E74" w:rsidRDefault="00A95641">
            <w:pPr>
              <w:jc w:val="center"/>
              <w:rPr>
                <w:rFonts w:cs="Times New Roman"/>
                <w:szCs w:val="21"/>
              </w:rPr>
            </w:pPr>
            <w:r>
              <w:rPr>
                <w:rFonts w:cs="Times New Roman" w:hint="eastAsia"/>
                <w:szCs w:val="21"/>
              </w:rPr>
              <w:t>铅</w:t>
            </w:r>
          </w:p>
        </w:tc>
        <w:tc>
          <w:tcPr>
            <w:tcW w:w="914" w:type="pct"/>
            <w:vAlign w:val="center"/>
          </w:tcPr>
          <w:p w14:paraId="516BE846" w14:textId="77777777" w:rsidR="007D1E74" w:rsidRDefault="00A95641">
            <w:pPr>
              <w:jc w:val="center"/>
              <w:rPr>
                <w:rFonts w:cs="Times New Roman"/>
                <w:szCs w:val="21"/>
              </w:rPr>
            </w:pPr>
            <w:r>
              <w:rPr>
                <w:rFonts w:cs="Times New Roman" w:hint="eastAsia"/>
                <w:szCs w:val="21"/>
              </w:rPr>
              <w:t>0</w:t>
            </w:r>
            <w:r>
              <w:rPr>
                <w:rFonts w:cs="Times New Roman"/>
                <w:szCs w:val="21"/>
              </w:rPr>
              <w:t>.01</w:t>
            </w:r>
          </w:p>
        </w:tc>
        <w:tc>
          <w:tcPr>
            <w:tcW w:w="1058" w:type="pct"/>
            <w:shd w:val="clear" w:color="auto" w:fill="auto"/>
          </w:tcPr>
          <w:p w14:paraId="33BAB61F" w14:textId="77777777" w:rsidR="007D1E74" w:rsidRDefault="00A95641">
            <w:pPr>
              <w:jc w:val="center"/>
              <w:rPr>
                <w:rFonts w:cs="Times New Roman"/>
                <w:szCs w:val="21"/>
              </w:rPr>
            </w:pPr>
            <w:r>
              <w:rPr>
                <w:rFonts w:cs="Times New Roman" w:hint="eastAsia"/>
                <w:szCs w:val="21"/>
              </w:rPr>
              <w:t>/</w:t>
            </w:r>
          </w:p>
        </w:tc>
        <w:tc>
          <w:tcPr>
            <w:tcW w:w="1058" w:type="pct"/>
          </w:tcPr>
          <w:p w14:paraId="1CE9A44C" w14:textId="77777777" w:rsidR="007D1E74" w:rsidRDefault="00A95641">
            <w:pPr>
              <w:jc w:val="center"/>
              <w:rPr>
                <w:rFonts w:cs="Times New Roman"/>
                <w:szCs w:val="21"/>
              </w:rPr>
            </w:pPr>
            <w:r>
              <w:rPr>
                <w:rFonts w:cs="Times New Roman" w:hint="eastAsia"/>
                <w:szCs w:val="21"/>
              </w:rPr>
              <w:t>/</w:t>
            </w:r>
          </w:p>
        </w:tc>
        <w:tc>
          <w:tcPr>
            <w:tcW w:w="1060" w:type="pct"/>
          </w:tcPr>
          <w:p w14:paraId="4A50B3B4" w14:textId="77777777" w:rsidR="007D1E74" w:rsidRDefault="00A95641">
            <w:pPr>
              <w:jc w:val="center"/>
              <w:rPr>
                <w:rFonts w:cs="Times New Roman"/>
                <w:szCs w:val="21"/>
              </w:rPr>
            </w:pPr>
            <w:r>
              <w:rPr>
                <w:rFonts w:cs="Times New Roman" w:hint="eastAsia"/>
                <w:szCs w:val="21"/>
              </w:rPr>
              <w:t>/</w:t>
            </w:r>
          </w:p>
        </w:tc>
      </w:tr>
      <w:tr w:rsidR="007D1E74" w14:paraId="2064AE5F" w14:textId="77777777">
        <w:trPr>
          <w:trHeight w:val="71"/>
        </w:trPr>
        <w:tc>
          <w:tcPr>
            <w:tcW w:w="910" w:type="pct"/>
            <w:shd w:val="clear" w:color="auto" w:fill="auto"/>
            <w:vAlign w:val="center"/>
          </w:tcPr>
          <w:p w14:paraId="5A85B092" w14:textId="77777777" w:rsidR="007D1E74" w:rsidRDefault="00A95641">
            <w:pPr>
              <w:jc w:val="center"/>
              <w:rPr>
                <w:rFonts w:cs="Times New Roman"/>
                <w:szCs w:val="21"/>
              </w:rPr>
            </w:pPr>
            <w:r>
              <w:rPr>
                <w:rFonts w:cs="Times New Roman" w:hint="eastAsia"/>
                <w:szCs w:val="21"/>
              </w:rPr>
              <w:t>镉</w:t>
            </w:r>
          </w:p>
        </w:tc>
        <w:tc>
          <w:tcPr>
            <w:tcW w:w="914" w:type="pct"/>
            <w:vAlign w:val="center"/>
          </w:tcPr>
          <w:p w14:paraId="55D3CA59" w14:textId="77777777" w:rsidR="007D1E74" w:rsidRDefault="00A95641">
            <w:pPr>
              <w:jc w:val="center"/>
              <w:rPr>
                <w:rFonts w:cs="Times New Roman"/>
                <w:szCs w:val="21"/>
              </w:rPr>
            </w:pPr>
            <w:r>
              <w:rPr>
                <w:rFonts w:cs="Times New Roman" w:hint="eastAsia"/>
                <w:szCs w:val="21"/>
              </w:rPr>
              <w:t>0</w:t>
            </w:r>
            <w:r>
              <w:rPr>
                <w:rFonts w:cs="Times New Roman"/>
                <w:szCs w:val="21"/>
              </w:rPr>
              <w:t>.005</w:t>
            </w:r>
          </w:p>
        </w:tc>
        <w:tc>
          <w:tcPr>
            <w:tcW w:w="1058" w:type="pct"/>
            <w:shd w:val="clear" w:color="auto" w:fill="auto"/>
          </w:tcPr>
          <w:p w14:paraId="39069518" w14:textId="77777777" w:rsidR="007D1E74" w:rsidRDefault="00A95641">
            <w:pPr>
              <w:jc w:val="center"/>
              <w:rPr>
                <w:rFonts w:cs="Times New Roman"/>
                <w:szCs w:val="21"/>
              </w:rPr>
            </w:pPr>
            <w:r>
              <w:rPr>
                <w:rFonts w:cs="Times New Roman" w:hint="eastAsia"/>
                <w:szCs w:val="21"/>
              </w:rPr>
              <w:t>/</w:t>
            </w:r>
          </w:p>
        </w:tc>
        <w:tc>
          <w:tcPr>
            <w:tcW w:w="1058" w:type="pct"/>
          </w:tcPr>
          <w:p w14:paraId="4C928E9D" w14:textId="77777777" w:rsidR="007D1E74" w:rsidRDefault="00A95641">
            <w:pPr>
              <w:jc w:val="center"/>
              <w:rPr>
                <w:rFonts w:cs="Times New Roman"/>
                <w:szCs w:val="21"/>
              </w:rPr>
            </w:pPr>
            <w:r>
              <w:rPr>
                <w:rFonts w:cs="Times New Roman" w:hint="eastAsia"/>
                <w:szCs w:val="21"/>
              </w:rPr>
              <w:t>/</w:t>
            </w:r>
          </w:p>
        </w:tc>
        <w:tc>
          <w:tcPr>
            <w:tcW w:w="1060" w:type="pct"/>
          </w:tcPr>
          <w:p w14:paraId="2D75EF28" w14:textId="77777777" w:rsidR="007D1E74" w:rsidRDefault="00A95641">
            <w:pPr>
              <w:jc w:val="center"/>
              <w:rPr>
                <w:rFonts w:cs="Times New Roman"/>
                <w:szCs w:val="21"/>
              </w:rPr>
            </w:pPr>
            <w:r>
              <w:rPr>
                <w:rFonts w:cs="Times New Roman" w:hint="eastAsia"/>
                <w:szCs w:val="21"/>
              </w:rPr>
              <w:t>/</w:t>
            </w:r>
          </w:p>
        </w:tc>
      </w:tr>
      <w:tr w:rsidR="007D1E74" w14:paraId="187DFAB4" w14:textId="77777777">
        <w:trPr>
          <w:trHeight w:val="71"/>
        </w:trPr>
        <w:tc>
          <w:tcPr>
            <w:tcW w:w="910" w:type="pct"/>
            <w:shd w:val="clear" w:color="auto" w:fill="auto"/>
            <w:vAlign w:val="center"/>
          </w:tcPr>
          <w:p w14:paraId="51822803" w14:textId="77777777" w:rsidR="007D1E74" w:rsidRDefault="00A95641">
            <w:pPr>
              <w:jc w:val="center"/>
              <w:rPr>
                <w:rFonts w:cs="Times New Roman"/>
                <w:szCs w:val="21"/>
              </w:rPr>
            </w:pPr>
            <w:r>
              <w:rPr>
                <w:rFonts w:cs="Times New Roman" w:hint="eastAsia"/>
                <w:szCs w:val="21"/>
              </w:rPr>
              <w:t>铁</w:t>
            </w:r>
          </w:p>
        </w:tc>
        <w:tc>
          <w:tcPr>
            <w:tcW w:w="914" w:type="pct"/>
            <w:vAlign w:val="center"/>
          </w:tcPr>
          <w:p w14:paraId="0945C918" w14:textId="77777777" w:rsidR="007D1E74" w:rsidRDefault="00A95641">
            <w:pPr>
              <w:jc w:val="center"/>
              <w:rPr>
                <w:rFonts w:cs="Times New Roman"/>
                <w:szCs w:val="21"/>
              </w:rPr>
            </w:pPr>
            <w:r>
              <w:rPr>
                <w:rFonts w:cs="Times New Roman" w:hint="eastAsia"/>
                <w:szCs w:val="21"/>
              </w:rPr>
              <w:t>0</w:t>
            </w:r>
            <w:r>
              <w:rPr>
                <w:rFonts w:cs="Times New Roman"/>
                <w:szCs w:val="21"/>
              </w:rPr>
              <w:t>.3</w:t>
            </w:r>
          </w:p>
        </w:tc>
        <w:tc>
          <w:tcPr>
            <w:tcW w:w="1058" w:type="pct"/>
            <w:shd w:val="clear" w:color="auto" w:fill="auto"/>
          </w:tcPr>
          <w:p w14:paraId="55405491" w14:textId="77777777" w:rsidR="007D1E74" w:rsidRDefault="00A95641">
            <w:pPr>
              <w:jc w:val="center"/>
              <w:rPr>
                <w:rFonts w:cs="Times New Roman"/>
                <w:szCs w:val="21"/>
              </w:rPr>
            </w:pPr>
            <w:r>
              <w:rPr>
                <w:rFonts w:cs="Times New Roman" w:hint="eastAsia"/>
                <w:szCs w:val="21"/>
              </w:rPr>
              <w:t>/</w:t>
            </w:r>
          </w:p>
        </w:tc>
        <w:tc>
          <w:tcPr>
            <w:tcW w:w="1058" w:type="pct"/>
          </w:tcPr>
          <w:p w14:paraId="1FF91705" w14:textId="77777777" w:rsidR="007D1E74" w:rsidRDefault="00A95641">
            <w:pPr>
              <w:jc w:val="center"/>
              <w:rPr>
                <w:rFonts w:cs="Times New Roman"/>
                <w:szCs w:val="21"/>
              </w:rPr>
            </w:pPr>
            <w:r>
              <w:rPr>
                <w:rFonts w:cs="Times New Roman" w:hint="eastAsia"/>
                <w:szCs w:val="21"/>
              </w:rPr>
              <w:t>/</w:t>
            </w:r>
          </w:p>
        </w:tc>
        <w:tc>
          <w:tcPr>
            <w:tcW w:w="1060" w:type="pct"/>
          </w:tcPr>
          <w:p w14:paraId="31F4D436" w14:textId="77777777" w:rsidR="007D1E74" w:rsidRDefault="00A95641">
            <w:pPr>
              <w:jc w:val="center"/>
              <w:rPr>
                <w:rFonts w:cs="Times New Roman"/>
                <w:szCs w:val="21"/>
              </w:rPr>
            </w:pPr>
            <w:r>
              <w:rPr>
                <w:rFonts w:cs="Times New Roman" w:hint="eastAsia"/>
                <w:szCs w:val="21"/>
              </w:rPr>
              <w:t>/</w:t>
            </w:r>
          </w:p>
        </w:tc>
      </w:tr>
      <w:tr w:rsidR="007D1E74" w14:paraId="51049B7C" w14:textId="77777777">
        <w:trPr>
          <w:trHeight w:val="70"/>
        </w:trPr>
        <w:tc>
          <w:tcPr>
            <w:tcW w:w="910" w:type="pct"/>
            <w:shd w:val="clear" w:color="auto" w:fill="auto"/>
            <w:vAlign w:val="center"/>
          </w:tcPr>
          <w:p w14:paraId="34079220" w14:textId="77777777" w:rsidR="007D1E74" w:rsidRDefault="00A95641">
            <w:pPr>
              <w:jc w:val="center"/>
              <w:rPr>
                <w:rFonts w:cs="Times New Roman"/>
                <w:szCs w:val="21"/>
              </w:rPr>
            </w:pPr>
            <w:r>
              <w:rPr>
                <w:rFonts w:cs="Times New Roman" w:hint="eastAsia"/>
                <w:szCs w:val="21"/>
              </w:rPr>
              <w:t>锰</w:t>
            </w:r>
          </w:p>
        </w:tc>
        <w:tc>
          <w:tcPr>
            <w:tcW w:w="914" w:type="pct"/>
            <w:vAlign w:val="center"/>
          </w:tcPr>
          <w:p w14:paraId="217D9B16" w14:textId="77777777" w:rsidR="007D1E74" w:rsidRDefault="00A95641">
            <w:pPr>
              <w:jc w:val="center"/>
              <w:rPr>
                <w:rFonts w:cs="Times New Roman"/>
                <w:bCs/>
                <w:szCs w:val="21"/>
              </w:rPr>
            </w:pPr>
            <w:r>
              <w:rPr>
                <w:rFonts w:cs="Times New Roman" w:hint="eastAsia"/>
                <w:bCs/>
                <w:szCs w:val="21"/>
              </w:rPr>
              <w:t>0</w:t>
            </w:r>
            <w:r>
              <w:rPr>
                <w:rFonts w:cs="Times New Roman"/>
                <w:bCs/>
                <w:szCs w:val="21"/>
              </w:rPr>
              <w:t>.10</w:t>
            </w:r>
          </w:p>
        </w:tc>
        <w:tc>
          <w:tcPr>
            <w:tcW w:w="1058" w:type="pct"/>
            <w:shd w:val="clear" w:color="auto" w:fill="auto"/>
          </w:tcPr>
          <w:p w14:paraId="6AB35D14" w14:textId="77777777" w:rsidR="007D1E74" w:rsidRDefault="00A95641">
            <w:pPr>
              <w:jc w:val="center"/>
              <w:rPr>
                <w:rFonts w:cs="Times New Roman"/>
                <w:szCs w:val="21"/>
              </w:rPr>
            </w:pPr>
            <w:r>
              <w:rPr>
                <w:rFonts w:cs="Times New Roman" w:hint="eastAsia"/>
                <w:szCs w:val="21"/>
              </w:rPr>
              <w:t>/</w:t>
            </w:r>
          </w:p>
        </w:tc>
        <w:tc>
          <w:tcPr>
            <w:tcW w:w="1058" w:type="pct"/>
          </w:tcPr>
          <w:p w14:paraId="7E06AA0B" w14:textId="77777777" w:rsidR="007D1E74" w:rsidRDefault="00A95641">
            <w:pPr>
              <w:jc w:val="center"/>
              <w:rPr>
                <w:rFonts w:cs="Times New Roman"/>
                <w:szCs w:val="21"/>
              </w:rPr>
            </w:pPr>
            <w:r>
              <w:rPr>
                <w:rFonts w:cs="Times New Roman" w:hint="eastAsia"/>
                <w:szCs w:val="21"/>
              </w:rPr>
              <w:t>/</w:t>
            </w:r>
          </w:p>
        </w:tc>
        <w:tc>
          <w:tcPr>
            <w:tcW w:w="1060" w:type="pct"/>
          </w:tcPr>
          <w:p w14:paraId="60B669C5" w14:textId="77777777" w:rsidR="007D1E74" w:rsidRDefault="00A95641">
            <w:pPr>
              <w:jc w:val="center"/>
              <w:rPr>
                <w:rFonts w:cs="Times New Roman"/>
                <w:szCs w:val="21"/>
              </w:rPr>
            </w:pPr>
            <w:r>
              <w:rPr>
                <w:rFonts w:cs="Times New Roman" w:hint="eastAsia"/>
                <w:szCs w:val="21"/>
              </w:rPr>
              <w:t>/</w:t>
            </w:r>
          </w:p>
        </w:tc>
      </w:tr>
      <w:tr w:rsidR="007D1E74" w14:paraId="7FDA85D7" w14:textId="77777777">
        <w:trPr>
          <w:trHeight w:val="71"/>
        </w:trPr>
        <w:tc>
          <w:tcPr>
            <w:tcW w:w="910" w:type="pct"/>
            <w:shd w:val="clear" w:color="auto" w:fill="auto"/>
            <w:vAlign w:val="center"/>
          </w:tcPr>
          <w:p w14:paraId="38CDB39F" w14:textId="77777777" w:rsidR="007D1E74" w:rsidRDefault="00A95641">
            <w:pPr>
              <w:jc w:val="center"/>
              <w:rPr>
                <w:rFonts w:cs="Times New Roman"/>
                <w:szCs w:val="21"/>
              </w:rPr>
            </w:pPr>
            <w:r>
              <w:rPr>
                <w:rFonts w:cs="Times New Roman" w:hint="eastAsia"/>
                <w:szCs w:val="21"/>
              </w:rPr>
              <w:t>溶解性总固体</w:t>
            </w:r>
          </w:p>
        </w:tc>
        <w:tc>
          <w:tcPr>
            <w:tcW w:w="914" w:type="pct"/>
            <w:vAlign w:val="center"/>
          </w:tcPr>
          <w:p w14:paraId="4670B0DB" w14:textId="77777777" w:rsidR="007D1E74" w:rsidRDefault="00A95641">
            <w:pPr>
              <w:jc w:val="center"/>
            </w:pPr>
            <w:r>
              <w:rPr>
                <w:rFonts w:cs="Times New Roman"/>
                <w:szCs w:val="21"/>
              </w:rPr>
              <w:t>1000</w:t>
            </w:r>
          </w:p>
        </w:tc>
        <w:tc>
          <w:tcPr>
            <w:tcW w:w="1058" w:type="pct"/>
            <w:shd w:val="clear" w:color="auto" w:fill="auto"/>
            <w:vAlign w:val="center"/>
          </w:tcPr>
          <w:p w14:paraId="6C3D9015" w14:textId="77777777" w:rsidR="007D1E74" w:rsidRDefault="00A95641">
            <w:pPr>
              <w:jc w:val="center"/>
              <w:rPr>
                <w:rFonts w:cs="Times New Roman"/>
                <w:bCs/>
                <w:szCs w:val="21"/>
              </w:rPr>
            </w:pPr>
            <w:r>
              <w:rPr>
                <w:rFonts w:cs="Times New Roman" w:hint="eastAsia"/>
                <w:bCs/>
                <w:szCs w:val="21"/>
              </w:rPr>
              <w:t>0</w:t>
            </w:r>
            <w:r>
              <w:rPr>
                <w:rFonts w:cs="Times New Roman"/>
                <w:bCs/>
                <w:szCs w:val="21"/>
              </w:rPr>
              <w:t>.306</w:t>
            </w:r>
          </w:p>
        </w:tc>
        <w:tc>
          <w:tcPr>
            <w:tcW w:w="1058" w:type="pct"/>
            <w:vAlign w:val="center"/>
          </w:tcPr>
          <w:p w14:paraId="10CD5D42" w14:textId="77777777" w:rsidR="007D1E74" w:rsidRDefault="00A95641">
            <w:pPr>
              <w:jc w:val="center"/>
              <w:rPr>
                <w:rFonts w:cs="Times New Roman"/>
                <w:bCs/>
                <w:szCs w:val="21"/>
              </w:rPr>
            </w:pPr>
            <w:r>
              <w:rPr>
                <w:rFonts w:cs="Times New Roman" w:hint="eastAsia"/>
                <w:bCs/>
                <w:szCs w:val="21"/>
              </w:rPr>
              <w:t>0</w:t>
            </w:r>
            <w:r>
              <w:rPr>
                <w:rFonts w:cs="Times New Roman"/>
                <w:bCs/>
                <w:szCs w:val="21"/>
              </w:rPr>
              <w:t>.208</w:t>
            </w:r>
          </w:p>
        </w:tc>
        <w:tc>
          <w:tcPr>
            <w:tcW w:w="1060" w:type="pct"/>
            <w:vAlign w:val="center"/>
          </w:tcPr>
          <w:p w14:paraId="317F688C" w14:textId="77777777" w:rsidR="007D1E74" w:rsidRDefault="00A95641">
            <w:pPr>
              <w:jc w:val="center"/>
              <w:rPr>
                <w:rFonts w:cs="Times New Roman"/>
                <w:bCs/>
                <w:szCs w:val="21"/>
              </w:rPr>
            </w:pPr>
            <w:r>
              <w:rPr>
                <w:rFonts w:cs="Times New Roman" w:hint="eastAsia"/>
                <w:bCs/>
                <w:szCs w:val="21"/>
              </w:rPr>
              <w:t>0</w:t>
            </w:r>
            <w:r>
              <w:rPr>
                <w:rFonts w:cs="Times New Roman"/>
                <w:bCs/>
                <w:szCs w:val="21"/>
              </w:rPr>
              <w:t>.376</w:t>
            </w:r>
          </w:p>
        </w:tc>
      </w:tr>
      <w:tr w:rsidR="007D1E74" w14:paraId="3AB0FE30" w14:textId="77777777">
        <w:trPr>
          <w:trHeight w:val="71"/>
        </w:trPr>
        <w:tc>
          <w:tcPr>
            <w:tcW w:w="910" w:type="pct"/>
            <w:shd w:val="clear" w:color="auto" w:fill="auto"/>
            <w:vAlign w:val="center"/>
          </w:tcPr>
          <w:p w14:paraId="7D4D9824" w14:textId="77777777" w:rsidR="007D1E74" w:rsidRDefault="00A95641">
            <w:pPr>
              <w:jc w:val="center"/>
              <w:rPr>
                <w:rFonts w:cs="Times New Roman"/>
                <w:szCs w:val="21"/>
              </w:rPr>
            </w:pPr>
            <w:r>
              <w:rPr>
                <w:rFonts w:cs="Times New Roman" w:hint="eastAsia"/>
                <w:szCs w:val="21"/>
              </w:rPr>
              <w:t>耗氧量</w:t>
            </w:r>
          </w:p>
        </w:tc>
        <w:tc>
          <w:tcPr>
            <w:tcW w:w="914" w:type="pct"/>
            <w:vAlign w:val="center"/>
          </w:tcPr>
          <w:p w14:paraId="24D293D7" w14:textId="77777777" w:rsidR="007D1E74" w:rsidRDefault="00A95641">
            <w:pPr>
              <w:jc w:val="center"/>
            </w:pPr>
            <w:r>
              <w:rPr>
                <w:rFonts w:cs="Times New Roman"/>
                <w:szCs w:val="21"/>
              </w:rPr>
              <w:t>3.0</w:t>
            </w:r>
          </w:p>
        </w:tc>
        <w:tc>
          <w:tcPr>
            <w:tcW w:w="1058" w:type="pct"/>
            <w:shd w:val="clear" w:color="auto" w:fill="auto"/>
            <w:vAlign w:val="center"/>
          </w:tcPr>
          <w:p w14:paraId="3D7E7533" w14:textId="77777777" w:rsidR="007D1E74" w:rsidRDefault="00A95641">
            <w:pPr>
              <w:jc w:val="center"/>
              <w:rPr>
                <w:rFonts w:cs="Times New Roman"/>
                <w:bCs/>
                <w:szCs w:val="21"/>
              </w:rPr>
            </w:pPr>
            <w:r>
              <w:rPr>
                <w:rFonts w:cs="Times New Roman"/>
                <w:bCs/>
                <w:szCs w:val="21"/>
              </w:rPr>
              <w:t>0.467</w:t>
            </w:r>
          </w:p>
        </w:tc>
        <w:tc>
          <w:tcPr>
            <w:tcW w:w="1058" w:type="pct"/>
            <w:vAlign w:val="center"/>
          </w:tcPr>
          <w:p w14:paraId="3762F40E" w14:textId="77777777" w:rsidR="007D1E74" w:rsidRDefault="00A95641">
            <w:pPr>
              <w:jc w:val="center"/>
              <w:rPr>
                <w:rFonts w:cs="Times New Roman"/>
                <w:bCs/>
                <w:szCs w:val="21"/>
              </w:rPr>
            </w:pPr>
            <w:r>
              <w:rPr>
                <w:rFonts w:cs="Times New Roman" w:hint="eastAsia"/>
                <w:bCs/>
                <w:szCs w:val="21"/>
              </w:rPr>
              <w:t>0</w:t>
            </w:r>
            <w:r>
              <w:rPr>
                <w:rFonts w:cs="Times New Roman"/>
                <w:bCs/>
                <w:szCs w:val="21"/>
              </w:rPr>
              <w:t>.233</w:t>
            </w:r>
          </w:p>
        </w:tc>
        <w:tc>
          <w:tcPr>
            <w:tcW w:w="1060" w:type="pct"/>
            <w:vAlign w:val="center"/>
          </w:tcPr>
          <w:p w14:paraId="6A397E59" w14:textId="77777777" w:rsidR="007D1E74" w:rsidRDefault="00A95641">
            <w:pPr>
              <w:jc w:val="center"/>
              <w:rPr>
                <w:rFonts w:cs="Times New Roman"/>
                <w:bCs/>
                <w:szCs w:val="21"/>
              </w:rPr>
            </w:pPr>
            <w:r>
              <w:rPr>
                <w:rFonts w:cs="Times New Roman" w:hint="eastAsia"/>
                <w:bCs/>
                <w:szCs w:val="21"/>
              </w:rPr>
              <w:t>0</w:t>
            </w:r>
            <w:r>
              <w:rPr>
                <w:rFonts w:cs="Times New Roman"/>
                <w:bCs/>
                <w:szCs w:val="21"/>
              </w:rPr>
              <w:t>.200</w:t>
            </w:r>
          </w:p>
        </w:tc>
      </w:tr>
      <w:tr w:rsidR="007D1E74" w14:paraId="15A72326" w14:textId="77777777">
        <w:trPr>
          <w:trHeight w:val="71"/>
        </w:trPr>
        <w:tc>
          <w:tcPr>
            <w:tcW w:w="910" w:type="pct"/>
            <w:shd w:val="clear" w:color="auto" w:fill="auto"/>
            <w:vAlign w:val="center"/>
          </w:tcPr>
          <w:p w14:paraId="331459D2" w14:textId="77777777" w:rsidR="007D1E74" w:rsidRDefault="00A95641">
            <w:pPr>
              <w:jc w:val="center"/>
              <w:rPr>
                <w:rFonts w:cs="Times New Roman"/>
                <w:szCs w:val="21"/>
              </w:rPr>
            </w:pPr>
            <w:r>
              <w:rPr>
                <w:rFonts w:cs="Times New Roman" w:hint="eastAsia"/>
                <w:szCs w:val="21"/>
              </w:rPr>
              <w:t>硫化物</w:t>
            </w:r>
          </w:p>
        </w:tc>
        <w:tc>
          <w:tcPr>
            <w:tcW w:w="914" w:type="pct"/>
            <w:vAlign w:val="center"/>
          </w:tcPr>
          <w:p w14:paraId="2EC693B9" w14:textId="77777777" w:rsidR="007D1E74" w:rsidRDefault="00A95641">
            <w:pPr>
              <w:jc w:val="center"/>
            </w:pPr>
            <w:r>
              <w:rPr>
                <w:rFonts w:cs="Times New Roman"/>
                <w:szCs w:val="21"/>
              </w:rPr>
              <w:t>0.02</w:t>
            </w:r>
          </w:p>
        </w:tc>
        <w:tc>
          <w:tcPr>
            <w:tcW w:w="1058" w:type="pct"/>
            <w:shd w:val="clear" w:color="auto" w:fill="auto"/>
          </w:tcPr>
          <w:p w14:paraId="131DF029" w14:textId="77777777" w:rsidR="007D1E74" w:rsidRDefault="00A95641">
            <w:pPr>
              <w:jc w:val="center"/>
              <w:rPr>
                <w:rFonts w:cs="Times New Roman"/>
                <w:szCs w:val="21"/>
              </w:rPr>
            </w:pPr>
            <w:r>
              <w:rPr>
                <w:rFonts w:cs="Times New Roman" w:hint="eastAsia"/>
                <w:szCs w:val="21"/>
              </w:rPr>
              <w:t>/</w:t>
            </w:r>
          </w:p>
        </w:tc>
        <w:tc>
          <w:tcPr>
            <w:tcW w:w="1058" w:type="pct"/>
          </w:tcPr>
          <w:p w14:paraId="7E930119" w14:textId="77777777" w:rsidR="007D1E74" w:rsidRDefault="00A95641">
            <w:pPr>
              <w:jc w:val="center"/>
              <w:rPr>
                <w:rFonts w:cs="Times New Roman"/>
                <w:szCs w:val="21"/>
              </w:rPr>
            </w:pPr>
            <w:r>
              <w:rPr>
                <w:rFonts w:cs="Times New Roman" w:hint="eastAsia"/>
                <w:szCs w:val="21"/>
              </w:rPr>
              <w:t>/</w:t>
            </w:r>
          </w:p>
        </w:tc>
        <w:tc>
          <w:tcPr>
            <w:tcW w:w="1060" w:type="pct"/>
          </w:tcPr>
          <w:p w14:paraId="689E22BA" w14:textId="77777777" w:rsidR="007D1E74" w:rsidRDefault="00A95641">
            <w:pPr>
              <w:jc w:val="center"/>
              <w:rPr>
                <w:rFonts w:cs="Times New Roman"/>
                <w:szCs w:val="21"/>
              </w:rPr>
            </w:pPr>
            <w:r>
              <w:rPr>
                <w:rFonts w:cs="Times New Roman" w:hint="eastAsia"/>
                <w:szCs w:val="21"/>
              </w:rPr>
              <w:t>/</w:t>
            </w:r>
          </w:p>
        </w:tc>
      </w:tr>
      <w:tr w:rsidR="007D1E74" w14:paraId="417BDDF0" w14:textId="77777777">
        <w:trPr>
          <w:trHeight w:val="71"/>
        </w:trPr>
        <w:tc>
          <w:tcPr>
            <w:tcW w:w="910" w:type="pct"/>
            <w:shd w:val="clear" w:color="auto" w:fill="auto"/>
            <w:vAlign w:val="center"/>
          </w:tcPr>
          <w:p w14:paraId="47FC19A8" w14:textId="77777777" w:rsidR="007D1E74" w:rsidRDefault="00A95641">
            <w:pPr>
              <w:jc w:val="center"/>
              <w:rPr>
                <w:rFonts w:cs="Times New Roman"/>
                <w:bCs/>
                <w:szCs w:val="21"/>
              </w:rPr>
            </w:pPr>
            <w:r>
              <w:rPr>
                <w:rFonts w:cs="Times New Roman" w:hint="eastAsia"/>
                <w:szCs w:val="21"/>
              </w:rPr>
              <w:t>总大肠菌群</w:t>
            </w:r>
          </w:p>
        </w:tc>
        <w:tc>
          <w:tcPr>
            <w:tcW w:w="914" w:type="pct"/>
            <w:vAlign w:val="center"/>
          </w:tcPr>
          <w:p w14:paraId="2D712C5B" w14:textId="77777777" w:rsidR="007D1E74" w:rsidRDefault="00A95641">
            <w:pPr>
              <w:jc w:val="center"/>
              <w:rPr>
                <w:rFonts w:cs="Times New Roman"/>
                <w:bCs/>
                <w:szCs w:val="21"/>
              </w:rPr>
            </w:pPr>
            <w:r>
              <w:rPr>
                <w:rFonts w:cs="Times New Roman"/>
                <w:szCs w:val="21"/>
              </w:rPr>
              <w:t>3.0</w:t>
            </w:r>
            <w:r>
              <w:rPr>
                <w:rFonts w:cs="Times New Roman" w:hint="eastAsia"/>
                <w:szCs w:val="21"/>
              </w:rPr>
              <w:t>MPN</w:t>
            </w:r>
            <w:r>
              <w:rPr>
                <w:rFonts w:cs="Times New Roman"/>
                <w:szCs w:val="21"/>
              </w:rPr>
              <w:t>/100mL</w:t>
            </w:r>
          </w:p>
        </w:tc>
        <w:tc>
          <w:tcPr>
            <w:tcW w:w="1058" w:type="pct"/>
            <w:shd w:val="clear" w:color="auto" w:fill="auto"/>
            <w:vAlign w:val="center"/>
          </w:tcPr>
          <w:p w14:paraId="69BF6F3B" w14:textId="77777777" w:rsidR="007D1E74" w:rsidRDefault="00A95641">
            <w:pPr>
              <w:jc w:val="center"/>
              <w:rPr>
                <w:rFonts w:cs="Times New Roman"/>
                <w:bCs/>
                <w:szCs w:val="21"/>
              </w:rPr>
            </w:pPr>
            <w:r>
              <w:rPr>
                <w:rFonts w:cs="Times New Roman" w:hint="eastAsia"/>
                <w:bCs/>
                <w:szCs w:val="21"/>
              </w:rPr>
              <w:t>&lt;</w:t>
            </w:r>
            <w:r>
              <w:rPr>
                <w:rFonts w:cs="Times New Roman"/>
                <w:bCs/>
                <w:szCs w:val="21"/>
              </w:rPr>
              <w:t>0.667</w:t>
            </w:r>
          </w:p>
        </w:tc>
        <w:tc>
          <w:tcPr>
            <w:tcW w:w="1058" w:type="pct"/>
            <w:vAlign w:val="center"/>
          </w:tcPr>
          <w:p w14:paraId="701B11E8" w14:textId="77777777" w:rsidR="007D1E74" w:rsidRDefault="00A95641">
            <w:pPr>
              <w:jc w:val="center"/>
            </w:pPr>
            <w:r>
              <w:rPr>
                <w:rFonts w:cs="Times New Roman" w:hint="eastAsia"/>
                <w:bCs/>
                <w:szCs w:val="21"/>
              </w:rPr>
              <w:t>&lt;</w:t>
            </w:r>
            <w:r>
              <w:rPr>
                <w:rFonts w:cs="Times New Roman"/>
                <w:bCs/>
                <w:szCs w:val="21"/>
              </w:rPr>
              <w:t>0.667</w:t>
            </w:r>
          </w:p>
        </w:tc>
        <w:tc>
          <w:tcPr>
            <w:tcW w:w="1060" w:type="pct"/>
            <w:vAlign w:val="center"/>
          </w:tcPr>
          <w:p w14:paraId="598AEB90" w14:textId="77777777" w:rsidR="007D1E74" w:rsidRDefault="00A95641">
            <w:pPr>
              <w:jc w:val="center"/>
            </w:pPr>
            <w:r>
              <w:rPr>
                <w:rFonts w:cs="Times New Roman" w:hint="eastAsia"/>
                <w:bCs/>
                <w:szCs w:val="21"/>
              </w:rPr>
              <w:t>&lt;</w:t>
            </w:r>
            <w:r>
              <w:rPr>
                <w:rFonts w:cs="Times New Roman"/>
                <w:bCs/>
                <w:szCs w:val="21"/>
              </w:rPr>
              <w:t>0.667</w:t>
            </w:r>
          </w:p>
        </w:tc>
      </w:tr>
      <w:tr w:rsidR="007D1E74" w14:paraId="0304E3A8" w14:textId="77777777">
        <w:trPr>
          <w:trHeight w:val="206"/>
        </w:trPr>
        <w:tc>
          <w:tcPr>
            <w:tcW w:w="910" w:type="pct"/>
            <w:shd w:val="clear" w:color="auto" w:fill="auto"/>
            <w:vAlign w:val="center"/>
          </w:tcPr>
          <w:p w14:paraId="47FE05DF" w14:textId="77777777" w:rsidR="007D1E74" w:rsidRDefault="00A95641">
            <w:pPr>
              <w:jc w:val="center"/>
              <w:rPr>
                <w:rFonts w:cs="Times New Roman"/>
                <w:bCs/>
                <w:szCs w:val="21"/>
              </w:rPr>
            </w:pPr>
            <w:r>
              <w:rPr>
                <w:rFonts w:cs="Times New Roman" w:hint="eastAsia"/>
                <w:szCs w:val="21"/>
              </w:rPr>
              <w:t>菌落总数</w:t>
            </w:r>
          </w:p>
        </w:tc>
        <w:tc>
          <w:tcPr>
            <w:tcW w:w="914" w:type="pct"/>
            <w:vAlign w:val="center"/>
          </w:tcPr>
          <w:p w14:paraId="77341300" w14:textId="77777777" w:rsidR="007D1E74" w:rsidRDefault="00A95641">
            <w:pPr>
              <w:jc w:val="center"/>
              <w:rPr>
                <w:rFonts w:cs="Times New Roman"/>
                <w:bCs/>
                <w:szCs w:val="21"/>
              </w:rPr>
            </w:pPr>
            <w:r>
              <w:rPr>
                <w:rFonts w:cs="Times New Roman"/>
                <w:szCs w:val="21"/>
              </w:rPr>
              <w:t>100</w:t>
            </w:r>
            <w:r>
              <w:rPr>
                <w:rFonts w:cs="Times New Roman" w:hint="eastAsia"/>
                <w:szCs w:val="21"/>
              </w:rPr>
              <w:t>CFU</w:t>
            </w:r>
            <w:r>
              <w:rPr>
                <w:rFonts w:cs="Times New Roman"/>
                <w:szCs w:val="21"/>
              </w:rPr>
              <w:t>/mL</w:t>
            </w:r>
          </w:p>
        </w:tc>
        <w:tc>
          <w:tcPr>
            <w:tcW w:w="1058" w:type="pct"/>
            <w:shd w:val="clear" w:color="auto" w:fill="auto"/>
            <w:vAlign w:val="center"/>
          </w:tcPr>
          <w:p w14:paraId="23C9E2C9" w14:textId="77777777" w:rsidR="007D1E74" w:rsidRDefault="00A95641">
            <w:pPr>
              <w:jc w:val="center"/>
              <w:rPr>
                <w:rFonts w:cs="Times New Roman"/>
                <w:bCs/>
                <w:szCs w:val="21"/>
              </w:rPr>
            </w:pPr>
            <w:r>
              <w:rPr>
                <w:rFonts w:cs="Times New Roman"/>
                <w:bCs/>
                <w:szCs w:val="21"/>
              </w:rPr>
              <w:t>0.020</w:t>
            </w:r>
          </w:p>
        </w:tc>
        <w:tc>
          <w:tcPr>
            <w:tcW w:w="1058" w:type="pct"/>
            <w:vAlign w:val="center"/>
          </w:tcPr>
          <w:p w14:paraId="130DEF32" w14:textId="77777777" w:rsidR="007D1E74" w:rsidRDefault="00A95641">
            <w:pPr>
              <w:jc w:val="center"/>
              <w:rPr>
                <w:rFonts w:cs="Times New Roman"/>
                <w:bCs/>
                <w:szCs w:val="21"/>
              </w:rPr>
            </w:pPr>
            <w:r>
              <w:rPr>
                <w:rFonts w:cs="Times New Roman"/>
                <w:bCs/>
                <w:szCs w:val="21"/>
              </w:rPr>
              <w:t>0.040</w:t>
            </w:r>
          </w:p>
        </w:tc>
        <w:tc>
          <w:tcPr>
            <w:tcW w:w="1060" w:type="pct"/>
            <w:vAlign w:val="center"/>
          </w:tcPr>
          <w:p w14:paraId="189E1128" w14:textId="77777777" w:rsidR="007D1E74" w:rsidRDefault="00A95641">
            <w:pPr>
              <w:jc w:val="center"/>
              <w:rPr>
                <w:rFonts w:cs="Times New Roman"/>
                <w:bCs/>
                <w:szCs w:val="21"/>
              </w:rPr>
            </w:pPr>
            <w:r>
              <w:rPr>
                <w:rFonts w:cs="Times New Roman"/>
                <w:bCs/>
                <w:szCs w:val="21"/>
              </w:rPr>
              <w:t>0.040</w:t>
            </w:r>
          </w:p>
        </w:tc>
      </w:tr>
    </w:tbl>
    <w:p w14:paraId="6D9E5961" w14:textId="77777777" w:rsidR="007D1E74" w:rsidRDefault="00A95641">
      <w:pPr>
        <w:spacing w:line="360" w:lineRule="auto"/>
        <w:ind w:firstLine="480"/>
        <w:rPr>
          <w:sz w:val="24"/>
        </w:rPr>
      </w:pPr>
      <w:r>
        <w:rPr>
          <w:rFonts w:hint="eastAsia"/>
          <w:sz w:val="24"/>
        </w:rPr>
        <w:t>结果表明，区域地下水监测指标浓度值均满足《地下水质量标准》（</w:t>
      </w:r>
      <w:r>
        <w:rPr>
          <w:rFonts w:hint="eastAsia"/>
          <w:sz w:val="24"/>
        </w:rPr>
        <w:t>GB/T14848-2017</w:t>
      </w:r>
      <w:r>
        <w:rPr>
          <w:rFonts w:hint="eastAsia"/>
          <w:sz w:val="24"/>
        </w:rPr>
        <w:t>）</w:t>
      </w:r>
      <w:r>
        <w:rPr>
          <w:rFonts w:hint="eastAsia"/>
          <w:sz w:val="24"/>
        </w:rPr>
        <w:t>III</w:t>
      </w:r>
      <w:r>
        <w:rPr>
          <w:rFonts w:hint="eastAsia"/>
          <w:sz w:val="24"/>
        </w:rPr>
        <w:t>类标准。</w:t>
      </w:r>
    </w:p>
    <w:p w14:paraId="6ED7C4AA" w14:textId="77777777" w:rsidR="007D1E74" w:rsidRDefault="00A95641">
      <w:pPr>
        <w:pStyle w:val="a9"/>
      </w:pPr>
      <w:r>
        <w:rPr>
          <w:rFonts w:hint="eastAsia"/>
        </w:rPr>
        <w:t>声环境质量现状监测与评价</w:t>
      </w:r>
    </w:p>
    <w:p w14:paraId="66A0AA36" w14:textId="77777777" w:rsidR="007D1E74" w:rsidRDefault="00A95641">
      <w:pPr>
        <w:spacing w:line="360" w:lineRule="auto"/>
        <w:ind w:firstLineChars="200" w:firstLine="480"/>
        <w:rPr>
          <w:rFonts w:cs="Times New Roman"/>
          <w:sz w:val="24"/>
          <w:szCs w:val="24"/>
        </w:rPr>
      </w:pPr>
      <w:r>
        <w:rPr>
          <w:rFonts w:hint="eastAsia"/>
          <w:sz w:val="24"/>
          <w:szCs w:val="24"/>
        </w:rPr>
        <w:t>为了解区域声环境质量现状，本次评价委托</w:t>
      </w:r>
      <w:r>
        <w:rPr>
          <w:rFonts w:hint="eastAsia"/>
          <w:sz w:val="24"/>
          <w:lang w:val="zh-CN"/>
        </w:rPr>
        <w:t>四川众兴诚检测科技有限公司</w:t>
      </w:r>
      <w:r>
        <w:rPr>
          <w:rFonts w:cs="Times New Roman" w:hint="eastAsia"/>
          <w:sz w:val="24"/>
          <w:szCs w:val="24"/>
        </w:rPr>
        <w:t>于</w:t>
      </w:r>
      <w:r>
        <w:rPr>
          <w:rFonts w:cs="Times New Roman" w:hint="eastAsia"/>
          <w:sz w:val="24"/>
          <w:szCs w:val="24"/>
        </w:rPr>
        <w:t>20</w:t>
      </w:r>
      <w:r>
        <w:rPr>
          <w:rFonts w:cs="Times New Roman"/>
          <w:sz w:val="24"/>
          <w:szCs w:val="24"/>
        </w:rPr>
        <w:t>21</w:t>
      </w:r>
      <w:r>
        <w:rPr>
          <w:rFonts w:cs="Times New Roman" w:hint="eastAsia"/>
          <w:sz w:val="24"/>
          <w:szCs w:val="24"/>
        </w:rPr>
        <w:t>年</w:t>
      </w:r>
      <w:r>
        <w:rPr>
          <w:rFonts w:cs="Times New Roman"/>
          <w:sz w:val="24"/>
          <w:szCs w:val="24"/>
        </w:rPr>
        <w:t>11</w:t>
      </w:r>
      <w:r>
        <w:rPr>
          <w:rFonts w:cs="Times New Roman" w:hint="eastAsia"/>
          <w:sz w:val="24"/>
          <w:szCs w:val="24"/>
        </w:rPr>
        <w:t>月</w:t>
      </w:r>
      <w:r>
        <w:rPr>
          <w:rFonts w:cs="Times New Roman"/>
          <w:sz w:val="24"/>
          <w:szCs w:val="24"/>
        </w:rPr>
        <w:t>9</w:t>
      </w:r>
      <w:r>
        <w:rPr>
          <w:rFonts w:cs="Times New Roman" w:hint="eastAsia"/>
          <w:sz w:val="24"/>
          <w:szCs w:val="24"/>
        </w:rPr>
        <w:t>日</w:t>
      </w:r>
      <w:r>
        <w:rPr>
          <w:rFonts w:cs="Times New Roman" w:hint="eastAsia"/>
          <w:sz w:val="24"/>
          <w:szCs w:val="24"/>
        </w:rPr>
        <w:t>~</w:t>
      </w:r>
      <w:r>
        <w:rPr>
          <w:rFonts w:cs="Times New Roman"/>
          <w:sz w:val="24"/>
          <w:szCs w:val="24"/>
        </w:rPr>
        <w:t>10</w:t>
      </w:r>
      <w:r>
        <w:rPr>
          <w:rFonts w:cs="Times New Roman"/>
          <w:sz w:val="24"/>
          <w:szCs w:val="24"/>
        </w:rPr>
        <w:t>日</w:t>
      </w:r>
      <w:r>
        <w:rPr>
          <w:rFonts w:cs="Times New Roman" w:hint="eastAsia"/>
          <w:sz w:val="24"/>
          <w:szCs w:val="24"/>
        </w:rPr>
        <w:t>、</w:t>
      </w:r>
      <w:r>
        <w:rPr>
          <w:rFonts w:cs="Times New Roman"/>
          <w:sz w:val="24"/>
          <w:szCs w:val="24"/>
        </w:rPr>
        <w:t>2021</w:t>
      </w:r>
      <w:r>
        <w:rPr>
          <w:rFonts w:cs="Times New Roman"/>
          <w:sz w:val="24"/>
          <w:szCs w:val="24"/>
        </w:rPr>
        <w:t>年</w:t>
      </w:r>
      <w:r>
        <w:rPr>
          <w:rFonts w:cs="Times New Roman" w:hint="eastAsia"/>
          <w:sz w:val="24"/>
          <w:szCs w:val="24"/>
        </w:rPr>
        <w:t>1</w:t>
      </w:r>
      <w:r>
        <w:rPr>
          <w:rFonts w:cs="Times New Roman"/>
          <w:sz w:val="24"/>
          <w:szCs w:val="24"/>
        </w:rPr>
        <w:t>1</w:t>
      </w:r>
      <w:r>
        <w:rPr>
          <w:rFonts w:cs="Times New Roman"/>
          <w:sz w:val="24"/>
          <w:szCs w:val="24"/>
        </w:rPr>
        <w:t>月</w:t>
      </w:r>
      <w:r>
        <w:rPr>
          <w:rFonts w:cs="Times New Roman" w:hint="eastAsia"/>
          <w:sz w:val="24"/>
          <w:szCs w:val="24"/>
        </w:rPr>
        <w:t>1</w:t>
      </w:r>
      <w:r>
        <w:rPr>
          <w:rFonts w:cs="Times New Roman"/>
          <w:sz w:val="24"/>
          <w:szCs w:val="24"/>
        </w:rPr>
        <w:t>2</w:t>
      </w:r>
      <w:r>
        <w:rPr>
          <w:rFonts w:cs="Times New Roman"/>
          <w:sz w:val="24"/>
          <w:szCs w:val="24"/>
        </w:rPr>
        <w:t>日</w:t>
      </w:r>
      <w:r>
        <w:rPr>
          <w:rFonts w:cs="Times New Roman"/>
          <w:sz w:val="24"/>
          <w:szCs w:val="24"/>
        </w:rPr>
        <w:t>~13</w:t>
      </w:r>
      <w:r>
        <w:rPr>
          <w:rFonts w:cs="Times New Roman"/>
          <w:sz w:val="24"/>
          <w:szCs w:val="24"/>
        </w:rPr>
        <w:t>日</w:t>
      </w:r>
      <w:r>
        <w:rPr>
          <w:rFonts w:cs="Times New Roman" w:hint="eastAsia"/>
          <w:sz w:val="24"/>
          <w:szCs w:val="24"/>
        </w:rPr>
        <w:t>对区域环境噪声进行监测（报告编号：</w:t>
      </w:r>
      <w:r>
        <w:rPr>
          <w:rFonts w:cs="Times New Roman" w:hint="eastAsia"/>
          <w:sz w:val="24"/>
          <w:szCs w:val="24"/>
        </w:rPr>
        <w:lastRenderedPageBreak/>
        <w:t>众（测）字</w:t>
      </w:r>
      <w:r>
        <w:rPr>
          <w:rFonts w:cs="Times New Roman" w:hint="eastAsia"/>
          <w:sz w:val="24"/>
          <w:szCs w:val="24"/>
        </w:rPr>
        <w:t>[2021]</w:t>
      </w:r>
      <w:r>
        <w:rPr>
          <w:rFonts w:cs="Times New Roman" w:hint="eastAsia"/>
          <w:sz w:val="24"/>
          <w:szCs w:val="24"/>
        </w:rPr>
        <w:t>第</w:t>
      </w:r>
      <w:r>
        <w:rPr>
          <w:rFonts w:cs="Times New Roman" w:hint="eastAsia"/>
          <w:sz w:val="24"/>
          <w:szCs w:val="24"/>
        </w:rPr>
        <w:t>0365-3</w:t>
      </w:r>
      <w:r>
        <w:rPr>
          <w:rFonts w:cs="Times New Roman" w:hint="eastAsia"/>
          <w:sz w:val="24"/>
          <w:szCs w:val="24"/>
        </w:rPr>
        <w:t>号）。</w:t>
      </w:r>
    </w:p>
    <w:p w14:paraId="3CAECE95" w14:textId="77777777" w:rsidR="007D1E74" w:rsidRDefault="00A95641">
      <w:pPr>
        <w:pStyle w:val="afffff7"/>
        <w:ind w:firstLine="482"/>
      </w:pPr>
      <w:r>
        <w:rPr>
          <w:rFonts w:hint="eastAsia"/>
          <w:lang w:val="zh-CN"/>
        </w:rPr>
        <w:t>1</w:t>
      </w:r>
      <w:r>
        <w:rPr>
          <w:rFonts w:hint="eastAsia"/>
          <w:lang w:val="zh-CN"/>
        </w:rPr>
        <w:t>、</w:t>
      </w:r>
      <w:r>
        <w:rPr>
          <w:rFonts w:hint="eastAsia"/>
        </w:rPr>
        <w:t>监测点位</w:t>
      </w:r>
    </w:p>
    <w:p w14:paraId="1937F25D" w14:textId="77777777" w:rsidR="007D1E74" w:rsidRDefault="00A95641">
      <w:pPr>
        <w:spacing w:line="360" w:lineRule="auto"/>
        <w:ind w:firstLineChars="200" w:firstLine="480"/>
        <w:rPr>
          <w:sz w:val="24"/>
          <w:szCs w:val="24"/>
        </w:rPr>
      </w:pPr>
      <w:r>
        <w:rPr>
          <w:rFonts w:hint="eastAsia"/>
          <w:sz w:val="24"/>
          <w:szCs w:val="24"/>
        </w:rPr>
        <w:t>本次环评</w:t>
      </w:r>
      <w:r>
        <w:rPr>
          <w:sz w:val="24"/>
          <w:szCs w:val="24"/>
        </w:rPr>
        <w:t>共设</w:t>
      </w:r>
      <w:r>
        <w:rPr>
          <w:sz w:val="24"/>
          <w:szCs w:val="24"/>
        </w:rPr>
        <w:t>30</w:t>
      </w:r>
      <w:r>
        <w:rPr>
          <w:sz w:val="24"/>
          <w:szCs w:val="24"/>
        </w:rPr>
        <w:t>个噪声监测点，监测点位置</w:t>
      </w:r>
      <w:r>
        <w:rPr>
          <w:rFonts w:hint="eastAsia"/>
          <w:sz w:val="24"/>
          <w:szCs w:val="24"/>
        </w:rPr>
        <w:t>见下表。</w:t>
      </w:r>
    </w:p>
    <w:p w14:paraId="12599129" w14:textId="77777777" w:rsidR="007D1E74" w:rsidRDefault="00A95641">
      <w:pPr>
        <w:pStyle w:val="afffffe"/>
        <w:numPr>
          <w:ilvl w:val="0"/>
          <w:numId w:val="42"/>
        </w:numPr>
        <w:spacing w:line="360" w:lineRule="auto"/>
        <w:ind w:firstLineChars="0"/>
        <w:jc w:val="center"/>
        <w:rPr>
          <w:rFonts w:eastAsia="黑体" w:cs="Times New Roman"/>
          <w:szCs w:val="21"/>
        </w:rPr>
      </w:pPr>
      <w:r>
        <w:rPr>
          <w:rFonts w:eastAsia="黑体" w:cs="Times New Roman" w:hint="eastAsia"/>
          <w:szCs w:val="21"/>
        </w:rPr>
        <w:t>噪声监测点分布表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0"/>
        <w:gridCol w:w="2061"/>
        <w:gridCol w:w="5035"/>
      </w:tblGrid>
      <w:tr w:rsidR="007D1E74" w14:paraId="0DD25697" w14:textId="77777777">
        <w:trPr>
          <w:tblHeader/>
        </w:trPr>
        <w:tc>
          <w:tcPr>
            <w:tcW w:w="1065" w:type="pct"/>
            <w:shd w:val="clear" w:color="auto" w:fill="auto"/>
            <w:vAlign w:val="center"/>
          </w:tcPr>
          <w:p w14:paraId="11228E4A" w14:textId="77777777" w:rsidR="007D1E74" w:rsidRDefault="00A95641">
            <w:pPr>
              <w:jc w:val="center"/>
              <w:rPr>
                <w:kern w:val="0"/>
                <w:szCs w:val="21"/>
              </w:rPr>
            </w:pPr>
            <w:r>
              <w:rPr>
                <w:rFonts w:hint="eastAsia"/>
                <w:kern w:val="0"/>
                <w:szCs w:val="21"/>
              </w:rPr>
              <w:t>编号</w:t>
            </w:r>
          </w:p>
        </w:tc>
        <w:tc>
          <w:tcPr>
            <w:tcW w:w="1143" w:type="pct"/>
            <w:vAlign w:val="center"/>
          </w:tcPr>
          <w:p w14:paraId="75B96FCA" w14:textId="77777777" w:rsidR="007D1E74" w:rsidRDefault="00A95641">
            <w:pPr>
              <w:jc w:val="center"/>
              <w:rPr>
                <w:kern w:val="0"/>
                <w:szCs w:val="21"/>
              </w:rPr>
            </w:pPr>
            <w:r>
              <w:rPr>
                <w:rFonts w:hint="eastAsia"/>
                <w:kern w:val="0"/>
                <w:szCs w:val="21"/>
              </w:rPr>
              <w:t>管线段</w:t>
            </w:r>
          </w:p>
        </w:tc>
        <w:tc>
          <w:tcPr>
            <w:tcW w:w="2792" w:type="pct"/>
            <w:shd w:val="clear" w:color="auto" w:fill="auto"/>
            <w:vAlign w:val="center"/>
          </w:tcPr>
          <w:p w14:paraId="6602A073" w14:textId="77777777" w:rsidR="007D1E74" w:rsidRDefault="00A95641">
            <w:pPr>
              <w:jc w:val="center"/>
              <w:rPr>
                <w:kern w:val="0"/>
                <w:szCs w:val="21"/>
              </w:rPr>
            </w:pPr>
            <w:r>
              <w:rPr>
                <w:kern w:val="0"/>
                <w:szCs w:val="21"/>
              </w:rPr>
              <w:t>监测点位</w:t>
            </w:r>
            <w:r>
              <w:rPr>
                <w:rFonts w:hint="eastAsia"/>
                <w:kern w:val="0"/>
                <w:szCs w:val="21"/>
              </w:rPr>
              <w:t>置</w:t>
            </w:r>
          </w:p>
        </w:tc>
      </w:tr>
      <w:tr w:rsidR="007D1E74" w14:paraId="33B6D10D" w14:textId="77777777">
        <w:tc>
          <w:tcPr>
            <w:tcW w:w="1065" w:type="pct"/>
            <w:shd w:val="clear" w:color="auto" w:fill="auto"/>
            <w:vAlign w:val="center"/>
          </w:tcPr>
          <w:p w14:paraId="5950872A" w14:textId="77777777" w:rsidR="007D1E74" w:rsidRDefault="00A95641">
            <w:pPr>
              <w:jc w:val="center"/>
              <w:rPr>
                <w:kern w:val="0"/>
                <w:szCs w:val="21"/>
              </w:rPr>
            </w:pPr>
            <w:r>
              <w:rPr>
                <w:rFonts w:hint="eastAsia"/>
                <w:kern w:val="0"/>
                <w:szCs w:val="21"/>
              </w:rPr>
              <w:t>1#</w:t>
            </w:r>
          </w:p>
        </w:tc>
        <w:tc>
          <w:tcPr>
            <w:tcW w:w="1143" w:type="pct"/>
            <w:vMerge w:val="restart"/>
            <w:vAlign w:val="center"/>
          </w:tcPr>
          <w:p w14:paraId="015E4BD3" w14:textId="77777777" w:rsidR="007D1E74" w:rsidRDefault="00A95641">
            <w:pPr>
              <w:jc w:val="center"/>
              <w:rPr>
                <w:kern w:val="0"/>
                <w:szCs w:val="21"/>
              </w:rPr>
            </w:pPr>
            <w:r>
              <w:rPr>
                <w:rFonts w:hint="eastAsia"/>
                <w:kern w:val="0"/>
                <w:szCs w:val="21"/>
              </w:rPr>
              <w:t>集气干线</w:t>
            </w:r>
          </w:p>
        </w:tc>
        <w:tc>
          <w:tcPr>
            <w:tcW w:w="2792" w:type="pct"/>
            <w:shd w:val="clear" w:color="auto" w:fill="auto"/>
            <w:vAlign w:val="center"/>
          </w:tcPr>
          <w:p w14:paraId="198F90E8" w14:textId="77777777" w:rsidR="007D1E74" w:rsidRDefault="00A95641">
            <w:pPr>
              <w:jc w:val="center"/>
              <w:rPr>
                <w:kern w:val="0"/>
                <w:szCs w:val="21"/>
              </w:rPr>
            </w:pPr>
            <w:r>
              <w:rPr>
                <w:rFonts w:hint="eastAsia"/>
                <w:kern w:val="0"/>
                <w:szCs w:val="21"/>
              </w:rPr>
              <w:t>1#</w:t>
            </w:r>
            <w:r>
              <w:rPr>
                <w:rFonts w:hint="eastAsia"/>
                <w:kern w:val="0"/>
                <w:szCs w:val="21"/>
              </w:rPr>
              <w:t>阀室南侧居民点</w:t>
            </w:r>
          </w:p>
        </w:tc>
      </w:tr>
      <w:tr w:rsidR="007D1E74" w14:paraId="5C56DAF6" w14:textId="77777777">
        <w:tc>
          <w:tcPr>
            <w:tcW w:w="1065" w:type="pct"/>
            <w:shd w:val="clear" w:color="auto" w:fill="auto"/>
            <w:vAlign w:val="center"/>
          </w:tcPr>
          <w:p w14:paraId="077EAA9E" w14:textId="77777777" w:rsidR="007D1E74" w:rsidRDefault="00A95641">
            <w:pPr>
              <w:jc w:val="center"/>
              <w:rPr>
                <w:kern w:val="0"/>
                <w:szCs w:val="21"/>
              </w:rPr>
            </w:pPr>
            <w:r>
              <w:rPr>
                <w:rFonts w:hint="eastAsia"/>
                <w:kern w:val="0"/>
                <w:szCs w:val="21"/>
              </w:rPr>
              <w:t>2#</w:t>
            </w:r>
          </w:p>
        </w:tc>
        <w:tc>
          <w:tcPr>
            <w:tcW w:w="1143" w:type="pct"/>
            <w:vMerge/>
            <w:vAlign w:val="center"/>
          </w:tcPr>
          <w:p w14:paraId="216424C9" w14:textId="77777777" w:rsidR="007D1E74" w:rsidRDefault="007D1E74">
            <w:pPr>
              <w:jc w:val="center"/>
              <w:rPr>
                <w:kern w:val="0"/>
                <w:szCs w:val="21"/>
              </w:rPr>
            </w:pPr>
          </w:p>
        </w:tc>
        <w:tc>
          <w:tcPr>
            <w:tcW w:w="2792" w:type="pct"/>
            <w:shd w:val="clear" w:color="auto" w:fill="auto"/>
            <w:vAlign w:val="center"/>
          </w:tcPr>
          <w:p w14:paraId="19E409C0" w14:textId="77777777" w:rsidR="007D1E74" w:rsidRDefault="00A95641">
            <w:pPr>
              <w:jc w:val="center"/>
              <w:rPr>
                <w:kern w:val="0"/>
                <w:szCs w:val="21"/>
              </w:rPr>
            </w:pPr>
            <w:r>
              <w:rPr>
                <w:rFonts w:hint="eastAsia"/>
                <w:kern w:val="0"/>
                <w:szCs w:val="21"/>
              </w:rPr>
              <w:t>高桥居民点</w:t>
            </w:r>
          </w:p>
        </w:tc>
      </w:tr>
      <w:tr w:rsidR="007D1E74" w14:paraId="74BE5F1C" w14:textId="77777777">
        <w:tc>
          <w:tcPr>
            <w:tcW w:w="1065" w:type="pct"/>
            <w:shd w:val="clear" w:color="auto" w:fill="auto"/>
            <w:vAlign w:val="center"/>
          </w:tcPr>
          <w:p w14:paraId="0B1AE726" w14:textId="77777777" w:rsidR="007D1E74" w:rsidRDefault="00A95641">
            <w:pPr>
              <w:jc w:val="center"/>
              <w:rPr>
                <w:kern w:val="0"/>
                <w:szCs w:val="21"/>
              </w:rPr>
            </w:pPr>
            <w:r>
              <w:rPr>
                <w:kern w:val="0"/>
                <w:szCs w:val="21"/>
              </w:rPr>
              <w:t>3</w:t>
            </w:r>
            <w:r>
              <w:rPr>
                <w:rFonts w:hint="eastAsia"/>
                <w:kern w:val="0"/>
                <w:szCs w:val="21"/>
              </w:rPr>
              <w:t>#</w:t>
            </w:r>
          </w:p>
        </w:tc>
        <w:tc>
          <w:tcPr>
            <w:tcW w:w="1143" w:type="pct"/>
            <w:vMerge/>
            <w:vAlign w:val="center"/>
          </w:tcPr>
          <w:p w14:paraId="22225B72" w14:textId="77777777" w:rsidR="007D1E74" w:rsidRDefault="007D1E74">
            <w:pPr>
              <w:jc w:val="center"/>
              <w:rPr>
                <w:kern w:val="0"/>
                <w:szCs w:val="21"/>
              </w:rPr>
            </w:pPr>
          </w:p>
        </w:tc>
        <w:tc>
          <w:tcPr>
            <w:tcW w:w="2792" w:type="pct"/>
            <w:shd w:val="clear" w:color="auto" w:fill="auto"/>
            <w:vAlign w:val="center"/>
          </w:tcPr>
          <w:p w14:paraId="1B1AF890" w14:textId="77777777" w:rsidR="007D1E74" w:rsidRDefault="00A95641">
            <w:pPr>
              <w:jc w:val="center"/>
              <w:rPr>
                <w:kern w:val="0"/>
                <w:szCs w:val="21"/>
              </w:rPr>
            </w:pPr>
            <w:r>
              <w:rPr>
                <w:rFonts w:hint="eastAsia"/>
                <w:kern w:val="0"/>
                <w:szCs w:val="21"/>
              </w:rPr>
              <w:t>桂花园居民点</w:t>
            </w:r>
          </w:p>
        </w:tc>
      </w:tr>
      <w:tr w:rsidR="007D1E74" w14:paraId="0929A02F" w14:textId="77777777">
        <w:tc>
          <w:tcPr>
            <w:tcW w:w="1065" w:type="pct"/>
            <w:shd w:val="clear" w:color="auto" w:fill="auto"/>
            <w:vAlign w:val="center"/>
          </w:tcPr>
          <w:p w14:paraId="4653BB38" w14:textId="77777777" w:rsidR="007D1E74" w:rsidRDefault="00A95641">
            <w:pPr>
              <w:jc w:val="center"/>
              <w:rPr>
                <w:kern w:val="0"/>
                <w:szCs w:val="21"/>
              </w:rPr>
            </w:pPr>
            <w:r>
              <w:rPr>
                <w:kern w:val="0"/>
                <w:szCs w:val="21"/>
              </w:rPr>
              <w:t>4</w:t>
            </w:r>
            <w:r>
              <w:rPr>
                <w:rFonts w:hint="eastAsia"/>
                <w:kern w:val="0"/>
                <w:szCs w:val="21"/>
              </w:rPr>
              <w:t>#</w:t>
            </w:r>
          </w:p>
        </w:tc>
        <w:tc>
          <w:tcPr>
            <w:tcW w:w="1143" w:type="pct"/>
            <w:vMerge/>
            <w:vAlign w:val="center"/>
          </w:tcPr>
          <w:p w14:paraId="15422B8A" w14:textId="77777777" w:rsidR="007D1E74" w:rsidRDefault="007D1E74">
            <w:pPr>
              <w:jc w:val="center"/>
              <w:rPr>
                <w:kern w:val="0"/>
                <w:szCs w:val="21"/>
              </w:rPr>
            </w:pPr>
          </w:p>
        </w:tc>
        <w:tc>
          <w:tcPr>
            <w:tcW w:w="2792" w:type="pct"/>
            <w:shd w:val="clear" w:color="auto" w:fill="auto"/>
            <w:vAlign w:val="center"/>
          </w:tcPr>
          <w:p w14:paraId="268CF898" w14:textId="77777777" w:rsidR="007D1E74" w:rsidRDefault="00A95641">
            <w:pPr>
              <w:jc w:val="center"/>
              <w:rPr>
                <w:kern w:val="0"/>
                <w:szCs w:val="21"/>
              </w:rPr>
            </w:pPr>
            <w:r>
              <w:rPr>
                <w:rFonts w:hint="eastAsia"/>
                <w:kern w:val="0"/>
                <w:szCs w:val="21"/>
              </w:rPr>
              <w:t>毛家河居民点</w:t>
            </w:r>
          </w:p>
        </w:tc>
      </w:tr>
      <w:tr w:rsidR="007D1E74" w14:paraId="5DA21E70" w14:textId="77777777">
        <w:tc>
          <w:tcPr>
            <w:tcW w:w="1065" w:type="pct"/>
            <w:shd w:val="clear" w:color="auto" w:fill="auto"/>
            <w:vAlign w:val="center"/>
          </w:tcPr>
          <w:p w14:paraId="1CF2F10F" w14:textId="77777777" w:rsidR="007D1E74" w:rsidRDefault="00A95641">
            <w:pPr>
              <w:jc w:val="center"/>
              <w:rPr>
                <w:kern w:val="0"/>
                <w:szCs w:val="21"/>
              </w:rPr>
            </w:pPr>
            <w:r>
              <w:rPr>
                <w:kern w:val="0"/>
                <w:szCs w:val="21"/>
              </w:rPr>
              <w:t>5</w:t>
            </w:r>
            <w:r>
              <w:rPr>
                <w:rFonts w:hint="eastAsia"/>
                <w:kern w:val="0"/>
                <w:szCs w:val="21"/>
              </w:rPr>
              <w:t>#</w:t>
            </w:r>
          </w:p>
        </w:tc>
        <w:tc>
          <w:tcPr>
            <w:tcW w:w="1143" w:type="pct"/>
            <w:vMerge/>
            <w:vAlign w:val="center"/>
          </w:tcPr>
          <w:p w14:paraId="2F1698F4" w14:textId="77777777" w:rsidR="007D1E74" w:rsidRDefault="007D1E74">
            <w:pPr>
              <w:jc w:val="center"/>
              <w:rPr>
                <w:kern w:val="0"/>
                <w:szCs w:val="21"/>
              </w:rPr>
            </w:pPr>
          </w:p>
        </w:tc>
        <w:tc>
          <w:tcPr>
            <w:tcW w:w="2792" w:type="pct"/>
            <w:shd w:val="clear" w:color="auto" w:fill="auto"/>
            <w:vAlign w:val="center"/>
          </w:tcPr>
          <w:p w14:paraId="10F68D94" w14:textId="77777777" w:rsidR="007D1E74" w:rsidRDefault="00A95641">
            <w:pPr>
              <w:jc w:val="center"/>
              <w:rPr>
                <w:kern w:val="0"/>
                <w:szCs w:val="21"/>
              </w:rPr>
            </w:pPr>
            <w:r>
              <w:rPr>
                <w:rFonts w:hint="eastAsia"/>
                <w:kern w:val="0"/>
                <w:szCs w:val="21"/>
              </w:rPr>
              <w:t>龙头咀居民点</w:t>
            </w:r>
          </w:p>
        </w:tc>
      </w:tr>
      <w:tr w:rsidR="007D1E74" w14:paraId="7429C9FA" w14:textId="77777777">
        <w:tc>
          <w:tcPr>
            <w:tcW w:w="1065" w:type="pct"/>
            <w:shd w:val="clear" w:color="auto" w:fill="auto"/>
            <w:vAlign w:val="center"/>
          </w:tcPr>
          <w:p w14:paraId="2F7686F4" w14:textId="77777777" w:rsidR="007D1E74" w:rsidRDefault="00A95641">
            <w:pPr>
              <w:jc w:val="center"/>
              <w:rPr>
                <w:kern w:val="0"/>
                <w:szCs w:val="21"/>
              </w:rPr>
            </w:pPr>
            <w:r>
              <w:rPr>
                <w:kern w:val="0"/>
                <w:szCs w:val="21"/>
              </w:rPr>
              <w:t>6</w:t>
            </w:r>
            <w:r>
              <w:rPr>
                <w:rFonts w:hint="eastAsia"/>
                <w:kern w:val="0"/>
                <w:szCs w:val="21"/>
              </w:rPr>
              <w:t>#</w:t>
            </w:r>
          </w:p>
        </w:tc>
        <w:tc>
          <w:tcPr>
            <w:tcW w:w="1143" w:type="pct"/>
            <w:vMerge/>
            <w:vAlign w:val="center"/>
          </w:tcPr>
          <w:p w14:paraId="7124176E" w14:textId="77777777" w:rsidR="007D1E74" w:rsidRDefault="007D1E74">
            <w:pPr>
              <w:jc w:val="center"/>
              <w:rPr>
                <w:kern w:val="0"/>
                <w:szCs w:val="21"/>
              </w:rPr>
            </w:pPr>
          </w:p>
        </w:tc>
        <w:tc>
          <w:tcPr>
            <w:tcW w:w="2792" w:type="pct"/>
            <w:shd w:val="clear" w:color="auto" w:fill="auto"/>
            <w:vAlign w:val="center"/>
          </w:tcPr>
          <w:p w14:paraId="10A3BA2B" w14:textId="77777777" w:rsidR="007D1E74" w:rsidRDefault="00A95641">
            <w:pPr>
              <w:jc w:val="center"/>
              <w:rPr>
                <w:kern w:val="0"/>
                <w:szCs w:val="21"/>
              </w:rPr>
            </w:pPr>
            <w:r>
              <w:rPr>
                <w:rFonts w:hint="eastAsia"/>
                <w:kern w:val="0"/>
                <w:szCs w:val="21"/>
              </w:rPr>
              <w:t>龙王庙居民点</w:t>
            </w:r>
          </w:p>
        </w:tc>
      </w:tr>
      <w:tr w:rsidR="007D1E74" w14:paraId="698EC4F4" w14:textId="77777777">
        <w:tc>
          <w:tcPr>
            <w:tcW w:w="1065" w:type="pct"/>
            <w:shd w:val="clear" w:color="auto" w:fill="auto"/>
            <w:vAlign w:val="center"/>
          </w:tcPr>
          <w:p w14:paraId="02366B2B" w14:textId="77777777" w:rsidR="007D1E74" w:rsidRDefault="00A95641">
            <w:pPr>
              <w:jc w:val="center"/>
              <w:rPr>
                <w:kern w:val="0"/>
                <w:szCs w:val="21"/>
              </w:rPr>
            </w:pPr>
            <w:r>
              <w:rPr>
                <w:kern w:val="0"/>
                <w:szCs w:val="21"/>
              </w:rPr>
              <w:t>7</w:t>
            </w:r>
            <w:r>
              <w:rPr>
                <w:rFonts w:hint="eastAsia"/>
                <w:kern w:val="0"/>
                <w:szCs w:val="21"/>
              </w:rPr>
              <w:t>#</w:t>
            </w:r>
          </w:p>
        </w:tc>
        <w:tc>
          <w:tcPr>
            <w:tcW w:w="1143" w:type="pct"/>
            <w:vMerge/>
            <w:vAlign w:val="center"/>
          </w:tcPr>
          <w:p w14:paraId="7CBA0119" w14:textId="77777777" w:rsidR="007D1E74" w:rsidRDefault="007D1E74">
            <w:pPr>
              <w:jc w:val="center"/>
              <w:rPr>
                <w:kern w:val="0"/>
                <w:szCs w:val="21"/>
              </w:rPr>
            </w:pPr>
          </w:p>
        </w:tc>
        <w:tc>
          <w:tcPr>
            <w:tcW w:w="2792" w:type="pct"/>
            <w:shd w:val="clear" w:color="auto" w:fill="auto"/>
            <w:vAlign w:val="center"/>
          </w:tcPr>
          <w:p w14:paraId="06C909EF" w14:textId="77777777" w:rsidR="007D1E74" w:rsidRDefault="00A95641">
            <w:pPr>
              <w:jc w:val="center"/>
              <w:rPr>
                <w:kern w:val="0"/>
                <w:szCs w:val="21"/>
              </w:rPr>
            </w:pPr>
            <w:r>
              <w:rPr>
                <w:rFonts w:hint="eastAsia"/>
                <w:kern w:val="0"/>
                <w:szCs w:val="21"/>
              </w:rPr>
              <w:t>大地岭居民点</w:t>
            </w:r>
          </w:p>
        </w:tc>
      </w:tr>
      <w:tr w:rsidR="007D1E74" w14:paraId="4893D629" w14:textId="77777777">
        <w:tc>
          <w:tcPr>
            <w:tcW w:w="1065" w:type="pct"/>
            <w:shd w:val="clear" w:color="auto" w:fill="auto"/>
            <w:vAlign w:val="center"/>
          </w:tcPr>
          <w:p w14:paraId="2526A826" w14:textId="77777777" w:rsidR="007D1E74" w:rsidRDefault="00A95641">
            <w:pPr>
              <w:jc w:val="center"/>
              <w:rPr>
                <w:kern w:val="0"/>
                <w:szCs w:val="21"/>
              </w:rPr>
            </w:pPr>
            <w:r>
              <w:rPr>
                <w:kern w:val="0"/>
                <w:szCs w:val="21"/>
              </w:rPr>
              <w:t>8</w:t>
            </w:r>
            <w:r>
              <w:rPr>
                <w:rFonts w:hint="eastAsia"/>
                <w:kern w:val="0"/>
                <w:szCs w:val="21"/>
              </w:rPr>
              <w:t>#</w:t>
            </w:r>
          </w:p>
        </w:tc>
        <w:tc>
          <w:tcPr>
            <w:tcW w:w="1143" w:type="pct"/>
            <w:vMerge/>
            <w:vAlign w:val="center"/>
          </w:tcPr>
          <w:p w14:paraId="570D75AC" w14:textId="77777777" w:rsidR="007D1E74" w:rsidRDefault="007D1E74">
            <w:pPr>
              <w:jc w:val="center"/>
              <w:rPr>
                <w:kern w:val="0"/>
                <w:szCs w:val="21"/>
              </w:rPr>
            </w:pPr>
          </w:p>
        </w:tc>
        <w:tc>
          <w:tcPr>
            <w:tcW w:w="2792" w:type="pct"/>
            <w:shd w:val="clear" w:color="auto" w:fill="auto"/>
            <w:vAlign w:val="center"/>
          </w:tcPr>
          <w:p w14:paraId="3A682658" w14:textId="77777777" w:rsidR="007D1E74" w:rsidRDefault="00A95641">
            <w:pPr>
              <w:jc w:val="center"/>
              <w:rPr>
                <w:kern w:val="0"/>
                <w:szCs w:val="21"/>
              </w:rPr>
            </w:pPr>
            <w:r>
              <w:rPr>
                <w:rFonts w:hint="eastAsia"/>
                <w:kern w:val="0"/>
                <w:szCs w:val="21"/>
              </w:rPr>
              <w:t>石板坪居民点</w:t>
            </w:r>
          </w:p>
        </w:tc>
      </w:tr>
      <w:tr w:rsidR="007D1E74" w14:paraId="14694594" w14:textId="77777777">
        <w:tc>
          <w:tcPr>
            <w:tcW w:w="1065" w:type="pct"/>
            <w:shd w:val="clear" w:color="auto" w:fill="auto"/>
            <w:vAlign w:val="center"/>
          </w:tcPr>
          <w:p w14:paraId="6A8BB4B7" w14:textId="77777777" w:rsidR="007D1E74" w:rsidRDefault="00A95641">
            <w:pPr>
              <w:jc w:val="center"/>
              <w:rPr>
                <w:kern w:val="0"/>
                <w:szCs w:val="21"/>
              </w:rPr>
            </w:pPr>
            <w:r>
              <w:rPr>
                <w:kern w:val="0"/>
                <w:szCs w:val="21"/>
              </w:rPr>
              <w:t>9</w:t>
            </w:r>
            <w:r>
              <w:rPr>
                <w:rFonts w:hint="eastAsia"/>
                <w:kern w:val="0"/>
                <w:szCs w:val="21"/>
              </w:rPr>
              <w:t>#</w:t>
            </w:r>
          </w:p>
        </w:tc>
        <w:tc>
          <w:tcPr>
            <w:tcW w:w="1143" w:type="pct"/>
            <w:vMerge/>
            <w:vAlign w:val="center"/>
          </w:tcPr>
          <w:p w14:paraId="0CA0B7CF" w14:textId="77777777" w:rsidR="007D1E74" w:rsidRDefault="007D1E74">
            <w:pPr>
              <w:jc w:val="center"/>
              <w:rPr>
                <w:kern w:val="0"/>
                <w:szCs w:val="21"/>
              </w:rPr>
            </w:pPr>
          </w:p>
        </w:tc>
        <w:tc>
          <w:tcPr>
            <w:tcW w:w="2792" w:type="pct"/>
            <w:shd w:val="clear" w:color="auto" w:fill="auto"/>
            <w:vAlign w:val="center"/>
          </w:tcPr>
          <w:p w14:paraId="0CB84630" w14:textId="77777777" w:rsidR="007D1E74" w:rsidRDefault="00A95641">
            <w:pPr>
              <w:jc w:val="center"/>
              <w:rPr>
                <w:kern w:val="0"/>
                <w:szCs w:val="21"/>
              </w:rPr>
            </w:pPr>
            <w:r>
              <w:rPr>
                <w:rFonts w:hint="eastAsia"/>
                <w:kern w:val="0"/>
                <w:szCs w:val="21"/>
              </w:rPr>
              <w:t>新春村居民点</w:t>
            </w:r>
          </w:p>
        </w:tc>
      </w:tr>
      <w:tr w:rsidR="007D1E74" w14:paraId="5117660E" w14:textId="77777777">
        <w:tc>
          <w:tcPr>
            <w:tcW w:w="1065" w:type="pct"/>
            <w:shd w:val="clear" w:color="auto" w:fill="auto"/>
            <w:vAlign w:val="center"/>
          </w:tcPr>
          <w:p w14:paraId="259F03B4" w14:textId="77777777" w:rsidR="007D1E74" w:rsidRDefault="00A95641">
            <w:pPr>
              <w:jc w:val="center"/>
              <w:rPr>
                <w:kern w:val="0"/>
                <w:szCs w:val="21"/>
              </w:rPr>
            </w:pPr>
            <w:r>
              <w:rPr>
                <w:kern w:val="0"/>
                <w:szCs w:val="21"/>
              </w:rPr>
              <w:t>10</w:t>
            </w:r>
            <w:r>
              <w:rPr>
                <w:rFonts w:hint="eastAsia"/>
                <w:kern w:val="0"/>
                <w:szCs w:val="21"/>
              </w:rPr>
              <w:t>#</w:t>
            </w:r>
          </w:p>
        </w:tc>
        <w:tc>
          <w:tcPr>
            <w:tcW w:w="1143" w:type="pct"/>
            <w:vMerge/>
            <w:vAlign w:val="center"/>
          </w:tcPr>
          <w:p w14:paraId="605DC810" w14:textId="77777777" w:rsidR="007D1E74" w:rsidRDefault="007D1E74">
            <w:pPr>
              <w:jc w:val="center"/>
              <w:rPr>
                <w:kern w:val="0"/>
                <w:szCs w:val="21"/>
              </w:rPr>
            </w:pPr>
          </w:p>
        </w:tc>
        <w:tc>
          <w:tcPr>
            <w:tcW w:w="2792" w:type="pct"/>
            <w:shd w:val="clear" w:color="auto" w:fill="auto"/>
            <w:vAlign w:val="center"/>
          </w:tcPr>
          <w:p w14:paraId="08D0E615" w14:textId="77777777" w:rsidR="007D1E74" w:rsidRDefault="00A95641">
            <w:pPr>
              <w:jc w:val="center"/>
              <w:rPr>
                <w:kern w:val="0"/>
                <w:szCs w:val="21"/>
              </w:rPr>
            </w:pPr>
            <w:r>
              <w:rPr>
                <w:rFonts w:hint="eastAsia"/>
                <w:kern w:val="0"/>
                <w:szCs w:val="21"/>
              </w:rPr>
              <w:t>大岩上居民点</w:t>
            </w:r>
          </w:p>
        </w:tc>
      </w:tr>
      <w:tr w:rsidR="007D1E74" w14:paraId="5AFF9193" w14:textId="77777777">
        <w:tc>
          <w:tcPr>
            <w:tcW w:w="1065" w:type="pct"/>
            <w:shd w:val="clear" w:color="auto" w:fill="auto"/>
            <w:vAlign w:val="center"/>
          </w:tcPr>
          <w:p w14:paraId="09B30A4B" w14:textId="77777777" w:rsidR="007D1E74" w:rsidRDefault="00A95641">
            <w:pPr>
              <w:jc w:val="center"/>
              <w:rPr>
                <w:kern w:val="0"/>
                <w:szCs w:val="21"/>
              </w:rPr>
            </w:pPr>
            <w:r>
              <w:rPr>
                <w:kern w:val="0"/>
                <w:szCs w:val="21"/>
              </w:rPr>
              <w:t>11</w:t>
            </w:r>
            <w:r>
              <w:rPr>
                <w:rFonts w:hint="eastAsia"/>
                <w:kern w:val="0"/>
                <w:szCs w:val="21"/>
              </w:rPr>
              <w:t>#</w:t>
            </w:r>
          </w:p>
        </w:tc>
        <w:tc>
          <w:tcPr>
            <w:tcW w:w="1143" w:type="pct"/>
            <w:vMerge/>
            <w:vAlign w:val="center"/>
          </w:tcPr>
          <w:p w14:paraId="349EA59B" w14:textId="77777777" w:rsidR="007D1E74" w:rsidRDefault="007D1E74">
            <w:pPr>
              <w:jc w:val="center"/>
              <w:rPr>
                <w:kern w:val="0"/>
                <w:szCs w:val="21"/>
              </w:rPr>
            </w:pPr>
          </w:p>
        </w:tc>
        <w:tc>
          <w:tcPr>
            <w:tcW w:w="2792" w:type="pct"/>
            <w:shd w:val="clear" w:color="auto" w:fill="auto"/>
            <w:vAlign w:val="center"/>
          </w:tcPr>
          <w:p w14:paraId="4543F44A" w14:textId="77777777" w:rsidR="007D1E74" w:rsidRDefault="00A95641">
            <w:pPr>
              <w:jc w:val="center"/>
              <w:rPr>
                <w:kern w:val="0"/>
                <w:szCs w:val="21"/>
              </w:rPr>
            </w:pPr>
            <w:r>
              <w:rPr>
                <w:rFonts w:hint="eastAsia"/>
                <w:kern w:val="0"/>
                <w:szCs w:val="21"/>
              </w:rPr>
              <w:t>石厂坝居民点</w:t>
            </w:r>
          </w:p>
        </w:tc>
      </w:tr>
      <w:tr w:rsidR="007D1E74" w14:paraId="750FD362" w14:textId="77777777">
        <w:tc>
          <w:tcPr>
            <w:tcW w:w="1065" w:type="pct"/>
            <w:shd w:val="clear" w:color="auto" w:fill="auto"/>
            <w:vAlign w:val="center"/>
          </w:tcPr>
          <w:p w14:paraId="19809450" w14:textId="77777777" w:rsidR="007D1E74" w:rsidRDefault="00A95641">
            <w:pPr>
              <w:jc w:val="center"/>
              <w:rPr>
                <w:kern w:val="0"/>
                <w:szCs w:val="21"/>
              </w:rPr>
            </w:pPr>
            <w:r>
              <w:rPr>
                <w:kern w:val="0"/>
                <w:szCs w:val="21"/>
              </w:rPr>
              <w:t>1</w:t>
            </w:r>
            <w:r>
              <w:rPr>
                <w:rFonts w:hint="eastAsia"/>
                <w:kern w:val="0"/>
                <w:szCs w:val="21"/>
              </w:rPr>
              <w:t>2#</w:t>
            </w:r>
          </w:p>
        </w:tc>
        <w:tc>
          <w:tcPr>
            <w:tcW w:w="1143" w:type="pct"/>
            <w:vMerge/>
            <w:vAlign w:val="center"/>
          </w:tcPr>
          <w:p w14:paraId="74C687B8" w14:textId="77777777" w:rsidR="007D1E74" w:rsidRDefault="007D1E74">
            <w:pPr>
              <w:jc w:val="center"/>
              <w:rPr>
                <w:kern w:val="0"/>
                <w:szCs w:val="21"/>
              </w:rPr>
            </w:pPr>
          </w:p>
        </w:tc>
        <w:tc>
          <w:tcPr>
            <w:tcW w:w="2792" w:type="pct"/>
            <w:shd w:val="clear" w:color="auto" w:fill="auto"/>
            <w:vAlign w:val="center"/>
          </w:tcPr>
          <w:p w14:paraId="7F5182B2" w14:textId="77777777" w:rsidR="007D1E74" w:rsidRDefault="00A95641">
            <w:pPr>
              <w:jc w:val="center"/>
              <w:rPr>
                <w:kern w:val="0"/>
                <w:szCs w:val="21"/>
              </w:rPr>
            </w:pPr>
            <w:r>
              <w:rPr>
                <w:rFonts w:hint="eastAsia"/>
                <w:kern w:val="0"/>
                <w:szCs w:val="21"/>
              </w:rPr>
              <w:t>脱水站北侧居民点</w:t>
            </w:r>
          </w:p>
        </w:tc>
      </w:tr>
      <w:tr w:rsidR="007D1E74" w14:paraId="692DF9F7" w14:textId="77777777">
        <w:tc>
          <w:tcPr>
            <w:tcW w:w="1065" w:type="pct"/>
            <w:shd w:val="clear" w:color="auto" w:fill="auto"/>
            <w:vAlign w:val="center"/>
          </w:tcPr>
          <w:p w14:paraId="7B2D4604" w14:textId="77777777" w:rsidR="007D1E74" w:rsidRDefault="00A95641">
            <w:pPr>
              <w:jc w:val="center"/>
              <w:rPr>
                <w:kern w:val="0"/>
                <w:szCs w:val="21"/>
              </w:rPr>
            </w:pPr>
            <w:r>
              <w:rPr>
                <w:kern w:val="0"/>
                <w:szCs w:val="21"/>
              </w:rPr>
              <w:t>13</w:t>
            </w:r>
            <w:r>
              <w:rPr>
                <w:rFonts w:hint="eastAsia"/>
                <w:kern w:val="0"/>
                <w:szCs w:val="21"/>
              </w:rPr>
              <w:t>#</w:t>
            </w:r>
          </w:p>
        </w:tc>
        <w:tc>
          <w:tcPr>
            <w:tcW w:w="1143" w:type="pct"/>
            <w:vMerge/>
            <w:vAlign w:val="center"/>
          </w:tcPr>
          <w:p w14:paraId="12E40B8E" w14:textId="77777777" w:rsidR="007D1E74" w:rsidRDefault="007D1E74">
            <w:pPr>
              <w:jc w:val="center"/>
              <w:rPr>
                <w:kern w:val="0"/>
                <w:szCs w:val="21"/>
              </w:rPr>
            </w:pPr>
          </w:p>
        </w:tc>
        <w:tc>
          <w:tcPr>
            <w:tcW w:w="2792" w:type="pct"/>
            <w:shd w:val="clear" w:color="auto" w:fill="auto"/>
            <w:vAlign w:val="center"/>
          </w:tcPr>
          <w:p w14:paraId="519C030D" w14:textId="77777777" w:rsidR="007D1E74" w:rsidRDefault="00A95641">
            <w:pPr>
              <w:jc w:val="center"/>
              <w:rPr>
                <w:kern w:val="0"/>
                <w:szCs w:val="21"/>
              </w:rPr>
            </w:pPr>
            <w:r>
              <w:rPr>
                <w:rFonts w:hint="eastAsia"/>
                <w:kern w:val="0"/>
                <w:szCs w:val="21"/>
              </w:rPr>
              <w:t>脱水站东侧居民点</w:t>
            </w:r>
          </w:p>
        </w:tc>
      </w:tr>
      <w:tr w:rsidR="007D1E74" w14:paraId="6D359296" w14:textId="77777777">
        <w:tc>
          <w:tcPr>
            <w:tcW w:w="1065" w:type="pct"/>
            <w:shd w:val="clear" w:color="auto" w:fill="auto"/>
            <w:vAlign w:val="center"/>
          </w:tcPr>
          <w:p w14:paraId="23DB5651" w14:textId="77777777" w:rsidR="007D1E74" w:rsidRDefault="00A95641">
            <w:pPr>
              <w:jc w:val="center"/>
              <w:rPr>
                <w:kern w:val="0"/>
                <w:szCs w:val="21"/>
              </w:rPr>
            </w:pPr>
            <w:r>
              <w:rPr>
                <w:kern w:val="0"/>
                <w:szCs w:val="21"/>
              </w:rPr>
              <w:t>14</w:t>
            </w:r>
            <w:r>
              <w:rPr>
                <w:rFonts w:hint="eastAsia"/>
                <w:kern w:val="0"/>
                <w:szCs w:val="21"/>
              </w:rPr>
              <w:t>#</w:t>
            </w:r>
          </w:p>
        </w:tc>
        <w:tc>
          <w:tcPr>
            <w:tcW w:w="1143" w:type="pct"/>
            <w:vMerge/>
            <w:vAlign w:val="center"/>
          </w:tcPr>
          <w:p w14:paraId="308B363F" w14:textId="77777777" w:rsidR="007D1E74" w:rsidRDefault="007D1E74">
            <w:pPr>
              <w:jc w:val="center"/>
              <w:rPr>
                <w:kern w:val="0"/>
                <w:szCs w:val="21"/>
              </w:rPr>
            </w:pPr>
          </w:p>
        </w:tc>
        <w:tc>
          <w:tcPr>
            <w:tcW w:w="2792" w:type="pct"/>
            <w:shd w:val="clear" w:color="auto" w:fill="auto"/>
            <w:vAlign w:val="center"/>
          </w:tcPr>
          <w:p w14:paraId="67ACDA0A" w14:textId="77777777" w:rsidR="007D1E74" w:rsidRDefault="00A95641">
            <w:pPr>
              <w:jc w:val="center"/>
              <w:rPr>
                <w:kern w:val="0"/>
                <w:szCs w:val="21"/>
              </w:rPr>
            </w:pPr>
            <w:r>
              <w:rPr>
                <w:rFonts w:hint="eastAsia"/>
                <w:kern w:val="0"/>
                <w:szCs w:val="21"/>
              </w:rPr>
              <w:t>脱水站西侧居民点</w:t>
            </w:r>
          </w:p>
        </w:tc>
      </w:tr>
      <w:tr w:rsidR="007D1E74" w14:paraId="3BBF316E" w14:textId="77777777">
        <w:tc>
          <w:tcPr>
            <w:tcW w:w="1065" w:type="pct"/>
            <w:shd w:val="clear" w:color="auto" w:fill="auto"/>
            <w:vAlign w:val="center"/>
          </w:tcPr>
          <w:p w14:paraId="3B458658" w14:textId="77777777" w:rsidR="007D1E74" w:rsidRDefault="00A95641">
            <w:pPr>
              <w:jc w:val="center"/>
              <w:rPr>
                <w:kern w:val="0"/>
                <w:szCs w:val="21"/>
              </w:rPr>
            </w:pPr>
            <w:r>
              <w:rPr>
                <w:kern w:val="0"/>
                <w:szCs w:val="21"/>
              </w:rPr>
              <w:t>15</w:t>
            </w:r>
            <w:r>
              <w:rPr>
                <w:rFonts w:hint="eastAsia"/>
                <w:kern w:val="0"/>
                <w:szCs w:val="21"/>
              </w:rPr>
              <w:t>#</w:t>
            </w:r>
          </w:p>
        </w:tc>
        <w:tc>
          <w:tcPr>
            <w:tcW w:w="1143" w:type="pct"/>
            <w:vMerge w:val="restart"/>
            <w:vAlign w:val="center"/>
          </w:tcPr>
          <w:p w14:paraId="753FAF90" w14:textId="77777777" w:rsidR="007D1E74" w:rsidRDefault="00A95641">
            <w:pPr>
              <w:jc w:val="center"/>
              <w:rPr>
                <w:kern w:val="0"/>
                <w:szCs w:val="21"/>
              </w:rPr>
            </w:pPr>
            <w:r>
              <w:rPr>
                <w:rFonts w:hint="eastAsia"/>
                <w:kern w:val="0"/>
                <w:szCs w:val="21"/>
              </w:rPr>
              <w:t>外输管道</w:t>
            </w:r>
          </w:p>
        </w:tc>
        <w:tc>
          <w:tcPr>
            <w:tcW w:w="2792" w:type="pct"/>
            <w:shd w:val="clear" w:color="auto" w:fill="auto"/>
            <w:vAlign w:val="center"/>
          </w:tcPr>
          <w:p w14:paraId="273F2019" w14:textId="77777777" w:rsidR="007D1E74" w:rsidRDefault="00A95641">
            <w:pPr>
              <w:jc w:val="center"/>
              <w:rPr>
                <w:kern w:val="0"/>
                <w:szCs w:val="21"/>
              </w:rPr>
            </w:pPr>
            <w:r>
              <w:rPr>
                <w:rFonts w:hint="eastAsia"/>
                <w:kern w:val="0"/>
                <w:szCs w:val="21"/>
              </w:rPr>
              <w:t>钻洞子居民点</w:t>
            </w:r>
          </w:p>
        </w:tc>
      </w:tr>
      <w:tr w:rsidR="007D1E74" w14:paraId="74049A78" w14:textId="77777777">
        <w:tc>
          <w:tcPr>
            <w:tcW w:w="1065" w:type="pct"/>
            <w:shd w:val="clear" w:color="auto" w:fill="auto"/>
            <w:vAlign w:val="center"/>
          </w:tcPr>
          <w:p w14:paraId="30D81457" w14:textId="77777777" w:rsidR="007D1E74" w:rsidRDefault="00A95641">
            <w:pPr>
              <w:jc w:val="center"/>
              <w:rPr>
                <w:kern w:val="0"/>
                <w:szCs w:val="21"/>
              </w:rPr>
            </w:pPr>
            <w:r>
              <w:rPr>
                <w:kern w:val="0"/>
                <w:szCs w:val="21"/>
              </w:rPr>
              <w:t>16</w:t>
            </w:r>
            <w:r>
              <w:rPr>
                <w:rFonts w:hint="eastAsia"/>
                <w:kern w:val="0"/>
                <w:szCs w:val="21"/>
              </w:rPr>
              <w:t>#</w:t>
            </w:r>
          </w:p>
        </w:tc>
        <w:tc>
          <w:tcPr>
            <w:tcW w:w="1143" w:type="pct"/>
            <w:vMerge/>
            <w:vAlign w:val="center"/>
          </w:tcPr>
          <w:p w14:paraId="6C911D1A" w14:textId="77777777" w:rsidR="007D1E74" w:rsidRDefault="007D1E74">
            <w:pPr>
              <w:jc w:val="center"/>
              <w:rPr>
                <w:kern w:val="0"/>
                <w:szCs w:val="21"/>
              </w:rPr>
            </w:pPr>
          </w:p>
        </w:tc>
        <w:tc>
          <w:tcPr>
            <w:tcW w:w="2792" w:type="pct"/>
            <w:shd w:val="clear" w:color="auto" w:fill="auto"/>
            <w:vAlign w:val="center"/>
          </w:tcPr>
          <w:p w14:paraId="161663F0" w14:textId="77777777" w:rsidR="007D1E74" w:rsidRDefault="00A95641">
            <w:pPr>
              <w:jc w:val="center"/>
              <w:rPr>
                <w:kern w:val="0"/>
                <w:szCs w:val="21"/>
              </w:rPr>
            </w:pPr>
            <w:r>
              <w:rPr>
                <w:rFonts w:hint="eastAsia"/>
                <w:kern w:val="0"/>
                <w:szCs w:val="21"/>
              </w:rPr>
              <w:t>余家坡居民点</w:t>
            </w:r>
          </w:p>
        </w:tc>
      </w:tr>
      <w:tr w:rsidR="007D1E74" w14:paraId="0FA6A0CB" w14:textId="77777777">
        <w:tc>
          <w:tcPr>
            <w:tcW w:w="1065" w:type="pct"/>
            <w:shd w:val="clear" w:color="auto" w:fill="auto"/>
            <w:vAlign w:val="center"/>
          </w:tcPr>
          <w:p w14:paraId="6FA6D4D8" w14:textId="77777777" w:rsidR="007D1E74" w:rsidRDefault="00A95641">
            <w:pPr>
              <w:jc w:val="center"/>
              <w:rPr>
                <w:kern w:val="0"/>
                <w:szCs w:val="21"/>
              </w:rPr>
            </w:pPr>
            <w:r>
              <w:rPr>
                <w:kern w:val="0"/>
                <w:szCs w:val="21"/>
              </w:rPr>
              <w:t>17</w:t>
            </w:r>
            <w:r>
              <w:rPr>
                <w:rFonts w:hint="eastAsia"/>
                <w:kern w:val="0"/>
                <w:szCs w:val="21"/>
              </w:rPr>
              <w:t>#</w:t>
            </w:r>
          </w:p>
        </w:tc>
        <w:tc>
          <w:tcPr>
            <w:tcW w:w="1143" w:type="pct"/>
            <w:vMerge/>
            <w:vAlign w:val="center"/>
          </w:tcPr>
          <w:p w14:paraId="6E4047FE" w14:textId="77777777" w:rsidR="007D1E74" w:rsidRDefault="007D1E74">
            <w:pPr>
              <w:jc w:val="center"/>
              <w:rPr>
                <w:kern w:val="0"/>
                <w:szCs w:val="21"/>
              </w:rPr>
            </w:pPr>
          </w:p>
        </w:tc>
        <w:tc>
          <w:tcPr>
            <w:tcW w:w="2792" w:type="pct"/>
            <w:shd w:val="clear" w:color="auto" w:fill="auto"/>
            <w:vAlign w:val="center"/>
          </w:tcPr>
          <w:p w14:paraId="3316E046" w14:textId="77777777" w:rsidR="007D1E74" w:rsidRDefault="00A95641">
            <w:pPr>
              <w:jc w:val="center"/>
              <w:rPr>
                <w:kern w:val="0"/>
                <w:szCs w:val="21"/>
              </w:rPr>
            </w:pPr>
            <w:r>
              <w:rPr>
                <w:rFonts w:hint="eastAsia"/>
                <w:kern w:val="0"/>
                <w:szCs w:val="21"/>
              </w:rPr>
              <w:t>旋子庙居民点</w:t>
            </w:r>
          </w:p>
        </w:tc>
      </w:tr>
      <w:tr w:rsidR="007D1E74" w14:paraId="39D04E55" w14:textId="77777777">
        <w:tc>
          <w:tcPr>
            <w:tcW w:w="1065" w:type="pct"/>
            <w:shd w:val="clear" w:color="auto" w:fill="auto"/>
            <w:vAlign w:val="center"/>
          </w:tcPr>
          <w:p w14:paraId="06734A8A" w14:textId="77777777" w:rsidR="007D1E74" w:rsidRDefault="00A95641">
            <w:pPr>
              <w:jc w:val="center"/>
              <w:rPr>
                <w:kern w:val="0"/>
                <w:szCs w:val="21"/>
              </w:rPr>
            </w:pPr>
            <w:r>
              <w:rPr>
                <w:kern w:val="0"/>
                <w:szCs w:val="21"/>
              </w:rPr>
              <w:t>18</w:t>
            </w:r>
            <w:r>
              <w:rPr>
                <w:rFonts w:hint="eastAsia"/>
                <w:kern w:val="0"/>
                <w:szCs w:val="21"/>
              </w:rPr>
              <w:t>#</w:t>
            </w:r>
          </w:p>
        </w:tc>
        <w:tc>
          <w:tcPr>
            <w:tcW w:w="1143" w:type="pct"/>
            <w:vMerge/>
            <w:vAlign w:val="center"/>
          </w:tcPr>
          <w:p w14:paraId="0FFF4BDB" w14:textId="77777777" w:rsidR="007D1E74" w:rsidRDefault="007D1E74">
            <w:pPr>
              <w:jc w:val="center"/>
              <w:rPr>
                <w:kern w:val="0"/>
                <w:szCs w:val="21"/>
              </w:rPr>
            </w:pPr>
          </w:p>
        </w:tc>
        <w:tc>
          <w:tcPr>
            <w:tcW w:w="2792" w:type="pct"/>
            <w:shd w:val="clear" w:color="auto" w:fill="auto"/>
            <w:vAlign w:val="center"/>
          </w:tcPr>
          <w:p w14:paraId="500DBB1E" w14:textId="77777777" w:rsidR="007D1E74" w:rsidRDefault="00A95641">
            <w:pPr>
              <w:jc w:val="center"/>
              <w:rPr>
                <w:kern w:val="0"/>
                <w:szCs w:val="21"/>
              </w:rPr>
            </w:pPr>
            <w:r>
              <w:rPr>
                <w:rFonts w:hint="eastAsia"/>
                <w:kern w:val="0"/>
                <w:szCs w:val="21"/>
              </w:rPr>
              <w:t>贾子缘居民点</w:t>
            </w:r>
          </w:p>
        </w:tc>
      </w:tr>
      <w:tr w:rsidR="007D1E74" w14:paraId="75A5F378" w14:textId="77777777">
        <w:tc>
          <w:tcPr>
            <w:tcW w:w="1065" w:type="pct"/>
            <w:shd w:val="clear" w:color="auto" w:fill="auto"/>
            <w:vAlign w:val="center"/>
          </w:tcPr>
          <w:p w14:paraId="0759E3F5" w14:textId="77777777" w:rsidR="007D1E74" w:rsidRDefault="00A95641">
            <w:pPr>
              <w:jc w:val="center"/>
              <w:rPr>
                <w:kern w:val="0"/>
                <w:szCs w:val="21"/>
              </w:rPr>
            </w:pPr>
            <w:r>
              <w:rPr>
                <w:kern w:val="0"/>
                <w:szCs w:val="21"/>
              </w:rPr>
              <w:t>19</w:t>
            </w:r>
            <w:r>
              <w:rPr>
                <w:rFonts w:hint="eastAsia"/>
                <w:kern w:val="0"/>
                <w:szCs w:val="21"/>
              </w:rPr>
              <w:t>#</w:t>
            </w:r>
          </w:p>
        </w:tc>
        <w:tc>
          <w:tcPr>
            <w:tcW w:w="1143" w:type="pct"/>
            <w:vMerge/>
            <w:vAlign w:val="center"/>
          </w:tcPr>
          <w:p w14:paraId="1E8ACFA6" w14:textId="77777777" w:rsidR="007D1E74" w:rsidRDefault="007D1E74">
            <w:pPr>
              <w:jc w:val="center"/>
              <w:rPr>
                <w:kern w:val="0"/>
                <w:szCs w:val="21"/>
              </w:rPr>
            </w:pPr>
          </w:p>
        </w:tc>
        <w:tc>
          <w:tcPr>
            <w:tcW w:w="2792" w:type="pct"/>
            <w:shd w:val="clear" w:color="auto" w:fill="auto"/>
            <w:vAlign w:val="center"/>
          </w:tcPr>
          <w:p w14:paraId="4E4CDC22" w14:textId="77777777" w:rsidR="007D1E74" w:rsidRDefault="00A95641">
            <w:pPr>
              <w:jc w:val="center"/>
              <w:rPr>
                <w:kern w:val="0"/>
                <w:szCs w:val="21"/>
              </w:rPr>
            </w:pPr>
            <w:r>
              <w:rPr>
                <w:rFonts w:hint="eastAsia"/>
                <w:kern w:val="0"/>
                <w:szCs w:val="21"/>
              </w:rPr>
              <w:t>马家院居民点</w:t>
            </w:r>
          </w:p>
        </w:tc>
      </w:tr>
      <w:tr w:rsidR="007D1E74" w14:paraId="16C30C27" w14:textId="77777777">
        <w:tc>
          <w:tcPr>
            <w:tcW w:w="1065" w:type="pct"/>
            <w:shd w:val="clear" w:color="auto" w:fill="auto"/>
            <w:vAlign w:val="center"/>
          </w:tcPr>
          <w:p w14:paraId="7A7A2ABE" w14:textId="77777777" w:rsidR="007D1E74" w:rsidRDefault="00A95641">
            <w:pPr>
              <w:jc w:val="center"/>
              <w:rPr>
                <w:kern w:val="0"/>
                <w:szCs w:val="21"/>
              </w:rPr>
            </w:pPr>
            <w:r>
              <w:rPr>
                <w:rFonts w:hint="eastAsia"/>
                <w:kern w:val="0"/>
                <w:szCs w:val="21"/>
              </w:rPr>
              <w:t>2</w:t>
            </w:r>
            <w:r>
              <w:rPr>
                <w:kern w:val="0"/>
                <w:szCs w:val="21"/>
              </w:rPr>
              <w:t>0</w:t>
            </w:r>
            <w:r>
              <w:rPr>
                <w:rFonts w:hint="eastAsia"/>
                <w:kern w:val="0"/>
                <w:szCs w:val="21"/>
              </w:rPr>
              <w:t>#</w:t>
            </w:r>
          </w:p>
        </w:tc>
        <w:tc>
          <w:tcPr>
            <w:tcW w:w="1143" w:type="pct"/>
            <w:vMerge/>
            <w:vAlign w:val="center"/>
          </w:tcPr>
          <w:p w14:paraId="3BC6A772" w14:textId="77777777" w:rsidR="007D1E74" w:rsidRDefault="007D1E74">
            <w:pPr>
              <w:jc w:val="center"/>
              <w:rPr>
                <w:kern w:val="0"/>
                <w:szCs w:val="21"/>
              </w:rPr>
            </w:pPr>
          </w:p>
        </w:tc>
        <w:tc>
          <w:tcPr>
            <w:tcW w:w="2792" w:type="pct"/>
            <w:shd w:val="clear" w:color="auto" w:fill="auto"/>
            <w:vAlign w:val="center"/>
          </w:tcPr>
          <w:p w14:paraId="4F1293F5" w14:textId="77777777" w:rsidR="007D1E74" w:rsidRDefault="00A95641">
            <w:pPr>
              <w:jc w:val="center"/>
              <w:rPr>
                <w:kern w:val="0"/>
                <w:szCs w:val="21"/>
              </w:rPr>
            </w:pPr>
            <w:r>
              <w:rPr>
                <w:rFonts w:hint="eastAsia"/>
                <w:kern w:val="0"/>
                <w:szCs w:val="21"/>
              </w:rPr>
              <w:t>活水沟村居民点</w:t>
            </w:r>
          </w:p>
        </w:tc>
      </w:tr>
      <w:tr w:rsidR="007D1E74" w14:paraId="527C8B0A" w14:textId="77777777">
        <w:tc>
          <w:tcPr>
            <w:tcW w:w="1065" w:type="pct"/>
            <w:shd w:val="clear" w:color="auto" w:fill="auto"/>
            <w:vAlign w:val="center"/>
          </w:tcPr>
          <w:p w14:paraId="53B5E818" w14:textId="77777777" w:rsidR="007D1E74" w:rsidRDefault="00A95641">
            <w:pPr>
              <w:jc w:val="center"/>
              <w:rPr>
                <w:kern w:val="0"/>
                <w:szCs w:val="21"/>
              </w:rPr>
            </w:pPr>
            <w:r>
              <w:rPr>
                <w:rFonts w:hint="eastAsia"/>
                <w:kern w:val="0"/>
                <w:szCs w:val="21"/>
              </w:rPr>
              <w:t>2</w:t>
            </w:r>
            <w:r>
              <w:rPr>
                <w:kern w:val="0"/>
                <w:szCs w:val="21"/>
              </w:rPr>
              <w:t>1</w:t>
            </w:r>
            <w:r>
              <w:rPr>
                <w:rFonts w:hint="eastAsia"/>
                <w:kern w:val="0"/>
                <w:szCs w:val="21"/>
              </w:rPr>
              <w:t>#</w:t>
            </w:r>
          </w:p>
        </w:tc>
        <w:tc>
          <w:tcPr>
            <w:tcW w:w="1143" w:type="pct"/>
            <w:vMerge/>
            <w:vAlign w:val="center"/>
          </w:tcPr>
          <w:p w14:paraId="0495B5D7" w14:textId="77777777" w:rsidR="007D1E74" w:rsidRDefault="007D1E74">
            <w:pPr>
              <w:jc w:val="center"/>
              <w:rPr>
                <w:kern w:val="0"/>
                <w:szCs w:val="21"/>
              </w:rPr>
            </w:pPr>
          </w:p>
        </w:tc>
        <w:tc>
          <w:tcPr>
            <w:tcW w:w="2792" w:type="pct"/>
            <w:shd w:val="clear" w:color="auto" w:fill="auto"/>
            <w:vAlign w:val="center"/>
          </w:tcPr>
          <w:p w14:paraId="7E6DB9C4" w14:textId="77777777" w:rsidR="007D1E74" w:rsidRDefault="00A95641">
            <w:pPr>
              <w:jc w:val="center"/>
              <w:rPr>
                <w:kern w:val="0"/>
                <w:szCs w:val="21"/>
              </w:rPr>
            </w:pPr>
            <w:r>
              <w:rPr>
                <w:rFonts w:hint="eastAsia"/>
                <w:kern w:val="0"/>
                <w:szCs w:val="21"/>
              </w:rPr>
              <w:t>草池增压站北侧厂界外</w:t>
            </w:r>
            <w:r>
              <w:rPr>
                <w:rFonts w:hint="eastAsia"/>
                <w:kern w:val="0"/>
                <w:szCs w:val="21"/>
              </w:rPr>
              <w:t>1m</w:t>
            </w:r>
            <w:r>
              <w:rPr>
                <w:rFonts w:hint="eastAsia"/>
                <w:kern w:val="0"/>
                <w:szCs w:val="21"/>
              </w:rPr>
              <w:t>处</w:t>
            </w:r>
          </w:p>
        </w:tc>
      </w:tr>
      <w:tr w:rsidR="007D1E74" w14:paraId="62CEC6F5" w14:textId="77777777">
        <w:tc>
          <w:tcPr>
            <w:tcW w:w="1065" w:type="pct"/>
            <w:shd w:val="clear" w:color="auto" w:fill="auto"/>
            <w:vAlign w:val="center"/>
          </w:tcPr>
          <w:p w14:paraId="0EEEDBC6" w14:textId="77777777" w:rsidR="007D1E74" w:rsidRDefault="00A95641">
            <w:pPr>
              <w:jc w:val="center"/>
              <w:rPr>
                <w:kern w:val="0"/>
                <w:szCs w:val="21"/>
              </w:rPr>
            </w:pPr>
            <w:r>
              <w:rPr>
                <w:rFonts w:hint="eastAsia"/>
                <w:kern w:val="0"/>
                <w:szCs w:val="21"/>
              </w:rPr>
              <w:t>2</w:t>
            </w:r>
            <w:r>
              <w:rPr>
                <w:kern w:val="0"/>
                <w:szCs w:val="21"/>
              </w:rPr>
              <w:t>2</w:t>
            </w:r>
            <w:r>
              <w:rPr>
                <w:rFonts w:hint="eastAsia"/>
                <w:kern w:val="0"/>
                <w:szCs w:val="21"/>
              </w:rPr>
              <w:t>#</w:t>
            </w:r>
          </w:p>
        </w:tc>
        <w:tc>
          <w:tcPr>
            <w:tcW w:w="1143" w:type="pct"/>
            <w:vMerge/>
            <w:vAlign w:val="center"/>
          </w:tcPr>
          <w:p w14:paraId="7C71E5EF" w14:textId="77777777" w:rsidR="007D1E74" w:rsidRDefault="007D1E74">
            <w:pPr>
              <w:jc w:val="center"/>
              <w:rPr>
                <w:kern w:val="0"/>
                <w:szCs w:val="21"/>
              </w:rPr>
            </w:pPr>
          </w:p>
        </w:tc>
        <w:tc>
          <w:tcPr>
            <w:tcW w:w="2792" w:type="pct"/>
            <w:shd w:val="clear" w:color="auto" w:fill="auto"/>
            <w:vAlign w:val="center"/>
          </w:tcPr>
          <w:p w14:paraId="388F0C11" w14:textId="77777777" w:rsidR="007D1E74" w:rsidRDefault="00A95641">
            <w:pPr>
              <w:jc w:val="center"/>
              <w:rPr>
                <w:kern w:val="0"/>
                <w:szCs w:val="21"/>
              </w:rPr>
            </w:pPr>
            <w:r>
              <w:rPr>
                <w:rFonts w:hint="eastAsia"/>
                <w:kern w:val="0"/>
                <w:szCs w:val="21"/>
              </w:rPr>
              <w:t>草池增压站东侧厂界外</w:t>
            </w:r>
            <w:r>
              <w:rPr>
                <w:rFonts w:hint="eastAsia"/>
                <w:kern w:val="0"/>
                <w:szCs w:val="21"/>
              </w:rPr>
              <w:t>1m</w:t>
            </w:r>
            <w:r>
              <w:rPr>
                <w:rFonts w:hint="eastAsia"/>
                <w:kern w:val="0"/>
                <w:szCs w:val="21"/>
              </w:rPr>
              <w:t>处</w:t>
            </w:r>
          </w:p>
        </w:tc>
      </w:tr>
      <w:tr w:rsidR="007D1E74" w14:paraId="5327D651" w14:textId="77777777">
        <w:tc>
          <w:tcPr>
            <w:tcW w:w="1065" w:type="pct"/>
            <w:shd w:val="clear" w:color="auto" w:fill="auto"/>
            <w:vAlign w:val="center"/>
          </w:tcPr>
          <w:p w14:paraId="31B39C97" w14:textId="77777777" w:rsidR="007D1E74" w:rsidRDefault="00A95641">
            <w:pPr>
              <w:jc w:val="center"/>
              <w:rPr>
                <w:kern w:val="0"/>
                <w:szCs w:val="21"/>
              </w:rPr>
            </w:pPr>
            <w:r>
              <w:rPr>
                <w:rFonts w:hint="eastAsia"/>
                <w:kern w:val="0"/>
                <w:szCs w:val="21"/>
              </w:rPr>
              <w:t>2</w:t>
            </w:r>
            <w:r>
              <w:rPr>
                <w:kern w:val="0"/>
                <w:szCs w:val="21"/>
              </w:rPr>
              <w:t>3</w:t>
            </w:r>
            <w:r>
              <w:rPr>
                <w:rFonts w:hint="eastAsia"/>
                <w:kern w:val="0"/>
                <w:szCs w:val="21"/>
              </w:rPr>
              <w:t>#</w:t>
            </w:r>
          </w:p>
        </w:tc>
        <w:tc>
          <w:tcPr>
            <w:tcW w:w="1143" w:type="pct"/>
            <w:vMerge/>
            <w:vAlign w:val="center"/>
          </w:tcPr>
          <w:p w14:paraId="528B22CC" w14:textId="77777777" w:rsidR="007D1E74" w:rsidRDefault="007D1E74">
            <w:pPr>
              <w:jc w:val="center"/>
              <w:rPr>
                <w:kern w:val="0"/>
                <w:szCs w:val="21"/>
              </w:rPr>
            </w:pPr>
          </w:p>
        </w:tc>
        <w:tc>
          <w:tcPr>
            <w:tcW w:w="2792" w:type="pct"/>
            <w:shd w:val="clear" w:color="auto" w:fill="auto"/>
            <w:vAlign w:val="center"/>
          </w:tcPr>
          <w:p w14:paraId="3EC2D310" w14:textId="77777777" w:rsidR="007D1E74" w:rsidRDefault="00A95641">
            <w:pPr>
              <w:jc w:val="center"/>
              <w:rPr>
                <w:kern w:val="0"/>
                <w:szCs w:val="21"/>
              </w:rPr>
            </w:pPr>
            <w:r>
              <w:rPr>
                <w:rFonts w:hint="eastAsia"/>
                <w:kern w:val="0"/>
                <w:szCs w:val="21"/>
              </w:rPr>
              <w:t>草池增压站西侧厂界外</w:t>
            </w:r>
            <w:r>
              <w:rPr>
                <w:rFonts w:hint="eastAsia"/>
                <w:kern w:val="0"/>
                <w:szCs w:val="21"/>
              </w:rPr>
              <w:t>1m</w:t>
            </w:r>
            <w:r>
              <w:rPr>
                <w:rFonts w:hint="eastAsia"/>
                <w:kern w:val="0"/>
                <w:szCs w:val="21"/>
              </w:rPr>
              <w:t>处</w:t>
            </w:r>
          </w:p>
        </w:tc>
      </w:tr>
      <w:tr w:rsidR="007D1E74" w14:paraId="3D1D6799" w14:textId="77777777">
        <w:tc>
          <w:tcPr>
            <w:tcW w:w="1065" w:type="pct"/>
            <w:shd w:val="clear" w:color="auto" w:fill="auto"/>
            <w:vAlign w:val="center"/>
          </w:tcPr>
          <w:p w14:paraId="3A55C289" w14:textId="77777777" w:rsidR="007D1E74" w:rsidRDefault="00A95641">
            <w:pPr>
              <w:jc w:val="center"/>
              <w:rPr>
                <w:kern w:val="0"/>
                <w:szCs w:val="21"/>
              </w:rPr>
            </w:pPr>
            <w:r>
              <w:rPr>
                <w:rFonts w:hint="eastAsia"/>
                <w:kern w:val="0"/>
                <w:szCs w:val="21"/>
              </w:rPr>
              <w:t>2</w:t>
            </w:r>
            <w:r>
              <w:rPr>
                <w:kern w:val="0"/>
                <w:szCs w:val="21"/>
              </w:rPr>
              <w:t>4</w:t>
            </w:r>
            <w:r>
              <w:rPr>
                <w:rFonts w:hint="eastAsia"/>
                <w:kern w:val="0"/>
                <w:szCs w:val="21"/>
              </w:rPr>
              <w:t>#</w:t>
            </w:r>
          </w:p>
        </w:tc>
        <w:tc>
          <w:tcPr>
            <w:tcW w:w="1143" w:type="pct"/>
            <w:vMerge/>
            <w:vAlign w:val="center"/>
          </w:tcPr>
          <w:p w14:paraId="0714C4D6" w14:textId="77777777" w:rsidR="007D1E74" w:rsidRDefault="007D1E74">
            <w:pPr>
              <w:jc w:val="center"/>
              <w:rPr>
                <w:kern w:val="0"/>
                <w:szCs w:val="21"/>
              </w:rPr>
            </w:pPr>
          </w:p>
        </w:tc>
        <w:tc>
          <w:tcPr>
            <w:tcW w:w="2792" w:type="pct"/>
            <w:shd w:val="clear" w:color="auto" w:fill="auto"/>
            <w:vAlign w:val="center"/>
          </w:tcPr>
          <w:p w14:paraId="42CFE8A9" w14:textId="77777777" w:rsidR="007D1E74" w:rsidRDefault="00A95641">
            <w:pPr>
              <w:jc w:val="center"/>
              <w:rPr>
                <w:kern w:val="0"/>
                <w:szCs w:val="21"/>
              </w:rPr>
            </w:pPr>
            <w:r>
              <w:rPr>
                <w:rFonts w:hint="eastAsia"/>
                <w:kern w:val="0"/>
                <w:szCs w:val="21"/>
              </w:rPr>
              <w:t>草池增压站南侧厂界外</w:t>
            </w:r>
            <w:r>
              <w:rPr>
                <w:rFonts w:hint="eastAsia"/>
                <w:kern w:val="0"/>
                <w:szCs w:val="21"/>
              </w:rPr>
              <w:t>1m</w:t>
            </w:r>
            <w:r>
              <w:rPr>
                <w:rFonts w:hint="eastAsia"/>
                <w:kern w:val="0"/>
                <w:szCs w:val="21"/>
              </w:rPr>
              <w:t>处</w:t>
            </w:r>
          </w:p>
        </w:tc>
      </w:tr>
      <w:tr w:rsidR="007D1E74" w14:paraId="0EB30B87" w14:textId="77777777">
        <w:tc>
          <w:tcPr>
            <w:tcW w:w="1065" w:type="pct"/>
            <w:shd w:val="clear" w:color="auto" w:fill="auto"/>
            <w:vAlign w:val="center"/>
          </w:tcPr>
          <w:p w14:paraId="2C1C2802" w14:textId="77777777" w:rsidR="007D1E74" w:rsidRDefault="00A95641">
            <w:pPr>
              <w:jc w:val="center"/>
              <w:rPr>
                <w:kern w:val="0"/>
                <w:szCs w:val="21"/>
              </w:rPr>
            </w:pPr>
            <w:r>
              <w:rPr>
                <w:rFonts w:hint="eastAsia"/>
                <w:kern w:val="0"/>
                <w:szCs w:val="21"/>
              </w:rPr>
              <w:t>2</w:t>
            </w:r>
            <w:r>
              <w:rPr>
                <w:kern w:val="0"/>
                <w:szCs w:val="21"/>
              </w:rPr>
              <w:t>5</w:t>
            </w:r>
            <w:r>
              <w:rPr>
                <w:rFonts w:hint="eastAsia"/>
                <w:kern w:val="0"/>
                <w:szCs w:val="21"/>
              </w:rPr>
              <w:t>#</w:t>
            </w:r>
          </w:p>
        </w:tc>
        <w:tc>
          <w:tcPr>
            <w:tcW w:w="1143" w:type="pct"/>
            <w:vMerge/>
            <w:vAlign w:val="center"/>
          </w:tcPr>
          <w:p w14:paraId="4F379CE2" w14:textId="77777777" w:rsidR="007D1E74" w:rsidRDefault="007D1E74">
            <w:pPr>
              <w:jc w:val="center"/>
              <w:rPr>
                <w:kern w:val="0"/>
                <w:szCs w:val="21"/>
              </w:rPr>
            </w:pPr>
          </w:p>
        </w:tc>
        <w:tc>
          <w:tcPr>
            <w:tcW w:w="2792" w:type="pct"/>
            <w:shd w:val="clear" w:color="auto" w:fill="auto"/>
            <w:vAlign w:val="center"/>
          </w:tcPr>
          <w:p w14:paraId="238A60DF" w14:textId="77777777" w:rsidR="007D1E74" w:rsidRDefault="00A95641">
            <w:pPr>
              <w:jc w:val="center"/>
              <w:rPr>
                <w:kern w:val="0"/>
                <w:szCs w:val="21"/>
              </w:rPr>
            </w:pPr>
            <w:r>
              <w:rPr>
                <w:rFonts w:hint="eastAsia"/>
                <w:kern w:val="0"/>
                <w:szCs w:val="21"/>
              </w:rPr>
              <w:t>草池增压站东侧居民点</w:t>
            </w:r>
          </w:p>
        </w:tc>
      </w:tr>
      <w:tr w:rsidR="007D1E74" w14:paraId="6C4CBFF4" w14:textId="77777777">
        <w:tc>
          <w:tcPr>
            <w:tcW w:w="1065" w:type="pct"/>
            <w:shd w:val="clear" w:color="auto" w:fill="auto"/>
            <w:vAlign w:val="center"/>
          </w:tcPr>
          <w:p w14:paraId="05CDFC95" w14:textId="77777777" w:rsidR="007D1E74" w:rsidRDefault="00A95641">
            <w:pPr>
              <w:jc w:val="center"/>
              <w:rPr>
                <w:kern w:val="0"/>
                <w:szCs w:val="21"/>
              </w:rPr>
            </w:pPr>
            <w:r>
              <w:rPr>
                <w:rFonts w:hint="eastAsia"/>
                <w:kern w:val="0"/>
                <w:szCs w:val="21"/>
              </w:rPr>
              <w:t>A</w:t>
            </w:r>
            <w:r>
              <w:rPr>
                <w:kern w:val="0"/>
                <w:szCs w:val="21"/>
              </w:rPr>
              <w:t>1</w:t>
            </w:r>
          </w:p>
        </w:tc>
        <w:tc>
          <w:tcPr>
            <w:tcW w:w="1143" w:type="pct"/>
            <w:vMerge w:val="restart"/>
            <w:vAlign w:val="center"/>
          </w:tcPr>
          <w:p w14:paraId="4A5F9EFE" w14:textId="77777777" w:rsidR="007D1E74" w:rsidRDefault="00A95641">
            <w:pPr>
              <w:jc w:val="center"/>
              <w:rPr>
                <w:kern w:val="0"/>
                <w:szCs w:val="21"/>
              </w:rPr>
            </w:pPr>
            <w:r>
              <w:rPr>
                <w:rFonts w:hint="eastAsia"/>
                <w:kern w:val="0"/>
                <w:szCs w:val="21"/>
              </w:rPr>
              <w:t>马</w:t>
            </w:r>
            <w:r>
              <w:rPr>
                <w:rFonts w:hint="eastAsia"/>
                <w:kern w:val="0"/>
                <w:szCs w:val="21"/>
              </w:rPr>
              <w:t>1-13H</w:t>
            </w:r>
            <w:r>
              <w:rPr>
                <w:rFonts w:hint="eastAsia"/>
                <w:kern w:val="0"/>
                <w:szCs w:val="21"/>
              </w:rPr>
              <w:t>采气井场至干线集气支线</w:t>
            </w:r>
          </w:p>
        </w:tc>
        <w:tc>
          <w:tcPr>
            <w:tcW w:w="2792" w:type="pct"/>
            <w:shd w:val="clear" w:color="auto" w:fill="auto"/>
            <w:vAlign w:val="center"/>
          </w:tcPr>
          <w:p w14:paraId="51635F52" w14:textId="77777777" w:rsidR="007D1E74" w:rsidRDefault="00A95641">
            <w:pPr>
              <w:jc w:val="center"/>
              <w:rPr>
                <w:kern w:val="0"/>
                <w:szCs w:val="21"/>
              </w:rPr>
            </w:pPr>
            <w:r>
              <w:rPr>
                <w:rFonts w:hint="eastAsia"/>
                <w:kern w:val="0"/>
                <w:szCs w:val="21"/>
              </w:rPr>
              <w:t>马</w:t>
            </w:r>
            <w:r>
              <w:rPr>
                <w:rFonts w:hint="eastAsia"/>
                <w:kern w:val="0"/>
                <w:szCs w:val="21"/>
              </w:rPr>
              <w:t>1-</w:t>
            </w:r>
            <w:r>
              <w:rPr>
                <w:kern w:val="0"/>
                <w:szCs w:val="21"/>
              </w:rPr>
              <w:t>13</w:t>
            </w:r>
            <w:r>
              <w:rPr>
                <w:rFonts w:hint="eastAsia"/>
                <w:kern w:val="0"/>
                <w:szCs w:val="21"/>
              </w:rPr>
              <w:t>H</w:t>
            </w:r>
            <w:r>
              <w:rPr>
                <w:rFonts w:hint="eastAsia"/>
                <w:kern w:val="0"/>
                <w:szCs w:val="21"/>
              </w:rPr>
              <w:t>井北侧居民点</w:t>
            </w:r>
          </w:p>
        </w:tc>
      </w:tr>
      <w:tr w:rsidR="007D1E74" w14:paraId="5EEF79DC" w14:textId="77777777">
        <w:tc>
          <w:tcPr>
            <w:tcW w:w="1065" w:type="pct"/>
            <w:shd w:val="clear" w:color="auto" w:fill="auto"/>
            <w:vAlign w:val="center"/>
          </w:tcPr>
          <w:p w14:paraId="576CD472" w14:textId="77777777" w:rsidR="007D1E74" w:rsidRDefault="00A95641">
            <w:pPr>
              <w:jc w:val="center"/>
              <w:rPr>
                <w:kern w:val="0"/>
                <w:szCs w:val="21"/>
              </w:rPr>
            </w:pPr>
            <w:r>
              <w:rPr>
                <w:rFonts w:hint="eastAsia"/>
                <w:kern w:val="0"/>
                <w:szCs w:val="21"/>
              </w:rPr>
              <w:t>A</w:t>
            </w:r>
            <w:r>
              <w:rPr>
                <w:kern w:val="0"/>
                <w:szCs w:val="21"/>
              </w:rPr>
              <w:t>2</w:t>
            </w:r>
          </w:p>
        </w:tc>
        <w:tc>
          <w:tcPr>
            <w:tcW w:w="1143" w:type="pct"/>
            <w:vMerge/>
            <w:vAlign w:val="center"/>
          </w:tcPr>
          <w:p w14:paraId="051F0D55" w14:textId="77777777" w:rsidR="007D1E74" w:rsidRDefault="007D1E74">
            <w:pPr>
              <w:jc w:val="center"/>
              <w:rPr>
                <w:kern w:val="0"/>
                <w:szCs w:val="21"/>
              </w:rPr>
            </w:pPr>
          </w:p>
        </w:tc>
        <w:tc>
          <w:tcPr>
            <w:tcW w:w="2792" w:type="pct"/>
            <w:shd w:val="clear" w:color="auto" w:fill="auto"/>
            <w:vAlign w:val="center"/>
          </w:tcPr>
          <w:p w14:paraId="134F2948" w14:textId="77777777" w:rsidR="007D1E74" w:rsidRDefault="00A95641">
            <w:pPr>
              <w:jc w:val="center"/>
              <w:rPr>
                <w:kern w:val="0"/>
                <w:szCs w:val="21"/>
              </w:rPr>
            </w:pPr>
            <w:r>
              <w:rPr>
                <w:rFonts w:hint="eastAsia"/>
                <w:kern w:val="0"/>
                <w:szCs w:val="21"/>
              </w:rPr>
              <w:t>桔子坝居民点</w:t>
            </w:r>
          </w:p>
        </w:tc>
      </w:tr>
      <w:tr w:rsidR="007D1E74" w14:paraId="4E77CF58" w14:textId="77777777">
        <w:tc>
          <w:tcPr>
            <w:tcW w:w="1065" w:type="pct"/>
            <w:shd w:val="clear" w:color="auto" w:fill="auto"/>
            <w:vAlign w:val="center"/>
          </w:tcPr>
          <w:p w14:paraId="2422CA6F" w14:textId="77777777" w:rsidR="007D1E74" w:rsidRDefault="00A95641">
            <w:pPr>
              <w:jc w:val="center"/>
              <w:rPr>
                <w:kern w:val="0"/>
                <w:szCs w:val="21"/>
              </w:rPr>
            </w:pPr>
            <w:r>
              <w:rPr>
                <w:rFonts w:hint="eastAsia"/>
                <w:kern w:val="0"/>
                <w:szCs w:val="21"/>
              </w:rPr>
              <w:t>B</w:t>
            </w:r>
            <w:r>
              <w:rPr>
                <w:kern w:val="0"/>
                <w:szCs w:val="21"/>
              </w:rPr>
              <w:t>1</w:t>
            </w:r>
          </w:p>
        </w:tc>
        <w:tc>
          <w:tcPr>
            <w:tcW w:w="1143" w:type="pct"/>
            <w:vMerge w:val="restart"/>
            <w:vAlign w:val="center"/>
          </w:tcPr>
          <w:p w14:paraId="65BCD22C" w14:textId="77777777" w:rsidR="007D1E74" w:rsidRDefault="00A95641">
            <w:pPr>
              <w:jc w:val="center"/>
              <w:rPr>
                <w:kern w:val="0"/>
                <w:szCs w:val="21"/>
              </w:rPr>
            </w:pPr>
            <w:r>
              <w:rPr>
                <w:rFonts w:hint="eastAsia"/>
                <w:kern w:val="0"/>
                <w:szCs w:val="21"/>
              </w:rPr>
              <w:t>马</w:t>
            </w:r>
            <w:r>
              <w:rPr>
                <w:rFonts w:hint="eastAsia"/>
                <w:kern w:val="0"/>
                <w:szCs w:val="21"/>
              </w:rPr>
              <w:t>1-10H</w:t>
            </w:r>
            <w:r>
              <w:rPr>
                <w:rFonts w:hint="eastAsia"/>
                <w:kern w:val="0"/>
                <w:szCs w:val="21"/>
              </w:rPr>
              <w:t>采气井场至干线集气支线</w:t>
            </w:r>
          </w:p>
        </w:tc>
        <w:tc>
          <w:tcPr>
            <w:tcW w:w="2792" w:type="pct"/>
            <w:shd w:val="clear" w:color="auto" w:fill="auto"/>
            <w:vAlign w:val="center"/>
          </w:tcPr>
          <w:p w14:paraId="17D7D7A0" w14:textId="77777777" w:rsidR="007D1E74" w:rsidRDefault="00A95641">
            <w:pPr>
              <w:jc w:val="center"/>
              <w:rPr>
                <w:kern w:val="0"/>
                <w:szCs w:val="21"/>
              </w:rPr>
            </w:pPr>
            <w:r>
              <w:rPr>
                <w:rFonts w:hint="eastAsia"/>
                <w:kern w:val="0"/>
                <w:szCs w:val="21"/>
              </w:rPr>
              <w:t>建营坝居民点</w:t>
            </w:r>
          </w:p>
        </w:tc>
      </w:tr>
      <w:tr w:rsidR="007D1E74" w14:paraId="06A0C1A3" w14:textId="77777777">
        <w:tc>
          <w:tcPr>
            <w:tcW w:w="1065" w:type="pct"/>
            <w:shd w:val="clear" w:color="auto" w:fill="auto"/>
            <w:vAlign w:val="center"/>
          </w:tcPr>
          <w:p w14:paraId="655A41FA" w14:textId="77777777" w:rsidR="007D1E74" w:rsidRDefault="00A95641">
            <w:pPr>
              <w:jc w:val="center"/>
              <w:rPr>
                <w:kern w:val="0"/>
                <w:szCs w:val="21"/>
              </w:rPr>
            </w:pPr>
            <w:r>
              <w:rPr>
                <w:rFonts w:hint="eastAsia"/>
                <w:kern w:val="0"/>
                <w:szCs w:val="21"/>
              </w:rPr>
              <w:t>B</w:t>
            </w:r>
            <w:r>
              <w:rPr>
                <w:kern w:val="0"/>
                <w:szCs w:val="21"/>
              </w:rPr>
              <w:t>2</w:t>
            </w:r>
          </w:p>
        </w:tc>
        <w:tc>
          <w:tcPr>
            <w:tcW w:w="1143" w:type="pct"/>
            <w:vMerge/>
            <w:vAlign w:val="center"/>
          </w:tcPr>
          <w:p w14:paraId="52A1F9F2" w14:textId="77777777" w:rsidR="007D1E74" w:rsidRDefault="007D1E74">
            <w:pPr>
              <w:jc w:val="center"/>
              <w:rPr>
                <w:kern w:val="0"/>
                <w:szCs w:val="21"/>
              </w:rPr>
            </w:pPr>
          </w:p>
        </w:tc>
        <w:tc>
          <w:tcPr>
            <w:tcW w:w="2792" w:type="pct"/>
            <w:shd w:val="clear" w:color="auto" w:fill="auto"/>
            <w:vAlign w:val="center"/>
          </w:tcPr>
          <w:p w14:paraId="2AFEA8DC" w14:textId="77777777" w:rsidR="007D1E74" w:rsidRDefault="00A95641">
            <w:pPr>
              <w:jc w:val="center"/>
              <w:rPr>
                <w:kern w:val="0"/>
                <w:szCs w:val="21"/>
              </w:rPr>
            </w:pPr>
            <w:r>
              <w:rPr>
                <w:rFonts w:hint="eastAsia"/>
                <w:kern w:val="0"/>
                <w:szCs w:val="21"/>
              </w:rPr>
              <w:t>风岭坡居民点</w:t>
            </w:r>
          </w:p>
        </w:tc>
      </w:tr>
      <w:tr w:rsidR="007D1E74" w14:paraId="4CD4A714" w14:textId="77777777">
        <w:tc>
          <w:tcPr>
            <w:tcW w:w="1065" w:type="pct"/>
            <w:shd w:val="clear" w:color="auto" w:fill="auto"/>
            <w:vAlign w:val="center"/>
          </w:tcPr>
          <w:p w14:paraId="60314927" w14:textId="77777777" w:rsidR="007D1E74" w:rsidRDefault="00A95641">
            <w:pPr>
              <w:jc w:val="center"/>
              <w:rPr>
                <w:kern w:val="0"/>
                <w:szCs w:val="21"/>
              </w:rPr>
            </w:pPr>
            <w:r>
              <w:rPr>
                <w:rFonts w:hint="eastAsia"/>
                <w:kern w:val="0"/>
                <w:szCs w:val="21"/>
              </w:rPr>
              <w:t>C</w:t>
            </w:r>
            <w:r>
              <w:rPr>
                <w:kern w:val="0"/>
                <w:szCs w:val="21"/>
              </w:rPr>
              <w:t>1</w:t>
            </w:r>
          </w:p>
        </w:tc>
        <w:tc>
          <w:tcPr>
            <w:tcW w:w="1143" w:type="pct"/>
            <w:vAlign w:val="center"/>
          </w:tcPr>
          <w:p w14:paraId="5DD04D2F" w14:textId="77777777" w:rsidR="007D1E74" w:rsidRDefault="00A95641">
            <w:pPr>
              <w:jc w:val="center"/>
              <w:rPr>
                <w:kern w:val="0"/>
                <w:szCs w:val="21"/>
              </w:rPr>
            </w:pPr>
            <w:r>
              <w:rPr>
                <w:rFonts w:hint="eastAsia"/>
                <w:kern w:val="0"/>
                <w:szCs w:val="21"/>
              </w:rPr>
              <w:t>马</w:t>
            </w:r>
            <w:r>
              <w:rPr>
                <w:rFonts w:hint="eastAsia"/>
                <w:kern w:val="0"/>
                <w:szCs w:val="21"/>
              </w:rPr>
              <w:t>1-12</w:t>
            </w:r>
            <w:r>
              <w:rPr>
                <w:rFonts w:hint="eastAsia"/>
                <w:kern w:val="0"/>
                <w:szCs w:val="21"/>
              </w:rPr>
              <w:t>采气井场至干线集气支线</w:t>
            </w:r>
          </w:p>
        </w:tc>
        <w:tc>
          <w:tcPr>
            <w:tcW w:w="2792" w:type="pct"/>
            <w:shd w:val="clear" w:color="auto" w:fill="auto"/>
            <w:vAlign w:val="center"/>
          </w:tcPr>
          <w:p w14:paraId="1B2DF31F" w14:textId="77777777" w:rsidR="007D1E74" w:rsidRDefault="00A95641">
            <w:pPr>
              <w:jc w:val="center"/>
              <w:rPr>
                <w:kern w:val="0"/>
                <w:szCs w:val="21"/>
              </w:rPr>
            </w:pPr>
            <w:r>
              <w:rPr>
                <w:rFonts w:hint="eastAsia"/>
                <w:kern w:val="0"/>
                <w:szCs w:val="21"/>
              </w:rPr>
              <w:t>清江坝居民点</w:t>
            </w:r>
          </w:p>
        </w:tc>
      </w:tr>
    </w:tbl>
    <w:p w14:paraId="151A9AA9" w14:textId="77777777" w:rsidR="007D1E74" w:rsidRDefault="00A95641">
      <w:pPr>
        <w:pStyle w:val="afffff7"/>
        <w:ind w:firstLine="482"/>
      </w:pPr>
      <w:r>
        <w:rPr>
          <w:rFonts w:hint="eastAsia"/>
          <w:lang w:val="zh-CN"/>
        </w:rPr>
        <w:t>2</w:t>
      </w:r>
      <w:r>
        <w:rPr>
          <w:rFonts w:hint="eastAsia"/>
          <w:lang w:val="zh-CN"/>
        </w:rPr>
        <w:t>、</w:t>
      </w:r>
      <w:r>
        <w:rPr>
          <w:rFonts w:hint="eastAsia"/>
        </w:rPr>
        <w:t>监测时间</w:t>
      </w:r>
    </w:p>
    <w:p w14:paraId="38AC0A8E" w14:textId="77777777" w:rsidR="007D1E74" w:rsidRDefault="00A95641">
      <w:pPr>
        <w:spacing w:line="360" w:lineRule="auto"/>
        <w:ind w:firstLineChars="200" w:firstLine="480"/>
        <w:rPr>
          <w:sz w:val="24"/>
        </w:rPr>
      </w:pPr>
      <w:r>
        <w:rPr>
          <w:rFonts w:cs="Times New Roman"/>
          <w:sz w:val="24"/>
          <w:szCs w:val="24"/>
        </w:rPr>
        <w:t>1#~11#</w:t>
      </w:r>
      <w:r>
        <w:rPr>
          <w:rFonts w:cs="Times New Roman"/>
          <w:sz w:val="24"/>
          <w:szCs w:val="24"/>
        </w:rPr>
        <w:t>、</w:t>
      </w:r>
      <w:r>
        <w:rPr>
          <w:rFonts w:cs="Times New Roman"/>
          <w:sz w:val="24"/>
          <w:szCs w:val="24"/>
        </w:rPr>
        <w:t>A1~A2</w:t>
      </w:r>
      <w:r>
        <w:rPr>
          <w:rFonts w:cs="Times New Roman"/>
          <w:sz w:val="24"/>
          <w:szCs w:val="24"/>
        </w:rPr>
        <w:t>监测点：</w:t>
      </w:r>
      <w:r>
        <w:rPr>
          <w:rFonts w:cs="Times New Roman" w:hint="eastAsia"/>
          <w:sz w:val="24"/>
          <w:szCs w:val="24"/>
        </w:rPr>
        <w:t>20</w:t>
      </w:r>
      <w:r>
        <w:rPr>
          <w:rFonts w:cs="Times New Roman"/>
          <w:sz w:val="24"/>
          <w:szCs w:val="24"/>
        </w:rPr>
        <w:t>21</w:t>
      </w:r>
      <w:r>
        <w:rPr>
          <w:rFonts w:cs="Times New Roman" w:hint="eastAsia"/>
          <w:sz w:val="24"/>
          <w:szCs w:val="24"/>
        </w:rPr>
        <w:t>年</w:t>
      </w:r>
      <w:r>
        <w:rPr>
          <w:rFonts w:cs="Times New Roman"/>
          <w:sz w:val="24"/>
          <w:szCs w:val="24"/>
        </w:rPr>
        <w:t>11</w:t>
      </w:r>
      <w:r>
        <w:rPr>
          <w:rFonts w:cs="Times New Roman" w:hint="eastAsia"/>
          <w:sz w:val="24"/>
          <w:szCs w:val="24"/>
        </w:rPr>
        <w:t>月</w:t>
      </w:r>
      <w:r>
        <w:rPr>
          <w:rFonts w:cs="Times New Roman"/>
          <w:sz w:val="24"/>
          <w:szCs w:val="24"/>
        </w:rPr>
        <w:t>9</w:t>
      </w:r>
      <w:r>
        <w:rPr>
          <w:rFonts w:cs="Times New Roman" w:hint="eastAsia"/>
          <w:sz w:val="24"/>
          <w:szCs w:val="24"/>
        </w:rPr>
        <w:t>日</w:t>
      </w:r>
      <w:r>
        <w:rPr>
          <w:rFonts w:cs="Times New Roman" w:hint="eastAsia"/>
          <w:sz w:val="24"/>
          <w:szCs w:val="24"/>
        </w:rPr>
        <w:t>~</w:t>
      </w:r>
      <w:r>
        <w:rPr>
          <w:rFonts w:cs="Times New Roman"/>
          <w:sz w:val="24"/>
          <w:szCs w:val="24"/>
        </w:rPr>
        <w:t>10</w:t>
      </w:r>
      <w:r>
        <w:rPr>
          <w:rFonts w:cs="Times New Roman"/>
          <w:sz w:val="24"/>
          <w:szCs w:val="24"/>
        </w:rPr>
        <w:t>日</w:t>
      </w:r>
      <w:r>
        <w:rPr>
          <w:rFonts w:hint="eastAsia"/>
          <w:sz w:val="24"/>
        </w:rPr>
        <w:t>，</w:t>
      </w:r>
      <w:r>
        <w:rPr>
          <w:sz w:val="24"/>
        </w:rPr>
        <w:t>共监测</w:t>
      </w:r>
      <w:r>
        <w:rPr>
          <w:sz w:val="24"/>
        </w:rPr>
        <w:t>2</w:t>
      </w:r>
      <w:r>
        <w:rPr>
          <w:rFonts w:hint="eastAsia"/>
          <w:sz w:val="24"/>
        </w:rPr>
        <w:t>天</w:t>
      </w:r>
      <w:r>
        <w:rPr>
          <w:sz w:val="24"/>
        </w:rPr>
        <w:t>，每天昼夜各监测</w:t>
      </w:r>
      <w:r>
        <w:rPr>
          <w:sz w:val="24"/>
        </w:rPr>
        <w:t>1</w:t>
      </w:r>
      <w:r>
        <w:rPr>
          <w:rFonts w:hint="eastAsia"/>
          <w:sz w:val="24"/>
        </w:rPr>
        <w:t>次</w:t>
      </w:r>
      <w:r>
        <w:rPr>
          <w:sz w:val="24"/>
        </w:rPr>
        <w:t>。</w:t>
      </w:r>
    </w:p>
    <w:p w14:paraId="3B1DB62A" w14:textId="77777777" w:rsidR="007D1E74" w:rsidRDefault="00A95641">
      <w:pPr>
        <w:spacing w:line="360" w:lineRule="auto"/>
        <w:ind w:firstLineChars="200" w:firstLine="480"/>
        <w:rPr>
          <w:sz w:val="24"/>
        </w:rPr>
      </w:pPr>
      <w:r>
        <w:rPr>
          <w:sz w:val="24"/>
        </w:rPr>
        <w:lastRenderedPageBreak/>
        <w:t>12#~25#</w:t>
      </w:r>
      <w:r>
        <w:rPr>
          <w:sz w:val="24"/>
        </w:rPr>
        <w:t>、</w:t>
      </w:r>
      <w:r>
        <w:rPr>
          <w:sz w:val="24"/>
        </w:rPr>
        <w:t>B1~B2</w:t>
      </w:r>
      <w:r>
        <w:rPr>
          <w:sz w:val="24"/>
        </w:rPr>
        <w:t>、</w:t>
      </w:r>
      <w:r>
        <w:rPr>
          <w:sz w:val="24"/>
        </w:rPr>
        <w:t>C1</w:t>
      </w:r>
      <w:r>
        <w:rPr>
          <w:rFonts w:cs="Times New Roman"/>
          <w:sz w:val="24"/>
          <w:szCs w:val="24"/>
        </w:rPr>
        <w:t>监测点</w:t>
      </w:r>
      <w:r>
        <w:rPr>
          <w:sz w:val="24"/>
        </w:rPr>
        <w:t>：</w:t>
      </w:r>
      <w:r>
        <w:rPr>
          <w:rFonts w:cs="Times New Roman" w:hint="eastAsia"/>
          <w:sz w:val="24"/>
          <w:szCs w:val="24"/>
        </w:rPr>
        <w:t>20</w:t>
      </w:r>
      <w:r>
        <w:rPr>
          <w:rFonts w:cs="Times New Roman"/>
          <w:sz w:val="24"/>
          <w:szCs w:val="24"/>
        </w:rPr>
        <w:t>21</w:t>
      </w:r>
      <w:r>
        <w:rPr>
          <w:rFonts w:cs="Times New Roman" w:hint="eastAsia"/>
          <w:sz w:val="24"/>
          <w:szCs w:val="24"/>
        </w:rPr>
        <w:t>年</w:t>
      </w:r>
      <w:r>
        <w:rPr>
          <w:rFonts w:cs="Times New Roman"/>
          <w:sz w:val="24"/>
          <w:szCs w:val="24"/>
        </w:rPr>
        <w:t>11</w:t>
      </w:r>
      <w:r>
        <w:rPr>
          <w:rFonts w:cs="Times New Roman" w:hint="eastAsia"/>
          <w:sz w:val="24"/>
          <w:szCs w:val="24"/>
        </w:rPr>
        <w:t>月</w:t>
      </w:r>
      <w:r>
        <w:rPr>
          <w:rFonts w:cs="Times New Roman"/>
          <w:sz w:val="24"/>
          <w:szCs w:val="24"/>
        </w:rPr>
        <w:t>12</w:t>
      </w:r>
      <w:r>
        <w:rPr>
          <w:rFonts w:cs="Times New Roman" w:hint="eastAsia"/>
          <w:sz w:val="24"/>
          <w:szCs w:val="24"/>
        </w:rPr>
        <w:t>日</w:t>
      </w:r>
      <w:r>
        <w:rPr>
          <w:rFonts w:cs="Times New Roman" w:hint="eastAsia"/>
          <w:sz w:val="24"/>
          <w:szCs w:val="24"/>
        </w:rPr>
        <w:t>~</w:t>
      </w:r>
      <w:r>
        <w:rPr>
          <w:rFonts w:cs="Times New Roman"/>
          <w:sz w:val="24"/>
          <w:szCs w:val="24"/>
        </w:rPr>
        <w:t>13</w:t>
      </w:r>
      <w:r>
        <w:rPr>
          <w:rFonts w:cs="Times New Roman"/>
          <w:sz w:val="24"/>
          <w:szCs w:val="24"/>
        </w:rPr>
        <w:t>日</w:t>
      </w:r>
      <w:r>
        <w:rPr>
          <w:rFonts w:hint="eastAsia"/>
          <w:sz w:val="24"/>
        </w:rPr>
        <w:t>，</w:t>
      </w:r>
      <w:r>
        <w:rPr>
          <w:sz w:val="24"/>
        </w:rPr>
        <w:t>共监测</w:t>
      </w:r>
      <w:r>
        <w:rPr>
          <w:sz w:val="24"/>
        </w:rPr>
        <w:t>2</w:t>
      </w:r>
      <w:r>
        <w:rPr>
          <w:rFonts w:hint="eastAsia"/>
          <w:sz w:val="24"/>
        </w:rPr>
        <w:t>天</w:t>
      </w:r>
      <w:r>
        <w:rPr>
          <w:sz w:val="24"/>
        </w:rPr>
        <w:t>，每天昼夜各监测</w:t>
      </w:r>
      <w:r>
        <w:rPr>
          <w:sz w:val="24"/>
        </w:rPr>
        <w:t>1</w:t>
      </w:r>
      <w:r>
        <w:rPr>
          <w:rFonts w:hint="eastAsia"/>
          <w:sz w:val="24"/>
        </w:rPr>
        <w:t>次</w:t>
      </w:r>
      <w:r>
        <w:rPr>
          <w:sz w:val="24"/>
        </w:rPr>
        <w:t>。</w:t>
      </w:r>
    </w:p>
    <w:p w14:paraId="7DE23528" w14:textId="77777777" w:rsidR="007D1E74" w:rsidRDefault="00A95641">
      <w:pPr>
        <w:pStyle w:val="afffff7"/>
        <w:ind w:firstLine="482"/>
      </w:pPr>
      <w:r>
        <w:rPr>
          <w:lang w:val="zh-CN"/>
        </w:rPr>
        <w:t>3</w:t>
      </w:r>
      <w:r>
        <w:rPr>
          <w:rFonts w:hint="eastAsia"/>
          <w:lang w:val="zh-CN"/>
        </w:rPr>
        <w:t>、</w:t>
      </w:r>
      <w:r>
        <w:rPr>
          <w:rFonts w:hint="eastAsia"/>
        </w:rPr>
        <w:t>评价标准</w:t>
      </w:r>
    </w:p>
    <w:p w14:paraId="6A1E3FCE" w14:textId="77777777" w:rsidR="007D1E74" w:rsidRDefault="00A95641">
      <w:pPr>
        <w:spacing w:line="360" w:lineRule="auto"/>
        <w:ind w:firstLineChars="200" w:firstLine="480"/>
        <w:rPr>
          <w:sz w:val="24"/>
          <w:lang w:val="zh-CN"/>
        </w:rPr>
      </w:pPr>
      <w:r>
        <w:rPr>
          <w:rFonts w:hint="eastAsia"/>
          <w:sz w:val="24"/>
          <w:lang w:val="zh-CN"/>
        </w:rPr>
        <w:t>执行《声环境</w:t>
      </w:r>
      <w:r>
        <w:rPr>
          <w:sz w:val="24"/>
          <w:lang w:val="zh-CN"/>
        </w:rPr>
        <w:t>质量标准》（</w:t>
      </w:r>
      <w:r>
        <w:rPr>
          <w:sz w:val="24"/>
          <w:lang w:val="zh-CN"/>
        </w:rPr>
        <w:t>GB3096-2008</w:t>
      </w:r>
      <w:r>
        <w:rPr>
          <w:rFonts w:hint="eastAsia"/>
          <w:sz w:val="24"/>
          <w:lang w:val="zh-CN"/>
        </w:rPr>
        <w:t>）</w:t>
      </w:r>
      <w:r>
        <w:rPr>
          <w:sz w:val="24"/>
          <w:lang w:val="zh-CN"/>
        </w:rPr>
        <w:t>2</w:t>
      </w:r>
      <w:r>
        <w:rPr>
          <w:rFonts w:hint="eastAsia"/>
          <w:sz w:val="24"/>
          <w:lang w:val="zh-CN"/>
        </w:rPr>
        <w:t>类</w:t>
      </w:r>
      <w:r>
        <w:rPr>
          <w:sz w:val="24"/>
          <w:lang w:val="zh-CN"/>
        </w:rPr>
        <w:t>标准</w:t>
      </w:r>
      <w:r>
        <w:rPr>
          <w:sz w:val="24"/>
        </w:rPr>
        <w:t>。</w:t>
      </w:r>
    </w:p>
    <w:p w14:paraId="2582C0D7" w14:textId="77777777" w:rsidR="007D1E74" w:rsidRDefault="00A95641">
      <w:pPr>
        <w:pStyle w:val="afffff7"/>
        <w:ind w:firstLine="482"/>
      </w:pPr>
      <w:r>
        <w:t>4</w:t>
      </w:r>
      <w:r>
        <w:rPr>
          <w:rFonts w:hint="eastAsia"/>
        </w:rPr>
        <w:t>、评价结果</w:t>
      </w:r>
    </w:p>
    <w:p w14:paraId="242CCD60" w14:textId="77777777" w:rsidR="007D1E74" w:rsidRDefault="00A95641">
      <w:pPr>
        <w:spacing w:line="360" w:lineRule="auto"/>
        <w:ind w:firstLineChars="200" w:firstLine="480"/>
        <w:rPr>
          <w:sz w:val="24"/>
        </w:rPr>
      </w:pPr>
      <w:r>
        <w:rPr>
          <w:rFonts w:hint="eastAsia"/>
          <w:sz w:val="24"/>
        </w:rPr>
        <w:t>区域声环境质量监测</w:t>
      </w:r>
      <w:r>
        <w:rPr>
          <w:sz w:val="24"/>
        </w:rPr>
        <w:t>及</w:t>
      </w:r>
      <w:r>
        <w:rPr>
          <w:rFonts w:hint="eastAsia"/>
          <w:sz w:val="24"/>
        </w:rPr>
        <w:t>评价</w:t>
      </w:r>
      <w:r>
        <w:rPr>
          <w:sz w:val="24"/>
        </w:rPr>
        <w:t>结果</w:t>
      </w:r>
      <w:r>
        <w:rPr>
          <w:rFonts w:hint="eastAsia"/>
          <w:sz w:val="24"/>
        </w:rPr>
        <w:t>见</w:t>
      </w:r>
      <w:r>
        <w:rPr>
          <w:sz w:val="24"/>
        </w:rPr>
        <w:t>下表。</w:t>
      </w:r>
    </w:p>
    <w:p w14:paraId="65CFAA79" w14:textId="77777777" w:rsidR="007D1E74" w:rsidRDefault="00A95641">
      <w:pPr>
        <w:pStyle w:val="afffffe"/>
        <w:numPr>
          <w:ilvl w:val="0"/>
          <w:numId w:val="42"/>
        </w:numPr>
        <w:spacing w:line="360" w:lineRule="auto"/>
        <w:ind w:firstLineChars="0"/>
        <w:jc w:val="center"/>
        <w:rPr>
          <w:rFonts w:eastAsia="黑体" w:cs="Times New Roman"/>
          <w:szCs w:val="21"/>
        </w:rPr>
      </w:pPr>
      <w:r>
        <w:rPr>
          <w:rFonts w:eastAsia="黑体" w:cs="Times New Roman" w:hint="eastAsia"/>
          <w:szCs w:val="21"/>
        </w:rPr>
        <w:t>声环境质量监测及评价结果（</w:t>
      </w:r>
      <w:r>
        <w:rPr>
          <w:rFonts w:eastAsia="黑体" w:cs="Times New Roman" w:hint="eastAsia"/>
          <w:szCs w:val="21"/>
        </w:rPr>
        <w:t>1</w:t>
      </w:r>
      <w:r>
        <w:rPr>
          <w:rFonts w:eastAsia="黑体" w:cs="Times New Roman" w:hint="eastAsia"/>
          <w:szCs w:val="21"/>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9"/>
        <w:gridCol w:w="1306"/>
        <w:gridCol w:w="1313"/>
        <w:gridCol w:w="1306"/>
        <w:gridCol w:w="1307"/>
        <w:gridCol w:w="1024"/>
        <w:gridCol w:w="1024"/>
        <w:gridCol w:w="637"/>
      </w:tblGrid>
      <w:tr w:rsidR="007D1E74" w14:paraId="23D6C959" w14:textId="77777777">
        <w:tc>
          <w:tcPr>
            <w:tcW w:w="610" w:type="pct"/>
            <w:vMerge w:val="restart"/>
            <w:vAlign w:val="center"/>
          </w:tcPr>
          <w:p w14:paraId="6ACBD28D" w14:textId="77777777" w:rsidR="007D1E74" w:rsidRDefault="00A95641">
            <w:pPr>
              <w:jc w:val="center"/>
              <w:rPr>
                <w:rFonts w:cstheme="minorHAnsi"/>
                <w:szCs w:val="21"/>
              </w:rPr>
            </w:pPr>
            <w:r>
              <w:rPr>
                <w:rFonts w:cstheme="minorHAnsi"/>
                <w:szCs w:val="21"/>
              </w:rPr>
              <w:t>编号</w:t>
            </w:r>
          </w:p>
        </w:tc>
        <w:tc>
          <w:tcPr>
            <w:tcW w:w="2901" w:type="pct"/>
            <w:gridSpan w:val="4"/>
            <w:vAlign w:val="center"/>
          </w:tcPr>
          <w:p w14:paraId="285948F6" w14:textId="77777777" w:rsidR="007D1E74" w:rsidRDefault="00A95641">
            <w:pPr>
              <w:jc w:val="center"/>
              <w:rPr>
                <w:rFonts w:cstheme="minorHAnsi"/>
                <w:szCs w:val="21"/>
              </w:rPr>
            </w:pPr>
            <w:r>
              <w:rPr>
                <w:rFonts w:cstheme="minorHAnsi" w:hint="eastAsia"/>
                <w:szCs w:val="21"/>
              </w:rPr>
              <w:t>监测</w:t>
            </w:r>
            <w:r>
              <w:rPr>
                <w:rFonts w:cstheme="minorHAnsi"/>
                <w:szCs w:val="21"/>
              </w:rPr>
              <w:t>结果</w:t>
            </w:r>
            <w:r>
              <w:rPr>
                <w:rFonts w:cstheme="minorHAnsi" w:hint="eastAsia"/>
                <w:szCs w:val="21"/>
              </w:rPr>
              <w:t>[</w:t>
            </w:r>
            <w:r>
              <w:rPr>
                <w:rFonts w:cstheme="minorHAnsi"/>
                <w:szCs w:val="21"/>
              </w:rPr>
              <w:t>dB</w:t>
            </w:r>
            <w:r>
              <w:rPr>
                <w:rFonts w:cstheme="minorHAnsi"/>
                <w:szCs w:val="21"/>
              </w:rPr>
              <w:t>（</w:t>
            </w:r>
            <w:r>
              <w:rPr>
                <w:rFonts w:cstheme="minorHAnsi"/>
                <w:szCs w:val="21"/>
              </w:rPr>
              <w:t>A</w:t>
            </w:r>
            <w:r>
              <w:rPr>
                <w:rFonts w:cstheme="minorHAnsi"/>
                <w:szCs w:val="21"/>
              </w:rPr>
              <w:t>）</w:t>
            </w:r>
            <w:r>
              <w:rPr>
                <w:rFonts w:cstheme="minorHAnsi" w:hint="eastAsia"/>
                <w:szCs w:val="21"/>
              </w:rPr>
              <w:t>]</w:t>
            </w:r>
          </w:p>
        </w:tc>
        <w:tc>
          <w:tcPr>
            <w:tcW w:w="1136" w:type="pct"/>
            <w:gridSpan w:val="2"/>
            <w:vMerge w:val="restart"/>
            <w:vAlign w:val="center"/>
          </w:tcPr>
          <w:p w14:paraId="0450C1D7" w14:textId="77777777" w:rsidR="007D1E74" w:rsidRDefault="00A95641">
            <w:pPr>
              <w:jc w:val="center"/>
              <w:rPr>
                <w:rFonts w:cstheme="minorHAnsi"/>
                <w:szCs w:val="21"/>
              </w:rPr>
            </w:pPr>
            <w:r>
              <w:rPr>
                <w:rFonts w:cstheme="minorHAnsi"/>
                <w:szCs w:val="21"/>
              </w:rPr>
              <w:t>标准限值</w:t>
            </w:r>
            <w:r>
              <w:rPr>
                <w:rFonts w:cstheme="minorHAnsi" w:hint="eastAsia"/>
                <w:szCs w:val="21"/>
              </w:rPr>
              <w:t>[</w:t>
            </w:r>
            <w:r>
              <w:rPr>
                <w:rFonts w:cstheme="minorHAnsi"/>
                <w:szCs w:val="21"/>
              </w:rPr>
              <w:t>dB</w:t>
            </w:r>
            <w:r>
              <w:rPr>
                <w:rFonts w:cstheme="minorHAnsi"/>
                <w:szCs w:val="21"/>
              </w:rPr>
              <w:t>（</w:t>
            </w:r>
            <w:r>
              <w:rPr>
                <w:rFonts w:cstheme="minorHAnsi"/>
                <w:szCs w:val="21"/>
              </w:rPr>
              <w:t>A</w:t>
            </w:r>
            <w:r>
              <w:rPr>
                <w:rFonts w:cstheme="minorHAnsi"/>
                <w:szCs w:val="21"/>
              </w:rPr>
              <w:t>）</w:t>
            </w:r>
            <w:r>
              <w:rPr>
                <w:rFonts w:cstheme="minorHAnsi" w:hint="eastAsia"/>
                <w:szCs w:val="21"/>
              </w:rPr>
              <w:t>]</w:t>
            </w:r>
          </w:p>
        </w:tc>
        <w:tc>
          <w:tcPr>
            <w:tcW w:w="353" w:type="pct"/>
            <w:vMerge w:val="restart"/>
            <w:vAlign w:val="center"/>
          </w:tcPr>
          <w:p w14:paraId="2928F8A0" w14:textId="77777777" w:rsidR="007D1E74" w:rsidRDefault="00A95641">
            <w:pPr>
              <w:jc w:val="center"/>
              <w:rPr>
                <w:rFonts w:cstheme="minorHAnsi"/>
                <w:szCs w:val="21"/>
              </w:rPr>
            </w:pPr>
            <w:r>
              <w:rPr>
                <w:rFonts w:cstheme="minorHAnsi"/>
                <w:szCs w:val="21"/>
              </w:rPr>
              <w:t>评价结果</w:t>
            </w:r>
          </w:p>
        </w:tc>
      </w:tr>
      <w:tr w:rsidR="007D1E74" w14:paraId="4EF5BFD0" w14:textId="77777777">
        <w:tc>
          <w:tcPr>
            <w:tcW w:w="610" w:type="pct"/>
            <w:vMerge/>
            <w:vAlign w:val="center"/>
          </w:tcPr>
          <w:p w14:paraId="01F73028" w14:textId="77777777" w:rsidR="007D1E74" w:rsidRDefault="007D1E74">
            <w:pPr>
              <w:jc w:val="center"/>
              <w:rPr>
                <w:rFonts w:cstheme="minorHAnsi"/>
                <w:szCs w:val="21"/>
              </w:rPr>
            </w:pPr>
          </w:p>
        </w:tc>
        <w:tc>
          <w:tcPr>
            <w:tcW w:w="1452" w:type="pct"/>
            <w:gridSpan w:val="2"/>
            <w:vAlign w:val="center"/>
          </w:tcPr>
          <w:p w14:paraId="02FF1353" w14:textId="77777777" w:rsidR="007D1E74" w:rsidRDefault="00A95641">
            <w:pPr>
              <w:jc w:val="center"/>
              <w:rPr>
                <w:rFonts w:cstheme="minorHAnsi"/>
                <w:szCs w:val="21"/>
              </w:rPr>
            </w:pPr>
            <w:r>
              <w:rPr>
                <w:rFonts w:cstheme="minorHAnsi" w:hint="eastAsia"/>
                <w:szCs w:val="21"/>
              </w:rPr>
              <w:t>2</w:t>
            </w:r>
            <w:r>
              <w:rPr>
                <w:rFonts w:cstheme="minorHAnsi"/>
                <w:szCs w:val="21"/>
              </w:rPr>
              <w:t>021.11.9</w:t>
            </w:r>
          </w:p>
        </w:tc>
        <w:tc>
          <w:tcPr>
            <w:tcW w:w="1449" w:type="pct"/>
            <w:gridSpan w:val="2"/>
            <w:vAlign w:val="center"/>
          </w:tcPr>
          <w:p w14:paraId="0E9511C1" w14:textId="77777777" w:rsidR="007D1E74" w:rsidRDefault="00A95641">
            <w:pPr>
              <w:jc w:val="center"/>
              <w:rPr>
                <w:rFonts w:cstheme="minorHAnsi"/>
                <w:szCs w:val="21"/>
              </w:rPr>
            </w:pPr>
            <w:r>
              <w:rPr>
                <w:rFonts w:cstheme="minorHAnsi" w:hint="eastAsia"/>
                <w:szCs w:val="21"/>
              </w:rPr>
              <w:t>2020.11.</w:t>
            </w:r>
            <w:r>
              <w:rPr>
                <w:rFonts w:cstheme="minorHAnsi"/>
                <w:szCs w:val="21"/>
              </w:rPr>
              <w:t>10</w:t>
            </w:r>
          </w:p>
        </w:tc>
        <w:tc>
          <w:tcPr>
            <w:tcW w:w="1136" w:type="pct"/>
            <w:gridSpan w:val="2"/>
            <w:vMerge/>
            <w:vAlign w:val="center"/>
          </w:tcPr>
          <w:p w14:paraId="07D6BEE0" w14:textId="77777777" w:rsidR="007D1E74" w:rsidRDefault="007D1E74">
            <w:pPr>
              <w:jc w:val="center"/>
              <w:rPr>
                <w:rFonts w:cstheme="minorHAnsi"/>
                <w:szCs w:val="21"/>
              </w:rPr>
            </w:pPr>
          </w:p>
        </w:tc>
        <w:tc>
          <w:tcPr>
            <w:tcW w:w="353" w:type="pct"/>
            <w:vMerge/>
            <w:vAlign w:val="center"/>
          </w:tcPr>
          <w:p w14:paraId="54655835" w14:textId="77777777" w:rsidR="007D1E74" w:rsidRDefault="007D1E74">
            <w:pPr>
              <w:jc w:val="center"/>
              <w:rPr>
                <w:rFonts w:cstheme="minorHAnsi"/>
                <w:szCs w:val="21"/>
              </w:rPr>
            </w:pPr>
          </w:p>
        </w:tc>
      </w:tr>
      <w:tr w:rsidR="007D1E74" w14:paraId="757BAF20" w14:textId="77777777">
        <w:tc>
          <w:tcPr>
            <w:tcW w:w="610" w:type="pct"/>
            <w:vMerge/>
            <w:vAlign w:val="center"/>
          </w:tcPr>
          <w:p w14:paraId="44CC7F08" w14:textId="77777777" w:rsidR="007D1E74" w:rsidRDefault="007D1E74">
            <w:pPr>
              <w:jc w:val="center"/>
              <w:rPr>
                <w:rFonts w:cstheme="minorHAnsi"/>
                <w:szCs w:val="21"/>
              </w:rPr>
            </w:pPr>
          </w:p>
        </w:tc>
        <w:tc>
          <w:tcPr>
            <w:tcW w:w="724" w:type="pct"/>
            <w:vAlign w:val="center"/>
          </w:tcPr>
          <w:p w14:paraId="74322208" w14:textId="77777777" w:rsidR="007D1E74" w:rsidRDefault="00A95641">
            <w:pPr>
              <w:jc w:val="center"/>
              <w:rPr>
                <w:rFonts w:cstheme="minorHAnsi"/>
                <w:szCs w:val="21"/>
              </w:rPr>
            </w:pPr>
            <w:r>
              <w:rPr>
                <w:rFonts w:cstheme="minorHAnsi"/>
                <w:szCs w:val="21"/>
              </w:rPr>
              <w:t>昼间</w:t>
            </w:r>
          </w:p>
        </w:tc>
        <w:tc>
          <w:tcPr>
            <w:tcW w:w="728" w:type="pct"/>
            <w:vAlign w:val="center"/>
          </w:tcPr>
          <w:p w14:paraId="42507BBA" w14:textId="77777777" w:rsidR="007D1E74" w:rsidRDefault="00A95641">
            <w:pPr>
              <w:jc w:val="center"/>
              <w:rPr>
                <w:rFonts w:cstheme="minorHAnsi"/>
                <w:szCs w:val="21"/>
              </w:rPr>
            </w:pPr>
            <w:r>
              <w:rPr>
                <w:rFonts w:cstheme="minorHAnsi"/>
                <w:szCs w:val="21"/>
              </w:rPr>
              <w:t>夜间</w:t>
            </w:r>
          </w:p>
        </w:tc>
        <w:tc>
          <w:tcPr>
            <w:tcW w:w="724" w:type="pct"/>
            <w:vAlign w:val="center"/>
          </w:tcPr>
          <w:p w14:paraId="24A75AED" w14:textId="77777777" w:rsidR="007D1E74" w:rsidRDefault="00A95641">
            <w:pPr>
              <w:jc w:val="center"/>
              <w:rPr>
                <w:rFonts w:cstheme="minorHAnsi"/>
                <w:szCs w:val="21"/>
              </w:rPr>
            </w:pPr>
            <w:r>
              <w:rPr>
                <w:rFonts w:cstheme="minorHAnsi"/>
                <w:szCs w:val="21"/>
              </w:rPr>
              <w:t>昼间</w:t>
            </w:r>
          </w:p>
        </w:tc>
        <w:tc>
          <w:tcPr>
            <w:tcW w:w="725" w:type="pct"/>
            <w:vAlign w:val="center"/>
          </w:tcPr>
          <w:p w14:paraId="4357ED18" w14:textId="77777777" w:rsidR="007D1E74" w:rsidRDefault="00A95641">
            <w:pPr>
              <w:jc w:val="center"/>
              <w:rPr>
                <w:rFonts w:cstheme="minorHAnsi"/>
                <w:szCs w:val="21"/>
              </w:rPr>
            </w:pPr>
            <w:r>
              <w:rPr>
                <w:rFonts w:cstheme="minorHAnsi"/>
                <w:szCs w:val="21"/>
              </w:rPr>
              <w:t>夜间</w:t>
            </w:r>
          </w:p>
        </w:tc>
        <w:tc>
          <w:tcPr>
            <w:tcW w:w="568" w:type="pct"/>
            <w:vAlign w:val="center"/>
          </w:tcPr>
          <w:p w14:paraId="1F2F9800" w14:textId="77777777" w:rsidR="007D1E74" w:rsidRDefault="00A95641">
            <w:pPr>
              <w:jc w:val="center"/>
              <w:rPr>
                <w:rFonts w:cstheme="minorHAnsi"/>
                <w:szCs w:val="21"/>
              </w:rPr>
            </w:pPr>
            <w:r>
              <w:rPr>
                <w:rFonts w:cstheme="minorHAnsi"/>
                <w:szCs w:val="21"/>
              </w:rPr>
              <w:t>昼间</w:t>
            </w:r>
          </w:p>
        </w:tc>
        <w:tc>
          <w:tcPr>
            <w:tcW w:w="568" w:type="pct"/>
            <w:vAlign w:val="center"/>
          </w:tcPr>
          <w:p w14:paraId="7FE6E926" w14:textId="77777777" w:rsidR="007D1E74" w:rsidRDefault="00A95641">
            <w:pPr>
              <w:jc w:val="center"/>
              <w:rPr>
                <w:rFonts w:cstheme="minorHAnsi"/>
                <w:szCs w:val="21"/>
              </w:rPr>
            </w:pPr>
            <w:r>
              <w:rPr>
                <w:rFonts w:cstheme="minorHAnsi"/>
                <w:szCs w:val="21"/>
              </w:rPr>
              <w:t>夜间</w:t>
            </w:r>
          </w:p>
        </w:tc>
        <w:tc>
          <w:tcPr>
            <w:tcW w:w="353" w:type="pct"/>
            <w:vMerge/>
            <w:vAlign w:val="center"/>
          </w:tcPr>
          <w:p w14:paraId="588B5D00" w14:textId="77777777" w:rsidR="007D1E74" w:rsidRDefault="007D1E74">
            <w:pPr>
              <w:jc w:val="center"/>
              <w:rPr>
                <w:rFonts w:cstheme="minorHAnsi"/>
                <w:szCs w:val="21"/>
              </w:rPr>
            </w:pPr>
          </w:p>
        </w:tc>
      </w:tr>
      <w:tr w:rsidR="007D1E74" w14:paraId="029D9737" w14:textId="77777777">
        <w:tc>
          <w:tcPr>
            <w:tcW w:w="610" w:type="pct"/>
            <w:vAlign w:val="center"/>
          </w:tcPr>
          <w:p w14:paraId="24FA4E92" w14:textId="77777777" w:rsidR="007D1E74" w:rsidRDefault="00A95641">
            <w:pPr>
              <w:jc w:val="center"/>
              <w:rPr>
                <w:rFonts w:cstheme="minorHAnsi"/>
                <w:szCs w:val="21"/>
              </w:rPr>
            </w:pPr>
            <w:bookmarkStart w:id="23" w:name="_Toc292963511"/>
            <w:bookmarkStart w:id="24" w:name="_Toc304201987"/>
            <w:r>
              <w:rPr>
                <w:bCs/>
                <w:szCs w:val="21"/>
              </w:rPr>
              <w:t>1#</w:t>
            </w:r>
          </w:p>
        </w:tc>
        <w:tc>
          <w:tcPr>
            <w:tcW w:w="724" w:type="pct"/>
            <w:vAlign w:val="center"/>
          </w:tcPr>
          <w:p w14:paraId="31A4F8E7" w14:textId="77777777" w:rsidR="007D1E74" w:rsidRDefault="00A95641">
            <w:pPr>
              <w:jc w:val="center"/>
              <w:rPr>
                <w:rFonts w:cstheme="minorHAnsi"/>
                <w:szCs w:val="21"/>
              </w:rPr>
            </w:pPr>
            <w:r>
              <w:rPr>
                <w:rFonts w:cstheme="minorHAnsi" w:hint="eastAsia"/>
                <w:szCs w:val="21"/>
              </w:rPr>
              <w:t>5</w:t>
            </w:r>
            <w:r>
              <w:rPr>
                <w:rFonts w:cstheme="minorHAnsi"/>
                <w:szCs w:val="21"/>
              </w:rPr>
              <w:t>6</w:t>
            </w:r>
          </w:p>
        </w:tc>
        <w:tc>
          <w:tcPr>
            <w:tcW w:w="728" w:type="pct"/>
            <w:vAlign w:val="center"/>
          </w:tcPr>
          <w:p w14:paraId="20ED82CC" w14:textId="77777777" w:rsidR="007D1E74" w:rsidRDefault="00A95641">
            <w:pPr>
              <w:jc w:val="center"/>
              <w:rPr>
                <w:rFonts w:cstheme="minorHAnsi"/>
                <w:szCs w:val="21"/>
              </w:rPr>
            </w:pPr>
            <w:r>
              <w:rPr>
                <w:rFonts w:cstheme="minorHAnsi" w:hint="eastAsia"/>
                <w:szCs w:val="21"/>
              </w:rPr>
              <w:t>4</w:t>
            </w:r>
            <w:r>
              <w:rPr>
                <w:rFonts w:cstheme="minorHAnsi"/>
                <w:szCs w:val="21"/>
              </w:rPr>
              <w:t>7</w:t>
            </w:r>
          </w:p>
        </w:tc>
        <w:tc>
          <w:tcPr>
            <w:tcW w:w="724" w:type="pct"/>
            <w:vAlign w:val="center"/>
          </w:tcPr>
          <w:p w14:paraId="52BF8D85" w14:textId="77777777" w:rsidR="007D1E74" w:rsidRDefault="00A95641">
            <w:pPr>
              <w:jc w:val="center"/>
              <w:rPr>
                <w:rFonts w:cstheme="minorHAnsi"/>
                <w:szCs w:val="21"/>
              </w:rPr>
            </w:pPr>
            <w:r>
              <w:rPr>
                <w:rFonts w:cstheme="minorHAnsi" w:hint="eastAsia"/>
                <w:szCs w:val="21"/>
              </w:rPr>
              <w:t>5</w:t>
            </w:r>
            <w:r>
              <w:rPr>
                <w:rFonts w:cstheme="minorHAnsi"/>
                <w:szCs w:val="21"/>
              </w:rPr>
              <w:t>5</w:t>
            </w:r>
          </w:p>
        </w:tc>
        <w:tc>
          <w:tcPr>
            <w:tcW w:w="725" w:type="pct"/>
            <w:vAlign w:val="center"/>
          </w:tcPr>
          <w:p w14:paraId="19A5171D" w14:textId="77777777" w:rsidR="007D1E74" w:rsidRDefault="00A95641">
            <w:pPr>
              <w:jc w:val="center"/>
              <w:rPr>
                <w:rFonts w:cstheme="minorHAnsi"/>
                <w:szCs w:val="21"/>
              </w:rPr>
            </w:pPr>
            <w:r>
              <w:rPr>
                <w:rFonts w:cstheme="minorHAnsi" w:hint="eastAsia"/>
                <w:szCs w:val="21"/>
              </w:rPr>
              <w:t>4</w:t>
            </w:r>
            <w:r>
              <w:rPr>
                <w:rFonts w:cstheme="minorHAnsi"/>
                <w:szCs w:val="21"/>
              </w:rPr>
              <w:t>5</w:t>
            </w:r>
          </w:p>
        </w:tc>
        <w:tc>
          <w:tcPr>
            <w:tcW w:w="568" w:type="pct"/>
            <w:vAlign w:val="center"/>
          </w:tcPr>
          <w:p w14:paraId="6D74674F" w14:textId="77777777" w:rsidR="007D1E74" w:rsidRDefault="00A95641">
            <w:pPr>
              <w:jc w:val="center"/>
              <w:rPr>
                <w:rFonts w:cstheme="minorHAnsi"/>
                <w:szCs w:val="21"/>
              </w:rPr>
            </w:pPr>
            <w:r>
              <w:rPr>
                <w:rFonts w:cstheme="minorHAnsi" w:hint="eastAsia"/>
                <w:szCs w:val="21"/>
              </w:rPr>
              <w:t>60</w:t>
            </w:r>
          </w:p>
        </w:tc>
        <w:tc>
          <w:tcPr>
            <w:tcW w:w="568" w:type="pct"/>
            <w:vAlign w:val="center"/>
          </w:tcPr>
          <w:p w14:paraId="25AC2F3F" w14:textId="77777777" w:rsidR="007D1E74" w:rsidRDefault="00A95641">
            <w:pPr>
              <w:jc w:val="center"/>
              <w:rPr>
                <w:rFonts w:cstheme="minorHAnsi"/>
                <w:szCs w:val="21"/>
              </w:rPr>
            </w:pPr>
            <w:r>
              <w:rPr>
                <w:rFonts w:cstheme="minorHAnsi" w:hint="eastAsia"/>
                <w:szCs w:val="21"/>
              </w:rPr>
              <w:t>50</w:t>
            </w:r>
          </w:p>
        </w:tc>
        <w:tc>
          <w:tcPr>
            <w:tcW w:w="353" w:type="pct"/>
            <w:vAlign w:val="center"/>
          </w:tcPr>
          <w:p w14:paraId="599D4CF1" w14:textId="77777777" w:rsidR="007D1E74" w:rsidRDefault="00A95641">
            <w:pPr>
              <w:jc w:val="center"/>
              <w:rPr>
                <w:rFonts w:cstheme="minorHAnsi"/>
                <w:szCs w:val="21"/>
              </w:rPr>
            </w:pPr>
            <w:r>
              <w:rPr>
                <w:rFonts w:cstheme="minorHAnsi"/>
                <w:szCs w:val="21"/>
              </w:rPr>
              <w:t>达标</w:t>
            </w:r>
          </w:p>
        </w:tc>
      </w:tr>
      <w:tr w:rsidR="007D1E74" w14:paraId="65EBE886" w14:textId="77777777">
        <w:tc>
          <w:tcPr>
            <w:tcW w:w="610" w:type="pct"/>
            <w:vAlign w:val="center"/>
          </w:tcPr>
          <w:p w14:paraId="72BECE67" w14:textId="77777777" w:rsidR="007D1E74" w:rsidRDefault="00A95641">
            <w:pPr>
              <w:jc w:val="center"/>
              <w:rPr>
                <w:rFonts w:cstheme="minorHAnsi"/>
                <w:szCs w:val="21"/>
              </w:rPr>
            </w:pPr>
            <w:r>
              <w:rPr>
                <w:bCs/>
                <w:szCs w:val="21"/>
              </w:rPr>
              <w:t>2#</w:t>
            </w:r>
          </w:p>
        </w:tc>
        <w:tc>
          <w:tcPr>
            <w:tcW w:w="724" w:type="pct"/>
            <w:vAlign w:val="center"/>
          </w:tcPr>
          <w:p w14:paraId="1D0132D1" w14:textId="77777777" w:rsidR="007D1E74" w:rsidRDefault="00A95641">
            <w:pPr>
              <w:jc w:val="center"/>
              <w:rPr>
                <w:rFonts w:cstheme="minorHAnsi"/>
                <w:szCs w:val="21"/>
              </w:rPr>
            </w:pPr>
            <w:r>
              <w:rPr>
                <w:rFonts w:cstheme="minorHAnsi" w:hint="eastAsia"/>
                <w:szCs w:val="21"/>
              </w:rPr>
              <w:t>5</w:t>
            </w:r>
            <w:r>
              <w:rPr>
                <w:rFonts w:cstheme="minorHAnsi"/>
                <w:szCs w:val="21"/>
              </w:rPr>
              <w:t>3</w:t>
            </w:r>
          </w:p>
        </w:tc>
        <w:tc>
          <w:tcPr>
            <w:tcW w:w="728" w:type="pct"/>
            <w:vAlign w:val="center"/>
          </w:tcPr>
          <w:p w14:paraId="52074DF9" w14:textId="77777777" w:rsidR="007D1E74" w:rsidRDefault="00A95641">
            <w:pPr>
              <w:jc w:val="center"/>
              <w:rPr>
                <w:rFonts w:cstheme="minorHAnsi"/>
                <w:szCs w:val="21"/>
              </w:rPr>
            </w:pPr>
            <w:r>
              <w:rPr>
                <w:rFonts w:cstheme="minorHAnsi" w:hint="eastAsia"/>
                <w:szCs w:val="21"/>
              </w:rPr>
              <w:t>4</w:t>
            </w:r>
            <w:r>
              <w:rPr>
                <w:rFonts w:cstheme="minorHAnsi"/>
                <w:szCs w:val="21"/>
              </w:rPr>
              <w:t>7</w:t>
            </w:r>
          </w:p>
        </w:tc>
        <w:tc>
          <w:tcPr>
            <w:tcW w:w="724" w:type="pct"/>
            <w:vAlign w:val="center"/>
          </w:tcPr>
          <w:p w14:paraId="7D471F52" w14:textId="77777777" w:rsidR="007D1E74" w:rsidRDefault="00A95641">
            <w:pPr>
              <w:jc w:val="center"/>
              <w:rPr>
                <w:rFonts w:cstheme="minorHAnsi"/>
                <w:szCs w:val="21"/>
              </w:rPr>
            </w:pPr>
            <w:r>
              <w:rPr>
                <w:rFonts w:cstheme="minorHAnsi" w:hint="eastAsia"/>
                <w:szCs w:val="21"/>
              </w:rPr>
              <w:t>5</w:t>
            </w:r>
            <w:r>
              <w:rPr>
                <w:rFonts w:cstheme="minorHAnsi"/>
                <w:szCs w:val="21"/>
              </w:rPr>
              <w:t>6</w:t>
            </w:r>
          </w:p>
        </w:tc>
        <w:tc>
          <w:tcPr>
            <w:tcW w:w="725" w:type="pct"/>
            <w:vAlign w:val="center"/>
          </w:tcPr>
          <w:p w14:paraId="2C899323" w14:textId="77777777" w:rsidR="007D1E74" w:rsidRDefault="00A95641">
            <w:pPr>
              <w:jc w:val="center"/>
              <w:rPr>
                <w:rFonts w:cstheme="minorHAnsi"/>
                <w:szCs w:val="21"/>
              </w:rPr>
            </w:pPr>
            <w:r>
              <w:rPr>
                <w:rFonts w:cstheme="minorHAnsi" w:hint="eastAsia"/>
                <w:szCs w:val="21"/>
              </w:rPr>
              <w:t>4</w:t>
            </w:r>
            <w:r>
              <w:rPr>
                <w:rFonts w:cstheme="minorHAnsi"/>
                <w:szCs w:val="21"/>
              </w:rPr>
              <w:t>6</w:t>
            </w:r>
          </w:p>
        </w:tc>
        <w:tc>
          <w:tcPr>
            <w:tcW w:w="568" w:type="pct"/>
            <w:vAlign w:val="center"/>
          </w:tcPr>
          <w:p w14:paraId="34DE736B" w14:textId="77777777" w:rsidR="007D1E74" w:rsidRDefault="00A95641">
            <w:pPr>
              <w:jc w:val="center"/>
              <w:rPr>
                <w:rFonts w:cstheme="minorHAnsi"/>
                <w:szCs w:val="21"/>
              </w:rPr>
            </w:pPr>
            <w:r>
              <w:rPr>
                <w:rFonts w:cstheme="minorHAnsi" w:hint="eastAsia"/>
                <w:szCs w:val="21"/>
              </w:rPr>
              <w:t>60</w:t>
            </w:r>
          </w:p>
        </w:tc>
        <w:tc>
          <w:tcPr>
            <w:tcW w:w="568" w:type="pct"/>
            <w:vAlign w:val="center"/>
          </w:tcPr>
          <w:p w14:paraId="54FE9135" w14:textId="77777777" w:rsidR="007D1E74" w:rsidRDefault="00A95641">
            <w:pPr>
              <w:jc w:val="center"/>
              <w:rPr>
                <w:rFonts w:cstheme="minorHAnsi"/>
                <w:szCs w:val="21"/>
              </w:rPr>
            </w:pPr>
            <w:r>
              <w:rPr>
                <w:rFonts w:cstheme="minorHAnsi" w:hint="eastAsia"/>
                <w:szCs w:val="21"/>
              </w:rPr>
              <w:t>50</w:t>
            </w:r>
          </w:p>
        </w:tc>
        <w:tc>
          <w:tcPr>
            <w:tcW w:w="353" w:type="pct"/>
            <w:vAlign w:val="center"/>
          </w:tcPr>
          <w:p w14:paraId="45158714" w14:textId="77777777" w:rsidR="007D1E74" w:rsidRDefault="00A95641">
            <w:pPr>
              <w:jc w:val="center"/>
              <w:rPr>
                <w:rFonts w:cstheme="minorHAnsi"/>
                <w:szCs w:val="21"/>
              </w:rPr>
            </w:pPr>
            <w:r>
              <w:rPr>
                <w:rFonts w:cstheme="minorHAnsi"/>
                <w:szCs w:val="21"/>
              </w:rPr>
              <w:t>达标</w:t>
            </w:r>
          </w:p>
        </w:tc>
      </w:tr>
      <w:tr w:rsidR="007D1E74" w14:paraId="29CDDDE9" w14:textId="77777777">
        <w:tc>
          <w:tcPr>
            <w:tcW w:w="610" w:type="pct"/>
            <w:vAlign w:val="center"/>
          </w:tcPr>
          <w:p w14:paraId="264449DA" w14:textId="77777777" w:rsidR="007D1E74" w:rsidRDefault="00A95641">
            <w:pPr>
              <w:jc w:val="center"/>
              <w:rPr>
                <w:rFonts w:cstheme="minorHAnsi"/>
                <w:szCs w:val="21"/>
              </w:rPr>
            </w:pPr>
            <w:r>
              <w:rPr>
                <w:bCs/>
                <w:szCs w:val="21"/>
              </w:rPr>
              <w:t>3#</w:t>
            </w:r>
          </w:p>
        </w:tc>
        <w:tc>
          <w:tcPr>
            <w:tcW w:w="724" w:type="pct"/>
            <w:vAlign w:val="center"/>
          </w:tcPr>
          <w:p w14:paraId="24D1FCA0" w14:textId="77777777" w:rsidR="007D1E74" w:rsidRDefault="00A95641">
            <w:pPr>
              <w:jc w:val="center"/>
              <w:rPr>
                <w:rFonts w:cstheme="minorHAnsi"/>
                <w:szCs w:val="21"/>
              </w:rPr>
            </w:pPr>
            <w:r>
              <w:rPr>
                <w:rFonts w:cstheme="minorHAnsi" w:hint="eastAsia"/>
                <w:szCs w:val="21"/>
              </w:rPr>
              <w:t>5</w:t>
            </w:r>
            <w:r>
              <w:rPr>
                <w:rFonts w:cstheme="minorHAnsi"/>
                <w:szCs w:val="21"/>
              </w:rPr>
              <w:t>3</w:t>
            </w:r>
          </w:p>
        </w:tc>
        <w:tc>
          <w:tcPr>
            <w:tcW w:w="728" w:type="pct"/>
            <w:vAlign w:val="center"/>
          </w:tcPr>
          <w:p w14:paraId="26D54418" w14:textId="77777777" w:rsidR="007D1E74" w:rsidRDefault="00A95641">
            <w:pPr>
              <w:jc w:val="center"/>
              <w:rPr>
                <w:rFonts w:cstheme="minorHAnsi"/>
                <w:szCs w:val="21"/>
              </w:rPr>
            </w:pPr>
            <w:r>
              <w:rPr>
                <w:rFonts w:cstheme="minorHAnsi" w:hint="eastAsia"/>
                <w:szCs w:val="21"/>
              </w:rPr>
              <w:t>4</w:t>
            </w:r>
            <w:r>
              <w:rPr>
                <w:rFonts w:cstheme="minorHAnsi"/>
                <w:szCs w:val="21"/>
              </w:rPr>
              <w:t>5</w:t>
            </w:r>
          </w:p>
        </w:tc>
        <w:tc>
          <w:tcPr>
            <w:tcW w:w="724" w:type="pct"/>
            <w:vAlign w:val="center"/>
          </w:tcPr>
          <w:p w14:paraId="5EA20883" w14:textId="77777777" w:rsidR="007D1E74" w:rsidRDefault="00A95641">
            <w:pPr>
              <w:jc w:val="center"/>
              <w:rPr>
                <w:rFonts w:cstheme="minorHAnsi"/>
                <w:szCs w:val="21"/>
              </w:rPr>
            </w:pPr>
            <w:r>
              <w:rPr>
                <w:rFonts w:cstheme="minorHAnsi" w:hint="eastAsia"/>
                <w:szCs w:val="21"/>
              </w:rPr>
              <w:t>5</w:t>
            </w:r>
            <w:r>
              <w:rPr>
                <w:rFonts w:cstheme="minorHAnsi"/>
                <w:szCs w:val="21"/>
              </w:rPr>
              <w:t>4</w:t>
            </w:r>
          </w:p>
        </w:tc>
        <w:tc>
          <w:tcPr>
            <w:tcW w:w="725" w:type="pct"/>
            <w:vAlign w:val="center"/>
          </w:tcPr>
          <w:p w14:paraId="092D617C" w14:textId="77777777" w:rsidR="007D1E74" w:rsidRDefault="00A95641">
            <w:pPr>
              <w:jc w:val="center"/>
              <w:rPr>
                <w:rFonts w:cstheme="minorHAnsi"/>
                <w:szCs w:val="21"/>
              </w:rPr>
            </w:pPr>
            <w:r>
              <w:rPr>
                <w:rFonts w:cstheme="minorHAnsi" w:hint="eastAsia"/>
                <w:szCs w:val="21"/>
              </w:rPr>
              <w:t>4</w:t>
            </w:r>
            <w:r>
              <w:rPr>
                <w:rFonts w:cstheme="minorHAnsi"/>
                <w:szCs w:val="21"/>
              </w:rPr>
              <w:t>6</w:t>
            </w:r>
          </w:p>
        </w:tc>
        <w:tc>
          <w:tcPr>
            <w:tcW w:w="568" w:type="pct"/>
            <w:vAlign w:val="center"/>
          </w:tcPr>
          <w:p w14:paraId="2D0187FF" w14:textId="77777777" w:rsidR="007D1E74" w:rsidRDefault="00A95641">
            <w:pPr>
              <w:jc w:val="center"/>
              <w:rPr>
                <w:rFonts w:cstheme="minorHAnsi"/>
                <w:szCs w:val="21"/>
              </w:rPr>
            </w:pPr>
            <w:r>
              <w:rPr>
                <w:rFonts w:cstheme="minorHAnsi" w:hint="eastAsia"/>
                <w:szCs w:val="21"/>
              </w:rPr>
              <w:t>60</w:t>
            </w:r>
          </w:p>
        </w:tc>
        <w:tc>
          <w:tcPr>
            <w:tcW w:w="568" w:type="pct"/>
            <w:vAlign w:val="center"/>
          </w:tcPr>
          <w:p w14:paraId="2ECB1316" w14:textId="77777777" w:rsidR="007D1E74" w:rsidRDefault="00A95641">
            <w:pPr>
              <w:jc w:val="center"/>
              <w:rPr>
                <w:rFonts w:cstheme="minorHAnsi"/>
                <w:szCs w:val="21"/>
              </w:rPr>
            </w:pPr>
            <w:r>
              <w:rPr>
                <w:rFonts w:cstheme="minorHAnsi" w:hint="eastAsia"/>
                <w:szCs w:val="21"/>
              </w:rPr>
              <w:t>50</w:t>
            </w:r>
          </w:p>
        </w:tc>
        <w:tc>
          <w:tcPr>
            <w:tcW w:w="353" w:type="pct"/>
            <w:vAlign w:val="center"/>
          </w:tcPr>
          <w:p w14:paraId="3FA7F77A" w14:textId="77777777" w:rsidR="007D1E74" w:rsidRDefault="00A95641">
            <w:pPr>
              <w:jc w:val="center"/>
              <w:rPr>
                <w:rFonts w:cstheme="minorHAnsi"/>
                <w:szCs w:val="21"/>
              </w:rPr>
            </w:pPr>
            <w:r>
              <w:rPr>
                <w:rFonts w:cstheme="minorHAnsi"/>
                <w:szCs w:val="21"/>
              </w:rPr>
              <w:t>达标</w:t>
            </w:r>
          </w:p>
        </w:tc>
      </w:tr>
      <w:tr w:rsidR="007D1E74" w14:paraId="3A0CA673" w14:textId="77777777">
        <w:tc>
          <w:tcPr>
            <w:tcW w:w="610" w:type="pct"/>
            <w:vAlign w:val="center"/>
          </w:tcPr>
          <w:p w14:paraId="59C6FE46" w14:textId="77777777" w:rsidR="007D1E74" w:rsidRDefault="00A95641">
            <w:pPr>
              <w:jc w:val="center"/>
              <w:rPr>
                <w:rFonts w:cstheme="minorHAnsi"/>
                <w:szCs w:val="21"/>
              </w:rPr>
            </w:pPr>
            <w:r>
              <w:rPr>
                <w:bCs/>
                <w:szCs w:val="21"/>
              </w:rPr>
              <w:t>4#</w:t>
            </w:r>
          </w:p>
        </w:tc>
        <w:tc>
          <w:tcPr>
            <w:tcW w:w="724" w:type="pct"/>
            <w:vAlign w:val="center"/>
          </w:tcPr>
          <w:p w14:paraId="421599F9" w14:textId="77777777" w:rsidR="007D1E74" w:rsidRDefault="00A95641">
            <w:pPr>
              <w:jc w:val="center"/>
              <w:rPr>
                <w:rFonts w:cstheme="minorHAnsi"/>
                <w:szCs w:val="21"/>
              </w:rPr>
            </w:pPr>
            <w:r>
              <w:rPr>
                <w:rFonts w:cstheme="minorHAnsi" w:hint="eastAsia"/>
                <w:szCs w:val="21"/>
              </w:rPr>
              <w:t>5</w:t>
            </w:r>
            <w:r>
              <w:rPr>
                <w:rFonts w:cstheme="minorHAnsi"/>
                <w:szCs w:val="21"/>
              </w:rPr>
              <w:t>2</w:t>
            </w:r>
          </w:p>
        </w:tc>
        <w:tc>
          <w:tcPr>
            <w:tcW w:w="728" w:type="pct"/>
            <w:vAlign w:val="center"/>
          </w:tcPr>
          <w:p w14:paraId="51C0B76E" w14:textId="77777777" w:rsidR="007D1E74" w:rsidRDefault="00A95641">
            <w:pPr>
              <w:jc w:val="center"/>
              <w:rPr>
                <w:rFonts w:cstheme="minorHAnsi"/>
                <w:szCs w:val="21"/>
              </w:rPr>
            </w:pPr>
            <w:r>
              <w:rPr>
                <w:rFonts w:cstheme="minorHAnsi" w:hint="eastAsia"/>
                <w:szCs w:val="21"/>
              </w:rPr>
              <w:t>4</w:t>
            </w:r>
            <w:r>
              <w:rPr>
                <w:rFonts w:cstheme="minorHAnsi"/>
                <w:szCs w:val="21"/>
              </w:rPr>
              <w:t>7</w:t>
            </w:r>
          </w:p>
        </w:tc>
        <w:tc>
          <w:tcPr>
            <w:tcW w:w="724" w:type="pct"/>
            <w:vAlign w:val="center"/>
          </w:tcPr>
          <w:p w14:paraId="6949C5DC" w14:textId="77777777" w:rsidR="007D1E74" w:rsidRDefault="00A95641">
            <w:pPr>
              <w:jc w:val="center"/>
              <w:rPr>
                <w:rFonts w:cstheme="minorHAnsi"/>
                <w:szCs w:val="21"/>
              </w:rPr>
            </w:pPr>
            <w:r>
              <w:rPr>
                <w:rFonts w:cstheme="minorHAnsi" w:hint="eastAsia"/>
                <w:szCs w:val="21"/>
              </w:rPr>
              <w:t>5</w:t>
            </w:r>
            <w:r>
              <w:rPr>
                <w:rFonts w:cstheme="minorHAnsi"/>
                <w:szCs w:val="21"/>
              </w:rPr>
              <w:t>6</w:t>
            </w:r>
          </w:p>
        </w:tc>
        <w:tc>
          <w:tcPr>
            <w:tcW w:w="725" w:type="pct"/>
            <w:vAlign w:val="center"/>
          </w:tcPr>
          <w:p w14:paraId="4E386D07" w14:textId="77777777" w:rsidR="007D1E74" w:rsidRDefault="00A95641">
            <w:pPr>
              <w:jc w:val="center"/>
              <w:rPr>
                <w:rFonts w:cstheme="minorHAnsi"/>
                <w:szCs w:val="21"/>
              </w:rPr>
            </w:pPr>
            <w:r>
              <w:rPr>
                <w:rFonts w:cstheme="minorHAnsi" w:hint="eastAsia"/>
                <w:szCs w:val="21"/>
              </w:rPr>
              <w:t>4</w:t>
            </w:r>
            <w:r>
              <w:rPr>
                <w:rFonts w:cstheme="minorHAnsi"/>
                <w:szCs w:val="21"/>
              </w:rPr>
              <w:t>5</w:t>
            </w:r>
          </w:p>
        </w:tc>
        <w:tc>
          <w:tcPr>
            <w:tcW w:w="568" w:type="pct"/>
            <w:vAlign w:val="center"/>
          </w:tcPr>
          <w:p w14:paraId="65BB72CB" w14:textId="77777777" w:rsidR="007D1E74" w:rsidRDefault="00A95641">
            <w:pPr>
              <w:jc w:val="center"/>
              <w:rPr>
                <w:rFonts w:cstheme="minorHAnsi"/>
                <w:szCs w:val="21"/>
              </w:rPr>
            </w:pPr>
            <w:r>
              <w:rPr>
                <w:rFonts w:cstheme="minorHAnsi" w:hint="eastAsia"/>
                <w:szCs w:val="21"/>
              </w:rPr>
              <w:t>60</w:t>
            </w:r>
          </w:p>
        </w:tc>
        <w:tc>
          <w:tcPr>
            <w:tcW w:w="568" w:type="pct"/>
            <w:vAlign w:val="center"/>
          </w:tcPr>
          <w:p w14:paraId="632FBA00" w14:textId="77777777" w:rsidR="007D1E74" w:rsidRDefault="00A95641">
            <w:pPr>
              <w:jc w:val="center"/>
              <w:rPr>
                <w:rFonts w:cstheme="minorHAnsi"/>
                <w:szCs w:val="21"/>
              </w:rPr>
            </w:pPr>
            <w:r>
              <w:rPr>
                <w:rFonts w:cstheme="minorHAnsi" w:hint="eastAsia"/>
                <w:szCs w:val="21"/>
              </w:rPr>
              <w:t>50</w:t>
            </w:r>
          </w:p>
        </w:tc>
        <w:tc>
          <w:tcPr>
            <w:tcW w:w="353" w:type="pct"/>
            <w:vAlign w:val="center"/>
          </w:tcPr>
          <w:p w14:paraId="38FF6D30" w14:textId="77777777" w:rsidR="007D1E74" w:rsidRDefault="00A95641">
            <w:pPr>
              <w:jc w:val="center"/>
              <w:rPr>
                <w:rFonts w:cstheme="minorHAnsi"/>
                <w:szCs w:val="21"/>
              </w:rPr>
            </w:pPr>
            <w:r>
              <w:rPr>
                <w:rFonts w:cstheme="minorHAnsi"/>
                <w:szCs w:val="21"/>
              </w:rPr>
              <w:t>达标</w:t>
            </w:r>
          </w:p>
        </w:tc>
      </w:tr>
      <w:tr w:rsidR="007D1E74" w14:paraId="2B0ABD01" w14:textId="77777777">
        <w:tc>
          <w:tcPr>
            <w:tcW w:w="610" w:type="pct"/>
            <w:vAlign w:val="center"/>
          </w:tcPr>
          <w:p w14:paraId="125A65B8" w14:textId="77777777" w:rsidR="007D1E74" w:rsidRDefault="00A95641">
            <w:pPr>
              <w:jc w:val="center"/>
              <w:rPr>
                <w:rFonts w:cstheme="minorHAnsi"/>
                <w:szCs w:val="21"/>
              </w:rPr>
            </w:pPr>
            <w:r>
              <w:rPr>
                <w:rFonts w:hint="eastAsia"/>
                <w:bCs/>
                <w:szCs w:val="21"/>
              </w:rPr>
              <w:t>5#</w:t>
            </w:r>
          </w:p>
        </w:tc>
        <w:tc>
          <w:tcPr>
            <w:tcW w:w="724" w:type="pct"/>
            <w:vAlign w:val="center"/>
          </w:tcPr>
          <w:p w14:paraId="30FCF273" w14:textId="77777777" w:rsidR="007D1E74" w:rsidRDefault="00A95641">
            <w:pPr>
              <w:jc w:val="center"/>
              <w:rPr>
                <w:rFonts w:cstheme="minorHAnsi"/>
                <w:szCs w:val="21"/>
              </w:rPr>
            </w:pPr>
            <w:r>
              <w:rPr>
                <w:rFonts w:cstheme="minorHAnsi" w:hint="eastAsia"/>
                <w:szCs w:val="21"/>
              </w:rPr>
              <w:t>5</w:t>
            </w:r>
            <w:r>
              <w:rPr>
                <w:rFonts w:cstheme="minorHAnsi"/>
                <w:szCs w:val="21"/>
              </w:rPr>
              <w:t>6</w:t>
            </w:r>
          </w:p>
        </w:tc>
        <w:tc>
          <w:tcPr>
            <w:tcW w:w="728" w:type="pct"/>
            <w:vAlign w:val="center"/>
          </w:tcPr>
          <w:p w14:paraId="72EDFEDD" w14:textId="77777777" w:rsidR="007D1E74" w:rsidRDefault="00A95641">
            <w:pPr>
              <w:jc w:val="center"/>
              <w:rPr>
                <w:rFonts w:cstheme="minorHAnsi"/>
                <w:szCs w:val="21"/>
              </w:rPr>
            </w:pPr>
            <w:r>
              <w:rPr>
                <w:rFonts w:cstheme="minorHAnsi" w:hint="eastAsia"/>
                <w:szCs w:val="21"/>
              </w:rPr>
              <w:t>4</w:t>
            </w:r>
            <w:r>
              <w:rPr>
                <w:rFonts w:cstheme="minorHAnsi"/>
                <w:szCs w:val="21"/>
              </w:rPr>
              <w:t>9</w:t>
            </w:r>
          </w:p>
        </w:tc>
        <w:tc>
          <w:tcPr>
            <w:tcW w:w="724" w:type="pct"/>
            <w:vAlign w:val="center"/>
          </w:tcPr>
          <w:p w14:paraId="2F57635D" w14:textId="77777777" w:rsidR="007D1E74" w:rsidRDefault="00A95641">
            <w:pPr>
              <w:jc w:val="center"/>
              <w:rPr>
                <w:rFonts w:cstheme="minorHAnsi"/>
                <w:szCs w:val="21"/>
              </w:rPr>
            </w:pPr>
            <w:r>
              <w:rPr>
                <w:rFonts w:cstheme="minorHAnsi" w:hint="eastAsia"/>
                <w:szCs w:val="21"/>
              </w:rPr>
              <w:t>5</w:t>
            </w:r>
            <w:r>
              <w:rPr>
                <w:rFonts w:cstheme="minorHAnsi"/>
                <w:szCs w:val="21"/>
              </w:rPr>
              <w:t>2</w:t>
            </w:r>
          </w:p>
        </w:tc>
        <w:tc>
          <w:tcPr>
            <w:tcW w:w="725" w:type="pct"/>
            <w:vAlign w:val="center"/>
          </w:tcPr>
          <w:p w14:paraId="468BC306" w14:textId="77777777" w:rsidR="007D1E74" w:rsidRDefault="00A95641">
            <w:pPr>
              <w:jc w:val="center"/>
              <w:rPr>
                <w:rFonts w:cstheme="minorHAnsi"/>
                <w:szCs w:val="21"/>
              </w:rPr>
            </w:pPr>
            <w:r>
              <w:rPr>
                <w:rFonts w:cstheme="minorHAnsi" w:hint="eastAsia"/>
                <w:szCs w:val="21"/>
              </w:rPr>
              <w:t>4</w:t>
            </w:r>
            <w:r>
              <w:rPr>
                <w:rFonts w:cstheme="minorHAnsi"/>
                <w:szCs w:val="21"/>
              </w:rPr>
              <w:t>5</w:t>
            </w:r>
          </w:p>
        </w:tc>
        <w:tc>
          <w:tcPr>
            <w:tcW w:w="568" w:type="pct"/>
            <w:vAlign w:val="center"/>
          </w:tcPr>
          <w:p w14:paraId="7AC587A8" w14:textId="77777777" w:rsidR="007D1E74" w:rsidRDefault="00A95641">
            <w:pPr>
              <w:jc w:val="center"/>
              <w:rPr>
                <w:rFonts w:cstheme="minorHAnsi"/>
                <w:szCs w:val="21"/>
              </w:rPr>
            </w:pPr>
            <w:r>
              <w:rPr>
                <w:rFonts w:cstheme="minorHAnsi" w:hint="eastAsia"/>
                <w:szCs w:val="21"/>
              </w:rPr>
              <w:t>60</w:t>
            </w:r>
          </w:p>
        </w:tc>
        <w:tc>
          <w:tcPr>
            <w:tcW w:w="568" w:type="pct"/>
            <w:vAlign w:val="center"/>
          </w:tcPr>
          <w:p w14:paraId="06F22701" w14:textId="77777777" w:rsidR="007D1E74" w:rsidRDefault="00A95641">
            <w:pPr>
              <w:jc w:val="center"/>
              <w:rPr>
                <w:rFonts w:cstheme="minorHAnsi"/>
                <w:szCs w:val="21"/>
              </w:rPr>
            </w:pPr>
            <w:r>
              <w:rPr>
                <w:rFonts w:cstheme="minorHAnsi" w:hint="eastAsia"/>
                <w:szCs w:val="21"/>
              </w:rPr>
              <w:t>50</w:t>
            </w:r>
          </w:p>
        </w:tc>
        <w:tc>
          <w:tcPr>
            <w:tcW w:w="353" w:type="pct"/>
            <w:vAlign w:val="center"/>
          </w:tcPr>
          <w:p w14:paraId="12CF054B" w14:textId="77777777" w:rsidR="007D1E74" w:rsidRDefault="00A95641">
            <w:pPr>
              <w:jc w:val="center"/>
              <w:rPr>
                <w:rFonts w:cstheme="minorHAnsi"/>
                <w:szCs w:val="21"/>
              </w:rPr>
            </w:pPr>
            <w:r>
              <w:rPr>
                <w:rFonts w:cstheme="minorHAnsi"/>
                <w:szCs w:val="21"/>
              </w:rPr>
              <w:t>达标</w:t>
            </w:r>
          </w:p>
        </w:tc>
      </w:tr>
      <w:tr w:rsidR="007D1E74" w14:paraId="6D8D45D6" w14:textId="77777777">
        <w:tc>
          <w:tcPr>
            <w:tcW w:w="610" w:type="pct"/>
            <w:vAlign w:val="center"/>
          </w:tcPr>
          <w:p w14:paraId="56019006" w14:textId="77777777" w:rsidR="007D1E74" w:rsidRDefault="00A95641">
            <w:pPr>
              <w:jc w:val="center"/>
              <w:rPr>
                <w:bCs/>
                <w:szCs w:val="21"/>
              </w:rPr>
            </w:pPr>
            <w:r>
              <w:rPr>
                <w:rFonts w:hint="eastAsia"/>
                <w:bCs/>
                <w:szCs w:val="21"/>
              </w:rPr>
              <w:t>6#</w:t>
            </w:r>
          </w:p>
        </w:tc>
        <w:tc>
          <w:tcPr>
            <w:tcW w:w="724" w:type="pct"/>
            <w:vAlign w:val="center"/>
          </w:tcPr>
          <w:p w14:paraId="14FF2D05" w14:textId="77777777" w:rsidR="007D1E74" w:rsidRDefault="00A95641">
            <w:pPr>
              <w:jc w:val="center"/>
              <w:rPr>
                <w:rFonts w:cstheme="minorHAnsi"/>
                <w:szCs w:val="21"/>
              </w:rPr>
            </w:pPr>
            <w:r>
              <w:rPr>
                <w:rFonts w:cstheme="minorHAnsi" w:hint="eastAsia"/>
                <w:szCs w:val="21"/>
              </w:rPr>
              <w:t>5</w:t>
            </w:r>
            <w:r>
              <w:rPr>
                <w:rFonts w:cstheme="minorHAnsi"/>
                <w:szCs w:val="21"/>
              </w:rPr>
              <w:t>4</w:t>
            </w:r>
          </w:p>
        </w:tc>
        <w:tc>
          <w:tcPr>
            <w:tcW w:w="728" w:type="pct"/>
            <w:vAlign w:val="center"/>
          </w:tcPr>
          <w:p w14:paraId="1C6ECF71" w14:textId="77777777" w:rsidR="007D1E74" w:rsidRDefault="00A95641">
            <w:pPr>
              <w:jc w:val="center"/>
              <w:rPr>
                <w:rFonts w:cstheme="minorHAnsi"/>
                <w:szCs w:val="21"/>
              </w:rPr>
            </w:pPr>
            <w:r>
              <w:rPr>
                <w:rFonts w:cstheme="minorHAnsi" w:hint="eastAsia"/>
                <w:szCs w:val="21"/>
              </w:rPr>
              <w:t>4</w:t>
            </w:r>
            <w:r>
              <w:rPr>
                <w:rFonts w:cstheme="minorHAnsi"/>
                <w:szCs w:val="21"/>
              </w:rPr>
              <w:t>8</w:t>
            </w:r>
          </w:p>
        </w:tc>
        <w:tc>
          <w:tcPr>
            <w:tcW w:w="724" w:type="pct"/>
            <w:vAlign w:val="center"/>
          </w:tcPr>
          <w:p w14:paraId="6218E57C" w14:textId="77777777" w:rsidR="007D1E74" w:rsidRDefault="00A95641">
            <w:pPr>
              <w:jc w:val="center"/>
              <w:rPr>
                <w:rFonts w:cstheme="minorHAnsi"/>
                <w:szCs w:val="21"/>
              </w:rPr>
            </w:pPr>
            <w:r>
              <w:rPr>
                <w:rFonts w:cstheme="minorHAnsi" w:hint="eastAsia"/>
                <w:szCs w:val="21"/>
              </w:rPr>
              <w:t>5</w:t>
            </w:r>
            <w:r>
              <w:rPr>
                <w:rFonts w:cstheme="minorHAnsi"/>
                <w:szCs w:val="21"/>
              </w:rPr>
              <w:t>6</w:t>
            </w:r>
          </w:p>
        </w:tc>
        <w:tc>
          <w:tcPr>
            <w:tcW w:w="725" w:type="pct"/>
            <w:vAlign w:val="center"/>
          </w:tcPr>
          <w:p w14:paraId="7028B22A" w14:textId="77777777" w:rsidR="007D1E74" w:rsidRDefault="00A95641">
            <w:pPr>
              <w:jc w:val="center"/>
              <w:rPr>
                <w:rFonts w:cstheme="minorHAnsi"/>
                <w:szCs w:val="21"/>
              </w:rPr>
            </w:pPr>
            <w:r>
              <w:rPr>
                <w:rFonts w:cstheme="minorHAnsi" w:hint="eastAsia"/>
                <w:szCs w:val="21"/>
              </w:rPr>
              <w:t>4</w:t>
            </w:r>
            <w:r>
              <w:rPr>
                <w:rFonts w:cstheme="minorHAnsi"/>
                <w:szCs w:val="21"/>
              </w:rPr>
              <w:t>8</w:t>
            </w:r>
          </w:p>
        </w:tc>
        <w:tc>
          <w:tcPr>
            <w:tcW w:w="568" w:type="pct"/>
            <w:vAlign w:val="center"/>
          </w:tcPr>
          <w:p w14:paraId="6447F994" w14:textId="77777777" w:rsidR="007D1E74" w:rsidRDefault="00A95641">
            <w:pPr>
              <w:jc w:val="center"/>
              <w:rPr>
                <w:rFonts w:cstheme="minorHAnsi"/>
                <w:szCs w:val="21"/>
              </w:rPr>
            </w:pPr>
            <w:r>
              <w:rPr>
                <w:rFonts w:cstheme="minorHAnsi" w:hint="eastAsia"/>
                <w:szCs w:val="21"/>
              </w:rPr>
              <w:t>60</w:t>
            </w:r>
          </w:p>
        </w:tc>
        <w:tc>
          <w:tcPr>
            <w:tcW w:w="568" w:type="pct"/>
            <w:vAlign w:val="center"/>
          </w:tcPr>
          <w:p w14:paraId="383E9A94" w14:textId="77777777" w:rsidR="007D1E74" w:rsidRDefault="00A95641">
            <w:pPr>
              <w:jc w:val="center"/>
              <w:rPr>
                <w:rFonts w:cstheme="minorHAnsi"/>
                <w:szCs w:val="21"/>
              </w:rPr>
            </w:pPr>
            <w:r>
              <w:rPr>
                <w:rFonts w:cstheme="minorHAnsi" w:hint="eastAsia"/>
                <w:szCs w:val="21"/>
              </w:rPr>
              <w:t>50</w:t>
            </w:r>
          </w:p>
        </w:tc>
        <w:tc>
          <w:tcPr>
            <w:tcW w:w="353" w:type="pct"/>
            <w:vAlign w:val="center"/>
          </w:tcPr>
          <w:p w14:paraId="54BCE440" w14:textId="77777777" w:rsidR="007D1E74" w:rsidRDefault="00A95641">
            <w:pPr>
              <w:jc w:val="center"/>
              <w:rPr>
                <w:rFonts w:cstheme="minorHAnsi"/>
                <w:szCs w:val="21"/>
              </w:rPr>
            </w:pPr>
            <w:r>
              <w:rPr>
                <w:rFonts w:cstheme="minorHAnsi"/>
                <w:szCs w:val="21"/>
              </w:rPr>
              <w:t>达标</w:t>
            </w:r>
          </w:p>
        </w:tc>
      </w:tr>
      <w:tr w:rsidR="007D1E74" w14:paraId="282E7DDA" w14:textId="77777777">
        <w:tc>
          <w:tcPr>
            <w:tcW w:w="610" w:type="pct"/>
            <w:vAlign w:val="center"/>
          </w:tcPr>
          <w:p w14:paraId="5FBD13BC" w14:textId="77777777" w:rsidR="007D1E74" w:rsidRDefault="00A95641">
            <w:pPr>
              <w:jc w:val="center"/>
              <w:rPr>
                <w:bCs/>
                <w:szCs w:val="21"/>
              </w:rPr>
            </w:pPr>
            <w:r>
              <w:rPr>
                <w:rFonts w:hint="eastAsia"/>
                <w:bCs/>
                <w:szCs w:val="21"/>
              </w:rPr>
              <w:t>7#</w:t>
            </w:r>
          </w:p>
        </w:tc>
        <w:tc>
          <w:tcPr>
            <w:tcW w:w="724" w:type="pct"/>
            <w:vAlign w:val="center"/>
          </w:tcPr>
          <w:p w14:paraId="73AAE9D6" w14:textId="77777777" w:rsidR="007D1E74" w:rsidRDefault="00A95641">
            <w:pPr>
              <w:jc w:val="center"/>
              <w:rPr>
                <w:rFonts w:cstheme="minorHAnsi"/>
                <w:szCs w:val="21"/>
              </w:rPr>
            </w:pPr>
            <w:r>
              <w:rPr>
                <w:rFonts w:cstheme="minorHAnsi" w:hint="eastAsia"/>
                <w:szCs w:val="21"/>
              </w:rPr>
              <w:t>5</w:t>
            </w:r>
            <w:r>
              <w:rPr>
                <w:rFonts w:cstheme="minorHAnsi"/>
                <w:szCs w:val="21"/>
              </w:rPr>
              <w:t>7</w:t>
            </w:r>
          </w:p>
        </w:tc>
        <w:tc>
          <w:tcPr>
            <w:tcW w:w="728" w:type="pct"/>
            <w:vAlign w:val="center"/>
          </w:tcPr>
          <w:p w14:paraId="7ED9AF13" w14:textId="77777777" w:rsidR="007D1E74" w:rsidRDefault="00A95641">
            <w:pPr>
              <w:jc w:val="center"/>
              <w:rPr>
                <w:rFonts w:cstheme="minorHAnsi"/>
                <w:szCs w:val="21"/>
              </w:rPr>
            </w:pPr>
            <w:r>
              <w:rPr>
                <w:rFonts w:cstheme="minorHAnsi" w:hint="eastAsia"/>
                <w:szCs w:val="21"/>
              </w:rPr>
              <w:t>4</w:t>
            </w:r>
            <w:r>
              <w:rPr>
                <w:rFonts w:cstheme="minorHAnsi"/>
                <w:szCs w:val="21"/>
              </w:rPr>
              <w:t>7</w:t>
            </w:r>
          </w:p>
        </w:tc>
        <w:tc>
          <w:tcPr>
            <w:tcW w:w="724" w:type="pct"/>
            <w:vAlign w:val="center"/>
          </w:tcPr>
          <w:p w14:paraId="001E6152" w14:textId="77777777" w:rsidR="007D1E74" w:rsidRDefault="00A95641">
            <w:pPr>
              <w:jc w:val="center"/>
              <w:rPr>
                <w:rFonts w:cstheme="minorHAnsi"/>
                <w:szCs w:val="21"/>
              </w:rPr>
            </w:pPr>
            <w:r>
              <w:rPr>
                <w:rFonts w:cstheme="minorHAnsi" w:hint="eastAsia"/>
                <w:szCs w:val="21"/>
              </w:rPr>
              <w:t>5</w:t>
            </w:r>
            <w:r>
              <w:rPr>
                <w:rFonts w:cstheme="minorHAnsi"/>
                <w:szCs w:val="21"/>
              </w:rPr>
              <w:t>3</w:t>
            </w:r>
          </w:p>
        </w:tc>
        <w:tc>
          <w:tcPr>
            <w:tcW w:w="725" w:type="pct"/>
            <w:vAlign w:val="center"/>
          </w:tcPr>
          <w:p w14:paraId="28882C2E" w14:textId="77777777" w:rsidR="007D1E74" w:rsidRDefault="00A95641">
            <w:pPr>
              <w:jc w:val="center"/>
              <w:rPr>
                <w:rFonts w:cstheme="minorHAnsi"/>
                <w:szCs w:val="21"/>
              </w:rPr>
            </w:pPr>
            <w:r>
              <w:rPr>
                <w:rFonts w:cstheme="minorHAnsi" w:hint="eastAsia"/>
                <w:szCs w:val="21"/>
              </w:rPr>
              <w:t>4</w:t>
            </w:r>
            <w:r>
              <w:rPr>
                <w:rFonts w:cstheme="minorHAnsi"/>
                <w:szCs w:val="21"/>
              </w:rPr>
              <w:t>4</w:t>
            </w:r>
          </w:p>
        </w:tc>
        <w:tc>
          <w:tcPr>
            <w:tcW w:w="568" w:type="pct"/>
            <w:vAlign w:val="center"/>
          </w:tcPr>
          <w:p w14:paraId="0B13ACB1" w14:textId="77777777" w:rsidR="007D1E74" w:rsidRDefault="00A95641">
            <w:pPr>
              <w:jc w:val="center"/>
              <w:rPr>
                <w:rFonts w:cstheme="minorHAnsi"/>
                <w:szCs w:val="21"/>
              </w:rPr>
            </w:pPr>
            <w:r>
              <w:rPr>
                <w:rFonts w:cstheme="minorHAnsi" w:hint="eastAsia"/>
                <w:szCs w:val="21"/>
              </w:rPr>
              <w:t>60</w:t>
            </w:r>
          </w:p>
        </w:tc>
        <w:tc>
          <w:tcPr>
            <w:tcW w:w="568" w:type="pct"/>
            <w:vAlign w:val="center"/>
          </w:tcPr>
          <w:p w14:paraId="0CD4CB36" w14:textId="77777777" w:rsidR="007D1E74" w:rsidRDefault="00A95641">
            <w:pPr>
              <w:jc w:val="center"/>
              <w:rPr>
                <w:rFonts w:cstheme="minorHAnsi"/>
                <w:szCs w:val="21"/>
              </w:rPr>
            </w:pPr>
            <w:r>
              <w:rPr>
                <w:rFonts w:cstheme="minorHAnsi" w:hint="eastAsia"/>
                <w:szCs w:val="21"/>
              </w:rPr>
              <w:t>50</w:t>
            </w:r>
          </w:p>
        </w:tc>
        <w:tc>
          <w:tcPr>
            <w:tcW w:w="353" w:type="pct"/>
            <w:vAlign w:val="center"/>
          </w:tcPr>
          <w:p w14:paraId="5A847FFA" w14:textId="77777777" w:rsidR="007D1E74" w:rsidRDefault="00A95641">
            <w:pPr>
              <w:jc w:val="center"/>
              <w:rPr>
                <w:rFonts w:cstheme="minorHAnsi"/>
                <w:szCs w:val="21"/>
              </w:rPr>
            </w:pPr>
            <w:r>
              <w:rPr>
                <w:rFonts w:cstheme="minorHAnsi"/>
                <w:szCs w:val="21"/>
              </w:rPr>
              <w:t>达标</w:t>
            </w:r>
          </w:p>
        </w:tc>
      </w:tr>
      <w:tr w:rsidR="007D1E74" w14:paraId="4640C6DA" w14:textId="77777777">
        <w:tc>
          <w:tcPr>
            <w:tcW w:w="610" w:type="pct"/>
            <w:vAlign w:val="center"/>
          </w:tcPr>
          <w:p w14:paraId="1A9EDA7B" w14:textId="77777777" w:rsidR="007D1E74" w:rsidRDefault="00A95641">
            <w:pPr>
              <w:jc w:val="center"/>
              <w:rPr>
                <w:bCs/>
                <w:szCs w:val="21"/>
              </w:rPr>
            </w:pPr>
            <w:r>
              <w:rPr>
                <w:rFonts w:hint="eastAsia"/>
                <w:bCs/>
                <w:szCs w:val="21"/>
              </w:rPr>
              <w:t>8#</w:t>
            </w:r>
          </w:p>
        </w:tc>
        <w:tc>
          <w:tcPr>
            <w:tcW w:w="724" w:type="pct"/>
            <w:vAlign w:val="center"/>
          </w:tcPr>
          <w:p w14:paraId="5B3062B2" w14:textId="77777777" w:rsidR="007D1E74" w:rsidRDefault="00A95641">
            <w:pPr>
              <w:jc w:val="center"/>
              <w:rPr>
                <w:rFonts w:cstheme="minorHAnsi"/>
                <w:szCs w:val="21"/>
              </w:rPr>
            </w:pPr>
            <w:r>
              <w:rPr>
                <w:rFonts w:cstheme="minorHAnsi" w:hint="eastAsia"/>
                <w:szCs w:val="21"/>
              </w:rPr>
              <w:t>5</w:t>
            </w:r>
            <w:r>
              <w:rPr>
                <w:rFonts w:cstheme="minorHAnsi"/>
                <w:szCs w:val="21"/>
              </w:rPr>
              <w:t>2</w:t>
            </w:r>
          </w:p>
        </w:tc>
        <w:tc>
          <w:tcPr>
            <w:tcW w:w="728" w:type="pct"/>
            <w:vAlign w:val="center"/>
          </w:tcPr>
          <w:p w14:paraId="6A47217A" w14:textId="77777777" w:rsidR="007D1E74" w:rsidRDefault="00A95641">
            <w:pPr>
              <w:jc w:val="center"/>
              <w:rPr>
                <w:rFonts w:cstheme="minorHAnsi"/>
                <w:szCs w:val="21"/>
              </w:rPr>
            </w:pPr>
            <w:r>
              <w:rPr>
                <w:rFonts w:cstheme="minorHAnsi" w:hint="eastAsia"/>
                <w:szCs w:val="21"/>
              </w:rPr>
              <w:t>4</w:t>
            </w:r>
            <w:r>
              <w:rPr>
                <w:rFonts w:cstheme="minorHAnsi"/>
                <w:szCs w:val="21"/>
              </w:rPr>
              <w:t>7</w:t>
            </w:r>
          </w:p>
        </w:tc>
        <w:tc>
          <w:tcPr>
            <w:tcW w:w="724" w:type="pct"/>
            <w:vAlign w:val="center"/>
          </w:tcPr>
          <w:p w14:paraId="45DC24DB" w14:textId="77777777" w:rsidR="007D1E74" w:rsidRDefault="00A95641">
            <w:pPr>
              <w:jc w:val="center"/>
              <w:rPr>
                <w:rFonts w:cstheme="minorHAnsi"/>
                <w:szCs w:val="21"/>
              </w:rPr>
            </w:pPr>
            <w:r>
              <w:rPr>
                <w:rFonts w:cstheme="minorHAnsi" w:hint="eastAsia"/>
                <w:szCs w:val="21"/>
              </w:rPr>
              <w:t>5</w:t>
            </w:r>
            <w:r>
              <w:rPr>
                <w:rFonts w:cstheme="minorHAnsi"/>
                <w:szCs w:val="21"/>
              </w:rPr>
              <w:t>5</w:t>
            </w:r>
          </w:p>
        </w:tc>
        <w:tc>
          <w:tcPr>
            <w:tcW w:w="725" w:type="pct"/>
            <w:vAlign w:val="center"/>
          </w:tcPr>
          <w:p w14:paraId="297EAFBD" w14:textId="77777777" w:rsidR="007D1E74" w:rsidRDefault="00A95641">
            <w:pPr>
              <w:jc w:val="center"/>
              <w:rPr>
                <w:rFonts w:cstheme="minorHAnsi"/>
                <w:szCs w:val="21"/>
              </w:rPr>
            </w:pPr>
            <w:r>
              <w:rPr>
                <w:rFonts w:cstheme="minorHAnsi" w:hint="eastAsia"/>
                <w:szCs w:val="21"/>
              </w:rPr>
              <w:t>4</w:t>
            </w:r>
            <w:r>
              <w:rPr>
                <w:rFonts w:cstheme="minorHAnsi"/>
                <w:szCs w:val="21"/>
              </w:rPr>
              <w:t>6</w:t>
            </w:r>
          </w:p>
        </w:tc>
        <w:tc>
          <w:tcPr>
            <w:tcW w:w="568" w:type="pct"/>
            <w:vAlign w:val="center"/>
          </w:tcPr>
          <w:p w14:paraId="7C28B8C1" w14:textId="77777777" w:rsidR="007D1E74" w:rsidRDefault="00A95641">
            <w:pPr>
              <w:jc w:val="center"/>
              <w:rPr>
                <w:rFonts w:cstheme="minorHAnsi"/>
                <w:szCs w:val="21"/>
              </w:rPr>
            </w:pPr>
            <w:r>
              <w:rPr>
                <w:rFonts w:cstheme="minorHAnsi" w:hint="eastAsia"/>
                <w:szCs w:val="21"/>
              </w:rPr>
              <w:t>60</w:t>
            </w:r>
          </w:p>
        </w:tc>
        <w:tc>
          <w:tcPr>
            <w:tcW w:w="568" w:type="pct"/>
            <w:vAlign w:val="center"/>
          </w:tcPr>
          <w:p w14:paraId="4144AED0" w14:textId="77777777" w:rsidR="007D1E74" w:rsidRDefault="00A95641">
            <w:pPr>
              <w:jc w:val="center"/>
              <w:rPr>
                <w:rFonts w:cstheme="minorHAnsi"/>
                <w:szCs w:val="21"/>
              </w:rPr>
            </w:pPr>
            <w:r>
              <w:rPr>
                <w:rFonts w:cstheme="minorHAnsi" w:hint="eastAsia"/>
                <w:szCs w:val="21"/>
              </w:rPr>
              <w:t>50</w:t>
            </w:r>
          </w:p>
        </w:tc>
        <w:tc>
          <w:tcPr>
            <w:tcW w:w="353" w:type="pct"/>
            <w:vAlign w:val="center"/>
          </w:tcPr>
          <w:p w14:paraId="02F32E38" w14:textId="77777777" w:rsidR="007D1E74" w:rsidRDefault="00A95641">
            <w:pPr>
              <w:jc w:val="center"/>
              <w:rPr>
                <w:rFonts w:cstheme="minorHAnsi"/>
                <w:szCs w:val="21"/>
              </w:rPr>
            </w:pPr>
            <w:r>
              <w:rPr>
                <w:rFonts w:cstheme="minorHAnsi"/>
                <w:szCs w:val="21"/>
              </w:rPr>
              <w:t>达标</w:t>
            </w:r>
          </w:p>
        </w:tc>
      </w:tr>
      <w:tr w:rsidR="007D1E74" w14:paraId="7B3D2134" w14:textId="77777777">
        <w:tc>
          <w:tcPr>
            <w:tcW w:w="610" w:type="pct"/>
            <w:vAlign w:val="center"/>
          </w:tcPr>
          <w:p w14:paraId="3E196EFE" w14:textId="77777777" w:rsidR="007D1E74" w:rsidRDefault="00A95641">
            <w:pPr>
              <w:jc w:val="center"/>
              <w:rPr>
                <w:bCs/>
                <w:szCs w:val="21"/>
              </w:rPr>
            </w:pPr>
            <w:r>
              <w:rPr>
                <w:rFonts w:hint="eastAsia"/>
                <w:bCs/>
                <w:szCs w:val="21"/>
              </w:rPr>
              <w:t>9#</w:t>
            </w:r>
          </w:p>
        </w:tc>
        <w:tc>
          <w:tcPr>
            <w:tcW w:w="724" w:type="pct"/>
            <w:vAlign w:val="center"/>
          </w:tcPr>
          <w:p w14:paraId="70C3CFED" w14:textId="77777777" w:rsidR="007D1E74" w:rsidRDefault="00A95641">
            <w:pPr>
              <w:jc w:val="center"/>
              <w:rPr>
                <w:rFonts w:cstheme="minorHAnsi"/>
                <w:szCs w:val="21"/>
              </w:rPr>
            </w:pPr>
            <w:r>
              <w:rPr>
                <w:rFonts w:cstheme="minorHAnsi" w:hint="eastAsia"/>
                <w:szCs w:val="21"/>
              </w:rPr>
              <w:t>5</w:t>
            </w:r>
            <w:r>
              <w:rPr>
                <w:rFonts w:cstheme="minorHAnsi"/>
                <w:szCs w:val="21"/>
              </w:rPr>
              <w:t>3</w:t>
            </w:r>
          </w:p>
        </w:tc>
        <w:tc>
          <w:tcPr>
            <w:tcW w:w="728" w:type="pct"/>
            <w:vAlign w:val="center"/>
          </w:tcPr>
          <w:p w14:paraId="230CA625" w14:textId="77777777" w:rsidR="007D1E74" w:rsidRDefault="00A95641">
            <w:pPr>
              <w:jc w:val="center"/>
              <w:rPr>
                <w:rFonts w:cstheme="minorHAnsi"/>
                <w:szCs w:val="21"/>
              </w:rPr>
            </w:pPr>
            <w:r>
              <w:rPr>
                <w:rFonts w:cstheme="minorHAnsi" w:hint="eastAsia"/>
                <w:szCs w:val="21"/>
              </w:rPr>
              <w:t>4</w:t>
            </w:r>
            <w:r>
              <w:rPr>
                <w:rFonts w:cstheme="minorHAnsi"/>
                <w:szCs w:val="21"/>
              </w:rPr>
              <w:t>7</w:t>
            </w:r>
          </w:p>
        </w:tc>
        <w:tc>
          <w:tcPr>
            <w:tcW w:w="724" w:type="pct"/>
            <w:vAlign w:val="center"/>
          </w:tcPr>
          <w:p w14:paraId="374E9469" w14:textId="77777777" w:rsidR="007D1E74" w:rsidRDefault="00A95641">
            <w:pPr>
              <w:jc w:val="center"/>
              <w:rPr>
                <w:rFonts w:cstheme="minorHAnsi"/>
                <w:szCs w:val="21"/>
              </w:rPr>
            </w:pPr>
            <w:r>
              <w:rPr>
                <w:rFonts w:cstheme="minorHAnsi" w:hint="eastAsia"/>
                <w:szCs w:val="21"/>
              </w:rPr>
              <w:t>5</w:t>
            </w:r>
            <w:r>
              <w:rPr>
                <w:rFonts w:cstheme="minorHAnsi"/>
                <w:szCs w:val="21"/>
              </w:rPr>
              <w:t>3</w:t>
            </w:r>
          </w:p>
        </w:tc>
        <w:tc>
          <w:tcPr>
            <w:tcW w:w="725" w:type="pct"/>
            <w:vAlign w:val="center"/>
          </w:tcPr>
          <w:p w14:paraId="5CA0581C" w14:textId="77777777" w:rsidR="007D1E74" w:rsidRDefault="00A95641">
            <w:pPr>
              <w:jc w:val="center"/>
              <w:rPr>
                <w:rFonts w:cstheme="minorHAnsi"/>
                <w:szCs w:val="21"/>
              </w:rPr>
            </w:pPr>
            <w:r>
              <w:rPr>
                <w:rFonts w:cstheme="minorHAnsi" w:hint="eastAsia"/>
                <w:szCs w:val="21"/>
              </w:rPr>
              <w:t>4</w:t>
            </w:r>
            <w:r>
              <w:rPr>
                <w:rFonts w:cstheme="minorHAnsi"/>
                <w:szCs w:val="21"/>
              </w:rPr>
              <w:t>4</w:t>
            </w:r>
          </w:p>
        </w:tc>
        <w:tc>
          <w:tcPr>
            <w:tcW w:w="568" w:type="pct"/>
            <w:vAlign w:val="center"/>
          </w:tcPr>
          <w:p w14:paraId="0E610D75" w14:textId="77777777" w:rsidR="007D1E74" w:rsidRDefault="00A95641">
            <w:pPr>
              <w:jc w:val="center"/>
              <w:rPr>
                <w:rFonts w:cstheme="minorHAnsi"/>
                <w:szCs w:val="21"/>
              </w:rPr>
            </w:pPr>
            <w:r>
              <w:rPr>
                <w:rFonts w:cstheme="minorHAnsi" w:hint="eastAsia"/>
                <w:szCs w:val="21"/>
              </w:rPr>
              <w:t>60</w:t>
            </w:r>
          </w:p>
        </w:tc>
        <w:tc>
          <w:tcPr>
            <w:tcW w:w="568" w:type="pct"/>
            <w:vAlign w:val="center"/>
          </w:tcPr>
          <w:p w14:paraId="3C4DE878" w14:textId="77777777" w:rsidR="007D1E74" w:rsidRDefault="00A95641">
            <w:pPr>
              <w:jc w:val="center"/>
              <w:rPr>
                <w:rFonts w:cstheme="minorHAnsi"/>
                <w:szCs w:val="21"/>
              </w:rPr>
            </w:pPr>
            <w:r>
              <w:rPr>
                <w:rFonts w:cstheme="minorHAnsi" w:hint="eastAsia"/>
                <w:szCs w:val="21"/>
              </w:rPr>
              <w:t>50</w:t>
            </w:r>
          </w:p>
        </w:tc>
        <w:tc>
          <w:tcPr>
            <w:tcW w:w="353" w:type="pct"/>
            <w:vAlign w:val="center"/>
          </w:tcPr>
          <w:p w14:paraId="13DC0875" w14:textId="77777777" w:rsidR="007D1E74" w:rsidRDefault="00A95641">
            <w:pPr>
              <w:jc w:val="center"/>
              <w:rPr>
                <w:rFonts w:cstheme="minorHAnsi"/>
                <w:szCs w:val="21"/>
              </w:rPr>
            </w:pPr>
            <w:r>
              <w:rPr>
                <w:rFonts w:cstheme="minorHAnsi"/>
                <w:szCs w:val="21"/>
              </w:rPr>
              <w:t>达标</w:t>
            </w:r>
          </w:p>
        </w:tc>
      </w:tr>
      <w:tr w:rsidR="007D1E74" w14:paraId="2ABECDB9" w14:textId="77777777">
        <w:tc>
          <w:tcPr>
            <w:tcW w:w="610" w:type="pct"/>
            <w:vAlign w:val="center"/>
          </w:tcPr>
          <w:p w14:paraId="732FCAA3" w14:textId="77777777" w:rsidR="007D1E74" w:rsidRDefault="00A95641">
            <w:pPr>
              <w:jc w:val="center"/>
              <w:rPr>
                <w:bCs/>
                <w:szCs w:val="21"/>
              </w:rPr>
            </w:pPr>
            <w:r>
              <w:rPr>
                <w:rFonts w:hint="eastAsia"/>
                <w:bCs/>
                <w:szCs w:val="21"/>
              </w:rPr>
              <w:t>1</w:t>
            </w:r>
            <w:r>
              <w:rPr>
                <w:bCs/>
                <w:szCs w:val="21"/>
              </w:rPr>
              <w:t>0#</w:t>
            </w:r>
          </w:p>
        </w:tc>
        <w:tc>
          <w:tcPr>
            <w:tcW w:w="724" w:type="pct"/>
            <w:vAlign w:val="center"/>
          </w:tcPr>
          <w:p w14:paraId="0B7DCE12" w14:textId="77777777" w:rsidR="007D1E74" w:rsidRDefault="00A95641">
            <w:pPr>
              <w:jc w:val="center"/>
              <w:rPr>
                <w:rFonts w:cstheme="minorHAnsi"/>
                <w:szCs w:val="21"/>
              </w:rPr>
            </w:pPr>
            <w:r>
              <w:rPr>
                <w:rFonts w:cstheme="minorHAnsi" w:hint="eastAsia"/>
                <w:szCs w:val="21"/>
              </w:rPr>
              <w:t>5</w:t>
            </w:r>
            <w:r>
              <w:rPr>
                <w:rFonts w:cstheme="minorHAnsi"/>
                <w:szCs w:val="21"/>
              </w:rPr>
              <w:t>4</w:t>
            </w:r>
          </w:p>
        </w:tc>
        <w:tc>
          <w:tcPr>
            <w:tcW w:w="728" w:type="pct"/>
            <w:vAlign w:val="center"/>
          </w:tcPr>
          <w:p w14:paraId="74574FF1" w14:textId="77777777" w:rsidR="007D1E74" w:rsidRDefault="00A95641">
            <w:pPr>
              <w:jc w:val="center"/>
              <w:rPr>
                <w:rFonts w:cstheme="minorHAnsi"/>
                <w:szCs w:val="21"/>
              </w:rPr>
            </w:pPr>
            <w:r>
              <w:rPr>
                <w:rFonts w:cstheme="minorHAnsi" w:hint="eastAsia"/>
                <w:szCs w:val="21"/>
              </w:rPr>
              <w:t>4</w:t>
            </w:r>
            <w:r>
              <w:rPr>
                <w:rFonts w:cstheme="minorHAnsi"/>
                <w:szCs w:val="21"/>
              </w:rPr>
              <w:t>8</w:t>
            </w:r>
          </w:p>
        </w:tc>
        <w:tc>
          <w:tcPr>
            <w:tcW w:w="724" w:type="pct"/>
            <w:vAlign w:val="center"/>
          </w:tcPr>
          <w:p w14:paraId="54A2D4B9" w14:textId="77777777" w:rsidR="007D1E74" w:rsidRDefault="00A95641">
            <w:pPr>
              <w:jc w:val="center"/>
              <w:rPr>
                <w:rFonts w:cstheme="minorHAnsi"/>
                <w:szCs w:val="21"/>
              </w:rPr>
            </w:pPr>
            <w:r>
              <w:rPr>
                <w:rFonts w:cstheme="minorHAnsi" w:hint="eastAsia"/>
                <w:szCs w:val="21"/>
              </w:rPr>
              <w:t>5</w:t>
            </w:r>
            <w:r>
              <w:rPr>
                <w:rFonts w:cstheme="minorHAnsi"/>
                <w:szCs w:val="21"/>
              </w:rPr>
              <w:t>3</w:t>
            </w:r>
          </w:p>
        </w:tc>
        <w:tc>
          <w:tcPr>
            <w:tcW w:w="725" w:type="pct"/>
            <w:vAlign w:val="center"/>
          </w:tcPr>
          <w:p w14:paraId="05C7A6EF" w14:textId="77777777" w:rsidR="007D1E74" w:rsidRDefault="00A95641">
            <w:pPr>
              <w:jc w:val="center"/>
              <w:rPr>
                <w:rFonts w:cstheme="minorHAnsi"/>
                <w:szCs w:val="21"/>
              </w:rPr>
            </w:pPr>
            <w:r>
              <w:rPr>
                <w:rFonts w:cstheme="minorHAnsi" w:hint="eastAsia"/>
                <w:szCs w:val="21"/>
              </w:rPr>
              <w:t>4</w:t>
            </w:r>
            <w:r>
              <w:rPr>
                <w:rFonts w:cstheme="minorHAnsi"/>
                <w:szCs w:val="21"/>
              </w:rPr>
              <w:t>4</w:t>
            </w:r>
          </w:p>
        </w:tc>
        <w:tc>
          <w:tcPr>
            <w:tcW w:w="568" w:type="pct"/>
            <w:vAlign w:val="center"/>
          </w:tcPr>
          <w:p w14:paraId="575BDD9D" w14:textId="77777777" w:rsidR="007D1E74" w:rsidRDefault="00A95641">
            <w:pPr>
              <w:jc w:val="center"/>
              <w:rPr>
                <w:rFonts w:cstheme="minorHAnsi"/>
                <w:szCs w:val="21"/>
              </w:rPr>
            </w:pPr>
            <w:r>
              <w:rPr>
                <w:rFonts w:cstheme="minorHAnsi" w:hint="eastAsia"/>
                <w:szCs w:val="21"/>
              </w:rPr>
              <w:t>60</w:t>
            </w:r>
          </w:p>
        </w:tc>
        <w:tc>
          <w:tcPr>
            <w:tcW w:w="568" w:type="pct"/>
            <w:vAlign w:val="center"/>
          </w:tcPr>
          <w:p w14:paraId="7A51B21D" w14:textId="77777777" w:rsidR="007D1E74" w:rsidRDefault="00A95641">
            <w:pPr>
              <w:jc w:val="center"/>
              <w:rPr>
                <w:rFonts w:cstheme="minorHAnsi"/>
                <w:szCs w:val="21"/>
              </w:rPr>
            </w:pPr>
            <w:r>
              <w:rPr>
                <w:rFonts w:cstheme="minorHAnsi" w:hint="eastAsia"/>
                <w:szCs w:val="21"/>
              </w:rPr>
              <w:t>50</w:t>
            </w:r>
          </w:p>
        </w:tc>
        <w:tc>
          <w:tcPr>
            <w:tcW w:w="353" w:type="pct"/>
            <w:vAlign w:val="center"/>
          </w:tcPr>
          <w:p w14:paraId="2B2AF9D3" w14:textId="77777777" w:rsidR="007D1E74" w:rsidRDefault="00A95641">
            <w:pPr>
              <w:jc w:val="center"/>
              <w:rPr>
                <w:rFonts w:cstheme="minorHAnsi"/>
                <w:szCs w:val="21"/>
              </w:rPr>
            </w:pPr>
            <w:r>
              <w:rPr>
                <w:rFonts w:cstheme="minorHAnsi"/>
                <w:szCs w:val="21"/>
              </w:rPr>
              <w:t>达标</w:t>
            </w:r>
          </w:p>
        </w:tc>
      </w:tr>
      <w:tr w:rsidR="007D1E74" w14:paraId="625211A6" w14:textId="77777777">
        <w:tc>
          <w:tcPr>
            <w:tcW w:w="610" w:type="pct"/>
            <w:vAlign w:val="center"/>
          </w:tcPr>
          <w:p w14:paraId="74E70347" w14:textId="77777777" w:rsidR="007D1E74" w:rsidRDefault="00A95641">
            <w:pPr>
              <w:jc w:val="center"/>
              <w:rPr>
                <w:bCs/>
                <w:szCs w:val="21"/>
              </w:rPr>
            </w:pPr>
            <w:r>
              <w:rPr>
                <w:rFonts w:hint="eastAsia"/>
                <w:bCs/>
                <w:szCs w:val="21"/>
              </w:rPr>
              <w:t>1</w:t>
            </w:r>
            <w:r>
              <w:rPr>
                <w:bCs/>
                <w:szCs w:val="21"/>
              </w:rPr>
              <w:t>1#</w:t>
            </w:r>
          </w:p>
        </w:tc>
        <w:tc>
          <w:tcPr>
            <w:tcW w:w="724" w:type="pct"/>
            <w:vAlign w:val="center"/>
          </w:tcPr>
          <w:p w14:paraId="5D75A929" w14:textId="77777777" w:rsidR="007D1E74" w:rsidRDefault="00A95641">
            <w:pPr>
              <w:jc w:val="center"/>
              <w:rPr>
                <w:rFonts w:cstheme="minorHAnsi"/>
                <w:szCs w:val="21"/>
              </w:rPr>
            </w:pPr>
            <w:r>
              <w:rPr>
                <w:rFonts w:cstheme="minorHAnsi" w:hint="eastAsia"/>
                <w:szCs w:val="21"/>
              </w:rPr>
              <w:t>5</w:t>
            </w:r>
            <w:r>
              <w:rPr>
                <w:rFonts w:cstheme="minorHAnsi"/>
                <w:szCs w:val="21"/>
              </w:rPr>
              <w:t>6</w:t>
            </w:r>
          </w:p>
        </w:tc>
        <w:tc>
          <w:tcPr>
            <w:tcW w:w="728" w:type="pct"/>
            <w:vAlign w:val="center"/>
          </w:tcPr>
          <w:p w14:paraId="05E7792B" w14:textId="77777777" w:rsidR="007D1E74" w:rsidRDefault="00A95641">
            <w:pPr>
              <w:jc w:val="center"/>
              <w:rPr>
                <w:rFonts w:cstheme="minorHAnsi"/>
                <w:szCs w:val="21"/>
              </w:rPr>
            </w:pPr>
            <w:r>
              <w:rPr>
                <w:rFonts w:cstheme="minorHAnsi" w:hint="eastAsia"/>
                <w:szCs w:val="21"/>
              </w:rPr>
              <w:t>4</w:t>
            </w:r>
            <w:r>
              <w:rPr>
                <w:rFonts w:cstheme="minorHAnsi"/>
                <w:szCs w:val="21"/>
              </w:rPr>
              <w:t>7</w:t>
            </w:r>
          </w:p>
        </w:tc>
        <w:tc>
          <w:tcPr>
            <w:tcW w:w="724" w:type="pct"/>
            <w:vAlign w:val="center"/>
          </w:tcPr>
          <w:p w14:paraId="1C200FFC" w14:textId="77777777" w:rsidR="007D1E74" w:rsidRDefault="00A95641">
            <w:pPr>
              <w:jc w:val="center"/>
              <w:rPr>
                <w:rFonts w:cstheme="minorHAnsi"/>
                <w:szCs w:val="21"/>
              </w:rPr>
            </w:pPr>
            <w:r>
              <w:rPr>
                <w:rFonts w:cstheme="minorHAnsi" w:hint="eastAsia"/>
                <w:szCs w:val="21"/>
              </w:rPr>
              <w:t>5</w:t>
            </w:r>
            <w:r>
              <w:rPr>
                <w:rFonts w:cstheme="minorHAnsi"/>
                <w:szCs w:val="21"/>
              </w:rPr>
              <w:t>4</w:t>
            </w:r>
          </w:p>
        </w:tc>
        <w:tc>
          <w:tcPr>
            <w:tcW w:w="725" w:type="pct"/>
            <w:vAlign w:val="center"/>
          </w:tcPr>
          <w:p w14:paraId="1511F437" w14:textId="77777777" w:rsidR="007D1E74" w:rsidRDefault="00A95641">
            <w:pPr>
              <w:jc w:val="center"/>
              <w:rPr>
                <w:rFonts w:cstheme="minorHAnsi"/>
                <w:szCs w:val="21"/>
              </w:rPr>
            </w:pPr>
            <w:r>
              <w:rPr>
                <w:rFonts w:cstheme="minorHAnsi" w:hint="eastAsia"/>
                <w:szCs w:val="21"/>
              </w:rPr>
              <w:t>4</w:t>
            </w:r>
            <w:r>
              <w:rPr>
                <w:rFonts w:cstheme="minorHAnsi"/>
                <w:szCs w:val="21"/>
              </w:rPr>
              <w:t>6</w:t>
            </w:r>
          </w:p>
        </w:tc>
        <w:tc>
          <w:tcPr>
            <w:tcW w:w="568" w:type="pct"/>
            <w:vAlign w:val="center"/>
          </w:tcPr>
          <w:p w14:paraId="6CD2A843" w14:textId="77777777" w:rsidR="007D1E74" w:rsidRDefault="00A95641">
            <w:pPr>
              <w:jc w:val="center"/>
              <w:rPr>
                <w:rFonts w:cstheme="minorHAnsi"/>
                <w:szCs w:val="21"/>
              </w:rPr>
            </w:pPr>
            <w:r>
              <w:rPr>
                <w:rFonts w:cstheme="minorHAnsi" w:hint="eastAsia"/>
                <w:szCs w:val="21"/>
              </w:rPr>
              <w:t>60</w:t>
            </w:r>
          </w:p>
        </w:tc>
        <w:tc>
          <w:tcPr>
            <w:tcW w:w="568" w:type="pct"/>
            <w:vAlign w:val="center"/>
          </w:tcPr>
          <w:p w14:paraId="688DFAB6" w14:textId="77777777" w:rsidR="007D1E74" w:rsidRDefault="00A95641">
            <w:pPr>
              <w:jc w:val="center"/>
              <w:rPr>
                <w:rFonts w:cstheme="minorHAnsi"/>
                <w:szCs w:val="21"/>
              </w:rPr>
            </w:pPr>
            <w:r>
              <w:rPr>
                <w:rFonts w:cstheme="minorHAnsi" w:hint="eastAsia"/>
                <w:szCs w:val="21"/>
              </w:rPr>
              <w:t>50</w:t>
            </w:r>
          </w:p>
        </w:tc>
        <w:tc>
          <w:tcPr>
            <w:tcW w:w="353" w:type="pct"/>
            <w:vAlign w:val="center"/>
          </w:tcPr>
          <w:p w14:paraId="29D8195F" w14:textId="77777777" w:rsidR="007D1E74" w:rsidRDefault="00A95641">
            <w:pPr>
              <w:jc w:val="center"/>
              <w:rPr>
                <w:rFonts w:cstheme="minorHAnsi"/>
                <w:szCs w:val="21"/>
              </w:rPr>
            </w:pPr>
            <w:r>
              <w:rPr>
                <w:rFonts w:cstheme="minorHAnsi"/>
                <w:szCs w:val="21"/>
              </w:rPr>
              <w:t>达标</w:t>
            </w:r>
          </w:p>
        </w:tc>
      </w:tr>
      <w:tr w:rsidR="007D1E74" w14:paraId="457E6240" w14:textId="77777777">
        <w:tc>
          <w:tcPr>
            <w:tcW w:w="610" w:type="pct"/>
            <w:vAlign w:val="center"/>
          </w:tcPr>
          <w:p w14:paraId="017BF9BB" w14:textId="77777777" w:rsidR="007D1E74" w:rsidRDefault="00A95641">
            <w:pPr>
              <w:jc w:val="center"/>
              <w:rPr>
                <w:bCs/>
                <w:szCs w:val="21"/>
              </w:rPr>
            </w:pPr>
            <w:r>
              <w:rPr>
                <w:rFonts w:hint="eastAsia"/>
                <w:bCs/>
                <w:szCs w:val="21"/>
              </w:rPr>
              <w:t>A</w:t>
            </w:r>
            <w:r>
              <w:rPr>
                <w:bCs/>
                <w:szCs w:val="21"/>
              </w:rPr>
              <w:t>1</w:t>
            </w:r>
          </w:p>
        </w:tc>
        <w:tc>
          <w:tcPr>
            <w:tcW w:w="724" w:type="pct"/>
            <w:vAlign w:val="center"/>
          </w:tcPr>
          <w:p w14:paraId="0C28280B" w14:textId="77777777" w:rsidR="007D1E74" w:rsidRDefault="00A95641">
            <w:pPr>
              <w:jc w:val="center"/>
              <w:rPr>
                <w:rFonts w:cstheme="minorHAnsi"/>
                <w:szCs w:val="21"/>
              </w:rPr>
            </w:pPr>
            <w:r>
              <w:rPr>
                <w:rFonts w:cstheme="minorHAnsi" w:hint="eastAsia"/>
                <w:szCs w:val="21"/>
              </w:rPr>
              <w:t>5</w:t>
            </w:r>
            <w:r>
              <w:rPr>
                <w:rFonts w:cstheme="minorHAnsi"/>
                <w:szCs w:val="21"/>
              </w:rPr>
              <w:t>7</w:t>
            </w:r>
          </w:p>
        </w:tc>
        <w:tc>
          <w:tcPr>
            <w:tcW w:w="728" w:type="pct"/>
            <w:vAlign w:val="center"/>
          </w:tcPr>
          <w:p w14:paraId="7B94EECF" w14:textId="77777777" w:rsidR="007D1E74" w:rsidRDefault="00A95641">
            <w:pPr>
              <w:jc w:val="center"/>
              <w:rPr>
                <w:rFonts w:cstheme="minorHAnsi"/>
                <w:szCs w:val="21"/>
              </w:rPr>
            </w:pPr>
            <w:r>
              <w:rPr>
                <w:rFonts w:cstheme="minorHAnsi" w:hint="eastAsia"/>
                <w:szCs w:val="21"/>
              </w:rPr>
              <w:t>4</w:t>
            </w:r>
            <w:r>
              <w:rPr>
                <w:rFonts w:cstheme="minorHAnsi"/>
                <w:szCs w:val="21"/>
              </w:rPr>
              <w:t>6</w:t>
            </w:r>
          </w:p>
        </w:tc>
        <w:tc>
          <w:tcPr>
            <w:tcW w:w="724" w:type="pct"/>
            <w:vAlign w:val="center"/>
          </w:tcPr>
          <w:p w14:paraId="1B9A651D" w14:textId="77777777" w:rsidR="007D1E74" w:rsidRDefault="00A95641">
            <w:pPr>
              <w:jc w:val="center"/>
              <w:rPr>
                <w:rFonts w:cstheme="minorHAnsi"/>
                <w:szCs w:val="21"/>
              </w:rPr>
            </w:pPr>
            <w:r>
              <w:rPr>
                <w:rFonts w:cstheme="minorHAnsi" w:hint="eastAsia"/>
                <w:szCs w:val="21"/>
              </w:rPr>
              <w:t>5</w:t>
            </w:r>
            <w:r>
              <w:rPr>
                <w:rFonts w:cstheme="minorHAnsi"/>
                <w:szCs w:val="21"/>
              </w:rPr>
              <w:t>6</w:t>
            </w:r>
          </w:p>
        </w:tc>
        <w:tc>
          <w:tcPr>
            <w:tcW w:w="725" w:type="pct"/>
            <w:vAlign w:val="center"/>
          </w:tcPr>
          <w:p w14:paraId="0D25C69B" w14:textId="77777777" w:rsidR="007D1E74" w:rsidRDefault="00A95641">
            <w:pPr>
              <w:jc w:val="center"/>
              <w:rPr>
                <w:rFonts w:cstheme="minorHAnsi"/>
                <w:szCs w:val="21"/>
              </w:rPr>
            </w:pPr>
            <w:r>
              <w:rPr>
                <w:rFonts w:cstheme="minorHAnsi" w:hint="eastAsia"/>
                <w:szCs w:val="21"/>
              </w:rPr>
              <w:t>4</w:t>
            </w:r>
            <w:r>
              <w:rPr>
                <w:rFonts w:cstheme="minorHAnsi"/>
                <w:szCs w:val="21"/>
              </w:rPr>
              <w:t>7</w:t>
            </w:r>
          </w:p>
        </w:tc>
        <w:tc>
          <w:tcPr>
            <w:tcW w:w="568" w:type="pct"/>
            <w:vAlign w:val="center"/>
          </w:tcPr>
          <w:p w14:paraId="7D40DD34" w14:textId="77777777" w:rsidR="007D1E74" w:rsidRDefault="00A95641">
            <w:pPr>
              <w:jc w:val="center"/>
              <w:rPr>
                <w:rFonts w:cstheme="minorHAnsi"/>
                <w:szCs w:val="21"/>
              </w:rPr>
            </w:pPr>
            <w:r>
              <w:rPr>
                <w:rFonts w:cstheme="minorHAnsi" w:hint="eastAsia"/>
                <w:szCs w:val="21"/>
              </w:rPr>
              <w:t>60</w:t>
            </w:r>
          </w:p>
        </w:tc>
        <w:tc>
          <w:tcPr>
            <w:tcW w:w="568" w:type="pct"/>
            <w:vAlign w:val="center"/>
          </w:tcPr>
          <w:p w14:paraId="3C731D3C" w14:textId="77777777" w:rsidR="007D1E74" w:rsidRDefault="00A95641">
            <w:pPr>
              <w:jc w:val="center"/>
              <w:rPr>
                <w:rFonts w:cstheme="minorHAnsi"/>
                <w:szCs w:val="21"/>
              </w:rPr>
            </w:pPr>
            <w:r>
              <w:rPr>
                <w:rFonts w:cstheme="minorHAnsi" w:hint="eastAsia"/>
                <w:szCs w:val="21"/>
              </w:rPr>
              <w:t>50</w:t>
            </w:r>
          </w:p>
        </w:tc>
        <w:tc>
          <w:tcPr>
            <w:tcW w:w="353" w:type="pct"/>
            <w:vAlign w:val="center"/>
          </w:tcPr>
          <w:p w14:paraId="27355EB1" w14:textId="77777777" w:rsidR="007D1E74" w:rsidRDefault="00A95641">
            <w:pPr>
              <w:jc w:val="center"/>
              <w:rPr>
                <w:rFonts w:cstheme="minorHAnsi"/>
                <w:szCs w:val="21"/>
              </w:rPr>
            </w:pPr>
            <w:r>
              <w:rPr>
                <w:rFonts w:cstheme="minorHAnsi"/>
                <w:szCs w:val="21"/>
              </w:rPr>
              <w:t>达标</w:t>
            </w:r>
          </w:p>
        </w:tc>
      </w:tr>
      <w:tr w:rsidR="007D1E74" w14:paraId="63607076" w14:textId="77777777">
        <w:tc>
          <w:tcPr>
            <w:tcW w:w="610" w:type="pct"/>
            <w:vAlign w:val="center"/>
          </w:tcPr>
          <w:p w14:paraId="1C8C02B3" w14:textId="77777777" w:rsidR="007D1E74" w:rsidRDefault="00A95641">
            <w:pPr>
              <w:jc w:val="center"/>
              <w:rPr>
                <w:bCs/>
                <w:szCs w:val="21"/>
              </w:rPr>
            </w:pPr>
            <w:r>
              <w:rPr>
                <w:rFonts w:hint="eastAsia"/>
                <w:bCs/>
                <w:szCs w:val="21"/>
              </w:rPr>
              <w:t>A</w:t>
            </w:r>
            <w:r>
              <w:rPr>
                <w:bCs/>
                <w:szCs w:val="21"/>
              </w:rPr>
              <w:t>2</w:t>
            </w:r>
          </w:p>
        </w:tc>
        <w:tc>
          <w:tcPr>
            <w:tcW w:w="724" w:type="pct"/>
            <w:vAlign w:val="center"/>
          </w:tcPr>
          <w:p w14:paraId="42505183" w14:textId="77777777" w:rsidR="007D1E74" w:rsidRDefault="00A95641">
            <w:pPr>
              <w:jc w:val="center"/>
              <w:rPr>
                <w:rFonts w:cstheme="minorHAnsi"/>
                <w:szCs w:val="21"/>
              </w:rPr>
            </w:pPr>
            <w:r>
              <w:rPr>
                <w:rFonts w:cstheme="minorHAnsi" w:hint="eastAsia"/>
                <w:szCs w:val="21"/>
              </w:rPr>
              <w:t>5</w:t>
            </w:r>
            <w:r>
              <w:rPr>
                <w:rFonts w:cstheme="minorHAnsi"/>
                <w:szCs w:val="21"/>
              </w:rPr>
              <w:t>4</w:t>
            </w:r>
          </w:p>
        </w:tc>
        <w:tc>
          <w:tcPr>
            <w:tcW w:w="728" w:type="pct"/>
            <w:vAlign w:val="center"/>
          </w:tcPr>
          <w:p w14:paraId="1E53E92E" w14:textId="77777777" w:rsidR="007D1E74" w:rsidRDefault="00A95641">
            <w:pPr>
              <w:jc w:val="center"/>
              <w:rPr>
                <w:rFonts w:cstheme="minorHAnsi"/>
                <w:szCs w:val="21"/>
              </w:rPr>
            </w:pPr>
            <w:r>
              <w:rPr>
                <w:rFonts w:cstheme="minorHAnsi" w:hint="eastAsia"/>
                <w:szCs w:val="21"/>
              </w:rPr>
              <w:t>4</w:t>
            </w:r>
            <w:r>
              <w:rPr>
                <w:rFonts w:cstheme="minorHAnsi"/>
                <w:szCs w:val="21"/>
              </w:rPr>
              <w:t>6</w:t>
            </w:r>
          </w:p>
        </w:tc>
        <w:tc>
          <w:tcPr>
            <w:tcW w:w="724" w:type="pct"/>
            <w:vAlign w:val="center"/>
          </w:tcPr>
          <w:p w14:paraId="14255458" w14:textId="77777777" w:rsidR="007D1E74" w:rsidRDefault="00A95641">
            <w:pPr>
              <w:jc w:val="center"/>
              <w:rPr>
                <w:rFonts w:cstheme="minorHAnsi"/>
                <w:szCs w:val="21"/>
              </w:rPr>
            </w:pPr>
            <w:r>
              <w:rPr>
                <w:rFonts w:cstheme="minorHAnsi" w:hint="eastAsia"/>
                <w:szCs w:val="21"/>
              </w:rPr>
              <w:t>5</w:t>
            </w:r>
            <w:r>
              <w:rPr>
                <w:rFonts w:cstheme="minorHAnsi"/>
                <w:szCs w:val="21"/>
              </w:rPr>
              <w:t>6</w:t>
            </w:r>
          </w:p>
        </w:tc>
        <w:tc>
          <w:tcPr>
            <w:tcW w:w="725" w:type="pct"/>
            <w:vAlign w:val="center"/>
          </w:tcPr>
          <w:p w14:paraId="77216425" w14:textId="77777777" w:rsidR="007D1E74" w:rsidRDefault="00A95641">
            <w:pPr>
              <w:jc w:val="center"/>
              <w:rPr>
                <w:rFonts w:cstheme="minorHAnsi"/>
                <w:szCs w:val="21"/>
              </w:rPr>
            </w:pPr>
            <w:r>
              <w:rPr>
                <w:rFonts w:cstheme="minorHAnsi" w:hint="eastAsia"/>
                <w:szCs w:val="21"/>
              </w:rPr>
              <w:t>4</w:t>
            </w:r>
            <w:r>
              <w:rPr>
                <w:rFonts w:cstheme="minorHAnsi"/>
                <w:szCs w:val="21"/>
              </w:rPr>
              <w:t>5</w:t>
            </w:r>
          </w:p>
        </w:tc>
        <w:tc>
          <w:tcPr>
            <w:tcW w:w="568" w:type="pct"/>
            <w:vAlign w:val="center"/>
          </w:tcPr>
          <w:p w14:paraId="570BD7C6" w14:textId="77777777" w:rsidR="007D1E74" w:rsidRDefault="00A95641">
            <w:pPr>
              <w:jc w:val="center"/>
              <w:rPr>
                <w:rFonts w:cstheme="minorHAnsi"/>
                <w:szCs w:val="21"/>
              </w:rPr>
            </w:pPr>
            <w:r>
              <w:rPr>
                <w:rFonts w:cstheme="minorHAnsi" w:hint="eastAsia"/>
                <w:szCs w:val="21"/>
              </w:rPr>
              <w:t>60</w:t>
            </w:r>
          </w:p>
        </w:tc>
        <w:tc>
          <w:tcPr>
            <w:tcW w:w="568" w:type="pct"/>
            <w:vAlign w:val="center"/>
          </w:tcPr>
          <w:p w14:paraId="7C61BC57" w14:textId="77777777" w:rsidR="007D1E74" w:rsidRDefault="00A95641">
            <w:pPr>
              <w:jc w:val="center"/>
              <w:rPr>
                <w:rFonts w:cstheme="minorHAnsi"/>
                <w:szCs w:val="21"/>
              </w:rPr>
            </w:pPr>
            <w:r>
              <w:rPr>
                <w:rFonts w:cstheme="minorHAnsi" w:hint="eastAsia"/>
                <w:szCs w:val="21"/>
              </w:rPr>
              <w:t>50</w:t>
            </w:r>
          </w:p>
        </w:tc>
        <w:tc>
          <w:tcPr>
            <w:tcW w:w="353" w:type="pct"/>
            <w:vAlign w:val="center"/>
          </w:tcPr>
          <w:p w14:paraId="4C8347A5" w14:textId="77777777" w:rsidR="007D1E74" w:rsidRDefault="00A95641">
            <w:pPr>
              <w:jc w:val="center"/>
              <w:rPr>
                <w:rFonts w:cstheme="minorHAnsi"/>
                <w:szCs w:val="21"/>
              </w:rPr>
            </w:pPr>
            <w:r>
              <w:rPr>
                <w:rFonts w:cstheme="minorHAnsi"/>
                <w:szCs w:val="21"/>
              </w:rPr>
              <w:t>达标</w:t>
            </w:r>
          </w:p>
        </w:tc>
      </w:tr>
    </w:tbl>
    <w:bookmarkEnd w:id="23"/>
    <w:bookmarkEnd w:id="24"/>
    <w:p w14:paraId="05C751D0" w14:textId="77777777" w:rsidR="007D1E74" w:rsidRDefault="00A95641">
      <w:pPr>
        <w:pStyle w:val="afffffe"/>
        <w:numPr>
          <w:ilvl w:val="0"/>
          <w:numId w:val="42"/>
        </w:numPr>
        <w:spacing w:line="360" w:lineRule="auto"/>
        <w:ind w:firstLineChars="0"/>
        <w:jc w:val="center"/>
        <w:rPr>
          <w:rFonts w:eastAsia="黑体" w:cs="Times New Roman"/>
          <w:szCs w:val="21"/>
        </w:rPr>
      </w:pPr>
      <w:r>
        <w:rPr>
          <w:rFonts w:eastAsia="黑体" w:cs="Times New Roman" w:hint="eastAsia"/>
          <w:szCs w:val="21"/>
        </w:rPr>
        <w:t>声环境质量监测及评价结果（</w:t>
      </w:r>
      <w:r>
        <w:rPr>
          <w:rFonts w:eastAsia="黑体" w:cs="Times New Roman"/>
          <w:szCs w:val="21"/>
        </w:rPr>
        <w:t>2</w:t>
      </w:r>
      <w:r>
        <w:rPr>
          <w:rFonts w:eastAsia="黑体" w:cs="Times New Roman" w:hint="eastAsia"/>
          <w:szCs w:val="21"/>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9"/>
        <w:gridCol w:w="1306"/>
        <w:gridCol w:w="1313"/>
        <w:gridCol w:w="1306"/>
        <w:gridCol w:w="1307"/>
        <w:gridCol w:w="1024"/>
        <w:gridCol w:w="1024"/>
        <w:gridCol w:w="637"/>
      </w:tblGrid>
      <w:tr w:rsidR="007D1E74" w14:paraId="4247EE3B" w14:textId="77777777">
        <w:tc>
          <w:tcPr>
            <w:tcW w:w="610" w:type="pct"/>
            <w:vMerge w:val="restart"/>
            <w:vAlign w:val="center"/>
          </w:tcPr>
          <w:p w14:paraId="4A9A3E1A" w14:textId="77777777" w:rsidR="007D1E74" w:rsidRDefault="00A95641">
            <w:pPr>
              <w:jc w:val="center"/>
              <w:rPr>
                <w:rFonts w:cstheme="minorHAnsi"/>
                <w:szCs w:val="21"/>
              </w:rPr>
            </w:pPr>
            <w:r>
              <w:rPr>
                <w:rFonts w:cstheme="minorHAnsi"/>
                <w:szCs w:val="21"/>
              </w:rPr>
              <w:t>编号</w:t>
            </w:r>
          </w:p>
        </w:tc>
        <w:tc>
          <w:tcPr>
            <w:tcW w:w="2901" w:type="pct"/>
            <w:gridSpan w:val="4"/>
            <w:vAlign w:val="center"/>
          </w:tcPr>
          <w:p w14:paraId="1A4D455D" w14:textId="77777777" w:rsidR="007D1E74" w:rsidRDefault="00A95641">
            <w:pPr>
              <w:jc w:val="center"/>
              <w:rPr>
                <w:rFonts w:cstheme="minorHAnsi"/>
                <w:szCs w:val="21"/>
              </w:rPr>
            </w:pPr>
            <w:r>
              <w:rPr>
                <w:rFonts w:cstheme="minorHAnsi" w:hint="eastAsia"/>
                <w:szCs w:val="21"/>
              </w:rPr>
              <w:t>监测</w:t>
            </w:r>
            <w:r>
              <w:rPr>
                <w:rFonts w:cstheme="minorHAnsi"/>
                <w:szCs w:val="21"/>
              </w:rPr>
              <w:t>结果</w:t>
            </w:r>
            <w:r>
              <w:rPr>
                <w:rFonts w:cstheme="minorHAnsi" w:hint="eastAsia"/>
                <w:szCs w:val="21"/>
              </w:rPr>
              <w:t>[</w:t>
            </w:r>
            <w:r>
              <w:rPr>
                <w:rFonts w:cstheme="minorHAnsi"/>
                <w:szCs w:val="21"/>
              </w:rPr>
              <w:t>dB</w:t>
            </w:r>
            <w:r>
              <w:rPr>
                <w:rFonts w:cstheme="minorHAnsi"/>
                <w:szCs w:val="21"/>
              </w:rPr>
              <w:t>（</w:t>
            </w:r>
            <w:r>
              <w:rPr>
                <w:rFonts w:cstheme="minorHAnsi"/>
                <w:szCs w:val="21"/>
              </w:rPr>
              <w:t>A</w:t>
            </w:r>
            <w:r>
              <w:rPr>
                <w:rFonts w:cstheme="minorHAnsi"/>
                <w:szCs w:val="21"/>
              </w:rPr>
              <w:t>）</w:t>
            </w:r>
            <w:r>
              <w:rPr>
                <w:rFonts w:cstheme="minorHAnsi" w:hint="eastAsia"/>
                <w:szCs w:val="21"/>
              </w:rPr>
              <w:t>]</w:t>
            </w:r>
          </w:p>
        </w:tc>
        <w:tc>
          <w:tcPr>
            <w:tcW w:w="1136" w:type="pct"/>
            <w:gridSpan w:val="2"/>
            <w:vMerge w:val="restart"/>
            <w:vAlign w:val="center"/>
          </w:tcPr>
          <w:p w14:paraId="216AB310" w14:textId="77777777" w:rsidR="007D1E74" w:rsidRDefault="00A95641">
            <w:pPr>
              <w:jc w:val="center"/>
              <w:rPr>
                <w:rFonts w:cstheme="minorHAnsi"/>
                <w:szCs w:val="21"/>
              </w:rPr>
            </w:pPr>
            <w:r>
              <w:rPr>
                <w:rFonts w:cstheme="minorHAnsi"/>
                <w:szCs w:val="21"/>
              </w:rPr>
              <w:t>标准限值</w:t>
            </w:r>
            <w:r>
              <w:rPr>
                <w:rFonts w:cstheme="minorHAnsi" w:hint="eastAsia"/>
                <w:szCs w:val="21"/>
              </w:rPr>
              <w:t>[</w:t>
            </w:r>
            <w:r>
              <w:rPr>
                <w:rFonts w:cstheme="minorHAnsi"/>
                <w:szCs w:val="21"/>
              </w:rPr>
              <w:t>dB</w:t>
            </w:r>
            <w:r>
              <w:rPr>
                <w:rFonts w:cstheme="minorHAnsi"/>
                <w:szCs w:val="21"/>
              </w:rPr>
              <w:t>（</w:t>
            </w:r>
            <w:r>
              <w:rPr>
                <w:rFonts w:cstheme="minorHAnsi"/>
                <w:szCs w:val="21"/>
              </w:rPr>
              <w:t>A</w:t>
            </w:r>
            <w:r>
              <w:rPr>
                <w:rFonts w:cstheme="minorHAnsi"/>
                <w:szCs w:val="21"/>
              </w:rPr>
              <w:t>）</w:t>
            </w:r>
            <w:r>
              <w:rPr>
                <w:rFonts w:cstheme="minorHAnsi" w:hint="eastAsia"/>
                <w:szCs w:val="21"/>
              </w:rPr>
              <w:t>]</w:t>
            </w:r>
          </w:p>
        </w:tc>
        <w:tc>
          <w:tcPr>
            <w:tcW w:w="353" w:type="pct"/>
            <w:vMerge w:val="restart"/>
            <w:vAlign w:val="center"/>
          </w:tcPr>
          <w:p w14:paraId="15644215" w14:textId="77777777" w:rsidR="007D1E74" w:rsidRDefault="00A95641">
            <w:pPr>
              <w:jc w:val="center"/>
              <w:rPr>
                <w:rFonts w:cstheme="minorHAnsi"/>
                <w:szCs w:val="21"/>
              </w:rPr>
            </w:pPr>
            <w:r>
              <w:rPr>
                <w:rFonts w:cstheme="minorHAnsi"/>
                <w:szCs w:val="21"/>
              </w:rPr>
              <w:t>评价结果</w:t>
            </w:r>
          </w:p>
        </w:tc>
      </w:tr>
      <w:tr w:rsidR="007D1E74" w14:paraId="3CBB4DCC" w14:textId="77777777">
        <w:tc>
          <w:tcPr>
            <w:tcW w:w="610" w:type="pct"/>
            <w:vMerge/>
            <w:vAlign w:val="center"/>
          </w:tcPr>
          <w:p w14:paraId="5C8B15AA" w14:textId="77777777" w:rsidR="007D1E74" w:rsidRDefault="007D1E74">
            <w:pPr>
              <w:jc w:val="center"/>
              <w:rPr>
                <w:rFonts w:cstheme="minorHAnsi"/>
                <w:szCs w:val="21"/>
              </w:rPr>
            </w:pPr>
          </w:p>
        </w:tc>
        <w:tc>
          <w:tcPr>
            <w:tcW w:w="1452" w:type="pct"/>
            <w:gridSpan w:val="2"/>
            <w:vAlign w:val="center"/>
          </w:tcPr>
          <w:p w14:paraId="5ECAF87E" w14:textId="77777777" w:rsidR="007D1E74" w:rsidRDefault="00A95641">
            <w:pPr>
              <w:jc w:val="center"/>
              <w:rPr>
                <w:rFonts w:cstheme="minorHAnsi"/>
                <w:szCs w:val="21"/>
              </w:rPr>
            </w:pPr>
            <w:r>
              <w:rPr>
                <w:rFonts w:cstheme="minorHAnsi" w:hint="eastAsia"/>
                <w:szCs w:val="21"/>
              </w:rPr>
              <w:t>2</w:t>
            </w:r>
            <w:r>
              <w:rPr>
                <w:rFonts w:cstheme="minorHAnsi"/>
                <w:szCs w:val="21"/>
              </w:rPr>
              <w:t>021.11.12</w:t>
            </w:r>
          </w:p>
        </w:tc>
        <w:tc>
          <w:tcPr>
            <w:tcW w:w="1449" w:type="pct"/>
            <w:gridSpan w:val="2"/>
            <w:vAlign w:val="center"/>
          </w:tcPr>
          <w:p w14:paraId="2BABDC88" w14:textId="77777777" w:rsidR="007D1E74" w:rsidRDefault="00A95641">
            <w:pPr>
              <w:jc w:val="center"/>
              <w:rPr>
                <w:rFonts w:cstheme="minorHAnsi"/>
                <w:szCs w:val="21"/>
              </w:rPr>
            </w:pPr>
            <w:r>
              <w:rPr>
                <w:rFonts w:cstheme="minorHAnsi" w:hint="eastAsia"/>
                <w:szCs w:val="21"/>
              </w:rPr>
              <w:t>2</w:t>
            </w:r>
            <w:r>
              <w:rPr>
                <w:rFonts w:cstheme="minorHAnsi"/>
                <w:szCs w:val="21"/>
              </w:rPr>
              <w:t>021.11.13</w:t>
            </w:r>
          </w:p>
        </w:tc>
        <w:tc>
          <w:tcPr>
            <w:tcW w:w="1136" w:type="pct"/>
            <w:gridSpan w:val="2"/>
            <w:vMerge/>
            <w:vAlign w:val="center"/>
          </w:tcPr>
          <w:p w14:paraId="7B381050" w14:textId="77777777" w:rsidR="007D1E74" w:rsidRDefault="007D1E74">
            <w:pPr>
              <w:jc w:val="center"/>
              <w:rPr>
                <w:rFonts w:cstheme="minorHAnsi"/>
                <w:szCs w:val="21"/>
              </w:rPr>
            </w:pPr>
          </w:p>
        </w:tc>
        <w:tc>
          <w:tcPr>
            <w:tcW w:w="353" w:type="pct"/>
            <w:vMerge/>
            <w:vAlign w:val="center"/>
          </w:tcPr>
          <w:p w14:paraId="30D6D522" w14:textId="77777777" w:rsidR="007D1E74" w:rsidRDefault="007D1E74">
            <w:pPr>
              <w:jc w:val="center"/>
              <w:rPr>
                <w:rFonts w:cstheme="minorHAnsi"/>
                <w:szCs w:val="21"/>
              </w:rPr>
            </w:pPr>
          </w:p>
        </w:tc>
      </w:tr>
      <w:tr w:rsidR="007D1E74" w14:paraId="551C2979" w14:textId="77777777">
        <w:tc>
          <w:tcPr>
            <w:tcW w:w="610" w:type="pct"/>
            <w:vMerge/>
            <w:vAlign w:val="center"/>
          </w:tcPr>
          <w:p w14:paraId="78A459C8" w14:textId="77777777" w:rsidR="007D1E74" w:rsidRDefault="007D1E74">
            <w:pPr>
              <w:jc w:val="center"/>
              <w:rPr>
                <w:rFonts w:cstheme="minorHAnsi"/>
                <w:szCs w:val="21"/>
              </w:rPr>
            </w:pPr>
          </w:p>
        </w:tc>
        <w:tc>
          <w:tcPr>
            <w:tcW w:w="724" w:type="pct"/>
            <w:vAlign w:val="center"/>
          </w:tcPr>
          <w:p w14:paraId="54154338" w14:textId="77777777" w:rsidR="007D1E74" w:rsidRDefault="00A95641">
            <w:pPr>
              <w:jc w:val="center"/>
              <w:rPr>
                <w:rFonts w:cstheme="minorHAnsi"/>
                <w:szCs w:val="21"/>
              </w:rPr>
            </w:pPr>
            <w:r>
              <w:rPr>
                <w:rFonts w:cstheme="minorHAnsi"/>
                <w:szCs w:val="21"/>
              </w:rPr>
              <w:t>昼间</w:t>
            </w:r>
          </w:p>
        </w:tc>
        <w:tc>
          <w:tcPr>
            <w:tcW w:w="728" w:type="pct"/>
            <w:vAlign w:val="center"/>
          </w:tcPr>
          <w:p w14:paraId="4EC09508" w14:textId="77777777" w:rsidR="007D1E74" w:rsidRDefault="00A95641">
            <w:pPr>
              <w:jc w:val="center"/>
              <w:rPr>
                <w:rFonts w:cstheme="minorHAnsi"/>
                <w:szCs w:val="21"/>
              </w:rPr>
            </w:pPr>
            <w:r>
              <w:rPr>
                <w:rFonts w:cstheme="minorHAnsi"/>
                <w:szCs w:val="21"/>
              </w:rPr>
              <w:t>夜间</w:t>
            </w:r>
          </w:p>
        </w:tc>
        <w:tc>
          <w:tcPr>
            <w:tcW w:w="724" w:type="pct"/>
            <w:vAlign w:val="center"/>
          </w:tcPr>
          <w:p w14:paraId="4D223E01" w14:textId="77777777" w:rsidR="007D1E74" w:rsidRDefault="00A95641">
            <w:pPr>
              <w:jc w:val="center"/>
              <w:rPr>
                <w:rFonts w:cstheme="minorHAnsi"/>
                <w:szCs w:val="21"/>
              </w:rPr>
            </w:pPr>
            <w:r>
              <w:rPr>
                <w:rFonts w:cstheme="minorHAnsi"/>
                <w:szCs w:val="21"/>
              </w:rPr>
              <w:t>昼间</w:t>
            </w:r>
          </w:p>
        </w:tc>
        <w:tc>
          <w:tcPr>
            <w:tcW w:w="725" w:type="pct"/>
            <w:vAlign w:val="center"/>
          </w:tcPr>
          <w:p w14:paraId="35B18DFF" w14:textId="77777777" w:rsidR="007D1E74" w:rsidRDefault="00A95641">
            <w:pPr>
              <w:jc w:val="center"/>
              <w:rPr>
                <w:rFonts w:cstheme="minorHAnsi"/>
                <w:szCs w:val="21"/>
              </w:rPr>
            </w:pPr>
            <w:r>
              <w:rPr>
                <w:rFonts w:cstheme="minorHAnsi"/>
                <w:szCs w:val="21"/>
              </w:rPr>
              <w:t>夜间</w:t>
            </w:r>
          </w:p>
        </w:tc>
        <w:tc>
          <w:tcPr>
            <w:tcW w:w="568" w:type="pct"/>
            <w:vAlign w:val="center"/>
          </w:tcPr>
          <w:p w14:paraId="77A13D1C" w14:textId="77777777" w:rsidR="007D1E74" w:rsidRDefault="00A95641">
            <w:pPr>
              <w:jc w:val="center"/>
              <w:rPr>
                <w:rFonts w:cstheme="minorHAnsi"/>
                <w:szCs w:val="21"/>
              </w:rPr>
            </w:pPr>
            <w:r>
              <w:rPr>
                <w:rFonts w:cstheme="minorHAnsi"/>
                <w:szCs w:val="21"/>
              </w:rPr>
              <w:t>昼间</w:t>
            </w:r>
          </w:p>
        </w:tc>
        <w:tc>
          <w:tcPr>
            <w:tcW w:w="568" w:type="pct"/>
            <w:vAlign w:val="center"/>
          </w:tcPr>
          <w:p w14:paraId="7FB25454" w14:textId="77777777" w:rsidR="007D1E74" w:rsidRDefault="00A95641">
            <w:pPr>
              <w:jc w:val="center"/>
              <w:rPr>
                <w:rFonts w:cstheme="minorHAnsi"/>
                <w:szCs w:val="21"/>
              </w:rPr>
            </w:pPr>
            <w:r>
              <w:rPr>
                <w:rFonts w:cstheme="minorHAnsi"/>
                <w:szCs w:val="21"/>
              </w:rPr>
              <w:t>夜间</w:t>
            </w:r>
          </w:p>
        </w:tc>
        <w:tc>
          <w:tcPr>
            <w:tcW w:w="353" w:type="pct"/>
            <w:vMerge/>
            <w:vAlign w:val="center"/>
          </w:tcPr>
          <w:p w14:paraId="775A0FC6" w14:textId="77777777" w:rsidR="007D1E74" w:rsidRDefault="007D1E74">
            <w:pPr>
              <w:jc w:val="center"/>
              <w:rPr>
                <w:rFonts w:cstheme="minorHAnsi"/>
                <w:szCs w:val="21"/>
              </w:rPr>
            </w:pPr>
          </w:p>
        </w:tc>
      </w:tr>
      <w:tr w:rsidR="007D1E74" w14:paraId="2B66866C" w14:textId="77777777">
        <w:tc>
          <w:tcPr>
            <w:tcW w:w="610" w:type="pct"/>
            <w:vAlign w:val="center"/>
          </w:tcPr>
          <w:p w14:paraId="346FDB41" w14:textId="77777777" w:rsidR="007D1E74" w:rsidRDefault="00A95641">
            <w:pPr>
              <w:jc w:val="center"/>
              <w:rPr>
                <w:bCs/>
                <w:szCs w:val="21"/>
              </w:rPr>
            </w:pPr>
            <w:r>
              <w:rPr>
                <w:rFonts w:hint="eastAsia"/>
                <w:bCs/>
                <w:szCs w:val="21"/>
              </w:rPr>
              <w:t>1</w:t>
            </w:r>
            <w:r>
              <w:rPr>
                <w:bCs/>
                <w:szCs w:val="21"/>
              </w:rPr>
              <w:t>2#</w:t>
            </w:r>
          </w:p>
        </w:tc>
        <w:tc>
          <w:tcPr>
            <w:tcW w:w="724" w:type="pct"/>
            <w:vAlign w:val="center"/>
          </w:tcPr>
          <w:p w14:paraId="423B0D5A" w14:textId="77777777" w:rsidR="007D1E74" w:rsidRDefault="00A95641">
            <w:pPr>
              <w:jc w:val="center"/>
              <w:rPr>
                <w:rFonts w:cstheme="minorHAnsi"/>
                <w:szCs w:val="21"/>
              </w:rPr>
            </w:pPr>
            <w:r>
              <w:rPr>
                <w:rFonts w:cstheme="minorHAnsi" w:hint="eastAsia"/>
                <w:szCs w:val="21"/>
              </w:rPr>
              <w:t>5</w:t>
            </w:r>
            <w:r>
              <w:rPr>
                <w:rFonts w:cstheme="minorHAnsi"/>
                <w:szCs w:val="21"/>
              </w:rPr>
              <w:t>8</w:t>
            </w:r>
          </w:p>
        </w:tc>
        <w:tc>
          <w:tcPr>
            <w:tcW w:w="728" w:type="pct"/>
            <w:vAlign w:val="center"/>
          </w:tcPr>
          <w:p w14:paraId="6E7C0D22" w14:textId="77777777" w:rsidR="007D1E74" w:rsidRDefault="00A95641">
            <w:pPr>
              <w:jc w:val="center"/>
              <w:rPr>
                <w:rFonts w:cstheme="minorHAnsi"/>
                <w:szCs w:val="21"/>
              </w:rPr>
            </w:pPr>
            <w:r>
              <w:rPr>
                <w:rFonts w:cstheme="minorHAnsi" w:hint="eastAsia"/>
                <w:szCs w:val="21"/>
              </w:rPr>
              <w:t>4</w:t>
            </w:r>
            <w:r>
              <w:rPr>
                <w:rFonts w:cstheme="minorHAnsi"/>
                <w:szCs w:val="21"/>
              </w:rPr>
              <w:t>6</w:t>
            </w:r>
          </w:p>
        </w:tc>
        <w:tc>
          <w:tcPr>
            <w:tcW w:w="724" w:type="pct"/>
            <w:vAlign w:val="center"/>
          </w:tcPr>
          <w:p w14:paraId="2810D095" w14:textId="77777777" w:rsidR="007D1E74" w:rsidRDefault="00A95641">
            <w:pPr>
              <w:jc w:val="center"/>
              <w:rPr>
                <w:rFonts w:cstheme="minorHAnsi"/>
                <w:szCs w:val="21"/>
              </w:rPr>
            </w:pPr>
            <w:r>
              <w:rPr>
                <w:rFonts w:cstheme="minorHAnsi" w:hint="eastAsia"/>
                <w:szCs w:val="21"/>
              </w:rPr>
              <w:t>5</w:t>
            </w:r>
            <w:r>
              <w:rPr>
                <w:rFonts w:cstheme="minorHAnsi"/>
                <w:szCs w:val="21"/>
              </w:rPr>
              <w:t>8</w:t>
            </w:r>
          </w:p>
        </w:tc>
        <w:tc>
          <w:tcPr>
            <w:tcW w:w="725" w:type="pct"/>
            <w:vAlign w:val="center"/>
          </w:tcPr>
          <w:p w14:paraId="281EA817" w14:textId="77777777" w:rsidR="007D1E74" w:rsidRDefault="00A95641">
            <w:pPr>
              <w:jc w:val="center"/>
              <w:rPr>
                <w:rFonts w:cstheme="minorHAnsi"/>
                <w:szCs w:val="21"/>
              </w:rPr>
            </w:pPr>
            <w:r>
              <w:rPr>
                <w:rFonts w:cstheme="minorHAnsi" w:hint="eastAsia"/>
                <w:szCs w:val="21"/>
              </w:rPr>
              <w:t>4</w:t>
            </w:r>
            <w:r>
              <w:rPr>
                <w:rFonts w:cstheme="minorHAnsi"/>
                <w:szCs w:val="21"/>
              </w:rPr>
              <w:t>8</w:t>
            </w:r>
          </w:p>
        </w:tc>
        <w:tc>
          <w:tcPr>
            <w:tcW w:w="568" w:type="pct"/>
            <w:vAlign w:val="center"/>
          </w:tcPr>
          <w:p w14:paraId="3B234A88" w14:textId="77777777" w:rsidR="007D1E74" w:rsidRDefault="00A95641">
            <w:pPr>
              <w:jc w:val="center"/>
              <w:rPr>
                <w:rFonts w:cstheme="minorHAnsi"/>
                <w:szCs w:val="21"/>
              </w:rPr>
            </w:pPr>
            <w:r>
              <w:rPr>
                <w:rFonts w:cstheme="minorHAnsi" w:hint="eastAsia"/>
                <w:szCs w:val="21"/>
              </w:rPr>
              <w:t>60</w:t>
            </w:r>
          </w:p>
        </w:tc>
        <w:tc>
          <w:tcPr>
            <w:tcW w:w="568" w:type="pct"/>
            <w:vAlign w:val="center"/>
          </w:tcPr>
          <w:p w14:paraId="53EF0485" w14:textId="77777777" w:rsidR="007D1E74" w:rsidRDefault="00A95641">
            <w:pPr>
              <w:jc w:val="center"/>
              <w:rPr>
                <w:rFonts w:cstheme="minorHAnsi"/>
                <w:szCs w:val="21"/>
              </w:rPr>
            </w:pPr>
            <w:r>
              <w:rPr>
                <w:rFonts w:cstheme="minorHAnsi" w:hint="eastAsia"/>
                <w:szCs w:val="21"/>
              </w:rPr>
              <w:t>50</w:t>
            </w:r>
          </w:p>
        </w:tc>
        <w:tc>
          <w:tcPr>
            <w:tcW w:w="353" w:type="pct"/>
            <w:vAlign w:val="center"/>
          </w:tcPr>
          <w:p w14:paraId="138D363D" w14:textId="77777777" w:rsidR="007D1E74" w:rsidRDefault="00A95641">
            <w:pPr>
              <w:jc w:val="center"/>
              <w:rPr>
                <w:rFonts w:cstheme="minorHAnsi"/>
                <w:szCs w:val="21"/>
              </w:rPr>
            </w:pPr>
            <w:r>
              <w:rPr>
                <w:rFonts w:cstheme="minorHAnsi"/>
                <w:szCs w:val="21"/>
              </w:rPr>
              <w:t>达标</w:t>
            </w:r>
          </w:p>
        </w:tc>
      </w:tr>
      <w:tr w:rsidR="007D1E74" w14:paraId="16D8E1A7" w14:textId="77777777">
        <w:tc>
          <w:tcPr>
            <w:tcW w:w="610" w:type="pct"/>
            <w:vAlign w:val="center"/>
          </w:tcPr>
          <w:p w14:paraId="173FA2EC" w14:textId="77777777" w:rsidR="007D1E74" w:rsidRDefault="00A95641">
            <w:pPr>
              <w:jc w:val="center"/>
              <w:rPr>
                <w:bCs/>
                <w:szCs w:val="21"/>
              </w:rPr>
            </w:pPr>
            <w:r>
              <w:rPr>
                <w:rFonts w:hint="eastAsia"/>
                <w:bCs/>
                <w:szCs w:val="21"/>
              </w:rPr>
              <w:t>1</w:t>
            </w:r>
            <w:r>
              <w:rPr>
                <w:bCs/>
                <w:szCs w:val="21"/>
              </w:rPr>
              <w:t>3#</w:t>
            </w:r>
          </w:p>
        </w:tc>
        <w:tc>
          <w:tcPr>
            <w:tcW w:w="724" w:type="pct"/>
            <w:vAlign w:val="center"/>
          </w:tcPr>
          <w:p w14:paraId="7F59E85C" w14:textId="77777777" w:rsidR="007D1E74" w:rsidRDefault="00A95641">
            <w:pPr>
              <w:jc w:val="center"/>
              <w:rPr>
                <w:rFonts w:cstheme="minorHAnsi"/>
                <w:szCs w:val="21"/>
              </w:rPr>
            </w:pPr>
            <w:r>
              <w:rPr>
                <w:rFonts w:cstheme="minorHAnsi" w:hint="eastAsia"/>
                <w:szCs w:val="21"/>
              </w:rPr>
              <w:t>5</w:t>
            </w:r>
            <w:r>
              <w:rPr>
                <w:rFonts w:cstheme="minorHAnsi"/>
                <w:szCs w:val="21"/>
              </w:rPr>
              <w:t>5</w:t>
            </w:r>
          </w:p>
        </w:tc>
        <w:tc>
          <w:tcPr>
            <w:tcW w:w="728" w:type="pct"/>
            <w:vAlign w:val="center"/>
          </w:tcPr>
          <w:p w14:paraId="37340D34" w14:textId="77777777" w:rsidR="007D1E74" w:rsidRDefault="00A95641">
            <w:pPr>
              <w:jc w:val="center"/>
              <w:rPr>
                <w:rFonts w:cstheme="minorHAnsi"/>
                <w:szCs w:val="21"/>
              </w:rPr>
            </w:pPr>
            <w:r>
              <w:rPr>
                <w:rFonts w:cstheme="minorHAnsi" w:hint="eastAsia"/>
                <w:szCs w:val="21"/>
              </w:rPr>
              <w:t>4</w:t>
            </w:r>
            <w:r>
              <w:rPr>
                <w:rFonts w:cstheme="minorHAnsi"/>
                <w:szCs w:val="21"/>
              </w:rPr>
              <w:t>8</w:t>
            </w:r>
          </w:p>
        </w:tc>
        <w:tc>
          <w:tcPr>
            <w:tcW w:w="724" w:type="pct"/>
            <w:vAlign w:val="center"/>
          </w:tcPr>
          <w:p w14:paraId="62EB606D" w14:textId="77777777" w:rsidR="007D1E74" w:rsidRDefault="00A95641">
            <w:pPr>
              <w:jc w:val="center"/>
              <w:rPr>
                <w:rFonts w:cstheme="minorHAnsi"/>
                <w:szCs w:val="21"/>
              </w:rPr>
            </w:pPr>
            <w:r>
              <w:rPr>
                <w:rFonts w:cstheme="minorHAnsi" w:hint="eastAsia"/>
                <w:szCs w:val="21"/>
              </w:rPr>
              <w:t>5</w:t>
            </w:r>
            <w:r>
              <w:rPr>
                <w:rFonts w:cstheme="minorHAnsi"/>
                <w:szCs w:val="21"/>
              </w:rPr>
              <w:t>5</w:t>
            </w:r>
          </w:p>
        </w:tc>
        <w:tc>
          <w:tcPr>
            <w:tcW w:w="725" w:type="pct"/>
            <w:vAlign w:val="center"/>
          </w:tcPr>
          <w:p w14:paraId="7ADF1BF2" w14:textId="77777777" w:rsidR="007D1E74" w:rsidRDefault="00A95641">
            <w:pPr>
              <w:jc w:val="center"/>
              <w:rPr>
                <w:rFonts w:cstheme="minorHAnsi"/>
                <w:szCs w:val="21"/>
              </w:rPr>
            </w:pPr>
            <w:r>
              <w:rPr>
                <w:rFonts w:cstheme="minorHAnsi" w:hint="eastAsia"/>
                <w:szCs w:val="21"/>
              </w:rPr>
              <w:t>4</w:t>
            </w:r>
            <w:r>
              <w:rPr>
                <w:rFonts w:cstheme="minorHAnsi"/>
                <w:szCs w:val="21"/>
              </w:rPr>
              <w:t>3</w:t>
            </w:r>
          </w:p>
        </w:tc>
        <w:tc>
          <w:tcPr>
            <w:tcW w:w="568" w:type="pct"/>
            <w:vAlign w:val="center"/>
          </w:tcPr>
          <w:p w14:paraId="5C4017C3" w14:textId="77777777" w:rsidR="007D1E74" w:rsidRDefault="00A95641">
            <w:pPr>
              <w:jc w:val="center"/>
              <w:rPr>
                <w:rFonts w:cstheme="minorHAnsi"/>
                <w:szCs w:val="21"/>
              </w:rPr>
            </w:pPr>
            <w:r>
              <w:rPr>
                <w:rFonts w:cstheme="minorHAnsi" w:hint="eastAsia"/>
                <w:szCs w:val="21"/>
              </w:rPr>
              <w:t>60</w:t>
            </w:r>
          </w:p>
        </w:tc>
        <w:tc>
          <w:tcPr>
            <w:tcW w:w="568" w:type="pct"/>
            <w:vAlign w:val="center"/>
          </w:tcPr>
          <w:p w14:paraId="21DC6FA1" w14:textId="77777777" w:rsidR="007D1E74" w:rsidRDefault="00A95641">
            <w:pPr>
              <w:jc w:val="center"/>
              <w:rPr>
                <w:rFonts w:cstheme="minorHAnsi"/>
                <w:szCs w:val="21"/>
              </w:rPr>
            </w:pPr>
            <w:r>
              <w:rPr>
                <w:rFonts w:cstheme="minorHAnsi" w:hint="eastAsia"/>
                <w:szCs w:val="21"/>
              </w:rPr>
              <w:t>50</w:t>
            </w:r>
          </w:p>
        </w:tc>
        <w:tc>
          <w:tcPr>
            <w:tcW w:w="353" w:type="pct"/>
            <w:vAlign w:val="center"/>
          </w:tcPr>
          <w:p w14:paraId="20B33A86" w14:textId="77777777" w:rsidR="007D1E74" w:rsidRDefault="00A95641">
            <w:pPr>
              <w:jc w:val="center"/>
              <w:rPr>
                <w:rFonts w:cstheme="minorHAnsi"/>
                <w:szCs w:val="21"/>
              </w:rPr>
            </w:pPr>
            <w:r>
              <w:rPr>
                <w:rFonts w:cstheme="minorHAnsi"/>
                <w:szCs w:val="21"/>
              </w:rPr>
              <w:t>达标</w:t>
            </w:r>
          </w:p>
        </w:tc>
      </w:tr>
      <w:tr w:rsidR="007D1E74" w14:paraId="6D62E3A3" w14:textId="77777777">
        <w:tc>
          <w:tcPr>
            <w:tcW w:w="610" w:type="pct"/>
            <w:vAlign w:val="center"/>
          </w:tcPr>
          <w:p w14:paraId="19557546" w14:textId="77777777" w:rsidR="007D1E74" w:rsidRDefault="00A95641">
            <w:pPr>
              <w:jc w:val="center"/>
              <w:rPr>
                <w:bCs/>
                <w:szCs w:val="21"/>
              </w:rPr>
            </w:pPr>
            <w:r>
              <w:rPr>
                <w:rFonts w:hint="eastAsia"/>
                <w:bCs/>
                <w:szCs w:val="21"/>
              </w:rPr>
              <w:t>1</w:t>
            </w:r>
            <w:r>
              <w:rPr>
                <w:bCs/>
                <w:szCs w:val="21"/>
              </w:rPr>
              <w:t>4#</w:t>
            </w:r>
          </w:p>
        </w:tc>
        <w:tc>
          <w:tcPr>
            <w:tcW w:w="724" w:type="pct"/>
            <w:vAlign w:val="center"/>
          </w:tcPr>
          <w:p w14:paraId="7E80BB58" w14:textId="77777777" w:rsidR="007D1E74" w:rsidRDefault="00A95641">
            <w:pPr>
              <w:jc w:val="center"/>
              <w:rPr>
                <w:rFonts w:cstheme="minorHAnsi"/>
                <w:szCs w:val="21"/>
              </w:rPr>
            </w:pPr>
            <w:r>
              <w:rPr>
                <w:rFonts w:cstheme="minorHAnsi" w:hint="eastAsia"/>
                <w:szCs w:val="21"/>
              </w:rPr>
              <w:t>5</w:t>
            </w:r>
            <w:r>
              <w:rPr>
                <w:rFonts w:cstheme="minorHAnsi"/>
                <w:szCs w:val="21"/>
              </w:rPr>
              <w:t>6</w:t>
            </w:r>
          </w:p>
        </w:tc>
        <w:tc>
          <w:tcPr>
            <w:tcW w:w="728" w:type="pct"/>
            <w:vAlign w:val="center"/>
          </w:tcPr>
          <w:p w14:paraId="2BA012A9" w14:textId="77777777" w:rsidR="007D1E74" w:rsidRDefault="00A95641">
            <w:pPr>
              <w:jc w:val="center"/>
              <w:rPr>
                <w:rFonts w:cstheme="minorHAnsi"/>
                <w:szCs w:val="21"/>
              </w:rPr>
            </w:pPr>
            <w:r>
              <w:rPr>
                <w:rFonts w:cstheme="minorHAnsi" w:hint="eastAsia"/>
                <w:szCs w:val="21"/>
              </w:rPr>
              <w:t>4</w:t>
            </w:r>
            <w:r>
              <w:rPr>
                <w:rFonts w:cstheme="minorHAnsi"/>
                <w:szCs w:val="21"/>
              </w:rPr>
              <w:t>7</w:t>
            </w:r>
          </w:p>
        </w:tc>
        <w:tc>
          <w:tcPr>
            <w:tcW w:w="724" w:type="pct"/>
            <w:vAlign w:val="center"/>
          </w:tcPr>
          <w:p w14:paraId="36F8A241" w14:textId="77777777" w:rsidR="007D1E74" w:rsidRDefault="00A95641">
            <w:pPr>
              <w:jc w:val="center"/>
              <w:rPr>
                <w:rFonts w:cstheme="minorHAnsi"/>
                <w:szCs w:val="21"/>
              </w:rPr>
            </w:pPr>
            <w:r>
              <w:rPr>
                <w:rFonts w:cstheme="minorHAnsi" w:hint="eastAsia"/>
                <w:szCs w:val="21"/>
              </w:rPr>
              <w:t>5</w:t>
            </w:r>
            <w:r>
              <w:rPr>
                <w:rFonts w:cstheme="minorHAnsi"/>
                <w:szCs w:val="21"/>
              </w:rPr>
              <w:t>5</w:t>
            </w:r>
          </w:p>
        </w:tc>
        <w:tc>
          <w:tcPr>
            <w:tcW w:w="725" w:type="pct"/>
            <w:vAlign w:val="center"/>
          </w:tcPr>
          <w:p w14:paraId="7B756EAD" w14:textId="77777777" w:rsidR="007D1E74" w:rsidRDefault="00A95641">
            <w:pPr>
              <w:jc w:val="center"/>
              <w:rPr>
                <w:rFonts w:cstheme="minorHAnsi"/>
                <w:szCs w:val="21"/>
              </w:rPr>
            </w:pPr>
            <w:r>
              <w:rPr>
                <w:rFonts w:cstheme="minorHAnsi" w:hint="eastAsia"/>
                <w:szCs w:val="21"/>
              </w:rPr>
              <w:t>4</w:t>
            </w:r>
            <w:r>
              <w:rPr>
                <w:rFonts w:cstheme="minorHAnsi"/>
                <w:szCs w:val="21"/>
              </w:rPr>
              <w:t>5</w:t>
            </w:r>
          </w:p>
        </w:tc>
        <w:tc>
          <w:tcPr>
            <w:tcW w:w="568" w:type="pct"/>
            <w:vAlign w:val="center"/>
          </w:tcPr>
          <w:p w14:paraId="6323E599" w14:textId="77777777" w:rsidR="007D1E74" w:rsidRDefault="00A95641">
            <w:pPr>
              <w:jc w:val="center"/>
              <w:rPr>
                <w:rFonts w:cstheme="minorHAnsi"/>
                <w:szCs w:val="21"/>
              </w:rPr>
            </w:pPr>
            <w:r>
              <w:rPr>
                <w:rFonts w:cstheme="minorHAnsi" w:hint="eastAsia"/>
                <w:szCs w:val="21"/>
              </w:rPr>
              <w:t>60</w:t>
            </w:r>
          </w:p>
        </w:tc>
        <w:tc>
          <w:tcPr>
            <w:tcW w:w="568" w:type="pct"/>
            <w:vAlign w:val="center"/>
          </w:tcPr>
          <w:p w14:paraId="732BF712" w14:textId="77777777" w:rsidR="007D1E74" w:rsidRDefault="00A95641">
            <w:pPr>
              <w:jc w:val="center"/>
              <w:rPr>
                <w:rFonts w:cstheme="minorHAnsi"/>
                <w:szCs w:val="21"/>
              </w:rPr>
            </w:pPr>
            <w:r>
              <w:rPr>
                <w:rFonts w:cstheme="minorHAnsi" w:hint="eastAsia"/>
                <w:szCs w:val="21"/>
              </w:rPr>
              <w:t>50</w:t>
            </w:r>
          </w:p>
        </w:tc>
        <w:tc>
          <w:tcPr>
            <w:tcW w:w="353" w:type="pct"/>
            <w:vAlign w:val="center"/>
          </w:tcPr>
          <w:p w14:paraId="78B25B3B" w14:textId="77777777" w:rsidR="007D1E74" w:rsidRDefault="00A95641">
            <w:pPr>
              <w:jc w:val="center"/>
              <w:rPr>
                <w:rFonts w:cstheme="minorHAnsi"/>
                <w:szCs w:val="21"/>
              </w:rPr>
            </w:pPr>
            <w:r>
              <w:rPr>
                <w:rFonts w:cstheme="minorHAnsi"/>
                <w:szCs w:val="21"/>
              </w:rPr>
              <w:t>达标</w:t>
            </w:r>
          </w:p>
        </w:tc>
      </w:tr>
      <w:tr w:rsidR="007D1E74" w14:paraId="47AF685B" w14:textId="77777777">
        <w:tc>
          <w:tcPr>
            <w:tcW w:w="610" w:type="pct"/>
            <w:vAlign w:val="center"/>
          </w:tcPr>
          <w:p w14:paraId="05C3D223" w14:textId="77777777" w:rsidR="007D1E74" w:rsidRDefault="00A95641">
            <w:pPr>
              <w:jc w:val="center"/>
              <w:rPr>
                <w:bCs/>
                <w:szCs w:val="21"/>
              </w:rPr>
            </w:pPr>
            <w:r>
              <w:rPr>
                <w:rFonts w:hint="eastAsia"/>
                <w:bCs/>
                <w:szCs w:val="21"/>
              </w:rPr>
              <w:t>1</w:t>
            </w:r>
            <w:r>
              <w:rPr>
                <w:bCs/>
                <w:szCs w:val="21"/>
              </w:rPr>
              <w:t>5#</w:t>
            </w:r>
          </w:p>
        </w:tc>
        <w:tc>
          <w:tcPr>
            <w:tcW w:w="724" w:type="pct"/>
            <w:vAlign w:val="center"/>
          </w:tcPr>
          <w:p w14:paraId="44614E2C" w14:textId="77777777" w:rsidR="007D1E74" w:rsidRDefault="00A95641">
            <w:pPr>
              <w:jc w:val="center"/>
              <w:rPr>
                <w:rFonts w:cstheme="minorHAnsi"/>
                <w:szCs w:val="21"/>
              </w:rPr>
            </w:pPr>
            <w:r>
              <w:rPr>
                <w:rFonts w:cstheme="minorHAnsi" w:hint="eastAsia"/>
                <w:szCs w:val="21"/>
              </w:rPr>
              <w:t>5</w:t>
            </w:r>
            <w:r>
              <w:rPr>
                <w:rFonts w:cstheme="minorHAnsi"/>
                <w:szCs w:val="21"/>
              </w:rPr>
              <w:t>4</w:t>
            </w:r>
          </w:p>
        </w:tc>
        <w:tc>
          <w:tcPr>
            <w:tcW w:w="728" w:type="pct"/>
            <w:vAlign w:val="center"/>
          </w:tcPr>
          <w:p w14:paraId="6400D66F" w14:textId="77777777" w:rsidR="007D1E74" w:rsidRDefault="00A95641">
            <w:pPr>
              <w:jc w:val="center"/>
              <w:rPr>
                <w:rFonts w:cstheme="minorHAnsi"/>
                <w:szCs w:val="21"/>
              </w:rPr>
            </w:pPr>
            <w:r>
              <w:rPr>
                <w:rFonts w:cstheme="minorHAnsi" w:hint="eastAsia"/>
                <w:szCs w:val="21"/>
              </w:rPr>
              <w:t>4</w:t>
            </w:r>
            <w:r>
              <w:rPr>
                <w:rFonts w:cstheme="minorHAnsi"/>
                <w:szCs w:val="21"/>
              </w:rPr>
              <w:t>7</w:t>
            </w:r>
          </w:p>
        </w:tc>
        <w:tc>
          <w:tcPr>
            <w:tcW w:w="724" w:type="pct"/>
            <w:vAlign w:val="center"/>
          </w:tcPr>
          <w:p w14:paraId="0F2F421C" w14:textId="77777777" w:rsidR="007D1E74" w:rsidRDefault="00A95641">
            <w:pPr>
              <w:jc w:val="center"/>
              <w:rPr>
                <w:rFonts w:cstheme="minorHAnsi"/>
                <w:szCs w:val="21"/>
              </w:rPr>
            </w:pPr>
            <w:r>
              <w:rPr>
                <w:rFonts w:cstheme="minorHAnsi" w:hint="eastAsia"/>
                <w:szCs w:val="21"/>
              </w:rPr>
              <w:t>5</w:t>
            </w:r>
            <w:r>
              <w:rPr>
                <w:rFonts w:cstheme="minorHAnsi"/>
                <w:szCs w:val="21"/>
              </w:rPr>
              <w:t>6</w:t>
            </w:r>
          </w:p>
        </w:tc>
        <w:tc>
          <w:tcPr>
            <w:tcW w:w="725" w:type="pct"/>
            <w:vAlign w:val="center"/>
          </w:tcPr>
          <w:p w14:paraId="2307E139" w14:textId="77777777" w:rsidR="007D1E74" w:rsidRDefault="00A95641">
            <w:pPr>
              <w:jc w:val="center"/>
              <w:rPr>
                <w:rFonts w:cstheme="minorHAnsi"/>
                <w:szCs w:val="21"/>
              </w:rPr>
            </w:pPr>
            <w:r>
              <w:rPr>
                <w:rFonts w:cstheme="minorHAnsi" w:hint="eastAsia"/>
                <w:szCs w:val="21"/>
              </w:rPr>
              <w:t>4</w:t>
            </w:r>
            <w:r>
              <w:rPr>
                <w:rFonts w:cstheme="minorHAnsi"/>
                <w:szCs w:val="21"/>
              </w:rPr>
              <w:t>5</w:t>
            </w:r>
          </w:p>
        </w:tc>
        <w:tc>
          <w:tcPr>
            <w:tcW w:w="568" w:type="pct"/>
            <w:vAlign w:val="center"/>
          </w:tcPr>
          <w:p w14:paraId="00581244" w14:textId="77777777" w:rsidR="007D1E74" w:rsidRDefault="00A95641">
            <w:pPr>
              <w:jc w:val="center"/>
              <w:rPr>
                <w:rFonts w:cstheme="minorHAnsi"/>
                <w:szCs w:val="21"/>
              </w:rPr>
            </w:pPr>
            <w:r>
              <w:rPr>
                <w:rFonts w:cstheme="minorHAnsi" w:hint="eastAsia"/>
                <w:szCs w:val="21"/>
              </w:rPr>
              <w:t>60</w:t>
            </w:r>
          </w:p>
        </w:tc>
        <w:tc>
          <w:tcPr>
            <w:tcW w:w="568" w:type="pct"/>
            <w:vAlign w:val="center"/>
          </w:tcPr>
          <w:p w14:paraId="4DC163EA" w14:textId="77777777" w:rsidR="007D1E74" w:rsidRDefault="00A95641">
            <w:pPr>
              <w:jc w:val="center"/>
              <w:rPr>
                <w:rFonts w:cstheme="minorHAnsi"/>
                <w:szCs w:val="21"/>
              </w:rPr>
            </w:pPr>
            <w:r>
              <w:rPr>
                <w:rFonts w:cstheme="minorHAnsi" w:hint="eastAsia"/>
                <w:szCs w:val="21"/>
              </w:rPr>
              <w:t>50</w:t>
            </w:r>
          </w:p>
        </w:tc>
        <w:tc>
          <w:tcPr>
            <w:tcW w:w="353" w:type="pct"/>
            <w:vAlign w:val="center"/>
          </w:tcPr>
          <w:p w14:paraId="0F22DE1B" w14:textId="77777777" w:rsidR="007D1E74" w:rsidRDefault="00A95641">
            <w:pPr>
              <w:jc w:val="center"/>
              <w:rPr>
                <w:rFonts w:cstheme="minorHAnsi"/>
                <w:szCs w:val="21"/>
              </w:rPr>
            </w:pPr>
            <w:r>
              <w:rPr>
                <w:rFonts w:cstheme="minorHAnsi"/>
                <w:szCs w:val="21"/>
              </w:rPr>
              <w:t>达标</w:t>
            </w:r>
          </w:p>
        </w:tc>
      </w:tr>
      <w:tr w:rsidR="007D1E74" w14:paraId="29BBA950" w14:textId="77777777">
        <w:tc>
          <w:tcPr>
            <w:tcW w:w="610" w:type="pct"/>
            <w:vAlign w:val="center"/>
          </w:tcPr>
          <w:p w14:paraId="2F434DE4" w14:textId="77777777" w:rsidR="007D1E74" w:rsidRDefault="00A95641">
            <w:pPr>
              <w:jc w:val="center"/>
              <w:rPr>
                <w:bCs/>
                <w:szCs w:val="21"/>
              </w:rPr>
            </w:pPr>
            <w:r>
              <w:rPr>
                <w:rFonts w:hint="eastAsia"/>
                <w:bCs/>
                <w:szCs w:val="21"/>
              </w:rPr>
              <w:t>1</w:t>
            </w:r>
            <w:r>
              <w:rPr>
                <w:bCs/>
                <w:szCs w:val="21"/>
              </w:rPr>
              <w:t>6#</w:t>
            </w:r>
          </w:p>
        </w:tc>
        <w:tc>
          <w:tcPr>
            <w:tcW w:w="724" w:type="pct"/>
            <w:vAlign w:val="center"/>
          </w:tcPr>
          <w:p w14:paraId="440FEDB5" w14:textId="77777777" w:rsidR="007D1E74" w:rsidRDefault="00A95641">
            <w:pPr>
              <w:jc w:val="center"/>
              <w:rPr>
                <w:rFonts w:cstheme="minorHAnsi"/>
                <w:szCs w:val="21"/>
              </w:rPr>
            </w:pPr>
            <w:r>
              <w:rPr>
                <w:rFonts w:cstheme="minorHAnsi" w:hint="eastAsia"/>
                <w:szCs w:val="21"/>
              </w:rPr>
              <w:t>5</w:t>
            </w:r>
            <w:r>
              <w:rPr>
                <w:rFonts w:cstheme="minorHAnsi"/>
                <w:szCs w:val="21"/>
              </w:rPr>
              <w:t>5</w:t>
            </w:r>
          </w:p>
        </w:tc>
        <w:tc>
          <w:tcPr>
            <w:tcW w:w="728" w:type="pct"/>
            <w:vAlign w:val="center"/>
          </w:tcPr>
          <w:p w14:paraId="321F1657" w14:textId="77777777" w:rsidR="007D1E74" w:rsidRDefault="00A95641">
            <w:pPr>
              <w:jc w:val="center"/>
              <w:rPr>
                <w:rFonts w:cstheme="minorHAnsi"/>
                <w:szCs w:val="21"/>
              </w:rPr>
            </w:pPr>
            <w:r>
              <w:rPr>
                <w:rFonts w:cstheme="minorHAnsi" w:hint="eastAsia"/>
                <w:szCs w:val="21"/>
              </w:rPr>
              <w:t>4</w:t>
            </w:r>
            <w:r>
              <w:rPr>
                <w:rFonts w:cstheme="minorHAnsi"/>
                <w:szCs w:val="21"/>
              </w:rPr>
              <w:t>7</w:t>
            </w:r>
          </w:p>
        </w:tc>
        <w:tc>
          <w:tcPr>
            <w:tcW w:w="724" w:type="pct"/>
            <w:vAlign w:val="center"/>
          </w:tcPr>
          <w:p w14:paraId="6DA8DC6C" w14:textId="77777777" w:rsidR="007D1E74" w:rsidRDefault="00A95641">
            <w:pPr>
              <w:jc w:val="center"/>
              <w:rPr>
                <w:rFonts w:cstheme="minorHAnsi"/>
                <w:szCs w:val="21"/>
              </w:rPr>
            </w:pPr>
            <w:r>
              <w:rPr>
                <w:rFonts w:cstheme="minorHAnsi" w:hint="eastAsia"/>
                <w:szCs w:val="21"/>
              </w:rPr>
              <w:t>5</w:t>
            </w:r>
            <w:r>
              <w:rPr>
                <w:rFonts w:cstheme="minorHAnsi"/>
                <w:szCs w:val="21"/>
              </w:rPr>
              <w:t>8</w:t>
            </w:r>
          </w:p>
        </w:tc>
        <w:tc>
          <w:tcPr>
            <w:tcW w:w="725" w:type="pct"/>
            <w:vAlign w:val="center"/>
          </w:tcPr>
          <w:p w14:paraId="021D0CC1" w14:textId="77777777" w:rsidR="007D1E74" w:rsidRDefault="00A95641">
            <w:pPr>
              <w:jc w:val="center"/>
              <w:rPr>
                <w:rFonts w:cstheme="minorHAnsi"/>
                <w:szCs w:val="21"/>
              </w:rPr>
            </w:pPr>
            <w:r>
              <w:rPr>
                <w:rFonts w:cstheme="minorHAnsi" w:hint="eastAsia"/>
                <w:szCs w:val="21"/>
              </w:rPr>
              <w:t>4</w:t>
            </w:r>
            <w:r>
              <w:rPr>
                <w:rFonts w:cstheme="minorHAnsi"/>
                <w:szCs w:val="21"/>
              </w:rPr>
              <w:t>4</w:t>
            </w:r>
          </w:p>
        </w:tc>
        <w:tc>
          <w:tcPr>
            <w:tcW w:w="568" w:type="pct"/>
            <w:vAlign w:val="center"/>
          </w:tcPr>
          <w:p w14:paraId="2F7F02C9" w14:textId="77777777" w:rsidR="007D1E74" w:rsidRDefault="00A95641">
            <w:pPr>
              <w:jc w:val="center"/>
              <w:rPr>
                <w:rFonts w:cstheme="minorHAnsi"/>
                <w:szCs w:val="21"/>
              </w:rPr>
            </w:pPr>
            <w:r>
              <w:rPr>
                <w:rFonts w:cstheme="minorHAnsi" w:hint="eastAsia"/>
                <w:szCs w:val="21"/>
              </w:rPr>
              <w:t>60</w:t>
            </w:r>
          </w:p>
        </w:tc>
        <w:tc>
          <w:tcPr>
            <w:tcW w:w="568" w:type="pct"/>
            <w:vAlign w:val="center"/>
          </w:tcPr>
          <w:p w14:paraId="369A951E" w14:textId="77777777" w:rsidR="007D1E74" w:rsidRDefault="00A95641">
            <w:pPr>
              <w:jc w:val="center"/>
              <w:rPr>
                <w:rFonts w:cstheme="minorHAnsi"/>
                <w:szCs w:val="21"/>
              </w:rPr>
            </w:pPr>
            <w:r>
              <w:rPr>
                <w:rFonts w:cstheme="minorHAnsi" w:hint="eastAsia"/>
                <w:szCs w:val="21"/>
              </w:rPr>
              <w:t>50</w:t>
            </w:r>
          </w:p>
        </w:tc>
        <w:tc>
          <w:tcPr>
            <w:tcW w:w="353" w:type="pct"/>
            <w:vAlign w:val="center"/>
          </w:tcPr>
          <w:p w14:paraId="63575DF0" w14:textId="77777777" w:rsidR="007D1E74" w:rsidRDefault="00A95641">
            <w:pPr>
              <w:jc w:val="center"/>
              <w:rPr>
                <w:rFonts w:cstheme="minorHAnsi"/>
                <w:szCs w:val="21"/>
              </w:rPr>
            </w:pPr>
            <w:r>
              <w:rPr>
                <w:rFonts w:cstheme="minorHAnsi"/>
                <w:szCs w:val="21"/>
              </w:rPr>
              <w:t>达标</w:t>
            </w:r>
          </w:p>
        </w:tc>
      </w:tr>
      <w:tr w:rsidR="007D1E74" w14:paraId="26270CF8" w14:textId="77777777">
        <w:tc>
          <w:tcPr>
            <w:tcW w:w="610" w:type="pct"/>
            <w:vAlign w:val="center"/>
          </w:tcPr>
          <w:p w14:paraId="1F5B35D6" w14:textId="77777777" w:rsidR="007D1E74" w:rsidRDefault="00A95641">
            <w:pPr>
              <w:jc w:val="center"/>
              <w:rPr>
                <w:bCs/>
                <w:szCs w:val="21"/>
              </w:rPr>
            </w:pPr>
            <w:r>
              <w:rPr>
                <w:rFonts w:hint="eastAsia"/>
                <w:bCs/>
                <w:szCs w:val="21"/>
              </w:rPr>
              <w:t>1</w:t>
            </w:r>
            <w:r>
              <w:rPr>
                <w:bCs/>
                <w:szCs w:val="21"/>
              </w:rPr>
              <w:t>7#</w:t>
            </w:r>
          </w:p>
        </w:tc>
        <w:tc>
          <w:tcPr>
            <w:tcW w:w="724" w:type="pct"/>
            <w:vAlign w:val="center"/>
          </w:tcPr>
          <w:p w14:paraId="092D0912" w14:textId="77777777" w:rsidR="007D1E74" w:rsidRDefault="00A95641">
            <w:pPr>
              <w:jc w:val="center"/>
              <w:rPr>
                <w:rFonts w:cstheme="minorHAnsi"/>
                <w:szCs w:val="21"/>
              </w:rPr>
            </w:pPr>
            <w:r>
              <w:rPr>
                <w:rFonts w:cstheme="minorHAnsi" w:hint="eastAsia"/>
                <w:szCs w:val="21"/>
              </w:rPr>
              <w:t>5</w:t>
            </w:r>
            <w:r>
              <w:rPr>
                <w:rFonts w:cstheme="minorHAnsi"/>
                <w:szCs w:val="21"/>
              </w:rPr>
              <w:t>5</w:t>
            </w:r>
          </w:p>
        </w:tc>
        <w:tc>
          <w:tcPr>
            <w:tcW w:w="728" w:type="pct"/>
            <w:vAlign w:val="center"/>
          </w:tcPr>
          <w:p w14:paraId="1FC19F1A" w14:textId="77777777" w:rsidR="007D1E74" w:rsidRDefault="00A95641">
            <w:pPr>
              <w:jc w:val="center"/>
              <w:rPr>
                <w:rFonts w:cstheme="minorHAnsi"/>
                <w:szCs w:val="21"/>
              </w:rPr>
            </w:pPr>
            <w:r>
              <w:rPr>
                <w:rFonts w:cstheme="minorHAnsi" w:hint="eastAsia"/>
                <w:szCs w:val="21"/>
              </w:rPr>
              <w:t>4</w:t>
            </w:r>
            <w:r>
              <w:rPr>
                <w:rFonts w:cstheme="minorHAnsi"/>
                <w:szCs w:val="21"/>
              </w:rPr>
              <w:t>7</w:t>
            </w:r>
          </w:p>
        </w:tc>
        <w:tc>
          <w:tcPr>
            <w:tcW w:w="724" w:type="pct"/>
            <w:vAlign w:val="center"/>
          </w:tcPr>
          <w:p w14:paraId="62017EB0" w14:textId="77777777" w:rsidR="007D1E74" w:rsidRDefault="00A95641">
            <w:pPr>
              <w:jc w:val="center"/>
              <w:rPr>
                <w:rFonts w:cstheme="minorHAnsi"/>
                <w:szCs w:val="21"/>
              </w:rPr>
            </w:pPr>
            <w:r>
              <w:rPr>
                <w:rFonts w:cstheme="minorHAnsi" w:hint="eastAsia"/>
                <w:szCs w:val="21"/>
              </w:rPr>
              <w:t>5</w:t>
            </w:r>
            <w:r>
              <w:rPr>
                <w:rFonts w:cstheme="minorHAnsi"/>
                <w:szCs w:val="21"/>
              </w:rPr>
              <w:t>4</w:t>
            </w:r>
          </w:p>
        </w:tc>
        <w:tc>
          <w:tcPr>
            <w:tcW w:w="725" w:type="pct"/>
            <w:vAlign w:val="center"/>
          </w:tcPr>
          <w:p w14:paraId="6E660266" w14:textId="77777777" w:rsidR="007D1E74" w:rsidRDefault="00A95641">
            <w:pPr>
              <w:jc w:val="center"/>
              <w:rPr>
                <w:rFonts w:cstheme="minorHAnsi"/>
                <w:szCs w:val="21"/>
              </w:rPr>
            </w:pPr>
            <w:r>
              <w:rPr>
                <w:rFonts w:cstheme="minorHAnsi" w:hint="eastAsia"/>
                <w:szCs w:val="21"/>
              </w:rPr>
              <w:t>4</w:t>
            </w:r>
            <w:r>
              <w:rPr>
                <w:rFonts w:cstheme="minorHAnsi"/>
                <w:szCs w:val="21"/>
              </w:rPr>
              <w:t>5</w:t>
            </w:r>
          </w:p>
        </w:tc>
        <w:tc>
          <w:tcPr>
            <w:tcW w:w="568" w:type="pct"/>
            <w:vAlign w:val="center"/>
          </w:tcPr>
          <w:p w14:paraId="5A76E270" w14:textId="77777777" w:rsidR="007D1E74" w:rsidRDefault="00A95641">
            <w:pPr>
              <w:jc w:val="center"/>
              <w:rPr>
                <w:rFonts w:cstheme="minorHAnsi"/>
                <w:szCs w:val="21"/>
              </w:rPr>
            </w:pPr>
            <w:r>
              <w:rPr>
                <w:rFonts w:cstheme="minorHAnsi" w:hint="eastAsia"/>
                <w:szCs w:val="21"/>
              </w:rPr>
              <w:t>60</w:t>
            </w:r>
          </w:p>
        </w:tc>
        <w:tc>
          <w:tcPr>
            <w:tcW w:w="568" w:type="pct"/>
            <w:vAlign w:val="center"/>
          </w:tcPr>
          <w:p w14:paraId="1DD9C55F" w14:textId="77777777" w:rsidR="007D1E74" w:rsidRDefault="00A95641">
            <w:pPr>
              <w:jc w:val="center"/>
              <w:rPr>
                <w:rFonts w:cstheme="minorHAnsi"/>
                <w:szCs w:val="21"/>
              </w:rPr>
            </w:pPr>
            <w:r>
              <w:rPr>
                <w:rFonts w:cstheme="minorHAnsi" w:hint="eastAsia"/>
                <w:szCs w:val="21"/>
              </w:rPr>
              <w:t>50</w:t>
            </w:r>
          </w:p>
        </w:tc>
        <w:tc>
          <w:tcPr>
            <w:tcW w:w="353" w:type="pct"/>
            <w:vAlign w:val="center"/>
          </w:tcPr>
          <w:p w14:paraId="46758974" w14:textId="77777777" w:rsidR="007D1E74" w:rsidRDefault="00A95641">
            <w:pPr>
              <w:jc w:val="center"/>
              <w:rPr>
                <w:rFonts w:cstheme="minorHAnsi"/>
                <w:szCs w:val="21"/>
              </w:rPr>
            </w:pPr>
            <w:r>
              <w:rPr>
                <w:rFonts w:cstheme="minorHAnsi"/>
                <w:szCs w:val="21"/>
              </w:rPr>
              <w:t>达标</w:t>
            </w:r>
          </w:p>
        </w:tc>
      </w:tr>
      <w:tr w:rsidR="007D1E74" w14:paraId="796E0D30" w14:textId="77777777">
        <w:tc>
          <w:tcPr>
            <w:tcW w:w="610" w:type="pct"/>
            <w:vAlign w:val="center"/>
          </w:tcPr>
          <w:p w14:paraId="43295A2A" w14:textId="77777777" w:rsidR="007D1E74" w:rsidRDefault="00A95641">
            <w:pPr>
              <w:jc w:val="center"/>
              <w:rPr>
                <w:bCs/>
                <w:szCs w:val="21"/>
              </w:rPr>
            </w:pPr>
            <w:r>
              <w:rPr>
                <w:rFonts w:hint="eastAsia"/>
                <w:bCs/>
                <w:szCs w:val="21"/>
              </w:rPr>
              <w:t>1</w:t>
            </w:r>
            <w:r>
              <w:rPr>
                <w:bCs/>
                <w:szCs w:val="21"/>
              </w:rPr>
              <w:t>8#</w:t>
            </w:r>
          </w:p>
        </w:tc>
        <w:tc>
          <w:tcPr>
            <w:tcW w:w="724" w:type="pct"/>
            <w:vAlign w:val="center"/>
          </w:tcPr>
          <w:p w14:paraId="2474CF75" w14:textId="77777777" w:rsidR="007D1E74" w:rsidRDefault="00A95641">
            <w:pPr>
              <w:jc w:val="center"/>
              <w:rPr>
                <w:rFonts w:cstheme="minorHAnsi"/>
                <w:szCs w:val="21"/>
              </w:rPr>
            </w:pPr>
            <w:r>
              <w:rPr>
                <w:rFonts w:cstheme="minorHAnsi" w:hint="eastAsia"/>
                <w:szCs w:val="21"/>
              </w:rPr>
              <w:t>5</w:t>
            </w:r>
            <w:r>
              <w:rPr>
                <w:rFonts w:cstheme="minorHAnsi"/>
                <w:szCs w:val="21"/>
              </w:rPr>
              <w:t>3</w:t>
            </w:r>
          </w:p>
        </w:tc>
        <w:tc>
          <w:tcPr>
            <w:tcW w:w="728" w:type="pct"/>
            <w:vAlign w:val="center"/>
          </w:tcPr>
          <w:p w14:paraId="304778F2" w14:textId="77777777" w:rsidR="007D1E74" w:rsidRDefault="00A95641">
            <w:pPr>
              <w:jc w:val="center"/>
              <w:rPr>
                <w:rFonts w:cstheme="minorHAnsi"/>
                <w:szCs w:val="21"/>
              </w:rPr>
            </w:pPr>
            <w:r>
              <w:rPr>
                <w:rFonts w:cstheme="minorHAnsi" w:hint="eastAsia"/>
                <w:szCs w:val="21"/>
              </w:rPr>
              <w:t>4</w:t>
            </w:r>
            <w:r>
              <w:rPr>
                <w:rFonts w:cstheme="minorHAnsi"/>
                <w:szCs w:val="21"/>
              </w:rPr>
              <w:t>7</w:t>
            </w:r>
          </w:p>
        </w:tc>
        <w:tc>
          <w:tcPr>
            <w:tcW w:w="724" w:type="pct"/>
            <w:vAlign w:val="center"/>
          </w:tcPr>
          <w:p w14:paraId="40F7B3A8" w14:textId="77777777" w:rsidR="007D1E74" w:rsidRDefault="00A95641">
            <w:pPr>
              <w:jc w:val="center"/>
              <w:rPr>
                <w:rFonts w:cstheme="minorHAnsi"/>
                <w:szCs w:val="21"/>
              </w:rPr>
            </w:pPr>
            <w:r>
              <w:rPr>
                <w:rFonts w:cstheme="minorHAnsi" w:hint="eastAsia"/>
                <w:szCs w:val="21"/>
              </w:rPr>
              <w:t>5</w:t>
            </w:r>
            <w:r>
              <w:rPr>
                <w:rFonts w:cstheme="minorHAnsi"/>
                <w:szCs w:val="21"/>
              </w:rPr>
              <w:t>6</w:t>
            </w:r>
          </w:p>
        </w:tc>
        <w:tc>
          <w:tcPr>
            <w:tcW w:w="725" w:type="pct"/>
            <w:vAlign w:val="center"/>
          </w:tcPr>
          <w:p w14:paraId="79B40267" w14:textId="77777777" w:rsidR="007D1E74" w:rsidRDefault="00A95641">
            <w:pPr>
              <w:jc w:val="center"/>
              <w:rPr>
                <w:rFonts w:cstheme="minorHAnsi"/>
                <w:szCs w:val="21"/>
              </w:rPr>
            </w:pPr>
            <w:r>
              <w:rPr>
                <w:rFonts w:cstheme="minorHAnsi" w:hint="eastAsia"/>
                <w:szCs w:val="21"/>
              </w:rPr>
              <w:t>4</w:t>
            </w:r>
            <w:r>
              <w:rPr>
                <w:rFonts w:cstheme="minorHAnsi"/>
                <w:szCs w:val="21"/>
              </w:rPr>
              <w:t>5</w:t>
            </w:r>
          </w:p>
        </w:tc>
        <w:tc>
          <w:tcPr>
            <w:tcW w:w="568" w:type="pct"/>
            <w:vAlign w:val="center"/>
          </w:tcPr>
          <w:p w14:paraId="09CD2979" w14:textId="77777777" w:rsidR="007D1E74" w:rsidRDefault="00A95641">
            <w:pPr>
              <w:jc w:val="center"/>
              <w:rPr>
                <w:rFonts w:cstheme="minorHAnsi"/>
                <w:szCs w:val="21"/>
              </w:rPr>
            </w:pPr>
            <w:r>
              <w:rPr>
                <w:rFonts w:cstheme="minorHAnsi" w:hint="eastAsia"/>
                <w:szCs w:val="21"/>
              </w:rPr>
              <w:t>60</w:t>
            </w:r>
          </w:p>
        </w:tc>
        <w:tc>
          <w:tcPr>
            <w:tcW w:w="568" w:type="pct"/>
            <w:vAlign w:val="center"/>
          </w:tcPr>
          <w:p w14:paraId="1EBCCAC5" w14:textId="77777777" w:rsidR="007D1E74" w:rsidRDefault="00A95641">
            <w:pPr>
              <w:jc w:val="center"/>
              <w:rPr>
                <w:rFonts w:cstheme="minorHAnsi"/>
                <w:szCs w:val="21"/>
              </w:rPr>
            </w:pPr>
            <w:r>
              <w:rPr>
                <w:rFonts w:cstheme="minorHAnsi" w:hint="eastAsia"/>
                <w:szCs w:val="21"/>
              </w:rPr>
              <w:t>50</w:t>
            </w:r>
          </w:p>
        </w:tc>
        <w:tc>
          <w:tcPr>
            <w:tcW w:w="353" w:type="pct"/>
            <w:vAlign w:val="center"/>
          </w:tcPr>
          <w:p w14:paraId="4BBBA9CD" w14:textId="77777777" w:rsidR="007D1E74" w:rsidRDefault="00A95641">
            <w:pPr>
              <w:jc w:val="center"/>
              <w:rPr>
                <w:rFonts w:cstheme="minorHAnsi"/>
                <w:szCs w:val="21"/>
              </w:rPr>
            </w:pPr>
            <w:r>
              <w:rPr>
                <w:rFonts w:cstheme="minorHAnsi"/>
                <w:szCs w:val="21"/>
              </w:rPr>
              <w:t>达标</w:t>
            </w:r>
          </w:p>
        </w:tc>
      </w:tr>
      <w:tr w:rsidR="007D1E74" w14:paraId="36D952FA" w14:textId="77777777">
        <w:tc>
          <w:tcPr>
            <w:tcW w:w="610" w:type="pct"/>
            <w:vAlign w:val="center"/>
          </w:tcPr>
          <w:p w14:paraId="0DFCE3F9" w14:textId="77777777" w:rsidR="007D1E74" w:rsidRDefault="00A95641">
            <w:pPr>
              <w:jc w:val="center"/>
              <w:rPr>
                <w:bCs/>
                <w:szCs w:val="21"/>
              </w:rPr>
            </w:pPr>
            <w:r>
              <w:rPr>
                <w:rFonts w:hint="eastAsia"/>
                <w:bCs/>
                <w:szCs w:val="21"/>
              </w:rPr>
              <w:t>1</w:t>
            </w:r>
            <w:r>
              <w:rPr>
                <w:bCs/>
                <w:szCs w:val="21"/>
              </w:rPr>
              <w:t>9#</w:t>
            </w:r>
          </w:p>
        </w:tc>
        <w:tc>
          <w:tcPr>
            <w:tcW w:w="724" w:type="pct"/>
            <w:vAlign w:val="center"/>
          </w:tcPr>
          <w:p w14:paraId="39C292E9" w14:textId="77777777" w:rsidR="007D1E74" w:rsidRDefault="00A95641">
            <w:pPr>
              <w:jc w:val="center"/>
              <w:rPr>
                <w:rFonts w:cstheme="minorHAnsi"/>
                <w:szCs w:val="21"/>
              </w:rPr>
            </w:pPr>
            <w:r>
              <w:rPr>
                <w:rFonts w:cstheme="minorHAnsi" w:hint="eastAsia"/>
                <w:szCs w:val="21"/>
              </w:rPr>
              <w:t>5</w:t>
            </w:r>
            <w:r>
              <w:rPr>
                <w:rFonts w:cstheme="minorHAnsi"/>
                <w:szCs w:val="21"/>
              </w:rPr>
              <w:t>4</w:t>
            </w:r>
          </w:p>
        </w:tc>
        <w:tc>
          <w:tcPr>
            <w:tcW w:w="728" w:type="pct"/>
            <w:vAlign w:val="center"/>
          </w:tcPr>
          <w:p w14:paraId="788ACB1C" w14:textId="77777777" w:rsidR="007D1E74" w:rsidRDefault="00A95641">
            <w:pPr>
              <w:jc w:val="center"/>
              <w:rPr>
                <w:rFonts w:cstheme="minorHAnsi"/>
                <w:szCs w:val="21"/>
              </w:rPr>
            </w:pPr>
            <w:r>
              <w:rPr>
                <w:rFonts w:cstheme="minorHAnsi" w:hint="eastAsia"/>
                <w:szCs w:val="21"/>
              </w:rPr>
              <w:t>4</w:t>
            </w:r>
            <w:r>
              <w:rPr>
                <w:rFonts w:cstheme="minorHAnsi"/>
                <w:szCs w:val="21"/>
              </w:rPr>
              <w:t>6</w:t>
            </w:r>
          </w:p>
        </w:tc>
        <w:tc>
          <w:tcPr>
            <w:tcW w:w="724" w:type="pct"/>
            <w:vAlign w:val="center"/>
          </w:tcPr>
          <w:p w14:paraId="7F9EE289" w14:textId="77777777" w:rsidR="007D1E74" w:rsidRDefault="00A95641">
            <w:pPr>
              <w:jc w:val="center"/>
              <w:rPr>
                <w:rFonts w:cstheme="minorHAnsi"/>
                <w:szCs w:val="21"/>
              </w:rPr>
            </w:pPr>
            <w:r>
              <w:rPr>
                <w:rFonts w:cstheme="minorHAnsi" w:hint="eastAsia"/>
                <w:szCs w:val="21"/>
              </w:rPr>
              <w:t>5</w:t>
            </w:r>
            <w:r>
              <w:rPr>
                <w:rFonts w:cstheme="minorHAnsi"/>
                <w:szCs w:val="21"/>
              </w:rPr>
              <w:t>3</w:t>
            </w:r>
          </w:p>
        </w:tc>
        <w:tc>
          <w:tcPr>
            <w:tcW w:w="725" w:type="pct"/>
            <w:vAlign w:val="center"/>
          </w:tcPr>
          <w:p w14:paraId="0D659B3B" w14:textId="77777777" w:rsidR="007D1E74" w:rsidRDefault="00A95641">
            <w:pPr>
              <w:jc w:val="center"/>
              <w:rPr>
                <w:rFonts w:cstheme="minorHAnsi"/>
                <w:szCs w:val="21"/>
              </w:rPr>
            </w:pPr>
            <w:r>
              <w:rPr>
                <w:rFonts w:cstheme="minorHAnsi" w:hint="eastAsia"/>
                <w:szCs w:val="21"/>
              </w:rPr>
              <w:t>4</w:t>
            </w:r>
            <w:r>
              <w:rPr>
                <w:rFonts w:cstheme="minorHAnsi"/>
                <w:szCs w:val="21"/>
              </w:rPr>
              <w:t>4</w:t>
            </w:r>
          </w:p>
        </w:tc>
        <w:tc>
          <w:tcPr>
            <w:tcW w:w="568" w:type="pct"/>
            <w:vAlign w:val="center"/>
          </w:tcPr>
          <w:p w14:paraId="0E00EAD9" w14:textId="77777777" w:rsidR="007D1E74" w:rsidRDefault="00A95641">
            <w:pPr>
              <w:jc w:val="center"/>
              <w:rPr>
                <w:rFonts w:cstheme="minorHAnsi"/>
                <w:szCs w:val="21"/>
              </w:rPr>
            </w:pPr>
            <w:r>
              <w:rPr>
                <w:rFonts w:cstheme="minorHAnsi" w:hint="eastAsia"/>
                <w:szCs w:val="21"/>
              </w:rPr>
              <w:t>60</w:t>
            </w:r>
          </w:p>
        </w:tc>
        <w:tc>
          <w:tcPr>
            <w:tcW w:w="568" w:type="pct"/>
            <w:vAlign w:val="center"/>
          </w:tcPr>
          <w:p w14:paraId="543E3416" w14:textId="77777777" w:rsidR="007D1E74" w:rsidRDefault="00A95641">
            <w:pPr>
              <w:jc w:val="center"/>
              <w:rPr>
                <w:rFonts w:cstheme="minorHAnsi"/>
                <w:szCs w:val="21"/>
              </w:rPr>
            </w:pPr>
            <w:r>
              <w:rPr>
                <w:rFonts w:cstheme="minorHAnsi" w:hint="eastAsia"/>
                <w:szCs w:val="21"/>
              </w:rPr>
              <w:t>50</w:t>
            </w:r>
          </w:p>
        </w:tc>
        <w:tc>
          <w:tcPr>
            <w:tcW w:w="353" w:type="pct"/>
            <w:vAlign w:val="center"/>
          </w:tcPr>
          <w:p w14:paraId="7161251A" w14:textId="77777777" w:rsidR="007D1E74" w:rsidRDefault="00A95641">
            <w:pPr>
              <w:jc w:val="center"/>
              <w:rPr>
                <w:rFonts w:cstheme="minorHAnsi"/>
                <w:szCs w:val="21"/>
              </w:rPr>
            </w:pPr>
            <w:r>
              <w:rPr>
                <w:rFonts w:cstheme="minorHAnsi"/>
                <w:szCs w:val="21"/>
              </w:rPr>
              <w:t>达标</w:t>
            </w:r>
          </w:p>
        </w:tc>
      </w:tr>
      <w:tr w:rsidR="007D1E74" w14:paraId="5D898FC2" w14:textId="77777777">
        <w:tc>
          <w:tcPr>
            <w:tcW w:w="610" w:type="pct"/>
            <w:vAlign w:val="center"/>
          </w:tcPr>
          <w:p w14:paraId="4A511677" w14:textId="77777777" w:rsidR="007D1E74" w:rsidRDefault="00A95641">
            <w:pPr>
              <w:jc w:val="center"/>
              <w:rPr>
                <w:bCs/>
                <w:szCs w:val="21"/>
              </w:rPr>
            </w:pPr>
            <w:r>
              <w:rPr>
                <w:rFonts w:hint="eastAsia"/>
                <w:bCs/>
                <w:szCs w:val="21"/>
              </w:rPr>
              <w:t>2</w:t>
            </w:r>
            <w:r>
              <w:rPr>
                <w:bCs/>
                <w:szCs w:val="21"/>
              </w:rPr>
              <w:t>0#</w:t>
            </w:r>
          </w:p>
        </w:tc>
        <w:tc>
          <w:tcPr>
            <w:tcW w:w="724" w:type="pct"/>
            <w:vAlign w:val="center"/>
          </w:tcPr>
          <w:p w14:paraId="23D79E50" w14:textId="77777777" w:rsidR="007D1E74" w:rsidRDefault="00A95641">
            <w:pPr>
              <w:jc w:val="center"/>
              <w:rPr>
                <w:rFonts w:cstheme="minorHAnsi"/>
                <w:szCs w:val="21"/>
              </w:rPr>
            </w:pPr>
            <w:r>
              <w:rPr>
                <w:rFonts w:cstheme="minorHAnsi" w:hint="eastAsia"/>
                <w:szCs w:val="21"/>
              </w:rPr>
              <w:t>5</w:t>
            </w:r>
            <w:r>
              <w:rPr>
                <w:rFonts w:cstheme="minorHAnsi"/>
                <w:szCs w:val="21"/>
              </w:rPr>
              <w:t>5</w:t>
            </w:r>
          </w:p>
        </w:tc>
        <w:tc>
          <w:tcPr>
            <w:tcW w:w="728" w:type="pct"/>
            <w:vAlign w:val="center"/>
          </w:tcPr>
          <w:p w14:paraId="21E116B1" w14:textId="77777777" w:rsidR="007D1E74" w:rsidRDefault="00A95641">
            <w:pPr>
              <w:jc w:val="center"/>
              <w:rPr>
                <w:rFonts w:cstheme="minorHAnsi"/>
                <w:szCs w:val="21"/>
              </w:rPr>
            </w:pPr>
            <w:r>
              <w:rPr>
                <w:rFonts w:cstheme="minorHAnsi" w:hint="eastAsia"/>
                <w:szCs w:val="21"/>
              </w:rPr>
              <w:t>4</w:t>
            </w:r>
            <w:r>
              <w:rPr>
                <w:rFonts w:cstheme="minorHAnsi"/>
                <w:szCs w:val="21"/>
              </w:rPr>
              <w:t>7</w:t>
            </w:r>
          </w:p>
        </w:tc>
        <w:tc>
          <w:tcPr>
            <w:tcW w:w="724" w:type="pct"/>
            <w:vAlign w:val="center"/>
          </w:tcPr>
          <w:p w14:paraId="53303D8C" w14:textId="77777777" w:rsidR="007D1E74" w:rsidRDefault="00A95641">
            <w:pPr>
              <w:jc w:val="center"/>
              <w:rPr>
                <w:rFonts w:cstheme="minorHAnsi"/>
                <w:szCs w:val="21"/>
              </w:rPr>
            </w:pPr>
            <w:r>
              <w:rPr>
                <w:rFonts w:cstheme="minorHAnsi" w:hint="eastAsia"/>
                <w:szCs w:val="21"/>
              </w:rPr>
              <w:t>5</w:t>
            </w:r>
            <w:r>
              <w:rPr>
                <w:rFonts w:cstheme="minorHAnsi"/>
                <w:szCs w:val="21"/>
              </w:rPr>
              <w:t>4</w:t>
            </w:r>
          </w:p>
        </w:tc>
        <w:tc>
          <w:tcPr>
            <w:tcW w:w="725" w:type="pct"/>
            <w:vAlign w:val="center"/>
          </w:tcPr>
          <w:p w14:paraId="7CB5F501" w14:textId="77777777" w:rsidR="007D1E74" w:rsidRDefault="00A95641">
            <w:pPr>
              <w:jc w:val="center"/>
              <w:rPr>
                <w:rFonts w:cstheme="minorHAnsi"/>
                <w:szCs w:val="21"/>
              </w:rPr>
            </w:pPr>
            <w:r>
              <w:rPr>
                <w:rFonts w:cstheme="minorHAnsi" w:hint="eastAsia"/>
                <w:szCs w:val="21"/>
              </w:rPr>
              <w:t>4</w:t>
            </w:r>
            <w:r>
              <w:rPr>
                <w:rFonts w:cstheme="minorHAnsi"/>
                <w:szCs w:val="21"/>
              </w:rPr>
              <w:t>7</w:t>
            </w:r>
          </w:p>
        </w:tc>
        <w:tc>
          <w:tcPr>
            <w:tcW w:w="568" w:type="pct"/>
            <w:vAlign w:val="center"/>
          </w:tcPr>
          <w:p w14:paraId="6B851CB3" w14:textId="77777777" w:rsidR="007D1E74" w:rsidRDefault="00A95641">
            <w:pPr>
              <w:jc w:val="center"/>
              <w:rPr>
                <w:rFonts w:cstheme="minorHAnsi"/>
                <w:szCs w:val="21"/>
              </w:rPr>
            </w:pPr>
            <w:r>
              <w:rPr>
                <w:rFonts w:cstheme="minorHAnsi" w:hint="eastAsia"/>
                <w:szCs w:val="21"/>
              </w:rPr>
              <w:t>60</w:t>
            </w:r>
          </w:p>
        </w:tc>
        <w:tc>
          <w:tcPr>
            <w:tcW w:w="568" w:type="pct"/>
            <w:vAlign w:val="center"/>
          </w:tcPr>
          <w:p w14:paraId="6CAAEA3F" w14:textId="77777777" w:rsidR="007D1E74" w:rsidRDefault="00A95641">
            <w:pPr>
              <w:jc w:val="center"/>
              <w:rPr>
                <w:rFonts w:cstheme="minorHAnsi"/>
                <w:szCs w:val="21"/>
              </w:rPr>
            </w:pPr>
            <w:r>
              <w:rPr>
                <w:rFonts w:cstheme="minorHAnsi" w:hint="eastAsia"/>
                <w:szCs w:val="21"/>
              </w:rPr>
              <w:t>50</w:t>
            </w:r>
          </w:p>
        </w:tc>
        <w:tc>
          <w:tcPr>
            <w:tcW w:w="353" w:type="pct"/>
            <w:vAlign w:val="center"/>
          </w:tcPr>
          <w:p w14:paraId="73E97064" w14:textId="77777777" w:rsidR="007D1E74" w:rsidRDefault="00A95641">
            <w:pPr>
              <w:jc w:val="center"/>
              <w:rPr>
                <w:rFonts w:cstheme="minorHAnsi"/>
                <w:szCs w:val="21"/>
              </w:rPr>
            </w:pPr>
            <w:r>
              <w:rPr>
                <w:rFonts w:cstheme="minorHAnsi"/>
                <w:szCs w:val="21"/>
              </w:rPr>
              <w:t>达标</w:t>
            </w:r>
          </w:p>
        </w:tc>
      </w:tr>
      <w:tr w:rsidR="007D1E74" w14:paraId="44687F02" w14:textId="77777777">
        <w:tc>
          <w:tcPr>
            <w:tcW w:w="610" w:type="pct"/>
            <w:vAlign w:val="center"/>
          </w:tcPr>
          <w:p w14:paraId="015CE0D1" w14:textId="77777777" w:rsidR="007D1E74" w:rsidRDefault="00A95641">
            <w:pPr>
              <w:jc w:val="center"/>
              <w:rPr>
                <w:bCs/>
                <w:szCs w:val="21"/>
              </w:rPr>
            </w:pPr>
            <w:r>
              <w:rPr>
                <w:rFonts w:hint="eastAsia"/>
                <w:bCs/>
                <w:szCs w:val="21"/>
              </w:rPr>
              <w:t>2</w:t>
            </w:r>
            <w:r>
              <w:rPr>
                <w:bCs/>
                <w:szCs w:val="21"/>
              </w:rPr>
              <w:t>1#</w:t>
            </w:r>
          </w:p>
        </w:tc>
        <w:tc>
          <w:tcPr>
            <w:tcW w:w="724" w:type="pct"/>
            <w:vAlign w:val="center"/>
          </w:tcPr>
          <w:p w14:paraId="63297582" w14:textId="77777777" w:rsidR="007D1E74" w:rsidRDefault="00A95641">
            <w:pPr>
              <w:jc w:val="center"/>
              <w:rPr>
                <w:rFonts w:cstheme="minorHAnsi"/>
                <w:szCs w:val="21"/>
              </w:rPr>
            </w:pPr>
            <w:r>
              <w:rPr>
                <w:rFonts w:cstheme="minorHAnsi" w:hint="eastAsia"/>
                <w:szCs w:val="21"/>
              </w:rPr>
              <w:t>5</w:t>
            </w:r>
            <w:r>
              <w:rPr>
                <w:rFonts w:cstheme="minorHAnsi"/>
                <w:szCs w:val="21"/>
              </w:rPr>
              <w:t>4</w:t>
            </w:r>
          </w:p>
        </w:tc>
        <w:tc>
          <w:tcPr>
            <w:tcW w:w="728" w:type="pct"/>
            <w:vAlign w:val="center"/>
          </w:tcPr>
          <w:p w14:paraId="488DF649" w14:textId="77777777" w:rsidR="007D1E74" w:rsidRDefault="00A95641">
            <w:pPr>
              <w:jc w:val="center"/>
              <w:rPr>
                <w:rFonts w:cstheme="minorHAnsi"/>
                <w:szCs w:val="21"/>
              </w:rPr>
            </w:pPr>
            <w:r>
              <w:rPr>
                <w:rFonts w:cstheme="minorHAnsi" w:hint="eastAsia"/>
                <w:szCs w:val="21"/>
              </w:rPr>
              <w:t>4</w:t>
            </w:r>
            <w:r>
              <w:rPr>
                <w:rFonts w:cstheme="minorHAnsi"/>
                <w:szCs w:val="21"/>
              </w:rPr>
              <w:t>6</w:t>
            </w:r>
          </w:p>
        </w:tc>
        <w:tc>
          <w:tcPr>
            <w:tcW w:w="724" w:type="pct"/>
            <w:vAlign w:val="center"/>
          </w:tcPr>
          <w:p w14:paraId="092E2FB5" w14:textId="77777777" w:rsidR="007D1E74" w:rsidRDefault="00A95641">
            <w:pPr>
              <w:jc w:val="center"/>
              <w:rPr>
                <w:rFonts w:cstheme="minorHAnsi"/>
                <w:szCs w:val="21"/>
              </w:rPr>
            </w:pPr>
            <w:r>
              <w:rPr>
                <w:rFonts w:cstheme="minorHAnsi" w:hint="eastAsia"/>
                <w:szCs w:val="21"/>
              </w:rPr>
              <w:t>5</w:t>
            </w:r>
            <w:r>
              <w:rPr>
                <w:rFonts w:cstheme="minorHAnsi"/>
                <w:szCs w:val="21"/>
              </w:rPr>
              <w:t>6</w:t>
            </w:r>
          </w:p>
        </w:tc>
        <w:tc>
          <w:tcPr>
            <w:tcW w:w="725" w:type="pct"/>
            <w:vAlign w:val="center"/>
          </w:tcPr>
          <w:p w14:paraId="4BE8D66B" w14:textId="77777777" w:rsidR="007D1E74" w:rsidRDefault="00A95641">
            <w:pPr>
              <w:jc w:val="center"/>
              <w:rPr>
                <w:rFonts w:cstheme="minorHAnsi"/>
                <w:szCs w:val="21"/>
              </w:rPr>
            </w:pPr>
            <w:r>
              <w:rPr>
                <w:rFonts w:cstheme="minorHAnsi" w:hint="eastAsia"/>
                <w:szCs w:val="21"/>
              </w:rPr>
              <w:t>4</w:t>
            </w:r>
            <w:r>
              <w:rPr>
                <w:rFonts w:cstheme="minorHAnsi"/>
                <w:szCs w:val="21"/>
              </w:rPr>
              <w:t>6</w:t>
            </w:r>
          </w:p>
        </w:tc>
        <w:tc>
          <w:tcPr>
            <w:tcW w:w="568" w:type="pct"/>
            <w:vAlign w:val="center"/>
          </w:tcPr>
          <w:p w14:paraId="3E76B265" w14:textId="77777777" w:rsidR="007D1E74" w:rsidRDefault="00A95641">
            <w:pPr>
              <w:jc w:val="center"/>
              <w:rPr>
                <w:rFonts w:cstheme="minorHAnsi"/>
                <w:szCs w:val="21"/>
              </w:rPr>
            </w:pPr>
            <w:r>
              <w:rPr>
                <w:rFonts w:cstheme="minorHAnsi" w:hint="eastAsia"/>
                <w:szCs w:val="21"/>
              </w:rPr>
              <w:t>60</w:t>
            </w:r>
          </w:p>
        </w:tc>
        <w:tc>
          <w:tcPr>
            <w:tcW w:w="568" w:type="pct"/>
            <w:vAlign w:val="center"/>
          </w:tcPr>
          <w:p w14:paraId="6AA69944" w14:textId="77777777" w:rsidR="007D1E74" w:rsidRDefault="00A95641">
            <w:pPr>
              <w:jc w:val="center"/>
              <w:rPr>
                <w:rFonts w:cstheme="minorHAnsi"/>
                <w:szCs w:val="21"/>
              </w:rPr>
            </w:pPr>
            <w:r>
              <w:rPr>
                <w:rFonts w:cstheme="minorHAnsi" w:hint="eastAsia"/>
                <w:szCs w:val="21"/>
              </w:rPr>
              <w:t>50</w:t>
            </w:r>
          </w:p>
        </w:tc>
        <w:tc>
          <w:tcPr>
            <w:tcW w:w="353" w:type="pct"/>
            <w:vAlign w:val="center"/>
          </w:tcPr>
          <w:p w14:paraId="1452B7F9" w14:textId="77777777" w:rsidR="007D1E74" w:rsidRDefault="00A95641">
            <w:pPr>
              <w:jc w:val="center"/>
              <w:rPr>
                <w:rFonts w:cstheme="minorHAnsi"/>
                <w:szCs w:val="21"/>
              </w:rPr>
            </w:pPr>
            <w:r>
              <w:rPr>
                <w:rFonts w:cstheme="minorHAnsi"/>
                <w:szCs w:val="21"/>
              </w:rPr>
              <w:t>达标</w:t>
            </w:r>
          </w:p>
        </w:tc>
      </w:tr>
      <w:tr w:rsidR="007D1E74" w14:paraId="6172C710" w14:textId="77777777">
        <w:tc>
          <w:tcPr>
            <w:tcW w:w="610" w:type="pct"/>
            <w:vAlign w:val="center"/>
          </w:tcPr>
          <w:p w14:paraId="77DD485D" w14:textId="77777777" w:rsidR="007D1E74" w:rsidRDefault="00A95641">
            <w:pPr>
              <w:jc w:val="center"/>
              <w:rPr>
                <w:bCs/>
                <w:szCs w:val="21"/>
              </w:rPr>
            </w:pPr>
            <w:r>
              <w:rPr>
                <w:rFonts w:hint="eastAsia"/>
                <w:bCs/>
                <w:szCs w:val="21"/>
              </w:rPr>
              <w:t>2</w:t>
            </w:r>
            <w:r>
              <w:rPr>
                <w:bCs/>
                <w:szCs w:val="21"/>
              </w:rPr>
              <w:t>2#</w:t>
            </w:r>
          </w:p>
        </w:tc>
        <w:tc>
          <w:tcPr>
            <w:tcW w:w="724" w:type="pct"/>
            <w:vAlign w:val="center"/>
          </w:tcPr>
          <w:p w14:paraId="7F2E136A" w14:textId="77777777" w:rsidR="007D1E74" w:rsidRDefault="00A95641">
            <w:pPr>
              <w:jc w:val="center"/>
              <w:rPr>
                <w:rFonts w:cstheme="minorHAnsi"/>
                <w:szCs w:val="21"/>
              </w:rPr>
            </w:pPr>
            <w:r>
              <w:rPr>
                <w:rFonts w:cstheme="minorHAnsi" w:hint="eastAsia"/>
                <w:szCs w:val="21"/>
              </w:rPr>
              <w:t>5</w:t>
            </w:r>
            <w:r>
              <w:rPr>
                <w:rFonts w:cstheme="minorHAnsi"/>
                <w:szCs w:val="21"/>
              </w:rPr>
              <w:t>5</w:t>
            </w:r>
          </w:p>
        </w:tc>
        <w:tc>
          <w:tcPr>
            <w:tcW w:w="728" w:type="pct"/>
            <w:vAlign w:val="center"/>
          </w:tcPr>
          <w:p w14:paraId="25ABBE9F" w14:textId="77777777" w:rsidR="007D1E74" w:rsidRDefault="00A95641">
            <w:pPr>
              <w:jc w:val="center"/>
              <w:rPr>
                <w:rFonts w:cstheme="minorHAnsi"/>
                <w:szCs w:val="21"/>
              </w:rPr>
            </w:pPr>
            <w:r>
              <w:rPr>
                <w:rFonts w:cstheme="minorHAnsi" w:hint="eastAsia"/>
                <w:szCs w:val="21"/>
              </w:rPr>
              <w:t>4</w:t>
            </w:r>
            <w:r>
              <w:rPr>
                <w:rFonts w:cstheme="minorHAnsi"/>
                <w:szCs w:val="21"/>
              </w:rPr>
              <w:t>5</w:t>
            </w:r>
          </w:p>
        </w:tc>
        <w:tc>
          <w:tcPr>
            <w:tcW w:w="724" w:type="pct"/>
            <w:vAlign w:val="center"/>
          </w:tcPr>
          <w:p w14:paraId="48BCB001" w14:textId="77777777" w:rsidR="007D1E74" w:rsidRDefault="00A95641">
            <w:pPr>
              <w:jc w:val="center"/>
              <w:rPr>
                <w:rFonts w:cstheme="minorHAnsi"/>
                <w:szCs w:val="21"/>
              </w:rPr>
            </w:pPr>
            <w:r>
              <w:rPr>
                <w:rFonts w:cstheme="minorHAnsi" w:hint="eastAsia"/>
                <w:szCs w:val="21"/>
              </w:rPr>
              <w:t>5</w:t>
            </w:r>
            <w:r>
              <w:rPr>
                <w:rFonts w:cstheme="minorHAnsi"/>
                <w:szCs w:val="21"/>
              </w:rPr>
              <w:t>5</w:t>
            </w:r>
          </w:p>
        </w:tc>
        <w:tc>
          <w:tcPr>
            <w:tcW w:w="725" w:type="pct"/>
            <w:vAlign w:val="center"/>
          </w:tcPr>
          <w:p w14:paraId="09B8F2D4" w14:textId="77777777" w:rsidR="007D1E74" w:rsidRDefault="00A95641">
            <w:pPr>
              <w:jc w:val="center"/>
              <w:rPr>
                <w:rFonts w:cstheme="minorHAnsi"/>
                <w:szCs w:val="21"/>
              </w:rPr>
            </w:pPr>
            <w:r>
              <w:rPr>
                <w:rFonts w:cstheme="minorHAnsi" w:hint="eastAsia"/>
                <w:szCs w:val="21"/>
              </w:rPr>
              <w:t>4</w:t>
            </w:r>
            <w:r>
              <w:rPr>
                <w:rFonts w:cstheme="minorHAnsi"/>
                <w:szCs w:val="21"/>
              </w:rPr>
              <w:t>6</w:t>
            </w:r>
          </w:p>
        </w:tc>
        <w:tc>
          <w:tcPr>
            <w:tcW w:w="568" w:type="pct"/>
            <w:vAlign w:val="center"/>
          </w:tcPr>
          <w:p w14:paraId="1748680A" w14:textId="77777777" w:rsidR="007D1E74" w:rsidRDefault="00A95641">
            <w:pPr>
              <w:jc w:val="center"/>
              <w:rPr>
                <w:rFonts w:cstheme="minorHAnsi"/>
                <w:szCs w:val="21"/>
              </w:rPr>
            </w:pPr>
            <w:r>
              <w:rPr>
                <w:rFonts w:cstheme="minorHAnsi" w:hint="eastAsia"/>
                <w:szCs w:val="21"/>
              </w:rPr>
              <w:t>60</w:t>
            </w:r>
          </w:p>
        </w:tc>
        <w:tc>
          <w:tcPr>
            <w:tcW w:w="568" w:type="pct"/>
            <w:vAlign w:val="center"/>
          </w:tcPr>
          <w:p w14:paraId="4FCC03E0" w14:textId="77777777" w:rsidR="007D1E74" w:rsidRDefault="00A95641">
            <w:pPr>
              <w:jc w:val="center"/>
              <w:rPr>
                <w:rFonts w:cstheme="minorHAnsi"/>
                <w:szCs w:val="21"/>
              </w:rPr>
            </w:pPr>
            <w:r>
              <w:rPr>
                <w:rFonts w:cstheme="minorHAnsi" w:hint="eastAsia"/>
                <w:szCs w:val="21"/>
              </w:rPr>
              <w:t>50</w:t>
            </w:r>
          </w:p>
        </w:tc>
        <w:tc>
          <w:tcPr>
            <w:tcW w:w="353" w:type="pct"/>
            <w:vAlign w:val="center"/>
          </w:tcPr>
          <w:p w14:paraId="60BD83B6" w14:textId="77777777" w:rsidR="007D1E74" w:rsidRDefault="00A95641">
            <w:pPr>
              <w:jc w:val="center"/>
              <w:rPr>
                <w:rFonts w:cstheme="minorHAnsi"/>
                <w:szCs w:val="21"/>
              </w:rPr>
            </w:pPr>
            <w:r>
              <w:rPr>
                <w:rFonts w:cstheme="minorHAnsi"/>
                <w:szCs w:val="21"/>
              </w:rPr>
              <w:t>达标</w:t>
            </w:r>
          </w:p>
        </w:tc>
      </w:tr>
      <w:tr w:rsidR="007D1E74" w14:paraId="67091F6C" w14:textId="77777777">
        <w:tc>
          <w:tcPr>
            <w:tcW w:w="610" w:type="pct"/>
            <w:vAlign w:val="center"/>
          </w:tcPr>
          <w:p w14:paraId="0B4BAAE0" w14:textId="77777777" w:rsidR="007D1E74" w:rsidRDefault="00A95641">
            <w:pPr>
              <w:jc w:val="center"/>
              <w:rPr>
                <w:bCs/>
                <w:szCs w:val="21"/>
              </w:rPr>
            </w:pPr>
            <w:r>
              <w:rPr>
                <w:rFonts w:hint="eastAsia"/>
                <w:bCs/>
                <w:szCs w:val="21"/>
              </w:rPr>
              <w:t>2</w:t>
            </w:r>
            <w:r>
              <w:rPr>
                <w:bCs/>
                <w:szCs w:val="21"/>
              </w:rPr>
              <w:t>3#</w:t>
            </w:r>
          </w:p>
        </w:tc>
        <w:tc>
          <w:tcPr>
            <w:tcW w:w="724" w:type="pct"/>
            <w:vAlign w:val="center"/>
          </w:tcPr>
          <w:p w14:paraId="70E702BA" w14:textId="77777777" w:rsidR="007D1E74" w:rsidRDefault="00A95641">
            <w:pPr>
              <w:jc w:val="center"/>
              <w:rPr>
                <w:rFonts w:cstheme="minorHAnsi"/>
                <w:szCs w:val="21"/>
              </w:rPr>
            </w:pPr>
            <w:r>
              <w:rPr>
                <w:rFonts w:cstheme="minorHAnsi" w:hint="eastAsia"/>
                <w:szCs w:val="21"/>
              </w:rPr>
              <w:t>5</w:t>
            </w:r>
            <w:r>
              <w:rPr>
                <w:rFonts w:cstheme="minorHAnsi"/>
                <w:szCs w:val="21"/>
              </w:rPr>
              <w:t>4</w:t>
            </w:r>
          </w:p>
        </w:tc>
        <w:tc>
          <w:tcPr>
            <w:tcW w:w="728" w:type="pct"/>
            <w:vAlign w:val="center"/>
          </w:tcPr>
          <w:p w14:paraId="696091FA" w14:textId="77777777" w:rsidR="007D1E74" w:rsidRDefault="00A95641">
            <w:pPr>
              <w:jc w:val="center"/>
              <w:rPr>
                <w:rFonts w:cstheme="minorHAnsi"/>
                <w:szCs w:val="21"/>
              </w:rPr>
            </w:pPr>
            <w:r>
              <w:rPr>
                <w:rFonts w:cstheme="minorHAnsi" w:hint="eastAsia"/>
                <w:szCs w:val="21"/>
              </w:rPr>
              <w:t>4</w:t>
            </w:r>
            <w:r>
              <w:rPr>
                <w:rFonts w:cstheme="minorHAnsi"/>
                <w:szCs w:val="21"/>
              </w:rPr>
              <w:t>8</w:t>
            </w:r>
          </w:p>
        </w:tc>
        <w:tc>
          <w:tcPr>
            <w:tcW w:w="724" w:type="pct"/>
            <w:vAlign w:val="center"/>
          </w:tcPr>
          <w:p w14:paraId="38CD2021" w14:textId="77777777" w:rsidR="007D1E74" w:rsidRDefault="00A95641">
            <w:pPr>
              <w:jc w:val="center"/>
              <w:rPr>
                <w:rFonts w:cstheme="minorHAnsi"/>
                <w:szCs w:val="21"/>
              </w:rPr>
            </w:pPr>
            <w:r>
              <w:rPr>
                <w:rFonts w:cstheme="minorHAnsi" w:hint="eastAsia"/>
                <w:szCs w:val="21"/>
              </w:rPr>
              <w:t>5</w:t>
            </w:r>
            <w:r>
              <w:rPr>
                <w:rFonts w:cstheme="minorHAnsi"/>
                <w:szCs w:val="21"/>
              </w:rPr>
              <w:t>6</w:t>
            </w:r>
          </w:p>
        </w:tc>
        <w:tc>
          <w:tcPr>
            <w:tcW w:w="725" w:type="pct"/>
            <w:vAlign w:val="center"/>
          </w:tcPr>
          <w:p w14:paraId="30565294" w14:textId="77777777" w:rsidR="007D1E74" w:rsidRDefault="00A95641">
            <w:pPr>
              <w:jc w:val="center"/>
              <w:rPr>
                <w:rFonts w:cstheme="minorHAnsi"/>
                <w:szCs w:val="21"/>
              </w:rPr>
            </w:pPr>
            <w:r>
              <w:rPr>
                <w:rFonts w:cstheme="minorHAnsi" w:hint="eastAsia"/>
                <w:szCs w:val="21"/>
              </w:rPr>
              <w:t>4</w:t>
            </w:r>
            <w:r>
              <w:rPr>
                <w:rFonts w:cstheme="minorHAnsi"/>
                <w:szCs w:val="21"/>
              </w:rPr>
              <w:t>4</w:t>
            </w:r>
          </w:p>
        </w:tc>
        <w:tc>
          <w:tcPr>
            <w:tcW w:w="568" w:type="pct"/>
            <w:vAlign w:val="center"/>
          </w:tcPr>
          <w:p w14:paraId="7AAAC144" w14:textId="77777777" w:rsidR="007D1E74" w:rsidRDefault="00A95641">
            <w:pPr>
              <w:jc w:val="center"/>
              <w:rPr>
                <w:rFonts w:cstheme="minorHAnsi"/>
                <w:szCs w:val="21"/>
              </w:rPr>
            </w:pPr>
            <w:r>
              <w:rPr>
                <w:rFonts w:cstheme="minorHAnsi" w:hint="eastAsia"/>
                <w:szCs w:val="21"/>
              </w:rPr>
              <w:t>60</w:t>
            </w:r>
          </w:p>
        </w:tc>
        <w:tc>
          <w:tcPr>
            <w:tcW w:w="568" w:type="pct"/>
            <w:vAlign w:val="center"/>
          </w:tcPr>
          <w:p w14:paraId="03C5552D" w14:textId="77777777" w:rsidR="007D1E74" w:rsidRDefault="00A95641">
            <w:pPr>
              <w:jc w:val="center"/>
              <w:rPr>
                <w:rFonts w:cstheme="minorHAnsi"/>
                <w:szCs w:val="21"/>
              </w:rPr>
            </w:pPr>
            <w:r>
              <w:rPr>
                <w:rFonts w:cstheme="minorHAnsi" w:hint="eastAsia"/>
                <w:szCs w:val="21"/>
              </w:rPr>
              <w:t>50</w:t>
            </w:r>
          </w:p>
        </w:tc>
        <w:tc>
          <w:tcPr>
            <w:tcW w:w="353" w:type="pct"/>
            <w:vAlign w:val="center"/>
          </w:tcPr>
          <w:p w14:paraId="44616269" w14:textId="77777777" w:rsidR="007D1E74" w:rsidRDefault="00A95641">
            <w:pPr>
              <w:jc w:val="center"/>
              <w:rPr>
                <w:rFonts w:cstheme="minorHAnsi"/>
                <w:szCs w:val="21"/>
              </w:rPr>
            </w:pPr>
            <w:r>
              <w:rPr>
                <w:rFonts w:cstheme="minorHAnsi"/>
                <w:szCs w:val="21"/>
              </w:rPr>
              <w:t>达标</w:t>
            </w:r>
          </w:p>
        </w:tc>
      </w:tr>
      <w:tr w:rsidR="007D1E74" w14:paraId="262CDDA9" w14:textId="77777777">
        <w:tc>
          <w:tcPr>
            <w:tcW w:w="610" w:type="pct"/>
            <w:vAlign w:val="center"/>
          </w:tcPr>
          <w:p w14:paraId="640764CC" w14:textId="77777777" w:rsidR="007D1E74" w:rsidRDefault="00A95641">
            <w:pPr>
              <w:jc w:val="center"/>
              <w:rPr>
                <w:bCs/>
                <w:szCs w:val="21"/>
              </w:rPr>
            </w:pPr>
            <w:r>
              <w:rPr>
                <w:rFonts w:hint="eastAsia"/>
                <w:bCs/>
                <w:szCs w:val="21"/>
              </w:rPr>
              <w:lastRenderedPageBreak/>
              <w:t>2</w:t>
            </w:r>
            <w:r>
              <w:rPr>
                <w:bCs/>
                <w:szCs w:val="21"/>
              </w:rPr>
              <w:t>4#</w:t>
            </w:r>
          </w:p>
        </w:tc>
        <w:tc>
          <w:tcPr>
            <w:tcW w:w="724" w:type="pct"/>
            <w:vAlign w:val="center"/>
          </w:tcPr>
          <w:p w14:paraId="0AB2DBE6" w14:textId="77777777" w:rsidR="007D1E74" w:rsidRDefault="00A95641">
            <w:pPr>
              <w:jc w:val="center"/>
              <w:rPr>
                <w:rFonts w:cstheme="minorHAnsi"/>
                <w:szCs w:val="21"/>
              </w:rPr>
            </w:pPr>
            <w:r>
              <w:rPr>
                <w:rFonts w:cstheme="minorHAnsi" w:hint="eastAsia"/>
                <w:szCs w:val="21"/>
              </w:rPr>
              <w:t>5</w:t>
            </w:r>
            <w:r>
              <w:rPr>
                <w:rFonts w:cstheme="minorHAnsi"/>
                <w:szCs w:val="21"/>
              </w:rPr>
              <w:t>4</w:t>
            </w:r>
          </w:p>
        </w:tc>
        <w:tc>
          <w:tcPr>
            <w:tcW w:w="728" w:type="pct"/>
            <w:vAlign w:val="center"/>
          </w:tcPr>
          <w:p w14:paraId="0AAACEB7" w14:textId="77777777" w:rsidR="007D1E74" w:rsidRDefault="00A95641">
            <w:pPr>
              <w:jc w:val="center"/>
              <w:rPr>
                <w:rFonts w:cstheme="minorHAnsi"/>
                <w:szCs w:val="21"/>
              </w:rPr>
            </w:pPr>
            <w:r>
              <w:rPr>
                <w:rFonts w:cstheme="minorHAnsi" w:hint="eastAsia"/>
                <w:szCs w:val="21"/>
              </w:rPr>
              <w:t>4</w:t>
            </w:r>
            <w:r>
              <w:rPr>
                <w:rFonts w:cstheme="minorHAnsi"/>
                <w:szCs w:val="21"/>
              </w:rPr>
              <w:t>8</w:t>
            </w:r>
          </w:p>
        </w:tc>
        <w:tc>
          <w:tcPr>
            <w:tcW w:w="724" w:type="pct"/>
            <w:vAlign w:val="center"/>
          </w:tcPr>
          <w:p w14:paraId="55C8F2E2" w14:textId="77777777" w:rsidR="007D1E74" w:rsidRDefault="00A95641">
            <w:pPr>
              <w:jc w:val="center"/>
              <w:rPr>
                <w:rFonts w:cstheme="minorHAnsi"/>
                <w:szCs w:val="21"/>
              </w:rPr>
            </w:pPr>
            <w:r>
              <w:rPr>
                <w:rFonts w:cstheme="minorHAnsi" w:hint="eastAsia"/>
                <w:szCs w:val="21"/>
              </w:rPr>
              <w:t>5</w:t>
            </w:r>
            <w:r>
              <w:rPr>
                <w:rFonts w:cstheme="minorHAnsi"/>
                <w:szCs w:val="21"/>
              </w:rPr>
              <w:t>5</w:t>
            </w:r>
          </w:p>
        </w:tc>
        <w:tc>
          <w:tcPr>
            <w:tcW w:w="725" w:type="pct"/>
            <w:vAlign w:val="center"/>
          </w:tcPr>
          <w:p w14:paraId="191AAEFB" w14:textId="77777777" w:rsidR="007D1E74" w:rsidRDefault="00A95641">
            <w:pPr>
              <w:jc w:val="center"/>
              <w:rPr>
                <w:rFonts w:cstheme="minorHAnsi"/>
                <w:szCs w:val="21"/>
              </w:rPr>
            </w:pPr>
            <w:r>
              <w:rPr>
                <w:rFonts w:cstheme="minorHAnsi" w:hint="eastAsia"/>
                <w:szCs w:val="21"/>
              </w:rPr>
              <w:t>4</w:t>
            </w:r>
            <w:r>
              <w:rPr>
                <w:rFonts w:cstheme="minorHAnsi"/>
                <w:szCs w:val="21"/>
              </w:rPr>
              <w:t>5</w:t>
            </w:r>
          </w:p>
        </w:tc>
        <w:tc>
          <w:tcPr>
            <w:tcW w:w="568" w:type="pct"/>
            <w:vAlign w:val="center"/>
          </w:tcPr>
          <w:p w14:paraId="2FB795B9" w14:textId="77777777" w:rsidR="007D1E74" w:rsidRDefault="00A95641">
            <w:pPr>
              <w:jc w:val="center"/>
              <w:rPr>
                <w:rFonts w:cstheme="minorHAnsi"/>
                <w:szCs w:val="21"/>
              </w:rPr>
            </w:pPr>
            <w:r>
              <w:rPr>
                <w:rFonts w:cstheme="minorHAnsi" w:hint="eastAsia"/>
                <w:szCs w:val="21"/>
              </w:rPr>
              <w:t>60</w:t>
            </w:r>
          </w:p>
        </w:tc>
        <w:tc>
          <w:tcPr>
            <w:tcW w:w="568" w:type="pct"/>
            <w:vAlign w:val="center"/>
          </w:tcPr>
          <w:p w14:paraId="30F79913" w14:textId="77777777" w:rsidR="007D1E74" w:rsidRDefault="00A95641">
            <w:pPr>
              <w:jc w:val="center"/>
              <w:rPr>
                <w:rFonts w:cstheme="minorHAnsi"/>
                <w:szCs w:val="21"/>
              </w:rPr>
            </w:pPr>
            <w:r>
              <w:rPr>
                <w:rFonts w:cstheme="minorHAnsi" w:hint="eastAsia"/>
                <w:szCs w:val="21"/>
              </w:rPr>
              <w:t>50</w:t>
            </w:r>
          </w:p>
        </w:tc>
        <w:tc>
          <w:tcPr>
            <w:tcW w:w="353" w:type="pct"/>
            <w:vAlign w:val="center"/>
          </w:tcPr>
          <w:p w14:paraId="25B83097" w14:textId="77777777" w:rsidR="007D1E74" w:rsidRDefault="00A95641">
            <w:pPr>
              <w:jc w:val="center"/>
              <w:rPr>
                <w:rFonts w:cstheme="minorHAnsi"/>
                <w:szCs w:val="21"/>
              </w:rPr>
            </w:pPr>
            <w:r>
              <w:rPr>
                <w:rFonts w:cstheme="minorHAnsi"/>
                <w:szCs w:val="21"/>
              </w:rPr>
              <w:t>达标</w:t>
            </w:r>
          </w:p>
        </w:tc>
      </w:tr>
      <w:tr w:rsidR="007D1E74" w14:paraId="5B27B9DF" w14:textId="77777777">
        <w:tc>
          <w:tcPr>
            <w:tcW w:w="610" w:type="pct"/>
            <w:vAlign w:val="center"/>
          </w:tcPr>
          <w:p w14:paraId="224056D7" w14:textId="77777777" w:rsidR="007D1E74" w:rsidRDefault="00A95641">
            <w:pPr>
              <w:jc w:val="center"/>
              <w:rPr>
                <w:bCs/>
                <w:szCs w:val="21"/>
              </w:rPr>
            </w:pPr>
            <w:r>
              <w:rPr>
                <w:rFonts w:hint="eastAsia"/>
                <w:bCs/>
                <w:szCs w:val="21"/>
              </w:rPr>
              <w:t>2</w:t>
            </w:r>
            <w:r>
              <w:rPr>
                <w:bCs/>
                <w:szCs w:val="21"/>
              </w:rPr>
              <w:t>5#</w:t>
            </w:r>
          </w:p>
        </w:tc>
        <w:tc>
          <w:tcPr>
            <w:tcW w:w="724" w:type="pct"/>
            <w:vAlign w:val="center"/>
          </w:tcPr>
          <w:p w14:paraId="195043A9" w14:textId="77777777" w:rsidR="007D1E74" w:rsidRDefault="00A95641">
            <w:pPr>
              <w:jc w:val="center"/>
              <w:rPr>
                <w:rFonts w:cstheme="minorHAnsi"/>
                <w:szCs w:val="21"/>
              </w:rPr>
            </w:pPr>
            <w:r>
              <w:rPr>
                <w:rFonts w:cstheme="minorHAnsi" w:hint="eastAsia"/>
                <w:szCs w:val="21"/>
              </w:rPr>
              <w:t>5</w:t>
            </w:r>
            <w:r>
              <w:rPr>
                <w:rFonts w:cstheme="minorHAnsi"/>
                <w:szCs w:val="21"/>
              </w:rPr>
              <w:t>4</w:t>
            </w:r>
          </w:p>
        </w:tc>
        <w:tc>
          <w:tcPr>
            <w:tcW w:w="728" w:type="pct"/>
            <w:vAlign w:val="center"/>
          </w:tcPr>
          <w:p w14:paraId="37405DCC" w14:textId="77777777" w:rsidR="007D1E74" w:rsidRDefault="00A95641">
            <w:pPr>
              <w:jc w:val="center"/>
              <w:rPr>
                <w:rFonts w:cstheme="minorHAnsi"/>
                <w:szCs w:val="21"/>
              </w:rPr>
            </w:pPr>
            <w:r>
              <w:rPr>
                <w:rFonts w:cstheme="minorHAnsi" w:hint="eastAsia"/>
                <w:szCs w:val="21"/>
              </w:rPr>
              <w:t>4</w:t>
            </w:r>
            <w:r>
              <w:rPr>
                <w:rFonts w:cstheme="minorHAnsi"/>
                <w:szCs w:val="21"/>
              </w:rPr>
              <w:t>8</w:t>
            </w:r>
          </w:p>
        </w:tc>
        <w:tc>
          <w:tcPr>
            <w:tcW w:w="724" w:type="pct"/>
            <w:vAlign w:val="center"/>
          </w:tcPr>
          <w:p w14:paraId="3B5B25D0" w14:textId="77777777" w:rsidR="007D1E74" w:rsidRDefault="00A95641">
            <w:pPr>
              <w:jc w:val="center"/>
              <w:rPr>
                <w:rFonts w:cstheme="minorHAnsi"/>
                <w:szCs w:val="21"/>
              </w:rPr>
            </w:pPr>
            <w:r>
              <w:rPr>
                <w:rFonts w:cstheme="minorHAnsi" w:hint="eastAsia"/>
                <w:szCs w:val="21"/>
              </w:rPr>
              <w:t>5</w:t>
            </w:r>
            <w:r>
              <w:rPr>
                <w:rFonts w:cstheme="minorHAnsi"/>
                <w:szCs w:val="21"/>
              </w:rPr>
              <w:t>6</w:t>
            </w:r>
          </w:p>
        </w:tc>
        <w:tc>
          <w:tcPr>
            <w:tcW w:w="725" w:type="pct"/>
            <w:vAlign w:val="center"/>
          </w:tcPr>
          <w:p w14:paraId="32C67A13" w14:textId="77777777" w:rsidR="007D1E74" w:rsidRDefault="00A95641">
            <w:pPr>
              <w:jc w:val="center"/>
              <w:rPr>
                <w:rFonts w:cstheme="minorHAnsi"/>
                <w:szCs w:val="21"/>
              </w:rPr>
            </w:pPr>
            <w:r>
              <w:rPr>
                <w:rFonts w:cstheme="minorHAnsi" w:hint="eastAsia"/>
                <w:szCs w:val="21"/>
              </w:rPr>
              <w:t>4</w:t>
            </w:r>
            <w:r>
              <w:rPr>
                <w:rFonts w:cstheme="minorHAnsi"/>
                <w:szCs w:val="21"/>
              </w:rPr>
              <w:t>4</w:t>
            </w:r>
          </w:p>
        </w:tc>
        <w:tc>
          <w:tcPr>
            <w:tcW w:w="568" w:type="pct"/>
            <w:vAlign w:val="center"/>
          </w:tcPr>
          <w:p w14:paraId="0345F8C2" w14:textId="77777777" w:rsidR="007D1E74" w:rsidRDefault="00A95641">
            <w:pPr>
              <w:jc w:val="center"/>
              <w:rPr>
                <w:rFonts w:cstheme="minorHAnsi"/>
                <w:szCs w:val="21"/>
              </w:rPr>
            </w:pPr>
            <w:r>
              <w:rPr>
                <w:rFonts w:cstheme="minorHAnsi" w:hint="eastAsia"/>
                <w:szCs w:val="21"/>
              </w:rPr>
              <w:t>60</w:t>
            </w:r>
          </w:p>
        </w:tc>
        <w:tc>
          <w:tcPr>
            <w:tcW w:w="568" w:type="pct"/>
            <w:vAlign w:val="center"/>
          </w:tcPr>
          <w:p w14:paraId="2E64D364" w14:textId="77777777" w:rsidR="007D1E74" w:rsidRDefault="00A95641">
            <w:pPr>
              <w:jc w:val="center"/>
              <w:rPr>
                <w:rFonts w:cstheme="minorHAnsi"/>
                <w:szCs w:val="21"/>
              </w:rPr>
            </w:pPr>
            <w:r>
              <w:rPr>
                <w:rFonts w:cstheme="minorHAnsi" w:hint="eastAsia"/>
                <w:szCs w:val="21"/>
              </w:rPr>
              <w:t>50</w:t>
            </w:r>
          </w:p>
        </w:tc>
        <w:tc>
          <w:tcPr>
            <w:tcW w:w="353" w:type="pct"/>
            <w:vAlign w:val="center"/>
          </w:tcPr>
          <w:p w14:paraId="6D0E5D8C" w14:textId="77777777" w:rsidR="007D1E74" w:rsidRDefault="00A95641">
            <w:pPr>
              <w:jc w:val="center"/>
              <w:rPr>
                <w:rFonts w:cstheme="minorHAnsi"/>
                <w:szCs w:val="21"/>
              </w:rPr>
            </w:pPr>
            <w:r>
              <w:rPr>
                <w:rFonts w:cstheme="minorHAnsi"/>
                <w:szCs w:val="21"/>
              </w:rPr>
              <w:t>达标</w:t>
            </w:r>
          </w:p>
        </w:tc>
      </w:tr>
      <w:tr w:rsidR="007D1E74" w14:paraId="613AD5A1" w14:textId="77777777">
        <w:tc>
          <w:tcPr>
            <w:tcW w:w="610" w:type="pct"/>
            <w:vAlign w:val="center"/>
          </w:tcPr>
          <w:p w14:paraId="1E127D26" w14:textId="77777777" w:rsidR="007D1E74" w:rsidRDefault="00A95641">
            <w:pPr>
              <w:jc w:val="center"/>
              <w:rPr>
                <w:kern w:val="0"/>
                <w:szCs w:val="21"/>
              </w:rPr>
            </w:pPr>
            <w:r>
              <w:rPr>
                <w:rFonts w:hint="eastAsia"/>
                <w:kern w:val="0"/>
                <w:szCs w:val="21"/>
              </w:rPr>
              <w:t>B</w:t>
            </w:r>
            <w:r>
              <w:rPr>
                <w:kern w:val="0"/>
                <w:szCs w:val="21"/>
              </w:rPr>
              <w:t>1</w:t>
            </w:r>
          </w:p>
        </w:tc>
        <w:tc>
          <w:tcPr>
            <w:tcW w:w="724" w:type="pct"/>
            <w:vAlign w:val="center"/>
          </w:tcPr>
          <w:p w14:paraId="4657EC2D" w14:textId="77777777" w:rsidR="007D1E74" w:rsidRDefault="00A95641">
            <w:pPr>
              <w:jc w:val="center"/>
              <w:rPr>
                <w:rFonts w:cstheme="minorHAnsi"/>
                <w:szCs w:val="21"/>
              </w:rPr>
            </w:pPr>
            <w:r>
              <w:rPr>
                <w:rFonts w:cstheme="minorHAnsi" w:hint="eastAsia"/>
                <w:szCs w:val="21"/>
              </w:rPr>
              <w:t>5</w:t>
            </w:r>
            <w:r>
              <w:rPr>
                <w:rFonts w:cstheme="minorHAnsi"/>
                <w:szCs w:val="21"/>
              </w:rPr>
              <w:t>6</w:t>
            </w:r>
          </w:p>
        </w:tc>
        <w:tc>
          <w:tcPr>
            <w:tcW w:w="728" w:type="pct"/>
            <w:vAlign w:val="center"/>
          </w:tcPr>
          <w:p w14:paraId="360C5E3A" w14:textId="77777777" w:rsidR="007D1E74" w:rsidRDefault="00A95641">
            <w:pPr>
              <w:jc w:val="center"/>
              <w:rPr>
                <w:rFonts w:cstheme="minorHAnsi"/>
                <w:szCs w:val="21"/>
              </w:rPr>
            </w:pPr>
            <w:r>
              <w:rPr>
                <w:rFonts w:cstheme="minorHAnsi" w:hint="eastAsia"/>
                <w:szCs w:val="21"/>
              </w:rPr>
              <w:t>4</w:t>
            </w:r>
            <w:r>
              <w:rPr>
                <w:rFonts w:cstheme="minorHAnsi"/>
                <w:szCs w:val="21"/>
              </w:rPr>
              <w:t>7</w:t>
            </w:r>
          </w:p>
        </w:tc>
        <w:tc>
          <w:tcPr>
            <w:tcW w:w="724" w:type="pct"/>
            <w:vAlign w:val="center"/>
          </w:tcPr>
          <w:p w14:paraId="1387B5C8" w14:textId="77777777" w:rsidR="007D1E74" w:rsidRDefault="00A95641">
            <w:pPr>
              <w:jc w:val="center"/>
              <w:rPr>
                <w:rFonts w:cstheme="minorHAnsi"/>
                <w:szCs w:val="21"/>
              </w:rPr>
            </w:pPr>
            <w:r>
              <w:rPr>
                <w:rFonts w:cstheme="minorHAnsi" w:hint="eastAsia"/>
                <w:szCs w:val="21"/>
              </w:rPr>
              <w:t>5</w:t>
            </w:r>
            <w:r>
              <w:rPr>
                <w:rFonts w:cstheme="minorHAnsi"/>
                <w:szCs w:val="21"/>
              </w:rPr>
              <w:t>6</w:t>
            </w:r>
          </w:p>
        </w:tc>
        <w:tc>
          <w:tcPr>
            <w:tcW w:w="725" w:type="pct"/>
            <w:vAlign w:val="center"/>
          </w:tcPr>
          <w:p w14:paraId="585583E9" w14:textId="77777777" w:rsidR="007D1E74" w:rsidRDefault="00A95641">
            <w:pPr>
              <w:jc w:val="center"/>
              <w:rPr>
                <w:rFonts w:cstheme="minorHAnsi"/>
                <w:szCs w:val="21"/>
              </w:rPr>
            </w:pPr>
            <w:r>
              <w:rPr>
                <w:rFonts w:cstheme="minorHAnsi" w:hint="eastAsia"/>
                <w:szCs w:val="21"/>
              </w:rPr>
              <w:t>4</w:t>
            </w:r>
            <w:r>
              <w:rPr>
                <w:rFonts w:cstheme="minorHAnsi"/>
                <w:szCs w:val="21"/>
              </w:rPr>
              <w:t>4</w:t>
            </w:r>
          </w:p>
        </w:tc>
        <w:tc>
          <w:tcPr>
            <w:tcW w:w="568" w:type="pct"/>
            <w:vAlign w:val="center"/>
          </w:tcPr>
          <w:p w14:paraId="63B25BB5" w14:textId="77777777" w:rsidR="007D1E74" w:rsidRDefault="00A95641">
            <w:pPr>
              <w:jc w:val="center"/>
              <w:rPr>
                <w:rFonts w:cstheme="minorHAnsi"/>
                <w:szCs w:val="21"/>
              </w:rPr>
            </w:pPr>
            <w:r>
              <w:rPr>
                <w:rFonts w:cstheme="minorHAnsi" w:hint="eastAsia"/>
                <w:szCs w:val="21"/>
              </w:rPr>
              <w:t>60</w:t>
            </w:r>
          </w:p>
        </w:tc>
        <w:tc>
          <w:tcPr>
            <w:tcW w:w="568" w:type="pct"/>
            <w:vAlign w:val="center"/>
          </w:tcPr>
          <w:p w14:paraId="4C751555" w14:textId="77777777" w:rsidR="007D1E74" w:rsidRDefault="00A95641">
            <w:pPr>
              <w:jc w:val="center"/>
              <w:rPr>
                <w:rFonts w:cstheme="minorHAnsi"/>
                <w:szCs w:val="21"/>
              </w:rPr>
            </w:pPr>
            <w:r>
              <w:rPr>
                <w:rFonts w:cstheme="minorHAnsi" w:hint="eastAsia"/>
                <w:szCs w:val="21"/>
              </w:rPr>
              <w:t>50</w:t>
            </w:r>
          </w:p>
        </w:tc>
        <w:tc>
          <w:tcPr>
            <w:tcW w:w="353" w:type="pct"/>
            <w:vAlign w:val="center"/>
          </w:tcPr>
          <w:p w14:paraId="42C02AE8" w14:textId="77777777" w:rsidR="007D1E74" w:rsidRDefault="00A95641">
            <w:pPr>
              <w:jc w:val="center"/>
              <w:rPr>
                <w:rFonts w:cstheme="minorHAnsi"/>
                <w:szCs w:val="21"/>
              </w:rPr>
            </w:pPr>
            <w:r>
              <w:rPr>
                <w:rFonts w:cstheme="minorHAnsi"/>
                <w:szCs w:val="21"/>
              </w:rPr>
              <w:t>达标</w:t>
            </w:r>
          </w:p>
        </w:tc>
      </w:tr>
      <w:tr w:rsidR="007D1E74" w14:paraId="20515955" w14:textId="77777777">
        <w:tc>
          <w:tcPr>
            <w:tcW w:w="610" w:type="pct"/>
            <w:vAlign w:val="center"/>
          </w:tcPr>
          <w:p w14:paraId="2922690A" w14:textId="77777777" w:rsidR="007D1E74" w:rsidRDefault="00A95641">
            <w:pPr>
              <w:jc w:val="center"/>
              <w:rPr>
                <w:kern w:val="0"/>
                <w:szCs w:val="21"/>
              </w:rPr>
            </w:pPr>
            <w:r>
              <w:rPr>
                <w:rFonts w:hint="eastAsia"/>
                <w:kern w:val="0"/>
                <w:szCs w:val="21"/>
              </w:rPr>
              <w:t>B</w:t>
            </w:r>
            <w:r>
              <w:rPr>
                <w:kern w:val="0"/>
                <w:szCs w:val="21"/>
              </w:rPr>
              <w:t>2</w:t>
            </w:r>
          </w:p>
        </w:tc>
        <w:tc>
          <w:tcPr>
            <w:tcW w:w="724" w:type="pct"/>
            <w:vAlign w:val="center"/>
          </w:tcPr>
          <w:p w14:paraId="28247F86" w14:textId="77777777" w:rsidR="007D1E74" w:rsidRDefault="00A95641">
            <w:pPr>
              <w:jc w:val="center"/>
              <w:rPr>
                <w:rFonts w:cstheme="minorHAnsi"/>
                <w:szCs w:val="21"/>
              </w:rPr>
            </w:pPr>
            <w:r>
              <w:rPr>
                <w:rFonts w:cstheme="minorHAnsi" w:hint="eastAsia"/>
                <w:szCs w:val="21"/>
              </w:rPr>
              <w:t>5</w:t>
            </w:r>
            <w:r>
              <w:rPr>
                <w:rFonts w:cstheme="minorHAnsi"/>
                <w:szCs w:val="21"/>
              </w:rPr>
              <w:t>6</w:t>
            </w:r>
          </w:p>
        </w:tc>
        <w:tc>
          <w:tcPr>
            <w:tcW w:w="728" w:type="pct"/>
            <w:vAlign w:val="center"/>
          </w:tcPr>
          <w:p w14:paraId="1B3CF7D2" w14:textId="77777777" w:rsidR="007D1E74" w:rsidRDefault="00A95641">
            <w:pPr>
              <w:jc w:val="center"/>
              <w:rPr>
                <w:rFonts w:cstheme="minorHAnsi"/>
                <w:szCs w:val="21"/>
              </w:rPr>
            </w:pPr>
            <w:r>
              <w:rPr>
                <w:rFonts w:cstheme="minorHAnsi" w:hint="eastAsia"/>
                <w:szCs w:val="21"/>
              </w:rPr>
              <w:t>4</w:t>
            </w:r>
            <w:r>
              <w:rPr>
                <w:rFonts w:cstheme="minorHAnsi"/>
                <w:szCs w:val="21"/>
              </w:rPr>
              <w:t>6</w:t>
            </w:r>
          </w:p>
        </w:tc>
        <w:tc>
          <w:tcPr>
            <w:tcW w:w="724" w:type="pct"/>
            <w:vAlign w:val="center"/>
          </w:tcPr>
          <w:p w14:paraId="0CFBF95A" w14:textId="77777777" w:rsidR="007D1E74" w:rsidRDefault="00A95641">
            <w:pPr>
              <w:jc w:val="center"/>
              <w:rPr>
                <w:rFonts w:cstheme="minorHAnsi"/>
                <w:szCs w:val="21"/>
              </w:rPr>
            </w:pPr>
            <w:r>
              <w:rPr>
                <w:rFonts w:cstheme="minorHAnsi" w:hint="eastAsia"/>
                <w:szCs w:val="21"/>
              </w:rPr>
              <w:t>5</w:t>
            </w:r>
            <w:r>
              <w:rPr>
                <w:rFonts w:cstheme="minorHAnsi"/>
                <w:szCs w:val="21"/>
              </w:rPr>
              <w:t>4</w:t>
            </w:r>
          </w:p>
        </w:tc>
        <w:tc>
          <w:tcPr>
            <w:tcW w:w="725" w:type="pct"/>
            <w:vAlign w:val="center"/>
          </w:tcPr>
          <w:p w14:paraId="39999ECE" w14:textId="77777777" w:rsidR="007D1E74" w:rsidRDefault="00A95641">
            <w:pPr>
              <w:jc w:val="center"/>
              <w:rPr>
                <w:rFonts w:cstheme="minorHAnsi"/>
                <w:szCs w:val="21"/>
              </w:rPr>
            </w:pPr>
            <w:r>
              <w:rPr>
                <w:rFonts w:cstheme="minorHAnsi" w:hint="eastAsia"/>
                <w:szCs w:val="21"/>
              </w:rPr>
              <w:t>4</w:t>
            </w:r>
            <w:r>
              <w:rPr>
                <w:rFonts w:cstheme="minorHAnsi"/>
                <w:szCs w:val="21"/>
              </w:rPr>
              <w:t>7</w:t>
            </w:r>
          </w:p>
        </w:tc>
        <w:tc>
          <w:tcPr>
            <w:tcW w:w="568" w:type="pct"/>
            <w:vAlign w:val="center"/>
          </w:tcPr>
          <w:p w14:paraId="556E05A6" w14:textId="77777777" w:rsidR="007D1E74" w:rsidRDefault="00A95641">
            <w:pPr>
              <w:jc w:val="center"/>
              <w:rPr>
                <w:rFonts w:cstheme="minorHAnsi"/>
                <w:szCs w:val="21"/>
              </w:rPr>
            </w:pPr>
            <w:r>
              <w:rPr>
                <w:rFonts w:cstheme="minorHAnsi" w:hint="eastAsia"/>
                <w:szCs w:val="21"/>
              </w:rPr>
              <w:t>60</w:t>
            </w:r>
          </w:p>
        </w:tc>
        <w:tc>
          <w:tcPr>
            <w:tcW w:w="568" w:type="pct"/>
            <w:vAlign w:val="center"/>
          </w:tcPr>
          <w:p w14:paraId="78DB8FB6" w14:textId="77777777" w:rsidR="007D1E74" w:rsidRDefault="00A95641">
            <w:pPr>
              <w:jc w:val="center"/>
              <w:rPr>
                <w:rFonts w:cstheme="minorHAnsi"/>
                <w:szCs w:val="21"/>
              </w:rPr>
            </w:pPr>
            <w:r>
              <w:rPr>
                <w:rFonts w:cstheme="minorHAnsi" w:hint="eastAsia"/>
                <w:szCs w:val="21"/>
              </w:rPr>
              <w:t>50</w:t>
            </w:r>
          </w:p>
        </w:tc>
        <w:tc>
          <w:tcPr>
            <w:tcW w:w="353" w:type="pct"/>
            <w:vAlign w:val="center"/>
          </w:tcPr>
          <w:p w14:paraId="1A25343A" w14:textId="77777777" w:rsidR="007D1E74" w:rsidRDefault="00A95641">
            <w:pPr>
              <w:jc w:val="center"/>
              <w:rPr>
                <w:rFonts w:cstheme="minorHAnsi"/>
                <w:szCs w:val="21"/>
              </w:rPr>
            </w:pPr>
            <w:r>
              <w:rPr>
                <w:rFonts w:cstheme="minorHAnsi"/>
                <w:szCs w:val="21"/>
              </w:rPr>
              <w:t>达标</w:t>
            </w:r>
          </w:p>
        </w:tc>
      </w:tr>
      <w:tr w:rsidR="007D1E74" w14:paraId="4A99DBF5" w14:textId="77777777">
        <w:tc>
          <w:tcPr>
            <w:tcW w:w="610" w:type="pct"/>
            <w:vAlign w:val="center"/>
          </w:tcPr>
          <w:p w14:paraId="6BDCD78F" w14:textId="77777777" w:rsidR="007D1E74" w:rsidRDefault="00A95641">
            <w:pPr>
              <w:jc w:val="center"/>
              <w:rPr>
                <w:kern w:val="0"/>
                <w:szCs w:val="21"/>
              </w:rPr>
            </w:pPr>
            <w:r>
              <w:rPr>
                <w:rFonts w:hint="eastAsia"/>
                <w:kern w:val="0"/>
                <w:szCs w:val="21"/>
              </w:rPr>
              <w:t>C</w:t>
            </w:r>
            <w:r>
              <w:rPr>
                <w:kern w:val="0"/>
                <w:szCs w:val="21"/>
              </w:rPr>
              <w:t>1</w:t>
            </w:r>
          </w:p>
        </w:tc>
        <w:tc>
          <w:tcPr>
            <w:tcW w:w="724" w:type="pct"/>
            <w:vAlign w:val="center"/>
          </w:tcPr>
          <w:p w14:paraId="1246864F" w14:textId="77777777" w:rsidR="007D1E74" w:rsidRDefault="00A95641">
            <w:pPr>
              <w:jc w:val="center"/>
              <w:rPr>
                <w:rFonts w:cstheme="minorHAnsi"/>
                <w:szCs w:val="21"/>
              </w:rPr>
            </w:pPr>
            <w:r>
              <w:rPr>
                <w:rFonts w:cstheme="minorHAnsi" w:hint="eastAsia"/>
                <w:szCs w:val="21"/>
              </w:rPr>
              <w:t>5</w:t>
            </w:r>
            <w:r>
              <w:rPr>
                <w:rFonts w:cstheme="minorHAnsi"/>
                <w:szCs w:val="21"/>
              </w:rPr>
              <w:t>4</w:t>
            </w:r>
          </w:p>
        </w:tc>
        <w:tc>
          <w:tcPr>
            <w:tcW w:w="728" w:type="pct"/>
            <w:vAlign w:val="center"/>
          </w:tcPr>
          <w:p w14:paraId="369B33D4" w14:textId="77777777" w:rsidR="007D1E74" w:rsidRDefault="00A95641">
            <w:pPr>
              <w:jc w:val="center"/>
              <w:rPr>
                <w:rFonts w:cstheme="minorHAnsi"/>
                <w:szCs w:val="21"/>
              </w:rPr>
            </w:pPr>
            <w:r>
              <w:rPr>
                <w:rFonts w:cstheme="minorHAnsi" w:hint="eastAsia"/>
                <w:szCs w:val="21"/>
              </w:rPr>
              <w:t>4</w:t>
            </w:r>
            <w:r>
              <w:rPr>
                <w:rFonts w:cstheme="minorHAnsi"/>
                <w:szCs w:val="21"/>
              </w:rPr>
              <w:t>7</w:t>
            </w:r>
          </w:p>
        </w:tc>
        <w:tc>
          <w:tcPr>
            <w:tcW w:w="724" w:type="pct"/>
            <w:vAlign w:val="center"/>
          </w:tcPr>
          <w:p w14:paraId="7B202F84" w14:textId="77777777" w:rsidR="007D1E74" w:rsidRDefault="00A95641">
            <w:pPr>
              <w:jc w:val="center"/>
              <w:rPr>
                <w:rFonts w:cstheme="minorHAnsi"/>
                <w:szCs w:val="21"/>
              </w:rPr>
            </w:pPr>
            <w:r>
              <w:rPr>
                <w:rFonts w:cstheme="minorHAnsi" w:hint="eastAsia"/>
                <w:szCs w:val="21"/>
              </w:rPr>
              <w:t>5</w:t>
            </w:r>
            <w:r>
              <w:rPr>
                <w:rFonts w:cstheme="minorHAnsi"/>
                <w:szCs w:val="21"/>
              </w:rPr>
              <w:t>8</w:t>
            </w:r>
          </w:p>
        </w:tc>
        <w:tc>
          <w:tcPr>
            <w:tcW w:w="725" w:type="pct"/>
            <w:vAlign w:val="center"/>
          </w:tcPr>
          <w:p w14:paraId="1CCBE38D" w14:textId="77777777" w:rsidR="007D1E74" w:rsidRDefault="00A95641">
            <w:pPr>
              <w:jc w:val="center"/>
              <w:rPr>
                <w:rFonts w:cstheme="minorHAnsi"/>
                <w:szCs w:val="21"/>
              </w:rPr>
            </w:pPr>
            <w:r>
              <w:rPr>
                <w:rFonts w:cstheme="minorHAnsi" w:hint="eastAsia"/>
                <w:szCs w:val="21"/>
              </w:rPr>
              <w:t>4</w:t>
            </w:r>
            <w:r>
              <w:rPr>
                <w:rFonts w:cstheme="minorHAnsi"/>
                <w:szCs w:val="21"/>
              </w:rPr>
              <w:t>4</w:t>
            </w:r>
          </w:p>
        </w:tc>
        <w:tc>
          <w:tcPr>
            <w:tcW w:w="568" w:type="pct"/>
            <w:vAlign w:val="center"/>
          </w:tcPr>
          <w:p w14:paraId="54E550CB" w14:textId="77777777" w:rsidR="007D1E74" w:rsidRDefault="00A95641">
            <w:pPr>
              <w:jc w:val="center"/>
              <w:rPr>
                <w:rFonts w:cstheme="minorHAnsi"/>
                <w:szCs w:val="21"/>
              </w:rPr>
            </w:pPr>
            <w:r>
              <w:rPr>
                <w:rFonts w:cstheme="minorHAnsi" w:hint="eastAsia"/>
                <w:szCs w:val="21"/>
              </w:rPr>
              <w:t>60</w:t>
            </w:r>
          </w:p>
        </w:tc>
        <w:tc>
          <w:tcPr>
            <w:tcW w:w="568" w:type="pct"/>
            <w:vAlign w:val="center"/>
          </w:tcPr>
          <w:p w14:paraId="7C595AE7" w14:textId="77777777" w:rsidR="007D1E74" w:rsidRDefault="00A95641">
            <w:pPr>
              <w:jc w:val="center"/>
              <w:rPr>
                <w:rFonts w:cstheme="minorHAnsi"/>
                <w:szCs w:val="21"/>
              </w:rPr>
            </w:pPr>
            <w:r>
              <w:rPr>
                <w:rFonts w:cstheme="minorHAnsi" w:hint="eastAsia"/>
                <w:szCs w:val="21"/>
              </w:rPr>
              <w:t>50</w:t>
            </w:r>
          </w:p>
        </w:tc>
        <w:tc>
          <w:tcPr>
            <w:tcW w:w="353" w:type="pct"/>
            <w:vAlign w:val="center"/>
          </w:tcPr>
          <w:p w14:paraId="0B0143FC" w14:textId="77777777" w:rsidR="007D1E74" w:rsidRDefault="00A95641">
            <w:pPr>
              <w:jc w:val="center"/>
              <w:rPr>
                <w:rFonts w:cstheme="minorHAnsi"/>
                <w:szCs w:val="21"/>
              </w:rPr>
            </w:pPr>
            <w:r>
              <w:rPr>
                <w:rFonts w:cstheme="minorHAnsi"/>
                <w:szCs w:val="21"/>
              </w:rPr>
              <w:t>达标</w:t>
            </w:r>
          </w:p>
        </w:tc>
      </w:tr>
    </w:tbl>
    <w:p w14:paraId="0B9835CD" w14:textId="77777777" w:rsidR="007D1E74" w:rsidRDefault="00A95641">
      <w:pPr>
        <w:spacing w:line="360" w:lineRule="auto"/>
        <w:ind w:firstLineChars="200" w:firstLine="480"/>
        <w:rPr>
          <w:sz w:val="24"/>
          <w:szCs w:val="24"/>
        </w:rPr>
      </w:pPr>
      <w:r>
        <w:rPr>
          <w:rFonts w:hint="eastAsia"/>
          <w:sz w:val="24"/>
          <w:szCs w:val="24"/>
        </w:rPr>
        <w:t>结果</w:t>
      </w:r>
      <w:r>
        <w:rPr>
          <w:sz w:val="24"/>
          <w:szCs w:val="24"/>
        </w:rPr>
        <w:t>表明，</w:t>
      </w:r>
      <w:r>
        <w:rPr>
          <w:rFonts w:cs="Times New Roman"/>
          <w:sz w:val="24"/>
          <w:szCs w:val="24"/>
        </w:rPr>
        <w:t>区域</w:t>
      </w:r>
      <w:r>
        <w:rPr>
          <w:rFonts w:cs="Times New Roman" w:hint="eastAsia"/>
          <w:sz w:val="24"/>
          <w:szCs w:val="24"/>
        </w:rPr>
        <w:t>各监测点昼间、夜间噪声监测值</w:t>
      </w:r>
      <w:r>
        <w:rPr>
          <w:rFonts w:cs="Times New Roman"/>
          <w:sz w:val="24"/>
          <w:szCs w:val="24"/>
        </w:rPr>
        <w:t>均能达到</w:t>
      </w:r>
      <w:r>
        <w:rPr>
          <w:rFonts w:cs="Times New Roman" w:hint="eastAsia"/>
          <w:sz w:val="24"/>
          <w:szCs w:val="24"/>
        </w:rPr>
        <w:t>《声环境质量标准》（</w:t>
      </w:r>
      <w:r>
        <w:rPr>
          <w:rFonts w:cs="Times New Roman" w:hint="eastAsia"/>
          <w:sz w:val="24"/>
          <w:szCs w:val="24"/>
        </w:rPr>
        <w:t>GB3096-2008</w:t>
      </w:r>
      <w:r>
        <w:rPr>
          <w:rFonts w:cs="Times New Roman" w:hint="eastAsia"/>
          <w:sz w:val="24"/>
          <w:szCs w:val="24"/>
        </w:rPr>
        <w:t>）</w:t>
      </w:r>
      <w:r>
        <w:rPr>
          <w:rFonts w:cs="Times New Roman"/>
          <w:sz w:val="24"/>
          <w:szCs w:val="24"/>
        </w:rPr>
        <w:t>2</w:t>
      </w:r>
      <w:r>
        <w:rPr>
          <w:rFonts w:cs="Times New Roman" w:hint="eastAsia"/>
          <w:sz w:val="24"/>
          <w:szCs w:val="24"/>
        </w:rPr>
        <w:t>类标准</w:t>
      </w:r>
      <w:r>
        <w:rPr>
          <w:sz w:val="24"/>
          <w:szCs w:val="24"/>
        </w:rPr>
        <w:t>。</w:t>
      </w:r>
    </w:p>
    <w:p w14:paraId="6954AD3F" w14:textId="77777777" w:rsidR="007D1E74" w:rsidRDefault="00A95641">
      <w:pPr>
        <w:pStyle w:val="a8"/>
      </w:pPr>
      <w:r>
        <w:rPr>
          <w:rFonts w:hint="eastAsia"/>
        </w:rPr>
        <w:t>生态环境现状调查与评价</w:t>
      </w:r>
    </w:p>
    <w:p w14:paraId="7087376E" w14:textId="77777777" w:rsidR="007D1E74" w:rsidRDefault="00A95641">
      <w:pPr>
        <w:pStyle w:val="a9"/>
      </w:pPr>
      <w:r>
        <w:rPr>
          <w:rFonts w:hint="eastAsia"/>
        </w:rPr>
        <w:t>陆生生态环境现状调查与评价</w:t>
      </w:r>
    </w:p>
    <w:p w14:paraId="0E66663C" w14:textId="77777777" w:rsidR="007D1E74" w:rsidRDefault="00A95641">
      <w:pPr>
        <w:pStyle w:val="aa"/>
      </w:pPr>
      <w:r>
        <w:rPr>
          <w:rFonts w:hint="eastAsia"/>
        </w:rPr>
        <w:t>调查时间、方法</w:t>
      </w:r>
    </w:p>
    <w:p w14:paraId="096CB53C" w14:textId="77777777" w:rsidR="007D1E74" w:rsidRDefault="00A95641">
      <w:pPr>
        <w:pStyle w:val="afffff7"/>
        <w:ind w:firstLine="482"/>
      </w:pPr>
      <w:r>
        <w:rPr>
          <w:rFonts w:hint="eastAsia"/>
        </w:rPr>
        <w:t>1</w:t>
      </w:r>
      <w:r>
        <w:rPr>
          <w:rFonts w:hint="eastAsia"/>
        </w:rPr>
        <w:t>、调查时间</w:t>
      </w:r>
    </w:p>
    <w:p w14:paraId="2A71836F" w14:textId="77777777" w:rsidR="007D1E74" w:rsidRDefault="00A95641">
      <w:pPr>
        <w:spacing w:line="360" w:lineRule="auto"/>
        <w:ind w:firstLineChars="200" w:firstLine="480"/>
        <w:rPr>
          <w:sz w:val="24"/>
          <w:szCs w:val="24"/>
        </w:rPr>
      </w:pPr>
      <w:r>
        <w:rPr>
          <w:rFonts w:hint="eastAsia"/>
          <w:sz w:val="24"/>
          <w:szCs w:val="24"/>
        </w:rPr>
        <w:t>本次野外调查时间为</w:t>
      </w:r>
      <w:r>
        <w:rPr>
          <w:rFonts w:hint="eastAsia"/>
          <w:sz w:val="24"/>
          <w:szCs w:val="24"/>
        </w:rPr>
        <w:t>2021</w:t>
      </w:r>
      <w:r>
        <w:rPr>
          <w:rFonts w:hint="eastAsia"/>
          <w:sz w:val="24"/>
          <w:szCs w:val="24"/>
        </w:rPr>
        <w:t>年</w:t>
      </w:r>
      <w:r>
        <w:rPr>
          <w:rFonts w:hint="eastAsia"/>
          <w:sz w:val="24"/>
          <w:szCs w:val="24"/>
        </w:rPr>
        <w:t>8-9</w:t>
      </w:r>
      <w:r>
        <w:rPr>
          <w:rFonts w:hint="eastAsia"/>
          <w:sz w:val="24"/>
          <w:szCs w:val="24"/>
        </w:rPr>
        <w:t>月进行了初次调查，</w:t>
      </w:r>
      <w:r>
        <w:rPr>
          <w:rFonts w:hint="eastAsia"/>
          <w:sz w:val="24"/>
          <w:szCs w:val="24"/>
        </w:rPr>
        <w:t>2022</w:t>
      </w:r>
      <w:r>
        <w:rPr>
          <w:rFonts w:hint="eastAsia"/>
          <w:sz w:val="24"/>
          <w:szCs w:val="24"/>
        </w:rPr>
        <w:t>年</w:t>
      </w:r>
      <w:r>
        <w:rPr>
          <w:rFonts w:hint="eastAsia"/>
          <w:sz w:val="24"/>
          <w:szCs w:val="24"/>
        </w:rPr>
        <w:t>3</w:t>
      </w:r>
      <w:r>
        <w:rPr>
          <w:rFonts w:hint="eastAsia"/>
          <w:sz w:val="24"/>
          <w:szCs w:val="24"/>
        </w:rPr>
        <w:t>月进行了补充调查。</w:t>
      </w:r>
    </w:p>
    <w:p w14:paraId="5FCBFB7C" w14:textId="77777777" w:rsidR="007D1E74" w:rsidRDefault="00A95641">
      <w:pPr>
        <w:pStyle w:val="afffff7"/>
        <w:ind w:firstLine="482"/>
      </w:pPr>
      <w:r>
        <w:t>2</w:t>
      </w:r>
      <w:r>
        <w:t>、</w:t>
      </w:r>
      <w:r>
        <w:rPr>
          <w:rFonts w:hint="eastAsia"/>
        </w:rPr>
        <w:t>参考水平年</w:t>
      </w:r>
    </w:p>
    <w:p w14:paraId="2F7BACCC" w14:textId="77777777" w:rsidR="007D1E74" w:rsidRDefault="00A95641">
      <w:pPr>
        <w:spacing w:line="360" w:lineRule="auto"/>
        <w:ind w:firstLineChars="200" w:firstLine="480"/>
        <w:rPr>
          <w:sz w:val="24"/>
          <w:szCs w:val="24"/>
        </w:rPr>
      </w:pPr>
      <w:r>
        <w:rPr>
          <w:rFonts w:hint="eastAsia"/>
          <w:sz w:val="24"/>
          <w:szCs w:val="24"/>
        </w:rPr>
        <w:t>以现状年（</w:t>
      </w:r>
      <w:r>
        <w:rPr>
          <w:rFonts w:hint="eastAsia"/>
          <w:sz w:val="24"/>
          <w:szCs w:val="24"/>
        </w:rPr>
        <w:t>2021</w:t>
      </w:r>
      <w:r>
        <w:rPr>
          <w:rFonts w:hint="eastAsia"/>
          <w:sz w:val="24"/>
          <w:szCs w:val="24"/>
        </w:rPr>
        <w:t>年）野外考察成果为主体，适当利用历史文献资料。</w:t>
      </w:r>
    </w:p>
    <w:p w14:paraId="36A0E567" w14:textId="77777777" w:rsidR="007D1E74" w:rsidRDefault="00A95641">
      <w:pPr>
        <w:pStyle w:val="afffff7"/>
        <w:ind w:firstLine="482"/>
      </w:pPr>
      <w:r>
        <w:t>3</w:t>
      </w:r>
      <w:r>
        <w:t>、</w:t>
      </w:r>
      <w:r>
        <w:rPr>
          <w:rFonts w:hint="eastAsia"/>
        </w:rPr>
        <w:t>评价时限</w:t>
      </w:r>
    </w:p>
    <w:p w14:paraId="558D6B58" w14:textId="77777777" w:rsidR="007D1E74" w:rsidRDefault="00A95641">
      <w:pPr>
        <w:spacing w:line="360" w:lineRule="auto"/>
        <w:ind w:firstLineChars="200" w:firstLine="480"/>
        <w:rPr>
          <w:sz w:val="24"/>
          <w:szCs w:val="24"/>
        </w:rPr>
      </w:pPr>
      <w:r>
        <w:rPr>
          <w:rFonts w:hint="eastAsia"/>
          <w:sz w:val="24"/>
          <w:szCs w:val="24"/>
        </w:rPr>
        <w:t>根据管道穿越区、阀室（组）的生态环境现状，管线、阀室（组）施工及运营特点及其对陆生生态系统、野生动植物多样性及景观带来影响等因素，确定管线、阀室（组）施工期和运营期为评价的时限。</w:t>
      </w:r>
    </w:p>
    <w:p w14:paraId="2D5C0163" w14:textId="77777777" w:rsidR="007D1E74" w:rsidRDefault="00A95641">
      <w:pPr>
        <w:pStyle w:val="afffff7"/>
        <w:ind w:firstLine="482"/>
      </w:pPr>
      <w:r>
        <w:rPr>
          <w:rFonts w:hint="eastAsia"/>
        </w:rPr>
        <w:t>4</w:t>
      </w:r>
      <w:r>
        <w:rPr>
          <w:rFonts w:hint="eastAsia"/>
        </w:rPr>
        <w:t>、</w:t>
      </w:r>
      <w:r>
        <w:t>陆生生态调查及评价范围</w:t>
      </w:r>
    </w:p>
    <w:p w14:paraId="3DADF474" w14:textId="77777777" w:rsidR="007D1E74" w:rsidRDefault="00A95641">
      <w:pPr>
        <w:spacing w:line="360" w:lineRule="auto"/>
        <w:ind w:firstLineChars="200" w:firstLine="480"/>
        <w:rPr>
          <w:sz w:val="24"/>
          <w:szCs w:val="24"/>
        </w:rPr>
      </w:pPr>
      <w:r>
        <w:rPr>
          <w:rFonts w:hint="eastAsia"/>
          <w:sz w:val="24"/>
          <w:szCs w:val="24"/>
        </w:rPr>
        <w:t>生态影响评价应能够充分体现生态完整性，涵盖评价项目全部活动的直接影响区域和间接影响区域。评价工作范围应依据评价项目对生态因子的影响方式、影响程度和生态因子之间的相互影响和相互依存关系确定。</w:t>
      </w:r>
    </w:p>
    <w:p w14:paraId="5587D68A" w14:textId="77777777" w:rsidR="007D1E74" w:rsidRDefault="00A95641">
      <w:pPr>
        <w:spacing w:line="360" w:lineRule="auto"/>
        <w:ind w:firstLineChars="200" w:firstLine="482"/>
        <w:rPr>
          <w:b/>
          <w:sz w:val="24"/>
          <w:szCs w:val="24"/>
        </w:rPr>
      </w:pPr>
      <w:r>
        <w:rPr>
          <w:rFonts w:hint="eastAsia"/>
          <w:b/>
          <w:sz w:val="24"/>
          <w:szCs w:val="24"/>
        </w:rPr>
        <w:t>（</w:t>
      </w:r>
      <w:r>
        <w:rPr>
          <w:rFonts w:hint="eastAsia"/>
          <w:b/>
          <w:sz w:val="24"/>
          <w:szCs w:val="24"/>
        </w:rPr>
        <w:t>1</w:t>
      </w:r>
      <w:r>
        <w:rPr>
          <w:rFonts w:hint="eastAsia"/>
          <w:b/>
          <w:sz w:val="24"/>
          <w:szCs w:val="24"/>
        </w:rPr>
        <w:t>）直接影响区和间接影响区的确定</w:t>
      </w:r>
    </w:p>
    <w:p w14:paraId="573E4226" w14:textId="77777777" w:rsidR="007D1E74" w:rsidRDefault="00A95641">
      <w:pPr>
        <w:spacing w:line="360" w:lineRule="auto"/>
        <w:ind w:firstLineChars="200" w:firstLine="480"/>
        <w:rPr>
          <w:sz w:val="24"/>
          <w:szCs w:val="24"/>
        </w:rPr>
      </w:pPr>
      <w:r>
        <w:rPr>
          <w:rFonts w:hint="eastAsia"/>
          <w:sz w:val="24"/>
          <w:szCs w:val="24"/>
        </w:rPr>
        <w:t>直接影响区指修建通南巴气田马</w:t>
      </w:r>
      <w:r>
        <w:rPr>
          <w:rFonts w:hint="eastAsia"/>
          <w:sz w:val="24"/>
          <w:szCs w:val="24"/>
        </w:rPr>
        <w:t>1</w:t>
      </w:r>
      <w:r>
        <w:rPr>
          <w:rFonts w:hint="eastAsia"/>
          <w:sz w:val="24"/>
          <w:szCs w:val="24"/>
        </w:rPr>
        <w:t>及马</w:t>
      </w:r>
      <w:r>
        <w:rPr>
          <w:rFonts w:hint="eastAsia"/>
          <w:sz w:val="24"/>
          <w:szCs w:val="24"/>
        </w:rPr>
        <w:t>2</w:t>
      </w:r>
      <w:r>
        <w:rPr>
          <w:rFonts w:hint="eastAsia"/>
          <w:sz w:val="24"/>
          <w:szCs w:val="24"/>
        </w:rPr>
        <w:t>地块产能建设项目（二期）地面集输工程占地或开挖的区域，以及施工人员人为活动、生活废弃物、管线、阀室运营产生的废气、废水、噪声、垃圾等带来的直接影响区域。</w:t>
      </w:r>
    </w:p>
    <w:p w14:paraId="0A7C99BA" w14:textId="77777777" w:rsidR="007D1E74" w:rsidRDefault="00A95641">
      <w:pPr>
        <w:spacing w:line="360" w:lineRule="auto"/>
        <w:ind w:firstLineChars="200" w:firstLine="480"/>
        <w:rPr>
          <w:sz w:val="24"/>
          <w:szCs w:val="24"/>
        </w:rPr>
      </w:pPr>
      <w:r>
        <w:rPr>
          <w:rFonts w:hint="eastAsia"/>
          <w:sz w:val="24"/>
          <w:szCs w:val="24"/>
        </w:rPr>
        <w:t>间接影响区指工程施工和管线、阀室运营对自然资源、生态系统和景观等影响带来的潜在影响、生态风险的区域。</w:t>
      </w:r>
    </w:p>
    <w:p w14:paraId="692239F4" w14:textId="77777777" w:rsidR="007D1E74" w:rsidRDefault="00A95641">
      <w:pPr>
        <w:spacing w:line="360" w:lineRule="auto"/>
        <w:ind w:firstLineChars="200" w:firstLine="482"/>
        <w:rPr>
          <w:b/>
          <w:sz w:val="24"/>
          <w:szCs w:val="24"/>
        </w:rPr>
      </w:pPr>
      <w:r>
        <w:rPr>
          <w:rFonts w:hint="eastAsia"/>
          <w:b/>
          <w:sz w:val="24"/>
          <w:szCs w:val="24"/>
        </w:rPr>
        <w:t>（</w:t>
      </w:r>
      <w:r>
        <w:rPr>
          <w:b/>
          <w:sz w:val="24"/>
          <w:szCs w:val="24"/>
        </w:rPr>
        <w:t>2</w:t>
      </w:r>
      <w:r>
        <w:rPr>
          <w:rFonts w:hint="eastAsia"/>
          <w:b/>
          <w:sz w:val="24"/>
          <w:szCs w:val="24"/>
        </w:rPr>
        <w:t>）陆生生态的调查及评价范围</w:t>
      </w:r>
    </w:p>
    <w:p w14:paraId="6116271F" w14:textId="77777777" w:rsidR="007D1E74" w:rsidRDefault="00A95641">
      <w:pPr>
        <w:spacing w:line="360" w:lineRule="auto"/>
        <w:ind w:firstLineChars="200" w:firstLine="480"/>
        <w:rPr>
          <w:sz w:val="24"/>
          <w:szCs w:val="24"/>
        </w:rPr>
      </w:pPr>
      <w:r>
        <w:rPr>
          <w:rFonts w:hint="eastAsia"/>
          <w:sz w:val="24"/>
          <w:szCs w:val="24"/>
        </w:rPr>
        <w:t>评价区段：通南巴气田马</w:t>
      </w:r>
      <w:r>
        <w:rPr>
          <w:rFonts w:hint="eastAsia"/>
          <w:sz w:val="24"/>
          <w:szCs w:val="24"/>
        </w:rPr>
        <w:t>1</w:t>
      </w:r>
      <w:r>
        <w:rPr>
          <w:rFonts w:hint="eastAsia"/>
          <w:sz w:val="24"/>
          <w:szCs w:val="24"/>
        </w:rPr>
        <w:t>及马</w:t>
      </w:r>
      <w:r>
        <w:rPr>
          <w:rFonts w:hint="eastAsia"/>
          <w:sz w:val="24"/>
          <w:szCs w:val="24"/>
        </w:rPr>
        <w:t>2</w:t>
      </w:r>
      <w:r>
        <w:rPr>
          <w:rFonts w:hint="eastAsia"/>
          <w:sz w:val="24"/>
          <w:szCs w:val="24"/>
        </w:rPr>
        <w:t>地块产能建设项目（二期）地面集输工程中各作</w:t>
      </w:r>
      <w:r>
        <w:rPr>
          <w:rFonts w:hint="eastAsia"/>
          <w:sz w:val="24"/>
          <w:szCs w:val="24"/>
        </w:rPr>
        <w:lastRenderedPageBreak/>
        <w:t>业点及其周边地带。</w:t>
      </w:r>
    </w:p>
    <w:p w14:paraId="29E7B62A" w14:textId="77777777" w:rsidR="007D1E74" w:rsidRDefault="00A95641">
      <w:pPr>
        <w:spacing w:line="360" w:lineRule="auto"/>
        <w:ind w:firstLineChars="200" w:firstLine="480"/>
        <w:rPr>
          <w:sz w:val="24"/>
          <w:szCs w:val="24"/>
        </w:rPr>
      </w:pPr>
      <w:r>
        <w:rPr>
          <w:rFonts w:hint="eastAsia"/>
          <w:sz w:val="24"/>
          <w:szCs w:val="24"/>
        </w:rPr>
        <w:t>评价范围：本项目管线沿线、阀室平坦开阔区周边约</w:t>
      </w:r>
      <w:r>
        <w:rPr>
          <w:rFonts w:hint="eastAsia"/>
          <w:sz w:val="24"/>
          <w:szCs w:val="24"/>
        </w:rPr>
        <w:t>1000m</w:t>
      </w:r>
      <w:r>
        <w:rPr>
          <w:rFonts w:hint="eastAsia"/>
          <w:sz w:val="24"/>
          <w:szCs w:val="24"/>
        </w:rPr>
        <w:t>的区域或山岭沟谷区周边第一重自然山脊范围内。</w:t>
      </w:r>
    </w:p>
    <w:p w14:paraId="3944444C" w14:textId="77777777" w:rsidR="007D1E74" w:rsidRDefault="00A95641">
      <w:pPr>
        <w:spacing w:line="360" w:lineRule="auto"/>
        <w:ind w:firstLineChars="200" w:firstLine="480"/>
        <w:rPr>
          <w:sz w:val="24"/>
          <w:szCs w:val="24"/>
        </w:rPr>
      </w:pPr>
      <w:r>
        <w:rPr>
          <w:rFonts w:hint="eastAsia"/>
          <w:sz w:val="24"/>
          <w:szCs w:val="24"/>
        </w:rPr>
        <w:t>重点评价工程：新建集气干线</w:t>
      </w:r>
      <w:r>
        <w:rPr>
          <w:rFonts w:hint="eastAsia"/>
          <w:sz w:val="24"/>
          <w:szCs w:val="24"/>
        </w:rPr>
        <w:t>29.8km</w:t>
      </w:r>
      <w:r>
        <w:rPr>
          <w:rFonts w:hint="eastAsia"/>
          <w:sz w:val="24"/>
          <w:szCs w:val="24"/>
        </w:rPr>
        <w:t>，集气支线</w:t>
      </w:r>
      <w:r>
        <w:rPr>
          <w:rFonts w:hint="eastAsia"/>
          <w:sz w:val="24"/>
          <w:szCs w:val="24"/>
        </w:rPr>
        <w:t>8.0km</w:t>
      </w:r>
      <w:r>
        <w:rPr>
          <w:rFonts w:hint="eastAsia"/>
          <w:sz w:val="24"/>
          <w:szCs w:val="24"/>
        </w:rPr>
        <w:t>。新建</w:t>
      </w:r>
      <w:r>
        <w:rPr>
          <w:rFonts w:hint="eastAsia"/>
          <w:sz w:val="24"/>
          <w:szCs w:val="24"/>
        </w:rPr>
        <w:t>1#</w:t>
      </w:r>
      <w:r>
        <w:rPr>
          <w:rFonts w:hint="eastAsia"/>
          <w:sz w:val="24"/>
          <w:szCs w:val="24"/>
        </w:rPr>
        <w:t>阀室、新建</w:t>
      </w:r>
      <w:r>
        <w:rPr>
          <w:rFonts w:hint="eastAsia"/>
          <w:sz w:val="24"/>
          <w:szCs w:val="24"/>
        </w:rPr>
        <w:t>2#</w:t>
      </w:r>
      <w:r>
        <w:rPr>
          <w:rFonts w:hint="eastAsia"/>
          <w:sz w:val="24"/>
          <w:szCs w:val="24"/>
        </w:rPr>
        <w:t>、</w:t>
      </w:r>
      <w:r>
        <w:rPr>
          <w:rFonts w:hint="eastAsia"/>
          <w:sz w:val="24"/>
          <w:szCs w:val="24"/>
        </w:rPr>
        <w:t>3#</w:t>
      </w:r>
      <w:r>
        <w:rPr>
          <w:rFonts w:hint="eastAsia"/>
          <w:sz w:val="24"/>
          <w:szCs w:val="24"/>
        </w:rPr>
        <w:t>插输阀组、</w:t>
      </w:r>
      <w:r>
        <w:rPr>
          <w:rFonts w:hint="eastAsia"/>
          <w:sz w:val="24"/>
          <w:szCs w:val="24"/>
        </w:rPr>
        <w:t>4#</w:t>
      </w:r>
      <w:r>
        <w:rPr>
          <w:rFonts w:hint="eastAsia"/>
          <w:sz w:val="24"/>
          <w:szCs w:val="24"/>
        </w:rPr>
        <w:t>清管阀组，以及</w:t>
      </w:r>
      <w:r>
        <w:rPr>
          <w:rFonts w:hint="eastAsia"/>
          <w:sz w:val="24"/>
          <w:szCs w:val="24"/>
        </w:rPr>
        <w:t>3</w:t>
      </w:r>
      <w:r>
        <w:rPr>
          <w:rFonts w:hint="eastAsia"/>
          <w:sz w:val="24"/>
          <w:szCs w:val="24"/>
        </w:rPr>
        <w:t>个临时材料堆场，</w:t>
      </w:r>
      <w:r>
        <w:rPr>
          <w:rFonts w:hint="eastAsia"/>
          <w:sz w:val="24"/>
          <w:szCs w:val="24"/>
        </w:rPr>
        <w:t>2km</w:t>
      </w:r>
      <w:r>
        <w:rPr>
          <w:rFonts w:hint="eastAsia"/>
          <w:sz w:val="24"/>
          <w:szCs w:val="24"/>
        </w:rPr>
        <w:t>施工便道等。</w:t>
      </w:r>
    </w:p>
    <w:p w14:paraId="0AFCE5B0" w14:textId="77777777" w:rsidR="007D1E74" w:rsidRDefault="00A95641">
      <w:pPr>
        <w:spacing w:line="360" w:lineRule="auto"/>
        <w:ind w:firstLineChars="200" w:firstLine="480"/>
        <w:rPr>
          <w:sz w:val="24"/>
          <w:szCs w:val="24"/>
        </w:rPr>
      </w:pPr>
      <w:r>
        <w:rPr>
          <w:rFonts w:hint="eastAsia"/>
          <w:sz w:val="24"/>
          <w:szCs w:val="24"/>
        </w:rPr>
        <w:t>由此，划定评价区域面积为</w:t>
      </w:r>
      <w:r>
        <w:rPr>
          <w:rFonts w:hint="eastAsia"/>
          <w:sz w:val="24"/>
          <w:szCs w:val="24"/>
        </w:rPr>
        <w:t>11044.20 hm</w:t>
      </w:r>
      <w:r>
        <w:rPr>
          <w:rFonts w:hint="eastAsia"/>
          <w:sz w:val="24"/>
          <w:szCs w:val="24"/>
          <w:vertAlign w:val="superscript"/>
        </w:rPr>
        <w:t>2</w:t>
      </w:r>
      <w:r>
        <w:rPr>
          <w:rFonts w:hint="eastAsia"/>
          <w:sz w:val="24"/>
          <w:szCs w:val="24"/>
        </w:rPr>
        <w:t>，评价区海拔范围是</w:t>
      </w:r>
      <w:r>
        <w:rPr>
          <w:rFonts w:hint="eastAsia"/>
          <w:sz w:val="24"/>
          <w:szCs w:val="24"/>
        </w:rPr>
        <w:t>390~1250m</w:t>
      </w:r>
      <w:r>
        <w:rPr>
          <w:rFonts w:hint="eastAsia"/>
          <w:sz w:val="24"/>
          <w:szCs w:val="24"/>
        </w:rPr>
        <w:t>。</w:t>
      </w:r>
    </w:p>
    <w:p w14:paraId="23044EC1" w14:textId="77777777" w:rsidR="007D1E74" w:rsidRDefault="00A95641">
      <w:pPr>
        <w:pStyle w:val="afffff7"/>
        <w:ind w:firstLine="482"/>
      </w:pPr>
      <w:r>
        <w:t>5</w:t>
      </w:r>
      <w:r>
        <w:rPr>
          <w:rFonts w:hint="eastAsia"/>
        </w:rPr>
        <w:t>、陆生生态调查评价方法</w:t>
      </w:r>
    </w:p>
    <w:p w14:paraId="774E1654" w14:textId="77777777" w:rsidR="007D1E74" w:rsidRDefault="00A95641">
      <w:pPr>
        <w:spacing w:line="360" w:lineRule="auto"/>
        <w:ind w:firstLineChars="200" w:firstLine="480"/>
        <w:rPr>
          <w:sz w:val="24"/>
          <w:szCs w:val="24"/>
        </w:rPr>
      </w:pPr>
      <w:r>
        <w:rPr>
          <w:rFonts w:hint="eastAsia"/>
          <w:sz w:val="24"/>
          <w:szCs w:val="24"/>
        </w:rPr>
        <w:t>采用植物区系、植被、两栖、爬行、鸟类与兽类、鱼类等专业的野外工作规范要求进行。具体调查方法分述如下：</w:t>
      </w:r>
    </w:p>
    <w:p w14:paraId="09BB9B04" w14:textId="77777777" w:rsidR="007D1E74" w:rsidRDefault="00A95641">
      <w:pPr>
        <w:spacing w:line="360" w:lineRule="auto"/>
        <w:ind w:firstLineChars="200" w:firstLine="482"/>
        <w:rPr>
          <w:b/>
          <w:sz w:val="24"/>
          <w:szCs w:val="24"/>
        </w:rPr>
      </w:pPr>
      <w:r>
        <w:rPr>
          <w:rFonts w:hint="eastAsia"/>
          <w:b/>
          <w:sz w:val="24"/>
          <w:szCs w:val="24"/>
        </w:rPr>
        <w:t>（</w:t>
      </w:r>
      <w:r>
        <w:rPr>
          <w:rFonts w:hint="eastAsia"/>
          <w:b/>
          <w:sz w:val="24"/>
          <w:szCs w:val="24"/>
        </w:rPr>
        <w:t>1</w:t>
      </w:r>
      <w:r>
        <w:rPr>
          <w:rFonts w:hint="eastAsia"/>
          <w:b/>
          <w:sz w:val="24"/>
          <w:szCs w:val="24"/>
        </w:rPr>
        <w:t>）植物区系和植被</w:t>
      </w:r>
    </w:p>
    <w:p w14:paraId="7D369DB9" w14:textId="77777777" w:rsidR="007D1E74" w:rsidRDefault="00A95641">
      <w:pPr>
        <w:spacing w:line="360" w:lineRule="auto"/>
        <w:ind w:firstLineChars="200" w:firstLine="480"/>
        <w:rPr>
          <w:sz w:val="24"/>
          <w:szCs w:val="24"/>
        </w:rPr>
      </w:pPr>
      <w:r>
        <w:rPr>
          <w:rFonts w:hint="eastAsia"/>
          <w:sz w:val="24"/>
          <w:szCs w:val="24"/>
        </w:rPr>
        <w:t>野外工作内容包括植被调查和植物种类调查。</w:t>
      </w:r>
    </w:p>
    <w:p w14:paraId="334DC808" w14:textId="77777777" w:rsidR="007D1E74" w:rsidRDefault="00A95641">
      <w:pPr>
        <w:spacing w:line="360" w:lineRule="auto"/>
        <w:ind w:firstLineChars="200" w:firstLine="482"/>
        <w:rPr>
          <w:b/>
          <w:sz w:val="24"/>
          <w:szCs w:val="24"/>
        </w:rPr>
      </w:pPr>
      <w:r>
        <w:rPr>
          <w:rFonts w:hint="eastAsia"/>
          <w:b/>
          <w:sz w:val="24"/>
          <w:szCs w:val="24"/>
        </w:rPr>
        <w:t>①植物种类调查</w:t>
      </w:r>
    </w:p>
    <w:p w14:paraId="49FF9E44" w14:textId="77777777" w:rsidR="007D1E74" w:rsidRDefault="00A95641">
      <w:pPr>
        <w:spacing w:line="360" w:lineRule="auto"/>
        <w:ind w:firstLineChars="200" w:firstLine="480"/>
        <w:rPr>
          <w:sz w:val="24"/>
          <w:szCs w:val="24"/>
        </w:rPr>
      </w:pPr>
      <w:r>
        <w:rPr>
          <w:rFonts w:hint="eastAsia"/>
          <w:sz w:val="24"/>
          <w:szCs w:val="24"/>
        </w:rPr>
        <w:t>在评价区域内沿管线、阀室（组）等工程附近的现有道路设置调查主样线，再设置若干条垂直方向和水平方向的、贯穿工程影响区域不同生境的支样线。样方的设置采取典型抽样法；在样方上记录植物种类、分布海拔、数量、生境等相关信息，对珍稀特有物种应用</w:t>
      </w:r>
      <w:r>
        <w:rPr>
          <w:rFonts w:hint="eastAsia"/>
          <w:sz w:val="24"/>
          <w:szCs w:val="24"/>
        </w:rPr>
        <w:t>GPS</w:t>
      </w:r>
      <w:r>
        <w:rPr>
          <w:rFonts w:hint="eastAsia"/>
          <w:sz w:val="24"/>
          <w:szCs w:val="24"/>
        </w:rPr>
        <w:t>进行定位，在样线上填写各类群《植物调查线路表》。进行样方调查时，填写《植物样方调查表》，包括样方的物种种类、数量、经纬度、海拔和生境状况等内容。物种识别主要依靠野外现场鉴定，对鉴定有困难的物种细部进行拍摄照片、记录物种的形态学特征、物候等方式，回到驻地后再进行准确鉴定。</w:t>
      </w:r>
    </w:p>
    <w:p w14:paraId="6E677BDB" w14:textId="77777777" w:rsidR="007D1E74" w:rsidRDefault="00A95641">
      <w:pPr>
        <w:spacing w:line="360" w:lineRule="auto"/>
        <w:ind w:firstLineChars="200" w:firstLine="482"/>
        <w:rPr>
          <w:rFonts w:cs="Times New Roman"/>
          <w:b/>
          <w:sz w:val="24"/>
          <w:szCs w:val="24"/>
        </w:rPr>
      </w:pPr>
      <w:r>
        <w:rPr>
          <w:rFonts w:cs="Times New Roman" w:hint="eastAsia"/>
          <w:b/>
          <w:sz w:val="24"/>
          <w:szCs w:val="24"/>
        </w:rPr>
        <w:t>②</w:t>
      </w:r>
      <w:r>
        <w:rPr>
          <w:rFonts w:cs="Times New Roman"/>
          <w:b/>
          <w:sz w:val="24"/>
          <w:szCs w:val="24"/>
        </w:rPr>
        <w:t>植被调查</w:t>
      </w:r>
    </w:p>
    <w:p w14:paraId="130762A5" w14:textId="77777777" w:rsidR="007D1E74" w:rsidRDefault="00A95641">
      <w:pPr>
        <w:spacing w:line="360" w:lineRule="auto"/>
        <w:ind w:firstLineChars="200" w:firstLine="480"/>
        <w:rPr>
          <w:rFonts w:cs="Times New Roman"/>
          <w:sz w:val="24"/>
          <w:szCs w:val="24"/>
        </w:rPr>
      </w:pPr>
      <w:r>
        <w:rPr>
          <w:rFonts w:cs="Times New Roman"/>
          <w:sz w:val="24"/>
          <w:szCs w:val="24"/>
        </w:rPr>
        <w:t>植物群落调查中对代表植被垂直带谱的典型植物群落采用样方法调查其物种组成和相对数量。沿样线随机确定群落抽样样方，规格分成乔木</w:t>
      </w:r>
      <w:r>
        <w:rPr>
          <w:rFonts w:cs="Times New Roman" w:hint="eastAsia"/>
          <w:sz w:val="24"/>
          <w:szCs w:val="24"/>
        </w:rPr>
        <w:t>（</w:t>
      </w:r>
      <w:r>
        <w:rPr>
          <w:rFonts w:cs="Times New Roman"/>
          <w:sz w:val="24"/>
          <w:szCs w:val="24"/>
        </w:rPr>
        <w:t>10m×10m</w:t>
      </w:r>
      <w:r>
        <w:rPr>
          <w:rFonts w:cs="Times New Roman"/>
          <w:sz w:val="24"/>
          <w:szCs w:val="24"/>
        </w:rPr>
        <w:t>）、灌木</w:t>
      </w:r>
      <w:r>
        <w:rPr>
          <w:rFonts w:cs="Times New Roman" w:hint="eastAsia"/>
          <w:sz w:val="24"/>
          <w:szCs w:val="24"/>
        </w:rPr>
        <w:t>（</w:t>
      </w:r>
      <w:r>
        <w:rPr>
          <w:rFonts w:cs="Times New Roman"/>
          <w:sz w:val="24"/>
          <w:szCs w:val="24"/>
        </w:rPr>
        <w:t>5m×5m</w:t>
      </w:r>
      <w:r>
        <w:rPr>
          <w:rFonts w:cs="Times New Roman"/>
          <w:sz w:val="24"/>
          <w:szCs w:val="24"/>
        </w:rPr>
        <w:t>）和草本</w:t>
      </w:r>
      <w:r>
        <w:rPr>
          <w:rFonts w:cs="Times New Roman" w:hint="eastAsia"/>
          <w:sz w:val="24"/>
          <w:szCs w:val="24"/>
        </w:rPr>
        <w:t>（</w:t>
      </w:r>
      <w:r>
        <w:rPr>
          <w:rFonts w:cs="Times New Roman"/>
          <w:sz w:val="24"/>
          <w:szCs w:val="24"/>
        </w:rPr>
        <w:t>高草</w:t>
      </w:r>
      <w:r>
        <w:rPr>
          <w:rFonts w:cs="Times New Roman"/>
          <w:sz w:val="24"/>
          <w:szCs w:val="24"/>
        </w:rPr>
        <w:t>2m×2m</w:t>
      </w:r>
      <w:r>
        <w:rPr>
          <w:rFonts w:cs="Times New Roman"/>
          <w:sz w:val="24"/>
          <w:szCs w:val="24"/>
        </w:rPr>
        <w:t>、低草</w:t>
      </w:r>
      <w:r>
        <w:rPr>
          <w:rFonts w:cs="Times New Roman"/>
          <w:sz w:val="24"/>
          <w:szCs w:val="24"/>
        </w:rPr>
        <w:t>1m×1m</w:t>
      </w:r>
      <w:r>
        <w:rPr>
          <w:rFonts w:cs="Times New Roman"/>
          <w:sz w:val="24"/>
          <w:szCs w:val="24"/>
        </w:rPr>
        <w:t>）</w:t>
      </w:r>
      <w:r>
        <w:rPr>
          <w:rFonts w:cs="Times New Roman"/>
          <w:sz w:val="24"/>
          <w:szCs w:val="24"/>
        </w:rPr>
        <w:t>3</w:t>
      </w:r>
      <w:r>
        <w:rPr>
          <w:rFonts w:cs="Times New Roman"/>
          <w:sz w:val="24"/>
          <w:szCs w:val="24"/>
        </w:rPr>
        <w:t>种类型。填写样方表记录群落物种组成、高度、郁闭度（针对乔木）、胸径、盖度（针对灌木、草本）等群落结构特征，并利用</w:t>
      </w:r>
      <w:r>
        <w:rPr>
          <w:rFonts w:cs="Times New Roman"/>
          <w:sz w:val="24"/>
          <w:szCs w:val="24"/>
        </w:rPr>
        <w:t>GPS</w:t>
      </w:r>
      <w:r>
        <w:rPr>
          <w:rFonts w:cs="Times New Roman"/>
          <w:sz w:val="24"/>
          <w:szCs w:val="24"/>
        </w:rPr>
        <w:t>、罗盘等测定、记录样方的经纬度、坡度等地理信息。根据群落分布特征在地形图上勾绘植被分布图。</w:t>
      </w:r>
    </w:p>
    <w:p w14:paraId="1D5FFE94" w14:textId="77777777" w:rsidR="007D1E74" w:rsidRDefault="00A95641">
      <w:pPr>
        <w:spacing w:line="360" w:lineRule="auto"/>
        <w:ind w:firstLineChars="200" w:firstLine="480"/>
        <w:rPr>
          <w:sz w:val="24"/>
          <w:szCs w:val="24"/>
        </w:rPr>
      </w:pPr>
      <w:r>
        <w:rPr>
          <w:rFonts w:hint="eastAsia"/>
          <w:sz w:val="24"/>
          <w:szCs w:val="24"/>
        </w:rPr>
        <w:t>本次调查路线沿工程设计方提供的建设区域及周边</w:t>
      </w:r>
      <w:r>
        <w:rPr>
          <w:rFonts w:hint="eastAsia"/>
          <w:sz w:val="24"/>
          <w:szCs w:val="24"/>
        </w:rPr>
        <w:t>1000m</w:t>
      </w:r>
      <w:r>
        <w:rPr>
          <w:rFonts w:hint="eastAsia"/>
          <w:sz w:val="24"/>
          <w:szCs w:val="24"/>
        </w:rPr>
        <w:t>范围内主要道路设置，即此次植被调查的主样线为连接拟建项目区的交通干线，在评价区的典型自然植物群落内设置样方。样方调查中对随机确定的样方中的植物记录属种、盖度、胸径（乔木）、</w:t>
      </w:r>
      <w:r>
        <w:rPr>
          <w:rFonts w:hint="eastAsia"/>
          <w:sz w:val="24"/>
          <w:szCs w:val="24"/>
        </w:rPr>
        <w:lastRenderedPageBreak/>
        <w:t>郁闭度等基本特征。根据对拟建项目影响评价区自然和栽培植物群落情况的初步踏察，在评价区范围内设置了有代表性的调查地</w:t>
      </w:r>
      <w:r>
        <w:rPr>
          <w:rFonts w:hint="eastAsia"/>
          <w:sz w:val="24"/>
          <w:szCs w:val="24"/>
        </w:rPr>
        <w:t>24</w:t>
      </w:r>
      <w:r>
        <w:rPr>
          <w:rFonts w:hint="eastAsia"/>
          <w:sz w:val="24"/>
          <w:szCs w:val="24"/>
        </w:rPr>
        <w:t>处，共调查标准样方</w:t>
      </w:r>
      <w:r>
        <w:rPr>
          <w:rFonts w:hint="eastAsia"/>
          <w:sz w:val="24"/>
          <w:szCs w:val="24"/>
        </w:rPr>
        <w:t>134</w:t>
      </w:r>
      <w:r>
        <w:rPr>
          <w:rFonts w:hint="eastAsia"/>
          <w:sz w:val="24"/>
          <w:szCs w:val="24"/>
        </w:rPr>
        <w:t>个。</w:t>
      </w:r>
    </w:p>
    <w:p w14:paraId="06B634CF" w14:textId="77777777" w:rsidR="007D1E74" w:rsidRDefault="007D1E74">
      <w:pPr>
        <w:spacing w:line="360" w:lineRule="auto"/>
        <w:ind w:firstLineChars="200" w:firstLine="480"/>
        <w:rPr>
          <w:sz w:val="24"/>
          <w:szCs w:val="24"/>
        </w:rPr>
      </w:pPr>
    </w:p>
    <w:p w14:paraId="17148FCA" w14:textId="77777777" w:rsidR="007D1E74" w:rsidRDefault="007D1E74">
      <w:pPr>
        <w:spacing w:line="360" w:lineRule="auto"/>
        <w:ind w:firstLineChars="200" w:firstLine="480"/>
        <w:rPr>
          <w:sz w:val="24"/>
          <w:szCs w:val="24"/>
        </w:rPr>
      </w:pPr>
    </w:p>
    <w:p w14:paraId="0ADD00C4" w14:textId="77777777" w:rsidR="007D1E74" w:rsidRDefault="007D1E74">
      <w:pPr>
        <w:spacing w:line="360" w:lineRule="auto"/>
        <w:ind w:firstLineChars="200" w:firstLine="480"/>
        <w:rPr>
          <w:sz w:val="24"/>
          <w:szCs w:val="24"/>
        </w:rPr>
      </w:pPr>
    </w:p>
    <w:p w14:paraId="5B732483" w14:textId="77777777" w:rsidR="007D1E74" w:rsidRDefault="00A95641">
      <w:pPr>
        <w:pStyle w:val="afffffe"/>
        <w:numPr>
          <w:ilvl w:val="0"/>
          <w:numId w:val="43"/>
        </w:numPr>
        <w:spacing w:line="360" w:lineRule="auto"/>
        <w:ind w:firstLineChars="0"/>
        <w:jc w:val="center"/>
        <w:rPr>
          <w:rFonts w:eastAsia="黑体" w:cs="Times New Roman"/>
          <w:szCs w:val="21"/>
        </w:rPr>
      </w:pPr>
      <w:r>
        <w:rPr>
          <w:rFonts w:eastAsia="黑体" w:cs="Times New Roman" w:hint="eastAsia"/>
          <w:szCs w:val="21"/>
        </w:rPr>
        <w:t>评价区调查样线及调查样方信息表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0"/>
        <w:gridCol w:w="1787"/>
        <w:gridCol w:w="1237"/>
        <w:gridCol w:w="1374"/>
        <w:gridCol w:w="1374"/>
        <w:gridCol w:w="2424"/>
      </w:tblGrid>
      <w:tr w:rsidR="007D1E74" w14:paraId="0F0F1204" w14:textId="77777777">
        <w:trPr>
          <w:tblHeader/>
        </w:trPr>
        <w:tc>
          <w:tcPr>
            <w:tcW w:w="455" w:type="pct"/>
            <w:shd w:val="clear" w:color="auto" w:fill="auto"/>
            <w:vAlign w:val="center"/>
          </w:tcPr>
          <w:p w14:paraId="6B4C901A" w14:textId="77777777" w:rsidR="007D1E74" w:rsidRDefault="00A95641">
            <w:pPr>
              <w:jc w:val="center"/>
              <w:rPr>
                <w:kern w:val="0"/>
                <w:szCs w:val="21"/>
              </w:rPr>
            </w:pPr>
            <w:r>
              <w:rPr>
                <w:kern w:val="0"/>
                <w:szCs w:val="21"/>
              </w:rPr>
              <w:t>调查点</w:t>
            </w:r>
          </w:p>
        </w:tc>
        <w:tc>
          <w:tcPr>
            <w:tcW w:w="991" w:type="pct"/>
            <w:vAlign w:val="center"/>
          </w:tcPr>
          <w:p w14:paraId="73411F77" w14:textId="77777777" w:rsidR="007D1E74" w:rsidRDefault="00A95641">
            <w:pPr>
              <w:jc w:val="center"/>
              <w:rPr>
                <w:kern w:val="0"/>
                <w:szCs w:val="21"/>
              </w:rPr>
            </w:pPr>
            <w:r>
              <w:rPr>
                <w:kern w:val="0"/>
                <w:szCs w:val="21"/>
              </w:rPr>
              <w:t>地点</w:t>
            </w:r>
          </w:p>
        </w:tc>
        <w:tc>
          <w:tcPr>
            <w:tcW w:w="686" w:type="pct"/>
            <w:shd w:val="clear" w:color="auto" w:fill="auto"/>
            <w:vAlign w:val="center"/>
          </w:tcPr>
          <w:p w14:paraId="24611955" w14:textId="77777777" w:rsidR="007D1E74" w:rsidRDefault="00A95641">
            <w:pPr>
              <w:jc w:val="center"/>
              <w:rPr>
                <w:kern w:val="0"/>
                <w:szCs w:val="21"/>
              </w:rPr>
            </w:pPr>
            <w:r>
              <w:rPr>
                <w:kern w:val="0"/>
                <w:szCs w:val="21"/>
              </w:rPr>
              <w:t>海拔（</w:t>
            </w:r>
            <w:r>
              <w:rPr>
                <w:kern w:val="0"/>
                <w:szCs w:val="21"/>
              </w:rPr>
              <w:t>m</w:t>
            </w:r>
            <w:r>
              <w:rPr>
                <w:kern w:val="0"/>
                <w:szCs w:val="21"/>
              </w:rPr>
              <w:t>）</w:t>
            </w:r>
          </w:p>
        </w:tc>
        <w:tc>
          <w:tcPr>
            <w:tcW w:w="762" w:type="pct"/>
            <w:vAlign w:val="center"/>
          </w:tcPr>
          <w:p w14:paraId="3C15AA85" w14:textId="77777777" w:rsidR="007D1E74" w:rsidRDefault="00A95641">
            <w:pPr>
              <w:jc w:val="center"/>
              <w:rPr>
                <w:kern w:val="0"/>
                <w:szCs w:val="21"/>
              </w:rPr>
            </w:pPr>
            <w:r>
              <w:rPr>
                <w:kern w:val="0"/>
                <w:szCs w:val="21"/>
              </w:rPr>
              <w:t>经度（</w:t>
            </w:r>
            <w:r>
              <w:rPr>
                <w:kern w:val="0"/>
                <w:szCs w:val="21"/>
              </w:rPr>
              <w:t>°</w:t>
            </w:r>
            <w:r>
              <w:rPr>
                <w:kern w:val="0"/>
                <w:szCs w:val="21"/>
              </w:rPr>
              <w:t>）</w:t>
            </w:r>
          </w:p>
        </w:tc>
        <w:tc>
          <w:tcPr>
            <w:tcW w:w="762" w:type="pct"/>
            <w:vAlign w:val="center"/>
          </w:tcPr>
          <w:p w14:paraId="263B8596" w14:textId="77777777" w:rsidR="007D1E74" w:rsidRDefault="00A95641">
            <w:pPr>
              <w:jc w:val="center"/>
              <w:rPr>
                <w:kern w:val="0"/>
                <w:szCs w:val="21"/>
              </w:rPr>
            </w:pPr>
            <w:r>
              <w:rPr>
                <w:rFonts w:hint="eastAsia"/>
                <w:kern w:val="0"/>
                <w:szCs w:val="21"/>
              </w:rPr>
              <w:t>纬</w:t>
            </w:r>
            <w:r>
              <w:rPr>
                <w:kern w:val="0"/>
                <w:szCs w:val="21"/>
              </w:rPr>
              <w:t>度（</w:t>
            </w:r>
            <w:r>
              <w:rPr>
                <w:kern w:val="0"/>
                <w:szCs w:val="21"/>
              </w:rPr>
              <w:t>°</w:t>
            </w:r>
            <w:r>
              <w:rPr>
                <w:kern w:val="0"/>
                <w:szCs w:val="21"/>
              </w:rPr>
              <w:t>）</w:t>
            </w:r>
          </w:p>
        </w:tc>
        <w:tc>
          <w:tcPr>
            <w:tcW w:w="1344" w:type="pct"/>
            <w:vAlign w:val="center"/>
          </w:tcPr>
          <w:p w14:paraId="54809A17" w14:textId="77777777" w:rsidR="007D1E74" w:rsidRDefault="00A95641">
            <w:pPr>
              <w:jc w:val="center"/>
              <w:rPr>
                <w:kern w:val="0"/>
                <w:szCs w:val="21"/>
              </w:rPr>
            </w:pPr>
            <w:r>
              <w:rPr>
                <w:rFonts w:hint="eastAsia"/>
                <w:kern w:val="0"/>
                <w:szCs w:val="21"/>
              </w:rPr>
              <w:t>植被群落类型</w:t>
            </w:r>
          </w:p>
          <w:p w14:paraId="64A452F3" w14:textId="77777777" w:rsidR="007D1E74" w:rsidRDefault="00A95641">
            <w:pPr>
              <w:rPr>
                <w:kern w:val="0"/>
                <w:szCs w:val="21"/>
              </w:rPr>
            </w:pPr>
            <w:r>
              <w:rPr>
                <w:rFonts w:hint="eastAsia"/>
                <w:kern w:val="0"/>
                <w:szCs w:val="21"/>
              </w:rPr>
              <w:t>（括号内为调查样方数）</w:t>
            </w:r>
          </w:p>
        </w:tc>
      </w:tr>
      <w:tr w:rsidR="007D1E74" w14:paraId="57BC779C" w14:textId="77777777">
        <w:tc>
          <w:tcPr>
            <w:tcW w:w="455" w:type="pct"/>
            <w:shd w:val="clear" w:color="auto" w:fill="auto"/>
            <w:vAlign w:val="center"/>
          </w:tcPr>
          <w:p w14:paraId="5032DFD8" w14:textId="77777777" w:rsidR="007D1E74" w:rsidRDefault="00A95641">
            <w:pPr>
              <w:jc w:val="center"/>
              <w:rPr>
                <w:kern w:val="0"/>
                <w:szCs w:val="21"/>
              </w:rPr>
            </w:pPr>
            <w:r>
              <w:rPr>
                <w:rFonts w:hint="eastAsia"/>
                <w:kern w:val="0"/>
                <w:szCs w:val="21"/>
              </w:rPr>
              <w:t>1</w:t>
            </w:r>
          </w:p>
        </w:tc>
        <w:tc>
          <w:tcPr>
            <w:tcW w:w="991" w:type="pct"/>
            <w:vAlign w:val="center"/>
          </w:tcPr>
          <w:p w14:paraId="4AC24ABE" w14:textId="77777777" w:rsidR="007D1E74" w:rsidRDefault="00A95641">
            <w:pPr>
              <w:jc w:val="center"/>
              <w:rPr>
                <w:kern w:val="0"/>
                <w:szCs w:val="21"/>
              </w:rPr>
            </w:pPr>
            <w:r>
              <w:rPr>
                <w:rFonts w:hint="eastAsia"/>
                <w:kern w:val="0"/>
                <w:szCs w:val="21"/>
              </w:rPr>
              <w:t>涪阳镇活水沟村</w:t>
            </w:r>
          </w:p>
        </w:tc>
        <w:tc>
          <w:tcPr>
            <w:tcW w:w="686" w:type="pct"/>
            <w:shd w:val="clear" w:color="auto" w:fill="auto"/>
            <w:vAlign w:val="center"/>
          </w:tcPr>
          <w:p w14:paraId="1ABA3CBC" w14:textId="77777777" w:rsidR="007D1E74" w:rsidRDefault="00A95641">
            <w:pPr>
              <w:jc w:val="center"/>
              <w:rPr>
                <w:kern w:val="0"/>
                <w:szCs w:val="21"/>
              </w:rPr>
            </w:pPr>
            <w:r>
              <w:rPr>
                <w:rFonts w:hint="eastAsia"/>
                <w:kern w:val="0"/>
                <w:szCs w:val="21"/>
              </w:rPr>
              <w:t>4</w:t>
            </w:r>
            <w:r>
              <w:rPr>
                <w:kern w:val="0"/>
                <w:szCs w:val="21"/>
              </w:rPr>
              <w:t>24</w:t>
            </w:r>
          </w:p>
        </w:tc>
        <w:tc>
          <w:tcPr>
            <w:tcW w:w="762" w:type="pct"/>
            <w:vAlign w:val="center"/>
          </w:tcPr>
          <w:p w14:paraId="75B8A660" w14:textId="77777777" w:rsidR="007D1E74" w:rsidRDefault="00A95641">
            <w:pPr>
              <w:jc w:val="center"/>
              <w:rPr>
                <w:kern w:val="0"/>
                <w:szCs w:val="21"/>
              </w:rPr>
            </w:pPr>
            <w:r>
              <w:rPr>
                <w:kern w:val="0"/>
                <w:szCs w:val="21"/>
              </w:rPr>
              <w:t>107.138787</w:t>
            </w:r>
          </w:p>
        </w:tc>
        <w:tc>
          <w:tcPr>
            <w:tcW w:w="762" w:type="pct"/>
            <w:vAlign w:val="center"/>
          </w:tcPr>
          <w:p w14:paraId="47D3A5EA" w14:textId="77777777" w:rsidR="007D1E74" w:rsidRDefault="00A95641">
            <w:pPr>
              <w:jc w:val="center"/>
              <w:rPr>
                <w:kern w:val="0"/>
                <w:szCs w:val="21"/>
              </w:rPr>
            </w:pPr>
            <w:r>
              <w:rPr>
                <w:kern w:val="0"/>
                <w:szCs w:val="21"/>
              </w:rPr>
              <w:t>31.997472</w:t>
            </w:r>
          </w:p>
        </w:tc>
        <w:tc>
          <w:tcPr>
            <w:tcW w:w="1344" w:type="pct"/>
            <w:vAlign w:val="center"/>
          </w:tcPr>
          <w:p w14:paraId="1D90D15C" w14:textId="77777777" w:rsidR="007D1E74" w:rsidRDefault="00A95641">
            <w:pPr>
              <w:jc w:val="center"/>
              <w:rPr>
                <w:kern w:val="0"/>
                <w:szCs w:val="21"/>
              </w:rPr>
            </w:pPr>
            <w:r>
              <w:rPr>
                <w:rFonts w:hint="eastAsia"/>
                <w:kern w:val="0"/>
                <w:szCs w:val="21"/>
              </w:rPr>
              <w:t>耕地</w:t>
            </w:r>
            <w:r>
              <w:rPr>
                <w:rFonts w:hint="eastAsia"/>
                <w:kern w:val="0"/>
                <w:szCs w:val="21"/>
              </w:rPr>
              <w:t>(4)</w:t>
            </w:r>
          </w:p>
        </w:tc>
      </w:tr>
      <w:tr w:rsidR="007D1E74" w14:paraId="22477434" w14:textId="77777777">
        <w:tc>
          <w:tcPr>
            <w:tcW w:w="455" w:type="pct"/>
            <w:shd w:val="clear" w:color="auto" w:fill="auto"/>
            <w:vAlign w:val="center"/>
          </w:tcPr>
          <w:p w14:paraId="7445768F" w14:textId="77777777" w:rsidR="007D1E74" w:rsidRDefault="00A95641">
            <w:pPr>
              <w:jc w:val="center"/>
              <w:rPr>
                <w:kern w:val="0"/>
                <w:szCs w:val="21"/>
              </w:rPr>
            </w:pPr>
            <w:r>
              <w:rPr>
                <w:rFonts w:hint="eastAsia"/>
                <w:kern w:val="0"/>
                <w:szCs w:val="21"/>
              </w:rPr>
              <w:t>2</w:t>
            </w:r>
          </w:p>
        </w:tc>
        <w:tc>
          <w:tcPr>
            <w:tcW w:w="991" w:type="pct"/>
          </w:tcPr>
          <w:p w14:paraId="27E23274" w14:textId="77777777" w:rsidR="007D1E74" w:rsidRDefault="00A95641">
            <w:pPr>
              <w:jc w:val="center"/>
              <w:rPr>
                <w:kern w:val="0"/>
                <w:szCs w:val="21"/>
              </w:rPr>
            </w:pPr>
            <w:r>
              <w:rPr>
                <w:rFonts w:hint="eastAsia"/>
                <w:kern w:val="0"/>
                <w:szCs w:val="21"/>
              </w:rPr>
              <w:t>涪阳镇活水沟村</w:t>
            </w:r>
          </w:p>
        </w:tc>
        <w:tc>
          <w:tcPr>
            <w:tcW w:w="686" w:type="pct"/>
            <w:shd w:val="clear" w:color="auto" w:fill="auto"/>
            <w:vAlign w:val="center"/>
          </w:tcPr>
          <w:p w14:paraId="2BB65233" w14:textId="77777777" w:rsidR="007D1E74" w:rsidRDefault="00A95641">
            <w:pPr>
              <w:jc w:val="center"/>
              <w:rPr>
                <w:kern w:val="0"/>
                <w:szCs w:val="21"/>
              </w:rPr>
            </w:pPr>
            <w:r>
              <w:rPr>
                <w:rFonts w:hint="eastAsia"/>
                <w:kern w:val="0"/>
                <w:szCs w:val="21"/>
              </w:rPr>
              <w:t>4</w:t>
            </w:r>
            <w:r>
              <w:rPr>
                <w:kern w:val="0"/>
                <w:szCs w:val="21"/>
              </w:rPr>
              <w:t>80</w:t>
            </w:r>
          </w:p>
        </w:tc>
        <w:tc>
          <w:tcPr>
            <w:tcW w:w="762" w:type="pct"/>
            <w:vAlign w:val="center"/>
          </w:tcPr>
          <w:p w14:paraId="0C7C4200" w14:textId="77777777" w:rsidR="007D1E74" w:rsidRDefault="00A95641">
            <w:pPr>
              <w:jc w:val="center"/>
              <w:rPr>
                <w:kern w:val="0"/>
                <w:szCs w:val="21"/>
              </w:rPr>
            </w:pPr>
            <w:r>
              <w:rPr>
                <w:kern w:val="0"/>
                <w:szCs w:val="21"/>
              </w:rPr>
              <w:t>107.135901</w:t>
            </w:r>
          </w:p>
        </w:tc>
        <w:tc>
          <w:tcPr>
            <w:tcW w:w="762" w:type="pct"/>
            <w:vAlign w:val="center"/>
          </w:tcPr>
          <w:p w14:paraId="15FCBAD1" w14:textId="77777777" w:rsidR="007D1E74" w:rsidRDefault="00A95641">
            <w:pPr>
              <w:jc w:val="center"/>
              <w:rPr>
                <w:kern w:val="0"/>
                <w:szCs w:val="21"/>
              </w:rPr>
            </w:pPr>
            <w:r>
              <w:rPr>
                <w:kern w:val="0"/>
                <w:szCs w:val="21"/>
              </w:rPr>
              <w:t>32.001511</w:t>
            </w:r>
          </w:p>
        </w:tc>
        <w:tc>
          <w:tcPr>
            <w:tcW w:w="1344" w:type="pct"/>
            <w:vAlign w:val="center"/>
          </w:tcPr>
          <w:p w14:paraId="1B979BFA" w14:textId="77777777" w:rsidR="007D1E74" w:rsidRDefault="00A95641">
            <w:pPr>
              <w:jc w:val="center"/>
              <w:rPr>
                <w:kern w:val="0"/>
                <w:szCs w:val="21"/>
              </w:rPr>
            </w:pPr>
            <w:r>
              <w:rPr>
                <w:rFonts w:hint="eastAsia"/>
                <w:kern w:val="0"/>
                <w:szCs w:val="21"/>
              </w:rPr>
              <w:t>马桑黄荆灌丛</w:t>
            </w:r>
            <w:r>
              <w:rPr>
                <w:rFonts w:hint="eastAsia"/>
                <w:kern w:val="0"/>
                <w:szCs w:val="21"/>
              </w:rPr>
              <w:t>(6+6)</w:t>
            </w:r>
          </w:p>
        </w:tc>
      </w:tr>
      <w:tr w:rsidR="007D1E74" w14:paraId="1D83C232" w14:textId="77777777">
        <w:tc>
          <w:tcPr>
            <w:tcW w:w="455" w:type="pct"/>
            <w:shd w:val="clear" w:color="auto" w:fill="auto"/>
            <w:vAlign w:val="center"/>
          </w:tcPr>
          <w:p w14:paraId="2A41B314" w14:textId="77777777" w:rsidR="007D1E74" w:rsidRDefault="00A95641">
            <w:pPr>
              <w:jc w:val="center"/>
              <w:rPr>
                <w:kern w:val="0"/>
                <w:szCs w:val="21"/>
              </w:rPr>
            </w:pPr>
            <w:r>
              <w:rPr>
                <w:rFonts w:hint="eastAsia"/>
                <w:kern w:val="0"/>
                <w:szCs w:val="21"/>
              </w:rPr>
              <w:t>3</w:t>
            </w:r>
          </w:p>
        </w:tc>
        <w:tc>
          <w:tcPr>
            <w:tcW w:w="991" w:type="pct"/>
          </w:tcPr>
          <w:p w14:paraId="357FC4FB" w14:textId="77777777" w:rsidR="007D1E74" w:rsidRDefault="00A95641">
            <w:pPr>
              <w:jc w:val="center"/>
              <w:rPr>
                <w:kern w:val="0"/>
                <w:szCs w:val="21"/>
              </w:rPr>
            </w:pPr>
            <w:r>
              <w:rPr>
                <w:rFonts w:hint="eastAsia"/>
                <w:kern w:val="0"/>
                <w:szCs w:val="21"/>
              </w:rPr>
              <w:t>涪阳镇活水沟村</w:t>
            </w:r>
          </w:p>
        </w:tc>
        <w:tc>
          <w:tcPr>
            <w:tcW w:w="686" w:type="pct"/>
            <w:shd w:val="clear" w:color="auto" w:fill="auto"/>
            <w:vAlign w:val="center"/>
          </w:tcPr>
          <w:p w14:paraId="01B4AC4D" w14:textId="77777777" w:rsidR="007D1E74" w:rsidRDefault="00A95641">
            <w:pPr>
              <w:jc w:val="center"/>
              <w:rPr>
                <w:kern w:val="0"/>
                <w:szCs w:val="21"/>
              </w:rPr>
            </w:pPr>
            <w:r>
              <w:rPr>
                <w:rFonts w:hint="eastAsia"/>
                <w:kern w:val="0"/>
                <w:szCs w:val="21"/>
              </w:rPr>
              <w:t>7</w:t>
            </w:r>
            <w:r>
              <w:rPr>
                <w:kern w:val="0"/>
                <w:szCs w:val="21"/>
              </w:rPr>
              <w:t>96</w:t>
            </w:r>
          </w:p>
        </w:tc>
        <w:tc>
          <w:tcPr>
            <w:tcW w:w="762" w:type="pct"/>
            <w:vAlign w:val="center"/>
          </w:tcPr>
          <w:p w14:paraId="0B42B4A8" w14:textId="77777777" w:rsidR="007D1E74" w:rsidRDefault="00A95641">
            <w:pPr>
              <w:jc w:val="center"/>
              <w:rPr>
                <w:kern w:val="0"/>
                <w:szCs w:val="21"/>
              </w:rPr>
            </w:pPr>
            <w:r>
              <w:rPr>
                <w:kern w:val="0"/>
                <w:szCs w:val="21"/>
              </w:rPr>
              <w:t>107.126577</w:t>
            </w:r>
          </w:p>
        </w:tc>
        <w:tc>
          <w:tcPr>
            <w:tcW w:w="762" w:type="pct"/>
            <w:vAlign w:val="center"/>
          </w:tcPr>
          <w:p w14:paraId="19194ABB" w14:textId="77777777" w:rsidR="007D1E74" w:rsidRDefault="00A95641">
            <w:pPr>
              <w:jc w:val="center"/>
              <w:rPr>
                <w:kern w:val="0"/>
                <w:szCs w:val="21"/>
              </w:rPr>
            </w:pPr>
            <w:r>
              <w:rPr>
                <w:kern w:val="0"/>
                <w:szCs w:val="21"/>
              </w:rPr>
              <w:t>32.007208</w:t>
            </w:r>
          </w:p>
        </w:tc>
        <w:tc>
          <w:tcPr>
            <w:tcW w:w="1344" w:type="pct"/>
            <w:vAlign w:val="center"/>
          </w:tcPr>
          <w:p w14:paraId="7A54AD28" w14:textId="77777777" w:rsidR="007D1E74" w:rsidRDefault="00A95641">
            <w:pPr>
              <w:jc w:val="center"/>
              <w:rPr>
                <w:kern w:val="0"/>
                <w:szCs w:val="21"/>
              </w:rPr>
            </w:pPr>
            <w:r>
              <w:rPr>
                <w:rFonts w:hint="eastAsia"/>
                <w:kern w:val="0"/>
                <w:szCs w:val="21"/>
              </w:rPr>
              <w:t>柏木林</w:t>
            </w:r>
            <w:r>
              <w:rPr>
                <w:rFonts w:hint="eastAsia"/>
                <w:kern w:val="0"/>
                <w:szCs w:val="21"/>
              </w:rPr>
              <w:t>(4)</w:t>
            </w:r>
          </w:p>
        </w:tc>
      </w:tr>
      <w:tr w:rsidR="007D1E74" w14:paraId="20C39084" w14:textId="77777777">
        <w:tc>
          <w:tcPr>
            <w:tcW w:w="455" w:type="pct"/>
            <w:shd w:val="clear" w:color="auto" w:fill="auto"/>
            <w:vAlign w:val="center"/>
          </w:tcPr>
          <w:p w14:paraId="62BDAE30" w14:textId="77777777" w:rsidR="007D1E74" w:rsidRDefault="00A95641">
            <w:pPr>
              <w:jc w:val="center"/>
              <w:rPr>
                <w:kern w:val="0"/>
                <w:szCs w:val="21"/>
              </w:rPr>
            </w:pPr>
            <w:r>
              <w:rPr>
                <w:rFonts w:hint="eastAsia"/>
                <w:kern w:val="0"/>
                <w:szCs w:val="21"/>
              </w:rPr>
              <w:t>4</w:t>
            </w:r>
          </w:p>
        </w:tc>
        <w:tc>
          <w:tcPr>
            <w:tcW w:w="991" w:type="pct"/>
          </w:tcPr>
          <w:p w14:paraId="21D03FDB" w14:textId="77777777" w:rsidR="007D1E74" w:rsidRDefault="00A95641">
            <w:pPr>
              <w:jc w:val="center"/>
              <w:rPr>
                <w:kern w:val="0"/>
                <w:szCs w:val="21"/>
              </w:rPr>
            </w:pPr>
            <w:r>
              <w:rPr>
                <w:rFonts w:hint="eastAsia"/>
                <w:kern w:val="0"/>
                <w:szCs w:val="21"/>
              </w:rPr>
              <w:t>涪阳镇活水沟村</w:t>
            </w:r>
          </w:p>
        </w:tc>
        <w:tc>
          <w:tcPr>
            <w:tcW w:w="686" w:type="pct"/>
            <w:shd w:val="clear" w:color="auto" w:fill="auto"/>
            <w:vAlign w:val="center"/>
          </w:tcPr>
          <w:p w14:paraId="4D2E74EC" w14:textId="77777777" w:rsidR="007D1E74" w:rsidRDefault="00A95641">
            <w:pPr>
              <w:jc w:val="center"/>
              <w:rPr>
                <w:kern w:val="0"/>
                <w:szCs w:val="21"/>
              </w:rPr>
            </w:pPr>
            <w:r>
              <w:rPr>
                <w:rFonts w:hint="eastAsia"/>
                <w:kern w:val="0"/>
                <w:szCs w:val="21"/>
              </w:rPr>
              <w:t>5</w:t>
            </w:r>
            <w:r>
              <w:rPr>
                <w:kern w:val="0"/>
                <w:szCs w:val="21"/>
              </w:rPr>
              <w:t>16</w:t>
            </w:r>
          </w:p>
        </w:tc>
        <w:tc>
          <w:tcPr>
            <w:tcW w:w="762" w:type="pct"/>
            <w:vAlign w:val="center"/>
          </w:tcPr>
          <w:p w14:paraId="0A485CB3" w14:textId="77777777" w:rsidR="007D1E74" w:rsidRDefault="00A95641">
            <w:pPr>
              <w:jc w:val="center"/>
              <w:rPr>
                <w:kern w:val="0"/>
                <w:szCs w:val="21"/>
              </w:rPr>
            </w:pPr>
            <w:r>
              <w:rPr>
                <w:kern w:val="0"/>
                <w:szCs w:val="21"/>
              </w:rPr>
              <w:t>107.142499</w:t>
            </w:r>
          </w:p>
        </w:tc>
        <w:tc>
          <w:tcPr>
            <w:tcW w:w="762" w:type="pct"/>
            <w:vAlign w:val="center"/>
          </w:tcPr>
          <w:p w14:paraId="15190623" w14:textId="77777777" w:rsidR="007D1E74" w:rsidRDefault="00A95641">
            <w:pPr>
              <w:jc w:val="center"/>
              <w:rPr>
                <w:kern w:val="0"/>
                <w:szCs w:val="21"/>
              </w:rPr>
            </w:pPr>
            <w:r>
              <w:rPr>
                <w:kern w:val="0"/>
                <w:szCs w:val="21"/>
              </w:rPr>
              <w:t>32.010255</w:t>
            </w:r>
          </w:p>
        </w:tc>
        <w:tc>
          <w:tcPr>
            <w:tcW w:w="1344" w:type="pct"/>
            <w:vAlign w:val="center"/>
          </w:tcPr>
          <w:p w14:paraId="7C0D2EA6" w14:textId="77777777" w:rsidR="007D1E74" w:rsidRDefault="00A95641">
            <w:pPr>
              <w:jc w:val="center"/>
              <w:rPr>
                <w:kern w:val="0"/>
                <w:szCs w:val="21"/>
              </w:rPr>
            </w:pPr>
            <w:r>
              <w:rPr>
                <w:rFonts w:hint="eastAsia"/>
                <w:kern w:val="0"/>
                <w:szCs w:val="21"/>
              </w:rPr>
              <w:t>马尾松林</w:t>
            </w:r>
            <w:r>
              <w:rPr>
                <w:rFonts w:hint="eastAsia"/>
                <w:kern w:val="0"/>
                <w:szCs w:val="21"/>
              </w:rPr>
              <w:t>(4)</w:t>
            </w:r>
          </w:p>
        </w:tc>
      </w:tr>
      <w:tr w:rsidR="007D1E74" w14:paraId="7E9C5A5F" w14:textId="77777777">
        <w:tc>
          <w:tcPr>
            <w:tcW w:w="455" w:type="pct"/>
            <w:shd w:val="clear" w:color="auto" w:fill="auto"/>
            <w:vAlign w:val="center"/>
          </w:tcPr>
          <w:p w14:paraId="098BD553" w14:textId="77777777" w:rsidR="007D1E74" w:rsidRDefault="00A95641">
            <w:pPr>
              <w:jc w:val="center"/>
              <w:rPr>
                <w:kern w:val="0"/>
                <w:szCs w:val="21"/>
              </w:rPr>
            </w:pPr>
            <w:r>
              <w:rPr>
                <w:rFonts w:hint="eastAsia"/>
                <w:kern w:val="0"/>
                <w:szCs w:val="21"/>
              </w:rPr>
              <w:t>5</w:t>
            </w:r>
          </w:p>
        </w:tc>
        <w:tc>
          <w:tcPr>
            <w:tcW w:w="991" w:type="pct"/>
          </w:tcPr>
          <w:p w14:paraId="54837B90" w14:textId="77777777" w:rsidR="007D1E74" w:rsidRDefault="00A95641">
            <w:pPr>
              <w:jc w:val="center"/>
              <w:rPr>
                <w:kern w:val="0"/>
                <w:szCs w:val="21"/>
              </w:rPr>
            </w:pPr>
            <w:r>
              <w:rPr>
                <w:rFonts w:hint="eastAsia"/>
                <w:kern w:val="0"/>
                <w:szCs w:val="21"/>
              </w:rPr>
              <w:t>涪阳镇活水沟村</w:t>
            </w:r>
          </w:p>
        </w:tc>
        <w:tc>
          <w:tcPr>
            <w:tcW w:w="686" w:type="pct"/>
            <w:shd w:val="clear" w:color="auto" w:fill="auto"/>
            <w:vAlign w:val="center"/>
          </w:tcPr>
          <w:p w14:paraId="532815CF" w14:textId="77777777" w:rsidR="007D1E74" w:rsidRDefault="00A95641">
            <w:pPr>
              <w:jc w:val="center"/>
              <w:rPr>
                <w:kern w:val="0"/>
                <w:szCs w:val="21"/>
              </w:rPr>
            </w:pPr>
            <w:r>
              <w:rPr>
                <w:rFonts w:hint="eastAsia"/>
                <w:kern w:val="0"/>
                <w:szCs w:val="21"/>
              </w:rPr>
              <w:t>4</w:t>
            </w:r>
            <w:r>
              <w:rPr>
                <w:kern w:val="0"/>
                <w:szCs w:val="21"/>
              </w:rPr>
              <w:t>00</w:t>
            </w:r>
          </w:p>
        </w:tc>
        <w:tc>
          <w:tcPr>
            <w:tcW w:w="762" w:type="pct"/>
            <w:vAlign w:val="center"/>
          </w:tcPr>
          <w:p w14:paraId="43D97F84" w14:textId="77777777" w:rsidR="007D1E74" w:rsidRDefault="00A95641">
            <w:pPr>
              <w:jc w:val="center"/>
              <w:rPr>
                <w:kern w:val="0"/>
                <w:szCs w:val="21"/>
              </w:rPr>
            </w:pPr>
            <w:r>
              <w:rPr>
                <w:kern w:val="0"/>
                <w:szCs w:val="21"/>
              </w:rPr>
              <w:t>107.138647</w:t>
            </w:r>
          </w:p>
        </w:tc>
        <w:tc>
          <w:tcPr>
            <w:tcW w:w="762" w:type="pct"/>
            <w:vAlign w:val="center"/>
          </w:tcPr>
          <w:p w14:paraId="09FDB237" w14:textId="77777777" w:rsidR="007D1E74" w:rsidRDefault="00A95641">
            <w:pPr>
              <w:jc w:val="center"/>
              <w:rPr>
                <w:kern w:val="0"/>
                <w:szCs w:val="21"/>
              </w:rPr>
            </w:pPr>
            <w:r>
              <w:rPr>
                <w:kern w:val="0"/>
                <w:szCs w:val="21"/>
              </w:rPr>
              <w:t>32.011929</w:t>
            </w:r>
          </w:p>
        </w:tc>
        <w:tc>
          <w:tcPr>
            <w:tcW w:w="1344" w:type="pct"/>
            <w:vAlign w:val="center"/>
          </w:tcPr>
          <w:p w14:paraId="64AA917D" w14:textId="77777777" w:rsidR="007D1E74" w:rsidRDefault="00A95641">
            <w:pPr>
              <w:jc w:val="center"/>
              <w:rPr>
                <w:kern w:val="0"/>
                <w:szCs w:val="21"/>
              </w:rPr>
            </w:pPr>
            <w:r>
              <w:rPr>
                <w:rFonts w:hint="eastAsia"/>
                <w:kern w:val="0"/>
                <w:szCs w:val="21"/>
              </w:rPr>
              <w:t>枫杨林</w:t>
            </w:r>
            <w:r>
              <w:rPr>
                <w:rFonts w:hint="eastAsia"/>
                <w:kern w:val="0"/>
                <w:szCs w:val="21"/>
              </w:rPr>
              <w:t>(4)</w:t>
            </w:r>
          </w:p>
        </w:tc>
      </w:tr>
      <w:tr w:rsidR="007D1E74" w14:paraId="45837E4D" w14:textId="77777777">
        <w:tc>
          <w:tcPr>
            <w:tcW w:w="455" w:type="pct"/>
            <w:shd w:val="clear" w:color="auto" w:fill="auto"/>
            <w:vAlign w:val="center"/>
          </w:tcPr>
          <w:p w14:paraId="4F43F947" w14:textId="77777777" w:rsidR="007D1E74" w:rsidRDefault="00A95641">
            <w:pPr>
              <w:jc w:val="center"/>
              <w:rPr>
                <w:kern w:val="0"/>
                <w:szCs w:val="21"/>
              </w:rPr>
            </w:pPr>
            <w:r>
              <w:rPr>
                <w:rFonts w:hint="eastAsia"/>
                <w:kern w:val="0"/>
                <w:szCs w:val="21"/>
              </w:rPr>
              <w:t>6</w:t>
            </w:r>
          </w:p>
        </w:tc>
        <w:tc>
          <w:tcPr>
            <w:tcW w:w="991" w:type="pct"/>
            <w:vAlign w:val="center"/>
          </w:tcPr>
          <w:p w14:paraId="7DBF01EA" w14:textId="77777777" w:rsidR="007D1E74" w:rsidRDefault="00A95641">
            <w:pPr>
              <w:jc w:val="center"/>
              <w:rPr>
                <w:kern w:val="0"/>
                <w:szCs w:val="21"/>
              </w:rPr>
            </w:pPr>
            <w:r>
              <w:rPr>
                <w:rFonts w:hint="eastAsia"/>
                <w:kern w:val="0"/>
                <w:szCs w:val="21"/>
              </w:rPr>
              <w:t>涪阳镇武学堂村</w:t>
            </w:r>
          </w:p>
        </w:tc>
        <w:tc>
          <w:tcPr>
            <w:tcW w:w="686" w:type="pct"/>
            <w:shd w:val="clear" w:color="auto" w:fill="auto"/>
            <w:vAlign w:val="center"/>
          </w:tcPr>
          <w:p w14:paraId="23B96825" w14:textId="77777777" w:rsidR="007D1E74" w:rsidRDefault="00A95641">
            <w:pPr>
              <w:jc w:val="center"/>
              <w:rPr>
                <w:kern w:val="0"/>
                <w:szCs w:val="21"/>
              </w:rPr>
            </w:pPr>
            <w:r>
              <w:rPr>
                <w:rFonts w:hint="eastAsia"/>
                <w:kern w:val="0"/>
                <w:szCs w:val="21"/>
              </w:rPr>
              <w:t>6</w:t>
            </w:r>
            <w:r>
              <w:rPr>
                <w:kern w:val="0"/>
                <w:szCs w:val="21"/>
              </w:rPr>
              <w:t>23</w:t>
            </w:r>
          </w:p>
        </w:tc>
        <w:tc>
          <w:tcPr>
            <w:tcW w:w="762" w:type="pct"/>
            <w:vAlign w:val="center"/>
          </w:tcPr>
          <w:p w14:paraId="1ADD09EB" w14:textId="77777777" w:rsidR="007D1E74" w:rsidRDefault="00A95641">
            <w:pPr>
              <w:jc w:val="center"/>
              <w:rPr>
                <w:kern w:val="0"/>
                <w:szCs w:val="21"/>
              </w:rPr>
            </w:pPr>
            <w:r>
              <w:rPr>
                <w:kern w:val="0"/>
                <w:szCs w:val="21"/>
              </w:rPr>
              <w:t>107.130118</w:t>
            </w:r>
          </w:p>
        </w:tc>
        <w:tc>
          <w:tcPr>
            <w:tcW w:w="762" w:type="pct"/>
            <w:vAlign w:val="center"/>
          </w:tcPr>
          <w:p w14:paraId="2CD231DF" w14:textId="77777777" w:rsidR="007D1E74" w:rsidRDefault="00A95641">
            <w:pPr>
              <w:jc w:val="center"/>
              <w:rPr>
                <w:kern w:val="0"/>
                <w:szCs w:val="21"/>
              </w:rPr>
            </w:pPr>
            <w:r>
              <w:rPr>
                <w:kern w:val="0"/>
                <w:szCs w:val="21"/>
              </w:rPr>
              <w:t>32.027250</w:t>
            </w:r>
          </w:p>
        </w:tc>
        <w:tc>
          <w:tcPr>
            <w:tcW w:w="1344" w:type="pct"/>
            <w:vAlign w:val="center"/>
          </w:tcPr>
          <w:p w14:paraId="16D00604" w14:textId="77777777" w:rsidR="007D1E74" w:rsidRDefault="00A95641">
            <w:pPr>
              <w:jc w:val="center"/>
              <w:rPr>
                <w:kern w:val="0"/>
                <w:szCs w:val="21"/>
              </w:rPr>
            </w:pPr>
            <w:r>
              <w:rPr>
                <w:rFonts w:hint="eastAsia"/>
                <w:kern w:val="0"/>
                <w:szCs w:val="21"/>
              </w:rPr>
              <w:t>耕地</w:t>
            </w:r>
            <w:r>
              <w:rPr>
                <w:rFonts w:hint="eastAsia"/>
                <w:kern w:val="0"/>
                <w:szCs w:val="21"/>
              </w:rPr>
              <w:t>(4)</w:t>
            </w:r>
          </w:p>
        </w:tc>
      </w:tr>
      <w:tr w:rsidR="007D1E74" w14:paraId="676A1A9E" w14:textId="77777777">
        <w:tc>
          <w:tcPr>
            <w:tcW w:w="455" w:type="pct"/>
            <w:shd w:val="clear" w:color="auto" w:fill="auto"/>
            <w:vAlign w:val="center"/>
          </w:tcPr>
          <w:p w14:paraId="60912850" w14:textId="77777777" w:rsidR="007D1E74" w:rsidRDefault="00A95641">
            <w:pPr>
              <w:jc w:val="center"/>
              <w:rPr>
                <w:kern w:val="0"/>
                <w:szCs w:val="21"/>
              </w:rPr>
            </w:pPr>
            <w:r>
              <w:rPr>
                <w:rFonts w:hint="eastAsia"/>
                <w:kern w:val="0"/>
                <w:szCs w:val="21"/>
              </w:rPr>
              <w:t>7</w:t>
            </w:r>
          </w:p>
        </w:tc>
        <w:tc>
          <w:tcPr>
            <w:tcW w:w="991" w:type="pct"/>
            <w:vAlign w:val="center"/>
          </w:tcPr>
          <w:p w14:paraId="3BC464D2" w14:textId="77777777" w:rsidR="007D1E74" w:rsidRDefault="00A95641">
            <w:pPr>
              <w:jc w:val="center"/>
              <w:rPr>
                <w:kern w:val="0"/>
                <w:szCs w:val="21"/>
              </w:rPr>
            </w:pPr>
            <w:r>
              <w:rPr>
                <w:rFonts w:hint="eastAsia"/>
                <w:kern w:val="0"/>
                <w:szCs w:val="21"/>
              </w:rPr>
              <w:t>涪阳镇武学堂村</w:t>
            </w:r>
          </w:p>
        </w:tc>
        <w:tc>
          <w:tcPr>
            <w:tcW w:w="686" w:type="pct"/>
            <w:shd w:val="clear" w:color="auto" w:fill="auto"/>
            <w:vAlign w:val="center"/>
          </w:tcPr>
          <w:p w14:paraId="785CAB5F" w14:textId="77777777" w:rsidR="007D1E74" w:rsidRDefault="00A95641">
            <w:pPr>
              <w:jc w:val="center"/>
              <w:rPr>
                <w:kern w:val="0"/>
                <w:szCs w:val="21"/>
              </w:rPr>
            </w:pPr>
            <w:r>
              <w:rPr>
                <w:rFonts w:hint="eastAsia"/>
                <w:kern w:val="0"/>
                <w:szCs w:val="21"/>
              </w:rPr>
              <w:t>8</w:t>
            </w:r>
            <w:r>
              <w:rPr>
                <w:kern w:val="0"/>
                <w:szCs w:val="21"/>
              </w:rPr>
              <w:t>90</w:t>
            </w:r>
          </w:p>
        </w:tc>
        <w:tc>
          <w:tcPr>
            <w:tcW w:w="762" w:type="pct"/>
            <w:vAlign w:val="center"/>
          </w:tcPr>
          <w:p w14:paraId="1627489C" w14:textId="77777777" w:rsidR="007D1E74" w:rsidRDefault="00A95641">
            <w:pPr>
              <w:jc w:val="center"/>
              <w:rPr>
                <w:kern w:val="0"/>
                <w:szCs w:val="21"/>
              </w:rPr>
            </w:pPr>
            <w:r>
              <w:rPr>
                <w:kern w:val="0"/>
                <w:szCs w:val="21"/>
              </w:rPr>
              <w:t>107.134806</w:t>
            </w:r>
          </w:p>
        </w:tc>
        <w:tc>
          <w:tcPr>
            <w:tcW w:w="762" w:type="pct"/>
            <w:vAlign w:val="center"/>
          </w:tcPr>
          <w:p w14:paraId="7C194E21" w14:textId="77777777" w:rsidR="007D1E74" w:rsidRDefault="00A95641">
            <w:pPr>
              <w:jc w:val="center"/>
              <w:rPr>
                <w:kern w:val="0"/>
                <w:szCs w:val="21"/>
              </w:rPr>
            </w:pPr>
            <w:r>
              <w:rPr>
                <w:kern w:val="0"/>
                <w:szCs w:val="21"/>
              </w:rPr>
              <w:t>32.037056</w:t>
            </w:r>
          </w:p>
        </w:tc>
        <w:tc>
          <w:tcPr>
            <w:tcW w:w="1344" w:type="pct"/>
            <w:vAlign w:val="center"/>
          </w:tcPr>
          <w:p w14:paraId="71D73070" w14:textId="77777777" w:rsidR="007D1E74" w:rsidRDefault="00A95641">
            <w:pPr>
              <w:jc w:val="center"/>
              <w:rPr>
                <w:kern w:val="0"/>
                <w:szCs w:val="21"/>
              </w:rPr>
            </w:pPr>
            <w:r>
              <w:rPr>
                <w:rFonts w:hint="eastAsia"/>
                <w:kern w:val="0"/>
                <w:szCs w:val="21"/>
              </w:rPr>
              <w:t>麻栎林</w:t>
            </w:r>
            <w:r>
              <w:rPr>
                <w:rFonts w:hint="eastAsia"/>
                <w:kern w:val="0"/>
                <w:szCs w:val="21"/>
              </w:rPr>
              <w:t>(4)</w:t>
            </w:r>
          </w:p>
        </w:tc>
      </w:tr>
      <w:tr w:rsidR="007D1E74" w14:paraId="26CEBE12" w14:textId="77777777">
        <w:tc>
          <w:tcPr>
            <w:tcW w:w="455" w:type="pct"/>
            <w:shd w:val="clear" w:color="auto" w:fill="auto"/>
            <w:vAlign w:val="center"/>
          </w:tcPr>
          <w:p w14:paraId="6C8C08D2" w14:textId="77777777" w:rsidR="007D1E74" w:rsidRDefault="00A95641">
            <w:pPr>
              <w:jc w:val="center"/>
              <w:rPr>
                <w:kern w:val="0"/>
                <w:szCs w:val="21"/>
              </w:rPr>
            </w:pPr>
            <w:r>
              <w:rPr>
                <w:rFonts w:hint="eastAsia"/>
                <w:kern w:val="0"/>
                <w:szCs w:val="21"/>
              </w:rPr>
              <w:t>8</w:t>
            </w:r>
          </w:p>
        </w:tc>
        <w:tc>
          <w:tcPr>
            <w:tcW w:w="991" w:type="pct"/>
            <w:vAlign w:val="center"/>
          </w:tcPr>
          <w:p w14:paraId="533B4FEE" w14:textId="77777777" w:rsidR="007D1E74" w:rsidRDefault="00A95641">
            <w:pPr>
              <w:jc w:val="center"/>
              <w:rPr>
                <w:kern w:val="0"/>
                <w:szCs w:val="21"/>
              </w:rPr>
            </w:pPr>
            <w:r>
              <w:rPr>
                <w:rFonts w:hint="eastAsia"/>
                <w:kern w:val="0"/>
                <w:szCs w:val="21"/>
              </w:rPr>
              <w:t>涪阳镇武学堂村</w:t>
            </w:r>
          </w:p>
        </w:tc>
        <w:tc>
          <w:tcPr>
            <w:tcW w:w="686" w:type="pct"/>
            <w:shd w:val="clear" w:color="auto" w:fill="auto"/>
            <w:vAlign w:val="center"/>
          </w:tcPr>
          <w:p w14:paraId="2576502E" w14:textId="77777777" w:rsidR="007D1E74" w:rsidRDefault="00A95641">
            <w:pPr>
              <w:jc w:val="center"/>
              <w:rPr>
                <w:kern w:val="0"/>
                <w:szCs w:val="21"/>
              </w:rPr>
            </w:pPr>
            <w:r>
              <w:rPr>
                <w:rFonts w:hint="eastAsia"/>
                <w:kern w:val="0"/>
                <w:szCs w:val="21"/>
              </w:rPr>
              <w:t>1</w:t>
            </w:r>
            <w:r>
              <w:rPr>
                <w:kern w:val="0"/>
                <w:szCs w:val="21"/>
              </w:rPr>
              <w:t>078</w:t>
            </w:r>
          </w:p>
        </w:tc>
        <w:tc>
          <w:tcPr>
            <w:tcW w:w="762" w:type="pct"/>
            <w:vAlign w:val="center"/>
          </w:tcPr>
          <w:p w14:paraId="46EEABB5" w14:textId="77777777" w:rsidR="007D1E74" w:rsidRDefault="00A95641">
            <w:pPr>
              <w:jc w:val="center"/>
              <w:rPr>
                <w:kern w:val="0"/>
                <w:szCs w:val="21"/>
              </w:rPr>
            </w:pPr>
            <w:r>
              <w:rPr>
                <w:kern w:val="0"/>
                <w:szCs w:val="21"/>
              </w:rPr>
              <w:t>107.123423</w:t>
            </w:r>
          </w:p>
        </w:tc>
        <w:tc>
          <w:tcPr>
            <w:tcW w:w="762" w:type="pct"/>
            <w:vAlign w:val="center"/>
          </w:tcPr>
          <w:p w14:paraId="4D3E2508" w14:textId="77777777" w:rsidR="007D1E74" w:rsidRDefault="00A95641">
            <w:pPr>
              <w:jc w:val="center"/>
              <w:rPr>
                <w:kern w:val="0"/>
                <w:szCs w:val="21"/>
              </w:rPr>
            </w:pPr>
            <w:r>
              <w:rPr>
                <w:kern w:val="0"/>
                <w:szCs w:val="21"/>
              </w:rPr>
              <w:t>32.042157</w:t>
            </w:r>
          </w:p>
        </w:tc>
        <w:tc>
          <w:tcPr>
            <w:tcW w:w="1344" w:type="pct"/>
            <w:vAlign w:val="center"/>
          </w:tcPr>
          <w:p w14:paraId="641F7B6C" w14:textId="77777777" w:rsidR="007D1E74" w:rsidRDefault="00A95641">
            <w:pPr>
              <w:jc w:val="center"/>
              <w:rPr>
                <w:kern w:val="0"/>
                <w:szCs w:val="21"/>
              </w:rPr>
            </w:pPr>
            <w:r>
              <w:rPr>
                <w:rFonts w:hint="eastAsia"/>
                <w:kern w:val="0"/>
                <w:szCs w:val="21"/>
              </w:rPr>
              <w:t>杉木林</w:t>
            </w:r>
            <w:r>
              <w:rPr>
                <w:rFonts w:hint="eastAsia"/>
                <w:kern w:val="0"/>
                <w:szCs w:val="21"/>
              </w:rPr>
              <w:t>(4)</w:t>
            </w:r>
          </w:p>
        </w:tc>
      </w:tr>
      <w:tr w:rsidR="007D1E74" w14:paraId="5D192DD0" w14:textId="77777777">
        <w:tc>
          <w:tcPr>
            <w:tcW w:w="455" w:type="pct"/>
            <w:shd w:val="clear" w:color="auto" w:fill="auto"/>
            <w:vAlign w:val="center"/>
          </w:tcPr>
          <w:p w14:paraId="645E783A" w14:textId="77777777" w:rsidR="007D1E74" w:rsidRDefault="00A95641">
            <w:pPr>
              <w:jc w:val="center"/>
              <w:rPr>
                <w:kern w:val="0"/>
                <w:szCs w:val="21"/>
              </w:rPr>
            </w:pPr>
            <w:r>
              <w:rPr>
                <w:rFonts w:hint="eastAsia"/>
                <w:kern w:val="0"/>
                <w:szCs w:val="21"/>
              </w:rPr>
              <w:t>9</w:t>
            </w:r>
          </w:p>
        </w:tc>
        <w:tc>
          <w:tcPr>
            <w:tcW w:w="991" w:type="pct"/>
            <w:vAlign w:val="center"/>
          </w:tcPr>
          <w:p w14:paraId="1737320C" w14:textId="77777777" w:rsidR="007D1E74" w:rsidRDefault="00A95641">
            <w:pPr>
              <w:jc w:val="center"/>
              <w:rPr>
                <w:kern w:val="0"/>
                <w:szCs w:val="21"/>
              </w:rPr>
            </w:pPr>
            <w:r>
              <w:rPr>
                <w:rFonts w:hint="eastAsia"/>
                <w:kern w:val="0"/>
                <w:szCs w:val="21"/>
              </w:rPr>
              <w:t>涪阳镇下江口村</w:t>
            </w:r>
          </w:p>
        </w:tc>
        <w:tc>
          <w:tcPr>
            <w:tcW w:w="686" w:type="pct"/>
            <w:shd w:val="clear" w:color="auto" w:fill="auto"/>
            <w:vAlign w:val="center"/>
          </w:tcPr>
          <w:p w14:paraId="3B87BC31" w14:textId="77777777" w:rsidR="007D1E74" w:rsidRDefault="00A95641">
            <w:pPr>
              <w:jc w:val="center"/>
              <w:rPr>
                <w:kern w:val="0"/>
                <w:szCs w:val="21"/>
              </w:rPr>
            </w:pPr>
            <w:r>
              <w:rPr>
                <w:rFonts w:hint="eastAsia"/>
                <w:kern w:val="0"/>
                <w:szCs w:val="21"/>
              </w:rPr>
              <w:t>1</w:t>
            </w:r>
            <w:r>
              <w:rPr>
                <w:kern w:val="0"/>
                <w:szCs w:val="21"/>
              </w:rPr>
              <w:t>007</w:t>
            </w:r>
          </w:p>
        </w:tc>
        <w:tc>
          <w:tcPr>
            <w:tcW w:w="762" w:type="pct"/>
            <w:vAlign w:val="center"/>
          </w:tcPr>
          <w:p w14:paraId="614B88BA" w14:textId="77777777" w:rsidR="007D1E74" w:rsidRDefault="00A95641">
            <w:pPr>
              <w:jc w:val="center"/>
              <w:rPr>
                <w:kern w:val="0"/>
                <w:szCs w:val="21"/>
              </w:rPr>
            </w:pPr>
            <w:r>
              <w:rPr>
                <w:kern w:val="0"/>
                <w:szCs w:val="21"/>
              </w:rPr>
              <w:t>107.143094</w:t>
            </w:r>
          </w:p>
        </w:tc>
        <w:tc>
          <w:tcPr>
            <w:tcW w:w="762" w:type="pct"/>
            <w:vAlign w:val="center"/>
          </w:tcPr>
          <w:p w14:paraId="29C93B1D" w14:textId="77777777" w:rsidR="007D1E74" w:rsidRDefault="00A95641">
            <w:pPr>
              <w:jc w:val="center"/>
              <w:rPr>
                <w:kern w:val="0"/>
                <w:szCs w:val="21"/>
              </w:rPr>
            </w:pPr>
            <w:r>
              <w:rPr>
                <w:kern w:val="0"/>
                <w:szCs w:val="21"/>
              </w:rPr>
              <w:t>32.047484</w:t>
            </w:r>
          </w:p>
        </w:tc>
        <w:tc>
          <w:tcPr>
            <w:tcW w:w="1344" w:type="pct"/>
            <w:vAlign w:val="center"/>
          </w:tcPr>
          <w:p w14:paraId="27ED7E76" w14:textId="77777777" w:rsidR="007D1E74" w:rsidRDefault="00A95641">
            <w:pPr>
              <w:jc w:val="center"/>
              <w:rPr>
                <w:kern w:val="0"/>
                <w:szCs w:val="21"/>
              </w:rPr>
            </w:pPr>
            <w:r>
              <w:rPr>
                <w:rFonts w:hint="eastAsia"/>
                <w:kern w:val="0"/>
                <w:szCs w:val="21"/>
              </w:rPr>
              <w:t>麻栎林</w:t>
            </w:r>
            <w:r>
              <w:rPr>
                <w:rFonts w:hint="eastAsia"/>
                <w:kern w:val="0"/>
                <w:szCs w:val="21"/>
              </w:rPr>
              <w:t>(4)</w:t>
            </w:r>
          </w:p>
        </w:tc>
      </w:tr>
      <w:tr w:rsidR="007D1E74" w14:paraId="6BEBF429" w14:textId="77777777">
        <w:tc>
          <w:tcPr>
            <w:tcW w:w="455" w:type="pct"/>
            <w:shd w:val="clear" w:color="auto" w:fill="auto"/>
            <w:vAlign w:val="center"/>
          </w:tcPr>
          <w:p w14:paraId="29FF6034" w14:textId="77777777" w:rsidR="007D1E74" w:rsidRDefault="00A95641">
            <w:pPr>
              <w:jc w:val="center"/>
              <w:rPr>
                <w:kern w:val="0"/>
                <w:szCs w:val="21"/>
              </w:rPr>
            </w:pPr>
            <w:r>
              <w:rPr>
                <w:rFonts w:hint="eastAsia"/>
                <w:kern w:val="0"/>
                <w:szCs w:val="21"/>
              </w:rPr>
              <w:t>1</w:t>
            </w:r>
            <w:r>
              <w:rPr>
                <w:kern w:val="0"/>
                <w:szCs w:val="21"/>
              </w:rPr>
              <w:t>0</w:t>
            </w:r>
          </w:p>
        </w:tc>
        <w:tc>
          <w:tcPr>
            <w:tcW w:w="991" w:type="pct"/>
            <w:vAlign w:val="center"/>
          </w:tcPr>
          <w:p w14:paraId="451A63FC" w14:textId="77777777" w:rsidR="007D1E74" w:rsidRDefault="00A95641">
            <w:pPr>
              <w:jc w:val="center"/>
              <w:rPr>
                <w:kern w:val="0"/>
                <w:szCs w:val="21"/>
              </w:rPr>
            </w:pPr>
            <w:r>
              <w:rPr>
                <w:rFonts w:hint="eastAsia"/>
                <w:kern w:val="0"/>
                <w:szCs w:val="21"/>
              </w:rPr>
              <w:t>涪阳镇红江村</w:t>
            </w:r>
          </w:p>
        </w:tc>
        <w:tc>
          <w:tcPr>
            <w:tcW w:w="686" w:type="pct"/>
            <w:shd w:val="clear" w:color="auto" w:fill="auto"/>
            <w:vAlign w:val="center"/>
          </w:tcPr>
          <w:p w14:paraId="207AA420" w14:textId="77777777" w:rsidR="007D1E74" w:rsidRDefault="00A95641">
            <w:pPr>
              <w:jc w:val="center"/>
              <w:rPr>
                <w:kern w:val="0"/>
                <w:szCs w:val="21"/>
              </w:rPr>
            </w:pPr>
            <w:r>
              <w:rPr>
                <w:rFonts w:hint="eastAsia"/>
                <w:kern w:val="0"/>
                <w:szCs w:val="21"/>
              </w:rPr>
              <w:t>4</w:t>
            </w:r>
            <w:r>
              <w:rPr>
                <w:kern w:val="0"/>
                <w:szCs w:val="21"/>
              </w:rPr>
              <w:t>30</w:t>
            </w:r>
          </w:p>
        </w:tc>
        <w:tc>
          <w:tcPr>
            <w:tcW w:w="762" w:type="pct"/>
            <w:vAlign w:val="center"/>
          </w:tcPr>
          <w:p w14:paraId="1BF7107B" w14:textId="77777777" w:rsidR="007D1E74" w:rsidRDefault="00A95641">
            <w:pPr>
              <w:jc w:val="center"/>
              <w:rPr>
                <w:kern w:val="0"/>
                <w:szCs w:val="21"/>
              </w:rPr>
            </w:pPr>
            <w:r>
              <w:rPr>
                <w:kern w:val="0"/>
                <w:szCs w:val="21"/>
              </w:rPr>
              <w:t>107.149757</w:t>
            </w:r>
          </w:p>
        </w:tc>
        <w:tc>
          <w:tcPr>
            <w:tcW w:w="762" w:type="pct"/>
            <w:vAlign w:val="center"/>
          </w:tcPr>
          <w:p w14:paraId="704002A4" w14:textId="77777777" w:rsidR="007D1E74" w:rsidRDefault="00A95641">
            <w:pPr>
              <w:jc w:val="center"/>
              <w:rPr>
                <w:kern w:val="0"/>
                <w:szCs w:val="21"/>
              </w:rPr>
            </w:pPr>
            <w:r>
              <w:rPr>
                <w:kern w:val="0"/>
                <w:szCs w:val="21"/>
              </w:rPr>
              <w:t>32.064693</w:t>
            </w:r>
          </w:p>
        </w:tc>
        <w:tc>
          <w:tcPr>
            <w:tcW w:w="1344" w:type="pct"/>
            <w:vAlign w:val="center"/>
          </w:tcPr>
          <w:p w14:paraId="62B2441D" w14:textId="77777777" w:rsidR="007D1E74" w:rsidRDefault="00A95641">
            <w:pPr>
              <w:jc w:val="center"/>
              <w:rPr>
                <w:kern w:val="0"/>
                <w:szCs w:val="21"/>
              </w:rPr>
            </w:pPr>
            <w:r>
              <w:rPr>
                <w:rFonts w:hint="eastAsia"/>
                <w:kern w:val="0"/>
                <w:szCs w:val="21"/>
              </w:rPr>
              <w:t>柏木林</w:t>
            </w:r>
            <w:r>
              <w:rPr>
                <w:rFonts w:hint="eastAsia"/>
                <w:kern w:val="0"/>
                <w:szCs w:val="21"/>
              </w:rPr>
              <w:t>(4)</w:t>
            </w:r>
          </w:p>
        </w:tc>
      </w:tr>
      <w:tr w:rsidR="007D1E74" w14:paraId="02B8ECD7" w14:textId="77777777">
        <w:tc>
          <w:tcPr>
            <w:tcW w:w="455" w:type="pct"/>
            <w:shd w:val="clear" w:color="auto" w:fill="auto"/>
            <w:vAlign w:val="center"/>
          </w:tcPr>
          <w:p w14:paraId="5602AAC0" w14:textId="77777777" w:rsidR="007D1E74" w:rsidRDefault="00A95641">
            <w:pPr>
              <w:jc w:val="center"/>
              <w:rPr>
                <w:kern w:val="0"/>
                <w:szCs w:val="21"/>
              </w:rPr>
            </w:pPr>
            <w:r>
              <w:rPr>
                <w:rFonts w:hint="eastAsia"/>
                <w:kern w:val="0"/>
                <w:szCs w:val="21"/>
              </w:rPr>
              <w:t>1</w:t>
            </w:r>
            <w:r>
              <w:rPr>
                <w:kern w:val="0"/>
                <w:szCs w:val="21"/>
              </w:rPr>
              <w:t>1</w:t>
            </w:r>
          </w:p>
        </w:tc>
        <w:tc>
          <w:tcPr>
            <w:tcW w:w="991" w:type="pct"/>
            <w:vAlign w:val="center"/>
          </w:tcPr>
          <w:p w14:paraId="3F5D6A48" w14:textId="77777777" w:rsidR="007D1E74" w:rsidRDefault="00A95641">
            <w:pPr>
              <w:jc w:val="center"/>
              <w:rPr>
                <w:kern w:val="0"/>
                <w:szCs w:val="21"/>
              </w:rPr>
            </w:pPr>
            <w:r>
              <w:rPr>
                <w:rFonts w:hint="eastAsia"/>
                <w:kern w:val="0"/>
                <w:szCs w:val="21"/>
              </w:rPr>
              <w:t>涪阳镇火石岭村</w:t>
            </w:r>
          </w:p>
        </w:tc>
        <w:tc>
          <w:tcPr>
            <w:tcW w:w="686" w:type="pct"/>
            <w:shd w:val="clear" w:color="auto" w:fill="auto"/>
            <w:vAlign w:val="center"/>
          </w:tcPr>
          <w:p w14:paraId="7DC32086" w14:textId="77777777" w:rsidR="007D1E74" w:rsidRDefault="00A95641">
            <w:pPr>
              <w:jc w:val="center"/>
              <w:rPr>
                <w:kern w:val="0"/>
                <w:szCs w:val="21"/>
              </w:rPr>
            </w:pPr>
            <w:r>
              <w:rPr>
                <w:rFonts w:hint="eastAsia"/>
                <w:kern w:val="0"/>
                <w:szCs w:val="21"/>
              </w:rPr>
              <w:t>5</w:t>
            </w:r>
            <w:r>
              <w:rPr>
                <w:kern w:val="0"/>
                <w:szCs w:val="21"/>
              </w:rPr>
              <w:t>01</w:t>
            </w:r>
          </w:p>
        </w:tc>
        <w:tc>
          <w:tcPr>
            <w:tcW w:w="762" w:type="pct"/>
            <w:vAlign w:val="center"/>
          </w:tcPr>
          <w:p w14:paraId="41C3A2C0" w14:textId="77777777" w:rsidR="007D1E74" w:rsidRDefault="00A95641">
            <w:pPr>
              <w:jc w:val="center"/>
              <w:rPr>
                <w:kern w:val="0"/>
                <w:szCs w:val="21"/>
              </w:rPr>
            </w:pPr>
            <w:r>
              <w:rPr>
                <w:kern w:val="0"/>
                <w:szCs w:val="21"/>
              </w:rPr>
              <w:t>107.158082</w:t>
            </w:r>
          </w:p>
        </w:tc>
        <w:tc>
          <w:tcPr>
            <w:tcW w:w="762" w:type="pct"/>
            <w:vAlign w:val="center"/>
          </w:tcPr>
          <w:p w14:paraId="09477326" w14:textId="77777777" w:rsidR="007D1E74" w:rsidRDefault="00A95641">
            <w:pPr>
              <w:jc w:val="center"/>
              <w:rPr>
                <w:kern w:val="0"/>
                <w:szCs w:val="21"/>
              </w:rPr>
            </w:pPr>
            <w:r>
              <w:rPr>
                <w:kern w:val="0"/>
                <w:szCs w:val="21"/>
              </w:rPr>
              <w:t>32.079027</w:t>
            </w:r>
          </w:p>
        </w:tc>
        <w:tc>
          <w:tcPr>
            <w:tcW w:w="1344" w:type="pct"/>
            <w:vAlign w:val="center"/>
          </w:tcPr>
          <w:p w14:paraId="151932A7" w14:textId="77777777" w:rsidR="007D1E74" w:rsidRDefault="00A95641">
            <w:pPr>
              <w:jc w:val="center"/>
              <w:rPr>
                <w:kern w:val="0"/>
                <w:szCs w:val="21"/>
              </w:rPr>
            </w:pPr>
            <w:r>
              <w:rPr>
                <w:rFonts w:hint="eastAsia"/>
                <w:kern w:val="0"/>
                <w:szCs w:val="21"/>
              </w:rPr>
              <w:t>锐齿槲栎灌丛</w:t>
            </w:r>
            <w:r>
              <w:rPr>
                <w:rFonts w:hint="eastAsia"/>
                <w:kern w:val="0"/>
                <w:szCs w:val="21"/>
              </w:rPr>
              <w:t>(6)</w:t>
            </w:r>
          </w:p>
        </w:tc>
      </w:tr>
      <w:tr w:rsidR="007D1E74" w14:paraId="44EE37CE" w14:textId="77777777">
        <w:tc>
          <w:tcPr>
            <w:tcW w:w="455" w:type="pct"/>
            <w:shd w:val="clear" w:color="auto" w:fill="auto"/>
            <w:vAlign w:val="center"/>
          </w:tcPr>
          <w:p w14:paraId="0B62A21D" w14:textId="77777777" w:rsidR="007D1E74" w:rsidRDefault="00A95641">
            <w:pPr>
              <w:jc w:val="center"/>
              <w:rPr>
                <w:kern w:val="0"/>
                <w:szCs w:val="21"/>
              </w:rPr>
            </w:pPr>
            <w:r>
              <w:rPr>
                <w:rFonts w:hint="eastAsia"/>
                <w:kern w:val="0"/>
                <w:szCs w:val="21"/>
              </w:rPr>
              <w:t>1</w:t>
            </w:r>
            <w:r>
              <w:rPr>
                <w:kern w:val="0"/>
                <w:szCs w:val="21"/>
              </w:rPr>
              <w:t>2</w:t>
            </w:r>
          </w:p>
        </w:tc>
        <w:tc>
          <w:tcPr>
            <w:tcW w:w="991" w:type="pct"/>
            <w:vAlign w:val="center"/>
          </w:tcPr>
          <w:p w14:paraId="61F1FA3E" w14:textId="77777777" w:rsidR="007D1E74" w:rsidRDefault="00A95641">
            <w:pPr>
              <w:jc w:val="center"/>
              <w:rPr>
                <w:kern w:val="0"/>
                <w:szCs w:val="21"/>
              </w:rPr>
            </w:pPr>
            <w:r>
              <w:rPr>
                <w:rFonts w:hint="eastAsia"/>
                <w:kern w:val="0"/>
                <w:szCs w:val="21"/>
              </w:rPr>
              <w:t>涪阳镇火石岭村</w:t>
            </w:r>
          </w:p>
        </w:tc>
        <w:tc>
          <w:tcPr>
            <w:tcW w:w="686" w:type="pct"/>
            <w:shd w:val="clear" w:color="auto" w:fill="auto"/>
            <w:vAlign w:val="center"/>
          </w:tcPr>
          <w:p w14:paraId="1B1A06D7" w14:textId="77777777" w:rsidR="007D1E74" w:rsidRDefault="00A95641">
            <w:pPr>
              <w:jc w:val="center"/>
              <w:rPr>
                <w:kern w:val="0"/>
                <w:szCs w:val="21"/>
              </w:rPr>
            </w:pPr>
            <w:r>
              <w:rPr>
                <w:rFonts w:hint="eastAsia"/>
                <w:kern w:val="0"/>
                <w:szCs w:val="21"/>
              </w:rPr>
              <w:t>6</w:t>
            </w:r>
            <w:r>
              <w:rPr>
                <w:kern w:val="0"/>
                <w:szCs w:val="21"/>
              </w:rPr>
              <w:t>00</w:t>
            </w:r>
          </w:p>
        </w:tc>
        <w:tc>
          <w:tcPr>
            <w:tcW w:w="762" w:type="pct"/>
            <w:vAlign w:val="center"/>
          </w:tcPr>
          <w:p w14:paraId="508526FE" w14:textId="77777777" w:rsidR="007D1E74" w:rsidRDefault="00A95641">
            <w:pPr>
              <w:jc w:val="center"/>
              <w:rPr>
                <w:kern w:val="0"/>
                <w:szCs w:val="21"/>
              </w:rPr>
            </w:pPr>
            <w:r>
              <w:rPr>
                <w:kern w:val="0"/>
                <w:szCs w:val="21"/>
              </w:rPr>
              <w:t>107.175624</w:t>
            </w:r>
          </w:p>
        </w:tc>
        <w:tc>
          <w:tcPr>
            <w:tcW w:w="762" w:type="pct"/>
            <w:vAlign w:val="center"/>
          </w:tcPr>
          <w:p w14:paraId="1F35C3A7" w14:textId="77777777" w:rsidR="007D1E74" w:rsidRDefault="00A95641">
            <w:pPr>
              <w:jc w:val="center"/>
              <w:rPr>
                <w:kern w:val="0"/>
                <w:szCs w:val="21"/>
              </w:rPr>
            </w:pPr>
            <w:r>
              <w:rPr>
                <w:kern w:val="0"/>
                <w:szCs w:val="21"/>
              </w:rPr>
              <w:t>32.079714</w:t>
            </w:r>
          </w:p>
        </w:tc>
        <w:tc>
          <w:tcPr>
            <w:tcW w:w="1344" w:type="pct"/>
            <w:vAlign w:val="center"/>
          </w:tcPr>
          <w:p w14:paraId="6C9FAE4A" w14:textId="77777777" w:rsidR="007D1E74" w:rsidRDefault="00A95641">
            <w:pPr>
              <w:jc w:val="center"/>
              <w:rPr>
                <w:kern w:val="0"/>
                <w:szCs w:val="21"/>
              </w:rPr>
            </w:pPr>
            <w:r>
              <w:rPr>
                <w:rFonts w:hint="eastAsia"/>
                <w:kern w:val="0"/>
                <w:szCs w:val="21"/>
              </w:rPr>
              <w:t>柏木林</w:t>
            </w:r>
            <w:r>
              <w:rPr>
                <w:rFonts w:hint="eastAsia"/>
                <w:kern w:val="0"/>
                <w:szCs w:val="21"/>
              </w:rPr>
              <w:t>(4)</w:t>
            </w:r>
          </w:p>
        </w:tc>
      </w:tr>
      <w:tr w:rsidR="007D1E74" w14:paraId="467B6274" w14:textId="77777777">
        <w:tc>
          <w:tcPr>
            <w:tcW w:w="455" w:type="pct"/>
            <w:shd w:val="clear" w:color="auto" w:fill="auto"/>
            <w:vAlign w:val="center"/>
          </w:tcPr>
          <w:p w14:paraId="01DFBB79" w14:textId="77777777" w:rsidR="007D1E74" w:rsidRDefault="00A95641">
            <w:pPr>
              <w:jc w:val="center"/>
              <w:rPr>
                <w:kern w:val="0"/>
                <w:szCs w:val="21"/>
              </w:rPr>
            </w:pPr>
            <w:r>
              <w:rPr>
                <w:rFonts w:hint="eastAsia"/>
                <w:kern w:val="0"/>
                <w:szCs w:val="21"/>
              </w:rPr>
              <w:t>1</w:t>
            </w:r>
            <w:r>
              <w:rPr>
                <w:kern w:val="0"/>
                <w:szCs w:val="21"/>
              </w:rPr>
              <w:t>3</w:t>
            </w:r>
          </w:p>
        </w:tc>
        <w:tc>
          <w:tcPr>
            <w:tcW w:w="991" w:type="pct"/>
            <w:vAlign w:val="center"/>
          </w:tcPr>
          <w:p w14:paraId="7F27B811" w14:textId="77777777" w:rsidR="007D1E74" w:rsidRDefault="00A95641">
            <w:pPr>
              <w:jc w:val="center"/>
              <w:rPr>
                <w:kern w:val="0"/>
                <w:szCs w:val="21"/>
              </w:rPr>
            </w:pPr>
            <w:r>
              <w:rPr>
                <w:rFonts w:hint="eastAsia"/>
                <w:kern w:val="0"/>
                <w:szCs w:val="21"/>
              </w:rPr>
              <w:t>新场镇金家坪村</w:t>
            </w:r>
          </w:p>
        </w:tc>
        <w:tc>
          <w:tcPr>
            <w:tcW w:w="686" w:type="pct"/>
            <w:shd w:val="clear" w:color="auto" w:fill="auto"/>
            <w:vAlign w:val="center"/>
          </w:tcPr>
          <w:p w14:paraId="31CD5D57" w14:textId="77777777" w:rsidR="007D1E74" w:rsidRDefault="00A95641">
            <w:pPr>
              <w:jc w:val="center"/>
              <w:rPr>
                <w:kern w:val="0"/>
                <w:szCs w:val="21"/>
              </w:rPr>
            </w:pPr>
            <w:r>
              <w:rPr>
                <w:rFonts w:hint="eastAsia"/>
                <w:kern w:val="0"/>
                <w:szCs w:val="21"/>
              </w:rPr>
              <w:t>5</w:t>
            </w:r>
            <w:r>
              <w:rPr>
                <w:kern w:val="0"/>
                <w:szCs w:val="21"/>
              </w:rPr>
              <w:t>07</w:t>
            </w:r>
          </w:p>
        </w:tc>
        <w:tc>
          <w:tcPr>
            <w:tcW w:w="762" w:type="pct"/>
            <w:vAlign w:val="center"/>
          </w:tcPr>
          <w:p w14:paraId="2E829212" w14:textId="77777777" w:rsidR="007D1E74" w:rsidRDefault="00A95641">
            <w:pPr>
              <w:jc w:val="center"/>
              <w:rPr>
                <w:kern w:val="0"/>
                <w:szCs w:val="21"/>
              </w:rPr>
            </w:pPr>
            <w:r>
              <w:rPr>
                <w:kern w:val="0"/>
                <w:szCs w:val="21"/>
              </w:rPr>
              <w:t>107.178424</w:t>
            </w:r>
          </w:p>
        </w:tc>
        <w:tc>
          <w:tcPr>
            <w:tcW w:w="762" w:type="pct"/>
            <w:vAlign w:val="center"/>
          </w:tcPr>
          <w:p w14:paraId="622A909B" w14:textId="77777777" w:rsidR="007D1E74" w:rsidRDefault="00A95641">
            <w:pPr>
              <w:jc w:val="center"/>
              <w:rPr>
                <w:kern w:val="0"/>
                <w:szCs w:val="21"/>
              </w:rPr>
            </w:pPr>
            <w:r>
              <w:rPr>
                <w:kern w:val="0"/>
                <w:szCs w:val="21"/>
              </w:rPr>
              <w:t>32.087042</w:t>
            </w:r>
          </w:p>
        </w:tc>
        <w:tc>
          <w:tcPr>
            <w:tcW w:w="1344" w:type="pct"/>
            <w:vAlign w:val="center"/>
          </w:tcPr>
          <w:p w14:paraId="15FA82DF" w14:textId="77777777" w:rsidR="007D1E74" w:rsidRDefault="00A95641">
            <w:pPr>
              <w:jc w:val="center"/>
              <w:rPr>
                <w:kern w:val="0"/>
                <w:szCs w:val="21"/>
              </w:rPr>
            </w:pPr>
            <w:r>
              <w:rPr>
                <w:rFonts w:hint="eastAsia"/>
                <w:kern w:val="0"/>
                <w:szCs w:val="21"/>
              </w:rPr>
              <w:t>桤木林</w:t>
            </w:r>
            <w:r>
              <w:rPr>
                <w:rFonts w:hint="eastAsia"/>
                <w:kern w:val="0"/>
                <w:szCs w:val="21"/>
              </w:rPr>
              <w:t>(4)</w:t>
            </w:r>
          </w:p>
        </w:tc>
      </w:tr>
      <w:tr w:rsidR="007D1E74" w14:paraId="784E29A2" w14:textId="77777777">
        <w:tc>
          <w:tcPr>
            <w:tcW w:w="455" w:type="pct"/>
            <w:shd w:val="clear" w:color="auto" w:fill="auto"/>
            <w:vAlign w:val="center"/>
          </w:tcPr>
          <w:p w14:paraId="067CD3E3" w14:textId="77777777" w:rsidR="007D1E74" w:rsidRDefault="00A95641">
            <w:pPr>
              <w:jc w:val="center"/>
              <w:rPr>
                <w:kern w:val="0"/>
                <w:szCs w:val="21"/>
              </w:rPr>
            </w:pPr>
            <w:r>
              <w:rPr>
                <w:rFonts w:hint="eastAsia"/>
                <w:kern w:val="0"/>
                <w:szCs w:val="21"/>
              </w:rPr>
              <w:t>1</w:t>
            </w:r>
            <w:r>
              <w:rPr>
                <w:kern w:val="0"/>
                <w:szCs w:val="21"/>
              </w:rPr>
              <w:t>4</w:t>
            </w:r>
          </w:p>
        </w:tc>
        <w:tc>
          <w:tcPr>
            <w:tcW w:w="991" w:type="pct"/>
            <w:vAlign w:val="center"/>
          </w:tcPr>
          <w:p w14:paraId="7DD95379" w14:textId="77777777" w:rsidR="007D1E74" w:rsidRDefault="00A95641">
            <w:pPr>
              <w:jc w:val="center"/>
              <w:rPr>
                <w:kern w:val="0"/>
                <w:szCs w:val="21"/>
              </w:rPr>
            </w:pPr>
            <w:r>
              <w:rPr>
                <w:rFonts w:hint="eastAsia"/>
                <w:kern w:val="0"/>
                <w:szCs w:val="21"/>
              </w:rPr>
              <w:t>新场镇巴州沟村</w:t>
            </w:r>
          </w:p>
        </w:tc>
        <w:tc>
          <w:tcPr>
            <w:tcW w:w="686" w:type="pct"/>
            <w:shd w:val="clear" w:color="auto" w:fill="auto"/>
            <w:vAlign w:val="center"/>
          </w:tcPr>
          <w:p w14:paraId="15644903" w14:textId="77777777" w:rsidR="007D1E74" w:rsidRDefault="00A95641">
            <w:pPr>
              <w:jc w:val="center"/>
              <w:rPr>
                <w:kern w:val="0"/>
                <w:szCs w:val="21"/>
              </w:rPr>
            </w:pPr>
            <w:r>
              <w:rPr>
                <w:rFonts w:hint="eastAsia"/>
                <w:kern w:val="0"/>
                <w:szCs w:val="21"/>
              </w:rPr>
              <w:t>5</w:t>
            </w:r>
            <w:r>
              <w:rPr>
                <w:kern w:val="0"/>
                <w:szCs w:val="21"/>
              </w:rPr>
              <w:t>53</w:t>
            </w:r>
          </w:p>
        </w:tc>
        <w:tc>
          <w:tcPr>
            <w:tcW w:w="762" w:type="pct"/>
            <w:vAlign w:val="center"/>
          </w:tcPr>
          <w:p w14:paraId="4351BBE6" w14:textId="77777777" w:rsidR="007D1E74" w:rsidRDefault="00A95641">
            <w:pPr>
              <w:jc w:val="center"/>
              <w:rPr>
                <w:kern w:val="0"/>
                <w:szCs w:val="21"/>
              </w:rPr>
            </w:pPr>
            <w:r>
              <w:rPr>
                <w:kern w:val="0"/>
                <w:szCs w:val="21"/>
              </w:rPr>
              <w:t>107.182040</w:t>
            </w:r>
          </w:p>
        </w:tc>
        <w:tc>
          <w:tcPr>
            <w:tcW w:w="762" w:type="pct"/>
            <w:vAlign w:val="center"/>
          </w:tcPr>
          <w:p w14:paraId="31A24F28" w14:textId="77777777" w:rsidR="007D1E74" w:rsidRDefault="00A95641">
            <w:pPr>
              <w:jc w:val="center"/>
              <w:rPr>
                <w:kern w:val="0"/>
                <w:szCs w:val="21"/>
              </w:rPr>
            </w:pPr>
            <w:r>
              <w:rPr>
                <w:kern w:val="0"/>
                <w:szCs w:val="21"/>
              </w:rPr>
              <w:t>32.115435</w:t>
            </w:r>
          </w:p>
        </w:tc>
        <w:tc>
          <w:tcPr>
            <w:tcW w:w="1344" w:type="pct"/>
            <w:vAlign w:val="center"/>
          </w:tcPr>
          <w:p w14:paraId="3AC37AE3" w14:textId="77777777" w:rsidR="007D1E74" w:rsidRDefault="00A95641">
            <w:pPr>
              <w:jc w:val="center"/>
              <w:rPr>
                <w:kern w:val="0"/>
                <w:szCs w:val="21"/>
              </w:rPr>
            </w:pPr>
            <w:r>
              <w:rPr>
                <w:rFonts w:hint="eastAsia"/>
                <w:kern w:val="0"/>
                <w:szCs w:val="21"/>
              </w:rPr>
              <w:t>耕地</w:t>
            </w:r>
            <w:r>
              <w:rPr>
                <w:rFonts w:hint="eastAsia"/>
                <w:kern w:val="0"/>
                <w:szCs w:val="21"/>
              </w:rPr>
              <w:t>(4)</w:t>
            </w:r>
          </w:p>
        </w:tc>
      </w:tr>
      <w:tr w:rsidR="007D1E74" w14:paraId="2E3B1A4C" w14:textId="77777777">
        <w:tc>
          <w:tcPr>
            <w:tcW w:w="455" w:type="pct"/>
            <w:shd w:val="clear" w:color="auto" w:fill="auto"/>
            <w:vAlign w:val="center"/>
          </w:tcPr>
          <w:p w14:paraId="69A01D84" w14:textId="77777777" w:rsidR="007D1E74" w:rsidRDefault="00A95641">
            <w:pPr>
              <w:jc w:val="center"/>
              <w:rPr>
                <w:kern w:val="0"/>
                <w:szCs w:val="21"/>
              </w:rPr>
            </w:pPr>
            <w:r>
              <w:rPr>
                <w:rFonts w:hint="eastAsia"/>
                <w:kern w:val="0"/>
                <w:szCs w:val="21"/>
              </w:rPr>
              <w:t>1</w:t>
            </w:r>
            <w:r>
              <w:rPr>
                <w:kern w:val="0"/>
                <w:szCs w:val="21"/>
              </w:rPr>
              <w:t>5</w:t>
            </w:r>
          </w:p>
        </w:tc>
        <w:tc>
          <w:tcPr>
            <w:tcW w:w="991" w:type="pct"/>
            <w:vAlign w:val="center"/>
          </w:tcPr>
          <w:p w14:paraId="3E993FEC" w14:textId="77777777" w:rsidR="007D1E74" w:rsidRDefault="00A95641">
            <w:pPr>
              <w:jc w:val="center"/>
              <w:rPr>
                <w:kern w:val="0"/>
                <w:szCs w:val="21"/>
              </w:rPr>
            </w:pPr>
            <w:r>
              <w:rPr>
                <w:rFonts w:hint="eastAsia"/>
                <w:kern w:val="0"/>
                <w:szCs w:val="21"/>
              </w:rPr>
              <w:t>新场镇清江村</w:t>
            </w:r>
          </w:p>
        </w:tc>
        <w:tc>
          <w:tcPr>
            <w:tcW w:w="686" w:type="pct"/>
            <w:shd w:val="clear" w:color="auto" w:fill="auto"/>
            <w:vAlign w:val="center"/>
          </w:tcPr>
          <w:p w14:paraId="18361AF3" w14:textId="77777777" w:rsidR="007D1E74" w:rsidRDefault="00A95641">
            <w:pPr>
              <w:jc w:val="center"/>
              <w:rPr>
                <w:kern w:val="0"/>
                <w:szCs w:val="21"/>
              </w:rPr>
            </w:pPr>
            <w:r>
              <w:rPr>
                <w:rFonts w:hint="eastAsia"/>
                <w:kern w:val="0"/>
                <w:szCs w:val="21"/>
              </w:rPr>
              <w:t>5</w:t>
            </w:r>
            <w:r>
              <w:rPr>
                <w:kern w:val="0"/>
                <w:szCs w:val="21"/>
              </w:rPr>
              <w:t>17</w:t>
            </w:r>
          </w:p>
        </w:tc>
        <w:tc>
          <w:tcPr>
            <w:tcW w:w="762" w:type="pct"/>
            <w:vAlign w:val="center"/>
          </w:tcPr>
          <w:p w14:paraId="6EB4AA6D" w14:textId="77777777" w:rsidR="007D1E74" w:rsidRDefault="00A95641">
            <w:pPr>
              <w:jc w:val="center"/>
              <w:rPr>
                <w:kern w:val="0"/>
                <w:szCs w:val="21"/>
              </w:rPr>
            </w:pPr>
            <w:r>
              <w:rPr>
                <w:kern w:val="0"/>
                <w:szCs w:val="21"/>
              </w:rPr>
              <w:t>107.169957</w:t>
            </w:r>
          </w:p>
        </w:tc>
        <w:tc>
          <w:tcPr>
            <w:tcW w:w="762" w:type="pct"/>
            <w:vAlign w:val="center"/>
          </w:tcPr>
          <w:p w14:paraId="23FB02BF" w14:textId="77777777" w:rsidR="007D1E74" w:rsidRDefault="00A95641">
            <w:pPr>
              <w:jc w:val="center"/>
              <w:rPr>
                <w:kern w:val="0"/>
                <w:szCs w:val="21"/>
              </w:rPr>
            </w:pPr>
            <w:r>
              <w:rPr>
                <w:kern w:val="0"/>
                <w:szCs w:val="21"/>
              </w:rPr>
              <w:t>32.119510</w:t>
            </w:r>
          </w:p>
        </w:tc>
        <w:tc>
          <w:tcPr>
            <w:tcW w:w="1344" w:type="pct"/>
            <w:vAlign w:val="center"/>
          </w:tcPr>
          <w:p w14:paraId="6FA529A2" w14:textId="77777777" w:rsidR="007D1E74" w:rsidRDefault="00A95641">
            <w:pPr>
              <w:jc w:val="center"/>
              <w:rPr>
                <w:kern w:val="0"/>
                <w:szCs w:val="21"/>
              </w:rPr>
            </w:pPr>
            <w:r>
              <w:rPr>
                <w:rFonts w:hint="eastAsia"/>
                <w:kern w:val="0"/>
                <w:szCs w:val="21"/>
              </w:rPr>
              <w:t>白茅灌草丛</w:t>
            </w:r>
            <w:r>
              <w:rPr>
                <w:rFonts w:hint="eastAsia"/>
                <w:kern w:val="0"/>
                <w:szCs w:val="21"/>
              </w:rPr>
              <w:t>(4)</w:t>
            </w:r>
          </w:p>
        </w:tc>
      </w:tr>
      <w:tr w:rsidR="007D1E74" w14:paraId="25098617" w14:textId="77777777">
        <w:tc>
          <w:tcPr>
            <w:tcW w:w="455" w:type="pct"/>
            <w:shd w:val="clear" w:color="auto" w:fill="auto"/>
            <w:vAlign w:val="center"/>
          </w:tcPr>
          <w:p w14:paraId="2C6CA58F" w14:textId="77777777" w:rsidR="007D1E74" w:rsidRDefault="00A95641">
            <w:pPr>
              <w:jc w:val="center"/>
              <w:rPr>
                <w:kern w:val="0"/>
                <w:szCs w:val="21"/>
              </w:rPr>
            </w:pPr>
            <w:r>
              <w:rPr>
                <w:rFonts w:hint="eastAsia"/>
                <w:kern w:val="0"/>
                <w:szCs w:val="21"/>
              </w:rPr>
              <w:t>1</w:t>
            </w:r>
            <w:r>
              <w:rPr>
                <w:kern w:val="0"/>
                <w:szCs w:val="21"/>
              </w:rPr>
              <w:t>6</w:t>
            </w:r>
          </w:p>
        </w:tc>
        <w:tc>
          <w:tcPr>
            <w:tcW w:w="991" w:type="pct"/>
            <w:vAlign w:val="center"/>
          </w:tcPr>
          <w:p w14:paraId="5F183185" w14:textId="77777777" w:rsidR="007D1E74" w:rsidRDefault="00A95641">
            <w:pPr>
              <w:jc w:val="center"/>
              <w:rPr>
                <w:kern w:val="0"/>
                <w:szCs w:val="21"/>
              </w:rPr>
            </w:pPr>
            <w:r>
              <w:rPr>
                <w:rFonts w:hint="eastAsia"/>
                <w:kern w:val="0"/>
                <w:szCs w:val="21"/>
              </w:rPr>
              <w:t>新场镇清江村</w:t>
            </w:r>
          </w:p>
        </w:tc>
        <w:tc>
          <w:tcPr>
            <w:tcW w:w="686" w:type="pct"/>
            <w:shd w:val="clear" w:color="auto" w:fill="auto"/>
            <w:vAlign w:val="center"/>
          </w:tcPr>
          <w:p w14:paraId="3E309B9A" w14:textId="77777777" w:rsidR="007D1E74" w:rsidRDefault="00A95641">
            <w:pPr>
              <w:jc w:val="center"/>
              <w:rPr>
                <w:kern w:val="0"/>
                <w:szCs w:val="21"/>
              </w:rPr>
            </w:pPr>
            <w:r>
              <w:rPr>
                <w:rFonts w:hint="eastAsia"/>
                <w:kern w:val="0"/>
                <w:szCs w:val="21"/>
              </w:rPr>
              <w:t>5</w:t>
            </w:r>
            <w:r>
              <w:rPr>
                <w:kern w:val="0"/>
                <w:szCs w:val="21"/>
              </w:rPr>
              <w:t>80</w:t>
            </w:r>
          </w:p>
        </w:tc>
        <w:tc>
          <w:tcPr>
            <w:tcW w:w="762" w:type="pct"/>
            <w:vAlign w:val="center"/>
          </w:tcPr>
          <w:p w14:paraId="69CE2614" w14:textId="77777777" w:rsidR="007D1E74" w:rsidRDefault="00A95641">
            <w:pPr>
              <w:jc w:val="center"/>
              <w:rPr>
                <w:kern w:val="0"/>
                <w:szCs w:val="21"/>
              </w:rPr>
            </w:pPr>
            <w:r>
              <w:rPr>
                <w:kern w:val="0"/>
                <w:szCs w:val="21"/>
              </w:rPr>
              <w:t>107.162894</w:t>
            </w:r>
          </w:p>
        </w:tc>
        <w:tc>
          <w:tcPr>
            <w:tcW w:w="762" w:type="pct"/>
            <w:vAlign w:val="center"/>
          </w:tcPr>
          <w:p w14:paraId="2497C3E1" w14:textId="77777777" w:rsidR="007D1E74" w:rsidRDefault="00A95641">
            <w:pPr>
              <w:jc w:val="center"/>
              <w:rPr>
                <w:kern w:val="0"/>
                <w:szCs w:val="21"/>
              </w:rPr>
            </w:pPr>
            <w:r>
              <w:rPr>
                <w:kern w:val="0"/>
                <w:szCs w:val="21"/>
              </w:rPr>
              <w:t>32.147035</w:t>
            </w:r>
          </w:p>
        </w:tc>
        <w:tc>
          <w:tcPr>
            <w:tcW w:w="1344" w:type="pct"/>
            <w:vAlign w:val="center"/>
          </w:tcPr>
          <w:p w14:paraId="6D4256D1" w14:textId="77777777" w:rsidR="007D1E74" w:rsidRDefault="00A95641">
            <w:pPr>
              <w:jc w:val="center"/>
              <w:rPr>
                <w:kern w:val="0"/>
                <w:szCs w:val="21"/>
              </w:rPr>
            </w:pPr>
            <w:r>
              <w:rPr>
                <w:rFonts w:hint="eastAsia"/>
                <w:kern w:val="0"/>
                <w:szCs w:val="21"/>
              </w:rPr>
              <w:t>麻栎林</w:t>
            </w:r>
            <w:r>
              <w:rPr>
                <w:rFonts w:hint="eastAsia"/>
                <w:kern w:val="0"/>
                <w:szCs w:val="21"/>
              </w:rPr>
              <w:t>(4)</w:t>
            </w:r>
          </w:p>
        </w:tc>
      </w:tr>
      <w:tr w:rsidR="007D1E74" w14:paraId="64E57B83" w14:textId="77777777">
        <w:tc>
          <w:tcPr>
            <w:tcW w:w="455" w:type="pct"/>
            <w:shd w:val="clear" w:color="auto" w:fill="auto"/>
            <w:vAlign w:val="center"/>
          </w:tcPr>
          <w:p w14:paraId="7969E510" w14:textId="77777777" w:rsidR="007D1E74" w:rsidRDefault="00A95641">
            <w:pPr>
              <w:jc w:val="center"/>
              <w:rPr>
                <w:kern w:val="0"/>
                <w:szCs w:val="21"/>
              </w:rPr>
            </w:pPr>
            <w:r>
              <w:rPr>
                <w:rFonts w:hint="eastAsia"/>
                <w:kern w:val="0"/>
                <w:szCs w:val="21"/>
              </w:rPr>
              <w:t>1</w:t>
            </w:r>
            <w:r>
              <w:rPr>
                <w:kern w:val="0"/>
                <w:szCs w:val="21"/>
              </w:rPr>
              <w:t>7</w:t>
            </w:r>
          </w:p>
        </w:tc>
        <w:tc>
          <w:tcPr>
            <w:tcW w:w="991" w:type="pct"/>
            <w:vAlign w:val="center"/>
          </w:tcPr>
          <w:p w14:paraId="6E85864E" w14:textId="77777777" w:rsidR="007D1E74" w:rsidRDefault="00A95641">
            <w:pPr>
              <w:jc w:val="center"/>
              <w:rPr>
                <w:kern w:val="0"/>
                <w:szCs w:val="21"/>
              </w:rPr>
            </w:pPr>
            <w:r>
              <w:rPr>
                <w:rFonts w:hint="eastAsia"/>
                <w:kern w:val="0"/>
                <w:szCs w:val="21"/>
              </w:rPr>
              <w:t>新场镇红岩村</w:t>
            </w:r>
          </w:p>
        </w:tc>
        <w:tc>
          <w:tcPr>
            <w:tcW w:w="686" w:type="pct"/>
            <w:shd w:val="clear" w:color="auto" w:fill="auto"/>
            <w:vAlign w:val="center"/>
          </w:tcPr>
          <w:p w14:paraId="137E42F8" w14:textId="77777777" w:rsidR="007D1E74" w:rsidRDefault="00A95641">
            <w:pPr>
              <w:jc w:val="center"/>
              <w:rPr>
                <w:kern w:val="0"/>
                <w:szCs w:val="21"/>
              </w:rPr>
            </w:pPr>
            <w:r>
              <w:rPr>
                <w:rFonts w:hint="eastAsia"/>
                <w:kern w:val="0"/>
                <w:szCs w:val="21"/>
              </w:rPr>
              <w:t>7</w:t>
            </w:r>
            <w:r>
              <w:rPr>
                <w:kern w:val="0"/>
                <w:szCs w:val="21"/>
              </w:rPr>
              <w:t>10</w:t>
            </w:r>
          </w:p>
        </w:tc>
        <w:tc>
          <w:tcPr>
            <w:tcW w:w="762" w:type="pct"/>
            <w:vAlign w:val="center"/>
          </w:tcPr>
          <w:p w14:paraId="6DDBD578" w14:textId="77777777" w:rsidR="007D1E74" w:rsidRDefault="00A95641">
            <w:pPr>
              <w:jc w:val="center"/>
              <w:rPr>
                <w:kern w:val="0"/>
                <w:szCs w:val="21"/>
              </w:rPr>
            </w:pPr>
            <w:r>
              <w:rPr>
                <w:kern w:val="0"/>
                <w:szCs w:val="21"/>
              </w:rPr>
              <w:t>107.183687</w:t>
            </w:r>
          </w:p>
        </w:tc>
        <w:tc>
          <w:tcPr>
            <w:tcW w:w="762" w:type="pct"/>
            <w:vAlign w:val="center"/>
          </w:tcPr>
          <w:p w14:paraId="25995155" w14:textId="77777777" w:rsidR="007D1E74" w:rsidRDefault="00A95641">
            <w:pPr>
              <w:jc w:val="center"/>
              <w:rPr>
                <w:kern w:val="0"/>
                <w:szCs w:val="21"/>
              </w:rPr>
            </w:pPr>
            <w:r>
              <w:rPr>
                <w:kern w:val="0"/>
                <w:szCs w:val="21"/>
              </w:rPr>
              <w:t>32.151154</w:t>
            </w:r>
          </w:p>
        </w:tc>
        <w:tc>
          <w:tcPr>
            <w:tcW w:w="1344" w:type="pct"/>
            <w:vAlign w:val="center"/>
          </w:tcPr>
          <w:p w14:paraId="05D203B9" w14:textId="77777777" w:rsidR="007D1E74" w:rsidRDefault="00A95641">
            <w:pPr>
              <w:jc w:val="center"/>
              <w:rPr>
                <w:kern w:val="0"/>
                <w:szCs w:val="21"/>
              </w:rPr>
            </w:pPr>
            <w:r>
              <w:rPr>
                <w:rFonts w:hint="eastAsia"/>
                <w:kern w:val="0"/>
                <w:szCs w:val="21"/>
              </w:rPr>
              <w:t>蒿</w:t>
            </w:r>
            <w:r>
              <w:rPr>
                <w:rFonts w:hint="eastAsia"/>
                <w:kern w:val="0"/>
                <w:szCs w:val="21"/>
              </w:rPr>
              <w:t>+</w:t>
            </w:r>
            <w:r>
              <w:rPr>
                <w:rFonts w:hint="eastAsia"/>
                <w:kern w:val="0"/>
                <w:szCs w:val="21"/>
              </w:rPr>
              <w:t>白茅灌草丛</w:t>
            </w:r>
            <w:r>
              <w:rPr>
                <w:rFonts w:hint="eastAsia"/>
                <w:kern w:val="0"/>
                <w:szCs w:val="21"/>
              </w:rPr>
              <w:t>(8+8)</w:t>
            </w:r>
          </w:p>
        </w:tc>
      </w:tr>
      <w:tr w:rsidR="007D1E74" w14:paraId="39C72F13" w14:textId="77777777">
        <w:tc>
          <w:tcPr>
            <w:tcW w:w="455" w:type="pct"/>
            <w:shd w:val="clear" w:color="auto" w:fill="auto"/>
            <w:vAlign w:val="center"/>
          </w:tcPr>
          <w:p w14:paraId="52C05057" w14:textId="77777777" w:rsidR="007D1E74" w:rsidRDefault="00A95641">
            <w:pPr>
              <w:jc w:val="center"/>
              <w:rPr>
                <w:kern w:val="0"/>
                <w:szCs w:val="21"/>
              </w:rPr>
            </w:pPr>
            <w:r>
              <w:rPr>
                <w:rFonts w:hint="eastAsia"/>
                <w:kern w:val="0"/>
                <w:szCs w:val="21"/>
              </w:rPr>
              <w:t>1</w:t>
            </w:r>
            <w:r>
              <w:rPr>
                <w:kern w:val="0"/>
                <w:szCs w:val="21"/>
              </w:rPr>
              <w:t>8</w:t>
            </w:r>
          </w:p>
        </w:tc>
        <w:tc>
          <w:tcPr>
            <w:tcW w:w="991" w:type="pct"/>
            <w:vAlign w:val="center"/>
          </w:tcPr>
          <w:p w14:paraId="36D70E32" w14:textId="77777777" w:rsidR="007D1E74" w:rsidRDefault="00A95641">
            <w:pPr>
              <w:jc w:val="center"/>
              <w:rPr>
                <w:kern w:val="0"/>
                <w:szCs w:val="21"/>
              </w:rPr>
            </w:pPr>
            <w:r>
              <w:rPr>
                <w:rFonts w:hint="eastAsia"/>
                <w:kern w:val="0"/>
                <w:szCs w:val="21"/>
              </w:rPr>
              <w:t>青峪镇窄口村</w:t>
            </w:r>
          </w:p>
        </w:tc>
        <w:tc>
          <w:tcPr>
            <w:tcW w:w="686" w:type="pct"/>
            <w:shd w:val="clear" w:color="auto" w:fill="auto"/>
            <w:vAlign w:val="center"/>
          </w:tcPr>
          <w:p w14:paraId="73485FEA" w14:textId="77777777" w:rsidR="007D1E74" w:rsidRDefault="00A95641">
            <w:pPr>
              <w:jc w:val="center"/>
              <w:rPr>
                <w:kern w:val="0"/>
                <w:szCs w:val="21"/>
              </w:rPr>
            </w:pPr>
            <w:r>
              <w:rPr>
                <w:rFonts w:hint="eastAsia"/>
                <w:kern w:val="0"/>
                <w:szCs w:val="21"/>
              </w:rPr>
              <w:t>4</w:t>
            </w:r>
            <w:r>
              <w:rPr>
                <w:kern w:val="0"/>
                <w:szCs w:val="21"/>
              </w:rPr>
              <w:t>74</w:t>
            </w:r>
          </w:p>
        </w:tc>
        <w:tc>
          <w:tcPr>
            <w:tcW w:w="762" w:type="pct"/>
            <w:vAlign w:val="center"/>
          </w:tcPr>
          <w:p w14:paraId="3A948659" w14:textId="77777777" w:rsidR="007D1E74" w:rsidRDefault="00A95641">
            <w:pPr>
              <w:jc w:val="center"/>
              <w:rPr>
                <w:kern w:val="0"/>
                <w:szCs w:val="21"/>
              </w:rPr>
            </w:pPr>
            <w:r>
              <w:rPr>
                <w:kern w:val="0"/>
                <w:szCs w:val="21"/>
              </w:rPr>
              <w:t>107.172464</w:t>
            </w:r>
          </w:p>
        </w:tc>
        <w:tc>
          <w:tcPr>
            <w:tcW w:w="762" w:type="pct"/>
            <w:vAlign w:val="center"/>
          </w:tcPr>
          <w:p w14:paraId="6EF2E55D" w14:textId="77777777" w:rsidR="007D1E74" w:rsidRDefault="00A95641">
            <w:pPr>
              <w:jc w:val="center"/>
              <w:rPr>
                <w:kern w:val="0"/>
                <w:szCs w:val="21"/>
              </w:rPr>
            </w:pPr>
            <w:r>
              <w:rPr>
                <w:kern w:val="0"/>
                <w:szCs w:val="21"/>
              </w:rPr>
              <w:t>32.175788</w:t>
            </w:r>
          </w:p>
        </w:tc>
        <w:tc>
          <w:tcPr>
            <w:tcW w:w="1344" w:type="pct"/>
            <w:vAlign w:val="center"/>
          </w:tcPr>
          <w:p w14:paraId="7756033D" w14:textId="77777777" w:rsidR="007D1E74" w:rsidRDefault="00A95641">
            <w:pPr>
              <w:jc w:val="center"/>
              <w:rPr>
                <w:kern w:val="0"/>
                <w:szCs w:val="21"/>
              </w:rPr>
            </w:pPr>
            <w:r>
              <w:rPr>
                <w:rFonts w:hint="eastAsia"/>
                <w:kern w:val="0"/>
                <w:szCs w:val="21"/>
              </w:rPr>
              <w:t>柏木林</w:t>
            </w:r>
            <w:r>
              <w:rPr>
                <w:rFonts w:hint="eastAsia"/>
                <w:kern w:val="0"/>
                <w:szCs w:val="21"/>
              </w:rPr>
              <w:t>(4)</w:t>
            </w:r>
          </w:p>
        </w:tc>
      </w:tr>
      <w:tr w:rsidR="007D1E74" w14:paraId="0B23B7CE" w14:textId="77777777">
        <w:tc>
          <w:tcPr>
            <w:tcW w:w="455" w:type="pct"/>
            <w:shd w:val="clear" w:color="auto" w:fill="auto"/>
            <w:vAlign w:val="center"/>
          </w:tcPr>
          <w:p w14:paraId="2965C5BE" w14:textId="77777777" w:rsidR="007D1E74" w:rsidRDefault="00A95641">
            <w:pPr>
              <w:jc w:val="center"/>
              <w:rPr>
                <w:kern w:val="0"/>
                <w:szCs w:val="21"/>
              </w:rPr>
            </w:pPr>
            <w:r>
              <w:rPr>
                <w:rFonts w:hint="eastAsia"/>
                <w:kern w:val="0"/>
                <w:szCs w:val="21"/>
              </w:rPr>
              <w:t>1</w:t>
            </w:r>
            <w:r>
              <w:rPr>
                <w:kern w:val="0"/>
                <w:szCs w:val="21"/>
              </w:rPr>
              <w:t>9</w:t>
            </w:r>
          </w:p>
        </w:tc>
        <w:tc>
          <w:tcPr>
            <w:tcW w:w="991" w:type="pct"/>
            <w:vAlign w:val="center"/>
          </w:tcPr>
          <w:p w14:paraId="405FDBB2" w14:textId="77777777" w:rsidR="007D1E74" w:rsidRDefault="00A95641">
            <w:pPr>
              <w:jc w:val="center"/>
              <w:rPr>
                <w:kern w:val="0"/>
                <w:szCs w:val="21"/>
              </w:rPr>
            </w:pPr>
            <w:r>
              <w:rPr>
                <w:rFonts w:hint="eastAsia"/>
                <w:kern w:val="0"/>
                <w:szCs w:val="21"/>
              </w:rPr>
              <w:t>青峪镇闫家坝村</w:t>
            </w:r>
          </w:p>
        </w:tc>
        <w:tc>
          <w:tcPr>
            <w:tcW w:w="686" w:type="pct"/>
            <w:shd w:val="clear" w:color="auto" w:fill="auto"/>
            <w:vAlign w:val="center"/>
          </w:tcPr>
          <w:p w14:paraId="387C150E" w14:textId="77777777" w:rsidR="007D1E74" w:rsidRDefault="00A95641">
            <w:pPr>
              <w:jc w:val="center"/>
              <w:rPr>
                <w:kern w:val="0"/>
                <w:szCs w:val="21"/>
              </w:rPr>
            </w:pPr>
            <w:r>
              <w:rPr>
                <w:rFonts w:hint="eastAsia"/>
                <w:kern w:val="0"/>
                <w:szCs w:val="21"/>
              </w:rPr>
              <w:t>5</w:t>
            </w:r>
            <w:r>
              <w:rPr>
                <w:kern w:val="0"/>
                <w:szCs w:val="21"/>
              </w:rPr>
              <w:t>01</w:t>
            </w:r>
          </w:p>
        </w:tc>
        <w:tc>
          <w:tcPr>
            <w:tcW w:w="762" w:type="pct"/>
            <w:vAlign w:val="center"/>
          </w:tcPr>
          <w:p w14:paraId="0B408851" w14:textId="77777777" w:rsidR="007D1E74" w:rsidRDefault="00A95641">
            <w:pPr>
              <w:jc w:val="center"/>
              <w:rPr>
                <w:kern w:val="0"/>
                <w:szCs w:val="21"/>
              </w:rPr>
            </w:pPr>
            <w:r>
              <w:rPr>
                <w:kern w:val="0"/>
                <w:szCs w:val="21"/>
              </w:rPr>
              <w:t>107.183858</w:t>
            </w:r>
          </w:p>
        </w:tc>
        <w:tc>
          <w:tcPr>
            <w:tcW w:w="762" w:type="pct"/>
            <w:vAlign w:val="center"/>
          </w:tcPr>
          <w:p w14:paraId="45BA30D1" w14:textId="77777777" w:rsidR="007D1E74" w:rsidRDefault="00A95641">
            <w:pPr>
              <w:jc w:val="center"/>
              <w:rPr>
                <w:kern w:val="0"/>
                <w:szCs w:val="21"/>
              </w:rPr>
            </w:pPr>
            <w:r>
              <w:rPr>
                <w:kern w:val="0"/>
                <w:szCs w:val="21"/>
              </w:rPr>
              <w:t>32.211214</w:t>
            </w:r>
          </w:p>
        </w:tc>
        <w:tc>
          <w:tcPr>
            <w:tcW w:w="1344" w:type="pct"/>
            <w:vAlign w:val="center"/>
          </w:tcPr>
          <w:p w14:paraId="12EF8DE8" w14:textId="77777777" w:rsidR="007D1E74" w:rsidRDefault="00A95641">
            <w:pPr>
              <w:jc w:val="center"/>
              <w:rPr>
                <w:kern w:val="0"/>
                <w:szCs w:val="21"/>
              </w:rPr>
            </w:pPr>
            <w:r>
              <w:rPr>
                <w:rFonts w:hint="eastAsia"/>
                <w:kern w:val="0"/>
                <w:szCs w:val="21"/>
              </w:rPr>
              <w:t>马桑黄荆灌丛</w:t>
            </w:r>
            <w:r>
              <w:rPr>
                <w:rFonts w:hint="eastAsia"/>
                <w:kern w:val="0"/>
                <w:szCs w:val="21"/>
              </w:rPr>
              <w:t>(6+6)</w:t>
            </w:r>
          </w:p>
        </w:tc>
      </w:tr>
      <w:tr w:rsidR="007D1E74" w14:paraId="2D58B53E" w14:textId="77777777">
        <w:tc>
          <w:tcPr>
            <w:tcW w:w="455" w:type="pct"/>
            <w:shd w:val="clear" w:color="auto" w:fill="auto"/>
            <w:vAlign w:val="center"/>
          </w:tcPr>
          <w:p w14:paraId="744F07FD" w14:textId="77777777" w:rsidR="007D1E74" w:rsidRDefault="00A95641">
            <w:pPr>
              <w:jc w:val="center"/>
              <w:rPr>
                <w:kern w:val="0"/>
                <w:szCs w:val="21"/>
              </w:rPr>
            </w:pPr>
            <w:r>
              <w:rPr>
                <w:rFonts w:hint="eastAsia"/>
                <w:kern w:val="0"/>
                <w:szCs w:val="21"/>
              </w:rPr>
              <w:t>2</w:t>
            </w:r>
            <w:r>
              <w:rPr>
                <w:kern w:val="0"/>
                <w:szCs w:val="21"/>
              </w:rPr>
              <w:t>0</w:t>
            </w:r>
          </w:p>
        </w:tc>
        <w:tc>
          <w:tcPr>
            <w:tcW w:w="991" w:type="pct"/>
            <w:vAlign w:val="center"/>
          </w:tcPr>
          <w:p w14:paraId="16F270EB" w14:textId="77777777" w:rsidR="007D1E74" w:rsidRDefault="00A95641">
            <w:pPr>
              <w:jc w:val="center"/>
              <w:rPr>
                <w:kern w:val="0"/>
                <w:szCs w:val="21"/>
              </w:rPr>
            </w:pPr>
            <w:r>
              <w:rPr>
                <w:rFonts w:hint="eastAsia"/>
                <w:kern w:val="0"/>
                <w:szCs w:val="21"/>
              </w:rPr>
              <w:t>青峪镇闫家坝村</w:t>
            </w:r>
          </w:p>
        </w:tc>
        <w:tc>
          <w:tcPr>
            <w:tcW w:w="686" w:type="pct"/>
            <w:shd w:val="clear" w:color="auto" w:fill="auto"/>
            <w:vAlign w:val="center"/>
          </w:tcPr>
          <w:p w14:paraId="6DE2B286" w14:textId="77777777" w:rsidR="007D1E74" w:rsidRDefault="00A95641">
            <w:pPr>
              <w:jc w:val="center"/>
              <w:rPr>
                <w:kern w:val="0"/>
                <w:szCs w:val="21"/>
              </w:rPr>
            </w:pPr>
            <w:r>
              <w:rPr>
                <w:rFonts w:hint="eastAsia"/>
                <w:kern w:val="0"/>
                <w:szCs w:val="21"/>
              </w:rPr>
              <w:t>6</w:t>
            </w:r>
            <w:r>
              <w:rPr>
                <w:kern w:val="0"/>
                <w:szCs w:val="21"/>
              </w:rPr>
              <w:t>46</w:t>
            </w:r>
          </w:p>
        </w:tc>
        <w:tc>
          <w:tcPr>
            <w:tcW w:w="762" w:type="pct"/>
            <w:vAlign w:val="center"/>
          </w:tcPr>
          <w:p w14:paraId="2CE79FA3" w14:textId="77777777" w:rsidR="007D1E74" w:rsidRDefault="00A95641">
            <w:pPr>
              <w:jc w:val="center"/>
              <w:rPr>
                <w:kern w:val="0"/>
                <w:szCs w:val="21"/>
              </w:rPr>
            </w:pPr>
            <w:r>
              <w:rPr>
                <w:kern w:val="0"/>
                <w:szCs w:val="21"/>
              </w:rPr>
              <w:t>107.204216</w:t>
            </w:r>
          </w:p>
        </w:tc>
        <w:tc>
          <w:tcPr>
            <w:tcW w:w="762" w:type="pct"/>
            <w:vAlign w:val="center"/>
          </w:tcPr>
          <w:p w14:paraId="4CE40BDA" w14:textId="77777777" w:rsidR="007D1E74" w:rsidRDefault="00A95641">
            <w:pPr>
              <w:jc w:val="center"/>
              <w:rPr>
                <w:kern w:val="0"/>
                <w:szCs w:val="21"/>
              </w:rPr>
            </w:pPr>
            <w:r>
              <w:rPr>
                <w:kern w:val="0"/>
                <w:szCs w:val="21"/>
              </w:rPr>
              <w:t>32.214809</w:t>
            </w:r>
          </w:p>
        </w:tc>
        <w:tc>
          <w:tcPr>
            <w:tcW w:w="1344" w:type="pct"/>
            <w:vAlign w:val="center"/>
          </w:tcPr>
          <w:p w14:paraId="63A789A7" w14:textId="77777777" w:rsidR="007D1E74" w:rsidRDefault="00A95641">
            <w:pPr>
              <w:jc w:val="center"/>
              <w:rPr>
                <w:kern w:val="0"/>
                <w:szCs w:val="21"/>
              </w:rPr>
            </w:pPr>
            <w:r>
              <w:rPr>
                <w:rFonts w:hint="eastAsia"/>
                <w:kern w:val="0"/>
                <w:szCs w:val="21"/>
              </w:rPr>
              <w:t>柏木林</w:t>
            </w:r>
            <w:r>
              <w:rPr>
                <w:rFonts w:hint="eastAsia"/>
                <w:kern w:val="0"/>
                <w:szCs w:val="21"/>
              </w:rPr>
              <w:t>(4)</w:t>
            </w:r>
          </w:p>
        </w:tc>
      </w:tr>
      <w:tr w:rsidR="007D1E74" w14:paraId="1324B8ED" w14:textId="77777777">
        <w:tc>
          <w:tcPr>
            <w:tcW w:w="455" w:type="pct"/>
            <w:shd w:val="clear" w:color="auto" w:fill="auto"/>
            <w:vAlign w:val="center"/>
          </w:tcPr>
          <w:p w14:paraId="3F2DE2BE" w14:textId="77777777" w:rsidR="007D1E74" w:rsidRDefault="00A95641">
            <w:pPr>
              <w:jc w:val="center"/>
              <w:rPr>
                <w:kern w:val="0"/>
                <w:szCs w:val="21"/>
              </w:rPr>
            </w:pPr>
            <w:r>
              <w:rPr>
                <w:rFonts w:hint="eastAsia"/>
                <w:kern w:val="0"/>
                <w:szCs w:val="21"/>
              </w:rPr>
              <w:t>2</w:t>
            </w:r>
            <w:r>
              <w:rPr>
                <w:kern w:val="0"/>
                <w:szCs w:val="21"/>
              </w:rPr>
              <w:t>1</w:t>
            </w:r>
          </w:p>
        </w:tc>
        <w:tc>
          <w:tcPr>
            <w:tcW w:w="991" w:type="pct"/>
            <w:vAlign w:val="center"/>
          </w:tcPr>
          <w:p w14:paraId="5E6056FB" w14:textId="77777777" w:rsidR="007D1E74" w:rsidRDefault="00A95641">
            <w:pPr>
              <w:jc w:val="center"/>
              <w:rPr>
                <w:kern w:val="0"/>
                <w:szCs w:val="21"/>
              </w:rPr>
            </w:pPr>
            <w:r>
              <w:rPr>
                <w:rFonts w:hint="eastAsia"/>
                <w:kern w:val="0"/>
                <w:szCs w:val="21"/>
              </w:rPr>
              <w:t>青峪镇张家坡村</w:t>
            </w:r>
          </w:p>
        </w:tc>
        <w:tc>
          <w:tcPr>
            <w:tcW w:w="686" w:type="pct"/>
            <w:shd w:val="clear" w:color="auto" w:fill="auto"/>
            <w:vAlign w:val="center"/>
          </w:tcPr>
          <w:p w14:paraId="30F5D1B9" w14:textId="77777777" w:rsidR="007D1E74" w:rsidRDefault="00A95641">
            <w:pPr>
              <w:jc w:val="center"/>
              <w:rPr>
                <w:kern w:val="0"/>
                <w:szCs w:val="21"/>
              </w:rPr>
            </w:pPr>
            <w:r>
              <w:rPr>
                <w:rFonts w:hint="eastAsia"/>
                <w:kern w:val="0"/>
                <w:szCs w:val="21"/>
              </w:rPr>
              <w:t>7</w:t>
            </w:r>
            <w:r>
              <w:rPr>
                <w:kern w:val="0"/>
                <w:szCs w:val="21"/>
              </w:rPr>
              <w:t>00</w:t>
            </w:r>
          </w:p>
        </w:tc>
        <w:tc>
          <w:tcPr>
            <w:tcW w:w="762" w:type="pct"/>
            <w:vAlign w:val="center"/>
          </w:tcPr>
          <w:p w14:paraId="617B6751" w14:textId="77777777" w:rsidR="007D1E74" w:rsidRDefault="00A95641">
            <w:pPr>
              <w:jc w:val="center"/>
              <w:rPr>
                <w:kern w:val="0"/>
                <w:szCs w:val="21"/>
              </w:rPr>
            </w:pPr>
            <w:r>
              <w:rPr>
                <w:kern w:val="0"/>
                <w:szCs w:val="21"/>
              </w:rPr>
              <w:t>107.220280</w:t>
            </w:r>
          </w:p>
        </w:tc>
        <w:tc>
          <w:tcPr>
            <w:tcW w:w="762" w:type="pct"/>
            <w:vAlign w:val="center"/>
          </w:tcPr>
          <w:p w14:paraId="563788B5" w14:textId="77777777" w:rsidR="007D1E74" w:rsidRDefault="00A95641">
            <w:pPr>
              <w:jc w:val="center"/>
              <w:rPr>
                <w:kern w:val="0"/>
                <w:szCs w:val="21"/>
              </w:rPr>
            </w:pPr>
            <w:r>
              <w:rPr>
                <w:kern w:val="0"/>
                <w:szCs w:val="21"/>
              </w:rPr>
              <w:t>32.217421</w:t>
            </w:r>
          </w:p>
        </w:tc>
        <w:tc>
          <w:tcPr>
            <w:tcW w:w="1344" w:type="pct"/>
            <w:vAlign w:val="center"/>
          </w:tcPr>
          <w:p w14:paraId="2B847261" w14:textId="77777777" w:rsidR="007D1E74" w:rsidRDefault="00A95641">
            <w:pPr>
              <w:jc w:val="center"/>
              <w:rPr>
                <w:kern w:val="0"/>
                <w:szCs w:val="21"/>
              </w:rPr>
            </w:pPr>
            <w:r>
              <w:rPr>
                <w:rFonts w:hint="eastAsia"/>
                <w:kern w:val="0"/>
                <w:szCs w:val="21"/>
              </w:rPr>
              <w:t>马尾松林</w:t>
            </w:r>
            <w:r>
              <w:rPr>
                <w:rFonts w:hint="eastAsia"/>
                <w:kern w:val="0"/>
                <w:szCs w:val="21"/>
              </w:rPr>
              <w:t>(4)</w:t>
            </w:r>
          </w:p>
        </w:tc>
      </w:tr>
      <w:tr w:rsidR="007D1E74" w14:paraId="08900FE0" w14:textId="77777777">
        <w:tc>
          <w:tcPr>
            <w:tcW w:w="455" w:type="pct"/>
            <w:shd w:val="clear" w:color="auto" w:fill="auto"/>
            <w:vAlign w:val="center"/>
          </w:tcPr>
          <w:p w14:paraId="02D70CBB" w14:textId="77777777" w:rsidR="007D1E74" w:rsidRDefault="00A95641">
            <w:pPr>
              <w:jc w:val="center"/>
              <w:rPr>
                <w:kern w:val="0"/>
                <w:szCs w:val="21"/>
              </w:rPr>
            </w:pPr>
            <w:r>
              <w:rPr>
                <w:rFonts w:hint="eastAsia"/>
                <w:kern w:val="0"/>
                <w:szCs w:val="21"/>
              </w:rPr>
              <w:t>2</w:t>
            </w:r>
            <w:r>
              <w:rPr>
                <w:kern w:val="0"/>
                <w:szCs w:val="21"/>
              </w:rPr>
              <w:t>2</w:t>
            </w:r>
          </w:p>
        </w:tc>
        <w:tc>
          <w:tcPr>
            <w:tcW w:w="991" w:type="pct"/>
            <w:vAlign w:val="center"/>
          </w:tcPr>
          <w:p w14:paraId="0F1010FE" w14:textId="77777777" w:rsidR="007D1E74" w:rsidRDefault="00A95641">
            <w:pPr>
              <w:jc w:val="center"/>
              <w:rPr>
                <w:kern w:val="0"/>
                <w:szCs w:val="21"/>
              </w:rPr>
            </w:pPr>
            <w:r>
              <w:rPr>
                <w:rFonts w:hint="eastAsia"/>
                <w:kern w:val="0"/>
                <w:szCs w:val="21"/>
              </w:rPr>
              <w:t>青峪镇姜家坝村</w:t>
            </w:r>
          </w:p>
        </w:tc>
        <w:tc>
          <w:tcPr>
            <w:tcW w:w="686" w:type="pct"/>
            <w:shd w:val="clear" w:color="auto" w:fill="auto"/>
            <w:vAlign w:val="center"/>
          </w:tcPr>
          <w:p w14:paraId="76689672" w14:textId="77777777" w:rsidR="007D1E74" w:rsidRDefault="00A95641">
            <w:pPr>
              <w:jc w:val="center"/>
              <w:rPr>
                <w:kern w:val="0"/>
                <w:szCs w:val="21"/>
              </w:rPr>
            </w:pPr>
            <w:r>
              <w:rPr>
                <w:rFonts w:hint="eastAsia"/>
                <w:kern w:val="0"/>
                <w:szCs w:val="21"/>
              </w:rPr>
              <w:t>6</w:t>
            </w:r>
            <w:r>
              <w:rPr>
                <w:kern w:val="0"/>
                <w:szCs w:val="21"/>
              </w:rPr>
              <w:t>30</w:t>
            </w:r>
          </w:p>
        </w:tc>
        <w:tc>
          <w:tcPr>
            <w:tcW w:w="762" w:type="pct"/>
            <w:vAlign w:val="center"/>
          </w:tcPr>
          <w:p w14:paraId="256090C5" w14:textId="77777777" w:rsidR="007D1E74" w:rsidRDefault="00A95641">
            <w:pPr>
              <w:jc w:val="center"/>
              <w:rPr>
                <w:kern w:val="0"/>
                <w:szCs w:val="21"/>
              </w:rPr>
            </w:pPr>
            <w:r>
              <w:rPr>
                <w:kern w:val="0"/>
                <w:szCs w:val="21"/>
              </w:rPr>
              <w:t>107.233809</w:t>
            </w:r>
          </w:p>
        </w:tc>
        <w:tc>
          <w:tcPr>
            <w:tcW w:w="762" w:type="pct"/>
            <w:vAlign w:val="center"/>
          </w:tcPr>
          <w:p w14:paraId="049EAB10" w14:textId="77777777" w:rsidR="007D1E74" w:rsidRDefault="00A95641">
            <w:pPr>
              <w:jc w:val="center"/>
              <w:rPr>
                <w:kern w:val="0"/>
                <w:szCs w:val="21"/>
              </w:rPr>
            </w:pPr>
            <w:r>
              <w:rPr>
                <w:kern w:val="0"/>
                <w:szCs w:val="21"/>
              </w:rPr>
              <w:t>32.220731</w:t>
            </w:r>
          </w:p>
        </w:tc>
        <w:tc>
          <w:tcPr>
            <w:tcW w:w="1344" w:type="pct"/>
            <w:vAlign w:val="center"/>
          </w:tcPr>
          <w:p w14:paraId="561541F4" w14:textId="77777777" w:rsidR="007D1E74" w:rsidRDefault="00A95641">
            <w:pPr>
              <w:jc w:val="center"/>
              <w:rPr>
                <w:kern w:val="0"/>
                <w:szCs w:val="21"/>
              </w:rPr>
            </w:pPr>
            <w:r>
              <w:rPr>
                <w:rFonts w:hint="eastAsia"/>
                <w:kern w:val="0"/>
                <w:szCs w:val="21"/>
              </w:rPr>
              <w:t>果园</w:t>
            </w:r>
            <w:r>
              <w:rPr>
                <w:rFonts w:hint="eastAsia"/>
                <w:kern w:val="0"/>
                <w:szCs w:val="21"/>
              </w:rPr>
              <w:t>(4)</w:t>
            </w:r>
          </w:p>
        </w:tc>
      </w:tr>
      <w:tr w:rsidR="007D1E74" w14:paraId="476B66E2" w14:textId="77777777">
        <w:tc>
          <w:tcPr>
            <w:tcW w:w="455" w:type="pct"/>
            <w:shd w:val="clear" w:color="auto" w:fill="auto"/>
            <w:vAlign w:val="center"/>
          </w:tcPr>
          <w:p w14:paraId="19BDBCE0" w14:textId="77777777" w:rsidR="007D1E74" w:rsidRDefault="00A95641">
            <w:pPr>
              <w:jc w:val="center"/>
              <w:rPr>
                <w:kern w:val="0"/>
                <w:szCs w:val="21"/>
              </w:rPr>
            </w:pPr>
            <w:r>
              <w:rPr>
                <w:rFonts w:hint="eastAsia"/>
                <w:kern w:val="0"/>
                <w:szCs w:val="21"/>
              </w:rPr>
              <w:t>2</w:t>
            </w:r>
            <w:r>
              <w:rPr>
                <w:kern w:val="0"/>
                <w:szCs w:val="21"/>
              </w:rPr>
              <w:t>3</w:t>
            </w:r>
          </w:p>
        </w:tc>
        <w:tc>
          <w:tcPr>
            <w:tcW w:w="991" w:type="pct"/>
            <w:vAlign w:val="center"/>
          </w:tcPr>
          <w:p w14:paraId="1F038F34" w14:textId="77777777" w:rsidR="007D1E74" w:rsidRDefault="00A95641">
            <w:pPr>
              <w:jc w:val="center"/>
              <w:rPr>
                <w:kern w:val="0"/>
                <w:szCs w:val="21"/>
              </w:rPr>
            </w:pPr>
            <w:r>
              <w:rPr>
                <w:rFonts w:hint="eastAsia"/>
                <w:kern w:val="0"/>
                <w:szCs w:val="21"/>
              </w:rPr>
              <w:t>青峪镇姜家坝村</w:t>
            </w:r>
          </w:p>
        </w:tc>
        <w:tc>
          <w:tcPr>
            <w:tcW w:w="686" w:type="pct"/>
            <w:shd w:val="clear" w:color="auto" w:fill="auto"/>
            <w:vAlign w:val="center"/>
          </w:tcPr>
          <w:p w14:paraId="66998FB6" w14:textId="77777777" w:rsidR="007D1E74" w:rsidRDefault="00A95641">
            <w:pPr>
              <w:jc w:val="center"/>
              <w:rPr>
                <w:kern w:val="0"/>
                <w:szCs w:val="21"/>
              </w:rPr>
            </w:pPr>
            <w:r>
              <w:rPr>
                <w:rFonts w:hint="eastAsia"/>
                <w:kern w:val="0"/>
                <w:szCs w:val="21"/>
              </w:rPr>
              <w:t>6</w:t>
            </w:r>
            <w:r>
              <w:rPr>
                <w:kern w:val="0"/>
                <w:szCs w:val="21"/>
              </w:rPr>
              <w:t>12</w:t>
            </w:r>
          </w:p>
        </w:tc>
        <w:tc>
          <w:tcPr>
            <w:tcW w:w="762" w:type="pct"/>
            <w:vAlign w:val="center"/>
          </w:tcPr>
          <w:p w14:paraId="2C2B2072" w14:textId="77777777" w:rsidR="007D1E74" w:rsidRDefault="00A95641">
            <w:pPr>
              <w:jc w:val="center"/>
              <w:rPr>
                <w:kern w:val="0"/>
                <w:szCs w:val="21"/>
              </w:rPr>
            </w:pPr>
            <w:r>
              <w:rPr>
                <w:kern w:val="0"/>
                <w:szCs w:val="21"/>
              </w:rPr>
              <w:t>107.239670</w:t>
            </w:r>
          </w:p>
        </w:tc>
        <w:tc>
          <w:tcPr>
            <w:tcW w:w="762" w:type="pct"/>
            <w:vAlign w:val="center"/>
          </w:tcPr>
          <w:p w14:paraId="0D887B67" w14:textId="77777777" w:rsidR="007D1E74" w:rsidRDefault="00A95641">
            <w:pPr>
              <w:jc w:val="center"/>
              <w:rPr>
                <w:kern w:val="0"/>
                <w:szCs w:val="21"/>
              </w:rPr>
            </w:pPr>
            <w:r>
              <w:rPr>
                <w:kern w:val="0"/>
                <w:szCs w:val="21"/>
              </w:rPr>
              <w:t>32.230679</w:t>
            </w:r>
          </w:p>
        </w:tc>
        <w:tc>
          <w:tcPr>
            <w:tcW w:w="1344" w:type="pct"/>
            <w:vAlign w:val="center"/>
          </w:tcPr>
          <w:p w14:paraId="47F2C48E" w14:textId="77777777" w:rsidR="007D1E74" w:rsidRDefault="00A95641">
            <w:pPr>
              <w:jc w:val="center"/>
              <w:rPr>
                <w:kern w:val="0"/>
                <w:szCs w:val="21"/>
              </w:rPr>
            </w:pPr>
            <w:r>
              <w:rPr>
                <w:rFonts w:hint="eastAsia"/>
                <w:kern w:val="0"/>
                <w:szCs w:val="21"/>
              </w:rPr>
              <w:t>耕地，芒灌草丛</w:t>
            </w:r>
            <w:r>
              <w:rPr>
                <w:rFonts w:hint="eastAsia"/>
                <w:kern w:val="0"/>
                <w:szCs w:val="21"/>
              </w:rPr>
              <w:t>(4+8)</w:t>
            </w:r>
          </w:p>
        </w:tc>
      </w:tr>
      <w:tr w:rsidR="007D1E74" w14:paraId="5F20E42B" w14:textId="77777777">
        <w:tc>
          <w:tcPr>
            <w:tcW w:w="455" w:type="pct"/>
            <w:shd w:val="clear" w:color="auto" w:fill="auto"/>
            <w:vAlign w:val="center"/>
          </w:tcPr>
          <w:p w14:paraId="7E56CA22" w14:textId="77777777" w:rsidR="007D1E74" w:rsidRDefault="00A95641">
            <w:pPr>
              <w:jc w:val="center"/>
              <w:rPr>
                <w:kern w:val="0"/>
                <w:szCs w:val="21"/>
              </w:rPr>
            </w:pPr>
            <w:r>
              <w:rPr>
                <w:rFonts w:hint="eastAsia"/>
                <w:kern w:val="0"/>
                <w:szCs w:val="21"/>
              </w:rPr>
              <w:t>2</w:t>
            </w:r>
            <w:r>
              <w:rPr>
                <w:kern w:val="0"/>
                <w:szCs w:val="21"/>
              </w:rPr>
              <w:t>4</w:t>
            </w:r>
          </w:p>
        </w:tc>
        <w:tc>
          <w:tcPr>
            <w:tcW w:w="991" w:type="pct"/>
            <w:vAlign w:val="center"/>
          </w:tcPr>
          <w:p w14:paraId="629578FB" w14:textId="77777777" w:rsidR="007D1E74" w:rsidRDefault="00A95641">
            <w:pPr>
              <w:jc w:val="center"/>
              <w:rPr>
                <w:kern w:val="0"/>
                <w:szCs w:val="21"/>
              </w:rPr>
            </w:pPr>
            <w:r>
              <w:rPr>
                <w:rFonts w:hint="eastAsia"/>
                <w:kern w:val="0"/>
                <w:szCs w:val="21"/>
              </w:rPr>
              <w:t>青峪镇蔡黄沟村</w:t>
            </w:r>
          </w:p>
        </w:tc>
        <w:tc>
          <w:tcPr>
            <w:tcW w:w="686" w:type="pct"/>
            <w:shd w:val="clear" w:color="auto" w:fill="auto"/>
            <w:vAlign w:val="center"/>
          </w:tcPr>
          <w:p w14:paraId="1B4F0E20" w14:textId="77777777" w:rsidR="007D1E74" w:rsidRDefault="00A95641">
            <w:pPr>
              <w:jc w:val="center"/>
              <w:rPr>
                <w:kern w:val="0"/>
                <w:szCs w:val="21"/>
              </w:rPr>
            </w:pPr>
            <w:r>
              <w:rPr>
                <w:rFonts w:hint="eastAsia"/>
                <w:kern w:val="0"/>
                <w:szCs w:val="21"/>
              </w:rPr>
              <w:t>1</w:t>
            </w:r>
            <w:r>
              <w:rPr>
                <w:kern w:val="0"/>
                <w:szCs w:val="21"/>
              </w:rPr>
              <w:t>220</w:t>
            </w:r>
          </w:p>
        </w:tc>
        <w:tc>
          <w:tcPr>
            <w:tcW w:w="762" w:type="pct"/>
            <w:vAlign w:val="center"/>
          </w:tcPr>
          <w:p w14:paraId="42DDAC67" w14:textId="77777777" w:rsidR="007D1E74" w:rsidRDefault="00A95641">
            <w:pPr>
              <w:jc w:val="center"/>
              <w:rPr>
                <w:kern w:val="0"/>
                <w:szCs w:val="21"/>
              </w:rPr>
            </w:pPr>
            <w:r>
              <w:rPr>
                <w:kern w:val="0"/>
                <w:szCs w:val="21"/>
              </w:rPr>
              <w:t>107.245769</w:t>
            </w:r>
          </w:p>
        </w:tc>
        <w:tc>
          <w:tcPr>
            <w:tcW w:w="762" w:type="pct"/>
            <w:vAlign w:val="center"/>
          </w:tcPr>
          <w:p w14:paraId="4D2BCFE5" w14:textId="77777777" w:rsidR="007D1E74" w:rsidRDefault="00A95641">
            <w:pPr>
              <w:jc w:val="center"/>
              <w:rPr>
                <w:kern w:val="0"/>
                <w:szCs w:val="21"/>
              </w:rPr>
            </w:pPr>
            <w:r>
              <w:rPr>
                <w:kern w:val="0"/>
                <w:szCs w:val="21"/>
              </w:rPr>
              <w:t>32.249256</w:t>
            </w:r>
          </w:p>
        </w:tc>
        <w:tc>
          <w:tcPr>
            <w:tcW w:w="1344" w:type="pct"/>
            <w:vAlign w:val="center"/>
          </w:tcPr>
          <w:p w14:paraId="24D37449" w14:textId="77777777" w:rsidR="007D1E74" w:rsidRDefault="00A95641">
            <w:pPr>
              <w:jc w:val="center"/>
              <w:rPr>
                <w:kern w:val="0"/>
                <w:szCs w:val="21"/>
              </w:rPr>
            </w:pPr>
            <w:r>
              <w:rPr>
                <w:rFonts w:hint="eastAsia"/>
                <w:kern w:val="0"/>
                <w:szCs w:val="21"/>
              </w:rPr>
              <w:t>麻栎林</w:t>
            </w:r>
            <w:r>
              <w:rPr>
                <w:rFonts w:hint="eastAsia"/>
                <w:kern w:val="0"/>
                <w:szCs w:val="21"/>
              </w:rPr>
              <w:t>(4)</w:t>
            </w:r>
          </w:p>
        </w:tc>
      </w:tr>
    </w:tbl>
    <w:p w14:paraId="0BDE22AF" w14:textId="77777777" w:rsidR="007D1E74" w:rsidRDefault="00A95641">
      <w:pPr>
        <w:spacing w:line="360" w:lineRule="auto"/>
        <w:ind w:firstLineChars="200" w:firstLine="480"/>
        <w:rPr>
          <w:sz w:val="24"/>
          <w:szCs w:val="24"/>
        </w:rPr>
      </w:pPr>
      <w:r>
        <w:rPr>
          <w:rFonts w:hint="eastAsia"/>
          <w:sz w:val="24"/>
          <w:szCs w:val="24"/>
        </w:rPr>
        <w:t>从上表调查结果可知评价区的自然生境主要包括麻栎林、柏木林、杉木林、马尾松林、桤木林、枫杨林和灌丛、灌草丛等；人工植被有耕地和果园。</w:t>
      </w:r>
    </w:p>
    <w:p w14:paraId="63E55DFA" w14:textId="77777777" w:rsidR="007D1E74" w:rsidRDefault="00A95641">
      <w:pPr>
        <w:spacing w:line="360" w:lineRule="auto"/>
        <w:ind w:firstLineChars="200" w:firstLine="482"/>
        <w:rPr>
          <w:rFonts w:cs="Times New Roman"/>
          <w:b/>
          <w:sz w:val="24"/>
          <w:szCs w:val="24"/>
        </w:rPr>
      </w:pPr>
      <w:r>
        <w:rPr>
          <w:rFonts w:cs="Times New Roman" w:hint="eastAsia"/>
          <w:b/>
          <w:sz w:val="24"/>
          <w:szCs w:val="24"/>
        </w:rPr>
        <w:t>③群落</w:t>
      </w:r>
      <w:r>
        <w:rPr>
          <w:rFonts w:cs="Times New Roman"/>
          <w:b/>
          <w:sz w:val="24"/>
          <w:szCs w:val="24"/>
        </w:rPr>
        <w:t>生物量调查</w:t>
      </w:r>
    </w:p>
    <w:p w14:paraId="715327D1" w14:textId="77777777" w:rsidR="007D1E74" w:rsidRDefault="00A95641">
      <w:pPr>
        <w:spacing w:line="360" w:lineRule="auto"/>
        <w:ind w:firstLineChars="200" w:firstLine="480"/>
        <w:rPr>
          <w:sz w:val="24"/>
          <w:szCs w:val="24"/>
        </w:rPr>
      </w:pPr>
      <w:r>
        <w:rPr>
          <w:rFonts w:hint="eastAsia"/>
          <w:sz w:val="24"/>
          <w:szCs w:val="24"/>
        </w:rPr>
        <w:t>在对典型群落调查的同时，对乔木、灌木、草本各层生物量进行调查。乔木层生物量采用维量分析法，分种实测不同径级树种的高、径以及各器官生物量，建立不同树种生物量估算模型，推算群落乔木层的生物量。灌木、草本采用样方收割法估算地上部分</w:t>
      </w:r>
      <w:r>
        <w:rPr>
          <w:rFonts w:hint="eastAsia"/>
          <w:sz w:val="24"/>
          <w:szCs w:val="24"/>
        </w:rPr>
        <w:lastRenderedPageBreak/>
        <w:t>生物量。</w:t>
      </w:r>
    </w:p>
    <w:p w14:paraId="1E2B81A0" w14:textId="77777777" w:rsidR="007D1E74" w:rsidRDefault="00A95641">
      <w:pPr>
        <w:spacing w:line="360" w:lineRule="auto"/>
        <w:ind w:firstLineChars="200" w:firstLine="482"/>
        <w:rPr>
          <w:b/>
          <w:sz w:val="24"/>
          <w:szCs w:val="24"/>
        </w:rPr>
      </w:pPr>
      <w:r>
        <w:rPr>
          <w:rFonts w:hint="eastAsia"/>
          <w:b/>
          <w:sz w:val="24"/>
          <w:szCs w:val="24"/>
        </w:rPr>
        <w:t>（</w:t>
      </w:r>
      <w:r>
        <w:rPr>
          <w:b/>
          <w:sz w:val="24"/>
          <w:szCs w:val="24"/>
        </w:rPr>
        <w:t>2</w:t>
      </w:r>
      <w:r>
        <w:rPr>
          <w:rFonts w:hint="eastAsia"/>
          <w:b/>
          <w:sz w:val="24"/>
          <w:szCs w:val="24"/>
        </w:rPr>
        <w:t>）动物多样性调查</w:t>
      </w:r>
    </w:p>
    <w:p w14:paraId="0618A4FB" w14:textId="77777777" w:rsidR="007D1E74" w:rsidRDefault="00A95641">
      <w:pPr>
        <w:spacing w:line="360" w:lineRule="auto"/>
        <w:ind w:firstLineChars="200" w:firstLine="480"/>
        <w:rPr>
          <w:sz w:val="24"/>
          <w:szCs w:val="24"/>
        </w:rPr>
      </w:pPr>
      <w:r>
        <w:rPr>
          <w:rFonts w:hint="eastAsia"/>
          <w:sz w:val="24"/>
          <w:szCs w:val="24"/>
        </w:rPr>
        <w:t>两栖类：因与水体有很大关系，样线的布设沿主要河道及支沟设置，包括小溪、湿地、水塘及相关区域。通过野外采集标本，收集相关资料和查阅有关文献资料进行确定。</w:t>
      </w:r>
    </w:p>
    <w:p w14:paraId="7A7DDA17" w14:textId="77777777" w:rsidR="007D1E74" w:rsidRDefault="00A95641">
      <w:pPr>
        <w:spacing w:line="360" w:lineRule="auto"/>
        <w:ind w:firstLineChars="200" w:firstLine="480"/>
        <w:rPr>
          <w:sz w:val="24"/>
          <w:szCs w:val="24"/>
        </w:rPr>
      </w:pPr>
      <w:r>
        <w:rPr>
          <w:rFonts w:hint="eastAsia"/>
          <w:sz w:val="24"/>
          <w:szCs w:val="24"/>
        </w:rPr>
        <w:t>爬行类：样线的布设可以根据生境类型不同分别布线，覆盖居民区、农耕区、森林、灌丛、草丛、人工林等生境。通过野外采集标本，收集相关资料和查阅有关文献资料进行确定。</w:t>
      </w:r>
    </w:p>
    <w:p w14:paraId="4924AB4D" w14:textId="77777777" w:rsidR="007D1E74" w:rsidRDefault="00A95641">
      <w:pPr>
        <w:spacing w:line="360" w:lineRule="auto"/>
        <w:ind w:firstLineChars="200" w:firstLine="480"/>
        <w:rPr>
          <w:sz w:val="24"/>
          <w:szCs w:val="24"/>
        </w:rPr>
      </w:pPr>
      <w:r>
        <w:rPr>
          <w:rFonts w:hint="eastAsia"/>
          <w:sz w:val="24"/>
          <w:szCs w:val="24"/>
        </w:rPr>
        <w:t>鸟类：以实地调查、访问、查阅相关资料等方法确定物种多样性及生态类群组成。鸟类的相对数量则主要采用样线法调查，鸟类种类和数量根据见到的个体和鸣声（能分出种类的）进行记录。鸡形目的种类还采取访问的方法补充调查。</w:t>
      </w:r>
    </w:p>
    <w:p w14:paraId="1ECC880F" w14:textId="77777777" w:rsidR="007D1E74" w:rsidRDefault="00A95641">
      <w:pPr>
        <w:spacing w:line="360" w:lineRule="auto"/>
        <w:ind w:firstLineChars="200" w:firstLine="480"/>
        <w:rPr>
          <w:sz w:val="24"/>
          <w:szCs w:val="24"/>
        </w:rPr>
      </w:pPr>
      <w:r>
        <w:rPr>
          <w:rFonts w:hint="eastAsia"/>
          <w:sz w:val="24"/>
          <w:szCs w:val="24"/>
        </w:rPr>
        <w:t>兽类：小型兽类主要使用铗日法采集标本进行调查。对于中型兽类，在野外直接根据观察到的皮毛、粪便和其它痕迹识别，同时采用入户调查访问猎获的兽皮头骨、收集有关部门历年野生毛皮药材的收购资料、访问林业局、自然资源局、自然保护地等部门的相关资料等方法掌握调查区域兽类区系组成和相对数量。</w:t>
      </w:r>
    </w:p>
    <w:p w14:paraId="278C6E2F" w14:textId="77777777" w:rsidR="007D1E74" w:rsidRDefault="00A95641">
      <w:pPr>
        <w:spacing w:line="360" w:lineRule="auto"/>
        <w:ind w:firstLineChars="200" w:firstLine="482"/>
        <w:rPr>
          <w:b/>
          <w:sz w:val="24"/>
          <w:szCs w:val="24"/>
        </w:rPr>
      </w:pPr>
      <w:r>
        <w:rPr>
          <w:rFonts w:hint="eastAsia"/>
          <w:b/>
          <w:sz w:val="24"/>
          <w:szCs w:val="24"/>
        </w:rPr>
        <w:t>（</w:t>
      </w:r>
      <w:r>
        <w:rPr>
          <w:b/>
          <w:sz w:val="24"/>
          <w:szCs w:val="24"/>
        </w:rPr>
        <w:t>3</w:t>
      </w:r>
      <w:r>
        <w:rPr>
          <w:rFonts w:hint="eastAsia"/>
          <w:b/>
          <w:sz w:val="24"/>
          <w:szCs w:val="24"/>
        </w:rPr>
        <w:t>）景观生态</w:t>
      </w:r>
    </w:p>
    <w:p w14:paraId="516BC688" w14:textId="77777777" w:rsidR="007D1E74" w:rsidRDefault="00A95641">
      <w:pPr>
        <w:spacing w:line="360" w:lineRule="auto"/>
        <w:ind w:firstLineChars="200" w:firstLine="480"/>
        <w:rPr>
          <w:sz w:val="24"/>
          <w:szCs w:val="24"/>
        </w:rPr>
      </w:pPr>
      <w:r>
        <w:rPr>
          <w:rFonts w:hint="eastAsia"/>
          <w:sz w:val="24"/>
          <w:szCs w:val="24"/>
        </w:rPr>
        <w:t>首先根据野外植物群落学调查资料（</w:t>
      </w:r>
      <w:r>
        <w:rPr>
          <w:rFonts w:hint="eastAsia"/>
          <w:sz w:val="24"/>
          <w:szCs w:val="24"/>
        </w:rPr>
        <w:t>GPS</w:t>
      </w:r>
      <w:r>
        <w:rPr>
          <w:rFonts w:hint="eastAsia"/>
          <w:sz w:val="24"/>
          <w:szCs w:val="24"/>
        </w:rPr>
        <w:t>定点）和</w:t>
      </w:r>
      <w:r>
        <w:rPr>
          <w:rFonts w:hint="eastAsia"/>
          <w:sz w:val="24"/>
          <w:szCs w:val="24"/>
        </w:rPr>
        <w:t>5</w:t>
      </w:r>
      <w:r>
        <w:rPr>
          <w:rFonts w:hint="eastAsia"/>
          <w:sz w:val="24"/>
          <w:szCs w:val="24"/>
        </w:rPr>
        <w:t>万分之一地形图，利用地理信息系统软件制作调查区的“植被类型分布图”，根据其反映出的景观生态类型特征，在分析区域生态与环境关系的基础上，归纳出研究区的景观生态类型，用</w:t>
      </w:r>
      <w:r>
        <w:rPr>
          <w:rFonts w:hint="eastAsia"/>
          <w:sz w:val="24"/>
          <w:szCs w:val="24"/>
        </w:rPr>
        <w:t>GIS</w:t>
      </w:r>
      <w:r>
        <w:rPr>
          <w:rFonts w:hint="eastAsia"/>
          <w:sz w:val="24"/>
          <w:szCs w:val="24"/>
        </w:rPr>
        <w:t>技术成图，并提取相关景观数据。利用地理信息系统计算出各种拼块的面积和数量等，以及各种土地利用类型的面积。最后根据景观生态学原理得出各类拼块的优势度值，进行景观生态体系的完整性、恢复稳定性和阻抗稳定性评价。</w:t>
      </w:r>
    </w:p>
    <w:p w14:paraId="2EAC37DC" w14:textId="77777777" w:rsidR="007D1E74" w:rsidRDefault="00A95641">
      <w:pPr>
        <w:spacing w:line="360" w:lineRule="auto"/>
        <w:ind w:firstLineChars="200" w:firstLine="482"/>
        <w:rPr>
          <w:b/>
          <w:sz w:val="24"/>
          <w:szCs w:val="24"/>
        </w:rPr>
      </w:pPr>
      <w:r>
        <w:rPr>
          <w:rFonts w:hint="eastAsia"/>
          <w:b/>
          <w:sz w:val="24"/>
          <w:szCs w:val="24"/>
        </w:rPr>
        <w:t>（</w:t>
      </w:r>
      <w:r>
        <w:rPr>
          <w:b/>
          <w:sz w:val="24"/>
          <w:szCs w:val="24"/>
        </w:rPr>
        <w:t>4</w:t>
      </w:r>
      <w:r>
        <w:rPr>
          <w:rFonts w:hint="eastAsia"/>
          <w:b/>
          <w:sz w:val="24"/>
          <w:szCs w:val="24"/>
        </w:rPr>
        <w:t>）专业图件编制方法</w:t>
      </w:r>
    </w:p>
    <w:p w14:paraId="1FE7AE58" w14:textId="77777777" w:rsidR="007D1E74" w:rsidRDefault="00A95641">
      <w:pPr>
        <w:spacing w:line="360" w:lineRule="auto"/>
        <w:ind w:firstLineChars="200" w:firstLine="480"/>
        <w:rPr>
          <w:sz w:val="24"/>
          <w:szCs w:val="24"/>
        </w:rPr>
      </w:pPr>
      <w:r>
        <w:rPr>
          <w:rFonts w:hint="eastAsia"/>
          <w:sz w:val="24"/>
          <w:szCs w:val="24"/>
        </w:rPr>
        <w:t>根据管线、阀室（组）等工程区工作底图，在现场调查的基础上，采用</w:t>
      </w:r>
      <w:r>
        <w:rPr>
          <w:rFonts w:hint="eastAsia"/>
          <w:sz w:val="24"/>
          <w:szCs w:val="24"/>
        </w:rPr>
        <w:t>GPS</w:t>
      </w:r>
      <w:r>
        <w:rPr>
          <w:rFonts w:hint="eastAsia"/>
          <w:sz w:val="24"/>
          <w:szCs w:val="24"/>
        </w:rPr>
        <w:t>、</w:t>
      </w:r>
      <w:r>
        <w:rPr>
          <w:rFonts w:hint="eastAsia"/>
          <w:sz w:val="24"/>
          <w:szCs w:val="24"/>
        </w:rPr>
        <w:t>RS</w:t>
      </w:r>
      <w:r>
        <w:rPr>
          <w:rFonts w:hint="eastAsia"/>
          <w:sz w:val="24"/>
          <w:szCs w:val="24"/>
        </w:rPr>
        <w:t>、</w:t>
      </w:r>
      <w:r>
        <w:rPr>
          <w:rFonts w:hint="eastAsia"/>
          <w:sz w:val="24"/>
          <w:szCs w:val="24"/>
        </w:rPr>
        <w:t xml:space="preserve">GIS </w:t>
      </w:r>
      <w:r>
        <w:rPr>
          <w:rFonts w:hint="eastAsia"/>
          <w:sz w:val="24"/>
          <w:szCs w:val="24"/>
        </w:rPr>
        <w:t>及</w:t>
      </w:r>
      <w:r>
        <w:rPr>
          <w:rFonts w:hint="eastAsia"/>
          <w:sz w:val="24"/>
          <w:szCs w:val="24"/>
        </w:rPr>
        <w:t>ERDAS</w:t>
      </w:r>
      <w:r>
        <w:rPr>
          <w:rFonts w:hint="eastAsia"/>
          <w:sz w:val="24"/>
          <w:szCs w:val="24"/>
        </w:rPr>
        <w:t>相结合的空间信息技术，进行地面类型的数字化判读，完成数字化的植被图和土地利用类型图，进行景观质量和生态环境质量的定性和定量评价。</w:t>
      </w:r>
    </w:p>
    <w:p w14:paraId="16181B05" w14:textId="77777777" w:rsidR="007D1E74" w:rsidRDefault="00A95641">
      <w:pPr>
        <w:spacing w:line="360" w:lineRule="auto"/>
        <w:ind w:firstLineChars="200" w:firstLine="480"/>
        <w:rPr>
          <w:sz w:val="24"/>
          <w:szCs w:val="24"/>
        </w:rPr>
      </w:pPr>
      <w:r>
        <w:rPr>
          <w:rFonts w:hint="eastAsia"/>
          <w:sz w:val="24"/>
          <w:szCs w:val="24"/>
        </w:rPr>
        <w:t>并根据调查和资料，经过坐标转换、数据分析和整理、野外核查后再重新进行修订。国家重点保护动物植物分布图，参考野外调查数据和相关资料编制的。</w:t>
      </w:r>
    </w:p>
    <w:p w14:paraId="35D1595F" w14:textId="77777777" w:rsidR="007D1E74" w:rsidRDefault="00A95641">
      <w:pPr>
        <w:pStyle w:val="afffff7"/>
        <w:ind w:firstLine="482"/>
      </w:pPr>
      <w:r>
        <w:rPr>
          <w:rFonts w:hint="eastAsia"/>
        </w:rPr>
        <w:t>5</w:t>
      </w:r>
      <w:r>
        <w:rPr>
          <w:rFonts w:hint="eastAsia"/>
        </w:rPr>
        <w:t>、主要调查评价内容</w:t>
      </w:r>
    </w:p>
    <w:p w14:paraId="3B5E6116" w14:textId="77777777" w:rsidR="007D1E74" w:rsidRDefault="00A95641">
      <w:pPr>
        <w:spacing w:line="360" w:lineRule="auto"/>
        <w:ind w:firstLineChars="200" w:firstLine="480"/>
        <w:rPr>
          <w:sz w:val="24"/>
          <w:szCs w:val="24"/>
        </w:rPr>
      </w:pPr>
      <w:r>
        <w:rPr>
          <w:rFonts w:hint="eastAsia"/>
          <w:sz w:val="24"/>
          <w:szCs w:val="24"/>
        </w:rPr>
        <w:t>①评价区域原生与栽培植被类型及分布、植物种类组成及区系现状；野生动物种类、</w:t>
      </w:r>
      <w:r>
        <w:rPr>
          <w:rFonts w:hint="eastAsia"/>
          <w:sz w:val="24"/>
          <w:szCs w:val="24"/>
        </w:rPr>
        <w:lastRenderedPageBreak/>
        <w:t>生态分布及对此区域利用现状。分析项目建设对区域陆生动植物多样性的影响，在此基础上提出具有针对性的保护、减缓和恢复措施。</w:t>
      </w:r>
    </w:p>
    <w:p w14:paraId="2EBF5F16" w14:textId="77777777" w:rsidR="007D1E74" w:rsidRDefault="00A95641">
      <w:pPr>
        <w:spacing w:line="360" w:lineRule="auto"/>
        <w:ind w:firstLineChars="200" w:firstLine="480"/>
        <w:rPr>
          <w:sz w:val="24"/>
          <w:szCs w:val="24"/>
        </w:rPr>
      </w:pPr>
      <w:r>
        <w:rPr>
          <w:rFonts w:hint="eastAsia"/>
          <w:sz w:val="24"/>
          <w:szCs w:val="24"/>
        </w:rPr>
        <w:t>②评价区域内的国家和四川省重点保护野生动植物的种类、分布现状，重点保护动物在此区域的活动规律。分析管线等建设对它们的影响，并在此基础上提出具有针对性的保护、减缓和恢复措施。</w:t>
      </w:r>
    </w:p>
    <w:p w14:paraId="7EAF9D83" w14:textId="77777777" w:rsidR="007D1E74" w:rsidRDefault="00A95641">
      <w:pPr>
        <w:spacing w:line="360" w:lineRule="auto"/>
        <w:ind w:firstLineChars="200" w:firstLine="480"/>
        <w:rPr>
          <w:sz w:val="24"/>
          <w:szCs w:val="24"/>
        </w:rPr>
      </w:pPr>
      <w:r>
        <w:rPr>
          <w:rFonts w:hint="eastAsia"/>
          <w:sz w:val="24"/>
          <w:szCs w:val="24"/>
        </w:rPr>
        <w:t>③评价区域内景观生态体系组成、生态脆弱性分析，对区域景观生态体系的影响方式、程度进行预测，在此基础上提出保护、减缓及生态恢复措施。</w:t>
      </w:r>
    </w:p>
    <w:p w14:paraId="323AB895" w14:textId="77777777" w:rsidR="007D1E74" w:rsidRDefault="00A95641">
      <w:pPr>
        <w:spacing w:line="360" w:lineRule="auto"/>
        <w:ind w:firstLineChars="200" w:firstLine="480"/>
        <w:rPr>
          <w:sz w:val="24"/>
          <w:szCs w:val="24"/>
        </w:rPr>
      </w:pPr>
      <w:r>
        <w:rPr>
          <w:rFonts w:hint="eastAsia"/>
          <w:sz w:val="24"/>
          <w:szCs w:val="24"/>
        </w:rPr>
        <w:t>④根据野生动物在工程评价区域的分布、生存现状，项目建设和运营对其影响程度和方式，在此基础上提出保护、减缓及生态恢复措施。</w:t>
      </w:r>
    </w:p>
    <w:p w14:paraId="11C7E7B3" w14:textId="77777777" w:rsidR="007D1E74" w:rsidRDefault="00A95641">
      <w:pPr>
        <w:pStyle w:val="aa"/>
      </w:pPr>
      <w:r>
        <w:rPr>
          <w:rFonts w:hint="eastAsia"/>
        </w:rPr>
        <w:t>陆生生态环境现状评价</w:t>
      </w:r>
    </w:p>
    <w:p w14:paraId="3D108104" w14:textId="77777777" w:rsidR="007D1E74" w:rsidRDefault="00A95641">
      <w:pPr>
        <w:pStyle w:val="afffff7"/>
        <w:ind w:firstLine="482"/>
      </w:pPr>
      <w:r>
        <w:rPr>
          <w:rFonts w:hint="eastAsia"/>
        </w:rPr>
        <w:t>1</w:t>
      </w:r>
      <w:r>
        <w:rPr>
          <w:rFonts w:hint="eastAsia"/>
        </w:rPr>
        <w:t>、景观生态体系现状</w:t>
      </w:r>
    </w:p>
    <w:p w14:paraId="3D3238C4" w14:textId="77777777" w:rsidR="007D1E74" w:rsidRDefault="00A95641">
      <w:pPr>
        <w:spacing w:line="360" w:lineRule="auto"/>
        <w:ind w:firstLineChars="200" w:firstLine="482"/>
        <w:rPr>
          <w:b/>
          <w:sz w:val="24"/>
          <w:szCs w:val="24"/>
        </w:rPr>
      </w:pPr>
      <w:r>
        <w:rPr>
          <w:rFonts w:hint="eastAsia"/>
          <w:b/>
          <w:sz w:val="24"/>
          <w:szCs w:val="24"/>
        </w:rPr>
        <w:t>（</w:t>
      </w:r>
      <w:r>
        <w:rPr>
          <w:rFonts w:hint="eastAsia"/>
          <w:b/>
          <w:sz w:val="24"/>
          <w:szCs w:val="24"/>
        </w:rPr>
        <w:t>1</w:t>
      </w:r>
      <w:r>
        <w:rPr>
          <w:rFonts w:hint="eastAsia"/>
          <w:b/>
          <w:sz w:val="24"/>
          <w:szCs w:val="24"/>
        </w:rPr>
        <w:t>）斑块分析</w:t>
      </w:r>
    </w:p>
    <w:p w14:paraId="4AB88787" w14:textId="77777777" w:rsidR="007D1E74" w:rsidRDefault="00A95641">
      <w:pPr>
        <w:spacing w:line="360" w:lineRule="auto"/>
        <w:ind w:firstLineChars="200" w:firstLine="480"/>
        <w:rPr>
          <w:sz w:val="24"/>
          <w:szCs w:val="24"/>
        </w:rPr>
      </w:pPr>
      <w:r>
        <w:rPr>
          <w:rFonts w:hint="eastAsia"/>
          <w:sz w:val="24"/>
          <w:szCs w:val="24"/>
        </w:rPr>
        <w:t>斑块代表景观类型的多样化。根据现场调查的地类分布信息，可将本评价区内的斑块类型划分森林、灌丛、水体、农业用地、建设用地</w:t>
      </w:r>
      <w:r>
        <w:rPr>
          <w:rFonts w:hint="eastAsia"/>
          <w:sz w:val="24"/>
          <w:szCs w:val="24"/>
        </w:rPr>
        <w:t>5</w:t>
      </w:r>
      <w:r>
        <w:rPr>
          <w:rFonts w:hint="eastAsia"/>
          <w:sz w:val="24"/>
          <w:szCs w:val="24"/>
        </w:rPr>
        <w:t>类。根据业主方提供的</w:t>
      </w:r>
      <w:r>
        <w:rPr>
          <w:rFonts w:hint="eastAsia"/>
          <w:sz w:val="24"/>
          <w:szCs w:val="24"/>
        </w:rPr>
        <w:t>2020</w:t>
      </w:r>
      <w:r>
        <w:rPr>
          <w:rFonts w:hint="eastAsia"/>
          <w:sz w:val="24"/>
          <w:szCs w:val="24"/>
        </w:rPr>
        <w:t>年卫星图片（精度</w:t>
      </w:r>
      <w:r>
        <w:rPr>
          <w:rFonts w:hint="eastAsia"/>
          <w:sz w:val="24"/>
          <w:szCs w:val="24"/>
        </w:rPr>
        <w:t>10m</w:t>
      </w:r>
      <w:r>
        <w:rPr>
          <w:rFonts w:hint="eastAsia"/>
          <w:sz w:val="24"/>
          <w:szCs w:val="24"/>
        </w:rPr>
        <w:t>），利用</w:t>
      </w:r>
      <w:r>
        <w:rPr>
          <w:rFonts w:hint="eastAsia"/>
          <w:sz w:val="24"/>
          <w:szCs w:val="24"/>
        </w:rPr>
        <w:t>Arcview GIS</w:t>
      </w:r>
      <w:r>
        <w:rPr>
          <w:rFonts w:hint="eastAsia"/>
          <w:sz w:val="24"/>
          <w:szCs w:val="24"/>
        </w:rPr>
        <w:t>的统计分析功能可以得到各类景观类型的基础信息，如下表所示。</w:t>
      </w:r>
    </w:p>
    <w:p w14:paraId="24341518" w14:textId="77777777" w:rsidR="007D1E74" w:rsidRDefault="00A95641">
      <w:pPr>
        <w:pStyle w:val="afffffe"/>
        <w:numPr>
          <w:ilvl w:val="0"/>
          <w:numId w:val="43"/>
        </w:numPr>
        <w:spacing w:line="360" w:lineRule="auto"/>
        <w:ind w:firstLineChars="0"/>
        <w:jc w:val="center"/>
        <w:rPr>
          <w:rFonts w:eastAsia="黑体" w:cs="Times New Roman"/>
          <w:szCs w:val="21"/>
        </w:rPr>
      </w:pPr>
      <w:r>
        <w:rPr>
          <w:rFonts w:eastAsia="黑体" w:cs="Times New Roman" w:hint="eastAsia"/>
          <w:szCs w:val="21"/>
        </w:rPr>
        <w:t>评价区景观格局组成统计表</w:t>
      </w:r>
    </w:p>
    <w:tbl>
      <w:tblPr>
        <w:tblStyle w:val="affffc"/>
        <w:tblW w:w="0" w:type="auto"/>
        <w:tblLook w:val="04A0" w:firstRow="1" w:lastRow="0" w:firstColumn="1" w:lastColumn="0" w:noHBand="0" w:noVBand="1"/>
      </w:tblPr>
      <w:tblGrid>
        <w:gridCol w:w="1088"/>
        <w:gridCol w:w="1238"/>
        <w:gridCol w:w="1669"/>
        <w:gridCol w:w="1681"/>
        <w:gridCol w:w="1669"/>
        <w:gridCol w:w="1671"/>
      </w:tblGrid>
      <w:tr w:rsidR="007D1E74" w14:paraId="58DD1B89" w14:textId="77777777">
        <w:tc>
          <w:tcPr>
            <w:tcW w:w="1129" w:type="dxa"/>
            <w:vAlign w:val="center"/>
          </w:tcPr>
          <w:p w14:paraId="7D1A0565" w14:textId="77777777" w:rsidR="007D1E74" w:rsidRDefault="00A95641">
            <w:pPr>
              <w:jc w:val="center"/>
              <w:rPr>
                <w:szCs w:val="21"/>
              </w:rPr>
            </w:pPr>
            <w:r>
              <w:rPr>
                <w:szCs w:val="21"/>
              </w:rPr>
              <w:t>斑块类型</w:t>
            </w:r>
          </w:p>
        </w:tc>
        <w:tc>
          <w:tcPr>
            <w:tcW w:w="1276" w:type="dxa"/>
            <w:vAlign w:val="center"/>
          </w:tcPr>
          <w:p w14:paraId="6A4DDF10" w14:textId="77777777" w:rsidR="007D1E74" w:rsidRDefault="00A95641">
            <w:pPr>
              <w:jc w:val="center"/>
              <w:rPr>
                <w:szCs w:val="21"/>
              </w:rPr>
            </w:pPr>
            <w:r>
              <w:rPr>
                <w:szCs w:val="21"/>
              </w:rPr>
              <w:t>斑块数</w:t>
            </w:r>
          </w:p>
        </w:tc>
        <w:tc>
          <w:tcPr>
            <w:tcW w:w="1723" w:type="dxa"/>
            <w:vAlign w:val="center"/>
          </w:tcPr>
          <w:p w14:paraId="48734DE4" w14:textId="77777777" w:rsidR="007D1E74" w:rsidRDefault="00A95641">
            <w:pPr>
              <w:jc w:val="center"/>
              <w:rPr>
                <w:szCs w:val="21"/>
              </w:rPr>
            </w:pPr>
            <w:r>
              <w:rPr>
                <w:szCs w:val="21"/>
              </w:rPr>
              <w:t>斑块数比例（</w:t>
            </w:r>
            <w:r>
              <w:rPr>
                <w:szCs w:val="21"/>
              </w:rPr>
              <w:t>%</w:t>
            </w:r>
            <w:r>
              <w:rPr>
                <w:szCs w:val="21"/>
              </w:rPr>
              <w:t>）</w:t>
            </w:r>
          </w:p>
        </w:tc>
        <w:tc>
          <w:tcPr>
            <w:tcW w:w="1724" w:type="dxa"/>
            <w:vAlign w:val="center"/>
          </w:tcPr>
          <w:p w14:paraId="0A7FFEF2" w14:textId="77777777" w:rsidR="007D1E74" w:rsidRDefault="00A95641">
            <w:pPr>
              <w:jc w:val="center"/>
              <w:rPr>
                <w:szCs w:val="21"/>
              </w:rPr>
            </w:pPr>
            <w:r>
              <w:rPr>
                <w:szCs w:val="21"/>
              </w:rPr>
              <w:t>面积（</w:t>
            </w:r>
            <w:r>
              <w:rPr>
                <w:szCs w:val="21"/>
              </w:rPr>
              <w:t>hm</w:t>
            </w:r>
            <w:r>
              <w:rPr>
                <w:szCs w:val="21"/>
                <w:vertAlign w:val="superscript"/>
              </w:rPr>
              <w:t>2</w:t>
            </w:r>
            <w:r>
              <w:rPr>
                <w:szCs w:val="21"/>
              </w:rPr>
              <w:t>）</w:t>
            </w:r>
          </w:p>
        </w:tc>
        <w:tc>
          <w:tcPr>
            <w:tcW w:w="1723" w:type="dxa"/>
            <w:vAlign w:val="center"/>
          </w:tcPr>
          <w:p w14:paraId="6B643898" w14:textId="77777777" w:rsidR="007D1E74" w:rsidRDefault="00A95641">
            <w:pPr>
              <w:jc w:val="center"/>
              <w:rPr>
                <w:szCs w:val="21"/>
              </w:rPr>
            </w:pPr>
            <w:r>
              <w:rPr>
                <w:szCs w:val="21"/>
              </w:rPr>
              <w:t>占总面积比例（</w:t>
            </w:r>
            <w:r>
              <w:rPr>
                <w:szCs w:val="21"/>
              </w:rPr>
              <w:t>%</w:t>
            </w:r>
            <w:r>
              <w:rPr>
                <w:szCs w:val="21"/>
              </w:rPr>
              <w:t>）</w:t>
            </w:r>
          </w:p>
        </w:tc>
        <w:tc>
          <w:tcPr>
            <w:tcW w:w="1724" w:type="dxa"/>
            <w:vAlign w:val="center"/>
          </w:tcPr>
          <w:p w14:paraId="7EDBFF46" w14:textId="77777777" w:rsidR="007D1E74" w:rsidRDefault="00A95641">
            <w:pPr>
              <w:jc w:val="center"/>
              <w:rPr>
                <w:szCs w:val="21"/>
              </w:rPr>
            </w:pPr>
            <w:r>
              <w:rPr>
                <w:szCs w:val="21"/>
              </w:rPr>
              <w:t>斑块平均面积（</w:t>
            </w:r>
            <w:r>
              <w:rPr>
                <w:szCs w:val="21"/>
              </w:rPr>
              <w:t>hm</w:t>
            </w:r>
            <w:r>
              <w:rPr>
                <w:szCs w:val="21"/>
                <w:vertAlign w:val="superscript"/>
              </w:rPr>
              <w:t>2</w:t>
            </w:r>
            <w:r>
              <w:rPr>
                <w:szCs w:val="21"/>
              </w:rPr>
              <w:t>/</w:t>
            </w:r>
            <w:r>
              <w:rPr>
                <w:szCs w:val="21"/>
              </w:rPr>
              <w:t>块）</w:t>
            </w:r>
          </w:p>
        </w:tc>
      </w:tr>
      <w:tr w:rsidR="007D1E74" w14:paraId="2F1389F3" w14:textId="77777777">
        <w:tc>
          <w:tcPr>
            <w:tcW w:w="1129" w:type="dxa"/>
            <w:vAlign w:val="center"/>
          </w:tcPr>
          <w:p w14:paraId="35764165" w14:textId="77777777" w:rsidR="007D1E74" w:rsidRDefault="00A95641">
            <w:pPr>
              <w:jc w:val="center"/>
              <w:rPr>
                <w:szCs w:val="21"/>
              </w:rPr>
            </w:pPr>
            <w:r>
              <w:rPr>
                <w:szCs w:val="21"/>
              </w:rPr>
              <w:t>森林</w:t>
            </w:r>
          </w:p>
        </w:tc>
        <w:tc>
          <w:tcPr>
            <w:tcW w:w="1276" w:type="dxa"/>
            <w:vAlign w:val="center"/>
          </w:tcPr>
          <w:p w14:paraId="14B78561" w14:textId="77777777" w:rsidR="007D1E74" w:rsidRDefault="00A95641">
            <w:pPr>
              <w:jc w:val="center"/>
              <w:rPr>
                <w:szCs w:val="21"/>
              </w:rPr>
            </w:pPr>
            <w:r>
              <w:rPr>
                <w:rFonts w:hint="eastAsia"/>
                <w:szCs w:val="21"/>
              </w:rPr>
              <w:t>9</w:t>
            </w:r>
            <w:r>
              <w:rPr>
                <w:szCs w:val="21"/>
              </w:rPr>
              <w:t>80</w:t>
            </w:r>
          </w:p>
        </w:tc>
        <w:tc>
          <w:tcPr>
            <w:tcW w:w="1723" w:type="dxa"/>
            <w:vAlign w:val="center"/>
          </w:tcPr>
          <w:p w14:paraId="5F848ADD" w14:textId="77777777" w:rsidR="007D1E74" w:rsidRDefault="00A95641">
            <w:pPr>
              <w:jc w:val="center"/>
              <w:rPr>
                <w:szCs w:val="21"/>
              </w:rPr>
            </w:pPr>
            <w:r>
              <w:rPr>
                <w:rFonts w:hint="eastAsia"/>
                <w:szCs w:val="21"/>
              </w:rPr>
              <w:t>5</w:t>
            </w:r>
            <w:r>
              <w:rPr>
                <w:szCs w:val="21"/>
              </w:rPr>
              <w:t>4.90</w:t>
            </w:r>
          </w:p>
        </w:tc>
        <w:tc>
          <w:tcPr>
            <w:tcW w:w="1724" w:type="dxa"/>
            <w:vAlign w:val="center"/>
          </w:tcPr>
          <w:p w14:paraId="7AD03C10" w14:textId="77777777" w:rsidR="007D1E74" w:rsidRDefault="00A95641">
            <w:pPr>
              <w:jc w:val="center"/>
              <w:rPr>
                <w:szCs w:val="21"/>
              </w:rPr>
            </w:pPr>
            <w:r>
              <w:rPr>
                <w:rFonts w:hint="eastAsia"/>
                <w:szCs w:val="21"/>
              </w:rPr>
              <w:t>7</w:t>
            </w:r>
            <w:r>
              <w:rPr>
                <w:szCs w:val="21"/>
              </w:rPr>
              <w:t>088.47</w:t>
            </w:r>
          </w:p>
        </w:tc>
        <w:tc>
          <w:tcPr>
            <w:tcW w:w="1723" w:type="dxa"/>
            <w:vAlign w:val="center"/>
          </w:tcPr>
          <w:p w14:paraId="219D34B7" w14:textId="77777777" w:rsidR="007D1E74" w:rsidRDefault="00A95641">
            <w:pPr>
              <w:jc w:val="center"/>
              <w:rPr>
                <w:szCs w:val="21"/>
              </w:rPr>
            </w:pPr>
            <w:r>
              <w:rPr>
                <w:rFonts w:hint="eastAsia"/>
                <w:szCs w:val="21"/>
              </w:rPr>
              <w:t>6</w:t>
            </w:r>
            <w:r>
              <w:rPr>
                <w:szCs w:val="21"/>
              </w:rPr>
              <w:t>4.18</w:t>
            </w:r>
          </w:p>
        </w:tc>
        <w:tc>
          <w:tcPr>
            <w:tcW w:w="1724" w:type="dxa"/>
            <w:vAlign w:val="center"/>
          </w:tcPr>
          <w:p w14:paraId="26FC108C" w14:textId="77777777" w:rsidR="007D1E74" w:rsidRDefault="00A95641">
            <w:pPr>
              <w:jc w:val="center"/>
              <w:rPr>
                <w:szCs w:val="21"/>
              </w:rPr>
            </w:pPr>
            <w:r>
              <w:rPr>
                <w:rFonts w:hint="eastAsia"/>
                <w:szCs w:val="21"/>
              </w:rPr>
              <w:t>7</w:t>
            </w:r>
            <w:r>
              <w:rPr>
                <w:szCs w:val="21"/>
              </w:rPr>
              <w:t>.2331</w:t>
            </w:r>
          </w:p>
        </w:tc>
      </w:tr>
      <w:tr w:rsidR="007D1E74" w14:paraId="1E06A76A" w14:textId="77777777">
        <w:tc>
          <w:tcPr>
            <w:tcW w:w="1129" w:type="dxa"/>
            <w:vAlign w:val="center"/>
          </w:tcPr>
          <w:p w14:paraId="1BA006DF" w14:textId="77777777" w:rsidR="007D1E74" w:rsidRDefault="00A95641">
            <w:pPr>
              <w:jc w:val="center"/>
              <w:rPr>
                <w:szCs w:val="21"/>
              </w:rPr>
            </w:pPr>
            <w:r>
              <w:rPr>
                <w:szCs w:val="21"/>
              </w:rPr>
              <w:t>灌丛</w:t>
            </w:r>
          </w:p>
        </w:tc>
        <w:tc>
          <w:tcPr>
            <w:tcW w:w="1276" w:type="dxa"/>
            <w:vAlign w:val="center"/>
          </w:tcPr>
          <w:p w14:paraId="65345973" w14:textId="77777777" w:rsidR="007D1E74" w:rsidRDefault="00A95641">
            <w:pPr>
              <w:jc w:val="center"/>
              <w:rPr>
                <w:szCs w:val="21"/>
              </w:rPr>
            </w:pPr>
            <w:r>
              <w:rPr>
                <w:rFonts w:hint="eastAsia"/>
                <w:szCs w:val="21"/>
              </w:rPr>
              <w:t>9</w:t>
            </w:r>
            <w:r>
              <w:rPr>
                <w:szCs w:val="21"/>
              </w:rPr>
              <w:t>0</w:t>
            </w:r>
          </w:p>
        </w:tc>
        <w:tc>
          <w:tcPr>
            <w:tcW w:w="1723" w:type="dxa"/>
            <w:vAlign w:val="center"/>
          </w:tcPr>
          <w:p w14:paraId="245872B6" w14:textId="77777777" w:rsidR="007D1E74" w:rsidRDefault="00A95641">
            <w:pPr>
              <w:jc w:val="center"/>
              <w:rPr>
                <w:szCs w:val="21"/>
              </w:rPr>
            </w:pPr>
            <w:r>
              <w:rPr>
                <w:rFonts w:hint="eastAsia"/>
                <w:szCs w:val="21"/>
              </w:rPr>
              <w:t>5</w:t>
            </w:r>
            <w:r>
              <w:rPr>
                <w:szCs w:val="21"/>
              </w:rPr>
              <w:t>.04</w:t>
            </w:r>
          </w:p>
        </w:tc>
        <w:tc>
          <w:tcPr>
            <w:tcW w:w="1724" w:type="dxa"/>
            <w:vAlign w:val="center"/>
          </w:tcPr>
          <w:p w14:paraId="7035731A" w14:textId="77777777" w:rsidR="007D1E74" w:rsidRDefault="00A95641">
            <w:pPr>
              <w:jc w:val="center"/>
              <w:rPr>
                <w:szCs w:val="21"/>
              </w:rPr>
            </w:pPr>
            <w:r>
              <w:rPr>
                <w:rFonts w:hint="eastAsia"/>
                <w:szCs w:val="21"/>
              </w:rPr>
              <w:t>2</w:t>
            </w:r>
            <w:r>
              <w:rPr>
                <w:szCs w:val="21"/>
              </w:rPr>
              <w:t>42.85</w:t>
            </w:r>
          </w:p>
        </w:tc>
        <w:tc>
          <w:tcPr>
            <w:tcW w:w="1723" w:type="dxa"/>
            <w:vAlign w:val="center"/>
          </w:tcPr>
          <w:p w14:paraId="4D8D951F" w14:textId="77777777" w:rsidR="007D1E74" w:rsidRDefault="00A95641">
            <w:pPr>
              <w:jc w:val="center"/>
              <w:rPr>
                <w:szCs w:val="21"/>
              </w:rPr>
            </w:pPr>
            <w:r>
              <w:rPr>
                <w:rFonts w:hint="eastAsia"/>
                <w:szCs w:val="21"/>
              </w:rPr>
              <w:t>2</w:t>
            </w:r>
            <w:r>
              <w:rPr>
                <w:szCs w:val="21"/>
              </w:rPr>
              <w:t>.20</w:t>
            </w:r>
          </w:p>
        </w:tc>
        <w:tc>
          <w:tcPr>
            <w:tcW w:w="1724" w:type="dxa"/>
            <w:vAlign w:val="center"/>
          </w:tcPr>
          <w:p w14:paraId="4B9E96A9" w14:textId="77777777" w:rsidR="007D1E74" w:rsidRDefault="00A95641">
            <w:pPr>
              <w:jc w:val="center"/>
              <w:rPr>
                <w:szCs w:val="21"/>
              </w:rPr>
            </w:pPr>
            <w:r>
              <w:rPr>
                <w:rFonts w:hint="eastAsia"/>
                <w:szCs w:val="21"/>
              </w:rPr>
              <w:t>2</w:t>
            </w:r>
            <w:r>
              <w:rPr>
                <w:szCs w:val="21"/>
              </w:rPr>
              <w:t>.6983</w:t>
            </w:r>
          </w:p>
        </w:tc>
      </w:tr>
      <w:tr w:rsidR="007D1E74" w14:paraId="1E70712F" w14:textId="77777777">
        <w:tc>
          <w:tcPr>
            <w:tcW w:w="1129" w:type="dxa"/>
            <w:vAlign w:val="center"/>
          </w:tcPr>
          <w:p w14:paraId="00515512" w14:textId="77777777" w:rsidR="007D1E74" w:rsidRDefault="00A95641">
            <w:pPr>
              <w:jc w:val="center"/>
              <w:rPr>
                <w:szCs w:val="21"/>
              </w:rPr>
            </w:pPr>
            <w:r>
              <w:rPr>
                <w:szCs w:val="21"/>
              </w:rPr>
              <w:t>水体</w:t>
            </w:r>
          </w:p>
        </w:tc>
        <w:tc>
          <w:tcPr>
            <w:tcW w:w="1276" w:type="dxa"/>
            <w:vAlign w:val="center"/>
          </w:tcPr>
          <w:p w14:paraId="4B39328F" w14:textId="77777777" w:rsidR="007D1E74" w:rsidRDefault="00A95641">
            <w:pPr>
              <w:jc w:val="center"/>
              <w:rPr>
                <w:szCs w:val="21"/>
              </w:rPr>
            </w:pPr>
            <w:r>
              <w:rPr>
                <w:rFonts w:hint="eastAsia"/>
                <w:szCs w:val="21"/>
              </w:rPr>
              <w:t>5</w:t>
            </w:r>
            <w:r>
              <w:rPr>
                <w:szCs w:val="21"/>
              </w:rPr>
              <w:t>5</w:t>
            </w:r>
          </w:p>
        </w:tc>
        <w:tc>
          <w:tcPr>
            <w:tcW w:w="1723" w:type="dxa"/>
            <w:vAlign w:val="center"/>
          </w:tcPr>
          <w:p w14:paraId="6C55796E" w14:textId="77777777" w:rsidR="007D1E74" w:rsidRDefault="00A95641">
            <w:pPr>
              <w:jc w:val="center"/>
              <w:rPr>
                <w:szCs w:val="21"/>
              </w:rPr>
            </w:pPr>
            <w:r>
              <w:rPr>
                <w:rFonts w:hint="eastAsia"/>
                <w:szCs w:val="21"/>
              </w:rPr>
              <w:t>3</w:t>
            </w:r>
            <w:r>
              <w:rPr>
                <w:szCs w:val="21"/>
              </w:rPr>
              <w:t>.08</w:t>
            </w:r>
          </w:p>
        </w:tc>
        <w:tc>
          <w:tcPr>
            <w:tcW w:w="1724" w:type="dxa"/>
            <w:vAlign w:val="center"/>
          </w:tcPr>
          <w:p w14:paraId="26206540" w14:textId="77777777" w:rsidR="007D1E74" w:rsidRDefault="00A95641">
            <w:pPr>
              <w:jc w:val="center"/>
              <w:rPr>
                <w:szCs w:val="21"/>
              </w:rPr>
            </w:pPr>
            <w:r>
              <w:rPr>
                <w:rFonts w:hint="eastAsia"/>
                <w:szCs w:val="21"/>
              </w:rPr>
              <w:t>2</w:t>
            </w:r>
            <w:r>
              <w:rPr>
                <w:szCs w:val="21"/>
              </w:rPr>
              <w:t>30.34</w:t>
            </w:r>
          </w:p>
        </w:tc>
        <w:tc>
          <w:tcPr>
            <w:tcW w:w="1723" w:type="dxa"/>
            <w:vAlign w:val="center"/>
          </w:tcPr>
          <w:p w14:paraId="43D91E7E" w14:textId="77777777" w:rsidR="007D1E74" w:rsidRDefault="00A95641">
            <w:pPr>
              <w:jc w:val="center"/>
              <w:rPr>
                <w:szCs w:val="21"/>
              </w:rPr>
            </w:pPr>
            <w:r>
              <w:rPr>
                <w:rFonts w:hint="eastAsia"/>
                <w:szCs w:val="21"/>
              </w:rPr>
              <w:t>2</w:t>
            </w:r>
            <w:r>
              <w:rPr>
                <w:szCs w:val="21"/>
              </w:rPr>
              <w:t>.09</w:t>
            </w:r>
          </w:p>
        </w:tc>
        <w:tc>
          <w:tcPr>
            <w:tcW w:w="1724" w:type="dxa"/>
            <w:vAlign w:val="center"/>
          </w:tcPr>
          <w:p w14:paraId="7B73A43B" w14:textId="77777777" w:rsidR="007D1E74" w:rsidRDefault="00A95641">
            <w:pPr>
              <w:jc w:val="center"/>
              <w:rPr>
                <w:szCs w:val="21"/>
              </w:rPr>
            </w:pPr>
            <w:r>
              <w:rPr>
                <w:rFonts w:hint="eastAsia"/>
                <w:szCs w:val="21"/>
              </w:rPr>
              <w:t>4</w:t>
            </w:r>
            <w:r>
              <w:rPr>
                <w:szCs w:val="21"/>
              </w:rPr>
              <w:t>.1880</w:t>
            </w:r>
          </w:p>
        </w:tc>
      </w:tr>
      <w:tr w:rsidR="007D1E74" w14:paraId="26A4F26A" w14:textId="77777777">
        <w:tc>
          <w:tcPr>
            <w:tcW w:w="1129" w:type="dxa"/>
            <w:vAlign w:val="center"/>
          </w:tcPr>
          <w:p w14:paraId="5AB2D464" w14:textId="77777777" w:rsidR="007D1E74" w:rsidRDefault="00A95641">
            <w:pPr>
              <w:jc w:val="center"/>
              <w:rPr>
                <w:szCs w:val="21"/>
              </w:rPr>
            </w:pPr>
            <w:r>
              <w:rPr>
                <w:szCs w:val="21"/>
              </w:rPr>
              <w:t>农业用地</w:t>
            </w:r>
          </w:p>
        </w:tc>
        <w:tc>
          <w:tcPr>
            <w:tcW w:w="1276" w:type="dxa"/>
            <w:vAlign w:val="center"/>
          </w:tcPr>
          <w:p w14:paraId="198AE2A3" w14:textId="77777777" w:rsidR="007D1E74" w:rsidRDefault="00A95641">
            <w:pPr>
              <w:jc w:val="center"/>
              <w:rPr>
                <w:szCs w:val="21"/>
              </w:rPr>
            </w:pPr>
            <w:r>
              <w:rPr>
                <w:rFonts w:hint="eastAsia"/>
                <w:szCs w:val="21"/>
              </w:rPr>
              <w:t>4</w:t>
            </w:r>
            <w:r>
              <w:rPr>
                <w:szCs w:val="21"/>
              </w:rPr>
              <w:t>80</w:t>
            </w:r>
          </w:p>
        </w:tc>
        <w:tc>
          <w:tcPr>
            <w:tcW w:w="1723" w:type="dxa"/>
            <w:vAlign w:val="center"/>
          </w:tcPr>
          <w:p w14:paraId="002546AF" w14:textId="77777777" w:rsidR="007D1E74" w:rsidRDefault="00A95641">
            <w:pPr>
              <w:jc w:val="center"/>
              <w:rPr>
                <w:szCs w:val="21"/>
              </w:rPr>
            </w:pPr>
            <w:r>
              <w:rPr>
                <w:rFonts w:hint="eastAsia"/>
                <w:szCs w:val="21"/>
              </w:rPr>
              <w:t>2</w:t>
            </w:r>
            <w:r>
              <w:rPr>
                <w:szCs w:val="21"/>
              </w:rPr>
              <w:t>6.89</w:t>
            </w:r>
          </w:p>
        </w:tc>
        <w:tc>
          <w:tcPr>
            <w:tcW w:w="1724" w:type="dxa"/>
            <w:vAlign w:val="center"/>
          </w:tcPr>
          <w:p w14:paraId="31155548" w14:textId="77777777" w:rsidR="007D1E74" w:rsidRDefault="00A95641">
            <w:pPr>
              <w:jc w:val="center"/>
              <w:rPr>
                <w:szCs w:val="21"/>
              </w:rPr>
            </w:pPr>
            <w:r>
              <w:rPr>
                <w:rFonts w:hint="eastAsia"/>
                <w:szCs w:val="21"/>
              </w:rPr>
              <w:t>3</w:t>
            </w:r>
            <w:r>
              <w:rPr>
                <w:szCs w:val="21"/>
              </w:rPr>
              <w:t>291.59</w:t>
            </w:r>
          </w:p>
        </w:tc>
        <w:tc>
          <w:tcPr>
            <w:tcW w:w="1723" w:type="dxa"/>
            <w:vAlign w:val="center"/>
          </w:tcPr>
          <w:p w14:paraId="1A757D5B" w14:textId="77777777" w:rsidR="007D1E74" w:rsidRDefault="00A95641">
            <w:pPr>
              <w:jc w:val="center"/>
              <w:rPr>
                <w:szCs w:val="21"/>
              </w:rPr>
            </w:pPr>
            <w:r>
              <w:rPr>
                <w:rFonts w:hint="eastAsia"/>
                <w:szCs w:val="21"/>
              </w:rPr>
              <w:t>2</w:t>
            </w:r>
            <w:r>
              <w:rPr>
                <w:szCs w:val="21"/>
              </w:rPr>
              <w:t>9.80</w:t>
            </w:r>
          </w:p>
        </w:tc>
        <w:tc>
          <w:tcPr>
            <w:tcW w:w="1724" w:type="dxa"/>
            <w:vAlign w:val="center"/>
          </w:tcPr>
          <w:p w14:paraId="2856D7E3" w14:textId="77777777" w:rsidR="007D1E74" w:rsidRDefault="00A95641">
            <w:pPr>
              <w:jc w:val="center"/>
              <w:rPr>
                <w:szCs w:val="21"/>
              </w:rPr>
            </w:pPr>
            <w:r>
              <w:rPr>
                <w:rFonts w:hint="eastAsia"/>
                <w:szCs w:val="21"/>
              </w:rPr>
              <w:t>6</w:t>
            </w:r>
            <w:r>
              <w:rPr>
                <w:szCs w:val="21"/>
              </w:rPr>
              <w:t>.8575</w:t>
            </w:r>
          </w:p>
        </w:tc>
      </w:tr>
      <w:tr w:rsidR="007D1E74" w14:paraId="080BF7C6" w14:textId="77777777">
        <w:tc>
          <w:tcPr>
            <w:tcW w:w="1129" w:type="dxa"/>
            <w:vAlign w:val="center"/>
          </w:tcPr>
          <w:p w14:paraId="20F482E8" w14:textId="77777777" w:rsidR="007D1E74" w:rsidRDefault="00A95641">
            <w:pPr>
              <w:jc w:val="center"/>
              <w:rPr>
                <w:szCs w:val="21"/>
              </w:rPr>
            </w:pPr>
            <w:r>
              <w:rPr>
                <w:szCs w:val="21"/>
              </w:rPr>
              <w:t>建设用地</w:t>
            </w:r>
          </w:p>
        </w:tc>
        <w:tc>
          <w:tcPr>
            <w:tcW w:w="1276" w:type="dxa"/>
            <w:vAlign w:val="center"/>
          </w:tcPr>
          <w:p w14:paraId="5F4ED32C" w14:textId="77777777" w:rsidR="007D1E74" w:rsidRDefault="00A95641">
            <w:pPr>
              <w:jc w:val="center"/>
              <w:rPr>
                <w:szCs w:val="21"/>
              </w:rPr>
            </w:pPr>
            <w:r>
              <w:rPr>
                <w:rFonts w:hint="eastAsia"/>
                <w:szCs w:val="21"/>
              </w:rPr>
              <w:t>1</w:t>
            </w:r>
            <w:r>
              <w:rPr>
                <w:szCs w:val="21"/>
              </w:rPr>
              <w:t>80</w:t>
            </w:r>
          </w:p>
        </w:tc>
        <w:tc>
          <w:tcPr>
            <w:tcW w:w="1723" w:type="dxa"/>
            <w:vAlign w:val="center"/>
          </w:tcPr>
          <w:p w14:paraId="6E083777" w14:textId="77777777" w:rsidR="007D1E74" w:rsidRDefault="00A95641">
            <w:pPr>
              <w:jc w:val="center"/>
              <w:rPr>
                <w:szCs w:val="21"/>
              </w:rPr>
            </w:pPr>
            <w:r>
              <w:rPr>
                <w:rFonts w:hint="eastAsia"/>
                <w:szCs w:val="21"/>
              </w:rPr>
              <w:t>1</w:t>
            </w:r>
            <w:r>
              <w:rPr>
                <w:szCs w:val="21"/>
              </w:rPr>
              <w:t>0.08</w:t>
            </w:r>
          </w:p>
        </w:tc>
        <w:tc>
          <w:tcPr>
            <w:tcW w:w="1724" w:type="dxa"/>
            <w:vAlign w:val="center"/>
          </w:tcPr>
          <w:p w14:paraId="4C44D36E" w14:textId="77777777" w:rsidR="007D1E74" w:rsidRDefault="00A95641">
            <w:pPr>
              <w:jc w:val="center"/>
              <w:rPr>
                <w:szCs w:val="21"/>
              </w:rPr>
            </w:pPr>
            <w:r>
              <w:rPr>
                <w:rFonts w:hint="eastAsia"/>
                <w:szCs w:val="21"/>
              </w:rPr>
              <w:t>1</w:t>
            </w:r>
            <w:r>
              <w:rPr>
                <w:szCs w:val="21"/>
              </w:rPr>
              <w:t>90.95</w:t>
            </w:r>
          </w:p>
        </w:tc>
        <w:tc>
          <w:tcPr>
            <w:tcW w:w="1723" w:type="dxa"/>
            <w:vAlign w:val="center"/>
          </w:tcPr>
          <w:p w14:paraId="076FFEE7" w14:textId="77777777" w:rsidR="007D1E74" w:rsidRDefault="00A95641">
            <w:pPr>
              <w:jc w:val="center"/>
              <w:rPr>
                <w:szCs w:val="21"/>
              </w:rPr>
            </w:pPr>
            <w:r>
              <w:rPr>
                <w:rFonts w:hint="eastAsia"/>
                <w:szCs w:val="21"/>
              </w:rPr>
              <w:t>1</w:t>
            </w:r>
            <w:r>
              <w:rPr>
                <w:szCs w:val="21"/>
              </w:rPr>
              <w:t>.73</w:t>
            </w:r>
          </w:p>
        </w:tc>
        <w:tc>
          <w:tcPr>
            <w:tcW w:w="1724" w:type="dxa"/>
            <w:vAlign w:val="center"/>
          </w:tcPr>
          <w:p w14:paraId="6E929285" w14:textId="77777777" w:rsidR="007D1E74" w:rsidRDefault="00A95641">
            <w:pPr>
              <w:jc w:val="center"/>
              <w:rPr>
                <w:szCs w:val="21"/>
              </w:rPr>
            </w:pPr>
            <w:r>
              <w:rPr>
                <w:rFonts w:hint="eastAsia"/>
                <w:szCs w:val="21"/>
              </w:rPr>
              <w:t>1</w:t>
            </w:r>
            <w:r>
              <w:rPr>
                <w:szCs w:val="21"/>
              </w:rPr>
              <w:t>.0608</w:t>
            </w:r>
          </w:p>
        </w:tc>
      </w:tr>
      <w:tr w:rsidR="007D1E74" w14:paraId="50949A3D" w14:textId="77777777">
        <w:tc>
          <w:tcPr>
            <w:tcW w:w="1129" w:type="dxa"/>
            <w:vAlign w:val="center"/>
          </w:tcPr>
          <w:p w14:paraId="4E2D195B" w14:textId="77777777" w:rsidR="007D1E74" w:rsidRDefault="00A95641">
            <w:pPr>
              <w:jc w:val="center"/>
              <w:rPr>
                <w:szCs w:val="21"/>
              </w:rPr>
            </w:pPr>
            <w:r>
              <w:rPr>
                <w:szCs w:val="21"/>
              </w:rPr>
              <w:t>合计</w:t>
            </w:r>
          </w:p>
        </w:tc>
        <w:tc>
          <w:tcPr>
            <w:tcW w:w="1276" w:type="dxa"/>
            <w:vAlign w:val="center"/>
          </w:tcPr>
          <w:p w14:paraId="33329B44" w14:textId="77777777" w:rsidR="007D1E74" w:rsidRDefault="00A95641">
            <w:pPr>
              <w:jc w:val="center"/>
              <w:rPr>
                <w:szCs w:val="21"/>
              </w:rPr>
            </w:pPr>
            <w:r>
              <w:rPr>
                <w:rFonts w:hint="eastAsia"/>
                <w:szCs w:val="21"/>
              </w:rPr>
              <w:t>1</w:t>
            </w:r>
            <w:r>
              <w:rPr>
                <w:szCs w:val="21"/>
              </w:rPr>
              <w:t>785</w:t>
            </w:r>
          </w:p>
        </w:tc>
        <w:tc>
          <w:tcPr>
            <w:tcW w:w="1723" w:type="dxa"/>
            <w:vAlign w:val="center"/>
          </w:tcPr>
          <w:p w14:paraId="377B4610" w14:textId="77777777" w:rsidR="007D1E74" w:rsidRDefault="00A95641">
            <w:pPr>
              <w:jc w:val="center"/>
              <w:rPr>
                <w:szCs w:val="21"/>
              </w:rPr>
            </w:pPr>
            <w:r>
              <w:rPr>
                <w:rFonts w:hint="eastAsia"/>
                <w:szCs w:val="21"/>
              </w:rPr>
              <w:t>1</w:t>
            </w:r>
            <w:r>
              <w:rPr>
                <w:szCs w:val="21"/>
              </w:rPr>
              <w:t>00.00</w:t>
            </w:r>
          </w:p>
        </w:tc>
        <w:tc>
          <w:tcPr>
            <w:tcW w:w="1724" w:type="dxa"/>
            <w:vAlign w:val="center"/>
          </w:tcPr>
          <w:p w14:paraId="0F3B9CCC" w14:textId="77777777" w:rsidR="007D1E74" w:rsidRDefault="00A95641">
            <w:pPr>
              <w:jc w:val="center"/>
              <w:rPr>
                <w:szCs w:val="21"/>
              </w:rPr>
            </w:pPr>
            <w:r>
              <w:rPr>
                <w:rFonts w:hint="eastAsia"/>
                <w:szCs w:val="21"/>
              </w:rPr>
              <w:t>1</w:t>
            </w:r>
            <w:r>
              <w:rPr>
                <w:szCs w:val="21"/>
              </w:rPr>
              <w:t>1044.20</w:t>
            </w:r>
          </w:p>
        </w:tc>
        <w:tc>
          <w:tcPr>
            <w:tcW w:w="1723" w:type="dxa"/>
            <w:vAlign w:val="center"/>
          </w:tcPr>
          <w:p w14:paraId="7CFAEE6F" w14:textId="77777777" w:rsidR="007D1E74" w:rsidRDefault="00A95641">
            <w:pPr>
              <w:jc w:val="center"/>
              <w:rPr>
                <w:szCs w:val="21"/>
              </w:rPr>
            </w:pPr>
            <w:r>
              <w:rPr>
                <w:rFonts w:hint="eastAsia"/>
                <w:szCs w:val="21"/>
              </w:rPr>
              <w:t>1</w:t>
            </w:r>
            <w:r>
              <w:rPr>
                <w:szCs w:val="21"/>
              </w:rPr>
              <w:t>00.00</w:t>
            </w:r>
          </w:p>
        </w:tc>
        <w:tc>
          <w:tcPr>
            <w:tcW w:w="1724" w:type="dxa"/>
            <w:vAlign w:val="center"/>
          </w:tcPr>
          <w:p w14:paraId="419A1E99" w14:textId="77777777" w:rsidR="007D1E74" w:rsidRDefault="00A95641">
            <w:pPr>
              <w:jc w:val="center"/>
              <w:rPr>
                <w:szCs w:val="21"/>
              </w:rPr>
            </w:pPr>
            <w:r>
              <w:rPr>
                <w:rFonts w:hint="eastAsia"/>
                <w:szCs w:val="21"/>
              </w:rPr>
              <w:t>6</w:t>
            </w:r>
            <w:r>
              <w:rPr>
                <w:szCs w:val="21"/>
              </w:rPr>
              <w:t>.1872</w:t>
            </w:r>
          </w:p>
        </w:tc>
      </w:tr>
    </w:tbl>
    <w:p w14:paraId="6FEDFB03" w14:textId="77777777" w:rsidR="007D1E74" w:rsidRDefault="00A95641">
      <w:pPr>
        <w:spacing w:line="360" w:lineRule="auto"/>
        <w:ind w:firstLineChars="200" w:firstLine="480"/>
        <w:rPr>
          <w:sz w:val="24"/>
          <w:szCs w:val="24"/>
        </w:rPr>
      </w:pPr>
      <w:r>
        <w:rPr>
          <w:rFonts w:hint="eastAsia"/>
          <w:sz w:val="24"/>
          <w:szCs w:val="24"/>
        </w:rPr>
        <w:t>评价区森林斑块在斑块数、斑块面积和平均斑块面积</w:t>
      </w:r>
      <w:r>
        <w:rPr>
          <w:rFonts w:hint="eastAsia"/>
          <w:sz w:val="24"/>
          <w:szCs w:val="24"/>
        </w:rPr>
        <w:t>3</w:t>
      </w:r>
      <w:r>
        <w:rPr>
          <w:rFonts w:hint="eastAsia"/>
          <w:sz w:val="24"/>
          <w:szCs w:val="24"/>
        </w:rPr>
        <w:t>项指标中均为最高，其斑块数量最多，为</w:t>
      </w:r>
      <w:r>
        <w:rPr>
          <w:rFonts w:hint="eastAsia"/>
          <w:sz w:val="24"/>
          <w:szCs w:val="24"/>
        </w:rPr>
        <w:t>980</w:t>
      </w:r>
      <w:r>
        <w:rPr>
          <w:rFonts w:hint="eastAsia"/>
          <w:sz w:val="24"/>
          <w:szCs w:val="24"/>
        </w:rPr>
        <w:t>块；其面积占总面积比例达到</w:t>
      </w:r>
      <w:r>
        <w:rPr>
          <w:rFonts w:hint="eastAsia"/>
          <w:sz w:val="24"/>
          <w:szCs w:val="24"/>
        </w:rPr>
        <w:t>64.18%</w:t>
      </w:r>
      <w:r>
        <w:rPr>
          <w:rFonts w:hint="eastAsia"/>
          <w:sz w:val="24"/>
          <w:szCs w:val="24"/>
        </w:rPr>
        <w:t>；其平均斑块面积也最大，为</w:t>
      </w:r>
      <w:r>
        <w:rPr>
          <w:rFonts w:hint="eastAsia"/>
          <w:sz w:val="24"/>
          <w:szCs w:val="24"/>
        </w:rPr>
        <w:t>7.2331hm</w:t>
      </w:r>
      <w:r>
        <w:rPr>
          <w:rFonts w:hint="eastAsia"/>
          <w:sz w:val="24"/>
          <w:szCs w:val="24"/>
          <w:vertAlign w:val="superscript"/>
        </w:rPr>
        <w:t>2</w:t>
      </w:r>
      <w:r>
        <w:rPr>
          <w:rFonts w:hint="eastAsia"/>
          <w:sz w:val="24"/>
          <w:szCs w:val="24"/>
        </w:rPr>
        <w:t>/</w:t>
      </w:r>
      <w:r>
        <w:rPr>
          <w:rFonts w:hint="eastAsia"/>
          <w:sz w:val="24"/>
          <w:szCs w:val="24"/>
        </w:rPr>
        <w:t>块，显著超过评价区</w:t>
      </w:r>
      <w:r>
        <w:rPr>
          <w:rFonts w:hint="eastAsia"/>
          <w:sz w:val="24"/>
          <w:szCs w:val="24"/>
        </w:rPr>
        <w:t>6.1872 hm</w:t>
      </w:r>
      <w:r>
        <w:rPr>
          <w:rFonts w:hint="eastAsia"/>
          <w:sz w:val="24"/>
          <w:szCs w:val="24"/>
          <w:vertAlign w:val="superscript"/>
        </w:rPr>
        <w:t>2</w:t>
      </w:r>
      <w:r>
        <w:rPr>
          <w:rFonts w:hint="eastAsia"/>
          <w:sz w:val="24"/>
          <w:szCs w:val="24"/>
        </w:rPr>
        <w:t>/</w:t>
      </w:r>
      <w:r>
        <w:rPr>
          <w:rFonts w:hint="eastAsia"/>
          <w:sz w:val="24"/>
          <w:szCs w:val="24"/>
        </w:rPr>
        <w:t>块的平均水平。农业用地斑块的各项指标仅低于森林斑块，尽管有河流、道路的阻隔作用，评价区内森林斑块和农业用地斑块的连接性都较高，因此森林和农业用地是评价区景观类型的主体。其他斑块的各项指标均明显较小，尤以建设用地斑块占据份额最小。</w:t>
      </w:r>
    </w:p>
    <w:p w14:paraId="17C38EAA" w14:textId="77777777" w:rsidR="007D1E74" w:rsidRDefault="00A95641">
      <w:pPr>
        <w:spacing w:line="360" w:lineRule="auto"/>
        <w:ind w:firstLineChars="200" w:firstLine="482"/>
        <w:rPr>
          <w:b/>
          <w:sz w:val="24"/>
          <w:szCs w:val="24"/>
        </w:rPr>
      </w:pPr>
      <w:r>
        <w:rPr>
          <w:rFonts w:hint="eastAsia"/>
          <w:b/>
          <w:sz w:val="24"/>
          <w:szCs w:val="24"/>
        </w:rPr>
        <w:t>（</w:t>
      </w:r>
      <w:r>
        <w:rPr>
          <w:b/>
          <w:sz w:val="24"/>
          <w:szCs w:val="24"/>
        </w:rPr>
        <w:t>2</w:t>
      </w:r>
      <w:r>
        <w:rPr>
          <w:rFonts w:hint="eastAsia"/>
          <w:b/>
          <w:sz w:val="24"/>
          <w:szCs w:val="24"/>
        </w:rPr>
        <w:t>）廊道分析</w:t>
      </w:r>
    </w:p>
    <w:p w14:paraId="4444CAE0" w14:textId="77777777" w:rsidR="007D1E74" w:rsidRDefault="00A95641">
      <w:pPr>
        <w:spacing w:line="360" w:lineRule="auto"/>
        <w:ind w:firstLineChars="200" w:firstLine="480"/>
        <w:rPr>
          <w:sz w:val="24"/>
          <w:szCs w:val="24"/>
        </w:rPr>
      </w:pPr>
      <w:r>
        <w:rPr>
          <w:rFonts w:hint="eastAsia"/>
          <w:sz w:val="24"/>
          <w:szCs w:val="24"/>
        </w:rPr>
        <w:lastRenderedPageBreak/>
        <w:t>廊道是指不同于周围景观基质的线状或带状景观要素，作为线性的景观单元除了具有通道和阻隔的作用之外，还有物种过滤器、某些物种的栖息地功能以及对其周围环境与生物生产影响的影响源作用。评价区内廊道主要为河流廊道和道路廊道。其中，河流主要有小通江河及其主要支流蔡黄沟（即杨家河，左侧）、龙洞河（即刘家河，右侧）、涪水（左侧）、石板溪、毛村溪、董家沟、清水沟、左家河、蚂蟥沟、龙洞沟、鹿浴沟等，小通江河主河道较宽阔，属带状廊道，蔡黄沟、龙洞河和涪水</w:t>
      </w:r>
      <w:r>
        <w:rPr>
          <w:rFonts w:hint="eastAsia"/>
          <w:sz w:val="24"/>
          <w:szCs w:val="24"/>
        </w:rPr>
        <w:t>3</w:t>
      </w:r>
      <w:r>
        <w:rPr>
          <w:rFonts w:hint="eastAsia"/>
          <w:sz w:val="24"/>
          <w:szCs w:val="24"/>
        </w:rPr>
        <w:t>条支流相对狭窄，属窄带廊道，石板溪、毛村溪、董家沟、清水沟、左家河、蚂蟥沟、龙洞沟、鹿浴沟等支流更为狭窄，属线性廊道，这些河流均是自然景观生态体系的组成部分，但对于河流两岸的陆生生态系统也是一道天然屏障，带状和窄带状的主要河流对两侧动植物交流阻碍较大且明显，而线性的小支流的阻碍效应相对较小。道路有已建成的</w:t>
      </w:r>
      <w:r>
        <w:rPr>
          <w:rFonts w:hint="eastAsia"/>
          <w:sz w:val="24"/>
          <w:szCs w:val="24"/>
        </w:rPr>
        <w:t>S201</w:t>
      </w:r>
      <w:r>
        <w:rPr>
          <w:rFonts w:hint="eastAsia"/>
          <w:sz w:val="24"/>
          <w:szCs w:val="24"/>
        </w:rPr>
        <w:t>、多条乡村公路和土石道路等，均属线性廊道，在评价区河谷分布较为密集，海拔高处较稀疏，单条廊道对自然景观的阻隔影响相对较弱，但小通江干流河谷区的叠加效应较显著。</w:t>
      </w:r>
    </w:p>
    <w:p w14:paraId="1E27D948" w14:textId="77777777" w:rsidR="007D1E74" w:rsidRDefault="00A95641">
      <w:pPr>
        <w:spacing w:line="360" w:lineRule="auto"/>
        <w:ind w:firstLineChars="200" w:firstLine="482"/>
        <w:rPr>
          <w:b/>
          <w:sz w:val="24"/>
          <w:szCs w:val="24"/>
        </w:rPr>
      </w:pPr>
      <w:r>
        <w:rPr>
          <w:rFonts w:hint="eastAsia"/>
          <w:b/>
          <w:sz w:val="24"/>
          <w:szCs w:val="24"/>
        </w:rPr>
        <w:t>（</w:t>
      </w:r>
      <w:r>
        <w:rPr>
          <w:b/>
          <w:sz w:val="24"/>
          <w:szCs w:val="24"/>
        </w:rPr>
        <w:t>3</w:t>
      </w:r>
      <w:r>
        <w:rPr>
          <w:rFonts w:hint="eastAsia"/>
          <w:b/>
          <w:sz w:val="24"/>
          <w:szCs w:val="24"/>
        </w:rPr>
        <w:t>）基质分析</w:t>
      </w:r>
    </w:p>
    <w:p w14:paraId="79C753D4" w14:textId="77777777" w:rsidR="007D1E74" w:rsidRDefault="00A95641">
      <w:pPr>
        <w:spacing w:line="360" w:lineRule="auto"/>
        <w:ind w:firstLineChars="200" w:firstLine="480"/>
        <w:rPr>
          <w:sz w:val="24"/>
          <w:szCs w:val="24"/>
        </w:rPr>
      </w:pPr>
      <w:r>
        <w:rPr>
          <w:rFonts w:hint="eastAsia"/>
          <w:sz w:val="24"/>
          <w:szCs w:val="24"/>
        </w:rPr>
        <w:t>利用由</w:t>
      </w:r>
      <w:r>
        <w:rPr>
          <w:rFonts w:hint="eastAsia"/>
          <w:sz w:val="24"/>
          <w:szCs w:val="24"/>
        </w:rPr>
        <w:t>ArcGIS</w:t>
      </w:r>
      <w:r>
        <w:rPr>
          <w:rFonts w:hint="eastAsia"/>
          <w:sz w:val="24"/>
          <w:szCs w:val="24"/>
        </w:rPr>
        <w:t>制作的评价区景观结构图，计算出评价区内各类景观优势度值见下表。</w:t>
      </w:r>
    </w:p>
    <w:p w14:paraId="6EE7E074" w14:textId="77777777" w:rsidR="007D1E74" w:rsidRDefault="00A95641">
      <w:pPr>
        <w:pStyle w:val="afffffe"/>
        <w:numPr>
          <w:ilvl w:val="0"/>
          <w:numId w:val="43"/>
        </w:numPr>
        <w:spacing w:line="360" w:lineRule="auto"/>
        <w:ind w:firstLineChars="0"/>
        <w:jc w:val="center"/>
        <w:rPr>
          <w:rFonts w:eastAsia="黑体" w:cs="Times New Roman"/>
          <w:szCs w:val="21"/>
        </w:rPr>
      </w:pPr>
      <w:r>
        <w:rPr>
          <w:rFonts w:eastAsia="黑体" w:cs="Times New Roman" w:hint="eastAsia"/>
          <w:szCs w:val="21"/>
        </w:rPr>
        <w:t>评价区景观类型优势度值计算表</w:t>
      </w:r>
    </w:p>
    <w:tbl>
      <w:tblPr>
        <w:tblStyle w:val="affffc"/>
        <w:tblW w:w="5000" w:type="pct"/>
        <w:tblLook w:val="04A0" w:firstRow="1" w:lastRow="0" w:firstColumn="1" w:lastColumn="0" w:noHBand="0" w:noVBand="1"/>
      </w:tblPr>
      <w:tblGrid>
        <w:gridCol w:w="1268"/>
        <w:gridCol w:w="1937"/>
        <w:gridCol w:w="1937"/>
        <w:gridCol w:w="1937"/>
        <w:gridCol w:w="1937"/>
      </w:tblGrid>
      <w:tr w:rsidR="007D1E74" w14:paraId="65321EA5" w14:textId="77777777">
        <w:tc>
          <w:tcPr>
            <w:tcW w:w="704" w:type="pct"/>
            <w:vAlign w:val="center"/>
          </w:tcPr>
          <w:p w14:paraId="509AA678" w14:textId="77777777" w:rsidR="007D1E74" w:rsidRDefault="00A95641">
            <w:pPr>
              <w:jc w:val="center"/>
              <w:rPr>
                <w:szCs w:val="21"/>
              </w:rPr>
            </w:pPr>
            <w:r>
              <w:rPr>
                <w:rFonts w:hint="eastAsia"/>
                <w:szCs w:val="21"/>
              </w:rPr>
              <w:t>景观</w:t>
            </w:r>
            <w:r>
              <w:rPr>
                <w:szCs w:val="21"/>
              </w:rPr>
              <w:t>类型</w:t>
            </w:r>
          </w:p>
        </w:tc>
        <w:tc>
          <w:tcPr>
            <w:tcW w:w="1074" w:type="pct"/>
            <w:vAlign w:val="center"/>
          </w:tcPr>
          <w:p w14:paraId="57F12BD3" w14:textId="77777777" w:rsidR="007D1E74" w:rsidRDefault="00A95641">
            <w:pPr>
              <w:jc w:val="center"/>
              <w:rPr>
                <w:szCs w:val="21"/>
              </w:rPr>
            </w:pPr>
            <w:r>
              <w:rPr>
                <w:szCs w:val="21"/>
              </w:rPr>
              <w:t>Rd</w:t>
            </w:r>
            <w:r>
              <w:rPr>
                <w:szCs w:val="21"/>
              </w:rPr>
              <w:t>（</w:t>
            </w:r>
            <w:r>
              <w:rPr>
                <w:szCs w:val="21"/>
              </w:rPr>
              <w:t>%</w:t>
            </w:r>
            <w:r>
              <w:rPr>
                <w:szCs w:val="21"/>
              </w:rPr>
              <w:t>）</w:t>
            </w:r>
          </w:p>
        </w:tc>
        <w:tc>
          <w:tcPr>
            <w:tcW w:w="1074" w:type="pct"/>
          </w:tcPr>
          <w:p w14:paraId="5A2B1C83" w14:textId="77777777" w:rsidR="007D1E74" w:rsidRDefault="00A95641">
            <w:pPr>
              <w:jc w:val="center"/>
              <w:rPr>
                <w:szCs w:val="21"/>
              </w:rPr>
            </w:pPr>
            <w:r>
              <w:rPr>
                <w:szCs w:val="21"/>
              </w:rPr>
              <w:t>Rf</w:t>
            </w:r>
            <w:r>
              <w:rPr>
                <w:szCs w:val="21"/>
              </w:rPr>
              <w:t>（</w:t>
            </w:r>
            <w:r>
              <w:rPr>
                <w:szCs w:val="21"/>
              </w:rPr>
              <w:t>%</w:t>
            </w:r>
            <w:r>
              <w:rPr>
                <w:szCs w:val="21"/>
              </w:rPr>
              <w:t>）</w:t>
            </w:r>
          </w:p>
        </w:tc>
        <w:tc>
          <w:tcPr>
            <w:tcW w:w="1074" w:type="pct"/>
          </w:tcPr>
          <w:p w14:paraId="42F1A5C8" w14:textId="77777777" w:rsidR="007D1E74" w:rsidRDefault="00A95641">
            <w:pPr>
              <w:jc w:val="center"/>
              <w:rPr>
                <w:szCs w:val="21"/>
              </w:rPr>
            </w:pPr>
            <w:r>
              <w:rPr>
                <w:szCs w:val="21"/>
              </w:rPr>
              <w:t>Lp</w:t>
            </w:r>
            <w:r>
              <w:rPr>
                <w:szCs w:val="21"/>
              </w:rPr>
              <w:t>（</w:t>
            </w:r>
            <w:r>
              <w:rPr>
                <w:szCs w:val="21"/>
              </w:rPr>
              <w:t>%</w:t>
            </w:r>
            <w:r>
              <w:rPr>
                <w:szCs w:val="21"/>
              </w:rPr>
              <w:t>）</w:t>
            </w:r>
          </w:p>
        </w:tc>
        <w:tc>
          <w:tcPr>
            <w:tcW w:w="1074" w:type="pct"/>
          </w:tcPr>
          <w:p w14:paraId="4B71BB7A" w14:textId="77777777" w:rsidR="007D1E74" w:rsidRDefault="00A95641">
            <w:pPr>
              <w:jc w:val="center"/>
              <w:rPr>
                <w:szCs w:val="21"/>
              </w:rPr>
            </w:pPr>
            <w:r>
              <w:rPr>
                <w:szCs w:val="21"/>
              </w:rPr>
              <w:t>Do</w:t>
            </w:r>
            <w:r>
              <w:rPr>
                <w:szCs w:val="21"/>
              </w:rPr>
              <w:t>（</w:t>
            </w:r>
            <w:r>
              <w:rPr>
                <w:szCs w:val="21"/>
              </w:rPr>
              <w:t>%</w:t>
            </w:r>
            <w:r>
              <w:rPr>
                <w:szCs w:val="21"/>
              </w:rPr>
              <w:t>）</w:t>
            </w:r>
          </w:p>
        </w:tc>
      </w:tr>
      <w:tr w:rsidR="007D1E74" w14:paraId="5C8C210D" w14:textId="77777777">
        <w:tc>
          <w:tcPr>
            <w:tcW w:w="704" w:type="pct"/>
            <w:vAlign w:val="center"/>
          </w:tcPr>
          <w:p w14:paraId="4ECE8C4A" w14:textId="77777777" w:rsidR="007D1E74" w:rsidRDefault="00A95641">
            <w:pPr>
              <w:jc w:val="center"/>
              <w:rPr>
                <w:szCs w:val="21"/>
              </w:rPr>
            </w:pPr>
            <w:r>
              <w:rPr>
                <w:szCs w:val="21"/>
              </w:rPr>
              <w:t>森林</w:t>
            </w:r>
          </w:p>
        </w:tc>
        <w:tc>
          <w:tcPr>
            <w:tcW w:w="1074" w:type="pct"/>
            <w:vAlign w:val="center"/>
          </w:tcPr>
          <w:p w14:paraId="64E8BF62" w14:textId="77777777" w:rsidR="007D1E74" w:rsidRDefault="00A95641">
            <w:pPr>
              <w:jc w:val="center"/>
              <w:rPr>
                <w:szCs w:val="21"/>
              </w:rPr>
            </w:pPr>
            <w:r>
              <w:rPr>
                <w:rFonts w:hint="eastAsia"/>
                <w:szCs w:val="21"/>
              </w:rPr>
              <w:t>5</w:t>
            </w:r>
            <w:r>
              <w:rPr>
                <w:szCs w:val="21"/>
              </w:rPr>
              <w:t>4.90</w:t>
            </w:r>
          </w:p>
        </w:tc>
        <w:tc>
          <w:tcPr>
            <w:tcW w:w="1074" w:type="pct"/>
            <w:vAlign w:val="center"/>
          </w:tcPr>
          <w:p w14:paraId="5002FDE6" w14:textId="77777777" w:rsidR="007D1E74" w:rsidRDefault="00A95641">
            <w:pPr>
              <w:jc w:val="center"/>
              <w:rPr>
                <w:szCs w:val="21"/>
              </w:rPr>
            </w:pPr>
            <w:r>
              <w:rPr>
                <w:rFonts w:hint="eastAsia"/>
                <w:szCs w:val="21"/>
              </w:rPr>
              <w:t>6</w:t>
            </w:r>
            <w:r>
              <w:rPr>
                <w:szCs w:val="21"/>
              </w:rPr>
              <w:t>0.25</w:t>
            </w:r>
          </w:p>
        </w:tc>
        <w:tc>
          <w:tcPr>
            <w:tcW w:w="1074" w:type="pct"/>
            <w:vAlign w:val="center"/>
          </w:tcPr>
          <w:p w14:paraId="1DD33E98" w14:textId="77777777" w:rsidR="007D1E74" w:rsidRDefault="00A95641">
            <w:pPr>
              <w:jc w:val="center"/>
              <w:rPr>
                <w:szCs w:val="21"/>
              </w:rPr>
            </w:pPr>
            <w:r>
              <w:rPr>
                <w:rFonts w:hint="eastAsia"/>
                <w:szCs w:val="21"/>
              </w:rPr>
              <w:t>6</w:t>
            </w:r>
            <w:r>
              <w:rPr>
                <w:szCs w:val="21"/>
              </w:rPr>
              <w:t>4.18</w:t>
            </w:r>
          </w:p>
        </w:tc>
        <w:tc>
          <w:tcPr>
            <w:tcW w:w="1074" w:type="pct"/>
            <w:vAlign w:val="center"/>
          </w:tcPr>
          <w:p w14:paraId="4C14FF1F" w14:textId="77777777" w:rsidR="007D1E74" w:rsidRDefault="00A95641">
            <w:pPr>
              <w:jc w:val="center"/>
              <w:rPr>
                <w:szCs w:val="21"/>
              </w:rPr>
            </w:pPr>
            <w:r>
              <w:rPr>
                <w:rFonts w:hint="eastAsia"/>
                <w:szCs w:val="21"/>
              </w:rPr>
              <w:t>6</w:t>
            </w:r>
            <w:r>
              <w:rPr>
                <w:szCs w:val="21"/>
              </w:rPr>
              <w:t>0.88</w:t>
            </w:r>
          </w:p>
        </w:tc>
      </w:tr>
      <w:tr w:rsidR="007D1E74" w14:paraId="4596FA9F" w14:textId="77777777">
        <w:tc>
          <w:tcPr>
            <w:tcW w:w="704" w:type="pct"/>
            <w:vAlign w:val="center"/>
          </w:tcPr>
          <w:p w14:paraId="06DCD2EE" w14:textId="77777777" w:rsidR="007D1E74" w:rsidRDefault="00A95641">
            <w:pPr>
              <w:jc w:val="center"/>
              <w:rPr>
                <w:szCs w:val="21"/>
              </w:rPr>
            </w:pPr>
            <w:r>
              <w:rPr>
                <w:szCs w:val="21"/>
              </w:rPr>
              <w:t>灌丛</w:t>
            </w:r>
          </w:p>
        </w:tc>
        <w:tc>
          <w:tcPr>
            <w:tcW w:w="1074" w:type="pct"/>
            <w:vAlign w:val="center"/>
          </w:tcPr>
          <w:p w14:paraId="6094BAD1" w14:textId="77777777" w:rsidR="007D1E74" w:rsidRDefault="00A95641">
            <w:pPr>
              <w:jc w:val="center"/>
              <w:rPr>
                <w:szCs w:val="21"/>
              </w:rPr>
            </w:pPr>
            <w:r>
              <w:rPr>
                <w:rFonts w:hint="eastAsia"/>
                <w:szCs w:val="21"/>
              </w:rPr>
              <w:t>5</w:t>
            </w:r>
            <w:r>
              <w:rPr>
                <w:szCs w:val="21"/>
              </w:rPr>
              <w:t>.04</w:t>
            </w:r>
          </w:p>
        </w:tc>
        <w:tc>
          <w:tcPr>
            <w:tcW w:w="1074" w:type="pct"/>
            <w:vAlign w:val="center"/>
          </w:tcPr>
          <w:p w14:paraId="44CFD345" w14:textId="77777777" w:rsidR="007D1E74" w:rsidRDefault="00A95641">
            <w:pPr>
              <w:jc w:val="center"/>
              <w:rPr>
                <w:szCs w:val="21"/>
              </w:rPr>
            </w:pPr>
            <w:r>
              <w:rPr>
                <w:rFonts w:hint="eastAsia"/>
                <w:szCs w:val="21"/>
              </w:rPr>
              <w:t>3</w:t>
            </w:r>
            <w:r>
              <w:rPr>
                <w:szCs w:val="21"/>
              </w:rPr>
              <w:t>.50</w:t>
            </w:r>
          </w:p>
        </w:tc>
        <w:tc>
          <w:tcPr>
            <w:tcW w:w="1074" w:type="pct"/>
            <w:vAlign w:val="center"/>
          </w:tcPr>
          <w:p w14:paraId="73E8D4C1" w14:textId="77777777" w:rsidR="007D1E74" w:rsidRDefault="00A95641">
            <w:pPr>
              <w:jc w:val="center"/>
              <w:rPr>
                <w:szCs w:val="21"/>
              </w:rPr>
            </w:pPr>
            <w:r>
              <w:rPr>
                <w:rFonts w:hint="eastAsia"/>
                <w:szCs w:val="21"/>
              </w:rPr>
              <w:t>2</w:t>
            </w:r>
            <w:r>
              <w:rPr>
                <w:szCs w:val="21"/>
              </w:rPr>
              <w:t>.20</w:t>
            </w:r>
          </w:p>
        </w:tc>
        <w:tc>
          <w:tcPr>
            <w:tcW w:w="1074" w:type="pct"/>
            <w:vAlign w:val="center"/>
          </w:tcPr>
          <w:p w14:paraId="4636F662" w14:textId="77777777" w:rsidR="007D1E74" w:rsidRDefault="00A95641">
            <w:pPr>
              <w:jc w:val="center"/>
              <w:rPr>
                <w:szCs w:val="21"/>
              </w:rPr>
            </w:pPr>
            <w:r>
              <w:rPr>
                <w:rFonts w:hint="eastAsia"/>
                <w:szCs w:val="21"/>
              </w:rPr>
              <w:t>3</w:t>
            </w:r>
            <w:r>
              <w:rPr>
                <w:szCs w:val="21"/>
              </w:rPr>
              <w:t>.23</w:t>
            </w:r>
          </w:p>
        </w:tc>
      </w:tr>
      <w:tr w:rsidR="007D1E74" w14:paraId="721379B1" w14:textId="77777777">
        <w:tc>
          <w:tcPr>
            <w:tcW w:w="704" w:type="pct"/>
            <w:vAlign w:val="center"/>
          </w:tcPr>
          <w:p w14:paraId="4C198A9D" w14:textId="77777777" w:rsidR="007D1E74" w:rsidRDefault="00A95641">
            <w:pPr>
              <w:jc w:val="center"/>
              <w:rPr>
                <w:szCs w:val="21"/>
              </w:rPr>
            </w:pPr>
            <w:r>
              <w:rPr>
                <w:szCs w:val="21"/>
              </w:rPr>
              <w:t>水体</w:t>
            </w:r>
          </w:p>
        </w:tc>
        <w:tc>
          <w:tcPr>
            <w:tcW w:w="1074" w:type="pct"/>
            <w:vAlign w:val="center"/>
          </w:tcPr>
          <w:p w14:paraId="0AE7959C" w14:textId="77777777" w:rsidR="007D1E74" w:rsidRDefault="00A95641">
            <w:pPr>
              <w:jc w:val="center"/>
              <w:rPr>
                <w:szCs w:val="21"/>
              </w:rPr>
            </w:pPr>
            <w:r>
              <w:rPr>
                <w:rFonts w:hint="eastAsia"/>
                <w:szCs w:val="21"/>
              </w:rPr>
              <w:t>3</w:t>
            </w:r>
            <w:r>
              <w:rPr>
                <w:szCs w:val="21"/>
              </w:rPr>
              <w:t>.08</w:t>
            </w:r>
          </w:p>
        </w:tc>
        <w:tc>
          <w:tcPr>
            <w:tcW w:w="1074" w:type="pct"/>
            <w:vAlign w:val="center"/>
          </w:tcPr>
          <w:p w14:paraId="71633CB6" w14:textId="77777777" w:rsidR="007D1E74" w:rsidRDefault="00A95641">
            <w:pPr>
              <w:jc w:val="center"/>
              <w:rPr>
                <w:szCs w:val="21"/>
              </w:rPr>
            </w:pPr>
            <w:r>
              <w:rPr>
                <w:rFonts w:hint="eastAsia"/>
                <w:szCs w:val="21"/>
              </w:rPr>
              <w:t>2</w:t>
            </w:r>
            <w:r>
              <w:rPr>
                <w:szCs w:val="21"/>
              </w:rPr>
              <w:t>.50</w:t>
            </w:r>
          </w:p>
        </w:tc>
        <w:tc>
          <w:tcPr>
            <w:tcW w:w="1074" w:type="pct"/>
            <w:vAlign w:val="center"/>
          </w:tcPr>
          <w:p w14:paraId="071D176B" w14:textId="77777777" w:rsidR="007D1E74" w:rsidRDefault="00A95641">
            <w:pPr>
              <w:jc w:val="center"/>
              <w:rPr>
                <w:szCs w:val="21"/>
              </w:rPr>
            </w:pPr>
            <w:r>
              <w:rPr>
                <w:rFonts w:hint="eastAsia"/>
                <w:szCs w:val="21"/>
              </w:rPr>
              <w:t>2</w:t>
            </w:r>
            <w:r>
              <w:rPr>
                <w:szCs w:val="21"/>
              </w:rPr>
              <w:t>.09</w:t>
            </w:r>
          </w:p>
        </w:tc>
        <w:tc>
          <w:tcPr>
            <w:tcW w:w="1074" w:type="pct"/>
            <w:vAlign w:val="center"/>
          </w:tcPr>
          <w:p w14:paraId="02181CBF" w14:textId="77777777" w:rsidR="007D1E74" w:rsidRDefault="00A95641">
            <w:pPr>
              <w:jc w:val="center"/>
              <w:rPr>
                <w:szCs w:val="21"/>
              </w:rPr>
            </w:pPr>
            <w:r>
              <w:rPr>
                <w:rFonts w:hint="eastAsia"/>
                <w:szCs w:val="21"/>
              </w:rPr>
              <w:t>2</w:t>
            </w:r>
            <w:r>
              <w:rPr>
                <w:szCs w:val="21"/>
              </w:rPr>
              <w:t>.44</w:t>
            </w:r>
          </w:p>
        </w:tc>
      </w:tr>
      <w:tr w:rsidR="007D1E74" w14:paraId="7535C7A7" w14:textId="77777777">
        <w:tc>
          <w:tcPr>
            <w:tcW w:w="704" w:type="pct"/>
            <w:vAlign w:val="center"/>
          </w:tcPr>
          <w:p w14:paraId="70305EE1" w14:textId="77777777" w:rsidR="007D1E74" w:rsidRDefault="00A95641">
            <w:pPr>
              <w:jc w:val="center"/>
              <w:rPr>
                <w:szCs w:val="21"/>
              </w:rPr>
            </w:pPr>
            <w:r>
              <w:rPr>
                <w:szCs w:val="21"/>
              </w:rPr>
              <w:t>农业用地</w:t>
            </w:r>
          </w:p>
        </w:tc>
        <w:tc>
          <w:tcPr>
            <w:tcW w:w="1074" w:type="pct"/>
            <w:vAlign w:val="center"/>
          </w:tcPr>
          <w:p w14:paraId="0AB4DDF2" w14:textId="77777777" w:rsidR="007D1E74" w:rsidRDefault="00A95641">
            <w:pPr>
              <w:jc w:val="center"/>
              <w:rPr>
                <w:szCs w:val="21"/>
              </w:rPr>
            </w:pPr>
            <w:r>
              <w:rPr>
                <w:rFonts w:hint="eastAsia"/>
                <w:szCs w:val="21"/>
              </w:rPr>
              <w:t>2</w:t>
            </w:r>
            <w:r>
              <w:rPr>
                <w:szCs w:val="21"/>
              </w:rPr>
              <w:t>6.89</w:t>
            </w:r>
          </w:p>
        </w:tc>
        <w:tc>
          <w:tcPr>
            <w:tcW w:w="1074" w:type="pct"/>
            <w:vAlign w:val="center"/>
          </w:tcPr>
          <w:p w14:paraId="57B3384C" w14:textId="77777777" w:rsidR="007D1E74" w:rsidRDefault="00A95641">
            <w:pPr>
              <w:jc w:val="center"/>
              <w:rPr>
                <w:szCs w:val="21"/>
              </w:rPr>
            </w:pPr>
            <w:r>
              <w:rPr>
                <w:rFonts w:hint="eastAsia"/>
                <w:szCs w:val="21"/>
              </w:rPr>
              <w:t>2</w:t>
            </w:r>
            <w:r>
              <w:rPr>
                <w:szCs w:val="21"/>
              </w:rPr>
              <w:t>8.46</w:t>
            </w:r>
          </w:p>
        </w:tc>
        <w:tc>
          <w:tcPr>
            <w:tcW w:w="1074" w:type="pct"/>
            <w:vAlign w:val="center"/>
          </w:tcPr>
          <w:p w14:paraId="11839BF8" w14:textId="77777777" w:rsidR="007D1E74" w:rsidRDefault="00A95641">
            <w:pPr>
              <w:jc w:val="center"/>
              <w:rPr>
                <w:szCs w:val="21"/>
              </w:rPr>
            </w:pPr>
            <w:r>
              <w:rPr>
                <w:rFonts w:hint="eastAsia"/>
                <w:szCs w:val="21"/>
              </w:rPr>
              <w:t>2</w:t>
            </w:r>
            <w:r>
              <w:rPr>
                <w:szCs w:val="21"/>
              </w:rPr>
              <w:t>9.80</w:t>
            </w:r>
          </w:p>
        </w:tc>
        <w:tc>
          <w:tcPr>
            <w:tcW w:w="1074" w:type="pct"/>
            <w:vAlign w:val="center"/>
          </w:tcPr>
          <w:p w14:paraId="01034334" w14:textId="77777777" w:rsidR="007D1E74" w:rsidRDefault="00A95641">
            <w:pPr>
              <w:jc w:val="center"/>
              <w:rPr>
                <w:szCs w:val="21"/>
              </w:rPr>
            </w:pPr>
            <w:r>
              <w:rPr>
                <w:rFonts w:hint="eastAsia"/>
                <w:szCs w:val="21"/>
              </w:rPr>
              <w:t>2</w:t>
            </w:r>
            <w:r>
              <w:rPr>
                <w:szCs w:val="21"/>
              </w:rPr>
              <w:t>8.74</w:t>
            </w:r>
          </w:p>
        </w:tc>
      </w:tr>
      <w:tr w:rsidR="007D1E74" w14:paraId="24D4485B" w14:textId="77777777">
        <w:tc>
          <w:tcPr>
            <w:tcW w:w="704" w:type="pct"/>
            <w:vAlign w:val="center"/>
          </w:tcPr>
          <w:p w14:paraId="2B39407D" w14:textId="77777777" w:rsidR="007D1E74" w:rsidRDefault="00A95641">
            <w:pPr>
              <w:jc w:val="center"/>
              <w:rPr>
                <w:szCs w:val="21"/>
              </w:rPr>
            </w:pPr>
            <w:r>
              <w:rPr>
                <w:szCs w:val="21"/>
              </w:rPr>
              <w:t>建设用地</w:t>
            </w:r>
          </w:p>
        </w:tc>
        <w:tc>
          <w:tcPr>
            <w:tcW w:w="1074" w:type="pct"/>
            <w:vAlign w:val="center"/>
          </w:tcPr>
          <w:p w14:paraId="4E6BD34D" w14:textId="77777777" w:rsidR="007D1E74" w:rsidRDefault="00A95641">
            <w:pPr>
              <w:jc w:val="center"/>
              <w:rPr>
                <w:szCs w:val="21"/>
              </w:rPr>
            </w:pPr>
            <w:r>
              <w:rPr>
                <w:rFonts w:hint="eastAsia"/>
                <w:szCs w:val="21"/>
              </w:rPr>
              <w:t>1</w:t>
            </w:r>
            <w:r>
              <w:rPr>
                <w:szCs w:val="21"/>
              </w:rPr>
              <w:t>0.08</w:t>
            </w:r>
          </w:p>
        </w:tc>
        <w:tc>
          <w:tcPr>
            <w:tcW w:w="1074" w:type="pct"/>
            <w:vAlign w:val="center"/>
          </w:tcPr>
          <w:p w14:paraId="19960D49" w14:textId="77777777" w:rsidR="007D1E74" w:rsidRDefault="00A95641">
            <w:pPr>
              <w:jc w:val="center"/>
              <w:rPr>
                <w:szCs w:val="21"/>
              </w:rPr>
            </w:pPr>
            <w:r>
              <w:rPr>
                <w:rFonts w:hint="eastAsia"/>
                <w:szCs w:val="21"/>
              </w:rPr>
              <w:t>5</w:t>
            </w:r>
            <w:r>
              <w:rPr>
                <w:szCs w:val="21"/>
              </w:rPr>
              <w:t>.30</w:t>
            </w:r>
          </w:p>
        </w:tc>
        <w:tc>
          <w:tcPr>
            <w:tcW w:w="1074" w:type="pct"/>
            <w:vAlign w:val="center"/>
          </w:tcPr>
          <w:p w14:paraId="2C887AF8" w14:textId="77777777" w:rsidR="007D1E74" w:rsidRDefault="00A95641">
            <w:pPr>
              <w:jc w:val="center"/>
              <w:rPr>
                <w:szCs w:val="21"/>
              </w:rPr>
            </w:pPr>
            <w:r>
              <w:rPr>
                <w:rFonts w:hint="eastAsia"/>
                <w:szCs w:val="21"/>
              </w:rPr>
              <w:t>1</w:t>
            </w:r>
            <w:r>
              <w:rPr>
                <w:szCs w:val="21"/>
              </w:rPr>
              <w:t>.73</w:t>
            </w:r>
          </w:p>
        </w:tc>
        <w:tc>
          <w:tcPr>
            <w:tcW w:w="1074" w:type="pct"/>
            <w:vAlign w:val="center"/>
          </w:tcPr>
          <w:p w14:paraId="0AE24095" w14:textId="77777777" w:rsidR="007D1E74" w:rsidRDefault="00A95641">
            <w:pPr>
              <w:jc w:val="center"/>
              <w:rPr>
                <w:szCs w:val="21"/>
              </w:rPr>
            </w:pPr>
            <w:r>
              <w:rPr>
                <w:rFonts w:hint="eastAsia"/>
                <w:szCs w:val="21"/>
              </w:rPr>
              <w:t>4</w:t>
            </w:r>
            <w:r>
              <w:rPr>
                <w:szCs w:val="21"/>
              </w:rPr>
              <w:t>.71</w:t>
            </w:r>
          </w:p>
        </w:tc>
      </w:tr>
    </w:tbl>
    <w:p w14:paraId="7EE895AF" w14:textId="77777777" w:rsidR="007D1E74" w:rsidRDefault="00A95641">
      <w:pPr>
        <w:spacing w:line="360" w:lineRule="auto"/>
        <w:ind w:firstLineChars="200" w:firstLine="480"/>
        <w:rPr>
          <w:sz w:val="24"/>
          <w:szCs w:val="24"/>
        </w:rPr>
      </w:pPr>
      <w:r>
        <w:rPr>
          <w:rFonts w:hint="eastAsia"/>
          <w:sz w:val="24"/>
          <w:szCs w:val="24"/>
        </w:rPr>
        <w:t>评价区内各类景观的优势度值中，森林景观的</w:t>
      </w:r>
      <w:r>
        <w:rPr>
          <w:rFonts w:hint="eastAsia"/>
          <w:sz w:val="24"/>
          <w:szCs w:val="24"/>
        </w:rPr>
        <w:t>Do</w:t>
      </w:r>
      <w:r>
        <w:rPr>
          <w:rFonts w:hint="eastAsia"/>
          <w:sz w:val="24"/>
          <w:szCs w:val="24"/>
        </w:rPr>
        <w:t>值最高，高达</w:t>
      </w:r>
      <w:r>
        <w:rPr>
          <w:rFonts w:hint="eastAsia"/>
          <w:sz w:val="24"/>
          <w:szCs w:val="24"/>
        </w:rPr>
        <w:t>60.88%</w:t>
      </w:r>
      <w:r>
        <w:rPr>
          <w:rFonts w:hint="eastAsia"/>
          <w:sz w:val="24"/>
          <w:szCs w:val="24"/>
        </w:rPr>
        <w:t>，景观比例值</w:t>
      </w:r>
      <w:r>
        <w:rPr>
          <w:rFonts w:hint="eastAsia"/>
          <w:sz w:val="24"/>
          <w:szCs w:val="24"/>
        </w:rPr>
        <w:t>Lp</w:t>
      </w:r>
      <w:r>
        <w:rPr>
          <w:rFonts w:hint="eastAsia"/>
          <w:sz w:val="24"/>
          <w:szCs w:val="24"/>
        </w:rPr>
        <w:t>为</w:t>
      </w:r>
      <w:r>
        <w:rPr>
          <w:rFonts w:hint="eastAsia"/>
          <w:sz w:val="24"/>
          <w:szCs w:val="24"/>
        </w:rPr>
        <w:t>64.18%</w:t>
      </w:r>
      <w:r>
        <w:rPr>
          <w:rFonts w:hint="eastAsia"/>
          <w:sz w:val="24"/>
          <w:szCs w:val="24"/>
        </w:rPr>
        <w:t>，出现的频率</w:t>
      </w:r>
      <w:r>
        <w:rPr>
          <w:rFonts w:hint="eastAsia"/>
          <w:sz w:val="24"/>
          <w:szCs w:val="24"/>
        </w:rPr>
        <w:t>Rf</w:t>
      </w:r>
      <w:r>
        <w:rPr>
          <w:rFonts w:hint="eastAsia"/>
          <w:sz w:val="24"/>
          <w:szCs w:val="24"/>
        </w:rPr>
        <w:t>为</w:t>
      </w:r>
      <w:r>
        <w:rPr>
          <w:rFonts w:hint="eastAsia"/>
          <w:sz w:val="24"/>
          <w:szCs w:val="24"/>
        </w:rPr>
        <w:t>60.25%</w:t>
      </w:r>
      <w:r>
        <w:rPr>
          <w:rFonts w:hint="eastAsia"/>
          <w:sz w:val="24"/>
          <w:szCs w:val="24"/>
        </w:rPr>
        <w:t>；优势度值居于第二位的是农业用地景观，其</w:t>
      </w:r>
      <w:r>
        <w:rPr>
          <w:rFonts w:hint="eastAsia"/>
          <w:sz w:val="24"/>
          <w:szCs w:val="24"/>
        </w:rPr>
        <w:t>Do</w:t>
      </w:r>
      <w:r>
        <w:rPr>
          <w:rFonts w:hint="eastAsia"/>
          <w:sz w:val="24"/>
          <w:szCs w:val="24"/>
        </w:rPr>
        <w:t>值为</w:t>
      </w:r>
      <w:r>
        <w:rPr>
          <w:rFonts w:hint="eastAsia"/>
          <w:sz w:val="24"/>
          <w:szCs w:val="24"/>
        </w:rPr>
        <w:t>28.74%</w:t>
      </w:r>
      <w:r>
        <w:rPr>
          <w:rFonts w:hint="eastAsia"/>
          <w:sz w:val="24"/>
          <w:szCs w:val="24"/>
        </w:rPr>
        <w:t>，明显小于森林景观而大于其它景观；建设用地景观的</w:t>
      </w:r>
      <w:r>
        <w:rPr>
          <w:rFonts w:hint="eastAsia"/>
          <w:sz w:val="24"/>
          <w:szCs w:val="24"/>
        </w:rPr>
        <w:t>Do</w:t>
      </w:r>
      <w:r>
        <w:rPr>
          <w:rFonts w:hint="eastAsia"/>
          <w:sz w:val="24"/>
          <w:szCs w:val="24"/>
        </w:rPr>
        <w:t>值为</w:t>
      </w:r>
      <w:r>
        <w:rPr>
          <w:rFonts w:hint="eastAsia"/>
          <w:sz w:val="24"/>
          <w:szCs w:val="24"/>
        </w:rPr>
        <w:t>4.71%</w:t>
      </w:r>
      <w:r>
        <w:rPr>
          <w:rFonts w:hint="eastAsia"/>
          <w:sz w:val="24"/>
          <w:szCs w:val="24"/>
        </w:rPr>
        <w:t>，居第三；灌丛景观和水体景观的</w:t>
      </w:r>
      <w:r>
        <w:rPr>
          <w:rFonts w:hint="eastAsia"/>
          <w:sz w:val="24"/>
          <w:szCs w:val="24"/>
        </w:rPr>
        <w:t>Do</w:t>
      </w:r>
      <w:r>
        <w:rPr>
          <w:rFonts w:hint="eastAsia"/>
          <w:sz w:val="24"/>
          <w:szCs w:val="24"/>
        </w:rPr>
        <w:t>值分别为</w:t>
      </w:r>
      <w:r>
        <w:rPr>
          <w:rFonts w:hint="eastAsia"/>
          <w:sz w:val="24"/>
          <w:szCs w:val="24"/>
        </w:rPr>
        <w:t>3.23%</w:t>
      </w:r>
      <w:r>
        <w:rPr>
          <w:rFonts w:hint="eastAsia"/>
          <w:sz w:val="24"/>
          <w:szCs w:val="24"/>
        </w:rPr>
        <w:t>和</w:t>
      </w:r>
      <w:r>
        <w:rPr>
          <w:rFonts w:hint="eastAsia"/>
          <w:sz w:val="24"/>
          <w:szCs w:val="24"/>
        </w:rPr>
        <w:t>2.44%</w:t>
      </w:r>
      <w:r>
        <w:rPr>
          <w:rFonts w:hint="eastAsia"/>
          <w:sz w:val="24"/>
          <w:szCs w:val="24"/>
        </w:rPr>
        <w:t>，居第四和第五，由于</w:t>
      </w:r>
      <w:r>
        <w:rPr>
          <w:rFonts w:hint="eastAsia"/>
          <w:sz w:val="24"/>
          <w:szCs w:val="24"/>
        </w:rPr>
        <w:t>Do</w:t>
      </w:r>
      <w:r>
        <w:rPr>
          <w:rFonts w:hint="eastAsia"/>
          <w:sz w:val="24"/>
          <w:szCs w:val="24"/>
        </w:rPr>
        <w:t>值小于</w:t>
      </w:r>
      <w:r>
        <w:rPr>
          <w:rFonts w:hint="eastAsia"/>
          <w:sz w:val="24"/>
          <w:szCs w:val="24"/>
        </w:rPr>
        <w:t>5%</w:t>
      </w:r>
      <w:r>
        <w:rPr>
          <w:rFonts w:hint="eastAsia"/>
          <w:sz w:val="24"/>
          <w:szCs w:val="24"/>
        </w:rPr>
        <w:t>，后三类景观在评价区中优势地位极不明显。结果表明，评价区内森林景观和农田景观的各项统计值均为最高且拥有最大的面积和斑块数量，并分布广泛，是评价区的景观基质。特别值得注意的是评价区内的森林虽然具有明显的次生性或人工性质，但仍是评价区内生物多样性最为丰富的区域，也是评价区野生动物的活动场所。所以，项目施工应该充分认识这一景观特征，施工区也有部分森林，严禁随意扩大范围采伐评</w:t>
      </w:r>
      <w:r>
        <w:rPr>
          <w:rFonts w:hint="eastAsia"/>
          <w:sz w:val="24"/>
          <w:szCs w:val="24"/>
        </w:rPr>
        <w:lastRenderedPageBreak/>
        <w:t>价区内的森林。</w:t>
      </w:r>
    </w:p>
    <w:p w14:paraId="3BC3577B" w14:textId="77777777" w:rsidR="007D1E74" w:rsidRDefault="00A95641">
      <w:pPr>
        <w:spacing w:line="360" w:lineRule="auto"/>
        <w:ind w:firstLineChars="200" w:firstLine="482"/>
        <w:rPr>
          <w:b/>
          <w:sz w:val="24"/>
          <w:szCs w:val="24"/>
        </w:rPr>
      </w:pPr>
      <w:r>
        <w:rPr>
          <w:rFonts w:hint="eastAsia"/>
          <w:b/>
          <w:sz w:val="24"/>
          <w:szCs w:val="24"/>
        </w:rPr>
        <w:t>（</w:t>
      </w:r>
      <w:r>
        <w:rPr>
          <w:b/>
          <w:sz w:val="24"/>
          <w:szCs w:val="24"/>
        </w:rPr>
        <w:t>4</w:t>
      </w:r>
      <w:r>
        <w:rPr>
          <w:rFonts w:hint="eastAsia"/>
          <w:b/>
          <w:sz w:val="24"/>
          <w:szCs w:val="24"/>
        </w:rPr>
        <w:t>）生态系统现状</w:t>
      </w:r>
    </w:p>
    <w:p w14:paraId="4FFFDBBB" w14:textId="77777777" w:rsidR="007D1E74" w:rsidRDefault="00A95641">
      <w:pPr>
        <w:spacing w:line="360" w:lineRule="auto"/>
        <w:ind w:firstLineChars="200" w:firstLine="480"/>
        <w:rPr>
          <w:sz w:val="24"/>
          <w:szCs w:val="24"/>
        </w:rPr>
      </w:pPr>
      <w:r>
        <w:rPr>
          <w:rFonts w:hint="eastAsia"/>
          <w:sz w:val="24"/>
          <w:szCs w:val="24"/>
        </w:rPr>
        <w:t>根据野外调查，本项目影响评价区范围内的生态系统可分为森林生态系统、湿地生态系统、农田生态系统和聚落生态系统</w:t>
      </w:r>
      <w:r>
        <w:rPr>
          <w:rFonts w:hint="eastAsia"/>
          <w:sz w:val="24"/>
          <w:szCs w:val="24"/>
        </w:rPr>
        <w:t>4</w:t>
      </w:r>
      <w:r>
        <w:rPr>
          <w:rFonts w:hint="eastAsia"/>
          <w:sz w:val="24"/>
          <w:szCs w:val="24"/>
        </w:rPr>
        <w:t>种类型，前两类为自然生态系统，后两类为人工生态系统。经统计各地类分布面积数据，这</w:t>
      </w:r>
      <w:r>
        <w:rPr>
          <w:rFonts w:hint="eastAsia"/>
          <w:sz w:val="24"/>
          <w:szCs w:val="24"/>
        </w:rPr>
        <w:t>4</w:t>
      </w:r>
      <w:r>
        <w:rPr>
          <w:rFonts w:hint="eastAsia"/>
          <w:sz w:val="24"/>
          <w:szCs w:val="24"/>
        </w:rPr>
        <w:t>类生态系统的分布面积与所占比例情况见下表。</w:t>
      </w:r>
    </w:p>
    <w:p w14:paraId="259D6ACE" w14:textId="77777777" w:rsidR="007D1E74" w:rsidRDefault="00A95641">
      <w:pPr>
        <w:pStyle w:val="afffffe"/>
        <w:numPr>
          <w:ilvl w:val="0"/>
          <w:numId w:val="43"/>
        </w:numPr>
        <w:spacing w:line="360" w:lineRule="auto"/>
        <w:ind w:firstLineChars="0"/>
        <w:jc w:val="center"/>
        <w:rPr>
          <w:rFonts w:eastAsia="黑体" w:cs="Times New Roman"/>
          <w:szCs w:val="21"/>
        </w:rPr>
      </w:pPr>
      <w:r>
        <w:rPr>
          <w:rFonts w:eastAsia="黑体" w:cs="Times New Roman" w:hint="eastAsia"/>
          <w:szCs w:val="21"/>
        </w:rPr>
        <w:t>评价区各生态系统类型的分布面积和比例情况表</w:t>
      </w:r>
    </w:p>
    <w:tbl>
      <w:tblPr>
        <w:tblStyle w:val="affffc"/>
        <w:tblW w:w="5000" w:type="pct"/>
        <w:tblLook w:val="04A0" w:firstRow="1" w:lastRow="0" w:firstColumn="1" w:lastColumn="0" w:noHBand="0" w:noVBand="1"/>
      </w:tblPr>
      <w:tblGrid>
        <w:gridCol w:w="2334"/>
        <w:gridCol w:w="3341"/>
        <w:gridCol w:w="3341"/>
      </w:tblGrid>
      <w:tr w:rsidR="007D1E74" w14:paraId="19E0D1CB" w14:textId="77777777">
        <w:trPr>
          <w:tblHeader/>
        </w:trPr>
        <w:tc>
          <w:tcPr>
            <w:tcW w:w="1294" w:type="pct"/>
            <w:vAlign w:val="center"/>
          </w:tcPr>
          <w:p w14:paraId="23171A75" w14:textId="77777777" w:rsidR="007D1E74" w:rsidRDefault="00A95641">
            <w:pPr>
              <w:jc w:val="center"/>
              <w:rPr>
                <w:szCs w:val="21"/>
              </w:rPr>
            </w:pPr>
            <w:r>
              <w:rPr>
                <w:rFonts w:hint="eastAsia"/>
                <w:szCs w:val="21"/>
              </w:rPr>
              <w:t>生态系统</w:t>
            </w:r>
            <w:r>
              <w:rPr>
                <w:szCs w:val="21"/>
              </w:rPr>
              <w:t>类型</w:t>
            </w:r>
          </w:p>
        </w:tc>
        <w:tc>
          <w:tcPr>
            <w:tcW w:w="1853" w:type="pct"/>
          </w:tcPr>
          <w:p w14:paraId="485EC821" w14:textId="77777777" w:rsidR="007D1E74" w:rsidRDefault="00A95641">
            <w:pPr>
              <w:jc w:val="center"/>
              <w:rPr>
                <w:szCs w:val="21"/>
              </w:rPr>
            </w:pPr>
            <w:r>
              <w:rPr>
                <w:rFonts w:hint="eastAsia"/>
                <w:szCs w:val="21"/>
              </w:rPr>
              <w:t>分布面积（</w:t>
            </w:r>
            <w:r>
              <w:rPr>
                <w:rFonts w:hint="eastAsia"/>
                <w:szCs w:val="21"/>
              </w:rPr>
              <w:t>hm</w:t>
            </w:r>
            <w:r>
              <w:rPr>
                <w:szCs w:val="21"/>
                <w:vertAlign w:val="superscript"/>
              </w:rPr>
              <w:t>2</w:t>
            </w:r>
            <w:r>
              <w:rPr>
                <w:rFonts w:hint="eastAsia"/>
                <w:szCs w:val="21"/>
              </w:rPr>
              <w:t>）</w:t>
            </w:r>
          </w:p>
        </w:tc>
        <w:tc>
          <w:tcPr>
            <w:tcW w:w="1853" w:type="pct"/>
          </w:tcPr>
          <w:p w14:paraId="77307AB8" w14:textId="77777777" w:rsidR="007D1E74" w:rsidRDefault="00A95641">
            <w:pPr>
              <w:jc w:val="center"/>
              <w:rPr>
                <w:szCs w:val="21"/>
              </w:rPr>
            </w:pPr>
            <w:r>
              <w:rPr>
                <w:szCs w:val="21"/>
              </w:rPr>
              <w:t>比例（</w:t>
            </w:r>
            <w:r>
              <w:rPr>
                <w:szCs w:val="21"/>
              </w:rPr>
              <w:t>%</w:t>
            </w:r>
            <w:r>
              <w:rPr>
                <w:szCs w:val="21"/>
              </w:rPr>
              <w:t>）</w:t>
            </w:r>
          </w:p>
        </w:tc>
      </w:tr>
      <w:tr w:rsidR="007D1E74" w14:paraId="63B78C11" w14:textId="77777777">
        <w:tc>
          <w:tcPr>
            <w:tcW w:w="1294" w:type="pct"/>
            <w:vAlign w:val="center"/>
          </w:tcPr>
          <w:p w14:paraId="60DD106B" w14:textId="77777777" w:rsidR="007D1E74" w:rsidRDefault="00A95641">
            <w:pPr>
              <w:jc w:val="center"/>
              <w:rPr>
                <w:szCs w:val="21"/>
              </w:rPr>
            </w:pPr>
            <w:r>
              <w:rPr>
                <w:szCs w:val="21"/>
              </w:rPr>
              <w:t>森林生态系统</w:t>
            </w:r>
          </w:p>
        </w:tc>
        <w:tc>
          <w:tcPr>
            <w:tcW w:w="1853" w:type="pct"/>
            <w:vAlign w:val="center"/>
          </w:tcPr>
          <w:p w14:paraId="1BCBB124" w14:textId="77777777" w:rsidR="007D1E74" w:rsidRDefault="00A95641">
            <w:pPr>
              <w:jc w:val="center"/>
              <w:rPr>
                <w:szCs w:val="21"/>
              </w:rPr>
            </w:pPr>
            <w:r>
              <w:rPr>
                <w:rFonts w:hint="eastAsia"/>
                <w:szCs w:val="21"/>
              </w:rPr>
              <w:t>7</w:t>
            </w:r>
            <w:r>
              <w:rPr>
                <w:szCs w:val="21"/>
              </w:rPr>
              <w:t>331.32</w:t>
            </w:r>
          </w:p>
        </w:tc>
        <w:tc>
          <w:tcPr>
            <w:tcW w:w="1853" w:type="pct"/>
            <w:vAlign w:val="center"/>
          </w:tcPr>
          <w:p w14:paraId="70576481" w14:textId="77777777" w:rsidR="007D1E74" w:rsidRDefault="00A95641">
            <w:pPr>
              <w:jc w:val="center"/>
              <w:rPr>
                <w:szCs w:val="21"/>
              </w:rPr>
            </w:pPr>
            <w:r>
              <w:rPr>
                <w:rFonts w:hint="eastAsia"/>
                <w:szCs w:val="21"/>
              </w:rPr>
              <w:t>6</w:t>
            </w:r>
            <w:r>
              <w:rPr>
                <w:szCs w:val="21"/>
              </w:rPr>
              <w:t>6.38</w:t>
            </w:r>
          </w:p>
        </w:tc>
      </w:tr>
      <w:tr w:rsidR="007D1E74" w14:paraId="2BC598DA" w14:textId="77777777">
        <w:tc>
          <w:tcPr>
            <w:tcW w:w="1294" w:type="pct"/>
            <w:vAlign w:val="center"/>
          </w:tcPr>
          <w:p w14:paraId="138554E6" w14:textId="77777777" w:rsidR="007D1E74" w:rsidRDefault="00A95641">
            <w:pPr>
              <w:jc w:val="center"/>
              <w:rPr>
                <w:szCs w:val="21"/>
              </w:rPr>
            </w:pPr>
            <w:r>
              <w:rPr>
                <w:szCs w:val="21"/>
              </w:rPr>
              <w:t>湿地生态系统</w:t>
            </w:r>
          </w:p>
        </w:tc>
        <w:tc>
          <w:tcPr>
            <w:tcW w:w="1853" w:type="pct"/>
            <w:vAlign w:val="center"/>
          </w:tcPr>
          <w:p w14:paraId="7D16C488" w14:textId="77777777" w:rsidR="007D1E74" w:rsidRDefault="00A95641">
            <w:pPr>
              <w:jc w:val="center"/>
              <w:rPr>
                <w:szCs w:val="21"/>
              </w:rPr>
            </w:pPr>
            <w:r>
              <w:rPr>
                <w:rFonts w:hint="eastAsia"/>
                <w:szCs w:val="21"/>
              </w:rPr>
              <w:t>2</w:t>
            </w:r>
            <w:r>
              <w:rPr>
                <w:szCs w:val="21"/>
              </w:rPr>
              <w:t>30.34</w:t>
            </w:r>
          </w:p>
        </w:tc>
        <w:tc>
          <w:tcPr>
            <w:tcW w:w="1853" w:type="pct"/>
            <w:vAlign w:val="center"/>
          </w:tcPr>
          <w:p w14:paraId="6D7E9276" w14:textId="77777777" w:rsidR="007D1E74" w:rsidRDefault="00A95641">
            <w:pPr>
              <w:jc w:val="center"/>
              <w:rPr>
                <w:szCs w:val="21"/>
              </w:rPr>
            </w:pPr>
            <w:r>
              <w:rPr>
                <w:rFonts w:hint="eastAsia"/>
                <w:szCs w:val="21"/>
              </w:rPr>
              <w:t>2</w:t>
            </w:r>
            <w:r>
              <w:rPr>
                <w:szCs w:val="21"/>
              </w:rPr>
              <w:t>.09</w:t>
            </w:r>
          </w:p>
        </w:tc>
      </w:tr>
      <w:tr w:rsidR="007D1E74" w14:paraId="269933EE" w14:textId="77777777">
        <w:tc>
          <w:tcPr>
            <w:tcW w:w="1294" w:type="pct"/>
            <w:vAlign w:val="center"/>
          </w:tcPr>
          <w:p w14:paraId="5685B0E5" w14:textId="77777777" w:rsidR="007D1E74" w:rsidRDefault="00A95641">
            <w:pPr>
              <w:jc w:val="center"/>
              <w:rPr>
                <w:szCs w:val="21"/>
              </w:rPr>
            </w:pPr>
            <w:r>
              <w:rPr>
                <w:szCs w:val="21"/>
              </w:rPr>
              <w:t>农田生态系统</w:t>
            </w:r>
          </w:p>
        </w:tc>
        <w:tc>
          <w:tcPr>
            <w:tcW w:w="1853" w:type="pct"/>
            <w:vAlign w:val="center"/>
          </w:tcPr>
          <w:p w14:paraId="61E028E4" w14:textId="77777777" w:rsidR="007D1E74" w:rsidRDefault="00A95641">
            <w:pPr>
              <w:jc w:val="center"/>
              <w:rPr>
                <w:szCs w:val="21"/>
              </w:rPr>
            </w:pPr>
            <w:r>
              <w:rPr>
                <w:rFonts w:hint="eastAsia"/>
                <w:szCs w:val="21"/>
              </w:rPr>
              <w:t>3</w:t>
            </w:r>
            <w:r>
              <w:rPr>
                <w:szCs w:val="21"/>
              </w:rPr>
              <w:t>291.59</w:t>
            </w:r>
          </w:p>
        </w:tc>
        <w:tc>
          <w:tcPr>
            <w:tcW w:w="1853" w:type="pct"/>
            <w:vAlign w:val="center"/>
          </w:tcPr>
          <w:p w14:paraId="6F8D9BA6" w14:textId="77777777" w:rsidR="007D1E74" w:rsidRDefault="00A95641">
            <w:pPr>
              <w:jc w:val="center"/>
              <w:rPr>
                <w:szCs w:val="21"/>
              </w:rPr>
            </w:pPr>
            <w:r>
              <w:rPr>
                <w:rFonts w:hint="eastAsia"/>
                <w:szCs w:val="21"/>
              </w:rPr>
              <w:t>2</w:t>
            </w:r>
            <w:r>
              <w:rPr>
                <w:szCs w:val="21"/>
              </w:rPr>
              <w:t>9.80</w:t>
            </w:r>
          </w:p>
        </w:tc>
      </w:tr>
      <w:tr w:rsidR="007D1E74" w14:paraId="346BA902" w14:textId="77777777">
        <w:tc>
          <w:tcPr>
            <w:tcW w:w="1294" w:type="pct"/>
            <w:vAlign w:val="center"/>
          </w:tcPr>
          <w:p w14:paraId="5E69F86B" w14:textId="77777777" w:rsidR="007D1E74" w:rsidRDefault="00A95641">
            <w:pPr>
              <w:jc w:val="center"/>
              <w:rPr>
                <w:szCs w:val="21"/>
              </w:rPr>
            </w:pPr>
            <w:r>
              <w:rPr>
                <w:szCs w:val="21"/>
              </w:rPr>
              <w:t>聚落生态系统</w:t>
            </w:r>
          </w:p>
        </w:tc>
        <w:tc>
          <w:tcPr>
            <w:tcW w:w="1853" w:type="pct"/>
            <w:vAlign w:val="center"/>
          </w:tcPr>
          <w:p w14:paraId="226BFB3D" w14:textId="77777777" w:rsidR="007D1E74" w:rsidRDefault="00A95641">
            <w:pPr>
              <w:jc w:val="center"/>
              <w:rPr>
                <w:szCs w:val="21"/>
              </w:rPr>
            </w:pPr>
            <w:r>
              <w:rPr>
                <w:rFonts w:hint="eastAsia"/>
                <w:szCs w:val="21"/>
              </w:rPr>
              <w:t>1</w:t>
            </w:r>
            <w:r>
              <w:rPr>
                <w:szCs w:val="21"/>
              </w:rPr>
              <w:t>90.95</w:t>
            </w:r>
          </w:p>
        </w:tc>
        <w:tc>
          <w:tcPr>
            <w:tcW w:w="1853" w:type="pct"/>
            <w:vAlign w:val="center"/>
          </w:tcPr>
          <w:p w14:paraId="239208E3" w14:textId="77777777" w:rsidR="007D1E74" w:rsidRDefault="00A95641">
            <w:pPr>
              <w:jc w:val="center"/>
              <w:rPr>
                <w:szCs w:val="21"/>
              </w:rPr>
            </w:pPr>
            <w:r>
              <w:rPr>
                <w:rFonts w:hint="eastAsia"/>
                <w:szCs w:val="21"/>
              </w:rPr>
              <w:t>1</w:t>
            </w:r>
            <w:r>
              <w:rPr>
                <w:szCs w:val="21"/>
              </w:rPr>
              <w:t>.73</w:t>
            </w:r>
          </w:p>
        </w:tc>
      </w:tr>
      <w:tr w:rsidR="007D1E74" w14:paraId="6A31A519" w14:textId="77777777">
        <w:tc>
          <w:tcPr>
            <w:tcW w:w="1294" w:type="pct"/>
            <w:vAlign w:val="center"/>
          </w:tcPr>
          <w:p w14:paraId="213F8294" w14:textId="77777777" w:rsidR="007D1E74" w:rsidRDefault="00A95641">
            <w:pPr>
              <w:jc w:val="center"/>
              <w:rPr>
                <w:szCs w:val="21"/>
              </w:rPr>
            </w:pPr>
            <w:r>
              <w:rPr>
                <w:szCs w:val="21"/>
              </w:rPr>
              <w:t>合计</w:t>
            </w:r>
          </w:p>
        </w:tc>
        <w:tc>
          <w:tcPr>
            <w:tcW w:w="1853" w:type="pct"/>
            <w:vAlign w:val="center"/>
          </w:tcPr>
          <w:p w14:paraId="1C811ADF" w14:textId="77777777" w:rsidR="007D1E74" w:rsidRDefault="00A95641">
            <w:pPr>
              <w:jc w:val="center"/>
              <w:rPr>
                <w:szCs w:val="21"/>
              </w:rPr>
            </w:pPr>
            <w:r>
              <w:rPr>
                <w:rFonts w:hint="eastAsia"/>
                <w:szCs w:val="21"/>
              </w:rPr>
              <w:t>1</w:t>
            </w:r>
            <w:r>
              <w:rPr>
                <w:szCs w:val="21"/>
              </w:rPr>
              <w:t>1044.20</w:t>
            </w:r>
          </w:p>
        </w:tc>
        <w:tc>
          <w:tcPr>
            <w:tcW w:w="1853" w:type="pct"/>
            <w:vAlign w:val="center"/>
          </w:tcPr>
          <w:p w14:paraId="1FF08BD8" w14:textId="77777777" w:rsidR="007D1E74" w:rsidRDefault="00A95641">
            <w:pPr>
              <w:jc w:val="center"/>
              <w:rPr>
                <w:szCs w:val="21"/>
              </w:rPr>
            </w:pPr>
            <w:r>
              <w:rPr>
                <w:rFonts w:hint="eastAsia"/>
                <w:szCs w:val="21"/>
              </w:rPr>
              <w:t>1</w:t>
            </w:r>
            <w:r>
              <w:rPr>
                <w:szCs w:val="21"/>
              </w:rPr>
              <w:t>00.00</w:t>
            </w:r>
          </w:p>
        </w:tc>
      </w:tr>
    </w:tbl>
    <w:p w14:paraId="0D97A2CD" w14:textId="77777777" w:rsidR="007D1E74" w:rsidRDefault="00A95641">
      <w:pPr>
        <w:spacing w:line="360" w:lineRule="auto"/>
        <w:ind w:firstLineChars="200" w:firstLine="482"/>
        <w:rPr>
          <w:b/>
          <w:sz w:val="24"/>
          <w:szCs w:val="24"/>
        </w:rPr>
      </w:pPr>
      <w:r>
        <w:rPr>
          <w:rFonts w:hint="eastAsia"/>
          <w:b/>
          <w:sz w:val="24"/>
          <w:szCs w:val="24"/>
        </w:rPr>
        <w:t>①森林生态系统</w:t>
      </w:r>
    </w:p>
    <w:p w14:paraId="0D4D4979" w14:textId="77777777" w:rsidR="007D1E74" w:rsidRDefault="00A95641">
      <w:pPr>
        <w:spacing w:line="360" w:lineRule="auto"/>
        <w:ind w:firstLineChars="200" w:firstLine="480"/>
        <w:rPr>
          <w:sz w:val="24"/>
          <w:szCs w:val="24"/>
        </w:rPr>
      </w:pPr>
      <w:r>
        <w:rPr>
          <w:rFonts w:hint="eastAsia"/>
          <w:sz w:val="24"/>
          <w:szCs w:val="24"/>
        </w:rPr>
        <w:t>评价区的森林生态系统分布面积为</w:t>
      </w:r>
      <w:r>
        <w:rPr>
          <w:rFonts w:hint="eastAsia"/>
          <w:sz w:val="24"/>
          <w:szCs w:val="24"/>
        </w:rPr>
        <w:t>7331.32hm</w:t>
      </w:r>
      <w:r>
        <w:rPr>
          <w:rFonts w:hint="eastAsia"/>
          <w:sz w:val="24"/>
          <w:szCs w:val="24"/>
          <w:vertAlign w:val="superscript"/>
        </w:rPr>
        <w:t>2</w:t>
      </w:r>
      <w:r>
        <w:rPr>
          <w:rFonts w:hint="eastAsia"/>
          <w:sz w:val="24"/>
          <w:szCs w:val="24"/>
        </w:rPr>
        <w:t>，占评价区总面积的</w:t>
      </w:r>
      <w:r>
        <w:rPr>
          <w:rFonts w:hint="eastAsia"/>
          <w:sz w:val="24"/>
          <w:szCs w:val="24"/>
        </w:rPr>
        <w:t>66.38%</w:t>
      </w:r>
      <w:r>
        <w:rPr>
          <w:rFonts w:hint="eastAsia"/>
          <w:sz w:val="24"/>
          <w:szCs w:val="24"/>
        </w:rPr>
        <w:t>。主要由柏木林（含栎柏混交式和桤柏混交林）、麻栎林、马尾松林、杉木林、桤木林、枫杨林、杨树林、等组成，还有少量竹林、人工经济林、落叶阔叶灌丛和暖热性灌草丛。多为面积较大的块状或疏林状出现的人工林或次生半人工林，在评价区各个海拔高程都有广泛分布。</w:t>
      </w:r>
    </w:p>
    <w:p w14:paraId="690866DE" w14:textId="77777777" w:rsidR="007D1E74" w:rsidRDefault="00A95641">
      <w:pPr>
        <w:spacing w:line="360" w:lineRule="auto"/>
        <w:ind w:firstLineChars="200" w:firstLine="482"/>
        <w:rPr>
          <w:b/>
          <w:sz w:val="24"/>
          <w:szCs w:val="24"/>
        </w:rPr>
      </w:pPr>
      <w:r>
        <w:rPr>
          <w:rFonts w:hint="eastAsia"/>
          <w:b/>
          <w:sz w:val="24"/>
          <w:szCs w:val="24"/>
        </w:rPr>
        <w:t>②湿地生态系统</w:t>
      </w:r>
    </w:p>
    <w:p w14:paraId="025F5088" w14:textId="77777777" w:rsidR="007D1E74" w:rsidRDefault="00A95641">
      <w:pPr>
        <w:spacing w:line="360" w:lineRule="auto"/>
        <w:ind w:firstLineChars="200" w:firstLine="480"/>
        <w:rPr>
          <w:sz w:val="24"/>
          <w:szCs w:val="24"/>
        </w:rPr>
      </w:pPr>
      <w:r>
        <w:rPr>
          <w:rFonts w:hint="eastAsia"/>
          <w:sz w:val="24"/>
          <w:szCs w:val="24"/>
        </w:rPr>
        <w:t>评价区包括小通江河及其主要支流蔡黄沟、龙洞河、涪水等河流湿地生态系统，还有一些小型水库、堰、塘等湖泊湿地生态系统，湿地生态系统的分布面积为</w:t>
      </w:r>
      <w:r>
        <w:rPr>
          <w:rFonts w:hint="eastAsia"/>
          <w:sz w:val="24"/>
          <w:szCs w:val="24"/>
        </w:rPr>
        <w:t>230.34hm</w:t>
      </w:r>
      <w:r>
        <w:rPr>
          <w:rFonts w:hint="eastAsia"/>
          <w:sz w:val="24"/>
          <w:szCs w:val="24"/>
          <w:vertAlign w:val="superscript"/>
        </w:rPr>
        <w:t>2</w:t>
      </w:r>
      <w:r>
        <w:rPr>
          <w:rFonts w:hint="eastAsia"/>
          <w:sz w:val="24"/>
          <w:szCs w:val="24"/>
        </w:rPr>
        <w:t>，占评价区总面积的</w:t>
      </w:r>
      <w:r>
        <w:rPr>
          <w:rFonts w:hint="eastAsia"/>
          <w:sz w:val="24"/>
          <w:szCs w:val="24"/>
        </w:rPr>
        <w:t>2.09%</w:t>
      </w:r>
      <w:r>
        <w:rPr>
          <w:rFonts w:hint="eastAsia"/>
          <w:sz w:val="24"/>
          <w:szCs w:val="24"/>
        </w:rPr>
        <w:t>。这些河流和湖泊湿地生态系统中挺水植物种类最多，包括芦苇、甜根子草、虉草、垂穗鹅观草、藨草、萤蔺、水虱草、香附子、碎米莎草、水蓼、扁蓄、酸模等，沉水植物有金鱼藻、眼子菜、菹草、苦草、慈姑等；浮水植物有紫萍、浮萍、满江红等。</w:t>
      </w:r>
    </w:p>
    <w:p w14:paraId="1DA12AE1" w14:textId="77777777" w:rsidR="007D1E74" w:rsidRDefault="00A95641">
      <w:pPr>
        <w:spacing w:line="360" w:lineRule="auto"/>
        <w:ind w:firstLineChars="200" w:firstLine="482"/>
        <w:rPr>
          <w:b/>
          <w:sz w:val="24"/>
          <w:szCs w:val="24"/>
        </w:rPr>
      </w:pPr>
      <w:r>
        <w:rPr>
          <w:rFonts w:hint="eastAsia"/>
          <w:b/>
          <w:sz w:val="24"/>
          <w:szCs w:val="24"/>
        </w:rPr>
        <w:t>③农田生态系统</w:t>
      </w:r>
    </w:p>
    <w:p w14:paraId="4AF6B96E" w14:textId="77777777" w:rsidR="007D1E74" w:rsidRDefault="00A95641">
      <w:pPr>
        <w:spacing w:line="360" w:lineRule="auto"/>
        <w:ind w:firstLineChars="200" w:firstLine="482"/>
        <w:rPr>
          <w:b/>
          <w:sz w:val="24"/>
          <w:szCs w:val="24"/>
        </w:rPr>
      </w:pPr>
      <w:r>
        <w:rPr>
          <w:rFonts w:hint="eastAsia"/>
          <w:b/>
          <w:sz w:val="24"/>
          <w:szCs w:val="24"/>
        </w:rPr>
        <w:t>a</w:t>
      </w:r>
      <w:r>
        <w:rPr>
          <w:b/>
          <w:sz w:val="24"/>
          <w:szCs w:val="24"/>
        </w:rPr>
        <w:t>.</w:t>
      </w:r>
      <w:r>
        <w:rPr>
          <w:rFonts w:hint="eastAsia"/>
          <w:b/>
          <w:sz w:val="24"/>
          <w:szCs w:val="24"/>
        </w:rPr>
        <w:t>基本农田保护情况</w:t>
      </w:r>
    </w:p>
    <w:p w14:paraId="76348A92" w14:textId="77777777" w:rsidR="007D1E74" w:rsidRDefault="00A95641">
      <w:pPr>
        <w:spacing w:line="360" w:lineRule="auto"/>
        <w:ind w:firstLineChars="200" w:firstLine="480"/>
        <w:rPr>
          <w:sz w:val="24"/>
          <w:szCs w:val="24"/>
        </w:rPr>
      </w:pPr>
      <w:r>
        <w:rPr>
          <w:rFonts w:hint="eastAsia"/>
          <w:sz w:val="24"/>
          <w:szCs w:val="24"/>
        </w:rPr>
        <w:t>评价区所在区域属亚热带季风气候，具有四季分明、冷热四季分明，干湿两季分明的特点，农田生态系统的分布面积为</w:t>
      </w:r>
      <w:r>
        <w:rPr>
          <w:rFonts w:hint="eastAsia"/>
          <w:sz w:val="24"/>
          <w:szCs w:val="24"/>
        </w:rPr>
        <w:t>3291.59hm</w:t>
      </w:r>
      <w:r>
        <w:rPr>
          <w:rFonts w:hint="eastAsia"/>
          <w:sz w:val="24"/>
          <w:szCs w:val="24"/>
          <w:vertAlign w:val="superscript"/>
        </w:rPr>
        <w:t>2</w:t>
      </w:r>
      <w:r>
        <w:rPr>
          <w:rFonts w:hint="eastAsia"/>
          <w:sz w:val="24"/>
          <w:szCs w:val="24"/>
        </w:rPr>
        <w:t>，占评价区总面积的</w:t>
      </w:r>
      <w:r>
        <w:rPr>
          <w:rFonts w:hint="eastAsia"/>
          <w:sz w:val="24"/>
          <w:szCs w:val="24"/>
        </w:rPr>
        <w:t>29.80%</w:t>
      </w:r>
      <w:r>
        <w:rPr>
          <w:rFonts w:hint="eastAsia"/>
          <w:sz w:val="24"/>
          <w:szCs w:val="24"/>
        </w:rPr>
        <w:t>。评价区内的基本农田保持率较高，大多在</w:t>
      </w:r>
      <w:r>
        <w:rPr>
          <w:rFonts w:hint="eastAsia"/>
          <w:sz w:val="24"/>
          <w:szCs w:val="24"/>
        </w:rPr>
        <w:t>85~95%</w:t>
      </w:r>
      <w:r>
        <w:rPr>
          <w:rFonts w:hint="eastAsia"/>
          <w:sz w:val="24"/>
          <w:szCs w:val="24"/>
        </w:rPr>
        <w:t>之间，虽然青峪镇、新场镇和涪阳镇等近年</w:t>
      </w:r>
      <w:r>
        <w:rPr>
          <w:rFonts w:hint="eastAsia"/>
          <w:sz w:val="24"/>
          <w:szCs w:val="24"/>
        </w:rPr>
        <w:lastRenderedPageBreak/>
        <w:t>来耕地非农业化利用数量较多，但基本农田保护面积未随着土地利用现状变化情况进行调整。国务院《关于深化改革严格土地管理的决定》明确指出，基本农田是确保国家粮食安全的基础，必须保证现有基本农田总量不减少，用途不改变，质量不降低。本项目天然气输气管道工程建设中管线铺设通过了农业区，管线铺设占用部分基本农田。由于对部分农田开挖，使被开挖地段的土壤层耕作层发生破坏，导致耕地质量下降，主要表现为可能耽误一季农作物生产，这种影响是临时的；由于管道施工分标段进行，每个标段的施工周期较短，一般</w:t>
      </w:r>
      <w:r>
        <w:rPr>
          <w:rFonts w:hint="eastAsia"/>
          <w:sz w:val="24"/>
          <w:szCs w:val="24"/>
        </w:rPr>
        <w:t>1~3</w:t>
      </w:r>
      <w:r>
        <w:rPr>
          <w:rFonts w:hint="eastAsia"/>
          <w:sz w:val="24"/>
          <w:szCs w:val="24"/>
        </w:rPr>
        <w:t>个月，因此，施工作业带和施工便道临时占地只影响基本农田一季的产出功能。本项目的临时占地区将会占用一些耕地，但不是基本农田，临时征用区域呈条带状，施工结束后即可恢复生产。</w:t>
      </w:r>
    </w:p>
    <w:p w14:paraId="58B50C88" w14:textId="77777777" w:rsidR="007D1E74" w:rsidRDefault="00A95641">
      <w:pPr>
        <w:spacing w:line="360" w:lineRule="auto"/>
        <w:ind w:firstLineChars="200" w:firstLine="482"/>
        <w:rPr>
          <w:b/>
          <w:sz w:val="24"/>
          <w:szCs w:val="24"/>
        </w:rPr>
      </w:pPr>
      <w:r>
        <w:rPr>
          <w:rFonts w:hint="eastAsia"/>
          <w:b/>
          <w:sz w:val="24"/>
          <w:szCs w:val="24"/>
        </w:rPr>
        <w:t>b</w:t>
      </w:r>
      <w:r>
        <w:rPr>
          <w:b/>
          <w:sz w:val="24"/>
          <w:szCs w:val="24"/>
        </w:rPr>
        <w:t>.</w:t>
      </w:r>
      <w:r>
        <w:rPr>
          <w:rFonts w:hint="eastAsia"/>
          <w:b/>
          <w:sz w:val="24"/>
          <w:szCs w:val="24"/>
        </w:rPr>
        <w:t>农业产业结构情况</w:t>
      </w:r>
    </w:p>
    <w:p w14:paraId="34AEA33C" w14:textId="77777777" w:rsidR="007D1E74" w:rsidRDefault="00A95641">
      <w:pPr>
        <w:spacing w:line="360" w:lineRule="auto"/>
        <w:ind w:firstLineChars="200" w:firstLine="480"/>
        <w:rPr>
          <w:sz w:val="24"/>
          <w:szCs w:val="24"/>
        </w:rPr>
      </w:pPr>
      <w:r>
        <w:rPr>
          <w:rFonts w:hint="eastAsia"/>
          <w:sz w:val="24"/>
          <w:szCs w:val="24"/>
        </w:rPr>
        <w:t>由于地处四川盆地北缘的大巴山南麓，是四川省农业历史悠久但并不发达的地区，评价区所涉及的通江县青峪镇、新场镇和涪阳镇的农业发展以种植业为主，形成了林业、渔业和养殖业的共同发展，但以种植业为主。</w:t>
      </w:r>
    </w:p>
    <w:p w14:paraId="2AB908DE" w14:textId="77777777" w:rsidR="007D1E74" w:rsidRDefault="00A95641">
      <w:pPr>
        <w:spacing w:line="360" w:lineRule="auto"/>
        <w:ind w:firstLineChars="200" w:firstLine="482"/>
        <w:rPr>
          <w:b/>
          <w:sz w:val="24"/>
          <w:szCs w:val="24"/>
        </w:rPr>
      </w:pPr>
      <w:r>
        <w:rPr>
          <w:rFonts w:hint="eastAsia"/>
          <w:b/>
          <w:sz w:val="24"/>
          <w:szCs w:val="24"/>
        </w:rPr>
        <w:t>c</w:t>
      </w:r>
      <w:r>
        <w:rPr>
          <w:b/>
          <w:sz w:val="24"/>
          <w:szCs w:val="24"/>
        </w:rPr>
        <w:t>.</w:t>
      </w:r>
      <w:r>
        <w:rPr>
          <w:rFonts w:hint="eastAsia"/>
          <w:b/>
          <w:sz w:val="24"/>
          <w:szCs w:val="24"/>
        </w:rPr>
        <w:t>主要农作物生产情况</w:t>
      </w:r>
    </w:p>
    <w:p w14:paraId="1795FED9" w14:textId="77777777" w:rsidR="007D1E74" w:rsidRDefault="00A95641">
      <w:pPr>
        <w:spacing w:line="360" w:lineRule="auto"/>
        <w:ind w:firstLineChars="200" w:firstLine="480"/>
        <w:rPr>
          <w:sz w:val="24"/>
          <w:szCs w:val="24"/>
        </w:rPr>
      </w:pPr>
      <w:r>
        <w:rPr>
          <w:rFonts w:hint="eastAsia"/>
          <w:sz w:val="24"/>
          <w:szCs w:val="24"/>
        </w:rPr>
        <w:t>大春作物水田以中稻为主，也有部分冬水田，为一年一熟，也以中稻种植为主，旱地以玉米、红薯、大豆为主，小春作物以油菜、小麦、豌豆、蚕豆为主，多为一年两熟类型。园地植物以核桃、柚、枇杷、猕猴桃、樱桃、桃、梨等为主。在道路、村落、耕地附近栽有慈竹、香樟、白花泡桐、加杨、楝、刺槐、桂花、银杏、水杉、核桃、樱桃、杏、桃、柚、香椿、喜树等植物。</w:t>
      </w:r>
      <w:r>
        <w:rPr>
          <w:rFonts w:hint="eastAsia"/>
          <w:sz w:val="24"/>
          <w:szCs w:val="24"/>
        </w:rPr>
        <w:t>S201</w:t>
      </w:r>
      <w:r>
        <w:rPr>
          <w:rFonts w:hint="eastAsia"/>
          <w:sz w:val="24"/>
          <w:szCs w:val="24"/>
        </w:rPr>
        <w:t>公路和场镇街道两旁栽有水杉、泡桐、加杨、银杏、日本晚樱、二球悬铃木（法国梧桐）等行道树。</w:t>
      </w:r>
    </w:p>
    <w:p w14:paraId="705E8845" w14:textId="77777777" w:rsidR="007D1E74" w:rsidRDefault="00A95641">
      <w:pPr>
        <w:spacing w:line="360" w:lineRule="auto"/>
        <w:ind w:firstLineChars="200" w:firstLine="482"/>
        <w:rPr>
          <w:b/>
          <w:sz w:val="24"/>
          <w:szCs w:val="24"/>
        </w:rPr>
      </w:pPr>
      <w:r>
        <w:rPr>
          <w:rFonts w:hint="eastAsia"/>
          <w:b/>
          <w:sz w:val="24"/>
          <w:szCs w:val="24"/>
        </w:rPr>
        <w:t>④聚落生态系统</w:t>
      </w:r>
    </w:p>
    <w:p w14:paraId="759EBD2B" w14:textId="77777777" w:rsidR="007D1E74" w:rsidRDefault="00A95641">
      <w:pPr>
        <w:spacing w:line="360" w:lineRule="auto"/>
        <w:ind w:firstLineChars="200" w:firstLine="480"/>
        <w:rPr>
          <w:sz w:val="24"/>
          <w:szCs w:val="24"/>
        </w:rPr>
      </w:pPr>
      <w:r>
        <w:rPr>
          <w:rFonts w:hint="eastAsia"/>
          <w:sz w:val="24"/>
          <w:szCs w:val="24"/>
        </w:rPr>
        <w:t>评价区涉及通江县青峪镇、新场镇和涪阳镇的</w:t>
      </w:r>
      <w:r>
        <w:rPr>
          <w:rFonts w:hint="eastAsia"/>
          <w:sz w:val="24"/>
          <w:szCs w:val="24"/>
        </w:rPr>
        <w:t>3</w:t>
      </w:r>
      <w:r>
        <w:rPr>
          <w:rFonts w:hint="eastAsia"/>
          <w:sz w:val="24"/>
          <w:szCs w:val="24"/>
        </w:rPr>
        <w:t>个场镇和原草池乡的场区，其特点表现为能量和物质运转均在人的控制下进行，居民所处的生物和非生物环境都已经过人工改造。聚落生态系统的分布面积为</w:t>
      </w:r>
      <w:r>
        <w:rPr>
          <w:rFonts w:hint="eastAsia"/>
          <w:sz w:val="24"/>
          <w:szCs w:val="24"/>
        </w:rPr>
        <w:t>190.95hm</w:t>
      </w:r>
      <w:r>
        <w:rPr>
          <w:rFonts w:hint="eastAsia"/>
          <w:sz w:val="24"/>
          <w:szCs w:val="24"/>
          <w:vertAlign w:val="superscript"/>
        </w:rPr>
        <w:t>2</w:t>
      </w:r>
      <w:r>
        <w:rPr>
          <w:rFonts w:hint="eastAsia"/>
          <w:sz w:val="24"/>
          <w:szCs w:val="24"/>
        </w:rPr>
        <w:t>，占评价区总面积的</w:t>
      </w:r>
      <w:r>
        <w:rPr>
          <w:rFonts w:hint="eastAsia"/>
          <w:sz w:val="24"/>
          <w:szCs w:val="24"/>
        </w:rPr>
        <w:t>1.73%</w:t>
      </w:r>
      <w:r>
        <w:rPr>
          <w:rFonts w:hint="eastAsia"/>
          <w:sz w:val="24"/>
          <w:szCs w:val="24"/>
        </w:rPr>
        <w:t>。该生态系统包括上述</w:t>
      </w:r>
      <w:r>
        <w:rPr>
          <w:rFonts w:hint="eastAsia"/>
          <w:sz w:val="24"/>
          <w:szCs w:val="24"/>
        </w:rPr>
        <w:t>3</w:t>
      </w:r>
      <w:r>
        <w:rPr>
          <w:rFonts w:hint="eastAsia"/>
          <w:sz w:val="24"/>
          <w:szCs w:val="24"/>
        </w:rPr>
        <w:t>镇及板桥口镇地域内的各种人工建筑、厂矿设施及道路等，但本项目拟建设区域基本不占用聚落生态系统。聚落生态系统是人为活动最强烈的生态系统类型，属无植被分布区域。</w:t>
      </w:r>
    </w:p>
    <w:p w14:paraId="65CC0F6F" w14:textId="77777777" w:rsidR="007D1E74" w:rsidRDefault="00A95641">
      <w:pPr>
        <w:pStyle w:val="afffff7"/>
        <w:ind w:firstLine="482"/>
      </w:pPr>
      <w:r>
        <w:rPr>
          <w:rFonts w:hint="eastAsia"/>
        </w:rPr>
        <w:t>2</w:t>
      </w:r>
      <w:r>
        <w:t>、</w:t>
      </w:r>
      <w:r>
        <w:rPr>
          <w:rFonts w:hint="eastAsia"/>
        </w:rPr>
        <w:t>植物多样性现状</w:t>
      </w:r>
    </w:p>
    <w:p w14:paraId="6078F60E" w14:textId="77777777" w:rsidR="007D1E74" w:rsidRDefault="00A95641">
      <w:pPr>
        <w:spacing w:line="360" w:lineRule="auto"/>
        <w:ind w:firstLineChars="200" w:firstLine="482"/>
        <w:rPr>
          <w:b/>
          <w:sz w:val="24"/>
          <w:szCs w:val="24"/>
        </w:rPr>
      </w:pPr>
      <w:r>
        <w:rPr>
          <w:rFonts w:hint="eastAsia"/>
          <w:b/>
          <w:sz w:val="24"/>
          <w:szCs w:val="24"/>
        </w:rPr>
        <w:t>（</w:t>
      </w:r>
      <w:r>
        <w:rPr>
          <w:rFonts w:hint="eastAsia"/>
          <w:b/>
          <w:sz w:val="24"/>
          <w:szCs w:val="24"/>
        </w:rPr>
        <w:t>1</w:t>
      </w:r>
      <w:r>
        <w:rPr>
          <w:rFonts w:hint="eastAsia"/>
          <w:b/>
          <w:sz w:val="24"/>
          <w:szCs w:val="24"/>
        </w:rPr>
        <w:t>）维管束植物物种组成</w:t>
      </w:r>
    </w:p>
    <w:p w14:paraId="1B846409" w14:textId="77777777" w:rsidR="007D1E74" w:rsidRDefault="00A95641">
      <w:pPr>
        <w:spacing w:line="360" w:lineRule="auto"/>
        <w:ind w:firstLineChars="200" w:firstLine="480"/>
        <w:rPr>
          <w:sz w:val="24"/>
          <w:szCs w:val="24"/>
        </w:rPr>
      </w:pPr>
      <w:r>
        <w:rPr>
          <w:rFonts w:hint="eastAsia"/>
          <w:sz w:val="24"/>
          <w:szCs w:val="24"/>
        </w:rPr>
        <w:lastRenderedPageBreak/>
        <w:t>经对评价区植物多样性和植被现状的实地调查，整理出本区维管束植物名录（含主要栽培物种）。根据统计，评价区的维管束植物有</w:t>
      </w:r>
      <w:r>
        <w:rPr>
          <w:rFonts w:hint="eastAsia"/>
          <w:sz w:val="24"/>
          <w:szCs w:val="24"/>
        </w:rPr>
        <w:t>150</w:t>
      </w:r>
      <w:r>
        <w:rPr>
          <w:rFonts w:hint="eastAsia"/>
          <w:sz w:val="24"/>
          <w:szCs w:val="24"/>
        </w:rPr>
        <w:t>科</w:t>
      </w:r>
      <w:r>
        <w:rPr>
          <w:rFonts w:hint="eastAsia"/>
          <w:sz w:val="24"/>
          <w:szCs w:val="24"/>
        </w:rPr>
        <w:t>456</w:t>
      </w:r>
      <w:r>
        <w:rPr>
          <w:rFonts w:hint="eastAsia"/>
          <w:sz w:val="24"/>
          <w:szCs w:val="24"/>
        </w:rPr>
        <w:t>属</w:t>
      </w:r>
      <w:r>
        <w:rPr>
          <w:rFonts w:hint="eastAsia"/>
          <w:sz w:val="24"/>
          <w:szCs w:val="24"/>
        </w:rPr>
        <w:t>682</w:t>
      </w:r>
      <w:r>
        <w:rPr>
          <w:rFonts w:hint="eastAsia"/>
          <w:sz w:val="24"/>
          <w:szCs w:val="24"/>
        </w:rPr>
        <w:t>种：其中蕨类植物</w:t>
      </w:r>
      <w:r>
        <w:rPr>
          <w:rFonts w:hint="eastAsia"/>
          <w:sz w:val="24"/>
          <w:szCs w:val="24"/>
        </w:rPr>
        <w:t>20</w:t>
      </w:r>
      <w:r>
        <w:rPr>
          <w:rFonts w:hint="eastAsia"/>
          <w:sz w:val="24"/>
          <w:szCs w:val="24"/>
        </w:rPr>
        <w:t>科</w:t>
      </w:r>
      <w:r>
        <w:rPr>
          <w:rFonts w:hint="eastAsia"/>
          <w:sz w:val="24"/>
          <w:szCs w:val="24"/>
        </w:rPr>
        <w:t>27</w:t>
      </w:r>
      <w:r>
        <w:rPr>
          <w:rFonts w:hint="eastAsia"/>
          <w:sz w:val="24"/>
          <w:szCs w:val="24"/>
        </w:rPr>
        <w:t>属</w:t>
      </w:r>
      <w:r>
        <w:rPr>
          <w:rFonts w:hint="eastAsia"/>
          <w:sz w:val="24"/>
          <w:szCs w:val="24"/>
        </w:rPr>
        <w:t>43</w:t>
      </w:r>
      <w:r>
        <w:rPr>
          <w:rFonts w:hint="eastAsia"/>
          <w:sz w:val="24"/>
          <w:szCs w:val="24"/>
        </w:rPr>
        <w:t>种，裸子植物</w:t>
      </w:r>
      <w:r>
        <w:rPr>
          <w:rFonts w:hint="eastAsia"/>
          <w:sz w:val="24"/>
          <w:szCs w:val="24"/>
        </w:rPr>
        <w:t>8</w:t>
      </w:r>
      <w:r>
        <w:rPr>
          <w:rFonts w:hint="eastAsia"/>
          <w:sz w:val="24"/>
          <w:szCs w:val="24"/>
        </w:rPr>
        <w:t>科</w:t>
      </w:r>
      <w:r>
        <w:rPr>
          <w:rFonts w:hint="eastAsia"/>
          <w:sz w:val="24"/>
          <w:szCs w:val="24"/>
        </w:rPr>
        <w:t>14</w:t>
      </w:r>
      <w:r>
        <w:rPr>
          <w:rFonts w:hint="eastAsia"/>
          <w:sz w:val="24"/>
          <w:szCs w:val="24"/>
        </w:rPr>
        <w:t>属</w:t>
      </w:r>
      <w:r>
        <w:rPr>
          <w:rFonts w:hint="eastAsia"/>
          <w:sz w:val="24"/>
          <w:szCs w:val="24"/>
        </w:rPr>
        <w:t>14</w:t>
      </w:r>
      <w:r>
        <w:rPr>
          <w:rFonts w:hint="eastAsia"/>
          <w:sz w:val="24"/>
          <w:szCs w:val="24"/>
        </w:rPr>
        <w:t>种，被子植物</w:t>
      </w:r>
      <w:r>
        <w:rPr>
          <w:rFonts w:hint="eastAsia"/>
          <w:sz w:val="24"/>
          <w:szCs w:val="24"/>
        </w:rPr>
        <w:t>122</w:t>
      </w:r>
      <w:r>
        <w:rPr>
          <w:rFonts w:hint="eastAsia"/>
          <w:sz w:val="24"/>
          <w:szCs w:val="24"/>
        </w:rPr>
        <w:t>科</w:t>
      </w:r>
      <w:r>
        <w:rPr>
          <w:rFonts w:hint="eastAsia"/>
          <w:sz w:val="24"/>
          <w:szCs w:val="24"/>
        </w:rPr>
        <w:t>415</w:t>
      </w:r>
      <w:r>
        <w:rPr>
          <w:rFonts w:hint="eastAsia"/>
          <w:sz w:val="24"/>
          <w:szCs w:val="24"/>
        </w:rPr>
        <w:t>属</w:t>
      </w:r>
      <w:r>
        <w:rPr>
          <w:rFonts w:hint="eastAsia"/>
          <w:sz w:val="24"/>
          <w:szCs w:val="24"/>
        </w:rPr>
        <w:t>625</w:t>
      </w:r>
      <w:r>
        <w:rPr>
          <w:rFonts w:hint="eastAsia"/>
          <w:sz w:val="24"/>
          <w:szCs w:val="24"/>
        </w:rPr>
        <w:t>种。</w:t>
      </w:r>
    </w:p>
    <w:p w14:paraId="40FE64CB" w14:textId="77777777" w:rsidR="007D1E74" w:rsidRDefault="00A95641">
      <w:pPr>
        <w:pStyle w:val="afffffe"/>
        <w:numPr>
          <w:ilvl w:val="0"/>
          <w:numId w:val="43"/>
        </w:numPr>
        <w:spacing w:line="360" w:lineRule="auto"/>
        <w:ind w:firstLineChars="0"/>
        <w:jc w:val="center"/>
        <w:rPr>
          <w:rFonts w:eastAsia="黑体" w:cs="Times New Roman"/>
          <w:szCs w:val="21"/>
        </w:rPr>
      </w:pPr>
      <w:r>
        <w:rPr>
          <w:rFonts w:eastAsia="黑体" w:cs="Times New Roman" w:hint="eastAsia"/>
          <w:szCs w:val="21"/>
        </w:rPr>
        <w:t>评价区维管植物科属种统计表</w:t>
      </w:r>
    </w:p>
    <w:tbl>
      <w:tblPr>
        <w:tblStyle w:val="affffc"/>
        <w:tblW w:w="0" w:type="auto"/>
        <w:tblLook w:val="04A0" w:firstRow="1" w:lastRow="0" w:firstColumn="1" w:lastColumn="0" w:noHBand="0" w:noVBand="1"/>
      </w:tblPr>
      <w:tblGrid>
        <w:gridCol w:w="685"/>
        <w:gridCol w:w="1089"/>
        <w:gridCol w:w="831"/>
        <w:gridCol w:w="1644"/>
        <w:gridCol w:w="697"/>
        <w:gridCol w:w="1647"/>
        <w:gridCol w:w="695"/>
        <w:gridCol w:w="1728"/>
      </w:tblGrid>
      <w:tr w:rsidR="007D1E74" w14:paraId="1F0C8089" w14:textId="77777777">
        <w:tc>
          <w:tcPr>
            <w:tcW w:w="1838" w:type="dxa"/>
            <w:gridSpan w:val="2"/>
            <w:vAlign w:val="center"/>
          </w:tcPr>
          <w:p w14:paraId="7A6D8A12" w14:textId="77777777" w:rsidR="007D1E74" w:rsidRDefault="00A95641">
            <w:pPr>
              <w:jc w:val="center"/>
              <w:rPr>
                <w:szCs w:val="21"/>
              </w:rPr>
            </w:pPr>
            <w:r>
              <w:rPr>
                <w:szCs w:val="21"/>
              </w:rPr>
              <w:t>门类</w:t>
            </w:r>
          </w:p>
        </w:tc>
        <w:tc>
          <w:tcPr>
            <w:tcW w:w="851" w:type="dxa"/>
            <w:vAlign w:val="center"/>
          </w:tcPr>
          <w:p w14:paraId="5756DBEF" w14:textId="77777777" w:rsidR="007D1E74" w:rsidRDefault="00A95641">
            <w:pPr>
              <w:jc w:val="center"/>
              <w:rPr>
                <w:szCs w:val="21"/>
              </w:rPr>
            </w:pPr>
            <w:r>
              <w:rPr>
                <w:szCs w:val="21"/>
              </w:rPr>
              <w:t>科数</w:t>
            </w:r>
          </w:p>
        </w:tc>
        <w:tc>
          <w:tcPr>
            <w:tcW w:w="1701" w:type="dxa"/>
            <w:vAlign w:val="center"/>
          </w:tcPr>
          <w:p w14:paraId="3A40425B" w14:textId="77777777" w:rsidR="007D1E74" w:rsidRDefault="00A95641">
            <w:pPr>
              <w:jc w:val="center"/>
              <w:rPr>
                <w:szCs w:val="21"/>
              </w:rPr>
            </w:pPr>
            <w:r>
              <w:rPr>
                <w:szCs w:val="21"/>
              </w:rPr>
              <w:t>所占比例（</w:t>
            </w:r>
            <w:r>
              <w:rPr>
                <w:szCs w:val="21"/>
              </w:rPr>
              <w:t>%</w:t>
            </w:r>
            <w:r>
              <w:rPr>
                <w:szCs w:val="21"/>
              </w:rPr>
              <w:t>）</w:t>
            </w:r>
          </w:p>
        </w:tc>
        <w:tc>
          <w:tcPr>
            <w:tcW w:w="708" w:type="dxa"/>
            <w:vAlign w:val="center"/>
          </w:tcPr>
          <w:p w14:paraId="4E3E716D" w14:textId="77777777" w:rsidR="007D1E74" w:rsidRDefault="00A95641">
            <w:pPr>
              <w:jc w:val="center"/>
              <w:rPr>
                <w:szCs w:val="21"/>
              </w:rPr>
            </w:pPr>
            <w:r>
              <w:rPr>
                <w:rFonts w:hint="eastAsia"/>
                <w:szCs w:val="21"/>
              </w:rPr>
              <w:t>属类</w:t>
            </w:r>
          </w:p>
        </w:tc>
        <w:tc>
          <w:tcPr>
            <w:tcW w:w="1704" w:type="dxa"/>
            <w:vAlign w:val="center"/>
          </w:tcPr>
          <w:p w14:paraId="4C9250AB" w14:textId="77777777" w:rsidR="007D1E74" w:rsidRDefault="00A95641">
            <w:pPr>
              <w:jc w:val="center"/>
              <w:rPr>
                <w:szCs w:val="21"/>
              </w:rPr>
            </w:pPr>
            <w:r>
              <w:rPr>
                <w:szCs w:val="21"/>
              </w:rPr>
              <w:t>所占比例（</w:t>
            </w:r>
            <w:r>
              <w:rPr>
                <w:szCs w:val="21"/>
              </w:rPr>
              <w:t>%</w:t>
            </w:r>
            <w:r>
              <w:rPr>
                <w:szCs w:val="21"/>
              </w:rPr>
              <w:t>）</w:t>
            </w:r>
          </w:p>
        </w:tc>
        <w:tc>
          <w:tcPr>
            <w:tcW w:w="706" w:type="dxa"/>
            <w:vAlign w:val="center"/>
          </w:tcPr>
          <w:p w14:paraId="242D8372" w14:textId="77777777" w:rsidR="007D1E74" w:rsidRDefault="00A95641">
            <w:pPr>
              <w:jc w:val="center"/>
              <w:rPr>
                <w:szCs w:val="21"/>
              </w:rPr>
            </w:pPr>
            <w:r>
              <w:rPr>
                <w:szCs w:val="21"/>
              </w:rPr>
              <w:t>种数</w:t>
            </w:r>
          </w:p>
        </w:tc>
        <w:tc>
          <w:tcPr>
            <w:tcW w:w="1791" w:type="dxa"/>
            <w:vAlign w:val="center"/>
          </w:tcPr>
          <w:p w14:paraId="01185F4B" w14:textId="77777777" w:rsidR="007D1E74" w:rsidRDefault="00A95641">
            <w:pPr>
              <w:jc w:val="center"/>
              <w:rPr>
                <w:szCs w:val="21"/>
              </w:rPr>
            </w:pPr>
            <w:r>
              <w:rPr>
                <w:szCs w:val="21"/>
              </w:rPr>
              <w:t>所占比例（</w:t>
            </w:r>
            <w:r>
              <w:rPr>
                <w:szCs w:val="21"/>
              </w:rPr>
              <w:t>%</w:t>
            </w:r>
            <w:r>
              <w:rPr>
                <w:szCs w:val="21"/>
              </w:rPr>
              <w:t>）</w:t>
            </w:r>
          </w:p>
        </w:tc>
      </w:tr>
      <w:tr w:rsidR="007D1E74" w14:paraId="0AEC89AA" w14:textId="77777777">
        <w:tc>
          <w:tcPr>
            <w:tcW w:w="1838" w:type="dxa"/>
            <w:gridSpan w:val="2"/>
            <w:vAlign w:val="center"/>
          </w:tcPr>
          <w:p w14:paraId="3DABDBC4" w14:textId="77777777" w:rsidR="007D1E74" w:rsidRDefault="00A95641">
            <w:pPr>
              <w:jc w:val="center"/>
              <w:rPr>
                <w:szCs w:val="21"/>
              </w:rPr>
            </w:pPr>
            <w:r>
              <w:rPr>
                <w:szCs w:val="21"/>
              </w:rPr>
              <w:t>蕨类植物</w:t>
            </w:r>
          </w:p>
        </w:tc>
        <w:tc>
          <w:tcPr>
            <w:tcW w:w="851" w:type="dxa"/>
            <w:vAlign w:val="center"/>
          </w:tcPr>
          <w:p w14:paraId="051AC4F0" w14:textId="77777777" w:rsidR="007D1E74" w:rsidRDefault="00A95641">
            <w:pPr>
              <w:jc w:val="center"/>
              <w:rPr>
                <w:szCs w:val="21"/>
              </w:rPr>
            </w:pPr>
            <w:r>
              <w:rPr>
                <w:rFonts w:hint="eastAsia"/>
                <w:szCs w:val="21"/>
              </w:rPr>
              <w:t>2</w:t>
            </w:r>
            <w:r>
              <w:rPr>
                <w:szCs w:val="21"/>
              </w:rPr>
              <w:t>0</w:t>
            </w:r>
          </w:p>
        </w:tc>
        <w:tc>
          <w:tcPr>
            <w:tcW w:w="1701" w:type="dxa"/>
            <w:vAlign w:val="center"/>
          </w:tcPr>
          <w:p w14:paraId="6F01D4FF" w14:textId="77777777" w:rsidR="007D1E74" w:rsidRDefault="00A95641">
            <w:pPr>
              <w:jc w:val="center"/>
              <w:rPr>
                <w:szCs w:val="21"/>
              </w:rPr>
            </w:pPr>
            <w:r>
              <w:rPr>
                <w:rFonts w:hint="eastAsia"/>
                <w:szCs w:val="21"/>
              </w:rPr>
              <w:t>1</w:t>
            </w:r>
            <w:r>
              <w:rPr>
                <w:szCs w:val="21"/>
              </w:rPr>
              <w:t>3.33</w:t>
            </w:r>
          </w:p>
        </w:tc>
        <w:tc>
          <w:tcPr>
            <w:tcW w:w="708" w:type="dxa"/>
            <w:vAlign w:val="center"/>
          </w:tcPr>
          <w:p w14:paraId="3455221D" w14:textId="77777777" w:rsidR="007D1E74" w:rsidRDefault="00A95641">
            <w:pPr>
              <w:jc w:val="center"/>
              <w:rPr>
                <w:szCs w:val="21"/>
              </w:rPr>
            </w:pPr>
            <w:r>
              <w:rPr>
                <w:rFonts w:hint="eastAsia"/>
                <w:szCs w:val="21"/>
              </w:rPr>
              <w:t>2</w:t>
            </w:r>
            <w:r>
              <w:rPr>
                <w:szCs w:val="21"/>
              </w:rPr>
              <w:t>7</w:t>
            </w:r>
          </w:p>
        </w:tc>
        <w:tc>
          <w:tcPr>
            <w:tcW w:w="1704" w:type="dxa"/>
            <w:vAlign w:val="center"/>
          </w:tcPr>
          <w:p w14:paraId="410A8688" w14:textId="77777777" w:rsidR="007D1E74" w:rsidRDefault="00A95641">
            <w:pPr>
              <w:jc w:val="center"/>
              <w:rPr>
                <w:szCs w:val="21"/>
              </w:rPr>
            </w:pPr>
            <w:r>
              <w:rPr>
                <w:rFonts w:hint="eastAsia"/>
                <w:szCs w:val="21"/>
              </w:rPr>
              <w:t>5</w:t>
            </w:r>
            <w:r>
              <w:rPr>
                <w:szCs w:val="21"/>
              </w:rPr>
              <w:t>.92</w:t>
            </w:r>
          </w:p>
        </w:tc>
        <w:tc>
          <w:tcPr>
            <w:tcW w:w="706" w:type="dxa"/>
            <w:vAlign w:val="center"/>
          </w:tcPr>
          <w:p w14:paraId="4BD7DAA2" w14:textId="77777777" w:rsidR="007D1E74" w:rsidRDefault="00A95641">
            <w:pPr>
              <w:jc w:val="center"/>
              <w:rPr>
                <w:szCs w:val="21"/>
              </w:rPr>
            </w:pPr>
            <w:r>
              <w:rPr>
                <w:rFonts w:hint="eastAsia"/>
                <w:szCs w:val="21"/>
              </w:rPr>
              <w:t>4</w:t>
            </w:r>
            <w:r>
              <w:rPr>
                <w:szCs w:val="21"/>
              </w:rPr>
              <w:t>3</w:t>
            </w:r>
          </w:p>
        </w:tc>
        <w:tc>
          <w:tcPr>
            <w:tcW w:w="1791" w:type="dxa"/>
            <w:vAlign w:val="center"/>
          </w:tcPr>
          <w:p w14:paraId="32EB60C7" w14:textId="77777777" w:rsidR="007D1E74" w:rsidRDefault="00A95641">
            <w:pPr>
              <w:jc w:val="center"/>
              <w:rPr>
                <w:szCs w:val="21"/>
              </w:rPr>
            </w:pPr>
            <w:r>
              <w:rPr>
                <w:rFonts w:hint="eastAsia"/>
                <w:szCs w:val="21"/>
              </w:rPr>
              <w:t>6</w:t>
            </w:r>
            <w:r>
              <w:rPr>
                <w:szCs w:val="21"/>
              </w:rPr>
              <w:t>.31</w:t>
            </w:r>
          </w:p>
        </w:tc>
      </w:tr>
      <w:tr w:rsidR="007D1E74" w14:paraId="08767577" w14:textId="77777777">
        <w:tc>
          <w:tcPr>
            <w:tcW w:w="704" w:type="dxa"/>
            <w:vMerge w:val="restart"/>
            <w:vAlign w:val="center"/>
          </w:tcPr>
          <w:p w14:paraId="2F69EA4B" w14:textId="77777777" w:rsidR="007D1E74" w:rsidRDefault="00A95641">
            <w:pPr>
              <w:jc w:val="center"/>
              <w:rPr>
                <w:szCs w:val="21"/>
              </w:rPr>
            </w:pPr>
            <w:r>
              <w:rPr>
                <w:szCs w:val="21"/>
              </w:rPr>
              <w:t>种子植物</w:t>
            </w:r>
          </w:p>
        </w:tc>
        <w:tc>
          <w:tcPr>
            <w:tcW w:w="1134" w:type="dxa"/>
          </w:tcPr>
          <w:p w14:paraId="0D4E072E" w14:textId="77777777" w:rsidR="007D1E74" w:rsidRDefault="00A95641">
            <w:pPr>
              <w:jc w:val="center"/>
              <w:rPr>
                <w:szCs w:val="21"/>
              </w:rPr>
            </w:pPr>
            <w:r>
              <w:rPr>
                <w:szCs w:val="21"/>
              </w:rPr>
              <w:t>裸子植物</w:t>
            </w:r>
          </w:p>
        </w:tc>
        <w:tc>
          <w:tcPr>
            <w:tcW w:w="851" w:type="dxa"/>
            <w:vAlign w:val="center"/>
          </w:tcPr>
          <w:p w14:paraId="05763194" w14:textId="77777777" w:rsidR="007D1E74" w:rsidRDefault="00A95641">
            <w:pPr>
              <w:jc w:val="center"/>
              <w:rPr>
                <w:szCs w:val="21"/>
              </w:rPr>
            </w:pPr>
            <w:r>
              <w:rPr>
                <w:rFonts w:hint="eastAsia"/>
                <w:szCs w:val="21"/>
              </w:rPr>
              <w:t>8</w:t>
            </w:r>
          </w:p>
        </w:tc>
        <w:tc>
          <w:tcPr>
            <w:tcW w:w="1701" w:type="dxa"/>
            <w:vAlign w:val="center"/>
          </w:tcPr>
          <w:p w14:paraId="2258A148" w14:textId="77777777" w:rsidR="007D1E74" w:rsidRDefault="00A95641">
            <w:pPr>
              <w:jc w:val="center"/>
              <w:rPr>
                <w:szCs w:val="21"/>
              </w:rPr>
            </w:pPr>
            <w:r>
              <w:rPr>
                <w:rFonts w:hint="eastAsia"/>
                <w:szCs w:val="21"/>
              </w:rPr>
              <w:t>5</w:t>
            </w:r>
            <w:r>
              <w:rPr>
                <w:szCs w:val="21"/>
              </w:rPr>
              <w:t>.33</w:t>
            </w:r>
          </w:p>
        </w:tc>
        <w:tc>
          <w:tcPr>
            <w:tcW w:w="708" w:type="dxa"/>
            <w:vAlign w:val="center"/>
          </w:tcPr>
          <w:p w14:paraId="3D300892" w14:textId="77777777" w:rsidR="007D1E74" w:rsidRDefault="00A95641">
            <w:pPr>
              <w:jc w:val="center"/>
              <w:rPr>
                <w:szCs w:val="21"/>
              </w:rPr>
            </w:pPr>
            <w:r>
              <w:rPr>
                <w:rFonts w:hint="eastAsia"/>
                <w:szCs w:val="21"/>
              </w:rPr>
              <w:t>1</w:t>
            </w:r>
            <w:r>
              <w:rPr>
                <w:szCs w:val="21"/>
              </w:rPr>
              <w:t>4</w:t>
            </w:r>
          </w:p>
        </w:tc>
        <w:tc>
          <w:tcPr>
            <w:tcW w:w="1704" w:type="dxa"/>
            <w:vAlign w:val="center"/>
          </w:tcPr>
          <w:p w14:paraId="76C59277" w14:textId="77777777" w:rsidR="007D1E74" w:rsidRDefault="00A95641">
            <w:pPr>
              <w:jc w:val="center"/>
              <w:rPr>
                <w:szCs w:val="21"/>
              </w:rPr>
            </w:pPr>
            <w:r>
              <w:rPr>
                <w:rFonts w:hint="eastAsia"/>
                <w:szCs w:val="21"/>
              </w:rPr>
              <w:t>3</w:t>
            </w:r>
            <w:r>
              <w:rPr>
                <w:szCs w:val="21"/>
              </w:rPr>
              <w:t>.07</w:t>
            </w:r>
          </w:p>
        </w:tc>
        <w:tc>
          <w:tcPr>
            <w:tcW w:w="706" w:type="dxa"/>
            <w:vAlign w:val="center"/>
          </w:tcPr>
          <w:p w14:paraId="1490DFBC" w14:textId="77777777" w:rsidR="007D1E74" w:rsidRDefault="00A95641">
            <w:pPr>
              <w:jc w:val="center"/>
              <w:rPr>
                <w:szCs w:val="21"/>
              </w:rPr>
            </w:pPr>
            <w:r>
              <w:rPr>
                <w:szCs w:val="21"/>
              </w:rPr>
              <w:t>14</w:t>
            </w:r>
          </w:p>
        </w:tc>
        <w:tc>
          <w:tcPr>
            <w:tcW w:w="1791" w:type="dxa"/>
            <w:vAlign w:val="center"/>
          </w:tcPr>
          <w:p w14:paraId="14E3F68E" w14:textId="77777777" w:rsidR="007D1E74" w:rsidRDefault="00A95641">
            <w:pPr>
              <w:jc w:val="center"/>
              <w:rPr>
                <w:szCs w:val="21"/>
              </w:rPr>
            </w:pPr>
            <w:r>
              <w:rPr>
                <w:rFonts w:hint="eastAsia"/>
                <w:szCs w:val="21"/>
              </w:rPr>
              <w:t>2</w:t>
            </w:r>
            <w:r>
              <w:rPr>
                <w:szCs w:val="21"/>
              </w:rPr>
              <w:t>.05</w:t>
            </w:r>
          </w:p>
        </w:tc>
      </w:tr>
      <w:tr w:rsidR="007D1E74" w14:paraId="541D3099" w14:textId="77777777">
        <w:tc>
          <w:tcPr>
            <w:tcW w:w="704" w:type="dxa"/>
            <w:vMerge/>
            <w:vAlign w:val="center"/>
          </w:tcPr>
          <w:p w14:paraId="4384FB78" w14:textId="77777777" w:rsidR="007D1E74" w:rsidRDefault="007D1E74">
            <w:pPr>
              <w:jc w:val="center"/>
              <w:rPr>
                <w:szCs w:val="21"/>
              </w:rPr>
            </w:pPr>
          </w:p>
        </w:tc>
        <w:tc>
          <w:tcPr>
            <w:tcW w:w="1134" w:type="dxa"/>
          </w:tcPr>
          <w:p w14:paraId="5FB00EFF" w14:textId="77777777" w:rsidR="007D1E74" w:rsidRDefault="00A95641">
            <w:pPr>
              <w:jc w:val="center"/>
              <w:rPr>
                <w:szCs w:val="21"/>
              </w:rPr>
            </w:pPr>
            <w:r>
              <w:rPr>
                <w:rFonts w:hint="eastAsia"/>
                <w:szCs w:val="21"/>
              </w:rPr>
              <w:t>被子植物</w:t>
            </w:r>
          </w:p>
        </w:tc>
        <w:tc>
          <w:tcPr>
            <w:tcW w:w="851" w:type="dxa"/>
            <w:vAlign w:val="center"/>
          </w:tcPr>
          <w:p w14:paraId="003C35C4" w14:textId="77777777" w:rsidR="007D1E74" w:rsidRDefault="00A95641">
            <w:pPr>
              <w:jc w:val="center"/>
              <w:rPr>
                <w:szCs w:val="21"/>
              </w:rPr>
            </w:pPr>
            <w:r>
              <w:rPr>
                <w:rFonts w:hint="eastAsia"/>
                <w:szCs w:val="21"/>
              </w:rPr>
              <w:t>1</w:t>
            </w:r>
            <w:r>
              <w:rPr>
                <w:szCs w:val="21"/>
              </w:rPr>
              <w:t>22</w:t>
            </w:r>
          </w:p>
        </w:tc>
        <w:tc>
          <w:tcPr>
            <w:tcW w:w="1701" w:type="dxa"/>
            <w:vAlign w:val="center"/>
          </w:tcPr>
          <w:p w14:paraId="20E74D9D" w14:textId="77777777" w:rsidR="007D1E74" w:rsidRDefault="00A95641">
            <w:pPr>
              <w:jc w:val="center"/>
              <w:rPr>
                <w:szCs w:val="21"/>
              </w:rPr>
            </w:pPr>
            <w:r>
              <w:rPr>
                <w:rFonts w:hint="eastAsia"/>
                <w:szCs w:val="21"/>
              </w:rPr>
              <w:t>8</w:t>
            </w:r>
            <w:r>
              <w:rPr>
                <w:szCs w:val="21"/>
              </w:rPr>
              <w:t>1.67</w:t>
            </w:r>
          </w:p>
        </w:tc>
        <w:tc>
          <w:tcPr>
            <w:tcW w:w="708" w:type="dxa"/>
            <w:vAlign w:val="center"/>
          </w:tcPr>
          <w:p w14:paraId="6499365C" w14:textId="77777777" w:rsidR="007D1E74" w:rsidRDefault="00A95641">
            <w:pPr>
              <w:jc w:val="center"/>
              <w:rPr>
                <w:szCs w:val="21"/>
              </w:rPr>
            </w:pPr>
            <w:r>
              <w:rPr>
                <w:rFonts w:hint="eastAsia"/>
                <w:szCs w:val="21"/>
              </w:rPr>
              <w:t>4</w:t>
            </w:r>
            <w:r>
              <w:rPr>
                <w:szCs w:val="21"/>
              </w:rPr>
              <w:t>15</w:t>
            </w:r>
          </w:p>
        </w:tc>
        <w:tc>
          <w:tcPr>
            <w:tcW w:w="1704" w:type="dxa"/>
            <w:vAlign w:val="center"/>
          </w:tcPr>
          <w:p w14:paraId="64C743BB" w14:textId="77777777" w:rsidR="007D1E74" w:rsidRDefault="00A95641">
            <w:pPr>
              <w:jc w:val="center"/>
              <w:rPr>
                <w:szCs w:val="21"/>
              </w:rPr>
            </w:pPr>
            <w:r>
              <w:rPr>
                <w:rFonts w:hint="eastAsia"/>
                <w:szCs w:val="21"/>
              </w:rPr>
              <w:t>9</w:t>
            </w:r>
            <w:r>
              <w:rPr>
                <w:szCs w:val="21"/>
              </w:rPr>
              <w:t>1.01</w:t>
            </w:r>
          </w:p>
        </w:tc>
        <w:tc>
          <w:tcPr>
            <w:tcW w:w="706" w:type="dxa"/>
            <w:vAlign w:val="center"/>
          </w:tcPr>
          <w:p w14:paraId="4B7E54BE" w14:textId="77777777" w:rsidR="007D1E74" w:rsidRDefault="00A95641">
            <w:pPr>
              <w:jc w:val="center"/>
              <w:rPr>
                <w:szCs w:val="21"/>
              </w:rPr>
            </w:pPr>
            <w:r>
              <w:rPr>
                <w:rFonts w:hint="eastAsia"/>
                <w:szCs w:val="21"/>
              </w:rPr>
              <w:t>6</w:t>
            </w:r>
            <w:r>
              <w:rPr>
                <w:szCs w:val="21"/>
              </w:rPr>
              <w:t>25</w:t>
            </w:r>
          </w:p>
        </w:tc>
        <w:tc>
          <w:tcPr>
            <w:tcW w:w="1791" w:type="dxa"/>
            <w:vAlign w:val="center"/>
          </w:tcPr>
          <w:p w14:paraId="4885E7DF" w14:textId="77777777" w:rsidR="007D1E74" w:rsidRDefault="00A95641">
            <w:pPr>
              <w:jc w:val="center"/>
              <w:rPr>
                <w:szCs w:val="21"/>
              </w:rPr>
            </w:pPr>
            <w:r>
              <w:rPr>
                <w:rFonts w:hint="eastAsia"/>
                <w:szCs w:val="21"/>
              </w:rPr>
              <w:t>9</w:t>
            </w:r>
            <w:r>
              <w:rPr>
                <w:szCs w:val="21"/>
              </w:rPr>
              <w:t>1.64</w:t>
            </w:r>
          </w:p>
        </w:tc>
      </w:tr>
      <w:tr w:rsidR="007D1E74" w14:paraId="3997097C" w14:textId="77777777">
        <w:tc>
          <w:tcPr>
            <w:tcW w:w="1838" w:type="dxa"/>
            <w:gridSpan w:val="2"/>
            <w:vAlign w:val="center"/>
          </w:tcPr>
          <w:p w14:paraId="7EDE4E92" w14:textId="77777777" w:rsidR="007D1E74" w:rsidRDefault="00A95641">
            <w:pPr>
              <w:jc w:val="center"/>
              <w:rPr>
                <w:szCs w:val="21"/>
              </w:rPr>
            </w:pPr>
            <w:r>
              <w:rPr>
                <w:szCs w:val="21"/>
              </w:rPr>
              <w:t>合计</w:t>
            </w:r>
          </w:p>
        </w:tc>
        <w:tc>
          <w:tcPr>
            <w:tcW w:w="851" w:type="dxa"/>
            <w:vAlign w:val="center"/>
          </w:tcPr>
          <w:p w14:paraId="317933F2" w14:textId="77777777" w:rsidR="007D1E74" w:rsidRDefault="00A95641">
            <w:pPr>
              <w:jc w:val="center"/>
              <w:rPr>
                <w:szCs w:val="21"/>
              </w:rPr>
            </w:pPr>
            <w:r>
              <w:rPr>
                <w:rFonts w:hint="eastAsia"/>
                <w:szCs w:val="21"/>
              </w:rPr>
              <w:t>1</w:t>
            </w:r>
            <w:r>
              <w:rPr>
                <w:szCs w:val="21"/>
              </w:rPr>
              <w:t>50</w:t>
            </w:r>
          </w:p>
        </w:tc>
        <w:tc>
          <w:tcPr>
            <w:tcW w:w="1701" w:type="dxa"/>
            <w:vAlign w:val="center"/>
          </w:tcPr>
          <w:p w14:paraId="11CA9CF7" w14:textId="77777777" w:rsidR="007D1E74" w:rsidRDefault="00A95641">
            <w:pPr>
              <w:jc w:val="center"/>
              <w:rPr>
                <w:szCs w:val="21"/>
              </w:rPr>
            </w:pPr>
            <w:r>
              <w:rPr>
                <w:rFonts w:hint="eastAsia"/>
                <w:szCs w:val="21"/>
              </w:rPr>
              <w:t>1</w:t>
            </w:r>
            <w:r>
              <w:rPr>
                <w:szCs w:val="21"/>
              </w:rPr>
              <w:t>00.00</w:t>
            </w:r>
          </w:p>
        </w:tc>
        <w:tc>
          <w:tcPr>
            <w:tcW w:w="708" w:type="dxa"/>
            <w:vAlign w:val="center"/>
          </w:tcPr>
          <w:p w14:paraId="24F45F3D" w14:textId="77777777" w:rsidR="007D1E74" w:rsidRDefault="00A95641">
            <w:pPr>
              <w:jc w:val="center"/>
              <w:rPr>
                <w:szCs w:val="21"/>
              </w:rPr>
            </w:pPr>
            <w:r>
              <w:rPr>
                <w:rFonts w:hint="eastAsia"/>
                <w:szCs w:val="21"/>
              </w:rPr>
              <w:t>4</w:t>
            </w:r>
            <w:r>
              <w:rPr>
                <w:szCs w:val="21"/>
              </w:rPr>
              <w:t>56</w:t>
            </w:r>
          </w:p>
        </w:tc>
        <w:tc>
          <w:tcPr>
            <w:tcW w:w="1704" w:type="dxa"/>
            <w:vAlign w:val="center"/>
          </w:tcPr>
          <w:p w14:paraId="4DF660C8" w14:textId="77777777" w:rsidR="007D1E74" w:rsidRDefault="00A95641">
            <w:pPr>
              <w:jc w:val="center"/>
              <w:rPr>
                <w:szCs w:val="21"/>
              </w:rPr>
            </w:pPr>
            <w:r>
              <w:rPr>
                <w:rFonts w:hint="eastAsia"/>
                <w:szCs w:val="21"/>
              </w:rPr>
              <w:t>1</w:t>
            </w:r>
            <w:r>
              <w:rPr>
                <w:szCs w:val="21"/>
              </w:rPr>
              <w:t>00.00</w:t>
            </w:r>
          </w:p>
        </w:tc>
        <w:tc>
          <w:tcPr>
            <w:tcW w:w="706" w:type="dxa"/>
            <w:vAlign w:val="center"/>
          </w:tcPr>
          <w:p w14:paraId="7FEBA647" w14:textId="77777777" w:rsidR="007D1E74" w:rsidRDefault="00A95641">
            <w:pPr>
              <w:jc w:val="center"/>
              <w:rPr>
                <w:szCs w:val="21"/>
              </w:rPr>
            </w:pPr>
            <w:r>
              <w:rPr>
                <w:rFonts w:hint="eastAsia"/>
                <w:szCs w:val="21"/>
              </w:rPr>
              <w:t>6</w:t>
            </w:r>
            <w:r>
              <w:rPr>
                <w:szCs w:val="21"/>
              </w:rPr>
              <w:t>82</w:t>
            </w:r>
          </w:p>
        </w:tc>
        <w:tc>
          <w:tcPr>
            <w:tcW w:w="1791" w:type="dxa"/>
            <w:vAlign w:val="center"/>
          </w:tcPr>
          <w:p w14:paraId="0E56F8E4" w14:textId="77777777" w:rsidR="007D1E74" w:rsidRDefault="00A95641">
            <w:pPr>
              <w:jc w:val="center"/>
              <w:rPr>
                <w:szCs w:val="21"/>
              </w:rPr>
            </w:pPr>
            <w:r>
              <w:rPr>
                <w:rFonts w:hint="eastAsia"/>
                <w:szCs w:val="21"/>
              </w:rPr>
              <w:t>1</w:t>
            </w:r>
            <w:r>
              <w:rPr>
                <w:szCs w:val="21"/>
              </w:rPr>
              <w:t>00.00</w:t>
            </w:r>
          </w:p>
        </w:tc>
      </w:tr>
    </w:tbl>
    <w:p w14:paraId="7253BEE6" w14:textId="77777777" w:rsidR="007D1E74" w:rsidRDefault="00A95641">
      <w:pPr>
        <w:spacing w:line="360" w:lineRule="auto"/>
        <w:ind w:firstLineChars="200" w:firstLine="482"/>
        <w:rPr>
          <w:b/>
          <w:sz w:val="24"/>
          <w:szCs w:val="24"/>
        </w:rPr>
      </w:pPr>
      <w:r>
        <w:rPr>
          <w:rFonts w:hint="eastAsia"/>
          <w:b/>
          <w:sz w:val="24"/>
          <w:szCs w:val="24"/>
        </w:rPr>
        <w:t>（</w:t>
      </w:r>
      <w:r>
        <w:rPr>
          <w:b/>
          <w:sz w:val="24"/>
          <w:szCs w:val="24"/>
        </w:rPr>
        <w:t>2</w:t>
      </w:r>
      <w:r>
        <w:rPr>
          <w:rFonts w:hint="eastAsia"/>
          <w:b/>
          <w:sz w:val="24"/>
          <w:szCs w:val="24"/>
        </w:rPr>
        <w:t>）科和属的种数分析</w:t>
      </w:r>
    </w:p>
    <w:p w14:paraId="11CF6A21" w14:textId="77777777" w:rsidR="007D1E74" w:rsidRDefault="00A95641">
      <w:pPr>
        <w:spacing w:line="360" w:lineRule="auto"/>
        <w:ind w:firstLineChars="200" w:firstLine="480"/>
        <w:rPr>
          <w:sz w:val="24"/>
          <w:szCs w:val="24"/>
        </w:rPr>
      </w:pPr>
      <w:r>
        <w:rPr>
          <w:rFonts w:hint="eastAsia"/>
          <w:sz w:val="24"/>
          <w:szCs w:val="24"/>
        </w:rPr>
        <w:t>评价区内只有</w:t>
      </w:r>
      <w:r>
        <w:rPr>
          <w:rFonts w:hint="eastAsia"/>
          <w:sz w:val="24"/>
          <w:szCs w:val="24"/>
        </w:rPr>
        <w:t>1</w:t>
      </w:r>
      <w:r>
        <w:rPr>
          <w:rFonts w:hint="eastAsia"/>
          <w:sz w:val="24"/>
          <w:szCs w:val="24"/>
        </w:rPr>
        <w:t>个种分布的科有</w:t>
      </w:r>
      <w:r>
        <w:rPr>
          <w:rFonts w:hint="eastAsia"/>
          <w:sz w:val="24"/>
          <w:szCs w:val="24"/>
        </w:rPr>
        <w:t>57</w:t>
      </w:r>
      <w:r>
        <w:rPr>
          <w:rFonts w:hint="eastAsia"/>
          <w:sz w:val="24"/>
          <w:szCs w:val="24"/>
        </w:rPr>
        <w:t>科，共</w:t>
      </w:r>
      <w:r>
        <w:rPr>
          <w:rFonts w:hint="eastAsia"/>
          <w:sz w:val="24"/>
          <w:szCs w:val="24"/>
        </w:rPr>
        <w:t>57</w:t>
      </w:r>
      <w:r>
        <w:rPr>
          <w:rFonts w:hint="eastAsia"/>
          <w:sz w:val="24"/>
          <w:szCs w:val="24"/>
        </w:rPr>
        <w:t>个物种，分别占总科数（</w:t>
      </w:r>
      <w:r>
        <w:rPr>
          <w:rFonts w:hint="eastAsia"/>
          <w:sz w:val="24"/>
          <w:szCs w:val="24"/>
        </w:rPr>
        <w:t>150</w:t>
      </w:r>
      <w:r>
        <w:rPr>
          <w:rFonts w:hint="eastAsia"/>
          <w:sz w:val="24"/>
          <w:szCs w:val="24"/>
        </w:rPr>
        <w:t>）的</w:t>
      </w:r>
      <w:r>
        <w:rPr>
          <w:rFonts w:hint="eastAsia"/>
          <w:sz w:val="24"/>
          <w:szCs w:val="24"/>
        </w:rPr>
        <w:t>38.00%</w:t>
      </w:r>
      <w:r>
        <w:rPr>
          <w:rFonts w:hint="eastAsia"/>
          <w:sz w:val="24"/>
          <w:szCs w:val="24"/>
        </w:rPr>
        <w:t>和总物种数（</w:t>
      </w:r>
      <w:r>
        <w:rPr>
          <w:rFonts w:hint="eastAsia"/>
          <w:sz w:val="24"/>
          <w:szCs w:val="24"/>
        </w:rPr>
        <w:t>682</w:t>
      </w:r>
      <w:r>
        <w:rPr>
          <w:rFonts w:hint="eastAsia"/>
          <w:sz w:val="24"/>
          <w:szCs w:val="24"/>
        </w:rPr>
        <w:t>）的</w:t>
      </w:r>
      <w:r>
        <w:rPr>
          <w:rFonts w:hint="eastAsia"/>
          <w:sz w:val="24"/>
          <w:szCs w:val="24"/>
        </w:rPr>
        <w:t>8.36%</w:t>
      </w:r>
      <w:r>
        <w:rPr>
          <w:rFonts w:hint="eastAsia"/>
          <w:sz w:val="24"/>
          <w:szCs w:val="24"/>
        </w:rPr>
        <w:t>；少种科（分布</w:t>
      </w:r>
      <w:r>
        <w:rPr>
          <w:rFonts w:hint="eastAsia"/>
          <w:sz w:val="24"/>
          <w:szCs w:val="24"/>
        </w:rPr>
        <w:t>2-9</w:t>
      </w:r>
      <w:r>
        <w:rPr>
          <w:rFonts w:hint="eastAsia"/>
          <w:sz w:val="24"/>
          <w:szCs w:val="24"/>
        </w:rPr>
        <w:t>种）的数量为</w:t>
      </w:r>
      <w:r>
        <w:rPr>
          <w:rFonts w:hint="eastAsia"/>
          <w:sz w:val="24"/>
          <w:szCs w:val="24"/>
        </w:rPr>
        <w:t>78</w:t>
      </w:r>
      <w:r>
        <w:rPr>
          <w:rFonts w:hint="eastAsia"/>
          <w:sz w:val="24"/>
          <w:szCs w:val="24"/>
        </w:rPr>
        <w:t>科，共有物种</w:t>
      </w:r>
      <w:r>
        <w:rPr>
          <w:rFonts w:hint="eastAsia"/>
          <w:sz w:val="24"/>
          <w:szCs w:val="24"/>
        </w:rPr>
        <w:t>292</w:t>
      </w:r>
      <w:r>
        <w:rPr>
          <w:rFonts w:hint="eastAsia"/>
          <w:sz w:val="24"/>
          <w:szCs w:val="24"/>
        </w:rPr>
        <w:t>种，分别占总科数的</w:t>
      </w:r>
      <w:r>
        <w:rPr>
          <w:rFonts w:hint="eastAsia"/>
          <w:sz w:val="24"/>
          <w:szCs w:val="24"/>
        </w:rPr>
        <w:t>52.00%</w:t>
      </w:r>
      <w:r>
        <w:rPr>
          <w:rFonts w:hint="eastAsia"/>
          <w:sz w:val="24"/>
          <w:szCs w:val="24"/>
        </w:rPr>
        <w:t>和总物种数的</w:t>
      </w:r>
      <w:r>
        <w:rPr>
          <w:rFonts w:hint="eastAsia"/>
          <w:sz w:val="24"/>
          <w:szCs w:val="24"/>
        </w:rPr>
        <w:t>42.81%</w:t>
      </w:r>
      <w:r>
        <w:rPr>
          <w:rFonts w:hint="eastAsia"/>
          <w:sz w:val="24"/>
          <w:szCs w:val="24"/>
        </w:rPr>
        <w:t>；多种科（分布</w:t>
      </w:r>
      <w:r>
        <w:rPr>
          <w:rFonts w:hint="eastAsia"/>
          <w:sz w:val="24"/>
          <w:szCs w:val="24"/>
        </w:rPr>
        <w:t>10</w:t>
      </w:r>
      <w:r>
        <w:rPr>
          <w:rFonts w:hint="eastAsia"/>
          <w:sz w:val="24"/>
          <w:szCs w:val="24"/>
        </w:rPr>
        <w:t>种及以上）有</w:t>
      </w:r>
      <w:r>
        <w:rPr>
          <w:rFonts w:hint="eastAsia"/>
          <w:sz w:val="24"/>
          <w:szCs w:val="24"/>
        </w:rPr>
        <w:t>15</w:t>
      </w:r>
      <w:r>
        <w:rPr>
          <w:rFonts w:hint="eastAsia"/>
          <w:sz w:val="24"/>
          <w:szCs w:val="24"/>
        </w:rPr>
        <w:t>科（菊科</w:t>
      </w:r>
      <w:r>
        <w:rPr>
          <w:rFonts w:hint="eastAsia"/>
          <w:sz w:val="24"/>
          <w:szCs w:val="24"/>
        </w:rPr>
        <w:t>Asteraceae 58</w:t>
      </w:r>
      <w:r>
        <w:rPr>
          <w:rFonts w:hint="eastAsia"/>
          <w:sz w:val="24"/>
          <w:szCs w:val="24"/>
        </w:rPr>
        <w:t>种、禾本科</w:t>
      </w:r>
      <w:r>
        <w:rPr>
          <w:rFonts w:hint="eastAsia"/>
          <w:sz w:val="24"/>
          <w:szCs w:val="24"/>
        </w:rPr>
        <w:t>Poaceae54</w:t>
      </w:r>
      <w:r>
        <w:rPr>
          <w:rFonts w:hint="eastAsia"/>
          <w:sz w:val="24"/>
          <w:szCs w:val="24"/>
        </w:rPr>
        <w:t>种、蔷薇科</w:t>
      </w:r>
      <w:r>
        <w:rPr>
          <w:rFonts w:hint="eastAsia"/>
          <w:sz w:val="24"/>
          <w:szCs w:val="24"/>
        </w:rPr>
        <w:t>Rosaceae38</w:t>
      </w:r>
      <w:r>
        <w:rPr>
          <w:rFonts w:hint="eastAsia"/>
          <w:sz w:val="24"/>
          <w:szCs w:val="24"/>
        </w:rPr>
        <w:t>种、豆科</w:t>
      </w:r>
      <w:r>
        <w:rPr>
          <w:rFonts w:hint="eastAsia"/>
          <w:sz w:val="24"/>
          <w:szCs w:val="24"/>
        </w:rPr>
        <w:t>Fabaceae31</w:t>
      </w:r>
      <w:r>
        <w:rPr>
          <w:rFonts w:hint="eastAsia"/>
          <w:sz w:val="24"/>
          <w:szCs w:val="24"/>
        </w:rPr>
        <w:t>种、唇形科</w:t>
      </w:r>
      <w:r>
        <w:rPr>
          <w:rFonts w:hint="eastAsia"/>
          <w:sz w:val="24"/>
          <w:szCs w:val="24"/>
        </w:rPr>
        <w:t>Lamiaceae20</w:t>
      </w:r>
      <w:r>
        <w:rPr>
          <w:rFonts w:hint="eastAsia"/>
          <w:sz w:val="24"/>
          <w:szCs w:val="24"/>
        </w:rPr>
        <w:t>种、毛茛科</w:t>
      </w:r>
      <w:r>
        <w:rPr>
          <w:rFonts w:hint="eastAsia"/>
          <w:sz w:val="24"/>
          <w:szCs w:val="24"/>
        </w:rPr>
        <w:t>Ranunculaceae18</w:t>
      </w:r>
      <w:r>
        <w:rPr>
          <w:rFonts w:hint="eastAsia"/>
          <w:sz w:val="24"/>
          <w:szCs w:val="24"/>
        </w:rPr>
        <w:t>种、十字花科</w:t>
      </w:r>
      <w:r>
        <w:rPr>
          <w:rFonts w:hint="eastAsia"/>
          <w:sz w:val="24"/>
          <w:szCs w:val="24"/>
        </w:rPr>
        <w:t>Brassicaceae 17</w:t>
      </w:r>
      <w:r>
        <w:rPr>
          <w:rFonts w:hint="eastAsia"/>
          <w:sz w:val="24"/>
          <w:szCs w:val="24"/>
        </w:rPr>
        <w:t>种、百合科</w:t>
      </w:r>
      <w:r>
        <w:rPr>
          <w:rFonts w:hint="eastAsia"/>
          <w:sz w:val="24"/>
          <w:szCs w:val="24"/>
        </w:rPr>
        <w:t>Liliaceae15</w:t>
      </w:r>
      <w:r>
        <w:rPr>
          <w:rFonts w:hint="eastAsia"/>
          <w:sz w:val="24"/>
          <w:szCs w:val="24"/>
        </w:rPr>
        <w:t>种、莎草科</w:t>
      </w:r>
      <w:r>
        <w:rPr>
          <w:rFonts w:hint="eastAsia"/>
          <w:sz w:val="24"/>
          <w:szCs w:val="24"/>
        </w:rPr>
        <w:t>Cyperaceae14</w:t>
      </w:r>
      <w:r>
        <w:rPr>
          <w:rFonts w:hint="eastAsia"/>
          <w:sz w:val="24"/>
          <w:szCs w:val="24"/>
        </w:rPr>
        <w:t>种、蓼科</w:t>
      </w:r>
      <w:r>
        <w:rPr>
          <w:rFonts w:hint="eastAsia"/>
          <w:sz w:val="24"/>
          <w:szCs w:val="24"/>
        </w:rPr>
        <w:t>Polygonaceae13</w:t>
      </w:r>
      <w:r>
        <w:rPr>
          <w:rFonts w:hint="eastAsia"/>
          <w:sz w:val="24"/>
          <w:szCs w:val="24"/>
        </w:rPr>
        <w:t>种、壳斗科</w:t>
      </w:r>
      <w:r>
        <w:rPr>
          <w:rFonts w:hint="eastAsia"/>
          <w:sz w:val="24"/>
          <w:szCs w:val="24"/>
        </w:rPr>
        <w:t>Fagaceae12</w:t>
      </w:r>
      <w:r>
        <w:rPr>
          <w:rFonts w:hint="eastAsia"/>
          <w:sz w:val="24"/>
          <w:szCs w:val="24"/>
        </w:rPr>
        <w:t>种、茄科</w:t>
      </w:r>
      <w:r>
        <w:rPr>
          <w:rFonts w:hint="eastAsia"/>
          <w:sz w:val="24"/>
          <w:szCs w:val="24"/>
        </w:rPr>
        <w:t>Solanaceae12</w:t>
      </w:r>
      <w:r>
        <w:rPr>
          <w:rFonts w:hint="eastAsia"/>
          <w:sz w:val="24"/>
          <w:szCs w:val="24"/>
        </w:rPr>
        <w:t>种、荨麻科</w:t>
      </w:r>
      <w:r>
        <w:rPr>
          <w:rFonts w:hint="eastAsia"/>
          <w:sz w:val="24"/>
          <w:szCs w:val="24"/>
        </w:rPr>
        <w:t>Urticaceae11</w:t>
      </w:r>
      <w:r>
        <w:rPr>
          <w:rFonts w:hint="eastAsia"/>
          <w:sz w:val="24"/>
          <w:szCs w:val="24"/>
        </w:rPr>
        <w:t>种、石竹科</w:t>
      </w:r>
      <w:r>
        <w:rPr>
          <w:rFonts w:hint="eastAsia"/>
          <w:sz w:val="24"/>
          <w:szCs w:val="24"/>
        </w:rPr>
        <w:t>Caryophyllaceae10</w:t>
      </w:r>
      <w:r>
        <w:rPr>
          <w:rFonts w:hint="eastAsia"/>
          <w:sz w:val="24"/>
          <w:szCs w:val="24"/>
        </w:rPr>
        <w:t>种、伞形科</w:t>
      </w:r>
      <w:r>
        <w:rPr>
          <w:rFonts w:hint="eastAsia"/>
          <w:sz w:val="24"/>
          <w:szCs w:val="24"/>
        </w:rPr>
        <w:t>Apiaceae10</w:t>
      </w:r>
      <w:r>
        <w:rPr>
          <w:rFonts w:hint="eastAsia"/>
          <w:sz w:val="24"/>
          <w:szCs w:val="24"/>
        </w:rPr>
        <w:t>种），共有</w:t>
      </w:r>
      <w:r>
        <w:rPr>
          <w:rFonts w:hint="eastAsia"/>
          <w:sz w:val="24"/>
          <w:szCs w:val="24"/>
        </w:rPr>
        <w:t>333</w:t>
      </w:r>
      <w:r>
        <w:rPr>
          <w:rFonts w:hint="eastAsia"/>
          <w:sz w:val="24"/>
          <w:szCs w:val="24"/>
        </w:rPr>
        <w:t>个物种，分别占总科数的</w:t>
      </w:r>
      <w:r>
        <w:rPr>
          <w:rFonts w:hint="eastAsia"/>
          <w:sz w:val="24"/>
          <w:szCs w:val="24"/>
        </w:rPr>
        <w:t>10.00%</w:t>
      </w:r>
      <w:r>
        <w:rPr>
          <w:rFonts w:hint="eastAsia"/>
          <w:sz w:val="24"/>
          <w:szCs w:val="24"/>
        </w:rPr>
        <w:t>和总物种数的</w:t>
      </w:r>
      <w:r>
        <w:rPr>
          <w:rFonts w:hint="eastAsia"/>
          <w:sz w:val="24"/>
          <w:szCs w:val="24"/>
        </w:rPr>
        <w:t>48.83%</w:t>
      </w:r>
      <w:r>
        <w:rPr>
          <w:rFonts w:hint="eastAsia"/>
          <w:sz w:val="24"/>
          <w:szCs w:val="24"/>
        </w:rPr>
        <w:t>。</w:t>
      </w:r>
    </w:p>
    <w:p w14:paraId="5D272F1B" w14:textId="77777777" w:rsidR="007D1E74" w:rsidRDefault="00A95641">
      <w:pPr>
        <w:spacing w:line="360" w:lineRule="auto"/>
        <w:ind w:firstLineChars="200" w:firstLine="480"/>
        <w:rPr>
          <w:sz w:val="24"/>
          <w:szCs w:val="24"/>
        </w:rPr>
      </w:pPr>
      <w:r>
        <w:rPr>
          <w:rFonts w:hint="eastAsia"/>
          <w:sz w:val="24"/>
          <w:szCs w:val="24"/>
        </w:rPr>
        <w:t>评价区内只有</w:t>
      </w:r>
      <w:r>
        <w:rPr>
          <w:rFonts w:hint="eastAsia"/>
          <w:sz w:val="24"/>
          <w:szCs w:val="24"/>
        </w:rPr>
        <w:t>1</w:t>
      </w:r>
      <w:r>
        <w:rPr>
          <w:rFonts w:hint="eastAsia"/>
          <w:sz w:val="24"/>
          <w:szCs w:val="24"/>
        </w:rPr>
        <w:t>个物种分布的属有</w:t>
      </w:r>
      <w:r>
        <w:rPr>
          <w:rFonts w:hint="eastAsia"/>
          <w:sz w:val="24"/>
          <w:szCs w:val="24"/>
        </w:rPr>
        <w:t>326</w:t>
      </w:r>
      <w:r>
        <w:rPr>
          <w:rFonts w:hint="eastAsia"/>
          <w:sz w:val="24"/>
          <w:szCs w:val="24"/>
        </w:rPr>
        <w:t>属，占评价区属总数（</w:t>
      </w:r>
      <w:r>
        <w:rPr>
          <w:rFonts w:hint="eastAsia"/>
          <w:sz w:val="24"/>
          <w:szCs w:val="24"/>
        </w:rPr>
        <w:t>456</w:t>
      </w:r>
      <w:r>
        <w:rPr>
          <w:rFonts w:hint="eastAsia"/>
          <w:sz w:val="24"/>
          <w:szCs w:val="24"/>
        </w:rPr>
        <w:t>）的</w:t>
      </w:r>
      <w:r>
        <w:rPr>
          <w:rFonts w:hint="eastAsia"/>
          <w:sz w:val="24"/>
          <w:szCs w:val="24"/>
        </w:rPr>
        <w:t>71.49%</w:t>
      </w:r>
      <w:r>
        <w:rPr>
          <w:rFonts w:hint="eastAsia"/>
          <w:sz w:val="24"/>
          <w:szCs w:val="24"/>
        </w:rPr>
        <w:t>，其物种数占总物种数（</w:t>
      </w:r>
      <w:r>
        <w:rPr>
          <w:rFonts w:hint="eastAsia"/>
          <w:sz w:val="24"/>
          <w:szCs w:val="24"/>
        </w:rPr>
        <w:t>682</w:t>
      </w:r>
      <w:r>
        <w:rPr>
          <w:rFonts w:hint="eastAsia"/>
          <w:sz w:val="24"/>
          <w:szCs w:val="24"/>
        </w:rPr>
        <w:t>）的</w:t>
      </w:r>
      <w:r>
        <w:rPr>
          <w:rFonts w:hint="eastAsia"/>
          <w:sz w:val="24"/>
          <w:szCs w:val="24"/>
        </w:rPr>
        <w:t>47.80%</w:t>
      </w:r>
      <w:r>
        <w:rPr>
          <w:rFonts w:hint="eastAsia"/>
          <w:sz w:val="24"/>
          <w:szCs w:val="24"/>
        </w:rPr>
        <w:t>；含物种</w:t>
      </w:r>
      <w:r>
        <w:rPr>
          <w:rFonts w:hint="eastAsia"/>
          <w:sz w:val="24"/>
          <w:szCs w:val="24"/>
        </w:rPr>
        <w:t>2~5</w:t>
      </w:r>
      <w:r>
        <w:rPr>
          <w:rFonts w:hint="eastAsia"/>
          <w:sz w:val="24"/>
          <w:szCs w:val="24"/>
        </w:rPr>
        <w:t>种的有</w:t>
      </w:r>
      <w:r>
        <w:rPr>
          <w:rFonts w:hint="eastAsia"/>
          <w:sz w:val="24"/>
          <w:szCs w:val="24"/>
        </w:rPr>
        <w:t>124</w:t>
      </w:r>
      <w:r>
        <w:rPr>
          <w:rFonts w:hint="eastAsia"/>
          <w:sz w:val="24"/>
          <w:szCs w:val="24"/>
        </w:rPr>
        <w:t>属，共有</w:t>
      </w:r>
      <w:r>
        <w:rPr>
          <w:rFonts w:hint="eastAsia"/>
          <w:sz w:val="24"/>
          <w:szCs w:val="24"/>
        </w:rPr>
        <w:t>309</w:t>
      </w:r>
      <w:r>
        <w:rPr>
          <w:rFonts w:hint="eastAsia"/>
          <w:sz w:val="24"/>
          <w:szCs w:val="24"/>
        </w:rPr>
        <w:t>种，分别占属总数和总物种数的</w:t>
      </w:r>
      <w:r>
        <w:rPr>
          <w:rFonts w:hint="eastAsia"/>
          <w:sz w:val="24"/>
          <w:szCs w:val="24"/>
        </w:rPr>
        <w:t>27.19%</w:t>
      </w:r>
      <w:r>
        <w:rPr>
          <w:rFonts w:hint="eastAsia"/>
          <w:sz w:val="24"/>
          <w:szCs w:val="24"/>
        </w:rPr>
        <w:t>和</w:t>
      </w:r>
      <w:r>
        <w:rPr>
          <w:rFonts w:hint="eastAsia"/>
          <w:sz w:val="24"/>
          <w:szCs w:val="24"/>
        </w:rPr>
        <w:t>45.31%</w:t>
      </w:r>
      <w:r>
        <w:rPr>
          <w:rFonts w:hint="eastAsia"/>
          <w:sz w:val="24"/>
          <w:szCs w:val="24"/>
        </w:rPr>
        <w:t>；含物种达</w:t>
      </w:r>
      <w:r>
        <w:rPr>
          <w:rFonts w:hint="eastAsia"/>
          <w:sz w:val="24"/>
          <w:szCs w:val="24"/>
        </w:rPr>
        <w:t>6</w:t>
      </w:r>
      <w:r>
        <w:rPr>
          <w:rFonts w:hint="eastAsia"/>
          <w:sz w:val="24"/>
          <w:szCs w:val="24"/>
        </w:rPr>
        <w:t>种及以上的属仅有</w:t>
      </w:r>
      <w:r>
        <w:rPr>
          <w:rFonts w:hint="eastAsia"/>
          <w:sz w:val="24"/>
          <w:szCs w:val="24"/>
        </w:rPr>
        <w:t>6</w:t>
      </w:r>
      <w:r>
        <w:rPr>
          <w:rFonts w:hint="eastAsia"/>
          <w:sz w:val="24"/>
          <w:szCs w:val="24"/>
        </w:rPr>
        <w:t>属：悬钩子属（</w:t>
      </w:r>
      <w:r>
        <w:rPr>
          <w:rFonts w:hint="eastAsia"/>
          <w:i/>
          <w:sz w:val="24"/>
          <w:szCs w:val="24"/>
        </w:rPr>
        <w:t xml:space="preserve">Rubus </w:t>
      </w:r>
      <w:r>
        <w:rPr>
          <w:rFonts w:hint="eastAsia"/>
          <w:sz w:val="24"/>
          <w:szCs w:val="24"/>
        </w:rPr>
        <w:t>11</w:t>
      </w:r>
      <w:r>
        <w:rPr>
          <w:rFonts w:hint="eastAsia"/>
          <w:sz w:val="24"/>
          <w:szCs w:val="24"/>
        </w:rPr>
        <w:t>种）、蓼属（</w:t>
      </w:r>
      <w:r>
        <w:rPr>
          <w:rFonts w:hint="eastAsia"/>
          <w:i/>
          <w:sz w:val="24"/>
          <w:szCs w:val="24"/>
        </w:rPr>
        <w:t xml:space="preserve">Polygonum </w:t>
      </w:r>
      <w:r>
        <w:rPr>
          <w:rFonts w:hint="eastAsia"/>
          <w:sz w:val="24"/>
          <w:szCs w:val="24"/>
        </w:rPr>
        <w:t>8</w:t>
      </w:r>
      <w:r>
        <w:rPr>
          <w:rFonts w:hint="eastAsia"/>
          <w:sz w:val="24"/>
          <w:szCs w:val="24"/>
        </w:rPr>
        <w:t>种）、芸苔属（</w:t>
      </w:r>
      <w:r>
        <w:rPr>
          <w:rFonts w:hint="eastAsia"/>
          <w:i/>
          <w:sz w:val="24"/>
          <w:szCs w:val="24"/>
        </w:rPr>
        <w:t>Brassica</w:t>
      </w:r>
      <w:r>
        <w:rPr>
          <w:rFonts w:hint="eastAsia"/>
          <w:sz w:val="24"/>
          <w:szCs w:val="24"/>
        </w:rPr>
        <w:t xml:space="preserve"> 8</w:t>
      </w:r>
      <w:r>
        <w:rPr>
          <w:rFonts w:hint="eastAsia"/>
          <w:sz w:val="24"/>
          <w:szCs w:val="24"/>
        </w:rPr>
        <w:t>种）、蔷薇属（</w:t>
      </w:r>
      <w:r>
        <w:rPr>
          <w:rFonts w:hint="eastAsia"/>
          <w:sz w:val="24"/>
          <w:szCs w:val="24"/>
        </w:rPr>
        <w:t>Rosa 7</w:t>
      </w:r>
      <w:r>
        <w:rPr>
          <w:rFonts w:hint="eastAsia"/>
          <w:sz w:val="24"/>
          <w:szCs w:val="24"/>
        </w:rPr>
        <w:t>种）、蒿属（</w:t>
      </w:r>
      <w:r>
        <w:rPr>
          <w:rFonts w:hint="eastAsia"/>
          <w:i/>
          <w:sz w:val="24"/>
          <w:szCs w:val="24"/>
        </w:rPr>
        <w:t xml:space="preserve">Artemisia </w:t>
      </w:r>
      <w:r>
        <w:rPr>
          <w:rFonts w:hint="eastAsia"/>
          <w:sz w:val="24"/>
          <w:szCs w:val="24"/>
        </w:rPr>
        <w:t>7</w:t>
      </w:r>
      <w:r>
        <w:rPr>
          <w:rFonts w:hint="eastAsia"/>
          <w:sz w:val="24"/>
          <w:szCs w:val="24"/>
        </w:rPr>
        <w:t>种）和苔草属（</w:t>
      </w:r>
      <w:r>
        <w:rPr>
          <w:rFonts w:hint="eastAsia"/>
          <w:i/>
          <w:sz w:val="24"/>
          <w:szCs w:val="24"/>
        </w:rPr>
        <w:t xml:space="preserve">Carex </w:t>
      </w:r>
      <w:r>
        <w:rPr>
          <w:rFonts w:hint="eastAsia"/>
          <w:sz w:val="24"/>
          <w:szCs w:val="24"/>
        </w:rPr>
        <w:t>6</w:t>
      </w:r>
      <w:r>
        <w:rPr>
          <w:rFonts w:hint="eastAsia"/>
          <w:sz w:val="24"/>
          <w:szCs w:val="24"/>
        </w:rPr>
        <w:t>种），共有</w:t>
      </w:r>
      <w:r>
        <w:rPr>
          <w:rFonts w:hint="eastAsia"/>
          <w:sz w:val="24"/>
          <w:szCs w:val="24"/>
        </w:rPr>
        <w:t>47</w:t>
      </w:r>
      <w:r>
        <w:rPr>
          <w:rFonts w:hint="eastAsia"/>
          <w:sz w:val="24"/>
          <w:szCs w:val="24"/>
        </w:rPr>
        <w:t>种，分别占属总数和总物种数的</w:t>
      </w:r>
      <w:r>
        <w:rPr>
          <w:rFonts w:hint="eastAsia"/>
          <w:sz w:val="24"/>
          <w:szCs w:val="24"/>
        </w:rPr>
        <w:t>1.32%</w:t>
      </w:r>
      <w:r>
        <w:rPr>
          <w:rFonts w:hint="eastAsia"/>
          <w:sz w:val="24"/>
          <w:szCs w:val="24"/>
        </w:rPr>
        <w:t>和</w:t>
      </w:r>
      <w:r>
        <w:rPr>
          <w:rFonts w:hint="eastAsia"/>
          <w:sz w:val="24"/>
          <w:szCs w:val="24"/>
        </w:rPr>
        <w:t>6.89%</w:t>
      </w:r>
      <w:r>
        <w:rPr>
          <w:rFonts w:hint="eastAsia"/>
          <w:sz w:val="24"/>
          <w:szCs w:val="24"/>
        </w:rPr>
        <w:t>。</w:t>
      </w:r>
    </w:p>
    <w:p w14:paraId="434704B6" w14:textId="77777777" w:rsidR="007D1E74" w:rsidRDefault="00A95641">
      <w:pPr>
        <w:spacing w:line="360" w:lineRule="auto"/>
        <w:ind w:firstLineChars="200" w:firstLine="482"/>
        <w:rPr>
          <w:b/>
          <w:sz w:val="24"/>
          <w:szCs w:val="24"/>
        </w:rPr>
      </w:pPr>
      <w:r>
        <w:rPr>
          <w:rFonts w:hint="eastAsia"/>
          <w:b/>
          <w:sz w:val="24"/>
          <w:szCs w:val="24"/>
        </w:rPr>
        <w:t>（</w:t>
      </w:r>
      <w:r>
        <w:rPr>
          <w:b/>
          <w:sz w:val="24"/>
          <w:szCs w:val="24"/>
        </w:rPr>
        <w:t>3</w:t>
      </w:r>
      <w:r>
        <w:rPr>
          <w:rFonts w:hint="eastAsia"/>
          <w:b/>
          <w:sz w:val="24"/>
          <w:szCs w:val="24"/>
        </w:rPr>
        <w:t>）种子植物区系成分分析</w:t>
      </w:r>
    </w:p>
    <w:p w14:paraId="168C9528" w14:textId="77777777" w:rsidR="007D1E74" w:rsidRDefault="00A95641">
      <w:pPr>
        <w:spacing w:line="360" w:lineRule="auto"/>
        <w:ind w:firstLineChars="200" w:firstLine="480"/>
        <w:rPr>
          <w:sz w:val="24"/>
          <w:szCs w:val="24"/>
        </w:rPr>
      </w:pPr>
      <w:r>
        <w:rPr>
          <w:rFonts w:hint="eastAsia"/>
          <w:sz w:val="24"/>
          <w:szCs w:val="24"/>
        </w:rPr>
        <w:t>根据李锡文划分的世界种子植物科的分布型和吴征镒对中国种子植物属所划分的分布区类型，对评价区种子植物</w:t>
      </w:r>
      <w:r>
        <w:rPr>
          <w:rFonts w:hint="eastAsia"/>
          <w:sz w:val="24"/>
          <w:szCs w:val="24"/>
        </w:rPr>
        <w:t>130</w:t>
      </w:r>
      <w:r>
        <w:rPr>
          <w:rFonts w:hint="eastAsia"/>
          <w:sz w:val="24"/>
          <w:szCs w:val="24"/>
        </w:rPr>
        <w:t>科</w:t>
      </w:r>
      <w:r>
        <w:rPr>
          <w:rFonts w:hint="eastAsia"/>
          <w:sz w:val="24"/>
          <w:szCs w:val="24"/>
        </w:rPr>
        <w:t>420</w:t>
      </w:r>
      <w:r>
        <w:rPr>
          <w:rFonts w:hint="eastAsia"/>
          <w:sz w:val="24"/>
          <w:szCs w:val="24"/>
        </w:rPr>
        <w:t>属进行归类统计。</w:t>
      </w:r>
    </w:p>
    <w:p w14:paraId="2A42ED9C" w14:textId="77777777" w:rsidR="007D1E74" w:rsidRDefault="00A95641">
      <w:pPr>
        <w:pStyle w:val="afffffe"/>
        <w:numPr>
          <w:ilvl w:val="0"/>
          <w:numId w:val="43"/>
        </w:numPr>
        <w:spacing w:line="360" w:lineRule="auto"/>
        <w:ind w:firstLineChars="0"/>
        <w:jc w:val="center"/>
        <w:rPr>
          <w:rFonts w:eastAsia="黑体" w:cs="Times New Roman"/>
          <w:szCs w:val="21"/>
        </w:rPr>
      </w:pPr>
      <w:r>
        <w:rPr>
          <w:rFonts w:eastAsia="黑体" w:cs="Times New Roman" w:hint="eastAsia"/>
          <w:szCs w:val="21"/>
        </w:rPr>
        <w:t>评价区种子植物科和属的分布区类型</w:t>
      </w:r>
    </w:p>
    <w:tbl>
      <w:tblPr>
        <w:tblStyle w:val="affffc"/>
        <w:tblW w:w="5000" w:type="pct"/>
        <w:tblLook w:val="04A0" w:firstRow="1" w:lastRow="0" w:firstColumn="1" w:lastColumn="0" w:noHBand="0" w:noVBand="1"/>
      </w:tblPr>
      <w:tblGrid>
        <w:gridCol w:w="1920"/>
        <w:gridCol w:w="1237"/>
        <w:gridCol w:w="2335"/>
        <w:gridCol w:w="1100"/>
        <w:gridCol w:w="2424"/>
      </w:tblGrid>
      <w:tr w:rsidR="007D1E74" w14:paraId="7DA17A03" w14:textId="77777777">
        <w:tc>
          <w:tcPr>
            <w:tcW w:w="1065" w:type="pct"/>
            <w:vAlign w:val="center"/>
          </w:tcPr>
          <w:p w14:paraId="64A2377C" w14:textId="77777777" w:rsidR="007D1E74" w:rsidRDefault="00A95641">
            <w:pPr>
              <w:jc w:val="center"/>
              <w:rPr>
                <w:szCs w:val="21"/>
              </w:rPr>
            </w:pPr>
            <w:r>
              <w:rPr>
                <w:rFonts w:hint="eastAsia"/>
                <w:szCs w:val="21"/>
              </w:rPr>
              <w:t>分布区类型</w:t>
            </w:r>
          </w:p>
        </w:tc>
        <w:tc>
          <w:tcPr>
            <w:tcW w:w="686" w:type="pct"/>
            <w:vAlign w:val="center"/>
          </w:tcPr>
          <w:p w14:paraId="3E378AA1" w14:textId="77777777" w:rsidR="007D1E74" w:rsidRDefault="00A95641">
            <w:pPr>
              <w:jc w:val="center"/>
              <w:rPr>
                <w:szCs w:val="21"/>
              </w:rPr>
            </w:pPr>
            <w:r>
              <w:rPr>
                <w:rFonts w:hint="eastAsia"/>
                <w:szCs w:val="21"/>
              </w:rPr>
              <w:t>科数</w:t>
            </w:r>
          </w:p>
        </w:tc>
        <w:tc>
          <w:tcPr>
            <w:tcW w:w="1295" w:type="pct"/>
            <w:vAlign w:val="center"/>
          </w:tcPr>
          <w:p w14:paraId="73CE229E" w14:textId="77777777" w:rsidR="007D1E74" w:rsidRDefault="00A95641">
            <w:pPr>
              <w:jc w:val="center"/>
              <w:rPr>
                <w:szCs w:val="21"/>
              </w:rPr>
            </w:pPr>
            <w:r>
              <w:rPr>
                <w:rFonts w:hint="eastAsia"/>
                <w:szCs w:val="21"/>
              </w:rPr>
              <w:t>占总科数百分比（</w:t>
            </w:r>
            <w:r>
              <w:rPr>
                <w:rFonts w:hint="eastAsia"/>
                <w:szCs w:val="21"/>
              </w:rPr>
              <w:t>%</w:t>
            </w:r>
            <w:r>
              <w:rPr>
                <w:rFonts w:hint="eastAsia"/>
                <w:szCs w:val="21"/>
              </w:rPr>
              <w:t>）</w:t>
            </w:r>
            <w:r>
              <w:rPr>
                <w:rFonts w:hint="eastAsia"/>
                <w:szCs w:val="21"/>
              </w:rPr>
              <w:t>*</w:t>
            </w:r>
          </w:p>
        </w:tc>
        <w:tc>
          <w:tcPr>
            <w:tcW w:w="610" w:type="pct"/>
            <w:vAlign w:val="center"/>
          </w:tcPr>
          <w:p w14:paraId="46130953" w14:textId="77777777" w:rsidR="007D1E74" w:rsidRDefault="00A95641">
            <w:pPr>
              <w:jc w:val="center"/>
              <w:rPr>
                <w:szCs w:val="21"/>
              </w:rPr>
            </w:pPr>
            <w:r>
              <w:rPr>
                <w:rFonts w:hint="eastAsia"/>
                <w:szCs w:val="21"/>
              </w:rPr>
              <w:t>属数</w:t>
            </w:r>
          </w:p>
        </w:tc>
        <w:tc>
          <w:tcPr>
            <w:tcW w:w="1344" w:type="pct"/>
            <w:vAlign w:val="center"/>
          </w:tcPr>
          <w:p w14:paraId="63598DCA" w14:textId="77777777" w:rsidR="007D1E74" w:rsidRDefault="00A95641">
            <w:pPr>
              <w:jc w:val="center"/>
              <w:rPr>
                <w:szCs w:val="21"/>
              </w:rPr>
            </w:pPr>
            <w:r>
              <w:rPr>
                <w:rFonts w:hint="eastAsia"/>
                <w:szCs w:val="21"/>
              </w:rPr>
              <w:t>占总科数百分比（</w:t>
            </w:r>
            <w:r>
              <w:rPr>
                <w:rFonts w:hint="eastAsia"/>
                <w:szCs w:val="21"/>
              </w:rPr>
              <w:t>%</w:t>
            </w:r>
            <w:r>
              <w:rPr>
                <w:rFonts w:hint="eastAsia"/>
                <w:szCs w:val="21"/>
              </w:rPr>
              <w:t>）</w:t>
            </w:r>
            <w:r>
              <w:rPr>
                <w:rFonts w:hint="eastAsia"/>
                <w:szCs w:val="21"/>
              </w:rPr>
              <w:t>*</w:t>
            </w:r>
          </w:p>
        </w:tc>
      </w:tr>
      <w:tr w:rsidR="007D1E74" w14:paraId="260F52D8" w14:textId="77777777">
        <w:tc>
          <w:tcPr>
            <w:tcW w:w="1065" w:type="pct"/>
            <w:vAlign w:val="center"/>
          </w:tcPr>
          <w:p w14:paraId="36D2BA0E" w14:textId="77777777" w:rsidR="007D1E74" w:rsidRDefault="00A95641">
            <w:pPr>
              <w:jc w:val="center"/>
              <w:rPr>
                <w:szCs w:val="21"/>
              </w:rPr>
            </w:pPr>
            <w:r>
              <w:rPr>
                <w:szCs w:val="21"/>
              </w:rPr>
              <w:lastRenderedPageBreak/>
              <w:t>世界广布</w:t>
            </w:r>
          </w:p>
        </w:tc>
        <w:tc>
          <w:tcPr>
            <w:tcW w:w="686" w:type="pct"/>
            <w:vAlign w:val="center"/>
          </w:tcPr>
          <w:p w14:paraId="4D387364" w14:textId="77777777" w:rsidR="007D1E74" w:rsidRDefault="00A95641">
            <w:pPr>
              <w:jc w:val="center"/>
              <w:rPr>
                <w:szCs w:val="21"/>
              </w:rPr>
            </w:pPr>
            <w:r>
              <w:rPr>
                <w:rFonts w:hint="eastAsia"/>
                <w:szCs w:val="21"/>
              </w:rPr>
              <w:t>2</w:t>
            </w:r>
            <w:r>
              <w:rPr>
                <w:szCs w:val="21"/>
              </w:rPr>
              <w:t>8</w:t>
            </w:r>
          </w:p>
        </w:tc>
        <w:tc>
          <w:tcPr>
            <w:tcW w:w="1295" w:type="pct"/>
            <w:vAlign w:val="center"/>
          </w:tcPr>
          <w:p w14:paraId="09AFA809" w14:textId="77777777" w:rsidR="007D1E74" w:rsidRDefault="00A95641">
            <w:pPr>
              <w:jc w:val="center"/>
              <w:rPr>
                <w:szCs w:val="21"/>
              </w:rPr>
            </w:pPr>
            <w:r>
              <w:rPr>
                <w:szCs w:val="21"/>
              </w:rPr>
              <w:t>-</w:t>
            </w:r>
          </w:p>
        </w:tc>
        <w:tc>
          <w:tcPr>
            <w:tcW w:w="610" w:type="pct"/>
            <w:vAlign w:val="center"/>
          </w:tcPr>
          <w:p w14:paraId="32CE198B" w14:textId="77777777" w:rsidR="007D1E74" w:rsidRDefault="00A95641">
            <w:pPr>
              <w:jc w:val="center"/>
              <w:rPr>
                <w:szCs w:val="21"/>
              </w:rPr>
            </w:pPr>
            <w:r>
              <w:rPr>
                <w:rFonts w:hint="eastAsia"/>
                <w:szCs w:val="21"/>
              </w:rPr>
              <w:t>5</w:t>
            </w:r>
            <w:r>
              <w:rPr>
                <w:szCs w:val="21"/>
              </w:rPr>
              <w:t>2</w:t>
            </w:r>
          </w:p>
        </w:tc>
        <w:tc>
          <w:tcPr>
            <w:tcW w:w="1344" w:type="pct"/>
            <w:vAlign w:val="center"/>
          </w:tcPr>
          <w:p w14:paraId="27B6ACC9" w14:textId="77777777" w:rsidR="007D1E74" w:rsidRDefault="00A95641">
            <w:pPr>
              <w:jc w:val="center"/>
              <w:rPr>
                <w:szCs w:val="21"/>
              </w:rPr>
            </w:pPr>
            <w:r>
              <w:rPr>
                <w:szCs w:val="21"/>
              </w:rPr>
              <w:t>-</w:t>
            </w:r>
          </w:p>
        </w:tc>
      </w:tr>
      <w:tr w:rsidR="007D1E74" w14:paraId="31CA4B7A" w14:textId="77777777">
        <w:tc>
          <w:tcPr>
            <w:tcW w:w="1065" w:type="pct"/>
            <w:vAlign w:val="center"/>
          </w:tcPr>
          <w:p w14:paraId="34E9E84F" w14:textId="77777777" w:rsidR="007D1E74" w:rsidRDefault="00A95641">
            <w:pPr>
              <w:jc w:val="center"/>
              <w:rPr>
                <w:szCs w:val="21"/>
              </w:rPr>
            </w:pPr>
            <w:r>
              <w:rPr>
                <w:rFonts w:hint="eastAsia"/>
                <w:szCs w:val="21"/>
              </w:rPr>
              <w:t>热带分布</w:t>
            </w:r>
          </w:p>
        </w:tc>
        <w:tc>
          <w:tcPr>
            <w:tcW w:w="686" w:type="pct"/>
            <w:vAlign w:val="center"/>
          </w:tcPr>
          <w:p w14:paraId="0C81EF40" w14:textId="77777777" w:rsidR="007D1E74" w:rsidRDefault="00A95641">
            <w:pPr>
              <w:jc w:val="center"/>
              <w:rPr>
                <w:szCs w:val="21"/>
              </w:rPr>
            </w:pPr>
            <w:r>
              <w:rPr>
                <w:rFonts w:hint="eastAsia"/>
                <w:szCs w:val="21"/>
              </w:rPr>
              <w:t>6</w:t>
            </w:r>
            <w:r>
              <w:rPr>
                <w:szCs w:val="21"/>
              </w:rPr>
              <w:t>5</w:t>
            </w:r>
          </w:p>
        </w:tc>
        <w:tc>
          <w:tcPr>
            <w:tcW w:w="1295" w:type="pct"/>
            <w:vAlign w:val="center"/>
          </w:tcPr>
          <w:p w14:paraId="6FC427D7" w14:textId="77777777" w:rsidR="007D1E74" w:rsidRDefault="00A95641">
            <w:pPr>
              <w:jc w:val="center"/>
              <w:rPr>
                <w:szCs w:val="21"/>
              </w:rPr>
            </w:pPr>
            <w:r>
              <w:rPr>
                <w:rFonts w:hint="eastAsia"/>
                <w:szCs w:val="21"/>
              </w:rPr>
              <w:t>6</w:t>
            </w:r>
            <w:r>
              <w:rPr>
                <w:szCs w:val="21"/>
              </w:rPr>
              <w:t>3.73</w:t>
            </w:r>
          </w:p>
        </w:tc>
        <w:tc>
          <w:tcPr>
            <w:tcW w:w="610" w:type="pct"/>
            <w:vAlign w:val="center"/>
          </w:tcPr>
          <w:p w14:paraId="533948C8" w14:textId="77777777" w:rsidR="007D1E74" w:rsidRDefault="00A95641">
            <w:pPr>
              <w:jc w:val="center"/>
              <w:rPr>
                <w:szCs w:val="21"/>
              </w:rPr>
            </w:pPr>
            <w:r>
              <w:rPr>
                <w:rFonts w:hint="eastAsia"/>
                <w:szCs w:val="21"/>
              </w:rPr>
              <w:t>1</w:t>
            </w:r>
            <w:r>
              <w:rPr>
                <w:szCs w:val="21"/>
              </w:rPr>
              <w:t>66</w:t>
            </w:r>
          </w:p>
        </w:tc>
        <w:tc>
          <w:tcPr>
            <w:tcW w:w="1344" w:type="pct"/>
            <w:vAlign w:val="center"/>
          </w:tcPr>
          <w:p w14:paraId="57AA0D3A" w14:textId="77777777" w:rsidR="007D1E74" w:rsidRDefault="00A95641">
            <w:pPr>
              <w:jc w:val="center"/>
              <w:rPr>
                <w:szCs w:val="21"/>
              </w:rPr>
            </w:pPr>
            <w:r>
              <w:rPr>
                <w:rFonts w:hint="eastAsia"/>
                <w:szCs w:val="21"/>
              </w:rPr>
              <w:t>4</w:t>
            </w:r>
            <w:r>
              <w:rPr>
                <w:szCs w:val="21"/>
              </w:rPr>
              <w:t>5.11</w:t>
            </w:r>
          </w:p>
        </w:tc>
      </w:tr>
      <w:tr w:rsidR="007D1E74" w14:paraId="5144337D" w14:textId="77777777">
        <w:tc>
          <w:tcPr>
            <w:tcW w:w="1065" w:type="pct"/>
            <w:vAlign w:val="center"/>
          </w:tcPr>
          <w:p w14:paraId="38BE6641" w14:textId="77777777" w:rsidR="007D1E74" w:rsidRDefault="00A95641">
            <w:pPr>
              <w:jc w:val="center"/>
              <w:rPr>
                <w:szCs w:val="21"/>
              </w:rPr>
            </w:pPr>
            <w:r>
              <w:rPr>
                <w:rFonts w:hint="eastAsia"/>
                <w:szCs w:val="21"/>
              </w:rPr>
              <w:t>温带分布</w:t>
            </w:r>
          </w:p>
        </w:tc>
        <w:tc>
          <w:tcPr>
            <w:tcW w:w="686" w:type="pct"/>
            <w:vAlign w:val="center"/>
          </w:tcPr>
          <w:p w14:paraId="7B65AAC5" w14:textId="77777777" w:rsidR="007D1E74" w:rsidRDefault="00A95641">
            <w:pPr>
              <w:jc w:val="center"/>
              <w:rPr>
                <w:szCs w:val="21"/>
              </w:rPr>
            </w:pPr>
            <w:r>
              <w:rPr>
                <w:rFonts w:hint="eastAsia"/>
                <w:szCs w:val="21"/>
              </w:rPr>
              <w:t>3</w:t>
            </w:r>
            <w:r>
              <w:rPr>
                <w:szCs w:val="21"/>
              </w:rPr>
              <w:t>6</w:t>
            </w:r>
          </w:p>
        </w:tc>
        <w:tc>
          <w:tcPr>
            <w:tcW w:w="1295" w:type="pct"/>
            <w:vAlign w:val="center"/>
          </w:tcPr>
          <w:p w14:paraId="06553BA2" w14:textId="77777777" w:rsidR="007D1E74" w:rsidRDefault="00A95641">
            <w:pPr>
              <w:jc w:val="center"/>
              <w:rPr>
                <w:szCs w:val="21"/>
              </w:rPr>
            </w:pPr>
            <w:r>
              <w:rPr>
                <w:rFonts w:hint="eastAsia"/>
                <w:szCs w:val="21"/>
              </w:rPr>
              <w:t>3</w:t>
            </w:r>
            <w:r>
              <w:rPr>
                <w:szCs w:val="21"/>
              </w:rPr>
              <w:t>5.29</w:t>
            </w:r>
          </w:p>
        </w:tc>
        <w:tc>
          <w:tcPr>
            <w:tcW w:w="610" w:type="pct"/>
            <w:vAlign w:val="center"/>
          </w:tcPr>
          <w:p w14:paraId="0EDD7744" w14:textId="77777777" w:rsidR="007D1E74" w:rsidRDefault="00A95641">
            <w:pPr>
              <w:jc w:val="center"/>
              <w:rPr>
                <w:szCs w:val="21"/>
              </w:rPr>
            </w:pPr>
            <w:r>
              <w:rPr>
                <w:rFonts w:hint="eastAsia"/>
                <w:szCs w:val="21"/>
              </w:rPr>
              <w:t>1</w:t>
            </w:r>
            <w:r>
              <w:rPr>
                <w:szCs w:val="21"/>
              </w:rPr>
              <w:t>96</w:t>
            </w:r>
          </w:p>
        </w:tc>
        <w:tc>
          <w:tcPr>
            <w:tcW w:w="1344" w:type="pct"/>
            <w:vAlign w:val="center"/>
          </w:tcPr>
          <w:p w14:paraId="61353522" w14:textId="77777777" w:rsidR="007D1E74" w:rsidRDefault="00A95641">
            <w:pPr>
              <w:jc w:val="center"/>
              <w:rPr>
                <w:szCs w:val="21"/>
              </w:rPr>
            </w:pPr>
            <w:r>
              <w:rPr>
                <w:rFonts w:hint="eastAsia"/>
                <w:szCs w:val="21"/>
              </w:rPr>
              <w:t>5</w:t>
            </w:r>
            <w:r>
              <w:rPr>
                <w:szCs w:val="21"/>
              </w:rPr>
              <w:t>3.26</w:t>
            </w:r>
          </w:p>
        </w:tc>
      </w:tr>
      <w:tr w:rsidR="007D1E74" w14:paraId="15DBD8A7" w14:textId="77777777">
        <w:tc>
          <w:tcPr>
            <w:tcW w:w="1065" w:type="pct"/>
            <w:vAlign w:val="center"/>
          </w:tcPr>
          <w:p w14:paraId="40782FF5" w14:textId="77777777" w:rsidR="007D1E74" w:rsidRDefault="00A95641">
            <w:pPr>
              <w:jc w:val="center"/>
              <w:rPr>
                <w:szCs w:val="21"/>
              </w:rPr>
            </w:pPr>
            <w:r>
              <w:rPr>
                <w:rFonts w:hint="eastAsia"/>
                <w:szCs w:val="21"/>
              </w:rPr>
              <w:t>中国特有分布</w:t>
            </w:r>
          </w:p>
        </w:tc>
        <w:tc>
          <w:tcPr>
            <w:tcW w:w="686" w:type="pct"/>
            <w:vAlign w:val="center"/>
          </w:tcPr>
          <w:p w14:paraId="5DD492E8" w14:textId="77777777" w:rsidR="007D1E74" w:rsidRDefault="00A95641">
            <w:pPr>
              <w:jc w:val="center"/>
              <w:rPr>
                <w:szCs w:val="21"/>
              </w:rPr>
            </w:pPr>
            <w:r>
              <w:rPr>
                <w:rFonts w:hint="eastAsia"/>
                <w:szCs w:val="21"/>
              </w:rPr>
              <w:t>1</w:t>
            </w:r>
          </w:p>
        </w:tc>
        <w:tc>
          <w:tcPr>
            <w:tcW w:w="1295" w:type="pct"/>
            <w:vAlign w:val="center"/>
          </w:tcPr>
          <w:p w14:paraId="3F14C45E" w14:textId="77777777" w:rsidR="007D1E74" w:rsidRDefault="00A95641">
            <w:pPr>
              <w:jc w:val="center"/>
              <w:rPr>
                <w:szCs w:val="21"/>
              </w:rPr>
            </w:pPr>
            <w:r>
              <w:rPr>
                <w:rFonts w:hint="eastAsia"/>
                <w:szCs w:val="21"/>
              </w:rPr>
              <w:t>0</w:t>
            </w:r>
            <w:r>
              <w:rPr>
                <w:szCs w:val="21"/>
              </w:rPr>
              <w:t>.98</w:t>
            </w:r>
          </w:p>
        </w:tc>
        <w:tc>
          <w:tcPr>
            <w:tcW w:w="610" w:type="pct"/>
            <w:vAlign w:val="center"/>
          </w:tcPr>
          <w:p w14:paraId="1ABE2E2E" w14:textId="77777777" w:rsidR="007D1E74" w:rsidRDefault="00A95641">
            <w:pPr>
              <w:jc w:val="center"/>
              <w:rPr>
                <w:szCs w:val="21"/>
              </w:rPr>
            </w:pPr>
            <w:r>
              <w:rPr>
                <w:rFonts w:hint="eastAsia"/>
                <w:szCs w:val="21"/>
              </w:rPr>
              <w:t>6</w:t>
            </w:r>
          </w:p>
        </w:tc>
        <w:tc>
          <w:tcPr>
            <w:tcW w:w="1344" w:type="pct"/>
            <w:vAlign w:val="center"/>
          </w:tcPr>
          <w:p w14:paraId="0CFE60FF" w14:textId="77777777" w:rsidR="007D1E74" w:rsidRDefault="00A95641">
            <w:pPr>
              <w:jc w:val="center"/>
              <w:rPr>
                <w:szCs w:val="21"/>
              </w:rPr>
            </w:pPr>
            <w:r>
              <w:rPr>
                <w:rFonts w:hint="eastAsia"/>
                <w:szCs w:val="21"/>
              </w:rPr>
              <w:t>1</w:t>
            </w:r>
            <w:r>
              <w:rPr>
                <w:szCs w:val="21"/>
              </w:rPr>
              <w:t>.63</w:t>
            </w:r>
          </w:p>
        </w:tc>
      </w:tr>
      <w:tr w:rsidR="007D1E74" w14:paraId="454ED2FD" w14:textId="77777777">
        <w:tc>
          <w:tcPr>
            <w:tcW w:w="1065" w:type="pct"/>
            <w:vAlign w:val="center"/>
          </w:tcPr>
          <w:p w14:paraId="2E13331F" w14:textId="77777777" w:rsidR="007D1E74" w:rsidRDefault="00A95641">
            <w:pPr>
              <w:jc w:val="center"/>
              <w:rPr>
                <w:szCs w:val="21"/>
              </w:rPr>
            </w:pPr>
            <w:r>
              <w:rPr>
                <w:rFonts w:hint="eastAsia"/>
                <w:szCs w:val="21"/>
              </w:rPr>
              <w:t>共计</w:t>
            </w:r>
            <w:r>
              <w:rPr>
                <w:rFonts w:hint="eastAsia"/>
                <w:szCs w:val="21"/>
              </w:rPr>
              <w:t>*</w:t>
            </w:r>
          </w:p>
        </w:tc>
        <w:tc>
          <w:tcPr>
            <w:tcW w:w="686" w:type="pct"/>
            <w:vAlign w:val="center"/>
          </w:tcPr>
          <w:p w14:paraId="319CE56F" w14:textId="77777777" w:rsidR="007D1E74" w:rsidRDefault="00A95641">
            <w:pPr>
              <w:jc w:val="center"/>
              <w:rPr>
                <w:szCs w:val="21"/>
              </w:rPr>
            </w:pPr>
            <w:r>
              <w:rPr>
                <w:rFonts w:hint="eastAsia"/>
                <w:szCs w:val="21"/>
              </w:rPr>
              <w:t>1</w:t>
            </w:r>
            <w:r>
              <w:rPr>
                <w:szCs w:val="21"/>
              </w:rPr>
              <w:t>02</w:t>
            </w:r>
          </w:p>
        </w:tc>
        <w:tc>
          <w:tcPr>
            <w:tcW w:w="1295" w:type="pct"/>
            <w:vAlign w:val="center"/>
          </w:tcPr>
          <w:p w14:paraId="6B1A9D80" w14:textId="77777777" w:rsidR="007D1E74" w:rsidRDefault="00A95641">
            <w:pPr>
              <w:jc w:val="center"/>
              <w:rPr>
                <w:szCs w:val="21"/>
              </w:rPr>
            </w:pPr>
            <w:r>
              <w:rPr>
                <w:rFonts w:hint="eastAsia"/>
                <w:szCs w:val="21"/>
              </w:rPr>
              <w:t>1</w:t>
            </w:r>
            <w:r>
              <w:rPr>
                <w:szCs w:val="21"/>
              </w:rPr>
              <w:t>00.00</w:t>
            </w:r>
          </w:p>
        </w:tc>
        <w:tc>
          <w:tcPr>
            <w:tcW w:w="610" w:type="pct"/>
            <w:vAlign w:val="center"/>
          </w:tcPr>
          <w:p w14:paraId="771930F5" w14:textId="77777777" w:rsidR="007D1E74" w:rsidRDefault="00A95641">
            <w:pPr>
              <w:jc w:val="center"/>
              <w:rPr>
                <w:szCs w:val="21"/>
              </w:rPr>
            </w:pPr>
            <w:r>
              <w:rPr>
                <w:rFonts w:hint="eastAsia"/>
                <w:szCs w:val="21"/>
              </w:rPr>
              <w:t>3</w:t>
            </w:r>
            <w:r>
              <w:rPr>
                <w:szCs w:val="21"/>
              </w:rPr>
              <w:t>68</w:t>
            </w:r>
          </w:p>
        </w:tc>
        <w:tc>
          <w:tcPr>
            <w:tcW w:w="1344" w:type="pct"/>
            <w:vAlign w:val="center"/>
          </w:tcPr>
          <w:p w14:paraId="1C7811C7" w14:textId="77777777" w:rsidR="007D1E74" w:rsidRDefault="00A95641">
            <w:pPr>
              <w:jc w:val="center"/>
              <w:rPr>
                <w:szCs w:val="21"/>
              </w:rPr>
            </w:pPr>
            <w:r>
              <w:rPr>
                <w:rFonts w:hint="eastAsia"/>
                <w:szCs w:val="21"/>
              </w:rPr>
              <w:t>1</w:t>
            </w:r>
            <w:r>
              <w:rPr>
                <w:szCs w:val="21"/>
              </w:rPr>
              <w:t>00.00</w:t>
            </w:r>
          </w:p>
        </w:tc>
      </w:tr>
      <w:tr w:rsidR="007D1E74" w14:paraId="4EDB3789" w14:textId="77777777">
        <w:tc>
          <w:tcPr>
            <w:tcW w:w="5000" w:type="pct"/>
            <w:gridSpan w:val="5"/>
            <w:vAlign w:val="center"/>
          </w:tcPr>
          <w:p w14:paraId="7C0109A0" w14:textId="77777777" w:rsidR="007D1E74" w:rsidRDefault="00A95641">
            <w:pPr>
              <w:rPr>
                <w:szCs w:val="21"/>
              </w:rPr>
            </w:pPr>
            <w:r>
              <w:rPr>
                <w:rFonts w:hint="eastAsia"/>
                <w:szCs w:val="21"/>
              </w:rPr>
              <w:t>注：“</w:t>
            </w:r>
            <w:r>
              <w:rPr>
                <w:rFonts w:hint="eastAsia"/>
                <w:szCs w:val="21"/>
              </w:rPr>
              <w:t>*</w:t>
            </w:r>
            <w:r>
              <w:rPr>
                <w:rFonts w:hint="eastAsia"/>
                <w:szCs w:val="21"/>
              </w:rPr>
              <w:t>”为不包括世界广布类型。</w:t>
            </w:r>
          </w:p>
        </w:tc>
      </w:tr>
    </w:tbl>
    <w:p w14:paraId="4AEE58B6" w14:textId="77777777" w:rsidR="007D1E74" w:rsidRDefault="00A95641">
      <w:pPr>
        <w:spacing w:line="360" w:lineRule="auto"/>
        <w:ind w:firstLineChars="200" w:firstLine="480"/>
        <w:rPr>
          <w:sz w:val="24"/>
          <w:szCs w:val="24"/>
        </w:rPr>
      </w:pPr>
      <w:r>
        <w:rPr>
          <w:rFonts w:hint="eastAsia"/>
          <w:sz w:val="24"/>
          <w:szCs w:val="24"/>
        </w:rPr>
        <w:t>从上表可见，评价区内种子植物科的分布类型中，热带分布数量明显多于温带分布；而属的分布类型中，热带分布和温带分布数量相近，表明本评价区种子植物区系性质为以热带分布向温带分布过渡的亚热带区系特征。</w:t>
      </w:r>
    </w:p>
    <w:p w14:paraId="34CE2512" w14:textId="77777777" w:rsidR="007D1E74" w:rsidRDefault="00A95641">
      <w:pPr>
        <w:spacing w:line="360" w:lineRule="auto"/>
        <w:ind w:firstLineChars="200" w:firstLine="482"/>
        <w:rPr>
          <w:b/>
          <w:sz w:val="24"/>
          <w:szCs w:val="24"/>
        </w:rPr>
      </w:pPr>
      <w:r>
        <w:rPr>
          <w:rFonts w:hint="eastAsia"/>
          <w:b/>
          <w:sz w:val="24"/>
          <w:szCs w:val="24"/>
        </w:rPr>
        <w:t>（</w:t>
      </w:r>
      <w:r>
        <w:rPr>
          <w:b/>
          <w:sz w:val="24"/>
          <w:szCs w:val="24"/>
        </w:rPr>
        <w:t>4</w:t>
      </w:r>
      <w:r>
        <w:rPr>
          <w:rFonts w:hint="eastAsia"/>
          <w:b/>
          <w:sz w:val="24"/>
          <w:szCs w:val="24"/>
        </w:rPr>
        <w:t>）评价区植物区系特征</w:t>
      </w:r>
    </w:p>
    <w:p w14:paraId="6370ED0B" w14:textId="77777777" w:rsidR="007D1E74" w:rsidRDefault="00A95641">
      <w:pPr>
        <w:spacing w:line="360" w:lineRule="auto"/>
        <w:ind w:firstLineChars="200" w:firstLine="480"/>
        <w:rPr>
          <w:sz w:val="24"/>
          <w:szCs w:val="24"/>
        </w:rPr>
      </w:pPr>
      <w:r>
        <w:rPr>
          <w:rFonts w:hint="eastAsia"/>
          <w:sz w:val="24"/>
          <w:szCs w:val="24"/>
        </w:rPr>
        <w:t>①单种科、少种科在科数和所含物种数上占较大优势；多种科有</w:t>
      </w:r>
      <w:r>
        <w:rPr>
          <w:rFonts w:hint="eastAsia"/>
          <w:sz w:val="24"/>
          <w:szCs w:val="24"/>
        </w:rPr>
        <w:t>15</w:t>
      </w:r>
      <w:r>
        <w:rPr>
          <w:rFonts w:hint="eastAsia"/>
          <w:sz w:val="24"/>
          <w:szCs w:val="24"/>
        </w:rPr>
        <w:t>科，平均每科含物种数较多。表明该区植物区系成分分化比较明显，其类群相对较多。</w:t>
      </w:r>
    </w:p>
    <w:p w14:paraId="7E42A01A" w14:textId="77777777" w:rsidR="007D1E74" w:rsidRDefault="00A95641">
      <w:pPr>
        <w:spacing w:line="360" w:lineRule="auto"/>
        <w:ind w:firstLineChars="200" w:firstLine="480"/>
        <w:rPr>
          <w:sz w:val="24"/>
          <w:szCs w:val="24"/>
        </w:rPr>
      </w:pPr>
      <w:r>
        <w:rPr>
          <w:rFonts w:hint="eastAsia"/>
          <w:sz w:val="24"/>
          <w:szCs w:val="24"/>
        </w:rPr>
        <w:t>②评价区种子植物热带分布和温带分布属数相近表明评价区种子植物区系与热带和温带植物都有较为紧密联系。</w:t>
      </w:r>
    </w:p>
    <w:p w14:paraId="5D04EEDE" w14:textId="77777777" w:rsidR="007D1E74" w:rsidRDefault="00A95641">
      <w:pPr>
        <w:spacing w:line="360" w:lineRule="auto"/>
        <w:ind w:firstLineChars="200" w:firstLine="480"/>
        <w:rPr>
          <w:sz w:val="24"/>
          <w:szCs w:val="24"/>
        </w:rPr>
      </w:pPr>
      <w:r>
        <w:rPr>
          <w:rFonts w:hint="eastAsia"/>
          <w:sz w:val="24"/>
          <w:szCs w:val="24"/>
        </w:rPr>
        <w:t>③从区系特征上看，温带成分的属数与热带成分相近，说明该评价区植物区系性质为明显的亚热带性质，与评价区位于北亚热带常绿阔叶林植被区交汇地带的性质基本喙合。</w:t>
      </w:r>
    </w:p>
    <w:p w14:paraId="214CAA5E" w14:textId="77777777" w:rsidR="007D1E74" w:rsidRDefault="00A95641">
      <w:pPr>
        <w:spacing w:line="360" w:lineRule="auto"/>
        <w:ind w:firstLineChars="200" w:firstLine="482"/>
        <w:rPr>
          <w:b/>
          <w:sz w:val="24"/>
          <w:szCs w:val="24"/>
        </w:rPr>
      </w:pPr>
      <w:r>
        <w:rPr>
          <w:rFonts w:hint="eastAsia"/>
          <w:b/>
          <w:sz w:val="24"/>
          <w:szCs w:val="24"/>
        </w:rPr>
        <w:t>（</w:t>
      </w:r>
      <w:r>
        <w:rPr>
          <w:b/>
          <w:sz w:val="24"/>
          <w:szCs w:val="24"/>
        </w:rPr>
        <w:t>5</w:t>
      </w:r>
      <w:r>
        <w:rPr>
          <w:rFonts w:hint="eastAsia"/>
          <w:b/>
          <w:sz w:val="24"/>
          <w:szCs w:val="24"/>
        </w:rPr>
        <w:t>）国家和四川省重点保护野生植物的种类及分布</w:t>
      </w:r>
    </w:p>
    <w:p w14:paraId="1530AB52" w14:textId="77777777" w:rsidR="007D1E74" w:rsidRDefault="00A95641">
      <w:pPr>
        <w:spacing w:line="360" w:lineRule="auto"/>
        <w:ind w:firstLineChars="200" w:firstLine="480"/>
        <w:rPr>
          <w:rFonts w:cs="Times New Roman"/>
          <w:sz w:val="24"/>
          <w:szCs w:val="24"/>
        </w:rPr>
      </w:pPr>
      <w:r>
        <w:rPr>
          <w:rFonts w:cs="Times New Roman"/>
          <w:sz w:val="24"/>
          <w:szCs w:val="24"/>
        </w:rPr>
        <w:t>依据</w:t>
      </w:r>
      <w:r>
        <w:rPr>
          <w:rFonts w:cs="Times New Roman"/>
          <w:sz w:val="24"/>
          <w:szCs w:val="24"/>
        </w:rPr>
        <w:t>2021</w:t>
      </w:r>
      <w:r>
        <w:rPr>
          <w:rFonts w:cs="Times New Roman"/>
          <w:sz w:val="24"/>
          <w:szCs w:val="24"/>
        </w:rPr>
        <w:t>年</w:t>
      </w:r>
      <w:r>
        <w:rPr>
          <w:rFonts w:cs="Times New Roman"/>
          <w:sz w:val="24"/>
          <w:szCs w:val="24"/>
        </w:rPr>
        <w:t>9</w:t>
      </w:r>
      <w:r>
        <w:rPr>
          <w:rFonts w:cs="Times New Roman"/>
          <w:sz w:val="24"/>
          <w:szCs w:val="24"/>
        </w:rPr>
        <w:t>月颁布的《国家重点保护野生植物名录》和</w:t>
      </w:r>
      <w:r>
        <w:rPr>
          <w:rFonts w:cs="Times New Roman"/>
          <w:sz w:val="24"/>
          <w:szCs w:val="24"/>
        </w:rPr>
        <w:t>2016</w:t>
      </w:r>
      <w:r>
        <w:rPr>
          <w:rFonts w:cs="Times New Roman"/>
          <w:sz w:val="24"/>
          <w:szCs w:val="24"/>
        </w:rPr>
        <w:t>年</w:t>
      </w:r>
      <w:r>
        <w:rPr>
          <w:rFonts w:cs="Times New Roman"/>
          <w:sz w:val="24"/>
          <w:szCs w:val="24"/>
        </w:rPr>
        <w:t>2</w:t>
      </w:r>
      <w:r>
        <w:rPr>
          <w:rFonts w:cs="Times New Roman"/>
          <w:sz w:val="24"/>
          <w:szCs w:val="24"/>
        </w:rPr>
        <w:t>月颁布的《四川省保护野生植物名录》，调查评价区有国家二级重点保护野生植物</w:t>
      </w:r>
      <w:r>
        <w:rPr>
          <w:rFonts w:cs="Times New Roman"/>
          <w:sz w:val="24"/>
          <w:szCs w:val="24"/>
        </w:rPr>
        <w:t>——</w:t>
      </w:r>
      <w:r>
        <w:rPr>
          <w:rFonts w:cs="Times New Roman"/>
          <w:sz w:val="24"/>
          <w:szCs w:val="24"/>
        </w:rPr>
        <w:t>春兰</w:t>
      </w:r>
      <w:r>
        <w:rPr>
          <w:rFonts w:cs="Times New Roman" w:hint="eastAsia"/>
          <w:sz w:val="24"/>
          <w:szCs w:val="24"/>
        </w:rPr>
        <w:t>（</w:t>
      </w:r>
      <w:r>
        <w:rPr>
          <w:rFonts w:cs="Times New Roman"/>
          <w:i/>
          <w:sz w:val="24"/>
          <w:szCs w:val="24"/>
        </w:rPr>
        <w:t>Cymbidium goeringii</w:t>
      </w:r>
      <w:r>
        <w:rPr>
          <w:rFonts w:cs="Times New Roman" w:hint="eastAsia"/>
          <w:sz w:val="24"/>
          <w:szCs w:val="24"/>
        </w:rPr>
        <w:t>）</w:t>
      </w:r>
      <w:r>
        <w:rPr>
          <w:rFonts w:cs="Times New Roman"/>
          <w:sz w:val="24"/>
          <w:szCs w:val="24"/>
        </w:rPr>
        <w:t>，发现地分别在青峪镇姜家坝村、张家坡村和涪阳镇灯盏窝区域（见下表）；评价区内未发现四川省保护野生植物分布。此外还</w:t>
      </w:r>
      <w:r>
        <w:rPr>
          <w:rFonts w:cs="Times New Roman" w:hint="eastAsia"/>
          <w:sz w:val="24"/>
          <w:szCs w:val="24"/>
        </w:rPr>
        <w:t>有列入上述名录的苏铁（</w:t>
      </w:r>
      <w:r>
        <w:rPr>
          <w:rFonts w:cs="Times New Roman" w:hint="eastAsia"/>
          <w:i/>
          <w:sz w:val="24"/>
          <w:szCs w:val="24"/>
        </w:rPr>
        <w:t>Cycas revolute</w:t>
      </w:r>
      <w:r>
        <w:rPr>
          <w:rFonts w:cs="Times New Roman" w:hint="eastAsia"/>
          <w:sz w:val="24"/>
          <w:szCs w:val="24"/>
        </w:rPr>
        <w:t>）、银杏（</w:t>
      </w:r>
      <w:r>
        <w:rPr>
          <w:rFonts w:cs="Times New Roman" w:hint="eastAsia"/>
          <w:i/>
          <w:sz w:val="24"/>
          <w:szCs w:val="24"/>
        </w:rPr>
        <w:t>Ginkgo biloba</w:t>
      </w:r>
      <w:r>
        <w:rPr>
          <w:rFonts w:cs="Times New Roman" w:hint="eastAsia"/>
          <w:sz w:val="24"/>
          <w:szCs w:val="24"/>
        </w:rPr>
        <w:t>）、水杉（</w:t>
      </w:r>
      <w:r>
        <w:rPr>
          <w:rFonts w:cs="Times New Roman" w:hint="eastAsia"/>
          <w:i/>
          <w:sz w:val="24"/>
          <w:szCs w:val="24"/>
        </w:rPr>
        <w:t>Metasequoia glyptostroboides</w:t>
      </w:r>
      <w:r>
        <w:rPr>
          <w:rFonts w:cs="Times New Roman" w:hint="eastAsia"/>
          <w:sz w:val="24"/>
          <w:szCs w:val="24"/>
        </w:rPr>
        <w:t>）等，这些植物在评价区内均为栽培树种，为经济树木和园林观赏树木及行道树，农宅、寺庙、道路附近均有栽培，不属于保护野生植物范畴。</w:t>
      </w:r>
    </w:p>
    <w:p w14:paraId="07293419" w14:textId="77777777" w:rsidR="007D1E74" w:rsidRDefault="00A95641">
      <w:pPr>
        <w:pStyle w:val="afffffe"/>
        <w:numPr>
          <w:ilvl w:val="0"/>
          <w:numId w:val="43"/>
        </w:numPr>
        <w:spacing w:line="360" w:lineRule="auto"/>
        <w:ind w:firstLineChars="0"/>
        <w:jc w:val="center"/>
        <w:rPr>
          <w:rFonts w:eastAsia="黑体" w:cs="Times New Roman"/>
          <w:szCs w:val="21"/>
        </w:rPr>
      </w:pPr>
      <w:r>
        <w:rPr>
          <w:rFonts w:eastAsia="黑体" w:cs="Times New Roman" w:hint="eastAsia"/>
          <w:szCs w:val="21"/>
        </w:rPr>
        <w:t>评价区内国家重点保护野生植物名录</w:t>
      </w:r>
    </w:p>
    <w:tbl>
      <w:tblPr>
        <w:tblStyle w:val="affffc"/>
        <w:tblW w:w="5000" w:type="pct"/>
        <w:tblLook w:val="04A0" w:firstRow="1" w:lastRow="0" w:firstColumn="1" w:lastColumn="0" w:noHBand="0" w:noVBand="1"/>
      </w:tblPr>
      <w:tblGrid>
        <w:gridCol w:w="1502"/>
        <w:gridCol w:w="1242"/>
        <w:gridCol w:w="1468"/>
        <w:gridCol w:w="1464"/>
        <w:gridCol w:w="1466"/>
        <w:gridCol w:w="1874"/>
      </w:tblGrid>
      <w:tr w:rsidR="007D1E74" w14:paraId="63814887" w14:textId="77777777">
        <w:tc>
          <w:tcPr>
            <w:tcW w:w="833" w:type="pct"/>
            <w:vAlign w:val="center"/>
          </w:tcPr>
          <w:p w14:paraId="52C04540" w14:textId="77777777" w:rsidR="007D1E74" w:rsidRDefault="00A95641">
            <w:pPr>
              <w:jc w:val="center"/>
              <w:rPr>
                <w:rFonts w:cs="Times New Roman"/>
                <w:szCs w:val="21"/>
              </w:rPr>
            </w:pPr>
            <w:r>
              <w:rPr>
                <w:rFonts w:cs="Times New Roman"/>
                <w:szCs w:val="21"/>
              </w:rPr>
              <w:t>保护植物名称</w:t>
            </w:r>
          </w:p>
        </w:tc>
        <w:tc>
          <w:tcPr>
            <w:tcW w:w="689" w:type="pct"/>
            <w:vAlign w:val="center"/>
          </w:tcPr>
          <w:p w14:paraId="352D7B7F" w14:textId="77777777" w:rsidR="007D1E74" w:rsidRDefault="00A95641">
            <w:pPr>
              <w:jc w:val="center"/>
              <w:rPr>
                <w:rFonts w:cs="Times New Roman"/>
                <w:szCs w:val="21"/>
              </w:rPr>
            </w:pPr>
            <w:r>
              <w:rPr>
                <w:rFonts w:cs="Times New Roman"/>
                <w:szCs w:val="21"/>
              </w:rPr>
              <w:t>保护级别</w:t>
            </w:r>
          </w:p>
        </w:tc>
        <w:tc>
          <w:tcPr>
            <w:tcW w:w="814" w:type="pct"/>
            <w:vAlign w:val="center"/>
          </w:tcPr>
          <w:p w14:paraId="2CE78969" w14:textId="77777777" w:rsidR="007D1E74" w:rsidRDefault="00A95641">
            <w:pPr>
              <w:jc w:val="center"/>
              <w:rPr>
                <w:rFonts w:cs="Times New Roman"/>
                <w:szCs w:val="21"/>
              </w:rPr>
            </w:pPr>
            <w:r>
              <w:rPr>
                <w:rFonts w:cs="Times New Roman"/>
                <w:szCs w:val="21"/>
              </w:rPr>
              <w:t>海拔（</w:t>
            </w:r>
            <w:r>
              <w:rPr>
                <w:rFonts w:cs="Times New Roman"/>
                <w:szCs w:val="21"/>
              </w:rPr>
              <w:t>m</w:t>
            </w:r>
            <w:r>
              <w:rPr>
                <w:rFonts w:cs="Times New Roman"/>
                <w:szCs w:val="21"/>
              </w:rPr>
              <w:t>）</w:t>
            </w:r>
          </w:p>
        </w:tc>
        <w:tc>
          <w:tcPr>
            <w:tcW w:w="812" w:type="pct"/>
            <w:vAlign w:val="center"/>
          </w:tcPr>
          <w:p w14:paraId="498F458E" w14:textId="77777777" w:rsidR="007D1E74" w:rsidRDefault="00A95641">
            <w:pPr>
              <w:jc w:val="center"/>
              <w:rPr>
                <w:rFonts w:cs="Times New Roman"/>
                <w:szCs w:val="21"/>
              </w:rPr>
            </w:pPr>
            <w:r>
              <w:rPr>
                <w:rFonts w:cs="Times New Roman"/>
                <w:szCs w:val="21"/>
              </w:rPr>
              <w:t>北纬（</w:t>
            </w:r>
            <w:r>
              <w:rPr>
                <w:rFonts w:cs="Times New Roman"/>
                <w:szCs w:val="21"/>
              </w:rPr>
              <w:t>°</w:t>
            </w:r>
            <w:r>
              <w:rPr>
                <w:rFonts w:cs="Times New Roman"/>
                <w:szCs w:val="21"/>
              </w:rPr>
              <w:t>）</w:t>
            </w:r>
          </w:p>
        </w:tc>
        <w:tc>
          <w:tcPr>
            <w:tcW w:w="813" w:type="pct"/>
            <w:vAlign w:val="center"/>
          </w:tcPr>
          <w:p w14:paraId="186C2C35" w14:textId="77777777" w:rsidR="007D1E74" w:rsidRDefault="00A95641">
            <w:pPr>
              <w:jc w:val="center"/>
              <w:rPr>
                <w:rFonts w:cs="Times New Roman"/>
                <w:szCs w:val="21"/>
              </w:rPr>
            </w:pPr>
            <w:r>
              <w:rPr>
                <w:rFonts w:cs="Times New Roman"/>
                <w:szCs w:val="21"/>
              </w:rPr>
              <w:t>东经（</w:t>
            </w:r>
            <w:r>
              <w:rPr>
                <w:rFonts w:cs="Times New Roman"/>
                <w:szCs w:val="21"/>
              </w:rPr>
              <w:t>°</w:t>
            </w:r>
            <w:r>
              <w:rPr>
                <w:rFonts w:cs="Times New Roman"/>
                <w:szCs w:val="21"/>
              </w:rPr>
              <w:t>）</w:t>
            </w:r>
          </w:p>
        </w:tc>
        <w:tc>
          <w:tcPr>
            <w:tcW w:w="1039" w:type="pct"/>
          </w:tcPr>
          <w:p w14:paraId="08E8BC02" w14:textId="77777777" w:rsidR="007D1E74" w:rsidRDefault="00A95641">
            <w:pPr>
              <w:jc w:val="center"/>
              <w:rPr>
                <w:rFonts w:cs="Times New Roman"/>
                <w:szCs w:val="21"/>
              </w:rPr>
            </w:pPr>
            <w:r>
              <w:rPr>
                <w:rFonts w:cs="Times New Roman"/>
                <w:szCs w:val="21"/>
              </w:rPr>
              <w:t>距离项目区（</w:t>
            </w:r>
            <w:r>
              <w:rPr>
                <w:rFonts w:cs="Times New Roman"/>
                <w:szCs w:val="21"/>
              </w:rPr>
              <w:t>m</w:t>
            </w:r>
            <w:r>
              <w:rPr>
                <w:rFonts w:cs="Times New Roman"/>
                <w:szCs w:val="21"/>
              </w:rPr>
              <w:t>）</w:t>
            </w:r>
          </w:p>
        </w:tc>
      </w:tr>
      <w:tr w:rsidR="007D1E74" w14:paraId="3AF39509" w14:textId="77777777">
        <w:tc>
          <w:tcPr>
            <w:tcW w:w="833" w:type="pct"/>
            <w:vMerge w:val="restart"/>
            <w:vAlign w:val="center"/>
          </w:tcPr>
          <w:p w14:paraId="71C85EE6" w14:textId="77777777" w:rsidR="007D1E74" w:rsidRDefault="00A95641">
            <w:pPr>
              <w:jc w:val="center"/>
              <w:rPr>
                <w:rFonts w:cs="Times New Roman"/>
                <w:i/>
                <w:szCs w:val="21"/>
              </w:rPr>
            </w:pPr>
            <w:r>
              <w:rPr>
                <w:rFonts w:cs="Times New Roman" w:hint="eastAsia"/>
                <w:szCs w:val="21"/>
              </w:rPr>
              <w:t>春兰</w:t>
            </w:r>
            <w:r>
              <w:rPr>
                <w:rFonts w:cs="Times New Roman" w:hint="eastAsia"/>
                <w:i/>
                <w:szCs w:val="21"/>
              </w:rPr>
              <w:t>Cymbidium</w:t>
            </w:r>
          </w:p>
          <w:p w14:paraId="2EED8110" w14:textId="77777777" w:rsidR="007D1E74" w:rsidRDefault="00A95641">
            <w:pPr>
              <w:jc w:val="center"/>
              <w:rPr>
                <w:rFonts w:cs="Times New Roman"/>
                <w:szCs w:val="21"/>
              </w:rPr>
            </w:pPr>
            <w:r>
              <w:rPr>
                <w:rFonts w:cs="Times New Roman"/>
                <w:i/>
                <w:szCs w:val="21"/>
              </w:rPr>
              <w:t>goeringii</w:t>
            </w:r>
          </w:p>
        </w:tc>
        <w:tc>
          <w:tcPr>
            <w:tcW w:w="689" w:type="pct"/>
            <w:vMerge w:val="restart"/>
            <w:vAlign w:val="center"/>
          </w:tcPr>
          <w:p w14:paraId="687CFEAE" w14:textId="77777777" w:rsidR="007D1E74" w:rsidRDefault="00A95641">
            <w:pPr>
              <w:jc w:val="center"/>
              <w:rPr>
                <w:rFonts w:cs="Times New Roman"/>
                <w:szCs w:val="21"/>
              </w:rPr>
            </w:pPr>
            <w:r>
              <w:rPr>
                <w:rFonts w:cs="Times New Roman" w:hint="eastAsia"/>
                <w:szCs w:val="21"/>
              </w:rPr>
              <w:t>国家二级</w:t>
            </w:r>
          </w:p>
        </w:tc>
        <w:tc>
          <w:tcPr>
            <w:tcW w:w="814" w:type="pct"/>
            <w:vAlign w:val="center"/>
          </w:tcPr>
          <w:p w14:paraId="1E433813" w14:textId="77777777" w:rsidR="007D1E74" w:rsidRDefault="00A95641">
            <w:pPr>
              <w:jc w:val="center"/>
              <w:rPr>
                <w:rFonts w:cs="Times New Roman"/>
                <w:szCs w:val="21"/>
              </w:rPr>
            </w:pPr>
            <w:r>
              <w:rPr>
                <w:rFonts w:cs="Times New Roman" w:hint="eastAsia"/>
                <w:szCs w:val="21"/>
              </w:rPr>
              <w:t>7</w:t>
            </w:r>
            <w:r>
              <w:rPr>
                <w:rFonts w:cs="Times New Roman"/>
                <w:szCs w:val="21"/>
              </w:rPr>
              <w:t>83</w:t>
            </w:r>
          </w:p>
        </w:tc>
        <w:tc>
          <w:tcPr>
            <w:tcW w:w="812" w:type="pct"/>
            <w:vAlign w:val="center"/>
          </w:tcPr>
          <w:p w14:paraId="13CAE2BC" w14:textId="77777777" w:rsidR="007D1E74" w:rsidRDefault="00A95641">
            <w:pPr>
              <w:jc w:val="center"/>
              <w:rPr>
                <w:rFonts w:cs="Times New Roman"/>
                <w:szCs w:val="21"/>
              </w:rPr>
            </w:pPr>
            <w:r>
              <w:rPr>
                <w:rFonts w:cs="Times New Roman" w:hint="eastAsia"/>
                <w:szCs w:val="21"/>
              </w:rPr>
              <w:t>3</w:t>
            </w:r>
            <w:r>
              <w:rPr>
                <w:rFonts w:cs="Times New Roman"/>
                <w:szCs w:val="21"/>
              </w:rPr>
              <w:t>2.226286</w:t>
            </w:r>
          </w:p>
        </w:tc>
        <w:tc>
          <w:tcPr>
            <w:tcW w:w="813" w:type="pct"/>
            <w:vAlign w:val="center"/>
          </w:tcPr>
          <w:p w14:paraId="6968F1C1" w14:textId="77777777" w:rsidR="007D1E74" w:rsidRDefault="00A95641">
            <w:pPr>
              <w:jc w:val="center"/>
              <w:rPr>
                <w:rFonts w:cs="Times New Roman"/>
                <w:szCs w:val="21"/>
              </w:rPr>
            </w:pPr>
            <w:r>
              <w:rPr>
                <w:rFonts w:cs="Times New Roman" w:hint="eastAsia"/>
                <w:szCs w:val="21"/>
              </w:rPr>
              <w:t>1</w:t>
            </w:r>
            <w:r>
              <w:rPr>
                <w:rFonts w:cs="Times New Roman"/>
                <w:szCs w:val="21"/>
              </w:rPr>
              <w:t>07.241263</w:t>
            </w:r>
          </w:p>
        </w:tc>
        <w:tc>
          <w:tcPr>
            <w:tcW w:w="1039" w:type="pct"/>
          </w:tcPr>
          <w:p w14:paraId="7A0F6070" w14:textId="77777777" w:rsidR="007D1E74" w:rsidRDefault="00A95641">
            <w:pPr>
              <w:jc w:val="center"/>
              <w:rPr>
                <w:rFonts w:cs="Times New Roman"/>
                <w:szCs w:val="21"/>
              </w:rPr>
            </w:pPr>
            <w:r>
              <w:rPr>
                <w:rFonts w:cs="Times New Roman"/>
                <w:szCs w:val="21"/>
              </w:rPr>
              <w:t>东</w:t>
            </w:r>
            <w:r>
              <w:rPr>
                <w:rFonts w:cs="Times New Roman" w:hint="eastAsia"/>
                <w:szCs w:val="21"/>
              </w:rPr>
              <w:t>4</w:t>
            </w:r>
            <w:r>
              <w:rPr>
                <w:rFonts w:cs="Times New Roman"/>
                <w:szCs w:val="21"/>
              </w:rPr>
              <w:t>70</w:t>
            </w:r>
          </w:p>
        </w:tc>
      </w:tr>
      <w:tr w:rsidR="007D1E74" w14:paraId="19FAE3CC" w14:textId="77777777">
        <w:tc>
          <w:tcPr>
            <w:tcW w:w="833" w:type="pct"/>
            <w:vMerge/>
            <w:vAlign w:val="center"/>
          </w:tcPr>
          <w:p w14:paraId="2DA946EC" w14:textId="77777777" w:rsidR="007D1E74" w:rsidRDefault="007D1E74">
            <w:pPr>
              <w:jc w:val="center"/>
              <w:rPr>
                <w:rFonts w:cs="Times New Roman"/>
                <w:szCs w:val="21"/>
              </w:rPr>
            </w:pPr>
          </w:p>
        </w:tc>
        <w:tc>
          <w:tcPr>
            <w:tcW w:w="689" w:type="pct"/>
            <w:vMerge/>
            <w:vAlign w:val="center"/>
          </w:tcPr>
          <w:p w14:paraId="52129E9B" w14:textId="77777777" w:rsidR="007D1E74" w:rsidRDefault="007D1E74">
            <w:pPr>
              <w:jc w:val="center"/>
              <w:rPr>
                <w:rFonts w:cs="Times New Roman"/>
                <w:szCs w:val="21"/>
              </w:rPr>
            </w:pPr>
          </w:p>
        </w:tc>
        <w:tc>
          <w:tcPr>
            <w:tcW w:w="814" w:type="pct"/>
            <w:vAlign w:val="center"/>
          </w:tcPr>
          <w:p w14:paraId="2F5B761A" w14:textId="77777777" w:rsidR="007D1E74" w:rsidRDefault="00A95641">
            <w:pPr>
              <w:jc w:val="center"/>
              <w:rPr>
                <w:rFonts w:cs="Times New Roman"/>
                <w:szCs w:val="21"/>
              </w:rPr>
            </w:pPr>
            <w:r>
              <w:rPr>
                <w:rFonts w:cs="Times New Roman" w:hint="eastAsia"/>
                <w:szCs w:val="21"/>
              </w:rPr>
              <w:t>6</w:t>
            </w:r>
            <w:r>
              <w:rPr>
                <w:rFonts w:cs="Times New Roman"/>
                <w:szCs w:val="21"/>
              </w:rPr>
              <w:t>60</w:t>
            </w:r>
          </w:p>
        </w:tc>
        <w:tc>
          <w:tcPr>
            <w:tcW w:w="812" w:type="pct"/>
            <w:vAlign w:val="center"/>
          </w:tcPr>
          <w:p w14:paraId="62CE9C75" w14:textId="77777777" w:rsidR="007D1E74" w:rsidRDefault="00A95641">
            <w:pPr>
              <w:jc w:val="center"/>
              <w:rPr>
                <w:rFonts w:cs="Times New Roman"/>
                <w:szCs w:val="21"/>
              </w:rPr>
            </w:pPr>
            <w:r>
              <w:rPr>
                <w:rFonts w:cs="Times New Roman" w:hint="eastAsia"/>
                <w:szCs w:val="21"/>
              </w:rPr>
              <w:t>3</w:t>
            </w:r>
            <w:r>
              <w:rPr>
                <w:rFonts w:cs="Times New Roman"/>
                <w:szCs w:val="21"/>
              </w:rPr>
              <w:t>2.207865</w:t>
            </w:r>
          </w:p>
        </w:tc>
        <w:tc>
          <w:tcPr>
            <w:tcW w:w="813" w:type="pct"/>
            <w:vAlign w:val="center"/>
          </w:tcPr>
          <w:p w14:paraId="2B552C9E" w14:textId="77777777" w:rsidR="007D1E74" w:rsidRDefault="00A95641">
            <w:pPr>
              <w:jc w:val="center"/>
              <w:rPr>
                <w:rFonts w:cs="Times New Roman"/>
                <w:szCs w:val="21"/>
              </w:rPr>
            </w:pPr>
            <w:r>
              <w:rPr>
                <w:rFonts w:cs="Times New Roman" w:hint="eastAsia"/>
                <w:szCs w:val="21"/>
              </w:rPr>
              <w:t>1</w:t>
            </w:r>
            <w:r>
              <w:rPr>
                <w:rFonts w:cs="Times New Roman"/>
                <w:szCs w:val="21"/>
              </w:rPr>
              <w:t>07.222927</w:t>
            </w:r>
          </w:p>
        </w:tc>
        <w:tc>
          <w:tcPr>
            <w:tcW w:w="1039" w:type="pct"/>
          </w:tcPr>
          <w:p w14:paraId="7D9D6364" w14:textId="77777777" w:rsidR="007D1E74" w:rsidRDefault="00A95641">
            <w:pPr>
              <w:jc w:val="center"/>
              <w:rPr>
                <w:rFonts w:cs="Times New Roman"/>
                <w:szCs w:val="21"/>
              </w:rPr>
            </w:pPr>
            <w:r>
              <w:rPr>
                <w:rFonts w:cs="Times New Roman"/>
                <w:szCs w:val="21"/>
              </w:rPr>
              <w:t>南</w:t>
            </w:r>
            <w:r>
              <w:rPr>
                <w:rFonts w:cs="Times New Roman" w:hint="eastAsia"/>
                <w:szCs w:val="21"/>
              </w:rPr>
              <w:t>4</w:t>
            </w:r>
            <w:r>
              <w:rPr>
                <w:rFonts w:cs="Times New Roman"/>
                <w:szCs w:val="21"/>
              </w:rPr>
              <w:t>25</w:t>
            </w:r>
          </w:p>
        </w:tc>
      </w:tr>
      <w:tr w:rsidR="007D1E74" w14:paraId="60E605DD" w14:textId="77777777">
        <w:trPr>
          <w:trHeight w:val="70"/>
        </w:trPr>
        <w:tc>
          <w:tcPr>
            <w:tcW w:w="833" w:type="pct"/>
            <w:vMerge/>
            <w:vAlign w:val="center"/>
          </w:tcPr>
          <w:p w14:paraId="4901D550" w14:textId="77777777" w:rsidR="007D1E74" w:rsidRDefault="007D1E74">
            <w:pPr>
              <w:jc w:val="center"/>
              <w:rPr>
                <w:rFonts w:cs="Times New Roman"/>
                <w:szCs w:val="21"/>
              </w:rPr>
            </w:pPr>
          </w:p>
        </w:tc>
        <w:tc>
          <w:tcPr>
            <w:tcW w:w="689" w:type="pct"/>
            <w:vMerge/>
            <w:vAlign w:val="center"/>
          </w:tcPr>
          <w:p w14:paraId="66612D7C" w14:textId="77777777" w:rsidR="007D1E74" w:rsidRDefault="007D1E74">
            <w:pPr>
              <w:jc w:val="center"/>
              <w:rPr>
                <w:rFonts w:cs="Times New Roman"/>
                <w:szCs w:val="21"/>
              </w:rPr>
            </w:pPr>
          </w:p>
        </w:tc>
        <w:tc>
          <w:tcPr>
            <w:tcW w:w="814" w:type="pct"/>
            <w:vAlign w:val="center"/>
          </w:tcPr>
          <w:p w14:paraId="391ADC91" w14:textId="77777777" w:rsidR="007D1E74" w:rsidRDefault="00A95641">
            <w:pPr>
              <w:jc w:val="center"/>
              <w:rPr>
                <w:rFonts w:cs="Times New Roman"/>
                <w:szCs w:val="21"/>
              </w:rPr>
            </w:pPr>
            <w:r>
              <w:rPr>
                <w:rFonts w:cs="Times New Roman" w:hint="eastAsia"/>
                <w:szCs w:val="21"/>
              </w:rPr>
              <w:t>8</w:t>
            </w:r>
            <w:r>
              <w:rPr>
                <w:rFonts w:cs="Times New Roman"/>
                <w:szCs w:val="21"/>
              </w:rPr>
              <w:t>88</w:t>
            </w:r>
          </w:p>
        </w:tc>
        <w:tc>
          <w:tcPr>
            <w:tcW w:w="812" w:type="pct"/>
            <w:vAlign w:val="center"/>
          </w:tcPr>
          <w:p w14:paraId="568C7D71" w14:textId="77777777" w:rsidR="007D1E74" w:rsidRDefault="00A95641">
            <w:pPr>
              <w:jc w:val="center"/>
              <w:rPr>
                <w:rFonts w:cs="Times New Roman"/>
                <w:szCs w:val="21"/>
              </w:rPr>
            </w:pPr>
            <w:r>
              <w:rPr>
                <w:rFonts w:cs="Times New Roman" w:hint="eastAsia"/>
                <w:szCs w:val="21"/>
              </w:rPr>
              <w:t>3</w:t>
            </w:r>
            <w:r>
              <w:rPr>
                <w:rFonts w:cs="Times New Roman"/>
                <w:szCs w:val="21"/>
              </w:rPr>
              <w:t>2.082796</w:t>
            </w:r>
          </w:p>
        </w:tc>
        <w:tc>
          <w:tcPr>
            <w:tcW w:w="813" w:type="pct"/>
            <w:vAlign w:val="center"/>
          </w:tcPr>
          <w:p w14:paraId="66B53EED" w14:textId="77777777" w:rsidR="007D1E74" w:rsidRDefault="00A95641">
            <w:pPr>
              <w:jc w:val="center"/>
              <w:rPr>
                <w:rFonts w:cs="Times New Roman"/>
                <w:szCs w:val="21"/>
              </w:rPr>
            </w:pPr>
            <w:r>
              <w:rPr>
                <w:rFonts w:cs="Times New Roman" w:hint="eastAsia"/>
                <w:szCs w:val="21"/>
              </w:rPr>
              <w:t>1</w:t>
            </w:r>
            <w:r>
              <w:rPr>
                <w:rFonts w:cs="Times New Roman"/>
                <w:szCs w:val="21"/>
              </w:rPr>
              <w:t>07.184712</w:t>
            </w:r>
          </w:p>
        </w:tc>
        <w:tc>
          <w:tcPr>
            <w:tcW w:w="1039" w:type="pct"/>
          </w:tcPr>
          <w:p w14:paraId="523BF2FF" w14:textId="77777777" w:rsidR="007D1E74" w:rsidRDefault="00A95641">
            <w:pPr>
              <w:jc w:val="center"/>
              <w:rPr>
                <w:rFonts w:cs="Times New Roman"/>
                <w:szCs w:val="21"/>
              </w:rPr>
            </w:pPr>
            <w:r>
              <w:rPr>
                <w:rFonts w:cs="Times New Roman"/>
                <w:szCs w:val="21"/>
              </w:rPr>
              <w:t>东</w:t>
            </w:r>
            <w:r>
              <w:rPr>
                <w:rFonts w:cs="Times New Roman" w:hint="eastAsia"/>
                <w:szCs w:val="21"/>
              </w:rPr>
              <w:t>9</w:t>
            </w:r>
            <w:r>
              <w:rPr>
                <w:rFonts w:cs="Times New Roman"/>
                <w:szCs w:val="21"/>
              </w:rPr>
              <w:t>55</w:t>
            </w:r>
          </w:p>
        </w:tc>
      </w:tr>
    </w:tbl>
    <w:p w14:paraId="737BD855" w14:textId="77777777" w:rsidR="007D1E74" w:rsidRDefault="007D1E74">
      <w:pPr>
        <w:spacing w:line="360" w:lineRule="auto"/>
        <w:ind w:firstLineChars="200" w:firstLine="480"/>
        <w:rPr>
          <w:sz w:val="24"/>
          <w:szCs w:val="24"/>
        </w:rPr>
      </w:pPr>
    </w:p>
    <w:tbl>
      <w:tblPr>
        <w:tblStyle w:val="aff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7D1E74" w14:paraId="2F9FA255" w14:textId="77777777">
        <w:tc>
          <w:tcPr>
            <w:tcW w:w="4649" w:type="dxa"/>
            <w:vAlign w:val="center"/>
          </w:tcPr>
          <w:p w14:paraId="7127280B" w14:textId="77777777" w:rsidR="007D1E74" w:rsidRDefault="00A95641">
            <w:pPr>
              <w:jc w:val="center"/>
              <w:rPr>
                <w:szCs w:val="21"/>
              </w:rPr>
            </w:pPr>
            <w:r>
              <w:rPr>
                <w:noProof/>
                <w:szCs w:val="21"/>
              </w:rPr>
              <w:lastRenderedPageBreak/>
              <w:drawing>
                <wp:inline distT="0" distB="0" distL="0" distR="0" wp14:anchorId="7C14F0D5" wp14:editId="4A6821CD">
                  <wp:extent cx="2306320" cy="1724025"/>
                  <wp:effectExtent l="0" t="0" r="10160" b="1333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02">
                            <a:extLst>
                              <a:ext uri="{28A0092B-C50C-407E-A947-70E740481C1C}">
                                <a14:useLocalDpi xmlns:a14="http://schemas.microsoft.com/office/drawing/2010/main" val="0"/>
                              </a:ext>
                            </a:extLst>
                          </a:blip>
                          <a:stretch>
                            <a:fillRect/>
                          </a:stretch>
                        </pic:blipFill>
                        <pic:spPr>
                          <a:xfrm>
                            <a:off x="0" y="0"/>
                            <a:ext cx="2312345" cy="1728273"/>
                          </a:xfrm>
                          <a:prstGeom prst="rect">
                            <a:avLst/>
                          </a:prstGeom>
                        </pic:spPr>
                      </pic:pic>
                    </a:graphicData>
                  </a:graphic>
                </wp:inline>
              </w:drawing>
            </w:r>
          </w:p>
        </w:tc>
        <w:tc>
          <w:tcPr>
            <w:tcW w:w="4650" w:type="dxa"/>
            <w:vAlign w:val="center"/>
          </w:tcPr>
          <w:p w14:paraId="06380EE2" w14:textId="77777777" w:rsidR="007D1E74" w:rsidRDefault="00A95641">
            <w:pPr>
              <w:jc w:val="center"/>
              <w:rPr>
                <w:szCs w:val="21"/>
              </w:rPr>
            </w:pPr>
            <w:r>
              <w:rPr>
                <w:noProof/>
                <w:szCs w:val="21"/>
              </w:rPr>
              <w:drawing>
                <wp:inline distT="0" distB="0" distL="0" distR="0" wp14:anchorId="17E58A38" wp14:editId="5BF44A87">
                  <wp:extent cx="2307590" cy="1724025"/>
                  <wp:effectExtent l="0" t="0" r="8890" b="1333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2321675" cy="1734307"/>
                          </a:xfrm>
                          <a:prstGeom prst="rect">
                            <a:avLst/>
                          </a:prstGeom>
                        </pic:spPr>
                      </pic:pic>
                    </a:graphicData>
                  </a:graphic>
                </wp:inline>
              </w:drawing>
            </w:r>
          </w:p>
        </w:tc>
      </w:tr>
      <w:tr w:rsidR="007D1E74" w14:paraId="2755334D" w14:textId="77777777">
        <w:tc>
          <w:tcPr>
            <w:tcW w:w="4649" w:type="dxa"/>
            <w:vAlign w:val="center"/>
          </w:tcPr>
          <w:p w14:paraId="1A23737E" w14:textId="77777777" w:rsidR="007D1E74" w:rsidRDefault="00A95641">
            <w:pPr>
              <w:jc w:val="center"/>
              <w:rPr>
                <w:szCs w:val="21"/>
              </w:rPr>
            </w:pPr>
            <w:r>
              <w:rPr>
                <w:rFonts w:hint="eastAsia"/>
                <w:szCs w:val="21"/>
              </w:rPr>
              <w:t>春兰</w:t>
            </w:r>
          </w:p>
        </w:tc>
        <w:tc>
          <w:tcPr>
            <w:tcW w:w="4650" w:type="dxa"/>
            <w:vAlign w:val="center"/>
          </w:tcPr>
          <w:p w14:paraId="5D126FBB" w14:textId="77777777" w:rsidR="007D1E74" w:rsidRDefault="00A95641">
            <w:pPr>
              <w:jc w:val="center"/>
              <w:rPr>
                <w:szCs w:val="21"/>
              </w:rPr>
            </w:pPr>
            <w:r>
              <w:rPr>
                <w:rFonts w:hint="eastAsia"/>
                <w:szCs w:val="21"/>
              </w:rPr>
              <w:t>春兰</w:t>
            </w:r>
          </w:p>
        </w:tc>
      </w:tr>
      <w:tr w:rsidR="007D1E74" w14:paraId="62CA1AE3" w14:textId="77777777">
        <w:tc>
          <w:tcPr>
            <w:tcW w:w="4649" w:type="dxa"/>
            <w:vAlign w:val="center"/>
          </w:tcPr>
          <w:p w14:paraId="0A9DC6B3" w14:textId="77777777" w:rsidR="007D1E74" w:rsidRDefault="00A95641">
            <w:pPr>
              <w:jc w:val="center"/>
              <w:rPr>
                <w:szCs w:val="21"/>
              </w:rPr>
            </w:pPr>
            <w:r>
              <w:rPr>
                <w:noProof/>
                <w:szCs w:val="21"/>
              </w:rPr>
              <w:drawing>
                <wp:inline distT="0" distB="0" distL="0" distR="0" wp14:anchorId="45DC021F" wp14:editId="244A3A60">
                  <wp:extent cx="2293620" cy="1714500"/>
                  <wp:effectExtent l="0" t="0" r="7620" b="762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2303309" cy="1721497"/>
                          </a:xfrm>
                          <a:prstGeom prst="rect">
                            <a:avLst/>
                          </a:prstGeom>
                        </pic:spPr>
                      </pic:pic>
                    </a:graphicData>
                  </a:graphic>
                </wp:inline>
              </w:drawing>
            </w:r>
          </w:p>
        </w:tc>
        <w:tc>
          <w:tcPr>
            <w:tcW w:w="4650" w:type="dxa"/>
            <w:vAlign w:val="center"/>
          </w:tcPr>
          <w:p w14:paraId="61DC7D91" w14:textId="77777777" w:rsidR="007D1E74" w:rsidRDefault="00A95641">
            <w:pPr>
              <w:jc w:val="center"/>
              <w:rPr>
                <w:szCs w:val="21"/>
              </w:rPr>
            </w:pPr>
            <w:r>
              <w:rPr>
                <w:noProof/>
                <w:szCs w:val="21"/>
              </w:rPr>
              <w:drawing>
                <wp:inline distT="0" distB="0" distL="0" distR="0" wp14:anchorId="4EAE49EB" wp14:editId="0F569C6F">
                  <wp:extent cx="2286000" cy="1720850"/>
                  <wp:effectExtent l="0" t="0" r="0" b="127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0" y="0"/>
                            <a:ext cx="2298156" cy="1730526"/>
                          </a:xfrm>
                          <a:prstGeom prst="rect">
                            <a:avLst/>
                          </a:prstGeom>
                        </pic:spPr>
                      </pic:pic>
                    </a:graphicData>
                  </a:graphic>
                </wp:inline>
              </w:drawing>
            </w:r>
          </w:p>
        </w:tc>
      </w:tr>
      <w:tr w:rsidR="007D1E74" w14:paraId="42D51EBD" w14:textId="77777777">
        <w:tc>
          <w:tcPr>
            <w:tcW w:w="4649" w:type="dxa"/>
            <w:vAlign w:val="center"/>
          </w:tcPr>
          <w:p w14:paraId="7E764FED" w14:textId="77777777" w:rsidR="007D1E74" w:rsidRDefault="00A95641">
            <w:pPr>
              <w:jc w:val="center"/>
              <w:rPr>
                <w:szCs w:val="21"/>
              </w:rPr>
            </w:pPr>
            <w:r>
              <w:rPr>
                <w:rFonts w:hint="eastAsia"/>
                <w:szCs w:val="21"/>
              </w:rPr>
              <w:t>苏铁</w:t>
            </w:r>
            <w:r>
              <w:rPr>
                <w:rFonts w:hint="eastAsia"/>
                <w:szCs w:val="21"/>
              </w:rPr>
              <w:t>-</w:t>
            </w:r>
            <w:r>
              <w:rPr>
                <w:rFonts w:hint="eastAsia"/>
                <w:szCs w:val="21"/>
              </w:rPr>
              <w:t>栽培</w:t>
            </w:r>
          </w:p>
        </w:tc>
        <w:tc>
          <w:tcPr>
            <w:tcW w:w="4650" w:type="dxa"/>
            <w:vAlign w:val="center"/>
          </w:tcPr>
          <w:p w14:paraId="1BE532A8" w14:textId="77777777" w:rsidR="007D1E74" w:rsidRDefault="00A95641">
            <w:pPr>
              <w:jc w:val="center"/>
              <w:rPr>
                <w:szCs w:val="21"/>
              </w:rPr>
            </w:pPr>
            <w:r>
              <w:rPr>
                <w:rFonts w:hint="eastAsia"/>
                <w:szCs w:val="21"/>
              </w:rPr>
              <w:t>银杏</w:t>
            </w:r>
            <w:r>
              <w:rPr>
                <w:rFonts w:hint="eastAsia"/>
                <w:szCs w:val="21"/>
              </w:rPr>
              <w:t>-</w:t>
            </w:r>
            <w:r>
              <w:rPr>
                <w:rFonts w:hint="eastAsia"/>
                <w:szCs w:val="21"/>
              </w:rPr>
              <w:t>栽培</w:t>
            </w:r>
          </w:p>
        </w:tc>
      </w:tr>
      <w:tr w:rsidR="007D1E74" w14:paraId="502E96E3" w14:textId="77777777">
        <w:tc>
          <w:tcPr>
            <w:tcW w:w="4649" w:type="dxa"/>
            <w:vAlign w:val="center"/>
          </w:tcPr>
          <w:p w14:paraId="05090BFC" w14:textId="77777777" w:rsidR="007D1E74" w:rsidRDefault="00A95641">
            <w:pPr>
              <w:jc w:val="center"/>
              <w:rPr>
                <w:szCs w:val="21"/>
              </w:rPr>
            </w:pPr>
            <w:r>
              <w:rPr>
                <w:noProof/>
                <w:szCs w:val="21"/>
              </w:rPr>
              <w:drawing>
                <wp:inline distT="0" distB="0" distL="0" distR="0" wp14:anchorId="08BBFC8F" wp14:editId="2ED4B033">
                  <wp:extent cx="2344420" cy="1752600"/>
                  <wp:effectExtent l="0" t="0" r="254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0" y="0"/>
                            <a:ext cx="2355252" cy="1760343"/>
                          </a:xfrm>
                          <a:prstGeom prst="rect">
                            <a:avLst/>
                          </a:prstGeom>
                        </pic:spPr>
                      </pic:pic>
                    </a:graphicData>
                  </a:graphic>
                </wp:inline>
              </w:drawing>
            </w:r>
          </w:p>
        </w:tc>
        <w:tc>
          <w:tcPr>
            <w:tcW w:w="4650" w:type="dxa"/>
            <w:vAlign w:val="center"/>
          </w:tcPr>
          <w:p w14:paraId="471D756C" w14:textId="77777777" w:rsidR="007D1E74" w:rsidRDefault="00A95641">
            <w:pPr>
              <w:jc w:val="center"/>
              <w:rPr>
                <w:szCs w:val="21"/>
              </w:rPr>
            </w:pPr>
            <w:r>
              <w:rPr>
                <w:noProof/>
                <w:szCs w:val="21"/>
              </w:rPr>
              <w:drawing>
                <wp:inline distT="0" distB="0" distL="0" distR="0" wp14:anchorId="30785B7C" wp14:editId="145A7E6A">
                  <wp:extent cx="2343150" cy="1750695"/>
                  <wp:effectExtent l="0" t="0" r="3810" b="190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0" y="0"/>
                            <a:ext cx="2355604" cy="1760582"/>
                          </a:xfrm>
                          <a:prstGeom prst="rect">
                            <a:avLst/>
                          </a:prstGeom>
                        </pic:spPr>
                      </pic:pic>
                    </a:graphicData>
                  </a:graphic>
                </wp:inline>
              </w:drawing>
            </w:r>
          </w:p>
        </w:tc>
      </w:tr>
      <w:tr w:rsidR="007D1E74" w14:paraId="289758A5" w14:textId="77777777">
        <w:tc>
          <w:tcPr>
            <w:tcW w:w="4649" w:type="dxa"/>
            <w:vAlign w:val="center"/>
          </w:tcPr>
          <w:p w14:paraId="265F5676" w14:textId="77777777" w:rsidR="007D1E74" w:rsidRDefault="00A95641">
            <w:pPr>
              <w:jc w:val="center"/>
              <w:rPr>
                <w:szCs w:val="21"/>
              </w:rPr>
            </w:pPr>
            <w:r>
              <w:rPr>
                <w:rFonts w:hint="eastAsia"/>
                <w:szCs w:val="21"/>
              </w:rPr>
              <w:t>水杉</w:t>
            </w:r>
            <w:r>
              <w:rPr>
                <w:rFonts w:hint="eastAsia"/>
                <w:szCs w:val="21"/>
              </w:rPr>
              <w:t>-</w:t>
            </w:r>
            <w:r>
              <w:rPr>
                <w:rFonts w:hint="eastAsia"/>
                <w:szCs w:val="21"/>
              </w:rPr>
              <w:t>栽培</w:t>
            </w:r>
          </w:p>
        </w:tc>
        <w:tc>
          <w:tcPr>
            <w:tcW w:w="4650" w:type="dxa"/>
            <w:vAlign w:val="center"/>
          </w:tcPr>
          <w:p w14:paraId="3284B819" w14:textId="77777777" w:rsidR="007D1E74" w:rsidRDefault="00A95641">
            <w:pPr>
              <w:jc w:val="center"/>
              <w:rPr>
                <w:szCs w:val="21"/>
              </w:rPr>
            </w:pPr>
            <w:r>
              <w:rPr>
                <w:rFonts w:hint="eastAsia"/>
                <w:szCs w:val="21"/>
              </w:rPr>
              <w:t>水杉</w:t>
            </w:r>
            <w:r>
              <w:rPr>
                <w:rFonts w:hint="eastAsia"/>
                <w:szCs w:val="21"/>
              </w:rPr>
              <w:t>-</w:t>
            </w:r>
            <w:r>
              <w:rPr>
                <w:rFonts w:hint="eastAsia"/>
                <w:szCs w:val="21"/>
              </w:rPr>
              <w:t>栽培</w:t>
            </w:r>
          </w:p>
        </w:tc>
      </w:tr>
    </w:tbl>
    <w:p w14:paraId="5130894F" w14:textId="77777777" w:rsidR="007D1E74" w:rsidRDefault="00A95641">
      <w:pPr>
        <w:spacing w:line="360" w:lineRule="auto"/>
        <w:ind w:firstLineChars="200" w:firstLine="482"/>
        <w:rPr>
          <w:b/>
          <w:sz w:val="24"/>
          <w:szCs w:val="24"/>
        </w:rPr>
      </w:pPr>
      <w:r>
        <w:rPr>
          <w:rFonts w:hint="eastAsia"/>
          <w:b/>
          <w:sz w:val="24"/>
          <w:szCs w:val="24"/>
        </w:rPr>
        <w:t>（</w:t>
      </w:r>
      <w:r>
        <w:rPr>
          <w:b/>
          <w:sz w:val="24"/>
          <w:szCs w:val="24"/>
        </w:rPr>
        <w:t>6</w:t>
      </w:r>
      <w:r>
        <w:rPr>
          <w:rFonts w:hint="eastAsia"/>
          <w:b/>
          <w:sz w:val="24"/>
          <w:szCs w:val="24"/>
        </w:rPr>
        <w:t>）沿线古树名木</w:t>
      </w:r>
    </w:p>
    <w:p w14:paraId="4E106D98" w14:textId="77777777" w:rsidR="007D1E74" w:rsidRDefault="00A95641">
      <w:pPr>
        <w:spacing w:line="360" w:lineRule="auto"/>
        <w:ind w:firstLineChars="200" w:firstLine="480"/>
        <w:rPr>
          <w:sz w:val="24"/>
          <w:szCs w:val="24"/>
        </w:rPr>
      </w:pPr>
      <w:r>
        <w:rPr>
          <w:rFonts w:hint="eastAsia"/>
          <w:sz w:val="24"/>
          <w:szCs w:val="24"/>
        </w:rPr>
        <w:t>根据访问通江县林业主管部门以及查询当地林业志得知，通江县的古树名木种类主要有柏木（</w:t>
      </w:r>
      <w:r>
        <w:rPr>
          <w:rFonts w:hint="eastAsia"/>
          <w:i/>
          <w:sz w:val="24"/>
          <w:szCs w:val="24"/>
        </w:rPr>
        <w:t>Cupressus funebris</w:t>
      </w:r>
      <w:r>
        <w:rPr>
          <w:rFonts w:hint="eastAsia"/>
          <w:sz w:val="24"/>
          <w:szCs w:val="24"/>
        </w:rPr>
        <w:t>）、银杏（</w:t>
      </w:r>
      <w:r>
        <w:rPr>
          <w:rFonts w:hint="eastAsia"/>
          <w:i/>
          <w:sz w:val="24"/>
          <w:szCs w:val="24"/>
        </w:rPr>
        <w:t>Ginkgo biloba</w:t>
      </w:r>
      <w:r>
        <w:rPr>
          <w:rFonts w:hint="eastAsia"/>
          <w:sz w:val="24"/>
          <w:szCs w:val="24"/>
        </w:rPr>
        <w:t>）、马尾松（</w:t>
      </w:r>
      <w:r>
        <w:rPr>
          <w:rFonts w:hint="eastAsia"/>
          <w:i/>
          <w:sz w:val="24"/>
          <w:szCs w:val="24"/>
        </w:rPr>
        <w:t>Pinusmassoniana</w:t>
      </w:r>
      <w:r>
        <w:rPr>
          <w:rFonts w:hint="eastAsia"/>
          <w:sz w:val="24"/>
          <w:szCs w:val="24"/>
        </w:rPr>
        <w:t>）、肉榔树（</w:t>
      </w:r>
      <w:r>
        <w:rPr>
          <w:rFonts w:hint="eastAsia"/>
          <w:i/>
          <w:sz w:val="24"/>
          <w:szCs w:val="24"/>
        </w:rPr>
        <w:t>Ulmus pumila var. pilosa</w:t>
      </w:r>
      <w:r>
        <w:rPr>
          <w:rFonts w:hint="eastAsia"/>
          <w:sz w:val="24"/>
          <w:szCs w:val="24"/>
        </w:rPr>
        <w:t>）、枫香树（</w:t>
      </w:r>
      <w:r>
        <w:rPr>
          <w:rFonts w:hint="eastAsia"/>
          <w:i/>
          <w:sz w:val="24"/>
          <w:szCs w:val="24"/>
        </w:rPr>
        <w:t>Liquidambar formosana</w:t>
      </w:r>
      <w:r>
        <w:rPr>
          <w:rFonts w:hint="eastAsia"/>
          <w:sz w:val="24"/>
          <w:szCs w:val="24"/>
        </w:rPr>
        <w:t>）、黄连木（</w:t>
      </w:r>
      <w:r>
        <w:rPr>
          <w:rFonts w:hint="eastAsia"/>
          <w:i/>
          <w:sz w:val="24"/>
          <w:szCs w:val="24"/>
        </w:rPr>
        <w:t>Pistacia chinensis</w:t>
      </w:r>
      <w:r>
        <w:rPr>
          <w:rFonts w:hint="eastAsia"/>
          <w:sz w:val="24"/>
          <w:szCs w:val="24"/>
        </w:rPr>
        <w:t>）、皂荚（</w:t>
      </w:r>
      <w:r>
        <w:rPr>
          <w:rFonts w:hint="eastAsia"/>
          <w:i/>
          <w:sz w:val="24"/>
          <w:szCs w:val="24"/>
        </w:rPr>
        <w:t>Gleditsia sinensis</w:t>
      </w:r>
      <w:r>
        <w:rPr>
          <w:rFonts w:hint="eastAsia"/>
          <w:sz w:val="24"/>
          <w:szCs w:val="24"/>
        </w:rPr>
        <w:t>）、青杨（</w:t>
      </w:r>
      <w:r>
        <w:rPr>
          <w:rFonts w:hint="eastAsia"/>
          <w:i/>
          <w:sz w:val="24"/>
          <w:szCs w:val="24"/>
        </w:rPr>
        <w:t>Populus cathayana</w:t>
      </w:r>
      <w:r>
        <w:rPr>
          <w:rFonts w:hint="eastAsia"/>
          <w:sz w:val="24"/>
          <w:szCs w:val="24"/>
        </w:rPr>
        <w:t>）、黄葛树（</w:t>
      </w:r>
      <w:r>
        <w:rPr>
          <w:rFonts w:hint="eastAsia"/>
          <w:i/>
          <w:sz w:val="24"/>
          <w:szCs w:val="24"/>
        </w:rPr>
        <w:t>Ficus virens var. sublanceolata</w:t>
      </w:r>
      <w:r>
        <w:rPr>
          <w:rFonts w:hint="eastAsia"/>
          <w:sz w:val="24"/>
          <w:szCs w:val="24"/>
        </w:rPr>
        <w:t>）、樟树（</w:t>
      </w:r>
      <w:r>
        <w:rPr>
          <w:rFonts w:hint="eastAsia"/>
          <w:i/>
          <w:sz w:val="24"/>
          <w:szCs w:val="24"/>
        </w:rPr>
        <w:t>Cinnamomum camphora</w:t>
      </w:r>
      <w:r>
        <w:rPr>
          <w:rFonts w:hint="eastAsia"/>
          <w:sz w:val="24"/>
          <w:szCs w:val="24"/>
        </w:rPr>
        <w:t>）等，以柏木古树的数量最多。因此，在根据通江县林业主管部门提供的古树名木资料的基础上，我们进行了实地调查，本项目影响评价区域内分布的古树名木有柏木、银杏、马尾松、樟树、枫香树等，各古树分布信息见下表。</w:t>
      </w:r>
    </w:p>
    <w:p w14:paraId="67494E83" w14:textId="77777777" w:rsidR="007D1E74" w:rsidRDefault="00A95641">
      <w:pPr>
        <w:pStyle w:val="afffffe"/>
        <w:numPr>
          <w:ilvl w:val="0"/>
          <w:numId w:val="43"/>
        </w:numPr>
        <w:spacing w:line="360" w:lineRule="auto"/>
        <w:ind w:firstLineChars="0"/>
        <w:jc w:val="center"/>
        <w:rPr>
          <w:rFonts w:eastAsia="黑体" w:cs="Times New Roman"/>
          <w:szCs w:val="21"/>
        </w:rPr>
      </w:pPr>
      <w:r>
        <w:rPr>
          <w:rFonts w:eastAsia="黑体" w:cs="Times New Roman" w:hint="eastAsia"/>
          <w:szCs w:val="21"/>
        </w:rPr>
        <w:t>评价区核实的古树分布信息表</w:t>
      </w:r>
    </w:p>
    <w:tbl>
      <w:tblPr>
        <w:tblStyle w:val="affffc"/>
        <w:tblW w:w="5000" w:type="pct"/>
        <w:tblLook w:val="04A0" w:firstRow="1" w:lastRow="0" w:firstColumn="1" w:lastColumn="0" w:noHBand="0" w:noVBand="1"/>
      </w:tblPr>
      <w:tblGrid>
        <w:gridCol w:w="1371"/>
        <w:gridCol w:w="1420"/>
        <w:gridCol w:w="1420"/>
        <w:gridCol w:w="1419"/>
        <w:gridCol w:w="1650"/>
        <w:gridCol w:w="1736"/>
      </w:tblGrid>
      <w:tr w:rsidR="007D1E74" w14:paraId="5A9827E4" w14:textId="77777777">
        <w:trPr>
          <w:tblHeader/>
        </w:trPr>
        <w:tc>
          <w:tcPr>
            <w:tcW w:w="760" w:type="pct"/>
            <w:vAlign w:val="center"/>
          </w:tcPr>
          <w:p w14:paraId="0255DFD2" w14:textId="77777777" w:rsidR="007D1E74" w:rsidRDefault="00A95641">
            <w:pPr>
              <w:jc w:val="center"/>
              <w:rPr>
                <w:rFonts w:cs="Times New Roman"/>
                <w:szCs w:val="21"/>
              </w:rPr>
            </w:pPr>
            <w:r>
              <w:rPr>
                <w:rFonts w:cs="Times New Roman" w:hint="eastAsia"/>
                <w:szCs w:val="21"/>
              </w:rPr>
              <w:lastRenderedPageBreak/>
              <w:t>古树</w:t>
            </w:r>
            <w:r>
              <w:rPr>
                <w:rFonts w:cs="Times New Roman"/>
                <w:szCs w:val="21"/>
              </w:rPr>
              <w:t>名称</w:t>
            </w:r>
          </w:p>
        </w:tc>
        <w:tc>
          <w:tcPr>
            <w:tcW w:w="787" w:type="pct"/>
            <w:vAlign w:val="center"/>
          </w:tcPr>
          <w:p w14:paraId="337821CE" w14:textId="77777777" w:rsidR="007D1E74" w:rsidRDefault="00A95641">
            <w:pPr>
              <w:jc w:val="center"/>
              <w:rPr>
                <w:rFonts w:cs="Times New Roman"/>
                <w:szCs w:val="21"/>
              </w:rPr>
            </w:pPr>
            <w:r>
              <w:rPr>
                <w:rFonts w:cs="Times New Roman"/>
                <w:szCs w:val="21"/>
              </w:rPr>
              <w:t>海拔（</w:t>
            </w:r>
            <w:r>
              <w:rPr>
                <w:rFonts w:cs="Times New Roman"/>
                <w:szCs w:val="21"/>
              </w:rPr>
              <w:t>m</w:t>
            </w:r>
            <w:r>
              <w:rPr>
                <w:rFonts w:cs="Times New Roman"/>
                <w:szCs w:val="21"/>
              </w:rPr>
              <w:t>）</w:t>
            </w:r>
          </w:p>
        </w:tc>
        <w:tc>
          <w:tcPr>
            <w:tcW w:w="787" w:type="pct"/>
            <w:vAlign w:val="center"/>
          </w:tcPr>
          <w:p w14:paraId="22B59D41" w14:textId="77777777" w:rsidR="007D1E74" w:rsidRDefault="00A95641">
            <w:pPr>
              <w:jc w:val="center"/>
              <w:rPr>
                <w:rFonts w:cs="Times New Roman"/>
                <w:szCs w:val="21"/>
              </w:rPr>
            </w:pPr>
            <w:r>
              <w:rPr>
                <w:rFonts w:cs="Times New Roman"/>
                <w:szCs w:val="21"/>
              </w:rPr>
              <w:t>东经（</w:t>
            </w:r>
            <w:r>
              <w:rPr>
                <w:rFonts w:cs="Times New Roman"/>
                <w:szCs w:val="21"/>
              </w:rPr>
              <w:t>°</w:t>
            </w:r>
            <w:r>
              <w:rPr>
                <w:rFonts w:cs="Times New Roman"/>
                <w:szCs w:val="21"/>
              </w:rPr>
              <w:t>）</w:t>
            </w:r>
          </w:p>
        </w:tc>
        <w:tc>
          <w:tcPr>
            <w:tcW w:w="787" w:type="pct"/>
            <w:vAlign w:val="center"/>
          </w:tcPr>
          <w:p w14:paraId="2C5E80AF" w14:textId="77777777" w:rsidR="007D1E74" w:rsidRDefault="00A95641">
            <w:pPr>
              <w:jc w:val="center"/>
              <w:rPr>
                <w:rFonts w:cs="Times New Roman"/>
                <w:szCs w:val="21"/>
              </w:rPr>
            </w:pPr>
            <w:r>
              <w:rPr>
                <w:rFonts w:cs="Times New Roman"/>
                <w:szCs w:val="21"/>
              </w:rPr>
              <w:t>北纬（</w:t>
            </w:r>
            <w:r>
              <w:rPr>
                <w:rFonts w:cs="Times New Roman"/>
                <w:szCs w:val="21"/>
              </w:rPr>
              <w:t>°</w:t>
            </w:r>
            <w:r>
              <w:rPr>
                <w:rFonts w:cs="Times New Roman"/>
                <w:szCs w:val="21"/>
              </w:rPr>
              <w:t>）</w:t>
            </w:r>
          </w:p>
        </w:tc>
        <w:tc>
          <w:tcPr>
            <w:tcW w:w="915" w:type="pct"/>
            <w:vAlign w:val="center"/>
          </w:tcPr>
          <w:p w14:paraId="407B8AA6" w14:textId="77777777" w:rsidR="007D1E74" w:rsidRDefault="00A95641">
            <w:pPr>
              <w:jc w:val="center"/>
              <w:rPr>
                <w:rFonts w:cs="Times New Roman"/>
                <w:szCs w:val="21"/>
              </w:rPr>
            </w:pPr>
            <w:r>
              <w:rPr>
                <w:rFonts w:cs="Times New Roman"/>
                <w:szCs w:val="21"/>
              </w:rPr>
              <w:t>分布地名</w:t>
            </w:r>
          </w:p>
        </w:tc>
        <w:tc>
          <w:tcPr>
            <w:tcW w:w="963" w:type="pct"/>
            <w:vAlign w:val="center"/>
          </w:tcPr>
          <w:p w14:paraId="5E82CA4F" w14:textId="77777777" w:rsidR="007D1E74" w:rsidRDefault="00A95641">
            <w:pPr>
              <w:jc w:val="center"/>
              <w:rPr>
                <w:rFonts w:cs="Times New Roman"/>
                <w:szCs w:val="21"/>
              </w:rPr>
            </w:pPr>
            <w:r>
              <w:rPr>
                <w:rFonts w:cs="Times New Roman"/>
                <w:szCs w:val="21"/>
              </w:rPr>
              <w:t>距离</w:t>
            </w:r>
            <w:r>
              <w:rPr>
                <w:rFonts w:cs="Times New Roman" w:hint="eastAsia"/>
                <w:szCs w:val="21"/>
              </w:rPr>
              <w:t>工程</w:t>
            </w:r>
            <w:r>
              <w:rPr>
                <w:rFonts w:cs="Times New Roman"/>
                <w:szCs w:val="21"/>
              </w:rPr>
              <w:t>（</w:t>
            </w:r>
            <w:r>
              <w:rPr>
                <w:rFonts w:cs="Times New Roman"/>
                <w:szCs w:val="21"/>
              </w:rPr>
              <w:t>m</w:t>
            </w:r>
            <w:r>
              <w:rPr>
                <w:rFonts w:cs="Times New Roman"/>
                <w:szCs w:val="21"/>
              </w:rPr>
              <w:t>）</w:t>
            </w:r>
          </w:p>
        </w:tc>
      </w:tr>
      <w:tr w:rsidR="007D1E74" w14:paraId="2595CBD0" w14:textId="77777777">
        <w:tc>
          <w:tcPr>
            <w:tcW w:w="760" w:type="pct"/>
            <w:vAlign w:val="center"/>
          </w:tcPr>
          <w:p w14:paraId="1A3F44F3" w14:textId="77777777" w:rsidR="007D1E74" w:rsidRDefault="00A95641">
            <w:pPr>
              <w:jc w:val="center"/>
              <w:rPr>
                <w:rFonts w:cs="Times New Roman"/>
                <w:szCs w:val="21"/>
              </w:rPr>
            </w:pPr>
            <w:r>
              <w:rPr>
                <w:rFonts w:cs="Times New Roman"/>
                <w:szCs w:val="21"/>
              </w:rPr>
              <w:t>马尾松</w:t>
            </w:r>
          </w:p>
        </w:tc>
        <w:tc>
          <w:tcPr>
            <w:tcW w:w="787" w:type="pct"/>
            <w:vAlign w:val="center"/>
          </w:tcPr>
          <w:p w14:paraId="0844E011" w14:textId="77777777" w:rsidR="007D1E74" w:rsidRDefault="00A95641">
            <w:pPr>
              <w:jc w:val="center"/>
              <w:rPr>
                <w:rFonts w:cs="Times New Roman"/>
                <w:szCs w:val="21"/>
              </w:rPr>
            </w:pPr>
            <w:r>
              <w:rPr>
                <w:rFonts w:cs="Times New Roman" w:hint="eastAsia"/>
                <w:szCs w:val="21"/>
              </w:rPr>
              <w:t>4</w:t>
            </w:r>
            <w:r>
              <w:rPr>
                <w:rFonts w:cs="Times New Roman"/>
                <w:szCs w:val="21"/>
              </w:rPr>
              <w:t>16</w:t>
            </w:r>
          </w:p>
        </w:tc>
        <w:tc>
          <w:tcPr>
            <w:tcW w:w="787" w:type="pct"/>
            <w:vAlign w:val="center"/>
          </w:tcPr>
          <w:p w14:paraId="5554B215" w14:textId="77777777" w:rsidR="007D1E74" w:rsidRDefault="00A95641">
            <w:pPr>
              <w:jc w:val="center"/>
              <w:rPr>
                <w:rFonts w:cs="Times New Roman"/>
                <w:szCs w:val="21"/>
              </w:rPr>
            </w:pPr>
            <w:r>
              <w:rPr>
                <w:rFonts w:cs="Times New Roman"/>
                <w:szCs w:val="21"/>
              </w:rPr>
              <w:t>107.142488</w:t>
            </w:r>
          </w:p>
        </w:tc>
        <w:tc>
          <w:tcPr>
            <w:tcW w:w="787" w:type="pct"/>
            <w:vAlign w:val="center"/>
          </w:tcPr>
          <w:p w14:paraId="2D40BB87" w14:textId="77777777" w:rsidR="007D1E74" w:rsidRDefault="00A95641">
            <w:pPr>
              <w:jc w:val="center"/>
              <w:rPr>
                <w:rFonts w:cs="Times New Roman"/>
                <w:szCs w:val="21"/>
              </w:rPr>
            </w:pPr>
            <w:r>
              <w:rPr>
                <w:rFonts w:cs="Times New Roman"/>
                <w:szCs w:val="21"/>
              </w:rPr>
              <w:t>31.991713</w:t>
            </w:r>
          </w:p>
        </w:tc>
        <w:tc>
          <w:tcPr>
            <w:tcW w:w="915" w:type="pct"/>
            <w:vAlign w:val="center"/>
          </w:tcPr>
          <w:p w14:paraId="2766F31A" w14:textId="77777777" w:rsidR="007D1E74" w:rsidRDefault="00A95641">
            <w:pPr>
              <w:jc w:val="center"/>
              <w:rPr>
                <w:rFonts w:cs="Times New Roman"/>
                <w:szCs w:val="21"/>
              </w:rPr>
            </w:pPr>
            <w:r>
              <w:rPr>
                <w:rFonts w:cs="Times New Roman" w:hint="eastAsia"/>
                <w:szCs w:val="21"/>
              </w:rPr>
              <w:t>涪阳镇王家坝</w:t>
            </w:r>
          </w:p>
        </w:tc>
        <w:tc>
          <w:tcPr>
            <w:tcW w:w="963" w:type="pct"/>
            <w:vAlign w:val="center"/>
          </w:tcPr>
          <w:p w14:paraId="3388E3BE" w14:textId="77777777" w:rsidR="007D1E74" w:rsidRDefault="00A95641">
            <w:pPr>
              <w:jc w:val="center"/>
              <w:rPr>
                <w:rFonts w:cs="Times New Roman"/>
                <w:szCs w:val="21"/>
              </w:rPr>
            </w:pPr>
            <w:r>
              <w:rPr>
                <w:rFonts w:cs="Times New Roman" w:hint="eastAsia"/>
                <w:szCs w:val="21"/>
              </w:rPr>
              <w:t>9</w:t>
            </w:r>
            <w:r>
              <w:rPr>
                <w:rFonts w:cs="Times New Roman"/>
                <w:szCs w:val="21"/>
              </w:rPr>
              <w:t>97</w:t>
            </w:r>
          </w:p>
        </w:tc>
      </w:tr>
      <w:tr w:rsidR="007D1E74" w14:paraId="223D56E8" w14:textId="77777777">
        <w:tc>
          <w:tcPr>
            <w:tcW w:w="760" w:type="pct"/>
            <w:vAlign w:val="center"/>
          </w:tcPr>
          <w:p w14:paraId="7EB8B197" w14:textId="77777777" w:rsidR="007D1E74" w:rsidRDefault="00A95641">
            <w:pPr>
              <w:jc w:val="center"/>
              <w:rPr>
                <w:rFonts w:cs="Times New Roman"/>
                <w:szCs w:val="21"/>
              </w:rPr>
            </w:pPr>
            <w:r>
              <w:rPr>
                <w:rFonts w:cs="Times New Roman"/>
                <w:szCs w:val="21"/>
              </w:rPr>
              <w:t>银杏</w:t>
            </w:r>
          </w:p>
        </w:tc>
        <w:tc>
          <w:tcPr>
            <w:tcW w:w="787" w:type="pct"/>
            <w:vAlign w:val="center"/>
          </w:tcPr>
          <w:p w14:paraId="0E81F58E" w14:textId="77777777" w:rsidR="007D1E74" w:rsidRDefault="00A95641">
            <w:pPr>
              <w:jc w:val="center"/>
              <w:rPr>
                <w:rFonts w:cs="Times New Roman"/>
                <w:szCs w:val="21"/>
              </w:rPr>
            </w:pPr>
            <w:r>
              <w:rPr>
                <w:rFonts w:cs="Times New Roman" w:hint="eastAsia"/>
                <w:szCs w:val="21"/>
              </w:rPr>
              <w:t>5</w:t>
            </w:r>
            <w:r>
              <w:rPr>
                <w:rFonts w:cs="Times New Roman"/>
                <w:szCs w:val="21"/>
              </w:rPr>
              <w:t>98</w:t>
            </w:r>
          </w:p>
        </w:tc>
        <w:tc>
          <w:tcPr>
            <w:tcW w:w="787" w:type="pct"/>
            <w:vAlign w:val="center"/>
          </w:tcPr>
          <w:p w14:paraId="2AB5FA44" w14:textId="77777777" w:rsidR="007D1E74" w:rsidRDefault="00A95641">
            <w:pPr>
              <w:jc w:val="center"/>
              <w:rPr>
                <w:rFonts w:cs="Times New Roman"/>
                <w:szCs w:val="21"/>
              </w:rPr>
            </w:pPr>
            <w:r>
              <w:rPr>
                <w:rFonts w:cs="Times New Roman"/>
                <w:szCs w:val="21"/>
              </w:rPr>
              <w:t>107.146777</w:t>
            </w:r>
          </w:p>
        </w:tc>
        <w:tc>
          <w:tcPr>
            <w:tcW w:w="787" w:type="pct"/>
            <w:vAlign w:val="center"/>
          </w:tcPr>
          <w:p w14:paraId="224EC697" w14:textId="77777777" w:rsidR="007D1E74" w:rsidRDefault="00A95641">
            <w:pPr>
              <w:jc w:val="center"/>
              <w:rPr>
                <w:rFonts w:cs="Times New Roman"/>
                <w:szCs w:val="21"/>
              </w:rPr>
            </w:pPr>
            <w:r>
              <w:rPr>
                <w:rFonts w:cs="Times New Roman"/>
                <w:szCs w:val="21"/>
              </w:rPr>
              <w:t>32.004492</w:t>
            </w:r>
          </w:p>
        </w:tc>
        <w:tc>
          <w:tcPr>
            <w:tcW w:w="915" w:type="pct"/>
            <w:vAlign w:val="center"/>
          </w:tcPr>
          <w:p w14:paraId="4325580F" w14:textId="77777777" w:rsidR="007D1E74" w:rsidRDefault="00A95641">
            <w:pPr>
              <w:jc w:val="center"/>
              <w:rPr>
                <w:rFonts w:cs="Times New Roman"/>
                <w:szCs w:val="21"/>
              </w:rPr>
            </w:pPr>
            <w:r>
              <w:rPr>
                <w:rFonts w:cs="Times New Roman" w:hint="eastAsia"/>
                <w:szCs w:val="21"/>
              </w:rPr>
              <w:t>涪阳镇庄荒坪</w:t>
            </w:r>
          </w:p>
        </w:tc>
        <w:tc>
          <w:tcPr>
            <w:tcW w:w="963" w:type="pct"/>
            <w:vAlign w:val="center"/>
          </w:tcPr>
          <w:p w14:paraId="0AB0230D" w14:textId="77777777" w:rsidR="007D1E74" w:rsidRDefault="00A95641">
            <w:pPr>
              <w:jc w:val="center"/>
              <w:rPr>
                <w:rFonts w:cs="Times New Roman"/>
                <w:szCs w:val="21"/>
              </w:rPr>
            </w:pPr>
            <w:r>
              <w:rPr>
                <w:rFonts w:cs="Times New Roman" w:hint="eastAsia"/>
                <w:szCs w:val="21"/>
              </w:rPr>
              <w:t>8</w:t>
            </w:r>
            <w:r>
              <w:rPr>
                <w:rFonts w:cs="Times New Roman"/>
                <w:szCs w:val="21"/>
              </w:rPr>
              <w:t>50</w:t>
            </w:r>
          </w:p>
        </w:tc>
      </w:tr>
      <w:tr w:rsidR="007D1E74" w14:paraId="3C16D20D" w14:textId="77777777">
        <w:tc>
          <w:tcPr>
            <w:tcW w:w="760" w:type="pct"/>
            <w:vMerge w:val="restart"/>
            <w:vAlign w:val="center"/>
          </w:tcPr>
          <w:p w14:paraId="263BCA11" w14:textId="77777777" w:rsidR="007D1E74" w:rsidRDefault="00A95641">
            <w:pPr>
              <w:jc w:val="center"/>
              <w:rPr>
                <w:rFonts w:cs="Times New Roman"/>
                <w:szCs w:val="21"/>
              </w:rPr>
            </w:pPr>
            <w:r>
              <w:rPr>
                <w:rFonts w:cs="Times New Roman"/>
                <w:szCs w:val="21"/>
              </w:rPr>
              <w:t>柏木</w:t>
            </w:r>
          </w:p>
        </w:tc>
        <w:tc>
          <w:tcPr>
            <w:tcW w:w="787" w:type="pct"/>
            <w:vAlign w:val="center"/>
          </w:tcPr>
          <w:p w14:paraId="5EC3A219" w14:textId="77777777" w:rsidR="007D1E74" w:rsidRDefault="00A95641">
            <w:pPr>
              <w:jc w:val="center"/>
              <w:rPr>
                <w:rFonts w:cs="Times New Roman"/>
                <w:szCs w:val="21"/>
              </w:rPr>
            </w:pPr>
            <w:r>
              <w:rPr>
                <w:rFonts w:cs="Times New Roman" w:hint="eastAsia"/>
                <w:szCs w:val="21"/>
              </w:rPr>
              <w:t>4</w:t>
            </w:r>
            <w:r>
              <w:rPr>
                <w:rFonts w:cs="Times New Roman"/>
                <w:szCs w:val="21"/>
              </w:rPr>
              <w:t>46</w:t>
            </w:r>
          </w:p>
        </w:tc>
        <w:tc>
          <w:tcPr>
            <w:tcW w:w="787" w:type="pct"/>
            <w:vAlign w:val="center"/>
          </w:tcPr>
          <w:p w14:paraId="122E9491" w14:textId="77777777" w:rsidR="007D1E74" w:rsidRDefault="00A95641">
            <w:pPr>
              <w:jc w:val="center"/>
              <w:rPr>
                <w:rFonts w:cs="Times New Roman"/>
                <w:szCs w:val="21"/>
              </w:rPr>
            </w:pPr>
            <w:r>
              <w:rPr>
                <w:rFonts w:cs="Times New Roman"/>
                <w:szCs w:val="21"/>
              </w:rPr>
              <w:t>107.134811</w:t>
            </w:r>
          </w:p>
        </w:tc>
        <w:tc>
          <w:tcPr>
            <w:tcW w:w="787" w:type="pct"/>
            <w:vAlign w:val="center"/>
          </w:tcPr>
          <w:p w14:paraId="20063F57" w14:textId="77777777" w:rsidR="007D1E74" w:rsidRDefault="00A95641">
            <w:pPr>
              <w:jc w:val="center"/>
              <w:rPr>
                <w:rFonts w:cs="Times New Roman"/>
                <w:szCs w:val="21"/>
              </w:rPr>
            </w:pPr>
            <w:r>
              <w:rPr>
                <w:rFonts w:cs="Times New Roman"/>
                <w:szCs w:val="21"/>
              </w:rPr>
              <w:t>32.013241</w:t>
            </w:r>
          </w:p>
        </w:tc>
        <w:tc>
          <w:tcPr>
            <w:tcW w:w="915" w:type="pct"/>
            <w:vAlign w:val="center"/>
          </w:tcPr>
          <w:p w14:paraId="2AB8BD15" w14:textId="77777777" w:rsidR="007D1E74" w:rsidRDefault="00A95641">
            <w:pPr>
              <w:jc w:val="center"/>
              <w:rPr>
                <w:rFonts w:cs="Times New Roman"/>
                <w:szCs w:val="21"/>
              </w:rPr>
            </w:pPr>
            <w:r>
              <w:rPr>
                <w:rFonts w:cs="Times New Roman" w:hint="eastAsia"/>
                <w:szCs w:val="21"/>
              </w:rPr>
              <w:t>涪阳镇鹿浴沟</w:t>
            </w:r>
          </w:p>
        </w:tc>
        <w:tc>
          <w:tcPr>
            <w:tcW w:w="963" w:type="pct"/>
            <w:vAlign w:val="center"/>
          </w:tcPr>
          <w:p w14:paraId="0C3A8541" w14:textId="77777777" w:rsidR="007D1E74" w:rsidRDefault="00A95641">
            <w:pPr>
              <w:jc w:val="center"/>
              <w:rPr>
                <w:rFonts w:cs="Times New Roman"/>
                <w:szCs w:val="21"/>
              </w:rPr>
            </w:pPr>
            <w:r>
              <w:rPr>
                <w:rFonts w:cs="Times New Roman" w:hint="eastAsia"/>
                <w:szCs w:val="21"/>
              </w:rPr>
              <w:t>1</w:t>
            </w:r>
            <w:r>
              <w:rPr>
                <w:rFonts w:cs="Times New Roman"/>
                <w:szCs w:val="21"/>
              </w:rPr>
              <w:t>30</w:t>
            </w:r>
          </w:p>
        </w:tc>
      </w:tr>
      <w:tr w:rsidR="007D1E74" w14:paraId="7C3E12E9" w14:textId="77777777">
        <w:tc>
          <w:tcPr>
            <w:tcW w:w="760" w:type="pct"/>
            <w:vMerge/>
            <w:vAlign w:val="center"/>
          </w:tcPr>
          <w:p w14:paraId="5285027B" w14:textId="77777777" w:rsidR="007D1E74" w:rsidRDefault="007D1E74">
            <w:pPr>
              <w:jc w:val="center"/>
              <w:rPr>
                <w:rFonts w:cs="Times New Roman"/>
                <w:szCs w:val="21"/>
              </w:rPr>
            </w:pPr>
          </w:p>
        </w:tc>
        <w:tc>
          <w:tcPr>
            <w:tcW w:w="787" w:type="pct"/>
            <w:vAlign w:val="center"/>
          </w:tcPr>
          <w:p w14:paraId="53BD06A5" w14:textId="77777777" w:rsidR="007D1E74" w:rsidRDefault="00A95641">
            <w:pPr>
              <w:jc w:val="center"/>
              <w:rPr>
                <w:rFonts w:cs="Times New Roman"/>
                <w:szCs w:val="21"/>
              </w:rPr>
            </w:pPr>
            <w:r>
              <w:rPr>
                <w:rFonts w:cs="Times New Roman" w:hint="eastAsia"/>
                <w:szCs w:val="21"/>
              </w:rPr>
              <w:t>6</w:t>
            </w:r>
            <w:r>
              <w:rPr>
                <w:rFonts w:cs="Times New Roman"/>
                <w:szCs w:val="21"/>
              </w:rPr>
              <w:t>45</w:t>
            </w:r>
          </w:p>
        </w:tc>
        <w:tc>
          <w:tcPr>
            <w:tcW w:w="787" w:type="pct"/>
            <w:vAlign w:val="center"/>
          </w:tcPr>
          <w:p w14:paraId="15B4B93E" w14:textId="77777777" w:rsidR="007D1E74" w:rsidRDefault="00A95641">
            <w:pPr>
              <w:jc w:val="center"/>
              <w:rPr>
                <w:rFonts w:cs="Times New Roman"/>
                <w:szCs w:val="21"/>
              </w:rPr>
            </w:pPr>
            <w:r>
              <w:rPr>
                <w:rFonts w:cs="Times New Roman"/>
                <w:szCs w:val="21"/>
              </w:rPr>
              <w:t>107.146149</w:t>
            </w:r>
          </w:p>
        </w:tc>
        <w:tc>
          <w:tcPr>
            <w:tcW w:w="787" w:type="pct"/>
            <w:vAlign w:val="center"/>
          </w:tcPr>
          <w:p w14:paraId="51333612" w14:textId="77777777" w:rsidR="007D1E74" w:rsidRDefault="00A95641">
            <w:pPr>
              <w:jc w:val="center"/>
              <w:rPr>
                <w:rFonts w:cs="Times New Roman"/>
                <w:szCs w:val="21"/>
              </w:rPr>
            </w:pPr>
            <w:r>
              <w:rPr>
                <w:rFonts w:cs="Times New Roman"/>
                <w:szCs w:val="21"/>
              </w:rPr>
              <w:t>32.012088</w:t>
            </w:r>
          </w:p>
        </w:tc>
        <w:tc>
          <w:tcPr>
            <w:tcW w:w="915" w:type="pct"/>
            <w:vAlign w:val="center"/>
          </w:tcPr>
          <w:p w14:paraId="34AE335F" w14:textId="77777777" w:rsidR="007D1E74" w:rsidRDefault="00A95641">
            <w:pPr>
              <w:jc w:val="center"/>
              <w:rPr>
                <w:rFonts w:cs="Times New Roman"/>
                <w:szCs w:val="21"/>
              </w:rPr>
            </w:pPr>
            <w:r>
              <w:rPr>
                <w:rFonts w:cs="Times New Roman" w:hint="eastAsia"/>
                <w:szCs w:val="21"/>
              </w:rPr>
              <w:t>涪阳镇扭扭石</w:t>
            </w:r>
          </w:p>
        </w:tc>
        <w:tc>
          <w:tcPr>
            <w:tcW w:w="963" w:type="pct"/>
            <w:vAlign w:val="center"/>
          </w:tcPr>
          <w:p w14:paraId="19F58D65" w14:textId="77777777" w:rsidR="007D1E74" w:rsidRDefault="00A95641">
            <w:pPr>
              <w:jc w:val="center"/>
              <w:rPr>
                <w:rFonts w:cs="Times New Roman"/>
                <w:szCs w:val="21"/>
              </w:rPr>
            </w:pPr>
            <w:r>
              <w:rPr>
                <w:rFonts w:cs="Times New Roman" w:hint="eastAsia"/>
                <w:szCs w:val="21"/>
              </w:rPr>
              <w:t>8</w:t>
            </w:r>
            <w:r>
              <w:rPr>
                <w:rFonts w:cs="Times New Roman"/>
                <w:szCs w:val="21"/>
              </w:rPr>
              <w:t>45</w:t>
            </w:r>
          </w:p>
        </w:tc>
      </w:tr>
      <w:tr w:rsidR="007D1E74" w14:paraId="59E64E75" w14:textId="77777777">
        <w:tc>
          <w:tcPr>
            <w:tcW w:w="760" w:type="pct"/>
            <w:vMerge/>
            <w:vAlign w:val="center"/>
          </w:tcPr>
          <w:p w14:paraId="74686FD3" w14:textId="77777777" w:rsidR="007D1E74" w:rsidRDefault="007D1E74">
            <w:pPr>
              <w:jc w:val="center"/>
              <w:rPr>
                <w:rFonts w:cs="Times New Roman"/>
                <w:szCs w:val="21"/>
              </w:rPr>
            </w:pPr>
          </w:p>
        </w:tc>
        <w:tc>
          <w:tcPr>
            <w:tcW w:w="787" w:type="pct"/>
            <w:vAlign w:val="center"/>
          </w:tcPr>
          <w:p w14:paraId="6596E32B" w14:textId="77777777" w:rsidR="007D1E74" w:rsidRDefault="00A95641">
            <w:pPr>
              <w:jc w:val="center"/>
              <w:rPr>
                <w:rFonts w:cs="Times New Roman"/>
                <w:szCs w:val="21"/>
              </w:rPr>
            </w:pPr>
            <w:r>
              <w:rPr>
                <w:rFonts w:cs="Times New Roman" w:hint="eastAsia"/>
                <w:szCs w:val="21"/>
              </w:rPr>
              <w:t>4</w:t>
            </w:r>
            <w:r>
              <w:rPr>
                <w:rFonts w:cs="Times New Roman"/>
                <w:szCs w:val="21"/>
              </w:rPr>
              <w:t>69</w:t>
            </w:r>
          </w:p>
        </w:tc>
        <w:tc>
          <w:tcPr>
            <w:tcW w:w="787" w:type="pct"/>
            <w:vAlign w:val="center"/>
          </w:tcPr>
          <w:p w14:paraId="6895C9A7" w14:textId="77777777" w:rsidR="007D1E74" w:rsidRDefault="00A95641">
            <w:pPr>
              <w:jc w:val="center"/>
              <w:rPr>
                <w:rFonts w:cs="Times New Roman"/>
                <w:szCs w:val="21"/>
              </w:rPr>
            </w:pPr>
            <w:r>
              <w:rPr>
                <w:rFonts w:cs="Times New Roman"/>
                <w:szCs w:val="21"/>
              </w:rPr>
              <w:t>107.168302</w:t>
            </w:r>
          </w:p>
        </w:tc>
        <w:tc>
          <w:tcPr>
            <w:tcW w:w="787" w:type="pct"/>
            <w:vAlign w:val="center"/>
          </w:tcPr>
          <w:p w14:paraId="5565EE1F" w14:textId="77777777" w:rsidR="007D1E74" w:rsidRDefault="00A95641">
            <w:pPr>
              <w:jc w:val="center"/>
              <w:rPr>
                <w:rFonts w:cs="Times New Roman"/>
                <w:szCs w:val="21"/>
              </w:rPr>
            </w:pPr>
            <w:r>
              <w:rPr>
                <w:rFonts w:cs="Times New Roman"/>
                <w:szCs w:val="21"/>
              </w:rPr>
              <w:t>32.185917</w:t>
            </w:r>
          </w:p>
        </w:tc>
        <w:tc>
          <w:tcPr>
            <w:tcW w:w="915" w:type="pct"/>
            <w:vAlign w:val="center"/>
          </w:tcPr>
          <w:p w14:paraId="426D0F07" w14:textId="77777777" w:rsidR="007D1E74" w:rsidRDefault="00A95641">
            <w:pPr>
              <w:jc w:val="center"/>
              <w:rPr>
                <w:rFonts w:cs="Times New Roman"/>
                <w:szCs w:val="21"/>
              </w:rPr>
            </w:pPr>
            <w:r>
              <w:rPr>
                <w:rFonts w:cs="Times New Roman" w:hint="eastAsia"/>
                <w:szCs w:val="21"/>
              </w:rPr>
              <w:t>青峪镇三清庙</w:t>
            </w:r>
          </w:p>
        </w:tc>
        <w:tc>
          <w:tcPr>
            <w:tcW w:w="963" w:type="pct"/>
            <w:vAlign w:val="center"/>
          </w:tcPr>
          <w:p w14:paraId="6CE64B5E" w14:textId="77777777" w:rsidR="007D1E74" w:rsidRDefault="00A95641">
            <w:pPr>
              <w:jc w:val="center"/>
              <w:rPr>
                <w:rFonts w:cs="Times New Roman"/>
                <w:szCs w:val="21"/>
              </w:rPr>
            </w:pPr>
            <w:r>
              <w:rPr>
                <w:rFonts w:cs="Times New Roman" w:hint="eastAsia"/>
                <w:szCs w:val="21"/>
              </w:rPr>
              <w:t>9</w:t>
            </w:r>
            <w:r>
              <w:rPr>
                <w:rFonts w:cs="Times New Roman"/>
                <w:szCs w:val="21"/>
              </w:rPr>
              <w:t>10</w:t>
            </w:r>
          </w:p>
        </w:tc>
      </w:tr>
      <w:tr w:rsidR="007D1E74" w14:paraId="73E03DC1" w14:textId="77777777">
        <w:tc>
          <w:tcPr>
            <w:tcW w:w="760" w:type="pct"/>
            <w:vMerge w:val="restart"/>
            <w:vAlign w:val="center"/>
          </w:tcPr>
          <w:p w14:paraId="735CBB56" w14:textId="77777777" w:rsidR="007D1E74" w:rsidRDefault="00A95641">
            <w:pPr>
              <w:jc w:val="center"/>
              <w:rPr>
                <w:rFonts w:cs="Times New Roman"/>
                <w:szCs w:val="21"/>
              </w:rPr>
            </w:pPr>
            <w:r>
              <w:rPr>
                <w:rFonts w:cs="Times New Roman" w:hint="eastAsia"/>
                <w:szCs w:val="21"/>
              </w:rPr>
              <w:t>樟</w:t>
            </w:r>
          </w:p>
        </w:tc>
        <w:tc>
          <w:tcPr>
            <w:tcW w:w="787" w:type="pct"/>
            <w:vAlign w:val="center"/>
          </w:tcPr>
          <w:p w14:paraId="478BD478" w14:textId="77777777" w:rsidR="007D1E74" w:rsidRDefault="00A95641">
            <w:pPr>
              <w:jc w:val="center"/>
              <w:rPr>
                <w:rFonts w:cs="Times New Roman"/>
                <w:szCs w:val="21"/>
              </w:rPr>
            </w:pPr>
            <w:r>
              <w:rPr>
                <w:rFonts w:cs="Times New Roman" w:hint="eastAsia"/>
                <w:szCs w:val="21"/>
              </w:rPr>
              <w:t>7</w:t>
            </w:r>
            <w:r>
              <w:rPr>
                <w:rFonts w:cs="Times New Roman"/>
                <w:szCs w:val="21"/>
              </w:rPr>
              <w:t>82</w:t>
            </w:r>
          </w:p>
        </w:tc>
        <w:tc>
          <w:tcPr>
            <w:tcW w:w="787" w:type="pct"/>
            <w:vAlign w:val="center"/>
          </w:tcPr>
          <w:p w14:paraId="5A62CDBE" w14:textId="77777777" w:rsidR="007D1E74" w:rsidRDefault="00A95641">
            <w:pPr>
              <w:jc w:val="center"/>
              <w:rPr>
                <w:rFonts w:cs="Times New Roman"/>
                <w:szCs w:val="21"/>
              </w:rPr>
            </w:pPr>
            <w:r>
              <w:rPr>
                <w:rFonts w:cs="Times New Roman"/>
                <w:szCs w:val="21"/>
              </w:rPr>
              <w:t>107.148461</w:t>
            </w:r>
          </w:p>
        </w:tc>
        <w:tc>
          <w:tcPr>
            <w:tcW w:w="787" w:type="pct"/>
            <w:vAlign w:val="center"/>
          </w:tcPr>
          <w:p w14:paraId="1B7BDD2C" w14:textId="77777777" w:rsidR="007D1E74" w:rsidRDefault="00A95641">
            <w:pPr>
              <w:jc w:val="center"/>
              <w:rPr>
                <w:rFonts w:cs="Times New Roman"/>
                <w:szCs w:val="21"/>
              </w:rPr>
            </w:pPr>
            <w:r>
              <w:rPr>
                <w:rFonts w:cs="Times New Roman"/>
                <w:szCs w:val="21"/>
              </w:rPr>
              <w:t>32.048351</w:t>
            </w:r>
          </w:p>
        </w:tc>
        <w:tc>
          <w:tcPr>
            <w:tcW w:w="915" w:type="pct"/>
            <w:vAlign w:val="center"/>
          </w:tcPr>
          <w:p w14:paraId="79E0B114" w14:textId="77777777" w:rsidR="007D1E74" w:rsidRDefault="00A95641">
            <w:pPr>
              <w:jc w:val="center"/>
              <w:rPr>
                <w:rFonts w:cs="Times New Roman"/>
                <w:szCs w:val="21"/>
              </w:rPr>
            </w:pPr>
            <w:r>
              <w:rPr>
                <w:rFonts w:cs="Times New Roman" w:hint="eastAsia"/>
                <w:szCs w:val="21"/>
              </w:rPr>
              <w:t>涪阳镇任家大湾</w:t>
            </w:r>
          </w:p>
        </w:tc>
        <w:tc>
          <w:tcPr>
            <w:tcW w:w="963" w:type="pct"/>
            <w:vAlign w:val="center"/>
          </w:tcPr>
          <w:p w14:paraId="3BF65323" w14:textId="77777777" w:rsidR="007D1E74" w:rsidRDefault="00A95641">
            <w:pPr>
              <w:jc w:val="center"/>
              <w:rPr>
                <w:rFonts w:cs="Times New Roman"/>
                <w:szCs w:val="21"/>
              </w:rPr>
            </w:pPr>
            <w:r>
              <w:rPr>
                <w:rFonts w:cs="Times New Roman" w:hint="eastAsia"/>
                <w:szCs w:val="21"/>
              </w:rPr>
              <w:t>4</w:t>
            </w:r>
            <w:r>
              <w:rPr>
                <w:rFonts w:cs="Times New Roman"/>
                <w:szCs w:val="21"/>
              </w:rPr>
              <w:t>00</w:t>
            </w:r>
          </w:p>
        </w:tc>
      </w:tr>
      <w:tr w:rsidR="007D1E74" w14:paraId="21E75D15" w14:textId="77777777">
        <w:tc>
          <w:tcPr>
            <w:tcW w:w="760" w:type="pct"/>
            <w:vMerge/>
            <w:vAlign w:val="center"/>
          </w:tcPr>
          <w:p w14:paraId="7CADFF5C" w14:textId="77777777" w:rsidR="007D1E74" w:rsidRDefault="007D1E74">
            <w:pPr>
              <w:jc w:val="center"/>
              <w:rPr>
                <w:rFonts w:cs="Times New Roman"/>
                <w:szCs w:val="21"/>
              </w:rPr>
            </w:pPr>
          </w:p>
        </w:tc>
        <w:tc>
          <w:tcPr>
            <w:tcW w:w="787" w:type="pct"/>
            <w:vAlign w:val="center"/>
          </w:tcPr>
          <w:p w14:paraId="3A2A5C24" w14:textId="77777777" w:rsidR="007D1E74" w:rsidRDefault="00A95641">
            <w:pPr>
              <w:jc w:val="center"/>
              <w:rPr>
                <w:rFonts w:cs="Times New Roman"/>
                <w:szCs w:val="21"/>
              </w:rPr>
            </w:pPr>
            <w:r>
              <w:rPr>
                <w:rFonts w:cs="Times New Roman" w:hint="eastAsia"/>
                <w:szCs w:val="21"/>
              </w:rPr>
              <w:t>6</w:t>
            </w:r>
            <w:r>
              <w:rPr>
                <w:rFonts w:cs="Times New Roman"/>
                <w:szCs w:val="21"/>
              </w:rPr>
              <w:t>68</w:t>
            </w:r>
          </w:p>
        </w:tc>
        <w:tc>
          <w:tcPr>
            <w:tcW w:w="787" w:type="pct"/>
            <w:vAlign w:val="center"/>
          </w:tcPr>
          <w:p w14:paraId="061DA454" w14:textId="77777777" w:rsidR="007D1E74" w:rsidRDefault="00A95641">
            <w:pPr>
              <w:jc w:val="center"/>
              <w:rPr>
                <w:rFonts w:cs="Times New Roman"/>
                <w:szCs w:val="21"/>
              </w:rPr>
            </w:pPr>
            <w:r>
              <w:rPr>
                <w:rFonts w:cs="Times New Roman"/>
                <w:szCs w:val="21"/>
              </w:rPr>
              <w:t>107.194810</w:t>
            </w:r>
          </w:p>
        </w:tc>
        <w:tc>
          <w:tcPr>
            <w:tcW w:w="787" w:type="pct"/>
            <w:vAlign w:val="center"/>
          </w:tcPr>
          <w:p w14:paraId="3A35D66D" w14:textId="77777777" w:rsidR="007D1E74" w:rsidRDefault="00A95641">
            <w:pPr>
              <w:jc w:val="center"/>
              <w:rPr>
                <w:rFonts w:cs="Times New Roman"/>
                <w:szCs w:val="21"/>
              </w:rPr>
            </w:pPr>
            <w:r>
              <w:rPr>
                <w:rFonts w:cs="Times New Roman"/>
                <w:szCs w:val="21"/>
              </w:rPr>
              <w:t>32.213747</w:t>
            </w:r>
          </w:p>
        </w:tc>
        <w:tc>
          <w:tcPr>
            <w:tcW w:w="915" w:type="pct"/>
            <w:vAlign w:val="center"/>
          </w:tcPr>
          <w:p w14:paraId="3E6FD802" w14:textId="77777777" w:rsidR="007D1E74" w:rsidRDefault="00A95641">
            <w:pPr>
              <w:jc w:val="center"/>
              <w:rPr>
                <w:rFonts w:cs="Times New Roman"/>
                <w:szCs w:val="21"/>
              </w:rPr>
            </w:pPr>
            <w:r>
              <w:rPr>
                <w:rFonts w:cs="Times New Roman" w:hint="eastAsia"/>
                <w:szCs w:val="21"/>
              </w:rPr>
              <w:t>青峪镇竹园坡</w:t>
            </w:r>
          </w:p>
        </w:tc>
        <w:tc>
          <w:tcPr>
            <w:tcW w:w="963" w:type="pct"/>
            <w:vAlign w:val="center"/>
          </w:tcPr>
          <w:p w14:paraId="63BE9858" w14:textId="77777777" w:rsidR="007D1E74" w:rsidRDefault="00A95641">
            <w:pPr>
              <w:jc w:val="center"/>
              <w:rPr>
                <w:rFonts w:cs="Times New Roman"/>
                <w:szCs w:val="21"/>
              </w:rPr>
            </w:pPr>
            <w:r>
              <w:rPr>
                <w:rFonts w:cs="Times New Roman" w:hint="eastAsia"/>
                <w:szCs w:val="21"/>
              </w:rPr>
              <w:t>5</w:t>
            </w:r>
            <w:r>
              <w:rPr>
                <w:rFonts w:cs="Times New Roman"/>
                <w:szCs w:val="21"/>
              </w:rPr>
              <w:t>50</w:t>
            </w:r>
          </w:p>
        </w:tc>
      </w:tr>
      <w:tr w:rsidR="007D1E74" w14:paraId="48015465" w14:textId="77777777">
        <w:tc>
          <w:tcPr>
            <w:tcW w:w="760" w:type="pct"/>
            <w:vMerge/>
            <w:vAlign w:val="center"/>
          </w:tcPr>
          <w:p w14:paraId="43EAC4CC" w14:textId="77777777" w:rsidR="007D1E74" w:rsidRDefault="007D1E74">
            <w:pPr>
              <w:jc w:val="center"/>
              <w:rPr>
                <w:rFonts w:cs="Times New Roman"/>
                <w:szCs w:val="21"/>
              </w:rPr>
            </w:pPr>
          </w:p>
        </w:tc>
        <w:tc>
          <w:tcPr>
            <w:tcW w:w="787" w:type="pct"/>
            <w:vAlign w:val="center"/>
          </w:tcPr>
          <w:p w14:paraId="208C9B9B" w14:textId="77777777" w:rsidR="007D1E74" w:rsidRDefault="00A95641">
            <w:pPr>
              <w:jc w:val="center"/>
              <w:rPr>
                <w:rFonts w:cs="Times New Roman"/>
                <w:szCs w:val="21"/>
              </w:rPr>
            </w:pPr>
            <w:r>
              <w:rPr>
                <w:rFonts w:cs="Times New Roman" w:hint="eastAsia"/>
                <w:szCs w:val="21"/>
              </w:rPr>
              <w:t>6</w:t>
            </w:r>
            <w:r>
              <w:rPr>
                <w:rFonts w:cs="Times New Roman"/>
                <w:szCs w:val="21"/>
              </w:rPr>
              <w:t>91</w:t>
            </w:r>
          </w:p>
        </w:tc>
        <w:tc>
          <w:tcPr>
            <w:tcW w:w="787" w:type="pct"/>
            <w:vAlign w:val="center"/>
          </w:tcPr>
          <w:p w14:paraId="4D3A4673" w14:textId="77777777" w:rsidR="007D1E74" w:rsidRDefault="00A95641">
            <w:pPr>
              <w:jc w:val="center"/>
              <w:rPr>
                <w:rFonts w:cs="Times New Roman"/>
                <w:szCs w:val="21"/>
              </w:rPr>
            </w:pPr>
            <w:r>
              <w:rPr>
                <w:rFonts w:cs="Times New Roman"/>
                <w:szCs w:val="21"/>
              </w:rPr>
              <w:t>107.247907</w:t>
            </w:r>
          </w:p>
        </w:tc>
        <w:tc>
          <w:tcPr>
            <w:tcW w:w="787" w:type="pct"/>
            <w:vAlign w:val="center"/>
          </w:tcPr>
          <w:p w14:paraId="4FAD8C02" w14:textId="77777777" w:rsidR="007D1E74" w:rsidRDefault="00A95641">
            <w:pPr>
              <w:jc w:val="center"/>
              <w:rPr>
                <w:rFonts w:cs="Times New Roman"/>
                <w:szCs w:val="21"/>
              </w:rPr>
            </w:pPr>
            <w:r>
              <w:rPr>
                <w:rFonts w:cs="Times New Roman"/>
                <w:szCs w:val="21"/>
              </w:rPr>
              <w:t>32.239888</w:t>
            </w:r>
          </w:p>
        </w:tc>
        <w:tc>
          <w:tcPr>
            <w:tcW w:w="915" w:type="pct"/>
            <w:vAlign w:val="center"/>
          </w:tcPr>
          <w:p w14:paraId="4FE10796" w14:textId="77777777" w:rsidR="007D1E74" w:rsidRDefault="00A95641">
            <w:pPr>
              <w:jc w:val="center"/>
              <w:rPr>
                <w:rFonts w:cs="Times New Roman"/>
                <w:szCs w:val="21"/>
              </w:rPr>
            </w:pPr>
            <w:r>
              <w:rPr>
                <w:rFonts w:cs="Times New Roman" w:hint="eastAsia"/>
                <w:szCs w:val="21"/>
              </w:rPr>
              <w:t>青峪镇瓦子坝</w:t>
            </w:r>
          </w:p>
        </w:tc>
        <w:tc>
          <w:tcPr>
            <w:tcW w:w="963" w:type="pct"/>
            <w:vAlign w:val="center"/>
          </w:tcPr>
          <w:p w14:paraId="06ECDDB0" w14:textId="77777777" w:rsidR="007D1E74" w:rsidRDefault="00A95641">
            <w:pPr>
              <w:jc w:val="center"/>
              <w:rPr>
                <w:rFonts w:cs="Times New Roman"/>
                <w:szCs w:val="21"/>
              </w:rPr>
            </w:pPr>
            <w:r>
              <w:rPr>
                <w:rFonts w:cs="Times New Roman" w:hint="eastAsia"/>
                <w:szCs w:val="21"/>
              </w:rPr>
              <w:t>1</w:t>
            </w:r>
            <w:r>
              <w:rPr>
                <w:rFonts w:cs="Times New Roman"/>
                <w:szCs w:val="21"/>
              </w:rPr>
              <w:t>000</w:t>
            </w:r>
          </w:p>
        </w:tc>
      </w:tr>
      <w:tr w:rsidR="007D1E74" w14:paraId="0A45E012" w14:textId="77777777">
        <w:tc>
          <w:tcPr>
            <w:tcW w:w="760" w:type="pct"/>
            <w:vMerge w:val="restart"/>
            <w:vAlign w:val="center"/>
          </w:tcPr>
          <w:p w14:paraId="760F8E04" w14:textId="77777777" w:rsidR="007D1E74" w:rsidRDefault="00A95641">
            <w:pPr>
              <w:jc w:val="center"/>
              <w:rPr>
                <w:rFonts w:cs="Times New Roman"/>
                <w:szCs w:val="21"/>
              </w:rPr>
            </w:pPr>
            <w:r>
              <w:rPr>
                <w:rFonts w:cs="Times New Roman"/>
                <w:szCs w:val="21"/>
              </w:rPr>
              <w:t>枫香</w:t>
            </w:r>
          </w:p>
        </w:tc>
        <w:tc>
          <w:tcPr>
            <w:tcW w:w="787" w:type="pct"/>
            <w:vAlign w:val="center"/>
          </w:tcPr>
          <w:p w14:paraId="4DC81BCD" w14:textId="77777777" w:rsidR="007D1E74" w:rsidRDefault="00A95641">
            <w:pPr>
              <w:jc w:val="center"/>
              <w:rPr>
                <w:rFonts w:cs="Times New Roman"/>
                <w:szCs w:val="21"/>
              </w:rPr>
            </w:pPr>
            <w:r>
              <w:rPr>
                <w:rFonts w:cs="Times New Roman" w:hint="eastAsia"/>
                <w:szCs w:val="21"/>
              </w:rPr>
              <w:t>4</w:t>
            </w:r>
            <w:r>
              <w:rPr>
                <w:rFonts w:cs="Times New Roman"/>
                <w:szCs w:val="21"/>
              </w:rPr>
              <w:t>69</w:t>
            </w:r>
          </w:p>
        </w:tc>
        <w:tc>
          <w:tcPr>
            <w:tcW w:w="787" w:type="pct"/>
            <w:vAlign w:val="center"/>
          </w:tcPr>
          <w:p w14:paraId="10DF5421" w14:textId="77777777" w:rsidR="007D1E74" w:rsidRDefault="00A95641">
            <w:pPr>
              <w:jc w:val="center"/>
              <w:rPr>
                <w:rFonts w:cs="Times New Roman"/>
                <w:szCs w:val="21"/>
              </w:rPr>
            </w:pPr>
            <w:r>
              <w:rPr>
                <w:rFonts w:cs="Times New Roman"/>
                <w:szCs w:val="21"/>
              </w:rPr>
              <w:t>107.145645</w:t>
            </w:r>
          </w:p>
        </w:tc>
        <w:tc>
          <w:tcPr>
            <w:tcW w:w="787" w:type="pct"/>
            <w:vAlign w:val="center"/>
          </w:tcPr>
          <w:p w14:paraId="62AB227E" w14:textId="77777777" w:rsidR="007D1E74" w:rsidRDefault="00A95641">
            <w:pPr>
              <w:jc w:val="center"/>
              <w:rPr>
                <w:rFonts w:cs="Times New Roman"/>
                <w:szCs w:val="21"/>
              </w:rPr>
            </w:pPr>
            <w:r>
              <w:rPr>
                <w:rFonts w:cs="Times New Roman"/>
                <w:szCs w:val="21"/>
              </w:rPr>
              <w:t>32.024919</w:t>
            </w:r>
          </w:p>
        </w:tc>
        <w:tc>
          <w:tcPr>
            <w:tcW w:w="915" w:type="pct"/>
            <w:vAlign w:val="center"/>
          </w:tcPr>
          <w:p w14:paraId="5A5737EE" w14:textId="77777777" w:rsidR="007D1E74" w:rsidRDefault="00A95641">
            <w:pPr>
              <w:jc w:val="center"/>
              <w:rPr>
                <w:rFonts w:cs="Times New Roman"/>
                <w:szCs w:val="21"/>
              </w:rPr>
            </w:pPr>
            <w:r>
              <w:rPr>
                <w:rFonts w:cs="Times New Roman" w:hint="eastAsia"/>
                <w:szCs w:val="21"/>
              </w:rPr>
              <w:t>涪阳镇清水沟</w:t>
            </w:r>
          </w:p>
        </w:tc>
        <w:tc>
          <w:tcPr>
            <w:tcW w:w="963" w:type="pct"/>
            <w:vAlign w:val="center"/>
          </w:tcPr>
          <w:p w14:paraId="5F097E79" w14:textId="77777777" w:rsidR="007D1E74" w:rsidRDefault="00A95641">
            <w:pPr>
              <w:jc w:val="center"/>
              <w:rPr>
                <w:rFonts w:cs="Times New Roman"/>
                <w:szCs w:val="21"/>
              </w:rPr>
            </w:pPr>
            <w:r>
              <w:rPr>
                <w:rFonts w:cs="Times New Roman" w:hint="eastAsia"/>
                <w:szCs w:val="21"/>
              </w:rPr>
              <w:t>8</w:t>
            </w:r>
            <w:r>
              <w:rPr>
                <w:rFonts w:cs="Times New Roman"/>
                <w:szCs w:val="21"/>
              </w:rPr>
              <w:t>50</w:t>
            </w:r>
          </w:p>
        </w:tc>
      </w:tr>
      <w:tr w:rsidR="007D1E74" w14:paraId="5E6AFA5B" w14:textId="77777777">
        <w:tc>
          <w:tcPr>
            <w:tcW w:w="760" w:type="pct"/>
            <w:vMerge/>
            <w:vAlign w:val="center"/>
          </w:tcPr>
          <w:p w14:paraId="35B1CC89" w14:textId="77777777" w:rsidR="007D1E74" w:rsidRDefault="007D1E74">
            <w:pPr>
              <w:jc w:val="center"/>
              <w:rPr>
                <w:rFonts w:cs="Times New Roman"/>
                <w:szCs w:val="21"/>
              </w:rPr>
            </w:pPr>
          </w:p>
        </w:tc>
        <w:tc>
          <w:tcPr>
            <w:tcW w:w="787" w:type="pct"/>
            <w:vAlign w:val="center"/>
          </w:tcPr>
          <w:p w14:paraId="01006DE1" w14:textId="77777777" w:rsidR="007D1E74" w:rsidRDefault="00A95641">
            <w:pPr>
              <w:jc w:val="center"/>
              <w:rPr>
                <w:rFonts w:cs="Times New Roman"/>
                <w:szCs w:val="21"/>
              </w:rPr>
            </w:pPr>
            <w:r>
              <w:rPr>
                <w:rFonts w:cs="Times New Roman" w:hint="eastAsia"/>
                <w:szCs w:val="21"/>
              </w:rPr>
              <w:t>4</w:t>
            </w:r>
            <w:r>
              <w:rPr>
                <w:rFonts w:cs="Times New Roman"/>
                <w:szCs w:val="21"/>
              </w:rPr>
              <w:t>21</w:t>
            </w:r>
          </w:p>
        </w:tc>
        <w:tc>
          <w:tcPr>
            <w:tcW w:w="787" w:type="pct"/>
            <w:vAlign w:val="center"/>
          </w:tcPr>
          <w:p w14:paraId="0883F681" w14:textId="77777777" w:rsidR="007D1E74" w:rsidRDefault="00A95641">
            <w:pPr>
              <w:jc w:val="center"/>
              <w:rPr>
                <w:rFonts w:cs="Times New Roman"/>
                <w:szCs w:val="21"/>
              </w:rPr>
            </w:pPr>
            <w:r>
              <w:rPr>
                <w:rFonts w:cs="Times New Roman"/>
                <w:szCs w:val="21"/>
              </w:rPr>
              <w:t>107.155980</w:t>
            </w:r>
          </w:p>
        </w:tc>
        <w:tc>
          <w:tcPr>
            <w:tcW w:w="787" w:type="pct"/>
            <w:vAlign w:val="center"/>
          </w:tcPr>
          <w:p w14:paraId="49947B52" w14:textId="77777777" w:rsidR="007D1E74" w:rsidRDefault="00A95641">
            <w:pPr>
              <w:jc w:val="center"/>
              <w:rPr>
                <w:rFonts w:cs="Times New Roman"/>
                <w:szCs w:val="21"/>
              </w:rPr>
            </w:pPr>
            <w:r>
              <w:rPr>
                <w:rFonts w:cs="Times New Roman"/>
                <w:szCs w:val="21"/>
              </w:rPr>
              <w:t>32.058123</w:t>
            </w:r>
          </w:p>
        </w:tc>
        <w:tc>
          <w:tcPr>
            <w:tcW w:w="915" w:type="pct"/>
            <w:vAlign w:val="center"/>
          </w:tcPr>
          <w:p w14:paraId="604BD091" w14:textId="77777777" w:rsidR="007D1E74" w:rsidRDefault="00A95641">
            <w:pPr>
              <w:jc w:val="center"/>
              <w:rPr>
                <w:rFonts w:cs="Times New Roman"/>
                <w:szCs w:val="21"/>
              </w:rPr>
            </w:pPr>
            <w:r>
              <w:rPr>
                <w:rFonts w:cs="Times New Roman" w:hint="eastAsia"/>
                <w:szCs w:val="21"/>
              </w:rPr>
              <w:t>涪阳镇涪阳坝西</w:t>
            </w:r>
          </w:p>
        </w:tc>
        <w:tc>
          <w:tcPr>
            <w:tcW w:w="963" w:type="pct"/>
            <w:vAlign w:val="center"/>
          </w:tcPr>
          <w:p w14:paraId="578D2FAE" w14:textId="77777777" w:rsidR="007D1E74" w:rsidRDefault="00A95641">
            <w:pPr>
              <w:jc w:val="center"/>
              <w:rPr>
                <w:rFonts w:cs="Times New Roman"/>
                <w:szCs w:val="21"/>
              </w:rPr>
            </w:pPr>
            <w:r>
              <w:rPr>
                <w:rFonts w:cs="Times New Roman" w:hint="eastAsia"/>
                <w:szCs w:val="21"/>
              </w:rPr>
              <w:t>7</w:t>
            </w:r>
            <w:r>
              <w:rPr>
                <w:rFonts w:cs="Times New Roman"/>
                <w:szCs w:val="21"/>
              </w:rPr>
              <w:t>50</w:t>
            </w:r>
          </w:p>
        </w:tc>
      </w:tr>
      <w:tr w:rsidR="007D1E74" w14:paraId="5EDA4535" w14:textId="77777777">
        <w:tc>
          <w:tcPr>
            <w:tcW w:w="760" w:type="pct"/>
            <w:vMerge/>
            <w:vAlign w:val="center"/>
          </w:tcPr>
          <w:p w14:paraId="49134E39" w14:textId="77777777" w:rsidR="007D1E74" w:rsidRDefault="007D1E74">
            <w:pPr>
              <w:jc w:val="center"/>
              <w:rPr>
                <w:rFonts w:cs="Times New Roman"/>
                <w:szCs w:val="21"/>
              </w:rPr>
            </w:pPr>
          </w:p>
        </w:tc>
        <w:tc>
          <w:tcPr>
            <w:tcW w:w="787" w:type="pct"/>
            <w:vAlign w:val="center"/>
          </w:tcPr>
          <w:p w14:paraId="04ACC065" w14:textId="77777777" w:rsidR="007D1E74" w:rsidRDefault="00A95641">
            <w:pPr>
              <w:jc w:val="center"/>
              <w:rPr>
                <w:rFonts w:cs="Times New Roman"/>
                <w:szCs w:val="21"/>
              </w:rPr>
            </w:pPr>
            <w:r>
              <w:rPr>
                <w:rFonts w:cs="Times New Roman" w:hint="eastAsia"/>
                <w:szCs w:val="21"/>
              </w:rPr>
              <w:t>4</w:t>
            </w:r>
            <w:r>
              <w:rPr>
                <w:rFonts w:cs="Times New Roman"/>
                <w:szCs w:val="21"/>
              </w:rPr>
              <w:t>82</w:t>
            </w:r>
          </w:p>
        </w:tc>
        <w:tc>
          <w:tcPr>
            <w:tcW w:w="787" w:type="pct"/>
            <w:vAlign w:val="center"/>
          </w:tcPr>
          <w:p w14:paraId="725D9471" w14:textId="77777777" w:rsidR="007D1E74" w:rsidRDefault="00A95641">
            <w:pPr>
              <w:jc w:val="center"/>
              <w:rPr>
                <w:rFonts w:cs="Times New Roman"/>
                <w:szCs w:val="21"/>
              </w:rPr>
            </w:pPr>
            <w:r>
              <w:rPr>
                <w:rFonts w:cs="Times New Roman"/>
                <w:szCs w:val="21"/>
              </w:rPr>
              <w:t>107.169176</w:t>
            </w:r>
          </w:p>
        </w:tc>
        <w:tc>
          <w:tcPr>
            <w:tcW w:w="787" w:type="pct"/>
            <w:vAlign w:val="center"/>
          </w:tcPr>
          <w:p w14:paraId="0B14A445" w14:textId="77777777" w:rsidR="007D1E74" w:rsidRDefault="00A95641">
            <w:pPr>
              <w:jc w:val="center"/>
              <w:rPr>
                <w:rFonts w:cs="Times New Roman"/>
                <w:szCs w:val="21"/>
              </w:rPr>
            </w:pPr>
            <w:r>
              <w:rPr>
                <w:rFonts w:cs="Times New Roman"/>
                <w:szCs w:val="21"/>
              </w:rPr>
              <w:t>32.187338</w:t>
            </w:r>
          </w:p>
        </w:tc>
        <w:tc>
          <w:tcPr>
            <w:tcW w:w="915" w:type="pct"/>
            <w:vAlign w:val="center"/>
          </w:tcPr>
          <w:p w14:paraId="31EEB03A" w14:textId="77777777" w:rsidR="007D1E74" w:rsidRDefault="00A95641">
            <w:pPr>
              <w:jc w:val="center"/>
              <w:rPr>
                <w:rFonts w:cs="Times New Roman"/>
                <w:szCs w:val="21"/>
              </w:rPr>
            </w:pPr>
            <w:r>
              <w:rPr>
                <w:rFonts w:cs="Times New Roman" w:hint="eastAsia"/>
                <w:szCs w:val="21"/>
              </w:rPr>
              <w:t>青峪镇龙头咀</w:t>
            </w:r>
          </w:p>
        </w:tc>
        <w:tc>
          <w:tcPr>
            <w:tcW w:w="963" w:type="pct"/>
            <w:vAlign w:val="center"/>
          </w:tcPr>
          <w:p w14:paraId="2CEB6DA6" w14:textId="77777777" w:rsidR="007D1E74" w:rsidRDefault="00A95641">
            <w:pPr>
              <w:jc w:val="center"/>
              <w:rPr>
                <w:rFonts w:cs="Times New Roman"/>
                <w:szCs w:val="21"/>
              </w:rPr>
            </w:pPr>
            <w:r>
              <w:rPr>
                <w:rFonts w:cs="Times New Roman" w:hint="eastAsia"/>
                <w:szCs w:val="21"/>
              </w:rPr>
              <w:t>9</w:t>
            </w:r>
            <w:r>
              <w:rPr>
                <w:rFonts w:cs="Times New Roman"/>
                <w:szCs w:val="21"/>
              </w:rPr>
              <w:t>35</w:t>
            </w:r>
          </w:p>
        </w:tc>
      </w:tr>
    </w:tbl>
    <w:p w14:paraId="769DDC2A" w14:textId="77777777" w:rsidR="007D1E74" w:rsidRDefault="007D1E74">
      <w:pPr>
        <w:spacing w:line="360" w:lineRule="auto"/>
        <w:ind w:firstLineChars="200" w:firstLine="480"/>
        <w:rPr>
          <w:sz w:val="24"/>
          <w:szCs w:val="24"/>
        </w:rPr>
      </w:pPr>
    </w:p>
    <w:tbl>
      <w:tblPr>
        <w:tblStyle w:val="aff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505"/>
      </w:tblGrid>
      <w:tr w:rsidR="007D1E74" w14:paraId="064C7825" w14:textId="77777777">
        <w:tc>
          <w:tcPr>
            <w:tcW w:w="4649" w:type="dxa"/>
            <w:vAlign w:val="center"/>
          </w:tcPr>
          <w:p w14:paraId="21143643" w14:textId="77777777" w:rsidR="007D1E74" w:rsidRDefault="00A95641">
            <w:pPr>
              <w:jc w:val="center"/>
              <w:rPr>
                <w:szCs w:val="21"/>
              </w:rPr>
            </w:pPr>
            <w:r>
              <w:rPr>
                <w:noProof/>
                <w:szCs w:val="21"/>
              </w:rPr>
              <w:drawing>
                <wp:inline distT="0" distB="0" distL="0" distR="0" wp14:anchorId="6EB05E3B" wp14:editId="7F1BE056">
                  <wp:extent cx="2302510" cy="1727835"/>
                  <wp:effectExtent l="0" t="0" r="13970"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2303128" cy="1728273"/>
                          </a:xfrm>
                          <a:prstGeom prst="rect">
                            <a:avLst/>
                          </a:prstGeom>
                        </pic:spPr>
                      </pic:pic>
                    </a:graphicData>
                  </a:graphic>
                </wp:inline>
              </w:drawing>
            </w:r>
          </w:p>
        </w:tc>
        <w:tc>
          <w:tcPr>
            <w:tcW w:w="4650" w:type="dxa"/>
            <w:vAlign w:val="center"/>
          </w:tcPr>
          <w:p w14:paraId="1F727DAF" w14:textId="77777777" w:rsidR="007D1E74" w:rsidRDefault="00A95641">
            <w:pPr>
              <w:jc w:val="center"/>
              <w:rPr>
                <w:szCs w:val="21"/>
              </w:rPr>
            </w:pPr>
            <w:r>
              <w:rPr>
                <w:noProof/>
                <w:szCs w:val="21"/>
              </w:rPr>
              <w:drawing>
                <wp:inline distT="0" distB="0" distL="0" distR="0" wp14:anchorId="6B7A3A73" wp14:editId="4B214DAE">
                  <wp:extent cx="2295525" cy="1734185"/>
                  <wp:effectExtent l="0" t="0" r="5715" b="317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0" y="0"/>
                            <a:ext cx="2295823" cy="1734307"/>
                          </a:xfrm>
                          <a:prstGeom prst="rect">
                            <a:avLst/>
                          </a:prstGeom>
                        </pic:spPr>
                      </pic:pic>
                    </a:graphicData>
                  </a:graphic>
                </wp:inline>
              </w:drawing>
            </w:r>
          </w:p>
        </w:tc>
      </w:tr>
      <w:tr w:rsidR="007D1E74" w14:paraId="7E3E9E1C" w14:textId="77777777">
        <w:tc>
          <w:tcPr>
            <w:tcW w:w="4649" w:type="dxa"/>
            <w:vAlign w:val="center"/>
          </w:tcPr>
          <w:p w14:paraId="3EA9E78D" w14:textId="77777777" w:rsidR="007D1E74" w:rsidRDefault="00A95641">
            <w:pPr>
              <w:jc w:val="center"/>
              <w:rPr>
                <w:szCs w:val="21"/>
              </w:rPr>
            </w:pPr>
            <w:r>
              <w:rPr>
                <w:rFonts w:hint="eastAsia"/>
                <w:szCs w:val="21"/>
              </w:rPr>
              <w:t>银杏</w:t>
            </w:r>
          </w:p>
        </w:tc>
        <w:tc>
          <w:tcPr>
            <w:tcW w:w="4650" w:type="dxa"/>
            <w:vAlign w:val="center"/>
          </w:tcPr>
          <w:p w14:paraId="1724EA56" w14:textId="77777777" w:rsidR="007D1E74" w:rsidRDefault="00A95641">
            <w:pPr>
              <w:jc w:val="center"/>
              <w:rPr>
                <w:szCs w:val="21"/>
              </w:rPr>
            </w:pPr>
            <w:r>
              <w:rPr>
                <w:szCs w:val="21"/>
              </w:rPr>
              <w:t>马尾松</w:t>
            </w:r>
          </w:p>
        </w:tc>
      </w:tr>
      <w:tr w:rsidR="007D1E74" w14:paraId="21DA4589" w14:textId="77777777">
        <w:tc>
          <w:tcPr>
            <w:tcW w:w="4649" w:type="dxa"/>
            <w:vAlign w:val="center"/>
          </w:tcPr>
          <w:p w14:paraId="43449334" w14:textId="77777777" w:rsidR="007D1E74" w:rsidRDefault="00A95641">
            <w:pPr>
              <w:jc w:val="center"/>
              <w:rPr>
                <w:szCs w:val="21"/>
              </w:rPr>
            </w:pPr>
            <w:r>
              <w:rPr>
                <w:noProof/>
                <w:szCs w:val="21"/>
              </w:rPr>
              <w:drawing>
                <wp:inline distT="0" distB="0" distL="0" distR="0" wp14:anchorId="57ADE872" wp14:editId="45BB4E42">
                  <wp:extent cx="2288540" cy="1721485"/>
                  <wp:effectExtent l="0" t="0" r="12700" b="63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10">
                            <a:extLst>
                              <a:ext uri="{28A0092B-C50C-407E-A947-70E740481C1C}">
                                <a14:useLocalDpi xmlns:a14="http://schemas.microsoft.com/office/drawing/2010/main" val="0"/>
                              </a:ext>
                            </a:extLst>
                          </a:blip>
                          <a:stretch>
                            <a:fillRect/>
                          </a:stretch>
                        </pic:blipFill>
                        <pic:spPr>
                          <a:xfrm>
                            <a:off x="0" y="0"/>
                            <a:ext cx="2288605" cy="1721497"/>
                          </a:xfrm>
                          <a:prstGeom prst="rect">
                            <a:avLst/>
                          </a:prstGeom>
                        </pic:spPr>
                      </pic:pic>
                    </a:graphicData>
                  </a:graphic>
                </wp:inline>
              </w:drawing>
            </w:r>
          </w:p>
        </w:tc>
        <w:tc>
          <w:tcPr>
            <w:tcW w:w="4650" w:type="dxa"/>
            <w:vAlign w:val="center"/>
          </w:tcPr>
          <w:p w14:paraId="38D0159F" w14:textId="77777777" w:rsidR="007D1E74" w:rsidRDefault="00A95641">
            <w:pPr>
              <w:jc w:val="center"/>
              <w:rPr>
                <w:szCs w:val="21"/>
              </w:rPr>
            </w:pPr>
            <w:r>
              <w:rPr>
                <w:noProof/>
                <w:szCs w:val="21"/>
              </w:rPr>
              <w:drawing>
                <wp:inline distT="0" distB="0" distL="0" distR="0" wp14:anchorId="3DB60295" wp14:editId="0A8DE859">
                  <wp:extent cx="2292985" cy="1730375"/>
                  <wp:effectExtent l="0" t="0" r="8255" b="698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2293246" cy="1730526"/>
                          </a:xfrm>
                          <a:prstGeom prst="rect">
                            <a:avLst/>
                          </a:prstGeom>
                        </pic:spPr>
                      </pic:pic>
                    </a:graphicData>
                  </a:graphic>
                </wp:inline>
              </w:drawing>
            </w:r>
          </w:p>
        </w:tc>
      </w:tr>
      <w:tr w:rsidR="007D1E74" w14:paraId="7EB52C12" w14:textId="77777777">
        <w:tc>
          <w:tcPr>
            <w:tcW w:w="4649" w:type="dxa"/>
            <w:vAlign w:val="center"/>
          </w:tcPr>
          <w:p w14:paraId="4DAA6B44" w14:textId="77777777" w:rsidR="007D1E74" w:rsidRDefault="00A95641">
            <w:pPr>
              <w:jc w:val="center"/>
              <w:rPr>
                <w:szCs w:val="21"/>
              </w:rPr>
            </w:pPr>
            <w:r>
              <w:rPr>
                <w:szCs w:val="21"/>
              </w:rPr>
              <w:t>柏木</w:t>
            </w:r>
          </w:p>
        </w:tc>
        <w:tc>
          <w:tcPr>
            <w:tcW w:w="4650" w:type="dxa"/>
            <w:vAlign w:val="center"/>
          </w:tcPr>
          <w:p w14:paraId="1DE1E905" w14:textId="77777777" w:rsidR="007D1E74" w:rsidRDefault="00A95641">
            <w:pPr>
              <w:jc w:val="center"/>
              <w:rPr>
                <w:szCs w:val="21"/>
              </w:rPr>
            </w:pPr>
            <w:r>
              <w:rPr>
                <w:szCs w:val="21"/>
              </w:rPr>
              <w:t>柏木</w:t>
            </w:r>
          </w:p>
        </w:tc>
      </w:tr>
      <w:tr w:rsidR="007D1E74" w14:paraId="3B3AC256" w14:textId="77777777">
        <w:tc>
          <w:tcPr>
            <w:tcW w:w="4649" w:type="dxa"/>
            <w:vAlign w:val="center"/>
          </w:tcPr>
          <w:p w14:paraId="0768A4C8" w14:textId="77777777" w:rsidR="007D1E74" w:rsidRDefault="00A95641">
            <w:pPr>
              <w:jc w:val="center"/>
              <w:rPr>
                <w:szCs w:val="21"/>
              </w:rPr>
            </w:pPr>
            <w:r>
              <w:rPr>
                <w:noProof/>
                <w:szCs w:val="21"/>
              </w:rPr>
              <w:lastRenderedPageBreak/>
              <w:drawing>
                <wp:inline distT="0" distB="0" distL="0" distR="0" wp14:anchorId="01174620" wp14:editId="74E9D80B">
                  <wp:extent cx="2348230" cy="1760220"/>
                  <wp:effectExtent l="0" t="0" r="13970" b="762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2348373" cy="1760343"/>
                          </a:xfrm>
                          <a:prstGeom prst="rect">
                            <a:avLst/>
                          </a:prstGeom>
                        </pic:spPr>
                      </pic:pic>
                    </a:graphicData>
                  </a:graphic>
                </wp:inline>
              </w:drawing>
            </w:r>
          </w:p>
        </w:tc>
        <w:tc>
          <w:tcPr>
            <w:tcW w:w="4650" w:type="dxa"/>
            <w:vAlign w:val="center"/>
          </w:tcPr>
          <w:p w14:paraId="5486320B" w14:textId="77777777" w:rsidR="007D1E74" w:rsidRDefault="00A95641">
            <w:pPr>
              <w:jc w:val="center"/>
              <w:rPr>
                <w:szCs w:val="21"/>
              </w:rPr>
            </w:pPr>
            <w:r>
              <w:rPr>
                <w:noProof/>
                <w:szCs w:val="21"/>
              </w:rPr>
              <w:drawing>
                <wp:inline distT="0" distB="0" distL="0" distR="0" wp14:anchorId="4A121475" wp14:editId="32A7B8A0">
                  <wp:extent cx="2266950" cy="1760220"/>
                  <wp:effectExtent l="0" t="0" r="3810" b="762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a:off x="0" y="0"/>
                            <a:ext cx="2267420" cy="1760585"/>
                          </a:xfrm>
                          <a:prstGeom prst="rect">
                            <a:avLst/>
                          </a:prstGeom>
                        </pic:spPr>
                      </pic:pic>
                    </a:graphicData>
                  </a:graphic>
                </wp:inline>
              </w:drawing>
            </w:r>
          </w:p>
        </w:tc>
      </w:tr>
      <w:tr w:rsidR="007D1E74" w14:paraId="0CDE2F17" w14:textId="77777777">
        <w:tc>
          <w:tcPr>
            <w:tcW w:w="4649" w:type="dxa"/>
            <w:vAlign w:val="center"/>
          </w:tcPr>
          <w:p w14:paraId="583E3E20" w14:textId="77777777" w:rsidR="007D1E74" w:rsidRDefault="00A95641">
            <w:pPr>
              <w:jc w:val="center"/>
              <w:rPr>
                <w:szCs w:val="21"/>
              </w:rPr>
            </w:pPr>
            <w:r>
              <w:rPr>
                <w:rFonts w:hint="eastAsia"/>
                <w:szCs w:val="21"/>
              </w:rPr>
              <w:t>枫香</w:t>
            </w:r>
          </w:p>
        </w:tc>
        <w:tc>
          <w:tcPr>
            <w:tcW w:w="4650" w:type="dxa"/>
            <w:vAlign w:val="center"/>
          </w:tcPr>
          <w:p w14:paraId="66E22624" w14:textId="77777777" w:rsidR="007D1E74" w:rsidRDefault="00A95641">
            <w:pPr>
              <w:jc w:val="center"/>
              <w:rPr>
                <w:szCs w:val="21"/>
              </w:rPr>
            </w:pPr>
            <w:r>
              <w:rPr>
                <w:szCs w:val="21"/>
              </w:rPr>
              <w:t>樟树</w:t>
            </w:r>
          </w:p>
        </w:tc>
      </w:tr>
    </w:tbl>
    <w:p w14:paraId="42C12A12" w14:textId="77777777" w:rsidR="007D1E74" w:rsidRDefault="00A95641">
      <w:pPr>
        <w:pStyle w:val="afffff7"/>
        <w:ind w:firstLine="482"/>
      </w:pPr>
      <w:r>
        <w:rPr>
          <w:rFonts w:hint="eastAsia"/>
        </w:rPr>
        <w:t>3</w:t>
      </w:r>
      <w:r>
        <w:rPr>
          <w:rFonts w:hint="eastAsia"/>
        </w:rPr>
        <w:t>、植被现状</w:t>
      </w:r>
    </w:p>
    <w:p w14:paraId="0777CE88" w14:textId="77777777" w:rsidR="007D1E74" w:rsidRDefault="00A95641">
      <w:pPr>
        <w:spacing w:line="360" w:lineRule="auto"/>
        <w:ind w:firstLineChars="200" w:firstLine="480"/>
        <w:rPr>
          <w:sz w:val="24"/>
          <w:szCs w:val="24"/>
        </w:rPr>
      </w:pPr>
      <w:r>
        <w:rPr>
          <w:rFonts w:hint="eastAsia"/>
          <w:sz w:val="24"/>
          <w:szCs w:val="24"/>
        </w:rPr>
        <w:t>在大尺度上，影响植被分布的决定性因素是气候条件。评价区地处四川盆地北部边缘的大巴山南麓地带，气候受盆地地形影响较大。冬季受西伯利亚或蒙古寒潮侵袭的影响较盆地中部、南部明显，夏季南来的暖流越过贵州高原而下达盆地内到达评价区域时势已很弱，因此评价区气候总的特点是冬冷、春迟、夏温、秋凉；冬春多云雾，湿度高，仍有利于亚热带偏湿性的常绿阔叶林发展。由于历史原因，评价区内植被长期以来受人为破坏严重，因此原生植被类型数量较少，多人工植被与次生植被。</w:t>
      </w:r>
    </w:p>
    <w:p w14:paraId="1A3AF0A7" w14:textId="77777777" w:rsidR="007D1E74" w:rsidRDefault="00A95641">
      <w:pPr>
        <w:spacing w:line="360" w:lineRule="auto"/>
        <w:ind w:firstLineChars="200" w:firstLine="482"/>
        <w:rPr>
          <w:b/>
          <w:sz w:val="24"/>
          <w:szCs w:val="24"/>
        </w:rPr>
      </w:pPr>
      <w:r>
        <w:rPr>
          <w:rFonts w:hint="eastAsia"/>
          <w:b/>
          <w:sz w:val="24"/>
          <w:szCs w:val="24"/>
        </w:rPr>
        <w:t>（</w:t>
      </w:r>
      <w:r>
        <w:rPr>
          <w:rFonts w:hint="eastAsia"/>
          <w:b/>
          <w:sz w:val="24"/>
          <w:szCs w:val="24"/>
        </w:rPr>
        <w:t>1</w:t>
      </w:r>
      <w:r>
        <w:rPr>
          <w:rFonts w:hint="eastAsia"/>
          <w:b/>
          <w:sz w:val="24"/>
          <w:szCs w:val="24"/>
        </w:rPr>
        <w:t>）植被概况</w:t>
      </w:r>
    </w:p>
    <w:p w14:paraId="622F07D0" w14:textId="77777777" w:rsidR="007D1E74" w:rsidRDefault="00A95641">
      <w:pPr>
        <w:spacing w:line="360" w:lineRule="auto"/>
        <w:ind w:firstLineChars="200" w:firstLine="480"/>
        <w:rPr>
          <w:sz w:val="24"/>
          <w:szCs w:val="24"/>
        </w:rPr>
      </w:pPr>
      <w:r>
        <w:rPr>
          <w:rFonts w:hint="eastAsia"/>
          <w:sz w:val="24"/>
          <w:szCs w:val="24"/>
        </w:rPr>
        <w:t>评价区植被在《中国植被》（</w:t>
      </w:r>
      <w:r>
        <w:rPr>
          <w:rFonts w:hint="eastAsia"/>
          <w:sz w:val="24"/>
          <w:szCs w:val="24"/>
        </w:rPr>
        <w:t>1980</w:t>
      </w:r>
      <w:r>
        <w:rPr>
          <w:rFonts w:hint="eastAsia"/>
          <w:sz w:val="24"/>
          <w:szCs w:val="24"/>
        </w:rPr>
        <w:t>）的分区体系中，属于“</w:t>
      </w:r>
      <w:r>
        <w:rPr>
          <w:rFonts w:hint="eastAsia"/>
          <w:sz w:val="24"/>
          <w:szCs w:val="24"/>
        </w:rPr>
        <w:t xml:space="preserve">IV </w:t>
      </w:r>
      <w:r>
        <w:rPr>
          <w:rFonts w:hint="eastAsia"/>
          <w:sz w:val="24"/>
          <w:szCs w:val="24"/>
        </w:rPr>
        <w:t>亚热带常绿阔叶林区域</w:t>
      </w:r>
      <w:r>
        <w:rPr>
          <w:rFonts w:hint="eastAsia"/>
          <w:sz w:val="24"/>
          <w:szCs w:val="24"/>
        </w:rPr>
        <w:t xml:space="preserve">-IV A </w:t>
      </w:r>
      <w:r>
        <w:rPr>
          <w:rFonts w:hint="eastAsia"/>
          <w:sz w:val="24"/>
          <w:szCs w:val="24"/>
        </w:rPr>
        <w:t>东部（湿润）亚热带常绿阔叶林亚区域</w:t>
      </w:r>
      <w:r>
        <w:rPr>
          <w:rFonts w:hint="eastAsia"/>
          <w:sz w:val="24"/>
          <w:szCs w:val="24"/>
        </w:rPr>
        <w:t xml:space="preserve">-IV Aii </w:t>
      </w:r>
      <w:r>
        <w:rPr>
          <w:rFonts w:hint="eastAsia"/>
          <w:sz w:val="24"/>
          <w:szCs w:val="24"/>
        </w:rPr>
        <w:t>中亚热带常绿阔叶林地带</w:t>
      </w:r>
      <w:r>
        <w:rPr>
          <w:rFonts w:hint="eastAsia"/>
          <w:sz w:val="24"/>
          <w:szCs w:val="24"/>
        </w:rPr>
        <w:t xml:space="preserve">-VIII Aiia. </w:t>
      </w:r>
      <w:r>
        <w:rPr>
          <w:rFonts w:hint="eastAsia"/>
          <w:sz w:val="24"/>
          <w:szCs w:val="24"/>
        </w:rPr>
        <w:t>中亚热带常绿阔叶林北部亚地带北段”。在《四川植被》（</w:t>
      </w:r>
      <w:r>
        <w:rPr>
          <w:rFonts w:hint="eastAsia"/>
          <w:sz w:val="24"/>
          <w:szCs w:val="24"/>
        </w:rPr>
        <w:t>1980</w:t>
      </w:r>
      <w:r>
        <w:rPr>
          <w:rFonts w:hint="eastAsia"/>
          <w:sz w:val="24"/>
          <w:szCs w:val="24"/>
        </w:rPr>
        <w:t>）的区划体系中，评价区属于“</w:t>
      </w:r>
      <w:r>
        <w:rPr>
          <w:rFonts w:hint="eastAsia"/>
          <w:sz w:val="24"/>
          <w:szCs w:val="24"/>
        </w:rPr>
        <w:t xml:space="preserve">I </w:t>
      </w:r>
      <w:r>
        <w:rPr>
          <w:rFonts w:hint="eastAsia"/>
          <w:sz w:val="24"/>
          <w:szCs w:val="24"/>
        </w:rPr>
        <w:t>川东盆地及西南山地常绿阔叶林地带</w:t>
      </w:r>
      <w:r>
        <w:rPr>
          <w:rFonts w:hint="eastAsia"/>
          <w:sz w:val="24"/>
          <w:szCs w:val="24"/>
        </w:rPr>
        <w:t xml:space="preserve">-IA </w:t>
      </w:r>
      <w:r>
        <w:rPr>
          <w:rFonts w:hint="eastAsia"/>
          <w:sz w:val="24"/>
          <w:szCs w:val="24"/>
        </w:rPr>
        <w:t>川东盆地偏湿性常绿阔叶林亚带</w:t>
      </w:r>
      <w:r>
        <w:rPr>
          <w:rFonts w:hint="eastAsia"/>
          <w:sz w:val="24"/>
          <w:szCs w:val="24"/>
        </w:rPr>
        <w:t xml:space="preserve">-I A5 </w:t>
      </w:r>
      <w:r>
        <w:rPr>
          <w:rFonts w:hint="eastAsia"/>
          <w:sz w:val="24"/>
          <w:szCs w:val="24"/>
        </w:rPr>
        <w:t>盆边北部中山植被地区</w:t>
      </w:r>
      <w:r>
        <w:rPr>
          <w:rFonts w:hint="eastAsia"/>
          <w:sz w:val="24"/>
          <w:szCs w:val="24"/>
        </w:rPr>
        <w:t xml:space="preserve">-I A5(2) </w:t>
      </w:r>
      <w:r>
        <w:rPr>
          <w:rFonts w:hint="eastAsia"/>
          <w:sz w:val="24"/>
          <w:szCs w:val="24"/>
        </w:rPr>
        <w:t>米仓山植被小区”。</w:t>
      </w:r>
    </w:p>
    <w:p w14:paraId="414BABE7" w14:textId="77777777" w:rsidR="007D1E74" w:rsidRDefault="00A95641">
      <w:pPr>
        <w:spacing w:line="360" w:lineRule="auto"/>
        <w:ind w:firstLineChars="200" w:firstLine="480"/>
        <w:rPr>
          <w:sz w:val="24"/>
          <w:szCs w:val="24"/>
        </w:rPr>
      </w:pPr>
      <w:r>
        <w:rPr>
          <w:rFonts w:hint="eastAsia"/>
          <w:sz w:val="24"/>
          <w:szCs w:val="24"/>
        </w:rPr>
        <w:t>米仓山植被小区位于大巴山西部，西端以龙门山为界，与盆边西部中山植被地区相接，东端以万源为界，与大巴山植被小区相接，包括通江县、南江县、旺苍县、利州区、昭化区、朝天区、青川县和万源市西部部分地区，由于其西北有龙门山、东北有米仓山，本小区的山体均为中切割的中山，其基质以石灰岩为主，与盆地相接的部分有砂页岩。一般东南部山麓地带的气温较高，而西北部气温较低。自然植被的主要类型有：</w:t>
      </w:r>
      <w:r>
        <w:rPr>
          <w:rFonts w:hint="eastAsia"/>
          <w:sz w:val="24"/>
          <w:szCs w:val="24"/>
        </w:rPr>
        <w:t>1</w:t>
      </w:r>
      <w:r>
        <w:rPr>
          <w:rFonts w:hint="eastAsia"/>
          <w:sz w:val="24"/>
          <w:szCs w:val="24"/>
        </w:rPr>
        <w:t>）由包石栎、曼青冈、细叶青冈、石栎等构建的常绿阔叶林；</w:t>
      </w:r>
      <w:r>
        <w:rPr>
          <w:rFonts w:hint="eastAsia"/>
          <w:sz w:val="24"/>
          <w:szCs w:val="24"/>
        </w:rPr>
        <w:t>2</w:t>
      </w:r>
      <w:r>
        <w:rPr>
          <w:rFonts w:hint="eastAsia"/>
          <w:sz w:val="24"/>
          <w:szCs w:val="24"/>
        </w:rPr>
        <w:t>）竹林多分布于地形陡峭不易开垦的深沟河谷地区，主要竹种有箬竹、方竹、巴山木竹；</w:t>
      </w:r>
      <w:r>
        <w:rPr>
          <w:rFonts w:hint="eastAsia"/>
          <w:sz w:val="24"/>
          <w:szCs w:val="24"/>
        </w:rPr>
        <w:t>3</w:t>
      </w:r>
      <w:r>
        <w:rPr>
          <w:rFonts w:hint="eastAsia"/>
          <w:sz w:val="24"/>
          <w:szCs w:val="24"/>
        </w:rPr>
        <w:t>）海拔</w:t>
      </w:r>
      <w:r>
        <w:rPr>
          <w:rFonts w:hint="eastAsia"/>
          <w:sz w:val="24"/>
          <w:szCs w:val="24"/>
        </w:rPr>
        <w:t>1300~2000m</w:t>
      </w:r>
      <w:r>
        <w:rPr>
          <w:rFonts w:hint="eastAsia"/>
          <w:sz w:val="24"/>
          <w:szCs w:val="24"/>
        </w:rPr>
        <w:t>山地黄棕壤地段生长有由数种水青冈、鹅耳枥、三桠乌药、青冈、细叶青冈、川灰木等组成的常绿与落叶阔叶混交林；</w:t>
      </w:r>
      <w:r>
        <w:rPr>
          <w:rFonts w:hint="eastAsia"/>
          <w:sz w:val="24"/>
          <w:szCs w:val="24"/>
        </w:rPr>
        <w:t>4</w:t>
      </w:r>
      <w:r>
        <w:rPr>
          <w:rFonts w:hint="eastAsia"/>
          <w:sz w:val="24"/>
          <w:szCs w:val="24"/>
        </w:rPr>
        <w:t>）由部分栎类组成的落叶阔叶林和华山松林分布面积很小；</w:t>
      </w:r>
      <w:r>
        <w:rPr>
          <w:rFonts w:hint="eastAsia"/>
          <w:sz w:val="24"/>
          <w:szCs w:val="24"/>
        </w:rPr>
        <w:t>5</w:t>
      </w:r>
      <w:r>
        <w:rPr>
          <w:rFonts w:hint="eastAsia"/>
          <w:sz w:val="24"/>
          <w:szCs w:val="24"/>
        </w:rPr>
        <w:t>）海拔</w:t>
      </w:r>
      <w:r>
        <w:rPr>
          <w:rFonts w:hint="eastAsia"/>
          <w:sz w:val="24"/>
          <w:szCs w:val="24"/>
        </w:rPr>
        <w:t>2200m</w:t>
      </w:r>
      <w:r>
        <w:rPr>
          <w:rFonts w:hint="eastAsia"/>
          <w:sz w:val="24"/>
          <w:szCs w:val="24"/>
        </w:rPr>
        <w:t>以上山地棕壤上分布的由巴山冷杉为主形成的亚高山寒温性常绿针叶林；</w:t>
      </w:r>
      <w:r>
        <w:rPr>
          <w:rFonts w:hint="eastAsia"/>
          <w:sz w:val="24"/>
          <w:szCs w:val="24"/>
        </w:rPr>
        <w:lastRenderedPageBreak/>
        <w:t>6</w:t>
      </w:r>
      <w:r>
        <w:rPr>
          <w:rFonts w:hint="eastAsia"/>
          <w:sz w:val="24"/>
          <w:szCs w:val="24"/>
        </w:rPr>
        <w:t>）海拔</w:t>
      </w:r>
      <w:r>
        <w:rPr>
          <w:rFonts w:hint="eastAsia"/>
          <w:sz w:val="24"/>
          <w:szCs w:val="24"/>
        </w:rPr>
        <w:t>1500m</w:t>
      </w:r>
      <w:r>
        <w:rPr>
          <w:rFonts w:hint="eastAsia"/>
          <w:sz w:val="24"/>
          <w:szCs w:val="24"/>
        </w:rPr>
        <w:t>以下普遍分布的马尾松林、巴山松林、杉木林和柏木林；</w:t>
      </w:r>
      <w:r>
        <w:rPr>
          <w:rFonts w:hint="eastAsia"/>
          <w:sz w:val="24"/>
          <w:szCs w:val="24"/>
        </w:rPr>
        <w:t>7</w:t>
      </w:r>
      <w:r>
        <w:rPr>
          <w:rFonts w:hint="eastAsia"/>
          <w:sz w:val="24"/>
          <w:szCs w:val="24"/>
        </w:rPr>
        <w:t>）海拔</w:t>
      </w:r>
      <w:r>
        <w:rPr>
          <w:rFonts w:hint="eastAsia"/>
          <w:sz w:val="24"/>
          <w:szCs w:val="24"/>
        </w:rPr>
        <w:t>1500m</w:t>
      </w:r>
      <w:r>
        <w:rPr>
          <w:rFonts w:hint="eastAsia"/>
          <w:sz w:val="24"/>
          <w:szCs w:val="24"/>
        </w:rPr>
        <w:t>以下地带还普遍分布有大片的落叶栎类林（麻栎林、栓皮栎林、白栎林等）和马桑、黄荆、毛黄栌、盐肤木、火棘等组成的暖热性落叶阔叶灌丛。栽培植被中农作物以水稻、玉米为主，其次为番薯、小麦、豆类，水稻田基本为冬水田，玉米地多分布在低山或中山的山坡上。本小区的经济作物有漆树、茶、白蜡树、猕猴桃等。</w:t>
      </w:r>
    </w:p>
    <w:p w14:paraId="0F0E81A1" w14:textId="77777777" w:rsidR="007D1E74" w:rsidRDefault="00A95641">
      <w:pPr>
        <w:spacing w:line="360" w:lineRule="auto"/>
        <w:ind w:firstLineChars="200" w:firstLine="480"/>
        <w:rPr>
          <w:sz w:val="24"/>
          <w:szCs w:val="24"/>
        </w:rPr>
      </w:pPr>
      <w:r>
        <w:rPr>
          <w:rFonts w:hint="eastAsia"/>
          <w:sz w:val="24"/>
          <w:szCs w:val="24"/>
        </w:rPr>
        <w:t>评价区位于四川盆地北缘的大巴山南麓，属嘉陵江水系的巴河流域，小通江是评价区内最大的河流，发源于陕西省汉中市南郑区碑坝镇广家店村长梁山，先向西再向南流，在诺水河镇狮子口村十字河口纳陈家河后进入四川省巴中市通江县境内，继续向南经诺水河镇、板桥口镇、青峪镇（纳蔡黄沟和龙洞河）、新场镇、涪阳镇（纳涪水）后向东流入诺江镇，最后在通江县城东的支背咀与大通江河汇合为通江，通江在平昌县城汇入巴河，巴河与达州主城流出的州河在渠县三汇镇汇合后为渠江，渠江流经渠县县城、广安城后进入重庆市境，在合川区城区汇入嘉陵江。小通江河全长</w:t>
      </w:r>
      <w:r>
        <w:rPr>
          <w:rFonts w:hint="eastAsia"/>
          <w:sz w:val="24"/>
          <w:szCs w:val="24"/>
        </w:rPr>
        <w:t>340</w:t>
      </w:r>
      <w:r>
        <w:rPr>
          <w:rFonts w:hint="eastAsia"/>
          <w:sz w:val="24"/>
          <w:szCs w:val="24"/>
        </w:rPr>
        <w:t>余</w:t>
      </w:r>
      <w:r>
        <w:rPr>
          <w:rFonts w:hint="eastAsia"/>
          <w:sz w:val="24"/>
          <w:szCs w:val="24"/>
        </w:rPr>
        <w:t>km</w:t>
      </w:r>
      <w:r>
        <w:rPr>
          <w:rFonts w:hint="eastAsia"/>
          <w:sz w:val="24"/>
          <w:szCs w:val="24"/>
        </w:rPr>
        <w:t>，流域总面积约</w:t>
      </w:r>
      <w:r>
        <w:rPr>
          <w:rFonts w:hint="eastAsia"/>
          <w:sz w:val="24"/>
          <w:szCs w:val="24"/>
        </w:rPr>
        <w:t>1400km</w:t>
      </w:r>
      <w:r>
        <w:rPr>
          <w:rFonts w:hint="eastAsia"/>
          <w:sz w:val="24"/>
          <w:szCs w:val="24"/>
          <w:vertAlign w:val="superscript"/>
        </w:rPr>
        <w:t>2</w:t>
      </w:r>
      <w:r>
        <w:rPr>
          <w:rFonts w:hint="eastAsia"/>
          <w:sz w:val="24"/>
          <w:szCs w:val="24"/>
        </w:rPr>
        <w:t>。小通江流域境内主要为中低山河谷地形，海拔高度在</w:t>
      </w:r>
      <w:r>
        <w:rPr>
          <w:rFonts w:hint="eastAsia"/>
          <w:sz w:val="24"/>
          <w:szCs w:val="24"/>
        </w:rPr>
        <w:t>350~2400m</w:t>
      </w:r>
      <w:r>
        <w:rPr>
          <w:rFonts w:hint="eastAsia"/>
          <w:sz w:val="24"/>
          <w:szCs w:val="24"/>
        </w:rPr>
        <w:t>之间。受盆地北缘的气候影响，气温略较高，增温早，降温迟，植物生长季节稍长。</w:t>
      </w:r>
    </w:p>
    <w:p w14:paraId="3A8FC69E" w14:textId="77777777" w:rsidR="007D1E74" w:rsidRDefault="00A95641">
      <w:pPr>
        <w:spacing w:line="360" w:lineRule="auto"/>
        <w:ind w:firstLineChars="200" w:firstLine="480"/>
        <w:rPr>
          <w:sz w:val="24"/>
          <w:szCs w:val="24"/>
        </w:rPr>
      </w:pPr>
      <w:r>
        <w:rPr>
          <w:rFonts w:hint="eastAsia"/>
          <w:sz w:val="24"/>
          <w:szCs w:val="24"/>
        </w:rPr>
        <w:t>评价区地处较低海拔地带，海拔跨度</w:t>
      </w:r>
      <w:r>
        <w:rPr>
          <w:rFonts w:hint="eastAsia"/>
          <w:sz w:val="24"/>
          <w:szCs w:val="24"/>
        </w:rPr>
        <w:t>390~1250m</w:t>
      </w:r>
      <w:r>
        <w:rPr>
          <w:rFonts w:hint="eastAsia"/>
          <w:sz w:val="24"/>
          <w:szCs w:val="24"/>
        </w:rPr>
        <w:t>，植被垂直分布带谱显著。具有特色的是成片的栎林、柏木林和栎柏混交林，少量的杉木林、马尾松林、桤木林、桤柏混交林、枫杨林、慈竹林与人工经济林、果园以及一年两熟的水田和旱地，它们相应的分布在各类小地形上。较高地带分布着杉木林、麻栎林，向下分布的是柏木林、柏木疏林、栎柏混交林、桤柏混交林以及少量的马尾松林，河边多见分布的是枫杨林、桤木林和零星的慈竹林，林内以麻栎、栓皮栎、柏木、杉木、桤木、枫杨、加杨和马尾松等为建群树种，伴生有灯台树、化香树、枫香树、喜树、樟树、构树、青冈、曼青冈、细叶青冈、女贞、茅栗等；旱地、水田和果园主要介于河道和柏木林分布带之间的河谷平缓地带。乔木层植被遭严重破坏以后，经过长期冲刷作用，土壤贫瘠，保水能力差，形成了马桑、蔷薇属、悬钩子属、黄荆、水麻和火棘为主的落叶阔叶杂灌丛。常绿阔叶林很难见到，常绿阔叶树多与落叶阔叶树种混生形成混交林分布于沟谷，常绿树种种类有樟、宜昌润楠、女贞等。评价区内零星分布着竹林，以慈竹林较易见到，其它竹种还有斑竹、阔叶箬竹等，但其分布面积和数量均很少，多见于村落、道路和耕地边。</w:t>
      </w:r>
    </w:p>
    <w:p w14:paraId="38C38007" w14:textId="77777777" w:rsidR="007D1E74" w:rsidRDefault="00A95641">
      <w:pPr>
        <w:spacing w:line="360" w:lineRule="auto"/>
        <w:ind w:firstLineChars="200" w:firstLine="480"/>
        <w:rPr>
          <w:sz w:val="24"/>
          <w:szCs w:val="24"/>
        </w:rPr>
      </w:pPr>
      <w:r>
        <w:rPr>
          <w:rFonts w:hint="eastAsia"/>
          <w:sz w:val="24"/>
          <w:szCs w:val="24"/>
        </w:rPr>
        <w:t>本区河谷低海拔植被受人类活动影响较大，河谷两侧完全没有原生的常绿阔叶林地带性植被。栽培植被类型中水田以水稻和小麦、油菜为主，旱地以玉米和小麦、油菜为</w:t>
      </w:r>
      <w:r>
        <w:rPr>
          <w:rFonts w:hint="eastAsia"/>
          <w:sz w:val="24"/>
          <w:szCs w:val="24"/>
        </w:rPr>
        <w:lastRenderedPageBreak/>
        <w:t>主，重点农作物包括水稻、玉米、小麦、油菜、番薯、蚕豆、豌豆、菜豆等。</w:t>
      </w:r>
    </w:p>
    <w:p w14:paraId="3F136436" w14:textId="77777777" w:rsidR="007D1E74" w:rsidRDefault="00A95641">
      <w:pPr>
        <w:spacing w:line="360" w:lineRule="auto"/>
        <w:ind w:firstLineChars="200" w:firstLine="482"/>
        <w:rPr>
          <w:b/>
          <w:sz w:val="24"/>
          <w:szCs w:val="24"/>
        </w:rPr>
      </w:pPr>
      <w:r>
        <w:rPr>
          <w:rFonts w:hint="eastAsia"/>
          <w:b/>
          <w:sz w:val="24"/>
          <w:szCs w:val="24"/>
        </w:rPr>
        <w:t>（</w:t>
      </w:r>
      <w:r>
        <w:rPr>
          <w:b/>
          <w:sz w:val="24"/>
          <w:szCs w:val="24"/>
        </w:rPr>
        <w:t>2</w:t>
      </w:r>
      <w:r>
        <w:rPr>
          <w:rFonts w:hint="eastAsia"/>
          <w:b/>
          <w:sz w:val="24"/>
          <w:szCs w:val="24"/>
        </w:rPr>
        <w:t>）植被类型的划分</w:t>
      </w:r>
    </w:p>
    <w:p w14:paraId="65F83306" w14:textId="77777777" w:rsidR="007D1E74" w:rsidRDefault="00A95641">
      <w:pPr>
        <w:spacing w:line="360" w:lineRule="auto"/>
        <w:ind w:firstLineChars="200" w:firstLine="480"/>
        <w:rPr>
          <w:sz w:val="24"/>
          <w:szCs w:val="24"/>
        </w:rPr>
      </w:pPr>
      <w:r>
        <w:rPr>
          <w:rFonts w:hint="eastAsia"/>
          <w:sz w:val="24"/>
          <w:szCs w:val="24"/>
        </w:rPr>
        <w:t>按照《中国植被》分类原则，即植被型、群系和群丛三级分类方法，以及野外调查、整理出的样方和样线资料，对本项目影响评价区的自然植被进行分类。评价区共有植被型</w:t>
      </w:r>
      <w:r>
        <w:rPr>
          <w:rFonts w:hint="eastAsia"/>
          <w:sz w:val="24"/>
          <w:szCs w:val="24"/>
        </w:rPr>
        <w:t>5</w:t>
      </w:r>
      <w:r>
        <w:rPr>
          <w:rFonts w:hint="eastAsia"/>
          <w:sz w:val="24"/>
          <w:szCs w:val="24"/>
        </w:rPr>
        <w:t>种，植被亚型</w:t>
      </w:r>
      <w:r>
        <w:rPr>
          <w:rFonts w:hint="eastAsia"/>
          <w:sz w:val="24"/>
          <w:szCs w:val="24"/>
        </w:rPr>
        <w:t>6</w:t>
      </w:r>
      <w:r>
        <w:rPr>
          <w:rFonts w:hint="eastAsia"/>
          <w:sz w:val="24"/>
          <w:szCs w:val="24"/>
        </w:rPr>
        <w:t>种，群系</w:t>
      </w:r>
      <w:r>
        <w:rPr>
          <w:rFonts w:hint="eastAsia"/>
          <w:sz w:val="24"/>
          <w:szCs w:val="24"/>
        </w:rPr>
        <w:t>17</w:t>
      </w:r>
      <w:r>
        <w:rPr>
          <w:rFonts w:hint="eastAsia"/>
          <w:sz w:val="24"/>
          <w:szCs w:val="24"/>
        </w:rPr>
        <w:t>种。同时栽培植被按照《中国植被》的栽培植物分类方法进行划分出水田、旱地和园地三类。</w:t>
      </w:r>
    </w:p>
    <w:p w14:paraId="7DCA4AFD" w14:textId="77777777" w:rsidR="007D1E74" w:rsidRDefault="00A95641">
      <w:pPr>
        <w:spacing w:line="360" w:lineRule="auto"/>
        <w:ind w:firstLineChars="200" w:firstLine="482"/>
        <w:rPr>
          <w:b/>
          <w:sz w:val="24"/>
          <w:szCs w:val="24"/>
        </w:rPr>
      </w:pPr>
      <w:r>
        <w:rPr>
          <w:rFonts w:hint="eastAsia"/>
          <w:b/>
          <w:sz w:val="24"/>
          <w:szCs w:val="24"/>
        </w:rPr>
        <w:t>①</w:t>
      </w:r>
      <w:r>
        <w:rPr>
          <w:b/>
          <w:sz w:val="24"/>
          <w:szCs w:val="24"/>
        </w:rPr>
        <w:t>自然植被</w:t>
      </w:r>
    </w:p>
    <w:p w14:paraId="54ABB5A2" w14:textId="77777777" w:rsidR="007D1E74" w:rsidRDefault="00A95641">
      <w:pPr>
        <w:spacing w:line="360" w:lineRule="auto"/>
        <w:ind w:firstLineChars="200" w:firstLine="482"/>
        <w:rPr>
          <w:b/>
          <w:sz w:val="24"/>
          <w:szCs w:val="24"/>
        </w:rPr>
      </w:pPr>
      <w:r>
        <w:rPr>
          <w:rFonts w:hint="eastAsia"/>
          <w:b/>
          <w:sz w:val="24"/>
          <w:szCs w:val="24"/>
        </w:rPr>
        <w:t>a.</w:t>
      </w:r>
      <w:r>
        <w:rPr>
          <w:rFonts w:hint="eastAsia"/>
          <w:b/>
          <w:sz w:val="24"/>
          <w:szCs w:val="24"/>
        </w:rPr>
        <w:t>针叶林</w:t>
      </w:r>
    </w:p>
    <w:p w14:paraId="5A63ED14" w14:textId="77777777" w:rsidR="007D1E74" w:rsidRDefault="00A95641">
      <w:pPr>
        <w:spacing w:line="360" w:lineRule="auto"/>
        <w:ind w:firstLineChars="200" w:firstLine="480"/>
        <w:rPr>
          <w:sz w:val="24"/>
          <w:szCs w:val="24"/>
        </w:rPr>
      </w:pPr>
      <w:r>
        <w:rPr>
          <w:rFonts w:hint="eastAsia"/>
          <w:sz w:val="24"/>
          <w:szCs w:val="24"/>
        </w:rPr>
        <w:t>I.</w:t>
      </w:r>
      <w:r>
        <w:rPr>
          <w:rFonts w:hint="eastAsia"/>
          <w:sz w:val="24"/>
          <w:szCs w:val="24"/>
        </w:rPr>
        <w:t>暖性针叶林</w:t>
      </w:r>
    </w:p>
    <w:p w14:paraId="468B0151" w14:textId="77777777" w:rsidR="007D1E74" w:rsidRDefault="00A95641">
      <w:pPr>
        <w:spacing w:line="360" w:lineRule="auto"/>
        <w:ind w:firstLineChars="200" w:firstLine="480"/>
        <w:rPr>
          <w:sz w:val="24"/>
          <w:szCs w:val="24"/>
        </w:rPr>
      </w:pPr>
      <w:r>
        <w:rPr>
          <w:rFonts w:hint="eastAsia"/>
          <w:sz w:val="24"/>
          <w:szCs w:val="24"/>
        </w:rPr>
        <w:t>一、暖性常绿针叶林</w:t>
      </w:r>
    </w:p>
    <w:p w14:paraId="5DBE4D3A" w14:textId="77777777" w:rsidR="007D1E74" w:rsidRDefault="00A95641">
      <w:pPr>
        <w:spacing w:line="360" w:lineRule="auto"/>
        <w:ind w:firstLineChars="200" w:firstLine="480"/>
        <w:rPr>
          <w:sz w:val="24"/>
          <w:szCs w:val="24"/>
        </w:rPr>
      </w:pPr>
      <w:r>
        <w:rPr>
          <w:rFonts w:hint="eastAsia"/>
          <w:sz w:val="24"/>
          <w:szCs w:val="24"/>
        </w:rPr>
        <w:t>1.</w:t>
      </w:r>
      <w:r>
        <w:rPr>
          <w:rFonts w:hint="eastAsia"/>
          <w:sz w:val="24"/>
          <w:szCs w:val="24"/>
        </w:rPr>
        <w:t>马尾松林（</w:t>
      </w:r>
      <w:r>
        <w:rPr>
          <w:rFonts w:hint="eastAsia"/>
          <w:sz w:val="24"/>
          <w:szCs w:val="24"/>
        </w:rPr>
        <w:t xml:space="preserve">Form. </w:t>
      </w:r>
      <w:r>
        <w:rPr>
          <w:rFonts w:hint="eastAsia"/>
          <w:i/>
          <w:sz w:val="24"/>
          <w:szCs w:val="24"/>
        </w:rPr>
        <w:t>Pinus massoniana</w:t>
      </w:r>
      <w:r>
        <w:rPr>
          <w:rFonts w:hint="eastAsia"/>
          <w:sz w:val="24"/>
          <w:szCs w:val="24"/>
        </w:rPr>
        <w:t>）</w:t>
      </w:r>
    </w:p>
    <w:p w14:paraId="68A58AE0" w14:textId="77777777" w:rsidR="007D1E74" w:rsidRDefault="00A95641">
      <w:pPr>
        <w:spacing w:line="360" w:lineRule="auto"/>
        <w:ind w:firstLineChars="200" w:firstLine="480"/>
        <w:rPr>
          <w:sz w:val="24"/>
          <w:szCs w:val="24"/>
        </w:rPr>
      </w:pPr>
      <w:r>
        <w:rPr>
          <w:rFonts w:hint="eastAsia"/>
          <w:sz w:val="24"/>
          <w:szCs w:val="24"/>
        </w:rPr>
        <w:t>2.</w:t>
      </w:r>
      <w:r>
        <w:rPr>
          <w:rFonts w:hint="eastAsia"/>
          <w:sz w:val="24"/>
          <w:szCs w:val="24"/>
        </w:rPr>
        <w:t>柏木林（</w:t>
      </w:r>
      <w:r>
        <w:rPr>
          <w:rFonts w:hint="eastAsia"/>
          <w:sz w:val="24"/>
          <w:szCs w:val="24"/>
        </w:rPr>
        <w:t>Form.</w:t>
      </w:r>
      <w:r>
        <w:rPr>
          <w:rFonts w:hint="eastAsia"/>
          <w:i/>
          <w:sz w:val="24"/>
          <w:szCs w:val="24"/>
        </w:rPr>
        <w:t xml:space="preserve"> Cupressus funebris</w:t>
      </w:r>
      <w:r>
        <w:rPr>
          <w:rFonts w:hint="eastAsia"/>
          <w:sz w:val="24"/>
          <w:szCs w:val="24"/>
        </w:rPr>
        <w:t>）</w:t>
      </w:r>
    </w:p>
    <w:p w14:paraId="31CDA74A" w14:textId="77777777" w:rsidR="007D1E74" w:rsidRDefault="00A95641">
      <w:pPr>
        <w:spacing w:line="360" w:lineRule="auto"/>
        <w:ind w:firstLineChars="200" w:firstLine="480"/>
        <w:rPr>
          <w:sz w:val="24"/>
          <w:szCs w:val="24"/>
        </w:rPr>
      </w:pPr>
      <w:r>
        <w:rPr>
          <w:rFonts w:hint="eastAsia"/>
          <w:sz w:val="24"/>
          <w:szCs w:val="24"/>
        </w:rPr>
        <w:t>3.</w:t>
      </w:r>
      <w:r>
        <w:rPr>
          <w:rFonts w:hint="eastAsia"/>
          <w:sz w:val="24"/>
          <w:szCs w:val="24"/>
        </w:rPr>
        <w:t>杉木林（</w:t>
      </w:r>
      <w:r>
        <w:rPr>
          <w:rFonts w:hint="eastAsia"/>
          <w:sz w:val="24"/>
          <w:szCs w:val="24"/>
        </w:rPr>
        <w:t xml:space="preserve">Form. </w:t>
      </w:r>
      <w:r>
        <w:rPr>
          <w:rFonts w:hint="eastAsia"/>
          <w:i/>
          <w:sz w:val="24"/>
          <w:szCs w:val="24"/>
        </w:rPr>
        <w:t>Cunninghamia lanceolata</w:t>
      </w:r>
      <w:r>
        <w:rPr>
          <w:rFonts w:hint="eastAsia"/>
          <w:sz w:val="24"/>
          <w:szCs w:val="24"/>
        </w:rPr>
        <w:t>）</w:t>
      </w:r>
    </w:p>
    <w:p w14:paraId="39979BA6" w14:textId="77777777" w:rsidR="007D1E74" w:rsidRDefault="00A95641">
      <w:pPr>
        <w:spacing w:line="360" w:lineRule="auto"/>
        <w:ind w:firstLineChars="200" w:firstLine="482"/>
        <w:rPr>
          <w:b/>
          <w:sz w:val="24"/>
          <w:szCs w:val="24"/>
        </w:rPr>
      </w:pPr>
      <w:r>
        <w:rPr>
          <w:rFonts w:hint="eastAsia"/>
          <w:b/>
          <w:sz w:val="24"/>
          <w:szCs w:val="24"/>
        </w:rPr>
        <w:t>b</w:t>
      </w:r>
      <w:r>
        <w:rPr>
          <w:b/>
          <w:sz w:val="24"/>
          <w:szCs w:val="24"/>
        </w:rPr>
        <w:t>.</w:t>
      </w:r>
      <w:r>
        <w:rPr>
          <w:rFonts w:hint="eastAsia"/>
          <w:b/>
          <w:sz w:val="24"/>
          <w:szCs w:val="24"/>
        </w:rPr>
        <w:t>阔叶林</w:t>
      </w:r>
    </w:p>
    <w:p w14:paraId="083AFA03" w14:textId="77777777" w:rsidR="007D1E74" w:rsidRDefault="00A95641">
      <w:pPr>
        <w:spacing w:line="360" w:lineRule="auto"/>
        <w:ind w:firstLineChars="200" w:firstLine="480"/>
        <w:rPr>
          <w:sz w:val="24"/>
          <w:szCs w:val="24"/>
        </w:rPr>
      </w:pPr>
      <w:r>
        <w:rPr>
          <w:rFonts w:hint="eastAsia"/>
          <w:sz w:val="24"/>
          <w:szCs w:val="24"/>
        </w:rPr>
        <w:t>II.</w:t>
      </w:r>
      <w:r>
        <w:rPr>
          <w:rFonts w:hint="eastAsia"/>
          <w:sz w:val="24"/>
          <w:szCs w:val="24"/>
        </w:rPr>
        <w:t>落叶阔叶林</w:t>
      </w:r>
    </w:p>
    <w:p w14:paraId="5995FC3C" w14:textId="77777777" w:rsidR="007D1E74" w:rsidRDefault="00A95641">
      <w:pPr>
        <w:spacing w:line="360" w:lineRule="auto"/>
        <w:ind w:firstLineChars="200" w:firstLine="480"/>
        <w:rPr>
          <w:sz w:val="24"/>
          <w:szCs w:val="24"/>
        </w:rPr>
      </w:pPr>
      <w:r>
        <w:rPr>
          <w:rFonts w:hint="eastAsia"/>
          <w:sz w:val="24"/>
          <w:szCs w:val="24"/>
        </w:rPr>
        <w:t>二、山地落叶阔叶林</w:t>
      </w:r>
    </w:p>
    <w:p w14:paraId="69FA7E02" w14:textId="77777777" w:rsidR="007D1E74" w:rsidRDefault="00A95641">
      <w:pPr>
        <w:spacing w:line="360" w:lineRule="auto"/>
        <w:ind w:firstLineChars="200" w:firstLine="480"/>
        <w:rPr>
          <w:sz w:val="24"/>
          <w:szCs w:val="24"/>
        </w:rPr>
      </w:pPr>
      <w:r>
        <w:rPr>
          <w:rFonts w:hint="eastAsia"/>
          <w:sz w:val="24"/>
          <w:szCs w:val="24"/>
        </w:rPr>
        <w:t>4.</w:t>
      </w:r>
      <w:r>
        <w:rPr>
          <w:rFonts w:hint="eastAsia"/>
          <w:sz w:val="24"/>
          <w:szCs w:val="24"/>
        </w:rPr>
        <w:t>麻栎林（</w:t>
      </w:r>
      <w:r>
        <w:rPr>
          <w:rFonts w:hint="eastAsia"/>
          <w:sz w:val="24"/>
          <w:szCs w:val="24"/>
        </w:rPr>
        <w:t>Form.</w:t>
      </w:r>
      <w:r>
        <w:rPr>
          <w:rFonts w:hint="eastAsia"/>
          <w:i/>
          <w:sz w:val="24"/>
          <w:szCs w:val="24"/>
        </w:rPr>
        <w:t xml:space="preserve"> Quercus acutissima</w:t>
      </w:r>
      <w:r>
        <w:rPr>
          <w:rFonts w:hint="eastAsia"/>
          <w:sz w:val="24"/>
          <w:szCs w:val="24"/>
        </w:rPr>
        <w:t>）</w:t>
      </w:r>
    </w:p>
    <w:p w14:paraId="49C1085D" w14:textId="77777777" w:rsidR="007D1E74" w:rsidRDefault="00A95641">
      <w:pPr>
        <w:spacing w:line="360" w:lineRule="auto"/>
        <w:ind w:firstLineChars="200" w:firstLine="480"/>
        <w:rPr>
          <w:sz w:val="24"/>
          <w:szCs w:val="24"/>
        </w:rPr>
      </w:pPr>
      <w:r>
        <w:rPr>
          <w:rFonts w:hint="eastAsia"/>
          <w:sz w:val="24"/>
          <w:szCs w:val="24"/>
        </w:rPr>
        <w:t>三、河岸落叶阔叶林</w:t>
      </w:r>
    </w:p>
    <w:p w14:paraId="0D6AB85F" w14:textId="77777777" w:rsidR="007D1E74" w:rsidRDefault="00A95641">
      <w:pPr>
        <w:spacing w:line="360" w:lineRule="auto"/>
        <w:ind w:firstLineChars="200" w:firstLine="480"/>
        <w:rPr>
          <w:sz w:val="24"/>
          <w:szCs w:val="24"/>
        </w:rPr>
      </w:pPr>
      <w:r>
        <w:rPr>
          <w:rFonts w:hint="eastAsia"/>
          <w:sz w:val="24"/>
          <w:szCs w:val="24"/>
        </w:rPr>
        <w:t>5.</w:t>
      </w:r>
      <w:r>
        <w:rPr>
          <w:rFonts w:hint="eastAsia"/>
          <w:sz w:val="24"/>
          <w:szCs w:val="24"/>
        </w:rPr>
        <w:t>桤木林（</w:t>
      </w:r>
      <w:r>
        <w:rPr>
          <w:rFonts w:hint="eastAsia"/>
          <w:sz w:val="24"/>
          <w:szCs w:val="24"/>
        </w:rPr>
        <w:t xml:space="preserve">Form. </w:t>
      </w:r>
      <w:r>
        <w:rPr>
          <w:rFonts w:hint="eastAsia"/>
          <w:i/>
          <w:sz w:val="24"/>
          <w:szCs w:val="24"/>
        </w:rPr>
        <w:t>Alnus cremastogyne</w:t>
      </w:r>
      <w:r>
        <w:rPr>
          <w:rFonts w:hint="eastAsia"/>
          <w:sz w:val="24"/>
          <w:szCs w:val="24"/>
        </w:rPr>
        <w:t>）</w:t>
      </w:r>
    </w:p>
    <w:p w14:paraId="522FCD28" w14:textId="77777777" w:rsidR="007D1E74" w:rsidRDefault="00A95641">
      <w:pPr>
        <w:spacing w:line="360" w:lineRule="auto"/>
        <w:ind w:firstLineChars="200" w:firstLine="480"/>
        <w:rPr>
          <w:sz w:val="24"/>
          <w:szCs w:val="24"/>
        </w:rPr>
      </w:pPr>
      <w:r>
        <w:rPr>
          <w:rFonts w:hint="eastAsia"/>
          <w:sz w:val="24"/>
          <w:szCs w:val="24"/>
        </w:rPr>
        <w:t>6.</w:t>
      </w:r>
      <w:r>
        <w:rPr>
          <w:rFonts w:hint="eastAsia"/>
          <w:sz w:val="24"/>
          <w:szCs w:val="24"/>
        </w:rPr>
        <w:t>枫杨林（</w:t>
      </w:r>
      <w:r>
        <w:rPr>
          <w:rFonts w:hint="eastAsia"/>
          <w:sz w:val="24"/>
          <w:szCs w:val="24"/>
        </w:rPr>
        <w:t>Form.</w:t>
      </w:r>
      <w:r>
        <w:rPr>
          <w:rFonts w:hint="eastAsia"/>
          <w:i/>
          <w:sz w:val="24"/>
          <w:szCs w:val="24"/>
        </w:rPr>
        <w:t xml:space="preserve"> Pterocarya stenoptera</w:t>
      </w:r>
      <w:r>
        <w:rPr>
          <w:rFonts w:hint="eastAsia"/>
          <w:sz w:val="24"/>
          <w:szCs w:val="24"/>
        </w:rPr>
        <w:t>）</w:t>
      </w:r>
    </w:p>
    <w:p w14:paraId="0EDE5DA9" w14:textId="77777777" w:rsidR="007D1E74" w:rsidRDefault="00A95641">
      <w:pPr>
        <w:spacing w:line="360" w:lineRule="auto"/>
        <w:ind w:firstLineChars="200" w:firstLine="480"/>
        <w:rPr>
          <w:sz w:val="24"/>
          <w:szCs w:val="24"/>
        </w:rPr>
      </w:pPr>
      <w:r>
        <w:rPr>
          <w:rFonts w:hint="eastAsia"/>
          <w:sz w:val="24"/>
          <w:szCs w:val="24"/>
        </w:rPr>
        <w:t>III.</w:t>
      </w:r>
      <w:r>
        <w:rPr>
          <w:rFonts w:hint="eastAsia"/>
          <w:sz w:val="24"/>
          <w:szCs w:val="24"/>
        </w:rPr>
        <w:t>竹林</w:t>
      </w:r>
    </w:p>
    <w:p w14:paraId="03BBE5FA" w14:textId="77777777" w:rsidR="007D1E74" w:rsidRDefault="00A95641">
      <w:pPr>
        <w:spacing w:line="360" w:lineRule="auto"/>
        <w:ind w:firstLineChars="200" w:firstLine="480"/>
        <w:rPr>
          <w:sz w:val="24"/>
          <w:szCs w:val="24"/>
        </w:rPr>
      </w:pPr>
      <w:r>
        <w:rPr>
          <w:rFonts w:hint="eastAsia"/>
          <w:sz w:val="24"/>
          <w:szCs w:val="24"/>
        </w:rPr>
        <w:t>四暖性竹林</w:t>
      </w:r>
    </w:p>
    <w:p w14:paraId="5A726988" w14:textId="77777777" w:rsidR="007D1E74" w:rsidRDefault="00A95641">
      <w:pPr>
        <w:spacing w:line="360" w:lineRule="auto"/>
        <w:ind w:firstLineChars="200" w:firstLine="480"/>
        <w:rPr>
          <w:sz w:val="24"/>
          <w:szCs w:val="24"/>
        </w:rPr>
      </w:pPr>
      <w:r>
        <w:rPr>
          <w:rFonts w:hint="eastAsia"/>
          <w:sz w:val="24"/>
          <w:szCs w:val="24"/>
        </w:rPr>
        <w:t xml:space="preserve">7. </w:t>
      </w:r>
      <w:r>
        <w:rPr>
          <w:rFonts w:hint="eastAsia"/>
          <w:sz w:val="24"/>
          <w:szCs w:val="24"/>
        </w:rPr>
        <w:t>慈竹林（</w:t>
      </w:r>
      <w:r>
        <w:rPr>
          <w:rFonts w:hint="eastAsia"/>
          <w:sz w:val="24"/>
          <w:szCs w:val="24"/>
        </w:rPr>
        <w:t xml:space="preserve">Form. </w:t>
      </w:r>
      <w:r>
        <w:rPr>
          <w:rFonts w:hint="eastAsia"/>
          <w:i/>
          <w:sz w:val="24"/>
          <w:szCs w:val="24"/>
        </w:rPr>
        <w:t>Neosinocalamus affinis</w:t>
      </w:r>
      <w:r>
        <w:rPr>
          <w:rFonts w:hint="eastAsia"/>
          <w:sz w:val="24"/>
          <w:szCs w:val="24"/>
        </w:rPr>
        <w:t>）</w:t>
      </w:r>
    </w:p>
    <w:p w14:paraId="72476BB5" w14:textId="77777777" w:rsidR="007D1E74" w:rsidRDefault="00A95641">
      <w:pPr>
        <w:spacing w:line="360" w:lineRule="auto"/>
        <w:ind w:firstLineChars="200" w:firstLine="482"/>
        <w:rPr>
          <w:b/>
          <w:sz w:val="24"/>
          <w:szCs w:val="24"/>
        </w:rPr>
      </w:pPr>
      <w:r>
        <w:rPr>
          <w:rFonts w:hint="eastAsia"/>
          <w:b/>
          <w:sz w:val="24"/>
          <w:szCs w:val="24"/>
        </w:rPr>
        <w:t>c</w:t>
      </w:r>
      <w:r>
        <w:rPr>
          <w:b/>
          <w:sz w:val="24"/>
          <w:szCs w:val="24"/>
        </w:rPr>
        <w:t>.</w:t>
      </w:r>
      <w:r>
        <w:rPr>
          <w:rFonts w:hint="eastAsia"/>
          <w:b/>
          <w:sz w:val="24"/>
          <w:szCs w:val="24"/>
        </w:rPr>
        <w:t>灌丛和灌草丛</w:t>
      </w:r>
    </w:p>
    <w:p w14:paraId="38FBEEC6" w14:textId="77777777" w:rsidR="007D1E74" w:rsidRDefault="00A95641">
      <w:pPr>
        <w:spacing w:line="360" w:lineRule="auto"/>
        <w:ind w:firstLineChars="200" w:firstLine="480"/>
        <w:rPr>
          <w:sz w:val="24"/>
          <w:szCs w:val="24"/>
        </w:rPr>
      </w:pPr>
      <w:r>
        <w:rPr>
          <w:rFonts w:hint="eastAsia"/>
          <w:sz w:val="24"/>
          <w:szCs w:val="24"/>
        </w:rPr>
        <w:t>IV.</w:t>
      </w:r>
      <w:r>
        <w:rPr>
          <w:rFonts w:hint="eastAsia"/>
          <w:sz w:val="24"/>
          <w:szCs w:val="24"/>
        </w:rPr>
        <w:t>灌丛</w:t>
      </w:r>
    </w:p>
    <w:p w14:paraId="3403EAB0" w14:textId="77777777" w:rsidR="007D1E74" w:rsidRDefault="00A95641">
      <w:pPr>
        <w:spacing w:line="360" w:lineRule="auto"/>
        <w:ind w:firstLineChars="200" w:firstLine="480"/>
        <w:rPr>
          <w:sz w:val="24"/>
          <w:szCs w:val="24"/>
        </w:rPr>
      </w:pPr>
      <w:r>
        <w:rPr>
          <w:rFonts w:hint="eastAsia"/>
          <w:sz w:val="24"/>
          <w:szCs w:val="24"/>
        </w:rPr>
        <w:t>五、落叶阔叶灌丛</w:t>
      </w:r>
    </w:p>
    <w:p w14:paraId="154F23BA" w14:textId="77777777" w:rsidR="007D1E74" w:rsidRDefault="00A95641">
      <w:pPr>
        <w:spacing w:line="360" w:lineRule="auto"/>
        <w:ind w:firstLineChars="200" w:firstLine="480"/>
        <w:rPr>
          <w:sz w:val="24"/>
          <w:szCs w:val="24"/>
        </w:rPr>
      </w:pPr>
      <w:r>
        <w:rPr>
          <w:rFonts w:hint="eastAsia"/>
          <w:sz w:val="24"/>
          <w:szCs w:val="24"/>
        </w:rPr>
        <w:t>8.</w:t>
      </w:r>
      <w:r>
        <w:rPr>
          <w:rFonts w:hint="eastAsia"/>
          <w:sz w:val="24"/>
          <w:szCs w:val="24"/>
        </w:rPr>
        <w:t>马桑灌丛（</w:t>
      </w:r>
      <w:r>
        <w:rPr>
          <w:rFonts w:hint="eastAsia"/>
          <w:sz w:val="24"/>
          <w:szCs w:val="24"/>
        </w:rPr>
        <w:t xml:space="preserve">Form. </w:t>
      </w:r>
      <w:r>
        <w:rPr>
          <w:rFonts w:hint="eastAsia"/>
          <w:i/>
          <w:sz w:val="24"/>
          <w:szCs w:val="24"/>
        </w:rPr>
        <w:t>Coriaria nepalensis</w:t>
      </w:r>
      <w:r>
        <w:rPr>
          <w:rFonts w:hint="eastAsia"/>
          <w:sz w:val="24"/>
          <w:szCs w:val="24"/>
        </w:rPr>
        <w:t>）</w:t>
      </w:r>
    </w:p>
    <w:p w14:paraId="181A5C7B" w14:textId="77777777" w:rsidR="007D1E74" w:rsidRDefault="00A95641">
      <w:pPr>
        <w:spacing w:line="360" w:lineRule="auto"/>
        <w:ind w:firstLineChars="200" w:firstLine="480"/>
        <w:rPr>
          <w:sz w:val="24"/>
          <w:szCs w:val="24"/>
        </w:rPr>
      </w:pPr>
      <w:r>
        <w:rPr>
          <w:rFonts w:hint="eastAsia"/>
          <w:sz w:val="24"/>
          <w:szCs w:val="24"/>
        </w:rPr>
        <w:t>9.</w:t>
      </w:r>
      <w:r>
        <w:rPr>
          <w:rFonts w:hint="eastAsia"/>
          <w:sz w:val="24"/>
          <w:szCs w:val="24"/>
        </w:rPr>
        <w:t>黄荆灌丛（</w:t>
      </w:r>
      <w:r>
        <w:rPr>
          <w:rFonts w:hint="eastAsia"/>
          <w:sz w:val="24"/>
          <w:szCs w:val="24"/>
        </w:rPr>
        <w:t xml:space="preserve">Form. </w:t>
      </w:r>
      <w:r>
        <w:rPr>
          <w:rFonts w:hint="eastAsia"/>
          <w:i/>
          <w:sz w:val="24"/>
          <w:szCs w:val="24"/>
        </w:rPr>
        <w:t>Vitex negundo</w:t>
      </w:r>
      <w:r>
        <w:rPr>
          <w:rFonts w:hint="eastAsia"/>
          <w:sz w:val="24"/>
          <w:szCs w:val="24"/>
        </w:rPr>
        <w:t>）</w:t>
      </w:r>
    </w:p>
    <w:p w14:paraId="465AA038" w14:textId="77777777" w:rsidR="007D1E74" w:rsidRDefault="00A95641">
      <w:pPr>
        <w:spacing w:line="360" w:lineRule="auto"/>
        <w:ind w:firstLineChars="200" w:firstLine="480"/>
        <w:rPr>
          <w:sz w:val="24"/>
          <w:szCs w:val="24"/>
        </w:rPr>
      </w:pPr>
      <w:r>
        <w:rPr>
          <w:rFonts w:hint="eastAsia"/>
          <w:sz w:val="24"/>
          <w:szCs w:val="24"/>
        </w:rPr>
        <w:t>10.</w:t>
      </w:r>
      <w:r>
        <w:rPr>
          <w:rFonts w:hint="eastAsia"/>
          <w:sz w:val="24"/>
          <w:szCs w:val="24"/>
        </w:rPr>
        <w:t>盐肤木灌丛（</w:t>
      </w:r>
      <w:r>
        <w:rPr>
          <w:rFonts w:hint="eastAsia"/>
          <w:sz w:val="24"/>
          <w:szCs w:val="24"/>
        </w:rPr>
        <w:t xml:space="preserve">Form. </w:t>
      </w:r>
      <w:r>
        <w:rPr>
          <w:rFonts w:hint="eastAsia"/>
          <w:i/>
          <w:sz w:val="24"/>
          <w:szCs w:val="24"/>
        </w:rPr>
        <w:t>Rhus chinensis</w:t>
      </w:r>
      <w:r>
        <w:rPr>
          <w:rFonts w:hint="eastAsia"/>
          <w:sz w:val="24"/>
          <w:szCs w:val="24"/>
        </w:rPr>
        <w:t>）</w:t>
      </w:r>
    </w:p>
    <w:p w14:paraId="1DC14D67" w14:textId="77777777" w:rsidR="007D1E74" w:rsidRDefault="00A95641">
      <w:pPr>
        <w:spacing w:line="360" w:lineRule="auto"/>
        <w:ind w:firstLineChars="200" w:firstLine="480"/>
        <w:rPr>
          <w:sz w:val="24"/>
          <w:szCs w:val="24"/>
        </w:rPr>
      </w:pPr>
      <w:r>
        <w:rPr>
          <w:rFonts w:hint="eastAsia"/>
          <w:sz w:val="24"/>
          <w:szCs w:val="24"/>
        </w:rPr>
        <w:lastRenderedPageBreak/>
        <w:t>11.</w:t>
      </w:r>
      <w:r>
        <w:rPr>
          <w:rFonts w:hint="eastAsia"/>
          <w:sz w:val="24"/>
          <w:szCs w:val="24"/>
        </w:rPr>
        <w:t>火棘灌丛（</w:t>
      </w:r>
      <w:r>
        <w:rPr>
          <w:rFonts w:hint="eastAsia"/>
          <w:sz w:val="24"/>
          <w:szCs w:val="24"/>
        </w:rPr>
        <w:t xml:space="preserve">Form. </w:t>
      </w:r>
      <w:r>
        <w:rPr>
          <w:rFonts w:hint="eastAsia"/>
          <w:i/>
          <w:sz w:val="24"/>
          <w:szCs w:val="24"/>
        </w:rPr>
        <w:t>Pyracantha fortuneana</w:t>
      </w:r>
      <w:r>
        <w:rPr>
          <w:rFonts w:hint="eastAsia"/>
          <w:sz w:val="24"/>
          <w:szCs w:val="24"/>
        </w:rPr>
        <w:t>）</w:t>
      </w:r>
    </w:p>
    <w:p w14:paraId="1BC31FB8" w14:textId="77777777" w:rsidR="007D1E74" w:rsidRDefault="00A95641">
      <w:pPr>
        <w:spacing w:line="360" w:lineRule="auto"/>
        <w:ind w:firstLineChars="200" w:firstLine="480"/>
        <w:rPr>
          <w:sz w:val="24"/>
          <w:szCs w:val="24"/>
        </w:rPr>
      </w:pPr>
      <w:r>
        <w:rPr>
          <w:rFonts w:hint="eastAsia"/>
          <w:sz w:val="24"/>
          <w:szCs w:val="24"/>
        </w:rPr>
        <w:t>V.</w:t>
      </w:r>
      <w:r>
        <w:rPr>
          <w:rFonts w:hint="eastAsia"/>
          <w:sz w:val="24"/>
          <w:szCs w:val="24"/>
        </w:rPr>
        <w:t>灌草丛</w:t>
      </w:r>
    </w:p>
    <w:p w14:paraId="27A48B45" w14:textId="77777777" w:rsidR="007D1E74" w:rsidRDefault="00A95641">
      <w:pPr>
        <w:spacing w:line="360" w:lineRule="auto"/>
        <w:ind w:firstLineChars="200" w:firstLine="480"/>
        <w:rPr>
          <w:sz w:val="24"/>
          <w:szCs w:val="24"/>
        </w:rPr>
      </w:pPr>
      <w:r>
        <w:rPr>
          <w:rFonts w:hint="eastAsia"/>
          <w:sz w:val="24"/>
          <w:szCs w:val="24"/>
        </w:rPr>
        <w:t>六、暖热性灌草丛</w:t>
      </w:r>
    </w:p>
    <w:p w14:paraId="6E7F9D19" w14:textId="77777777" w:rsidR="007D1E74" w:rsidRDefault="00A95641">
      <w:pPr>
        <w:spacing w:line="360" w:lineRule="auto"/>
        <w:ind w:firstLineChars="200" w:firstLine="480"/>
        <w:rPr>
          <w:sz w:val="24"/>
          <w:szCs w:val="24"/>
        </w:rPr>
      </w:pPr>
      <w:r>
        <w:rPr>
          <w:rFonts w:hint="eastAsia"/>
          <w:sz w:val="24"/>
          <w:szCs w:val="24"/>
        </w:rPr>
        <w:t>12.</w:t>
      </w:r>
      <w:r>
        <w:rPr>
          <w:rFonts w:hint="eastAsia"/>
          <w:sz w:val="24"/>
          <w:szCs w:val="24"/>
        </w:rPr>
        <w:t>白茅灌草丛（</w:t>
      </w:r>
      <w:r>
        <w:rPr>
          <w:rFonts w:hint="eastAsia"/>
          <w:sz w:val="24"/>
          <w:szCs w:val="24"/>
        </w:rPr>
        <w:t>Form.</w:t>
      </w:r>
      <w:r>
        <w:rPr>
          <w:rFonts w:hint="eastAsia"/>
          <w:i/>
          <w:sz w:val="24"/>
          <w:szCs w:val="24"/>
        </w:rPr>
        <w:t xml:space="preserve"> Imperata koenigii</w:t>
      </w:r>
      <w:r>
        <w:rPr>
          <w:rFonts w:hint="eastAsia"/>
          <w:sz w:val="24"/>
          <w:szCs w:val="24"/>
        </w:rPr>
        <w:t>）</w:t>
      </w:r>
    </w:p>
    <w:p w14:paraId="30BAA96A" w14:textId="77777777" w:rsidR="007D1E74" w:rsidRDefault="00A95641">
      <w:pPr>
        <w:spacing w:line="360" w:lineRule="auto"/>
        <w:ind w:firstLineChars="200" w:firstLine="480"/>
        <w:rPr>
          <w:sz w:val="24"/>
          <w:szCs w:val="24"/>
        </w:rPr>
      </w:pPr>
      <w:r>
        <w:rPr>
          <w:rFonts w:hint="eastAsia"/>
          <w:sz w:val="24"/>
          <w:szCs w:val="24"/>
        </w:rPr>
        <w:t>13.</w:t>
      </w:r>
      <w:r>
        <w:rPr>
          <w:rFonts w:hint="eastAsia"/>
          <w:sz w:val="24"/>
          <w:szCs w:val="24"/>
        </w:rPr>
        <w:t>芒灌草丛（</w:t>
      </w:r>
      <w:r>
        <w:rPr>
          <w:rFonts w:hint="eastAsia"/>
          <w:sz w:val="24"/>
          <w:szCs w:val="24"/>
        </w:rPr>
        <w:t>Form.</w:t>
      </w:r>
      <w:r>
        <w:rPr>
          <w:rFonts w:hint="eastAsia"/>
          <w:i/>
          <w:sz w:val="24"/>
          <w:szCs w:val="24"/>
        </w:rPr>
        <w:t xml:space="preserve"> Imperata koenigii</w:t>
      </w:r>
      <w:r>
        <w:rPr>
          <w:rFonts w:hint="eastAsia"/>
          <w:sz w:val="24"/>
          <w:szCs w:val="24"/>
        </w:rPr>
        <w:t>）</w:t>
      </w:r>
    </w:p>
    <w:p w14:paraId="04021F8D" w14:textId="77777777" w:rsidR="007D1E74" w:rsidRDefault="00A95641">
      <w:pPr>
        <w:spacing w:line="360" w:lineRule="auto"/>
        <w:ind w:firstLineChars="200" w:firstLine="480"/>
        <w:rPr>
          <w:sz w:val="24"/>
          <w:szCs w:val="24"/>
        </w:rPr>
      </w:pPr>
      <w:r>
        <w:rPr>
          <w:rFonts w:hint="eastAsia"/>
          <w:sz w:val="24"/>
          <w:szCs w:val="24"/>
        </w:rPr>
        <w:t>14.</w:t>
      </w:r>
      <w:r>
        <w:rPr>
          <w:rFonts w:hint="eastAsia"/>
          <w:sz w:val="24"/>
          <w:szCs w:val="24"/>
        </w:rPr>
        <w:t>蒿灌草丛（</w:t>
      </w:r>
      <w:r>
        <w:rPr>
          <w:rFonts w:hint="eastAsia"/>
          <w:sz w:val="24"/>
          <w:szCs w:val="24"/>
        </w:rPr>
        <w:t>Form.</w:t>
      </w:r>
      <w:r>
        <w:rPr>
          <w:rFonts w:hint="eastAsia"/>
          <w:i/>
          <w:sz w:val="24"/>
          <w:szCs w:val="24"/>
        </w:rPr>
        <w:t xml:space="preserve"> Artemisia spp.</w:t>
      </w:r>
      <w:r>
        <w:rPr>
          <w:rFonts w:hint="eastAsia"/>
          <w:sz w:val="24"/>
          <w:szCs w:val="24"/>
        </w:rPr>
        <w:t>）</w:t>
      </w:r>
    </w:p>
    <w:p w14:paraId="6081281B" w14:textId="77777777" w:rsidR="007D1E74" w:rsidRDefault="00A95641">
      <w:pPr>
        <w:spacing w:line="360" w:lineRule="auto"/>
        <w:ind w:firstLineChars="200" w:firstLine="480"/>
        <w:rPr>
          <w:sz w:val="24"/>
          <w:szCs w:val="24"/>
        </w:rPr>
      </w:pPr>
      <w:r>
        <w:rPr>
          <w:rFonts w:hint="eastAsia"/>
          <w:sz w:val="24"/>
          <w:szCs w:val="24"/>
        </w:rPr>
        <w:t>15.</w:t>
      </w:r>
      <w:r>
        <w:rPr>
          <w:rFonts w:hint="eastAsia"/>
          <w:sz w:val="24"/>
          <w:szCs w:val="24"/>
        </w:rPr>
        <w:t>小蓬草灌草丛（</w:t>
      </w:r>
      <w:r>
        <w:rPr>
          <w:rFonts w:hint="eastAsia"/>
          <w:sz w:val="24"/>
          <w:szCs w:val="24"/>
        </w:rPr>
        <w:t>Form.</w:t>
      </w:r>
      <w:r>
        <w:rPr>
          <w:rFonts w:hint="eastAsia"/>
          <w:i/>
          <w:sz w:val="24"/>
          <w:szCs w:val="24"/>
        </w:rPr>
        <w:t xml:space="preserve"> Conyza canadensis</w:t>
      </w:r>
      <w:r>
        <w:rPr>
          <w:rFonts w:hint="eastAsia"/>
          <w:sz w:val="24"/>
          <w:szCs w:val="24"/>
        </w:rPr>
        <w:t>）</w:t>
      </w:r>
    </w:p>
    <w:p w14:paraId="55EC8360" w14:textId="77777777" w:rsidR="007D1E74" w:rsidRDefault="00A95641">
      <w:pPr>
        <w:spacing w:line="360" w:lineRule="auto"/>
        <w:ind w:firstLineChars="200" w:firstLine="480"/>
        <w:rPr>
          <w:sz w:val="24"/>
          <w:szCs w:val="24"/>
        </w:rPr>
      </w:pPr>
      <w:r>
        <w:rPr>
          <w:rFonts w:hint="eastAsia"/>
          <w:sz w:val="24"/>
          <w:szCs w:val="24"/>
        </w:rPr>
        <w:t>16.</w:t>
      </w:r>
      <w:r>
        <w:rPr>
          <w:rFonts w:hint="eastAsia"/>
          <w:sz w:val="24"/>
          <w:szCs w:val="24"/>
        </w:rPr>
        <w:t>蕨灌草丛（</w:t>
      </w:r>
      <w:r>
        <w:rPr>
          <w:rFonts w:hint="eastAsia"/>
          <w:sz w:val="24"/>
          <w:szCs w:val="24"/>
        </w:rPr>
        <w:t xml:space="preserve">Form. </w:t>
      </w:r>
      <w:r>
        <w:rPr>
          <w:rFonts w:hint="eastAsia"/>
          <w:i/>
          <w:sz w:val="24"/>
          <w:szCs w:val="24"/>
        </w:rPr>
        <w:t>Pteridium aquilinum var. latiusculum</w:t>
      </w:r>
      <w:r>
        <w:rPr>
          <w:rFonts w:hint="eastAsia"/>
          <w:sz w:val="24"/>
          <w:szCs w:val="24"/>
        </w:rPr>
        <w:t>）</w:t>
      </w:r>
    </w:p>
    <w:p w14:paraId="6D78E578" w14:textId="77777777" w:rsidR="007D1E74" w:rsidRDefault="00A95641">
      <w:pPr>
        <w:spacing w:line="360" w:lineRule="auto"/>
        <w:ind w:firstLineChars="200" w:firstLine="480"/>
        <w:rPr>
          <w:sz w:val="24"/>
          <w:szCs w:val="24"/>
        </w:rPr>
      </w:pPr>
      <w:r>
        <w:rPr>
          <w:rFonts w:hint="eastAsia"/>
          <w:sz w:val="24"/>
          <w:szCs w:val="24"/>
        </w:rPr>
        <w:t>17.</w:t>
      </w:r>
      <w:r>
        <w:rPr>
          <w:rFonts w:hint="eastAsia"/>
          <w:sz w:val="24"/>
          <w:szCs w:val="24"/>
        </w:rPr>
        <w:t>芒萁灌草丛（</w:t>
      </w:r>
      <w:r>
        <w:rPr>
          <w:rFonts w:hint="eastAsia"/>
          <w:sz w:val="24"/>
          <w:szCs w:val="24"/>
        </w:rPr>
        <w:t>Form.</w:t>
      </w:r>
      <w:r>
        <w:rPr>
          <w:rFonts w:hint="eastAsia"/>
          <w:i/>
          <w:sz w:val="24"/>
          <w:szCs w:val="24"/>
        </w:rPr>
        <w:t xml:space="preserve"> Dicranopteris dichotoma</w:t>
      </w:r>
      <w:r>
        <w:rPr>
          <w:rFonts w:hint="eastAsia"/>
          <w:sz w:val="24"/>
          <w:szCs w:val="24"/>
        </w:rPr>
        <w:t>）</w:t>
      </w:r>
    </w:p>
    <w:p w14:paraId="52082680" w14:textId="77777777" w:rsidR="007D1E74" w:rsidRDefault="00A95641">
      <w:pPr>
        <w:spacing w:line="360" w:lineRule="auto"/>
        <w:ind w:firstLineChars="200" w:firstLine="482"/>
        <w:rPr>
          <w:b/>
          <w:sz w:val="24"/>
          <w:szCs w:val="24"/>
        </w:rPr>
      </w:pPr>
      <w:r>
        <w:rPr>
          <w:rFonts w:hint="eastAsia"/>
          <w:b/>
          <w:sz w:val="24"/>
          <w:szCs w:val="24"/>
        </w:rPr>
        <w:t>②栽培</w:t>
      </w:r>
      <w:r>
        <w:rPr>
          <w:b/>
          <w:sz w:val="24"/>
          <w:szCs w:val="24"/>
        </w:rPr>
        <w:t>植被</w:t>
      </w:r>
    </w:p>
    <w:p w14:paraId="1DB9EAB9" w14:textId="77777777" w:rsidR="007D1E74" w:rsidRDefault="00A95641">
      <w:pPr>
        <w:spacing w:line="360" w:lineRule="auto"/>
        <w:ind w:firstLineChars="200" w:firstLine="480"/>
        <w:rPr>
          <w:sz w:val="24"/>
          <w:szCs w:val="24"/>
        </w:rPr>
      </w:pPr>
      <w:r>
        <w:rPr>
          <w:rFonts w:hint="eastAsia"/>
          <w:sz w:val="24"/>
          <w:szCs w:val="24"/>
        </w:rPr>
        <w:t>18.</w:t>
      </w:r>
      <w:r>
        <w:rPr>
          <w:rFonts w:hint="eastAsia"/>
          <w:sz w:val="24"/>
          <w:szCs w:val="24"/>
        </w:rPr>
        <w:t>一年两熟水田作物组合型</w:t>
      </w:r>
    </w:p>
    <w:p w14:paraId="006E761B" w14:textId="77777777" w:rsidR="007D1E74" w:rsidRDefault="00A95641">
      <w:pPr>
        <w:spacing w:line="360" w:lineRule="auto"/>
        <w:ind w:firstLineChars="200" w:firstLine="480"/>
        <w:rPr>
          <w:sz w:val="24"/>
          <w:szCs w:val="24"/>
        </w:rPr>
      </w:pPr>
      <w:r>
        <w:rPr>
          <w:rFonts w:hint="eastAsia"/>
          <w:sz w:val="24"/>
          <w:szCs w:val="24"/>
        </w:rPr>
        <w:t>19.</w:t>
      </w:r>
      <w:r>
        <w:rPr>
          <w:rFonts w:hint="eastAsia"/>
          <w:sz w:val="24"/>
          <w:szCs w:val="24"/>
        </w:rPr>
        <w:t>一年两熟旱地作物组合型</w:t>
      </w:r>
    </w:p>
    <w:p w14:paraId="28B59472" w14:textId="77777777" w:rsidR="007D1E74" w:rsidRDefault="00A95641">
      <w:pPr>
        <w:spacing w:line="360" w:lineRule="auto"/>
        <w:ind w:firstLineChars="200" w:firstLine="480"/>
        <w:rPr>
          <w:sz w:val="24"/>
          <w:szCs w:val="24"/>
        </w:rPr>
      </w:pPr>
      <w:r>
        <w:rPr>
          <w:rFonts w:hint="eastAsia"/>
          <w:sz w:val="24"/>
          <w:szCs w:val="24"/>
        </w:rPr>
        <w:t>20.</w:t>
      </w:r>
      <w:r>
        <w:rPr>
          <w:rFonts w:hint="eastAsia"/>
          <w:sz w:val="24"/>
          <w:szCs w:val="24"/>
        </w:rPr>
        <w:t>园地和经济林</w:t>
      </w:r>
    </w:p>
    <w:p w14:paraId="590C9A74" w14:textId="77777777" w:rsidR="007D1E74" w:rsidRDefault="00A95641">
      <w:pPr>
        <w:spacing w:line="360" w:lineRule="auto"/>
        <w:ind w:firstLineChars="200" w:firstLine="482"/>
        <w:rPr>
          <w:b/>
          <w:sz w:val="24"/>
          <w:szCs w:val="24"/>
        </w:rPr>
      </w:pPr>
      <w:r>
        <w:rPr>
          <w:rFonts w:hint="eastAsia"/>
          <w:b/>
          <w:sz w:val="24"/>
          <w:szCs w:val="24"/>
        </w:rPr>
        <w:t>（</w:t>
      </w:r>
      <w:r>
        <w:rPr>
          <w:b/>
          <w:sz w:val="24"/>
          <w:szCs w:val="24"/>
        </w:rPr>
        <w:t>3</w:t>
      </w:r>
      <w:r>
        <w:rPr>
          <w:rFonts w:hint="eastAsia"/>
          <w:b/>
          <w:sz w:val="24"/>
          <w:szCs w:val="24"/>
        </w:rPr>
        <w:t>）植被描述</w:t>
      </w:r>
    </w:p>
    <w:p w14:paraId="538E2C98" w14:textId="77777777" w:rsidR="007D1E74" w:rsidRDefault="00A95641">
      <w:pPr>
        <w:spacing w:line="360" w:lineRule="auto"/>
        <w:ind w:firstLineChars="200" w:firstLine="482"/>
        <w:rPr>
          <w:b/>
          <w:sz w:val="24"/>
          <w:szCs w:val="24"/>
        </w:rPr>
      </w:pPr>
      <w:r>
        <w:rPr>
          <w:rFonts w:hint="eastAsia"/>
          <w:b/>
          <w:sz w:val="24"/>
          <w:szCs w:val="24"/>
        </w:rPr>
        <w:t>①自然植被</w:t>
      </w:r>
    </w:p>
    <w:p w14:paraId="10519A4A" w14:textId="77777777" w:rsidR="007D1E74" w:rsidRDefault="00A95641">
      <w:pPr>
        <w:spacing w:line="360" w:lineRule="auto"/>
        <w:ind w:firstLineChars="200" w:firstLine="482"/>
        <w:rPr>
          <w:b/>
          <w:sz w:val="24"/>
          <w:szCs w:val="24"/>
        </w:rPr>
      </w:pPr>
      <w:r>
        <w:rPr>
          <w:rFonts w:hint="eastAsia"/>
          <w:b/>
          <w:sz w:val="24"/>
          <w:szCs w:val="24"/>
        </w:rPr>
        <w:t>马尾松林（</w:t>
      </w:r>
      <w:r>
        <w:rPr>
          <w:rFonts w:hint="eastAsia"/>
          <w:b/>
          <w:sz w:val="24"/>
          <w:szCs w:val="24"/>
        </w:rPr>
        <w:t xml:space="preserve">Form. </w:t>
      </w:r>
      <w:r>
        <w:rPr>
          <w:rFonts w:hint="eastAsia"/>
          <w:b/>
          <w:i/>
          <w:sz w:val="24"/>
          <w:szCs w:val="24"/>
        </w:rPr>
        <w:t>Pinus massoniana</w:t>
      </w:r>
      <w:r>
        <w:rPr>
          <w:rFonts w:hint="eastAsia"/>
          <w:b/>
          <w:sz w:val="24"/>
          <w:szCs w:val="24"/>
        </w:rPr>
        <w:t>）</w:t>
      </w:r>
    </w:p>
    <w:p w14:paraId="2598BEE8" w14:textId="77777777" w:rsidR="007D1E74" w:rsidRDefault="00A95641">
      <w:pPr>
        <w:spacing w:line="360" w:lineRule="auto"/>
        <w:ind w:firstLineChars="200" w:firstLine="480"/>
        <w:rPr>
          <w:sz w:val="24"/>
          <w:szCs w:val="24"/>
        </w:rPr>
      </w:pPr>
      <w:r>
        <w:rPr>
          <w:rFonts w:hint="eastAsia"/>
          <w:sz w:val="24"/>
          <w:szCs w:val="24"/>
        </w:rPr>
        <w:t>马尾松林是四川低海拔地区针叶林的代表林种之一，在四川中部和东部地区分布较为普遍。马尾松是向阳、喜温暖的树种。多分布于酸性土上。分布区的土壤发育于砂岩、页岩之酸性黄壤、酸性紫色土或石灰岩经淋溶后形成的酸性土壤。四川省内分布的海拔幅度为</w:t>
      </w:r>
      <w:r>
        <w:rPr>
          <w:rFonts w:hint="eastAsia"/>
          <w:sz w:val="24"/>
          <w:szCs w:val="24"/>
        </w:rPr>
        <w:t>200~1200m</w:t>
      </w:r>
      <w:r>
        <w:rPr>
          <w:rFonts w:hint="eastAsia"/>
          <w:sz w:val="24"/>
          <w:szCs w:val="24"/>
        </w:rPr>
        <w:t>，集中分布于海拔</w:t>
      </w:r>
      <w:r>
        <w:rPr>
          <w:rFonts w:hint="eastAsia"/>
          <w:sz w:val="24"/>
          <w:szCs w:val="24"/>
        </w:rPr>
        <w:t>1000m</w:t>
      </w:r>
      <w:r>
        <w:rPr>
          <w:rFonts w:hint="eastAsia"/>
          <w:sz w:val="24"/>
          <w:szCs w:val="24"/>
        </w:rPr>
        <w:t>以下地区。在评价区内呈斑块状分布于丘陵顶部，目前马尾松林大多被人工经济林所替代，评价区内已属偶见林类。</w:t>
      </w:r>
    </w:p>
    <w:p w14:paraId="6FE0A2B2" w14:textId="77777777" w:rsidR="007D1E74" w:rsidRDefault="00A95641">
      <w:pPr>
        <w:spacing w:line="360" w:lineRule="auto"/>
        <w:ind w:firstLineChars="200" w:firstLine="480"/>
        <w:rPr>
          <w:sz w:val="24"/>
          <w:szCs w:val="24"/>
        </w:rPr>
      </w:pPr>
      <w:r>
        <w:rPr>
          <w:rFonts w:hint="eastAsia"/>
          <w:sz w:val="24"/>
          <w:szCs w:val="24"/>
        </w:rPr>
        <w:t>群落外貌翠绿色，林冠整齐。多为次生林或人工林。除部分幼林外，一般树龄差异大，通常树龄不超过</w:t>
      </w:r>
      <w:r>
        <w:rPr>
          <w:rFonts w:hint="eastAsia"/>
          <w:sz w:val="24"/>
          <w:szCs w:val="24"/>
        </w:rPr>
        <w:t>50</w:t>
      </w:r>
      <w:r>
        <w:rPr>
          <w:rFonts w:hint="eastAsia"/>
          <w:sz w:val="24"/>
          <w:szCs w:val="24"/>
        </w:rPr>
        <w:t>年。郁闭度</w:t>
      </w:r>
      <w:r>
        <w:rPr>
          <w:rFonts w:hint="eastAsia"/>
          <w:sz w:val="24"/>
          <w:szCs w:val="24"/>
        </w:rPr>
        <w:t>0.4~0.8</w:t>
      </w:r>
      <w:r>
        <w:rPr>
          <w:rFonts w:hint="eastAsia"/>
          <w:sz w:val="24"/>
          <w:szCs w:val="24"/>
        </w:rPr>
        <w:t>。平均株高</w:t>
      </w:r>
      <w:r>
        <w:rPr>
          <w:rFonts w:hint="eastAsia"/>
          <w:sz w:val="24"/>
          <w:szCs w:val="24"/>
        </w:rPr>
        <w:t>20m</w:t>
      </w:r>
      <w:r>
        <w:rPr>
          <w:rFonts w:hint="eastAsia"/>
          <w:sz w:val="24"/>
          <w:szCs w:val="24"/>
        </w:rPr>
        <w:t>，平均胸径</w:t>
      </w:r>
      <w:r>
        <w:rPr>
          <w:rFonts w:hint="eastAsia"/>
          <w:sz w:val="24"/>
          <w:szCs w:val="24"/>
        </w:rPr>
        <w:t>23cm</w:t>
      </w:r>
      <w:r>
        <w:rPr>
          <w:rFonts w:hint="eastAsia"/>
          <w:sz w:val="24"/>
          <w:szCs w:val="24"/>
        </w:rPr>
        <w:t>。以纯林或与柏木混生为主要存在方式。林内比较通风透光，较少苔藓等活地被物，乔灌草三层层次明显。</w:t>
      </w:r>
    </w:p>
    <w:p w14:paraId="17CE6D65" w14:textId="77777777" w:rsidR="007D1E74" w:rsidRDefault="00A95641">
      <w:pPr>
        <w:spacing w:line="360" w:lineRule="auto"/>
        <w:ind w:firstLineChars="200" w:firstLine="480"/>
        <w:rPr>
          <w:sz w:val="24"/>
          <w:szCs w:val="24"/>
        </w:rPr>
      </w:pPr>
      <w:r>
        <w:rPr>
          <w:rFonts w:hint="eastAsia"/>
          <w:sz w:val="24"/>
          <w:szCs w:val="24"/>
        </w:rPr>
        <w:t>乔木层除马尾松外，多见有柏木（</w:t>
      </w:r>
      <w:r>
        <w:rPr>
          <w:rFonts w:hint="eastAsia"/>
          <w:i/>
          <w:sz w:val="24"/>
          <w:szCs w:val="24"/>
        </w:rPr>
        <w:t>Cupressus funebris</w:t>
      </w:r>
      <w:r>
        <w:rPr>
          <w:rFonts w:hint="eastAsia"/>
          <w:sz w:val="24"/>
          <w:szCs w:val="24"/>
        </w:rPr>
        <w:t>）、桉树（</w:t>
      </w:r>
      <w:r>
        <w:rPr>
          <w:rFonts w:hint="eastAsia"/>
          <w:i/>
          <w:sz w:val="24"/>
          <w:szCs w:val="24"/>
        </w:rPr>
        <w:t>Eucalyptus spp.</w:t>
      </w:r>
      <w:r>
        <w:rPr>
          <w:rFonts w:hint="eastAsia"/>
          <w:sz w:val="24"/>
          <w:szCs w:val="24"/>
        </w:rPr>
        <w:t>）、栎（</w:t>
      </w:r>
      <w:r>
        <w:rPr>
          <w:rFonts w:hint="eastAsia"/>
          <w:i/>
          <w:sz w:val="24"/>
          <w:szCs w:val="24"/>
        </w:rPr>
        <w:t>Quercus spp.</w:t>
      </w:r>
      <w:r>
        <w:rPr>
          <w:rFonts w:hint="eastAsia"/>
          <w:sz w:val="24"/>
          <w:szCs w:val="24"/>
        </w:rPr>
        <w:t>）与之混生但树高明显低于马尾松。林下灌木以蔷薇属（</w:t>
      </w:r>
      <w:r>
        <w:rPr>
          <w:rFonts w:hint="eastAsia"/>
          <w:i/>
          <w:sz w:val="24"/>
          <w:szCs w:val="24"/>
        </w:rPr>
        <w:t>Rosaspp.</w:t>
      </w:r>
      <w:r>
        <w:rPr>
          <w:rFonts w:hint="eastAsia"/>
          <w:sz w:val="24"/>
          <w:szCs w:val="24"/>
        </w:rPr>
        <w:t>）、悬钩子属（</w:t>
      </w:r>
      <w:r>
        <w:rPr>
          <w:rFonts w:hint="eastAsia"/>
          <w:i/>
          <w:sz w:val="24"/>
          <w:szCs w:val="24"/>
        </w:rPr>
        <w:t>Rubus spp.</w:t>
      </w:r>
      <w:r>
        <w:rPr>
          <w:rFonts w:hint="eastAsia"/>
          <w:sz w:val="24"/>
          <w:szCs w:val="24"/>
        </w:rPr>
        <w:t>）、铁仔（</w:t>
      </w:r>
      <w:r>
        <w:rPr>
          <w:rFonts w:hint="eastAsia"/>
          <w:i/>
          <w:sz w:val="24"/>
          <w:szCs w:val="24"/>
        </w:rPr>
        <w:t>Myrsina africana</w:t>
      </w:r>
      <w:r>
        <w:rPr>
          <w:rFonts w:hint="eastAsia"/>
          <w:sz w:val="24"/>
          <w:szCs w:val="24"/>
        </w:rPr>
        <w:t>）为优势，其次为火棘（</w:t>
      </w:r>
      <w:r>
        <w:rPr>
          <w:rFonts w:hint="eastAsia"/>
          <w:i/>
          <w:sz w:val="24"/>
          <w:szCs w:val="24"/>
        </w:rPr>
        <w:t>Pyracantha fortuneana</w:t>
      </w:r>
      <w:r>
        <w:rPr>
          <w:rFonts w:hint="eastAsia"/>
          <w:sz w:val="24"/>
          <w:szCs w:val="24"/>
        </w:rPr>
        <w:t>）、盐肤木（</w:t>
      </w:r>
      <w:r>
        <w:rPr>
          <w:rFonts w:hint="eastAsia"/>
          <w:i/>
          <w:sz w:val="24"/>
          <w:szCs w:val="24"/>
        </w:rPr>
        <w:t>Rhus chinensis</w:t>
      </w:r>
      <w:r>
        <w:rPr>
          <w:rFonts w:hint="eastAsia"/>
          <w:sz w:val="24"/>
          <w:szCs w:val="24"/>
        </w:rPr>
        <w:t>）、黄荆（</w:t>
      </w:r>
      <w:r>
        <w:rPr>
          <w:rFonts w:hint="eastAsia"/>
          <w:i/>
          <w:sz w:val="24"/>
          <w:szCs w:val="24"/>
        </w:rPr>
        <w:t>Vitex negundo</w:t>
      </w:r>
      <w:r>
        <w:rPr>
          <w:rFonts w:hint="eastAsia"/>
          <w:sz w:val="24"/>
          <w:szCs w:val="24"/>
        </w:rPr>
        <w:t>）等。草本层常以芒萁（</w:t>
      </w:r>
      <w:r>
        <w:rPr>
          <w:rFonts w:hint="eastAsia"/>
          <w:i/>
          <w:sz w:val="24"/>
          <w:szCs w:val="24"/>
        </w:rPr>
        <w:t>Dicranopteris pedata</w:t>
      </w:r>
      <w:r>
        <w:rPr>
          <w:rFonts w:hint="eastAsia"/>
          <w:sz w:val="24"/>
          <w:szCs w:val="24"/>
        </w:rPr>
        <w:t>）</w:t>
      </w:r>
      <w:r>
        <w:rPr>
          <w:rFonts w:hint="eastAsia"/>
          <w:sz w:val="24"/>
          <w:szCs w:val="24"/>
        </w:rPr>
        <w:lastRenderedPageBreak/>
        <w:t>为优势，或与芒（</w:t>
      </w:r>
      <w:r>
        <w:rPr>
          <w:rFonts w:hint="eastAsia"/>
          <w:i/>
          <w:sz w:val="24"/>
          <w:szCs w:val="24"/>
        </w:rPr>
        <w:t>Miscanthus sinensis</w:t>
      </w:r>
      <w:r>
        <w:rPr>
          <w:rFonts w:hint="eastAsia"/>
          <w:sz w:val="24"/>
          <w:szCs w:val="24"/>
        </w:rPr>
        <w:t>）、白茅（</w:t>
      </w:r>
      <w:r>
        <w:rPr>
          <w:rFonts w:hint="eastAsia"/>
          <w:i/>
          <w:sz w:val="24"/>
          <w:szCs w:val="24"/>
        </w:rPr>
        <w:t>Imperata koenigii</w:t>
      </w:r>
      <w:r>
        <w:rPr>
          <w:rFonts w:hint="eastAsia"/>
          <w:sz w:val="24"/>
          <w:szCs w:val="24"/>
        </w:rPr>
        <w:t>）等形成多优势种。其次常见的有野雉尾金粉蕨（</w:t>
      </w:r>
      <w:r>
        <w:rPr>
          <w:rFonts w:hint="eastAsia"/>
          <w:i/>
          <w:sz w:val="24"/>
          <w:szCs w:val="24"/>
        </w:rPr>
        <w:t>Ongchiumjaponicum</w:t>
      </w:r>
      <w:r>
        <w:rPr>
          <w:rFonts w:hint="eastAsia"/>
          <w:sz w:val="24"/>
          <w:szCs w:val="24"/>
        </w:rPr>
        <w:t>）、矛叶荩草（</w:t>
      </w:r>
      <w:r>
        <w:rPr>
          <w:rFonts w:hint="eastAsia"/>
          <w:i/>
          <w:sz w:val="24"/>
          <w:szCs w:val="24"/>
        </w:rPr>
        <w:t>Arthraxon lanceolatus</w:t>
      </w:r>
      <w:r>
        <w:rPr>
          <w:rFonts w:hint="eastAsia"/>
          <w:sz w:val="24"/>
          <w:szCs w:val="24"/>
        </w:rPr>
        <w:t>）、蒿（</w:t>
      </w:r>
      <w:r>
        <w:rPr>
          <w:rFonts w:hint="eastAsia"/>
          <w:i/>
          <w:sz w:val="24"/>
          <w:szCs w:val="24"/>
        </w:rPr>
        <w:t>Artemisia spp.</w:t>
      </w:r>
      <w:r>
        <w:rPr>
          <w:rFonts w:hint="eastAsia"/>
          <w:sz w:val="24"/>
          <w:szCs w:val="24"/>
        </w:rPr>
        <w:t>）等。</w:t>
      </w:r>
    </w:p>
    <w:p w14:paraId="6547705D" w14:textId="77777777" w:rsidR="007D1E74" w:rsidRDefault="00A95641">
      <w:pPr>
        <w:spacing w:line="360" w:lineRule="auto"/>
        <w:ind w:firstLineChars="200" w:firstLine="482"/>
        <w:rPr>
          <w:b/>
          <w:sz w:val="24"/>
          <w:szCs w:val="24"/>
        </w:rPr>
      </w:pPr>
      <w:r>
        <w:rPr>
          <w:rFonts w:hint="eastAsia"/>
          <w:b/>
          <w:sz w:val="24"/>
          <w:szCs w:val="24"/>
        </w:rPr>
        <w:t>柏木林（</w:t>
      </w:r>
      <w:r>
        <w:rPr>
          <w:rFonts w:hint="eastAsia"/>
          <w:b/>
          <w:sz w:val="24"/>
          <w:szCs w:val="24"/>
        </w:rPr>
        <w:t xml:space="preserve">Form. </w:t>
      </w:r>
      <w:r>
        <w:rPr>
          <w:rFonts w:hint="eastAsia"/>
          <w:b/>
          <w:i/>
          <w:sz w:val="24"/>
          <w:szCs w:val="24"/>
        </w:rPr>
        <w:t>Cupressus funebris</w:t>
      </w:r>
      <w:r>
        <w:rPr>
          <w:rFonts w:hint="eastAsia"/>
          <w:b/>
          <w:sz w:val="24"/>
          <w:szCs w:val="24"/>
        </w:rPr>
        <w:t>）</w:t>
      </w:r>
    </w:p>
    <w:p w14:paraId="00AE943A" w14:textId="77777777" w:rsidR="007D1E74" w:rsidRDefault="00A95641">
      <w:pPr>
        <w:spacing w:line="360" w:lineRule="auto"/>
        <w:ind w:firstLineChars="200" w:firstLine="480"/>
        <w:rPr>
          <w:sz w:val="24"/>
          <w:szCs w:val="24"/>
        </w:rPr>
      </w:pPr>
      <w:r>
        <w:rPr>
          <w:rFonts w:hint="eastAsia"/>
          <w:sz w:val="24"/>
          <w:szCs w:val="24"/>
        </w:rPr>
        <w:t>柏木林也是四川省境内中低海拔地带分布的针叶树林之一，多分布于四川盆地内部和边缘的低山、丘陵地带，在评价区多地呈片状分布，其分布面积最大，远大于针叶树林的其它类型。评价区内的柏木林多为块状或疏林状出现的人工林或半人工林，也与栎类、桤木等阔叶杂木形成栎柏混交林、桤柏混交林等。柏木为喜温暖湿润的阳性树种，具有喜钙的特点，在土壤深厚、环境湿润之钙质土上，生长繁茂，能较快地成材。酸性土壤上则生长不良，树形奇曲而苍老。土壤发育于紫色页岩、砂岩、石灰岩之钙质紫色土壤或黄壤，或为冲击土。</w:t>
      </w:r>
    </w:p>
    <w:p w14:paraId="447932E3" w14:textId="77777777" w:rsidR="007D1E74" w:rsidRDefault="00A95641">
      <w:pPr>
        <w:spacing w:line="360" w:lineRule="auto"/>
        <w:ind w:firstLineChars="200" w:firstLine="480"/>
        <w:rPr>
          <w:sz w:val="24"/>
          <w:szCs w:val="24"/>
        </w:rPr>
      </w:pPr>
      <w:r>
        <w:rPr>
          <w:rFonts w:hint="eastAsia"/>
          <w:sz w:val="24"/>
          <w:szCs w:val="24"/>
        </w:rPr>
        <w:t>群落外貌苍绿，林冠整齐。林冠郁闭度</w:t>
      </w:r>
      <w:r>
        <w:rPr>
          <w:rFonts w:hint="eastAsia"/>
          <w:sz w:val="24"/>
          <w:szCs w:val="24"/>
        </w:rPr>
        <w:t>0.6~0.8</w:t>
      </w:r>
      <w:r>
        <w:rPr>
          <w:rFonts w:hint="eastAsia"/>
          <w:sz w:val="24"/>
          <w:szCs w:val="24"/>
        </w:rPr>
        <w:t>，以柏木占绝对优势，株高</w:t>
      </w:r>
      <w:r>
        <w:rPr>
          <w:rFonts w:hint="eastAsia"/>
          <w:sz w:val="24"/>
          <w:szCs w:val="24"/>
        </w:rPr>
        <w:t>10~20m</w:t>
      </w:r>
      <w:r>
        <w:rPr>
          <w:rFonts w:hint="eastAsia"/>
          <w:sz w:val="24"/>
          <w:szCs w:val="24"/>
        </w:rPr>
        <w:t>，胸径</w:t>
      </w:r>
      <w:r>
        <w:rPr>
          <w:rFonts w:hint="eastAsia"/>
          <w:sz w:val="24"/>
          <w:szCs w:val="24"/>
        </w:rPr>
        <w:t>8~30cm</w:t>
      </w:r>
      <w:r>
        <w:rPr>
          <w:rFonts w:hint="eastAsia"/>
          <w:sz w:val="24"/>
          <w:szCs w:val="24"/>
        </w:rPr>
        <w:t>，其他常见有桉树、栎类、女贞（</w:t>
      </w:r>
      <w:r>
        <w:rPr>
          <w:rFonts w:hint="eastAsia"/>
          <w:i/>
          <w:sz w:val="24"/>
          <w:szCs w:val="24"/>
        </w:rPr>
        <w:t>Ligustrum lucidum</w:t>
      </w:r>
      <w:r>
        <w:rPr>
          <w:rFonts w:hint="eastAsia"/>
          <w:sz w:val="24"/>
          <w:szCs w:val="24"/>
        </w:rPr>
        <w:t>）、苦木（</w:t>
      </w:r>
      <w:r>
        <w:rPr>
          <w:rFonts w:hint="eastAsia"/>
          <w:i/>
          <w:sz w:val="24"/>
          <w:szCs w:val="24"/>
        </w:rPr>
        <w:t>Pierasma quassioides</w:t>
      </w:r>
      <w:r>
        <w:rPr>
          <w:rFonts w:hint="eastAsia"/>
          <w:sz w:val="24"/>
          <w:szCs w:val="24"/>
        </w:rPr>
        <w:t>）、臭椿（</w:t>
      </w:r>
      <w:r>
        <w:rPr>
          <w:rFonts w:hint="eastAsia"/>
          <w:i/>
          <w:sz w:val="24"/>
          <w:szCs w:val="24"/>
        </w:rPr>
        <w:t>Ailanthus altissima</w:t>
      </w:r>
      <w:r>
        <w:rPr>
          <w:rFonts w:hint="eastAsia"/>
          <w:sz w:val="24"/>
          <w:szCs w:val="24"/>
        </w:rPr>
        <w:t>）、八角枫（</w:t>
      </w:r>
      <w:r>
        <w:rPr>
          <w:rFonts w:hint="eastAsia"/>
          <w:i/>
          <w:sz w:val="24"/>
          <w:szCs w:val="24"/>
        </w:rPr>
        <w:t>Alangiumplatanifolium</w:t>
      </w:r>
      <w:r>
        <w:rPr>
          <w:rFonts w:hint="eastAsia"/>
          <w:sz w:val="24"/>
          <w:szCs w:val="24"/>
        </w:rPr>
        <w:t>）等。</w:t>
      </w:r>
    </w:p>
    <w:p w14:paraId="78A202AF" w14:textId="77777777" w:rsidR="007D1E74" w:rsidRDefault="00A95641">
      <w:pPr>
        <w:spacing w:line="360" w:lineRule="auto"/>
        <w:ind w:firstLineChars="200" w:firstLine="480"/>
        <w:rPr>
          <w:sz w:val="24"/>
          <w:szCs w:val="24"/>
        </w:rPr>
      </w:pPr>
      <w:r>
        <w:rPr>
          <w:rFonts w:hint="eastAsia"/>
          <w:sz w:val="24"/>
          <w:szCs w:val="24"/>
        </w:rPr>
        <w:t>灌木层高低相差悬殊，层次不明显，常见有小叶女贞（</w:t>
      </w:r>
      <w:r>
        <w:rPr>
          <w:rFonts w:hint="eastAsia"/>
          <w:i/>
          <w:sz w:val="24"/>
          <w:szCs w:val="24"/>
        </w:rPr>
        <w:t>Ligustrum quihoui</w:t>
      </w:r>
      <w:r>
        <w:rPr>
          <w:rFonts w:hint="eastAsia"/>
          <w:sz w:val="24"/>
          <w:szCs w:val="24"/>
        </w:rPr>
        <w:t>）、铁仔、黄荆、火棘、悬钩子等。</w:t>
      </w:r>
    </w:p>
    <w:p w14:paraId="7A4DDF2B" w14:textId="77777777" w:rsidR="007D1E74" w:rsidRDefault="00A95641">
      <w:pPr>
        <w:spacing w:line="360" w:lineRule="auto"/>
        <w:ind w:firstLineChars="200" w:firstLine="480"/>
        <w:rPr>
          <w:sz w:val="24"/>
          <w:szCs w:val="24"/>
        </w:rPr>
      </w:pPr>
      <w:r>
        <w:rPr>
          <w:rFonts w:hint="eastAsia"/>
          <w:sz w:val="24"/>
          <w:szCs w:val="24"/>
        </w:rPr>
        <w:t>草本多蕨类、禾本科和莎草科植物，以矛叶荩草为优势，次为棕叶狗尾草（</w:t>
      </w:r>
      <w:r>
        <w:rPr>
          <w:rFonts w:hint="eastAsia"/>
          <w:i/>
          <w:sz w:val="24"/>
          <w:szCs w:val="24"/>
        </w:rPr>
        <w:t>Setaria palmaefolia</w:t>
      </w:r>
      <w:r>
        <w:rPr>
          <w:rFonts w:hint="eastAsia"/>
          <w:sz w:val="24"/>
          <w:szCs w:val="24"/>
        </w:rPr>
        <w:t>）、苔草（</w:t>
      </w:r>
      <w:r>
        <w:rPr>
          <w:rFonts w:hint="eastAsia"/>
          <w:i/>
          <w:sz w:val="24"/>
          <w:szCs w:val="24"/>
        </w:rPr>
        <w:t>Carex spp.</w:t>
      </w:r>
      <w:r>
        <w:rPr>
          <w:rFonts w:hint="eastAsia"/>
          <w:sz w:val="24"/>
          <w:szCs w:val="24"/>
        </w:rPr>
        <w:t>）、井栏边草（</w:t>
      </w:r>
      <w:r>
        <w:rPr>
          <w:rFonts w:hint="eastAsia"/>
          <w:i/>
          <w:sz w:val="24"/>
          <w:szCs w:val="24"/>
        </w:rPr>
        <w:t>Pteris multifida</w:t>
      </w:r>
      <w:r>
        <w:rPr>
          <w:rFonts w:hint="eastAsia"/>
          <w:sz w:val="24"/>
          <w:szCs w:val="24"/>
        </w:rPr>
        <w:t>）、狗牙根（</w:t>
      </w:r>
      <w:r>
        <w:rPr>
          <w:rFonts w:hint="eastAsia"/>
          <w:i/>
          <w:sz w:val="24"/>
          <w:szCs w:val="24"/>
        </w:rPr>
        <w:t>Cynodon dectylon</w:t>
      </w:r>
      <w:r>
        <w:rPr>
          <w:rFonts w:hint="eastAsia"/>
          <w:sz w:val="24"/>
          <w:szCs w:val="24"/>
        </w:rPr>
        <w:t>）等。在柏木疏林下草本植物则以白茅为主，形成一定盖度。</w:t>
      </w:r>
    </w:p>
    <w:p w14:paraId="18776E88" w14:textId="77777777" w:rsidR="007D1E74" w:rsidRDefault="00A95641">
      <w:pPr>
        <w:spacing w:line="360" w:lineRule="auto"/>
        <w:ind w:firstLineChars="200" w:firstLine="482"/>
        <w:rPr>
          <w:b/>
          <w:sz w:val="24"/>
          <w:szCs w:val="24"/>
        </w:rPr>
      </w:pPr>
      <w:r>
        <w:rPr>
          <w:rFonts w:hint="eastAsia"/>
          <w:b/>
          <w:sz w:val="24"/>
          <w:szCs w:val="24"/>
        </w:rPr>
        <w:t>杉木林（</w:t>
      </w:r>
      <w:r>
        <w:rPr>
          <w:rFonts w:hint="eastAsia"/>
          <w:b/>
          <w:sz w:val="24"/>
          <w:szCs w:val="24"/>
        </w:rPr>
        <w:t xml:space="preserve">Form. </w:t>
      </w:r>
      <w:r>
        <w:rPr>
          <w:rFonts w:hint="eastAsia"/>
          <w:b/>
          <w:i/>
          <w:sz w:val="24"/>
          <w:szCs w:val="24"/>
        </w:rPr>
        <w:t>Cunninghamia lanceolata</w:t>
      </w:r>
      <w:r>
        <w:rPr>
          <w:rFonts w:hint="eastAsia"/>
          <w:b/>
          <w:sz w:val="24"/>
          <w:szCs w:val="24"/>
        </w:rPr>
        <w:t>）</w:t>
      </w:r>
    </w:p>
    <w:p w14:paraId="38D81F43" w14:textId="77777777" w:rsidR="007D1E74" w:rsidRDefault="00A95641">
      <w:pPr>
        <w:spacing w:line="360" w:lineRule="auto"/>
        <w:ind w:firstLineChars="200" w:firstLine="480"/>
        <w:rPr>
          <w:sz w:val="24"/>
          <w:szCs w:val="24"/>
        </w:rPr>
      </w:pPr>
      <w:r>
        <w:rPr>
          <w:rFonts w:hint="eastAsia"/>
          <w:sz w:val="24"/>
          <w:szCs w:val="24"/>
        </w:rPr>
        <w:t>杉木适生于温暖湿润、土壤深厚、静风的山凹谷地；土壤以土层深厚、湿润肥沃，排水良好的酸性红、黄壤。评价区内的杉木均为人工栽植，呈小块状分布于退耕还林地带，</w:t>
      </w:r>
      <w:r>
        <w:rPr>
          <w:rFonts w:hint="eastAsia"/>
          <w:sz w:val="24"/>
          <w:szCs w:val="24"/>
        </w:rPr>
        <w:t xml:space="preserve"> </w:t>
      </w:r>
      <w:r>
        <w:rPr>
          <w:rFonts w:hint="eastAsia"/>
          <w:sz w:val="24"/>
          <w:szCs w:val="24"/>
        </w:rPr>
        <w:t>多为纯林，或其间混种有人工栽植的柳杉（</w:t>
      </w:r>
      <w:r>
        <w:rPr>
          <w:rFonts w:hint="eastAsia"/>
          <w:i/>
          <w:sz w:val="24"/>
          <w:szCs w:val="24"/>
        </w:rPr>
        <w:t>Cryptomeriafortunei</w:t>
      </w:r>
      <w:r>
        <w:rPr>
          <w:rFonts w:hint="eastAsia"/>
          <w:sz w:val="24"/>
          <w:szCs w:val="24"/>
        </w:rPr>
        <w:t>）、桤木（</w:t>
      </w:r>
      <w:r>
        <w:rPr>
          <w:rFonts w:hint="eastAsia"/>
          <w:i/>
          <w:sz w:val="24"/>
          <w:szCs w:val="24"/>
        </w:rPr>
        <w:t>Alnus cremastogyne</w:t>
      </w:r>
      <w:r>
        <w:rPr>
          <w:rFonts w:hint="eastAsia"/>
          <w:sz w:val="24"/>
          <w:szCs w:val="24"/>
        </w:rPr>
        <w:t>）和自然生长的常绿阔叶树而形成针阔叶混交林。</w:t>
      </w:r>
    </w:p>
    <w:p w14:paraId="56342E99" w14:textId="77777777" w:rsidR="007D1E74" w:rsidRDefault="00A95641">
      <w:pPr>
        <w:spacing w:line="360" w:lineRule="auto"/>
        <w:ind w:firstLineChars="200" w:firstLine="480"/>
        <w:rPr>
          <w:sz w:val="24"/>
          <w:szCs w:val="24"/>
        </w:rPr>
      </w:pPr>
      <w:r>
        <w:rPr>
          <w:rFonts w:hint="eastAsia"/>
          <w:sz w:val="24"/>
          <w:szCs w:val="24"/>
        </w:rPr>
        <w:t>杉木纯林乔木层仅有杉木一层，其郁闭度最高可达</w:t>
      </w:r>
      <w:r>
        <w:rPr>
          <w:rFonts w:hint="eastAsia"/>
          <w:sz w:val="24"/>
          <w:szCs w:val="24"/>
        </w:rPr>
        <w:t>0.85</w:t>
      </w:r>
      <w:r>
        <w:rPr>
          <w:rFonts w:hint="eastAsia"/>
          <w:sz w:val="24"/>
          <w:szCs w:val="24"/>
        </w:rPr>
        <w:t>以上，高度在</w:t>
      </w:r>
      <w:r>
        <w:rPr>
          <w:rFonts w:hint="eastAsia"/>
          <w:sz w:val="24"/>
          <w:szCs w:val="24"/>
        </w:rPr>
        <w:t>8~16m</w:t>
      </w:r>
      <w:r>
        <w:rPr>
          <w:rFonts w:hint="eastAsia"/>
          <w:sz w:val="24"/>
          <w:szCs w:val="24"/>
        </w:rPr>
        <w:t>之间，杉木胸径</w:t>
      </w:r>
      <w:r>
        <w:rPr>
          <w:rFonts w:hint="eastAsia"/>
          <w:sz w:val="24"/>
          <w:szCs w:val="24"/>
        </w:rPr>
        <w:t>8~22cm</w:t>
      </w:r>
      <w:r>
        <w:rPr>
          <w:rFonts w:hint="eastAsia"/>
          <w:sz w:val="24"/>
          <w:szCs w:val="24"/>
        </w:rPr>
        <w:t>，最大一株胸径为</w:t>
      </w:r>
      <w:r>
        <w:rPr>
          <w:rFonts w:hint="eastAsia"/>
          <w:sz w:val="24"/>
          <w:szCs w:val="24"/>
        </w:rPr>
        <w:t>24cm</w:t>
      </w:r>
      <w:r>
        <w:rPr>
          <w:rFonts w:hint="eastAsia"/>
          <w:sz w:val="24"/>
          <w:szCs w:val="24"/>
        </w:rPr>
        <w:t>。林下灌木层不发达，草本植物长势也极稀疏，主要有单芽狗脊（</w:t>
      </w:r>
      <w:r>
        <w:rPr>
          <w:rFonts w:hint="eastAsia"/>
          <w:i/>
          <w:sz w:val="24"/>
          <w:szCs w:val="24"/>
        </w:rPr>
        <w:t>Woodwardia japonica</w:t>
      </w:r>
      <w:r>
        <w:rPr>
          <w:rFonts w:hint="eastAsia"/>
          <w:sz w:val="24"/>
          <w:szCs w:val="24"/>
        </w:rPr>
        <w:t>）、芒萁（</w:t>
      </w:r>
      <w:r>
        <w:rPr>
          <w:rFonts w:hint="eastAsia"/>
          <w:i/>
          <w:sz w:val="24"/>
          <w:szCs w:val="24"/>
        </w:rPr>
        <w:t>Dicranopterispesdata</w:t>
      </w:r>
      <w:r>
        <w:rPr>
          <w:rFonts w:hint="eastAsia"/>
          <w:sz w:val="24"/>
          <w:szCs w:val="24"/>
        </w:rPr>
        <w:t>）、鳞毛蕨（</w:t>
      </w:r>
      <w:r>
        <w:rPr>
          <w:rFonts w:hint="eastAsia"/>
          <w:i/>
          <w:sz w:val="24"/>
          <w:szCs w:val="24"/>
        </w:rPr>
        <w:t>Dryopteris spp.</w:t>
      </w:r>
      <w:r>
        <w:rPr>
          <w:rFonts w:hint="eastAsia"/>
          <w:sz w:val="24"/>
          <w:szCs w:val="24"/>
        </w:rPr>
        <w:t>）等蕨类和白茅（</w:t>
      </w:r>
      <w:r>
        <w:rPr>
          <w:rFonts w:hint="eastAsia"/>
          <w:i/>
          <w:sz w:val="24"/>
          <w:szCs w:val="24"/>
        </w:rPr>
        <w:t>Imperata koenigii</w:t>
      </w:r>
      <w:r>
        <w:rPr>
          <w:rFonts w:hint="eastAsia"/>
          <w:sz w:val="24"/>
          <w:szCs w:val="24"/>
        </w:rPr>
        <w:t>）、芒（</w:t>
      </w:r>
      <w:r>
        <w:rPr>
          <w:rFonts w:hint="eastAsia"/>
          <w:i/>
          <w:sz w:val="24"/>
          <w:szCs w:val="24"/>
        </w:rPr>
        <w:t>Miscanthussinensis</w:t>
      </w:r>
      <w:r>
        <w:rPr>
          <w:rFonts w:hint="eastAsia"/>
          <w:sz w:val="24"/>
          <w:szCs w:val="24"/>
        </w:rPr>
        <w:t>）等禾草类。层外植物有菝葜（</w:t>
      </w:r>
      <w:r>
        <w:rPr>
          <w:rFonts w:hint="eastAsia"/>
          <w:i/>
          <w:sz w:val="24"/>
          <w:szCs w:val="24"/>
        </w:rPr>
        <w:t>Smilax china</w:t>
      </w:r>
      <w:r>
        <w:rPr>
          <w:rFonts w:hint="eastAsia"/>
          <w:sz w:val="24"/>
          <w:szCs w:val="24"/>
        </w:rPr>
        <w:t>）、三叶木通（</w:t>
      </w:r>
      <w:r>
        <w:rPr>
          <w:rFonts w:hint="eastAsia"/>
          <w:i/>
          <w:sz w:val="24"/>
          <w:szCs w:val="24"/>
        </w:rPr>
        <w:t>Akebia trifoliata</w:t>
      </w:r>
      <w:r>
        <w:rPr>
          <w:rFonts w:hint="eastAsia"/>
          <w:sz w:val="24"/>
          <w:szCs w:val="24"/>
        </w:rPr>
        <w:t>）、海金沙（</w:t>
      </w:r>
      <w:r>
        <w:rPr>
          <w:rFonts w:hint="eastAsia"/>
          <w:i/>
          <w:sz w:val="24"/>
          <w:szCs w:val="24"/>
        </w:rPr>
        <w:t>Lygodium japonicum</w:t>
      </w:r>
      <w:r>
        <w:rPr>
          <w:rFonts w:hint="eastAsia"/>
          <w:sz w:val="24"/>
          <w:szCs w:val="24"/>
        </w:rPr>
        <w:t>）、</w:t>
      </w:r>
      <w:r>
        <w:rPr>
          <w:rFonts w:hint="eastAsia"/>
          <w:sz w:val="24"/>
          <w:szCs w:val="24"/>
        </w:rPr>
        <w:lastRenderedPageBreak/>
        <w:t>铁线莲（</w:t>
      </w:r>
      <w:r>
        <w:rPr>
          <w:rFonts w:hint="eastAsia"/>
          <w:i/>
          <w:sz w:val="24"/>
          <w:szCs w:val="24"/>
        </w:rPr>
        <w:t>Clematis spp.</w:t>
      </w:r>
      <w:r>
        <w:rPr>
          <w:rFonts w:hint="eastAsia"/>
          <w:sz w:val="24"/>
          <w:szCs w:val="24"/>
        </w:rPr>
        <w:t>）等。</w:t>
      </w:r>
    </w:p>
    <w:p w14:paraId="2AEC7495" w14:textId="77777777" w:rsidR="007D1E74" w:rsidRDefault="00A95641">
      <w:pPr>
        <w:spacing w:line="360" w:lineRule="auto"/>
        <w:ind w:firstLineChars="200" w:firstLine="482"/>
        <w:rPr>
          <w:b/>
          <w:sz w:val="24"/>
          <w:szCs w:val="24"/>
        </w:rPr>
      </w:pPr>
      <w:r>
        <w:rPr>
          <w:rFonts w:hint="eastAsia"/>
          <w:b/>
          <w:sz w:val="24"/>
          <w:szCs w:val="24"/>
        </w:rPr>
        <w:t>麻栎林（</w:t>
      </w:r>
      <w:r>
        <w:rPr>
          <w:rFonts w:hint="eastAsia"/>
          <w:b/>
          <w:sz w:val="24"/>
          <w:szCs w:val="24"/>
        </w:rPr>
        <w:t xml:space="preserve">Form. </w:t>
      </w:r>
      <w:r>
        <w:rPr>
          <w:rFonts w:hint="eastAsia"/>
          <w:b/>
          <w:i/>
          <w:sz w:val="24"/>
          <w:szCs w:val="24"/>
        </w:rPr>
        <w:t>Quercus acutissima</w:t>
      </w:r>
      <w:r>
        <w:rPr>
          <w:rFonts w:hint="eastAsia"/>
          <w:b/>
          <w:sz w:val="24"/>
          <w:szCs w:val="24"/>
        </w:rPr>
        <w:t>）</w:t>
      </w:r>
    </w:p>
    <w:p w14:paraId="4C41392B" w14:textId="77777777" w:rsidR="007D1E74" w:rsidRDefault="00A95641">
      <w:pPr>
        <w:spacing w:line="360" w:lineRule="auto"/>
        <w:ind w:firstLineChars="200" w:firstLine="480"/>
        <w:rPr>
          <w:sz w:val="24"/>
          <w:szCs w:val="24"/>
        </w:rPr>
      </w:pPr>
      <w:r>
        <w:rPr>
          <w:rFonts w:hint="eastAsia"/>
          <w:sz w:val="24"/>
          <w:szCs w:val="24"/>
        </w:rPr>
        <w:t>麻栎是一种对环境适应性较好的阳性树种，萌生能力强。对土壤要求不严，但多生长于干燥的阳坡，在土质肥沃，土层较厚处长势尤其良好。</w:t>
      </w:r>
    </w:p>
    <w:p w14:paraId="7D3AF392" w14:textId="77777777" w:rsidR="007D1E74" w:rsidRDefault="00A95641">
      <w:pPr>
        <w:spacing w:line="360" w:lineRule="auto"/>
        <w:ind w:firstLineChars="200" w:firstLine="480"/>
        <w:rPr>
          <w:sz w:val="24"/>
          <w:szCs w:val="24"/>
        </w:rPr>
      </w:pPr>
      <w:r>
        <w:rPr>
          <w:rFonts w:hint="eastAsia"/>
          <w:sz w:val="24"/>
          <w:szCs w:val="24"/>
        </w:rPr>
        <w:t>麻栎林主要分布在评价区的阳坡和半阳坡，垂直分布于海拔</w:t>
      </w:r>
      <w:r>
        <w:rPr>
          <w:rFonts w:hint="eastAsia"/>
          <w:sz w:val="24"/>
          <w:szCs w:val="24"/>
        </w:rPr>
        <w:t>650~980m</w:t>
      </w:r>
      <w:r>
        <w:rPr>
          <w:rFonts w:hint="eastAsia"/>
          <w:sz w:val="24"/>
          <w:szCs w:val="24"/>
        </w:rPr>
        <w:t>的地方，郁闭度一般在</w:t>
      </w:r>
      <w:r>
        <w:rPr>
          <w:rFonts w:hint="eastAsia"/>
          <w:sz w:val="24"/>
          <w:szCs w:val="24"/>
        </w:rPr>
        <w:t>0.5~0.7</w:t>
      </w:r>
      <w:r>
        <w:rPr>
          <w:rFonts w:hint="eastAsia"/>
          <w:sz w:val="24"/>
          <w:szCs w:val="24"/>
        </w:rPr>
        <w:t>左右，林层高度在</w:t>
      </w:r>
      <w:r>
        <w:rPr>
          <w:rFonts w:hint="eastAsia"/>
          <w:sz w:val="24"/>
          <w:szCs w:val="24"/>
        </w:rPr>
        <w:t>6~8m</w:t>
      </w:r>
      <w:r>
        <w:rPr>
          <w:rFonts w:hint="eastAsia"/>
          <w:sz w:val="24"/>
          <w:szCs w:val="24"/>
        </w:rPr>
        <w:t>。但部分被村民用于栽培木耳的麻栎林高度在</w:t>
      </w:r>
      <w:r>
        <w:rPr>
          <w:rFonts w:hint="eastAsia"/>
          <w:sz w:val="24"/>
          <w:szCs w:val="24"/>
        </w:rPr>
        <w:t>3~5m</w:t>
      </w:r>
      <w:r>
        <w:rPr>
          <w:rFonts w:hint="eastAsia"/>
          <w:sz w:val="24"/>
          <w:szCs w:val="24"/>
        </w:rPr>
        <w:t>左右。土壤常为由砂岩发育形成的山地黄壤，紫色砂页岩、紫色页岩发育形成的山地黄棕壤。枯枝落叶覆盖率</w:t>
      </w:r>
      <w:r>
        <w:rPr>
          <w:rFonts w:hint="eastAsia"/>
          <w:sz w:val="24"/>
          <w:szCs w:val="24"/>
        </w:rPr>
        <w:t>40~50%</w:t>
      </w:r>
      <w:r>
        <w:rPr>
          <w:rFonts w:hint="eastAsia"/>
          <w:sz w:val="24"/>
          <w:szCs w:val="24"/>
        </w:rPr>
        <w:t>，分解较好。</w:t>
      </w:r>
    </w:p>
    <w:p w14:paraId="599F16C8" w14:textId="77777777" w:rsidR="007D1E74" w:rsidRDefault="00A95641">
      <w:pPr>
        <w:spacing w:line="360" w:lineRule="auto"/>
        <w:ind w:firstLineChars="200" w:firstLine="480"/>
        <w:rPr>
          <w:sz w:val="24"/>
          <w:szCs w:val="24"/>
        </w:rPr>
      </w:pPr>
      <w:r>
        <w:rPr>
          <w:rFonts w:hint="eastAsia"/>
          <w:sz w:val="24"/>
          <w:szCs w:val="24"/>
        </w:rPr>
        <w:t>麻栎林外貌多为黄绿色，树冠较整齐，林内组份简单。乔木层以其为建群种，郁闭度</w:t>
      </w:r>
      <w:r>
        <w:rPr>
          <w:rFonts w:hint="eastAsia"/>
          <w:sz w:val="24"/>
          <w:szCs w:val="24"/>
        </w:rPr>
        <w:t>0.5~0.8</w:t>
      </w:r>
      <w:r>
        <w:rPr>
          <w:rFonts w:hint="eastAsia"/>
          <w:sz w:val="24"/>
          <w:szCs w:val="24"/>
        </w:rPr>
        <w:t>之间，树高多在</w:t>
      </w:r>
      <w:r>
        <w:rPr>
          <w:rFonts w:hint="eastAsia"/>
          <w:sz w:val="24"/>
          <w:szCs w:val="24"/>
        </w:rPr>
        <w:t>10m</w:t>
      </w:r>
      <w:r>
        <w:rPr>
          <w:rFonts w:hint="eastAsia"/>
          <w:sz w:val="24"/>
          <w:szCs w:val="24"/>
        </w:rPr>
        <w:t>以下，胸径</w:t>
      </w:r>
      <w:r>
        <w:rPr>
          <w:rFonts w:hint="eastAsia"/>
          <w:sz w:val="24"/>
          <w:szCs w:val="24"/>
        </w:rPr>
        <w:t>10~15cm</w:t>
      </w:r>
      <w:r>
        <w:rPr>
          <w:rFonts w:hint="eastAsia"/>
          <w:sz w:val="24"/>
          <w:szCs w:val="24"/>
        </w:rPr>
        <w:t>。但当树高超过</w:t>
      </w:r>
      <w:r>
        <w:rPr>
          <w:rFonts w:hint="eastAsia"/>
          <w:sz w:val="24"/>
          <w:szCs w:val="24"/>
        </w:rPr>
        <w:t>10m</w:t>
      </w:r>
      <w:r>
        <w:rPr>
          <w:rFonts w:hint="eastAsia"/>
          <w:sz w:val="24"/>
          <w:szCs w:val="24"/>
        </w:rPr>
        <w:t>时，胸径可达</w:t>
      </w:r>
      <w:r>
        <w:rPr>
          <w:rFonts w:hint="eastAsia"/>
          <w:sz w:val="24"/>
          <w:szCs w:val="24"/>
        </w:rPr>
        <w:t>25cm</w:t>
      </w:r>
      <w:r>
        <w:rPr>
          <w:rFonts w:hint="eastAsia"/>
          <w:sz w:val="24"/>
          <w:szCs w:val="24"/>
        </w:rPr>
        <w:t>。麻栎林内多伴生有栓皮栎，可形成</w:t>
      </w:r>
      <w:r>
        <w:rPr>
          <w:rFonts w:hint="eastAsia"/>
          <w:sz w:val="24"/>
          <w:szCs w:val="24"/>
        </w:rPr>
        <w:t>0.1</w:t>
      </w:r>
      <w:r>
        <w:rPr>
          <w:rFonts w:hint="eastAsia"/>
          <w:sz w:val="24"/>
          <w:szCs w:val="24"/>
        </w:rPr>
        <w:t>左右的郁闭度，有时还有化香树、马尾松、柏木和杉木（栽植，</w:t>
      </w:r>
      <w:r>
        <w:rPr>
          <w:rFonts w:hint="eastAsia"/>
          <w:i/>
          <w:sz w:val="24"/>
          <w:szCs w:val="24"/>
        </w:rPr>
        <w:t>Cunninghamia lanceolata</w:t>
      </w:r>
      <w:r>
        <w:rPr>
          <w:rFonts w:hint="eastAsia"/>
          <w:sz w:val="24"/>
          <w:szCs w:val="24"/>
        </w:rPr>
        <w:t>）混生。</w:t>
      </w:r>
    </w:p>
    <w:p w14:paraId="4739E27A" w14:textId="77777777" w:rsidR="007D1E74" w:rsidRDefault="00A95641">
      <w:pPr>
        <w:spacing w:line="360" w:lineRule="auto"/>
        <w:ind w:firstLineChars="200" w:firstLine="480"/>
        <w:rPr>
          <w:sz w:val="24"/>
          <w:szCs w:val="24"/>
        </w:rPr>
      </w:pPr>
      <w:r>
        <w:rPr>
          <w:rFonts w:hint="eastAsia"/>
          <w:sz w:val="24"/>
          <w:szCs w:val="24"/>
        </w:rPr>
        <w:t>麻栎林下灌丛稀疏，盖度仅为</w:t>
      </w:r>
      <w:r>
        <w:rPr>
          <w:rFonts w:hint="eastAsia"/>
          <w:sz w:val="24"/>
          <w:szCs w:val="24"/>
        </w:rPr>
        <w:t>10%</w:t>
      </w:r>
      <w:r>
        <w:rPr>
          <w:rFonts w:hint="eastAsia"/>
          <w:sz w:val="24"/>
          <w:szCs w:val="24"/>
        </w:rPr>
        <w:t>左右。主要有马桑（</w:t>
      </w:r>
      <w:r>
        <w:rPr>
          <w:rFonts w:hint="eastAsia"/>
          <w:i/>
          <w:sz w:val="24"/>
          <w:szCs w:val="24"/>
        </w:rPr>
        <w:t>Coriaria nepalensis</w:t>
      </w:r>
      <w:r>
        <w:rPr>
          <w:rFonts w:hint="eastAsia"/>
          <w:sz w:val="24"/>
          <w:szCs w:val="24"/>
        </w:rPr>
        <w:t>）、铁仔、棕榈，以及多种小檗如刺红珠（</w:t>
      </w:r>
      <w:r>
        <w:rPr>
          <w:rFonts w:hint="eastAsia"/>
          <w:i/>
          <w:sz w:val="24"/>
          <w:szCs w:val="24"/>
        </w:rPr>
        <w:t>Berberis dictyophylla</w:t>
      </w:r>
      <w:r>
        <w:rPr>
          <w:rFonts w:hint="eastAsia"/>
          <w:sz w:val="24"/>
          <w:szCs w:val="24"/>
        </w:rPr>
        <w:t>）、豪猪刺（</w:t>
      </w:r>
      <w:r>
        <w:rPr>
          <w:rFonts w:hint="eastAsia"/>
          <w:i/>
          <w:sz w:val="24"/>
          <w:szCs w:val="24"/>
        </w:rPr>
        <w:t>Berberisjulianae</w:t>
      </w:r>
      <w:r>
        <w:rPr>
          <w:rFonts w:hint="eastAsia"/>
          <w:sz w:val="24"/>
          <w:szCs w:val="24"/>
        </w:rPr>
        <w:t>）、盐肤木（</w:t>
      </w:r>
      <w:r>
        <w:rPr>
          <w:rFonts w:hint="eastAsia"/>
          <w:i/>
          <w:sz w:val="24"/>
          <w:szCs w:val="24"/>
        </w:rPr>
        <w:t>Rhus chinensis</w:t>
      </w:r>
      <w:r>
        <w:rPr>
          <w:rFonts w:hint="eastAsia"/>
          <w:sz w:val="24"/>
          <w:szCs w:val="24"/>
        </w:rPr>
        <w:t>）和胡颓子（</w:t>
      </w:r>
      <w:r>
        <w:rPr>
          <w:rFonts w:hint="eastAsia"/>
          <w:i/>
          <w:sz w:val="24"/>
          <w:szCs w:val="24"/>
        </w:rPr>
        <w:t>Elaeagnus pungens</w:t>
      </w:r>
      <w:r>
        <w:rPr>
          <w:rFonts w:hint="eastAsia"/>
          <w:sz w:val="24"/>
          <w:szCs w:val="24"/>
        </w:rPr>
        <w:t>）。因其地表常为落叶覆盖所有草本植物盖度极小，常见的有蒿、白茅、芒萁（</w:t>
      </w:r>
      <w:r>
        <w:rPr>
          <w:rFonts w:hint="eastAsia"/>
          <w:i/>
          <w:sz w:val="24"/>
          <w:szCs w:val="24"/>
        </w:rPr>
        <w:t>Dicranopterisdichotoma</w:t>
      </w:r>
      <w:r>
        <w:rPr>
          <w:rFonts w:hint="eastAsia"/>
          <w:sz w:val="24"/>
          <w:szCs w:val="24"/>
        </w:rPr>
        <w:t>）、野青茅（</w:t>
      </w:r>
      <w:r>
        <w:rPr>
          <w:rFonts w:hint="eastAsia"/>
          <w:i/>
          <w:sz w:val="24"/>
          <w:szCs w:val="24"/>
        </w:rPr>
        <w:t>Deyeuxia arundinacea</w:t>
      </w:r>
      <w:r>
        <w:rPr>
          <w:rFonts w:hint="eastAsia"/>
          <w:sz w:val="24"/>
          <w:szCs w:val="24"/>
        </w:rPr>
        <w:t>）、苔草、荩草（</w:t>
      </w:r>
      <w:r>
        <w:rPr>
          <w:rFonts w:hint="eastAsia"/>
          <w:i/>
          <w:sz w:val="24"/>
          <w:szCs w:val="24"/>
        </w:rPr>
        <w:t>Arthraxon hispidus</w:t>
      </w:r>
      <w:r>
        <w:rPr>
          <w:rFonts w:hint="eastAsia"/>
          <w:sz w:val="24"/>
          <w:szCs w:val="24"/>
        </w:rPr>
        <w:t>）等。</w:t>
      </w:r>
    </w:p>
    <w:p w14:paraId="12B24AC6" w14:textId="77777777" w:rsidR="007D1E74" w:rsidRDefault="00A95641">
      <w:pPr>
        <w:spacing w:line="360" w:lineRule="auto"/>
        <w:ind w:firstLineChars="200" w:firstLine="480"/>
        <w:rPr>
          <w:sz w:val="24"/>
          <w:szCs w:val="24"/>
        </w:rPr>
      </w:pPr>
      <w:r>
        <w:rPr>
          <w:rFonts w:hint="eastAsia"/>
          <w:sz w:val="24"/>
          <w:szCs w:val="24"/>
        </w:rPr>
        <w:t>层外植物有托柄菝葜（</w:t>
      </w:r>
      <w:r>
        <w:rPr>
          <w:rFonts w:hint="eastAsia"/>
          <w:i/>
          <w:sz w:val="24"/>
          <w:szCs w:val="24"/>
        </w:rPr>
        <w:t>Smilax discotis</w:t>
      </w:r>
      <w:r>
        <w:rPr>
          <w:rFonts w:hint="eastAsia"/>
          <w:sz w:val="24"/>
          <w:szCs w:val="24"/>
        </w:rPr>
        <w:t>）、鞘柄菝葜（</w:t>
      </w:r>
      <w:r>
        <w:rPr>
          <w:rFonts w:hint="eastAsia"/>
          <w:i/>
          <w:sz w:val="24"/>
          <w:szCs w:val="24"/>
        </w:rPr>
        <w:t>Smilax stans</w:t>
      </w:r>
      <w:r>
        <w:rPr>
          <w:rFonts w:hint="eastAsia"/>
          <w:sz w:val="24"/>
          <w:szCs w:val="24"/>
        </w:rPr>
        <w:t>）、三叶木通（</w:t>
      </w:r>
      <w:r>
        <w:rPr>
          <w:rFonts w:hint="eastAsia"/>
          <w:i/>
          <w:sz w:val="24"/>
          <w:szCs w:val="24"/>
        </w:rPr>
        <w:t>Akebia trifoliata</w:t>
      </w:r>
      <w:r>
        <w:rPr>
          <w:rFonts w:hint="eastAsia"/>
          <w:sz w:val="24"/>
          <w:szCs w:val="24"/>
        </w:rPr>
        <w:t>）、三裂蛇葡萄（</w:t>
      </w:r>
      <w:r>
        <w:rPr>
          <w:rFonts w:hint="eastAsia"/>
          <w:i/>
          <w:sz w:val="24"/>
          <w:szCs w:val="24"/>
        </w:rPr>
        <w:t>Ampelopsis delavayana</w:t>
      </w:r>
      <w:r>
        <w:rPr>
          <w:rFonts w:hint="eastAsia"/>
          <w:sz w:val="24"/>
          <w:szCs w:val="24"/>
        </w:rPr>
        <w:t>）等。</w:t>
      </w:r>
    </w:p>
    <w:p w14:paraId="5CEB4959" w14:textId="77777777" w:rsidR="007D1E74" w:rsidRDefault="00A95641">
      <w:pPr>
        <w:spacing w:line="360" w:lineRule="auto"/>
        <w:ind w:firstLineChars="200" w:firstLine="482"/>
        <w:rPr>
          <w:b/>
          <w:sz w:val="24"/>
          <w:szCs w:val="24"/>
        </w:rPr>
      </w:pPr>
      <w:r>
        <w:rPr>
          <w:rFonts w:hint="eastAsia"/>
          <w:b/>
          <w:sz w:val="24"/>
          <w:szCs w:val="24"/>
        </w:rPr>
        <w:t>桤木林（</w:t>
      </w:r>
      <w:r>
        <w:rPr>
          <w:rFonts w:hint="eastAsia"/>
          <w:b/>
          <w:sz w:val="24"/>
          <w:szCs w:val="24"/>
        </w:rPr>
        <w:t xml:space="preserve">Form. </w:t>
      </w:r>
      <w:r>
        <w:rPr>
          <w:rFonts w:hint="eastAsia"/>
          <w:b/>
          <w:i/>
          <w:sz w:val="24"/>
          <w:szCs w:val="24"/>
        </w:rPr>
        <w:t>Alnus cremastogyne</w:t>
      </w:r>
      <w:r>
        <w:rPr>
          <w:rFonts w:hint="eastAsia"/>
          <w:b/>
          <w:sz w:val="24"/>
          <w:szCs w:val="24"/>
        </w:rPr>
        <w:t>）</w:t>
      </w:r>
    </w:p>
    <w:p w14:paraId="4969B6BF" w14:textId="77777777" w:rsidR="007D1E74" w:rsidRDefault="00A95641">
      <w:pPr>
        <w:spacing w:line="360" w:lineRule="auto"/>
        <w:ind w:firstLineChars="200" w:firstLine="480"/>
        <w:rPr>
          <w:sz w:val="24"/>
          <w:szCs w:val="24"/>
        </w:rPr>
      </w:pPr>
      <w:r>
        <w:rPr>
          <w:rFonts w:hint="eastAsia"/>
          <w:sz w:val="24"/>
          <w:szCs w:val="24"/>
        </w:rPr>
        <w:t>桤木林在评价区内主要分布于海拔</w:t>
      </w:r>
      <w:r>
        <w:rPr>
          <w:rFonts w:hint="eastAsia"/>
          <w:sz w:val="24"/>
          <w:szCs w:val="24"/>
        </w:rPr>
        <w:t>1000m</w:t>
      </w:r>
      <w:r>
        <w:rPr>
          <w:rFonts w:hint="eastAsia"/>
          <w:sz w:val="24"/>
          <w:szCs w:val="24"/>
        </w:rPr>
        <w:t>以下的地带，群落多呈零星小块状。由于桤木对土壤湿度要求较高，故多见于河流两岸、河滩、田边及地势平坦的山麓地段。桤木繁殖易且速生，多系作薪柴的人工林。</w:t>
      </w:r>
    </w:p>
    <w:p w14:paraId="779487F0" w14:textId="77777777" w:rsidR="007D1E74" w:rsidRDefault="00A95641">
      <w:pPr>
        <w:spacing w:line="360" w:lineRule="auto"/>
        <w:ind w:firstLineChars="200" w:firstLine="480"/>
        <w:rPr>
          <w:sz w:val="24"/>
          <w:szCs w:val="24"/>
        </w:rPr>
      </w:pPr>
      <w:r>
        <w:rPr>
          <w:rFonts w:hint="eastAsia"/>
          <w:sz w:val="24"/>
          <w:szCs w:val="24"/>
        </w:rPr>
        <w:t>群落外貌呈深绿色，群落结构比较简单。以桤木为单优势种的纯林，生长茂密，</w:t>
      </w:r>
      <w:r>
        <w:rPr>
          <w:rFonts w:hint="eastAsia"/>
          <w:sz w:val="24"/>
          <w:szCs w:val="24"/>
        </w:rPr>
        <w:t>100m</w:t>
      </w:r>
      <w:r>
        <w:rPr>
          <w:rFonts w:hint="eastAsia"/>
          <w:sz w:val="24"/>
          <w:szCs w:val="24"/>
          <w:vertAlign w:val="superscript"/>
        </w:rPr>
        <w:t>2</w:t>
      </w:r>
      <w:r>
        <w:rPr>
          <w:rFonts w:hint="eastAsia"/>
          <w:sz w:val="24"/>
          <w:szCs w:val="24"/>
        </w:rPr>
        <w:t>内可达</w:t>
      </w:r>
      <w:r>
        <w:rPr>
          <w:rFonts w:hint="eastAsia"/>
          <w:sz w:val="24"/>
          <w:szCs w:val="24"/>
        </w:rPr>
        <w:t>30</w:t>
      </w:r>
      <w:r>
        <w:rPr>
          <w:rFonts w:hint="eastAsia"/>
          <w:sz w:val="24"/>
          <w:szCs w:val="24"/>
        </w:rPr>
        <w:t>余株，郁闭度</w:t>
      </w:r>
      <w:r>
        <w:rPr>
          <w:rFonts w:hint="eastAsia"/>
          <w:sz w:val="24"/>
          <w:szCs w:val="24"/>
        </w:rPr>
        <w:t>0.6</w:t>
      </w:r>
      <w:r>
        <w:rPr>
          <w:rFonts w:hint="eastAsia"/>
          <w:sz w:val="24"/>
          <w:szCs w:val="24"/>
        </w:rPr>
        <w:t>左右，高</w:t>
      </w:r>
      <w:r>
        <w:rPr>
          <w:rFonts w:hint="eastAsia"/>
          <w:sz w:val="24"/>
          <w:szCs w:val="24"/>
        </w:rPr>
        <w:t>12~15m</w:t>
      </w:r>
      <w:r>
        <w:rPr>
          <w:rFonts w:hint="eastAsia"/>
          <w:sz w:val="24"/>
          <w:szCs w:val="24"/>
        </w:rPr>
        <w:t>，胸径</w:t>
      </w:r>
      <w:r>
        <w:rPr>
          <w:rFonts w:hint="eastAsia"/>
          <w:sz w:val="24"/>
          <w:szCs w:val="24"/>
        </w:rPr>
        <w:t>10~20cm</w:t>
      </w:r>
      <w:r>
        <w:rPr>
          <w:rFonts w:hint="eastAsia"/>
          <w:sz w:val="24"/>
          <w:szCs w:val="24"/>
        </w:rPr>
        <w:t>。除小片纯林外，江河与溪沟边，桤木常与枫杨（</w:t>
      </w:r>
      <w:r>
        <w:rPr>
          <w:rFonts w:hint="eastAsia"/>
          <w:i/>
          <w:sz w:val="24"/>
          <w:szCs w:val="24"/>
        </w:rPr>
        <w:t>Pterocarya stenoptera</w:t>
      </w:r>
      <w:r>
        <w:rPr>
          <w:rFonts w:hint="eastAsia"/>
          <w:sz w:val="24"/>
          <w:szCs w:val="24"/>
        </w:rPr>
        <w:t>）混生，桤木郁闭度仅</w:t>
      </w:r>
      <w:r>
        <w:rPr>
          <w:rFonts w:hint="eastAsia"/>
          <w:sz w:val="24"/>
          <w:szCs w:val="24"/>
        </w:rPr>
        <w:t>0.3</w:t>
      </w:r>
      <w:r>
        <w:rPr>
          <w:rFonts w:hint="eastAsia"/>
          <w:sz w:val="24"/>
          <w:szCs w:val="24"/>
        </w:rPr>
        <w:t>左右，枫杨可形成</w:t>
      </w:r>
      <w:r>
        <w:rPr>
          <w:rFonts w:hint="eastAsia"/>
          <w:sz w:val="24"/>
          <w:szCs w:val="24"/>
        </w:rPr>
        <w:t>0.2</w:t>
      </w:r>
      <w:r>
        <w:rPr>
          <w:rFonts w:hint="eastAsia"/>
          <w:sz w:val="24"/>
          <w:szCs w:val="24"/>
        </w:rPr>
        <w:t>左右的郁闭度。</w:t>
      </w:r>
    </w:p>
    <w:p w14:paraId="182FF821" w14:textId="77777777" w:rsidR="007D1E74" w:rsidRDefault="00A95641">
      <w:pPr>
        <w:spacing w:line="360" w:lineRule="auto"/>
        <w:ind w:firstLineChars="200" w:firstLine="480"/>
        <w:rPr>
          <w:sz w:val="24"/>
          <w:szCs w:val="24"/>
        </w:rPr>
      </w:pPr>
      <w:r>
        <w:rPr>
          <w:rFonts w:hint="eastAsia"/>
          <w:sz w:val="24"/>
          <w:szCs w:val="24"/>
        </w:rPr>
        <w:t>桤木林常受人类生产活动的影响，林下灌木极少，仅盆地边缘山地，林下有少许喜阴湿的悬钩子属</w:t>
      </w:r>
      <w:r>
        <w:rPr>
          <w:rFonts w:hint="eastAsia"/>
          <w:sz w:val="24"/>
          <w:szCs w:val="24"/>
        </w:rPr>
        <w:t>(</w:t>
      </w:r>
      <w:r>
        <w:rPr>
          <w:rFonts w:hint="eastAsia"/>
          <w:i/>
          <w:sz w:val="24"/>
          <w:szCs w:val="24"/>
        </w:rPr>
        <w:t>Rubus spp.</w:t>
      </w:r>
      <w:r>
        <w:rPr>
          <w:rFonts w:hint="eastAsia"/>
          <w:sz w:val="24"/>
          <w:szCs w:val="24"/>
        </w:rPr>
        <w:t>)</w:t>
      </w:r>
      <w:r>
        <w:rPr>
          <w:rFonts w:hint="eastAsia"/>
          <w:sz w:val="24"/>
          <w:szCs w:val="24"/>
        </w:rPr>
        <w:t>、蔷薇属</w:t>
      </w:r>
      <w:r>
        <w:rPr>
          <w:rFonts w:hint="eastAsia"/>
          <w:sz w:val="24"/>
          <w:szCs w:val="24"/>
        </w:rPr>
        <w:t>(</w:t>
      </w:r>
      <w:r>
        <w:rPr>
          <w:rFonts w:hint="eastAsia"/>
          <w:i/>
          <w:sz w:val="24"/>
          <w:szCs w:val="24"/>
        </w:rPr>
        <w:t>Viburnum spp.</w:t>
      </w:r>
      <w:r>
        <w:rPr>
          <w:rFonts w:hint="eastAsia"/>
          <w:sz w:val="24"/>
          <w:szCs w:val="24"/>
        </w:rPr>
        <w:t>)</w:t>
      </w:r>
      <w:r>
        <w:rPr>
          <w:rFonts w:hint="eastAsia"/>
          <w:sz w:val="24"/>
          <w:szCs w:val="24"/>
        </w:rPr>
        <w:t>、忍冬属</w:t>
      </w:r>
      <w:r>
        <w:rPr>
          <w:rFonts w:hint="eastAsia"/>
          <w:sz w:val="24"/>
          <w:szCs w:val="24"/>
        </w:rPr>
        <w:t>(</w:t>
      </w:r>
      <w:r>
        <w:rPr>
          <w:rFonts w:hint="eastAsia"/>
          <w:i/>
          <w:sz w:val="24"/>
          <w:szCs w:val="24"/>
        </w:rPr>
        <w:t>Lonicera spp.</w:t>
      </w:r>
      <w:r>
        <w:rPr>
          <w:rFonts w:hint="eastAsia"/>
          <w:sz w:val="24"/>
          <w:szCs w:val="24"/>
        </w:rPr>
        <w:t>)</w:t>
      </w:r>
      <w:r>
        <w:rPr>
          <w:rFonts w:hint="eastAsia"/>
          <w:sz w:val="24"/>
          <w:szCs w:val="24"/>
        </w:rPr>
        <w:t>等灌木生长。</w:t>
      </w:r>
    </w:p>
    <w:p w14:paraId="034EB9DF" w14:textId="77777777" w:rsidR="007D1E74" w:rsidRDefault="00A95641">
      <w:pPr>
        <w:spacing w:line="360" w:lineRule="auto"/>
        <w:ind w:firstLineChars="200" w:firstLine="480"/>
        <w:rPr>
          <w:sz w:val="24"/>
          <w:szCs w:val="24"/>
        </w:rPr>
      </w:pPr>
      <w:r>
        <w:rPr>
          <w:rFonts w:hint="eastAsia"/>
          <w:sz w:val="24"/>
          <w:szCs w:val="24"/>
        </w:rPr>
        <w:lastRenderedPageBreak/>
        <w:t>草本植物稍多，</w:t>
      </w:r>
      <w:r>
        <w:rPr>
          <w:rFonts w:hint="eastAsia"/>
          <w:sz w:val="24"/>
          <w:szCs w:val="24"/>
        </w:rPr>
        <w:t xml:space="preserve"> </w:t>
      </w:r>
      <w:r>
        <w:rPr>
          <w:rFonts w:hint="eastAsia"/>
          <w:sz w:val="24"/>
          <w:szCs w:val="24"/>
        </w:rPr>
        <w:t>主要种类有狗牙根</w:t>
      </w:r>
      <w:r>
        <w:rPr>
          <w:rFonts w:hint="eastAsia"/>
          <w:sz w:val="24"/>
          <w:szCs w:val="24"/>
        </w:rPr>
        <w:t>(</w:t>
      </w:r>
      <w:r>
        <w:rPr>
          <w:rFonts w:hint="eastAsia"/>
          <w:i/>
          <w:sz w:val="24"/>
          <w:szCs w:val="24"/>
        </w:rPr>
        <w:t>Cynodon dactylon</w:t>
      </w:r>
      <w:r>
        <w:rPr>
          <w:rFonts w:hint="eastAsia"/>
          <w:sz w:val="24"/>
          <w:szCs w:val="24"/>
        </w:rPr>
        <w:t xml:space="preserve">) </w:t>
      </w:r>
      <w:r>
        <w:rPr>
          <w:rFonts w:hint="eastAsia"/>
          <w:sz w:val="24"/>
          <w:szCs w:val="24"/>
        </w:rPr>
        <w:t>、马唐</w:t>
      </w:r>
      <w:r>
        <w:rPr>
          <w:rFonts w:hint="eastAsia"/>
          <w:sz w:val="24"/>
          <w:szCs w:val="24"/>
        </w:rPr>
        <w:t>(</w:t>
      </w:r>
      <w:r>
        <w:rPr>
          <w:rFonts w:hint="eastAsia"/>
          <w:i/>
          <w:sz w:val="24"/>
          <w:szCs w:val="24"/>
        </w:rPr>
        <w:t>Digitariasanguinalis</w:t>
      </w:r>
      <w:r>
        <w:rPr>
          <w:rFonts w:hint="eastAsia"/>
          <w:sz w:val="24"/>
          <w:szCs w:val="24"/>
        </w:rPr>
        <w:t>)</w:t>
      </w:r>
      <w:r>
        <w:rPr>
          <w:rFonts w:hint="eastAsia"/>
          <w:sz w:val="24"/>
          <w:szCs w:val="24"/>
        </w:rPr>
        <w:t>、牛筋草</w:t>
      </w:r>
      <w:r>
        <w:rPr>
          <w:rFonts w:hint="eastAsia"/>
          <w:sz w:val="24"/>
          <w:szCs w:val="24"/>
        </w:rPr>
        <w:t>(</w:t>
      </w:r>
      <w:r>
        <w:rPr>
          <w:rFonts w:hint="eastAsia"/>
          <w:i/>
          <w:sz w:val="24"/>
          <w:szCs w:val="24"/>
        </w:rPr>
        <w:t>Eleusine indica</w:t>
      </w:r>
      <w:r>
        <w:rPr>
          <w:rFonts w:hint="eastAsia"/>
          <w:sz w:val="24"/>
          <w:szCs w:val="24"/>
        </w:rPr>
        <w:t>)</w:t>
      </w:r>
      <w:r>
        <w:rPr>
          <w:rFonts w:hint="eastAsia"/>
          <w:sz w:val="24"/>
          <w:szCs w:val="24"/>
        </w:rPr>
        <w:t>、酢浆草</w:t>
      </w:r>
      <w:r>
        <w:rPr>
          <w:rFonts w:hint="eastAsia"/>
          <w:sz w:val="24"/>
          <w:szCs w:val="24"/>
        </w:rPr>
        <w:t>(</w:t>
      </w:r>
      <w:r>
        <w:rPr>
          <w:rFonts w:hint="eastAsia"/>
          <w:i/>
          <w:sz w:val="24"/>
          <w:szCs w:val="24"/>
        </w:rPr>
        <w:t>Oxalis corniculata</w:t>
      </w:r>
      <w:r>
        <w:rPr>
          <w:rFonts w:hint="eastAsia"/>
          <w:sz w:val="24"/>
          <w:szCs w:val="24"/>
        </w:rPr>
        <w:t>)</w:t>
      </w:r>
      <w:r>
        <w:rPr>
          <w:rFonts w:hint="eastAsia"/>
          <w:sz w:val="24"/>
          <w:szCs w:val="24"/>
        </w:rPr>
        <w:t>、深圆齿堇菜</w:t>
      </w:r>
      <w:r>
        <w:rPr>
          <w:rFonts w:hint="eastAsia"/>
          <w:sz w:val="24"/>
          <w:szCs w:val="24"/>
        </w:rPr>
        <w:t>(</w:t>
      </w:r>
      <w:r>
        <w:rPr>
          <w:rFonts w:hint="eastAsia"/>
          <w:i/>
          <w:sz w:val="24"/>
          <w:szCs w:val="24"/>
        </w:rPr>
        <w:t>Viola davidii</w:t>
      </w:r>
      <w:r>
        <w:rPr>
          <w:rFonts w:hint="eastAsia"/>
          <w:sz w:val="24"/>
          <w:szCs w:val="24"/>
        </w:rPr>
        <w:t>)</w:t>
      </w:r>
      <w:r>
        <w:rPr>
          <w:rFonts w:hint="eastAsia"/>
          <w:sz w:val="24"/>
          <w:szCs w:val="24"/>
        </w:rPr>
        <w:t>、车前草</w:t>
      </w:r>
      <w:r>
        <w:rPr>
          <w:rFonts w:hint="eastAsia"/>
          <w:sz w:val="24"/>
          <w:szCs w:val="24"/>
        </w:rPr>
        <w:t>(</w:t>
      </w:r>
      <w:r>
        <w:rPr>
          <w:rFonts w:hint="eastAsia"/>
          <w:i/>
          <w:sz w:val="24"/>
          <w:szCs w:val="24"/>
        </w:rPr>
        <w:t>Plantago asiatica</w:t>
      </w:r>
      <w:r>
        <w:rPr>
          <w:rFonts w:hint="eastAsia"/>
          <w:sz w:val="24"/>
          <w:szCs w:val="24"/>
        </w:rPr>
        <w:t>)</w:t>
      </w:r>
      <w:r>
        <w:rPr>
          <w:rFonts w:hint="eastAsia"/>
          <w:sz w:val="24"/>
          <w:szCs w:val="24"/>
        </w:rPr>
        <w:t>、爵床</w:t>
      </w:r>
      <w:r>
        <w:rPr>
          <w:rFonts w:hint="eastAsia"/>
          <w:sz w:val="24"/>
          <w:szCs w:val="24"/>
        </w:rPr>
        <w:t>(</w:t>
      </w:r>
      <w:r>
        <w:rPr>
          <w:rFonts w:hint="eastAsia"/>
          <w:i/>
          <w:sz w:val="24"/>
          <w:szCs w:val="24"/>
        </w:rPr>
        <w:t>Rostellularia procumbens</w:t>
      </w:r>
      <w:r>
        <w:rPr>
          <w:rFonts w:hint="eastAsia"/>
          <w:sz w:val="24"/>
          <w:szCs w:val="24"/>
        </w:rPr>
        <w:t>)</w:t>
      </w:r>
      <w:r>
        <w:rPr>
          <w:rFonts w:hint="eastAsia"/>
          <w:sz w:val="24"/>
          <w:szCs w:val="24"/>
        </w:rPr>
        <w:t>、蕺菜</w:t>
      </w:r>
      <w:r>
        <w:rPr>
          <w:rFonts w:hint="eastAsia"/>
          <w:sz w:val="24"/>
          <w:szCs w:val="24"/>
        </w:rPr>
        <w:t>(</w:t>
      </w:r>
      <w:r>
        <w:rPr>
          <w:rFonts w:hint="eastAsia"/>
          <w:i/>
          <w:sz w:val="24"/>
          <w:szCs w:val="24"/>
        </w:rPr>
        <w:t>Houttuynia cordata</w:t>
      </w:r>
      <w:r>
        <w:rPr>
          <w:rFonts w:hint="eastAsia"/>
          <w:sz w:val="24"/>
          <w:szCs w:val="24"/>
        </w:rPr>
        <w:t>)</w:t>
      </w:r>
      <w:r>
        <w:rPr>
          <w:rFonts w:hint="eastAsia"/>
          <w:sz w:val="24"/>
          <w:szCs w:val="24"/>
        </w:rPr>
        <w:t>、龙芽草</w:t>
      </w:r>
      <w:r>
        <w:rPr>
          <w:rFonts w:hint="eastAsia"/>
          <w:sz w:val="24"/>
          <w:szCs w:val="24"/>
        </w:rPr>
        <w:t>(</w:t>
      </w:r>
      <w:r>
        <w:rPr>
          <w:rFonts w:hint="eastAsia"/>
          <w:i/>
          <w:sz w:val="24"/>
          <w:szCs w:val="24"/>
        </w:rPr>
        <w:t>Agrimonia pilosa</w:t>
      </w:r>
      <w:r>
        <w:rPr>
          <w:rFonts w:hint="eastAsia"/>
          <w:sz w:val="24"/>
          <w:szCs w:val="24"/>
        </w:rPr>
        <w:t>)</w:t>
      </w:r>
      <w:r>
        <w:rPr>
          <w:rFonts w:hint="eastAsia"/>
          <w:sz w:val="24"/>
          <w:szCs w:val="24"/>
        </w:rPr>
        <w:t>、紫背金盘</w:t>
      </w:r>
      <w:r>
        <w:rPr>
          <w:rFonts w:hint="eastAsia"/>
          <w:sz w:val="24"/>
          <w:szCs w:val="24"/>
        </w:rPr>
        <w:t>(</w:t>
      </w:r>
      <w:r>
        <w:rPr>
          <w:rFonts w:hint="eastAsia"/>
          <w:i/>
          <w:sz w:val="24"/>
          <w:szCs w:val="24"/>
        </w:rPr>
        <w:t>Ajuga nipponensis</w:t>
      </w:r>
      <w:r>
        <w:rPr>
          <w:rFonts w:hint="eastAsia"/>
          <w:sz w:val="24"/>
          <w:szCs w:val="24"/>
        </w:rPr>
        <w:t>)</w:t>
      </w:r>
      <w:r>
        <w:rPr>
          <w:rFonts w:hint="eastAsia"/>
          <w:sz w:val="24"/>
          <w:szCs w:val="24"/>
        </w:rPr>
        <w:t>、欧夏枯草</w:t>
      </w:r>
      <w:r>
        <w:rPr>
          <w:rFonts w:hint="eastAsia"/>
          <w:sz w:val="24"/>
          <w:szCs w:val="24"/>
        </w:rPr>
        <w:t>(</w:t>
      </w:r>
      <w:r>
        <w:rPr>
          <w:rFonts w:hint="eastAsia"/>
          <w:i/>
          <w:sz w:val="24"/>
          <w:szCs w:val="24"/>
        </w:rPr>
        <w:t>Prunella vulgaris</w:t>
      </w:r>
      <w:r>
        <w:rPr>
          <w:rFonts w:hint="eastAsia"/>
          <w:sz w:val="24"/>
          <w:szCs w:val="24"/>
        </w:rPr>
        <w:t>)</w:t>
      </w:r>
      <w:r>
        <w:rPr>
          <w:rFonts w:hint="eastAsia"/>
          <w:sz w:val="24"/>
          <w:szCs w:val="24"/>
        </w:rPr>
        <w:t>等。</w:t>
      </w:r>
    </w:p>
    <w:p w14:paraId="7E3D561B" w14:textId="77777777" w:rsidR="007D1E74" w:rsidRDefault="00A95641">
      <w:pPr>
        <w:spacing w:line="360" w:lineRule="auto"/>
        <w:ind w:firstLineChars="200" w:firstLine="482"/>
        <w:rPr>
          <w:b/>
          <w:sz w:val="24"/>
          <w:szCs w:val="24"/>
        </w:rPr>
      </w:pPr>
      <w:r>
        <w:rPr>
          <w:rFonts w:hint="eastAsia"/>
          <w:b/>
          <w:sz w:val="24"/>
          <w:szCs w:val="24"/>
        </w:rPr>
        <w:t>枫杨林（</w:t>
      </w:r>
      <w:r>
        <w:rPr>
          <w:rFonts w:hint="eastAsia"/>
          <w:b/>
          <w:sz w:val="24"/>
          <w:szCs w:val="24"/>
        </w:rPr>
        <w:t xml:space="preserve">Form. </w:t>
      </w:r>
      <w:r>
        <w:rPr>
          <w:rFonts w:hint="eastAsia"/>
          <w:b/>
          <w:i/>
          <w:sz w:val="24"/>
          <w:szCs w:val="24"/>
        </w:rPr>
        <w:t>Pterocarya stenoptera</w:t>
      </w:r>
      <w:r>
        <w:rPr>
          <w:rFonts w:hint="eastAsia"/>
          <w:b/>
          <w:sz w:val="24"/>
          <w:szCs w:val="24"/>
        </w:rPr>
        <w:t>）</w:t>
      </w:r>
    </w:p>
    <w:p w14:paraId="121D4F90" w14:textId="77777777" w:rsidR="007D1E74" w:rsidRDefault="00A95641">
      <w:pPr>
        <w:spacing w:line="360" w:lineRule="auto"/>
        <w:ind w:firstLineChars="200" w:firstLine="480"/>
        <w:rPr>
          <w:sz w:val="24"/>
          <w:szCs w:val="24"/>
        </w:rPr>
      </w:pPr>
      <w:r>
        <w:rPr>
          <w:rFonts w:hint="eastAsia"/>
          <w:sz w:val="24"/>
          <w:szCs w:val="24"/>
        </w:rPr>
        <w:t>评价区内多见于沿河两岸，呈窄带状分布。群落外貌绿色，林冠整齐，结构简单。乔木层郁闭度</w:t>
      </w:r>
      <w:r>
        <w:rPr>
          <w:rFonts w:hint="eastAsia"/>
          <w:sz w:val="24"/>
          <w:szCs w:val="24"/>
        </w:rPr>
        <w:t>0.3-0.5</w:t>
      </w:r>
      <w:r>
        <w:rPr>
          <w:rFonts w:hint="eastAsia"/>
          <w:sz w:val="24"/>
          <w:szCs w:val="24"/>
        </w:rPr>
        <w:t>，枫杨为单优势种，树高</w:t>
      </w:r>
      <w:r>
        <w:rPr>
          <w:rFonts w:hint="eastAsia"/>
          <w:sz w:val="24"/>
          <w:szCs w:val="24"/>
        </w:rPr>
        <w:t>12-15m</w:t>
      </w:r>
      <w:r>
        <w:rPr>
          <w:rFonts w:hint="eastAsia"/>
          <w:sz w:val="24"/>
          <w:szCs w:val="24"/>
        </w:rPr>
        <w:t>，胸径</w:t>
      </w:r>
      <w:r>
        <w:rPr>
          <w:rFonts w:hint="eastAsia"/>
          <w:sz w:val="24"/>
          <w:szCs w:val="24"/>
        </w:rPr>
        <w:t>18-40cm</w:t>
      </w:r>
      <w:r>
        <w:rPr>
          <w:rFonts w:hint="eastAsia"/>
          <w:sz w:val="24"/>
          <w:szCs w:val="24"/>
        </w:rPr>
        <w:t>。其他伴生种少，主要有桤木、构树</w:t>
      </w:r>
      <w:r>
        <w:rPr>
          <w:rFonts w:hint="eastAsia"/>
          <w:sz w:val="24"/>
          <w:szCs w:val="24"/>
        </w:rPr>
        <w:t>(</w:t>
      </w:r>
      <w:r>
        <w:rPr>
          <w:rFonts w:hint="eastAsia"/>
          <w:i/>
          <w:sz w:val="24"/>
          <w:szCs w:val="24"/>
        </w:rPr>
        <w:t>Broussonetia papyrifera</w:t>
      </w:r>
      <w:r>
        <w:rPr>
          <w:rFonts w:hint="eastAsia"/>
          <w:sz w:val="24"/>
          <w:szCs w:val="24"/>
        </w:rPr>
        <w:t>)</w:t>
      </w:r>
      <w:r>
        <w:rPr>
          <w:rFonts w:hint="eastAsia"/>
          <w:sz w:val="24"/>
          <w:szCs w:val="24"/>
        </w:rPr>
        <w:t>、盐肤木、洋槐</w:t>
      </w:r>
      <w:r>
        <w:rPr>
          <w:rFonts w:hint="eastAsia"/>
          <w:sz w:val="24"/>
          <w:szCs w:val="24"/>
        </w:rPr>
        <w:t>(</w:t>
      </w:r>
      <w:r>
        <w:rPr>
          <w:rFonts w:hint="eastAsia"/>
          <w:i/>
          <w:sz w:val="24"/>
          <w:szCs w:val="24"/>
        </w:rPr>
        <w:t>Robiniapseudoacacia</w:t>
      </w:r>
      <w:r>
        <w:rPr>
          <w:rFonts w:hint="eastAsia"/>
          <w:sz w:val="24"/>
          <w:szCs w:val="24"/>
        </w:rPr>
        <w:t>)</w:t>
      </w:r>
      <w:r>
        <w:rPr>
          <w:rFonts w:hint="eastAsia"/>
          <w:sz w:val="24"/>
          <w:szCs w:val="24"/>
        </w:rPr>
        <w:t>、八角枫</w:t>
      </w:r>
      <w:r>
        <w:rPr>
          <w:rFonts w:hint="eastAsia"/>
          <w:sz w:val="24"/>
          <w:szCs w:val="24"/>
        </w:rPr>
        <w:t>(</w:t>
      </w:r>
      <w:r>
        <w:rPr>
          <w:rFonts w:hint="eastAsia"/>
          <w:i/>
          <w:sz w:val="24"/>
          <w:szCs w:val="24"/>
        </w:rPr>
        <w:t>Alingum chinense</w:t>
      </w:r>
      <w:r>
        <w:rPr>
          <w:rFonts w:hint="eastAsia"/>
          <w:sz w:val="24"/>
          <w:szCs w:val="24"/>
        </w:rPr>
        <w:t>)</w:t>
      </w:r>
      <w:r>
        <w:rPr>
          <w:rFonts w:hint="eastAsia"/>
          <w:sz w:val="24"/>
          <w:szCs w:val="24"/>
        </w:rPr>
        <w:t>等。</w:t>
      </w:r>
    </w:p>
    <w:p w14:paraId="0981F433" w14:textId="77777777" w:rsidR="007D1E74" w:rsidRDefault="00A95641">
      <w:pPr>
        <w:spacing w:line="360" w:lineRule="auto"/>
        <w:ind w:firstLineChars="200" w:firstLine="480"/>
        <w:rPr>
          <w:sz w:val="24"/>
          <w:szCs w:val="24"/>
        </w:rPr>
      </w:pPr>
      <w:r>
        <w:rPr>
          <w:rFonts w:hint="eastAsia"/>
          <w:sz w:val="24"/>
          <w:szCs w:val="24"/>
        </w:rPr>
        <w:t>灌木层盖度</w:t>
      </w:r>
      <w:r>
        <w:rPr>
          <w:rFonts w:hint="eastAsia"/>
          <w:sz w:val="24"/>
          <w:szCs w:val="24"/>
        </w:rPr>
        <w:t>30~40%</w:t>
      </w:r>
      <w:r>
        <w:rPr>
          <w:rFonts w:hint="eastAsia"/>
          <w:sz w:val="24"/>
          <w:szCs w:val="24"/>
        </w:rPr>
        <w:t>，高</w:t>
      </w:r>
      <w:r>
        <w:rPr>
          <w:rFonts w:hint="eastAsia"/>
          <w:sz w:val="24"/>
          <w:szCs w:val="24"/>
        </w:rPr>
        <w:t>1~3m</w:t>
      </w:r>
      <w:r>
        <w:rPr>
          <w:rFonts w:hint="eastAsia"/>
          <w:sz w:val="24"/>
          <w:szCs w:val="24"/>
        </w:rPr>
        <w:t>。常见种类有水麻</w:t>
      </w:r>
      <w:r>
        <w:rPr>
          <w:rFonts w:hint="eastAsia"/>
          <w:sz w:val="24"/>
          <w:szCs w:val="24"/>
        </w:rPr>
        <w:t>(</w:t>
      </w:r>
      <w:r>
        <w:rPr>
          <w:rFonts w:hint="eastAsia"/>
          <w:i/>
          <w:sz w:val="24"/>
          <w:szCs w:val="24"/>
        </w:rPr>
        <w:t>Debregeasia ortientalis</w:t>
      </w:r>
      <w:r>
        <w:rPr>
          <w:rFonts w:hint="eastAsia"/>
          <w:sz w:val="24"/>
          <w:szCs w:val="24"/>
        </w:rPr>
        <w:t>)</w:t>
      </w:r>
      <w:r>
        <w:rPr>
          <w:rFonts w:hint="eastAsia"/>
          <w:sz w:val="24"/>
          <w:szCs w:val="24"/>
        </w:rPr>
        <w:t>、醉鱼草</w:t>
      </w:r>
      <w:r>
        <w:rPr>
          <w:rFonts w:hint="eastAsia"/>
          <w:sz w:val="24"/>
          <w:szCs w:val="24"/>
        </w:rPr>
        <w:t>(</w:t>
      </w:r>
      <w:r>
        <w:rPr>
          <w:rFonts w:hint="eastAsia"/>
          <w:i/>
          <w:sz w:val="24"/>
          <w:szCs w:val="24"/>
        </w:rPr>
        <w:t>Buddleja sp.</w:t>
      </w:r>
      <w:r>
        <w:rPr>
          <w:rFonts w:hint="eastAsia"/>
          <w:sz w:val="24"/>
          <w:szCs w:val="24"/>
        </w:rPr>
        <w:t>)</w:t>
      </w:r>
      <w:r>
        <w:rPr>
          <w:rFonts w:hint="eastAsia"/>
          <w:sz w:val="24"/>
          <w:szCs w:val="24"/>
        </w:rPr>
        <w:t>、胡枝子</w:t>
      </w:r>
      <w:r>
        <w:rPr>
          <w:rFonts w:hint="eastAsia"/>
          <w:sz w:val="24"/>
          <w:szCs w:val="24"/>
        </w:rPr>
        <w:t>(</w:t>
      </w:r>
      <w:r>
        <w:rPr>
          <w:rFonts w:hint="eastAsia"/>
          <w:i/>
          <w:sz w:val="24"/>
          <w:szCs w:val="24"/>
        </w:rPr>
        <w:t>Lespedeza bicolor</w:t>
      </w:r>
      <w:r>
        <w:rPr>
          <w:rFonts w:hint="eastAsia"/>
          <w:sz w:val="24"/>
          <w:szCs w:val="24"/>
        </w:rPr>
        <w:t>)</w:t>
      </w:r>
      <w:r>
        <w:rPr>
          <w:rFonts w:hint="eastAsia"/>
          <w:sz w:val="24"/>
          <w:szCs w:val="24"/>
        </w:rPr>
        <w:t>、马桑</w:t>
      </w:r>
      <w:r>
        <w:rPr>
          <w:rFonts w:hint="eastAsia"/>
          <w:sz w:val="24"/>
          <w:szCs w:val="24"/>
        </w:rPr>
        <w:t>(</w:t>
      </w:r>
      <w:r>
        <w:rPr>
          <w:rFonts w:hint="eastAsia"/>
          <w:i/>
          <w:sz w:val="24"/>
          <w:szCs w:val="24"/>
        </w:rPr>
        <w:t>Coriaria nepalensis</w:t>
      </w:r>
      <w:r>
        <w:rPr>
          <w:rFonts w:hint="eastAsia"/>
          <w:sz w:val="24"/>
          <w:szCs w:val="24"/>
        </w:rPr>
        <w:t>)</w:t>
      </w:r>
      <w:r>
        <w:rPr>
          <w:rFonts w:hint="eastAsia"/>
          <w:sz w:val="24"/>
          <w:szCs w:val="24"/>
        </w:rPr>
        <w:t>、插田泡</w:t>
      </w:r>
      <w:r>
        <w:rPr>
          <w:rFonts w:hint="eastAsia"/>
          <w:sz w:val="24"/>
          <w:szCs w:val="24"/>
        </w:rPr>
        <w:t>(</w:t>
      </w:r>
      <w:r>
        <w:rPr>
          <w:rFonts w:hint="eastAsia"/>
          <w:i/>
          <w:sz w:val="24"/>
          <w:szCs w:val="24"/>
        </w:rPr>
        <w:t>Rubus coreanus</w:t>
      </w:r>
      <w:r>
        <w:rPr>
          <w:rFonts w:hint="eastAsia"/>
          <w:sz w:val="24"/>
          <w:szCs w:val="24"/>
        </w:rPr>
        <w:t>)</w:t>
      </w:r>
      <w:r>
        <w:rPr>
          <w:rFonts w:hint="eastAsia"/>
          <w:sz w:val="24"/>
          <w:szCs w:val="24"/>
        </w:rPr>
        <w:t>、黄荆</w:t>
      </w:r>
      <w:r>
        <w:rPr>
          <w:rFonts w:hint="eastAsia"/>
          <w:sz w:val="24"/>
          <w:szCs w:val="24"/>
        </w:rPr>
        <w:t>(</w:t>
      </w:r>
      <w:r>
        <w:rPr>
          <w:rFonts w:hint="eastAsia"/>
          <w:i/>
          <w:sz w:val="24"/>
          <w:szCs w:val="24"/>
        </w:rPr>
        <w:t>Vitex negundo</w:t>
      </w:r>
      <w:r>
        <w:rPr>
          <w:rFonts w:hint="eastAsia"/>
          <w:sz w:val="24"/>
          <w:szCs w:val="24"/>
        </w:rPr>
        <w:t>)</w:t>
      </w:r>
      <w:r>
        <w:rPr>
          <w:rFonts w:hint="eastAsia"/>
          <w:sz w:val="24"/>
          <w:szCs w:val="24"/>
        </w:rPr>
        <w:t>、铁仔</w:t>
      </w:r>
      <w:r>
        <w:rPr>
          <w:rFonts w:hint="eastAsia"/>
          <w:sz w:val="24"/>
          <w:szCs w:val="24"/>
        </w:rPr>
        <w:t>(</w:t>
      </w:r>
      <w:r>
        <w:rPr>
          <w:rFonts w:hint="eastAsia"/>
          <w:i/>
          <w:sz w:val="24"/>
          <w:szCs w:val="24"/>
        </w:rPr>
        <w:t>Myrsina africana</w:t>
      </w:r>
      <w:r>
        <w:rPr>
          <w:rFonts w:hint="eastAsia"/>
          <w:sz w:val="24"/>
          <w:szCs w:val="24"/>
        </w:rPr>
        <w:t>)</w:t>
      </w:r>
      <w:r>
        <w:rPr>
          <w:rFonts w:hint="eastAsia"/>
          <w:sz w:val="24"/>
          <w:szCs w:val="24"/>
        </w:rPr>
        <w:t>、蔷薇等。</w:t>
      </w:r>
    </w:p>
    <w:p w14:paraId="5981F46F" w14:textId="77777777" w:rsidR="007D1E74" w:rsidRDefault="00A95641">
      <w:pPr>
        <w:spacing w:line="360" w:lineRule="auto"/>
        <w:ind w:firstLineChars="200" w:firstLine="480"/>
        <w:rPr>
          <w:sz w:val="24"/>
          <w:szCs w:val="24"/>
        </w:rPr>
      </w:pPr>
      <w:r>
        <w:rPr>
          <w:rFonts w:hint="eastAsia"/>
          <w:sz w:val="24"/>
          <w:szCs w:val="24"/>
        </w:rPr>
        <w:t>草本层盖度</w:t>
      </w:r>
      <w:r>
        <w:rPr>
          <w:rFonts w:hint="eastAsia"/>
          <w:sz w:val="24"/>
          <w:szCs w:val="24"/>
        </w:rPr>
        <w:t>50~80%</w:t>
      </w:r>
      <w:r>
        <w:rPr>
          <w:rFonts w:hint="eastAsia"/>
          <w:sz w:val="24"/>
          <w:szCs w:val="24"/>
        </w:rPr>
        <w:t>，以白茅、水蓼</w:t>
      </w:r>
      <w:r>
        <w:rPr>
          <w:rFonts w:hint="eastAsia"/>
          <w:sz w:val="24"/>
          <w:szCs w:val="24"/>
        </w:rPr>
        <w:t>(</w:t>
      </w:r>
      <w:r>
        <w:rPr>
          <w:rFonts w:hint="eastAsia"/>
          <w:i/>
          <w:sz w:val="24"/>
          <w:szCs w:val="24"/>
        </w:rPr>
        <w:t>Polygonum hydropiper</w:t>
      </w:r>
      <w:r>
        <w:rPr>
          <w:rFonts w:hint="eastAsia"/>
          <w:sz w:val="24"/>
          <w:szCs w:val="24"/>
        </w:rPr>
        <w:t>)</w:t>
      </w:r>
      <w:r>
        <w:rPr>
          <w:rFonts w:hint="eastAsia"/>
          <w:sz w:val="24"/>
          <w:szCs w:val="24"/>
        </w:rPr>
        <w:t>、狗牙根为主，其他常见种有蒿、牛膝</w:t>
      </w:r>
      <w:r>
        <w:rPr>
          <w:rFonts w:hint="eastAsia"/>
          <w:sz w:val="24"/>
          <w:szCs w:val="24"/>
        </w:rPr>
        <w:t>(</w:t>
      </w:r>
      <w:r>
        <w:rPr>
          <w:rFonts w:hint="eastAsia"/>
          <w:i/>
          <w:sz w:val="24"/>
          <w:szCs w:val="24"/>
        </w:rPr>
        <w:t>Achyranthes bidentata</w:t>
      </w:r>
      <w:r>
        <w:rPr>
          <w:rFonts w:hint="eastAsia"/>
          <w:sz w:val="24"/>
          <w:szCs w:val="24"/>
        </w:rPr>
        <w:t>)</w:t>
      </w:r>
      <w:r>
        <w:rPr>
          <w:rFonts w:hint="eastAsia"/>
          <w:sz w:val="24"/>
          <w:szCs w:val="24"/>
        </w:rPr>
        <w:t>、黄鹌菜</w:t>
      </w:r>
      <w:r>
        <w:rPr>
          <w:rFonts w:hint="eastAsia"/>
          <w:sz w:val="24"/>
          <w:szCs w:val="24"/>
        </w:rPr>
        <w:t>(</w:t>
      </w:r>
      <w:r>
        <w:rPr>
          <w:rFonts w:hint="eastAsia"/>
          <w:i/>
          <w:sz w:val="24"/>
          <w:szCs w:val="24"/>
        </w:rPr>
        <w:t>Youngia japonica</w:t>
      </w:r>
      <w:r>
        <w:rPr>
          <w:rFonts w:hint="eastAsia"/>
          <w:sz w:val="24"/>
          <w:szCs w:val="24"/>
        </w:rPr>
        <w:t>)</w:t>
      </w:r>
      <w:r>
        <w:rPr>
          <w:rFonts w:hint="eastAsia"/>
          <w:sz w:val="24"/>
          <w:szCs w:val="24"/>
        </w:rPr>
        <w:t>、井栏边草</w:t>
      </w:r>
      <w:r>
        <w:rPr>
          <w:rFonts w:hint="eastAsia"/>
          <w:sz w:val="24"/>
          <w:szCs w:val="24"/>
        </w:rPr>
        <w:t>(</w:t>
      </w:r>
      <w:r>
        <w:rPr>
          <w:rFonts w:hint="eastAsia"/>
          <w:i/>
          <w:sz w:val="24"/>
          <w:szCs w:val="24"/>
        </w:rPr>
        <w:t>Pteris multifida</w:t>
      </w:r>
      <w:r>
        <w:rPr>
          <w:rFonts w:hint="eastAsia"/>
          <w:sz w:val="24"/>
          <w:szCs w:val="24"/>
        </w:rPr>
        <w:t>)</w:t>
      </w:r>
      <w:r>
        <w:rPr>
          <w:rFonts w:hint="eastAsia"/>
          <w:sz w:val="24"/>
          <w:szCs w:val="24"/>
        </w:rPr>
        <w:t>、地石榴</w:t>
      </w:r>
      <w:r>
        <w:rPr>
          <w:rFonts w:hint="eastAsia"/>
          <w:sz w:val="24"/>
          <w:szCs w:val="24"/>
        </w:rPr>
        <w:t>(</w:t>
      </w:r>
      <w:r>
        <w:rPr>
          <w:rFonts w:hint="eastAsia"/>
          <w:i/>
          <w:sz w:val="24"/>
          <w:szCs w:val="24"/>
        </w:rPr>
        <w:t>Ficus tikoua</w:t>
      </w:r>
      <w:r>
        <w:rPr>
          <w:rFonts w:hint="eastAsia"/>
          <w:sz w:val="24"/>
          <w:szCs w:val="24"/>
        </w:rPr>
        <w:t>)</w:t>
      </w:r>
      <w:r>
        <w:rPr>
          <w:rFonts w:hint="eastAsia"/>
          <w:sz w:val="24"/>
          <w:szCs w:val="24"/>
        </w:rPr>
        <w:t>、鬼针草</w:t>
      </w:r>
      <w:r>
        <w:rPr>
          <w:rFonts w:hint="eastAsia"/>
          <w:sz w:val="24"/>
          <w:szCs w:val="24"/>
        </w:rPr>
        <w:t>(</w:t>
      </w:r>
      <w:r>
        <w:rPr>
          <w:rFonts w:hint="eastAsia"/>
          <w:i/>
          <w:sz w:val="24"/>
          <w:szCs w:val="24"/>
        </w:rPr>
        <w:t>Bidens bipinnata</w:t>
      </w:r>
      <w:r>
        <w:rPr>
          <w:rFonts w:hint="eastAsia"/>
          <w:sz w:val="24"/>
          <w:szCs w:val="24"/>
        </w:rPr>
        <w:t>)</w:t>
      </w:r>
      <w:r>
        <w:rPr>
          <w:rFonts w:hint="eastAsia"/>
          <w:sz w:val="24"/>
          <w:szCs w:val="24"/>
        </w:rPr>
        <w:t>、荩草</w:t>
      </w:r>
      <w:r>
        <w:rPr>
          <w:rFonts w:hint="eastAsia"/>
          <w:sz w:val="24"/>
          <w:szCs w:val="24"/>
        </w:rPr>
        <w:t>(</w:t>
      </w:r>
      <w:r>
        <w:rPr>
          <w:rFonts w:hint="eastAsia"/>
          <w:i/>
          <w:sz w:val="24"/>
          <w:szCs w:val="24"/>
        </w:rPr>
        <w:t>Arthraxon hispidus</w:t>
      </w:r>
      <w:r>
        <w:rPr>
          <w:rFonts w:hint="eastAsia"/>
          <w:sz w:val="24"/>
          <w:szCs w:val="24"/>
        </w:rPr>
        <w:t>)</w:t>
      </w:r>
      <w:r>
        <w:rPr>
          <w:rFonts w:hint="eastAsia"/>
          <w:sz w:val="24"/>
          <w:szCs w:val="24"/>
        </w:rPr>
        <w:t>等。</w:t>
      </w:r>
    </w:p>
    <w:p w14:paraId="698B3118" w14:textId="77777777" w:rsidR="007D1E74" w:rsidRDefault="00A95641">
      <w:pPr>
        <w:spacing w:line="360" w:lineRule="auto"/>
        <w:ind w:firstLineChars="200" w:firstLine="482"/>
        <w:rPr>
          <w:b/>
          <w:sz w:val="24"/>
          <w:szCs w:val="24"/>
        </w:rPr>
      </w:pPr>
      <w:r>
        <w:rPr>
          <w:rFonts w:hint="eastAsia"/>
          <w:b/>
          <w:sz w:val="24"/>
          <w:szCs w:val="24"/>
        </w:rPr>
        <w:t>慈竹林（</w:t>
      </w:r>
      <w:r>
        <w:rPr>
          <w:rFonts w:hint="eastAsia"/>
          <w:b/>
          <w:sz w:val="24"/>
          <w:szCs w:val="24"/>
        </w:rPr>
        <w:t>Form. Neosinocalamus affinis</w:t>
      </w:r>
      <w:r>
        <w:rPr>
          <w:rFonts w:hint="eastAsia"/>
          <w:b/>
          <w:sz w:val="24"/>
          <w:szCs w:val="24"/>
        </w:rPr>
        <w:t>）</w:t>
      </w:r>
    </w:p>
    <w:p w14:paraId="1BE75FB4" w14:textId="77777777" w:rsidR="007D1E74" w:rsidRDefault="00A95641">
      <w:pPr>
        <w:spacing w:line="360" w:lineRule="auto"/>
        <w:ind w:firstLineChars="200" w:firstLine="480"/>
        <w:rPr>
          <w:rFonts w:cs="Times New Roman"/>
          <w:sz w:val="24"/>
          <w:szCs w:val="24"/>
        </w:rPr>
      </w:pPr>
      <w:r>
        <w:rPr>
          <w:rFonts w:cs="Times New Roman"/>
          <w:sz w:val="24"/>
          <w:szCs w:val="24"/>
        </w:rPr>
        <w:t>慈竹是评价区内最为常见的一类竹林类型，栽培历史悠久，村落附近、河岸、丘陵等地均有分布，但分布面积明显小于乔木树林的面积。慈竹适生育气候湿润、温暖，生长季节长，平均气温一般在</w:t>
      </w:r>
      <w:r>
        <w:rPr>
          <w:rFonts w:cs="Times New Roman"/>
          <w:sz w:val="24"/>
          <w:szCs w:val="24"/>
        </w:rPr>
        <w:t>16℃</w:t>
      </w:r>
      <w:r>
        <w:rPr>
          <w:rFonts w:cs="Times New Roman"/>
          <w:sz w:val="24"/>
          <w:szCs w:val="24"/>
        </w:rPr>
        <w:t>以上，年降水量</w:t>
      </w:r>
      <w:r>
        <w:rPr>
          <w:rFonts w:cs="Times New Roman"/>
          <w:sz w:val="24"/>
          <w:szCs w:val="24"/>
        </w:rPr>
        <w:t>1000mm</w:t>
      </w:r>
      <w:r>
        <w:rPr>
          <w:rFonts w:cs="Times New Roman"/>
          <w:sz w:val="24"/>
          <w:szCs w:val="24"/>
        </w:rPr>
        <w:t>，相对湿度在</w:t>
      </w:r>
      <w:r>
        <w:rPr>
          <w:rFonts w:cs="Times New Roman"/>
          <w:sz w:val="24"/>
          <w:szCs w:val="24"/>
        </w:rPr>
        <w:t>80%</w:t>
      </w:r>
      <w:r>
        <w:rPr>
          <w:rFonts w:cs="Times New Roman"/>
          <w:sz w:val="24"/>
          <w:szCs w:val="24"/>
        </w:rPr>
        <w:t>以上的地区。慈竹适生于温润肥沃，排水良好的中性和微酸性土壤，特以山边崖脚、沟谷、宅旁疏松肥土生长最好。</w:t>
      </w:r>
    </w:p>
    <w:p w14:paraId="164F4B25" w14:textId="77777777" w:rsidR="007D1E74" w:rsidRDefault="00A95641">
      <w:pPr>
        <w:spacing w:line="360" w:lineRule="auto"/>
        <w:ind w:firstLineChars="200" w:firstLine="480"/>
        <w:rPr>
          <w:rFonts w:cs="Times New Roman"/>
          <w:sz w:val="24"/>
          <w:szCs w:val="24"/>
        </w:rPr>
      </w:pPr>
      <w:r>
        <w:rPr>
          <w:rFonts w:cs="Times New Roman"/>
          <w:sz w:val="24"/>
          <w:szCs w:val="24"/>
        </w:rPr>
        <w:t>慈竹林结构单纯，林相整齐。竹林高</w:t>
      </w:r>
      <w:r>
        <w:rPr>
          <w:rFonts w:cs="Times New Roman"/>
          <w:sz w:val="24"/>
          <w:szCs w:val="24"/>
        </w:rPr>
        <w:t>5~12m</w:t>
      </w:r>
      <w:r>
        <w:rPr>
          <w:rFonts w:cs="Times New Roman"/>
          <w:sz w:val="24"/>
          <w:szCs w:val="24"/>
        </w:rPr>
        <w:t>，径粗</w:t>
      </w:r>
      <w:r>
        <w:rPr>
          <w:rFonts w:cs="Times New Roman"/>
          <w:sz w:val="24"/>
          <w:szCs w:val="24"/>
        </w:rPr>
        <w:t>4~7cm</w:t>
      </w:r>
      <w:r>
        <w:rPr>
          <w:rFonts w:cs="Times New Roman"/>
          <w:sz w:val="24"/>
          <w:szCs w:val="24"/>
        </w:rPr>
        <w:t>。经人工管理的竹林，林下灌木和草本植物较少。但在粗放经营的情况下，竹林中常混生有阔叶树和针叶树。主要种类有喜树、枫杨、加杨、构树、栾树（</w:t>
      </w:r>
      <w:r>
        <w:rPr>
          <w:rFonts w:cs="Times New Roman"/>
          <w:i/>
          <w:sz w:val="24"/>
          <w:szCs w:val="24"/>
        </w:rPr>
        <w:t>Koelreuteria bipinnata</w:t>
      </w:r>
      <w:r>
        <w:rPr>
          <w:rFonts w:cs="Times New Roman"/>
          <w:sz w:val="24"/>
          <w:szCs w:val="24"/>
        </w:rPr>
        <w:t>）、八角枫、黄连木（</w:t>
      </w:r>
      <w:r>
        <w:rPr>
          <w:rFonts w:cs="Times New Roman"/>
          <w:i/>
          <w:sz w:val="24"/>
          <w:szCs w:val="24"/>
        </w:rPr>
        <w:t>Pistacia chinensis</w:t>
      </w:r>
      <w:r>
        <w:rPr>
          <w:rFonts w:cs="Times New Roman"/>
          <w:sz w:val="24"/>
          <w:szCs w:val="24"/>
        </w:rPr>
        <w:t>）、桉树和杉木（</w:t>
      </w:r>
      <w:r>
        <w:rPr>
          <w:rFonts w:cs="Times New Roman"/>
          <w:i/>
          <w:sz w:val="24"/>
          <w:szCs w:val="24"/>
        </w:rPr>
        <w:t>Cunninghamia canceolata</w:t>
      </w:r>
      <w:r>
        <w:rPr>
          <w:rFonts w:cs="Times New Roman"/>
          <w:sz w:val="24"/>
          <w:szCs w:val="24"/>
        </w:rPr>
        <w:t>）、柏木等。有时还有其他竹类混生其中。</w:t>
      </w:r>
    </w:p>
    <w:p w14:paraId="7B027A3E" w14:textId="77777777" w:rsidR="007D1E74" w:rsidRDefault="00A95641">
      <w:pPr>
        <w:spacing w:line="360" w:lineRule="auto"/>
        <w:ind w:firstLineChars="200" w:firstLine="480"/>
        <w:rPr>
          <w:rFonts w:cs="Times New Roman"/>
          <w:sz w:val="24"/>
          <w:szCs w:val="24"/>
        </w:rPr>
      </w:pPr>
      <w:r>
        <w:rPr>
          <w:rFonts w:cs="Times New Roman"/>
          <w:sz w:val="24"/>
          <w:szCs w:val="24"/>
        </w:rPr>
        <w:t>灌木层盖度一般为</w:t>
      </w:r>
      <w:r>
        <w:rPr>
          <w:rFonts w:cs="Times New Roman"/>
          <w:sz w:val="24"/>
          <w:szCs w:val="24"/>
        </w:rPr>
        <w:t>30%</w:t>
      </w:r>
      <w:r>
        <w:rPr>
          <w:rFonts w:cs="Times New Roman"/>
          <w:sz w:val="24"/>
          <w:szCs w:val="24"/>
        </w:rPr>
        <w:t>为左右，主要种类有黄荆、铁仔、悬钩子等。</w:t>
      </w:r>
    </w:p>
    <w:p w14:paraId="29189862" w14:textId="77777777" w:rsidR="007D1E74" w:rsidRDefault="00A95641">
      <w:pPr>
        <w:spacing w:line="360" w:lineRule="auto"/>
        <w:ind w:firstLineChars="200" w:firstLine="480"/>
        <w:rPr>
          <w:rFonts w:cs="Times New Roman"/>
          <w:sz w:val="24"/>
          <w:szCs w:val="24"/>
        </w:rPr>
      </w:pPr>
      <w:r>
        <w:rPr>
          <w:rFonts w:cs="Times New Roman"/>
          <w:sz w:val="24"/>
          <w:szCs w:val="24"/>
        </w:rPr>
        <w:t>草本植物以矛叶荩草、野青茅、马唐、海金沙、冷水花（</w:t>
      </w:r>
      <w:r>
        <w:rPr>
          <w:rFonts w:cs="Times New Roman"/>
          <w:i/>
          <w:sz w:val="24"/>
          <w:szCs w:val="24"/>
        </w:rPr>
        <w:t>Pilea spp.</w:t>
      </w:r>
      <w:r>
        <w:rPr>
          <w:rFonts w:cs="Times New Roman"/>
          <w:sz w:val="24"/>
          <w:szCs w:val="24"/>
        </w:rPr>
        <w:t>）和菊类等为主，其层高在</w:t>
      </w:r>
      <w:r>
        <w:rPr>
          <w:rFonts w:cs="Times New Roman"/>
          <w:sz w:val="24"/>
          <w:szCs w:val="24"/>
        </w:rPr>
        <w:t>5~35cm</w:t>
      </w:r>
      <w:r>
        <w:rPr>
          <w:rFonts w:cs="Times New Roman"/>
          <w:sz w:val="24"/>
          <w:szCs w:val="24"/>
        </w:rPr>
        <w:t>之间，盖度为</w:t>
      </w:r>
      <w:r>
        <w:rPr>
          <w:rFonts w:cs="Times New Roman"/>
          <w:sz w:val="24"/>
          <w:szCs w:val="24"/>
        </w:rPr>
        <w:t>10~40%</w:t>
      </w:r>
      <w:r>
        <w:rPr>
          <w:rFonts w:cs="Times New Roman"/>
          <w:sz w:val="24"/>
          <w:szCs w:val="24"/>
        </w:rPr>
        <w:t>。</w:t>
      </w:r>
    </w:p>
    <w:p w14:paraId="2F9AA4D2" w14:textId="77777777" w:rsidR="007D1E74" w:rsidRDefault="00A95641">
      <w:pPr>
        <w:spacing w:line="360" w:lineRule="auto"/>
        <w:ind w:firstLineChars="200" w:firstLine="482"/>
        <w:rPr>
          <w:rFonts w:cs="Times New Roman"/>
          <w:b/>
          <w:sz w:val="24"/>
          <w:szCs w:val="24"/>
        </w:rPr>
      </w:pPr>
      <w:r>
        <w:rPr>
          <w:rFonts w:cs="Times New Roman"/>
          <w:b/>
          <w:sz w:val="24"/>
          <w:szCs w:val="24"/>
        </w:rPr>
        <w:lastRenderedPageBreak/>
        <w:t>马桑灌丛（</w:t>
      </w:r>
      <w:r>
        <w:rPr>
          <w:rFonts w:cs="Times New Roman"/>
          <w:b/>
          <w:sz w:val="24"/>
          <w:szCs w:val="24"/>
        </w:rPr>
        <w:t xml:space="preserve">Form. </w:t>
      </w:r>
      <w:r>
        <w:rPr>
          <w:rFonts w:cs="Times New Roman"/>
          <w:b/>
          <w:i/>
          <w:sz w:val="24"/>
          <w:szCs w:val="24"/>
        </w:rPr>
        <w:t>Coriaria nepalensis</w:t>
      </w:r>
      <w:r>
        <w:rPr>
          <w:rFonts w:cs="Times New Roman"/>
          <w:b/>
          <w:sz w:val="24"/>
          <w:szCs w:val="24"/>
        </w:rPr>
        <w:t>）</w:t>
      </w:r>
    </w:p>
    <w:p w14:paraId="5AB1CF20" w14:textId="77777777" w:rsidR="007D1E74" w:rsidRDefault="00A95641">
      <w:pPr>
        <w:spacing w:line="360" w:lineRule="auto"/>
        <w:ind w:firstLineChars="200" w:firstLine="480"/>
        <w:rPr>
          <w:rFonts w:cs="Times New Roman"/>
          <w:sz w:val="24"/>
          <w:szCs w:val="24"/>
        </w:rPr>
      </w:pPr>
      <w:r>
        <w:rPr>
          <w:rFonts w:cs="Times New Roman"/>
          <w:sz w:val="24"/>
          <w:szCs w:val="24"/>
        </w:rPr>
        <w:t>评价区内典型灌丛植被较多，主要类型有马桑灌丛、火棘灌丛、黄荆灌丛、盐肤木灌丛、小果蔷薇灌丛、水麻灌丛、悬钩子灌丛等。主要分布于评价区山体下部林缘地带和道路两侧地带。土壤为黄壤、山地黄壤、山地黄棕壤。</w:t>
      </w:r>
    </w:p>
    <w:p w14:paraId="7263D95C" w14:textId="77777777" w:rsidR="007D1E74" w:rsidRDefault="00A95641">
      <w:pPr>
        <w:spacing w:line="360" w:lineRule="auto"/>
        <w:ind w:firstLineChars="200" w:firstLine="480"/>
        <w:rPr>
          <w:rFonts w:cs="Times New Roman"/>
          <w:sz w:val="24"/>
          <w:szCs w:val="24"/>
        </w:rPr>
      </w:pPr>
      <w:r>
        <w:rPr>
          <w:rFonts w:cs="Times New Roman"/>
          <w:sz w:val="24"/>
          <w:szCs w:val="24"/>
        </w:rPr>
        <w:t>群落外貌呈绿色，丛状，参差不齐。盖度</w:t>
      </w:r>
      <w:r>
        <w:rPr>
          <w:rFonts w:cs="Times New Roman"/>
          <w:sz w:val="24"/>
          <w:szCs w:val="24"/>
        </w:rPr>
        <w:t xml:space="preserve"> 30%~50%</w:t>
      </w:r>
      <w:r>
        <w:rPr>
          <w:rFonts w:cs="Times New Roman"/>
          <w:sz w:val="24"/>
          <w:szCs w:val="24"/>
        </w:rPr>
        <w:t>，也有达</w:t>
      </w:r>
      <w:r>
        <w:rPr>
          <w:rFonts w:cs="Times New Roman"/>
          <w:sz w:val="24"/>
          <w:szCs w:val="24"/>
        </w:rPr>
        <w:t xml:space="preserve"> 70%</w:t>
      </w:r>
      <w:r>
        <w:rPr>
          <w:rFonts w:cs="Times New Roman"/>
          <w:sz w:val="24"/>
          <w:szCs w:val="24"/>
        </w:rPr>
        <w:t>的，除马桑外，主要由黄荆、火棘、盐肤木</w:t>
      </w:r>
      <w:r>
        <w:rPr>
          <w:rFonts w:cs="Times New Roman"/>
          <w:sz w:val="24"/>
          <w:szCs w:val="24"/>
        </w:rPr>
        <w:t>(</w:t>
      </w:r>
      <w:r>
        <w:rPr>
          <w:rFonts w:cs="Times New Roman"/>
          <w:i/>
          <w:sz w:val="24"/>
          <w:szCs w:val="24"/>
        </w:rPr>
        <w:t>Rhus chinensis</w:t>
      </w:r>
      <w:r>
        <w:rPr>
          <w:rFonts w:cs="Times New Roman"/>
          <w:sz w:val="24"/>
          <w:szCs w:val="24"/>
        </w:rPr>
        <w:t>)</w:t>
      </w:r>
      <w:r>
        <w:rPr>
          <w:rFonts w:cs="Times New Roman"/>
          <w:sz w:val="24"/>
          <w:szCs w:val="24"/>
        </w:rPr>
        <w:t>、金山荚蒾（</w:t>
      </w:r>
      <w:r>
        <w:rPr>
          <w:rFonts w:cs="Times New Roman"/>
          <w:i/>
          <w:sz w:val="24"/>
          <w:szCs w:val="24"/>
        </w:rPr>
        <w:t>Viburnum chinshanense</w:t>
      </w:r>
      <w:r>
        <w:rPr>
          <w:rFonts w:cs="Times New Roman"/>
          <w:sz w:val="24"/>
          <w:szCs w:val="24"/>
        </w:rPr>
        <w:t>）、截叶铁扫帚（</w:t>
      </w:r>
      <w:r>
        <w:rPr>
          <w:rFonts w:cs="Times New Roman"/>
          <w:i/>
          <w:sz w:val="24"/>
          <w:szCs w:val="24"/>
        </w:rPr>
        <w:t>Lespedeza cuneata</w:t>
      </w:r>
      <w:r>
        <w:rPr>
          <w:rFonts w:cs="Times New Roman"/>
          <w:sz w:val="24"/>
          <w:szCs w:val="24"/>
        </w:rPr>
        <w:t>）等，也常在灌丛中占一定数量。</w:t>
      </w:r>
    </w:p>
    <w:p w14:paraId="7B969D59" w14:textId="77777777" w:rsidR="007D1E74" w:rsidRDefault="00A95641">
      <w:pPr>
        <w:spacing w:line="360" w:lineRule="auto"/>
        <w:ind w:firstLineChars="200" w:firstLine="480"/>
        <w:rPr>
          <w:rFonts w:cs="Times New Roman"/>
          <w:sz w:val="24"/>
          <w:szCs w:val="24"/>
        </w:rPr>
      </w:pPr>
      <w:r>
        <w:rPr>
          <w:rFonts w:cs="Times New Roman"/>
          <w:sz w:val="24"/>
          <w:szCs w:val="24"/>
        </w:rPr>
        <w:t>草本层植物一般种类较少，盖度</w:t>
      </w:r>
      <w:r>
        <w:rPr>
          <w:rFonts w:cs="Times New Roman"/>
          <w:sz w:val="24"/>
          <w:szCs w:val="24"/>
        </w:rPr>
        <w:t>20%~40%</w:t>
      </w:r>
      <w:r>
        <w:rPr>
          <w:rFonts w:cs="Times New Roman"/>
          <w:sz w:val="24"/>
          <w:szCs w:val="24"/>
        </w:rPr>
        <w:t>。主要优势种有臭牡丹</w:t>
      </w:r>
      <w:r>
        <w:rPr>
          <w:rFonts w:cs="Times New Roman"/>
          <w:sz w:val="24"/>
          <w:szCs w:val="24"/>
        </w:rPr>
        <w:t>(</w:t>
      </w:r>
      <w:r>
        <w:rPr>
          <w:rFonts w:cs="Times New Roman"/>
          <w:i/>
          <w:sz w:val="24"/>
          <w:szCs w:val="24"/>
        </w:rPr>
        <w:t>Clerodendrum bungei</w:t>
      </w:r>
      <w:r>
        <w:rPr>
          <w:rFonts w:cs="Times New Roman"/>
          <w:sz w:val="24"/>
          <w:szCs w:val="24"/>
        </w:rPr>
        <w:t>)</w:t>
      </w:r>
      <w:r>
        <w:rPr>
          <w:rFonts w:cs="Times New Roman"/>
          <w:sz w:val="24"/>
          <w:szCs w:val="24"/>
        </w:rPr>
        <w:t>和竹叶草</w:t>
      </w:r>
      <w:r>
        <w:rPr>
          <w:rFonts w:cs="Times New Roman"/>
          <w:sz w:val="24"/>
          <w:szCs w:val="24"/>
        </w:rPr>
        <w:t>(</w:t>
      </w:r>
      <w:r>
        <w:rPr>
          <w:rFonts w:cs="Times New Roman"/>
          <w:i/>
          <w:sz w:val="24"/>
          <w:szCs w:val="24"/>
        </w:rPr>
        <w:t>Oplismenus compositus</w:t>
      </w:r>
      <w:r>
        <w:rPr>
          <w:rFonts w:cs="Times New Roman"/>
          <w:sz w:val="24"/>
          <w:szCs w:val="24"/>
        </w:rPr>
        <w:t>)</w:t>
      </w:r>
      <w:r>
        <w:rPr>
          <w:rFonts w:cs="Times New Roman"/>
          <w:sz w:val="24"/>
          <w:szCs w:val="24"/>
        </w:rPr>
        <w:t>、垂穗鹅观草</w:t>
      </w:r>
      <w:r>
        <w:rPr>
          <w:rFonts w:cs="Times New Roman"/>
          <w:sz w:val="24"/>
          <w:szCs w:val="24"/>
        </w:rPr>
        <w:t>(</w:t>
      </w:r>
      <w:r>
        <w:rPr>
          <w:rFonts w:cs="Times New Roman"/>
          <w:i/>
          <w:sz w:val="24"/>
          <w:szCs w:val="24"/>
        </w:rPr>
        <w:t>Roegneria nutans</w:t>
      </w:r>
      <w:r>
        <w:rPr>
          <w:rFonts w:cs="Times New Roman"/>
          <w:sz w:val="24"/>
          <w:szCs w:val="24"/>
        </w:rPr>
        <w:t>)</w:t>
      </w:r>
      <w:r>
        <w:rPr>
          <w:rFonts w:cs="Times New Roman"/>
          <w:sz w:val="24"/>
          <w:szCs w:val="24"/>
        </w:rPr>
        <w:t>、早熟禾</w:t>
      </w:r>
      <w:r>
        <w:rPr>
          <w:rFonts w:cs="Times New Roman"/>
          <w:sz w:val="24"/>
          <w:szCs w:val="24"/>
        </w:rPr>
        <w:t>(</w:t>
      </w:r>
      <w:r>
        <w:rPr>
          <w:rFonts w:cs="Times New Roman"/>
          <w:i/>
          <w:sz w:val="24"/>
          <w:szCs w:val="24"/>
        </w:rPr>
        <w:t>Poa annua</w:t>
      </w:r>
      <w:r>
        <w:rPr>
          <w:rFonts w:cs="Times New Roman"/>
          <w:sz w:val="24"/>
          <w:szCs w:val="24"/>
        </w:rPr>
        <w:t>)</w:t>
      </w:r>
      <w:r>
        <w:rPr>
          <w:rFonts w:cs="Times New Roman"/>
          <w:sz w:val="24"/>
          <w:szCs w:val="24"/>
        </w:rPr>
        <w:t>、芒</w:t>
      </w:r>
      <w:r>
        <w:rPr>
          <w:rFonts w:cs="Times New Roman"/>
          <w:sz w:val="24"/>
          <w:szCs w:val="24"/>
        </w:rPr>
        <w:t>(</w:t>
      </w:r>
      <w:r>
        <w:rPr>
          <w:rFonts w:cs="Times New Roman"/>
          <w:i/>
          <w:sz w:val="24"/>
          <w:szCs w:val="24"/>
        </w:rPr>
        <w:t>Miscanthus sinensis</w:t>
      </w:r>
      <w:r>
        <w:rPr>
          <w:rFonts w:cs="Times New Roman"/>
          <w:sz w:val="24"/>
          <w:szCs w:val="24"/>
        </w:rPr>
        <w:t>)</w:t>
      </w:r>
      <w:r>
        <w:rPr>
          <w:rFonts w:cs="Times New Roman"/>
          <w:sz w:val="24"/>
          <w:szCs w:val="24"/>
        </w:rPr>
        <w:t>等禾草构成。</w:t>
      </w:r>
    </w:p>
    <w:p w14:paraId="5C1F5425" w14:textId="77777777" w:rsidR="007D1E74" w:rsidRDefault="00A95641">
      <w:pPr>
        <w:spacing w:line="360" w:lineRule="auto"/>
        <w:ind w:firstLineChars="200" w:firstLine="482"/>
        <w:rPr>
          <w:rFonts w:cs="Times New Roman"/>
          <w:b/>
          <w:sz w:val="24"/>
          <w:szCs w:val="24"/>
        </w:rPr>
      </w:pPr>
      <w:r>
        <w:rPr>
          <w:rFonts w:cs="Times New Roman"/>
          <w:b/>
          <w:sz w:val="24"/>
          <w:szCs w:val="24"/>
        </w:rPr>
        <w:t>黄荆灌丛（</w:t>
      </w:r>
      <w:r>
        <w:rPr>
          <w:rFonts w:cs="Times New Roman"/>
          <w:b/>
          <w:sz w:val="24"/>
          <w:szCs w:val="24"/>
        </w:rPr>
        <w:t xml:space="preserve">Form. </w:t>
      </w:r>
      <w:r>
        <w:rPr>
          <w:rFonts w:cs="Times New Roman"/>
          <w:b/>
          <w:i/>
          <w:sz w:val="24"/>
          <w:szCs w:val="24"/>
        </w:rPr>
        <w:t>Vitex negundo</w:t>
      </w:r>
      <w:r>
        <w:rPr>
          <w:rFonts w:cs="Times New Roman"/>
          <w:b/>
          <w:sz w:val="24"/>
          <w:szCs w:val="24"/>
        </w:rPr>
        <w:t>）</w:t>
      </w:r>
    </w:p>
    <w:p w14:paraId="38EBF02D" w14:textId="77777777" w:rsidR="007D1E74" w:rsidRDefault="00A95641">
      <w:pPr>
        <w:spacing w:line="360" w:lineRule="auto"/>
        <w:ind w:firstLineChars="200" w:firstLine="480"/>
        <w:rPr>
          <w:rFonts w:cs="Times New Roman"/>
          <w:sz w:val="24"/>
          <w:szCs w:val="24"/>
        </w:rPr>
      </w:pPr>
      <w:r>
        <w:rPr>
          <w:rFonts w:cs="Times New Roman"/>
          <w:sz w:val="24"/>
          <w:szCs w:val="24"/>
        </w:rPr>
        <w:t>主要见于评价区溪沟两岸以及山坡和坡麓等地段的树林林缘、陡坡以及耕地边，呈零星小块状间断分布，随人类生产活动发生变化。</w:t>
      </w:r>
    </w:p>
    <w:p w14:paraId="4E69B4EE" w14:textId="77777777" w:rsidR="007D1E74" w:rsidRDefault="00A95641">
      <w:pPr>
        <w:spacing w:line="360" w:lineRule="auto"/>
        <w:ind w:firstLineChars="200" w:firstLine="480"/>
        <w:rPr>
          <w:rFonts w:cs="Times New Roman"/>
          <w:sz w:val="24"/>
          <w:szCs w:val="24"/>
        </w:rPr>
      </w:pPr>
      <w:r>
        <w:rPr>
          <w:rFonts w:cs="Times New Roman"/>
          <w:sz w:val="24"/>
          <w:szCs w:val="24"/>
        </w:rPr>
        <w:t>群落外貌绿色，丛状，参差不齐。高度通常在</w:t>
      </w:r>
      <w:r>
        <w:rPr>
          <w:rFonts w:cs="Times New Roman"/>
          <w:sz w:val="24"/>
          <w:szCs w:val="24"/>
        </w:rPr>
        <w:t xml:space="preserve"> 1.5~5m</w:t>
      </w:r>
      <w:r>
        <w:rPr>
          <w:rFonts w:cs="Times New Roman"/>
          <w:sz w:val="24"/>
          <w:szCs w:val="24"/>
        </w:rPr>
        <w:t>之间，盖度</w:t>
      </w:r>
      <w:r>
        <w:rPr>
          <w:rFonts w:cs="Times New Roman"/>
          <w:sz w:val="24"/>
          <w:szCs w:val="24"/>
        </w:rPr>
        <w:t xml:space="preserve"> 40~75%</w:t>
      </w:r>
      <w:r>
        <w:rPr>
          <w:rFonts w:cs="Times New Roman"/>
          <w:sz w:val="24"/>
          <w:szCs w:val="24"/>
        </w:rPr>
        <w:t>左右，除黄荆外其它常见的灌木有马桑（</w:t>
      </w:r>
      <w:r>
        <w:rPr>
          <w:rFonts w:cs="Times New Roman"/>
          <w:i/>
          <w:sz w:val="24"/>
          <w:szCs w:val="24"/>
        </w:rPr>
        <w:t>Coriaria nepalensis</w:t>
      </w:r>
      <w:r>
        <w:rPr>
          <w:rFonts w:cs="Times New Roman"/>
          <w:sz w:val="24"/>
          <w:szCs w:val="24"/>
        </w:rPr>
        <w:t>）、火棘、盐肤木（</w:t>
      </w:r>
      <w:r>
        <w:rPr>
          <w:rFonts w:cs="Times New Roman"/>
          <w:i/>
          <w:sz w:val="24"/>
          <w:szCs w:val="24"/>
        </w:rPr>
        <w:t>Rhus chinensis</w:t>
      </w:r>
      <w:r>
        <w:rPr>
          <w:rFonts w:cs="Times New Roman"/>
          <w:sz w:val="24"/>
          <w:szCs w:val="24"/>
        </w:rPr>
        <w:t>）、截叶铁扫帚（</w:t>
      </w:r>
      <w:r>
        <w:rPr>
          <w:rFonts w:cs="Times New Roman"/>
          <w:i/>
          <w:sz w:val="24"/>
          <w:szCs w:val="24"/>
        </w:rPr>
        <w:t>Lespedeza cuneata</w:t>
      </w:r>
      <w:r>
        <w:rPr>
          <w:rFonts w:cs="Times New Roman"/>
          <w:sz w:val="24"/>
          <w:szCs w:val="24"/>
        </w:rPr>
        <w:t>）、醉鱼草（</w:t>
      </w:r>
      <w:r>
        <w:rPr>
          <w:rFonts w:cs="Times New Roman"/>
          <w:i/>
          <w:sz w:val="24"/>
          <w:szCs w:val="24"/>
        </w:rPr>
        <w:t>Buddleja spp.</w:t>
      </w:r>
      <w:r>
        <w:rPr>
          <w:rFonts w:cs="Times New Roman"/>
          <w:sz w:val="24"/>
          <w:szCs w:val="24"/>
        </w:rPr>
        <w:t>）等。</w:t>
      </w:r>
    </w:p>
    <w:p w14:paraId="484EEC59" w14:textId="77777777" w:rsidR="007D1E74" w:rsidRDefault="00A95641">
      <w:pPr>
        <w:spacing w:line="360" w:lineRule="auto"/>
        <w:ind w:firstLineChars="200" w:firstLine="480"/>
        <w:rPr>
          <w:rFonts w:cs="Times New Roman"/>
          <w:sz w:val="24"/>
          <w:szCs w:val="24"/>
        </w:rPr>
      </w:pPr>
      <w:r>
        <w:rPr>
          <w:rFonts w:cs="Times New Roman"/>
          <w:sz w:val="24"/>
          <w:szCs w:val="24"/>
        </w:rPr>
        <w:t>灌木下草本植物有白茅、矛叶荩草、蕨、蒿等。</w:t>
      </w:r>
    </w:p>
    <w:p w14:paraId="16CDDCAA" w14:textId="77777777" w:rsidR="007D1E74" w:rsidRDefault="00A95641">
      <w:pPr>
        <w:spacing w:line="360" w:lineRule="auto"/>
        <w:ind w:firstLineChars="200" w:firstLine="482"/>
        <w:rPr>
          <w:rFonts w:cs="Times New Roman"/>
          <w:b/>
          <w:sz w:val="24"/>
          <w:szCs w:val="24"/>
        </w:rPr>
      </w:pPr>
      <w:r>
        <w:rPr>
          <w:rFonts w:cs="Times New Roman"/>
          <w:b/>
          <w:sz w:val="24"/>
          <w:szCs w:val="24"/>
        </w:rPr>
        <w:t>盐肤木灌丛（</w:t>
      </w:r>
      <w:r>
        <w:rPr>
          <w:rFonts w:cs="Times New Roman"/>
          <w:b/>
          <w:sz w:val="24"/>
          <w:szCs w:val="24"/>
        </w:rPr>
        <w:t xml:space="preserve">Form. </w:t>
      </w:r>
      <w:r>
        <w:rPr>
          <w:rFonts w:cs="Times New Roman"/>
          <w:b/>
          <w:i/>
          <w:sz w:val="24"/>
          <w:szCs w:val="24"/>
        </w:rPr>
        <w:t>Rhus chinensis</w:t>
      </w:r>
      <w:r>
        <w:rPr>
          <w:rFonts w:cs="Times New Roman"/>
          <w:b/>
          <w:sz w:val="24"/>
          <w:szCs w:val="24"/>
        </w:rPr>
        <w:t>）</w:t>
      </w:r>
    </w:p>
    <w:p w14:paraId="7297206D" w14:textId="77777777" w:rsidR="007D1E74" w:rsidRDefault="00A95641">
      <w:pPr>
        <w:spacing w:line="360" w:lineRule="auto"/>
        <w:ind w:firstLineChars="200" w:firstLine="480"/>
        <w:rPr>
          <w:rFonts w:cs="Times New Roman"/>
          <w:sz w:val="24"/>
          <w:szCs w:val="24"/>
        </w:rPr>
      </w:pPr>
      <w:r>
        <w:rPr>
          <w:rFonts w:cs="Times New Roman"/>
          <w:sz w:val="24"/>
          <w:szCs w:val="24"/>
        </w:rPr>
        <w:t>盐肤木在评价区公路边和山坡疏树地带分布广泛，但也有其它植被灌丛类型散生于其中，部分地段能以此物种为优势种形成群落，群落结构略不稳定，易向阔叶林演替，盐肤木还能与其它不同的物种形成共优种而组成多种群丛类型，如盐肤木</w:t>
      </w:r>
      <w:r>
        <w:rPr>
          <w:rFonts w:cs="Times New Roman"/>
          <w:sz w:val="24"/>
          <w:szCs w:val="24"/>
        </w:rPr>
        <w:t>+</w:t>
      </w:r>
      <w:r>
        <w:rPr>
          <w:rFonts w:cs="Times New Roman"/>
          <w:sz w:val="24"/>
          <w:szCs w:val="24"/>
        </w:rPr>
        <w:t>黄荆、盐肤木</w:t>
      </w:r>
      <w:r>
        <w:rPr>
          <w:rFonts w:cs="Times New Roman"/>
          <w:sz w:val="24"/>
          <w:szCs w:val="24"/>
        </w:rPr>
        <w:t>+</w:t>
      </w:r>
      <w:r>
        <w:rPr>
          <w:rFonts w:cs="Times New Roman"/>
          <w:sz w:val="24"/>
          <w:szCs w:val="24"/>
        </w:rPr>
        <w:t>马桑的落叶阔叶灌丛。</w:t>
      </w:r>
    </w:p>
    <w:p w14:paraId="2AC3D80E" w14:textId="77777777" w:rsidR="007D1E74" w:rsidRDefault="00A95641">
      <w:pPr>
        <w:spacing w:line="360" w:lineRule="auto"/>
        <w:ind w:firstLineChars="200" w:firstLine="480"/>
        <w:rPr>
          <w:rFonts w:cs="Times New Roman"/>
          <w:sz w:val="24"/>
          <w:szCs w:val="24"/>
        </w:rPr>
      </w:pPr>
      <w:r>
        <w:rPr>
          <w:rFonts w:cs="Times New Roman"/>
          <w:sz w:val="24"/>
          <w:szCs w:val="24"/>
        </w:rPr>
        <w:t>群落结构较为简单，灌木层以盐肤木为优势，平均高度</w:t>
      </w:r>
      <w:r>
        <w:rPr>
          <w:rFonts w:cs="Times New Roman"/>
          <w:sz w:val="24"/>
          <w:szCs w:val="24"/>
        </w:rPr>
        <w:t>2.5~3.5m</w:t>
      </w:r>
      <w:r>
        <w:rPr>
          <w:rFonts w:cs="Times New Roman"/>
          <w:sz w:val="24"/>
          <w:szCs w:val="24"/>
        </w:rPr>
        <w:t>，分布较为稀疏，形成的盖度约</w:t>
      </w:r>
      <w:r>
        <w:rPr>
          <w:rFonts w:cs="Times New Roman"/>
          <w:sz w:val="24"/>
          <w:szCs w:val="24"/>
        </w:rPr>
        <w:t>15~20%</w:t>
      </w:r>
      <w:r>
        <w:rPr>
          <w:rFonts w:cs="Times New Roman"/>
          <w:sz w:val="24"/>
          <w:szCs w:val="24"/>
        </w:rPr>
        <w:t>；部分树龄较大的构树株高可达近</w:t>
      </w:r>
      <w:r>
        <w:rPr>
          <w:rFonts w:cs="Times New Roman"/>
          <w:sz w:val="24"/>
          <w:szCs w:val="24"/>
        </w:rPr>
        <w:t>10m</w:t>
      </w:r>
      <w:r>
        <w:rPr>
          <w:rFonts w:cs="Times New Roman"/>
          <w:sz w:val="24"/>
          <w:szCs w:val="24"/>
        </w:rPr>
        <w:t>或以上。灌木层其它多见物种还有毛黄栌、火棘、胡颓子和水麻</w:t>
      </w:r>
      <w:r>
        <w:rPr>
          <w:rFonts w:cs="Times New Roman"/>
          <w:sz w:val="24"/>
          <w:szCs w:val="24"/>
        </w:rPr>
        <w:t>(</w:t>
      </w:r>
      <w:r>
        <w:rPr>
          <w:rFonts w:cs="Times New Roman"/>
          <w:i/>
          <w:sz w:val="24"/>
          <w:szCs w:val="24"/>
        </w:rPr>
        <w:t>Debregeasia orientalis</w:t>
      </w:r>
      <w:r>
        <w:rPr>
          <w:rFonts w:cs="Times New Roman"/>
          <w:sz w:val="24"/>
          <w:szCs w:val="24"/>
        </w:rPr>
        <w:t>)</w:t>
      </w:r>
      <w:r>
        <w:rPr>
          <w:rFonts w:cs="Times New Roman"/>
          <w:sz w:val="24"/>
          <w:szCs w:val="24"/>
        </w:rPr>
        <w:t>等。</w:t>
      </w:r>
    </w:p>
    <w:p w14:paraId="36445EA3" w14:textId="77777777" w:rsidR="007D1E74" w:rsidRDefault="00A95641">
      <w:pPr>
        <w:spacing w:line="360" w:lineRule="auto"/>
        <w:ind w:firstLineChars="200" w:firstLine="480"/>
        <w:rPr>
          <w:rFonts w:cs="Times New Roman"/>
          <w:sz w:val="24"/>
          <w:szCs w:val="24"/>
        </w:rPr>
      </w:pPr>
      <w:r>
        <w:rPr>
          <w:rFonts w:cs="Times New Roman"/>
          <w:sz w:val="24"/>
          <w:szCs w:val="24"/>
        </w:rPr>
        <w:t>草本植物生长茂盛，分层明显。草本物种黄花蒿</w:t>
      </w:r>
      <w:r>
        <w:rPr>
          <w:rFonts w:cs="Times New Roman"/>
          <w:sz w:val="24"/>
          <w:szCs w:val="24"/>
        </w:rPr>
        <w:t>(</w:t>
      </w:r>
      <w:r>
        <w:rPr>
          <w:rFonts w:cs="Times New Roman"/>
          <w:i/>
          <w:sz w:val="24"/>
          <w:szCs w:val="24"/>
        </w:rPr>
        <w:t>Artemisia annua</w:t>
      </w:r>
      <w:r>
        <w:rPr>
          <w:rFonts w:cs="Times New Roman"/>
          <w:sz w:val="24"/>
          <w:szCs w:val="24"/>
        </w:rPr>
        <w:t>)</w:t>
      </w:r>
      <w:r>
        <w:rPr>
          <w:rFonts w:cs="Times New Roman"/>
          <w:sz w:val="24"/>
          <w:szCs w:val="24"/>
        </w:rPr>
        <w:t>、野棉花</w:t>
      </w:r>
      <w:r>
        <w:rPr>
          <w:rFonts w:cs="Times New Roman"/>
          <w:sz w:val="24"/>
          <w:szCs w:val="24"/>
        </w:rPr>
        <w:t>(</w:t>
      </w:r>
      <w:r>
        <w:rPr>
          <w:rFonts w:cs="Times New Roman"/>
          <w:i/>
          <w:sz w:val="24"/>
          <w:szCs w:val="24"/>
        </w:rPr>
        <w:t>Anemone vitifolia</w:t>
      </w:r>
      <w:r>
        <w:rPr>
          <w:rFonts w:cs="Times New Roman"/>
          <w:sz w:val="24"/>
          <w:szCs w:val="24"/>
        </w:rPr>
        <w:t>)</w:t>
      </w:r>
      <w:r>
        <w:rPr>
          <w:rFonts w:cs="Times New Roman"/>
          <w:sz w:val="24"/>
          <w:szCs w:val="24"/>
        </w:rPr>
        <w:t>、小蓬草</w:t>
      </w:r>
      <w:r>
        <w:rPr>
          <w:rFonts w:cs="Times New Roman"/>
          <w:sz w:val="24"/>
          <w:szCs w:val="24"/>
        </w:rPr>
        <w:t>(</w:t>
      </w:r>
      <w:r>
        <w:rPr>
          <w:rFonts w:cs="Times New Roman"/>
          <w:i/>
          <w:sz w:val="24"/>
          <w:szCs w:val="24"/>
        </w:rPr>
        <w:t>Conyza canadensis</w:t>
      </w:r>
      <w:r>
        <w:rPr>
          <w:rFonts w:cs="Times New Roman"/>
          <w:sz w:val="24"/>
          <w:szCs w:val="24"/>
        </w:rPr>
        <w:t>)</w:t>
      </w:r>
      <w:r>
        <w:rPr>
          <w:rFonts w:cs="Times New Roman"/>
          <w:sz w:val="24"/>
          <w:szCs w:val="24"/>
        </w:rPr>
        <w:t>、千里光</w:t>
      </w:r>
      <w:r>
        <w:rPr>
          <w:rFonts w:cs="Times New Roman"/>
          <w:sz w:val="24"/>
          <w:szCs w:val="24"/>
        </w:rPr>
        <w:t>(</w:t>
      </w:r>
      <w:r>
        <w:rPr>
          <w:rFonts w:cs="Times New Roman"/>
          <w:i/>
          <w:sz w:val="24"/>
          <w:szCs w:val="24"/>
        </w:rPr>
        <w:t>Senecio scandens</w:t>
      </w:r>
      <w:r>
        <w:rPr>
          <w:rFonts w:cs="Times New Roman"/>
          <w:sz w:val="24"/>
          <w:szCs w:val="24"/>
        </w:rPr>
        <w:t>)</w:t>
      </w:r>
      <w:r>
        <w:rPr>
          <w:rFonts w:cs="Times New Roman"/>
          <w:sz w:val="24"/>
          <w:szCs w:val="24"/>
        </w:rPr>
        <w:t>等，冷水花</w:t>
      </w:r>
      <w:r>
        <w:rPr>
          <w:rFonts w:cs="Times New Roman"/>
          <w:sz w:val="24"/>
          <w:szCs w:val="24"/>
        </w:rPr>
        <w:t>(</w:t>
      </w:r>
      <w:r>
        <w:rPr>
          <w:rFonts w:cs="Times New Roman"/>
          <w:i/>
          <w:sz w:val="24"/>
          <w:szCs w:val="24"/>
        </w:rPr>
        <w:t>Pilea spp.</w:t>
      </w:r>
      <w:r>
        <w:rPr>
          <w:rFonts w:cs="Times New Roman"/>
          <w:sz w:val="24"/>
          <w:szCs w:val="24"/>
        </w:rPr>
        <w:t>)</w:t>
      </w:r>
      <w:r>
        <w:rPr>
          <w:rFonts w:cs="Times New Roman"/>
          <w:sz w:val="24"/>
          <w:szCs w:val="24"/>
        </w:rPr>
        <w:t>、野豌豆</w:t>
      </w:r>
      <w:r>
        <w:rPr>
          <w:rFonts w:cs="Times New Roman"/>
          <w:sz w:val="24"/>
          <w:szCs w:val="24"/>
        </w:rPr>
        <w:t>(</w:t>
      </w:r>
      <w:r>
        <w:rPr>
          <w:rFonts w:cs="Times New Roman"/>
          <w:i/>
          <w:sz w:val="24"/>
          <w:szCs w:val="24"/>
        </w:rPr>
        <w:t>Vicia spp.</w:t>
      </w:r>
      <w:r>
        <w:rPr>
          <w:rFonts w:cs="Times New Roman"/>
          <w:sz w:val="24"/>
          <w:szCs w:val="24"/>
        </w:rPr>
        <w:t>)</w:t>
      </w:r>
      <w:r>
        <w:rPr>
          <w:rFonts w:cs="Times New Roman"/>
          <w:sz w:val="24"/>
          <w:szCs w:val="24"/>
        </w:rPr>
        <w:t>、蛇莓</w:t>
      </w:r>
      <w:r>
        <w:rPr>
          <w:rFonts w:cs="Times New Roman"/>
          <w:sz w:val="24"/>
          <w:szCs w:val="24"/>
        </w:rPr>
        <w:t>(</w:t>
      </w:r>
      <w:r>
        <w:rPr>
          <w:rFonts w:cs="Times New Roman"/>
          <w:i/>
          <w:sz w:val="24"/>
          <w:szCs w:val="24"/>
        </w:rPr>
        <w:t>Duchesnea indica</w:t>
      </w:r>
      <w:r>
        <w:rPr>
          <w:rFonts w:cs="Times New Roman"/>
          <w:sz w:val="24"/>
          <w:szCs w:val="24"/>
        </w:rPr>
        <w:t>)</w:t>
      </w:r>
      <w:r>
        <w:rPr>
          <w:rFonts w:cs="Times New Roman"/>
          <w:sz w:val="24"/>
          <w:szCs w:val="24"/>
        </w:rPr>
        <w:t>、繁缕</w:t>
      </w:r>
      <w:r>
        <w:rPr>
          <w:rFonts w:cs="Times New Roman"/>
          <w:sz w:val="24"/>
          <w:szCs w:val="24"/>
        </w:rPr>
        <w:t>(Stellaria media)</w:t>
      </w:r>
      <w:r>
        <w:rPr>
          <w:rFonts w:cs="Times New Roman"/>
          <w:sz w:val="24"/>
          <w:szCs w:val="24"/>
        </w:rPr>
        <w:t>等从高到矮组成不同亚层。另层外藤本植物有铁线莲</w:t>
      </w:r>
      <w:r>
        <w:rPr>
          <w:rFonts w:cs="Times New Roman"/>
          <w:sz w:val="24"/>
          <w:szCs w:val="24"/>
        </w:rPr>
        <w:t>(</w:t>
      </w:r>
      <w:r>
        <w:rPr>
          <w:rFonts w:cs="Times New Roman"/>
          <w:i/>
          <w:sz w:val="24"/>
          <w:szCs w:val="24"/>
        </w:rPr>
        <w:t>Clematis spp.</w:t>
      </w:r>
      <w:r>
        <w:rPr>
          <w:rFonts w:cs="Times New Roman"/>
          <w:sz w:val="24"/>
          <w:szCs w:val="24"/>
        </w:rPr>
        <w:t>)</w:t>
      </w:r>
      <w:r>
        <w:rPr>
          <w:rFonts w:cs="Times New Roman"/>
          <w:sz w:val="24"/>
          <w:szCs w:val="24"/>
        </w:rPr>
        <w:t>、打碗花</w:t>
      </w:r>
      <w:r>
        <w:rPr>
          <w:rFonts w:cs="Times New Roman"/>
          <w:sz w:val="24"/>
          <w:szCs w:val="24"/>
        </w:rPr>
        <w:t>(</w:t>
      </w:r>
      <w:r>
        <w:rPr>
          <w:rFonts w:cs="Times New Roman"/>
          <w:i/>
          <w:sz w:val="24"/>
          <w:szCs w:val="24"/>
        </w:rPr>
        <w:t>Calystegia hederacea</w:t>
      </w:r>
      <w:r>
        <w:rPr>
          <w:rFonts w:cs="Times New Roman"/>
          <w:sz w:val="24"/>
          <w:szCs w:val="24"/>
        </w:rPr>
        <w:t>)</w:t>
      </w:r>
      <w:r>
        <w:rPr>
          <w:rFonts w:cs="Times New Roman"/>
          <w:sz w:val="24"/>
          <w:szCs w:val="24"/>
        </w:rPr>
        <w:t>等。</w:t>
      </w:r>
    </w:p>
    <w:p w14:paraId="77EF6CFA" w14:textId="77777777" w:rsidR="007D1E74" w:rsidRDefault="00A95641">
      <w:pPr>
        <w:spacing w:line="360" w:lineRule="auto"/>
        <w:ind w:firstLineChars="200" w:firstLine="482"/>
        <w:rPr>
          <w:rFonts w:cs="Times New Roman"/>
          <w:b/>
          <w:sz w:val="24"/>
          <w:szCs w:val="24"/>
        </w:rPr>
      </w:pPr>
      <w:r>
        <w:rPr>
          <w:rFonts w:cs="Times New Roman"/>
          <w:b/>
          <w:sz w:val="24"/>
          <w:szCs w:val="24"/>
        </w:rPr>
        <w:lastRenderedPageBreak/>
        <w:t>火棘灌丛（</w:t>
      </w:r>
      <w:r>
        <w:rPr>
          <w:rFonts w:cs="Times New Roman"/>
          <w:b/>
          <w:sz w:val="24"/>
          <w:szCs w:val="24"/>
        </w:rPr>
        <w:t xml:space="preserve">Form. </w:t>
      </w:r>
      <w:r>
        <w:rPr>
          <w:rFonts w:cs="Times New Roman"/>
          <w:b/>
          <w:i/>
          <w:sz w:val="24"/>
          <w:szCs w:val="24"/>
        </w:rPr>
        <w:t>Pyracantha fortuneana</w:t>
      </w:r>
      <w:r>
        <w:rPr>
          <w:rFonts w:cs="Times New Roman"/>
          <w:b/>
          <w:sz w:val="24"/>
          <w:szCs w:val="24"/>
        </w:rPr>
        <w:t>）</w:t>
      </w:r>
    </w:p>
    <w:p w14:paraId="3734A3E3" w14:textId="77777777" w:rsidR="007D1E74" w:rsidRDefault="00A95641">
      <w:pPr>
        <w:spacing w:line="360" w:lineRule="auto"/>
        <w:ind w:firstLineChars="200" w:firstLine="480"/>
        <w:rPr>
          <w:rFonts w:cs="Times New Roman"/>
          <w:sz w:val="24"/>
          <w:szCs w:val="24"/>
        </w:rPr>
      </w:pPr>
      <w:r>
        <w:rPr>
          <w:rFonts w:cs="Times New Roman"/>
          <w:sz w:val="24"/>
          <w:szCs w:val="24"/>
        </w:rPr>
        <w:t>棘灌丛是石灰岩地区常见的群落，在评价区内主要分布于河滩，岩石裸露、土壤贫瘠、干旱缺水的山坡。分布零星小块。</w:t>
      </w:r>
    </w:p>
    <w:p w14:paraId="7980190C" w14:textId="77777777" w:rsidR="007D1E74" w:rsidRDefault="00A95641">
      <w:pPr>
        <w:spacing w:line="360" w:lineRule="auto"/>
        <w:ind w:firstLineChars="200" w:firstLine="480"/>
        <w:rPr>
          <w:rFonts w:cs="Times New Roman"/>
          <w:sz w:val="24"/>
          <w:szCs w:val="24"/>
        </w:rPr>
      </w:pPr>
      <w:r>
        <w:rPr>
          <w:rFonts w:cs="Times New Roman"/>
          <w:sz w:val="24"/>
          <w:szCs w:val="24"/>
        </w:rPr>
        <w:t>群落外貌绿色而富季相变化，呈团块状。盖度</w:t>
      </w:r>
      <w:r>
        <w:rPr>
          <w:rFonts w:cs="Times New Roman"/>
          <w:sz w:val="24"/>
          <w:szCs w:val="24"/>
        </w:rPr>
        <w:t xml:space="preserve"> 50%</w:t>
      </w:r>
      <w:r>
        <w:rPr>
          <w:rFonts w:cs="Times New Roman"/>
          <w:sz w:val="24"/>
          <w:szCs w:val="24"/>
        </w:rPr>
        <w:t>左右，灌木多具蔓生有刺灌木，除建群种火棘外，小果蔷薇（</w:t>
      </w:r>
      <w:r>
        <w:rPr>
          <w:rFonts w:cs="Times New Roman"/>
          <w:i/>
          <w:sz w:val="24"/>
          <w:szCs w:val="24"/>
        </w:rPr>
        <w:t>Rosa cymosa</w:t>
      </w:r>
      <w:r>
        <w:rPr>
          <w:rFonts w:cs="Times New Roman"/>
          <w:sz w:val="24"/>
          <w:szCs w:val="24"/>
        </w:rPr>
        <w:t>）、黄荆、马桑、缫丝花</w:t>
      </w:r>
      <w:r>
        <w:rPr>
          <w:rFonts w:cs="Times New Roman"/>
          <w:sz w:val="24"/>
          <w:szCs w:val="24"/>
        </w:rPr>
        <w:t>(</w:t>
      </w:r>
      <w:r>
        <w:rPr>
          <w:rFonts w:cs="Times New Roman"/>
          <w:i/>
          <w:sz w:val="24"/>
          <w:szCs w:val="24"/>
        </w:rPr>
        <w:t>Rosa roxburghii</w:t>
      </w:r>
      <w:r>
        <w:rPr>
          <w:rFonts w:cs="Times New Roman"/>
          <w:sz w:val="24"/>
          <w:szCs w:val="24"/>
        </w:rPr>
        <w:t>)</w:t>
      </w:r>
      <w:r>
        <w:rPr>
          <w:rFonts w:cs="Times New Roman"/>
          <w:sz w:val="24"/>
          <w:szCs w:val="24"/>
        </w:rPr>
        <w:t>、醉鱼草等也分布其间。草本植物有荩草、狗尾草</w:t>
      </w:r>
      <w:r>
        <w:rPr>
          <w:rFonts w:cs="Times New Roman"/>
          <w:sz w:val="24"/>
          <w:szCs w:val="24"/>
        </w:rPr>
        <w:t>(</w:t>
      </w:r>
      <w:r>
        <w:rPr>
          <w:rFonts w:cs="Times New Roman"/>
          <w:i/>
          <w:sz w:val="24"/>
          <w:szCs w:val="24"/>
        </w:rPr>
        <w:t>Setaria viridis</w:t>
      </w:r>
      <w:r>
        <w:rPr>
          <w:rFonts w:cs="Times New Roman"/>
          <w:sz w:val="24"/>
          <w:szCs w:val="24"/>
        </w:rPr>
        <w:t>)</w:t>
      </w:r>
      <w:r>
        <w:rPr>
          <w:rFonts w:cs="Times New Roman"/>
          <w:sz w:val="24"/>
          <w:szCs w:val="24"/>
        </w:rPr>
        <w:t>、打破碗花花等。</w:t>
      </w:r>
    </w:p>
    <w:p w14:paraId="424DDC8B" w14:textId="77777777" w:rsidR="007D1E74" w:rsidRDefault="00A95641">
      <w:pPr>
        <w:spacing w:line="360" w:lineRule="auto"/>
        <w:ind w:firstLineChars="200" w:firstLine="482"/>
        <w:rPr>
          <w:rFonts w:cs="Times New Roman"/>
          <w:b/>
          <w:sz w:val="24"/>
          <w:szCs w:val="24"/>
        </w:rPr>
      </w:pPr>
      <w:r>
        <w:rPr>
          <w:rFonts w:cs="Times New Roman"/>
          <w:b/>
          <w:sz w:val="24"/>
          <w:szCs w:val="24"/>
        </w:rPr>
        <w:t>白茅灌草丛（</w:t>
      </w:r>
      <w:r>
        <w:rPr>
          <w:rFonts w:cs="Times New Roman"/>
          <w:b/>
          <w:sz w:val="24"/>
          <w:szCs w:val="24"/>
        </w:rPr>
        <w:t xml:space="preserve">Form. </w:t>
      </w:r>
      <w:r>
        <w:rPr>
          <w:rFonts w:cs="Times New Roman"/>
          <w:b/>
          <w:i/>
          <w:sz w:val="24"/>
          <w:szCs w:val="24"/>
        </w:rPr>
        <w:t>Imperata koenigii</w:t>
      </w:r>
      <w:r>
        <w:rPr>
          <w:rFonts w:cs="Times New Roman"/>
          <w:b/>
          <w:sz w:val="24"/>
          <w:szCs w:val="24"/>
        </w:rPr>
        <w:t>）</w:t>
      </w:r>
    </w:p>
    <w:p w14:paraId="40128BA6" w14:textId="77777777" w:rsidR="007D1E74" w:rsidRDefault="00A95641">
      <w:pPr>
        <w:spacing w:line="360" w:lineRule="auto"/>
        <w:ind w:firstLineChars="200" w:firstLine="480"/>
        <w:rPr>
          <w:rFonts w:cs="Times New Roman"/>
          <w:sz w:val="24"/>
          <w:szCs w:val="24"/>
        </w:rPr>
      </w:pPr>
      <w:r>
        <w:rPr>
          <w:rFonts w:cs="Times New Roman"/>
          <w:sz w:val="24"/>
          <w:szCs w:val="24"/>
        </w:rPr>
        <w:t>白茅灌草丛是评价区内暖热性灌草丛的代表，呈小块零星分布在平原与河谷耕地和树林边缘地带或坡度较大山坡上，群落外貌绿色，总盖度</w:t>
      </w:r>
      <w:r>
        <w:rPr>
          <w:rFonts w:cs="Times New Roman"/>
          <w:sz w:val="24"/>
          <w:szCs w:val="24"/>
        </w:rPr>
        <w:t xml:space="preserve"> 80</w:t>
      </w:r>
      <w:r>
        <w:rPr>
          <w:rFonts w:cs="Times New Roman"/>
          <w:sz w:val="24"/>
          <w:szCs w:val="24"/>
        </w:rPr>
        <w:t>～</w:t>
      </w:r>
      <w:r>
        <w:rPr>
          <w:rFonts w:cs="Times New Roman"/>
          <w:sz w:val="24"/>
          <w:szCs w:val="24"/>
        </w:rPr>
        <w:t>95%</w:t>
      </w:r>
      <w:r>
        <w:rPr>
          <w:rFonts w:cs="Times New Roman"/>
          <w:sz w:val="24"/>
          <w:szCs w:val="24"/>
        </w:rPr>
        <w:t>。白茅在草丛中常占绝对优势，为群落的唯一建群种，高度</w:t>
      </w:r>
      <w:r>
        <w:rPr>
          <w:rFonts w:cs="Times New Roman"/>
          <w:sz w:val="24"/>
          <w:szCs w:val="24"/>
        </w:rPr>
        <w:t>50~130cm</w:t>
      </w:r>
      <w:r>
        <w:rPr>
          <w:rFonts w:cs="Times New Roman"/>
          <w:sz w:val="24"/>
          <w:szCs w:val="24"/>
        </w:rPr>
        <w:t>。除白茅灌草丛外，评价区还可见的灌草丛还有小蓬草（</w:t>
      </w:r>
      <w:r>
        <w:rPr>
          <w:rFonts w:cs="Times New Roman"/>
          <w:i/>
          <w:sz w:val="24"/>
          <w:szCs w:val="24"/>
        </w:rPr>
        <w:t>Conyza canadensis</w:t>
      </w:r>
      <w:r>
        <w:rPr>
          <w:rFonts w:cs="Times New Roman"/>
          <w:sz w:val="24"/>
          <w:szCs w:val="24"/>
        </w:rPr>
        <w:t>）、白花鬼针草（</w:t>
      </w:r>
      <w:r>
        <w:rPr>
          <w:rFonts w:cs="Times New Roman"/>
          <w:i/>
          <w:sz w:val="24"/>
          <w:szCs w:val="24"/>
        </w:rPr>
        <w:t>Bidens pilosa var. radiata</w:t>
      </w:r>
      <w:r>
        <w:rPr>
          <w:rFonts w:cs="Times New Roman"/>
          <w:sz w:val="24"/>
          <w:szCs w:val="24"/>
        </w:rPr>
        <w:t>）、斑茅（</w:t>
      </w:r>
      <w:r>
        <w:rPr>
          <w:rFonts w:cs="Times New Roman"/>
          <w:i/>
          <w:sz w:val="24"/>
          <w:szCs w:val="24"/>
        </w:rPr>
        <w:t>Saccharum arundinaceum</w:t>
      </w:r>
      <w:r>
        <w:rPr>
          <w:rFonts w:cs="Times New Roman"/>
          <w:sz w:val="24"/>
          <w:szCs w:val="24"/>
        </w:rPr>
        <w:t>）、芒（</w:t>
      </w:r>
      <w:r>
        <w:rPr>
          <w:rFonts w:cs="Times New Roman"/>
          <w:i/>
          <w:sz w:val="24"/>
          <w:szCs w:val="24"/>
        </w:rPr>
        <w:t>Miscanthus sinensis</w:t>
      </w:r>
      <w:r>
        <w:rPr>
          <w:rFonts w:cs="Times New Roman"/>
          <w:sz w:val="24"/>
          <w:szCs w:val="24"/>
        </w:rPr>
        <w:t>）、芒萁（</w:t>
      </w:r>
      <w:r>
        <w:rPr>
          <w:rFonts w:cs="Times New Roman"/>
          <w:i/>
          <w:sz w:val="24"/>
          <w:szCs w:val="24"/>
        </w:rPr>
        <w:t>Dicranopteris dichotoma</w:t>
      </w:r>
      <w:r>
        <w:rPr>
          <w:rFonts w:cs="Times New Roman"/>
          <w:sz w:val="24"/>
          <w:szCs w:val="24"/>
        </w:rPr>
        <w:t>）等，这些草丛多分布于河床、耕地地缘和树林及道路边。</w:t>
      </w:r>
    </w:p>
    <w:p w14:paraId="22844044" w14:textId="77777777" w:rsidR="007D1E74" w:rsidRDefault="00A95641">
      <w:pPr>
        <w:spacing w:line="360" w:lineRule="auto"/>
        <w:ind w:firstLineChars="200" w:firstLine="482"/>
        <w:rPr>
          <w:rFonts w:cs="Times New Roman"/>
          <w:b/>
          <w:sz w:val="24"/>
          <w:szCs w:val="24"/>
        </w:rPr>
      </w:pPr>
      <w:r>
        <w:rPr>
          <w:rFonts w:cs="Times New Roman"/>
          <w:b/>
          <w:sz w:val="24"/>
          <w:szCs w:val="24"/>
        </w:rPr>
        <w:t>芒灌草丛（</w:t>
      </w:r>
      <w:r>
        <w:rPr>
          <w:rFonts w:cs="Times New Roman"/>
          <w:b/>
          <w:sz w:val="24"/>
          <w:szCs w:val="24"/>
        </w:rPr>
        <w:t xml:space="preserve">Form. </w:t>
      </w:r>
      <w:r>
        <w:rPr>
          <w:rFonts w:cs="Times New Roman"/>
          <w:b/>
          <w:i/>
          <w:sz w:val="24"/>
          <w:szCs w:val="24"/>
        </w:rPr>
        <w:t>Imperata koenigii</w:t>
      </w:r>
      <w:r>
        <w:rPr>
          <w:rFonts w:cs="Times New Roman"/>
          <w:b/>
          <w:sz w:val="24"/>
          <w:szCs w:val="24"/>
        </w:rPr>
        <w:t>）</w:t>
      </w:r>
    </w:p>
    <w:p w14:paraId="46A225D4" w14:textId="77777777" w:rsidR="007D1E74" w:rsidRDefault="00A95641">
      <w:pPr>
        <w:spacing w:line="360" w:lineRule="auto"/>
        <w:ind w:firstLineChars="200" w:firstLine="480"/>
        <w:rPr>
          <w:sz w:val="24"/>
          <w:szCs w:val="24"/>
        </w:rPr>
      </w:pPr>
      <w:r>
        <w:rPr>
          <w:rFonts w:hint="eastAsia"/>
          <w:sz w:val="24"/>
          <w:szCs w:val="24"/>
        </w:rPr>
        <w:t>该草丛是以芒为优势种的高草草丛。主要见分布马尾松林、柏木林、耕地边缘地带，群落盖度最高可达</w:t>
      </w:r>
      <w:r>
        <w:rPr>
          <w:rFonts w:hint="eastAsia"/>
          <w:sz w:val="24"/>
          <w:szCs w:val="24"/>
        </w:rPr>
        <w:t>100%</w:t>
      </w:r>
      <w:r>
        <w:rPr>
          <w:rFonts w:hint="eastAsia"/>
          <w:sz w:val="24"/>
          <w:szCs w:val="24"/>
        </w:rPr>
        <w:t>，草丛一般为次生生长而成的。该地区土壤多为红色沙岩和沙泥岩风化后形成的土壤，土质较为贫瘠。现在由于生产方式的多样化，农民已不再完全依靠粮食生产为生，许多肥力差的土地就首先被遗弃，从而形成此类灌草丛。芒一般高度在</w:t>
      </w:r>
      <w:r>
        <w:rPr>
          <w:rFonts w:hint="eastAsia"/>
          <w:sz w:val="24"/>
          <w:szCs w:val="24"/>
        </w:rPr>
        <w:t>1.5~2.4m</w:t>
      </w:r>
      <w:r>
        <w:rPr>
          <w:rFonts w:hint="eastAsia"/>
          <w:sz w:val="24"/>
          <w:szCs w:val="24"/>
        </w:rPr>
        <w:t>，物种十分单一，几乎无其它物种伴生。</w:t>
      </w:r>
    </w:p>
    <w:p w14:paraId="55920789" w14:textId="77777777" w:rsidR="007D1E74" w:rsidRDefault="00A95641">
      <w:pPr>
        <w:spacing w:line="360" w:lineRule="auto"/>
        <w:ind w:firstLineChars="200" w:firstLine="482"/>
        <w:rPr>
          <w:rFonts w:cs="Times New Roman"/>
          <w:b/>
          <w:sz w:val="24"/>
          <w:szCs w:val="24"/>
        </w:rPr>
      </w:pPr>
      <w:r>
        <w:rPr>
          <w:rFonts w:cs="Times New Roman"/>
          <w:b/>
          <w:sz w:val="24"/>
          <w:szCs w:val="24"/>
        </w:rPr>
        <w:t>蒿灌草丛（</w:t>
      </w:r>
      <w:r>
        <w:rPr>
          <w:rFonts w:cs="Times New Roman"/>
          <w:b/>
          <w:sz w:val="24"/>
          <w:szCs w:val="24"/>
        </w:rPr>
        <w:t xml:space="preserve">Form. </w:t>
      </w:r>
      <w:r>
        <w:rPr>
          <w:rFonts w:cs="Times New Roman"/>
          <w:b/>
          <w:i/>
          <w:sz w:val="24"/>
          <w:szCs w:val="24"/>
        </w:rPr>
        <w:t>Artemisia spp.</w:t>
      </w:r>
      <w:r>
        <w:rPr>
          <w:rFonts w:cs="Times New Roman"/>
          <w:b/>
          <w:sz w:val="24"/>
          <w:szCs w:val="24"/>
        </w:rPr>
        <w:t>）</w:t>
      </w:r>
    </w:p>
    <w:p w14:paraId="5E380496" w14:textId="77777777" w:rsidR="007D1E74" w:rsidRDefault="00A95641">
      <w:pPr>
        <w:spacing w:line="360" w:lineRule="auto"/>
        <w:ind w:firstLineChars="200" w:firstLine="480"/>
        <w:rPr>
          <w:sz w:val="24"/>
          <w:szCs w:val="24"/>
        </w:rPr>
      </w:pPr>
      <w:r>
        <w:rPr>
          <w:rFonts w:hint="eastAsia"/>
          <w:sz w:val="24"/>
          <w:szCs w:val="24"/>
        </w:rPr>
        <w:t>评价区的耕地、村道等边缘生长有蒿灌草丛，蒿属植物主要有黄花蒿</w:t>
      </w:r>
      <w:r>
        <w:rPr>
          <w:rFonts w:hint="eastAsia"/>
          <w:sz w:val="24"/>
          <w:szCs w:val="24"/>
        </w:rPr>
        <w:t>(</w:t>
      </w:r>
      <w:r>
        <w:rPr>
          <w:rFonts w:hint="eastAsia"/>
          <w:i/>
          <w:sz w:val="24"/>
          <w:szCs w:val="24"/>
        </w:rPr>
        <w:t>Artemisia annua</w:t>
      </w:r>
      <w:r>
        <w:rPr>
          <w:rFonts w:hint="eastAsia"/>
          <w:sz w:val="24"/>
          <w:szCs w:val="24"/>
        </w:rPr>
        <w:t>)</w:t>
      </w:r>
      <w:r>
        <w:rPr>
          <w:rFonts w:hint="eastAsia"/>
          <w:sz w:val="24"/>
          <w:szCs w:val="24"/>
        </w:rPr>
        <w:t>、白苞蒿</w:t>
      </w:r>
      <w:r>
        <w:rPr>
          <w:rFonts w:hint="eastAsia"/>
          <w:sz w:val="24"/>
          <w:szCs w:val="24"/>
        </w:rPr>
        <w:t>(</w:t>
      </w:r>
      <w:r>
        <w:rPr>
          <w:rFonts w:hint="eastAsia"/>
          <w:i/>
          <w:sz w:val="24"/>
          <w:szCs w:val="24"/>
        </w:rPr>
        <w:t>Artemisia lactiflora</w:t>
      </w:r>
      <w:r>
        <w:rPr>
          <w:rFonts w:hint="eastAsia"/>
          <w:sz w:val="24"/>
          <w:szCs w:val="24"/>
        </w:rPr>
        <w:t>)</w:t>
      </w:r>
      <w:r>
        <w:rPr>
          <w:rFonts w:hint="eastAsia"/>
          <w:sz w:val="24"/>
          <w:szCs w:val="24"/>
        </w:rPr>
        <w:t>、魁蒿</w:t>
      </w:r>
      <w:r>
        <w:rPr>
          <w:rFonts w:hint="eastAsia"/>
          <w:sz w:val="24"/>
          <w:szCs w:val="24"/>
        </w:rPr>
        <w:t>(</w:t>
      </w:r>
      <w:r>
        <w:rPr>
          <w:rFonts w:hint="eastAsia"/>
          <w:i/>
          <w:sz w:val="24"/>
          <w:szCs w:val="24"/>
        </w:rPr>
        <w:t>Artemisia princeps</w:t>
      </w:r>
      <w:r>
        <w:rPr>
          <w:rFonts w:hint="eastAsia"/>
          <w:sz w:val="24"/>
          <w:szCs w:val="24"/>
        </w:rPr>
        <w:t>)</w:t>
      </w:r>
      <w:r>
        <w:rPr>
          <w:rFonts w:hint="eastAsia"/>
          <w:sz w:val="24"/>
          <w:szCs w:val="24"/>
        </w:rPr>
        <w:t>、野艾蒿</w:t>
      </w:r>
      <w:r>
        <w:rPr>
          <w:rFonts w:hint="eastAsia"/>
          <w:sz w:val="24"/>
          <w:szCs w:val="24"/>
        </w:rPr>
        <w:t>(</w:t>
      </w:r>
      <w:r>
        <w:rPr>
          <w:rFonts w:hint="eastAsia"/>
          <w:i/>
          <w:sz w:val="24"/>
          <w:szCs w:val="24"/>
        </w:rPr>
        <w:t>Artemisia lavandulaefolia</w:t>
      </w:r>
      <w:r>
        <w:rPr>
          <w:rFonts w:hint="eastAsia"/>
          <w:sz w:val="24"/>
          <w:szCs w:val="24"/>
        </w:rPr>
        <w:t>)</w:t>
      </w:r>
      <w:r>
        <w:rPr>
          <w:rFonts w:hint="eastAsia"/>
          <w:sz w:val="24"/>
          <w:szCs w:val="24"/>
        </w:rPr>
        <w:t>等，伴生植物中数量较多的有小蓬草（即小白酒草</w:t>
      </w:r>
      <w:r>
        <w:rPr>
          <w:rFonts w:hint="eastAsia"/>
          <w:i/>
          <w:sz w:val="24"/>
          <w:szCs w:val="24"/>
        </w:rPr>
        <w:t>Conyza canadensis</w:t>
      </w:r>
      <w:r>
        <w:rPr>
          <w:rFonts w:hint="eastAsia"/>
          <w:sz w:val="24"/>
          <w:szCs w:val="24"/>
        </w:rPr>
        <w:t>）、白花鬼针草（</w:t>
      </w:r>
      <w:r>
        <w:rPr>
          <w:rFonts w:hint="eastAsia"/>
          <w:i/>
          <w:sz w:val="24"/>
          <w:szCs w:val="24"/>
        </w:rPr>
        <w:t>Bidens pilosa var. radiata</w:t>
      </w:r>
      <w:r>
        <w:rPr>
          <w:rFonts w:hint="eastAsia"/>
          <w:sz w:val="24"/>
          <w:szCs w:val="24"/>
        </w:rPr>
        <w:t>）、钻叶紫菀</w:t>
      </w:r>
      <w:r>
        <w:rPr>
          <w:rFonts w:hint="eastAsia"/>
          <w:sz w:val="24"/>
          <w:szCs w:val="24"/>
        </w:rPr>
        <w:t>(</w:t>
      </w:r>
      <w:r>
        <w:rPr>
          <w:rFonts w:hint="eastAsia"/>
          <w:i/>
          <w:sz w:val="24"/>
          <w:szCs w:val="24"/>
        </w:rPr>
        <w:t>Aster subulatus</w:t>
      </w:r>
      <w:r>
        <w:rPr>
          <w:rFonts w:hint="eastAsia"/>
          <w:sz w:val="24"/>
          <w:szCs w:val="24"/>
        </w:rPr>
        <w:t>)</w:t>
      </w:r>
      <w:r>
        <w:rPr>
          <w:rFonts w:hint="eastAsia"/>
          <w:sz w:val="24"/>
          <w:szCs w:val="24"/>
        </w:rPr>
        <w:t>、马兰</w:t>
      </w:r>
      <w:r>
        <w:rPr>
          <w:rFonts w:hint="eastAsia"/>
          <w:sz w:val="24"/>
          <w:szCs w:val="24"/>
        </w:rPr>
        <w:t>(</w:t>
      </w:r>
      <w:r>
        <w:rPr>
          <w:rFonts w:hint="eastAsia"/>
          <w:i/>
          <w:sz w:val="24"/>
          <w:szCs w:val="24"/>
        </w:rPr>
        <w:t>Kalimeris indica</w:t>
      </w:r>
      <w:r>
        <w:rPr>
          <w:rFonts w:hint="eastAsia"/>
          <w:sz w:val="24"/>
          <w:szCs w:val="24"/>
        </w:rPr>
        <w:t>)</w:t>
      </w:r>
      <w:r>
        <w:rPr>
          <w:rFonts w:hint="eastAsia"/>
          <w:sz w:val="24"/>
          <w:szCs w:val="24"/>
        </w:rPr>
        <w:t>等菊科植物和车前</w:t>
      </w:r>
      <w:r>
        <w:rPr>
          <w:rFonts w:hint="eastAsia"/>
          <w:sz w:val="24"/>
          <w:szCs w:val="24"/>
        </w:rPr>
        <w:t>(</w:t>
      </w:r>
      <w:r>
        <w:rPr>
          <w:rFonts w:hint="eastAsia"/>
          <w:i/>
          <w:sz w:val="24"/>
          <w:szCs w:val="24"/>
        </w:rPr>
        <w:t>Plantago asiatica</w:t>
      </w:r>
      <w:r>
        <w:rPr>
          <w:rFonts w:hint="eastAsia"/>
          <w:sz w:val="24"/>
          <w:szCs w:val="24"/>
        </w:rPr>
        <w:t>)</w:t>
      </w:r>
      <w:r>
        <w:rPr>
          <w:rFonts w:hint="eastAsia"/>
          <w:sz w:val="24"/>
          <w:szCs w:val="24"/>
        </w:rPr>
        <w:t>、夏枯草</w:t>
      </w:r>
      <w:r>
        <w:rPr>
          <w:rFonts w:hint="eastAsia"/>
          <w:sz w:val="24"/>
          <w:szCs w:val="24"/>
        </w:rPr>
        <w:t>(</w:t>
      </w:r>
      <w:r>
        <w:rPr>
          <w:rFonts w:hint="eastAsia"/>
          <w:i/>
          <w:sz w:val="24"/>
          <w:szCs w:val="24"/>
        </w:rPr>
        <w:t>Prunella vulgaris</w:t>
      </w:r>
      <w:r>
        <w:rPr>
          <w:rFonts w:hint="eastAsia"/>
          <w:sz w:val="24"/>
          <w:szCs w:val="24"/>
        </w:rPr>
        <w:t>)</w:t>
      </w:r>
      <w:r>
        <w:rPr>
          <w:rFonts w:hint="eastAsia"/>
          <w:sz w:val="24"/>
          <w:szCs w:val="24"/>
        </w:rPr>
        <w:t>、早熟禾</w:t>
      </w:r>
      <w:r>
        <w:rPr>
          <w:rFonts w:hint="eastAsia"/>
          <w:sz w:val="24"/>
          <w:szCs w:val="24"/>
        </w:rPr>
        <w:t>(</w:t>
      </w:r>
      <w:r>
        <w:rPr>
          <w:rFonts w:hint="eastAsia"/>
          <w:i/>
          <w:sz w:val="24"/>
          <w:szCs w:val="24"/>
        </w:rPr>
        <w:t>Poa annua</w:t>
      </w:r>
      <w:r>
        <w:rPr>
          <w:rFonts w:hint="eastAsia"/>
          <w:sz w:val="24"/>
          <w:szCs w:val="24"/>
        </w:rPr>
        <w:t>)</w:t>
      </w:r>
      <w:r>
        <w:rPr>
          <w:rFonts w:hint="eastAsia"/>
          <w:sz w:val="24"/>
          <w:szCs w:val="24"/>
        </w:rPr>
        <w:t>、白茅、打破碗花花等。蒿灌草丛高度通常在</w:t>
      </w:r>
      <w:r>
        <w:rPr>
          <w:rFonts w:hint="eastAsia"/>
          <w:sz w:val="24"/>
          <w:szCs w:val="24"/>
        </w:rPr>
        <w:t>0.5~1.4m</w:t>
      </w:r>
      <w:r>
        <w:rPr>
          <w:rFonts w:hint="eastAsia"/>
          <w:sz w:val="24"/>
          <w:szCs w:val="24"/>
        </w:rPr>
        <w:t>之间，但黄花蒿和魁蒿有时可长到</w:t>
      </w:r>
      <w:r>
        <w:rPr>
          <w:rFonts w:hint="eastAsia"/>
          <w:sz w:val="24"/>
          <w:szCs w:val="24"/>
        </w:rPr>
        <w:t>2m</w:t>
      </w:r>
      <w:r>
        <w:rPr>
          <w:rFonts w:hint="eastAsia"/>
          <w:sz w:val="24"/>
          <w:szCs w:val="24"/>
        </w:rPr>
        <w:t>以上，总盖度介于</w:t>
      </w:r>
      <w:r>
        <w:rPr>
          <w:rFonts w:hint="eastAsia"/>
          <w:sz w:val="24"/>
          <w:szCs w:val="24"/>
        </w:rPr>
        <w:t xml:space="preserve"> 70~90%</w:t>
      </w:r>
      <w:r>
        <w:rPr>
          <w:rFonts w:hint="eastAsia"/>
          <w:sz w:val="24"/>
          <w:szCs w:val="24"/>
        </w:rPr>
        <w:t>。蒿灌草丛属人为破坏原生环境后迅速自然长成的植被，由于评价区内气候温暖湿润，适合蒿类生长，因此多处人为裸地可迅速变成蒿灌草丛构建的速生植被群落。</w:t>
      </w:r>
    </w:p>
    <w:p w14:paraId="2614C4F6" w14:textId="77777777" w:rsidR="007D1E74" w:rsidRDefault="00A95641">
      <w:pPr>
        <w:spacing w:line="360" w:lineRule="auto"/>
        <w:ind w:firstLineChars="200" w:firstLine="482"/>
        <w:rPr>
          <w:rFonts w:cs="Times New Roman"/>
          <w:b/>
          <w:sz w:val="24"/>
          <w:szCs w:val="24"/>
        </w:rPr>
      </w:pPr>
      <w:r>
        <w:rPr>
          <w:rFonts w:hint="eastAsia"/>
          <w:b/>
          <w:sz w:val="24"/>
          <w:szCs w:val="24"/>
        </w:rPr>
        <w:lastRenderedPageBreak/>
        <w:t>小蓬草灌草丛（</w:t>
      </w:r>
      <w:r>
        <w:rPr>
          <w:rFonts w:hint="eastAsia"/>
          <w:b/>
          <w:sz w:val="24"/>
          <w:szCs w:val="24"/>
        </w:rPr>
        <w:t xml:space="preserve">Form. </w:t>
      </w:r>
      <w:r>
        <w:rPr>
          <w:rFonts w:hint="eastAsia"/>
          <w:b/>
          <w:i/>
          <w:sz w:val="24"/>
          <w:szCs w:val="24"/>
        </w:rPr>
        <w:t>Conyza canadensis</w:t>
      </w:r>
      <w:r>
        <w:rPr>
          <w:rFonts w:hint="eastAsia"/>
          <w:b/>
          <w:sz w:val="24"/>
          <w:szCs w:val="24"/>
        </w:rPr>
        <w:t>）</w:t>
      </w:r>
    </w:p>
    <w:p w14:paraId="05D4DC60" w14:textId="77777777" w:rsidR="007D1E74" w:rsidRDefault="00A95641">
      <w:pPr>
        <w:spacing w:line="360" w:lineRule="auto"/>
        <w:ind w:firstLineChars="200" w:firstLine="480"/>
        <w:rPr>
          <w:sz w:val="24"/>
          <w:szCs w:val="24"/>
        </w:rPr>
      </w:pPr>
      <w:r>
        <w:rPr>
          <w:rFonts w:hint="eastAsia"/>
          <w:sz w:val="24"/>
          <w:szCs w:val="24"/>
        </w:rPr>
        <w:t>评价区的耕地、村道等边缘也生长有小蓬草灌草丛，小蓬草也叫小白酒草，其它伴生的草本植物还有蒿、白花鬼针草、钻叶紫菀等菊科植物和车前、夏枯草、早熟禾、白茅、打破碗花花等。小蓬草灌草丛高度通常在</w:t>
      </w:r>
      <w:r>
        <w:rPr>
          <w:rFonts w:hint="eastAsia"/>
          <w:sz w:val="24"/>
          <w:szCs w:val="24"/>
        </w:rPr>
        <w:t xml:space="preserve"> 1.0~2.0m</w:t>
      </w:r>
      <w:r>
        <w:rPr>
          <w:rFonts w:hint="eastAsia"/>
          <w:sz w:val="24"/>
          <w:szCs w:val="24"/>
        </w:rPr>
        <w:t>之间，但有时可长到</w:t>
      </w:r>
      <w:r>
        <w:rPr>
          <w:rFonts w:hint="eastAsia"/>
          <w:sz w:val="24"/>
          <w:szCs w:val="24"/>
        </w:rPr>
        <w:t>2m</w:t>
      </w:r>
      <w:r>
        <w:rPr>
          <w:rFonts w:hint="eastAsia"/>
          <w:sz w:val="24"/>
          <w:szCs w:val="24"/>
        </w:rPr>
        <w:t>以上，总盖度介于</w:t>
      </w:r>
      <w:r>
        <w:rPr>
          <w:rFonts w:hint="eastAsia"/>
          <w:sz w:val="24"/>
          <w:szCs w:val="24"/>
        </w:rPr>
        <w:t>70~90%</w:t>
      </w:r>
      <w:r>
        <w:rPr>
          <w:rFonts w:hint="eastAsia"/>
          <w:sz w:val="24"/>
          <w:szCs w:val="24"/>
        </w:rPr>
        <w:t>。小蓬草灌草丛属人为破坏原生环境后迅速自然长成的植被，由于评价区内气候温暖湿润，也适合小蓬草生长，因此多处人为裸地也可迅速变成小蓬草灌草丛构建的速生植被群落。</w:t>
      </w:r>
    </w:p>
    <w:p w14:paraId="5216FB88" w14:textId="77777777" w:rsidR="007D1E74" w:rsidRDefault="00A95641">
      <w:pPr>
        <w:spacing w:line="360" w:lineRule="auto"/>
        <w:ind w:firstLineChars="200" w:firstLine="480"/>
        <w:rPr>
          <w:sz w:val="24"/>
          <w:szCs w:val="24"/>
        </w:rPr>
      </w:pPr>
      <w:r>
        <w:rPr>
          <w:rFonts w:hint="eastAsia"/>
          <w:sz w:val="24"/>
          <w:szCs w:val="24"/>
        </w:rPr>
        <w:t>评价区内还分布有由白花鬼针草、打破碗花花等构建的杂草灌草丛，但单块面积很小，多在</w:t>
      </w:r>
      <w:r>
        <w:rPr>
          <w:rFonts w:hint="eastAsia"/>
          <w:sz w:val="24"/>
          <w:szCs w:val="24"/>
        </w:rPr>
        <w:t>1m</w:t>
      </w:r>
      <w:r>
        <w:rPr>
          <w:rFonts w:hint="eastAsia"/>
          <w:sz w:val="24"/>
          <w:szCs w:val="24"/>
          <w:vertAlign w:val="superscript"/>
        </w:rPr>
        <w:t>2</w:t>
      </w:r>
      <w:r>
        <w:rPr>
          <w:rFonts w:hint="eastAsia"/>
          <w:sz w:val="24"/>
          <w:szCs w:val="24"/>
        </w:rPr>
        <w:t>以下。</w:t>
      </w:r>
    </w:p>
    <w:p w14:paraId="56BC7422" w14:textId="77777777" w:rsidR="007D1E74" w:rsidRDefault="00A95641">
      <w:pPr>
        <w:spacing w:line="360" w:lineRule="auto"/>
        <w:ind w:firstLineChars="200" w:firstLine="482"/>
        <w:rPr>
          <w:b/>
          <w:sz w:val="24"/>
          <w:szCs w:val="24"/>
        </w:rPr>
      </w:pPr>
      <w:r>
        <w:rPr>
          <w:rFonts w:hint="eastAsia"/>
          <w:b/>
          <w:sz w:val="24"/>
          <w:szCs w:val="24"/>
        </w:rPr>
        <w:t>蕨灌草丛（</w:t>
      </w:r>
      <w:r>
        <w:rPr>
          <w:rFonts w:hint="eastAsia"/>
          <w:b/>
          <w:sz w:val="24"/>
          <w:szCs w:val="24"/>
        </w:rPr>
        <w:t xml:space="preserve">Form. </w:t>
      </w:r>
      <w:r>
        <w:rPr>
          <w:rFonts w:hint="eastAsia"/>
          <w:b/>
          <w:i/>
          <w:sz w:val="24"/>
          <w:szCs w:val="24"/>
        </w:rPr>
        <w:t>Pteridium aquilinum var. latiusculum</w:t>
      </w:r>
      <w:r>
        <w:rPr>
          <w:rFonts w:hint="eastAsia"/>
          <w:b/>
          <w:sz w:val="24"/>
          <w:szCs w:val="24"/>
        </w:rPr>
        <w:t>）</w:t>
      </w:r>
    </w:p>
    <w:p w14:paraId="16C0337E" w14:textId="77777777" w:rsidR="007D1E74" w:rsidRDefault="00A95641">
      <w:pPr>
        <w:spacing w:line="360" w:lineRule="auto"/>
        <w:ind w:firstLineChars="200" w:firstLine="480"/>
        <w:rPr>
          <w:sz w:val="24"/>
          <w:szCs w:val="24"/>
        </w:rPr>
      </w:pPr>
      <w:r>
        <w:rPr>
          <w:rFonts w:hint="eastAsia"/>
          <w:sz w:val="24"/>
          <w:szCs w:val="24"/>
        </w:rPr>
        <w:t>蕨灌草丛分布于评价区内的山地酸性土壤，常见于乔木林林缘和耕地边。草本层高</w:t>
      </w:r>
      <w:r>
        <w:rPr>
          <w:rFonts w:hint="eastAsia"/>
          <w:sz w:val="24"/>
          <w:szCs w:val="24"/>
        </w:rPr>
        <w:t>65~135cm</w:t>
      </w:r>
      <w:r>
        <w:rPr>
          <w:rFonts w:hint="eastAsia"/>
          <w:sz w:val="24"/>
          <w:szCs w:val="24"/>
        </w:rPr>
        <w:t>，盖度在</w:t>
      </w:r>
      <w:r>
        <w:rPr>
          <w:rFonts w:hint="eastAsia"/>
          <w:sz w:val="24"/>
          <w:szCs w:val="24"/>
        </w:rPr>
        <w:t>55~95%</w:t>
      </w:r>
      <w:r>
        <w:rPr>
          <w:rFonts w:hint="eastAsia"/>
          <w:sz w:val="24"/>
          <w:szCs w:val="24"/>
        </w:rPr>
        <w:t>之间。其主要伴生物种有海金沙（</w:t>
      </w:r>
      <w:r>
        <w:rPr>
          <w:rFonts w:hint="eastAsia"/>
          <w:i/>
          <w:sz w:val="24"/>
          <w:szCs w:val="24"/>
        </w:rPr>
        <w:t>Lygodium japonicum</w:t>
      </w:r>
      <w:r>
        <w:rPr>
          <w:rFonts w:hint="eastAsia"/>
          <w:sz w:val="24"/>
          <w:szCs w:val="24"/>
        </w:rPr>
        <w:t>）、蝴蝶花（</w:t>
      </w:r>
      <w:r>
        <w:rPr>
          <w:rFonts w:hint="eastAsia"/>
          <w:i/>
          <w:sz w:val="24"/>
          <w:szCs w:val="24"/>
        </w:rPr>
        <w:t>Iris japonica</w:t>
      </w:r>
      <w:r>
        <w:rPr>
          <w:rFonts w:hint="eastAsia"/>
          <w:sz w:val="24"/>
          <w:szCs w:val="24"/>
        </w:rPr>
        <w:t>）、芒、白茅、蒿等。地被层未见有植物生长。</w:t>
      </w:r>
    </w:p>
    <w:p w14:paraId="668414E7" w14:textId="77777777" w:rsidR="007D1E74" w:rsidRDefault="00A95641">
      <w:pPr>
        <w:spacing w:line="360" w:lineRule="auto"/>
        <w:ind w:firstLineChars="200" w:firstLine="482"/>
        <w:rPr>
          <w:rFonts w:cs="Times New Roman"/>
          <w:b/>
          <w:sz w:val="24"/>
          <w:szCs w:val="24"/>
        </w:rPr>
      </w:pPr>
      <w:r>
        <w:rPr>
          <w:rFonts w:cs="Times New Roman"/>
          <w:b/>
          <w:sz w:val="24"/>
          <w:szCs w:val="24"/>
        </w:rPr>
        <w:t>芒萁灌草丛（</w:t>
      </w:r>
      <w:r>
        <w:rPr>
          <w:rFonts w:cs="Times New Roman"/>
          <w:b/>
          <w:sz w:val="24"/>
          <w:szCs w:val="24"/>
        </w:rPr>
        <w:t xml:space="preserve">Form. </w:t>
      </w:r>
      <w:r>
        <w:rPr>
          <w:rFonts w:cs="Times New Roman"/>
          <w:b/>
          <w:i/>
          <w:sz w:val="24"/>
          <w:szCs w:val="24"/>
        </w:rPr>
        <w:t>Dicranopteris dichotoma</w:t>
      </w:r>
      <w:r>
        <w:rPr>
          <w:rFonts w:cs="Times New Roman"/>
          <w:b/>
          <w:sz w:val="24"/>
          <w:szCs w:val="24"/>
        </w:rPr>
        <w:t>）</w:t>
      </w:r>
    </w:p>
    <w:p w14:paraId="7422E198" w14:textId="77777777" w:rsidR="007D1E74" w:rsidRDefault="00A95641">
      <w:pPr>
        <w:spacing w:line="360" w:lineRule="auto"/>
        <w:ind w:firstLineChars="200" w:firstLine="480"/>
        <w:rPr>
          <w:sz w:val="24"/>
          <w:szCs w:val="24"/>
        </w:rPr>
      </w:pPr>
      <w:r>
        <w:rPr>
          <w:rFonts w:hint="eastAsia"/>
          <w:sz w:val="24"/>
          <w:szCs w:val="24"/>
        </w:rPr>
        <w:t>芒萁灌草丛也分布于评价区内的山地酸性土壤，只见于针叶林林下和林缘。草丛高</w:t>
      </w:r>
      <w:r>
        <w:rPr>
          <w:rFonts w:hint="eastAsia"/>
          <w:sz w:val="24"/>
          <w:szCs w:val="24"/>
        </w:rPr>
        <w:t xml:space="preserve"> 35~65cm</w:t>
      </w:r>
      <w:r>
        <w:rPr>
          <w:rFonts w:hint="eastAsia"/>
          <w:sz w:val="24"/>
          <w:szCs w:val="24"/>
        </w:rPr>
        <w:t>，盖度在</w:t>
      </w:r>
      <w:r>
        <w:rPr>
          <w:rFonts w:hint="eastAsia"/>
          <w:sz w:val="24"/>
          <w:szCs w:val="24"/>
        </w:rPr>
        <w:t>55~90%</w:t>
      </w:r>
      <w:r>
        <w:rPr>
          <w:rFonts w:hint="eastAsia"/>
          <w:sz w:val="24"/>
          <w:szCs w:val="24"/>
        </w:rPr>
        <w:t>之间。其主要伴生物种有海金沙、芒、白茅、蒿、蝴蝶花等以及少量低矮的灌木种类。地被层未见有植物生长。</w:t>
      </w:r>
    </w:p>
    <w:p w14:paraId="793571D6" w14:textId="77777777" w:rsidR="007D1E74" w:rsidRDefault="00A95641">
      <w:pPr>
        <w:spacing w:line="360" w:lineRule="auto"/>
        <w:ind w:firstLineChars="200" w:firstLine="482"/>
        <w:rPr>
          <w:b/>
          <w:sz w:val="24"/>
          <w:szCs w:val="24"/>
        </w:rPr>
      </w:pPr>
      <w:r>
        <w:rPr>
          <w:rFonts w:hint="eastAsia"/>
          <w:b/>
          <w:sz w:val="24"/>
          <w:szCs w:val="24"/>
        </w:rPr>
        <w:t>②栽培植被</w:t>
      </w:r>
    </w:p>
    <w:p w14:paraId="125D150F" w14:textId="77777777" w:rsidR="007D1E74" w:rsidRDefault="00A95641">
      <w:pPr>
        <w:spacing w:line="360" w:lineRule="auto"/>
        <w:ind w:firstLineChars="200" w:firstLine="482"/>
        <w:rPr>
          <w:b/>
          <w:sz w:val="24"/>
          <w:szCs w:val="24"/>
        </w:rPr>
      </w:pPr>
      <w:r>
        <w:rPr>
          <w:rFonts w:ascii="Cambria Math" w:hAnsi="Cambria Math" w:cs="Cambria Math" w:hint="eastAsia"/>
          <w:b/>
          <w:sz w:val="24"/>
          <w:szCs w:val="24"/>
        </w:rPr>
        <w:t>一年两熟水田作物组合型</w:t>
      </w:r>
    </w:p>
    <w:p w14:paraId="17FD8CBC" w14:textId="77777777" w:rsidR="007D1E74" w:rsidRDefault="00A95641">
      <w:pPr>
        <w:spacing w:line="360" w:lineRule="auto"/>
        <w:ind w:firstLineChars="200" w:firstLine="480"/>
        <w:rPr>
          <w:sz w:val="24"/>
          <w:szCs w:val="24"/>
        </w:rPr>
      </w:pPr>
      <w:r>
        <w:rPr>
          <w:rFonts w:hint="eastAsia"/>
          <w:sz w:val="24"/>
          <w:szCs w:val="24"/>
        </w:rPr>
        <w:t>水田是评价区内非常常见的栽培植被类型。由于评价区河谷地带气温适宜、年降雨丰富且河流众多、灌溉渠系发达，水田作物产量较高，为主要的粮食生产基地。评价区水田作物一年两熟，夏季种植水稻</w:t>
      </w:r>
      <w:r>
        <w:rPr>
          <w:rFonts w:hint="eastAsia"/>
          <w:sz w:val="24"/>
          <w:szCs w:val="24"/>
        </w:rPr>
        <w:t>(</w:t>
      </w:r>
      <w:r>
        <w:rPr>
          <w:rFonts w:hint="eastAsia"/>
          <w:i/>
          <w:sz w:val="24"/>
          <w:szCs w:val="24"/>
        </w:rPr>
        <w:t>Oryza sativa</w:t>
      </w:r>
      <w:r>
        <w:rPr>
          <w:rFonts w:hint="eastAsia"/>
          <w:sz w:val="24"/>
          <w:szCs w:val="24"/>
        </w:rPr>
        <w:t>)</w:t>
      </w:r>
      <w:r>
        <w:rPr>
          <w:rFonts w:hint="eastAsia"/>
          <w:sz w:val="24"/>
          <w:szCs w:val="24"/>
        </w:rPr>
        <w:t>、冬季种植小麦</w:t>
      </w:r>
      <w:r>
        <w:rPr>
          <w:rFonts w:hint="eastAsia"/>
          <w:sz w:val="24"/>
          <w:szCs w:val="24"/>
        </w:rPr>
        <w:t>(</w:t>
      </w:r>
      <w:r>
        <w:rPr>
          <w:rFonts w:hint="eastAsia"/>
          <w:i/>
          <w:sz w:val="24"/>
          <w:szCs w:val="24"/>
        </w:rPr>
        <w:t>Triticum aestivum</w:t>
      </w:r>
      <w:r>
        <w:rPr>
          <w:rFonts w:hint="eastAsia"/>
          <w:sz w:val="24"/>
          <w:szCs w:val="24"/>
        </w:rPr>
        <w:t>)</w:t>
      </w:r>
      <w:r>
        <w:rPr>
          <w:rFonts w:hint="eastAsia"/>
          <w:sz w:val="24"/>
          <w:szCs w:val="24"/>
        </w:rPr>
        <w:t>或油菜</w:t>
      </w:r>
      <w:r>
        <w:rPr>
          <w:rFonts w:hint="eastAsia"/>
          <w:sz w:val="24"/>
          <w:szCs w:val="24"/>
        </w:rPr>
        <w:t>(</w:t>
      </w:r>
      <w:r>
        <w:rPr>
          <w:rFonts w:hint="eastAsia"/>
          <w:i/>
          <w:sz w:val="24"/>
          <w:szCs w:val="24"/>
        </w:rPr>
        <w:t>Brassica campestris</w:t>
      </w:r>
      <w:r>
        <w:rPr>
          <w:rFonts w:hint="eastAsia"/>
          <w:sz w:val="24"/>
          <w:szCs w:val="24"/>
        </w:rPr>
        <w:t>)</w:t>
      </w:r>
      <w:r>
        <w:rPr>
          <w:rFonts w:hint="eastAsia"/>
          <w:sz w:val="24"/>
          <w:szCs w:val="24"/>
        </w:rPr>
        <w:t>，夏季一般在田埂上种植大豆</w:t>
      </w:r>
      <w:r>
        <w:rPr>
          <w:rFonts w:hint="eastAsia"/>
          <w:sz w:val="24"/>
          <w:szCs w:val="24"/>
        </w:rPr>
        <w:t>(</w:t>
      </w:r>
      <w:r>
        <w:rPr>
          <w:rFonts w:hint="eastAsia"/>
          <w:i/>
          <w:sz w:val="24"/>
          <w:szCs w:val="24"/>
        </w:rPr>
        <w:t>Glycine max</w:t>
      </w:r>
      <w:r>
        <w:rPr>
          <w:rFonts w:hint="eastAsia"/>
          <w:sz w:val="24"/>
          <w:szCs w:val="24"/>
        </w:rPr>
        <w:t>)</w:t>
      </w:r>
      <w:r>
        <w:rPr>
          <w:rFonts w:hint="eastAsia"/>
          <w:sz w:val="24"/>
          <w:szCs w:val="24"/>
        </w:rPr>
        <w:t>、冬季种植蚕豆</w:t>
      </w:r>
      <w:r>
        <w:rPr>
          <w:rFonts w:hint="eastAsia"/>
          <w:sz w:val="24"/>
          <w:szCs w:val="24"/>
        </w:rPr>
        <w:t>(</w:t>
      </w:r>
      <w:r>
        <w:rPr>
          <w:rFonts w:hint="eastAsia"/>
          <w:i/>
          <w:sz w:val="24"/>
          <w:szCs w:val="24"/>
        </w:rPr>
        <w:t>Vicia faba</w:t>
      </w:r>
      <w:r>
        <w:rPr>
          <w:rFonts w:hint="eastAsia"/>
          <w:sz w:val="24"/>
          <w:szCs w:val="24"/>
        </w:rPr>
        <w:t>)</w:t>
      </w:r>
      <w:r>
        <w:rPr>
          <w:rFonts w:hint="eastAsia"/>
          <w:sz w:val="24"/>
          <w:szCs w:val="24"/>
        </w:rPr>
        <w:t>以及一些蔬菜作物。</w:t>
      </w:r>
    </w:p>
    <w:p w14:paraId="750CC92F" w14:textId="77777777" w:rsidR="007D1E74" w:rsidRDefault="00A95641">
      <w:pPr>
        <w:spacing w:line="360" w:lineRule="auto"/>
        <w:ind w:firstLineChars="200" w:firstLine="482"/>
        <w:rPr>
          <w:b/>
          <w:sz w:val="24"/>
          <w:szCs w:val="24"/>
        </w:rPr>
      </w:pPr>
      <w:r>
        <w:rPr>
          <w:rFonts w:ascii="Cambria Math" w:hAnsi="Cambria Math" w:cs="Cambria Math" w:hint="eastAsia"/>
          <w:b/>
          <w:sz w:val="24"/>
          <w:szCs w:val="24"/>
        </w:rPr>
        <w:t>一年两熟旱地作物组合型</w:t>
      </w:r>
    </w:p>
    <w:p w14:paraId="068EF575" w14:textId="77777777" w:rsidR="007D1E74" w:rsidRDefault="00A95641">
      <w:pPr>
        <w:spacing w:line="360" w:lineRule="auto"/>
        <w:ind w:firstLineChars="200" w:firstLine="480"/>
        <w:rPr>
          <w:sz w:val="24"/>
          <w:szCs w:val="24"/>
        </w:rPr>
      </w:pPr>
      <w:r>
        <w:rPr>
          <w:rFonts w:hint="eastAsia"/>
          <w:sz w:val="24"/>
          <w:szCs w:val="24"/>
        </w:rPr>
        <w:t>旱地种植农作物以玉米</w:t>
      </w:r>
      <w:r>
        <w:rPr>
          <w:rFonts w:hint="eastAsia"/>
          <w:sz w:val="24"/>
          <w:szCs w:val="24"/>
        </w:rPr>
        <w:t>(</w:t>
      </w:r>
      <w:r>
        <w:rPr>
          <w:rFonts w:hint="eastAsia"/>
          <w:i/>
          <w:sz w:val="24"/>
          <w:szCs w:val="24"/>
        </w:rPr>
        <w:t>Zea mays</w:t>
      </w:r>
      <w:r>
        <w:rPr>
          <w:rFonts w:hint="eastAsia"/>
          <w:sz w:val="24"/>
          <w:szCs w:val="24"/>
        </w:rPr>
        <w:t>)</w:t>
      </w:r>
      <w:r>
        <w:rPr>
          <w:rFonts w:hint="eastAsia"/>
          <w:sz w:val="24"/>
          <w:szCs w:val="24"/>
        </w:rPr>
        <w:t>、油菜、冬小麦、番薯</w:t>
      </w:r>
      <w:r>
        <w:rPr>
          <w:rFonts w:hint="eastAsia"/>
          <w:sz w:val="24"/>
          <w:szCs w:val="24"/>
        </w:rPr>
        <w:t>(</w:t>
      </w:r>
      <w:r>
        <w:rPr>
          <w:rFonts w:hint="eastAsia"/>
          <w:i/>
          <w:sz w:val="24"/>
          <w:szCs w:val="24"/>
        </w:rPr>
        <w:t>Ipomoea batatas</w:t>
      </w:r>
      <w:r>
        <w:rPr>
          <w:rFonts w:hint="eastAsia"/>
          <w:sz w:val="24"/>
          <w:szCs w:val="24"/>
        </w:rPr>
        <w:t>)</w:t>
      </w:r>
      <w:r>
        <w:rPr>
          <w:rFonts w:hint="eastAsia"/>
          <w:sz w:val="24"/>
          <w:szCs w:val="24"/>
        </w:rPr>
        <w:t>、马铃薯</w:t>
      </w:r>
      <w:r>
        <w:rPr>
          <w:rFonts w:hint="eastAsia"/>
          <w:sz w:val="24"/>
          <w:szCs w:val="24"/>
        </w:rPr>
        <w:t>(</w:t>
      </w:r>
      <w:r>
        <w:rPr>
          <w:rFonts w:hint="eastAsia"/>
          <w:i/>
          <w:sz w:val="24"/>
          <w:szCs w:val="24"/>
        </w:rPr>
        <w:t>Solanum tuberosum</w:t>
      </w:r>
      <w:r>
        <w:rPr>
          <w:rFonts w:hint="eastAsia"/>
          <w:sz w:val="24"/>
          <w:szCs w:val="24"/>
        </w:rPr>
        <w:t>)</w:t>
      </w:r>
      <w:r>
        <w:rPr>
          <w:rFonts w:hint="eastAsia"/>
          <w:sz w:val="24"/>
          <w:szCs w:val="24"/>
        </w:rPr>
        <w:t>与豆类等为主。主要分布在评价区水源相对贫瘠地带，由于水源的限制，只能种植旱地作物，以玉米、油菜、冬小麦、马铃薯、番薯与大豆为主，基本轮作倒茬方式为冬春两季种植油菜、冬小麦、蚕豆、马铃薯，夏秋两季种植玉米、番薯、</w:t>
      </w:r>
      <w:r>
        <w:rPr>
          <w:rFonts w:hint="eastAsia"/>
          <w:sz w:val="24"/>
          <w:szCs w:val="24"/>
        </w:rPr>
        <w:lastRenderedPageBreak/>
        <w:t>豆类。近年来由于退耕还林政策的施行，农民在陡坡上退耕的旱地栽植上了桂花</w:t>
      </w:r>
      <w:r>
        <w:rPr>
          <w:rFonts w:hint="eastAsia"/>
          <w:sz w:val="24"/>
          <w:szCs w:val="24"/>
        </w:rPr>
        <w:t>(</w:t>
      </w:r>
      <w:r>
        <w:rPr>
          <w:rFonts w:hint="eastAsia"/>
          <w:i/>
          <w:sz w:val="24"/>
          <w:szCs w:val="24"/>
        </w:rPr>
        <w:t>Osmanthus fragrans</w:t>
      </w:r>
      <w:r>
        <w:rPr>
          <w:rFonts w:hint="eastAsia"/>
          <w:sz w:val="24"/>
          <w:szCs w:val="24"/>
        </w:rPr>
        <w:t>)</w:t>
      </w:r>
      <w:r>
        <w:rPr>
          <w:rFonts w:hint="eastAsia"/>
          <w:sz w:val="24"/>
          <w:szCs w:val="24"/>
        </w:rPr>
        <w:t>、香樟、黄葛树</w:t>
      </w:r>
      <w:r>
        <w:rPr>
          <w:rFonts w:hint="eastAsia"/>
          <w:sz w:val="24"/>
          <w:szCs w:val="24"/>
        </w:rPr>
        <w:t>(</w:t>
      </w:r>
      <w:r>
        <w:rPr>
          <w:rFonts w:hint="eastAsia"/>
          <w:i/>
          <w:sz w:val="24"/>
          <w:szCs w:val="24"/>
        </w:rPr>
        <w:t>Cinnamomum pedunculatum</w:t>
      </w:r>
      <w:r>
        <w:rPr>
          <w:rFonts w:hint="eastAsia"/>
          <w:sz w:val="24"/>
          <w:szCs w:val="24"/>
        </w:rPr>
        <w:t>)</w:t>
      </w:r>
      <w:r>
        <w:rPr>
          <w:rFonts w:hint="eastAsia"/>
          <w:sz w:val="24"/>
          <w:szCs w:val="24"/>
        </w:rPr>
        <w:t>等经济树种，林下草本长势非常稀疏。</w:t>
      </w:r>
    </w:p>
    <w:p w14:paraId="356B33D7" w14:textId="77777777" w:rsidR="007D1E74" w:rsidRDefault="00A95641">
      <w:pPr>
        <w:spacing w:line="360" w:lineRule="auto"/>
        <w:ind w:firstLineChars="200" w:firstLine="482"/>
        <w:rPr>
          <w:b/>
          <w:sz w:val="24"/>
          <w:szCs w:val="24"/>
        </w:rPr>
      </w:pPr>
      <w:r>
        <w:rPr>
          <w:rFonts w:ascii="Cambria Math" w:hAnsi="Cambria Math" w:cs="Cambria Math" w:hint="eastAsia"/>
          <w:b/>
          <w:sz w:val="24"/>
          <w:szCs w:val="24"/>
        </w:rPr>
        <w:t>园地经和济林</w:t>
      </w:r>
    </w:p>
    <w:p w14:paraId="6CB08AA1" w14:textId="77777777" w:rsidR="007D1E74" w:rsidRDefault="00A95641">
      <w:pPr>
        <w:spacing w:line="360" w:lineRule="auto"/>
        <w:ind w:firstLineChars="200" w:firstLine="480"/>
        <w:rPr>
          <w:sz w:val="24"/>
          <w:szCs w:val="24"/>
        </w:rPr>
      </w:pPr>
      <w:r>
        <w:rPr>
          <w:rFonts w:hint="eastAsia"/>
          <w:sz w:val="24"/>
          <w:szCs w:val="24"/>
        </w:rPr>
        <w:t>评价区内的靠近林地地势较陡峭的旱地大多肥力较差，农作物产量偏低。近年来随着水果与经济园林树种市场的需求和实施退耕还林政策，根据市场需求，当地农民将原有贫</w:t>
      </w:r>
      <w:r>
        <w:rPr>
          <w:rFonts w:hint="eastAsia"/>
          <w:sz w:val="24"/>
          <w:szCs w:val="24"/>
        </w:rPr>
        <w:t xml:space="preserve"> </w:t>
      </w:r>
      <w:r>
        <w:rPr>
          <w:rFonts w:hint="eastAsia"/>
          <w:sz w:val="24"/>
          <w:szCs w:val="24"/>
        </w:rPr>
        <w:t>瘠的坡耕地种上了桂花、黄葛树、小叶榕</w:t>
      </w:r>
      <w:r>
        <w:rPr>
          <w:rFonts w:hint="eastAsia"/>
          <w:sz w:val="24"/>
          <w:szCs w:val="24"/>
        </w:rPr>
        <w:t>(</w:t>
      </w:r>
      <w:r>
        <w:rPr>
          <w:rFonts w:hint="eastAsia"/>
          <w:i/>
          <w:sz w:val="24"/>
          <w:szCs w:val="24"/>
        </w:rPr>
        <w:t>Ficus microcarpa var. pusillifolia</w:t>
      </w:r>
      <w:r>
        <w:rPr>
          <w:rFonts w:hint="eastAsia"/>
          <w:sz w:val="24"/>
          <w:szCs w:val="24"/>
        </w:rPr>
        <w:t>)</w:t>
      </w:r>
      <w:r>
        <w:rPr>
          <w:rFonts w:hint="eastAsia"/>
          <w:sz w:val="24"/>
          <w:szCs w:val="24"/>
        </w:rPr>
        <w:t>、香樟等经济林木和枇杷</w:t>
      </w:r>
      <w:r>
        <w:rPr>
          <w:rFonts w:hint="eastAsia"/>
          <w:sz w:val="24"/>
          <w:szCs w:val="24"/>
        </w:rPr>
        <w:t>(</w:t>
      </w:r>
      <w:r>
        <w:rPr>
          <w:rFonts w:hint="eastAsia"/>
          <w:i/>
          <w:sz w:val="24"/>
          <w:szCs w:val="24"/>
        </w:rPr>
        <w:t>Eriobotrya japonica</w:t>
      </w:r>
      <w:r>
        <w:rPr>
          <w:rFonts w:hint="eastAsia"/>
          <w:sz w:val="24"/>
          <w:szCs w:val="24"/>
        </w:rPr>
        <w:t>)</w:t>
      </w:r>
      <w:r>
        <w:rPr>
          <w:rFonts w:hint="eastAsia"/>
          <w:sz w:val="24"/>
          <w:szCs w:val="24"/>
        </w:rPr>
        <w:t>、柚</w:t>
      </w:r>
      <w:r>
        <w:rPr>
          <w:rFonts w:hint="eastAsia"/>
          <w:sz w:val="24"/>
          <w:szCs w:val="24"/>
        </w:rPr>
        <w:t>(</w:t>
      </w:r>
      <w:r>
        <w:rPr>
          <w:rFonts w:hint="eastAsia"/>
          <w:i/>
          <w:sz w:val="24"/>
          <w:szCs w:val="24"/>
        </w:rPr>
        <w:t>Citrus maxima</w:t>
      </w:r>
      <w:r>
        <w:rPr>
          <w:rFonts w:hint="eastAsia"/>
          <w:sz w:val="24"/>
          <w:szCs w:val="24"/>
        </w:rPr>
        <w:t>)</w:t>
      </w:r>
      <w:r>
        <w:rPr>
          <w:rFonts w:hint="eastAsia"/>
          <w:sz w:val="24"/>
          <w:szCs w:val="24"/>
        </w:rPr>
        <w:t>、胡桃</w:t>
      </w:r>
      <w:r>
        <w:rPr>
          <w:rFonts w:hint="eastAsia"/>
          <w:sz w:val="24"/>
          <w:szCs w:val="24"/>
        </w:rPr>
        <w:t>(</w:t>
      </w:r>
      <w:r>
        <w:rPr>
          <w:rFonts w:hint="eastAsia"/>
          <w:i/>
          <w:sz w:val="24"/>
          <w:szCs w:val="24"/>
        </w:rPr>
        <w:t>Juglans regia</w:t>
      </w:r>
      <w:r>
        <w:rPr>
          <w:rFonts w:hint="eastAsia"/>
          <w:sz w:val="24"/>
          <w:szCs w:val="24"/>
        </w:rPr>
        <w:t>)</w:t>
      </w:r>
      <w:r>
        <w:rPr>
          <w:rFonts w:hint="eastAsia"/>
          <w:sz w:val="24"/>
          <w:szCs w:val="24"/>
        </w:rPr>
        <w:t>、栗、桃</w:t>
      </w:r>
      <w:r>
        <w:rPr>
          <w:rFonts w:hint="eastAsia"/>
          <w:sz w:val="24"/>
          <w:szCs w:val="24"/>
        </w:rPr>
        <w:t>(</w:t>
      </w:r>
      <w:r>
        <w:rPr>
          <w:rFonts w:hint="eastAsia"/>
          <w:i/>
          <w:sz w:val="24"/>
          <w:szCs w:val="24"/>
        </w:rPr>
        <w:t>Amygdalus persica</w:t>
      </w:r>
      <w:r>
        <w:rPr>
          <w:rFonts w:hint="eastAsia"/>
          <w:sz w:val="24"/>
          <w:szCs w:val="24"/>
        </w:rPr>
        <w:t>)</w:t>
      </w:r>
      <w:r>
        <w:rPr>
          <w:rFonts w:hint="eastAsia"/>
          <w:sz w:val="24"/>
          <w:szCs w:val="24"/>
        </w:rPr>
        <w:t>、梨</w:t>
      </w:r>
      <w:r>
        <w:rPr>
          <w:rFonts w:hint="eastAsia"/>
          <w:sz w:val="24"/>
          <w:szCs w:val="24"/>
        </w:rPr>
        <w:t>(</w:t>
      </w:r>
      <w:r>
        <w:rPr>
          <w:rFonts w:hint="eastAsia"/>
          <w:i/>
          <w:sz w:val="24"/>
          <w:szCs w:val="24"/>
        </w:rPr>
        <w:t>Pyrus pashia</w:t>
      </w:r>
      <w:r>
        <w:rPr>
          <w:rFonts w:hint="eastAsia"/>
          <w:sz w:val="24"/>
          <w:szCs w:val="24"/>
        </w:rPr>
        <w:t>)</w:t>
      </w:r>
      <w:r>
        <w:rPr>
          <w:rFonts w:hint="eastAsia"/>
          <w:sz w:val="24"/>
          <w:szCs w:val="24"/>
        </w:rPr>
        <w:t>、李</w:t>
      </w:r>
      <w:r>
        <w:rPr>
          <w:rFonts w:hint="eastAsia"/>
          <w:sz w:val="24"/>
          <w:szCs w:val="24"/>
        </w:rPr>
        <w:t>(</w:t>
      </w:r>
      <w:r>
        <w:rPr>
          <w:rFonts w:hint="eastAsia"/>
          <w:i/>
          <w:sz w:val="24"/>
          <w:szCs w:val="24"/>
        </w:rPr>
        <w:t>Prunus salicina</w:t>
      </w:r>
      <w:r>
        <w:rPr>
          <w:rFonts w:hint="eastAsia"/>
          <w:sz w:val="24"/>
          <w:szCs w:val="24"/>
        </w:rPr>
        <w:t>)</w:t>
      </w:r>
      <w:r>
        <w:rPr>
          <w:rFonts w:hint="eastAsia"/>
          <w:sz w:val="24"/>
          <w:szCs w:val="24"/>
        </w:rPr>
        <w:t>、枇杷</w:t>
      </w:r>
      <w:r>
        <w:rPr>
          <w:rFonts w:hint="eastAsia"/>
          <w:sz w:val="24"/>
          <w:szCs w:val="24"/>
        </w:rPr>
        <w:t>(</w:t>
      </w:r>
      <w:r>
        <w:rPr>
          <w:rFonts w:hint="eastAsia"/>
          <w:i/>
          <w:sz w:val="24"/>
          <w:szCs w:val="24"/>
        </w:rPr>
        <w:t>Eriobotrya japonica</w:t>
      </w:r>
      <w:r>
        <w:rPr>
          <w:rFonts w:hint="eastAsia"/>
          <w:sz w:val="24"/>
          <w:szCs w:val="24"/>
        </w:rPr>
        <w:t>)</w:t>
      </w:r>
      <w:r>
        <w:rPr>
          <w:rFonts w:hint="eastAsia"/>
          <w:sz w:val="24"/>
          <w:szCs w:val="24"/>
        </w:rPr>
        <w:t>等果树。其间套种有豆类、番薯、时令蔬菜等低矮农作物。目前甚至一些肥力较好的平原耕地也栽植上了经济园林树种和果树。</w:t>
      </w:r>
    </w:p>
    <w:p w14:paraId="4BC34649" w14:textId="77777777" w:rsidR="007D1E74" w:rsidRDefault="00A95641">
      <w:pPr>
        <w:spacing w:line="360" w:lineRule="auto"/>
        <w:ind w:firstLineChars="200" w:firstLine="480"/>
        <w:rPr>
          <w:sz w:val="24"/>
          <w:szCs w:val="24"/>
        </w:rPr>
      </w:pPr>
      <w:r>
        <w:rPr>
          <w:rFonts w:hint="eastAsia"/>
          <w:sz w:val="24"/>
          <w:szCs w:val="24"/>
        </w:rPr>
        <w:t>此外，评价区内各级公路两旁栽植有加杨（</w:t>
      </w:r>
      <w:r>
        <w:rPr>
          <w:rFonts w:hint="eastAsia"/>
          <w:i/>
          <w:sz w:val="24"/>
          <w:szCs w:val="24"/>
        </w:rPr>
        <w:t>Populus canadensis</w:t>
      </w:r>
      <w:r>
        <w:rPr>
          <w:rFonts w:hint="eastAsia"/>
          <w:sz w:val="24"/>
          <w:szCs w:val="24"/>
        </w:rPr>
        <w:t>）、水杉、樟、小叶榕</w:t>
      </w:r>
      <w:r>
        <w:rPr>
          <w:rFonts w:hint="eastAsia"/>
          <w:sz w:val="24"/>
          <w:szCs w:val="24"/>
        </w:rPr>
        <w:t>(</w:t>
      </w:r>
      <w:r>
        <w:rPr>
          <w:rFonts w:hint="eastAsia"/>
          <w:i/>
          <w:sz w:val="24"/>
          <w:szCs w:val="24"/>
        </w:rPr>
        <w:t>Ficus microcarpa var. pusillifolia</w:t>
      </w:r>
      <w:r>
        <w:rPr>
          <w:rFonts w:hint="eastAsia"/>
          <w:sz w:val="24"/>
          <w:szCs w:val="24"/>
        </w:rPr>
        <w:t>)</w:t>
      </w:r>
      <w:r>
        <w:rPr>
          <w:rFonts w:hint="eastAsia"/>
          <w:sz w:val="24"/>
          <w:szCs w:val="24"/>
        </w:rPr>
        <w:t>等行道树以降低交通运输车辆经过时对路两侧居民和环境等的影响。</w:t>
      </w:r>
    </w:p>
    <w:tbl>
      <w:tblPr>
        <w:tblStyle w:val="aff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5"/>
        <w:gridCol w:w="4511"/>
      </w:tblGrid>
      <w:tr w:rsidR="007D1E74" w14:paraId="2D9044AF" w14:textId="77777777">
        <w:tc>
          <w:tcPr>
            <w:tcW w:w="4649" w:type="dxa"/>
            <w:vAlign w:val="center"/>
          </w:tcPr>
          <w:p w14:paraId="1D6C4BD8" w14:textId="77777777" w:rsidR="007D1E74" w:rsidRDefault="00A95641">
            <w:pPr>
              <w:jc w:val="center"/>
              <w:rPr>
                <w:szCs w:val="21"/>
              </w:rPr>
            </w:pPr>
            <w:r>
              <w:rPr>
                <w:noProof/>
                <w:szCs w:val="21"/>
              </w:rPr>
              <w:drawing>
                <wp:inline distT="0" distB="0" distL="0" distR="0" wp14:anchorId="6762B015" wp14:editId="500A0D4A">
                  <wp:extent cx="2302510" cy="1727835"/>
                  <wp:effectExtent l="0" t="0" r="13970" b="952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2303112" cy="1728273"/>
                          </a:xfrm>
                          <a:prstGeom prst="rect">
                            <a:avLst/>
                          </a:prstGeom>
                        </pic:spPr>
                      </pic:pic>
                    </a:graphicData>
                  </a:graphic>
                </wp:inline>
              </w:drawing>
            </w:r>
          </w:p>
        </w:tc>
        <w:tc>
          <w:tcPr>
            <w:tcW w:w="4650" w:type="dxa"/>
            <w:vAlign w:val="center"/>
          </w:tcPr>
          <w:p w14:paraId="5EA65178" w14:textId="77777777" w:rsidR="007D1E74" w:rsidRDefault="00A95641">
            <w:pPr>
              <w:jc w:val="center"/>
              <w:rPr>
                <w:szCs w:val="21"/>
              </w:rPr>
            </w:pPr>
            <w:r>
              <w:rPr>
                <w:noProof/>
                <w:szCs w:val="21"/>
              </w:rPr>
              <w:drawing>
                <wp:inline distT="0" distB="0" distL="0" distR="0" wp14:anchorId="2CACACCC" wp14:editId="776DCA93">
                  <wp:extent cx="2295525" cy="1727200"/>
                  <wp:effectExtent l="0" t="0" r="5715" b="1016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0"/>
                            <a:ext cx="2295823" cy="1727803"/>
                          </a:xfrm>
                          <a:prstGeom prst="rect">
                            <a:avLst/>
                          </a:prstGeom>
                        </pic:spPr>
                      </pic:pic>
                    </a:graphicData>
                  </a:graphic>
                </wp:inline>
              </w:drawing>
            </w:r>
          </w:p>
        </w:tc>
      </w:tr>
      <w:tr w:rsidR="007D1E74" w14:paraId="4653A5DA" w14:textId="77777777">
        <w:tc>
          <w:tcPr>
            <w:tcW w:w="4649" w:type="dxa"/>
            <w:vAlign w:val="center"/>
          </w:tcPr>
          <w:p w14:paraId="12A7AA1F" w14:textId="77777777" w:rsidR="007D1E74" w:rsidRDefault="00A95641">
            <w:pPr>
              <w:jc w:val="center"/>
              <w:rPr>
                <w:szCs w:val="21"/>
              </w:rPr>
            </w:pPr>
            <w:r>
              <w:rPr>
                <w:szCs w:val="21"/>
              </w:rPr>
              <w:t>柏木林</w:t>
            </w:r>
          </w:p>
        </w:tc>
        <w:tc>
          <w:tcPr>
            <w:tcW w:w="4650" w:type="dxa"/>
            <w:vAlign w:val="center"/>
          </w:tcPr>
          <w:p w14:paraId="453611BF" w14:textId="77777777" w:rsidR="007D1E74" w:rsidRDefault="00A95641">
            <w:pPr>
              <w:jc w:val="center"/>
              <w:rPr>
                <w:szCs w:val="21"/>
              </w:rPr>
            </w:pPr>
            <w:r>
              <w:rPr>
                <w:szCs w:val="21"/>
              </w:rPr>
              <w:t>柏木林</w:t>
            </w:r>
          </w:p>
        </w:tc>
      </w:tr>
      <w:tr w:rsidR="007D1E74" w14:paraId="38FD39B8" w14:textId="77777777">
        <w:tc>
          <w:tcPr>
            <w:tcW w:w="4649" w:type="dxa"/>
            <w:vAlign w:val="center"/>
          </w:tcPr>
          <w:p w14:paraId="120E7164" w14:textId="77777777" w:rsidR="007D1E74" w:rsidRDefault="00A95641">
            <w:pPr>
              <w:jc w:val="center"/>
              <w:rPr>
                <w:szCs w:val="21"/>
              </w:rPr>
            </w:pPr>
            <w:r>
              <w:rPr>
                <w:noProof/>
                <w:szCs w:val="21"/>
              </w:rPr>
              <w:drawing>
                <wp:inline distT="0" distB="0" distL="0" distR="0" wp14:anchorId="4A0159A5" wp14:editId="30D8ECAE">
                  <wp:extent cx="2314575" cy="1741805"/>
                  <wp:effectExtent l="0" t="0" r="1905" b="1079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116">
                            <a:extLst>
                              <a:ext uri="{28A0092B-C50C-407E-A947-70E740481C1C}">
                                <a14:useLocalDpi xmlns:a14="http://schemas.microsoft.com/office/drawing/2010/main" val="0"/>
                              </a:ext>
                            </a:extLst>
                          </a:blip>
                          <a:stretch>
                            <a:fillRect/>
                          </a:stretch>
                        </pic:blipFill>
                        <pic:spPr>
                          <a:xfrm>
                            <a:off x="0" y="0"/>
                            <a:ext cx="2321492" cy="1747146"/>
                          </a:xfrm>
                          <a:prstGeom prst="rect">
                            <a:avLst/>
                          </a:prstGeom>
                        </pic:spPr>
                      </pic:pic>
                    </a:graphicData>
                  </a:graphic>
                </wp:inline>
              </w:drawing>
            </w:r>
          </w:p>
        </w:tc>
        <w:tc>
          <w:tcPr>
            <w:tcW w:w="4650" w:type="dxa"/>
            <w:vAlign w:val="center"/>
          </w:tcPr>
          <w:p w14:paraId="4F20D0F5" w14:textId="77777777" w:rsidR="007D1E74" w:rsidRDefault="00A95641">
            <w:pPr>
              <w:jc w:val="center"/>
              <w:rPr>
                <w:szCs w:val="21"/>
              </w:rPr>
            </w:pPr>
            <w:r>
              <w:rPr>
                <w:noProof/>
                <w:szCs w:val="21"/>
              </w:rPr>
              <w:drawing>
                <wp:inline distT="0" distB="0" distL="0" distR="0" wp14:anchorId="0CFC8B9B" wp14:editId="4F847C38">
                  <wp:extent cx="2269490" cy="1695450"/>
                  <wp:effectExtent l="0" t="0" r="1270" b="1143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0" y="0"/>
                            <a:ext cx="2283605" cy="1705875"/>
                          </a:xfrm>
                          <a:prstGeom prst="rect">
                            <a:avLst/>
                          </a:prstGeom>
                        </pic:spPr>
                      </pic:pic>
                    </a:graphicData>
                  </a:graphic>
                </wp:inline>
              </w:drawing>
            </w:r>
          </w:p>
        </w:tc>
      </w:tr>
      <w:tr w:rsidR="007D1E74" w14:paraId="2DC7A324" w14:textId="77777777">
        <w:tc>
          <w:tcPr>
            <w:tcW w:w="4649" w:type="dxa"/>
            <w:vAlign w:val="center"/>
          </w:tcPr>
          <w:p w14:paraId="659C2534" w14:textId="77777777" w:rsidR="007D1E74" w:rsidRDefault="00A95641">
            <w:pPr>
              <w:jc w:val="center"/>
              <w:rPr>
                <w:szCs w:val="21"/>
              </w:rPr>
            </w:pPr>
            <w:r>
              <w:rPr>
                <w:szCs w:val="21"/>
              </w:rPr>
              <w:t>柏木林</w:t>
            </w:r>
          </w:p>
        </w:tc>
        <w:tc>
          <w:tcPr>
            <w:tcW w:w="4650" w:type="dxa"/>
            <w:vAlign w:val="center"/>
          </w:tcPr>
          <w:p w14:paraId="324C222B" w14:textId="77777777" w:rsidR="007D1E74" w:rsidRDefault="00A95641">
            <w:pPr>
              <w:jc w:val="center"/>
              <w:rPr>
                <w:szCs w:val="21"/>
              </w:rPr>
            </w:pPr>
            <w:r>
              <w:rPr>
                <w:szCs w:val="21"/>
              </w:rPr>
              <w:t>柏木林</w:t>
            </w:r>
          </w:p>
        </w:tc>
      </w:tr>
      <w:tr w:rsidR="007D1E74" w14:paraId="365BF09F" w14:textId="77777777">
        <w:tc>
          <w:tcPr>
            <w:tcW w:w="4649" w:type="dxa"/>
            <w:vAlign w:val="center"/>
          </w:tcPr>
          <w:p w14:paraId="5ECA558C" w14:textId="77777777" w:rsidR="007D1E74" w:rsidRDefault="00A95641">
            <w:pPr>
              <w:jc w:val="center"/>
              <w:rPr>
                <w:szCs w:val="21"/>
              </w:rPr>
            </w:pPr>
            <w:r>
              <w:rPr>
                <w:noProof/>
                <w:szCs w:val="21"/>
              </w:rPr>
              <w:lastRenderedPageBreak/>
              <w:drawing>
                <wp:inline distT="0" distB="0" distL="0" distR="0" wp14:anchorId="289E520D" wp14:editId="5CBE912A">
                  <wp:extent cx="2288540" cy="1715135"/>
                  <wp:effectExtent l="0" t="0" r="12700" b="698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0" y="0"/>
                            <a:ext cx="2288605" cy="1715528"/>
                          </a:xfrm>
                          <a:prstGeom prst="rect">
                            <a:avLst/>
                          </a:prstGeom>
                        </pic:spPr>
                      </pic:pic>
                    </a:graphicData>
                  </a:graphic>
                </wp:inline>
              </w:drawing>
            </w:r>
          </w:p>
        </w:tc>
        <w:tc>
          <w:tcPr>
            <w:tcW w:w="4650" w:type="dxa"/>
            <w:vAlign w:val="center"/>
          </w:tcPr>
          <w:p w14:paraId="1340C1EA" w14:textId="77777777" w:rsidR="007D1E74" w:rsidRDefault="00A95641">
            <w:pPr>
              <w:jc w:val="center"/>
              <w:rPr>
                <w:szCs w:val="21"/>
              </w:rPr>
            </w:pPr>
            <w:r>
              <w:rPr>
                <w:noProof/>
                <w:szCs w:val="21"/>
              </w:rPr>
              <w:drawing>
                <wp:inline distT="0" distB="0" distL="0" distR="0" wp14:anchorId="15D3ED4C" wp14:editId="7E434BCE">
                  <wp:extent cx="2292985" cy="1712595"/>
                  <wp:effectExtent l="0" t="0" r="8255" b="952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0" y="0"/>
                            <a:ext cx="2293246" cy="1713082"/>
                          </a:xfrm>
                          <a:prstGeom prst="rect">
                            <a:avLst/>
                          </a:prstGeom>
                        </pic:spPr>
                      </pic:pic>
                    </a:graphicData>
                  </a:graphic>
                </wp:inline>
              </w:drawing>
            </w:r>
          </w:p>
        </w:tc>
      </w:tr>
      <w:tr w:rsidR="007D1E74" w14:paraId="718CCBFB" w14:textId="77777777">
        <w:tc>
          <w:tcPr>
            <w:tcW w:w="4649" w:type="dxa"/>
            <w:vAlign w:val="center"/>
          </w:tcPr>
          <w:p w14:paraId="002AC999" w14:textId="77777777" w:rsidR="007D1E74" w:rsidRDefault="00A95641">
            <w:pPr>
              <w:jc w:val="center"/>
              <w:rPr>
                <w:szCs w:val="21"/>
              </w:rPr>
            </w:pPr>
            <w:r>
              <w:rPr>
                <w:rFonts w:hint="eastAsia"/>
                <w:szCs w:val="21"/>
              </w:rPr>
              <w:t>麻栎林</w:t>
            </w:r>
          </w:p>
        </w:tc>
        <w:tc>
          <w:tcPr>
            <w:tcW w:w="4650" w:type="dxa"/>
            <w:vAlign w:val="center"/>
          </w:tcPr>
          <w:p w14:paraId="0484B127" w14:textId="77777777" w:rsidR="007D1E74" w:rsidRDefault="00A95641">
            <w:pPr>
              <w:jc w:val="center"/>
              <w:rPr>
                <w:szCs w:val="21"/>
              </w:rPr>
            </w:pPr>
            <w:r>
              <w:rPr>
                <w:rFonts w:hint="eastAsia"/>
                <w:szCs w:val="21"/>
              </w:rPr>
              <w:t>麻栎林</w:t>
            </w:r>
          </w:p>
        </w:tc>
      </w:tr>
      <w:tr w:rsidR="007D1E74" w14:paraId="55EFE5A7" w14:textId="77777777">
        <w:tc>
          <w:tcPr>
            <w:tcW w:w="4649" w:type="dxa"/>
            <w:vAlign w:val="center"/>
          </w:tcPr>
          <w:p w14:paraId="417A47D7" w14:textId="77777777" w:rsidR="007D1E74" w:rsidRDefault="00A95641">
            <w:pPr>
              <w:jc w:val="center"/>
              <w:rPr>
                <w:szCs w:val="21"/>
              </w:rPr>
            </w:pPr>
            <w:r>
              <w:rPr>
                <w:noProof/>
                <w:szCs w:val="21"/>
              </w:rPr>
              <w:drawing>
                <wp:inline distT="0" distB="0" distL="0" distR="0" wp14:anchorId="76C01DCF" wp14:editId="434497B1">
                  <wp:extent cx="2289175" cy="1724025"/>
                  <wp:effectExtent l="0" t="0" r="12065" b="1333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120">
                            <a:extLst>
                              <a:ext uri="{28A0092B-C50C-407E-A947-70E740481C1C}">
                                <a14:useLocalDpi xmlns:a14="http://schemas.microsoft.com/office/drawing/2010/main" val="0"/>
                              </a:ext>
                            </a:extLst>
                          </a:blip>
                          <a:stretch>
                            <a:fillRect/>
                          </a:stretch>
                        </pic:blipFill>
                        <pic:spPr>
                          <a:xfrm>
                            <a:off x="0" y="0"/>
                            <a:ext cx="2291760" cy="1725710"/>
                          </a:xfrm>
                          <a:prstGeom prst="rect">
                            <a:avLst/>
                          </a:prstGeom>
                        </pic:spPr>
                      </pic:pic>
                    </a:graphicData>
                  </a:graphic>
                </wp:inline>
              </w:drawing>
            </w:r>
          </w:p>
        </w:tc>
        <w:tc>
          <w:tcPr>
            <w:tcW w:w="4650" w:type="dxa"/>
            <w:vAlign w:val="center"/>
          </w:tcPr>
          <w:p w14:paraId="0B22ED22" w14:textId="77777777" w:rsidR="007D1E74" w:rsidRDefault="00A95641">
            <w:pPr>
              <w:jc w:val="center"/>
              <w:rPr>
                <w:szCs w:val="21"/>
              </w:rPr>
            </w:pPr>
            <w:r>
              <w:rPr>
                <w:noProof/>
                <w:szCs w:val="21"/>
              </w:rPr>
              <w:drawing>
                <wp:inline distT="0" distB="0" distL="0" distR="0" wp14:anchorId="397C4721" wp14:editId="6FC1910E">
                  <wp:extent cx="2266950" cy="1694180"/>
                  <wp:effectExtent l="0" t="0" r="3810" b="1270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0"/>
                            <a:ext cx="2267420" cy="1694249"/>
                          </a:xfrm>
                          <a:prstGeom prst="rect">
                            <a:avLst/>
                          </a:prstGeom>
                        </pic:spPr>
                      </pic:pic>
                    </a:graphicData>
                  </a:graphic>
                </wp:inline>
              </w:drawing>
            </w:r>
          </w:p>
        </w:tc>
      </w:tr>
      <w:tr w:rsidR="007D1E74" w14:paraId="1DA5C5F9" w14:textId="77777777">
        <w:tc>
          <w:tcPr>
            <w:tcW w:w="4649" w:type="dxa"/>
            <w:vAlign w:val="center"/>
          </w:tcPr>
          <w:p w14:paraId="6F4A0943" w14:textId="77777777" w:rsidR="007D1E74" w:rsidRDefault="00A95641">
            <w:pPr>
              <w:jc w:val="center"/>
              <w:rPr>
                <w:szCs w:val="21"/>
              </w:rPr>
            </w:pPr>
            <w:r>
              <w:rPr>
                <w:rFonts w:hint="eastAsia"/>
                <w:szCs w:val="21"/>
              </w:rPr>
              <w:t>枫杨林</w:t>
            </w:r>
          </w:p>
        </w:tc>
        <w:tc>
          <w:tcPr>
            <w:tcW w:w="4650" w:type="dxa"/>
            <w:vAlign w:val="center"/>
          </w:tcPr>
          <w:p w14:paraId="06524821" w14:textId="77777777" w:rsidR="007D1E74" w:rsidRDefault="00A95641">
            <w:pPr>
              <w:jc w:val="center"/>
              <w:rPr>
                <w:szCs w:val="21"/>
              </w:rPr>
            </w:pPr>
            <w:r>
              <w:rPr>
                <w:rFonts w:hint="eastAsia"/>
                <w:szCs w:val="21"/>
              </w:rPr>
              <w:t>桤木林</w:t>
            </w:r>
          </w:p>
        </w:tc>
      </w:tr>
      <w:tr w:rsidR="007D1E74" w14:paraId="1634E2BA" w14:textId="77777777">
        <w:tc>
          <w:tcPr>
            <w:tcW w:w="4649" w:type="dxa"/>
            <w:vAlign w:val="center"/>
          </w:tcPr>
          <w:p w14:paraId="7BA8ACD5" w14:textId="77777777" w:rsidR="007D1E74" w:rsidRDefault="00A95641">
            <w:pPr>
              <w:jc w:val="center"/>
              <w:rPr>
                <w:szCs w:val="21"/>
              </w:rPr>
            </w:pPr>
            <w:r>
              <w:rPr>
                <w:noProof/>
                <w:szCs w:val="21"/>
              </w:rPr>
              <w:drawing>
                <wp:inline distT="0" distB="0" distL="0" distR="0" wp14:anchorId="6FE6BEA5" wp14:editId="022CA3D3">
                  <wp:extent cx="2304415" cy="1723390"/>
                  <wp:effectExtent l="0" t="0" r="12065" b="1397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122">
                            <a:extLst>
                              <a:ext uri="{28A0092B-C50C-407E-A947-70E740481C1C}">
                                <a14:useLocalDpi xmlns:a14="http://schemas.microsoft.com/office/drawing/2010/main" val="0"/>
                              </a:ext>
                            </a:extLst>
                          </a:blip>
                          <a:srcRect l="1163" r="4990"/>
                          <a:stretch>
                            <a:fillRect/>
                          </a:stretch>
                        </pic:blipFill>
                        <pic:spPr>
                          <a:xfrm>
                            <a:off x="0" y="0"/>
                            <a:ext cx="2309159" cy="1726691"/>
                          </a:xfrm>
                          <a:prstGeom prst="rect">
                            <a:avLst/>
                          </a:prstGeom>
                          <a:ln>
                            <a:noFill/>
                          </a:ln>
                        </pic:spPr>
                      </pic:pic>
                    </a:graphicData>
                  </a:graphic>
                </wp:inline>
              </w:drawing>
            </w:r>
          </w:p>
        </w:tc>
        <w:tc>
          <w:tcPr>
            <w:tcW w:w="4650" w:type="dxa"/>
            <w:vAlign w:val="center"/>
          </w:tcPr>
          <w:p w14:paraId="10FB5D3F" w14:textId="77777777" w:rsidR="007D1E74" w:rsidRDefault="00A95641">
            <w:pPr>
              <w:jc w:val="center"/>
              <w:rPr>
                <w:szCs w:val="21"/>
              </w:rPr>
            </w:pPr>
            <w:r>
              <w:rPr>
                <w:noProof/>
                <w:szCs w:val="21"/>
              </w:rPr>
              <w:drawing>
                <wp:inline distT="0" distB="0" distL="0" distR="0" wp14:anchorId="05958E14" wp14:editId="55784020">
                  <wp:extent cx="2295525" cy="1732915"/>
                  <wp:effectExtent l="0" t="0" r="5715" b="444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123">
                            <a:extLst>
                              <a:ext uri="{28A0092B-C50C-407E-A947-70E740481C1C}">
                                <a14:useLocalDpi xmlns:a14="http://schemas.microsoft.com/office/drawing/2010/main" val="0"/>
                              </a:ext>
                            </a:extLst>
                          </a:blip>
                          <a:srcRect l="5691" r="2858"/>
                          <a:stretch>
                            <a:fillRect/>
                          </a:stretch>
                        </pic:blipFill>
                        <pic:spPr>
                          <a:xfrm>
                            <a:off x="0" y="0"/>
                            <a:ext cx="2301095" cy="1737120"/>
                          </a:xfrm>
                          <a:prstGeom prst="rect">
                            <a:avLst/>
                          </a:prstGeom>
                          <a:ln>
                            <a:noFill/>
                          </a:ln>
                        </pic:spPr>
                      </pic:pic>
                    </a:graphicData>
                  </a:graphic>
                </wp:inline>
              </w:drawing>
            </w:r>
          </w:p>
        </w:tc>
      </w:tr>
      <w:tr w:rsidR="007D1E74" w14:paraId="49F909A0" w14:textId="77777777">
        <w:tc>
          <w:tcPr>
            <w:tcW w:w="4649" w:type="dxa"/>
            <w:vAlign w:val="center"/>
          </w:tcPr>
          <w:p w14:paraId="05EAACD3" w14:textId="77777777" w:rsidR="007D1E74" w:rsidRDefault="00A95641">
            <w:pPr>
              <w:jc w:val="center"/>
              <w:rPr>
                <w:szCs w:val="21"/>
              </w:rPr>
            </w:pPr>
            <w:r>
              <w:rPr>
                <w:rFonts w:hint="eastAsia"/>
                <w:szCs w:val="21"/>
              </w:rPr>
              <w:t>马尾松林</w:t>
            </w:r>
          </w:p>
        </w:tc>
        <w:tc>
          <w:tcPr>
            <w:tcW w:w="4650" w:type="dxa"/>
            <w:vAlign w:val="center"/>
          </w:tcPr>
          <w:p w14:paraId="16F4D76C" w14:textId="77777777" w:rsidR="007D1E74" w:rsidRDefault="00A95641">
            <w:pPr>
              <w:jc w:val="center"/>
              <w:rPr>
                <w:szCs w:val="21"/>
              </w:rPr>
            </w:pPr>
            <w:r>
              <w:rPr>
                <w:rFonts w:hint="eastAsia"/>
                <w:szCs w:val="21"/>
              </w:rPr>
              <w:t>慈竹林</w:t>
            </w:r>
          </w:p>
        </w:tc>
      </w:tr>
      <w:tr w:rsidR="007D1E74" w14:paraId="7FA83064" w14:textId="77777777">
        <w:tc>
          <w:tcPr>
            <w:tcW w:w="4649" w:type="dxa"/>
            <w:vAlign w:val="center"/>
          </w:tcPr>
          <w:p w14:paraId="71F30C39" w14:textId="77777777" w:rsidR="007D1E74" w:rsidRDefault="00A95641">
            <w:pPr>
              <w:jc w:val="center"/>
              <w:rPr>
                <w:szCs w:val="21"/>
              </w:rPr>
            </w:pPr>
            <w:r>
              <w:rPr>
                <w:rFonts w:hint="eastAsia"/>
                <w:noProof/>
                <w:szCs w:val="21"/>
              </w:rPr>
              <w:drawing>
                <wp:inline distT="0" distB="0" distL="0" distR="0" wp14:anchorId="0140F891" wp14:editId="348C7AEA">
                  <wp:extent cx="2324100" cy="1753235"/>
                  <wp:effectExtent l="0" t="0" r="7620" b="1460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0" y="0"/>
                            <a:ext cx="2340084" cy="1765715"/>
                          </a:xfrm>
                          <a:prstGeom prst="rect">
                            <a:avLst/>
                          </a:prstGeom>
                        </pic:spPr>
                      </pic:pic>
                    </a:graphicData>
                  </a:graphic>
                </wp:inline>
              </w:drawing>
            </w:r>
          </w:p>
        </w:tc>
        <w:tc>
          <w:tcPr>
            <w:tcW w:w="4650" w:type="dxa"/>
            <w:vAlign w:val="center"/>
          </w:tcPr>
          <w:p w14:paraId="1428E364" w14:textId="77777777" w:rsidR="007D1E74" w:rsidRDefault="00A95641">
            <w:pPr>
              <w:jc w:val="center"/>
              <w:rPr>
                <w:szCs w:val="21"/>
              </w:rPr>
            </w:pPr>
            <w:r>
              <w:rPr>
                <w:rFonts w:hint="eastAsia"/>
                <w:noProof/>
                <w:szCs w:val="21"/>
              </w:rPr>
              <w:drawing>
                <wp:inline distT="0" distB="0" distL="0" distR="0" wp14:anchorId="0C542B3E" wp14:editId="140BAC66">
                  <wp:extent cx="2305050" cy="1728470"/>
                  <wp:effectExtent l="0" t="0" r="11430" b="889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0" y="0"/>
                            <a:ext cx="2312557" cy="1734417"/>
                          </a:xfrm>
                          <a:prstGeom prst="rect">
                            <a:avLst/>
                          </a:prstGeom>
                        </pic:spPr>
                      </pic:pic>
                    </a:graphicData>
                  </a:graphic>
                </wp:inline>
              </w:drawing>
            </w:r>
          </w:p>
        </w:tc>
      </w:tr>
      <w:tr w:rsidR="007D1E74" w14:paraId="7CBEC764" w14:textId="77777777">
        <w:tc>
          <w:tcPr>
            <w:tcW w:w="4649" w:type="dxa"/>
            <w:vAlign w:val="center"/>
          </w:tcPr>
          <w:p w14:paraId="72556DF4" w14:textId="77777777" w:rsidR="007D1E74" w:rsidRDefault="00A95641">
            <w:pPr>
              <w:jc w:val="center"/>
              <w:rPr>
                <w:szCs w:val="21"/>
              </w:rPr>
            </w:pPr>
            <w:r>
              <w:rPr>
                <w:rFonts w:hint="eastAsia"/>
                <w:szCs w:val="21"/>
              </w:rPr>
              <w:t>马桑灌丛</w:t>
            </w:r>
          </w:p>
        </w:tc>
        <w:tc>
          <w:tcPr>
            <w:tcW w:w="4650" w:type="dxa"/>
            <w:vAlign w:val="center"/>
          </w:tcPr>
          <w:p w14:paraId="52680CC5" w14:textId="77777777" w:rsidR="007D1E74" w:rsidRDefault="00A95641">
            <w:pPr>
              <w:jc w:val="center"/>
              <w:rPr>
                <w:szCs w:val="21"/>
              </w:rPr>
            </w:pPr>
            <w:r>
              <w:rPr>
                <w:rFonts w:hint="eastAsia"/>
                <w:szCs w:val="21"/>
              </w:rPr>
              <w:t>悬钩子灌丛</w:t>
            </w:r>
          </w:p>
        </w:tc>
      </w:tr>
      <w:tr w:rsidR="007D1E74" w14:paraId="2EC004D1" w14:textId="77777777">
        <w:tc>
          <w:tcPr>
            <w:tcW w:w="4649" w:type="dxa"/>
            <w:vAlign w:val="center"/>
          </w:tcPr>
          <w:p w14:paraId="3DF441C3" w14:textId="77777777" w:rsidR="007D1E74" w:rsidRDefault="00A95641">
            <w:pPr>
              <w:jc w:val="center"/>
              <w:rPr>
                <w:szCs w:val="21"/>
              </w:rPr>
            </w:pPr>
            <w:r>
              <w:rPr>
                <w:rFonts w:hint="eastAsia"/>
                <w:noProof/>
                <w:szCs w:val="21"/>
              </w:rPr>
              <w:lastRenderedPageBreak/>
              <w:drawing>
                <wp:inline distT="0" distB="0" distL="0" distR="0" wp14:anchorId="1EE19019" wp14:editId="4E61D268">
                  <wp:extent cx="2238375" cy="1544955"/>
                  <wp:effectExtent l="0" t="0" r="1905" b="952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26">
                            <a:extLst>
                              <a:ext uri="{28A0092B-C50C-407E-A947-70E740481C1C}">
                                <a14:useLocalDpi xmlns:a14="http://schemas.microsoft.com/office/drawing/2010/main" val="0"/>
                              </a:ext>
                            </a:extLst>
                          </a:blip>
                          <a:stretch>
                            <a:fillRect/>
                          </a:stretch>
                        </pic:blipFill>
                        <pic:spPr>
                          <a:xfrm>
                            <a:off x="0" y="0"/>
                            <a:ext cx="2249993" cy="1553064"/>
                          </a:xfrm>
                          <a:prstGeom prst="rect">
                            <a:avLst/>
                          </a:prstGeom>
                        </pic:spPr>
                      </pic:pic>
                    </a:graphicData>
                  </a:graphic>
                </wp:inline>
              </w:drawing>
            </w:r>
          </w:p>
        </w:tc>
        <w:tc>
          <w:tcPr>
            <w:tcW w:w="4650" w:type="dxa"/>
            <w:vAlign w:val="center"/>
          </w:tcPr>
          <w:p w14:paraId="5E8BA82F" w14:textId="77777777" w:rsidR="007D1E74" w:rsidRDefault="00A95641">
            <w:pPr>
              <w:jc w:val="center"/>
              <w:rPr>
                <w:szCs w:val="21"/>
              </w:rPr>
            </w:pPr>
            <w:r>
              <w:rPr>
                <w:rFonts w:hint="eastAsia"/>
                <w:noProof/>
                <w:szCs w:val="21"/>
              </w:rPr>
              <w:drawing>
                <wp:inline distT="0" distB="0" distL="0" distR="0" wp14:anchorId="19D1AE45" wp14:editId="1C175DFE">
                  <wp:extent cx="2314575" cy="1539875"/>
                  <wp:effectExtent l="0" t="0" r="1905" b="1460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0" y="0"/>
                            <a:ext cx="2325376" cy="1547126"/>
                          </a:xfrm>
                          <a:prstGeom prst="rect">
                            <a:avLst/>
                          </a:prstGeom>
                        </pic:spPr>
                      </pic:pic>
                    </a:graphicData>
                  </a:graphic>
                </wp:inline>
              </w:drawing>
            </w:r>
          </w:p>
        </w:tc>
      </w:tr>
      <w:tr w:rsidR="007D1E74" w14:paraId="09F99CDB" w14:textId="77777777">
        <w:tc>
          <w:tcPr>
            <w:tcW w:w="4649" w:type="dxa"/>
            <w:vAlign w:val="center"/>
          </w:tcPr>
          <w:p w14:paraId="1785956D" w14:textId="77777777" w:rsidR="007D1E74" w:rsidRDefault="00A95641">
            <w:pPr>
              <w:jc w:val="center"/>
              <w:rPr>
                <w:szCs w:val="21"/>
              </w:rPr>
            </w:pPr>
            <w:r>
              <w:rPr>
                <w:rFonts w:hint="eastAsia"/>
                <w:szCs w:val="21"/>
              </w:rPr>
              <w:t>水麻灌丛</w:t>
            </w:r>
          </w:p>
        </w:tc>
        <w:tc>
          <w:tcPr>
            <w:tcW w:w="4650" w:type="dxa"/>
            <w:vAlign w:val="center"/>
          </w:tcPr>
          <w:p w14:paraId="7AC245B8" w14:textId="77777777" w:rsidR="007D1E74" w:rsidRDefault="00A95641">
            <w:pPr>
              <w:jc w:val="center"/>
              <w:rPr>
                <w:szCs w:val="21"/>
              </w:rPr>
            </w:pPr>
            <w:r>
              <w:rPr>
                <w:rFonts w:hint="eastAsia"/>
                <w:szCs w:val="21"/>
              </w:rPr>
              <w:t>火棘灌丛</w:t>
            </w:r>
          </w:p>
        </w:tc>
      </w:tr>
      <w:tr w:rsidR="007D1E74" w14:paraId="07C32643" w14:textId="77777777">
        <w:tc>
          <w:tcPr>
            <w:tcW w:w="4649" w:type="dxa"/>
            <w:vAlign w:val="center"/>
          </w:tcPr>
          <w:p w14:paraId="48033E85" w14:textId="77777777" w:rsidR="007D1E74" w:rsidRDefault="00A95641">
            <w:pPr>
              <w:jc w:val="center"/>
              <w:rPr>
                <w:szCs w:val="21"/>
              </w:rPr>
            </w:pPr>
            <w:r>
              <w:rPr>
                <w:rFonts w:hint="eastAsia"/>
                <w:noProof/>
                <w:szCs w:val="21"/>
              </w:rPr>
              <w:drawing>
                <wp:inline distT="0" distB="0" distL="0" distR="0" wp14:anchorId="477D9358" wp14:editId="378A680B">
                  <wp:extent cx="2238375" cy="1550670"/>
                  <wp:effectExtent l="0" t="0" r="1905" b="381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28">
                            <a:extLst>
                              <a:ext uri="{28A0092B-C50C-407E-A947-70E740481C1C}">
                                <a14:useLocalDpi xmlns:a14="http://schemas.microsoft.com/office/drawing/2010/main" val="0"/>
                              </a:ext>
                            </a:extLst>
                          </a:blip>
                          <a:stretch>
                            <a:fillRect/>
                          </a:stretch>
                        </pic:blipFill>
                        <pic:spPr>
                          <a:xfrm>
                            <a:off x="0" y="0"/>
                            <a:ext cx="2278667" cy="1578583"/>
                          </a:xfrm>
                          <a:prstGeom prst="rect">
                            <a:avLst/>
                          </a:prstGeom>
                        </pic:spPr>
                      </pic:pic>
                    </a:graphicData>
                  </a:graphic>
                </wp:inline>
              </w:drawing>
            </w:r>
          </w:p>
        </w:tc>
        <w:tc>
          <w:tcPr>
            <w:tcW w:w="4650" w:type="dxa"/>
            <w:vAlign w:val="center"/>
          </w:tcPr>
          <w:p w14:paraId="3F8260AA" w14:textId="77777777" w:rsidR="007D1E74" w:rsidRDefault="00A95641">
            <w:pPr>
              <w:jc w:val="center"/>
              <w:rPr>
                <w:szCs w:val="21"/>
              </w:rPr>
            </w:pPr>
            <w:r>
              <w:rPr>
                <w:rFonts w:hint="eastAsia"/>
                <w:noProof/>
                <w:szCs w:val="21"/>
              </w:rPr>
              <w:drawing>
                <wp:inline distT="0" distB="0" distL="0" distR="0" wp14:anchorId="53C63600" wp14:editId="76128D31">
                  <wp:extent cx="2247900" cy="1546860"/>
                  <wp:effectExtent l="0" t="0" r="7620" b="762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0" y="0"/>
                            <a:ext cx="2248291" cy="1547129"/>
                          </a:xfrm>
                          <a:prstGeom prst="rect">
                            <a:avLst/>
                          </a:prstGeom>
                        </pic:spPr>
                      </pic:pic>
                    </a:graphicData>
                  </a:graphic>
                </wp:inline>
              </w:drawing>
            </w:r>
          </w:p>
        </w:tc>
      </w:tr>
      <w:tr w:rsidR="007D1E74" w14:paraId="6558017E" w14:textId="77777777">
        <w:tc>
          <w:tcPr>
            <w:tcW w:w="4649" w:type="dxa"/>
            <w:vAlign w:val="center"/>
          </w:tcPr>
          <w:p w14:paraId="649F9D46" w14:textId="77777777" w:rsidR="007D1E74" w:rsidRDefault="00A95641">
            <w:pPr>
              <w:jc w:val="center"/>
              <w:rPr>
                <w:szCs w:val="21"/>
              </w:rPr>
            </w:pPr>
            <w:r>
              <w:rPr>
                <w:rFonts w:hint="eastAsia"/>
                <w:szCs w:val="21"/>
              </w:rPr>
              <w:t>黄荆灌丛</w:t>
            </w:r>
          </w:p>
        </w:tc>
        <w:tc>
          <w:tcPr>
            <w:tcW w:w="4650" w:type="dxa"/>
            <w:vAlign w:val="center"/>
          </w:tcPr>
          <w:p w14:paraId="5A616477" w14:textId="77777777" w:rsidR="007D1E74" w:rsidRDefault="00A95641">
            <w:pPr>
              <w:jc w:val="center"/>
              <w:rPr>
                <w:szCs w:val="21"/>
              </w:rPr>
            </w:pPr>
            <w:r>
              <w:rPr>
                <w:rFonts w:hint="eastAsia"/>
                <w:szCs w:val="21"/>
              </w:rPr>
              <w:t>白茅灌草丛</w:t>
            </w:r>
          </w:p>
        </w:tc>
      </w:tr>
      <w:tr w:rsidR="007D1E74" w14:paraId="2DDEC6B2" w14:textId="77777777">
        <w:tc>
          <w:tcPr>
            <w:tcW w:w="4649" w:type="dxa"/>
            <w:vAlign w:val="center"/>
          </w:tcPr>
          <w:p w14:paraId="7C3E3DEC" w14:textId="77777777" w:rsidR="007D1E74" w:rsidRDefault="00A95641">
            <w:pPr>
              <w:jc w:val="center"/>
              <w:rPr>
                <w:szCs w:val="21"/>
              </w:rPr>
            </w:pPr>
            <w:r>
              <w:rPr>
                <w:rFonts w:hint="eastAsia"/>
                <w:noProof/>
                <w:szCs w:val="21"/>
              </w:rPr>
              <w:drawing>
                <wp:inline distT="0" distB="0" distL="0" distR="0" wp14:anchorId="40BF7FEB" wp14:editId="0D9B429A">
                  <wp:extent cx="2257425" cy="1565275"/>
                  <wp:effectExtent l="0" t="0" r="13335" b="4445"/>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130">
                            <a:extLst>
                              <a:ext uri="{28A0092B-C50C-407E-A947-70E740481C1C}">
                                <a14:useLocalDpi xmlns:a14="http://schemas.microsoft.com/office/drawing/2010/main" val="0"/>
                              </a:ext>
                            </a:extLst>
                          </a:blip>
                          <a:stretch>
                            <a:fillRect/>
                          </a:stretch>
                        </pic:blipFill>
                        <pic:spPr>
                          <a:xfrm>
                            <a:off x="0" y="0"/>
                            <a:ext cx="2270187" cy="1574674"/>
                          </a:xfrm>
                          <a:prstGeom prst="rect">
                            <a:avLst/>
                          </a:prstGeom>
                        </pic:spPr>
                      </pic:pic>
                    </a:graphicData>
                  </a:graphic>
                </wp:inline>
              </w:drawing>
            </w:r>
          </w:p>
        </w:tc>
        <w:tc>
          <w:tcPr>
            <w:tcW w:w="4650" w:type="dxa"/>
            <w:vAlign w:val="center"/>
          </w:tcPr>
          <w:p w14:paraId="7ADA904D" w14:textId="77777777" w:rsidR="007D1E74" w:rsidRDefault="00A95641">
            <w:pPr>
              <w:jc w:val="center"/>
              <w:rPr>
                <w:szCs w:val="21"/>
              </w:rPr>
            </w:pPr>
            <w:r>
              <w:rPr>
                <w:rFonts w:hint="eastAsia"/>
                <w:noProof/>
                <w:szCs w:val="21"/>
              </w:rPr>
              <w:drawing>
                <wp:inline distT="0" distB="0" distL="0" distR="0" wp14:anchorId="1856B476" wp14:editId="5155D447">
                  <wp:extent cx="2228850" cy="1546225"/>
                  <wp:effectExtent l="0" t="0" r="11430" b="825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131">
                            <a:extLst>
                              <a:ext uri="{28A0092B-C50C-407E-A947-70E740481C1C}">
                                <a14:useLocalDpi xmlns:a14="http://schemas.microsoft.com/office/drawing/2010/main" val="0"/>
                              </a:ext>
                            </a:extLst>
                          </a:blip>
                          <a:stretch>
                            <a:fillRect/>
                          </a:stretch>
                        </pic:blipFill>
                        <pic:spPr>
                          <a:xfrm>
                            <a:off x="0" y="0"/>
                            <a:ext cx="2239997" cy="1554485"/>
                          </a:xfrm>
                          <a:prstGeom prst="rect">
                            <a:avLst/>
                          </a:prstGeom>
                        </pic:spPr>
                      </pic:pic>
                    </a:graphicData>
                  </a:graphic>
                </wp:inline>
              </w:drawing>
            </w:r>
          </w:p>
        </w:tc>
      </w:tr>
      <w:tr w:rsidR="007D1E74" w14:paraId="59D69BA6" w14:textId="77777777">
        <w:tc>
          <w:tcPr>
            <w:tcW w:w="4649" w:type="dxa"/>
            <w:vAlign w:val="center"/>
          </w:tcPr>
          <w:p w14:paraId="567963B8" w14:textId="77777777" w:rsidR="007D1E74" w:rsidRDefault="00A95641">
            <w:pPr>
              <w:jc w:val="center"/>
              <w:rPr>
                <w:szCs w:val="21"/>
              </w:rPr>
            </w:pPr>
            <w:r>
              <w:rPr>
                <w:rFonts w:hint="eastAsia"/>
                <w:szCs w:val="21"/>
              </w:rPr>
              <w:t>芒灌草丛</w:t>
            </w:r>
          </w:p>
        </w:tc>
        <w:tc>
          <w:tcPr>
            <w:tcW w:w="4650" w:type="dxa"/>
            <w:vAlign w:val="center"/>
          </w:tcPr>
          <w:p w14:paraId="09F36782" w14:textId="77777777" w:rsidR="007D1E74" w:rsidRDefault="00A95641">
            <w:pPr>
              <w:jc w:val="center"/>
              <w:rPr>
                <w:szCs w:val="21"/>
              </w:rPr>
            </w:pPr>
            <w:r>
              <w:rPr>
                <w:rFonts w:hint="eastAsia"/>
                <w:szCs w:val="21"/>
              </w:rPr>
              <w:t>蒿灌草丛</w:t>
            </w:r>
          </w:p>
        </w:tc>
      </w:tr>
      <w:tr w:rsidR="007D1E74" w14:paraId="348F0164" w14:textId="77777777">
        <w:tc>
          <w:tcPr>
            <w:tcW w:w="4649" w:type="dxa"/>
            <w:vAlign w:val="center"/>
          </w:tcPr>
          <w:p w14:paraId="191E1CB4" w14:textId="77777777" w:rsidR="007D1E74" w:rsidRDefault="00A95641">
            <w:pPr>
              <w:jc w:val="center"/>
              <w:rPr>
                <w:szCs w:val="21"/>
              </w:rPr>
            </w:pPr>
            <w:r>
              <w:rPr>
                <w:rFonts w:hint="eastAsia"/>
                <w:noProof/>
                <w:szCs w:val="21"/>
              </w:rPr>
              <w:drawing>
                <wp:inline distT="0" distB="0" distL="0" distR="0" wp14:anchorId="64BD9796" wp14:editId="586D2FA1">
                  <wp:extent cx="2270125" cy="1572260"/>
                  <wp:effectExtent l="0" t="0" r="635" b="1270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132">
                            <a:extLst>
                              <a:ext uri="{28A0092B-C50C-407E-A947-70E740481C1C}">
                                <a14:useLocalDpi xmlns:a14="http://schemas.microsoft.com/office/drawing/2010/main" val="0"/>
                              </a:ext>
                            </a:extLst>
                          </a:blip>
                          <a:stretch>
                            <a:fillRect/>
                          </a:stretch>
                        </pic:blipFill>
                        <pic:spPr>
                          <a:xfrm>
                            <a:off x="0" y="0"/>
                            <a:ext cx="2270187" cy="1572731"/>
                          </a:xfrm>
                          <a:prstGeom prst="rect">
                            <a:avLst/>
                          </a:prstGeom>
                        </pic:spPr>
                      </pic:pic>
                    </a:graphicData>
                  </a:graphic>
                </wp:inline>
              </w:drawing>
            </w:r>
          </w:p>
        </w:tc>
        <w:tc>
          <w:tcPr>
            <w:tcW w:w="4650" w:type="dxa"/>
            <w:vAlign w:val="center"/>
          </w:tcPr>
          <w:p w14:paraId="333FE05C" w14:textId="77777777" w:rsidR="007D1E74" w:rsidRDefault="00A95641">
            <w:pPr>
              <w:jc w:val="center"/>
              <w:rPr>
                <w:szCs w:val="21"/>
              </w:rPr>
            </w:pPr>
            <w:r>
              <w:rPr>
                <w:rFonts w:hint="eastAsia"/>
                <w:noProof/>
                <w:szCs w:val="21"/>
              </w:rPr>
              <w:drawing>
                <wp:inline distT="0" distB="0" distL="0" distR="0" wp14:anchorId="6FC92108" wp14:editId="12051F2E">
                  <wp:extent cx="2239645" cy="1546860"/>
                  <wp:effectExtent l="0" t="0" r="635" b="762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133">
                            <a:extLst>
                              <a:ext uri="{28A0092B-C50C-407E-A947-70E740481C1C}">
                                <a14:useLocalDpi xmlns:a14="http://schemas.microsoft.com/office/drawing/2010/main" val="0"/>
                              </a:ext>
                            </a:extLst>
                          </a:blip>
                          <a:stretch>
                            <a:fillRect/>
                          </a:stretch>
                        </pic:blipFill>
                        <pic:spPr>
                          <a:xfrm>
                            <a:off x="0" y="0"/>
                            <a:ext cx="2239997" cy="1546997"/>
                          </a:xfrm>
                          <a:prstGeom prst="rect">
                            <a:avLst/>
                          </a:prstGeom>
                        </pic:spPr>
                      </pic:pic>
                    </a:graphicData>
                  </a:graphic>
                </wp:inline>
              </w:drawing>
            </w:r>
          </w:p>
        </w:tc>
      </w:tr>
      <w:tr w:rsidR="007D1E74" w14:paraId="1949CED8" w14:textId="77777777">
        <w:tc>
          <w:tcPr>
            <w:tcW w:w="4649" w:type="dxa"/>
            <w:vAlign w:val="center"/>
          </w:tcPr>
          <w:p w14:paraId="6D35163E" w14:textId="77777777" w:rsidR="007D1E74" w:rsidRDefault="00A95641">
            <w:pPr>
              <w:jc w:val="center"/>
              <w:rPr>
                <w:szCs w:val="21"/>
              </w:rPr>
            </w:pPr>
            <w:r>
              <w:rPr>
                <w:rFonts w:hint="eastAsia"/>
                <w:szCs w:val="21"/>
              </w:rPr>
              <w:t>水田</w:t>
            </w:r>
          </w:p>
        </w:tc>
        <w:tc>
          <w:tcPr>
            <w:tcW w:w="4650" w:type="dxa"/>
            <w:vAlign w:val="center"/>
          </w:tcPr>
          <w:p w14:paraId="28A33C37" w14:textId="77777777" w:rsidR="007D1E74" w:rsidRDefault="00A95641">
            <w:pPr>
              <w:jc w:val="center"/>
              <w:rPr>
                <w:szCs w:val="21"/>
              </w:rPr>
            </w:pPr>
            <w:r>
              <w:rPr>
                <w:rFonts w:hint="eastAsia"/>
                <w:szCs w:val="21"/>
              </w:rPr>
              <w:t>旱地</w:t>
            </w:r>
          </w:p>
        </w:tc>
      </w:tr>
      <w:tr w:rsidR="007D1E74" w14:paraId="113905EE" w14:textId="77777777">
        <w:tc>
          <w:tcPr>
            <w:tcW w:w="4649" w:type="dxa"/>
            <w:vAlign w:val="center"/>
          </w:tcPr>
          <w:p w14:paraId="3F90E52C" w14:textId="77777777" w:rsidR="007D1E74" w:rsidRDefault="00A95641">
            <w:pPr>
              <w:jc w:val="center"/>
              <w:rPr>
                <w:szCs w:val="21"/>
              </w:rPr>
            </w:pPr>
            <w:r>
              <w:rPr>
                <w:rFonts w:hint="eastAsia"/>
                <w:noProof/>
                <w:szCs w:val="21"/>
              </w:rPr>
              <w:lastRenderedPageBreak/>
              <w:drawing>
                <wp:inline distT="0" distB="0" distL="0" distR="0" wp14:anchorId="6989D125" wp14:editId="67296370">
                  <wp:extent cx="2270125" cy="1552575"/>
                  <wp:effectExtent l="0" t="0" r="635" b="190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0" y="0"/>
                            <a:ext cx="2270187" cy="1553108"/>
                          </a:xfrm>
                          <a:prstGeom prst="rect">
                            <a:avLst/>
                          </a:prstGeom>
                        </pic:spPr>
                      </pic:pic>
                    </a:graphicData>
                  </a:graphic>
                </wp:inline>
              </w:drawing>
            </w:r>
          </w:p>
        </w:tc>
        <w:tc>
          <w:tcPr>
            <w:tcW w:w="4650" w:type="dxa"/>
            <w:vAlign w:val="center"/>
          </w:tcPr>
          <w:p w14:paraId="34B4A55F" w14:textId="77777777" w:rsidR="007D1E74" w:rsidRDefault="00A95641">
            <w:pPr>
              <w:jc w:val="center"/>
              <w:rPr>
                <w:szCs w:val="21"/>
              </w:rPr>
            </w:pPr>
            <w:r>
              <w:rPr>
                <w:rFonts w:hint="eastAsia"/>
                <w:noProof/>
                <w:szCs w:val="21"/>
              </w:rPr>
              <w:drawing>
                <wp:inline distT="0" distB="0" distL="0" distR="0" wp14:anchorId="39D8A837" wp14:editId="47BA085E">
                  <wp:extent cx="2239645" cy="1527810"/>
                  <wp:effectExtent l="0" t="0" r="635" b="1143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2239997" cy="1528106"/>
                          </a:xfrm>
                          <a:prstGeom prst="rect">
                            <a:avLst/>
                          </a:prstGeom>
                        </pic:spPr>
                      </pic:pic>
                    </a:graphicData>
                  </a:graphic>
                </wp:inline>
              </w:drawing>
            </w:r>
          </w:p>
        </w:tc>
      </w:tr>
      <w:tr w:rsidR="007D1E74" w14:paraId="428CBC81" w14:textId="77777777">
        <w:tc>
          <w:tcPr>
            <w:tcW w:w="4649" w:type="dxa"/>
            <w:vAlign w:val="center"/>
          </w:tcPr>
          <w:p w14:paraId="53A53BD3" w14:textId="77777777" w:rsidR="007D1E74" w:rsidRDefault="00A95641">
            <w:pPr>
              <w:jc w:val="center"/>
              <w:rPr>
                <w:szCs w:val="21"/>
              </w:rPr>
            </w:pPr>
            <w:r>
              <w:rPr>
                <w:rFonts w:hint="eastAsia"/>
                <w:szCs w:val="21"/>
              </w:rPr>
              <w:t>果园</w:t>
            </w:r>
          </w:p>
        </w:tc>
        <w:tc>
          <w:tcPr>
            <w:tcW w:w="4650" w:type="dxa"/>
            <w:vAlign w:val="center"/>
          </w:tcPr>
          <w:p w14:paraId="04F4E89F" w14:textId="77777777" w:rsidR="007D1E74" w:rsidRDefault="00A95641">
            <w:pPr>
              <w:jc w:val="center"/>
              <w:rPr>
                <w:szCs w:val="21"/>
              </w:rPr>
            </w:pPr>
            <w:r>
              <w:rPr>
                <w:rFonts w:hint="eastAsia"/>
                <w:szCs w:val="21"/>
              </w:rPr>
              <w:t>人工经济林</w:t>
            </w:r>
          </w:p>
        </w:tc>
      </w:tr>
      <w:tr w:rsidR="007D1E74" w14:paraId="17959D1A" w14:textId="77777777">
        <w:tc>
          <w:tcPr>
            <w:tcW w:w="4649" w:type="dxa"/>
            <w:vAlign w:val="center"/>
          </w:tcPr>
          <w:p w14:paraId="2C28892A" w14:textId="77777777" w:rsidR="007D1E74" w:rsidRDefault="00A95641">
            <w:pPr>
              <w:jc w:val="center"/>
              <w:rPr>
                <w:szCs w:val="21"/>
              </w:rPr>
            </w:pPr>
            <w:r>
              <w:rPr>
                <w:rFonts w:hint="eastAsia"/>
                <w:noProof/>
                <w:szCs w:val="21"/>
              </w:rPr>
              <w:drawing>
                <wp:inline distT="0" distB="0" distL="0" distR="0" wp14:anchorId="46DFD571" wp14:editId="140C1AFB">
                  <wp:extent cx="2257425" cy="1552575"/>
                  <wp:effectExtent l="0" t="0" r="13335" b="190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0" y="0"/>
                            <a:ext cx="2258201" cy="1553109"/>
                          </a:xfrm>
                          <a:prstGeom prst="rect">
                            <a:avLst/>
                          </a:prstGeom>
                        </pic:spPr>
                      </pic:pic>
                    </a:graphicData>
                  </a:graphic>
                </wp:inline>
              </w:drawing>
            </w:r>
          </w:p>
        </w:tc>
        <w:tc>
          <w:tcPr>
            <w:tcW w:w="4650" w:type="dxa"/>
            <w:vAlign w:val="center"/>
          </w:tcPr>
          <w:p w14:paraId="2A22E41B" w14:textId="77777777" w:rsidR="007D1E74" w:rsidRDefault="00A95641">
            <w:pPr>
              <w:jc w:val="center"/>
              <w:rPr>
                <w:szCs w:val="21"/>
              </w:rPr>
            </w:pPr>
            <w:r>
              <w:rPr>
                <w:rFonts w:hint="eastAsia"/>
                <w:noProof/>
                <w:szCs w:val="21"/>
              </w:rPr>
              <w:drawing>
                <wp:inline distT="0" distB="0" distL="0" distR="0" wp14:anchorId="2F73DB3D" wp14:editId="0AAE74A7">
                  <wp:extent cx="2228850" cy="1527175"/>
                  <wp:effectExtent l="0" t="0" r="11430" b="1206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0" y="0"/>
                            <a:ext cx="2266910" cy="1553804"/>
                          </a:xfrm>
                          <a:prstGeom prst="rect">
                            <a:avLst/>
                          </a:prstGeom>
                        </pic:spPr>
                      </pic:pic>
                    </a:graphicData>
                  </a:graphic>
                </wp:inline>
              </w:drawing>
            </w:r>
          </w:p>
        </w:tc>
      </w:tr>
      <w:tr w:rsidR="007D1E74" w14:paraId="28622E97" w14:textId="77777777">
        <w:tc>
          <w:tcPr>
            <w:tcW w:w="4649" w:type="dxa"/>
            <w:vAlign w:val="center"/>
          </w:tcPr>
          <w:p w14:paraId="61B8B83F" w14:textId="77777777" w:rsidR="007D1E74" w:rsidRDefault="00A95641">
            <w:pPr>
              <w:jc w:val="center"/>
              <w:rPr>
                <w:szCs w:val="21"/>
              </w:rPr>
            </w:pPr>
            <w:r>
              <w:rPr>
                <w:rFonts w:hint="eastAsia"/>
                <w:szCs w:val="21"/>
              </w:rPr>
              <w:t>S</w:t>
            </w:r>
            <w:r>
              <w:rPr>
                <w:szCs w:val="21"/>
              </w:rPr>
              <w:t>201</w:t>
            </w:r>
            <w:r>
              <w:rPr>
                <w:szCs w:val="21"/>
              </w:rPr>
              <w:t>两侧行道树</w:t>
            </w:r>
          </w:p>
        </w:tc>
        <w:tc>
          <w:tcPr>
            <w:tcW w:w="4650" w:type="dxa"/>
            <w:vAlign w:val="center"/>
          </w:tcPr>
          <w:p w14:paraId="068145DF" w14:textId="77777777" w:rsidR="007D1E74" w:rsidRDefault="00A95641">
            <w:pPr>
              <w:jc w:val="center"/>
              <w:rPr>
                <w:szCs w:val="21"/>
              </w:rPr>
            </w:pPr>
            <w:r>
              <w:rPr>
                <w:rFonts w:hint="eastAsia"/>
                <w:szCs w:val="21"/>
              </w:rPr>
              <w:t>S</w:t>
            </w:r>
            <w:r>
              <w:rPr>
                <w:szCs w:val="21"/>
              </w:rPr>
              <w:t>201</w:t>
            </w:r>
            <w:r>
              <w:rPr>
                <w:szCs w:val="21"/>
              </w:rPr>
              <w:t>两侧行道树</w:t>
            </w:r>
          </w:p>
        </w:tc>
      </w:tr>
    </w:tbl>
    <w:p w14:paraId="59A221A2" w14:textId="77777777" w:rsidR="007D1E74" w:rsidRDefault="00A95641">
      <w:pPr>
        <w:spacing w:line="360" w:lineRule="auto"/>
        <w:ind w:firstLineChars="200" w:firstLine="482"/>
        <w:rPr>
          <w:b/>
          <w:sz w:val="24"/>
          <w:szCs w:val="24"/>
        </w:rPr>
      </w:pPr>
      <w:r>
        <w:rPr>
          <w:rFonts w:hint="eastAsia"/>
          <w:b/>
          <w:sz w:val="24"/>
          <w:szCs w:val="24"/>
        </w:rPr>
        <w:t>（</w:t>
      </w:r>
      <w:r>
        <w:rPr>
          <w:b/>
          <w:sz w:val="24"/>
          <w:szCs w:val="24"/>
        </w:rPr>
        <w:t>4</w:t>
      </w:r>
      <w:r>
        <w:rPr>
          <w:rFonts w:hint="eastAsia"/>
          <w:b/>
          <w:sz w:val="24"/>
          <w:szCs w:val="24"/>
        </w:rPr>
        <w:t>）植被生物量</w:t>
      </w:r>
    </w:p>
    <w:p w14:paraId="3BF12855" w14:textId="77777777" w:rsidR="007D1E74" w:rsidRDefault="00A95641">
      <w:pPr>
        <w:spacing w:line="360" w:lineRule="auto"/>
        <w:ind w:firstLineChars="200" w:firstLine="480"/>
        <w:rPr>
          <w:rFonts w:cs="Times New Roman"/>
          <w:sz w:val="24"/>
          <w:szCs w:val="24"/>
        </w:rPr>
      </w:pPr>
      <w:r>
        <w:rPr>
          <w:rFonts w:cs="Times New Roman"/>
          <w:sz w:val="24"/>
          <w:szCs w:val="24"/>
        </w:rPr>
        <w:t>评价区内植被的影响采用生物量（生产力）指标来评价。</w:t>
      </w:r>
    </w:p>
    <w:p w14:paraId="2DA50E9C" w14:textId="77777777" w:rsidR="007D1E74" w:rsidRDefault="00A95641">
      <w:pPr>
        <w:spacing w:line="360" w:lineRule="auto"/>
        <w:ind w:firstLineChars="200" w:firstLine="480"/>
        <w:rPr>
          <w:rFonts w:cs="Times New Roman"/>
          <w:sz w:val="24"/>
          <w:szCs w:val="24"/>
        </w:rPr>
      </w:pPr>
      <w:r>
        <w:rPr>
          <w:rFonts w:cs="Times New Roman"/>
          <w:sz w:val="24"/>
          <w:szCs w:val="24"/>
        </w:rPr>
        <w:t>生物量（生产力）的估算方法：</w:t>
      </w:r>
      <w:r>
        <w:rPr>
          <w:rFonts w:cs="Times New Roman"/>
          <w:sz w:val="24"/>
          <w:szCs w:val="24"/>
        </w:rPr>
        <w:t>Σ</w:t>
      </w:r>
      <w:r>
        <w:rPr>
          <w:rFonts w:cs="Times New Roman"/>
          <w:sz w:val="24"/>
          <w:szCs w:val="24"/>
        </w:rPr>
        <w:t>影响评价面积</w:t>
      </w:r>
      <w:r>
        <w:rPr>
          <w:rFonts w:cs="Times New Roman"/>
          <w:sz w:val="24"/>
          <w:szCs w:val="24"/>
        </w:rPr>
        <w:t>×</w:t>
      </w:r>
      <w:r>
        <w:rPr>
          <w:rFonts w:cs="Times New Roman"/>
          <w:sz w:val="24"/>
          <w:szCs w:val="24"/>
        </w:rPr>
        <w:t>各植被类型单位面积的生物量（生产力）。</w:t>
      </w:r>
      <w:r>
        <w:rPr>
          <w:rFonts w:cs="Times New Roman"/>
          <w:sz w:val="24"/>
          <w:szCs w:val="24"/>
        </w:rPr>
        <w:t xml:space="preserve"> </w:t>
      </w:r>
      <w:r>
        <w:rPr>
          <w:rFonts w:cs="Times New Roman"/>
          <w:sz w:val="24"/>
          <w:szCs w:val="24"/>
        </w:rPr>
        <w:t>依据冯宗炜编著《中国森林生态系统的生物量与生产力》对不同类型林分生物量与生产力的研究结果以及调查访问人工植被区的作物产量</w:t>
      </w:r>
      <w:r>
        <w:rPr>
          <w:rFonts w:cs="Times New Roman" w:hint="eastAsia"/>
          <w:sz w:val="24"/>
          <w:szCs w:val="24"/>
        </w:rPr>
        <w:t>等信息，本节将评价区域内各种植被类型的生物量与生产力分列如下。</w:t>
      </w:r>
    </w:p>
    <w:p w14:paraId="302E4652" w14:textId="77777777" w:rsidR="007D1E74" w:rsidRDefault="00A95641">
      <w:pPr>
        <w:pStyle w:val="afffffe"/>
        <w:numPr>
          <w:ilvl w:val="0"/>
          <w:numId w:val="43"/>
        </w:numPr>
        <w:spacing w:line="360" w:lineRule="auto"/>
        <w:ind w:firstLineChars="0"/>
        <w:jc w:val="center"/>
        <w:rPr>
          <w:rFonts w:eastAsia="黑体" w:cs="Times New Roman"/>
          <w:szCs w:val="21"/>
        </w:rPr>
      </w:pPr>
      <w:r>
        <w:rPr>
          <w:rFonts w:eastAsia="黑体" w:cs="Times New Roman" w:hint="eastAsia"/>
          <w:szCs w:val="21"/>
        </w:rPr>
        <w:t>评价区不同植被类型单位面积的平均生物量与生产力</w:t>
      </w:r>
    </w:p>
    <w:tbl>
      <w:tblPr>
        <w:tblStyle w:val="affffc"/>
        <w:tblW w:w="0" w:type="auto"/>
        <w:tblLook w:val="04A0" w:firstRow="1" w:lastRow="0" w:firstColumn="1" w:lastColumn="0" w:noHBand="0" w:noVBand="1"/>
      </w:tblPr>
      <w:tblGrid>
        <w:gridCol w:w="2983"/>
        <w:gridCol w:w="3013"/>
        <w:gridCol w:w="3020"/>
      </w:tblGrid>
      <w:tr w:rsidR="007D1E74" w14:paraId="2CF93456" w14:textId="77777777">
        <w:tc>
          <w:tcPr>
            <w:tcW w:w="3099" w:type="dxa"/>
            <w:vAlign w:val="center"/>
          </w:tcPr>
          <w:p w14:paraId="7A4C94D9" w14:textId="77777777" w:rsidR="007D1E74" w:rsidRDefault="00A95641">
            <w:pPr>
              <w:jc w:val="center"/>
              <w:rPr>
                <w:rFonts w:cs="Times New Roman"/>
                <w:szCs w:val="21"/>
              </w:rPr>
            </w:pPr>
            <w:r>
              <w:rPr>
                <w:rFonts w:cs="Times New Roman"/>
                <w:szCs w:val="21"/>
              </w:rPr>
              <w:t>植被类型</w:t>
            </w:r>
          </w:p>
        </w:tc>
        <w:tc>
          <w:tcPr>
            <w:tcW w:w="3100" w:type="dxa"/>
            <w:vAlign w:val="center"/>
          </w:tcPr>
          <w:p w14:paraId="66F73999" w14:textId="77777777" w:rsidR="007D1E74" w:rsidRDefault="00A95641">
            <w:pPr>
              <w:jc w:val="center"/>
              <w:rPr>
                <w:rFonts w:cs="Times New Roman"/>
                <w:szCs w:val="21"/>
              </w:rPr>
            </w:pPr>
            <w:r>
              <w:rPr>
                <w:rFonts w:cs="Times New Roman"/>
                <w:szCs w:val="21"/>
              </w:rPr>
              <w:t>生物量（</w:t>
            </w:r>
            <w:r>
              <w:rPr>
                <w:rFonts w:cs="Times New Roman"/>
                <w:szCs w:val="21"/>
              </w:rPr>
              <w:t>t/hm</w:t>
            </w:r>
            <w:r>
              <w:rPr>
                <w:rFonts w:cs="Times New Roman"/>
                <w:szCs w:val="21"/>
                <w:vertAlign w:val="superscript"/>
              </w:rPr>
              <w:t>2</w:t>
            </w:r>
            <w:r>
              <w:rPr>
                <w:rFonts w:cs="Times New Roman"/>
                <w:szCs w:val="21"/>
              </w:rPr>
              <w:t>）</w:t>
            </w:r>
          </w:p>
        </w:tc>
        <w:tc>
          <w:tcPr>
            <w:tcW w:w="3100" w:type="dxa"/>
            <w:vAlign w:val="center"/>
          </w:tcPr>
          <w:p w14:paraId="35698AA9" w14:textId="77777777" w:rsidR="007D1E74" w:rsidRDefault="00A95641">
            <w:pPr>
              <w:jc w:val="center"/>
              <w:rPr>
                <w:rFonts w:cs="Times New Roman"/>
                <w:szCs w:val="21"/>
              </w:rPr>
            </w:pPr>
            <w:r>
              <w:rPr>
                <w:rFonts w:cs="Times New Roman"/>
                <w:szCs w:val="21"/>
              </w:rPr>
              <w:t>生产力（</w:t>
            </w:r>
            <w:r>
              <w:rPr>
                <w:rFonts w:cs="Times New Roman"/>
                <w:szCs w:val="21"/>
              </w:rPr>
              <w:t>t/a·hm</w:t>
            </w:r>
            <w:r>
              <w:rPr>
                <w:rFonts w:cs="Times New Roman"/>
                <w:szCs w:val="21"/>
                <w:vertAlign w:val="superscript"/>
              </w:rPr>
              <w:t>2</w:t>
            </w:r>
            <w:r>
              <w:rPr>
                <w:rFonts w:cs="Times New Roman"/>
                <w:szCs w:val="21"/>
              </w:rPr>
              <w:t>）</w:t>
            </w:r>
          </w:p>
        </w:tc>
      </w:tr>
      <w:tr w:rsidR="007D1E74" w14:paraId="00B6DCF5" w14:textId="77777777">
        <w:tc>
          <w:tcPr>
            <w:tcW w:w="3099" w:type="dxa"/>
            <w:vAlign w:val="center"/>
          </w:tcPr>
          <w:p w14:paraId="6F5990E5" w14:textId="77777777" w:rsidR="007D1E74" w:rsidRDefault="00A95641">
            <w:pPr>
              <w:jc w:val="center"/>
              <w:rPr>
                <w:rFonts w:cs="Times New Roman"/>
                <w:szCs w:val="21"/>
              </w:rPr>
            </w:pPr>
            <w:r>
              <w:rPr>
                <w:rFonts w:cs="Times New Roman"/>
                <w:szCs w:val="21"/>
              </w:rPr>
              <w:t>针叶林</w:t>
            </w:r>
          </w:p>
        </w:tc>
        <w:tc>
          <w:tcPr>
            <w:tcW w:w="3100" w:type="dxa"/>
            <w:vAlign w:val="center"/>
          </w:tcPr>
          <w:p w14:paraId="5A18903C" w14:textId="77777777" w:rsidR="007D1E74" w:rsidRDefault="00A95641">
            <w:pPr>
              <w:jc w:val="center"/>
              <w:rPr>
                <w:rFonts w:cs="Times New Roman"/>
                <w:szCs w:val="21"/>
              </w:rPr>
            </w:pPr>
            <w:r>
              <w:rPr>
                <w:rFonts w:cs="Times New Roman" w:hint="eastAsia"/>
                <w:szCs w:val="21"/>
              </w:rPr>
              <w:t>2</w:t>
            </w:r>
            <w:r>
              <w:rPr>
                <w:rFonts w:cs="Times New Roman"/>
                <w:szCs w:val="21"/>
              </w:rPr>
              <w:t>25.25</w:t>
            </w:r>
          </w:p>
        </w:tc>
        <w:tc>
          <w:tcPr>
            <w:tcW w:w="3100" w:type="dxa"/>
            <w:vAlign w:val="center"/>
          </w:tcPr>
          <w:p w14:paraId="7B622F20" w14:textId="77777777" w:rsidR="007D1E74" w:rsidRDefault="00A95641">
            <w:pPr>
              <w:jc w:val="center"/>
              <w:rPr>
                <w:rFonts w:cs="Times New Roman"/>
                <w:szCs w:val="21"/>
              </w:rPr>
            </w:pPr>
            <w:r>
              <w:rPr>
                <w:rFonts w:cs="Times New Roman" w:hint="eastAsia"/>
                <w:szCs w:val="21"/>
              </w:rPr>
              <w:t>5</w:t>
            </w:r>
            <w:r>
              <w:rPr>
                <w:rFonts w:cs="Times New Roman"/>
                <w:szCs w:val="21"/>
              </w:rPr>
              <w:t>.3</w:t>
            </w:r>
          </w:p>
        </w:tc>
      </w:tr>
      <w:tr w:rsidR="007D1E74" w14:paraId="5064431C" w14:textId="77777777">
        <w:tc>
          <w:tcPr>
            <w:tcW w:w="3099" w:type="dxa"/>
            <w:vAlign w:val="center"/>
          </w:tcPr>
          <w:p w14:paraId="02476013" w14:textId="77777777" w:rsidR="007D1E74" w:rsidRDefault="00A95641">
            <w:pPr>
              <w:jc w:val="center"/>
              <w:rPr>
                <w:rFonts w:cs="Times New Roman"/>
                <w:szCs w:val="21"/>
              </w:rPr>
            </w:pPr>
            <w:r>
              <w:rPr>
                <w:rFonts w:cs="Times New Roman"/>
                <w:szCs w:val="21"/>
              </w:rPr>
              <w:t>阔叶林</w:t>
            </w:r>
          </w:p>
        </w:tc>
        <w:tc>
          <w:tcPr>
            <w:tcW w:w="3100" w:type="dxa"/>
            <w:vAlign w:val="center"/>
          </w:tcPr>
          <w:p w14:paraId="073D6DCF" w14:textId="77777777" w:rsidR="007D1E74" w:rsidRDefault="00A95641">
            <w:pPr>
              <w:jc w:val="center"/>
              <w:rPr>
                <w:rFonts w:cs="Times New Roman"/>
                <w:szCs w:val="21"/>
              </w:rPr>
            </w:pPr>
            <w:r>
              <w:rPr>
                <w:rFonts w:cs="Times New Roman" w:hint="eastAsia"/>
                <w:szCs w:val="21"/>
              </w:rPr>
              <w:t>1</w:t>
            </w:r>
            <w:r>
              <w:rPr>
                <w:rFonts w:cs="Times New Roman"/>
                <w:szCs w:val="21"/>
              </w:rPr>
              <w:t>72.68</w:t>
            </w:r>
          </w:p>
        </w:tc>
        <w:tc>
          <w:tcPr>
            <w:tcW w:w="3100" w:type="dxa"/>
            <w:vAlign w:val="center"/>
          </w:tcPr>
          <w:p w14:paraId="5AAA3FF3" w14:textId="77777777" w:rsidR="007D1E74" w:rsidRDefault="00A95641">
            <w:pPr>
              <w:jc w:val="center"/>
              <w:rPr>
                <w:rFonts w:cs="Times New Roman"/>
                <w:szCs w:val="21"/>
              </w:rPr>
            </w:pPr>
            <w:r>
              <w:rPr>
                <w:rFonts w:cs="Times New Roman" w:hint="eastAsia"/>
                <w:szCs w:val="21"/>
              </w:rPr>
              <w:t>7</w:t>
            </w:r>
            <w:r>
              <w:rPr>
                <w:rFonts w:cs="Times New Roman"/>
                <w:szCs w:val="21"/>
              </w:rPr>
              <w:t>.8</w:t>
            </w:r>
          </w:p>
        </w:tc>
      </w:tr>
      <w:tr w:rsidR="007D1E74" w14:paraId="0CAA1969" w14:textId="77777777">
        <w:tc>
          <w:tcPr>
            <w:tcW w:w="3099" w:type="dxa"/>
            <w:vAlign w:val="center"/>
          </w:tcPr>
          <w:p w14:paraId="316F773E" w14:textId="77777777" w:rsidR="007D1E74" w:rsidRDefault="00A95641">
            <w:pPr>
              <w:jc w:val="center"/>
              <w:rPr>
                <w:rFonts w:cs="Times New Roman"/>
                <w:szCs w:val="21"/>
              </w:rPr>
            </w:pPr>
            <w:r>
              <w:rPr>
                <w:rFonts w:cs="Times New Roman"/>
                <w:szCs w:val="21"/>
              </w:rPr>
              <w:t>竹林</w:t>
            </w:r>
          </w:p>
        </w:tc>
        <w:tc>
          <w:tcPr>
            <w:tcW w:w="3100" w:type="dxa"/>
            <w:vAlign w:val="center"/>
          </w:tcPr>
          <w:p w14:paraId="1C3E58D9" w14:textId="77777777" w:rsidR="007D1E74" w:rsidRDefault="00A95641">
            <w:pPr>
              <w:jc w:val="center"/>
              <w:rPr>
                <w:rFonts w:cs="Times New Roman"/>
                <w:szCs w:val="21"/>
              </w:rPr>
            </w:pPr>
            <w:r>
              <w:rPr>
                <w:rFonts w:cs="Times New Roman" w:hint="eastAsia"/>
                <w:szCs w:val="21"/>
              </w:rPr>
              <w:t>7</w:t>
            </w:r>
            <w:r>
              <w:rPr>
                <w:rFonts w:cs="Times New Roman"/>
                <w:szCs w:val="21"/>
              </w:rPr>
              <w:t>0.45</w:t>
            </w:r>
          </w:p>
        </w:tc>
        <w:tc>
          <w:tcPr>
            <w:tcW w:w="3100" w:type="dxa"/>
            <w:vAlign w:val="center"/>
          </w:tcPr>
          <w:p w14:paraId="1EE32FB6" w14:textId="77777777" w:rsidR="007D1E74" w:rsidRDefault="00A95641">
            <w:pPr>
              <w:jc w:val="center"/>
              <w:rPr>
                <w:rFonts w:cs="Times New Roman"/>
                <w:szCs w:val="21"/>
              </w:rPr>
            </w:pPr>
            <w:r>
              <w:rPr>
                <w:rFonts w:cs="Times New Roman" w:hint="eastAsia"/>
                <w:szCs w:val="21"/>
              </w:rPr>
              <w:t>3</w:t>
            </w:r>
            <w:r>
              <w:rPr>
                <w:rFonts w:cs="Times New Roman"/>
                <w:szCs w:val="21"/>
              </w:rPr>
              <w:t>.6</w:t>
            </w:r>
          </w:p>
        </w:tc>
      </w:tr>
      <w:tr w:rsidR="007D1E74" w14:paraId="6EA99AE3" w14:textId="77777777">
        <w:tc>
          <w:tcPr>
            <w:tcW w:w="3099" w:type="dxa"/>
            <w:vAlign w:val="center"/>
          </w:tcPr>
          <w:p w14:paraId="749D7EC6" w14:textId="77777777" w:rsidR="007D1E74" w:rsidRDefault="00A95641">
            <w:pPr>
              <w:jc w:val="center"/>
              <w:rPr>
                <w:rFonts w:cs="Times New Roman"/>
                <w:szCs w:val="21"/>
              </w:rPr>
            </w:pPr>
            <w:r>
              <w:rPr>
                <w:rFonts w:cs="Times New Roman"/>
                <w:szCs w:val="21"/>
              </w:rPr>
              <w:t>落叶阔叶灌丛</w:t>
            </w:r>
          </w:p>
        </w:tc>
        <w:tc>
          <w:tcPr>
            <w:tcW w:w="3100" w:type="dxa"/>
            <w:vAlign w:val="center"/>
          </w:tcPr>
          <w:p w14:paraId="59156385" w14:textId="77777777" w:rsidR="007D1E74" w:rsidRDefault="00A95641">
            <w:pPr>
              <w:jc w:val="center"/>
              <w:rPr>
                <w:rFonts w:cs="Times New Roman"/>
                <w:szCs w:val="21"/>
              </w:rPr>
            </w:pPr>
            <w:r>
              <w:rPr>
                <w:rFonts w:cs="Times New Roman" w:hint="eastAsia"/>
                <w:szCs w:val="21"/>
              </w:rPr>
              <w:t>3</w:t>
            </w:r>
            <w:r>
              <w:rPr>
                <w:rFonts w:cs="Times New Roman"/>
                <w:szCs w:val="21"/>
              </w:rPr>
              <w:t>3.45</w:t>
            </w:r>
          </w:p>
        </w:tc>
        <w:tc>
          <w:tcPr>
            <w:tcW w:w="3100" w:type="dxa"/>
            <w:vAlign w:val="center"/>
          </w:tcPr>
          <w:p w14:paraId="2497CD3E" w14:textId="77777777" w:rsidR="007D1E74" w:rsidRDefault="00A95641">
            <w:pPr>
              <w:jc w:val="center"/>
              <w:rPr>
                <w:rFonts w:cs="Times New Roman"/>
                <w:szCs w:val="21"/>
              </w:rPr>
            </w:pPr>
            <w:r>
              <w:rPr>
                <w:rFonts w:cs="Times New Roman" w:hint="eastAsia"/>
                <w:szCs w:val="21"/>
              </w:rPr>
              <w:t>3</w:t>
            </w:r>
            <w:r>
              <w:rPr>
                <w:rFonts w:cs="Times New Roman"/>
                <w:szCs w:val="21"/>
              </w:rPr>
              <w:t>.6</w:t>
            </w:r>
          </w:p>
        </w:tc>
      </w:tr>
      <w:tr w:rsidR="007D1E74" w14:paraId="5CCBB948" w14:textId="77777777">
        <w:tc>
          <w:tcPr>
            <w:tcW w:w="3099" w:type="dxa"/>
            <w:vAlign w:val="center"/>
          </w:tcPr>
          <w:p w14:paraId="7BA7EEB9" w14:textId="77777777" w:rsidR="007D1E74" w:rsidRDefault="00A95641">
            <w:pPr>
              <w:jc w:val="center"/>
              <w:rPr>
                <w:rFonts w:cs="Times New Roman"/>
                <w:szCs w:val="21"/>
              </w:rPr>
            </w:pPr>
            <w:r>
              <w:rPr>
                <w:rFonts w:cs="Times New Roman"/>
                <w:szCs w:val="21"/>
              </w:rPr>
              <w:t>灌草丛</w:t>
            </w:r>
          </w:p>
        </w:tc>
        <w:tc>
          <w:tcPr>
            <w:tcW w:w="3100" w:type="dxa"/>
            <w:vAlign w:val="center"/>
          </w:tcPr>
          <w:p w14:paraId="747E1D93" w14:textId="77777777" w:rsidR="007D1E74" w:rsidRDefault="00A95641">
            <w:pPr>
              <w:jc w:val="center"/>
              <w:rPr>
                <w:rFonts w:cs="Times New Roman"/>
                <w:szCs w:val="21"/>
              </w:rPr>
            </w:pPr>
            <w:r>
              <w:rPr>
                <w:rFonts w:cs="Times New Roman"/>
                <w:szCs w:val="21"/>
              </w:rPr>
              <w:t>8.15</w:t>
            </w:r>
          </w:p>
        </w:tc>
        <w:tc>
          <w:tcPr>
            <w:tcW w:w="3100" w:type="dxa"/>
            <w:vAlign w:val="center"/>
          </w:tcPr>
          <w:p w14:paraId="25417FAC" w14:textId="77777777" w:rsidR="007D1E74" w:rsidRDefault="00A95641">
            <w:pPr>
              <w:jc w:val="center"/>
              <w:rPr>
                <w:rFonts w:cs="Times New Roman"/>
                <w:szCs w:val="21"/>
              </w:rPr>
            </w:pPr>
            <w:r>
              <w:rPr>
                <w:rFonts w:cs="Times New Roman" w:hint="eastAsia"/>
                <w:szCs w:val="21"/>
              </w:rPr>
              <w:t>0</w:t>
            </w:r>
            <w:r>
              <w:rPr>
                <w:rFonts w:cs="Times New Roman"/>
                <w:szCs w:val="21"/>
              </w:rPr>
              <w:t>.4</w:t>
            </w:r>
          </w:p>
        </w:tc>
      </w:tr>
      <w:tr w:rsidR="007D1E74" w14:paraId="41F46F04" w14:textId="77777777">
        <w:tc>
          <w:tcPr>
            <w:tcW w:w="3099" w:type="dxa"/>
            <w:vAlign w:val="center"/>
          </w:tcPr>
          <w:p w14:paraId="0E8FEA28" w14:textId="77777777" w:rsidR="007D1E74" w:rsidRDefault="00A95641">
            <w:pPr>
              <w:jc w:val="center"/>
              <w:rPr>
                <w:rFonts w:cs="Times New Roman"/>
                <w:szCs w:val="21"/>
              </w:rPr>
            </w:pPr>
            <w:r>
              <w:rPr>
                <w:rFonts w:cs="Times New Roman"/>
                <w:szCs w:val="21"/>
              </w:rPr>
              <w:t>经济林</w:t>
            </w:r>
          </w:p>
        </w:tc>
        <w:tc>
          <w:tcPr>
            <w:tcW w:w="3100" w:type="dxa"/>
            <w:vAlign w:val="center"/>
          </w:tcPr>
          <w:p w14:paraId="4216C2B1" w14:textId="77777777" w:rsidR="007D1E74" w:rsidRDefault="00A95641">
            <w:pPr>
              <w:jc w:val="center"/>
              <w:rPr>
                <w:rFonts w:cs="Times New Roman"/>
                <w:szCs w:val="21"/>
              </w:rPr>
            </w:pPr>
            <w:r>
              <w:rPr>
                <w:rFonts w:cs="Times New Roman" w:hint="eastAsia"/>
                <w:szCs w:val="21"/>
              </w:rPr>
              <w:t>1</w:t>
            </w:r>
            <w:r>
              <w:rPr>
                <w:rFonts w:cs="Times New Roman"/>
                <w:szCs w:val="21"/>
              </w:rPr>
              <w:t>62.65</w:t>
            </w:r>
          </w:p>
        </w:tc>
        <w:tc>
          <w:tcPr>
            <w:tcW w:w="3100" w:type="dxa"/>
            <w:vAlign w:val="center"/>
          </w:tcPr>
          <w:p w14:paraId="7E37E90C" w14:textId="77777777" w:rsidR="007D1E74" w:rsidRDefault="00A95641">
            <w:pPr>
              <w:jc w:val="center"/>
              <w:rPr>
                <w:rFonts w:cs="Times New Roman"/>
                <w:szCs w:val="21"/>
              </w:rPr>
            </w:pPr>
            <w:r>
              <w:rPr>
                <w:rFonts w:cs="Times New Roman" w:hint="eastAsia"/>
                <w:szCs w:val="21"/>
              </w:rPr>
              <w:t>7</w:t>
            </w:r>
            <w:r>
              <w:rPr>
                <w:rFonts w:cs="Times New Roman"/>
                <w:szCs w:val="21"/>
              </w:rPr>
              <w:t>.8</w:t>
            </w:r>
          </w:p>
        </w:tc>
      </w:tr>
      <w:tr w:rsidR="007D1E74" w14:paraId="6E85AAFD" w14:textId="77777777">
        <w:tc>
          <w:tcPr>
            <w:tcW w:w="3099" w:type="dxa"/>
            <w:vAlign w:val="center"/>
          </w:tcPr>
          <w:p w14:paraId="5953B775" w14:textId="77777777" w:rsidR="007D1E74" w:rsidRDefault="00A95641">
            <w:pPr>
              <w:jc w:val="center"/>
              <w:rPr>
                <w:rFonts w:cs="Times New Roman"/>
                <w:szCs w:val="21"/>
              </w:rPr>
            </w:pPr>
            <w:r>
              <w:rPr>
                <w:rFonts w:cs="Times New Roman"/>
                <w:szCs w:val="21"/>
              </w:rPr>
              <w:t>园地</w:t>
            </w:r>
          </w:p>
        </w:tc>
        <w:tc>
          <w:tcPr>
            <w:tcW w:w="3100" w:type="dxa"/>
            <w:vAlign w:val="center"/>
          </w:tcPr>
          <w:p w14:paraId="7BB1D685" w14:textId="77777777" w:rsidR="007D1E74" w:rsidRDefault="00A95641">
            <w:pPr>
              <w:jc w:val="center"/>
              <w:rPr>
                <w:rFonts w:cs="Times New Roman"/>
                <w:szCs w:val="21"/>
              </w:rPr>
            </w:pPr>
            <w:r>
              <w:rPr>
                <w:rFonts w:cs="Times New Roman" w:hint="eastAsia"/>
                <w:szCs w:val="21"/>
              </w:rPr>
              <w:t>6</w:t>
            </w:r>
            <w:r>
              <w:rPr>
                <w:rFonts w:cs="Times New Roman"/>
                <w:szCs w:val="21"/>
              </w:rPr>
              <w:t>0.2</w:t>
            </w:r>
          </w:p>
        </w:tc>
        <w:tc>
          <w:tcPr>
            <w:tcW w:w="3100" w:type="dxa"/>
            <w:vAlign w:val="center"/>
          </w:tcPr>
          <w:p w14:paraId="707FB668" w14:textId="77777777" w:rsidR="007D1E74" w:rsidRDefault="00A95641">
            <w:pPr>
              <w:jc w:val="center"/>
              <w:rPr>
                <w:rFonts w:cs="Times New Roman"/>
                <w:szCs w:val="21"/>
              </w:rPr>
            </w:pPr>
            <w:r>
              <w:rPr>
                <w:rFonts w:cs="Times New Roman" w:hint="eastAsia"/>
                <w:szCs w:val="21"/>
              </w:rPr>
              <w:t>1</w:t>
            </w:r>
            <w:r>
              <w:rPr>
                <w:rFonts w:cs="Times New Roman"/>
                <w:szCs w:val="21"/>
              </w:rPr>
              <w:t>.2</w:t>
            </w:r>
          </w:p>
        </w:tc>
      </w:tr>
      <w:tr w:rsidR="007D1E74" w14:paraId="1A946940" w14:textId="77777777">
        <w:tc>
          <w:tcPr>
            <w:tcW w:w="3099" w:type="dxa"/>
            <w:vAlign w:val="center"/>
          </w:tcPr>
          <w:p w14:paraId="18FDABD1" w14:textId="77777777" w:rsidR="007D1E74" w:rsidRDefault="00A95641">
            <w:pPr>
              <w:jc w:val="center"/>
              <w:rPr>
                <w:rFonts w:cs="Times New Roman"/>
                <w:szCs w:val="21"/>
              </w:rPr>
            </w:pPr>
            <w:r>
              <w:rPr>
                <w:rFonts w:cs="Times New Roman"/>
                <w:szCs w:val="21"/>
              </w:rPr>
              <w:t>旱地</w:t>
            </w:r>
          </w:p>
        </w:tc>
        <w:tc>
          <w:tcPr>
            <w:tcW w:w="3100" w:type="dxa"/>
            <w:vAlign w:val="center"/>
          </w:tcPr>
          <w:p w14:paraId="56B526CC" w14:textId="77777777" w:rsidR="007D1E74" w:rsidRDefault="00A95641">
            <w:pPr>
              <w:jc w:val="center"/>
              <w:rPr>
                <w:rFonts w:cs="Times New Roman"/>
                <w:szCs w:val="21"/>
              </w:rPr>
            </w:pPr>
            <w:r>
              <w:rPr>
                <w:rFonts w:cs="Times New Roman" w:hint="eastAsia"/>
                <w:szCs w:val="21"/>
              </w:rPr>
              <w:t>9</w:t>
            </w:r>
            <w:r>
              <w:rPr>
                <w:rFonts w:cs="Times New Roman"/>
                <w:szCs w:val="21"/>
              </w:rPr>
              <w:t>.42</w:t>
            </w:r>
          </w:p>
        </w:tc>
        <w:tc>
          <w:tcPr>
            <w:tcW w:w="3100" w:type="dxa"/>
            <w:vAlign w:val="center"/>
          </w:tcPr>
          <w:p w14:paraId="7E9E50F3" w14:textId="77777777" w:rsidR="007D1E74" w:rsidRDefault="00A95641">
            <w:pPr>
              <w:jc w:val="center"/>
              <w:rPr>
                <w:rFonts w:cs="Times New Roman"/>
                <w:szCs w:val="21"/>
              </w:rPr>
            </w:pPr>
            <w:r>
              <w:rPr>
                <w:rFonts w:cs="Times New Roman" w:hint="eastAsia"/>
                <w:szCs w:val="21"/>
              </w:rPr>
              <w:t>1</w:t>
            </w:r>
            <w:r>
              <w:rPr>
                <w:rFonts w:cs="Times New Roman"/>
                <w:szCs w:val="21"/>
              </w:rPr>
              <w:t>0.36</w:t>
            </w:r>
          </w:p>
        </w:tc>
      </w:tr>
      <w:tr w:rsidR="007D1E74" w14:paraId="347E9B73" w14:textId="77777777">
        <w:tc>
          <w:tcPr>
            <w:tcW w:w="3099" w:type="dxa"/>
            <w:vAlign w:val="center"/>
          </w:tcPr>
          <w:p w14:paraId="4A96702D" w14:textId="77777777" w:rsidR="007D1E74" w:rsidRDefault="00A95641">
            <w:pPr>
              <w:jc w:val="center"/>
              <w:rPr>
                <w:rFonts w:cs="Times New Roman"/>
                <w:szCs w:val="21"/>
              </w:rPr>
            </w:pPr>
            <w:r>
              <w:rPr>
                <w:rFonts w:cs="Times New Roman"/>
                <w:szCs w:val="21"/>
              </w:rPr>
              <w:t>水田</w:t>
            </w:r>
          </w:p>
        </w:tc>
        <w:tc>
          <w:tcPr>
            <w:tcW w:w="3100" w:type="dxa"/>
            <w:vAlign w:val="center"/>
          </w:tcPr>
          <w:p w14:paraId="085A4378" w14:textId="77777777" w:rsidR="007D1E74" w:rsidRDefault="00A95641">
            <w:pPr>
              <w:jc w:val="center"/>
              <w:rPr>
                <w:rFonts w:cs="Times New Roman"/>
                <w:szCs w:val="21"/>
              </w:rPr>
            </w:pPr>
            <w:r>
              <w:rPr>
                <w:rFonts w:cs="Times New Roman" w:hint="eastAsia"/>
                <w:szCs w:val="21"/>
              </w:rPr>
              <w:t>1</w:t>
            </w:r>
            <w:r>
              <w:rPr>
                <w:rFonts w:cs="Times New Roman"/>
                <w:szCs w:val="21"/>
              </w:rPr>
              <w:t>0.48</w:t>
            </w:r>
          </w:p>
        </w:tc>
        <w:tc>
          <w:tcPr>
            <w:tcW w:w="3100" w:type="dxa"/>
            <w:vAlign w:val="center"/>
          </w:tcPr>
          <w:p w14:paraId="09DB1343" w14:textId="77777777" w:rsidR="007D1E74" w:rsidRDefault="00A95641">
            <w:pPr>
              <w:jc w:val="center"/>
              <w:rPr>
                <w:rFonts w:cs="Times New Roman"/>
                <w:szCs w:val="21"/>
              </w:rPr>
            </w:pPr>
            <w:r>
              <w:rPr>
                <w:rFonts w:cs="Times New Roman" w:hint="eastAsia"/>
                <w:szCs w:val="21"/>
              </w:rPr>
              <w:t>1</w:t>
            </w:r>
            <w:r>
              <w:rPr>
                <w:rFonts w:cs="Times New Roman"/>
                <w:szCs w:val="21"/>
              </w:rPr>
              <w:t>2.42</w:t>
            </w:r>
          </w:p>
        </w:tc>
      </w:tr>
      <w:tr w:rsidR="007D1E74" w14:paraId="417F8DA4" w14:textId="77777777">
        <w:tc>
          <w:tcPr>
            <w:tcW w:w="9299" w:type="dxa"/>
            <w:gridSpan w:val="3"/>
            <w:vAlign w:val="center"/>
          </w:tcPr>
          <w:p w14:paraId="781E67C3" w14:textId="77777777" w:rsidR="007D1E74" w:rsidRDefault="00A95641">
            <w:pPr>
              <w:rPr>
                <w:rFonts w:cs="Times New Roman"/>
                <w:szCs w:val="21"/>
              </w:rPr>
            </w:pPr>
            <w:r>
              <w:rPr>
                <w:rFonts w:cs="Times New Roman" w:hint="eastAsia"/>
                <w:szCs w:val="21"/>
              </w:rPr>
              <w:t>注：依据冯宗炜编著《中国森林生态系统的生物量与生产力》对不同类型林分生物量与生产力的研究结果和现场调查人工栽培植被区的作物产量信息。</w:t>
            </w:r>
          </w:p>
        </w:tc>
      </w:tr>
    </w:tbl>
    <w:p w14:paraId="55699256" w14:textId="77777777" w:rsidR="007D1E74" w:rsidRDefault="00A95641">
      <w:pPr>
        <w:spacing w:line="360" w:lineRule="auto"/>
        <w:ind w:firstLineChars="200" w:firstLine="480"/>
        <w:rPr>
          <w:rFonts w:cs="Times New Roman"/>
          <w:sz w:val="24"/>
          <w:szCs w:val="24"/>
        </w:rPr>
      </w:pPr>
      <w:r>
        <w:rPr>
          <w:rFonts w:cs="Times New Roman" w:hint="eastAsia"/>
          <w:sz w:val="24"/>
          <w:szCs w:val="24"/>
        </w:rPr>
        <w:t>根据此次影响评价区内各植被类型的分布面积和上表中各植被类型单位面积的生物量值（生产力值），估算评价区植被生物量（生产力）情况如下表：</w:t>
      </w:r>
    </w:p>
    <w:p w14:paraId="4E1FCB34" w14:textId="77777777" w:rsidR="007D1E74" w:rsidRDefault="00A95641">
      <w:pPr>
        <w:pStyle w:val="afffffe"/>
        <w:numPr>
          <w:ilvl w:val="0"/>
          <w:numId w:val="43"/>
        </w:numPr>
        <w:spacing w:line="360" w:lineRule="auto"/>
        <w:ind w:firstLineChars="0"/>
        <w:jc w:val="center"/>
        <w:rPr>
          <w:rFonts w:eastAsia="黑体" w:cs="Times New Roman"/>
          <w:szCs w:val="21"/>
        </w:rPr>
      </w:pPr>
      <w:r>
        <w:rPr>
          <w:rFonts w:eastAsia="黑体" w:cs="Times New Roman" w:hint="eastAsia"/>
          <w:szCs w:val="21"/>
        </w:rPr>
        <w:lastRenderedPageBreak/>
        <w:t>评价区植被的生物量与生产力</w:t>
      </w:r>
    </w:p>
    <w:tbl>
      <w:tblPr>
        <w:tblStyle w:val="affffc"/>
        <w:tblW w:w="0" w:type="auto"/>
        <w:tblLook w:val="04A0" w:firstRow="1" w:lastRow="0" w:firstColumn="1" w:lastColumn="0" w:noHBand="0" w:noVBand="1"/>
      </w:tblPr>
      <w:tblGrid>
        <w:gridCol w:w="2125"/>
        <w:gridCol w:w="2289"/>
        <w:gridCol w:w="2306"/>
        <w:gridCol w:w="2296"/>
      </w:tblGrid>
      <w:tr w:rsidR="007D1E74" w14:paraId="3A390F73" w14:textId="77777777">
        <w:tc>
          <w:tcPr>
            <w:tcW w:w="2218" w:type="dxa"/>
            <w:vAlign w:val="center"/>
          </w:tcPr>
          <w:p w14:paraId="34C35B30" w14:textId="77777777" w:rsidR="007D1E74" w:rsidRDefault="00A95641">
            <w:pPr>
              <w:jc w:val="center"/>
              <w:rPr>
                <w:rFonts w:cs="Times New Roman"/>
                <w:szCs w:val="21"/>
              </w:rPr>
            </w:pPr>
            <w:r>
              <w:rPr>
                <w:rFonts w:cs="Times New Roman"/>
                <w:szCs w:val="21"/>
              </w:rPr>
              <w:t>植被类型</w:t>
            </w:r>
          </w:p>
        </w:tc>
        <w:tc>
          <w:tcPr>
            <w:tcW w:w="2360" w:type="dxa"/>
          </w:tcPr>
          <w:p w14:paraId="458E1D59" w14:textId="77777777" w:rsidR="007D1E74" w:rsidRDefault="00A95641">
            <w:pPr>
              <w:jc w:val="center"/>
              <w:rPr>
                <w:rFonts w:cs="Times New Roman"/>
                <w:szCs w:val="21"/>
              </w:rPr>
            </w:pPr>
            <w:r>
              <w:rPr>
                <w:rFonts w:cs="Times New Roman"/>
                <w:szCs w:val="21"/>
              </w:rPr>
              <w:t>分布面积（</w:t>
            </w:r>
            <w:r>
              <w:rPr>
                <w:rFonts w:cs="Times New Roman"/>
                <w:szCs w:val="21"/>
              </w:rPr>
              <w:t>hm</w:t>
            </w:r>
            <w:r>
              <w:rPr>
                <w:rFonts w:cs="Times New Roman"/>
                <w:szCs w:val="21"/>
                <w:vertAlign w:val="superscript"/>
              </w:rPr>
              <w:t>2</w:t>
            </w:r>
            <w:r>
              <w:rPr>
                <w:rFonts w:cs="Times New Roman"/>
                <w:szCs w:val="21"/>
              </w:rPr>
              <w:t>）</w:t>
            </w:r>
          </w:p>
        </w:tc>
        <w:tc>
          <w:tcPr>
            <w:tcW w:w="2360" w:type="dxa"/>
            <w:vAlign w:val="center"/>
          </w:tcPr>
          <w:p w14:paraId="7808C229" w14:textId="77777777" w:rsidR="007D1E74" w:rsidRDefault="00A95641">
            <w:pPr>
              <w:jc w:val="center"/>
              <w:rPr>
                <w:rFonts w:cs="Times New Roman"/>
                <w:szCs w:val="21"/>
              </w:rPr>
            </w:pPr>
            <w:r>
              <w:rPr>
                <w:rFonts w:cs="Times New Roman"/>
                <w:szCs w:val="21"/>
              </w:rPr>
              <w:t>生物量（</w:t>
            </w:r>
            <w:r>
              <w:rPr>
                <w:rFonts w:cs="Times New Roman"/>
                <w:szCs w:val="21"/>
              </w:rPr>
              <w:t>t</w:t>
            </w:r>
            <w:r>
              <w:rPr>
                <w:rFonts w:cs="Times New Roman"/>
                <w:szCs w:val="21"/>
              </w:rPr>
              <w:t>）</w:t>
            </w:r>
          </w:p>
        </w:tc>
        <w:tc>
          <w:tcPr>
            <w:tcW w:w="2361" w:type="dxa"/>
            <w:vAlign w:val="center"/>
          </w:tcPr>
          <w:p w14:paraId="030D8F24" w14:textId="77777777" w:rsidR="007D1E74" w:rsidRDefault="00A95641">
            <w:pPr>
              <w:jc w:val="center"/>
              <w:rPr>
                <w:rFonts w:cs="Times New Roman"/>
                <w:szCs w:val="21"/>
              </w:rPr>
            </w:pPr>
            <w:r>
              <w:rPr>
                <w:rFonts w:cs="Times New Roman"/>
                <w:szCs w:val="21"/>
              </w:rPr>
              <w:t>生产力（</w:t>
            </w:r>
            <w:r>
              <w:rPr>
                <w:rFonts w:cs="Times New Roman"/>
                <w:szCs w:val="21"/>
              </w:rPr>
              <w:t>t/a</w:t>
            </w:r>
            <w:r>
              <w:rPr>
                <w:rFonts w:cs="Times New Roman"/>
                <w:szCs w:val="21"/>
              </w:rPr>
              <w:t>）</w:t>
            </w:r>
          </w:p>
        </w:tc>
      </w:tr>
      <w:tr w:rsidR="007D1E74" w14:paraId="3A7894B9" w14:textId="77777777">
        <w:tc>
          <w:tcPr>
            <w:tcW w:w="2218" w:type="dxa"/>
            <w:vAlign w:val="center"/>
          </w:tcPr>
          <w:p w14:paraId="3A129189" w14:textId="77777777" w:rsidR="007D1E74" w:rsidRDefault="00A95641">
            <w:pPr>
              <w:jc w:val="center"/>
              <w:rPr>
                <w:rFonts w:cs="Times New Roman"/>
                <w:szCs w:val="21"/>
              </w:rPr>
            </w:pPr>
            <w:r>
              <w:rPr>
                <w:rFonts w:cs="Times New Roman"/>
                <w:szCs w:val="21"/>
              </w:rPr>
              <w:t>针叶林</w:t>
            </w:r>
          </w:p>
        </w:tc>
        <w:tc>
          <w:tcPr>
            <w:tcW w:w="2360" w:type="dxa"/>
          </w:tcPr>
          <w:p w14:paraId="75660EAE" w14:textId="77777777" w:rsidR="007D1E74" w:rsidRDefault="00A95641">
            <w:pPr>
              <w:jc w:val="center"/>
              <w:rPr>
                <w:rFonts w:cs="Times New Roman"/>
                <w:szCs w:val="21"/>
              </w:rPr>
            </w:pPr>
            <w:r>
              <w:rPr>
                <w:rFonts w:cs="Times New Roman" w:hint="eastAsia"/>
                <w:szCs w:val="21"/>
              </w:rPr>
              <w:t>5</w:t>
            </w:r>
            <w:r>
              <w:rPr>
                <w:rFonts w:cs="Times New Roman"/>
                <w:szCs w:val="21"/>
              </w:rPr>
              <w:t>361.92</w:t>
            </w:r>
          </w:p>
        </w:tc>
        <w:tc>
          <w:tcPr>
            <w:tcW w:w="2360" w:type="dxa"/>
            <w:vAlign w:val="center"/>
          </w:tcPr>
          <w:p w14:paraId="674E2836" w14:textId="77777777" w:rsidR="007D1E74" w:rsidRDefault="00A95641">
            <w:pPr>
              <w:jc w:val="center"/>
              <w:rPr>
                <w:rFonts w:cs="Times New Roman"/>
                <w:szCs w:val="21"/>
              </w:rPr>
            </w:pPr>
            <w:r>
              <w:rPr>
                <w:rFonts w:cs="Times New Roman" w:hint="eastAsia"/>
                <w:szCs w:val="21"/>
              </w:rPr>
              <w:t>1</w:t>
            </w:r>
            <w:r>
              <w:rPr>
                <w:rFonts w:cs="Times New Roman"/>
                <w:szCs w:val="21"/>
              </w:rPr>
              <w:t>207772.480</w:t>
            </w:r>
          </w:p>
        </w:tc>
        <w:tc>
          <w:tcPr>
            <w:tcW w:w="2361" w:type="dxa"/>
            <w:vAlign w:val="center"/>
          </w:tcPr>
          <w:p w14:paraId="3C699B53" w14:textId="77777777" w:rsidR="007D1E74" w:rsidRDefault="00A95641">
            <w:pPr>
              <w:jc w:val="center"/>
              <w:rPr>
                <w:rFonts w:cs="Times New Roman"/>
                <w:szCs w:val="21"/>
              </w:rPr>
            </w:pPr>
            <w:r>
              <w:rPr>
                <w:rFonts w:cs="Times New Roman" w:hint="eastAsia"/>
                <w:szCs w:val="21"/>
              </w:rPr>
              <w:t>2</w:t>
            </w:r>
            <w:r>
              <w:rPr>
                <w:rFonts w:cs="Times New Roman"/>
                <w:szCs w:val="21"/>
              </w:rPr>
              <w:t>8418.176</w:t>
            </w:r>
          </w:p>
        </w:tc>
      </w:tr>
      <w:tr w:rsidR="007D1E74" w14:paraId="6B3B3AA2" w14:textId="77777777">
        <w:tc>
          <w:tcPr>
            <w:tcW w:w="2218" w:type="dxa"/>
            <w:vAlign w:val="center"/>
          </w:tcPr>
          <w:p w14:paraId="3EEE4151" w14:textId="77777777" w:rsidR="007D1E74" w:rsidRDefault="00A95641">
            <w:pPr>
              <w:jc w:val="center"/>
              <w:rPr>
                <w:rFonts w:cs="Times New Roman"/>
                <w:szCs w:val="21"/>
              </w:rPr>
            </w:pPr>
            <w:r>
              <w:rPr>
                <w:rFonts w:cs="Times New Roman"/>
                <w:szCs w:val="21"/>
              </w:rPr>
              <w:t>阔叶林</w:t>
            </w:r>
          </w:p>
        </w:tc>
        <w:tc>
          <w:tcPr>
            <w:tcW w:w="2360" w:type="dxa"/>
          </w:tcPr>
          <w:p w14:paraId="554C9E89" w14:textId="77777777" w:rsidR="007D1E74" w:rsidRDefault="00A95641">
            <w:pPr>
              <w:jc w:val="center"/>
              <w:rPr>
                <w:rFonts w:cs="Times New Roman"/>
                <w:szCs w:val="21"/>
              </w:rPr>
            </w:pPr>
            <w:r>
              <w:rPr>
                <w:rFonts w:cs="Times New Roman" w:hint="eastAsia"/>
                <w:szCs w:val="21"/>
              </w:rPr>
              <w:t>1</w:t>
            </w:r>
            <w:r>
              <w:rPr>
                <w:rFonts w:cs="Times New Roman"/>
                <w:szCs w:val="21"/>
              </w:rPr>
              <w:t>490.54</w:t>
            </w:r>
          </w:p>
        </w:tc>
        <w:tc>
          <w:tcPr>
            <w:tcW w:w="2360" w:type="dxa"/>
            <w:vAlign w:val="center"/>
          </w:tcPr>
          <w:p w14:paraId="776ACD00" w14:textId="77777777" w:rsidR="007D1E74" w:rsidRDefault="00A95641">
            <w:pPr>
              <w:jc w:val="center"/>
              <w:rPr>
                <w:rFonts w:cs="Times New Roman"/>
                <w:szCs w:val="21"/>
              </w:rPr>
            </w:pPr>
            <w:r>
              <w:rPr>
                <w:rFonts w:cs="Times New Roman" w:hint="eastAsia"/>
                <w:szCs w:val="21"/>
              </w:rPr>
              <w:t>2</w:t>
            </w:r>
            <w:r>
              <w:rPr>
                <w:rFonts w:cs="Times New Roman"/>
                <w:szCs w:val="21"/>
              </w:rPr>
              <w:t>57386.447</w:t>
            </w:r>
          </w:p>
        </w:tc>
        <w:tc>
          <w:tcPr>
            <w:tcW w:w="2361" w:type="dxa"/>
            <w:vAlign w:val="center"/>
          </w:tcPr>
          <w:p w14:paraId="57477408" w14:textId="77777777" w:rsidR="007D1E74" w:rsidRDefault="00A95641">
            <w:pPr>
              <w:jc w:val="center"/>
              <w:rPr>
                <w:rFonts w:cs="Times New Roman"/>
                <w:szCs w:val="21"/>
              </w:rPr>
            </w:pPr>
            <w:r>
              <w:rPr>
                <w:rFonts w:cs="Times New Roman" w:hint="eastAsia"/>
                <w:szCs w:val="21"/>
              </w:rPr>
              <w:t>1</w:t>
            </w:r>
            <w:r>
              <w:rPr>
                <w:rFonts w:cs="Times New Roman"/>
                <w:szCs w:val="21"/>
              </w:rPr>
              <w:t>1626.212</w:t>
            </w:r>
          </w:p>
        </w:tc>
      </w:tr>
      <w:tr w:rsidR="007D1E74" w14:paraId="171979E3" w14:textId="77777777">
        <w:tc>
          <w:tcPr>
            <w:tcW w:w="2218" w:type="dxa"/>
            <w:vAlign w:val="center"/>
          </w:tcPr>
          <w:p w14:paraId="5A454FFC" w14:textId="77777777" w:rsidR="007D1E74" w:rsidRDefault="00A95641">
            <w:pPr>
              <w:jc w:val="center"/>
              <w:rPr>
                <w:rFonts w:cs="Times New Roman"/>
                <w:szCs w:val="21"/>
              </w:rPr>
            </w:pPr>
            <w:r>
              <w:rPr>
                <w:rFonts w:cs="Times New Roman"/>
                <w:szCs w:val="21"/>
              </w:rPr>
              <w:t>竹林</w:t>
            </w:r>
          </w:p>
        </w:tc>
        <w:tc>
          <w:tcPr>
            <w:tcW w:w="2360" w:type="dxa"/>
          </w:tcPr>
          <w:p w14:paraId="301A6F8F" w14:textId="77777777" w:rsidR="007D1E74" w:rsidRDefault="00A95641">
            <w:pPr>
              <w:jc w:val="center"/>
              <w:rPr>
                <w:rFonts w:cs="Times New Roman"/>
                <w:szCs w:val="21"/>
              </w:rPr>
            </w:pPr>
            <w:r>
              <w:rPr>
                <w:rFonts w:cs="Times New Roman" w:hint="eastAsia"/>
                <w:szCs w:val="21"/>
              </w:rPr>
              <w:t>3</w:t>
            </w:r>
            <w:r>
              <w:rPr>
                <w:rFonts w:cs="Times New Roman"/>
                <w:szCs w:val="21"/>
              </w:rPr>
              <w:t>.17</w:t>
            </w:r>
          </w:p>
        </w:tc>
        <w:tc>
          <w:tcPr>
            <w:tcW w:w="2360" w:type="dxa"/>
            <w:vAlign w:val="center"/>
          </w:tcPr>
          <w:p w14:paraId="013681D7" w14:textId="77777777" w:rsidR="007D1E74" w:rsidRDefault="00A95641">
            <w:pPr>
              <w:jc w:val="center"/>
              <w:rPr>
                <w:rFonts w:cs="Times New Roman"/>
                <w:szCs w:val="21"/>
              </w:rPr>
            </w:pPr>
            <w:r>
              <w:rPr>
                <w:rFonts w:cs="Times New Roman" w:hint="eastAsia"/>
                <w:szCs w:val="21"/>
              </w:rPr>
              <w:t>2</w:t>
            </w:r>
            <w:r>
              <w:rPr>
                <w:rFonts w:cs="Times New Roman"/>
                <w:szCs w:val="21"/>
              </w:rPr>
              <w:t>23.327</w:t>
            </w:r>
          </w:p>
        </w:tc>
        <w:tc>
          <w:tcPr>
            <w:tcW w:w="2361" w:type="dxa"/>
            <w:vAlign w:val="center"/>
          </w:tcPr>
          <w:p w14:paraId="231FD41F" w14:textId="77777777" w:rsidR="007D1E74" w:rsidRDefault="00A95641">
            <w:pPr>
              <w:jc w:val="center"/>
              <w:rPr>
                <w:rFonts w:cs="Times New Roman"/>
                <w:szCs w:val="21"/>
              </w:rPr>
            </w:pPr>
            <w:r>
              <w:rPr>
                <w:rFonts w:cs="Times New Roman" w:hint="eastAsia"/>
                <w:szCs w:val="21"/>
              </w:rPr>
              <w:t>1</w:t>
            </w:r>
            <w:r>
              <w:rPr>
                <w:rFonts w:cs="Times New Roman"/>
                <w:szCs w:val="21"/>
              </w:rPr>
              <w:t>1.412</w:t>
            </w:r>
          </w:p>
        </w:tc>
      </w:tr>
      <w:tr w:rsidR="007D1E74" w14:paraId="2B1934C8" w14:textId="77777777">
        <w:tc>
          <w:tcPr>
            <w:tcW w:w="2218" w:type="dxa"/>
            <w:vAlign w:val="center"/>
          </w:tcPr>
          <w:p w14:paraId="4765C987" w14:textId="77777777" w:rsidR="007D1E74" w:rsidRDefault="00A95641">
            <w:pPr>
              <w:jc w:val="center"/>
              <w:rPr>
                <w:rFonts w:cs="Times New Roman"/>
                <w:szCs w:val="21"/>
              </w:rPr>
            </w:pPr>
            <w:r>
              <w:rPr>
                <w:rFonts w:cs="Times New Roman"/>
                <w:szCs w:val="21"/>
              </w:rPr>
              <w:t>落叶阔叶灌丛</w:t>
            </w:r>
          </w:p>
        </w:tc>
        <w:tc>
          <w:tcPr>
            <w:tcW w:w="2360" w:type="dxa"/>
          </w:tcPr>
          <w:p w14:paraId="26F109E3" w14:textId="77777777" w:rsidR="007D1E74" w:rsidRDefault="00A95641">
            <w:pPr>
              <w:jc w:val="center"/>
              <w:rPr>
                <w:rFonts w:cs="Times New Roman"/>
                <w:szCs w:val="21"/>
              </w:rPr>
            </w:pPr>
            <w:r>
              <w:rPr>
                <w:rFonts w:cs="Times New Roman" w:hint="eastAsia"/>
                <w:szCs w:val="21"/>
              </w:rPr>
              <w:t>9</w:t>
            </w:r>
            <w:r>
              <w:rPr>
                <w:rFonts w:cs="Times New Roman"/>
                <w:szCs w:val="21"/>
              </w:rPr>
              <w:t>2.07</w:t>
            </w:r>
          </w:p>
        </w:tc>
        <w:tc>
          <w:tcPr>
            <w:tcW w:w="2360" w:type="dxa"/>
            <w:vAlign w:val="center"/>
          </w:tcPr>
          <w:p w14:paraId="0815105A" w14:textId="77777777" w:rsidR="007D1E74" w:rsidRDefault="00A95641">
            <w:pPr>
              <w:jc w:val="center"/>
              <w:rPr>
                <w:rFonts w:cs="Times New Roman"/>
                <w:szCs w:val="21"/>
              </w:rPr>
            </w:pPr>
            <w:r>
              <w:rPr>
                <w:rFonts w:cs="Times New Roman" w:hint="eastAsia"/>
                <w:szCs w:val="21"/>
              </w:rPr>
              <w:t>3</w:t>
            </w:r>
            <w:r>
              <w:rPr>
                <w:rFonts w:cs="Times New Roman"/>
                <w:szCs w:val="21"/>
              </w:rPr>
              <w:t>079.742</w:t>
            </w:r>
          </w:p>
        </w:tc>
        <w:tc>
          <w:tcPr>
            <w:tcW w:w="2361" w:type="dxa"/>
            <w:vAlign w:val="center"/>
          </w:tcPr>
          <w:p w14:paraId="2B20F9BB" w14:textId="77777777" w:rsidR="007D1E74" w:rsidRDefault="00A95641">
            <w:pPr>
              <w:jc w:val="center"/>
              <w:rPr>
                <w:rFonts w:cs="Times New Roman"/>
                <w:szCs w:val="21"/>
              </w:rPr>
            </w:pPr>
            <w:r>
              <w:rPr>
                <w:rFonts w:cs="Times New Roman" w:hint="eastAsia"/>
                <w:szCs w:val="21"/>
              </w:rPr>
              <w:t>1</w:t>
            </w:r>
            <w:r>
              <w:rPr>
                <w:rFonts w:cs="Times New Roman"/>
                <w:szCs w:val="21"/>
              </w:rPr>
              <w:t>10.484</w:t>
            </w:r>
          </w:p>
        </w:tc>
      </w:tr>
      <w:tr w:rsidR="007D1E74" w14:paraId="01CC7B69" w14:textId="77777777">
        <w:tc>
          <w:tcPr>
            <w:tcW w:w="2218" w:type="dxa"/>
            <w:vAlign w:val="center"/>
          </w:tcPr>
          <w:p w14:paraId="010A98D4" w14:textId="77777777" w:rsidR="007D1E74" w:rsidRDefault="00A95641">
            <w:pPr>
              <w:jc w:val="center"/>
              <w:rPr>
                <w:rFonts w:cs="Times New Roman"/>
                <w:szCs w:val="21"/>
              </w:rPr>
            </w:pPr>
            <w:r>
              <w:rPr>
                <w:rFonts w:cs="Times New Roman"/>
                <w:szCs w:val="21"/>
              </w:rPr>
              <w:t>灌草丛</w:t>
            </w:r>
          </w:p>
        </w:tc>
        <w:tc>
          <w:tcPr>
            <w:tcW w:w="2360" w:type="dxa"/>
          </w:tcPr>
          <w:p w14:paraId="0E95AB06" w14:textId="77777777" w:rsidR="007D1E74" w:rsidRDefault="00A95641">
            <w:pPr>
              <w:jc w:val="center"/>
              <w:rPr>
                <w:rFonts w:cs="Times New Roman"/>
                <w:szCs w:val="21"/>
              </w:rPr>
            </w:pPr>
            <w:r>
              <w:rPr>
                <w:rFonts w:cs="Times New Roman" w:hint="eastAsia"/>
                <w:szCs w:val="21"/>
              </w:rPr>
              <w:t>1</w:t>
            </w:r>
            <w:r>
              <w:rPr>
                <w:rFonts w:cs="Times New Roman"/>
                <w:szCs w:val="21"/>
              </w:rPr>
              <w:t>50.78</w:t>
            </w:r>
          </w:p>
        </w:tc>
        <w:tc>
          <w:tcPr>
            <w:tcW w:w="2360" w:type="dxa"/>
            <w:vAlign w:val="center"/>
          </w:tcPr>
          <w:p w14:paraId="1ECECCE4" w14:textId="77777777" w:rsidR="007D1E74" w:rsidRDefault="00A95641">
            <w:pPr>
              <w:jc w:val="center"/>
              <w:rPr>
                <w:rFonts w:cs="Times New Roman"/>
                <w:szCs w:val="21"/>
              </w:rPr>
            </w:pPr>
            <w:r>
              <w:rPr>
                <w:rFonts w:cs="Times New Roman" w:hint="eastAsia"/>
                <w:szCs w:val="21"/>
              </w:rPr>
              <w:t>1</w:t>
            </w:r>
            <w:r>
              <w:rPr>
                <w:rFonts w:cs="Times New Roman"/>
                <w:szCs w:val="21"/>
              </w:rPr>
              <w:t>228.857</w:t>
            </w:r>
          </w:p>
        </w:tc>
        <w:tc>
          <w:tcPr>
            <w:tcW w:w="2361" w:type="dxa"/>
            <w:vAlign w:val="center"/>
          </w:tcPr>
          <w:p w14:paraId="7E96FF48" w14:textId="77777777" w:rsidR="007D1E74" w:rsidRDefault="00A95641">
            <w:pPr>
              <w:jc w:val="center"/>
              <w:rPr>
                <w:rFonts w:cs="Times New Roman"/>
                <w:szCs w:val="21"/>
              </w:rPr>
            </w:pPr>
            <w:r>
              <w:rPr>
                <w:rFonts w:cs="Times New Roman" w:hint="eastAsia"/>
                <w:szCs w:val="21"/>
              </w:rPr>
              <w:t>6</w:t>
            </w:r>
            <w:r>
              <w:rPr>
                <w:rFonts w:cs="Times New Roman"/>
                <w:szCs w:val="21"/>
              </w:rPr>
              <w:t>0.312</w:t>
            </w:r>
          </w:p>
        </w:tc>
      </w:tr>
      <w:tr w:rsidR="007D1E74" w14:paraId="27BD039F" w14:textId="77777777">
        <w:tc>
          <w:tcPr>
            <w:tcW w:w="2218" w:type="dxa"/>
            <w:vAlign w:val="center"/>
          </w:tcPr>
          <w:p w14:paraId="1CA72BF6" w14:textId="77777777" w:rsidR="007D1E74" w:rsidRDefault="00A95641">
            <w:pPr>
              <w:jc w:val="center"/>
              <w:rPr>
                <w:rFonts w:cs="Times New Roman"/>
                <w:szCs w:val="21"/>
              </w:rPr>
            </w:pPr>
            <w:r>
              <w:rPr>
                <w:rFonts w:cs="Times New Roman"/>
                <w:szCs w:val="21"/>
              </w:rPr>
              <w:t>经济林</w:t>
            </w:r>
          </w:p>
        </w:tc>
        <w:tc>
          <w:tcPr>
            <w:tcW w:w="2360" w:type="dxa"/>
          </w:tcPr>
          <w:p w14:paraId="544E346A" w14:textId="77777777" w:rsidR="007D1E74" w:rsidRDefault="00A95641">
            <w:pPr>
              <w:jc w:val="center"/>
              <w:rPr>
                <w:rFonts w:cs="Times New Roman"/>
                <w:szCs w:val="21"/>
              </w:rPr>
            </w:pPr>
            <w:r>
              <w:rPr>
                <w:rFonts w:cs="Times New Roman" w:hint="eastAsia"/>
                <w:szCs w:val="21"/>
              </w:rPr>
              <w:t>2</w:t>
            </w:r>
            <w:r>
              <w:rPr>
                <w:rFonts w:cs="Times New Roman"/>
                <w:szCs w:val="21"/>
              </w:rPr>
              <w:t>32.84</w:t>
            </w:r>
          </w:p>
        </w:tc>
        <w:tc>
          <w:tcPr>
            <w:tcW w:w="2360" w:type="dxa"/>
            <w:vAlign w:val="center"/>
          </w:tcPr>
          <w:p w14:paraId="573DB241" w14:textId="77777777" w:rsidR="007D1E74" w:rsidRDefault="00A95641">
            <w:pPr>
              <w:jc w:val="center"/>
              <w:rPr>
                <w:rFonts w:cs="Times New Roman"/>
                <w:szCs w:val="21"/>
              </w:rPr>
            </w:pPr>
            <w:r>
              <w:rPr>
                <w:rFonts w:cs="Times New Roman" w:hint="eastAsia"/>
                <w:szCs w:val="21"/>
              </w:rPr>
              <w:t>3</w:t>
            </w:r>
            <w:r>
              <w:rPr>
                <w:rFonts w:cs="Times New Roman"/>
                <w:szCs w:val="21"/>
              </w:rPr>
              <w:t>7871.426</w:t>
            </w:r>
          </w:p>
        </w:tc>
        <w:tc>
          <w:tcPr>
            <w:tcW w:w="2361" w:type="dxa"/>
            <w:vAlign w:val="center"/>
          </w:tcPr>
          <w:p w14:paraId="74EC4918" w14:textId="77777777" w:rsidR="007D1E74" w:rsidRDefault="00A95641">
            <w:pPr>
              <w:jc w:val="center"/>
              <w:rPr>
                <w:rFonts w:cs="Times New Roman"/>
                <w:szCs w:val="21"/>
              </w:rPr>
            </w:pPr>
            <w:r>
              <w:rPr>
                <w:rFonts w:cs="Times New Roman" w:hint="eastAsia"/>
                <w:szCs w:val="21"/>
              </w:rPr>
              <w:t>1</w:t>
            </w:r>
            <w:r>
              <w:rPr>
                <w:rFonts w:cs="Times New Roman"/>
                <w:szCs w:val="21"/>
              </w:rPr>
              <w:t>816.152</w:t>
            </w:r>
          </w:p>
        </w:tc>
      </w:tr>
      <w:tr w:rsidR="007D1E74" w14:paraId="079C3C55" w14:textId="77777777">
        <w:tc>
          <w:tcPr>
            <w:tcW w:w="2218" w:type="dxa"/>
            <w:vAlign w:val="center"/>
          </w:tcPr>
          <w:p w14:paraId="1940C5CD" w14:textId="77777777" w:rsidR="007D1E74" w:rsidRDefault="00A95641">
            <w:pPr>
              <w:jc w:val="center"/>
              <w:rPr>
                <w:rFonts w:cs="Times New Roman"/>
                <w:szCs w:val="21"/>
              </w:rPr>
            </w:pPr>
            <w:r>
              <w:rPr>
                <w:rFonts w:cs="Times New Roman"/>
                <w:szCs w:val="21"/>
              </w:rPr>
              <w:t>园地</w:t>
            </w:r>
          </w:p>
        </w:tc>
        <w:tc>
          <w:tcPr>
            <w:tcW w:w="2360" w:type="dxa"/>
          </w:tcPr>
          <w:p w14:paraId="64F1178C" w14:textId="77777777" w:rsidR="007D1E74" w:rsidRDefault="00A95641">
            <w:pPr>
              <w:jc w:val="center"/>
              <w:rPr>
                <w:rFonts w:cs="Times New Roman"/>
                <w:szCs w:val="21"/>
              </w:rPr>
            </w:pPr>
            <w:r>
              <w:rPr>
                <w:rFonts w:cs="Times New Roman" w:hint="eastAsia"/>
                <w:szCs w:val="21"/>
              </w:rPr>
              <w:t>4</w:t>
            </w:r>
            <w:r>
              <w:rPr>
                <w:rFonts w:cs="Times New Roman"/>
                <w:szCs w:val="21"/>
              </w:rPr>
              <w:t>8.75</w:t>
            </w:r>
          </w:p>
        </w:tc>
        <w:tc>
          <w:tcPr>
            <w:tcW w:w="2360" w:type="dxa"/>
            <w:vAlign w:val="center"/>
          </w:tcPr>
          <w:p w14:paraId="10213A0B" w14:textId="77777777" w:rsidR="007D1E74" w:rsidRDefault="00A95641">
            <w:pPr>
              <w:jc w:val="center"/>
              <w:rPr>
                <w:rFonts w:cs="Times New Roman"/>
                <w:szCs w:val="21"/>
              </w:rPr>
            </w:pPr>
            <w:r>
              <w:rPr>
                <w:rFonts w:cs="Times New Roman" w:hint="eastAsia"/>
                <w:szCs w:val="21"/>
              </w:rPr>
              <w:t>2</w:t>
            </w:r>
            <w:r>
              <w:rPr>
                <w:rFonts w:cs="Times New Roman"/>
                <w:szCs w:val="21"/>
              </w:rPr>
              <w:t>934.750</w:t>
            </w:r>
          </w:p>
        </w:tc>
        <w:tc>
          <w:tcPr>
            <w:tcW w:w="2361" w:type="dxa"/>
            <w:vAlign w:val="center"/>
          </w:tcPr>
          <w:p w14:paraId="65BC65DA" w14:textId="77777777" w:rsidR="007D1E74" w:rsidRDefault="00A95641">
            <w:pPr>
              <w:jc w:val="center"/>
              <w:rPr>
                <w:rFonts w:cs="Times New Roman"/>
                <w:szCs w:val="21"/>
              </w:rPr>
            </w:pPr>
            <w:r>
              <w:rPr>
                <w:rFonts w:cs="Times New Roman" w:hint="eastAsia"/>
                <w:szCs w:val="21"/>
              </w:rPr>
              <w:t>5</w:t>
            </w:r>
            <w:r>
              <w:rPr>
                <w:rFonts w:cs="Times New Roman"/>
                <w:szCs w:val="21"/>
              </w:rPr>
              <w:t>8.500</w:t>
            </w:r>
          </w:p>
        </w:tc>
      </w:tr>
      <w:tr w:rsidR="007D1E74" w14:paraId="65548B7A" w14:textId="77777777">
        <w:tc>
          <w:tcPr>
            <w:tcW w:w="2218" w:type="dxa"/>
            <w:vAlign w:val="center"/>
          </w:tcPr>
          <w:p w14:paraId="0FC33E15" w14:textId="77777777" w:rsidR="007D1E74" w:rsidRDefault="00A95641">
            <w:pPr>
              <w:jc w:val="center"/>
              <w:rPr>
                <w:rFonts w:cs="Times New Roman"/>
                <w:szCs w:val="21"/>
              </w:rPr>
            </w:pPr>
            <w:r>
              <w:rPr>
                <w:rFonts w:cs="Times New Roman"/>
                <w:szCs w:val="21"/>
              </w:rPr>
              <w:t>旱地</w:t>
            </w:r>
          </w:p>
        </w:tc>
        <w:tc>
          <w:tcPr>
            <w:tcW w:w="2360" w:type="dxa"/>
          </w:tcPr>
          <w:p w14:paraId="50315DC1" w14:textId="77777777" w:rsidR="007D1E74" w:rsidRDefault="00A95641">
            <w:pPr>
              <w:jc w:val="center"/>
              <w:rPr>
                <w:rFonts w:cs="Times New Roman"/>
                <w:szCs w:val="21"/>
              </w:rPr>
            </w:pPr>
            <w:r>
              <w:rPr>
                <w:rFonts w:cs="Times New Roman" w:hint="eastAsia"/>
                <w:szCs w:val="21"/>
              </w:rPr>
              <w:t>3</w:t>
            </w:r>
            <w:r>
              <w:rPr>
                <w:rFonts w:cs="Times New Roman"/>
                <w:szCs w:val="21"/>
              </w:rPr>
              <w:t>134.70</w:t>
            </w:r>
          </w:p>
        </w:tc>
        <w:tc>
          <w:tcPr>
            <w:tcW w:w="2360" w:type="dxa"/>
            <w:vAlign w:val="center"/>
          </w:tcPr>
          <w:p w14:paraId="10E6A2D0" w14:textId="77777777" w:rsidR="007D1E74" w:rsidRDefault="00A95641">
            <w:pPr>
              <w:jc w:val="center"/>
              <w:rPr>
                <w:rFonts w:cs="Times New Roman"/>
                <w:szCs w:val="21"/>
              </w:rPr>
            </w:pPr>
            <w:r>
              <w:rPr>
                <w:rFonts w:cs="Times New Roman" w:hint="eastAsia"/>
                <w:szCs w:val="21"/>
              </w:rPr>
              <w:t>2</w:t>
            </w:r>
            <w:r>
              <w:rPr>
                <w:rFonts w:cs="Times New Roman"/>
                <w:szCs w:val="21"/>
              </w:rPr>
              <w:t>9528.874</w:t>
            </w:r>
          </w:p>
        </w:tc>
        <w:tc>
          <w:tcPr>
            <w:tcW w:w="2361" w:type="dxa"/>
            <w:vAlign w:val="center"/>
          </w:tcPr>
          <w:p w14:paraId="7B00B60A" w14:textId="77777777" w:rsidR="007D1E74" w:rsidRDefault="00A95641">
            <w:pPr>
              <w:jc w:val="center"/>
              <w:rPr>
                <w:rFonts w:cs="Times New Roman"/>
                <w:szCs w:val="21"/>
              </w:rPr>
            </w:pPr>
            <w:r>
              <w:rPr>
                <w:rFonts w:cs="Times New Roman" w:hint="eastAsia"/>
                <w:szCs w:val="21"/>
              </w:rPr>
              <w:t>3</w:t>
            </w:r>
            <w:r>
              <w:rPr>
                <w:rFonts w:cs="Times New Roman"/>
                <w:szCs w:val="21"/>
              </w:rPr>
              <w:t>2475.492</w:t>
            </w:r>
          </w:p>
        </w:tc>
      </w:tr>
      <w:tr w:rsidR="007D1E74" w14:paraId="0DFFB691" w14:textId="77777777">
        <w:tc>
          <w:tcPr>
            <w:tcW w:w="2218" w:type="dxa"/>
            <w:vAlign w:val="center"/>
          </w:tcPr>
          <w:p w14:paraId="7777AC3F" w14:textId="77777777" w:rsidR="007D1E74" w:rsidRDefault="00A95641">
            <w:pPr>
              <w:jc w:val="center"/>
              <w:rPr>
                <w:rFonts w:cs="Times New Roman"/>
                <w:szCs w:val="21"/>
              </w:rPr>
            </w:pPr>
            <w:r>
              <w:rPr>
                <w:rFonts w:cs="Times New Roman"/>
                <w:szCs w:val="21"/>
              </w:rPr>
              <w:t>水田</w:t>
            </w:r>
          </w:p>
        </w:tc>
        <w:tc>
          <w:tcPr>
            <w:tcW w:w="2360" w:type="dxa"/>
          </w:tcPr>
          <w:p w14:paraId="4517E06D" w14:textId="77777777" w:rsidR="007D1E74" w:rsidRDefault="00A95641">
            <w:pPr>
              <w:jc w:val="center"/>
              <w:rPr>
                <w:rFonts w:cs="Times New Roman"/>
                <w:szCs w:val="21"/>
              </w:rPr>
            </w:pPr>
            <w:r>
              <w:rPr>
                <w:rFonts w:cs="Times New Roman" w:hint="eastAsia"/>
                <w:szCs w:val="21"/>
              </w:rPr>
              <w:t>1</w:t>
            </w:r>
            <w:r>
              <w:rPr>
                <w:rFonts w:cs="Times New Roman"/>
                <w:szCs w:val="21"/>
              </w:rPr>
              <w:t>08.14</w:t>
            </w:r>
          </w:p>
        </w:tc>
        <w:tc>
          <w:tcPr>
            <w:tcW w:w="2360" w:type="dxa"/>
            <w:vAlign w:val="center"/>
          </w:tcPr>
          <w:p w14:paraId="40099309" w14:textId="77777777" w:rsidR="007D1E74" w:rsidRDefault="00A95641">
            <w:pPr>
              <w:jc w:val="center"/>
              <w:rPr>
                <w:rFonts w:cs="Times New Roman"/>
                <w:szCs w:val="21"/>
              </w:rPr>
            </w:pPr>
            <w:r>
              <w:rPr>
                <w:rFonts w:cs="Times New Roman" w:hint="eastAsia"/>
                <w:szCs w:val="21"/>
              </w:rPr>
              <w:t>1</w:t>
            </w:r>
            <w:r>
              <w:rPr>
                <w:rFonts w:cs="Times New Roman"/>
                <w:szCs w:val="21"/>
              </w:rPr>
              <w:t>133.307</w:t>
            </w:r>
          </w:p>
        </w:tc>
        <w:tc>
          <w:tcPr>
            <w:tcW w:w="2361" w:type="dxa"/>
            <w:vAlign w:val="center"/>
          </w:tcPr>
          <w:p w14:paraId="4A5A8727" w14:textId="77777777" w:rsidR="007D1E74" w:rsidRDefault="00A95641">
            <w:pPr>
              <w:jc w:val="center"/>
              <w:rPr>
                <w:rFonts w:cs="Times New Roman"/>
                <w:szCs w:val="21"/>
              </w:rPr>
            </w:pPr>
            <w:r>
              <w:rPr>
                <w:rFonts w:cs="Times New Roman" w:hint="eastAsia"/>
                <w:szCs w:val="21"/>
              </w:rPr>
              <w:t>1</w:t>
            </w:r>
            <w:r>
              <w:rPr>
                <w:rFonts w:cs="Times New Roman"/>
                <w:szCs w:val="21"/>
              </w:rPr>
              <w:t>343.099</w:t>
            </w:r>
          </w:p>
        </w:tc>
      </w:tr>
      <w:tr w:rsidR="007D1E74" w14:paraId="48ECEDE7" w14:textId="77777777">
        <w:tc>
          <w:tcPr>
            <w:tcW w:w="2218" w:type="dxa"/>
            <w:vAlign w:val="center"/>
          </w:tcPr>
          <w:p w14:paraId="260B9286" w14:textId="77777777" w:rsidR="007D1E74" w:rsidRDefault="00A95641">
            <w:pPr>
              <w:jc w:val="center"/>
              <w:rPr>
                <w:rFonts w:cs="Times New Roman"/>
                <w:szCs w:val="21"/>
              </w:rPr>
            </w:pPr>
            <w:r>
              <w:rPr>
                <w:rFonts w:cs="Times New Roman"/>
                <w:szCs w:val="21"/>
              </w:rPr>
              <w:t>非植被区</w:t>
            </w:r>
          </w:p>
        </w:tc>
        <w:tc>
          <w:tcPr>
            <w:tcW w:w="2360" w:type="dxa"/>
          </w:tcPr>
          <w:p w14:paraId="2500DAD9" w14:textId="77777777" w:rsidR="007D1E74" w:rsidRDefault="00A95641">
            <w:pPr>
              <w:jc w:val="center"/>
              <w:rPr>
                <w:rFonts w:cs="Times New Roman"/>
                <w:szCs w:val="21"/>
              </w:rPr>
            </w:pPr>
            <w:r>
              <w:rPr>
                <w:rFonts w:cs="Times New Roman" w:hint="eastAsia"/>
                <w:szCs w:val="21"/>
              </w:rPr>
              <w:t>4</w:t>
            </w:r>
            <w:r>
              <w:rPr>
                <w:rFonts w:cs="Times New Roman"/>
                <w:szCs w:val="21"/>
              </w:rPr>
              <w:t>21.29</w:t>
            </w:r>
          </w:p>
        </w:tc>
        <w:tc>
          <w:tcPr>
            <w:tcW w:w="2360" w:type="dxa"/>
            <w:vAlign w:val="center"/>
          </w:tcPr>
          <w:p w14:paraId="2CD88B34" w14:textId="77777777" w:rsidR="007D1E74" w:rsidRDefault="00A95641">
            <w:pPr>
              <w:jc w:val="center"/>
              <w:rPr>
                <w:rFonts w:cs="Times New Roman"/>
                <w:szCs w:val="21"/>
              </w:rPr>
            </w:pPr>
            <w:r>
              <w:rPr>
                <w:rFonts w:cs="Times New Roman"/>
                <w:szCs w:val="21"/>
              </w:rPr>
              <w:t>0</w:t>
            </w:r>
          </w:p>
        </w:tc>
        <w:tc>
          <w:tcPr>
            <w:tcW w:w="2361" w:type="dxa"/>
            <w:vAlign w:val="center"/>
          </w:tcPr>
          <w:p w14:paraId="0A61119A" w14:textId="77777777" w:rsidR="007D1E74" w:rsidRDefault="00A95641">
            <w:pPr>
              <w:jc w:val="center"/>
              <w:rPr>
                <w:rFonts w:cs="Times New Roman"/>
                <w:szCs w:val="21"/>
              </w:rPr>
            </w:pPr>
            <w:r>
              <w:rPr>
                <w:rFonts w:cs="Times New Roman" w:hint="eastAsia"/>
                <w:szCs w:val="21"/>
              </w:rPr>
              <w:t>0</w:t>
            </w:r>
          </w:p>
        </w:tc>
      </w:tr>
      <w:tr w:rsidR="007D1E74" w14:paraId="56E0D021" w14:textId="77777777">
        <w:tc>
          <w:tcPr>
            <w:tcW w:w="2218" w:type="dxa"/>
            <w:vAlign w:val="center"/>
          </w:tcPr>
          <w:p w14:paraId="446F9028" w14:textId="77777777" w:rsidR="007D1E74" w:rsidRDefault="00A95641">
            <w:pPr>
              <w:jc w:val="center"/>
              <w:rPr>
                <w:rFonts w:cs="Times New Roman"/>
                <w:szCs w:val="21"/>
              </w:rPr>
            </w:pPr>
            <w:r>
              <w:rPr>
                <w:rFonts w:cs="Times New Roman"/>
                <w:szCs w:val="21"/>
              </w:rPr>
              <w:t>合计</w:t>
            </w:r>
          </w:p>
        </w:tc>
        <w:tc>
          <w:tcPr>
            <w:tcW w:w="2360" w:type="dxa"/>
          </w:tcPr>
          <w:p w14:paraId="06FA3530" w14:textId="77777777" w:rsidR="007D1E74" w:rsidRDefault="00A95641">
            <w:pPr>
              <w:jc w:val="center"/>
              <w:rPr>
                <w:rFonts w:cs="Times New Roman"/>
                <w:szCs w:val="21"/>
              </w:rPr>
            </w:pPr>
            <w:r>
              <w:rPr>
                <w:rFonts w:cs="Times New Roman" w:hint="eastAsia"/>
                <w:szCs w:val="21"/>
              </w:rPr>
              <w:t>1</w:t>
            </w:r>
            <w:r>
              <w:rPr>
                <w:rFonts w:cs="Times New Roman"/>
                <w:szCs w:val="21"/>
              </w:rPr>
              <w:t>1044.20</w:t>
            </w:r>
          </w:p>
        </w:tc>
        <w:tc>
          <w:tcPr>
            <w:tcW w:w="2360" w:type="dxa"/>
            <w:vAlign w:val="center"/>
          </w:tcPr>
          <w:p w14:paraId="47D72012" w14:textId="77777777" w:rsidR="007D1E74" w:rsidRDefault="00A95641">
            <w:pPr>
              <w:jc w:val="center"/>
              <w:rPr>
                <w:rFonts w:cs="Times New Roman"/>
                <w:szCs w:val="21"/>
              </w:rPr>
            </w:pPr>
            <w:r>
              <w:rPr>
                <w:rFonts w:cs="Times New Roman" w:hint="eastAsia"/>
                <w:szCs w:val="21"/>
              </w:rPr>
              <w:t>1</w:t>
            </w:r>
            <w:r>
              <w:rPr>
                <w:rFonts w:cs="Times New Roman"/>
                <w:szCs w:val="21"/>
              </w:rPr>
              <w:t>541159.209</w:t>
            </w:r>
          </w:p>
        </w:tc>
        <w:tc>
          <w:tcPr>
            <w:tcW w:w="2361" w:type="dxa"/>
            <w:vAlign w:val="center"/>
          </w:tcPr>
          <w:p w14:paraId="22F61DC5" w14:textId="77777777" w:rsidR="007D1E74" w:rsidRDefault="00A95641">
            <w:pPr>
              <w:jc w:val="center"/>
              <w:rPr>
                <w:rFonts w:cs="Times New Roman"/>
                <w:szCs w:val="21"/>
              </w:rPr>
            </w:pPr>
            <w:r>
              <w:rPr>
                <w:rFonts w:cs="Times New Roman" w:hint="eastAsia"/>
                <w:szCs w:val="21"/>
              </w:rPr>
              <w:t>7</w:t>
            </w:r>
            <w:r>
              <w:rPr>
                <w:rFonts w:cs="Times New Roman"/>
                <w:szCs w:val="21"/>
              </w:rPr>
              <w:t>5919.839</w:t>
            </w:r>
          </w:p>
        </w:tc>
      </w:tr>
    </w:tbl>
    <w:p w14:paraId="099D595C" w14:textId="77777777" w:rsidR="007D1E74" w:rsidRDefault="00A95641">
      <w:pPr>
        <w:spacing w:line="360" w:lineRule="auto"/>
        <w:ind w:firstLineChars="200" w:firstLine="480"/>
        <w:rPr>
          <w:rFonts w:cs="Times New Roman"/>
          <w:sz w:val="24"/>
          <w:szCs w:val="24"/>
        </w:rPr>
      </w:pPr>
      <w:r>
        <w:rPr>
          <w:rFonts w:cs="Times New Roman" w:hint="eastAsia"/>
          <w:sz w:val="24"/>
          <w:szCs w:val="24"/>
        </w:rPr>
        <w:t>由上表可见，评价区域内生物量最大的两类植被是针叶林和阔叶林，其生物量值为</w:t>
      </w:r>
      <w:r>
        <w:rPr>
          <w:rFonts w:cs="Times New Roman" w:hint="eastAsia"/>
          <w:sz w:val="24"/>
          <w:szCs w:val="24"/>
        </w:rPr>
        <w:t xml:space="preserve"> 1207772.480t</w:t>
      </w:r>
      <w:r>
        <w:rPr>
          <w:rFonts w:cs="Times New Roman" w:hint="eastAsia"/>
          <w:sz w:val="24"/>
          <w:szCs w:val="24"/>
        </w:rPr>
        <w:t>和</w:t>
      </w:r>
      <w:r>
        <w:rPr>
          <w:rFonts w:cs="Times New Roman" w:hint="eastAsia"/>
          <w:sz w:val="24"/>
          <w:szCs w:val="24"/>
        </w:rPr>
        <w:t>257386.447t</w:t>
      </w:r>
      <w:r>
        <w:rPr>
          <w:rFonts w:cs="Times New Roman" w:hint="eastAsia"/>
          <w:sz w:val="24"/>
          <w:szCs w:val="24"/>
        </w:rPr>
        <w:t>，分别占评价区总生物量</w:t>
      </w:r>
      <w:r>
        <w:rPr>
          <w:rFonts w:cs="Times New Roman" w:hint="eastAsia"/>
          <w:sz w:val="24"/>
          <w:szCs w:val="24"/>
        </w:rPr>
        <w:t>1541159.209t</w:t>
      </w:r>
      <w:r>
        <w:rPr>
          <w:rFonts w:cs="Times New Roman" w:hint="eastAsia"/>
          <w:sz w:val="24"/>
          <w:szCs w:val="24"/>
        </w:rPr>
        <w:t>的</w:t>
      </w:r>
      <w:r>
        <w:rPr>
          <w:rFonts w:cs="Times New Roman" w:hint="eastAsia"/>
          <w:sz w:val="24"/>
          <w:szCs w:val="24"/>
        </w:rPr>
        <w:t>78.37%</w:t>
      </w:r>
      <w:r>
        <w:rPr>
          <w:rFonts w:cs="Times New Roman" w:hint="eastAsia"/>
          <w:sz w:val="24"/>
          <w:szCs w:val="24"/>
        </w:rPr>
        <w:t>和</w:t>
      </w:r>
      <w:r>
        <w:rPr>
          <w:rFonts w:cs="Times New Roman" w:hint="eastAsia"/>
          <w:sz w:val="24"/>
          <w:szCs w:val="24"/>
        </w:rPr>
        <w:t>16.70%</w:t>
      </w:r>
      <w:r>
        <w:rPr>
          <w:rFonts w:cs="Times New Roman" w:hint="eastAsia"/>
          <w:sz w:val="24"/>
          <w:szCs w:val="24"/>
        </w:rPr>
        <w:t>；生产力最大的植被类型是水田、针叶林和阔叶林，其生产力值为</w:t>
      </w:r>
      <w:r>
        <w:rPr>
          <w:rFonts w:cs="Times New Roman" w:hint="eastAsia"/>
          <w:sz w:val="24"/>
          <w:szCs w:val="24"/>
        </w:rPr>
        <w:t>32475.492t/a</w:t>
      </w:r>
      <w:r>
        <w:rPr>
          <w:rFonts w:cs="Times New Roman" w:hint="eastAsia"/>
          <w:sz w:val="24"/>
          <w:szCs w:val="24"/>
        </w:rPr>
        <w:t>、</w:t>
      </w:r>
      <w:r>
        <w:rPr>
          <w:rFonts w:cs="Times New Roman" w:hint="eastAsia"/>
          <w:sz w:val="24"/>
          <w:szCs w:val="24"/>
        </w:rPr>
        <w:t>28418.176t/a</w:t>
      </w:r>
      <w:r>
        <w:rPr>
          <w:rFonts w:cs="Times New Roman" w:hint="eastAsia"/>
          <w:sz w:val="24"/>
          <w:szCs w:val="24"/>
        </w:rPr>
        <w:t>和</w:t>
      </w:r>
      <w:r>
        <w:rPr>
          <w:rFonts w:cs="Times New Roman" w:hint="eastAsia"/>
          <w:sz w:val="24"/>
          <w:szCs w:val="24"/>
        </w:rPr>
        <w:t>11626.212t/a</w:t>
      </w:r>
      <w:r>
        <w:rPr>
          <w:rFonts w:cs="Times New Roman" w:hint="eastAsia"/>
          <w:sz w:val="24"/>
          <w:szCs w:val="24"/>
        </w:rPr>
        <w:t>，分别占评价区总生产力值</w:t>
      </w:r>
      <w:r>
        <w:rPr>
          <w:rFonts w:cs="Times New Roman" w:hint="eastAsia"/>
          <w:sz w:val="24"/>
          <w:szCs w:val="24"/>
        </w:rPr>
        <w:t>75919.839t/a</w:t>
      </w:r>
      <w:r>
        <w:rPr>
          <w:rFonts w:cs="Times New Roman" w:hint="eastAsia"/>
          <w:sz w:val="24"/>
          <w:szCs w:val="24"/>
        </w:rPr>
        <w:t>的</w:t>
      </w:r>
      <w:r>
        <w:rPr>
          <w:rFonts w:cs="Times New Roman" w:hint="eastAsia"/>
          <w:sz w:val="24"/>
          <w:szCs w:val="24"/>
        </w:rPr>
        <w:t>42.78%</w:t>
      </w:r>
      <w:r>
        <w:rPr>
          <w:rFonts w:cs="Times New Roman" w:hint="eastAsia"/>
          <w:sz w:val="24"/>
          <w:szCs w:val="24"/>
        </w:rPr>
        <w:t>、</w:t>
      </w:r>
      <w:r>
        <w:rPr>
          <w:rFonts w:cs="Times New Roman" w:hint="eastAsia"/>
          <w:sz w:val="24"/>
          <w:szCs w:val="24"/>
        </w:rPr>
        <w:t>37.43%</w:t>
      </w:r>
      <w:r>
        <w:rPr>
          <w:rFonts w:cs="Times New Roman" w:hint="eastAsia"/>
          <w:sz w:val="24"/>
          <w:szCs w:val="24"/>
        </w:rPr>
        <w:t>和</w:t>
      </w:r>
      <w:r>
        <w:rPr>
          <w:rFonts w:cs="Times New Roman" w:hint="eastAsia"/>
          <w:sz w:val="24"/>
          <w:szCs w:val="24"/>
        </w:rPr>
        <w:t>15.31%</w:t>
      </w:r>
      <w:r>
        <w:rPr>
          <w:rFonts w:cs="Times New Roman" w:hint="eastAsia"/>
          <w:sz w:val="24"/>
          <w:szCs w:val="24"/>
        </w:rPr>
        <w:t>。</w:t>
      </w:r>
    </w:p>
    <w:p w14:paraId="7479C9F4" w14:textId="77777777" w:rsidR="007D1E74" w:rsidRDefault="00A95641">
      <w:pPr>
        <w:spacing w:line="360" w:lineRule="auto"/>
        <w:ind w:firstLineChars="200" w:firstLine="480"/>
        <w:rPr>
          <w:rFonts w:cs="Times New Roman"/>
          <w:sz w:val="24"/>
          <w:szCs w:val="24"/>
        </w:rPr>
      </w:pPr>
      <w:r>
        <w:rPr>
          <w:rFonts w:cs="Times New Roman" w:hint="eastAsia"/>
          <w:sz w:val="24"/>
          <w:szCs w:val="24"/>
        </w:rPr>
        <w:t>综上所述，评价范围内的植物多样性和植被有以下特点：</w:t>
      </w:r>
    </w:p>
    <w:p w14:paraId="7F4583EE" w14:textId="77777777" w:rsidR="007D1E74" w:rsidRDefault="00A95641">
      <w:pPr>
        <w:spacing w:line="360" w:lineRule="auto"/>
        <w:ind w:firstLineChars="200" w:firstLine="480"/>
        <w:rPr>
          <w:rFonts w:cs="Times New Roman"/>
          <w:sz w:val="24"/>
          <w:szCs w:val="24"/>
        </w:rPr>
      </w:pPr>
      <w:r>
        <w:rPr>
          <w:rFonts w:cs="Times New Roman" w:hint="eastAsia"/>
          <w:sz w:val="24"/>
          <w:szCs w:val="24"/>
        </w:rPr>
        <w:t>维管束植物的科属种数量较丰富，少种科在科数量和所含物种部数占优势，多种科数量相对较少但单科优势度显著，表明该区植物区系成分分化明显，植物类群较为丰富；从种子植物区系特征上分析，温带成分与热带成分数量和比例相近，说明本区域种子植物的地理分布性质为典型的亚热带植物区系特点；由于历史原因，评价范围内植被受人为破坏严重，原生的天然植被已不复存在仅留下次生的树林和小面积灌丛，因此植被类型及各植被类型的组成和结构都比较简单，这些植被类型主要有柏木林、麻栎林、栎柏混交林、桤柏混交林、少量马尾松林和杉木林、零星的慈竹林、马桑灌丛、黄荆灌丛、盐肤木灌丛、火棘灌丛、悬钩子灌丛、水麻灌丛、白茅草丛、芒灌草丛、蒿灌草丛、小蓬草灌草丛、蕨灌草丛、芒萁灌草丛、农耕地、园地、经济林等，林地绝大部分是人工种植和原生植被被破坏后所形成的次生林，耕地栽培植被类型以水稻、玉米、小麦、油菜为主，其它作物包括大豆、蚕豆、豌豆、红薯、莲等，园地栽培植物以经济林木、果树为主，药用植物栽植非常稀少；</w:t>
      </w:r>
      <w:r>
        <w:rPr>
          <w:rFonts w:cs="Times New Roman" w:hint="eastAsia"/>
          <w:sz w:val="24"/>
          <w:szCs w:val="24"/>
        </w:rPr>
        <w:t xml:space="preserve"> </w:t>
      </w:r>
      <w:r>
        <w:rPr>
          <w:rFonts w:cs="Times New Roman" w:hint="eastAsia"/>
          <w:sz w:val="24"/>
          <w:szCs w:val="24"/>
        </w:rPr>
        <w:t>评价区在四川盆地内属农业耕作悠久但仍不发达的边缘地区，农耕区大春作物中水田以水稻为主，旱地以玉米、番薯为主，小春作物以油菜、小麦、蚕豆为主，均为一年两熟类型，经济林木以核桃、柚、栗、猕猴桃、柑橘、</w:t>
      </w:r>
      <w:r>
        <w:rPr>
          <w:rFonts w:cs="Times New Roman" w:hint="eastAsia"/>
          <w:sz w:val="24"/>
          <w:szCs w:val="24"/>
        </w:rPr>
        <w:lastRenderedPageBreak/>
        <w:t>枇杷、桃、梨、樱桃等为主。</w:t>
      </w:r>
    </w:p>
    <w:p w14:paraId="28E3500D" w14:textId="77777777" w:rsidR="007D1E74" w:rsidRDefault="00A95641">
      <w:pPr>
        <w:pStyle w:val="afffff7"/>
        <w:ind w:firstLine="482"/>
      </w:pPr>
      <w:r>
        <w:rPr>
          <w:rFonts w:hint="eastAsia"/>
        </w:rPr>
        <w:t>4</w:t>
      </w:r>
      <w:r>
        <w:t>、</w:t>
      </w:r>
      <w:r>
        <w:rPr>
          <w:rFonts w:hint="eastAsia"/>
        </w:rPr>
        <w:t>陆栖脊椎动物现状</w:t>
      </w:r>
    </w:p>
    <w:p w14:paraId="3382CFAD" w14:textId="77777777" w:rsidR="007D1E74" w:rsidRDefault="00A95641">
      <w:pPr>
        <w:spacing w:line="360" w:lineRule="auto"/>
        <w:ind w:firstLineChars="200" w:firstLine="482"/>
        <w:rPr>
          <w:rFonts w:cs="Times New Roman"/>
          <w:b/>
          <w:sz w:val="24"/>
          <w:szCs w:val="24"/>
        </w:rPr>
      </w:pPr>
      <w:r>
        <w:rPr>
          <w:rFonts w:cs="Times New Roman" w:hint="eastAsia"/>
          <w:b/>
          <w:sz w:val="24"/>
          <w:szCs w:val="24"/>
        </w:rPr>
        <w:t>（</w:t>
      </w:r>
      <w:r>
        <w:rPr>
          <w:rFonts w:cs="Times New Roman" w:hint="eastAsia"/>
          <w:b/>
          <w:sz w:val="24"/>
          <w:szCs w:val="24"/>
        </w:rPr>
        <w:t>1</w:t>
      </w:r>
      <w:r>
        <w:rPr>
          <w:rFonts w:cs="Times New Roman" w:hint="eastAsia"/>
          <w:b/>
          <w:sz w:val="24"/>
          <w:szCs w:val="24"/>
        </w:rPr>
        <w:t>）两栖类</w:t>
      </w:r>
    </w:p>
    <w:p w14:paraId="3C65E83B" w14:textId="77777777" w:rsidR="007D1E74" w:rsidRDefault="00A95641">
      <w:pPr>
        <w:spacing w:line="360" w:lineRule="auto"/>
        <w:ind w:firstLineChars="200" w:firstLine="482"/>
        <w:rPr>
          <w:rFonts w:cs="Times New Roman"/>
          <w:b/>
          <w:sz w:val="24"/>
          <w:szCs w:val="24"/>
        </w:rPr>
      </w:pPr>
      <w:r>
        <w:rPr>
          <w:rFonts w:cs="Times New Roman" w:hint="eastAsia"/>
          <w:b/>
          <w:sz w:val="24"/>
          <w:szCs w:val="24"/>
        </w:rPr>
        <w:t>①物种组成</w:t>
      </w:r>
    </w:p>
    <w:p w14:paraId="2C8AE4BE" w14:textId="77777777" w:rsidR="007D1E74" w:rsidRDefault="00A95641">
      <w:pPr>
        <w:spacing w:line="360" w:lineRule="auto"/>
        <w:ind w:firstLineChars="200" w:firstLine="480"/>
        <w:rPr>
          <w:rFonts w:cs="Times New Roman"/>
          <w:sz w:val="24"/>
          <w:szCs w:val="24"/>
        </w:rPr>
      </w:pPr>
      <w:r>
        <w:rPr>
          <w:rFonts w:cs="Times New Roman" w:hint="eastAsia"/>
          <w:sz w:val="24"/>
          <w:szCs w:val="24"/>
        </w:rPr>
        <w:t>根据野外调查和查阅历史文献，评价区域内共分布有两栖动物</w:t>
      </w:r>
      <w:r>
        <w:rPr>
          <w:rFonts w:cs="Times New Roman" w:hint="eastAsia"/>
          <w:sz w:val="24"/>
          <w:szCs w:val="24"/>
        </w:rPr>
        <w:t>5</w:t>
      </w:r>
      <w:r>
        <w:rPr>
          <w:rFonts w:cs="Times New Roman" w:hint="eastAsia"/>
          <w:sz w:val="24"/>
          <w:szCs w:val="24"/>
        </w:rPr>
        <w:t>种，隶属于</w:t>
      </w:r>
      <w:r>
        <w:rPr>
          <w:rFonts w:cs="Times New Roman" w:hint="eastAsia"/>
          <w:sz w:val="24"/>
          <w:szCs w:val="24"/>
        </w:rPr>
        <w:t>1</w:t>
      </w:r>
      <w:r>
        <w:rPr>
          <w:rFonts w:cs="Times New Roman" w:hint="eastAsia"/>
          <w:sz w:val="24"/>
          <w:szCs w:val="24"/>
        </w:rPr>
        <w:t>目</w:t>
      </w:r>
      <w:r>
        <w:rPr>
          <w:rFonts w:cs="Times New Roman" w:hint="eastAsia"/>
          <w:sz w:val="24"/>
          <w:szCs w:val="24"/>
        </w:rPr>
        <w:t>2</w:t>
      </w:r>
      <w:r>
        <w:rPr>
          <w:rFonts w:cs="Times New Roman" w:hint="eastAsia"/>
          <w:sz w:val="24"/>
          <w:szCs w:val="24"/>
        </w:rPr>
        <w:t>科。各科物种组成见表</w:t>
      </w:r>
      <w:r>
        <w:rPr>
          <w:rFonts w:cs="Times New Roman" w:hint="eastAsia"/>
          <w:sz w:val="24"/>
          <w:szCs w:val="24"/>
        </w:rPr>
        <w:t>2-9</w:t>
      </w:r>
      <w:r>
        <w:rPr>
          <w:rFonts w:cs="Times New Roman" w:hint="eastAsia"/>
          <w:sz w:val="24"/>
          <w:szCs w:val="24"/>
        </w:rPr>
        <w:t>。</w:t>
      </w:r>
    </w:p>
    <w:p w14:paraId="67762789" w14:textId="77777777" w:rsidR="007D1E74" w:rsidRDefault="00A95641">
      <w:pPr>
        <w:pStyle w:val="afffffe"/>
        <w:numPr>
          <w:ilvl w:val="0"/>
          <w:numId w:val="43"/>
        </w:numPr>
        <w:spacing w:line="360" w:lineRule="auto"/>
        <w:ind w:firstLineChars="0"/>
        <w:jc w:val="center"/>
        <w:rPr>
          <w:rFonts w:eastAsia="黑体" w:cs="Times New Roman"/>
          <w:szCs w:val="21"/>
        </w:rPr>
      </w:pPr>
      <w:r>
        <w:rPr>
          <w:rFonts w:eastAsia="黑体" w:cs="Times New Roman" w:hint="eastAsia"/>
          <w:szCs w:val="21"/>
        </w:rPr>
        <w:t>评价区域两栖动物物种组成</w:t>
      </w:r>
    </w:p>
    <w:tbl>
      <w:tblPr>
        <w:tblStyle w:val="affffc"/>
        <w:tblW w:w="0" w:type="auto"/>
        <w:tblLook w:val="04A0" w:firstRow="1" w:lastRow="0" w:firstColumn="1" w:lastColumn="0" w:noHBand="0" w:noVBand="1"/>
      </w:tblPr>
      <w:tblGrid>
        <w:gridCol w:w="2055"/>
        <w:gridCol w:w="2315"/>
        <w:gridCol w:w="2315"/>
        <w:gridCol w:w="2331"/>
      </w:tblGrid>
      <w:tr w:rsidR="007D1E74" w14:paraId="7D1975A1" w14:textId="77777777">
        <w:tc>
          <w:tcPr>
            <w:tcW w:w="2122" w:type="dxa"/>
            <w:vAlign w:val="center"/>
          </w:tcPr>
          <w:p w14:paraId="3AD79CCB" w14:textId="77777777" w:rsidR="007D1E74" w:rsidRDefault="00A95641">
            <w:pPr>
              <w:jc w:val="center"/>
              <w:rPr>
                <w:rFonts w:cs="Times New Roman"/>
                <w:szCs w:val="21"/>
              </w:rPr>
            </w:pPr>
            <w:r>
              <w:rPr>
                <w:rFonts w:cs="Times New Roman"/>
                <w:szCs w:val="21"/>
              </w:rPr>
              <w:t>目名</w:t>
            </w:r>
          </w:p>
        </w:tc>
        <w:tc>
          <w:tcPr>
            <w:tcW w:w="2392" w:type="dxa"/>
          </w:tcPr>
          <w:p w14:paraId="7CA6F268" w14:textId="77777777" w:rsidR="007D1E74" w:rsidRDefault="00A95641">
            <w:pPr>
              <w:jc w:val="center"/>
              <w:rPr>
                <w:rFonts w:cs="Times New Roman"/>
                <w:szCs w:val="21"/>
              </w:rPr>
            </w:pPr>
            <w:r>
              <w:rPr>
                <w:rFonts w:cs="Times New Roman"/>
                <w:szCs w:val="21"/>
              </w:rPr>
              <w:t>科名</w:t>
            </w:r>
          </w:p>
        </w:tc>
        <w:tc>
          <w:tcPr>
            <w:tcW w:w="2392" w:type="dxa"/>
            <w:vAlign w:val="center"/>
          </w:tcPr>
          <w:p w14:paraId="2BAE77BE" w14:textId="77777777" w:rsidR="007D1E74" w:rsidRDefault="00A95641">
            <w:pPr>
              <w:jc w:val="center"/>
              <w:rPr>
                <w:rFonts w:cs="Times New Roman"/>
                <w:szCs w:val="21"/>
              </w:rPr>
            </w:pPr>
            <w:r>
              <w:rPr>
                <w:rFonts w:cs="Times New Roman"/>
                <w:szCs w:val="21"/>
              </w:rPr>
              <w:t>种数</w:t>
            </w:r>
          </w:p>
        </w:tc>
        <w:tc>
          <w:tcPr>
            <w:tcW w:w="2393" w:type="dxa"/>
            <w:vAlign w:val="center"/>
          </w:tcPr>
          <w:p w14:paraId="5F348685" w14:textId="77777777" w:rsidR="007D1E74" w:rsidRDefault="00A95641">
            <w:pPr>
              <w:jc w:val="center"/>
              <w:rPr>
                <w:rFonts w:cs="Times New Roman"/>
                <w:szCs w:val="21"/>
              </w:rPr>
            </w:pPr>
            <w:r>
              <w:rPr>
                <w:rFonts w:cs="Times New Roman"/>
                <w:szCs w:val="21"/>
              </w:rPr>
              <w:t>占总数的比例（</w:t>
            </w:r>
            <w:r>
              <w:rPr>
                <w:rFonts w:cs="Times New Roman"/>
                <w:szCs w:val="21"/>
              </w:rPr>
              <w:t>%</w:t>
            </w:r>
            <w:r>
              <w:rPr>
                <w:rFonts w:cs="Times New Roman"/>
                <w:szCs w:val="21"/>
              </w:rPr>
              <w:t>）</w:t>
            </w:r>
          </w:p>
        </w:tc>
      </w:tr>
      <w:tr w:rsidR="007D1E74" w14:paraId="606433E4" w14:textId="77777777">
        <w:tc>
          <w:tcPr>
            <w:tcW w:w="2122" w:type="dxa"/>
            <w:vMerge w:val="restart"/>
            <w:vAlign w:val="center"/>
          </w:tcPr>
          <w:p w14:paraId="54C28F1C" w14:textId="77777777" w:rsidR="007D1E74" w:rsidRDefault="00A95641">
            <w:pPr>
              <w:jc w:val="center"/>
              <w:rPr>
                <w:rFonts w:cs="Times New Roman"/>
                <w:szCs w:val="21"/>
              </w:rPr>
            </w:pPr>
            <w:r>
              <w:rPr>
                <w:rFonts w:cs="Times New Roman"/>
                <w:szCs w:val="21"/>
              </w:rPr>
              <w:t>无尾目</w:t>
            </w:r>
          </w:p>
        </w:tc>
        <w:tc>
          <w:tcPr>
            <w:tcW w:w="2392" w:type="dxa"/>
          </w:tcPr>
          <w:p w14:paraId="46F8F51F" w14:textId="77777777" w:rsidR="007D1E74" w:rsidRDefault="00A95641">
            <w:pPr>
              <w:jc w:val="center"/>
              <w:rPr>
                <w:rFonts w:cs="Times New Roman"/>
                <w:szCs w:val="21"/>
              </w:rPr>
            </w:pPr>
            <w:r>
              <w:rPr>
                <w:rFonts w:cs="Times New Roman" w:hint="eastAsia"/>
                <w:szCs w:val="21"/>
              </w:rPr>
              <w:t>蟾蜍科</w:t>
            </w:r>
          </w:p>
        </w:tc>
        <w:tc>
          <w:tcPr>
            <w:tcW w:w="2392" w:type="dxa"/>
            <w:vAlign w:val="center"/>
          </w:tcPr>
          <w:p w14:paraId="57E078D5" w14:textId="77777777" w:rsidR="007D1E74" w:rsidRDefault="00A95641">
            <w:pPr>
              <w:jc w:val="center"/>
              <w:rPr>
                <w:rFonts w:cs="Times New Roman"/>
                <w:szCs w:val="21"/>
              </w:rPr>
            </w:pPr>
            <w:r>
              <w:rPr>
                <w:rFonts w:cs="Times New Roman" w:hint="eastAsia"/>
                <w:szCs w:val="21"/>
              </w:rPr>
              <w:t>1</w:t>
            </w:r>
          </w:p>
        </w:tc>
        <w:tc>
          <w:tcPr>
            <w:tcW w:w="2393" w:type="dxa"/>
            <w:vAlign w:val="center"/>
          </w:tcPr>
          <w:p w14:paraId="598863A9" w14:textId="77777777" w:rsidR="007D1E74" w:rsidRDefault="00A95641">
            <w:pPr>
              <w:jc w:val="center"/>
              <w:rPr>
                <w:rFonts w:cs="Times New Roman"/>
                <w:szCs w:val="21"/>
              </w:rPr>
            </w:pPr>
            <w:r>
              <w:rPr>
                <w:rFonts w:cs="Times New Roman" w:hint="eastAsia"/>
                <w:szCs w:val="21"/>
              </w:rPr>
              <w:t>2</w:t>
            </w:r>
            <w:r>
              <w:rPr>
                <w:rFonts w:cs="Times New Roman"/>
                <w:szCs w:val="21"/>
              </w:rPr>
              <w:t>0.00</w:t>
            </w:r>
          </w:p>
        </w:tc>
      </w:tr>
      <w:tr w:rsidR="007D1E74" w14:paraId="797F03C7" w14:textId="77777777">
        <w:tc>
          <w:tcPr>
            <w:tcW w:w="2122" w:type="dxa"/>
            <w:vMerge/>
            <w:vAlign w:val="center"/>
          </w:tcPr>
          <w:p w14:paraId="7F27A870" w14:textId="77777777" w:rsidR="007D1E74" w:rsidRDefault="007D1E74">
            <w:pPr>
              <w:jc w:val="center"/>
              <w:rPr>
                <w:rFonts w:cs="Times New Roman"/>
                <w:szCs w:val="21"/>
              </w:rPr>
            </w:pPr>
          </w:p>
        </w:tc>
        <w:tc>
          <w:tcPr>
            <w:tcW w:w="2392" w:type="dxa"/>
          </w:tcPr>
          <w:p w14:paraId="2F75BF22" w14:textId="77777777" w:rsidR="007D1E74" w:rsidRDefault="00A95641">
            <w:pPr>
              <w:jc w:val="center"/>
              <w:rPr>
                <w:rFonts w:cs="Times New Roman"/>
                <w:szCs w:val="21"/>
              </w:rPr>
            </w:pPr>
            <w:r>
              <w:rPr>
                <w:rFonts w:cs="Times New Roman" w:hint="eastAsia"/>
                <w:szCs w:val="21"/>
              </w:rPr>
              <w:t>蛙科</w:t>
            </w:r>
          </w:p>
        </w:tc>
        <w:tc>
          <w:tcPr>
            <w:tcW w:w="2392" w:type="dxa"/>
            <w:vAlign w:val="center"/>
          </w:tcPr>
          <w:p w14:paraId="53324B4D" w14:textId="77777777" w:rsidR="007D1E74" w:rsidRDefault="00A95641">
            <w:pPr>
              <w:jc w:val="center"/>
              <w:rPr>
                <w:rFonts w:cs="Times New Roman"/>
                <w:szCs w:val="21"/>
              </w:rPr>
            </w:pPr>
            <w:r>
              <w:rPr>
                <w:rFonts w:cs="Times New Roman" w:hint="eastAsia"/>
                <w:szCs w:val="21"/>
              </w:rPr>
              <w:t>4</w:t>
            </w:r>
          </w:p>
        </w:tc>
        <w:tc>
          <w:tcPr>
            <w:tcW w:w="2393" w:type="dxa"/>
            <w:vAlign w:val="center"/>
          </w:tcPr>
          <w:p w14:paraId="4B7F9B8B" w14:textId="77777777" w:rsidR="007D1E74" w:rsidRDefault="00A95641">
            <w:pPr>
              <w:jc w:val="center"/>
              <w:rPr>
                <w:rFonts w:cs="Times New Roman"/>
                <w:szCs w:val="21"/>
              </w:rPr>
            </w:pPr>
            <w:r>
              <w:rPr>
                <w:rFonts w:cs="Times New Roman" w:hint="eastAsia"/>
                <w:szCs w:val="21"/>
              </w:rPr>
              <w:t>8</w:t>
            </w:r>
            <w:r>
              <w:rPr>
                <w:rFonts w:cs="Times New Roman"/>
                <w:szCs w:val="21"/>
              </w:rPr>
              <w:t>0.00</w:t>
            </w:r>
          </w:p>
        </w:tc>
      </w:tr>
      <w:tr w:rsidR="007D1E74" w14:paraId="72C61F93" w14:textId="77777777">
        <w:tc>
          <w:tcPr>
            <w:tcW w:w="2122" w:type="dxa"/>
            <w:vAlign w:val="center"/>
          </w:tcPr>
          <w:p w14:paraId="18C0D2CB" w14:textId="77777777" w:rsidR="007D1E74" w:rsidRDefault="00A95641">
            <w:pPr>
              <w:jc w:val="center"/>
              <w:rPr>
                <w:rFonts w:cs="Times New Roman"/>
                <w:szCs w:val="21"/>
              </w:rPr>
            </w:pPr>
            <w:r>
              <w:rPr>
                <w:rFonts w:cs="Times New Roman"/>
                <w:szCs w:val="21"/>
              </w:rPr>
              <w:t>合计</w:t>
            </w:r>
          </w:p>
        </w:tc>
        <w:tc>
          <w:tcPr>
            <w:tcW w:w="2392" w:type="dxa"/>
          </w:tcPr>
          <w:p w14:paraId="386385FF" w14:textId="77777777" w:rsidR="007D1E74" w:rsidRDefault="00A95641">
            <w:pPr>
              <w:jc w:val="center"/>
              <w:rPr>
                <w:rFonts w:cs="Times New Roman"/>
                <w:szCs w:val="21"/>
              </w:rPr>
            </w:pPr>
            <w:r>
              <w:rPr>
                <w:rFonts w:cs="Times New Roman" w:hint="eastAsia"/>
                <w:szCs w:val="21"/>
              </w:rPr>
              <w:t>2</w:t>
            </w:r>
            <w:r>
              <w:rPr>
                <w:rFonts w:cs="Times New Roman" w:hint="eastAsia"/>
                <w:szCs w:val="21"/>
              </w:rPr>
              <w:t>科</w:t>
            </w:r>
          </w:p>
        </w:tc>
        <w:tc>
          <w:tcPr>
            <w:tcW w:w="2392" w:type="dxa"/>
            <w:vAlign w:val="center"/>
          </w:tcPr>
          <w:p w14:paraId="5D184FB7" w14:textId="77777777" w:rsidR="007D1E74" w:rsidRDefault="00A95641">
            <w:pPr>
              <w:jc w:val="center"/>
              <w:rPr>
                <w:rFonts w:cs="Times New Roman"/>
                <w:szCs w:val="21"/>
              </w:rPr>
            </w:pPr>
            <w:r>
              <w:rPr>
                <w:rFonts w:cs="Times New Roman" w:hint="eastAsia"/>
                <w:szCs w:val="21"/>
              </w:rPr>
              <w:t>5</w:t>
            </w:r>
          </w:p>
        </w:tc>
        <w:tc>
          <w:tcPr>
            <w:tcW w:w="2393" w:type="dxa"/>
            <w:vAlign w:val="center"/>
          </w:tcPr>
          <w:p w14:paraId="08B715A5" w14:textId="77777777" w:rsidR="007D1E74" w:rsidRDefault="00A95641">
            <w:pPr>
              <w:jc w:val="center"/>
              <w:rPr>
                <w:rFonts w:cs="Times New Roman"/>
                <w:szCs w:val="21"/>
              </w:rPr>
            </w:pPr>
            <w:r>
              <w:rPr>
                <w:rFonts w:cs="Times New Roman" w:hint="eastAsia"/>
                <w:szCs w:val="21"/>
              </w:rPr>
              <w:t>1</w:t>
            </w:r>
            <w:r>
              <w:rPr>
                <w:rFonts w:cs="Times New Roman"/>
                <w:szCs w:val="21"/>
              </w:rPr>
              <w:t>00.00</w:t>
            </w:r>
          </w:p>
        </w:tc>
      </w:tr>
    </w:tbl>
    <w:p w14:paraId="35B632EE" w14:textId="77777777" w:rsidR="007D1E74" w:rsidRDefault="00A95641">
      <w:pPr>
        <w:spacing w:line="360" w:lineRule="auto"/>
        <w:ind w:firstLineChars="200" w:firstLine="482"/>
        <w:rPr>
          <w:rFonts w:cs="Times New Roman"/>
          <w:b/>
          <w:sz w:val="24"/>
          <w:szCs w:val="24"/>
        </w:rPr>
      </w:pPr>
      <w:r>
        <w:rPr>
          <w:rFonts w:cs="Times New Roman" w:hint="eastAsia"/>
          <w:b/>
          <w:sz w:val="24"/>
          <w:szCs w:val="24"/>
        </w:rPr>
        <w:t>②区系分析</w:t>
      </w:r>
    </w:p>
    <w:p w14:paraId="29CC96ED" w14:textId="77777777" w:rsidR="007D1E74" w:rsidRDefault="00A95641">
      <w:pPr>
        <w:spacing w:line="360" w:lineRule="auto"/>
        <w:ind w:firstLineChars="200" w:firstLine="480"/>
        <w:rPr>
          <w:rFonts w:cs="Times New Roman"/>
          <w:sz w:val="24"/>
          <w:szCs w:val="24"/>
        </w:rPr>
      </w:pPr>
      <w:r>
        <w:rPr>
          <w:rFonts w:cs="Times New Roman" w:hint="eastAsia"/>
          <w:sz w:val="24"/>
          <w:szCs w:val="24"/>
        </w:rPr>
        <w:t>评价区</w:t>
      </w:r>
      <w:r>
        <w:rPr>
          <w:rFonts w:cs="Times New Roman" w:hint="eastAsia"/>
          <w:sz w:val="24"/>
          <w:szCs w:val="24"/>
        </w:rPr>
        <w:t>5</w:t>
      </w:r>
      <w:r>
        <w:rPr>
          <w:rFonts w:cs="Times New Roman" w:hint="eastAsia"/>
          <w:sz w:val="24"/>
          <w:szCs w:val="24"/>
        </w:rPr>
        <w:t>种两栖类动物中，地理分布型主要为季风性和南中国型分别为</w:t>
      </w:r>
      <w:r>
        <w:rPr>
          <w:rFonts w:cs="Times New Roman" w:hint="eastAsia"/>
          <w:sz w:val="24"/>
          <w:szCs w:val="24"/>
        </w:rPr>
        <w:t>2</w:t>
      </w:r>
      <w:r>
        <w:rPr>
          <w:rFonts w:cs="Times New Roman" w:hint="eastAsia"/>
          <w:sz w:val="24"/>
          <w:szCs w:val="24"/>
        </w:rPr>
        <w:t>种，东洋型</w:t>
      </w:r>
      <w:r>
        <w:rPr>
          <w:rFonts w:cs="Times New Roman" w:hint="eastAsia"/>
          <w:sz w:val="24"/>
          <w:szCs w:val="24"/>
        </w:rPr>
        <w:t>1</w:t>
      </w:r>
      <w:r>
        <w:rPr>
          <w:rFonts w:cs="Times New Roman" w:hint="eastAsia"/>
          <w:sz w:val="24"/>
          <w:szCs w:val="24"/>
        </w:rPr>
        <w:t>种。</w:t>
      </w:r>
    </w:p>
    <w:p w14:paraId="28C6B9FF" w14:textId="77777777" w:rsidR="007D1E74" w:rsidRDefault="00A95641">
      <w:pPr>
        <w:spacing w:line="360" w:lineRule="auto"/>
        <w:ind w:firstLineChars="200" w:firstLine="482"/>
        <w:rPr>
          <w:rFonts w:cs="Times New Roman"/>
          <w:b/>
          <w:sz w:val="24"/>
          <w:szCs w:val="24"/>
        </w:rPr>
      </w:pPr>
      <w:r>
        <w:rPr>
          <w:rFonts w:cs="Times New Roman" w:hint="eastAsia"/>
          <w:b/>
          <w:sz w:val="24"/>
          <w:szCs w:val="24"/>
        </w:rPr>
        <w:t>③生态类型及分布</w:t>
      </w:r>
    </w:p>
    <w:p w14:paraId="6ADA3271" w14:textId="77777777" w:rsidR="007D1E74" w:rsidRDefault="00A95641">
      <w:pPr>
        <w:spacing w:line="360" w:lineRule="auto"/>
        <w:ind w:firstLineChars="200" w:firstLine="480"/>
        <w:rPr>
          <w:rFonts w:cs="Times New Roman"/>
          <w:sz w:val="24"/>
          <w:szCs w:val="24"/>
        </w:rPr>
      </w:pPr>
      <w:r>
        <w:rPr>
          <w:rFonts w:cs="Times New Roman" w:hint="eastAsia"/>
          <w:sz w:val="24"/>
          <w:szCs w:val="24"/>
        </w:rPr>
        <w:t>评价区两栖类的生态类型包括以下</w:t>
      </w:r>
      <w:r>
        <w:rPr>
          <w:rFonts w:cs="Times New Roman" w:hint="eastAsia"/>
          <w:sz w:val="24"/>
          <w:szCs w:val="24"/>
        </w:rPr>
        <w:t>3</w:t>
      </w:r>
      <w:r>
        <w:rPr>
          <w:rFonts w:cs="Times New Roman" w:hint="eastAsia"/>
          <w:sz w:val="24"/>
          <w:szCs w:val="24"/>
        </w:rPr>
        <w:t>种类型。</w:t>
      </w:r>
    </w:p>
    <w:p w14:paraId="4FCE0BD7" w14:textId="77777777" w:rsidR="007D1E74" w:rsidRDefault="00A95641">
      <w:pPr>
        <w:spacing w:line="360" w:lineRule="auto"/>
        <w:ind w:firstLineChars="200" w:firstLine="480"/>
        <w:rPr>
          <w:rFonts w:cs="Times New Roman"/>
          <w:sz w:val="24"/>
          <w:szCs w:val="24"/>
        </w:rPr>
      </w:pPr>
      <w:r>
        <w:rPr>
          <w:rFonts w:cs="Times New Roman" w:hint="eastAsia"/>
          <w:sz w:val="24"/>
          <w:szCs w:val="24"/>
        </w:rPr>
        <w:t>水栖类型：主要生活在多种水环境中及周边地区，如：沼水蛙、黑斑侧褶蛙、花臭蛙。</w:t>
      </w:r>
    </w:p>
    <w:p w14:paraId="2EA91B70" w14:textId="77777777" w:rsidR="007D1E74" w:rsidRDefault="00A95641">
      <w:pPr>
        <w:spacing w:line="360" w:lineRule="auto"/>
        <w:ind w:firstLineChars="200" w:firstLine="480"/>
        <w:rPr>
          <w:rFonts w:cs="Times New Roman"/>
          <w:sz w:val="24"/>
          <w:szCs w:val="24"/>
        </w:rPr>
      </w:pPr>
      <w:r>
        <w:rPr>
          <w:rFonts w:cs="Times New Roman" w:hint="eastAsia"/>
          <w:sz w:val="24"/>
          <w:szCs w:val="24"/>
        </w:rPr>
        <w:t>水、陆两栖类型：在陆地和水域等多种生境中都能生存，如泽陆蛙。</w:t>
      </w:r>
    </w:p>
    <w:p w14:paraId="288E537B" w14:textId="77777777" w:rsidR="007D1E74" w:rsidRDefault="00A95641">
      <w:pPr>
        <w:spacing w:line="360" w:lineRule="auto"/>
        <w:ind w:firstLineChars="200" w:firstLine="480"/>
        <w:rPr>
          <w:rFonts w:cs="Times New Roman"/>
          <w:sz w:val="24"/>
          <w:szCs w:val="24"/>
        </w:rPr>
      </w:pPr>
      <w:r>
        <w:rPr>
          <w:rFonts w:cs="Times New Roman" w:hint="eastAsia"/>
          <w:sz w:val="24"/>
          <w:szCs w:val="24"/>
        </w:rPr>
        <w:t>陆栖类型：繁殖季节到水中产卵，其幼体也生活在水中，成体主要生活在潮湿的陆地环境中，如：中华蟾蜍。</w:t>
      </w:r>
    </w:p>
    <w:p w14:paraId="77256D92" w14:textId="77777777" w:rsidR="007D1E74" w:rsidRDefault="00A95641">
      <w:pPr>
        <w:spacing w:line="360" w:lineRule="auto"/>
        <w:ind w:firstLineChars="200" w:firstLine="482"/>
        <w:rPr>
          <w:rFonts w:cs="Times New Roman"/>
          <w:b/>
          <w:sz w:val="24"/>
          <w:szCs w:val="24"/>
        </w:rPr>
      </w:pPr>
      <w:r>
        <w:rPr>
          <w:rFonts w:cs="Times New Roman" w:hint="eastAsia"/>
          <w:b/>
          <w:sz w:val="24"/>
          <w:szCs w:val="24"/>
        </w:rPr>
        <w:t>④珍稀保护物种</w:t>
      </w:r>
    </w:p>
    <w:p w14:paraId="71E97CB6" w14:textId="77777777" w:rsidR="007D1E74" w:rsidRDefault="00A95641">
      <w:pPr>
        <w:spacing w:line="360" w:lineRule="auto"/>
        <w:ind w:firstLineChars="200" w:firstLine="480"/>
        <w:rPr>
          <w:rFonts w:cs="Times New Roman"/>
          <w:sz w:val="24"/>
          <w:szCs w:val="24"/>
        </w:rPr>
      </w:pPr>
      <w:r>
        <w:rPr>
          <w:rFonts w:cs="Times New Roman" w:hint="eastAsia"/>
          <w:sz w:val="24"/>
          <w:szCs w:val="24"/>
        </w:rPr>
        <w:t>评价区内没有国家和四川省重点保护的两栖类分布。</w:t>
      </w:r>
    </w:p>
    <w:p w14:paraId="256249EE" w14:textId="77777777" w:rsidR="007D1E74" w:rsidRDefault="00A95641">
      <w:pPr>
        <w:spacing w:line="360" w:lineRule="auto"/>
        <w:ind w:firstLineChars="200" w:firstLine="482"/>
        <w:rPr>
          <w:rFonts w:cs="Times New Roman"/>
          <w:b/>
          <w:sz w:val="24"/>
          <w:szCs w:val="24"/>
        </w:rPr>
      </w:pPr>
      <w:r>
        <w:rPr>
          <w:rFonts w:cs="Times New Roman" w:hint="eastAsia"/>
          <w:b/>
          <w:sz w:val="24"/>
          <w:szCs w:val="24"/>
        </w:rPr>
        <w:t>（</w:t>
      </w:r>
      <w:r>
        <w:rPr>
          <w:rFonts w:cs="Times New Roman"/>
          <w:b/>
          <w:sz w:val="24"/>
          <w:szCs w:val="24"/>
        </w:rPr>
        <w:t>2</w:t>
      </w:r>
      <w:r>
        <w:rPr>
          <w:rFonts w:cs="Times New Roman" w:hint="eastAsia"/>
          <w:b/>
          <w:sz w:val="24"/>
          <w:szCs w:val="24"/>
        </w:rPr>
        <w:t>）爬行类</w:t>
      </w:r>
    </w:p>
    <w:p w14:paraId="46BAF405" w14:textId="77777777" w:rsidR="007D1E74" w:rsidRDefault="00A95641">
      <w:pPr>
        <w:spacing w:line="360" w:lineRule="auto"/>
        <w:ind w:firstLineChars="200" w:firstLine="482"/>
        <w:rPr>
          <w:rFonts w:cs="Times New Roman"/>
          <w:b/>
          <w:sz w:val="24"/>
          <w:szCs w:val="24"/>
        </w:rPr>
      </w:pPr>
      <w:r>
        <w:rPr>
          <w:rFonts w:cs="Times New Roman" w:hint="eastAsia"/>
          <w:b/>
          <w:sz w:val="24"/>
          <w:szCs w:val="24"/>
        </w:rPr>
        <w:t>①物种组成</w:t>
      </w:r>
    </w:p>
    <w:p w14:paraId="0D304560" w14:textId="77777777" w:rsidR="007D1E74" w:rsidRDefault="00A95641">
      <w:pPr>
        <w:spacing w:line="360" w:lineRule="auto"/>
        <w:ind w:firstLineChars="200" w:firstLine="480"/>
        <w:rPr>
          <w:sz w:val="24"/>
          <w:szCs w:val="24"/>
        </w:rPr>
      </w:pPr>
      <w:r>
        <w:rPr>
          <w:rFonts w:hint="eastAsia"/>
          <w:sz w:val="24"/>
          <w:szCs w:val="24"/>
        </w:rPr>
        <w:t>根据野外调查和查阅《四川爬行类原色图鉴》等专著和文献，评价区内共分布有爬行动物</w:t>
      </w:r>
      <w:r>
        <w:rPr>
          <w:rFonts w:hint="eastAsia"/>
          <w:sz w:val="24"/>
          <w:szCs w:val="24"/>
        </w:rPr>
        <w:t>1</w:t>
      </w:r>
      <w:r>
        <w:rPr>
          <w:rFonts w:hint="eastAsia"/>
          <w:sz w:val="24"/>
          <w:szCs w:val="24"/>
        </w:rPr>
        <w:t>目</w:t>
      </w:r>
      <w:r>
        <w:rPr>
          <w:rFonts w:hint="eastAsia"/>
          <w:sz w:val="24"/>
          <w:szCs w:val="24"/>
        </w:rPr>
        <w:t>3</w:t>
      </w:r>
      <w:r>
        <w:rPr>
          <w:rFonts w:hint="eastAsia"/>
          <w:sz w:val="24"/>
          <w:szCs w:val="24"/>
        </w:rPr>
        <w:t>科</w:t>
      </w:r>
      <w:r>
        <w:rPr>
          <w:rFonts w:hint="eastAsia"/>
          <w:sz w:val="24"/>
          <w:szCs w:val="24"/>
        </w:rPr>
        <w:t>6</w:t>
      </w:r>
      <w:r>
        <w:rPr>
          <w:rFonts w:hint="eastAsia"/>
          <w:sz w:val="24"/>
          <w:szCs w:val="24"/>
        </w:rPr>
        <w:t>种，分属于有鳞目的壁虎科、游蛇科、蝰科。各科物种组成见下表。</w:t>
      </w:r>
    </w:p>
    <w:p w14:paraId="0FE23A63" w14:textId="77777777" w:rsidR="007D1E74" w:rsidRDefault="00A95641">
      <w:pPr>
        <w:pStyle w:val="afffffe"/>
        <w:numPr>
          <w:ilvl w:val="0"/>
          <w:numId w:val="43"/>
        </w:numPr>
        <w:spacing w:line="360" w:lineRule="auto"/>
        <w:ind w:firstLineChars="0"/>
        <w:jc w:val="center"/>
        <w:rPr>
          <w:rFonts w:eastAsia="黑体" w:cs="Times New Roman"/>
          <w:szCs w:val="21"/>
        </w:rPr>
      </w:pPr>
      <w:r>
        <w:rPr>
          <w:rFonts w:eastAsia="黑体" w:cs="Times New Roman" w:hint="eastAsia"/>
          <w:szCs w:val="21"/>
        </w:rPr>
        <w:t>评价区域爬行动物组成</w:t>
      </w:r>
    </w:p>
    <w:tbl>
      <w:tblPr>
        <w:tblStyle w:val="affffc"/>
        <w:tblW w:w="0" w:type="auto"/>
        <w:tblLook w:val="04A0" w:firstRow="1" w:lastRow="0" w:firstColumn="1" w:lastColumn="0" w:noHBand="0" w:noVBand="1"/>
      </w:tblPr>
      <w:tblGrid>
        <w:gridCol w:w="2055"/>
        <w:gridCol w:w="2315"/>
        <w:gridCol w:w="2315"/>
        <w:gridCol w:w="2331"/>
      </w:tblGrid>
      <w:tr w:rsidR="007D1E74" w14:paraId="03894775" w14:textId="77777777">
        <w:tc>
          <w:tcPr>
            <w:tcW w:w="2122" w:type="dxa"/>
            <w:vAlign w:val="center"/>
          </w:tcPr>
          <w:p w14:paraId="74E69884" w14:textId="77777777" w:rsidR="007D1E74" w:rsidRDefault="00A95641">
            <w:pPr>
              <w:jc w:val="center"/>
              <w:rPr>
                <w:rFonts w:cs="Times New Roman"/>
                <w:szCs w:val="21"/>
              </w:rPr>
            </w:pPr>
            <w:r>
              <w:rPr>
                <w:rFonts w:cs="Times New Roman"/>
                <w:szCs w:val="21"/>
              </w:rPr>
              <w:t>目名</w:t>
            </w:r>
          </w:p>
        </w:tc>
        <w:tc>
          <w:tcPr>
            <w:tcW w:w="2392" w:type="dxa"/>
          </w:tcPr>
          <w:p w14:paraId="4D75F4C4" w14:textId="77777777" w:rsidR="007D1E74" w:rsidRDefault="00A95641">
            <w:pPr>
              <w:jc w:val="center"/>
              <w:rPr>
                <w:rFonts w:cs="Times New Roman"/>
                <w:szCs w:val="21"/>
              </w:rPr>
            </w:pPr>
            <w:r>
              <w:rPr>
                <w:rFonts w:cs="Times New Roman"/>
                <w:szCs w:val="21"/>
              </w:rPr>
              <w:t>科名</w:t>
            </w:r>
          </w:p>
        </w:tc>
        <w:tc>
          <w:tcPr>
            <w:tcW w:w="2392" w:type="dxa"/>
            <w:vAlign w:val="center"/>
          </w:tcPr>
          <w:p w14:paraId="413BE3F0" w14:textId="77777777" w:rsidR="007D1E74" w:rsidRDefault="00A95641">
            <w:pPr>
              <w:jc w:val="center"/>
              <w:rPr>
                <w:rFonts w:cs="Times New Roman"/>
                <w:szCs w:val="21"/>
              </w:rPr>
            </w:pPr>
            <w:r>
              <w:rPr>
                <w:rFonts w:cs="Times New Roman"/>
                <w:szCs w:val="21"/>
              </w:rPr>
              <w:t>种数</w:t>
            </w:r>
          </w:p>
        </w:tc>
        <w:tc>
          <w:tcPr>
            <w:tcW w:w="2393" w:type="dxa"/>
            <w:vAlign w:val="center"/>
          </w:tcPr>
          <w:p w14:paraId="31A434C5" w14:textId="77777777" w:rsidR="007D1E74" w:rsidRDefault="00A95641">
            <w:pPr>
              <w:jc w:val="center"/>
              <w:rPr>
                <w:rFonts w:cs="Times New Roman"/>
                <w:szCs w:val="21"/>
              </w:rPr>
            </w:pPr>
            <w:r>
              <w:rPr>
                <w:rFonts w:cs="Times New Roman"/>
                <w:szCs w:val="21"/>
              </w:rPr>
              <w:t>占总数的比例（</w:t>
            </w:r>
            <w:r>
              <w:rPr>
                <w:rFonts w:cs="Times New Roman"/>
                <w:szCs w:val="21"/>
              </w:rPr>
              <w:t>%</w:t>
            </w:r>
            <w:r>
              <w:rPr>
                <w:rFonts w:cs="Times New Roman"/>
                <w:szCs w:val="21"/>
              </w:rPr>
              <w:t>）</w:t>
            </w:r>
          </w:p>
        </w:tc>
      </w:tr>
      <w:tr w:rsidR="007D1E74" w14:paraId="6F31D93B" w14:textId="77777777">
        <w:tc>
          <w:tcPr>
            <w:tcW w:w="2122" w:type="dxa"/>
            <w:vMerge w:val="restart"/>
            <w:vAlign w:val="center"/>
          </w:tcPr>
          <w:p w14:paraId="4486F778" w14:textId="77777777" w:rsidR="007D1E74" w:rsidRDefault="00A95641">
            <w:pPr>
              <w:jc w:val="center"/>
              <w:rPr>
                <w:rFonts w:cs="Times New Roman"/>
                <w:szCs w:val="21"/>
              </w:rPr>
            </w:pPr>
            <w:r>
              <w:rPr>
                <w:rFonts w:cs="Times New Roman" w:hint="eastAsia"/>
                <w:szCs w:val="21"/>
              </w:rPr>
              <w:t>有鳞目</w:t>
            </w:r>
          </w:p>
        </w:tc>
        <w:tc>
          <w:tcPr>
            <w:tcW w:w="2392" w:type="dxa"/>
          </w:tcPr>
          <w:p w14:paraId="08D097A1" w14:textId="77777777" w:rsidR="007D1E74" w:rsidRDefault="00A95641">
            <w:pPr>
              <w:jc w:val="center"/>
              <w:rPr>
                <w:rFonts w:cs="Times New Roman"/>
                <w:szCs w:val="21"/>
              </w:rPr>
            </w:pPr>
            <w:r>
              <w:rPr>
                <w:rFonts w:cs="Times New Roman" w:hint="eastAsia"/>
                <w:szCs w:val="21"/>
              </w:rPr>
              <w:t>壁虎科</w:t>
            </w:r>
          </w:p>
        </w:tc>
        <w:tc>
          <w:tcPr>
            <w:tcW w:w="2392" w:type="dxa"/>
            <w:vAlign w:val="center"/>
          </w:tcPr>
          <w:p w14:paraId="4555B795" w14:textId="77777777" w:rsidR="007D1E74" w:rsidRDefault="00A95641">
            <w:pPr>
              <w:jc w:val="center"/>
              <w:rPr>
                <w:rFonts w:cs="Times New Roman"/>
                <w:szCs w:val="21"/>
              </w:rPr>
            </w:pPr>
            <w:r>
              <w:rPr>
                <w:rFonts w:cs="Times New Roman" w:hint="eastAsia"/>
                <w:szCs w:val="21"/>
              </w:rPr>
              <w:t>1</w:t>
            </w:r>
          </w:p>
        </w:tc>
        <w:tc>
          <w:tcPr>
            <w:tcW w:w="2393" w:type="dxa"/>
            <w:vAlign w:val="center"/>
          </w:tcPr>
          <w:p w14:paraId="04709C89" w14:textId="77777777" w:rsidR="007D1E74" w:rsidRDefault="00A95641">
            <w:pPr>
              <w:jc w:val="center"/>
              <w:rPr>
                <w:rFonts w:cs="Times New Roman"/>
                <w:szCs w:val="21"/>
              </w:rPr>
            </w:pPr>
            <w:r>
              <w:rPr>
                <w:rFonts w:cs="Times New Roman"/>
                <w:szCs w:val="21"/>
              </w:rPr>
              <w:t>16.67</w:t>
            </w:r>
          </w:p>
        </w:tc>
      </w:tr>
      <w:tr w:rsidR="007D1E74" w14:paraId="40CCBF07" w14:textId="77777777">
        <w:tc>
          <w:tcPr>
            <w:tcW w:w="2122" w:type="dxa"/>
            <w:vMerge/>
            <w:vAlign w:val="center"/>
          </w:tcPr>
          <w:p w14:paraId="6667A5BE" w14:textId="77777777" w:rsidR="007D1E74" w:rsidRDefault="007D1E74">
            <w:pPr>
              <w:jc w:val="center"/>
              <w:rPr>
                <w:rFonts w:cs="Times New Roman"/>
                <w:szCs w:val="21"/>
              </w:rPr>
            </w:pPr>
          </w:p>
        </w:tc>
        <w:tc>
          <w:tcPr>
            <w:tcW w:w="2392" w:type="dxa"/>
          </w:tcPr>
          <w:p w14:paraId="314E46DC" w14:textId="77777777" w:rsidR="007D1E74" w:rsidRDefault="00A95641">
            <w:pPr>
              <w:jc w:val="center"/>
              <w:rPr>
                <w:rFonts w:cs="Times New Roman"/>
                <w:szCs w:val="21"/>
              </w:rPr>
            </w:pPr>
            <w:r>
              <w:rPr>
                <w:rFonts w:cs="Times New Roman" w:hint="eastAsia"/>
                <w:szCs w:val="21"/>
              </w:rPr>
              <w:t>游蛇科</w:t>
            </w:r>
          </w:p>
        </w:tc>
        <w:tc>
          <w:tcPr>
            <w:tcW w:w="2392" w:type="dxa"/>
            <w:vAlign w:val="center"/>
          </w:tcPr>
          <w:p w14:paraId="230141C9" w14:textId="77777777" w:rsidR="007D1E74" w:rsidRDefault="00A95641">
            <w:pPr>
              <w:jc w:val="center"/>
              <w:rPr>
                <w:rFonts w:cs="Times New Roman"/>
                <w:szCs w:val="21"/>
              </w:rPr>
            </w:pPr>
            <w:r>
              <w:rPr>
                <w:rFonts w:cs="Times New Roman" w:hint="eastAsia"/>
                <w:szCs w:val="21"/>
              </w:rPr>
              <w:t>4</w:t>
            </w:r>
          </w:p>
        </w:tc>
        <w:tc>
          <w:tcPr>
            <w:tcW w:w="2393" w:type="dxa"/>
            <w:vAlign w:val="center"/>
          </w:tcPr>
          <w:p w14:paraId="02458A06" w14:textId="77777777" w:rsidR="007D1E74" w:rsidRDefault="00A95641">
            <w:pPr>
              <w:jc w:val="center"/>
              <w:rPr>
                <w:rFonts w:cs="Times New Roman"/>
                <w:szCs w:val="21"/>
              </w:rPr>
            </w:pPr>
            <w:r>
              <w:rPr>
                <w:rFonts w:cs="Times New Roman" w:hint="eastAsia"/>
                <w:szCs w:val="21"/>
              </w:rPr>
              <w:t>6</w:t>
            </w:r>
            <w:r>
              <w:rPr>
                <w:rFonts w:cs="Times New Roman"/>
                <w:szCs w:val="21"/>
              </w:rPr>
              <w:t>6.67</w:t>
            </w:r>
          </w:p>
        </w:tc>
      </w:tr>
      <w:tr w:rsidR="007D1E74" w14:paraId="17630094" w14:textId="77777777">
        <w:tc>
          <w:tcPr>
            <w:tcW w:w="2122" w:type="dxa"/>
            <w:vMerge/>
            <w:vAlign w:val="center"/>
          </w:tcPr>
          <w:p w14:paraId="09C947E4" w14:textId="77777777" w:rsidR="007D1E74" w:rsidRDefault="007D1E74">
            <w:pPr>
              <w:jc w:val="center"/>
              <w:rPr>
                <w:rFonts w:cs="Times New Roman"/>
                <w:szCs w:val="21"/>
              </w:rPr>
            </w:pPr>
          </w:p>
        </w:tc>
        <w:tc>
          <w:tcPr>
            <w:tcW w:w="2392" w:type="dxa"/>
          </w:tcPr>
          <w:p w14:paraId="09D79FDE" w14:textId="77777777" w:rsidR="007D1E74" w:rsidRDefault="00A95641">
            <w:pPr>
              <w:jc w:val="center"/>
              <w:rPr>
                <w:rFonts w:cs="Times New Roman"/>
                <w:szCs w:val="21"/>
              </w:rPr>
            </w:pPr>
            <w:r>
              <w:rPr>
                <w:rFonts w:cs="Times New Roman" w:hint="eastAsia"/>
                <w:szCs w:val="21"/>
              </w:rPr>
              <w:t>蝰科</w:t>
            </w:r>
          </w:p>
        </w:tc>
        <w:tc>
          <w:tcPr>
            <w:tcW w:w="2392" w:type="dxa"/>
            <w:vAlign w:val="center"/>
          </w:tcPr>
          <w:p w14:paraId="301CB74E" w14:textId="77777777" w:rsidR="007D1E74" w:rsidRDefault="00A95641">
            <w:pPr>
              <w:jc w:val="center"/>
              <w:rPr>
                <w:rFonts w:cs="Times New Roman"/>
                <w:szCs w:val="21"/>
              </w:rPr>
            </w:pPr>
            <w:r>
              <w:rPr>
                <w:rFonts w:cs="Times New Roman"/>
                <w:szCs w:val="21"/>
              </w:rPr>
              <w:t>1</w:t>
            </w:r>
          </w:p>
        </w:tc>
        <w:tc>
          <w:tcPr>
            <w:tcW w:w="2393" w:type="dxa"/>
            <w:vAlign w:val="center"/>
          </w:tcPr>
          <w:p w14:paraId="58B0F2E4" w14:textId="77777777" w:rsidR="007D1E74" w:rsidRDefault="00A95641">
            <w:pPr>
              <w:jc w:val="center"/>
              <w:rPr>
                <w:rFonts w:cs="Times New Roman"/>
                <w:szCs w:val="21"/>
              </w:rPr>
            </w:pPr>
            <w:r>
              <w:rPr>
                <w:rFonts w:cs="Times New Roman"/>
                <w:szCs w:val="21"/>
              </w:rPr>
              <w:t>16.67</w:t>
            </w:r>
          </w:p>
        </w:tc>
      </w:tr>
      <w:tr w:rsidR="007D1E74" w14:paraId="65EAF3F3" w14:textId="77777777">
        <w:tc>
          <w:tcPr>
            <w:tcW w:w="2122" w:type="dxa"/>
            <w:vAlign w:val="center"/>
          </w:tcPr>
          <w:p w14:paraId="4C19E8E2" w14:textId="77777777" w:rsidR="007D1E74" w:rsidRDefault="00A95641">
            <w:pPr>
              <w:jc w:val="center"/>
              <w:rPr>
                <w:rFonts w:cs="Times New Roman"/>
                <w:szCs w:val="21"/>
              </w:rPr>
            </w:pPr>
            <w:r>
              <w:rPr>
                <w:rFonts w:cs="Times New Roman"/>
                <w:szCs w:val="21"/>
              </w:rPr>
              <w:lastRenderedPageBreak/>
              <w:t>合计</w:t>
            </w:r>
          </w:p>
        </w:tc>
        <w:tc>
          <w:tcPr>
            <w:tcW w:w="2392" w:type="dxa"/>
          </w:tcPr>
          <w:p w14:paraId="19080C02" w14:textId="77777777" w:rsidR="007D1E74" w:rsidRDefault="00A95641">
            <w:pPr>
              <w:jc w:val="center"/>
              <w:rPr>
                <w:rFonts w:cs="Times New Roman"/>
                <w:szCs w:val="21"/>
              </w:rPr>
            </w:pPr>
            <w:r>
              <w:rPr>
                <w:rFonts w:cs="Times New Roman"/>
                <w:szCs w:val="21"/>
              </w:rPr>
              <w:t>3</w:t>
            </w:r>
            <w:r>
              <w:rPr>
                <w:rFonts w:cs="Times New Roman" w:hint="eastAsia"/>
                <w:szCs w:val="21"/>
              </w:rPr>
              <w:t>科</w:t>
            </w:r>
          </w:p>
        </w:tc>
        <w:tc>
          <w:tcPr>
            <w:tcW w:w="2392" w:type="dxa"/>
            <w:vAlign w:val="center"/>
          </w:tcPr>
          <w:p w14:paraId="64C15D66" w14:textId="77777777" w:rsidR="007D1E74" w:rsidRDefault="00A95641">
            <w:pPr>
              <w:jc w:val="center"/>
              <w:rPr>
                <w:rFonts w:cs="Times New Roman"/>
                <w:szCs w:val="21"/>
              </w:rPr>
            </w:pPr>
            <w:r>
              <w:rPr>
                <w:rFonts w:cs="Times New Roman"/>
                <w:szCs w:val="21"/>
              </w:rPr>
              <w:t>6</w:t>
            </w:r>
          </w:p>
        </w:tc>
        <w:tc>
          <w:tcPr>
            <w:tcW w:w="2393" w:type="dxa"/>
            <w:vAlign w:val="center"/>
          </w:tcPr>
          <w:p w14:paraId="6929067E" w14:textId="77777777" w:rsidR="007D1E74" w:rsidRDefault="00A95641">
            <w:pPr>
              <w:jc w:val="center"/>
              <w:rPr>
                <w:rFonts w:cs="Times New Roman"/>
                <w:szCs w:val="21"/>
              </w:rPr>
            </w:pPr>
            <w:r>
              <w:rPr>
                <w:rFonts w:cs="Times New Roman" w:hint="eastAsia"/>
                <w:szCs w:val="21"/>
              </w:rPr>
              <w:t>1</w:t>
            </w:r>
            <w:r>
              <w:rPr>
                <w:rFonts w:cs="Times New Roman"/>
                <w:szCs w:val="21"/>
              </w:rPr>
              <w:t>00.00</w:t>
            </w:r>
          </w:p>
        </w:tc>
      </w:tr>
    </w:tbl>
    <w:p w14:paraId="019DABDD" w14:textId="77777777" w:rsidR="007D1E74" w:rsidRDefault="00A95641">
      <w:pPr>
        <w:spacing w:line="360" w:lineRule="auto"/>
        <w:ind w:firstLineChars="200" w:firstLine="482"/>
        <w:rPr>
          <w:rFonts w:cs="Times New Roman"/>
          <w:b/>
          <w:sz w:val="24"/>
          <w:szCs w:val="24"/>
        </w:rPr>
      </w:pPr>
      <w:r>
        <w:rPr>
          <w:rFonts w:cs="Times New Roman" w:hint="eastAsia"/>
          <w:b/>
          <w:sz w:val="24"/>
          <w:szCs w:val="24"/>
        </w:rPr>
        <w:t>②区系分析</w:t>
      </w:r>
    </w:p>
    <w:p w14:paraId="18D6F70F" w14:textId="77777777" w:rsidR="007D1E74" w:rsidRDefault="00A95641">
      <w:pPr>
        <w:spacing w:line="360" w:lineRule="auto"/>
        <w:ind w:firstLineChars="200" w:firstLine="480"/>
        <w:rPr>
          <w:sz w:val="24"/>
          <w:szCs w:val="24"/>
        </w:rPr>
      </w:pPr>
      <w:r>
        <w:rPr>
          <w:rFonts w:hint="eastAsia"/>
          <w:sz w:val="24"/>
          <w:szCs w:val="24"/>
        </w:rPr>
        <w:t>评价区在地理区划上属四川盆地东北缘山地省，北面与陕西南部连界。</w:t>
      </w:r>
    </w:p>
    <w:p w14:paraId="09D0AFA7" w14:textId="77777777" w:rsidR="007D1E74" w:rsidRDefault="00A95641">
      <w:pPr>
        <w:spacing w:line="360" w:lineRule="auto"/>
        <w:ind w:firstLineChars="200" w:firstLine="480"/>
        <w:rPr>
          <w:sz w:val="24"/>
          <w:szCs w:val="24"/>
        </w:rPr>
      </w:pPr>
      <w:r>
        <w:rPr>
          <w:rFonts w:hint="eastAsia"/>
          <w:sz w:val="24"/>
          <w:szCs w:val="24"/>
        </w:rPr>
        <w:t>评价区内分布的爬行类动物区系与盆地东北缘省爬行动物区系是一致的，区系较为复杂，既有古北界成份，也有南北过渡成份。在东洋界成份中，兼有西南区和华中区的种类。</w:t>
      </w:r>
    </w:p>
    <w:p w14:paraId="25EF574C" w14:textId="77777777" w:rsidR="007D1E74" w:rsidRDefault="00A95641">
      <w:pPr>
        <w:spacing w:line="360" w:lineRule="auto"/>
        <w:ind w:firstLineChars="200" w:firstLine="482"/>
        <w:rPr>
          <w:rFonts w:cs="Times New Roman"/>
          <w:b/>
          <w:sz w:val="24"/>
          <w:szCs w:val="24"/>
        </w:rPr>
      </w:pPr>
      <w:r>
        <w:rPr>
          <w:rFonts w:cs="Times New Roman" w:hint="eastAsia"/>
          <w:b/>
          <w:sz w:val="24"/>
          <w:szCs w:val="24"/>
        </w:rPr>
        <w:t>③生态类型及分布</w:t>
      </w:r>
    </w:p>
    <w:p w14:paraId="69F4D496" w14:textId="77777777" w:rsidR="007D1E74" w:rsidRDefault="00A95641">
      <w:pPr>
        <w:spacing w:line="360" w:lineRule="auto"/>
        <w:ind w:firstLineChars="200" w:firstLine="480"/>
        <w:rPr>
          <w:sz w:val="24"/>
          <w:szCs w:val="24"/>
        </w:rPr>
      </w:pPr>
      <w:r>
        <w:rPr>
          <w:rFonts w:hint="eastAsia"/>
          <w:sz w:val="24"/>
          <w:szCs w:val="24"/>
        </w:rPr>
        <w:t>根据爬行类的生态习性，将评价区内的爬行动物主要分为以下</w:t>
      </w:r>
      <w:r>
        <w:rPr>
          <w:rFonts w:hint="eastAsia"/>
          <w:sz w:val="24"/>
          <w:szCs w:val="24"/>
        </w:rPr>
        <w:t>2</w:t>
      </w:r>
      <w:r>
        <w:rPr>
          <w:rFonts w:hint="eastAsia"/>
          <w:sz w:val="24"/>
          <w:szCs w:val="24"/>
        </w:rPr>
        <w:t>种类型：</w:t>
      </w:r>
    </w:p>
    <w:p w14:paraId="708C7C1B" w14:textId="77777777" w:rsidR="007D1E74" w:rsidRDefault="00A95641">
      <w:pPr>
        <w:spacing w:line="360" w:lineRule="auto"/>
        <w:ind w:firstLineChars="200" w:firstLine="480"/>
        <w:rPr>
          <w:sz w:val="24"/>
          <w:szCs w:val="24"/>
        </w:rPr>
      </w:pPr>
      <w:r>
        <w:rPr>
          <w:rFonts w:hint="eastAsia"/>
          <w:sz w:val="24"/>
          <w:szCs w:val="24"/>
        </w:rPr>
        <w:t>农田农居、灌丛类型：生长在河谷、灌丛、农耕地、住宅等向阳、温暖的环境，喜在夜晚活动，如蹼趾壁虎；还有部分白天和夜晚均活动的种类，如原矛头蝮、乌梢蛇、赤链蛇、黑眉曙蛇等。</w:t>
      </w:r>
    </w:p>
    <w:p w14:paraId="588218D5" w14:textId="77777777" w:rsidR="007D1E74" w:rsidRDefault="00A95641">
      <w:pPr>
        <w:spacing w:line="360" w:lineRule="auto"/>
        <w:ind w:firstLineChars="200" w:firstLine="480"/>
        <w:rPr>
          <w:sz w:val="24"/>
          <w:szCs w:val="24"/>
        </w:rPr>
      </w:pPr>
      <w:r>
        <w:rPr>
          <w:rFonts w:hint="eastAsia"/>
          <w:sz w:val="24"/>
          <w:szCs w:val="24"/>
        </w:rPr>
        <w:t>森林及林缘类型：栖息于森林及林缘，完成繁殖或觅食等活动，如翠青蛇。</w:t>
      </w:r>
    </w:p>
    <w:p w14:paraId="11FF9B7E" w14:textId="77777777" w:rsidR="007D1E74" w:rsidRDefault="00A95641">
      <w:pPr>
        <w:spacing w:line="360" w:lineRule="auto"/>
        <w:ind w:firstLineChars="200" w:firstLine="482"/>
        <w:rPr>
          <w:rFonts w:cs="Times New Roman"/>
          <w:b/>
          <w:sz w:val="24"/>
          <w:szCs w:val="24"/>
        </w:rPr>
      </w:pPr>
      <w:r>
        <w:rPr>
          <w:rFonts w:cs="Times New Roman" w:hint="eastAsia"/>
          <w:b/>
          <w:sz w:val="24"/>
          <w:szCs w:val="24"/>
        </w:rPr>
        <w:t>④国家重点保护物种</w:t>
      </w:r>
    </w:p>
    <w:p w14:paraId="15FCEAC5" w14:textId="77777777" w:rsidR="007D1E74" w:rsidRDefault="00A95641">
      <w:pPr>
        <w:spacing w:line="360" w:lineRule="auto"/>
        <w:ind w:firstLineChars="200" w:firstLine="480"/>
        <w:rPr>
          <w:sz w:val="24"/>
          <w:szCs w:val="24"/>
        </w:rPr>
      </w:pPr>
      <w:r>
        <w:rPr>
          <w:rFonts w:hint="eastAsia"/>
          <w:sz w:val="24"/>
          <w:szCs w:val="24"/>
        </w:rPr>
        <w:t>评价区域未发现陆域为主的国家和省级重点保护爬行动物。</w:t>
      </w:r>
    </w:p>
    <w:p w14:paraId="22C751AC" w14:textId="77777777" w:rsidR="007D1E74" w:rsidRDefault="00A95641">
      <w:pPr>
        <w:spacing w:line="360" w:lineRule="auto"/>
        <w:ind w:firstLineChars="200" w:firstLine="482"/>
        <w:rPr>
          <w:b/>
          <w:sz w:val="24"/>
          <w:szCs w:val="24"/>
        </w:rPr>
      </w:pPr>
      <w:r>
        <w:rPr>
          <w:rFonts w:hint="eastAsia"/>
          <w:b/>
          <w:sz w:val="24"/>
          <w:szCs w:val="24"/>
        </w:rPr>
        <w:t>（</w:t>
      </w:r>
      <w:r>
        <w:rPr>
          <w:b/>
          <w:sz w:val="24"/>
          <w:szCs w:val="24"/>
        </w:rPr>
        <w:t>3</w:t>
      </w:r>
      <w:r>
        <w:rPr>
          <w:rFonts w:hint="eastAsia"/>
          <w:b/>
          <w:sz w:val="24"/>
          <w:szCs w:val="24"/>
        </w:rPr>
        <w:t>）鸟类</w:t>
      </w:r>
    </w:p>
    <w:p w14:paraId="5394FF9C" w14:textId="77777777" w:rsidR="007D1E74" w:rsidRDefault="00A95641">
      <w:pPr>
        <w:spacing w:line="360" w:lineRule="auto"/>
        <w:ind w:firstLineChars="200" w:firstLine="482"/>
        <w:rPr>
          <w:b/>
          <w:sz w:val="24"/>
          <w:szCs w:val="24"/>
        </w:rPr>
      </w:pPr>
      <w:r>
        <w:rPr>
          <w:rFonts w:hint="eastAsia"/>
          <w:b/>
          <w:sz w:val="24"/>
          <w:szCs w:val="24"/>
        </w:rPr>
        <w:t>①物种组成及居留类型</w:t>
      </w:r>
    </w:p>
    <w:p w14:paraId="161EF27E" w14:textId="77777777" w:rsidR="007D1E74" w:rsidRDefault="00A95641">
      <w:pPr>
        <w:spacing w:line="360" w:lineRule="auto"/>
        <w:ind w:firstLineChars="200" w:firstLine="480"/>
        <w:rPr>
          <w:sz w:val="24"/>
          <w:szCs w:val="24"/>
        </w:rPr>
      </w:pPr>
      <w:r>
        <w:rPr>
          <w:rFonts w:hint="eastAsia"/>
          <w:sz w:val="24"/>
          <w:szCs w:val="24"/>
        </w:rPr>
        <w:t>根据野外调查访问和资料查阅，评价区内共分布有鸟类</w:t>
      </w:r>
      <w:r>
        <w:rPr>
          <w:rFonts w:hint="eastAsia"/>
          <w:sz w:val="24"/>
          <w:szCs w:val="24"/>
        </w:rPr>
        <w:t>76</w:t>
      </w:r>
      <w:r>
        <w:rPr>
          <w:rFonts w:hint="eastAsia"/>
          <w:sz w:val="24"/>
          <w:szCs w:val="24"/>
        </w:rPr>
        <w:t>种，隶属</w:t>
      </w:r>
      <w:r>
        <w:rPr>
          <w:rFonts w:hint="eastAsia"/>
          <w:sz w:val="24"/>
          <w:szCs w:val="24"/>
        </w:rPr>
        <w:t>12</w:t>
      </w:r>
      <w:r>
        <w:rPr>
          <w:rFonts w:hint="eastAsia"/>
          <w:sz w:val="24"/>
          <w:szCs w:val="24"/>
        </w:rPr>
        <w:t>目</w:t>
      </w:r>
      <w:r>
        <w:rPr>
          <w:rFonts w:hint="eastAsia"/>
          <w:sz w:val="24"/>
          <w:szCs w:val="24"/>
        </w:rPr>
        <w:t>38</w:t>
      </w:r>
      <w:r>
        <w:rPr>
          <w:rFonts w:hint="eastAsia"/>
          <w:sz w:val="24"/>
          <w:szCs w:val="24"/>
        </w:rPr>
        <w:t>科。其中非雀形目</w:t>
      </w:r>
      <w:r>
        <w:rPr>
          <w:rFonts w:hint="eastAsia"/>
          <w:sz w:val="24"/>
          <w:szCs w:val="24"/>
        </w:rPr>
        <w:t>21</w:t>
      </w:r>
      <w:r>
        <w:rPr>
          <w:rFonts w:hint="eastAsia"/>
          <w:sz w:val="24"/>
          <w:szCs w:val="24"/>
        </w:rPr>
        <w:t>种，占总数的</w:t>
      </w:r>
      <w:r>
        <w:rPr>
          <w:rFonts w:hint="eastAsia"/>
          <w:sz w:val="24"/>
          <w:szCs w:val="24"/>
        </w:rPr>
        <w:t>27.63%</w:t>
      </w:r>
      <w:r>
        <w:rPr>
          <w:rFonts w:hint="eastAsia"/>
          <w:sz w:val="24"/>
          <w:szCs w:val="24"/>
        </w:rPr>
        <w:t>；雀形目</w:t>
      </w:r>
      <w:r>
        <w:rPr>
          <w:rFonts w:hint="eastAsia"/>
          <w:sz w:val="24"/>
          <w:szCs w:val="24"/>
        </w:rPr>
        <w:t>55</w:t>
      </w:r>
      <w:r>
        <w:rPr>
          <w:rFonts w:hint="eastAsia"/>
          <w:sz w:val="24"/>
          <w:szCs w:val="24"/>
        </w:rPr>
        <w:t>种，占总数的</w:t>
      </w:r>
      <w:r>
        <w:rPr>
          <w:rFonts w:hint="eastAsia"/>
          <w:sz w:val="24"/>
          <w:szCs w:val="24"/>
        </w:rPr>
        <w:t>72.37%</w:t>
      </w:r>
      <w:r>
        <w:rPr>
          <w:rFonts w:hint="eastAsia"/>
          <w:sz w:val="24"/>
          <w:szCs w:val="24"/>
        </w:rPr>
        <w:t>。</w:t>
      </w:r>
    </w:p>
    <w:p w14:paraId="3C49980D" w14:textId="77777777" w:rsidR="007D1E74" w:rsidRDefault="00A95641">
      <w:pPr>
        <w:spacing w:line="360" w:lineRule="auto"/>
        <w:ind w:firstLineChars="200" w:firstLine="480"/>
        <w:rPr>
          <w:sz w:val="24"/>
          <w:szCs w:val="24"/>
        </w:rPr>
      </w:pPr>
      <w:r>
        <w:rPr>
          <w:rFonts w:hint="eastAsia"/>
          <w:sz w:val="24"/>
          <w:szCs w:val="24"/>
        </w:rPr>
        <w:t>在</w:t>
      </w:r>
      <w:r>
        <w:rPr>
          <w:rFonts w:hint="eastAsia"/>
          <w:sz w:val="24"/>
          <w:szCs w:val="24"/>
        </w:rPr>
        <w:t>76</w:t>
      </w:r>
      <w:r>
        <w:rPr>
          <w:rFonts w:hint="eastAsia"/>
          <w:sz w:val="24"/>
          <w:szCs w:val="24"/>
        </w:rPr>
        <w:t>种鸟类中，计有留鸟</w:t>
      </w:r>
      <w:r>
        <w:rPr>
          <w:rFonts w:hint="eastAsia"/>
          <w:sz w:val="24"/>
          <w:szCs w:val="24"/>
        </w:rPr>
        <w:t>43</w:t>
      </w:r>
      <w:r>
        <w:rPr>
          <w:rFonts w:hint="eastAsia"/>
          <w:sz w:val="24"/>
          <w:szCs w:val="24"/>
        </w:rPr>
        <w:t>种，夏候鸟</w:t>
      </w:r>
      <w:r>
        <w:rPr>
          <w:rFonts w:hint="eastAsia"/>
          <w:sz w:val="24"/>
          <w:szCs w:val="24"/>
        </w:rPr>
        <w:t>23</w:t>
      </w:r>
      <w:r>
        <w:rPr>
          <w:rFonts w:hint="eastAsia"/>
          <w:sz w:val="24"/>
          <w:szCs w:val="24"/>
        </w:rPr>
        <w:t>种，冬候鸟有</w:t>
      </w:r>
      <w:r>
        <w:rPr>
          <w:rFonts w:hint="eastAsia"/>
          <w:sz w:val="24"/>
          <w:szCs w:val="24"/>
        </w:rPr>
        <w:t>8</w:t>
      </w:r>
      <w:r>
        <w:rPr>
          <w:rFonts w:hint="eastAsia"/>
          <w:sz w:val="24"/>
          <w:szCs w:val="24"/>
        </w:rPr>
        <w:t>种，旅鸟有</w:t>
      </w:r>
      <w:r>
        <w:rPr>
          <w:rFonts w:hint="eastAsia"/>
          <w:sz w:val="24"/>
          <w:szCs w:val="24"/>
        </w:rPr>
        <w:t>2</w:t>
      </w:r>
      <w:r>
        <w:rPr>
          <w:rFonts w:hint="eastAsia"/>
          <w:sz w:val="24"/>
          <w:szCs w:val="24"/>
        </w:rPr>
        <w:t>种，以留鸟和夏候鸟为主。</w:t>
      </w:r>
    </w:p>
    <w:p w14:paraId="6E5B011D" w14:textId="77777777" w:rsidR="007D1E74" w:rsidRDefault="00A95641">
      <w:pPr>
        <w:spacing w:line="360" w:lineRule="auto"/>
        <w:ind w:firstLineChars="200" w:firstLine="480"/>
        <w:rPr>
          <w:sz w:val="24"/>
          <w:szCs w:val="24"/>
        </w:rPr>
      </w:pPr>
      <w:r>
        <w:rPr>
          <w:rFonts w:hint="eastAsia"/>
          <w:sz w:val="24"/>
          <w:szCs w:val="24"/>
        </w:rPr>
        <w:t>从科的组成看，雀形目鸫科占优势，其次是画眉科、鶺鸰科的鸟类，以及鹳形目的鹭科鸟类、鹃形目杜鹃科鸟类和雀形目莺科、鹎科、燕雀科鸟类。上述这些类群的鸟类构成了该区鸟类物种组成的主体。</w:t>
      </w:r>
    </w:p>
    <w:p w14:paraId="34469FEF" w14:textId="77777777" w:rsidR="007D1E74" w:rsidRDefault="00A95641">
      <w:pPr>
        <w:spacing w:line="360" w:lineRule="auto"/>
        <w:ind w:firstLineChars="200" w:firstLine="482"/>
        <w:rPr>
          <w:b/>
          <w:sz w:val="24"/>
          <w:szCs w:val="24"/>
        </w:rPr>
      </w:pPr>
      <w:r>
        <w:rPr>
          <w:rFonts w:hint="eastAsia"/>
          <w:b/>
          <w:sz w:val="24"/>
          <w:szCs w:val="24"/>
        </w:rPr>
        <w:t>②区系分析</w:t>
      </w:r>
    </w:p>
    <w:p w14:paraId="14726AF8" w14:textId="77777777" w:rsidR="007D1E74" w:rsidRDefault="00A95641">
      <w:pPr>
        <w:spacing w:line="360" w:lineRule="auto"/>
        <w:ind w:firstLineChars="200" w:firstLine="480"/>
        <w:rPr>
          <w:sz w:val="24"/>
          <w:szCs w:val="24"/>
        </w:rPr>
      </w:pPr>
      <w:r>
        <w:rPr>
          <w:rFonts w:hint="eastAsia"/>
          <w:sz w:val="24"/>
          <w:szCs w:val="24"/>
        </w:rPr>
        <w:t>按照《中国动物地理》（张荣祖，</w:t>
      </w:r>
      <w:r>
        <w:rPr>
          <w:rFonts w:hint="eastAsia"/>
          <w:sz w:val="24"/>
          <w:szCs w:val="24"/>
        </w:rPr>
        <w:t>1999</w:t>
      </w:r>
      <w:r>
        <w:rPr>
          <w:rFonts w:hint="eastAsia"/>
          <w:sz w:val="24"/>
          <w:szCs w:val="24"/>
        </w:rPr>
        <w:t>）所作的区划，评价区处于东洋界华中区西部山地高原亚区。评价区域东洋界鸟类占据优势，而古北界和广布种所占成分较少。在这些分布型中，以东洋界的东洋型、南中国型、不易归类型等占优势。</w:t>
      </w:r>
    </w:p>
    <w:p w14:paraId="047E6917" w14:textId="77777777" w:rsidR="007D1E74" w:rsidRDefault="00A95641">
      <w:pPr>
        <w:spacing w:line="360" w:lineRule="auto"/>
        <w:ind w:firstLineChars="200" w:firstLine="482"/>
        <w:rPr>
          <w:b/>
          <w:sz w:val="24"/>
          <w:szCs w:val="24"/>
        </w:rPr>
      </w:pPr>
      <w:r>
        <w:rPr>
          <w:rFonts w:hint="eastAsia"/>
          <w:b/>
          <w:sz w:val="24"/>
          <w:szCs w:val="24"/>
        </w:rPr>
        <w:t>③生态类型</w:t>
      </w:r>
    </w:p>
    <w:p w14:paraId="0092454A" w14:textId="77777777" w:rsidR="007D1E74" w:rsidRDefault="00A95641">
      <w:pPr>
        <w:spacing w:line="360" w:lineRule="auto"/>
        <w:ind w:firstLineChars="200" w:firstLine="480"/>
        <w:rPr>
          <w:sz w:val="24"/>
          <w:szCs w:val="24"/>
        </w:rPr>
      </w:pPr>
      <w:r>
        <w:rPr>
          <w:rFonts w:hint="eastAsia"/>
          <w:sz w:val="24"/>
          <w:szCs w:val="24"/>
        </w:rPr>
        <w:t>根据鸟类的生态习性，将评价区的鸟类分为以下</w:t>
      </w:r>
      <w:r>
        <w:rPr>
          <w:rFonts w:hint="eastAsia"/>
          <w:sz w:val="24"/>
          <w:szCs w:val="24"/>
        </w:rPr>
        <w:t>7</w:t>
      </w:r>
      <w:r>
        <w:rPr>
          <w:rFonts w:hint="eastAsia"/>
          <w:sz w:val="24"/>
          <w:szCs w:val="24"/>
        </w:rPr>
        <w:t>种生态类型：</w:t>
      </w:r>
    </w:p>
    <w:p w14:paraId="0678E8A0" w14:textId="77777777" w:rsidR="007D1E74" w:rsidRDefault="00A95641">
      <w:pPr>
        <w:spacing w:line="360" w:lineRule="auto"/>
        <w:ind w:firstLineChars="200" w:firstLine="480"/>
        <w:rPr>
          <w:sz w:val="24"/>
          <w:szCs w:val="24"/>
        </w:rPr>
      </w:pPr>
      <w:r>
        <w:rPr>
          <w:rFonts w:hint="eastAsia"/>
          <w:sz w:val="24"/>
          <w:szCs w:val="24"/>
        </w:rPr>
        <w:t>涉禽类：适应在河流及岸边、水田、其它浅水区和岸边生活，评价区域主要包括鹭</w:t>
      </w:r>
      <w:r>
        <w:rPr>
          <w:rFonts w:hint="eastAsia"/>
          <w:sz w:val="24"/>
          <w:szCs w:val="24"/>
        </w:rPr>
        <w:lastRenderedPageBreak/>
        <w:t>科、鸻科的鸟类。如：苍鹭、白鹭、剑鸻等。</w:t>
      </w:r>
    </w:p>
    <w:p w14:paraId="6780F334" w14:textId="77777777" w:rsidR="007D1E74" w:rsidRDefault="00A95641">
      <w:pPr>
        <w:spacing w:line="360" w:lineRule="auto"/>
        <w:ind w:firstLineChars="200" w:firstLine="480"/>
        <w:rPr>
          <w:sz w:val="24"/>
          <w:szCs w:val="24"/>
        </w:rPr>
      </w:pPr>
      <w:r>
        <w:rPr>
          <w:rFonts w:hint="eastAsia"/>
          <w:sz w:val="24"/>
          <w:szCs w:val="24"/>
        </w:rPr>
        <w:t>游禽类：这类鸟大多在各类水体中生活。评价区域主要是绿翅鸭、绿头鸭。</w:t>
      </w:r>
    </w:p>
    <w:p w14:paraId="58FEF640" w14:textId="77777777" w:rsidR="007D1E74" w:rsidRDefault="00A95641">
      <w:pPr>
        <w:spacing w:line="360" w:lineRule="auto"/>
        <w:ind w:firstLineChars="200" w:firstLine="480"/>
        <w:rPr>
          <w:sz w:val="24"/>
          <w:szCs w:val="24"/>
        </w:rPr>
      </w:pPr>
      <w:r>
        <w:rPr>
          <w:rFonts w:hint="eastAsia"/>
          <w:sz w:val="24"/>
          <w:szCs w:val="24"/>
        </w:rPr>
        <w:t>鹑鸡类：评价区域主要是雉科的灰胸竹鸡和雉鸡，分布较广，在灌丛和人居周围易见，食物匮乏季节也到农田、耕地中活动和觅食。</w:t>
      </w:r>
    </w:p>
    <w:p w14:paraId="4839E677" w14:textId="77777777" w:rsidR="007D1E74" w:rsidRDefault="00A95641">
      <w:pPr>
        <w:spacing w:line="360" w:lineRule="auto"/>
        <w:ind w:firstLineChars="200" w:firstLine="480"/>
        <w:rPr>
          <w:sz w:val="24"/>
          <w:szCs w:val="24"/>
        </w:rPr>
      </w:pPr>
      <w:r>
        <w:rPr>
          <w:rFonts w:hint="eastAsia"/>
          <w:sz w:val="24"/>
          <w:szCs w:val="24"/>
        </w:rPr>
        <w:t>鸠鸽类：主要营树栖生活，如珠颈斑鸠，评价区在人居周围和灌丛、林地边缘易见。</w:t>
      </w:r>
    </w:p>
    <w:p w14:paraId="704B4EAD" w14:textId="77777777" w:rsidR="007D1E74" w:rsidRDefault="00A95641">
      <w:pPr>
        <w:spacing w:line="360" w:lineRule="auto"/>
        <w:ind w:firstLineChars="200" w:firstLine="480"/>
        <w:rPr>
          <w:sz w:val="24"/>
          <w:szCs w:val="24"/>
        </w:rPr>
      </w:pPr>
      <w:r>
        <w:rPr>
          <w:rFonts w:hint="eastAsia"/>
          <w:sz w:val="24"/>
          <w:szCs w:val="24"/>
        </w:rPr>
        <w:t>攀禽类：在这类鸟当中，有专吃树皮里害虫的啄木鸟，有吃毛虫的能手杜鹃，还有常年生活在水边靠捕捉水中小动物为食的普通翠鸟等。它们在评价区分布广泛，生境多样。</w:t>
      </w:r>
    </w:p>
    <w:p w14:paraId="14162ED3" w14:textId="77777777" w:rsidR="007D1E74" w:rsidRDefault="00A95641">
      <w:pPr>
        <w:spacing w:line="360" w:lineRule="auto"/>
        <w:ind w:firstLineChars="200" w:firstLine="480"/>
        <w:rPr>
          <w:sz w:val="24"/>
          <w:szCs w:val="24"/>
        </w:rPr>
      </w:pPr>
      <w:r>
        <w:rPr>
          <w:rFonts w:hint="eastAsia"/>
          <w:sz w:val="24"/>
          <w:szCs w:val="24"/>
        </w:rPr>
        <w:t>猛禽类：评价区主要是鹰科的黑鸢和普通鵟，多生活在林区，少见，农田和人居周围偶见其活动。</w:t>
      </w:r>
    </w:p>
    <w:p w14:paraId="320EFE63" w14:textId="77777777" w:rsidR="007D1E74" w:rsidRDefault="00A95641">
      <w:pPr>
        <w:spacing w:line="360" w:lineRule="auto"/>
        <w:ind w:firstLineChars="200" w:firstLine="480"/>
        <w:rPr>
          <w:sz w:val="24"/>
          <w:szCs w:val="24"/>
        </w:rPr>
      </w:pPr>
      <w:r>
        <w:rPr>
          <w:rFonts w:hint="eastAsia"/>
          <w:sz w:val="24"/>
          <w:szCs w:val="24"/>
        </w:rPr>
        <w:t>鸣禽类：这类鸟的数量最多。如：小云雀、画眉等，在评价区广泛分布。</w:t>
      </w:r>
    </w:p>
    <w:p w14:paraId="0441FC7A" w14:textId="77777777" w:rsidR="007D1E74" w:rsidRDefault="00A95641">
      <w:pPr>
        <w:spacing w:line="360" w:lineRule="auto"/>
        <w:ind w:firstLineChars="200" w:firstLine="482"/>
        <w:rPr>
          <w:b/>
          <w:sz w:val="24"/>
          <w:szCs w:val="24"/>
        </w:rPr>
      </w:pPr>
      <w:r>
        <w:rPr>
          <w:rFonts w:hint="eastAsia"/>
          <w:b/>
          <w:sz w:val="24"/>
          <w:szCs w:val="24"/>
        </w:rPr>
        <w:t>④珍稀保护鸟类</w:t>
      </w:r>
    </w:p>
    <w:p w14:paraId="727F85FF" w14:textId="77777777" w:rsidR="007D1E74" w:rsidRDefault="00A95641">
      <w:pPr>
        <w:spacing w:line="360" w:lineRule="auto"/>
        <w:ind w:firstLineChars="200" w:firstLine="480"/>
        <w:rPr>
          <w:sz w:val="24"/>
          <w:szCs w:val="24"/>
        </w:rPr>
      </w:pPr>
      <w:r>
        <w:rPr>
          <w:rFonts w:hint="eastAsia"/>
          <w:sz w:val="24"/>
          <w:szCs w:val="24"/>
        </w:rPr>
        <w:t>评价区有国家</w:t>
      </w:r>
      <w:r>
        <w:rPr>
          <w:rFonts w:hint="eastAsia"/>
          <w:sz w:val="24"/>
          <w:szCs w:val="24"/>
        </w:rPr>
        <w:t>II</w:t>
      </w:r>
      <w:r>
        <w:rPr>
          <w:rFonts w:hint="eastAsia"/>
          <w:sz w:val="24"/>
          <w:szCs w:val="24"/>
        </w:rPr>
        <w:t>级重点保护鸟类</w:t>
      </w:r>
      <w:r>
        <w:rPr>
          <w:rFonts w:hint="eastAsia"/>
          <w:sz w:val="24"/>
          <w:szCs w:val="24"/>
        </w:rPr>
        <w:t>2</w:t>
      </w:r>
      <w:r>
        <w:rPr>
          <w:rFonts w:hint="eastAsia"/>
          <w:sz w:val="24"/>
          <w:szCs w:val="24"/>
        </w:rPr>
        <w:t>种，它们是隼形目鹰科的黑鸢（</w:t>
      </w:r>
      <w:r>
        <w:rPr>
          <w:rFonts w:hint="eastAsia"/>
          <w:i/>
          <w:sz w:val="24"/>
          <w:szCs w:val="24"/>
        </w:rPr>
        <w:t>Milvus migrans</w:t>
      </w:r>
      <w:r>
        <w:rPr>
          <w:rFonts w:hint="eastAsia"/>
          <w:sz w:val="24"/>
          <w:szCs w:val="24"/>
        </w:rPr>
        <w:t>）和普通鵟（</w:t>
      </w:r>
      <w:r>
        <w:rPr>
          <w:rFonts w:hint="eastAsia"/>
          <w:i/>
          <w:sz w:val="24"/>
          <w:szCs w:val="24"/>
        </w:rPr>
        <w:t>Buteo japonicus</w:t>
      </w:r>
      <w:r>
        <w:rPr>
          <w:rFonts w:hint="eastAsia"/>
          <w:sz w:val="24"/>
          <w:szCs w:val="24"/>
        </w:rPr>
        <w:t>）。</w:t>
      </w:r>
    </w:p>
    <w:p w14:paraId="214471E3" w14:textId="77777777" w:rsidR="007D1E74" w:rsidRDefault="00A95641">
      <w:pPr>
        <w:spacing w:line="360" w:lineRule="auto"/>
        <w:ind w:firstLineChars="200" w:firstLine="480"/>
        <w:rPr>
          <w:sz w:val="24"/>
          <w:szCs w:val="24"/>
        </w:rPr>
      </w:pPr>
      <w:r>
        <w:rPr>
          <w:rFonts w:hint="eastAsia"/>
          <w:sz w:val="24"/>
          <w:szCs w:val="24"/>
        </w:rPr>
        <w:t>有四川省省级保护鸟类</w:t>
      </w:r>
      <w:r>
        <w:rPr>
          <w:rFonts w:hint="eastAsia"/>
          <w:sz w:val="24"/>
          <w:szCs w:val="24"/>
        </w:rPr>
        <w:t>1</w:t>
      </w:r>
      <w:r>
        <w:rPr>
          <w:rFonts w:hint="eastAsia"/>
          <w:sz w:val="24"/>
          <w:szCs w:val="24"/>
        </w:rPr>
        <w:t>种：即鹃形目杜鹃科的大鹰鹃（</w:t>
      </w:r>
      <w:r>
        <w:rPr>
          <w:rFonts w:hint="eastAsia"/>
          <w:i/>
          <w:sz w:val="24"/>
          <w:szCs w:val="24"/>
        </w:rPr>
        <w:t>Cuculus sparverio ides</w:t>
      </w:r>
      <w:r>
        <w:rPr>
          <w:rFonts w:hint="eastAsia"/>
          <w:sz w:val="24"/>
          <w:szCs w:val="24"/>
        </w:rPr>
        <w:t>）。</w:t>
      </w:r>
    </w:p>
    <w:p w14:paraId="59D1DAD2" w14:textId="77777777" w:rsidR="007D1E74" w:rsidRDefault="00A95641">
      <w:pPr>
        <w:spacing w:line="360" w:lineRule="auto"/>
        <w:ind w:firstLineChars="200" w:firstLine="480"/>
        <w:rPr>
          <w:sz w:val="24"/>
          <w:szCs w:val="24"/>
        </w:rPr>
      </w:pPr>
      <w:r>
        <w:rPr>
          <w:rFonts w:hint="eastAsia"/>
          <w:sz w:val="24"/>
          <w:szCs w:val="24"/>
        </w:rPr>
        <w:t>黑鸢：别名老鹰、麻鹞子。繁殖期在</w:t>
      </w:r>
      <w:r>
        <w:rPr>
          <w:rFonts w:hint="eastAsia"/>
          <w:sz w:val="24"/>
          <w:szCs w:val="24"/>
        </w:rPr>
        <w:t>4~6</w:t>
      </w:r>
      <w:r>
        <w:rPr>
          <w:rFonts w:hint="eastAsia"/>
          <w:sz w:val="24"/>
          <w:szCs w:val="24"/>
        </w:rPr>
        <w:t>月，每窝产卵</w:t>
      </w:r>
      <w:r>
        <w:rPr>
          <w:rFonts w:hint="eastAsia"/>
          <w:sz w:val="24"/>
          <w:szCs w:val="24"/>
        </w:rPr>
        <w:t>2</w:t>
      </w:r>
      <w:r>
        <w:rPr>
          <w:rFonts w:hint="eastAsia"/>
          <w:sz w:val="24"/>
          <w:szCs w:val="24"/>
        </w:rPr>
        <w:t>枚。多栖息在平原、丘陵及山区。主要以鼠、鸟、昆虫及小动物为食。</w:t>
      </w:r>
    </w:p>
    <w:p w14:paraId="62C47D75" w14:textId="77777777" w:rsidR="007D1E74" w:rsidRDefault="00A95641">
      <w:pPr>
        <w:spacing w:line="360" w:lineRule="auto"/>
        <w:ind w:firstLineChars="200" w:firstLine="480"/>
        <w:rPr>
          <w:sz w:val="24"/>
          <w:szCs w:val="24"/>
        </w:rPr>
      </w:pPr>
      <w:r>
        <w:rPr>
          <w:rFonts w:hint="eastAsia"/>
          <w:sz w:val="24"/>
          <w:szCs w:val="24"/>
        </w:rPr>
        <w:t>在评价区冬季偶见于开阔的乡村、城镇及村庄，活动范围大，但种群数量较小。喜优雅盘旋或作缓慢振翅飞行，或栖于柱子、电线、建筑物或地面，在垃圾堆找食腐物。</w:t>
      </w:r>
    </w:p>
    <w:p w14:paraId="270DE32C" w14:textId="77777777" w:rsidR="007D1E74" w:rsidRDefault="00A95641">
      <w:pPr>
        <w:spacing w:line="360" w:lineRule="auto"/>
        <w:ind w:firstLineChars="200" w:firstLine="480"/>
        <w:rPr>
          <w:sz w:val="24"/>
          <w:szCs w:val="24"/>
        </w:rPr>
      </w:pPr>
      <w:r>
        <w:rPr>
          <w:rFonts w:hint="eastAsia"/>
          <w:sz w:val="24"/>
          <w:szCs w:val="24"/>
        </w:rPr>
        <w:t>普通鵟：主要栖息于山地森林和林缘地带，从山脚阔叶林到混交林和针叶林地带均有分布，常见在开阔平原、荒漠、旷野、开垦的耕作区、林缘草地和村庄上空盘旋翱翔。以森林鼠类为食。在评价区数量少，冬季偶见。</w:t>
      </w:r>
    </w:p>
    <w:p w14:paraId="5AD0D783" w14:textId="77777777" w:rsidR="007D1E74" w:rsidRDefault="00A95641">
      <w:pPr>
        <w:spacing w:line="360" w:lineRule="auto"/>
        <w:ind w:firstLineChars="200" w:firstLine="480"/>
        <w:rPr>
          <w:sz w:val="24"/>
          <w:szCs w:val="24"/>
        </w:rPr>
      </w:pPr>
      <w:r>
        <w:rPr>
          <w:rFonts w:hint="eastAsia"/>
          <w:sz w:val="24"/>
          <w:szCs w:val="24"/>
        </w:rPr>
        <w:t>鹰鹃：四川省级保护鸟类，多栖息在阔叶林，主要以毛虫为食。评价区广泛分布，有一定种群数量，夏季叫声频繁。</w:t>
      </w:r>
    </w:p>
    <w:p w14:paraId="18E8B633" w14:textId="77777777" w:rsidR="007D1E74" w:rsidRDefault="00A95641">
      <w:pPr>
        <w:pStyle w:val="afffffe"/>
        <w:numPr>
          <w:ilvl w:val="0"/>
          <w:numId w:val="43"/>
        </w:numPr>
        <w:spacing w:line="360" w:lineRule="auto"/>
        <w:ind w:firstLineChars="0"/>
        <w:jc w:val="center"/>
        <w:rPr>
          <w:rFonts w:eastAsia="黑体" w:cs="Times New Roman"/>
          <w:szCs w:val="21"/>
        </w:rPr>
      </w:pPr>
      <w:r>
        <w:rPr>
          <w:rFonts w:eastAsia="黑体" w:cs="Times New Roman" w:hint="eastAsia"/>
          <w:szCs w:val="21"/>
        </w:rPr>
        <w:t>评价区重点保护及特有鸟类的分布、生境特征和食性</w:t>
      </w:r>
    </w:p>
    <w:tbl>
      <w:tblPr>
        <w:tblStyle w:val="affffc"/>
        <w:tblW w:w="5000" w:type="pct"/>
        <w:tblLook w:val="04A0" w:firstRow="1" w:lastRow="0" w:firstColumn="1" w:lastColumn="0" w:noHBand="0" w:noVBand="1"/>
      </w:tblPr>
      <w:tblGrid>
        <w:gridCol w:w="1441"/>
        <w:gridCol w:w="1441"/>
        <w:gridCol w:w="6134"/>
      </w:tblGrid>
      <w:tr w:rsidR="007D1E74" w14:paraId="59E214F5" w14:textId="77777777">
        <w:tc>
          <w:tcPr>
            <w:tcW w:w="799" w:type="pct"/>
            <w:vAlign w:val="center"/>
          </w:tcPr>
          <w:p w14:paraId="32A294CD" w14:textId="77777777" w:rsidR="007D1E74" w:rsidRDefault="00A95641">
            <w:pPr>
              <w:jc w:val="center"/>
              <w:rPr>
                <w:rFonts w:cs="Times New Roman"/>
                <w:szCs w:val="21"/>
              </w:rPr>
            </w:pPr>
            <w:r>
              <w:rPr>
                <w:rFonts w:cs="Times New Roman"/>
                <w:szCs w:val="21"/>
              </w:rPr>
              <w:t>种名</w:t>
            </w:r>
          </w:p>
        </w:tc>
        <w:tc>
          <w:tcPr>
            <w:tcW w:w="799" w:type="pct"/>
            <w:vAlign w:val="center"/>
          </w:tcPr>
          <w:p w14:paraId="223340E2" w14:textId="77777777" w:rsidR="007D1E74" w:rsidRDefault="00A95641">
            <w:pPr>
              <w:jc w:val="center"/>
              <w:rPr>
                <w:rFonts w:cs="Times New Roman"/>
                <w:szCs w:val="21"/>
              </w:rPr>
            </w:pPr>
            <w:r>
              <w:rPr>
                <w:rFonts w:cs="Times New Roman"/>
                <w:szCs w:val="21"/>
              </w:rPr>
              <w:t>保护级别</w:t>
            </w:r>
          </w:p>
        </w:tc>
        <w:tc>
          <w:tcPr>
            <w:tcW w:w="3402" w:type="pct"/>
            <w:vAlign w:val="center"/>
          </w:tcPr>
          <w:p w14:paraId="234CF1B9" w14:textId="77777777" w:rsidR="007D1E74" w:rsidRDefault="00A95641">
            <w:pPr>
              <w:jc w:val="center"/>
              <w:rPr>
                <w:rFonts w:cs="Times New Roman"/>
                <w:szCs w:val="21"/>
              </w:rPr>
            </w:pPr>
            <w:r>
              <w:rPr>
                <w:rFonts w:cs="Times New Roman" w:hint="eastAsia"/>
                <w:szCs w:val="21"/>
              </w:rPr>
              <w:t>生境、行为与食性</w:t>
            </w:r>
          </w:p>
        </w:tc>
      </w:tr>
      <w:tr w:rsidR="007D1E74" w14:paraId="4F58C9E2" w14:textId="77777777">
        <w:tc>
          <w:tcPr>
            <w:tcW w:w="799" w:type="pct"/>
            <w:vAlign w:val="center"/>
          </w:tcPr>
          <w:p w14:paraId="514AD12C" w14:textId="77777777" w:rsidR="007D1E74" w:rsidRDefault="00A95641">
            <w:pPr>
              <w:jc w:val="center"/>
              <w:rPr>
                <w:rFonts w:cs="Times New Roman"/>
                <w:szCs w:val="21"/>
              </w:rPr>
            </w:pPr>
            <w:r>
              <w:rPr>
                <w:rFonts w:cs="Times New Roman" w:hint="eastAsia"/>
                <w:szCs w:val="21"/>
              </w:rPr>
              <w:t>黑鸢</w:t>
            </w:r>
          </w:p>
        </w:tc>
        <w:tc>
          <w:tcPr>
            <w:tcW w:w="799" w:type="pct"/>
            <w:vAlign w:val="center"/>
          </w:tcPr>
          <w:p w14:paraId="3E475A7A" w14:textId="77777777" w:rsidR="007D1E74" w:rsidRDefault="00A95641">
            <w:pPr>
              <w:jc w:val="center"/>
              <w:rPr>
                <w:rFonts w:cs="Times New Roman"/>
                <w:szCs w:val="21"/>
              </w:rPr>
            </w:pPr>
            <w:r>
              <w:rPr>
                <w:rFonts w:cs="Times New Roman"/>
                <w:szCs w:val="21"/>
              </w:rPr>
              <w:t>II</w:t>
            </w:r>
          </w:p>
        </w:tc>
        <w:tc>
          <w:tcPr>
            <w:tcW w:w="3402" w:type="pct"/>
            <w:vAlign w:val="center"/>
          </w:tcPr>
          <w:p w14:paraId="5266DDD3" w14:textId="77777777" w:rsidR="007D1E74" w:rsidRDefault="00A95641">
            <w:pPr>
              <w:rPr>
                <w:rFonts w:cs="Times New Roman"/>
                <w:szCs w:val="21"/>
              </w:rPr>
            </w:pPr>
            <w:r>
              <w:rPr>
                <w:rFonts w:cs="Times New Roman" w:hint="eastAsia"/>
                <w:szCs w:val="21"/>
              </w:rPr>
              <w:t>开阔的乡村、城镇及村庄。优雅盘旋或作缓慢振翅飞行；或栖于柱子、电线、建筑物或地面。有时在垃圾堆找食腐物。</w:t>
            </w:r>
          </w:p>
        </w:tc>
      </w:tr>
      <w:tr w:rsidR="007D1E74" w14:paraId="42C231E5" w14:textId="77777777">
        <w:tc>
          <w:tcPr>
            <w:tcW w:w="799" w:type="pct"/>
            <w:vAlign w:val="center"/>
          </w:tcPr>
          <w:p w14:paraId="1C45C1F7" w14:textId="77777777" w:rsidR="007D1E74" w:rsidRDefault="00A95641">
            <w:pPr>
              <w:jc w:val="center"/>
              <w:rPr>
                <w:rFonts w:cs="Times New Roman"/>
                <w:szCs w:val="21"/>
              </w:rPr>
            </w:pPr>
            <w:r>
              <w:rPr>
                <w:rFonts w:cs="Times New Roman" w:hint="eastAsia"/>
                <w:szCs w:val="21"/>
              </w:rPr>
              <w:t>普通鵟</w:t>
            </w:r>
          </w:p>
        </w:tc>
        <w:tc>
          <w:tcPr>
            <w:tcW w:w="799" w:type="pct"/>
            <w:vAlign w:val="center"/>
          </w:tcPr>
          <w:p w14:paraId="3B2ED28F" w14:textId="77777777" w:rsidR="007D1E74" w:rsidRDefault="00A95641">
            <w:pPr>
              <w:jc w:val="center"/>
              <w:rPr>
                <w:rFonts w:cs="Times New Roman"/>
                <w:szCs w:val="21"/>
              </w:rPr>
            </w:pPr>
            <w:r>
              <w:rPr>
                <w:rFonts w:cs="Times New Roman"/>
                <w:szCs w:val="21"/>
              </w:rPr>
              <w:t>II</w:t>
            </w:r>
          </w:p>
        </w:tc>
        <w:tc>
          <w:tcPr>
            <w:tcW w:w="3402" w:type="pct"/>
            <w:vAlign w:val="center"/>
          </w:tcPr>
          <w:p w14:paraId="0E5089C6" w14:textId="77777777" w:rsidR="007D1E74" w:rsidRDefault="00A95641">
            <w:pPr>
              <w:rPr>
                <w:rFonts w:cs="Times New Roman"/>
                <w:szCs w:val="21"/>
              </w:rPr>
            </w:pPr>
            <w:r>
              <w:rPr>
                <w:rFonts w:cs="Times New Roman" w:hint="eastAsia"/>
                <w:szCs w:val="21"/>
              </w:rPr>
              <w:t>多林丘陵山地。</w:t>
            </w:r>
          </w:p>
        </w:tc>
      </w:tr>
      <w:tr w:rsidR="007D1E74" w14:paraId="67914E05" w14:textId="77777777">
        <w:tc>
          <w:tcPr>
            <w:tcW w:w="799" w:type="pct"/>
            <w:vAlign w:val="center"/>
          </w:tcPr>
          <w:p w14:paraId="2F00E42D" w14:textId="77777777" w:rsidR="007D1E74" w:rsidRDefault="00A95641">
            <w:pPr>
              <w:jc w:val="center"/>
              <w:rPr>
                <w:rFonts w:cs="Times New Roman"/>
                <w:szCs w:val="21"/>
              </w:rPr>
            </w:pPr>
            <w:r>
              <w:rPr>
                <w:rFonts w:cs="Times New Roman" w:hint="eastAsia"/>
                <w:szCs w:val="21"/>
              </w:rPr>
              <w:t>大鹰鹃</w:t>
            </w:r>
          </w:p>
        </w:tc>
        <w:tc>
          <w:tcPr>
            <w:tcW w:w="799" w:type="pct"/>
            <w:vAlign w:val="center"/>
          </w:tcPr>
          <w:p w14:paraId="503E5ED9" w14:textId="77777777" w:rsidR="007D1E74" w:rsidRDefault="00A95641">
            <w:pPr>
              <w:jc w:val="center"/>
              <w:rPr>
                <w:rFonts w:cs="Times New Roman"/>
                <w:szCs w:val="21"/>
              </w:rPr>
            </w:pPr>
            <w:r>
              <w:rPr>
                <w:rFonts w:cs="Times New Roman"/>
                <w:szCs w:val="21"/>
              </w:rPr>
              <w:t>省级</w:t>
            </w:r>
          </w:p>
        </w:tc>
        <w:tc>
          <w:tcPr>
            <w:tcW w:w="3402" w:type="pct"/>
            <w:vAlign w:val="center"/>
          </w:tcPr>
          <w:p w14:paraId="03C99622" w14:textId="77777777" w:rsidR="007D1E74" w:rsidRDefault="00A95641">
            <w:pPr>
              <w:rPr>
                <w:rFonts w:cs="Times New Roman"/>
                <w:szCs w:val="21"/>
              </w:rPr>
            </w:pPr>
            <w:r>
              <w:rPr>
                <w:rFonts w:cs="Times New Roman" w:hint="eastAsia"/>
                <w:szCs w:val="21"/>
              </w:rPr>
              <w:t>阔叶林，主要以毛虫为食。</w:t>
            </w:r>
          </w:p>
        </w:tc>
      </w:tr>
    </w:tbl>
    <w:p w14:paraId="4C6B1472" w14:textId="77777777" w:rsidR="007D1E74" w:rsidRDefault="00A95641">
      <w:pPr>
        <w:spacing w:line="360" w:lineRule="auto"/>
        <w:ind w:firstLineChars="200" w:firstLine="482"/>
        <w:rPr>
          <w:b/>
          <w:sz w:val="24"/>
          <w:szCs w:val="24"/>
        </w:rPr>
      </w:pPr>
      <w:r>
        <w:rPr>
          <w:rFonts w:hint="eastAsia"/>
          <w:b/>
          <w:sz w:val="24"/>
          <w:szCs w:val="24"/>
        </w:rPr>
        <w:t>（</w:t>
      </w:r>
      <w:r>
        <w:rPr>
          <w:b/>
          <w:sz w:val="24"/>
          <w:szCs w:val="24"/>
        </w:rPr>
        <w:t>4</w:t>
      </w:r>
      <w:r>
        <w:rPr>
          <w:rFonts w:hint="eastAsia"/>
          <w:b/>
          <w:sz w:val="24"/>
          <w:szCs w:val="24"/>
        </w:rPr>
        <w:t>）兽类</w:t>
      </w:r>
    </w:p>
    <w:p w14:paraId="42FC3234" w14:textId="77777777" w:rsidR="007D1E74" w:rsidRDefault="00A95641">
      <w:pPr>
        <w:spacing w:line="360" w:lineRule="auto"/>
        <w:ind w:firstLineChars="200" w:firstLine="482"/>
        <w:rPr>
          <w:b/>
          <w:sz w:val="24"/>
          <w:szCs w:val="24"/>
        </w:rPr>
      </w:pPr>
      <w:r>
        <w:rPr>
          <w:rFonts w:hint="eastAsia"/>
          <w:b/>
          <w:sz w:val="24"/>
          <w:szCs w:val="24"/>
        </w:rPr>
        <w:lastRenderedPageBreak/>
        <w:t>①物种组成</w:t>
      </w:r>
    </w:p>
    <w:p w14:paraId="601ED818" w14:textId="77777777" w:rsidR="007D1E74" w:rsidRDefault="00A95641">
      <w:pPr>
        <w:spacing w:line="360" w:lineRule="auto"/>
        <w:ind w:firstLineChars="200" w:firstLine="480"/>
        <w:rPr>
          <w:sz w:val="24"/>
          <w:szCs w:val="24"/>
        </w:rPr>
      </w:pPr>
      <w:r>
        <w:rPr>
          <w:rFonts w:hint="eastAsia"/>
          <w:sz w:val="24"/>
          <w:szCs w:val="24"/>
        </w:rPr>
        <w:t>根据野外调查和资料查阅，评价区内共分布有兽类</w:t>
      </w:r>
      <w:r>
        <w:rPr>
          <w:rFonts w:hint="eastAsia"/>
          <w:sz w:val="24"/>
          <w:szCs w:val="24"/>
        </w:rPr>
        <w:t>5</w:t>
      </w:r>
      <w:r>
        <w:rPr>
          <w:rFonts w:hint="eastAsia"/>
          <w:sz w:val="24"/>
          <w:szCs w:val="24"/>
        </w:rPr>
        <w:t>目</w:t>
      </w:r>
      <w:r>
        <w:rPr>
          <w:rFonts w:hint="eastAsia"/>
          <w:sz w:val="24"/>
          <w:szCs w:val="24"/>
        </w:rPr>
        <w:t>8</w:t>
      </w:r>
      <w:r>
        <w:rPr>
          <w:rFonts w:hint="eastAsia"/>
          <w:sz w:val="24"/>
          <w:szCs w:val="24"/>
        </w:rPr>
        <w:t>科</w:t>
      </w:r>
      <w:r>
        <w:rPr>
          <w:rFonts w:hint="eastAsia"/>
          <w:sz w:val="24"/>
          <w:szCs w:val="24"/>
        </w:rPr>
        <w:t>20</w:t>
      </w:r>
      <w:r>
        <w:rPr>
          <w:rFonts w:hint="eastAsia"/>
          <w:sz w:val="24"/>
          <w:szCs w:val="24"/>
        </w:rPr>
        <w:t>种。</w:t>
      </w:r>
    </w:p>
    <w:p w14:paraId="1A54FD71" w14:textId="77777777" w:rsidR="007D1E74" w:rsidRDefault="00A95641">
      <w:pPr>
        <w:spacing w:line="360" w:lineRule="auto"/>
        <w:ind w:firstLineChars="200" w:firstLine="480"/>
        <w:rPr>
          <w:sz w:val="24"/>
          <w:szCs w:val="24"/>
        </w:rPr>
      </w:pPr>
      <w:r>
        <w:rPr>
          <w:rFonts w:hint="eastAsia"/>
          <w:sz w:val="24"/>
          <w:szCs w:val="24"/>
        </w:rPr>
        <w:t>从目一级来看：啮齿目有</w:t>
      </w:r>
      <w:r>
        <w:rPr>
          <w:rFonts w:hint="eastAsia"/>
          <w:sz w:val="24"/>
          <w:szCs w:val="24"/>
        </w:rPr>
        <w:t>10</w:t>
      </w:r>
      <w:r>
        <w:rPr>
          <w:rFonts w:hint="eastAsia"/>
          <w:sz w:val="24"/>
          <w:szCs w:val="24"/>
        </w:rPr>
        <w:t>种，占据绝对优势；其次为食肉目及翼手目次之；兔形目</w:t>
      </w:r>
      <w:r>
        <w:rPr>
          <w:rFonts w:hint="eastAsia"/>
          <w:sz w:val="24"/>
          <w:szCs w:val="24"/>
        </w:rPr>
        <w:t>1</w:t>
      </w:r>
      <w:r>
        <w:rPr>
          <w:rFonts w:hint="eastAsia"/>
          <w:sz w:val="24"/>
          <w:szCs w:val="24"/>
        </w:rPr>
        <w:t>种最少。从科一级来看：鼠科、鼬科、菊头蝠科、松鼠科、鼩鼱科，以鼠科占据优势。</w:t>
      </w:r>
    </w:p>
    <w:p w14:paraId="498BA108" w14:textId="77777777" w:rsidR="007D1E74" w:rsidRDefault="00A95641">
      <w:pPr>
        <w:spacing w:line="360" w:lineRule="auto"/>
        <w:ind w:firstLineChars="200" w:firstLine="482"/>
        <w:rPr>
          <w:b/>
          <w:sz w:val="24"/>
          <w:szCs w:val="24"/>
        </w:rPr>
      </w:pPr>
      <w:r>
        <w:rPr>
          <w:rFonts w:hint="eastAsia"/>
          <w:b/>
          <w:sz w:val="24"/>
          <w:szCs w:val="24"/>
        </w:rPr>
        <w:t>②区系分析</w:t>
      </w:r>
    </w:p>
    <w:p w14:paraId="0CAD869A" w14:textId="77777777" w:rsidR="007D1E74" w:rsidRDefault="00A95641">
      <w:pPr>
        <w:spacing w:line="360" w:lineRule="auto"/>
        <w:ind w:firstLineChars="200" w:firstLine="480"/>
        <w:rPr>
          <w:sz w:val="24"/>
          <w:szCs w:val="24"/>
        </w:rPr>
      </w:pPr>
      <w:r>
        <w:rPr>
          <w:rFonts w:hint="eastAsia"/>
          <w:sz w:val="24"/>
          <w:szCs w:val="24"/>
        </w:rPr>
        <w:t>评价区兽类兼有古北界和东洋界的成分，以东洋界成分占据绝对的优势，并渗入了古北界和广布种的成分。分布型以东洋界的东洋型和古北界的古北型占优，其它类型种类较少。</w:t>
      </w:r>
    </w:p>
    <w:p w14:paraId="78117B7D" w14:textId="77777777" w:rsidR="007D1E74" w:rsidRDefault="00A95641">
      <w:pPr>
        <w:spacing w:line="360" w:lineRule="auto"/>
        <w:ind w:firstLineChars="200" w:firstLine="482"/>
        <w:rPr>
          <w:b/>
          <w:sz w:val="24"/>
          <w:szCs w:val="24"/>
        </w:rPr>
      </w:pPr>
      <w:r>
        <w:rPr>
          <w:rFonts w:hint="eastAsia"/>
          <w:b/>
          <w:sz w:val="24"/>
          <w:szCs w:val="24"/>
        </w:rPr>
        <w:t>③生态类型</w:t>
      </w:r>
    </w:p>
    <w:p w14:paraId="51BB576E" w14:textId="77777777" w:rsidR="007D1E74" w:rsidRDefault="00A95641">
      <w:pPr>
        <w:spacing w:line="360" w:lineRule="auto"/>
        <w:ind w:firstLineChars="200" w:firstLine="480"/>
        <w:rPr>
          <w:sz w:val="24"/>
          <w:szCs w:val="24"/>
        </w:rPr>
      </w:pPr>
      <w:r>
        <w:rPr>
          <w:rFonts w:hint="eastAsia"/>
          <w:sz w:val="24"/>
          <w:szCs w:val="24"/>
        </w:rPr>
        <w:t>根据兽类的生活习性，将评价区内的兽类分为以下</w:t>
      </w:r>
      <w:r>
        <w:rPr>
          <w:rFonts w:hint="eastAsia"/>
          <w:sz w:val="24"/>
          <w:szCs w:val="24"/>
        </w:rPr>
        <w:t>4</w:t>
      </w:r>
      <w:r>
        <w:rPr>
          <w:rFonts w:hint="eastAsia"/>
          <w:sz w:val="24"/>
          <w:szCs w:val="24"/>
        </w:rPr>
        <w:t>种生态类型。</w:t>
      </w:r>
    </w:p>
    <w:p w14:paraId="1B15FBE4" w14:textId="77777777" w:rsidR="007D1E74" w:rsidRDefault="00A95641">
      <w:pPr>
        <w:spacing w:line="360" w:lineRule="auto"/>
        <w:ind w:firstLineChars="200" w:firstLine="480"/>
        <w:rPr>
          <w:sz w:val="24"/>
          <w:szCs w:val="24"/>
        </w:rPr>
      </w:pPr>
      <w:r>
        <w:rPr>
          <w:rFonts w:hint="eastAsia"/>
          <w:sz w:val="24"/>
          <w:szCs w:val="24"/>
        </w:rPr>
        <w:t>半地下生活型：草兔、黄胸鼠、黄胸鼠、猪獾等。</w:t>
      </w:r>
    </w:p>
    <w:p w14:paraId="356D2701" w14:textId="77777777" w:rsidR="007D1E74" w:rsidRDefault="00A95641">
      <w:pPr>
        <w:spacing w:line="360" w:lineRule="auto"/>
        <w:ind w:firstLineChars="200" w:firstLine="480"/>
        <w:rPr>
          <w:sz w:val="24"/>
          <w:szCs w:val="24"/>
        </w:rPr>
      </w:pPr>
      <w:r>
        <w:rPr>
          <w:rFonts w:hint="eastAsia"/>
          <w:sz w:val="24"/>
          <w:szCs w:val="24"/>
        </w:rPr>
        <w:t>地面生活型：黄鼬、巢鼠等。一般在阔叶林和灌丛中活动。有时到农田和耕地活动。</w:t>
      </w:r>
    </w:p>
    <w:p w14:paraId="377E2EA6" w14:textId="77777777" w:rsidR="007D1E74" w:rsidRDefault="00A95641">
      <w:pPr>
        <w:spacing w:line="360" w:lineRule="auto"/>
        <w:ind w:firstLineChars="200" w:firstLine="480"/>
        <w:rPr>
          <w:sz w:val="24"/>
          <w:szCs w:val="24"/>
        </w:rPr>
      </w:pPr>
      <w:r>
        <w:rPr>
          <w:rFonts w:hint="eastAsia"/>
          <w:sz w:val="24"/>
          <w:szCs w:val="24"/>
        </w:rPr>
        <w:t>半树栖型：既在地面活动，又善于攀沿。如赤腹丽松鼠和红颊长吻松鼠。</w:t>
      </w:r>
    </w:p>
    <w:p w14:paraId="7ED0759C" w14:textId="77777777" w:rsidR="007D1E74" w:rsidRDefault="00A95641">
      <w:pPr>
        <w:spacing w:line="360" w:lineRule="auto"/>
        <w:ind w:firstLineChars="200" w:firstLine="480"/>
        <w:rPr>
          <w:sz w:val="24"/>
          <w:szCs w:val="24"/>
        </w:rPr>
      </w:pPr>
      <w:r>
        <w:rPr>
          <w:rFonts w:hint="eastAsia"/>
          <w:sz w:val="24"/>
          <w:szCs w:val="24"/>
        </w:rPr>
        <w:t>岩洞生活型：在岩洞中倒挂栖息或以屋檐或裂缝作为起居地。如：皮氏菊头蝠、中菊头蝠等。</w:t>
      </w:r>
    </w:p>
    <w:p w14:paraId="1E3CE3AD" w14:textId="77777777" w:rsidR="007D1E74" w:rsidRDefault="00A95641">
      <w:pPr>
        <w:spacing w:line="360" w:lineRule="auto"/>
        <w:ind w:firstLineChars="200" w:firstLine="482"/>
        <w:rPr>
          <w:b/>
          <w:sz w:val="24"/>
          <w:szCs w:val="24"/>
        </w:rPr>
      </w:pPr>
      <w:r>
        <w:rPr>
          <w:rFonts w:hint="eastAsia"/>
          <w:b/>
          <w:sz w:val="24"/>
          <w:szCs w:val="24"/>
        </w:rPr>
        <w:t>④国家重点保护兽类</w:t>
      </w:r>
    </w:p>
    <w:p w14:paraId="20F71D05" w14:textId="77777777" w:rsidR="007D1E74" w:rsidRDefault="00A95641">
      <w:pPr>
        <w:spacing w:line="360" w:lineRule="auto"/>
        <w:ind w:firstLineChars="200" w:firstLine="480"/>
        <w:rPr>
          <w:sz w:val="24"/>
          <w:szCs w:val="24"/>
        </w:rPr>
      </w:pPr>
      <w:r>
        <w:rPr>
          <w:rFonts w:hint="eastAsia"/>
          <w:sz w:val="24"/>
          <w:szCs w:val="24"/>
        </w:rPr>
        <w:t>评价区内分布有国家二级重点保护兽类豹猫（</w:t>
      </w:r>
      <w:r>
        <w:rPr>
          <w:rFonts w:hint="eastAsia"/>
          <w:i/>
          <w:sz w:val="24"/>
          <w:szCs w:val="24"/>
        </w:rPr>
        <w:t>Felis bengalensis</w:t>
      </w:r>
      <w:r>
        <w:rPr>
          <w:rFonts w:hint="eastAsia"/>
          <w:sz w:val="24"/>
          <w:szCs w:val="24"/>
        </w:rPr>
        <w:t>）</w:t>
      </w:r>
      <w:r>
        <w:rPr>
          <w:rFonts w:hint="eastAsia"/>
          <w:sz w:val="24"/>
          <w:szCs w:val="24"/>
        </w:rPr>
        <w:t>1</w:t>
      </w:r>
      <w:r>
        <w:rPr>
          <w:rFonts w:hint="eastAsia"/>
          <w:sz w:val="24"/>
          <w:szCs w:val="24"/>
        </w:rPr>
        <w:t>种。</w:t>
      </w:r>
    </w:p>
    <w:p w14:paraId="432112FF" w14:textId="77777777" w:rsidR="007D1E74" w:rsidRDefault="00A95641">
      <w:pPr>
        <w:spacing w:line="360" w:lineRule="auto"/>
        <w:ind w:firstLineChars="200" w:firstLine="480"/>
        <w:rPr>
          <w:sz w:val="24"/>
          <w:szCs w:val="24"/>
        </w:rPr>
      </w:pPr>
      <w:r>
        <w:rPr>
          <w:rFonts w:hint="eastAsia"/>
          <w:sz w:val="24"/>
          <w:szCs w:val="24"/>
        </w:rPr>
        <w:t>豹猫：主要栖息于山地林区、郊野灌丛和林缘村寨附近。分布的海拔高度可从低海拔海岸带一直分布到海拔</w:t>
      </w:r>
      <w:r>
        <w:rPr>
          <w:rFonts w:hint="eastAsia"/>
          <w:sz w:val="24"/>
          <w:szCs w:val="24"/>
        </w:rPr>
        <w:t>300</w:t>
      </w:r>
      <w:r>
        <w:rPr>
          <w:sz w:val="24"/>
          <w:szCs w:val="24"/>
        </w:rPr>
        <w:t>0m</w:t>
      </w:r>
      <w:r>
        <w:rPr>
          <w:rFonts w:hint="eastAsia"/>
          <w:sz w:val="24"/>
          <w:szCs w:val="24"/>
        </w:rPr>
        <w:t>高山林区。豹猫的窝穴多在树洞、土洞、石块下或石缝中。主要为地栖，但攀爬能力强，在树上活动灵敏自如。夜行性，晨昏活动较多。独栖或成对活动。善游水，喜在水塘边、溪沟边、稻田边等近水之处活动和觅食。主要以鼠类、松鼠、飞鼠、兔类、蛙类、蜥蜴、蛇类、小型鸟类、昆虫等为食，有时潜入村寨盗食鸡、鸭等家禽。</w:t>
      </w:r>
    </w:p>
    <w:p w14:paraId="66E293BB" w14:textId="77777777" w:rsidR="007D1E74" w:rsidRDefault="00A95641">
      <w:pPr>
        <w:spacing w:line="360" w:lineRule="auto"/>
        <w:ind w:firstLineChars="200" w:firstLine="480"/>
        <w:rPr>
          <w:sz w:val="24"/>
          <w:szCs w:val="24"/>
        </w:rPr>
      </w:pPr>
      <w:r>
        <w:rPr>
          <w:rFonts w:hint="eastAsia"/>
          <w:sz w:val="24"/>
          <w:szCs w:val="24"/>
        </w:rPr>
        <w:t>根据访问，评价区有发现过实体，但不容易见到。</w:t>
      </w:r>
    </w:p>
    <w:p w14:paraId="1D4A57A2" w14:textId="77777777" w:rsidR="007D1E74" w:rsidRDefault="00A95641">
      <w:pPr>
        <w:pStyle w:val="afffff7"/>
        <w:ind w:firstLine="482"/>
      </w:pPr>
      <w:r>
        <w:rPr>
          <w:rFonts w:hint="eastAsia"/>
        </w:rPr>
        <w:t>5</w:t>
      </w:r>
      <w:r>
        <w:rPr>
          <w:rFonts w:hint="eastAsia"/>
        </w:rPr>
        <w:t>、陆栖脊椎动物多样性评价</w:t>
      </w:r>
    </w:p>
    <w:p w14:paraId="4810AE81" w14:textId="77777777" w:rsidR="007D1E74" w:rsidRDefault="00A95641">
      <w:pPr>
        <w:spacing w:line="360" w:lineRule="auto"/>
        <w:ind w:firstLineChars="200" w:firstLine="480"/>
        <w:rPr>
          <w:sz w:val="24"/>
          <w:szCs w:val="24"/>
        </w:rPr>
      </w:pPr>
      <w:r>
        <w:rPr>
          <w:rFonts w:hint="eastAsia"/>
          <w:sz w:val="24"/>
          <w:szCs w:val="24"/>
        </w:rPr>
        <w:t>评价区域共有陆生脊椎动物</w:t>
      </w:r>
      <w:r>
        <w:rPr>
          <w:rFonts w:hint="eastAsia"/>
          <w:sz w:val="24"/>
          <w:szCs w:val="24"/>
        </w:rPr>
        <w:t>17</w:t>
      </w:r>
      <w:r>
        <w:rPr>
          <w:rFonts w:hint="eastAsia"/>
          <w:sz w:val="24"/>
          <w:szCs w:val="24"/>
        </w:rPr>
        <w:t>目</w:t>
      </w:r>
      <w:r>
        <w:rPr>
          <w:rFonts w:hint="eastAsia"/>
          <w:sz w:val="24"/>
          <w:szCs w:val="24"/>
        </w:rPr>
        <w:t>51</w:t>
      </w:r>
      <w:r>
        <w:rPr>
          <w:rFonts w:hint="eastAsia"/>
          <w:sz w:val="24"/>
          <w:szCs w:val="24"/>
        </w:rPr>
        <w:t>科</w:t>
      </w:r>
      <w:r>
        <w:rPr>
          <w:rFonts w:hint="eastAsia"/>
          <w:sz w:val="24"/>
          <w:szCs w:val="24"/>
        </w:rPr>
        <w:t>107</w:t>
      </w:r>
      <w:r>
        <w:rPr>
          <w:rFonts w:hint="eastAsia"/>
          <w:sz w:val="24"/>
          <w:szCs w:val="24"/>
        </w:rPr>
        <w:t>种，其中，两栖纲</w:t>
      </w:r>
      <w:r>
        <w:rPr>
          <w:rFonts w:hint="eastAsia"/>
          <w:sz w:val="24"/>
          <w:szCs w:val="24"/>
        </w:rPr>
        <w:t>1</w:t>
      </w:r>
      <w:r>
        <w:rPr>
          <w:rFonts w:hint="eastAsia"/>
          <w:sz w:val="24"/>
          <w:szCs w:val="24"/>
        </w:rPr>
        <w:t>目</w:t>
      </w:r>
      <w:r>
        <w:rPr>
          <w:rFonts w:hint="eastAsia"/>
          <w:sz w:val="24"/>
          <w:szCs w:val="24"/>
        </w:rPr>
        <w:t>2</w:t>
      </w:r>
      <w:r>
        <w:rPr>
          <w:rFonts w:hint="eastAsia"/>
          <w:sz w:val="24"/>
          <w:szCs w:val="24"/>
        </w:rPr>
        <w:t>科</w:t>
      </w:r>
      <w:r>
        <w:rPr>
          <w:rFonts w:hint="eastAsia"/>
          <w:sz w:val="24"/>
          <w:szCs w:val="24"/>
        </w:rPr>
        <w:t>5</w:t>
      </w:r>
      <w:r>
        <w:rPr>
          <w:rFonts w:hint="eastAsia"/>
          <w:sz w:val="24"/>
          <w:szCs w:val="24"/>
        </w:rPr>
        <w:t>种；爬行纲</w:t>
      </w:r>
      <w:r>
        <w:rPr>
          <w:rFonts w:hint="eastAsia"/>
          <w:sz w:val="24"/>
          <w:szCs w:val="24"/>
        </w:rPr>
        <w:t>1</w:t>
      </w:r>
      <w:r>
        <w:rPr>
          <w:rFonts w:hint="eastAsia"/>
          <w:sz w:val="24"/>
          <w:szCs w:val="24"/>
        </w:rPr>
        <w:t>目</w:t>
      </w:r>
      <w:r>
        <w:rPr>
          <w:rFonts w:hint="eastAsia"/>
          <w:sz w:val="24"/>
          <w:szCs w:val="24"/>
        </w:rPr>
        <w:t>3</w:t>
      </w:r>
      <w:r>
        <w:rPr>
          <w:rFonts w:hint="eastAsia"/>
          <w:sz w:val="24"/>
          <w:szCs w:val="24"/>
        </w:rPr>
        <w:t>科</w:t>
      </w:r>
      <w:r>
        <w:rPr>
          <w:rFonts w:hint="eastAsia"/>
          <w:sz w:val="24"/>
          <w:szCs w:val="24"/>
        </w:rPr>
        <w:t>6</w:t>
      </w:r>
      <w:r>
        <w:rPr>
          <w:rFonts w:hint="eastAsia"/>
          <w:sz w:val="24"/>
          <w:szCs w:val="24"/>
        </w:rPr>
        <w:t>种；鸟纲</w:t>
      </w:r>
      <w:r>
        <w:rPr>
          <w:rFonts w:hint="eastAsia"/>
          <w:sz w:val="24"/>
          <w:szCs w:val="24"/>
        </w:rPr>
        <w:t>12</w:t>
      </w:r>
      <w:r>
        <w:rPr>
          <w:rFonts w:hint="eastAsia"/>
          <w:sz w:val="24"/>
          <w:szCs w:val="24"/>
        </w:rPr>
        <w:t>目</w:t>
      </w:r>
      <w:r>
        <w:rPr>
          <w:rFonts w:hint="eastAsia"/>
          <w:sz w:val="24"/>
          <w:szCs w:val="24"/>
        </w:rPr>
        <w:t>38</w:t>
      </w:r>
      <w:r>
        <w:rPr>
          <w:rFonts w:hint="eastAsia"/>
          <w:sz w:val="24"/>
          <w:szCs w:val="24"/>
        </w:rPr>
        <w:t>科</w:t>
      </w:r>
      <w:r>
        <w:rPr>
          <w:rFonts w:hint="eastAsia"/>
          <w:sz w:val="24"/>
          <w:szCs w:val="24"/>
        </w:rPr>
        <w:t>76</w:t>
      </w:r>
      <w:r>
        <w:rPr>
          <w:rFonts w:hint="eastAsia"/>
          <w:sz w:val="24"/>
          <w:szCs w:val="24"/>
        </w:rPr>
        <w:t>种；哺乳纲</w:t>
      </w:r>
      <w:r>
        <w:rPr>
          <w:rFonts w:hint="eastAsia"/>
          <w:sz w:val="24"/>
          <w:szCs w:val="24"/>
        </w:rPr>
        <w:t>5</w:t>
      </w:r>
      <w:r>
        <w:rPr>
          <w:rFonts w:hint="eastAsia"/>
          <w:sz w:val="24"/>
          <w:szCs w:val="24"/>
        </w:rPr>
        <w:t>目</w:t>
      </w:r>
      <w:r>
        <w:rPr>
          <w:rFonts w:hint="eastAsia"/>
          <w:sz w:val="24"/>
          <w:szCs w:val="24"/>
        </w:rPr>
        <w:t>8</w:t>
      </w:r>
      <w:r>
        <w:rPr>
          <w:rFonts w:hint="eastAsia"/>
          <w:sz w:val="24"/>
          <w:szCs w:val="24"/>
        </w:rPr>
        <w:t>科</w:t>
      </w:r>
      <w:r>
        <w:rPr>
          <w:rFonts w:hint="eastAsia"/>
          <w:sz w:val="24"/>
          <w:szCs w:val="24"/>
        </w:rPr>
        <w:t>20</w:t>
      </w:r>
      <w:r>
        <w:rPr>
          <w:rFonts w:hint="eastAsia"/>
          <w:sz w:val="24"/>
          <w:szCs w:val="24"/>
        </w:rPr>
        <w:t>种。评价区内国家和四川省重点保护种类较少，分别为国家</w:t>
      </w:r>
      <w:r>
        <w:rPr>
          <w:rFonts w:hint="eastAsia"/>
          <w:sz w:val="24"/>
          <w:szCs w:val="24"/>
        </w:rPr>
        <w:t>II</w:t>
      </w:r>
      <w:r>
        <w:rPr>
          <w:rFonts w:hint="eastAsia"/>
          <w:sz w:val="24"/>
          <w:szCs w:val="24"/>
        </w:rPr>
        <w:t>级重点保护鸟类</w:t>
      </w:r>
      <w:r>
        <w:rPr>
          <w:rFonts w:hint="eastAsia"/>
          <w:sz w:val="24"/>
          <w:szCs w:val="24"/>
        </w:rPr>
        <w:t>2</w:t>
      </w:r>
      <w:r>
        <w:rPr>
          <w:rFonts w:hint="eastAsia"/>
          <w:sz w:val="24"/>
          <w:szCs w:val="24"/>
        </w:rPr>
        <w:t>种、兽类</w:t>
      </w:r>
      <w:r>
        <w:rPr>
          <w:rFonts w:hint="eastAsia"/>
          <w:sz w:val="24"/>
          <w:szCs w:val="24"/>
        </w:rPr>
        <w:t>1</w:t>
      </w:r>
      <w:r>
        <w:rPr>
          <w:rFonts w:hint="eastAsia"/>
          <w:sz w:val="24"/>
          <w:szCs w:val="24"/>
        </w:rPr>
        <w:t>种，四川省重点保</w:t>
      </w:r>
      <w:r>
        <w:rPr>
          <w:rFonts w:hint="eastAsia"/>
          <w:sz w:val="24"/>
          <w:szCs w:val="24"/>
        </w:rPr>
        <w:lastRenderedPageBreak/>
        <w:t>护鸟类</w:t>
      </w:r>
      <w:r>
        <w:rPr>
          <w:rFonts w:hint="eastAsia"/>
          <w:sz w:val="24"/>
          <w:szCs w:val="24"/>
        </w:rPr>
        <w:t>1</w:t>
      </w:r>
      <w:r>
        <w:rPr>
          <w:rFonts w:hint="eastAsia"/>
          <w:sz w:val="24"/>
          <w:szCs w:val="24"/>
        </w:rPr>
        <w:t>种。</w:t>
      </w:r>
    </w:p>
    <w:p w14:paraId="43035DBC" w14:textId="77777777" w:rsidR="007D1E74" w:rsidRDefault="00A95641">
      <w:pPr>
        <w:spacing w:line="360" w:lineRule="auto"/>
        <w:ind w:firstLineChars="200" w:firstLine="480"/>
        <w:rPr>
          <w:sz w:val="24"/>
          <w:szCs w:val="24"/>
        </w:rPr>
      </w:pPr>
      <w:r>
        <w:rPr>
          <w:rFonts w:hint="eastAsia"/>
          <w:sz w:val="24"/>
          <w:szCs w:val="24"/>
        </w:rPr>
        <w:t>线路经过的区域评价范围内植被主要为次生林，原生的天然植被已很少，植被类型及各植被类型的组成和结构比较单一。</w:t>
      </w:r>
    </w:p>
    <w:p w14:paraId="732FCB16" w14:textId="77777777" w:rsidR="007D1E74" w:rsidRDefault="00A95641">
      <w:pPr>
        <w:spacing w:line="360" w:lineRule="auto"/>
        <w:ind w:firstLineChars="200" w:firstLine="480"/>
        <w:rPr>
          <w:sz w:val="24"/>
          <w:szCs w:val="24"/>
        </w:rPr>
      </w:pPr>
      <w:r>
        <w:rPr>
          <w:rFonts w:hint="eastAsia"/>
          <w:sz w:val="24"/>
          <w:szCs w:val="24"/>
        </w:rPr>
        <w:t>另外，农居和农田、耕地交叉存在，国道、县道、乡村道等贯穿其中，人为干扰较严重。</w:t>
      </w:r>
    </w:p>
    <w:p w14:paraId="0B8F0A60" w14:textId="77777777" w:rsidR="007D1E74" w:rsidRDefault="00A95641">
      <w:pPr>
        <w:spacing w:line="360" w:lineRule="auto"/>
        <w:ind w:firstLineChars="200" w:firstLine="480"/>
        <w:rPr>
          <w:sz w:val="24"/>
          <w:szCs w:val="24"/>
        </w:rPr>
      </w:pPr>
      <w:r>
        <w:rPr>
          <w:rFonts w:hint="eastAsia"/>
          <w:sz w:val="24"/>
          <w:szCs w:val="24"/>
        </w:rPr>
        <w:t>该区域兽类以小型兽类为主，中型兽类有分布，但数量少，很难见到。</w:t>
      </w:r>
    </w:p>
    <w:p w14:paraId="098DB043" w14:textId="77777777" w:rsidR="007D1E74" w:rsidRDefault="00A95641">
      <w:pPr>
        <w:spacing w:line="360" w:lineRule="auto"/>
        <w:ind w:firstLineChars="200" w:firstLine="480"/>
        <w:rPr>
          <w:sz w:val="24"/>
          <w:szCs w:val="24"/>
        </w:rPr>
      </w:pPr>
      <w:r>
        <w:rPr>
          <w:rFonts w:hint="eastAsia"/>
          <w:sz w:val="24"/>
          <w:szCs w:val="24"/>
        </w:rPr>
        <w:t>鸟类组成主要以森林和灌丛鸟类为主，农田</w:t>
      </w:r>
      <w:r>
        <w:rPr>
          <w:rFonts w:hint="eastAsia"/>
          <w:sz w:val="24"/>
          <w:szCs w:val="24"/>
        </w:rPr>
        <w:t>-</w:t>
      </w:r>
      <w:r>
        <w:rPr>
          <w:rFonts w:hint="eastAsia"/>
          <w:sz w:val="24"/>
          <w:szCs w:val="24"/>
        </w:rPr>
        <w:t>人居区域种类不多，但种群数量较大，溪流和库塘为常见种类。</w:t>
      </w:r>
    </w:p>
    <w:p w14:paraId="1BAFB456" w14:textId="77777777" w:rsidR="007D1E74" w:rsidRDefault="00A95641">
      <w:pPr>
        <w:spacing w:line="360" w:lineRule="auto"/>
        <w:ind w:firstLineChars="200" w:firstLine="480"/>
        <w:rPr>
          <w:sz w:val="24"/>
          <w:szCs w:val="24"/>
        </w:rPr>
      </w:pPr>
      <w:r>
        <w:rPr>
          <w:rFonts w:hint="eastAsia"/>
          <w:sz w:val="24"/>
          <w:szCs w:val="24"/>
        </w:rPr>
        <w:t>森林区域是国家保护物种主要的栖息地，猛禽的黑鸢、普通鵟季节性可见，豹猫很难见。保护动物数量还是较少。</w:t>
      </w:r>
    </w:p>
    <w:p w14:paraId="3EA61159" w14:textId="77777777" w:rsidR="007D1E74" w:rsidRDefault="00A95641">
      <w:pPr>
        <w:pStyle w:val="afffff7"/>
        <w:ind w:firstLine="482"/>
      </w:pPr>
      <w:r>
        <w:rPr>
          <w:rFonts w:hint="eastAsia"/>
        </w:rPr>
        <w:t>6</w:t>
      </w:r>
      <w:r>
        <w:rPr>
          <w:rFonts w:hint="eastAsia"/>
        </w:rPr>
        <w:t>、土地利用现状</w:t>
      </w:r>
    </w:p>
    <w:p w14:paraId="03F44F77" w14:textId="77777777" w:rsidR="007D1E74" w:rsidRDefault="00A95641">
      <w:pPr>
        <w:spacing w:line="360" w:lineRule="auto"/>
        <w:ind w:firstLineChars="200" w:firstLine="480"/>
        <w:rPr>
          <w:sz w:val="24"/>
          <w:szCs w:val="24"/>
        </w:rPr>
      </w:pPr>
      <w:r>
        <w:rPr>
          <w:rFonts w:hint="eastAsia"/>
          <w:sz w:val="24"/>
          <w:szCs w:val="24"/>
        </w:rPr>
        <w:t>评价区的地类包括林地、草地、耕地、水域及水利设施用地、建设用地</w:t>
      </w:r>
      <w:r>
        <w:rPr>
          <w:rFonts w:hint="eastAsia"/>
          <w:sz w:val="24"/>
          <w:szCs w:val="24"/>
        </w:rPr>
        <w:t>5</w:t>
      </w:r>
      <w:r>
        <w:rPr>
          <w:rFonts w:hint="eastAsia"/>
          <w:sz w:val="24"/>
          <w:szCs w:val="24"/>
        </w:rPr>
        <w:t>种类型。各地类的分布面积和所占比例，如下表所示。</w:t>
      </w:r>
    </w:p>
    <w:p w14:paraId="4E992A53" w14:textId="77777777" w:rsidR="007D1E74" w:rsidRDefault="00A95641">
      <w:pPr>
        <w:pStyle w:val="afffffe"/>
        <w:numPr>
          <w:ilvl w:val="0"/>
          <w:numId w:val="43"/>
        </w:numPr>
        <w:spacing w:line="360" w:lineRule="auto"/>
        <w:ind w:firstLineChars="0"/>
        <w:jc w:val="center"/>
        <w:rPr>
          <w:rFonts w:eastAsia="黑体" w:cs="Times New Roman"/>
          <w:szCs w:val="21"/>
        </w:rPr>
      </w:pPr>
      <w:r>
        <w:rPr>
          <w:rFonts w:eastAsia="黑体" w:cs="Times New Roman" w:hint="eastAsia"/>
          <w:szCs w:val="21"/>
        </w:rPr>
        <w:t>评价区土地类型组成表</w:t>
      </w:r>
    </w:p>
    <w:tbl>
      <w:tblPr>
        <w:tblStyle w:val="affffc"/>
        <w:tblW w:w="0" w:type="auto"/>
        <w:tblLook w:val="04A0" w:firstRow="1" w:lastRow="0" w:firstColumn="1" w:lastColumn="0" w:noHBand="0" w:noVBand="1"/>
      </w:tblPr>
      <w:tblGrid>
        <w:gridCol w:w="1777"/>
        <w:gridCol w:w="2580"/>
        <w:gridCol w:w="2333"/>
        <w:gridCol w:w="2326"/>
      </w:tblGrid>
      <w:tr w:rsidR="007D1E74" w14:paraId="166A8548" w14:textId="77777777">
        <w:tc>
          <w:tcPr>
            <w:tcW w:w="1838" w:type="dxa"/>
            <w:vAlign w:val="center"/>
          </w:tcPr>
          <w:p w14:paraId="64F97E6D" w14:textId="77777777" w:rsidR="007D1E74" w:rsidRDefault="00A95641">
            <w:pPr>
              <w:jc w:val="center"/>
              <w:rPr>
                <w:rFonts w:cs="Times New Roman"/>
                <w:szCs w:val="21"/>
              </w:rPr>
            </w:pPr>
            <w:r>
              <w:rPr>
                <w:rFonts w:cs="Times New Roman"/>
                <w:szCs w:val="21"/>
              </w:rPr>
              <w:t>地类代码</w:t>
            </w:r>
          </w:p>
        </w:tc>
        <w:tc>
          <w:tcPr>
            <w:tcW w:w="2676" w:type="dxa"/>
          </w:tcPr>
          <w:p w14:paraId="5274185A" w14:textId="77777777" w:rsidR="007D1E74" w:rsidRDefault="00A95641">
            <w:pPr>
              <w:jc w:val="center"/>
              <w:rPr>
                <w:rFonts w:cs="Times New Roman"/>
                <w:szCs w:val="21"/>
              </w:rPr>
            </w:pPr>
            <w:r>
              <w:rPr>
                <w:rFonts w:cs="Times New Roman"/>
                <w:szCs w:val="21"/>
              </w:rPr>
              <w:t>地类名称</w:t>
            </w:r>
          </w:p>
        </w:tc>
        <w:tc>
          <w:tcPr>
            <w:tcW w:w="2392" w:type="dxa"/>
            <w:vAlign w:val="center"/>
          </w:tcPr>
          <w:p w14:paraId="4AD71F18" w14:textId="77777777" w:rsidR="007D1E74" w:rsidRDefault="00A95641">
            <w:pPr>
              <w:jc w:val="center"/>
              <w:rPr>
                <w:rFonts w:cs="Times New Roman"/>
                <w:szCs w:val="21"/>
              </w:rPr>
            </w:pPr>
            <w:r>
              <w:rPr>
                <w:rFonts w:cs="Times New Roman"/>
                <w:szCs w:val="21"/>
              </w:rPr>
              <w:t>面积（</w:t>
            </w:r>
            <w:r>
              <w:rPr>
                <w:rFonts w:cs="Times New Roman"/>
                <w:szCs w:val="21"/>
              </w:rPr>
              <w:t>hm</w:t>
            </w:r>
            <w:r>
              <w:rPr>
                <w:rFonts w:cs="Times New Roman"/>
                <w:szCs w:val="21"/>
                <w:vertAlign w:val="superscript"/>
              </w:rPr>
              <w:t>2</w:t>
            </w:r>
            <w:r>
              <w:rPr>
                <w:rFonts w:cs="Times New Roman"/>
                <w:szCs w:val="21"/>
              </w:rPr>
              <w:t>）</w:t>
            </w:r>
          </w:p>
        </w:tc>
        <w:tc>
          <w:tcPr>
            <w:tcW w:w="2393" w:type="dxa"/>
            <w:vAlign w:val="center"/>
          </w:tcPr>
          <w:p w14:paraId="39D0B2DC" w14:textId="77777777" w:rsidR="007D1E74" w:rsidRDefault="00A95641">
            <w:pPr>
              <w:jc w:val="center"/>
              <w:rPr>
                <w:rFonts w:cs="Times New Roman"/>
                <w:szCs w:val="21"/>
              </w:rPr>
            </w:pPr>
            <w:r>
              <w:rPr>
                <w:rFonts w:cs="Times New Roman" w:hint="eastAsia"/>
                <w:szCs w:val="21"/>
              </w:rPr>
              <w:t>比例（</w:t>
            </w:r>
            <w:r>
              <w:rPr>
                <w:rFonts w:cs="Times New Roman" w:hint="eastAsia"/>
                <w:szCs w:val="21"/>
              </w:rPr>
              <w:t>%</w:t>
            </w:r>
            <w:r>
              <w:rPr>
                <w:rFonts w:cs="Times New Roman" w:hint="eastAsia"/>
                <w:szCs w:val="21"/>
              </w:rPr>
              <w:t>）</w:t>
            </w:r>
          </w:p>
        </w:tc>
      </w:tr>
      <w:tr w:rsidR="007D1E74" w14:paraId="5D18EDA6" w14:textId="77777777">
        <w:tc>
          <w:tcPr>
            <w:tcW w:w="1838" w:type="dxa"/>
            <w:vAlign w:val="center"/>
          </w:tcPr>
          <w:p w14:paraId="0F87C917" w14:textId="77777777" w:rsidR="007D1E74" w:rsidRDefault="00A95641">
            <w:pPr>
              <w:jc w:val="center"/>
              <w:rPr>
                <w:rFonts w:cs="Times New Roman"/>
                <w:szCs w:val="21"/>
              </w:rPr>
            </w:pPr>
            <w:r>
              <w:rPr>
                <w:rFonts w:cs="Times New Roman" w:hint="eastAsia"/>
                <w:szCs w:val="21"/>
              </w:rPr>
              <w:t>0</w:t>
            </w:r>
            <w:r>
              <w:rPr>
                <w:rFonts w:cs="Times New Roman"/>
                <w:szCs w:val="21"/>
              </w:rPr>
              <w:t>1</w:t>
            </w:r>
          </w:p>
        </w:tc>
        <w:tc>
          <w:tcPr>
            <w:tcW w:w="2676" w:type="dxa"/>
          </w:tcPr>
          <w:p w14:paraId="673A3817" w14:textId="77777777" w:rsidR="007D1E74" w:rsidRDefault="00A95641">
            <w:pPr>
              <w:jc w:val="center"/>
              <w:rPr>
                <w:rFonts w:cs="Times New Roman"/>
                <w:szCs w:val="21"/>
              </w:rPr>
            </w:pPr>
            <w:r>
              <w:rPr>
                <w:rFonts w:cs="Times New Roman" w:hint="eastAsia"/>
                <w:szCs w:val="21"/>
              </w:rPr>
              <w:t>耕地</w:t>
            </w:r>
          </w:p>
        </w:tc>
        <w:tc>
          <w:tcPr>
            <w:tcW w:w="2392" w:type="dxa"/>
            <w:vAlign w:val="center"/>
          </w:tcPr>
          <w:p w14:paraId="3F86C829" w14:textId="77777777" w:rsidR="007D1E74" w:rsidRDefault="00A95641">
            <w:pPr>
              <w:jc w:val="center"/>
              <w:rPr>
                <w:rFonts w:cs="Times New Roman"/>
                <w:szCs w:val="21"/>
              </w:rPr>
            </w:pPr>
            <w:r>
              <w:rPr>
                <w:rFonts w:cs="Times New Roman" w:hint="eastAsia"/>
                <w:szCs w:val="21"/>
              </w:rPr>
              <w:t>3</w:t>
            </w:r>
            <w:r>
              <w:rPr>
                <w:rFonts w:cs="Times New Roman"/>
                <w:szCs w:val="21"/>
              </w:rPr>
              <w:t>291.59</w:t>
            </w:r>
          </w:p>
        </w:tc>
        <w:tc>
          <w:tcPr>
            <w:tcW w:w="2393" w:type="dxa"/>
            <w:vAlign w:val="center"/>
          </w:tcPr>
          <w:p w14:paraId="30B9A5C3" w14:textId="77777777" w:rsidR="007D1E74" w:rsidRDefault="00A95641">
            <w:pPr>
              <w:jc w:val="center"/>
              <w:rPr>
                <w:rFonts w:cs="Times New Roman"/>
                <w:szCs w:val="21"/>
              </w:rPr>
            </w:pPr>
            <w:r>
              <w:rPr>
                <w:rFonts w:cs="Times New Roman" w:hint="eastAsia"/>
                <w:szCs w:val="21"/>
              </w:rPr>
              <w:t>2</w:t>
            </w:r>
            <w:r>
              <w:rPr>
                <w:rFonts w:cs="Times New Roman"/>
                <w:szCs w:val="21"/>
              </w:rPr>
              <w:t>9.80</w:t>
            </w:r>
          </w:p>
        </w:tc>
      </w:tr>
      <w:tr w:rsidR="007D1E74" w14:paraId="750B4E98" w14:textId="77777777">
        <w:tc>
          <w:tcPr>
            <w:tcW w:w="1838" w:type="dxa"/>
            <w:vAlign w:val="center"/>
          </w:tcPr>
          <w:p w14:paraId="2061E1E8" w14:textId="77777777" w:rsidR="007D1E74" w:rsidRDefault="00A95641">
            <w:pPr>
              <w:jc w:val="center"/>
              <w:rPr>
                <w:rFonts w:cs="Times New Roman"/>
                <w:szCs w:val="21"/>
              </w:rPr>
            </w:pPr>
            <w:r>
              <w:rPr>
                <w:rFonts w:cs="Times New Roman" w:hint="eastAsia"/>
                <w:szCs w:val="21"/>
              </w:rPr>
              <w:t>0</w:t>
            </w:r>
            <w:r>
              <w:rPr>
                <w:rFonts w:cs="Times New Roman"/>
                <w:szCs w:val="21"/>
              </w:rPr>
              <w:t>2</w:t>
            </w:r>
          </w:p>
        </w:tc>
        <w:tc>
          <w:tcPr>
            <w:tcW w:w="2676" w:type="dxa"/>
          </w:tcPr>
          <w:p w14:paraId="66244AA2" w14:textId="77777777" w:rsidR="007D1E74" w:rsidRDefault="00A95641">
            <w:pPr>
              <w:jc w:val="center"/>
              <w:rPr>
                <w:rFonts w:cs="Times New Roman"/>
                <w:szCs w:val="21"/>
              </w:rPr>
            </w:pPr>
            <w:r>
              <w:rPr>
                <w:rFonts w:cs="Times New Roman" w:hint="eastAsia"/>
                <w:szCs w:val="21"/>
              </w:rPr>
              <w:t>林地</w:t>
            </w:r>
          </w:p>
        </w:tc>
        <w:tc>
          <w:tcPr>
            <w:tcW w:w="2392" w:type="dxa"/>
            <w:vAlign w:val="center"/>
          </w:tcPr>
          <w:p w14:paraId="19502263" w14:textId="77777777" w:rsidR="007D1E74" w:rsidRDefault="00A95641">
            <w:pPr>
              <w:jc w:val="center"/>
              <w:rPr>
                <w:rFonts w:cs="Times New Roman"/>
                <w:szCs w:val="21"/>
              </w:rPr>
            </w:pPr>
            <w:r>
              <w:rPr>
                <w:rFonts w:cs="Times New Roman" w:hint="eastAsia"/>
                <w:szCs w:val="21"/>
              </w:rPr>
              <w:t>7</w:t>
            </w:r>
            <w:r>
              <w:rPr>
                <w:rFonts w:cs="Times New Roman"/>
                <w:szCs w:val="21"/>
              </w:rPr>
              <w:t>180.54</w:t>
            </w:r>
          </w:p>
        </w:tc>
        <w:tc>
          <w:tcPr>
            <w:tcW w:w="2393" w:type="dxa"/>
            <w:vAlign w:val="center"/>
          </w:tcPr>
          <w:p w14:paraId="3243FB45" w14:textId="77777777" w:rsidR="007D1E74" w:rsidRDefault="00A95641">
            <w:pPr>
              <w:jc w:val="center"/>
              <w:rPr>
                <w:rFonts w:cs="Times New Roman"/>
                <w:szCs w:val="21"/>
              </w:rPr>
            </w:pPr>
            <w:r>
              <w:rPr>
                <w:rFonts w:cs="Times New Roman" w:hint="eastAsia"/>
                <w:szCs w:val="21"/>
              </w:rPr>
              <w:t>6</w:t>
            </w:r>
            <w:r>
              <w:rPr>
                <w:rFonts w:cs="Times New Roman"/>
                <w:szCs w:val="21"/>
              </w:rPr>
              <w:t>5.02</w:t>
            </w:r>
          </w:p>
        </w:tc>
      </w:tr>
      <w:tr w:rsidR="007D1E74" w14:paraId="5A080FAD" w14:textId="77777777">
        <w:tc>
          <w:tcPr>
            <w:tcW w:w="1838" w:type="dxa"/>
            <w:vAlign w:val="center"/>
          </w:tcPr>
          <w:p w14:paraId="4DD316D4" w14:textId="77777777" w:rsidR="007D1E74" w:rsidRDefault="00A95641">
            <w:pPr>
              <w:jc w:val="center"/>
              <w:rPr>
                <w:rFonts w:cs="Times New Roman"/>
                <w:szCs w:val="21"/>
              </w:rPr>
            </w:pPr>
            <w:r>
              <w:rPr>
                <w:rFonts w:cs="Times New Roman" w:hint="eastAsia"/>
                <w:szCs w:val="21"/>
              </w:rPr>
              <w:t>0</w:t>
            </w:r>
            <w:r>
              <w:rPr>
                <w:rFonts w:cs="Times New Roman"/>
                <w:szCs w:val="21"/>
              </w:rPr>
              <w:t>3</w:t>
            </w:r>
          </w:p>
        </w:tc>
        <w:tc>
          <w:tcPr>
            <w:tcW w:w="2676" w:type="dxa"/>
          </w:tcPr>
          <w:p w14:paraId="361F955D" w14:textId="77777777" w:rsidR="007D1E74" w:rsidRDefault="00A95641">
            <w:pPr>
              <w:jc w:val="center"/>
              <w:rPr>
                <w:rFonts w:cs="Times New Roman"/>
                <w:szCs w:val="21"/>
              </w:rPr>
            </w:pPr>
            <w:r>
              <w:rPr>
                <w:rFonts w:cs="Times New Roman" w:hint="eastAsia"/>
                <w:szCs w:val="21"/>
              </w:rPr>
              <w:t>草地</w:t>
            </w:r>
          </w:p>
        </w:tc>
        <w:tc>
          <w:tcPr>
            <w:tcW w:w="2392" w:type="dxa"/>
            <w:vAlign w:val="center"/>
          </w:tcPr>
          <w:p w14:paraId="74B1DC29" w14:textId="77777777" w:rsidR="007D1E74" w:rsidRDefault="00A95641">
            <w:pPr>
              <w:jc w:val="center"/>
              <w:rPr>
                <w:rFonts w:cs="Times New Roman"/>
                <w:szCs w:val="21"/>
              </w:rPr>
            </w:pPr>
            <w:r>
              <w:rPr>
                <w:rFonts w:cs="Times New Roman" w:hint="eastAsia"/>
                <w:szCs w:val="21"/>
              </w:rPr>
              <w:t>1</w:t>
            </w:r>
            <w:r>
              <w:rPr>
                <w:rFonts w:cs="Times New Roman"/>
                <w:szCs w:val="21"/>
              </w:rPr>
              <w:t>50.78</w:t>
            </w:r>
          </w:p>
        </w:tc>
        <w:tc>
          <w:tcPr>
            <w:tcW w:w="2393" w:type="dxa"/>
            <w:vAlign w:val="center"/>
          </w:tcPr>
          <w:p w14:paraId="665806C1" w14:textId="77777777" w:rsidR="007D1E74" w:rsidRDefault="00A95641">
            <w:pPr>
              <w:jc w:val="center"/>
              <w:rPr>
                <w:rFonts w:cs="Times New Roman"/>
                <w:szCs w:val="21"/>
              </w:rPr>
            </w:pPr>
            <w:r>
              <w:rPr>
                <w:rFonts w:cs="Times New Roman" w:hint="eastAsia"/>
                <w:szCs w:val="21"/>
              </w:rPr>
              <w:t>1</w:t>
            </w:r>
            <w:r>
              <w:rPr>
                <w:rFonts w:cs="Times New Roman"/>
                <w:szCs w:val="21"/>
              </w:rPr>
              <w:t>.37</w:t>
            </w:r>
          </w:p>
        </w:tc>
      </w:tr>
      <w:tr w:rsidR="007D1E74" w14:paraId="78F72992" w14:textId="77777777">
        <w:tc>
          <w:tcPr>
            <w:tcW w:w="1838" w:type="dxa"/>
            <w:vAlign w:val="center"/>
          </w:tcPr>
          <w:p w14:paraId="024E3977" w14:textId="77777777" w:rsidR="007D1E74" w:rsidRDefault="00A95641">
            <w:pPr>
              <w:jc w:val="center"/>
              <w:rPr>
                <w:rFonts w:cs="Times New Roman"/>
                <w:szCs w:val="21"/>
              </w:rPr>
            </w:pPr>
            <w:r>
              <w:rPr>
                <w:rFonts w:cs="Times New Roman" w:hint="eastAsia"/>
                <w:szCs w:val="21"/>
              </w:rPr>
              <w:t>0</w:t>
            </w:r>
            <w:r>
              <w:rPr>
                <w:rFonts w:cs="Times New Roman"/>
                <w:szCs w:val="21"/>
              </w:rPr>
              <w:t>4</w:t>
            </w:r>
          </w:p>
        </w:tc>
        <w:tc>
          <w:tcPr>
            <w:tcW w:w="2676" w:type="dxa"/>
          </w:tcPr>
          <w:p w14:paraId="0DFF4700" w14:textId="77777777" w:rsidR="007D1E74" w:rsidRDefault="00A95641">
            <w:pPr>
              <w:jc w:val="center"/>
              <w:rPr>
                <w:rFonts w:cs="Times New Roman"/>
                <w:szCs w:val="21"/>
              </w:rPr>
            </w:pPr>
            <w:r>
              <w:rPr>
                <w:rFonts w:cs="Times New Roman" w:hint="eastAsia"/>
                <w:szCs w:val="21"/>
              </w:rPr>
              <w:t>水域及水利设施用地</w:t>
            </w:r>
          </w:p>
        </w:tc>
        <w:tc>
          <w:tcPr>
            <w:tcW w:w="2392" w:type="dxa"/>
            <w:vAlign w:val="center"/>
          </w:tcPr>
          <w:p w14:paraId="15538A65" w14:textId="77777777" w:rsidR="007D1E74" w:rsidRDefault="00A95641">
            <w:pPr>
              <w:jc w:val="center"/>
              <w:rPr>
                <w:rFonts w:cs="Times New Roman"/>
                <w:szCs w:val="21"/>
              </w:rPr>
            </w:pPr>
            <w:r>
              <w:rPr>
                <w:rFonts w:cs="Times New Roman" w:hint="eastAsia"/>
                <w:szCs w:val="21"/>
              </w:rPr>
              <w:t>2</w:t>
            </w:r>
            <w:r>
              <w:rPr>
                <w:rFonts w:cs="Times New Roman"/>
                <w:szCs w:val="21"/>
              </w:rPr>
              <w:t>30.34</w:t>
            </w:r>
          </w:p>
        </w:tc>
        <w:tc>
          <w:tcPr>
            <w:tcW w:w="2393" w:type="dxa"/>
            <w:vAlign w:val="center"/>
          </w:tcPr>
          <w:p w14:paraId="40F1026F" w14:textId="77777777" w:rsidR="007D1E74" w:rsidRDefault="00A95641">
            <w:pPr>
              <w:jc w:val="center"/>
              <w:rPr>
                <w:rFonts w:cs="Times New Roman"/>
                <w:szCs w:val="21"/>
              </w:rPr>
            </w:pPr>
            <w:r>
              <w:rPr>
                <w:rFonts w:cs="Times New Roman" w:hint="eastAsia"/>
                <w:szCs w:val="21"/>
              </w:rPr>
              <w:t>2</w:t>
            </w:r>
            <w:r>
              <w:rPr>
                <w:rFonts w:cs="Times New Roman"/>
                <w:szCs w:val="21"/>
              </w:rPr>
              <w:t>.09</w:t>
            </w:r>
          </w:p>
        </w:tc>
      </w:tr>
      <w:tr w:rsidR="007D1E74" w14:paraId="6408AA02" w14:textId="77777777">
        <w:tc>
          <w:tcPr>
            <w:tcW w:w="1838" w:type="dxa"/>
            <w:vAlign w:val="center"/>
          </w:tcPr>
          <w:p w14:paraId="3D02D0A8" w14:textId="77777777" w:rsidR="007D1E74" w:rsidRDefault="00A95641">
            <w:pPr>
              <w:jc w:val="center"/>
              <w:rPr>
                <w:rFonts w:cs="Times New Roman"/>
                <w:szCs w:val="21"/>
              </w:rPr>
            </w:pPr>
            <w:r>
              <w:rPr>
                <w:rFonts w:cs="Times New Roman" w:hint="eastAsia"/>
                <w:szCs w:val="21"/>
              </w:rPr>
              <w:t>0</w:t>
            </w:r>
            <w:r>
              <w:rPr>
                <w:rFonts w:cs="Times New Roman"/>
                <w:szCs w:val="21"/>
              </w:rPr>
              <w:t>5</w:t>
            </w:r>
          </w:p>
        </w:tc>
        <w:tc>
          <w:tcPr>
            <w:tcW w:w="2676" w:type="dxa"/>
          </w:tcPr>
          <w:p w14:paraId="300B985F" w14:textId="77777777" w:rsidR="007D1E74" w:rsidRDefault="00A95641">
            <w:pPr>
              <w:jc w:val="center"/>
              <w:rPr>
                <w:rFonts w:cs="Times New Roman"/>
                <w:szCs w:val="21"/>
              </w:rPr>
            </w:pPr>
            <w:r>
              <w:rPr>
                <w:rFonts w:cs="Times New Roman" w:hint="eastAsia"/>
                <w:szCs w:val="21"/>
              </w:rPr>
              <w:t>建设用地</w:t>
            </w:r>
          </w:p>
        </w:tc>
        <w:tc>
          <w:tcPr>
            <w:tcW w:w="2392" w:type="dxa"/>
            <w:vAlign w:val="center"/>
          </w:tcPr>
          <w:p w14:paraId="47E13819" w14:textId="77777777" w:rsidR="007D1E74" w:rsidRDefault="00A95641">
            <w:pPr>
              <w:jc w:val="center"/>
              <w:rPr>
                <w:rFonts w:cs="Times New Roman"/>
                <w:szCs w:val="21"/>
              </w:rPr>
            </w:pPr>
            <w:r>
              <w:rPr>
                <w:rFonts w:cs="Times New Roman" w:hint="eastAsia"/>
                <w:szCs w:val="21"/>
              </w:rPr>
              <w:t>1</w:t>
            </w:r>
            <w:r>
              <w:rPr>
                <w:rFonts w:cs="Times New Roman"/>
                <w:szCs w:val="21"/>
              </w:rPr>
              <w:t>90.95</w:t>
            </w:r>
          </w:p>
        </w:tc>
        <w:tc>
          <w:tcPr>
            <w:tcW w:w="2393" w:type="dxa"/>
            <w:vAlign w:val="center"/>
          </w:tcPr>
          <w:p w14:paraId="2631EAC7" w14:textId="77777777" w:rsidR="007D1E74" w:rsidRDefault="00A95641">
            <w:pPr>
              <w:jc w:val="center"/>
              <w:rPr>
                <w:rFonts w:cs="Times New Roman"/>
                <w:szCs w:val="21"/>
              </w:rPr>
            </w:pPr>
            <w:r>
              <w:rPr>
                <w:rFonts w:cs="Times New Roman" w:hint="eastAsia"/>
                <w:szCs w:val="21"/>
              </w:rPr>
              <w:t>1</w:t>
            </w:r>
            <w:r>
              <w:rPr>
                <w:rFonts w:cs="Times New Roman"/>
                <w:szCs w:val="21"/>
              </w:rPr>
              <w:t>.73</w:t>
            </w:r>
          </w:p>
        </w:tc>
      </w:tr>
      <w:tr w:rsidR="007D1E74" w14:paraId="622BE129" w14:textId="77777777">
        <w:tc>
          <w:tcPr>
            <w:tcW w:w="4514" w:type="dxa"/>
            <w:gridSpan w:val="2"/>
            <w:vAlign w:val="center"/>
          </w:tcPr>
          <w:p w14:paraId="3B6F0723" w14:textId="77777777" w:rsidR="007D1E74" w:rsidRDefault="00A95641">
            <w:pPr>
              <w:jc w:val="center"/>
              <w:rPr>
                <w:rFonts w:cs="Times New Roman"/>
                <w:szCs w:val="21"/>
              </w:rPr>
            </w:pPr>
            <w:r>
              <w:rPr>
                <w:rFonts w:cs="Times New Roman" w:hint="eastAsia"/>
                <w:szCs w:val="21"/>
              </w:rPr>
              <w:t>合计</w:t>
            </w:r>
          </w:p>
        </w:tc>
        <w:tc>
          <w:tcPr>
            <w:tcW w:w="2392" w:type="dxa"/>
            <w:vAlign w:val="center"/>
          </w:tcPr>
          <w:p w14:paraId="2D719F96" w14:textId="77777777" w:rsidR="007D1E74" w:rsidRDefault="00A95641">
            <w:pPr>
              <w:jc w:val="center"/>
              <w:rPr>
                <w:rFonts w:cs="Times New Roman"/>
                <w:szCs w:val="21"/>
              </w:rPr>
            </w:pPr>
            <w:r>
              <w:rPr>
                <w:rFonts w:cs="Times New Roman" w:hint="eastAsia"/>
                <w:szCs w:val="21"/>
              </w:rPr>
              <w:t>1</w:t>
            </w:r>
            <w:r>
              <w:rPr>
                <w:rFonts w:cs="Times New Roman"/>
                <w:szCs w:val="21"/>
              </w:rPr>
              <w:t>1044.20</w:t>
            </w:r>
          </w:p>
        </w:tc>
        <w:tc>
          <w:tcPr>
            <w:tcW w:w="2393" w:type="dxa"/>
            <w:vAlign w:val="center"/>
          </w:tcPr>
          <w:p w14:paraId="7B03F71C" w14:textId="77777777" w:rsidR="007D1E74" w:rsidRDefault="00A95641">
            <w:pPr>
              <w:jc w:val="center"/>
              <w:rPr>
                <w:rFonts w:cs="Times New Roman"/>
                <w:szCs w:val="21"/>
              </w:rPr>
            </w:pPr>
            <w:r>
              <w:rPr>
                <w:rFonts w:cs="Times New Roman" w:hint="eastAsia"/>
                <w:szCs w:val="21"/>
              </w:rPr>
              <w:t>1</w:t>
            </w:r>
            <w:r>
              <w:rPr>
                <w:rFonts w:cs="Times New Roman"/>
                <w:szCs w:val="21"/>
              </w:rPr>
              <w:t>00.00</w:t>
            </w:r>
          </w:p>
        </w:tc>
      </w:tr>
    </w:tbl>
    <w:p w14:paraId="4869C2A0" w14:textId="77777777" w:rsidR="007D1E74" w:rsidRDefault="00A95641">
      <w:pPr>
        <w:pStyle w:val="afffff7"/>
        <w:ind w:firstLine="482"/>
      </w:pPr>
      <w:r>
        <w:rPr>
          <w:rFonts w:hint="eastAsia"/>
        </w:rPr>
        <w:t>7</w:t>
      </w:r>
      <w:r>
        <w:rPr>
          <w:rFonts w:hint="eastAsia"/>
        </w:rPr>
        <w:t>、生态敏感区现状</w:t>
      </w:r>
    </w:p>
    <w:p w14:paraId="1C5C6113" w14:textId="77777777" w:rsidR="007D1E74" w:rsidRDefault="00A95641">
      <w:pPr>
        <w:spacing w:line="360" w:lineRule="auto"/>
        <w:ind w:firstLineChars="200" w:firstLine="480"/>
        <w:rPr>
          <w:sz w:val="24"/>
          <w:szCs w:val="24"/>
        </w:rPr>
      </w:pPr>
      <w:r>
        <w:rPr>
          <w:rFonts w:hint="eastAsia"/>
          <w:sz w:val="24"/>
          <w:szCs w:val="24"/>
        </w:rPr>
        <w:t>通江县境内的生态敏感区主要有诺水河省级自然保护区、五台山省级猕猴自然保护区、诺水河国家级风景名胜区、空山国家森林公园、光雾山</w:t>
      </w:r>
      <w:r>
        <w:rPr>
          <w:rFonts w:hint="eastAsia"/>
          <w:sz w:val="24"/>
          <w:szCs w:val="24"/>
        </w:rPr>
        <w:t>-</w:t>
      </w:r>
      <w:r>
        <w:rPr>
          <w:rFonts w:hint="eastAsia"/>
          <w:sz w:val="24"/>
          <w:szCs w:val="24"/>
        </w:rPr>
        <w:t>诺水河国家地质公园、南阳省级森林公园、四川诺水河珍稀水生动物国家级自然保护区等。</w:t>
      </w:r>
    </w:p>
    <w:p w14:paraId="1F04CD6D" w14:textId="77777777" w:rsidR="007D1E74" w:rsidRDefault="00A95641">
      <w:pPr>
        <w:spacing w:line="360" w:lineRule="auto"/>
        <w:ind w:firstLineChars="200" w:firstLine="480"/>
        <w:rPr>
          <w:sz w:val="24"/>
          <w:szCs w:val="24"/>
        </w:rPr>
      </w:pPr>
      <w:r>
        <w:rPr>
          <w:rFonts w:hint="eastAsia"/>
          <w:sz w:val="24"/>
          <w:szCs w:val="24"/>
        </w:rPr>
        <w:t>评价区范围线路要穿越四川诺水河珍稀水生动物国家级自然保护区，不涉及其他环境敏感区，且距离其他环境敏感区较远。</w:t>
      </w:r>
    </w:p>
    <w:p w14:paraId="164998EE" w14:textId="77777777" w:rsidR="007D1E74" w:rsidRDefault="00A95641">
      <w:pPr>
        <w:pStyle w:val="a9"/>
      </w:pPr>
      <w:r>
        <w:rPr>
          <w:rFonts w:hint="eastAsia"/>
        </w:rPr>
        <w:t>水生生态环境现状调查与评价</w:t>
      </w:r>
    </w:p>
    <w:p w14:paraId="207C9D22" w14:textId="77777777" w:rsidR="007D1E74" w:rsidRDefault="00A95641">
      <w:pPr>
        <w:pStyle w:val="aa"/>
      </w:pPr>
      <w:r>
        <w:rPr>
          <w:rFonts w:hint="eastAsia"/>
        </w:rPr>
        <w:t>调查内容、范围、时段和调查方法</w:t>
      </w:r>
    </w:p>
    <w:p w14:paraId="67A4DD71" w14:textId="77777777" w:rsidR="007D1E74" w:rsidRDefault="00A95641">
      <w:pPr>
        <w:pStyle w:val="afffff7"/>
        <w:ind w:firstLine="482"/>
      </w:pPr>
      <w:r>
        <w:rPr>
          <w:rFonts w:hint="eastAsia"/>
        </w:rPr>
        <w:t>1</w:t>
      </w:r>
      <w:r>
        <w:rPr>
          <w:rFonts w:hint="eastAsia"/>
        </w:rPr>
        <w:t>、调查内容</w:t>
      </w:r>
    </w:p>
    <w:p w14:paraId="3AD02BD1" w14:textId="77777777" w:rsidR="007D1E74" w:rsidRDefault="00A95641">
      <w:pPr>
        <w:spacing w:line="360" w:lineRule="auto"/>
        <w:ind w:firstLineChars="200" w:firstLine="480"/>
        <w:rPr>
          <w:sz w:val="24"/>
          <w:szCs w:val="24"/>
        </w:rPr>
      </w:pPr>
      <w:r>
        <w:rPr>
          <w:rFonts w:hint="eastAsia"/>
          <w:sz w:val="24"/>
          <w:szCs w:val="24"/>
        </w:rPr>
        <w:t>调查的内容主要包括浮游植物、浮游动物、底栖动物、水生维管束植物以及鱼类的</w:t>
      </w:r>
      <w:r>
        <w:rPr>
          <w:rFonts w:hint="eastAsia"/>
          <w:sz w:val="24"/>
          <w:szCs w:val="24"/>
        </w:rPr>
        <w:lastRenderedPageBreak/>
        <w:t>种类组成、资源量、鱼类“三场”分布等。</w:t>
      </w:r>
    </w:p>
    <w:p w14:paraId="5F2DBCC0" w14:textId="77777777" w:rsidR="007D1E74" w:rsidRDefault="00A95641">
      <w:pPr>
        <w:spacing w:line="360" w:lineRule="auto"/>
        <w:ind w:firstLineChars="200" w:firstLine="480"/>
        <w:rPr>
          <w:sz w:val="24"/>
          <w:szCs w:val="24"/>
        </w:rPr>
      </w:pPr>
      <w:r>
        <w:rPr>
          <w:rFonts w:hint="eastAsia"/>
          <w:sz w:val="24"/>
          <w:szCs w:val="24"/>
        </w:rPr>
        <w:t>重点调查内容包括：鱼类种类组成与资源量；珍稀、特有鱼类；鱼类等水生生物生态功能区（包括产卵场、索饵场、越冬场、洄游通道）。</w:t>
      </w:r>
    </w:p>
    <w:p w14:paraId="78AF0B0E" w14:textId="77777777" w:rsidR="007D1E74" w:rsidRDefault="00A95641">
      <w:pPr>
        <w:pStyle w:val="afffff7"/>
        <w:ind w:firstLine="482"/>
      </w:pPr>
      <w:r>
        <w:t>2</w:t>
      </w:r>
      <w:r>
        <w:rPr>
          <w:rFonts w:hint="eastAsia"/>
        </w:rPr>
        <w:t>、调查范围</w:t>
      </w:r>
    </w:p>
    <w:p w14:paraId="6E481B35" w14:textId="77777777" w:rsidR="007D1E74" w:rsidRDefault="00A95641">
      <w:pPr>
        <w:spacing w:line="360" w:lineRule="auto"/>
        <w:ind w:firstLineChars="200" w:firstLine="480"/>
        <w:rPr>
          <w:sz w:val="24"/>
          <w:szCs w:val="24"/>
        </w:rPr>
      </w:pPr>
      <w:r>
        <w:rPr>
          <w:rFonts w:hint="eastAsia"/>
          <w:sz w:val="24"/>
          <w:szCs w:val="24"/>
        </w:rPr>
        <w:t>根据通南巴气田马</w:t>
      </w:r>
      <w:r>
        <w:rPr>
          <w:rFonts w:hint="eastAsia"/>
          <w:sz w:val="24"/>
          <w:szCs w:val="24"/>
        </w:rPr>
        <w:t>1</w:t>
      </w:r>
      <w:r>
        <w:rPr>
          <w:rFonts w:hint="eastAsia"/>
          <w:sz w:val="24"/>
          <w:szCs w:val="24"/>
        </w:rPr>
        <w:t>马</w:t>
      </w:r>
      <w:r>
        <w:rPr>
          <w:rFonts w:hint="eastAsia"/>
          <w:sz w:val="24"/>
          <w:szCs w:val="24"/>
        </w:rPr>
        <w:t>2</w:t>
      </w:r>
      <w:r>
        <w:rPr>
          <w:rFonts w:hint="eastAsia"/>
          <w:sz w:val="24"/>
          <w:szCs w:val="24"/>
        </w:rPr>
        <w:t>块产能建设项目（二期）地面集输工程的特性及所在河流的特点，将小通江河板桥口镇至涪阳镇约</w:t>
      </w:r>
      <w:r>
        <w:rPr>
          <w:rFonts w:hint="eastAsia"/>
          <w:sz w:val="24"/>
          <w:szCs w:val="24"/>
        </w:rPr>
        <w:t>25km</w:t>
      </w:r>
      <w:r>
        <w:rPr>
          <w:rFonts w:hint="eastAsia"/>
          <w:sz w:val="24"/>
          <w:szCs w:val="24"/>
        </w:rPr>
        <w:t>河段作为本次水生生物调查评价范围。</w:t>
      </w:r>
    </w:p>
    <w:p w14:paraId="5F48BBA9" w14:textId="77777777" w:rsidR="007D1E74" w:rsidRDefault="00A95641">
      <w:pPr>
        <w:spacing w:line="360" w:lineRule="auto"/>
        <w:ind w:firstLineChars="200" w:firstLine="480"/>
        <w:rPr>
          <w:sz w:val="24"/>
          <w:szCs w:val="24"/>
        </w:rPr>
      </w:pPr>
      <w:r>
        <w:rPr>
          <w:rFonts w:hint="eastAsia"/>
          <w:sz w:val="24"/>
          <w:szCs w:val="24"/>
        </w:rPr>
        <w:t>水体中水生生物的分布很不均匀，通常因水体形态、深度、水源、风、光照、温度以及其它环境条件的不同而异，因此必须选择有代表性的地点进行采样。根据工程河段水域的形态特点、水文条件和水生生物特性等，为满足样品的代表性和可比性，保证达到必要的精度和满足统计学样品数，在调查水域共设置了</w:t>
      </w:r>
      <w:r>
        <w:rPr>
          <w:rFonts w:hint="eastAsia"/>
          <w:sz w:val="24"/>
          <w:szCs w:val="24"/>
        </w:rPr>
        <w:t>4</w:t>
      </w:r>
      <w:r>
        <w:rPr>
          <w:rFonts w:hint="eastAsia"/>
          <w:sz w:val="24"/>
          <w:szCs w:val="24"/>
        </w:rPr>
        <w:t>个采样点，各采样点设置及其基本情况见下表。</w:t>
      </w:r>
    </w:p>
    <w:p w14:paraId="04542288" w14:textId="77777777" w:rsidR="007D1E74" w:rsidRDefault="00A95641">
      <w:pPr>
        <w:pStyle w:val="afffffe"/>
        <w:numPr>
          <w:ilvl w:val="0"/>
          <w:numId w:val="43"/>
        </w:numPr>
        <w:spacing w:line="360" w:lineRule="auto"/>
        <w:ind w:firstLineChars="0"/>
        <w:jc w:val="center"/>
        <w:rPr>
          <w:rFonts w:eastAsia="黑体" w:cs="Times New Roman"/>
          <w:szCs w:val="21"/>
        </w:rPr>
      </w:pPr>
      <w:r>
        <w:rPr>
          <w:rFonts w:eastAsia="黑体" w:cs="Times New Roman" w:hint="eastAsia"/>
          <w:szCs w:val="21"/>
        </w:rPr>
        <w:t>水生生物采样点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4"/>
        <w:gridCol w:w="1334"/>
        <w:gridCol w:w="1012"/>
        <w:gridCol w:w="1003"/>
        <w:gridCol w:w="1334"/>
        <w:gridCol w:w="2999"/>
      </w:tblGrid>
      <w:tr w:rsidR="007D1E74" w14:paraId="04B77F9D" w14:textId="77777777">
        <w:tc>
          <w:tcPr>
            <w:tcW w:w="0" w:type="auto"/>
            <w:shd w:val="clear" w:color="auto" w:fill="auto"/>
            <w:vAlign w:val="center"/>
          </w:tcPr>
          <w:p w14:paraId="2ABD709B" w14:textId="77777777" w:rsidR="007D1E74" w:rsidRDefault="00A95641">
            <w:pPr>
              <w:pStyle w:val="afffff8"/>
            </w:pPr>
            <w:r>
              <w:t>采样点</w:t>
            </w:r>
          </w:p>
        </w:tc>
        <w:tc>
          <w:tcPr>
            <w:tcW w:w="0" w:type="auto"/>
            <w:shd w:val="clear" w:color="auto" w:fill="auto"/>
            <w:vAlign w:val="center"/>
          </w:tcPr>
          <w:p w14:paraId="4095C2CD" w14:textId="77777777" w:rsidR="007D1E74" w:rsidRDefault="00A95641">
            <w:pPr>
              <w:pStyle w:val="afffff8"/>
            </w:pPr>
            <w:r>
              <w:t>位置</w:t>
            </w:r>
          </w:p>
        </w:tc>
        <w:tc>
          <w:tcPr>
            <w:tcW w:w="0" w:type="auto"/>
            <w:shd w:val="clear" w:color="auto" w:fill="auto"/>
            <w:vAlign w:val="center"/>
          </w:tcPr>
          <w:p w14:paraId="4C5EF9CE" w14:textId="77777777" w:rsidR="007D1E74" w:rsidRDefault="00A95641">
            <w:pPr>
              <w:pStyle w:val="afffff8"/>
            </w:pPr>
            <w:r>
              <w:t>水温</w:t>
            </w:r>
          </w:p>
        </w:tc>
        <w:tc>
          <w:tcPr>
            <w:tcW w:w="0" w:type="auto"/>
            <w:shd w:val="clear" w:color="auto" w:fill="auto"/>
            <w:vAlign w:val="center"/>
          </w:tcPr>
          <w:p w14:paraId="72A22AAD" w14:textId="77777777" w:rsidR="007D1E74" w:rsidRDefault="00A95641">
            <w:pPr>
              <w:pStyle w:val="afffff8"/>
            </w:pPr>
            <w:r>
              <w:t>水色</w:t>
            </w:r>
          </w:p>
        </w:tc>
        <w:tc>
          <w:tcPr>
            <w:tcW w:w="0" w:type="auto"/>
            <w:shd w:val="clear" w:color="auto" w:fill="auto"/>
            <w:vAlign w:val="center"/>
          </w:tcPr>
          <w:p w14:paraId="524C1CB1" w14:textId="77777777" w:rsidR="007D1E74" w:rsidRDefault="00A95641">
            <w:pPr>
              <w:pStyle w:val="afffff8"/>
            </w:pPr>
            <w:r>
              <w:t>底质</w:t>
            </w:r>
          </w:p>
        </w:tc>
        <w:tc>
          <w:tcPr>
            <w:tcW w:w="0" w:type="auto"/>
          </w:tcPr>
          <w:p w14:paraId="4CF5973B" w14:textId="77777777" w:rsidR="007D1E74" w:rsidRDefault="00A95641">
            <w:pPr>
              <w:pStyle w:val="afffff8"/>
            </w:pPr>
            <w:r>
              <w:t>备注</w:t>
            </w:r>
          </w:p>
        </w:tc>
      </w:tr>
      <w:tr w:rsidR="007D1E74" w14:paraId="2CEF2125" w14:textId="77777777">
        <w:tc>
          <w:tcPr>
            <w:tcW w:w="0" w:type="auto"/>
            <w:shd w:val="clear" w:color="auto" w:fill="auto"/>
            <w:vAlign w:val="center"/>
          </w:tcPr>
          <w:p w14:paraId="0EA760F6" w14:textId="77777777" w:rsidR="007D1E74" w:rsidRDefault="00A95641">
            <w:pPr>
              <w:pStyle w:val="afffff8"/>
              <w:rPr>
                <w:bCs/>
              </w:rPr>
            </w:pPr>
            <w:r>
              <w:rPr>
                <w:bCs/>
              </w:rPr>
              <w:t>1</w:t>
            </w:r>
          </w:p>
        </w:tc>
        <w:tc>
          <w:tcPr>
            <w:tcW w:w="0" w:type="auto"/>
            <w:shd w:val="clear" w:color="auto" w:fill="auto"/>
            <w:vAlign w:val="center"/>
          </w:tcPr>
          <w:p w14:paraId="463F7650" w14:textId="77777777" w:rsidR="007D1E74" w:rsidRDefault="00A95641">
            <w:pPr>
              <w:pStyle w:val="afffff8"/>
            </w:pPr>
            <w:r>
              <w:rPr>
                <w:kern w:val="0"/>
                <w:lang w:bidi="ar"/>
              </w:rPr>
              <w:t>青峪镇</w:t>
            </w:r>
          </w:p>
        </w:tc>
        <w:tc>
          <w:tcPr>
            <w:tcW w:w="0" w:type="auto"/>
            <w:shd w:val="clear" w:color="auto" w:fill="auto"/>
            <w:vAlign w:val="center"/>
          </w:tcPr>
          <w:p w14:paraId="0BAAB6B4" w14:textId="77777777" w:rsidR="007D1E74" w:rsidRDefault="00A95641">
            <w:pPr>
              <w:pStyle w:val="afffff8"/>
              <w:rPr>
                <w:bCs/>
              </w:rPr>
            </w:pPr>
            <w:r>
              <w:rPr>
                <w:bCs/>
              </w:rPr>
              <w:t>12℃</w:t>
            </w:r>
          </w:p>
        </w:tc>
        <w:tc>
          <w:tcPr>
            <w:tcW w:w="0" w:type="auto"/>
            <w:shd w:val="clear" w:color="auto" w:fill="auto"/>
            <w:vAlign w:val="center"/>
          </w:tcPr>
          <w:p w14:paraId="2F2FD07D" w14:textId="77777777" w:rsidR="007D1E74" w:rsidRDefault="00A95641">
            <w:pPr>
              <w:pStyle w:val="afffff8"/>
              <w:rPr>
                <w:bCs/>
              </w:rPr>
            </w:pPr>
            <w:r>
              <w:rPr>
                <w:bCs/>
              </w:rPr>
              <w:t>清澈</w:t>
            </w:r>
          </w:p>
        </w:tc>
        <w:tc>
          <w:tcPr>
            <w:tcW w:w="0" w:type="auto"/>
            <w:shd w:val="clear" w:color="auto" w:fill="auto"/>
            <w:vAlign w:val="center"/>
          </w:tcPr>
          <w:p w14:paraId="585E0E9F" w14:textId="77777777" w:rsidR="007D1E74" w:rsidRDefault="00A95641">
            <w:pPr>
              <w:pStyle w:val="afffff8"/>
              <w:rPr>
                <w:bCs/>
              </w:rPr>
            </w:pPr>
            <w:r>
              <w:rPr>
                <w:bCs/>
              </w:rPr>
              <w:t>砂砾石</w:t>
            </w:r>
          </w:p>
        </w:tc>
        <w:tc>
          <w:tcPr>
            <w:tcW w:w="0" w:type="auto"/>
          </w:tcPr>
          <w:p w14:paraId="2B63C0FB" w14:textId="77777777" w:rsidR="007D1E74" w:rsidRDefault="00A95641">
            <w:pPr>
              <w:pStyle w:val="afffff8"/>
              <w:rPr>
                <w:bCs/>
              </w:rPr>
            </w:pPr>
            <w:r>
              <w:rPr>
                <w:bCs/>
              </w:rPr>
              <w:t>穿越点</w:t>
            </w:r>
            <w:r>
              <w:rPr>
                <w:bCs/>
              </w:rPr>
              <w:t>1</w:t>
            </w:r>
            <w:r>
              <w:rPr>
                <w:bCs/>
              </w:rPr>
              <w:t>上游</w:t>
            </w:r>
            <w:r>
              <w:rPr>
                <w:bCs/>
              </w:rPr>
              <w:t>2km</w:t>
            </w:r>
          </w:p>
        </w:tc>
      </w:tr>
      <w:tr w:rsidR="007D1E74" w14:paraId="3D4D0498" w14:textId="77777777">
        <w:tc>
          <w:tcPr>
            <w:tcW w:w="0" w:type="auto"/>
            <w:shd w:val="clear" w:color="auto" w:fill="auto"/>
            <w:vAlign w:val="center"/>
          </w:tcPr>
          <w:p w14:paraId="6CD7589D" w14:textId="77777777" w:rsidR="007D1E74" w:rsidRDefault="00A95641">
            <w:pPr>
              <w:pStyle w:val="afffff8"/>
              <w:rPr>
                <w:bCs/>
              </w:rPr>
            </w:pPr>
            <w:r>
              <w:rPr>
                <w:bCs/>
              </w:rPr>
              <w:t>2</w:t>
            </w:r>
          </w:p>
        </w:tc>
        <w:tc>
          <w:tcPr>
            <w:tcW w:w="0" w:type="auto"/>
            <w:shd w:val="clear" w:color="auto" w:fill="auto"/>
            <w:vAlign w:val="center"/>
          </w:tcPr>
          <w:p w14:paraId="1C6F6683" w14:textId="77777777" w:rsidR="007D1E74" w:rsidRDefault="00A95641">
            <w:pPr>
              <w:pStyle w:val="afffff8"/>
            </w:pPr>
            <w:r>
              <w:rPr>
                <w:kern w:val="0"/>
                <w:lang w:bidi="ar"/>
              </w:rPr>
              <w:t>桔子坝</w:t>
            </w:r>
          </w:p>
        </w:tc>
        <w:tc>
          <w:tcPr>
            <w:tcW w:w="0" w:type="auto"/>
            <w:shd w:val="clear" w:color="auto" w:fill="auto"/>
            <w:vAlign w:val="center"/>
          </w:tcPr>
          <w:p w14:paraId="78BC8395" w14:textId="77777777" w:rsidR="007D1E74" w:rsidRDefault="00A95641">
            <w:pPr>
              <w:pStyle w:val="afffff8"/>
              <w:rPr>
                <w:bCs/>
              </w:rPr>
            </w:pPr>
            <w:r>
              <w:rPr>
                <w:bCs/>
              </w:rPr>
              <w:t>12℃</w:t>
            </w:r>
          </w:p>
        </w:tc>
        <w:tc>
          <w:tcPr>
            <w:tcW w:w="0" w:type="auto"/>
            <w:shd w:val="clear" w:color="auto" w:fill="auto"/>
            <w:vAlign w:val="center"/>
          </w:tcPr>
          <w:p w14:paraId="7310DCB8" w14:textId="77777777" w:rsidR="007D1E74" w:rsidRDefault="00A95641">
            <w:pPr>
              <w:pStyle w:val="afffff8"/>
              <w:rPr>
                <w:bCs/>
              </w:rPr>
            </w:pPr>
            <w:r>
              <w:rPr>
                <w:bCs/>
              </w:rPr>
              <w:t>清澈</w:t>
            </w:r>
          </w:p>
        </w:tc>
        <w:tc>
          <w:tcPr>
            <w:tcW w:w="0" w:type="auto"/>
            <w:shd w:val="clear" w:color="auto" w:fill="auto"/>
            <w:vAlign w:val="center"/>
          </w:tcPr>
          <w:p w14:paraId="68F066C4" w14:textId="77777777" w:rsidR="007D1E74" w:rsidRDefault="00A95641">
            <w:pPr>
              <w:pStyle w:val="afffff8"/>
              <w:rPr>
                <w:bCs/>
              </w:rPr>
            </w:pPr>
            <w:r>
              <w:rPr>
                <w:bCs/>
              </w:rPr>
              <w:t>砂砾石</w:t>
            </w:r>
          </w:p>
        </w:tc>
        <w:tc>
          <w:tcPr>
            <w:tcW w:w="0" w:type="auto"/>
          </w:tcPr>
          <w:p w14:paraId="69A36B01" w14:textId="77777777" w:rsidR="007D1E74" w:rsidRDefault="00A95641">
            <w:pPr>
              <w:pStyle w:val="afffff8"/>
              <w:rPr>
                <w:bCs/>
              </w:rPr>
            </w:pPr>
            <w:r>
              <w:rPr>
                <w:bCs/>
              </w:rPr>
              <w:t>穿越点</w:t>
            </w:r>
            <w:r>
              <w:rPr>
                <w:bCs/>
              </w:rPr>
              <w:t>1</w:t>
            </w:r>
          </w:p>
        </w:tc>
      </w:tr>
      <w:tr w:rsidR="007D1E74" w14:paraId="343A6D15" w14:textId="77777777">
        <w:tc>
          <w:tcPr>
            <w:tcW w:w="0" w:type="auto"/>
            <w:shd w:val="clear" w:color="auto" w:fill="auto"/>
            <w:vAlign w:val="center"/>
          </w:tcPr>
          <w:p w14:paraId="4EB5FF07" w14:textId="77777777" w:rsidR="007D1E74" w:rsidRDefault="00A95641">
            <w:pPr>
              <w:pStyle w:val="afffff8"/>
              <w:rPr>
                <w:bCs/>
              </w:rPr>
            </w:pPr>
            <w:r>
              <w:rPr>
                <w:bCs/>
              </w:rPr>
              <w:t>3</w:t>
            </w:r>
          </w:p>
        </w:tc>
        <w:tc>
          <w:tcPr>
            <w:tcW w:w="0" w:type="auto"/>
            <w:shd w:val="clear" w:color="auto" w:fill="auto"/>
            <w:vAlign w:val="center"/>
          </w:tcPr>
          <w:p w14:paraId="37059825" w14:textId="77777777" w:rsidR="007D1E74" w:rsidRDefault="00A95641">
            <w:pPr>
              <w:pStyle w:val="afffff8"/>
            </w:pPr>
            <w:r>
              <w:rPr>
                <w:kern w:val="0"/>
                <w:lang w:bidi="ar"/>
              </w:rPr>
              <w:t>何家坝</w:t>
            </w:r>
          </w:p>
        </w:tc>
        <w:tc>
          <w:tcPr>
            <w:tcW w:w="0" w:type="auto"/>
            <w:shd w:val="clear" w:color="auto" w:fill="auto"/>
            <w:vAlign w:val="center"/>
          </w:tcPr>
          <w:p w14:paraId="6CAA8CCB" w14:textId="77777777" w:rsidR="007D1E74" w:rsidRDefault="00A95641">
            <w:pPr>
              <w:pStyle w:val="afffff8"/>
              <w:rPr>
                <w:bCs/>
              </w:rPr>
            </w:pPr>
            <w:r>
              <w:rPr>
                <w:bCs/>
              </w:rPr>
              <w:t>12℃</w:t>
            </w:r>
          </w:p>
        </w:tc>
        <w:tc>
          <w:tcPr>
            <w:tcW w:w="0" w:type="auto"/>
            <w:shd w:val="clear" w:color="auto" w:fill="auto"/>
            <w:vAlign w:val="center"/>
          </w:tcPr>
          <w:p w14:paraId="65E84147" w14:textId="77777777" w:rsidR="007D1E74" w:rsidRDefault="00A95641">
            <w:pPr>
              <w:pStyle w:val="afffff8"/>
              <w:rPr>
                <w:bCs/>
              </w:rPr>
            </w:pPr>
            <w:r>
              <w:rPr>
                <w:bCs/>
              </w:rPr>
              <w:t>清澈</w:t>
            </w:r>
          </w:p>
        </w:tc>
        <w:tc>
          <w:tcPr>
            <w:tcW w:w="0" w:type="auto"/>
            <w:shd w:val="clear" w:color="auto" w:fill="auto"/>
            <w:vAlign w:val="center"/>
          </w:tcPr>
          <w:p w14:paraId="1A1D329D" w14:textId="77777777" w:rsidR="007D1E74" w:rsidRDefault="00A95641">
            <w:pPr>
              <w:pStyle w:val="afffff8"/>
              <w:rPr>
                <w:bCs/>
              </w:rPr>
            </w:pPr>
            <w:r>
              <w:rPr>
                <w:bCs/>
              </w:rPr>
              <w:t>砂砾石</w:t>
            </w:r>
          </w:p>
        </w:tc>
        <w:tc>
          <w:tcPr>
            <w:tcW w:w="0" w:type="auto"/>
          </w:tcPr>
          <w:p w14:paraId="6D2B6123" w14:textId="77777777" w:rsidR="007D1E74" w:rsidRDefault="00A95641">
            <w:pPr>
              <w:pStyle w:val="afffff8"/>
              <w:rPr>
                <w:bCs/>
              </w:rPr>
            </w:pPr>
            <w:r>
              <w:rPr>
                <w:bCs/>
              </w:rPr>
              <w:t>穿越点</w:t>
            </w:r>
            <w:r>
              <w:rPr>
                <w:bCs/>
              </w:rPr>
              <w:t>2</w:t>
            </w:r>
          </w:p>
        </w:tc>
      </w:tr>
      <w:tr w:rsidR="007D1E74" w14:paraId="346EDE10" w14:textId="77777777">
        <w:tc>
          <w:tcPr>
            <w:tcW w:w="0" w:type="auto"/>
            <w:shd w:val="clear" w:color="auto" w:fill="auto"/>
            <w:vAlign w:val="center"/>
          </w:tcPr>
          <w:p w14:paraId="407791BA" w14:textId="77777777" w:rsidR="007D1E74" w:rsidRDefault="00A95641">
            <w:pPr>
              <w:pStyle w:val="afffff8"/>
              <w:rPr>
                <w:bCs/>
              </w:rPr>
            </w:pPr>
            <w:r>
              <w:rPr>
                <w:bCs/>
              </w:rPr>
              <w:t>4</w:t>
            </w:r>
          </w:p>
        </w:tc>
        <w:tc>
          <w:tcPr>
            <w:tcW w:w="0" w:type="auto"/>
            <w:shd w:val="clear" w:color="auto" w:fill="auto"/>
            <w:vAlign w:val="center"/>
          </w:tcPr>
          <w:p w14:paraId="461E50E8" w14:textId="77777777" w:rsidR="007D1E74" w:rsidRDefault="00A95641">
            <w:pPr>
              <w:pStyle w:val="afffff8"/>
            </w:pPr>
            <w:r>
              <w:rPr>
                <w:kern w:val="0"/>
                <w:lang w:bidi="ar"/>
              </w:rPr>
              <w:t>建营坝</w:t>
            </w:r>
          </w:p>
        </w:tc>
        <w:tc>
          <w:tcPr>
            <w:tcW w:w="0" w:type="auto"/>
            <w:shd w:val="clear" w:color="auto" w:fill="auto"/>
            <w:vAlign w:val="center"/>
          </w:tcPr>
          <w:p w14:paraId="1412A0F0" w14:textId="77777777" w:rsidR="007D1E74" w:rsidRDefault="00A95641">
            <w:pPr>
              <w:pStyle w:val="afffff8"/>
              <w:rPr>
                <w:bCs/>
              </w:rPr>
            </w:pPr>
            <w:r>
              <w:rPr>
                <w:bCs/>
              </w:rPr>
              <w:t>12℃</w:t>
            </w:r>
          </w:p>
        </w:tc>
        <w:tc>
          <w:tcPr>
            <w:tcW w:w="0" w:type="auto"/>
            <w:shd w:val="clear" w:color="auto" w:fill="auto"/>
            <w:vAlign w:val="center"/>
          </w:tcPr>
          <w:p w14:paraId="29B4C3B2" w14:textId="77777777" w:rsidR="007D1E74" w:rsidRDefault="00A95641">
            <w:pPr>
              <w:pStyle w:val="afffff8"/>
              <w:rPr>
                <w:bCs/>
              </w:rPr>
            </w:pPr>
            <w:r>
              <w:rPr>
                <w:bCs/>
              </w:rPr>
              <w:t>清澈</w:t>
            </w:r>
          </w:p>
        </w:tc>
        <w:tc>
          <w:tcPr>
            <w:tcW w:w="0" w:type="auto"/>
            <w:shd w:val="clear" w:color="auto" w:fill="auto"/>
            <w:vAlign w:val="center"/>
          </w:tcPr>
          <w:p w14:paraId="16C45976" w14:textId="77777777" w:rsidR="007D1E74" w:rsidRDefault="00A95641">
            <w:pPr>
              <w:pStyle w:val="afffff8"/>
              <w:rPr>
                <w:bCs/>
              </w:rPr>
            </w:pPr>
            <w:r>
              <w:rPr>
                <w:bCs/>
              </w:rPr>
              <w:t>砂砾石</w:t>
            </w:r>
          </w:p>
        </w:tc>
        <w:tc>
          <w:tcPr>
            <w:tcW w:w="0" w:type="auto"/>
          </w:tcPr>
          <w:p w14:paraId="05A8B686" w14:textId="77777777" w:rsidR="007D1E74" w:rsidRDefault="00A95641">
            <w:pPr>
              <w:pStyle w:val="afffff8"/>
              <w:rPr>
                <w:bCs/>
              </w:rPr>
            </w:pPr>
            <w:r>
              <w:rPr>
                <w:bCs/>
              </w:rPr>
              <w:t>穿越点</w:t>
            </w:r>
            <w:r>
              <w:rPr>
                <w:bCs/>
              </w:rPr>
              <w:t>2</w:t>
            </w:r>
            <w:r>
              <w:rPr>
                <w:bCs/>
              </w:rPr>
              <w:t>下游</w:t>
            </w:r>
            <w:r>
              <w:rPr>
                <w:bCs/>
              </w:rPr>
              <w:t>2km</w:t>
            </w:r>
          </w:p>
        </w:tc>
      </w:tr>
    </w:tbl>
    <w:p w14:paraId="1C49EC2C" w14:textId="77777777" w:rsidR="007D1E74" w:rsidRDefault="007D1E74">
      <w:pPr>
        <w:spacing w:line="360" w:lineRule="auto"/>
        <w:ind w:firstLineChars="200" w:firstLine="480"/>
        <w:rPr>
          <w:sz w:val="24"/>
          <w:szCs w:val="24"/>
        </w:rPr>
      </w:pPr>
    </w:p>
    <w:tbl>
      <w:tblPr>
        <w:tblStyle w:val="aff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1"/>
        <w:gridCol w:w="4505"/>
      </w:tblGrid>
      <w:tr w:rsidR="007D1E74" w14:paraId="5A9D7180" w14:textId="77777777">
        <w:tc>
          <w:tcPr>
            <w:tcW w:w="4649" w:type="dxa"/>
            <w:vAlign w:val="center"/>
          </w:tcPr>
          <w:p w14:paraId="5AF61E16" w14:textId="77777777" w:rsidR="007D1E74" w:rsidRDefault="00A95641">
            <w:pPr>
              <w:jc w:val="center"/>
              <w:rPr>
                <w:szCs w:val="21"/>
              </w:rPr>
            </w:pPr>
            <w:r>
              <w:rPr>
                <w:b/>
                <w:noProof/>
                <w:szCs w:val="21"/>
              </w:rPr>
              <w:drawing>
                <wp:inline distT="0" distB="0" distL="0" distR="0" wp14:anchorId="61BDD4B3" wp14:editId="4A95D368">
                  <wp:extent cx="2562225" cy="1921510"/>
                  <wp:effectExtent l="0" t="0" r="13335" b="13970"/>
                  <wp:docPr id="85" name="图片 85" descr="E:\21年\科研\油气田\资料\通江照片\采样工作照片\何家坝处采样照片\IMG_1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E:\21年\科研\油气田\资料\通江照片\采样工作照片\何家坝处采样照片\IMG_1097.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a:xfrm rot="10800000" flipH="1">
                            <a:off x="0" y="0"/>
                            <a:ext cx="2565628" cy="1924221"/>
                          </a:xfrm>
                          <a:prstGeom prst="rect">
                            <a:avLst/>
                          </a:prstGeom>
                          <a:noFill/>
                          <a:ln>
                            <a:noFill/>
                          </a:ln>
                        </pic:spPr>
                      </pic:pic>
                    </a:graphicData>
                  </a:graphic>
                </wp:inline>
              </w:drawing>
            </w:r>
          </w:p>
        </w:tc>
        <w:tc>
          <w:tcPr>
            <w:tcW w:w="4650" w:type="dxa"/>
            <w:vAlign w:val="center"/>
          </w:tcPr>
          <w:p w14:paraId="2EED247C" w14:textId="77777777" w:rsidR="007D1E74" w:rsidRDefault="00A95641">
            <w:pPr>
              <w:jc w:val="center"/>
              <w:rPr>
                <w:szCs w:val="21"/>
              </w:rPr>
            </w:pPr>
            <w:r>
              <w:rPr>
                <w:b/>
                <w:noProof/>
                <w:szCs w:val="21"/>
              </w:rPr>
              <w:drawing>
                <wp:inline distT="0" distB="0" distL="0" distR="0" wp14:anchorId="70DC2AB3" wp14:editId="495F00C6">
                  <wp:extent cx="2541270" cy="1906270"/>
                  <wp:effectExtent l="0" t="0" r="3810" b="13970"/>
                  <wp:docPr id="86" name="图片 86" descr="E:\21年\科研\油气田\资料\通江照片\采样工作照片\后坝湾处采样照片\IMG_20211127_143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E:\21年\科研\油气田\资料\通江照片\采样工作照片\后坝湾处采样照片\IMG_20211127_143222.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a:xfrm>
                            <a:off x="0" y="0"/>
                            <a:ext cx="2547156" cy="1910845"/>
                          </a:xfrm>
                          <a:prstGeom prst="rect">
                            <a:avLst/>
                          </a:prstGeom>
                          <a:noFill/>
                          <a:ln>
                            <a:noFill/>
                          </a:ln>
                        </pic:spPr>
                      </pic:pic>
                    </a:graphicData>
                  </a:graphic>
                </wp:inline>
              </w:drawing>
            </w:r>
          </w:p>
        </w:tc>
      </w:tr>
      <w:tr w:rsidR="007D1E74" w14:paraId="317272FE" w14:textId="77777777">
        <w:tc>
          <w:tcPr>
            <w:tcW w:w="4649" w:type="dxa"/>
            <w:vAlign w:val="center"/>
          </w:tcPr>
          <w:p w14:paraId="65182E23" w14:textId="77777777" w:rsidR="007D1E74" w:rsidRDefault="00A95641">
            <w:pPr>
              <w:jc w:val="center"/>
              <w:rPr>
                <w:szCs w:val="21"/>
              </w:rPr>
            </w:pPr>
            <w:r>
              <w:rPr>
                <w:rFonts w:hint="eastAsia"/>
                <w:szCs w:val="21"/>
              </w:rPr>
              <w:t>底栖生物采集</w:t>
            </w:r>
          </w:p>
        </w:tc>
        <w:tc>
          <w:tcPr>
            <w:tcW w:w="4650" w:type="dxa"/>
            <w:vAlign w:val="center"/>
          </w:tcPr>
          <w:p w14:paraId="6BAEF178" w14:textId="77777777" w:rsidR="007D1E74" w:rsidRDefault="00A95641">
            <w:pPr>
              <w:jc w:val="center"/>
              <w:rPr>
                <w:szCs w:val="21"/>
              </w:rPr>
            </w:pPr>
            <w:r>
              <w:rPr>
                <w:rFonts w:hint="eastAsia"/>
                <w:szCs w:val="21"/>
              </w:rPr>
              <w:t>水生生物采集</w:t>
            </w:r>
          </w:p>
        </w:tc>
      </w:tr>
    </w:tbl>
    <w:p w14:paraId="0EB2516B" w14:textId="77777777" w:rsidR="007D1E74" w:rsidRDefault="00A95641">
      <w:pPr>
        <w:pStyle w:val="afffff7"/>
        <w:ind w:firstLine="482"/>
      </w:pPr>
      <w:r>
        <w:t>3</w:t>
      </w:r>
      <w:r>
        <w:rPr>
          <w:rFonts w:hint="eastAsia"/>
        </w:rPr>
        <w:t>、调查方法</w:t>
      </w:r>
    </w:p>
    <w:p w14:paraId="69EA32DC" w14:textId="77777777" w:rsidR="007D1E74" w:rsidRDefault="00A95641">
      <w:pPr>
        <w:spacing w:line="360" w:lineRule="auto"/>
        <w:ind w:firstLineChars="200" w:firstLine="482"/>
        <w:rPr>
          <w:b/>
          <w:sz w:val="24"/>
          <w:szCs w:val="24"/>
        </w:rPr>
      </w:pPr>
      <w:r>
        <w:rPr>
          <w:b/>
          <w:sz w:val="24"/>
          <w:szCs w:val="24"/>
        </w:rPr>
        <w:t>（</w:t>
      </w:r>
      <w:r>
        <w:rPr>
          <w:rFonts w:hint="eastAsia"/>
          <w:b/>
          <w:sz w:val="24"/>
          <w:szCs w:val="24"/>
        </w:rPr>
        <w:t>1</w:t>
      </w:r>
      <w:r>
        <w:rPr>
          <w:rFonts w:hint="eastAsia"/>
          <w:b/>
          <w:sz w:val="24"/>
          <w:szCs w:val="24"/>
        </w:rPr>
        <w:t>）浮游植物调查方法</w:t>
      </w:r>
    </w:p>
    <w:p w14:paraId="58AE1C94" w14:textId="77777777" w:rsidR="007D1E74" w:rsidRDefault="00A95641">
      <w:pPr>
        <w:spacing w:line="360" w:lineRule="auto"/>
        <w:ind w:firstLineChars="200" w:firstLine="482"/>
        <w:rPr>
          <w:b/>
          <w:sz w:val="24"/>
          <w:szCs w:val="24"/>
        </w:rPr>
      </w:pPr>
      <w:r>
        <w:rPr>
          <w:rFonts w:hint="eastAsia"/>
          <w:b/>
          <w:sz w:val="24"/>
          <w:szCs w:val="24"/>
        </w:rPr>
        <w:t>①定性水样的采集</w:t>
      </w:r>
    </w:p>
    <w:p w14:paraId="2A8B40DE" w14:textId="77777777" w:rsidR="007D1E74" w:rsidRDefault="00A95641">
      <w:pPr>
        <w:spacing w:line="360" w:lineRule="auto"/>
        <w:ind w:firstLineChars="200" w:firstLine="480"/>
        <w:rPr>
          <w:sz w:val="24"/>
          <w:szCs w:val="24"/>
        </w:rPr>
      </w:pPr>
      <w:r>
        <w:rPr>
          <w:rFonts w:hint="eastAsia"/>
          <w:sz w:val="24"/>
          <w:szCs w:val="24"/>
        </w:rPr>
        <w:t>在调查水体的各采样点用</w:t>
      </w:r>
      <w:r>
        <w:rPr>
          <w:rFonts w:hint="eastAsia"/>
          <w:sz w:val="24"/>
          <w:szCs w:val="24"/>
        </w:rPr>
        <w:t>25</w:t>
      </w:r>
      <w:r>
        <w:rPr>
          <w:rFonts w:hint="eastAsia"/>
          <w:sz w:val="24"/>
          <w:szCs w:val="24"/>
        </w:rPr>
        <w:t>号浮游植物网采集浮游植物定性水样，装入标本瓶中，样品用</w:t>
      </w:r>
      <w:r>
        <w:rPr>
          <w:rFonts w:hint="eastAsia"/>
          <w:sz w:val="24"/>
          <w:szCs w:val="24"/>
        </w:rPr>
        <w:t>2%</w:t>
      </w:r>
      <w:r>
        <w:rPr>
          <w:rFonts w:hint="eastAsia"/>
          <w:sz w:val="24"/>
          <w:szCs w:val="24"/>
        </w:rPr>
        <w:t>鲁哥氏液固定后带回实验室观察，进行浮游植物种类鉴别，确定水体中浮游植物的优势种。</w:t>
      </w:r>
    </w:p>
    <w:p w14:paraId="3B445C17" w14:textId="77777777" w:rsidR="007D1E74" w:rsidRDefault="00A95641">
      <w:pPr>
        <w:spacing w:line="360" w:lineRule="auto"/>
        <w:ind w:firstLineChars="200" w:firstLine="482"/>
        <w:rPr>
          <w:b/>
          <w:sz w:val="24"/>
          <w:szCs w:val="24"/>
        </w:rPr>
      </w:pPr>
      <w:r>
        <w:rPr>
          <w:rFonts w:hint="eastAsia"/>
          <w:b/>
          <w:sz w:val="24"/>
          <w:szCs w:val="24"/>
        </w:rPr>
        <w:lastRenderedPageBreak/>
        <w:t>②定量水样的采集</w:t>
      </w:r>
    </w:p>
    <w:p w14:paraId="488DB738" w14:textId="77777777" w:rsidR="007D1E74" w:rsidRDefault="00A95641">
      <w:pPr>
        <w:spacing w:line="360" w:lineRule="auto"/>
        <w:ind w:firstLineChars="200" w:firstLine="480"/>
        <w:rPr>
          <w:sz w:val="24"/>
          <w:szCs w:val="24"/>
        </w:rPr>
      </w:pPr>
      <w:r>
        <w:rPr>
          <w:rFonts w:hint="eastAsia"/>
          <w:sz w:val="24"/>
          <w:szCs w:val="24"/>
        </w:rPr>
        <w:t>用</w:t>
      </w:r>
      <w:r>
        <w:rPr>
          <w:rFonts w:hint="eastAsia"/>
          <w:sz w:val="24"/>
          <w:szCs w:val="24"/>
        </w:rPr>
        <w:t>2.5L</w:t>
      </w:r>
      <w:r>
        <w:rPr>
          <w:rFonts w:hint="eastAsia"/>
          <w:sz w:val="24"/>
          <w:szCs w:val="24"/>
        </w:rPr>
        <w:t>有机玻璃采水器取水样</w:t>
      </w:r>
      <w:r>
        <w:rPr>
          <w:rFonts w:hint="eastAsia"/>
          <w:sz w:val="24"/>
          <w:szCs w:val="24"/>
        </w:rPr>
        <w:t>1000mL</w:t>
      </w:r>
      <w:r>
        <w:rPr>
          <w:rFonts w:hint="eastAsia"/>
          <w:sz w:val="24"/>
          <w:szCs w:val="24"/>
        </w:rPr>
        <w:t>，加鲁哥氏液</w:t>
      </w:r>
      <w:r>
        <w:rPr>
          <w:rFonts w:hint="eastAsia"/>
          <w:sz w:val="24"/>
          <w:szCs w:val="24"/>
        </w:rPr>
        <w:t>15mL</w:t>
      </w:r>
      <w:r>
        <w:rPr>
          <w:rFonts w:hint="eastAsia"/>
          <w:sz w:val="24"/>
          <w:szCs w:val="24"/>
        </w:rPr>
        <w:t>进行固定。</w:t>
      </w:r>
    </w:p>
    <w:p w14:paraId="7FBAC983" w14:textId="77777777" w:rsidR="007D1E74" w:rsidRDefault="00A95641">
      <w:pPr>
        <w:spacing w:line="360" w:lineRule="auto"/>
        <w:ind w:firstLineChars="200" w:firstLine="482"/>
        <w:rPr>
          <w:b/>
          <w:sz w:val="24"/>
          <w:szCs w:val="24"/>
        </w:rPr>
      </w:pPr>
      <w:r>
        <w:rPr>
          <w:rFonts w:hint="eastAsia"/>
          <w:b/>
          <w:sz w:val="24"/>
          <w:szCs w:val="24"/>
        </w:rPr>
        <w:t>③室内观察与处理</w:t>
      </w:r>
    </w:p>
    <w:p w14:paraId="3BD1B58E" w14:textId="77777777" w:rsidR="007D1E74" w:rsidRDefault="00A95641">
      <w:pPr>
        <w:spacing w:line="360" w:lineRule="auto"/>
        <w:ind w:firstLineChars="200" w:firstLine="480"/>
        <w:rPr>
          <w:rFonts w:cs="Times New Roman"/>
          <w:sz w:val="24"/>
          <w:szCs w:val="24"/>
        </w:rPr>
      </w:pPr>
      <w:r>
        <w:rPr>
          <w:rFonts w:hint="eastAsia"/>
          <w:sz w:val="24"/>
          <w:szCs w:val="24"/>
        </w:rPr>
        <w:t>定量水样带回实验室后，静置</w:t>
      </w:r>
      <w:r>
        <w:rPr>
          <w:rFonts w:hint="eastAsia"/>
          <w:sz w:val="24"/>
          <w:szCs w:val="24"/>
        </w:rPr>
        <w:t>48h</w:t>
      </w:r>
      <w:r>
        <w:rPr>
          <w:rFonts w:hint="eastAsia"/>
          <w:sz w:val="24"/>
          <w:szCs w:val="24"/>
        </w:rPr>
        <w:t>，用虹吸法仔细吸出上部分不含藻类的上清液，经两次浓缩</w:t>
      </w:r>
      <w:r>
        <w:rPr>
          <w:rFonts w:cs="Times New Roman"/>
          <w:sz w:val="24"/>
          <w:szCs w:val="24"/>
        </w:rPr>
        <w:t>后倒入定量瓶中，定量至</w:t>
      </w:r>
      <w:r>
        <w:rPr>
          <w:rFonts w:cs="Times New Roman"/>
          <w:sz w:val="24"/>
          <w:szCs w:val="24"/>
        </w:rPr>
        <w:t>30mL</w:t>
      </w:r>
      <w:r>
        <w:rPr>
          <w:rFonts w:cs="Times New Roman"/>
          <w:sz w:val="24"/>
          <w:szCs w:val="24"/>
        </w:rPr>
        <w:t>以备计数。</w:t>
      </w:r>
    </w:p>
    <w:p w14:paraId="772ED1F0" w14:textId="77777777" w:rsidR="007D1E74" w:rsidRDefault="00A95641">
      <w:pPr>
        <w:spacing w:line="360" w:lineRule="auto"/>
        <w:ind w:firstLineChars="200" w:firstLine="480"/>
        <w:rPr>
          <w:rFonts w:cs="Times New Roman"/>
          <w:sz w:val="24"/>
          <w:szCs w:val="24"/>
        </w:rPr>
      </w:pPr>
      <w:r>
        <w:rPr>
          <w:rFonts w:cs="Times New Roman"/>
          <w:sz w:val="24"/>
          <w:szCs w:val="24"/>
        </w:rPr>
        <w:t>将定量的浓缩水样充分摇匀后，迅速准确吸出</w:t>
      </w:r>
      <w:r>
        <w:rPr>
          <w:rFonts w:cs="Times New Roman"/>
          <w:sz w:val="24"/>
          <w:szCs w:val="24"/>
        </w:rPr>
        <w:t>0.1m</w:t>
      </w:r>
      <w:r>
        <w:rPr>
          <w:rFonts w:hint="eastAsia"/>
          <w:sz w:val="24"/>
          <w:szCs w:val="24"/>
        </w:rPr>
        <w:t>L</w:t>
      </w:r>
      <w:r>
        <w:rPr>
          <w:rFonts w:cs="Times New Roman"/>
          <w:sz w:val="24"/>
          <w:szCs w:val="24"/>
        </w:rPr>
        <w:t>水样，注入</w:t>
      </w:r>
      <w:r>
        <w:rPr>
          <w:rFonts w:cs="Times New Roman"/>
          <w:sz w:val="24"/>
          <w:szCs w:val="24"/>
        </w:rPr>
        <w:t>0.1m</w:t>
      </w:r>
      <w:r>
        <w:rPr>
          <w:rFonts w:hint="eastAsia"/>
          <w:sz w:val="24"/>
          <w:szCs w:val="24"/>
        </w:rPr>
        <w:t>L</w:t>
      </w:r>
      <w:r>
        <w:rPr>
          <w:rFonts w:cs="Times New Roman"/>
          <w:sz w:val="24"/>
          <w:szCs w:val="24"/>
        </w:rPr>
        <w:t>玻璃计数框内（面积</w:t>
      </w:r>
      <w:r>
        <w:rPr>
          <w:rFonts w:cs="Times New Roman"/>
          <w:sz w:val="24"/>
          <w:szCs w:val="24"/>
        </w:rPr>
        <w:t>20×20mm</w:t>
      </w:r>
      <w:r>
        <w:rPr>
          <w:rFonts w:cs="Times New Roman"/>
          <w:sz w:val="24"/>
          <w:szCs w:val="24"/>
          <w:vertAlign w:val="superscript"/>
        </w:rPr>
        <w:t>2</w:t>
      </w:r>
      <w:r>
        <w:rPr>
          <w:rFonts w:cs="Times New Roman"/>
          <w:sz w:val="24"/>
          <w:szCs w:val="24"/>
        </w:rPr>
        <w:t>），盖上盖玻片，在</w:t>
      </w:r>
      <w:r>
        <w:rPr>
          <w:rFonts w:cs="Times New Roman"/>
          <w:sz w:val="24"/>
          <w:szCs w:val="24"/>
        </w:rPr>
        <w:t>10×40</w:t>
      </w:r>
      <w:r>
        <w:rPr>
          <w:rFonts w:cs="Times New Roman"/>
          <w:sz w:val="24"/>
          <w:szCs w:val="24"/>
        </w:rPr>
        <w:t>倍显微镜下抽样观察</w:t>
      </w:r>
      <w:r>
        <w:rPr>
          <w:rFonts w:cs="Times New Roman"/>
          <w:sz w:val="24"/>
          <w:szCs w:val="24"/>
        </w:rPr>
        <w:t>100</w:t>
      </w:r>
      <w:r>
        <w:rPr>
          <w:rFonts w:cs="Times New Roman"/>
          <w:sz w:val="24"/>
          <w:szCs w:val="24"/>
        </w:rPr>
        <w:t>个视野并计数。每瓶标本计数二片取其平均值。同一样品的两片标本计数结果与其平均数之差，如不大于</w:t>
      </w:r>
      <w:r>
        <w:rPr>
          <w:rFonts w:cs="Times New Roman"/>
          <w:sz w:val="24"/>
          <w:szCs w:val="24"/>
        </w:rPr>
        <w:t>10%</w:t>
      </w:r>
      <w:r>
        <w:rPr>
          <w:rFonts w:cs="Times New Roman"/>
          <w:sz w:val="24"/>
          <w:szCs w:val="24"/>
        </w:rPr>
        <w:t>则为有效计数，否则须测第三片，直至符合要求。</w:t>
      </w:r>
    </w:p>
    <w:p w14:paraId="5A38DDB8" w14:textId="77777777" w:rsidR="007D1E74" w:rsidRDefault="00A95641">
      <w:pPr>
        <w:spacing w:line="360" w:lineRule="auto"/>
        <w:ind w:firstLineChars="200" w:firstLine="480"/>
        <w:rPr>
          <w:sz w:val="24"/>
          <w:szCs w:val="24"/>
        </w:rPr>
      </w:pPr>
      <w:r>
        <w:rPr>
          <w:rFonts w:hint="eastAsia"/>
          <w:sz w:val="24"/>
          <w:szCs w:val="24"/>
        </w:rPr>
        <w:t>按下式计算每升水样中某种浮游植物的数量（个</w:t>
      </w:r>
      <w:r>
        <w:rPr>
          <w:rFonts w:hint="eastAsia"/>
          <w:sz w:val="24"/>
          <w:szCs w:val="24"/>
        </w:rPr>
        <w:t>/</w:t>
      </w:r>
      <w:r>
        <w:rPr>
          <w:rFonts w:hint="eastAsia"/>
          <w:sz w:val="24"/>
          <w:szCs w:val="24"/>
        </w:rPr>
        <w:t>升）。</w:t>
      </w:r>
    </w:p>
    <w:p w14:paraId="529ECDA9" w14:textId="77777777" w:rsidR="007D1E74" w:rsidRDefault="00A95641">
      <w:pPr>
        <w:spacing w:line="360" w:lineRule="auto"/>
        <w:jc w:val="center"/>
        <w:rPr>
          <w:sz w:val="24"/>
          <w:szCs w:val="24"/>
        </w:rPr>
      </w:pPr>
      <w:r>
        <w:rPr>
          <w:rFonts w:hint="eastAsia"/>
          <w:noProof/>
          <w:sz w:val="24"/>
          <w:szCs w:val="24"/>
        </w:rPr>
        <w:drawing>
          <wp:inline distT="0" distB="0" distL="0" distR="0" wp14:anchorId="5CAD8D8F" wp14:editId="091C9ACB">
            <wp:extent cx="771525" cy="259715"/>
            <wp:effectExtent l="0" t="0" r="0" b="1460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a:xfrm>
                      <a:off x="0" y="0"/>
                      <a:ext cx="833493" cy="280917"/>
                    </a:xfrm>
                    <a:prstGeom prst="rect">
                      <a:avLst/>
                    </a:prstGeom>
                    <a:noFill/>
                    <a:ln>
                      <a:noFill/>
                    </a:ln>
                  </pic:spPr>
                </pic:pic>
              </a:graphicData>
            </a:graphic>
          </wp:inline>
        </w:drawing>
      </w:r>
    </w:p>
    <w:p w14:paraId="3144A2DD" w14:textId="77777777" w:rsidR="007D1E74" w:rsidRDefault="00A95641">
      <w:pPr>
        <w:spacing w:line="360" w:lineRule="auto"/>
        <w:ind w:firstLineChars="200" w:firstLine="480"/>
        <w:rPr>
          <w:rFonts w:cs="Times New Roman"/>
          <w:sz w:val="24"/>
          <w:szCs w:val="24"/>
        </w:rPr>
      </w:pPr>
      <w:r>
        <w:rPr>
          <w:rFonts w:cs="Times New Roman"/>
          <w:sz w:val="24"/>
          <w:szCs w:val="24"/>
        </w:rPr>
        <w:t>式中，</w:t>
      </w:r>
      <w:r>
        <w:rPr>
          <w:rFonts w:cs="Times New Roman"/>
          <w:i/>
          <w:sz w:val="24"/>
          <w:szCs w:val="24"/>
        </w:rPr>
        <w:t>P</w:t>
      </w:r>
      <w:r>
        <w:rPr>
          <w:rFonts w:cs="Times New Roman"/>
          <w:i/>
          <w:sz w:val="24"/>
          <w:szCs w:val="24"/>
          <w:vertAlign w:val="subscript"/>
        </w:rPr>
        <w:t>n</w:t>
      </w:r>
      <w:r>
        <w:rPr>
          <w:rFonts w:cs="Times New Roman"/>
          <w:sz w:val="24"/>
          <w:szCs w:val="24"/>
        </w:rPr>
        <w:t>——</w:t>
      </w:r>
      <w:r>
        <w:rPr>
          <w:rFonts w:cs="Times New Roman"/>
          <w:sz w:val="24"/>
          <w:szCs w:val="24"/>
        </w:rPr>
        <w:t>平均每片实际计数的某种浮游植物个数；</w:t>
      </w:r>
    </w:p>
    <w:p w14:paraId="3128C34A" w14:textId="77777777" w:rsidR="007D1E74" w:rsidRDefault="00A95641">
      <w:pPr>
        <w:spacing w:line="360" w:lineRule="auto"/>
        <w:ind w:firstLineChars="500" w:firstLine="1200"/>
        <w:rPr>
          <w:rFonts w:cs="Times New Roman"/>
          <w:sz w:val="24"/>
          <w:szCs w:val="24"/>
        </w:rPr>
      </w:pPr>
      <w:r>
        <w:rPr>
          <w:rFonts w:cs="Times New Roman"/>
          <w:i/>
          <w:sz w:val="24"/>
          <w:szCs w:val="24"/>
        </w:rPr>
        <w:t>F</w:t>
      </w:r>
      <w:r>
        <w:rPr>
          <w:rFonts w:cs="Times New Roman"/>
          <w:i/>
          <w:sz w:val="24"/>
          <w:szCs w:val="24"/>
          <w:vertAlign w:val="subscript"/>
        </w:rPr>
        <w:t>n</w:t>
      </w:r>
      <w:r>
        <w:rPr>
          <w:rFonts w:cs="Times New Roman"/>
          <w:sz w:val="24"/>
          <w:szCs w:val="24"/>
        </w:rPr>
        <w:t>——</w:t>
      </w:r>
      <w:r>
        <w:rPr>
          <w:rFonts w:cs="Times New Roman"/>
          <w:sz w:val="24"/>
          <w:szCs w:val="24"/>
        </w:rPr>
        <w:t>平均每片计数过的视野数；</w:t>
      </w:r>
    </w:p>
    <w:p w14:paraId="03D8C0E8" w14:textId="77777777" w:rsidR="007D1E74" w:rsidRDefault="00A95641">
      <w:pPr>
        <w:spacing w:line="360" w:lineRule="auto"/>
        <w:ind w:firstLineChars="500" w:firstLine="1200"/>
        <w:rPr>
          <w:rFonts w:cs="Times New Roman"/>
          <w:sz w:val="24"/>
          <w:szCs w:val="24"/>
        </w:rPr>
      </w:pPr>
      <w:r>
        <w:rPr>
          <w:rFonts w:cs="Times New Roman"/>
          <w:i/>
          <w:sz w:val="24"/>
          <w:szCs w:val="24"/>
        </w:rPr>
        <w:t>C</w:t>
      </w:r>
      <w:r>
        <w:rPr>
          <w:rFonts w:cs="Times New Roman"/>
          <w:i/>
          <w:sz w:val="24"/>
          <w:szCs w:val="24"/>
          <w:vertAlign w:val="subscript"/>
        </w:rPr>
        <w:t>s</w:t>
      </w:r>
      <w:r>
        <w:rPr>
          <w:rFonts w:cs="Times New Roman"/>
          <w:sz w:val="24"/>
          <w:szCs w:val="24"/>
        </w:rPr>
        <w:t>——</w:t>
      </w:r>
      <w:r>
        <w:rPr>
          <w:rFonts w:cs="Times New Roman"/>
          <w:sz w:val="24"/>
          <w:szCs w:val="24"/>
        </w:rPr>
        <w:t>计数框面积</w:t>
      </w:r>
      <w:r>
        <w:rPr>
          <w:rFonts w:cs="Times New Roman" w:hint="eastAsia"/>
          <w:sz w:val="24"/>
          <w:szCs w:val="24"/>
        </w:rPr>
        <w:t>，</w:t>
      </w:r>
      <w:r>
        <w:rPr>
          <w:rFonts w:cs="Times New Roman"/>
          <w:sz w:val="24"/>
          <w:szCs w:val="24"/>
        </w:rPr>
        <w:t>mm</w:t>
      </w:r>
      <w:r>
        <w:rPr>
          <w:rFonts w:cs="Times New Roman"/>
          <w:sz w:val="24"/>
          <w:szCs w:val="24"/>
          <w:vertAlign w:val="superscript"/>
        </w:rPr>
        <w:t>2</w:t>
      </w:r>
      <w:r>
        <w:rPr>
          <w:rFonts w:cs="Times New Roman"/>
          <w:sz w:val="24"/>
          <w:szCs w:val="24"/>
        </w:rPr>
        <w:t>；</w:t>
      </w:r>
    </w:p>
    <w:p w14:paraId="2D6D41A6" w14:textId="77777777" w:rsidR="007D1E74" w:rsidRDefault="00A95641">
      <w:pPr>
        <w:spacing w:line="360" w:lineRule="auto"/>
        <w:ind w:firstLineChars="500" w:firstLine="1200"/>
        <w:rPr>
          <w:rFonts w:cs="Times New Roman"/>
          <w:sz w:val="24"/>
          <w:szCs w:val="24"/>
        </w:rPr>
      </w:pPr>
      <w:r>
        <w:rPr>
          <w:rFonts w:cs="Times New Roman"/>
          <w:i/>
          <w:sz w:val="24"/>
          <w:szCs w:val="24"/>
        </w:rPr>
        <w:t>F</w:t>
      </w:r>
      <w:r>
        <w:rPr>
          <w:rFonts w:cs="Times New Roman"/>
          <w:i/>
          <w:sz w:val="24"/>
          <w:szCs w:val="24"/>
          <w:vertAlign w:val="subscript"/>
        </w:rPr>
        <w:t>s</w:t>
      </w:r>
      <w:r>
        <w:rPr>
          <w:rFonts w:cs="Times New Roman"/>
          <w:sz w:val="24"/>
          <w:szCs w:val="24"/>
        </w:rPr>
        <w:t>——</w:t>
      </w:r>
      <w:r>
        <w:rPr>
          <w:rFonts w:cs="Times New Roman"/>
          <w:sz w:val="24"/>
          <w:szCs w:val="24"/>
        </w:rPr>
        <w:t>每个视野面积</w:t>
      </w:r>
      <w:r>
        <w:rPr>
          <w:rFonts w:cs="Times New Roman" w:hint="eastAsia"/>
          <w:sz w:val="24"/>
          <w:szCs w:val="24"/>
        </w:rPr>
        <w:t>，</w:t>
      </w:r>
      <w:r>
        <w:rPr>
          <w:rFonts w:cs="Times New Roman"/>
          <w:sz w:val="24"/>
          <w:szCs w:val="24"/>
        </w:rPr>
        <w:t>mm</w:t>
      </w:r>
      <w:r>
        <w:rPr>
          <w:rFonts w:cs="Times New Roman"/>
          <w:sz w:val="24"/>
          <w:szCs w:val="24"/>
          <w:vertAlign w:val="superscript"/>
        </w:rPr>
        <w:t>2</w:t>
      </w:r>
      <w:r>
        <w:rPr>
          <w:rFonts w:cs="Times New Roman"/>
          <w:sz w:val="24"/>
          <w:szCs w:val="24"/>
        </w:rPr>
        <w:t>；</w:t>
      </w:r>
    </w:p>
    <w:p w14:paraId="537C4E14" w14:textId="77777777" w:rsidR="007D1E74" w:rsidRDefault="00A95641">
      <w:pPr>
        <w:spacing w:line="360" w:lineRule="auto"/>
        <w:ind w:firstLineChars="500" w:firstLine="1200"/>
        <w:rPr>
          <w:rFonts w:cs="Times New Roman"/>
          <w:sz w:val="24"/>
          <w:szCs w:val="24"/>
        </w:rPr>
      </w:pPr>
      <w:r>
        <w:rPr>
          <w:rFonts w:cs="Times New Roman"/>
          <w:i/>
          <w:sz w:val="24"/>
          <w:szCs w:val="24"/>
        </w:rPr>
        <w:t>V</w:t>
      </w:r>
      <w:r>
        <w:rPr>
          <w:rFonts w:cs="Times New Roman"/>
          <w:sz w:val="24"/>
          <w:szCs w:val="24"/>
        </w:rPr>
        <w:t>——</w:t>
      </w:r>
      <w:r>
        <w:rPr>
          <w:rFonts w:cs="Times New Roman"/>
          <w:sz w:val="24"/>
          <w:szCs w:val="24"/>
        </w:rPr>
        <w:t>最终浓缩水量</w:t>
      </w:r>
      <w:r>
        <w:rPr>
          <w:rFonts w:cs="Times New Roman" w:hint="eastAsia"/>
          <w:sz w:val="24"/>
          <w:szCs w:val="24"/>
        </w:rPr>
        <w:t>，</w:t>
      </w:r>
      <w:r>
        <w:rPr>
          <w:rFonts w:cs="Times New Roman"/>
          <w:sz w:val="24"/>
          <w:szCs w:val="24"/>
        </w:rPr>
        <w:t>m</w:t>
      </w:r>
      <w:r>
        <w:rPr>
          <w:rFonts w:cs="Times New Roman" w:hint="eastAsia"/>
          <w:sz w:val="24"/>
          <w:szCs w:val="24"/>
        </w:rPr>
        <w:t>L</w:t>
      </w:r>
      <w:r>
        <w:rPr>
          <w:rFonts w:cs="Times New Roman"/>
          <w:sz w:val="24"/>
          <w:szCs w:val="24"/>
        </w:rPr>
        <w:t>；</w:t>
      </w:r>
    </w:p>
    <w:p w14:paraId="62CC27C3" w14:textId="77777777" w:rsidR="007D1E74" w:rsidRDefault="00A95641">
      <w:pPr>
        <w:spacing w:line="360" w:lineRule="auto"/>
        <w:ind w:firstLineChars="500" w:firstLine="1200"/>
        <w:rPr>
          <w:rFonts w:cs="Times New Roman"/>
          <w:sz w:val="24"/>
          <w:szCs w:val="24"/>
        </w:rPr>
      </w:pPr>
      <w:r>
        <w:rPr>
          <w:rFonts w:cs="Times New Roman"/>
          <w:i/>
          <w:sz w:val="24"/>
          <w:szCs w:val="24"/>
        </w:rPr>
        <w:t>v</w:t>
      </w:r>
      <w:r>
        <w:rPr>
          <w:rFonts w:cs="Times New Roman"/>
          <w:sz w:val="24"/>
          <w:szCs w:val="24"/>
        </w:rPr>
        <w:t>——</w:t>
      </w:r>
      <w:r>
        <w:rPr>
          <w:rFonts w:cs="Times New Roman"/>
          <w:sz w:val="24"/>
          <w:szCs w:val="24"/>
        </w:rPr>
        <w:t>计数框容积</w:t>
      </w:r>
      <w:r>
        <w:rPr>
          <w:rFonts w:cs="Times New Roman" w:hint="eastAsia"/>
          <w:sz w:val="24"/>
          <w:szCs w:val="24"/>
        </w:rPr>
        <w:t>，</w:t>
      </w:r>
      <w:r>
        <w:rPr>
          <w:rFonts w:cs="Times New Roman"/>
          <w:sz w:val="24"/>
          <w:szCs w:val="24"/>
        </w:rPr>
        <w:t>m</w:t>
      </w:r>
      <w:r>
        <w:rPr>
          <w:rFonts w:cs="Times New Roman" w:hint="eastAsia"/>
          <w:sz w:val="24"/>
          <w:szCs w:val="24"/>
        </w:rPr>
        <w:t>L</w:t>
      </w:r>
      <w:r>
        <w:rPr>
          <w:rFonts w:cs="Times New Roman"/>
          <w:sz w:val="24"/>
          <w:szCs w:val="24"/>
        </w:rPr>
        <w:t>。</w:t>
      </w:r>
    </w:p>
    <w:p w14:paraId="4D1E3D27" w14:textId="77777777" w:rsidR="007D1E74" w:rsidRDefault="00A95641">
      <w:pPr>
        <w:spacing w:line="360" w:lineRule="auto"/>
        <w:ind w:firstLineChars="200" w:firstLine="480"/>
        <w:rPr>
          <w:sz w:val="24"/>
          <w:szCs w:val="24"/>
        </w:rPr>
      </w:pPr>
      <w:r>
        <w:rPr>
          <w:rFonts w:hint="eastAsia"/>
          <w:sz w:val="24"/>
          <w:szCs w:val="24"/>
        </w:rPr>
        <w:t>生物量的计算，因浮游藻类个体微小，一般是按体积来换算重量，大多数藻类的细胞形状比较规则，可用形状相似的几何体积公式来计算其体积。由于浮游植物大多悬浮于水中生活，其比重接近于所在水体水的比重，即近于</w:t>
      </w:r>
      <w:r>
        <w:rPr>
          <w:rFonts w:hint="eastAsia"/>
          <w:sz w:val="24"/>
          <w:szCs w:val="24"/>
        </w:rPr>
        <w:t>1</w:t>
      </w:r>
      <w:r>
        <w:rPr>
          <w:rFonts w:hint="eastAsia"/>
          <w:sz w:val="24"/>
          <w:szCs w:val="24"/>
        </w:rPr>
        <w:t>，可计算其生物量（</w:t>
      </w:r>
      <w:r>
        <w:rPr>
          <w:rFonts w:hint="eastAsia"/>
          <w:sz w:val="24"/>
          <w:szCs w:val="24"/>
        </w:rPr>
        <w:t>mg/L</w:t>
      </w:r>
      <w:r>
        <w:rPr>
          <w:rFonts w:hint="eastAsia"/>
          <w:sz w:val="24"/>
          <w:szCs w:val="24"/>
        </w:rPr>
        <w:t>）。</w:t>
      </w:r>
    </w:p>
    <w:p w14:paraId="1C1CEECA" w14:textId="77777777" w:rsidR="007D1E74" w:rsidRDefault="00A95641">
      <w:pPr>
        <w:spacing w:line="360" w:lineRule="auto"/>
        <w:ind w:firstLineChars="200" w:firstLine="482"/>
        <w:rPr>
          <w:b/>
          <w:sz w:val="24"/>
          <w:szCs w:val="24"/>
        </w:rPr>
      </w:pPr>
      <w:r>
        <w:rPr>
          <w:b/>
          <w:sz w:val="24"/>
          <w:szCs w:val="24"/>
        </w:rPr>
        <w:t>（</w:t>
      </w:r>
      <w:r>
        <w:rPr>
          <w:b/>
          <w:sz w:val="24"/>
          <w:szCs w:val="24"/>
        </w:rPr>
        <w:t>2</w:t>
      </w:r>
      <w:r>
        <w:rPr>
          <w:rFonts w:hint="eastAsia"/>
          <w:b/>
          <w:sz w:val="24"/>
          <w:szCs w:val="24"/>
        </w:rPr>
        <w:t>）浮游动物调查方法</w:t>
      </w:r>
    </w:p>
    <w:p w14:paraId="1D018B42" w14:textId="77777777" w:rsidR="007D1E74" w:rsidRDefault="00A95641">
      <w:pPr>
        <w:spacing w:line="360" w:lineRule="auto"/>
        <w:ind w:firstLineChars="200" w:firstLine="482"/>
        <w:rPr>
          <w:b/>
          <w:sz w:val="24"/>
          <w:szCs w:val="24"/>
        </w:rPr>
      </w:pPr>
      <w:r>
        <w:rPr>
          <w:rFonts w:hint="eastAsia"/>
          <w:b/>
          <w:sz w:val="24"/>
          <w:szCs w:val="24"/>
        </w:rPr>
        <w:t>①浮游动物定性标本的采集</w:t>
      </w:r>
    </w:p>
    <w:p w14:paraId="5F482E94" w14:textId="77777777" w:rsidR="007D1E74" w:rsidRDefault="00A95641">
      <w:pPr>
        <w:spacing w:line="360" w:lineRule="auto"/>
        <w:ind w:firstLineChars="200" w:firstLine="480"/>
        <w:rPr>
          <w:sz w:val="24"/>
          <w:szCs w:val="24"/>
        </w:rPr>
      </w:pPr>
      <w:r>
        <w:rPr>
          <w:rFonts w:hint="eastAsia"/>
          <w:sz w:val="24"/>
          <w:szCs w:val="24"/>
        </w:rPr>
        <w:t>在各采样点用</w:t>
      </w:r>
      <w:r>
        <w:rPr>
          <w:rFonts w:hint="eastAsia"/>
          <w:sz w:val="24"/>
          <w:szCs w:val="24"/>
        </w:rPr>
        <w:t>25</w:t>
      </w:r>
      <w:r>
        <w:rPr>
          <w:rFonts w:hint="eastAsia"/>
          <w:sz w:val="24"/>
          <w:szCs w:val="24"/>
        </w:rPr>
        <w:t>号浮游生物网采集水样，将采得的水样装入标本瓶，样品用</w:t>
      </w:r>
      <w:r>
        <w:rPr>
          <w:rFonts w:hint="eastAsia"/>
          <w:sz w:val="24"/>
          <w:szCs w:val="24"/>
        </w:rPr>
        <w:t>5%</w:t>
      </w:r>
      <w:r>
        <w:rPr>
          <w:rFonts w:hint="eastAsia"/>
          <w:sz w:val="24"/>
          <w:szCs w:val="24"/>
        </w:rPr>
        <w:t>福尔马林液固定后带回实验室，进行浮游动物种类鉴别，确定水体中浮游动物的优势种。</w:t>
      </w:r>
    </w:p>
    <w:p w14:paraId="6F2FC82B" w14:textId="77777777" w:rsidR="007D1E74" w:rsidRDefault="00A95641">
      <w:pPr>
        <w:spacing w:line="360" w:lineRule="auto"/>
        <w:ind w:firstLineChars="200" w:firstLine="482"/>
        <w:rPr>
          <w:b/>
          <w:sz w:val="24"/>
          <w:szCs w:val="24"/>
        </w:rPr>
      </w:pPr>
      <w:r>
        <w:rPr>
          <w:rFonts w:hint="eastAsia"/>
          <w:b/>
          <w:sz w:val="24"/>
          <w:szCs w:val="24"/>
        </w:rPr>
        <w:t>②浮游动物定量标本的采集</w:t>
      </w:r>
    </w:p>
    <w:p w14:paraId="171F02C0" w14:textId="77777777" w:rsidR="007D1E74" w:rsidRDefault="00A95641">
      <w:pPr>
        <w:spacing w:line="360" w:lineRule="auto"/>
        <w:ind w:firstLineChars="200" w:firstLine="480"/>
        <w:rPr>
          <w:sz w:val="24"/>
          <w:szCs w:val="24"/>
        </w:rPr>
      </w:pPr>
      <w:r>
        <w:rPr>
          <w:rFonts w:hint="eastAsia"/>
          <w:sz w:val="24"/>
          <w:szCs w:val="24"/>
        </w:rPr>
        <w:t>小型浮游动物（原生动物和轮虫类）的定量水样用</w:t>
      </w:r>
      <w:r>
        <w:rPr>
          <w:rFonts w:hint="eastAsia"/>
          <w:sz w:val="24"/>
          <w:szCs w:val="24"/>
        </w:rPr>
        <w:t>2.5L</w:t>
      </w:r>
      <w:r>
        <w:rPr>
          <w:rFonts w:hint="eastAsia"/>
          <w:sz w:val="24"/>
          <w:szCs w:val="24"/>
        </w:rPr>
        <w:t>的有机玻璃采水器在各采样点分别采集</w:t>
      </w:r>
      <w:r>
        <w:rPr>
          <w:rFonts w:hint="eastAsia"/>
          <w:sz w:val="24"/>
          <w:szCs w:val="24"/>
        </w:rPr>
        <w:t>1000mL</w:t>
      </w:r>
      <w:r>
        <w:rPr>
          <w:rFonts w:hint="eastAsia"/>
          <w:sz w:val="24"/>
          <w:szCs w:val="24"/>
        </w:rPr>
        <w:t>水样于大广口瓶中，分别加</w:t>
      </w:r>
      <w:r>
        <w:rPr>
          <w:rFonts w:hint="eastAsia"/>
          <w:sz w:val="24"/>
          <w:szCs w:val="24"/>
        </w:rPr>
        <w:t>5%</w:t>
      </w:r>
      <w:r>
        <w:rPr>
          <w:rFonts w:hint="eastAsia"/>
          <w:sz w:val="24"/>
          <w:szCs w:val="24"/>
        </w:rPr>
        <w:t>福尔马林液固定待检；大型浮游动物（枝角类和桡足类）定量水样用</w:t>
      </w:r>
      <w:r>
        <w:rPr>
          <w:rFonts w:hint="eastAsia"/>
          <w:sz w:val="24"/>
          <w:szCs w:val="24"/>
        </w:rPr>
        <w:t>2.5L</w:t>
      </w:r>
      <w:r>
        <w:rPr>
          <w:rFonts w:hint="eastAsia"/>
          <w:sz w:val="24"/>
          <w:szCs w:val="24"/>
        </w:rPr>
        <w:t>的采水器，采</w:t>
      </w:r>
      <w:r>
        <w:rPr>
          <w:rFonts w:hint="eastAsia"/>
          <w:sz w:val="24"/>
          <w:szCs w:val="24"/>
        </w:rPr>
        <w:t>20L</w:t>
      </w:r>
      <w:r>
        <w:rPr>
          <w:rFonts w:hint="eastAsia"/>
          <w:sz w:val="24"/>
          <w:szCs w:val="24"/>
        </w:rPr>
        <w:t>，并现场用</w:t>
      </w:r>
      <w:r>
        <w:rPr>
          <w:rFonts w:hint="eastAsia"/>
          <w:sz w:val="24"/>
          <w:szCs w:val="24"/>
        </w:rPr>
        <w:t>25</w:t>
      </w:r>
      <w:r>
        <w:rPr>
          <w:rFonts w:hint="eastAsia"/>
          <w:sz w:val="24"/>
          <w:szCs w:val="24"/>
        </w:rPr>
        <w:t>号浮游生物网过滤后，装入</w:t>
      </w:r>
      <w:r>
        <w:rPr>
          <w:rFonts w:hint="eastAsia"/>
          <w:sz w:val="24"/>
          <w:szCs w:val="24"/>
        </w:rPr>
        <w:t>250mL</w:t>
      </w:r>
      <w:r>
        <w:rPr>
          <w:rFonts w:hint="eastAsia"/>
          <w:sz w:val="24"/>
          <w:szCs w:val="24"/>
        </w:rPr>
        <w:t>小广口瓶中，加</w:t>
      </w:r>
      <w:r>
        <w:rPr>
          <w:rFonts w:hint="eastAsia"/>
          <w:sz w:val="24"/>
          <w:szCs w:val="24"/>
        </w:rPr>
        <w:t>5%</w:t>
      </w:r>
      <w:r>
        <w:rPr>
          <w:rFonts w:hint="eastAsia"/>
          <w:sz w:val="24"/>
          <w:szCs w:val="24"/>
        </w:rPr>
        <w:t>甲醛固定待检。</w:t>
      </w:r>
    </w:p>
    <w:p w14:paraId="1BB92D3C" w14:textId="77777777" w:rsidR="007D1E74" w:rsidRDefault="00A95641">
      <w:pPr>
        <w:spacing w:line="360" w:lineRule="auto"/>
        <w:ind w:firstLineChars="200" w:firstLine="482"/>
        <w:rPr>
          <w:b/>
          <w:sz w:val="24"/>
          <w:szCs w:val="24"/>
        </w:rPr>
      </w:pPr>
      <w:r>
        <w:rPr>
          <w:rFonts w:hint="eastAsia"/>
          <w:b/>
          <w:sz w:val="24"/>
          <w:szCs w:val="24"/>
        </w:rPr>
        <w:lastRenderedPageBreak/>
        <w:t>③室内观察与处理</w:t>
      </w:r>
    </w:p>
    <w:p w14:paraId="2A091417" w14:textId="77777777" w:rsidR="007D1E74" w:rsidRDefault="00A95641">
      <w:pPr>
        <w:spacing w:line="360" w:lineRule="auto"/>
        <w:ind w:firstLineChars="200" w:firstLine="480"/>
        <w:rPr>
          <w:sz w:val="24"/>
          <w:szCs w:val="24"/>
        </w:rPr>
      </w:pPr>
      <w:r>
        <w:rPr>
          <w:rFonts w:hint="eastAsia"/>
          <w:sz w:val="24"/>
          <w:szCs w:val="24"/>
        </w:rPr>
        <w:t>将野外采集的水样，静置</w:t>
      </w:r>
      <w:r>
        <w:rPr>
          <w:rFonts w:hint="eastAsia"/>
          <w:sz w:val="24"/>
          <w:szCs w:val="24"/>
        </w:rPr>
        <w:t>48h</w:t>
      </w:r>
      <w:r>
        <w:rPr>
          <w:rFonts w:hint="eastAsia"/>
          <w:sz w:val="24"/>
          <w:szCs w:val="24"/>
        </w:rPr>
        <w:t>，用虹吸法吸去上层清水，小型浮游动物水样浓缩至</w:t>
      </w:r>
      <w:r>
        <w:rPr>
          <w:rFonts w:hint="eastAsia"/>
          <w:sz w:val="24"/>
          <w:szCs w:val="24"/>
        </w:rPr>
        <w:t>30mL</w:t>
      </w:r>
      <w:r>
        <w:rPr>
          <w:rFonts w:hint="eastAsia"/>
          <w:sz w:val="24"/>
          <w:szCs w:val="24"/>
        </w:rPr>
        <w:t>，每样取浓缩液</w:t>
      </w:r>
      <w:r>
        <w:rPr>
          <w:rFonts w:hint="eastAsia"/>
          <w:sz w:val="24"/>
          <w:szCs w:val="24"/>
        </w:rPr>
        <w:t>0.1mL</w:t>
      </w:r>
      <w:r>
        <w:rPr>
          <w:rFonts w:hint="eastAsia"/>
          <w:sz w:val="24"/>
          <w:szCs w:val="24"/>
        </w:rPr>
        <w:t>于</w:t>
      </w:r>
      <w:r>
        <w:rPr>
          <w:rFonts w:hint="eastAsia"/>
          <w:sz w:val="24"/>
          <w:szCs w:val="24"/>
        </w:rPr>
        <w:t>0.1mL</w:t>
      </w:r>
      <w:r>
        <w:rPr>
          <w:rFonts w:hint="eastAsia"/>
          <w:sz w:val="24"/>
          <w:szCs w:val="24"/>
        </w:rPr>
        <w:t>计数框中，在高倍镜下逐行计数全片，每样品计数</w:t>
      </w:r>
      <w:r>
        <w:rPr>
          <w:rFonts w:hint="eastAsia"/>
          <w:sz w:val="24"/>
          <w:szCs w:val="24"/>
        </w:rPr>
        <w:t>10</w:t>
      </w:r>
      <w:r>
        <w:rPr>
          <w:rFonts w:hint="eastAsia"/>
          <w:sz w:val="24"/>
          <w:szCs w:val="24"/>
        </w:rPr>
        <w:t>次，求</w:t>
      </w:r>
      <w:r>
        <w:rPr>
          <w:rFonts w:hint="eastAsia"/>
          <w:sz w:val="24"/>
          <w:szCs w:val="24"/>
        </w:rPr>
        <w:t>10</w:t>
      </w:r>
      <w:r>
        <w:rPr>
          <w:rFonts w:hint="eastAsia"/>
          <w:sz w:val="24"/>
          <w:szCs w:val="24"/>
        </w:rPr>
        <w:t>次计数的平均值。大型浮游动物水样，沉淀浓缩至</w:t>
      </w:r>
      <w:r>
        <w:rPr>
          <w:rFonts w:hint="eastAsia"/>
          <w:sz w:val="24"/>
          <w:szCs w:val="24"/>
        </w:rPr>
        <w:t>10mL</w:t>
      </w:r>
      <w:r>
        <w:rPr>
          <w:rFonts w:hint="eastAsia"/>
          <w:sz w:val="24"/>
          <w:szCs w:val="24"/>
        </w:rPr>
        <w:t>，于</w:t>
      </w:r>
      <w:r>
        <w:rPr>
          <w:rFonts w:hint="eastAsia"/>
          <w:sz w:val="24"/>
          <w:szCs w:val="24"/>
        </w:rPr>
        <w:t>1mL</w:t>
      </w:r>
      <w:r>
        <w:rPr>
          <w:rFonts w:hint="eastAsia"/>
          <w:sz w:val="24"/>
          <w:szCs w:val="24"/>
        </w:rPr>
        <w:t>计数框中，在低倍镜下逐行计数全片，全液镜检，逐一统计浮游动物各种类的个体数量。</w:t>
      </w:r>
    </w:p>
    <w:p w14:paraId="39548029" w14:textId="77777777" w:rsidR="007D1E74" w:rsidRDefault="00A95641">
      <w:pPr>
        <w:spacing w:line="360" w:lineRule="auto"/>
        <w:ind w:firstLineChars="200" w:firstLine="480"/>
        <w:rPr>
          <w:sz w:val="24"/>
          <w:szCs w:val="24"/>
        </w:rPr>
      </w:pPr>
      <w:r>
        <w:rPr>
          <w:rFonts w:hint="eastAsia"/>
          <w:sz w:val="24"/>
          <w:szCs w:val="24"/>
        </w:rPr>
        <w:t>按下式计算每升水样中某种小型浮游动物的数量（个</w:t>
      </w:r>
      <w:r>
        <w:rPr>
          <w:rFonts w:hint="eastAsia"/>
          <w:sz w:val="24"/>
          <w:szCs w:val="24"/>
        </w:rPr>
        <w:t>/</w:t>
      </w:r>
      <w:r>
        <w:rPr>
          <w:rFonts w:hint="eastAsia"/>
          <w:sz w:val="24"/>
          <w:szCs w:val="24"/>
        </w:rPr>
        <w:t>升）：</w:t>
      </w:r>
    </w:p>
    <w:p w14:paraId="79C57B82" w14:textId="77777777" w:rsidR="007D1E74" w:rsidRDefault="00A95641">
      <w:pPr>
        <w:spacing w:line="360" w:lineRule="auto"/>
        <w:jc w:val="center"/>
        <w:rPr>
          <w:sz w:val="24"/>
          <w:szCs w:val="24"/>
        </w:rPr>
      </w:pPr>
      <w:r>
        <w:rPr>
          <w:noProof/>
          <w:sz w:val="24"/>
          <w:szCs w:val="24"/>
        </w:rPr>
        <w:drawing>
          <wp:inline distT="0" distB="0" distL="0" distR="0" wp14:anchorId="296B0A2E" wp14:editId="0A72558A">
            <wp:extent cx="790575" cy="359410"/>
            <wp:effectExtent l="0" t="0" r="0" b="571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a:xfrm>
                      <a:off x="0" y="0"/>
                      <a:ext cx="811221" cy="369147"/>
                    </a:xfrm>
                    <a:prstGeom prst="rect">
                      <a:avLst/>
                    </a:prstGeom>
                    <a:noFill/>
                    <a:ln>
                      <a:noFill/>
                    </a:ln>
                  </pic:spPr>
                </pic:pic>
              </a:graphicData>
            </a:graphic>
          </wp:inline>
        </w:drawing>
      </w:r>
    </w:p>
    <w:p w14:paraId="28202988" w14:textId="77777777" w:rsidR="007D1E74" w:rsidRDefault="00A95641">
      <w:pPr>
        <w:spacing w:line="360" w:lineRule="auto"/>
        <w:ind w:firstLineChars="200" w:firstLine="480"/>
        <w:rPr>
          <w:rFonts w:cs="Times New Roman"/>
          <w:sz w:val="24"/>
          <w:szCs w:val="24"/>
        </w:rPr>
      </w:pPr>
      <w:r>
        <w:rPr>
          <w:rFonts w:cs="Times New Roman"/>
          <w:sz w:val="24"/>
          <w:szCs w:val="24"/>
        </w:rPr>
        <w:t>式中，</w:t>
      </w:r>
      <w:r>
        <w:rPr>
          <w:rFonts w:cs="Times New Roman"/>
          <w:i/>
          <w:sz w:val="24"/>
          <w:szCs w:val="24"/>
        </w:rPr>
        <w:t>P</w:t>
      </w:r>
      <w:r>
        <w:rPr>
          <w:rFonts w:cs="Times New Roman"/>
          <w:i/>
          <w:sz w:val="24"/>
          <w:szCs w:val="24"/>
          <w:vertAlign w:val="subscript"/>
        </w:rPr>
        <w:t>n</w:t>
      </w:r>
      <w:r>
        <w:rPr>
          <w:rFonts w:cs="Times New Roman"/>
          <w:sz w:val="24"/>
          <w:szCs w:val="24"/>
        </w:rPr>
        <w:t>——</w:t>
      </w:r>
      <w:r>
        <w:rPr>
          <w:rFonts w:cs="Times New Roman"/>
          <w:sz w:val="24"/>
          <w:szCs w:val="24"/>
        </w:rPr>
        <w:t>平均每片实际计数的小型浮游动物个数；</w:t>
      </w:r>
    </w:p>
    <w:p w14:paraId="74E61142" w14:textId="77777777" w:rsidR="007D1E74" w:rsidRDefault="00A95641">
      <w:pPr>
        <w:spacing w:line="360" w:lineRule="auto"/>
        <w:ind w:firstLineChars="500" w:firstLine="1200"/>
        <w:rPr>
          <w:rFonts w:cs="Times New Roman"/>
          <w:sz w:val="24"/>
          <w:szCs w:val="24"/>
        </w:rPr>
      </w:pPr>
      <w:r>
        <w:rPr>
          <w:rFonts w:cs="Times New Roman"/>
          <w:i/>
          <w:sz w:val="24"/>
          <w:szCs w:val="24"/>
        </w:rPr>
        <w:t>V</w:t>
      </w:r>
      <w:r>
        <w:rPr>
          <w:rFonts w:cs="Times New Roman"/>
          <w:sz w:val="24"/>
          <w:szCs w:val="24"/>
        </w:rPr>
        <w:t>——</w:t>
      </w:r>
      <w:r>
        <w:rPr>
          <w:rFonts w:cs="Times New Roman"/>
          <w:sz w:val="24"/>
          <w:szCs w:val="24"/>
        </w:rPr>
        <w:t>最终浓缩水量</w:t>
      </w:r>
      <w:r>
        <w:rPr>
          <w:rFonts w:cs="Times New Roman" w:hint="eastAsia"/>
          <w:sz w:val="24"/>
          <w:szCs w:val="24"/>
        </w:rPr>
        <w:t>，</w:t>
      </w:r>
      <w:r>
        <w:rPr>
          <w:rFonts w:cs="Times New Roman"/>
          <w:sz w:val="24"/>
          <w:szCs w:val="24"/>
        </w:rPr>
        <w:t>m</w:t>
      </w:r>
      <w:r>
        <w:rPr>
          <w:rFonts w:cs="Times New Roman" w:hint="eastAsia"/>
          <w:sz w:val="24"/>
          <w:szCs w:val="24"/>
        </w:rPr>
        <w:t>L</w:t>
      </w:r>
      <w:r>
        <w:rPr>
          <w:rFonts w:cs="Times New Roman"/>
          <w:sz w:val="24"/>
          <w:szCs w:val="24"/>
        </w:rPr>
        <w:t>；</w:t>
      </w:r>
    </w:p>
    <w:p w14:paraId="3930FC6D" w14:textId="77777777" w:rsidR="007D1E74" w:rsidRDefault="00A95641">
      <w:pPr>
        <w:spacing w:line="360" w:lineRule="auto"/>
        <w:ind w:firstLineChars="500" w:firstLine="1200"/>
        <w:rPr>
          <w:rFonts w:cs="Times New Roman"/>
          <w:sz w:val="24"/>
          <w:szCs w:val="24"/>
        </w:rPr>
      </w:pPr>
      <w:r>
        <w:rPr>
          <w:rFonts w:cs="Times New Roman"/>
          <w:i/>
          <w:sz w:val="24"/>
          <w:szCs w:val="24"/>
        </w:rPr>
        <w:t>v</w:t>
      </w:r>
      <w:r>
        <w:rPr>
          <w:rFonts w:cs="Times New Roman"/>
          <w:sz w:val="24"/>
          <w:szCs w:val="24"/>
        </w:rPr>
        <w:t>——</w:t>
      </w:r>
      <w:r>
        <w:rPr>
          <w:rFonts w:cs="Times New Roman"/>
          <w:sz w:val="24"/>
          <w:szCs w:val="24"/>
        </w:rPr>
        <w:t>计数框容积</w:t>
      </w:r>
      <w:r>
        <w:rPr>
          <w:rFonts w:cs="Times New Roman" w:hint="eastAsia"/>
          <w:sz w:val="24"/>
          <w:szCs w:val="24"/>
        </w:rPr>
        <w:t>，</w:t>
      </w:r>
      <w:r>
        <w:rPr>
          <w:rFonts w:cs="Times New Roman"/>
          <w:sz w:val="24"/>
          <w:szCs w:val="24"/>
        </w:rPr>
        <w:t>mL</w:t>
      </w:r>
      <w:r>
        <w:rPr>
          <w:rFonts w:cs="Times New Roman"/>
          <w:sz w:val="24"/>
          <w:szCs w:val="24"/>
        </w:rPr>
        <w:t>。</w:t>
      </w:r>
    </w:p>
    <w:p w14:paraId="2750A75C" w14:textId="77777777" w:rsidR="007D1E74" w:rsidRDefault="00A95641">
      <w:pPr>
        <w:spacing w:line="360" w:lineRule="auto"/>
        <w:ind w:firstLineChars="200" w:firstLine="480"/>
        <w:rPr>
          <w:sz w:val="24"/>
          <w:szCs w:val="24"/>
        </w:rPr>
      </w:pPr>
      <w:r>
        <w:rPr>
          <w:rFonts w:hint="eastAsia"/>
          <w:sz w:val="24"/>
          <w:szCs w:val="24"/>
        </w:rPr>
        <w:t>按下式计算每升水样中某种大型浮游动物的数量（个</w:t>
      </w:r>
      <w:r>
        <w:rPr>
          <w:rFonts w:hint="eastAsia"/>
          <w:sz w:val="24"/>
          <w:szCs w:val="24"/>
        </w:rPr>
        <w:t>/</w:t>
      </w:r>
      <w:r>
        <w:rPr>
          <w:rFonts w:hint="eastAsia"/>
          <w:sz w:val="24"/>
          <w:szCs w:val="24"/>
        </w:rPr>
        <w:t>升）：</w:t>
      </w:r>
    </w:p>
    <w:p w14:paraId="5C312C04" w14:textId="77777777" w:rsidR="007D1E74" w:rsidRDefault="00A95641">
      <w:pPr>
        <w:spacing w:line="360" w:lineRule="auto"/>
        <w:jc w:val="center"/>
        <w:rPr>
          <w:sz w:val="24"/>
          <w:szCs w:val="24"/>
        </w:rPr>
      </w:pPr>
      <w:r>
        <w:rPr>
          <w:noProof/>
          <w:sz w:val="24"/>
          <w:szCs w:val="24"/>
        </w:rPr>
        <w:drawing>
          <wp:inline distT="0" distB="0" distL="0" distR="0" wp14:anchorId="5F4845E7" wp14:editId="72AEA6A7">
            <wp:extent cx="571500" cy="363220"/>
            <wp:effectExtent l="0" t="0" r="0" b="254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a:xfrm>
                      <a:off x="0" y="0"/>
                      <a:ext cx="595145" cy="378809"/>
                    </a:xfrm>
                    <a:prstGeom prst="rect">
                      <a:avLst/>
                    </a:prstGeom>
                    <a:noFill/>
                    <a:ln>
                      <a:noFill/>
                    </a:ln>
                  </pic:spPr>
                </pic:pic>
              </a:graphicData>
            </a:graphic>
          </wp:inline>
        </w:drawing>
      </w:r>
    </w:p>
    <w:p w14:paraId="65728D1D" w14:textId="77777777" w:rsidR="007D1E74" w:rsidRDefault="00A95641">
      <w:pPr>
        <w:spacing w:line="360" w:lineRule="auto"/>
        <w:ind w:firstLineChars="200" w:firstLine="480"/>
        <w:rPr>
          <w:rFonts w:cs="Times New Roman"/>
          <w:sz w:val="24"/>
          <w:szCs w:val="24"/>
        </w:rPr>
      </w:pPr>
      <w:r>
        <w:rPr>
          <w:rFonts w:cs="Times New Roman"/>
          <w:sz w:val="24"/>
          <w:szCs w:val="24"/>
        </w:rPr>
        <w:t>式中，</w:t>
      </w:r>
      <w:r>
        <w:rPr>
          <w:rFonts w:cs="Times New Roman"/>
          <w:i/>
          <w:sz w:val="24"/>
          <w:szCs w:val="24"/>
        </w:rPr>
        <w:t>P</w:t>
      </w:r>
      <w:r>
        <w:rPr>
          <w:rFonts w:cs="Times New Roman"/>
          <w:sz w:val="24"/>
          <w:szCs w:val="24"/>
        </w:rPr>
        <w:t>——</w:t>
      </w:r>
      <w:r>
        <w:rPr>
          <w:rFonts w:cs="Times New Roman" w:hint="eastAsia"/>
          <w:sz w:val="24"/>
          <w:szCs w:val="24"/>
        </w:rPr>
        <w:t>计数得到的某种大型浮游动物的总数量</w:t>
      </w:r>
      <w:r>
        <w:rPr>
          <w:rFonts w:cs="Times New Roman"/>
          <w:sz w:val="24"/>
          <w:szCs w:val="24"/>
        </w:rPr>
        <w:t>；</w:t>
      </w:r>
    </w:p>
    <w:p w14:paraId="769C6E71" w14:textId="77777777" w:rsidR="007D1E74" w:rsidRDefault="00A95641">
      <w:pPr>
        <w:spacing w:line="360" w:lineRule="auto"/>
        <w:ind w:firstLineChars="500" w:firstLine="1200"/>
        <w:rPr>
          <w:rFonts w:cs="Times New Roman"/>
          <w:sz w:val="24"/>
          <w:szCs w:val="24"/>
        </w:rPr>
      </w:pPr>
      <w:r>
        <w:rPr>
          <w:rFonts w:cs="Times New Roman"/>
          <w:i/>
          <w:sz w:val="24"/>
          <w:szCs w:val="24"/>
        </w:rPr>
        <w:t>V</w:t>
      </w:r>
      <w:r>
        <w:rPr>
          <w:rFonts w:cs="Times New Roman"/>
          <w:sz w:val="24"/>
          <w:szCs w:val="24"/>
        </w:rPr>
        <w:t>——</w:t>
      </w:r>
      <w:r>
        <w:rPr>
          <w:rFonts w:cs="Times New Roman" w:hint="eastAsia"/>
          <w:sz w:val="24"/>
          <w:szCs w:val="24"/>
        </w:rPr>
        <w:t>采水量，</w:t>
      </w:r>
      <w:r>
        <w:rPr>
          <w:rFonts w:cs="Times New Roman" w:hint="eastAsia"/>
          <w:sz w:val="24"/>
          <w:szCs w:val="24"/>
        </w:rPr>
        <w:t>L</w:t>
      </w:r>
      <w:r>
        <w:rPr>
          <w:rFonts w:cs="Times New Roman"/>
          <w:sz w:val="24"/>
          <w:szCs w:val="24"/>
        </w:rPr>
        <w:t>。</w:t>
      </w:r>
    </w:p>
    <w:p w14:paraId="6A45EE3E" w14:textId="77777777" w:rsidR="007D1E74" w:rsidRDefault="00A95641">
      <w:pPr>
        <w:spacing w:line="360" w:lineRule="auto"/>
        <w:ind w:firstLineChars="200" w:firstLine="480"/>
        <w:rPr>
          <w:sz w:val="24"/>
          <w:szCs w:val="24"/>
        </w:rPr>
      </w:pPr>
      <w:r>
        <w:rPr>
          <w:rFonts w:hint="eastAsia"/>
          <w:sz w:val="24"/>
          <w:szCs w:val="24"/>
        </w:rPr>
        <w:t>根据每升水中浮游动物的数量，再乘以个体平均湿重，即得某种浮游动物的生物量（</w:t>
      </w:r>
      <w:r>
        <w:rPr>
          <w:rFonts w:hint="eastAsia"/>
          <w:sz w:val="24"/>
          <w:szCs w:val="24"/>
        </w:rPr>
        <w:t>mg/L</w:t>
      </w:r>
      <w:r>
        <w:rPr>
          <w:rFonts w:hint="eastAsia"/>
          <w:sz w:val="24"/>
          <w:szCs w:val="24"/>
        </w:rPr>
        <w:t>）。</w:t>
      </w:r>
    </w:p>
    <w:p w14:paraId="17D1B0D8" w14:textId="77777777" w:rsidR="007D1E74" w:rsidRDefault="00A95641">
      <w:pPr>
        <w:spacing w:line="360" w:lineRule="auto"/>
        <w:ind w:firstLineChars="200" w:firstLine="482"/>
        <w:rPr>
          <w:b/>
          <w:sz w:val="24"/>
          <w:szCs w:val="24"/>
        </w:rPr>
      </w:pPr>
      <w:r>
        <w:rPr>
          <w:b/>
          <w:sz w:val="24"/>
          <w:szCs w:val="24"/>
        </w:rPr>
        <w:t>（</w:t>
      </w:r>
      <w:r>
        <w:rPr>
          <w:b/>
          <w:sz w:val="24"/>
          <w:szCs w:val="24"/>
        </w:rPr>
        <w:t>3</w:t>
      </w:r>
      <w:r>
        <w:rPr>
          <w:rFonts w:hint="eastAsia"/>
          <w:b/>
          <w:sz w:val="24"/>
          <w:szCs w:val="24"/>
        </w:rPr>
        <w:t>）水生维管束植物调查方法</w:t>
      </w:r>
    </w:p>
    <w:p w14:paraId="627A0CA8" w14:textId="77777777" w:rsidR="007D1E74" w:rsidRDefault="00A95641">
      <w:pPr>
        <w:spacing w:line="360" w:lineRule="auto"/>
        <w:ind w:firstLineChars="200" w:firstLine="480"/>
        <w:rPr>
          <w:sz w:val="24"/>
          <w:szCs w:val="24"/>
        </w:rPr>
      </w:pPr>
      <w:r>
        <w:rPr>
          <w:rFonts w:hint="eastAsia"/>
          <w:sz w:val="24"/>
          <w:szCs w:val="24"/>
        </w:rPr>
        <w:t>本次仅对水生维管束植物作了定性调查，未分采样点，在水生维管束植物集中分布区，采集水深</w:t>
      </w:r>
      <w:r>
        <w:rPr>
          <w:rFonts w:hint="eastAsia"/>
          <w:sz w:val="24"/>
          <w:szCs w:val="24"/>
        </w:rPr>
        <w:t>2m</w:t>
      </w:r>
      <w:r>
        <w:rPr>
          <w:rFonts w:hint="eastAsia"/>
          <w:sz w:val="24"/>
          <w:szCs w:val="24"/>
        </w:rPr>
        <w:t>内的物种及优势种，生长在岸边的挺水植物和漂浮植物直接用手采集。浮叶植物和沉水植物则用钉耙将它们连根拔起，选择完整的植株，滴去表面水分，夹入植物标本夹内压干，制成腊叶标本，带回实验室鉴定保存。标本按《中国水生高等植物图说》和《中国水生维管植物图谱》进行鉴定。</w:t>
      </w:r>
    </w:p>
    <w:p w14:paraId="7F448017" w14:textId="77777777" w:rsidR="007D1E74" w:rsidRDefault="00A95641">
      <w:pPr>
        <w:spacing w:line="360" w:lineRule="auto"/>
        <w:ind w:firstLineChars="200" w:firstLine="482"/>
        <w:rPr>
          <w:b/>
          <w:sz w:val="24"/>
          <w:szCs w:val="24"/>
        </w:rPr>
      </w:pPr>
      <w:r>
        <w:rPr>
          <w:b/>
          <w:sz w:val="24"/>
          <w:szCs w:val="24"/>
        </w:rPr>
        <w:t>（</w:t>
      </w:r>
      <w:r>
        <w:rPr>
          <w:b/>
          <w:sz w:val="24"/>
          <w:szCs w:val="24"/>
        </w:rPr>
        <w:t>4</w:t>
      </w:r>
      <w:r>
        <w:rPr>
          <w:rFonts w:hint="eastAsia"/>
          <w:b/>
          <w:sz w:val="24"/>
          <w:szCs w:val="24"/>
        </w:rPr>
        <w:t>）底栖动物调查方法</w:t>
      </w:r>
    </w:p>
    <w:p w14:paraId="01F2E440" w14:textId="77777777" w:rsidR="007D1E74" w:rsidRDefault="00A95641">
      <w:pPr>
        <w:spacing w:line="360" w:lineRule="auto"/>
        <w:ind w:firstLineChars="200" w:firstLine="480"/>
        <w:rPr>
          <w:sz w:val="24"/>
          <w:szCs w:val="24"/>
        </w:rPr>
      </w:pPr>
      <w:r>
        <w:rPr>
          <w:rFonts w:hint="eastAsia"/>
          <w:sz w:val="24"/>
          <w:szCs w:val="24"/>
        </w:rPr>
        <w:t>在采样点附近选取具有代表性的河滩，选取</w:t>
      </w:r>
      <w:r>
        <w:rPr>
          <w:rFonts w:hint="eastAsia"/>
          <w:sz w:val="24"/>
          <w:szCs w:val="24"/>
        </w:rPr>
        <w:t>1m</w:t>
      </w:r>
      <w:r>
        <w:rPr>
          <w:rFonts w:hint="eastAsia"/>
          <w:sz w:val="24"/>
          <w:szCs w:val="24"/>
          <w:vertAlign w:val="superscript"/>
        </w:rPr>
        <w:t>2</w:t>
      </w:r>
      <w:r>
        <w:rPr>
          <w:rFonts w:hint="eastAsia"/>
          <w:sz w:val="24"/>
          <w:szCs w:val="24"/>
        </w:rPr>
        <w:t>，将此</w:t>
      </w:r>
      <w:r>
        <w:rPr>
          <w:rFonts w:hint="eastAsia"/>
          <w:sz w:val="24"/>
          <w:szCs w:val="24"/>
        </w:rPr>
        <w:t>1m</w:t>
      </w:r>
      <w:r>
        <w:rPr>
          <w:rFonts w:hint="eastAsia"/>
          <w:sz w:val="24"/>
          <w:szCs w:val="24"/>
          <w:vertAlign w:val="superscript"/>
        </w:rPr>
        <w:t>2</w:t>
      </w:r>
      <w:r>
        <w:rPr>
          <w:rFonts w:hint="eastAsia"/>
          <w:sz w:val="24"/>
          <w:szCs w:val="24"/>
        </w:rPr>
        <w:t>内之石块捡出，用镊子夹取各种附着在石上的底栖动物，若底质为砂或泥则需用铁铲铲出泥沙，用</w:t>
      </w:r>
      <w:r>
        <w:rPr>
          <w:rFonts w:hint="eastAsia"/>
          <w:sz w:val="24"/>
          <w:szCs w:val="24"/>
        </w:rPr>
        <w:t>40</w:t>
      </w:r>
      <w:r>
        <w:rPr>
          <w:rFonts w:hint="eastAsia"/>
          <w:sz w:val="24"/>
          <w:szCs w:val="24"/>
        </w:rPr>
        <w:t>目分样筛小心淘洗和筛取出各类标本（如蛭、水蚯蚓或摇蚊幼虫等），放入编号瓶中用</w:t>
      </w:r>
      <w:r>
        <w:rPr>
          <w:rFonts w:hint="eastAsia"/>
          <w:sz w:val="24"/>
          <w:szCs w:val="24"/>
        </w:rPr>
        <w:t>5%</w:t>
      </w:r>
      <w:r>
        <w:rPr>
          <w:rFonts w:hint="eastAsia"/>
          <w:sz w:val="24"/>
          <w:szCs w:val="24"/>
        </w:rPr>
        <w:t>甲醛溶液固定保存。</w:t>
      </w:r>
    </w:p>
    <w:p w14:paraId="5E2B2252" w14:textId="77777777" w:rsidR="007D1E74" w:rsidRDefault="00A95641">
      <w:pPr>
        <w:spacing w:line="360" w:lineRule="auto"/>
        <w:ind w:firstLineChars="200" w:firstLine="480"/>
        <w:rPr>
          <w:sz w:val="24"/>
          <w:szCs w:val="24"/>
        </w:rPr>
      </w:pPr>
      <w:r>
        <w:rPr>
          <w:rFonts w:hint="eastAsia"/>
          <w:sz w:val="24"/>
          <w:szCs w:val="24"/>
        </w:rPr>
        <w:t>将每个断面采集的底栖动物样品，按采集编号逐号进行整理，所采标本鉴定到属或种，再分种逐一进行种类数量统计，继用电子天平称重，称重前需将标本放到吸水纸上，</w:t>
      </w:r>
      <w:r>
        <w:rPr>
          <w:rFonts w:hint="eastAsia"/>
          <w:sz w:val="24"/>
          <w:szCs w:val="24"/>
        </w:rPr>
        <w:lastRenderedPageBreak/>
        <w:t>吸去虫体表面的水份，称出每种的湿重量，再换算成以平方米为单位的种类密度及生物量（湿重量）。</w:t>
      </w:r>
    </w:p>
    <w:p w14:paraId="37D0910A" w14:textId="77777777" w:rsidR="007D1E74" w:rsidRDefault="00A95641">
      <w:pPr>
        <w:spacing w:line="360" w:lineRule="auto"/>
        <w:ind w:firstLineChars="200" w:firstLine="482"/>
        <w:rPr>
          <w:b/>
          <w:sz w:val="24"/>
          <w:szCs w:val="24"/>
        </w:rPr>
      </w:pPr>
      <w:r>
        <w:rPr>
          <w:b/>
          <w:sz w:val="24"/>
          <w:szCs w:val="24"/>
        </w:rPr>
        <w:t>（</w:t>
      </w:r>
      <w:r>
        <w:rPr>
          <w:b/>
          <w:sz w:val="24"/>
          <w:szCs w:val="24"/>
        </w:rPr>
        <w:t>5</w:t>
      </w:r>
      <w:r>
        <w:rPr>
          <w:rFonts w:hint="eastAsia"/>
          <w:b/>
          <w:sz w:val="24"/>
          <w:szCs w:val="24"/>
        </w:rPr>
        <w:t>）鱼类资源调查方法与内容</w:t>
      </w:r>
    </w:p>
    <w:p w14:paraId="5758F0AB" w14:textId="77777777" w:rsidR="007D1E74" w:rsidRDefault="00A95641">
      <w:pPr>
        <w:spacing w:line="360" w:lineRule="auto"/>
        <w:ind w:firstLineChars="200" w:firstLine="482"/>
        <w:rPr>
          <w:b/>
          <w:sz w:val="24"/>
          <w:szCs w:val="24"/>
        </w:rPr>
      </w:pPr>
      <w:r>
        <w:rPr>
          <w:rFonts w:hint="eastAsia"/>
          <w:b/>
          <w:sz w:val="24"/>
          <w:szCs w:val="24"/>
        </w:rPr>
        <w:t>①调查时间和范围</w:t>
      </w:r>
    </w:p>
    <w:p w14:paraId="0A15A744" w14:textId="77777777" w:rsidR="007D1E74" w:rsidRDefault="00A95641">
      <w:pPr>
        <w:spacing w:line="360" w:lineRule="auto"/>
        <w:ind w:firstLineChars="200" w:firstLine="480"/>
        <w:rPr>
          <w:sz w:val="24"/>
          <w:szCs w:val="24"/>
        </w:rPr>
      </w:pPr>
      <w:r>
        <w:rPr>
          <w:rFonts w:hint="eastAsia"/>
          <w:sz w:val="24"/>
          <w:szCs w:val="24"/>
        </w:rPr>
        <w:t>2021</w:t>
      </w:r>
      <w:r>
        <w:rPr>
          <w:rFonts w:hint="eastAsia"/>
          <w:sz w:val="24"/>
          <w:szCs w:val="24"/>
        </w:rPr>
        <w:t>年</w:t>
      </w:r>
      <w:r>
        <w:rPr>
          <w:rFonts w:hint="eastAsia"/>
          <w:sz w:val="24"/>
          <w:szCs w:val="24"/>
        </w:rPr>
        <w:t>11</w:t>
      </w:r>
      <w:r>
        <w:rPr>
          <w:rFonts w:hint="eastAsia"/>
          <w:sz w:val="24"/>
          <w:szCs w:val="24"/>
        </w:rPr>
        <w:t>月，项目编制单位在针对工程影响水域开展了水生生物的专项调查，本次调查的范围为小通江河板桥口镇至涪阳镇约</w:t>
      </w:r>
      <w:r>
        <w:rPr>
          <w:rFonts w:hint="eastAsia"/>
          <w:sz w:val="24"/>
          <w:szCs w:val="24"/>
        </w:rPr>
        <w:t>25km</w:t>
      </w:r>
      <w:r>
        <w:rPr>
          <w:rFonts w:hint="eastAsia"/>
          <w:sz w:val="24"/>
          <w:szCs w:val="24"/>
        </w:rPr>
        <w:t>河段。</w:t>
      </w:r>
    </w:p>
    <w:p w14:paraId="7BBE98B1" w14:textId="77777777" w:rsidR="007D1E74" w:rsidRDefault="00A95641">
      <w:pPr>
        <w:spacing w:line="360" w:lineRule="auto"/>
        <w:ind w:firstLineChars="200" w:firstLine="482"/>
        <w:rPr>
          <w:b/>
          <w:sz w:val="24"/>
          <w:szCs w:val="24"/>
        </w:rPr>
      </w:pPr>
      <w:r>
        <w:rPr>
          <w:rFonts w:hint="eastAsia"/>
          <w:b/>
          <w:sz w:val="24"/>
          <w:szCs w:val="24"/>
        </w:rPr>
        <w:t>②调查方法</w:t>
      </w:r>
    </w:p>
    <w:p w14:paraId="59F4B8F5" w14:textId="77777777" w:rsidR="007D1E74" w:rsidRDefault="00A95641">
      <w:pPr>
        <w:spacing w:line="360" w:lineRule="auto"/>
        <w:ind w:firstLineChars="200" w:firstLine="480"/>
        <w:rPr>
          <w:sz w:val="24"/>
          <w:szCs w:val="24"/>
        </w:rPr>
      </w:pPr>
      <w:r>
        <w:rPr>
          <w:rFonts w:hint="eastAsia"/>
          <w:sz w:val="24"/>
          <w:szCs w:val="24"/>
        </w:rPr>
        <w:t>主要依照《内陆水域渔业自然资源调查手册》、《生物多样性观测技术导则</w:t>
      </w:r>
      <w:r>
        <w:rPr>
          <w:rFonts w:hint="eastAsia"/>
          <w:sz w:val="24"/>
          <w:szCs w:val="24"/>
        </w:rPr>
        <w:t xml:space="preserve"> </w:t>
      </w:r>
      <w:r>
        <w:rPr>
          <w:rFonts w:hint="eastAsia"/>
          <w:sz w:val="24"/>
          <w:szCs w:val="24"/>
        </w:rPr>
        <w:t>内陆水域鱼类》等规范进行。全面收集鱼类样本，利用地笼、刺网等渔具，采集鱼类标本，依据水流条件，或流动或定置。对所有渔获物都进行种类鉴定和主要生物学测量。此外还对沿河居民进行了鱼类资源访问调查。</w:t>
      </w:r>
    </w:p>
    <w:p w14:paraId="1C68762F" w14:textId="77777777" w:rsidR="007D1E74" w:rsidRDefault="00A95641">
      <w:pPr>
        <w:spacing w:line="360" w:lineRule="auto"/>
        <w:ind w:firstLineChars="200" w:firstLine="480"/>
        <w:rPr>
          <w:sz w:val="24"/>
          <w:szCs w:val="24"/>
        </w:rPr>
      </w:pPr>
      <w:r>
        <w:rPr>
          <w:rFonts w:hint="eastAsia"/>
          <w:sz w:val="24"/>
          <w:szCs w:val="24"/>
        </w:rPr>
        <w:t>在调查期间、根据调查需要还收集了相关资料、做好记录。利用鱼类形态特征并辅以其它特征对鱼类进行分类鉴定，按</w:t>
      </w:r>
      <w:r>
        <w:rPr>
          <w:rFonts w:hint="eastAsia"/>
          <w:sz w:val="24"/>
          <w:szCs w:val="24"/>
        </w:rPr>
        <w:t>Rass</w:t>
      </w:r>
      <w:r>
        <w:rPr>
          <w:rFonts w:hint="eastAsia"/>
          <w:sz w:val="24"/>
          <w:szCs w:val="24"/>
        </w:rPr>
        <w:t>分类系统方法对资料的分析整理，编制出鱼类种类组成名录。对渔获物进行统计分析，按鱼类形态学测量标准进行测定和计数；采集的渔获物，现场统计其体长和体重等常规生物学测量，除不能现场鉴定的种类保存部分标本作室内分析鉴定，其余采集鱼类经消毒处理后放回捕捞水域。国家级保护鱼类不保存标本，现场鉴定后经消毒处理迅速放回捕捞水域。每种鱼类保存标本不超过</w:t>
      </w:r>
      <w:r>
        <w:rPr>
          <w:rFonts w:hint="eastAsia"/>
          <w:sz w:val="24"/>
          <w:szCs w:val="24"/>
        </w:rPr>
        <w:t>5</w:t>
      </w:r>
      <w:r>
        <w:rPr>
          <w:rFonts w:hint="eastAsia"/>
          <w:sz w:val="24"/>
          <w:szCs w:val="24"/>
        </w:rPr>
        <w:t>尾（国家级保护鱼类不保留标本）。并沿调查河段对鱼类的产卵场、索饵场和越冬场进行实地考察。调查期间，对收集到的标本及重要生境等拍摄照片进行记录。</w:t>
      </w:r>
    </w:p>
    <w:p w14:paraId="6E8AA11E" w14:textId="77777777" w:rsidR="007D1E74" w:rsidRDefault="00A95641">
      <w:pPr>
        <w:spacing w:line="360" w:lineRule="auto"/>
        <w:ind w:firstLineChars="200" w:firstLine="482"/>
        <w:rPr>
          <w:b/>
          <w:sz w:val="24"/>
          <w:szCs w:val="24"/>
        </w:rPr>
      </w:pPr>
      <w:r>
        <w:rPr>
          <w:rFonts w:hint="eastAsia"/>
          <w:b/>
          <w:sz w:val="24"/>
          <w:szCs w:val="24"/>
        </w:rPr>
        <w:t>③调查内容</w:t>
      </w:r>
    </w:p>
    <w:p w14:paraId="5753F701" w14:textId="77777777" w:rsidR="007D1E74" w:rsidRDefault="00A95641">
      <w:pPr>
        <w:spacing w:line="360" w:lineRule="auto"/>
        <w:ind w:firstLineChars="200" w:firstLine="480"/>
        <w:rPr>
          <w:sz w:val="24"/>
          <w:szCs w:val="24"/>
        </w:rPr>
      </w:pPr>
      <w:r>
        <w:rPr>
          <w:rFonts w:hint="eastAsia"/>
          <w:sz w:val="24"/>
          <w:szCs w:val="24"/>
        </w:rPr>
        <w:t>调查内容主要包括：鱼类种类组成及特点、渔获物组成、不同生态类型鱼类对环境适应性；产卵场、索饵场和越冬场的现状和分布；国家级、四川省级保护鱼类分布、生物学特征等。调查方法，都严格按照《内陆水域渔业自然资源调查手册》进行。</w:t>
      </w:r>
    </w:p>
    <w:p w14:paraId="4B37CBFC" w14:textId="77777777" w:rsidR="007D1E74" w:rsidRDefault="00A95641">
      <w:pPr>
        <w:spacing w:line="360" w:lineRule="auto"/>
        <w:ind w:firstLineChars="200" w:firstLine="482"/>
        <w:rPr>
          <w:b/>
          <w:sz w:val="24"/>
          <w:szCs w:val="24"/>
        </w:rPr>
      </w:pPr>
      <w:r>
        <w:rPr>
          <w:rFonts w:hint="eastAsia"/>
          <w:b/>
          <w:sz w:val="24"/>
          <w:szCs w:val="24"/>
        </w:rPr>
        <w:t>a</w:t>
      </w:r>
      <w:r>
        <w:rPr>
          <w:b/>
          <w:sz w:val="24"/>
          <w:szCs w:val="24"/>
        </w:rPr>
        <w:t>.</w:t>
      </w:r>
      <w:r>
        <w:rPr>
          <w:rFonts w:hint="eastAsia"/>
          <w:b/>
          <w:sz w:val="24"/>
          <w:szCs w:val="24"/>
        </w:rPr>
        <w:t>鱼类区系调查</w:t>
      </w:r>
    </w:p>
    <w:p w14:paraId="36996E98" w14:textId="77777777" w:rsidR="007D1E74" w:rsidRDefault="00A95641">
      <w:pPr>
        <w:spacing w:line="360" w:lineRule="auto"/>
        <w:ind w:firstLineChars="200" w:firstLine="480"/>
        <w:rPr>
          <w:sz w:val="24"/>
          <w:szCs w:val="24"/>
        </w:rPr>
      </w:pPr>
      <w:r>
        <w:rPr>
          <w:rFonts w:hint="eastAsia"/>
          <w:sz w:val="24"/>
          <w:szCs w:val="24"/>
        </w:rPr>
        <w:t>鱼类区系调查是属于鱼类种类定性的研究，其目的是为了查清影响区域所有的各种鱼类（不论个体大小，不管经济价值如何），因此在进行鱼类标本采集时力求采集全所有鱼类的标本并搜集有关的历史文献资料。依据《中国鲤科鱼类志》、《中国鱼类系统检索表》和《四川鱼类志》（丁瑞华，</w:t>
      </w:r>
      <w:r>
        <w:rPr>
          <w:rFonts w:hint="eastAsia"/>
          <w:sz w:val="24"/>
          <w:szCs w:val="24"/>
        </w:rPr>
        <w:t>1994</w:t>
      </w:r>
      <w:r>
        <w:rPr>
          <w:rFonts w:hint="eastAsia"/>
          <w:sz w:val="24"/>
          <w:szCs w:val="24"/>
        </w:rPr>
        <w:t>）对标本进行分类鉴定。结合资料分析，整理出调查江段鱼类种类组成名录。</w:t>
      </w:r>
    </w:p>
    <w:p w14:paraId="37349436" w14:textId="77777777" w:rsidR="007D1E74" w:rsidRDefault="00A95641">
      <w:pPr>
        <w:spacing w:line="360" w:lineRule="auto"/>
        <w:ind w:firstLineChars="200" w:firstLine="482"/>
        <w:rPr>
          <w:b/>
          <w:sz w:val="24"/>
          <w:szCs w:val="24"/>
        </w:rPr>
      </w:pPr>
      <w:r>
        <w:rPr>
          <w:rFonts w:hint="eastAsia"/>
          <w:b/>
          <w:sz w:val="24"/>
          <w:szCs w:val="24"/>
        </w:rPr>
        <w:lastRenderedPageBreak/>
        <w:t>b</w:t>
      </w:r>
      <w:r>
        <w:rPr>
          <w:b/>
          <w:sz w:val="24"/>
          <w:szCs w:val="24"/>
        </w:rPr>
        <w:t>.</w:t>
      </w:r>
      <w:r>
        <w:rPr>
          <w:rFonts w:hint="eastAsia"/>
          <w:b/>
          <w:sz w:val="24"/>
          <w:szCs w:val="24"/>
        </w:rPr>
        <w:t>鱼类的特殊生态环境调查</w:t>
      </w:r>
    </w:p>
    <w:p w14:paraId="7726B108" w14:textId="77777777" w:rsidR="007D1E74" w:rsidRDefault="00A95641">
      <w:pPr>
        <w:spacing w:line="360" w:lineRule="auto"/>
        <w:ind w:firstLineChars="200" w:firstLine="480"/>
        <w:rPr>
          <w:sz w:val="24"/>
          <w:szCs w:val="24"/>
        </w:rPr>
      </w:pPr>
      <w:r>
        <w:rPr>
          <w:rFonts w:hint="eastAsia"/>
          <w:sz w:val="24"/>
          <w:szCs w:val="24"/>
        </w:rPr>
        <w:t>是对主要经济鱼类的产卵场、越冬场、以及鱼类不同发育阶段的肥育场等的环境条件、状况特点的调查。其中调查产卵场、越冬场、稚幼鱼的肥育场调查，主要是调查产卵场、越冬场、稚幼鱼的肥育场特点，水域分布位置、面积、范围大小及其环境状况，鱼类在其中的活动及徊游规律的调查。在调查时，记述上述场所的水位、深度、水文、透明度、含氧量、流速及底质等情况。调查上述场所的鱼类饵料生物组成及其季节变化状况。对产粘性卵的鱼类产卵场，主要是注意产卵附着物（水草等）；对产沉性卵的鱼类产卵场，注意底质等的调查。</w:t>
      </w:r>
    </w:p>
    <w:p w14:paraId="226282CF" w14:textId="77777777" w:rsidR="007D1E74" w:rsidRDefault="00A95641">
      <w:pPr>
        <w:pStyle w:val="aa"/>
      </w:pPr>
      <w:r>
        <w:rPr>
          <w:rFonts w:hint="eastAsia"/>
        </w:rPr>
        <w:t>水生生态环境现状评价</w:t>
      </w:r>
    </w:p>
    <w:p w14:paraId="3840FF44" w14:textId="77777777" w:rsidR="007D1E74" w:rsidRDefault="00A95641">
      <w:pPr>
        <w:pStyle w:val="afffff7"/>
        <w:ind w:firstLine="482"/>
      </w:pPr>
      <w:r>
        <w:rPr>
          <w:rFonts w:hint="eastAsia"/>
        </w:rPr>
        <w:t>1</w:t>
      </w:r>
      <w:r>
        <w:rPr>
          <w:rFonts w:hint="eastAsia"/>
        </w:rPr>
        <w:t>、浮游植物调查结果</w:t>
      </w:r>
    </w:p>
    <w:p w14:paraId="308D92CB" w14:textId="77777777" w:rsidR="007D1E74" w:rsidRDefault="00A95641">
      <w:pPr>
        <w:spacing w:line="360" w:lineRule="auto"/>
        <w:ind w:firstLineChars="200" w:firstLine="482"/>
        <w:rPr>
          <w:b/>
          <w:sz w:val="24"/>
          <w:szCs w:val="24"/>
        </w:rPr>
      </w:pPr>
      <w:r>
        <w:rPr>
          <w:rFonts w:hint="eastAsia"/>
          <w:b/>
          <w:sz w:val="24"/>
          <w:szCs w:val="24"/>
        </w:rPr>
        <w:t>（</w:t>
      </w:r>
      <w:r>
        <w:rPr>
          <w:rFonts w:hint="eastAsia"/>
          <w:b/>
          <w:sz w:val="24"/>
          <w:szCs w:val="24"/>
        </w:rPr>
        <w:t>1</w:t>
      </w:r>
      <w:r>
        <w:rPr>
          <w:rFonts w:hint="eastAsia"/>
          <w:b/>
          <w:sz w:val="24"/>
          <w:szCs w:val="24"/>
        </w:rPr>
        <w:t>）浮游植物的种类组成</w:t>
      </w:r>
    </w:p>
    <w:p w14:paraId="42454D56" w14:textId="77777777" w:rsidR="007D1E74" w:rsidRDefault="00A95641">
      <w:pPr>
        <w:spacing w:line="360" w:lineRule="auto"/>
        <w:ind w:firstLineChars="200" w:firstLine="480"/>
        <w:rPr>
          <w:sz w:val="24"/>
          <w:szCs w:val="24"/>
        </w:rPr>
      </w:pPr>
      <w:r>
        <w:rPr>
          <w:rFonts w:hint="eastAsia"/>
          <w:sz w:val="24"/>
          <w:szCs w:val="24"/>
        </w:rPr>
        <w:t>浮游植物是水体初级生产力最主要的组成部分，是食物链和营养结构的基础环节；也是鱼苗和部分成鱼的天然饵料。有些藻类可以直接用作环境监测的指示生物，而且相对于理化条件而言，其密度、生物量、种类组成和多样性能更好地反映出水体的营养水平。</w:t>
      </w:r>
    </w:p>
    <w:p w14:paraId="77B4C30A" w14:textId="77777777" w:rsidR="007D1E74" w:rsidRDefault="00A95641">
      <w:pPr>
        <w:spacing w:line="360" w:lineRule="auto"/>
        <w:ind w:firstLineChars="200" w:firstLine="480"/>
        <w:rPr>
          <w:sz w:val="24"/>
          <w:szCs w:val="24"/>
        </w:rPr>
      </w:pPr>
      <w:r>
        <w:rPr>
          <w:rFonts w:hint="eastAsia"/>
          <w:sz w:val="24"/>
          <w:szCs w:val="24"/>
        </w:rPr>
        <w:t>通过对</w:t>
      </w:r>
      <w:r>
        <w:rPr>
          <w:rFonts w:hint="eastAsia"/>
          <w:sz w:val="24"/>
          <w:szCs w:val="24"/>
        </w:rPr>
        <w:t>4</w:t>
      </w:r>
      <w:r>
        <w:rPr>
          <w:rFonts w:hint="eastAsia"/>
          <w:sz w:val="24"/>
          <w:szCs w:val="24"/>
        </w:rPr>
        <w:t>个采样点的水样检测，共观察到浮游植物</w:t>
      </w:r>
      <w:r>
        <w:rPr>
          <w:rFonts w:hint="eastAsia"/>
          <w:sz w:val="24"/>
          <w:szCs w:val="24"/>
        </w:rPr>
        <w:t>6</w:t>
      </w:r>
      <w:r>
        <w:rPr>
          <w:rFonts w:hint="eastAsia"/>
          <w:sz w:val="24"/>
          <w:szCs w:val="24"/>
        </w:rPr>
        <w:t>门</w:t>
      </w:r>
      <w:r>
        <w:rPr>
          <w:rFonts w:hint="eastAsia"/>
          <w:sz w:val="24"/>
          <w:szCs w:val="24"/>
        </w:rPr>
        <w:t>20</w:t>
      </w:r>
      <w:r>
        <w:rPr>
          <w:rFonts w:hint="eastAsia"/>
          <w:sz w:val="24"/>
          <w:szCs w:val="24"/>
        </w:rPr>
        <w:t>科</w:t>
      </w:r>
      <w:r>
        <w:rPr>
          <w:rFonts w:hint="eastAsia"/>
          <w:sz w:val="24"/>
          <w:szCs w:val="24"/>
        </w:rPr>
        <w:t>27</w:t>
      </w:r>
      <w:r>
        <w:rPr>
          <w:rFonts w:hint="eastAsia"/>
          <w:sz w:val="24"/>
          <w:szCs w:val="24"/>
        </w:rPr>
        <w:t>属</w:t>
      </w:r>
      <w:r>
        <w:rPr>
          <w:rFonts w:hint="eastAsia"/>
          <w:sz w:val="24"/>
          <w:szCs w:val="24"/>
        </w:rPr>
        <w:t>54</w:t>
      </w:r>
      <w:r>
        <w:rPr>
          <w:rFonts w:hint="eastAsia"/>
          <w:sz w:val="24"/>
          <w:szCs w:val="24"/>
        </w:rPr>
        <w:t>种（包括变种），以硅藻门为主要类群，优势种类为舟形藻、和桥弯藻等。</w:t>
      </w:r>
    </w:p>
    <w:p w14:paraId="6CAB5EED" w14:textId="77777777" w:rsidR="007D1E74" w:rsidRDefault="00A95641">
      <w:pPr>
        <w:pStyle w:val="afffffe"/>
        <w:numPr>
          <w:ilvl w:val="0"/>
          <w:numId w:val="43"/>
        </w:numPr>
        <w:spacing w:line="360" w:lineRule="auto"/>
        <w:ind w:firstLineChars="0"/>
        <w:jc w:val="center"/>
        <w:rPr>
          <w:rFonts w:eastAsia="黑体" w:cs="Times New Roman"/>
          <w:szCs w:val="21"/>
        </w:rPr>
      </w:pPr>
      <w:r>
        <w:rPr>
          <w:rFonts w:eastAsia="黑体" w:cs="Times New Roman" w:hint="eastAsia"/>
          <w:szCs w:val="21"/>
        </w:rPr>
        <w:t>调查水域浮游植物种类及分布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4"/>
        <w:gridCol w:w="1019"/>
        <w:gridCol w:w="1019"/>
        <w:gridCol w:w="1019"/>
        <w:gridCol w:w="1015"/>
      </w:tblGrid>
      <w:tr w:rsidR="007D1E74" w14:paraId="60128E19" w14:textId="77777777">
        <w:trPr>
          <w:tblHeader/>
        </w:trPr>
        <w:tc>
          <w:tcPr>
            <w:tcW w:w="2742" w:type="pct"/>
            <w:shd w:val="clear" w:color="auto" w:fill="auto"/>
            <w:vAlign w:val="center"/>
          </w:tcPr>
          <w:p w14:paraId="05659387" w14:textId="77777777" w:rsidR="007D1E74" w:rsidRDefault="00A95641">
            <w:pPr>
              <w:widowControl/>
              <w:jc w:val="center"/>
              <w:rPr>
                <w:rFonts w:ascii="宋体" w:hAnsi="宋体" w:cs="宋体"/>
                <w:kern w:val="0"/>
                <w:szCs w:val="21"/>
              </w:rPr>
            </w:pPr>
            <w:bookmarkStart w:id="25" w:name="RANGE!A1"/>
            <w:r>
              <w:rPr>
                <w:rFonts w:ascii="宋体" w:hAnsi="宋体" w:cs="宋体" w:hint="eastAsia"/>
                <w:kern w:val="0"/>
                <w:szCs w:val="21"/>
              </w:rPr>
              <w:t>种类</w:t>
            </w:r>
            <w:bookmarkEnd w:id="25"/>
          </w:p>
        </w:tc>
        <w:tc>
          <w:tcPr>
            <w:tcW w:w="565" w:type="pct"/>
            <w:shd w:val="clear" w:color="auto" w:fill="auto"/>
            <w:vAlign w:val="center"/>
          </w:tcPr>
          <w:p w14:paraId="24D94509" w14:textId="77777777" w:rsidR="007D1E74" w:rsidRDefault="00A95641">
            <w:pPr>
              <w:widowControl/>
              <w:jc w:val="center"/>
              <w:rPr>
                <w:rFonts w:ascii="宋体" w:hAnsi="宋体" w:cs="宋体"/>
                <w:kern w:val="0"/>
                <w:szCs w:val="21"/>
              </w:rPr>
            </w:pPr>
            <w:r>
              <w:rPr>
                <w:rFonts w:ascii="宋体" w:hAnsi="宋体" w:cs="宋体" w:hint="eastAsia"/>
                <w:kern w:val="0"/>
                <w:szCs w:val="21"/>
              </w:rPr>
              <w:t>采样点</w:t>
            </w:r>
            <w:r>
              <w:rPr>
                <w:rFonts w:cs="Times New Roman"/>
                <w:kern w:val="0"/>
                <w:szCs w:val="21"/>
              </w:rPr>
              <w:t>1</w:t>
            </w:r>
          </w:p>
        </w:tc>
        <w:tc>
          <w:tcPr>
            <w:tcW w:w="565" w:type="pct"/>
            <w:shd w:val="clear" w:color="auto" w:fill="auto"/>
            <w:vAlign w:val="center"/>
          </w:tcPr>
          <w:p w14:paraId="3E3A3D71" w14:textId="77777777" w:rsidR="007D1E74" w:rsidRDefault="00A95641">
            <w:pPr>
              <w:widowControl/>
              <w:jc w:val="center"/>
              <w:rPr>
                <w:rFonts w:ascii="宋体" w:hAnsi="宋体" w:cs="宋体"/>
                <w:kern w:val="0"/>
                <w:szCs w:val="21"/>
              </w:rPr>
            </w:pPr>
            <w:r>
              <w:rPr>
                <w:rFonts w:ascii="宋体" w:hAnsi="宋体" w:cs="宋体" w:hint="eastAsia"/>
                <w:kern w:val="0"/>
                <w:szCs w:val="21"/>
              </w:rPr>
              <w:t>采样点</w:t>
            </w:r>
            <w:r>
              <w:rPr>
                <w:rFonts w:cs="Times New Roman"/>
                <w:kern w:val="0"/>
                <w:szCs w:val="21"/>
              </w:rPr>
              <w:t>2</w:t>
            </w:r>
          </w:p>
        </w:tc>
        <w:tc>
          <w:tcPr>
            <w:tcW w:w="565" w:type="pct"/>
            <w:shd w:val="clear" w:color="auto" w:fill="auto"/>
            <w:vAlign w:val="center"/>
          </w:tcPr>
          <w:p w14:paraId="5B53E35A" w14:textId="77777777" w:rsidR="007D1E74" w:rsidRDefault="00A95641">
            <w:pPr>
              <w:widowControl/>
              <w:jc w:val="center"/>
              <w:rPr>
                <w:rFonts w:ascii="宋体" w:hAnsi="宋体" w:cs="宋体"/>
                <w:kern w:val="0"/>
                <w:szCs w:val="21"/>
              </w:rPr>
            </w:pPr>
            <w:r>
              <w:rPr>
                <w:rFonts w:ascii="宋体" w:hAnsi="宋体" w:cs="宋体" w:hint="eastAsia"/>
                <w:kern w:val="0"/>
                <w:szCs w:val="21"/>
              </w:rPr>
              <w:t>采样点</w:t>
            </w:r>
            <w:r>
              <w:rPr>
                <w:rFonts w:cs="Times New Roman"/>
                <w:kern w:val="0"/>
                <w:szCs w:val="21"/>
              </w:rPr>
              <w:t>3</w:t>
            </w:r>
          </w:p>
        </w:tc>
        <w:tc>
          <w:tcPr>
            <w:tcW w:w="563" w:type="pct"/>
            <w:shd w:val="clear" w:color="auto" w:fill="auto"/>
            <w:vAlign w:val="center"/>
          </w:tcPr>
          <w:p w14:paraId="3C45E297" w14:textId="77777777" w:rsidR="007D1E74" w:rsidRDefault="00A95641">
            <w:pPr>
              <w:widowControl/>
              <w:jc w:val="center"/>
              <w:rPr>
                <w:rFonts w:ascii="宋体" w:hAnsi="宋体" w:cs="宋体"/>
                <w:kern w:val="0"/>
                <w:szCs w:val="21"/>
              </w:rPr>
            </w:pPr>
            <w:r>
              <w:rPr>
                <w:rFonts w:ascii="宋体" w:hAnsi="宋体" w:cs="宋体" w:hint="eastAsia"/>
                <w:kern w:val="0"/>
                <w:szCs w:val="21"/>
              </w:rPr>
              <w:t>采样点</w:t>
            </w:r>
            <w:r>
              <w:rPr>
                <w:rFonts w:cs="Times New Roman"/>
                <w:kern w:val="0"/>
                <w:szCs w:val="21"/>
              </w:rPr>
              <w:t>4</w:t>
            </w:r>
          </w:p>
        </w:tc>
      </w:tr>
      <w:tr w:rsidR="007D1E74" w14:paraId="6FCEFFE7" w14:textId="77777777">
        <w:tc>
          <w:tcPr>
            <w:tcW w:w="2742" w:type="pct"/>
            <w:shd w:val="clear" w:color="auto" w:fill="auto"/>
            <w:vAlign w:val="center"/>
          </w:tcPr>
          <w:p w14:paraId="42E24DB7" w14:textId="77777777" w:rsidR="007D1E74" w:rsidRDefault="00A95641">
            <w:pPr>
              <w:widowControl/>
              <w:rPr>
                <w:rFonts w:ascii="宋体" w:hAnsi="宋体" w:cs="宋体"/>
                <w:kern w:val="0"/>
                <w:szCs w:val="21"/>
              </w:rPr>
            </w:pPr>
            <w:bookmarkStart w:id="26" w:name="RANGE!A2"/>
            <w:r>
              <w:rPr>
                <w:rFonts w:ascii="宋体" w:hAnsi="宋体" w:cs="宋体" w:hint="eastAsia"/>
                <w:kern w:val="0"/>
                <w:szCs w:val="21"/>
              </w:rPr>
              <w:t>一</w:t>
            </w:r>
            <w:r>
              <w:rPr>
                <w:rFonts w:cs="Times New Roman"/>
                <w:kern w:val="0"/>
                <w:szCs w:val="21"/>
              </w:rPr>
              <w:t xml:space="preserve"> </w:t>
            </w:r>
            <w:r>
              <w:rPr>
                <w:rFonts w:ascii="宋体" w:hAnsi="宋体" w:cs="宋体" w:hint="eastAsia"/>
                <w:kern w:val="0"/>
                <w:szCs w:val="21"/>
              </w:rPr>
              <w:t>、硅藻门</w:t>
            </w:r>
            <w:r>
              <w:rPr>
                <w:rFonts w:cs="Times New Roman"/>
                <w:kern w:val="0"/>
                <w:szCs w:val="21"/>
              </w:rPr>
              <w:t xml:space="preserve"> Bacillariophyta</w:t>
            </w:r>
            <w:bookmarkEnd w:id="26"/>
          </w:p>
        </w:tc>
        <w:tc>
          <w:tcPr>
            <w:tcW w:w="565" w:type="pct"/>
            <w:shd w:val="clear" w:color="auto" w:fill="auto"/>
            <w:vAlign w:val="center"/>
          </w:tcPr>
          <w:p w14:paraId="7ECC5040" w14:textId="77777777" w:rsidR="007D1E74" w:rsidRDefault="007D1E74">
            <w:pPr>
              <w:widowControl/>
              <w:jc w:val="center"/>
              <w:rPr>
                <w:rFonts w:cs="Times New Roman"/>
                <w:kern w:val="0"/>
                <w:szCs w:val="21"/>
              </w:rPr>
            </w:pPr>
          </w:p>
        </w:tc>
        <w:tc>
          <w:tcPr>
            <w:tcW w:w="565" w:type="pct"/>
            <w:shd w:val="clear" w:color="auto" w:fill="auto"/>
            <w:vAlign w:val="center"/>
          </w:tcPr>
          <w:p w14:paraId="7F2FA13B" w14:textId="77777777" w:rsidR="007D1E74" w:rsidRDefault="007D1E74">
            <w:pPr>
              <w:widowControl/>
              <w:jc w:val="center"/>
              <w:rPr>
                <w:rFonts w:cs="Times New Roman"/>
                <w:kern w:val="0"/>
                <w:szCs w:val="21"/>
              </w:rPr>
            </w:pPr>
          </w:p>
        </w:tc>
        <w:tc>
          <w:tcPr>
            <w:tcW w:w="565" w:type="pct"/>
            <w:shd w:val="clear" w:color="auto" w:fill="auto"/>
            <w:vAlign w:val="center"/>
          </w:tcPr>
          <w:p w14:paraId="6149498B" w14:textId="77777777" w:rsidR="007D1E74" w:rsidRDefault="007D1E74">
            <w:pPr>
              <w:widowControl/>
              <w:jc w:val="center"/>
              <w:rPr>
                <w:rFonts w:cs="Times New Roman"/>
                <w:kern w:val="0"/>
                <w:szCs w:val="21"/>
              </w:rPr>
            </w:pPr>
          </w:p>
        </w:tc>
        <w:tc>
          <w:tcPr>
            <w:tcW w:w="563" w:type="pct"/>
            <w:shd w:val="clear" w:color="auto" w:fill="auto"/>
            <w:vAlign w:val="center"/>
          </w:tcPr>
          <w:p w14:paraId="5397561A" w14:textId="77777777" w:rsidR="007D1E74" w:rsidRDefault="007D1E74">
            <w:pPr>
              <w:widowControl/>
              <w:jc w:val="center"/>
              <w:rPr>
                <w:rFonts w:cs="Times New Roman"/>
                <w:kern w:val="0"/>
                <w:szCs w:val="21"/>
              </w:rPr>
            </w:pPr>
          </w:p>
        </w:tc>
      </w:tr>
      <w:tr w:rsidR="007D1E74" w14:paraId="6585815A" w14:textId="77777777">
        <w:trPr>
          <w:trHeight w:val="60"/>
        </w:trPr>
        <w:tc>
          <w:tcPr>
            <w:tcW w:w="2742" w:type="pct"/>
            <w:shd w:val="clear" w:color="auto" w:fill="auto"/>
            <w:vAlign w:val="center"/>
          </w:tcPr>
          <w:p w14:paraId="733C46AA" w14:textId="77777777" w:rsidR="007D1E74" w:rsidRDefault="00A95641">
            <w:pPr>
              <w:widowControl/>
              <w:rPr>
                <w:rFonts w:ascii="宋体" w:hAnsi="宋体" w:cs="宋体"/>
                <w:kern w:val="0"/>
                <w:szCs w:val="21"/>
              </w:rPr>
            </w:pPr>
            <w:bookmarkStart w:id="27" w:name="RANGE!A3"/>
            <w:r>
              <w:rPr>
                <w:rFonts w:ascii="宋体" w:hAnsi="宋体" w:cs="宋体" w:hint="eastAsia"/>
                <w:kern w:val="0"/>
                <w:szCs w:val="21"/>
              </w:rPr>
              <w:t>（一）舟形藻科</w:t>
            </w:r>
            <w:r>
              <w:rPr>
                <w:rFonts w:cs="Times New Roman"/>
                <w:kern w:val="0"/>
                <w:szCs w:val="21"/>
              </w:rPr>
              <w:t xml:space="preserve"> Naviculaceae</w:t>
            </w:r>
            <w:bookmarkEnd w:id="27"/>
          </w:p>
        </w:tc>
        <w:tc>
          <w:tcPr>
            <w:tcW w:w="565" w:type="pct"/>
            <w:shd w:val="clear" w:color="auto" w:fill="auto"/>
            <w:vAlign w:val="center"/>
          </w:tcPr>
          <w:p w14:paraId="6A6FCA70" w14:textId="77777777" w:rsidR="007D1E74" w:rsidRDefault="007D1E74">
            <w:pPr>
              <w:widowControl/>
              <w:jc w:val="center"/>
              <w:rPr>
                <w:rFonts w:cs="Times New Roman"/>
                <w:kern w:val="0"/>
                <w:szCs w:val="21"/>
              </w:rPr>
            </w:pPr>
          </w:p>
        </w:tc>
        <w:tc>
          <w:tcPr>
            <w:tcW w:w="565" w:type="pct"/>
            <w:shd w:val="clear" w:color="auto" w:fill="auto"/>
            <w:vAlign w:val="center"/>
          </w:tcPr>
          <w:p w14:paraId="5DB60D11" w14:textId="77777777" w:rsidR="007D1E74" w:rsidRDefault="007D1E74">
            <w:pPr>
              <w:widowControl/>
              <w:jc w:val="center"/>
              <w:rPr>
                <w:rFonts w:cs="Times New Roman"/>
                <w:kern w:val="0"/>
                <w:szCs w:val="21"/>
              </w:rPr>
            </w:pPr>
          </w:p>
        </w:tc>
        <w:tc>
          <w:tcPr>
            <w:tcW w:w="565" w:type="pct"/>
            <w:shd w:val="clear" w:color="auto" w:fill="auto"/>
            <w:vAlign w:val="center"/>
          </w:tcPr>
          <w:p w14:paraId="2C2031F9" w14:textId="77777777" w:rsidR="007D1E74" w:rsidRDefault="007D1E74">
            <w:pPr>
              <w:widowControl/>
              <w:jc w:val="center"/>
              <w:rPr>
                <w:rFonts w:cs="Times New Roman"/>
                <w:kern w:val="0"/>
                <w:szCs w:val="21"/>
              </w:rPr>
            </w:pPr>
          </w:p>
        </w:tc>
        <w:tc>
          <w:tcPr>
            <w:tcW w:w="563" w:type="pct"/>
            <w:shd w:val="clear" w:color="auto" w:fill="auto"/>
            <w:vAlign w:val="center"/>
          </w:tcPr>
          <w:p w14:paraId="6A29ED67" w14:textId="77777777" w:rsidR="007D1E74" w:rsidRDefault="007D1E74">
            <w:pPr>
              <w:widowControl/>
              <w:jc w:val="center"/>
              <w:rPr>
                <w:rFonts w:cs="Times New Roman"/>
                <w:kern w:val="0"/>
                <w:szCs w:val="21"/>
              </w:rPr>
            </w:pPr>
          </w:p>
        </w:tc>
      </w:tr>
      <w:tr w:rsidR="007D1E74" w14:paraId="20A28089" w14:textId="77777777">
        <w:trPr>
          <w:trHeight w:val="60"/>
        </w:trPr>
        <w:tc>
          <w:tcPr>
            <w:tcW w:w="2742" w:type="pct"/>
            <w:shd w:val="clear" w:color="auto" w:fill="auto"/>
            <w:vAlign w:val="center"/>
          </w:tcPr>
          <w:p w14:paraId="4DC039FA" w14:textId="77777777" w:rsidR="007D1E74" w:rsidRDefault="00A95641">
            <w:pPr>
              <w:widowControl/>
              <w:rPr>
                <w:rFonts w:cs="Times New Roman"/>
                <w:kern w:val="0"/>
                <w:szCs w:val="21"/>
              </w:rPr>
            </w:pPr>
            <w:r>
              <w:rPr>
                <w:rFonts w:cs="Times New Roman"/>
                <w:kern w:val="0"/>
                <w:szCs w:val="21"/>
              </w:rPr>
              <w:t>1.</w:t>
            </w:r>
            <w:r>
              <w:rPr>
                <w:rFonts w:ascii="宋体" w:hAnsi="宋体" w:cs="Times New Roman" w:hint="eastAsia"/>
                <w:kern w:val="0"/>
                <w:szCs w:val="21"/>
              </w:rPr>
              <w:t>舟形藻属</w:t>
            </w:r>
            <w:r>
              <w:rPr>
                <w:rFonts w:cs="Times New Roman"/>
                <w:i/>
                <w:iCs/>
                <w:kern w:val="0"/>
                <w:szCs w:val="21"/>
              </w:rPr>
              <w:t>Navicula</w:t>
            </w:r>
          </w:p>
        </w:tc>
        <w:tc>
          <w:tcPr>
            <w:tcW w:w="565" w:type="pct"/>
            <w:shd w:val="clear" w:color="auto" w:fill="auto"/>
            <w:vAlign w:val="center"/>
          </w:tcPr>
          <w:p w14:paraId="627D1551" w14:textId="77777777" w:rsidR="007D1E74" w:rsidRDefault="007D1E74">
            <w:pPr>
              <w:widowControl/>
              <w:jc w:val="center"/>
              <w:rPr>
                <w:rFonts w:cs="Times New Roman"/>
                <w:kern w:val="0"/>
                <w:szCs w:val="21"/>
              </w:rPr>
            </w:pPr>
          </w:p>
        </w:tc>
        <w:tc>
          <w:tcPr>
            <w:tcW w:w="565" w:type="pct"/>
            <w:shd w:val="clear" w:color="auto" w:fill="auto"/>
            <w:vAlign w:val="center"/>
          </w:tcPr>
          <w:p w14:paraId="73A7BB09" w14:textId="77777777" w:rsidR="007D1E74" w:rsidRDefault="007D1E74">
            <w:pPr>
              <w:widowControl/>
              <w:jc w:val="center"/>
              <w:rPr>
                <w:rFonts w:cs="Times New Roman"/>
                <w:kern w:val="0"/>
                <w:szCs w:val="21"/>
              </w:rPr>
            </w:pPr>
          </w:p>
        </w:tc>
        <w:tc>
          <w:tcPr>
            <w:tcW w:w="565" w:type="pct"/>
            <w:shd w:val="clear" w:color="auto" w:fill="auto"/>
            <w:vAlign w:val="center"/>
          </w:tcPr>
          <w:p w14:paraId="04BF36B8" w14:textId="77777777" w:rsidR="007D1E74" w:rsidRDefault="007D1E74">
            <w:pPr>
              <w:widowControl/>
              <w:jc w:val="center"/>
              <w:rPr>
                <w:rFonts w:cs="Times New Roman"/>
                <w:kern w:val="0"/>
                <w:szCs w:val="21"/>
              </w:rPr>
            </w:pPr>
          </w:p>
        </w:tc>
        <w:tc>
          <w:tcPr>
            <w:tcW w:w="563" w:type="pct"/>
            <w:shd w:val="clear" w:color="auto" w:fill="auto"/>
            <w:vAlign w:val="center"/>
          </w:tcPr>
          <w:p w14:paraId="36A2DA6E" w14:textId="77777777" w:rsidR="007D1E74" w:rsidRDefault="007D1E74">
            <w:pPr>
              <w:widowControl/>
              <w:jc w:val="center"/>
              <w:rPr>
                <w:rFonts w:cs="Times New Roman"/>
                <w:kern w:val="0"/>
                <w:szCs w:val="21"/>
              </w:rPr>
            </w:pPr>
          </w:p>
        </w:tc>
      </w:tr>
      <w:tr w:rsidR="007D1E74" w14:paraId="1EF3762D" w14:textId="77777777">
        <w:tc>
          <w:tcPr>
            <w:tcW w:w="2742" w:type="pct"/>
            <w:shd w:val="clear" w:color="auto" w:fill="auto"/>
            <w:vAlign w:val="center"/>
          </w:tcPr>
          <w:p w14:paraId="1529C1B1"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1</w:t>
            </w:r>
            <w:r>
              <w:rPr>
                <w:rFonts w:ascii="宋体" w:hAnsi="宋体" w:cs="宋体" w:hint="eastAsia"/>
                <w:kern w:val="0"/>
                <w:szCs w:val="21"/>
              </w:rPr>
              <w:t>）隐头舟形藻</w:t>
            </w:r>
            <w:r>
              <w:rPr>
                <w:rFonts w:cs="Times New Roman"/>
                <w:i/>
                <w:iCs/>
                <w:kern w:val="0"/>
                <w:szCs w:val="21"/>
              </w:rPr>
              <w:t>N.cryptocephala</w:t>
            </w:r>
          </w:p>
        </w:tc>
        <w:tc>
          <w:tcPr>
            <w:tcW w:w="565" w:type="pct"/>
            <w:shd w:val="clear" w:color="auto" w:fill="auto"/>
            <w:vAlign w:val="center"/>
          </w:tcPr>
          <w:p w14:paraId="7DF8666F"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3D7EA6F0"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3ED70D58" w14:textId="77777777" w:rsidR="007D1E74" w:rsidRDefault="00A95641">
            <w:pPr>
              <w:widowControl/>
              <w:jc w:val="center"/>
              <w:rPr>
                <w:rFonts w:cs="Times New Roman"/>
                <w:kern w:val="0"/>
                <w:szCs w:val="21"/>
              </w:rPr>
            </w:pPr>
            <w:r>
              <w:rPr>
                <w:rFonts w:cs="Times New Roman"/>
                <w:kern w:val="0"/>
                <w:szCs w:val="21"/>
              </w:rPr>
              <w:t>-</w:t>
            </w:r>
          </w:p>
        </w:tc>
        <w:tc>
          <w:tcPr>
            <w:tcW w:w="563" w:type="pct"/>
            <w:shd w:val="clear" w:color="auto" w:fill="auto"/>
            <w:vAlign w:val="center"/>
          </w:tcPr>
          <w:p w14:paraId="5B27BFBC" w14:textId="77777777" w:rsidR="007D1E74" w:rsidRDefault="00A95641">
            <w:pPr>
              <w:widowControl/>
              <w:jc w:val="center"/>
              <w:rPr>
                <w:rFonts w:cs="Times New Roman"/>
                <w:kern w:val="0"/>
                <w:szCs w:val="21"/>
              </w:rPr>
            </w:pPr>
            <w:r>
              <w:rPr>
                <w:rFonts w:cs="Times New Roman"/>
                <w:kern w:val="0"/>
                <w:szCs w:val="21"/>
              </w:rPr>
              <w:t>-</w:t>
            </w:r>
          </w:p>
        </w:tc>
      </w:tr>
      <w:tr w:rsidR="007D1E74" w14:paraId="13E111A3" w14:textId="77777777">
        <w:trPr>
          <w:trHeight w:val="70"/>
        </w:trPr>
        <w:tc>
          <w:tcPr>
            <w:tcW w:w="2742" w:type="pct"/>
            <w:shd w:val="clear" w:color="auto" w:fill="auto"/>
            <w:vAlign w:val="center"/>
          </w:tcPr>
          <w:p w14:paraId="7D095EE1"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2</w:t>
            </w:r>
            <w:r>
              <w:rPr>
                <w:rFonts w:ascii="宋体" w:hAnsi="宋体" w:cs="宋体" w:hint="eastAsia"/>
                <w:kern w:val="0"/>
                <w:szCs w:val="21"/>
              </w:rPr>
              <w:t>）双头舟形藻</w:t>
            </w:r>
            <w:r>
              <w:rPr>
                <w:rFonts w:cs="Times New Roman"/>
                <w:i/>
                <w:iCs/>
                <w:kern w:val="0"/>
                <w:szCs w:val="21"/>
              </w:rPr>
              <w:t>N. dicepala</w:t>
            </w:r>
          </w:p>
        </w:tc>
        <w:tc>
          <w:tcPr>
            <w:tcW w:w="565" w:type="pct"/>
            <w:shd w:val="clear" w:color="auto" w:fill="auto"/>
            <w:vAlign w:val="center"/>
          </w:tcPr>
          <w:p w14:paraId="6B89E954"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24C924A4"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538F7B6C" w14:textId="77777777" w:rsidR="007D1E74" w:rsidRDefault="00A95641">
            <w:pPr>
              <w:widowControl/>
              <w:jc w:val="center"/>
              <w:rPr>
                <w:rFonts w:cs="Times New Roman"/>
                <w:kern w:val="0"/>
                <w:szCs w:val="21"/>
              </w:rPr>
            </w:pPr>
            <w:r>
              <w:rPr>
                <w:rFonts w:cs="Times New Roman"/>
                <w:kern w:val="0"/>
                <w:szCs w:val="21"/>
              </w:rPr>
              <w:t>-</w:t>
            </w:r>
          </w:p>
        </w:tc>
        <w:tc>
          <w:tcPr>
            <w:tcW w:w="563" w:type="pct"/>
            <w:shd w:val="clear" w:color="auto" w:fill="auto"/>
            <w:vAlign w:val="center"/>
          </w:tcPr>
          <w:p w14:paraId="427EC1E4" w14:textId="77777777" w:rsidR="007D1E74" w:rsidRDefault="00A95641">
            <w:pPr>
              <w:widowControl/>
              <w:jc w:val="center"/>
              <w:rPr>
                <w:rFonts w:cs="Times New Roman"/>
                <w:kern w:val="0"/>
                <w:szCs w:val="21"/>
              </w:rPr>
            </w:pPr>
            <w:r>
              <w:rPr>
                <w:rFonts w:cs="Times New Roman"/>
                <w:kern w:val="0"/>
                <w:szCs w:val="21"/>
              </w:rPr>
              <w:t>-</w:t>
            </w:r>
          </w:p>
        </w:tc>
      </w:tr>
      <w:tr w:rsidR="007D1E74" w14:paraId="433574D3" w14:textId="77777777">
        <w:tc>
          <w:tcPr>
            <w:tcW w:w="2742" w:type="pct"/>
            <w:shd w:val="clear" w:color="auto" w:fill="auto"/>
            <w:vAlign w:val="center"/>
          </w:tcPr>
          <w:p w14:paraId="3C6E4A78"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3</w:t>
            </w:r>
            <w:r>
              <w:rPr>
                <w:rFonts w:ascii="宋体" w:hAnsi="宋体" w:cs="宋体" w:hint="eastAsia"/>
                <w:kern w:val="0"/>
                <w:szCs w:val="21"/>
              </w:rPr>
              <w:t>）系带舟形藻</w:t>
            </w:r>
            <w:r>
              <w:rPr>
                <w:rFonts w:cs="Times New Roman"/>
                <w:i/>
                <w:iCs/>
                <w:kern w:val="0"/>
                <w:szCs w:val="21"/>
              </w:rPr>
              <w:t>N. cincta</w:t>
            </w:r>
          </w:p>
        </w:tc>
        <w:tc>
          <w:tcPr>
            <w:tcW w:w="565" w:type="pct"/>
            <w:shd w:val="clear" w:color="auto" w:fill="auto"/>
            <w:vAlign w:val="center"/>
          </w:tcPr>
          <w:p w14:paraId="6E2BB688"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1E06708D" w14:textId="77777777" w:rsidR="007D1E74" w:rsidRDefault="007D1E74">
            <w:pPr>
              <w:widowControl/>
              <w:jc w:val="center"/>
              <w:rPr>
                <w:rFonts w:cs="Times New Roman"/>
                <w:kern w:val="0"/>
                <w:szCs w:val="21"/>
              </w:rPr>
            </w:pPr>
          </w:p>
        </w:tc>
        <w:tc>
          <w:tcPr>
            <w:tcW w:w="565" w:type="pct"/>
            <w:shd w:val="clear" w:color="auto" w:fill="auto"/>
            <w:vAlign w:val="center"/>
          </w:tcPr>
          <w:p w14:paraId="78188F7C" w14:textId="77777777" w:rsidR="007D1E74" w:rsidRDefault="007D1E74">
            <w:pPr>
              <w:widowControl/>
              <w:jc w:val="center"/>
              <w:rPr>
                <w:rFonts w:cs="Times New Roman"/>
                <w:kern w:val="0"/>
                <w:szCs w:val="21"/>
              </w:rPr>
            </w:pPr>
          </w:p>
        </w:tc>
        <w:tc>
          <w:tcPr>
            <w:tcW w:w="563" w:type="pct"/>
            <w:shd w:val="clear" w:color="auto" w:fill="auto"/>
            <w:vAlign w:val="center"/>
          </w:tcPr>
          <w:p w14:paraId="61458613" w14:textId="77777777" w:rsidR="007D1E74" w:rsidRDefault="007D1E74">
            <w:pPr>
              <w:widowControl/>
              <w:jc w:val="center"/>
              <w:rPr>
                <w:rFonts w:cs="Times New Roman"/>
                <w:kern w:val="0"/>
                <w:szCs w:val="21"/>
              </w:rPr>
            </w:pPr>
          </w:p>
        </w:tc>
      </w:tr>
      <w:tr w:rsidR="007D1E74" w14:paraId="225F5466" w14:textId="77777777">
        <w:tc>
          <w:tcPr>
            <w:tcW w:w="2742" w:type="pct"/>
            <w:shd w:val="clear" w:color="auto" w:fill="auto"/>
            <w:vAlign w:val="center"/>
          </w:tcPr>
          <w:p w14:paraId="74CF8808"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4</w:t>
            </w:r>
            <w:r>
              <w:rPr>
                <w:rFonts w:ascii="宋体" w:hAnsi="宋体" w:cs="宋体" w:hint="eastAsia"/>
                <w:kern w:val="0"/>
                <w:szCs w:val="21"/>
              </w:rPr>
              <w:t>）长圆舟形藻</w:t>
            </w:r>
            <w:r>
              <w:rPr>
                <w:rFonts w:cs="Times New Roman"/>
                <w:i/>
                <w:iCs/>
                <w:kern w:val="0"/>
                <w:szCs w:val="21"/>
              </w:rPr>
              <w:t>N.oblonga</w:t>
            </w:r>
          </w:p>
        </w:tc>
        <w:tc>
          <w:tcPr>
            <w:tcW w:w="565" w:type="pct"/>
            <w:shd w:val="clear" w:color="auto" w:fill="auto"/>
            <w:vAlign w:val="center"/>
          </w:tcPr>
          <w:p w14:paraId="58A2A2C0"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724A85BA"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2FF91294" w14:textId="77777777" w:rsidR="007D1E74" w:rsidRDefault="00A95641">
            <w:pPr>
              <w:widowControl/>
              <w:jc w:val="center"/>
              <w:rPr>
                <w:rFonts w:cs="Times New Roman"/>
                <w:kern w:val="0"/>
                <w:szCs w:val="21"/>
              </w:rPr>
            </w:pPr>
            <w:r>
              <w:rPr>
                <w:rFonts w:cs="Times New Roman"/>
                <w:kern w:val="0"/>
                <w:szCs w:val="21"/>
              </w:rPr>
              <w:t>-</w:t>
            </w:r>
          </w:p>
        </w:tc>
        <w:tc>
          <w:tcPr>
            <w:tcW w:w="563" w:type="pct"/>
            <w:shd w:val="clear" w:color="auto" w:fill="auto"/>
            <w:vAlign w:val="center"/>
          </w:tcPr>
          <w:p w14:paraId="014A81B9" w14:textId="77777777" w:rsidR="007D1E74" w:rsidRDefault="007D1E74">
            <w:pPr>
              <w:widowControl/>
              <w:jc w:val="center"/>
              <w:rPr>
                <w:rFonts w:cs="Times New Roman"/>
                <w:kern w:val="0"/>
                <w:szCs w:val="21"/>
              </w:rPr>
            </w:pPr>
          </w:p>
        </w:tc>
      </w:tr>
      <w:tr w:rsidR="007D1E74" w14:paraId="274CBB77" w14:textId="77777777">
        <w:tc>
          <w:tcPr>
            <w:tcW w:w="2742" w:type="pct"/>
            <w:shd w:val="clear" w:color="auto" w:fill="auto"/>
            <w:vAlign w:val="center"/>
          </w:tcPr>
          <w:p w14:paraId="3E359DC1"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5</w:t>
            </w:r>
            <w:r>
              <w:rPr>
                <w:rFonts w:ascii="宋体" w:hAnsi="宋体" w:cs="宋体" w:hint="eastAsia"/>
                <w:kern w:val="0"/>
                <w:szCs w:val="21"/>
              </w:rPr>
              <w:t>）微小舟形藻</w:t>
            </w:r>
            <w:r>
              <w:rPr>
                <w:rFonts w:cs="Times New Roman"/>
                <w:i/>
                <w:iCs/>
                <w:kern w:val="0"/>
                <w:szCs w:val="21"/>
              </w:rPr>
              <w:t>N.minuscula</w:t>
            </w:r>
          </w:p>
        </w:tc>
        <w:tc>
          <w:tcPr>
            <w:tcW w:w="565" w:type="pct"/>
            <w:shd w:val="clear" w:color="auto" w:fill="auto"/>
            <w:vAlign w:val="center"/>
          </w:tcPr>
          <w:p w14:paraId="29F1CC25"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3C316D20"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4F343B9E" w14:textId="77777777" w:rsidR="007D1E74" w:rsidRDefault="007D1E74">
            <w:pPr>
              <w:widowControl/>
              <w:jc w:val="center"/>
              <w:rPr>
                <w:rFonts w:cs="Times New Roman"/>
                <w:kern w:val="0"/>
                <w:szCs w:val="21"/>
              </w:rPr>
            </w:pPr>
          </w:p>
        </w:tc>
        <w:tc>
          <w:tcPr>
            <w:tcW w:w="563" w:type="pct"/>
            <w:shd w:val="clear" w:color="auto" w:fill="auto"/>
            <w:vAlign w:val="center"/>
          </w:tcPr>
          <w:p w14:paraId="21DFF1D2" w14:textId="77777777" w:rsidR="007D1E74" w:rsidRDefault="00A95641">
            <w:pPr>
              <w:widowControl/>
              <w:jc w:val="center"/>
              <w:rPr>
                <w:rFonts w:cs="Times New Roman"/>
                <w:kern w:val="0"/>
                <w:szCs w:val="21"/>
              </w:rPr>
            </w:pPr>
            <w:r>
              <w:rPr>
                <w:rFonts w:cs="Times New Roman"/>
                <w:kern w:val="0"/>
                <w:szCs w:val="21"/>
              </w:rPr>
              <w:t>+</w:t>
            </w:r>
          </w:p>
        </w:tc>
      </w:tr>
      <w:tr w:rsidR="007D1E74" w14:paraId="553238D1" w14:textId="77777777">
        <w:tc>
          <w:tcPr>
            <w:tcW w:w="2742" w:type="pct"/>
            <w:shd w:val="clear" w:color="auto" w:fill="auto"/>
            <w:vAlign w:val="center"/>
          </w:tcPr>
          <w:p w14:paraId="45C08438"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6</w:t>
            </w:r>
            <w:r>
              <w:rPr>
                <w:rFonts w:ascii="宋体" w:hAnsi="宋体" w:cs="宋体" w:hint="eastAsia"/>
                <w:kern w:val="0"/>
                <w:szCs w:val="21"/>
              </w:rPr>
              <w:t>）扁圆舟形藻</w:t>
            </w:r>
            <w:r>
              <w:rPr>
                <w:rFonts w:cs="Times New Roman"/>
                <w:i/>
                <w:iCs/>
                <w:kern w:val="0"/>
                <w:szCs w:val="21"/>
              </w:rPr>
              <w:t>N. placentula</w:t>
            </w:r>
          </w:p>
        </w:tc>
        <w:tc>
          <w:tcPr>
            <w:tcW w:w="565" w:type="pct"/>
            <w:shd w:val="clear" w:color="auto" w:fill="auto"/>
            <w:vAlign w:val="center"/>
          </w:tcPr>
          <w:p w14:paraId="059D36D5" w14:textId="77777777" w:rsidR="007D1E74" w:rsidRDefault="007D1E74">
            <w:pPr>
              <w:widowControl/>
              <w:jc w:val="center"/>
              <w:rPr>
                <w:rFonts w:cs="Times New Roman"/>
                <w:kern w:val="0"/>
                <w:szCs w:val="21"/>
              </w:rPr>
            </w:pPr>
          </w:p>
        </w:tc>
        <w:tc>
          <w:tcPr>
            <w:tcW w:w="565" w:type="pct"/>
            <w:shd w:val="clear" w:color="auto" w:fill="auto"/>
            <w:vAlign w:val="center"/>
          </w:tcPr>
          <w:p w14:paraId="7B4D3EB9"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5D6C4BFF" w14:textId="77777777" w:rsidR="007D1E74" w:rsidRDefault="007D1E74">
            <w:pPr>
              <w:widowControl/>
              <w:jc w:val="center"/>
              <w:rPr>
                <w:rFonts w:cs="Times New Roman"/>
                <w:kern w:val="0"/>
                <w:szCs w:val="21"/>
              </w:rPr>
            </w:pPr>
          </w:p>
        </w:tc>
        <w:tc>
          <w:tcPr>
            <w:tcW w:w="563" w:type="pct"/>
            <w:shd w:val="clear" w:color="auto" w:fill="auto"/>
            <w:vAlign w:val="center"/>
          </w:tcPr>
          <w:p w14:paraId="1EAC5B2B" w14:textId="77777777" w:rsidR="007D1E74" w:rsidRDefault="007D1E74">
            <w:pPr>
              <w:widowControl/>
              <w:jc w:val="center"/>
              <w:rPr>
                <w:rFonts w:cs="Times New Roman"/>
                <w:kern w:val="0"/>
                <w:szCs w:val="21"/>
              </w:rPr>
            </w:pPr>
          </w:p>
        </w:tc>
      </w:tr>
      <w:tr w:rsidR="007D1E74" w14:paraId="4D97B4DA" w14:textId="77777777">
        <w:tc>
          <w:tcPr>
            <w:tcW w:w="2742" w:type="pct"/>
            <w:shd w:val="clear" w:color="auto" w:fill="auto"/>
            <w:vAlign w:val="center"/>
          </w:tcPr>
          <w:p w14:paraId="02BA8C9C"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7</w:t>
            </w:r>
            <w:r>
              <w:rPr>
                <w:rFonts w:ascii="宋体" w:hAnsi="宋体" w:cs="宋体" w:hint="eastAsia"/>
                <w:kern w:val="0"/>
                <w:szCs w:val="21"/>
              </w:rPr>
              <w:t>）瞳孔舟形藻矩形变种</w:t>
            </w:r>
            <w:r>
              <w:rPr>
                <w:rFonts w:cs="Times New Roman"/>
                <w:i/>
                <w:iCs/>
                <w:kern w:val="0"/>
                <w:szCs w:val="21"/>
              </w:rPr>
              <w:t xml:space="preserve">N. pupula </w:t>
            </w:r>
            <w:r>
              <w:rPr>
                <w:rFonts w:cs="Times New Roman"/>
                <w:kern w:val="0"/>
                <w:szCs w:val="21"/>
              </w:rPr>
              <w:t>var.</w:t>
            </w:r>
            <w:r>
              <w:rPr>
                <w:rFonts w:cs="Times New Roman"/>
                <w:i/>
                <w:iCs/>
                <w:kern w:val="0"/>
                <w:szCs w:val="21"/>
              </w:rPr>
              <w:t xml:space="preserve"> rectangularis</w:t>
            </w:r>
          </w:p>
        </w:tc>
        <w:tc>
          <w:tcPr>
            <w:tcW w:w="565" w:type="pct"/>
            <w:shd w:val="clear" w:color="auto" w:fill="auto"/>
            <w:vAlign w:val="center"/>
          </w:tcPr>
          <w:p w14:paraId="49B0F89D"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253E84DE"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6A7BFD5B" w14:textId="77777777" w:rsidR="007D1E74" w:rsidRDefault="00A95641">
            <w:pPr>
              <w:widowControl/>
              <w:jc w:val="center"/>
              <w:rPr>
                <w:rFonts w:cs="Times New Roman"/>
                <w:kern w:val="0"/>
                <w:szCs w:val="21"/>
              </w:rPr>
            </w:pPr>
            <w:r>
              <w:rPr>
                <w:rFonts w:cs="Times New Roman"/>
                <w:kern w:val="0"/>
                <w:szCs w:val="21"/>
              </w:rPr>
              <w:t>-</w:t>
            </w:r>
          </w:p>
        </w:tc>
        <w:tc>
          <w:tcPr>
            <w:tcW w:w="563" w:type="pct"/>
            <w:shd w:val="clear" w:color="auto" w:fill="auto"/>
            <w:vAlign w:val="center"/>
          </w:tcPr>
          <w:p w14:paraId="31B37B8E" w14:textId="77777777" w:rsidR="007D1E74" w:rsidRDefault="00A95641">
            <w:pPr>
              <w:widowControl/>
              <w:jc w:val="center"/>
              <w:rPr>
                <w:rFonts w:cs="Times New Roman"/>
                <w:kern w:val="0"/>
                <w:szCs w:val="21"/>
              </w:rPr>
            </w:pPr>
            <w:r>
              <w:rPr>
                <w:rFonts w:cs="Times New Roman"/>
                <w:kern w:val="0"/>
                <w:szCs w:val="21"/>
              </w:rPr>
              <w:t>-</w:t>
            </w:r>
          </w:p>
        </w:tc>
      </w:tr>
      <w:tr w:rsidR="007D1E74" w14:paraId="4FCBBA0D" w14:textId="77777777">
        <w:trPr>
          <w:trHeight w:val="60"/>
        </w:trPr>
        <w:tc>
          <w:tcPr>
            <w:tcW w:w="2742" w:type="pct"/>
            <w:shd w:val="clear" w:color="auto" w:fill="auto"/>
            <w:vAlign w:val="center"/>
          </w:tcPr>
          <w:p w14:paraId="5001E6DC" w14:textId="77777777" w:rsidR="007D1E74" w:rsidRDefault="00A95641">
            <w:pPr>
              <w:widowControl/>
              <w:rPr>
                <w:rFonts w:ascii="宋体" w:hAnsi="宋体" w:cs="宋体"/>
                <w:kern w:val="0"/>
                <w:szCs w:val="21"/>
              </w:rPr>
            </w:pPr>
            <w:r>
              <w:rPr>
                <w:rFonts w:ascii="宋体" w:hAnsi="宋体" w:cs="宋体" w:hint="eastAsia"/>
                <w:kern w:val="0"/>
                <w:szCs w:val="21"/>
              </w:rPr>
              <w:t>（二）桥弯藻科</w:t>
            </w:r>
            <w:r>
              <w:rPr>
                <w:rFonts w:cs="Times New Roman"/>
                <w:kern w:val="0"/>
                <w:szCs w:val="21"/>
              </w:rPr>
              <w:t>Cymbellaceae</w:t>
            </w:r>
          </w:p>
        </w:tc>
        <w:tc>
          <w:tcPr>
            <w:tcW w:w="565" w:type="pct"/>
            <w:shd w:val="clear" w:color="auto" w:fill="auto"/>
            <w:vAlign w:val="center"/>
          </w:tcPr>
          <w:p w14:paraId="740273B0" w14:textId="77777777" w:rsidR="007D1E74" w:rsidRDefault="007D1E74">
            <w:pPr>
              <w:widowControl/>
              <w:jc w:val="center"/>
              <w:rPr>
                <w:rFonts w:cs="Times New Roman"/>
                <w:kern w:val="0"/>
                <w:szCs w:val="21"/>
              </w:rPr>
            </w:pPr>
          </w:p>
        </w:tc>
        <w:tc>
          <w:tcPr>
            <w:tcW w:w="565" w:type="pct"/>
            <w:shd w:val="clear" w:color="auto" w:fill="auto"/>
            <w:vAlign w:val="center"/>
          </w:tcPr>
          <w:p w14:paraId="1D1D2B1D" w14:textId="77777777" w:rsidR="007D1E74" w:rsidRDefault="007D1E74">
            <w:pPr>
              <w:widowControl/>
              <w:jc w:val="center"/>
              <w:rPr>
                <w:rFonts w:cs="Times New Roman"/>
                <w:kern w:val="0"/>
                <w:szCs w:val="21"/>
              </w:rPr>
            </w:pPr>
          </w:p>
        </w:tc>
        <w:tc>
          <w:tcPr>
            <w:tcW w:w="565" w:type="pct"/>
            <w:shd w:val="clear" w:color="auto" w:fill="auto"/>
            <w:vAlign w:val="center"/>
          </w:tcPr>
          <w:p w14:paraId="030BBAE6" w14:textId="77777777" w:rsidR="007D1E74" w:rsidRDefault="007D1E74">
            <w:pPr>
              <w:widowControl/>
              <w:jc w:val="center"/>
              <w:rPr>
                <w:rFonts w:cs="Times New Roman"/>
                <w:kern w:val="0"/>
                <w:szCs w:val="21"/>
              </w:rPr>
            </w:pPr>
          </w:p>
        </w:tc>
        <w:tc>
          <w:tcPr>
            <w:tcW w:w="563" w:type="pct"/>
            <w:shd w:val="clear" w:color="auto" w:fill="auto"/>
            <w:vAlign w:val="center"/>
          </w:tcPr>
          <w:p w14:paraId="740DC857" w14:textId="77777777" w:rsidR="007D1E74" w:rsidRDefault="007D1E74">
            <w:pPr>
              <w:widowControl/>
              <w:jc w:val="center"/>
              <w:rPr>
                <w:rFonts w:cs="Times New Roman"/>
                <w:kern w:val="0"/>
                <w:szCs w:val="21"/>
              </w:rPr>
            </w:pPr>
          </w:p>
        </w:tc>
      </w:tr>
      <w:tr w:rsidR="007D1E74" w14:paraId="6F90AC7D" w14:textId="77777777">
        <w:tc>
          <w:tcPr>
            <w:tcW w:w="2742" w:type="pct"/>
            <w:shd w:val="clear" w:color="auto" w:fill="auto"/>
            <w:vAlign w:val="center"/>
          </w:tcPr>
          <w:p w14:paraId="55AD6CA6" w14:textId="77777777" w:rsidR="007D1E74" w:rsidRDefault="00A95641">
            <w:pPr>
              <w:widowControl/>
              <w:rPr>
                <w:rFonts w:cs="Times New Roman"/>
                <w:kern w:val="0"/>
                <w:szCs w:val="21"/>
              </w:rPr>
            </w:pPr>
            <w:r>
              <w:rPr>
                <w:rFonts w:cs="Times New Roman"/>
                <w:kern w:val="0"/>
                <w:szCs w:val="21"/>
              </w:rPr>
              <w:t>2.</w:t>
            </w:r>
            <w:r>
              <w:rPr>
                <w:rFonts w:ascii="宋体" w:hAnsi="宋体" w:cs="Times New Roman" w:hint="eastAsia"/>
                <w:kern w:val="0"/>
                <w:szCs w:val="21"/>
              </w:rPr>
              <w:t>桥弯藻属</w:t>
            </w:r>
            <w:r>
              <w:rPr>
                <w:rFonts w:cs="Times New Roman"/>
                <w:i/>
                <w:iCs/>
                <w:kern w:val="0"/>
                <w:szCs w:val="21"/>
              </w:rPr>
              <w:t>Cymbella</w:t>
            </w:r>
          </w:p>
        </w:tc>
        <w:tc>
          <w:tcPr>
            <w:tcW w:w="565" w:type="pct"/>
            <w:shd w:val="clear" w:color="auto" w:fill="auto"/>
            <w:vAlign w:val="center"/>
          </w:tcPr>
          <w:p w14:paraId="792DF3AB" w14:textId="77777777" w:rsidR="007D1E74" w:rsidRDefault="007D1E74">
            <w:pPr>
              <w:widowControl/>
              <w:jc w:val="center"/>
              <w:rPr>
                <w:rFonts w:cs="Times New Roman"/>
                <w:kern w:val="0"/>
                <w:szCs w:val="21"/>
              </w:rPr>
            </w:pPr>
          </w:p>
        </w:tc>
        <w:tc>
          <w:tcPr>
            <w:tcW w:w="565" w:type="pct"/>
            <w:shd w:val="clear" w:color="auto" w:fill="auto"/>
            <w:vAlign w:val="center"/>
          </w:tcPr>
          <w:p w14:paraId="72E9DF61" w14:textId="77777777" w:rsidR="007D1E74" w:rsidRDefault="007D1E74">
            <w:pPr>
              <w:widowControl/>
              <w:jc w:val="center"/>
              <w:rPr>
                <w:rFonts w:cs="Times New Roman"/>
                <w:kern w:val="0"/>
                <w:szCs w:val="21"/>
              </w:rPr>
            </w:pPr>
          </w:p>
        </w:tc>
        <w:tc>
          <w:tcPr>
            <w:tcW w:w="565" w:type="pct"/>
            <w:shd w:val="clear" w:color="auto" w:fill="auto"/>
            <w:vAlign w:val="center"/>
          </w:tcPr>
          <w:p w14:paraId="112B7A9C" w14:textId="77777777" w:rsidR="007D1E74" w:rsidRDefault="007D1E74">
            <w:pPr>
              <w:widowControl/>
              <w:jc w:val="center"/>
              <w:rPr>
                <w:rFonts w:cs="Times New Roman"/>
                <w:kern w:val="0"/>
                <w:szCs w:val="21"/>
              </w:rPr>
            </w:pPr>
          </w:p>
        </w:tc>
        <w:tc>
          <w:tcPr>
            <w:tcW w:w="563" w:type="pct"/>
            <w:shd w:val="clear" w:color="auto" w:fill="auto"/>
            <w:vAlign w:val="center"/>
          </w:tcPr>
          <w:p w14:paraId="4C0B7B94" w14:textId="77777777" w:rsidR="007D1E74" w:rsidRDefault="007D1E74">
            <w:pPr>
              <w:widowControl/>
              <w:jc w:val="center"/>
              <w:rPr>
                <w:rFonts w:cs="Times New Roman"/>
                <w:kern w:val="0"/>
                <w:szCs w:val="21"/>
              </w:rPr>
            </w:pPr>
          </w:p>
        </w:tc>
      </w:tr>
      <w:tr w:rsidR="007D1E74" w14:paraId="26894FE7" w14:textId="77777777">
        <w:tc>
          <w:tcPr>
            <w:tcW w:w="2742" w:type="pct"/>
            <w:shd w:val="clear" w:color="auto" w:fill="auto"/>
            <w:vAlign w:val="center"/>
          </w:tcPr>
          <w:p w14:paraId="1C361B71"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8</w:t>
            </w:r>
            <w:r>
              <w:rPr>
                <w:rFonts w:ascii="宋体" w:hAnsi="宋体" w:cs="宋体" w:hint="eastAsia"/>
                <w:kern w:val="0"/>
                <w:szCs w:val="21"/>
              </w:rPr>
              <w:t>）披针桥弯藻</w:t>
            </w:r>
            <w:r>
              <w:rPr>
                <w:rFonts w:cs="Times New Roman"/>
                <w:i/>
                <w:iCs/>
                <w:kern w:val="0"/>
                <w:szCs w:val="21"/>
              </w:rPr>
              <w:t>C. lanceolata</w:t>
            </w:r>
          </w:p>
        </w:tc>
        <w:tc>
          <w:tcPr>
            <w:tcW w:w="565" w:type="pct"/>
            <w:shd w:val="clear" w:color="auto" w:fill="auto"/>
            <w:vAlign w:val="center"/>
          </w:tcPr>
          <w:p w14:paraId="62C78468"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1B2F7921"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07469752" w14:textId="77777777" w:rsidR="007D1E74" w:rsidRDefault="007D1E74">
            <w:pPr>
              <w:widowControl/>
              <w:jc w:val="center"/>
              <w:rPr>
                <w:rFonts w:cs="Times New Roman"/>
                <w:kern w:val="0"/>
                <w:szCs w:val="21"/>
              </w:rPr>
            </w:pPr>
          </w:p>
        </w:tc>
        <w:tc>
          <w:tcPr>
            <w:tcW w:w="563" w:type="pct"/>
            <w:shd w:val="clear" w:color="auto" w:fill="auto"/>
            <w:vAlign w:val="center"/>
          </w:tcPr>
          <w:p w14:paraId="3A27DE56" w14:textId="77777777" w:rsidR="007D1E74" w:rsidRDefault="00A95641">
            <w:pPr>
              <w:widowControl/>
              <w:jc w:val="center"/>
              <w:rPr>
                <w:rFonts w:cs="Times New Roman"/>
                <w:kern w:val="0"/>
                <w:szCs w:val="21"/>
              </w:rPr>
            </w:pPr>
            <w:r>
              <w:rPr>
                <w:rFonts w:cs="Times New Roman"/>
                <w:kern w:val="0"/>
                <w:szCs w:val="21"/>
              </w:rPr>
              <w:t>-</w:t>
            </w:r>
          </w:p>
        </w:tc>
      </w:tr>
      <w:tr w:rsidR="007D1E74" w14:paraId="3433EDF6" w14:textId="77777777">
        <w:tc>
          <w:tcPr>
            <w:tcW w:w="2742" w:type="pct"/>
            <w:shd w:val="clear" w:color="auto" w:fill="auto"/>
            <w:vAlign w:val="center"/>
          </w:tcPr>
          <w:p w14:paraId="7CCB0F68"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9</w:t>
            </w:r>
            <w:r>
              <w:rPr>
                <w:rFonts w:ascii="宋体" w:hAnsi="宋体" w:cs="宋体" w:hint="eastAsia"/>
                <w:kern w:val="0"/>
                <w:szCs w:val="21"/>
              </w:rPr>
              <w:t>）箱形桥弯藻</w:t>
            </w:r>
            <w:r>
              <w:rPr>
                <w:rFonts w:cs="Times New Roman"/>
                <w:i/>
                <w:iCs/>
                <w:kern w:val="0"/>
                <w:szCs w:val="21"/>
              </w:rPr>
              <w:t>C.cistula</w:t>
            </w:r>
          </w:p>
        </w:tc>
        <w:tc>
          <w:tcPr>
            <w:tcW w:w="565" w:type="pct"/>
            <w:shd w:val="clear" w:color="auto" w:fill="auto"/>
            <w:vAlign w:val="center"/>
          </w:tcPr>
          <w:p w14:paraId="151AF55B"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46435F2D"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21A72741" w14:textId="77777777" w:rsidR="007D1E74" w:rsidRDefault="00A95641">
            <w:pPr>
              <w:widowControl/>
              <w:jc w:val="center"/>
              <w:rPr>
                <w:rFonts w:cs="Times New Roman"/>
                <w:kern w:val="0"/>
                <w:szCs w:val="21"/>
              </w:rPr>
            </w:pPr>
            <w:r>
              <w:rPr>
                <w:rFonts w:cs="Times New Roman"/>
                <w:kern w:val="0"/>
                <w:szCs w:val="21"/>
              </w:rPr>
              <w:t>++</w:t>
            </w:r>
          </w:p>
        </w:tc>
        <w:tc>
          <w:tcPr>
            <w:tcW w:w="563" w:type="pct"/>
            <w:shd w:val="clear" w:color="auto" w:fill="auto"/>
            <w:vAlign w:val="center"/>
          </w:tcPr>
          <w:p w14:paraId="24999D4A" w14:textId="77777777" w:rsidR="007D1E74" w:rsidRDefault="00A95641">
            <w:pPr>
              <w:widowControl/>
              <w:jc w:val="center"/>
              <w:rPr>
                <w:rFonts w:cs="Times New Roman"/>
                <w:kern w:val="0"/>
                <w:szCs w:val="21"/>
              </w:rPr>
            </w:pPr>
            <w:r>
              <w:rPr>
                <w:rFonts w:cs="Times New Roman"/>
                <w:kern w:val="0"/>
                <w:szCs w:val="21"/>
              </w:rPr>
              <w:t>++</w:t>
            </w:r>
          </w:p>
        </w:tc>
      </w:tr>
      <w:tr w:rsidR="007D1E74" w14:paraId="1B792CD4" w14:textId="77777777">
        <w:tc>
          <w:tcPr>
            <w:tcW w:w="2742" w:type="pct"/>
            <w:shd w:val="clear" w:color="auto" w:fill="auto"/>
            <w:vAlign w:val="center"/>
          </w:tcPr>
          <w:p w14:paraId="473CB42F"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10</w:t>
            </w:r>
            <w:r>
              <w:rPr>
                <w:rFonts w:ascii="宋体" w:hAnsi="宋体" w:cs="宋体" w:hint="eastAsia"/>
                <w:kern w:val="0"/>
                <w:szCs w:val="21"/>
              </w:rPr>
              <w:t>）胡斯特桥弯藻</w:t>
            </w:r>
            <w:r>
              <w:rPr>
                <w:rFonts w:cs="Times New Roman"/>
                <w:i/>
                <w:iCs/>
                <w:kern w:val="0"/>
                <w:szCs w:val="21"/>
              </w:rPr>
              <w:t>C.hustedtii</w:t>
            </w:r>
          </w:p>
        </w:tc>
        <w:tc>
          <w:tcPr>
            <w:tcW w:w="565" w:type="pct"/>
            <w:shd w:val="clear" w:color="auto" w:fill="auto"/>
            <w:vAlign w:val="center"/>
          </w:tcPr>
          <w:p w14:paraId="7ED9434A"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6FF77460"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033888E1" w14:textId="77777777" w:rsidR="007D1E74" w:rsidRDefault="00A95641">
            <w:pPr>
              <w:widowControl/>
              <w:jc w:val="center"/>
              <w:rPr>
                <w:rFonts w:cs="Times New Roman"/>
                <w:kern w:val="0"/>
                <w:szCs w:val="21"/>
              </w:rPr>
            </w:pPr>
            <w:r>
              <w:rPr>
                <w:rFonts w:cs="Times New Roman"/>
                <w:kern w:val="0"/>
                <w:szCs w:val="21"/>
              </w:rPr>
              <w:t>-</w:t>
            </w:r>
          </w:p>
        </w:tc>
        <w:tc>
          <w:tcPr>
            <w:tcW w:w="563" w:type="pct"/>
            <w:shd w:val="clear" w:color="auto" w:fill="auto"/>
            <w:vAlign w:val="center"/>
          </w:tcPr>
          <w:p w14:paraId="2AE7D8E9" w14:textId="77777777" w:rsidR="007D1E74" w:rsidRDefault="00A95641">
            <w:pPr>
              <w:widowControl/>
              <w:jc w:val="center"/>
              <w:rPr>
                <w:rFonts w:cs="Times New Roman"/>
                <w:kern w:val="0"/>
                <w:szCs w:val="21"/>
              </w:rPr>
            </w:pPr>
            <w:r>
              <w:rPr>
                <w:rFonts w:cs="Times New Roman"/>
                <w:kern w:val="0"/>
                <w:szCs w:val="21"/>
              </w:rPr>
              <w:t>+</w:t>
            </w:r>
          </w:p>
        </w:tc>
      </w:tr>
      <w:tr w:rsidR="007D1E74" w14:paraId="4B78E022" w14:textId="77777777">
        <w:tc>
          <w:tcPr>
            <w:tcW w:w="2742" w:type="pct"/>
            <w:shd w:val="clear" w:color="auto" w:fill="auto"/>
            <w:vAlign w:val="center"/>
          </w:tcPr>
          <w:p w14:paraId="12B984C1"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11</w:t>
            </w:r>
            <w:r>
              <w:rPr>
                <w:rFonts w:ascii="宋体" w:hAnsi="宋体" w:cs="宋体" w:hint="eastAsia"/>
                <w:kern w:val="0"/>
                <w:szCs w:val="21"/>
              </w:rPr>
              <w:t>）纤细桥弯藻</w:t>
            </w:r>
            <w:r>
              <w:rPr>
                <w:rFonts w:cs="Times New Roman"/>
                <w:i/>
                <w:iCs/>
                <w:kern w:val="0"/>
                <w:szCs w:val="21"/>
              </w:rPr>
              <w:t>C. gracilis</w:t>
            </w:r>
          </w:p>
        </w:tc>
        <w:tc>
          <w:tcPr>
            <w:tcW w:w="565" w:type="pct"/>
            <w:shd w:val="clear" w:color="auto" w:fill="auto"/>
            <w:vAlign w:val="center"/>
          </w:tcPr>
          <w:p w14:paraId="72269B61"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4E23CC14"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4E58EE36" w14:textId="77777777" w:rsidR="007D1E74" w:rsidRDefault="00A95641">
            <w:pPr>
              <w:widowControl/>
              <w:jc w:val="center"/>
              <w:rPr>
                <w:rFonts w:cs="Times New Roman"/>
                <w:kern w:val="0"/>
                <w:szCs w:val="21"/>
              </w:rPr>
            </w:pPr>
            <w:r>
              <w:rPr>
                <w:rFonts w:cs="Times New Roman"/>
                <w:kern w:val="0"/>
                <w:szCs w:val="21"/>
              </w:rPr>
              <w:t>+</w:t>
            </w:r>
          </w:p>
        </w:tc>
        <w:tc>
          <w:tcPr>
            <w:tcW w:w="563" w:type="pct"/>
            <w:shd w:val="clear" w:color="auto" w:fill="auto"/>
            <w:vAlign w:val="center"/>
          </w:tcPr>
          <w:p w14:paraId="44B76A61" w14:textId="77777777" w:rsidR="007D1E74" w:rsidRDefault="00A95641">
            <w:pPr>
              <w:widowControl/>
              <w:jc w:val="center"/>
              <w:rPr>
                <w:rFonts w:cs="Times New Roman"/>
                <w:kern w:val="0"/>
                <w:szCs w:val="21"/>
              </w:rPr>
            </w:pPr>
            <w:r>
              <w:rPr>
                <w:rFonts w:cs="Times New Roman"/>
                <w:kern w:val="0"/>
                <w:szCs w:val="21"/>
              </w:rPr>
              <w:t>+</w:t>
            </w:r>
          </w:p>
        </w:tc>
      </w:tr>
      <w:tr w:rsidR="007D1E74" w14:paraId="00186D36" w14:textId="77777777">
        <w:tc>
          <w:tcPr>
            <w:tcW w:w="2742" w:type="pct"/>
            <w:shd w:val="clear" w:color="auto" w:fill="auto"/>
            <w:vAlign w:val="center"/>
          </w:tcPr>
          <w:p w14:paraId="773B4A78" w14:textId="77777777" w:rsidR="007D1E74" w:rsidRDefault="00A95641">
            <w:pPr>
              <w:widowControl/>
              <w:rPr>
                <w:rFonts w:ascii="宋体" w:hAnsi="宋体" w:cs="宋体"/>
                <w:kern w:val="0"/>
                <w:szCs w:val="21"/>
              </w:rPr>
            </w:pPr>
            <w:r>
              <w:rPr>
                <w:rFonts w:ascii="宋体" w:hAnsi="宋体" w:cs="宋体" w:hint="eastAsia"/>
                <w:kern w:val="0"/>
                <w:szCs w:val="21"/>
              </w:rPr>
              <w:lastRenderedPageBreak/>
              <w:t>（</w:t>
            </w:r>
            <w:r>
              <w:rPr>
                <w:rFonts w:cs="Times New Roman"/>
                <w:kern w:val="0"/>
                <w:szCs w:val="21"/>
              </w:rPr>
              <w:t>12</w:t>
            </w:r>
            <w:r>
              <w:rPr>
                <w:rFonts w:ascii="宋体" w:hAnsi="宋体" w:cs="宋体" w:hint="eastAsia"/>
                <w:kern w:val="0"/>
                <w:szCs w:val="21"/>
              </w:rPr>
              <w:t>）澳大利亚桥弯藻</w:t>
            </w:r>
            <w:r>
              <w:rPr>
                <w:rFonts w:cs="Times New Roman"/>
                <w:i/>
                <w:iCs/>
                <w:kern w:val="0"/>
                <w:szCs w:val="21"/>
              </w:rPr>
              <w:t>C. australica</w:t>
            </w:r>
          </w:p>
        </w:tc>
        <w:tc>
          <w:tcPr>
            <w:tcW w:w="565" w:type="pct"/>
            <w:shd w:val="clear" w:color="auto" w:fill="auto"/>
            <w:vAlign w:val="center"/>
          </w:tcPr>
          <w:p w14:paraId="38A4E0CB"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2850A7AF"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393DB98B" w14:textId="77777777" w:rsidR="007D1E74" w:rsidRDefault="00A95641">
            <w:pPr>
              <w:widowControl/>
              <w:jc w:val="center"/>
              <w:rPr>
                <w:rFonts w:cs="Times New Roman"/>
                <w:kern w:val="0"/>
                <w:szCs w:val="21"/>
              </w:rPr>
            </w:pPr>
            <w:r>
              <w:rPr>
                <w:rFonts w:cs="Times New Roman"/>
                <w:kern w:val="0"/>
                <w:szCs w:val="21"/>
              </w:rPr>
              <w:t>-</w:t>
            </w:r>
          </w:p>
        </w:tc>
        <w:tc>
          <w:tcPr>
            <w:tcW w:w="563" w:type="pct"/>
            <w:shd w:val="clear" w:color="auto" w:fill="auto"/>
            <w:vAlign w:val="center"/>
          </w:tcPr>
          <w:p w14:paraId="1003E297" w14:textId="77777777" w:rsidR="007D1E74" w:rsidRDefault="00A95641">
            <w:pPr>
              <w:widowControl/>
              <w:jc w:val="center"/>
              <w:rPr>
                <w:rFonts w:cs="Times New Roman"/>
                <w:kern w:val="0"/>
                <w:szCs w:val="21"/>
              </w:rPr>
            </w:pPr>
            <w:r>
              <w:rPr>
                <w:rFonts w:cs="Times New Roman"/>
                <w:kern w:val="0"/>
                <w:szCs w:val="21"/>
              </w:rPr>
              <w:t>-</w:t>
            </w:r>
          </w:p>
        </w:tc>
      </w:tr>
      <w:tr w:rsidR="007D1E74" w14:paraId="26540B07" w14:textId="77777777">
        <w:tc>
          <w:tcPr>
            <w:tcW w:w="2742" w:type="pct"/>
            <w:shd w:val="clear" w:color="auto" w:fill="auto"/>
            <w:vAlign w:val="center"/>
          </w:tcPr>
          <w:p w14:paraId="4422667E"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13</w:t>
            </w:r>
            <w:r>
              <w:rPr>
                <w:rFonts w:ascii="宋体" w:hAnsi="宋体" w:cs="宋体" w:hint="eastAsia"/>
                <w:kern w:val="0"/>
                <w:szCs w:val="21"/>
              </w:rPr>
              <w:t>）极小桥弯藻</w:t>
            </w:r>
            <w:r>
              <w:rPr>
                <w:rFonts w:cs="Times New Roman"/>
                <w:i/>
                <w:iCs/>
                <w:kern w:val="0"/>
                <w:szCs w:val="21"/>
              </w:rPr>
              <w:t>C. perpusilla</w:t>
            </w:r>
          </w:p>
        </w:tc>
        <w:tc>
          <w:tcPr>
            <w:tcW w:w="565" w:type="pct"/>
            <w:shd w:val="clear" w:color="auto" w:fill="auto"/>
            <w:vAlign w:val="center"/>
          </w:tcPr>
          <w:p w14:paraId="76C2BA40"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277025DC"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14691F19" w14:textId="77777777" w:rsidR="007D1E74" w:rsidRDefault="007D1E74">
            <w:pPr>
              <w:widowControl/>
              <w:jc w:val="center"/>
              <w:rPr>
                <w:rFonts w:cs="Times New Roman"/>
                <w:kern w:val="0"/>
                <w:szCs w:val="21"/>
              </w:rPr>
            </w:pPr>
          </w:p>
        </w:tc>
        <w:tc>
          <w:tcPr>
            <w:tcW w:w="563" w:type="pct"/>
            <w:shd w:val="clear" w:color="auto" w:fill="auto"/>
            <w:vAlign w:val="center"/>
          </w:tcPr>
          <w:p w14:paraId="1FDAC213" w14:textId="77777777" w:rsidR="007D1E74" w:rsidRDefault="00A95641">
            <w:pPr>
              <w:widowControl/>
              <w:jc w:val="center"/>
              <w:rPr>
                <w:rFonts w:cs="Times New Roman"/>
                <w:kern w:val="0"/>
                <w:szCs w:val="21"/>
              </w:rPr>
            </w:pPr>
            <w:r>
              <w:rPr>
                <w:rFonts w:cs="Times New Roman"/>
                <w:kern w:val="0"/>
                <w:szCs w:val="21"/>
              </w:rPr>
              <w:t>+</w:t>
            </w:r>
          </w:p>
        </w:tc>
      </w:tr>
      <w:tr w:rsidR="007D1E74" w14:paraId="02B74A92" w14:textId="77777777">
        <w:tc>
          <w:tcPr>
            <w:tcW w:w="2742" w:type="pct"/>
            <w:shd w:val="clear" w:color="auto" w:fill="auto"/>
            <w:vAlign w:val="center"/>
          </w:tcPr>
          <w:p w14:paraId="0137C0E5"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14</w:t>
            </w:r>
            <w:r>
              <w:rPr>
                <w:rFonts w:ascii="宋体" w:hAnsi="宋体" w:cs="宋体" w:hint="eastAsia"/>
                <w:kern w:val="0"/>
                <w:szCs w:val="21"/>
              </w:rPr>
              <w:t>）偏肿桥弯藻</w:t>
            </w:r>
            <w:r>
              <w:rPr>
                <w:rFonts w:cs="Times New Roman"/>
                <w:i/>
                <w:iCs/>
                <w:kern w:val="0"/>
                <w:szCs w:val="21"/>
              </w:rPr>
              <w:t>C. naviculiformis</w:t>
            </w:r>
          </w:p>
        </w:tc>
        <w:tc>
          <w:tcPr>
            <w:tcW w:w="565" w:type="pct"/>
            <w:shd w:val="clear" w:color="auto" w:fill="auto"/>
            <w:vAlign w:val="center"/>
          </w:tcPr>
          <w:p w14:paraId="52EFD141" w14:textId="77777777" w:rsidR="007D1E74" w:rsidRDefault="007D1E74">
            <w:pPr>
              <w:widowControl/>
              <w:jc w:val="center"/>
              <w:rPr>
                <w:rFonts w:cs="Times New Roman"/>
                <w:kern w:val="0"/>
                <w:szCs w:val="21"/>
              </w:rPr>
            </w:pPr>
          </w:p>
        </w:tc>
        <w:tc>
          <w:tcPr>
            <w:tcW w:w="565" w:type="pct"/>
            <w:shd w:val="clear" w:color="auto" w:fill="auto"/>
            <w:vAlign w:val="center"/>
          </w:tcPr>
          <w:p w14:paraId="553B9011"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6912BF3B" w14:textId="77777777" w:rsidR="007D1E74" w:rsidRDefault="00A95641">
            <w:pPr>
              <w:widowControl/>
              <w:jc w:val="center"/>
              <w:rPr>
                <w:rFonts w:cs="Times New Roman"/>
                <w:kern w:val="0"/>
                <w:szCs w:val="21"/>
              </w:rPr>
            </w:pPr>
            <w:r>
              <w:rPr>
                <w:rFonts w:cs="Times New Roman"/>
                <w:kern w:val="0"/>
                <w:szCs w:val="21"/>
              </w:rPr>
              <w:t>++</w:t>
            </w:r>
          </w:p>
        </w:tc>
        <w:tc>
          <w:tcPr>
            <w:tcW w:w="563" w:type="pct"/>
            <w:shd w:val="clear" w:color="auto" w:fill="auto"/>
            <w:vAlign w:val="center"/>
          </w:tcPr>
          <w:p w14:paraId="0F3F1939" w14:textId="77777777" w:rsidR="007D1E74" w:rsidRDefault="007D1E74">
            <w:pPr>
              <w:widowControl/>
              <w:jc w:val="center"/>
              <w:rPr>
                <w:rFonts w:cs="Times New Roman"/>
                <w:kern w:val="0"/>
                <w:szCs w:val="21"/>
              </w:rPr>
            </w:pPr>
          </w:p>
        </w:tc>
      </w:tr>
      <w:tr w:rsidR="007D1E74" w14:paraId="38ED3453" w14:textId="77777777">
        <w:tc>
          <w:tcPr>
            <w:tcW w:w="2742" w:type="pct"/>
            <w:shd w:val="clear" w:color="auto" w:fill="auto"/>
            <w:vAlign w:val="center"/>
          </w:tcPr>
          <w:p w14:paraId="4CB4729E"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15</w:t>
            </w:r>
            <w:r>
              <w:rPr>
                <w:rFonts w:ascii="宋体" w:hAnsi="宋体" w:cs="宋体" w:hint="eastAsia"/>
                <w:kern w:val="0"/>
                <w:szCs w:val="21"/>
              </w:rPr>
              <w:t>）新月桥弯藻</w:t>
            </w:r>
            <w:r>
              <w:rPr>
                <w:rFonts w:cs="Times New Roman"/>
                <w:i/>
                <w:iCs/>
                <w:kern w:val="0"/>
                <w:szCs w:val="21"/>
              </w:rPr>
              <w:t>C.cymbiformis</w:t>
            </w:r>
          </w:p>
        </w:tc>
        <w:tc>
          <w:tcPr>
            <w:tcW w:w="565" w:type="pct"/>
            <w:shd w:val="clear" w:color="auto" w:fill="auto"/>
            <w:vAlign w:val="center"/>
          </w:tcPr>
          <w:p w14:paraId="419DFE5A"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6533A333"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0908D9EF" w14:textId="77777777" w:rsidR="007D1E74" w:rsidRDefault="007D1E74">
            <w:pPr>
              <w:widowControl/>
              <w:jc w:val="center"/>
              <w:rPr>
                <w:rFonts w:cs="Times New Roman"/>
                <w:kern w:val="0"/>
                <w:szCs w:val="21"/>
              </w:rPr>
            </w:pPr>
          </w:p>
        </w:tc>
        <w:tc>
          <w:tcPr>
            <w:tcW w:w="563" w:type="pct"/>
            <w:shd w:val="clear" w:color="auto" w:fill="auto"/>
            <w:vAlign w:val="center"/>
          </w:tcPr>
          <w:p w14:paraId="339D69B6" w14:textId="77777777" w:rsidR="007D1E74" w:rsidRDefault="007D1E74">
            <w:pPr>
              <w:widowControl/>
              <w:jc w:val="center"/>
              <w:rPr>
                <w:rFonts w:cs="Times New Roman"/>
                <w:kern w:val="0"/>
                <w:szCs w:val="21"/>
              </w:rPr>
            </w:pPr>
          </w:p>
        </w:tc>
      </w:tr>
      <w:tr w:rsidR="007D1E74" w14:paraId="599C8215" w14:textId="77777777">
        <w:tc>
          <w:tcPr>
            <w:tcW w:w="2742" w:type="pct"/>
            <w:shd w:val="clear" w:color="auto" w:fill="auto"/>
            <w:vAlign w:val="center"/>
          </w:tcPr>
          <w:p w14:paraId="7EFD1962"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16</w:t>
            </w:r>
            <w:r>
              <w:rPr>
                <w:rFonts w:ascii="宋体" w:hAnsi="宋体" w:cs="宋体" w:hint="eastAsia"/>
                <w:kern w:val="0"/>
                <w:szCs w:val="21"/>
              </w:rPr>
              <w:t>）小桥弯藻</w:t>
            </w:r>
            <w:r>
              <w:rPr>
                <w:rFonts w:cs="Times New Roman"/>
                <w:i/>
                <w:iCs/>
                <w:kern w:val="0"/>
                <w:szCs w:val="21"/>
              </w:rPr>
              <w:t>C. laevis Näg.</w:t>
            </w:r>
          </w:p>
        </w:tc>
        <w:tc>
          <w:tcPr>
            <w:tcW w:w="565" w:type="pct"/>
            <w:shd w:val="clear" w:color="auto" w:fill="auto"/>
            <w:vAlign w:val="center"/>
          </w:tcPr>
          <w:p w14:paraId="4EC3BE82"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46706F72"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627049AB" w14:textId="77777777" w:rsidR="007D1E74" w:rsidRDefault="00A95641">
            <w:pPr>
              <w:widowControl/>
              <w:jc w:val="center"/>
              <w:rPr>
                <w:rFonts w:cs="Times New Roman"/>
                <w:kern w:val="0"/>
                <w:szCs w:val="21"/>
              </w:rPr>
            </w:pPr>
            <w:r>
              <w:rPr>
                <w:rFonts w:cs="Times New Roman"/>
                <w:kern w:val="0"/>
                <w:szCs w:val="21"/>
              </w:rPr>
              <w:t>-</w:t>
            </w:r>
          </w:p>
        </w:tc>
        <w:tc>
          <w:tcPr>
            <w:tcW w:w="563" w:type="pct"/>
            <w:shd w:val="clear" w:color="auto" w:fill="auto"/>
            <w:vAlign w:val="center"/>
          </w:tcPr>
          <w:p w14:paraId="08C71C7C" w14:textId="77777777" w:rsidR="007D1E74" w:rsidRDefault="00A95641">
            <w:pPr>
              <w:widowControl/>
              <w:jc w:val="center"/>
              <w:rPr>
                <w:rFonts w:cs="Times New Roman"/>
                <w:kern w:val="0"/>
                <w:szCs w:val="21"/>
              </w:rPr>
            </w:pPr>
            <w:r>
              <w:rPr>
                <w:rFonts w:cs="Times New Roman"/>
                <w:kern w:val="0"/>
                <w:szCs w:val="21"/>
              </w:rPr>
              <w:t>++</w:t>
            </w:r>
          </w:p>
        </w:tc>
      </w:tr>
      <w:tr w:rsidR="007D1E74" w14:paraId="62112549" w14:textId="77777777">
        <w:tc>
          <w:tcPr>
            <w:tcW w:w="2742" w:type="pct"/>
            <w:shd w:val="clear" w:color="auto" w:fill="auto"/>
            <w:vAlign w:val="center"/>
          </w:tcPr>
          <w:p w14:paraId="643752F1" w14:textId="77777777" w:rsidR="007D1E74" w:rsidRDefault="00A95641">
            <w:pPr>
              <w:widowControl/>
              <w:rPr>
                <w:rFonts w:ascii="宋体" w:hAnsi="宋体" w:cs="宋体"/>
                <w:kern w:val="0"/>
                <w:szCs w:val="21"/>
              </w:rPr>
            </w:pPr>
            <w:r>
              <w:rPr>
                <w:rFonts w:ascii="宋体" w:hAnsi="宋体" w:cs="宋体" w:hint="eastAsia"/>
                <w:kern w:val="0"/>
                <w:szCs w:val="21"/>
              </w:rPr>
              <w:t>（三）异极藻科</w:t>
            </w:r>
            <w:r>
              <w:rPr>
                <w:rFonts w:cs="Times New Roman"/>
                <w:kern w:val="0"/>
                <w:szCs w:val="21"/>
              </w:rPr>
              <w:t>Gomphonemaceae</w:t>
            </w:r>
          </w:p>
        </w:tc>
        <w:tc>
          <w:tcPr>
            <w:tcW w:w="565" w:type="pct"/>
            <w:shd w:val="clear" w:color="auto" w:fill="auto"/>
            <w:vAlign w:val="center"/>
          </w:tcPr>
          <w:p w14:paraId="3975D64C" w14:textId="77777777" w:rsidR="007D1E74" w:rsidRDefault="007D1E74">
            <w:pPr>
              <w:widowControl/>
              <w:jc w:val="center"/>
              <w:rPr>
                <w:rFonts w:cs="Times New Roman"/>
                <w:kern w:val="0"/>
                <w:szCs w:val="21"/>
              </w:rPr>
            </w:pPr>
          </w:p>
        </w:tc>
        <w:tc>
          <w:tcPr>
            <w:tcW w:w="565" w:type="pct"/>
            <w:shd w:val="clear" w:color="auto" w:fill="auto"/>
            <w:vAlign w:val="center"/>
          </w:tcPr>
          <w:p w14:paraId="78AAE6EA" w14:textId="77777777" w:rsidR="007D1E74" w:rsidRDefault="007D1E74">
            <w:pPr>
              <w:widowControl/>
              <w:jc w:val="center"/>
              <w:rPr>
                <w:rFonts w:cs="Times New Roman"/>
                <w:kern w:val="0"/>
                <w:szCs w:val="21"/>
              </w:rPr>
            </w:pPr>
          </w:p>
        </w:tc>
        <w:tc>
          <w:tcPr>
            <w:tcW w:w="565" w:type="pct"/>
            <w:shd w:val="clear" w:color="auto" w:fill="auto"/>
            <w:vAlign w:val="center"/>
          </w:tcPr>
          <w:p w14:paraId="4F699FE2" w14:textId="77777777" w:rsidR="007D1E74" w:rsidRDefault="007D1E74">
            <w:pPr>
              <w:widowControl/>
              <w:jc w:val="center"/>
              <w:rPr>
                <w:rFonts w:cs="Times New Roman"/>
                <w:kern w:val="0"/>
                <w:szCs w:val="21"/>
              </w:rPr>
            </w:pPr>
          </w:p>
        </w:tc>
        <w:tc>
          <w:tcPr>
            <w:tcW w:w="563" w:type="pct"/>
            <w:shd w:val="clear" w:color="auto" w:fill="auto"/>
            <w:vAlign w:val="center"/>
          </w:tcPr>
          <w:p w14:paraId="22278B21" w14:textId="77777777" w:rsidR="007D1E74" w:rsidRDefault="007D1E74">
            <w:pPr>
              <w:widowControl/>
              <w:jc w:val="center"/>
              <w:rPr>
                <w:rFonts w:cs="Times New Roman"/>
                <w:kern w:val="0"/>
                <w:szCs w:val="21"/>
              </w:rPr>
            </w:pPr>
          </w:p>
        </w:tc>
      </w:tr>
      <w:tr w:rsidR="007D1E74" w14:paraId="3CDD494F" w14:textId="77777777">
        <w:tc>
          <w:tcPr>
            <w:tcW w:w="2742" w:type="pct"/>
            <w:shd w:val="clear" w:color="auto" w:fill="auto"/>
            <w:vAlign w:val="center"/>
          </w:tcPr>
          <w:p w14:paraId="46D0597B" w14:textId="77777777" w:rsidR="007D1E74" w:rsidRDefault="00A95641">
            <w:pPr>
              <w:widowControl/>
              <w:rPr>
                <w:rFonts w:cs="Times New Roman"/>
                <w:kern w:val="0"/>
                <w:szCs w:val="21"/>
              </w:rPr>
            </w:pPr>
            <w:r>
              <w:rPr>
                <w:rFonts w:cs="Times New Roman"/>
                <w:kern w:val="0"/>
                <w:szCs w:val="21"/>
              </w:rPr>
              <w:t xml:space="preserve">3. </w:t>
            </w:r>
            <w:r>
              <w:rPr>
                <w:rFonts w:ascii="宋体" w:hAnsi="宋体" w:cs="Times New Roman" w:hint="eastAsia"/>
                <w:kern w:val="0"/>
                <w:szCs w:val="21"/>
              </w:rPr>
              <w:t>异极藻属</w:t>
            </w:r>
            <w:r>
              <w:rPr>
                <w:rFonts w:cs="Times New Roman"/>
                <w:i/>
                <w:iCs/>
                <w:kern w:val="0"/>
                <w:szCs w:val="21"/>
              </w:rPr>
              <w:t>Gomphonemaceae</w:t>
            </w:r>
          </w:p>
        </w:tc>
        <w:tc>
          <w:tcPr>
            <w:tcW w:w="565" w:type="pct"/>
            <w:shd w:val="clear" w:color="auto" w:fill="auto"/>
            <w:vAlign w:val="center"/>
          </w:tcPr>
          <w:p w14:paraId="4205961B" w14:textId="77777777" w:rsidR="007D1E74" w:rsidRDefault="007D1E74">
            <w:pPr>
              <w:widowControl/>
              <w:jc w:val="center"/>
              <w:rPr>
                <w:rFonts w:cs="Times New Roman"/>
                <w:kern w:val="0"/>
                <w:szCs w:val="21"/>
              </w:rPr>
            </w:pPr>
          </w:p>
        </w:tc>
        <w:tc>
          <w:tcPr>
            <w:tcW w:w="565" w:type="pct"/>
            <w:shd w:val="clear" w:color="auto" w:fill="auto"/>
            <w:vAlign w:val="center"/>
          </w:tcPr>
          <w:p w14:paraId="6B5C5C27" w14:textId="77777777" w:rsidR="007D1E74" w:rsidRDefault="007D1E74">
            <w:pPr>
              <w:widowControl/>
              <w:jc w:val="center"/>
              <w:rPr>
                <w:rFonts w:cs="Times New Roman"/>
                <w:kern w:val="0"/>
                <w:szCs w:val="21"/>
              </w:rPr>
            </w:pPr>
          </w:p>
        </w:tc>
        <w:tc>
          <w:tcPr>
            <w:tcW w:w="565" w:type="pct"/>
            <w:shd w:val="clear" w:color="auto" w:fill="auto"/>
            <w:vAlign w:val="center"/>
          </w:tcPr>
          <w:p w14:paraId="514835E9" w14:textId="77777777" w:rsidR="007D1E74" w:rsidRDefault="007D1E74">
            <w:pPr>
              <w:widowControl/>
              <w:jc w:val="center"/>
              <w:rPr>
                <w:rFonts w:cs="Times New Roman"/>
                <w:kern w:val="0"/>
                <w:szCs w:val="21"/>
              </w:rPr>
            </w:pPr>
          </w:p>
        </w:tc>
        <w:tc>
          <w:tcPr>
            <w:tcW w:w="563" w:type="pct"/>
            <w:shd w:val="clear" w:color="auto" w:fill="auto"/>
            <w:vAlign w:val="center"/>
          </w:tcPr>
          <w:p w14:paraId="5A48FB4B" w14:textId="77777777" w:rsidR="007D1E74" w:rsidRDefault="007D1E74">
            <w:pPr>
              <w:widowControl/>
              <w:jc w:val="center"/>
              <w:rPr>
                <w:rFonts w:cs="Times New Roman"/>
                <w:kern w:val="0"/>
                <w:szCs w:val="21"/>
              </w:rPr>
            </w:pPr>
          </w:p>
        </w:tc>
      </w:tr>
      <w:tr w:rsidR="007D1E74" w14:paraId="044B070A" w14:textId="77777777">
        <w:tc>
          <w:tcPr>
            <w:tcW w:w="2742" w:type="pct"/>
            <w:shd w:val="clear" w:color="auto" w:fill="auto"/>
            <w:vAlign w:val="center"/>
          </w:tcPr>
          <w:p w14:paraId="1052261B"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17</w:t>
            </w:r>
            <w:r>
              <w:rPr>
                <w:rFonts w:ascii="宋体" w:hAnsi="宋体" w:cs="宋体" w:hint="eastAsia"/>
                <w:kern w:val="0"/>
                <w:szCs w:val="21"/>
              </w:rPr>
              <w:t>）橄榄形异极藻</w:t>
            </w:r>
            <w:r>
              <w:rPr>
                <w:rFonts w:cs="Times New Roman"/>
                <w:i/>
                <w:iCs/>
                <w:kern w:val="0"/>
                <w:szCs w:val="21"/>
              </w:rPr>
              <w:t>G. olivaceum</w:t>
            </w:r>
          </w:p>
        </w:tc>
        <w:tc>
          <w:tcPr>
            <w:tcW w:w="565" w:type="pct"/>
            <w:shd w:val="clear" w:color="auto" w:fill="auto"/>
            <w:vAlign w:val="center"/>
          </w:tcPr>
          <w:p w14:paraId="3A8C9B72"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3F3442C0"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52F18D86" w14:textId="77777777" w:rsidR="007D1E74" w:rsidRDefault="00A95641">
            <w:pPr>
              <w:widowControl/>
              <w:jc w:val="center"/>
              <w:rPr>
                <w:rFonts w:cs="Times New Roman"/>
                <w:kern w:val="0"/>
                <w:szCs w:val="21"/>
              </w:rPr>
            </w:pPr>
            <w:r>
              <w:rPr>
                <w:rFonts w:cs="Times New Roman"/>
                <w:kern w:val="0"/>
                <w:szCs w:val="21"/>
              </w:rPr>
              <w:t>-</w:t>
            </w:r>
          </w:p>
        </w:tc>
        <w:tc>
          <w:tcPr>
            <w:tcW w:w="563" w:type="pct"/>
            <w:shd w:val="clear" w:color="auto" w:fill="auto"/>
            <w:vAlign w:val="center"/>
          </w:tcPr>
          <w:p w14:paraId="17CF3C5A" w14:textId="77777777" w:rsidR="007D1E74" w:rsidRDefault="00A95641">
            <w:pPr>
              <w:widowControl/>
              <w:jc w:val="center"/>
              <w:rPr>
                <w:rFonts w:cs="Times New Roman"/>
                <w:kern w:val="0"/>
                <w:szCs w:val="21"/>
              </w:rPr>
            </w:pPr>
            <w:r>
              <w:rPr>
                <w:rFonts w:cs="Times New Roman"/>
                <w:kern w:val="0"/>
                <w:szCs w:val="21"/>
              </w:rPr>
              <w:t>-</w:t>
            </w:r>
          </w:p>
        </w:tc>
      </w:tr>
      <w:tr w:rsidR="007D1E74" w14:paraId="4DA63EF0" w14:textId="77777777">
        <w:tc>
          <w:tcPr>
            <w:tcW w:w="2742" w:type="pct"/>
            <w:shd w:val="clear" w:color="auto" w:fill="auto"/>
            <w:vAlign w:val="center"/>
          </w:tcPr>
          <w:p w14:paraId="4D59C2E7"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18</w:t>
            </w:r>
            <w:r>
              <w:rPr>
                <w:rFonts w:ascii="宋体" w:hAnsi="宋体" w:cs="宋体" w:hint="eastAsia"/>
                <w:kern w:val="0"/>
                <w:szCs w:val="21"/>
              </w:rPr>
              <w:t>）中间异极藻</w:t>
            </w:r>
            <w:r>
              <w:rPr>
                <w:rFonts w:cs="Times New Roman"/>
                <w:i/>
                <w:iCs/>
                <w:kern w:val="0"/>
                <w:szCs w:val="21"/>
              </w:rPr>
              <w:t>G.intricatum</w:t>
            </w:r>
          </w:p>
        </w:tc>
        <w:tc>
          <w:tcPr>
            <w:tcW w:w="565" w:type="pct"/>
            <w:shd w:val="clear" w:color="auto" w:fill="auto"/>
            <w:vAlign w:val="center"/>
          </w:tcPr>
          <w:p w14:paraId="07970192"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4723F5DC"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499BDF20" w14:textId="77777777" w:rsidR="007D1E74" w:rsidRDefault="00A95641">
            <w:pPr>
              <w:widowControl/>
              <w:jc w:val="center"/>
              <w:rPr>
                <w:rFonts w:cs="Times New Roman"/>
                <w:kern w:val="0"/>
                <w:szCs w:val="21"/>
              </w:rPr>
            </w:pPr>
            <w:r>
              <w:rPr>
                <w:rFonts w:cs="Times New Roman"/>
                <w:kern w:val="0"/>
                <w:szCs w:val="21"/>
              </w:rPr>
              <w:t>-</w:t>
            </w:r>
          </w:p>
        </w:tc>
        <w:tc>
          <w:tcPr>
            <w:tcW w:w="563" w:type="pct"/>
            <w:shd w:val="clear" w:color="auto" w:fill="auto"/>
            <w:vAlign w:val="center"/>
          </w:tcPr>
          <w:p w14:paraId="7BCB9F2B" w14:textId="77777777" w:rsidR="007D1E74" w:rsidRDefault="00A95641">
            <w:pPr>
              <w:widowControl/>
              <w:jc w:val="center"/>
              <w:rPr>
                <w:rFonts w:cs="Times New Roman"/>
                <w:kern w:val="0"/>
                <w:szCs w:val="21"/>
              </w:rPr>
            </w:pPr>
            <w:r>
              <w:rPr>
                <w:rFonts w:cs="Times New Roman"/>
                <w:kern w:val="0"/>
                <w:szCs w:val="21"/>
              </w:rPr>
              <w:t>+</w:t>
            </w:r>
          </w:p>
        </w:tc>
      </w:tr>
      <w:tr w:rsidR="007D1E74" w14:paraId="60EF1BEB" w14:textId="77777777">
        <w:tc>
          <w:tcPr>
            <w:tcW w:w="2742" w:type="pct"/>
            <w:shd w:val="clear" w:color="auto" w:fill="auto"/>
            <w:vAlign w:val="center"/>
          </w:tcPr>
          <w:p w14:paraId="7DC96303" w14:textId="77777777" w:rsidR="007D1E74" w:rsidRDefault="00A95641">
            <w:pPr>
              <w:widowControl/>
              <w:rPr>
                <w:rFonts w:ascii="宋体" w:hAnsi="宋体" w:cs="宋体"/>
                <w:kern w:val="0"/>
                <w:szCs w:val="21"/>
              </w:rPr>
            </w:pPr>
            <w:r>
              <w:rPr>
                <w:rFonts w:ascii="宋体" w:hAnsi="宋体" w:cs="宋体" w:hint="eastAsia"/>
                <w:kern w:val="0"/>
                <w:szCs w:val="21"/>
              </w:rPr>
              <w:t>（四）脆杆藻科</w:t>
            </w:r>
            <w:r>
              <w:rPr>
                <w:rFonts w:cs="Times New Roman"/>
                <w:kern w:val="0"/>
                <w:szCs w:val="21"/>
              </w:rPr>
              <w:t>Fragilariaceae</w:t>
            </w:r>
          </w:p>
        </w:tc>
        <w:tc>
          <w:tcPr>
            <w:tcW w:w="565" w:type="pct"/>
            <w:shd w:val="clear" w:color="auto" w:fill="auto"/>
            <w:vAlign w:val="center"/>
          </w:tcPr>
          <w:p w14:paraId="31E86486" w14:textId="77777777" w:rsidR="007D1E74" w:rsidRDefault="007D1E74">
            <w:pPr>
              <w:widowControl/>
              <w:jc w:val="center"/>
              <w:rPr>
                <w:rFonts w:cs="Times New Roman"/>
                <w:kern w:val="0"/>
                <w:szCs w:val="21"/>
              </w:rPr>
            </w:pPr>
          </w:p>
        </w:tc>
        <w:tc>
          <w:tcPr>
            <w:tcW w:w="565" w:type="pct"/>
            <w:shd w:val="clear" w:color="auto" w:fill="auto"/>
            <w:vAlign w:val="center"/>
          </w:tcPr>
          <w:p w14:paraId="3B653B07" w14:textId="77777777" w:rsidR="007D1E74" w:rsidRDefault="007D1E74">
            <w:pPr>
              <w:widowControl/>
              <w:jc w:val="center"/>
              <w:rPr>
                <w:rFonts w:cs="Times New Roman"/>
                <w:kern w:val="0"/>
                <w:szCs w:val="21"/>
              </w:rPr>
            </w:pPr>
          </w:p>
        </w:tc>
        <w:tc>
          <w:tcPr>
            <w:tcW w:w="565" w:type="pct"/>
            <w:shd w:val="clear" w:color="auto" w:fill="auto"/>
            <w:vAlign w:val="center"/>
          </w:tcPr>
          <w:p w14:paraId="359646EC" w14:textId="77777777" w:rsidR="007D1E74" w:rsidRDefault="007D1E74">
            <w:pPr>
              <w:widowControl/>
              <w:jc w:val="center"/>
              <w:rPr>
                <w:rFonts w:cs="Times New Roman"/>
                <w:kern w:val="0"/>
                <w:szCs w:val="21"/>
              </w:rPr>
            </w:pPr>
          </w:p>
        </w:tc>
        <w:tc>
          <w:tcPr>
            <w:tcW w:w="563" w:type="pct"/>
            <w:shd w:val="clear" w:color="auto" w:fill="auto"/>
            <w:vAlign w:val="center"/>
          </w:tcPr>
          <w:p w14:paraId="612B9B3B" w14:textId="77777777" w:rsidR="007D1E74" w:rsidRDefault="007D1E74">
            <w:pPr>
              <w:widowControl/>
              <w:jc w:val="center"/>
              <w:rPr>
                <w:rFonts w:cs="Times New Roman"/>
                <w:kern w:val="0"/>
                <w:szCs w:val="21"/>
              </w:rPr>
            </w:pPr>
          </w:p>
        </w:tc>
      </w:tr>
      <w:tr w:rsidR="007D1E74" w14:paraId="28A9E814" w14:textId="77777777">
        <w:tc>
          <w:tcPr>
            <w:tcW w:w="2742" w:type="pct"/>
            <w:shd w:val="clear" w:color="auto" w:fill="auto"/>
            <w:vAlign w:val="center"/>
          </w:tcPr>
          <w:p w14:paraId="500EFF61" w14:textId="77777777" w:rsidR="007D1E74" w:rsidRDefault="00A95641">
            <w:pPr>
              <w:widowControl/>
              <w:rPr>
                <w:rFonts w:cs="Times New Roman"/>
                <w:kern w:val="0"/>
                <w:szCs w:val="21"/>
              </w:rPr>
            </w:pPr>
            <w:r>
              <w:rPr>
                <w:rFonts w:cs="Times New Roman"/>
                <w:kern w:val="0"/>
                <w:szCs w:val="21"/>
              </w:rPr>
              <w:t xml:space="preserve">4. </w:t>
            </w:r>
            <w:r>
              <w:rPr>
                <w:rFonts w:ascii="宋体" w:hAnsi="宋体" w:cs="Times New Roman" w:hint="eastAsia"/>
                <w:kern w:val="0"/>
                <w:szCs w:val="21"/>
              </w:rPr>
              <w:t>脆杆藻属</w:t>
            </w:r>
            <w:r>
              <w:rPr>
                <w:rFonts w:cs="Times New Roman"/>
                <w:i/>
                <w:iCs/>
                <w:kern w:val="0"/>
                <w:szCs w:val="21"/>
              </w:rPr>
              <w:t>Fragilaria</w:t>
            </w:r>
          </w:p>
        </w:tc>
        <w:tc>
          <w:tcPr>
            <w:tcW w:w="565" w:type="pct"/>
            <w:shd w:val="clear" w:color="auto" w:fill="auto"/>
            <w:vAlign w:val="center"/>
          </w:tcPr>
          <w:p w14:paraId="6A68137D" w14:textId="77777777" w:rsidR="007D1E74" w:rsidRDefault="007D1E74">
            <w:pPr>
              <w:widowControl/>
              <w:jc w:val="center"/>
              <w:rPr>
                <w:rFonts w:cs="Times New Roman"/>
                <w:kern w:val="0"/>
                <w:szCs w:val="21"/>
              </w:rPr>
            </w:pPr>
          </w:p>
        </w:tc>
        <w:tc>
          <w:tcPr>
            <w:tcW w:w="565" w:type="pct"/>
            <w:shd w:val="clear" w:color="auto" w:fill="auto"/>
            <w:vAlign w:val="center"/>
          </w:tcPr>
          <w:p w14:paraId="35C087CA" w14:textId="77777777" w:rsidR="007D1E74" w:rsidRDefault="007D1E74">
            <w:pPr>
              <w:widowControl/>
              <w:jc w:val="center"/>
              <w:rPr>
                <w:rFonts w:cs="Times New Roman"/>
                <w:kern w:val="0"/>
                <w:szCs w:val="21"/>
              </w:rPr>
            </w:pPr>
          </w:p>
        </w:tc>
        <w:tc>
          <w:tcPr>
            <w:tcW w:w="565" w:type="pct"/>
            <w:shd w:val="clear" w:color="auto" w:fill="auto"/>
            <w:vAlign w:val="center"/>
          </w:tcPr>
          <w:p w14:paraId="36262102" w14:textId="77777777" w:rsidR="007D1E74" w:rsidRDefault="007D1E74">
            <w:pPr>
              <w:widowControl/>
              <w:jc w:val="center"/>
              <w:rPr>
                <w:rFonts w:cs="Times New Roman"/>
                <w:kern w:val="0"/>
                <w:szCs w:val="21"/>
              </w:rPr>
            </w:pPr>
          </w:p>
        </w:tc>
        <w:tc>
          <w:tcPr>
            <w:tcW w:w="563" w:type="pct"/>
            <w:shd w:val="clear" w:color="auto" w:fill="auto"/>
            <w:vAlign w:val="center"/>
          </w:tcPr>
          <w:p w14:paraId="6FCD0E49" w14:textId="77777777" w:rsidR="007D1E74" w:rsidRDefault="007D1E74">
            <w:pPr>
              <w:widowControl/>
              <w:jc w:val="center"/>
              <w:rPr>
                <w:rFonts w:cs="Times New Roman"/>
                <w:kern w:val="0"/>
                <w:szCs w:val="21"/>
              </w:rPr>
            </w:pPr>
          </w:p>
        </w:tc>
      </w:tr>
      <w:tr w:rsidR="007D1E74" w14:paraId="20A686F4" w14:textId="77777777">
        <w:tc>
          <w:tcPr>
            <w:tcW w:w="2742" w:type="pct"/>
            <w:shd w:val="clear" w:color="auto" w:fill="auto"/>
            <w:vAlign w:val="center"/>
          </w:tcPr>
          <w:p w14:paraId="19390DED"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19</w:t>
            </w:r>
            <w:r>
              <w:rPr>
                <w:rFonts w:ascii="宋体" w:hAnsi="宋体" w:cs="宋体" w:hint="eastAsia"/>
                <w:kern w:val="0"/>
                <w:szCs w:val="21"/>
              </w:rPr>
              <w:t>）钝脆杆藻</w:t>
            </w:r>
            <w:r>
              <w:rPr>
                <w:rFonts w:cs="Times New Roman"/>
                <w:i/>
                <w:iCs/>
                <w:kern w:val="0"/>
                <w:szCs w:val="21"/>
              </w:rPr>
              <w:t>F. capucina</w:t>
            </w:r>
          </w:p>
        </w:tc>
        <w:tc>
          <w:tcPr>
            <w:tcW w:w="565" w:type="pct"/>
            <w:shd w:val="clear" w:color="auto" w:fill="auto"/>
            <w:vAlign w:val="center"/>
          </w:tcPr>
          <w:p w14:paraId="3CD7FB97"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44DB9610" w14:textId="77777777" w:rsidR="007D1E74" w:rsidRDefault="007D1E74">
            <w:pPr>
              <w:widowControl/>
              <w:jc w:val="center"/>
              <w:rPr>
                <w:rFonts w:cs="Times New Roman"/>
                <w:kern w:val="0"/>
                <w:szCs w:val="21"/>
              </w:rPr>
            </w:pPr>
          </w:p>
        </w:tc>
        <w:tc>
          <w:tcPr>
            <w:tcW w:w="565" w:type="pct"/>
            <w:shd w:val="clear" w:color="auto" w:fill="auto"/>
            <w:vAlign w:val="center"/>
          </w:tcPr>
          <w:p w14:paraId="3718C538" w14:textId="77777777" w:rsidR="007D1E74" w:rsidRDefault="00A95641">
            <w:pPr>
              <w:widowControl/>
              <w:jc w:val="center"/>
              <w:rPr>
                <w:rFonts w:cs="Times New Roman"/>
                <w:kern w:val="0"/>
                <w:szCs w:val="21"/>
              </w:rPr>
            </w:pPr>
            <w:r>
              <w:rPr>
                <w:rFonts w:cs="Times New Roman"/>
                <w:kern w:val="0"/>
                <w:szCs w:val="21"/>
              </w:rPr>
              <w:t>+</w:t>
            </w:r>
          </w:p>
        </w:tc>
        <w:tc>
          <w:tcPr>
            <w:tcW w:w="563" w:type="pct"/>
            <w:shd w:val="clear" w:color="auto" w:fill="auto"/>
            <w:vAlign w:val="center"/>
          </w:tcPr>
          <w:p w14:paraId="4C52D447" w14:textId="77777777" w:rsidR="007D1E74" w:rsidRDefault="00A95641">
            <w:pPr>
              <w:widowControl/>
              <w:jc w:val="center"/>
              <w:rPr>
                <w:rFonts w:cs="Times New Roman"/>
                <w:kern w:val="0"/>
                <w:szCs w:val="21"/>
              </w:rPr>
            </w:pPr>
            <w:r>
              <w:rPr>
                <w:rFonts w:cs="Times New Roman"/>
                <w:kern w:val="0"/>
                <w:szCs w:val="21"/>
              </w:rPr>
              <w:t>-</w:t>
            </w:r>
          </w:p>
        </w:tc>
      </w:tr>
      <w:tr w:rsidR="007D1E74" w14:paraId="39549C08" w14:textId="77777777">
        <w:tc>
          <w:tcPr>
            <w:tcW w:w="2742" w:type="pct"/>
            <w:shd w:val="clear" w:color="auto" w:fill="auto"/>
            <w:vAlign w:val="center"/>
          </w:tcPr>
          <w:p w14:paraId="2F940C58" w14:textId="77777777" w:rsidR="007D1E74" w:rsidRDefault="00A95641">
            <w:pPr>
              <w:widowControl/>
              <w:rPr>
                <w:rFonts w:cs="Times New Roman"/>
                <w:kern w:val="0"/>
                <w:szCs w:val="21"/>
              </w:rPr>
            </w:pPr>
            <w:r>
              <w:rPr>
                <w:rFonts w:cs="Times New Roman"/>
                <w:kern w:val="0"/>
                <w:szCs w:val="21"/>
              </w:rPr>
              <w:t>5.</w:t>
            </w:r>
            <w:r>
              <w:rPr>
                <w:rFonts w:ascii="宋体" w:hAnsi="宋体" w:cs="Times New Roman" w:hint="eastAsia"/>
                <w:kern w:val="0"/>
                <w:szCs w:val="21"/>
              </w:rPr>
              <w:t>针杆藻属</w:t>
            </w:r>
            <w:r>
              <w:rPr>
                <w:rFonts w:cs="Times New Roman"/>
                <w:i/>
                <w:iCs/>
                <w:kern w:val="0"/>
                <w:szCs w:val="21"/>
                <w:u w:val="single"/>
              </w:rPr>
              <w:t>Synedra</w:t>
            </w:r>
          </w:p>
        </w:tc>
        <w:tc>
          <w:tcPr>
            <w:tcW w:w="565" w:type="pct"/>
            <w:shd w:val="clear" w:color="auto" w:fill="auto"/>
            <w:vAlign w:val="center"/>
          </w:tcPr>
          <w:p w14:paraId="5DAA4D4E" w14:textId="77777777" w:rsidR="007D1E74" w:rsidRDefault="007D1E74">
            <w:pPr>
              <w:widowControl/>
              <w:jc w:val="center"/>
              <w:rPr>
                <w:rFonts w:cs="Times New Roman"/>
                <w:kern w:val="0"/>
                <w:szCs w:val="21"/>
              </w:rPr>
            </w:pPr>
          </w:p>
        </w:tc>
        <w:tc>
          <w:tcPr>
            <w:tcW w:w="565" w:type="pct"/>
            <w:shd w:val="clear" w:color="auto" w:fill="auto"/>
            <w:vAlign w:val="center"/>
          </w:tcPr>
          <w:p w14:paraId="69649229" w14:textId="77777777" w:rsidR="007D1E74" w:rsidRDefault="007D1E74">
            <w:pPr>
              <w:widowControl/>
              <w:jc w:val="center"/>
              <w:rPr>
                <w:rFonts w:cs="Times New Roman"/>
                <w:kern w:val="0"/>
                <w:szCs w:val="21"/>
              </w:rPr>
            </w:pPr>
          </w:p>
        </w:tc>
        <w:tc>
          <w:tcPr>
            <w:tcW w:w="565" w:type="pct"/>
            <w:shd w:val="clear" w:color="auto" w:fill="auto"/>
            <w:vAlign w:val="center"/>
          </w:tcPr>
          <w:p w14:paraId="52480D27" w14:textId="77777777" w:rsidR="007D1E74" w:rsidRDefault="007D1E74">
            <w:pPr>
              <w:widowControl/>
              <w:jc w:val="center"/>
              <w:rPr>
                <w:rFonts w:cs="Times New Roman"/>
                <w:kern w:val="0"/>
                <w:szCs w:val="21"/>
              </w:rPr>
            </w:pPr>
          </w:p>
        </w:tc>
        <w:tc>
          <w:tcPr>
            <w:tcW w:w="563" w:type="pct"/>
            <w:shd w:val="clear" w:color="auto" w:fill="auto"/>
            <w:vAlign w:val="center"/>
          </w:tcPr>
          <w:p w14:paraId="312D7E57" w14:textId="77777777" w:rsidR="007D1E74" w:rsidRDefault="007D1E74">
            <w:pPr>
              <w:widowControl/>
              <w:jc w:val="center"/>
              <w:rPr>
                <w:rFonts w:cs="Times New Roman"/>
                <w:kern w:val="0"/>
                <w:szCs w:val="21"/>
              </w:rPr>
            </w:pPr>
          </w:p>
        </w:tc>
      </w:tr>
      <w:tr w:rsidR="007D1E74" w14:paraId="66147936" w14:textId="77777777">
        <w:tc>
          <w:tcPr>
            <w:tcW w:w="2742" w:type="pct"/>
            <w:shd w:val="clear" w:color="auto" w:fill="auto"/>
            <w:vAlign w:val="center"/>
          </w:tcPr>
          <w:p w14:paraId="7DF2C33B"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20</w:t>
            </w:r>
            <w:r>
              <w:rPr>
                <w:rFonts w:ascii="宋体" w:hAnsi="宋体" w:cs="宋体" w:hint="eastAsia"/>
                <w:kern w:val="0"/>
                <w:szCs w:val="21"/>
              </w:rPr>
              <w:t>）尖针杆藻</w:t>
            </w:r>
            <w:r>
              <w:rPr>
                <w:rFonts w:cs="Times New Roman"/>
                <w:i/>
                <w:iCs/>
                <w:kern w:val="0"/>
                <w:szCs w:val="21"/>
              </w:rPr>
              <w:t>S. acus</w:t>
            </w:r>
          </w:p>
        </w:tc>
        <w:tc>
          <w:tcPr>
            <w:tcW w:w="565" w:type="pct"/>
            <w:shd w:val="clear" w:color="auto" w:fill="auto"/>
            <w:vAlign w:val="center"/>
          </w:tcPr>
          <w:p w14:paraId="6538B6F3" w14:textId="77777777" w:rsidR="007D1E74" w:rsidRDefault="007D1E74">
            <w:pPr>
              <w:widowControl/>
              <w:jc w:val="center"/>
              <w:rPr>
                <w:rFonts w:cs="Times New Roman"/>
                <w:kern w:val="0"/>
                <w:szCs w:val="21"/>
              </w:rPr>
            </w:pPr>
          </w:p>
        </w:tc>
        <w:tc>
          <w:tcPr>
            <w:tcW w:w="565" w:type="pct"/>
            <w:shd w:val="clear" w:color="auto" w:fill="auto"/>
            <w:vAlign w:val="center"/>
          </w:tcPr>
          <w:p w14:paraId="4BCF86AE"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736EAB75" w14:textId="77777777" w:rsidR="007D1E74" w:rsidRDefault="007D1E74">
            <w:pPr>
              <w:widowControl/>
              <w:jc w:val="center"/>
              <w:rPr>
                <w:rFonts w:cs="Times New Roman"/>
                <w:kern w:val="0"/>
                <w:szCs w:val="21"/>
              </w:rPr>
            </w:pPr>
          </w:p>
        </w:tc>
        <w:tc>
          <w:tcPr>
            <w:tcW w:w="563" w:type="pct"/>
            <w:shd w:val="clear" w:color="auto" w:fill="auto"/>
            <w:vAlign w:val="center"/>
          </w:tcPr>
          <w:p w14:paraId="77B49712" w14:textId="77777777" w:rsidR="007D1E74" w:rsidRDefault="007D1E74">
            <w:pPr>
              <w:widowControl/>
              <w:jc w:val="center"/>
              <w:rPr>
                <w:rFonts w:cs="Times New Roman"/>
                <w:kern w:val="0"/>
                <w:szCs w:val="21"/>
              </w:rPr>
            </w:pPr>
          </w:p>
        </w:tc>
      </w:tr>
      <w:tr w:rsidR="007D1E74" w14:paraId="6EE5D862" w14:textId="77777777">
        <w:tc>
          <w:tcPr>
            <w:tcW w:w="2742" w:type="pct"/>
            <w:shd w:val="clear" w:color="auto" w:fill="auto"/>
            <w:vAlign w:val="center"/>
          </w:tcPr>
          <w:p w14:paraId="3A7AE735"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21</w:t>
            </w:r>
            <w:r>
              <w:rPr>
                <w:rFonts w:ascii="宋体" w:hAnsi="宋体" w:cs="宋体" w:hint="eastAsia"/>
                <w:kern w:val="0"/>
                <w:szCs w:val="21"/>
              </w:rPr>
              <w:t>）肘状针杆藻</w:t>
            </w:r>
            <w:r>
              <w:rPr>
                <w:rFonts w:cs="Times New Roman"/>
                <w:i/>
                <w:iCs/>
                <w:kern w:val="0"/>
                <w:szCs w:val="21"/>
              </w:rPr>
              <w:t>S. ulna</w:t>
            </w:r>
          </w:p>
        </w:tc>
        <w:tc>
          <w:tcPr>
            <w:tcW w:w="565" w:type="pct"/>
            <w:shd w:val="clear" w:color="auto" w:fill="auto"/>
            <w:vAlign w:val="center"/>
          </w:tcPr>
          <w:p w14:paraId="1804A6E3"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058302A6" w14:textId="77777777" w:rsidR="007D1E74" w:rsidRDefault="007D1E74">
            <w:pPr>
              <w:widowControl/>
              <w:jc w:val="center"/>
              <w:rPr>
                <w:rFonts w:cs="Times New Roman"/>
                <w:kern w:val="0"/>
                <w:szCs w:val="21"/>
              </w:rPr>
            </w:pPr>
          </w:p>
        </w:tc>
        <w:tc>
          <w:tcPr>
            <w:tcW w:w="565" w:type="pct"/>
            <w:shd w:val="clear" w:color="auto" w:fill="auto"/>
            <w:vAlign w:val="center"/>
          </w:tcPr>
          <w:p w14:paraId="0E0945EB" w14:textId="77777777" w:rsidR="007D1E74" w:rsidRDefault="007D1E74">
            <w:pPr>
              <w:widowControl/>
              <w:jc w:val="center"/>
              <w:rPr>
                <w:rFonts w:cs="Times New Roman"/>
                <w:kern w:val="0"/>
                <w:szCs w:val="21"/>
              </w:rPr>
            </w:pPr>
          </w:p>
        </w:tc>
        <w:tc>
          <w:tcPr>
            <w:tcW w:w="563" w:type="pct"/>
            <w:shd w:val="clear" w:color="auto" w:fill="auto"/>
            <w:vAlign w:val="center"/>
          </w:tcPr>
          <w:p w14:paraId="14CBF0E9" w14:textId="77777777" w:rsidR="007D1E74" w:rsidRDefault="007D1E74">
            <w:pPr>
              <w:widowControl/>
              <w:jc w:val="center"/>
              <w:rPr>
                <w:rFonts w:cs="Times New Roman"/>
                <w:kern w:val="0"/>
                <w:szCs w:val="21"/>
              </w:rPr>
            </w:pPr>
          </w:p>
        </w:tc>
      </w:tr>
      <w:tr w:rsidR="007D1E74" w14:paraId="134B6C21" w14:textId="77777777">
        <w:tc>
          <w:tcPr>
            <w:tcW w:w="2742" w:type="pct"/>
            <w:shd w:val="clear" w:color="auto" w:fill="auto"/>
            <w:vAlign w:val="center"/>
          </w:tcPr>
          <w:p w14:paraId="02AB1B38"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22</w:t>
            </w:r>
            <w:r>
              <w:rPr>
                <w:rFonts w:ascii="宋体" w:hAnsi="宋体" w:cs="宋体" w:hint="eastAsia"/>
                <w:kern w:val="0"/>
                <w:szCs w:val="21"/>
              </w:rPr>
              <w:t>）肘状针杆藻窄变种</w:t>
            </w:r>
            <w:r>
              <w:rPr>
                <w:rFonts w:cs="Times New Roman"/>
                <w:i/>
                <w:iCs/>
                <w:kern w:val="0"/>
                <w:szCs w:val="21"/>
              </w:rPr>
              <w:t xml:space="preserve">S. ulna </w:t>
            </w:r>
            <w:r>
              <w:rPr>
                <w:rFonts w:cs="Times New Roman"/>
                <w:kern w:val="0"/>
                <w:szCs w:val="21"/>
              </w:rPr>
              <w:t>va</w:t>
            </w:r>
            <w:r>
              <w:rPr>
                <w:rFonts w:cs="Times New Roman"/>
                <w:i/>
                <w:iCs/>
                <w:kern w:val="0"/>
                <w:szCs w:val="21"/>
              </w:rPr>
              <w:t>r contracta</w:t>
            </w:r>
          </w:p>
        </w:tc>
        <w:tc>
          <w:tcPr>
            <w:tcW w:w="565" w:type="pct"/>
            <w:shd w:val="clear" w:color="auto" w:fill="auto"/>
            <w:vAlign w:val="center"/>
          </w:tcPr>
          <w:p w14:paraId="793FF14E"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251945DC"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5599D187" w14:textId="77777777" w:rsidR="007D1E74" w:rsidRDefault="00A95641">
            <w:pPr>
              <w:widowControl/>
              <w:jc w:val="center"/>
              <w:rPr>
                <w:rFonts w:cs="Times New Roman"/>
                <w:kern w:val="0"/>
                <w:szCs w:val="21"/>
              </w:rPr>
            </w:pPr>
            <w:r>
              <w:rPr>
                <w:rFonts w:cs="Times New Roman"/>
                <w:kern w:val="0"/>
                <w:szCs w:val="21"/>
              </w:rPr>
              <w:t>-</w:t>
            </w:r>
          </w:p>
        </w:tc>
        <w:tc>
          <w:tcPr>
            <w:tcW w:w="563" w:type="pct"/>
            <w:shd w:val="clear" w:color="auto" w:fill="auto"/>
            <w:vAlign w:val="center"/>
          </w:tcPr>
          <w:p w14:paraId="09080243" w14:textId="77777777" w:rsidR="007D1E74" w:rsidRDefault="007D1E74">
            <w:pPr>
              <w:widowControl/>
              <w:jc w:val="center"/>
              <w:rPr>
                <w:rFonts w:cs="Times New Roman"/>
                <w:kern w:val="0"/>
                <w:szCs w:val="21"/>
              </w:rPr>
            </w:pPr>
          </w:p>
        </w:tc>
      </w:tr>
      <w:tr w:rsidR="007D1E74" w14:paraId="2A7B7390" w14:textId="77777777">
        <w:tc>
          <w:tcPr>
            <w:tcW w:w="2742" w:type="pct"/>
            <w:shd w:val="clear" w:color="auto" w:fill="auto"/>
            <w:vAlign w:val="center"/>
          </w:tcPr>
          <w:p w14:paraId="4F7FF2C6"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23</w:t>
            </w:r>
            <w:r>
              <w:rPr>
                <w:rFonts w:ascii="宋体" w:hAnsi="宋体" w:cs="宋体" w:hint="eastAsia"/>
                <w:kern w:val="0"/>
                <w:szCs w:val="21"/>
              </w:rPr>
              <w:t>）偏突针杆藻小头变种</w:t>
            </w:r>
            <w:r>
              <w:rPr>
                <w:rFonts w:cs="Times New Roman"/>
                <w:i/>
                <w:iCs/>
                <w:kern w:val="0"/>
                <w:szCs w:val="21"/>
              </w:rPr>
              <w:t>S. vaucheriae</w:t>
            </w:r>
            <w:r>
              <w:rPr>
                <w:rFonts w:cs="Times New Roman"/>
                <w:kern w:val="0"/>
                <w:szCs w:val="21"/>
              </w:rPr>
              <w:t xml:space="preserve"> var.</w:t>
            </w:r>
            <w:r>
              <w:rPr>
                <w:rFonts w:cs="Times New Roman"/>
                <w:i/>
                <w:iCs/>
                <w:kern w:val="0"/>
                <w:szCs w:val="21"/>
              </w:rPr>
              <w:t>capitellaia</w:t>
            </w:r>
          </w:p>
        </w:tc>
        <w:tc>
          <w:tcPr>
            <w:tcW w:w="565" w:type="pct"/>
            <w:shd w:val="clear" w:color="auto" w:fill="auto"/>
            <w:vAlign w:val="center"/>
          </w:tcPr>
          <w:p w14:paraId="7A916606" w14:textId="77777777" w:rsidR="007D1E74" w:rsidRDefault="007D1E74">
            <w:pPr>
              <w:widowControl/>
              <w:jc w:val="center"/>
              <w:rPr>
                <w:rFonts w:cs="Times New Roman"/>
                <w:kern w:val="0"/>
                <w:szCs w:val="21"/>
              </w:rPr>
            </w:pPr>
          </w:p>
        </w:tc>
        <w:tc>
          <w:tcPr>
            <w:tcW w:w="565" w:type="pct"/>
            <w:shd w:val="clear" w:color="auto" w:fill="auto"/>
            <w:vAlign w:val="center"/>
          </w:tcPr>
          <w:p w14:paraId="3703FB0D"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2EC2F9C4" w14:textId="77777777" w:rsidR="007D1E74" w:rsidRDefault="007D1E74">
            <w:pPr>
              <w:widowControl/>
              <w:jc w:val="center"/>
              <w:rPr>
                <w:rFonts w:cs="Times New Roman"/>
                <w:kern w:val="0"/>
                <w:szCs w:val="21"/>
              </w:rPr>
            </w:pPr>
          </w:p>
        </w:tc>
        <w:tc>
          <w:tcPr>
            <w:tcW w:w="563" w:type="pct"/>
            <w:shd w:val="clear" w:color="auto" w:fill="auto"/>
            <w:vAlign w:val="center"/>
          </w:tcPr>
          <w:p w14:paraId="08F49818" w14:textId="77777777" w:rsidR="007D1E74" w:rsidRDefault="007D1E74">
            <w:pPr>
              <w:widowControl/>
              <w:jc w:val="center"/>
              <w:rPr>
                <w:rFonts w:cs="Times New Roman"/>
                <w:kern w:val="0"/>
                <w:szCs w:val="21"/>
              </w:rPr>
            </w:pPr>
          </w:p>
        </w:tc>
      </w:tr>
      <w:tr w:rsidR="007D1E74" w14:paraId="7746EED6" w14:textId="77777777">
        <w:tc>
          <w:tcPr>
            <w:tcW w:w="2742" w:type="pct"/>
            <w:shd w:val="clear" w:color="auto" w:fill="auto"/>
            <w:vAlign w:val="center"/>
          </w:tcPr>
          <w:p w14:paraId="5D0D208B"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24</w:t>
            </w:r>
            <w:r>
              <w:rPr>
                <w:rFonts w:ascii="宋体" w:hAnsi="宋体" w:cs="宋体" w:hint="eastAsia"/>
                <w:kern w:val="0"/>
                <w:szCs w:val="21"/>
              </w:rPr>
              <w:t>）放射针杆藻</w:t>
            </w:r>
            <w:r>
              <w:rPr>
                <w:rFonts w:cs="Times New Roman"/>
                <w:i/>
                <w:iCs/>
                <w:kern w:val="0"/>
                <w:szCs w:val="21"/>
              </w:rPr>
              <w:t>S. actinastroides</w:t>
            </w:r>
          </w:p>
        </w:tc>
        <w:tc>
          <w:tcPr>
            <w:tcW w:w="565" w:type="pct"/>
            <w:shd w:val="clear" w:color="auto" w:fill="auto"/>
            <w:vAlign w:val="center"/>
          </w:tcPr>
          <w:p w14:paraId="5BA66E67" w14:textId="77777777" w:rsidR="007D1E74" w:rsidRDefault="007D1E74">
            <w:pPr>
              <w:widowControl/>
              <w:jc w:val="center"/>
              <w:rPr>
                <w:rFonts w:cs="Times New Roman"/>
                <w:kern w:val="0"/>
                <w:szCs w:val="21"/>
              </w:rPr>
            </w:pPr>
          </w:p>
        </w:tc>
        <w:tc>
          <w:tcPr>
            <w:tcW w:w="565" w:type="pct"/>
            <w:shd w:val="clear" w:color="auto" w:fill="auto"/>
            <w:vAlign w:val="center"/>
          </w:tcPr>
          <w:p w14:paraId="1AE65391"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1120959B" w14:textId="77777777" w:rsidR="007D1E74" w:rsidRDefault="007D1E74">
            <w:pPr>
              <w:widowControl/>
              <w:jc w:val="center"/>
              <w:rPr>
                <w:rFonts w:cs="Times New Roman"/>
                <w:kern w:val="0"/>
                <w:szCs w:val="21"/>
              </w:rPr>
            </w:pPr>
          </w:p>
        </w:tc>
        <w:tc>
          <w:tcPr>
            <w:tcW w:w="563" w:type="pct"/>
            <w:shd w:val="clear" w:color="auto" w:fill="auto"/>
            <w:vAlign w:val="center"/>
          </w:tcPr>
          <w:p w14:paraId="2A180A11" w14:textId="77777777" w:rsidR="007D1E74" w:rsidRDefault="007D1E74">
            <w:pPr>
              <w:widowControl/>
              <w:jc w:val="center"/>
              <w:rPr>
                <w:rFonts w:cs="Times New Roman"/>
                <w:kern w:val="0"/>
                <w:szCs w:val="21"/>
              </w:rPr>
            </w:pPr>
          </w:p>
        </w:tc>
      </w:tr>
      <w:tr w:rsidR="007D1E74" w14:paraId="67ABDBAD" w14:textId="77777777">
        <w:tc>
          <w:tcPr>
            <w:tcW w:w="2742" w:type="pct"/>
            <w:shd w:val="clear" w:color="auto" w:fill="auto"/>
            <w:vAlign w:val="center"/>
          </w:tcPr>
          <w:p w14:paraId="77457E93"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25</w:t>
            </w:r>
            <w:r>
              <w:rPr>
                <w:rFonts w:ascii="宋体" w:hAnsi="宋体" w:cs="宋体" w:hint="eastAsia"/>
                <w:kern w:val="0"/>
                <w:szCs w:val="21"/>
              </w:rPr>
              <w:t>）近缘针杆藻</w:t>
            </w:r>
            <w:r>
              <w:rPr>
                <w:rFonts w:cs="Times New Roman"/>
                <w:i/>
                <w:iCs/>
                <w:kern w:val="0"/>
                <w:szCs w:val="21"/>
              </w:rPr>
              <w:t>S. affinis</w:t>
            </w:r>
          </w:p>
        </w:tc>
        <w:tc>
          <w:tcPr>
            <w:tcW w:w="565" w:type="pct"/>
            <w:shd w:val="clear" w:color="auto" w:fill="auto"/>
            <w:vAlign w:val="center"/>
          </w:tcPr>
          <w:p w14:paraId="4015D0E7" w14:textId="77777777" w:rsidR="007D1E74" w:rsidRDefault="007D1E74">
            <w:pPr>
              <w:widowControl/>
              <w:jc w:val="center"/>
              <w:rPr>
                <w:rFonts w:cs="Times New Roman"/>
                <w:kern w:val="0"/>
                <w:szCs w:val="21"/>
              </w:rPr>
            </w:pPr>
          </w:p>
        </w:tc>
        <w:tc>
          <w:tcPr>
            <w:tcW w:w="565" w:type="pct"/>
            <w:shd w:val="clear" w:color="auto" w:fill="auto"/>
            <w:vAlign w:val="center"/>
          </w:tcPr>
          <w:p w14:paraId="1FFBFF5E"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21807DA3" w14:textId="77777777" w:rsidR="007D1E74" w:rsidRDefault="007D1E74">
            <w:pPr>
              <w:widowControl/>
              <w:jc w:val="center"/>
              <w:rPr>
                <w:rFonts w:cs="Times New Roman"/>
                <w:kern w:val="0"/>
                <w:szCs w:val="21"/>
              </w:rPr>
            </w:pPr>
          </w:p>
        </w:tc>
        <w:tc>
          <w:tcPr>
            <w:tcW w:w="563" w:type="pct"/>
            <w:shd w:val="clear" w:color="auto" w:fill="auto"/>
            <w:vAlign w:val="center"/>
          </w:tcPr>
          <w:p w14:paraId="59608A70" w14:textId="77777777" w:rsidR="007D1E74" w:rsidRDefault="007D1E74">
            <w:pPr>
              <w:widowControl/>
              <w:jc w:val="center"/>
              <w:rPr>
                <w:rFonts w:cs="Times New Roman"/>
                <w:kern w:val="0"/>
                <w:szCs w:val="21"/>
              </w:rPr>
            </w:pPr>
          </w:p>
        </w:tc>
      </w:tr>
      <w:tr w:rsidR="007D1E74" w14:paraId="1975D929" w14:textId="77777777">
        <w:tc>
          <w:tcPr>
            <w:tcW w:w="2742" w:type="pct"/>
            <w:shd w:val="clear" w:color="auto" w:fill="auto"/>
            <w:vAlign w:val="center"/>
          </w:tcPr>
          <w:p w14:paraId="471778C1"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26</w:t>
            </w:r>
            <w:r>
              <w:rPr>
                <w:rFonts w:ascii="宋体" w:hAnsi="宋体" w:cs="宋体" w:hint="eastAsia"/>
                <w:kern w:val="0"/>
                <w:szCs w:val="21"/>
              </w:rPr>
              <w:t>）双头针杆藻</w:t>
            </w:r>
            <w:r>
              <w:rPr>
                <w:rFonts w:cs="Times New Roman"/>
                <w:i/>
                <w:iCs/>
                <w:kern w:val="0"/>
                <w:szCs w:val="21"/>
              </w:rPr>
              <w:t>S. amphicephala KÜtz.</w:t>
            </w:r>
          </w:p>
        </w:tc>
        <w:tc>
          <w:tcPr>
            <w:tcW w:w="565" w:type="pct"/>
            <w:shd w:val="clear" w:color="auto" w:fill="auto"/>
            <w:vAlign w:val="center"/>
          </w:tcPr>
          <w:p w14:paraId="6A805615" w14:textId="77777777" w:rsidR="007D1E74" w:rsidRDefault="007D1E74">
            <w:pPr>
              <w:widowControl/>
              <w:jc w:val="center"/>
              <w:rPr>
                <w:rFonts w:cs="Times New Roman"/>
                <w:kern w:val="0"/>
                <w:szCs w:val="21"/>
              </w:rPr>
            </w:pPr>
          </w:p>
        </w:tc>
        <w:tc>
          <w:tcPr>
            <w:tcW w:w="565" w:type="pct"/>
            <w:shd w:val="clear" w:color="auto" w:fill="auto"/>
            <w:vAlign w:val="center"/>
          </w:tcPr>
          <w:p w14:paraId="587358E4"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5C2606EE" w14:textId="77777777" w:rsidR="007D1E74" w:rsidRDefault="007D1E74">
            <w:pPr>
              <w:widowControl/>
              <w:jc w:val="center"/>
              <w:rPr>
                <w:rFonts w:cs="Times New Roman"/>
                <w:kern w:val="0"/>
                <w:szCs w:val="21"/>
              </w:rPr>
            </w:pPr>
          </w:p>
        </w:tc>
        <w:tc>
          <w:tcPr>
            <w:tcW w:w="563" w:type="pct"/>
            <w:shd w:val="clear" w:color="auto" w:fill="auto"/>
            <w:vAlign w:val="center"/>
          </w:tcPr>
          <w:p w14:paraId="39E4CC13" w14:textId="77777777" w:rsidR="007D1E74" w:rsidRDefault="007D1E74">
            <w:pPr>
              <w:widowControl/>
              <w:jc w:val="center"/>
              <w:rPr>
                <w:rFonts w:cs="Times New Roman"/>
                <w:kern w:val="0"/>
                <w:szCs w:val="21"/>
              </w:rPr>
            </w:pPr>
          </w:p>
        </w:tc>
      </w:tr>
      <w:tr w:rsidR="007D1E74" w14:paraId="054EAE17" w14:textId="77777777">
        <w:tc>
          <w:tcPr>
            <w:tcW w:w="2742" w:type="pct"/>
            <w:shd w:val="clear" w:color="auto" w:fill="auto"/>
            <w:vAlign w:val="center"/>
          </w:tcPr>
          <w:p w14:paraId="5918AEB8" w14:textId="77777777" w:rsidR="007D1E74" w:rsidRDefault="00A95641">
            <w:pPr>
              <w:widowControl/>
              <w:rPr>
                <w:rFonts w:cs="Times New Roman"/>
                <w:kern w:val="0"/>
                <w:szCs w:val="21"/>
              </w:rPr>
            </w:pPr>
            <w:r>
              <w:rPr>
                <w:rFonts w:cs="Times New Roman"/>
                <w:kern w:val="0"/>
                <w:szCs w:val="21"/>
              </w:rPr>
              <w:t>6.</w:t>
            </w:r>
            <w:r>
              <w:rPr>
                <w:rFonts w:ascii="宋体" w:hAnsi="宋体" w:cs="Times New Roman" w:hint="eastAsia"/>
                <w:kern w:val="0"/>
                <w:szCs w:val="21"/>
              </w:rPr>
              <w:t>等片藻属</w:t>
            </w:r>
            <w:r>
              <w:rPr>
                <w:rFonts w:cs="Times New Roman"/>
                <w:i/>
                <w:iCs/>
                <w:kern w:val="0"/>
                <w:szCs w:val="21"/>
              </w:rPr>
              <w:t>Diatoma De Cand</w:t>
            </w:r>
          </w:p>
        </w:tc>
        <w:tc>
          <w:tcPr>
            <w:tcW w:w="565" w:type="pct"/>
            <w:shd w:val="clear" w:color="auto" w:fill="auto"/>
            <w:vAlign w:val="center"/>
          </w:tcPr>
          <w:p w14:paraId="22F3A4DC" w14:textId="77777777" w:rsidR="007D1E74" w:rsidRDefault="007D1E74">
            <w:pPr>
              <w:widowControl/>
              <w:jc w:val="center"/>
              <w:rPr>
                <w:rFonts w:cs="Times New Roman"/>
                <w:kern w:val="0"/>
                <w:szCs w:val="21"/>
              </w:rPr>
            </w:pPr>
          </w:p>
        </w:tc>
        <w:tc>
          <w:tcPr>
            <w:tcW w:w="565" w:type="pct"/>
            <w:shd w:val="clear" w:color="auto" w:fill="auto"/>
            <w:vAlign w:val="center"/>
          </w:tcPr>
          <w:p w14:paraId="7808417E" w14:textId="77777777" w:rsidR="007D1E74" w:rsidRDefault="007D1E74">
            <w:pPr>
              <w:widowControl/>
              <w:jc w:val="center"/>
              <w:rPr>
                <w:rFonts w:cs="Times New Roman"/>
                <w:kern w:val="0"/>
                <w:szCs w:val="21"/>
              </w:rPr>
            </w:pPr>
          </w:p>
        </w:tc>
        <w:tc>
          <w:tcPr>
            <w:tcW w:w="565" w:type="pct"/>
            <w:shd w:val="clear" w:color="auto" w:fill="auto"/>
            <w:vAlign w:val="center"/>
          </w:tcPr>
          <w:p w14:paraId="6FC57A1A" w14:textId="77777777" w:rsidR="007D1E74" w:rsidRDefault="007D1E74">
            <w:pPr>
              <w:widowControl/>
              <w:jc w:val="center"/>
              <w:rPr>
                <w:rFonts w:cs="Times New Roman"/>
                <w:kern w:val="0"/>
                <w:szCs w:val="21"/>
              </w:rPr>
            </w:pPr>
          </w:p>
        </w:tc>
        <w:tc>
          <w:tcPr>
            <w:tcW w:w="563" w:type="pct"/>
            <w:shd w:val="clear" w:color="auto" w:fill="auto"/>
            <w:vAlign w:val="center"/>
          </w:tcPr>
          <w:p w14:paraId="05EA370D" w14:textId="77777777" w:rsidR="007D1E74" w:rsidRDefault="007D1E74">
            <w:pPr>
              <w:widowControl/>
              <w:jc w:val="center"/>
              <w:rPr>
                <w:rFonts w:cs="Times New Roman"/>
                <w:kern w:val="0"/>
                <w:szCs w:val="21"/>
              </w:rPr>
            </w:pPr>
          </w:p>
        </w:tc>
      </w:tr>
      <w:tr w:rsidR="007D1E74" w14:paraId="28EA50CB" w14:textId="77777777">
        <w:tc>
          <w:tcPr>
            <w:tcW w:w="2742" w:type="pct"/>
            <w:shd w:val="clear" w:color="auto" w:fill="auto"/>
            <w:vAlign w:val="center"/>
          </w:tcPr>
          <w:p w14:paraId="36795CF5"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27</w:t>
            </w:r>
            <w:r>
              <w:rPr>
                <w:rFonts w:ascii="宋体" w:hAnsi="宋体" w:cs="宋体" w:hint="eastAsia"/>
                <w:kern w:val="0"/>
                <w:szCs w:val="21"/>
              </w:rPr>
              <w:t>）普通等片藻</w:t>
            </w:r>
            <w:r>
              <w:rPr>
                <w:rFonts w:cs="Times New Roman"/>
                <w:i/>
                <w:iCs/>
                <w:kern w:val="0"/>
                <w:szCs w:val="21"/>
              </w:rPr>
              <w:t>D. vulgare</w:t>
            </w:r>
            <w:r>
              <w:rPr>
                <w:rFonts w:cs="Times New Roman"/>
                <w:kern w:val="0"/>
                <w:szCs w:val="21"/>
              </w:rPr>
              <w:t xml:space="preserve"> Bory</w:t>
            </w:r>
          </w:p>
        </w:tc>
        <w:tc>
          <w:tcPr>
            <w:tcW w:w="565" w:type="pct"/>
            <w:shd w:val="clear" w:color="auto" w:fill="auto"/>
            <w:vAlign w:val="center"/>
          </w:tcPr>
          <w:p w14:paraId="68EFEA1C"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56F51C79"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145221CE" w14:textId="77777777" w:rsidR="007D1E74" w:rsidRDefault="00A95641">
            <w:pPr>
              <w:widowControl/>
              <w:jc w:val="center"/>
              <w:rPr>
                <w:rFonts w:cs="Times New Roman"/>
                <w:kern w:val="0"/>
                <w:szCs w:val="21"/>
              </w:rPr>
            </w:pPr>
            <w:r>
              <w:rPr>
                <w:rFonts w:cs="Times New Roman"/>
                <w:kern w:val="0"/>
                <w:szCs w:val="21"/>
              </w:rPr>
              <w:t>-</w:t>
            </w:r>
          </w:p>
        </w:tc>
        <w:tc>
          <w:tcPr>
            <w:tcW w:w="563" w:type="pct"/>
            <w:shd w:val="clear" w:color="auto" w:fill="auto"/>
            <w:vAlign w:val="center"/>
          </w:tcPr>
          <w:p w14:paraId="2DE79921" w14:textId="77777777" w:rsidR="007D1E74" w:rsidRDefault="00A95641">
            <w:pPr>
              <w:widowControl/>
              <w:jc w:val="center"/>
              <w:rPr>
                <w:rFonts w:cs="Times New Roman"/>
                <w:kern w:val="0"/>
                <w:szCs w:val="21"/>
              </w:rPr>
            </w:pPr>
            <w:r>
              <w:rPr>
                <w:rFonts w:cs="Times New Roman"/>
                <w:kern w:val="0"/>
                <w:szCs w:val="21"/>
              </w:rPr>
              <w:t>++</w:t>
            </w:r>
          </w:p>
        </w:tc>
      </w:tr>
      <w:tr w:rsidR="007D1E74" w14:paraId="742E1BE4" w14:textId="77777777">
        <w:tc>
          <w:tcPr>
            <w:tcW w:w="2742" w:type="pct"/>
            <w:shd w:val="clear" w:color="auto" w:fill="auto"/>
            <w:vAlign w:val="center"/>
          </w:tcPr>
          <w:p w14:paraId="402A525D" w14:textId="77777777" w:rsidR="007D1E74" w:rsidRDefault="00A95641">
            <w:pPr>
              <w:widowControl/>
              <w:rPr>
                <w:rFonts w:ascii="宋体" w:hAnsi="宋体" w:cs="宋体"/>
                <w:kern w:val="0"/>
                <w:szCs w:val="21"/>
              </w:rPr>
            </w:pPr>
            <w:r>
              <w:rPr>
                <w:rFonts w:ascii="宋体" w:hAnsi="宋体" w:cs="宋体" w:hint="eastAsia"/>
                <w:kern w:val="0"/>
                <w:szCs w:val="21"/>
              </w:rPr>
              <w:t>（五）圆筛藻科</w:t>
            </w:r>
            <w:r>
              <w:rPr>
                <w:rFonts w:cs="Times New Roman"/>
                <w:kern w:val="0"/>
                <w:szCs w:val="21"/>
              </w:rPr>
              <w:t>Coscinodiscaceae</w:t>
            </w:r>
          </w:p>
        </w:tc>
        <w:tc>
          <w:tcPr>
            <w:tcW w:w="565" w:type="pct"/>
            <w:shd w:val="clear" w:color="auto" w:fill="auto"/>
            <w:vAlign w:val="center"/>
          </w:tcPr>
          <w:p w14:paraId="32A692BA" w14:textId="77777777" w:rsidR="007D1E74" w:rsidRDefault="007D1E74">
            <w:pPr>
              <w:widowControl/>
              <w:jc w:val="center"/>
              <w:rPr>
                <w:rFonts w:cs="Times New Roman"/>
                <w:kern w:val="0"/>
                <w:szCs w:val="21"/>
              </w:rPr>
            </w:pPr>
          </w:p>
        </w:tc>
        <w:tc>
          <w:tcPr>
            <w:tcW w:w="565" w:type="pct"/>
            <w:shd w:val="clear" w:color="auto" w:fill="auto"/>
            <w:vAlign w:val="center"/>
          </w:tcPr>
          <w:p w14:paraId="3B57B459" w14:textId="77777777" w:rsidR="007D1E74" w:rsidRDefault="007D1E74">
            <w:pPr>
              <w:widowControl/>
              <w:jc w:val="center"/>
              <w:rPr>
                <w:rFonts w:cs="Times New Roman"/>
                <w:kern w:val="0"/>
                <w:szCs w:val="21"/>
              </w:rPr>
            </w:pPr>
          </w:p>
        </w:tc>
        <w:tc>
          <w:tcPr>
            <w:tcW w:w="565" w:type="pct"/>
            <w:shd w:val="clear" w:color="auto" w:fill="auto"/>
            <w:vAlign w:val="center"/>
          </w:tcPr>
          <w:p w14:paraId="2EAE9ED0" w14:textId="77777777" w:rsidR="007D1E74" w:rsidRDefault="007D1E74">
            <w:pPr>
              <w:widowControl/>
              <w:jc w:val="center"/>
              <w:rPr>
                <w:rFonts w:cs="Times New Roman"/>
                <w:kern w:val="0"/>
                <w:szCs w:val="21"/>
              </w:rPr>
            </w:pPr>
          </w:p>
        </w:tc>
        <w:tc>
          <w:tcPr>
            <w:tcW w:w="563" w:type="pct"/>
            <w:shd w:val="clear" w:color="auto" w:fill="auto"/>
            <w:vAlign w:val="center"/>
          </w:tcPr>
          <w:p w14:paraId="7C0F5B4A" w14:textId="77777777" w:rsidR="007D1E74" w:rsidRDefault="007D1E74">
            <w:pPr>
              <w:widowControl/>
              <w:jc w:val="center"/>
              <w:rPr>
                <w:rFonts w:cs="Times New Roman"/>
                <w:kern w:val="0"/>
                <w:szCs w:val="21"/>
              </w:rPr>
            </w:pPr>
          </w:p>
        </w:tc>
      </w:tr>
      <w:tr w:rsidR="007D1E74" w14:paraId="40B5A5AA" w14:textId="77777777">
        <w:tc>
          <w:tcPr>
            <w:tcW w:w="2742" w:type="pct"/>
            <w:shd w:val="clear" w:color="auto" w:fill="auto"/>
            <w:vAlign w:val="center"/>
          </w:tcPr>
          <w:p w14:paraId="27F0FD54" w14:textId="77777777" w:rsidR="007D1E74" w:rsidRDefault="00A95641">
            <w:pPr>
              <w:widowControl/>
              <w:rPr>
                <w:rFonts w:cs="Times New Roman"/>
                <w:kern w:val="0"/>
                <w:szCs w:val="21"/>
              </w:rPr>
            </w:pPr>
            <w:r>
              <w:rPr>
                <w:rFonts w:cs="Times New Roman"/>
                <w:kern w:val="0"/>
                <w:szCs w:val="21"/>
              </w:rPr>
              <w:t>7.</w:t>
            </w:r>
            <w:r>
              <w:rPr>
                <w:rFonts w:ascii="宋体" w:hAnsi="宋体" w:cs="Times New Roman" w:hint="eastAsia"/>
                <w:kern w:val="0"/>
                <w:szCs w:val="21"/>
              </w:rPr>
              <w:t>直链藻属</w:t>
            </w:r>
            <w:r>
              <w:rPr>
                <w:rFonts w:cs="Times New Roman"/>
                <w:kern w:val="0"/>
                <w:szCs w:val="21"/>
              </w:rPr>
              <w:t xml:space="preserve"> </w:t>
            </w:r>
            <w:r>
              <w:rPr>
                <w:rFonts w:cs="Times New Roman"/>
                <w:i/>
                <w:iCs/>
                <w:kern w:val="0"/>
                <w:szCs w:val="21"/>
              </w:rPr>
              <w:t>Melosira</w:t>
            </w:r>
          </w:p>
        </w:tc>
        <w:tc>
          <w:tcPr>
            <w:tcW w:w="565" w:type="pct"/>
            <w:shd w:val="clear" w:color="auto" w:fill="auto"/>
            <w:vAlign w:val="center"/>
          </w:tcPr>
          <w:p w14:paraId="633350F6" w14:textId="77777777" w:rsidR="007D1E74" w:rsidRDefault="007D1E74">
            <w:pPr>
              <w:widowControl/>
              <w:jc w:val="center"/>
              <w:rPr>
                <w:rFonts w:cs="Times New Roman"/>
                <w:kern w:val="0"/>
                <w:szCs w:val="21"/>
              </w:rPr>
            </w:pPr>
          </w:p>
        </w:tc>
        <w:tc>
          <w:tcPr>
            <w:tcW w:w="565" w:type="pct"/>
            <w:shd w:val="clear" w:color="auto" w:fill="auto"/>
            <w:vAlign w:val="center"/>
          </w:tcPr>
          <w:p w14:paraId="42B5D837" w14:textId="77777777" w:rsidR="007D1E74" w:rsidRDefault="007D1E74">
            <w:pPr>
              <w:widowControl/>
              <w:jc w:val="center"/>
              <w:rPr>
                <w:rFonts w:cs="Times New Roman"/>
                <w:kern w:val="0"/>
                <w:szCs w:val="21"/>
              </w:rPr>
            </w:pPr>
          </w:p>
        </w:tc>
        <w:tc>
          <w:tcPr>
            <w:tcW w:w="565" w:type="pct"/>
            <w:shd w:val="clear" w:color="auto" w:fill="auto"/>
            <w:vAlign w:val="center"/>
          </w:tcPr>
          <w:p w14:paraId="55349091" w14:textId="77777777" w:rsidR="007D1E74" w:rsidRDefault="007D1E74">
            <w:pPr>
              <w:widowControl/>
              <w:jc w:val="center"/>
              <w:rPr>
                <w:rFonts w:cs="Times New Roman"/>
                <w:kern w:val="0"/>
                <w:szCs w:val="21"/>
              </w:rPr>
            </w:pPr>
          </w:p>
        </w:tc>
        <w:tc>
          <w:tcPr>
            <w:tcW w:w="563" w:type="pct"/>
            <w:shd w:val="clear" w:color="auto" w:fill="auto"/>
            <w:vAlign w:val="center"/>
          </w:tcPr>
          <w:p w14:paraId="5C9AFBAB" w14:textId="77777777" w:rsidR="007D1E74" w:rsidRDefault="007D1E74">
            <w:pPr>
              <w:widowControl/>
              <w:jc w:val="center"/>
              <w:rPr>
                <w:rFonts w:cs="Times New Roman"/>
                <w:kern w:val="0"/>
                <w:szCs w:val="21"/>
              </w:rPr>
            </w:pPr>
          </w:p>
        </w:tc>
      </w:tr>
      <w:tr w:rsidR="007D1E74" w14:paraId="3F156179" w14:textId="77777777">
        <w:tc>
          <w:tcPr>
            <w:tcW w:w="2742" w:type="pct"/>
            <w:shd w:val="clear" w:color="auto" w:fill="auto"/>
            <w:vAlign w:val="center"/>
          </w:tcPr>
          <w:p w14:paraId="13A13CBB"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28</w:t>
            </w:r>
            <w:r>
              <w:rPr>
                <w:rFonts w:ascii="宋体" w:hAnsi="宋体" w:cs="宋体" w:hint="eastAsia"/>
                <w:kern w:val="0"/>
                <w:szCs w:val="21"/>
              </w:rPr>
              <w:t>）变异直链藻</w:t>
            </w:r>
            <w:r>
              <w:rPr>
                <w:rFonts w:cs="Times New Roman"/>
                <w:i/>
                <w:iCs/>
                <w:kern w:val="0"/>
                <w:szCs w:val="21"/>
              </w:rPr>
              <w:t>M.varians</w:t>
            </w:r>
          </w:p>
        </w:tc>
        <w:tc>
          <w:tcPr>
            <w:tcW w:w="565" w:type="pct"/>
            <w:shd w:val="clear" w:color="auto" w:fill="auto"/>
            <w:vAlign w:val="center"/>
          </w:tcPr>
          <w:p w14:paraId="2BA3A0D6"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3F5DEF7C"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11B9354D" w14:textId="77777777" w:rsidR="007D1E74" w:rsidRDefault="00A95641">
            <w:pPr>
              <w:widowControl/>
              <w:jc w:val="center"/>
              <w:rPr>
                <w:rFonts w:cs="Times New Roman"/>
                <w:kern w:val="0"/>
                <w:szCs w:val="21"/>
              </w:rPr>
            </w:pPr>
            <w:r>
              <w:rPr>
                <w:rFonts w:cs="Times New Roman"/>
                <w:kern w:val="0"/>
                <w:szCs w:val="21"/>
              </w:rPr>
              <w:t>+</w:t>
            </w:r>
          </w:p>
        </w:tc>
        <w:tc>
          <w:tcPr>
            <w:tcW w:w="563" w:type="pct"/>
            <w:shd w:val="clear" w:color="auto" w:fill="auto"/>
            <w:vAlign w:val="center"/>
          </w:tcPr>
          <w:p w14:paraId="093E88DE" w14:textId="77777777" w:rsidR="007D1E74" w:rsidRDefault="00A95641">
            <w:pPr>
              <w:widowControl/>
              <w:jc w:val="center"/>
              <w:rPr>
                <w:rFonts w:cs="Times New Roman"/>
                <w:kern w:val="0"/>
                <w:szCs w:val="21"/>
              </w:rPr>
            </w:pPr>
            <w:r>
              <w:rPr>
                <w:rFonts w:cs="Times New Roman"/>
                <w:kern w:val="0"/>
                <w:szCs w:val="21"/>
              </w:rPr>
              <w:t>++</w:t>
            </w:r>
          </w:p>
        </w:tc>
      </w:tr>
      <w:tr w:rsidR="007D1E74" w14:paraId="4B18EE27" w14:textId="77777777">
        <w:tc>
          <w:tcPr>
            <w:tcW w:w="2742" w:type="pct"/>
            <w:shd w:val="clear" w:color="auto" w:fill="auto"/>
            <w:vAlign w:val="center"/>
          </w:tcPr>
          <w:p w14:paraId="32493AF8" w14:textId="77777777" w:rsidR="007D1E74" w:rsidRDefault="00A95641">
            <w:pPr>
              <w:widowControl/>
              <w:rPr>
                <w:rFonts w:cs="Times New Roman"/>
                <w:kern w:val="0"/>
                <w:szCs w:val="21"/>
              </w:rPr>
            </w:pPr>
            <w:r>
              <w:rPr>
                <w:rFonts w:cs="Times New Roman"/>
                <w:kern w:val="0"/>
                <w:szCs w:val="21"/>
              </w:rPr>
              <w:t>8.</w:t>
            </w:r>
            <w:r>
              <w:rPr>
                <w:rFonts w:ascii="宋体" w:hAnsi="宋体" w:cs="Times New Roman" w:hint="eastAsia"/>
                <w:kern w:val="0"/>
                <w:szCs w:val="21"/>
              </w:rPr>
              <w:t>小环藻属</w:t>
            </w:r>
            <w:r>
              <w:rPr>
                <w:rFonts w:cs="Times New Roman"/>
                <w:i/>
                <w:iCs/>
                <w:kern w:val="0"/>
                <w:szCs w:val="21"/>
              </w:rPr>
              <w:t>Cyclotella</w:t>
            </w:r>
          </w:p>
        </w:tc>
        <w:tc>
          <w:tcPr>
            <w:tcW w:w="565" w:type="pct"/>
            <w:shd w:val="clear" w:color="auto" w:fill="auto"/>
            <w:vAlign w:val="center"/>
          </w:tcPr>
          <w:p w14:paraId="3E681808" w14:textId="77777777" w:rsidR="007D1E74" w:rsidRDefault="007D1E74">
            <w:pPr>
              <w:widowControl/>
              <w:jc w:val="center"/>
              <w:rPr>
                <w:rFonts w:cs="Times New Roman"/>
                <w:kern w:val="0"/>
                <w:szCs w:val="21"/>
              </w:rPr>
            </w:pPr>
          </w:p>
        </w:tc>
        <w:tc>
          <w:tcPr>
            <w:tcW w:w="565" w:type="pct"/>
            <w:shd w:val="clear" w:color="auto" w:fill="auto"/>
            <w:vAlign w:val="center"/>
          </w:tcPr>
          <w:p w14:paraId="3A6EBFE0" w14:textId="77777777" w:rsidR="007D1E74" w:rsidRDefault="007D1E74">
            <w:pPr>
              <w:widowControl/>
              <w:jc w:val="center"/>
              <w:rPr>
                <w:rFonts w:cs="Times New Roman"/>
                <w:kern w:val="0"/>
                <w:szCs w:val="21"/>
              </w:rPr>
            </w:pPr>
          </w:p>
        </w:tc>
        <w:tc>
          <w:tcPr>
            <w:tcW w:w="565" w:type="pct"/>
            <w:shd w:val="clear" w:color="auto" w:fill="auto"/>
            <w:vAlign w:val="center"/>
          </w:tcPr>
          <w:p w14:paraId="45C3CD77" w14:textId="77777777" w:rsidR="007D1E74" w:rsidRDefault="007D1E74">
            <w:pPr>
              <w:widowControl/>
              <w:jc w:val="center"/>
              <w:rPr>
                <w:rFonts w:cs="Times New Roman"/>
                <w:kern w:val="0"/>
                <w:szCs w:val="21"/>
              </w:rPr>
            </w:pPr>
          </w:p>
        </w:tc>
        <w:tc>
          <w:tcPr>
            <w:tcW w:w="563" w:type="pct"/>
            <w:shd w:val="clear" w:color="auto" w:fill="auto"/>
            <w:vAlign w:val="center"/>
          </w:tcPr>
          <w:p w14:paraId="03AE26F3" w14:textId="77777777" w:rsidR="007D1E74" w:rsidRDefault="007D1E74">
            <w:pPr>
              <w:widowControl/>
              <w:jc w:val="center"/>
              <w:rPr>
                <w:rFonts w:cs="Times New Roman"/>
                <w:kern w:val="0"/>
                <w:szCs w:val="21"/>
              </w:rPr>
            </w:pPr>
          </w:p>
        </w:tc>
      </w:tr>
      <w:tr w:rsidR="007D1E74" w14:paraId="6AABE309" w14:textId="77777777">
        <w:tc>
          <w:tcPr>
            <w:tcW w:w="2742" w:type="pct"/>
            <w:shd w:val="clear" w:color="auto" w:fill="auto"/>
            <w:vAlign w:val="center"/>
          </w:tcPr>
          <w:p w14:paraId="167518A6"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29</w:t>
            </w:r>
            <w:r>
              <w:rPr>
                <w:rFonts w:ascii="宋体" w:hAnsi="宋体" w:cs="宋体" w:hint="eastAsia"/>
                <w:kern w:val="0"/>
                <w:szCs w:val="21"/>
              </w:rPr>
              <w:t>）梅尼小环藻</w:t>
            </w:r>
            <w:r>
              <w:rPr>
                <w:rFonts w:cs="Times New Roman"/>
                <w:i/>
                <w:iCs/>
                <w:kern w:val="0"/>
                <w:szCs w:val="21"/>
              </w:rPr>
              <w:t>C.meneghiniana</w:t>
            </w:r>
          </w:p>
        </w:tc>
        <w:tc>
          <w:tcPr>
            <w:tcW w:w="565" w:type="pct"/>
            <w:shd w:val="clear" w:color="auto" w:fill="auto"/>
            <w:vAlign w:val="center"/>
          </w:tcPr>
          <w:p w14:paraId="253F60EA" w14:textId="77777777" w:rsidR="007D1E74" w:rsidRDefault="007D1E74">
            <w:pPr>
              <w:widowControl/>
              <w:jc w:val="center"/>
              <w:rPr>
                <w:rFonts w:cs="Times New Roman"/>
                <w:kern w:val="0"/>
                <w:szCs w:val="21"/>
              </w:rPr>
            </w:pPr>
          </w:p>
        </w:tc>
        <w:tc>
          <w:tcPr>
            <w:tcW w:w="565" w:type="pct"/>
            <w:shd w:val="clear" w:color="auto" w:fill="auto"/>
            <w:vAlign w:val="center"/>
          </w:tcPr>
          <w:p w14:paraId="0B75A4DD"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3B425A13" w14:textId="77777777" w:rsidR="007D1E74" w:rsidRDefault="007D1E74">
            <w:pPr>
              <w:widowControl/>
              <w:jc w:val="center"/>
              <w:rPr>
                <w:rFonts w:cs="Times New Roman"/>
                <w:kern w:val="0"/>
                <w:szCs w:val="21"/>
              </w:rPr>
            </w:pPr>
          </w:p>
        </w:tc>
        <w:tc>
          <w:tcPr>
            <w:tcW w:w="563" w:type="pct"/>
            <w:shd w:val="clear" w:color="auto" w:fill="auto"/>
            <w:vAlign w:val="center"/>
          </w:tcPr>
          <w:p w14:paraId="7B864FAF" w14:textId="77777777" w:rsidR="007D1E74" w:rsidRDefault="007D1E74">
            <w:pPr>
              <w:widowControl/>
              <w:jc w:val="center"/>
              <w:rPr>
                <w:rFonts w:cs="Times New Roman"/>
                <w:kern w:val="0"/>
                <w:szCs w:val="21"/>
              </w:rPr>
            </w:pPr>
          </w:p>
        </w:tc>
      </w:tr>
      <w:tr w:rsidR="007D1E74" w14:paraId="26444640" w14:textId="77777777">
        <w:tc>
          <w:tcPr>
            <w:tcW w:w="2742" w:type="pct"/>
            <w:shd w:val="clear" w:color="auto" w:fill="auto"/>
            <w:vAlign w:val="center"/>
          </w:tcPr>
          <w:p w14:paraId="5F31B0DA" w14:textId="77777777" w:rsidR="007D1E74" w:rsidRDefault="00A95641">
            <w:pPr>
              <w:widowControl/>
              <w:rPr>
                <w:rFonts w:cs="Times New Roman"/>
                <w:kern w:val="0"/>
                <w:szCs w:val="21"/>
              </w:rPr>
            </w:pPr>
            <w:r>
              <w:rPr>
                <w:rFonts w:cs="Times New Roman"/>
                <w:kern w:val="0"/>
                <w:szCs w:val="21"/>
              </w:rPr>
              <w:t>9.</w:t>
            </w:r>
            <w:r>
              <w:rPr>
                <w:rFonts w:ascii="宋体" w:hAnsi="宋体" w:cs="Times New Roman" w:hint="eastAsia"/>
                <w:kern w:val="0"/>
                <w:szCs w:val="21"/>
              </w:rPr>
              <w:t>水链藻属</w:t>
            </w:r>
            <w:r>
              <w:rPr>
                <w:rFonts w:cs="Times New Roman"/>
                <w:i/>
                <w:iCs/>
                <w:kern w:val="0"/>
                <w:szCs w:val="21"/>
              </w:rPr>
              <w:t>Hydrosera</w:t>
            </w:r>
          </w:p>
        </w:tc>
        <w:tc>
          <w:tcPr>
            <w:tcW w:w="565" w:type="pct"/>
            <w:shd w:val="clear" w:color="auto" w:fill="auto"/>
            <w:vAlign w:val="center"/>
          </w:tcPr>
          <w:p w14:paraId="105A7A35" w14:textId="77777777" w:rsidR="007D1E74" w:rsidRDefault="007D1E74">
            <w:pPr>
              <w:widowControl/>
              <w:jc w:val="center"/>
              <w:rPr>
                <w:rFonts w:cs="Times New Roman"/>
                <w:kern w:val="0"/>
                <w:szCs w:val="21"/>
              </w:rPr>
            </w:pPr>
          </w:p>
        </w:tc>
        <w:tc>
          <w:tcPr>
            <w:tcW w:w="565" w:type="pct"/>
            <w:shd w:val="clear" w:color="auto" w:fill="auto"/>
            <w:vAlign w:val="center"/>
          </w:tcPr>
          <w:p w14:paraId="7A0F0304" w14:textId="77777777" w:rsidR="007D1E74" w:rsidRDefault="007D1E74">
            <w:pPr>
              <w:widowControl/>
              <w:jc w:val="center"/>
              <w:rPr>
                <w:rFonts w:cs="Times New Roman"/>
                <w:kern w:val="0"/>
                <w:szCs w:val="21"/>
              </w:rPr>
            </w:pPr>
          </w:p>
        </w:tc>
        <w:tc>
          <w:tcPr>
            <w:tcW w:w="565" w:type="pct"/>
            <w:shd w:val="clear" w:color="auto" w:fill="auto"/>
            <w:vAlign w:val="center"/>
          </w:tcPr>
          <w:p w14:paraId="2CF3A066" w14:textId="77777777" w:rsidR="007D1E74" w:rsidRDefault="007D1E74">
            <w:pPr>
              <w:widowControl/>
              <w:jc w:val="center"/>
              <w:rPr>
                <w:rFonts w:cs="Times New Roman"/>
                <w:kern w:val="0"/>
                <w:szCs w:val="21"/>
              </w:rPr>
            </w:pPr>
          </w:p>
        </w:tc>
        <w:tc>
          <w:tcPr>
            <w:tcW w:w="563" w:type="pct"/>
            <w:shd w:val="clear" w:color="auto" w:fill="auto"/>
            <w:vAlign w:val="center"/>
          </w:tcPr>
          <w:p w14:paraId="195D2AEB" w14:textId="77777777" w:rsidR="007D1E74" w:rsidRDefault="007D1E74">
            <w:pPr>
              <w:widowControl/>
              <w:jc w:val="center"/>
              <w:rPr>
                <w:rFonts w:cs="Times New Roman"/>
                <w:kern w:val="0"/>
                <w:szCs w:val="21"/>
              </w:rPr>
            </w:pPr>
          </w:p>
        </w:tc>
      </w:tr>
      <w:tr w:rsidR="007D1E74" w14:paraId="706997D6" w14:textId="77777777">
        <w:tc>
          <w:tcPr>
            <w:tcW w:w="2742" w:type="pct"/>
            <w:shd w:val="clear" w:color="auto" w:fill="auto"/>
            <w:vAlign w:val="center"/>
          </w:tcPr>
          <w:p w14:paraId="2447C6AA"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30</w:t>
            </w:r>
            <w:r>
              <w:rPr>
                <w:rFonts w:ascii="宋体" w:hAnsi="宋体" w:cs="宋体" w:hint="eastAsia"/>
                <w:kern w:val="0"/>
                <w:szCs w:val="21"/>
              </w:rPr>
              <w:t>）黄埔水链藻</w:t>
            </w:r>
            <w:r>
              <w:rPr>
                <w:rFonts w:cs="Times New Roman"/>
                <w:i/>
                <w:iCs/>
                <w:kern w:val="0"/>
                <w:szCs w:val="21"/>
              </w:rPr>
              <w:t>H.whampoensis</w:t>
            </w:r>
          </w:p>
        </w:tc>
        <w:tc>
          <w:tcPr>
            <w:tcW w:w="565" w:type="pct"/>
            <w:shd w:val="clear" w:color="auto" w:fill="auto"/>
            <w:vAlign w:val="center"/>
          </w:tcPr>
          <w:p w14:paraId="709D312F"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5974D893" w14:textId="77777777" w:rsidR="007D1E74" w:rsidRDefault="007D1E74">
            <w:pPr>
              <w:widowControl/>
              <w:jc w:val="center"/>
              <w:rPr>
                <w:rFonts w:cs="Times New Roman"/>
                <w:kern w:val="0"/>
                <w:szCs w:val="21"/>
              </w:rPr>
            </w:pPr>
          </w:p>
        </w:tc>
        <w:tc>
          <w:tcPr>
            <w:tcW w:w="565" w:type="pct"/>
            <w:shd w:val="clear" w:color="auto" w:fill="auto"/>
            <w:vAlign w:val="center"/>
          </w:tcPr>
          <w:p w14:paraId="72A56D05" w14:textId="77777777" w:rsidR="007D1E74" w:rsidRDefault="007D1E74">
            <w:pPr>
              <w:widowControl/>
              <w:jc w:val="center"/>
              <w:rPr>
                <w:rFonts w:cs="Times New Roman"/>
                <w:kern w:val="0"/>
                <w:szCs w:val="21"/>
              </w:rPr>
            </w:pPr>
          </w:p>
        </w:tc>
        <w:tc>
          <w:tcPr>
            <w:tcW w:w="563" w:type="pct"/>
            <w:shd w:val="clear" w:color="auto" w:fill="auto"/>
            <w:vAlign w:val="center"/>
          </w:tcPr>
          <w:p w14:paraId="4F544F0D" w14:textId="77777777" w:rsidR="007D1E74" w:rsidRDefault="007D1E74">
            <w:pPr>
              <w:widowControl/>
              <w:jc w:val="center"/>
              <w:rPr>
                <w:rFonts w:cs="Times New Roman"/>
                <w:kern w:val="0"/>
                <w:szCs w:val="21"/>
              </w:rPr>
            </w:pPr>
          </w:p>
        </w:tc>
      </w:tr>
      <w:tr w:rsidR="007D1E74" w14:paraId="371A5E17" w14:textId="77777777">
        <w:tc>
          <w:tcPr>
            <w:tcW w:w="2742" w:type="pct"/>
            <w:shd w:val="clear" w:color="auto" w:fill="auto"/>
            <w:vAlign w:val="center"/>
          </w:tcPr>
          <w:p w14:paraId="1DF2DF16" w14:textId="77777777" w:rsidR="007D1E74" w:rsidRDefault="00A95641">
            <w:pPr>
              <w:widowControl/>
              <w:rPr>
                <w:rFonts w:ascii="宋体" w:hAnsi="宋体" w:cs="宋体"/>
                <w:kern w:val="0"/>
                <w:szCs w:val="21"/>
              </w:rPr>
            </w:pPr>
            <w:r>
              <w:rPr>
                <w:rFonts w:ascii="宋体" w:hAnsi="宋体" w:cs="宋体" w:hint="eastAsia"/>
                <w:kern w:val="0"/>
                <w:szCs w:val="21"/>
              </w:rPr>
              <w:t>（六）曲壳藻科</w:t>
            </w:r>
            <w:r>
              <w:rPr>
                <w:rFonts w:cs="Times New Roman"/>
                <w:kern w:val="0"/>
                <w:szCs w:val="21"/>
              </w:rPr>
              <w:t>Achnanthaceae</w:t>
            </w:r>
          </w:p>
        </w:tc>
        <w:tc>
          <w:tcPr>
            <w:tcW w:w="565" w:type="pct"/>
            <w:shd w:val="clear" w:color="auto" w:fill="auto"/>
            <w:vAlign w:val="center"/>
          </w:tcPr>
          <w:p w14:paraId="096509AA" w14:textId="77777777" w:rsidR="007D1E74" w:rsidRDefault="007D1E74">
            <w:pPr>
              <w:widowControl/>
              <w:jc w:val="center"/>
              <w:rPr>
                <w:rFonts w:cs="Times New Roman"/>
                <w:kern w:val="0"/>
                <w:szCs w:val="21"/>
              </w:rPr>
            </w:pPr>
          </w:p>
        </w:tc>
        <w:tc>
          <w:tcPr>
            <w:tcW w:w="565" w:type="pct"/>
            <w:shd w:val="clear" w:color="auto" w:fill="auto"/>
            <w:vAlign w:val="center"/>
          </w:tcPr>
          <w:p w14:paraId="04307ADB" w14:textId="77777777" w:rsidR="007D1E74" w:rsidRDefault="007D1E74">
            <w:pPr>
              <w:widowControl/>
              <w:jc w:val="center"/>
              <w:rPr>
                <w:rFonts w:cs="Times New Roman"/>
                <w:kern w:val="0"/>
                <w:szCs w:val="21"/>
              </w:rPr>
            </w:pPr>
          </w:p>
        </w:tc>
        <w:tc>
          <w:tcPr>
            <w:tcW w:w="565" w:type="pct"/>
            <w:shd w:val="clear" w:color="auto" w:fill="auto"/>
            <w:vAlign w:val="center"/>
          </w:tcPr>
          <w:p w14:paraId="52E5CA98" w14:textId="77777777" w:rsidR="007D1E74" w:rsidRDefault="007D1E74">
            <w:pPr>
              <w:widowControl/>
              <w:jc w:val="center"/>
              <w:rPr>
                <w:rFonts w:cs="Times New Roman"/>
                <w:kern w:val="0"/>
                <w:szCs w:val="21"/>
              </w:rPr>
            </w:pPr>
          </w:p>
        </w:tc>
        <w:tc>
          <w:tcPr>
            <w:tcW w:w="563" w:type="pct"/>
            <w:shd w:val="clear" w:color="auto" w:fill="auto"/>
            <w:vAlign w:val="center"/>
          </w:tcPr>
          <w:p w14:paraId="549A1B69" w14:textId="77777777" w:rsidR="007D1E74" w:rsidRDefault="007D1E74">
            <w:pPr>
              <w:widowControl/>
              <w:jc w:val="center"/>
              <w:rPr>
                <w:rFonts w:cs="Times New Roman"/>
                <w:kern w:val="0"/>
                <w:szCs w:val="21"/>
              </w:rPr>
            </w:pPr>
          </w:p>
        </w:tc>
      </w:tr>
      <w:tr w:rsidR="007D1E74" w14:paraId="0AEA96A6" w14:textId="77777777">
        <w:tc>
          <w:tcPr>
            <w:tcW w:w="2742" w:type="pct"/>
            <w:shd w:val="clear" w:color="auto" w:fill="auto"/>
            <w:vAlign w:val="center"/>
          </w:tcPr>
          <w:p w14:paraId="0998751F" w14:textId="77777777" w:rsidR="007D1E74" w:rsidRDefault="00A95641">
            <w:pPr>
              <w:widowControl/>
              <w:rPr>
                <w:rFonts w:cs="Times New Roman"/>
                <w:kern w:val="0"/>
                <w:szCs w:val="21"/>
              </w:rPr>
            </w:pPr>
            <w:r>
              <w:rPr>
                <w:rFonts w:cs="Times New Roman"/>
                <w:kern w:val="0"/>
                <w:szCs w:val="21"/>
              </w:rPr>
              <w:t xml:space="preserve">10. </w:t>
            </w:r>
            <w:r>
              <w:rPr>
                <w:rFonts w:ascii="宋体" w:hAnsi="宋体" w:cs="Times New Roman" w:hint="eastAsia"/>
                <w:kern w:val="0"/>
                <w:szCs w:val="21"/>
              </w:rPr>
              <w:t>曲壳藻属</w:t>
            </w:r>
            <w:r>
              <w:rPr>
                <w:rFonts w:cs="Times New Roman"/>
                <w:kern w:val="0"/>
                <w:szCs w:val="21"/>
              </w:rPr>
              <w:t xml:space="preserve"> </w:t>
            </w:r>
            <w:r>
              <w:rPr>
                <w:rFonts w:cs="Times New Roman"/>
                <w:i/>
                <w:iCs/>
                <w:kern w:val="0"/>
                <w:szCs w:val="21"/>
              </w:rPr>
              <w:t>Achnanthes</w:t>
            </w:r>
          </w:p>
        </w:tc>
        <w:tc>
          <w:tcPr>
            <w:tcW w:w="565" w:type="pct"/>
            <w:shd w:val="clear" w:color="auto" w:fill="auto"/>
            <w:vAlign w:val="center"/>
          </w:tcPr>
          <w:p w14:paraId="38D1D4CB" w14:textId="77777777" w:rsidR="007D1E74" w:rsidRDefault="007D1E74">
            <w:pPr>
              <w:widowControl/>
              <w:jc w:val="center"/>
              <w:rPr>
                <w:rFonts w:cs="Times New Roman"/>
                <w:kern w:val="0"/>
                <w:szCs w:val="21"/>
              </w:rPr>
            </w:pPr>
          </w:p>
        </w:tc>
        <w:tc>
          <w:tcPr>
            <w:tcW w:w="565" w:type="pct"/>
            <w:shd w:val="clear" w:color="auto" w:fill="auto"/>
            <w:vAlign w:val="center"/>
          </w:tcPr>
          <w:p w14:paraId="64DD41DE" w14:textId="77777777" w:rsidR="007D1E74" w:rsidRDefault="007D1E74">
            <w:pPr>
              <w:widowControl/>
              <w:jc w:val="center"/>
              <w:rPr>
                <w:rFonts w:cs="Times New Roman"/>
                <w:kern w:val="0"/>
                <w:szCs w:val="21"/>
              </w:rPr>
            </w:pPr>
          </w:p>
        </w:tc>
        <w:tc>
          <w:tcPr>
            <w:tcW w:w="565" w:type="pct"/>
            <w:shd w:val="clear" w:color="auto" w:fill="auto"/>
            <w:vAlign w:val="center"/>
          </w:tcPr>
          <w:p w14:paraId="1734BE7D" w14:textId="77777777" w:rsidR="007D1E74" w:rsidRDefault="007D1E74">
            <w:pPr>
              <w:widowControl/>
              <w:jc w:val="center"/>
              <w:rPr>
                <w:rFonts w:cs="Times New Roman"/>
                <w:kern w:val="0"/>
                <w:szCs w:val="21"/>
              </w:rPr>
            </w:pPr>
          </w:p>
        </w:tc>
        <w:tc>
          <w:tcPr>
            <w:tcW w:w="563" w:type="pct"/>
            <w:shd w:val="clear" w:color="auto" w:fill="auto"/>
            <w:vAlign w:val="center"/>
          </w:tcPr>
          <w:p w14:paraId="5D7C76E8" w14:textId="77777777" w:rsidR="007D1E74" w:rsidRDefault="007D1E74">
            <w:pPr>
              <w:widowControl/>
              <w:jc w:val="center"/>
              <w:rPr>
                <w:rFonts w:cs="Times New Roman"/>
                <w:kern w:val="0"/>
                <w:szCs w:val="21"/>
              </w:rPr>
            </w:pPr>
          </w:p>
        </w:tc>
      </w:tr>
      <w:tr w:rsidR="007D1E74" w14:paraId="245F0DF4" w14:textId="77777777">
        <w:tc>
          <w:tcPr>
            <w:tcW w:w="2742" w:type="pct"/>
            <w:shd w:val="clear" w:color="auto" w:fill="auto"/>
            <w:vAlign w:val="center"/>
          </w:tcPr>
          <w:p w14:paraId="64A21526"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31</w:t>
            </w:r>
            <w:r>
              <w:rPr>
                <w:rFonts w:ascii="宋体" w:hAnsi="宋体" w:cs="宋体" w:hint="eastAsia"/>
                <w:kern w:val="0"/>
                <w:szCs w:val="21"/>
              </w:rPr>
              <w:t>）短小曲壳藻</w:t>
            </w:r>
            <w:r>
              <w:rPr>
                <w:rFonts w:cs="Times New Roman"/>
                <w:i/>
                <w:iCs/>
                <w:kern w:val="0"/>
                <w:szCs w:val="21"/>
              </w:rPr>
              <w:t>A. exigua</w:t>
            </w:r>
          </w:p>
        </w:tc>
        <w:tc>
          <w:tcPr>
            <w:tcW w:w="565" w:type="pct"/>
            <w:shd w:val="clear" w:color="auto" w:fill="auto"/>
            <w:vAlign w:val="center"/>
          </w:tcPr>
          <w:p w14:paraId="39125182"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0ECDC7FD"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077DEDA2" w14:textId="77777777" w:rsidR="007D1E74" w:rsidRDefault="00A95641">
            <w:pPr>
              <w:widowControl/>
              <w:jc w:val="center"/>
              <w:rPr>
                <w:rFonts w:cs="Times New Roman"/>
                <w:kern w:val="0"/>
                <w:szCs w:val="21"/>
              </w:rPr>
            </w:pPr>
            <w:r>
              <w:rPr>
                <w:rFonts w:cs="Times New Roman"/>
                <w:kern w:val="0"/>
                <w:szCs w:val="21"/>
              </w:rPr>
              <w:t>+</w:t>
            </w:r>
          </w:p>
        </w:tc>
        <w:tc>
          <w:tcPr>
            <w:tcW w:w="563" w:type="pct"/>
            <w:shd w:val="clear" w:color="auto" w:fill="auto"/>
            <w:vAlign w:val="center"/>
          </w:tcPr>
          <w:p w14:paraId="05122696" w14:textId="77777777" w:rsidR="007D1E74" w:rsidRDefault="00A95641">
            <w:pPr>
              <w:widowControl/>
              <w:jc w:val="center"/>
              <w:rPr>
                <w:rFonts w:cs="Times New Roman"/>
                <w:kern w:val="0"/>
                <w:szCs w:val="21"/>
              </w:rPr>
            </w:pPr>
            <w:r>
              <w:rPr>
                <w:rFonts w:cs="Times New Roman"/>
                <w:kern w:val="0"/>
                <w:szCs w:val="21"/>
              </w:rPr>
              <w:t>-</w:t>
            </w:r>
          </w:p>
        </w:tc>
      </w:tr>
      <w:tr w:rsidR="007D1E74" w14:paraId="546B98D0" w14:textId="77777777">
        <w:tc>
          <w:tcPr>
            <w:tcW w:w="2742" w:type="pct"/>
            <w:shd w:val="clear" w:color="auto" w:fill="auto"/>
            <w:vAlign w:val="center"/>
          </w:tcPr>
          <w:p w14:paraId="6DA70BBA"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32</w:t>
            </w:r>
            <w:r>
              <w:rPr>
                <w:rFonts w:ascii="宋体" w:hAnsi="宋体" w:cs="宋体" w:hint="eastAsia"/>
                <w:kern w:val="0"/>
                <w:szCs w:val="21"/>
              </w:rPr>
              <w:t>）优美曲壳藻</w:t>
            </w:r>
            <w:r>
              <w:rPr>
                <w:rFonts w:cs="Times New Roman"/>
                <w:i/>
                <w:iCs/>
                <w:kern w:val="0"/>
                <w:szCs w:val="21"/>
              </w:rPr>
              <w:t>A. delicatula</w:t>
            </w:r>
          </w:p>
        </w:tc>
        <w:tc>
          <w:tcPr>
            <w:tcW w:w="565" w:type="pct"/>
            <w:shd w:val="clear" w:color="auto" w:fill="auto"/>
            <w:vAlign w:val="center"/>
          </w:tcPr>
          <w:p w14:paraId="3C79C05A" w14:textId="77777777" w:rsidR="007D1E74" w:rsidRDefault="007D1E74">
            <w:pPr>
              <w:widowControl/>
              <w:jc w:val="center"/>
              <w:rPr>
                <w:rFonts w:cs="Times New Roman"/>
                <w:kern w:val="0"/>
                <w:szCs w:val="21"/>
              </w:rPr>
            </w:pPr>
          </w:p>
        </w:tc>
        <w:tc>
          <w:tcPr>
            <w:tcW w:w="565" w:type="pct"/>
            <w:shd w:val="clear" w:color="auto" w:fill="auto"/>
            <w:vAlign w:val="center"/>
          </w:tcPr>
          <w:p w14:paraId="25D5182F"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7B0D9498" w14:textId="77777777" w:rsidR="007D1E74" w:rsidRDefault="00A95641">
            <w:pPr>
              <w:widowControl/>
              <w:jc w:val="center"/>
              <w:rPr>
                <w:rFonts w:cs="Times New Roman"/>
                <w:kern w:val="0"/>
                <w:szCs w:val="21"/>
              </w:rPr>
            </w:pPr>
            <w:r>
              <w:rPr>
                <w:rFonts w:cs="Times New Roman"/>
                <w:kern w:val="0"/>
                <w:szCs w:val="21"/>
              </w:rPr>
              <w:t>-</w:t>
            </w:r>
          </w:p>
        </w:tc>
        <w:tc>
          <w:tcPr>
            <w:tcW w:w="563" w:type="pct"/>
            <w:shd w:val="clear" w:color="auto" w:fill="auto"/>
            <w:vAlign w:val="center"/>
          </w:tcPr>
          <w:p w14:paraId="530A7D09" w14:textId="77777777" w:rsidR="007D1E74" w:rsidRDefault="007D1E74">
            <w:pPr>
              <w:widowControl/>
              <w:jc w:val="center"/>
              <w:rPr>
                <w:rFonts w:cs="Times New Roman"/>
                <w:kern w:val="0"/>
                <w:szCs w:val="21"/>
              </w:rPr>
            </w:pPr>
          </w:p>
        </w:tc>
      </w:tr>
      <w:tr w:rsidR="007D1E74" w14:paraId="1C29E00F" w14:textId="77777777">
        <w:tc>
          <w:tcPr>
            <w:tcW w:w="2742" w:type="pct"/>
            <w:shd w:val="clear" w:color="auto" w:fill="auto"/>
            <w:vAlign w:val="center"/>
          </w:tcPr>
          <w:p w14:paraId="3ED23589" w14:textId="77777777" w:rsidR="007D1E74" w:rsidRDefault="00A95641">
            <w:pPr>
              <w:widowControl/>
              <w:rPr>
                <w:rFonts w:cs="Times New Roman"/>
                <w:kern w:val="0"/>
                <w:szCs w:val="21"/>
              </w:rPr>
            </w:pPr>
            <w:r>
              <w:rPr>
                <w:rFonts w:cs="Times New Roman"/>
                <w:kern w:val="0"/>
                <w:szCs w:val="21"/>
              </w:rPr>
              <w:t>11.</w:t>
            </w:r>
            <w:r>
              <w:rPr>
                <w:rFonts w:ascii="宋体" w:hAnsi="宋体" w:cs="Times New Roman" w:hint="eastAsia"/>
                <w:kern w:val="0"/>
                <w:szCs w:val="21"/>
              </w:rPr>
              <w:t>卵形藻属</w:t>
            </w:r>
            <w:r>
              <w:rPr>
                <w:rFonts w:cs="Times New Roman"/>
                <w:i/>
                <w:iCs/>
                <w:kern w:val="0"/>
                <w:szCs w:val="21"/>
              </w:rPr>
              <w:t>Cocconeis</w:t>
            </w:r>
          </w:p>
        </w:tc>
        <w:tc>
          <w:tcPr>
            <w:tcW w:w="565" w:type="pct"/>
            <w:shd w:val="clear" w:color="auto" w:fill="auto"/>
            <w:vAlign w:val="center"/>
          </w:tcPr>
          <w:p w14:paraId="215C97AC" w14:textId="77777777" w:rsidR="007D1E74" w:rsidRDefault="007D1E74">
            <w:pPr>
              <w:widowControl/>
              <w:jc w:val="center"/>
              <w:rPr>
                <w:rFonts w:cs="Times New Roman"/>
                <w:kern w:val="0"/>
                <w:szCs w:val="21"/>
              </w:rPr>
            </w:pPr>
          </w:p>
        </w:tc>
        <w:tc>
          <w:tcPr>
            <w:tcW w:w="565" w:type="pct"/>
            <w:shd w:val="clear" w:color="auto" w:fill="auto"/>
            <w:vAlign w:val="center"/>
          </w:tcPr>
          <w:p w14:paraId="78335F39" w14:textId="77777777" w:rsidR="007D1E74" w:rsidRDefault="007D1E74">
            <w:pPr>
              <w:widowControl/>
              <w:jc w:val="center"/>
              <w:rPr>
                <w:rFonts w:cs="Times New Roman"/>
                <w:kern w:val="0"/>
                <w:szCs w:val="21"/>
              </w:rPr>
            </w:pPr>
          </w:p>
        </w:tc>
        <w:tc>
          <w:tcPr>
            <w:tcW w:w="565" w:type="pct"/>
            <w:shd w:val="clear" w:color="auto" w:fill="auto"/>
            <w:vAlign w:val="center"/>
          </w:tcPr>
          <w:p w14:paraId="65D90152" w14:textId="77777777" w:rsidR="007D1E74" w:rsidRDefault="007D1E74">
            <w:pPr>
              <w:widowControl/>
              <w:jc w:val="center"/>
              <w:rPr>
                <w:rFonts w:cs="Times New Roman"/>
                <w:kern w:val="0"/>
                <w:szCs w:val="21"/>
              </w:rPr>
            </w:pPr>
          </w:p>
        </w:tc>
        <w:tc>
          <w:tcPr>
            <w:tcW w:w="563" w:type="pct"/>
            <w:shd w:val="clear" w:color="auto" w:fill="auto"/>
            <w:vAlign w:val="center"/>
          </w:tcPr>
          <w:p w14:paraId="51148B1E" w14:textId="77777777" w:rsidR="007D1E74" w:rsidRDefault="007D1E74">
            <w:pPr>
              <w:widowControl/>
              <w:jc w:val="center"/>
              <w:rPr>
                <w:rFonts w:cs="Times New Roman"/>
                <w:kern w:val="0"/>
                <w:szCs w:val="21"/>
              </w:rPr>
            </w:pPr>
          </w:p>
        </w:tc>
      </w:tr>
      <w:tr w:rsidR="007D1E74" w14:paraId="7A62FAD8" w14:textId="77777777">
        <w:tc>
          <w:tcPr>
            <w:tcW w:w="2742" w:type="pct"/>
            <w:shd w:val="clear" w:color="auto" w:fill="auto"/>
            <w:vAlign w:val="center"/>
          </w:tcPr>
          <w:p w14:paraId="0D8550FB"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33</w:t>
            </w:r>
            <w:r>
              <w:rPr>
                <w:rFonts w:ascii="宋体" w:hAnsi="宋体" w:cs="宋体" w:hint="eastAsia"/>
                <w:kern w:val="0"/>
                <w:szCs w:val="21"/>
              </w:rPr>
              <w:t>）扁圆卵形藻</w:t>
            </w:r>
            <w:r>
              <w:rPr>
                <w:rFonts w:cs="Times New Roman"/>
                <w:i/>
                <w:iCs/>
                <w:kern w:val="0"/>
                <w:szCs w:val="21"/>
              </w:rPr>
              <w:t xml:space="preserve">C. placentula </w:t>
            </w:r>
            <w:r>
              <w:rPr>
                <w:rFonts w:cs="Times New Roman"/>
                <w:kern w:val="0"/>
                <w:szCs w:val="21"/>
              </w:rPr>
              <w:t>var.</w:t>
            </w:r>
            <w:r>
              <w:rPr>
                <w:rFonts w:cs="Times New Roman"/>
                <w:i/>
                <w:iCs/>
                <w:kern w:val="0"/>
                <w:szCs w:val="21"/>
              </w:rPr>
              <w:t>euglypta</w:t>
            </w:r>
          </w:p>
        </w:tc>
        <w:tc>
          <w:tcPr>
            <w:tcW w:w="565" w:type="pct"/>
            <w:shd w:val="clear" w:color="auto" w:fill="auto"/>
            <w:vAlign w:val="center"/>
          </w:tcPr>
          <w:p w14:paraId="4E806322"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2E67E0CD"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6227DCF5" w14:textId="77777777" w:rsidR="007D1E74" w:rsidRDefault="007D1E74">
            <w:pPr>
              <w:widowControl/>
              <w:jc w:val="center"/>
              <w:rPr>
                <w:rFonts w:cs="Times New Roman"/>
                <w:kern w:val="0"/>
                <w:szCs w:val="21"/>
              </w:rPr>
            </w:pPr>
          </w:p>
        </w:tc>
        <w:tc>
          <w:tcPr>
            <w:tcW w:w="563" w:type="pct"/>
            <w:shd w:val="clear" w:color="auto" w:fill="auto"/>
            <w:vAlign w:val="center"/>
          </w:tcPr>
          <w:p w14:paraId="2E547D98" w14:textId="77777777" w:rsidR="007D1E74" w:rsidRDefault="007D1E74">
            <w:pPr>
              <w:widowControl/>
              <w:jc w:val="center"/>
              <w:rPr>
                <w:rFonts w:cs="Times New Roman"/>
                <w:kern w:val="0"/>
                <w:szCs w:val="21"/>
              </w:rPr>
            </w:pPr>
          </w:p>
        </w:tc>
      </w:tr>
      <w:tr w:rsidR="007D1E74" w14:paraId="32A58B99" w14:textId="77777777">
        <w:tc>
          <w:tcPr>
            <w:tcW w:w="2742" w:type="pct"/>
            <w:shd w:val="clear" w:color="auto" w:fill="auto"/>
            <w:vAlign w:val="center"/>
          </w:tcPr>
          <w:p w14:paraId="423E2D60" w14:textId="77777777" w:rsidR="007D1E74" w:rsidRDefault="00A95641">
            <w:pPr>
              <w:widowControl/>
              <w:rPr>
                <w:rFonts w:ascii="宋体" w:hAnsi="宋体" w:cs="宋体"/>
                <w:kern w:val="0"/>
                <w:szCs w:val="21"/>
              </w:rPr>
            </w:pPr>
            <w:r>
              <w:rPr>
                <w:rFonts w:ascii="宋体" w:hAnsi="宋体" w:cs="宋体" w:hint="eastAsia"/>
                <w:kern w:val="0"/>
                <w:szCs w:val="21"/>
              </w:rPr>
              <w:t>（七）菱形藻科</w:t>
            </w:r>
            <w:r>
              <w:rPr>
                <w:rFonts w:cs="Times New Roman"/>
                <w:kern w:val="0"/>
                <w:szCs w:val="21"/>
              </w:rPr>
              <w:t>Nitzschiaceae</w:t>
            </w:r>
          </w:p>
        </w:tc>
        <w:tc>
          <w:tcPr>
            <w:tcW w:w="565" w:type="pct"/>
            <w:shd w:val="clear" w:color="auto" w:fill="auto"/>
            <w:vAlign w:val="center"/>
          </w:tcPr>
          <w:p w14:paraId="665F8DEB" w14:textId="77777777" w:rsidR="007D1E74" w:rsidRDefault="007D1E74">
            <w:pPr>
              <w:widowControl/>
              <w:jc w:val="center"/>
              <w:rPr>
                <w:rFonts w:cs="Times New Roman"/>
                <w:kern w:val="0"/>
                <w:szCs w:val="21"/>
              </w:rPr>
            </w:pPr>
          </w:p>
        </w:tc>
        <w:tc>
          <w:tcPr>
            <w:tcW w:w="565" w:type="pct"/>
            <w:shd w:val="clear" w:color="auto" w:fill="auto"/>
            <w:vAlign w:val="center"/>
          </w:tcPr>
          <w:p w14:paraId="7AD46C99" w14:textId="77777777" w:rsidR="007D1E74" w:rsidRDefault="007D1E74">
            <w:pPr>
              <w:widowControl/>
              <w:jc w:val="center"/>
              <w:rPr>
                <w:rFonts w:cs="Times New Roman"/>
                <w:kern w:val="0"/>
                <w:szCs w:val="21"/>
              </w:rPr>
            </w:pPr>
          </w:p>
        </w:tc>
        <w:tc>
          <w:tcPr>
            <w:tcW w:w="565" w:type="pct"/>
            <w:shd w:val="clear" w:color="auto" w:fill="auto"/>
            <w:vAlign w:val="center"/>
          </w:tcPr>
          <w:p w14:paraId="42572FEE" w14:textId="77777777" w:rsidR="007D1E74" w:rsidRDefault="007D1E74">
            <w:pPr>
              <w:widowControl/>
              <w:jc w:val="center"/>
              <w:rPr>
                <w:rFonts w:cs="Times New Roman"/>
                <w:kern w:val="0"/>
                <w:szCs w:val="21"/>
              </w:rPr>
            </w:pPr>
          </w:p>
        </w:tc>
        <w:tc>
          <w:tcPr>
            <w:tcW w:w="563" w:type="pct"/>
            <w:shd w:val="clear" w:color="auto" w:fill="auto"/>
            <w:vAlign w:val="center"/>
          </w:tcPr>
          <w:p w14:paraId="25D68B2A" w14:textId="77777777" w:rsidR="007D1E74" w:rsidRDefault="007D1E74">
            <w:pPr>
              <w:widowControl/>
              <w:jc w:val="center"/>
              <w:rPr>
                <w:rFonts w:cs="Times New Roman"/>
                <w:kern w:val="0"/>
                <w:szCs w:val="21"/>
              </w:rPr>
            </w:pPr>
          </w:p>
        </w:tc>
      </w:tr>
      <w:tr w:rsidR="007D1E74" w14:paraId="171935F2" w14:textId="77777777">
        <w:tc>
          <w:tcPr>
            <w:tcW w:w="2742" w:type="pct"/>
            <w:shd w:val="clear" w:color="auto" w:fill="auto"/>
            <w:vAlign w:val="center"/>
          </w:tcPr>
          <w:p w14:paraId="13E92F0C" w14:textId="77777777" w:rsidR="007D1E74" w:rsidRDefault="00A95641">
            <w:pPr>
              <w:widowControl/>
              <w:rPr>
                <w:rFonts w:cs="Times New Roman"/>
                <w:kern w:val="0"/>
                <w:szCs w:val="21"/>
              </w:rPr>
            </w:pPr>
            <w:r>
              <w:rPr>
                <w:rFonts w:cs="Times New Roman"/>
                <w:kern w:val="0"/>
                <w:szCs w:val="21"/>
              </w:rPr>
              <w:t>12.</w:t>
            </w:r>
            <w:r>
              <w:rPr>
                <w:rFonts w:ascii="宋体" w:hAnsi="宋体" w:cs="Times New Roman" w:hint="eastAsia"/>
                <w:kern w:val="0"/>
                <w:szCs w:val="21"/>
              </w:rPr>
              <w:t>菱形藻属</w:t>
            </w:r>
            <w:r>
              <w:rPr>
                <w:rFonts w:cs="Times New Roman"/>
                <w:i/>
                <w:iCs/>
                <w:kern w:val="0"/>
                <w:szCs w:val="21"/>
              </w:rPr>
              <w:t xml:space="preserve"> Hantzschia</w:t>
            </w:r>
          </w:p>
        </w:tc>
        <w:tc>
          <w:tcPr>
            <w:tcW w:w="565" w:type="pct"/>
            <w:shd w:val="clear" w:color="auto" w:fill="auto"/>
            <w:vAlign w:val="center"/>
          </w:tcPr>
          <w:p w14:paraId="73BE9741" w14:textId="77777777" w:rsidR="007D1E74" w:rsidRDefault="007D1E74">
            <w:pPr>
              <w:widowControl/>
              <w:jc w:val="center"/>
              <w:rPr>
                <w:rFonts w:cs="Times New Roman"/>
                <w:kern w:val="0"/>
                <w:szCs w:val="21"/>
              </w:rPr>
            </w:pPr>
          </w:p>
        </w:tc>
        <w:tc>
          <w:tcPr>
            <w:tcW w:w="565" w:type="pct"/>
            <w:shd w:val="clear" w:color="auto" w:fill="auto"/>
            <w:vAlign w:val="center"/>
          </w:tcPr>
          <w:p w14:paraId="71BD85C8" w14:textId="77777777" w:rsidR="007D1E74" w:rsidRDefault="007D1E74">
            <w:pPr>
              <w:widowControl/>
              <w:jc w:val="center"/>
              <w:rPr>
                <w:rFonts w:cs="Times New Roman"/>
                <w:kern w:val="0"/>
                <w:szCs w:val="21"/>
              </w:rPr>
            </w:pPr>
          </w:p>
        </w:tc>
        <w:tc>
          <w:tcPr>
            <w:tcW w:w="565" w:type="pct"/>
            <w:shd w:val="clear" w:color="auto" w:fill="auto"/>
            <w:vAlign w:val="center"/>
          </w:tcPr>
          <w:p w14:paraId="0EC23C86" w14:textId="77777777" w:rsidR="007D1E74" w:rsidRDefault="007D1E74">
            <w:pPr>
              <w:widowControl/>
              <w:jc w:val="center"/>
              <w:rPr>
                <w:rFonts w:cs="Times New Roman"/>
                <w:kern w:val="0"/>
                <w:szCs w:val="21"/>
              </w:rPr>
            </w:pPr>
          </w:p>
        </w:tc>
        <w:tc>
          <w:tcPr>
            <w:tcW w:w="563" w:type="pct"/>
            <w:shd w:val="clear" w:color="auto" w:fill="auto"/>
            <w:vAlign w:val="center"/>
          </w:tcPr>
          <w:p w14:paraId="4C98A5B0" w14:textId="77777777" w:rsidR="007D1E74" w:rsidRDefault="007D1E74">
            <w:pPr>
              <w:widowControl/>
              <w:jc w:val="center"/>
              <w:rPr>
                <w:rFonts w:cs="Times New Roman"/>
                <w:kern w:val="0"/>
                <w:szCs w:val="21"/>
              </w:rPr>
            </w:pPr>
          </w:p>
        </w:tc>
      </w:tr>
      <w:tr w:rsidR="007D1E74" w14:paraId="5080BCB1" w14:textId="77777777">
        <w:tc>
          <w:tcPr>
            <w:tcW w:w="2742" w:type="pct"/>
            <w:shd w:val="clear" w:color="auto" w:fill="auto"/>
            <w:vAlign w:val="center"/>
          </w:tcPr>
          <w:p w14:paraId="3D3732B2"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34</w:t>
            </w:r>
            <w:r>
              <w:rPr>
                <w:rFonts w:ascii="宋体" w:hAnsi="宋体" w:cs="宋体" w:hint="eastAsia"/>
                <w:kern w:val="0"/>
                <w:szCs w:val="21"/>
              </w:rPr>
              <w:t>）线性菱形藻</w:t>
            </w:r>
            <w:r>
              <w:rPr>
                <w:rFonts w:cs="Times New Roman"/>
                <w:i/>
                <w:iCs/>
                <w:kern w:val="0"/>
                <w:szCs w:val="21"/>
              </w:rPr>
              <w:t>N. linearis</w:t>
            </w:r>
          </w:p>
        </w:tc>
        <w:tc>
          <w:tcPr>
            <w:tcW w:w="565" w:type="pct"/>
            <w:shd w:val="clear" w:color="auto" w:fill="auto"/>
            <w:vAlign w:val="center"/>
          </w:tcPr>
          <w:p w14:paraId="09A0AFD5"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748637B2" w14:textId="77777777" w:rsidR="007D1E74" w:rsidRDefault="007D1E74">
            <w:pPr>
              <w:widowControl/>
              <w:jc w:val="center"/>
              <w:rPr>
                <w:rFonts w:cs="Times New Roman"/>
                <w:kern w:val="0"/>
                <w:szCs w:val="21"/>
              </w:rPr>
            </w:pPr>
          </w:p>
        </w:tc>
        <w:tc>
          <w:tcPr>
            <w:tcW w:w="565" w:type="pct"/>
            <w:shd w:val="clear" w:color="auto" w:fill="auto"/>
            <w:vAlign w:val="center"/>
          </w:tcPr>
          <w:p w14:paraId="5C13A624" w14:textId="77777777" w:rsidR="007D1E74" w:rsidRDefault="007D1E74">
            <w:pPr>
              <w:widowControl/>
              <w:jc w:val="center"/>
              <w:rPr>
                <w:rFonts w:cs="Times New Roman"/>
                <w:kern w:val="0"/>
                <w:szCs w:val="21"/>
              </w:rPr>
            </w:pPr>
          </w:p>
        </w:tc>
        <w:tc>
          <w:tcPr>
            <w:tcW w:w="563" w:type="pct"/>
            <w:shd w:val="clear" w:color="auto" w:fill="auto"/>
            <w:vAlign w:val="center"/>
          </w:tcPr>
          <w:p w14:paraId="78D9A44B" w14:textId="77777777" w:rsidR="007D1E74" w:rsidRDefault="007D1E74">
            <w:pPr>
              <w:widowControl/>
              <w:jc w:val="center"/>
              <w:rPr>
                <w:rFonts w:cs="Times New Roman"/>
                <w:kern w:val="0"/>
                <w:szCs w:val="21"/>
              </w:rPr>
            </w:pPr>
          </w:p>
        </w:tc>
      </w:tr>
      <w:tr w:rsidR="007D1E74" w14:paraId="114527EA" w14:textId="77777777">
        <w:tc>
          <w:tcPr>
            <w:tcW w:w="2742" w:type="pct"/>
            <w:shd w:val="clear" w:color="auto" w:fill="auto"/>
            <w:vAlign w:val="center"/>
          </w:tcPr>
          <w:p w14:paraId="75D3BE6B" w14:textId="77777777" w:rsidR="007D1E74" w:rsidRDefault="00A95641">
            <w:pPr>
              <w:widowControl/>
              <w:rPr>
                <w:rFonts w:ascii="宋体" w:hAnsi="宋体" w:cs="宋体"/>
                <w:kern w:val="0"/>
                <w:szCs w:val="21"/>
              </w:rPr>
            </w:pPr>
            <w:r>
              <w:rPr>
                <w:rFonts w:ascii="宋体" w:hAnsi="宋体" w:cs="宋体" w:hint="eastAsia"/>
                <w:kern w:val="0"/>
                <w:szCs w:val="21"/>
              </w:rPr>
              <w:t>二、绿藻门</w:t>
            </w:r>
            <w:r>
              <w:rPr>
                <w:rFonts w:cs="Times New Roman"/>
                <w:kern w:val="0"/>
                <w:szCs w:val="21"/>
              </w:rPr>
              <w:t>Chlorophyta</w:t>
            </w:r>
          </w:p>
        </w:tc>
        <w:tc>
          <w:tcPr>
            <w:tcW w:w="565" w:type="pct"/>
            <w:shd w:val="clear" w:color="auto" w:fill="auto"/>
            <w:vAlign w:val="center"/>
          </w:tcPr>
          <w:p w14:paraId="573D1332" w14:textId="77777777" w:rsidR="007D1E74" w:rsidRDefault="007D1E74">
            <w:pPr>
              <w:widowControl/>
              <w:jc w:val="center"/>
              <w:rPr>
                <w:rFonts w:cs="Times New Roman"/>
                <w:kern w:val="0"/>
                <w:szCs w:val="21"/>
              </w:rPr>
            </w:pPr>
          </w:p>
        </w:tc>
        <w:tc>
          <w:tcPr>
            <w:tcW w:w="565" w:type="pct"/>
            <w:shd w:val="clear" w:color="auto" w:fill="auto"/>
            <w:vAlign w:val="center"/>
          </w:tcPr>
          <w:p w14:paraId="5D16369C" w14:textId="77777777" w:rsidR="007D1E74" w:rsidRDefault="007D1E74">
            <w:pPr>
              <w:widowControl/>
              <w:jc w:val="center"/>
              <w:rPr>
                <w:rFonts w:cs="Times New Roman"/>
                <w:kern w:val="0"/>
                <w:szCs w:val="21"/>
              </w:rPr>
            </w:pPr>
          </w:p>
        </w:tc>
        <w:tc>
          <w:tcPr>
            <w:tcW w:w="565" w:type="pct"/>
            <w:shd w:val="clear" w:color="auto" w:fill="auto"/>
            <w:vAlign w:val="center"/>
          </w:tcPr>
          <w:p w14:paraId="3839E985" w14:textId="77777777" w:rsidR="007D1E74" w:rsidRDefault="007D1E74">
            <w:pPr>
              <w:widowControl/>
              <w:jc w:val="center"/>
              <w:rPr>
                <w:rFonts w:cs="Times New Roman"/>
                <w:kern w:val="0"/>
                <w:szCs w:val="21"/>
              </w:rPr>
            </w:pPr>
          </w:p>
        </w:tc>
        <w:tc>
          <w:tcPr>
            <w:tcW w:w="563" w:type="pct"/>
            <w:shd w:val="clear" w:color="auto" w:fill="auto"/>
            <w:vAlign w:val="center"/>
          </w:tcPr>
          <w:p w14:paraId="20C06DE8" w14:textId="77777777" w:rsidR="007D1E74" w:rsidRDefault="007D1E74">
            <w:pPr>
              <w:widowControl/>
              <w:jc w:val="center"/>
              <w:rPr>
                <w:rFonts w:cs="Times New Roman"/>
                <w:kern w:val="0"/>
                <w:szCs w:val="21"/>
              </w:rPr>
            </w:pPr>
          </w:p>
        </w:tc>
      </w:tr>
      <w:tr w:rsidR="007D1E74" w14:paraId="56053AEB" w14:textId="77777777">
        <w:tc>
          <w:tcPr>
            <w:tcW w:w="2742" w:type="pct"/>
            <w:shd w:val="clear" w:color="auto" w:fill="auto"/>
            <w:vAlign w:val="center"/>
          </w:tcPr>
          <w:p w14:paraId="2518EC30" w14:textId="77777777" w:rsidR="007D1E74" w:rsidRDefault="00A95641">
            <w:pPr>
              <w:widowControl/>
              <w:rPr>
                <w:rFonts w:ascii="宋体" w:hAnsi="宋体" w:cs="宋体"/>
                <w:kern w:val="0"/>
                <w:szCs w:val="21"/>
              </w:rPr>
            </w:pPr>
            <w:r>
              <w:rPr>
                <w:rFonts w:ascii="宋体" w:hAnsi="宋体" w:cs="宋体" w:hint="eastAsia"/>
                <w:kern w:val="0"/>
                <w:szCs w:val="21"/>
              </w:rPr>
              <w:t>（八）鼓藻科</w:t>
            </w:r>
            <w:r>
              <w:rPr>
                <w:rFonts w:cs="Times New Roman"/>
                <w:kern w:val="0"/>
                <w:szCs w:val="21"/>
              </w:rPr>
              <w:t>Desmidiaceae</w:t>
            </w:r>
          </w:p>
        </w:tc>
        <w:tc>
          <w:tcPr>
            <w:tcW w:w="565" w:type="pct"/>
            <w:shd w:val="clear" w:color="auto" w:fill="auto"/>
            <w:vAlign w:val="center"/>
          </w:tcPr>
          <w:p w14:paraId="4829BF69" w14:textId="77777777" w:rsidR="007D1E74" w:rsidRDefault="007D1E74">
            <w:pPr>
              <w:widowControl/>
              <w:jc w:val="center"/>
              <w:rPr>
                <w:rFonts w:cs="Times New Roman"/>
                <w:kern w:val="0"/>
                <w:szCs w:val="21"/>
              </w:rPr>
            </w:pPr>
          </w:p>
        </w:tc>
        <w:tc>
          <w:tcPr>
            <w:tcW w:w="565" w:type="pct"/>
            <w:shd w:val="clear" w:color="auto" w:fill="auto"/>
            <w:vAlign w:val="center"/>
          </w:tcPr>
          <w:p w14:paraId="04A0EE0C" w14:textId="77777777" w:rsidR="007D1E74" w:rsidRDefault="007D1E74">
            <w:pPr>
              <w:widowControl/>
              <w:jc w:val="center"/>
              <w:rPr>
                <w:rFonts w:cs="Times New Roman"/>
                <w:kern w:val="0"/>
                <w:szCs w:val="21"/>
              </w:rPr>
            </w:pPr>
          </w:p>
        </w:tc>
        <w:tc>
          <w:tcPr>
            <w:tcW w:w="565" w:type="pct"/>
            <w:shd w:val="clear" w:color="auto" w:fill="auto"/>
            <w:vAlign w:val="center"/>
          </w:tcPr>
          <w:p w14:paraId="2CD9001A" w14:textId="77777777" w:rsidR="007D1E74" w:rsidRDefault="007D1E74">
            <w:pPr>
              <w:widowControl/>
              <w:jc w:val="center"/>
              <w:rPr>
                <w:rFonts w:cs="Times New Roman"/>
                <w:kern w:val="0"/>
                <w:szCs w:val="21"/>
              </w:rPr>
            </w:pPr>
          </w:p>
        </w:tc>
        <w:tc>
          <w:tcPr>
            <w:tcW w:w="563" w:type="pct"/>
            <w:shd w:val="clear" w:color="auto" w:fill="auto"/>
            <w:vAlign w:val="center"/>
          </w:tcPr>
          <w:p w14:paraId="1BE5B2B3" w14:textId="77777777" w:rsidR="007D1E74" w:rsidRDefault="007D1E74">
            <w:pPr>
              <w:widowControl/>
              <w:jc w:val="center"/>
              <w:rPr>
                <w:rFonts w:cs="Times New Roman"/>
                <w:kern w:val="0"/>
                <w:szCs w:val="21"/>
              </w:rPr>
            </w:pPr>
          </w:p>
        </w:tc>
      </w:tr>
      <w:tr w:rsidR="007D1E74" w14:paraId="1D06EA64" w14:textId="77777777">
        <w:tc>
          <w:tcPr>
            <w:tcW w:w="2742" w:type="pct"/>
            <w:shd w:val="clear" w:color="auto" w:fill="auto"/>
            <w:vAlign w:val="center"/>
          </w:tcPr>
          <w:p w14:paraId="21B22490" w14:textId="77777777" w:rsidR="007D1E74" w:rsidRDefault="00A95641">
            <w:pPr>
              <w:widowControl/>
              <w:rPr>
                <w:rFonts w:cs="Times New Roman"/>
                <w:kern w:val="0"/>
                <w:szCs w:val="21"/>
              </w:rPr>
            </w:pPr>
            <w:r>
              <w:rPr>
                <w:rFonts w:cs="Times New Roman"/>
                <w:kern w:val="0"/>
                <w:szCs w:val="21"/>
              </w:rPr>
              <w:t>13.</w:t>
            </w:r>
            <w:r>
              <w:rPr>
                <w:rFonts w:ascii="宋体" w:hAnsi="宋体" w:cs="Times New Roman" w:hint="eastAsia"/>
                <w:kern w:val="0"/>
                <w:szCs w:val="21"/>
              </w:rPr>
              <w:t>新月藻属</w:t>
            </w:r>
            <w:r>
              <w:rPr>
                <w:rFonts w:cs="Times New Roman"/>
                <w:i/>
                <w:iCs/>
                <w:kern w:val="0"/>
                <w:szCs w:val="21"/>
              </w:rPr>
              <w:t>Closterium</w:t>
            </w:r>
          </w:p>
        </w:tc>
        <w:tc>
          <w:tcPr>
            <w:tcW w:w="565" w:type="pct"/>
            <w:shd w:val="clear" w:color="auto" w:fill="auto"/>
            <w:vAlign w:val="center"/>
          </w:tcPr>
          <w:p w14:paraId="4A315DF6" w14:textId="77777777" w:rsidR="007D1E74" w:rsidRDefault="007D1E74">
            <w:pPr>
              <w:widowControl/>
              <w:jc w:val="center"/>
              <w:rPr>
                <w:rFonts w:cs="Times New Roman"/>
                <w:kern w:val="0"/>
                <w:szCs w:val="21"/>
              </w:rPr>
            </w:pPr>
          </w:p>
        </w:tc>
        <w:tc>
          <w:tcPr>
            <w:tcW w:w="565" w:type="pct"/>
            <w:shd w:val="clear" w:color="auto" w:fill="auto"/>
            <w:vAlign w:val="center"/>
          </w:tcPr>
          <w:p w14:paraId="62EE824D" w14:textId="77777777" w:rsidR="007D1E74" w:rsidRDefault="007D1E74">
            <w:pPr>
              <w:widowControl/>
              <w:jc w:val="center"/>
              <w:rPr>
                <w:rFonts w:cs="Times New Roman"/>
                <w:kern w:val="0"/>
                <w:szCs w:val="21"/>
              </w:rPr>
            </w:pPr>
          </w:p>
        </w:tc>
        <w:tc>
          <w:tcPr>
            <w:tcW w:w="565" w:type="pct"/>
            <w:shd w:val="clear" w:color="auto" w:fill="auto"/>
            <w:vAlign w:val="center"/>
          </w:tcPr>
          <w:p w14:paraId="7309BF4D" w14:textId="77777777" w:rsidR="007D1E74" w:rsidRDefault="007D1E74">
            <w:pPr>
              <w:widowControl/>
              <w:jc w:val="center"/>
              <w:rPr>
                <w:rFonts w:cs="Times New Roman"/>
                <w:kern w:val="0"/>
                <w:szCs w:val="21"/>
              </w:rPr>
            </w:pPr>
          </w:p>
        </w:tc>
        <w:tc>
          <w:tcPr>
            <w:tcW w:w="563" w:type="pct"/>
            <w:shd w:val="clear" w:color="auto" w:fill="auto"/>
            <w:vAlign w:val="center"/>
          </w:tcPr>
          <w:p w14:paraId="57FCEC6D" w14:textId="77777777" w:rsidR="007D1E74" w:rsidRDefault="007D1E74">
            <w:pPr>
              <w:widowControl/>
              <w:jc w:val="center"/>
              <w:rPr>
                <w:rFonts w:cs="Times New Roman"/>
                <w:kern w:val="0"/>
                <w:szCs w:val="21"/>
              </w:rPr>
            </w:pPr>
          </w:p>
        </w:tc>
      </w:tr>
      <w:tr w:rsidR="007D1E74" w14:paraId="76DB63E3" w14:textId="77777777">
        <w:tc>
          <w:tcPr>
            <w:tcW w:w="2742" w:type="pct"/>
            <w:shd w:val="clear" w:color="auto" w:fill="auto"/>
            <w:vAlign w:val="center"/>
          </w:tcPr>
          <w:p w14:paraId="2D5ABB2C" w14:textId="77777777" w:rsidR="007D1E74" w:rsidRDefault="00A95641">
            <w:pPr>
              <w:widowControl/>
              <w:rPr>
                <w:rFonts w:ascii="宋体" w:hAnsi="宋体" w:cs="宋体"/>
                <w:kern w:val="0"/>
                <w:szCs w:val="21"/>
              </w:rPr>
            </w:pPr>
            <w:r>
              <w:rPr>
                <w:rFonts w:ascii="宋体" w:hAnsi="宋体" w:cs="宋体" w:hint="eastAsia"/>
                <w:kern w:val="0"/>
                <w:szCs w:val="21"/>
              </w:rPr>
              <w:lastRenderedPageBreak/>
              <w:t>（</w:t>
            </w:r>
            <w:r>
              <w:rPr>
                <w:rFonts w:cs="Times New Roman"/>
                <w:kern w:val="0"/>
                <w:szCs w:val="21"/>
              </w:rPr>
              <w:t>35</w:t>
            </w:r>
            <w:r>
              <w:rPr>
                <w:rFonts w:ascii="宋体" w:hAnsi="宋体" w:cs="宋体" w:hint="eastAsia"/>
                <w:kern w:val="0"/>
                <w:szCs w:val="21"/>
              </w:rPr>
              <w:t>）锐新月藻</w:t>
            </w:r>
            <w:r>
              <w:rPr>
                <w:rFonts w:cs="Times New Roman"/>
                <w:i/>
                <w:iCs/>
                <w:kern w:val="0"/>
                <w:szCs w:val="21"/>
              </w:rPr>
              <w:t>C.acerosum</w:t>
            </w:r>
          </w:p>
        </w:tc>
        <w:tc>
          <w:tcPr>
            <w:tcW w:w="565" w:type="pct"/>
            <w:shd w:val="clear" w:color="auto" w:fill="auto"/>
            <w:vAlign w:val="center"/>
          </w:tcPr>
          <w:p w14:paraId="0CCB4D58"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6E62F1F2" w14:textId="77777777" w:rsidR="007D1E74" w:rsidRDefault="007D1E74">
            <w:pPr>
              <w:widowControl/>
              <w:jc w:val="center"/>
              <w:rPr>
                <w:rFonts w:cs="Times New Roman"/>
                <w:kern w:val="0"/>
                <w:szCs w:val="21"/>
              </w:rPr>
            </w:pPr>
          </w:p>
        </w:tc>
        <w:tc>
          <w:tcPr>
            <w:tcW w:w="565" w:type="pct"/>
            <w:shd w:val="clear" w:color="auto" w:fill="auto"/>
            <w:vAlign w:val="center"/>
          </w:tcPr>
          <w:p w14:paraId="64E8CDF8" w14:textId="77777777" w:rsidR="007D1E74" w:rsidRDefault="007D1E74">
            <w:pPr>
              <w:widowControl/>
              <w:jc w:val="center"/>
              <w:rPr>
                <w:rFonts w:cs="Times New Roman"/>
                <w:kern w:val="0"/>
                <w:szCs w:val="21"/>
              </w:rPr>
            </w:pPr>
          </w:p>
        </w:tc>
        <w:tc>
          <w:tcPr>
            <w:tcW w:w="563" w:type="pct"/>
            <w:shd w:val="clear" w:color="auto" w:fill="auto"/>
            <w:vAlign w:val="center"/>
          </w:tcPr>
          <w:p w14:paraId="52328313" w14:textId="77777777" w:rsidR="007D1E74" w:rsidRDefault="007D1E74">
            <w:pPr>
              <w:widowControl/>
              <w:jc w:val="center"/>
              <w:rPr>
                <w:rFonts w:cs="Times New Roman"/>
                <w:kern w:val="0"/>
                <w:szCs w:val="21"/>
              </w:rPr>
            </w:pPr>
          </w:p>
        </w:tc>
      </w:tr>
      <w:tr w:rsidR="007D1E74" w14:paraId="7CC86912" w14:textId="77777777">
        <w:tc>
          <w:tcPr>
            <w:tcW w:w="2742" w:type="pct"/>
            <w:shd w:val="clear" w:color="auto" w:fill="auto"/>
            <w:vAlign w:val="center"/>
          </w:tcPr>
          <w:p w14:paraId="5994028F"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36</w:t>
            </w:r>
            <w:r>
              <w:rPr>
                <w:rFonts w:ascii="宋体" w:hAnsi="宋体" w:cs="宋体" w:hint="eastAsia"/>
                <w:kern w:val="0"/>
                <w:szCs w:val="21"/>
              </w:rPr>
              <w:t>）纤细新月藻</w:t>
            </w:r>
            <w:r>
              <w:rPr>
                <w:rFonts w:cs="Times New Roman"/>
                <w:i/>
                <w:iCs/>
                <w:kern w:val="0"/>
                <w:szCs w:val="21"/>
              </w:rPr>
              <w:t>C.gracile</w:t>
            </w:r>
          </w:p>
        </w:tc>
        <w:tc>
          <w:tcPr>
            <w:tcW w:w="565" w:type="pct"/>
            <w:shd w:val="clear" w:color="auto" w:fill="auto"/>
            <w:vAlign w:val="center"/>
          </w:tcPr>
          <w:p w14:paraId="1E3314F9" w14:textId="77777777" w:rsidR="007D1E74" w:rsidRDefault="007D1E74">
            <w:pPr>
              <w:widowControl/>
              <w:jc w:val="center"/>
              <w:rPr>
                <w:rFonts w:cs="Times New Roman"/>
                <w:kern w:val="0"/>
                <w:szCs w:val="21"/>
              </w:rPr>
            </w:pPr>
          </w:p>
        </w:tc>
        <w:tc>
          <w:tcPr>
            <w:tcW w:w="565" w:type="pct"/>
            <w:shd w:val="clear" w:color="auto" w:fill="auto"/>
            <w:vAlign w:val="center"/>
          </w:tcPr>
          <w:p w14:paraId="28B852F3"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4252FA7C" w14:textId="77777777" w:rsidR="007D1E74" w:rsidRDefault="007D1E74">
            <w:pPr>
              <w:widowControl/>
              <w:jc w:val="center"/>
              <w:rPr>
                <w:rFonts w:cs="Times New Roman"/>
                <w:kern w:val="0"/>
                <w:szCs w:val="21"/>
              </w:rPr>
            </w:pPr>
          </w:p>
        </w:tc>
        <w:tc>
          <w:tcPr>
            <w:tcW w:w="563" w:type="pct"/>
            <w:shd w:val="clear" w:color="auto" w:fill="auto"/>
            <w:vAlign w:val="center"/>
          </w:tcPr>
          <w:p w14:paraId="04604875" w14:textId="77777777" w:rsidR="007D1E74" w:rsidRDefault="007D1E74">
            <w:pPr>
              <w:widowControl/>
              <w:jc w:val="center"/>
              <w:rPr>
                <w:rFonts w:cs="Times New Roman"/>
                <w:kern w:val="0"/>
                <w:szCs w:val="21"/>
              </w:rPr>
            </w:pPr>
          </w:p>
        </w:tc>
      </w:tr>
      <w:tr w:rsidR="007D1E74" w14:paraId="60CC74FF" w14:textId="77777777">
        <w:tc>
          <w:tcPr>
            <w:tcW w:w="2742" w:type="pct"/>
            <w:shd w:val="clear" w:color="auto" w:fill="auto"/>
            <w:vAlign w:val="center"/>
          </w:tcPr>
          <w:p w14:paraId="2F73DD10" w14:textId="77777777" w:rsidR="007D1E74" w:rsidRDefault="00A95641">
            <w:pPr>
              <w:widowControl/>
              <w:rPr>
                <w:rFonts w:cs="Times New Roman"/>
                <w:kern w:val="0"/>
                <w:szCs w:val="21"/>
              </w:rPr>
            </w:pPr>
            <w:r>
              <w:rPr>
                <w:rFonts w:cs="Times New Roman"/>
                <w:kern w:val="0"/>
                <w:szCs w:val="21"/>
              </w:rPr>
              <w:t>14.</w:t>
            </w:r>
            <w:r>
              <w:rPr>
                <w:rFonts w:ascii="宋体" w:hAnsi="宋体" w:cs="Times New Roman" w:hint="eastAsia"/>
                <w:kern w:val="0"/>
                <w:szCs w:val="21"/>
              </w:rPr>
              <w:t>鼓藻属</w:t>
            </w:r>
            <w:r>
              <w:rPr>
                <w:rFonts w:cs="Times New Roman"/>
                <w:i/>
                <w:iCs/>
                <w:kern w:val="0"/>
                <w:szCs w:val="21"/>
              </w:rPr>
              <w:t>Cosmarium</w:t>
            </w:r>
          </w:p>
        </w:tc>
        <w:tc>
          <w:tcPr>
            <w:tcW w:w="565" w:type="pct"/>
            <w:shd w:val="clear" w:color="auto" w:fill="auto"/>
            <w:vAlign w:val="center"/>
          </w:tcPr>
          <w:p w14:paraId="0AF47CAB" w14:textId="77777777" w:rsidR="007D1E74" w:rsidRDefault="007D1E74">
            <w:pPr>
              <w:widowControl/>
              <w:jc w:val="center"/>
              <w:rPr>
                <w:rFonts w:cs="Times New Roman"/>
                <w:kern w:val="0"/>
                <w:szCs w:val="21"/>
              </w:rPr>
            </w:pPr>
          </w:p>
        </w:tc>
        <w:tc>
          <w:tcPr>
            <w:tcW w:w="565" w:type="pct"/>
            <w:shd w:val="clear" w:color="auto" w:fill="auto"/>
            <w:vAlign w:val="center"/>
          </w:tcPr>
          <w:p w14:paraId="605F5508" w14:textId="77777777" w:rsidR="007D1E74" w:rsidRDefault="007D1E74">
            <w:pPr>
              <w:widowControl/>
              <w:jc w:val="center"/>
              <w:rPr>
                <w:rFonts w:cs="Times New Roman"/>
                <w:kern w:val="0"/>
                <w:szCs w:val="21"/>
              </w:rPr>
            </w:pPr>
          </w:p>
        </w:tc>
        <w:tc>
          <w:tcPr>
            <w:tcW w:w="565" w:type="pct"/>
            <w:shd w:val="clear" w:color="auto" w:fill="auto"/>
            <w:vAlign w:val="center"/>
          </w:tcPr>
          <w:p w14:paraId="444DF47D" w14:textId="77777777" w:rsidR="007D1E74" w:rsidRDefault="007D1E74">
            <w:pPr>
              <w:widowControl/>
              <w:jc w:val="center"/>
              <w:rPr>
                <w:rFonts w:cs="Times New Roman"/>
                <w:kern w:val="0"/>
                <w:szCs w:val="21"/>
              </w:rPr>
            </w:pPr>
          </w:p>
        </w:tc>
        <w:tc>
          <w:tcPr>
            <w:tcW w:w="563" w:type="pct"/>
            <w:shd w:val="clear" w:color="auto" w:fill="auto"/>
            <w:vAlign w:val="center"/>
          </w:tcPr>
          <w:p w14:paraId="7DA93E6A" w14:textId="77777777" w:rsidR="007D1E74" w:rsidRDefault="007D1E74">
            <w:pPr>
              <w:widowControl/>
              <w:jc w:val="center"/>
              <w:rPr>
                <w:rFonts w:cs="Times New Roman"/>
                <w:kern w:val="0"/>
                <w:szCs w:val="21"/>
              </w:rPr>
            </w:pPr>
          </w:p>
        </w:tc>
      </w:tr>
      <w:tr w:rsidR="007D1E74" w14:paraId="451C7E42" w14:textId="77777777">
        <w:tc>
          <w:tcPr>
            <w:tcW w:w="2742" w:type="pct"/>
            <w:shd w:val="clear" w:color="auto" w:fill="auto"/>
            <w:vAlign w:val="center"/>
          </w:tcPr>
          <w:p w14:paraId="1EB14AA8"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37</w:t>
            </w:r>
            <w:r>
              <w:rPr>
                <w:rFonts w:ascii="宋体" w:hAnsi="宋体" w:cs="宋体" w:hint="eastAsia"/>
                <w:kern w:val="0"/>
                <w:szCs w:val="21"/>
              </w:rPr>
              <w:t>）肾形鼓藻</w:t>
            </w:r>
            <w:r>
              <w:rPr>
                <w:rFonts w:cs="Times New Roman"/>
                <w:i/>
                <w:iCs/>
                <w:kern w:val="0"/>
                <w:szCs w:val="21"/>
              </w:rPr>
              <w:t>C.renforme</w:t>
            </w:r>
          </w:p>
        </w:tc>
        <w:tc>
          <w:tcPr>
            <w:tcW w:w="565" w:type="pct"/>
            <w:shd w:val="clear" w:color="auto" w:fill="auto"/>
            <w:vAlign w:val="center"/>
          </w:tcPr>
          <w:p w14:paraId="1289D7B7"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4D25424C" w14:textId="77777777" w:rsidR="007D1E74" w:rsidRDefault="007D1E74">
            <w:pPr>
              <w:widowControl/>
              <w:jc w:val="center"/>
              <w:rPr>
                <w:rFonts w:cs="Times New Roman"/>
                <w:kern w:val="0"/>
                <w:szCs w:val="21"/>
              </w:rPr>
            </w:pPr>
          </w:p>
        </w:tc>
        <w:tc>
          <w:tcPr>
            <w:tcW w:w="565" w:type="pct"/>
            <w:shd w:val="clear" w:color="auto" w:fill="auto"/>
            <w:vAlign w:val="center"/>
          </w:tcPr>
          <w:p w14:paraId="296D4E01" w14:textId="77777777" w:rsidR="007D1E74" w:rsidRDefault="007D1E74">
            <w:pPr>
              <w:widowControl/>
              <w:jc w:val="center"/>
              <w:rPr>
                <w:rFonts w:cs="Times New Roman"/>
                <w:kern w:val="0"/>
                <w:szCs w:val="21"/>
              </w:rPr>
            </w:pPr>
          </w:p>
        </w:tc>
        <w:tc>
          <w:tcPr>
            <w:tcW w:w="563" w:type="pct"/>
            <w:shd w:val="clear" w:color="auto" w:fill="auto"/>
            <w:vAlign w:val="center"/>
          </w:tcPr>
          <w:p w14:paraId="61564185" w14:textId="77777777" w:rsidR="007D1E74" w:rsidRDefault="007D1E74">
            <w:pPr>
              <w:widowControl/>
              <w:jc w:val="center"/>
              <w:rPr>
                <w:rFonts w:cs="Times New Roman"/>
                <w:kern w:val="0"/>
                <w:szCs w:val="21"/>
              </w:rPr>
            </w:pPr>
          </w:p>
        </w:tc>
      </w:tr>
      <w:tr w:rsidR="007D1E74" w14:paraId="7BBE9CA2" w14:textId="77777777">
        <w:tc>
          <w:tcPr>
            <w:tcW w:w="2742" w:type="pct"/>
            <w:shd w:val="clear" w:color="auto" w:fill="auto"/>
            <w:vAlign w:val="center"/>
          </w:tcPr>
          <w:p w14:paraId="712475E0" w14:textId="77777777" w:rsidR="007D1E74" w:rsidRDefault="00A95641">
            <w:pPr>
              <w:widowControl/>
              <w:rPr>
                <w:rFonts w:ascii="宋体" w:hAnsi="宋体" w:cs="宋体"/>
                <w:kern w:val="0"/>
                <w:szCs w:val="21"/>
              </w:rPr>
            </w:pPr>
            <w:r>
              <w:rPr>
                <w:rFonts w:ascii="宋体" w:hAnsi="宋体" w:cs="宋体" w:hint="eastAsia"/>
                <w:kern w:val="0"/>
                <w:szCs w:val="21"/>
              </w:rPr>
              <w:t>（九）丝藻科</w:t>
            </w:r>
            <w:r>
              <w:rPr>
                <w:rFonts w:cs="Times New Roman"/>
                <w:kern w:val="0"/>
                <w:szCs w:val="21"/>
              </w:rPr>
              <w:t>Ulotrichaceae</w:t>
            </w:r>
          </w:p>
        </w:tc>
        <w:tc>
          <w:tcPr>
            <w:tcW w:w="565" w:type="pct"/>
            <w:shd w:val="clear" w:color="auto" w:fill="auto"/>
            <w:vAlign w:val="center"/>
          </w:tcPr>
          <w:p w14:paraId="1ECB12A8" w14:textId="77777777" w:rsidR="007D1E74" w:rsidRDefault="007D1E74">
            <w:pPr>
              <w:widowControl/>
              <w:jc w:val="center"/>
              <w:rPr>
                <w:rFonts w:cs="Times New Roman"/>
                <w:kern w:val="0"/>
                <w:szCs w:val="21"/>
              </w:rPr>
            </w:pPr>
          </w:p>
        </w:tc>
        <w:tc>
          <w:tcPr>
            <w:tcW w:w="565" w:type="pct"/>
            <w:shd w:val="clear" w:color="auto" w:fill="auto"/>
            <w:vAlign w:val="center"/>
          </w:tcPr>
          <w:p w14:paraId="6F97694E" w14:textId="77777777" w:rsidR="007D1E74" w:rsidRDefault="007D1E74">
            <w:pPr>
              <w:widowControl/>
              <w:jc w:val="center"/>
              <w:rPr>
                <w:rFonts w:cs="Times New Roman"/>
                <w:kern w:val="0"/>
                <w:szCs w:val="21"/>
              </w:rPr>
            </w:pPr>
          </w:p>
        </w:tc>
        <w:tc>
          <w:tcPr>
            <w:tcW w:w="565" w:type="pct"/>
            <w:shd w:val="clear" w:color="auto" w:fill="auto"/>
            <w:vAlign w:val="center"/>
          </w:tcPr>
          <w:p w14:paraId="1EAFD0F8" w14:textId="77777777" w:rsidR="007D1E74" w:rsidRDefault="007D1E74">
            <w:pPr>
              <w:widowControl/>
              <w:jc w:val="center"/>
              <w:rPr>
                <w:rFonts w:cs="Times New Roman"/>
                <w:kern w:val="0"/>
                <w:szCs w:val="21"/>
              </w:rPr>
            </w:pPr>
          </w:p>
        </w:tc>
        <w:tc>
          <w:tcPr>
            <w:tcW w:w="563" w:type="pct"/>
            <w:shd w:val="clear" w:color="auto" w:fill="auto"/>
            <w:vAlign w:val="center"/>
          </w:tcPr>
          <w:p w14:paraId="59F088D8" w14:textId="77777777" w:rsidR="007D1E74" w:rsidRDefault="007D1E74">
            <w:pPr>
              <w:widowControl/>
              <w:jc w:val="center"/>
              <w:rPr>
                <w:rFonts w:cs="Times New Roman"/>
                <w:kern w:val="0"/>
                <w:szCs w:val="21"/>
              </w:rPr>
            </w:pPr>
          </w:p>
        </w:tc>
      </w:tr>
      <w:tr w:rsidR="007D1E74" w14:paraId="5863EFC3" w14:textId="77777777">
        <w:tc>
          <w:tcPr>
            <w:tcW w:w="2742" w:type="pct"/>
            <w:shd w:val="clear" w:color="auto" w:fill="auto"/>
            <w:vAlign w:val="center"/>
          </w:tcPr>
          <w:p w14:paraId="5A8BEEB5" w14:textId="77777777" w:rsidR="007D1E74" w:rsidRDefault="00A95641">
            <w:pPr>
              <w:widowControl/>
              <w:rPr>
                <w:rFonts w:cs="Times New Roman"/>
                <w:kern w:val="0"/>
                <w:szCs w:val="21"/>
              </w:rPr>
            </w:pPr>
            <w:r>
              <w:rPr>
                <w:rFonts w:cs="Times New Roman"/>
                <w:kern w:val="0"/>
                <w:szCs w:val="21"/>
              </w:rPr>
              <w:t>15.</w:t>
            </w:r>
            <w:r>
              <w:rPr>
                <w:rFonts w:ascii="宋体" w:hAnsi="宋体" w:cs="Times New Roman" w:hint="eastAsia"/>
                <w:kern w:val="0"/>
                <w:szCs w:val="21"/>
              </w:rPr>
              <w:t>丝藻属</w:t>
            </w:r>
            <w:r>
              <w:rPr>
                <w:rFonts w:cs="Times New Roman"/>
                <w:i/>
                <w:iCs/>
                <w:kern w:val="0"/>
                <w:szCs w:val="21"/>
              </w:rPr>
              <w:t>Ulothrix</w:t>
            </w:r>
          </w:p>
        </w:tc>
        <w:tc>
          <w:tcPr>
            <w:tcW w:w="565" w:type="pct"/>
            <w:shd w:val="clear" w:color="auto" w:fill="auto"/>
            <w:vAlign w:val="center"/>
          </w:tcPr>
          <w:p w14:paraId="45517955" w14:textId="77777777" w:rsidR="007D1E74" w:rsidRDefault="007D1E74">
            <w:pPr>
              <w:widowControl/>
              <w:jc w:val="center"/>
              <w:rPr>
                <w:rFonts w:cs="Times New Roman"/>
                <w:kern w:val="0"/>
                <w:szCs w:val="21"/>
              </w:rPr>
            </w:pPr>
          </w:p>
        </w:tc>
        <w:tc>
          <w:tcPr>
            <w:tcW w:w="565" w:type="pct"/>
            <w:shd w:val="clear" w:color="auto" w:fill="auto"/>
            <w:vAlign w:val="center"/>
          </w:tcPr>
          <w:p w14:paraId="61A89B14" w14:textId="77777777" w:rsidR="007D1E74" w:rsidRDefault="007D1E74">
            <w:pPr>
              <w:widowControl/>
              <w:jc w:val="center"/>
              <w:rPr>
                <w:rFonts w:cs="Times New Roman"/>
                <w:kern w:val="0"/>
                <w:szCs w:val="21"/>
              </w:rPr>
            </w:pPr>
          </w:p>
        </w:tc>
        <w:tc>
          <w:tcPr>
            <w:tcW w:w="565" w:type="pct"/>
            <w:shd w:val="clear" w:color="auto" w:fill="auto"/>
            <w:vAlign w:val="center"/>
          </w:tcPr>
          <w:p w14:paraId="1C522902" w14:textId="77777777" w:rsidR="007D1E74" w:rsidRDefault="007D1E74">
            <w:pPr>
              <w:widowControl/>
              <w:jc w:val="center"/>
              <w:rPr>
                <w:rFonts w:cs="Times New Roman"/>
                <w:kern w:val="0"/>
                <w:szCs w:val="21"/>
              </w:rPr>
            </w:pPr>
          </w:p>
        </w:tc>
        <w:tc>
          <w:tcPr>
            <w:tcW w:w="563" w:type="pct"/>
            <w:shd w:val="clear" w:color="auto" w:fill="auto"/>
            <w:vAlign w:val="center"/>
          </w:tcPr>
          <w:p w14:paraId="16FBE3EE" w14:textId="77777777" w:rsidR="007D1E74" w:rsidRDefault="007D1E74">
            <w:pPr>
              <w:widowControl/>
              <w:jc w:val="center"/>
              <w:rPr>
                <w:rFonts w:cs="Times New Roman"/>
                <w:kern w:val="0"/>
                <w:szCs w:val="21"/>
              </w:rPr>
            </w:pPr>
          </w:p>
        </w:tc>
      </w:tr>
      <w:tr w:rsidR="007D1E74" w14:paraId="6A4D6AD9" w14:textId="77777777">
        <w:tc>
          <w:tcPr>
            <w:tcW w:w="2742" w:type="pct"/>
            <w:shd w:val="clear" w:color="auto" w:fill="auto"/>
            <w:vAlign w:val="center"/>
          </w:tcPr>
          <w:p w14:paraId="0CF1DE90"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38</w:t>
            </w:r>
            <w:r>
              <w:rPr>
                <w:rFonts w:ascii="宋体" w:hAnsi="宋体" w:cs="宋体" w:hint="eastAsia"/>
                <w:kern w:val="0"/>
                <w:szCs w:val="21"/>
              </w:rPr>
              <w:t>）颤丝藻</w:t>
            </w:r>
            <w:r>
              <w:rPr>
                <w:rFonts w:cs="Times New Roman"/>
                <w:i/>
                <w:iCs/>
                <w:kern w:val="0"/>
                <w:szCs w:val="21"/>
              </w:rPr>
              <w:t>U.oscillarina</w:t>
            </w:r>
          </w:p>
        </w:tc>
        <w:tc>
          <w:tcPr>
            <w:tcW w:w="565" w:type="pct"/>
            <w:shd w:val="clear" w:color="auto" w:fill="auto"/>
            <w:vAlign w:val="center"/>
          </w:tcPr>
          <w:p w14:paraId="35F4022B"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6D040CE0"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4F6EE4BC" w14:textId="77777777" w:rsidR="007D1E74" w:rsidRDefault="00A95641">
            <w:pPr>
              <w:widowControl/>
              <w:jc w:val="center"/>
              <w:rPr>
                <w:rFonts w:cs="Times New Roman"/>
                <w:kern w:val="0"/>
                <w:szCs w:val="21"/>
              </w:rPr>
            </w:pPr>
            <w:r>
              <w:rPr>
                <w:rFonts w:cs="Times New Roman"/>
                <w:kern w:val="0"/>
                <w:szCs w:val="21"/>
              </w:rPr>
              <w:t>+</w:t>
            </w:r>
          </w:p>
        </w:tc>
        <w:tc>
          <w:tcPr>
            <w:tcW w:w="563" w:type="pct"/>
            <w:shd w:val="clear" w:color="auto" w:fill="auto"/>
            <w:vAlign w:val="center"/>
          </w:tcPr>
          <w:p w14:paraId="6C49E7C5" w14:textId="77777777" w:rsidR="007D1E74" w:rsidRDefault="00A95641">
            <w:pPr>
              <w:widowControl/>
              <w:jc w:val="center"/>
              <w:rPr>
                <w:rFonts w:cs="Times New Roman"/>
                <w:kern w:val="0"/>
                <w:szCs w:val="21"/>
              </w:rPr>
            </w:pPr>
            <w:r>
              <w:rPr>
                <w:rFonts w:cs="Times New Roman"/>
                <w:kern w:val="0"/>
                <w:szCs w:val="21"/>
              </w:rPr>
              <w:t>+</w:t>
            </w:r>
          </w:p>
        </w:tc>
      </w:tr>
      <w:tr w:rsidR="007D1E74" w14:paraId="7E3B392B" w14:textId="77777777">
        <w:tc>
          <w:tcPr>
            <w:tcW w:w="2742" w:type="pct"/>
            <w:shd w:val="clear" w:color="auto" w:fill="auto"/>
            <w:vAlign w:val="center"/>
          </w:tcPr>
          <w:p w14:paraId="3708F175"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39</w:t>
            </w:r>
            <w:r>
              <w:rPr>
                <w:rFonts w:ascii="宋体" w:hAnsi="宋体" w:cs="宋体" w:hint="eastAsia"/>
                <w:kern w:val="0"/>
                <w:szCs w:val="21"/>
              </w:rPr>
              <w:t>）环丝藻</w:t>
            </w:r>
            <w:r>
              <w:rPr>
                <w:rFonts w:cs="Times New Roman"/>
                <w:i/>
                <w:iCs/>
                <w:kern w:val="0"/>
                <w:szCs w:val="21"/>
              </w:rPr>
              <w:t>U. zonatz</w:t>
            </w:r>
          </w:p>
        </w:tc>
        <w:tc>
          <w:tcPr>
            <w:tcW w:w="565" w:type="pct"/>
            <w:shd w:val="clear" w:color="auto" w:fill="auto"/>
            <w:vAlign w:val="center"/>
          </w:tcPr>
          <w:p w14:paraId="6D23DB2F"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139C976F" w14:textId="77777777" w:rsidR="007D1E74" w:rsidRDefault="007D1E74">
            <w:pPr>
              <w:widowControl/>
              <w:jc w:val="center"/>
              <w:rPr>
                <w:rFonts w:cs="Times New Roman"/>
                <w:kern w:val="0"/>
                <w:szCs w:val="21"/>
              </w:rPr>
            </w:pPr>
          </w:p>
        </w:tc>
        <w:tc>
          <w:tcPr>
            <w:tcW w:w="565" w:type="pct"/>
            <w:shd w:val="clear" w:color="auto" w:fill="auto"/>
            <w:vAlign w:val="center"/>
          </w:tcPr>
          <w:p w14:paraId="796A2C73" w14:textId="77777777" w:rsidR="007D1E74" w:rsidRDefault="007D1E74">
            <w:pPr>
              <w:widowControl/>
              <w:jc w:val="center"/>
              <w:rPr>
                <w:rFonts w:cs="Times New Roman"/>
                <w:kern w:val="0"/>
                <w:szCs w:val="21"/>
              </w:rPr>
            </w:pPr>
          </w:p>
        </w:tc>
        <w:tc>
          <w:tcPr>
            <w:tcW w:w="563" w:type="pct"/>
            <w:shd w:val="clear" w:color="auto" w:fill="auto"/>
            <w:vAlign w:val="center"/>
          </w:tcPr>
          <w:p w14:paraId="793841A4" w14:textId="77777777" w:rsidR="007D1E74" w:rsidRDefault="00A95641">
            <w:pPr>
              <w:widowControl/>
              <w:jc w:val="center"/>
              <w:rPr>
                <w:rFonts w:cs="Times New Roman"/>
                <w:kern w:val="0"/>
                <w:szCs w:val="21"/>
              </w:rPr>
            </w:pPr>
            <w:r>
              <w:rPr>
                <w:rFonts w:cs="Times New Roman"/>
                <w:kern w:val="0"/>
                <w:szCs w:val="21"/>
              </w:rPr>
              <w:t>+</w:t>
            </w:r>
          </w:p>
        </w:tc>
      </w:tr>
      <w:tr w:rsidR="007D1E74" w14:paraId="77435738" w14:textId="77777777">
        <w:tc>
          <w:tcPr>
            <w:tcW w:w="2742" w:type="pct"/>
            <w:shd w:val="clear" w:color="auto" w:fill="auto"/>
            <w:vAlign w:val="center"/>
          </w:tcPr>
          <w:p w14:paraId="410D2BEB"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40</w:t>
            </w:r>
            <w:r>
              <w:rPr>
                <w:rFonts w:ascii="宋体" w:hAnsi="宋体" w:cs="宋体" w:hint="eastAsia"/>
                <w:kern w:val="0"/>
                <w:szCs w:val="21"/>
              </w:rPr>
              <w:t>）交错丝藻</w:t>
            </w:r>
            <w:r>
              <w:rPr>
                <w:rFonts w:cs="Times New Roman"/>
                <w:i/>
                <w:iCs/>
                <w:kern w:val="0"/>
                <w:szCs w:val="21"/>
              </w:rPr>
              <w:t>U.implexa</w:t>
            </w:r>
          </w:p>
        </w:tc>
        <w:tc>
          <w:tcPr>
            <w:tcW w:w="565" w:type="pct"/>
            <w:shd w:val="clear" w:color="auto" w:fill="auto"/>
            <w:vAlign w:val="center"/>
          </w:tcPr>
          <w:p w14:paraId="315AB59B"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7FF5CFF9" w14:textId="77777777" w:rsidR="007D1E74" w:rsidRDefault="007D1E74">
            <w:pPr>
              <w:widowControl/>
              <w:jc w:val="center"/>
              <w:rPr>
                <w:rFonts w:cs="Times New Roman"/>
                <w:kern w:val="0"/>
                <w:szCs w:val="21"/>
              </w:rPr>
            </w:pPr>
          </w:p>
        </w:tc>
        <w:tc>
          <w:tcPr>
            <w:tcW w:w="565" w:type="pct"/>
            <w:shd w:val="clear" w:color="auto" w:fill="auto"/>
            <w:vAlign w:val="center"/>
          </w:tcPr>
          <w:p w14:paraId="14388D67" w14:textId="77777777" w:rsidR="007D1E74" w:rsidRDefault="007D1E74">
            <w:pPr>
              <w:widowControl/>
              <w:jc w:val="center"/>
              <w:rPr>
                <w:rFonts w:cs="Times New Roman"/>
                <w:kern w:val="0"/>
                <w:szCs w:val="21"/>
              </w:rPr>
            </w:pPr>
          </w:p>
        </w:tc>
        <w:tc>
          <w:tcPr>
            <w:tcW w:w="563" w:type="pct"/>
            <w:shd w:val="clear" w:color="auto" w:fill="auto"/>
            <w:vAlign w:val="center"/>
          </w:tcPr>
          <w:p w14:paraId="58956B54" w14:textId="77777777" w:rsidR="007D1E74" w:rsidRDefault="007D1E74">
            <w:pPr>
              <w:widowControl/>
              <w:jc w:val="center"/>
              <w:rPr>
                <w:rFonts w:cs="Times New Roman"/>
                <w:kern w:val="0"/>
                <w:szCs w:val="21"/>
              </w:rPr>
            </w:pPr>
          </w:p>
        </w:tc>
      </w:tr>
      <w:tr w:rsidR="007D1E74" w14:paraId="4596AFEC" w14:textId="77777777">
        <w:tc>
          <w:tcPr>
            <w:tcW w:w="2742" w:type="pct"/>
            <w:shd w:val="clear" w:color="auto" w:fill="auto"/>
            <w:vAlign w:val="center"/>
          </w:tcPr>
          <w:p w14:paraId="6D75FA26"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41</w:t>
            </w:r>
            <w:r>
              <w:rPr>
                <w:rFonts w:ascii="宋体" w:hAnsi="宋体" w:cs="宋体" w:hint="eastAsia"/>
                <w:kern w:val="0"/>
                <w:szCs w:val="21"/>
              </w:rPr>
              <w:t>）双胞丝藻</w:t>
            </w:r>
            <w:r>
              <w:rPr>
                <w:rFonts w:cs="Times New Roman"/>
                <w:i/>
                <w:iCs/>
                <w:kern w:val="0"/>
                <w:szCs w:val="21"/>
              </w:rPr>
              <w:t>U.implexa</w:t>
            </w:r>
          </w:p>
        </w:tc>
        <w:tc>
          <w:tcPr>
            <w:tcW w:w="565" w:type="pct"/>
            <w:shd w:val="clear" w:color="auto" w:fill="auto"/>
            <w:vAlign w:val="center"/>
          </w:tcPr>
          <w:p w14:paraId="620A78EA" w14:textId="77777777" w:rsidR="007D1E74" w:rsidRDefault="007D1E74">
            <w:pPr>
              <w:widowControl/>
              <w:jc w:val="center"/>
              <w:rPr>
                <w:rFonts w:cs="Times New Roman"/>
                <w:kern w:val="0"/>
                <w:szCs w:val="21"/>
              </w:rPr>
            </w:pPr>
          </w:p>
        </w:tc>
        <w:tc>
          <w:tcPr>
            <w:tcW w:w="565" w:type="pct"/>
            <w:shd w:val="clear" w:color="auto" w:fill="auto"/>
            <w:vAlign w:val="center"/>
          </w:tcPr>
          <w:p w14:paraId="46CDA59D"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5A57547F" w14:textId="77777777" w:rsidR="007D1E74" w:rsidRDefault="007D1E74">
            <w:pPr>
              <w:widowControl/>
              <w:jc w:val="center"/>
              <w:rPr>
                <w:rFonts w:cs="Times New Roman"/>
                <w:kern w:val="0"/>
                <w:szCs w:val="21"/>
              </w:rPr>
            </w:pPr>
          </w:p>
        </w:tc>
        <w:tc>
          <w:tcPr>
            <w:tcW w:w="563" w:type="pct"/>
            <w:shd w:val="clear" w:color="auto" w:fill="auto"/>
            <w:vAlign w:val="center"/>
          </w:tcPr>
          <w:p w14:paraId="63516B85" w14:textId="77777777" w:rsidR="007D1E74" w:rsidRDefault="007D1E74">
            <w:pPr>
              <w:widowControl/>
              <w:jc w:val="center"/>
              <w:rPr>
                <w:rFonts w:cs="Times New Roman"/>
                <w:kern w:val="0"/>
                <w:szCs w:val="21"/>
              </w:rPr>
            </w:pPr>
          </w:p>
        </w:tc>
      </w:tr>
      <w:tr w:rsidR="007D1E74" w14:paraId="579DAD39" w14:textId="77777777">
        <w:tc>
          <w:tcPr>
            <w:tcW w:w="2742" w:type="pct"/>
            <w:shd w:val="clear" w:color="auto" w:fill="auto"/>
            <w:vAlign w:val="center"/>
          </w:tcPr>
          <w:p w14:paraId="40E7CC12" w14:textId="77777777" w:rsidR="007D1E74" w:rsidRDefault="00A95641">
            <w:pPr>
              <w:widowControl/>
              <w:rPr>
                <w:rFonts w:ascii="宋体" w:hAnsi="宋体" w:cs="宋体"/>
                <w:kern w:val="0"/>
                <w:szCs w:val="21"/>
              </w:rPr>
            </w:pPr>
            <w:r>
              <w:rPr>
                <w:rFonts w:ascii="宋体" w:hAnsi="宋体" w:cs="宋体" w:hint="eastAsia"/>
                <w:kern w:val="0"/>
                <w:szCs w:val="21"/>
              </w:rPr>
              <w:t>（十）双星藻科</w:t>
            </w:r>
            <w:r>
              <w:rPr>
                <w:rFonts w:cs="Times New Roman"/>
                <w:kern w:val="0"/>
                <w:szCs w:val="21"/>
              </w:rPr>
              <w:t>Zygnemataceae</w:t>
            </w:r>
          </w:p>
        </w:tc>
        <w:tc>
          <w:tcPr>
            <w:tcW w:w="565" w:type="pct"/>
            <w:shd w:val="clear" w:color="auto" w:fill="auto"/>
            <w:vAlign w:val="center"/>
          </w:tcPr>
          <w:p w14:paraId="178CB87E" w14:textId="77777777" w:rsidR="007D1E74" w:rsidRDefault="007D1E74">
            <w:pPr>
              <w:widowControl/>
              <w:jc w:val="center"/>
              <w:rPr>
                <w:rFonts w:cs="Times New Roman"/>
                <w:kern w:val="0"/>
                <w:szCs w:val="21"/>
              </w:rPr>
            </w:pPr>
          </w:p>
        </w:tc>
        <w:tc>
          <w:tcPr>
            <w:tcW w:w="565" w:type="pct"/>
            <w:shd w:val="clear" w:color="auto" w:fill="auto"/>
            <w:vAlign w:val="center"/>
          </w:tcPr>
          <w:p w14:paraId="0C8E671C" w14:textId="77777777" w:rsidR="007D1E74" w:rsidRDefault="007D1E74">
            <w:pPr>
              <w:widowControl/>
              <w:jc w:val="center"/>
              <w:rPr>
                <w:rFonts w:cs="Times New Roman"/>
                <w:kern w:val="0"/>
                <w:szCs w:val="21"/>
              </w:rPr>
            </w:pPr>
          </w:p>
        </w:tc>
        <w:tc>
          <w:tcPr>
            <w:tcW w:w="565" w:type="pct"/>
            <w:shd w:val="clear" w:color="auto" w:fill="auto"/>
            <w:vAlign w:val="center"/>
          </w:tcPr>
          <w:p w14:paraId="4E164C87" w14:textId="77777777" w:rsidR="007D1E74" w:rsidRDefault="007D1E74">
            <w:pPr>
              <w:widowControl/>
              <w:jc w:val="center"/>
              <w:rPr>
                <w:rFonts w:cs="Times New Roman"/>
                <w:kern w:val="0"/>
                <w:szCs w:val="21"/>
              </w:rPr>
            </w:pPr>
          </w:p>
        </w:tc>
        <w:tc>
          <w:tcPr>
            <w:tcW w:w="563" w:type="pct"/>
            <w:shd w:val="clear" w:color="auto" w:fill="auto"/>
            <w:vAlign w:val="center"/>
          </w:tcPr>
          <w:p w14:paraId="4882A917" w14:textId="77777777" w:rsidR="007D1E74" w:rsidRDefault="007D1E74">
            <w:pPr>
              <w:widowControl/>
              <w:jc w:val="center"/>
              <w:rPr>
                <w:rFonts w:cs="Times New Roman"/>
                <w:kern w:val="0"/>
                <w:szCs w:val="21"/>
              </w:rPr>
            </w:pPr>
          </w:p>
        </w:tc>
      </w:tr>
      <w:tr w:rsidR="007D1E74" w14:paraId="45E5EDAF" w14:textId="77777777">
        <w:tc>
          <w:tcPr>
            <w:tcW w:w="2742" w:type="pct"/>
            <w:shd w:val="clear" w:color="auto" w:fill="auto"/>
            <w:vAlign w:val="center"/>
          </w:tcPr>
          <w:p w14:paraId="570B43B0" w14:textId="77777777" w:rsidR="007D1E74" w:rsidRDefault="00A95641">
            <w:pPr>
              <w:widowControl/>
              <w:rPr>
                <w:rFonts w:cs="Times New Roman"/>
                <w:kern w:val="0"/>
                <w:szCs w:val="21"/>
              </w:rPr>
            </w:pPr>
            <w:r>
              <w:rPr>
                <w:rFonts w:cs="Times New Roman"/>
                <w:kern w:val="0"/>
                <w:szCs w:val="21"/>
              </w:rPr>
              <w:t>16.</w:t>
            </w:r>
            <w:r>
              <w:rPr>
                <w:rFonts w:ascii="宋体" w:hAnsi="宋体" w:cs="Times New Roman" w:hint="eastAsia"/>
                <w:kern w:val="0"/>
                <w:szCs w:val="21"/>
              </w:rPr>
              <w:t>水绵属</w:t>
            </w:r>
            <w:r>
              <w:rPr>
                <w:rFonts w:cs="Times New Roman"/>
                <w:i/>
                <w:iCs/>
                <w:kern w:val="0"/>
                <w:szCs w:val="21"/>
              </w:rPr>
              <w:t>Spirogyra</w:t>
            </w:r>
            <w:r>
              <w:rPr>
                <w:rFonts w:cs="Times New Roman"/>
                <w:kern w:val="0"/>
                <w:szCs w:val="21"/>
              </w:rPr>
              <w:t xml:space="preserve"> Link</w:t>
            </w:r>
          </w:p>
        </w:tc>
        <w:tc>
          <w:tcPr>
            <w:tcW w:w="565" w:type="pct"/>
            <w:shd w:val="clear" w:color="auto" w:fill="auto"/>
            <w:vAlign w:val="center"/>
          </w:tcPr>
          <w:p w14:paraId="6630AAED" w14:textId="77777777" w:rsidR="007D1E74" w:rsidRDefault="007D1E74">
            <w:pPr>
              <w:widowControl/>
              <w:jc w:val="center"/>
              <w:rPr>
                <w:rFonts w:cs="Times New Roman"/>
                <w:kern w:val="0"/>
                <w:szCs w:val="21"/>
              </w:rPr>
            </w:pPr>
          </w:p>
        </w:tc>
        <w:tc>
          <w:tcPr>
            <w:tcW w:w="565" w:type="pct"/>
            <w:shd w:val="clear" w:color="auto" w:fill="auto"/>
            <w:vAlign w:val="center"/>
          </w:tcPr>
          <w:p w14:paraId="741A26D4" w14:textId="77777777" w:rsidR="007D1E74" w:rsidRDefault="007D1E74">
            <w:pPr>
              <w:widowControl/>
              <w:jc w:val="center"/>
              <w:rPr>
                <w:rFonts w:cs="Times New Roman"/>
                <w:kern w:val="0"/>
                <w:szCs w:val="21"/>
              </w:rPr>
            </w:pPr>
          </w:p>
        </w:tc>
        <w:tc>
          <w:tcPr>
            <w:tcW w:w="565" w:type="pct"/>
            <w:shd w:val="clear" w:color="auto" w:fill="auto"/>
            <w:vAlign w:val="center"/>
          </w:tcPr>
          <w:p w14:paraId="2A507FF7" w14:textId="77777777" w:rsidR="007D1E74" w:rsidRDefault="007D1E74">
            <w:pPr>
              <w:widowControl/>
              <w:jc w:val="center"/>
              <w:rPr>
                <w:rFonts w:cs="Times New Roman"/>
                <w:kern w:val="0"/>
                <w:szCs w:val="21"/>
              </w:rPr>
            </w:pPr>
          </w:p>
        </w:tc>
        <w:tc>
          <w:tcPr>
            <w:tcW w:w="563" w:type="pct"/>
            <w:shd w:val="clear" w:color="auto" w:fill="auto"/>
            <w:vAlign w:val="center"/>
          </w:tcPr>
          <w:p w14:paraId="6D49DE66" w14:textId="77777777" w:rsidR="007D1E74" w:rsidRDefault="007D1E74">
            <w:pPr>
              <w:widowControl/>
              <w:jc w:val="center"/>
              <w:rPr>
                <w:rFonts w:cs="Times New Roman"/>
                <w:kern w:val="0"/>
                <w:szCs w:val="21"/>
              </w:rPr>
            </w:pPr>
          </w:p>
        </w:tc>
      </w:tr>
      <w:tr w:rsidR="007D1E74" w14:paraId="2F0FC843" w14:textId="77777777">
        <w:tc>
          <w:tcPr>
            <w:tcW w:w="2742" w:type="pct"/>
            <w:shd w:val="clear" w:color="auto" w:fill="auto"/>
            <w:vAlign w:val="center"/>
          </w:tcPr>
          <w:p w14:paraId="20DC2B84"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42</w:t>
            </w:r>
            <w:r>
              <w:rPr>
                <w:rFonts w:ascii="宋体" w:hAnsi="宋体" w:cs="宋体" w:hint="eastAsia"/>
                <w:kern w:val="0"/>
                <w:szCs w:val="21"/>
              </w:rPr>
              <w:t>）异性水绵</w:t>
            </w:r>
            <w:r>
              <w:rPr>
                <w:rFonts w:cs="Times New Roman"/>
                <w:i/>
                <w:iCs/>
                <w:kern w:val="0"/>
                <w:szCs w:val="21"/>
              </w:rPr>
              <w:t>S.varians</w:t>
            </w:r>
          </w:p>
        </w:tc>
        <w:tc>
          <w:tcPr>
            <w:tcW w:w="565" w:type="pct"/>
            <w:shd w:val="clear" w:color="auto" w:fill="auto"/>
            <w:vAlign w:val="center"/>
          </w:tcPr>
          <w:p w14:paraId="397E31BB"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3946B76A" w14:textId="77777777" w:rsidR="007D1E74" w:rsidRDefault="007D1E74">
            <w:pPr>
              <w:widowControl/>
              <w:jc w:val="center"/>
              <w:rPr>
                <w:rFonts w:cs="Times New Roman"/>
                <w:kern w:val="0"/>
                <w:szCs w:val="21"/>
              </w:rPr>
            </w:pPr>
          </w:p>
        </w:tc>
        <w:tc>
          <w:tcPr>
            <w:tcW w:w="565" w:type="pct"/>
            <w:shd w:val="clear" w:color="auto" w:fill="auto"/>
            <w:vAlign w:val="center"/>
          </w:tcPr>
          <w:p w14:paraId="68F7273C" w14:textId="77777777" w:rsidR="007D1E74" w:rsidRDefault="007D1E74">
            <w:pPr>
              <w:widowControl/>
              <w:jc w:val="center"/>
              <w:rPr>
                <w:rFonts w:cs="Times New Roman"/>
                <w:kern w:val="0"/>
                <w:szCs w:val="21"/>
              </w:rPr>
            </w:pPr>
          </w:p>
        </w:tc>
        <w:tc>
          <w:tcPr>
            <w:tcW w:w="563" w:type="pct"/>
            <w:shd w:val="clear" w:color="auto" w:fill="auto"/>
            <w:vAlign w:val="center"/>
          </w:tcPr>
          <w:p w14:paraId="6CA91ECE" w14:textId="77777777" w:rsidR="007D1E74" w:rsidRDefault="00A95641">
            <w:pPr>
              <w:widowControl/>
              <w:jc w:val="center"/>
              <w:rPr>
                <w:rFonts w:cs="Times New Roman"/>
                <w:kern w:val="0"/>
                <w:szCs w:val="21"/>
              </w:rPr>
            </w:pPr>
            <w:r>
              <w:rPr>
                <w:rFonts w:cs="Times New Roman"/>
                <w:kern w:val="0"/>
                <w:szCs w:val="21"/>
              </w:rPr>
              <w:t>+</w:t>
            </w:r>
          </w:p>
        </w:tc>
      </w:tr>
      <w:tr w:rsidR="007D1E74" w14:paraId="27F032AE" w14:textId="77777777">
        <w:tc>
          <w:tcPr>
            <w:tcW w:w="2742" w:type="pct"/>
            <w:shd w:val="clear" w:color="auto" w:fill="auto"/>
            <w:vAlign w:val="center"/>
          </w:tcPr>
          <w:p w14:paraId="0B827CE6" w14:textId="77777777" w:rsidR="007D1E74" w:rsidRDefault="00A95641">
            <w:pPr>
              <w:widowControl/>
              <w:rPr>
                <w:rFonts w:ascii="宋体" w:hAnsi="宋体" w:cs="宋体"/>
                <w:kern w:val="0"/>
                <w:szCs w:val="21"/>
              </w:rPr>
            </w:pPr>
            <w:r>
              <w:rPr>
                <w:rFonts w:ascii="宋体" w:hAnsi="宋体" w:cs="宋体" w:hint="eastAsia"/>
                <w:kern w:val="0"/>
                <w:szCs w:val="21"/>
              </w:rPr>
              <w:t>（十一）小球藻科</w:t>
            </w:r>
            <w:r>
              <w:rPr>
                <w:rFonts w:cs="Times New Roman"/>
                <w:kern w:val="0"/>
                <w:szCs w:val="21"/>
              </w:rPr>
              <w:t xml:space="preserve"> Chlorellaceae</w:t>
            </w:r>
          </w:p>
        </w:tc>
        <w:tc>
          <w:tcPr>
            <w:tcW w:w="565" w:type="pct"/>
            <w:shd w:val="clear" w:color="auto" w:fill="auto"/>
            <w:vAlign w:val="center"/>
          </w:tcPr>
          <w:p w14:paraId="27FE2CC4" w14:textId="77777777" w:rsidR="007D1E74" w:rsidRDefault="007D1E74">
            <w:pPr>
              <w:widowControl/>
              <w:jc w:val="center"/>
              <w:rPr>
                <w:rFonts w:cs="Times New Roman"/>
                <w:kern w:val="0"/>
                <w:szCs w:val="21"/>
              </w:rPr>
            </w:pPr>
          </w:p>
        </w:tc>
        <w:tc>
          <w:tcPr>
            <w:tcW w:w="565" w:type="pct"/>
            <w:shd w:val="clear" w:color="auto" w:fill="auto"/>
            <w:vAlign w:val="center"/>
          </w:tcPr>
          <w:p w14:paraId="5D08314B" w14:textId="77777777" w:rsidR="007D1E74" w:rsidRDefault="007D1E74">
            <w:pPr>
              <w:widowControl/>
              <w:jc w:val="center"/>
              <w:rPr>
                <w:rFonts w:cs="Times New Roman"/>
                <w:kern w:val="0"/>
                <w:szCs w:val="21"/>
              </w:rPr>
            </w:pPr>
          </w:p>
        </w:tc>
        <w:tc>
          <w:tcPr>
            <w:tcW w:w="565" w:type="pct"/>
            <w:shd w:val="clear" w:color="auto" w:fill="auto"/>
            <w:vAlign w:val="center"/>
          </w:tcPr>
          <w:p w14:paraId="1E57FF23" w14:textId="77777777" w:rsidR="007D1E74" w:rsidRDefault="007D1E74">
            <w:pPr>
              <w:widowControl/>
              <w:jc w:val="center"/>
              <w:rPr>
                <w:rFonts w:cs="Times New Roman"/>
                <w:kern w:val="0"/>
                <w:szCs w:val="21"/>
              </w:rPr>
            </w:pPr>
          </w:p>
        </w:tc>
        <w:tc>
          <w:tcPr>
            <w:tcW w:w="563" w:type="pct"/>
            <w:shd w:val="clear" w:color="auto" w:fill="auto"/>
            <w:vAlign w:val="center"/>
          </w:tcPr>
          <w:p w14:paraId="30E3A2FB" w14:textId="77777777" w:rsidR="007D1E74" w:rsidRDefault="007D1E74">
            <w:pPr>
              <w:widowControl/>
              <w:jc w:val="center"/>
              <w:rPr>
                <w:rFonts w:cs="Times New Roman"/>
                <w:kern w:val="0"/>
                <w:szCs w:val="21"/>
              </w:rPr>
            </w:pPr>
          </w:p>
        </w:tc>
      </w:tr>
      <w:tr w:rsidR="007D1E74" w14:paraId="7C69D346" w14:textId="77777777">
        <w:tc>
          <w:tcPr>
            <w:tcW w:w="2742" w:type="pct"/>
            <w:shd w:val="clear" w:color="auto" w:fill="auto"/>
            <w:vAlign w:val="center"/>
          </w:tcPr>
          <w:p w14:paraId="44D4F93B" w14:textId="77777777" w:rsidR="007D1E74" w:rsidRDefault="00A95641">
            <w:pPr>
              <w:widowControl/>
              <w:rPr>
                <w:rFonts w:ascii="宋体" w:hAnsi="宋体" w:cs="宋体"/>
                <w:b/>
                <w:bCs/>
                <w:kern w:val="0"/>
                <w:szCs w:val="21"/>
              </w:rPr>
            </w:pPr>
            <w:r>
              <w:rPr>
                <w:rFonts w:ascii="宋体" w:hAnsi="宋体" w:cs="宋体" w:hint="eastAsia"/>
                <w:b/>
                <w:bCs/>
                <w:kern w:val="0"/>
                <w:szCs w:val="21"/>
              </w:rPr>
              <w:t>17.</w:t>
            </w:r>
            <w:r>
              <w:rPr>
                <w:rFonts w:ascii="宋体" w:hAnsi="宋体" w:cs="宋体" w:hint="eastAsia"/>
                <w:kern w:val="0"/>
                <w:szCs w:val="21"/>
              </w:rPr>
              <w:t>小球藻属</w:t>
            </w:r>
            <w:r>
              <w:rPr>
                <w:rFonts w:ascii="宋体" w:hAnsi="宋体" w:cs="宋体" w:hint="eastAsia"/>
                <w:b/>
                <w:bCs/>
                <w:i/>
                <w:iCs/>
                <w:kern w:val="0"/>
                <w:szCs w:val="21"/>
              </w:rPr>
              <w:t>Chlorella</w:t>
            </w:r>
          </w:p>
        </w:tc>
        <w:tc>
          <w:tcPr>
            <w:tcW w:w="565" w:type="pct"/>
            <w:shd w:val="clear" w:color="auto" w:fill="auto"/>
            <w:vAlign w:val="center"/>
          </w:tcPr>
          <w:p w14:paraId="396A12DE" w14:textId="77777777" w:rsidR="007D1E74" w:rsidRDefault="007D1E74">
            <w:pPr>
              <w:widowControl/>
              <w:jc w:val="center"/>
              <w:rPr>
                <w:rFonts w:cs="Times New Roman"/>
                <w:kern w:val="0"/>
                <w:szCs w:val="21"/>
              </w:rPr>
            </w:pPr>
          </w:p>
        </w:tc>
        <w:tc>
          <w:tcPr>
            <w:tcW w:w="565" w:type="pct"/>
            <w:shd w:val="clear" w:color="auto" w:fill="auto"/>
            <w:vAlign w:val="center"/>
          </w:tcPr>
          <w:p w14:paraId="35629E99" w14:textId="77777777" w:rsidR="007D1E74" w:rsidRDefault="007D1E74">
            <w:pPr>
              <w:widowControl/>
              <w:jc w:val="center"/>
              <w:rPr>
                <w:rFonts w:cs="Times New Roman"/>
                <w:kern w:val="0"/>
                <w:szCs w:val="21"/>
              </w:rPr>
            </w:pPr>
          </w:p>
        </w:tc>
        <w:tc>
          <w:tcPr>
            <w:tcW w:w="565" w:type="pct"/>
            <w:shd w:val="clear" w:color="auto" w:fill="auto"/>
            <w:vAlign w:val="center"/>
          </w:tcPr>
          <w:p w14:paraId="236B2628" w14:textId="77777777" w:rsidR="007D1E74" w:rsidRDefault="007D1E74">
            <w:pPr>
              <w:widowControl/>
              <w:jc w:val="center"/>
              <w:rPr>
                <w:rFonts w:cs="Times New Roman"/>
                <w:kern w:val="0"/>
                <w:szCs w:val="21"/>
              </w:rPr>
            </w:pPr>
          </w:p>
        </w:tc>
        <w:tc>
          <w:tcPr>
            <w:tcW w:w="563" w:type="pct"/>
            <w:shd w:val="clear" w:color="auto" w:fill="auto"/>
            <w:vAlign w:val="center"/>
          </w:tcPr>
          <w:p w14:paraId="60A38673" w14:textId="77777777" w:rsidR="007D1E74" w:rsidRDefault="007D1E74">
            <w:pPr>
              <w:widowControl/>
              <w:jc w:val="center"/>
              <w:rPr>
                <w:rFonts w:cs="Times New Roman"/>
                <w:kern w:val="0"/>
                <w:szCs w:val="21"/>
              </w:rPr>
            </w:pPr>
          </w:p>
        </w:tc>
      </w:tr>
      <w:tr w:rsidR="007D1E74" w14:paraId="0B3036C3" w14:textId="77777777">
        <w:tc>
          <w:tcPr>
            <w:tcW w:w="2742" w:type="pct"/>
            <w:shd w:val="clear" w:color="auto" w:fill="auto"/>
            <w:vAlign w:val="center"/>
          </w:tcPr>
          <w:p w14:paraId="02DB1B0C"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43</w:t>
            </w:r>
            <w:r>
              <w:rPr>
                <w:rFonts w:ascii="宋体" w:hAnsi="宋体" w:cs="宋体" w:hint="eastAsia"/>
                <w:kern w:val="0"/>
                <w:szCs w:val="21"/>
              </w:rPr>
              <w:t>）小球藻</w:t>
            </w:r>
            <w:r>
              <w:rPr>
                <w:rFonts w:cs="Times New Roman"/>
                <w:kern w:val="0"/>
                <w:szCs w:val="21"/>
              </w:rPr>
              <w:t>Clhlorella vulgaris Beij.</w:t>
            </w:r>
          </w:p>
        </w:tc>
        <w:tc>
          <w:tcPr>
            <w:tcW w:w="565" w:type="pct"/>
            <w:shd w:val="clear" w:color="auto" w:fill="auto"/>
            <w:vAlign w:val="center"/>
          </w:tcPr>
          <w:p w14:paraId="2AA93D27"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399BD7F0"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2AB7E9B5" w14:textId="77777777" w:rsidR="007D1E74" w:rsidRDefault="007D1E74">
            <w:pPr>
              <w:widowControl/>
              <w:jc w:val="center"/>
              <w:rPr>
                <w:rFonts w:cs="Times New Roman"/>
                <w:kern w:val="0"/>
                <w:szCs w:val="21"/>
              </w:rPr>
            </w:pPr>
          </w:p>
        </w:tc>
        <w:tc>
          <w:tcPr>
            <w:tcW w:w="563" w:type="pct"/>
            <w:shd w:val="clear" w:color="auto" w:fill="auto"/>
            <w:vAlign w:val="center"/>
          </w:tcPr>
          <w:p w14:paraId="6C8D7E39" w14:textId="77777777" w:rsidR="007D1E74" w:rsidRDefault="007D1E74">
            <w:pPr>
              <w:widowControl/>
              <w:jc w:val="center"/>
              <w:rPr>
                <w:rFonts w:cs="Times New Roman"/>
                <w:kern w:val="0"/>
                <w:szCs w:val="21"/>
              </w:rPr>
            </w:pPr>
          </w:p>
        </w:tc>
      </w:tr>
      <w:tr w:rsidR="007D1E74" w14:paraId="7FD7CEE7" w14:textId="77777777">
        <w:tc>
          <w:tcPr>
            <w:tcW w:w="2742" w:type="pct"/>
            <w:shd w:val="clear" w:color="auto" w:fill="auto"/>
            <w:vAlign w:val="center"/>
          </w:tcPr>
          <w:p w14:paraId="53B1999A" w14:textId="77777777" w:rsidR="007D1E74" w:rsidRDefault="00A95641">
            <w:pPr>
              <w:widowControl/>
              <w:rPr>
                <w:rFonts w:ascii="宋体" w:hAnsi="宋体" w:cs="宋体"/>
                <w:kern w:val="0"/>
                <w:szCs w:val="21"/>
              </w:rPr>
            </w:pPr>
            <w:r>
              <w:rPr>
                <w:rFonts w:ascii="宋体" w:hAnsi="宋体" w:cs="宋体" w:hint="eastAsia"/>
                <w:kern w:val="0"/>
                <w:szCs w:val="21"/>
              </w:rPr>
              <w:t>（十二）刚毛藻科</w:t>
            </w:r>
            <w:r>
              <w:rPr>
                <w:rFonts w:cs="Times New Roman"/>
                <w:kern w:val="0"/>
                <w:szCs w:val="21"/>
              </w:rPr>
              <w:t>Cladophoraceae</w:t>
            </w:r>
          </w:p>
        </w:tc>
        <w:tc>
          <w:tcPr>
            <w:tcW w:w="565" w:type="pct"/>
            <w:shd w:val="clear" w:color="auto" w:fill="auto"/>
            <w:vAlign w:val="center"/>
          </w:tcPr>
          <w:p w14:paraId="5F5E7CB7" w14:textId="77777777" w:rsidR="007D1E74" w:rsidRDefault="007D1E74">
            <w:pPr>
              <w:widowControl/>
              <w:jc w:val="center"/>
              <w:rPr>
                <w:rFonts w:cs="Times New Roman"/>
                <w:kern w:val="0"/>
                <w:szCs w:val="21"/>
              </w:rPr>
            </w:pPr>
          </w:p>
        </w:tc>
        <w:tc>
          <w:tcPr>
            <w:tcW w:w="565" w:type="pct"/>
            <w:shd w:val="clear" w:color="auto" w:fill="auto"/>
            <w:vAlign w:val="center"/>
          </w:tcPr>
          <w:p w14:paraId="46E3552B" w14:textId="77777777" w:rsidR="007D1E74" w:rsidRDefault="007D1E74">
            <w:pPr>
              <w:widowControl/>
              <w:jc w:val="center"/>
              <w:rPr>
                <w:rFonts w:cs="Times New Roman"/>
                <w:kern w:val="0"/>
                <w:szCs w:val="21"/>
              </w:rPr>
            </w:pPr>
          </w:p>
        </w:tc>
        <w:tc>
          <w:tcPr>
            <w:tcW w:w="565" w:type="pct"/>
            <w:shd w:val="clear" w:color="auto" w:fill="auto"/>
            <w:vAlign w:val="center"/>
          </w:tcPr>
          <w:p w14:paraId="1A47208D" w14:textId="77777777" w:rsidR="007D1E74" w:rsidRDefault="007D1E74">
            <w:pPr>
              <w:widowControl/>
              <w:jc w:val="center"/>
              <w:rPr>
                <w:rFonts w:cs="Times New Roman"/>
                <w:kern w:val="0"/>
                <w:szCs w:val="21"/>
              </w:rPr>
            </w:pPr>
          </w:p>
        </w:tc>
        <w:tc>
          <w:tcPr>
            <w:tcW w:w="563" w:type="pct"/>
            <w:shd w:val="clear" w:color="auto" w:fill="auto"/>
            <w:vAlign w:val="center"/>
          </w:tcPr>
          <w:p w14:paraId="35B8711A" w14:textId="77777777" w:rsidR="007D1E74" w:rsidRDefault="007D1E74">
            <w:pPr>
              <w:widowControl/>
              <w:jc w:val="center"/>
              <w:rPr>
                <w:rFonts w:cs="Times New Roman"/>
                <w:kern w:val="0"/>
                <w:szCs w:val="21"/>
              </w:rPr>
            </w:pPr>
          </w:p>
        </w:tc>
      </w:tr>
      <w:tr w:rsidR="007D1E74" w14:paraId="26456827" w14:textId="77777777">
        <w:tc>
          <w:tcPr>
            <w:tcW w:w="2742" w:type="pct"/>
            <w:shd w:val="clear" w:color="auto" w:fill="auto"/>
            <w:vAlign w:val="center"/>
          </w:tcPr>
          <w:p w14:paraId="152979AB" w14:textId="77777777" w:rsidR="007D1E74" w:rsidRDefault="00A95641">
            <w:pPr>
              <w:widowControl/>
              <w:rPr>
                <w:rFonts w:cs="Times New Roman"/>
                <w:kern w:val="0"/>
                <w:szCs w:val="21"/>
              </w:rPr>
            </w:pPr>
            <w:r>
              <w:rPr>
                <w:rFonts w:cs="Times New Roman"/>
                <w:kern w:val="0"/>
                <w:szCs w:val="21"/>
              </w:rPr>
              <w:t>18.</w:t>
            </w:r>
            <w:r>
              <w:rPr>
                <w:rFonts w:ascii="宋体" w:hAnsi="宋体" w:cs="Times New Roman" w:hint="eastAsia"/>
                <w:kern w:val="0"/>
                <w:szCs w:val="21"/>
              </w:rPr>
              <w:t>刚毛藻属</w:t>
            </w:r>
            <w:r>
              <w:rPr>
                <w:rFonts w:cs="Times New Roman"/>
                <w:i/>
                <w:iCs/>
                <w:kern w:val="0"/>
                <w:szCs w:val="21"/>
              </w:rPr>
              <w:t>Cladophora</w:t>
            </w:r>
          </w:p>
        </w:tc>
        <w:tc>
          <w:tcPr>
            <w:tcW w:w="565" w:type="pct"/>
            <w:shd w:val="clear" w:color="auto" w:fill="auto"/>
            <w:vAlign w:val="center"/>
          </w:tcPr>
          <w:p w14:paraId="732D5170" w14:textId="77777777" w:rsidR="007D1E74" w:rsidRDefault="007D1E74">
            <w:pPr>
              <w:widowControl/>
              <w:jc w:val="center"/>
              <w:rPr>
                <w:rFonts w:cs="Times New Roman"/>
                <w:kern w:val="0"/>
                <w:szCs w:val="21"/>
              </w:rPr>
            </w:pPr>
          </w:p>
        </w:tc>
        <w:tc>
          <w:tcPr>
            <w:tcW w:w="565" w:type="pct"/>
            <w:shd w:val="clear" w:color="auto" w:fill="auto"/>
            <w:vAlign w:val="center"/>
          </w:tcPr>
          <w:p w14:paraId="2C9A17FF" w14:textId="77777777" w:rsidR="007D1E74" w:rsidRDefault="007D1E74">
            <w:pPr>
              <w:widowControl/>
              <w:jc w:val="center"/>
              <w:rPr>
                <w:rFonts w:cs="Times New Roman"/>
                <w:kern w:val="0"/>
                <w:szCs w:val="21"/>
              </w:rPr>
            </w:pPr>
          </w:p>
        </w:tc>
        <w:tc>
          <w:tcPr>
            <w:tcW w:w="565" w:type="pct"/>
            <w:shd w:val="clear" w:color="auto" w:fill="auto"/>
            <w:vAlign w:val="center"/>
          </w:tcPr>
          <w:p w14:paraId="2E97511A" w14:textId="77777777" w:rsidR="007D1E74" w:rsidRDefault="007D1E74">
            <w:pPr>
              <w:widowControl/>
              <w:jc w:val="center"/>
              <w:rPr>
                <w:rFonts w:cs="Times New Roman"/>
                <w:kern w:val="0"/>
                <w:szCs w:val="21"/>
              </w:rPr>
            </w:pPr>
          </w:p>
        </w:tc>
        <w:tc>
          <w:tcPr>
            <w:tcW w:w="563" w:type="pct"/>
            <w:shd w:val="clear" w:color="auto" w:fill="auto"/>
            <w:vAlign w:val="center"/>
          </w:tcPr>
          <w:p w14:paraId="7E0F2683" w14:textId="77777777" w:rsidR="007D1E74" w:rsidRDefault="007D1E74">
            <w:pPr>
              <w:widowControl/>
              <w:jc w:val="center"/>
              <w:rPr>
                <w:rFonts w:cs="Times New Roman"/>
                <w:kern w:val="0"/>
                <w:szCs w:val="21"/>
              </w:rPr>
            </w:pPr>
          </w:p>
        </w:tc>
      </w:tr>
      <w:tr w:rsidR="007D1E74" w14:paraId="6A089638" w14:textId="77777777">
        <w:tc>
          <w:tcPr>
            <w:tcW w:w="2742" w:type="pct"/>
            <w:shd w:val="clear" w:color="auto" w:fill="auto"/>
            <w:vAlign w:val="center"/>
          </w:tcPr>
          <w:p w14:paraId="4FB95DAF"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44</w:t>
            </w:r>
            <w:r>
              <w:rPr>
                <w:rFonts w:ascii="宋体" w:hAnsi="宋体" w:cs="宋体" w:hint="eastAsia"/>
                <w:kern w:val="0"/>
                <w:szCs w:val="21"/>
              </w:rPr>
              <w:t>）脆弱刚毛藻</w:t>
            </w:r>
            <w:r>
              <w:rPr>
                <w:rFonts w:cs="Times New Roman"/>
                <w:i/>
                <w:iCs/>
                <w:kern w:val="0"/>
                <w:szCs w:val="21"/>
              </w:rPr>
              <w:t>C.fracta</w:t>
            </w:r>
          </w:p>
        </w:tc>
        <w:tc>
          <w:tcPr>
            <w:tcW w:w="565" w:type="pct"/>
            <w:shd w:val="clear" w:color="auto" w:fill="auto"/>
            <w:vAlign w:val="center"/>
          </w:tcPr>
          <w:p w14:paraId="154BE149"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1B0E77C7" w14:textId="77777777" w:rsidR="007D1E74" w:rsidRDefault="007D1E74">
            <w:pPr>
              <w:widowControl/>
              <w:jc w:val="center"/>
              <w:rPr>
                <w:rFonts w:cs="Times New Roman"/>
                <w:kern w:val="0"/>
                <w:szCs w:val="21"/>
              </w:rPr>
            </w:pPr>
          </w:p>
        </w:tc>
        <w:tc>
          <w:tcPr>
            <w:tcW w:w="565" w:type="pct"/>
            <w:shd w:val="clear" w:color="auto" w:fill="auto"/>
            <w:vAlign w:val="center"/>
          </w:tcPr>
          <w:p w14:paraId="1515C0FF" w14:textId="77777777" w:rsidR="007D1E74" w:rsidRDefault="007D1E74">
            <w:pPr>
              <w:widowControl/>
              <w:jc w:val="center"/>
              <w:rPr>
                <w:rFonts w:cs="Times New Roman"/>
                <w:kern w:val="0"/>
                <w:szCs w:val="21"/>
              </w:rPr>
            </w:pPr>
          </w:p>
        </w:tc>
        <w:tc>
          <w:tcPr>
            <w:tcW w:w="563" w:type="pct"/>
            <w:shd w:val="clear" w:color="auto" w:fill="auto"/>
            <w:vAlign w:val="center"/>
          </w:tcPr>
          <w:p w14:paraId="7E99B6D9" w14:textId="77777777" w:rsidR="007D1E74" w:rsidRDefault="007D1E74">
            <w:pPr>
              <w:widowControl/>
              <w:jc w:val="center"/>
              <w:rPr>
                <w:rFonts w:cs="Times New Roman"/>
                <w:kern w:val="0"/>
                <w:szCs w:val="21"/>
              </w:rPr>
            </w:pPr>
          </w:p>
        </w:tc>
      </w:tr>
      <w:tr w:rsidR="007D1E74" w14:paraId="33F2E9CA" w14:textId="77777777">
        <w:tc>
          <w:tcPr>
            <w:tcW w:w="2742" w:type="pct"/>
            <w:shd w:val="clear" w:color="auto" w:fill="auto"/>
            <w:vAlign w:val="center"/>
          </w:tcPr>
          <w:p w14:paraId="6677D80E" w14:textId="77777777" w:rsidR="007D1E74" w:rsidRDefault="00A95641">
            <w:pPr>
              <w:widowControl/>
              <w:rPr>
                <w:rFonts w:ascii="宋体" w:hAnsi="宋体" w:cs="宋体"/>
                <w:kern w:val="0"/>
                <w:szCs w:val="21"/>
              </w:rPr>
            </w:pPr>
            <w:r>
              <w:rPr>
                <w:rFonts w:ascii="宋体" w:hAnsi="宋体" w:cs="宋体" w:hint="eastAsia"/>
                <w:kern w:val="0"/>
                <w:szCs w:val="21"/>
              </w:rPr>
              <w:t>（十三）胶毛藻科</w:t>
            </w:r>
            <w:r>
              <w:rPr>
                <w:rFonts w:cs="Times New Roman"/>
                <w:kern w:val="0"/>
                <w:szCs w:val="21"/>
              </w:rPr>
              <w:t>Chaetophoraceae</w:t>
            </w:r>
          </w:p>
        </w:tc>
        <w:tc>
          <w:tcPr>
            <w:tcW w:w="565" w:type="pct"/>
            <w:shd w:val="clear" w:color="auto" w:fill="auto"/>
            <w:vAlign w:val="center"/>
          </w:tcPr>
          <w:p w14:paraId="1EA878A4" w14:textId="77777777" w:rsidR="007D1E74" w:rsidRDefault="007D1E74">
            <w:pPr>
              <w:widowControl/>
              <w:jc w:val="center"/>
              <w:rPr>
                <w:rFonts w:cs="Times New Roman"/>
                <w:kern w:val="0"/>
                <w:szCs w:val="21"/>
              </w:rPr>
            </w:pPr>
          </w:p>
        </w:tc>
        <w:tc>
          <w:tcPr>
            <w:tcW w:w="565" w:type="pct"/>
            <w:shd w:val="clear" w:color="auto" w:fill="auto"/>
            <w:vAlign w:val="center"/>
          </w:tcPr>
          <w:p w14:paraId="4028E01A" w14:textId="77777777" w:rsidR="007D1E74" w:rsidRDefault="007D1E74">
            <w:pPr>
              <w:widowControl/>
              <w:jc w:val="center"/>
              <w:rPr>
                <w:rFonts w:cs="Times New Roman"/>
                <w:kern w:val="0"/>
                <w:szCs w:val="21"/>
              </w:rPr>
            </w:pPr>
          </w:p>
        </w:tc>
        <w:tc>
          <w:tcPr>
            <w:tcW w:w="565" w:type="pct"/>
            <w:shd w:val="clear" w:color="auto" w:fill="auto"/>
            <w:vAlign w:val="center"/>
          </w:tcPr>
          <w:p w14:paraId="7B2A2BF2" w14:textId="77777777" w:rsidR="007D1E74" w:rsidRDefault="007D1E74">
            <w:pPr>
              <w:widowControl/>
              <w:jc w:val="center"/>
              <w:rPr>
                <w:rFonts w:cs="Times New Roman"/>
                <w:kern w:val="0"/>
                <w:szCs w:val="21"/>
              </w:rPr>
            </w:pPr>
          </w:p>
        </w:tc>
        <w:tc>
          <w:tcPr>
            <w:tcW w:w="563" w:type="pct"/>
            <w:shd w:val="clear" w:color="auto" w:fill="auto"/>
            <w:vAlign w:val="center"/>
          </w:tcPr>
          <w:p w14:paraId="1BE4CF56" w14:textId="77777777" w:rsidR="007D1E74" w:rsidRDefault="007D1E74">
            <w:pPr>
              <w:widowControl/>
              <w:jc w:val="center"/>
              <w:rPr>
                <w:rFonts w:cs="Times New Roman"/>
                <w:kern w:val="0"/>
                <w:szCs w:val="21"/>
              </w:rPr>
            </w:pPr>
          </w:p>
        </w:tc>
      </w:tr>
      <w:tr w:rsidR="007D1E74" w14:paraId="35BA5D32" w14:textId="77777777">
        <w:tc>
          <w:tcPr>
            <w:tcW w:w="2742" w:type="pct"/>
            <w:shd w:val="clear" w:color="auto" w:fill="auto"/>
            <w:vAlign w:val="center"/>
          </w:tcPr>
          <w:p w14:paraId="08FFB22B" w14:textId="77777777" w:rsidR="007D1E74" w:rsidRDefault="00A95641">
            <w:pPr>
              <w:widowControl/>
              <w:rPr>
                <w:rFonts w:cs="Times New Roman"/>
                <w:kern w:val="0"/>
                <w:szCs w:val="21"/>
              </w:rPr>
            </w:pPr>
            <w:r>
              <w:rPr>
                <w:rFonts w:cs="Times New Roman"/>
                <w:kern w:val="0"/>
                <w:szCs w:val="21"/>
              </w:rPr>
              <w:t>19.</w:t>
            </w:r>
            <w:r>
              <w:rPr>
                <w:rFonts w:ascii="宋体" w:hAnsi="宋体" w:cs="Times New Roman" w:hint="eastAsia"/>
                <w:kern w:val="0"/>
                <w:szCs w:val="21"/>
              </w:rPr>
              <w:t>毛枝藻属</w:t>
            </w:r>
            <w:r>
              <w:rPr>
                <w:rFonts w:cs="Times New Roman"/>
                <w:i/>
                <w:iCs/>
                <w:kern w:val="0"/>
                <w:szCs w:val="21"/>
              </w:rPr>
              <w:t>Stigeoclonium</w:t>
            </w:r>
          </w:p>
        </w:tc>
        <w:tc>
          <w:tcPr>
            <w:tcW w:w="565" w:type="pct"/>
            <w:shd w:val="clear" w:color="auto" w:fill="auto"/>
            <w:vAlign w:val="center"/>
          </w:tcPr>
          <w:p w14:paraId="5462CF8C" w14:textId="77777777" w:rsidR="007D1E74" w:rsidRDefault="007D1E74">
            <w:pPr>
              <w:widowControl/>
              <w:jc w:val="center"/>
              <w:rPr>
                <w:rFonts w:cs="Times New Roman"/>
                <w:kern w:val="0"/>
                <w:szCs w:val="21"/>
              </w:rPr>
            </w:pPr>
          </w:p>
        </w:tc>
        <w:tc>
          <w:tcPr>
            <w:tcW w:w="565" w:type="pct"/>
            <w:shd w:val="clear" w:color="auto" w:fill="auto"/>
            <w:vAlign w:val="center"/>
          </w:tcPr>
          <w:p w14:paraId="6DC102FA" w14:textId="77777777" w:rsidR="007D1E74" w:rsidRDefault="007D1E74">
            <w:pPr>
              <w:widowControl/>
              <w:jc w:val="center"/>
              <w:rPr>
                <w:rFonts w:cs="Times New Roman"/>
                <w:kern w:val="0"/>
                <w:szCs w:val="21"/>
              </w:rPr>
            </w:pPr>
          </w:p>
        </w:tc>
        <w:tc>
          <w:tcPr>
            <w:tcW w:w="565" w:type="pct"/>
            <w:shd w:val="clear" w:color="auto" w:fill="auto"/>
            <w:vAlign w:val="center"/>
          </w:tcPr>
          <w:p w14:paraId="209C17D9" w14:textId="77777777" w:rsidR="007D1E74" w:rsidRDefault="007D1E74">
            <w:pPr>
              <w:widowControl/>
              <w:jc w:val="center"/>
              <w:rPr>
                <w:rFonts w:cs="Times New Roman"/>
                <w:kern w:val="0"/>
                <w:szCs w:val="21"/>
              </w:rPr>
            </w:pPr>
          </w:p>
        </w:tc>
        <w:tc>
          <w:tcPr>
            <w:tcW w:w="563" w:type="pct"/>
            <w:shd w:val="clear" w:color="auto" w:fill="auto"/>
            <w:vAlign w:val="center"/>
          </w:tcPr>
          <w:p w14:paraId="1F4BB062" w14:textId="77777777" w:rsidR="007D1E74" w:rsidRDefault="007D1E74">
            <w:pPr>
              <w:widowControl/>
              <w:jc w:val="center"/>
              <w:rPr>
                <w:rFonts w:cs="Times New Roman"/>
                <w:kern w:val="0"/>
                <w:szCs w:val="21"/>
              </w:rPr>
            </w:pPr>
          </w:p>
        </w:tc>
      </w:tr>
      <w:tr w:rsidR="007D1E74" w14:paraId="4FDABA0D" w14:textId="77777777">
        <w:tc>
          <w:tcPr>
            <w:tcW w:w="2742" w:type="pct"/>
            <w:shd w:val="clear" w:color="auto" w:fill="auto"/>
            <w:vAlign w:val="center"/>
          </w:tcPr>
          <w:p w14:paraId="4996067A"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45</w:t>
            </w:r>
            <w:r>
              <w:rPr>
                <w:rFonts w:ascii="宋体" w:hAnsi="宋体" w:cs="宋体" w:hint="eastAsia"/>
                <w:kern w:val="0"/>
                <w:szCs w:val="21"/>
              </w:rPr>
              <w:t>）小毛枝藻</w:t>
            </w:r>
            <w:r>
              <w:rPr>
                <w:rFonts w:cs="Times New Roman"/>
                <w:i/>
                <w:iCs/>
                <w:kern w:val="0"/>
                <w:szCs w:val="21"/>
              </w:rPr>
              <w:t>S. tenue Kuetz</w:t>
            </w:r>
          </w:p>
        </w:tc>
        <w:tc>
          <w:tcPr>
            <w:tcW w:w="565" w:type="pct"/>
            <w:shd w:val="clear" w:color="auto" w:fill="auto"/>
            <w:vAlign w:val="center"/>
          </w:tcPr>
          <w:p w14:paraId="1B8362D2"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1A72C65E" w14:textId="77777777" w:rsidR="007D1E74" w:rsidRDefault="007D1E74">
            <w:pPr>
              <w:widowControl/>
              <w:jc w:val="center"/>
              <w:rPr>
                <w:rFonts w:cs="Times New Roman"/>
                <w:kern w:val="0"/>
                <w:szCs w:val="21"/>
              </w:rPr>
            </w:pPr>
          </w:p>
        </w:tc>
        <w:tc>
          <w:tcPr>
            <w:tcW w:w="565" w:type="pct"/>
            <w:shd w:val="clear" w:color="auto" w:fill="auto"/>
            <w:vAlign w:val="center"/>
          </w:tcPr>
          <w:p w14:paraId="4030C0D7" w14:textId="77777777" w:rsidR="007D1E74" w:rsidRDefault="007D1E74">
            <w:pPr>
              <w:widowControl/>
              <w:jc w:val="center"/>
              <w:rPr>
                <w:rFonts w:cs="Times New Roman"/>
                <w:kern w:val="0"/>
                <w:szCs w:val="21"/>
              </w:rPr>
            </w:pPr>
          </w:p>
        </w:tc>
        <w:tc>
          <w:tcPr>
            <w:tcW w:w="563" w:type="pct"/>
            <w:shd w:val="clear" w:color="auto" w:fill="auto"/>
            <w:vAlign w:val="center"/>
          </w:tcPr>
          <w:p w14:paraId="2962D6E4" w14:textId="77777777" w:rsidR="007D1E74" w:rsidRDefault="007D1E74">
            <w:pPr>
              <w:widowControl/>
              <w:jc w:val="center"/>
              <w:rPr>
                <w:rFonts w:cs="Times New Roman"/>
                <w:kern w:val="0"/>
                <w:szCs w:val="21"/>
              </w:rPr>
            </w:pPr>
          </w:p>
        </w:tc>
      </w:tr>
      <w:tr w:rsidR="007D1E74" w14:paraId="52DFA92E" w14:textId="77777777">
        <w:tc>
          <w:tcPr>
            <w:tcW w:w="2742" w:type="pct"/>
            <w:shd w:val="clear" w:color="auto" w:fill="auto"/>
            <w:vAlign w:val="center"/>
          </w:tcPr>
          <w:p w14:paraId="15205AAB"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46</w:t>
            </w:r>
            <w:r>
              <w:rPr>
                <w:rFonts w:ascii="宋体" w:hAnsi="宋体" w:cs="宋体" w:hint="eastAsia"/>
                <w:kern w:val="0"/>
                <w:szCs w:val="21"/>
              </w:rPr>
              <w:t>）夏毛枝藻</w:t>
            </w:r>
            <w:r>
              <w:rPr>
                <w:rFonts w:cs="Times New Roman"/>
                <w:i/>
                <w:iCs/>
                <w:kern w:val="0"/>
                <w:szCs w:val="21"/>
              </w:rPr>
              <w:t>S. aestivale</w:t>
            </w:r>
          </w:p>
        </w:tc>
        <w:tc>
          <w:tcPr>
            <w:tcW w:w="565" w:type="pct"/>
            <w:shd w:val="clear" w:color="auto" w:fill="auto"/>
            <w:vAlign w:val="center"/>
          </w:tcPr>
          <w:p w14:paraId="154312B6"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4931999F" w14:textId="77777777" w:rsidR="007D1E74" w:rsidRDefault="007D1E74">
            <w:pPr>
              <w:widowControl/>
              <w:jc w:val="center"/>
              <w:rPr>
                <w:rFonts w:cs="Times New Roman"/>
                <w:kern w:val="0"/>
                <w:szCs w:val="21"/>
              </w:rPr>
            </w:pPr>
          </w:p>
        </w:tc>
        <w:tc>
          <w:tcPr>
            <w:tcW w:w="565" w:type="pct"/>
            <w:shd w:val="clear" w:color="auto" w:fill="auto"/>
            <w:vAlign w:val="center"/>
          </w:tcPr>
          <w:p w14:paraId="0EDF49DF" w14:textId="77777777" w:rsidR="007D1E74" w:rsidRDefault="007D1E74">
            <w:pPr>
              <w:widowControl/>
              <w:jc w:val="center"/>
              <w:rPr>
                <w:rFonts w:cs="Times New Roman"/>
                <w:kern w:val="0"/>
                <w:szCs w:val="21"/>
              </w:rPr>
            </w:pPr>
          </w:p>
        </w:tc>
        <w:tc>
          <w:tcPr>
            <w:tcW w:w="563" w:type="pct"/>
            <w:shd w:val="clear" w:color="auto" w:fill="auto"/>
            <w:vAlign w:val="center"/>
          </w:tcPr>
          <w:p w14:paraId="2721B313" w14:textId="77777777" w:rsidR="007D1E74" w:rsidRDefault="007D1E74">
            <w:pPr>
              <w:widowControl/>
              <w:jc w:val="center"/>
              <w:rPr>
                <w:rFonts w:cs="Times New Roman"/>
                <w:kern w:val="0"/>
                <w:szCs w:val="21"/>
              </w:rPr>
            </w:pPr>
          </w:p>
        </w:tc>
      </w:tr>
      <w:tr w:rsidR="007D1E74" w14:paraId="3162A9BE" w14:textId="77777777">
        <w:tc>
          <w:tcPr>
            <w:tcW w:w="2742" w:type="pct"/>
            <w:shd w:val="clear" w:color="auto" w:fill="auto"/>
            <w:vAlign w:val="center"/>
          </w:tcPr>
          <w:p w14:paraId="696A3C46" w14:textId="77777777" w:rsidR="007D1E74" w:rsidRDefault="00A95641">
            <w:pPr>
              <w:widowControl/>
              <w:rPr>
                <w:rFonts w:ascii="宋体" w:hAnsi="宋体" w:cs="宋体"/>
                <w:kern w:val="0"/>
                <w:szCs w:val="21"/>
              </w:rPr>
            </w:pPr>
            <w:r>
              <w:rPr>
                <w:rFonts w:ascii="宋体" w:hAnsi="宋体" w:cs="宋体" w:hint="eastAsia"/>
                <w:kern w:val="0"/>
                <w:szCs w:val="21"/>
              </w:rPr>
              <w:t>（十四）小桩藻科</w:t>
            </w:r>
            <w:r>
              <w:rPr>
                <w:rFonts w:cs="Times New Roman"/>
                <w:kern w:val="0"/>
                <w:szCs w:val="21"/>
              </w:rPr>
              <w:t>Characiaceae</w:t>
            </w:r>
          </w:p>
        </w:tc>
        <w:tc>
          <w:tcPr>
            <w:tcW w:w="565" w:type="pct"/>
            <w:shd w:val="clear" w:color="auto" w:fill="auto"/>
            <w:vAlign w:val="center"/>
          </w:tcPr>
          <w:p w14:paraId="2B973F38" w14:textId="77777777" w:rsidR="007D1E74" w:rsidRDefault="007D1E74">
            <w:pPr>
              <w:widowControl/>
              <w:jc w:val="center"/>
              <w:rPr>
                <w:rFonts w:cs="Times New Roman"/>
                <w:kern w:val="0"/>
                <w:szCs w:val="21"/>
              </w:rPr>
            </w:pPr>
          </w:p>
        </w:tc>
        <w:tc>
          <w:tcPr>
            <w:tcW w:w="565" w:type="pct"/>
            <w:shd w:val="clear" w:color="auto" w:fill="auto"/>
            <w:vAlign w:val="center"/>
          </w:tcPr>
          <w:p w14:paraId="64610F7F" w14:textId="77777777" w:rsidR="007D1E74" w:rsidRDefault="007D1E74">
            <w:pPr>
              <w:widowControl/>
              <w:jc w:val="center"/>
              <w:rPr>
                <w:rFonts w:cs="Times New Roman"/>
                <w:kern w:val="0"/>
                <w:szCs w:val="21"/>
              </w:rPr>
            </w:pPr>
          </w:p>
        </w:tc>
        <w:tc>
          <w:tcPr>
            <w:tcW w:w="565" w:type="pct"/>
            <w:shd w:val="clear" w:color="auto" w:fill="auto"/>
            <w:vAlign w:val="center"/>
          </w:tcPr>
          <w:p w14:paraId="7A9C7844" w14:textId="77777777" w:rsidR="007D1E74" w:rsidRDefault="007D1E74">
            <w:pPr>
              <w:widowControl/>
              <w:jc w:val="center"/>
              <w:rPr>
                <w:rFonts w:cs="Times New Roman"/>
                <w:kern w:val="0"/>
                <w:szCs w:val="21"/>
              </w:rPr>
            </w:pPr>
          </w:p>
        </w:tc>
        <w:tc>
          <w:tcPr>
            <w:tcW w:w="563" w:type="pct"/>
            <w:shd w:val="clear" w:color="auto" w:fill="auto"/>
            <w:vAlign w:val="center"/>
          </w:tcPr>
          <w:p w14:paraId="5FBEAF94" w14:textId="77777777" w:rsidR="007D1E74" w:rsidRDefault="007D1E74">
            <w:pPr>
              <w:widowControl/>
              <w:jc w:val="center"/>
              <w:rPr>
                <w:rFonts w:cs="Times New Roman"/>
                <w:kern w:val="0"/>
                <w:szCs w:val="21"/>
              </w:rPr>
            </w:pPr>
          </w:p>
        </w:tc>
      </w:tr>
      <w:tr w:rsidR="007D1E74" w14:paraId="10F8B097" w14:textId="77777777">
        <w:tc>
          <w:tcPr>
            <w:tcW w:w="2742" w:type="pct"/>
            <w:shd w:val="clear" w:color="auto" w:fill="auto"/>
            <w:vAlign w:val="center"/>
          </w:tcPr>
          <w:p w14:paraId="3116A3DC" w14:textId="77777777" w:rsidR="007D1E74" w:rsidRDefault="00A95641">
            <w:pPr>
              <w:widowControl/>
              <w:rPr>
                <w:rFonts w:cs="Times New Roman"/>
                <w:kern w:val="0"/>
                <w:szCs w:val="21"/>
              </w:rPr>
            </w:pPr>
            <w:r>
              <w:rPr>
                <w:rFonts w:cs="Times New Roman"/>
                <w:kern w:val="0"/>
                <w:szCs w:val="21"/>
              </w:rPr>
              <w:t>20.</w:t>
            </w:r>
            <w:r>
              <w:rPr>
                <w:rFonts w:ascii="宋体" w:hAnsi="宋体" w:cs="Times New Roman" w:hint="eastAsia"/>
                <w:kern w:val="0"/>
                <w:szCs w:val="21"/>
              </w:rPr>
              <w:t>弓形藻属</w:t>
            </w:r>
            <w:r>
              <w:rPr>
                <w:rFonts w:cs="Times New Roman"/>
                <w:i/>
                <w:iCs/>
                <w:kern w:val="0"/>
                <w:szCs w:val="21"/>
              </w:rPr>
              <w:t>Schroederia</w:t>
            </w:r>
          </w:p>
        </w:tc>
        <w:tc>
          <w:tcPr>
            <w:tcW w:w="565" w:type="pct"/>
            <w:shd w:val="clear" w:color="auto" w:fill="auto"/>
            <w:vAlign w:val="center"/>
          </w:tcPr>
          <w:p w14:paraId="4C98ED7D" w14:textId="77777777" w:rsidR="007D1E74" w:rsidRDefault="007D1E74">
            <w:pPr>
              <w:widowControl/>
              <w:jc w:val="center"/>
              <w:rPr>
                <w:rFonts w:cs="Times New Roman"/>
                <w:kern w:val="0"/>
                <w:szCs w:val="21"/>
              </w:rPr>
            </w:pPr>
          </w:p>
        </w:tc>
        <w:tc>
          <w:tcPr>
            <w:tcW w:w="565" w:type="pct"/>
            <w:shd w:val="clear" w:color="auto" w:fill="auto"/>
            <w:vAlign w:val="center"/>
          </w:tcPr>
          <w:p w14:paraId="21DBA197" w14:textId="77777777" w:rsidR="007D1E74" w:rsidRDefault="007D1E74">
            <w:pPr>
              <w:widowControl/>
              <w:jc w:val="center"/>
              <w:rPr>
                <w:rFonts w:cs="Times New Roman"/>
                <w:kern w:val="0"/>
                <w:szCs w:val="21"/>
              </w:rPr>
            </w:pPr>
          </w:p>
        </w:tc>
        <w:tc>
          <w:tcPr>
            <w:tcW w:w="565" w:type="pct"/>
            <w:shd w:val="clear" w:color="auto" w:fill="auto"/>
            <w:vAlign w:val="center"/>
          </w:tcPr>
          <w:p w14:paraId="01D2D4C8" w14:textId="77777777" w:rsidR="007D1E74" w:rsidRDefault="007D1E74">
            <w:pPr>
              <w:widowControl/>
              <w:jc w:val="center"/>
              <w:rPr>
                <w:rFonts w:cs="Times New Roman"/>
                <w:kern w:val="0"/>
                <w:szCs w:val="21"/>
              </w:rPr>
            </w:pPr>
          </w:p>
        </w:tc>
        <w:tc>
          <w:tcPr>
            <w:tcW w:w="563" w:type="pct"/>
            <w:shd w:val="clear" w:color="auto" w:fill="auto"/>
            <w:vAlign w:val="center"/>
          </w:tcPr>
          <w:p w14:paraId="1039B59B" w14:textId="77777777" w:rsidR="007D1E74" w:rsidRDefault="007D1E74">
            <w:pPr>
              <w:widowControl/>
              <w:jc w:val="center"/>
              <w:rPr>
                <w:rFonts w:cs="Times New Roman"/>
                <w:kern w:val="0"/>
                <w:szCs w:val="21"/>
              </w:rPr>
            </w:pPr>
          </w:p>
        </w:tc>
      </w:tr>
      <w:tr w:rsidR="007D1E74" w14:paraId="2769F39F" w14:textId="77777777">
        <w:tc>
          <w:tcPr>
            <w:tcW w:w="2742" w:type="pct"/>
            <w:shd w:val="clear" w:color="auto" w:fill="auto"/>
            <w:vAlign w:val="center"/>
          </w:tcPr>
          <w:p w14:paraId="2F9B3A98"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47</w:t>
            </w:r>
            <w:r>
              <w:rPr>
                <w:rFonts w:ascii="宋体" w:hAnsi="宋体" w:cs="宋体" w:hint="eastAsia"/>
                <w:kern w:val="0"/>
                <w:szCs w:val="21"/>
              </w:rPr>
              <w:t>）拟菱形弓形藻</w:t>
            </w:r>
            <w:r>
              <w:rPr>
                <w:rFonts w:ascii="宋体" w:hAnsi="宋体" w:cs="宋体" w:hint="eastAsia"/>
                <w:bCs/>
                <w:i/>
                <w:iCs/>
                <w:kern w:val="0"/>
                <w:szCs w:val="21"/>
              </w:rPr>
              <w:t>S.nitzschioides</w:t>
            </w:r>
          </w:p>
        </w:tc>
        <w:tc>
          <w:tcPr>
            <w:tcW w:w="565" w:type="pct"/>
            <w:shd w:val="clear" w:color="auto" w:fill="auto"/>
            <w:vAlign w:val="center"/>
          </w:tcPr>
          <w:p w14:paraId="7123935C" w14:textId="77777777" w:rsidR="007D1E74" w:rsidRDefault="007D1E74">
            <w:pPr>
              <w:widowControl/>
              <w:jc w:val="center"/>
              <w:rPr>
                <w:rFonts w:cs="Times New Roman"/>
                <w:kern w:val="0"/>
                <w:szCs w:val="21"/>
              </w:rPr>
            </w:pPr>
          </w:p>
        </w:tc>
        <w:tc>
          <w:tcPr>
            <w:tcW w:w="565" w:type="pct"/>
            <w:shd w:val="clear" w:color="auto" w:fill="auto"/>
            <w:vAlign w:val="center"/>
          </w:tcPr>
          <w:p w14:paraId="7CD92ED3"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32E63EFA" w14:textId="77777777" w:rsidR="007D1E74" w:rsidRDefault="007D1E74">
            <w:pPr>
              <w:widowControl/>
              <w:jc w:val="center"/>
              <w:rPr>
                <w:rFonts w:cs="Times New Roman"/>
                <w:kern w:val="0"/>
                <w:szCs w:val="21"/>
              </w:rPr>
            </w:pPr>
          </w:p>
        </w:tc>
        <w:tc>
          <w:tcPr>
            <w:tcW w:w="563" w:type="pct"/>
            <w:shd w:val="clear" w:color="auto" w:fill="auto"/>
            <w:vAlign w:val="center"/>
          </w:tcPr>
          <w:p w14:paraId="460ACD12" w14:textId="77777777" w:rsidR="007D1E74" w:rsidRDefault="007D1E74">
            <w:pPr>
              <w:widowControl/>
              <w:jc w:val="center"/>
              <w:rPr>
                <w:rFonts w:cs="Times New Roman"/>
                <w:kern w:val="0"/>
                <w:szCs w:val="21"/>
              </w:rPr>
            </w:pPr>
          </w:p>
        </w:tc>
      </w:tr>
      <w:tr w:rsidR="007D1E74" w14:paraId="4EBB7A1C" w14:textId="77777777">
        <w:tc>
          <w:tcPr>
            <w:tcW w:w="2742" w:type="pct"/>
            <w:shd w:val="clear" w:color="auto" w:fill="auto"/>
            <w:vAlign w:val="center"/>
          </w:tcPr>
          <w:p w14:paraId="26B3EA90" w14:textId="77777777" w:rsidR="007D1E74" w:rsidRDefault="00A95641">
            <w:pPr>
              <w:widowControl/>
              <w:rPr>
                <w:rFonts w:ascii="宋体" w:hAnsi="宋体" w:cs="宋体"/>
                <w:b/>
                <w:bCs/>
                <w:kern w:val="0"/>
                <w:szCs w:val="21"/>
              </w:rPr>
            </w:pPr>
            <w:r>
              <w:rPr>
                <w:rFonts w:ascii="宋体" w:hAnsi="宋体" w:cs="宋体" w:hint="eastAsia"/>
                <w:b/>
                <w:bCs/>
                <w:kern w:val="0"/>
                <w:szCs w:val="21"/>
              </w:rPr>
              <w:t>（十五）栅藻科</w:t>
            </w:r>
            <w:r>
              <w:rPr>
                <w:rFonts w:cs="Times New Roman"/>
                <w:kern w:val="0"/>
                <w:szCs w:val="21"/>
              </w:rPr>
              <w:t>Scenedsmaceae</w:t>
            </w:r>
          </w:p>
        </w:tc>
        <w:tc>
          <w:tcPr>
            <w:tcW w:w="565" w:type="pct"/>
            <w:shd w:val="clear" w:color="auto" w:fill="auto"/>
            <w:vAlign w:val="center"/>
          </w:tcPr>
          <w:p w14:paraId="5F3A5AF2" w14:textId="77777777" w:rsidR="007D1E74" w:rsidRDefault="007D1E74">
            <w:pPr>
              <w:widowControl/>
              <w:jc w:val="center"/>
              <w:rPr>
                <w:rFonts w:cs="Times New Roman"/>
                <w:kern w:val="0"/>
                <w:szCs w:val="21"/>
              </w:rPr>
            </w:pPr>
          </w:p>
        </w:tc>
        <w:tc>
          <w:tcPr>
            <w:tcW w:w="565" w:type="pct"/>
            <w:shd w:val="clear" w:color="auto" w:fill="auto"/>
            <w:vAlign w:val="center"/>
          </w:tcPr>
          <w:p w14:paraId="5CBFDE70" w14:textId="77777777" w:rsidR="007D1E74" w:rsidRDefault="007D1E74">
            <w:pPr>
              <w:widowControl/>
              <w:jc w:val="center"/>
              <w:rPr>
                <w:rFonts w:cs="Times New Roman"/>
                <w:kern w:val="0"/>
                <w:szCs w:val="21"/>
              </w:rPr>
            </w:pPr>
          </w:p>
        </w:tc>
        <w:tc>
          <w:tcPr>
            <w:tcW w:w="565" w:type="pct"/>
            <w:shd w:val="clear" w:color="auto" w:fill="auto"/>
            <w:vAlign w:val="center"/>
          </w:tcPr>
          <w:p w14:paraId="47C55770" w14:textId="77777777" w:rsidR="007D1E74" w:rsidRDefault="007D1E74">
            <w:pPr>
              <w:widowControl/>
              <w:jc w:val="center"/>
              <w:rPr>
                <w:rFonts w:cs="Times New Roman"/>
                <w:kern w:val="0"/>
                <w:szCs w:val="21"/>
              </w:rPr>
            </w:pPr>
          </w:p>
        </w:tc>
        <w:tc>
          <w:tcPr>
            <w:tcW w:w="563" w:type="pct"/>
            <w:shd w:val="clear" w:color="auto" w:fill="auto"/>
            <w:vAlign w:val="center"/>
          </w:tcPr>
          <w:p w14:paraId="78B83AFA" w14:textId="77777777" w:rsidR="007D1E74" w:rsidRDefault="007D1E74">
            <w:pPr>
              <w:widowControl/>
              <w:jc w:val="center"/>
              <w:rPr>
                <w:rFonts w:cs="Times New Roman"/>
                <w:kern w:val="0"/>
                <w:szCs w:val="21"/>
              </w:rPr>
            </w:pPr>
          </w:p>
        </w:tc>
      </w:tr>
      <w:tr w:rsidR="007D1E74" w14:paraId="0674EB19" w14:textId="77777777">
        <w:tc>
          <w:tcPr>
            <w:tcW w:w="2742" w:type="pct"/>
            <w:shd w:val="clear" w:color="auto" w:fill="auto"/>
            <w:vAlign w:val="center"/>
          </w:tcPr>
          <w:p w14:paraId="09487697" w14:textId="77777777" w:rsidR="007D1E74" w:rsidRDefault="00A95641">
            <w:pPr>
              <w:widowControl/>
              <w:rPr>
                <w:rFonts w:cs="Times New Roman"/>
                <w:kern w:val="0"/>
                <w:szCs w:val="21"/>
              </w:rPr>
            </w:pPr>
            <w:r>
              <w:rPr>
                <w:rFonts w:cs="Times New Roman"/>
                <w:kern w:val="0"/>
                <w:szCs w:val="21"/>
              </w:rPr>
              <w:t>21.</w:t>
            </w:r>
            <w:r>
              <w:rPr>
                <w:rFonts w:ascii="宋体" w:hAnsi="宋体" w:cs="Times New Roman" w:hint="eastAsia"/>
                <w:kern w:val="0"/>
                <w:szCs w:val="21"/>
              </w:rPr>
              <w:t>栅藻属</w:t>
            </w:r>
            <w:r>
              <w:rPr>
                <w:rFonts w:cs="Times New Roman"/>
                <w:i/>
                <w:iCs/>
                <w:kern w:val="0"/>
                <w:szCs w:val="21"/>
              </w:rPr>
              <w:t>Sceedesmus</w:t>
            </w:r>
          </w:p>
        </w:tc>
        <w:tc>
          <w:tcPr>
            <w:tcW w:w="565" w:type="pct"/>
            <w:shd w:val="clear" w:color="auto" w:fill="auto"/>
            <w:vAlign w:val="center"/>
          </w:tcPr>
          <w:p w14:paraId="3BFA4058" w14:textId="77777777" w:rsidR="007D1E74" w:rsidRDefault="007D1E74">
            <w:pPr>
              <w:widowControl/>
              <w:jc w:val="center"/>
              <w:rPr>
                <w:rFonts w:cs="Times New Roman"/>
                <w:kern w:val="0"/>
                <w:szCs w:val="21"/>
              </w:rPr>
            </w:pPr>
          </w:p>
        </w:tc>
        <w:tc>
          <w:tcPr>
            <w:tcW w:w="565" w:type="pct"/>
            <w:shd w:val="clear" w:color="auto" w:fill="auto"/>
            <w:vAlign w:val="center"/>
          </w:tcPr>
          <w:p w14:paraId="0A83405F" w14:textId="77777777" w:rsidR="007D1E74" w:rsidRDefault="007D1E74">
            <w:pPr>
              <w:widowControl/>
              <w:jc w:val="center"/>
              <w:rPr>
                <w:rFonts w:cs="Times New Roman"/>
                <w:kern w:val="0"/>
                <w:szCs w:val="21"/>
              </w:rPr>
            </w:pPr>
          </w:p>
        </w:tc>
        <w:tc>
          <w:tcPr>
            <w:tcW w:w="565" w:type="pct"/>
            <w:shd w:val="clear" w:color="auto" w:fill="auto"/>
            <w:vAlign w:val="center"/>
          </w:tcPr>
          <w:p w14:paraId="68492C2A" w14:textId="77777777" w:rsidR="007D1E74" w:rsidRDefault="007D1E74">
            <w:pPr>
              <w:widowControl/>
              <w:jc w:val="center"/>
              <w:rPr>
                <w:rFonts w:cs="Times New Roman"/>
                <w:kern w:val="0"/>
                <w:szCs w:val="21"/>
              </w:rPr>
            </w:pPr>
          </w:p>
        </w:tc>
        <w:tc>
          <w:tcPr>
            <w:tcW w:w="563" w:type="pct"/>
            <w:shd w:val="clear" w:color="auto" w:fill="auto"/>
            <w:vAlign w:val="center"/>
          </w:tcPr>
          <w:p w14:paraId="5A30352D" w14:textId="77777777" w:rsidR="007D1E74" w:rsidRDefault="007D1E74">
            <w:pPr>
              <w:widowControl/>
              <w:jc w:val="center"/>
              <w:rPr>
                <w:rFonts w:cs="Times New Roman"/>
                <w:kern w:val="0"/>
                <w:szCs w:val="21"/>
              </w:rPr>
            </w:pPr>
          </w:p>
        </w:tc>
      </w:tr>
      <w:tr w:rsidR="007D1E74" w14:paraId="3C02A2D9" w14:textId="77777777">
        <w:tc>
          <w:tcPr>
            <w:tcW w:w="2742" w:type="pct"/>
            <w:shd w:val="clear" w:color="auto" w:fill="auto"/>
            <w:vAlign w:val="center"/>
          </w:tcPr>
          <w:p w14:paraId="4E6BD933"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48</w:t>
            </w:r>
            <w:r>
              <w:rPr>
                <w:rFonts w:ascii="宋体" w:hAnsi="宋体" w:cs="宋体" w:hint="eastAsia"/>
                <w:kern w:val="0"/>
                <w:szCs w:val="21"/>
              </w:rPr>
              <w:t>）四尾栅藻</w:t>
            </w:r>
            <w:r>
              <w:rPr>
                <w:rFonts w:cs="Times New Roman"/>
                <w:kern w:val="0"/>
                <w:szCs w:val="21"/>
              </w:rPr>
              <w:t xml:space="preserve"> </w:t>
            </w:r>
            <w:r>
              <w:rPr>
                <w:rFonts w:cs="Times New Roman"/>
                <w:i/>
                <w:iCs/>
                <w:kern w:val="0"/>
                <w:szCs w:val="21"/>
              </w:rPr>
              <w:t>S.quadricauda</w:t>
            </w:r>
          </w:p>
        </w:tc>
        <w:tc>
          <w:tcPr>
            <w:tcW w:w="565" w:type="pct"/>
            <w:shd w:val="clear" w:color="auto" w:fill="auto"/>
            <w:vAlign w:val="center"/>
          </w:tcPr>
          <w:p w14:paraId="1A785F6F" w14:textId="77777777" w:rsidR="007D1E74" w:rsidRDefault="007D1E74">
            <w:pPr>
              <w:widowControl/>
              <w:jc w:val="center"/>
              <w:rPr>
                <w:rFonts w:cs="Times New Roman"/>
                <w:kern w:val="0"/>
                <w:szCs w:val="21"/>
              </w:rPr>
            </w:pPr>
          </w:p>
        </w:tc>
        <w:tc>
          <w:tcPr>
            <w:tcW w:w="565" w:type="pct"/>
            <w:shd w:val="clear" w:color="auto" w:fill="auto"/>
            <w:vAlign w:val="center"/>
          </w:tcPr>
          <w:p w14:paraId="16F1DA00"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57450013" w14:textId="77777777" w:rsidR="007D1E74" w:rsidRDefault="00A95641">
            <w:pPr>
              <w:widowControl/>
              <w:jc w:val="center"/>
              <w:rPr>
                <w:rFonts w:cs="Times New Roman"/>
                <w:kern w:val="0"/>
                <w:szCs w:val="21"/>
              </w:rPr>
            </w:pPr>
            <w:r>
              <w:rPr>
                <w:rFonts w:cs="Times New Roman"/>
                <w:kern w:val="0"/>
                <w:szCs w:val="21"/>
              </w:rPr>
              <w:t>-</w:t>
            </w:r>
          </w:p>
        </w:tc>
        <w:tc>
          <w:tcPr>
            <w:tcW w:w="563" w:type="pct"/>
            <w:shd w:val="clear" w:color="auto" w:fill="auto"/>
            <w:vAlign w:val="center"/>
          </w:tcPr>
          <w:p w14:paraId="0D20BD16" w14:textId="77777777" w:rsidR="007D1E74" w:rsidRDefault="007D1E74">
            <w:pPr>
              <w:widowControl/>
              <w:jc w:val="center"/>
              <w:rPr>
                <w:rFonts w:cs="Times New Roman"/>
                <w:kern w:val="0"/>
                <w:szCs w:val="21"/>
              </w:rPr>
            </w:pPr>
          </w:p>
        </w:tc>
      </w:tr>
      <w:tr w:rsidR="007D1E74" w14:paraId="483AB061" w14:textId="77777777">
        <w:tc>
          <w:tcPr>
            <w:tcW w:w="2742" w:type="pct"/>
            <w:shd w:val="clear" w:color="auto" w:fill="auto"/>
            <w:vAlign w:val="center"/>
          </w:tcPr>
          <w:p w14:paraId="4C2E3EF7" w14:textId="77777777" w:rsidR="007D1E74" w:rsidRDefault="00A95641">
            <w:pPr>
              <w:widowControl/>
              <w:rPr>
                <w:rFonts w:ascii="宋体" w:hAnsi="宋体" w:cs="宋体"/>
                <w:kern w:val="0"/>
                <w:szCs w:val="21"/>
              </w:rPr>
            </w:pPr>
            <w:r>
              <w:rPr>
                <w:rFonts w:ascii="宋体" w:hAnsi="宋体" w:cs="宋体" w:hint="eastAsia"/>
                <w:kern w:val="0"/>
                <w:szCs w:val="21"/>
              </w:rPr>
              <w:t>三、蓝藻门</w:t>
            </w:r>
            <w:r>
              <w:rPr>
                <w:rFonts w:cs="Times New Roman"/>
                <w:kern w:val="0"/>
                <w:szCs w:val="21"/>
              </w:rPr>
              <w:t>Cyanophyta</w:t>
            </w:r>
          </w:p>
        </w:tc>
        <w:tc>
          <w:tcPr>
            <w:tcW w:w="565" w:type="pct"/>
            <w:shd w:val="clear" w:color="auto" w:fill="auto"/>
            <w:vAlign w:val="center"/>
          </w:tcPr>
          <w:p w14:paraId="2532654B" w14:textId="77777777" w:rsidR="007D1E74" w:rsidRDefault="007D1E74">
            <w:pPr>
              <w:widowControl/>
              <w:jc w:val="center"/>
              <w:rPr>
                <w:rFonts w:cs="Times New Roman"/>
                <w:kern w:val="0"/>
                <w:szCs w:val="21"/>
              </w:rPr>
            </w:pPr>
          </w:p>
        </w:tc>
        <w:tc>
          <w:tcPr>
            <w:tcW w:w="565" w:type="pct"/>
            <w:shd w:val="clear" w:color="auto" w:fill="auto"/>
            <w:vAlign w:val="center"/>
          </w:tcPr>
          <w:p w14:paraId="1964C6BD" w14:textId="77777777" w:rsidR="007D1E74" w:rsidRDefault="007D1E74">
            <w:pPr>
              <w:widowControl/>
              <w:jc w:val="center"/>
              <w:rPr>
                <w:rFonts w:cs="Times New Roman"/>
                <w:kern w:val="0"/>
                <w:szCs w:val="21"/>
              </w:rPr>
            </w:pPr>
          </w:p>
        </w:tc>
        <w:tc>
          <w:tcPr>
            <w:tcW w:w="565" w:type="pct"/>
            <w:shd w:val="clear" w:color="auto" w:fill="auto"/>
            <w:vAlign w:val="center"/>
          </w:tcPr>
          <w:p w14:paraId="4A2907FE" w14:textId="77777777" w:rsidR="007D1E74" w:rsidRDefault="007D1E74">
            <w:pPr>
              <w:widowControl/>
              <w:jc w:val="center"/>
              <w:rPr>
                <w:rFonts w:cs="Times New Roman"/>
                <w:kern w:val="0"/>
                <w:szCs w:val="21"/>
              </w:rPr>
            </w:pPr>
          </w:p>
        </w:tc>
        <w:tc>
          <w:tcPr>
            <w:tcW w:w="563" w:type="pct"/>
            <w:shd w:val="clear" w:color="auto" w:fill="auto"/>
            <w:vAlign w:val="center"/>
          </w:tcPr>
          <w:p w14:paraId="2324721E" w14:textId="77777777" w:rsidR="007D1E74" w:rsidRDefault="007D1E74">
            <w:pPr>
              <w:widowControl/>
              <w:jc w:val="center"/>
              <w:rPr>
                <w:rFonts w:cs="Times New Roman"/>
                <w:kern w:val="0"/>
                <w:szCs w:val="21"/>
              </w:rPr>
            </w:pPr>
          </w:p>
        </w:tc>
      </w:tr>
      <w:tr w:rsidR="007D1E74" w14:paraId="751EB6DC" w14:textId="77777777">
        <w:tc>
          <w:tcPr>
            <w:tcW w:w="2742" w:type="pct"/>
            <w:shd w:val="clear" w:color="auto" w:fill="auto"/>
            <w:vAlign w:val="center"/>
          </w:tcPr>
          <w:p w14:paraId="0E8D5E05" w14:textId="77777777" w:rsidR="007D1E74" w:rsidRDefault="00A95641">
            <w:pPr>
              <w:widowControl/>
              <w:rPr>
                <w:rFonts w:ascii="宋体" w:hAnsi="宋体" w:cs="宋体"/>
                <w:kern w:val="0"/>
                <w:szCs w:val="21"/>
              </w:rPr>
            </w:pPr>
            <w:r>
              <w:rPr>
                <w:rFonts w:ascii="宋体" w:hAnsi="宋体" w:cs="宋体" w:hint="eastAsia"/>
                <w:kern w:val="0"/>
                <w:szCs w:val="21"/>
              </w:rPr>
              <w:t>（十六）颤藻科</w:t>
            </w:r>
            <w:r>
              <w:rPr>
                <w:rFonts w:cs="Times New Roman"/>
                <w:kern w:val="0"/>
                <w:szCs w:val="21"/>
              </w:rPr>
              <w:t>Osicillatoriaceae</w:t>
            </w:r>
          </w:p>
        </w:tc>
        <w:tc>
          <w:tcPr>
            <w:tcW w:w="565" w:type="pct"/>
            <w:shd w:val="clear" w:color="auto" w:fill="auto"/>
            <w:vAlign w:val="center"/>
          </w:tcPr>
          <w:p w14:paraId="605CA50E" w14:textId="77777777" w:rsidR="007D1E74" w:rsidRDefault="007D1E74">
            <w:pPr>
              <w:widowControl/>
              <w:jc w:val="center"/>
              <w:rPr>
                <w:rFonts w:cs="Times New Roman"/>
                <w:kern w:val="0"/>
                <w:szCs w:val="21"/>
              </w:rPr>
            </w:pPr>
          </w:p>
        </w:tc>
        <w:tc>
          <w:tcPr>
            <w:tcW w:w="565" w:type="pct"/>
            <w:shd w:val="clear" w:color="auto" w:fill="auto"/>
            <w:vAlign w:val="center"/>
          </w:tcPr>
          <w:p w14:paraId="5D34EF9D" w14:textId="77777777" w:rsidR="007D1E74" w:rsidRDefault="007D1E74">
            <w:pPr>
              <w:widowControl/>
              <w:jc w:val="center"/>
              <w:rPr>
                <w:rFonts w:cs="Times New Roman"/>
                <w:kern w:val="0"/>
                <w:szCs w:val="21"/>
              </w:rPr>
            </w:pPr>
          </w:p>
        </w:tc>
        <w:tc>
          <w:tcPr>
            <w:tcW w:w="565" w:type="pct"/>
            <w:shd w:val="clear" w:color="auto" w:fill="auto"/>
            <w:vAlign w:val="center"/>
          </w:tcPr>
          <w:p w14:paraId="52D93898" w14:textId="77777777" w:rsidR="007D1E74" w:rsidRDefault="007D1E74">
            <w:pPr>
              <w:widowControl/>
              <w:jc w:val="center"/>
              <w:rPr>
                <w:rFonts w:cs="Times New Roman"/>
                <w:kern w:val="0"/>
                <w:szCs w:val="21"/>
              </w:rPr>
            </w:pPr>
          </w:p>
        </w:tc>
        <w:tc>
          <w:tcPr>
            <w:tcW w:w="563" w:type="pct"/>
            <w:shd w:val="clear" w:color="auto" w:fill="auto"/>
            <w:vAlign w:val="center"/>
          </w:tcPr>
          <w:p w14:paraId="725D01E6" w14:textId="77777777" w:rsidR="007D1E74" w:rsidRDefault="007D1E74">
            <w:pPr>
              <w:widowControl/>
              <w:jc w:val="center"/>
              <w:rPr>
                <w:rFonts w:cs="Times New Roman"/>
                <w:kern w:val="0"/>
                <w:szCs w:val="21"/>
              </w:rPr>
            </w:pPr>
          </w:p>
        </w:tc>
      </w:tr>
      <w:tr w:rsidR="007D1E74" w14:paraId="7AC6C8EE" w14:textId="77777777">
        <w:tc>
          <w:tcPr>
            <w:tcW w:w="2742" w:type="pct"/>
            <w:shd w:val="clear" w:color="auto" w:fill="auto"/>
            <w:vAlign w:val="center"/>
          </w:tcPr>
          <w:p w14:paraId="3659FBC0" w14:textId="77777777" w:rsidR="007D1E74" w:rsidRDefault="00A95641">
            <w:pPr>
              <w:widowControl/>
              <w:rPr>
                <w:rFonts w:cs="Times New Roman"/>
                <w:kern w:val="0"/>
                <w:szCs w:val="21"/>
              </w:rPr>
            </w:pPr>
            <w:r>
              <w:rPr>
                <w:rFonts w:cs="Times New Roman"/>
                <w:kern w:val="0"/>
                <w:szCs w:val="21"/>
              </w:rPr>
              <w:t>22.</w:t>
            </w:r>
            <w:r>
              <w:rPr>
                <w:rFonts w:ascii="宋体" w:hAnsi="宋体" w:cs="Times New Roman" w:hint="eastAsia"/>
                <w:kern w:val="0"/>
                <w:szCs w:val="21"/>
              </w:rPr>
              <w:t>席藻属</w:t>
            </w:r>
            <w:r>
              <w:rPr>
                <w:rFonts w:cs="Times New Roman"/>
                <w:i/>
                <w:iCs/>
                <w:kern w:val="0"/>
                <w:szCs w:val="21"/>
              </w:rPr>
              <w:t>Phormidium</w:t>
            </w:r>
          </w:p>
        </w:tc>
        <w:tc>
          <w:tcPr>
            <w:tcW w:w="565" w:type="pct"/>
            <w:shd w:val="clear" w:color="auto" w:fill="auto"/>
            <w:vAlign w:val="center"/>
          </w:tcPr>
          <w:p w14:paraId="351BC8E5" w14:textId="77777777" w:rsidR="007D1E74" w:rsidRDefault="007D1E74">
            <w:pPr>
              <w:widowControl/>
              <w:jc w:val="center"/>
              <w:rPr>
                <w:rFonts w:cs="Times New Roman"/>
                <w:kern w:val="0"/>
                <w:szCs w:val="21"/>
              </w:rPr>
            </w:pPr>
          </w:p>
        </w:tc>
        <w:tc>
          <w:tcPr>
            <w:tcW w:w="565" w:type="pct"/>
            <w:shd w:val="clear" w:color="auto" w:fill="auto"/>
            <w:vAlign w:val="center"/>
          </w:tcPr>
          <w:p w14:paraId="05F6D25C" w14:textId="77777777" w:rsidR="007D1E74" w:rsidRDefault="007D1E74">
            <w:pPr>
              <w:widowControl/>
              <w:jc w:val="center"/>
              <w:rPr>
                <w:rFonts w:cs="Times New Roman"/>
                <w:kern w:val="0"/>
                <w:szCs w:val="21"/>
              </w:rPr>
            </w:pPr>
          </w:p>
        </w:tc>
        <w:tc>
          <w:tcPr>
            <w:tcW w:w="565" w:type="pct"/>
            <w:shd w:val="clear" w:color="auto" w:fill="auto"/>
            <w:vAlign w:val="center"/>
          </w:tcPr>
          <w:p w14:paraId="68F0CCBD" w14:textId="77777777" w:rsidR="007D1E74" w:rsidRDefault="007D1E74">
            <w:pPr>
              <w:widowControl/>
              <w:jc w:val="center"/>
              <w:rPr>
                <w:rFonts w:cs="Times New Roman"/>
                <w:kern w:val="0"/>
                <w:szCs w:val="21"/>
              </w:rPr>
            </w:pPr>
          </w:p>
        </w:tc>
        <w:tc>
          <w:tcPr>
            <w:tcW w:w="563" w:type="pct"/>
            <w:shd w:val="clear" w:color="auto" w:fill="auto"/>
            <w:vAlign w:val="center"/>
          </w:tcPr>
          <w:p w14:paraId="78EB6D23" w14:textId="77777777" w:rsidR="007D1E74" w:rsidRDefault="007D1E74">
            <w:pPr>
              <w:widowControl/>
              <w:jc w:val="center"/>
              <w:rPr>
                <w:rFonts w:cs="Times New Roman"/>
                <w:kern w:val="0"/>
                <w:szCs w:val="21"/>
              </w:rPr>
            </w:pPr>
          </w:p>
        </w:tc>
      </w:tr>
      <w:tr w:rsidR="007D1E74" w14:paraId="50950994" w14:textId="77777777">
        <w:tc>
          <w:tcPr>
            <w:tcW w:w="2742" w:type="pct"/>
            <w:shd w:val="clear" w:color="auto" w:fill="auto"/>
            <w:vAlign w:val="center"/>
          </w:tcPr>
          <w:p w14:paraId="37173DFC"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49</w:t>
            </w:r>
            <w:r>
              <w:rPr>
                <w:rFonts w:ascii="宋体" w:hAnsi="宋体" w:cs="宋体" w:hint="eastAsia"/>
                <w:kern w:val="0"/>
                <w:szCs w:val="21"/>
              </w:rPr>
              <w:t>）小席藻</w:t>
            </w:r>
            <w:r>
              <w:rPr>
                <w:rFonts w:cs="Times New Roman"/>
                <w:i/>
                <w:iCs/>
                <w:kern w:val="0"/>
                <w:szCs w:val="21"/>
              </w:rPr>
              <w:t>P.tenu</w:t>
            </w:r>
          </w:p>
        </w:tc>
        <w:tc>
          <w:tcPr>
            <w:tcW w:w="565" w:type="pct"/>
            <w:shd w:val="clear" w:color="auto" w:fill="auto"/>
            <w:vAlign w:val="center"/>
          </w:tcPr>
          <w:p w14:paraId="11B1B934"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6A1AAC65"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1C549ADA" w14:textId="77777777" w:rsidR="007D1E74" w:rsidRDefault="00A95641">
            <w:pPr>
              <w:widowControl/>
              <w:jc w:val="center"/>
              <w:rPr>
                <w:rFonts w:cs="Times New Roman"/>
                <w:kern w:val="0"/>
                <w:szCs w:val="21"/>
              </w:rPr>
            </w:pPr>
            <w:r>
              <w:rPr>
                <w:rFonts w:cs="Times New Roman"/>
                <w:kern w:val="0"/>
                <w:szCs w:val="21"/>
              </w:rPr>
              <w:t>-</w:t>
            </w:r>
          </w:p>
        </w:tc>
        <w:tc>
          <w:tcPr>
            <w:tcW w:w="563" w:type="pct"/>
            <w:shd w:val="clear" w:color="auto" w:fill="auto"/>
            <w:vAlign w:val="center"/>
          </w:tcPr>
          <w:p w14:paraId="74C54FD8" w14:textId="77777777" w:rsidR="007D1E74" w:rsidRDefault="007D1E74">
            <w:pPr>
              <w:widowControl/>
              <w:jc w:val="center"/>
              <w:rPr>
                <w:rFonts w:cs="Times New Roman"/>
                <w:kern w:val="0"/>
                <w:szCs w:val="21"/>
              </w:rPr>
            </w:pPr>
          </w:p>
        </w:tc>
      </w:tr>
      <w:tr w:rsidR="007D1E74" w14:paraId="61F73285" w14:textId="77777777">
        <w:tc>
          <w:tcPr>
            <w:tcW w:w="2742" w:type="pct"/>
            <w:shd w:val="clear" w:color="auto" w:fill="auto"/>
            <w:vAlign w:val="center"/>
          </w:tcPr>
          <w:p w14:paraId="009D5334" w14:textId="77777777" w:rsidR="007D1E74" w:rsidRDefault="00A95641">
            <w:pPr>
              <w:widowControl/>
              <w:rPr>
                <w:rFonts w:cs="Times New Roman"/>
                <w:kern w:val="0"/>
                <w:szCs w:val="21"/>
              </w:rPr>
            </w:pPr>
            <w:r>
              <w:rPr>
                <w:rFonts w:cs="Times New Roman"/>
                <w:kern w:val="0"/>
                <w:szCs w:val="21"/>
              </w:rPr>
              <w:t>23.</w:t>
            </w:r>
            <w:r>
              <w:rPr>
                <w:rFonts w:ascii="宋体" w:hAnsi="宋体" w:cs="Times New Roman" w:hint="eastAsia"/>
                <w:kern w:val="0"/>
                <w:szCs w:val="21"/>
              </w:rPr>
              <w:t>鞘丝藻属</w:t>
            </w:r>
            <w:r>
              <w:rPr>
                <w:rFonts w:cs="Times New Roman"/>
                <w:i/>
                <w:iCs/>
                <w:kern w:val="0"/>
                <w:szCs w:val="21"/>
              </w:rPr>
              <w:t>Lyngbya</w:t>
            </w:r>
          </w:p>
        </w:tc>
        <w:tc>
          <w:tcPr>
            <w:tcW w:w="565" w:type="pct"/>
            <w:shd w:val="clear" w:color="auto" w:fill="auto"/>
            <w:vAlign w:val="center"/>
          </w:tcPr>
          <w:p w14:paraId="2E8D9C9A" w14:textId="77777777" w:rsidR="007D1E74" w:rsidRDefault="007D1E74">
            <w:pPr>
              <w:widowControl/>
              <w:jc w:val="center"/>
              <w:rPr>
                <w:rFonts w:cs="Times New Roman"/>
                <w:kern w:val="0"/>
                <w:szCs w:val="21"/>
              </w:rPr>
            </w:pPr>
          </w:p>
        </w:tc>
        <w:tc>
          <w:tcPr>
            <w:tcW w:w="565" w:type="pct"/>
            <w:shd w:val="clear" w:color="auto" w:fill="auto"/>
            <w:vAlign w:val="center"/>
          </w:tcPr>
          <w:p w14:paraId="09BD87F5" w14:textId="77777777" w:rsidR="007D1E74" w:rsidRDefault="007D1E74">
            <w:pPr>
              <w:widowControl/>
              <w:jc w:val="center"/>
              <w:rPr>
                <w:rFonts w:cs="Times New Roman"/>
                <w:kern w:val="0"/>
                <w:szCs w:val="21"/>
              </w:rPr>
            </w:pPr>
          </w:p>
        </w:tc>
        <w:tc>
          <w:tcPr>
            <w:tcW w:w="565" w:type="pct"/>
            <w:shd w:val="clear" w:color="auto" w:fill="auto"/>
            <w:vAlign w:val="center"/>
          </w:tcPr>
          <w:p w14:paraId="47156FF9" w14:textId="77777777" w:rsidR="007D1E74" w:rsidRDefault="007D1E74">
            <w:pPr>
              <w:widowControl/>
              <w:jc w:val="center"/>
              <w:rPr>
                <w:rFonts w:cs="Times New Roman"/>
                <w:kern w:val="0"/>
                <w:szCs w:val="21"/>
              </w:rPr>
            </w:pPr>
          </w:p>
        </w:tc>
        <w:tc>
          <w:tcPr>
            <w:tcW w:w="563" w:type="pct"/>
            <w:shd w:val="clear" w:color="auto" w:fill="auto"/>
            <w:vAlign w:val="center"/>
          </w:tcPr>
          <w:p w14:paraId="1C757ADD" w14:textId="77777777" w:rsidR="007D1E74" w:rsidRDefault="007D1E74">
            <w:pPr>
              <w:widowControl/>
              <w:jc w:val="center"/>
              <w:rPr>
                <w:rFonts w:cs="Times New Roman"/>
                <w:kern w:val="0"/>
                <w:szCs w:val="21"/>
              </w:rPr>
            </w:pPr>
          </w:p>
        </w:tc>
      </w:tr>
      <w:tr w:rsidR="007D1E74" w14:paraId="394AD4B8" w14:textId="77777777">
        <w:tc>
          <w:tcPr>
            <w:tcW w:w="2742" w:type="pct"/>
            <w:shd w:val="clear" w:color="auto" w:fill="auto"/>
            <w:vAlign w:val="center"/>
          </w:tcPr>
          <w:p w14:paraId="635A0808"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50</w:t>
            </w:r>
            <w:r>
              <w:rPr>
                <w:rFonts w:ascii="宋体" w:hAnsi="宋体" w:cs="宋体" w:hint="eastAsia"/>
                <w:kern w:val="0"/>
                <w:szCs w:val="21"/>
              </w:rPr>
              <w:t>）大型鞘丝藻</w:t>
            </w:r>
            <w:r>
              <w:rPr>
                <w:rFonts w:cs="Times New Roman"/>
                <w:i/>
                <w:iCs/>
                <w:kern w:val="0"/>
                <w:szCs w:val="21"/>
              </w:rPr>
              <w:t>L.major</w:t>
            </w:r>
          </w:p>
        </w:tc>
        <w:tc>
          <w:tcPr>
            <w:tcW w:w="565" w:type="pct"/>
            <w:shd w:val="clear" w:color="auto" w:fill="auto"/>
            <w:vAlign w:val="center"/>
          </w:tcPr>
          <w:p w14:paraId="0FF31471"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7B63FE5A" w14:textId="77777777" w:rsidR="007D1E74" w:rsidRDefault="007D1E74">
            <w:pPr>
              <w:widowControl/>
              <w:jc w:val="center"/>
              <w:rPr>
                <w:rFonts w:cs="Times New Roman"/>
                <w:kern w:val="0"/>
                <w:szCs w:val="21"/>
              </w:rPr>
            </w:pPr>
          </w:p>
        </w:tc>
        <w:tc>
          <w:tcPr>
            <w:tcW w:w="565" w:type="pct"/>
            <w:shd w:val="clear" w:color="auto" w:fill="auto"/>
            <w:vAlign w:val="center"/>
          </w:tcPr>
          <w:p w14:paraId="4621B197" w14:textId="77777777" w:rsidR="007D1E74" w:rsidRDefault="007D1E74">
            <w:pPr>
              <w:widowControl/>
              <w:jc w:val="center"/>
              <w:rPr>
                <w:rFonts w:cs="Times New Roman"/>
                <w:kern w:val="0"/>
                <w:szCs w:val="21"/>
              </w:rPr>
            </w:pPr>
          </w:p>
        </w:tc>
        <w:tc>
          <w:tcPr>
            <w:tcW w:w="563" w:type="pct"/>
            <w:shd w:val="clear" w:color="auto" w:fill="auto"/>
            <w:vAlign w:val="center"/>
          </w:tcPr>
          <w:p w14:paraId="15A6C11B" w14:textId="77777777" w:rsidR="007D1E74" w:rsidRDefault="007D1E74">
            <w:pPr>
              <w:widowControl/>
              <w:jc w:val="center"/>
              <w:rPr>
                <w:rFonts w:cs="Times New Roman"/>
                <w:kern w:val="0"/>
                <w:szCs w:val="21"/>
              </w:rPr>
            </w:pPr>
          </w:p>
        </w:tc>
      </w:tr>
      <w:tr w:rsidR="007D1E74" w14:paraId="25DB0BDA" w14:textId="77777777">
        <w:tc>
          <w:tcPr>
            <w:tcW w:w="2742" w:type="pct"/>
            <w:shd w:val="clear" w:color="auto" w:fill="auto"/>
            <w:vAlign w:val="center"/>
          </w:tcPr>
          <w:p w14:paraId="06CF5B42" w14:textId="77777777" w:rsidR="007D1E74" w:rsidRDefault="00A95641">
            <w:pPr>
              <w:widowControl/>
              <w:rPr>
                <w:rFonts w:ascii="宋体" w:hAnsi="宋体" w:cs="宋体"/>
                <w:kern w:val="0"/>
                <w:szCs w:val="21"/>
              </w:rPr>
            </w:pPr>
            <w:r>
              <w:rPr>
                <w:rFonts w:ascii="宋体" w:hAnsi="宋体" w:cs="宋体" w:hint="eastAsia"/>
                <w:kern w:val="0"/>
                <w:szCs w:val="21"/>
              </w:rPr>
              <w:t>（十七）念珠藻科</w:t>
            </w:r>
            <w:r>
              <w:rPr>
                <w:rFonts w:cs="Times New Roman"/>
                <w:kern w:val="0"/>
                <w:szCs w:val="21"/>
              </w:rPr>
              <w:t>Nostocaceae</w:t>
            </w:r>
          </w:p>
        </w:tc>
        <w:tc>
          <w:tcPr>
            <w:tcW w:w="565" w:type="pct"/>
            <w:shd w:val="clear" w:color="auto" w:fill="auto"/>
            <w:vAlign w:val="center"/>
          </w:tcPr>
          <w:p w14:paraId="5BECA03B" w14:textId="77777777" w:rsidR="007D1E74" w:rsidRDefault="007D1E74">
            <w:pPr>
              <w:widowControl/>
              <w:jc w:val="center"/>
              <w:rPr>
                <w:rFonts w:cs="Times New Roman"/>
                <w:kern w:val="0"/>
                <w:szCs w:val="21"/>
              </w:rPr>
            </w:pPr>
          </w:p>
        </w:tc>
        <w:tc>
          <w:tcPr>
            <w:tcW w:w="565" w:type="pct"/>
            <w:shd w:val="clear" w:color="auto" w:fill="auto"/>
            <w:vAlign w:val="center"/>
          </w:tcPr>
          <w:p w14:paraId="1FCBEC8C" w14:textId="77777777" w:rsidR="007D1E74" w:rsidRDefault="007D1E74">
            <w:pPr>
              <w:widowControl/>
              <w:jc w:val="center"/>
              <w:rPr>
                <w:rFonts w:cs="Times New Roman"/>
                <w:kern w:val="0"/>
                <w:szCs w:val="21"/>
              </w:rPr>
            </w:pPr>
          </w:p>
        </w:tc>
        <w:tc>
          <w:tcPr>
            <w:tcW w:w="565" w:type="pct"/>
            <w:shd w:val="clear" w:color="auto" w:fill="auto"/>
            <w:vAlign w:val="center"/>
          </w:tcPr>
          <w:p w14:paraId="6D3E8D06" w14:textId="77777777" w:rsidR="007D1E74" w:rsidRDefault="007D1E74">
            <w:pPr>
              <w:widowControl/>
              <w:jc w:val="center"/>
              <w:rPr>
                <w:rFonts w:cs="Times New Roman"/>
                <w:kern w:val="0"/>
                <w:szCs w:val="21"/>
              </w:rPr>
            </w:pPr>
          </w:p>
        </w:tc>
        <w:tc>
          <w:tcPr>
            <w:tcW w:w="563" w:type="pct"/>
            <w:shd w:val="clear" w:color="auto" w:fill="auto"/>
            <w:vAlign w:val="center"/>
          </w:tcPr>
          <w:p w14:paraId="13B51B0A" w14:textId="77777777" w:rsidR="007D1E74" w:rsidRDefault="007D1E74">
            <w:pPr>
              <w:widowControl/>
              <w:jc w:val="center"/>
              <w:rPr>
                <w:rFonts w:cs="Times New Roman"/>
                <w:kern w:val="0"/>
                <w:szCs w:val="21"/>
              </w:rPr>
            </w:pPr>
          </w:p>
        </w:tc>
      </w:tr>
      <w:tr w:rsidR="007D1E74" w14:paraId="3902910F" w14:textId="77777777">
        <w:tc>
          <w:tcPr>
            <w:tcW w:w="2742" w:type="pct"/>
            <w:shd w:val="clear" w:color="auto" w:fill="auto"/>
            <w:vAlign w:val="center"/>
          </w:tcPr>
          <w:p w14:paraId="5F626D08" w14:textId="77777777" w:rsidR="007D1E74" w:rsidRDefault="00A95641">
            <w:pPr>
              <w:widowControl/>
              <w:rPr>
                <w:rFonts w:cs="Times New Roman"/>
                <w:kern w:val="0"/>
                <w:szCs w:val="21"/>
              </w:rPr>
            </w:pPr>
            <w:r>
              <w:rPr>
                <w:rFonts w:cs="Times New Roman"/>
                <w:kern w:val="0"/>
                <w:szCs w:val="21"/>
              </w:rPr>
              <w:t>24.</w:t>
            </w:r>
            <w:r>
              <w:rPr>
                <w:rFonts w:ascii="宋体" w:hAnsi="宋体" w:cs="Times New Roman" w:hint="eastAsia"/>
                <w:kern w:val="0"/>
                <w:szCs w:val="21"/>
              </w:rPr>
              <w:t>束丝藻属</w:t>
            </w:r>
            <w:r>
              <w:rPr>
                <w:rFonts w:cs="Times New Roman"/>
                <w:i/>
                <w:iCs/>
                <w:kern w:val="0"/>
                <w:szCs w:val="21"/>
              </w:rPr>
              <w:t>Aphanizomenon</w:t>
            </w:r>
          </w:p>
        </w:tc>
        <w:tc>
          <w:tcPr>
            <w:tcW w:w="565" w:type="pct"/>
            <w:shd w:val="clear" w:color="auto" w:fill="auto"/>
            <w:vAlign w:val="center"/>
          </w:tcPr>
          <w:p w14:paraId="5DFDA6A5" w14:textId="77777777" w:rsidR="007D1E74" w:rsidRDefault="007D1E74">
            <w:pPr>
              <w:widowControl/>
              <w:jc w:val="center"/>
              <w:rPr>
                <w:rFonts w:cs="Times New Roman"/>
                <w:kern w:val="0"/>
                <w:szCs w:val="21"/>
              </w:rPr>
            </w:pPr>
          </w:p>
        </w:tc>
        <w:tc>
          <w:tcPr>
            <w:tcW w:w="565" w:type="pct"/>
            <w:shd w:val="clear" w:color="auto" w:fill="auto"/>
            <w:vAlign w:val="center"/>
          </w:tcPr>
          <w:p w14:paraId="66EEE081" w14:textId="77777777" w:rsidR="007D1E74" w:rsidRDefault="007D1E74">
            <w:pPr>
              <w:widowControl/>
              <w:jc w:val="center"/>
              <w:rPr>
                <w:rFonts w:cs="Times New Roman"/>
                <w:kern w:val="0"/>
                <w:szCs w:val="21"/>
              </w:rPr>
            </w:pPr>
          </w:p>
        </w:tc>
        <w:tc>
          <w:tcPr>
            <w:tcW w:w="565" w:type="pct"/>
            <w:shd w:val="clear" w:color="auto" w:fill="auto"/>
            <w:vAlign w:val="center"/>
          </w:tcPr>
          <w:p w14:paraId="7527A986" w14:textId="77777777" w:rsidR="007D1E74" w:rsidRDefault="007D1E74">
            <w:pPr>
              <w:widowControl/>
              <w:jc w:val="center"/>
              <w:rPr>
                <w:rFonts w:cs="Times New Roman"/>
                <w:kern w:val="0"/>
                <w:szCs w:val="21"/>
              </w:rPr>
            </w:pPr>
          </w:p>
        </w:tc>
        <w:tc>
          <w:tcPr>
            <w:tcW w:w="563" w:type="pct"/>
            <w:shd w:val="clear" w:color="auto" w:fill="auto"/>
            <w:vAlign w:val="center"/>
          </w:tcPr>
          <w:p w14:paraId="0D9F72C4" w14:textId="77777777" w:rsidR="007D1E74" w:rsidRDefault="007D1E74">
            <w:pPr>
              <w:widowControl/>
              <w:jc w:val="center"/>
              <w:rPr>
                <w:rFonts w:cs="Times New Roman"/>
                <w:kern w:val="0"/>
                <w:szCs w:val="21"/>
              </w:rPr>
            </w:pPr>
          </w:p>
        </w:tc>
      </w:tr>
      <w:tr w:rsidR="007D1E74" w14:paraId="76D0BF66" w14:textId="77777777">
        <w:tc>
          <w:tcPr>
            <w:tcW w:w="2742" w:type="pct"/>
            <w:shd w:val="clear" w:color="auto" w:fill="auto"/>
            <w:vAlign w:val="center"/>
          </w:tcPr>
          <w:p w14:paraId="3283CDB5"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51</w:t>
            </w:r>
            <w:r>
              <w:rPr>
                <w:rFonts w:ascii="宋体" w:hAnsi="宋体" w:cs="宋体" w:hint="eastAsia"/>
                <w:kern w:val="0"/>
                <w:szCs w:val="21"/>
              </w:rPr>
              <w:t>）水花束丝藻</w:t>
            </w:r>
            <w:r>
              <w:rPr>
                <w:rFonts w:cs="Times New Roman"/>
                <w:i/>
                <w:iCs/>
                <w:kern w:val="0"/>
                <w:szCs w:val="21"/>
              </w:rPr>
              <w:t>A.flos-aquae</w:t>
            </w:r>
          </w:p>
        </w:tc>
        <w:tc>
          <w:tcPr>
            <w:tcW w:w="565" w:type="pct"/>
            <w:shd w:val="clear" w:color="auto" w:fill="auto"/>
            <w:vAlign w:val="center"/>
          </w:tcPr>
          <w:p w14:paraId="057769C1"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5120D226"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732AEF1E" w14:textId="77777777" w:rsidR="007D1E74" w:rsidRDefault="007D1E74">
            <w:pPr>
              <w:widowControl/>
              <w:jc w:val="center"/>
              <w:rPr>
                <w:rFonts w:cs="Times New Roman"/>
                <w:kern w:val="0"/>
                <w:szCs w:val="21"/>
              </w:rPr>
            </w:pPr>
          </w:p>
        </w:tc>
        <w:tc>
          <w:tcPr>
            <w:tcW w:w="563" w:type="pct"/>
            <w:shd w:val="clear" w:color="auto" w:fill="auto"/>
            <w:vAlign w:val="center"/>
          </w:tcPr>
          <w:p w14:paraId="512440A4" w14:textId="77777777" w:rsidR="007D1E74" w:rsidRDefault="00A95641">
            <w:pPr>
              <w:widowControl/>
              <w:jc w:val="center"/>
              <w:rPr>
                <w:rFonts w:cs="Times New Roman"/>
                <w:kern w:val="0"/>
                <w:szCs w:val="21"/>
              </w:rPr>
            </w:pPr>
            <w:r>
              <w:rPr>
                <w:rFonts w:cs="Times New Roman"/>
                <w:kern w:val="0"/>
                <w:szCs w:val="21"/>
              </w:rPr>
              <w:t>+</w:t>
            </w:r>
          </w:p>
        </w:tc>
      </w:tr>
      <w:tr w:rsidR="007D1E74" w14:paraId="2067BB81" w14:textId="77777777">
        <w:tc>
          <w:tcPr>
            <w:tcW w:w="2742" w:type="pct"/>
            <w:shd w:val="clear" w:color="auto" w:fill="auto"/>
            <w:vAlign w:val="center"/>
          </w:tcPr>
          <w:p w14:paraId="414B9481" w14:textId="77777777" w:rsidR="007D1E74" w:rsidRDefault="00A95641">
            <w:pPr>
              <w:widowControl/>
              <w:rPr>
                <w:rFonts w:ascii="宋体" w:hAnsi="宋体" w:cs="宋体"/>
                <w:kern w:val="0"/>
                <w:szCs w:val="21"/>
              </w:rPr>
            </w:pPr>
            <w:r>
              <w:rPr>
                <w:rFonts w:ascii="宋体" w:hAnsi="宋体" w:cs="宋体" w:hint="eastAsia"/>
                <w:kern w:val="0"/>
                <w:szCs w:val="21"/>
              </w:rPr>
              <w:t>四、甲藻门</w:t>
            </w:r>
            <w:r>
              <w:rPr>
                <w:rFonts w:cs="Times New Roman"/>
                <w:kern w:val="0"/>
                <w:szCs w:val="21"/>
              </w:rPr>
              <w:t>Pyrrophyta</w:t>
            </w:r>
          </w:p>
        </w:tc>
        <w:tc>
          <w:tcPr>
            <w:tcW w:w="565" w:type="pct"/>
            <w:shd w:val="clear" w:color="auto" w:fill="auto"/>
            <w:vAlign w:val="center"/>
          </w:tcPr>
          <w:p w14:paraId="0B8CFACC" w14:textId="77777777" w:rsidR="007D1E74" w:rsidRDefault="007D1E74">
            <w:pPr>
              <w:widowControl/>
              <w:jc w:val="center"/>
              <w:rPr>
                <w:rFonts w:cs="Times New Roman"/>
                <w:kern w:val="0"/>
                <w:szCs w:val="21"/>
              </w:rPr>
            </w:pPr>
          </w:p>
        </w:tc>
        <w:tc>
          <w:tcPr>
            <w:tcW w:w="565" w:type="pct"/>
            <w:shd w:val="clear" w:color="auto" w:fill="auto"/>
            <w:vAlign w:val="center"/>
          </w:tcPr>
          <w:p w14:paraId="3A7E2719" w14:textId="77777777" w:rsidR="007D1E74" w:rsidRDefault="007D1E74">
            <w:pPr>
              <w:widowControl/>
              <w:jc w:val="center"/>
              <w:rPr>
                <w:rFonts w:cs="Times New Roman"/>
                <w:kern w:val="0"/>
                <w:szCs w:val="21"/>
              </w:rPr>
            </w:pPr>
          </w:p>
        </w:tc>
        <w:tc>
          <w:tcPr>
            <w:tcW w:w="565" w:type="pct"/>
            <w:shd w:val="clear" w:color="auto" w:fill="auto"/>
            <w:vAlign w:val="center"/>
          </w:tcPr>
          <w:p w14:paraId="14AEAC66" w14:textId="77777777" w:rsidR="007D1E74" w:rsidRDefault="007D1E74">
            <w:pPr>
              <w:widowControl/>
              <w:jc w:val="center"/>
              <w:rPr>
                <w:rFonts w:cs="Times New Roman"/>
                <w:kern w:val="0"/>
                <w:szCs w:val="21"/>
              </w:rPr>
            </w:pPr>
          </w:p>
        </w:tc>
        <w:tc>
          <w:tcPr>
            <w:tcW w:w="563" w:type="pct"/>
            <w:shd w:val="clear" w:color="auto" w:fill="auto"/>
            <w:vAlign w:val="center"/>
          </w:tcPr>
          <w:p w14:paraId="0C186F05" w14:textId="77777777" w:rsidR="007D1E74" w:rsidRDefault="007D1E74">
            <w:pPr>
              <w:widowControl/>
              <w:jc w:val="center"/>
              <w:rPr>
                <w:rFonts w:cs="Times New Roman"/>
                <w:kern w:val="0"/>
                <w:szCs w:val="21"/>
              </w:rPr>
            </w:pPr>
          </w:p>
        </w:tc>
      </w:tr>
      <w:tr w:rsidR="007D1E74" w14:paraId="345D3F54" w14:textId="77777777">
        <w:tc>
          <w:tcPr>
            <w:tcW w:w="2742" w:type="pct"/>
            <w:shd w:val="clear" w:color="auto" w:fill="auto"/>
            <w:vAlign w:val="center"/>
          </w:tcPr>
          <w:p w14:paraId="46910F8A" w14:textId="77777777" w:rsidR="007D1E74" w:rsidRDefault="00A95641">
            <w:pPr>
              <w:widowControl/>
              <w:rPr>
                <w:rFonts w:ascii="宋体" w:hAnsi="宋体" w:cs="宋体"/>
                <w:kern w:val="0"/>
                <w:szCs w:val="21"/>
              </w:rPr>
            </w:pPr>
            <w:r>
              <w:rPr>
                <w:rFonts w:ascii="宋体" w:hAnsi="宋体" w:cs="宋体" w:hint="eastAsia"/>
                <w:kern w:val="0"/>
                <w:szCs w:val="21"/>
              </w:rPr>
              <w:t>（十八）多甲藻科</w:t>
            </w:r>
            <w:r>
              <w:rPr>
                <w:rFonts w:cs="Times New Roman"/>
                <w:kern w:val="0"/>
                <w:szCs w:val="21"/>
              </w:rPr>
              <w:t>Peridineaceae</w:t>
            </w:r>
          </w:p>
        </w:tc>
        <w:tc>
          <w:tcPr>
            <w:tcW w:w="565" w:type="pct"/>
            <w:shd w:val="clear" w:color="auto" w:fill="auto"/>
            <w:vAlign w:val="center"/>
          </w:tcPr>
          <w:p w14:paraId="460E0C81" w14:textId="77777777" w:rsidR="007D1E74" w:rsidRDefault="007D1E74">
            <w:pPr>
              <w:widowControl/>
              <w:jc w:val="center"/>
              <w:rPr>
                <w:rFonts w:cs="Times New Roman"/>
                <w:kern w:val="0"/>
                <w:szCs w:val="21"/>
              </w:rPr>
            </w:pPr>
          </w:p>
        </w:tc>
        <w:tc>
          <w:tcPr>
            <w:tcW w:w="565" w:type="pct"/>
            <w:shd w:val="clear" w:color="auto" w:fill="auto"/>
            <w:vAlign w:val="center"/>
          </w:tcPr>
          <w:p w14:paraId="240295DE" w14:textId="77777777" w:rsidR="007D1E74" w:rsidRDefault="007D1E74">
            <w:pPr>
              <w:widowControl/>
              <w:jc w:val="center"/>
              <w:rPr>
                <w:rFonts w:cs="Times New Roman"/>
                <w:kern w:val="0"/>
                <w:szCs w:val="21"/>
              </w:rPr>
            </w:pPr>
          </w:p>
        </w:tc>
        <w:tc>
          <w:tcPr>
            <w:tcW w:w="565" w:type="pct"/>
            <w:shd w:val="clear" w:color="auto" w:fill="auto"/>
            <w:vAlign w:val="center"/>
          </w:tcPr>
          <w:p w14:paraId="123C39CC" w14:textId="77777777" w:rsidR="007D1E74" w:rsidRDefault="007D1E74">
            <w:pPr>
              <w:widowControl/>
              <w:jc w:val="center"/>
              <w:rPr>
                <w:rFonts w:cs="Times New Roman"/>
                <w:kern w:val="0"/>
                <w:szCs w:val="21"/>
              </w:rPr>
            </w:pPr>
          </w:p>
        </w:tc>
        <w:tc>
          <w:tcPr>
            <w:tcW w:w="563" w:type="pct"/>
            <w:shd w:val="clear" w:color="auto" w:fill="auto"/>
            <w:vAlign w:val="center"/>
          </w:tcPr>
          <w:p w14:paraId="2B81F9EA" w14:textId="77777777" w:rsidR="007D1E74" w:rsidRDefault="007D1E74">
            <w:pPr>
              <w:widowControl/>
              <w:jc w:val="center"/>
              <w:rPr>
                <w:rFonts w:cs="Times New Roman"/>
                <w:kern w:val="0"/>
                <w:szCs w:val="21"/>
              </w:rPr>
            </w:pPr>
          </w:p>
        </w:tc>
      </w:tr>
      <w:tr w:rsidR="007D1E74" w14:paraId="38AD41AE" w14:textId="77777777">
        <w:tc>
          <w:tcPr>
            <w:tcW w:w="2742" w:type="pct"/>
            <w:shd w:val="clear" w:color="auto" w:fill="auto"/>
            <w:vAlign w:val="center"/>
          </w:tcPr>
          <w:p w14:paraId="785351A1" w14:textId="77777777" w:rsidR="007D1E74" w:rsidRDefault="00A95641">
            <w:pPr>
              <w:widowControl/>
              <w:rPr>
                <w:rFonts w:cs="Times New Roman"/>
                <w:kern w:val="0"/>
                <w:szCs w:val="21"/>
              </w:rPr>
            </w:pPr>
            <w:r>
              <w:rPr>
                <w:rFonts w:cs="Times New Roman"/>
                <w:kern w:val="0"/>
                <w:szCs w:val="21"/>
              </w:rPr>
              <w:t>25.</w:t>
            </w:r>
            <w:r>
              <w:rPr>
                <w:rFonts w:ascii="宋体" w:hAnsi="宋体" w:cs="Times New Roman" w:hint="eastAsia"/>
                <w:kern w:val="0"/>
                <w:szCs w:val="21"/>
              </w:rPr>
              <w:t>多甲藻属</w:t>
            </w:r>
            <w:r>
              <w:rPr>
                <w:rFonts w:cs="Times New Roman"/>
                <w:i/>
                <w:iCs/>
                <w:kern w:val="0"/>
                <w:szCs w:val="21"/>
              </w:rPr>
              <w:t>Peridinium</w:t>
            </w:r>
          </w:p>
        </w:tc>
        <w:tc>
          <w:tcPr>
            <w:tcW w:w="565" w:type="pct"/>
            <w:shd w:val="clear" w:color="auto" w:fill="auto"/>
            <w:vAlign w:val="center"/>
          </w:tcPr>
          <w:p w14:paraId="2F6F7EB5" w14:textId="77777777" w:rsidR="007D1E74" w:rsidRDefault="007D1E74">
            <w:pPr>
              <w:widowControl/>
              <w:jc w:val="center"/>
              <w:rPr>
                <w:rFonts w:cs="Times New Roman"/>
                <w:kern w:val="0"/>
                <w:szCs w:val="21"/>
              </w:rPr>
            </w:pPr>
          </w:p>
        </w:tc>
        <w:tc>
          <w:tcPr>
            <w:tcW w:w="565" w:type="pct"/>
            <w:shd w:val="clear" w:color="auto" w:fill="auto"/>
            <w:vAlign w:val="center"/>
          </w:tcPr>
          <w:p w14:paraId="635CAAE9" w14:textId="77777777" w:rsidR="007D1E74" w:rsidRDefault="007D1E74">
            <w:pPr>
              <w:widowControl/>
              <w:jc w:val="center"/>
              <w:rPr>
                <w:rFonts w:cs="Times New Roman"/>
                <w:kern w:val="0"/>
                <w:szCs w:val="21"/>
              </w:rPr>
            </w:pPr>
          </w:p>
        </w:tc>
        <w:tc>
          <w:tcPr>
            <w:tcW w:w="565" w:type="pct"/>
            <w:shd w:val="clear" w:color="auto" w:fill="auto"/>
            <w:vAlign w:val="center"/>
          </w:tcPr>
          <w:p w14:paraId="75159F95" w14:textId="77777777" w:rsidR="007D1E74" w:rsidRDefault="007D1E74">
            <w:pPr>
              <w:widowControl/>
              <w:jc w:val="center"/>
              <w:rPr>
                <w:rFonts w:cs="Times New Roman"/>
                <w:kern w:val="0"/>
                <w:szCs w:val="21"/>
              </w:rPr>
            </w:pPr>
          </w:p>
        </w:tc>
        <w:tc>
          <w:tcPr>
            <w:tcW w:w="563" w:type="pct"/>
            <w:shd w:val="clear" w:color="auto" w:fill="auto"/>
            <w:vAlign w:val="center"/>
          </w:tcPr>
          <w:p w14:paraId="59980965" w14:textId="77777777" w:rsidR="007D1E74" w:rsidRDefault="007D1E74">
            <w:pPr>
              <w:widowControl/>
              <w:jc w:val="center"/>
              <w:rPr>
                <w:rFonts w:cs="Times New Roman"/>
                <w:kern w:val="0"/>
                <w:szCs w:val="21"/>
              </w:rPr>
            </w:pPr>
          </w:p>
        </w:tc>
      </w:tr>
      <w:tr w:rsidR="007D1E74" w14:paraId="5BCE6ED6" w14:textId="77777777">
        <w:tc>
          <w:tcPr>
            <w:tcW w:w="2742" w:type="pct"/>
            <w:shd w:val="clear" w:color="auto" w:fill="auto"/>
            <w:vAlign w:val="center"/>
          </w:tcPr>
          <w:p w14:paraId="69BD8FD1"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52</w:t>
            </w:r>
            <w:r>
              <w:rPr>
                <w:rFonts w:ascii="宋体" w:hAnsi="宋体" w:cs="宋体" w:hint="eastAsia"/>
                <w:kern w:val="0"/>
                <w:szCs w:val="21"/>
              </w:rPr>
              <w:t>）二角多甲藻</w:t>
            </w:r>
            <w:r>
              <w:rPr>
                <w:rFonts w:cs="Times New Roman"/>
                <w:i/>
                <w:iCs/>
                <w:kern w:val="0"/>
                <w:szCs w:val="21"/>
              </w:rPr>
              <w:t>P. bipes Stein</w:t>
            </w:r>
          </w:p>
        </w:tc>
        <w:tc>
          <w:tcPr>
            <w:tcW w:w="565" w:type="pct"/>
            <w:shd w:val="clear" w:color="auto" w:fill="auto"/>
            <w:vAlign w:val="center"/>
          </w:tcPr>
          <w:p w14:paraId="28433C70"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367263AA" w14:textId="77777777" w:rsidR="007D1E74" w:rsidRDefault="007D1E74">
            <w:pPr>
              <w:widowControl/>
              <w:jc w:val="center"/>
              <w:rPr>
                <w:rFonts w:cs="Times New Roman"/>
                <w:kern w:val="0"/>
                <w:szCs w:val="21"/>
              </w:rPr>
            </w:pPr>
          </w:p>
        </w:tc>
        <w:tc>
          <w:tcPr>
            <w:tcW w:w="565" w:type="pct"/>
            <w:shd w:val="clear" w:color="auto" w:fill="auto"/>
            <w:vAlign w:val="center"/>
          </w:tcPr>
          <w:p w14:paraId="5D663577" w14:textId="77777777" w:rsidR="007D1E74" w:rsidRDefault="007D1E74">
            <w:pPr>
              <w:widowControl/>
              <w:jc w:val="center"/>
              <w:rPr>
                <w:rFonts w:cs="Times New Roman"/>
                <w:kern w:val="0"/>
                <w:szCs w:val="21"/>
              </w:rPr>
            </w:pPr>
          </w:p>
        </w:tc>
        <w:tc>
          <w:tcPr>
            <w:tcW w:w="563" w:type="pct"/>
            <w:shd w:val="clear" w:color="auto" w:fill="auto"/>
            <w:vAlign w:val="center"/>
          </w:tcPr>
          <w:p w14:paraId="351E05BA" w14:textId="77777777" w:rsidR="007D1E74" w:rsidRDefault="007D1E74">
            <w:pPr>
              <w:widowControl/>
              <w:jc w:val="center"/>
              <w:rPr>
                <w:rFonts w:cs="Times New Roman"/>
                <w:kern w:val="0"/>
                <w:szCs w:val="21"/>
              </w:rPr>
            </w:pPr>
          </w:p>
        </w:tc>
      </w:tr>
      <w:tr w:rsidR="007D1E74" w14:paraId="1A2CA3AA" w14:textId="77777777">
        <w:tc>
          <w:tcPr>
            <w:tcW w:w="2742" w:type="pct"/>
            <w:shd w:val="clear" w:color="auto" w:fill="auto"/>
            <w:vAlign w:val="center"/>
          </w:tcPr>
          <w:p w14:paraId="197EDF69" w14:textId="77777777" w:rsidR="007D1E74" w:rsidRDefault="00A95641">
            <w:pPr>
              <w:widowControl/>
              <w:rPr>
                <w:rFonts w:ascii="宋体" w:hAnsi="宋体" w:cs="宋体"/>
                <w:kern w:val="0"/>
                <w:szCs w:val="21"/>
              </w:rPr>
            </w:pPr>
            <w:r>
              <w:rPr>
                <w:rFonts w:ascii="宋体" w:hAnsi="宋体" w:cs="宋体" w:hint="eastAsia"/>
                <w:kern w:val="0"/>
                <w:szCs w:val="21"/>
              </w:rPr>
              <w:lastRenderedPageBreak/>
              <w:t>五、黄藻门</w:t>
            </w:r>
            <w:r>
              <w:rPr>
                <w:rFonts w:cs="Times New Roman"/>
                <w:kern w:val="0"/>
                <w:szCs w:val="21"/>
              </w:rPr>
              <w:t>Xanthophyta</w:t>
            </w:r>
          </w:p>
        </w:tc>
        <w:tc>
          <w:tcPr>
            <w:tcW w:w="565" w:type="pct"/>
            <w:shd w:val="clear" w:color="auto" w:fill="auto"/>
            <w:vAlign w:val="center"/>
          </w:tcPr>
          <w:p w14:paraId="334D868D" w14:textId="77777777" w:rsidR="007D1E74" w:rsidRDefault="007D1E74">
            <w:pPr>
              <w:widowControl/>
              <w:jc w:val="center"/>
              <w:rPr>
                <w:rFonts w:cs="Times New Roman"/>
                <w:kern w:val="0"/>
                <w:szCs w:val="21"/>
              </w:rPr>
            </w:pPr>
          </w:p>
        </w:tc>
        <w:tc>
          <w:tcPr>
            <w:tcW w:w="565" w:type="pct"/>
            <w:shd w:val="clear" w:color="auto" w:fill="auto"/>
            <w:vAlign w:val="center"/>
          </w:tcPr>
          <w:p w14:paraId="402FAD08" w14:textId="77777777" w:rsidR="007D1E74" w:rsidRDefault="007D1E74">
            <w:pPr>
              <w:widowControl/>
              <w:jc w:val="center"/>
              <w:rPr>
                <w:rFonts w:cs="Times New Roman"/>
                <w:kern w:val="0"/>
                <w:szCs w:val="21"/>
              </w:rPr>
            </w:pPr>
          </w:p>
        </w:tc>
        <w:tc>
          <w:tcPr>
            <w:tcW w:w="565" w:type="pct"/>
            <w:shd w:val="clear" w:color="auto" w:fill="auto"/>
            <w:vAlign w:val="center"/>
          </w:tcPr>
          <w:p w14:paraId="000DF5A2" w14:textId="77777777" w:rsidR="007D1E74" w:rsidRDefault="007D1E74">
            <w:pPr>
              <w:widowControl/>
              <w:jc w:val="center"/>
              <w:rPr>
                <w:rFonts w:cs="Times New Roman"/>
                <w:kern w:val="0"/>
                <w:szCs w:val="21"/>
              </w:rPr>
            </w:pPr>
          </w:p>
        </w:tc>
        <w:tc>
          <w:tcPr>
            <w:tcW w:w="563" w:type="pct"/>
            <w:shd w:val="clear" w:color="auto" w:fill="auto"/>
            <w:vAlign w:val="center"/>
          </w:tcPr>
          <w:p w14:paraId="329506A5" w14:textId="77777777" w:rsidR="007D1E74" w:rsidRDefault="007D1E74">
            <w:pPr>
              <w:widowControl/>
              <w:jc w:val="center"/>
              <w:rPr>
                <w:rFonts w:cs="Times New Roman"/>
                <w:kern w:val="0"/>
                <w:szCs w:val="21"/>
              </w:rPr>
            </w:pPr>
          </w:p>
        </w:tc>
      </w:tr>
      <w:tr w:rsidR="007D1E74" w14:paraId="56AA47A8" w14:textId="77777777">
        <w:tc>
          <w:tcPr>
            <w:tcW w:w="2742" w:type="pct"/>
            <w:shd w:val="clear" w:color="auto" w:fill="auto"/>
            <w:vAlign w:val="center"/>
          </w:tcPr>
          <w:p w14:paraId="3D8F68F4" w14:textId="77777777" w:rsidR="007D1E74" w:rsidRDefault="00A95641">
            <w:pPr>
              <w:widowControl/>
              <w:rPr>
                <w:rFonts w:ascii="宋体" w:hAnsi="宋体" w:cs="宋体"/>
                <w:kern w:val="0"/>
                <w:szCs w:val="21"/>
              </w:rPr>
            </w:pPr>
            <w:r>
              <w:rPr>
                <w:rFonts w:ascii="宋体" w:hAnsi="宋体" w:cs="宋体" w:hint="eastAsia"/>
                <w:kern w:val="0"/>
                <w:szCs w:val="21"/>
              </w:rPr>
              <w:t>（十九）黄丝藻科</w:t>
            </w:r>
            <w:r>
              <w:rPr>
                <w:rFonts w:cs="Times New Roman"/>
                <w:kern w:val="0"/>
                <w:szCs w:val="21"/>
              </w:rPr>
              <w:t>Tribonemataceae</w:t>
            </w:r>
          </w:p>
        </w:tc>
        <w:tc>
          <w:tcPr>
            <w:tcW w:w="565" w:type="pct"/>
            <w:shd w:val="clear" w:color="auto" w:fill="auto"/>
            <w:vAlign w:val="center"/>
          </w:tcPr>
          <w:p w14:paraId="41BA3B52" w14:textId="77777777" w:rsidR="007D1E74" w:rsidRDefault="007D1E74">
            <w:pPr>
              <w:widowControl/>
              <w:jc w:val="center"/>
              <w:rPr>
                <w:rFonts w:cs="Times New Roman"/>
                <w:kern w:val="0"/>
                <w:szCs w:val="21"/>
              </w:rPr>
            </w:pPr>
          </w:p>
        </w:tc>
        <w:tc>
          <w:tcPr>
            <w:tcW w:w="565" w:type="pct"/>
            <w:shd w:val="clear" w:color="auto" w:fill="auto"/>
            <w:vAlign w:val="center"/>
          </w:tcPr>
          <w:p w14:paraId="20829B19" w14:textId="77777777" w:rsidR="007D1E74" w:rsidRDefault="007D1E74">
            <w:pPr>
              <w:widowControl/>
              <w:jc w:val="center"/>
              <w:rPr>
                <w:rFonts w:cs="Times New Roman"/>
                <w:kern w:val="0"/>
                <w:szCs w:val="21"/>
              </w:rPr>
            </w:pPr>
          </w:p>
        </w:tc>
        <w:tc>
          <w:tcPr>
            <w:tcW w:w="565" w:type="pct"/>
            <w:shd w:val="clear" w:color="auto" w:fill="auto"/>
            <w:vAlign w:val="center"/>
          </w:tcPr>
          <w:p w14:paraId="4D84CD8C" w14:textId="77777777" w:rsidR="007D1E74" w:rsidRDefault="007D1E74">
            <w:pPr>
              <w:widowControl/>
              <w:jc w:val="center"/>
              <w:rPr>
                <w:rFonts w:cs="Times New Roman"/>
                <w:kern w:val="0"/>
                <w:szCs w:val="21"/>
              </w:rPr>
            </w:pPr>
          </w:p>
        </w:tc>
        <w:tc>
          <w:tcPr>
            <w:tcW w:w="563" w:type="pct"/>
            <w:shd w:val="clear" w:color="auto" w:fill="auto"/>
            <w:vAlign w:val="center"/>
          </w:tcPr>
          <w:p w14:paraId="7ACE47ED" w14:textId="77777777" w:rsidR="007D1E74" w:rsidRDefault="007D1E74">
            <w:pPr>
              <w:widowControl/>
              <w:jc w:val="center"/>
              <w:rPr>
                <w:rFonts w:cs="Times New Roman"/>
                <w:kern w:val="0"/>
                <w:szCs w:val="21"/>
              </w:rPr>
            </w:pPr>
          </w:p>
        </w:tc>
      </w:tr>
      <w:tr w:rsidR="007D1E74" w14:paraId="500609EB" w14:textId="77777777">
        <w:tc>
          <w:tcPr>
            <w:tcW w:w="2742" w:type="pct"/>
            <w:shd w:val="clear" w:color="auto" w:fill="auto"/>
            <w:vAlign w:val="center"/>
          </w:tcPr>
          <w:p w14:paraId="5D8BDBE9" w14:textId="77777777" w:rsidR="007D1E74" w:rsidRDefault="00A95641">
            <w:pPr>
              <w:widowControl/>
              <w:rPr>
                <w:rFonts w:cs="Times New Roman"/>
                <w:kern w:val="0"/>
                <w:szCs w:val="21"/>
              </w:rPr>
            </w:pPr>
            <w:r>
              <w:rPr>
                <w:rFonts w:cs="Times New Roman"/>
                <w:kern w:val="0"/>
                <w:szCs w:val="21"/>
              </w:rPr>
              <w:t>26.</w:t>
            </w:r>
            <w:r>
              <w:rPr>
                <w:rFonts w:ascii="宋体" w:hAnsi="宋体" w:cs="Times New Roman" w:hint="eastAsia"/>
                <w:kern w:val="0"/>
                <w:szCs w:val="21"/>
              </w:rPr>
              <w:t>黄丝藻属</w:t>
            </w:r>
            <w:r>
              <w:rPr>
                <w:rFonts w:cs="Times New Roman"/>
                <w:i/>
                <w:iCs/>
                <w:kern w:val="0"/>
                <w:szCs w:val="21"/>
              </w:rPr>
              <w:t>Tribonema</w:t>
            </w:r>
          </w:p>
        </w:tc>
        <w:tc>
          <w:tcPr>
            <w:tcW w:w="565" w:type="pct"/>
            <w:shd w:val="clear" w:color="auto" w:fill="auto"/>
            <w:vAlign w:val="center"/>
          </w:tcPr>
          <w:p w14:paraId="5980585A" w14:textId="77777777" w:rsidR="007D1E74" w:rsidRDefault="007D1E74">
            <w:pPr>
              <w:widowControl/>
              <w:jc w:val="center"/>
              <w:rPr>
                <w:rFonts w:cs="Times New Roman"/>
                <w:kern w:val="0"/>
                <w:szCs w:val="21"/>
              </w:rPr>
            </w:pPr>
          </w:p>
        </w:tc>
        <w:tc>
          <w:tcPr>
            <w:tcW w:w="565" w:type="pct"/>
            <w:shd w:val="clear" w:color="auto" w:fill="auto"/>
            <w:vAlign w:val="center"/>
          </w:tcPr>
          <w:p w14:paraId="2BCA6550" w14:textId="77777777" w:rsidR="007D1E74" w:rsidRDefault="007D1E74">
            <w:pPr>
              <w:widowControl/>
              <w:jc w:val="center"/>
              <w:rPr>
                <w:rFonts w:cs="Times New Roman"/>
                <w:kern w:val="0"/>
                <w:szCs w:val="21"/>
              </w:rPr>
            </w:pPr>
          </w:p>
        </w:tc>
        <w:tc>
          <w:tcPr>
            <w:tcW w:w="565" w:type="pct"/>
            <w:shd w:val="clear" w:color="auto" w:fill="auto"/>
            <w:vAlign w:val="center"/>
          </w:tcPr>
          <w:p w14:paraId="0E9D8821" w14:textId="77777777" w:rsidR="007D1E74" w:rsidRDefault="007D1E74">
            <w:pPr>
              <w:widowControl/>
              <w:jc w:val="center"/>
              <w:rPr>
                <w:rFonts w:cs="Times New Roman"/>
                <w:kern w:val="0"/>
                <w:szCs w:val="21"/>
              </w:rPr>
            </w:pPr>
          </w:p>
        </w:tc>
        <w:tc>
          <w:tcPr>
            <w:tcW w:w="563" w:type="pct"/>
            <w:shd w:val="clear" w:color="auto" w:fill="auto"/>
            <w:vAlign w:val="center"/>
          </w:tcPr>
          <w:p w14:paraId="4C7C1A34" w14:textId="77777777" w:rsidR="007D1E74" w:rsidRDefault="007D1E74">
            <w:pPr>
              <w:widowControl/>
              <w:jc w:val="center"/>
              <w:rPr>
                <w:rFonts w:cs="Times New Roman"/>
                <w:kern w:val="0"/>
                <w:szCs w:val="21"/>
              </w:rPr>
            </w:pPr>
          </w:p>
        </w:tc>
      </w:tr>
      <w:tr w:rsidR="007D1E74" w14:paraId="0B2DD619" w14:textId="77777777">
        <w:tc>
          <w:tcPr>
            <w:tcW w:w="2742" w:type="pct"/>
            <w:shd w:val="clear" w:color="auto" w:fill="auto"/>
            <w:vAlign w:val="center"/>
          </w:tcPr>
          <w:p w14:paraId="12B74BB9"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53</w:t>
            </w:r>
            <w:r>
              <w:rPr>
                <w:rFonts w:ascii="宋体" w:hAnsi="宋体" w:cs="宋体" w:hint="eastAsia"/>
                <w:kern w:val="0"/>
                <w:szCs w:val="21"/>
              </w:rPr>
              <w:t>）普通黄丝藻</w:t>
            </w:r>
            <w:r>
              <w:rPr>
                <w:rFonts w:cs="Times New Roman"/>
                <w:i/>
                <w:iCs/>
                <w:kern w:val="0"/>
                <w:szCs w:val="21"/>
              </w:rPr>
              <w:t>T. vulgare</w:t>
            </w:r>
          </w:p>
        </w:tc>
        <w:tc>
          <w:tcPr>
            <w:tcW w:w="565" w:type="pct"/>
            <w:shd w:val="clear" w:color="auto" w:fill="auto"/>
            <w:vAlign w:val="center"/>
          </w:tcPr>
          <w:p w14:paraId="1CE0B966"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74353294" w14:textId="77777777" w:rsidR="007D1E74" w:rsidRDefault="007D1E74">
            <w:pPr>
              <w:widowControl/>
              <w:jc w:val="center"/>
              <w:rPr>
                <w:rFonts w:cs="Times New Roman"/>
                <w:kern w:val="0"/>
                <w:szCs w:val="21"/>
              </w:rPr>
            </w:pPr>
          </w:p>
        </w:tc>
        <w:tc>
          <w:tcPr>
            <w:tcW w:w="565" w:type="pct"/>
            <w:shd w:val="clear" w:color="auto" w:fill="auto"/>
            <w:vAlign w:val="center"/>
          </w:tcPr>
          <w:p w14:paraId="37E23E45" w14:textId="77777777" w:rsidR="007D1E74" w:rsidRDefault="007D1E74">
            <w:pPr>
              <w:widowControl/>
              <w:jc w:val="center"/>
              <w:rPr>
                <w:rFonts w:cs="Times New Roman"/>
                <w:kern w:val="0"/>
                <w:szCs w:val="21"/>
              </w:rPr>
            </w:pPr>
          </w:p>
        </w:tc>
        <w:tc>
          <w:tcPr>
            <w:tcW w:w="563" w:type="pct"/>
            <w:shd w:val="clear" w:color="auto" w:fill="auto"/>
            <w:vAlign w:val="center"/>
          </w:tcPr>
          <w:p w14:paraId="7D7BA31F" w14:textId="77777777" w:rsidR="007D1E74" w:rsidRDefault="007D1E74">
            <w:pPr>
              <w:widowControl/>
              <w:jc w:val="center"/>
              <w:rPr>
                <w:rFonts w:cs="Times New Roman"/>
                <w:kern w:val="0"/>
                <w:szCs w:val="21"/>
              </w:rPr>
            </w:pPr>
          </w:p>
        </w:tc>
      </w:tr>
      <w:tr w:rsidR="007D1E74" w14:paraId="1DC858C6" w14:textId="77777777">
        <w:tc>
          <w:tcPr>
            <w:tcW w:w="2742" w:type="pct"/>
            <w:shd w:val="clear" w:color="auto" w:fill="auto"/>
            <w:vAlign w:val="center"/>
          </w:tcPr>
          <w:p w14:paraId="787B3E0B" w14:textId="77777777" w:rsidR="007D1E74" w:rsidRDefault="00A95641">
            <w:pPr>
              <w:widowControl/>
              <w:rPr>
                <w:rFonts w:ascii="宋体" w:hAnsi="宋体" w:cs="宋体"/>
                <w:kern w:val="0"/>
                <w:szCs w:val="21"/>
              </w:rPr>
            </w:pPr>
            <w:r>
              <w:rPr>
                <w:rFonts w:ascii="宋体" w:hAnsi="宋体" w:cs="宋体" w:hint="eastAsia"/>
                <w:kern w:val="0"/>
                <w:szCs w:val="21"/>
              </w:rPr>
              <w:t>六、隐藻门</w:t>
            </w:r>
            <w:r>
              <w:rPr>
                <w:rFonts w:cs="Times New Roman"/>
                <w:kern w:val="0"/>
                <w:szCs w:val="21"/>
              </w:rPr>
              <w:t xml:space="preserve"> Cryptophyta</w:t>
            </w:r>
          </w:p>
        </w:tc>
        <w:tc>
          <w:tcPr>
            <w:tcW w:w="565" w:type="pct"/>
            <w:shd w:val="clear" w:color="auto" w:fill="auto"/>
            <w:vAlign w:val="center"/>
          </w:tcPr>
          <w:p w14:paraId="2B081858" w14:textId="77777777" w:rsidR="007D1E74" w:rsidRDefault="007D1E74">
            <w:pPr>
              <w:widowControl/>
              <w:jc w:val="center"/>
              <w:rPr>
                <w:rFonts w:cs="Times New Roman"/>
                <w:kern w:val="0"/>
                <w:szCs w:val="21"/>
              </w:rPr>
            </w:pPr>
          </w:p>
        </w:tc>
        <w:tc>
          <w:tcPr>
            <w:tcW w:w="565" w:type="pct"/>
            <w:shd w:val="clear" w:color="auto" w:fill="auto"/>
            <w:vAlign w:val="center"/>
          </w:tcPr>
          <w:p w14:paraId="709AB49E" w14:textId="77777777" w:rsidR="007D1E74" w:rsidRDefault="007D1E74">
            <w:pPr>
              <w:widowControl/>
              <w:jc w:val="center"/>
              <w:rPr>
                <w:rFonts w:cs="Times New Roman"/>
                <w:kern w:val="0"/>
                <w:szCs w:val="21"/>
              </w:rPr>
            </w:pPr>
          </w:p>
        </w:tc>
        <w:tc>
          <w:tcPr>
            <w:tcW w:w="565" w:type="pct"/>
            <w:shd w:val="clear" w:color="auto" w:fill="auto"/>
            <w:vAlign w:val="center"/>
          </w:tcPr>
          <w:p w14:paraId="7A100AA1" w14:textId="77777777" w:rsidR="007D1E74" w:rsidRDefault="007D1E74">
            <w:pPr>
              <w:widowControl/>
              <w:jc w:val="center"/>
              <w:rPr>
                <w:rFonts w:cs="Times New Roman"/>
                <w:kern w:val="0"/>
                <w:szCs w:val="21"/>
              </w:rPr>
            </w:pPr>
          </w:p>
        </w:tc>
        <w:tc>
          <w:tcPr>
            <w:tcW w:w="563" w:type="pct"/>
            <w:shd w:val="clear" w:color="auto" w:fill="auto"/>
            <w:vAlign w:val="center"/>
          </w:tcPr>
          <w:p w14:paraId="5474BECB" w14:textId="77777777" w:rsidR="007D1E74" w:rsidRDefault="007D1E74">
            <w:pPr>
              <w:widowControl/>
              <w:jc w:val="center"/>
              <w:rPr>
                <w:rFonts w:cs="Times New Roman"/>
                <w:kern w:val="0"/>
                <w:szCs w:val="21"/>
              </w:rPr>
            </w:pPr>
          </w:p>
        </w:tc>
      </w:tr>
      <w:tr w:rsidR="007D1E74" w14:paraId="3D0144F3" w14:textId="77777777">
        <w:tc>
          <w:tcPr>
            <w:tcW w:w="2742" w:type="pct"/>
            <w:shd w:val="clear" w:color="auto" w:fill="auto"/>
            <w:vAlign w:val="center"/>
          </w:tcPr>
          <w:p w14:paraId="2A027468" w14:textId="77777777" w:rsidR="007D1E74" w:rsidRDefault="00A95641">
            <w:pPr>
              <w:widowControl/>
              <w:rPr>
                <w:rFonts w:ascii="宋体" w:hAnsi="宋体" w:cs="宋体"/>
                <w:kern w:val="0"/>
                <w:szCs w:val="21"/>
              </w:rPr>
            </w:pPr>
            <w:r>
              <w:rPr>
                <w:rFonts w:ascii="宋体" w:hAnsi="宋体" w:cs="宋体" w:hint="eastAsia"/>
                <w:kern w:val="0"/>
                <w:szCs w:val="21"/>
              </w:rPr>
              <w:t>（二十）隐鞭藻科</w:t>
            </w:r>
            <w:r>
              <w:rPr>
                <w:rFonts w:cs="Times New Roman"/>
                <w:kern w:val="0"/>
                <w:szCs w:val="21"/>
              </w:rPr>
              <w:t xml:space="preserve"> Cryptomonadaceae</w:t>
            </w:r>
          </w:p>
        </w:tc>
        <w:tc>
          <w:tcPr>
            <w:tcW w:w="565" w:type="pct"/>
            <w:shd w:val="clear" w:color="auto" w:fill="auto"/>
            <w:vAlign w:val="center"/>
          </w:tcPr>
          <w:p w14:paraId="3B387068" w14:textId="77777777" w:rsidR="007D1E74" w:rsidRDefault="007D1E74">
            <w:pPr>
              <w:widowControl/>
              <w:jc w:val="center"/>
              <w:rPr>
                <w:rFonts w:cs="Times New Roman"/>
                <w:kern w:val="0"/>
                <w:szCs w:val="21"/>
              </w:rPr>
            </w:pPr>
          </w:p>
        </w:tc>
        <w:tc>
          <w:tcPr>
            <w:tcW w:w="565" w:type="pct"/>
            <w:shd w:val="clear" w:color="auto" w:fill="auto"/>
            <w:vAlign w:val="center"/>
          </w:tcPr>
          <w:p w14:paraId="7F3D0937" w14:textId="77777777" w:rsidR="007D1E74" w:rsidRDefault="007D1E74">
            <w:pPr>
              <w:widowControl/>
              <w:jc w:val="center"/>
              <w:rPr>
                <w:rFonts w:cs="Times New Roman"/>
                <w:kern w:val="0"/>
                <w:szCs w:val="21"/>
              </w:rPr>
            </w:pPr>
          </w:p>
        </w:tc>
        <w:tc>
          <w:tcPr>
            <w:tcW w:w="565" w:type="pct"/>
            <w:shd w:val="clear" w:color="auto" w:fill="auto"/>
            <w:vAlign w:val="center"/>
          </w:tcPr>
          <w:p w14:paraId="63976F1A" w14:textId="77777777" w:rsidR="007D1E74" w:rsidRDefault="007D1E74">
            <w:pPr>
              <w:widowControl/>
              <w:jc w:val="center"/>
              <w:rPr>
                <w:rFonts w:cs="Times New Roman"/>
                <w:kern w:val="0"/>
                <w:szCs w:val="21"/>
              </w:rPr>
            </w:pPr>
          </w:p>
        </w:tc>
        <w:tc>
          <w:tcPr>
            <w:tcW w:w="563" w:type="pct"/>
            <w:shd w:val="clear" w:color="auto" w:fill="auto"/>
            <w:vAlign w:val="center"/>
          </w:tcPr>
          <w:p w14:paraId="438E167B" w14:textId="77777777" w:rsidR="007D1E74" w:rsidRDefault="007D1E74">
            <w:pPr>
              <w:widowControl/>
              <w:jc w:val="center"/>
              <w:rPr>
                <w:rFonts w:cs="Times New Roman"/>
                <w:kern w:val="0"/>
                <w:szCs w:val="21"/>
              </w:rPr>
            </w:pPr>
          </w:p>
        </w:tc>
      </w:tr>
      <w:tr w:rsidR="007D1E74" w14:paraId="7D2A0816" w14:textId="77777777">
        <w:tc>
          <w:tcPr>
            <w:tcW w:w="2742" w:type="pct"/>
            <w:shd w:val="clear" w:color="auto" w:fill="auto"/>
            <w:vAlign w:val="center"/>
          </w:tcPr>
          <w:p w14:paraId="74BEF711" w14:textId="77777777" w:rsidR="007D1E74" w:rsidRDefault="00A95641">
            <w:pPr>
              <w:widowControl/>
              <w:rPr>
                <w:rFonts w:cs="Times New Roman"/>
                <w:kern w:val="0"/>
                <w:szCs w:val="21"/>
              </w:rPr>
            </w:pPr>
            <w:r>
              <w:rPr>
                <w:rFonts w:cs="Times New Roman"/>
                <w:kern w:val="0"/>
                <w:szCs w:val="21"/>
              </w:rPr>
              <w:t>27.</w:t>
            </w:r>
            <w:r>
              <w:rPr>
                <w:rFonts w:ascii="宋体" w:hAnsi="宋体" w:cs="Times New Roman" w:hint="eastAsia"/>
                <w:kern w:val="0"/>
                <w:szCs w:val="21"/>
              </w:rPr>
              <w:t>隐藻属</w:t>
            </w:r>
            <w:r>
              <w:rPr>
                <w:rFonts w:cs="Times New Roman"/>
                <w:kern w:val="0"/>
                <w:szCs w:val="21"/>
              </w:rPr>
              <w:t xml:space="preserve"> </w:t>
            </w:r>
            <w:r>
              <w:rPr>
                <w:rFonts w:cs="Times New Roman"/>
                <w:i/>
                <w:iCs/>
                <w:kern w:val="0"/>
                <w:szCs w:val="21"/>
              </w:rPr>
              <w:t>Cryptomonas</w:t>
            </w:r>
          </w:p>
        </w:tc>
        <w:tc>
          <w:tcPr>
            <w:tcW w:w="565" w:type="pct"/>
            <w:shd w:val="clear" w:color="auto" w:fill="auto"/>
            <w:vAlign w:val="center"/>
          </w:tcPr>
          <w:p w14:paraId="5D192A61" w14:textId="77777777" w:rsidR="007D1E74" w:rsidRDefault="007D1E74">
            <w:pPr>
              <w:widowControl/>
              <w:jc w:val="center"/>
              <w:rPr>
                <w:rFonts w:cs="Times New Roman"/>
                <w:kern w:val="0"/>
                <w:szCs w:val="21"/>
              </w:rPr>
            </w:pPr>
          </w:p>
        </w:tc>
        <w:tc>
          <w:tcPr>
            <w:tcW w:w="565" w:type="pct"/>
            <w:shd w:val="clear" w:color="auto" w:fill="auto"/>
            <w:vAlign w:val="center"/>
          </w:tcPr>
          <w:p w14:paraId="297BB7F6" w14:textId="77777777" w:rsidR="007D1E74" w:rsidRDefault="007D1E74">
            <w:pPr>
              <w:widowControl/>
              <w:jc w:val="center"/>
              <w:rPr>
                <w:rFonts w:cs="Times New Roman"/>
                <w:kern w:val="0"/>
                <w:szCs w:val="21"/>
              </w:rPr>
            </w:pPr>
          </w:p>
        </w:tc>
        <w:tc>
          <w:tcPr>
            <w:tcW w:w="565" w:type="pct"/>
            <w:shd w:val="clear" w:color="auto" w:fill="auto"/>
            <w:vAlign w:val="center"/>
          </w:tcPr>
          <w:p w14:paraId="0A4D215A" w14:textId="77777777" w:rsidR="007D1E74" w:rsidRDefault="007D1E74">
            <w:pPr>
              <w:widowControl/>
              <w:jc w:val="center"/>
              <w:rPr>
                <w:rFonts w:cs="Times New Roman"/>
                <w:kern w:val="0"/>
                <w:szCs w:val="21"/>
              </w:rPr>
            </w:pPr>
          </w:p>
        </w:tc>
        <w:tc>
          <w:tcPr>
            <w:tcW w:w="563" w:type="pct"/>
            <w:shd w:val="clear" w:color="auto" w:fill="auto"/>
            <w:vAlign w:val="center"/>
          </w:tcPr>
          <w:p w14:paraId="4C052A06" w14:textId="77777777" w:rsidR="007D1E74" w:rsidRDefault="007D1E74">
            <w:pPr>
              <w:widowControl/>
              <w:jc w:val="center"/>
              <w:rPr>
                <w:rFonts w:cs="Times New Roman"/>
                <w:kern w:val="0"/>
                <w:szCs w:val="21"/>
              </w:rPr>
            </w:pPr>
          </w:p>
        </w:tc>
      </w:tr>
      <w:tr w:rsidR="007D1E74" w14:paraId="075BEE9E" w14:textId="77777777">
        <w:tc>
          <w:tcPr>
            <w:tcW w:w="2742" w:type="pct"/>
            <w:shd w:val="clear" w:color="auto" w:fill="auto"/>
            <w:vAlign w:val="center"/>
          </w:tcPr>
          <w:p w14:paraId="50852103" w14:textId="77777777" w:rsidR="007D1E74" w:rsidRDefault="00A95641">
            <w:pPr>
              <w:widowControl/>
              <w:rPr>
                <w:rFonts w:ascii="宋体" w:hAnsi="宋体" w:cs="宋体"/>
                <w:kern w:val="0"/>
                <w:szCs w:val="21"/>
              </w:rPr>
            </w:pPr>
            <w:r>
              <w:rPr>
                <w:rFonts w:ascii="宋体" w:hAnsi="宋体" w:cs="宋体" w:hint="eastAsia"/>
                <w:kern w:val="0"/>
                <w:szCs w:val="21"/>
              </w:rPr>
              <w:t>（</w:t>
            </w:r>
            <w:r>
              <w:rPr>
                <w:rFonts w:cs="Times New Roman"/>
                <w:kern w:val="0"/>
                <w:szCs w:val="21"/>
              </w:rPr>
              <w:t>54</w:t>
            </w:r>
            <w:r>
              <w:rPr>
                <w:rFonts w:ascii="宋体" w:hAnsi="宋体" w:cs="宋体" w:hint="eastAsia"/>
                <w:kern w:val="0"/>
                <w:szCs w:val="21"/>
              </w:rPr>
              <w:t>）卵形隐藻</w:t>
            </w:r>
            <w:r>
              <w:rPr>
                <w:rFonts w:cs="Times New Roman"/>
                <w:kern w:val="0"/>
                <w:szCs w:val="21"/>
              </w:rPr>
              <w:t xml:space="preserve"> </w:t>
            </w:r>
            <w:r>
              <w:rPr>
                <w:rFonts w:cs="Times New Roman"/>
                <w:i/>
                <w:iCs/>
                <w:kern w:val="0"/>
                <w:szCs w:val="21"/>
              </w:rPr>
              <w:t>C. ovata</w:t>
            </w:r>
            <w:r>
              <w:rPr>
                <w:rFonts w:cs="Times New Roman"/>
                <w:kern w:val="0"/>
                <w:szCs w:val="21"/>
              </w:rPr>
              <w:t>r</w:t>
            </w:r>
          </w:p>
        </w:tc>
        <w:tc>
          <w:tcPr>
            <w:tcW w:w="565" w:type="pct"/>
            <w:shd w:val="clear" w:color="auto" w:fill="auto"/>
            <w:vAlign w:val="center"/>
          </w:tcPr>
          <w:p w14:paraId="1E505505" w14:textId="77777777" w:rsidR="007D1E74" w:rsidRDefault="007D1E74">
            <w:pPr>
              <w:widowControl/>
              <w:jc w:val="center"/>
              <w:rPr>
                <w:rFonts w:cs="Times New Roman"/>
                <w:kern w:val="0"/>
                <w:szCs w:val="21"/>
              </w:rPr>
            </w:pPr>
          </w:p>
        </w:tc>
        <w:tc>
          <w:tcPr>
            <w:tcW w:w="565" w:type="pct"/>
            <w:shd w:val="clear" w:color="auto" w:fill="auto"/>
            <w:vAlign w:val="center"/>
          </w:tcPr>
          <w:p w14:paraId="0ADA6DFF" w14:textId="77777777" w:rsidR="007D1E74" w:rsidRDefault="00A95641">
            <w:pPr>
              <w:widowControl/>
              <w:jc w:val="center"/>
              <w:rPr>
                <w:rFonts w:cs="Times New Roman"/>
                <w:kern w:val="0"/>
                <w:szCs w:val="21"/>
              </w:rPr>
            </w:pPr>
            <w:r>
              <w:rPr>
                <w:rFonts w:cs="Times New Roman"/>
                <w:kern w:val="0"/>
                <w:szCs w:val="21"/>
              </w:rPr>
              <w:t>-</w:t>
            </w:r>
          </w:p>
        </w:tc>
        <w:tc>
          <w:tcPr>
            <w:tcW w:w="565" w:type="pct"/>
            <w:shd w:val="clear" w:color="auto" w:fill="auto"/>
            <w:vAlign w:val="center"/>
          </w:tcPr>
          <w:p w14:paraId="78BA868E" w14:textId="77777777" w:rsidR="007D1E74" w:rsidRDefault="00A95641">
            <w:pPr>
              <w:widowControl/>
              <w:jc w:val="center"/>
              <w:rPr>
                <w:rFonts w:cs="Times New Roman"/>
                <w:kern w:val="0"/>
                <w:szCs w:val="21"/>
              </w:rPr>
            </w:pPr>
            <w:r>
              <w:rPr>
                <w:rFonts w:cs="Times New Roman"/>
                <w:kern w:val="0"/>
                <w:szCs w:val="21"/>
              </w:rPr>
              <w:t>-</w:t>
            </w:r>
          </w:p>
        </w:tc>
        <w:tc>
          <w:tcPr>
            <w:tcW w:w="563" w:type="pct"/>
            <w:shd w:val="clear" w:color="auto" w:fill="auto"/>
            <w:vAlign w:val="center"/>
          </w:tcPr>
          <w:p w14:paraId="26C8FB43" w14:textId="77777777" w:rsidR="007D1E74" w:rsidRDefault="007D1E74">
            <w:pPr>
              <w:widowControl/>
              <w:jc w:val="center"/>
              <w:rPr>
                <w:rFonts w:cs="Times New Roman"/>
                <w:kern w:val="0"/>
                <w:szCs w:val="21"/>
              </w:rPr>
            </w:pPr>
          </w:p>
        </w:tc>
      </w:tr>
      <w:tr w:rsidR="007D1E74" w14:paraId="1660B75A" w14:textId="77777777">
        <w:tc>
          <w:tcPr>
            <w:tcW w:w="5000" w:type="pct"/>
            <w:gridSpan w:val="5"/>
            <w:shd w:val="clear" w:color="auto" w:fill="auto"/>
            <w:vAlign w:val="center"/>
          </w:tcPr>
          <w:p w14:paraId="6CDDDC7E" w14:textId="77777777" w:rsidR="007D1E74" w:rsidRDefault="00A95641">
            <w:pPr>
              <w:widowControl/>
              <w:rPr>
                <w:rFonts w:cs="Times New Roman"/>
                <w:kern w:val="0"/>
                <w:szCs w:val="21"/>
              </w:rPr>
            </w:pPr>
            <w:r>
              <w:rPr>
                <w:rFonts w:cs="Times New Roman"/>
                <w:kern w:val="0"/>
                <w:szCs w:val="21"/>
              </w:rPr>
              <w:t>注：</w:t>
            </w:r>
            <w:r>
              <w:rPr>
                <w:rFonts w:cs="Times New Roman" w:hint="eastAsia"/>
                <w:kern w:val="0"/>
                <w:szCs w:val="21"/>
              </w:rPr>
              <w:t>“</w:t>
            </w:r>
            <w:r>
              <w:rPr>
                <w:rFonts w:cs="Times New Roman" w:hint="eastAsia"/>
                <w:kern w:val="0"/>
                <w:szCs w:val="21"/>
              </w:rPr>
              <w:t>+++</w:t>
            </w:r>
            <w:r>
              <w:rPr>
                <w:rFonts w:cs="Times New Roman" w:hint="eastAsia"/>
                <w:kern w:val="0"/>
                <w:szCs w:val="21"/>
              </w:rPr>
              <w:t>”表示很多、“</w:t>
            </w:r>
            <w:r>
              <w:rPr>
                <w:rFonts w:cs="Times New Roman" w:hint="eastAsia"/>
                <w:kern w:val="0"/>
                <w:szCs w:val="21"/>
              </w:rPr>
              <w:t>++</w:t>
            </w:r>
            <w:r>
              <w:rPr>
                <w:rFonts w:cs="Times New Roman" w:hint="eastAsia"/>
                <w:kern w:val="0"/>
                <w:szCs w:val="21"/>
              </w:rPr>
              <w:t>”表示较多、“﹢”表示一般、“﹣”表示较少。</w:t>
            </w:r>
          </w:p>
        </w:tc>
      </w:tr>
    </w:tbl>
    <w:p w14:paraId="1766A8A0" w14:textId="77777777" w:rsidR="007D1E74" w:rsidRDefault="00A95641">
      <w:pPr>
        <w:spacing w:line="360" w:lineRule="auto"/>
        <w:ind w:firstLineChars="200" w:firstLine="480"/>
        <w:rPr>
          <w:sz w:val="24"/>
          <w:szCs w:val="24"/>
        </w:rPr>
      </w:pPr>
      <w:r>
        <w:rPr>
          <w:rFonts w:hint="eastAsia"/>
          <w:sz w:val="24"/>
          <w:szCs w:val="24"/>
        </w:rPr>
        <w:t>本次采集的浮游植物中，硅藻门有</w:t>
      </w:r>
      <w:r>
        <w:rPr>
          <w:rFonts w:hint="eastAsia"/>
          <w:sz w:val="24"/>
          <w:szCs w:val="24"/>
        </w:rPr>
        <w:t>7</w:t>
      </w:r>
      <w:r>
        <w:rPr>
          <w:rFonts w:hint="eastAsia"/>
          <w:sz w:val="24"/>
          <w:szCs w:val="24"/>
        </w:rPr>
        <w:t>科</w:t>
      </w:r>
      <w:r>
        <w:rPr>
          <w:rFonts w:hint="eastAsia"/>
          <w:sz w:val="24"/>
          <w:szCs w:val="24"/>
        </w:rPr>
        <w:t>12</w:t>
      </w:r>
      <w:r>
        <w:rPr>
          <w:rFonts w:hint="eastAsia"/>
          <w:sz w:val="24"/>
          <w:szCs w:val="24"/>
        </w:rPr>
        <w:t>属</w:t>
      </w:r>
      <w:r>
        <w:rPr>
          <w:rFonts w:hint="eastAsia"/>
          <w:sz w:val="24"/>
          <w:szCs w:val="24"/>
        </w:rPr>
        <w:t>34</w:t>
      </w:r>
      <w:r>
        <w:rPr>
          <w:rFonts w:hint="eastAsia"/>
          <w:sz w:val="24"/>
          <w:szCs w:val="24"/>
        </w:rPr>
        <w:t>种，占浮游植物种数的</w:t>
      </w:r>
      <w:r>
        <w:rPr>
          <w:rFonts w:hint="eastAsia"/>
          <w:sz w:val="24"/>
          <w:szCs w:val="24"/>
        </w:rPr>
        <w:t>62.96%</w:t>
      </w:r>
      <w:r>
        <w:rPr>
          <w:rFonts w:hint="eastAsia"/>
          <w:sz w:val="24"/>
          <w:szCs w:val="24"/>
        </w:rPr>
        <w:t>；绿藻门</w:t>
      </w:r>
      <w:r>
        <w:rPr>
          <w:rFonts w:hint="eastAsia"/>
          <w:sz w:val="24"/>
          <w:szCs w:val="24"/>
        </w:rPr>
        <w:t>8</w:t>
      </w:r>
      <w:r>
        <w:rPr>
          <w:rFonts w:hint="eastAsia"/>
          <w:sz w:val="24"/>
          <w:szCs w:val="24"/>
        </w:rPr>
        <w:t>科</w:t>
      </w:r>
      <w:r>
        <w:rPr>
          <w:rFonts w:hint="eastAsia"/>
          <w:sz w:val="24"/>
          <w:szCs w:val="24"/>
        </w:rPr>
        <w:t>9</w:t>
      </w:r>
      <w:r>
        <w:rPr>
          <w:rFonts w:hint="eastAsia"/>
          <w:sz w:val="24"/>
          <w:szCs w:val="24"/>
        </w:rPr>
        <w:t>属</w:t>
      </w:r>
      <w:r>
        <w:rPr>
          <w:rFonts w:hint="eastAsia"/>
          <w:sz w:val="24"/>
          <w:szCs w:val="24"/>
        </w:rPr>
        <w:t>14</w:t>
      </w:r>
      <w:r>
        <w:rPr>
          <w:rFonts w:hint="eastAsia"/>
          <w:sz w:val="24"/>
          <w:szCs w:val="24"/>
        </w:rPr>
        <w:t>种，占浮游植物种数的</w:t>
      </w:r>
      <w:r>
        <w:rPr>
          <w:rFonts w:hint="eastAsia"/>
          <w:sz w:val="24"/>
          <w:szCs w:val="24"/>
        </w:rPr>
        <w:t>25.94%</w:t>
      </w:r>
      <w:r>
        <w:rPr>
          <w:rFonts w:hint="eastAsia"/>
          <w:sz w:val="24"/>
          <w:szCs w:val="24"/>
        </w:rPr>
        <w:t>；蓝藻门</w:t>
      </w:r>
      <w:r>
        <w:rPr>
          <w:rFonts w:hint="eastAsia"/>
          <w:sz w:val="24"/>
          <w:szCs w:val="24"/>
        </w:rPr>
        <w:t>2</w:t>
      </w:r>
      <w:r>
        <w:rPr>
          <w:rFonts w:hint="eastAsia"/>
          <w:sz w:val="24"/>
          <w:szCs w:val="24"/>
        </w:rPr>
        <w:t>科</w:t>
      </w:r>
      <w:r>
        <w:rPr>
          <w:rFonts w:hint="eastAsia"/>
          <w:sz w:val="24"/>
          <w:szCs w:val="24"/>
        </w:rPr>
        <w:t>3</w:t>
      </w:r>
      <w:r>
        <w:rPr>
          <w:rFonts w:hint="eastAsia"/>
          <w:sz w:val="24"/>
          <w:szCs w:val="24"/>
        </w:rPr>
        <w:t>属</w:t>
      </w:r>
      <w:r>
        <w:rPr>
          <w:rFonts w:hint="eastAsia"/>
          <w:sz w:val="24"/>
          <w:szCs w:val="24"/>
        </w:rPr>
        <w:t>3</w:t>
      </w:r>
      <w:r>
        <w:rPr>
          <w:rFonts w:hint="eastAsia"/>
          <w:sz w:val="24"/>
          <w:szCs w:val="24"/>
        </w:rPr>
        <w:t>种，占浮游植物种数的</w:t>
      </w:r>
      <w:r>
        <w:rPr>
          <w:rFonts w:hint="eastAsia"/>
          <w:sz w:val="24"/>
          <w:szCs w:val="24"/>
        </w:rPr>
        <w:t>5.55%</w:t>
      </w:r>
      <w:r>
        <w:rPr>
          <w:rFonts w:hint="eastAsia"/>
          <w:sz w:val="24"/>
          <w:szCs w:val="24"/>
        </w:rPr>
        <w:t>；甲藻门、隐藻门和黄藻门均为</w:t>
      </w:r>
      <w:r>
        <w:rPr>
          <w:rFonts w:hint="eastAsia"/>
          <w:sz w:val="24"/>
          <w:szCs w:val="24"/>
        </w:rPr>
        <w:t>1</w:t>
      </w:r>
      <w:r>
        <w:rPr>
          <w:rFonts w:hint="eastAsia"/>
          <w:sz w:val="24"/>
          <w:szCs w:val="24"/>
        </w:rPr>
        <w:t>科</w:t>
      </w:r>
      <w:r>
        <w:rPr>
          <w:rFonts w:hint="eastAsia"/>
          <w:sz w:val="24"/>
          <w:szCs w:val="24"/>
        </w:rPr>
        <w:t>1</w:t>
      </w:r>
      <w:r>
        <w:rPr>
          <w:rFonts w:hint="eastAsia"/>
          <w:sz w:val="24"/>
          <w:szCs w:val="24"/>
        </w:rPr>
        <w:t>属</w:t>
      </w:r>
      <w:r>
        <w:rPr>
          <w:rFonts w:hint="eastAsia"/>
          <w:sz w:val="24"/>
          <w:szCs w:val="24"/>
        </w:rPr>
        <w:t>1</w:t>
      </w:r>
      <w:r>
        <w:rPr>
          <w:rFonts w:hint="eastAsia"/>
          <w:sz w:val="24"/>
          <w:szCs w:val="24"/>
        </w:rPr>
        <w:t>种，分别占浮游植物种数的</w:t>
      </w:r>
      <w:r>
        <w:rPr>
          <w:rFonts w:hint="eastAsia"/>
          <w:sz w:val="24"/>
          <w:szCs w:val="24"/>
        </w:rPr>
        <w:t>1.85%</w:t>
      </w:r>
      <w:r>
        <w:rPr>
          <w:rFonts w:hint="eastAsia"/>
          <w:sz w:val="24"/>
          <w:szCs w:val="24"/>
        </w:rPr>
        <w:t>。</w:t>
      </w:r>
    </w:p>
    <w:p w14:paraId="585FCD0D" w14:textId="77777777" w:rsidR="007D1E74" w:rsidRDefault="00A95641">
      <w:pPr>
        <w:pStyle w:val="afffffe"/>
        <w:numPr>
          <w:ilvl w:val="0"/>
          <w:numId w:val="43"/>
        </w:numPr>
        <w:spacing w:line="360" w:lineRule="auto"/>
        <w:ind w:firstLineChars="0"/>
        <w:jc w:val="center"/>
        <w:rPr>
          <w:rFonts w:eastAsia="黑体" w:cs="Times New Roman"/>
          <w:szCs w:val="21"/>
        </w:rPr>
      </w:pPr>
      <w:r>
        <w:rPr>
          <w:rFonts w:eastAsia="黑体" w:cs="Times New Roman" w:hint="eastAsia"/>
          <w:szCs w:val="21"/>
        </w:rPr>
        <w:t>调查水域浮游植物种类组成</w:t>
      </w:r>
    </w:p>
    <w:tbl>
      <w:tblPr>
        <w:tblStyle w:val="affffc"/>
        <w:tblW w:w="0" w:type="auto"/>
        <w:tblLook w:val="04A0" w:firstRow="1" w:lastRow="0" w:firstColumn="1" w:lastColumn="0" w:noHBand="0" w:noVBand="1"/>
      </w:tblPr>
      <w:tblGrid>
        <w:gridCol w:w="2634"/>
        <w:gridCol w:w="1502"/>
        <w:gridCol w:w="1502"/>
        <w:gridCol w:w="1502"/>
        <w:gridCol w:w="1876"/>
      </w:tblGrid>
      <w:tr w:rsidR="007D1E74" w14:paraId="24B2750A" w14:textId="77777777">
        <w:tc>
          <w:tcPr>
            <w:tcW w:w="2689" w:type="dxa"/>
            <w:vAlign w:val="center"/>
          </w:tcPr>
          <w:p w14:paraId="6E4A5E23" w14:textId="77777777" w:rsidR="007D1E74" w:rsidRDefault="00A95641">
            <w:pPr>
              <w:jc w:val="center"/>
              <w:rPr>
                <w:szCs w:val="21"/>
              </w:rPr>
            </w:pPr>
            <w:r>
              <w:rPr>
                <w:rFonts w:hint="eastAsia"/>
                <w:bCs/>
                <w:szCs w:val="21"/>
              </w:rPr>
              <w:t>门类</w:t>
            </w:r>
          </w:p>
        </w:tc>
        <w:tc>
          <w:tcPr>
            <w:tcW w:w="1559" w:type="dxa"/>
            <w:vAlign w:val="center"/>
          </w:tcPr>
          <w:p w14:paraId="360A4C91" w14:textId="77777777" w:rsidR="007D1E74" w:rsidRDefault="00A95641">
            <w:pPr>
              <w:jc w:val="center"/>
              <w:rPr>
                <w:szCs w:val="21"/>
              </w:rPr>
            </w:pPr>
            <w:r>
              <w:rPr>
                <w:rFonts w:hint="eastAsia"/>
                <w:bCs/>
                <w:szCs w:val="21"/>
              </w:rPr>
              <w:t>科数</w:t>
            </w:r>
          </w:p>
        </w:tc>
        <w:tc>
          <w:tcPr>
            <w:tcW w:w="1559" w:type="dxa"/>
            <w:vAlign w:val="center"/>
          </w:tcPr>
          <w:p w14:paraId="44282739" w14:textId="77777777" w:rsidR="007D1E74" w:rsidRDefault="00A95641">
            <w:pPr>
              <w:jc w:val="center"/>
              <w:rPr>
                <w:szCs w:val="21"/>
              </w:rPr>
            </w:pPr>
            <w:r>
              <w:rPr>
                <w:rFonts w:hint="eastAsia"/>
                <w:bCs/>
                <w:szCs w:val="21"/>
              </w:rPr>
              <w:t>属数</w:t>
            </w:r>
          </w:p>
        </w:tc>
        <w:tc>
          <w:tcPr>
            <w:tcW w:w="1559" w:type="dxa"/>
            <w:vAlign w:val="center"/>
          </w:tcPr>
          <w:p w14:paraId="537599A9" w14:textId="77777777" w:rsidR="007D1E74" w:rsidRDefault="00A95641">
            <w:pPr>
              <w:jc w:val="center"/>
              <w:rPr>
                <w:szCs w:val="21"/>
              </w:rPr>
            </w:pPr>
            <w:r>
              <w:rPr>
                <w:rFonts w:hint="eastAsia"/>
                <w:bCs/>
                <w:szCs w:val="21"/>
              </w:rPr>
              <w:t>种数</w:t>
            </w:r>
          </w:p>
        </w:tc>
        <w:tc>
          <w:tcPr>
            <w:tcW w:w="1933" w:type="dxa"/>
            <w:vAlign w:val="center"/>
          </w:tcPr>
          <w:p w14:paraId="6194CE12" w14:textId="77777777" w:rsidR="007D1E74" w:rsidRDefault="00A95641">
            <w:pPr>
              <w:jc w:val="center"/>
              <w:rPr>
                <w:szCs w:val="21"/>
              </w:rPr>
            </w:pPr>
            <w:r>
              <w:rPr>
                <w:rFonts w:hint="eastAsia"/>
                <w:bCs/>
                <w:szCs w:val="21"/>
              </w:rPr>
              <w:t>种数百分比（</w:t>
            </w:r>
            <w:r>
              <w:rPr>
                <w:rFonts w:cs="Times New Roman"/>
                <w:bCs/>
                <w:szCs w:val="21"/>
              </w:rPr>
              <w:t>%</w:t>
            </w:r>
            <w:r>
              <w:rPr>
                <w:rFonts w:hint="eastAsia"/>
                <w:bCs/>
                <w:szCs w:val="21"/>
              </w:rPr>
              <w:t>）</w:t>
            </w:r>
          </w:p>
        </w:tc>
      </w:tr>
      <w:tr w:rsidR="007D1E74" w14:paraId="5759FA95" w14:textId="77777777">
        <w:tc>
          <w:tcPr>
            <w:tcW w:w="2689" w:type="dxa"/>
            <w:vAlign w:val="center"/>
          </w:tcPr>
          <w:p w14:paraId="6D40B4B5" w14:textId="77777777" w:rsidR="007D1E74" w:rsidRDefault="00A95641">
            <w:pPr>
              <w:jc w:val="center"/>
              <w:rPr>
                <w:szCs w:val="21"/>
              </w:rPr>
            </w:pPr>
            <w:r>
              <w:rPr>
                <w:rFonts w:hint="eastAsia"/>
                <w:szCs w:val="21"/>
              </w:rPr>
              <w:t>硅藻门</w:t>
            </w:r>
            <w:r>
              <w:rPr>
                <w:rFonts w:cs="Times New Roman"/>
                <w:i/>
                <w:szCs w:val="21"/>
              </w:rPr>
              <w:t>Bacillariophyta</w:t>
            </w:r>
          </w:p>
        </w:tc>
        <w:tc>
          <w:tcPr>
            <w:tcW w:w="1559" w:type="dxa"/>
            <w:vAlign w:val="center"/>
          </w:tcPr>
          <w:p w14:paraId="666166CF" w14:textId="77777777" w:rsidR="007D1E74" w:rsidRDefault="00A95641">
            <w:pPr>
              <w:jc w:val="center"/>
              <w:rPr>
                <w:szCs w:val="21"/>
              </w:rPr>
            </w:pPr>
            <w:r>
              <w:rPr>
                <w:rFonts w:cs="Times New Roman"/>
                <w:szCs w:val="21"/>
              </w:rPr>
              <w:t>7</w:t>
            </w:r>
          </w:p>
        </w:tc>
        <w:tc>
          <w:tcPr>
            <w:tcW w:w="1559" w:type="dxa"/>
            <w:vAlign w:val="center"/>
          </w:tcPr>
          <w:p w14:paraId="41B1F222" w14:textId="77777777" w:rsidR="007D1E74" w:rsidRDefault="00A95641">
            <w:pPr>
              <w:jc w:val="center"/>
              <w:rPr>
                <w:szCs w:val="21"/>
              </w:rPr>
            </w:pPr>
            <w:r>
              <w:rPr>
                <w:rFonts w:cs="Times New Roman"/>
                <w:szCs w:val="21"/>
              </w:rPr>
              <w:t>12</w:t>
            </w:r>
          </w:p>
        </w:tc>
        <w:tc>
          <w:tcPr>
            <w:tcW w:w="1559" w:type="dxa"/>
            <w:vAlign w:val="center"/>
          </w:tcPr>
          <w:p w14:paraId="62A2E182" w14:textId="77777777" w:rsidR="007D1E74" w:rsidRDefault="00A95641">
            <w:pPr>
              <w:jc w:val="center"/>
              <w:rPr>
                <w:szCs w:val="21"/>
              </w:rPr>
            </w:pPr>
            <w:r>
              <w:rPr>
                <w:rFonts w:cs="Times New Roman"/>
                <w:szCs w:val="21"/>
              </w:rPr>
              <w:t>34</w:t>
            </w:r>
          </w:p>
        </w:tc>
        <w:tc>
          <w:tcPr>
            <w:tcW w:w="1933" w:type="dxa"/>
            <w:vAlign w:val="center"/>
          </w:tcPr>
          <w:p w14:paraId="1DB22C4B" w14:textId="77777777" w:rsidR="007D1E74" w:rsidRDefault="00A95641">
            <w:pPr>
              <w:jc w:val="center"/>
              <w:rPr>
                <w:szCs w:val="21"/>
              </w:rPr>
            </w:pPr>
            <w:r>
              <w:rPr>
                <w:rFonts w:cs="Times New Roman"/>
                <w:szCs w:val="21"/>
              </w:rPr>
              <w:t>62.96</w:t>
            </w:r>
          </w:p>
        </w:tc>
      </w:tr>
      <w:tr w:rsidR="007D1E74" w14:paraId="1E0D52E4" w14:textId="77777777">
        <w:tc>
          <w:tcPr>
            <w:tcW w:w="2689" w:type="dxa"/>
            <w:vAlign w:val="center"/>
          </w:tcPr>
          <w:p w14:paraId="31EF0EF4" w14:textId="77777777" w:rsidR="007D1E74" w:rsidRDefault="00A95641">
            <w:pPr>
              <w:jc w:val="center"/>
              <w:rPr>
                <w:szCs w:val="21"/>
              </w:rPr>
            </w:pPr>
            <w:r>
              <w:rPr>
                <w:rFonts w:hint="eastAsia"/>
                <w:szCs w:val="21"/>
              </w:rPr>
              <w:t>绿藻门</w:t>
            </w:r>
            <w:r>
              <w:rPr>
                <w:rFonts w:cs="Times New Roman"/>
                <w:i/>
                <w:szCs w:val="21"/>
              </w:rPr>
              <w:t>Chlorophyta</w:t>
            </w:r>
          </w:p>
        </w:tc>
        <w:tc>
          <w:tcPr>
            <w:tcW w:w="1559" w:type="dxa"/>
            <w:vAlign w:val="center"/>
          </w:tcPr>
          <w:p w14:paraId="3B1D84E7" w14:textId="77777777" w:rsidR="007D1E74" w:rsidRDefault="00A95641">
            <w:pPr>
              <w:jc w:val="center"/>
              <w:rPr>
                <w:szCs w:val="21"/>
              </w:rPr>
            </w:pPr>
            <w:r>
              <w:rPr>
                <w:rFonts w:cs="Times New Roman"/>
                <w:szCs w:val="21"/>
              </w:rPr>
              <w:t>8</w:t>
            </w:r>
          </w:p>
        </w:tc>
        <w:tc>
          <w:tcPr>
            <w:tcW w:w="1559" w:type="dxa"/>
            <w:vAlign w:val="center"/>
          </w:tcPr>
          <w:p w14:paraId="768058B9" w14:textId="77777777" w:rsidR="007D1E74" w:rsidRDefault="00A95641">
            <w:pPr>
              <w:jc w:val="center"/>
              <w:rPr>
                <w:szCs w:val="21"/>
              </w:rPr>
            </w:pPr>
            <w:r>
              <w:rPr>
                <w:rFonts w:cs="Times New Roman"/>
                <w:szCs w:val="21"/>
              </w:rPr>
              <w:t>9</w:t>
            </w:r>
          </w:p>
        </w:tc>
        <w:tc>
          <w:tcPr>
            <w:tcW w:w="1559" w:type="dxa"/>
            <w:vAlign w:val="center"/>
          </w:tcPr>
          <w:p w14:paraId="34D8A400" w14:textId="77777777" w:rsidR="007D1E74" w:rsidRDefault="00A95641">
            <w:pPr>
              <w:jc w:val="center"/>
              <w:rPr>
                <w:szCs w:val="21"/>
              </w:rPr>
            </w:pPr>
            <w:r>
              <w:rPr>
                <w:rFonts w:cs="Times New Roman"/>
                <w:szCs w:val="21"/>
              </w:rPr>
              <w:t>14</w:t>
            </w:r>
          </w:p>
        </w:tc>
        <w:tc>
          <w:tcPr>
            <w:tcW w:w="1933" w:type="dxa"/>
            <w:vAlign w:val="center"/>
          </w:tcPr>
          <w:p w14:paraId="761851F6" w14:textId="77777777" w:rsidR="007D1E74" w:rsidRDefault="00A95641">
            <w:pPr>
              <w:jc w:val="center"/>
              <w:rPr>
                <w:szCs w:val="21"/>
              </w:rPr>
            </w:pPr>
            <w:r>
              <w:rPr>
                <w:rFonts w:cs="Times New Roman"/>
                <w:szCs w:val="21"/>
              </w:rPr>
              <w:t>25.94</w:t>
            </w:r>
          </w:p>
        </w:tc>
      </w:tr>
      <w:tr w:rsidR="007D1E74" w14:paraId="13615149" w14:textId="77777777">
        <w:tc>
          <w:tcPr>
            <w:tcW w:w="2689" w:type="dxa"/>
            <w:vAlign w:val="center"/>
          </w:tcPr>
          <w:p w14:paraId="0031A683" w14:textId="77777777" w:rsidR="007D1E74" w:rsidRDefault="00A95641">
            <w:pPr>
              <w:jc w:val="center"/>
              <w:rPr>
                <w:szCs w:val="21"/>
              </w:rPr>
            </w:pPr>
            <w:r>
              <w:rPr>
                <w:rFonts w:hint="eastAsia"/>
                <w:szCs w:val="21"/>
              </w:rPr>
              <w:t>蓝藻门</w:t>
            </w:r>
            <w:r>
              <w:rPr>
                <w:rFonts w:cs="Times New Roman"/>
                <w:i/>
                <w:szCs w:val="21"/>
              </w:rPr>
              <w:t>Chroococcaceae</w:t>
            </w:r>
          </w:p>
        </w:tc>
        <w:tc>
          <w:tcPr>
            <w:tcW w:w="1559" w:type="dxa"/>
            <w:vAlign w:val="center"/>
          </w:tcPr>
          <w:p w14:paraId="0BCD8D1D" w14:textId="77777777" w:rsidR="007D1E74" w:rsidRDefault="00A95641">
            <w:pPr>
              <w:jc w:val="center"/>
              <w:rPr>
                <w:szCs w:val="21"/>
              </w:rPr>
            </w:pPr>
            <w:r>
              <w:rPr>
                <w:rFonts w:cs="Times New Roman"/>
                <w:szCs w:val="21"/>
              </w:rPr>
              <w:t>2</w:t>
            </w:r>
          </w:p>
        </w:tc>
        <w:tc>
          <w:tcPr>
            <w:tcW w:w="1559" w:type="dxa"/>
            <w:vAlign w:val="center"/>
          </w:tcPr>
          <w:p w14:paraId="67AB5ABD" w14:textId="77777777" w:rsidR="007D1E74" w:rsidRDefault="00A95641">
            <w:pPr>
              <w:jc w:val="center"/>
              <w:rPr>
                <w:szCs w:val="21"/>
              </w:rPr>
            </w:pPr>
            <w:r>
              <w:rPr>
                <w:rFonts w:cs="Times New Roman"/>
                <w:szCs w:val="21"/>
              </w:rPr>
              <w:t>3</w:t>
            </w:r>
          </w:p>
        </w:tc>
        <w:tc>
          <w:tcPr>
            <w:tcW w:w="1559" w:type="dxa"/>
            <w:vAlign w:val="center"/>
          </w:tcPr>
          <w:p w14:paraId="33C4FEA3" w14:textId="77777777" w:rsidR="007D1E74" w:rsidRDefault="00A95641">
            <w:pPr>
              <w:jc w:val="center"/>
              <w:rPr>
                <w:szCs w:val="21"/>
              </w:rPr>
            </w:pPr>
            <w:r>
              <w:rPr>
                <w:rFonts w:cs="Times New Roman"/>
                <w:szCs w:val="21"/>
              </w:rPr>
              <w:t>3</w:t>
            </w:r>
          </w:p>
        </w:tc>
        <w:tc>
          <w:tcPr>
            <w:tcW w:w="1933" w:type="dxa"/>
            <w:vAlign w:val="center"/>
          </w:tcPr>
          <w:p w14:paraId="276972AE" w14:textId="77777777" w:rsidR="007D1E74" w:rsidRDefault="00A95641">
            <w:pPr>
              <w:jc w:val="center"/>
              <w:rPr>
                <w:szCs w:val="21"/>
              </w:rPr>
            </w:pPr>
            <w:r>
              <w:rPr>
                <w:rFonts w:cs="Times New Roman"/>
                <w:szCs w:val="21"/>
              </w:rPr>
              <w:t>5.55</w:t>
            </w:r>
          </w:p>
        </w:tc>
      </w:tr>
      <w:tr w:rsidR="007D1E74" w14:paraId="25D8B684" w14:textId="77777777">
        <w:tc>
          <w:tcPr>
            <w:tcW w:w="2689" w:type="dxa"/>
            <w:vAlign w:val="center"/>
          </w:tcPr>
          <w:p w14:paraId="1778095B" w14:textId="77777777" w:rsidR="007D1E74" w:rsidRDefault="00A95641">
            <w:pPr>
              <w:jc w:val="center"/>
              <w:rPr>
                <w:szCs w:val="21"/>
              </w:rPr>
            </w:pPr>
            <w:r>
              <w:rPr>
                <w:rFonts w:hint="eastAsia"/>
                <w:szCs w:val="21"/>
              </w:rPr>
              <w:t>甲藻门</w:t>
            </w:r>
            <w:r>
              <w:rPr>
                <w:rFonts w:cs="Times New Roman"/>
                <w:i/>
                <w:szCs w:val="21"/>
              </w:rPr>
              <w:t>Pyrrophyta</w:t>
            </w:r>
          </w:p>
        </w:tc>
        <w:tc>
          <w:tcPr>
            <w:tcW w:w="1559" w:type="dxa"/>
            <w:vAlign w:val="center"/>
          </w:tcPr>
          <w:p w14:paraId="730BA57F" w14:textId="77777777" w:rsidR="007D1E74" w:rsidRDefault="00A95641">
            <w:pPr>
              <w:jc w:val="center"/>
              <w:rPr>
                <w:szCs w:val="21"/>
              </w:rPr>
            </w:pPr>
            <w:r>
              <w:rPr>
                <w:rFonts w:cs="Times New Roman"/>
                <w:szCs w:val="21"/>
              </w:rPr>
              <w:t>1</w:t>
            </w:r>
          </w:p>
        </w:tc>
        <w:tc>
          <w:tcPr>
            <w:tcW w:w="1559" w:type="dxa"/>
            <w:vAlign w:val="center"/>
          </w:tcPr>
          <w:p w14:paraId="20D8F73E" w14:textId="77777777" w:rsidR="007D1E74" w:rsidRDefault="00A95641">
            <w:pPr>
              <w:jc w:val="center"/>
              <w:rPr>
                <w:szCs w:val="21"/>
              </w:rPr>
            </w:pPr>
            <w:r>
              <w:rPr>
                <w:rFonts w:cs="Times New Roman"/>
                <w:szCs w:val="21"/>
              </w:rPr>
              <w:t>1</w:t>
            </w:r>
          </w:p>
        </w:tc>
        <w:tc>
          <w:tcPr>
            <w:tcW w:w="1559" w:type="dxa"/>
            <w:vAlign w:val="center"/>
          </w:tcPr>
          <w:p w14:paraId="3E91D3F9" w14:textId="77777777" w:rsidR="007D1E74" w:rsidRDefault="00A95641">
            <w:pPr>
              <w:jc w:val="center"/>
              <w:rPr>
                <w:szCs w:val="21"/>
              </w:rPr>
            </w:pPr>
            <w:r>
              <w:rPr>
                <w:rFonts w:cs="Times New Roman"/>
                <w:szCs w:val="21"/>
              </w:rPr>
              <w:t>1</w:t>
            </w:r>
          </w:p>
        </w:tc>
        <w:tc>
          <w:tcPr>
            <w:tcW w:w="1933" w:type="dxa"/>
            <w:vAlign w:val="center"/>
          </w:tcPr>
          <w:p w14:paraId="7B7DD81C" w14:textId="77777777" w:rsidR="007D1E74" w:rsidRDefault="00A95641">
            <w:pPr>
              <w:jc w:val="center"/>
              <w:rPr>
                <w:szCs w:val="21"/>
              </w:rPr>
            </w:pPr>
            <w:r>
              <w:rPr>
                <w:rFonts w:cs="Times New Roman"/>
                <w:szCs w:val="21"/>
              </w:rPr>
              <w:t>1.85</w:t>
            </w:r>
          </w:p>
        </w:tc>
      </w:tr>
      <w:tr w:rsidR="007D1E74" w14:paraId="17D1878D" w14:textId="77777777">
        <w:tc>
          <w:tcPr>
            <w:tcW w:w="2689" w:type="dxa"/>
            <w:vAlign w:val="center"/>
          </w:tcPr>
          <w:p w14:paraId="05DEA1AD" w14:textId="77777777" w:rsidR="007D1E74" w:rsidRDefault="00A95641">
            <w:pPr>
              <w:jc w:val="center"/>
              <w:rPr>
                <w:szCs w:val="21"/>
              </w:rPr>
            </w:pPr>
            <w:r>
              <w:rPr>
                <w:rFonts w:hint="eastAsia"/>
                <w:szCs w:val="21"/>
              </w:rPr>
              <w:t>黄藻门</w:t>
            </w:r>
            <w:r>
              <w:rPr>
                <w:rFonts w:cs="Times New Roman"/>
                <w:i/>
                <w:szCs w:val="21"/>
              </w:rPr>
              <w:t>Xanthophyceae</w:t>
            </w:r>
          </w:p>
        </w:tc>
        <w:tc>
          <w:tcPr>
            <w:tcW w:w="1559" w:type="dxa"/>
            <w:vAlign w:val="center"/>
          </w:tcPr>
          <w:p w14:paraId="48ED1468" w14:textId="77777777" w:rsidR="007D1E74" w:rsidRDefault="00A95641">
            <w:pPr>
              <w:jc w:val="center"/>
              <w:rPr>
                <w:szCs w:val="21"/>
              </w:rPr>
            </w:pPr>
            <w:r>
              <w:rPr>
                <w:rFonts w:cs="Times New Roman"/>
                <w:szCs w:val="21"/>
              </w:rPr>
              <w:t>1</w:t>
            </w:r>
          </w:p>
        </w:tc>
        <w:tc>
          <w:tcPr>
            <w:tcW w:w="1559" w:type="dxa"/>
            <w:vAlign w:val="center"/>
          </w:tcPr>
          <w:p w14:paraId="4A34BA37" w14:textId="77777777" w:rsidR="007D1E74" w:rsidRDefault="00A95641">
            <w:pPr>
              <w:jc w:val="center"/>
              <w:rPr>
                <w:szCs w:val="21"/>
              </w:rPr>
            </w:pPr>
            <w:r>
              <w:rPr>
                <w:rFonts w:cs="Times New Roman"/>
                <w:szCs w:val="21"/>
              </w:rPr>
              <w:t>1</w:t>
            </w:r>
          </w:p>
        </w:tc>
        <w:tc>
          <w:tcPr>
            <w:tcW w:w="1559" w:type="dxa"/>
            <w:vAlign w:val="center"/>
          </w:tcPr>
          <w:p w14:paraId="63D8A10D" w14:textId="77777777" w:rsidR="007D1E74" w:rsidRDefault="00A95641">
            <w:pPr>
              <w:jc w:val="center"/>
              <w:rPr>
                <w:szCs w:val="21"/>
              </w:rPr>
            </w:pPr>
            <w:r>
              <w:rPr>
                <w:rFonts w:cs="Times New Roman"/>
                <w:szCs w:val="21"/>
              </w:rPr>
              <w:t>1</w:t>
            </w:r>
          </w:p>
        </w:tc>
        <w:tc>
          <w:tcPr>
            <w:tcW w:w="1933" w:type="dxa"/>
            <w:vAlign w:val="center"/>
          </w:tcPr>
          <w:p w14:paraId="08A75E19" w14:textId="77777777" w:rsidR="007D1E74" w:rsidRDefault="00A95641">
            <w:pPr>
              <w:jc w:val="center"/>
              <w:rPr>
                <w:szCs w:val="21"/>
              </w:rPr>
            </w:pPr>
            <w:r>
              <w:rPr>
                <w:rFonts w:cs="Times New Roman"/>
                <w:szCs w:val="21"/>
              </w:rPr>
              <w:t>1.85</w:t>
            </w:r>
          </w:p>
        </w:tc>
      </w:tr>
      <w:tr w:rsidR="007D1E74" w14:paraId="5E23BB26" w14:textId="77777777">
        <w:tc>
          <w:tcPr>
            <w:tcW w:w="2689" w:type="dxa"/>
            <w:vAlign w:val="center"/>
          </w:tcPr>
          <w:p w14:paraId="5C49F4FA" w14:textId="77777777" w:rsidR="007D1E74" w:rsidRDefault="00A95641">
            <w:pPr>
              <w:jc w:val="center"/>
              <w:rPr>
                <w:szCs w:val="21"/>
              </w:rPr>
            </w:pPr>
            <w:r>
              <w:rPr>
                <w:rFonts w:hint="eastAsia"/>
                <w:szCs w:val="21"/>
              </w:rPr>
              <w:t>隐藻门</w:t>
            </w:r>
            <w:r>
              <w:rPr>
                <w:rFonts w:cs="Times New Roman"/>
                <w:i/>
                <w:szCs w:val="21"/>
              </w:rPr>
              <w:t>Cryptophyta</w:t>
            </w:r>
          </w:p>
        </w:tc>
        <w:tc>
          <w:tcPr>
            <w:tcW w:w="1559" w:type="dxa"/>
            <w:vAlign w:val="center"/>
          </w:tcPr>
          <w:p w14:paraId="1C4802F9" w14:textId="77777777" w:rsidR="007D1E74" w:rsidRDefault="00A95641">
            <w:pPr>
              <w:jc w:val="center"/>
              <w:rPr>
                <w:szCs w:val="21"/>
              </w:rPr>
            </w:pPr>
            <w:r>
              <w:rPr>
                <w:rFonts w:cs="Times New Roman"/>
                <w:szCs w:val="21"/>
              </w:rPr>
              <w:t>1</w:t>
            </w:r>
          </w:p>
        </w:tc>
        <w:tc>
          <w:tcPr>
            <w:tcW w:w="1559" w:type="dxa"/>
            <w:vAlign w:val="center"/>
          </w:tcPr>
          <w:p w14:paraId="11A6D05E" w14:textId="77777777" w:rsidR="007D1E74" w:rsidRDefault="00A95641">
            <w:pPr>
              <w:jc w:val="center"/>
              <w:rPr>
                <w:szCs w:val="21"/>
              </w:rPr>
            </w:pPr>
            <w:r>
              <w:rPr>
                <w:rFonts w:cs="Times New Roman"/>
                <w:szCs w:val="21"/>
              </w:rPr>
              <w:t>1</w:t>
            </w:r>
          </w:p>
        </w:tc>
        <w:tc>
          <w:tcPr>
            <w:tcW w:w="1559" w:type="dxa"/>
            <w:vAlign w:val="center"/>
          </w:tcPr>
          <w:p w14:paraId="47946BAF" w14:textId="77777777" w:rsidR="007D1E74" w:rsidRDefault="00A95641">
            <w:pPr>
              <w:jc w:val="center"/>
              <w:rPr>
                <w:szCs w:val="21"/>
              </w:rPr>
            </w:pPr>
            <w:r>
              <w:rPr>
                <w:rFonts w:cs="Times New Roman"/>
                <w:szCs w:val="21"/>
              </w:rPr>
              <w:t>1</w:t>
            </w:r>
          </w:p>
        </w:tc>
        <w:tc>
          <w:tcPr>
            <w:tcW w:w="1933" w:type="dxa"/>
            <w:vAlign w:val="center"/>
          </w:tcPr>
          <w:p w14:paraId="23F3E1A2" w14:textId="77777777" w:rsidR="007D1E74" w:rsidRDefault="00A95641">
            <w:pPr>
              <w:jc w:val="center"/>
              <w:rPr>
                <w:szCs w:val="21"/>
              </w:rPr>
            </w:pPr>
            <w:r>
              <w:rPr>
                <w:rFonts w:cs="Times New Roman"/>
                <w:szCs w:val="21"/>
              </w:rPr>
              <w:t>1.85</w:t>
            </w:r>
          </w:p>
        </w:tc>
      </w:tr>
      <w:tr w:rsidR="007D1E74" w14:paraId="197CEFA0" w14:textId="77777777">
        <w:tc>
          <w:tcPr>
            <w:tcW w:w="2689" w:type="dxa"/>
            <w:vAlign w:val="center"/>
          </w:tcPr>
          <w:p w14:paraId="1BCF7C98" w14:textId="77777777" w:rsidR="007D1E74" w:rsidRDefault="00A95641">
            <w:pPr>
              <w:jc w:val="center"/>
              <w:rPr>
                <w:szCs w:val="21"/>
              </w:rPr>
            </w:pPr>
            <w:r>
              <w:rPr>
                <w:rFonts w:hint="eastAsia"/>
                <w:szCs w:val="21"/>
              </w:rPr>
              <w:t>合计</w:t>
            </w:r>
          </w:p>
        </w:tc>
        <w:tc>
          <w:tcPr>
            <w:tcW w:w="1559" w:type="dxa"/>
            <w:vAlign w:val="center"/>
          </w:tcPr>
          <w:p w14:paraId="01EB9A41" w14:textId="77777777" w:rsidR="007D1E74" w:rsidRDefault="00A95641">
            <w:pPr>
              <w:jc w:val="center"/>
              <w:rPr>
                <w:szCs w:val="21"/>
              </w:rPr>
            </w:pPr>
            <w:r>
              <w:rPr>
                <w:rFonts w:cs="Times New Roman"/>
                <w:szCs w:val="21"/>
              </w:rPr>
              <w:t>20</w:t>
            </w:r>
          </w:p>
        </w:tc>
        <w:tc>
          <w:tcPr>
            <w:tcW w:w="1559" w:type="dxa"/>
            <w:vAlign w:val="center"/>
          </w:tcPr>
          <w:p w14:paraId="46896A95" w14:textId="77777777" w:rsidR="007D1E74" w:rsidRDefault="00A95641">
            <w:pPr>
              <w:jc w:val="center"/>
              <w:rPr>
                <w:szCs w:val="21"/>
              </w:rPr>
            </w:pPr>
            <w:r>
              <w:rPr>
                <w:rFonts w:cs="Times New Roman"/>
                <w:szCs w:val="21"/>
              </w:rPr>
              <w:t>27</w:t>
            </w:r>
          </w:p>
        </w:tc>
        <w:tc>
          <w:tcPr>
            <w:tcW w:w="1559" w:type="dxa"/>
            <w:vAlign w:val="center"/>
          </w:tcPr>
          <w:p w14:paraId="20CAAE19" w14:textId="77777777" w:rsidR="007D1E74" w:rsidRDefault="00A95641">
            <w:pPr>
              <w:jc w:val="center"/>
              <w:rPr>
                <w:szCs w:val="21"/>
              </w:rPr>
            </w:pPr>
            <w:r>
              <w:rPr>
                <w:rFonts w:cs="Times New Roman"/>
                <w:szCs w:val="21"/>
              </w:rPr>
              <w:t>54</w:t>
            </w:r>
          </w:p>
        </w:tc>
        <w:tc>
          <w:tcPr>
            <w:tcW w:w="1933" w:type="dxa"/>
            <w:vAlign w:val="center"/>
          </w:tcPr>
          <w:p w14:paraId="1A85C901" w14:textId="77777777" w:rsidR="007D1E74" w:rsidRDefault="00A95641">
            <w:pPr>
              <w:jc w:val="center"/>
              <w:rPr>
                <w:szCs w:val="21"/>
              </w:rPr>
            </w:pPr>
            <w:r>
              <w:rPr>
                <w:rFonts w:cs="Times New Roman"/>
                <w:szCs w:val="21"/>
              </w:rPr>
              <w:t>100</w:t>
            </w:r>
          </w:p>
        </w:tc>
      </w:tr>
    </w:tbl>
    <w:p w14:paraId="690192CE" w14:textId="77777777" w:rsidR="007D1E74" w:rsidRDefault="00A95641">
      <w:pPr>
        <w:spacing w:line="360" w:lineRule="auto"/>
        <w:ind w:firstLineChars="200" w:firstLine="482"/>
        <w:rPr>
          <w:b/>
          <w:sz w:val="24"/>
          <w:szCs w:val="24"/>
        </w:rPr>
      </w:pPr>
      <w:r>
        <w:rPr>
          <w:rFonts w:hint="eastAsia"/>
          <w:b/>
          <w:sz w:val="24"/>
          <w:szCs w:val="24"/>
        </w:rPr>
        <w:t>（</w:t>
      </w:r>
      <w:r>
        <w:rPr>
          <w:b/>
          <w:sz w:val="24"/>
          <w:szCs w:val="24"/>
        </w:rPr>
        <w:t>2</w:t>
      </w:r>
      <w:r>
        <w:rPr>
          <w:rFonts w:hint="eastAsia"/>
          <w:b/>
          <w:sz w:val="24"/>
          <w:szCs w:val="24"/>
        </w:rPr>
        <w:t>）浮游植物的种群密度</w:t>
      </w:r>
    </w:p>
    <w:p w14:paraId="7C69E630" w14:textId="77777777" w:rsidR="007D1E74" w:rsidRDefault="00A95641">
      <w:pPr>
        <w:spacing w:line="360" w:lineRule="auto"/>
        <w:ind w:firstLineChars="200" w:firstLine="480"/>
        <w:rPr>
          <w:sz w:val="24"/>
          <w:szCs w:val="24"/>
        </w:rPr>
      </w:pPr>
      <w:r>
        <w:rPr>
          <w:rFonts w:hint="eastAsia"/>
          <w:sz w:val="24"/>
          <w:szCs w:val="24"/>
        </w:rPr>
        <w:t>对工程影响水域不同采样点藻类进行定量统计，仅统计到硅藻门、绿藻门、蓝藻门、甲藻门和隐藻门</w:t>
      </w:r>
      <w:r>
        <w:rPr>
          <w:rFonts w:hint="eastAsia"/>
          <w:sz w:val="24"/>
          <w:szCs w:val="24"/>
        </w:rPr>
        <w:t>5</w:t>
      </w:r>
      <w:r>
        <w:rPr>
          <w:rFonts w:hint="eastAsia"/>
          <w:sz w:val="24"/>
          <w:szCs w:val="24"/>
        </w:rPr>
        <w:t>种，黄藻门未统计到，统计结果分别见下表。</w:t>
      </w:r>
    </w:p>
    <w:p w14:paraId="05B0BB39" w14:textId="77777777" w:rsidR="007D1E74" w:rsidRDefault="00A95641">
      <w:pPr>
        <w:pStyle w:val="afffffe"/>
        <w:numPr>
          <w:ilvl w:val="0"/>
          <w:numId w:val="43"/>
        </w:numPr>
        <w:spacing w:line="360" w:lineRule="auto"/>
        <w:ind w:firstLineChars="0"/>
        <w:jc w:val="center"/>
        <w:rPr>
          <w:rFonts w:eastAsia="黑体" w:cs="Times New Roman"/>
          <w:szCs w:val="21"/>
        </w:rPr>
      </w:pPr>
      <w:r>
        <w:rPr>
          <w:rFonts w:eastAsia="黑体" w:cs="Times New Roman" w:hint="eastAsia"/>
          <w:szCs w:val="21"/>
        </w:rPr>
        <w:t>调查水域浮游植物种群密度</w:t>
      </w:r>
    </w:p>
    <w:tbl>
      <w:tblPr>
        <w:tblStyle w:val="affffc"/>
        <w:tblW w:w="0" w:type="auto"/>
        <w:tblLook w:val="04A0" w:firstRow="1" w:lastRow="0" w:firstColumn="1" w:lastColumn="0" w:noHBand="0" w:noVBand="1"/>
      </w:tblPr>
      <w:tblGrid>
        <w:gridCol w:w="1759"/>
        <w:gridCol w:w="1215"/>
        <w:gridCol w:w="1210"/>
        <w:gridCol w:w="1209"/>
        <w:gridCol w:w="1204"/>
        <w:gridCol w:w="1203"/>
        <w:gridCol w:w="1216"/>
      </w:tblGrid>
      <w:tr w:rsidR="007D1E74" w14:paraId="69EE9DD6" w14:textId="77777777">
        <w:tc>
          <w:tcPr>
            <w:tcW w:w="1838" w:type="dxa"/>
            <w:vMerge w:val="restart"/>
            <w:vAlign w:val="center"/>
          </w:tcPr>
          <w:p w14:paraId="680B2FE1" w14:textId="77777777" w:rsidR="007D1E74" w:rsidRDefault="00A95641">
            <w:pPr>
              <w:jc w:val="center"/>
              <w:rPr>
                <w:szCs w:val="21"/>
              </w:rPr>
            </w:pPr>
            <w:r>
              <w:rPr>
                <w:szCs w:val="21"/>
              </w:rPr>
              <w:t>采样点</w:t>
            </w:r>
          </w:p>
        </w:tc>
        <w:tc>
          <w:tcPr>
            <w:tcW w:w="7461" w:type="dxa"/>
            <w:gridSpan w:val="6"/>
            <w:vAlign w:val="center"/>
          </w:tcPr>
          <w:p w14:paraId="1038B118" w14:textId="77777777" w:rsidR="007D1E74" w:rsidRDefault="00A95641">
            <w:pPr>
              <w:jc w:val="center"/>
              <w:rPr>
                <w:bCs/>
                <w:szCs w:val="21"/>
              </w:rPr>
            </w:pPr>
            <w:r>
              <w:rPr>
                <w:rFonts w:hint="eastAsia"/>
                <w:bCs/>
                <w:szCs w:val="21"/>
              </w:rPr>
              <w:t>种群密度（</w:t>
            </w:r>
            <w:r>
              <w:rPr>
                <w:rFonts w:hint="eastAsia"/>
                <w:bCs/>
                <w:szCs w:val="21"/>
              </w:rPr>
              <w:t>ind/L</w:t>
            </w:r>
            <w:r>
              <w:rPr>
                <w:rFonts w:hint="eastAsia"/>
                <w:bCs/>
                <w:szCs w:val="21"/>
              </w:rPr>
              <w:t>）</w:t>
            </w:r>
          </w:p>
        </w:tc>
      </w:tr>
      <w:tr w:rsidR="007D1E74" w14:paraId="081F3A9F" w14:textId="77777777">
        <w:tc>
          <w:tcPr>
            <w:tcW w:w="1838" w:type="dxa"/>
            <w:vMerge/>
            <w:vAlign w:val="center"/>
          </w:tcPr>
          <w:p w14:paraId="022A1CD2" w14:textId="77777777" w:rsidR="007D1E74" w:rsidRDefault="007D1E74">
            <w:pPr>
              <w:jc w:val="center"/>
              <w:rPr>
                <w:szCs w:val="21"/>
              </w:rPr>
            </w:pPr>
          </w:p>
        </w:tc>
        <w:tc>
          <w:tcPr>
            <w:tcW w:w="1243" w:type="dxa"/>
            <w:vAlign w:val="center"/>
          </w:tcPr>
          <w:p w14:paraId="24A0645B" w14:textId="77777777" w:rsidR="007D1E74" w:rsidRDefault="00A95641">
            <w:pPr>
              <w:jc w:val="center"/>
              <w:rPr>
                <w:szCs w:val="21"/>
              </w:rPr>
            </w:pPr>
            <w:r>
              <w:rPr>
                <w:kern w:val="0"/>
                <w:szCs w:val="21"/>
                <w:lang w:bidi="ar"/>
              </w:rPr>
              <w:t>硅藻门</w:t>
            </w:r>
          </w:p>
        </w:tc>
        <w:tc>
          <w:tcPr>
            <w:tcW w:w="1244" w:type="dxa"/>
            <w:vAlign w:val="center"/>
          </w:tcPr>
          <w:p w14:paraId="3836B627" w14:textId="77777777" w:rsidR="007D1E74" w:rsidRDefault="00A95641">
            <w:pPr>
              <w:jc w:val="center"/>
              <w:rPr>
                <w:szCs w:val="21"/>
              </w:rPr>
            </w:pPr>
            <w:r>
              <w:rPr>
                <w:kern w:val="0"/>
                <w:szCs w:val="21"/>
                <w:lang w:bidi="ar"/>
              </w:rPr>
              <w:t>绿藻门</w:t>
            </w:r>
          </w:p>
        </w:tc>
        <w:tc>
          <w:tcPr>
            <w:tcW w:w="1243" w:type="dxa"/>
            <w:vAlign w:val="center"/>
          </w:tcPr>
          <w:p w14:paraId="25F6BE67" w14:textId="77777777" w:rsidR="007D1E74" w:rsidRDefault="00A95641">
            <w:pPr>
              <w:jc w:val="center"/>
              <w:rPr>
                <w:szCs w:val="21"/>
              </w:rPr>
            </w:pPr>
            <w:r>
              <w:rPr>
                <w:kern w:val="0"/>
                <w:szCs w:val="21"/>
                <w:lang w:bidi="ar"/>
              </w:rPr>
              <w:t>蓝藻门</w:t>
            </w:r>
          </w:p>
        </w:tc>
        <w:tc>
          <w:tcPr>
            <w:tcW w:w="1244" w:type="dxa"/>
            <w:vAlign w:val="center"/>
          </w:tcPr>
          <w:p w14:paraId="05F32CCB" w14:textId="77777777" w:rsidR="007D1E74" w:rsidRDefault="00A95641">
            <w:pPr>
              <w:jc w:val="center"/>
              <w:rPr>
                <w:szCs w:val="21"/>
              </w:rPr>
            </w:pPr>
            <w:r>
              <w:rPr>
                <w:kern w:val="0"/>
                <w:szCs w:val="21"/>
                <w:lang w:bidi="ar"/>
              </w:rPr>
              <w:t>甲藻门</w:t>
            </w:r>
          </w:p>
        </w:tc>
        <w:tc>
          <w:tcPr>
            <w:tcW w:w="1243" w:type="dxa"/>
            <w:vAlign w:val="center"/>
          </w:tcPr>
          <w:p w14:paraId="5D0A2423" w14:textId="77777777" w:rsidR="007D1E74" w:rsidRDefault="00A95641">
            <w:pPr>
              <w:jc w:val="center"/>
              <w:rPr>
                <w:rFonts w:cs="Times New Roman"/>
                <w:szCs w:val="21"/>
              </w:rPr>
            </w:pPr>
            <w:r>
              <w:rPr>
                <w:kern w:val="0"/>
                <w:szCs w:val="21"/>
                <w:lang w:bidi="ar"/>
              </w:rPr>
              <w:t>隐藻门</w:t>
            </w:r>
          </w:p>
        </w:tc>
        <w:tc>
          <w:tcPr>
            <w:tcW w:w="1244" w:type="dxa"/>
            <w:vAlign w:val="center"/>
          </w:tcPr>
          <w:p w14:paraId="69193BFD" w14:textId="77777777" w:rsidR="007D1E74" w:rsidRDefault="00A95641">
            <w:pPr>
              <w:jc w:val="center"/>
              <w:rPr>
                <w:rFonts w:cs="Times New Roman"/>
                <w:szCs w:val="21"/>
              </w:rPr>
            </w:pPr>
            <w:r>
              <w:rPr>
                <w:kern w:val="0"/>
                <w:szCs w:val="21"/>
                <w:lang w:bidi="ar"/>
              </w:rPr>
              <w:t>合计</w:t>
            </w:r>
          </w:p>
        </w:tc>
      </w:tr>
      <w:tr w:rsidR="007D1E74" w14:paraId="3F55EFF2" w14:textId="77777777">
        <w:tc>
          <w:tcPr>
            <w:tcW w:w="1838" w:type="dxa"/>
            <w:vAlign w:val="center"/>
          </w:tcPr>
          <w:p w14:paraId="311893D8" w14:textId="77777777" w:rsidR="007D1E74" w:rsidRDefault="00A95641">
            <w:pPr>
              <w:jc w:val="center"/>
              <w:rPr>
                <w:szCs w:val="21"/>
              </w:rPr>
            </w:pPr>
            <w:r>
              <w:rPr>
                <w:kern w:val="0"/>
                <w:szCs w:val="21"/>
                <w:lang w:bidi="ar"/>
              </w:rPr>
              <w:t>1</w:t>
            </w:r>
            <w:r>
              <w:rPr>
                <w:kern w:val="0"/>
                <w:szCs w:val="21"/>
                <w:lang w:bidi="ar"/>
              </w:rPr>
              <w:t>青峪镇</w:t>
            </w:r>
          </w:p>
        </w:tc>
        <w:tc>
          <w:tcPr>
            <w:tcW w:w="1243" w:type="dxa"/>
            <w:vAlign w:val="center"/>
          </w:tcPr>
          <w:p w14:paraId="16EC9425" w14:textId="77777777" w:rsidR="007D1E74" w:rsidRDefault="00A95641">
            <w:pPr>
              <w:jc w:val="center"/>
              <w:rPr>
                <w:szCs w:val="21"/>
              </w:rPr>
            </w:pPr>
            <w:r>
              <w:rPr>
                <w:kern w:val="0"/>
                <w:szCs w:val="21"/>
                <w:lang w:bidi="ar"/>
              </w:rPr>
              <w:t>1600</w:t>
            </w:r>
          </w:p>
        </w:tc>
        <w:tc>
          <w:tcPr>
            <w:tcW w:w="1244" w:type="dxa"/>
            <w:vAlign w:val="center"/>
          </w:tcPr>
          <w:p w14:paraId="0CFC1EA5" w14:textId="77777777" w:rsidR="007D1E74" w:rsidRDefault="00A95641">
            <w:pPr>
              <w:jc w:val="center"/>
              <w:rPr>
                <w:szCs w:val="21"/>
              </w:rPr>
            </w:pPr>
            <w:r>
              <w:rPr>
                <w:kern w:val="0"/>
                <w:szCs w:val="21"/>
                <w:lang w:bidi="ar"/>
              </w:rPr>
              <w:t>400</w:t>
            </w:r>
          </w:p>
        </w:tc>
        <w:tc>
          <w:tcPr>
            <w:tcW w:w="1243" w:type="dxa"/>
            <w:vAlign w:val="center"/>
          </w:tcPr>
          <w:p w14:paraId="3F305331" w14:textId="77777777" w:rsidR="007D1E74" w:rsidRDefault="00A95641">
            <w:pPr>
              <w:jc w:val="center"/>
              <w:rPr>
                <w:szCs w:val="21"/>
              </w:rPr>
            </w:pPr>
            <w:r>
              <w:rPr>
                <w:kern w:val="0"/>
                <w:szCs w:val="21"/>
                <w:lang w:bidi="ar"/>
              </w:rPr>
              <w:t>800</w:t>
            </w:r>
          </w:p>
        </w:tc>
        <w:tc>
          <w:tcPr>
            <w:tcW w:w="1244" w:type="dxa"/>
            <w:vAlign w:val="center"/>
          </w:tcPr>
          <w:p w14:paraId="3BF461EE" w14:textId="77777777" w:rsidR="007D1E74" w:rsidRDefault="00A95641">
            <w:pPr>
              <w:jc w:val="center"/>
              <w:rPr>
                <w:szCs w:val="21"/>
              </w:rPr>
            </w:pPr>
            <w:r>
              <w:rPr>
                <w:szCs w:val="21"/>
              </w:rPr>
              <w:t>0</w:t>
            </w:r>
          </w:p>
        </w:tc>
        <w:tc>
          <w:tcPr>
            <w:tcW w:w="1243" w:type="dxa"/>
            <w:vAlign w:val="center"/>
          </w:tcPr>
          <w:p w14:paraId="295DCD37" w14:textId="77777777" w:rsidR="007D1E74" w:rsidRDefault="00A95641">
            <w:pPr>
              <w:jc w:val="center"/>
              <w:rPr>
                <w:rFonts w:cs="Times New Roman"/>
                <w:szCs w:val="21"/>
              </w:rPr>
            </w:pPr>
            <w:r>
              <w:rPr>
                <w:szCs w:val="21"/>
              </w:rPr>
              <w:t>0</w:t>
            </w:r>
          </w:p>
        </w:tc>
        <w:tc>
          <w:tcPr>
            <w:tcW w:w="1244" w:type="dxa"/>
            <w:vAlign w:val="center"/>
          </w:tcPr>
          <w:p w14:paraId="0E968416" w14:textId="77777777" w:rsidR="007D1E74" w:rsidRDefault="00A95641">
            <w:pPr>
              <w:jc w:val="center"/>
              <w:rPr>
                <w:rFonts w:cs="Times New Roman"/>
                <w:szCs w:val="21"/>
              </w:rPr>
            </w:pPr>
            <w:r>
              <w:rPr>
                <w:kern w:val="0"/>
                <w:szCs w:val="21"/>
                <w:lang w:bidi="ar"/>
              </w:rPr>
              <w:t>2800</w:t>
            </w:r>
          </w:p>
        </w:tc>
      </w:tr>
      <w:tr w:rsidR="007D1E74" w14:paraId="7C2FF264" w14:textId="77777777">
        <w:tc>
          <w:tcPr>
            <w:tcW w:w="1838" w:type="dxa"/>
            <w:vAlign w:val="center"/>
          </w:tcPr>
          <w:p w14:paraId="5EE2FA58" w14:textId="77777777" w:rsidR="007D1E74" w:rsidRDefault="00A95641">
            <w:pPr>
              <w:jc w:val="center"/>
              <w:rPr>
                <w:szCs w:val="21"/>
              </w:rPr>
            </w:pPr>
            <w:r>
              <w:rPr>
                <w:kern w:val="0"/>
                <w:szCs w:val="21"/>
                <w:lang w:bidi="ar"/>
              </w:rPr>
              <w:t>2</w:t>
            </w:r>
            <w:r>
              <w:rPr>
                <w:kern w:val="0"/>
                <w:szCs w:val="21"/>
                <w:lang w:bidi="ar"/>
              </w:rPr>
              <w:t>龙王庙</w:t>
            </w:r>
          </w:p>
        </w:tc>
        <w:tc>
          <w:tcPr>
            <w:tcW w:w="1243" w:type="dxa"/>
            <w:vAlign w:val="center"/>
          </w:tcPr>
          <w:p w14:paraId="44AADD3B" w14:textId="77777777" w:rsidR="007D1E74" w:rsidRDefault="00A95641">
            <w:pPr>
              <w:jc w:val="center"/>
              <w:rPr>
                <w:szCs w:val="21"/>
              </w:rPr>
            </w:pPr>
            <w:r>
              <w:rPr>
                <w:kern w:val="0"/>
                <w:szCs w:val="21"/>
                <w:lang w:bidi="ar"/>
              </w:rPr>
              <w:t>2800</w:t>
            </w:r>
          </w:p>
        </w:tc>
        <w:tc>
          <w:tcPr>
            <w:tcW w:w="1244" w:type="dxa"/>
            <w:vAlign w:val="center"/>
          </w:tcPr>
          <w:p w14:paraId="69F60369" w14:textId="77777777" w:rsidR="007D1E74" w:rsidRDefault="00A95641">
            <w:pPr>
              <w:jc w:val="center"/>
              <w:rPr>
                <w:szCs w:val="21"/>
              </w:rPr>
            </w:pPr>
            <w:r>
              <w:rPr>
                <w:kern w:val="0"/>
                <w:szCs w:val="21"/>
                <w:lang w:bidi="ar"/>
              </w:rPr>
              <w:t>1900</w:t>
            </w:r>
          </w:p>
        </w:tc>
        <w:tc>
          <w:tcPr>
            <w:tcW w:w="1243" w:type="dxa"/>
            <w:vAlign w:val="center"/>
          </w:tcPr>
          <w:p w14:paraId="1DEDD154" w14:textId="77777777" w:rsidR="007D1E74" w:rsidRDefault="00A95641">
            <w:pPr>
              <w:jc w:val="center"/>
              <w:rPr>
                <w:szCs w:val="21"/>
              </w:rPr>
            </w:pPr>
            <w:r>
              <w:rPr>
                <w:kern w:val="0"/>
                <w:szCs w:val="21"/>
                <w:lang w:bidi="ar"/>
              </w:rPr>
              <w:t>1200</w:t>
            </w:r>
          </w:p>
        </w:tc>
        <w:tc>
          <w:tcPr>
            <w:tcW w:w="1244" w:type="dxa"/>
            <w:vAlign w:val="center"/>
          </w:tcPr>
          <w:p w14:paraId="4784327F" w14:textId="77777777" w:rsidR="007D1E74" w:rsidRDefault="00A95641">
            <w:pPr>
              <w:jc w:val="center"/>
              <w:rPr>
                <w:szCs w:val="21"/>
              </w:rPr>
            </w:pPr>
            <w:r>
              <w:rPr>
                <w:szCs w:val="21"/>
              </w:rPr>
              <w:t>0</w:t>
            </w:r>
          </w:p>
        </w:tc>
        <w:tc>
          <w:tcPr>
            <w:tcW w:w="1243" w:type="dxa"/>
            <w:vAlign w:val="center"/>
          </w:tcPr>
          <w:p w14:paraId="359207B5" w14:textId="77777777" w:rsidR="007D1E74" w:rsidRDefault="00A95641">
            <w:pPr>
              <w:jc w:val="center"/>
              <w:rPr>
                <w:rFonts w:cs="Times New Roman"/>
                <w:szCs w:val="21"/>
              </w:rPr>
            </w:pPr>
            <w:r>
              <w:rPr>
                <w:szCs w:val="21"/>
              </w:rPr>
              <w:t>0</w:t>
            </w:r>
          </w:p>
        </w:tc>
        <w:tc>
          <w:tcPr>
            <w:tcW w:w="1244" w:type="dxa"/>
            <w:vAlign w:val="center"/>
          </w:tcPr>
          <w:p w14:paraId="3E3E6EDD" w14:textId="77777777" w:rsidR="007D1E74" w:rsidRDefault="00A95641">
            <w:pPr>
              <w:jc w:val="center"/>
              <w:rPr>
                <w:rFonts w:cs="Times New Roman"/>
                <w:szCs w:val="21"/>
              </w:rPr>
            </w:pPr>
            <w:r>
              <w:rPr>
                <w:kern w:val="0"/>
                <w:szCs w:val="21"/>
                <w:lang w:bidi="ar"/>
              </w:rPr>
              <w:t>5900</w:t>
            </w:r>
          </w:p>
        </w:tc>
      </w:tr>
      <w:tr w:rsidR="007D1E74" w14:paraId="09FE712F" w14:textId="77777777">
        <w:tc>
          <w:tcPr>
            <w:tcW w:w="1838" w:type="dxa"/>
            <w:vAlign w:val="center"/>
          </w:tcPr>
          <w:p w14:paraId="5672EBED" w14:textId="77777777" w:rsidR="007D1E74" w:rsidRDefault="00A95641">
            <w:pPr>
              <w:jc w:val="center"/>
              <w:rPr>
                <w:szCs w:val="21"/>
              </w:rPr>
            </w:pPr>
            <w:r>
              <w:rPr>
                <w:kern w:val="0"/>
                <w:szCs w:val="21"/>
                <w:lang w:bidi="ar"/>
              </w:rPr>
              <w:t>3</w:t>
            </w:r>
            <w:r>
              <w:rPr>
                <w:kern w:val="0"/>
                <w:szCs w:val="21"/>
                <w:lang w:bidi="ar"/>
              </w:rPr>
              <w:t>清江坝</w:t>
            </w:r>
          </w:p>
        </w:tc>
        <w:tc>
          <w:tcPr>
            <w:tcW w:w="1243" w:type="dxa"/>
            <w:vAlign w:val="center"/>
          </w:tcPr>
          <w:p w14:paraId="11D1B7D8" w14:textId="77777777" w:rsidR="007D1E74" w:rsidRDefault="00A95641">
            <w:pPr>
              <w:jc w:val="center"/>
              <w:rPr>
                <w:szCs w:val="21"/>
              </w:rPr>
            </w:pPr>
            <w:r>
              <w:rPr>
                <w:kern w:val="0"/>
                <w:szCs w:val="21"/>
                <w:lang w:bidi="ar"/>
              </w:rPr>
              <w:t>3900</w:t>
            </w:r>
          </w:p>
        </w:tc>
        <w:tc>
          <w:tcPr>
            <w:tcW w:w="1244" w:type="dxa"/>
            <w:vAlign w:val="center"/>
          </w:tcPr>
          <w:p w14:paraId="35869DA8" w14:textId="77777777" w:rsidR="007D1E74" w:rsidRDefault="00A95641">
            <w:pPr>
              <w:jc w:val="center"/>
              <w:rPr>
                <w:szCs w:val="21"/>
              </w:rPr>
            </w:pPr>
            <w:r>
              <w:rPr>
                <w:kern w:val="0"/>
                <w:szCs w:val="21"/>
                <w:lang w:bidi="ar"/>
              </w:rPr>
              <w:t>400</w:t>
            </w:r>
          </w:p>
        </w:tc>
        <w:tc>
          <w:tcPr>
            <w:tcW w:w="1243" w:type="dxa"/>
            <w:vAlign w:val="center"/>
          </w:tcPr>
          <w:p w14:paraId="085AF4C0" w14:textId="77777777" w:rsidR="007D1E74" w:rsidRDefault="00A95641">
            <w:pPr>
              <w:jc w:val="center"/>
              <w:rPr>
                <w:szCs w:val="21"/>
              </w:rPr>
            </w:pPr>
            <w:r>
              <w:rPr>
                <w:szCs w:val="21"/>
              </w:rPr>
              <w:t>0</w:t>
            </w:r>
          </w:p>
        </w:tc>
        <w:tc>
          <w:tcPr>
            <w:tcW w:w="1244" w:type="dxa"/>
            <w:vAlign w:val="center"/>
          </w:tcPr>
          <w:p w14:paraId="246C1E80" w14:textId="77777777" w:rsidR="007D1E74" w:rsidRDefault="00A95641">
            <w:pPr>
              <w:jc w:val="center"/>
              <w:rPr>
                <w:szCs w:val="21"/>
              </w:rPr>
            </w:pPr>
            <w:r>
              <w:rPr>
                <w:szCs w:val="21"/>
              </w:rPr>
              <w:t>0</w:t>
            </w:r>
          </w:p>
        </w:tc>
        <w:tc>
          <w:tcPr>
            <w:tcW w:w="1243" w:type="dxa"/>
            <w:vAlign w:val="center"/>
          </w:tcPr>
          <w:p w14:paraId="62DAE98B" w14:textId="77777777" w:rsidR="007D1E74" w:rsidRDefault="00A95641">
            <w:pPr>
              <w:jc w:val="center"/>
              <w:rPr>
                <w:rFonts w:cs="Times New Roman"/>
                <w:szCs w:val="21"/>
              </w:rPr>
            </w:pPr>
            <w:r>
              <w:rPr>
                <w:kern w:val="0"/>
                <w:szCs w:val="21"/>
                <w:lang w:bidi="ar"/>
              </w:rPr>
              <w:t>100</w:t>
            </w:r>
          </w:p>
        </w:tc>
        <w:tc>
          <w:tcPr>
            <w:tcW w:w="1244" w:type="dxa"/>
            <w:vAlign w:val="center"/>
          </w:tcPr>
          <w:p w14:paraId="033E598F" w14:textId="77777777" w:rsidR="007D1E74" w:rsidRDefault="00A95641">
            <w:pPr>
              <w:jc w:val="center"/>
              <w:rPr>
                <w:rFonts w:cs="Times New Roman"/>
                <w:szCs w:val="21"/>
              </w:rPr>
            </w:pPr>
            <w:r>
              <w:rPr>
                <w:kern w:val="0"/>
                <w:szCs w:val="21"/>
                <w:lang w:bidi="ar"/>
              </w:rPr>
              <w:t>4400</w:t>
            </w:r>
          </w:p>
        </w:tc>
      </w:tr>
      <w:tr w:rsidR="007D1E74" w14:paraId="41F221E8" w14:textId="77777777">
        <w:tc>
          <w:tcPr>
            <w:tcW w:w="1838" w:type="dxa"/>
            <w:vAlign w:val="center"/>
          </w:tcPr>
          <w:p w14:paraId="0148CE54" w14:textId="77777777" w:rsidR="007D1E74" w:rsidRDefault="00A95641">
            <w:pPr>
              <w:jc w:val="center"/>
              <w:rPr>
                <w:szCs w:val="21"/>
              </w:rPr>
            </w:pPr>
            <w:r>
              <w:rPr>
                <w:kern w:val="0"/>
                <w:szCs w:val="21"/>
                <w:lang w:bidi="ar"/>
              </w:rPr>
              <w:t>4</w:t>
            </w:r>
            <w:r>
              <w:rPr>
                <w:kern w:val="0"/>
                <w:szCs w:val="21"/>
                <w:lang w:bidi="ar"/>
              </w:rPr>
              <w:t>火石岭</w:t>
            </w:r>
          </w:p>
        </w:tc>
        <w:tc>
          <w:tcPr>
            <w:tcW w:w="1243" w:type="dxa"/>
            <w:vAlign w:val="center"/>
          </w:tcPr>
          <w:p w14:paraId="6120241A" w14:textId="77777777" w:rsidR="007D1E74" w:rsidRDefault="00A95641">
            <w:pPr>
              <w:jc w:val="center"/>
              <w:rPr>
                <w:szCs w:val="21"/>
              </w:rPr>
            </w:pPr>
            <w:r>
              <w:rPr>
                <w:kern w:val="0"/>
                <w:szCs w:val="21"/>
                <w:lang w:bidi="ar"/>
              </w:rPr>
              <w:t>12900</w:t>
            </w:r>
          </w:p>
        </w:tc>
        <w:tc>
          <w:tcPr>
            <w:tcW w:w="1244" w:type="dxa"/>
            <w:vAlign w:val="center"/>
          </w:tcPr>
          <w:p w14:paraId="2915E1DA" w14:textId="77777777" w:rsidR="007D1E74" w:rsidRDefault="00A95641">
            <w:pPr>
              <w:jc w:val="center"/>
              <w:rPr>
                <w:szCs w:val="21"/>
              </w:rPr>
            </w:pPr>
            <w:r>
              <w:rPr>
                <w:kern w:val="0"/>
                <w:szCs w:val="21"/>
                <w:lang w:bidi="ar"/>
              </w:rPr>
              <w:t>100</w:t>
            </w:r>
          </w:p>
        </w:tc>
        <w:tc>
          <w:tcPr>
            <w:tcW w:w="1243" w:type="dxa"/>
            <w:vAlign w:val="center"/>
          </w:tcPr>
          <w:p w14:paraId="47862F87" w14:textId="77777777" w:rsidR="007D1E74" w:rsidRDefault="00A95641">
            <w:pPr>
              <w:jc w:val="center"/>
              <w:rPr>
                <w:szCs w:val="21"/>
              </w:rPr>
            </w:pPr>
            <w:r>
              <w:rPr>
                <w:kern w:val="0"/>
                <w:szCs w:val="21"/>
                <w:lang w:bidi="ar"/>
              </w:rPr>
              <w:t>3200</w:t>
            </w:r>
          </w:p>
        </w:tc>
        <w:tc>
          <w:tcPr>
            <w:tcW w:w="1244" w:type="dxa"/>
            <w:vAlign w:val="center"/>
          </w:tcPr>
          <w:p w14:paraId="01DA24E4" w14:textId="77777777" w:rsidR="007D1E74" w:rsidRDefault="00A95641">
            <w:pPr>
              <w:jc w:val="center"/>
              <w:rPr>
                <w:szCs w:val="21"/>
              </w:rPr>
            </w:pPr>
            <w:r>
              <w:rPr>
                <w:kern w:val="0"/>
                <w:szCs w:val="21"/>
                <w:lang w:bidi="ar"/>
              </w:rPr>
              <w:t>100</w:t>
            </w:r>
          </w:p>
        </w:tc>
        <w:tc>
          <w:tcPr>
            <w:tcW w:w="1243" w:type="dxa"/>
            <w:vAlign w:val="center"/>
          </w:tcPr>
          <w:p w14:paraId="28C5DFF3" w14:textId="77777777" w:rsidR="007D1E74" w:rsidRDefault="00A95641">
            <w:pPr>
              <w:jc w:val="center"/>
              <w:rPr>
                <w:rFonts w:cs="Times New Roman"/>
                <w:szCs w:val="21"/>
              </w:rPr>
            </w:pPr>
            <w:r>
              <w:rPr>
                <w:szCs w:val="21"/>
              </w:rPr>
              <w:t>0</w:t>
            </w:r>
          </w:p>
        </w:tc>
        <w:tc>
          <w:tcPr>
            <w:tcW w:w="1244" w:type="dxa"/>
            <w:vAlign w:val="center"/>
          </w:tcPr>
          <w:p w14:paraId="4A2D2BB2" w14:textId="77777777" w:rsidR="007D1E74" w:rsidRDefault="00A95641">
            <w:pPr>
              <w:jc w:val="center"/>
              <w:rPr>
                <w:rFonts w:cs="Times New Roman"/>
                <w:szCs w:val="21"/>
              </w:rPr>
            </w:pPr>
            <w:r>
              <w:rPr>
                <w:kern w:val="0"/>
                <w:szCs w:val="21"/>
                <w:lang w:bidi="ar"/>
              </w:rPr>
              <w:t>16300</w:t>
            </w:r>
          </w:p>
        </w:tc>
      </w:tr>
    </w:tbl>
    <w:p w14:paraId="010B9DBF" w14:textId="77777777" w:rsidR="007D1E74" w:rsidRDefault="00A95641">
      <w:pPr>
        <w:pStyle w:val="afffffe"/>
        <w:numPr>
          <w:ilvl w:val="0"/>
          <w:numId w:val="43"/>
        </w:numPr>
        <w:spacing w:line="360" w:lineRule="auto"/>
        <w:ind w:firstLineChars="0"/>
        <w:jc w:val="center"/>
        <w:rPr>
          <w:rFonts w:eastAsia="黑体" w:cs="Times New Roman"/>
          <w:szCs w:val="21"/>
        </w:rPr>
      </w:pPr>
      <w:r>
        <w:rPr>
          <w:rFonts w:eastAsia="黑体" w:cs="Times New Roman" w:hint="eastAsia"/>
          <w:szCs w:val="21"/>
        </w:rPr>
        <w:t>调查水域浮游植物生物量</w:t>
      </w:r>
    </w:p>
    <w:tbl>
      <w:tblPr>
        <w:tblStyle w:val="affffc"/>
        <w:tblW w:w="0" w:type="auto"/>
        <w:tblLook w:val="04A0" w:firstRow="1" w:lastRow="0" w:firstColumn="1" w:lastColumn="0" w:noHBand="0" w:noVBand="1"/>
      </w:tblPr>
      <w:tblGrid>
        <w:gridCol w:w="1737"/>
        <w:gridCol w:w="1210"/>
        <w:gridCol w:w="1219"/>
        <w:gridCol w:w="1218"/>
        <w:gridCol w:w="1211"/>
        <w:gridCol w:w="1210"/>
        <w:gridCol w:w="1211"/>
      </w:tblGrid>
      <w:tr w:rsidR="007D1E74" w14:paraId="2E937DC5" w14:textId="77777777">
        <w:tc>
          <w:tcPr>
            <w:tcW w:w="1838" w:type="dxa"/>
            <w:vMerge w:val="restart"/>
            <w:vAlign w:val="center"/>
          </w:tcPr>
          <w:p w14:paraId="35AF6168" w14:textId="77777777" w:rsidR="007D1E74" w:rsidRDefault="00A95641">
            <w:pPr>
              <w:jc w:val="center"/>
              <w:rPr>
                <w:szCs w:val="21"/>
              </w:rPr>
            </w:pPr>
            <w:r>
              <w:rPr>
                <w:szCs w:val="21"/>
              </w:rPr>
              <w:t>采样点</w:t>
            </w:r>
          </w:p>
        </w:tc>
        <w:tc>
          <w:tcPr>
            <w:tcW w:w="7461" w:type="dxa"/>
            <w:gridSpan w:val="6"/>
            <w:vAlign w:val="center"/>
          </w:tcPr>
          <w:p w14:paraId="2438B564" w14:textId="77777777" w:rsidR="007D1E74" w:rsidRDefault="00A95641">
            <w:pPr>
              <w:jc w:val="center"/>
              <w:rPr>
                <w:bCs/>
                <w:szCs w:val="21"/>
              </w:rPr>
            </w:pPr>
            <w:r>
              <w:rPr>
                <w:rFonts w:hint="eastAsia"/>
                <w:bCs/>
                <w:szCs w:val="21"/>
              </w:rPr>
              <w:t>生物量（</w:t>
            </w:r>
            <w:r>
              <w:rPr>
                <w:rFonts w:hint="eastAsia"/>
                <w:bCs/>
                <w:szCs w:val="21"/>
              </w:rPr>
              <w:t>mg/L</w:t>
            </w:r>
            <w:r>
              <w:rPr>
                <w:rFonts w:hint="eastAsia"/>
                <w:bCs/>
                <w:szCs w:val="21"/>
              </w:rPr>
              <w:t>）</w:t>
            </w:r>
          </w:p>
        </w:tc>
      </w:tr>
      <w:tr w:rsidR="007D1E74" w14:paraId="57C52E2F" w14:textId="77777777">
        <w:tc>
          <w:tcPr>
            <w:tcW w:w="1838" w:type="dxa"/>
            <w:vMerge/>
            <w:vAlign w:val="center"/>
          </w:tcPr>
          <w:p w14:paraId="6B4CAA22" w14:textId="77777777" w:rsidR="007D1E74" w:rsidRDefault="007D1E74">
            <w:pPr>
              <w:jc w:val="center"/>
              <w:rPr>
                <w:szCs w:val="21"/>
              </w:rPr>
            </w:pPr>
          </w:p>
        </w:tc>
        <w:tc>
          <w:tcPr>
            <w:tcW w:w="1243" w:type="dxa"/>
            <w:vAlign w:val="center"/>
          </w:tcPr>
          <w:p w14:paraId="7727C3B3" w14:textId="77777777" w:rsidR="007D1E74" w:rsidRDefault="00A95641">
            <w:pPr>
              <w:jc w:val="center"/>
              <w:rPr>
                <w:szCs w:val="21"/>
              </w:rPr>
            </w:pPr>
            <w:r>
              <w:rPr>
                <w:kern w:val="0"/>
                <w:szCs w:val="21"/>
                <w:lang w:bidi="ar"/>
              </w:rPr>
              <w:t>硅藻门</w:t>
            </w:r>
          </w:p>
        </w:tc>
        <w:tc>
          <w:tcPr>
            <w:tcW w:w="1244" w:type="dxa"/>
            <w:vAlign w:val="center"/>
          </w:tcPr>
          <w:p w14:paraId="4B8B92DA" w14:textId="77777777" w:rsidR="007D1E74" w:rsidRDefault="00A95641">
            <w:pPr>
              <w:jc w:val="center"/>
              <w:rPr>
                <w:szCs w:val="21"/>
              </w:rPr>
            </w:pPr>
            <w:r>
              <w:rPr>
                <w:kern w:val="0"/>
                <w:szCs w:val="21"/>
                <w:lang w:bidi="ar"/>
              </w:rPr>
              <w:t>绿藻门</w:t>
            </w:r>
          </w:p>
        </w:tc>
        <w:tc>
          <w:tcPr>
            <w:tcW w:w="1243" w:type="dxa"/>
            <w:vAlign w:val="center"/>
          </w:tcPr>
          <w:p w14:paraId="448D9388" w14:textId="77777777" w:rsidR="007D1E74" w:rsidRDefault="00A95641">
            <w:pPr>
              <w:jc w:val="center"/>
              <w:rPr>
                <w:szCs w:val="21"/>
              </w:rPr>
            </w:pPr>
            <w:r>
              <w:rPr>
                <w:kern w:val="0"/>
                <w:szCs w:val="21"/>
                <w:lang w:bidi="ar"/>
              </w:rPr>
              <w:t>蓝藻门</w:t>
            </w:r>
          </w:p>
        </w:tc>
        <w:tc>
          <w:tcPr>
            <w:tcW w:w="1244" w:type="dxa"/>
            <w:vAlign w:val="center"/>
          </w:tcPr>
          <w:p w14:paraId="06619630" w14:textId="77777777" w:rsidR="007D1E74" w:rsidRDefault="00A95641">
            <w:pPr>
              <w:jc w:val="center"/>
              <w:rPr>
                <w:szCs w:val="21"/>
              </w:rPr>
            </w:pPr>
            <w:r>
              <w:rPr>
                <w:kern w:val="0"/>
                <w:szCs w:val="21"/>
                <w:lang w:bidi="ar"/>
              </w:rPr>
              <w:t>甲藻门</w:t>
            </w:r>
          </w:p>
        </w:tc>
        <w:tc>
          <w:tcPr>
            <w:tcW w:w="1243" w:type="dxa"/>
            <w:vAlign w:val="center"/>
          </w:tcPr>
          <w:p w14:paraId="68CB5161" w14:textId="77777777" w:rsidR="007D1E74" w:rsidRDefault="00A95641">
            <w:pPr>
              <w:jc w:val="center"/>
              <w:rPr>
                <w:rFonts w:cs="Times New Roman"/>
                <w:szCs w:val="21"/>
              </w:rPr>
            </w:pPr>
            <w:r>
              <w:rPr>
                <w:kern w:val="0"/>
                <w:szCs w:val="21"/>
                <w:lang w:bidi="ar"/>
              </w:rPr>
              <w:t>隐藻门</w:t>
            </w:r>
          </w:p>
        </w:tc>
        <w:tc>
          <w:tcPr>
            <w:tcW w:w="1244" w:type="dxa"/>
            <w:vAlign w:val="center"/>
          </w:tcPr>
          <w:p w14:paraId="5AFDDAF1" w14:textId="77777777" w:rsidR="007D1E74" w:rsidRDefault="00A95641">
            <w:pPr>
              <w:jc w:val="center"/>
              <w:rPr>
                <w:rFonts w:cs="Times New Roman"/>
                <w:szCs w:val="21"/>
              </w:rPr>
            </w:pPr>
            <w:r>
              <w:rPr>
                <w:kern w:val="0"/>
                <w:szCs w:val="21"/>
                <w:lang w:bidi="ar"/>
              </w:rPr>
              <w:t>合计</w:t>
            </w:r>
          </w:p>
        </w:tc>
      </w:tr>
      <w:tr w:rsidR="007D1E74" w14:paraId="1665BBAA" w14:textId="77777777">
        <w:tc>
          <w:tcPr>
            <w:tcW w:w="1838" w:type="dxa"/>
            <w:vAlign w:val="center"/>
          </w:tcPr>
          <w:p w14:paraId="4289AAB9" w14:textId="77777777" w:rsidR="007D1E74" w:rsidRDefault="00A95641">
            <w:pPr>
              <w:jc w:val="center"/>
              <w:rPr>
                <w:szCs w:val="21"/>
              </w:rPr>
            </w:pPr>
            <w:r>
              <w:rPr>
                <w:kern w:val="0"/>
                <w:szCs w:val="21"/>
                <w:lang w:bidi="ar"/>
              </w:rPr>
              <w:t>1</w:t>
            </w:r>
            <w:r>
              <w:rPr>
                <w:kern w:val="0"/>
                <w:szCs w:val="21"/>
                <w:lang w:bidi="ar"/>
              </w:rPr>
              <w:t>青峪镇</w:t>
            </w:r>
          </w:p>
        </w:tc>
        <w:tc>
          <w:tcPr>
            <w:tcW w:w="1243" w:type="dxa"/>
            <w:vAlign w:val="center"/>
          </w:tcPr>
          <w:p w14:paraId="36675965" w14:textId="77777777" w:rsidR="007D1E74" w:rsidRDefault="00A95641">
            <w:pPr>
              <w:jc w:val="center"/>
              <w:rPr>
                <w:szCs w:val="21"/>
              </w:rPr>
            </w:pPr>
            <w:r>
              <w:rPr>
                <w:kern w:val="0"/>
                <w:szCs w:val="21"/>
                <w:lang w:bidi="ar"/>
              </w:rPr>
              <w:t>0.0029</w:t>
            </w:r>
          </w:p>
        </w:tc>
        <w:tc>
          <w:tcPr>
            <w:tcW w:w="1244" w:type="dxa"/>
            <w:vAlign w:val="center"/>
          </w:tcPr>
          <w:p w14:paraId="35DD3788" w14:textId="77777777" w:rsidR="007D1E74" w:rsidRDefault="00A95641">
            <w:pPr>
              <w:jc w:val="center"/>
              <w:rPr>
                <w:szCs w:val="21"/>
              </w:rPr>
            </w:pPr>
            <w:r>
              <w:rPr>
                <w:kern w:val="0"/>
                <w:szCs w:val="21"/>
                <w:lang w:bidi="ar"/>
              </w:rPr>
              <w:t>0.00001</w:t>
            </w:r>
          </w:p>
        </w:tc>
        <w:tc>
          <w:tcPr>
            <w:tcW w:w="1243" w:type="dxa"/>
            <w:vAlign w:val="center"/>
          </w:tcPr>
          <w:p w14:paraId="02A82CF5" w14:textId="77777777" w:rsidR="007D1E74" w:rsidRDefault="00A95641">
            <w:pPr>
              <w:jc w:val="center"/>
              <w:rPr>
                <w:szCs w:val="21"/>
              </w:rPr>
            </w:pPr>
            <w:r>
              <w:rPr>
                <w:kern w:val="0"/>
                <w:szCs w:val="21"/>
                <w:lang w:bidi="ar"/>
              </w:rPr>
              <w:t>0.00006</w:t>
            </w:r>
          </w:p>
        </w:tc>
        <w:tc>
          <w:tcPr>
            <w:tcW w:w="1244" w:type="dxa"/>
            <w:vAlign w:val="center"/>
          </w:tcPr>
          <w:p w14:paraId="08D17099" w14:textId="77777777" w:rsidR="007D1E74" w:rsidRDefault="00A95641">
            <w:pPr>
              <w:jc w:val="center"/>
              <w:rPr>
                <w:szCs w:val="21"/>
              </w:rPr>
            </w:pPr>
            <w:r>
              <w:rPr>
                <w:szCs w:val="21"/>
              </w:rPr>
              <w:t>0</w:t>
            </w:r>
          </w:p>
        </w:tc>
        <w:tc>
          <w:tcPr>
            <w:tcW w:w="1243" w:type="dxa"/>
            <w:vAlign w:val="center"/>
          </w:tcPr>
          <w:p w14:paraId="65D95CE6" w14:textId="77777777" w:rsidR="007D1E74" w:rsidRDefault="00A95641">
            <w:pPr>
              <w:jc w:val="center"/>
              <w:rPr>
                <w:rFonts w:cs="Times New Roman"/>
                <w:szCs w:val="21"/>
              </w:rPr>
            </w:pPr>
            <w:r>
              <w:rPr>
                <w:szCs w:val="21"/>
              </w:rPr>
              <w:t>0</w:t>
            </w:r>
          </w:p>
        </w:tc>
        <w:tc>
          <w:tcPr>
            <w:tcW w:w="1244" w:type="dxa"/>
            <w:vAlign w:val="center"/>
          </w:tcPr>
          <w:p w14:paraId="5ECDC0AE" w14:textId="77777777" w:rsidR="007D1E74" w:rsidRDefault="00A95641">
            <w:pPr>
              <w:jc w:val="center"/>
              <w:rPr>
                <w:rFonts w:cs="Times New Roman"/>
                <w:szCs w:val="21"/>
              </w:rPr>
            </w:pPr>
            <w:r>
              <w:rPr>
                <w:kern w:val="0"/>
                <w:szCs w:val="21"/>
                <w:lang w:bidi="ar"/>
              </w:rPr>
              <w:t>0.0030</w:t>
            </w:r>
          </w:p>
        </w:tc>
      </w:tr>
      <w:tr w:rsidR="007D1E74" w14:paraId="1FE03CA9" w14:textId="77777777">
        <w:tc>
          <w:tcPr>
            <w:tcW w:w="1838" w:type="dxa"/>
            <w:vAlign w:val="center"/>
          </w:tcPr>
          <w:p w14:paraId="57DD242D" w14:textId="77777777" w:rsidR="007D1E74" w:rsidRDefault="00A95641">
            <w:pPr>
              <w:jc w:val="center"/>
              <w:rPr>
                <w:szCs w:val="21"/>
              </w:rPr>
            </w:pPr>
            <w:r>
              <w:rPr>
                <w:kern w:val="0"/>
                <w:szCs w:val="21"/>
                <w:lang w:bidi="ar"/>
              </w:rPr>
              <w:t>2</w:t>
            </w:r>
            <w:r>
              <w:rPr>
                <w:kern w:val="0"/>
                <w:szCs w:val="21"/>
                <w:lang w:bidi="ar"/>
              </w:rPr>
              <w:t>龙王庙</w:t>
            </w:r>
          </w:p>
        </w:tc>
        <w:tc>
          <w:tcPr>
            <w:tcW w:w="1243" w:type="dxa"/>
            <w:vAlign w:val="center"/>
          </w:tcPr>
          <w:p w14:paraId="59C1ADC2" w14:textId="77777777" w:rsidR="007D1E74" w:rsidRDefault="00A95641">
            <w:pPr>
              <w:jc w:val="center"/>
              <w:rPr>
                <w:szCs w:val="21"/>
              </w:rPr>
            </w:pPr>
            <w:r>
              <w:rPr>
                <w:kern w:val="0"/>
                <w:szCs w:val="21"/>
                <w:lang w:bidi="ar"/>
              </w:rPr>
              <w:t>0.0044</w:t>
            </w:r>
          </w:p>
        </w:tc>
        <w:tc>
          <w:tcPr>
            <w:tcW w:w="1244" w:type="dxa"/>
            <w:vAlign w:val="center"/>
          </w:tcPr>
          <w:p w14:paraId="7633DC64" w14:textId="77777777" w:rsidR="007D1E74" w:rsidRDefault="00A95641">
            <w:pPr>
              <w:jc w:val="center"/>
              <w:rPr>
                <w:szCs w:val="21"/>
              </w:rPr>
            </w:pPr>
            <w:r>
              <w:rPr>
                <w:kern w:val="0"/>
                <w:szCs w:val="21"/>
                <w:lang w:bidi="ar"/>
              </w:rPr>
              <w:t>0.00011</w:t>
            </w:r>
          </w:p>
        </w:tc>
        <w:tc>
          <w:tcPr>
            <w:tcW w:w="1243" w:type="dxa"/>
            <w:vAlign w:val="center"/>
          </w:tcPr>
          <w:p w14:paraId="3E9ADE44" w14:textId="77777777" w:rsidR="007D1E74" w:rsidRDefault="00A95641">
            <w:pPr>
              <w:jc w:val="center"/>
              <w:rPr>
                <w:szCs w:val="21"/>
              </w:rPr>
            </w:pPr>
            <w:r>
              <w:rPr>
                <w:kern w:val="0"/>
                <w:szCs w:val="21"/>
                <w:lang w:bidi="ar"/>
              </w:rPr>
              <w:t>0.00002</w:t>
            </w:r>
          </w:p>
        </w:tc>
        <w:tc>
          <w:tcPr>
            <w:tcW w:w="1244" w:type="dxa"/>
            <w:vAlign w:val="center"/>
          </w:tcPr>
          <w:p w14:paraId="564DACF2" w14:textId="77777777" w:rsidR="007D1E74" w:rsidRDefault="00A95641">
            <w:pPr>
              <w:jc w:val="center"/>
              <w:rPr>
                <w:szCs w:val="21"/>
              </w:rPr>
            </w:pPr>
            <w:r>
              <w:rPr>
                <w:szCs w:val="21"/>
              </w:rPr>
              <w:t>0</w:t>
            </w:r>
          </w:p>
        </w:tc>
        <w:tc>
          <w:tcPr>
            <w:tcW w:w="1243" w:type="dxa"/>
            <w:vAlign w:val="center"/>
          </w:tcPr>
          <w:p w14:paraId="7CF09C5F" w14:textId="77777777" w:rsidR="007D1E74" w:rsidRDefault="00A95641">
            <w:pPr>
              <w:jc w:val="center"/>
              <w:rPr>
                <w:rFonts w:cs="Times New Roman"/>
                <w:szCs w:val="21"/>
              </w:rPr>
            </w:pPr>
            <w:r>
              <w:rPr>
                <w:szCs w:val="21"/>
              </w:rPr>
              <w:t>0</w:t>
            </w:r>
          </w:p>
        </w:tc>
        <w:tc>
          <w:tcPr>
            <w:tcW w:w="1244" w:type="dxa"/>
            <w:vAlign w:val="center"/>
          </w:tcPr>
          <w:p w14:paraId="35ABEE42" w14:textId="77777777" w:rsidR="007D1E74" w:rsidRDefault="00A95641">
            <w:pPr>
              <w:jc w:val="center"/>
              <w:rPr>
                <w:rFonts w:cs="Times New Roman"/>
                <w:szCs w:val="21"/>
              </w:rPr>
            </w:pPr>
            <w:r>
              <w:rPr>
                <w:kern w:val="0"/>
                <w:szCs w:val="21"/>
                <w:lang w:bidi="ar"/>
              </w:rPr>
              <w:t>0.0045</w:t>
            </w:r>
          </w:p>
        </w:tc>
      </w:tr>
      <w:tr w:rsidR="007D1E74" w14:paraId="0245B94A" w14:textId="77777777">
        <w:tc>
          <w:tcPr>
            <w:tcW w:w="1838" w:type="dxa"/>
            <w:vAlign w:val="center"/>
          </w:tcPr>
          <w:p w14:paraId="7883DB56" w14:textId="77777777" w:rsidR="007D1E74" w:rsidRDefault="00A95641">
            <w:pPr>
              <w:jc w:val="center"/>
              <w:rPr>
                <w:szCs w:val="21"/>
              </w:rPr>
            </w:pPr>
            <w:r>
              <w:rPr>
                <w:kern w:val="0"/>
                <w:szCs w:val="21"/>
                <w:lang w:bidi="ar"/>
              </w:rPr>
              <w:lastRenderedPageBreak/>
              <w:t>3</w:t>
            </w:r>
            <w:r>
              <w:rPr>
                <w:kern w:val="0"/>
                <w:szCs w:val="21"/>
                <w:lang w:bidi="ar"/>
              </w:rPr>
              <w:t>清江坝</w:t>
            </w:r>
          </w:p>
        </w:tc>
        <w:tc>
          <w:tcPr>
            <w:tcW w:w="1243" w:type="dxa"/>
            <w:vAlign w:val="center"/>
          </w:tcPr>
          <w:p w14:paraId="75825811" w14:textId="77777777" w:rsidR="007D1E74" w:rsidRDefault="00A95641">
            <w:pPr>
              <w:jc w:val="center"/>
              <w:rPr>
                <w:szCs w:val="21"/>
              </w:rPr>
            </w:pPr>
            <w:r>
              <w:rPr>
                <w:kern w:val="0"/>
                <w:szCs w:val="21"/>
                <w:lang w:bidi="ar"/>
              </w:rPr>
              <w:t>0.0056</w:t>
            </w:r>
          </w:p>
        </w:tc>
        <w:tc>
          <w:tcPr>
            <w:tcW w:w="1244" w:type="dxa"/>
            <w:vAlign w:val="center"/>
          </w:tcPr>
          <w:p w14:paraId="24797EB0" w14:textId="77777777" w:rsidR="007D1E74" w:rsidRDefault="00A95641">
            <w:pPr>
              <w:jc w:val="center"/>
              <w:rPr>
                <w:szCs w:val="21"/>
              </w:rPr>
            </w:pPr>
            <w:r>
              <w:rPr>
                <w:kern w:val="0"/>
                <w:szCs w:val="21"/>
                <w:lang w:bidi="ar"/>
              </w:rPr>
              <w:t>0.00008</w:t>
            </w:r>
          </w:p>
        </w:tc>
        <w:tc>
          <w:tcPr>
            <w:tcW w:w="1243" w:type="dxa"/>
            <w:vAlign w:val="center"/>
          </w:tcPr>
          <w:p w14:paraId="63FDD8D0" w14:textId="77777777" w:rsidR="007D1E74" w:rsidRDefault="00A95641">
            <w:pPr>
              <w:jc w:val="center"/>
              <w:rPr>
                <w:szCs w:val="21"/>
              </w:rPr>
            </w:pPr>
            <w:r>
              <w:rPr>
                <w:szCs w:val="21"/>
              </w:rPr>
              <w:t>0</w:t>
            </w:r>
          </w:p>
        </w:tc>
        <w:tc>
          <w:tcPr>
            <w:tcW w:w="1244" w:type="dxa"/>
            <w:vAlign w:val="center"/>
          </w:tcPr>
          <w:p w14:paraId="1C738A37" w14:textId="77777777" w:rsidR="007D1E74" w:rsidRDefault="00A95641">
            <w:pPr>
              <w:jc w:val="center"/>
              <w:rPr>
                <w:szCs w:val="21"/>
              </w:rPr>
            </w:pPr>
            <w:r>
              <w:rPr>
                <w:szCs w:val="21"/>
              </w:rPr>
              <w:t>0</w:t>
            </w:r>
          </w:p>
        </w:tc>
        <w:tc>
          <w:tcPr>
            <w:tcW w:w="1243" w:type="dxa"/>
            <w:vAlign w:val="center"/>
          </w:tcPr>
          <w:p w14:paraId="178A33FA" w14:textId="77777777" w:rsidR="007D1E74" w:rsidRDefault="00A95641">
            <w:pPr>
              <w:jc w:val="center"/>
              <w:rPr>
                <w:rFonts w:cs="Times New Roman"/>
                <w:szCs w:val="21"/>
              </w:rPr>
            </w:pPr>
            <w:r>
              <w:rPr>
                <w:kern w:val="0"/>
                <w:szCs w:val="21"/>
                <w:lang w:bidi="ar"/>
              </w:rPr>
              <w:t>0.0002</w:t>
            </w:r>
          </w:p>
        </w:tc>
        <w:tc>
          <w:tcPr>
            <w:tcW w:w="1244" w:type="dxa"/>
            <w:vAlign w:val="center"/>
          </w:tcPr>
          <w:p w14:paraId="2BF8C90D" w14:textId="77777777" w:rsidR="007D1E74" w:rsidRDefault="00A95641">
            <w:pPr>
              <w:jc w:val="center"/>
              <w:rPr>
                <w:rFonts w:cs="Times New Roman"/>
                <w:szCs w:val="21"/>
              </w:rPr>
            </w:pPr>
            <w:r>
              <w:rPr>
                <w:kern w:val="0"/>
                <w:szCs w:val="21"/>
                <w:lang w:bidi="ar"/>
              </w:rPr>
              <w:t>0.0059</w:t>
            </w:r>
          </w:p>
        </w:tc>
      </w:tr>
      <w:tr w:rsidR="007D1E74" w14:paraId="0CE475D9" w14:textId="77777777">
        <w:tc>
          <w:tcPr>
            <w:tcW w:w="1838" w:type="dxa"/>
            <w:vAlign w:val="center"/>
          </w:tcPr>
          <w:p w14:paraId="47E1FCE3" w14:textId="77777777" w:rsidR="007D1E74" w:rsidRDefault="00A95641">
            <w:pPr>
              <w:jc w:val="center"/>
              <w:rPr>
                <w:szCs w:val="21"/>
              </w:rPr>
            </w:pPr>
            <w:r>
              <w:rPr>
                <w:kern w:val="0"/>
                <w:szCs w:val="21"/>
                <w:lang w:bidi="ar"/>
              </w:rPr>
              <w:t>4</w:t>
            </w:r>
            <w:r>
              <w:rPr>
                <w:kern w:val="0"/>
                <w:szCs w:val="21"/>
                <w:lang w:bidi="ar"/>
              </w:rPr>
              <w:t>火石岭</w:t>
            </w:r>
          </w:p>
        </w:tc>
        <w:tc>
          <w:tcPr>
            <w:tcW w:w="1243" w:type="dxa"/>
            <w:vAlign w:val="center"/>
          </w:tcPr>
          <w:p w14:paraId="43AF625D" w14:textId="77777777" w:rsidR="007D1E74" w:rsidRDefault="00A95641">
            <w:pPr>
              <w:jc w:val="center"/>
              <w:rPr>
                <w:szCs w:val="21"/>
              </w:rPr>
            </w:pPr>
            <w:r>
              <w:rPr>
                <w:kern w:val="0"/>
                <w:szCs w:val="21"/>
                <w:lang w:bidi="ar"/>
              </w:rPr>
              <w:t>0.0183</w:t>
            </w:r>
          </w:p>
        </w:tc>
        <w:tc>
          <w:tcPr>
            <w:tcW w:w="1244" w:type="dxa"/>
            <w:vAlign w:val="center"/>
          </w:tcPr>
          <w:p w14:paraId="3A5D68B8" w14:textId="77777777" w:rsidR="007D1E74" w:rsidRDefault="00A95641">
            <w:pPr>
              <w:jc w:val="center"/>
              <w:rPr>
                <w:szCs w:val="21"/>
              </w:rPr>
            </w:pPr>
            <w:r>
              <w:rPr>
                <w:kern w:val="0"/>
                <w:szCs w:val="21"/>
                <w:lang w:bidi="ar"/>
              </w:rPr>
              <w:t>0.00080</w:t>
            </w:r>
          </w:p>
        </w:tc>
        <w:tc>
          <w:tcPr>
            <w:tcW w:w="1243" w:type="dxa"/>
            <w:vAlign w:val="center"/>
          </w:tcPr>
          <w:p w14:paraId="2C873A01" w14:textId="77777777" w:rsidR="007D1E74" w:rsidRDefault="00A95641">
            <w:pPr>
              <w:jc w:val="center"/>
              <w:rPr>
                <w:szCs w:val="21"/>
              </w:rPr>
            </w:pPr>
            <w:r>
              <w:rPr>
                <w:kern w:val="0"/>
                <w:szCs w:val="21"/>
                <w:lang w:bidi="ar"/>
              </w:rPr>
              <w:t>0.00008</w:t>
            </w:r>
          </w:p>
        </w:tc>
        <w:tc>
          <w:tcPr>
            <w:tcW w:w="1244" w:type="dxa"/>
            <w:vAlign w:val="center"/>
          </w:tcPr>
          <w:p w14:paraId="5AC90610" w14:textId="77777777" w:rsidR="007D1E74" w:rsidRDefault="00A95641">
            <w:pPr>
              <w:jc w:val="center"/>
              <w:rPr>
                <w:szCs w:val="21"/>
              </w:rPr>
            </w:pPr>
            <w:r>
              <w:rPr>
                <w:kern w:val="0"/>
                <w:szCs w:val="21"/>
                <w:lang w:bidi="ar"/>
              </w:rPr>
              <w:t>0.0009</w:t>
            </w:r>
          </w:p>
        </w:tc>
        <w:tc>
          <w:tcPr>
            <w:tcW w:w="1243" w:type="dxa"/>
            <w:vAlign w:val="center"/>
          </w:tcPr>
          <w:p w14:paraId="6CFA7B83" w14:textId="77777777" w:rsidR="007D1E74" w:rsidRDefault="00A95641">
            <w:pPr>
              <w:jc w:val="center"/>
              <w:rPr>
                <w:rFonts w:cs="Times New Roman"/>
                <w:szCs w:val="21"/>
              </w:rPr>
            </w:pPr>
            <w:r>
              <w:rPr>
                <w:kern w:val="0"/>
                <w:szCs w:val="21"/>
                <w:lang w:bidi="ar"/>
              </w:rPr>
              <w:t>0.0002</w:t>
            </w:r>
          </w:p>
        </w:tc>
        <w:tc>
          <w:tcPr>
            <w:tcW w:w="1244" w:type="dxa"/>
            <w:vAlign w:val="center"/>
          </w:tcPr>
          <w:p w14:paraId="6061396A" w14:textId="77777777" w:rsidR="007D1E74" w:rsidRDefault="00A95641">
            <w:pPr>
              <w:jc w:val="center"/>
              <w:rPr>
                <w:rFonts w:cs="Times New Roman"/>
                <w:szCs w:val="21"/>
              </w:rPr>
            </w:pPr>
            <w:r>
              <w:rPr>
                <w:kern w:val="0"/>
                <w:szCs w:val="21"/>
                <w:lang w:bidi="ar"/>
              </w:rPr>
              <w:t>0.0203</w:t>
            </w:r>
          </w:p>
        </w:tc>
      </w:tr>
    </w:tbl>
    <w:p w14:paraId="3389AD3F" w14:textId="77777777" w:rsidR="007D1E74" w:rsidRDefault="00A95641">
      <w:pPr>
        <w:pStyle w:val="afffff7"/>
        <w:ind w:firstLine="482"/>
      </w:pPr>
      <w:r>
        <w:t>2</w:t>
      </w:r>
      <w:r>
        <w:rPr>
          <w:rFonts w:hint="eastAsia"/>
        </w:rPr>
        <w:t>、浮游动物调查结果</w:t>
      </w:r>
    </w:p>
    <w:p w14:paraId="43C81231" w14:textId="77777777" w:rsidR="007D1E74" w:rsidRDefault="00A95641">
      <w:pPr>
        <w:spacing w:line="360" w:lineRule="auto"/>
        <w:ind w:firstLineChars="200" w:firstLine="482"/>
        <w:rPr>
          <w:b/>
          <w:sz w:val="24"/>
          <w:szCs w:val="24"/>
        </w:rPr>
      </w:pPr>
      <w:r>
        <w:rPr>
          <w:rFonts w:hint="eastAsia"/>
          <w:b/>
          <w:sz w:val="24"/>
          <w:szCs w:val="24"/>
        </w:rPr>
        <w:t>（</w:t>
      </w:r>
      <w:r>
        <w:rPr>
          <w:rFonts w:hint="eastAsia"/>
          <w:b/>
          <w:sz w:val="24"/>
          <w:szCs w:val="24"/>
        </w:rPr>
        <w:t>1</w:t>
      </w:r>
      <w:r>
        <w:rPr>
          <w:rFonts w:hint="eastAsia"/>
          <w:b/>
          <w:sz w:val="24"/>
          <w:szCs w:val="24"/>
        </w:rPr>
        <w:t>）浮游动物的种类组成</w:t>
      </w:r>
    </w:p>
    <w:p w14:paraId="6D6EC681" w14:textId="77777777" w:rsidR="007D1E74" w:rsidRDefault="00A95641">
      <w:pPr>
        <w:spacing w:line="360" w:lineRule="auto"/>
        <w:ind w:firstLineChars="200" w:firstLine="480"/>
        <w:rPr>
          <w:sz w:val="24"/>
          <w:szCs w:val="24"/>
        </w:rPr>
      </w:pPr>
      <w:r>
        <w:rPr>
          <w:rFonts w:hint="eastAsia"/>
          <w:sz w:val="24"/>
          <w:szCs w:val="24"/>
        </w:rPr>
        <w:t>浮游动物（</w:t>
      </w:r>
      <w:r>
        <w:rPr>
          <w:rFonts w:hint="eastAsia"/>
          <w:sz w:val="24"/>
          <w:szCs w:val="24"/>
        </w:rPr>
        <w:t>Zooplankton</w:t>
      </w:r>
      <w:r>
        <w:rPr>
          <w:rFonts w:hint="eastAsia"/>
          <w:sz w:val="24"/>
          <w:szCs w:val="24"/>
        </w:rPr>
        <w:t>）是指悬浮于水中的水生动物，它们或者完全没有游泳能力，或者游泳能力微弱，不能作远距离移动，也不足以抵抗水的流动力。浮游动物是一个复杂的生态类群，包含无脊椎动物的大部分门类。在淡水水体中研究最多的有四类，其中原生动物（</w:t>
      </w:r>
      <w:r>
        <w:rPr>
          <w:rFonts w:hint="eastAsia"/>
          <w:sz w:val="24"/>
          <w:szCs w:val="24"/>
        </w:rPr>
        <w:t>Protozoan</w:t>
      </w:r>
      <w:r>
        <w:rPr>
          <w:rFonts w:hint="eastAsia"/>
          <w:sz w:val="24"/>
          <w:szCs w:val="24"/>
        </w:rPr>
        <w:t>）、轮虫类（</w:t>
      </w:r>
      <w:r>
        <w:rPr>
          <w:rFonts w:hint="eastAsia"/>
          <w:sz w:val="24"/>
          <w:szCs w:val="24"/>
        </w:rPr>
        <w:t>Rotifer</w:t>
      </w:r>
      <w:r>
        <w:rPr>
          <w:rFonts w:hint="eastAsia"/>
          <w:sz w:val="24"/>
          <w:szCs w:val="24"/>
        </w:rPr>
        <w:t>）合称小型浮游动物，枝角类（</w:t>
      </w:r>
      <w:r>
        <w:rPr>
          <w:rFonts w:hint="eastAsia"/>
          <w:sz w:val="24"/>
          <w:szCs w:val="24"/>
        </w:rPr>
        <w:t>Cladocera</w:t>
      </w:r>
      <w:r>
        <w:rPr>
          <w:rFonts w:hint="eastAsia"/>
          <w:sz w:val="24"/>
          <w:szCs w:val="24"/>
        </w:rPr>
        <w:t>）和桡足类（</w:t>
      </w:r>
      <w:r>
        <w:rPr>
          <w:rFonts w:hint="eastAsia"/>
          <w:sz w:val="24"/>
          <w:szCs w:val="24"/>
        </w:rPr>
        <w:t>Copepod</w:t>
      </w:r>
      <w:r>
        <w:rPr>
          <w:rFonts w:hint="eastAsia"/>
          <w:sz w:val="24"/>
          <w:szCs w:val="24"/>
        </w:rPr>
        <w:t>）合称大型浮游动物。</w:t>
      </w:r>
    </w:p>
    <w:p w14:paraId="4DC2217F" w14:textId="77777777" w:rsidR="007D1E74" w:rsidRDefault="00A95641">
      <w:pPr>
        <w:spacing w:line="360" w:lineRule="auto"/>
        <w:ind w:firstLineChars="200" w:firstLine="480"/>
        <w:rPr>
          <w:sz w:val="24"/>
          <w:szCs w:val="24"/>
        </w:rPr>
      </w:pPr>
      <w:r>
        <w:rPr>
          <w:rFonts w:hint="eastAsia"/>
          <w:sz w:val="24"/>
          <w:szCs w:val="24"/>
        </w:rPr>
        <w:t>通过本次标本采集，对</w:t>
      </w:r>
      <w:r>
        <w:rPr>
          <w:rFonts w:hint="eastAsia"/>
          <w:sz w:val="24"/>
          <w:szCs w:val="24"/>
        </w:rPr>
        <w:t>4</w:t>
      </w:r>
      <w:r>
        <w:rPr>
          <w:rFonts w:hint="eastAsia"/>
          <w:sz w:val="24"/>
          <w:szCs w:val="24"/>
        </w:rPr>
        <w:t>个采样点进行浮游动物定性水样镜检，共观察到浮游动物</w:t>
      </w:r>
      <w:r>
        <w:rPr>
          <w:rFonts w:hint="eastAsia"/>
          <w:sz w:val="24"/>
          <w:szCs w:val="24"/>
        </w:rPr>
        <w:t>3</w:t>
      </w:r>
      <w:r>
        <w:rPr>
          <w:rFonts w:hint="eastAsia"/>
          <w:sz w:val="24"/>
          <w:szCs w:val="24"/>
        </w:rPr>
        <w:t>类</w:t>
      </w:r>
      <w:r>
        <w:rPr>
          <w:rFonts w:hint="eastAsia"/>
          <w:sz w:val="24"/>
          <w:szCs w:val="24"/>
        </w:rPr>
        <w:t>7</w:t>
      </w:r>
      <w:r>
        <w:rPr>
          <w:rFonts w:hint="eastAsia"/>
          <w:sz w:val="24"/>
          <w:szCs w:val="24"/>
        </w:rPr>
        <w:t>种，其中原生动物</w:t>
      </w:r>
      <w:r>
        <w:rPr>
          <w:rFonts w:hint="eastAsia"/>
          <w:sz w:val="24"/>
          <w:szCs w:val="24"/>
        </w:rPr>
        <w:t>2</w:t>
      </w:r>
      <w:r>
        <w:rPr>
          <w:rFonts w:hint="eastAsia"/>
          <w:sz w:val="24"/>
          <w:szCs w:val="24"/>
        </w:rPr>
        <w:t>种，占种数的</w:t>
      </w:r>
      <w:r>
        <w:rPr>
          <w:rFonts w:hint="eastAsia"/>
          <w:sz w:val="24"/>
          <w:szCs w:val="24"/>
        </w:rPr>
        <w:t>28.57%</w:t>
      </w:r>
      <w:r>
        <w:rPr>
          <w:rFonts w:hint="eastAsia"/>
          <w:sz w:val="24"/>
          <w:szCs w:val="24"/>
        </w:rPr>
        <w:t>；轮虫</w:t>
      </w:r>
      <w:r>
        <w:rPr>
          <w:rFonts w:hint="eastAsia"/>
          <w:sz w:val="24"/>
          <w:szCs w:val="24"/>
        </w:rPr>
        <w:t>3</w:t>
      </w:r>
      <w:r>
        <w:rPr>
          <w:rFonts w:hint="eastAsia"/>
          <w:sz w:val="24"/>
          <w:szCs w:val="24"/>
        </w:rPr>
        <w:t>种，占种数的</w:t>
      </w:r>
      <w:r>
        <w:rPr>
          <w:rFonts w:hint="eastAsia"/>
          <w:sz w:val="24"/>
          <w:szCs w:val="24"/>
        </w:rPr>
        <w:t>42.86%</w:t>
      </w:r>
      <w:r>
        <w:rPr>
          <w:rFonts w:hint="eastAsia"/>
          <w:sz w:val="24"/>
          <w:szCs w:val="24"/>
        </w:rPr>
        <w:t>；桡足类</w:t>
      </w:r>
      <w:r>
        <w:rPr>
          <w:rFonts w:hint="eastAsia"/>
          <w:sz w:val="24"/>
          <w:szCs w:val="24"/>
        </w:rPr>
        <w:t>2</w:t>
      </w:r>
      <w:r>
        <w:rPr>
          <w:rFonts w:hint="eastAsia"/>
          <w:sz w:val="24"/>
          <w:szCs w:val="24"/>
        </w:rPr>
        <w:t>种，占种数的</w:t>
      </w:r>
      <w:r>
        <w:rPr>
          <w:rFonts w:hint="eastAsia"/>
          <w:sz w:val="24"/>
          <w:szCs w:val="24"/>
        </w:rPr>
        <w:t>28.57%</w:t>
      </w:r>
      <w:r>
        <w:rPr>
          <w:rFonts w:hint="eastAsia"/>
          <w:sz w:val="24"/>
          <w:szCs w:val="24"/>
        </w:rPr>
        <w:t>。</w:t>
      </w:r>
    </w:p>
    <w:p w14:paraId="2B8BEEDD" w14:textId="77777777" w:rsidR="007D1E74" w:rsidRDefault="00A95641">
      <w:pPr>
        <w:pStyle w:val="afffffe"/>
        <w:numPr>
          <w:ilvl w:val="0"/>
          <w:numId w:val="43"/>
        </w:numPr>
        <w:spacing w:line="360" w:lineRule="auto"/>
        <w:ind w:firstLineChars="0"/>
        <w:jc w:val="center"/>
        <w:rPr>
          <w:rFonts w:eastAsia="黑体" w:cs="Times New Roman"/>
          <w:szCs w:val="21"/>
        </w:rPr>
      </w:pPr>
      <w:r>
        <w:rPr>
          <w:rFonts w:eastAsia="黑体" w:cs="Times New Roman" w:hint="eastAsia"/>
          <w:szCs w:val="21"/>
        </w:rPr>
        <w:t>调查水域浮游动物种类分布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1122"/>
        <w:gridCol w:w="1122"/>
        <w:gridCol w:w="1122"/>
        <w:gridCol w:w="1120"/>
      </w:tblGrid>
      <w:tr w:rsidR="007D1E74" w14:paraId="0EB80F68" w14:textId="77777777">
        <w:trPr>
          <w:tblHeader/>
        </w:trPr>
        <w:tc>
          <w:tcPr>
            <w:tcW w:w="2513" w:type="pct"/>
            <w:shd w:val="clear" w:color="auto" w:fill="auto"/>
            <w:vAlign w:val="center"/>
          </w:tcPr>
          <w:p w14:paraId="32575314" w14:textId="77777777" w:rsidR="007D1E74" w:rsidRDefault="00A95641">
            <w:pPr>
              <w:widowControl/>
              <w:jc w:val="center"/>
              <w:rPr>
                <w:rFonts w:ascii="宋体" w:hAnsi="宋体" w:cs="宋体"/>
                <w:kern w:val="0"/>
                <w:szCs w:val="21"/>
              </w:rPr>
            </w:pPr>
            <w:r>
              <w:rPr>
                <w:rFonts w:ascii="宋体" w:hAnsi="宋体" w:cs="宋体" w:hint="eastAsia"/>
                <w:kern w:val="0"/>
                <w:szCs w:val="21"/>
              </w:rPr>
              <w:t>种类</w:t>
            </w:r>
          </w:p>
        </w:tc>
        <w:tc>
          <w:tcPr>
            <w:tcW w:w="622" w:type="pct"/>
            <w:shd w:val="clear" w:color="auto" w:fill="auto"/>
            <w:vAlign w:val="center"/>
          </w:tcPr>
          <w:p w14:paraId="5B1AE1FB" w14:textId="77777777" w:rsidR="007D1E74" w:rsidRDefault="00A95641">
            <w:pPr>
              <w:widowControl/>
              <w:jc w:val="center"/>
              <w:rPr>
                <w:rFonts w:ascii="宋体" w:hAnsi="宋体" w:cs="宋体"/>
                <w:kern w:val="0"/>
                <w:szCs w:val="21"/>
              </w:rPr>
            </w:pPr>
            <w:r>
              <w:rPr>
                <w:rFonts w:ascii="宋体" w:hAnsi="宋体" w:cs="宋体" w:hint="eastAsia"/>
                <w:kern w:val="0"/>
                <w:szCs w:val="21"/>
              </w:rPr>
              <w:t>采样点</w:t>
            </w:r>
            <w:r>
              <w:rPr>
                <w:rFonts w:cs="Times New Roman"/>
                <w:kern w:val="0"/>
                <w:szCs w:val="21"/>
              </w:rPr>
              <w:t>1</w:t>
            </w:r>
          </w:p>
        </w:tc>
        <w:tc>
          <w:tcPr>
            <w:tcW w:w="622" w:type="pct"/>
            <w:shd w:val="clear" w:color="auto" w:fill="auto"/>
            <w:vAlign w:val="center"/>
          </w:tcPr>
          <w:p w14:paraId="315C5178" w14:textId="77777777" w:rsidR="007D1E74" w:rsidRDefault="00A95641">
            <w:pPr>
              <w:widowControl/>
              <w:jc w:val="center"/>
              <w:rPr>
                <w:rFonts w:ascii="宋体" w:hAnsi="宋体" w:cs="宋体"/>
                <w:kern w:val="0"/>
                <w:szCs w:val="21"/>
              </w:rPr>
            </w:pPr>
            <w:r>
              <w:rPr>
                <w:rFonts w:ascii="宋体" w:hAnsi="宋体" w:cs="宋体" w:hint="eastAsia"/>
                <w:kern w:val="0"/>
                <w:szCs w:val="21"/>
              </w:rPr>
              <w:t>采样点</w:t>
            </w:r>
            <w:r>
              <w:rPr>
                <w:rFonts w:cs="Times New Roman"/>
                <w:kern w:val="0"/>
                <w:szCs w:val="21"/>
              </w:rPr>
              <w:t>2</w:t>
            </w:r>
          </w:p>
        </w:tc>
        <w:tc>
          <w:tcPr>
            <w:tcW w:w="622" w:type="pct"/>
            <w:shd w:val="clear" w:color="auto" w:fill="auto"/>
            <w:vAlign w:val="center"/>
          </w:tcPr>
          <w:p w14:paraId="3DAE4907" w14:textId="77777777" w:rsidR="007D1E74" w:rsidRDefault="00A95641">
            <w:pPr>
              <w:widowControl/>
              <w:jc w:val="center"/>
              <w:rPr>
                <w:rFonts w:ascii="宋体" w:hAnsi="宋体" w:cs="宋体"/>
                <w:kern w:val="0"/>
                <w:szCs w:val="21"/>
              </w:rPr>
            </w:pPr>
            <w:r>
              <w:rPr>
                <w:rFonts w:ascii="宋体" w:hAnsi="宋体" w:cs="宋体" w:hint="eastAsia"/>
                <w:kern w:val="0"/>
                <w:szCs w:val="21"/>
              </w:rPr>
              <w:t>采样点</w:t>
            </w:r>
            <w:r>
              <w:rPr>
                <w:rFonts w:cs="Times New Roman"/>
                <w:kern w:val="0"/>
                <w:szCs w:val="21"/>
              </w:rPr>
              <w:t>3</w:t>
            </w:r>
          </w:p>
        </w:tc>
        <w:tc>
          <w:tcPr>
            <w:tcW w:w="621" w:type="pct"/>
            <w:shd w:val="clear" w:color="auto" w:fill="auto"/>
            <w:vAlign w:val="center"/>
          </w:tcPr>
          <w:p w14:paraId="6234629D" w14:textId="77777777" w:rsidR="007D1E74" w:rsidRDefault="00A95641">
            <w:pPr>
              <w:widowControl/>
              <w:jc w:val="center"/>
              <w:rPr>
                <w:rFonts w:ascii="宋体" w:hAnsi="宋体" w:cs="宋体"/>
                <w:kern w:val="0"/>
                <w:szCs w:val="21"/>
              </w:rPr>
            </w:pPr>
            <w:r>
              <w:rPr>
                <w:rFonts w:ascii="宋体" w:hAnsi="宋体" w:cs="宋体" w:hint="eastAsia"/>
                <w:kern w:val="0"/>
                <w:szCs w:val="21"/>
              </w:rPr>
              <w:t>采样点</w:t>
            </w:r>
            <w:r>
              <w:rPr>
                <w:rFonts w:cs="Times New Roman"/>
                <w:kern w:val="0"/>
                <w:szCs w:val="21"/>
              </w:rPr>
              <w:t>4</w:t>
            </w:r>
          </w:p>
        </w:tc>
      </w:tr>
      <w:tr w:rsidR="007D1E74" w14:paraId="2A363272" w14:textId="77777777">
        <w:tc>
          <w:tcPr>
            <w:tcW w:w="2513" w:type="pct"/>
            <w:shd w:val="clear" w:color="auto" w:fill="auto"/>
            <w:vAlign w:val="center"/>
          </w:tcPr>
          <w:p w14:paraId="4633D19D" w14:textId="77777777" w:rsidR="007D1E74" w:rsidRDefault="00A95641">
            <w:pPr>
              <w:widowControl/>
              <w:rPr>
                <w:rFonts w:ascii="宋体" w:hAnsi="宋体" w:cs="宋体"/>
                <w:kern w:val="0"/>
                <w:szCs w:val="21"/>
              </w:rPr>
            </w:pPr>
            <w:r>
              <w:rPr>
                <w:b/>
                <w:szCs w:val="21"/>
              </w:rPr>
              <w:t>一、原生动物</w:t>
            </w:r>
            <w:r>
              <w:rPr>
                <w:b/>
                <w:szCs w:val="21"/>
              </w:rPr>
              <w:t xml:space="preserve"> Protozoa</w:t>
            </w:r>
          </w:p>
        </w:tc>
        <w:tc>
          <w:tcPr>
            <w:tcW w:w="622" w:type="pct"/>
            <w:shd w:val="clear" w:color="auto" w:fill="auto"/>
            <w:vAlign w:val="center"/>
          </w:tcPr>
          <w:p w14:paraId="4CFD3CCA" w14:textId="77777777" w:rsidR="007D1E74" w:rsidRDefault="007D1E74">
            <w:pPr>
              <w:widowControl/>
              <w:jc w:val="center"/>
              <w:rPr>
                <w:rFonts w:cs="Times New Roman"/>
                <w:kern w:val="0"/>
                <w:szCs w:val="21"/>
              </w:rPr>
            </w:pPr>
          </w:p>
        </w:tc>
        <w:tc>
          <w:tcPr>
            <w:tcW w:w="622" w:type="pct"/>
            <w:shd w:val="clear" w:color="auto" w:fill="auto"/>
            <w:vAlign w:val="center"/>
          </w:tcPr>
          <w:p w14:paraId="2A11F989" w14:textId="77777777" w:rsidR="007D1E74" w:rsidRDefault="007D1E74">
            <w:pPr>
              <w:widowControl/>
              <w:jc w:val="center"/>
              <w:rPr>
                <w:rFonts w:cs="Times New Roman"/>
                <w:kern w:val="0"/>
                <w:szCs w:val="21"/>
              </w:rPr>
            </w:pPr>
          </w:p>
        </w:tc>
        <w:tc>
          <w:tcPr>
            <w:tcW w:w="622" w:type="pct"/>
            <w:shd w:val="clear" w:color="auto" w:fill="auto"/>
            <w:vAlign w:val="center"/>
          </w:tcPr>
          <w:p w14:paraId="0E9EC2AE" w14:textId="77777777" w:rsidR="007D1E74" w:rsidRDefault="007D1E74">
            <w:pPr>
              <w:widowControl/>
              <w:jc w:val="center"/>
              <w:rPr>
                <w:rFonts w:cs="Times New Roman"/>
                <w:kern w:val="0"/>
                <w:szCs w:val="21"/>
              </w:rPr>
            </w:pPr>
          </w:p>
        </w:tc>
        <w:tc>
          <w:tcPr>
            <w:tcW w:w="621" w:type="pct"/>
            <w:shd w:val="clear" w:color="auto" w:fill="auto"/>
            <w:vAlign w:val="center"/>
          </w:tcPr>
          <w:p w14:paraId="7B9F52BE" w14:textId="77777777" w:rsidR="007D1E74" w:rsidRDefault="007D1E74">
            <w:pPr>
              <w:widowControl/>
              <w:jc w:val="center"/>
              <w:rPr>
                <w:rFonts w:cs="Times New Roman"/>
                <w:kern w:val="0"/>
                <w:szCs w:val="21"/>
              </w:rPr>
            </w:pPr>
          </w:p>
        </w:tc>
      </w:tr>
      <w:tr w:rsidR="007D1E74" w14:paraId="23B779A0" w14:textId="77777777">
        <w:trPr>
          <w:trHeight w:val="60"/>
        </w:trPr>
        <w:tc>
          <w:tcPr>
            <w:tcW w:w="2513" w:type="pct"/>
            <w:shd w:val="clear" w:color="auto" w:fill="auto"/>
            <w:vAlign w:val="center"/>
          </w:tcPr>
          <w:p w14:paraId="7C39F6C8" w14:textId="77777777" w:rsidR="007D1E74" w:rsidRDefault="00A95641">
            <w:pPr>
              <w:widowControl/>
              <w:rPr>
                <w:rFonts w:ascii="宋体" w:hAnsi="宋体" w:cs="宋体"/>
                <w:kern w:val="0"/>
                <w:szCs w:val="21"/>
              </w:rPr>
            </w:pPr>
            <w:r>
              <w:rPr>
                <w:bCs/>
                <w:szCs w:val="21"/>
              </w:rPr>
              <w:t>（</w:t>
            </w:r>
            <w:r>
              <w:rPr>
                <w:bCs/>
                <w:szCs w:val="21"/>
              </w:rPr>
              <w:t>1</w:t>
            </w:r>
            <w:r>
              <w:rPr>
                <w:bCs/>
                <w:szCs w:val="21"/>
              </w:rPr>
              <w:t>）钟形钟虫</w:t>
            </w:r>
            <w:r>
              <w:rPr>
                <w:bCs/>
                <w:i/>
                <w:iCs/>
                <w:szCs w:val="21"/>
              </w:rPr>
              <w:t>Vorticella campanula</w:t>
            </w:r>
          </w:p>
        </w:tc>
        <w:tc>
          <w:tcPr>
            <w:tcW w:w="622" w:type="pct"/>
            <w:shd w:val="clear" w:color="auto" w:fill="auto"/>
            <w:vAlign w:val="center"/>
          </w:tcPr>
          <w:p w14:paraId="56BD5FC6" w14:textId="77777777" w:rsidR="007D1E74" w:rsidRDefault="00A95641">
            <w:pPr>
              <w:widowControl/>
              <w:jc w:val="center"/>
              <w:rPr>
                <w:rFonts w:cs="Times New Roman"/>
                <w:kern w:val="0"/>
                <w:szCs w:val="21"/>
              </w:rPr>
            </w:pPr>
            <w:r>
              <w:rPr>
                <w:bCs/>
                <w:szCs w:val="21"/>
              </w:rPr>
              <w:t>-</w:t>
            </w:r>
          </w:p>
        </w:tc>
        <w:tc>
          <w:tcPr>
            <w:tcW w:w="622" w:type="pct"/>
            <w:shd w:val="clear" w:color="auto" w:fill="auto"/>
            <w:vAlign w:val="center"/>
          </w:tcPr>
          <w:p w14:paraId="3A10185B" w14:textId="77777777" w:rsidR="007D1E74" w:rsidRDefault="007D1E74">
            <w:pPr>
              <w:widowControl/>
              <w:jc w:val="center"/>
              <w:rPr>
                <w:rFonts w:cs="Times New Roman"/>
                <w:kern w:val="0"/>
                <w:szCs w:val="21"/>
              </w:rPr>
            </w:pPr>
          </w:p>
        </w:tc>
        <w:tc>
          <w:tcPr>
            <w:tcW w:w="622" w:type="pct"/>
            <w:shd w:val="clear" w:color="auto" w:fill="auto"/>
            <w:vAlign w:val="center"/>
          </w:tcPr>
          <w:p w14:paraId="16832457" w14:textId="77777777" w:rsidR="007D1E74" w:rsidRDefault="007D1E74">
            <w:pPr>
              <w:widowControl/>
              <w:jc w:val="center"/>
              <w:rPr>
                <w:rFonts w:cs="Times New Roman"/>
                <w:kern w:val="0"/>
                <w:szCs w:val="21"/>
              </w:rPr>
            </w:pPr>
          </w:p>
        </w:tc>
        <w:tc>
          <w:tcPr>
            <w:tcW w:w="621" w:type="pct"/>
            <w:shd w:val="clear" w:color="auto" w:fill="auto"/>
            <w:vAlign w:val="center"/>
          </w:tcPr>
          <w:p w14:paraId="4015E9CF" w14:textId="77777777" w:rsidR="007D1E74" w:rsidRDefault="00A95641">
            <w:pPr>
              <w:widowControl/>
              <w:jc w:val="center"/>
              <w:rPr>
                <w:rFonts w:cs="Times New Roman"/>
                <w:kern w:val="0"/>
                <w:szCs w:val="21"/>
              </w:rPr>
            </w:pPr>
            <w:r>
              <w:rPr>
                <w:bCs/>
                <w:szCs w:val="21"/>
              </w:rPr>
              <w:t>+</w:t>
            </w:r>
          </w:p>
        </w:tc>
      </w:tr>
      <w:tr w:rsidR="007D1E74" w14:paraId="00F4B7D5" w14:textId="77777777">
        <w:trPr>
          <w:trHeight w:val="60"/>
        </w:trPr>
        <w:tc>
          <w:tcPr>
            <w:tcW w:w="2513" w:type="pct"/>
            <w:shd w:val="clear" w:color="auto" w:fill="auto"/>
            <w:vAlign w:val="center"/>
          </w:tcPr>
          <w:p w14:paraId="50C1B748" w14:textId="77777777" w:rsidR="007D1E74" w:rsidRDefault="00A95641">
            <w:pPr>
              <w:widowControl/>
              <w:rPr>
                <w:rFonts w:cs="Times New Roman"/>
                <w:kern w:val="0"/>
                <w:szCs w:val="21"/>
              </w:rPr>
            </w:pPr>
            <w:r>
              <w:rPr>
                <w:bCs/>
                <w:szCs w:val="21"/>
              </w:rPr>
              <w:t>（</w:t>
            </w:r>
            <w:r>
              <w:rPr>
                <w:bCs/>
                <w:szCs w:val="21"/>
              </w:rPr>
              <w:t>2</w:t>
            </w:r>
            <w:r>
              <w:rPr>
                <w:bCs/>
                <w:szCs w:val="21"/>
              </w:rPr>
              <w:t>）球形砂壳虫</w:t>
            </w:r>
            <w:r>
              <w:rPr>
                <w:i/>
                <w:kern w:val="0"/>
                <w:szCs w:val="21"/>
                <w:lang w:bidi="ar"/>
              </w:rPr>
              <w:t>Difflugia globulosa </w:t>
            </w:r>
          </w:p>
        </w:tc>
        <w:tc>
          <w:tcPr>
            <w:tcW w:w="622" w:type="pct"/>
            <w:shd w:val="clear" w:color="auto" w:fill="auto"/>
            <w:vAlign w:val="center"/>
          </w:tcPr>
          <w:p w14:paraId="32A11BED" w14:textId="77777777" w:rsidR="007D1E74" w:rsidRDefault="00A95641">
            <w:pPr>
              <w:widowControl/>
              <w:jc w:val="center"/>
              <w:rPr>
                <w:rFonts w:cs="Times New Roman"/>
                <w:kern w:val="0"/>
                <w:szCs w:val="21"/>
              </w:rPr>
            </w:pPr>
            <w:r>
              <w:rPr>
                <w:bCs/>
                <w:szCs w:val="21"/>
              </w:rPr>
              <w:t>-</w:t>
            </w:r>
          </w:p>
        </w:tc>
        <w:tc>
          <w:tcPr>
            <w:tcW w:w="622" w:type="pct"/>
            <w:shd w:val="clear" w:color="auto" w:fill="auto"/>
            <w:vAlign w:val="center"/>
          </w:tcPr>
          <w:p w14:paraId="69B9139C" w14:textId="77777777" w:rsidR="007D1E74" w:rsidRDefault="007D1E74">
            <w:pPr>
              <w:widowControl/>
              <w:jc w:val="center"/>
              <w:rPr>
                <w:rFonts w:cs="Times New Roman"/>
                <w:kern w:val="0"/>
                <w:szCs w:val="21"/>
              </w:rPr>
            </w:pPr>
          </w:p>
        </w:tc>
        <w:tc>
          <w:tcPr>
            <w:tcW w:w="622" w:type="pct"/>
            <w:shd w:val="clear" w:color="auto" w:fill="auto"/>
            <w:vAlign w:val="center"/>
          </w:tcPr>
          <w:p w14:paraId="7C323091" w14:textId="77777777" w:rsidR="007D1E74" w:rsidRDefault="007D1E74">
            <w:pPr>
              <w:widowControl/>
              <w:jc w:val="center"/>
              <w:rPr>
                <w:rFonts w:cs="Times New Roman"/>
                <w:kern w:val="0"/>
                <w:szCs w:val="21"/>
              </w:rPr>
            </w:pPr>
          </w:p>
        </w:tc>
        <w:tc>
          <w:tcPr>
            <w:tcW w:w="621" w:type="pct"/>
            <w:shd w:val="clear" w:color="auto" w:fill="auto"/>
            <w:vAlign w:val="center"/>
          </w:tcPr>
          <w:p w14:paraId="2C7E3645" w14:textId="77777777" w:rsidR="007D1E74" w:rsidRDefault="007D1E74">
            <w:pPr>
              <w:widowControl/>
              <w:jc w:val="center"/>
              <w:rPr>
                <w:rFonts w:cs="Times New Roman"/>
                <w:kern w:val="0"/>
                <w:szCs w:val="21"/>
              </w:rPr>
            </w:pPr>
          </w:p>
        </w:tc>
      </w:tr>
      <w:tr w:rsidR="007D1E74" w14:paraId="6E047C5A" w14:textId="77777777">
        <w:trPr>
          <w:trHeight w:val="60"/>
        </w:trPr>
        <w:tc>
          <w:tcPr>
            <w:tcW w:w="2513" w:type="pct"/>
            <w:shd w:val="clear" w:color="auto" w:fill="auto"/>
            <w:vAlign w:val="center"/>
          </w:tcPr>
          <w:p w14:paraId="473D13C9" w14:textId="77777777" w:rsidR="007D1E74" w:rsidRDefault="00A95641">
            <w:pPr>
              <w:widowControl/>
              <w:rPr>
                <w:rFonts w:cs="Times New Roman"/>
                <w:kern w:val="0"/>
                <w:szCs w:val="21"/>
              </w:rPr>
            </w:pPr>
            <w:r>
              <w:rPr>
                <w:b/>
                <w:szCs w:val="21"/>
              </w:rPr>
              <w:t>二、轮虫</w:t>
            </w:r>
            <w:r>
              <w:rPr>
                <w:b/>
                <w:szCs w:val="21"/>
              </w:rPr>
              <w:t>Rotifera</w:t>
            </w:r>
          </w:p>
        </w:tc>
        <w:tc>
          <w:tcPr>
            <w:tcW w:w="622" w:type="pct"/>
            <w:shd w:val="clear" w:color="auto" w:fill="auto"/>
            <w:vAlign w:val="center"/>
          </w:tcPr>
          <w:p w14:paraId="0D2CE2B6" w14:textId="77777777" w:rsidR="007D1E74" w:rsidRDefault="007D1E74">
            <w:pPr>
              <w:widowControl/>
              <w:jc w:val="center"/>
              <w:rPr>
                <w:rFonts w:cs="Times New Roman"/>
                <w:kern w:val="0"/>
                <w:szCs w:val="21"/>
              </w:rPr>
            </w:pPr>
          </w:p>
        </w:tc>
        <w:tc>
          <w:tcPr>
            <w:tcW w:w="622" w:type="pct"/>
            <w:shd w:val="clear" w:color="auto" w:fill="auto"/>
            <w:vAlign w:val="center"/>
          </w:tcPr>
          <w:p w14:paraId="0E021326" w14:textId="77777777" w:rsidR="007D1E74" w:rsidRDefault="007D1E74">
            <w:pPr>
              <w:widowControl/>
              <w:jc w:val="center"/>
              <w:rPr>
                <w:rFonts w:cs="Times New Roman"/>
                <w:kern w:val="0"/>
                <w:szCs w:val="21"/>
              </w:rPr>
            </w:pPr>
          </w:p>
        </w:tc>
        <w:tc>
          <w:tcPr>
            <w:tcW w:w="622" w:type="pct"/>
            <w:shd w:val="clear" w:color="auto" w:fill="auto"/>
            <w:vAlign w:val="center"/>
          </w:tcPr>
          <w:p w14:paraId="00A540AC" w14:textId="77777777" w:rsidR="007D1E74" w:rsidRDefault="007D1E74">
            <w:pPr>
              <w:widowControl/>
              <w:jc w:val="center"/>
              <w:rPr>
                <w:rFonts w:cs="Times New Roman"/>
                <w:kern w:val="0"/>
                <w:szCs w:val="21"/>
              </w:rPr>
            </w:pPr>
          </w:p>
        </w:tc>
        <w:tc>
          <w:tcPr>
            <w:tcW w:w="621" w:type="pct"/>
            <w:shd w:val="clear" w:color="auto" w:fill="auto"/>
            <w:vAlign w:val="center"/>
          </w:tcPr>
          <w:p w14:paraId="5EAEABDF" w14:textId="77777777" w:rsidR="007D1E74" w:rsidRDefault="007D1E74">
            <w:pPr>
              <w:widowControl/>
              <w:jc w:val="center"/>
              <w:rPr>
                <w:rFonts w:cs="Times New Roman"/>
                <w:kern w:val="0"/>
                <w:szCs w:val="21"/>
              </w:rPr>
            </w:pPr>
          </w:p>
        </w:tc>
      </w:tr>
      <w:tr w:rsidR="007D1E74" w14:paraId="1D850678" w14:textId="77777777">
        <w:trPr>
          <w:trHeight w:val="60"/>
        </w:trPr>
        <w:tc>
          <w:tcPr>
            <w:tcW w:w="2513" w:type="pct"/>
            <w:shd w:val="clear" w:color="auto" w:fill="auto"/>
            <w:vAlign w:val="center"/>
          </w:tcPr>
          <w:p w14:paraId="3D23750B" w14:textId="77777777" w:rsidR="007D1E74" w:rsidRDefault="00A95641">
            <w:pPr>
              <w:widowControl/>
              <w:rPr>
                <w:rFonts w:cs="Times New Roman"/>
                <w:kern w:val="0"/>
                <w:szCs w:val="21"/>
              </w:rPr>
            </w:pPr>
            <w:r>
              <w:rPr>
                <w:szCs w:val="21"/>
              </w:rPr>
              <w:t>（</w:t>
            </w:r>
            <w:r>
              <w:rPr>
                <w:szCs w:val="21"/>
              </w:rPr>
              <w:t>3</w:t>
            </w:r>
            <w:r>
              <w:rPr>
                <w:szCs w:val="21"/>
              </w:rPr>
              <w:t>）月形单趾轮虫</w:t>
            </w:r>
            <w:r>
              <w:rPr>
                <w:i/>
                <w:kern w:val="0"/>
                <w:szCs w:val="21"/>
              </w:rPr>
              <w:t xml:space="preserve"> Vahlkampfia limax </w:t>
            </w:r>
          </w:p>
        </w:tc>
        <w:tc>
          <w:tcPr>
            <w:tcW w:w="622" w:type="pct"/>
            <w:shd w:val="clear" w:color="auto" w:fill="auto"/>
            <w:vAlign w:val="center"/>
          </w:tcPr>
          <w:p w14:paraId="144DF3A7" w14:textId="77777777" w:rsidR="007D1E74" w:rsidRDefault="00A95641">
            <w:pPr>
              <w:widowControl/>
              <w:jc w:val="center"/>
              <w:rPr>
                <w:rFonts w:cs="Times New Roman"/>
                <w:kern w:val="0"/>
                <w:szCs w:val="21"/>
              </w:rPr>
            </w:pPr>
            <w:r>
              <w:rPr>
                <w:bCs/>
                <w:szCs w:val="21"/>
              </w:rPr>
              <w:t>-</w:t>
            </w:r>
          </w:p>
        </w:tc>
        <w:tc>
          <w:tcPr>
            <w:tcW w:w="622" w:type="pct"/>
            <w:shd w:val="clear" w:color="auto" w:fill="auto"/>
            <w:vAlign w:val="center"/>
          </w:tcPr>
          <w:p w14:paraId="0D88FA2E" w14:textId="77777777" w:rsidR="007D1E74" w:rsidRDefault="007D1E74">
            <w:pPr>
              <w:widowControl/>
              <w:jc w:val="center"/>
              <w:rPr>
                <w:rFonts w:cs="Times New Roman"/>
                <w:kern w:val="0"/>
                <w:szCs w:val="21"/>
              </w:rPr>
            </w:pPr>
          </w:p>
        </w:tc>
        <w:tc>
          <w:tcPr>
            <w:tcW w:w="622" w:type="pct"/>
            <w:shd w:val="clear" w:color="auto" w:fill="auto"/>
            <w:vAlign w:val="center"/>
          </w:tcPr>
          <w:p w14:paraId="5AF26624" w14:textId="77777777" w:rsidR="007D1E74" w:rsidRDefault="007D1E74">
            <w:pPr>
              <w:widowControl/>
              <w:jc w:val="center"/>
              <w:rPr>
                <w:rFonts w:cs="Times New Roman"/>
                <w:kern w:val="0"/>
                <w:szCs w:val="21"/>
              </w:rPr>
            </w:pPr>
          </w:p>
        </w:tc>
        <w:tc>
          <w:tcPr>
            <w:tcW w:w="621" w:type="pct"/>
            <w:shd w:val="clear" w:color="auto" w:fill="auto"/>
            <w:vAlign w:val="center"/>
          </w:tcPr>
          <w:p w14:paraId="20454C18" w14:textId="77777777" w:rsidR="007D1E74" w:rsidRDefault="007D1E74">
            <w:pPr>
              <w:widowControl/>
              <w:jc w:val="center"/>
              <w:rPr>
                <w:rFonts w:cs="Times New Roman"/>
                <w:kern w:val="0"/>
                <w:szCs w:val="21"/>
              </w:rPr>
            </w:pPr>
          </w:p>
        </w:tc>
      </w:tr>
      <w:tr w:rsidR="007D1E74" w14:paraId="412F93AE" w14:textId="77777777">
        <w:trPr>
          <w:trHeight w:val="60"/>
        </w:trPr>
        <w:tc>
          <w:tcPr>
            <w:tcW w:w="2513" w:type="pct"/>
            <w:shd w:val="clear" w:color="auto" w:fill="auto"/>
            <w:vAlign w:val="center"/>
          </w:tcPr>
          <w:p w14:paraId="1355E397" w14:textId="77777777" w:rsidR="007D1E74" w:rsidRDefault="00A95641">
            <w:pPr>
              <w:widowControl/>
              <w:rPr>
                <w:rFonts w:cs="Times New Roman"/>
                <w:kern w:val="0"/>
                <w:szCs w:val="21"/>
              </w:rPr>
            </w:pPr>
            <w:r>
              <w:rPr>
                <w:szCs w:val="21"/>
              </w:rPr>
              <w:t>（</w:t>
            </w:r>
            <w:r>
              <w:rPr>
                <w:szCs w:val="21"/>
              </w:rPr>
              <w:t>4</w:t>
            </w:r>
            <w:r>
              <w:rPr>
                <w:szCs w:val="21"/>
              </w:rPr>
              <w:t>）方块鬼轮虫</w:t>
            </w:r>
            <w:r>
              <w:rPr>
                <w:i/>
                <w:kern w:val="0"/>
                <w:szCs w:val="21"/>
              </w:rPr>
              <w:t xml:space="preserve"> Trichotria letractis</w:t>
            </w:r>
          </w:p>
        </w:tc>
        <w:tc>
          <w:tcPr>
            <w:tcW w:w="622" w:type="pct"/>
            <w:shd w:val="clear" w:color="auto" w:fill="auto"/>
            <w:vAlign w:val="center"/>
          </w:tcPr>
          <w:p w14:paraId="6108E1F5" w14:textId="77777777" w:rsidR="007D1E74" w:rsidRDefault="007D1E74">
            <w:pPr>
              <w:widowControl/>
              <w:jc w:val="center"/>
              <w:rPr>
                <w:rFonts w:cs="Times New Roman"/>
                <w:kern w:val="0"/>
                <w:szCs w:val="21"/>
              </w:rPr>
            </w:pPr>
          </w:p>
        </w:tc>
        <w:tc>
          <w:tcPr>
            <w:tcW w:w="622" w:type="pct"/>
            <w:shd w:val="clear" w:color="auto" w:fill="auto"/>
            <w:vAlign w:val="center"/>
          </w:tcPr>
          <w:p w14:paraId="2CD1667F" w14:textId="77777777" w:rsidR="007D1E74" w:rsidRDefault="007D1E74">
            <w:pPr>
              <w:widowControl/>
              <w:jc w:val="center"/>
              <w:rPr>
                <w:rFonts w:cs="Times New Roman"/>
                <w:kern w:val="0"/>
                <w:szCs w:val="21"/>
              </w:rPr>
            </w:pPr>
          </w:p>
        </w:tc>
        <w:tc>
          <w:tcPr>
            <w:tcW w:w="622" w:type="pct"/>
            <w:shd w:val="clear" w:color="auto" w:fill="auto"/>
            <w:vAlign w:val="center"/>
          </w:tcPr>
          <w:p w14:paraId="7855DE97" w14:textId="77777777" w:rsidR="007D1E74" w:rsidRDefault="007D1E74">
            <w:pPr>
              <w:widowControl/>
              <w:jc w:val="center"/>
              <w:rPr>
                <w:rFonts w:cs="Times New Roman"/>
                <w:kern w:val="0"/>
                <w:szCs w:val="21"/>
              </w:rPr>
            </w:pPr>
          </w:p>
        </w:tc>
        <w:tc>
          <w:tcPr>
            <w:tcW w:w="621" w:type="pct"/>
            <w:shd w:val="clear" w:color="auto" w:fill="auto"/>
            <w:vAlign w:val="center"/>
          </w:tcPr>
          <w:p w14:paraId="11493980" w14:textId="77777777" w:rsidR="007D1E74" w:rsidRDefault="00A95641">
            <w:pPr>
              <w:widowControl/>
              <w:jc w:val="center"/>
              <w:rPr>
                <w:rFonts w:cs="Times New Roman"/>
                <w:kern w:val="0"/>
                <w:szCs w:val="21"/>
              </w:rPr>
            </w:pPr>
            <w:r>
              <w:rPr>
                <w:bCs/>
                <w:szCs w:val="21"/>
              </w:rPr>
              <w:t>-</w:t>
            </w:r>
          </w:p>
        </w:tc>
      </w:tr>
      <w:tr w:rsidR="007D1E74" w14:paraId="3474DFDD" w14:textId="77777777">
        <w:trPr>
          <w:trHeight w:val="60"/>
        </w:trPr>
        <w:tc>
          <w:tcPr>
            <w:tcW w:w="2513" w:type="pct"/>
            <w:shd w:val="clear" w:color="auto" w:fill="auto"/>
            <w:vAlign w:val="center"/>
          </w:tcPr>
          <w:p w14:paraId="59414C2E" w14:textId="77777777" w:rsidR="007D1E74" w:rsidRDefault="00A95641">
            <w:pPr>
              <w:widowControl/>
              <w:rPr>
                <w:rFonts w:cs="Times New Roman"/>
                <w:kern w:val="0"/>
                <w:szCs w:val="21"/>
              </w:rPr>
            </w:pPr>
            <w:r>
              <w:rPr>
                <w:bCs/>
                <w:szCs w:val="21"/>
              </w:rPr>
              <w:t>（</w:t>
            </w:r>
            <w:r>
              <w:rPr>
                <w:bCs/>
                <w:szCs w:val="21"/>
              </w:rPr>
              <w:t>5</w:t>
            </w:r>
            <w:r>
              <w:rPr>
                <w:bCs/>
                <w:szCs w:val="21"/>
              </w:rPr>
              <w:t>）罗氏异尾轮虫</w:t>
            </w:r>
            <w:r>
              <w:rPr>
                <w:i/>
                <w:iCs/>
                <w:szCs w:val="21"/>
              </w:rPr>
              <w:t>Trichocerca rousseleti</w:t>
            </w:r>
          </w:p>
        </w:tc>
        <w:tc>
          <w:tcPr>
            <w:tcW w:w="622" w:type="pct"/>
            <w:shd w:val="clear" w:color="auto" w:fill="auto"/>
            <w:vAlign w:val="center"/>
          </w:tcPr>
          <w:p w14:paraId="391475F9" w14:textId="77777777" w:rsidR="007D1E74" w:rsidRDefault="007D1E74">
            <w:pPr>
              <w:widowControl/>
              <w:jc w:val="center"/>
              <w:rPr>
                <w:rFonts w:cs="Times New Roman"/>
                <w:kern w:val="0"/>
                <w:szCs w:val="21"/>
              </w:rPr>
            </w:pPr>
          </w:p>
        </w:tc>
        <w:tc>
          <w:tcPr>
            <w:tcW w:w="622" w:type="pct"/>
            <w:shd w:val="clear" w:color="auto" w:fill="auto"/>
            <w:vAlign w:val="center"/>
          </w:tcPr>
          <w:p w14:paraId="60FEB58F" w14:textId="77777777" w:rsidR="007D1E74" w:rsidRDefault="00A95641">
            <w:pPr>
              <w:widowControl/>
              <w:jc w:val="center"/>
              <w:rPr>
                <w:rFonts w:cs="Times New Roman"/>
                <w:kern w:val="0"/>
                <w:szCs w:val="21"/>
              </w:rPr>
            </w:pPr>
            <w:r>
              <w:rPr>
                <w:bCs/>
                <w:szCs w:val="21"/>
              </w:rPr>
              <w:t>-</w:t>
            </w:r>
          </w:p>
        </w:tc>
        <w:tc>
          <w:tcPr>
            <w:tcW w:w="622" w:type="pct"/>
            <w:shd w:val="clear" w:color="auto" w:fill="auto"/>
            <w:vAlign w:val="center"/>
          </w:tcPr>
          <w:p w14:paraId="26882291" w14:textId="77777777" w:rsidR="007D1E74" w:rsidRDefault="007D1E74">
            <w:pPr>
              <w:widowControl/>
              <w:jc w:val="center"/>
              <w:rPr>
                <w:rFonts w:cs="Times New Roman"/>
                <w:kern w:val="0"/>
                <w:szCs w:val="21"/>
              </w:rPr>
            </w:pPr>
          </w:p>
        </w:tc>
        <w:tc>
          <w:tcPr>
            <w:tcW w:w="621" w:type="pct"/>
            <w:shd w:val="clear" w:color="auto" w:fill="auto"/>
            <w:vAlign w:val="center"/>
          </w:tcPr>
          <w:p w14:paraId="4FA2D291" w14:textId="77777777" w:rsidR="007D1E74" w:rsidRDefault="007D1E74">
            <w:pPr>
              <w:widowControl/>
              <w:jc w:val="center"/>
              <w:rPr>
                <w:rFonts w:cs="Times New Roman"/>
                <w:kern w:val="0"/>
                <w:szCs w:val="21"/>
              </w:rPr>
            </w:pPr>
          </w:p>
        </w:tc>
      </w:tr>
      <w:tr w:rsidR="007D1E74" w14:paraId="70828259" w14:textId="77777777">
        <w:trPr>
          <w:trHeight w:val="60"/>
        </w:trPr>
        <w:tc>
          <w:tcPr>
            <w:tcW w:w="2513" w:type="pct"/>
            <w:shd w:val="clear" w:color="auto" w:fill="auto"/>
            <w:vAlign w:val="center"/>
          </w:tcPr>
          <w:p w14:paraId="02BCFD4D" w14:textId="77777777" w:rsidR="007D1E74" w:rsidRDefault="00A95641">
            <w:pPr>
              <w:widowControl/>
              <w:rPr>
                <w:rFonts w:cs="Times New Roman"/>
                <w:kern w:val="0"/>
                <w:szCs w:val="21"/>
              </w:rPr>
            </w:pPr>
            <w:r>
              <w:rPr>
                <w:b/>
                <w:kern w:val="0"/>
                <w:szCs w:val="21"/>
              </w:rPr>
              <w:t>三、桡足类</w:t>
            </w:r>
            <w:r>
              <w:rPr>
                <w:b/>
                <w:kern w:val="0"/>
                <w:szCs w:val="21"/>
              </w:rPr>
              <w:t xml:space="preserve"> Copepoda</w:t>
            </w:r>
          </w:p>
        </w:tc>
        <w:tc>
          <w:tcPr>
            <w:tcW w:w="622" w:type="pct"/>
            <w:shd w:val="clear" w:color="auto" w:fill="auto"/>
            <w:vAlign w:val="center"/>
          </w:tcPr>
          <w:p w14:paraId="274E288C" w14:textId="77777777" w:rsidR="007D1E74" w:rsidRDefault="007D1E74">
            <w:pPr>
              <w:widowControl/>
              <w:jc w:val="center"/>
              <w:rPr>
                <w:rFonts w:cs="Times New Roman"/>
                <w:kern w:val="0"/>
                <w:szCs w:val="21"/>
              </w:rPr>
            </w:pPr>
          </w:p>
        </w:tc>
        <w:tc>
          <w:tcPr>
            <w:tcW w:w="622" w:type="pct"/>
            <w:shd w:val="clear" w:color="auto" w:fill="auto"/>
            <w:vAlign w:val="center"/>
          </w:tcPr>
          <w:p w14:paraId="7C7657D4" w14:textId="77777777" w:rsidR="007D1E74" w:rsidRDefault="007D1E74">
            <w:pPr>
              <w:widowControl/>
              <w:jc w:val="center"/>
              <w:rPr>
                <w:rFonts w:cs="Times New Roman"/>
                <w:kern w:val="0"/>
                <w:szCs w:val="21"/>
              </w:rPr>
            </w:pPr>
          </w:p>
        </w:tc>
        <w:tc>
          <w:tcPr>
            <w:tcW w:w="622" w:type="pct"/>
            <w:shd w:val="clear" w:color="auto" w:fill="auto"/>
            <w:vAlign w:val="center"/>
          </w:tcPr>
          <w:p w14:paraId="6314501B" w14:textId="77777777" w:rsidR="007D1E74" w:rsidRDefault="007D1E74">
            <w:pPr>
              <w:widowControl/>
              <w:jc w:val="center"/>
              <w:rPr>
                <w:rFonts w:cs="Times New Roman"/>
                <w:kern w:val="0"/>
                <w:szCs w:val="21"/>
              </w:rPr>
            </w:pPr>
          </w:p>
        </w:tc>
        <w:tc>
          <w:tcPr>
            <w:tcW w:w="621" w:type="pct"/>
            <w:shd w:val="clear" w:color="auto" w:fill="auto"/>
            <w:vAlign w:val="center"/>
          </w:tcPr>
          <w:p w14:paraId="1D5211D3" w14:textId="77777777" w:rsidR="007D1E74" w:rsidRDefault="007D1E74">
            <w:pPr>
              <w:widowControl/>
              <w:jc w:val="center"/>
              <w:rPr>
                <w:rFonts w:cs="Times New Roman"/>
                <w:kern w:val="0"/>
                <w:szCs w:val="21"/>
              </w:rPr>
            </w:pPr>
          </w:p>
        </w:tc>
      </w:tr>
      <w:tr w:rsidR="007D1E74" w14:paraId="3B1E607B" w14:textId="77777777">
        <w:trPr>
          <w:trHeight w:val="60"/>
        </w:trPr>
        <w:tc>
          <w:tcPr>
            <w:tcW w:w="2513" w:type="pct"/>
            <w:shd w:val="clear" w:color="auto" w:fill="auto"/>
            <w:vAlign w:val="center"/>
          </w:tcPr>
          <w:p w14:paraId="59CF8119" w14:textId="77777777" w:rsidR="007D1E74" w:rsidRDefault="00A95641">
            <w:pPr>
              <w:widowControl/>
              <w:rPr>
                <w:rFonts w:cs="Times New Roman"/>
                <w:kern w:val="0"/>
                <w:szCs w:val="21"/>
              </w:rPr>
            </w:pPr>
            <w:r>
              <w:rPr>
                <w:szCs w:val="21"/>
              </w:rPr>
              <w:t>（</w:t>
            </w:r>
            <w:r>
              <w:rPr>
                <w:szCs w:val="21"/>
              </w:rPr>
              <w:t>6</w:t>
            </w:r>
            <w:r>
              <w:rPr>
                <w:szCs w:val="21"/>
              </w:rPr>
              <w:t>）</w:t>
            </w:r>
            <w:r>
              <w:rPr>
                <w:bCs/>
                <w:szCs w:val="21"/>
              </w:rPr>
              <w:t>剑水蚤</w:t>
            </w:r>
            <w:r>
              <w:rPr>
                <w:bCs/>
                <w:i/>
                <w:kern w:val="0"/>
                <w:szCs w:val="21"/>
              </w:rPr>
              <w:t>C.strenuous</w:t>
            </w:r>
          </w:p>
        </w:tc>
        <w:tc>
          <w:tcPr>
            <w:tcW w:w="622" w:type="pct"/>
            <w:shd w:val="clear" w:color="auto" w:fill="auto"/>
            <w:vAlign w:val="center"/>
          </w:tcPr>
          <w:p w14:paraId="08988429" w14:textId="77777777" w:rsidR="007D1E74" w:rsidRDefault="007D1E74">
            <w:pPr>
              <w:widowControl/>
              <w:jc w:val="center"/>
              <w:rPr>
                <w:rFonts w:cs="Times New Roman"/>
                <w:kern w:val="0"/>
                <w:szCs w:val="21"/>
              </w:rPr>
            </w:pPr>
          </w:p>
        </w:tc>
        <w:tc>
          <w:tcPr>
            <w:tcW w:w="622" w:type="pct"/>
            <w:shd w:val="clear" w:color="auto" w:fill="auto"/>
            <w:vAlign w:val="center"/>
          </w:tcPr>
          <w:p w14:paraId="5E12D7D5" w14:textId="77777777" w:rsidR="007D1E74" w:rsidRDefault="00A95641">
            <w:pPr>
              <w:widowControl/>
              <w:jc w:val="center"/>
              <w:rPr>
                <w:rFonts w:cs="Times New Roman"/>
                <w:kern w:val="0"/>
                <w:szCs w:val="21"/>
              </w:rPr>
            </w:pPr>
            <w:r>
              <w:rPr>
                <w:bCs/>
                <w:szCs w:val="21"/>
              </w:rPr>
              <w:t>-</w:t>
            </w:r>
          </w:p>
        </w:tc>
        <w:tc>
          <w:tcPr>
            <w:tcW w:w="622" w:type="pct"/>
            <w:shd w:val="clear" w:color="auto" w:fill="auto"/>
            <w:vAlign w:val="center"/>
          </w:tcPr>
          <w:p w14:paraId="13EEF666" w14:textId="77777777" w:rsidR="007D1E74" w:rsidRDefault="007D1E74">
            <w:pPr>
              <w:widowControl/>
              <w:jc w:val="center"/>
              <w:rPr>
                <w:rFonts w:cs="Times New Roman"/>
                <w:kern w:val="0"/>
                <w:szCs w:val="21"/>
              </w:rPr>
            </w:pPr>
          </w:p>
        </w:tc>
        <w:tc>
          <w:tcPr>
            <w:tcW w:w="621" w:type="pct"/>
            <w:shd w:val="clear" w:color="auto" w:fill="auto"/>
            <w:vAlign w:val="center"/>
          </w:tcPr>
          <w:p w14:paraId="516F6FBC" w14:textId="77777777" w:rsidR="007D1E74" w:rsidRDefault="00A95641">
            <w:pPr>
              <w:widowControl/>
              <w:jc w:val="center"/>
              <w:rPr>
                <w:rFonts w:cs="Times New Roman"/>
                <w:kern w:val="0"/>
                <w:szCs w:val="21"/>
              </w:rPr>
            </w:pPr>
            <w:r>
              <w:rPr>
                <w:bCs/>
                <w:szCs w:val="21"/>
              </w:rPr>
              <w:t>-</w:t>
            </w:r>
          </w:p>
        </w:tc>
      </w:tr>
      <w:tr w:rsidR="007D1E74" w14:paraId="6B56BBCC" w14:textId="77777777">
        <w:tc>
          <w:tcPr>
            <w:tcW w:w="2513" w:type="pct"/>
            <w:shd w:val="clear" w:color="auto" w:fill="auto"/>
            <w:vAlign w:val="center"/>
          </w:tcPr>
          <w:p w14:paraId="176818B7" w14:textId="77777777" w:rsidR="007D1E74" w:rsidRDefault="00A95641">
            <w:pPr>
              <w:widowControl/>
              <w:rPr>
                <w:rFonts w:ascii="宋体" w:hAnsi="宋体" w:cs="宋体"/>
                <w:kern w:val="0"/>
                <w:szCs w:val="21"/>
              </w:rPr>
            </w:pPr>
            <w:r>
              <w:rPr>
                <w:szCs w:val="21"/>
              </w:rPr>
              <w:t>（</w:t>
            </w:r>
            <w:r>
              <w:rPr>
                <w:szCs w:val="21"/>
              </w:rPr>
              <w:t>7</w:t>
            </w:r>
            <w:r>
              <w:rPr>
                <w:szCs w:val="21"/>
              </w:rPr>
              <w:t>）无节幼体</w:t>
            </w:r>
          </w:p>
        </w:tc>
        <w:tc>
          <w:tcPr>
            <w:tcW w:w="622" w:type="pct"/>
            <w:shd w:val="clear" w:color="auto" w:fill="auto"/>
            <w:vAlign w:val="center"/>
          </w:tcPr>
          <w:p w14:paraId="0F88E9A4" w14:textId="77777777" w:rsidR="007D1E74" w:rsidRDefault="00A95641">
            <w:pPr>
              <w:widowControl/>
              <w:jc w:val="center"/>
              <w:rPr>
                <w:rFonts w:cs="Times New Roman"/>
                <w:kern w:val="0"/>
                <w:szCs w:val="21"/>
              </w:rPr>
            </w:pPr>
            <w:r>
              <w:rPr>
                <w:bCs/>
                <w:szCs w:val="21"/>
              </w:rPr>
              <w:t>-</w:t>
            </w:r>
          </w:p>
        </w:tc>
        <w:tc>
          <w:tcPr>
            <w:tcW w:w="622" w:type="pct"/>
            <w:shd w:val="clear" w:color="auto" w:fill="auto"/>
            <w:vAlign w:val="center"/>
          </w:tcPr>
          <w:p w14:paraId="12780528" w14:textId="77777777" w:rsidR="007D1E74" w:rsidRDefault="007D1E74">
            <w:pPr>
              <w:widowControl/>
              <w:jc w:val="center"/>
              <w:rPr>
                <w:rFonts w:cs="Times New Roman"/>
                <w:kern w:val="0"/>
                <w:szCs w:val="21"/>
              </w:rPr>
            </w:pPr>
          </w:p>
        </w:tc>
        <w:tc>
          <w:tcPr>
            <w:tcW w:w="622" w:type="pct"/>
            <w:shd w:val="clear" w:color="auto" w:fill="auto"/>
            <w:vAlign w:val="center"/>
          </w:tcPr>
          <w:p w14:paraId="216A9B70" w14:textId="77777777" w:rsidR="007D1E74" w:rsidRDefault="007D1E74">
            <w:pPr>
              <w:widowControl/>
              <w:jc w:val="center"/>
              <w:rPr>
                <w:rFonts w:cs="Times New Roman"/>
                <w:kern w:val="0"/>
                <w:szCs w:val="21"/>
              </w:rPr>
            </w:pPr>
          </w:p>
        </w:tc>
        <w:tc>
          <w:tcPr>
            <w:tcW w:w="621" w:type="pct"/>
            <w:shd w:val="clear" w:color="auto" w:fill="auto"/>
            <w:vAlign w:val="center"/>
          </w:tcPr>
          <w:p w14:paraId="11D9CB3E" w14:textId="77777777" w:rsidR="007D1E74" w:rsidRDefault="00A95641">
            <w:pPr>
              <w:widowControl/>
              <w:jc w:val="center"/>
              <w:rPr>
                <w:rFonts w:cs="Times New Roman"/>
                <w:kern w:val="0"/>
                <w:szCs w:val="21"/>
              </w:rPr>
            </w:pPr>
            <w:r>
              <w:rPr>
                <w:bCs/>
                <w:szCs w:val="21"/>
              </w:rPr>
              <w:t>-</w:t>
            </w:r>
          </w:p>
        </w:tc>
      </w:tr>
      <w:tr w:rsidR="007D1E74" w14:paraId="451153C6" w14:textId="77777777">
        <w:tc>
          <w:tcPr>
            <w:tcW w:w="5000" w:type="pct"/>
            <w:gridSpan w:val="5"/>
            <w:shd w:val="clear" w:color="auto" w:fill="auto"/>
            <w:vAlign w:val="center"/>
          </w:tcPr>
          <w:p w14:paraId="796F7CBD" w14:textId="77777777" w:rsidR="007D1E74" w:rsidRDefault="00A95641">
            <w:pPr>
              <w:widowControl/>
              <w:rPr>
                <w:bCs/>
                <w:szCs w:val="21"/>
              </w:rPr>
            </w:pPr>
            <w:r>
              <w:rPr>
                <w:bCs/>
                <w:szCs w:val="21"/>
              </w:rPr>
              <w:t>注：</w:t>
            </w:r>
            <w:r>
              <w:rPr>
                <w:rFonts w:hint="eastAsia"/>
                <w:bCs/>
                <w:szCs w:val="21"/>
              </w:rPr>
              <w:t>“﹢”表示一般、“﹣”表示较少。</w:t>
            </w:r>
          </w:p>
        </w:tc>
      </w:tr>
    </w:tbl>
    <w:p w14:paraId="44C7A92C" w14:textId="77777777" w:rsidR="007D1E74" w:rsidRDefault="00A95641">
      <w:pPr>
        <w:spacing w:line="360" w:lineRule="auto"/>
        <w:ind w:firstLineChars="200" w:firstLine="482"/>
        <w:rPr>
          <w:b/>
          <w:sz w:val="24"/>
          <w:szCs w:val="24"/>
        </w:rPr>
      </w:pPr>
      <w:r>
        <w:rPr>
          <w:rFonts w:hint="eastAsia"/>
          <w:b/>
          <w:sz w:val="24"/>
          <w:szCs w:val="24"/>
        </w:rPr>
        <w:t>（</w:t>
      </w:r>
      <w:r>
        <w:rPr>
          <w:b/>
          <w:sz w:val="24"/>
          <w:szCs w:val="24"/>
        </w:rPr>
        <w:t>2</w:t>
      </w:r>
      <w:r>
        <w:rPr>
          <w:rFonts w:hint="eastAsia"/>
          <w:b/>
          <w:sz w:val="24"/>
          <w:szCs w:val="24"/>
        </w:rPr>
        <w:t>）浮游动物的种群密度</w:t>
      </w:r>
    </w:p>
    <w:p w14:paraId="3AB1D972" w14:textId="77777777" w:rsidR="007D1E74" w:rsidRDefault="00A95641">
      <w:pPr>
        <w:spacing w:line="360" w:lineRule="auto"/>
        <w:ind w:firstLineChars="200" w:firstLine="480"/>
        <w:rPr>
          <w:sz w:val="24"/>
          <w:szCs w:val="24"/>
        </w:rPr>
      </w:pPr>
      <w:r>
        <w:rPr>
          <w:rFonts w:hint="eastAsia"/>
          <w:sz w:val="24"/>
          <w:szCs w:val="24"/>
        </w:rPr>
        <w:t>对调查水域</w:t>
      </w:r>
      <w:r>
        <w:rPr>
          <w:rFonts w:hint="eastAsia"/>
          <w:sz w:val="24"/>
          <w:szCs w:val="24"/>
        </w:rPr>
        <w:t>4</w:t>
      </w:r>
      <w:r>
        <w:rPr>
          <w:rFonts w:hint="eastAsia"/>
          <w:sz w:val="24"/>
          <w:szCs w:val="24"/>
        </w:rPr>
        <w:t>个采样点的浮游动物进行定量分析，浮游动物种群密度详见下表。</w:t>
      </w:r>
    </w:p>
    <w:p w14:paraId="53EFC9CC" w14:textId="77777777" w:rsidR="007D1E74" w:rsidRDefault="007D1E74">
      <w:pPr>
        <w:spacing w:line="360" w:lineRule="auto"/>
        <w:ind w:firstLineChars="200" w:firstLine="480"/>
        <w:rPr>
          <w:sz w:val="24"/>
          <w:szCs w:val="24"/>
        </w:rPr>
      </w:pPr>
    </w:p>
    <w:p w14:paraId="311D79B7" w14:textId="77777777" w:rsidR="007D1E74" w:rsidRDefault="007D1E74">
      <w:pPr>
        <w:spacing w:line="360" w:lineRule="auto"/>
        <w:ind w:firstLineChars="200" w:firstLine="480"/>
        <w:rPr>
          <w:sz w:val="24"/>
          <w:szCs w:val="24"/>
        </w:rPr>
      </w:pPr>
    </w:p>
    <w:p w14:paraId="52D33CD1" w14:textId="77777777" w:rsidR="007D1E74" w:rsidRDefault="007D1E74">
      <w:pPr>
        <w:spacing w:line="360" w:lineRule="auto"/>
        <w:ind w:firstLineChars="200" w:firstLine="480"/>
        <w:rPr>
          <w:sz w:val="24"/>
          <w:szCs w:val="24"/>
        </w:rPr>
      </w:pPr>
    </w:p>
    <w:p w14:paraId="0CD107E1" w14:textId="77777777" w:rsidR="007D1E74" w:rsidRDefault="00A95641">
      <w:pPr>
        <w:pStyle w:val="afffffe"/>
        <w:numPr>
          <w:ilvl w:val="0"/>
          <w:numId w:val="43"/>
        </w:numPr>
        <w:spacing w:line="360" w:lineRule="auto"/>
        <w:ind w:firstLineChars="0"/>
        <w:jc w:val="center"/>
        <w:rPr>
          <w:rFonts w:eastAsia="黑体" w:cs="Times New Roman"/>
          <w:szCs w:val="21"/>
        </w:rPr>
      </w:pPr>
      <w:r>
        <w:rPr>
          <w:rFonts w:eastAsia="黑体" w:cs="Times New Roman" w:hint="eastAsia"/>
          <w:szCs w:val="21"/>
        </w:rPr>
        <w:t>调查水域浮游动物种群密度</w:t>
      </w:r>
    </w:p>
    <w:tbl>
      <w:tblPr>
        <w:tblStyle w:val="affffc"/>
        <w:tblW w:w="5000" w:type="pct"/>
        <w:tblLook w:val="04A0" w:firstRow="1" w:lastRow="0" w:firstColumn="1" w:lastColumn="0" w:noHBand="0" w:noVBand="1"/>
      </w:tblPr>
      <w:tblGrid>
        <w:gridCol w:w="2194"/>
        <w:gridCol w:w="2274"/>
        <w:gridCol w:w="2274"/>
        <w:gridCol w:w="2274"/>
      </w:tblGrid>
      <w:tr w:rsidR="007D1E74" w14:paraId="03768E07" w14:textId="77777777">
        <w:tc>
          <w:tcPr>
            <w:tcW w:w="1217" w:type="pct"/>
            <w:vMerge w:val="restart"/>
            <w:vAlign w:val="center"/>
          </w:tcPr>
          <w:p w14:paraId="4A27F012" w14:textId="77777777" w:rsidR="007D1E74" w:rsidRDefault="00A95641">
            <w:pPr>
              <w:jc w:val="center"/>
              <w:rPr>
                <w:szCs w:val="21"/>
              </w:rPr>
            </w:pPr>
            <w:r>
              <w:rPr>
                <w:szCs w:val="21"/>
              </w:rPr>
              <w:t>采样点</w:t>
            </w:r>
          </w:p>
        </w:tc>
        <w:tc>
          <w:tcPr>
            <w:tcW w:w="3783" w:type="pct"/>
            <w:gridSpan w:val="3"/>
            <w:vAlign w:val="center"/>
          </w:tcPr>
          <w:p w14:paraId="7931B841" w14:textId="77777777" w:rsidR="007D1E74" w:rsidRDefault="00A95641">
            <w:pPr>
              <w:jc w:val="center"/>
              <w:rPr>
                <w:bCs/>
                <w:szCs w:val="21"/>
              </w:rPr>
            </w:pPr>
            <w:r>
              <w:rPr>
                <w:rFonts w:hint="eastAsia"/>
                <w:bCs/>
                <w:szCs w:val="21"/>
              </w:rPr>
              <w:t>种群密度（</w:t>
            </w:r>
            <w:r>
              <w:rPr>
                <w:rFonts w:hint="eastAsia"/>
                <w:bCs/>
                <w:szCs w:val="21"/>
              </w:rPr>
              <w:t>ind/L</w:t>
            </w:r>
            <w:r>
              <w:rPr>
                <w:rFonts w:hint="eastAsia"/>
                <w:bCs/>
                <w:szCs w:val="21"/>
              </w:rPr>
              <w:t>）</w:t>
            </w:r>
          </w:p>
        </w:tc>
      </w:tr>
      <w:tr w:rsidR="007D1E74" w14:paraId="06DAA087" w14:textId="77777777">
        <w:tc>
          <w:tcPr>
            <w:tcW w:w="1217" w:type="pct"/>
            <w:vMerge/>
            <w:vAlign w:val="center"/>
          </w:tcPr>
          <w:p w14:paraId="7633521F" w14:textId="77777777" w:rsidR="007D1E74" w:rsidRDefault="007D1E74">
            <w:pPr>
              <w:jc w:val="center"/>
              <w:rPr>
                <w:szCs w:val="21"/>
              </w:rPr>
            </w:pPr>
          </w:p>
        </w:tc>
        <w:tc>
          <w:tcPr>
            <w:tcW w:w="1261" w:type="pct"/>
            <w:vAlign w:val="center"/>
          </w:tcPr>
          <w:p w14:paraId="29E25637" w14:textId="77777777" w:rsidR="007D1E74" w:rsidRDefault="00A95641">
            <w:pPr>
              <w:jc w:val="center"/>
              <w:rPr>
                <w:szCs w:val="21"/>
              </w:rPr>
            </w:pPr>
            <w:r>
              <w:rPr>
                <w:kern w:val="0"/>
                <w:szCs w:val="21"/>
                <w:lang w:bidi="ar"/>
              </w:rPr>
              <w:t>原生动物</w:t>
            </w:r>
          </w:p>
        </w:tc>
        <w:tc>
          <w:tcPr>
            <w:tcW w:w="1261" w:type="pct"/>
            <w:vAlign w:val="center"/>
          </w:tcPr>
          <w:p w14:paraId="6B1245A2" w14:textId="77777777" w:rsidR="007D1E74" w:rsidRDefault="00A95641">
            <w:pPr>
              <w:jc w:val="center"/>
              <w:rPr>
                <w:rFonts w:cs="Times New Roman"/>
                <w:szCs w:val="21"/>
              </w:rPr>
            </w:pPr>
            <w:r>
              <w:rPr>
                <w:kern w:val="0"/>
                <w:szCs w:val="21"/>
                <w:lang w:bidi="ar"/>
              </w:rPr>
              <w:t>轮虫</w:t>
            </w:r>
          </w:p>
        </w:tc>
        <w:tc>
          <w:tcPr>
            <w:tcW w:w="1261" w:type="pct"/>
            <w:vAlign w:val="center"/>
          </w:tcPr>
          <w:p w14:paraId="370646E5" w14:textId="77777777" w:rsidR="007D1E74" w:rsidRDefault="00A95641">
            <w:pPr>
              <w:jc w:val="center"/>
              <w:rPr>
                <w:rFonts w:cs="Times New Roman"/>
                <w:szCs w:val="21"/>
              </w:rPr>
            </w:pPr>
            <w:r>
              <w:rPr>
                <w:kern w:val="0"/>
                <w:szCs w:val="21"/>
                <w:lang w:bidi="ar"/>
              </w:rPr>
              <w:t>合计</w:t>
            </w:r>
          </w:p>
        </w:tc>
      </w:tr>
      <w:tr w:rsidR="007D1E74" w14:paraId="117FBB0D" w14:textId="77777777">
        <w:tc>
          <w:tcPr>
            <w:tcW w:w="1217" w:type="pct"/>
            <w:vAlign w:val="center"/>
          </w:tcPr>
          <w:p w14:paraId="0C4D0CA6" w14:textId="77777777" w:rsidR="007D1E74" w:rsidRDefault="00A95641">
            <w:pPr>
              <w:jc w:val="center"/>
              <w:rPr>
                <w:szCs w:val="21"/>
              </w:rPr>
            </w:pPr>
            <w:r>
              <w:rPr>
                <w:kern w:val="0"/>
                <w:szCs w:val="21"/>
                <w:lang w:bidi="ar"/>
              </w:rPr>
              <w:t>1</w:t>
            </w:r>
          </w:p>
        </w:tc>
        <w:tc>
          <w:tcPr>
            <w:tcW w:w="1261" w:type="pct"/>
            <w:vAlign w:val="center"/>
          </w:tcPr>
          <w:p w14:paraId="02EAF93A" w14:textId="77777777" w:rsidR="007D1E74" w:rsidRDefault="00A95641">
            <w:pPr>
              <w:jc w:val="center"/>
              <w:rPr>
                <w:szCs w:val="21"/>
              </w:rPr>
            </w:pPr>
            <w:r>
              <w:rPr>
                <w:kern w:val="0"/>
                <w:szCs w:val="21"/>
                <w:lang w:bidi="ar"/>
              </w:rPr>
              <w:t>12</w:t>
            </w:r>
          </w:p>
        </w:tc>
        <w:tc>
          <w:tcPr>
            <w:tcW w:w="1261" w:type="pct"/>
            <w:vAlign w:val="center"/>
          </w:tcPr>
          <w:p w14:paraId="0B67CD09" w14:textId="77777777" w:rsidR="007D1E74" w:rsidRDefault="00A95641">
            <w:pPr>
              <w:jc w:val="center"/>
              <w:rPr>
                <w:rFonts w:cs="Times New Roman"/>
                <w:szCs w:val="21"/>
              </w:rPr>
            </w:pPr>
            <w:r>
              <w:rPr>
                <w:szCs w:val="21"/>
              </w:rPr>
              <w:t>0</w:t>
            </w:r>
          </w:p>
        </w:tc>
        <w:tc>
          <w:tcPr>
            <w:tcW w:w="1261" w:type="pct"/>
            <w:vAlign w:val="center"/>
          </w:tcPr>
          <w:p w14:paraId="28319722" w14:textId="77777777" w:rsidR="007D1E74" w:rsidRDefault="00A95641">
            <w:pPr>
              <w:jc w:val="center"/>
              <w:rPr>
                <w:rFonts w:cs="Times New Roman"/>
                <w:szCs w:val="21"/>
              </w:rPr>
            </w:pPr>
            <w:r>
              <w:rPr>
                <w:kern w:val="0"/>
                <w:szCs w:val="21"/>
                <w:lang w:bidi="ar"/>
              </w:rPr>
              <w:t>12</w:t>
            </w:r>
          </w:p>
        </w:tc>
      </w:tr>
      <w:tr w:rsidR="007D1E74" w14:paraId="51EA2F83" w14:textId="77777777">
        <w:tc>
          <w:tcPr>
            <w:tcW w:w="1217" w:type="pct"/>
            <w:vAlign w:val="center"/>
          </w:tcPr>
          <w:p w14:paraId="6C37A5CB" w14:textId="77777777" w:rsidR="007D1E74" w:rsidRDefault="00A95641">
            <w:pPr>
              <w:jc w:val="center"/>
              <w:rPr>
                <w:szCs w:val="21"/>
              </w:rPr>
            </w:pPr>
            <w:r>
              <w:rPr>
                <w:kern w:val="0"/>
                <w:szCs w:val="21"/>
                <w:lang w:bidi="ar"/>
              </w:rPr>
              <w:t>2</w:t>
            </w:r>
          </w:p>
        </w:tc>
        <w:tc>
          <w:tcPr>
            <w:tcW w:w="1261" w:type="pct"/>
            <w:vAlign w:val="center"/>
          </w:tcPr>
          <w:p w14:paraId="2DE04A8E" w14:textId="77777777" w:rsidR="007D1E74" w:rsidRDefault="00A95641">
            <w:pPr>
              <w:jc w:val="center"/>
              <w:rPr>
                <w:szCs w:val="21"/>
              </w:rPr>
            </w:pPr>
            <w:r>
              <w:rPr>
                <w:kern w:val="0"/>
                <w:szCs w:val="21"/>
                <w:lang w:bidi="ar"/>
              </w:rPr>
              <w:t>26</w:t>
            </w:r>
          </w:p>
        </w:tc>
        <w:tc>
          <w:tcPr>
            <w:tcW w:w="1261" w:type="pct"/>
            <w:vAlign w:val="center"/>
          </w:tcPr>
          <w:p w14:paraId="1098F7BD" w14:textId="77777777" w:rsidR="007D1E74" w:rsidRDefault="00A95641">
            <w:pPr>
              <w:jc w:val="center"/>
              <w:rPr>
                <w:rFonts w:cs="Times New Roman"/>
                <w:szCs w:val="21"/>
              </w:rPr>
            </w:pPr>
            <w:r>
              <w:rPr>
                <w:szCs w:val="21"/>
              </w:rPr>
              <w:t>0</w:t>
            </w:r>
          </w:p>
        </w:tc>
        <w:tc>
          <w:tcPr>
            <w:tcW w:w="1261" w:type="pct"/>
            <w:vAlign w:val="center"/>
          </w:tcPr>
          <w:p w14:paraId="5764D271" w14:textId="77777777" w:rsidR="007D1E74" w:rsidRDefault="00A95641">
            <w:pPr>
              <w:jc w:val="center"/>
              <w:rPr>
                <w:rFonts w:cs="Times New Roman"/>
                <w:szCs w:val="21"/>
              </w:rPr>
            </w:pPr>
            <w:r>
              <w:rPr>
                <w:kern w:val="0"/>
                <w:szCs w:val="21"/>
                <w:lang w:bidi="ar"/>
              </w:rPr>
              <w:t>26</w:t>
            </w:r>
          </w:p>
        </w:tc>
      </w:tr>
      <w:tr w:rsidR="007D1E74" w14:paraId="5C7EB86B" w14:textId="77777777">
        <w:tc>
          <w:tcPr>
            <w:tcW w:w="1217" w:type="pct"/>
            <w:vAlign w:val="center"/>
          </w:tcPr>
          <w:p w14:paraId="202D951A" w14:textId="77777777" w:rsidR="007D1E74" w:rsidRDefault="00A95641">
            <w:pPr>
              <w:jc w:val="center"/>
              <w:rPr>
                <w:szCs w:val="21"/>
              </w:rPr>
            </w:pPr>
            <w:r>
              <w:rPr>
                <w:kern w:val="0"/>
                <w:szCs w:val="21"/>
                <w:lang w:bidi="ar"/>
              </w:rPr>
              <w:lastRenderedPageBreak/>
              <w:t>3</w:t>
            </w:r>
          </w:p>
        </w:tc>
        <w:tc>
          <w:tcPr>
            <w:tcW w:w="1261" w:type="pct"/>
            <w:vAlign w:val="center"/>
          </w:tcPr>
          <w:p w14:paraId="0FBDB820" w14:textId="77777777" w:rsidR="007D1E74" w:rsidRDefault="00A95641">
            <w:pPr>
              <w:jc w:val="center"/>
              <w:rPr>
                <w:szCs w:val="21"/>
              </w:rPr>
            </w:pPr>
            <w:r>
              <w:rPr>
                <w:kern w:val="0"/>
                <w:szCs w:val="21"/>
                <w:lang w:bidi="ar"/>
              </w:rPr>
              <w:t>34</w:t>
            </w:r>
          </w:p>
        </w:tc>
        <w:tc>
          <w:tcPr>
            <w:tcW w:w="1261" w:type="pct"/>
            <w:vAlign w:val="center"/>
          </w:tcPr>
          <w:p w14:paraId="7C4D6782" w14:textId="77777777" w:rsidR="007D1E74" w:rsidRDefault="00A95641">
            <w:pPr>
              <w:jc w:val="center"/>
              <w:rPr>
                <w:rFonts w:cs="Times New Roman"/>
                <w:szCs w:val="21"/>
              </w:rPr>
            </w:pPr>
            <w:r>
              <w:rPr>
                <w:kern w:val="0"/>
                <w:szCs w:val="21"/>
                <w:lang w:bidi="ar"/>
              </w:rPr>
              <w:t>34</w:t>
            </w:r>
          </w:p>
        </w:tc>
        <w:tc>
          <w:tcPr>
            <w:tcW w:w="1261" w:type="pct"/>
            <w:vAlign w:val="center"/>
          </w:tcPr>
          <w:p w14:paraId="4088D5CC" w14:textId="77777777" w:rsidR="007D1E74" w:rsidRDefault="00A95641">
            <w:pPr>
              <w:jc w:val="center"/>
              <w:rPr>
                <w:rFonts w:cs="Times New Roman"/>
                <w:szCs w:val="21"/>
              </w:rPr>
            </w:pPr>
            <w:r>
              <w:rPr>
                <w:kern w:val="0"/>
                <w:szCs w:val="21"/>
                <w:lang w:bidi="ar"/>
              </w:rPr>
              <w:t>68</w:t>
            </w:r>
          </w:p>
        </w:tc>
      </w:tr>
      <w:tr w:rsidR="007D1E74" w14:paraId="1FF889AF" w14:textId="77777777">
        <w:tc>
          <w:tcPr>
            <w:tcW w:w="1217" w:type="pct"/>
            <w:vAlign w:val="center"/>
          </w:tcPr>
          <w:p w14:paraId="0475BB63" w14:textId="77777777" w:rsidR="007D1E74" w:rsidRDefault="00A95641">
            <w:pPr>
              <w:jc w:val="center"/>
              <w:rPr>
                <w:szCs w:val="21"/>
              </w:rPr>
            </w:pPr>
            <w:r>
              <w:rPr>
                <w:kern w:val="0"/>
                <w:szCs w:val="21"/>
                <w:lang w:bidi="ar"/>
              </w:rPr>
              <w:t>4</w:t>
            </w:r>
          </w:p>
        </w:tc>
        <w:tc>
          <w:tcPr>
            <w:tcW w:w="1261" w:type="pct"/>
            <w:vAlign w:val="center"/>
          </w:tcPr>
          <w:p w14:paraId="33A288A0" w14:textId="77777777" w:rsidR="007D1E74" w:rsidRDefault="00A95641">
            <w:pPr>
              <w:jc w:val="center"/>
              <w:rPr>
                <w:szCs w:val="21"/>
              </w:rPr>
            </w:pPr>
            <w:r>
              <w:rPr>
                <w:kern w:val="0"/>
                <w:szCs w:val="21"/>
                <w:lang w:bidi="ar"/>
              </w:rPr>
              <w:t>53</w:t>
            </w:r>
          </w:p>
        </w:tc>
        <w:tc>
          <w:tcPr>
            <w:tcW w:w="1261" w:type="pct"/>
            <w:vAlign w:val="center"/>
          </w:tcPr>
          <w:p w14:paraId="7D603CC9" w14:textId="77777777" w:rsidR="007D1E74" w:rsidRDefault="00A95641">
            <w:pPr>
              <w:jc w:val="center"/>
              <w:rPr>
                <w:rFonts w:cs="Times New Roman"/>
                <w:szCs w:val="21"/>
              </w:rPr>
            </w:pPr>
            <w:r>
              <w:rPr>
                <w:kern w:val="0"/>
                <w:szCs w:val="21"/>
                <w:lang w:bidi="ar"/>
              </w:rPr>
              <w:t>26</w:t>
            </w:r>
          </w:p>
        </w:tc>
        <w:tc>
          <w:tcPr>
            <w:tcW w:w="1261" w:type="pct"/>
            <w:vAlign w:val="center"/>
          </w:tcPr>
          <w:p w14:paraId="7008E2FA" w14:textId="77777777" w:rsidR="007D1E74" w:rsidRDefault="00A95641">
            <w:pPr>
              <w:jc w:val="center"/>
              <w:rPr>
                <w:rFonts w:cs="Times New Roman"/>
                <w:szCs w:val="21"/>
              </w:rPr>
            </w:pPr>
            <w:r>
              <w:rPr>
                <w:kern w:val="0"/>
                <w:szCs w:val="21"/>
                <w:lang w:bidi="ar"/>
              </w:rPr>
              <w:t>79</w:t>
            </w:r>
          </w:p>
        </w:tc>
      </w:tr>
    </w:tbl>
    <w:p w14:paraId="1CC6B19A" w14:textId="77777777" w:rsidR="007D1E74" w:rsidRDefault="00A95641">
      <w:pPr>
        <w:pStyle w:val="afffff7"/>
        <w:ind w:firstLine="482"/>
      </w:pPr>
      <w:r>
        <w:t>3</w:t>
      </w:r>
      <w:r>
        <w:rPr>
          <w:rFonts w:hint="eastAsia"/>
        </w:rPr>
        <w:t>、水生维管束植物</w:t>
      </w:r>
    </w:p>
    <w:p w14:paraId="0D982F2D" w14:textId="77777777" w:rsidR="007D1E74" w:rsidRDefault="00A95641">
      <w:pPr>
        <w:spacing w:line="360" w:lineRule="auto"/>
        <w:ind w:firstLineChars="200" w:firstLine="480"/>
        <w:rPr>
          <w:sz w:val="24"/>
          <w:szCs w:val="24"/>
        </w:rPr>
      </w:pPr>
      <w:r>
        <w:rPr>
          <w:rFonts w:hint="eastAsia"/>
          <w:sz w:val="24"/>
          <w:szCs w:val="24"/>
        </w:rPr>
        <w:t>水生维管束植物是水体中的生产者之一，可作鱼类的饵料和繁殖生活场所，是水生生态系统中的基本环节。本次调查水生维管束植物主要在水草集中的区域进行采集，未进行采样点的分配。主要种类空心莲子草（</w:t>
      </w:r>
      <w:r>
        <w:rPr>
          <w:rFonts w:hint="eastAsia"/>
          <w:i/>
          <w:sz w:val="24"/>
          <w:szCs w:val="24"/>
        </w:rPr>
        <w:t>Alternanthera philoxeroides</w:t>
      </w:r>
      <w:r>
        <w:rPr>
          <w:rFonts w:hint="eastAsia"/>
          <w:sz w:val="24"/>
          <w:szCs w:val="24"/>
        </w:rPr>
        <w:t>）、狐尾藻（</w:t>
      </w:r>
      <w:r>
        <w:rPr>
          <w:rFonts w:hint="eastAsia"/>
          <w:i/>
          <w:sz w:val="24"/>
          <w:szCs w:val="24"/>
        </w:rPr>
        <w:t>Myriophyllum verticillatum</w:t>
      </w:r>
      <w:r>
        <w:rPr>
          <w:rFonts w:hint="eastAsia"/>
          <w:sz w:val="24"/>
          <w:szCs w:val="24"/>
        </w:rPr>
        <w:t>）、水蓼（</w:t>
      </w:r>
      <w:r>
        <w:rPr>
          <w:rFonts w:hint="eastAsia"/>
          <w:i/>
          <w:sz w:val="24"/>
          <w:szCs w:val="24"/>
        </w:rPr>
        <w:t>Polygonum hydropiper</w:t>
      </w:r>
      <w:r>
        <w:rPr>
          <w:rFonts w:hint="eastAsia"/>
          <w:sz w:val="24"/>
          <w:szCs w:val="24"/>
        </w:rPr>
        <w:t>）、水竹叶（</w:t>
      </w:r>
      <w:r>
        <w:rPr>
          <w:rFonts w:hint="eastAsia"/>
          <w:i/>
          <w:sz w:val="24"/>
          <w:szCs w:val="24"/>
        </w:rPr>
        <w:t>Murdannia triquetra</w:t>
      </w:r>
      <w:r>
        <w:rPr>
          <w:rFonts w:hint="eastAsia"/>
          <w:sz w:val="24"/>
          <w:szCs w:val="24"/>
        </w:rPr>
        <w:t>）、牛毛毡（</w:t>
      </w:r>
      <w:r>
        <w:rPr>
          <w:rFonts w:hint="eastAsia"/>
          <w:i/>
          <w:sz w:val="24"/>
          <w:szCs w:val="24"/>
        </w:rPr>
        <w:t>Eleocharis yokoscensis</w:t>
      </w:r>
      <w:r>
        <w:rPr>
          <w:rFonts w:hint="eastAsia"/>
          <w:sz w:val="24"/>
          <w:szCs w:val="24"/>
        </w:rPr>
        <w:t>）、小叶狸藻（</w:t>
      </w:r>
      <w:r>
        <w:rPr>
          <w:rFonts w:hint="eastAsia"/>
          <w:i/>
          <w:sz w:val="24"/>
          <w:szCs w:val="24"/>
        </w:rPr>
        <w:t>Utricularia gibba</w:t>
      </w:r>
      <w:r>
        <w:rPr>
          <w:rFonts w:hint="eastAsia"/>
          <w:sz w:val="24"/>
          <w:szCs w:val="24"/>
        </w:rPr>
        <w:t>）、菹草（</w:t>
      </w:r>
      <w:r>
        <w:rPr>
          <w:rFonts w:hint="eastAsia"/>
          <w:i/>
          <w:sz w:val="24"/>
          <w:szCs w:val="24"/>
        </w:rPr>
        <w:t>Potamogeton crispus</w:t>
      </w:r>
      <w:r>
        <w:rPr>
          <w:rFonts w:hint="eastAsia"/>
          <w:sz w:val="24"/>
          <w:szCs w:val="24"/>
        </w:rPr>
        <w:t>）、稗子（</w:t>
      </w:r>
      <w:r>
        <w:rPr>
          <w:rFonts w:hint="eastAsia"/>
          <w:i/>
          <w:sz w:val="24"/>
          <w:szCs w:val="24"/>
        </w:rPr>
        <w:t>Echinochloa crusgalli</w:t>
      </w:r>
      <w:r>
        <w:rPr>
          <w:rFonts w:hint="eastAsia"/>
          <w:sz w:val="24"/>
          <w:szCs w:val="24"/>
        </w:rPr>
        <w:t>）、大藻（</w:t>
      </w:r>
      <w:r>
        <w:rPr>
          <w:rFonts w:hint="eastAsia"/>
          <w:i/>
          <w:sz w:val="24"/>
          <w:szCs w:val="24"/>
        </w:rPr>
        <w:t>Pistia stratiotes</w:t>
      </w:r>
      <w:r>
        <w:rPr>
          <w:rFonts w:hint="eastAsia"/>
          <w:sz w:val="24"/>
          <w:szCs w:val="24"/>
        </w:rPr>
        <w:t>）等。</w:t>
      </w:r>
    </w:p>
    <w:p w14:paraId="225676BD" w14:textId="77777777" w:rsidR="007D1E74" w:rsidRDefault="00A95641">
      <w:pPr>
        <w:pStyle w:val="afffff7"/>
        <w:ind w:firstLine="482"/>
      </w:pPr>
      <w:r>
        <w:t>4</w:t>
      </w:r>
      <w:r>
        <w:rPr>
          <w:rFonts w:hint="eastAsia"/>
        </w:rPr>
        <w:t>、底栖动物</w:t>
      </w:r>
    </w:p>
    <w:p w14:paraId="6A15FCA3" w14:textId="77777777" w:rsidR="007D1E74" w:rsidRDefault="00A95641">
      <w:pPr>
        <w:spacing w:line="360" w:lineRule="auto"/>
        <w:ind w:firstLineChars="200" w:firstLine="482"/>
        <w:rPr>
          <w:b/>
          <w:sz w:val="24"/>
          <w:szCs w:val="24"/>
        </w:rPr>
      </w:pPr>
      <w:r>
        <w:rPr>
          <w:rFonts w:hint="eastAsia"/>
          <w:b/>
          <w:sz w:val="24"/>
          <w:szCs w:val="24"/>
        </w:rPr>
        <w:t>（</w:t>
      </w:r>
      <w:r>
        <w:rPr>
          <w:rFonts w:hint="eastAsia"/>
          <w:b/>
          <w:sz w:val="24"/>
          <w:szCs w:val="24"/>
        </w:rPr>
        <w:t>1</w:t>
      </w:r>
      <w:r>
        <w:rPr>
          <w:rFonts w:hint="eastAsia"/>
          <w:b/>
          <w:sz w:val="24"/>
          <w:szCs w:val="24"/>
        </w:rPr>
        <w:t>）底栖动物的种类组成</w:t>
      </w:r>
    </w:p>
    <w:p w14:paraId="6889DA18" w14:textId="77777777" w:rsidR="007D1E74" w:rsidRDefault="00A95641">
      <w:pPr>
        <w:spacing w:line="360" w:lineRule="auto"/>
        <w:ind w:firstLineChars="200" w:firstLine="480"/>
        <w:rPr>
          <w:sz w:val="24"/>
          <w:szCs w:val="24"/>
        </w:rPr>
      </w:pPr>
      <w:r>
        <w:rPr>
          <w:rFonts w:hint="eastAsia"/>
          <w:sz w:val="24"/>
          <w:szCs w:val="24"/>
        </w:rPr>
        <w:t>底栖动物是第三营养级的主要组成，也是原河道形态饵料生物中生物量较大的类群，为江河中多数鱼类的饵料基础，并且与江河鱼类的生态类群和区系组成有密切关系。</w:t>
      </w:r>
    </w:p>
    <w:p w14:paraId="0B80C59B" w14:textId="77777777" w:rsidR="007D1E74" w:rsidRDefault="00A95641">
      <w:pPr>
        <w:spacing w:line="360" w:lineRule="auto"/>
        <w:ind w:firstLineChars="200" w:firstLine="480"/>
        <w:rPr>
          <w:sz w:val="24"/>
          <w:szCs w:val="24"/>
        </w:rPr>
      </w:pPr>
      <w:r>
        <w:rPr>
          <w:rFonts w:hint="eastAsia"/>
          <w:sz w:val="24"/>
          <w:szCs w:val="24"/>
        </w:rPr>
        <w:t>本次</w:t>
      </w:r>
      <w:r>
        <w:rPr>
          <w:rFonts w:hint="eastAsia"/>
          <w:sz w:val="24"/>
          <w:szCs w:val="24"/>
        </w:rPr>
        <w:t>4</w:t>
      </w:r>
      <w:r>
        <w:rPr>
          <w:rFonts w:hint="eastAsia"/>
          <w:sz w:val="24"/>
          <w:szCs w:val="24"/>
        </w:rPr>
        <w:t>个采样点共采集到底栖动物</w:t>
      </w:r>
      <w:r>
        <w:rPr>
          <w:rFonts w:hint="eastAsia"/>
          <w:sz w:val="24"/>
          <w:szCs w:val="24"/>
        </w:rPr>
        <w:t>9</w:t>
      </w:r>
      <w:r>
        <w:rPr>
          <w:rFonts w:hint="eastAsia"/>
          <w:sz w:val="24"/>
          <w:szCs w:val="24"/>
        </w:rPr>
        <w:t>种。其中节肢动物</w:t>
      </w:r>
      <w:r>
        <w:rPr>
          <w:rFonts w:hint="eastAsia"/>
          <w:sz w:val="24"/>
          <w:szCs w:val="24"/>
        </w:rPr>
        <w:t>8</w:t>
      </w:r>
      <w:r>
        <w:rPr>
          <w:rFonts w:hint="eastAsia"/>
          <w:sz w:val="24"/>
          <w:szCs w:val="24"/>
        </w:rPr>
        <w:t>种，占种数的</w:t>
      </w:r>
      <w:r>
        <w:rPr>
          <w:rFonts w:hint="eastAsia"/>
          <w:sz w:val="24"/>
          <w:szCs w:val="24"/>
        </w:rPr>
        <w:t>88.89%</w:t>
      </w:r>
      <w:r>
        <w:rPr>
          <w:rFonts w:hint="eastAsia"/>
          <w:sz w:val="24"/>
          <w:szCs w:val="24"/>
        </w:rPr>
        <w:t>，其中扁蜉、二翼蜉、四节蜉等为优势种；软体动物</w:t>
      </w:r>
      <w:r>
        <w:rPr>
          <w:rFonts w:hint="eastAsia"/>
          <w:sz w:val="24"/>
          <w:szCs w:val="24"/>
        </w:rPr>
        <w:t>1</w:t>
      </w:r>
      <w:r>
        <w:rPr>
          <w:rFonts w:hint="eastAsia"/>
          <w:sz w:val="24"/>
          <w:szCs w:val="24"/>
        </w:rPr>
        <w:t>种，占种数的</w:t>
      </w:r>
      <w:r>
        <w:rPr>
          <w:rFonts w:hint="eastAsia"/>
          <w:sz w:val="24"/>
          <w:szCs w:val="24"/>
        </w:rPr>
        <w:t>11.11%</w:t>
      </w:r>
      <w:r>
        <w:rPr>
          <w:rFonts w:hint="eastAsia"/>
          <w:sz w:val="24"/>
          <w:szCs w:val="24"/>
        </w:rPr>
        <w:t>。底栖动物名录见下表。</w:t>
      </w:r>
    </w:p>
    <w:p w14:paraId="66297A96" w14:textId="77777777" w:rsidR="007D1E74" w:rsidRDefault="00A95641">
      <w:pPr>
        <w:pStyle w:val="afffffe"/>
        <w:numPr>
          <w:ilvl w:val="0"/>
          <w:numId w:val="43"/>
        </w:numPr>
        <w:spacing w:line="360" w:lineRule="auto"/>
        <w:ind w:firstLineChars="0"/>
        <w:jc w:val="center"/>
        <w:rPr>
          <w:rFonts w:eastAsia="黑体" w:cs="Times New Roman"/>
          <w:szCs w:val="21"/>
        </w:rPr>
      </w:pPr>
      <w:r>
        <w:rPr>
          <w:rFonts w:eastAsia="黑体" w:cs="Times New Roman" w:hint="eastAsia"/>
          <w:noProof/>
          <w:szCs w:val="21"/>
        </w:rPr>
        <mc:AlternateContent>
          <mc:Choice Requires="wps">
            <w:drawing>
              <wp:anchor distT="0" distB="0" distL="114300" distR="114300" simplePos="0" relativeHeight="251669504" behindDoc="0" locked="0" layoutInCell="1" allowOverlap="1" wp14:anchorId="313C388C" wp14:editId="6E5231A4">
                <wp:simplePos x="0" y="0"/>
                <wp:positionH relativeFrom="column">
                  <wp:posOffset>0</wp:posOffset>
                </wp:positionH>
                <wp:positionV relativeFrom="paragraph">
                  <wp:posOffset>310515</wp:posOffset>
                </wp:positionV>
                <wp:extent cx="2600325" cy="390525"/>
                <wp:effectExtent l="635" t="4445" r="5080" b="16510"/>
                <wp:wrapNone/>
                <wp:docPr id="90" name="直接连接符 90"/>
                <wp:cNvGraphicFramePr/>
                <a:graphic xmlns:a="http://schemas.openxmlformats.org/drawingml/2006/main">
                  <a:graphicData uri="http://schemas.microsoft.com/office/word/2010/wordprocessingShape">
                    <wps:wsp>
                      <wps:cNvCnPr/>
                      <wps:spPr>
                        <a:xfrm>
                          <a:off x="0" y="0"/>
                          <a:ext cx="2600325" cy="390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pt;margin-top:24.45pt;height:30.75pt;width:204.75pt;z-index:251669504;mso-width-relative:page;mso-height-relative:page;" filled="f" stroked="t" coordsize="21600,21600" o:gfxdata="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5qW/rtYA&#10;AAAHAQAADwAAAAAAAAABACAAAAAiAAAAZHJzL2Rvd25yZXYueG1sUEsBAhQAFAAAAAgAh07iQNPn&#10;YuvoAQAAuAMAAA4AAAAAAAAAAQAgAAAAJQEAAGRycy9lMm9Eb2MueG1sUEsFBgAAAAAGAAYAWQEA&#10;AH8FAAAAAA==&#10;">
                <v:fill on="f" focussize="0,0"/>
                <v:stroke weight="0.5pt" color="#000000 [3213]" miterlimit="8" joinstyle="miter"/>
                <v:imagedata o:title=""/>
                <o:lock v:ext="edit" aspectratio="f"/>
              </v:line>
            </w:pict>
          </mc:Fallback>
        </mc:AlternateContent>
      </w:r>
      <w:r>
        <w:rPr>
          <w:rFonts w:eastAsia="黑体" w:cs="Times New Roman" w:hint="eastAsia"/>
          <w:szCs w:val="21"/>
        </w:rPr>
        <w:t>底栖动物种类及分布</w:t>
      </w:r>
    </w:p>
    <w:tbl>
      <w:tblPr>
        <w:tblStyle w:val="affffc"/>
        <w:tblW w:w="0" w:type="auto"/>
        <w:tblLook w:val="04A0" w:firstRow="1" w:lastRow="0" w:firstColumn="1" w:lastColumn="0" w:noHBand="0" w:noVBand="1"/>
      </w:tblPr>
      <w:tblGrid>
        <w:gridCol w:w="3987"/>
        <w:gridCol w:w="1257"/>
        <w:gridCol w:w="1257"/>
        <w:gridCol w:w="1257"/>
        <w:gridCol w:w="1258"/>
      </w:tblGrid>
      <w:tr w:rsidR="007D1E74" w14:paraId="21D03118" w14:textId="77777777">
        <w:tc>
          <w:tcPr>
            <w:tcW w:w="4106" w:type="dxa"/>
            <w:vAlign w:val="center"/>
          </w:tcPr>
          <w:p w14:paraId="6050BDEF" w14:textId="77777777" w:rsidR="007D1E74" w:rsidRDefault="00A95641">
            <w:pPr>
              <w:jc w:val="right"/>
              <w:rPr>
                <w:szCs w:val="21"/>
              </w:rPr>
            </w:pPr>
            <w:r>
              <w:rPr>
                <w:szCs w:val="21"/>
              </w:rPr>
              <w:t>采样点</w:t>
            </w:r>
          </w:p>
          <w:p w14:paraId="149353D1" w14:textId="77777777" w:rsidR="007D1E74" w:rsidRDefault="00A95641">
            <w:pPr>
              <w:rPr>
                <w:szCs w:val="21"/>
              </w:rPr>
            </w:pPr>
            <w:r>
              <w:rPr>
                <w:szCs w:val="21"/>
              </w:rPr>
              <w:t>种类</w:t>
            </w:r>
          </w:p>
        </w:tc>
        <w:tc>
          <w:tcPr>
            <w:tcW w:w="1298" w:type="dxa"/>
            <w:vAlign w:val="center"/>
          </w:tcPr>
          <w:p w14:paraId="7303322B" w14:textId="77777777" w:rsidR="007D1E74" w:rsidRDefault="00A95641">
            <w:pPr>
              <w:jc w:val="center"/>
              <w:rPr>
                <w:szCs w:val="21"/>
              </w:rPr>
            </w:pPr>
            <w:r>
              <w:rPr>
                <w:rFonts w:hint="eastAsia"/>
                <w:szCs w:val="21"/>
              </w:rPr>
              <w:t>1</w:t>
            </w:r>
          </w:p>
        </w:tc>
        <w:tc>
          <w:tcPr>
            <w:tcW w:w="1298" w:type="dxa"/>
            <w:vAlign w:val="center"/>
          </w:tcPr>
          <w:p w14:paraId="5CA89321" w14:textId="77777777" w:rsidR="007D1E74" w:rsidRDefault="00A95641">
            <w:pPr>
              <w:jc w:val="center"/>
              <w:rPr>
                <w:szCs w:val="21"/>
              </w:rPr>
            </w:pPr>
            <w:r>
              <w:rPr>
                <w:rFonts w:hint="eastAsia"/>
                <w:szCs w:val="21"/>
              </w:rPr>
              <w:t>2</w:t>
            </w:r>
          </w:p>
        </w:tc>
        <w:tc>
          <w:tcPr>
            <w:tcW w:w="1298" w:type="dxa"/>
            <w:vAlign w:val="center"/>
          </w:tcPr>
          <w:p w14:paraId="4A214E67" w14:textId="77777777" w:rsidR="007D1E74" w:rsidRDefault="00A95641">
            <w:pPr>
              <w:jc w:val="center"/>
              <w:rPr>
                <w:szCs w:val="21"/>
              </w:rPr>
            </w:pPr>
            <w:r>
              <w:rPr>
                <w:rFonts w:hint="eastAsia"/>
                <w:szCs w:val="21"/>
              </w:rPr>
              <w:t>3</w:t>
            </w:r>
          </w:p>
        </w:tc>
        <w:tc>
          <w:tcPr>
            <w:tcW w:w="1299" w:type="dxa"/>
            <w:vAlign w:val="center"/>
          </w:tcPr>
          <w:p w14:paraId="7AC99118" w14:textId="77777777" w:rsidR="007D1E74" w:rsidRDefault="00A95641">
            <w:pPr>
              <w:jc w:val="center"/>
              <w:rPr>
                <w:szCs w:val="21"/>
              </w:rPr>
            </w:pPr>
            <w:r>
              <w:rPr>
                <w:rFonts w:hint="eastAsia"/>
                <w:szCs w:val="21"/>
              </w:rPr>
              <w:t>4</w:t>
            </w:r>
          </w:p>
        </w:tc>
      </w:tr>
      <w:tr w:rsidR="007D1E74" w14:paraId="35733443" w14:textId="77777777">
        <w:tc>
          <w:tcPr>
            <w:tcW w:w="4106" w:type="dxa"/>
          </w:tcPr>
          <w:p w14:paraId="4AF8246F" w14:textId="77777777" w:rsidR="007D1E74" w:rsidRDefault="00A95641">
            <w:pPr>
              <w:rPr>
                <w:szCs w:val="21"/>
              </w:rPr>
            </w:pPr>
            <w:r>
              <w:rPr>
                <w:b/>
                <w:kern w:val="0"/>
                <w:szCs w:val="21"/>
                <w:lang w:bidi="ar"/>
              </w:rPr>
              <w:t>一、节肢动物门</w:t>
            </w:r>
            <w:r>
              <w:rPr>
                <w:b/>
                <w:kern w:val="0"/>
                <w:szCs w:val="21"/>
                <w:lang w:bidi="ar"/>
              </w:rPr>
              <w:t>Arthropoda</w:t>
            </w:r>
          </w:p>
        </w:tc>
        <w:tc>
          <w:tcPr>
            <w:tcW w:w="1298" w:type="dxa"/>
            <w:vAlign w:val="center"/>
          </w:tcPr>
          <w:p w14:paraId="2C9A9170" w14:textId="77777777" w:rsidR="007D1E74" w:rsidRDefault="007D1E74">
            <w:pPr>
              <w:jc w:val="center"/>
              <w:rPr>
                <w:szCs w:val="21"/>
              </w:rPr>
            </w:pPr>
          </w:p>
        </w:tc>
        <w:tc>
          <w:tcPr>
            <w:tcW w:w="1298" w:type="dxa"/>
            <w:vAlign w:val="center"/>
          </w:tcPr>
          <w:p w14:paraId="40CA4ABB" w14:textId="77777777" w:rsidR="007D1E74" w:rsidRDefault="007D1E74">
            <w:pPr>
              <w:jc w:val="center"/>
              <w:rPr>
                <w:szCs w:val="21"/>
              </w:rPr>
            </w:pPr>
          </w:p>
        </w:tc>
        <w:tc>
          <w:tcPr>
            <w:tcW w:w="1298" w:type="dxa"/>
            <w:vAlign w:val="center"/>
          </w:tcPr>
          <w:p w14:paraId="2BA1C7FE" w14:textId="77777777" w:rsidR="007D1E74" w:rsidRDefault="007D1E74">
            <w:pPr>
              <w:jc w:val="center"/>
              <w:rPr>
                <w:szCs w:val="21"/>
              </w:rPr>
            </w:pPr>
          </w:p>
        </w:tc>
        <w:tc>
          <w:tcPr>
            <w:tcW w:w="1299" w:type="dxa"/>
            <w:vAlign w:val="center"/>
          </w:tcPr>
          <w:p w14:paraId="78822FDD" w14:textId="77777777" w:rsidR="007D1E74" w:rsidRDefault="007D1E74">
            <w:pPr>
              <w:jc w:val="center"/>
              <w:rPr>
                <w:szCs w:val="21"/>
              </w:rPr>
            </w:pPr>
          </w:p>
        </w:tc>
      </w:tr>
      <w:tr w:rsidR="007D1E74" w14:paraId="1839418E" w14:textId="77777777">
        <w:tc>
          <w:tcPr>
            <w:tcW w:w="4106" w:type="dxa"/>
            <w:vAlign w:val="center"/>
          </w:tcPr>
          <w:p w14:paraId="1FA8B54D" w14:textId="77777777" w:rsidR="007D1E74" w:rsidRDefault="00A95641">
            <w:pPr>
              <w:rPr>
                <w:szCs w:val="21"/>
              </w:rPr>
            </w:pPr>
            <w:r>
              <w:rPr>
                <w:kern w:val="0"/>
                <w:lang w:bidi="ar"/>
              </w:rPr>
              <w:t>（一）昆虫纲</w:t>
            </w:r>
            <w:r>
              <w:rPr>
                <w:kern w:val="0"/>
                <w:lang w:bidi="ar"/>
              </w:rPr>
              <w:t>Insecta</w:t>
            </w:r>
          </w:p>
        </w:tc>
        <w:tc>
          <w:tcPr>
            <w:tcW w:w="1298" w:type="dxa"/>
            <w:vAlign w:val="center"/>
          </w:tcPr>
          <w:p w14:paraId="263FFEFA" w14:textId="77777777" w:rsidR="007D1E74" w:rsidRDefault="007D1E74">
            <w:pPr>
              <w:jc w:val="center"/>
              <w:rPr>
                <w:szCs w:val="21"/>
              </w:rPr>
            </w:pPr>
          </w:p>
        </w:tc>
        <w:tc>
          <w:tcPr>
            <w:tcW w:w="1298" w:type="dxa"/>
            <w:vAlign w:val="center"/>
          </w:tcPr>
          <w:p w14:paraId="0025728C" w14:textId="77777777" w:rsidR="007D1E74" w:rsidRDefault="007D1E74">
            <w:pPr>
              <w:jc w:val="center"/>
              <w:rPr>
                <w:szCs w:val="21"/>
              </w:rPr>
            </w:pPr>
          </w:p>
        </w:tc>
        <w:tc>
          <w:tcPr>
            <w:tcW w:w="1298" w:type="dxa"/>
            <w:vAlign w:val="center"/>
          </w:tcPr>
          <w:p w14:paraId="37A82167" w14:textId="77777777" w:rsidR="007D1E74" w:rsidRDefault="007D1E74">
            <w:pPr>
              <w:jc w:val="center"/>
              <w:rPr>
                <w:szCs w:val="21"/>
              </w:rPr>
            </w:pPr>
          </w:p>
        </w:tc>
        <w:tc>
          <w:tcPr>
            <w:tcW w:w="1299" w:type="dxa"/>
            <w:vAlign w:val="center"/>
          </w:tcPr>
          <w:p w14:paraId="48163D44" w14:textId="77777777" w:rsidR="007D1E74" w:rsidRDefault="007D1E74">
            <w:pPr>
              <w:jc w:val="center"/>
              <w:rPr>
                <w:szCs w:val="21"/>
              </w:rPr>
            </w:pPr>
          </w:p>
        </w:tc>
      </w:tr>
      <w:tr w:rsidR="007D1E74" w14:paraId="76A95DB4" w14:textId="77777777">
        <w:tc>
          <w:tcPr>
            <w:tcW w:w="4106" w:type="dxa"/>
          </w:tcPr>
          <w:p w14:paraId="6794B4FB" w14:textId="77777777" w:rsidR="007D1E74" w:rsidRDefault="00A95641">
            <w:pPr>
              <w:rPr>
                <w:szCs w:val="21"/>
              </w:rPr>
            </w:pPr>
            <w:r>
              <w:rPr>
                <w:szCs w:val="21"/>
              </w:rPr>
              <w:t>1</w:t>
            </w:r>
            <w:r>
              <w:rPr>
                <w:szCs w:val="21"/>
              </w:rPr>
              <w:t>、</w:t>
            </w:r>
            <w:r>
              <w:rPr>
                <w:kern w:val="0"/>
                <w:szCs w:val="21"/>
              </w:rPr>
              <w:t>小石蚕</w:t>
            </w:r>
            <w:r>
              <w:rPr>
                <w:i/>
                <w:iCs/>
                <w:kern w:val="0"/>
                <w:szCs w:val="21"/>
              </w:rPr>
              <w:t>Hydroptila</w:t>
            </w:r>
          </w:p>
        </w:tc>
        <w:tc>
          <w:tcPr>
            <w:tcW w:w="1298" w:type="dxa"/>
            <w:vAlign w:val="center"/>
          </w:tcPr>
          <w:p w14:paraId="4EEFFD90" w14:textId="77777777" w:rsidR="007D1E74" w:rsidRDefault="00A95641">
            <w:pPr>
              <w:jc w:val="center"/>
              <w:rPr>
                <w:szCs w:val="21"/>
              </w:rPr>
            </w:pPr>
            <w:r>
              <w:rPr>
                <w:b/>
                <w:kern w:val="0"/>
                <w:szCs w:val="21"/>
                <w:lang w:bidi="ar"/>
              </w:rPr>
              <w:t>－</w:t>
            </w:r>
          </w:p>
        </w:tc>
        <w:tc>
          <w:tcPr>
            <w:tcW w:w="1298" w:type="dxa"/>
            <w:vAlign w:val="center"/>
          </w:tcPr>
          <w:p w14:paraId="67DF6B3B" w14:textId="77777777" w:rsidR="007D1E74" w:rsidRDefault="00A95641">
            <w:pPr>
              <w:jc w:val="center"/>
              <w:rPr>
                <w:szCs w:val="21"/>
              </w:rPr>
            </w:pPr>
            <w:r>
              <w:rPr>
                <w:b/>
                <w:kern w:val="0"/>
                <w:szCs w:val="21"/>
                <w:lang w:bidi="ar"/>
              </w:rPr>
              <w:t>－</w:t>
            </w:r>
          </w:p>
        </w:tc>
        <w:tc>
          <w:tcPr>
            <w:tcW w:w="1298" w:type="dxa"/>
            <w:vAlign w:val="center"/>
          </w:tcPr>
          <w:p w14:paraId="0121A22F" w14:textId="77777777" w:rsidR="007D1E74" w:rsidRDefault="00A95641">
            <w:pPr>
              <w:jc w:val="center"/>
              <w:rPr>
                <w:szCs w:val="21"/>
              </w:rPr>
            </w:pPr>
            <w:r>
              <w:rPr>
                <w:bCs/>
                <w:kern w:val="0"/>
                <w:szCs w:val="21"/>
                <w:lang w:bidi="ar"/>
              </w:rPr>
              <w:t>＋</w:t>
            </w:r>
          </w:p>
        </w:tc>
        <w:tc>
          <w:tcPr>
            <w:tcW w:w="1299" w:type="dxa"/>
            <w:vAlign w:val="center"/>
          </w:tcPr>
          <w:p w14:paraId="0257A032" w14:textId="77777777" w:rsidR="007D1E74" w:rsidRDefault="00A95641">
            <w:pPr>
              <w:jc w:val="center"/>
              <w:rPr>
                <w:szCs w:val="21"/>
              </w:rPr>
            </w:pPr>
            <w:r>
              <w:rPr>
                <w:bCs/>
                <w:kern w:val="0"/>
                <w:szCs w:val="21"/>
                <w:lang w:bidi="ar"/>
              </w:rPr>
              <w:t>＋</w:t>
            </w:r>
          </w:p>
        </w:tc>
      </w:tr>
      <w:tr w:rsidR="007D1E74" w14:paraId="2D3E3174" w14:textId="77777777">
        <w:tc>
          <w:tcPr>
            <w:tcW w:w="4106" w:type="dxa"/>
          </w:tcPr>
          <w:p w14:paraId="5A7CA8ED" w14:textId="77777777" w:rsidR="007D1E74" w:rsidRDefault="00A95641">
            <w:pPr>
              <w:rPr>
                <w:szCs w:val="21"/>
              </w:rPr>
            </w:pPr>
            <w:r>
              <w:rPr>
                <w:szCs w:val="21"/>
              </w:rPr>
              <w:t>2</w:t>
            </w:r>
            <w:r>
              <w:rPr>
                <w:szCs w:val="21"/>
              </w:rPr>
              <w:t>、长纹</w:t>
            </w:r>
            <w:r>
              <w:rPr>
                <w:kern w:val="0"/>
                <w:szCs w:val="21"/>
              </w:rPr>
              <w:t>石蚕</w:t>
            </w:r>
            <w:r>
              <w:rPr>
                <w:rStyle w:val="font71"/>
                <w:color w:val="auto"/>
                <w:lang w:bidi="ar"/>
              </w:rPr>
              <w:t>Hydropsyche</w:t>
            </w:r>
          </w:p>
        </w:tc>
        <w:tc>
          <w:tcPr>
            <w:tcW w:w="1298" w:type="dxa"/>
            <w:vAlign w:val="center"/>
          </w:tcPr>
          <w:p w14:paraId="7B697837" w14:textId="77777777" w:rsidR="007D1E74" w:rsidRDefault="00A95641">
            <w:pPr>
              <w:jc w:val="center"/>
              <w:rPr>
                <w:szCs w:val="21"/>
              </w:rPr>
            </w:pPr>
            <w:r>
              <w:rPr>
                <w:b/>
                <w:kern w:val="0"/>
                <w:szCs w:val="21"/>
                <w:lang w:bidi="ar"/>
              </w:rPr>
              <w:t>－</w:t>
            </w:r>
          </w:p>
        </w:tc>
        <w:tc>
          <w:tcPr>
            <w:tcW w:w="1298" w:type="dxa"/>
            <w:vAlign w:val="center"/>
          </w:tcPr>
          <w:p w14:paraId="1835DA4E" w14:textId="77777777" w:rsidR="007D1E74" w:rsidRDefault="00A95641">
            <w:pPr>
              <w:jc w:val="center"/>
              <w:rPr>
                <w:szCs w:val="21"/>
              </w:rPr>
            </w:pPr>
            <w:r>
              <w:rPr>
                <w:b/>
                <w:kern w:val="0"/>
                <w:szCs w:val="21"/>
                <w:lang w:bidi="ar"/>
              </w:rPr>
              <w:t>－</w:t>
            </w:r>
          </w:p>
        </w:tc>
        <w:tc>
          <w:tcPr>
            <w:tcW w:w="1298" w:type="dxa"/>
            <w:vAlign w:val="center"/>
          </w:tcPr>
          <w:p w14:paraId="6504B3C8" w14:textId="77777777" w:rsidR="007D1E74" w:rsidRDefault="00A95641">
            <w:pPr>
              <w:jc w:val="center"/>
              <w:rPr>
                <w:szCs w:val="21"/>
              </w:rPr>
            </w:pPr>
            <w:r>
              <w:rPr>
                <w:bCs/>
                <w:kern w:val="0"/>
                <w:szCs w:val="21"/>
                <w:lang w:bidi="ar"/>
              </w:rPr>
              <w:t>＋</w:t>
            </w:r>
          </w:p>
        </w:tc>
        <w:tc>
          <w:tcPr>
            <w:tcW w:w="1299" w:type="dxa"/>
            <w:vAlign w:val="center"/>
          </w:tcPr>
          <w:p w14:paraId="0071EA82" w14:textId="77777777" w:rsidR="007D1E74" w:rsidRDefault="00A95641">
            <w:pPr>
              <w:jc w:val="center"/>
              <w:rPr>
                <w:szCs w:val="21"/>
              </w:rPr>
            </w:pPr>
            <w:r>
              <w:rPr>
                <w:bCs/>
                <w:kern w:val="0"/>
                <w:szCs w:val="21"/>
                <w:lang w:bidi="ar"/>
              </w:rPr>
              <w:t>＋</w:t>
            </w:r>
          </w:p>
        </w:tc>
      </w:tr>
      <w:tr w:rsidR="007D1E74" w14:paraId="426FAA64" w14:textId="77777777">
        <w:tc>
          <w:tcPr>
            <w:tcW w:w="4106" w:type="dxa"/>
          </w:tcPr>
          <w:p w14:paraId="45FBF9C5" w14:textId="77777777" w:rsidR="007D1E74" w:rsidRDefault="00A95641">
            <w:pPr>
              <w:rPr>
                <w:szCs w:val="21"/>
              </w:rPr>
            </w:pPr>
            <w:r>
              <w:rPr>
                <w:szCs w:val="21"/>
              </w:rPr>
              <w:t>3</w:t>
            </w:r>
            <w:r>
              <w:rPr>
                <w:szCs w:val="21"/>
              </w:rPr>
              <w:t>、低头</w:t>
            </w:r>
            <w:r>
              <w:rPr>
                <w:kern w:val="0"/>
                <w:szCs w:val="21"/>
              </w:rPr>
              <w:t>石蚕</w:t>
            </w:r>
            <w:r>
              <w:rPr>
                <w:rStyle w:val="font71"/>
                <w:color w:val="auto"/>
                <w:lang w:bidi="ar"/>
              </w:rPr>
              <w:t>Neureclipsis</w:t>
            </w:r>
          </w:p>
        </w:tc>
        <w:tc>
          <w:tcPr>
            <w:tcW w:w="1298" w:type="dxa"/>
            <w:vAlign w:val="center"/>
          </w:tcPr>
          <w:p w14:paraId="6EA9DC9C" w14:textId="77777777" w:rsidR="007D1E74" w:rsidRDefault="00A95641">
            <w:pPr>
              <w:jc w:val="center"/>
              <w:rPr>
                <w:szCs w:val="21"/>
              </w:rPr>
            </w:pPr>
            <w:r>
              <w:rPr>
                <w:b/>
                <w:kern w:val="0"/>
                <w:szCs w:val="21"/>
                <w:lang w:bidi="ar"/>
              </w:rPr>
              <w:t>－</w:t>
            </w:r>
          </w:p>
        </w:tc>
        <w:tc>
          <w:tcPr>
            <w:tcW w:w="1298" w:type="dxa"/>
            <w:vAlign w:val="center"/>
          </w:tcPr>
          <w:p w14:paraId="05812D55" w14:textId="77777777" w:rsidR="007D1E74" w:rsidRDefault="00A95641">
            <w:pPr>
              <w:jc w:val="center"/>
              <w:rPr>
                <w:szCs w:val="21"/>
              </w:rPr>
            </w:pPr>
            <w:r>
              <w:rPr>
                <w:b/>
                <w:kern w:val="0"/>
                <w:szCs w:val="21"/>
                <w:lang w:bidi="ar"/>
              </w:rPr>
              <w:t>－</w:t>
            </w:r>
          </w:p>
        </w:tc>
        <w:tc>
          <w:tcPr>
            <w:tcW w:w="1298" w:type="dxa"/>
            <w:vAlign w:val="center"/>
          </w:tcPr>
          <w:p w14:paraId="47B4D5A5" w14:textId="77777777" w:rsidR="007D1E74" w:rsidRDefault="00A95641">
            <w:pPr>
              <w:jc w:val="center"/>
              <w:rPr>
                <w:szCs w:val="21"/>
              </w:rPr>
            </w:pPr>
            <w:r>
              <w:rPr>
                <w:bCs/>
                <w:kern w:val="0"/>
                <w:szCs w:val="21"/>
                <w:lang w:bidi="ar"/>
              </w:rPr>
              <w:t>＋</w:t>
            </w:r>
          </w:p>
        </w:tc>
        <w:tc>
          <w:tcPr>
            <w:tcW w:w="1299" w:type="dxa"/>
            <w:vAlign w:val="center"/>
          </w:tcPr>
          <w:p w14:paraId="7F74E484" w14:textId="77777777" w:rsidR="007D1E74" w:rsidRDefault="00A95641">
            <w:pPr>
              <w:jc w:val="center"/>
              <w:rPr>
                <w:szCs w:val="21"/>
              </w:rPr>
            </w:pPr>
            <w:r>
              <w:rPr>
                <w:bCs/>
                <w:kern w:val="0"/>
                <w:szCs w:val="21"/>
                <w:lang w:bidi="ar"/>
              </w:rPr>
              <w:t>＋</w:t>
            </w:r>
          </w:p>
        </w:tc>
      </w:tr>
      <w:tr w:rsidR="007D1E74" w14:paraId="7A2EA867" w14:textId="77777777">
        <w:tc>
          <w:tcPr>
            <w:tcW w:w="4106" w:type="dxa"/>
          </w:tcPr>
          <w:p w14:paraId="50E8A3B5" w14:textId="77777777" w:rsidR="007D1E74" w:rsidRDefault="00A95641">
            <w:pPr>
              <w:rPr>
                <w:szCs w:val="21"/>
              </w:rPr>
            </w:pPr>
            <w:r>
              <w:rPr>
                <w:szCs w:val="21"/>
              </w:rPr>
              <w:t>4</w:t>
            </w:r>
            <w:r>
              <w:rPr>
                <w:szCs w:val="21"/>
              </w:rPr>
              <w:t>、扁蜉</w:t>
            </w:r>
            <w:r>
              <w:rPr>
                <w:i/>
                <w:iCs/>
                <w:szCs w:val="21"/>
              </w:rPr>
              <w:t>flatheaded mayflies</w:t>
            </w:r>
          </w:p>
        </w:tc>
        <w:tc>
          <w:tcPr>
            <w:tcW w:w="1298" w:type="dxa"/>
            <w:vAlign w:val="center"/>
          </w:tcPr>
          <w:p w14:paraId="07DD2761" w14:textId="77777777" w:rsidR="007D1E74" w:rsidRDefault="00A95641">
            <w:pPr>
              <w:jc w:val="center"/>
              <w:rPr>
                <w:szCs w:val="21"/>
              </w:rPr>
            </w:pPr>
            <w:r>
              <w:rPr>
                <w:bCs/>
                <w:kern w:val="0"/>
                <w:szCs w:val="21"/>
                <w:lang w:bidi="ar"/>
              </w:rPr>
              <w:t>＋</w:t>
            </w:r>
          </w:p>
        </w:tc>
        <w:tc>
          <w:tcPr>
            <w:tcW w:w="1298" w:type="dxa"/>
            <w:vAlign w:val="center"/>
          </w:tcPr>
          <w:p w14:paraId="4A3C78CC" w14:textId="77777777" w:rsidR="007D1E74" w:rsidRDefault="00A95641">
            <w:pPr>
              <w:jc w:val="center"/>
              <w:rPr>
                <w:szCs w:val="21"/>
              </w:rPr>
            </w:pPr>
            <w:r>
              <w:rPr>
                <w:bCs/>
                <w:kern w:val="0"/>
                <w:szCs w:val="21"/>
                <w:lang w:bidi="ar"/>
              </w:rPr>
              <w:t>＋</w:t>
            </w:r>
          </w:p>
        </w:tc>
        <w:tc>
          <w:tcPr>
            <w:tcW w:w="1298" w:type="dxa"/>
            <w:vAlign w:val="center"/>
          </w:tcPr>
          <w:p w14:paraId="0CF30BAB" w14:textId="77777777" w:rsidR="007D1E74" w:rsidRDefault="00A95641">
            <w:pPr>
              <w:jc w:val="center"/>
              <w:rPr>
                <w:szCs w:val="21"/>
              </w:rPr>
            </w:pPr>
            <w:r>
              <w:rPr>
                <w:bCs/>
                <w:kern w:val="0"/>
                <w:szCs w:val="21"/>
                <w:lang w:bidi="ar"/>
              </w:rPr>
              <w:t>＋</w:t>
            </w:r>
          </w:p>
        </w:tc>
        <w:tc>
          <w:tcPr>
            <w:tcW w:w="1299" w:type="dxa"/>
            <w:vAlign w:val="center"/>
          </w:tcPr>
          <w:p w14:paraId="631365A0" w14:textId="77777777" w:rsidR="007D1E74" w:rsidRDefault="00A95641">
            <w:pPr>
              <w:jc w:val="center"/>
              <w:rPr>
                <w:szCs w:val="21"/>
              </w:rPr>
            </w:pPr>
            <w:r>
              <w:rPr>
                <w:bCs/>
                <w:kern w:val="0"/>
                <w:szCs w:val="21"/>
                <w:lang w:bidi="ar"/>
              </w:rPr>
              <w:t>＋</w:t>
            </w:r>
          </w:p>
        </w:tc>
      </w:tr>
      <w:tr w:rsidR="007D1E74" w14:paraId="41FDE4FF" w14:textId="77777777">
        <w:tc>
          <w:tcPr>
            <w:tcW w:w="4106" w:type="dxa"/>
          </w:tcPr>
          <w:p w14:paraId="6AFF6C3B" w14:textId="77777777" w:rsidR="007D1E74" w:rsidRDefault="00A95641">
            <w:pPr>
              <w:rPr>
                <w:szCs w:val="21"/>
              </w:rPr>
            </w:pPr>
            <w:r>
              <w:rPr>
                <w:szCs w:val="21"/>
              </w:rPr>
              <w:t>5</w:t>
            </w:r>
            <w:r>
              <w:rPr>
                <w:szCs w:val="21"/>
              </w:rPr>
              <w:t>、二翼蜉</w:t>
            </w:r>
            <w:r>
              <w:rPr>
                <w:i/>
                <w:iCs/>
                <w:szCs w:val="21"/>
              </w:rPr>
              <w:t>Cloeondipterum</w:t>
            </w:r>
          </w:p>
        </w:tc>
        <w:tc>
          <w:tcPr>
            <w:tcW w:w="1298" w:type="dxa"/>
            <w:vAlign w:val="center"/>
          </w:tcPr>
          <w:p w14:paraId="63E7F42A" w14:textId="77777777" w:rsidR="007D1E74" w:rsidRDefault="00A95641">
            <w:pPr>
              <w:jc w:val="center"/>
              <w:rPr>
                <w:szCs w:val="21"/>
              </w:rPr>
            </w:pPr>
            <w:r>
              <w:rPr>
                <w:bCs/>
                <w:kern w:val="0"/>
                <w:szCs w:val="21"/>
                <w:lang w:bidi="ar"/>
              </w:rPr>
              <w:t>＋</w:t>
            </w:r>
          </w:p>
        </w:tc>
        <w:tc>
          <w:tcPr>
            <w:tcW w:w="1298" w:type="dxa"/>
            <w:vAlign w:val="center"/>
          </w:tcPr>
          <w:p w14:paraId="548EDC47" w14:textId="77777777" w:rsidR="007D1E74" w:rsidRDefault="00A95641">
            <w:pPr>
              <w:jc w:val="center"/>
              <w:rPr>
                <w:szCs w:val="21"/>
              </w:rPr>
            </w:pPr>
            <w:r>
              <w:rPr>
                <w:bCs/>
                <w:kern w:val="0"/>
                <w:szCs w:val="21"/>
                <w:lang w:bidi="ar"/>
              </w:rPr>
              <w:t>＋</w:t>
            </w:r>
          </w:p>
        </w:tc>
        <w:tc>
          <w:tcPr>
            <w:tcW w:w="1298" w:type="dxa"/>
            <w:vAlign w:val="center"/>
          </w:tcPr>
          <w:p w14:paraId="07A574A6" w14:textId="77777777" w:rsidR="007D1E74" w:rsidRDefault="00A95641">
            <w:pPr>
              <w:jc w:val="center"/>
              <w:rPr>
                <w:szCs w:val="21"/>
              </w:rPr>
            </w:pPr>
            <w:r>
              <w:rPr>
                <w:bCs/>
                <w:kern w:val="0"/>
                <w:szCs w:val="21"/>
                <w:lang w:bidi="ar"/>
              </w:rPr>
              <w:t>＋</w:t>
            </w:r>
          </w:p>
        </w:tc>
        <w:tc>
          <w:tcPr>
            <w:tcW w:w="1299" w:type="dxa"/>
            <w:vAlign w:val="center"/>
          </w:tcPr>
          <w:p w14:paraId="7178CA83" w14:textId="77777777" w:rsidR="007D1E74" w:rsidRDefault="00A95641">
            <w:pPr>
              <w:jc w:val="center"/>
              <w:rPr>
                <w:szCs w:val="21"/>
              </w:rPr>
            </w:pPr>
            <w:r>
              <w:rPr>
                <w:bCs/>
                <w:kern w:val="0"/>
                <w:szCs w:val="21"/>
                <w:lang w:bidi="ar"/>
              </w:rPr>
              <w:t>＋</w:t>
            </w:r>
          </w:p>
        </w:tc>
      </w:tr>
      <w:tr w:rsidR="007D1E74" w14:paraId="1126216D" w14:textId="77777777">
        <w:tc>
          <w:tcPr>
            <w:tcW w:w="4106" w:type="dxa"/>
            <w:vAlign w:val="center"/>
          </w:tcPr>
          <w:p w14:paraId="4446E992" w14:textId="77777777" w:rsidR="007D1E74" w:rsidRDefault="00A95641">
            <w:pPr>
              <w:rPr>
                <w:szCs w:val="21"/>
              </w:rPr>
            </w:pPr>
            <w:r>
              <w:t>二、软体动物门</w:t>
            </w:r>
            <w:r>
              <w:rPr>
                <w:kern w:val="0"/>
              </w:rPr>
              <w:t>Mollusca</w:t>
            </w:r>
          </w:p>
        </w:tc>
        <w:tc>
          <w:tcPr>
            <w:tcW w:w="1298" w:type="dxa"/>
            <w:vAlign w:val="center"/>
          </w:tcPr>
          <w:p w14:paraId="6F7B6532" w14:textId="77777777" w:rsidR="007D1E74" w:rsidRDefault="007D1E74">
            <w:pPr>
              <w:jc w:val="center"/>
              <w:rPr>
                <w:szCs w:val="21"/>
              </w:rPr>
            </w:pPr>
          </w:p>
        </w:tc>
        <w:tc>
          <w:tcPr>
            <w:tcW w:w="1298" w:type="dxa"/>
            <w:vAlign w:val="center"/>
          </w:tcPr>
          <w:p w14:paraId="6BE6233A" w14:textId="77777777" w:rsidR="007D1E74" w:rsidRDefault="007D1E74">
            <w:pPr>
              <w:jc w:val="center"/>
              <w:rPr>
                <w:szCs w:val="21"/>
              </w:rPr>
            </w:pPr>
          </w:p>
        </w:tc>
        <w:tc>
          <w:tcPr>
            <w:tcW w:w="1298" w:type="dxa"/>
            <w:vAlign w:val="center"/>
          </w:tcPr>
          <w:p w14:paraId="76E24FD8" w14:textId="77777777" w:rsidR="007D1E74" w:rsidRDefault="007D1E74">
            <w:pPr>
              <w:jc w:val="center"/>
              <w:rPr>
                <w:szCs w:val="21"/>
              </w:rPr>
            </w:pPr>
          </w:p>
        </w:tc>
        <w:tc>
          <w:tcPr>
            <w:tcW w:w="1299" w:type="dxa"/>
            <w:vAlign w:val="center"/>
          </w:tcPr>
          <w:p w14:paraId="631E0156" w14:textId="77777777" w:rsidR="007D1E74" w:rsidRDefault="007D1E74">
            <w:pPr>
              <w:jc w:val="center"/>
              <w:rPr>
                <w:szCs w:val="21"/>
              </w:rPr>
            </w:pPr>
          </w:p>
        </w:tc>
      </w:tr>
      <w:tr w:rsidR="007D1E74" w14:paraId="37E383A3" w14:textId="77777777">
        <w:tc>
          <w:tcPr>
            <w:tcW w:w="4106" w:type="dxa"/>
            <w:vAlign w:val="center"/>
          </w:tcPr>
          <w:p w14:paraId="7EDD1CA0" w14:textId="77777777" w:rsidR="007D1E74" w:rsidRDefault="00A95641">
            <w:pPr>
              <w:rPr>
                <w:szCs w:val="21"/>
              </w:rPr>
            </w:pPr>
            <w:r>
              <w:t>（一）腹足纲</w:t>
            </w:r>
            <w:r>
              <w:t>Gastropoda</w:t>
            </w:r>
          </w:p>
        </w:tc>
        <w:tc>
          <w:tcPr>
            <w:tcW w:w="1298" w:type="dxa"/>
            <w:vAlign w:val="center"/>
          </w:tcPr>
          <w:p w14:paraId="03A011A7" w14:textId="77777777" w:rsidR="007D1E74" w:rsidRDefault="007D1E74">
            <w:pPr>
              <w:jc w:val="center"/>
              <w:rPr>
                <w:szCs w:val="21"/>
              </w:rPr>
            </w:pPr>
          </w:p>
        </w:tc>
        <w:tc>
          <w:tcPr>
            <w:tcW w:w="1298" w:type="dxa"/>
            <w:vAlign w:val="center"/>
          </w:tcPr>
          <w:p w14:paraId="2ED1D9F5" w14:textId="77777777" w:rsidR="007D1E74" w:rsidRDefault="007D1E74">
            <w:pPr>
              <w:jc w:val="center"/>
              <w:rPr>
                <w:szCs w:val="21"/>
              </w:rPr>
            </w:pPr>
          </w:p>
        </w:tc>
        <w:tc>
          <w:tcPr>
            <w:tcW w:w="1298" w:type="dxa"/>
            <w:vAlign w:val="center"/>
          </w:tcPr>
          <w:p w14:paraId="43A35EE0" w14:textId="77777777" w:rsidR="007D1E74" w:rsidRDefault="007D1E74">
            <w:pPr>
              <w:jc w:val="center"/>
              <w:rPr>
                <w:szCs w:val="21"/>
              </w:rPr>
            </w:pPr>
          </w:p>
        </w:tc>
        <w:tc>
          <w:tcPr>
            <w:tcW w:w="1299" w:type="dxa"/>
            <w:vAlign w:val="center"/>
          </w:tcPr>
          <w:p w14:paraId="6D7B8D2A" w14:textId="77777777" w:rsidR="007D1E74" w:rsidRDefault="007D1E74">
            <w:pPr>
              <w:jc w:val="center"/>
              <w:rPr>
                <w:szCs w:val="21"/>
              </w:rPr>
            </w:pPr>
          </w:p>
        </w:tc>
      </w:tr>
      <w:tr w:rsidR="007D1E74" w14:paraId="0C149613" w14:textId="77777777">
        <w:tc>
          <w:tcPr>
            <w:tcW w:w="4106" w:type="dxa"/>
          </w:tcPr>
          <w:p w14:paraId="2E3DD5F7" w14:textId="77777777" w:rsidR="007D1E74" w:rsidRDefault="00A95641">
            <w:pPr>
              <w:rPr>
                <w:szCs w:val="21"/>
              </w:rPr>
            </w:pPr>
            <w:r>
              <w:rPr>
                <w:szCs w:val="21"/>
              </w:rPr>
              <w:t>9</w:t>
            </w:r>
            <w:r>
              <w:rPr>
                <w:szCs w:val="21"/>
              </w:rPr>
              <w:t>、</w:t>
            </w:r>
            <w:r>
              <w:rPr>
                <w:kern w:val="0"/>
                <w:szCs w:val="21"/>
              </w:rPr>
              <w:t>耳萝卜螺</w:t>
            </w:r>
            <w:r>
              <w:rPr>
                <w:bCs/>
                <w:i/>
                <w:iCs/>
                <w:kern w:val="0"/>
                <w:szCs w:val="21"/>
              </w:rPr>
              <w:t>Radix  auricularia</w:t>
            </w:r>
          </w:p>
        </w:tc>
        <w:tc>
          <w:tcPr>
            <w:tcW w:w="1298" w:type="dxa"/>
            <w:vAlign w:val="center"/>
          </w:tcPr>
          <w:p w14:paraId="15461EBA" w14:textId="77777777" w:rsidR="007D1E74" w:rsidRDefault="00A95641">
            <w:pPr>
              <w:jc w:val="center"/>
              <w:rPr>
                <w:szCs w:val="21"/>
              </w:rPr>
            </w:pPr>
            <w:r>
              <w:rPr>
                <w:b/>
                <w:kern w:val="0"/>
                <w:szCs w:val="21"/>
                <w:lang w:bidi="ar"/>
              </w:rPr>
              <w:t>－</w:t>
            </w:r>
          </w:p>
        </w:tc>
        <w:tc>
          <w:tcPr>
            <w:tcW w:w="1298" w:type="dxa"/>
            <w:vAlign w:val="center"/>
          </w:tcPr>
          <w:p w14:paraId="3E158FAD" w14:textId="77777777" w:rsidR="007D1E74" w:rsidRDefault="00A95641">
            <w:pPr>
              <w:jc w:val="center"/>
              <w:rPr>
                <w:szCs w:val="21"/>
              </w:rPr>
            </w:pPr>
            <w:r>
              <w:rPr>
                <w:bCs/>
                <w:kern w:val="0"/>
                <w:szCs w:val="21"/>
                <w:lang w:bidi="ar"/>
              </w:rPr>
              <w:t>＋</w:t>
            </w:r>
          </w:p>
        </w:tc>
        <w:tc>
          <w:tcPr>
            <w:tcW w:w="1298" w:type="dxa"/>
            <w:vAlign w:val="center"/>
          </w:tcPr>
          <w:p w14:paraId="5C35ABF9" w14:textId="77777777" w:rsidR="007D1E74" w:rsidRDefault="00A95641">
            <w:pPr>
              <w:jc w:val="center"/>
              <w:rPr>
                <w:szCs w:val="21"/>
              </w:rPr>
            </w:pPr>
            <w:r>
              <w:rPr>
                <w:bCs/>
                <w:kern w:val="0"/>
                <w:szCs w:val="21"/>
                <w:lang w:bidi="ar"/>
              </w:rPr>
              <w:t>＋</w:t>
            </w:r>
          </w:p>
        </w:tc>
        <w:tc>
          <w:tcPr>
            <w:tcW w:w="1299" w:type="dxa"/>
            <w:vAlign w:val="center"/>
          </w:tcPr>
          <w:p w14:paraId="12135E47" w14:textId="77777777" w:rsidR="007D1E74" w:rsidRDefault="00A95641">
            <w:pPr>
              <w:jc w:val="center"/>
              <w:rPr>
                <w:szCs w:val="21"/>
              </w:rPr>
            </w:pPr>
            <w:r>
              <w:rPr>
                <w:bCs/>
                <w:kern w:val="0"/>
                <w:szCs w:val="21"/>
                <w:lang w:bidi="ar"/>
              </w:rPr>
              <w:t>＋</w:t>
            </w:r>
          </w:p>
        </w:tc>
      </w:tr>
      <w:tr w:rsidR="007D1E74" w14:paraId="56ECC2DC" w14:textId="77777777">
        <w:tc>
          <w:tcPr>
            <w:tcW w:w="9299" w:type="dxa"/>
            <w:gridSpan w:val="5"/>
          </w:tcPr>
          <w:p w14:paraId="0CCE06EF" w14:textId="77777777" w:rsidR="007D1E74" w:rsidRDefault="00A95641">
            <w:pPr>
              <w:rPr>
                <w:bCs/>
                <w:kern w:val="0"/>
                <w:szCs w:val="21"/>
                <w:lang w:bidi="ar"/>
              </w:rPr>
            </w:pPr>
            <w:r>
              <w:rPr>
                <w:bCs/>
                <w:kern w:val="0"/>
                <w:szCs w:val="21"/>
                <w:lang w:bidi="ar"/>
              </w:rPr>
              <w:t>注：</w:t>
            </w:r>
            <w:r>
              <w:rPr>
                <w:rFonts w:hint="eastAsia"/>
                <w:bCs/>
                <w:kern w:val="0"/>
                <w:szCs w:val="21"/>
                <w:lang w:bidi="ar"/>
              </w:rPr>
              <w:t>“</w:t>
            </w:r>
            <w:r>
              <w:rPr>
                <w:rFonts w:cs="Times New Roman"/>
                <w:bCs/>
                <w:kern w:val="0"/>
                <w:szCs w:val="21"/>
                <w:lang w:bidi="ar"/>
              </w:rPr>
              <w:t>﹢﹢</w:t>
            </w:r>
            <w:r>
              <w:rPr>
                <w:rFonts w:hint="eastAsia"/>
                <w:bCs/>
                <w:kern w:val="0"/>
                <w:szCs w:val="21"/>
                <w:lang w:bidi="ar"/>
              </w:rPr>
              <w:t>”表示较多、</w:t>
            </w:r>
            <w:r>
              <w:rPr>
                <w:rFonts w:hint="eastAsia"/>
                <w:bCs/>
                <w:kern w:val="0"/>
                <w:szCs w:val="21"/>
                <w:lang w:bidi="ar"/>
              </w:rPr>
              <w:t xml:space="preserve"> </w:t>
            </w:r>
            <w:r>
              <w:rPr>
                <w:rFonts w:hint="eastAsia"/>
                <w:bCs/>
                <w:kern w:val="0"/>
                <w:szCs w:val="21"/>
                <w:lang w:bidi="ar"/>
              </w:rPr>
              <w:t>“﹢”表示一般、“﹣”表示较少。</w:t>
            </w:r>
          </w:p>
        </w:tc>
      </w:tr>
    </w:tbl>
    <w:p w14:paraId="53FC4910" w14:textId="77777777" w:rsidR="007D1E74" w:rsidRDefault="00A95641">
      <w:pPr>
        <w:spacing w:line="360" w:lineRule="auto"/>
        <w:ind w:firstLineChars="200" w:firstLine="482"/>
        <w:rPr>
          <w:b/>
          <w:sz w:val="24"/>
          <w:szCs w:val="24"/>
        </w:rPr>
      </w:pPr>
      <w:r>
        <w:rPr>
          <w:rFonts w:hint="eastAsia"/>
          <w:b/>
          <w:sz w:val="24"/>
          <w:szCs w:val="24"/>
        </w:rPr>
        <w:t>（</w:t>
      </w:r>
      <w:r>
        <w:rPr>
          <w:b/>
          <w:sz w:val="24"/>
          <w:szCs w:val="24"/>
        </w:rPr>
        <w:t>2</w:t>
      </w:r>
      <w:r>
        <w:rPr>
          <w:rFonts w:hint="eastAsia"/>
          <w:b/>
          <w:sz w:val="24"/>
          <w:szCs w:val="24"/>
        </w:rPr>
        <w:t>）底栖动物的种群密度</w:t>
      </w:r>
    </w:p>
    <w:p w14:paraId="108BCE2C" w14:textId="77777777" w:rsidR="007D1E74" w:rsidRDefault="00A95641">
      <w:pPr>
        <w:spacing w:line="360" w:lineRule="auto"/>
        <w:ind w:firstLineChars="200" w:firstLine="480"/>
        <w:rPr>
          <w:sz w:val="24"/>
          <w:szCs w:val="24"/>
        </w:rPr>
      </w:pPr>
      <w:r>
        <w:rPr>
          <w:rFonts w:hint="eastAsia"/>
          <w:sz w:val="24"/>
          <w:szCs w:val="24"/>
        </w:rPr>
        <w:t>对调查水域</w:t>
      </w:r>
      <w:r>
        <w:rPr>
          <w:rFonts w:hint="eastAsia"/>
          <w:sz w:val="24"/>
          <w:szCs w:val="24"/>
        </w:rPr>
        <w:t>4</w:t>
      </w:r>
      <w:r>
        <w:rPr>
          <w:rFonts w:hint="eastAsia"/>
          <w:sz w:val="24"/>
          <w:szCs w:val="24"/>
        </w:rPr>
        <w:t>个采样点的底栖动物进行定量分析，底栖动物种群密度详见下表。</w:t>
      </w:r>
    </w:p>
    <w:p w14:paraId="5E711BEA" w14:textId="77777777" w:rsidR="007D1E74" w:rsidRDefault="00A95641">
      <w:pPr>
        <w:pStyle w:val="afffffe"/>
        <w:numPr>
          <w:ilvl w:val="0"/>
          <w:numId w:val="43"/>
        </w:numPr>
        <w:spacing w:line="360" w:lineRule="auto"/>
        <w:ind w:firstLineChars="0"/>
        <w:jc w:val="center"/>
        <w:rPr>
          <w:rFonts w:eastAsia="黑体" w:cs="Times New Roman"/>
          <w:szCs w:val="21"/>
        </w:rPr>
      </w:pPr>
      <w:r>
        <w:rPr>
          <w:rFonts w:hint="eastAsia"/>
          <w:noProof/>
          <w:sz w:val="24"/>
          <w:szCs w:val="24"/>
        </w:rPr>
        <mc:AlternateContent>
          <mc:Choice Requires="wps">
            <w:drawing>
              <wp:anchor distT="0" distB="0" distL="114300" distR="114300" simplePos="0" relativeHeight="251670528" behindDoc="0" locked="0" layoutInCell="1" allowOverlap="1" wp14:anchorId="62475829" wp14:editId="660E1933">
                <wp:simplePos x="0" y="0"/>
                <wp:positionH relativeFrom="column">
                  <wp:posOffset>6350</wp:posOffset>
                </wp:positionH>
                <wp:positionV relativeFrom="paragraph">
                  <wp:posOffset>296545</wp:posOffset>
                </wp:positionV>
                <wp:extent cx="1247775" cy="400050"/>
                <wp:effectExtent l="1270" t="4445" r="15875" b="6985"/>
                <wp:wrapNone/>
                <wp:docPr id="91" name="直接连接符 91"/>
                <wp:cNvGraphicFramePr/>
                <a:graphic xmlns:a="http://schemas.openxmlformats.org/drawingml/2006/main">
                  <a:graphicData uri="http://schemas.microsoft.com/office/word/2010/wordprocessingShape">
                    <wps:wsp>
                      <wps:cNvCnPr/>
                      <wps:spPr>
                        <a:xfrm>
                          <a:off x="0" y="0"/>
                          <a:ext cx="1247775" cy="4000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left:0.5pt;margin-top:23.35pt;height:31.5pt;width:98.25pt;z-index:251670528;mso-width-relative:page;mso-height-relative:page;" filled="f" stroked="t" coordsize="21600,21600" o:gfxdata="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GRrT0HV&#10;AAAACAEAAA8AAAAAAAAAAQAgAAAAIgAAAGRycy9kb3ducmV2LnhtbFBLAQIUABQAAAAIAIdO4kAJ&#10;mgB86gEAALgDAAAOAAAAAAAAAAEAIAAAACQBAABkcnMvZTJvRG9jLnhtbFBLBQYAAAAABgAGAFkB&#10;AACABQAAAAA=&#10;">
                <v:fill on="f" focussize="0,0"/>
                <v:stroke weight="0.5pt" color="#000000 [3213]" miterlimit="8" joinstyle="miter"/>
                <v:imagedata o:title=""/>
                <o:lock v:ext="edit" aspectratio="f"/>
              </v:line>
            </w:pict>
          </mc:Fallback>
        </mc:AlternateContent>
      </w:r>
      <w:r>
        <w:rPr>
          <w:rFonts w:eastAsia="黑体" w:cs="Times New Roman" w:hint="eastAsia"/>
          <w:szCs w:val="21"/>
        </w:rPr>
        <w:t>底栖动物种群密度</w:t>
      </w:r>
    </w:p>
    <w:tbl>
      <w:tblPr>
        <w:tblStyle w:val="affffc"/>
        <w:tblW w:w="5000" w:type="pct"/>
        <w:tblLook w:val="04A0" w:firstRow="1" w:lastRow="0" w:firstColumn="1" w:lastColumn="0" w:noHBand="0" w:noVBand="1"/>
      </w:tblPr>
      <w:tblGrid>
        <w:gridCol w:w="1921"/>
        <w:gridCol w:w="1773"/>
        <w:gridCol w:w="1774"/>
        <w:gridCol w:w="1774"/>
        <w:gridCol w:w="1774"/>
      </w:tblGrid>
      <w:tr w:rsidR="007D1E74" w14:paraId="577F73D1" w14:textId="77777777">
        <w:tc>
          <w:tcPr>
            <w:tcW w:w="1065" w:type="pct"/>
            <w:vAlign w:val="center"/>
          </w:tcPr>
          <w:p w14:paraId="3448C71C" w14:textId="77777777" w:rsidR="007D1E74" w:rsidRDefault="00A95641">
            <w:pPr>
              <w:jc w:val="right"/>
              <w:rPr>
                <w:rFonts w:cs="Times New Roman"/>
                <w:szCs w:val="21"/>
              </w:rPr>
            </w:pPr>
            <w:r>
              <w:rPr>
                <w:rFonts w:cs="Times New Roman"/>
                <w:szCs w:val="21"/>
              </w:rPr>
              <w:t>种类</w:t>
            </w:r>
          </w:p>
          <w:p w14:paraId="670B549C" w14:textId="77777777" w:rsidR="007D1E74" w:rsidRDefault="00A95641">
            <w:pPr>
              <w:rPr>
                <w:rFonts w:cs="Times New Roman"/>
                <w:szCs w:val="21"/>
              </w:rPr>
            </w:pPr>
            <w:r>
              <w:rPr>
                <w:rFonts w:cs="Times New Roman"/>
                <w:szCs w:val="21"/>
              </w:rPr>
              <w:t>采样点</w:t>
            </w:r>
          </w:p>
        </w:tc>
        <w:tc>
          <w:tcPr>
            <w:tcW w:w="983" w:type="pct"/>
            <w:vAlign w:val="center"/>
          </w:tcPr>
          <w:p w14:paraId="38B9E3E7" w14:textId="77777777" w:rsidR="007D1E74" w:rsidRDefault="00A95641">
            <w:pPr>
              <w:jc w:val="center"/>
              <w:rPr>
                <w:rFonts w:cs="Times New Roman"/>
                <w:bCs/>
                <w:szCs w:val="21"/>
              </w:rPr>
            </w:pPr>
            <w:r>
              <w:rPr>
                <w:rFonts w:cs="Times New Roman"/>
                <w:bCs/>
                <w:szCs w:val="21"/>
              </w:rPr>
              <w:t>节肢动物</w:t>
            </w:r>
          </w:p>
          <w:p w14:paraId="4E68D8BA" w14:textId="77777777" w:rsidR="007D1E74" w:rsidRDefault="00A95641">
            <w:pPr>
              <w:jc w:val="center"/>
              <w:rPr>
                <w:rFonts w:cs="Times New Roman"/>
                <w:bCs/>
                <w:szCs w:val="21"/>
              </w:rPr>
            </w:pPr>
            <w:r>
              <w:rPr>
                <w:rFonts w:cs="Times New Roman"/>
                <w:szCs w:val="21"/>
              </w:rPr>
              <w:t>（个</w:t>
            </w:r>
            <w:r>
              <w:rPr>
                <w:rFonts w:cs="Times New Roman"/>
                <w:szCs w:val="21"/>
              </w:rPr>
              <w:t>/m</w:t>
            </w:r>
            <w:r>
              <w:rPr>
                <w:rFonts w:cs="Times New Roman"/>
                <w:szCs w:val="21"/>
                <w:vertAlign w:val="superscript"/>
              </w:rPr>
              <w:t>2</w:t>
            </w:r>
            <w:r>
              <w:rPr>
                <w:rFonts w:cs="Times New Roman"/>
                <w:szCs w:val="21"/>
              </w:rPr>
              <w:t>）</w:t>
            </w:r>
          </w:p>
        </w:tc>
        <w:tc>
          <w:tcPr>
            <w:tcW w:w="984" w:type="pct"/>
            <w:vAlign w:val="center"/>
          </w:tcPr>
          <w:p w14:paraId="274F402C" w14:textId="77777777" w:rsidR="007D1E74" w:rsidRDefault="00A95641">
            <w:pPr>
              <w:jc w:val="center"/>
              <w:rPr>
                <w:rFonts w:cs="Times New Roman"/>
                <w:bCs/>
                <w:szCs w:val="21"/>
              </w:rPr>
            </w:pPr>
            <w:r>
              <w:rPr>
                <w:rFonts w:cs="Times New Roman"/>
                <w:bCs/>
                <w:szCs w:val="21"/>
              </w:rPr>
              <w:t>软体动物</w:t>
            </w:r>
          </w:p>
          <w:p w14:paraId="265DA157" w14:textId="77777777" w:rsidR="007D1E74" w:rsidRDefault="00A95641">
            <w:pPr>
              <w:jc w:val="center"/>
              <w:rPr>
                <w:rFonts w:cs="Times New Roman"/>
                <w:bCs/>
                <w:szCs w:val="21"/>
              </w:rPr>
            </w:pPr>
            <w:r>
              <w:rPr>
                <w:rFonts w:cs="Times New Roman"/>
                <w:szCs w:val="21"/>
              </w:rPr>
              <w:t>（个</w:t>
            </w:r>
            <w:r>
              <w:rPr>
                <w:rFonts w:cs="Times New Roman"/>
                <w:szCs w:val="21"/>
              </w:rPr>
              <w:t>/m</w:t>
            </w:r>
            <w:r>
              <w:rPr>
                <w:rFonts w:cs="Times New Roman"/>
                <w:szCs w:val="21"/>
                <w:vertAlign w:val="superscript"/>
              </w:rPr>
              <w:t>2</w:t>
            </w:r>
            <w:r>
              <w:rPr>
                <w:rFonts w:cs="Times New Roman"/>
                <w:szCs w:val="21"/>
              </w:rPr>
              <w:t>）</w:t>
            </w:r>
          </w:p>
        </w:tc>
        <w:tc>
          <w:tcPr>
            <w:tcW w:w="984" w:type="pct"/>
            <w:vAlign w:val="center"/>
          </w:tcPr>
          <w:p w14:paraId="710359C6" w14:textId="77777777" w:rsidR="007D1E74" w:rsidRDefault="00A95641">
            <w:pPr>
              <w:jc w:val="center"/>
              <w:rPr>
                <w:rFonts w:cs="Times New Roman"/>
                <w:bCs/>
                <w:szCs w:val="21"/>
              </w:rPr>
            </w:pPr>
            <w:r>
              <w:rPr>
                <w:rFonts w:cs="Times New Roman"/>
                <w:bCs/>
                <w:szCs w:val="21"/>
              </w:rPr>
              <w:t>数量合计</w:t>
            </w:r>
          </w:p>
          <w:p w14:paraId="2897F299" w14:textId="77777777" w:rsidR="007D1E74" w:rsidRDefault="00A95641">
            <w:pPr>
              <w:jc w:val="center"/>
              <w:rPr>
                <w:rFonts w:cs="Times New Roman"/>
                <w:bCs/>
                <w:szCs w:val="21"/>
              </w:rPr>
            </w:pPr>
            <w:r>
              <w:rPr>
                <w:rFonts w:cs="Times New Roman"/>
                <w:szCs w:val="21"/>
              </w:rPr>
              <w:t>（个</w:t>
            </w:r>
            <w:r>
              <w:rPr>
                <w:rFonts w:cs="Times New Roman"/>
                <w:szCs w:val="21"/>
              </w:rPr>
              <w:t>/m</w:t>
            </w:r>
            <w:r>
              <w:rPr>
                <w:rFonts w:cs="Times New Roman"/>
                <w:szCs w:val="21"/>
                <w:vertAlign w:val="superscript"/>
              </w:rPr>
              <w:t>2</w:t>
            </w:r>
            <w:r>
              <w:rPr>
                <w:rFonts w:cs="Times New Roman"/>
                <w:szCs w:val="21"/>
              </w:rPr>
              <w:t>）</w:t>
            </w:r>
          </w:p>
        </w:tc>
        <w:tc>
          <w:tcPr>
            <w:tcW w:w="984" w:type="pct"/>
            <w:vAlign w:val="center"/>
          </w:tcPr>
          <w:p w14:paraId="6842A02F" w14:textId="77777777" w:rsidR="007D1E74" w:rsidRDefault="00A95641">
            <w:pPr>
              <w:jc w:val="center"/>
              <w:rPr>
                <w:rFonts w:cs="Times New Roman"/>
                <w:bCs/>
                <w:szCs w:val="21"/>
              </w:rPr>
            </w:pPr>
            <w:r>
              <w:rPr>
                <w:rFonts w:cs="Times New Roman"/>
                <w:bCs/>
                <w:szCs w:val="21"/>
              </w:rPr>
              <w:t>生物量合计</w:t>
            </w:r>
          </w:p>
          <w:p w14:paraId="5F082BA6" w14:textId="77777777" w:rsidR="007D1E74" w:rsidRDefault="00A95641">
            <w:pPr>
              <w:jc w:val="center"/>
              <w:rPr>
                <w:rFonts w:cs="Times New Roman"/>
                <w:bCs/>
                <w:szCs w:val="21"/>
              </w:rPr>
            </w:pPr>
            <w:r>
              <w:rPr>
                <w:rFonts w:cs="Times New Roman"/>
                <w:szCs w:val="21"/>
              </w:rPr>
              <w:t>（</w:t>
            </w:r>
            <w:r>
              <w:rPr>
                <w:rFonts w:cs="Times New Roman"/>
                <w:szCs w:val="21"/>
              </w:rPr>
              <w:t>g/m</w:t>
            </w:r>
            <w:r>
              <w:rPr>
                <w:rFonts w:cs="Times New Roman"/>
                <w:szCs w:val="21"/>
                <w:vertAlign w:val="superscript"/>
              </w:rPr>
              <w:t>2</w:t>
            </w:r>
            <w:r>
              <w:rPr>
                <w:rFonts w:cs="Times New Roman"/>
                <w:szCs w:val="21"/>
              </w:rPr>
              <w:t>）</w:t>
            </w:r>
          </w:p>
        </w:tc>
      </w:tr>
      <w:tr w:rsidR="007D1E74" w14:paraId="24C503D9" w14:textId="77777777">
        <w:tc>
          <w:tcPr>
            <w:tcW w:w="1065" w:type="pct"/>
            <w:vAlign w:val="center"/>
          </w:tcPr>
          <w:p w14:paraId="4F8B0413" w14:textId="77777777" w:rsidR="007D1E74" w:rsidRDefault="00A95641">
            <w:pPr>
              <w:jc w:val="center"/>
              <w:rPr>
                <w:rFonts w:cs="Times New Roman"/>
                <w:szCs w:val="21"/>
              </w:rPr>
            </w:pPr>
            <w:r>
              <w:rPr>
                <w:bCs/>
                <w:szCs w:val="21"/>
              </w:rPr>
              <w:lastRenderedPageBreak/>
              <w:t>1</w:t>
            </w:r>
          </w:p>
        </w:tc>
        <w:tc>
          <w:tcPr>
            <w:tcW w:w="983" w:type="pct"/>
            <w:vAlign w:val="center"/>
          </w:tcPr>
          <w:p w14:paraId="23281D01" w14:textId="77777777" w:rsidR="007D1E74" w:rsidRDefault="00A95641">
            <w:pPr>
              <w:jc w:val="center"/>
              <w:rPr>
                <w:rFonts w:cs="Times New Roman"/>
                <w:szCs w:val="21"/>
              </w:rPr>
            </w:pPr>
            <w:r>
              <w:rPr>
                <w:szCs w:val="21"/>
              </w:rPr>
              <w:t>32</w:t>
            </w:r>
          </w:p>
        </w:tc>
        <w:tc>
          <w:tcPr>
            <w:tcW w:w="984" w:type="pct"/>
            <w:vAlign w:val="center"/>
          </w:tcPr>
          <w:p w14:paraId="54ED6982" w14:textId="77777777" w:rsidR="007D1E74" w:rsidRDefault="00A95641">
            <w:pPr>
              <w:jc w:val="center"/>
              <w:rPr>
                <w:rFonts w:cs="Times New Roman"/>
                <w:szCs w:val="21"/>
              </w:rPr>
            </w:pPr>
            <w:r>
              <w:rPr>
                <w:szCs w:val="21"/>
              </w:rPr>
              <w:t>20</w:t>
            </w:r>
          </w:p>
        </w:tc>
        <w:tc>
          <w:tcPr>
            <w:tcW w:w="984" w:type="pct"/>
            <w:vAlign w:val="center"/>
          </w:tcPr>
          <w:p w14:paraId="32F57845" w14:textId="77777777" w:rsidR="007D1E74" w:rsidRDefault="00A95641">
            <w:pPr>
              <w:jc w:val="center"/>
              <w:rPr>
                <w:rFonts w:cs="Times New Roman"/>
                <w:kern w:val="0"/>
                <w:szCs w:val="21"/>
                <w:lang w:bidi="ar"/>
              </w:rPr>
            </w:pPr>
            <w:r>
              <w:rPr>
                <w:szCs w:val="21"/>
              </w:rPr>
              <w:t>52</w:t>
            </w:r>
          </w:p>
        </w:tc>
        <w:tc>
          <w:tcPr>
            <w:tcW w:w="984" w:type="pct"/>
            <w:vAlign w:val="center"/>
          </w:tcPr>
          <w:p w14:paraId="0E13B2F4" w14:textId="77777777" w:rsidR="007D1E74" w:rsidRDefault="00A95641">
            <w:pPr>
              <w:jc w:val="center"/>
              <w:rPr>
                <w:rFonts w:cs="Times New Roman"/>
                <w:szCs w:val="21"/>
              </w:rPr>
            </w:pPr>
            <w:r>
              <w:rPr>
                <w:szCs w:val="21"/>
              </w:rPr>
              <w:t>214.7</w:t>
            </w:r>
          </w:p>
        </w:tc>
      </w:tr>
      <w:tr w:rsidR="007D1E74" w14:paraId="4F9E55F8" w14:textId="77777777">
        <w:tc>
          <w:tcPr>
            <w:tcW w:w="1065" w:type="pct"/>
            <w:vAlign w:val="center"/>
          </w:tcPr>
          <w:p w14:paraId="35316111" w14:textId="77777777" w:rsidR="007D1E74" w:rsidRDefault="00A95641">
            <w:pPr>
              <w:jc w:val="center"/>
              <w:rPr>
                <w:rFonts w:cs="Times New Roman"/>
                <w:kern w:val="0"/>
                <w:szCs w:val="21"/>
                <w:lang w:bidi="ar"/>
              </w:rPr>
            </w:pPr>
            <w:r>
              <w:rPr>
                <w:bCs/>
                <w:szCs w:val="21"/>
              </w:rPr>
              <w:t>2</w:t>
            </w:r>
          </w:p>
        </w:tc>
        <w:tc>
          <w:tcPr>
            <w:tcW w:w="983" w:type="pct"/>
            <w:vAlign w:val="center"/>
          </w:tcPr>
          <w:p w14:paraId="42659CB9" w14:textId="77777777" w:rsidR="007D1E74" w:rsidRDefault="00A95641">
            <w:pPr>
              <w:jc w:val="center"/>
              <w:rPr>
                <w:rFonts w:cs="Times New Roman"/>
                <w:kern w:val="0"/>
                <w:szCs w:val="21"/>
                <w:lang w:bidi="ar"/>
              </w:rPr>
            </w:pPr>
            <w:r>
              <w:rPr>
                <w:szCs w:val="21"/>
              </w:rPr>
              <w:t>39</w:t>
            </w:r>
          </w:p>
        </w:tc>
        <w:tc>
          <w:tcPr>
            <w:tcW w:w="984" w:type="pct"/>
            <w:vAlign w:val="center"/>
          </w:tcPr>
          <w:p w14:paraId="4F3A2CFD" w14:textId="77777777" w:rsidR="007D1E74" w:rsidRDefault="00A95641">
            <w:pPr>
              <w:jc w:val="center"/>
              <w:rPr>
                <w:rFonts w:cs="Times New Roman"/>
                <w:szCs w:val="21"/>
              </w:rPr>
            </w:pPr>
            <w:r>
              <w:rPr>
                <w:szCs w:val="21"/>
              </w:rPr>
              <w:t>42</w:t>
            </w:r>
          </w:p>
        </w:tc>
        <w:tc>
          <w:tcPr>
            <w:tcW w:w="984" w:type="pct"/>
            <w:vAlign w:val="center"/>
          </w:tcPr>
          <w:p w14:paraId="05DCC034" w14:textId="77777777" w:rsidR="007D1E74" w:rsidRDefault="00A95641">
            <w:pPr>
              <w:jc w:val="center"/>
              <w:rPr>
                <w:rFonts w:cs="Times New Roman"/>
                <w:kern w:val="0"/>
                <w:szCs w:val="21"/>
                <w:lang w:bidi="ar"/>
              </w:rPr>
            </w:pPr>
            <w:r>
              <w:rPr>
                <w:szCs w:val="21"/>
              </w:rPr>
              <w:t>81</w:t>
            </w:r>
          </w:p>
        </w:tc>
        <w:tc>
          <w:tcPr>
            <w:tcW w:w="984" w:type="pct"/>
            <w:vAlign w:val="center"/>
          </w:tcPr>
          <w:p w14:paraId="00C639A6" w14:textId="77777777" w:rsidR="007D1E74" w:rsidRDefault="00A95641">
            <w:pPr>
              <w:jc w:val="center"/>
              <w:rPr>
                <w:rFonts w:cs="Times New Roman"/>
                <w:kern w:val="0"/>
                <w:szCs w:val="21"/>
                <w:lang w:bidi="ar"/>
              </w:rPr>
            </w:pPr>
            <w:r>
              <w:rPr>
                <w:szCs w:val="21"/>
              </w:rPr>
              <w:t>364.05</w:t>
            </w:r>
          </w:p>
        </w:tc>
      </w:tr>
      <w:tr w:rsidR="007D1E74" w14:paraId="51B7766B" w14:textId="77777777">
        <w:tc>
          <w:tcPr>
            <w:tcW w:w="1065" w:type="pct"/>
            <w:vAlign w:val="center"/>
          </w:tcPr>
          <w:p w14:paraId="0854DB92" w14:textId="77777777" w:rsidR="007D1E74" w:rsidRDefault="00A95641">
            <w:pPr>
              <w:jc w:val="center"/>
              <w:rPr>
                <w:rFonts w:cs="Times New Roman"/>
                <w:kern w:val="0"/>
                <w:szCs w:val="21"/>
                <w:lang w:bidi="ar"/>
              </w:rPr>
            </w:pPr>
            <w:r>
              <w:rPr>
                <w:bCs/>
                <w:szCs w:val="21"/>
              </w:rPr>
              <w:t>3</w:t>
            </w:r>
          </w:p>
        </w:tc>
        <w:tc>
          <w:tcPr>
            <w:tcW w:w="983" w:type="pct"/>
            <w:vAlign w:val="center"/>
          </w:tcPr>
          <w:p w14:paraId="3A783220" w14:textId="77777777" w:rsidR="007D1E74" w:rsidRDefault="00A95641">
            <w:pPr>
              <w:jc w:val="center"/>
              <w:rPr>
                <w:rFonts w:cs="Times New Roman"/>
                <w:kern w:val="0"/>
                <w:szCs w:val="21"/>
                <w:lang w:bidi="ar"/>
              </w:rPr>
            </w:pPr>
            <w:r>
              <w:rPr>
                <w:szCs w:val="21"/>
              </w:rPr>
              <w:t>29</w:t>
            </w:r>
          </w:p>
        </w:tc>
        <w:tc>
          <w:tcPr>
            <w:tcW w:w="984" w:type="pct"/>
            <w:vAlign w:val="center"/>
          </w:tcPr>
          <w:p w14:paraId="3027D768" w14:textId="77777777" w:rsidR="007D1E74" w:rsidRDefault="00A95641">
            <w:pPr>
              <w:jc w:val="center"/>
              <w:rPr>
                <w:rFonts w:cs="Times New Roman"/>
                <w:szCs w:val="21"/>
              </w:rPr>
            </w:pPr>
            <w:r>
              <w:rPr>
                <w:szCs w:val="21"/>
              </w:rPr>
              <w:t>28</w:t>
            </w:r>
          </w:p>
        </w:tc>
        <w:tc>
          <w:tcPr>
            <w:tcW w:w="984" w:type="pct"/>
            <w:vAlign w:val="center"/>
          </w:tcPr>
          <w:p w14:paraId="037F8C33" w14:textId="77777777" w:rsidR="007D1E74" w:rsidRDefault="00A95641">
            <w:pPr>
              <w:jc w:val="center"/>
              <w:rPr>
                <w:rFonts w:cs="Times New Roman"/>
                <w:kern w:val="0"/>
                <w:szCs w:val="21"/>
                <w:lang w:bidi="ar"/>
              </w:rPr>
            </w:pPr>
            <w:r>
              <w:rPr>
                <w:szCs w:val="21"/>
              </w:rPr>
              <w:t>57</w:t>
            </w:r>
          </w:p>
        </w:tc>
        <w:tc>
          <w:tcPr>
            <w:tcW w:w="984" w:type="pct"/>
            <w:vAlign w:val="center"/>
          </w:tcPr>
          <w:p w14:paraId="4F3224B8" w14:textId="77777777" w:rsidR="007D1E74" w:rsidRDefault="00A95641">
            <w:pPr>
              <w:jc w:val="center"/>
              <w:rPr>
                <w:rFonts w:cs="Times New Roman"/>
                <w:kern w:val="0"/>
                <w:szCs w:val="21"/>
                <w:lang w:bidi="ar"/>
              </w:rPr>
            </w:pPr>
            <w:r>
              <w:rPr>
                <w:szCs w:val="21"/>
              </w:rPr>
              <w:t>331.71</w:t>
            </w:r>
          </w:p>
        </w:tc>
      </w:tr>
      <w:tr w:rsidR="007D1E74" w14:paraId="301CF440" w14:textId="77777777">
        <w:tc>
          <w:tcPr>
            <w:tcW w:w="1065" w:type="pct"/>
            <w:vAlign w:val="center"/>
          </w:tcPr>
          <w:p w14:paraId="0646BCF8" w14:textId="77777777" w:rsidR="007D1E74" w:rsidRDefault="00A95641">
            <w:pPr>
              <w:jc w:val="center"/>
              <w:rPr>
                <w:rFonts w:cs="Times New Roman"/>
                <w:kern w:val="0"/>
                <w:szCs w:val="21"/>
                <w:lang w:bidi="ar"/>
              </w:rPr>
            </w:pPr>
            <w:r>
              <w:rPr>
                <w:bCs/>
                <w:szCs w:val="21"/>
              </w:rPr>
              <w:t>4</w:t>
            </w:r>
          </w:p>
        </w:tc>
        <w:tc>
          <w:tcPr>
            <w:tcW w:w="983" w:type="pct"/>
            <w:vAlign w:val="center"/>
          </w:tcPr>
          <w:p w14:paraId="62CC1E41" w14:textId="77777777" w:rsidR="007D1E74" w:rsidRDefault="00A95641">
            <w:pPr>
              <w:jc w:val="center"/>
              <w:rPr>
                <w:rFonts w:cs="Times New Roman"/>
                <w:kern w:val="0"/>
                <w:szCs w:val="21"/>
                <w:lang w:bidi="ar"/>
              </w:rPr>
            </w:pPr>
            <w:r>
              <w:rPr>
                <w:szCs w:val="21"/>
              </w:rPr>
              <w:t>34</w:t>
            </w:r>
          </w:p>
        </w:tc>
        <w:tc>
          <w:tcPr>
            <w:tcW w:w="984" w:type="pct"/>
            <w:vAlign w:val="center"/>
          </w:tcPr>
          <w:p w14:paraId="4BB18B3D" w14:textId="77777777" w:rsidR="007D1E74" w:rsidRDefault="00A95641">
            <w:pPr>
              <w:jc w:val="center"/>
              <w:rPr>
                <w:rFonts w:cs="Times New Roman"/>
                <w:szCs w:val="21"/>
              </w:rPr>
            </w:pPr>
            <w:r>
              <w:rPr>
                <w:szCs w:val="21"/>
              </w:rPr>
              <w:t>35</w:t>
            </w:r>
          </w:p>
        </w:tc>
        <w:tc>
          <w:tcPr>
            <w:tcW w:w="984" w:type="pct"/>
            <w:vAlign w:val="center"/>
          </w:tcPr>
          <w:p w14:paraId="75378503" w14:textId="77777777" w:rsidR="007D1E74" w:rsidRDefault="00A95641">
            <w:pPr>
              <w:jc w:val="center"/>
              <w:rPr>
                <w:rFonts w:cs="Times New Roman"/>
                <w:kern w:val="0"/>
                <w:szCs w:val="21"/>
                <w:lang w:bidi="ar"/>
              </w:rPr>
            </w:pPr>
            <w:r>
              <w:rPr>
                <w:szCs w:val="21"/>
              </w:rPr>
              <w:t>69</w:t>
            </w:r>
          </w:p>
        </w:tc>
        <w:tc>
          <w:tcPr>
            <w:tcW w:w="984" w:type="pct"/>
            <w:vAlign w:val="center"/>
          </w:tcPr>
          <w:p w14:paraId="6DF6CCD5" w14:textId="77777777" w:rsidR="007D1E74" w:rsidRDefault="00A95641">
            <w:pPr>
              <w:jc w:val="center"/>
              <w:rPr>
                <w:rFonts w:cs="Times New Roman"/>
                <w:kern w:val="0"/>
                <w:szCs w:val="21"/>
                <w:lang w:bidi="ar"/>
              </w:rPr>
            </w:pPr>
            <w:r>
              <w:rPr>
                <w:szCs w:val="21"/>
              </w:rPr>
              <w:t>376.23</w:t>
            </w:r>
          </w:p>
        </w:tc>
      </w:tr>
      <w:tr w:rsidR="007D1E74" w14:paraId="4CFDDABE" w14:textId="77777777">
        <w:tc>
          <w:tcPr>
            <w:tcW w:w="1065" w:type="pct"/>
            <w:vAlign w:val="center"/>
          </w:tcPr>
          <w:p w14:paraId="61D3123D" w14:textId="77777777" w:rsidR="007D1E74" w:rsidRDefault="00A95641">
            <w:pPr>
              <w:jc w:val="center"/>
              <w:rPr>
                <w:rFonts w:cs="Times New Roman"/>
                <w:kern w:val="0"/>
                <w:szCs w:val="21"/>
                <w:lang w:bidi="ar"/>
              </w:rPr>
            </w:pPr>
            <w:r>
              <w:rPr>
                <w:bCs/>
                <w:szCs w:val="21"/>
              </w:rPr>
              <w:t>平均</w:t>
            </w:r>
          </w:p>
        </w:tc>
        <w:tc>
          <w:tcPr>
            <w:tcW w:w="983" w:type="pct"/>
            <w:vAlign w:val="center"/>
          </w:tcPr>
          <w:p w14:paraId="796FA9F0" w14:textId="77777777" w:rsidR="007D1E74" w:rsidRDefault="00A95641">
            <w:pPr>
              <w:jc w:val="center"/>
              <w:rPr>
                <w:rFonts w:cs="Times New Roman"/>
                <w:kern w:val="0"/>
                <w:szCs w:val="21"/>
                <w:lang w:bidi="ar"/>
              </w:rPr>
            </w:pPr>
            <w:r>
              <w:rPr>
                <w:szCs w:val="21"/>
              </w:rPr>
              <w:t xml:space="preserve">34 </w:t>
            </w:r>
          </w:p>
        </w:tc>
        <w:tc>
          <w:tcPr>
            <w:tcW w:w="984" w:type="pct"/>
            <w:vAlign w:val="center"/>
          </w:tcPr>
          <w:p w14:paraId="4BD75F16" w14:textId="77777777" w:rsidR="007D1E74" w:rsidRDefault="00A95641">
            <w:pPr>
              <w:jc w:val="center"/>
              <w:rPr>
                <w:rFonts w:cs="Times New Roman"/>
                <w:szCs w:val="21"/>
              </w:rPr>
            </w:pPr>
            <w:r>
              <w:rPr>
                <w:szCs w:val="21"/>
              </w:rPr>
              <w:t xml:space="preserve">31 </w:t>
            </w:r>
          </w:p>
        </w:tc>
        <w:tc>
          <w:tcPr>
            <w:tcW w:w="984" w:type="pct"/>
            <w:vAlign w:val="center"/>
          </w:tcPr>
          <w:p w14:paraId="2067B56C" w14:textId="77777777" w:rsidR="007D1E74" w:rsidRDefault="00A95641">
            <w:pPr>
              <w:jc w:val="center"/>
              <w:rPr>
                <w:rFonts w:cs="Times New Roman"/>
                <w:kern w:val="0"/>
                <w:szCs w:val="21"/>
                <w:lang w:bidi="ar"/>
              </w:rPr>
            </w:pPr>
            <w:r>
              <w:rPr>
                <w:szCs w:val="21"/>
              </w:rPr>
              <w:t xml:space="preserve">65 </w:t>
            </w:r>
          </w:p>
        </w:tc>
        <w:tc>
          <w:tcPr>
            <w:tcW w:w="984" w:type="pct"/>
            <w:vAlign w:val="center"/>
          </w:tcPr>
          <w:p w14:paraId="45A7AF53" w14:textId="77777777" w:rsidR="007D1E74" w:rsidRDefault="00A95641">
            <w:pPr>
              <w:jc w:val="center"/>
              <w:rPr>
                <w:rFonts w:cs="Times New Roman"/>
                <w:kern w:val="0"/>
                <w:szCs w:val="21"/>
                <w:lang w:bidi="ar"/>
              </w:rPr>
            </w:pPr>
            <w:r>
              <w:rPr>
                <w:szCs w:val="21"/>
              </w:rPr>
              <w:t xml:space="preserve">321.67 </w:t>
            </w:r>
          </w:p>
        </w:tc>
      </w:tr>
    </w:tbl>
    <w:p w14:paraId="41BD91D3" w14:textId="77777777" w:rsidR="007D1E74" w:rsidRDefault="00A95641">
      <w:pPr>
        <w:pStyle w:val="afffff7"/>
        <w:ind w:firstLine="482"/>
      </w:pPr>
      <w:r>
        <w:t>5</w:t>
      </w:r>
      <w:r>
        <w:rPr>
          <w:rFonts w:hint="eastAsia"/>
        </w:rPr>
        <w:t>、鱼类资源现状</w:t>
      </w:r>
    </w:p>
    <w:p w14:paraId="20902D96" w14:textId="77777777" w:rsidR="007D1E74" w:rsidRDefault="00A95641">
      <w:pPr>
        <w:spacing w:line="360" w:lineRule="auto"/>
        <w:ind w:firstLineChars="200" w:firstLine="482"/>
        <w:rPr>
          <w:b/>
          <w:sz w:val="24"/>
          <w:szCs w:val="24"/>
        </w:rPr>
      </w:pPr>
      <w:r>
        <w:rPr>
          <w:rFonts w:hint="eastAsia"/>
          <w:b/>
          <w:sz w:val="24"/>
          <w:szCs w:val="24"/>
        </w:rPr>
        <w:t>（</w:t>
      </w:r>
      <w:r>
        <w:rPr>
          <w:rFonts w:hint="eastAsia"/>
          <w:b/>
          <w:sz w:val="24"/>
          <w:szCs w:val="24"/>
        </w:rPr>
        <w:t>1</w:t>
      </w:r>
      <w:r>
        <w:rPr>
          <w:rFonts w:hint="eastAsia"/>
          <w:b/>
          <w:sz w:val="24"/>
          <w:szCs w:val="24"/>
        </w:rPr>
        <w:t>）鱼类的种类组成</w:t>
      </w:r>
    </w:p>
    <w:p w14:paraId="5631967A" w14:textId="77777777" w:rsidR="007D1E74" w:rsidRDefault="00A95641">
      <w:pPr>
        <w:spacing w:line="360" w:lineRule="auto"/>
        <w:ind w:firstLineChars="200" w:firstLine="480"/>
        <w:rPr>
          <w:sz w:val="24"/>
          <w:szCs w:val="24"/>
        </w:rPr>
      </w:pPr>
      <w:r>
        <w:rPr>
          <w:rFonts w:hint="eastAsia"/>
          <w:sz w:val="24"/>
          <w:szCs w:val="24"/>
        </w:rPr>
        <w:t>依据历史资料记载，保护区有鱼类</w:t>
      </w:r>
      <w:r>
        <w:rPr>
          <w:rFonts w:hint="eastAsia"/>
          <w:sz w:val="24"/>
          <w:szCs w:val="24"/>
        </w:rPr>
        <w:t>82</w:t>
      </w:r>
      <w:r>
        <w:rPr>
          <w:rFonts w:hint="eastAsia"/>
          <w:sz w:val="24"/>
          <w:szCs w:val="24"/>
        </w:rPr>
        <w:t>种，隶属于</w:t>
      </w:r>
      <w:r>
        <w:rPr>
          <w:rFonts w:hint="eastAsia"/>
          <w:sz w:val="24"/>
          <w:szCs w:val="24"/>
        </w:rPr>
        <w:t>5</w:t>
      </w:r>
      <w:r>
        <w:rPr>
          <w:rFonts w:hint="eastAsia"/>
          <w:sz w:val="24"/>
          <w:szCs w:val="24"/>
        </w:rPr>
        <w:t>目</w:t>
      </w:r>
      <w:r>
        <w:rPr>
          <w:rFonts w:hint="eastAsia"/>
          <w:sz w:val="24"/>
          <w:szCs w:val="24"/>
        </w:rPr>
        <w:t>14</w:t>
      </w:r>
      <w:r>
        <w:rPr>
          <w:rFonts w:hint="eastAsia"/>
          <w:sz w:val="24"/>
          <w:szCs w:val="24"/>
        </w:rPr>
        <w:t>科</w:t>
      </w:r>
      <w:r>
        <w:rPr>
          <w:rFonts w:hint="eastAsia"/>
          <w:sz w:val="24"/>
          <w:szCs w:val="24"/>
        </w:rPr>
        <w:t>63</w:t>
      </w:r>
      <w:r>
        <w:rPr>
          <w:rFonts w:hint="eastAsia"/>
          <w:sz w:val="24"/>
          <w:szCs w:val="24"/>
        </w:rPr>
        <w:t>属。其中，鲤形目有</w:t>
      </w:r>
      <w:r>
        <w:rPr>
          <w:rFonts w:hint="eastAsia"/>
          <w:sz w:val="24"/>
          <w:szCs w:val="24"/>
        </w:rPr>
        <w:t>3</w:t>
      </w:r>
      <w:r>
        <w:rPr>
          <w:rFonts w:hint="eastAsia"/>
          <w:sz w:val="24"/>
          <w:szCs w:val="24"/>
        </w:rPr>
        <w:t>科</w:t>
      </w:r>
      <w:r>
        <w:rPr>
          <w:rFonts w:hint="eastAsia"/>
          <w:sz w:val="24"/>
          <w:szCs w:val="24"/>
        </w:rPr>
        <w:t>48</w:t>
      </w:r>
      <w:r>
        <w:rPr>
          <w:rFonts w:hint="eastAsia"/>
          <w:sz w:val="24"/>
          <w:szCs w:val="24"/>
        </w:rPr>
        <w:t>属</w:t>
      </w:r>
      <w:r>
        <w:rPr>
          <w:rFonts w:hint="eastAsia"/>
          <w:sz w:val="24"/>
          <w:szCs w:val="24"/>
        </w:rPr>
        <w:t>57</w:t>
      </w:r>
      <w:r>
        <w:rPr>
          <w:rFonts w:hint="eastAsia"/>
          <w:sz w:val="24"/>
          <w:szCs w:val="24"/>
        </w:rPr>
        <w:t>种，占保护区鱼类种数的</w:t>
      </w:r>
      <w:r>
        <w:rPr>
          <w:rFonts w:hint="eastAsia"/>
          <w:sz w:val="24"/>
          <w:szCs w:val="24"/>
        </w:rPr>
        <w:t>69.51%</w:t>
      </w:r>
      <w:r>
        <w:rPr>
          <w:rFonts w:hint="eastAsia"/>
          <w:sz w:val="24"/>
          <w:szCs w:val="24"/>
        </w:rPr>
        <w:t>；鲇形目</w:t>
      </w:r>
      <w:r>
        <w:rPr>
          <w:rFonts w:hint="eastAsia"/>
          <w:sz w:val="24"/>
          <w:szCs w:val="24"/>
        </w:rPr>
        <w:t>4</w:t>
      </w:r>
      <w:r>
        <w:rPr>
          <w:rFonts w:hint="eastAsia"/>
          <w:sz w:val="24"/>
          <w:szCs w:val="24"/>
        </w:rPr>
        <w:t>科</w:t>
      </w:r>
      <w:r>
        <w:rPr>
          <w:rFonts w:hint="eastAsia"/>
          <w:sz w:val="24"/>
          <w:szCs w:val="24"/>
        </w:rPr>
        <w:t>8</w:t>
      </w:r>
      <w:r>
        <w:rPr>
          <w:rFonts w:hint="eastAsia"/>
          <w:sz w:val="24"/>
          <w:szCs w:val="24"/>
        </w:rPr>
        <w:t>属</w:t>
      </w:r>
      <w:r>
        <w:rPr>
          <w:rFonts w:hint="eastAsia"/>
          <w:sz w:val="24"/>
          <w:szCs w:val="24"/>
        </w:rPr>
        <w:t>16</w:t>
      </w:r>
      <w:r>
        <w:rPr>
          <w:rFonts w:hint="eastAsia"/>
          <w:sz w:val="24"/>
          <w:szCs w:val="24"/>
        </w:rPr>
        <w:t>种，占保护区鱼类种数的</w:t>
      </w:r>
      <w:r>
        <w:rPr>
          <w:rFonts w:hint="eastAsia"/>
          <w:sz w:val="24"/>
          <w:szCs w:val="24"/>
        </w:rPr>
        <w:t>19.51%</w:t>
      </w:r>
      <w:r>
        <w:rPr>
          <w:rFonts w:hint="eastAsia"/>
          <w:sz w:val="24"/>
          <w:szCs w:val="24"/>
        </w:rPr>
        <w:t>；鲈形目</w:t>
      </w:r>
      <w:r>
        <w:rPr>
          <w:rFonts w:hint="eastAsia"/>
          <w:sz w:val="24"/>
          <w:szCs w:val="24"/>
        </w:rPr>
        <w:t>5</w:t>
      </w:r>
      <w:r>
        <w:rPr>
          <w:rFonts w:hint="eastAsia"/>
          <w:sz w:val="24"/>
          <w:szCs w:val="24"/>
        </w:rPr>
        <w:t>科</w:t>
      </w:r>
      <w:r>
        <w:rPr>
          <w:rFonts w:hint="eastAsia"/>
          <w:sz w:val="24"/>
          <w:szCs w:val="24"/>
        </w:rPr>
        <w:t>5</w:t>
      </w:r>
      <w:r>
        <w:rPr>
          <w:rFonts w:hint="eastAsia"/>
          <w:sz w:val="24"/>
          <w:szCs w:val="24"/>
        </w:rPr>
        <w:t>属</w:t>
      </w:r>
      <w:r>
        <w:rPr>
          <w:rFonts w:hint="eastAsia"/>
          <w:sz w:val="24"/>
          <w:szCs w:val="24"/>
        </w:rPr>
        <w:t>7</w:t>
      </w:r>
      <w:r>
        <w:rPr>
          <w:rFonts w:hint="eastAsia"/>
          <w:sz w:val="24"/>
          <w:szCs w:val="24"/>
        </w:rPr>
        <w:t>种，占保护区鱼类种数的</w:t>
      </w:r>
      <w:r>
        <w:rPr>
          <w:rFonts w:hint="eastAsia"/>
          <w:sz w:val="24"/>
          <w:szCs w:val="24"/>
        </w:rPr>
        <w:t>8.54%</w:t>
      </w:r>
      <w:r>
        <w:rPr>
          <w:rFonts w:hint="eastAsia"/>
          <w:sz w:val="24"/>
          <w:szCs w:val="24"/>
        </w:rPr>
        <w:t>；鳉形目和合鳃目均为</w:t>
      </w:r>
      <w:r>
        <w:rPr>
          <w:rFonts w:hint="eastAsia"/>
          <w:sz w:val="24"/>
          <w:szCs w:val="24"/>
        </w:rPr>
        <w:t>1</w:t>
      </w:r>
      <w:r>
        <w:rPr>
          <w:rFonts w:hint="eastAsia"/>
          <w:sz w:val="24"/>
          <w:szCs w:val="24"/>
        </w:rPr>
        <w:t>科</w:t>
      </w:r>
      <w:r>
        <w:rPr>
          <w:rFonts w:hint="eastAsia"/>
          <w:sz w:val="24"/>
          <w:szCs w:val="24"/>
        </w:rPr>
        <w:t>1</w:t>
      </w:r>
      <w:r>
        <w:rPr>
          <w:rFonts w:hint="eastAsia"/>
          <w:sz w:val="24"/>
          <w:szCs w:val="24"/>
        </w:rPr>
        <w:t>属</w:t>
      </w:r>
      <w:r>
        <w:rPr>
          <w:rFonts w:hint="eastAsia"/>
          <w:sz w:val="24"/>
          <w:szCs w:val="24"/>
        </w:rPr>
        <w:t>1</w:t>
      </w:r>
      <w:r>
        <w:rPr>
          <w:rFonts w:hint="eastAsia"/>
          <w:sz w:val="24"/>
          <w:szCs w:val="24"/>
        </w:rPr>
        <w:t>种，各占保护区鱼类种数的</w:t>
      </w:r>
      <w:r>
        <w:rPr>
          <w:rFonts w:hint="eastAsia"/>
          <w:sz w:val="24"/>
          <w:szCs w:val="24"/>
        </w:rPr>
        <w:t>1.22%</w:t>
      </w:r>
      <w:r>
        <w:rPr>
          <w:rFonts w:hint="eastAsia"/>
          <w:sz w:val="24"/>
          <w:szCs w:val="24"/>
        </w:rPr>
        <w:t>。在保护区鱼类中，鲤形目鱼类的种类非常丰富，其中鲤科最多，有</w:t>
      </w:r>
      <w:r>
        <w:rPr>
          <w:rFonts w:hint="eastAsia"/>
          <w:sz w:val="24"/>
          <w:szCs w:val="24"/>
        </w:rPr>
        <w:t>46</w:t>
      </w:r>
      <w:r>
        <w:rPr>
          <w:rFonts w:hint="eastAsia"/>
          <w:sz w:val="24"/>
          <w:szCs w:val="24"/>
        </w:rPr>
        <w:t>种，占鱼类总种数的</w:t>
      </w:r>
      <w:r>
        <w:rPr>
          <w:rFonts w:hint="eastAsia"/>
          <w:sz w:val="24"/>
          <w:szCs w:val="24"/>
        </w:rPr>
        <w:t>56.10%</w:t>
      </w:r>
      <w:r>
        <w:rPr>
          <w:rFonts w:hint="eastAsia"/>
          <w:sz w:val="24"/>
          <w:szCs w:val="24"/>
        </w:rPr>
        <w:t>；其次是鲇形目鲿科有</w:t>
      </w:r>
      <w:r>
        <w:rPr>
          <w:rFonts w:hint="eastAsia"/>
          <w:sz w:val="24"/>
          <w:szCs w:val="24"/>
        </w:rPr>
        <w:t>9</w:t>
      </w:r>
      <w:r>
        <w:rPr>
          <w:rFonts w:hint="eastAsia"/>
          <w:sz w:val="24"/>
          <w:szCs w:val="24"/>
        </w:rPr>
        <w:t>种，占</w:t>
      </w:r>
      <w:r>
        <w:rPr>
          <w:rFonts w:hint="eastAsia"/>
          <w:sz w:val="24"/>
          <w:szCs w:val="24"/>
        </w:rPr>
        <w:t>10.98%</w:t>
      </w:r>
      <w:r>
        <w:rPr>
          <w:rFonts w:hint="eastAsia"/>
          <w:sz w:val="24"/>
          <w:szCs w:val="24"/>
        </w:rPr>
        <w:t>；鲤形目鳅科</w:t>
      </w:r>
      <w:r>
        <w:rPr>
          <w:rFonts w:hint="eastAsia"/>
          <w:sz w:val="24"/>
          <w:szCs w:val="24"/>
        </w:rPr>
        <w:t>8</w:t>
      </w:r>
      <w:r>
        <w:rPr>
          <w:rFonts w:hint="eastAsia"/>
          <w:sz w:val="24"/>
          <w:szCs w:val="24"/>
        </w:rPr>
        <w:t>种，占</w:t>
      </w:r>
      <w:r>
        <w:rPr>
          <w:rFonts w:hint="eastAsia"/>
          <w:sz w:val="24"/>
          <w:szCs w:val="24"/>
        </w:rPr>
        <w:t xml:space="preserve">9.76% </w:t>
      </w:r>
      <w:r>
        <w:rPr>
          <w:rFonts w:hint="eastAsia"/>
          <w:sz w:val="24"/>
          <w:szCs w:val="24"/>
        </w:rPr>
        <w:t>。其余各科的种类均很少。</w:t>
      </w:r>
    </w:p>
    <w:p w14:paraId="4766AEFF" w14:textId="77777777" w:rsidR="007D1E74" w:rsidRDefault="00A95641">
      <w:pPr>
        <w:spacing w:line="360" w:lineRule="auto"/>
        <w:ind w:firstLineChars="200" w:firstLine="480"/>
        <w:rPr>
          <w:sz w:val="24"/>
          <w:szCs w:val="24"/>
        </w:rPr>
      </w:pPr>
      <w:r>
        <w:rPr>
          <w:rFonts w:hint="eastAsia"/>
          <w:sz w:val="24"/>
          <w:szCs w:val="24"/>
        </w:rPr>
        <w:t>调查水域鱼类种类组成见下表。</w:t>
      </w:r>
    </w:p>
    <w:p w14:paraId="49543CF6" w14:textId="77777777" w:rsidR="007D1E74" w:rsidRDefault="00A95641">
      <w:pPr>
        <w:pStyle w:val="afffffe"/>
        <w:numPr>
          <w:ilvl w:val="0"/>
          <w:numId w:val="43"/>
        </w:numPr>
        <w:spacing w:line="360" w:lineRule="auto"/>
        <w:ind w:firstLineChars="0"/>
        <w:jc w:val="center"/>
        <w:rPr>
          <w:rFonts w:eastAsia="黑体" w:cs="Times New Roman"/>
          <w:szCs w:val="21"/>
        </w:rPr>
      </w:pPr>
      <w:r>
        <w:rPr>
          <w:rFonts w:eastAsia="黑体" w:cs="Times New Roman" w:hint="eastAsia"/>
          <w:szCs w:val="21"/>
        </w:rPr>
        <w:t>调查水域鱼类种类组成表</w:t>
      </w:r>
    </w:p>
    <w:tbl>
      <w:tblPr>
        <w:tblStyle w:val="affffc"/>
        <w:tblW w:w="5000" w:type="pct"/>
        <w:tblLook w:val="04A0" w:firstRow="1" w:lastRow="0" w:firstColumn="1" w:lastColumn="0" w:noHBand="0" w:noVBand="1"/>
      </w:tblPr>
      <w:tblGrid>
        <w:gridCol w:w="1502"/>
        <w:gridCol w:w="1506"/>
        <w:gridCol w:w="1502"/>
        <w:gridCol w:w="1502"/>
        <w:gridCol w:w="1502"/>
        <w:gridCol w:w="1502"/>
      </w:tblGrid>
      <w:tr w:rsidR="007D1E74" w14:paraId="69D2D22D" w14:textId="77777777">
        <w:tc>
          <w:tcPr>
            <w:tcW w:w="833" w:type="pct"/>
            <w:vAlign w:val="center"/>
          </w:tcPr>
          <w:p w14:paraId="3FB3786B" w14:textId="77777777" w:rsidR="007D1E74" w:rsidRDefault="00A95641">
            <w:pPr>
              <w:jc w:val="center"/>
              <w:rPr>
                <w:rFonts w:cs="Times New Roman"/>
                <w:bCs/>
                <w:szCs w:val="21"/>
              </w:rPr>
            </w:pPr>
            <w:r>
              <w:rPr>
                <w:kern w:val="0"/>
                <w:szCs w:val="21"/>
              </w:rPr>
              <w:t>目</w:t>
            </w:r>
          </w:p>
        </w:tc>
        <w:tc>
          <w:tcPr>
            <w:tcW w:w="834" w:type="pct"/>
            <w:vAlign w:val="center"/>
          </w:tcPr>
          <w:p w14:paraId="631F6C8C" w14:textId="77777777" w:rsidR="007D1E74" w:rsidRDefault="00A95641">
            <w:pPr>
              <w:jc w:val="center"/>
              <w:rPr>
                <w:rFonts w:cs="Times New Roman"/>
                <w:bCs/>
                <w:szCs w:val="21"/>
              </w:rPr>
            </w:pPr>
            <w:r>
              <w:rPr>
                <w:kern w:val="0"/>
                <w:szCs w:val="21"/>
              </w:rPr>
              <w:t>科</w:t>
            </w:r>
          </w:p>
        </w:tc>
        <w:tc>
          <w:tcPr>
            <w:tcW w:w="833" w:type="pct"/>
            <w:vAlign w:val="center"/>
          </w:tcPr>
          <w:p w14:paraId="4794223B" w14:textId="77777777" w:rsidR="007D1E74" w:rsidRDefault="00A95641">
            <w:pPr>
              <w:jc w:val="center"/>
              <w:rPr>
                <w:rFonts w:cs="Times New Roman"/>
                <w:bCs/>
                <w:szCs w:val="21"/>
              </w:rPr>
            </w:pPr>
            <w:r>
              <w:rPr>
                <w:kern w:val="0"/>
                <w:szCs w:val="21"/>
              </w:rPr>
              <w:t>属数</w:t>
            </w:r>
          </w:p>
        </w:tc>
        <w:tc>
          <w:tcPr>
            <w:tcW w:w="833" w:type="pct"/>
            <w:vAlign w:val="center"/>
          </w:tcPr>
          <w:p w14:paraId="18F21671" w14:textId="77777777" w:rsidR="007D1E74" w:rsidRDefault="00A95641">
            <w:pPr>
              <w:jc w:val="center"/>
              <w:rPr>
                <w:rFonts w:cs="Times New Roman"/>
                <w:bCs/>
                <w:szCs w:val="21"/>
              </w:rPr>
            </w:pPr>
            <w:r>
              <w:rPr>
                <w:kern w:val="0"/>
                <w:szCs w:val="21"/>
              </w:rPr>
              <w:t>属</w:t>
            </w:r>
            <w:r>
              <w:rPr>
                <w:kern w:val="0"/>
                <w:szCs w:val="21"/>
              </w:rPr>
              <w:t>%</w:t>
            </w:r>
          </w:p>
        </w:tc>
        <w:tc>
          <w:tcPr>
            <w:tcW w:w="833" w:type="pct"/>
            <w:vAlign w:val="center"/>
          </w:tcPr>
          <w:p w14:paraId="1A539AD6" w14:textId="77777777" w:rsidR="007D1E74" w:rsidRDefault="00A95641">
            <w:pPr>
              <w:jc w:val="center"/>
              <w:rPr>
                <w:rFonts w:cs="Times New Roman"/>
                <w:bCs/>
                <w:szCs w:val="21"/>
              </w:rPr>
            </w:pPr>
            <w:r>
              <w:rPr>
                <w:kern w:val="0"/>
                <w:szCs w:val="21"/>
              </w:rPr>
              <w:t>种数</w:t>
            </w:r>
          </w:p>
        </w:tc>
        <w:tc>
          <w:tcPr>
            <w:tcW w:w="833" w:type="pct"/>
            <w:vAlign w:val="center"/>
          </w:tcPr>
          <w:p w14:paraId="1467B68C" w14:textId="77777777" w:rsidR="007D1E74" w:rsidRDefault="00A95641">
            <w:pPr>
              <w:jc w:val="center"/>
              <w:rPr>
                <w:rFonts w:cs="Times New Roman"/>
                <w:bCs/>
                <w:szCs w:val="21"/>
              </w:rPr>
            </w:pPr>
            <w:r>
              <w:rPr>
                <w:kern w:val="0"/>
                <w:szCs w:val="21"/>
              </w:rPr>
              <w:t>种</w:t>
            </w:r>
            <w:r>
              <w:rPr>
                <w:kern w:val="0"/>
                <w:szCs w:val="21"/>
              </w:rPr>
              <w:t>%</w:t>
            </w:r>
          </w:p>
        </w:tc>
      </w:tr>
      <w:tr w:rsidR="007D1E74" w14:paraId="65102A89" w14:textId="77777777">
        <w:tc>
          <w:tcPr>
            <w:tcW w:w="833" w:type="pct"/>
            <w:vMerge w:val="restart"/>
            <w:vAlign w:val="center"/>
          </w:tcPr>
          <w:p w14:paraId="57D606D3" w14:textId="77777777" w:rsidR="007D1E74" w:rsidRDefault="00A95641">
            <w:pPr>
              <w:jc w:val="center"/>
              <w:rPr>
                <w:rFonts w:cs="Times New Roman"/>
                <w:szCs w:val="21"/>
              </w:rPr>
            </w:pPr>
            <w:r>
              <w:rPr>
                <w:rFonts w:cs="Times New Roman" w:hint="eastAsia"/>
                <w:szCs w:val="21"/>
              </w:rPr>
              <w:t>鲤形目</w:t>
            </w:r>
          </w:p>
        </w:tc>
        <w:tc>
          <w:tcPr>
            <w:tcW w:w="834" w:type="pct"/>
            <w:vAlign w:val="center"/>
          </w:tcPr>
          <w:p w14:paraId="48D0BDDE" w14:textId="77777777" w:rsidR="007D1E74" w:rsidRDefault="00A95641">
            <w:pPr>
              <w:jc w:val="center"/>
              <w:rPr>
                <w:rFonts w:cs="Times New Roman"/>
                <w:szCs w:val="21"/>
              </w:rPr>
            </w:pPr>
            <w:r>
              <w:rPr>
                <w:kern w:val="0"/>
                <w:szCs w:val="21"/>
              </w:rPr>
              <w:t>鳅科</w:t>
            </w:r>
          </w:p>
        </w:tc>
        <w:tc>
          <w:tcPr>
            <w:tcW w:w="833" w:type="pct"/>
            <w:vAlign w:val="center"/>
          </w:tcPr>
          <w:p w14:paraId="0B10D919" w14:textId="77777777" w:rsidR="007D1E74" w:rsidRDefault="00A95641">
            <w:pPr>
              <w:jc w:val="center"/>
              <w:rPr>
                <w:rFonts w:cs="Times New Roman"/>
                <w:kern w:val="0"/>
                <w:szCs w:val="21"/>
                <w:lang w:bidi="ar"/>
              </w:rPr>
            </w:pPr>
            <w:r>
              <w:rPr>
                <w:kern w:val="0"/>
                <w:szCs w:val="21"/>
              </w:rPr>
              <w:t>7</w:t>
            </w:r>
          </w:p>
        </w:tc>
        <w:tc>
          <w:tcPr>
            <w:tcW w:w="833" w:type="pct"/>
            <w:vAlign w:val="center"/>
          </w:tcPr>
          <w:p w14:paraId="206559B1" w14:textId="77777777" w:rsidR="007D1E74" w:rsidRDefault="00A95641">
            <w:pPr>
              <w:jc w:val="center"/>
              <w:rPr>
                <w:rFonts w:cs="Times New Roman"/>
                <w:szCs w:val="21"/>
              </w:rPr>
            </w:pPr>
            <w:r>
              <w:rPr>
                <w:kern w:val="0"/>
                <w:szCs w:val="21"/>
              </w:rPr>
              <w:t>11.11</w:t>
            </w:r>
          </w:p>
        </w:tc>
        <w:tc>
          <w:tcPr>
            <w:tcW w:w="833" w:type="pct"/>
            <w:vAlign w:val="center"/>
          </w:tcPr>
          <w:p w14:paraId="6B2EAB52" w14:textId="77777777" w:rsidR="007D1E74" w:rsidRDefault="00A95641">
            <w:pPr>
              <w:jc w:val="center"/>
              <w:rPr>
                <w:rFonts w:cs="Times New Roman"/>
                <w:szCs w:val="21"/>
              </w:rPr>
            </w:pPr>
            <w:r>
              <w:rPr>
                <w:kern w:val="0"/>
                <w:szCs w:val="21"/>
              </w:rPr>
              <w:t>8</w:t>
            </w:r>
          </w:p>
        </w:tc>
        <w:tc>
          <w:tcPr>
            <w:tcW w:w="833" w:type="pct"/>
            <w:vAlign w:val="center"/>
          </w:tcPr>
          <w:p w14:paraId="786F68B0" w14:textId="77777777" w:rsidR="007D1E74" w:rsidRDefault="00A95641">
            <w:pPr>
              <w:jc w:val="center"/>
              <w:rPr>
                <w:rFonts w:cs="Times New Roman"/>
                <w:szCs w:val="21"/>
              </w:rPr>
            </w:pPr>
            <w:r>
              <w:rPr>
                <w:kern w:val="0"/>
                <w:szCs w:val="21"/>
              </w:rPr>
              <w:t>9.76</w:t>
            </w:r>
          </w:p>
        </w:tc>
      </w:tr>
      <w:tr w:rsidR="007D1E74" w14:paraId="53B3D1EC" w14:textId="77777777">
        <w:tc>
          <w:tcPr>
            <w:tcW w:w="833" w:type="pct"/>
            <w:vMerge/>
            <w:vAlign w:val="center"/>
          </w:tcPr>
          <w:p w14:paraId="383CBAB0" w14:textId="77777777" w:rsidR="007D1E74" w:rsidRDefault="007D1E74">
            <w:pPr>
              <w:jc w:val="center"/>
              <w:rPr>
                <w:rFonts w:cs="Times New Roman"/>
                <w:szCs w:val="21"/>
              </w:rPr>
            </w:pPr>
          </w:p>
        </w:tc>
        <w:tc>
          <w:tcPr>
            <w:tcW w:w="834" w:type="pct"/>
            <w:vAlign w:val="center"/>
          </w:tcPr>
          <w:p w14:paraId="0CD2C184" w14:textId="77777777" w:rsidR="007D1E74" w:rsidRDefault="00A95641">
            <w:pPr>
              <w:jc w:val="center"/>
              <w:rPr>
                <w:rFonts w:cs="Times New Roman"/>
                <w:szCs w:val="21"/>
              </w:rPr>
            </w:pPr>
            <w:r>
              <w:rPr>
                <w:kern w:val="0"/>
                <w:szCs w:val="21"/>
              </w:rPr>
              <w:t>鲤科</w:t>
            </w:r>
          </w:p>
        </w:tc>
        <w:tc>
          <w:tcPr>
            <w:tcW w:w="833" w:type="pct"/>
            <w:vAlign w:val="center"/>
          </w:tcPr>
          <w:p w14:paraId="0C5694B0" w14:textId="77777777" w:rsidR="007D1E74" w:rsidRDefault="00A95641">
            <w:pPr>
              <w:jc w:val="center"/>
              <w:rPr>
                <w:rFonts w:cs="Times New Roman"/>
                <w:kern w:val="0"/>
                <w:szCs w:val="21"/>
                <w:lang w:bidi="ar"/>
              </w:rPr>
            </w:pPr>
            <w:r>
              <w:rPr>
                <w:kern w:val="0"/>
                <w:szCs w:val="21"/>
              </w:rPr>
              <w:t>38</w:t>
            </w:r>
          </w:p>
        </w:tc>
        <w:tc>
          <w:tcPr>
            <w:tcW w:w="833" w:type="pct"/>
            <w:vAlign w:val="center"/>
          </w:tcPr>
          <w:p w14:paraId="7092CC19" w14:textId="77777777" w:rsidR="007D1E74" w:rsidRDefault="00A95641">
            <w:pPr>
              <w:jc w:val="center"/>
              <w:rPr>
                <w:rFonts w:cs="Times New Roman"/>
                <w:szCs w:val="21"/>
              </w:rPr>
            </w:pPr>
            <w:r>
              <w:rPr>
                <w:kern w:val="0"/>
                <w:szCs w:val="21"/>
              </w:rPr>
              <w:t>60.32</w:t>
            </w:r>
          </w:p>
        </w:tc>
        <w:tc>
          <w:tcPr>
            <w:tcW w:w="833" w:type="pct"/>
            <w:vAlign w:val="center"/>
          </w:tcPr>
          <w:p w14:paraId="4AACC2B5" w14:textId="77777777" w:rsidR="007D1E74" w:rsidRDefault="00A95641">
            <w:pPr>
              <w:jc w:val="center"/>
              <w:rPr>
                <w:rFonts w:cs="Times New Roman"/>
                <w:szCs w:val="21"/>
              </w:rPr>
            </w:pPr>
            <w:r>
              <w:rPr>
                <w:kern w:val="0"/>
                <w:szCs w:val="21"/>
              </w:rPr>
              <w:t>46</w:t>
            </w:r>
          </w:p>
        </w:tc>
        <w:tc>
          <w:tcPr>
            <w:tcW w:w="833" w:type="pct"/>
            <w:vAlign w:val="center"/>
          </w:tcPr>
          <w:p w14:paraId="60B67BAF" w14:textId="77777777" w:rsidR="007D1E74" w:rsidRDefault="00A95641">
            <w:pPr>
              <w:jc w:val="center"/>
              <w:rPr>
                <w:rFonts w:cs="Times New Roman"/>
                <w:szCs w:val="21"/>
              </w:rPr>
            </w:pPr>
            <w:r>
              <w:rPr>
                <w:kern w:val="0"/>
                <w:szCs w:val="21"/>
              </w:rPr>
              <w:t>56.10</w:t>
            </w:r>
          </w:p>
        </w:tc>
      </w:tr>
      <w:tr w:rsidR="007D1E74" w14:paraId="115AA930" w14:textId="77777777">
        <w:tc>
          <w:tcPr>
            <w:tcW w:w="833" w:type="pct"/>
            <w:vMerge/>
            <w:vAlign w:val="center"/>
          </w:tcPr>
          <w:p w14:paraId="34893369" w14:textId="77777777" w:rsidR="007D1E74" w:rsidRDefault="007D1E74">
            <w:pPr>
              <w:jc w:val="center"/>
              <w:rPr>
                <w:rFonts w:cs="Times New Roman"/>
                <w:szCs w:val="21"/>
              </w:rPr>
            </w:pPr>
          </w:p>
        </w:tc>
        <w:tc>
          <w:tcPr>
            <w:tcW w:w="834" w:type="pct"/>
            <w:vAlign w:val="center"/>
          </w:tcPr>
          <w:p w14:paraId="0E861379" w14:textId="77777777" w:rsidR="007D1E74" w:rsidRDefault="00A95641">
            <w:pPr>
              <w:jc w:val="center"/>
              <w:rPr>
                <w:rFonts w:cs="Times New Roman"/>
                <w:szCs w:val="21"/>
              </w:rPr>
            </w:pPr>
            <w:r>
              <w:rPr>
                <w:kern w:val="0"/>
                <w:szCs w:val="21"/>
              </w:rPr>
              <w:t>平鳍鳅科</w:t>
            </w:r>
          </w:p>
        </w:tc>
        <w:tc>
          <w:tcPr>
            <w:tcW w:w="833" w:type="pct"/>
            <w:vAlign w:val="center"/>
          </w:tcPr>
          <w:p w14:paraId="48A5B1A5" w14:textId="77777777" w:rsidR="007D1E74" w:rsidRDefault="00A95641">
            <w:pPr>
              <w:jc w:val="center"/>
              <w:rPr>
                <w:rFonts w:cs="Times New Roman"/>
                <w:kern w:val="0"/>
                <w:szCs w:val="21"/>
                <w:lang w:bidi="ar"/>
              </w:rPr>
            </w:pPr>
            <w:r>
              <w:rPr>
                <w:kern w:val="0"/>
                <w:szCs w:val="21"/>
              </w:rPr>
              <w:t>3</w:t>
            </w:r>
          </w:p>
        </w:tc>
        <w:tc>
          <w:tcPr>
            <w:tcW w:w="833" w:type="pct"/>
            <w:vAlign w:val="center"/>
          </w:tcPr>
          <w:p w14:paraId="179CD29F" w14:textId="77777777" w:rsidR="007D1E74" w:rsidRDefault="00A95641">
            <w:pPr>
              <w:jc w:val="center"/>
              <w:rPr>
                <w:rFonts w:cs="Times New Roman"/>
                <w:szCs w:val="21"/>
              </w:rPr>
            </w:pPr>
            <w:r>
              <w:rPr>
                <w:kern w:val="0"/>
                <w:szCs w:val="21"/>
              </w:rPr>
              <w:t>4.76</w:t>
            </w:r>
          </w:p>
        </w:tc>
        <w:tc>
          <w:tcPr>
            <w:tcW w:w="833" w:type="pct"/>
            <w:vAlign w:val="center"/>
          </w:tcPr>
          <w:p w14:paraId="7648E2C5" w14:textId="77777777" w:rsidR="007D1E74" w:rsidRDefault="00A95641">
            <w:pPr>
              <w:jc w:val="center"/>
              <w:rPr>
                <w:rFonts w:cs="Times New Roman"/>
                <w:szCs w:val="21"/>
              </w:rPr>
            </w:pPr>
            <w:r>
              <w:rPr>
                <w:kern w:val="0"/>
                <w:szCs w:val="21"/>
              </w:rPr>
              <w:t>3</w:t>
            </w:r>
          </w:p>
        </w:tc>
        <w:tc>
          <w:tcPr>
            <w:tcW w:w="833" w:type="pct"/>
            <w:vAlign w:val="center"/>
          </w:tcPr>
          <w:p w14:paraId="65308491" w14:textId="77777777" w:rsidR="007D1E74" w:rsidRDefault="00A95641">
            <w:pPr>
              <w:jc w:val="center"/>
              <w:rPr>
                <w:rFonts w:cs="Times New Roman"/>
                <w:szCs w:val="21"/>
              </w:rPr>
            </w:pPr>
            <w:r>
              <w:rPr>
                <w:kern w:val="0"/>
                <w:szCs w:val="21"/>
              </w:rPr>
              <w:t>3.66</w:t>
            </w:r>
          </w:p>
        </w:tc>
      </w:tr>
      <w:tr w:rsidR="007D1E74" w14:paraId="73309EB4" w14:textId="77777777">
        <w:tc>
          <w:tcPr>
            <w:tcW w:w="833" w:type="pct"/>
            <w:vMerge w:val="restart"/>
            <w:vAlign w:val="center"/>
          </w:tcPr>
          <w:p w14:paraId="5E19493D" w14:textId="77777777" w:rsidR="007D1E74" w:rsidRDefault="00A95641">
            <w:pPr>
              <w:jc w:val="center"/>
              <w:rPr>
                <w:rFonts w:cs="Times New Roman"/>
                <w:szCs w:val="21"/>
              </w:rPr>
            </w:pPr>
            <w:r>
              <w:rPr>
                <w:rFonts w:cs="Times New Roman" w:hint="eastAsia"/>
                <w:szCs w:val="21"/>
              </w:rPr>
              <w:t>鲇形目</w:t>
            </w:r>
          </w:p>
        </w:tc>
        <w:tc>
          <w:tcPr>
            <w:tcW w:w="834" w:type="pct"/>
            <w:vAlign w:val="center"/>
          </w:tcPr>
          <w:p w14:paraId="0B1B88D9" w14:textId="77777777" w:rsidR="007D1E74" w:rsidRDefault="00A95641">
            <w:pPr>
              <w:jc w:val="center"/>
              <w:rPr>
                <w:rFonts w:cs="Times New Roman"/>
                <w:szCs w:val="21"/>
              </w:rPr>
            </w:pPr>
            <w:r>
              <w:rPr>
                <w:kern w:val="0"/>
                <w:szCs w:val="21"/>
              </w:rPr>
              <w:t>鲇科</w:t>
            </w:r>
          </w:p>
        </w:tc>
        <w:tc>
          <w:tcPr>
            <w:tcW w:w="833" w:type="pct"/>
            <w:vAlign w:val="center"/>
          </w:tcPr>
          <w:p w14:paraId="3A5D9E96" w14:textId="77777777" w:rsidR="007D1E74" w:rsidRDefault="00A95641">
            <w:pPr>
              <w:jc w:val="center"/>
              <w:rPr>
                <w:rFonts w:cs="Times New Roman"/>
                <w:kern w:val="0"/>
                <w:szCs w:val="21"/>
                <w:lang w:bidi="ar"/>
              </w:rPr>
            </w:pPr>
            <w:r>
              <w:rPr>
                <w:kern w:val="0"/>
                <w:szCs w:val="21"/>
              </w:rPr>
              <w:t>1</w:t>
            </w:r>
          </w:p>
        </w:tc>
        <w:tc>
          <w:tcPr>
            <w:tcW w:w="833" w:type="pct"/>
            <w:vAlign w:val="center"/>
          </w:tcPr>
          <w:p w14:paraId="3499AB59" w14:textId="77777777" w:rsidR="007D1E74" w:rsidRDefault="00A95641">
            <w:pPr>
              <w:jc w:val="center"/>
              <w:rPr>
                <w:rFonts w:cs="Times New Roman"/>
                <w:szCs w:val="21"/>
              </w:rPr>
            </w:pPr>
            <w:r>
              <w:rPr>
                <w:kern w:val="0"/>
                <w:szCs w:val="21"/>
              </w:rPr>
              <w:t>1.59</w:t>
            </w:r>
          </w:p>
        </w:tc>
        <w:tc>
          <w:tcPr>
            <w:tcW w:w="833" w:type="pct"/>
            <w:vAlign w:val="center"/>
          </w:tcPr>
          <w:p w14:paraId="064F3A6B" w14:textId="77777777" w:rsidR="007D1E74" w:rsidRDefault="00A95641">
            <w:pPr>
              <w:jc w:val="center"/>
              <w:rPr>
                <w:rFonts w:cs="Times New Roman"/>
                <w:szCs w:val="21"/>
              </w:rPr>
            </w:pPr>
            <w:r>
              <w:rPr>
                <w:kern w:val="0"/>
                <w:szCs w:val="21"/>
              </w:rPr>
              <w:t>2</w:t>
            </w:r>
          </w:p>
        </w:tc>
        <w:tc>
          <w:tcPr>
            <w:tcW w:w="833" w:type="pct"/>
            <w:vAlign w:val="center"/>
          </w:tcPr>
          <w:p w14:paraId="2880E07B" w14:textId="77777777" w:rsidR="007D1E74" w:rsidRDefault="00A95641">
            <w:pPr>
              <w:jc w:val="center"/>
              <w:rPr>
                <w:rFonts w:cs="Times New Roman"/>
                <w:szCs w:val="21"/>
              </w:rPr>
            </w:pPr>
            <w:r>
              <w:rPr>
                <w:kern w:val="0"/>
                <w:szCs w:val="21"/>
              </w:rPr>
              <w:t>2.44</w:t>
            </w:r>
          </w:p>
        </w:tc>
      </w:tr>
      <w:tr w:rsidR="007D1E74" w14:paraId="69502060" w14:textId="77777777">
        <w:tc>
          <w:tcPr>
            <w:tcW w:w="833" w:type="pct"/>
            <w:vMerge/>
            <w:vAlign w:val="center"/>
          </w:tcPr>
          <w:p w14:paraId="2B455F4B" w14:textId="77777777" w:rsidR="007D1E74" w:rsidRDefault="007D1E74">
            <w:pPr>
              <w:jc w:val="center"/>
              <w:rPr>
                <w:rFonts w:cs="Times New Roman"/>
                <w:szCs w:val="21"/>
              </w:rPr>
            </w:pPr>
          </w:p>
        </w:tc>
        <w:tc>
          <w:tcPr>
            <w:tcW w:w="834" w:type="pct"/>
            <w:vAlign w:val="center"/>
          </w:tcPr>
          <w:p w14:paraId="1F659C7C" w14:textId="77777777" w:rsidR="007D1E74" w:rsidRDefault="00A95641">
            <w:pPr>
              <w:jc w:val="center"/>
              <w:rPr>
                <w:rFonts w:cs="Times New Roman"/>
                <w:szCs w:val="21"/>
              </w:rPr>
            </w:pPr>
            <w:r>
              <w:rPr>
                <w:kern w:val="0"/>
                <w:szCs w:val="21"/>
              </w:rPr>
              <w:t>鲿科</w:t>
            </w:r>
          </w:p>
        </w:tc>
        <w:tc>
          <w:tcPr>
            <w:tcW w:w="833" w:type="pct"/>
            <w:vAlign w:val="center"/>
          </w:tcPr>
          <w:p w14:paraId="18310B87" w14:textId="77777777" w:rsidR="007D1E74" w:rsidRDefault="00A95641">
            <w:pPr>
              <w:jc w:val="center"/>
              <w:rPr>
                <w:rFonts w:cs="Times New Roman"/>
                <w:kern w:val="0"/>
                <w:szCs w:val="21"/>
                <w:lang w:bidi="ar"/>
              </w:rPr>
            </w:pPr>
            <w:r>
              <w:rPr>
                <w:kern w:val="0"/>
                <w:szCs w:val="21"/>
              </w:rPr>
              <w:t>4</w:t>
            </w:r>
          </w:p>
        </w:tc>
        <w:tc>
          <w:tcPr>
            <w:tcW w:w="833" w:type="pct"/>
            <w:vAlign w:val="center"/>
          </w:tcPr>
          <w:p w14:paraId="2C9402A6" w14:textId="77777777" w:rsidR="007D1E74" w:rsidRDefault="00A95641">
            <w:pPr>
              <w:jc w:val="center"/>
              <w:rPr>
                <w:rFonts w:cs="Times New Roman"/>
                <w:szCs w:val="21"/>
              </w:rPr>
            </w:pPr>
            <w:r>
              <w:rPr>
                <w:kern w:val="0"/>
                <w:szCs w:val="21"/>
              </w:rPr>
              <w:t>6.35</w:t>
            </w:r>
          </w:p>
        </w:tc>
        <w:tc>
          <w:tcPr>
            <w:tcW w:w="833" w:type="pct"/>
            <w:vAlign w:val="center"/>
          </w:tcPr>
          <w:p w14:paraId="45367485" w14:textId="77777777" w:rsidR="007D1E74" w:rsidRDefault="00A95641">
            <w:pPr>
              <w:jc w:val="center"/>
              <w:rPr>
                <w:rFonts w:cs="Times New Roman"/>
                <w:szCs w:val="21"/>
              </w:rPr>
            </w:pPr>
            <w:r>
              <w:rPr>
                <w:kern w:val="0"/>
                <w:szCs w:val="21"/>
              </w:rPr>
              <w:t>9</w:t>
            </w:r>
          </w:p>
        </w:tc>
        <w:tc>
          <w:tcPr>
            <w:tcW w:w="833" w:type="pct"/>
            <w:vAlign w:val="center"/>
          </w:tcPr>
          <w:p w14:paraId="5520E077" w14:textId="77777777" w:rsidR="007D1E74" w:rsidRDefault="00A95641">
            <w:pPr>
              <w:jc w:val="center"/>
              <w:rPr>
                <w:rFonts w:cs="Times New Roman"/>
                <w:szCs w:val="21"/>
              </w:rPr>
            </w:pPr>
            <w:r>
              <w:rPr>
                <w:kern w:val="0"/>
                <w:szCs w:val="21"/>
              </w:rPr>
              <w:t>10.98</w:t>
            </w:r>
          </w:p>
        </w:tc>
      </w:tr>
      <w:tr w:rsidR="007D1E74" w14:paraId="584D011E" w14:textId="77777777">
        <w:tc>
          <w:tcPr>
            <w:tcW w:w="833" w:type="pct"/>
            <w:vMerge/>
            <w:vAlign w:val="center"/>
          </w:tcPr>
          <w:p w14:paraId="41F6F956" w14:textId="77777777" w:rsidR="007D1E74" w:rsidRDefault="007D1E74">
            <w:pPr>
              <w:jc w:val="center"/>
              <w:rPr>
                <w:rFonts w:cs="Times New Roman"/>
                <w:szCs w:val="21"/>
              </w:rPr>
            </w:pPr>
          </w:p>
        </w:tc>
        <w:tc>
          <w:tcPr>
            <w:tcW w:w="834" w:type="pct"/>
            <w:vAlign w:val="center"/>
          </w:tcPr>
          <w:p w14:paraId="3AC838C0" w14:textId="77777777" w:rsidR="007D1E74" w:rsidRDefault="00A95641">
            <w:pPr>
              <w:jc w:val="center"/>
              <w:rPr>
                <w:rFonts w:cs="Times New Roman"/>
                <w:szCs w:val="21"/>
              </w:rPr>
            </w:pPr>
            <w:r>
              <w:rPr>
                <w:kern w:val="0"/>
                <w:szCs w:val="21"/>
              </w:rPr>
              <w:t>钝头鮠科</w:t>
            </w:r>
          </w:p>
        </w:tc>
        <w:tc>
          <w:tcPr>
            <w:tcW w:w="833" w:type="pct"/>
            <w:vAlign w:val="center"/>
          </w:tcPr>
          <w:p w14:paraId="2E35F5CB" w14:textId="77777777" w:rsidR="007D1E74" w:rsidRDefault="00A95641">
            <w:pPr>
              <w:jc w:val="center"/>
              <w:rPr>
                <w:rFonts w:cs="Times New Roman"/>
                <w:kern w:val="0"/>
                <w:szCs w:val="21"/>
                <w:lang w:bidi="ar"/>
              </w:rPr>
            </w:pPr>
            <w:r>
              <w:rPr>
                <w:kern w:val="0"/>
                <w:szCs w:val="21"/>
              </w:rPr>
              <w:t>1</w:t>
            </w:r>
          </w:p>
        </w:tc>
        <w:tc>
          <w:tcPr>
            <w:tcW w:w="833" w:type="pct"/>
            <w:vAlign w:val="center"/>
          </w:tcPr>
          <w:p w14:paraId="672330A1" w14:textId="77777777" w:rsidR="007D1E74" w:rsidRDefault="00A95641">
            <w:pPr>
              <w:jc w:val="center"/>
              <w:rPr>
                <w:rFonts w:cs="Times New Roman"/>
                <w:szCs w:val="21"/>
              </w:rPr>
            </w:pPr>
            <w:r>
              <w:rPr>
                <w:kern w:val="0"/>
                <w:szCs w:val="21"/>
              </w:rPr>
              <w:t>1.59</w:t>
            </w:r>
          </w:p>
        </w:tc>
        <w:tc>
          <w:tcPr>
            <w:tcW w:w="833" w:type="pct"/>
            <w:vAlign w:val="center"/>
          </w:tcPr>
          <w:p w14:paraId="4C0D800E" w14:textId="77777777" w:rsidR="007D1E74" w:rsidRDefault="00A95641">
            <w:pPr>
              <w:jc w:val="center"/>
              <w:rPr>
                <w:rFonts w:cs="Times New Roman"/>
                <w:szCs w:val="21"/>
              </w:rPr>
            </w:pPr>
            <w:r>
              <w:rPr>
                <w:kern w:val="0"/>
                <w:szCs w:val="21"/>
              </w:rPr>
              <w:t>2</w:t>
            </w:r>
          </w:p>
        </w:tc>
        <w:tc>
          <w:tcPr>
            <w:tcW w:w="833" w:type="pct"/>
            <w:vAlign w:val="center"/>
          </w:tcPr>
          <w:p w14:paraId="3CF684AF" w14:textId="77777777" w:rsidR="007D1E74" w:rsidRDefault="00A95641">
            <w:pPr>
              <w:jc w:val="center"/>
              <w:rPr>
                <w:rFonts w:cs="Times New Roman"/>
                <w:szCs w:val="21"/>
              </w:rPr>
            </w:pPr>
            <w:r>
              <w:rPr>
                <w:kern w:val="0"/>
                <w:szCs w:val="21"/>
              </w:rPr>
              <w:t>2.44</w:t>
            </w:r>
          </w:p>
        </w:tc>
      </w:tr>
      <w:tr w:rsidR="007D1E74" w14:paraId="6B66C18F" w14:textId="77777777">
        <w:tc>
          <w:tcPr>
            <w:tcW w:w="833" w:type="pct"/>
            <w:vMerge/>
            <w:vAlign w:val="center"/>
          </w:tcPr>
          <w:p w14:paraId="1D30CA0C" w14:textId="77777777" w:rsidR="007D1E74" w:rsidRDefault="007D1E74">
            <w:pPr>
              <w:jc w:val="center"/>
              <w:rPr>
                <w:rFonts w:cs="Times New Roman"/>
                <w:szCs w:val="21"/>
              </w:rPr>
            </w:pPr>
          </w:p>
        </w:tc>
        <w:tc>
          <w:tcPr>
            <w:tcW w:w="834" w:type="pct"/>
            <w:vAlign w:val="center"/>
          </w:tcPr>
          <w:p w14:paraId="73C3E248" w14:textId="77777777" w:rsidR="007D1E74" w:rsidRDefault="00A95641">
            <w:pPr>
              <w:jc w:val="center"/>
              <w:rPr>
                <w:rFonts w:cs="Times New Roman"/>
                <w:szCs w:val="21"/>
              </w:rPr>
            </w:pPr>
            <w:r>
              <w:rPr>
                <w:kern w:val="0"/>
                <w:szCs w:val="21"/>
              </w:rPr>
              <w:t>鮡科</w:t>
            </w:r>
          </w:p>
        </w:tc>
        <w:tc>
          <w:tcPr>
            <w:tcW w:w="833" w:type="pct"/>
            <w:vAlign w:val="center"/>
          </w:tcPr>
          <w:p w14:paraId="3CCCDFA3" w14:textId="77777777" w:rsidR="007D1E74" w:rsidRDefault="00A95641">
            <w:pPr>
              <w:jc w:val="center"/>
              <w:rPr>
                <w:rFonts w:cs="Times New Roman"/>
                <w:kern w:val="0"/>
                <w:szCs w:val="21"/>
                <w:lang w:bidi="ar"/>
              </w:rPr>
            </w:pPr>
            <w:r>
              <w:rPr>
                <w:kern w:val="0"/>
                <w:szCs w:val="21"/>
              </w:rPr>
              <w:t>2</w:t>
            </w:r>
          </w:p>
        </w:tc>
        <w:tc>
          <w:tcPr>
            <w:tcW w:w="833" w:type="pct"/>
            <w:vAlign w:val="center"/>
          </w:tcPr>
          <w:p w14:paraId="1AAC573E" w14:textId="77777777" w:rsidR="007D1E74" w:rsidRDefault="00A95641">
            <w:pPr>
              <w:jc w:val="center"/>
              <w:rPr>
                <w:rFonts w:cs="Times New Roman"/>
                <w:szCs w:val="21"/>
              </w:rPr>
            </w:pPr>
            <w:r>
              <w:rPr>
                <w:kern w:val="0"/>
                <w:szCs w:val="21"/>
              </w:rPr>
              <w:t>3.17</w:t>
            </w:r>
          </w:p>
        </w:tc>
        <w:tc>
          <w:tcPr>
            <w:tcW w:w="833" w:type="pct"/>
            <w:vAlign w:val="center"/>
          </w:tcPr>
          <w:p w14:paraId="609BB5FF" w14:textId="77777777" w:rsidR="007D1E74" w:rsidRDefault="00A95641">
            <w:pPr>
              <w:jc w:val="center"/>
              <w:rPr>
                <w:rFonts w:cs="Times New Roman"/>
                <w:szCs w:val="21"/>
              </w:rPr>
            </w:pPr>
            <w:r>
              <w:rPr>
                <w:kern w:val="0"/>
                <w:szCs w:val="21"/>
              </w:rPr>
              <w:t>3</w:t>
            </w:r>
          </w:p>
        </w:tc>
        <w:tc>
          <w:tcPr>
            <w:tcW w:w="833" w:type="pct"/>
            <w:vAlign w:val="center"/>
          </w:tcPr>
          <w:p w14:paraId="50A1D49F" w14:textId="77777777" w:rsidR="007D1E74" w:rsidRDefault="00A95641">
            <w:pPr>
              <w:jc w:val="center"/>
              <w:rPr>
                <w:rFonts w:cs="Times New Roman"/>
                <w:szCs w:val="21"/>
              </w:rPr>
            </w:pPr>
            <w:r>
              <w:rPr>
                <w:kern w:val="0"/>
                <w:szCs w:val="21"/>
              </w:rPr>
              <w:t>3.66</w:t>
            </w:r>
          </w:p>
        </w:tc>
      </w:tr>
      <w:tr w:rsidR="007D1E74" w14:paraId="110EB2DC" w14:textId="77777777">
        <w:tc>
          <w:tcPr>
            <w:tcW w:w="833" w:type="pct"/>
            <w:vMerge w:val="restart"/>
            <w:vAlign w:val="center"/>
          </w:tcPr>
          <w:p w14:paraId="601C7712" w14:textId="77777777" w:rsidR="007D1E74" w:rsidRDefault="00A95641">
            <w:pPr>
              <w:jc w:val="center"/>
              <w:rPr>
                <w:rFonts w:cs="Times New Roman"/>
                <w:szCs w:val="21"/>
              </w:rPr>
            </w:pPr>
            <w:r>
              <w:rPr>
                <w:rFonts w:cs="Times New Roman" w:hint="eastAsia"/>
                <w:szCs w:val="21"/>
              </w:rPr>
              <w:t>鲈形目</w:t>
            </w:r>
          </w:p>
        </w:tc>
        <w:tc>
          <w:tcPr>
            <w:tcW w:w="834" w:type="pct"/>
            <w:vAlign w:val="center"/>
          </w:tcPr>
          <w:p w14:paraId="3F10CB93" w14:textId="77777777" w:rsidR="007D1E74" w:rsidRDefault="00A95641">
            <w:pPr>
              <w:jc w:val="center"/>
              <w:rPr>
                <w:rFonts w:cs="Times New Roman"/>
                <w:szCs w:val="21"/>
              </w:rPr>
            </w:pPr>
            <w:r>
              <w:rPr>
                <w:kern w:val="0"/>
                <w:szCs w:val="21"/>
              </w:rPr>
              <w:t>鮨科</w:t>
            </w:r>
          </w:p>
        </w:tc>
        <w:tc>
          <w:tcPr>
            <w:tcW w:w="833" w:type="pct"/>
            <w:vAlign w:val="center"/>
          </w:tcPr>
          <w:p w14:paraId="025E9EAC" w14:textId="77777777" w:rsidR="007D1E74" w:rsidRDefault="00A95641">
            <w:pPr>
              <w:jc w:val="center"/>
              <w:rPr>
                <w:rFonts w:cs="Times New Roman"/>
                <w:kern w:val="0"/>
                <w:szCs w:val="21"/>
                <w:lang w:bidi="ar"/>
              </w:rPr>
            </w:pPr>
            <w:r>
              <w:rPr>
                <w:kern w:val="0"/>
                <w:szCs w:val="21"/>
              </w:rPr>
              <w:t>1</w:t>
            </w:r>
          </w:p>
        </w:tc>
        <w:tc>
          <w:tcPr>
            <w:tcW w:w="833" w:type="pct"/>
            <w:vAlign w:val="center"/>
          </w:tcPr>
          <w:p w14:paraId="02F9DEEA" w14:textId="77777777" w:rsidR="007D1E74" w:rsidRDefault="00A95641">
            <w:pPr>
              <w:jc w:val="center"/>
              <w:rPr>
                <w:rFonts w:cs="Times New Roman"/>
                <w:szCs w:val="21"/>
              </w:rPr>
            </w:pPr>
            <w:r>
              <w:rPr>
                <w:kern w:val="0"/>
                <w:szCs w:val="21"/>
              </w:rPr>
              <w:t>1.59</w:t>
            </w:r>
          </w:p>
        </w:tc>
        <w:tc>
          <w:tcPr>
            <w:tcW w:w="833" w:type="pct"/>
            <w:vAlign w:val="center"/>
          </w:tcPr>
          <w:p w14:paraId="46E973DA" w14:textId="77777777" w:rsidR="007D1E74" w:rsidRDefault="00A95641">
            <w:pPr>
              <w:jc w:val="center"/>
              <w:rPr>
                <w:rFonts w:cs="Times New Roman"/>
                <w:szCs w:val="21"/>
              </w:rPr>
            </w:pPr>
            <w:r>
              <w:rPr>
                <w:kern w:val="0"/>
                <w:szCs w:val="21"/>
              </w:rPr>
              <w:t>3</w:t>
            </w:r>
          </w:p>
        </w:tc>
        <w:tc>
          <w:tcPr>
            <w:tcW w:w="833" w:type="pct"/>
            <w:vAlign w:val="center"/>
          </w:tcPr>
          <w:p w14:paraId="050E4F8E" w14:textId="77777777" w:rsidR="007D1E74" w:rsidRDefault="00A95641">
            <w:pPr>
              <w:jc w:val="center"/>
              <w:rPr>
                <w:rFonts w:cs="Times New Roman"/>
                <w:szCs w:val="21"/>
              </w:rPr>
            </w:pPr>
            <w:r>
              <w:rPr>
                <w:kern w:val="0"/>
                <w:szCs w:val="21"/>
              </w:rPr>
              <w:t>3.66</w:t>
            </w:r>
          </w:p>
        </w:tc>
      </w:tr>
      <w:tr w:rsidR="007D1E74" w14:paraId="2A67772B" w14:textId="77777777">
        <w:tc>
          <w:tcPr>
            <w:tcW w:w="833" w:type="pct"/>
            <w:vMerge/>
            <w:vAlign w:val="center"/>
          </w:tcPr>
          <w:p w14:paraId="7BF06534" w14:textId="77777777" w:rsidR="007D1E74" w:rsidRDefault="007D1E74">
            <w:pPr>
              <w:jc w:val="center"/>
              <w:rPr>
                <w:rFonts w:cs="Times New Roman"/>
                <w:szCs w:val="21"/>
              </w:rPr>
            </w:pPr>
          </w:p>
        </w:tc>
        <w:tc>
          <w:tcPr>
            <w:tcW w:w="834" w:type="pct"/>
            <w:vAlign w:val="center"/>
          </w:tcPr>
          <w:p w14:paraId="50678070" w14:textId="77777777" w:rsidR="007D1E74" w:rsidRDefault="00A95641">
            <w:pPr>
              <w:jc w:val="center"/>
              <w:rPr>
                <w:rFonts w:cs="Times New Roman"/>
                <w:szCs w:val="21"/>
              </w:rPr>
            </w:pPr>
            <w:r>
              <w:rPr>
                <w:kern w:val="0"/>
                <w:szCs w:val="21"/>
              </w:rPr>
              <w:t>塘鳢科</w:t>
            </w:r>
          </w:p>
        </w:tc>
        <w:tc>
          <w:tcPr>
            <w:tcW w:w="833" w:type="pct"/>
            <w:vAlign w:val="center"/>
          </w:tcPr>
          <w:p w14:paraId="2DB72EF7" w14:textId="77777777" w:rsidR="007D1E74" w:rsidRDefault="00A95641">
            <w:pPr>
              <w:jc w:val="center"/>
              <w:rPr>
                <w:rFonts w:cs="Times New Roman"/>
                <w:kern w:val="0"/>
                <w:szCs w:val="21"/>
                <w:lang w:bidi="ar"/>
              </w:rPr>
            </w:pPr>
            <w:r>
              <w:rPr>
                <w:kern w:val="0"/>
                <w:szCs w:val="21"/>
              </w:rPr>
              <w:t>1</w:t>
            </w:r>
          </w:p>
        </w:tc>
        <w:tc>
          <w:tcPr>
            <w:tcW w:w="833" w:type="pct"/>
            <w:vAlign w:val="center"/>
          </w:tcPr>
          <w:p w14:paraId="6791913F" w14:textId="77777777" w:rsidR="007D1E74" w:rsidRDefault="00A95641">
            <w:pPr>
              <w:jc w:val="center"/>
              <w:rPr>
                <w:rFonts w:cs="Times New Roman"/>
                <w:szCs w:val="21"/>
              </w:rPr>
            </w:pPr>
            <w:r>
              <w:rPr>
                <w:kern w:val="0"/>
                <w:szCs w:val="21"/>
              </w:rPr>
              <w:t>1.59</w:t>
            </w:r>
          </w:p>
        </w:tc>
        <w:tc>
          <w:tcPr>
            <w:tcW w:w="833" w:type="pct"/>
            <w:vAlign w:val="center"/>
          </w:tcPr>
          <w:p w14:paraId="567DFDB8" w14:textId="77777777" w:rsidR="007D1E74" w:rsidRDefault="00A95641">
            <w:pPr>
              <w:jc w:val="center"/>
              <w:rPr>
                <w:rFonts w:cs="Times New Roman"/>
                <w:szCs w:val="21"/>
              </w:rPr>
            </w:pPr>
            <w:r>
              <w:rPr>
                <w:kern w:val="0"/>
                <w:szCs w:val="21"/>
              </w:rPr>
              <w:t>1</w:t>
            </w:r>
          </w:p>
        </w:tc>
        <w:tc>
          <w:tcPr>
            <w:tcW w:w="833" w:type="pct"/>
            <w:vAlign w:val="center"/>
          </w:tcPr>
          <w:p w14:paraId="3A7B61E6" w14:textId="77777777" w:rsidR="007D1E74" w:rsidRDefault="00A95641">
            <w:pPr>
              <w:jc w:val="center"/>
              <w:rPr>
                <w:rFonts w:cs="Times New Roman"/>
                <w:szCs w:val="21"/>
              </w:rPr>
            </w:pPr>
            <w:r>
              <w:rPr>
                <w:kern w:val="0"/>
                <w:szCs w:val="21"/>
              </w:rPr>
              <w:t>1.22</w:t>
            </w:r>
          </w:p>
        </w:tc>
      </w:tr>
      <w:tr w:rsidR="007D1E74" w14:paraId="43E4A09B" w14:textId="77777777">
        <w:tc>
          <w:tcPr>
            <w:tcW w:w="833" w:type="pct"/>
            <w:vMerge/>
            <w:vAlign w:val="center"/>
          </w:tcPr>
          <w:p w14:paraId="5E537274" w14:textId="77777777" w:rsidR="007D1E74" w:rsidRDefault="007D1E74">
            <w:pPr>
              <w:jc w:val="center"/>
              <w:rPr>
                <w:rFonts w:cs="Times New Roman"/>
                <w:szCs w:val="21"/>
              </w:rPr>
            </w:pPr>
          </w:p>
        </w:tc>
        <w:tc>
          <w:tcPr>
            <w:tcW w:w="834" w:type="pct"/>
            <w:vAlign w:val="center"/>
          </w:tcPr>
          <w:p w14:paraId="425AB112" w14:textId="77777777" w:rsidR="007D1E74" w:rsidRDefault="00A95641">
            <w:pPr>
              <w:jc w:val="center"/>
              <w:rPr>
                <w:rFonts w:cs="Times New Roman"/>
                <w:szCs w:val="21"/>
              </w:rPr>
            </w:pPr>
            <w:r>
              <w:rPr>
                <w:kern w:val="0"/>
                <w:szCs w:val="21"/>
              </w:rPr>
              <w:t>鰕虎鱼科</w:t>
            </w:r>
          </w:p>
        </w:tc>
        <w:tc>
          <w:tcPr>
            <w:tcW w:w="833" w:type="pct"/>
            <w:vAlign w:val="center"/>
          </w:tcPr>
          <w:p w14:paraId="2C47CCB7" w14:textId="77777777" w:rsidR="007D1E74" w:rsidRDefault="00A95641">
            <w:pPr>
              <w:jc w:val="center"/>
              <w:rPr>
                <w:rFonts w:cs="Times New Roman"/>
                <w:kern w:val="0"/>
                <w:szCs w:val="21"/>
                <w:lang w:bidi="ar"/>
              </w:rPr>
            </w:pPr>
            <w:r>
              <w:rPr>
                <w:kern w:val="0"/>
                <w:szCs w:val="21"/>
              </w:rPr>
              <w:t>1</w:t>
            </w:r>
          </w:p>
        </w:tc>
        <w:tc>
          <w:tcPr>
            <w:tcW w:w="833" w:type="pct"/>
            <w:vAlign w:val="center"/>
          </w:tcPr>
          <w:p w14:paraId="598565C4" w14:textId="77777777" w:rsidR="007D1E74" w:rsidRDefault="00A95641">
            <w:pPr>
              <w:jc w:val="center"/>
              <w:rPr>
                <w:rFonts w:cs="Times New Roman"/>
                <w:szCs w:val="21"/>
              </w:rPr>
            </w:pPr>
            <w:r>
              <w:rPr>
                <w:kern w:val="0"/>
                <w:szCs w:val="21"/>
              </w:rPr>
              <w:t>1.59</w:t>
            </w:r>
          </w:p>
        </w:tc>
        <w:tc>
          <w:tcPr>
            <w:tcW w:w="833" w:type="pct"/>
            <w:vAlign w:val="center"/>
          </w:tcPr>
          <w:p w14:paraId="6D9DEF82" w14:textId="77777777" w:rsidR="007D1E74" w:rsidRDefault="00A95641">
            <w:pPr>
              <w:jc w:val="center"/>
              <w:rPr>
                <w:rFonts w:cs="Times New Roman"/>
                <w:szCs w:val="21"/>
              </w:rPr>
            </w:pPr>
            <w:r>
              <w:rPr>
                <w:kern w:val="0"/>
                <w:szCs w:val="21"/>
              </w:rPr>
              <w:t>1</w:t>
            </w:r>
          </w:p>
        </w:tc>
        <w:tc>
          <w:tcPr>
            <w:tcW w:w="833" w:type="pct"/>
            <w:vAlign w:val="center"/>
          </w:tcPr>
          <w:p w14:paraId="5EFA503A" w14:textId="77777777" w:rsidR="007D1E74" w:rsidRDefault="00A95641">
            <w:pPr>
              <w:jc w:val="center"/>
              <w:rPr>
                <w:rFonts w:cs="Times New Roman"/>
                <w:szCs w:val="21"/>
              </w:rPr>
            </w:pPr>
            <w:r>
              <w:rPr>
                <w:kern w:val="0"/>
                <w:szCs w:val="21"/>
              </w:rPr>
              <w:t>1.22</w:t>
            </w:r>
          </w:p>
        </w:tc>
      </w:tr>
      <w:tr w:rsidR="007D1E74" w14:paraId="05A61FAE" w14:textId="77777777">
        <w:tc>
          <w:tcPr>
            <w:tcW w:w="833" w:type="pct"/>
            <w:vMerge/>
            <w:vAlign w:val="center"/>
          </w:tcPr>
          <w:p w14:paraId="34F2247D" w14:textId="77777777" w:rsidR="007D1E74" w:rsidRDefault="007D1E74">
            <w:pPr>
              <w:jc w:val="center"/>
              <w:rPr>
                <w:rFonts w:cs="Times New Roman"/>
                <w:szCs w:val="21"/>
              </w:rPr>
            </w:pPr>
          </w:p>
        </w:tc>
        <w:tc>
          <w:tcPr>
            <w:tcW w:w="834" w:type="pct"/>
            <w:vAlign w:val="center"/>
          </w:tcPr>
          <w:p w14:paraId="486EA281" w14:textId="77777777" w:rsidR="007D1E74" w:rsidRDefault="00A95641">
            <w:pPr>
              <w:jc w:val="center"/>
              <w:rPr>
                <w:rFonts w:cs="Times New Roman"/>
                <w:szCs w:val="21"/>
              </w:rPr>
            </w:pPr>
            <w:r>
              <w:rPr>
                <w:kern w:val="0"/>
                <w:szCs w:val="21"/>
              </w:rPr>
              <w:t>斗鱼科</w:t>
            </w:r>
          </w:p>
        </w:tc>
        <w:tc>
          <w:tcPr>
            <w:tcW w:w="833" w:type="pct"/>
            <w:vAlign w:val="center"/>
          </w:tcPr>
          <w:p w14:paraId="575D198F" w14:textId="77777777" w:rsidR="007D1E74" w:rsidRDefault="00A95641">
            <w:pPr>
              <w:jc w:val="center"/>
              <w:rPr>
                <w:rFonts w:cs="Times New Roman"/>
                <w:kern w:val="0"/>
                <w:szCs w:val="21"/>
                <w:lang w:bidi="ar"/>
              </w:rPr>
            </w:pPr>
            <w:r>
              <w:rPr>
                <w:kern w:val="0"/>
                <w:szCs w:val="21"/>
              </w:rPr>
              <w:t>1</w:t>
            </w:r>
          </w:p>
        </w:tc>
        <w:tc>
          <w:tcPr>
            <w:tcW w:w="833" w:type="pct"/>
            <w:vAlign w:val="center"/>
          </w:tcPr>
          <w:p w14:paraId="29AA75F7" w14:textId="77777777" w:rsidR="007D1E74" w:rsidRDefault="00A95641">
            <w:pPr>
              <w:jc w:val="center"/>
              <w:rPr>
                <w:rFonts w:cs="Times New Roman"/>
                <w:szCs w:val="21"/>
              </w:rPr>
            </w:pPr>
            <w:r>
              <w:rPr>
                <w:kern w:val="0"/>
                <w:szCs w:val="21"/>
              </w:rPr>
              <w:t>1.59</w:t>
            </w:r>
          </w:p>
        </w:tc>
        <w:tc>
          <w:tcPr>
            <w:tcW w:w="833" w:type="pct"/>
            <w:vAlign w:val="center"/>
          </w:tcPr>
          <w:p w14:paraId="0B7C579B" w14:textId="77777777" w:rsidR="007D1E74" w:rsidRDefault="00A95641">
            <w:pPr>
              <w:jc w:val="center"/>
              <w:rPr>
                <w:rFonts w:cs="Times New Roman"/>
                <w:szCs w:val="21"/>
              </w:rPr>
            </w:pPr>
            <w:r>
              <w:rPr>
                <w:kern w:val="0"/>
                <w:szCs w:val="21"/>
              </w:rPr>
              <w:t>1</w:t>
            </w:r>
          </w:p>
        </w:tc>
        <w:tc>
          <w:tcPr>
            <w:tcW w:w="833" w:type="pct"/>
            <w:vAlign w:val="center"/>
          </w:tcPr>
          <w:p w14:paraId="3C3984BD" w14:textId="77777777" w:rsidR="007D1E74" w:rsidRDefault="00A95641">
            <w:pPr>
              <w:jc w:val="center"/>
              <w:rPr>
                <w:rFonts w:cs="Times New Roman"/>
                <w:szCs w:val="21"/>
              </w:rPr>
            </w:pPr>
            <w:r>
              <w:rPr>
                <w:kern w:val="0"/>
                <w:szCs w:val="21"/>
              </w:rPr>
              <w:t>1.22</w:t>
            </w:r>
          </w:p>
        </w:tc>
      </w:tr>
      <w:tr w:rsidR="007D1E74" w14:paraId="1E3839F5" w14:textId="77777777">
        <w:tc>
          <w:tcPr>
            <w:tcW w:w="833" w:type="pct"/>
            <w:vMerge/>
            <w:vAlign w:val="center"/>
          </w:tcPr>
          <w:p w14:paraId="511A0198" w14:textId="77777777" w:rsidR="007D1E74" w:rsidRDefault="007D1E74">
            <w:pPr>
              <w:jc w:val="center"/>
              <w:rPr>
                <w:rFonts w:cs="Times New Roman"/>
                <w:szCs w:val="21"/>
              </w:rPr>
            </w:pPr>
          </w:p>
        </w:tc>
        <w:tc>
          <w:tcPr>
            <w:tcW w:w="834" w:type="pct"/>
            <w:vAlign w:val="center"/>
          </w:tcPr>
          <w:p w14:paraId="6DBC0493" w14:textId="77777777" w:rsidR="007D1E74" w:rsidRDefault="00A95641">
            <w:pPr>
              <w:jc w:val="center"/>
              <w:rPr>
                <w:rFonts w:cs="Times New Roman"/>
                <w:szCs w:val="21"/>
              </w:rPr>
            </w:pPr>
            <w:r>
              <w:rPr>
                <w:kern w:val="0"/>
                <w:szCs w:val="21"/>
              </w:rPr>
              <w:t>鳢科</w:t>
            </w:r>
          </w:p>
        </w:tc>
        <w:tc>
          <w:tcPr>
            <w:tcW w:w="833" w:type="pct"/>
            <w:vAlign w:val="center"/>
          </w:tcPr>
          <w:p w14:paraId="61086BDE" w14:textId="77777777" w:rsidR="007D1E74" w:rsidRDefault="00A95641">
            <w:pPr>
              <w:jc w:val="center"/>
              <w:rPr>
                <w:rFonts w:cs="Times New Roman"/>
                <w:kern w:val="0"/>
                <w:szCs w:val="21"/>
                <w:lang w:bidi="ar"/>
              </w:rPr>
            </w:pPr>
            <w:r>
              <w:rPr>
                <w:kern w:val="0"/>
                <w:szCs w:val="21"/>
              </w:rPr>
              <w:t>1</w:t>
            </w:r>
          </w:p>
        </w:tc>
        <w:tc>
          <w:tcPr>
            <w:tcW w:w="833" w:type="pct"/>
            <w:vAlign w:val="center"/>
          </w:tcPr>
          <w:p w14:paraId="1B1F1637" w14:textId="77777777" w:rsidR="007D1E74" w:rsidRDefault="00A95641">
            <w:pPr>
              <w:jc w:val="center"/>
              <w:rPr>
                <w:rFonts w:cs="Times New Roman"/>
                <w:szCs w:val="21"/>
              </w:rPr>
            </w:pPr>
            <w:r>
              <w:rPr>
                <w:kern w:val="0"/>
                <w:szCs w:val="21"/>
              </w:rPr>
              <w:t>1.59</w:t>
            </w:r>
          </w:p>
        </w:tc>
        <w:tc>
          <w:tcPr>
            <w:tcW w:w="833" w:type="pct"/>
            <w:vAlign w:val="center"/>
          </w:tcPr>
          <w:p w14:paraId="12A40B68" w14:textId="77777777" w:rsidR="007D1E74" w:rsidRDefault="00A95641">
            <w:pPr>
              <w:jc w:val="center"/>
              <w:rPr>
                <w:rFonts w:cs="Times New Roman"/>
                <w:szCs w:val="21"/>
              </w:rPr>
            </w:pPr>
            <w:r>
              <w:rPr>
                <w:kern w:val="0"/>
                <w:szCs w:val="21"/>
              </w:rPr>
              <w:t>1</w:t>
            </w:r>
          </w:p>
        </w:tc>
        <w:tc>
          <w:tcPr>
            <w:tcW w:w="833" w:type="pct"/>
            <w:vAlign w:val="center"/>
          </w:tcPr>
          <w:p w14:paraId="3A565CF0" w14:textId="77777777" w:rsidR="007D1E74" w:rsidRDefault="00A95641">
            <w:pPr>
              <w:jc w:val="center"/>
              <w:rPr>
                <w:rFonts w:cs="Times New Roman"/>
                <w:szCs w:val="21"/>
              </w:rPr>
            </w:pPr>
            <w:r>
              <w:rPr>
                <w:kern w:val="0"/>
                <w:szCs w:val="21"/>
              </w:rPr>
              <w:t>1.22</w:t>
            </w:r>
          </w:p>
        </w:tc>
      </w:tr>
      <w:tr w:rsidR="007D1E74" w14:paraId="28EC79EA" w14:textId="77777777">
        <w:tc>
          <w:tcPr>
            <w:tcW w:w="833" w:type="pct"/>
            <w:vAlign w:val="center"/>
          </w:tcPr>
          <w:p w14:paraId="6E142C84" w14:textId="77777777" w:rsidR="007D1E74" w:rsidRDefault="00A95641">
            <w:pPr>
              <w:jc w:val="center"/>
              <w:rPr>
                <w:rFonts w:cs="Times New Roman"/>
                <w:szCs w:val="21"/>
              </w:rPr>
            </w:pPr>
            <w:r>
              <w:rPr>
                <w:kern w:val="0"/>
                <w:szCs w:val="21"/>
              </w:rPr>
              <w:t>鳉形目</w:t>
            </w:r>
          </w:p>
        </w:tc>
        <w:tc>
          <w:tcPr>
            <w:tcW w:w="834" w:type="pct"/>
            <w:vAlign w:val="center"/>
          </w:tcPr>
          <w:p w14:paraId="16FCACDB" w14:textId="77777777" w:rsidR="007D1E74" w:rsidRDefault="00A95641">
            <w:pPr>
              <w:jc w:val="center"/>
              <w:rPr>
                <w:rFonts w:cs="Times New Roman"/>
                <w:szCs w:val="21"/>
              </w:rPr>
            </w:pPr>
            <w:r>
              <w:rPr>
                <w:kern w:val="0"/>
                <w:szCs w:val="21"/>
              </w:rPr>
              <w:t>青鳉科</w:t>
            </w:r>
          </w:p>
        </w:tc>
        <w:tc>
          <w:tcPr>
            <w:tcW w:w="833" w:type="pct"/>
            <w:vAlign w:val="center"/>
          </w:tcPr>
          <w:p w14:paraId="76800C6C" w14:textId="77777777" w:rsidR="007D1E74" w:rsidRDefault="00A95641">
            <w:pPr>
              <w:jc w:val="center"/>
              <w:rPr>
                <w:rFonts w:cs="Times New Roman"/>
                <w:kern w:val="0"/>
                <w:szCs w:val="21"/>
                <w:lang w:bidi="ar"/>
              </w:rPr>
            </w:pPr>
            <w:r>
              <w:rPr>
                <w:kern w:val="0"/>
                <w:szCs w:val="21"/>
              </w:rPr>
              <w:t>1</w:t>
            </w:r>
          </w:p>
        </w:tc>
        <w:tc>
          <w:tcPr>
            <w:tcW w:w="833" w:type="pct"/>
            <w:vAlign w:val="center"/>
          </w:tcPr>
          <w:p w14:paraId="29697449" w14:textId="77777777" w:rsidR="007D1E74" w:rsidRDefault="00A95641">
            <w:pPr>
              <w:jc w:val="center"/>
              <w:rPr>
                <w:rFonts w:cs="Times New Roman"/>
                <w:szCs w:val="21"/>
              </w:rPr>
            </w:pPr>
            <w:r>
              <w:rPr>
                <w:kern w:val="0"/>
                <w:szCs w:val="21"/>
              </w:rPr>
              <w:t>1.59</w:t>
            </w:r>
          </w:p>
        </w:tc>
        <w:tc>
          <w:tcPr>
            <w:tcW w:w="833" w:type="pct"/>
            <w:vAlign w:val="center"/>
          </w:tcPr>
          <w:p w14:paraId="4D9EE178" w14:textId="77777777" w:rsidR="007D1E74" w:rsidRDefault="00A95641">
            <w:pPr>
              <w:jc w:val="center"/>
              <w:rPr>
                <w:rFonts w:cs="Times New Roman"/>
                <w:szCs w:val="21"/>
              </w:rPr>
            </w:pPr>
            <w:r>
              <w:rPr>
                <w:kern w:val="0"/>
                <w:szCs w:val="21"/>
              </w:rPr>
              <w:t>1</w:t>
            </w:r>
          </w:p>
        </w:tc>
        <w:tc>
          <w:tcPr>
            <w:tcW w:w="833" w:type="pct"/>
            <w:vAlign w:val="center"/>
          </w:tcPr>
          <w:p w14:paraId="633CA756" w14:textId="77777777" w:rsidR="007D1E74" w:rsidRDefault="00A95641">
            <w:pPr>
              <w:jc w:val="center"/>
              <w:rPr>
                <w:rFonts w:cs="Times New Roman"/>
                <w:szCs w:val="21"/>
              </w:rPr>
            </w:pPr>
            <w:r>
              <w:rPr>
                <w:kern w:val="0"/>
                <w:szCs w:val="21"/>
              </w:rPr>
              <w:t>1.22</w:t>
            </w:r>
          </w:p>
        </w:tc>
      </w:tr>
      <w:tr w:rsidR="007D1E74" w14:paraId="5985F5D3" w14:textId="77777777">
        <w:tc>
          <w:tcPr>
            <w:tcW w:w="833" w:type="pct"/>
            <w:vAlign w:val="center"/>
          </w:tcPr>
          <w:p w14:paraId="130DE086" w14:textId="77777777" w:rsidR="007D1E74" w:rsidRDefault="00A95641">
            <w:pPr>
              <w:jc w:val="center"/>
              <w:rPr>
                <w:rFonts w:cs="Times New Roman"/>
                <w:szCs w:val="21"/>
              </w:rPr>
            </w:pPr>
            <w:r>
              <w:rPr>
                <w:kern w:val="0"/>
                <w:szCs w:val="21"/>
              </w:rPr>
              <w:t>合鳃目</w:t>
            </w:r>
          </w:p>
        </w:tc>
        <w:tc>
          <w:tcPr>
            <w:tcW w:w="834" w:type="pct"/>
            <w:vAlign w:val="center"/>
          </w:tcPr>
          <w:p w14:paraId="166B3858" w14:textId="77777777" w:rsidR="007D1E74" w:rsidRDefault="00A95641">
            <w:pPr>
              <w:jc w:val="center"/>
              <w:rPr>
                <w:rFonts w:cs="Times New Roman"/>
                <w:szCs w:val="21"/>
              </w:rPr>
            </w:pPr>
            <w:r>
              <w:rPr>
                <w:kern w:val="0"/>
                <w:szCs w:val="21"/>
              </w:rPr>
              <w:t>合鳃科</w:t>
            </w:r>
          </w:p>
        </w:tc>
        <w:tc>
          <w:tcPr>
            <w:tcW w:w="833" w:type="pct"/>
            <w:vAlign w:val="center"/>
          </w:tcPr>
          <w:p w14:paraId="2A5D3C45" w14:textId="77777777" w:rsidR="007D1E74" w:rsidRDefault="00A95641">
            <w:pPr>
              <w:jc w:val="center"/>
              <w:rPr>
                <w:rFonts w:cs="Times New Roman"/>
                <w:kern w:val="0"/>
                <w:szCs w:val="21"/>
                <w:lang w:bidi="ar"/>
              </w:rPr>
            </w:pPr>
            <w:r>
              <w:rPr>
                <w:kern w:val="0"/>
                <w:szCs w:val="21"/>
              </w:rPr>
              <w:t>1</w:t>
            </w:r>
          </w:p>
        </w:tc>
        <w:tc>
          <w:tcPr>
            <w:tcW w:w="833" w:type="pct"/>
            <w:vAlign w:val="center"/>
          </w:tcPr>
          <w:p w14:paraId="55DDF4AA" w14:textId="77777777" w:rsidR="007D1E74" w:rsidRDefault="00A95641">
            <w:pPr>
              <w:jc w:val="center"/>
              <w:rPr>
                <w:rFonts w:cs="Times New Roman"/>
                <w:szCs w:val="21"/>
              </w:rPr>
            </w:pPr>
            <w:r>
              <w:rPr>
                <w:kern w:val="0"/>
                <w:szCs w:val="21"/>
              </w:rPr>
              <w:t>1.59</w:t>
            </w:r>
          </w:p>
        </w:tc>
        <w:tc>
          <w:tcPr>
            <w:tcW w:w="833" w:type="pct"/>
            <w:vAlign w:val="center"/>
          </w:tcPr>
          <w:p w14:paraId="3EFFF02E" w14:textId="77777777" w:rsidR="007D1E74" w:rsidRDefault="00A95641">
            <w:pPr>
              <w:jc w:val="center"/>
              <w:rPr>
                <w:rFonts w:cs="Times New Roman"/>
                <w:szCs w:val="21"/>
              </w:rPr>
            </w:pPr>
            <w:r>
              <w:rPr>
                <w:kern w:val="0"/>
                <w:szCs w:val="21"/>
              </w:rPr>
              <w:t>1</w:t>
            </w:r>
          </w:p>
        </w:tc>
        <w:tc>
          <w:tcPr>
            <w:tcW w:w="833" w:type="pct"/>
            <w:vAlign w:val="center"/>
          </w:tcPr>
          <w:p w14:paraId="7BADE70E" w14:textId="77777777" w:rsidR="007D1E74" w:rsidRDefault="00A95641">
            <w:pPr>
              <w:jc w:val="center"/>
              <w:rPr>
                <w:rFonts w:cs="Times New Roman"/>
                <w:szCs w:val="21"/>
              </w:rPr>
            </w:pPr>
            <w:r>
              <w:rPr>
                <w:kern w:val="0"/>
                <w:szCs w:val="21"/>
              </w:rPr>
              <w:t>1.22</w:t>
            </w:r>
          </w:p>
        </w:tc>
      </w:tr>
      <w:tr w:rsidR="007D1E74" w14:paraId="047037EA" w14:textId="77777777">
        <w:tc>
          <w:tcPr>
            <w:tcW w:w="1668" w:type="pct"/>
            <w:gridSpan w:val="2"/>
            <w:vAlign w:val="center"/>
          </w:tcPr>
          <w:p w14:paraId="033495AB" w14:textId="77777777" w:rsidR="007D1E74" w:rsidRDefault="00A95641">
            <w:pPr>
              <w:jc w:val="center"/>
              <w:rPr>
                <w:rFonts w:cs="Times New Roman"/>
                <w:szCs w:val="21"/>
              </w:rPr>
            </w:pPr>
            <w:r>
              <w:rPr>
                <w:kern w:val="0"/>
                <w:szCs w:val="21"/>
              </w:rPr>
              <w:t>合计</w:t>
            </w:r>
          </w:p>
        </w:tc>
        <w:tc>
          <w:tcPr>
            <w:tcW w:w="833" w:type="pct"/>
            <w:vAlign w:val="center"/>
          </w:tcPr>
          <w:p w14:paraId="135E77D2" w14:textId="77777777" w:rsidR="007D1E74" w:rsidRDefault="00A95641">
            <w:pPr>
              <w:jc w:val="center"/>
              <w:rPr>
                <w:rFonts w:cs="Times New Roman"/>
                <w:kern w:val="0"/>
                <w:szCs w:val="21"/>
                <w:lang w:bidi="ar"/>
              </w:rPr>
            </w:pPr>
            <w:r>
              <w:rPr>
                <w:kern w:val="0"/>
                <w:szCs w:val="21"/>
              </w:rPr>
              <w:t>63</w:t>
            </w:r>
          </w:p>
        </w:tc>
        <w:tc>
          <w:tcPr>
            <w:tcW w:w="833" w:type="pct"/>
            <w:vAlign w:val="center"/>
          </w:tcPr>
          <w:p w14:paraId="2A277DB2" w14:textId="77777777" w:rsidR="007D1E74" w:rsidRDefault="00A95641">
            <w:pPr>
              <w:jc w:val="center"/>
              <w:rPr>
                <w:rFonts w:cs="Times New Roman"/>
                <w:szCs w:val="21"/>
              </w:rPr>
            </w:pPr>
            <w:r>
              <w:rPr>
                <w:kern w:val="0"/>
                <w:szCs w:val="21"/>
              </w:rPr>
              <w:t>100</w:t>
            </w:r>
          </w:p>
        </w:tc>
        <w:tc>
          <w:tcPr>
            <w:tcW w:w="833" w:type="pct"/>
            <w:vAlign w:val="center"/>
          </w:tcPr>
          <w:p w14:paraId="480DEE4E" w14:textId="77777777" w:rsidR="007D1E74" w:rsidRDefault="00A95641">
            <w:pPr>
              <w:jc w:val="center"/>
              <w:rPr>
                <w:rFonts w:cs="Times New Roman"/>
                <w:szCs w:val="21"/>
              </w:rPr>
            </w:pPr>
            <w:r>
              <w:rPr>
                <w:kern w:val="0"/>
                <w:szCs w:val="21"/>
              </w:rPr>
              <w:t>82</w:t>
            </w:r>
          </w:p>
        </w:tc>
        <w:tc>
          <w:tcPr>
            <w:tcW w:w="833" w:type="pct"/>
            <w:vAlign w:val="center"/>
          </w:tcPr>
          <w:p w14:paraId="597BFB9A" w14:textId="77777777" w:rsidR="007D1E74" w:rsidRDefault="00A95641">
            <w:pPr>
              <w:jc w:val="center"/>
              <w:rPr>
                <w:rFonts w:cs="Times New Roman"/>
                <w:szCs w:val="21"/>
              </w:rPr>
            </w:pPr>
            <w:r>
              <w:rPr>
                <w:kern w:val="0"/>
                <w:szCs w:val="21"/>
              </w:rPr>
              <w:t>100</w:t>
            </w:r>
          </w:p>
        </w:tc>
      </w:tr>
    </w:tbl>
    <w:p w14:paraId="601DADE0" w14:textId="77777777" w:rsidR="007D1E74" w:rsidRDefault="00A95641">
      <w:pPr>
        <w:spacing w:line="360" w:lineRule="auto"/>
        <w:ind w:firstLineChars="200" w:firstLine="482"/>
        <w:rPr>
          <w:b/>
          <w:sz w:val="24"/>
          <w:szCs w:val="24"/>
        </w:rPr>
      </w:pPr>
      <w:r>
        <w:rPr>
          <w:rFonts w:hint="eastAsia"/>
          <w:b/>
          <w:sz w:val="24"/>
          <w:szCs w:val="24"/>
        </w:rPr>
        <w:t>（</w:t>
      </w:r>
      <w:r>
        <w:rPr>
          <w:b/>
          <w:sz w:val="24"/>
          <w:szCs w:val="24"/>
        </w:rPr>
        <w:t>2</w:t>
      </w:r>
      <w:r>
        <w:rPr>
          <w:rFonts w:hint="eastAsia"/>
          <w:b/>
          <w:sz w:val="24"/>
          <w:szCs w:val="24"/>
        </w:rPr>
        <w:t>）鱼类生态类型</w:t>
      </w:r>
    </w:p>
    <w:p w14:paraId="6DA4481C" w14:textId="77777777" w:rsidR="007D1E74" w:rsidRDefault="00A95641">
      <w:pPr>
        <w:spacing w:line="360" w:lineRule="auto"/>
        <w:ind w:firstLineChars="200" w:firstLine="480"/>
        <w:rPr>
          <w:sz w:val="24"/>
          <w:szCs w:val="24"/>
        </w:rPr>
      </w:pPr>
      <w:r>
        <w:rPr>
          <w:rFonts w:hint="eastAsia"/>
          <w:sz w:val="24"/>
          <w:szCs w:val="24"/>
        </w:rPr>
        <w:t>按鱼类的生活习性及其主要生活环境，可以将保护区内分布的</w:t>
      </w:r>
      <w:r>
        <w:rPr>
          <w:rFonts w:hint="eastAsia"/>
          <w:sz w:val="24"/>
          <w:szCs w:val="24"/>
        </w:rPr>
        <w:t>82</w:t>
      </w:r>
      <w:r>
        <w:rPr>
          <w:rFonts w:hint="eastAsia"/>
          <w:sz w:val="24"/>
          <w:szCs w:val="24"/>
        </w:rPr>
        <w:t>种鱼类分为底栖性鱼类，中、下层鱼类和中、上层鱼类</w:t>
      </w:r>
      <w:r>
        <w:rPr>
          <w:rFonts w:hint="eastAsia"/>
          <w:sz w:val="24"/>
          <w:szCs w:val="24"/>
        </w:rPr>
        <w:t>3</w:t>
      </w:r>
      <w:r>
        <w:rPr>
          <w:rFonts w:hint="eastAsia"/>
          <w:sz w:val="24"/>
          <w:szCs w:val="24"/>
        </w:rPr>
        <w:t>种栖息习性，具体可以分成下列生态类群。</w:t>
      </w:r>
    </w:p>
    <w:p w14:paraId="526F3CED" w14:textId="77777777" w:rsidR="007D1E74" w:rsidRDefault="00A95641">
      <w:pPr>
        <w:spacing w:line="360" w:lineRule="auto"/>
        <w:ind w:firstLineChars="200" w:firstLine="482"/>
        <w:rPr>
          <w:b/>
          <w:sz w:val="24"/>
          <w:szCs w:val="24"/>
        </w:rPr>
      </w:pPr>
      <w:r>
        <w:rPr>
          <w:rFonts w:hint="eastAsia"/>
          <w:b/>
          <w:sz w:val="24"/>
          <w:szCs w:val="24"/>
        </w:rPr>
        <w:t>①流水吸附生态类群</w:t>
      </w:r>
    </w:p>
    <w:p w14:paraId="10813986" w14:textId="77777777" w:rsidR="007D1E74" w:rsidRDefault="00A95641">
      <w:pPr>
        <w:spacing w:line="360" w:lineRule="auto"/>
        <w:ind w:firstLineChars="200" w:firstLine="480"/>
        <w:rPr>
          <w:sz w:val="24"/>
          <w:szCs w:val="24"/>
        </w:rPr>
      </w:pPr>
      <w:r>
        <w:rPr>
          <w:rFonts w:hint="eastAsia"/>
          <w:sz w:val="24"/>
          <w:szCs w:val="24"/>
        </w:rPr>
        <w:t>栖息在急流滩槽的底层，如平鳍鳅科、鮡科、䱀科和鮠科的部分种类，此类群有特</w:t>
      </w:r>
      <w:r>
        <w:rPr>
          <w:rFonts w:hint="eastAsia"/>
          <w:sz w:val="24"/>
          <w:szCs w:val="24"/>
        </w:rPr>
        <w:lastRenderedPageBreak/>
        <w:t>殊的吸盘或类似吸盘的吸附结构，适应于吸附在江河急流险滩水体底层物体上生活，并能攀爬瀑布、跌水而上到上面河段中活动，以着生藻类或底栖动物为食。</w:t>
      </w:r>
    </w:p>
    <w:p w14:paraId="488892F6" w14:textId="77777777" w:rsidR="007D1E74" w:rsidRDefault="00A95641">
      <w:pPr>
        <w:spacing w:line="360" w:lineRule="auto"/>
        <w:ind w:firstLineChars="200" w:firstLine="482"/>
        <w:rPr>
          <w:b/>
          <w:sz w:val="24"/>
          <w:szCs w:val="24"/>
        </w:rPr>
      </w:pPr>
      <w:r>
        <w:rPr>
          <w:rFonts w:hint="eastAsia"/>
          <w:b/>
          <w:sz w:val="24"/>
          <w:szCs w:val="24"/>
        </w:rPr>
        <w:t>②流水底层生态类群</w:t>
      </w:r>
    </w:p>
    <w:p w14:paraId="3A7AB392" w14:textId="77777777" w:rsidR="007D1E74" w:rsidRDefault="00A95641">
      <w:pPr>
        <w:spacing w:line="360" w:lineRule="auto"/>
        <w:ind w:firstLineChars="200" w:firstLine="480"/>
        <w:rPr>
          <w:sz w:val="24"/>
          <w:szCs w:val="24"/>
        </w:rPr>
      </w:pPr>
      <w:r>
        <w:rPr>
          <w:rFonts w:hint="eastAsia"/>
          <w:sz w:val="24"/>
          <w:szCs w:val="24"/>
        </w:rPr>
        <w:t>为流水河沱、河槽底栖性鱼类，如岩原鲤、中华倒刺鲃等。该类群鱼类身体呈纺缍型，尾柄发达，口横裂或弧形，有触须</w:t>
      </w:r>
      <w:r>
        <w:rPr>
          <w:rFonts w:hint="eastAsia"/>
          <w:sz w:val="24"/>
          <w:szCs w:val="24"/>
        </w:rPr>
        <w:t>2</w:t>
      </w:r>
      <w:r>
        <w:rPr>
          <w:rFonts w:hint="eastAsia"/>
          <w:sz w:val="24"/>
          <w:szCs w:val="24"/>
        </w:rPr>
        <w:t>对，适应于流水或急流水底穿行和觅食。</w:t>
      </w:r>
    </w:p>
    <w:p w14:paraId="1047B777" w14:textId="77777777" w:rsidR="007D1E74" w:rsidRDefault="00A95641">
      <w:pPr>
        <w:spacing w:line="360" w:lineRule="auto"/>
        <w:ind w:firstLineChars="200" w:firstLine="482"/>
        <w:rPr>
          <w:b/>
          <w:sz w:val="24"/>
          <w:szCs w:val="24"/>
        </w:rPr>
      </w:pPr>
      <w:r>
        <w:rPr>
          <w:rFonts w:hint="eastAsia"/>
          <w:b/>
          <w:sz w:val="24"/>
          <w:szCs w:val="24"/>
        </w:rPr>
        <w:t>③流水底层乱石、礁底栖性类群</w:t>
      </w:r>
    </w:p>
    <w:p w14:paraId="2A561863" w14:textId="77777777" w:rsidR="007D1E74" w:rsidRDefault="00A95641">
      <w:pPr>
        <w:spacing w:line="360" w:lineRule="auto"/>
        <w:ind w:firstLineChars="200" w:firstLine="480"/>
        <w:rPr>
          <w:sz w:val="24"/>
          <w:szCs w:val="24"/>
        </w:rPr>
      </w:pPr>
      <w:r>
        <w:rPr>
          <w:rFonts w:hint="eastAsia"/>
          <w:sz w:val="24"/>
          <w:szCs w:val="24"/>
        </w:rPr>
        <w:t>栖息环境为流水深沱，底层多乱石，水流较缓，如南方鲇、鮠科的大部分种类。为大型凶猛的肉食性鱼类，生长快。</w:t>
      </w:r>
    </w:p>
    <w:p w14:paraId="43F264BB" w14:textId="77777777" w:rsidR="007D1E74" w:rsidRDefault="00A95641">
      <w:pPr>
        <w:spacing w:line="360" w:lineRule="auto"/>
        <w:ind w:firstLineChars="200" w:firstLine="482"/>
        <w:rPr>
          <w:b/>
          <w:sz w:val="24"/>
          <w:szCs w:val="24"/>
        </w:rPr>
      </w:pPr>
      <w:r>
        <w:rPr>
          <w:rFonts w:hint="eastAsia"/>
          <w:b/>
          <w:sz w:val="24"/>
          <w:szCs w:val="24"/>
        </w:rPr>
        <w:t>④流水洞缝隙生态类群</w:t>
      </w:r>
    </w:p>
    <w:p w14:paraId="450F40CF" w14:textId="77777777" w:rsidR="007D1E74" w:rsidRDefault="00A95641">
      <w:pPr>
        <w:spacing w:line="360" w:lineRule="auto"/>
        <w:ind w:firstLineChars="200" w:firstLine="480"/>
        <w:rPr>
          <w:sz w:val="24"/>
          <w:szCs w:val="24"/>
        </w:rPr>
      </w:pPr>
      <w:r>
        <w:rPr>
          <w:rFonts w:hint="eastAsia"/>
          <w:sz w:val="24"/>
          <w:szCs w:val="24"/>
        </w:rPr>
        <w:t>包括大鳍鱯、斑鳜、大眼鳜、红尾副鳅等。</w:t>
      </w:r>
    </w:p>
    <w:p w14:paraId="75362E19" w14:textId="77777777" w:rsidR="007D1E74" w:rsidRDefault="00A95641">
      <w:pPr>
        <w:spacing w:line="360" w:lineRule="auto"/>
        <w:ind w:firstLineChars="200" w:firstLine="482"/>
        <w:rPr>
          <w:b/>
          <w:sz w:val="24"/>
          <w:szCs w:val="24"/>
        </w:rPr>
      </w:pPr>
      <w:r>
        <w:rPr>
          <w:rFonts w:hint="eastAsia"/>
          <w:b/>
          <w:sz w:val="24"/>
          <w:szCs w:val="24"/>
        </w:rPr>
        <w:t>⑤流水中、下层生态类群</w:t>
      </w:r>
    </w:p>
    <w:p w14:paraId="3A935A50" w14:textId="77777777" w:rsidR="007D1E74" w:rsidRDefault="00A95641">
      <w:pPr>
        <w:spacing w:line="360" w:lineRule="auto"/>
        <w:ind w:firstLineChars="200" w:firstLine="480"/>
        <w:rPr>
          <w:sz w:val="24"/>
          <w:szCs w:val="24"/>
        </w:rPr>
      </w:pPr>
      <w:r>
        <w:rPr>
          <w:rFonts w:hint="eastAsia"/>
          <w:sz w:val="24"/>
          <w:szCs w:val="24"/>
        </w:rPr>
        <w:t>主要栖息在水体的中层和下层，有鲂、鳡、鯮、花䱻、华鲮、裂腹鱼等。身体较长、侧扁，适应于流水、急流水中穿梭游泳，活动掠食；头部呈锥形，适应于破水前进，躯干部较长，是产生强大运动的动力源，各鳍发达，尾鳍深叉形，都是适应水体中、下层快速游泳，在急流水体中、下层穿梭翻滚捕食低等动物和流水急流水带来的有机食物。</w:t>
      </w:r>
    </w:p>
    <w:p w14:paraId="41FC71D3" w14:textId="77777777" w:rsidR="007D1E74" w:rsidRDefault="00A95641">
      <w:pPr>
        <w:spacing w:line="360" w:lineRule="auto"/>
        <w:ind w:firstLineChars="200" w:firstLine="482"/>
        <w:rPr>
          <w:b/>
          <w:sz w:val="24"/>
          <w:szCs w:val="24"/>
        </w:rPr>
      </w:pPr>
      <w:r>
        <w:rPr>
          <w:rFonts w:hint="eastAsia"/>
          <w:b/>
          <w:sz w:val="24"/>
          <w:szCs w:val="24"/>
        </w:rPr>
        <w:t>⑥缓流水和静水生态类群</w:t>
      </w:r>
    </w:p>
    <w:p w14:paraId="0CA77F6D" w14:textId="77777777" w:rsidR="007D1E74" w:rsidRDefault="00A95641">
      <w:pPr>
        <w:spacing w:line="360" w:lineRule="auto"/>
        <w:ind w:firstLineChars="200" w:firstLine="480"/>
        <w:rPr>
          <w:sz w:val="24"/>
          <w:szCs w:val="24"/>
        </w:rPr>
      </w:pPr>
      <w:r>
        <w:rPr>
          <w:rFonts w:hint="eastAsia"/>
          <w:sz w:val="24"/>
          <w:szCs w:val="24"/>
        </w:rPr>
        <w:t>主要是一些小型种类，如麦穗鱼、棒花鱼等。此类群是一群生活在侧流、缓流水的鱼类，个体小，游泳能力不强，各鳍均不甚发达。</w:t>
      </w:r>
    </w:p>
    <w:p w14:paraId="10D02EED" w14:textId="77777777" w:rsidR="007D1E74" w:rsidRDefault="00A95641">
      <w:pPr>
        <w:spacing w:line="360" w:lineRule="auto"/>
        <w:ind w:firstLineChars="200" w:firstLine="482"/>
        <w:rPr>
          <w:b/>
          <w:sz w:val="24"/>
          <w:szCs w:val="24"/>
        </w:rPr>
      </w:pPr>
      <w:r>
        <w:rPr>
          <w:rFonts w:hint="eastAsia"/>
          <w:b/>
          <w:sz w:val="24"/>
          <w:szCs w:val="24"/>
        </w:rPr>
        <w:t>⑦流水中、上层生态类群</w:t>
      </w:r>
    </w:p>
    <w:p w14:paraId="1DA4E1AA" w14:textId="77777777" w:rsidR="007D1E74" w:rsidRDefault="00A95641">
      <w:pPr>
        <w:spacing w:line="360" w:lineRule="auto"/>
        <w:ind w:firstLineChars="200" w:firstLine="480"/>
        <w:rPr>
          <w:sz w:val="24"/>
          <w:szCs w:val="24"/>
        </w:rPr>
      </w:pPr>
      <w:r>
        <w:rPr>
          <w:rFonts w:hint="eastAsia"/>
          <w:sz w:val="24"/>
          <w:szCs w:val="24"/>
        </w:rPr>
        <w:t>栖息、摄食、繁殖等主要活动在水体的中、上层完成，包括原鲌、银飘鱼、䱗等属的种类。体长形，稍侧扁，腹部圆，适应于流水急流水体中、上层穿梭游泳，活动掠食；躯干部长，尾柄粗壮，是产生强大运动的动力源。</w:t>
      </w:r>
    </w:p>
    <w:p w14:paraId="5971E6A3" w14:textId="77777777" w:rsidR="007D1E74" w:rsidRDefault="00A95641">
      <w:pPr>
        <w:spacing w:line="360" w:lineRule="auto"/>
        <w:ind w:firstLineChars="200" w:firstLine="482"/>
        <w:rPr>
          <w:b/>
          <w:sz w:val="24"/>
          <w:szCs w:val="24"/>
        </w:rPr>
      </w:pPr>
      <w:r>
        <w:rPr>
          <w:rFonts w:hint="eastAsia"/>
          <w:b/>
          <w:sz w:val="24"/>
          <w:szCs w:val="24"/>
        </w:rPr>
        <w:t>⑧静水洞穴生态类群</w:t>
      </w:r>
    </w:p>
    <w:p w14:paraId="01A9D7AE" w14:textId="77777777" w:rsidR="007D1E74" w:rsidRDefault="00A95641">
      <w:pPr>
        <w:spacing w:line="360" w:lineRule="auto"/>
        <w:ind w:firstLineChars="200" w:firstLine="480"/>
        <w:rPr>
          <w:sz w:val="24"/>
          <w:szCs w:val="24"/>
        </w:rPr>
      </w:pPr>
      <w:r>
        <w:rPr>
          <w:rFonts w:hint="eastAsia"/>
          <w:sz w:val="24"/>
          <w:szCs w:val="24"/>
        </w:rPr>
        <w:t>主要包括高原鳅、泥鳅、黄鳝等。此类群鱼类，主要生活于洞穴之中，尤其是喜生活于稻田、沟渠、侧流、坑凼之中。</w:t>
      </w:r>
    </w:p>
    <w:p w14:paraId="6BC3E73B" w14:textId="77777777" w:rsidR="007D1E74" w:rsidRDefault="00A95641">
      <w:pPr>
        <w:spacing w:line="360" w:lineRule="auto"/>
        <w:ind w:firstLineChars="200" w:firstLine="482"/>
        <w:rPr>
          <w:b/>
          <w:sz w:val="24"/>
          <w:szCs w:val="24"/>
        </w:rPr>
      </w:pPr>
      <w:r>
        <w:rPr>
          <w:rFonts w:hint="eastAsia"/>
          <w:b/>
          <w:sz w:val="24"/>
          <w:szCs w:val="24"/>
        </w:rPr>
        <w:t>（</w:t>
      </w:r>
      <w:r>
        <w:rPr>
          <w:b/>
          <w:sz w:val="24"/>
          <w:szCs w:val="24"/>
        </w:rPr>
        <w:t>3</w:t>
      </w:r>
      <w:r>
        <w:rPr>
          <w:rFonts w:hint="eastAsia"/>
          <w:b/>
          <w:sz w:val="24"/>
          <w:szCs w:val="24"/>
        </w:rPr>
        <w:t>）鱼类的繁殖习性</w:t>
      </w:r>
    </w:p>
    <w:p w14:paraId="558AA50A" w14:textId="77777777" w:rsidR="007D1E74" w:rsidRDefault="00A95641">
      <w:pPr>
        <w:spacing w:line="360" w:lineRule="auto"/>
        <w:ind w:firstLineChars="200" w:firstLine="480"/>
        <w:rPr>
          <w:sz w:val="24"/>
          <w:szCs w:val="24"/>
        </w:rPr>
      </w:pPr>
      <w:r>
        <w:rPr>
          <w:rFonts w:hint="eastAsia"/>
          <w:sz w:val="24"/>
          <w:szCs w:val="24"/>
        </w:rPr>
        <w:t>调查水域中的大多数鱼类是在流水中繁殖，部分在缓流或静水中繁殖。多数鱼类繁殖要求的最低水温为</w:t>
      </w:r>
      <w:r>
        <w:rPr>
          <w:rFonts w:hint="eastAsia"/>
          <w:sz w:val="24"/>
          <w:szCs w:val="24"/>
        </w:rPr>
        <w:t>16~18</w:t>
      </w:r>
      <w:r>
        <w:rPr>
          <w:rFonts w:hint="eastAsia"/>
          <w:sz w:val="24"/>
          <w:szCs w:val="24"/>
        </w:rPr>
        <w:t>℃，有些鱼类繁殖水温在</w:t>
      </w:r>
      <w:r>
        <w:rPr>
          <w:rFonts w:hint="eastAsia"/>
          <w:sz w:val="24"/>
          <w:szCs w:val="24"/>
        </w:rPr>
        <w:t>18~25</w:t>
      </w:r>
      <w:r>
        <w:rPr>
          <w:rFonts w:hint="eastAsia"/>
          <w:sz w:val="24"/>
          <w:szCs w:val="24"/>
        </w:rPr>
        <w:t>℃。鱼类的繁殖季节随种类不同而不同，如鲤在</w:t>
      </w:r>
      <w:r>
        <w:rPr>
          <w:rFonts w:hint="eastAsia"/>
          <w:sz w:val="24"/>
          <w:szCs w:val="24"/>
        </w:rPr>
        <w:t>3</w:t>
      </w:r>
      <w:r>
        <w:rPr>
          <w:rFonts w:hint="eastAsia"/>
          <w:sz w:val="24"/>
          <w:szCs w:val="24"/>
        </w:rPr>
        <w:t>月初开始繁殖；鲌类在</w:t>
      </w:r>
      <w:r>
        <w:rPr>
          <w:rFonts w:hint="eastAsia"/>
          <w:sz w:val="24"/>
          <w:szCs w:val="24"/>
        </w:rPr>
        <w:t>5</w:t>
      </w:r>
      <w:r>
        <w:rPr>
          <w:rFonts w:hint="eastAsia"/>
          <w:sz w:val="24"/>
          <w:szCs w:val="24"/>
        </w:rPr>
        <w:t>月份才开始繁殖；而大多数种类是在</w:t>
      </w:r>
      <w:r>
        <w:rPr>
          <w:rFonts w:hint="eastAsia"/>
          <w:sz w:val="24"/>
          <w:szCs w:val="24"/>
        </w:rPr>
        <w:lastRenderedPageBreak/>
        <w:t>4~7</w:t>
      </w:r>
      <w:r>
        <w:rPr>
          <w:rFonts w:hint="eastAsia"/>
          <w:sz w:val="24"/>
          <w:szCs w:val="24"/>
        </w:rPr>
        <w:t>月间繁殖。根据鱼类产卵的生态环境，调查水域鱼类的繁殖习性可划分为以下几类：</w:t>
      </w:r>
    </w:p>
    <w:p w14:paraId="42EA5782" w14:textId="77777777" w:rsidR="007D1E74" w:rsidRDefault="00A95641">
      <w:pPr>
        <w:spacing w:line="360" w:lineRule="auto"/>
        <w:ind w:firstLineChars="200" w:firstLine="482"/>
        <w:rPr>
          <w:b/>
          <w:sz w:val="24"/>
          <w:szCs w:val="24"/>
        </w:rPr>
      </w:pPr>
      <w:r>
        <w:rPr>
          <w:rFonts w:hint="eastAsia"/>
          <w:b/>
          <w:sz w:val="24"/>
          <w:szCs w:val="24"/>
        </w:rPr>
        <w:t>①漂流性产卵类群</w:t>
      </w:r>
    </w:p>
    <w:p w14:paraId="332BFF21" w14:textId="77777777" w:rsidR="007D1E74" w:rsidRDefault="00A95641">
      <w:pPr>
        <w:spacing w:line="360" w:lineRule="auto"/>
        <w:ind w:firstLineChars="200" w:firstLine="480"/>
        <w:rPr>
          <w:sz w:val="24"/>
          <w:szCs w:val="24"/>
        </w:rPr>
      </w:pPr>
      <w:r>
        <w:rPr>
          <w:rFonts w:hint="eastAsia"/>
          <w:sz w:val="24"/>
          <w:szCs w:val="24"/>
        </w:rPr>
        <w:t>在流水中产漂流性卵的鱼主要有：鳊类、鮊类、草鱼、鲢、鳙、长薄鳅等鱼类。这类鱼类较特殊，性腺成熟后必须要在流水中产卵，卵顺水漂流上百公里或几百公里才能孵化出鱼苗来，如果流水距离太近，不但性腺不能成熟，即使成熟了卵产出后没有足够的漂流距离，卵到静止或缓流水体会下沉窒息死亡。保护区内下段河流存在较多的流水、卵石底浅滩，适合这些种类的产卵。</w:t>
      </w:r>
    </w:p>
    <w:p w14:paraId="39E753DB" w14:textId="77777777" w:rsidR="007D1E74" w:rsidRDefault="00A95641">
      <w:pPr>
        <w:spacing w:line="360" w:lineRule="auto"/>
        <w:ind w:firstLineChars="200" w:firstLine="482"/>
        <w:rPr>
          <w:b/>
          <w:sz w:val="24"/>
          <w:szCs w:val="24"/>
        </w:rPr>
      </w:pPr>
      <w:r>
        <w:rPr>
          <w:rFonts w:hint="eastAsia"/>
          <w:b/>
          <w:sz w:val="24"/>
          <w:szCs w:val="24"/>
        </w:rPr>
        <w:t>②水草及附着产卵类群</w:t>
      </w:r>
    </w:p>
    <w:p w14:paraId="7A88BB3E" w14:textId="77777777" w:rsidR="007D1E74" w:rsidRDefault="00A95641">
      <w:pPr>
        <w:spacing w:line="360" w:lineRule="auto"/>
        <w:ind w:firstLineChars="200" w:firstLine="480"/>
        <w:rPr>
          <w:sz w:val="24"/>
          <w:szCs w:val="24"/>
        </w:rPr>
      </w:pPr>
      <w:r>
        <w:rPr>
          <w:rFonts w:hint="eastAsia"/>
          <w:sz w:val="24"/>
          <w:szCs w:val="24"/>
        </w:rPr>
        <w:t>水草及附着产卵类型的典型代表是鲤、鲫以及其它产粘性卵的鱼类。这一类型的鱼类，多数在集雨型支流水草茂密、水面或水下附着物多的水域产卵，卵具粘附性，附着在水草上发育。根据实地考察这类的产卵环境水流平缓，水草茂密，溶氧充足，适合粘性卵发育。</w:t>
      </w:r>
    </w:p>
    <w:p w14:paraId="6A842CB0" w14:textId="77777777" w:rsidR="007D1E74" w:rsidRDefault="00A95641">
      <w:pPr>
        <w:spacing w:line="360" w:lineRule="auto"/>
        <w:ind w:firstLineChars="200" w:firstLine="482"/>
        <w:rPr>
          <w:b/>
          <w:sz w:val="24"/>
          <w:szCs w:val="24"/>
        </w:rPr>
      </w:pPr>
      <w:r>
        <w:rPr>
          <w:rFonts w:hint="eastAsia"/>
          <w:b/>
          <w:sz w:val="24"/>
          <w:szCs w:val="24"/>
        </w:rPr>
        <w:t>③流水乱石滩上产粘性卵</w:t>
      </w:r>
    </w:p>
    <w:p w14:paraId="6BB33CD1" w14:textId="77777777" w:rsidR="007D1E74" w:rsidRDefault="00A95641">
      <w:pPr>
        <w:spacing w:line="360" w:lineRule="auto"/>
        <w:ind w:firstLineChars="200" w:firstLine="480"/>
        <w:rPr>
          <w:sz w:val="24"/>
          <w:szCs w:val="24"/>
        </w:rPr>
      </w:pPr>
      <w:r>
        <w:rPr>
          <w:rFonts w:hint="eastAsia"/>
          <w:sz w:val="24"/>
          <w:szCs w:val="24"/>
        </w:rPr>
        <w:t>有岩原鲤、南方鲇、鲇等。</w:t>
      </w:r>
      <w:r>
        <w:rPr>
          <w:rFonts w:hint="eastAsia"/>
          <w:sz w:val="24"/>
          <w:szCs w:val="24"/>
        </w:rPr>
        <w:t>3</w:t>
      </w:r>
      <w:r>
        <w:rPr>
          <w:rFonts w:hint="eastAsia"/>
          <w:sz w:val="24"/>
          <w:szCs w:val="24"/>
        </w:rPr>
        <w:t>月以后，沱内越冬的南方鲇等上滩产卵。滩底为卵石组成。水流较急，流水吸引亲鱼上滩，雌雄追逐，互相狂咬发情而后产卵，卵黏附在光洁的卵石上孵化。</w:t>
      </w:r>
    </w:p>
    <w:p w14:paraId="563118CF" w14:textId="77777777" w:rsidR="007D1E74" w:rsidRDefault="00A95641">
      <w:pPr>
        <w:spacing w:line="360" w:lineRule="auto"/>
        <w:ind w:firstLineChars="200" w:firstLine="482"/>
        <w:rPr>
          <w:b/>
          <w:sz w:val="24"/>
          <w:szCs w:val="24"/>
        </w:rPr>
      </w:pPr>
      <w:r>
        <w:rPr>
          <w:rFonts w:hint="eastAsia"/>
          <w:b/>
          <w:sz w:val="24"/>
          <w:szCs w:val="24"/>
        </w:rPr>
        <w:t>④流水浅滩产粘性卵</w:t>
      </w:r>
    </w:p>
    <w:p w14:paraId="349192D8" w14:textId="77777777" w:rsidR="007D1E74" w:rsidRDefault="00A95641">
      <w:pPr>
        <w:spacing w:line="360" w:lineRule="auto"/>
        <w:ind w:firstLineChars="200" w:firstLine="480"/>
        <w:rPr>
          <w:sz w:val="24"/>
          <w:szCs w:val="24"/>
        </w:rPr>
      </w:pPr>
      <w:r>
        <w:rPr>
          <w:rFonts w:hint="eastAsia"/>
          <w:sz w:val="24"/>
          <w:szCs w:val="24"/>
        </w:rPr>
        <w:t>如华鲮、鲴类、白甲鱼等。产卵场要求流水浅滩，乱石或砾石底质，水深不超过</w:t>
      </w:r>
      <w:r>
        <w:rPr>
          <w:rFonts w:hint="eastAsia"/>
          <w:sz w:val="24"/>
          <w:szCs w:val="24"/>
        </w:rPr>
        <w:t>0.5m</w:t>
      </w:r>
      <w:r>
        <w:rPr>
          <w:rFonts w:hint="eastAsia"/>
          <w:sz w:val="24"/>
          <w:szCs w:val="24"/>
        </w:rPr>
        <w:t>左右。卵黏附卵石、砾石上孵化发育。</w:t>
      </w:r>
    </w:p>
    <w:p w14:paraId="4FBB338C" w14:textId="77777777" w:rsidR="007D1E74" w:rsidRDefault="00A95641">
      <w:pPr>
        <w:spacing w:line="360" w:lineRule="auto"/>
        <w:ind w:firstLineChars="200" w:firstLine="482"/>
        <w:rPr>
          <w:b/>
          <w:sz w:val="24"/>
          <w:szCs w:val="24"/>
        </w:rPr>
      </w:pPr>
      <w:r>
        <w:rPr>
          <w:rFonts w:hint="eastAsia"/>
          <w:b/>
          <w:sz w:val="24"/>
          <w:szCs w:val="24"/>
        </w:rPr>
        <w:t>⑤静水产浮性卵</w:t>
      </w:r>
    </w:p>
    <w:p w14:paraId="5BB55BD9" w14:textId="77777777" w:rsidR="007D1E74" w:rsidRDefault="00A95641">
      <w:pPr>
        <w:spacing w:line="360" w:lineRule="auto"/>
        <w:ind w:firstLineChars="200" w:firstLine="480"/>
        <w:rPr>
          <w:sz w:val="24"/>
          <w:szCs w:val="24"/>
        </w:rPr>
      </w:pPr>
      <w:r>
        <w:rPr>
          <w:rFonts w:hint="eastAsia"/>
          <w:sz w:val="24"/>
          <w:szCs w:val="24"/>
        </w:rPr>
        <w:t>有乌鳢、蛇鮈等。常产卵于水库等静水水体的草间，卵粒浮于水面，亲鱼有护卵护幼的习性。</w:t>
      </w:r>
    </w:p>
    <w:p w14:paraId="57917370" w14:textId="77777777" w:rsidR="007D1E74" w:rsidRDefault="00A95641">
      <w:pPr>
        <w:spacing w:line="360" w:lineRule="auto"/>
        <w:ind w:firstLineChars="200" w:firstLine="482"/>
        <w:rPr>
          <w:b/>
          <w:sz w:val="24"/>
          <w:szCs w:val="24"/>
        </w:rPr>
      </w:pPr>
      <w:r>
        <w:rPr>
          <w:rFonts w:hint="eastAsia"/>
          <w:b/>
          <w:sz w:val="24"/>
          <w:szCs w:val="24"/>
        </w:rPr>
        <w:t>⑥营巢产卵类群</w:t>
      </w:r>
    </w:p>
    <w:p w14:paraId="02068734" w14:textId="77777777" w:rsidR="007D1E74" w:rsidRDefault="00A95641">
      <w:pPr>
        <w:spacing w:line="360" w:lineRule="auto"/>
        <w:ind w:firstLineChars="200" w:firstLine="480"/>
        <w:rPr>
          <w:sz w:val="24"/>
          <w:szCs w:val="24"/>
        </w:rPr>
      </w:pPr>
      <w:r>
        <w:rPr>
          <w:rFonts w:hint="eastAsia"/>
          <w:sz w:val="24"/>
          <w:szCs w:val="24"/>
        </w:rPr>
        <w:t>主要有鮠类，在有流水的乱石或卵石处，较大的卵石或乱石挡住水流，水流绕石分流成小漩涡，多种黄颡鱼和鮠属鱼类常成对以卵石间隙为巢，产卵于小漩涡内，卵粒结成团，附着在石上，随微流水冲动发育。</w:t>
      </w:r>
    </w:p>
    <w:p w14:paraId="4F7D7E80" w14:textId="77777777" w:rsidR="007D1E74" w:rsidRDefault="00A95641">
      <w:pPr>
        <w:spacing w:line="360" w:lineRule="auto"/>
        <w:ind w:firstLineChars="200" w:firstLine="482"/>
        <w:rPr>
          <w:b/>
          <w:sz w:val="24"/>
          <w:szCs w:val="24"/>
        </w:rPr>
      </w:pPr>
      <w:r>
        <w:rPr>
          <w:rFonts w:hint="eastAsia"/>
          <w:b/>
          <w:sz w:val="24"/>
          <w:szCs w:val="24"/>
        </w:rPr>
        <w:t>（</w:t>
      </w:r>
      <w:r>
        <w:rPr>
          <w:b/>
          <w:sz w:val="24"/>
          <w:szCs w:val="24"/>
        </w:rPr>
        <w:t>4</w:t>
      </w:r>
      <w:r>
        <w:rPr>
          <w:rFonts w:hint="eastAsia"/>
          <w:b/>
          <w:sz w:val="24"/>
          <w:szCs w:val="24"/>
        </w:rPr>
        <w:t>）鱼类资源类型</w:t>
      </w:r>
    </w:p>
    <w:p w14:paraId="1C6ADF94" w14:textId="77777777" w:rsidR="007D1E74" w:rsidRDefault="00A95641">
      <w:pPr>
        <w:spacing w:line="360" w:lineRule="auto"/>
        <w:ind w:firstLineChars="200" w:firstLine="480"/>
        <w:rPr>
          <w:sz w:val="24"/>
          <w:szCs w:val="24"/>
        </w:rPr>
      </w:pPr>
      <w:r>
        <w:rPr>
          <w:rFonts w:hint="eastAsia"/>
          <w:sz w:val="24"/>
          <w:szCs w:val="24"/>
        </w:rPr>
        <w:t>依据珍稀保护的级别，濒危或特有程度，经济价值，学术价值等，可以将保护区内的鱼类划分为以下资源类型。</w:t>
      </w:r>
    </w:p>
    <w:p w14:paraId="4B0FEA89" w14:textId="77777777" w:rsidR="007D1E74" w:rsidRDefault="00A95641">
      <w:pPr>
        <w:spacing w:line="360" w:lineRule="auto"/>
        <w:ind w:firstLineChars="200" w:firstLine="482"/>
        <w:rPr>
          <w:b/>
          <w:sz w:val="24"/>
          <w:szCs w:val="24"/>
        </w:rPr>
      </w:pPr>
      <w:r>
        <w:rPr>
          <w:rFonts w:hint="eastAsia"/>
          <w:b/>
          <w:sz w:val="24"/>
          <w:szCs w:val="24"/>
        </w:rPr>
        <w:lastRenderedPageBreak/>
        <w:t>①珍稀保护鱼类</w:t>
      </w:r>
    </w:p>
    <w:p w14:paraId="3CA56555" w14:textId="77777777" w:rsidR="007D1E74" w:rsidRDefault="00A95641">
      <w:pPr>
        <w:spacing w:line="360" w:lineRule="auto"/>
        <w:ind w:firstLineChars="200" w:firstLine="480"/>
        <w:rPr>
          <w:sz w:val="24"/>
          <w:szCs w:val="24"/>
        </w:rPr>
      </w:pPr>
      <w:r>
        <w:rPr>
          <w:rFonts w:hint="eastAsia"/>
          <w:sz w:val="24"/>
          <w:szCs w:val="24"/>
        </w:rPr>
        <w:t>保护区内有国家</w:t>
      </w:r>
      <w:r>
        <w:rPr>
          <w:rFonts w:hint="eastAsia"/>
          <w:sz w:val="24"/>
          <w:szCs w:val="24"/>
        </w:rPr>
        <w:t>II</w:t>
      </w:r>
      <w:r>
        <w:rPr>
          <w:rFonts w:hint="eastAsia"/>
          <w:sz w:val="24"/>
          <w:szCs w:val="24"/>
        </w:rPr>
        <w:t>级重点保护鱼类长薄鳅、岩原鲤、鯮、圆口铜鱼、四川白甲鱼、重口裂腹鱼、青石爬鮡</w:t>
      </w:r>
      <w:r>
        <w:rPr>
          <w:rFonts w:hint="eastAsia"/>
          <w:sz w:val="24"/>
          <w:szCs w:val="24"/>
        </w:rPr>
        <w:t>7</w:t>
      </w:r>
      <w:r>
        <w:rPr>
          <w:rFonts w:hint="eastAsia"/>
          <w:sz w:val="24"/>
          <w:szCs w:val="24"/>
        </w:rPr>
        <w:t>种，有四川省重点保护鱼类鳡</w:t>
      </w:r>
      <w:r>
        <w:rPr>
          <w:rFonts w:hint="eastAsia"/>
          <w:sz w:val="24"/>
          <w:szCs w:val="24"/>
        </w:rPr>
        <w:t>1</w:t>
      </w:r>
      <w:r>
        <w:rPr>
          <w:rFonts w:hint="eastAsia"/>
          <w:sz w:val="24"/>
          <w:szCs w:val="24"/>
        </w:rPr>
        <w:t>种。其中鳡、鯮种群数量已非常少，在渔获物中比较罕见；岩原鲤在大通江河瓦室至碧溪、长胜至文胜，小通江河涪阳至板桥等水域中还有较大的种群数量；青石爬鮡在保护区上游河口以上河段还有一定的资源量，但由于建立保护区之前其资源量急剧下降，天然种群受到比较大的威胁，保护区建立后，其种群数量得到了一定程度的恢复。</w:t>
      </w:r>
    </w:p>
    <w:p w14:paraId="302D465F" w14:textId="77777777" w:rsidR="007D1E74" w:rsidRDefault="00A95641">
      <w:pPr>
        <w:spacing w:line="360" w:lineRule="auto"/>
        <w:ind w:firstLineChars="200" w:firstLine="482"/>
        <w:rPr>
          <w:b/>
          <w:sz w:val="24"/>
          <w:szCs w:val="24"/>
        </w:rPr>
      </w:pPr>
      <w:r>
        <w:rPr>
          <w:rFonts w:hint="eastAsia"/>
          <w:b/>
          <w:sz w:val="24"/>
          <w:szCs w:val="24"/>
        </w:rPr>
        <w:t>②长江上游特有鱼类</w:t>
      </w:r>
    </w:p>
    <w:p w14:paraId="53F171D8" w14:textId="77777777" w:rsidR="007D1E74" w:rsidRDefault="00A95641">
      <w:pPr>
        <w:spacing w:line="360" w:lineRule="auto"/>
        <w:ind w:firstLineChars="200" w:firstLine="480"/>
        <w:rPr>
          <w:sz w:val="24"/>
          <w:szCs w:val="24"/>
        </w:rPr>
      </w:pPr>
      <w:r>
        <w:rPr>
          <w:rFonts w:hint="eastAsia"/>
          <w:sz w:val="24"/>
          <w:szCs w:val="24"/>
        </w:rPr>
        <w:t>长江上游及其支流中约有特有鱼类</w:t>
      </w:r>
      <w:r>
        <w:rPr>
          <w:sz w:val="24"/>
          <w:szCs w:val="24"/>
        </w:rPr>
        <w:t>112</w:t>
      </w:r>
      <w:r>
        <w:rPr>
          <w:rFonts w:hint="eastAsia"/>
          <w:sz w:val="24"/>
          <w:szCs w:val="24"/>
        </w:rPr>
        <w:t>种，在诺水河自然保护区内分布有长江上游特有鱼类</w:t>
      </w:r>
      <w:r>
        <w:rPr>
          <w:sz w:val="24"/>
          <w:szCs w:val="24"/>
        </w:rPr>
        <w:t>22</w:t>
      </w:r>
      <w:r>
        <w:rPr>
          <w:rFonts w:hint="eastAsia"/>
          <w:sz w:val="24"/>
          <w:szCs w:val="24"/>
        </w:rPr>
        <w:t>种，长薄鳅、双斑副沙鳅、短体副鳅、宜宾鯝、黑尾䱗、厚颌鲂、嘉陵颌须鮈、圆口铜鱼、圆筒吻鮈、钝吻棒花鱼、异鳔鳅鮀、宽口光唇鱼、四川白甲鱼、华鲮、岩原鲤、中华裂腹鱼、重口裂腹鱼、短身间吸鳅、中华金沙鳅、四川华吸鳅、青石爬鮡、黄石爬鮡，占保护区鱼类总种数的</w:t>
      </w:r>
      <w:r>
        <w:rPr>
          <w:sz w:val="24"/>
          <w:szCs w:val="24"/>
        </w:rPr>
        <w:t>26.83%</w:t>
      </w:r>
      <w:r>
        <w:rPr>
          <w:rFonts w:hint="eastAsia"/>
          <w:sz w:val="24"/>
          <w:szCs w:val="24"/>
        </w:rPr>
        <w:t>，占长江上游特有鱼类总种数的</w:t>
      </w:r>
      <w:r>
        <w:rPr>
          <w:sz w:val="24"/>
          <w:szCs w:val="24"/>
        </w:rPr>
        <w:t>19.64%</w:t>
      </w:r>
      <w:r>
        <w:rPr>
          <w:rFonts w:hint="eastAsia"/>
          <w:sz w:val="24"/>
          <w:szCs w:val="24"/>
        </w:rPr>
        <w:t>。</w:t>
      </w:r>
    </w:p>
    <w:p w14:paraId="70A9424F" w14:textId="77777777" w:rsidR="007D1E74" w:rsidRDefault="00A95641">
      <w:pPr>
        <w:spacing w:line="360" w:lineRule="auto"/>
        <w:ind w:firstLineChars="200" w:firstLine="482"/>
        <w:rPr>
          <w:b/>
          <w:sz w:val="24"/>
          <w:szCs w:val="24"/>
        </w:rPr>
      </w:pPr>
      <w:r>
        <w:rPr>
          <w:rFonts w:hint="eastAsia"/>
          <w:b/>
          <w:sz w:val="24"/>
          <w:szCs w:val="24"/>
        </w:rPr>
        <w:t>③红皮书</w:t>
      </w:r>
      <w:r>
        <w:rPr>
          <w:rFonts w:hint="eastAsia"/>
          <w:b/>
          <w:sz w:val="24"/>
          <w:szCs w:val="24"/>
        </w:rPr>
        <w:t>/</w:t>
      </w:r>
      <w:r>
        <w:rPr>
          <w:rFonts w:hint="eastAsia"/>
          <w:b/>
          <w:sz w:val="24"/>
          <w:szCs w:val="24"/>
        </w:rPr>
        <w:t>物种红色名录物种</w:t>
      </w:r>
    </w:p>
    <w:p w14:paraId="2861BE8C" w14:textId="77777777" w:rsidR="007D1E74" w:rsidRDefault="00A95641">
      <w:pPr>
        <w:spacing w:line="360" w:lineRule="auto"/>
        <w:ind w:firstLineChars="200" w:firstLine="480"/>
        <w:rPr>
          <w:sz w:val="24"/>
          <w:szCs w:val="24"/>
        </w:rPr>
      </w:pPr>
      <w:r>
        <w:rPr>
          <w:rFonts w:hint="eastAsia"/>
          <w:sz w:val="24"/>
          <w:szCs w:val="24"/>
        </w:rPr>
        <w:t>列入《中国濒危动物红皮书》和《中国物种红色名录》濒危物种（</w:t>
      </w:r>
      <w:r>
        <w:rPr>
          <w:sz w:val="24"/>
          <w:szCs w:val="24"/>
        </w:rPr>
        <w:t>EN</w:t>
      </w:r>
      <w:r>
        <w:rPr>
          <w:rFonts w:hint="eastAsia"/>
          <w:sz w:val="24"/>
          <w:szCs w:val="24"/>
        </w:rPr>
        <w:t>）的有黄石爬鮡、白缘䱀，极危物种（</w:t>
      </w:r>
      <w:r>
        <w:rPr>
          <w:sz w:val="24"/>
          <w:szCs w:val="24"/>
        </w:rPr>
        <w:t>CR</w:t>
      </w:r>
      <w:r>
        <w:rPr>
          <w:rFonts w:hint="eastAsia"/>
          <w:sz w:val="24"/>
          <w:szCs w:val="24"/>
        </w:rPr>
        <w:t>）的有青石爬鮡，易危物种（</w:t>
      </w:r>
      <w:r>
        <w:rPr>
          <w:sz w:val="24"/>
          <w:szCs w:val="24"/>
        </w:rPr>
        <w:t>VU</w:t>
      </w:r>
      <w:r>
        <w:rPr>
          <w:rFonts w:hint="eastAsia"/>
          <w:sz w:val="24"/>
          <w:szCs w:val="24"/>
        </w:rPr>
        <w:t>）的有鯮、岩原鲤、宜宾鲴、长薄鳅。</w:t>
      </w:r>
    </w:p>
    <w:p w14:paraId="48D7BF6D" w14:textId="77777777" w:rsidR="007D1E74" w:rsidRDefault="00A95641">
      <w:pPr>
        <w:spacing w:line="360" w:lineRule="auto"/>
        <w:ind w:firstLineChars="200" w:firstLine="482"/>
        <w:rPr>
          <w:b/>
          <w:sz w:val="24"/>
          <w:szCs w:val="24"/>
        </w:rPr>
      </w:pPr>
      <w:r>
        <w:rPr>
          <w:rFonts w:hint="eastAsia"/>
          <w:b/>
          <w:sz w:val="24"/>
          <w:szCs w:val="24"/>
        </w:rPr>
        <w:t>④主要经济鱼类</w:t>
      </w:r>
    </w:p>
    <w:p w14:paraId="17D785C7" w14:textId="77777777" w:rsidR="007D1E74" w:rsidRDefault="00A95641">
      <w:pPr>
        <w:spacing w:line="360" w:lineRule="auto"/>
        <w:ind w:firstLineChars="200" w:firstLine="480"/>
        <w:rPr>
          <w:sz w:val="24"/>
          <w:szCs w:val="24"/>
        </w:rPr>
      </w:pPr>
      <w:r>
        <w:rPr>
          <w:rFonts w:hint="eastAsia"/>
          <w:sz w:val="24"/>
          <w:szCs w:val="24"/>
        </w:rPr>
        <w:t>主要经济鱼类有草鱼、鲢、鳙、岩原鲤、鲤、鲫、长吻鮠、南方鲇、花䱻、大鳍鳠以及黄颡类等。</w:t>
      </w:r>
    </w:p>
    <w:p w14:paraId="4233DA37" w14:textId="77777777" w:rsidR="007D1E74" w:rsidRDefault="00A95641">
      <w:pPr>
        <w:spacing w:line="360" w:lineRule="auto"/>
        <w:ind w:firstLineChars="200" w:firstLine="482"/>
        <w:rPr>
          <w:b/>
          <w:sz w:val="24"/>
          <w:szCs w:val="24"/>
        </w:rPr>
      </w:pPr>
      <w:r>
        <w:rPr>
          <w:rFonts w:hint="eastAsia"/>
          <w:b/>
          <w:sz w:val="24"/>
          <w:szCs w:val="24"/>
        </w:rPr>
        <w:t>⑤名贵经济鱼类</w:t>
      </w:r>
    </w:p>
    <w:p w14:paraId="5A474F4A" w14:textId="77777777" w:rsidR="007D1E74" w:rsidRDefault="00A95641">
      <w:pPr>
        <w:spacing w:line="360" w:lineRule="auto"/>
        <w:ind w:firstLineChars="200" w:firstLine="480"/>
        <w:rPr>
          <w:sz w:val="24"/>
          <w:szCs w:val="24"/>
        </w:rPr>
      </w:pPr>
      <w:r>
        <w:rPr>
          <w:rFonts w:hint="eastAsia"/>
          <w:sz w:val="24"/>
          <w:szCs w:val="24"/>
        </w:rPr>
        <w:t>岩原鲤、华鲮、中华倒刺鲃、白甲鱼、四川白甲鱼、长吻鮠、南方鲇、黄颡鱼、拟鲿类、鳜等为名贵经济鱼类。岩原鲤在保护区中下游河段还有一定的资源量，中华倒刺鲃、华鲮还具有较大的资源量；南方鲇等虽然在渔获物中比例下降，但估计在区域内仍有一定的资源量。但是，白甲鱼等数量急剧减少，在保护区内的资源量已比较有限。</w:t>
      </w:r>
    </w:p>
    <w:p w14:paraId="7CB9A584" w14:textId="77777777" w:rsidR="007D1E74" w:rsidRDefault="00A95641">
      <w:pPr>
        <w:spacing w:line="360" w:lineRule="auto"/>
        <w:ind w:firstLineChars="200" w:firstLine="482"/>
        <w:rPr>
          <w:b/>
          <w:sz w:val="24"/>
          <w:szCs w:val="24"/>
        </w:rPr>
      </w:pPr>
      <w:r>
        <w:rPr>
          <w:rFonts w:hint="eastAsia"/>
          <w:b/>
          <w:sz w:val="24"/>
          <w:szCs w:val="24"/>
        </w:rPr>
        <w:t>⑥小杂鱼类</w:t>
      </w:r>
    </w:p>
    <w:p w14:paraId="790FBEC6" w14:textId="77777777" w:rsidR="007D1E74" w:rsidRDefault="00A95641">
      <w:pPr>
        <w:spacing w:line="360" w:lineRule="auto"/>
        <w:ind w:firstLineChars="200" w:firstLine="480"/>
        <w:rPr>
          <w:sz w:val="24"/>
          <w:szCs w:val="24"/>
        </w:rPr>
      </w:pPr>
      <w:r>
        <w:rPr>
          <w:rFonts w:hint="eastAsia"/>
          <w:sz w:val="24"/>
          <w:szCs w:val="24"/>
        </w:rPr>
        <w:t>宽鳍鱲、马口鱼、红尾副鳅、短体副鳅、双副沙鳅、泥鳅、白缘䱀、蛇鮈、宜宾鲴、鳑鮍、䱗、银飘鱼、麦穗鱼和棒花鱼等，许多为水体中上层鱼类，在渔获物中的比重较大。</w:t>
      </w:r>
    </w:p>
    <w:p w14:paraId="6C169BA7" w14:textId="77777777" w:rsidR="007D1E74" w:rsidRDefault="00A95641">
      <w:pPr>
        <w:spacing w:line="360" w:lineRule="auto"/>
        <w:ind w:firstLineChars="200" w:firstLine="482"/>
        <w:rPr>
          <w:b/>
          <w:sz w:val="24"/>
          <w:szCs w:val="24"/>
        </w:rPr>
      </w:pPr>
      <w:r>
        <w:rPr>
          <w:rFonts w:hint="eastAsia"/>
          <w:b/>
          <w:sz w:val="24"/>
          <w:szCs w:val="24"/>
        </w:rPr>
        <w:lastRenderedPageBreak/>
        <w:t>（</w:t>
      </w:r>
      <w:r>
        <w:rPr>
          <w:b/>
          <w:sz w:val="24"/>
          <w:szCs w:val="24"/>
        </w:rPr>
        <w:t>5</w:t>
      </w:r>
      <w:r>
        <w:rPr>
          <w:rFonts w:hint="eastAsia"/>
          <w:b/>
          <w:sz w:val="24"/>
          <w:szCs w:val="24"/>
        </w:rPr>
        <w:t>）鱼类资源现状</w:t>
      </w:r>
    </w:p>
    <w:p w14:paraId="3A5E3AE6" w14:textId="77777777" w:rsidR="007D1E74" w:rsidRDefault="00A95641">
      <w:pPr>
        <w:spacing w:line="360" w:lineRule="auto"/>
        <w:ind w:firstLineChars="200" w:firstLine="480"/>
        <w:rPr>
          <w:sz w:val="24"/>
          <w:szCs w:val="24"/>
        </w:rPr>
      </w:pPr>
      <w:r>
        <w:rPr>
          <w:rFonts w:hint="eastAsia"/>
          <w:sz w:val="24"/>
          <w:szCs w:val="24"/>
        </w:rPr>
        <w:t>保护区特有的生态环境生活着</w:t>
      </w:r>
      <w:r>
        <w:rPr>
          <w:sz w:val="24"/>
          <w:szCs w:val="24"/>
        </w:rPr>
        <w:t>30</w:t>
      </w:r>
      <w:r>
        <w:rPr>
          <w:rFonts w:hint="eastAsia"/>
          <w:sz w:val="24"/>
          <w:szCs w:val="24"/>
        </w:rPr>
        <w:t>多种重要的经济鱼类。南方鲇、黄颡鱼、岩原鲤、中华倒刺鲃、华鲮、宽口光唇鱼、鳜等在各河段都有分布。长吻鮠、黄颡鱼、岩原鲤、华鲮、中华倒刺鲃等大、中型经济鱼类的比例均有不同程度的下降，白甲鱼的资源下降比较严重，目前在保护区河流中种群数量已非常少。相对而言，保护区内一些中、小型经济种类，如拟鲿类、缘䱀类等资源量比较丰富。在保护区内鱼类资源量仍比较丰富，但经济种类的种群结构和在渔获物中的比重等发生了较大变化，一些传统的大、中型经济种类资源量下降比较严重，一些中、小种类的资源还比较丰富。</w:t>
      </w:r>
    </w:p>
    <w:p w14:paraId="4C064C51" w14:textId="77777777" w:rsidR="007D1E74" w:rsidRDefault="00A95641">
      <w:pPr>
        <w:spacing w:line="360" w:lineRule="auto"/>
        <w:ind w:firstLineChars="200" w:firstLine="480"/>
        <w:rPr>
          <w:sz w:val="24"/>
          <w:szCs w:val="24"/>
        </w:rPr>
      </w:pPr>
      <w:r>
        <w:rPr>
          <w:rFonts w:hint="eastAsia"/>
          <w:sz w:val="24"/>
          <w:szCs w:val="24"/>
        </w:rPr>
        <w:t>诺水河自然保护区内的大、小通江河自然条件优越，岩洞地貌发育，河流宽阔曲折，滩潭较多，森林覆盖率达</w:t>
      </w:r>
      <w:r>
        <w:rPr>
          <w:rFonts w:hint="eastAsia"/>
          <w:sz w:val="24"/>
          <w:szCs w:val="24"/>
        </w:rPr>
        <w:t>60.29%</w:t>
      </w:r>
      <w:r>
        <w:rPr>
          <w:rFonts w:hint="eastAsia"/>
          <w:sz w:val="24"/>
          <w:szCs w:val="24"/>
        </w:rPr>
        <w:t>，雨量充沛，水质清澈无污染，是岩原鲤栖息、繁衍的理想场所，其野生资源量非常丰富，个体较大，生长速度较快。据文献资料记载，</w:t>
      </w:r>
      <w:r>
        <w:rPr>
          <w:rFonts w:hint="eastAsia"/>
          <w:sz w:val="24"/>
          <w:szCs w:val="24"/>
        </w:rPr>
        <w:t>1990</w:t>
      </w:r>
      <w:r>
        <w:rPr>
          <w:rFonts w:hint="eastAsia"/>
          <w:sz w:val="24"/>
          <w:szCs w:val="24"/>
        </w:rPr>
        <w:t>年前，岩原鲤产量占渔获物的</w:t>
      </w:r>
      <w:r>
        <w:rPr>
          <w:rFonts w:hint="eastAsia"/>
          <w:sz w:val="24"/>
          <w:szCs w:val="24"/>
        </w:rPr>
        <w:t>15%</w:t>
      </w:r>
      <w:r>
        <w:rPr>
          <w:rFonts w:hint="eastAsia"/>
          <w:sz w:val="24"/>
          <w:szCs w:val="24"/>
        </w:rPr>
        <w:t>；由于近年来的过度捕捞等，导致其天然资源量急剧下降，</w:t>
      </w:r>
      <w:r>
        <w:rPr>
          <w:rFonts w:hint="eastAsia"/>
          <w:sz w:val="24"/>
          <w:szCs w:val="24"/>
        </w:rPr>
        <w:t>2005</w:t>
      </w:r>
      <w:r>
        <w:rPr>
          <w:rFonts w:hint="eastAsia"/>
          <w:sz w:val="24"/>
          <w:szCs w:val="24"/>
        </w:rPr>
        <w:t>年以后，岩原鲤产量仅占渔获物的</w:t>
      </w:r>
      <w:r>
        <w:rPr>
          <w:rFonts w:hint="eastAsia"/>
          <w:sz w:val="24"/>
          <w:szCs w:val="24"/>
        </w:rPr>
        <w:t>5%</w:t>
      </w:r>
      <w:r>
        <w:rPr>
          <w:rFonts w:hint="eastAsia"/>
          <w:sz w:val="24"/>
          <w:szCs w:val="24"/>
        </w:rPr>
        <w:t>。同时，其栖息环境遭受到一定程度的破坏。由于地势相对比较偏远，没有水电站等的建设，以及近年来的有效保护，诺水河自然保护区内的岩原鲤资源得到了有力的保护，并在一定程度得到了恢复，目前种群数量仍比较丰富。在诺水河自然保护区内，岩原鲤主要分布在大通江河瓦室至碧溪，长胜至文胜，小通江河涪阳至板桥河段。</w:t>
      </w:r>
    </w:p>
    <w:p w14:paraId="28AA9333" w14:textId="77777777" w:rsidR="007D1E74" w:rsidRDefault="00A95641">
      <w:pPr>
        <w:spacing w:line="360" w:lineRule="auto"/>
        <w:ind w:firstLineChars="200" w:firstLine="482"/>
        <w:rPr>
          <w:b/>
          <w:sz w:val="24"/>
          <w:szCs w:val="24"/>
        </w:rPr>
      </w:pPr>
      <w:r>
        <w:rPr>
          <w:rFonts w:hint="eastAsia"/>
          <w:b/>
          <w:sz w:val="24"/>
          <w:szCs w:val="24"/>
        </w:rPr>
        <w:t>（</w:t>
      </w:r>
      <w:r>
        <w:rPr>
          <w:b/>
          <w:sz w:val="24"/>
          <w:szCs w:val="24"/>
        </w:rPr>
        <w:t>6</w:t>
      </w:r>
      <w:r>
        <w:rPr>
          <w:rFonts w:hint="eastAsia"/>
          <w:b/>
          <w:sz w:val="24"/>
          <w:szCs w:val="24"/>
        </w:rPr>
        <w:t>）鱼类分布特点</w:t>
      </w:r>
    </w:p>
    <w:p w14:paraId="32DDC1DA" w14:textId="77777777" w:rsidR="007D1E74" w:rsidRDefault="00A95641">
      <w:pPr>
        <w:spacing w:line="360" w:lineRule="auto"/>
        <w:ind w:firstLineChars="200" w:firstLine="480"/>
        <w:rPr>
          <w:sz w:val="24"/>
          <w:szCs w:val="24"/>
        </w:rPr>
      </w:pPr>
      <w:r>
        <w:rPr>
          <w:rFonts w:hint="eastAsia"/>
          <w:sz w:val="24"/>
          <w:szCs w:val="24"/>
        </w:rPr>
        <w:t>诺水河自然保护区位于四川东北部盆地丘陵，大巴山西段与米仓山东段南部交接部位褶皱山区，流域大部分属亚热带湿润季风气候，在中下段的低中山区，冬季温暖多雾，霜雪少见，年平均水温较高。因此，区域内主要分布有能适应较高温度的众多江河平原性鱼类，主要包括草鱼、鲢、鳙、鳡、鳊、鲂、红鲌、鲴、马口鱼、鱲、蛇鮈、鳅鮀、颌须鮈、鳈、赤眼鳟、鯮、铜鱼等；同时，也分布有很多适应于南方平原河流的种类，如华鯪、中华倒刺鲃、白甲鱼、乌鳢、鮠类、黄鳝、青鳉、鰕虎鱼属、斗鱼、黄䱂等。保护区中上游河段地处中山区，分布有极少数适应于山区急流水环境的种类，主要是平鳍鳅科、鲀头鮠科、鮡科的种类，代表种有短身间吸鳅、四川华吸鳅、白缘䱀、黑尾䱀、黄石爬鮡、青石爬鮡等，以及条鳅亚科中适于低海拔的种类，如红尾副鳅、短体副鳅、贝氏高原鳅。此外，在保护区的上游河源，地处高山峡谷，海拔相对较高，水温比较低，分布有中华裂腹鱼、重口裂腹鱼等。</w:t>
      </w:r>
    </w:p>
    <w:p w14:paraId="00629620" w14:textId="77777777" w:rsidR="007D1E74" w:rsidRDefault="00A95641">
      <w:pPr>
        <w:spacing w:line="360" w:lineRule="auto"/>
        <w:ind w:firstLineChars="200" w:firstLine="482"/>
        <w:rPr>
          <w:b/>
          <w:sz w:val="24"/>
          <w:szCs w:val="24"/>
        </w:rPr>
      </w:pPr>
      <w:r>
        <w:rPr>
          <w:rFonts w:hint="eastAsia"/>
          <w:b/>
          <w:sz w:val="24"/>
          <w:szCs w:val="24"/>
        </w:rPr>
        <w:lastRenderedPageBreak/>
        <w:t>（</w:t>
      </w:r>
      <w:r>
        <w:rPr>
          <w:b/>
          <w:sz w:val="24"/>
          <w:szCs w:val="24"/>
        </w:rPr>
        <w:t>7</w:t>
      </w:r>
      <w:r>
        <w:rPr>
          <w:rFonts w:hint="eastAsia"/>
          <w:b/>
          <w:sz w:val="24"/>
          <w:szCs w:val="24"/>
        </w:rPr>
        <w:t>）鱼类“三场”分布</w:t>
      </w:r>
    </w:p>
    <w:p w14:paraId="6125F981" w14:textId="77777777" w:rsidR="007D1E74" w:rsidRDefault="00A95641">
      <w:pPr>
        <w:spacing w:line="360" w:lineRule="auto"/>
        <w:ind w:firstLineChars="200" w:firstLine="480"/>
        <w:rPr>
          <w:sz w:val="24"/>
          <w:szCs w:val="24"/>
        </w:rPr>
      </w:pPr>
      <w:r>
        <w:rPr>
          <w:rFonts w:hint="eastAsia"/>
          <w:sz w:val="24"/>
          <w:szCs w:val="24"/>
        </w:rPr>
        <w:t>保护区内河流的主要特点是：河道较宽阔、平缓，多弯曲，宽窄变化，多边滩、石嵌、石缝、泉眼和石灰岩溶洞，河底主要由砂、砾石组成；水流缓急交错，尤其是滩潭交替频繁，使得鱼类的三场比邻且连接紧密。这些为鱼类的产卵、索饵和越冬提供了非常便利的条件。在深潭（沱）中越冬鱼类在春季水温回升后可以立即上滩繁殖，繁殖完成后又可以迅速退回深潭中躲避；而卵孵化后，可在浅滩边缘的浅、缓水中索饵成长。经过实地调查和访问当地村民，保护区内这种滩潭相连的生境众多，遍布整个保护区河段，尤其在上游河段最多，因此鱼类的三场在保护区内呈散点状分布，不存在规模非常大的，占有很长河道的大型三场。保护区主要保护对象大鲵、鳖、岩原鲤的产卵场、越冬场、索饵场主要分布在保护区核心区河段，大鲵、鳖、重口裂腹鱼、青石爬鮡等重点保护水生动物的主要栖息场所和集中分布区也在核心区，核心区也是南方鲇、黄颡鱼、华鲮等重要经济鱼类的主要分布区域。</w:t>
      </w:r>
    </w:p>
    <w:p w14:paraId="08E1A654" w14:textId="77777777" w:rsidR="007D1E74" w:rsidRDefault="00A95641">
      <w:pPr>
        <w:spacing w:line="360" w:lineRule="auto"/>
        <w:ind w:firstLineChars="200" w:firstLine="480"/>
        <w:rPr>
          <w:sz w:val="24"/>
          <w:szCs w:val="24"/>
        </w:rPr>
      </w:pPr>
      <w:r>
        <w:rPr>
          <w:rFonts w:hint="eastAsia"/>
          <w:sz w:val="24"/>
          <w:szCs w:val="24"/>
        </w:rPr>
        <w:t>本项目影响范围涉及保护区缓冲区，分布有小型鱼类的三场：何家坝、柏林潭、巴洲沟村、金家坪和涪阳坝</w:t>
      </w:r>
      <w:r>
        <w:rPr>
          <w:rFonts w:hint="eastAsia"/>
          <w:sz w:val="24"/>
          <w:szCs w:val="24"/>
        </w:rPr>
        <w:t>5</w:t>
      </w:r>
      <w:r>
        <w:rPr>
          <w:rFonts w:hint="eastAsia"/>
          <w:sz w:val="24"/>
          <w:szCs w:val="24"/>
        </w:rPr>
        <w:t>处，规模都不大，均分布在穿越点下游。</w:t>
      </w:r>
    </w:p>
    <w:p w14:paraId="53B6ABEC" w14:textId="77777777" w:rsidR="007D1E74" w:rsidRDefault="00A95641">
      <w:pPr>
        <w:pStyle w:val="afffffe"/>
        <w:numPr>
          <w:ilvl w:val="0"/>
          <w:numId w:val="43"/>
        </w:numPr>
        <w:spacing w:line="360" w:lineRule="auto"/>
        <w:ind w:firstLineChars="0"/>
        <w:jc w:val="center"/>
        <w:rPr>
          <w:rFonts w:eastAsia="黑体" w:cs="Times New Roman"/>
          <w:szCs w:val="21"/>
        </w:rPr>
      </w:pPr>
      <w:r>
        <w:rPr>
          <w:rFonts w:eastAsia="黑体" w:cs="Times New Roman" w:hint="eastAsia"/>
          <w:szCs w:val="21"/>
        </w:rPr>
        <w:t>调查水域鱼类的三场分布表</w:t>
      </w:r>
    </w:p>
    <w:tbl>
      <w:tblPr>
        <w:tblStyle w:val="affffc"/>
        <w:tblW w:w="5000" w:type="pct"/>
        <w:tblLook w:val="04A0" w:firstRow="1" w:lastRow="0" w:firstColumn="1" w:lastColumn="0" w:noHBand="0" w:noVBand="1"/>
      </w:tblPr>
      <w:tblGrid>
        <w:gridCol w:w="1094"/>
        <w:gridCol w:w="1650"/>
        <w:gridCol w:w="4018"/>
        <w:gridCol w:w="2254"/>
      </w:tblGrid>
      <w:tr w:rsidR="007D1E74" w14:paraId="7BEAB843" w14:textId="77777777">
        <w:tc>
          <w:tcPr>
            <w:tcW w:w="607" w:type="pct"/>
            <w:vAlign w:val="center"/>
          </w:tcPr>
          <w:p w14:paraId="21EE5A8C" w14:textId="77777777" w:rsidR="007D1E74" w:rsidRDefault="00A95641">
            <w:pPr>
              <w:jc w:val="center"/>
              <w:rPr>
                <w:rFonts w:cs="Times New Roman"/>
                <w:bCs/>
                <w:szCs w:val="21"/>
              </w:rPr>
            </w:pPr>
            <w:r>
              <w:rPr>
                <w:spacing w:val="8"/>
                <w:kern w:val="0"/>
                <w:szCs w:val="21"/>
              </w:rPr>
              <w:t>序号</w:t>
            </w:r>
          </w:p>
        </w:tc>
        <w:tc>
          <w:tcPr>
            <w:tcW w:w="915" w:type="pct"/>
            <w:vAlign w:val="center"/>
          </w:tcPr>
          <w:p w14:paraId="50147038" w14:textId="77777777" w:rsidR="007D1E74" w:rsidRDefault="00A95641">
            <w:pPr>
              <w:jc w:val="center"/>
              <w:rPr>
                <w:rFonts w:cs="Times New Roman"/>
                <w:bCs/>
                <w:szCs w:val="21"/>
              </w:rPr>
            </w:pPr>
            <w:r>
              <w:rPr>
                <w:spacing w:val="8"/>
                <w:kern w:val="0"/>
                <w:szCs w:val="21"/>
              </w:rPr>
              <w:t>地名</w:t>
            </w:r>
          </w:p>
        </w:tc>
        <w:tc>
          <w:tcPr>
            <w:tcW w:w="2228" w:type="pct"/>
            <w:vAlign w:val="center"/>
          </w:tcPr>
          <w:p w14:paraId="3B21F97F" w14:textId="77777777" w:rsidR="007D1E74" w:rsidRDefault="00A95641">
            <w:pPr>
              <w:jc w:val="center"/>
              <w:rPr>
                <w:rFonts w:cs="Times New Roman"/>
                <w:bCs/>
                <w:szCs w:val="21"/>
              </w:rPr>
            </w:pPr>
            <w:r>
              <w:rPr>
                <w:spacing w:val="8"/>
                <w:kern w:val="0"/>
                <w:szCs w:val="21"/>
              </w:rPr>
              <w:t>中心坐标</w:t>
            </w:r>
          </w:p>
        </w:tc>
        <w:tc>
          <w:tcPr>
            <w:tcW w:w="1250" w:type="pct"/>
            <w:vAlign w:val="center"/>
          </w:tcPr>
          <w:p w14:paraId="216D5F38" w14:textId="77777777" w:rsidR="007D1E74" w:rsidRDefault="00A95641">
            <w:pPr>
              <w:jc w:val="center"/>
              <w:rPr>
                <w:rFonts w:cs="Times New Roman"/>
                <w:bCs/>
                <w:szCs w:val="21"/>
              </w:rPr>
            </w:pPr>
            <w:r>
              <w:rPr>
                <w:szCs w:val="21"/>
              </w:rPr>
              <w:t>备注</w:t>
            </w:r>
          </w:p>
        </w:tc>
      </w:tr>
      <w:tr w:rsidR="007D1E74" w14:paraId="028AF1BF" w14:textId="77777777">
        <w:tc>
          <w:tcPr>
            <w:tcW w:w="607" w:type="pct"/>
            <w:vAlign w:val="center"/>
          </w:tcPr>
          <w:p w14:paraId="76ABE922" w14:textId="77777777" w:rsidR="007D1E74" w:rsidRDefault="00A95641">
            <w:pPr>
              <w:jc w:val="center"/>
              <w:rPr>
                <w:rFonts w:cs="Times New Roman"/>
                <w:szCs w:val="21"/>
              </w:rPr>
            </w:pPr>
            <w:r>
              <w:rPr>
                <w:szCs w:val="21"/>
              </w:rPr>
              <w:t>1</w:t>
            </w:r>
          </w:p>
        </w:tc>
        <w:tc>
          <w:tcPr>
            <w:tcW w:w="915" w:type="pct"/>
            <w:vAlign w:val="center"/>
          </w:tcPr>
          <w:p w14:paraId="3C1BB4DD" w14:textId="77777777" w:rsidR="007D1E74" w:rsidRDefault="00A95641">
            <w:pPr>
              <w:jc w:val="center"/>
              <w:rPr>
                <w:rFonts w:cs="Times New Roman"/>
                <w:szCs w:val="21"/>
              </w:rPr>
            </w:pPr>
            <w:r>
              <w:rPr>
                <w:szCs w:val="21"/>
              </w:rPr>
              <w:t>何家坝</w:t>
            </w:r>
          </w:p>
        </w:tc>
        <w:tc>
          <w:tcPr>
            <w:tcW w:w="2228" w:type="pct"/>
            <w:vAlign w:val="center"/>
          </w:tcPr>
          <w:p w14:paraId="0DF65156" w14:textId="77777777" w:rsidR="007D1E74" w:rsidRDefault="00A95641">
            <w:pPr>
              <w:jc w:val="center"/>
              <w:rPr>
                <w:szCs w:val="21"/>
              </w:rPr>
            </w:pPr>
            <w:r>
              <w:rPr>
                <w:szCs w:val="21"/>
              </w:rPr>
              <w:t>107°17'05.50"E</w:t>
            </w:r>
            <w:r>
              <w:rPr>
                <w:szCs w:val="21"/>
              </w:rPr>
              <w:t>，</w:t>
            </w:r>
            <w:r>
              <w:rPr>
                <w:szCs w:val="21"/>
              </w:rPr>
              <w:t>32°17'47.68"N</w:t>
            </w:r>
          </w:p>
        </w:tc>
        <w:tc>
          <w:tcPr>
            <w:tcW w:w="1250" w:type="pct"/>
            <w:vAlign w:val="center"/>
          </w:tcPr>
          <w:p w14:paraId="3D9B1BEC" w14:textId="77777777" w:rsidR="007D1E74" w:rsidRDefault="00A95641">
            <w:pPr>
              <w:jc w:val="center"/>
              <w:rPr>
                <w:rFonts w:cs="Times New Roman"/>
                <w:szCs w:val="21"/>
              </w:rPr>
            </w:pPr>
            <w:r>
              <w:rPr>
                <w:szCs w:val="21"/>
              </w:rPr>
              <w:t>穿越点</w:t>
            </w:r>
            <w:r>
              <w:rPr>
                <w:szCs w:val="21"/>
              </w:rPr>
              <w:t>2</w:t>
            </w:r>
            <w:r>
              <w:rPr>
                <w:szCs w:val="21"/>
              </w:rPr>
              <w:t>下游</w:t>
            </w:r>
            <w:r>
              <w:rPr>
                <w:szCs w:val="21"/>
              </w:rPr>
              <w:t>200m</w:t>
            </w:r>
          </w:p>
        </w:tc>
      </w:tr>
      <w:tr w:rsidR="007D1E74" w14:paraId="3B363369" w14:textId="77777777">
        <w:tc>
          <w:tcPr>
            <w:tcW w:w="607" w:type="pct"/>
            <w:vAlign w:val="center"/>
          </w:tcPr>
          <w:p w14:paraId="2768EB07" w14:textId="77777777" w:rsidR="007D1E74" w:rsidRDefault="00A95641">
            <w:pPr>
              <w:jc w:val="center"/>
              <w:rPr>
                <w:rFonts w:cs="Times New Roman"/>
                <w:kern w:val="0"/>
                <w:szCs w:val="21"/>
                <w:lang w:bidi="ar"/>
              </w:rPr>
            </w:pPr>
            <w:r>
              <w:rPr>
                <w:spacing w:val="8"/>
                <w:kern w:val="0"/>
                <w:szCs w:val="21"/>
              </w:rPr>
              <w:t>2</w:t>
            </w:r>
          </w:p>
        </w:tc>
        <w:tc>
          <w:tcPr>
            <w:tcW w:w="915" w:type="pct"/>
            <w:vAlign w:val="center"/>
          </w:tcPr>
          <w:p w14:paraId="7F0D3FB0" w14:textId="77777777" w:rsidR="007D1E74" w:rsidRDefault="00A95641">
            <w:pPr>
              <w:jc w:val="center"/>
              <w:rPr>
                <w:rFonts w:cs="Times New Roman"/>
                <w:szCs w:val="21"/>
              </w:rPr>
            </w:pPr>
            <w:r>
              <w:rPr>
                <w:szCs w:val="21"/>
              </w:rPr>
              <w:t>柏林潭</w:t>
            </w:r>
          </w:p>
        </w:tc>
        <w:tc>
          <w:tcPr>
            <w:tcW w:w="2228" w:type="pct"/>
            <w:vAlign w:val="center"/>
          </w:tcPr>
          <w:p w14:paraId="3A51331B" w14:textId="77777777" w:rsidR="007D1E74" w:rsidRDefault="00A95641">
            <w:pPr>
              <w:jc w:val="center"/>
              <w:rPr>
                <w:szCs w:val="21"/>
              </w:rPr>
            </w:pPr>
            <w:r>
              <w:rPr>
                <w:szCs w:val="21"/>
              </w:rPr>
              <w:t>107°16'63.45"E</w:t>
            </w:r>
            <w:r>
              <w:rPr>
                <w:szCs w:val="21"/>
              </w:rPr>
              <w:t>，</w:t>
            </w:r>
            <w:r>
              <w:rPr>
                <w:szCs w:val="21"/>
              </w:rPr>
              <w:t>32°15'82.46"N</w:t>
            </w:r>
          </w:p>
        </w:tc>
        <w:tc>
          <w:tcPr>
            <w:tcW w:w="1250" w:type="pct"/>
            <w:vAlign w:val="center"/>
          </w:tcPr>
          <w:p w14:paraId="58226980" w14:textId="77777777" w:rsidR="007D1E74" w:rsidRDefault="00A95641">
            <w:pPr>
              <w:jc w:val="center"/>
              <w:rPr>
                <w:rFonts w:cs="Times New Roman"/>
                <w:kern w:val="0"/>
                <w:szCs w:val="21"/>
                <w:lang w:bidi="ar"/>
              </w:rPr>
            </w:pPr>
            <w:r>
              <w:rPr>
                <w:szCs w:val="21"/>
              </w:rPr>
              <w:t>穿越点</w:t>
            </w:r>
            <w:r>
              <w:rPr>
                <w:szCs w:val="21"/>
              </w:rPr>
              <w:t>2</w:t>
            </w:r>
            <w:r>
              <w:rPr>
                <w:szCs w:val="21"/>
              </w:rPr>
              <w:t>下游</w:t>
            </w:r>
            <w:r>
              <w:rPr>
                <w:szCs w:val="21"/>
              </w:rPr>
              <w:t>3km</w:t>
            </w:r>
          </w:p>
        </w:tc>
      </w:tr>
      <w:tr w:rsidR="007D1E74" w14:paraId="484CFDF8" w14:textId="77777777">
        <w:tc>
          <w:tcPr>
            <w:tcW w:w="607" w:type="pct"/>
            <w:vAlign w:val="center"/>
          </w:tcPr>
          <w:p w14:paraId="295F09CE" w14:textId="77777777" w:rsidR="007D1E74" w:rsidRDefault="00A95641">
            <w:pPr>
              <w:jc w:val="center"/>
              <w:rPr>
                <w:rFonts w:cs="Times New Roman"/>
                <w:kern w:val="0"/>
                <w:szCs w:val="21"/>
                <w:lang w:bidi="ar"/>
              </w:rPr>
            </w:pPr>
            <w:r>
              <w:rPr>
                <w:spacing w:val="8"/>
                <w:kern w:val="0"/>
                <w:szCs w:val="21"/>
              </w:rPr>
              <w:t>3</w:t>
            </w:r>
          </w:p>
        </w:tc>
        <w:tc>
          <w:tcPr>
            <w:tcW w:w="915" w:type="pct"/>
            <w:vAlign w:val="center"/>
          </w:tcPr>
          <w:p w14:paraId="3E07E254" w14:textId="77777777" w:rsidR="007D1E74" w:rsidRDefault="00A95641">
            <w:pPr>
              <w:jc w:val="center"/>
              <w:rPr>
                <w:rFonts w:cs="Times New Roman"/>
                <w:szCs w:val="21"/>
              </w:rPr>
            </w:pPr>
            <w:r>
              <w:rPr>
                <w:szCs w:val="21"/>
              </w:rPr>
              <w:t>巴洲沟村</w:t>
            </w:r>
          </w:p>
        </w:tc>
        <w:tc>
          <w:tcPr>
            <w:tcW w:w="2228" w:type="pct"/>
            <w:vAlign w:val="center"/>
          </w:tcPr>
          <w:p w14:paraId="4F8276B9" w14:textId="77777777" w:rsidR="007D1E74" w:rsidRDefault="00A95641">
            <w:pPr>
              <w:jc w:val="center"/>
              <w:rPr>
                <w:szCs w:val="21"/>
              </w:rPr>
            </w:pPr>
            <w:r>
              <w:rPr>
                <w:szCs w:val="21"/>
              </w:rPr>
              <w:t>107°17'11.73"E</w:t>
            </w:r>
            <w:r>
              <w:rPr>
                <w:szCs w:val="21"/>
              </w:rPr>
              <w:t>，</w:t>
            </w:r>
            <w:r>
              <w:rPr>
                <w:szCs w:val="21"/>
              </w:rPr>
              <w:t>32°12'64.24"N</w:t>
            </w:r>
          </w:p>
        </w:tc>
        <w:tc>
          <w:tcPr>
            <w:tcW w:w="1250" w:type="pct"/>
            <w:vAlign w:val="center"/>
          </w:tcPr>
          <w:p w14:paraId="5B11789D" w14:textId="77777777" w:rsidR="007D1E74" w:rsidRDefault="00A95641">
            <w:pPr>
              <w:jc w:val="center"/>
              <w:rPr>
                <w:rFonts w:cs="Times New Roman"/>
                <w:kern w:val="0"/>
                <w:szCs w:val="21"/>
                <w:lang w:bidi="ar"/>
              </w:rPr>
            </w:pPr>
            <w:r>
              <w:rPr>
                <w:szCs w:val="21"/>
              </w:rPr>
              <w:t>穿越点</w:t>
            </w:r>
            <w:r>
              <w:rPr>
                <w:szCs w:val="21"/>
              </w:rPr>
              <w:t>2</w:t>
            </w:r>
            <w:r>
              <w:rPr>
                <w:szCs w:val="21"/>
              </w:rPr>
              <w:t>上游</w:t>
            </w:r>
            <w:r>
              <w:rPr>
                <w:szCs w:val="21"/>
              </w:rPr>
              <w:t>7km</w:t>
            </w:r>
          </w:p>
        </w:tc>
      </w:tr>
      <w:tr w:rsidR="007D1E74" w14:paraId="16CCA205" w14:textId="77777777">
        <w:tc>
          <w:tcPr>
            <w:tcW w:w="607" w:type="pct"/>
            <w:vAlign w:val="center"/>
          </w:tcPr>
          <w:p w14:paraId="4CB7F241" w14:textId="77777777" w:rsidR="007D1E74" w:rsidRDefault="00A95641">
            <w:pPr>
              <w:jc w:val="center"/>
              <w:rPr>
                <w:rFonts w:cs="Times New Roman"/>
                <w:kern w:val="0"/>
                <w:szCs w:val="21"/>
                <w:lang w:bidi="ar"/>
              </w:rPr>
            </w:pPr>
            <w:r>
              <w:rPr>
                <w:spacing w:val="8"/>
                <w:kern w:val="0"/>
                <w:szCs w:val="21"/>
              </w:rPr>
              <w:t>4</w:t>
            </w:r>
          </w:p>
        </w:tc>
        <w:tc>
          <w:tcPr>
            <w:tcW w:w="915" w:type="pct"/>
            <w:vAlign w:val="center"/>
          </w:tcPr>
          <w:p w14:paraId="47D57550" w14:textId="77777777" w:rsidR="007D1E74" w:rsidRDefault="00A95641">
            <w:pPr>
              <w:jc w:val="center"/>
              <w:rPr>
                <w:rFonts w:cs="Times New Roman"/>
                <w:szCs w:val="21"/>
              </w:rPr>
            </w:pPr>
            <w:r>
              <w:rPr>
                <w:szCs w:val="21"/>
              </w:rPr>
              <w:t>金家坪</w:t>
            </w:r>
          </w:p>
        </w:tc>
        <w:tc>
          <w:tcPr>
            <w:tcW w:w="2228" w:type="pct"/>
            <w:vAlign w:val="center"/>
          </w:tcPr>
          <w:p w14:paraId="630265C3" w14:textId="77777777" w:rsidR="007D1E74" w:rsidRDefault="00A95641">
            <w:pPr>
              <w:jc w:val="center"/>
              <w:rPr>
                <w:szCs w:val="21"/>
              </w:rPr>
            </w:pPr>
            <w:r>
              <w:rPr>
                <w:szCs w:val="21"/>
              </w:rPr>
              <w:t>107°17'25.67"E</w:t>
            </w:r>
            <w:r>
              <w:rPr>
                <w:szCs w:val="21"/>
              </w:rPr>
              <w:t>，</w:t>
            </w:r>
            <w:r>
              <w:rPr>
                <w:szCs w:val="21"/>
              </w:rPr>
              <w:t>32°09'89.58"N</w:t>
            </w:r>
          </w:p>
        </w:tc>
        <w:tc>
          <w:tcPr>
            <w:tcW w:w="1250" w:type="pct"/>
            <w:vAlign w:val="center"/>
          </w:tcPr>
          <w:p w14:paraId="6E06D2A9" w14:textId="77777777" w:rsidR="007D1E74" w:rsidRDefault="00A95641">
            <w:pPr>
              <w:jc w:val="center"/>
              <w:rPr>
                <w:rFonts w:cs="Times New Roman"/>
                <w:kern w:val="0"/>
                <w:szCs w:val="21"/>
                <w:lang w:bidi="ar"/>
              </w:rPr>
            </w:pPr>
            <w:r>
              <w:rPr>
                <w:szCs w:val="21"/>
              </w:rPr>
              <w:t>穿越点</w:t>
            </w:r>
            <w:r>
              <w:rPr>
                <w:szCs w:val="21"/>
              </w:rPr>
              <w:t>2</w:t>
            </w:r>
            <w:r>
              <w:rPr>
                <w:szCs w:val="21"/>
              </w:rPr>
              <w:t>下游</w:t>
            </w:r>
            <w:r>
              <w:rPr>
                <w:szCs w:val="21"/>
              </w:rPr>
              <w:t>11km</w:t>
            </w:r>
          </w:p>
        </w:tc>
      </w:tr>
      <w:tr w:rsidR="007D1E74" w14:paraId="705751DD" w14:textId="77777777">
        <w:tc>
          <w:tcPr>
            <w:tcW w:w="607" w:type="pct"/>
            <w:vAlign w:val="center"/>
          </w:tcPr>
          <w:p w14:paraId="437060C6" w14:textId="77777777" w:rsidR="007D1E74" w:rsidRDefault="00A95641">
            <w:pPr>
              <w:jc w:val="center"/>
              <w:rPr>
                <w:spacing w:val="8"/>
                <w:kern w:val="0"/>
                <w:szCs w:val="21"/>
              </w:rPr>
            </w:pPr>
            <w:r>
              <w:rPr>
                <w:rFonts w:hint="eastAsia"/>
                <w:spacing w:val="8"/>
                <w:kern w:val="0"/>
                <w:szCs w:val="21"/>
              </w:rPr>
              <w:t>5</w:t>
            </w:r>
          </w:p>
        </w:tc>
        <w:tc>
          <w:tcPr>
            <w:tcW w:w="915" w:type="pct"/>
            <w:vAlign w:val="center"/>
          </w:tcPr>
          <w:p w14:paraId="493D664B" w14:textId="77777777" w:rsidR="007D1E74" w:rsidRDefault="00A95641">
            <w:pPr>
              <w:jc w:val="center"/>
              <w:rPr>
                <w:szCs w:val="21"/>
              </w:rPr>
            </w:pPr>
            <w:r>
              <w:rPr>
                <w:szCs w:val="21"/>
              </w:rPr>
              <w:t>涪阳坝</w:t>
            </w:r>
          </w:p>
        </w:tc>
        <w:tc>
          <w:tcPr>
            <w:tcW w:w="2228" w:type="pct"/>
            <w:vAlign w:val="center"/>
          </w:tcPr>
          <w:p w14:paraId="538A2755" w14:textId="77777777" w:rsidR="007D1E74" w:rsidRDefault="00A95641">
            <w:pPr>
              <w:jc w:val="center"/>
              <w:rPr>
                <w:szCs w:val="21"/>
              </w:rPr>
            </w:pPr>
            <w:r>
              <w:rPr>
                <w:szCs w:val="21"/>
              </w:rPr>
              <w:t>107°16'23.11"E</w:t>
            </w:r>
            <w:r>
              <w:rPr>
                <w:szCs w:val="21"/>
              </w:rPr>
              <w:t>，</w:t>
            </w:r>
            <w:r>
              <w:rPr>
                <w:szCs w:val="21"/>
              </w:rPr>
              <w:t>32°05'66.01"N</w:t>
            </w:r>
          </w:p>
        </w:tc>
        <w:tc>
          <w:tcPr>
            <w:tcW w:w="1250" w:type="pct"/>
            <w:vAlign w:val="center"/>
          </w:tcPr>
          <w:p w14:paraId="7613CAC8" w14:textId="77777777" w:rsidR="007D1E74" w:rsidRDefault="00A95641">
            <w:pPr>
              <w:jc w:val="center"/>
              <w:rPr>
                <w:szCs w:val="21"/>
              </w:rPr>
            </w:pPr>
            <w:r>
              <w:rPr>
                <w:szCs w:val="21"/>
              </w:rPr>
              <w:t>穿越点</w:t>
            </w:r>
            <w:r>
              <w:rPr>
                <w:szCs w:val="21"/>
              </w:rPr>
              <w:t>2</w:t>
            </w:r>
            <w:r>
              <w:rPr>
                <w:szCs w:val="21"/>
              </w:rPr>
              <w:t>下游</w:t>
            </w:r>
            <w:r>
              <w:rPr>
                <w:szCs w:val="21"/>
              </w:rPr>
              <w:t>15km</w:t>
            </w:r>
          </w:p>
        </w:tc>
      </w:tr>
    </w:tbl>
    <w:p w14:paraId="60EC8B30" w14:textId="77777777" w:rsidR="007D1E74" w:rsidRDefault="007D1E74">
      <w:pPr>
        <w:spacing w:line="360" w:lineRule="auto"/>
        <w:ind w:firstLineChars="200" w:firstLine="480"/>
        <w:rPr>
          <w:sz w:val="24"/>
          <w:szCs w:val="24"/>
        </w:rPr>
      </w:pPr>
    </w:p>
    <w:p w14:paraId="6DA48CAC" w14:textId="77777777" w:rsidR="007D1E74" w:rsidRDefault="007D1E74">
      <w:pPr>
        <w:spacing w:line="360" w:lineRule="auto"/>
        <w:ind w:firstLineChars="200" w:firstLine="480"/>
        <w:rPr>
          <w:sz w:val="24"/>
          <w:szCs w:val="24"/>
        </w:rPr>
      </w:pPr>
    </w:p>
    <w:p w14:paraId="5CB59353" w14:textId="77777777" w:rsidR="007D1E74" w:rsidRDefault="007D1E74">
      <w:pPr>
        <w:spacing w:line="360" w:lineRule="auto"/>
        <w:ind w:firstLineChars="200" w:firstLine="480"/>
        <w:rPr>
          <w:sz w:val="24"/>
          <w:szCs w:val="24"/>
        </w:rPr>
      </w:pPr>
    </w:p>
    <w:tbl>
      <w:tblPr>
        <w:tblStyle w:val="afff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7"/>
        <w:gridCol w:w="4509"/>
      </w:tblGrid>
      <w:tr w:rsidR="007D1E74" w14:paraId="1C538341" w14:textId="77777777">
        <w:trPr>
          <w:cantSplit/>
        </w:trPr>
        <w:tc>
          <w:tcPr>
            <w:tcW w:w="4649" w:type="dxa"/>
            <w:vAlign w:val="center"/>
          </w:tcPr>
          <w:p w14:paraId="3CE1C646" w14:textId="77777777" w:rsidR="007D1E74" w:rsidRDefault="00A95641">
            <w:pPr>
              <w:jc w:val="center"/>
              <w:rPr>
                <w:szCs w:val="21"/>
              </w:rPr>
            </w:pPr>
            <w:r>
              <w:rPr>
                <w:b/>
                <w:noProof/>
                <w:sz w:val="24"/>
                <w:szCs w:val="24"/>
              </w:rPr>
              <w:drawing>
                <wp:inline distT="0" distB="0" distL="0" distR="0" wp14:anchorId="45E9A07B" wp14:editId="2EBE5831">
                  <wp:extent cx="2590800" cy="1943100"/>
                  <wp:effectExtent l="0" t="0" r="0" b="7620"/>
                  <wp:docPr id="92" name="图片 92" descr="E:\21年\科研\油气田\资料\通江照片\2.何家坝处穿越点生境照\IMG_1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E:\21年\科研\油气田\资料\通江照片\2.何家坝处穿越点生境照\IMG_1103.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a:xfrm>
                            <a:off x="0" y="0"/>
                            <a:ext cx="2600515" cy="1950386"/>
                          </a:xfrm>
                          <a:prstGeom prst="rect">
                            <a:avLst/>
                          </a:prstGeom>
                          <a:noFill/>
                          <a:ln>
                            <a:noFill/>
                          </a:ln>
                        </pic:spPr>
                      </pic:pic>
                    </a:graphicData>
                  </a:graphic>
                </wp:inline>
              </w:drawing>
            </w:r>
          </w:p>
        </w:tc>
        <w:tc>
          <w:tcPr>
            <w:tcW w:w="4650" w:type="dxa"/>
            <w:vAlign w:val="center"/>
          </w:tcPr>
          <w:p w14:paraId="3C802D38" w14:textId="77777777" w:rsidR="007D1E74" w:rsidRDefault="00A95641">
            <w:pPr>
              <w:jc w:val="center"/>
              <w:rPr>
                <w:szCs w:val="21"/>
              </w:rPr>
            </w:pPr>
            <w:r>
              <w:rPr>
                <w:b/>
                <w:noProof/>
                <w:sz w:val="24"/>
                <w:szCs w:val="24"/>
              </w:rPr>
              <w:drawing>
                <wp:inline distT="0" distB="0" distL="0" distR="0" wp14:anchorId="574A0A8B" wp14:editId="4E835FEB">
                  <wp:extent cx="2565400" cy="1924050"/>
                  <wp:effectExtent l="0" t="0" r="10160" b="11430"/>
                  <wp:docPr id="93" name="图片 93" descr="E:\21年\科研\油气田\资料\通江照片\1.马1-13#井处穿越点生境照\IMG_1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E:\21年\科研\油气田\资料\通江照片\1.马1-13#井处穿越点生境照\IMG_1074.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a:xfrm>
                            <a:off x="0" y="0"/>
                            <a:ext cx="2566440" cy="1924830"/>
                          </a:xfrm>
                          <a:prstGeom prst="rect">
                            <a:avLst/>
                          </a:prstGeom>
                          <a:noFill/>
                          <a:ln>
                            <a:noFill/>
                          </a:ln>
                        </pic:spPr>
                      </pic:pic>
                    </a:graphicData>
                  </a:graphic>
                </wp:inline>
              </w:drawing>
            </w:r>
          </w:p>
        </w:tc>
      </w:tr>
      <w:tr w:rsidR="007D1E74" w14:paraId="145D9196" w14:textId="77777777">
        <w:tc>
          <w:tcPr>
            <w:tcW w:w="4649" w:type="dxa"/>
            <w:vAlign w:val="center"/>
          </w:tcPr>
          <w:p w14:paraId="4ADF1A25" w14:textId="77777777" w:rsidR="007D1E74" w:rsidRDefault="00A95641">
            <w:pPr>
              <w:jc w:val="center"/>
              <w:rPr>
                <w:szCs w:val="21"/>
              </w:rPr>
            </w:pPr>
            <w:r>
              <w:rPr>
                <w:szCs w:val="21"/>
              </w:rPr>
              <w:t>鱼类三场（何家坝）</w:t>
            </w:r>
          </w:p>
        </w:tc>
        <w:tc>
          <w:tcPr>
            <w:tcW w:w="4650" w:type="dxa"/>
            <w:vAlign w:val="center"/>
          </w:tcPr>
          <w:p w14:paraId="6BFAECDB" w14:textId="77777777" w:rsidR="007D1E74" w:rsidRDefault="00A95641">
            <w:pPr>
              <w:jc w:val="center"/>
              <w:rPr>
                <w:szCs w:val="21"/>
              </w:rPr>
            </w:pPr>
            <w:r>
              <w:rPr>
                <w:szCs w:val="21"/>
              </w:rPr>
              <w:t>鱼类三场（</w:t>
            </w:r>
            <w:r>
              <w:rPr>
                <w:rFonts w:hint="eastAsia"/>
                <w:szCs w:val="21"/>
              </w:rPr>
              <w:t>柏林潭</w:t>
            </w:r>
            <w:r>
              <w:rPr>
                <w:szCs w:val="21"/>
              </w:rPr>
              <w:t>）</w:t>
            </w:r>
          </w:p>
        </w:tc>
      </w:tr>
      <w:tr w:rsidR="007D1E74" w14:paraId="533B2688" w14:textId="77777777">
        <w:tc>
          <w:tcPr>
            <w:tcW w:w="4649" w:type="dxa"/>
            <w:vAlign w:val="center"/>
          </w:tcPr>
          <w:p w14:paraId="64A6DD10" w14:textId="77777777" w:rsidR="007D1E74" w:rsidRDefault="00A95641">
            <w:pPr>
              <w:jc w:val="center"/>
              <w:rPr>
                <w:szCs w:val="21"/>
              </w:rPr>
            </w:pPr>
            <w:r>
              <w:rPr>
                <w:b/>
                <w:noProof/>
                <w:sz w:val="24"/>
                <w:szCs w:val="24"/>
              </w:rPr>
              <w:lastRenderedPageBreak/>
              <w:drawing>
                <wp:inline distT="0" distB="0" distL="0" distR="0" wp14:anchorId="2103AA04" wp14:editId="249E27A8">
                  <wp:extent cx="2581275" cy="1936115"/>
                  <wp:effectExtent l="0" t="0" r="9525" b="14605"/>
                  <wp:docPr id="94" name="图片 94" descr="E:\21年\科研\油气田\资料\通江照片\3.李家坡处穿越点生境照\DJI_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E:\21年\科研\油气田\资料\通江照片\3.李家坡处穿越点生境照\DJI_0603.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a:xfrm>
                            <a:off x="0" y="0"/>
                            <a:ext cx="2584248" cy="1938671"/>
                          </a:xfrm>
                          <a:prstGeom prst="rect">
                            <a:avLst/>
                          </a:prstGeom>
                          <a:noFill/>
                          <a:ln>
                            <a:noFill/>
                          </a:ln>
                        </pic:spPr>
                      </pic:pic>
                    </a:graphicData>
                  </a:graphic>
                </wp:inline>
              </w:drawing>
            </w:r>
          </w:p>
        </w:tc>
        <w:tc>
          <w:tcPr>
            <w:tcW w:w="4650" w:type="dxa"/>
            <w:vAlign w:val="center"/>
          </w:tcPr>
          <w:p w14:paraId="707BAA24" w14:textId="77777777" w:rsidR="007D1E74" w:rsidRDefault="00A95641">
            <w:pPr>
              <w:jc w:val="center"/>
              <w:rPr>
                <w:szCs w:val="21"/>
              </w:rPr>
            </w:pPr>
            <w:r>
              <w:rPr>
                <w:b/>
                <w:noProof/>
                <w:sz w:val="24"/>
                <w:szCs w:val="24"/>
              </w:rPr>
              <w:drawing>
                <wp:inline distT="0" distB="0" distL="0" distR="0" wp14:anchorId="62642774" wp14:editId="374A7BA9">
                  <wp:extent cx="2569845" cy="1927860"/>
                  <wp:effectExtent l="0" t="0" r="5715" b="7620"/>
                  <wp:docPr id="95" name="图片 95" descr="E:\21年\科研\油气田\资料\通江照片\4.后坝湾处穿越点生境照\DJI_0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E:\21年\科研\油气田\资料\通江照片\4.后坝湾处穿越点生境照\DJI_0640.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a:xfrm>
                            <a:off x="0" y="0"/>
                            <a:ext cx="2581588" cy="1936676"/>
                          </a:xfrm>
                          <a:prstGeom prst="rect">
                            <a:avLst/>
                          </a:prstGeom>
                          <a:noFill/>
                          <a:ln>
                            <a:noFill/>
                          </a:ln>
                        </pic:spPr>
                      </pic:pic>
                    </a:graphicData>
                  </a:graphic>
                </wp:inline>
              </w:drawing>
            </w:r>
          </w:p>
        </w:tc>
      </w:tr>
      <w:tr w:rsidR="007D1E74" w14:paraId="3AA887DF" w14:textId="77777777">
        <w:tc>
          <w:tcPr>
            <w:tcW w:w="4649" w:type="dxa"/>
            <w:vAlign w:val="center"/>
          </w:tcPr>
          <w:p w14:paraId="1F420833" w14:textId="77777777" w:rsidR="007D1E74" w:rsidRDefault="00A95641">
            <w:pPr>
              <w:jc w:val="center"/>
              <w:rPr>
                <w:szCs w:val="21"/>
              </w:rPr>
            </w:pPr>
            <w:r>
              <w:rPr>
                <w:szCs w:val="21"/>
              </w:rPr>
              <w:t>鱼类三场（</w:t>
            </w:r>
            <w:r>
              <w:rPr>
                <w:rFonts w:hint="eastAsia"/>
                <w:szCs w:val="21"/>
              </w:rPr>
              <w:t>金家坪</w:t>
            </w:r>
            <w:r>
              <w:rPr>
                <w:szCs w:val="21"/>
              </w:rPr>
              <w:t>）</w:t>
            </w:r>
          </w:p>
        </w:tc>
        <w:tc>
          <w:tcPr>
            <w:tcW w:w="4650" w:type="dxa"/>
            <w:vAlign w:val="center"/>
          </w:tcPr>
          <w:p w14:paraId="4341495F" w14:textId="77777777" w:rsidR="007D1E74" w:rsidRDefault="00A95641">
            <w:pPr>
              <w:jc w:val="center"/>
              <w:rPr>
                <w:szCs w:val="21"/>
              </w:rPr>
            </w:pPr>
            <w:r>
              <w:rPr>
                <w:szCs w:val="21"/>
              </w:rPr>
              <w:t>鱼类三场（</w:t>
            </w:r>
            <w:r>
              <w:rPr>
                <w:rFonts w:hint="eastAsia"/>
                <w:szCs w:val="21"/>
              </w:rPr>
              <w:t>涪阳坝</w:t>
            </w:r>
            <w:r>
              <w:rPr>
                <w:szCs w:val="21"/>
              </w:rPr>
              <w:t>）</w:t>
            </w:r>
          </w:p>
        </w:tc>
      </w:tr>
    </w:tbl>
    <w:p w14:paraId="6E713EFD" w14:textId="77777777" w:rsidR="007D1E74" w:rsidRDefault="00A95641">
      <w:pPr>
        <w:pStyle w:val="afffff7"/>
        <w:ind w:firstLine="482"/>
      </w:pPr>
      <w:r>
        <w:t>6</w:t>
      </w:r>
      <w:r>
        <w:rPr>
          <w:rFonts w:hint="eastAsia"/>
        </w:rPr>
        <w:t>、工程涉及的功能区主要功能分析</w:t>
      </w:r>
    </w:p>
    <w:p w14:paraId="098A6CF8" w14:textId="77777777" w:rsidR="007D1E74" w:rsidRDefault="00A95641">
      <w:pPr>
        <w:spacing w:line="360" w:lineRule="auto"/>
        <w:ind w:firstLineChars="200" w:firstLine="480"/>
        <w:rPr>
          <w:sz w:val="24"/>
          <w:szCs w:val="24"/>
        </w:rPr>
      </w:pPr>
      <w:r>
        <w:rPr>
          <w:rFonts w:hint="eastAsia"/>
          <w:sz w:val="24"/>
          <w:szCs w:val="24"/>
        </w:rPr>
        <w:t>根据国务院办公厅《关于发布河北青崖寨等</w:t>
      </w:r>
      <w:r>
        <w:rPr>
          <w:rFonts w:hint="eastAsia"/>
          <w:sz w:val="24"/>
          <w:szCs w:val="24"/>
        </w:rPr>
        <w:t>28</w:t>
      </w:r>
      <w:r>
        <w:rPr>
          <w:rFonts w:hint="eastAsia"/>
          <w:sz w:val="24"/>
          <w:szCs w:val="24"/>
        </w:rPr>
        <w:t>处新建国家级自然保护区名单的通知》（国办发〔</w:t>
      </w:r>
      <w:r>
        <w:rPr>
          <w:rFonts w:hint="eastAsia"/>
          <w:sz w:val="24"/>
          <w:szCs w:val="24"/>
        </w:rPr>
        <w:t>2012</w:t>
      </w:r>
      <w:r>
        <w:rPr>
          <w:rFonts w:hint="eastAsia"/>
          <w:sz w:val="24"/>
          <w:szCs w:val="24"/>
        </w:rPr>
        <w:t>〕</w:t>
      </w:r>
      <w:r>
        <w:rPr>
          <w:rFonts w:hint="eastAsia"/>
          <w:sz w:val="24"/>
          <w:szCs w:val="24"/>
        </w:rPr>
        <w:t>7</w:t>
      </w:r>
      <w:r>
        <w:rPr>
          <w:rFonts w:hint="eastAsia"/>
          <w:sz w:val="24"/>
          <w:szCs w:val="24"/>
        </w:rPr>
        <w:t>号），四川诺水河珍稀水生动物自然保护区位于四川省通江县大、小通江河河段上，保护区河流全长</w:t>
      </w:r>
      <w:r>
        <w:rPr>
          <w:rFonts w:hint="eastAsia"/>
          <w:sz w:val="24"/>
          <w:szCs w:val="24"/>
        </w:rPr>
        <w:t>217km</w:t>
      </w:r>
      <w:r>
        <w:rPr>
          <w:rFonts w:hint="eastAsia"/>
          <w:sz w:val="24"/>
          <w:szCs w:val="24"/>
        </w:rPr>
        <w:t>（包括大通江河</w:t>
      </w:r>
      <w:r>
        <w:rPr>
          <w:rFonts w:hint="eastAsia"/>
          <w:sz w:val="24"/>
          <w:szCs w:val="24"/>
        </w:rPr>
        <w:t>135km</w:t>
      </w:r>
      <w:r>
        <w:rPr>
          <w:rFonts w:hint="eastAsia"/>
          <w:sz w:val="24"/>
          <w:szCs w:val="24"/>
        </w:rPr>
        <w:t>，小通江河</w:t>
      </w:r>
      <w:r>
        <w:rPr>
          <w:rFonts w:hint="eastAsia"/>
          <w:sz w:val="24"/>
          <w:szCs w:val="24"/>
        </w:rPr>
        <w:t>82km</w:t>
      </w:r>
      <w:r>
        <w:rPr>
          <w:rFonts w:hint="eastAsia"/>
          <w:sz w:val="24"/>
          <w:szCs w:val="24"/>
        </w:rPr>
        <w:t>），总面积</w:t>
      </w:r>
      <w:r>
        <w:rPr>
          <w:rFonts w:hint="eastAsia"/>
          <w:sz w:val="24"/>
          <w:szCs w:val="24"/>
        </w:rPr>
        <w:t>9220hm</w:t>
      </w:r>
      <w:r>
        <w:rPr>
          <w:rFonts w:hint="eastAsia"/>
          <w:sz w:val="24"/>
          <w:szCs w:val="24"/>
          <w:vertAlign w:val="superscript"/>
        </w:rPr>
        <w:t>2</w:t>
      </w:r>
      <w:r>
        <w:rPr>
          <w:rFonts w:hint="eastAsia"/>
          <w:sz w:val="24"/>
          <w:szCs w:val="24"/>
        </w:rPr>
        <w:t>。四川诺水河自然保护区保护对象是大鲵、水獭、岩原鲤、重口裂腹鱼、青石爬鮡、鳖、乌龟等珍稀水生动物，中华倒刺鲃、白甲鱼、华鲮、南方鲇、鳜、黄颡鱼等名贵经济鱼类，以及水生生态系统。通南巴气田马</w:t>
      </w:r>
      <w:r>
        <w:rPr>
          <w:rFonts w:hint="eastAsia"/>
          <w:sz w:val="24"/>
          <w:szCs w:val="24"/>
        </w:rPr>
        <w:t>1</w:t>
      </w:r>
      <w:r>
        <w:rPr>
          <w:rFonts w:hint="eastAsia"/>
          <w:sz w:val="24"/>
          <w:szCs w:val="24"/>
        </w:rPr>
        <w:t>马</w:t>
      </w:r>
      <w:r>
        <w:rPr>
          <w:rFonts w:hint="eastAsia"/>
          <w:sz w:val="24"/>
          <w:szCs w:val="24"/>
        </w:rPr>
        <w:t>2</w:t>
      </w:r>
      <w:r>
        <w:rPr>
          <w:rFonts w:hint="eastAsia"/>
          <w:sz w:val="24"/>
          <w:szCs w:val="24"/>
        </w:rPr>
        <w:t>块产能建设项目（二期）地面集输工程</w:t>
      </w:r>
      <w:r>
        <w:rPr>
          <w:sz w:val="24"/>
          <w:szCs w:val="24"/>
        </w:rPr>
        <w:t>3</w:t>
      </w:r>
      <w:r>
        <w:rPr>
          <w:rFonts w:hint="eastAsia"/>
          <w:sz w:val="24"/>
          <w:szCs w:val="24"/>
        </w:rPr>
        <w:t>处穿越点，涉及保护区的缓冲区，是主要保护对象的洄游通道。工程河段没有主要保护对象的产卵场分布，仅分布有小型鱼类的小规模三场。可见，工程河段为保护区的鱼类提供洄游通道，同时也因为河道有多样的生境条件，为一些小型鱼类提供索饵、产卵和越冬需求。因此，工程不涉及重点保护对象的重要生境。</w:t>
      </w:r>
    </w:p>
    <w:p w14:paraId="1E831FB7" w14:textId="77777777" w:rsidR="007D1E74" w:rsidRDefault="00A95641">
      <w:pPr>
        <w:pStyle w:val="afffff7"/>
        <w:ind w:firstLine="482"/>
      </w:pPr>
      <w:r>
        <w:t>7</w:t>
      </w:r>
      <w:r>
        <w:rPr>
          <w:rFonts w:hint="eastAsia"/>
        </w:rPr>
        <w:t>、生态环境现状总体评价</w:t>
      </w:r>
    </w:p>
    <w:p w14:paraId="27647D1C" w14:textId="77777777" w:rsidR="007D1E74" w:rsidRDefault="00A95641">
      <w:pPr>
        <w:spacing w:line="360" w:lineRule="auto"/>
        <w:ind w:firstLineChars="200" w:firstLine="480"/>
        <w:rPr>
          <w:sz w:val="24"/>
          <w:szCs w:val="24"/>
        </w:rPr>
      </w:pPr>
      <w:r>
        <w:rPr>
          <w:rFonts w:hint="eastAsia"/>
          <w:sz w:val="24"/>
          <w:szCs w:val="24"/>
        </w:rPr>
        <w:t>诺水河自然资源保护区内主要河流两条（小通江河赤江以上县境内河段，长</w:t>
      </w:r>
      <w:r>
        <w:rPr>
          <w:rFonts w:hint="eastAsia"/>
          <w:sz w:val="24"/>
          <w:szCs w:val="24"/>
        </w:rPr>
        <w:t>132km</w:t>
      </w:r>
      <w:r>
        <w:rPr>
          <w:rFonts w:hint="eastAsia"/>
          <w:sz w:val="24"/>
          <w:szCs w:val="24"/>
        </w:rPr>
        <w:t>（干流</w:t>
      </w:r>
      <w:r>
        <w:rPr>
          <w:rFonts w:hint="eastAsia"/>
          <w:sz w:val="24"/>
          <w:szCs w:val="24"/>
        </w:rPr>
        <w:t>+</w:t>
      </w:r>
      <w:r>
        <w:rPr>
          <w:rFonts w:hint="eastAsia"/>
          <w:sz w:val="24"/>
          <w:szCs w:val="24"/>
        </w:rPr>
        <w:t>鲁坝河），大通江河碧溪水文站以上县境内河段，长</w:t>
      </w:r>
      <w:r>
        <w:rPr>
          <w:rFonts w:hint="eastAsia"/>
          <w:sz w:val="24"/>
          <w:szCs w:val="24"/>
        </w:rPr>
        <w:t>105km</w:t>
      </w:r>
      <w:r>
        <w:rPr>
          <w:rFonts w:hint="eastAsia"/>
          <w:sz w:val="24"/>
          <w:szCs w:val="24"/>
        </w:rPr>
        <w:t>（干流</w:t>
      </w:r>
      <w:r>
        <w:rPr>
          <w:rFonts w:hint="eastAsia"/>
          <w:sz w:val="24"/>
          <w:szCs w:val="24"/>
        </w:rPr>
        <w:t>+</w:t>
      </w:r>
      <w:r>
        <w:rPr>
          <w:rFonts w:hint="eastAsia"/>
          <w:sz w:val="24"/>
          <w:szCs w:val="24"/>
        </w:rPr>
        <w:t>钢溪河），河道较宽阔、平缓，多弯曲，宽窄变化，滩潭交替，多边滩、石嵌、泉眼和岩洞，河底主要由砂、砾石组成；水流缓急交错。</w:t>
      </w:r>
    </w:p>
    <w:p w14:paraId="5520558A" w14:textId="77777777" w:rsidR="007D1E74" w:rsidRDefault="00A95641">
      <w:pPr>
        <w:spacing w:line="360" w:lineRule="auto"/>
        <w:ind w:firstLineChars="200" w:firstLine="480"/>
        <w:rPr>
          <w:sz w:val="24"/>
          <w:szCs w:val="24"/>
        </w:rPr>
      </w:pPr>
      <w:r>
        <w:rPr>
          <w:rFonts w:hint="eastAsia"/>
          <w:sz w:val="24"/>
          <w:szCs w:val="24"/>
        </w:rPr>
        <w:t>大通江河从发源处至小江口与小通江会合处流程</w:t>
      </w:r>
      <w:r>
        <w:rPr>
          <w:rFonts w:hint="eastAsia"/>
          <w:sz w:val="24"/>
          <w:szCs w:val="24"/>
        </w:rPr>
        <w:t>142.</w:t>
      </w:r>
      <w:r>
        <w:rPr>
          <w:sz w:val="24"/>
          <w:szCs w:val="24"/>
        </w:rPr>
        <w:t>1</w:t>
      </w:r>
      <w:r>
        <w:rPr>
          <w:rFonts w:hint="eastAsia"/>
          <w:sz w:val="24"/>
          <w:szCs w:val="24"/>
        </w:rPr>
        <w:t>km</w:t>
      </w:r>
      <w:r>
        <w:rPr>
          <w:rFonts w:hint="eastAsia"/>
          <w:sz w:val="24"/>
          <w:szCs w:val="24"/>
        </w:rPr>
        <w:t>，其中县境内长</w:t>
      </w:r>
      <w:r>
        <w:rPr>
          <w:rFonts w:hint="eastAsia"/>
          <w:sz w:val="24"/>
          <w:szCs w:val="24"/>
        </w:rPr>
        <w:t>94.6km</w:t>
      </w:r>
      <w:r>
        <w:rPr>
          <w:rFonts w:hint="eastAsia"/>
          <w:sz w:val="24"/>
          <w:szCs w:val="24"/>
        </w:rPr>
        <w:t>，境内流域面积</w:t>
      </w:r>
      <w:r>
        <w:rPr>
          <w:rFonts w:hint="eastAsia"/>
          <w:sz w:val="24"/>
          <w:szCs w:val="24"/>
        </w:rPr>
        <w:t>2057.4km</w:t>
      </w:r>
      <w:r>
        <w:rPr>
          <w:sz w:val="24"/>
          <w:szCs w:val="24"/>
          <w:vertAlign w:val="superscript"/>
        </w:rPr>
        <w:t>2</w:t>
      </w:r>
      <w:r>
        <w:rPr>
          <w:rFonts w:hint="eastAsia"/>
          <w:sz w:val="24"/>
          <w:szCs w:val="24"/>
        </w:rPr>
        <w:t>，多年平均流量</w:t>
      </w:r>
      <w:r>
        <w:rPr>
          <w:rFonts w:hint="eastAsia"/>
          <w:sz w:val="24"/>
          <w:szCs w:val="24"/>
        </w:rPr>
        <w:t>15.53</w:t>
      </w:r>
      <w:r>
        <w:rPr>
          <w:rFonts w:hint="eastAsia"/>
          <w:sz w:val="24"/>
          <w:szCs w:val="24"/>
        </w:rPr>
        <w:t>亿</w:t>
      </w:r>
      <w:r>
        <w:rPr>
          <w:rFonts w:hint="eastAsia"/>
          <w:sz w:val="24"/>
          <w:szCs w:val="24"/>
        </w:rPr>
        <w:t>m</w:t>
      </w:r>
      <w:r>
        <w:rPr>
          <w:sz w:val="24"/>
          <w:szCs w:val="24"/>
          <w:vertAlign w:val="superscript"/>
        </w:rPr>
        <w:t>3</w:t>
      </w:r>
      <w:r>
        <w:rPr>
          <w:rFonts w:hint="eastAsia"/>
          <w:sz w:val="24"/>
          <w:szCs w:val="24"/>
        </w:rPr>
        <w:t>。小通江河从发源处至小江口与大通江会合处流程</w:t>
      </w:r>
      <w:r>
        <w:rPr>
          <w:rFonts w:hint="eastAsia"/>
          <w:sz w:val="24"/>
          <w:szCs w:val="24"/>
        </w:rPr>
        <w:t>153.8km</w:t>
      </w:r>
      <w:r>
        <w:rPr>
          <w:rFonts w:hint="eastAsia"/>
          <w:sz w:val="24"/>
          <w:szCs w:val="24"/>
        </w:rPr>
        <w:t>，其中县境内长</w:t>
      </w:r>
      <w:r>
        <w:rPr>
          <w:rFonts w:hint="eastAsia"/>
          <w:sz w:val="24"/>
          <w:szCs w:val="24"/>
        </w:rPr>
        <w:t>108.3km</w:t>
      </w:r>
      <w:r>
        <w:rPr>
          <w:rFonts w:hint="eastAsia"/>
          <w:sz w:val="24"/>
          <w:szCs w:val="24"/>
        </w:rPr>
        <w:t>，境内流域面积</w:t>
      </w:r>
      <w:r>
        <w:rPr>
          <w:rFonts w:hint="eastAsia"/>
          <w:sz w:val="24"/>
          <w:szCs w:val="24"/>
        </w:rPr>
        <w:t>1102.9km</w:t>
      </w:r>
      <w:r>
        <w:rPr>
          <w:sz w:val="24"/>
          <w:szCs w:val="24"/>
          <w:vertAlign w:val="superscript"/>
        </w:rPr>
        <w:t>2</w:t>
      </w:r>
      <w:r>
        <w:rPr>
          <w:rFonts w:hint="eastAsia"/>
          <w:sz w:val="24"/>
          <w:szCs w:val="24"/>
        </w:rPr>
        <w:t>，多年平均流量</w:t>
      </w:r>
      <w:r>
        <w:rPr>
          <w:rFonts w:hint="eastAsia"/>
          <w:sz w:val="24"/>
          <w:szCs w:val="24"/>
        </w:rPr>
        <w:t>8.33</w:t>
      </w:r>
      <w:r>
        <w:rPr>
          <w:rFonts w:hint="eastAsia"/>
          <w:sz w:val="24"/>
          <w:szCs w:val="24"/>
        </w:rPr>
        <w:t>亿</w:t>
      </w:r>
      <w:r>
        <w:rPr>
          <w:rFonts w:hint="eastAsia"/>
          <w:sz w:val="24"/>
          <w:szCs w:val="24"/>
        </w:rPr>
        <w:t>m</w:t>
      </w:r>
      <w:r>
        <w:rPr>
          <w:sz w:val="24"/>
          <w:szCs w:val="24"/>
          <w:vertAlign w:val="superscript"/>
        </w:rPr>
        <w:t>3</w:t>
      </w:r>
      <w:r>
        <w:rPr>
          <w:rFonts w:hint="eastAsia"/>
          <w:sz w:val="24"/>
          <w:szCs w:val="24"/>
        </w:rPr>
        <w:t>。</w:t>
      </w:r>
    </w:p>
    <w:p w14:paraId="547E7C14" w14:textId="77777777" w:rsidR="007D1E74" w:rsidRDefault="00A95641">
      <w:pPr>
        <w:spacing w:line="360" w:lineRule="auto"/>
        <w:ind w:firstLineChars="200" w:firstLine="480"/>
        <w:rPr>
          <w:sz w:val="24"/>
          <w:szCs w:val="24"/>
        </w:rPr>
      </w:pPr>
      <w:r>
        <w:rPr>
          <w:rFonts w:hint="eastAsia"/>
          <w:sz w:val="24"/>
          <w:szCs w:val="24"/>
        </w:rPr>
        <w:t>在工程影响河段的</w:t>
      </w:r>
      <w:r>
        <w:rPr>
          <w:rFonts w:hint="eastAsia"/>
          <w:sz w:val="24"/>
          <w:szCs w:val="24"/>
        </w:rPr>
        <w:t>4</w:t>
      </w:r>
      <w:r>
        <w:rPr>
          <w:rFonts w:hint="eastAsia"/>
          <w:sz w:val="24"/>
          <w:szCs w:val="24"/>
        </w:rPr>
        <w:t>个采样点上共采集到浮游植物</w:t>
      </w:r>
      <w:r>
        <w:rPr>
          <w:rFonts w:hint="eastAsia"/>
          <w:sz w:val="24"/>
          <w:szCs w:val="24"/>
        </w:rPr>
        <w:t>6</w:t>
      </w:r>
      <w:r>
        <w:rPr>
          <w:rFonts w:hint="eastAsia"/>
          <w:sz w:val="24"/>
          <w:szCs w:val="24"/>
        </w:rPr>
        <w:t>门</w:t>
      </w:r>
      <w:r>
        <w:rPr>
          <w:rFonts w:hint="eastAsia"/>
          <w:sz w:val="24"/>
          <w:szCs w:val="24"/>
        </w:rPr>
        <w:t>20</w:t>
      </w:r>
      <w:r>
        <w:rPr>
          <w:rFonts w:hint="eastAsia"/>
          <w:sz w:val="24"/>
          <w:szCs w:val="24"/>
        </w:rPr>
        <w:t>科</w:t>
      </w:r>
      <w:r>
        <w:rPr>
          <w:rFonts w:hint="eastAsia"/>
          <w:sz w:val="24"/>
          <w:szCs w:val="24"/>
        </w:rPr>
        <w:t>27</w:t>
      </w:r>
      <w:r>
        <w:rPr>
          <w:rFonts w:hint="eastAsia"/>
          <w:sz w:val="24"/>
          <w:szCs w:val="24"/>
        </w:rPr>
        <w:t>属</w:t>
      </w:r>
      <w:r>
        <w:rPr>
          <w:rFonts w:hint="eastAsia"/>
          <w:sz w:val="24"/>
          <w:szCs w:val="24"/>
        </w:rPr>
        <w:t>54</w:t>
      </w:r>
      <w:r>
        <w:rPr>
          <w:rFonts w:hint="eastAsia"/>
          <w:sz w:val="24"/>
          <w:szCs w:val="24"/>
        </w:rPr>
        <w:t>种（包括变种）。其中硅藻门有</w:t>
      </w:r>
      <w:r>
        <w:rPr>
          <w:rFonts w:hint="eastAsia"/>
          <w:sz w:val="24"/>
          <w:szCs w:val="24"/>
        </w:rPr>
        <w:t>7</w:t>
      </w:r>
      <w:r>
        <w:rPr>
          <w:rFonts w:hint="eastAsia"/>
          <w:sz w:val="24"/>
          <w:szCs w:val="24"/>
        </w:rPr>
        <w:t>科</w:t>
      </w:r>
      <w:r>
        <w:rPr>
          <w:rFonts w:hint="eastAsia"/>
          <w:sz w:val="24"/>
          <w:szCs w:val="24"/>
        </w:rPr>
        <w:t>12</w:t>
      </w:r>
      <w:r>
        <w:rPr>
          <w:rFonts w:hint="eastAsia"/>
          <w:sz w:val="24"/>
          <w:szCs w:val="24"/>
        </w:rPr>
        <w:t>属</w:t>
      </w:r>
      <w:r>
        <w:rPr>
          <w:rFonts w:hint="eastAsia"/>
          <w:sz w:val="24"/>
          <w:szCs w:val="24"/>
        </w:rPr>
        <w:t>34</w:t>
      </w:r>
      <w:r>
        <w:rPr>
          <w:rFonts w:hint="eastAsia"/>
          <w:sz w:val="24"/>
          <w:szCs w:val="24"/>
        </w:rPr>
        <w:t>种，占浮游植物种数的</w:t>
      </w:r>
      <w:r>
        <w:rPr>
          <w:rFonts w:hint="eastAsia"/>
          <w:sz w:val="24"/>
          <w:szCs w:val="24"/>
        </w:rPr>
        <w:t>62.96%</w:t>
      </w:r>
      <w:r>
        <w:rPr>
          <w:rFonts w:hint="eastAsia"/>
          <w:sz w:val="24"/>
          <w:szCs w:val="24"/>
        </w:rPr>
        <w:t>；绿藻门</w:t>
      </w:r>
      <w:r>
        <w:rPr>
          <w:rFonts w:hint="eastAsia"/>
          <w:sz w:val="24"/>
          <w:szCs w:val="24"/>
        </w:rPr>
        <w:t>8</w:t>
      </w:r>
      <w:r>
        <w:rPr>
          <w:rFonts w:hint="eastAsia"/>
          <w:sz w:val="24"/>
          <w:szCs w:val="24"/>
        </w:rPr>
        <w:t>科</w:t>
      </w:r>
      <w:r>
        <w:rPr>
          <w:rFonts w:hint="eastAsia"/>
          <w:sz w:val="24"/>
          <w:szCs w:val="24"/>
        </w:rPr>
        <w:t>9</w:t>
      </w:r>
      <w:r>
        <w:rPr>
          <w:rFonts w:hint="eastAsia"/>
          <w:sz w:val="24"/>
          <w:szCs w:val="24"/>
        </w:rPr>
        <w:t>属</w:t>
      </w:r>
      <w:r>
        <w:rPr>
          <w:rFonts w:hint="eastAsia"/>
          <w:sz w:val="24"/>
          <w:szCs w:val="24"/>
        </w:rPr>
        <w:t>14</w:t>
      </w:r>
      <w:r>
        <w:rPr>
          <w:rFonts w:hint="eastAsia"/>
          <w:sz w:val="24"/>
          <w:szCs w:val="24"/>
        </w:rPr>
        <w:lastRenderedPageBreak/>
        <w:t>种，占浮游植物种数的</w:t>
      </w:r>
      <w:r>
        <w:rPr>
          <w:rFonts w:hint="eastAsia"/>
          <w:sz w:val="24"/>
          <w:szCs w:val="24"/>
        </w:rPr>
        <w:t>25.94%</w:t>
      </w:r>
      <w:r>
        <w:rPr>
          <w:rFonts w:hint="eastAsia"/>
          <w:sz w:val="24"/>
          <w:szCs w:val="24"/>
        </w:rPr>
        <w:t>；蓝藻门</w:t>
      </w:r>
      <w:r>
        <w:rPr>
          <w:rFonts w:hint="eastAsia"/>
          <w:sz w:val="24"/>
          <w:szCs w:val="24"/>
        </w:rPr>
        <w:t>2</w:t>
      </w:r>
      <w:r>
        <w:rPr>
          <w:rFonts w:hint="eastAsia"/>
          <w:sz w:val="24"/>
          <w:szCs w:val="24"/>
        </w:rPr>
        <w:t>科</w:t>
      </w:r>
      <w:r>
        <w:rPr>
          <w:rFonts w:hint="eastAsia"/>
          <w:sz w:val="24"/>
          <w:szCs w:val="24"/>
        </w:rPr>
        <w:t>3</w:t>
      </w:r>
      <w:r>
        <w:rPr>
          <w:rFonts w:hint="eastAsia"/>
          <w:sz w:val="24"/>
          <w:szCs w:val="24"/>
        </w:rPr>
        <w:t>属</w:t>
      </w:r>
      <w:r>
        <w:rPr>
          <w:rFonts w:hint="eastAsia"/>
          <w:sz w:val="24"/>
          <w:szCs w:val="24"/>
        </w:rPr>
        <w:t>3</w:t>
      </w:r>
      <w:r>
        <w:rPr>
          <w:rFonts w:hint="eastAsia"/>
          <w:sz w:val="24"/>
          <w:szCs w:val="24"/>
        </w:rPr>
        <w:t>种，占浮游植物种数的</w:t>
      </w:r>
      <w:r>
        <w:rPr>
          <w:rFonts w:hint="eastAsia"/>
          <w:sz w:val="24"/>
          <w:szCs w:val="24"/>
        </w:rPr>
        <w:t>5.55%</w:t>
      </w:r>
      <w:r>
        <w:rPr>
          <w:rFonts w:hint="eastAsia"/>
          <w:sz w:val="24"/>
          <w:szCs w:val="24"/>
        </w:rPr>
        <w:t>；甲藻门、隐藻门和黄藻门均为</w:t>
      </w:r>
      <w:r>
        <w:rPr>
          <w:rFonts w:hint="eastAsia"/>
          <w:sz w:val="24"/>
          <w:szCs w:val="24"/>
        </w:rPr>
        <w:t>1</w:t>
      </w:r>
      <w:r>
        <w:rPr>
          <w:rFonts w:hint="eastAsia"/>
          <w:sz w:val="24"/>
          <w:szCs w:val="24"/>
        </w:rPr>
        <w:t>科</w:t>
      </w:r>
      <w:r>
        <w:rPr>
          <w:rFonts w:hint="eastAsia"/>
          <w:sz w:val="24"/>
          <w:szCs w:val="24"/>
        </w:rPr>
        <w:t>1</w:t>
      </w:r>
      <w:r>
        <w:rPr>
          <w:rFonts w:hint="eastAsia"/>
          <w:sz w:val="24"/>
          <w:szCs w:val="24"/>
        </w:rPr>
        <w:t>属</w:t>
      </w:r>
      <w:r>
        <w:rPr>
          <w:rFonts w:hint="eastAsia"/>
          <w:sz w:val="24"/>
          <w:szCs w:val="24"/>
        </w:rPr>
        <w:t>1</w:t>
      </w:r>
      <w:r>
        <w:rPr>
          <w:rFonts w:hint="eastAsia"/>
          <w:sz w:val="24"/>
          <w:szCs w:val="24"/>
        </w:rPr>
        <w:t>种，分别占浮游植物种数的</w:t>
      </w:r>
      <w:r>
        <w:rPr>
          <w:rFonts w:hint="eastAsia"/>
          <w:sz w:val="24"/>
          <w:szCs w:val="24"/>
        </w:rPr>
        <w:t>1.85%</w:t>
      </w:r>
      <w:r>
        <w:rPr>
          <w:rFonts w:hint="eastAsia"/>
          <w:sz w:val="24"/>
          <w:szCs w:val="24"/>
        </w:rPr>
        <w:t>。在</w:t>
      </w:r>
      <w:r>
        <w:rPr>
          <w:rFonts w:hint="eastAsia"/>
          <w:sz w:val="24"/>
          <w:szCs w:val="24"/>
        </w:rPr>
        <w:t>4</w:t>
      </w:r>
      <w:r>
        <w:rPr>
          <w:rFonts w:hint="eastAsia"/>
          <w:sz w:val="24"/>
          <w:szCs w:val="24"/>
        </w:rPr>
        <w:t>个采样点采集到浮游动物</w:t>
      </w:r>
      <w:r>
        <w:rPr>
          <w:rFonts w:hint="eastAsia"/>
          <w:sz w:val="24"/>
          <w:szCs w:val="24"/>
        </w:rPr>
        <w:t>3</w:t>
      </w:r>
      <w:r>
        <w:rPr>
          <w:rFonts w:hint="eastAsia"/>
          <w:sz w:val="24"/>
          <w:szCs w:val="24"/>
        </w:rPr>
        <w:t>类</w:t>
      </w:r>
      <w:r>
        <w:rPr>
          <w:rFonts w:hint="eastAsia"/>
          <w:sz w:val="24"/>
          <w:szCs w:val="24"/>
        </w:rPr>
        <w:t>7</w:t>
      </w:r>
      <w:r>
        <w:rPr>
          <w:rFonts w:hint="eastAsia"/>
          <w:sz w:val="24"/>
          <w:szCs w:val="24"/>
        </w:rPr>
        <w:t>种，其中原生动物</w:t>
      </w:r>
      <w:r>
        <w:rPr>
          <w:rFonts w:hint="eastAsia"/>
          <w:sz w:val="24"/>
          <w:szCs w:val="24"/>
        </w:rPr>
        <w:t>2</w:t>
      </w:r>
      <w:r>
        <w:rPr>
          <w:rFonts w:hint="eastAsia"/>
          <w:sz w:val="24"/>
          <w:szCs w:val="24"/>
        </w:rPr>
        <w:t>种，占种数的</w:t>
      </w:r>
      <w:r>
        <w:rPr>
          <w:rFonts w:hint="eastAsia"/>
          <w:sz w:val="24"/>
          <w:szCs w:val="24"/>
        </w:rPr>
        <w:t>28.57%</w:t>
      </w:r>
      <w:r>
        <w:rPr>
          <w:rFonts w:hint="eastAsia"/>
          <w:sz w:val="24"/>
          <w:szCs w:val="24"/>
        </w:rPr>
        <w:t>；轮虫</w:t>
      </w:r>
      <w:r>
        <w:rPr>
          <w:rFonts w:hint="eastAsia"/>
          <w:sz w:val="24"/>
          <w:szCs w:val="24"/>
        </w:rPr>
        <w:t>3</w:t>
      </w:r>
      <w:r>
        <w:rPr>
          <w:rFonts w:hint="eastAsia"/>
          <w:sz w:val="24"/>
          <w:szCs w:val="24"/>
        </w:rPr>
        <w:t>种，占种数的</w:t>
      </w:r>
      <w:r>
        <w:rPr>
          <w:rFonts w:hint="eastAsia"/>
          <w:sz w:val="24"/>
          <w:szCs w:val="24"/>
        </w:rPr>
        <w:t>42.86%</w:t>
      </w:r>
      <w:r>
        <w:rPr>
          <w:rFonts w:hint="eastAsia"/>
          <w:sz w:val="24"/>
          <w:szCs w:val="24"/>
        </w:rPr>
        <w:t>；桡足类</w:t>
      </w:r>
      <w:r>
        <w:rPr>
          <w:rFonts w:hint="eastAsia"/>
          <w:sz w:val="24"/>
          <w:szCs w:val="24"/>
        </w:rPr>
        <w:t>2</w:t>
      </w:r>
      <w:r>
        <w:rPr>
          <w:rFonts w:hint="eastAsia"/>
          <w:sz w:val="24"/>
          <w:szCs w:val="24"/>
        </w:rPr>
        <w:t>种，占种数的</w:t>
      </w:r>
      <w:r>
        <w:rPr>
          <w:rFonts w:hint="eastAsia"/>
          <w:sz w:val="24"/>
          <w:szCs w:val="24"/>
        </w:rPr>
        <w:t>28.57%</w:t>
      </w:r>
      <w:r>
        <w:rPr>
          <w:rFonts w:hint="eastAsia"/>
          <w:sz w:val="24"/>
          <w:szCs w:val="24"/>
        </w:rPr>
        <w:t>。</w:t>
      </w:r>
      <w:r>
        <w:rPr>
          <w:rFonts w:hint="eastAsia"/>
          <w:sz w:val="24"/>
          <w:szCs w:val="24"/>
        </w:rPr>
        <w:t>4</w:t>
      </w:r>
      <w:r>
        <w:rPr>
          <w:rFonts w:hint="eastAsia"/>
          <w:sz w:val="24"/>
          <w:szCs w:val="24"/>
        </w:rPr>
        <w:t>个采样点共采集到底栖动物</w:t>
      </w:r>
      <w:r>
        <w:rPr>
          <w:rFonts w:hint="eastAsia"/>
          <w:sz w:val="24"/>
          <w:szCs w:val="24"/>
        </w:rPr>
        <w:t>9</w:t>
      </w:r>
      <w:r>
        <w:rPr>
          <w:rFonts w:hint="eastAsia"/>
          <w:sz w:val="24"/>
          <w:szCs w:val="24"/>
        </w:rPr>
        <w:t>种，其中节肢动物</w:t>
      </w:r>
      <w:r>
        <w:rPr>
          <w:rFonts w:hint="eastAsia"/>
          <w:sz w:val="24"/>
          <w:szCs w:val="24"/>
        </w:rPr>
        <w:t>8</w:t>
      </w:r>
      <w:r>
        <w:rPr>
          <w:rFonts w:hint="eastAsia"/>
          <w:sz w:val="24"/>
          <w:szCs w:val="24"/>
        </w:rPr>
        <w:t>种，占种数的</w:t>
      </w:r>
      <w:r>
        <w:rPr>
          <w:rFonts w:hint="eastAsia"/>
          <w:sz w:val="24"/>
          <w:szCs w:val="24"/>
        </w:rPr>
        <w:t>88.89%</w:t>
      </w:r>
      <w:r>
        <w:rPr>
          <w:rFonts w:hint="eastAsia"/>
          <w:sz w:val="24"/>
          <w:szCs w:val="24"/>
        </w:rPr>
        <w:t>，其中扁蜉、二翼蜉、四节蜉等为优势种；软体动物</w:t>
      </w:r>
      <w:r>
        <w:rPr>
          <w:rFonts w:hint="eastAsia"/>
          <w:sz w:val="24"/>
          <w:szCs w:val="24"/>
        </w:rPr>
        <w:t>1</w:t>
      </w:r>
      <w:r>
        <w:rPr>
          <w:rFonts w:hint="eastAsia"/>
          <w:sz w:val="24"/>
          <w:szCs w:val="24"/>
        </w:rPr>
        <w:t>种，占种数的</w:t>
      </w:r>
      <w:r>
        <w:rPr>
          <w:rFonts w:hint="eastAsia"/>
          <w:sz w:val="24"/>
          <w:szCs w:val="24"/>
        </w:rPr>
        <w:t>11.11%</w:t>
      </w:r>
      <w:r>
        <w:rPr>
          <w:rFonts w:hint="eastAsia"/>
          <w:sz w:val="24"/>
          <w:szCs w:val="24"/>
        </w:rPr>
        <w:t>。</w:t>
      </w:r>
    </w:p>
    <w:p w14:paraId="136AE927" w14:textId="77777777" w:rsidR="007D1E74" w:rsidRDefault="00A95641">
      <w:pPr>
        <w:spacing w:line="360" w:lineRule="auto"/>
        <w:ind w:firstLineChars="200" w:firstLine="480"/>
        <w:rPr>
          <w:sz w:val="24"/>
          <w:szCs w:val="24"/>
        </w:rPr>
      </w:pPr>
      <w:r>
        <w:rPr>
          <w:rFonts w:hint="eastAsia"/>
          <w:sz w:val="24"/>
          <w:szCs w:val="24"/>
        </w:rPr>
        <w:t>调查水域内有鱼类</w:t>
      </w:r>
      <w:r>
        <w:rPr>
          <w:rFonts w:hint="eastAsia"/>
          <w:sz w:val="24"/>
          <w:szCs w:val="24"/>
        </w:rPr>
        <w:t>82</w:t>
      </w:r>
      <w:r>
        <w:rPr>
          <w:rFonts w:hint="eastAsia"/>
          <w:sz w:val="24"/>
          <w:szCs w:val="24"/>
        </w:rPr>
        <w:t>种，隶属于</w:t>
      </w:r>
      <w:r>
        <w:rPr>
          <w:rFonts w:hint="eastAsia"/>
          <w:sz w:val="24"/>
          <w:szCs w:val="24"/>
        </w:rPr>
        <w:t>5</w:t>
      </w:r>
      <w:r>
        <w:rPr>
          <w:rFonts w:hint="eastAsia"/>
          <w:sz w:val="24"/>
          <w:szCs w:val="24"/>
        </w:rPr>
        <w:t>目</w:t>
      </w:r>
      <w:r>
        <w:rPr>
          <w:rFonts w:hint="eastAsia"/>
          <w:sz w:val="24"/>
          <w:szCs w:val="24"/>
        </w:rPr>
        <w:t>14</w:t>
      </w:r>
      <w:r>
        <w:rPr>
          <w:rFonts w:hint="eastAsia"/>
          <w:sz w:val="24"/>
          <w:szCs w:val="24"/>
        </w:rPr>
        <w:t>科</w:t>
      </w:r>
      <w:r>
        <w:rPr>
          <w:rFonts w:hint="eastAsia"/>
          <w:sz w:val="24"/>
          <w:szCs w:val="24"/>
        </w:rPr>
        <w:t>63</w:t>
      </w:r>
      <w:r>
        <w:rPr>
          <w:rFonts w:hint="eastAsia"/>
          <w:sz w:val="24"/>
          <w:szCs w:val="24"/>
        </w:rPr>
        <w:t>属。其中，鲤形目有</w:t>
      </w:r>
      <w:r>
        <w:rPr>
          <w:rFonts w:hint="eastAsia"/>
          <w:sz w:val="24"/>
          <w:szCs w:val="24"/>
        </w:rPr>
        <w:t>3</w:t>
      </w:r>
      <w:r>
        <w:rPr>
          <w:rFonts w:hint="eastAsia"/>
          <w:sz w:val="24"/>
          <w:szCs w:val="24"/>
        </w:rPr>
        <w:t>科</w:t>
      </w:r>
      <w:r>
        <w:rPr>
          <w:rFonts w:hint="eastAsia"/>
          <w:sz w:val="24"/>
          <w:szCs w:val="24"/>
        </w:rPr>
        <w:t>48</w:t>
      </w:r>
      <w:r>
        <w:rPr>
          <w:rFonts w:hint="eastAsia"/>
          <w:sz w:val="24"/>
          <w:szCs w:val="24"/>
        </w:rPr>
        <w:t>属</w:t>
      </w:r>
      <w:r>
        <w:rPr>
          <w:rFonts w:hint="eastAsia"/>
          <w:sz w:val="24"/>
          <w:szCs w:val="24"/>
        </w:rPr>
        <w:t>57</w:t>
      </w:r>
      <w:r>
        <w:rPr>
          <w:rFonts w:hint="eastAsia"/>
          <w:sz w:val="24"/>
          <w:szCs w:val="24"/>
        </w:rPr>
        <w:t>种，占保护区鱼类种数的</w:t>
      </w:r>
      <w:r>
        <w:rPr>
          <w:rFonts w:hint="eastAsia"/>
          <w:sz w:val="24"/>
          <w:szCs w:val="24"/>
        </w:rPr>
        <w:t>69.51%</w:t>
      </w:r>
      <w:r>
        <w:rPr>
          <w:rFonts w:hint="eastAsia"/>
          <w:sz w:val="24"/>
          <w:szCs w:val="24"/>
        </w:rPr>
        <w:t>；鲇形目</w:t>
      </w:r>
      <w:r>
        <w:rPr>
          <w:rFonts w:hint="eastAsia"/>
          <w:sz w:val="24"/>
          <w:szCs w:val="24"/>
        </w:rPr>
        <w:t>4</w:t>
      </w:r>
      <w:r>
        <w:rPr>
          <w:rFonts w:hint="eastAsia"/>
          <w:sz w:val="24"/>
          <w:szCs w:val="24"/>
        </w:rPr>
        <w:t>科</w:t>
      </w:r>
      <w:r>
        <w:rPr>
          <w:rFonts w:hint="eastAsia"/>
          <w:sz w:val="24"/>
          <w:szCs w:val="24"/>
        </w:rPr>
        <w:t>8</w:t>
      </w:r>
      <w:r>
        <w:rPr>
          <w:rFonts w:hint="eastAsia"/>
          <w:sz w:val="24"/>
          <w:szCs w:val="24"/>
        </w:rPr>
        <w:t>属</w:t>
      </w:r>
      <w:r>
        <w:rPr>
          <w:rFonts w:hint="eastAsia"/>
          <w:sz w:val="24"/>
          <w:szCs w:val="24"/>
        </w:rPr>
        <w:t>16</w:t>
      </w:r>
      <w:r>
        <w:rPr>
          <w:rFonts w:hint="eastAsia"/>
          <w:sz w:val="24"/>
          <w:szCs w:val="24"/>
        </w:rPr>
        <w:t>种，占保护区鱼类种数的</w:t>
      </w:r>
      <w:r>
        <w:rPr>
          <w:rFonts w:hint="eastAsia"/>
          <w:sz w:val="24"/>
          <w:szCs w:val="24"/>
        </w:rPr>
        <w:t>19.51%</w:t>
      </w:r>
      <w:r>
        <w:rPr>
          <w:rFonts w:hint="eastAsia"/>
          <w:sz w:val="24"/>
          <w:szCs w:val="24"/>
        </w:rPr>
        <w:t>；鲈形目</w:t>
      </w:r>
      <w:r>
        <w:rPr>
          <w:rFonts w:hint="eastAsia"/>
          <w:sz w:val="24"/>
          <w:szCs w:val="24"/>
        </w:rPr>
        <w:t>5</w:t>
      </w:r>
      <w:r>
        <w:rPr>
          <w:rFonts w:hint="eastAsia"/>
          <w:sz w:val="24"/>
          <w:szCs w:val="24"/>
        </w:rPr>
        <w:t>科</w:t>
      </w:r>
      <w:r>
        <w:rPr>
          <w:rFonts w:hint="eastAsia"/>
          <w:sz w:val="24"/>
          <w:szCs w:val="24"/>
        </w:rPr>
        <w:t>5</w:t>
      </w:r>
      <w:r>
        <w:rPr>
          <w:rFonts w:hint="eastAsia"/>
          <w:sz w:val="24"/>
          <w:szCs w:val="24"/>
        </w:rPr>
        <w:t>属</w:t>
      </w:r>
      <w:r>
        <w:rPr>
          <w:rFonts w:hint="eastAsia"/>
          <w:sz w:val="24"/>
          <w:szCs w:val="24"/>
        </w:rPr>
        <w:t>7</w:t>
      </w:r>
      <w:r>
        <w:rPr>
          <w:rFonts w:hint="eastAsia"/>
          <w:sz w:val="24"/>
          <w:szCs w:val="24"/>
        </w:rPr>
        <w:t>种，占保护区鱼类种数的</w:t>
      </w:r>
      <w:r>
        <w:rPr>
          <w:rFonts w:hint="eastAsia"/>
          <w:sz w:val="24"/>
          <w:szCs w:val="24"/>
        </w:rPr>
        <w:t>8.54%</w:t>
      </w:r>
      <w:r>
        <w:rPr>
          <w:rFonts w:hint="eastAsia"/>
          <w:sz w:val="24"/>
          <w:szCs w:val="24"/>
        </w:rPr>
        <w:t>；鳉形目和合鳃目均为</w:t>
      </w:r>
      <w:r>
        <w:rPr>
          <w:rFonts w:hint="eastAsia"/>
          <w:sz w:val="24"/>
          <w:szCs w:val="24"/>
        </w:rPr>
        <w:t>1</w:t>
      </w:r>
      <w:r>
        <w:rPr>
          <w:rFonts w:hint="eastAsia"/>
          <w:sz w:val="24"/>
          <w:szCs w:val="24"/>
        </w:rPr>
        <w:t>科</w:t>
      </w:r>
      <w:r>
        <w:rPr>
          <w:rFonts w:hint="eastAsia"/>
          <w:sz w:val="24"/>
          <w:szCs w:val="24"/>
        </w:rPr>
        <w:t>1</w:t>
      </w:r>
      <w:r>
        <w:rPr>
          <w:rFonts w:hint="eastAsia"/>
          <w:sz w:val="24"/>
          <w:szCs w:val="24"/>
        </w:rPr>
        <w:t>属</w:t>
      </w:r>
      <w:r>
        <w:rPr>
          <w:rFonts w:hint="eastAsia"/>
          <w:sz w:val="24"/>
          <w:szCs w:val="24"/>
        </w:rPr>
        <w:t>1</w:t>
      </w:r>
      <w:r>
        <w:rPr>
          <w:rFonts w:hint="eastAsia"/>
          <w:sz w:val="24"/>
          <w:szCs w:val="24"/>
        </w:rPr>
        <w:t>种，各占保护区鱼类种数的</w:t>
      </w:r>
      <w:r>
        <w:rPr>
          <w:rFonts w:hint="eastAsia"/>
          <w:sz w:val="24"/>
          <w:szCs w:val="24"/>
        </w:rPr>
        <w:t>1.22%</w:t>
      </w:r>
      <w:r>
        <w:rPr>
          <w:rFonts w:hint="eastAsia"/>
          <w:sz w:val="24"/>
          <w:szCs w:val="24"/>
        </w:rPr>
        <w:t>。在保护区鱼类中，鲤形目鱼类的种类非常丰富，其中鲤科最多，有</w:t>
      </w:r>
      <w:r>
        <w:rPr>
          <w:rFonts w:hint="eastAsia"/>
          <w:sz w:val="24"/>
          <w:szCs w:val="24"/>
        </w:rPr>
        <w:t>46</w:t>
      </w:r>
      <w:r>
        <w:rPr>
          <w:rFonts w:hint="eastAsia"/>
          <w:sz w:val="24"/>
          <w:szCs w:val="24"/>
        </w:rPr>
        <w:t>种，占鱼类总种数的</w:t>
      </w:r>
      <w:r>
        <w:rPr>
          <w:rFonts w:hint="eastAsia"/>
          <w:sz w:val="24"/>
          <w:szCs w:val="24"/>
        </w:rPr>
        <w:t>56.10%</w:t>
      </w:r>
      <w:r>
        <w:rPr>
          <w:rFonts w:hint="eastAsia"/>
          <w:sz w:val="24"/>
          <w:szCs w:val="24"/>
        </w:rPr>
        <w:t>；其次是鲇形目鲿科有</w:t>
      </w:r>
      <w:r>
        <w:rPr>
          <w:rFonts w:hint="eastAsia"/>
          <w:sz w:val="24"/>
          <w:szCs w:val="24"/>
        </w:rPr>
        <w:t>9</w:t>
      </w:r>
      <w:r>
        <w:rPr>
          <w:rFonts w:hint="eastAsia"/>
          <w:sz w:val="24"/>
          <w:szCs w:val="24"/>
        </w:rPr>
        <w:t>种，占</w:t>
      </w:r>
      <w:r>
        <w:rPr>
          <w:rFonts w:hint="eastAsia"/>
          <w:sz w:val="24"/>
          <w:szCs w:val="24"/>
        </w:rPr>
        <w:t>10.98%</w:t>
      </w:r>
      <w:r>
        <w:rPr>
          <w:rFonts w:hint="eastAsia"/>
          <w:sz w:val="24"/>
          <w:szCs w:val="24"/>
        </w:rPr>
        <w:t>；鲤形目鳅科</w:t>
      </w:r>
      <w:r>
        <w:rPr>
          <w:rFonts w:hint="eastAsia"/>
          <w:sz w:val="24"/>
          <w:szCs w:val="24"/>
        </w:rPr>
        <w:t>8</w:t>
      </w:r>
      <w:r>
        <w:rPr>
          <w:rFonts w:hint="eastAsia"/>
          <w:sz w:val="24"/>
          <w:szCs w:val="24"/>
        </w:rPr>
        <w:t>种，占</w:t>
      </w:r>
      <w:r>
        <w:rPr>
          <w:rFonts w:hint="eastAsia"/>
          <w:sz w:val="24"/>
          <w:szCs w:val="24"/>
        </w:rPr>
        <w:t xml:space="preserve">9.76% </w:t>
      </w:r>
      <w:r>
        <w:rPr>
          <w:rFonts w:hint="eastAsia"/>
          <w:sz w:val="24"/>
          <w:szCs w:val="24"/>
        </w:rPr>
        <w:t>。其余各科的种类均很少。</w:t>
      </w:r>
    </w:p>
    <w:p w14:paraId="077F4780" w14:textId="77777777" w:rsidR="007D1E74" w:rsidRDefault="00A95641">
      <w:pPr>
        <w:spacing w:line="360" w:lineRule="auto"/>
        <w:ind w:firstLineChars="200" w:firstLine="480"/>
        <w:rPr>
          <w:sz w:val="24"/>
          <w:szCs w:val="24"/>
        </w:rPr>
      </w:pPr>
      <w:r>
        <w:rPr>
          <w:rFonts w:hint="eastAsia"/>
          <w:sz w:val="24"/>
          <w:szCs w:val="24"/>
        </w:rPr>
        <w:t>保护区内有国家</w:t>
      </w:r>
      <w:r>
        <w:rPr>
          <w:rFonts w:hint="eastAsia"/>
          <w:sz w:val="24"/>
          <w:szCs w:val="24"/>
        </w:rPr>
        <w:t>II</w:t>
      </w:r>
      <w:r>
        <w:rPr>
          <w:rFonts w:hint="eastAsia"/>
          <w:sz w:val="24"/>
          <w:szCs w:val="24"/>
        </w:rPr>
        <w:t>级重点保护鱼类长薄鳅、岩原鲤、鯮、圆口铜鱼、四川白甲鱼、重口裂腹鱼、青石爬鮡</w:t>
      </w:r>
      <w:r>
        <w:rPr>
          <w:rFonts w:hint="eastAsia"/>
          <w:sz w:val="24"/>
          <w:szCs w:val="24"/>
        </w:rPr>
        <w:t>7</w:t>
      </w:r>
      <w:r>
        <w:rPr>
          <w:rFonts w:hint="eastAsia"/>
          <w:sz w:val="24"/>
          <w:szCs w:val="24"/>
        </w:rPr>
        <w:t>种，有四川省重点保护鱼类鳡</w:t>
      </w:r>
      <w:r>
        <w:rPr>
          <w:rFonts w:hint="eastAsia"/>
          <w:sz w:val="24"/>
          <w:szCs w:val="24"/>
        </w:rPr>
        <w:t>1</w:t>
      </w:r>
      <w:r>
        <w:rPr>
          <w:rFonts w:hint="eastAsia"/>
          <w:sz w:val="24"/>
          <w:szCs w:val="24"/>
        </w:rPr>
        <w:t>种。</w:t>
      </w:r>
    </w:p>
    <w:p w14:paraId="38E6B42B" w14:textId="77777777" w:rsidR="007D1E74" w:rsidRDefault="00A95641">
      <w:pPr>
        <w:spacing w:line="360" w:lineRule="auto"/>
        <w:ind w:firstLineChars="200" w:firstLine="480"/>
        <w:rPr>
          <w:sz w:val="24"/>
          <w:szCs w:val="24"/>
        </w:rPr>
      </w:pPr>
      <w:r>
        <w:rPr>
          <w:rFonts w:hint="eastAsia"/>
          <w:sz w:val="24"/>
          <w:szCs w:val="24"/>
        </w:rPr>
        <w:t>在诺水河自然保护区内分布有长江上游特有鱼类</w:t>
      </w:r>
      <w:r>
        <w:rPr>
          <w:sz w:val="24"/>
          <w:szCs w:val="24"/>
        </w:rPr>
        <w:t>22</w:t>
      </w:r>
      <w:r>
        <w:rPr>
          <w:rFonts w:hint="eastAsia"/>
          <w:sz w:val="24"/>
          <w:szCs w:val="24"/>
        </w:rPr>
        <w:t>种，长薄鳅、双斑副沙鳅、短体副鳅、宜宾鯝、黑尾䱗、厚颌鲂、嘉陵颌须鮈、圆口铜鱼、圆筒吻鮈、钝吻棒花鱼、异鳔鳅鮀、宽口光唇鱼、四川白甲鱼、华鲮、岩原鲤、中华裂腹鱼、重口裂腹鱼、短身间吸鳅、中华金沙鳅、四川华吸鳅、青石爬鮡、黄石爬鮡等。</w:t>
      </w:r>
    </w:p>
    <w:p w14:paraId="059AB815" w14:textId="77777777" w:rsidR="007D1E74" w:rsidRDefault="00A95641">
      <w:pPr>
        <w:spacing w:line="360" w:lineRule="auto"/>
        <w:ind w:firstLineChars="200" w:firstLine="480"/>
        <w:rPr>
          <w:sz w:val="24"/>
          <w:szCs w:val="24"/>
        </w:rPr>
      </w:pPr>
      <w:r>
        <w:rPr>
          <w:rFonts w:hint="eastAsia"/>
          <w:sz w:val="24"/>
          <w:szCs w:val="24"/>
        </w:rPr>
        <w:t>总之，调查评价水域水质良好，浮游藻类比较丰富，且以喜清洁水体的种类为主。鱼类种类丰富，珍稀、特有种类多，随着保护区的建立资源量呈恢复趋势。工程河段为保护区的鱼类提供洄游通道，同时也因为河道有多样的生境条件，为一些小型鱼类提供索饵、产卵和越冬环境，工程不涉及重点保护对象的重要生境。</w:t>
      </w:r>
    </w:p>
    <w:p w14:paraId="1B94A4AB" w14:textId="77777777" w:rsidR="007D1E74" w:rsidRDefault="007D1E74">
      <w:pPr>
        <w:spacing w:line="360" w:lineRule="auto"/>
        <w:ind w:firstLineChars="200" w:firstLine="480"/>
        <w:rPr>
          <w:sz w:val="24"/>
          <w:szCs w:val="24"/>
        </w:rPr>
      </w:pPr>
    </w:p>
    <w:p w14:paraId="307DFFF3" w14:textId="77777777" w:rsidR="007D1E74" w:rsidRDefault="00A95641">
      <w:pPr>
        <w:rPr>
          <w:sz w:val="24"/>
          <w:szCs w:val="24"/>
        </w:rPr>
      </w:pPr>
      <w:r>
        <w:rPr>
          <w:sz w:val="24"/>
          <w:szCs w:val="24"/>
        </w:rPr>
        <w:br w:type="page"/>
      </w:r>
    </w:p>
    <w:p w14:paraId="6CD0E038" w14:textId="77777777" w:rsidR="007D1E74" w:rsidRDefault="007D1E74">
      <w:pPr>
        <w:pStyle w:val="afffffe"/>
        <w:numPr>
          <w:ilvl w:val="0"/>
          <w:numId w:val="12"/>
        </w:numPr>
        <w:spacing w:line="360" w:lineRule="auto"/>
        <w:ind w:firstLineChars="0"/>
        <w:outlineLvl w:val="0"/>
        <w:rPr>
          <w:rFonts w:eastAsia="黑体"/>
          <w:vanish/>
          <w:sz w:val="32"/>
          <w:szCs w:val="24"/>
        </w:rPr>
      </w:pPr>
    </w:p>
    <w:p w14:paraId="2436C778" w14:textId="77777777" w:rsidR="007D1E74" w:rsidRDefault="007D1E74">
      <w:pPr>
        <w:pStyle w:val="afffffe"/>
        <w:numPr>
          <w:ilvl w:val="0"/>
          <w:numId w:val="12"/>
        </w:numPr>
        <w:spacing w:line="360" w:lineRule="auto"/>
        <w:ind w:firstLineChars="0"/>
        <w:outlineLvl w:val="0"/>
        <w:rPr>
          <w:rFonts w:eastAsia="黑体"/>
          <w:vanish/>
          <w:sz w:val="32"/>
          <w:szCs w:val="24"/>
        </w:rPr>
      </w:pPr>
    </w:p>
    <w:p w14:paraId="648F1BA3" w14:textId="77777777" w:rsidR="007D1E74" w:rsidRDefault="007D1E74">
      <w:pPr>
        <w:pStyle w:val="afffffe"/>
        <w:numPr>
          <w:ilvl w:val="0"/>
          <w:numId w:val="12"/>
        </w:numPr>
        <w:spacing w:line="360" w:lineRule="auto"/>
        <w:ind w:firstLineChars="0"/>
        <w:outlineLvl w:val="0"/>
        <w:rPr>
          <w:rFonts w:eastAsia="黑体"/>
          <w:vanish/>
          <w:sz w:val="32"/>
          <w:szCs w:val="24"/>
        </w:rPr>
      </w:pPr>
    </w:p>
    <w:p w14:paraId="61241C45" w14:textId="77777777" w:rsidR="007D1E74" w:rsidRDefault="007D1E74">
      <w:pPr>
        <w:pStyle w:val="afffffe"/>
        <w:numPr>
          <w:ilvl w:val="0"/>
          <w:numId w:val="12"/>
        </w:numPr>
        <w:spacing w:line="360" w:lineRule="auto"/>
        <w:ind w:firstLineChars="0"/>
        <w:outlineLvl w:val="0"/>
        <w:rPr>
          <w:rFonts w:eastAsia="黑体"/>
          <w:vanish/>
          <w:sz w:val="32"/>
          <w:szCs w:val="24"/>
        </w:rPr>
      </w:pPr>
    </w:p>
    <w:p w14:paraId="415D7E06" w14:textId="77777777" w:rsidR="007D1E74" w:rsidRDefault="00A95641">
      <w:pPr>
        <w:pStyle w:val="a7"/>
      </w:pPr>
      <w:r>
        <w:rPr>
          <w:rFonts w:hint="eastAsia"/>
        </w:rPr>
        <w:t>生态环境影响预测与评价</w:t>
      </w:r>
    </w:p>
    <w:p w14:paraId="3AB888CB" w14:textId="77777777" w:rsidR="007D1E74" w:rsidRDefault="00A95641">
      <w:pPr>
        <w:pStyle w:val="a8"/>
      </w:pPr>
      <w:r>
        <w:rPr>
          <w:rFonts w:hint="eastAsia"/>
        </w:rPr>
        <w:t>陆生生态环境影响评价</w:t>
      </w:r>
    </w:p>
    <w:p w14:paraId="54649AB4" w14:textId="77777777" w:rsidR="007D1E74" w:rsidRDefault="00A95641">
      <w:pPr>
        <w:pStyle w:val="a9"/>
      </w:pPr>
      <w:r>
        <w:rPr>
          <w:rFonts w:hint="eastAsia"/>
        </w:rPr>
        <w:t>陆生生态环境影响预测</w:t>
      </w:r>
    </w:p>
    <w:p w14:paraId="328FC5C1" w14:textId="77777777" w:rsidR="007D1E74" w:rsidRDefault="00A95641">
      <w:pPr>
        <w:pStyle w:val="aa"/>
      </w:pPr>
      <w:r>
        <w:rPr>
          <w:rFonts w:hint="eastAsia"/>
        </w:rPr>
        <w:t>对土地资源的影响</w:t>
      </w:r>
    </w:p>
    <w:p w14:paraId="50A25933" w14:textId="77777777" w:rsidR="007D1E74" w:rsidRDefault="00A95641">
      <w:pPr>
        <w:spacing w:line="360" w:lineRule="auto"/>
        <w:ind w:firstLineChars="200" w:firstLine="480"/>
        <w:rPr>
          <w:rFonts w:cs="Times New Roman"/>
          <w:sz w:val="24"/>
          <w:szCs w:val="24"/>
        </w:rPr>
      </w:pPr>
      <w:r>
        <w:rPr>
          <w:rFonts w:cs="Times New Roman" w:hint="eastAsia"/>
          <w:sz w:val="24"/>
          <w:szCs w:val="24"/>
        </w:rPr>
        <w:t>根据工程可研占地数据，本项目总占地</w:t>
      </w:r>
      <w:r>
        <w:rPr>
          <w:rFonts w:cs="Times New Roman" w:hint="eastAsia"/>
          <w:sz w:val="24"/>
          <w:szCs w:val="24"/>
        </w:rPr>
        <w:t>37.0069hm</w:t>
      </w:r>
      <w:r>
        <w:rPr>
          <w:rFonts w:cs="Times New Roman" w:hint="eastAsia"/>
          <w:sz w:val="24"/>
          <w:szCs w:val="24"/>
          <w:vertAlign w:val="superscript"/>
        </w:rPr>
        <w:t>2</w:t>
      </w:r>
      <w:r>
        <w:rPr>
          <w:rFonts w:cs="Times New Roman" w:hint="eastAsia"/>
          <w:sz w:val="24"/>
          <w:szCs w:val="24"/>
        </w:rPr>
        <w:t>，其中大部分为临时占地</w:t>
      </w:r>
      <w:r>
        <w:rPr>
          <w:rFonts w:cs="Times New Roman" w:hint="eastAsia"/>
          <w:sz w:val="24"/>
          <w:szCs w:val="24"/>
        </w:rPr>
        <w:t>36.897hm</w:t>
      </w:r>
      <w:r>
        <w:rPr>
          <w:rFonts w:cs="Times New Roman" w:hint="eastAsia"/>
          <w:sz w:val="24"/>
          <w:szCs w:val="24"/>
          <w:vertAlign w:val="superscript"/>
        </w:rPr>
        <w:t>2</w:t>
      </w:r>
      <w:r>
        <w:rPr>
          <w:rFonts w:cs="Times New Roman" w:hint="eastAsia"/>
          <w:sz w:val="24"/>
          <w:szCs w:val="24"/>
        </w:rPr>
        <w:t>，里程桩、转角桩、穿越标志桩、警示牌等零散占地为永久占地约</w:t>
      </w:r>
      <w:r>
        <w:rPr>
          <w:rFonts w:cs="Times New Roman" w:hint="eastAsia"/>
          <w:sz w:val="24"/>
          <w:szCs w:val="24"/>
        </w:rPr>
        <w:t>1099m</w:t>
      </w:r>
      <w:r>
        <w:rPr>
          <w:rFonts w:cs="Times New Roman" w:hint="eastAsia"/>
          <w:sz w:val="24"/>
          <w:szCs w:val="24"/>
          <w:vertAlign w:val="superscript"/>
        </w:rPr>
        <w:t>2</w:t>
      </w:r>
      <w:r>
        <w:rPr>
          <w:rFonts w:cs="Times New Roman" w:hint="eastAsia"/>
          <w:sz w:val="24"/>
          <w:szCs w:val="24"/>
        </w:rPr>
        <w:t>。</w:t>
      </w:r>
    </w:p>
    <w:p w14:paraId="7F44DC6E" w14:textId="77777777" w:rsidR="007D1E74" w:rsidRDefault="00A95641">
      <w:pPr>
        <w:pStyle w:val="afffffe"/>
        <w:numPr>
          <w:ilvl w:val="0"/>
          <w:numId w:val="41"/>
        </w:numPr>
        <w:spacing w:line="360" w:lineRule="auto"/>
        <w:ind w:firstLineChars="0"/>
        <w:jc w:val="center"/>
        <w:rPr>
          <w:rFonts w:eastAsia="黑体" w:cs="Times New Roman"/>
          <w:szCs w:val="21"/>
        </w:rPr>
      </w:pPr>
      <w:r>
        <w:rPr>
          <w:rFonts w:eastAsia="黑体" w:cs="Times New Roman" w:hint="eastAsia"/>
          <w:szCs w:val="21"/>
        </w:rPr>
        <w:t>沿线地表占地情况统计表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3"/>
        <w:gridCol w:w="954"/>
        <w:gridCol w:w="717"/>
        <w:gridCol w:w="716"/>
        <w:gridCol w:w="717"/>
        <w:gridCol w:w="716"/>
        <w:gridCol w:w="716"/>
        <w:gridCol w:w="722"/>
        <w:gridCol w:w="722"/>
        <w:gridCol w:w="722"/>
        <w:gridCol w:w="723"/>
        <w:gridCol w:w="908"/>
      </w:tblGrid>
      <w:tr w:rsidR="007D1E74" w14:paraId="7ED29AE8" w14:textId="77777777">
        <w:tc>
          <w:tcPr>
            <w:tcW w:w="1691" w:type="dxa"/>
            <w:gridSpan w:val="2"/>
            <w:vMerge w:val="restart"/>
            <w:shd w:val="clear" w:color="auto" w:fill="auto"/>
            <w:noWrap/>
            <w:vAlign w:val="center"/>
          </w:tcPr>
          <w:p w14:paraId="0FC95F2D" w14:textId="77777777" w:rsidR="007D1E74" w:rsidRDefault="00A95641">
            <w:pPr>
              <w:widowControl/>
              <w:jc w:val="center"/>
              <w:rPr>
                <w:rFonts w:ascii="宋体" w:hAnsi="宋体" w:cs="宋体"/>
                <w:kern w:val="0"/>
                <w:sz w:val="18"/>
                <w:szCs w:val="18"/>
              </w:rPr>
            </w:pPr>
            <w:r>
              <w:rPr>
                <w:rFonts w:ascii="宋体" w:hAnsi="宋体" w:cs="宋体" w:hint="eastAsia"/>
                <w:kern w:val="0"/>
                <w:sz w:val="18"/>
                <w:szCs w:val="18"/>
              </w:rPr>
              <w:t>工程类型</w:t>
            </w:r>
          </w:p>
        </w:tc>
        <w:tc>
          <w:tcPr>
            <w:tcW w:w="3692" w:type="dxa"/>
            <w:gridSpan w:val="5"/>
            <w:shd w:val="clear" w:color="auto" w:fill="auto"/>
            <w:vAlign w:val="center"/>
          </w:tcPr>
          <w:p w14:paraId="3B54F486" w14:textId="77777777" w:rsidR="007D1E74" w:rsidRDefault="00A95641">
            <w:pPr>
              <w:widowControl/>
              <w:jc w:val="center"/>
              <w:rPr>
                <w:rFonts w:ascii="宋体" w:hAnsi="宋体" w:cs="宋体"/>
                <w:kern w:val="0"/>
                <w:sz w:val="18"/>
                <w:szCs w:val="18"/>
              </w:rPr>
            </w:pPr>
            <w:r>
              <w:rPr>
                <w:rFonts w:ascii="宋体" w:hAnsi="宋体" w:cs="宋体" w:hint="eastAsia"/>
                <w:kern w:val="0"/>
                <w:sz w:val="18"/>
                <w:szCs w:val="18"/>
              </w:rPr>
              <w:t>临时占地（</w:t>
            </w:r>
            <w:r>
              <w:rPr>
                <w:rFonts w:cs="Times New Roman"/>
                <w:kern w:val="0"/>
                <w:sz w:val="18"/>
                <w:szCs w:val="18"/>
              </w:rPr>
              <w:t>hm</w:t>
            </w:r>
            <w:r>
              <w:rPr>
                <w:rFonts w:cs="Times New Roman"/>
                <w:kern w:val="0"/>
                <w:sz w:val="18"/>
                <w:szCs w:val="18"/>
                <w:vertAlign w:val="superscript"/>
              </w:rPr>
              <w:t>2</w:t>
            </w:r>
            <w:r>
              <w:rPr>
                <w:rFonts w:ascii="宋体" w:hAnsi="宋体" w:cs="宋体" w:hint="eastAsia"/>
                <w:kern w:val="0"/>
                <w:sz w:val="18"/>
                <w:szCs w:val="18"/>
              </w:rPr>
              <w:t>）</w:t>
            </w:r>
          </w:p>
        </w:tc>
        <w:tc>
          <w:tcPr>
            <w:tcW w:w="2977" w:type="dxa"/>
            <w:gridSpan w:val="4"/>
            <w:shd w:val="clear" w:color="auto" w:fill="auto"/>
            <w:noWrap/>
            <w:vAlign w:val="center"/>
          </w:tcPr>
          <w:p w14:paraId="453594D7" w14:textId="77777777" w:rsidR="007D1E74" w:rsidRDefault="00A95641">
            <w:pPr>
              <w:widowControl/>
              <w:jc w:val="center"/>
              <w:rPr>
                <w:rFonts w:ascii="宋体" w:hAnsi="宋体" w:cs="宋体"/>
                <w:kern w:val="0"/>
                <w:sz w:val="18"/>
                <w:szCs w:val="18"/>
              </w:rPr>
            </w:pPr>
            <w:r>
              <w:rPr>
                <w:rFonts w:ascii="宋体" w:hAnsi="宋体" w:cs="宋体" w:hint="eastAsia"/>
                <w:kern w:val="0"/>
                <w:sz w:val="18"/>
                <w:szCs w:val="18"/>
              </w:rPr>
              <w:t>永久占地（</w:t>
            </w:r>
            <w:r>
              <w:rPr>
                <w:rFonts w:cs="Times New Roman"/>
                <w:kern w:val="0"/>
                <w:sz w:val="18"/>
                <w:szCs w:val="18"/>
              </w:rPr>
              <w:t>m</w:t>
            </w:r>
            <w:r>
              <w:rPr>
                <w:rFonts w:cs="Times New Roman"/>
                <w:kern w:val="0"/>
                <w:sz w:val="18"/>
                <w:szCs w:val="18"/>
                <w:vertAlign w:val="superscript"/>
              </w:rPr>
              <w:t>2</w:t>
            </w:r>
            <w:r>
              <w:rPr>
                <w:rFonts w:ascii="宋体" w:hAnsi="宋体" w:cs="宋体" w:hint="eastAsia"/>
                <w:kern w:val="0"/>
                <w:sz w:val="18"/>
                <w:szCs w:val="18"/>
              </w:rPr>
              <w:t>）</w:t>
            </w:r>
          </w:p>
        </w:tc>
        <w:tc>
          <w:tcPr>
            <w:tcW w:w="939" w:type="dxa"/>
            <w:vMerge w:val="restart"/>
            <w:shd w:val="clear" w:color="auto" w:fill="auto"/>
            <w:vAlign w:val="center"/>
          </w:tcPr>
          <w:p w14:paraId="339BE5FB" w14:textId="77777777" w:rsidR="007D1E74" w:rsidRDefault="00A95641">
            <w:pPr>
              <w:widowControl/>
              <w:jc w:val="center"/>
              <w:rPr>
                <w:rFonts w:ascii="宋体" w:hAnsi="宋体" w:cs="宋体"/>
                <w:kern w:val="0"/>
                <w:sz w:val="18"/>
                <w:szCs w:val="18"/>
              </w:rPr>
            </w:pPr>
            <w:r>
              <w:rPr>
                <w:rFonts w:ascii="宋体" w:hAnsi="宋体" w:cs="宋体" w:hint="eastAsia"/>
                <w:kern w:val="0"/>
                <w:sz w:val="18"/>
                <w:szCs w:val="18"/>
              </w:rPr>
              <w:t>合计</w:t>
            </w:r>
          </w:p>
        </w:tc>
      </w:tr>
      <w:tr w:rsidR="007D1E74" w14:paraId="0260CCD5" w14:textId="77777777">
        <w:tc>
          <w:tcPr>
            <w:tcW w:w="1691" w:type="dxa"/>
            <w:gridSpan w:val="2"/>
            <w:vMerge/>
            <w:vAlign w:val="center"/>
          </w:tcPr>
          <w:p w14:paraId="708DB67B" w14:textId="77777777" w:rsidR="007D1E74" w:rsidRDefault="007D1E74">
            <w:pPr>
              <w:widowControl/>
              <w:jc w:val="center"/>
              <w:rPr>
                <w:rFonts w:ascii="宋体" w:hAnsi="宋体" w:cs="宋体"/>
                <w:kern w:val="0"/>
                <w:sz w:val="18"/>
                <w:szCs w:val="18"/>
              </w:rPr>
            </w:pPr>
          </w:p>
        </w:tc>
        <w:tc>
          <w:tcPr>
            <w:tcW w:w="739" w:type="dxa"/>
            <w:shd w:val="clear" w:color="auto" w:fill="auto"/>
            <w:noWrap/>
            <w:vAlign w:val="center"/>
          </w:tcPr>
          <w:p w14:paraId="079E84CC" w14:textId="77777777" w:rsidR="007D1E74" w:rsidRDefault="00A95641">
            <w:pPr>
              <w:widowControl/>
              <w:jc w:val="center"/>
              <w:rPr>
                <w:rFonts w:ascii="宋体" w:hAnsi="宋体" w:cs="宋体"/>
                <w:kern w:val="0"/>
                <w:sz w:val="18"/>
                <w:szCs w:val="18"/>
              </w:rPr>
            </w:pPr>
            <w:r>
              <w:rPr>
                <w:rFonts w:ascii="宋体" w:hAnsi="宋体" w:cs="宋体" w:hint="eastAsia"/>
                <w:kern w:val="0"/>
                <w:sz w:val="18"/>
                <w:szCs w:val="18"/>
              </w:rPr>
              <w:t>耕地</w:t>
            </w:r>
          </w:p>
        </w:tc>
        <w:tc>
          <w:tcPr>
            <w:tcW w:w="738" w:type="dxa"/>
            <w:shd w:val="clear" w:color="auto" w:fill="auto"/>
            <w:noWrap/>
            <w:vAlign w:val="center"/>
          </w:tcPr>
          <w:p w14:paraId="6759402D" w14:textId="77777777" w:rsidR="007D1E74" w:rsidRDefault="00A95641">
            <w:pPr>
              <w:widowControl/>
              <w:jc w:val="center"/>
              <w:rPr>
                <w:rFonts w:ascii="宋体" w:hAnsi="宋体" w:cs="宋体"/>
                <w:kern w:val="0"/>
                <w:sz w:val="18"/>
                <w:szCs w:val="18"/>
              </w:rPr>
            </w:pPr>
            <w:r>
              <w:rPr>
                <w:rFonts w:ascii="宋体" w:hAnsi="宋体" w:cs="宋体" w:hint="eastAsia"/>
                <w:kern w:val="0"/>
                <w:sz w:val="18"/>
                <w:szCs w:val="18"/>
              </w:rPr>
              <w:t>林地</w:t>
            </w:r>
          </w:p>
        </w:tc>
        <w:tc>
          <w:tcPr>
            <w:tcW w:w="739" w:type="dxa"/>
            <w:shd w:val="clear" w:color="auto" w:fill="auto"/>
            <w:vAlign w:val="center"/>
          </w:tcPr>
          <w:p w14:paraId="65FFF5C8" w14:textId="77777777" w:rsidR="007D1E74" w:rsidRDefault="00A95641">
            <w:pPr>
              <w:widowControl/>
              <w:jc w:val="center"/>
              <w:rPr>
                <w:rFonts w:ascii="宋体" w:hAnsi="宋体" w:cs="宋体"/>
                <w:kern w:val="0"/>
                <w:sz w:val="18"/>
                <w:szCs w:val="18"/>
              </w:rPr>
            </w:pPr>
            <w:r>
              <w:rPr>
                <w:rFonts w:ascii="宋体" w:hAnsi="宋体" w:cs="宋体" w:hint="eastAsia"/>
                <w:kern w:val="0"/>
                <w:sz w:val="18"/>
                <w:szCs w:val="18"/>
              </w:rPr>
              <w:t>草地</w:t>
            </w:r>
          </w:p>
        </w:tc>
        <w:tc>
          <w:tcPr>
            <w:tcW w:w="738" w:type="dxa"/>
            <w:shd w:val="clear" w:color="auto" w:fill="auto"/>
            <w:noWrap/>
            <w:vAlign w:val="center"/>
          </w:tcPr>
          <w:p w14:paraId="2784E807" w14:textId="77777777" w:rsidR="007D1E74" w:rsidRDefault="00A95641">
            <w:pPr>
              <w:widowControl/>
              <w:jc w:val="center"/>
              <w:rPr>
                <w:rFonts w:ascii="宋体" w:hAnsi="宋体" w:cs="宋体"/>
                <w:kern w:val="0"/>
                <w:sz w:val="18"/>
                <w:szCs w:val="18"/>
              </w:rPr>
            </w:pPr>
            <w:r>
              <w:rPr>
                <w:rFonts w:ascii="宋体" w:hAnsi="宋体" w:cs="宋体" w:hint="eastAsia"/>
                <w:kern w:val="0"/>
                <w:sz w:val="18"/>
                <w:szCs w:val="18"/>
              </w:rPr>
              <w:t>水域</w:t>
            </w:r>
          </w:p>
        </w:tc>
        <w:tc>
          <w:tcPr>
            <w:tcW w:w="738" w:type="dxa"/>
            <w:shd w:val="clear" w:color="auto" w:fill="auto"/>
            <w:noWrap/>
            <w:vAlign w:val="center"/>
          </w:tcPr>
          <w:p w14:paraId="30C61D60" w14:textId="77777777" w:rsidR="007D1E74" w:rsidRDefault="00A95641">
            <w:pPr>
              <w:widowControl/>
              <w:jc w:val="center"/>
              <w:rPr>
                <w:rFonts w:ascii="宋体" w:hAnsi="宋体" w:cs="宋体"/>
                <w:kern w:val="0"/>
                <w:sz w:val="18"/>
                <w:szCs w:val="18"/>
              </w:rPr>
            </w:pPr>
            <w:r>
              <w:rPr>
                <w:rFonts w:ascii="宋体" w:hAnsi="宋体" w:cs="宋体" w:hint="eastAsia"/>
                <w:kern w:val="0"/>
                <w:sz w:val="18"/>
                <w:szCs w:val="18"/>
              </w:rPr>
              <w:t>建设用地</w:t>
            </w:r>
          </w:p>
        </w:tc>
        <w:tc>
          <w:tcPr>
            <w:tcW w:w="744" w:type="dxa"/>
            <w:shd w:val="clear" w:color="auto" w:fill="auto"/>
            <w:noWrap/>
            <w:vAlign w:val="center"/>
          </w:tcPr>
          <w:p w14:paraId="3B61B4A2" w14:textId="77777777" w:rsidR="007D1E74" w:rsidRDefault="00A95641">
            <w:pPr>
              <w:widowControl/>
              <w:jc w:val="center"/>
              <w:rPr>
                <w:rFonts w:ascii="宋体" w:hAnsi="宋体" w:cs="宋体"/>
                <w:kern w:val="0"/>
                <w:sz w:val="18"/>
                <w:szCs w:val="18"/>
              </w:rPr>
            </w:pPr>
            <w:r>
              <w:rPr>
                <w:rFonts w:ascii="宋体" w:hAnsi="宋体" w:cs="宋体" w:hint="eastAsia"/>
                <w:kern w:val="0"/>
                <w:sz w:val="18"/>
                <w:szCs w:val="18"/>
              </w:rPr>
              <w:t>林地</w:t>
            </w:r>
          </w:p>
        </w:tc>
        <w:tc>
          <w:tcPr>
            <w:tcW w:w="744" w:type="dxa"/>
            <w:shd w:val="clear" w:color="auto" w:fill="auto"/>
            <w:noWrap/>
            <w:vAlign w:val="center"/>
          </w:tcPr>
          <w:p w14:paraId="2E5B6CA4" w14:textId="77777777" w:rsidR="007D1E74" w:rsidRDefault="00A95641">
            <w:pPr>
              <w:widowControl/>
              <w:jc w:val="center"/>
              <w:rPr>
                <w:rFonts w:ascii="宋体" w:hAnsi="宋体" w:cs="宋体"/>
                <w:kern w:val="0"/>
                <w:sz w:val="18"/>
                <w:szCs w:val="18"/>
              </w:rPr>
            </w:pPr>
            <w:r>
              <w:rPr>
                <w:rFonts w:ascii="宋体" w:hAnsi="宋体" w:cs="宋体" w:hint="eastAsia"/>
                <w:kern w:val="0"/>
                <w:sz w:val="18"/>
                <w:szCs w:val="18"/>
              </w:rPr>
              <w:t>耕地</w:t>
            </w:r>
          </w:p>
        </w:tc>
        <w:tc>
          <w:tcPr>
            <w:tcW w:w="744" w:type="dxa"/>
            <w:shd w:val="clear" w:color="auto" w:fill="auto"/>
            <w:noWrap/>
            <w:vAlign w:val="center"/>
          </w:tcPr>
          <w:p w14:paraId="0463957D" w14:textId="77777777" w:rsidR="007D1E74" w:rsidRDefault="00A95641">
            <w:pPr>
              <w:widowControl/>
              <w:jc w:val="center"/>
              <w:rPr>
                <w:rFonts w:ascii="宋体" w:hAnsi="宋体" w:cs="宋体"/>
                <w:kern w:val="0"/>
                <w:sz w:val="18"/>
                <w:szCs w:val="18"/>
              </w:rPr>
            </w:pPr>
            <w:r>
              <w:rPr>
                <w:rFonts w:ascii="宋体" w:hAnsi="宋体" w:cs="宋体" w:hint="eastAsia"/>
                <w:kern w:val="0"/>
                <w:sz w:val="18"/>
                <w:szCs w:val="18"/>
              </w:rPr>
              <w:t>水域</w:t>
            </w:r>
          </w:p>
        </w:tc>
        <w:tc>
          <w:tcPr>
            <w:tcW w:w="745" w:type="dxa"/>
            <w:shd w:val="clear" w:color="auto" w:fill="auto"/>
            <w:noWrap/>
            <w:vAlign w:val="center"/>
          </w:tcPr>
          <w:p w14:paraId="7B6AA1F1" w14:textId="77777777" w:rsidR="007D1E74" w:rsidRDefault="00A95641">
            <w:pPr>
              <w:widowControl/>
              <w:jc w:val="center"/>
              <w:rPr>
                <w:rFonts w:ascii="宋体" w:hAnsi="宋体" w:cs="宋体"/>
                <w:kern w:val="0"/>
                <w:sz w:val="18"/>
                <w:szCs w:val="18"/>
              </w:rPr>
            </w:pPr>
            <w:r>
              <w:rPr>
                <w:rFonts w:ascii="宋体" w:hAnsi="宋体" w:cs="宋体" w:hint="eastAsia"/>
                <w:kern w:val="0"/>
                <w:sz w:val="18"/>
                <w:szCs w:val="18"/>
              </w:rPr>
              <w:t>建设用地</w:t>
            </w:r>
          </w:p>
        </w:tc>
        <w:tc>
          <w:tcPr>
            <w:tcW w:w="939" w:type="dxa"/>
            <w:vMerge/>
            <w:vAlign w:val="center"/>
          </w:tcPr>
          <w:p w14:paraId="44D389F8" w14:textId="77777777" w:rsidR="007D1E74" w:rsidRDefault="007D1E74">
            <w:pPr>
              <w:widowControl/>
              <w:jc w:val="center"/>
              <w:rPr>
                <w:rFonts w:ascii="宋体" w:hAnsi="宋体" w:cs="宋体"/>
                <w:kern w:val="0"/>
                <w:sz w:val="18"/>
                <w:szCs w:val="18"/>
              </w:rPr>
            </w:pPr>
          </w:p>
        </w:tc>
      </w:tr>
      <w:tr w:rsidR="007D1E74" w14:paraId="391B6039" w14:textId="77777777">
        <w:tc>
          <w:tcPr>
            <w:tcW w:w="704" w:type="dxa"/>
            <w:vMerge w:val="restart"/>
            <w:shd w:val="clear" w:color="auto" w:fill="auto"/>
            <w:noWrap/>
            <w:vAlign w:val="center"/>
          </w:tcPr>
          <w:p w14:paraId="569EC3C5" w14:textId="77777777" w:rsidR="007D1E74" w:rsidRDefault="00A95641">
            <w:pPr>
              <w:widowControl/>
              <w:jc w:val="center"/>
              <w:rPr>
                <w:rFonts w:ascii="宋体" w:hAnsi="宋体" w:cs="宋体"/>
                <w:kern w:val="0"/>
                <w:sz w:val="18"/>
                <w:szCs w:val="18"/>
              </w:rPr>
            </w:pPr>
            <w:r>
              <w:rPr>
                <w:rFonts w:ascii="宋体" w:hAnsi="宋体" w:cs="宋体" w:hint="eastAsia"/>
                <w:kern w:val="0"/>
                <w:sz w:val="18"/>
                <w:szCs w:val="18"/>
              </w:rPr>
              <w:t>施工作业带及对管</w:t>
            </w:r>
          </w:p>
        </w:tc>
        <w:tc>
          <w:tcPr>
            <w:tcW w:w="987" w:type="dxa"/>
            <w:shd w:val="clear" w:color="auto" w:fill="auto"/>
            <w:noWrap/>
            <w:vAlign w:val="center"/>
          </w:tcPr>
          <w:p w14:paraId="23C945D8" w14:textId="77777777" w:rsidR="007D1E74" w:rsidRDefault="00A95641">
            <w:pPr>
              <w:widowControl/>
              <w:jc w:val="center"/>
              <w:rPr>
                <w:rFonts w:cs="Times New Roman"/>
                <w:kern w:val="0"/>
                <w:sz w:val="18"/>
                <w:szCs w:val="18"/>
              </w:rPr>
            </w:pPr>
            <w:r>
              <w:rPr>
                <w:rFonts w:cs="Times New Roman"/>
                <w:kern w:val="0"/>
                <w:sz w:val="18"/>
                <w:szCs w:val="18"/>
              </w:rPr>
              <w:t>1#</w:t>
            </w:r>
            <w:r>
              <w:rPr>
                <w:rFonts w:ascii="宋体" w:hAnsi="宋体" w:cs="Times New Roman" w:hint="eastAsia"/>
                <w:kern w:val="0"/>
                <w:sz w:val="18"/>
                <w:szCs w:val="18"/>
              </w:rPr>
              <w:t>阀室至马</w:t>
            </w:r>
            <w:r>
              <w:rPr>
                <w:rFonts w:cs="Times New Roman"/>
                <w:kern w:val="0"/>
                <w:sz w:val="18"/>
                <w:szCs w:val="18"/>
              </w:rPr>
              <w:t>1-11</w:t>
            </w:r>
          </w:p>
        </w:tc>
        <w:tc>
          <w:tcPr>
            <w:tcW w:w="739" w:type="dxa"/>
            <w:shd w:val="clear" w:color="auto" w:fill="auto"/>
            <w:noWrap/>
            <w:vAlign w:val="center"/>
          </w:tcPr>
          <w:p w14:paraId="7B8941D0" w14:textId="77777777" w:rsidR="007D1E74" w:rsidRDefault="00A95641">
            <w:pPr>
              <w:widowControl/>
              <w:jc w:val="center"/>
              <w:rPr>
                <w:rFonts w:cs="Times New Roman"/>
                <w:kern w:val="0"/>
                <w:sz w:val="18"/>
                <w:szCs w:val="18"/>
              </w:rPr>
            </w:pPr>
            <w:r>
              <w:rPr>
                <w:rFonts w:cs="Times New Roman"/>
                <w:kern w:val="0"/>
                <w:sz w:val="18"/>
                <w:szCs w:val="18"/>
              </w:rPr>
              <w:t>2.5672</w:t>
            </w:r>
          </w:p>
        </w:tc>
        <w:tc>
          <w:tcPr>
            <w:tcW w:w="738" w:type="dxa"/>
            <w:shd w:val="clear" w:color="auto" w:fill="auto"/>
            <w:noWrap/>
            <w:vAlign w:val="center"/>
          </w:tcPr>
          <w:p w14:paraId="5BAEBA4D" w14:textId="77777777" w:rsidR="007D1E74" w:rsidRDefault="00A95641">
            <w:pPr>
              <w:widowControl/>
              <w:jc w:val="center"/>
              <w:rPr>
                <w:rFonts w:cs="Times New Roman"/>
                <w:kern w:val="0"/>
                <w:sz w:val="18"/>
                <w:szCs w:val="18"/>
              </w:rPr>
            </w:pPr>
            <w:r>
              <w:rPr>
                <w:rFonts w:cs="Times New Roman"/>
                <w:kern w:val="0"/>
                <w:sz w:val="18"/>
                <w:szCs w:val="18"/>
              </w:rPr>
              <w:t>5.0427</w:t>
            </w:r>
          </w:p>
        </w:tc>
        <w:tc>
          <w:tcPr>
            <w:tcW w:w="739" w:type="dxa"/>
            <w:shd w:val="clear" w:color="auto" w:fill="auto"/>
            <w:vAlign w:val="center"/>
          </w:tcPr>
          <w:p w14:paraId="592E11FC" w14:textId="77777777" w:rsidR="007D1E74" w:rsidRDefault="00A95641">
            <w:pPr>
              <w:widowControl/>
              <w:jc w:val="center"/>
              <w:rPr>
                <w:rFonts w:cs="Times New Roman"/>
                <w:kern w:val="0"/>
                <w:sz w:val="18"/>
                <w:szCs w:val="18"/>
              </w:rPr>
            </w:pPr>
            <w:r>
              <w:rPr>
                <w:rFonts w:cs="Times New Roman"/>
                <w:kern w:val="0"/>
                <w:sz w:val="18"/>
                <w:szCs w:val="18"/>
              </w:rPr>
              <w:t>0.6418</w:t>
            </w:r>
          </w:p>
        </w:tc>
        <w:tc>
          <w:tcPr>
            <w:tcW w:w="738" w:type="dxa"/>
            <w:shd w:val="clear" w:color="auto" w:fill="auto"/>
            <w:noWrap/>
            <w:vAlign w:val="center"/>
          </w:tcPr>
          <w:p w14:paraId="5774CD9B" w14:textId="77777777" w:rsidR="007D1E74" w:rsidRDefault="00A95641">
            <w:pPr>
              <w:widowControl/>
              <w:jc w:val="center"/>
              <w:rPr>
                <w:rFonts w:cs="Times New Roman"/>
                <w:kern w:val="0"/>
                <w:sz w:val="18"/>
                <w:szCs w:val="18"/>
              </w:rPr>
            </w:pPr>
            <w:r>
              <w:rPr>
                <w:rFonts w:cs="Times New Roman"/>
                <w:kern w:val="0"/>
                <w:sz w:val="18"/>
                <w:szCs w:val="18"/>
              </w:rPr>
              <w:t>0.7335</w:t>
            </w:r>
          </w:p>
        </w:tc>
        <w:tc>
          <w:tcPr>
            <w:tcW w:w="738" w:type="dxa"/>
            <w:shd w:val="clear" w:color="auto" w:fill="auto"/>
            <w:noWrap/>
            <w:vAlign w:val="center"/>
          </w:tcPr>
          <w:p w14:paraId="3700A414" w14:textId="77777777" w:rsidR="007D1E74" w:rsidRDefault="00A95641">
            <w:pPr>
              <w:widowControl/>
              <w:jc w:val="center"/>
              <w:rPr>
                <w:rFonts w:cs="Times New Roman"/>
                <w:kern w:val="0"/>
                <w:sz w:val="18"/>
                <w:szCs w:val="18"/>
              </w:rPr>
            </w:pPr>
            <w:r>
              <w:rPr>
                <w:rFonts w:cs="Times New Roman"/>
                <w:kern w:val="0"/>
                <w:sz w:val="18"/>
                <w:szCs w:val="18"/>
              </w:rPr>
              <w:t>0.1833</w:t>
            </w:r>
          </w:p>
        </w:tc>
        <w:tc>
          <w:tcPr>
            <w:tcW w:w="744" w:type="dxa"/>
            <w:shd w:val="clear" w:color="auto" w:fill="auto"/>
            <w:noWrap/>
            <w:vAlign w:val="center"/>
          </w:tcPr>
          <w:p w14:paraId="2EA354E7" w14:textId="77777777" w:rsidR="007D1E74" w:rsidRDefault="00A95641">
            <w:pPr>
              <w:widowControl/>
              <w:jc w:val="center"/>
              <w:rPr>
                <w:rFonts w:cs="Times New Roman"/>
                <w:kern w:val="0"/>
                <w:sz w:val="18"/>
                <w:szCs w:val="18"/>
              </w:rPr>
            </w:pPr>
            <w:r>
              <w:rPr>
                <w:rFonts w:cs="Times New Roman"/>
                <w:kern w:val="0"/>
                <w:sz w:val="18"/>
                <w:szCs w:val="18"/>
              </w:rPr>
              <w:t>/</w:t>
            </w:r>
          </w:p>
        </w:tc>
        <w:tc>
          <w:tcPr>
            <w:tcW w:w="744" w:type="dxa"/>
            <w:shd w:val="clear" w:color="auto" w:fill="auto"/>
            <w:noWrap/>
            <w:vAlign w:val="center"/>
          </w:tcPr>
          <w:p w14:paraId="4AFD0041" w14:textId="77777777" w:rsidR="007D1E74" w:rsidRDefault="00A95641">
            <w:pPr>
              <w:widowControl/>
              <w:jc w:val="center"/>
              <w:rPr>
                <w:rFonts w:cs="Times New Roman"/>
                <w:kern w:val="0"/>
                <w:sz w:val="18"/>
                <w:szCs w:val="18"/>
              </w:rPr>
            </w:pPr>
            <w:r>
              <w:rPr>
                <w:rFonts w:cs="Times New Roman"/>
                <w:kern w:val="0"/>
                <w:sz w:val="18"/>
                <w:szCs w:val="18"/>
              </w:rPr>
              <w:t>/</w:t>
            </w:r>
          </w:p>
        </w:tc>
        <w:tc>
          <w:tcPr>
            <w:tcW w:w="744" w:type="dxa"/>
            <w:shd w:val="clear" w:color="auto" w:fill="auto"/>
            <w:noWrap/>
            <w:vAlign w:val="center"/>
          </w:tcPr>
          <w:p w14:paraId="66FF8B63" w14:textId="77777777" w:rsidR="007D1E74" w:rsidRDefault="00A95641">
            <w:pPr>
              <w:widowControl/>
              <w:jc w:val="center"/>
              <w:rPr>
                <w:rFonts w:cs="Times New Roman"/>
                <w:kern w:val="0"/>
                <w:sz w:val="18"/>
                <w:szCs w:val="18"/>
              </w:rPr>
            </w:pPr>
            <w:r>
              <w:rPr>
                <w:rFonts w:cs="Times New Roman"/>
                <w:kern w:val="0"/>
                <w:sz w:val="18"/>
                <w:szCs w:val="18"/>
              </w:rPr>
              <w:t>/</w:t>
            </w:r>
          </w:p>
        </w:tc>
        <w:tc>
          <w:tcPr>
            <w:tcW w:w="745" w:type="dxa"/>
            <w:shd w:val="clear" w:color="auto" w:fill="auto"/>
            <w:noWrap/>
            <w:vAlign w:val="center"/>
          </w:tcPr>
          <w:p w14:paraId="749343A2" w14:textId="77777777" w:rsidR="007D1E74" w:rsidRDefault="00A95641">
            <w:pPr>
              <w:widowControl/>
              <w:jc w:val="center"/>
              <w:rPr>
                <w:rFonts w:cs="Times New Roman"/>
                <w:kern w:val="0"/>
                <w:sz w:val="18"/>
                <w:szCs w:val="18"/>
              </w:rPr>
            </w:pPr>
            <w:r>
              <w:rPr>
                <w:rFonts w:cs="Times New Roman"/>
                <w:kern w:val="0"/>
                <w:sz w:val="18"/>
                <w:szCs w:val="18"/>
              </w:rPr>
              <w:t>/</w:t>
            </w:r>
          </w:p>
        </w:tc>
        <w:tc>
          <w:tcPr>
            <w:tcW w:w="939" w:type="dxa"/>
            <w:shd w:val="clear" w:color="auto" w:fill="auto"/>
            <w:vAlign w:val="center"/>
          </w:tcPr>
          <w:p w14:paraId="5096828E" w14:textId="77777777" w:rsidR="007D1E74" w:rsidRDefault="00A95641">
            <w:pPr>
              <w:widowControl/>
              <w:jc w:val="center"/>
              <w:rPr>
                <w:rFonts w:cs="Times New Roman"/>
                <w:kern w:val="0"/>
                <w:sz w:val="18"/>
                <w:szCs w:val="18"/>
              </w:rPr>
            </w:pPr>
            <w:r>
              <w:rPr>
                <w:rFonts w:cs="Times New Roman"/>
                <w:kern w:val="0"/>
                <w:sz w:val="18"/>
                <w:szCs w:val="18"/>
              </w:rPr>
              <w:t>9.1685</w:t>
            </w:r>
          </w:p>
        </w:tc>
      </w:tr>
      <w:tr w:rsidR="007D1E74" w14:paraId="740DD839" w14:textId="77777777">
        <w:tc>
          <w:tcPr>
            <w:tcW w:w="704" w:type="dxa"/>
            <w:vMerge/>
            <w:vAlign w:val="center"/>
          </w:tcPr>
          <w:p w14:paraId="6A472DFE" w14:textId="77777777" w:rsidR="007D1E74" w:rsidRDefault="007D1E74">
            <w:pPr>
              <w:widowControl/>
              <w:jc w:val="center"/>
              <w:rPr>
                <w:rFonts w:ascii="宋体" w:hAnsi="宋体" w:cs="宋体"/>
                <w:kern w:val="0"/>
                <w:sz w:val="18"/>
                <w:szCs w:val="18"/>
              </w:rPr>
            </w:pPr>
          </w:p>
        </w:tc>
        <w:tc>
          <w:tcPr>
            <w:tcW w:w="987" w:type="dxa"/>
            <w:shd w:val="clear" w:color="auto" w:fill="auto"/>
            <w:noWrap/>
            <w:vAlign w:val="center"/>
          </w:tcPr>
          <w:p w14:paraId="47BC4775" w14:textId="77777777" w:rsidR="007D1E74" w:rsidRDefault="00A95641">
            <w:pPr>
              <w:widowControl/>
              <w:jc w:val="center"/>
              <w:rPr>
                <w:rFonts w:ascii="宋体" w:hAnsi="宋体" w:cs="宋体"/>
                <w:kern w:val="0"/>
                <w:sz w:val="18"/>
                <w:szCs w:val="18"/>
              </w:rPr>
            </w:pPr>
            <w:r>
              <w:rPr>
                <w:rFonts w:ascii="宋体" w:hAnsi="宋体" w:cs="宋体" w:hint="eastAsia"/>
                <w:kern w:val="0"/>
                <w:sz w:val="18"/>
                <w:szCs w:val="18"/>
              </w:rPr>
              <w:t>马</w:t>
            </w:r>
            <w:r>
              <w:rPr>
                <w:rFonts w:cs="Times New Roman"/>
                <w:kern w:val="0"/>
                <w:sz w:val="18"/>
                <w:szCs w:val="18"/>
              </w:rPr>
              <w:t>1-11</w:t>
            </w:r>
            <w:r>
              <w:rPr>
                <w:rFonts w:ascii="宋体" w:hAnsi="宋体" w:cs="宋体" w:hint="eastAsia"/>
                <w:kern w:val="0"/>
                <w:sz w:val="18"/>
                <w:szCs w:val="18"/>
              </w:rPr>
              <w:t>至</w:t>
            </w:r>
            <w:r>
              <w:rPr>
                <w:rFonts w:cs="Times New Roman"/>
                <w:kern w:val="0"/>
                <w:sz w:val="18"/>
                <w:szCs w:val="18"/>
              </w:rPr>
              <w:t>4#</w:t>
            </w:r>
            <w:r>
              <w:rPr>
                <w:rFonts w:ascii="宋体" w:hAnsi="宋体" w:cs="宋体" w:hint="eastAsia"/>
                <w:kern w:val="0"/>
                <w:sz w:val="18"/>
                <w:szCs w:val="18"/>
              </w:rPr>
              <w:t>清管阀室</w:t>
            </w:r>
          </w:p>
        </w:tc>
        <w:tc>
          <w:tcPr>
            <w:tcW w:w="739" w:type="dxa"/>
            <w:shd w:val="clear" w:color="auto" w:fill="auto"/>
            <w:noWrap/>
            <w:vAlign w:val="center"/>
          </w:tcPr>
          <w:p w14:paraId="1D0E39B5" w14:textId="77777777" w:rsidR="007D1E74" w:rsidRDefault="00A95641">
            <w:pPr>
              <w:widowControl/>
              <w:jc w:val="center"/>
              <w:rPr>
                <w:rFonts w:cs="Times New Roman"/>
                <w:kern w:val="0"/>
                <w:sz w:val="18"/>
                <w:szCs w:val="18"/>
              </w:rPr>
            </w:pPr>
            <w:r>
              <w:rPr>
                <w:rFonts w:cs="Times New Roman"/>
                <w:kern w:val="0"/>
                <w:sz w:val="18"/>
                <w:szCs w:val="18"/>
              </w:rPr>
              <w:t>2.1615</w:t>
            </w:r>
          </w:p>
        </w:tc>
        <w:tc>
          <w:tcPr>
            <w:tcW w:w="738" w:type="dxa"/>
            <w:shd w:val="clear" w:color="auto" w:fill="auto"/>
            <w:noWrap/>
            <w:vAlign w:val="center"/>
          </w:tcPr>
          <w:p w14:paraId="45C8A54D" w14:textId="77777777" w:rsidR="007D1E74" w:rsidRDefault="00A95641">
            <w:pPr>
              <w:widowControl/>
              <w:jc w:val="center"/>
              <w:rPr>
                <w:rFonts w:cs="Times New Roman"/>
                <w:kern w:val="0"/>
                <w:sz w:val="18"/>
                <w:szCs w:val="18"/>
              </w:rPr>
            </w:pPr>
            <w:r>
              <w:rPr>
                <w:rFonts w:cs="Times New Roman"/>
                <w:kern w:val="0"/>
                <w:sz w:val="18"/>
                <w:szCs w:val="18"/>
              </w:rPr>
              <w:t>4.2459</w:t>
            </w:r>
          </w:p>
        </w:tc>
        <w:tc>
          <w:tcPr>
            <w:tcW w:w="739" w:type="dxa"/>
            <w:shd w:val="clear" w:color="auto" w:fill="auto"/>
            <w:vAlign w:val="center"/>
          </w:tcPr>
          <w:p w14:paraId="3D7A5EED" w14:textId="77777777" w:rsidR="007D1E74" w:rsidRDefault="00A95641">
            <w:pPr>
              <w:widowControl/>
              <w:jc w:val="center"/>
              <w:rPr>
                <w:rFonts w:cs="Times New Roman"/>
                <w:kern w:val="0"/>
                <w:sz w:val="18"/>
                <w:szCs w:val="18"/>
              </w:rPr>
            </w:pPr>
            <w:r>
              <w:rPr>
                <w:rFonts w:cs="Times New Roman"/>
                <w:kern w:val="0"/>
                <w:sz w:val="18"/>
                <w:szCs w:val="18"/>
              </w:rPr>
              <w:t>0.5404</w:t>
            </w:r>
          </w:p>
        </w:tc>
        <w:tc>
          <w:tcPr>
            <w:tcW w:w="738" w:type="dxa"/>
            <w:shd w:val="clear" w:color="auto" w:fill="auto"/>
            <w:noWrap/>
            <w:vAlign w:val="center"/>
          </w:tcPr>
          <w:p w14:paraId="1A988FC7" w14:textId="77777777" w:rsidR="007D1E74" w:rsidRDefault="00A95641">
            <w:pPr>
              <w:widowControl/>
              <w:jc w:val="center"/>
              <w:rPr>
                <w:rFonts w:cs="Times New Roman"/>
                <w:kern w:val="0"/>
                <w:sz w:val="18"/>
                <w:szCs w:val="18"/>
              </w:rPr>
            </w:pPr>
            <w:r>
              <w:rPr>
                <w:rFonts w:cs="Times New Roman"/>
                <w:kern w:val="0"/>
                <w:sz w:val="18"/>
                <w:szCs w:val="18"/>
              </w:rPr>
              <w:t>0.6176</w:t>
            </w:r>
          </w:p>
        </w:tc>
        <w:tc>
          <w:tcPr>
            <w:tcW w:w="738" w:type="dxa"/>
            <w:shd w:val="clear" w:color="auto" w:fill="auto"/>
            <w:noWrap/>
            <w:vAlign w:val="center"/>
          </w:tcPr>
          <w:p w14:paraId="69D08B6C" w14:textId="77777777" w:rsidR="007D1E74" w:rsidRDefault="00A95641">
            <w:pPr>
              <w:widowControl/>
              <w:jc w:val="center"/>
              <w:rPr>
                <w:rFonts w:cs="Times New Roman"/>
                <w:kern w:val="0"/>
                <w:sz w:val="18"/>
                <w:szCs w:val="18"/>
              </w:rPr>
            </w:pPr>
            <w:r>
              <w:rPr>
                <w:rFonts w:cs="Times New Roman"/>
                <w:kern w:val="0"/>
                <w:sz w:val="18"/>
                <w:szCs w:val="18"/>
              </w:rPr>
              <w:t>0.1544</w:t>
            </w:r>
          </w:p>
        </w:tc>
        <w:tc>
          <w:tcPr>
            <w:tcW w:w="744" w:type="dxa"/>
            <w:shd w:val="clear" w:color="auto" w:fill="auto"/>
            <w:noWrap/>
            <w:vAlign w:val="center"/>
          </w:tcPr>
          <w:p w14:paraId="0081AF0A" w14:textId="77777777" w:rsidR="007D1E74" w:rsidRDefault="00A95641">
            <w:pPr>
              <w:widowControl/>
              <w:jc w:val="center"/>
              <w:rPr>
                <w:rFonts w:cs="Times New Roman"/>
                <w:kern w:val="0"/>
                <w:sz w:val="18"/>
                <w:szCs w:val="18"/>
              </w:rPr>
            </w:pPr>
            <w:r>
              <w:rPr>
                <w:rFonts w:cs="Times New Roman"/>
                <w:kern w:val="0"/>
                <w:sz w:val="18"/>
                <w:szCs w:val="18"/>
              </w:rPr>
              <w:t>/</w:t>
            </w:r>
          </w:p>
        </w:tc>
        <w:tc>
          <w:tcPr>
            <w:tcW w:w="744" w:type="dxa"/>
            <w:shd w:val="clear" w:color="auto" w:fill="auto"/>
            <w:noWrap/>
            <w:vAlign w:val="center"/>
          </w:tcPr>
          <w:p w14:paraId="0A24CF54" w14:textId="77777777" w:rsidR="007D1E74" w:rsidRDefault="00A95641">
            <w:pPr>
              <w:widowControl/>
              <w:jc w:val="center"/>
              <w:rPr>
                <w:rFonts w:cs="Times New Roman"/>
                <w:kern w:val="0"/>
                <w:sz w:val="18"/>
                <w:szCs w:val="18"/>
              </w:rPr>
            </w:pPr>
            <w:r>
              <w:rPr>
                <w:rFonts w:cs="Times New Roman"/>
                <w:kern w:val="0"/>
                <w:sz w:val="18"/>
                <w:szCs w:val="18"/>
              </w:rPr>
              <w:t>/</w:t>
            </w:r>
          </w:p>
        </w:tc>
        <w:tc>
          <w:tcPr>
            <w:tcW w:w="744" w:type="dxa"/>
            <w:shd w:val="clear" w:color="auto" w:fill="auto"/>
            <w:noWrap/>
            <w:vAlign w:val="center"/>
          </w:tcPr>
          <w:p w14:paraId="413281F0" w14:textId="77777777" w:rsidR="007D1E74" w:rsidRDefault="00A95641">
            <w:pPr>
              <w:widowControl/>
              <w:jc w:val="center"/>
              <w:rPr>
                <w:rFonts w:cs="Times New Roman"/>
                <w:kern w:val="0"/>
                <w:sz w:val="18"/>
                <w:szCs w:val="18"/>
              </w:rPr>
            </w:pPr>
            <w:r>
              <w:rPr>
                <w:rFonts w:cs="Times New Roman"/>
                <w:kern w:val="0"/>
                <w:sz w:val="18"/>
                <w:szCs w:val="18"/>
              </w:rPr>
              <w:t>/</w:t>
            </w:r>
          </w:p>
        </w:tc>
        <w:tc>
          <w:tcPr>
            <w:tcW w:w="745" w:type="dxa"/>
            <w:shd w:val="clear" w:color="auto" w:fill="auto"/>
            <w:noWrap/>
            <w:vAlign w:val="center"/>
          </w:tcPr>
          <w:p w14:paraId="49AFB0E9" w14:textId="77777777" w:rsidR="007D1E74" w:rsidRDefault="00A95641">
            <w:pPr>
              <w:widowControl/>
              <w:jc w:val="center"/>
              <w:rPr>
                <w:rFonts w:cs="Times New Roman"/>
                <w:kern w:val="0"/>
                <w:sz w:val="18"/>
                <w:szCs w:val="18"/>
              </w:rPr>
            </w:pPr>
            <w:r>
              <w:rPr>
                <w:rFonts w:cs="Times New Roman"/>
                <w:kern w:val="0"/>
                <w:sz w:val="18"/>
                <w:szCs w:val="18"/>
              </w:rPr>
              <w:t>/</w:t>
            </w:r>
          </w:p>
        </w:tc>
        <w:tc>
          <w:tcPr>
            <w:tcW w:w="939" w:type="dxa"/>
            <w:shd w:val="clear" w:color="auto" w:fill="auto"/>
            <w:vAlign w:val="center"/>
          </w:tcPr>
          <w:p w14:paraId="7422BF32" w14:textId="77777777" w:rsidR="007D1E74" w:rsidRDefault="00A95641">
            <w:pPr>
              <w:widowControl/>
              <w:jc w:val="center"/>
              <w:rPr>
                <w:rFonts w:cs="Times New Roman"/>
                <w:kern w:val="0"/>
                <w:sz w:val="18"/>
                <w:szCs w:val="18"/>
              </w:rPr>
            </w:pPr>
            <w:r>
              <w:rPr>
                <w:rFonts w:cs="Times New Roman"/>
                <w:kern w:val="0"/>
                <w:sz w:val="18"/>
                <w:szCs w:val="18"/>
              </w:rPr>
              <w:t>7.7198</w:t>
            </w:r>
          </w:p>
        </w:tc>
      </w:tr>
      <w:tr w:rsidR="007D1E74" w14:paraId="6F90701A" w14:textId="77777777">
        <w:tc>
          <w:tcPr>
            <w:tcW w:w="704" w:type="dxa"/>
            <w:vMerge/>
            <w:vAlign w:val="center"/>
          </w:tcPr>
          <w:p w14:paraId="522CF4AC" w14:textId="77777777" w:rsidR="007D1E74" w:rsidRDefault="007D1E74">
            <w:pPr>
              <w:widowControl/>
              <w:jc w:val="center"/>
              <w:rPr>
                <w:rFonts w:ascii="宋体" w:hAnsi="宋体" w:cs="宋体"/>
                <w:kern w:val="0"/>
                <w:sz w:val="18"/>
                <w:szCs w:val="18"/>
              </w:rPr>
            </w:pPr>
          </w:p>
        </w:tc>
        <w:tc>
          <w:tcPr>
            <w:tcW w:w="987" w:type="dxa"/>
            <w:shd w:val="clear" w:color="auto" w:fill="auto"/>
            <w:noWrap/>
            <w:vAlign w:val="center"/>
          </w:tcPr>
          <w:p w14:paraId="21B34EF7" w14:textId="77777777" w:rsidR="007D1E74" w:rsidRDefault="00A95641">
            <w:pPr>
              <w:widowControl/>
              <w:jc w:val="center"/>
              <w:rPr>
                <w:rFonts w:ascii="宋体" w:hAnsi="宋体" w:cs="宋体"/>
                <w:kern w:val="0"/>
                <w:sz w:val="18"/>
                <w:szCs w:val="18"/>
              </w:rPr>
            </w:pPr>
            <w:r>
              <w:rPr>
                <w:rFonts w:ascii="宋体" w:hAnsi="宋体" w:cs="宋体" w:hint="eastAsia"/>
                <w:kern w:val="0"/>
                <w:sz w:val="18"/>
                <w:szCs w:val="18"/>
              </w:rPr>
              <w:t>马</w:t>
            </w:r>
            <w:r>
              <w:rPr>
                <w:rFonts w:cs="Times New Roman"/>
                <w:kern w:val="0"/>
                <w:sz w:val="18"/>
                <w:szCs w:val="18"/>
              </w:rPr>
              <w:t>1-10</w:t>
            </w:r>
          </w:p>
        </w:tc>
        <w:tc>
          <w:tcPr>
            <w:tcW w:w="739" w:type="dxa"/>
            <w:shd w:val="clear" w:color="auto" w:fill="auto"/>
            <w:noWrap/>
            <w:vAlign w:val="center"/>
          </w:tcPr>
          <w:p w14:paraId="76E92375" w14:textId="77777777" w:rsidR="007D1E74" w:rsidRDefault="00A95641">
            <w:pPr>
              <w:widowControl/>
              <w:jc w:val="center"/>
              <w:rPr>
                <w:rFonts w:cs="Times New Roman"/>
                <w:kern w:val="0"/>
                <w:sz w:val="18"/>
                <w:szCs w:val="18"/>
              </w:rPr>
            </w:pPr>
            <w:r>
              <w:rPr>
                <w:rFonts w:cs="Times New Roman"/>
                <w:kern w:val="0"/>
                <w:sz w:val="18"/>
                <w:szCs w:val="18"/>
              </w:rPr>
              <w:t>0.7495</w:t>
            </w:r>
          </w:p>
        </w:tc>
        <w:tc>
          <w:tcPr>
            <w:tcW w:w="738" w:type="dxa"/>
            <w:shd w:val="clear" w:color="auto" w:fill="auto"/>
            <w:noWrap/>
            <w:vAlign w:val="center"/>
          </w:tcPr>
          <w:p w14:paraId="69023584" w14:textId="77777777" w:rsidR="007D1E74" w:rsidRDefault="00A95641">
            <w:pPr>
              <w:widowControl/>
              <w:jc w:val="center"/>
              <w:rPr>
                <w:rFonts w:cs="Times New Roman"/>
                <w:kern w:val="0"/>
                <w:sz w:val="18"/>
                <w:szCs w:val="18"/>
              </w:rPr>
            </w:pPr>
            <w:r>
              <w:rPr>
                <w:rFonts w:cs="Times New Roman"/>
                <w:kern w:val="0"/>
                <w:sz w:val="18"/>
                <w:szCs w:val="18"/>
              </w:rPr>
              <w:t>1.4723</w:t>
            </w:r>
          </w:p>
        </w:tc>
        <w:tc>
          <w:tcPr>
            <w:tcW w:w="739" w:type="dxa"/>
            <w:shd w:val="clear" w:color="auto" w:fill="auto"/>
            <w:vAlign w:val="center"/>
          </w:tcPr>
          <w:p w14:paraId="14CBE618" w14:textId="77777777" w:rsidR="007D1E74" w:rsidRDefault="00A95641">
            <w:pPr>
              <w:widowControl/>
              <w:jc w:val="center"/>
              <w:rPr>
                <w:rFonts w:cs="Times New Roman"/>
                <w:kern w:val="0"/>
                <w:sz w:val="18"/>
                <w:szCs w:val="18"/>
              </w:rPr>
            </w:pPr>
            <w:r>
              <w:rPr>
                <w:rFonts w:cs="Times New Roman"/>
                <w:kern w:val="0"/>
                <w:sz w:val="18"/>
                <w:szCs w:val="18"/>
              </w:rPr>
              <w:t>0.2409</w:t>
            </w:r>
          </w:p>
        </w:tc>
        <w:tc>
          <w:tcPr>
            <w:tcW w:w="738" w:type="dxa"/>
            <w:shd w:val="clear" w:color="auto" w:fill="auto"/>
            <w:noWrap/>
            <w:vAlign w:val="center"/>
          </w:tcPr>
          <w:p w14:paraId="6D46D1BA" w14:textId="77777777" w:rsidR="007D1E74" w:rsidRDefault="00A95641">
            <w:pPr>
              <w:widowControl/>
              <w:jc w:val="center"/>
              <w:rPr>
                <w:rFonts w:cs="Times New Roman"/>
                <w:kern w:val="0"/>
                <w:sz w:val="18"/>
                <w:szCs w:val="18"/>
              </w:rPr>
            </w:pPr>
            <w:r>
              <w:rPr>
                <w:rFonts w:cs="Times New Roman"/>
                <w:kern w:val="0"/>
                <w:sz w:val="18"/>
                <w:szCs w:val="18"/>
              </w:rPr>
              <w:t>0.2142</w:t>
            </w:r>
          </w:p>
        </w:tc>
        <w:tc>
          <w:tcPr>
            <w:tcW w:w="738" w:type="dxa"/>
            <w:shd w:val="clear" w:color="auto" w:fill="auto"/>
            <w:noWrap/>
            <w:vAlign w:val="center"/>
          </w:tcPr>
          <w:p w14:paraId="50E8B073" w14:textId="77777777" w:rsidR="007D1E74" w:rsidRDefault="00A95641">
            <w:pPr>
              <w:widowControl/>
              <w:jc w:val="center"/>
              <w:rPr>
                <w:rFonts w:cs="Times New Roman"/>
                <w:kern w:val="0"/>
                <w:sz w:val="18"/>
                <w:szCs w:val="18"/>
              </w:rPr>
            </w:pPr>
            <w:r>
              <w:rPr>
                <w:rFonts w:cs="Times New Roman"/>
                <w:kern w:val="0"/>
                <w:sz w:val="18"/>
                <w:szCs w:val="18"/>
              </w:rPr>
              <w:t>/</w:t>
            </w:r>
          </w:p>
        </w:tc>
        <w:tc>
          <w:tcPr>
            <w:tcW w:w="744" w:type="dxa"/>
            <w:shd w:val="clear" w:color="auto" w:fill="auto"/>
            <w:noWrap/>
            <w:vAlign w:val="center"/>
          </w:tcPr>
          <w:p w14:paraId="09C60A91" w14:textId="77777777" w:rsidR="007D1E74" w:rsidRDefault="00A95641">
            <w:pPr>
              <w:widowControl/>
              <w:jc w:val="center"/>
              <w:rPr>
                <w:rFonts w:cs="Times New Roman"/>
                <w:kern w:val="0"/>
                <w:sz w:val="18"/>
                <w:szCs w:val="18"/>
              </w:rPr>
            </w:pPr>
            <w:r>
              <w:rPr>
                <w:rFonts w:cs="Times New Roman"/>
                <w:kern w:val="0"/>
                <w:sz w:val="18"/>
                <w:szCs w:val="18"/>
              </w:rPr>
              <w:t>/</w:t>
            </w:r>
          </w:p>
        </w:tc>
        <w:tc>
          <w:tcPr>
            <w:tcW w:w="744" w:type="dxa"/>
            <w:shd w:val="clear" w:color="auto" w:fill="auto"/>
            <w:noWrap/>
            <w:vAlign w:val="center"/>
          </w:tcPr>
          <w:p w14:paraId="0D90078A" w14:textId="77777777" w:rsidR="007D1E74" w:rsidRDefault="00A95641">
            <w:pPr>
              <w:widowControl/>
              <w:jc w:val="center"/>
              <w:rPr>
                <w:rFonts w:cs="Times New Roman"/>
                <w:kern w:val="0"/>
                <w:sz w:val="18"/>
                <w:szCs w:val="18"/>
              </w:rPr>
            </w:pPr>
            <w:r>
              <w:rPr>
                <w:rFonts w:cs="Times New Roman"/>
                <w:kern w:val="0"/>
                <w:sz w:val="18"/>
                <w:szCs w:val="18"/>
              </w:rPr>
              <w:t>/</w:t>
            </w:r>
          </w:p>
        </w:tc>
        <w:tc>
          <w:tcPr>
            <w:tcW w:w="744" w:type="dxa"/>
            <w:shd w:val="clear" w:color="auto" w:fill="auto"/>
            <w:noWrap/>
            <w:vAlign w:val="center"/>
          </w:tcPr>
          <w:p w14:paraId="697DE8B6" w14:textId="77777777" w:rsidR="007D1E74" w:rsidRDefault="00A95641">
            <w:pPr>
              <w:widowControl/>
              <w:jc w:val="center"/>
              <w:rPr>
                <w:rFonts w:cs="Times New Roman"/>
                <w:kern w:val="0"/>
                <w:sz w:val="18"/>
                <w:szCs w:val="18"/>
              </w:rPr>
            </w:pPr>
            <w:r>
              <w:rPr>
                <w:rFonts w:cs="Times New Roman"/>
                <w:kern w:val="0"/>
                <w:sz w:val="18"/>
                <w:szCs w:val="18"/>
              </w:rPr>
              <w:t>/</w:t>
            </w:r>
          </w:p>
        </w:tc>
        <w:tc>
          <w:tcPr>
            <w:tcW w:w="745" w:type="dxa"/>
            <w:shd w:val="clear" w:color="auto" w:fill="auto"/>
            <w:noWrap/>
            <w:vAlign w:val="center"/>
          </w:tcPr>
          <w:p w14:paraId="1E557512" w14:textId="77777777" w:rsidR="007D1E74" w:rsidRDefault="00A95641">
            <w:pPr>
              <w:widowControl/>
              <w:jc w:val="center"/>
              <w:rPr>
                <w:rFonts w:cs="Times New Roman"/>
                <w:kern w:val="0"/>
                <w:sz w:val="18"/>
                <w:szCs w:val="18"/>
              </w:rPr>
            </w:pPr>
            <w:r>
              <w:rPr>
                <w:rFonts w:cs="Times New Roman"/>
                <w:kern w:val="0"/>
                <w:sz w:val="18"/>
                <w:szCs w:val="18"/>
              </w:rPr>
              <w:t>/</w:t>
            </w:r>
          </w:p>
        </w:tc>
        <w:tc>
          <w:tcPr>
            <w:tcW w:w="939" w:type="dxa"/>
            <w:shd w:val="clear" w:color="auto" w:fill="auto"/>
            <w:vAlign w:val="center"/>
          </w:tcPr>
          <w:p w14:paraId="4F78FD0B" w14:textId="77777777" w:rsidR="007D1E74" w:rsidRDefault="00A95641">
            <w:pPr>
              <w:widowControl/>
              <w:jc w:val="center"/>
              <w:rPr>
                <w:rFonts w:cs="Times New Roman"/>
                <w:kern w:val="0"/>
                <w:sz w:val="18"/>
                <w:szCs w:val="18"/>
              </w:rPr>
            </w:pPr>
            <w:r>
              <w:rPr>
                <w:rFonts w:cs="Times New Roman"/>
                <w:kern w:val="0"/>
                <w:sz w:val="18"/>
                <w:szCs w:val="18"/>
              </w:rPr>
              <w:t>2.6769</w:t>
            </w:r>
          </w:p>
        </w:tc>
      </w:tr>
      <w:tr w:rsidR="007D1E74" w14:paraId="1D42E4DD" w14:textId="77777777">
        <w:tc>
          <w:tcPr>
            <w:tcW w:w="704" w:type="dxa"/>
            <w:vMerge/>
            <w:vAlign w:val="center"/>
          </w:tcPr>
          <w:p w14:paraId="13297EDF" w14:textId="77777777" w:rsidR="007D1E74" w:rsidRDefault="007D1E74">
            <w:pPr>
              <w:widowControl/>
              <w:jc w:val="center"/>
              <w:rPr>
                <w:rFonts w:ascii="宋体" w:hAnsi="宋体" w:cs="宋体"/>
                <w:kern w:val="0"/>
                <w:sz w:val="18"/>
                <w:szCs w:val="18"/>
              </w:rPr>
            </w:pPr>
          </w:p>
        </w:tc>
        <w:tc>
          <w:tcPr>
            <w:tcW w:w="987" w:type="dxa"/>
            <w:shd w:val="clear" w:color="auto" w:fill="auto"/>
            <w:noWrap/>
            <w:vAlign w:val="center"/>
          </w:tcPr>
          <w:p w14:paraId="39F4FA5E" w14:textId="77777777" w:rsidR="007D1E74" w:rsidRDefault="00A95641">
            <w:pPr>
              <w:widowControl/>
              <w:jc w:val="center"/>
              <w:rPr>
                <w:rFonts w:ascii="宋体" w:hAnsi="宋体" w:cs="宋体"/>
                <w:kern w:val="0"/>
                <w:sz w:val="18"/>
                <w:szCs w:val="18"/>
              </w:rPr>
            </w:pPr>
            <w:r>
              <w:rPr>
                <w:rFonts w:ascii="宋体" w:hAnsi="宋体" w:cs="宋体" w:hint="eastAsia"/>
                <w:kern w:val="0"/>
                <w:sz w:val="18"/>
                <w:szCs w:val="18"/>
              </w:rPr>
              <w:t>马</w:t>
            </w:r>
            <w:r>
              <w:rPr>
                <w:rFonts w:cs="Times New Roman"/>
                <w:kern w:val="0"/>
                <w:sz w:val="18"/>
                <w:szCs w:val="18"/>
              </w:rPr>
              <w:t>1-1</w:t>
            </w:r>
          </w:p>
        </w:tc>
        <w:tc>
          <w:tcPr>
            <w:tcW w:w="739" w:type="dxa"/>
            <w:shd w:val="clear" w:color="auto" w:fill="auto"/>
            <w:noWrap/>
            <w:vAlign w:val="center"/>
          </w:tcPr>
          <w:p w14:paraId="0635BB53" w14:textId="77777777" w:rsidR="007D1E74" w:rsidRDefault="00A95641">
            <w:pPr>
              <w:widowControl/>
              <w:jc w:val="center"/>
              <w:rPr>
                <w:rFonts w:cs="Times New Roman"/>
                <w:kern w:val="0"/>
                <w:sz w:val="18"/>
                <w:szCs w:val="18"/>
              </w:rPr>
            </w:pPr>
            <w:r>
              <w:rPr>
                <w:rFonts w:cs="Times New Roman"/>
                <w:kern w:val="0"/>
                <w:sz w:val="18"/>
                <w:szCs w:val="18"/>
              </w:rPr>
              <w:t>0.3329</w:t>
            </w:r>
          </w:p>
        </w:tc>
        <w:tc>
          <w:tcPr>
            <w:tcW w:w="738" w:type="dxa"/>
            <w:shd w:val="clear" w:color="auto" w:fill="auto"/>
            <w:noWrap/>
            <w:vAlign w:val="center"/>
          </w:tcPr>
          <w:p w14:paraId="56600417" w14:textId="77777777" w:rsidR="007D1E74" w:rsidRDefault="00A95641">
            <w:pPr>
              <w:widowControl/>
              <w:jc w:val="center"/>
              <w:rPr>
                <w:rFonts w:cs="Times New Roman"/>
                <w:kern w:val="0"/>
                <w:sz w:val="18"/>
                <w:szCs w:val="18"/>
              </w:rPr>
            </w:pPr>
            <w:r>
              <w:rPr>
                <w:rFonts w:cs="Times New Roman"/>
                <w:kern w:val="0"/>
                <w:sz w:val="18"/>
                <w:szCs w:val="18"/>
              </w:rPr>
              <w:t>0.654</w:t>
            </w:r>
          </w:p>
        </w:tc>
        <w:tc>
          <w:tcPr>
            <w:tcW w:w="739" w:type="dxa"/>
            <w:shd w:val="clear" w:color="auto" w:fill="auto"/>
            <w:vAlign w:val="center"/>
          </w:tcPr>
          <w:p w14:paraId="3C89D540" w14:textId="77777777" w:rsidR="007D1E74" w:rsidRDefault="00A95641">
            <w:pPr>
              <w:widowControl/>
              <w:jc w:val="center"/>
              <w:rPr>
                <w:rFonts w:cs="Times New Roman"/>
                <w:kern w:val="0"/>
                <w:sz w:val="18"/>
                <w:szCs w:val="18"/>
              </w:rPr>
            </w:pPr>
            <w:r>
              <w:rPr>
                <w:rFonts w:cs="Times New Roman"/>
                <w:kern w:val="0"/>
                <w:sz w:val="18"/>
                <w:szCs w:val="18"/>
              </w:rPr>
              <w:t>0.2021</w:t>
            </w:r>
          </w:p>
        </w:tc>
        <w:tc>
          <w:tcPr>
            <w:tcW w:w="738" w:type="dxa"/>
            <w:shd w:val="clear" w:color="auto" w:fill="auto"/>
            <w:noWrap/>
            <w:vAlign w:val="center"/>
          </w:tcPr>
          <w:p w14:paraId="0EC6CB80" w14:textId="77777777" w:rsidR="007D1E74" w:rsidRDefault="00A95641">
            <w:pPr>
              <w:widowControl/>
              <w:jc w:val="center"/>
              <w:rPr>
                <w:rFonts w:cs="Times New Roman"/>
                <w:kern w:val="0"/>
                <w:sz w:val="18"/>
                <w:szCs w:val="18"/>
              </w:rPr>
            </w:pPr>
            <w:r>
              <w:rPr>
                <w:rFonts w:cs="Times New Roman"/>
                <w:kern w:val="0"/>
                <w:sz w:val="18"/>
                <w:szCs w:val="18"/>
              </w:rPr>
              <w:t>/</w:t>
            </w:r>
          </w:p>
        </w:tc>
        <w:tc>
          <w:tcPr>
            <w:tcW w:w="738" w:type="dxa"/>
            <w:shd w:val="clear" w:color="auto" w:fill="auto"/>
            <w:noWrap/>
            <w:vAlign w:val="center"/>
          </w:tcPr>
          <w:p w14:paraId="7B799968" w14:textId="77777777" w:rsidR="007D1E74" w:rsidRDefault="00A95641">
            <w:pPr>
              <w:widowControl/>
              <w:jc w:val="center"/>
              <w:rPr>
                <w:rFonts w:cs="Times New Roman"/>
                <w:kern w:val="0"/>
                <w:sz w:val="18"/>
                <w:szCs w:val="18"/>
              </w:rPr>
            </w:pPr>
            <w:r>
              <w:rPr>
                <w:rFonts w:cs="Times New Roman"/>
                <w:kern w:val="0"/>
                <w:sz w:val="18"/>
                <w:szCs w:val="18"/>
              </w:rPr>
              <w:t>/</w:t>
            </w:r>
          </w:p>
        </w:tc>
        <w:tc>
          <w:tcPr>
            <w:tcW w:w="744" w:type="dxa"/>
            <w:shd w:val="clear" w:color="auto" w:fill="auto"/>
            <w:noWrap/>
            <w:vAlign w:val="center"/>
          </w:tcPr>
          <w:p w14:paraId="02FF158F" w14:textId="77777777" w:rsidR="007D1E74" w:rsidRDefault="00A95641">
            <w:pPr>
              <w:widowControl/>
              <w:jc w:val="center"/>
              <w:rPr>
                <w:rFonts w:cs="Times New Roman"/>
                <w:kern w:val="0"/>
                <w:sz w:val="18"/>
                <w:szCs w:val="18"/>
              </w:rPr>
            </w:pPr>
            <w:r>
              <w:rPr>
                <w:rFonts w:cs="Times New Roman"/>
                <w:kern w:val="0"/>
                <w:sz w:val="18"/>
                <w:szCs w:val="18"/>
              </w:rPr>
              <w:t>/</w:t>
            </w:r>
          </w:p>
        </w:tc>
        <w:tc>
          <w:tcPr>
            <w:tcW w:w="744" w:type="dxa"/>
            <w:shd w:val="clear" w:color="auto" w:fill="auto"/>
            <w:noWrap/>
            <w:vAlign w:val="center"/>
          </w:tcPr>
          <w:p w14:paraId="0EEABC49" w14:textId="77777777" w:rsidR="007D1E74" w:rsidRDefault="00A95641">
            <w:pPr>
              <w:widowControl/>
              <w:jc w:val="center"/>
              <w:rPr>
                <w:rFonts w:cs="Times New Roman"/>
                <w:kern w:val="0"/>
                <w:sz w:val="18"/>
                <w:szCs w:val="18"/>
              </w:rPr>
            </w:pPr>
            <w:r>
              <w:rPr>
                <w:rFonts w:cs="Times New Roman"/>
                <w:kern w:val="0"/>
                <w:sz w:val="18"/>
                <w:szCs w:val="18"/>
              </w:rPr>
              <w:t>/</w:t>
            </w:r>
          </w:p>
        </w:tc>
        <w:tc>
          <w:tcPr>
            <w:tcW w:w="744" w:type="dxa"/>
            <w:shd w:val="clear" w:color="auto" w:fill="auto"/>
            <w:noWrap/>
            <w:vAlign w:val="center"/>
          </w:tcPr>
          <w:p w14:paraId="5E45EBE0" w14:textId="77777777" w:rsidR="007D1E74" w:rsidRDefault="00A95641">
            <w:pPr>
              <w:widowControl/>
              <w:jc w:val="center"/>
              <w:rPr>
                <w:rFonts w:cs="Times New Roman"/>
                <w:kern w:val="0"/>
                <w:sz w:val="18"/>
                <w:szCs w:val="18"/>
              </w:rPr>
            </w:pPr>
            <w:r>
              <w:rPr>
                <w:rFonts w:cs="Times New Roman"/>
                <w:kern w:val="0"/>
                <w:sz w:val="18"/>
                <w:szCs w:val="18"/>
              </w:rPr>
              <w:t>/</w:t>
            </w:r>
          </w:p>
        </w:tc>
        <w:tc>
          <w:tcPr>
            <w:tcW w:w="745" w:type="dxa"/>
            <w:shd w:val="clear" w:color="auto" w:fill="auto"/>
            <w:noWrap/>
            <w:vAlign w:val="center"/>
          </w:tcPr>
          <w:p w14:paraId="3B76D96D" w14:textId="77777777" w:rsidR="007D1E74" w:rsidRDefault="00A95641">
            <w:pPr>
              <w:widowControl/>
              <w:jc w:val="center"/>
              <w:rPr>
                <w:rFonts w:cs="Times New Roman"/>
                <w:kern w:val="0"/>
                <w:sz w:val="18"/>
                <w:szCs w:val="18"/>
              </w:rPr>
            </w:pPr>
            <w:r>
              <w:rPr>
                <w:rFonts w:cs="Times New Roman"/>
                <w:kern w:val="0"/>
                <w:sz w:val="18"/>
                <w:szCs w:val="18"/>
              </w:rPr>
              <w:t>/</w:t>
            </w:r>
          </w:p>
        </w:tc>
        <w:tc>
          <w:tcPr>
            <w:tcW w:w="939" w:type="dxa"/>
            <w:shd w:val="clear" w:color="auto" w:fill="auto"/>
            <w:vAlign w:val="center"/>
          </w:tcPr>
          <w:p w14:paraId="597FF766" w14:textId="77777777" w:rsidR="007D1E74" w:rsidRDefault="00A95641">
            <w:pPr>
              <w:widowControl/>
              <w:jc w:val="center"/>
              <w:rPr>
                <w:rFonts w:cs="Times New Roman"/>
                <w:kern w:val="0"/>
                <w:sz w:val="18"/>
                <w:szCs w:val="18"/>
              </w:rPr>
            </w:pPr>
            <w:r>
              <w:rPr>
                <w:rFonts w:cs="Times New Roman"/>
                <w:kern w:val="0"/>
                <w:sz w:val="18"/>
                <w:szCs w:val="18"/>
              </w:rPr>
              <w:t>1.189</w:t>
            </w:r>
          </w:p>
        </w:tc>
      </w:tr>
      <w:tr w:rsidR="007D1E74" w14:paraId="76EC097D" w14:textId="77777777">
        <w:tc>
          <w:tcPr>
            <w:tcW w:w="704" w:type="dxa"/>
            <w:vMerge/>
            <w:vAlign w:val="center"/>
          </w:tcPr>
          <w:p w14:paraId="2A52BFD6" w14:textId="77777777" w:rsidR="007D1E74" w:rsidRDefault="007D1E74">
            <w:pPr>
              <w:widowControl/>
              <w:jc w:val="center"/>
              <w:rPr>
                <w:rFonts w:ascii="宋体" w:hAnsi="宋体" w:cs="宋体"/>
                <w:kern w:val="0"/>
                <w:sz w:val="18"/>
                <w:szCs w:val="18"/>
              </w:rPr>
            </w:pPr>
          </w:p>
        </w:tc>
        <w:tc>
          <w:tcPr>
            <w:tcW w:w="987" w:type="dxa"/>
            <w:shd w:val="clear" w:color="auto" w:fill="auto"/>
            <w:noWrap/>
            <w:vAlign w:val="center"/>
          </w:tcPr>
          <w:p w14:paraId="43964E82" w14:textId="77777777" w:rsidR="007D1E74" w:rsidRDefault="00A95641">
            <w:pPr>
              <w:widowControl/>
              <w:jc w:val="center"/>
              <w:rPr>
                <w:rFonts w:ascii="宋体" w:hAnsi="宋体" w:cs="宋体"/>
                <w:kern w:val="0"/>
                <w:sz w:val="18"/>
                <w:szCs w:val="18"/>
              </w:rPr>
            </w:pPr>
            <w:r>
              <w:rPr>
                <w:rFonts w:ascii="宋体" w:hAnsi="宋体" w:cs="宋体" w:hint="eastAsia"/>
                <w:kern w:val="0"/>
                <w:sz w:val="18"/>
                <w:szCs w:val="18"/>
              </w:rPr>
              <w:t>马</w:t>
            </w:r>
            <w:r>
              <w:rPr>
                <w:rFonts w:cs="Times New Roman"/>
                <w:kern w:val="0"/>
                <w:sz w:val="18"/>
                <w:szCs w:val="18"/>
              </w:rPr>
              <w:t>1-13H</w:t>
            </w:r>
          </w:p>
        </w:tc>
        <w:tc>
          <w:tcPr>
            <w:tcW w:w="739" w:type="dxa"/>
            <w:shd w:val="clear" w:color="auto" w:fill="auto"/>
            <w:noWrap/>
            <w:vAlign w:val="center"/>
          </w:tcPr>
          <w:p w14:paraId="784E9BED" w14:textId="77777777" w:rsidR="007D1E74" w:rsidRDefault="00A95641">
            <w:pPr>
              <w:widowControl/>
              <w:jc w:val="center"/>
              <w:rPr>
                <w:rFonts w:cs="Times New Roman"/>
                <w:kern w:val="0"/>
                <w:sz w:val="18"/>
                <w:szCs w:val="18"/>
              </w:rPr>
            </w:pPr>
            <w:r>
              <w:rPr>
                <w:rFonts w:cs="Times New Roman"/>
                <w:kern w:val="0"/>
                <w:sz w:val="18"/>
                <w:szCs w:val="18"/>
              </w:rPr>
              <w:t>0.1978</w:t>
            </w:r>
          </w:p>
        </w:tc>
        <w:tc>
          <w:tcPr>
            <w:tcW w:w="738" w:type="dxa"/>
            <w:shd w:val="clear" w:color="auto" w:fill="auto"/>
            <w:noWrap/>
            <w:vAlign w:val="center"/>
          </w:tcPr>
          <w:p w14:paraId="7AC0D6F8" w14:textId="77777777" w:rsidR="007D1E74" w:rsidRDefault="00A95641">
            <w:pPr>
              <w:widowControl/>
              <w:jc w:val="center"/>
              <w:rPr>
                <w:rFonts w:cs="Times New Roman"/>
                <w:kern w:val="0"/>
                <w:sz w:val="18"/>
                <w:szCs w:val="18"/>
              </w:rPr>
            </w:pPr>
            <w:r>
              <w:rPr>
                <w:rFonts w:cs="Times New Roman"/>
                <w:kern w:val="0"/>
                <w:sz w:val="18"/>
                <w:szCs w:val="18"/>
              </w:rPr>
              <w:t>0.3886</w:t>
            </w:r>
          </w:p>
        </w:tc>
        <w:tc>
          <w:tcPr>
            <w:tcW w:w="739" w:type="dxa"/>
            <w:shd w:val="clear" w:color="auto" w:fill="auto"/>
            <w:vAlign w:val="center"/>
          </w:tcPr>
          <w:p w14:paraId="5303DC4F" w14:textId="77777777" w:rsidR="007D1E74" w:rsidRDefault="00A95641">
            <w:pPr>
              <w:widowControl/>
              <w:jc w:val="center"/>
              <w:rPr>
                <w:rFonts w:cs="Times New Roman"/>
                <w:kern w:val="0"/>
                <w:sz w:val="18"/>
                <w:szCs w:val="18"/>
              </w:rPr>
            </w:pPr>
            <w:r>
              <w:rPr>
                <w:rFonts w:cs="Times New Roman"/>
                <w:kern w:val="0"/>
                <w:sz w:val="18"/>
                <w:szCs w:val="18"/>
              </w:rPr>
              <w:t>0.0636</w:t>
            </w:r>
          </w:p>
        </w:tc>
        <w:tc>
          <w:tcPr>
            <w:tcW w:w="738" w:type="dxa"/>
            <w:shd w:val="clear" w:color="auto" w:fill="auto"/>
            <w:noWrap/>
            <w:vAlign w:val="center"/>
          </w:tcPr>
          <w:p w14:paraId="5627920C" w14:textId="77777777" w:rsidR="007D1E74" w:rsidRDefault="00A95641">
            <w:pPr>
              <w:widowControl/>
              <w:jc w:val="center"/>
              <w:rPr>
                <w:rFonts w:cs="Times New Roman"/>
                <w:kern w:val="0"/>
                <w:sz w:val="18"/>
                <w:szCs w:val="18"/>
              </w:rPr>
            </w:pPr>
            <w:r>
              <w:rPr>
                <w:rFonts w:cs="Times New Roman"/>
                <w:kern w:val="0"/>
                <w:sz w:val="18"/>
                <w:szCs w:val="18"/>
              </w:rPr>
              <w:t>0.0565</w:t>
            </w:r>
          </w:p>
        </w:tc>
        <w:tc>
          <w:tcPr>
            <w:tcW w:w="738" w:type="dxa"/>
            <w:shd w:val="clear" w:color="auto" w:fill="auto"/>
            <w:noWrap/>
            <w:vAlign w:val="center"/>
          </w:tcPr>
          <w:p w14:paraId="471ABDE9" w14:textId="77777777" w:rsidR="007D1E74" w:rsidRDefault="00A95641">
            <w:pPr>
              <w:widowControl/>
              <w:jc w:val="center"/>
              <w:rPr>
                <w:rFonts w:cs="Times New Roman"/>
                <w:kern w:val="0"/>
                <w:sz w:val="18"/>
                <w:szCs w:val="18"/>
              </w:rPr>
            </w:pPr>
            <w:r>
              <w:rPr>
                <w:rFonts w:cs="Times New Roman"/>
                <w:kern w:val="0"/>
                <w:sz w:val="18"/>
                <w:szCs w:val="18"/>
              </w:rPr>
              <w:t>/</w:t>
            </w:r>
          </w:p>
        </w:tc>
        <w:tc>
          <w:tcPr>
            <w:tcW w:w="744" w:type="dxa"/>
            <w:shd w:val="clear" w:color="auto" w:fill="auto"/>
            <w:noWrap/>
            <w:vAlign w:val="center"/>
          </w:tcPr>
          <w:p w14:paraId="67F46E88" w14:textId="77777777" w:rsidR="007D1E74" w:rsidRDefault="00A95641">
            <w:pPr>
              <w:widowControl/>
              <w:jc w:val="center"/>
              <w:rPr>
                <w:rFonts w:cs="Times New Roman"/>
                <w:kern w:val="0"/>
                <w:sz w:val="18"/>
                <w:szCs w:val="18"/>
              </w:rPr>
            </w:pPr>
            <w:r>
              <w:rPr>
                <w:rFonts w:cs="Times New Roman"/>
                <w:kern w:val="0"/>
                <w:sz w:val="18"/>
                <w:szCs w:val="18"/>
              </w:rPr>
              <w:t>/</w:t>
            </w:r>
          </w:p>
        </w:tc>
        <w:tc>
          <w:tcPr>
            <w:tcW w:w="744" w:type="dxa"/>
            <w:shd w:val="clear" w:color="auto" w:fill="auto"/>
            <w:noWrap/>
            <w:vAlign w:val="center"/>
          </w:tcPr>
          <w:p w14:paraId="27413DE9" w14:textId="77777777" w:rsidR="007D1E74" w:rsidRDefault="00A95641">
            <w:pPr>
              <w:widowControl/>
              <w:jc w:val="center"/>
              <w:rPr>
                <w:rFonts w:cs="Times New Roman"/>
                <w:kern w:val="0"/>
                <w:sz w:val="18"/>
                <w:szCs w:val="18"/>
              </w:rPr>
            </w:pPr>
            <w:r>
              <w:rPr>
                <w:rFonts w:cs="Times New Roman"/>
                <w:kern w:val="0"/>
                <w:sz w:val="18"/>
                <w:szCs w:val="18"/>
              </w:rPr>
              <w:t>/</w:t>
            </w:r>
          </w:p>
        </w:tc>
        <w:tc>
          <w:tcPr>
            <w:tcW w:w="744" w:type="dxa"/>
            <w:shd w:val="clear" w:color="auto" w:fill="auto"/>
            <w:noWrap/>
            <w:vAlign w:val="center"/>
          </w:tcPr>
          <w:p w14:paraId="0CF0D9B5" w14:textId="77777777" w:rsidR="007D1E74" w:rsidRDefault="00A95641">
            <w:pPr>
              <w:widowControl/>
              <w:jc w:val="center"/>
              <w:rPr>
                <w:rFonts w:cs="Times New Roman"/>
                <w:kern w:val="0"/>
                <w:sz w:val="18"/>
                <w:szCs w:val="18"/>
              </w:rPr>
            </w:pPr>
            <w:r>
              <w:rPr>
                <w:rFonts w:cs="Times New Roman"/>
                <w:kern w:val="0"/>
                <w:sz w:val="18"/>
                <w:szCs w:val="18"/>
              </w:rPr>
              <w:t>/</w:t>
            </w:r>
          </w:p>
        </w:tc>
        <w:tc>
          <w:tcPr>
            <w:tcW w:w="745" w:type="dxa"/>
            <w:shd w:val="clear" w:color="auto" w:fill="auto"/>
            <w:noWrap/>
            <w:vAlign w:val="center"/>
          </w:tcPr>
          <w:p w14:paraId="0EDCA1DD" w14:textId="77777777" w:rsidR="007D1E74" w:rsidRDefault="00A95641">
            <w:pPr>
              <w:widowControl/>
              <w:jc w:val="center"/>
              <w:rPr>
                <w:rFonts w:cs="Times New Roman"/>
                <w:kern w:val="0"/>
                <w:sz w:val="18"/>
                <w:szCs w:val="18"/>
              </w:rPr>
            </w:pPr>
            <w:r>
              <w:rPr>
                <w:rFonts w:cs="Times New Roman"/>
                <w:kern w:val="0"/>
                <w:sz w:val="18"/>
                <w:szCs w:val="18"/>
              </w:rPr>
              <w:t>/</w:t>
            </w:r>
          </w:p>
        </w:tc>
        <w:tc>
          <w:tcPr>
            <w:tcW w:w="939" w:type="dxa"/>
            <w:shd w:val="clear" w:color="auto" w:fill="auto"/>
            <w:vAlign w:val="center"/>
          </w:tcPr>
          <w:p w14:paraId="413A5C19" w14:textId="77777777" w:rsidR="007D1E74" w:rsidRDefault="00A95641">
            <w:pPr>
              <w:widowControl/>
              <w:jc w:val="center"/>
              <w:rPr>
                <w:rFonts w:cs="Times New Roman"/>
                <w:kern w:val="0"/>
                <w:sz w:val="18"/>
                <w:szCs w:val="18"/>
              </w:rPr>
            </w:pPr>
            <w:r>
              <w:rPr>
                <w:rFonts w:cs="Times New Roman"/>
                <w:kern w:val="0"/>
                <w:sz w:val="18"/>
                <w:szCs w:val="18"/>
              </w:rPr>
              <w:t>0.7065</w:t>
            </w:r>
          </w:p>
        </w:tc>
      </w:tr>
      <w:tr w:rsidR="007D1E74" w14:paraId="57FEBEC2" w14:textId="77777777">
        <w:trPr>
          <w:trHeight w:val="70"/>
        </w:trPr>
        <w:tc>
          <w:tcPr>
            <w:tcW w:w="704" w:type="dxa"/>
            <w:vMerge/>
            <w:vAlign w:val="center"/>
          </w:tcPr>
          <w:p w14:paraId="5834FB84" w14:textId="77777777" w:rsidR="007D1E74" w:rsidRDefault="007D1E74">
            <w:pPr>
              <w:widowControl/>
              <w:jc w:val="center"/>
              <w:rPr>
                <w:rFonts w:ascii="宋体" w:hAnsi="宋体" w:cs="宋体"/>
                <w:kern w:val="0"/>
                <w:sz w:val="18"/>
                <w:szCs w:val="18"/>
              </w:rPr>
            </w:pPr>
          </w:p>
        </w:tc>
        <w:tc>
          <w:tcPr>
            <w:tcW w:w="987" w:type="dxa"/>
            <w:shd w:val="clear" w:color="auto" w:fill="auto"/>
            <w:noWrap/>
            <w:vAlign w:val="center"/>
          </w:tcPr>
          <w:p w14:paraId="03A1E195" w14:textId="77777777" w:rsidR="007D1E74" w:rsidRDefault="00A95641">
            <w:pPr>
              <w:widowControl/>
              <w:jc w:val="center"/>
              <w:rPr>
                <w:rFonts w:cs="Times New Roman"/>
                <w:kern w:val="0"/>
                <w:sz w:val="18"/>
                <w:szCs w:val="18"/>
              </w:rPr>
            </w:pPr>
            <w:r>
              <w:rPr>
                <w:rFonts w:cs="Times New Roman"/>
                <w:kern w:val="0"/>
                <w:sz w:val="18"/>
                <w:szCs w:val="18"/>
              </w:rPr>
              <w:t>4#</w:t>
            </w:r>
            <w:r>
              <w:rPr>
                <w:rFonts w:ascii="宋体" w:hAnsi="宋体" w:cs="Times New Roman" w:hint="eastAsia"/>
                <w:kern w:val="0"/>
                <w:sz w:val="18"/>
                <w:szCs w:val="18"/>
              </w:rPr>
              <w:t>清管阀室至</w:t>
            </w:r>
          </w:p>
        </w:tc>
        <w:tc>
          <w:tcPr>
            <w:tcW w:w="739" w:type="dxa"/>
            <w:shd w:val="clear" w:color="auto" w:fill="auto"/>
            <w:noWrap/>
            <w:vAlign w:val="center"/>
          </w:tcPr>
          <w:p w14:paraId="7457B072" w14:textId="77777777" w:rsidR="007D1E74" w:rsidRDefault="00A95641">
            <w:pPr>
              <w:widowControl/>
              <w:jc w:val="center"/>
              <w:rPr>
                <w:rFonts w:cs="Times New Roman"/>
                <w:kern w:val="0"/>
                <w:sz w:val="18"/>
                <w:szCs w:val="18"/>
              </w:rPr>
            </w:pPr>
            <w:r>
              <w:rPr>
                <w:rFonts w:cs="Times New Roman"/>
                <w:kern w:val="0"/>
                <w:sz w:val="18"/>
                <w:szCs w:val="18"/>
              </w:rPr>
              <w:t>4.3998</w:t>
            </w:r>
          </w:p>
        </w:tc>
        <w:tc>
          <w:tcPr>
            <w:tcW w:w="738" w:type="dxa"/>
            <w:shd w:val="clear" w:color="auto" w:fill="auto"/>
            <w:noWrap/>
            <w:vAlign w:val="center"/>
          </w:tcPr>
          <w:p w14:paraId="631902C4" w14:textId="77777777" w:rsidR="007D1E74" w:rsidRDefault="00A95641">
            <w:pPr>
              <w:widowControl/>
              <w:jc w:val="center"/>
              <w:rPr>
                <w:rFonts w:cs="Times New Roman"/>
                <w:kern w:val="0"/>
                <w:sz w:val="18"/>
                <w:szCs w:val="18"/>
              </w:rPr>
            </w:pPr>
            <w:r>
              <w:rPr>
                <w:rFonts w:cs="Times New Roman"/>
                <w:kern w:val="0"/>
                <w:sz w:val="18"/>
                <w:szCs w:val="18"/>
              </w:rPr>
              <w:t>8.9567</w:t>
            </w:r>
          </w:p>
        </w:tc>
        <w:tc>
          <w:tcPr>
            <w:tcW w:w="739" w:type="dxa"/>
            <w:shd w:val="clear" w:color="auto" w:fill="auto"/>
            <w:vAlign w:val="center"/>
          </w:tcPr>
          <w:p w14:paraId="518C150F" w14:textId="77777777" w:rsidR="007D1E74" w:rsidRDefault="00A95641">
            <w:pPr>
              <w:widowControl/>
              <w:jc w:val="center"/>
              <w:rPr>
                <w:rFonts w:cs="Times New Roman"/>
                <w:kern w:val="0"/>
                <w:sz w:val="18"/>
                <w:szCs w:val="18"/>
              </w:rPr>
            </w:pPr>
            <w:r>
              <w:rPr>
                <w:rFonts w:cs="Times New Roman"/>
                <w:kern w:val="0"/>
                <w:sz w:val="18"/>
                <w:szCs w:val="18"/>
              </w:rPr>
              <w:t>2.0999</w:t>
            </w:r>
          </w:p>
        </w:tc>
        <w:tc>
          <w:tcPr>
            <w:tcW w:w="738" w:type="dxa"/>
            <w:shd w:val="clear" w:color="auto" w:fill="auto"/>
            <w:noWrap/>
            <w:vAlign w:val="center"/>
          </w:tcPr>
          <w:p w14:paraId="0610C3F5" w14:textId="77777777" w:rsidR="007D1E74" w:rsidRDefault="00A95641">
            <w:pPr>
              <w:widowControl/>
              <w:jc w:val="center"/>
              <w:rPr>
                <w:rFonts w:cs="Times New Roman"/>
                <w:kern w:val="0"/>
                <w:sz w:val="18"/>
                <w:szCs w:val="18"/>
              </w:rPr>
            </w:pPr>
            <w:r>
              <w:rPr>
                <w:rFonts w:cs="Times New Roman"/>
                <w:kern w:val="0"/>
                <w:sz w:val="18"/>
                <w:szCs w:val="18"/>
              </w:rPr>
              <w:t>0.2571</w:t>
            </w:r>
          </w:p>
        </w:tc>
        <w:tc>
          <w:tcPr>
            <w:tcW w:w="738" w:type="dxa"/>
            <w:shd w:val="clear" w:color="auto" w:fill="auto"/>
            <w:noWrap/>
            <w:vAlign w:val="center"/>
          </w:tcPr>
          <w:p w14:paraId="4C3A49DF" w14:textId="77777777" w:rsidR="007D1E74" w:rsidRDefault="00A95641">
            <w:pPr>
              <w:widowControl/>
              <w:jc w:val="center"/>
              <w:rPr>
                <w:rFonts w:cs="Times New Roman"/>
                <w:kern w:val="0"/>
                <w:sz w:val="18"/>
                <w:szCs w:val="18"/>
              </w:rPr>
            </w:pPr>
            <w:r>
              <w:rPr>
                <w:rFonts w:cs="Times New Roman"/>
                <w:kern w:val="0"/>
                <w:sz w:val="18"/>
                <w:szCs w:val="18"/>
              </w:rPr>
              <w:t>/</w:t>
            </w:r>
          </w:p>
        </w:tc>
        <w:tc>
          <w:tcPr>
            <w:tcW w:w="744" w:type="dxa"/>
            <w:shd w:val="clear" w:color="auto" w:fill="auto"/>
            <w:noWrap/>
            <w:vAlign w:val="center"/>
          </w:tcPr>
          <w:p w14:paraId="7330CEDE" w14:textId="77777777" w:rsidR="007D1E74" w:rsidRDefault="00A95641">
            <w:pPr>
              <w:widowControl/>
              <w:jc w:val="center"/>
              <w:rPr>
                <w:rFonts w:cs="Times New Roman"/>
                <w:kern w:val="0"/>
                <w:sz w:val="18"/>
                <w:szCs w:val="18"/>
              </w:rPr>
            </w:pPr>
            <w:r>
              <w:rPr>
                <w:rFonts w:cs="Times New Roman"/>
                <w:kern w:val="0"/>
                <w:sz w:val="18"/>
                <w:szCs w:val="18"/>
              </w:rPr>
              <w:t>/</w:t>
            </w:r>
          </w:p>
        </w:tc>
        <w:tc>
          <w:tcPr>
            <w:tcW w:w="744" w:type="dxa"/>
            <w:shd w:val="clear" w:color="auto" w:fill="auto"/>
            <w:noWrap/>
            <w:vAlign w:val="center"/>
          </w:tcPr>
          <w:p w14:paraId="327D1934" w14:textId="77777777" w:rsidR="007D1E74" w:rsidRDefault="00A95641">
            <w:pPr>
              <w:widowControl/>
              <w:jc w:val="center"/>
              <w:rPr>
                <w:rFonts w:cs="Times New Roman"/>
                <w:kern w:val="0"/>
                <w:sz w:val="18"/>
                <w:szCs w:val="18"/>
              </w:rPr>
            </w:pPr>
            <w:r>
              <w:rPr>
                <w:rFonts w:cs="Times New Roman"/>
                <w:kern w:val="0"/>
                <w:sz w:val="18"/>
                <w:szCs w:val="18"/>
              </w:rPr>
              <w:t>/</w:t>
            </w:r>
          </w:p>
        </w:tc>
        <w:tc>
          <w:tcPr>
            <w:tcW w:w="744" w:type="dxa"/>
            <w:shd w:val="clear" w:color="auto" w:fill="auto"/>
            <w:noWrap/>
            <w:vAlign w:val="center"/>
          </w:tcPr>
          <w:p w14:paraId="043CB1CB" w14:textId="77777777" w:rsidR="007D1E74" w:rsidRDefault="00A95641">
            <w:pPr>
              <w:widowControl/>
              <w:jc w:val="center"/>
              <w:rPr>
                <w:rFonts w:cs="Times New Roman"/>
                <w:kern w:val="0"/>
                <w:sz w:val="18"/>
                <w:szCs w:val="18"/>
              </w:rPr>
            </w:pPr>
            <w:r>
              <w:rPr>
                <w:rFonts w:cs="Times New Roman"/>
                <w:kern w:val="0"/>
                <w:sz w:val="18"/>
                <w:szCs w:val="18"/>
              </w:rPr>
              <w:t>/</w:t>
            </w:r>
          </w:p>
        </w:tc>
        <w:tc>
          <w:tcPr>
            <w:tcW w:w="745" w:type="dxa"/>
            <w:shd w:val="clear" w:color="auto" w:fill="auto"/>
            <w:noWrap/>
            <w:vAlign w:val="center"/>
          </w:tcPr>
          <w:p w14:paraId="277D5A51" w14:textId="77777777" w:rsidR="007D1E74" w:rsidRDefault="00A95641">
            <w:pPr>
              <w:widowControl/>
              <w:jc w:val="center"/>
              <w:rPr>
                <w:rFonts w:cs="Times New Roman"/>
                <w:kern w:val="0"/>
                <w:sz w:val="18"/>
                <w:szCs w:val="18"/>
              </w:rPr>
            </w:pPr>
            <w:r>
              <w:rPr>
                <w:rFonts w:cs="Times New Roman"/>
                <w:kern w:val="0"/>
                <w:sz w:val="18"/>
                <w:szCs w:val="18"/>
              </w:rPr>
              <w:t>/</w:t>
            </w:r>
          </w:p>
        </w:tc>
        <w:tc>
          <w:tcPr>
            <w:tcW w:w="939" w:type="dxa"/>
            <w:shd w:val="clear" w:color="auto" w:fill="auto"/>
            <w:vAlign w:val="center"/>
          </w:tcPr>
          <w:p w14:paraId="0EFE974B" w14:textId="77777777" w:rsidR="007D1E74" w:rsidRDefault="00A95641">
            <w:pPr>
              <w:widowControl/>
              <w:jc w:val="center"/>
              <w:rPr>
                <w:rFonts w:cs="Times New Roman"/>
                <w:kern w:val="0"/>
                <w:sz w:val="18"/>
                <w:szCs w:val="18"/>
              </w:rPr>
            </w:pPr>
            <w:r>
              <w:rPr>
                <w:rFonts w:cs="Times New Roman"/>
                <w:kern w:val="0"/>
                <w:sz w:val="18"/>
                <w:szCs w:val="18"/>
              </w:rPr>
              <w:t>15.7135</w:t>
            </w:r>
          </w:p>
        </w:tc>
      </w:tr>
      <w:tr w:rsidR="007D1E74" w14:paraId="045E0E8B" w14:textId="77777777">
        <w:tc>
          <w:tcPr>
            <w:tcW w:w="704" w:type="dxa"/>
            <w:vMerge/>
            <w:vAlign w:val="center"/>
          </w:tcPr>
          <w:p w14:paraId="62E90040" w14:textId="77777777" w:rsidR="007D1E74" w:rsidRDefault="007D1E74">
            <w:pPr>
              <w:widowControl/>
              <w:jc w:val="center"/>
              <w:rPr>
                <w:rFonts w:ascii="宋体" w:hAnsi="宋体" w:cs="宋体"/>
                <w:kern w:val="0"/>
                <w:sz w:val="18"/>
                <w:szCs w:val="18"/>
              </w:rPr>
            </w:pPr>
          </w:p>
        </w:tc>
        <w:tc>
          <w:tcPr>
            <w:tcW w:w="987" w:type="dxa"/>
            <w:shd w:val="clear" w:color="auto" w:fill="auto"/>
            <w:noWrap/>
            <w:vAlign w:val="center"/>
          </w:tcPr>
          <w:p w14:paraId="1FBB870C" w14:textId="77777777" w:rsidR="007D1E74" w:rsidRDefault="00A95641">
            <w:pPr>
              <w:widowControl/>
              <w:jc w:val="center"/>
              <w:rPr>
                <w:rFonts w:ascii="宋体" w:hAnsi="宋体" w:cs="宋体"/>
                <w:kern w:val="0"/>
                <w:sz w:val="18"/>
                <w:szCs w:val="18"/>
              </w:rPr>
            </w:pPr>
            <w:r>
              <w:rPr>
                <w:rFonts w:ascii="宋体" w:hAnsi="宋体" w:cs="宋体" w:hint="eastAsia"/>
                <w:kern w:val="0"/>
                <w:sz w:val="18"/>
                <w:szCs w:val="18"/>
              </w:rPr>
              <w:t>马</w:t>
            </w:r>
            <w:r>
              <w:rPr>
                <w:rFonts w:cs="Times New Roman"/>
                <w:kern w:val="0"/>
                <w:sz w:val="18"/>
                <w:szCs w:val="18"/>
              </w:rPr>
              <w:t>1-12</w:t>
            </w:r>
          </w:p>
        </w:tc>
        <w:tc>
          <w:tcPr>
            <w:tcW w:w="739" w:type="dxa"/>
            <w:shd w:val="clear" w:color="auto" w:fill="auto"/>
            <w:noWrap/>
            <w:vAlign w:val="center"/>
          </w:tcPr>
          <w:p w14:paraId="78388B22" w14:textId="77777777" w:rsidR="007D1E74" w:rsidRDefault="00A95641">
            <w:pPr>
              <w:widowControl/>
              <w:jc w:val="center"/>
              <w:rPr>
                <w:rFonts w:cs="Times New Roman"/>
                <w:kern w:val="0"/>
                <w:sz w:val="18"/>
                <w:szCs w:val="18"/>
              </w:rPr>
            </w:pPr>
            <w:r>
              <w:rPr>
                <w:rFonts w:cs="Times New Roman"/>
                <w:kern w:val="0"/>
                <w:sz w:val="18"/>
                <w:szCs w:val="18"/>
              </w:rPr>
              <w:t>0.448</w:t>
            </w:r>
          </w:p>
        </w:tc>
        <w:tc>
          <w:tcPr>
            <w:tcW w:w="738" w:type="dxa"/>
            <w:shd w:val="clear" w:color="auto" w:fill="auto"/>
            <w:noWrap/>
            <w:vAlign w:val="center"/>
          </w:tcPr>
          <w:p w14:paraId="2C3E84E6" w14:textId="77777777" w:rsidR="007D1E74" w:rsidRDefault="00A95641">
            <w:pPr>
              <w:widowControl/>
              <w:jc w:val="center"/>
              <w:rPr>
                <w:rFonts w:cs="Times New Roman"/>
                <w:kern w:val="0"/>
                <w:sz w:val="18"/>
                <w:szCs w:val="18"/>
              </w:rPr>
            </w:pPr>
            <w:r>
              <w:rPr>
                <w:rFonts w:cs="Times New Roman"/>
                <w:kern w:val="0"/>
                <w:sz w:val="18"/>
                <w:szCs w:val="18"/>
              </w:rPr>
              <w:t>0.88</w:t>
            </w:r>
          </w:p>
        </w:tc>
        <w:tc>
          <w:tcPr>
            <w:tcW w:w="739" w:type="dxa"/>
            <w:shd w:val="clear" w:color="auto" w:fill="auto"/>
            <w:vAlign w:val="center"/>
          </w:tcPr>
          <w:p w14:paraId="757D349B" w14:textId="77777777" w:rsidR="007D1E74" w:rsidRDefault="00A95641">
            <w:pPr>
              <w:widowControl/>
              <w:jc w:val="center"/>
              <w:rPr>
                <w:rFonts w:cs="Times New Roman"/>
                <w:kern w:val="0"/>
                <w:sz w:val="18"/>
                <w:szCs w:val="18"/>
              </w:rPr>
            </w:pPr>
            <w:r>
              <w:rPr>
                <w:rFonts w:cs="Times New Roman"/>
                <w:kern w:val="0"/>
                <w:sz w:val="18"/>
                <w:szCs w:val="18"/>
              </w:rPr>
              <w:t>0.112</w:t>
            </w:r>
          </w:p>
        </w:tc>
        <w:tc>
          <w:tcPr>
            <w:tcW w:w="738" w:type="dxa"/>
            <w:shd w:val="clear" w:color="auto" w:fill="auto"/>
            <w:noWrap/>
            <w:vAlign w:val="center"/>
          </w:tcPr>
          <w:p w14:paraId="5F582255" w14:textId="77777777" w:rsidR="007D1E74" w:rsidRDefault="00A95641">
            <w:pPr>
              <w:widowControl/>
              <w:jc w:val="center"/>
              <w:rPr>
                <w:rFonts w:cs="Times New Roman"/>
                <w:kern w:val="0"/>
                <w:sz w:val="18"/>
                <w:szCs w:val="18"/>
              </w:rPr>
            </w:pPr>
            <w:r>
              <w:rPr>
                <w:rFonts w:cs="Times New Roman"/>
                <w:kern w:val="0"/>
                <w:sz w:val="18"/>
                <w:szCs w:val="18"/>
              </w:rPr>
              <w:t>0.128</w:t>
            </w:r>
          </w:p>
        </w:tc>
        <w:tc>
          <w:tcPr>
            <w:tcW w:w="738" w:type="dxa"/>
            <w:shd w:val="clear" w:color="auto" w:fill="auto"/>
            <w:noWrap/>
            <w:vAlign w:val="center"/>
          </w:tcPr>
          <w:p w14:paraId="5329F2D1" w14:textId="77777777" w:rsidR="007D1E74" w:rsidRDefault="00A95641">
            <w:pPr>
              <w:widowControl/>
              <w:jc w:val="center"/>
              <w:rPr>
                <w:rFonts w:cs="Times New Roman"/>
                <w:kern w:val="0"/>
                <w:sz w:val="18"/>
                <w:szCs w:val="18"/>
              </w:rPr>
            </w:pPr>
            <w:r>
              <w:rPr>
                <w:rFonts w:cs="Times New Roman"/>
                <w:kern w:val="0"/>
                <w:sz w:val="18"/>
                <w:szCs w:val="18"/>
              </w:rPr>
              <w:t>0.032</w:t>
            </w:r>
          </w:p>
        </w:tc>
        <w:tc>
          <w:tcPr>
            <w:tcW w:w="744" w:type="dxa"/>
            <w:shd w:val="clear" w:color="auto" w:fill="auto"/>
            <w:noWrap/>
            <w:vAlign w:val="center"/>
          </w:tcPr>
          <w:p w14:paraId="0B5510E6" w14:textId="77777777" w:rsidR="007D1E74" w:rsidRDefault="00A95641">
            <w:pPr>
              <w:widowControl/>
              <w:jc w:val="center"/>
              <w:rPr>
                <w:rFonts w:cs="Times New Roman"/>
                <w:kern w:val="0"/>
                <w:sz w:val="18"/>
                <w:szCs w:val="18"/>
              </w:rPr>
            </w:pPr>
            <w:r>
              <w:rPr>
                <w:rFonts w:cs="Times New Roman"/>
                <w:kern w:val="0"/>
                <w:sz w:val="18"/>
                <w:szCs w:val="18"/>
              </w:rPr>
              <w:t>/</w:t>
            </w:r>
          </w:p>
        </w:tc>
        <w:tc>
          <w:tcPr>
            <w:tcW w:w="744" w:type="dxa"/>
            <w:shd w:val="clear" w:color="auto" w:fill="auto"/>
            <w:noWrap/>
            <w:vAlign w:val="center"/>
          </w:tcPr>
          <w:p w14:paraId="5975FA48" w14:textId="77777777" w:rsidR="007D1E74" w:rsidRDefault="00A95641">
            <w:pPr>
              <w:widowControl/>
              <w:jc w:val="center"/>
              <w:rPr>
                <w:rFonts w:cs="Times New Roman"/>
                <w:kern w:val="0"/>
                <w:sz w:val="18"/>
                <w:szCs w:val="18"/>
              </w:rPr>
            </w:pPr>
            <w:r>
              <w:rPr>
                <w:rFonts w:cs="Times New Roman"/>
                <w:kern w:val="0"/>
                <w:sz w:val="18"/>
                <w:szCs w:val="18"/>
              </w:rPr>
              <w:t>/</w:t>
            </w:r>
          </w:p>
        </w:tc>
        <w:tc>
          <w:tcPr>
            <w:tcW w:w="744" w:type="dxa"/>
            <w:shd w:val="clear" w:color="auto" w:fill="auto"/>
            <w:noWrap/>
            <w:vAlign w:val="center"/>
          </w:tcPr>
          <w:p w14:paraId="1E0F74E0" w14:textId="77777777" w:rsidR="007D1E74" w:rsidRDefault="00A95641">
            <w:pPr>
              <w:widowControl/>
              <w:jc w:val="center"/>
              <w:rPr>
                <w:rFonts w:cs="Times New Roman"/>
                <w:kern w:val="0"/>
                <w:sz w:val="18"/>
                <w:szCs w:val="18"/>
              </w:rPr>
            </w:pPr>
            <w:r>
              <w:rPr>
                <w:rFonts w:cs="Times New Roman"/>
                <w:kern w:val="0"/>
                <w:sz w:val="18"/>
                <w:szCs w:val="18"/>
              </w:rPr>
              <w:t>/</w:t>
            </w:r>
          </w:p>
        </w:tc>
        <w:tc>
          <w:tcPr>
            <w:tcW w:w="745" w:type="dxa"/>
            <w:shd w:val="clear" w:color="auto" w:fill="auto"/>
            <w:noWrap/>
            <w:vAlign w:val="center"/>
          </w:tcPr>
          <w:p w14:paraId="52036B3F" w14:textId="77777777" w:rsidR="007D1E74" w:rsidRDefault="00A95641">
            <w:pPr>
              <w:widowControl/>
              <w:jc w:val="center"/>
              <w:rPr>
                <w:rFonts w:cs="Times New Roman"/>
                <w:kern w:val="0"/>
                <w:sz w:val="18"/>
                <w:szCs w:val="18"/>
              </w:rPr>
            </w:pPr>
            <w:r>
              <w:rPr>
                <w:rFonts w:cs="Times New Roman"/>
                <w:kern w:val="0"/>
                <w:sz w:val="18"/>
                <w:szCs w:val="18"/>
              </w:rPr>
              <w:t>/</w:t>
            </w:r>
          </w:p>
        </w:tc>
        <w:tc>
          <w:tcPr>
            <w:tcW w:w="939" w:type="dxa"/>
            <w:shd w:val="clear" w:color="auto" w:fill="auto"/>
            <w:vAlign w:val="center"/>
          </w:tcPr>
          <w:p w14:paraId="683640BA" w14:textId="77777777" w:rsidR="007D1E74" w:rsidRDefault="00A95641">
            <w:pPr>
              <w:widowControl/>
              <w:jc w:val="center"/>
              <w:rPr>
                <w:rFonts w:cs="Times New Roman"/>
                <w:kern w:val="0"/>
                <w:sz w:val="18"/>
                <w:szCs w:val="18"/>
              </w:rPr>
            </w:pPr>
            <w:r>
              <w:rPr>
                <w:rFonts w:cs="Times New Roman"/>
                <w:kern w:val="0"/>
                <w:sz w:val="18"/>
                <w:szCs w:val="18"/>
              </w:rPr>
              <w:t>1.6</w:t>
            </w:r>
          </w:p>
        </w:tc>
      </w:tr>
      <w:tr w:rsidR="007D1E74" w14:paraId="7AD116EC" w14:textId="77777777">
        <w:tc>
          <w:tcPr>
            <w:tcW w:w="1691" w:type="dxa"/>
            <w:gridSpan w:val="2"/>
            <w:shd w:val="clear" w:color="auto" w:fill="auto"/>
            <w:noWrap/>
            <w:vAlign w:val="center"/>
          </w:tcPr>
          <w:p w14:paraId="27609E59" w14:textId="77777777" w:rsidR="007D1E74" w:rsidRDefault="00A95641">
            <w:pPr>
              <w:widowControl/>
              <w:jc w:val="center"/>
              <w:rPr>
                <w:rFonts w:ascii="宋体" w:hAnsi="宋体" w:cs="宋体"/>
                <w:kern w:val="0"/>
                <w:sz w:val="18"/>
                <w:szCs w:val="18"/>
              </w:rPr>
            </w:pPr>
            <w:r>
              <w:rPr>
                <w:rFonts w:ascii="宋体" w:hAnsi="宋体" w:cs="宋体" w:hint="eastAsia"/>
                <w:kern w:val="0"/>
                <w:sz w:val="18"/>
                <w:szCs w:val="18"/>
              </w:rPr>
              <w:t>标识标牌</w:t>
            </w:r>
          </w:p>
        </w:tc>
        <w:tc>
          <w:tcPr>
            <w:tcW w:w="739" w:type="dxa"/>
            <w:shd w:val="clear" w:color="auto" w:fill="auto"/>
            <w:noWrap/>
            <w:vAlign w:val="center"/>
          </w:tcPr>
          <w:p w14:paraId="40A78A7C" w14:textId="77777777" w:rsidR="007D1E74" w:rsidRDefault="00A95641">
            <w:pPr>
              <w:widowControl/>
              <w:jc w:val="center"/>
              <w:rPr>
                <w:rFonts w:cs="Times New Roman"/>
                <w:kern w:val="0"/>
                <w:sz w:val="18"/>
                <w:szCs w:val="18"/>
              </w:rPr>
            </w:pPr>
            <w:r>
              <w:rPr>
                <w:rFonts w:cs="Times New Roman"/>
                <w:kern w:val="0"/>
                <w:sz w:val="18"/>
                <w:szCs w:val="18"/>
              </w:rPr>
              <w:t>/</w:t>
            </w:r>
          </w:p>
        </w:tc>
        <w:tc>
          <w:tcPr>
            <w:tcW w:w="738" w:type="dxa"/>
            <w:shd w:val="clear" w:color="auto" w:fill="auto"/>
            <w:noWrap/>
            <w:vAlign w:val="center"/>
          </w:tcPr>
          <w:p w14:paraId="76787BD4" w14:textId="77777777" w:rsidR="007D1E74" w:rsidRDefault="00A95641">
            <w:pPr>
              <w:widowControl/>
              <w:jc w:val="center"/>
              <w:rPr>
                <w:rFonts w:cs="Times New Roman"/>
                <w:kern w:val="0"/>
                <w:sz w:val="18"/>
                <w:szCs w:val="18"/>
              </w:rPr>
            </w:pPr>
            <w:r>
              <w:rPr>
                <w:rFonts w:cs="Times New Roman"/>
                <w:kern w:val="0"/>
                <w:sz w:val="18"/>
                <w:szCs w:val="18"/>
              </w:rPr>
              <w:t>/</w:t>
            </w:r>
          </w:p>
        </w:tc>
        <w:tc>
          <w:tcPr>
            <w:tcW w:w="739" w:type="dxa"/>
            <w:shd w:val="clear" w:color="auto" w:fill="auto"/>
            <w:vAlign w:val="center"/>
          </w:tcPr>
          <w:p w14:paraId="07336A7B" w14:textId="77777777" w:rsidR="007D1E74" w:rsidRDefault="00A95641">
            <w:pPr>
              <w:widowControl/>
              <w:jc w:val="center"/>
              <w:rPr>
                <w:rFonts w:cs="Times New Roman"/>
                <w:kern w:val="0"/>
                <w:sz w:val="18"/>
                <w:szCs w:val="18"/>
              </w:rPr>
            </w:pPr>
            <w:r>
              <w:rPr>
                <w:rFonts w:cs="Times New Roman"/>
                <w:kern w:val="0"/>
                <w:sz w:val="18"/>
                <w:szCs w:val="18"/>
              </w:rPr>
              <w:t>/</w:t>
            </w:r>
          </w:p>
        </w:tc>
        <w:tc>
          <w:tcPr>
            <w:tcW w:w="738" w:type="dxa"/>
            <w:shd w:val="clear" w:color="auto" w:fill="auto"/>
            <w:noWrap/>
            <w:vAlign w:val="center"/>
          </w:tcPr>
          <w:p w14:paraId="5A88AAE7" w14:textId="77777777" w:rsidR="007D1E74" w:rsidRDefault="00A95641">
            <w:pPr>
              <w:widowControl/>
              <w:jc w:val="center"/>
              <w:rPr>
                <w:rFonts w:cs="Times New Roman"/>
                <w:kern w:val="0"/>
                <w:sz w:val="18"/>
                <w:szCs w:val="18"/>
              </w:rPr>
            </w:pPr>
            <w:r>
              <w:rPr>
                <w:rFonts w:cs="Times New Roman"/>
                <w:kern w:val="0"/>
                <w:sz w:val="18"/>
                <w:szCs w:val="18"/>
              </w:rPr>
              <w:t>/</w:t>
            </w:r>
          </w:p>
        </w:tc>
        <w:tc>
          <w:tcPr>
            <w:tcW w:w="738" w:type="dxa"/>
            <w:shd w:val="clear" w:color="auto" w:fill="auto"/>
            <w:noWrap/>
            <w:vAlign w:val="center"/>
          </w:tcPr>
          <w:p w14:paraId="48113EED" w14:textId="77777777" w:rsidR="007D1E74" w:rsidRDefault="00A95641">
            <w:pPr>
              <w:widowControl/>
              <w:jc w:val="center"/>
              <w:rPr>
                <w:rFonts w:cs="Times New Roman"/>
                <w:kern w:val="0"/>
                <w:sz w:val="18"/>
                <w:szCs w:val="18"/>
              </w:rPr>
            </w:pPr>
            <w:r>
              <w:rPr>
                <w:rFonts w:cs="Times New Roman"/>
                <w:kern w:val="0"/>
                <w:sz w:val="18"/>
                <w:szCs w:val="18"/>
              </w:rPr>
              <w:t>/</w:t>
            </w:r>
          </w:p>
        </w:tc>
        <w:tc>
          <w:tcPr>
            <w:tcW w:w="744" w:type="dxa"/>
            <w:shd w:val="clear" w:color="auto" w:fill="auto"/>
            <w:noWrap/>
            <w:vAlign w:val="center"/>
          </w:tcPr>
          <w:p w14:paraId="58A7F039" w14:textId="77777777" w:rsidR="007D1E74" w:rsidRDefault="007D1E74">
            <w:pPr>
              <w:widowControl/>
              <w:jc w:val="center"/>
              <w:rPr>
                <w:rFonts w:cs="Times New Roman"/>
                <w:kern w:val="0"/>
                <w:sz w:val="18"/>
                <w:szCs w:val="18"/>
              </w:rPr>
            </w:pPr>
          </w:p>
        </w:tc>
        <w:tc>
          <w:tcPr>
            <w:tcW w:w="744" w:type="dxa"/>
            <w:shd w:val="clear" w:color="auto" w:fill="auto"/>
            <w:noWrap/>
            <w:vAlign w:val="center"/>
          </w:tcPr>
          <w:p w14:paraId="3DB7AAA6" w14:textId="77777777" w:rsidR="007D1E74" w:rsidRDefault="00A95641">
            <w:pPr>
              <w:widowControl/>
              <w:jc w:val="center"/>
              <w:rPr>
                <w:rFonts w:cs="Times New Roman"/>
                <w:kern w:val="0"/>
                <w:sz w:val="18"/>
                <w:szCs w:val="18"/>
              </w:rPr>
            </w:pPr>
            <w:r>
              <w:rPr>
                <w:rFonts w:cs="Times New Roman"/>
                <w:kern w:val="0"/>
                <w:sz w:val="18"/>
                <w:szCs w:val="18"/>
              </w:rPr>
              <w:t>0.0329</w:t>
            </w:r>
          </w:p>
        </w:tc>
        <w:tc>
          <w:tcPr>
            <w:tcW w:w="744" w:type="dxa"/>
            <w:shd w:val="clear" w:color="auto" w:fill="auto"/>
            <w:noWrap/>
            <w:vAlign w:val="center"/>
          </w:tcPr>
          <w:p w14:paraId="4A1A8A61" w14:textId="77777777" w:rsidR="007D1E74" w:rsidRDefault="00A95641">
            <w:pPr>
              <w:widowControl/>
              <w:jc w:val="center"/>
              <w:rPr>
                <w:rFonts w:cs="Times New Roman"/>
                <w:kern w:val="0"/>
                <w:sz w:val="18"/>
                <w:szCs w:val="18"/>
              </w:rPr>
            </w:pPr>
            <w:r>
              <w:rPr>
                <w:rFonts w:cs="Times New Roman"/>
                <w:kern w:val="0"/>
                <w:sz w:val="18"/>
                <w:szCs w:val="18"/>
              </w:rPr>
              <w:t>/</w:t>
            </w:r>
          </w:p>
        </w:tc>
        <w:tc>
          <w:tcPr>
            <w:tcW w:w="745" w:type="dxa"/>
            <w:shd w:val="clear" w:color="auto" w:fill="auto"/>
            <w:noWrap/>
            <w:vAlign w:val="center"/>
          </w:tcPr>
          <w:p w14:paraId="773B908A" w14:textId="77777777" w:rsidR="007D1E74" w:rsidRDefault="00A95641">
            <w:pPr>
              <w:widowControl/>
              <w:jc w:val="center"/>
              <w:rPr>
                <w:rFonts w:cs="Times New Roman"/>
                <w:kern w:val="0"/>
                <w:sz w:val="18"/>
                <w:szCs w:val="18"/>
              </w:rPr>
            </w:pPr>
            <w:r>
              <w:rPr>
                <w:rFonts w:cs="Times New Roman"/>
                <w:kern w:val="0"/>
                <w:sz w:val="18"/>
                <w:szCs w:val="18"/>
              </w:rPr>
              <w:t>/</w:t>
            </w:r>
          </w:p>
        </w:tc>
        <w:tc>
          <w:tcPr>
            <w:tcW w:w="939" w:type="dxa"/>
            <w:shd w:val="clear" w:color="auto" w:fill="auto"/>
            <w:vAlign w:val="center"/>
          </w:tcPr>
          <w:p w14:paraId="4324EE27" w14:textId="77777777" w:rsidR="007D1E74" w:rsidRDefault="00A95641">
            <w:pPr>
              <w:widowControl/>
              <w:jc w:val="center"/>
              <w:rPr>
                <w:rFonts w:cs="Times New Roman"/>
                <w:kern w:val="0"/>
                <w:sz w:val="18"/>
                <w:szCs w:val="18"/>
              </w:rPr>
            </w:pPr>
            <w:r>
              <w:rPr>
                <w:rFonts w:cs="Times New Roman"/>
                <w:kern w:val="0"/>
                <w:sz w:val="18"/>
                <w:szCs w:val="18"/>
              </w:rPr>
              <w:t>0.0329</w:t>
            </w:r>
          </w:p>
        </w:tc>
      </w:tr>
      <w:tr w:rsidR="007D1E74" w14:paraId="7CAD64A3" w14:textId="77777777">
        <w:tc>
          <w:tcPr>
            <w:tcW w:w="1691" w:type="dxa"/>
            <w:gridSpan w:val="2"/>
            <w:shd w:val="clear" w:color="auto" w:fill="auto"/>
            <w:noWrap/>
            <w:vAlign w:val="center"/>
          </w:tcPr>
          <w:p w14:paraId="426943E3" w14:textId="77777777" w:rsidR="007D1E74" w:rsidRDefault="00A95641">
            <w:pPr>
              <w:widowControl/>
              <w:jc w:val="center"/>
              <w:rPr>
                <w:rFonts w:cs="Times New Roman"/>
                <w:kern w:val="0"/>
                <w:sz w:val="18"/>
                <w:szCs w:val="18"/>
              </w:rPr>
            </w:pPr>
            <w:r>
              <w:rPr>
                <w:rFonts w:cs="Times New Roman"/>
                <w:kern w:val="0"/>
                <w:sz w:val="18"/>
                <w:szCs w:val="18"/>
              </w:rPr>
              <w:t>1#</w:t>
            </w:r>
            <w:r>
              <w:rPr>
                <w:rFonts w:ascii="宋体" w:hAnsi="宋体" w:cs="Times New Roman" w:hint="eastAsia"/>
                <w:kern w:val="0"/>
                <w:sz w:val="18"/>
                <w:szCs w:val="18"/>
              </w:rPr>
              <w:t>阀室</w:t>
            </w:r>
          </w:p>
        </w:tc>
        <w:tc>
          <w:tcPr>
            <w:tcW w:w="739" w:type="dxa"/>
            <w:shd w:val="clear" w:color="auto" w:fill="auto"/>
            <w:noWrap/>
            <w:vAlign w:val="center"/>
          </w:tcPr>
          <w:p w14:paraId="5B5E2185" w14:textId="77777777" w:rsidR="007D1E74" w:rsidRDefault="00A95641">
            <w:pPr>
              <w:widowControl/>
              <w:jc w:val="center"/>
              <w:rPr>
                <w:rFonts w:cs="Times New Roman"/>
                <w:kern w:val="0"/>
                <w:sz w:val="18"/>
                <w:szCs w:val="18"/>
              </w:rPr>
            </w:pPr>
            <w:r>
              <w:rPr>
                <w:rFonts w:cs="Times New Roman"/>
                <w:kern w:val="0"/>
                <w:sz w:val="18"/>
                <w:szCs w:val="18"/>
              </w:rPr>
              <w:t>/</w:t>
            </w:r>
          </w:p>
        </w:tc>
        <w:tc>
          <w:tcPr>
            <w:tcW w:w="738" w:type="dxa"/>
            <w:shd w:val="clear" w:color="auto" w:fill="auto"/>
            <w:noWrap/>
            <w:vAlign w:val="center"/>
          </w:tcPr>
          <w:p w14:paraId="4538E526" w14:textId="77777777" w:rsidR="007D1E74" w:rsidRDefault="00A95641">
            <w:pPr>
              <w:widowControl/>
              <w:jc w:val="center"/>
              <w:rPr>
                <w:rFonts w:cs="Times New Roman"/>
                <w:kern w:val="0"/>
                <w:sz w:val="18"/>
                <w:szCs w:val="18"/>
              </w:rPr>
            </w:pPr>
            <w:r>
              <w:rPr>
                <w:rFonts w:cs="Times New Roman"/>
                <w:kern w:val="0"/>
                <w:sz w:val="18"/>
                <w:szCs w:val="18"/>
              </w:rPr>
              <w:t>/</w:t>
            </w:r>
          </w:p>
        </w:tc>
        <w:tc>
          <w:tcPr>
            <w:tcW w:w="739" w:type="dxa"/>
            <w:shd w:val="clear" w:color="auto" w:fill="auto"/>
            <w:vAlign w:val="center"/>
          </w:tcPr>
          <w:p w14:paraId="32BBC9FB" w14:textId="77777777" w:rsidR="007D1E74" w:rsidRDefault="00A95641">
            <w:pPr>
              <w:widowControl/>
              <w:jc w:val="center"/>
              <w:rPr>
                <w:rFonts w:cs="Times New Roman"/>
                <w:kern w:val="0"/>
                <w:sz w:val="18"/>
                <w:szCs w:val="18"/>
              </w:rPr>
            </w:pPr>
            <w:r>
              <w:rPr>
                <w:rFonts w:cs="Times New Roman"/>
                <w:kern w:val="0"/>
                <w:sz w:val="18"/>
                <w:szCs w:val="18"/>
              </w:rPr>
              <w:t>/</w:t>
            </w:r>
          </w:p>
        </w:tc>
        <w:tc>
          <w:tcPr>
            <w:tcW w:w="738" w:type="dxa"/>
            <w:shd w:val="clear" w:color="auto" w:fill="auto"/>
            <w:noWrap/>
            <w:vAlign w:val="center"/>
          </w:tcPr>
          <w:p w14:paraId="69408097" w14:textId="77777777" w:rsidR="007D1E74" w:rsidRDefault="00A95641">
            <w:pPr>
              <w:widowControl/>
              <w:jc w:val="center"/>
              <w:rPr>
                <w:rFonts w:cs="Times New Roman"/>
                <w:kern w:val="0"/>
                <w:sz w:val="18"/>
                <w:szCs w:val="18"/>
              </w:rPr>
            </w:pPr>
            <w:r>
              <w:rPr>
                <w:rFonts w:cs="Times New Roman"/>
                <w:kern w:val="0"/>
                <w:sz w:val="18"/>
                <w:szCs w:val="18"/>
              </w:rPr>
              <w:t>/</w:t>
            </w:r>
          </w:p>
        </w:tc>
        <w:tc>
          <w:tcPr>
            <w:tcW w:w="738" w:type="dxa"/>
            <w:shd w:val="clear" w:color="auto" w:fill="auto"/>
            <w:noWrap/>
            <w:vAlign w:val="center"/>
          </w:tcPr>
          <w:p w14:paraId="6A921BF6" w14:textId="77777777" w:rsidR="007D1E74" w:rsidRDefault="00A95641">
            <w:pPr>
              <w:widowControl/>
              <w:jc w:val="center"/>
              <w:rPr>
                <w:rFonts w:cs="Times New Roman"/>
                <w:kern w:val="0"/>
                <w:sz w:val="18"/>
                <w:szCs w:val="18"/>
              </w:rPr>
            </w:pPr>
            <w:r>
              <w:rPr>
                <w:rFonts w:cs="Times New Roman"/>
                <w:kern w:val="0"/>
                <w:sz w:val="18"/>
                <w:szCs w:val="18"/>
              </w:rPr>
              <w:t>/</w:t>
            </w:r>
          </w:p>
        </w:tc>
        <w:tc>
          <w:tcPr>
            <w:tcW w:w="744" w:type="dxa"/>
            <w:shd w:val="clear" w:color="auto" w:fill="auto"/>
            <w:noWrap/>
            <w:vAlign w:val="center"/>
          </w:tcPr>
          <w:p w14:paraId="024796EB" w14:textId="77777777" w:rsidR="007D1E74" w:rsidRDefault="007D1E74">
            <w:pPr>
              <w:widowControl/>
              <w:jc w:val="center"/>
              <w:rPr>
                <w:rFonts w:cs="Times New Roman"/>
                <w:kern w:val="0"/>
                <w:sz w:val="18"/>
                <w:szCs w:val="18"/>
              </w:rPr>
            </w:pPr>
          </w:p>
        </w:tc>
        <w:tc>
          <w:tcPr>
            <w:tcW w:w="744" w:type="dxa"/>
            <w:shd w:val="clear" w:color="auto" w:fill="auto"/>
            <w:noWrap/>
            <w:vAlign w:val="center"/>
          </w:tcPr>
          <w:p w14:paraId="0F757417" w14:textId="77777777" w:rsidR="007D1E74" w:rsidRDefault="00A95641">
            <w:pPr>
              <w:widowControl/>
              <w:jc w:val="center"/>
              <w:rPr>
                <w:rFonts w:cs="Times New Roman"/>
                <w:kern w:val="0"/>
                <w:sz w:val="18"/>
                <w:szCs w:val="18"/>
              </w:rPr>
            </w:pPr>
            <w:r>
              <w:rPr>
                <w:rFonts w:cs="Times New Roman"/>
                <w:kern w:val="0"/>
                <w:sz w:val="18"/>
                <w:szCs w:val="18"/>
              </w:rPr>
              <w:t>0.0704</w:t>
            </w:r>
          </w:p>
        </w:tc>
        <w:tc>
          <w:tcPr>
            <w:tcW w:w="744" w:type="dxa"/>
            <w:shd w:val="clear" w:color="auto" w:fill="auto"/>
            <w:noWrap/>
            <w:vAlign w:val="center"/>
          </w:tcPr>
          <w:p w14:paraId="27F34B1C" w14:textId="77777777" w:rsidR="007D1E74" w:rsidRDefault="00A95641">
            <w:pPr>
              <w:widowControl/>
              <w:jc w:val="center"/>
              <w:rPr>
                <w:rFonts w:cs="Times New Roman"/>
                <w:kern w:val="0"/>
                <w:sz w:val="18"/>
                <w:szCs w:val="18"/>
              </w:rPr>
            </w:pPr>
            <w:r>
              <w:rPr>
                <w:rFonts w:cs="Times New Roman"/>
                <w:kern w:val="0"/>
                <w:sz w:val="18"/>
                <w:szCs w:val="18"/>
              </w:rPr>
              <w:t>/</w:t>
            </w:r>
          </w:p>
        </w:tc>
        <w:tc>
          <w:tcPr>
            <w:tcW w:w="745" w:type="dxa"/>
            <w:shd w:val="clear" w:color="auto" w:fill="auto"/>
            <w:noWrap/>
            <w:vAlign w:val="center"/>
          </w:tcPr>
          <w:p w14:paraId="3B9536DB" w14:textId="77777777" w:rsidR="007D1E74" w:rsidRDefault="00A95641">
            <w:pPr>
              <w:widowControl/>
              <w:jc w:val="center"/>
              <w:rPr>
                <w:rFonts w:cs="Times New Roman"/>
                <w:kern w:val="0"/>
                <w:sz w:val="18"/>
                <w:szCs w:val="18"/>
              </w:rPr>
            </w:pPr>
            <w:r>
              <w:rPr>
                <w:rFonts w:cs="Times New Roman"/>
                <w:kern w:val="0"/>
                <w:sz w:val="18"/>
                <w:szCs w:val="18"/>
              </w:rPr>
              <w:t>/</w:t>
            </w:r>
          </w:p>
        </w:tc>
        <w:tc>
          <w:tcPr>
            <w:tcW w:w="939" w:type="dxa"/>
            <w:shd w:val="clear" w:color="auto" w:fill="auto"/>
            <w:vAlign w:val="center"/>
          </w:tcPr>
          <w:p w14:paraId="6666468C" w14:textId="77777777" w:rsidR="007D1E74" w:rsidRDefault="00A95641">
            <w:pPr>
              <w:widowControl/>
              <w:jc w:val="center"/>
              <w:rPr>
                <w:rFonts w:cs="Times New Roman"/>
                <w:kern w:val="0"/>
                <w:sz w:val="18"/>
                <w:szCs w:val="18"/>
              </w:rPr>
            </w:pPr>
            <w:r>
              <w:rPr>
                <w:rFonts w:cs="Times New Roman"/>
                <w:kern w:val="0"/>
                <w:sz w:val="18"/>
                <w:szCs w:val="18"/>
              </w:rPr>
              <w:t>0.0704</w:t>
            </w:r>
          </w:p>
        </w:tc>
      </w:tr>
      <w:tr w:rsidR="007D1E74" w14:paraId="096B7E0B" w14:textId="77777777">
        <w:tc>
          <w:tcPr>
            <w:tcW w:w="1691" w:type="dxa"/>
            <w:gridSpan w:val="2"/>
            <w:shd w:val="clear" w:color="auto" w:fill="auto"/>
            <w:noWrap/>
            <w:vAlign w:val="center"/>
          </w:tcPr>
          <w:p w14:paraId="22FAC41E" w14:textId="77777777" w:rsidR="007D1E74" w:rsidRDefault="00A95641">
            <w:pPr>
              <w:widowControl/>
              <w:jc w:val="center"/>
              <w:rPr>
                <w:rFonts w:cs="Times New Roman"/>
                <w:kern w:val="0"/>
                <w:sz w:val="18"/>
                <w:szCs w:val="18"/>
              </w:rPr>
            </w:pPr>
            <w:r>
              <w:rPr>
                <w:rFonts w:cs="Times New Roman"/>
                <w:kern w:val="0"/>
                <w:sz w:val="18"/>
                <w:szCs w:val="18"/>
              </w:rPr>
              <w:t>2#</w:t>
            </w:r>
            <w:r>
              <w:rPr>
                <w:rFonts w:ascii="宋体" w:hAnsi="宋体" w:cs="Times New Roman" w:hint="eastAsia"/>
                <w:kern w:val="0"/>
                <w:sz w:val="18"/>
                <w:szCs w:val="18"/>
              </w:rPr>
              <w:t>、</w:t>
            </w:r>
            <w:r>
              <w:rPr>
                <w:rFonts w:cs="Times New Roman"/>
                <w:kern w:val="0"/>
                <w:sz w:val="18"/>
                <w:szCs w:val="18"/>
              </w:rPr>
              <w:t>3#</w:t>
            </w:r>
            <w:r>
              <w:rPr>
                <w:rFonts w:ascii="宋体" w:hAnsi="宋体" w:cs="Times New Roman" w:hint="eastAsia"/>
                <w:kern w:val="0"/>
                <w:sz w:val="18"/>
                <w:szCs w:val="18"/>
              </w:rPr>
              <w:t>阀组</w:t>
            </w:r>
          </w:p>
        </w:tc>
        <w:tc>
          <w:tcPr>
            <w:tcW w:w="739" w:type="dxa"/>
            <w:shd w:val="clear" w:color="auto" w:fill="auto"/>
            <w:noWrap/>
            <w:vAlign w:val="center"/>
          </w:tcPr>
          <w:p w14:paraId="094272F7" w14:textId="77777777" w:rsidR="007D1E74" w:rsidRDefault="00A95641">
            <w:pPr>
              <w:widowControl/>
              <w:jc w:val="center"/>
              <w:rPr>
                <w:rFonts w:cs="Times New Roman"/>
                <w:kern w:val="0"/>
                <w:sz w:val="18"/>
                <w:szCs w:val="18"/>
              </w:rPr>
            </w:pPr>
            <w:r>
              <w:rPr>
                <w:rFonts w:cs="Times New Roman"/>
                <w:kern w:val="0"/>
                <w:sz w:val="18"/>
                <w:szCs w:val="18"/>
              </w:rPr>
              <w:t>/</w:t>
            </w:r>
          </w:p>
        </w:tc>
        <w:tc>
          <w:tcPr>
            <w:tcW w:w="738" w:type="dxa"/>
            <w:shd w:val="clear" w:color="auto" w:fill="auto"/>
            <w:noWrap/>
            <w:vAlign w:val="center"/>
          </w:tcPr>
          <w:p w14:paraId="55412CD2" w14:textId="77777777" w:rsidR="007D1E74" w:rsidRDefault="00A95641">
            <w:pPr>
              <w:widowControl/>
              <w:jc w:val="center"/>
              <w:rPr>
                <w:rFonts w:cs="Times New Roman"/>
                <w:kern w:val="0"/>
                <w:sz w:val="18"/>
                <w:szCs w:val="18"/>
              </w:rPr>
            </w:pPr>
            <w:r>
              <w:rPr>
                <w:rFonts w:cs="Times New Roman"/>
                <w:kern w:val="0"/>
                <w:sz w:val="18"/>
                <w:szCs w:val="18"/>
              </w:rPr>
              <w:t>/</w:t>
            </w:r>
          </w:p>
        </w:tc>
        <w:tc>
          <w:tcPr>
            <w:tcW w:w="739" w:type="dxa"/>
            <w:shd w:val="clear" w:color="auto" w:fill="auto"/>
            <w:vAlign w:val="center"/>
          </w:tcPr>
          <w:p w14:paraId="40614BE1" w14:textId="77777777" w:rsidR="007D1E74" w:rsidRDefault="00A95641">
            <w:pPr>
              <w:widowControl/>
              <w:jc w:val="center"/>
              <w:rPr>
                <w:rFonts w:cs="Times New Roman"/>
                <w:kern w:val="0"/>
                <w:sz w:val="18"/>
                <w:szCs w:val="18"/>
              </w:rPr>
            </w:pPr>
            <w:r>
              <w:rPr>
                <w:rFonts w:cs="Times New Roman"/>
                <w:kern w:val="0"/>
                <w:sz w:val="18"/>
                <w:szCs w:val="18"/>
              </w:rPr>
              <w:t>/</w:t>
            </w:r>
          </w:p>
        </w:tc>
        <w:tc>
          <w:tcPr>
            <w:tcW w:w="738" w:type="dxa"/>
            <w:shd w:val="clear" w:color="auto" w:fill="auto"/>
            <w:noWrap/>
            <w:vAlign w:val="center"/>
          </w:tcPr>
          <w:p w14:paraId="6FA8DD8A" w14:textId="77777777" w:rsidR="007D1E74" w:rsidRDefault="00A95641">
            <w:pPr>
              <w:widowControl/>
              <w:jc w:val="center"/>
              <w:rPr>
                <w:rFonts w:cs="Times New Roman"/>
                <w:kern w:val="0"/>
                <w:sz w:val="18"/>
                <w:szCs w:val="18"/>
              </w:rPr>
            </w:pPr>
            <w:r>
              <w:rPr>
                <w:rFonts w:cs="Times New Roman"/>
                <w:kern w:val="0"/>
                <w:sz w:val="18"/>
                <w:szCs w:val="18"/>
              </w:rPr>
              <w:t>/</w:t>
            </w:r>
          </w:p>
        </w:tc>
        <w:tc>
          <w:tcPr>
            <w:tcW w:w="738" w:type="dxa"/>
            <w:shd w:val="clear" w:color="auto" w:fill="auto"/>
            <w:noWrap/>
            <w:vAlign w:val="center"/>
          </w:tcPr>
          <w:p w14:paraId="3C47D911" w14:textId="77777777" w:rsidR="007D1E74" w:rsidRDefault="00A95641">
            <w:pPr>
              <w:widowControl/>
              <w:jc w:val="center"/>
              <w:rPr>
                <w:rFonts w:cs="Times New Roman"/>
                <w:kern w:val="0"/>
                <w:sz w:val="18"/>
                <w:szCs w:val="18"/>
              </w:rPr>
            </w:pPr>
            <w:r>
              <w:rPr>
                <w:rFonts w:cs="Times New Roman"/>
                <w:kern w:val="0"/>
                <w:sz w:val="18"/>
                <w:szCs w:val="18"/>
              </w:rPr>
              <w:t>/</w:t>
            </w:r>
          </w:p>
        </w:tc>
        <w:tc>
          <w:tcPr>
            <w:tcW w:w="744" w:type="dxa"/>
            <w:shd w:val="clear" w:color="auto" w:fill="auto"/>
            <w:noWrap/>
            <w:vAlign w:val="center"/>
          </w:tcPr>
          <w:p w14:paraId="2B5F243D" w14:textId="77777777" w:rsidR="007D1E74" w:rsidRDefault="00A95641">
            <w:pPr>
              <w:widowControl/>
              <w:jc w:val="center"/>
              <w:rPr>
                <w:rFonts w:cs="Times New Roman"/>
                <w:kern w:val="0"/>
                <w:sz w:val="18"/>
                <w:szCs w:val="18"/>
              </w:rPr>
            </w:pPr>
            <w:r>
              <w:rPr>
                <w:rFonts w:cs="Times New Roman"/>
                <w:kern w:val="0"/>
                <w:sz w:val="18"/>
                <w:szCs w:val="18"/>
              </w:rPr>
              <w:t>0.0066</w:t>
            </w:r>
          </w:p>
        </w:tc>
        <w:tc>
          <w:tcPr>
            <w:tcW w:w="744" w:type="dxa"/>
            <w:shd w:val="clear" w:color="auto" w:fill="auto"/>
            <w:noWrap/>
            <w:vAlign w:val="center"/>
          </w:tcPr>
          <w:p w14:paraId="7BFE0170" w14:textId="77777777" w:rsidR="007D1E74" w:rsidRDefault="007D1E74">
            <w:pPr>
              <w:widowControl/>
              <w:jc w:val="center"/>
              <w:rPr>
                <w:rFonts w:cs="Times New Roman"/>
                <w:kern w:val="0"/>
                <w:sz w:val="18"/>
                <w:szCs w:val="18"/>
              </w:rPr>
            </w:pPr>
          </w:p>
        </w:tc>
        <w:tc>
          <w:tcPr>
            <w:tcW w:w="744" w:type="dxa"/>
            <w:shd w:val="clear" w:color="auto" w:fill="auto"/>
            <w:noWrap/>
            <w:vAlign w:val="center"/>
          </w:tcPr>
          <w:p w14:paraId="5A8A1840" w14:textId="77777777" w:rsidR="007D1E74" w:rsidRDefault="00A95641">
            <w:pPr>
              <w:widowControl/>
              <w:jc w:val="center"/>
              <w:rPr>
                <w:rFonts w:cs="Times New Roman"/>
                <w:kern w:val="0"/>
                <w:sz w:val="18"/>
                <w:szCs w:val="18"/>
              </w:rPr>
            </w:pPr>
            <w:r>
              <w:rPr>
                <w:rFonts w:cs="Times New Roman"/>
                <w:kern w:val="0"/>
                <w:sz w:val="18"/>
                <w:szCs w:val="18"/>
              </w:rPr>
              <w:t>/</w:t>
            </w:r>
          </w:p>
        </w:tc>
        <w:tc>
          <w:tcPr>
            <w:tcW w:w="745" w:type="dxa"/>
            <w:shd w:val="clear" w:color="auto" w:fill="auto"/>
            <w:noWrap/>
            <w:vAlign w:val="center"/>
          </w:tcPr>
          <w:p w14:paraId="7ED1451C" w14:textId="77777777" w:rsidR="007D1E74" w:rsidRDefault="00A95641">
            <w:pPr>
              <w:widowControl/>
              <w:jc w:val="center"/>
              <w:rPr>
                <w:rFonts w:cs="Times New Roman"/>
                <w:kern w:val="0"/>
                <w:sz w:val="18"/>
                <w:szCs w:val="18"/>
              </w:rPr>
            </w:pPr>
            <w:r>
              <w:rPr>
                <w:rFonts w:cs="Times New Roman"/>
                <w:kern w:val="0"/>
                <w:sz w:val="18"/>
                <w:szCs w:val="18"/>
              </w:rPr>
              <w:t>/</w:t>
            </w:r>
          </w:p>
        </w:tc>
        <w:tc>
          <w:tcPr>
            <w:tcW w:w="939" w:type="dxa"/>
            <w:shd w:val="clear" w:color="auto" w:fill="auto"/>
            <w:vAlign w:val="center"/>
          </w:tcPr>
          <w:p w14:paraId="3D5538A9" w14:textId="77777777" w:rsidR="007D1E74" w:rsidRDefault="00A95641">
            <w:pPr>
              <w:widowControl/>
              <w:jc w:val="center"/>
              <w:rPr>
                <w:rFonts w:cs="Times New Roman"/>
                <w:kern w:val="0"/>
                <w:sz w:val="18"/>
                <w:szCs w:val="18"/>
              </w:rPr>
            </w:pPr>
            <w:r>
              <w:rPr>
                <w:rFonts w:cs="Times New Roman"/>
                <w:kern w:val="0"/>
                <w:sz w:val="18"/>
                <w:szCs w:val="18"/>
              </w:rPr>
              <w:t>0.0066</w:t>
            </w:r>
          </w:p>
        </w:tc>
      </w:tr>
      <w:tr w:rsidR="007D1E74" w14:paraId="1E73B06D" w14:textId="77777777">
        <w:tc>
          <w:tcPr>
            <w:tcW w:w="1691" w:type="dxa"/>
            <w:gridSpan w:val="2"/>
            <w:shd w:val="clear" w:color="auto" w:fill="auto"/>
            <w:noWrap/>
            <w:vAlign w:val="center"/>
          </w:tcPr>
          <w:p w14:paraId="7BCF2CE1" w14:textId="77777777" w:rsidR="007D1E74" w:rsidRDefault="00A95641">
            <w:pPr>
              <w:widowControl/>
              <w:jc w:val="center"/>
              <w:rPr>
                <w:rFonts w:ascii="宋体" w:hAnsi="宋体" w:cs="宋体"/>
                <w:kern w:val="0"/>
                <w:sz w:val="18"/>
                <w:szCs w:val="18"/>
              </w:rPr>
            </w:pPr>
            <w:r>
              <w:rPr>
                <w:rFonts w:ascii="宋体" w:hAnsi="宋体" w:cs="宋体" w:hint="eastAsia"/>
                <w:kern w:val="0"/>
                <w:sz w:val="18"/>
                <w:szCs w:val="18"/>
              </w:rPr>
              <w:t>合计</w:t>
            </w:r>
          </w:p>
        </w:tc>
        <w:tc>
          <w:tcPr>
            <w:tcW w:w="3692" w:type="dxa"/>
            <w:gridSpan w:val="5"/>
            <w:shd w:val="clear" w:color="auto" w:fill="auto"/>
            <w:noWrap/>
            <w:vAlign w:val="center"/>
          </w:tcPr>
          <w:p w14:paraId="55F9BF7B" w14:textId="77777777" w:rsidR="007D1E74" w:rsidRDefault="00A95641">
            <w:pPr>
              <w:widowControl/>
              <w:jc w:val="center"/>
              <w:rPr>
                <w:rFonts w:cs="Times New Roman"/>
                <w:kern w:val="0"/>
                <w:sz w:val="18"/>
                <w:szCs w:val="18"/>
              </w:rPr>
            </w:pPr>
            <w:r>
              <w:rPr>
                <w:rFonts w:cs="Times New Roman"/>
                <w:kern w:val="0"/>
                <w:sz w:val="18"/>
                <w:szCs w:val="18"/>
              </w:rPr>
              <w:t>36.897</w:t>
            </w:r>
          </w:p>
        </w:tc>
        <w:tc>
          <w:tcPr>
            <w:tcW w:w="2977" w:type="dxa"/>
            <w:gridSpan w:val="4"/>
            <w:shd w:val="clear" w:color="auto" w:fill="auto"/>
            <w:noWrap/>
            <w:vAlign w:val="center"/>
          </w:tcPr>
          <w:p w14:paraId="6933A261" w14:textId="77777777" w:rsidR="007D1E74" w:rsidRDefault="00A95641">
            <w:pPr>
              <w:widowControl/>
              <w:jc w:val="center"/>
              <w:rPr>
                <w:rFonts w:cs="Times New Roman"/>
                <w:kern w:val="0"/>
                <w:sz w:val="18"/>
                <w:szCs w:val="18"/>
              </w:rPr>
            </w:pPr>
            <w:r>
              <w:rPr>
                <w:rFonts w:cs="Times New Roman"/>
                <w:kern w:val="0"/>
                <w:sz w:val="18"/>
                <w:szCs w:val="18"/>
              </w:rPr>
              <w:t>0.1099</w:t>
            </w:r>
          </w:p>
        </w:tc>
        <w:tc>
          <w:tcPr>
            <w:tcW w:w="939" w:type="dxa"/>
            <w:shd w:val="clear" w:color="auto" w:fill="auto"/>
            <w:vAlign w:val="center"/>
          </w:tcPr>
          <w:p w14:paraId="7CE95520" w14:textId="77777777" w:rsidR="007D1E74" w:rsidRDefault="00A95641">
            <w:pPr>
              <w:widowControl/>
              <w:jc w:val="center"/>
              <w:rPr>
                <w:rFonts w:cs="Times New Roman"/>
                <w:kern w:val="0"/>
                <w:sz w:val="18"/>
                <w:szCs w:val="18"/>
              </w:rPr>
            </w:pPr>
            <w:r>
              <w:rPr>
                <w:rFonts w:cs="Times New Roman"/>
                <w:kern w:val="0"/>
                <w:sz w:val="18"/>
                <w:szCs w:val="18"/>
              </w:rPr>
              <w:t>37.0069</w:t>
            </w:r>
          </w:p>
        </w:tc>
      </w:tr>
    </w:tbl>
    <w:p w14:paraId="57440C8E" w14:textId="77777777" w:rsidR="007D1E74" w:rsidRDefault="00A95641">
      <w:pPr>
        <w:spacing w:line="360" w:lineRule="auto"/>
        <w:ind w:firstLineChars="200" w:firstLine="480"/>
        <w:rPr>
          <w:rFonts w:cs="Times New Roman"/>
          <w:sz w:val="24"/>
          <w:szCs w:val="24"/>
        </w:rPr>
      </w:pPr>
      <w:r>
        <w:rPr>
          <w:rFonts w:cs="Times New Roman" w:hint="eastAsia"/>
          <w:sz w:val="24"/>
          <w:szCs w:val="24"/>
        </w:rPr>
        <w:t>其中占用耕地</w:t>
      </w:r>
      <w:r>
        <w:rPr>
          <w:rFonts w:cs="Times New Roman" w:hint="eastAsia"/>
          <w:sz w:val="24"/>
          <w:szCs w:val="24"/>
        </w:rPr>
        <w:t>10.96hm</w:t>
      </w:r>
      <w:r>
        <w:rPr>
          <w:rFonts w:cs="Times New Roman" w:hint="eastAsia"/>
          <w:sz w:val="24"/>
          <w:szCs w:val="24"/>
          <w:vertAlign w:val="superscript"/>
        </w:rPr>
        <w:t>2</w:t>
      </w:r>
      <w:r>
        <w:rPr>
          <w:rFonts w:cs="Times New Roman" w:hint="eastAsia"/>
          <w:sz w:val="24"/>
          <w:szCs w:val="24"/>
        </w:rPr>
        <w:t>、林地</w:t>
      </w:r>
      <w:r>
        <w:rPr>
          <w:rFonts w:cs="Times New Roman" w:hint="eastAsia"/>
          <w:sz w:val="24"/>
          <w:szCs w:val="24"/>
        </w:rPr>
        <w:t>21.6468hm</w:t>
      </w:r>
      <w:r>
        <w:rPr>
          <w:rFonts w:cs="Times New Roman" w:hint="eastAsia"/>
          <w:sz w:val="24"/>
          <w:szCs w:val="24"/>
          <w:vertAlign w:val="superscript"/>
        </w:rPr>
        <w:t>2</w:t>
      </w:r>
      <w:r>
        <w:rPr>
          <w:rFonts w:cs="Times New Roman" w:hint="eastAsia"/>
          <w:sz w:val="24"/>
          <w:szCs w:val="24"/>
        </w:rPr>
        <w:t>、草地</w:t>
      </w:r>
      <w:r>
        <w:rPr>
          <w:rFonts w:cs="Times New Roman" w:hint="eastAsia"/>
          <w:sz w:val="24"/>
          <w:szCs w:val="24"/>
        </w:rPr>
        <w:t>3.9007hm</w:t>
      </w:r>
      <w:r>
        <w:rPr>
          <w:rFonts w:cs="Times New Roman" w:hint="eastAsia"/>
          <w:sz w:val="24"/>
          <w:szCs w:val="24"/>
          <w:vertAlign w:val="superscript"/>
        </w:rPr>
        <w:t>2</w:t>
      </w:r>
      <w:r>
        <w:rPr>
          <w:rFonts w:cs="Times New Roman" w:hint="eastAsia"/>
          <w:sz w:val="24"/>
          <w:szCs w:val="24"/>
        </w:rPr>
        <w:t>、水域</w:t>
      </w:r>
      <w:r>
        <w:rPr>
          <w:rFonts w:cs="Times New Roman" w:hint="eastAsia"/>
          <w:sz w:val="24"/>
          <w:szCs w:val="24"/>
        </w:rPr>
        <w:t>2.0069hm</w:t>
      </w:r>
      <w:r>
        <w:rPr>
          <w:rFonts w:cs="Times New Roman" w:hint="eastAsia"/>
          <w:sz w:val="24"/>
          <w:szCs w:val="24"/>
          <w:vertAlign w:val="superscript"/>
        </w:rPr>
        <w:t>2</w:t>
      </w:r>
      <w:r>
        <w:rPr>
          <w:rFonts w:cs="Times New Roman" w:hint="eastAsia"/>
          <w:sz w:val="24"/>
          <w:szCs w:val="24"/>
        </w:rPr>
        <w:t>和建设用地</w:t>
      </w:r>
      <w:r>
        <w:rPr>
          <w:rFonts w:cs="Times New Roman" w:hint="eastAsia"/>
          <w:sz w:val="24"/>
          <w:szCs w:val="24"/>
        </w:rPr>
        <w:t>0.3697hm</w:t>
      </w:r>
      <w:r>
        <w:rPr>
          <w:rFonts w:cs="Times New Roman" w:hint="eastAsia"/>
          <w:sz w:val="24"/>
          <w:szCs w:val="24"/>
          <w:vertAlign w:val="superscript"/>
        </w:rPr>
        <w:t>2</w:t>
      </w:r>
      <w:r>
        <w:rPr>
          <w:rFonts w:cs="Times New Roman" w:hint="eastAsia"/>
          <w:sz w:val="24"/>
          <w:szCs w:val="24"/>
        </w:rPr>
        <w:t>。</w:t>
      </w:r>
    </w:p>
    <w:p w14:paraId="68A27DF3" w14:textId="77777777" w:rsidR="007D1E74" w:rsidRDefault="00A95641">
      <w:pPr>
        <w:spacing w:line="360" w:lineRule="auto"/>
        <w:ind w:firstLineChars="200" w:firstLine="480"/>
        <w:rPr>
          <w:rFonts w:cs="Times New Roman"/>
          <w:sz w:val="24"/>
          <w:szCs w:val="24"/>
        </w:rPr>
      </w:pPr>
      <w:r>
        <w:rPr>
          <w:rFonts w:cs="Times New Roman" w:hint="eastAsia"/>
          <w:sz w:val="24"/>
          <w:szCs w:val="24"/>
        </w:rPr>
        <w:t>规划占地面积为评价区总面积</w:t>
      </w:r>
      <w:r>
        <w:rPr>
          <w:rFonts w:cs="Times New Roman" w:hint="eastAsia"/>
          <w:sz w:val="24"/>
          <w:szCs w:val="24"/>
        </w:rPr>
        <w:t>11044.20hm</w:t>
      </w:r>
      <w:r>
        <w:rPr>
          <w:rFonts w:cs="Times New Roman" w:hint="eastAsia"/>
          <w:sz w:val="24"/>
          <w:szCs w:val="24"/>
          <w:vertAlign w:val="superscript"/>
        </w:rPr>
        <w:t>2</w:t>
      </w:r>
      <w:r>
        <w:rPr>
          <w:rFonts w:cs="Times New Roman" w:hint="eastAsia"/>
          <w:sz w:val="24"/>
          <w:szCs w:val="24"/>
        </w:rPr>
        <w:t>的</w:t>
      </w:r>
      <w:r>
        <w:rPr>
          <w:rFonts w:cs="Times New Roman" w:hint="eastAsia"/>
          <w:sz w:val="24"/>
          <w:szCs w:val="24"/>
        </w:rPr>
        <w:t>0.33%</w:t>
      </w:r>
      <w:r>
        <w:rPr>
          <w:rFonts w:cs="Times New Roman" w:hint="eastAsia"/>
          <w:sz w:val="24"/>
          <w:szCs w:val="24"/>
        </w:rPr>
        <w:t>；其中永久占地面积仅为</w:t>
      </w:r>
      <w:r>
        <w:rPr>
          <w:rFonts w:cs="Times New Roman" w:hint="eastAsia"/>
          <w:sz w:val="24"/>
          <w:szCs w:val="24"/>
        </w:rPr>
        <w:t>0.1099 hm</w:t>
      </w:r>
      <w:r>
        <w:rPr>
          <w:rFonts w:cs="Times New Roman" w:hint="eastAsia"/>
          <w:sz w:val="24"/>
          <w:szCs w:val="24"/>
          <w:vertAlign w:val="superscript"/>
        </w:rPr>
        <w:t>2</w:t>
      </w:r>
      <w:r>
        <w:rPr>
          <w:rFonts w:cs="Times New Roman" w:hint="eastAsia"/>
          <w:sz w:val="24"/>
          <w:szCs w:val="24"/>
        </w:rPr>
        <w:t>，占地影响比例极小。</w:t>
      </w:r>
    </w:p>
    <w:p w14:paraId="3CC6AF5D" w14:textId="77777777" w:rsidR="007D1E74" w:rsidRDefault="00A95641">
      <w:pPr>
        <w:pStyle w:val="aa"/>
      </w:pPr>
      <w:r>
        <w:rPr>
          <w:rFonts w:hint="eastAsia"/>
        </w:rPr>
        <w:t>植物及植被多样性影响分析</w:t>
      </w:r>
    </w:p>
    <w:p w14:paraId="2D4265B1" w14:textId="77777777" w:rsidR="007D1E74" w:rsidRDefault="00A95641">
      <w:pPr>
        <w:spacing w:line="360" w:lineRule="auto"/>
        <w:ind w:firstLineChars="200" w:firstLine="480"/>
        <w:rPr>
          <w:rFonts w:cs="Times New Roman"/>
          <w:sz w:val="24"/>
          <w:szCs w:val="24"/>
        </w:rPr>
      </w:pPr>
      <w:r>
        <w:rPr>
          <w:rFonts w:cs="Times New Roman" w:hint="eastAsia"/>
          <w:sz w:val="24"/>
          <w:szCs w:val="24"/>
        </w:rPr>
        <w:t>项目的建设和运营将会毁坏部分植物和植被，导致植被分布面积的下降和植物种群数量的减少，根据项目可研提供的占地面积和占地类型，现场核实各永久与临时占地区的植被类型和主要植物种类，最后估算各占地区植被生物量。本项目各占地区植物种类和植被类型及生物量估算情况见下表。</w:t>
      </w:r>
    </w:p>
    <w:p w14:paraId="67440825" w14:textId="77777777" w:rsidR="007D1E74" w:rsidRDefault="00A95641">
      <w:pPr>
        <w:pStyle w:val="afffffe"/>
        <w:numPr>
          <w:ilvl w:val="0"/>
          <w:numId w:val="41"/>
        </w:numPr>
        <w:spacing w:line="360" w:lineRule="auto"/>
        <w:ind w:firstLineChars="0"/>
        <w:jc w:val="center"/>
        <w:rPr>
          <w:rFonts w:eastAsia="黑体" w:cs="Times New Roman"/>
          <w:szCs w:val="21"/>
        </w:rPr>
      </w:pPr>
      <w:r>
        <w:rPr>
          <w:rFonts w:eastAsia="黑体" w:cs="Times New Roman" w:hint="eastAsia"/>
          <w:szCs w:val="21"/>
        </w:rPr>
        <w:lastRenderedPageBreak/>
        <w:t>项目永久占地区主要占地类型、植物种类和生物量分布表</w:t>
      </w:r>
    </w:p>
    <w:tbl>
      <w:tblPr>
        <w:tblStyle w:val="affffc"/>
        <w:tblW w:w="5000" w:type="pct"/>
        <w:tblLook w:val="04A0" w:firstRow="1" w:lastRow="0" w:firstColumn="1" w:lastColumn="0" w:noHBand="0" w:noVBand="1"/>
      </w:tblPr>
      <w:tblGrid>
        <w:gridCol w:w="1096"/>
        <w:gridCol w:w="1789"/>
        <w:gridCol w:w="1098"/>
        <w:gridCol w:w="3711"/>
        <w:gridCol w:w="1322"/>
      </w:tblGrid>
      <w:tr w:rsidR="007D1E74" w14:paraId="755FE239" w14:textId="77777777">
        <w:tc>
          <w:tcPr>
            <w:tcW w:w="608" w:type="pct"/>
            <w:vAlign w:val="center"/>
          </w:tcPr>
          <w:p w14:paraId="37F97345" w14:textId="77777777" w:rsidR="007D1E74" w:rsidRDefault="00A95641">
            <w:pPr>
              <w:jc w:val="center"/>
              <w:rPr>
                <w:rFonts w:cs="Times New Roman"/>
                <w:szCs w:val="21"/>
              </w:rPr>
            </w:pPr>
            <w:r>
              <w:rPr>
                <w:rFonts w:cs="Times New Roman" w:hint="eastAsia"/>
                <w:szCs w:val="21"/>
              </w:rPr>
              <w:t>工程名称</w:t>
            </w:r>
          </w:p>
        </w:tc>
        <w:tc>
          <w:tcPr>
            <w:tcW w:w="992" w:type="pct"/>
            <w:vAlign w:val="center"/>
          </w:tcPr>
          <w:p w14:paraId="77C7F342" w14:textId="77777777" w:rsidR="007D1E74" w:rsidRDefault="00A95641">
            <w:pPr>
              <w:jc w:val="center"/>
              <w:rPr>
                <w:rFonts w:cs="Times New Roman"/>
                <w:szCs w:val="21"/>
              </w:rPr>
            </w:pPr>
            <w:r>
              <w:rPr>
                <w:rFonts w:cs="Times New Roman" w:hint="eastAsia"/>
                <w:szCs w:val="21"/>
              </w:rPr>
              <w:t>占地面积（</w:t>
            </w:r>
            <w:r>
              <w:rPr>
                <w:rFonts w:cs="Times New Roman" w:hint="eastAsia"/>
                <w:szCs w:val="21"/>
              </w:rPr>
              <w:t>hm</w:t>
            </w:r>
            <w:r>
              <w:rPr>
                <w:rFonts w:cs="Times New Roman"/>
                <w:szCs w:val="21"/>
                <w:vertAlign w:val="superscript"/>
              </w:rPr>
              <w:t>2</w:t>
            </w:r>
            <w:r>
              <w:rPr>
                <w:rFonts w:cs="Times New Roman" w:hint="eastAsia"/>
                <w:szCs w:val="21"/>
              </w:rPr>
              <w:t>）</w:t>
            </w:r>
          </w:p>
        </w:tc>
        <w:tc>
          <w:tcPr>
            <w:tcW w:w="609" w:type="pct"/>
            <w:vAlign w:val="center"/>
          </w:tcPr>
          <w:p w14:paraId="4CCC18F9" w14:textId="77777777" w:rsidR="007D1E74" w:rsidRDefault="00A95641">
            <w:pPr>
              <w:jc w:val="center"/>
              <w:rPr>
                <w:rFonts w:cs="Times New Roman"/>
                <w:szCs w:val="21"/>
              </w:rPr>
            </w:pPr>
            <w:r>
              <w:rPr>
                <w:rFonts w:cs="Times New Roman" w:hint="eastAsia"/>
                <w:szCs w:val="21"/>
              </w:rPr>
              <w:t>植被类型</w:t>
            </w:r>
          </w:p>
        </w:tc>
        <w:tc>
          <w:tcPr>
            <w:tcW w:w="2058" w:type="pct"/>
            <w:vAlign w:val="center"/>
          </w:tcPr>
          <w:p w14:paraId="4CE6D4CF" w14:textId="77777777" w:rsidR="007D1E74" w:rsidRDefault="00A95641">
            <w:pPr>
              <w:jc w:val="center"/>
              <w:rPr>
                <w:rFonts w:cs="Times New Roman"/>
                <w:szCs w:val="21"/>
              </w:rPr>
            </w:pPr>
            <w:r>
              <w:rPr>
                <w:rFonts w:cs="Times New Roman" w:hint="eastAsia"/>
                <w:szCs w:val="21"/>
              </w:rPr>
              <w:t>主要植物</w:t>
            </w:r>
          </w:p>
        </w:tc>
        <w:tc>
          <w:tcPr>
            <w:tcW w:w="733" w:type="pct"/>
            <w:vAlign w:val="center"/>
          </w:tcPr>
          <w:p w14:paraId="4E7EE68F" w14:textId="77777777" w:rsidR="007D1E74" w:rsidRDefault="00A95641">
            <w:pPr>
              <w:jc w:val="center"/>
              <w:rPr>
                <w:rFonts w:cs="Times New Roman"/>
                <w:szCs w:val="21"/>
              </w:rPr>
            </w:pPr>
            <w:r>
              <w:rPr>
                <w:rFonts w:cs="Times New Roman" w:hint="eastAsia"/>
                <w:szCs w:val="21"/>
              </w:rPr>
              <w:t>生物量（</w:t>
            </w:r>
            <w:r>
              <w:rPr>
                <w:rFonts w:cs="Times New Roman" w:hint="eastAsia"/>
                <w:szCs w:val="21"/>
              </w:rPr>
              <w:t>t</w:t>
            </w:r>
            <w:r>
              <w:rPr>
                <w:rFonts w:cs="Times New Roman" w:hint="eastAsia"/>
                <w:szCs w:val="21"/>
              </w:rPr>
              <w:t>）</w:t>
            </w:r>
          </w:p>
        </w:tc>
      </w:tr>
      <w:tr w:rsidR="007D1E74" w14:paraId="5C95F2D0" w14:textId="77777777">
        <w:tc>
          <w:tcPr>
            <w:tcW w:w="608" w:type="pct"/>
            <w:vAlign w:val="center"/>
          </w:tcPr>
          <w:p w14:paraId="7A76A295" w14:textId="77777777" w:rsidR="007D1E74" w:rsidRDefault="00A95641">
            <w:pPr>
              <w:jc w:val="center"/>
              <w:rPr>
                <w:rFonts w:cs="Times New Roman"/>
                <w:szCs w:val="21"/>
              </w:rPr>
            </w:pPr>
            <w:r>
              <w:rPr>
                <w:rFonts w:cs="Times New Roman" w:hint="eastAsia"/>
                <w:szCs w:val="21"/>
              </w:rPr>
              <w:t>标识标牌</w:t>
            </w:r>
          </w:p>
        </w:tc>
        <w:tc>
          <w:tcPr>
            <w:tcW w:w="992" w:type="pct"/>
            <w:vAlign w:val="center"/>
          </w:tcPr>
          <w:p w14:paraId="34483454" w14:textId="77777777" w:rsidR="007D1E74" w:rsidRDefault="00A95641">
            <w:pPr>
              <w:jc w:val="center"/>
              <w:rPr>
                <w:rFonts w:cs="Times New Roman"/>
                <w:szCs w:val="21"/>
              </w:rPr>
            </w:pPr>
            <w:r>
              <w:rPr>
                <w:rFonts w:cs="Times New Roman"/>
                <w:szCs w:val="21"/>
              </w:rPr>
              <w:t>0.0329</w:t>
            </w:r>
          </w:p>
        </w:tc>
        <w:tc>
          <w:tcPr>
            <w:tcW w:w="609" w:type="pct"/>
            <w:vAlign w:val="center"/>
          </w:tcPr>
          <w:p w14:paraId="510C3A47" w14:textId="77777777" w:rsidR="007D1E74" w:rsidRDefault="00A95641">
            <w:pPr>
              <w:jc w:val="center"/>
              <w:rPr>
                <w:rFonts w:cs="Times New Roman"/>
                <w:szCs w:val="21"/>
              </w:rPr>
            </w:pPr>
            <w:r>
              <w:rPr>
                <w:rFonts w:cs="Times New Roman" w:hint="eastAsia"/>
                <w:szCs w:val="21"/>
              </w:rPr>
              <w:t>旱地植被</w:t>
            </w:r>
          </w:p>
        </w:tc>
        <w:tc>
          <w:tcPr>
            <w:tcW w:w="2058" w:type="pct"/>
            <w:vAlign w:val="center"/>
          </w:tcPr>
          <w:p w14:paraId="5D24A5BC" w14:textId="77777777" w:rsidR="007D1E74" w:rsidRDefault="00A95641">
            <w:pPr>
              <w:rPr>
                <w:rFonts w:cs="Times New Roman"/>
                <w:szCs w:val="21"/>
              </w:rPr>
            </w:pPr>
            <w:r>
              <w:rPr>
                <w:rFonts w:cs="Times New Roman" w:hint="eastAsia"/>
                <w:szCs w:val="21"/>
              </w:rPr>
              <w:t>油菜、大豆、蚕豆、玉米、小麦、番薯等</w:t>
            </w:r>
          </w:p>
        </w:tc>
        <w:tc>
          <w:tcPr>
            <w:tcW w:w="733" w:type="pct"/>
            <w:vAlign w:val="center"/>
          </w:tcPr>
          <w:p w14:paraId="61F7055F" w14:textId="77777777" w:rsidR="007D1E74" w:rsidRDefault="00A95641">
            <w:pPr>
              <w:jc w:val="center"/>
              <w:rPr>
                <w:rFonts w:cs="Times New Roman"/>
                <w:szCs w:val="21"/>
              </w:rPr>
            </w:pPr>
            <w:r>
              <w:rPr>
                <w:rFonts w:cs="Times New Roman" w:hint="eastAsia"/>
                <w:szCs w:val="21"/>
              </w:rPr>
              <w:t>0</w:t>
            </w:r>
            <w:r>
              <w:rPr>
                <w:rFonts w:cs="Times New Roman"/>
                <w:szCs w:val="21"/>
              </w:rPr>
              <w:t>.31</w:t>
            </w:r>
          </w:p>
        </w:tc>
      </w:tr>
      <w:tr w:rsidR="007D1E74" w14:paraId="7077A1F6" w14:textId="77777777">
        <w:tc>
          <w:tcPr>
            <w:tcW w:w="608" w:type="pct"/>
            <w:vAlign w:val="center"/>
          </w:tcPr>
          <w:p w14:paraId="7F910594" w14:textId="77777777" w:rsidR="007D1E74" w:rsidRDefault="00A95641">
            <w:pPr>
              <w:jc w:val="center"/>
              <w:rPr>
                <w:rFonts w:cs="Times New Roman"/>
                <w:szCs w:val="21"/>
              </w:rPr>
            </w:pPr>
            <w:r>
              <w:rPr>
                <w:rFonts w:cs="Times New Roman" w:hint="eastAsia"/>
                <w:szCs w:val="21"/>
              </w:rPr>
              <w:t>1#</w:t>
            </w:r>
            <w:r>
              <w:rPr>
                <w:rFonts w:cs="Times New Roman" w:hint="eastAsia"/>
                <w:szCs w:val="21"/>
              </w:rPr>
              <w:t>阀室</w:t>
            </w:r>
          </w:p>
        </w:tc>
        <w:tc>
          <w:tcPr>
            <w:tcW w:w="992" w:type="pct"/>
            <w:vAlign w:val="center"/>
          </w:tcPr>
          <w:p w14:paraId="798FEDCE" w14:textId="77777777" w:rsidR="007D1E74" w:rsidRDefault="00A95641">
            <w:pPr>
              <w:jc w:val="center"/>
              <w:rPr>
                <w:rFonts w:cs="Times New Roman"/>
                <w:szCs w:val="21"/>
              </w:rPr>
            </w:pPr>
            <w:r>
              <w:rPr>
                <w:rFonts w:cs="Times New Roman"/>
                <w:szCs w:val="21"/>
              </w:rPr>
              <w:t>0.0704</w:t>
            </w:r>
          </w:p>
        </w:tc>
        <w:tc>
          <w:tcPr>
            <w:tcW w:w="609" w:type="pct"/>
            <w:vAlign w:val="center"/>
          </w:tcPr>
          <w:p w14:paraId="21A2FF89" w14:textId="77777777" w:rsidR="007D1E74" w:rsidRDefault="00A95641">
            <w:pPr>
              <w:jc w:val="center"/>
              <w:rPr>
                <w:rFonts w:eastAsiaTheme="minorEastAsia" w:cs="Times New Roman"/>
                <w:szCs w:val="21"/>
              </w:rPr>
            </w:pPr>
            <w:r>
              <w:rPr>
                <w:rFonts w:eastAsiaTheme="minorEastAsia" w:cs="Times New Roman"/>
                <w:kern w:val="0"/>
                <w:szCs w:val="21"/>
                <w:lang w:bidi="ar"/>
              </w:rPr>
              <w:t>旱地植被</w:t>
            </w:r>
          </w:p>
        </w:tc>
        <w:tc>
          <w:tcPr>
            <w:tcW w:w="2058" w:type="pct"/>
            <w:vAlign w:val="center"/>
          </w:tcPr>
          <w:p w14:paraId="0531DC73" w14:textId="77777777" w:rsidR="007D1E74" w:rsidRDefault="00A95641">
            <w:pPr>
              <w:rPr>
                <w:rFonts w:eastAsiaTheme="minorEastAsia" w:cs="Times New Roman"/>
                <w:szCs w:val="21"/>
              </w:rPr>
            </w:pPr>
            <w:r>
              <w:rPr>
                <w:rFonts w:eastAsiaTheme="minorEastAsia" w:cs="Times New Roman"/>
                <w:kern w:val="0"/>
                <w:szCs w:val="21"/>
                <w:lang w:bidi="ar"/>
              </w:rPr>
              <w:t>油菜、大豆、蚕豆、玉米、小麦、番薯等</w:t>
            </w:r>
          </w:p>
        </w:tc>
        <w:tc>
          <w:tcPr>
            <w:tcW w:w="733" w:type="pct"/>
            <w:vAlign w:val="center"/>
          </w:tcPr>
          <w:p w14:paraId="64E2EBA9" w14:textId="77777777" w:rsidR="007D1E74" w:rsidRDefault="00A95641">
            <w:pPr>
              <w:jc w:val="center"/>
              <w:rPr>
                <w:rFonts w:cs="Times New Roman"/>
                <w:szCs w:val="21"/>
              </w:rPr>
            </w:pPr>
            <w:r>
              <w:rPr>
                <w:rFonts w:cs="Times New Roman" w:hint="eastAsia"/>
                <w:szCs w:val="21"/>
              </w:rPr>
              <w:t>0</w:t>
            </w:r>
            <w:r>
              <w:rPr>
                <w:rFonts w:cs="Times New Roman"/>
                <w:szCs w:val="21"/>
              </w:rPr>
              <w:t>.66</w:t>
            </w:r>
          </w:p>
        </w:tc>
      </w:tr>
      <w:tr w:rsidR="007D1E74" w14:paraId="621E26E5" w14:textId="77777777">
        <w:tc>
          <w:tcPr>
            <w:tcW w:w="608" w:type="pct"/>
            <w:vAlign w:val="center"/>
          </w:tcPr>
          <w:p w14:paraId="388D45F7" w14:textId="77777777" w:rsidR="007D1E74" w:rsidRDefault="00A95641">
            <w:pPr>
              <w:jc w:val="center"/>
              <w:rPr>
                <w:rFonts w:cs="Times New Roman"/>
                <w:szCs w:val="21"/>
              </w:rPr>
            </w:pPr>
            <w:r>
              <w:rPr>
                <w:rFonts w:cs="Times New Roman" w:hint="eastAsia"/>
                <w:szCs w:val="21"/>
              </w:rPr>
              <w:t>2#</w:t>
            </w:r>
            <w:r>
              <w:rPr>
                <w:rFonts w:cs="Times New Roman" w:hint="eastAsia"/>
                <w:szCs w:val="21"/>
              </w:rPr>
              <w:t>、</w:t>
            </w:r>
            <w:r>
              <w:rPr>
                <w:rFonts w:cs="Times New Roman" w:hint="eastAsia"/>
                <w:szCs w:val="21"/>
              </w:rPr>
              <w:t>3#</w:t>
            </w:r>
            <w:r>
              <w:rPr>
                <w:rFonts w:cs="Times New Roman" w:hint="eastAsia"/>
                <w:szCs w:val="21"/>
              </w:rPr>
              <w:t>阀组</w:t>
            </w:r>
          </w:p>
        </w:tc>
        <w:tc>
          <w:tcPr>
            <w:tcW w:w="992" w:type="pct"/>
            <w:vAlign w:val="center"/>
          </w:tcPr>
          <w:p w14:paraId="1EC1E847" w14:textId="77777777" w:rsidR="007D1E74" w:rsidRDefault="00A95641">
            <w:pPr>
              <w:jc w:val="center"/>
              <w:rPr>
                <w:rFonts w:cs="Times New Roman"/>
                <w:szCs w:val="21"/>
              </w:rPr>
            </w:pPr>
            <w:r>
              <w:rPr>
                <w:rFonts w:cs="Times New Roman"/>
                <w:szCs w:val="21"/>
              </w:rPr>
              <w:t>0.0066</w:t>
            </w:r>
          </w:p>
        </w:tc>
        <w:tc>
          <w:tcPr>
            <w:tcW w:w="609" w:type="pct"/>
            <w:vAlign w:val="center"/>
          </w:tcPr>
          <w:p w14:paraId="0FF8B394" w14:textId="77777777" w:rsidR="007D1E74" w:rsidRDefault="00A95641">
            <w:pPr>
              <w:jc w:val="center"/>
              <w:rPr>
                <w:rFonts w:cs="Times New Roman"/>
                <w:szCs w:val="21"/>
              </w:rPr>
            </w:pPr>
            <w:r>
              <w:rPr>
                <w:rFonts w:cs="Times New Roman"/>
                <w:szCs w:val="21"/>
              </w:rPr>
              <w:t>林地</w:t>
            </w:r>
          </w:p>
        </w:tc>
        <w:tc>
          <w:tcPr>
            <w:tcW w:w="2058" w:type="pct"/>
            <w:vAlign w:val="center"/>
          </w:tcPr>
          <w:p w14:paraId="530DE8B1" w14:textId="77777777" w:rsidR="007D1E74" w:rsidRDefault="00A95641">
            <w:pPr>
              <w:rPr>
                <w:rFonts w:cs="Times New Roman"/>
                <w:szCs w:val="21"/>
              </w:rPr>
            </w:pPr>
            <w:r>
              <w:rPr>
                <w:rFonts w:cs="Times New Roman" w:hint="eastAsia"/>
                <w:szCs w:val="21"/>
              </w:rPr>
              <w:t>柏木、栎、桤木、喜树、楝、马桑、黄荆、火棘、悬钩子等</w:t>
            </w:r>
          </w:p>
        </w:tc>
        <w:tc>
          <w:tcPr>
            <w:tcW w:w="733" w:type="pct"/>
            <w:vAlign w:val="center"/>
          </w:tcPr>
          <w:p w14:paraId="57A4A36B" w14:textId="77777777" w:rsidR="007D1E74" w:rsidRDefault="00A95641">
            <w:pPr>
              <w:jc w:val="center"/>
              <w:rPr>
                <w:rFonts w:cs="Times New Roman"/>
                <w:szCs w:val="21"/>
              </w:rPr>
            </w:pPr>
            <w:r>
              <w:rPr>
                <w:rFonts w:cs="Times New Roman" w:hint="eastAsia"/>
                <w:szCs w:val="21"/>
              </w:rPr>
              <w:t>0</w:t>
            </w:r>
            <w:r>
              <w:rPr>
                <w:rFonts w:cs="Times New Roman"/>
                <w:szCs w:val="21"/>
              </w:rPr>
              <w:t>.27</w:t>
            </w:r>
          </w:p>
        </w:tc>
      </w:tr>
      <w:tr w:rsidR="007D1E74" w14:paraId="37798634" w14:textId="77777777">
        <w:tc>
          <w:tcPr>
            <w:tcW w:w="608" w:type="pct"/>
            <w:vAlign w:val="center"/>
          </w:tcPr>
          <w:p w14:paraId="39C71607" w14:textId="77777777" w:rsidR="007D1E74" w:rsidRDefault="00A95641">
            <w:pPr>
              <w:jc w:val="center"/>
              <w:rPr>
                <w:rFonts w:cs="Times New Roman"/>
                <w:szCs w:val="21"/>
              </w:rPr>
            </w:pPr>
            <w:r>
              <w:rPr>
                <w:rFonts w:cs="Times New Roman" w:hint="eastAsia"/>
                <w:szCs w:val="21"/>
              </w:rPr>
              <w:t>合计</w:t>
            </w:r>
          </w:p>
        </w:tc>
        <w:tc>
          <w:tcPr>
            <w:tcW w:w="992" w:type="pct"/>
            <w:vAlign w:val="center"/>
          </w:tcPr>
          <w:p w14:paraId="25A4E788" w14:textId="77777777" w:rsidR="007D1E74" w:rsidRDefault="00A95641">
            <w:pPr>
              <w:jc w:val="center"/>
              <w:rPr>
                <w:rFonts w:cs="Times New Roman"/>
                <w:szCs w:val="21"/>
              </w:rPr>
            </w:pPr>
            <w:r>
              <w:rPr>
                <w:rFonts w:cs="Times New Roman" w:hint="eastAsia"/>
                <w:szCs w:val="21"/>
              </w:rPr>
              <w:t>2</w:t>
            </w:r>
            <w:r>
              <w:rPr>
                <w:rFonts w:cs="Times New Roman"/>
                <w:szCs w:val="21"/>
              </w:rPr>
              <w:t>0.7517</w:t>
            </w:r>
          </w:p>
        </w:tc>
        <w:tc>
          <w:tcPr>
            <w:tcW w:w="609" w:type="pct"/>
            <w:vAlign w:val="center"/>
          </w:tcPr>
          <w:p w14:paraId="42530FD8" w14:textId="77777777" w:rsidR="007D1E74" w:rsidRDefault="00A95641">
            <w:pPr>
              <w:jc w:val="center"/>
              <w:rPr>
                <w:rFonts w:cs="Times New Roman"/>
                <w:szCs w:val="21"/>
              </w:rPr>
            </w:pPr>
            <w:r>
              <w:rPr>
                <w:rFonts w:cs="Times New Roman" w:hint="eastAsia"/>
                <w:szCs w:val="21"/>
              </w:rPr>
              <w:t>/</w:t>
            </w:r>
          </w:p>
        </w:tc>
        <w:tc>
          <w:tcPr>
            <w:tcW w:w="2058" w:type="pct"/>
            <w:vAlign w:val="center"/>
          </w:tcPr>
          <w:p w14:paraId="0793973B" w14:textId="77777777" w:rsidR="007D1E74" w:rsidRDefault="00A95641">
            <w:pPr>
              <w:jc w:val="center"/>
              <w:rPr>
                <w:rFonts w:cs="Times New Roman"/>
                <w:szCs w:val="21"/>
              </w:rPr>
            </w:pPr>
            <w:r>
              <w:rPr>
                <w:rFonts w:cs="Times New Roman" w:hint="eastAsia"/>
                <w:szCs w:val="21"/>
              </w:rPr>
              <w:t>/</w:t>
            </w:r>
          </w:p>
        </w:tc>
        <w:tc>
          <w:tcPr>
            <w:tcW w:w="733" w:type="pct"/>
            <w:vAlign w:val="center"/>
          </w:tcPr>
          <w:p w14:paraId="441D6A08" w14:textId="77777777" w:rsidR="007D1E74" w:rsidRDefault="00A95641">
            <w:pPr>
              <w:jc w:val="center"/>
              <w:rPr>
                <w:rFonts w:cs="Times New Roman"/>
                <w:szCs w:val="21"/>
              </w:rPr>
            </w:pPr>
            <w:r>
              <w:rPr>
                <w:rFonts w:cs="Times New Roman" w:hint="eastAsia"/>
                <w:szCs w:val="21"/>
              </w:rPr>
              <w:t>1</w:t>
            </w:r>
            <w:r>
              <w:rPr>
                <w:rFonts w:cs="Times New Roman"/>
                <w:szCs w:val="21"/>
              </w:rPr>
              <w:t>.24</w:t>
            </w:r>
          </w:p>
        </w:tc>
      </w:tr>
    </w:tbl>
    <w:p w14:paraId="4C1E55CD" w14:textId="77777777" w:rsidR="007D1E74" w:rsidRDefault="00A95641">
      <w:pPr>
        <w:spacing w:line="360" w:lineRule="auto"/>
        <w:ind w:firstLineChars="200" w:firstLine="480"/>
        <w:rPr>
          <w:rFonts w:cs="Times New Roman"/>
          <w:sz w:val="24"/>
          <w:szCs w:val="24"/>
        </w:rPr>
      </w:pPr>
      <w:r>
        <w:rPr>
          <w:rFonts w:cs="Times New Roman" w:hint="eastAsia"/>
          <w:sz w:val="24"/>
          <w:szCs w:val="24"/>
        </w:rPr>
        <w:t>由上表可知，本项目永久占地中仅有</w:t>
      </w:r>
      <w:r>
        <w:rPr>
          <w:rFonts w:cs="Times New Roman" w:hint="eastAsia"/>
          <w:sz w:val="24"/>
          <w:szCs w:val="24"/>
        </w:rPr>
        <w:t>2#</w:t>
      </w:r>
      <w:r>
        <w:rPr>
          <w:rFonts w:cs="Times New Roman" w:hint="eastAsia"/>
          <w:sz w:val="24"/>
          <w:szCs w:val="24"/>
        </w:rPr>
        <w:t>、</w:t>
      </w:r>
      <w:r>
        <w:rPr>
          <w:rFonts w:cs="Times New Roman" w:hint="eastAsia"/>
          <w:sz w:val="24"/>
          <w:szCs w:val="24"/>
        </w:rPr>
        <w:t>3#</w:t>
      </w:r>
      <w:r>
        <w:rPr>
          <w:rFonts w:cs="Times New Roman" w:hint="eastAsia"/>
          <w:sz w:val="24"/>
          <w:szCs w:val="24"/>
        </w:rPr>
        <w:t>阀组占用林地面积为</w:t>
      </w:r>
      <w:r>
        <w:rPr>
          <w:rFonts w:cs="Times New Roman" w:hint="eastAsia"/>
          <w:sz w:val="24"/>
          <w:szCs w:val="24"/>
        </w:rPr>
        <w:t>0.0066hm</w:t>
      </w:r>
      <w:r>
        <w:rPr>
          <w:rFonts w:cs="Times New Roman" w:hint="eastAsia"/>
          <w:sz w:val="24"/>
          <w:szCs w:val="24"/>
          <w:vertAlign w:val="superscript"/>
        </w:rPr>
        <w:t>2</w:t>
      </w:r>
      <w:r>
        <w:rPr>
          <w:rFonts w:cs="Times New Roman" w:hint="eastAsia"/>
          <w:sz w:val="24"/>
          <w:szCs w:val="24"/>
        </w:rPr>
        <w:t>；</w:t>
      </w:r>
      <w:r>
        <w:rPr>
          <w:rFonts w:cs="Times New Roman" w:hint="eastAsia"/>
          <w:sz w:val="24"/>
          <w:szCs w:val="24"/>
        </w:rPr>
        <w:t>1#</w:t>
      </w:r>
      <w:r>
        <w:rPr>
          <w:rFonts w:cs="Times New Roman" w:hint="eastAsia"/>
          <w:sz w:val="24"/>
          <w:szCs w:val="24"/>
        </w:rPr>
        <w:t>阀室占用耕地</w:t>
      </w:r>
      <w:r>
        <w:rPr>
          <w:rFonts w:cs="Times New Roman" w:hint="eastAsia"/>
          <w:sz w:val="24"/>
          <w:szCs w:val="24"/>
        </w:rPr>
        <w:t>0.0704hm</w:t>
      </w:r>
      <w:r>
        <w:rPr>
          <w:rFonts w:cs="Times New Roman" w:hint="eastAsia"/>
          <w:sz w:val="24"/>
          <w:szCs w:val="24"/>
          <w:vertAlign w:val="superscript"/>
        </w:rPr>
        <w:t>2</w:t>
      </w:r>
      <w:r>
        <w:rPr>
          <w:rFonts w:cs="Times New Roman" w:hint="eastAsia"/>
          <w:sz w:val="24"/>
          <w:szCs w:val="24"/>
        </w:rPr>
        <w:t>；</w:t>
      </w:r>
      <w:r>
        <w:rPr>
          <w:rFonts w:cs="Times New Roman" w:hint="eastAsia"/>
          <w:sz w:val="24"/>
          <w:szCs w:val="24"/>
        </w:rPr>
        <w:t>2#</w:t>
      </w:r>
      <w:r>
        <w:rPr>
          <w:rFonts w:cs="Times New Roman" w:hint="eastAsia"/>
          <w:sz w:val="24"/>
          <w:szCs w:val="24"/>
        </w:rPr>
        <w:t>和</w:t>
      </w:r>
      <w:r>
        <w:rPr>
          <w:rFonts w:cs="Times New Roman" w:hint="eastAsia"/>
          <w:sz w:val="24"/>
          <w:szCs w:val="24"/>
        </w:rPr>
        <w:t>3#</w:t>
      </w:r>
      <w:r>
        <w:rPr>
          <w:rFonts w:cs="Times New Roman" w:hint="eastAsia"/>
          <w:sz w:val="24"/>
          <w:szCs w:val="24"/>
        </w:rPr>
        <w:t>阀组占用耕地</w:t>
      </w:r>
      <w:r>
        <w:rPr>
          <w:rFonts w:cs="Times New Roman" w:hint="eastAsia"/>
          <w:sz w:val="24"/>
          <w:szCs w:val="24"/>
        </w:rPr>
        <w:t>0.0066hm</w:t>
      </w:r>
      <w:r>
        <w:rPr>
          <w:rFonts w:cs="Times New Roman" w:hint="eastAsia"/>
          <w:sz w:val="24"/>
          <w:szCs w:val="24"/>
          <w:vertAlign w:val="superscript"/>
        </w:rPr>
        <w:t>2</w:t>
      </w:r>
      <w:r>
        <w:rPr>
          <w:rFonts w:cs="Times New Roman" w:hint="eastAsia"/>
          <w:sz w:val="24"/>
          <w:szCs w:val="24"/>
        </w:rPr>
        <w:t>，估算永久占地区内植被生物量估算为</w:t>
      </w:r>
      <w:r>
        <w:rPr>
          <w:rFonts w:cs="Times New Roman" w:hint="eastAsia"/>
          <w:sz w:val="24"/>
          <w:szCs w:val="24"/>
        </w:rPr>
        <w:t>1.24t</w:t>
      </w:r>
      <w:r>
        <w:rPr>
          <w:rFonts w:cs="Times New Roman" w:hint="eastAsia"/>
          <w:sz w:val="24"/>
          <w:szCs w:val="24"/>
        </w:rPr>
        <w:t>，占评价区植被总生物量</w:t>
      </w:r>
      <w:r>
        <w:rPr>
          <w:rFonts w:cs="Times New Roman" w:hint="eastAsia"/>
          <w:sz w:val="24"/>
          <w:szCs w:val="24"/>
        </w:rPr>
        <w:t>1541159.209 t</w:t>
      </w:r>
      <w:r>
        <w:rPr>
          <w:rFonts w:cs="Times New Roman" w:hint="eastAsia"/>
          <w:sz w:val="24"/>
          <w:szCs w:val="24"/>
        </w:rPr>
        <w:t>的比例</w:t>
      </w:r>
      <w:r>
        <w:rPr>
          <w:rFonts w:cs="Times New Roman" w:hint="eastAsia"/>
          <w:sz w:val="24"/>
          <w:szCs w:val="24"/>
        </w:rPr>
        <w:t>0.00008%</w:t>
      </w:r>
      <w:r>
        <w:rPr>
          <w:rFonts w:cs="Times New Roman" w:hint="eastAsia"/>
          <w:sz w:val="24"/>
          <w:szCs w:val="24"/>
        </w:rPr>
        <w:t>，占比极小</w:t>
      </w:r>
      <w:r>
        <w:rPr>
          <w:rFonts w:cs="Times New Roman"/>
          <w:sz w:val="24"/>
          <w:szCs w:val="24"/>
        </w:rPr>
        <w:t>。</w:t>
      </w:r>
    </w:p>
    <w:p w14:paraId="42CE7C4E" w14:textId="77777777" w:rsidR="007D1E74" w:rsidRDefault="00A95641">
      <w:pPr>
        <w:pStyle w:val="afffffe"/>
        <w:numPr>
          <w:ilvl w:val="0"/>
          <w:numId w:val="41"/>
        </w:numPr>
        <w:spacing w:line="360" w:lineRule="auto"/>
        <w:ind w:firstLineChars="0"/>
        <w:jc w:val="center"/>
        <w:rPr>
          <w:rFonts w:eastAsia="黑体" w:cs="Times New Roman"/>
          <w:szCs w:val="21"/>
        </w:rPr>
      </w:pPr>
      <w:r>
        <w:rPr>
          <w:rFonts w:eastAsia="黑体" w:cs="Times New Roman" w:hint="eastAsia"/>
          <w:szCs w:val="21"/>
        </w:rPr>
        <w:t>项目临时占地区主要植物种类、植被类型和生物量分布表</w:t>
      </w:r>
    </w:p>
    <w:tbl>
      <w:tblPr>
        <w:tblStyle w:val="affffc"/>
        <w:tblW w:w="5000" w:type="pct"/>
        <w:tblLook w:val="04A0" w:firstRow="1" w:lastRow="0" w:firstColumn="1" w:lastColumn="0" w:noHBand="0" w:noVBand="1"/>
      </w:tblPr>
      <w:tblGrid>
        <w:gridCol w:w="1782"/>
        <w:gridCol w:w="1650"/>
        <w:gridCol w:w="3985"/>
        <w:gridCol w:w="1599"/>
      </w:tblGrid>
      <w:tr w:rsidR="007D1E74" w14:paraId="737AD2D6" w14:textId="77777777">
        <w:trPr>
          <w:trHeight w:val="70"/>
          <w:tblHeader/>
        </w:trPr>
        <w:tc>
          <w:tcPr>
            <w:tcW w:w="988" w:type="pct"/>
            <w:vAlign w:val="center"/>
          </w:tcPr>
          <w:p w14:paraId="06838638" w14:textId="77777777" w:rsidR="007D1E74" w:rsidRDefault="00A95641">
            <w:pPr>
              <w:jc w:val="center"/>
              <w:rPr>
                <w:rFonts w:cs="Times New Roman"/>
                <w:szCs w:val="21"/>
              </w:rPr>
            </w:pPr>
            <w:r>
              <w:rPr>
                <w:rFonts w:cs="Times New Roman" w:hint="eastAsia"/>
                <w:szCs w:val="21"/>
              </w:rPr>
              <w:t>工程名称</w:t>
            </w:r>
          </w:p>
        </w:tc>
        <w:tc>
          <w:tcPr>
            <w:tcW w:w="915" w:type="pct"/>
            <w:vAlign w:val="center"/>
          </w:tcPr>
          <w:p w14:paraId="7EC0C990" w14:textId="77777777" w:rsidR="007D1E74" w:rsidRDefault="00A95641">
            <w:pPr>
              <w:jc w:val="center"/>
              <w:rPr>
                <w:rFonts w:cs="Times New Roman"/>
                <w:szCs w:val="21"/>
              </w:rPr>
            </w:pPr>
            <w:r>
              <w:rPr>
                <w:rFonts w:cs="Times New Roman" w:hint="eastAsia"/>
                <w:szCs w:val="21"/>
              </w:rPr>
              <w:t>植被类型</w:t>
            </w:r>
          </w:p>
        </w:tc>
        <w:tc>
          <w:tcPr>
            <w:tcW w:w="2210" w:type="pct"/>
            <w:vAlign w:val="center"/>
          </w:tcPr>
          <w:p w14:paraId="4501947F" w14:textId="77777777" w:rsidR="007D1E74" w:rsidRDefault="00A95641">
            <w:pPr>
              <w:jc w:val="center"/>
              <w:rPr>
                <w:rFonts w:cs="Times New Roman"/>
                <w:szCs w:val="21"/>
              </w:rPr>
            </w:pPr>
            <w:r>
              <w:rPr>
                <w:rFonts w:cs="Times New Roman" w:hint="eastAsia"/>
                <w:szCs w:val="21"/>
              </w:rPr>
              <w:t>主要植物</w:t>
            </w:r>
          </w:p>
        </w:tc>
        <w:tc>
          <w:tcPr>
            <w:tcW w:w="887" w:type="pct"/>
            <w:vAlign w:val="center"/>
          </w:tcPr>
          <w:p w14:paraId="68AA974A" w14:textId="77777777" w:rsidR="007D1E74" w:rsidRDefault="00A95641">
            <w:pPr>
              <w:jc w:val="center"/>
              <w:rPr>
                <w:rFonts w:cs="Times New Roman"/>
                <w:szCs w:val="21"/>
              </w:rPr>
            </w:pPr>
            <w:r>
              <w:rPr>
                <w:rFonts w:cs="Times New Roman" w:hint="eastAsia"/>
                <w:szCs w:val="21"/>
              </w:rPr>
              <w:t>生物量（</w:t>
            </w:r>
            <w:r>
              <w:rPr>
                <w:rFonts w:cs="Times New Roman" w:hint="eastAsia"/>
                <w:szCs w:val="21"/>
              </w:rPr>
              <w:t>t</w:t>
            </w:r>
            <w:r>
              <w:rPr>
                <w:rFonts w:cs="Times New Roman" w:hint="eastAsia"/>
                <w:szCs w:val="21"/>
              </w:rPr>
              <w:t>）</w:t>
            </w:r>
          </w:p>
        </w:tc>
      </w:tr>
      <w:tr w:rsidR="007D1E74" w14:paraId="45A38F97" w14:textId="77777777">
        <w:tc>
          <w:tcPr>
            <w:tcW w:w="988" w:type="pct"/>
            <w:vMerge w:val="restart"/>
            <w:vAlign w:val="center"/>
          </w:tcPr>
          <w:p w14:paraId="49F75D98" w14:textId="77777777" w:rsidR="007D1E74" w:rsidRDefault="00A95641">
            <w:pPr>
              <w:jc w:val="center"/>
              <w:rPr>
                <w:rFonts w:cs="Times New Roman"/>
                <w:szCs w:val="21"/>
              </w:rPr>
            </w:pPr>
            <w:r>
              <w:rPr>
                <w:rFonts w:cs="Times New Roman" w:hint="eastAsia"/>
                <w:szCs w:val="21"/>
              </w:rPr>
              <w:t>管线干线</w:t>
            </w:r>
          </w:p>
        </w:tc>
        <w:tc>
          <w:tcPr>
            <w:tcW w:w="915" w:type="pct"/>
            <w:vAlign w:val="center"/>
          </w:tcPr>
          <w:p w14:paraId="31CE61D1" w14:textId="77777777" w:rsidR="007D1E74" w:rsidRDefault="00A95641">
            <w:pPr>
              <w:jc w:val="center"/>
              <w:rPr>
                <w:rFonts w:cs="Times New Roman"/>
                <w:szCs w:val="21"/>
              </w:rPr>
            </w:pPr>
            <w:r>
              <w:rPr>
                <w:rFonts w:cs="Times New Roman" w:hint="eastAsia"/>
                <w:szCs w:val="21"/>
              </w:rPr>
              <w:t>柏木林</w:t>
            </w:r>
          </w:p>
        </w:tc>
        <w:tc>
          <w:tcPr>
            <w:tcW w:w="2210" w:type="pct"/>
            <w:vAlign w:val="center"/>
          </w:tcPr>
          <w:p w14:paraId="558B6159" w14:textId="77777777" w:rsidR="007D1E74" w:rsidRDefault="00A95641">
            <w:pPr>
              <w:rPr>
                <w:rFonts w:cs="Times New Roman"/>
                <w:szCs w:val="21"/>
              </w:rPr>
            </w:pPr>
            <w:r>
              <w:rPr>
                <w:rFonts w:cs="Times New Roman" w:hint="eastAsia"/>
                <w:szCs w:val="21"/>
              </w:rPr>
              <w:t>柏木、栎、桤木、喜树、楝等</w:t>
            </w:r>
          </w:p>
        </w:tc>
        <w:tc>
          <w:tcPr>
            <w:tcW w:w="887" w:type="pct"/>
            <w:vAlign w:val="center"/>
          </w:tcPr>
          <w:p w14:paraId="5F2265AD" w14:textId="77777777" w:rsidR="007D1E74" w:rsidRDefault="00A95641">
            <w:pPr>
              <w:jc w:val="center"/>
              <w:rPr>
                <w:rFonts w:cs="Times New Roman"/>
                <w:szCs w:val="21"/>
              </w:rPr>
            </w:pPr>
            <w:r>
              <w:rPr>
                <w:rFonts w:cs="Times New Roman" w:hint="eastAsia"/>
                <w:szCs w:val="21"/>
              </w:rPr>
              <w:t>2</w:t>
            </w:r>
            <w:r>
              <w:rPr>
                <w:rFonts w:cs="Times New Roman"/>
                <w:szCs w:val="21"/>
              </w:rPr>
              <w:t>302.14</w:t>
            </w:r>
          </w:p>
        </w:tc>
      </w:tr>
      <w:tr w:rsidR="007D1E74" w14:paraId="22A46219" w14:textId="77777777">
        <w:tc>
          <w:tcPr>
            <w:tcW w:w="988" w:type="pct"/>
            <w:vMerge/>
            <w:vAlign w:val="center"/>
          </w:tcPr>
          <w:p w14:paraId="2EC8635B" w14:textId="77777777" w:rsidR="007D1E74" w:rsidRDefault="007D1E74">
            <w:pPr>
              <w:jc w:val="center"/>
              <w:rPr>
                <w:rFonts w:cs="Times New Roman"/>
                <w:szCs w:val="21"/>
              </w:rPr>
            </w:pPr>
          </w:p>
        </w:tc>
        <w:tc>
          <w:tcPr>
            <w:tcW w:w="915" w:type="pct"/>
            <w:vAlign w:val="center"/>
          </w:tcPr>
          <w:p w14:paraId="5898692F" w14:textId="77777777" w:rsidR="007D1E74" w:rsidRDefault="00A95641">
            <w:pPr>
              <w:jc w:val="center"/>
              <w:rPr>
                <w:rFonts w:cs="Times New Roman"/>
                <w:szCs w:val="21"/>
              </w:rPr>
            </w:pPr>
            <w:r>
              <w:rPr>
                <w:rFonts w:cs="Times New Roman" w:hint="eastAsia"/>
                <w:szCs w:val="21"/>
              </w:rPr>
              <w:t>马尾松林</w:t>
            </w:r>
          </w:p>
        </w:tc>
        <w:tc>
          <w:tcPr>
            <w:tcW w:w="2210" w:type="pct"/>
            <w:vAlign w:val="center"/>
          </w:tcPr>
          <w:p w14:paraId="6A0802B8" w14:textId="77777777" w:rsidR="007D1E74" w:rsidRDefault="00A95641">
            <w:pPr>
              <w:rPr>
                <w:rFonts w:cs="Times New Roman"/>
                <w:szCs w:val="21"/>
              </w:rPr>
            </w:pPr>
            <w:r>
              <w:rPr>
                <w:rFonts w:cs="Times New Roman" w:hint="eastAsia"/>
                <w:szCs w:val="21"/>
              </w:rPr>
              <w:t>马尾松、柏木、麻栎、白栎等</w:t>
            </w:r>
          </w:p>
        </w:tc>
        <w:tc>
          <w:tcPr>
            <w:tcW w:w="887" w:type="pct"/>
            <w:vAlign w:val="center"/>
          </w:tcPr>
          <w:p w14:paraId="505D3418" w14:textId="77777777" w:rsidR="007D1E74" w:rsidRDefault="00A95641">
            <w:pPr>
              <w:jc w:val="center"/>
              <w:rPr>
                <w:rFonts w:cs="Times New Roman"/>
                <w:szCs w:val="21"/>
              </w:rPr>
            </w:pPr>
            <w:r>
              <w:rPr>
                <w:rFonts w:cs="Times New Roman" w:hint="eastAsia"/>
                <w:szCs w:val="21"/>
              </w:rPr>
              <w:t>1</w:t>
            </w:r>
            <w:r>
              <w:rPr>
                <w:rFonts w:cs="Times New Roman"/>
                <w:szCs w:val="21"/>
              </w:rPr>
              <w:t>60.13</w:t>
            </w:r>
          </w:p>
        </w:tc>
      </w:tr>
      <w:tr w:rsidR="007D1E74" w14:paraId="50C75B0F" w14:textId="77777777">
        <w:tc>
          <w:tcPr>
            <w:tcW w:w="988" w:type="pct"/>
            <w:vMerge/>
            <w:vAlign w:val="center"/>
          </w:tcPr>
          <w:p w14:paraId="175429B5" w14:textId="77777777" w:rsidR="007D1E74" w:rsidRDefault="007D1E74">
            <w:pPr>
              <w:jc w:val="center"/>
              <w:rPr>
                <w:rFonts w:cs="Times New Roman"/>
                <w:szCs w:val="21"/>
              </w:rPr>
            </w:pPr>
          </w:p>
        </w:tc>
        <w:tc>
          <w:tcPr>
            <w:tcW w:w="915" w:type="pct"/>
            <w:vAlign w:val="center"/>
          </w:tcPr>
          <w:p w14:paraId="12D0C951" w14:textId="77777777" w:rsidR="007D1E74" w:rsidRDefault="00A95641">
            <w:pPr>
              <w:jc w:val="center"/>
              <w:rPr>
                <w:rFonts w:cs="Times New Roman"/>
                <w:szCs w:val="21"/>
              </w:rPr>
            </w:pPr>
            <w:r>
              <w:rPr>
                <w:rFonts w:cs="Times New Roman" w:hint="eastAsia"/>
                <w:szCs w:val="21"/>
              </w:rPr>
              <w:t>栎林</w:t>
            </w:r>
          </w:p>
        </w:tc>
        <w:tc>
          <w:tcPr>
            <w:tcW w:w="2210" w:type="pct"/>
            <w:vAlign w:val="center"/>
          </w:tcPr>
          <w:p w14:paraId="6EC7E39E" w14:textId="77777777" w:rsidR="007D1E74" w:rsidRDefault="00A95641">
            <w:pPr>
              <w:rPr>
                <w:rFonts w:cs="Times New Roman"/>
                <w:szCs w:val="21"/>
              </w:rPr>
            </w:pPr>
            <w:r>
              <w:rPr>
                <w:rFonts w:cs="Times New Roman" w:hint="eastAsia"/>
                <w:szCs w:val="21"/>
              </w:rPr>
              <w:t>麻栎、白栎、桤木、柏木等</w:t>
            </w:r>
          </w:p>
        </w:tc>
        <w:tc>
          <w:tcPr>
            <w:tcW w:w="887" w:type="pct"/>
            <w:vAlign w:val="center"/>
          </w:tcPr>
          <w:p w14:paraId="05741146" w14:textId="77777777" w:rsidR="007D1E74" w:rsidRDefault="00A95641">
            <w:pPr>
              <w:jc w:val="center"/>
              <w:rPr>
                <w:rFonts w:cs="Times New Roman"/>
                <w:szCs w:val="21"/>
              </w:rPr>
            </w:pPr>
            <w:r>
              <w:rPr>
                <w:rFonts w:cs="Times New Roman" w:hint="eastAsia"/>
                <w:szCs w:val="21"/>
              </w:rPr>
              <w:t>1</w:t>
            </w:r>
            <w:r>
              <w:rPr>
                <w:rFonts w:cs="Times New Roman"/>
                <w:szCs w:val="21"/>
              </w:rPr>
              <w:t>98.27</w:t>
            </w:r>
          </w:p>
        </w:tc>
      </w:tr>
      <w:tr w:rsidR="007D1E74" w14:paraId="0B66566B" w14:textId="77777777">
        <w:tc>
          <w:tcPr>
            <w:tcW w:w="988" w:type="pct"/>
            <w:vMerge/>
            <w:vAlign w:val="center"/>
          </w:tcPr>
          <w:p w14:paraId="0AFD23DF" w14:textId="77777777" w:rsidR="007D1E74" w:rsidRDefault="007D1E74">
            <w:pPr>
              <w:jc w:val="center"/>
              <w:rPr>
                <w:rFonts w:cs="Times New Roman"/>
                <w:szCs w:val="21"/>
              </w:rPr>
            </w:pPr>
          </w:p>
        </w:tc>
        <w:tc>
          <w:tcPr>
            <w:tcW w:w="915" w:type="pct"/>
            <w:vAlign w:val="center"/>
          </w:tcPr>
          <w:p w14:paraId="2C55D830" w14:textId="77777777" w:rsidR="007D1E74" w:rsidRDefault="00A95641">
            <w:pPr>
              <w:jc w:val="center"/>
              <w:rPr>
                <w:rFonts w:cs="Times New Roman"/>
                <w:szCs w:val="21"/>
              </w:rPr>
            </w:pPr>
            <w:r>
              <w:rPr>
                <w:rFonts w:cs="Times New Roman" w:hint="eastAsia"/>
                <w:szCs w:val="21"/>
              </w:rPr>
              <w:t>桤木林</w:t>
            </w:r>
          </w:p>
        </w:tc>
        <w:tc>
          <w:tcPr>
            <w:tcW w:w="2210" w:type="pct"/>
            <w:vAlign w:val="center"/>
          </w:tcPr>
          <w:p w14:paraId="7453696C" w14:textId="77777777" w:rsidR="007D1E74" w:rsidRDefault="00A95641">
            <w:pPr>
              <w:rPr>
                <w:rFonts w:cs="Times New Roman"/>
                <w:szCs w:val="21"/>
              </w:rPr>
            </w:pPr>
            <w:r>
              <w:rPr>
                <w:rFonts w:cs="Times New Roman" w:hint="eastAsia"/>
                <w:szCs w:val="21"/>
              </w:rPr>
              <w:t>桤木、麻栎、柏木、喜树、杨树等</w:t>
            </w:r>
          </w:p>
        </w:tc>
        <w:tc>
          <w:tcPr>
            <w:tcW w:w="887" w:type="pct"/>
            <w:vAlign w:val="center"/>
          </w:tcPr>
          <w:p w14:paraId="3F005915" w14:textId="77777777" w:rsidR="007D1E74" w:rsidRDefault="00A95641">
            <w:pPr>
              <w:jc w:val="center"/>
              <w:rPr>
                <w:rFonts w:cs="Times New Roman"/>
                <w:szCs w:val="21"/>
              </w:rPr>
            </w:pPr>
            <w:r>
              <w:rPr>
                <w:rFonts w:cs="Times New Roman" w:hint="eastAsia"/>
                <w:szCs w:val="21"/>
              </w:rPr>
              <w:t>8</w:t>
            </w:r>
            <w:r>
              <w:rPr>
                <w:rFonts w:cs="Times New Roman"/>
                <w:szCs w:val="21"/>
              </w:rPr>
              <w:t>0.05</w:t>
            </w:r>
          </w:p>
        </w:tc>
      </w:tr>
      <w:tr w:rsidR="007D1E74" w14:paraId="3B597D8F" w14:textId="77777777">
        <w:tc>
          <w:tcPr>
            <w:tcW w:w="988" w:type="pct"/>
            <w:vMerge/>
            <w:vAlign w:val="center"/>
          </w:tcPr>
          <w:p w14:paraId="700E0DE7" w14:textId="77777777" w:rsidR="007D1E74" w:rsidRDefault="007D1E74">
            <w:pPr>
              <w:jc w:val="center"/>
              <w:rPr>
                <w:rFonts w:cs="Times New Roman"/>
                <w:szCs w:val="21"/>
              </w:rPr>
            </w:pPr>
          </w:p>
        </w:tc>
        <w:tc>
          <w:tcPr>
            <w:tcW w:w="915" w:type="pct"/>
            <w:vAlign w:val="center"/>
          </w:tcPr>
          <w:p w14:paraId="6638383F" w14:textId="77777777" w:rsidR="007D1E74" w:rsidRDefault="00A95641">
            <w:pPr>
              <w:jc w:val="center"/>
              <w:rPr>
                <w:rFonts w:cs="Times New Roman"/>
                <w:szCs w:val="21"/>
              </w:rPr>
            </w:pPr>
            <w:r>
              <w:rPr>
                <w:rFonts w:cs="Times New Roman" w:hint="eastAsia"/>
                <w:szCs w:val="21"/>
              </w:rPr>
              <w:t>灌丛</w:t>
            </w:r>
          </w:p>
        </w:tc>
        <w:tc>
          <w:tcPr>
            <w:tcW w:w="2210" w:type="pct"/>
            <w:vAlign w:val="center"/>
          </w:tcPr>
          <w:p w14:paraId="15D2C74B" w14:textId="77777777" w:rsidR="007D1E74" w:rsidRDefault="00A95641">
            <w:pPr>
              <w:rPr>
                <w:rFonts w:cs="Times New Roman"/>
                <w:szCs w:val="21"/>
              </w:rPr>
            </w:pPr>
            <w:r>
              <w:rPr>
                <w:rFonts w:cs="Times New Roman" w:hint="eastAsia"/>
                <w:szCs w:val="21"/>
              </w:rPr>
              <w:t>马桑、黄荆、火棘、悬钩子等</w:t>
            </w:r>
          </w:p>
        </w:tc>
        <w:tc>
          <w:tcPr>
            <w:tcW w:w="887" w:type="pct"/>
            <w:vAlign w:val="center"/>
          </w:tcPr>
          <w:p w14:paraId="52344C21" w14:textId="77777777" w:rsidR="007D1E74" w:rsidRDefault="00A95641">
            <w:pPr>
              <w:jc w:val="center"/>
              <w:rPr>
                <w:rFonts w:cs="Times New Roman"/>
                <w:szCs w:val="21"/>
              </w:rPr>
            </w:pPr>
            <w:r>
              <w:rPr>
                <w:rFonts w:cs="Times New Roman" w:hint="eastAsia"/>
                <w:szCs w:val="21"/>
              </w:rPr>
              <w:t>1</w:t>
            </w:r>
            <w:r>
              <w:rPr>
                <w:rFonts w:cs="Times New Roman"/>
                <w:szCs w:val="21"/>
              </w:rPr>
              <w:t>.02</w:t>
            </w:r>
          </w:p>
        </w:tc>
      </w:tr>
      <w:tr w:rsidR="007D1E74" w14:paraId="4F99D8E6" w14:textId="77777777">
        <w:tc>
          <w:tcPr>
            <w:tcW w:w="988" w:type="pct"/>
            <w:vMerge w:val="restart"/>
            <w:vAlign w:val="center"/>
          </w:tcPr>
          <w:p w14:paraId="73329C2E" w14:textId="77777777" w:rsidR="007D1E74" w:rsidRDefault="00A95641">
            <w:pPr>
              <w:jc w:val="center"/>
              <w:rPr>
                <w:rFonts w:cs="Times New Roman"/>
                <w:szCs w:val="21"/>
              </w:rPr>
            </w:pPr>
            <w:r>
              <w:rPr>
                <w:rFonts w:cs="Times New Roman" w:hint="eastAsia"/>
                <w:szCs w:val="21"/>
              </w:rPr>
              <w:t>管线支线</w:t>
            </w:r>
          </w:p>
        </w:tc>
        <w:tc>
          <w:tcPr>
            <w:tcW w:w="915" w:type="pct"/>
            <w:vAlign w:val="center"/>
          </w:tcPr>
          <w:p w14:paraId="779E8A9E" w14:textId="77777777" w:rsidR="007D1E74" w:rsidRDefault="00A95641">
            <w:pPr>
              <w:jc w:val="center"/>
              <w:rPr>
                <w:rFonts w:cs="Times New Roman"/>
                <w:szCs w:val="21"/>
              </w:rPr>
            </w:pPr>
            <w:r>
              <w:rPr>
                <w:rFonts w:cs="Times New Roman" w:hint="eastAsia"/>
                <w:szCs w:val="21"/>
              </w:rPr>
              <w:t>柏木林</w:t>
            </w:r>
          </w:p>
        </w:tc>
        <w:tc>
          <w:tcPr>
            <w:tcW w:w="2210" w:type="pct"/>
            <w:vAlign w:val="center"/>
          </w:tcPr>
          <w:p w14:paraId="1838BD9F" w14:textId="77777777" w:rsidR="007D1E74" w:rsidRDefault="00A95641">
            <w:pPr>
              <w:rPr>
                <w:rFonts w:cs="Times New Roman"/>
                <w:szCs w:val="21"/>
              </w:rPr>
            </w:pPr>
            <w:r>
              <w:rPr>
                <w:rFonts w:cs="Times New Roman" w:hint="eastAsia"/>
                <w:szCs w:val="21"/>
              </w:rPr>
              <w:t>柏木、栎、桤木、喜树、楝等</w:t>
            </w:r>
          </w:p>
        </w:tc>
        <w:tc>
          <w:tcPr>
            <w:tcW w:w="887" w:type="pct"/>
            <w:vAlign w:val="center"/>
          </w:tcPr>
          <w:p w14:paraId="53CF37BB" w14:textId="77777777" w:rsidR="007D1E74" w:rsidRDefault="00A95641">
            <w:pPr>
              <w:jc w:val="center"/>
              <w:rPr>
                <w:rFonts w:cs="Times New Roman"/>
                <w:szCs w:val="21"/>
              </w:rPr>
            </w:pPr>
            <w:r>
              <w:rPr>
                <w:rFonts w:cs="Times New Roman" w:hint="eastAsia"/>
                <w:szCs w:val="21"/>
              </w:rPr>
              <w:t>4</w:t>
            </w:r>
            <w:r>
              <w:rPr>
                <w:rFonts w:cs="Times New Roman"/>
                <w:szCs w:val="21"/>
              </w:rPr>
              <w:t>124.58</w:t>
            </w:r>
          </w:p>
        </w:tc>
      </w:tr>
      <w:tr w:rsidR="007D1E74" w14:paraId="720C5DA5" w14:textId="77777777">
        <w:tc>
          <w:tcPr>
            <w:tcW w:w="988" w:type="pct"/>
            <w:vMerge/>
            <w:vAlign w:val="center"/>
          </w:tcPr>
          <w:p w14:paraId="5C22D2D5" w14:textId="77777777" w:rsidR="007D1E74" w:rsidRDefault="007D1E74">
            <w:pPr>
              <w:jc w:val="center"/>
              <w:rPr>
                <w:rFonts w:cs="Times New Roman"/>
                <w:szCs w:val="21"/>
              </w:rPr>
            </w:pPr>
          </w:p>
        </w:tc>
        <w:tc>
          <w:tcPr>
            <w:tcW w:w="915" w:type="pct"/>
            <w:vAlign w:val="center"/>
          </w:tcPr>
          <w:p w14:paraId="3EFF2912" w14:textId="77777777" w:rsidR="007D1E74" w:rsidRDefault="00A95641">
            <w:pPr>
              <w:jc w:val="center"/>
              <w:rPr>
                <w:rFonts w:cs="Times New Roman"/>
                <w:szCs w:val="21"/>
              </w:rPr>
            </w:pPr>
            <w:r>
              <w:rPr>
                <w:rFonts w:cs="Times New Roman" w:hint="eastAsia"/>
                <w:szCs w:val="21"/>
              </w:rPr>
              <w:t>栎林</w:t>
            </w:r>
          </w:p>
        </w:tc>
        <w:tc>
          <w:tcPr>
            <w:tcW w:w="2210" w:type="pct"/>
            <w:vAlign w:val="center"/>
          </w:tcPr>
          <w:p w14:paraId="5DD75C66" w14:textId="77777777" w:rsidR="007D1E74" w:rsidRDefault="00A95641">
            <w:pPr>
              <w:rPr>
                <w:rFonts w:cs="Times New Roman"/>
                <w:szCs w:val="21"/>
              </w:rPr>
            </w:pPr>
            <w:r>
              <w:rPr>
                <w:rFonts w:cs="Times New Roman" w:hint="eastAsia"/>
                <w:szCs w:val="21"/>
              </w:rPr>
              <w:t>麻栎、白栎、桤木、柏木等</w:t>
            </w:r>
          </w:p>
        </w:tc>
        <w:tc>
          <w:tcPr>
            <w:tcW w:w="887" w:type="pct"/>
            <w:vAlign w:val="center"/>
          </w:tcPr>
          <w:p w14:paraId="2A008C1F" w14:textId="77777777" w:rsidR="007D1E74" w:rsidRDefault="00A95641">
            <w:pPr>
              <w:jc w:val="center"/>
              <w:rPr>
                <w:rFonts w:cs="Times New Roman"/>
                <w:szCs w:val="21"/>
              </w:rPr>
            </w:pPr>
            <w:r>
              <w:rPr>
                <w:rFonts w:cs="Times New Roman" w:hint="eastAsia"/>
                <w:szCs w:val="21"/>
              </w:rPr>
              <w:t>1</w:t>
            </w:r>
            <w:r>
              <w:rPr>
                <w:rFonts w:cs="Times New Roman"/>
                <w:szCs w:val="21"/>
              </w:rPr>
              <w:t>25.83</w:t>
            </w:r>
          </w:p>
        </w:tc>
      </w:tr>
      <w:tr w:rsidR="007D1E74" w14:paraId="28F446F8" w14:textId="77777777">
        <w:tc>
          <w:tcPr>
            <w:tcW w:w="988" w:type="pct"/>
            <w:vAlign w:val="center"/>
          </w:tcPr>
          <w:p w14:paraId="5F7181B8" w14:textId="77777777" w:rsidR="007D1E74" w:rsidRDefault="00A95641">
            <w:pPr>
              <w:jc w:val="center"/>
              <w:rPr>
                <w:rFonts w:cs="Times New Roman"/>
                <w:szCs w:val="21"/>
              </w:rPr>
            </w:pPr>
            <w:r>
              <w:rPr>
                <w:rFonts w:cs="Times New Roman" w:hint="eastAsia"/>
                <w:szCs w:val="21"/>
              </w:rPr>
              <w:t>临时材料堆场</w:t>
            </w:r>
          </w:p>
        </w:tc>
        <w:tc>
          <w:tcPr>
            <w:tcW w:w="915" w:type="pct"/>
            <w:vAlign w:val="center"/>
          </w:tcPr>
          <w:p w14:paraId="208A5693" w14:textId="77777777" w:rsidR="007D1E74" w:rsidRDefault="00A95641">
            <w:pPr>
              <w:jc w:val="center"/>
              <w:rPr>
                <w:rFonts w:cs="Times New Roman"/>
                <w:szCs w:val="21"/>
              </w:rPr>
            </w:pPr>
            <w:r>
              <w:rPr>
                <w:rFonts w:cs="Times New Roman" w:hint="eastAsia"/>
                <w:szCs w:val="21"/>
              </w:rPr>
              <w:t>旱地植被</w:t>
            </w:r>
          </w:p>
        </w:tc>
        <w:tc>
          <w:tcPr>
            <w:tcW w:w="2210" w:type="pct"/>
            <w:vAlign w:val="center"/>
          </w:tcPr>
          <w:p w14:paraId="7627FA00" w14:textId="77777777" w:rsidR="007D1E74" w:rsidRDefault="00A95641">
            <w:pPr>
              <w:rPr>
                <w:rFonts w:cs="Times New Roman"/>
                <w:szCs w:val="21"/>
              </w:rPr>
            </w:pPr>
            <w:r>
              <w:rPr>
                <w:rFonts w:cs="Times New Roman" w:hint="eastAsia"/>
                <w:szCs w:val="21"/>
              </w:rPr>
              <w:t>玉米、油菜、小麦、番薯、大豆、蚕豆等</w:t>
            </w:r>
          </w:p>
        </w:tc>
        <w:tc>
          <w:tcPr>
            <w:tcW w:w="887" w:type="pct"/>
            <w:vAlign w:val="center"/>
          </w:tcPr>
          <w:p w14:paraId="76AEBF78" w14:textId="77777777" w:rsidR="007D1E74" w:rsidRDefault="00A95641">
            <w:pPr>
              <w:jc w:val="center"/>
              <w:rPr>
                <w:rFonts w:cs="Times New Roman"/>
                <w:szCs w:val="21"/>
              </w:rPr>
            </w:pPr>
            <w:r>
              <w:rPr>
                <w:rFonts w:cs="Times New Roman"/>
                <w:szCs w:val="21"/>
              </w:rPr>
              <w:t>0.654</w:t>
            </w:r>
          </w:p>
        </w:tc>
      </w:tr>
      <w:tr w:rsidR="007D1E74" w14:paraId="0F7742FD" w14:textId="77777777">
        <w:tc>
          <w:tcPr>
            <w:tcW w:w="988" w:type="pct"/>
            <w:vAlign w:val="center"/>
          </w:tcPr>
          <w:p w14:paraId="3E5372FB" w14:textId="77777777" w:rsidR="007D1E74" w:rsidRDefault="00A95641">
            <w:pPr>
              <w:jc w:val="center"/>
              <w:rPr>
                <w:rFonts w:cs="Times New Roman"/>
                <w:szCs w:val="21"/>
              </w:rPr>
            </w:pPr>
            <w:r>
              <w:rPr>
                <w:rFonts w:cs="Times New Roman" w:hint="eastAsia"/>
                <w:szCs w:val="21"/>
              </w:rPr>
              <w:t>施工便道</w:t>
            </w:r>
          </w:p>
        </w:tc>
        <w:tc>
          <w:tcPr>
            <w:tcW w:w="915" w:type="pct"/>
            <w:vAlign w:val="center"/>
          </w:tcPr>
          <w:p w14:paraId="226EEDB0" w14:textId="77777777" w:rsidR="007D1E74" w:rsidRDefault="00A95641">
            <w:pPr>
              <w:jc w:val="center"/>
              <w:rPr>
                <w:rFonts w:cs="Times New Roman"/>
                <w:szCs w:val="21"/>
              </w:rPr>
            </w:pPr>
            <w:r>
              <w:rPr>
                <w:rFonts w:cs="Times New Roman" w:hint="eastAsia"/>
                <w:szCs w:val="21"/>
              </w:rPr>
              <w:t>旱地植被、林地和灌草丛</w:t>
            </w:r>
          </w:p>
        </w:tc>
        <w:tc>
          <w:tcPr>
            <w:tcW w:w="2210" w:type="pct"/>
            <w:vAlign w:val="center"/>
          </w:tcPr>
          <w:p w14:paraId="14A13F00" w14:textId="77777777" w:rsidR="007D1E74" w:rsidRDefault="00A95641">
            <w:pPr>
              <w:rPr>
                <w:rFonts w:cs="Times New Roman"/>
                <w:szCs w:val="21"/>
              </w:rPr>
            </w:pPr>
            <w:r>
              <w:rPr>
                <w:rFonts w:cs="Times New Roman" w:hint="eastAsia"/>
                <w:szCs w:val="21"/>
              </w:rPr>
              <w:t>玉米、油菜、小麦、番薯、大豆、蚕豆、黄荆、火棘、悬钩子、白栎、桤木、柏木等</w:t>
            </w:r>
          </w:p>
        </w:tc>
        <w:tc>
          <w:tcPr>
            <w:tcW w:w="887" w:type="pct"/>
            <w:vAlign w:val="center"/>
          </w:tcPr>
          <w:p w14:paraId="08FA901C" w14:textId="77777777" w:rsidR="007D1E74" w:rsidRDefault="00A95641">
            <w:pPr>
              <w:jc w:val="center"/>
              <w:rPr>
                <w:rFonts w:cs="Times New Roman"/>
                <w:szCs w:val="21"/>
              </w:rPr>
            </w:pPr>
            <w:r>
              <w:rPr>
                <w:rFonts w:cs="Times New Roman"/>
                <w:szCs w:val="21"/>
              </w:rPr>
              <w:t>2.367</w:t>
            </w:r>
          </w:p>
        </w:tc>
      </w:tr>
      <w:tr w:rsidR="007D1E74" w14:paraId="1C5656CB" w14:textId="77777777">
        <w:tc>
          <w:tcPr>
            <w:tcW w:w="988" w:type="pct"/>
            <w:vAlign w:val="center"/>
          </w:tcPr>
          <w:p w14:paraId="6D519BF4" w14:textId="77777777" w:rsidR="007D1E74" w:rsidRDefault="00A95641">
            <w:pPr>
              <w:jc w:val="center"/>
              <w:rPr>
                <w:rFonts w:cs="Times New Roman"/>
                <w:szCs w:val="21"/>
              </w:rPr>
            </w:pPr>
            <w:r>
              <w:rPr>
                <w:rFonts w:cs="Times New Roman" w:hint="eastAsia"/>
                <w:szCs w:val="21"/>
              </w:rPr>
              <w:t>合计</w:t>
            </w:r>
          </w:p>
        </w:tc>
        <w:tc>
          <w:tcPr>
            <w:tcW w:w="915" w:type="pct"/>
            <w:vAlign w:val="center"/>
          </w:tcPr>
          <w:p w14:paraId="6ED8DABF" w14:textId="77777777" w:rsidR="007D1E74" w:rsidRDefault="00A95641">
            <w:pPr>
              <w:jc w:val="center"/>
              <w:rPr>
                <w:rFonts w:cs="Times New Roman"/>
                <w:szCs w:val="21"/>
              </w:rPr>
            </w:pPr>
            <w:r>
              <w:rPr>
                <w:rFonts w:cs="Times New Roman" w:hint="eastAsia"/>
                <w:szCs w:val="21"/>
              </w:rPr>
              <w:t>/</w:t>
            </w:r>
          </w:p>
        </w:tc>
        <w:tc>
          <w:tcPr>
            <w:tcW w:w="2210" w:type="pct"/>
            <w:vAlign w:val="center"/>
          </w:tcPr>
          <w:p w14:paraId="104CBC03" w14:textId="77777777" w:rsidR="007D1E74" w:rsidRDefault="00A95641">
            <w:pPr>
              <w:jc w:val="center"/>
              <w:rPr>
                <w:rFonts w:cs="Times New Roman"/>
                <w:szCs w:val="21"/>
              </w:rPr>
            </w:pPr>
            <w:r>
              <w:rPr>
                <w:rFonts w:cs="Times New Roman" w:hint="eastAsia"/>
                <w:szCs w:val="21"/>
              </w:rPr>
              <w:t>/</w:t>
            </w:r>
          </w:p>
        </w:tc>
        <w:tc>
          <w:tcPr>
            <w:tcW w:w="887" w:type="pct"/>
            <w:vAlign w:val="center"/>
          </w:tcPr>
          <w:p w14:paraId="6AD584D9" w14:textId="77777777" w:rsidR="007D1E74" w:rsidRDefault="00A95641">
            <w:pPr>
              <w:jc w:val="center"/>
              <w:rPr>
                <w:rFonts w:cs="Times New Roman"/>
                <w:szCs w:val="21"/>
              </w:rPr>
            </w:pPr>
            <w:r>
              <w:rPr>
                <w:rFonts w:cs="Times New Roman"/>
                <w:szCs w:val="21"/>
              </w:rPr>
              <w:t>3283.04</w:t>
            </w:r>
          </w:p>
        </w:tc>
      </w:tr>
    </w:tbl>
    <w:p w14:paraId="374C7B32" w14:textId="77777777" w:rsidR="007D1E74" w:rsidRDefault="00A95641">
      <w:pPr>
        <w:spacing w:line="360" w:lineRule="auto"/>
        <w:ind w:firstLineChars="200" w:firstLine="480"/>
        <w:rPr>
          <w:rFonts w:cs="Times New Roman"/>
          <w:sz w:val="24"/>
          <w:szCs w:val="24"/>
        </w:rPr>
      </w:pPr>
      <w:r>
        <w:rPr>
          <w:rFonts w:cs="Times New Roman"/>
          <w:sz w:val="24"/>
          <w:szCs w:val="24"/>
        </w:rPr>
        <w:t>由上表可知，本项目临时占地面积为</w:t>
      </w:r>
      <w:r>
        <w:rPr>
          <w:rFonts w:cs="Times New Roman"/>
          <w:sz w:val="24"/>
          <w:szCs w:val="24"/>
        </w:rPr>
        <w:t>36.897hm</w:t>
      </w:r>
      <w:r>
        <w:rPr>
          <w:rFonts w:cs="Times New Roman"/>
          <w:sz w:val="24"/>
          <w:szCs w:val="24"/>
          <w:vertAlign w:val="superscript"/>
        </w:rPr>
        <w:t>2</w:t>
      </w:r>
      <w:r>
        <w:rPr>
          <w:rFonts w:cs="Times New Roman"/>
          <w:sz w:val="24"/>
          <w:szCs w:val="24"/>
        </w:rPr>
        <w:t>，其中林地、耕地和草地面积为</w:t>
      </w:r>
      <w:r>
        <w:rPr>
          <w:rFonts w:cs="Times New Roman"/>
          <w:sz w:val="24"/>
          <w:szCs w:val="24"/>
        </w:rPr>
        <w:t>36.6976hm</w:t>
      </w:r>
      <w:r>
        <w:rPr>
          <w:rFonts w:cs="Times New Roman"/>
          <w:sz w:val="24"/>
          <w:szCs w:val="24"/>
          <w:vertAlign w:val="superscript"/>
        </w:rPr>
        <w:t>2</w:t>
      </w:r>
      <w:r>
        <w:rPr>
          <w:rFonts w:cs="Times New Roman"/>
          <w:sz w:val="24"/>
          <w:szCs w:val="24"/>
        </w:rPr>
        <w:t>，目前生长有柏木、马尾松、麻栎、白栎、化香树、楝、灯台树、喜树等树木（胸径</w:t>
      </w:r>
      <w:r>
        <w:rPr>
          <w:rFonts w:cs="Times New Roman"/>
          <w:sz w:val="24"/>
          <w:szCs w:val="24"/>
        </w:rPr>
        <w:t>≥5cm</w:t>
      </w:r>
      <w:r>
        <w:rPr>
          <w:rFonts w:cs="Times New Roman"/>
          <w:sz w:val="24"/>
          <w:szCs w:val="24"/>
        </w:rPr>
        <w:t>），以及马桑、黄荆、火棘、悬钩子等灌木和草丛，估算临时占地区内植被生物量估算为</w:t>
      </w:r>
      <w:r>
        <w:rPr>
          <w:rFonts w:cs="Times New Roman"/>
          <w:sz w:val="24"/>
          <w:szCs w:val="24"/>
        </w:rPr>
        <w:t>3283.04t</w:t>
      </w:r>
      <w:r>
        <w:rPr>
          <w:rFonts w:cs="Times New Roman"/>
          <w:sz w:val="24"/>
          <w:szCs w:val="24"/>
        </w:rPr>
        <w:t>，占评价区植被总生物量</w:t>
      </w:r>
      <w:r>
        <w:rPr>
          <w:rFonts w:cs="Times New Roman"/>
          <w:sz w:val="24"/>
          <w:szCs w:val="24"/>
        </w:rPr>
        <w:t>1541159.209t</w:t>
      </w:r>
      <w:r>
        <w:rPr>
          <w:rFonts w:cs="Times New Roman"/>
          <w:sz w:val="24"/>
          <w:szCs w:val="24"/>
        </w:rPr>
        <w:t>的</w:t>
      </w:r>
      <w:r>
        <w:rPr>
          <w:rFonts w:cs="Times New Roman"/>
          <w:sz w:val="24"/>
          <w:szCs w:val="24"/>
        </w:rPr>
        <w:t>0.22%</w:t>
      </w:r>
      <w:r>
        <w:rPr>
          <w:rFonts w:cs="Times New Roman"/>
          <w:sz w:val="24"/>
          <w:szCs w:val="24"/>
        </w:rPr>
        <w:t>，占比也很小。</w:t>
      </w:r>
    </w:p>
    <w:p w14:paraId="0C1EF1A7" w14:textId="77777777" w:rsidR="007D1E74" w:rsidRDefault="00A95641">
      <w:pPr>
        <w:spacing w:line="360" w:lineRule="auto"/>
        <w:ind w:firstLineChars="200" w:firstLine="480"/>
        <w:rPr>
          <w:rFonts w:cs="Times New Roman"/>
          <w:sz w:val="24"/>
          <w:szCs w:val="24"/>
        </w:rPr>
      </w:pPr>
      <w:r>
        <w:rPr>
          <w:rFonts w:cs="Times New Roman"/>
          <w:sz w:val="24"/>
          <w:szCs w:val="24"/>
        </w:rPr>
        <w:t>本项目永久和临时占地区内分布的植物种类和植被类型都是评价区常见的植物种类和植被，不涉及保护任何野生植物和古树名木，也没有特有的植被群落类型，预测本项目的建设和运营不会导致评价区内植物种类的减少，也不会改变评价区的植被类型，景观的类型也不会发生改变。</w:t>
      </w:r>
    </w:p>
    <w:p w14:paraId="1A2947E5" w14:textId="77777777" w:rsidR="007D1E74" w:rsidRDefault="00A95641">
      <w:pPr>
        <w:pStyle w:val="aa"/>
      </w:pPr>
      <w:r>
        <w:rPr>
          <w:rFonts w:hint="eastAsia"/>
        </w:rPr>
        <w:t>对陆栖脊椎动物的影响</w:t>
      </w:r>
    </w:p>
    <w:p w14:paraId="3CB7E6D2" w14:textId="77777777" w:rsidR="007D1E74" w:rsidRDefault="00A95641">
      <w:pPr>
        <w:spacing w:line="360" w:lineRule="auto"/>
        <w:ind w:firstLineChars="200" w:firstLine="480"/>
        <w:rPr>
          <w:rFonts w:cs="Times New Roman"/>
          <w:sz w:val="24"/>
          <w:szCs w:val="24"/>
        </w:rPr>
      </w:pPr>
      <w:r>
        <w:rPr>
          <w:rFonts w:cs="Times New Roman" w:hint="eastAsia"/>
          <w:sz w:val="24"/>
          <w:szCs w:val="24"/>
        </w:rPr>
        <w:lastRenderedPageBreak/>
        <w:t>管线、阀室（组）等沿线和周边大部分区域人类活动较为频繁，村落、农田和耕地及集镇不在少数，在低矮丘陵的山脊或半坡上多为人工栽培的柏木林，大中型野生动物分布稀少，全线总体来说野生动物活动范围较为狭小，以小型兽类、森林及灌丛鸟类、两栖爬行类为主。</w:t>
      </w:r>
    </w:p>
    <w:p w14:paraId="761EDCD4" w14:textId="77777777" w:rsidR="007D1E74" w:rsidRDefault="00A95641">
      <w:pPr>
        <w:pStyle w:val="afffff7"/>
        <w:ind w:firstLine="482"/>
      </w:pPr>
      <w:r>
        <w:rPr>
          <w:rFonts w:hint="eastAsia"/>
        </w:rPr>
        <w:t>1</w:t>
      </w:r>
      <w:r>
        <w:rPr>
          <w:rFonts w:hint="eastAsia"/>
        </w:rPr>
        <w:t>、施工期对陆生脊椎动物的影响</w:t>
      </w:r>
    </w:p>
    <w:p w14:paraId="190AA95A" w14:textId="77777777" w:rsidR="007D1E74" w:rsidRDefault="00A95641">
      <w:pPr>
        <w:spacing w:line="360" w:lineRule="auto"/>
        <w:ind w:firstLineChars="200" w:firstLine="482"/>
        <w:rPr>
          <w:rFonts w:cs="Times New Roman"/>
          <w:b/>
          <w:bCs/>
          <w:sz w:val="24"/>
          <w:szCs w:val="24"/>
        </w:rPr>
      </w:pPr>
      <w:r>
        <w:rPr>
          <w:rFonts w:cs="Times New Roman" w:hint="eastAsia"/>
          <w:b/>
          <w:bCs/>
          <w:sz w:val="24"/>
          <w:szCs w:val="24"/>
        </w:rPr>
        <w:t>（</w:t>
      </w:r>
      <w:r>
        <w:rPr>
          <w:rFonts w:cs="Times New Roman" w:hint="eastAsia"/>
          <w:b/>
          <w:bCs/>
          <w:sz w:val="24"/>
          <w:szCs w:val="24"/>
        </w:rPr>
        <w:t>1</w:t>
      </w:r>
      <w:r>
        <w:rPr>
          <w:rFonts w:cs="Times New Roman" w:hint="eastAsia"/>
          <w:b/>
          <w:bCs/>
          <w:sz w:val="24"/>
          <w:szCs w:val="24"/>
        </w:rPr>
        <w:t>）对两栖类动物的影响</w:t>
      </w:r>
    </w:p>
    <w:p w14:paraId="490FB0BF" w14:textId="77777777" w:rsidR="007D1E74" w:rsidRDefault="00A95641">
      <w:pPr>
        <w:spacing w:line="360" w:lineRule="auto"/>
        <w:ind w:firstLineChars="200" w:firstLine="480"/>
        <w:rPr>
          <w:rFonts w:cs="Times New Roman"/>
          <w:sz w:val="24"/>
          <w:szCs w:val="24"/>
        </w:rPr>
      </w:pPr>
      <w:r>
        <w:rPr>
          <w:rFonts w:cs="Times New Roman" w:hint="eastAsia"/>
          <w:sz w:val="24"/>
          <w:szCs w:val="24"/>
        </w:rPr>
        <w:t>施工中对两栖类的影响有：工程占地致使土地利用格局改变，水源及土壤污染，这三个方面的因素都可能使两栖动物物种多样性下降。</w:t>
      </w:r>
    </w:p>
    <w:p w14:paraId="79FC5B10" w14:textId="77777777" w:rsidR="007D1E74" w:rsidRDefault="00A95641">
      <w:pPr>
        <w:spacing w:line="360" w:lineRule="auto"/>
        <w:ind w:firstLineChars="200" w:firstLine="482"/>
        <w:rPr>
          <w:rFonts w:cs="Times New Roman"/>
          <w:sz w:val="24"/>
          <w:szCs w:val="24"/>
        </w:rPr>
      </w:pPr>
      <w:r>
        <w:rPr>
          <w:rFonts w:cs="Times New Roman" w:hint="eastAsia"/>
          <w:b/>
          <w:sz w:val="24"/>
          <w:szCs w:val="24"/>
        </w:rPr>
        <w:t>工程占地</w:t>
      </w:r>
      <w:r>
        <w:rPr>
          <w:rFonts w:cs="Times New Roman" w:hint="eastAsia"/>
          <w:sz w:val="24"/>
          <w:szCs w:val="24"/>
        </w:rPr>
        <w:t>：施工中直接占地区植被被清除、管线开挖线路沿线植被砍伐、弃土、表土堆放等都会破坏原生环境，对占地涉及的植被造成一定的破坏和水土流失，使原有的两栖动物栖息地有所缩小。</w:t>
      </w:r>
    </w:p>
    <w:p w14:paraId="613E602F" w14:textId="77777777" w:rsidR="007D1E74" w:rsidRDefault="00A95641">
      <w:pPr>
        <w:spacing w:line="360" w:lineRule="auto"/>
        <w:ind w:firstLineChars="200" w:firstLine="480"/>
        <w:rPr>
          <w:rFonts w:cs="Times New Roman"/>
          <w:sz w:val="24"/>
          <w:szCs w:val="24"/>
        </w:rPr>
      </w:pPr>
      <w:r>
        <w:rPr>
          <w:rFonts w:cs="Times New Roman" w:hint="eastAsia"/>
          <w:sz w:val="24"/>
          <w:szCs w:val="24"/>
        </w:rPr>
        <w:t>施工开始后，原有的两栖动物栖息地缩小或直接碾压导致死亡。</w:t>
      </w:r>
    </w:p>
    <w:p w14:paraId="30FCD027" w14:textId="77777777" w:rsidR="007D1E74" w:rsidRDefault="00A95641">
      <w:pPr>
        <w:spacing w:line="360" w:lineRule="auto"/>
        <w:ind w:firstLineChars="200" w:firstLine="482"/>
        <w:rPr>
          <w:rFonts w:cs="Times New Roman"/>
          <w:sz w:val="24"/>
          <w:szCs w:val="24"/>
        </w:rPr>
      </w:pPr>
      <w:r>
        <w:rPr>
          <w:rFonts w:cs="Times New Roman" w:hint="eastAsia"/>
          <w:b/>
          <w:sz w:val="24"/>
          <w:szCs w:val="24"/>
        </w:rPr>
        <w:t>水源及土壤污染</w:t>
      </w:r>
      <w:r>
        <w:rPr>
          <w:rFonts w:cs="Times New Roman" w:hint="eastAsia"/>
          <w:sz w:val="24"/>
          <w:szCs w:val="24"/>
        </w:rPr>
        <w:t>：施工活动会产生生产废水、废渣，甚至出现少量燃油泄漏；施工人员将产生分散的垃圾、粪便和生活污水。这些直接污染，会造成周围土壤和水域（特别是溪流）形成污染，破坏两栖动物栖息地的质量，从而影响它们的生存和繁殖。</w:t>
      </w:r>
    </w:p>
    <w:p w14:paraId="6DCA4347" w14:textId="77777777" w:rsidR="007D1E74" w:rsidRDefault="00A95641">
      <w:pPr>
        <w:spacing w:line="360" w:lineRule="auto"/>
        <w:ind w:firstLineChars="200" w:firstLine="480"/>
        <w:rPr>
          <w:rFonts w:cs="Times New Roman"/>
          <w:sz w:val="24"/>
          <w:szCs w:val="24"/>
        </w:rPr>
      </w:pPr>
      <w:r>
        <w:rPr>
          <w:rFonts w:cs="Times New Roman" w:hint="eastAsia"/>
          <w:sz w:val="24"/>
          <w:szCs w:val="24"/>
        </w:rPr>
        <w:t>现状调查结果表明：评价区内的两栖类主要生活在农田、溪流及附近的草丛及灌丛中，施工区与其临近区域的植被、生境相同，它们会迁移到非施工区，对其种群的生存不会造成大的威胁。工程占地造成两栖类死亡的几率不大，一旦施工结束，两栖类的生存环境将会逐渐得到恢复。工程不会造成它们从该区域内消失。</w:t>
      </w:r>
    </w:p>
    <w:p w14:paraId="0383F634" w14:textId="77777777" w:rsidR="007D1E74" w:rsidRDefault="00A95641">
      <w:pPr>
        <w:spacing w:line="360" w:lineRule="auto"/>
        <w:ind w:firstLineChars="200" w:firstLine="482"/>
        <w:rPr>
          <w:rFonts w:cs="Times New Roman"/>
          <w:b/>
          <w:bCs/>
          <w:sz w:val="24"/>
          <w:szCs w:val="24"/>
        </w:rPr>
      </w:pPr>
      <w:r>
        <w:rPr>
          <w:rFonts w:cs="Times New Roman" w:hint="eastAsia"/>
          <w:b/>
          <w:bCs/>
          <w:sz w:val="24"/>
          <w:szCs w:val="24"/>
        </w:rPr>
        <w:t>（</w:t>
      </w:r>
      <w:r>
        <w:rPr>
          <w:rFonts w:cs="Times New Roman" w:hint="eastAsia"/>
          <w:b/>
          <w:bCs/>
          <w:sz w:val="24"/>
          <w:szCs w:val="24"/>
        </w:rPr>
        <w:t>2</w:t>
      </w:r>
      <w:r>
        <w:rPr>
          <w:rFonts w:cs="Times New Roman" w:hint="eastAsia"/>
          <w:b/>
          <w:bCs/>
          <w:sz w:val="24"/>
          <w:szCs w:val="24"/>
        </w:rPr>
        <w:t>）对爬行类的影响</w:t>
      </w:r>
    </w:p>
    <w:p w14:paraId="7888E2A8" w14:textId="77777777" w:rsidR="007D1E74" w:rsidRDefault="00A95641">
      <w:pPr>
        <w:spacing w:line="360" w:lineRule="auto"/>
        <w:ind w:firstLineChars="200" w:firstLine="480"/>
        <w:rPr>
          <w:rFonts w:cs="Times New Roman"/>
          <w:sz w:val="24"/>
          <w:szCs w:val="24"/>
        </w:rPr>
      </w:pPr>
      <w:r>
        <w:rPr>
          <w:rFonts w:cs="Times New Roman" w:hint="eastAsia"/>
          <w:sz w:val="24"/>
          <w:szCs w:val="24"/>
        </w:rPr>
        <w:t>爬行动物一般在灌丛和石缝中产卵，繁殖期大都在春夏之际，有些生活在水里，有些生活在陆地上的石缝灌丛中，还有一些树栖和住宅型的种类。</w:t>
      </w:r>
    </w:p>
    <w:p w14:paraId="366C48F5" w14:textId="77777777" w:rsidR="007D1E74" w:rsidRDefault="00A95641">
      <w:pPr>
        <w:spacing w:line="360" w:lineRule="auto"/>
        <w:ind w:firstLineChars="200" w:firstLine="480"/>
        <w:rPr>
          <w:rFonts w:cs="Times New Roman"/>
          <w:sz w:val="24"/>
          <w:szCs w:val="24"/>
        </w:rPr>
      </w:pPr>
      <w:r>
        <w:rPr>
          <w:rFonts w:cs="Times New Roman" w:hint="eastAsia"/>
          <w:sz w:val="24"/>
          <w:szCs w:val="24"/>
        </w:rPr>
        <w:t>工程对其影响主要是占用其部分生境、施工噪声以及阻断活动通道等影响。由于施工将造成占地区域植被破坏，将使蛇类生存的生境变得干燥；人的直接捕食和车辆直接压死蛇类，将降低评价区爬行动物的物种多样性，改变爬行动物的物种组成。</w:t>
      </w:r>
    </w:p>
    <w:p w14:paraId="7337B7A4" w14:textId="77777777" w:rsidR="007D1E74" w:rsidRDefault="00A95641">
      <w:pPr>
        <w:spacing w:line="360" w:lineRule="auto"/>
        <w:ind w:firstLineChars="200" w:firstLine="480"/>
        <w:rPr>
          <w:rFonts w:cs="Times New Roman"/>
          <w:sz w:val="24"/>
          <w:szCs w:val="24"/>
        </w:rPr>
      </w:pPr>
      <w:r>
        <w:rPr>
          <w:rFonts w:cs="Times New Roman" w:hint="eastAsia"/>
          <w:sz w:val="24"/>
          <w:szCs w:val="24"/>
        </w:rPr>
        <w:t>施工期中，由于人数增多，人类活动范围、强度及频率增大，将使管线、阀室（组）沿线的灌草丛覆盖度降低，地面的光照度更加充足，更加干燥，蜥蜴类动物种群数量将可能增加。</w:t>
      </w:r>
    </w:p>
    <w:p w14:paraId="3B8D0A36" w14:textId="77777777" w:rsidR="007D1E74" w:rsidRDefault="00A95641">
      <w:pPr>
        <w:spacing w:line="360" w:lineRule="auto"/>
        <w:ind w:firstLineChars="200" w:firstLine="480"/>
        <w:rPr>
          <w:rFonts w:cs="Times New Roman"/>
          <w:sz w:val="24"/>
          <w:szCs w:val="24"/>
        </w:rPr>
      </w:pPr>
      <w:r>
        <w:rPr>
          <w:rFonts w:cs="Times New Roman" w:hint="eastAsia"/>
          <w:sz w:val="24"/>
          <w:szCs w:val="24"/>
        </w:rPr>
        <w:t>施工过程中出现的垃圾堆等可引来鼠类和蚊蝇，从而引来蛇类，这点对爬行动物较</w:t>
      </w:r>
      <w:r>
        <w:rPr>
          <w:rFonts w:cs="Times New Roman" w:hint="eastAsia"/>
          <w:sz w:val="24"/>
          <w:szCs w:val="24"/>
        </w:rPr>
        <w:lastRenderedPageBreak/>
        <w:t>为有利，但竣工后将会消失。</w:t>
      </w:r>
    </w:p>
    <w:p w14:paraId="2CCD885E" w14:textId="77777777" w:rsidR="007D1E74" w:rsidRDefault="00A95641">
      <w:pPr>
        <w:spacing w:line="360" w:lineRule="auto"/>
        <w:ind w:firstLineChars="200" w:firstLine="480"/>
        <w:rPr>
          <w:rFonts w:cs="Times New Roman"/>
          <w:sz w:val="24"/>
          <w:szCs w:val="24"/>
        </w:rPr>
      </w:pPr>
      <w:r>
        <w:rPr>
          <w:rFonts w:cs="Times New Roman" w:hint="eastAsia"/>
          <w:sz w:val="24"/>
          <w:szCs w:val="24"/>
        </w:rPr>
        <w:t>总体而言，爬行类将由原来的生境转移到远离施工区的相似生境的生活，管线在施工期对其影响是暂时的。</w:t>
      </w:r>
    </w:p>
    <w:p w14:paraId="63F55450" w14:textId="77777777" w:rsidR="007D1E74" w:rsidRDefault="00A95641">
      <w:pPr>
        <w:spacing w:line="360" w:lineRule="auto"/>
        <w:ind w:firstLineChars="200" w:firstLine="482"/>
        <w:rPr>
          <w:rFonts w:cs="Times New Roman"/>
          <w:b/>
          <w:bCs/>
          <w:sz w:val="24"/>
          <w:szCs w:val="24"/>
        </w:rPr>
      </w:pPr>
      <w:r>
        <w:rPr>
          <w:rFonts w:cs="Times New Roman" w:hint="eastAsia"/>
          <w:b/>
          <w:bCs/>
          <w:sz w:val="24"/>
          <w:szCs w:val="24"/>
        </w:rPr>
        <w:t>（</w:t>
      </w:r>
      <w:r>
        <w:rPr>
          <w:rFonts w:cs="Times New Roman" w:hint="eastAsia"/>
          <w:b/>
          <w:bCs/>
          <w:sz w:val="24"/>
          <w:szCs w:val="24"/>
        </w:rPr>
        <w:t>3</w:t>
      </w:r>
      <w:r>
        <w:rPr>
          <w:rFonts w:cs="Times New Roman" w:hint="eastAsia"/>
          <w:b/>
          <w:bCs/>
          <w:sz w:val="24"/>
          <w:szCs w:val="24"/>
        </w:rPr>
        <w:t>）对鸟类的影响</w:t>
      </w:r>
    </w:p>
    <w:p w14:paraId="55B07CEB" w14:textId="77777777" w:rsidR="007D1E74" w:rsidRDefault="00A95641">
      <w:pPr>
        <w:spacing w:line="360" w:lineRule="auto"/>
        <w:ind w:firstLineChars="200" w:firstLine="480"/>
        <w:rPr>
          <w:rFonts w:cs="Times New Roman"/>
          <w:sz w:val="24"/>
          <w:szCs w:val="24"/>
        </w:rPr>
      </w:pPr>
      <w:r>
        <w:rPr>
          <w:rFonts w:cs="Times New Roman" w:hint="eastAsia"/>
          <w:sz w:val="24"/>
          <w:szCs w:val="24"/>
        </w:rPr>
        <w:t>工程建设区的鸟类主要以少量森林和灌丛、农作区和水域鸟类为主。施工期施工人员及机械噪声，对鸟类生存环境的干扰大，鸟类较为敏感，影响表现在三个方面：</w:t>
      </w:r>
    </w:p>
    <w:p w14:paraId="6EB526E0" w14:textId="77777777" w:rsidR="007D1E74" w:rsidRDefault="00A95641">
      <w:pPr>
        <w:spacing w:line="360" w:lineRule="auto"/>
        <w:ind w:firstLineChars="200" w:firstLine="480"/>
        <w:rPr>
          <w:rFonts w:cs="Times New Roman"/>
          <w:sz w:val="24"/>
          <w:szCs w:val="24"/>
        </w:rPr>
      </w:pPr>
      <w:r>
        <w:rPr>
          <w:rFonts w:cs="Times New Roman" w:hint="eastAsia"/>
          <w:sz w:val="24"/>
          <w:szCs w:val="24"/>
        </w:rPr>
        <w:t>一是工程占地造成管线、阀室（组）沿线森林、灌草丛、农业植被等类型的覆盖度减少，使各种鸟类适宜栖息地面积缩小，迫使原来生活在该区域的水禽、灌丛、地栖鸟类等不得不离开原来的栖息地。</w:t>
      </w:r>
    </w:p>
    <w:p w14:paraId="36A1419B" w14:textId="77777777" w:rsidR="007D1E74" w:rsidRDefault="00A95641">
      <w:pPr>
        <w:spacing w:line="360" w:lineRule="auto"/>
        <w:ind w:firstLineChars="200" w:firstLine="480"/>
        <w:rPr>
          <w:rFonts w:cs="Times New Roman"/>
          <w:sz w:val="24"/>
          <w:szCs w:val="24"/>
        </w:rPr>
      </w:pPr>
      <w:r>
        <w:rPr>
          <w:rFonts w:cs="Times New Roman" w:hint="eastAsia"/>
          <w:sz w:val="24"/>
          <w:szCs w:val="24"/>
        </w:rPr>
        <w:t>二是开挖和施工爆破、机器震动等产生的噪声和人类干扰，影响鸟类在施工区域内的觅食、求偶等活动，它们可能被迫远离施工区域，使施工区域暂时失去鸟类栖息地功能。</w:t>
      </w:r>
    </w:p>
    <w:p w14:paraId="635EB63E" w14:textId="77777777" w:rsidR="007D1E74" w:rsidRDefault="00A95641">
      <w:pPr>
        <w:spacing w:line="360" w:lineRule="auto"/>
        <w:ind w:firstLineChars="200" w:firstLine="480"/>
        <w:rPr>
          <w:rFonts w:cs="Times New Roman"/>
          <w:sz w:val="24"/>
          <w:szCs w:val="24"/>
        </w:rPr>
      </w:pPr>
      <w:r>
        <w:rPr>
          <w:rFonts w:cs="Times New Roman" w:hint="eastAsia"/>
          <w:sz w:val="24"/>
          <w:szCs w:val="24"/>
        </w:rPr>
        <w:t>三是人类的捕杀，因鸡形目鸟类个体大、可食、外观漂亮，施工人员可能捕食鸡形目鸟类，该区域受威胁较大的主要有灰胸竹鸡、雉鸡。</w:t>
      </w:r>
    </w:p>
    <w:p w14:paraId="438247AF" w14:textId="77777777" w:rsidR="007D1E74" w:rsidRDefault="00A95641">
      <w:pPr>
        <w:spacing w:line="360" w:lineRule="auto"/>
        <w:ind w:firstLineChars="200" w:firstLine="480"/>
        <w:rPr>
          <w:rFonts w:cs="Times New Roman"/>
          <w:sz w:val="24"/>
          <w:szCs w:val="24"/>
        </w:rPr>
      </w:pPr>
      <w:r>
        <w:rPr>
          <w:rFonts w:cs="Times New Roman" w:hint="eastAsia"/>
          <w:sz w:val="24"/>
          <w:szCs w:val="24"/>
        </w:rPr>
        <w:t>一些在水体中或水体附近活动的鸟类在跨河段施工，也会影响其正常活动。总体而言，鸟类具有强的迁移能力，无论对食物的寻觅，饮水的获得，管线、阀室（组）等的修建对它们都没有太大的影响，再加上没有仅在该区域内栖息的特有鸟类，因此，施工不致对鸟类的生存和种群延续造成大的影响。</w:t>
      </w:r>
    </w:p>
    <w:p w14:paraId="7804D246" w14:textId="77777777" w:rsidR="007D1E74" w:rsidRDefault="00A95641">
      <w:pPr>
        <w:spacing w:line="360" w:lineRule="auto"/>
        <w:ind w:firstLineChars="200" w:firstLine="482"/>
        <w:rPr>
          <w:rFonts w:cs="Times New Roman"/>
          <w:b/>
          <w:bCs/>
          <w:sz w:val="24"/>
          <w:szCs w:val="24"/>
        </w:rPr>
      </w:pPr>
      <w:r>
        <w:rPr>
          <w:rFonts w:cs="Times New Roman" w:hint="eastAsia"/>
          <w:b/>
          <w:bCs/>
          <w:sz w:val="24"/>
          <w:szCs w:val="24"/>
        </w:rPr>
        <w:t>（</w:t>
      </w:r>
      <w:r>
        <w:rPr>
          <w:rFonts w:cs="Times New Roman" w:hint="eastAsia"/>
          <w:b/>
          <w:bCs/>
          <w:sz w:val="24"/>
          <w:szCs w:val="24"/>
        </w:rPr>
        <w:t>4</w:t>
      </w:r>
      <w:r>
        <w:rPr>
          <w:rFonts w:cs="Times New Roman" w:hint="eastAsia"/>
          <w:b/>
          <w:bCs/>
          <w:sz w:val="24"/>
          <w:szCs w:val="24"/>
        </w:rPr>
        <w:t>）对兽类的影响</w:t>
      </w:r>
    </w:p>
    <w:p w14:paraId="6C03AF21" w14:textId="77777777" w:rsidR="007D1E74" w:rsidRDefault="00A95641">
      <w:pPr>
        <w:spacing w:line="360" w:lineRule="auto"/>
        <w:ind w:firstLineChars="200" w:firstLine="480"/>
        <w:rPr>
          <w:rFonts w:cs="Times New Roman"/>
          <w:sz w:val="24"/>
          <w:szCs w:val="24"/>
        </w:rPr>
      </w:pPr>
      <w:r>
        <w:rPr>
          <w:rFonts w:cs="Times New Roman" w:hint="eastAsia"/>
          <w:sz w:val="24"/>
          <w:szCs w:val="24"/>
        </w:rPr>
        <w:t>评价区植被类型相对简单，人为活动强，工程直接影响区的大中型兽类很少，多为中小型和小型兽类。其中以半地下生活型的鼠类最多，它们一般体型较小，在评价区的山林和田野中或地底洞穴中。主要在地面活动觅食，栖息、避敌于洞穴中，有的也在地下寻找食物。</w:t>
      </w:r>
    </w:p>
    <w:p w14:paraId="64626DD0" w14:textId="77777777" w:rsidR="007D1E74" w:rsidRDefault="00A95641">
      <w:pPr>
        <w:spacing w:line="360" w:lineRule="auto"/>
        <w:ind w:firstLineChars="200" w:firstLine="480"/>
        <w:rPr>
          <w:rFonts w:cs="Times New Roman"/>
          <w:sz w:val="24"/>
          <w:szCs w:val="24"/>
        </w:rPr>
      </w:pPr>
      <w:r>
        <w:rPr>
          <w:rFonts w:cs="Times New Roman" w:hint="eastAsia"/>
          <w:sz w:val="24"/>
          <w:szCs w:val="24"/>
        </w:rPr>
        <w:t>管线、阀室（组）修建过程中，在局部区域由于人类活动的加剧，垃圾、食物等会随之增加，会吸引一些伴人活动的鼠类到来，可能造成这些区域鼠类的种群数量上升。在原来没有人定居的区域，由于阀室（组）修建，可能人为带入与人类关系密切的家鼠，如褐家鼠、黄胸鼠等，可能导致这些区域的小型兽类种群结构发生改变。</w:t>
      </w:r>
    </w:p>
    <w:p w14:paraId="2F1BA2E6" w14:textId="77777777" w:rsidR="007D1E74" w:rsidRDefault="00A95641">
      <w:pPr>
        <w:spacing w:line="360" w:lineRule="auto"/>
        <w:ind w:firstLineChars="200" w:firstLine="480"/>
        <w:rPr>
          <w:rFonts w:cs="Times New Roman"/>
          <w:sz w:val="24"/>
          <w:szCs w:val="24"/>
        </w:rPr>
      </w:pPr>
      <w:r>
        <w:rPr>
          <w:rFonts w:cs="Times New Roman" w:hint="eastAsia"/>
          <w:sz w:val="24"/>
          <w:szCs w:val="24"/>
        </w:rPr>
        <w:t>另外，部分兽类在人为干扰较小的林地中活动，如猪獾、黄鼬等，由于工程施工期间会占用部分林地，使林地中生活的兽类生境有一定缩减。</w:t>
      </w:r>
    </w:p>
    <w:p w14:paraId="52451F54" w14:textId="77777777" w:rsidR="007D1E74" w:rsidRDefault="00A95641">
      <w:pPr>
        <w:spacing w:line="360" w:lineRule="auto"/>
        <w:ind w:firstLineChars="200" w:firstLine="480"/>
        <w:rPr>
          <w:rFonts w:cs="Times New Roman"/>
          <w:sz w:val="24"/>
          <w:szCs w:val="24"/>
        </w:rPr>
      </w:pPr>
      <w:r>
        <w:rPr>
          <w:rFonts w:cs="Times New Roman" w:hint="eastAsia"/>
          <w:sz w:val="24"/>
          <w:szCs w:val="24"/>
        </w:rPr>
        <w:lastRenderedPageBreak/>
        <w:t>但从整个线路沿线的生境现状情况来看，附近区域有许多兽类的替代生境，且兽类的活动能力较强，可以比较容易的在评价区周围找到相似生境，施工活动不会对其有大的影响。这些种的分布范围较广，繁殖力也较强，且均具有较强的适应性，因此管线、阀室（组）的给你工程的施工对其影响也有限。</w:t>
      </w:r>
    </w:p>
    <w:p w14:paraId="40CFC82F" w14:textId="77777777" w:rsidR="007D1E74" w:rsidRDefault="00A95641">
      <w:pPr>
        <w:pStyle w:val="afffff7"/>
        <w:ind w:firstLine="482"/>
      </w:pPr>
      <w:r>
        <w:t>2</w:t>
      </w:r>
      <w:r>
        <w:rPr>
          <w:rFonts w:hint="eastAsia"/>
        </w:rPr>
        <w:t>、运营期对陆生脊椎动物的影响</w:t>
      </w:r>
    </w:p>
    <w:p w14:paraId="7E3F97C6" w14:textId="77777777" w:rsidR="007D1E74" w:rsidRDefault="00A95641">
      <w:pPr>
        <w:spacing w:line="360" w:lineRule="auto"/>
        <w:ind w:firstLineChars="200" w:firstLine="480"/>
        <w:rPr>
          <w:rFonts w:cs="Times New Roman"/>
          <w:sz w:val="24"/>
          <w:szCs w:val="24"/>
        </w:rPr>
      </w:pPr>
      <w:r>
        <w:rPr>
          <w:rFonts w:cs="Times New Roman" w:hint="eastAsia"/>
          <w:sz w:val="24"/>
          <w:szCs w:val="24"/>
        </w:rPr>
        <w:t>运营期管道干线和支线均会进行填埋，除了阀室（组）人为活动和车辆对周边陆生动物产生影响外，其余影响很小。</w:t>
      </w:r>
    </w:p>
    <w:p w14:paraId="68AE8BED" w14:textId="77777777" w:rsidR="007D1E74" w:rsidRDefault="00A95641">
      <w:pPr>
        <w:pStyle w:val="aa"/>
      </w:pPr>
      <w:r>
        <w:rPr>
          <w:rFonts w:hint="eastAsia"/>
        </w:rPr>
        <w:t>对国家重点保护动物的影响</w:t>
      </w:r>
    </w:p>
    <w:p w14:paraId="0B3AECD3" w14:textId="77777777" w:rsidR="007D1E74" w:rsidRDefault="00A95641">
      <w:pPr>
        <w:pStyle w:val="afffff7"/>
        <w:ind w:firstLine="482"/>
      </w:pPr>
      <w:r>
        <w:rPr>
          <w:rFonts w:hint="eastAsia"/>
        </w:rPr>
        <w:t>1</w:t>
      </w:r>
      <w:r>
        <w:rPr>
          <w:rFonts w:hint="eastAsia"/>
        </w:rPr>
        <w:t>、施工期对</w:t>
      </w:r>
      <w:bookmarkStart w:id="28" w:name="_Hlk98447699"/>
      <w:r>
        <w:rPr>
          <w:rFonts w:hint="eastAsia"/>
        </w:rPr>
        <w:t>重点保护动物</w:t>
      </w:r>
      <w:bookmarkEnd w:id="28"/>
      <w:r>
        <w:rPr>
          <w:rFonts w:hint="eastAsia"/>
        </w:rPr>
        <w:t>的影响</w:t>
      </w:r>
    </w:p>
    <w:p w14:paraId="6E9C1971" w14:textId="77777777" w:rsidR="007D1E74" w:rsidRDefault="00A95641">
      <w:pPr>
        <w:spacing w:line="360" w:lineRule="auto"/>
        <w:ind w:firstLineChars="200" w:firstLine="480"/>
        <w:rPr>
          <w:rFonts w:cs="Times New Roman"/>
          <w:sz w:val="24"/>
          <w:szCs w:val="24"/>
        </w:rPr>
      </w:pPr>
      <w:r>
        <w:rPr>
          <w:rFonts w:cs="Times New Roman" w:hint="eastAsia"/>
          <w:sz w:val="24"/>
          <w:szCs w:val="24"/>
        </w:rPr>
        <w:t>工程施工期对国家和省级重点保护动物将产生一定的的影响。</w:t>
      </w:r>
    </w:p>
    <w:p w14:paraId="7588E621" w14:textId="77777777" w:rsidR="007D1E74" w:rsidRDefault="00A95641">
      <w:pPr>
        <w:spacing w:line="360" w:lineRule="auto"/>
        <w:ind w:firstLineChars="200" w:firstLine="482"/>
        <w:rPr>
          <w:rFonts w:cs="Times New Roman"/>
          <w:b/>
          <w:bCs/>
          <w:sz w:val="24"/>
          <w:szCs w:val="24"/>
        </w:rPr>
      </w:pPr>
      <w:r>
        <w:rPr>
          <w:rFonts w:cs="Times New Roman" w:hint="eastAsia"/>
          <w:b/>
          <w:bCs/>
          <w:sz w:val="24"/>
          <w:szCs w:val="24"/>
        </w:rPr>
        <w:t>（</w:t>
      </w:r>
      <w:r>
        <w:rPr>
          <w:rFonts w:cs="Times New Roman" w:hint="eastAsia"/>
          <w:b/>
          <w:bCs/>
          <w:sz w:val="24"/>
          <w:szCs w:val="24"/>
        </w:rPr>
        <w:t>1</w:t>
      </w:r>
      <w:r>
        <w:rPr>
          <w:rFonts w:cs="Times New Roman" w:hint="eastAsia"/>
          <w:b/>
          <w:bCs/>
          <w:sz w:val="24"/>
          <w:szCs w:val="24"/>
        </w:rPr>
        <w:t>）对重点保护鸟类的影响</w:t>
      </w:r>
    </w:p>
    <w:p w14:paraId="1FF1775A" w14:textId="77777777" w:rsidR="007D1E74" w:rsidRDefault="00A95641">
      <w:pPr>
        <w:spacing w:line="360" w:lineRule="auto"/>
        <w:ind w:firstLineChars="200" w:firstLine="480"/>
        <w:rPr>
          <w:rFonts w:cs="Times New Roman"/>
          <w:sz w:val="24"/>
          <w:szCs w:val="24"/>
        </w:rPr>
      </w:pPr>
      <w:r>
        <w:rPr>
          <w:rFonts w:cs="Times New Roman" w:hint="eastAsia"/>
          <w:sz w:val="24"/>
          <w:szCs w:val="24"/>
        </w:rPr>
        <w:t>评价区域有国家重点保护鸟类黑鸢、普通鵟</w:t>
      </w:r>
      <w:r>
        <w:rPr>
          <w:rFonts w:cs="Times New Roman" w:hint="eastAsia"/>
          <w:sz w:val="24"/>
          <w:szCs w:val="24"/>
        </w:rPr>
        <w:t>2</w:t>
      </w:r>
      <w:r>
        <w:rPr>
          <w:rFonts w:cs="Times New Roman" w:hint="eastAsia"/>
          <w:sz w:val="24"/>
          <w:szCs w:val="24"/>
        </w:rPr>
        <w:t>种，均为隼形目的猛禽，另有四川省级保护鸟类大鹰鹃</w:t>
      </w:r>
      <w:r>
        <w:rPr>
          <w:rFonts w:cs="Times New Roman" w:hint="eastAsia"/>
          <w:sz w:val="24"/>
          <w:szCs w:val="24"/>
        </w:rPr>
        <w:t>1</w:t>
      </w:r>
      <w:r>
        <w:rPr>
          <w:rFonts w:cs="Times New Roman" w:hint="eastAsia"/>
          <w:sz w:val="24"/>
          <w:szCs w:val="24"/>
        </w:rPr>
        <w:t>种。</w:t>
      </w:r>
    </w:p>
    <w:p w14:paraId="0D7C78D0" w14:textId="77777777" w:rsidR="007D1E74" w:rsidRDefault="00A95641">
      <w:pPr>
        <w:spacing w:line="360" w:lineRule="auto"/>
        <w:ind w:firstLineChars="200" w:firstLine="480"/>
        <w:rPr>
          <w:rFonts w:cs="Times New Roman"/>
          <w:sz w:val="24"/>
          <w:szCs w:val="24"/>
        </w:rPr>
      </w:pPr>
      <w:r>
        <w:rPr>
          <w:rFonts w:cs="Times New Roman" w:hint="eastAsia"/>
          <w:sz w:val="24"/>
          <w:szCs w:val="24"/>
        </w:rPr>
        <w:t>管线、阀室等施工对国家和四川省重点保护鸟类的干扰，主要表现在各种噪声，如开山放炮、机械运行、车辆及施工人员活动等。</w:t>
      </w:r>
    </w:p>
    <w:p w14:paraId="7B33711E" w14:textId="77777777" w:rsidR="007D1E74" w:rsidRDefault="00A95641">
      <w:pPr>
        <w:spacing w:line="360" w:lineRule="auto"/>
        <w:ind w:firstLineChars="200" w:firstLine="480"/>
        <w:rPr>
          <w:rFonts w:cs="Times New Roman"/>
          <w:sz w:val="24"/>
          <w:szCs w:val="24"/>
        </w:rPr>
      </w:pPr>
      <w:r>
        <w:rPr>
          <w:rFonts w:cs="Times New Roman" w:hint="eastAsia"/>
          <w:sz w:val="24"/>
          <w:szCs w:val="24"/>
        </w:rPr>
        <w:t>管线、阀室建设的高峰时期，施工人数较多，如果管理不善，如果发生施工工人偷猎的现象，则会对其造成直接伤害。</w:t>
      </w:r>
    </w:p>
    <w:p w14:paraId="7F877685" w14:textId="77777777" w:rsidR="007D1E74" w:rsidRDefault="00A95641">
      <w:pPr>
        <w:spacing w:line="360" w:lineRule="auto"/>
        <w:ind w:firstLineChars="200" w:firstLine="480"/>
        <w:rPr>
          <w:rFonts w:cs="Times New Roman"/>
          <w:sz w:val="24"/>
          <w:szCs w:val="24"/>
        </w:rPr>
      </w:pPr>
      <w:r>
        <w:rPr>
          <w:rFonts w:cs="Times New Roman" w:hint="eastAsia"/>
          <w:sz w:val="24"/>
          <w:szCs w:val="24"/>
        </w:rPr>
        <w:t>但是由于猛禽和大鹰鹃的迁徙能力强，活动范围大，且在冬季或夏季偶尔出现，工程对它们的活动范围、取食和栖息地的影响均较小。</w:t>
      </w:r>
    </w:p>
    <w:p w14:paraId="0ADAB871" w14:textId="77777777" w:rsidR="007D1E74" w:rsidRDefault="00A95641">
      <w:pPr>
        <w:spacing w:line="360" w:lineRule="auto"/>
        <w:ind w:firstLineChars="200" w:firstLine="482"/>
        <w:rPr>
          <w:rFonts w:cs="Times New Roman"/>
          <w:b/>
          <w:bCs/>
          <w:sz w:val="24"/>
          <w:szCs w:val="24"/>
        </w:rPr>
      </w:pPr>
      <w:r>
        <w:rPr>
          <w:rFonts w:cs="Times New Roman" w:hint="eastAsia"/>
          <w:b/>
          <w:bCs/>
          <w:sz w:val="24"/>
          <w:szCs w:val="24"/>
        </w:rPr>
        <w:t>（</w:t>
      </w:r>
      <w:r>
        <w:rPr>
          <w:rFonts w:cs="Times New Roman" w:hint="eastAsia"/>
          <w:b/>
          <w:bCs/>
          <w:sz w:val="24"/>
          <w:szCs w:val="24"/>
        </w:rPr>
        <w:t>2</w:t>
      </w:r>
      <w:r>
        <w:rPr>
          <w:rFonts w:cs="Times New Roman" w:hint="eastAsia"/>
          <w:b/>
          <w:bCs/>
          <w:sz w:val="24"/>
          <w:szCs w:val="24"/>
        </w:rPr>
        <w:t>）对重点保护兽类的影响</w:t>
      </w:r>
    </w:p>
    <w:p w14:paraId="03E27EBA" w14:textId="77777777" w:rsidR="007D1E74" w:rsidRDefault="00A95641">
      <w:pPr>
        <w:spacing w:line="360" w:lineRule="auto"/>
        <w:ind w:firstLineChars="200" w:firstLine="480"/>
        <w:rPr>
          <w:rFonts w:cs="Times New Roman"/>
          <w:sz w:val="24"/>
          <w:szCs w:val="24"/>
        </w:rPr>
      </w:pPr>
      <w:r>
        <w:rPr>
          <w:rFonts w:cs="Times New Roman" w:hint="eastAsia"/>
          <w:sz w:val="24"/>
          <w:szCs w:val="24"/>
        </w:rPr>
        <w:t>评价区有四川省重点保护兽类豹猫</w:t>
      </w:r>
      <w:r>
        <w:rPr>
          <w:rFonts w:cs="Times New Roman" w:hint="eastAsia"/>
          <w:sz w:val="24"/>
          <w:szCs w:val="24"/>
        </w:rPr>
        <w:t>1</w:t>
      </w:r>
      <w:r>
        <w:rPr>
          <w:rFonts w:cs="Times New Roman" w:hint="eastAsia"/>
          <w:sz w:val="24"/>
          <w:szCs w:val="24"/>
        </w:rPr>
        <w:t>种，为食肉目的种类，偶见于林缘村寨附近，以鸟、鼠等小型动物为食。</w:t>
      </w:r>
    </w:p>
    <w:p w14:paraId="2324577A" w14:textId="77777777" w:rsidR="007D1E74" w:rsidRDefault="00A95641">
      <w:pPr>
        <w:spacing w:line="360" w:lineRule="auto"/>
        <w:ind w:firstLineChars="200" w:firstLine="480"/>
        <w:rPr>
          <w:rFonts w:cs="Times New Roman"/>
          <w:sz w:val="24"/>
          <w:szCs w:val="24"/>
        </w:rPr>
      </w:pPr>
      <w:r>
        <w:rPr>
          <w:rFonts w:cs="Times New Roman" w:hint="eastAsia"/>
          <w:sz w:val="24"/>
          <w:szCs w:val="24"/>
        </w:rPr>
        <w:t>豹猫可活动范围广泛，对人类活动和各类干扰敏感，受到噪声或人类活动的影响，一般迅速逃之夭夭。不会受到实质性伤害。</w:t>
      </w:r>
    </w:p>
    <w:p w14:paraId="443C95BF" w14:textId="77777777" w:rsidR="007D1E74" w:rsidRDefault="00A95641">
      <w:pPr>
        <w:pStyle w:val="afffff7"/>
        <w:ind w:firstLine="482"/>
      </w:pPr>
      <w:r>
        <w:t>2</w:t>
      </w:r>
      <w:r>
        <w:rPr>
          <w:rFonts w:hint="eastAsia"/>
        </w:rPr>
        <w:t>、运营期对重点保护动物的影响</w:t>
      </w:r>
    </w:p>
    <w:p w14:paraId="6349A397" w14:textId="77777777" w:rsidR="007D1E74" w:rsidRDefault="00A95641">
      <w:pPr>
        <w:spacing w:line="360" w:lineRule="auto"/>
        <w:ind w:firstLineChars="200" w:firstLine="480"/>
        <w:rPr>
          <w:rFonts w:cs="Times New Roman"/>
          <w:sz w:val="24"/>
          <w:szCs w:val="24"/>
        </w:rPr>
      </w:pPr>
      <w:r>
        <w:rPr>
          <w:rFonts w:cs="Times New Roman" w:hint="eastAsia"/>
          <w:sz w:val="24"/>
          <w:szCs w:val="24"/>
        </w:rPr>
        <w:t>运营期管道干线和支线均会进行填埋，除了阀室（组）人为活动和车辆对周边保护动物产生惊扰迫使其离开一段距离外，其余影响很小。</w:t>
      </w:r>
    </w:p>
    <w:p w14:paraId="1B15C494" w14:textId="77777777" w:rsidR="007D1E74" w:rsidRDefault="00A95641">
      <w:pPr>
        <w:pStyle w:val="aa"/>
      </w:pPr>
      <w:r>
        <w:rPr>
          <w:rFonts w:hint="eastAsia"/>
        </w:rPr>
        <w:t>对生态系统和景观影响分析</w:t>
      </w:r>
    </w:p>
    <w:p w14:paraId="2D232ABF" w14:textId="77777777" w:rsidR="007D1E74" w:rsidRDefault="00A95641">
      <w:pPr>
        <w:pStyle w:val="afffff7"/>
        <w:ind w:firstLine="482"/>
      </w:pPr>
      <w:r>
        <w:rPr>
          <w:rFonts w:hint="eastAsia"/>
        </w:rPr>
        <w:t>1</w:t>
      </w:r>
      <w:r>
        <w:rPr>
          <w:rFonts w:hint="eastAsia"/>
        </w:rPr>
        <w:t>、生态系统和景观占地情况</w:t>
      </w:r>
    </w:p>
    <w:p w14:paraId="392BB814" w14:textId="77777777" w:rsidR="007D1E74" w:rsidRDefault="00A95641">
      <w:pPr>
        <w:spacing w:line="360" w:lineRule="auto"/>
        <w:ind w:firstLineChars="200" w:firstLine="480"/>
        <w:rPr>
          <w:rFonts w:cs="Times New Roman"/>
          <w:sz w:val="24"/>
          <w:szCs w:val="24"/>
        </w:rPr>
      </w:pPr>
      <w:r>
        <w:rPr>
          <w:rFonts w:cs="Times New Roman" w:hint="eastAsia"/>
          <w:sz w:val="24"/>
          <w:szCs w:val="24"/>
        </w:rPr>
        <w:lastRenderedPageBreak/>
        <w:t>项目永久占地中：农田生态系统</w:t>
      </w:r>
      <w:r>
        <w:rPr>
          <w:rFonts w:cs="Times New Roman"/>
          <w:sz w:val="24"/>
          <w:szCs w:val="24"/>
        </w:rPr>
        <w:t>0.1033</w:t>
      </w:r>
      <w:r>
        <w:rPr>
          <w:rFonts w:cs="Times New Roman" w:hint="eastAsia"/>
          <w:sz w:val="24"/>
          <w:szCs w:val="24"/>
        </w:rPr>
        <w:t>hm</w:t>
      </w:r>
      <w:r>
        <w:rPr>
          <w:rFonts w:cs="Times New Roman" w:hint="eastAsia"/>
          <w:sz w:val="24"/>
          <w:szCs w:val="24"/>
          <w:vertAlign w:val="superscript"/>
        </w:rPr>
        <w:t>2</w:t>
      </w:r>
      <w:r>
        <w:rPr>
          <w:rFonts w:cs="Times New Roman" w:hint="eastAsia"/>
          <w:sz w:val="24"/>
          <w:szCs w:val="24"/>
        </w:rPr>
        <w:t>和森林生态系统</w:t>
      </w:r>
      <w:r>
        <w:rPr>
          <w:rFonts w:cs="Times New Roman"/>
          <w:sz w:val="24"/>
          <w:szCs w:val="24"/>
        </w:rPr>
        <w:t>0.0066</w:t>
      </w:r>
      <w:r>
        <w:rPr>
          <w:rFonts w:cs="Times New Roman" w:hint="eastAsia"/>
          <w:sz w:val="24"/>
          <w:szCs w:val="24"/>
        </w:rPr>
        <w:t>hm</w:t>
      </w:r>
      <w:r>
        <w:rPr>
          <w:rFonts w:cs="Times New Roman" w:hint="eastAsia"/>
          <w:sz w:val="24"/>
          <w:szCs w:val="24"/>
          <w:vertAlign w:val="superscript"/>
        </w:rPr>
        <w:t>2</w:t>
      </w:r>
      <w:r>
        <w:rPr>
          <w:rFonts w:cs="Times New Roman" w:hint="eastAsia"/>
          <w:sz w:val="24"/>
          <w:szCs w:val="24"/>
        </w:rPr>
        <w:t>；</w:t>
      </w:r>
    </w:p>
    <w:p w14:paraId="5D41B72C" w14:textId="77777777" w:rsidR="007D1E74" w:rsidRDefault="00A95641">
      <w:pPr>
        <w:spacing w:line="360" w:lineRule="auto"/>
        <w:ind w:firstLineChars="200" w:firstLine="480"/>
        <w:rPr>
          <w:rFonts w:cs="Times New Roman"/>
          <w:sz w:val="24"/>
          <w:szCs w:val="24"/>
        </w:rPr>
      </w:pPr>
      <w:r>
        <w:rPr>
          <w:rFonts w:cs="Times New Roman" w:hint="eastAsia"/>
          <w:sz w:val="24"/>
          <w:szCs w:val="24"/>
        </w:rPr>
        <w:t>项目临时占地中：农田生态系统</w:t>
      </w:r>
      <w:r>
        <w:rPr>
          <w:rFonts w:cs="Times New Roman" w:hint="eastAsia"/>
          <w:sz w:val="24"/>
          <w:szCs w:val="24"/>
        </w:rPr>
        <w:t>10.8567hm</w:t>
      </w:r>
      <w:r>
        <w:rPr>
          <w:rFonts w:cs="Times New Roman" w:hint="eastAsia"/>
          <w:sz w:val="24"/>
          <w:szCs w:val="24"/>
          <w:vertAlign w:val="superscript"/>
        </w:rPr>
        <w:t>2</w:t>
      </w:r>
      <w:r>
        <w:rPr>
          <w:rFonts w:cs="Times New Roman" w:hint="eastAsia"/>
          <w:sz w:val="24"/>
          <w:szCs w:val="24"/>
        </w:rPr>
        <w:t>、森林生态系统</w:t>
      </w:r>
      <w:r>
        <w:rPr>
          <w:rFonts w:cs="Times New Roman" w:hint="eastAsia"/>
          <w:sz w:val="24"/>
          <w:szCs w:val="24"/>
        </w:rPr>
        <w:t>21.6402hm</w:t>
      </w:r>
      <w:r>
        <w:rPr>
          <w:rFonts w:cs="Times New Roman" w:hint="eastAsia"/>
          <w:sz w:val="24"/>
          <w:szCs w:val="24"/>
          <w:vertAlign w:val="superscript"/>
        </w:rPr>
        <w:t>2</w:t>
      </w:r>
      <w:r>
        <w:rPr>
          <w:rFonts w:cs="Times New Roman" w:hint="eastAsia"/>
          <w:sz w:val="24"/>
          <w:szCs w:val="24"/>
        </w:rPr>
        <w:t>、湿地生态系统</w:t>
      </w:r>
      <w:r>
        <w:rPr>
          <w:rFonts w:cs="Times New Roman" w:hint="eastAsia"/>
          <w:sz w:val="24"/>
          <w:szCs w:val="24"/>
        </w:rPr>
        <w:t>2.0069hm</w:t>
      </w:r>
      <w:r>
        <w:rPr>
          <w:rFonts w:cs="Times New Roman" w:hint="eastAsia"/>
          <w:sz w:val="24"/>
          <w:szCs w:val="24"/>
          <w:vertAlign w:val="superscript"/>
        </w:rPr>
        <w:t>2</w:t>
      </w:r>
      <w:r>
        <w:rPr>
          <w:rFonts w:cs="Times New Roman" w:hint="eastAsia"/>
          <w:sz w:val="24"/>
          <w:szCs w:val="24"/>
        </w:rPr>
        <w:t>、草地生态系统</w:t>
      </w:r>
      <w:r>
        <w:rPr>
          <w:rFonts w:cs="Times New Roman" w:hint="eastAsia"/>
          <w:sz w:val="24"/>
          <w:szCs w:val="24"/>
        </w:rPr>
        <w:t>3.9007hm</w:t>
      </w:r>
      <w:r>
        <w:rPr>
          <w:rFonts w:cs="Times New Roman" w:hint="eastAsia"/>
          <w:sz w:val="24"/>
          <w:szCs w:val="24"/>
          <w:vertAlign w:val="superscript"/>
        </w:rPr>
        <w:t>2</w:t>
      </w:r>
      <w:r>
        <w:rPr>
          <w:rFonts w:cs="Times New Roman" w:hint="eastAsia"/>
          <w:sz w:val="24"/>
          <w:szCs w:val="24"/>
        </w:rPr>
        <w:t>和聚落生态系统</w:t>
      </w:r>
      <w:r>
        <w:rPr>
          <w:rFonts w:cs="Times New Roman" w:hint="eastAsia"/>
          <w:sz w:val="24"/>
          <w:szCs w:val="24"/>
        </w:rPr>
        <w:t>0.3697hm</w:t>
      </w:r>
      <w:r>
        <w:rPr>
          <w:rFonts w:cs="Times New Roman" w:hint="eastAsia"/>
          <w:sz w:val="24"/>
          <w:szCs w:val="24"/>
          <w:vertAlign w:val="superscript"/>
        </w:rPr>
        <w:t>2</w:t>
      </w:r>
      <w:r>
        <w:rPr>
          <w:rFonts w:cs="Times New Roman" w:hint="eastAsia"/>
          <w:sz w:val="24"/>
          <w:szCs w:val="24"/>
        </w:rPr>
        <w:t>。永久和临时共规划占地面积</w:t>
      </w:r>
      <w:r>
        <w:rPr>
          <w:rFonts w:cs="Times New Roman" w:hint="eastAsia"/>
          <w:sz w:val="24"/>
          <w:szCs w:val="24"/>
        </w:rPr>
        <w:t>37.0069hm</w:t>
      </w:r>
      <w:r>
        <w:rPr>
          <w:rFonts w:cs="Times New Roman" w:hint="eastAsia"/>
          <w:sz w:val="24"/>
          <w:szCs w:val="24"/>
          <w:vertAlign w:val="superscript"/>
        </w:rPr>
        <w:t>2</w:t>
      </w:r>
      <w:r>
        <w:rPr>
          <w:rFonts w:cs="Times New Roman" w:hint="eastAsia"/>
          <w:sz w:val="24"/>
          <w:szCs w:val="24"/>
        </w:rPr>
        <w:t>。</w:t>
      </w:r>
    </w:p>
    <w:p w14:paraId="3D1D0001" w14:textId="77777777" w:rsidR="007D1E74" w:rsidRDefault="00A95641">
      <w:pPr>
        <w:spacing w:line="360" w:lineRule="auto"/>
        <w:ind w:firstLineChars="200" w:firstLine="480"/>
        <w:rPr>
          <w:rFonts w:cs="Times New Roman"/>
          <w:sz w:val="24"/>
          <w:szCs w:val="24"/>
        </w:rPr>
      </w:pPr>
      <w:r>
        <w:rPr>
          <w:rFonts w:cs="Times New Roman" w:hint="eastAsia"/>
          <w:sz w:val="24"/>
          <w:szCs w:val="24"/>
        </w:rPr>
        <w:t>项目规划占地区域的景观类型包括森林、灌丛、水体、农田和建设用地景观。</w:t>
      </w:r>
    </w:p>
    <w:p w14:paraId="1C960B38" w14:textId="77777777" w:rsidR="007D1E74" w:rsidRDefault="00A95641">
      <w:pPr>
        <w:pStyle w:val="afffff7"/>
        <w:ind w:firstLine="482"/>
      </w:pPr>
      <w:r>
        <w:t>2</w:t>
      </w:r>
      <w:r>
        <w:rPr>
          <w:rFonts w:hint="eastAsia"/>
        </w:rPr>
        <w:t>、生态系统和景观影响预测</w:t>
      </w:r>
    </w:p>
    <w:p w14:paraId="4339298D" w14:textId="77777777" w:rsidR="007D1E74" w:rsidRDefault="00A95641">
      <w:pPr>
        <w:spacing w:line="360" w:lineRule="auto"/>
        <w:ind w:firstLineChars="200" w:firstLine="480"/>
        <w:rPr>
          <w:rFonts w:cs="Times New Roman"/>
          <w:sz w:val="24"/>
          <w:szCs w:val="24"/>
        </w:rPr>
      </w:pPr>
      <w:r>
        <w:rPr>
          <w:rFonts w:cs="Times New Roman" w:hint="eastAsia"/>
          <w:sz w:val="24"/>
          <w:szCs w:val="24"/>
        </w:rPr>
        <w:t>本项目的实施对评价区内生态系统和景观体系的影响预测情况见下表。</w:t>
      </w:r>
    </w:p>
    <w:p w14:paraId="02FBE7A2" w14:textId="77777777" w:rsidR="007D1E74" w:rsidRDefault="00A95641">
      <w:pPr>
        <w:pStyle w:val="afffffe"/>
        <w:numPr>
          <w:ilvl w:val="0"/>
          <w:numId w:val="41"/>
        </w:numPr>
        <w:spacing w:line="360" w:lineRule="auto"/>
        <w:ind w:firstLineChars="0"/>
        <w:jc w:val="center"/>
        <w:rPr>
          <w:rFonts w:eastAsia="黑体" w:cs="Times New Roman"/>
          <w:szCs w:val="21"/>
        </w:rPr>
      </w:pPr>
      <w:r>
        <w:rPr>
          <w:rFonts w:eastAsia="黑体" w:cs="Times New Roman" w:hint="eastAsia"/>
          <w:szCs w:val="21"/>
        </w:rPr>
        <w:t>项目建设对评价区生态系统影响预测表</w:t>
      </w:r>
    </w:p>
    <w:tbl>
      <w:tblPr>
        <w:tblStyle w:val="affffc"/>
        <w:tblW w:w="0" w:type="auto"/>
        <w:tblLook w:val="04A0" w:firstRow="1" w:lastRow="0" w:firstColumn="1" w:lastColumn="0" w:noHBand="0" w:noVBand="1"/>
      </w:tblPr>
      <w:tblGrid>
        <w:gridCol w:w="1582"/>
        <w:gridCol w:w="1242"/>
        <w:gridCol w:w="1228"/>
        <w:gridCol w:w="1254"/>
        <w:gridCol w:w="1228"/>
        <w:gridCol w:w="1254"/>
        <w:gridCol w:w="1228"/>
      </w:tblGrid>
      <w:tr w:rsidR="007D1E74" w14:paraId="18591459" w14:textId="77777777">
        <w:tc>
          <w:tcPr>
            <w:tcW w:w="1691" w:type="dxa"/>
            <w:vAlign w:val="center"/>
          </w:tcPr>
          <w:p w14:paraId="14F1EA6D" w14:textId="77777777" w:rsidR="007D1E74" w:rsidRDefault="00A95641">
            <w:pPr>
              <w:jc w:val="center"/>
              <w:rPr>
                <w:rFonts w:cs="Times New Roman"/>
                <w:szCs w:val="21"/>
              </w:rPr>
            </w:pPr>
            <w:r>
              <w:rPr>
                <w:rFonts w:cs="Times New Roman" w:hint="eastAsia"/>
                <w:szCs w:val="21"/>
              </w:rPr>
              <w:t>生态系统类型</w:t>
            </w:r>
          </w:p>
        </w:tc>
        <w:tc>
          <w:tcPr>
            <w:tcW w:w="1268" w:type="dxa"/>
            <w:vAlign w:val="center"/>
          </w:tcPr>
          <w:p w14:paraId="1FBB1066" w14:textId="77777777" w:rsidR="007D1E74" w:rsidRDefault="00A95641">
            <w:pPr>
              <w:jc w:val="center"/>
              <w:rPr>
                <w:rFonts w:cs="Times New Roman"/>
                <w:szCs w:val="21"/>
              </w:rPr>
            </w:pPr>
            <w:r>
              <w:rPr>
                <w:rFonts w:cs="Times New Roman" w:hint="eastAsia"/>
                <w:szCs w:val="21"/>
              </w:rPr>
              <w:t>现状面积（</w:t>
            </w:r>
            <w:r>
              <w:rPr>
                <w:rFonts w:cs="Times New Roman" w:hint="eastAsia"/>
                <w:szCs w:val="21"/>
              </w:rPr>
              <w:t>hm</w:t>
            </w:r>
            <w:r>
              <w:rPr>
                <w:rFonts w:cs="Times New Roman"/>
                <w:szCs w:val="21"/>
                <w:vertAlign w:val="superscript"/>
              </w:rPr>
              <w:t>2</w:t>
            </w:r>
            <w:r>
              <w:rPr>
                <w:rFonts w:cs="Times New Roman" w:hint="eastAsia"/>
                <w:szCs w:val="21"/>
              </w:rPr>
              <w:t>）</w:t>
            </w:r>
          </w:p>
        </w:tc>
        <w:tc>
          <w:tcPr>
            <w:tcW w:w="1268" w:type="dxa"/>
            <w:vAlign w:val="center"/>
          </w:tcPr>
          <w:p w14:paraId="6670D765" w14:textId="77777777" w:rsidR="007D1E74" w:rsidRDefault="00A95641">
            <w:pPr>
              <w:jc w:val="center"/>
              <w:rPr>
                <w:rFonts w:cs="Times New Roman"/>
                <w:szCs w:val="21"/>
              </w:rPr>
            </w:pPr>
            <w:r>
              <w:rPr>
                <w:rFonts w:cs="Times New Roman" w:hint="eastAsia"/>
                <w:szCs w:val="21"/>
              </w:rPr>
              <w:t>比例（</w:t>
            </w:r>
            <w:r>
              <w:rPr>
                <w:rFonts w:cs="Times New Roman" w:hint="eastAsia"/>
                <w:szCs w:val="21"/>
              </w:rPr>
              <w:t>%</w:t>
            </w:r>
            <w:r>
              <w:rPr>
                <w:rFonts w:cs="Times New Roman" w:hint="eastAsia"/>
                <w:szCs w:val="21"/>
              </w:rPr>
              <w:t>）</w:t>
            </w:r>
          </w:p>
        </w:tc>
        <w:tc>
          <w:tcPr>
            <w:tcW w:w="1268" w:type="dxa"/>
            <w:vAlign w:val="center"/>
          </w:tcPr>
          <w:p w14:paraId="12041C54" w14:textId="77777777" w:rsidR="007D1E74" w:rsidRDefault="00A95641">
            <w:pPr>
              <w:jc w:val="center"/>
              <w:rPr>
                <w:rFonts w:cs="Times New Roman"/>
                <w:szCs w:val="21"/>
              </w:rPr>
            </w:pPr>
            <w:r>
              <w:rPr>
                <w:rFonts w:cs="Times New Roman" w:hint="eastAsia"/>
                <w:szCs w:val="21"/>
              </w:rPr>
              <w:t>建设期面积（</w:t>
            </w:r>
            <w:r>
              <w:rPr>
                <w:rFonts w:cs="Times New Roman" w:hint="eastAsia"/>
                <w:szCs w:val="21"/>
              </w:rPr>
              <w:t>hm</w:t>
            </w:r>
            <w:r>
              <w:rPr>
                <w:rFonts w:cs="Times New Roman"/>
                <w:szCs w:val="21"/>
                <w:vertAlign w:val="superscript"/>
              </w:rPr>
              <w:t>2</w:t>
            </w:r>
            <w:r>
              <w:rPr>
                <w:rFonts w:cs="Times New Roman" w:hint="eastAsia"/>
                <w:szCs w:val="21"/>
              </w:rPr>
              <w:t>）</w:t>
            </w:r>
          </w:p>
        </w:tc>
        <w:tc>
          <w:tcPr>
            <w:tcW w:w="1268" w:type="dxa"/>
            <w:vAlign w:val="center"/>
          </w:tcPr>
          <w:p w14:paraId="42BF85CD" w14:textId="77777777" w:rsidR="007D1E74" w:rsidRDefault="00A95641">
            <w:pPr>
              <w:jc w:val="center"/>
              <w:rPr>
                <w:rFonts w:cs="Times New Roman"/>
                <w:szCs w:val="21"/>
              </w:rPr>
            </w:pPr>
            <w:r>
              <w:rPr>
                <w:rFonts w:cs="Times New Roman" w:hint="eastAsia"/>
                <w:szCs w:val="21"/>
              </w:rPr>
              <w:t>比例（</w:t>
            </w:r>
            <w:r>
              <w:rPr>
                <w:rFonts w:cs="Times New Roman" w:hint="eastAsia"/>
                <w:szCs w:val="21"/>
              </w:rPr>
              <w:t>%</w:t>
            </w:r>
            <w:r>
              <w:rPr>
                <w:rFonts w:cs="Times New Roman" w:hint="eastAsia"/>
                <w:szCs w:val="21"/>
              </w:rPr>
              <w:t>）</w:t>
            </w:r>
          </w:p>
        </w:tc>
        <w:tc>
          <w:tcPr>
            <w:tcW w:w="1268" w:type="dxa"/>
            <w:vAlign w:val="center"/>
          </w:tcPr>
          <w:p w14:paraId="487CE7A8" w14:textId="77777777" w:rsidR="007D1E74" w:rsidRDefault="00A95641">
            <w:pPr>
              <w:jc w:val="center"/>
              <w:rPr>
                <w:rFonts w:cs="Times New Roman"/>
                <w:szCs w:val="21"/>
              </w:rPr>
            </w:pPr>
            <w:r>
              <w:rPr>
                <w:rFonts w:cs="Times New Roman" w:hint="eastAsia"/>
                <w:szCs w:val="21"/>
              </w:rPr>
              <w:t>运营期面积（</w:t>
            </w:r>
            <w:r>
              <w:rPr>
                <w:rFonts w:cs="Times New Roman" w:hint="eastAsia"/>
                <w:szCs w:val="21"/>
              </w:rPr>
              <w:t>hm</w:t>
            </w:r>
            <w:r>
              <w:rPr>
                <w:rFonts w:cs="Times New Roman"/>
                <w:szCs w:val="21"/>
                <w:vertAlign w:val="superscript"/>
              </w:rPr>
              <w:t>2</w:t>
            </w:r>
            <w:r>
              <w:rPr>
                <w:rFonts w:cs="Times New Roman" w:hint="eastAsia"/>
                <w:szCs w:val="21"/>
              </w:rPr>
              <w:t>）</w:t>
            </w:r>
          </w:p>
        </w:tc>
        <w:tc>
          <w:tcPr>
            <w:tcW w:w="1268" w:type="dxa"/>
            <w:vAlign w:val="center"/>
          </w:tcPr>
          <w:p w14:paraId="7ACFFE3B" w14:textId="77777777" w:rsidR="007D1E74" w:rsidRDefault="00A95641">
            <w:pPr>
              <w:jc w:val="center"/>
              <w:rPr>
                <w:rFonts w:cs="Times New Roman"/>
                <w:szCs w:val="21"/>
              </w:rPr>
            </w:pPr>
            <w:r>
              <w:rPr>
                <w:rFonts w:cs="Times New Roman" w:hint="eastAsia"/>
                <w:szCs w:val="21"/>
              </w:rPr>
              <w:t>比例（</w:t>
            </w:r>
            <w:r>
              <w:rPr>
                <w:rFonts w:cs="Times New Roman" w:hint="eastAsia"/>
                <w:szCs w:val="21"/>
              </w:rPr>
              <w:t>%</w:t>
            </w:r>
            <w:r>
              <w:rPr>
                <w:rFonts w:cs="Times New Roman" w:hint="eastAsia"/>
                <w:szCs w:val="21"/>
              </w:rPr>
              <w:t>）</w:t>
            </w:r>
          </w:p>
        </w:tc>
      </w:tr>
      <w:tr w:rsidR="007D1E74" w14:paraId="6619B7D1" w14:textId="77777777">
        <w:tc>
          <w:tcPr>
            <w:tcW w:w="1691" w:type="dxa"/>
            <w:vAlign w:val="center"/>
          </w:tcPr>
          <w:p w14:paraId="2C6E5800" w14:textId="77777777" w:rsidR="007D1E74" w:rsidRDefault="00A95641">
            <w:pPr>
              <w:jc w:val="center"/>
              <w:rPr>
                <w:rFonts w:eastAsiaTheme="minorEastAsia" w:cs="Times New Roman"/>
                <w:szCs w:val="21"/>
              </w:rPr>
            </w:pPr>
            <w:r>
              <w:rPr>
                <w:rFonts w:eastAsiaTheme="minorEastAsia" w:cs="Times New Roman"/>
                <w:kern w:val="0"/>
                <w:szCs w:val="21"/>
                <w:lang w:bidi="ar"/>
              </w:rPr>
              <w:t>森林生态系统</w:t>
            </w:r>
          </w:p>
        </w:tc>
        <w:tc>
          <w:tcPr>
            <w:tcW w:w="1268" w:type="dxa"/>
            <w:vAlign w:val="center"/>
          </w:tcPr>
          <w:p w14:paraId="2032BE49" w14:textId="77777777" w:rsidR="007D1E74" w:rsidRDefault="00A95641">
            <w:pPr>
              <w:jc w:val="center"/>
              <w:rPr>
                <w:rFonts w:eastAsiaTheme="minorEastAsia" w:cs="Times New Roman"/>
                <w:szCs w:val="21"/>
              </w:rPr>
            </w:pPr>
            <w:r>
              <w:rPr>
                <w:rFonts w:eastAsiaTheme="minorEastAsia" w:cs="Times New Roman"/>
                <w:kern w:val="0"/>
                <w:szCs w:val="21"/>
                <w:lang w:bidi="ar"/>
              </w:rPr>
              <w:t>7100.01</w:t>
            </w:r>
          </w:p>
        </w:tc>
        <w:tc>
          <w:tcPr>
            <w:tcW w:w="1268" w:type="dxa"/>
            <w:vAlign w:val="center"/>
          </w:tcPr>
          <w:p w14:paraId="55BAB888" w14:textId="77777777" w:rsidR="007D1E74" w:rsidRDefault="00A95641">
            <w:pPr>
              <w:jc w:val="center"/>
              <w:rPr>
                <w:rFonts w:eastAsiaTheme="minorEastAsia" w:cs="Times New Roman"/>
                <w:szCs w:val="21"/>
              </w:rPr>
            </w:pPr>
            <w:r>
              <w:rPr>
                <w:rFonts w:eastAsiaTheme="minorEastAsia" w:cs="Times New Roman"/>
                <w:kern w:val="0"/>
                <w:szCs w:val="21"/>
                <w:lang w:bidi="ar"/>
              </w:rPr>
              <w:t>64.29</w:t>
            </w:r>
          </w:p>
        </w:tc>
        <w:tc>
          <w:tcPr>
            <w:tcW w:w="1268" w:type="dxa"/>
            <w:vAlign w:val="center"/>
          </w:tcPr>
          <w:p w14:paraId="77461437" w14:textId="77777777" w:rsidR="007D1E74" w:rsidRDefault="00A95641">
            <w:pPr>
              <w:jc w:val="center"/>
              <w:rPr>
                <w:rFonts w:eastAsiaTheme="minorEastAsia" w:cs="Times New Roman"/>
                <w:szCs w:val="21"/>
              </w:rPr>
            </w:pPr>
            <w:r>
              <w:rPr>
                <w:rFonts w:eastAsiaTheme="minorEastAsia" w:cs="Times New Roman"/>
                <w:kern w:val="0"/>
                <w:szCs w:val="21"/>
                <w:lang w:bidi="ar"/>
              </w:rPr>
              <w:t>7078.3632</w:t>
            </w:r>
          </w:p>
        </w:tc>
        <w:tc>
          <w:tcPr>
            <w:tcW w:w="1268" w:type="dxa"/>
            <w:vAlign w:val="center"/>
          </w:tcPr>
          <w:p w14:paraId="568287E0" w14:textId="77777777" w:rsidR="007D1E74" w:rsidRDefault="00A95641">
            <w:pPr>
              <w:jc w:val="center"/>
              <w:rPr>
                <w:rFonts w:eastAsiaTheme="minorEastAsia" w:cs="Times New Roman"/>
                <w:szCs w:val="21"/>
              </w:rPr>
            </w:pPr>
            <w:r>
              <w:rPr>
                <w:rFonts w:eastAsiaTheme="minorEastAsia" w:cs="Times New Roman"/>
                <w:kern w:val="0"/>
                <w:szCs w:val="21"/>
                <w:lang w:bidi="ar"/>
              </w:rPr>
              <w:t>64.09</w:t>
            </w:r>
          </w:p>
        </w:tc>
        <w:tc>
          <w:tcPr>
            <w:tcW w:w="1268" w:type="dxa"/>
            <w:vAlign w:val="center"/>
          </w:tcPr>
          <w:p w14:paraId="68A38CFD" w14:textId="77777777" w:rsidR="007D1E74" w:rsidRDefault="00A95641">
            <w:pPr>
              <w:jc w:val="center"/>
              <w:rPr>
                <w:rFonts w:eastAsiaTheme="minorEastAsia" w:cs="Times New Roman"/>
                <w:szCs w:val="21"/>
              </w:rPr>
            </w:pPr>
            <w:r>
              <w:rPr>
                <w:rFonts w:eastAsiaTheme="minorEastAsia" w:cs="Times New Roman"/>
                <w:kern w:val="0"/>
                <w:szCs w:val="21"/>
                <w:lang w:bidi="ar"/>
              </w:rPr>
              <w:t>7100.0034</w:t>
            </w:r>
          </w:p>
        </w:tc>
        <w:tc>
          <w:tcPr>
            <w:tcW w:w="1268" w:type="dxa"/>
            <w:vAlign w:val="center"/>
          </w:tcPr>
          <w:p w14:paraId="6564C656" w14:textId="77777777" w:rsidR="007D1E74" w:rsidRDefault="00A95641">
            <w:pPr>
              <w:jc w:val="center"/>
              <w:rPr>
                <w:rFonts w:eastAsiaTheme="minorEastAsia" w:cs="Times New Roman"/>
                <w:szCs w:val="21"/>
              </w:rPr>
            </w:pPr>
            <w:r>
              <w:rPr>
                <w:rFonts w:eastAsiaTheme="minorEastAsia" w:cs="Times New Roman"/>
                <w:kern w:val="0"/>
                <w:szCs w:val="21"/>
                <w:lang w:bidi="ar"/>
              </w:rPr>
              <w:t>64.29</w:t>
            </w:r>
          </w:p>
        </w:tc>
      </w:tr>
      <w:tr w:rsidR="007D1E74" w14:paraId="7F898E21" w14:textId="77777777">
        <w:tc>
          <w:tcPr>
            <w:tcW w:w="1691" w:type="dxa"/>
            <w:vAlign w:val="center"/>
          </w:tcPr>
          <w:p w14:paraId="03ADC052" w14:textId="77777777" w:rsidR="007D1E74" w:rsidRDefault="00A95641">
            <w:pPr>
              <w:jc w:val="center"/>
              <w:rPr>
                <w:rFonts w:eastAsiaTheme="minorEastAsia" w:cs="Times New Roman"/>
                <w:szCs w:val="21"/>
              </w:rPr>
            </w:pPr>
            <w:r>
              <w:rPr>
                <w:rFonts w:eastAsiaTheme="minorEastAsia" w:cs="Times New Roman"/>
                <w:kern w:val="0"/>
                <w:szCs w:val="21"/>
                <w:lang w:bidi="ar"/>
              </w:rPr>
              <w:t>湿地生态系统</w:t>
            </w:r>
          </w:p>
        </w:tc>
        <w:tc>
          <w:tcPr>
            <w:tcW w:w="1268" w:type="dxa"/>
            <w:vAlign w:val="center"/>
          </w:tcPr>
          <w:p w14:paraId="3BB7B2C7" w14:textId="77777777" w:rsidR="007D1E74" w:rsidRDefault="00A95641">
            <w:pPr>
              <w:jc w:val="center"/>
              <w:rPr>
                <w:rFonts w:eastAsiaTheme="minorEastAsia" w:cs="Times New Roman"/>
                <w:szCs w:val="21"/>
              </w:rPr>
            </w:pPr>
            <w:r>
              <w:rPr>
                <w:rFonts w:eastAsiaTheme="minorEastAsia" w:cs="Times New Roman"/>
                <w:kern w:val="0"/>
                <w:szCs w:val="21"/>
                <w:lang w:bidi="ar"/>
              </w:rPr>
              <w:t>230.34</w:t>
            </w:r>
          </w:p>
        </w:tc>
        <w:tc>
          <w:tcPr>
            <w:tcW w:w="1268" w:type="dxa"/>
            <w:vAlign w:val="center"/>
          </w:tcPr>
          <w:p w14:paraId="11523D7C" w14:textId="77777777" w:rsidR="007D1E74" w:rsidRDefault="00A95641">
            <w:pPr>
              <w:jc w:val="center"/>
              <w:rPr>
                <w:rFonts w:eastAsiaTheme="minorEastAsia" w:cs="Times New Roman"/>
                <w:szCs w:val="21"/>
              </w:rPr>
            </w:pPr>
            <w:r>
              <w:rPr>
                <w:rFonts w:eastAsiaTheme="minorEastAsia" w:cs="Times New Roman"/>
                <w:kern w:val="0"/>
                <w:szCs w:val="21"/>
                <w:lang w:bidi="ar"/>
              </w:rPr>
              <w:t>2.09</w:t>
            </w:r>
          </w:p>
        </w:tc>
        <w:tc>
          <w:tcPr>
            <w:tcW w:w="1268" w:type="dxa"/>
            <w:vAlign w:val="center"/>
          </w:tcPr>
          <w:p w14:paraId="1B0D7293" w14:textId="77777777" w:rsidR="007D1E74" w:rsidRDefault="00A95641">
            <w:pPr>
              <w:jc w:val="center"/>
              <w:rPr>
                <w:rFonts w:eastAsiaTheme="minorEastAsia" w:cs="Times New Roman"/>
                <w:szCs w:val="21"/>
              </w:rPr>
            </w:pPr>
            <w:r>
              <w:rPr>
                <w:rFonts w:eastAsiaTheme="minorEastAsia" w:cs="Times New Roman"/>
                <w:kern w:val="0"/>
                <w:szCs w:val="21"/>
                <w:lang w:bidi="ar"/>
              </w:rPr>
              <w:t>228.3331</w:t>
            </w:r>
          </w:p>
        </w:tc>
        <w:tc>
          <w:tcPr>
            <w:tcW w:w="1268" w:type="dxa"/>
            <w:vAlign w:val="center"/>
          </w:tcPr>
          <w:p w14:paraId="6DF1318A" w14:textId="77777777" w:rsidR="007D1E74" w:rsidRDefault="00A95641">
            <w:pPr>
              <w:jc w:val="center"/>
              <w:rPr>
                <w:rFonts w:eastAsiaTheme="minorEastAsia" w:cs="Times New Roman"/>
                <w:szCs w:val="21"/>
              </w:rPr>
            </w:pPr>
            <w:r>
              <w:rPr>
                <w:rFonts w:eastAsiaTheme="minorEastAsia" w:cs="Times New Roman"/>
                <w:kern w:val="0"/>
                <w:szCs w:val="21"/>
                <w:lang w:bidi="ar"/>
              </w:rPr>
              <w:t>2.07</w:t>
            </w:r>
          </w:p>
        </w:tc>
        <w:tc>
          <w:tcPr>
            <w:tcW w:w="1268" w:type="dxa"/>
            <w:vAlign w:val="center"/>
          </w:tcPr>
          <w:p w14:paraId="5906678E" w14:textId="77777777" w:rsidR="007D1E74" w:rsidRDefault="00A95641">
            <w:pPr>
              <w:jc w:val="center"/>
              <w:rPr>
                <w:rFonts w:eastAsiaTheme="minorEastAsia" w:cs="Times New Roman"/>
                <w:szCs w:val="21"/>
              </w:rPr>
            </w:pPr>
            <w:r>
              <w:rPr>
                <w:rFonts w:eastAsiaTheme="minorEastAsia" w:cs="Times New Roman"/>
                <w:kern w:val="0"/>
                <w:szCs w:val="21"/>
                <w:lang w:bidi="ar"/>
              </w:rPr>
              <w:t>228.3331</w:t>
            </w:r>
          </w:p>
        </w:tc>
        <w:tc>
          <w:tcPr>
            <w:tcW w:w="1268" w:type="dxa"/>
            <w:vAlign w:val="center"/>
          </w:tcPr>
          <w:p w14:paraId="65BF8621" w14:textId="77777777" w:rsidR="007D1E74" w:rsidRDefault="00A95641">
            <w:pPr>
              <w:jc w:val="center"/>
              <w:rPr>
                <w:rFonts w:eastAsiaTheme="minorEastAsia" w:cs="Times New Roman"/>
                <w:szCs w:val="21"/>
              </w:rPr>
            </w:pPr>
            <w:r>
              <w:rPr>
                <w:rFonts w:eastAsiaTheme="minorEastAsia" w:cs="Times New Roman"/>
                <w:kern w:val="0"/>
                <w:szCs w:val="21"/>
                <w:lang w:bidi="ar"/>
              </w:rPr>
              <w:t>2.07</w:t>
            </w:r>
          </w:p>
        </w:tc>
      </w:tr>
      <w:tr w:rsidR="007D1E74" w14:paraId="6E6B461E" w14:textId="77777777">
        <w:tc>
          <w:tcPr>
            <w:tcW w:w="1691" w:type="dxa"/>
            <w:vAlign w:val="center"/>
          </w:tcPr>
          <w:p w14:paraId="5B1E88A4" w14:textId="77777777" w:rsidR="007D1E74" w:rsidRDefault="00A95641">
            <w:pPr>
              <w:jc w:val="center"/>
              <w:rPr>
                <w:rFonts w:eastAsiaTheme="minorEastAsia" w:cs="Times New Roman"/>
                <w:szCs w:val="21"/>
              </w:rPr>
            </w:pPr>
            <w:r>
              <w:rPr>
                <w:rFonts w:eastAsiaTheme="minorEastAsia" w:cs="Times New Roman"/>
                <w:kern w:val="0"/>
                <w:szCs w:val="21"/>
                <w:lang w:bidi="ar"/>
              </w:rPr>
              <w:t>灌草丛生态系统</w:t>
            </w:r>
          </w:p>
        </w:tc>
        <w:tc>
          <w:tcPr>
            <w:tcW w:w="1268" w:type="dxa"/>
            <w:vAlign w:val="center"/>
          </w:tcPr>
          <w:p w14:paraId="3D6CD0C6" w14:textId="77777777" w:rsidR="007D1E74" w:rsidRDefault="00A95641">
            <w:pPr>
              <w:jc w:val="center"/>
              <w:rPr>
                <w:rFonts w:eastAsiaTheme="minorEastAsia" w:cs="Times New Roman"/>
                <w:szCs w:val="21"/>
              </w:rPr>
            </w:pPr>
            <w:r>
              <w:rPr>
                <w:rFonts w:eastAsiaTheme="minorEastAsia" w:cs="Times New Roman"/>
                <w:kern w:val="0"/>
                <w:szCs w:val="21"/>
                <w:lang w:bidi="ar"/>
              </w:rPr>
              <w:t>231.31</w:t>
            </w:r>
          </w:p>
        </w:tc>
        <w:tc>
          <w:tcPr>
            <w:tcW w:w="1268" w:type="dxa"/>
            <w:vAlign w:val="center"/>
          </w:tcPr>
          <w:p w14:paraId="12920390" w14:textId="77777777" w:rsidR="007D1E74" w:rsidRDefault="00A95641">
            <w:pPr>
              <w:jc w:val="center"/>
              <w:rPr>
                <w:rFonts w:eastAsiaTheme="minorEastAsia" w:cs="Times New Roman"/>
                <w:szCs w:val="21"/>
              </w:rPr>
            </w:pPr>
            <w:r>
              <w:rPr>
                <w:rFonts w:eastAsiaTheme="minorEastAsia" w:cs="Times New Roman"/>
                <w:kern w:val="0"/>
                <w:szCs w:val="21"/>
                <w:lang w:bidi="ar"/>
              </w:rPr>
              <w:t>2.09</w:t>
            </w:r>
          </w:p>
        </w:tc>
        <w:tc>
          <w:tcPr>
            <w:tcW w:w="1268" w:type="dxa"/>
            <w:vAlign w:val="center"/>
          </w:tcPr>
          <w:p w14:paraId="069F77AB" w14:textId="77777777" w:rsidR="007D1E74" w:rsidRDefault="00A95641">
            <w:pPr>
              <w:jc w:val="center"/>
              <w:rPr>
                <w:rFonts w:eastAsiaTheme="minorEastAsia" w:cs="Times New Roman"/>
                <w:szCs w:val="21"/>
              </w:rPr>
            </w:pPr>
            <w:r>
              <w:rPr>
                <w:rFonts w:eastAsiaTheme="minorEastAsia" w:cs="Times New Roman"/>
                <w:kern w:val="0"/>
                <w:szCs w:val="21"/>
                <w:lang w:bidi="ar"/>
              </w:rPr>
              <w:t>227.4093</w:t>
            </w:r>
          </w:p>
        </w:tc>
        <w:tc>
          <w:tcPr>
            <w:tcW w:w="1268" w:type="dxa"/>
            <w:vAlign w:val="center"/>
          </w:tcPr>
          <w:p w14:paraId="2EBE921F" w14:textId="77777777" w:rsidR="007D1E74" w:rsidRDefault="00A95641">
            <w:pPr>
              <w:jc w:val="center"/>
              <w:rPr>
                <w:rFonts w:eastAsiaTheme="minorEastAsia" w:cs="Times New Roman"/>
                <w:szCs w:val="21"/>
              </w:rPr>
            </w:pPr>
            <w:r>
              <w:rPr>
                <w:rFonts w:eastAsiaTheme="minorEastAsia" w:cs="Times New Roman"/>
                <w:kern w:val="0"/>
                <w:szCs w:val="21"/>
                <w:lang w:bidi="ar"/>
              </w:rPr>
              <w:t>2.06</w:t>
            </w:r>
          </w:p>
        </w:tc>
        <w:tc>
          <w:tcPr>
            <w:tcW w:w="1268" w:type="dxa"/>
            <w:vAlign w:val="center"/>
          </w:tcPr>
          <w:p w14:paraId="5FF86F2D" w14:textId="77777777" w:rsidR="007D1E74" w:rsidRDefault="00A95641">
            <w:pPr>
              <w:jc w:val="center"/>
              <w:rPr>
                <w:rFonts w:eastAsiaTheme="minorEastAsia" w:cs="Times New Roman"/>
                <w:szCs w:val="21"/>
              </w:rPr>
            </w:pPr>
            <w:r>
              <w:rPr>
                <w:rFonts w:eastAsiaTheme="minorEastAsia" w:cs="Times New Roman"/>
                <w:kern w:val="0"/>
                <w:szCs w:val="21"/>
                <w:lang w:bidi="ar"/>
              </w:rPr>
              <w:t>227.4093</w:t>
            </w:r>
          </w:p>
        </w:tc>
        <w:tc>
          <w:tcPr>
            <w:tcW w:w="1268" w:type="dxa"/>
            <w:vAlign w:val="center"/>
          </w:tcPr>
          <w:p w14:paraId="58CDE8DD" w14:textId="77777777" w:rsidR="007D1E74" w:rsidRDefault="00A95641">
            <w:pPr>
              <w:jc w:val="center"/>
              <w:rPr>
                <w:rFonts w:eastAsiaTheme="minorEastAsia" w:cs="Times New Roman"/>
                <w:szCs w:val="21"/>
              </w:rPr>
            </w:pPr>
            <w:r>
              <w:rPr>
                <w:rFonts w:eastAsiaTheme="minorEastAsia" w:cs="Times New Roman"/>
                <w:kern w:val="0"/>
                <w:szCs w:val="21"/>
                <w:lang w:bidi="ar"/>
              </w:rPr>
              <w:t>2.06</w:t>
            </w:r>
          </w:p>
        </w:tc>
      </w:tr>
      <w:tr w:rsidR="007D1E74" w14:paraId="1BEA68D6" w14:textId="77777777">
        <w:tc>
          <w:tcPr>
            <w:tcW w:w="1691" w:type="dxa"/>
            <w:vAlign w:val="center"/>
          </w:tcPr>
          <w:p w14:paraId="246DD2F4" w14:textId="77777777" w:rsidR="007D1E74" w:rsidRDefault="00A95641">
            <w:pPr>
              <w:jc w:val="center"/>
              <w:rPr>
                <w:rFonts w:eastAsiaTheme="minorEastAsia" w:cs="Times New Roman"/>
                <w:szCs w:val="21"/>
              </w:rPr>
            </w:pPr>
            <w:r>
              <w:rPr>
                <w:rFonts w:eastAsiaTheme="minorEastAsia" w:cs="Times New Roman"/>
                <w:kern w:val="0"/>
                <w:szCs w:val="21"/>
                <w:lang w:bidi="ar"/>
              </w:rPr>
              <w:t>农田生态系统</w:t>
            </w:r>
          </w:p>
        </w:tc>
        <w:tc>
          <w:tcPr>
            <w:tcW w:w="1268" w:type="dxa"/>
            <w:vAlign w:val="center"/>
          </w:tcPr>
          <w:p w14:paraId="24429D67" w14:textId="77777777" w:rsidR="007D1E74" w:rsidRDefault="00A95641">
            <w:pPr>
              <w:jc w:val="center"/>
              <w:rPr>
                <w:rFonts w:eastAsiaTheme="minorEastAsia" w:cs="Times New Roman"/>
                <w:szCs w:val="21"/>
              </w:rPr>
            </w:pPr>
            <w:r>
              <w:rPr>
                <w:rFonts w:eastAsiaTheme="minorEastAsia" w:cs="Times New Roman"/>
                <w:kern w:val="0"/>
                <w:szCs w:val="21"/>
                <w:lang w:bidi="ar"/>
              </w:rPr>
              <w:t>3291.59</w:t>
            </w:r>
          </w:p>
        </w:tc>
        <w:tc>
          <w:tcPr>
            <w:tcW w:w="1268" w:type="dxa"/>
            <w:vAlign w:val="center"/>
          </w:tcPr>
          <w:p w14:paraId="2A9D4C30" w14:textId="77777777" w:rsidR="007D1E74" w:rsidRDefault="00A95641">
            <w:pPr>
              <w:jc w:val="center"/>
              <w:rPr>
                <w:rFonts w:eastAsiaTheme="minorEastAsia" w:cs="Times New Roman"/>
                <w:szCs w:val="21"/>
              </w:rPr>
            </w:pPr>
            <w:r>
              <w:rPr>
                <w:rFonts w:eastAsiaTheme="minorEastAsia" w:cs="Times New Roman"/>
                <w:kern w:val="0"/>
                <w:szCs w:val="21"/>
                <w:lang w:bidi="ar"/>
              </w:rPr>
              <w:t>29.8</w:t>
            </w:r>
          </w:p>
        </w:tc>
        <w:tc>
          <w:tcPr>
            <w:tcW w:w="1268" w:type="dxa"/>
            <w:vAlign w:val="center"/>
          </w:tcPr>
          <w:p w14:paraId="6F80AA1F" w14:textId="77777777" w:rsidR="007D1E74" w:rsidRDefault="00A95641">
            <w:pPr>
              <w:jc w:val="center"/>
              <w:rPr>
                <w:rFonts w:eastAsiaTheme="minorEastAsia" w:cs="Times New Roman"/>
                <w:szCs w:val="21"/>
              </w:rPr>
            </w:pPr>
            <w:r>
              <w:rPr>
                <w:rFonts w:eastAsiaTheme="minorEastAsia" w:cs="Times New Roman"/>
                <w:kern w:val="0"/>
                <w:szCs w:val="21"/>
                <w:lang w:bidi="ar"/>
              </w:rPr>
              <w:t>3280.63</w:t>
            </w:r>
          </w:p>
        </w:tc>
        <w:tc>
          <w:tcPr>
            <w:tcW w:w="1268" w:type="dxa"/>
            <w:vAlign w:val="center"/>
          </w:tcPr>
          <w:p w14:paraId="360B5B8D" w14:textId="77777777" w:rsidR="007D1E74" w:rsidRDefault="00A95641">
            <w:pPr>
              <w:jc w:val="center"/>
              <w:rPr>
                <w:rFonts w:eastAsiaTheme="minorEastAsia" w:cs="Times New Roman"/>
                <w:szCs w:val="21"/>
              </w:rPr>
            </w:pPr>
            <w:r>
              <w:rPr>
                <w:rFonts w:eastAsiaTheme="minorEastAsia" w:cs="Times New Roman"/>
                <w:kern w:val="0"/>
                <w:szCs w:val="21"/>
                <w:lang w:bidi="ar"/>
              </w:rPr>
              <w:t>29.70</w:t>
            </w:r>
          </w:p>
        </w:tc>
        <w:tc>
          <w:tcPr>
            <w:tcW w:w="1268" w:type="dxa"/>
            <w:vAlign w:val="center"/>
          </w:tcPr>
          <w:p w14:paraId="6CC40676" w14:textId="77777777" w:rsidR="007D1E74" w:rsidRDefault="00A95641">
            <w:pPr>
              <w:jc w:val="center"/>
              <w:rPr>
                <w:rFonts w:eastAsiaTheme="minorEastAsia" w:cs="Times New Roman"/>
                <w:szCs w:val="21"/>
              </w:rPr>
            </w:pPr>
            <w:r>
              <w:rPr>
                <w:rFonts w:eastAsiaTheme="minorEastAsia" w:cs="Times New Roman"/>
                <w:kern w:val="0"/>
                <w:szCs w:val="21"/>
                <w:lang w:bidi="ar"/>
              </w:rPr>
              <w:t>3291.4867</w:t>
            </w:r>
          </w:p>
        </w:tc>
        <w:tc>
          <w:tcPr>
            <w:tcW w:w="1268" w:type="dxa"/>
            <w:vAlign w:val="center"/>
          </w:tcPr>
          <w:p w14:paraId="3738DFB1" w14:textId="77777777" w:rsidR="007D1E74" w:rsidRDefault="00A95641">
            <w:pPr>
              <w:jc w:val="center"/>
              <w:rPr>
                <w:rFonts w:eastAsiaTheme="minorEastAsia" w:cs="Times New Roman"/>
                <w:szCs w:val="21"/>
              </w:rPr>
            </w:pPr>
            <w:r>
              <w:rPr>
                <w:rFonts w:eastAsiaTheme="minorEastAsia" w:cs="Times New Roman"/>
                <w:kern w:val="0"/>
                <w:szCs w:val="21"/>
                <w:lang w:bidi="ar"/>
              </w:rPr>
              <w:t>29.80</w:t>
            </w:r>
          </w:p>
        </w:tc>
      </w:tr>
      <w:tr w:rsidR="007D1E74" w14:paraId="4F31B6B3" w14:textId="77777777">
        <w:tc>
          <w:tcPr>
            <w:tcW w:w="1691" w:type="dxa"/>
            <w:vAlign w:val="center"/>
          </w:tcPr>
          <w:p w14:paraId="0AC4A3ED" w14:textId="77777777" w:rsidR="007D1E74" w:rsidRDefault="00A95641">
            <w:pPr>
              <w:jc w:val="center"/>
              <w:rPr>
                <w:rFonts w:eastAsiaTheme="minorEastAsia" w:cs="Times New Roman"/>
                <w:szCs w:val="21"/>
              </w:rPr>
            </w:pPr>
            <w:r>
              <w:rPr>
                <w:rFonts w:eastAsiaTheme="minorEastAsia" w:cs="Times New Roman"/>
                <w:kern w:val="0"/>
                <w:szCs w:val="21"/>
                <w:lang w:bidi="ar"/>
              </w:rPr>
              <w:t>聚落生态系统</w:t>
            </w:r>
          </w:p>
        </w:tc>
        <w:tc>
          <w:tcPr>
            <w:tcW w:w="1268" w:type="dxa"/>
            <w:vAlign w:val="center"/>
          </w:tcPr>
          <w:p w14:paraId="34D167D5" w14:textId="77777777" w:rsidR="007D1E74" w:rsidRDefault="00A95641">
            <w:pPr>
              <w:jc w:val="center"/>
              <w:rPr>
                <w:rFonts w:eastAsiaTheme="minorEastAsia" w:cs="Times New Roman"/>
                <w:szCs w:val="21"/>
              </w:rPr>
            </w:pPr>
            <w:r>
              <w:rPr>
                <w:rFonts w:eastAsiaTheme="minorEastAsia" w:cs="Times New Roman"/>
                <w:kern w:val="0"/>
                <w:szCs w:val="21"/>
                <w:lang w:bidi="ar"/>
              </w:rPr>
              <w:t>190.95</w:t>
            </w:r>
          </w:p>
        </w:tc>
        <w:tc>
          <w:tcPr>
            <w:tcW w:w="1268" w:type="dxa"/>
            <w:vAlign w:val="center"/>
          </w:tcPr>
          <w:p w14:paraId="60891AB6" w14:textId="77777777" w:rsidR="007D1E74" w:rsidRDefault="00A95641">
            <w:pPr>
              <w:jc w:val="center"/>
              <w:rPr>
                <w:rFonts w:eastAsiaTheme="minorEastAsia" w:cs="Times New Roman"/>
                <w:szCs w:val="21"/>
              </w:rPr>
            </w:pPr>
            <w:r>
              <w:rPr>
                <w:rFonts w:eastAsiaTheme="minorEastAsia" w:cs="Times New Roman"/>
                <w:kern w:val="0"/>
                <w:szCs w:val="21"/>
                <w:lang w:bidi="ar"/>
              </w:rPr>
              <w:t>1.73</w:t>
            </w:r>
          </w:p>
        </w:tc>
        <w:tc>
          <w:tcPr>
            <w:tcW w:w="1268" w:type="dxa"/>
            <w:vAlign w:val="center"/>
          </w:tcPr>
          <w:p w14:paraId="06D2AB23" w14:textId="77777777" w:rsidR="007D1E74" w:rsidRDefault="00A95641">
            <w:pPr>
              <w:jc w:val="center"/>
              <w:rPr>
                <w:rFonts w:eastAsiaTheme="minorEastAsia" w:cs="Times New Roman"/>
                <w:szCs w:val="21"/>
              </w:rPr>
            </w:pPr>
            <w:r>
              <w:rPr>
                <w:rFonts w:eastAsiaTheme="minorEastAsia" w:cs="Times New Roman"/>
                <w:kern w:val="0"/>
                <w:szCs w:val="21"/>
                <w:lang w:bidi="ar"/>
              </w:rPr>
              <w:t>229.4644</w:t>
            </w:r>
          </w:p>
        </w:tc>
        <w:tc>
          <w:tcPr>
            <w:tcW w:w="1268" w:type="dxa"/>
            <w:vAlign w:val="center"/>
          </w:tcPr>
          <w:p w14:paraId="5AFC0A39" w14:textId="77777777" w:rsidR="007D1E74" w:rsidRDefault="00A95641">
            <w:pPr>
              <w:jc w:val="center"/>
              <w:rPr>
                <w:rFonts w:eastAsiaTheme="minorEastAsia" w:cs="Times New Roman"/>
                <w:szCs w:val="21"/>
              </w:rPr>
            </w:pPr>
            <w:r>
              <w:rPr>
                <w:rFonts w:eastAsiaTheme="minorEastAsia" w:cs="Times New Roman"/>
                <w:kern w:val="0"/>
                <w:szCs w:val="21"/>
                <w:lang w:bidi="ar"/>
              </w:rPr>
              <w:t>2.08</w:t>
            </w:r>
          </w:p>
        </w:tc>
        <w:tc>
          <w:tcPr>
            <w:tcW w:w="1268" w:type="dxa"/>
            <w:vAlign w:val="center"/>
          </w:tcPr>
          <w:p w14:paraId="12210281" w14:textId="77777777" w:rsidR="007D1E74" w:rsidRDefault="00A95641">
            <w:pPr>
              <w:jc w:val="center"/>
              <w:rPr>
                <w:rFonts w:eastAsiaTheme="minorEastAsia" w:cs="Times New Roman"/>
                <w:szCs w:val="21"/>
              </w:rPr>
            </w:pPr>
            <w:r>
              <w:rPr>
                <w:rFonts w:eastAsiaTheme="minorEastAsia" w:cs="Times New Roman"/>
                <w:kern w:val="0"/>
                <w:szCs w:val="21"/>
                <w:lang w:bidi="ar"/>
              </w:rPr>
              <w:t>196.9675</w:t>
            </w:r>
          </w:p>
        </w:tc>
        <w:tc>
          <w:tcPr>
            <w:tcW w:w="1268" w:type="dxa"/>
            <w:vAlign w:val="center"/>
          </w:tcPr>
          <w:p w14:paraId="1769C185" w14:textId="77777777" w:rsidR="007D1E74" w:rsidRDefault="00A95641">
            <w:pPr>
              <w:jc w:val="center"/>
              <w:rPr>
                <w:rFonts w:eastAsiaTheme="minorEastAsia" w:cs="Times New Roman"/>
                <w:szCs w:val="21"/>
              </w:rPr>
            </w:pPr>
            <w:r>
              <w:rPr>
                <w:rFonts w:eastAsiaTheme="minorEastAsia" w:cs="Times New Roman"/>
                <w:kern w:val="0"/>
                <w:szCs w:val="21"/>
                <w:lang w:bidi="ar"/>
              </w:rPr>
              <w:t>1.78</w:t>
            </w:r>
          </w:p>
        </w:tc>
      </w:tr>
      <w:tr w:rsidR="007D1E74" w14:paraId="57B117ED" w14:textId="77777777">
        <w:tc>
          <w:tcPr>
            <w:tcW w:w="1691" w:type="dxa"/>
            <w:vAlign w:val="center"/>
          </w:tcPr>
          <w:p w14:paraId="413AD163" w14:textId="77777777" w:rsidR="007D1E74" w:rsidRDefault="00A95641">
            <w:pPr>
              <w:jc w:val="center"/>
              <w:rPr>
                <w:rFonts w:eastAsiaTheme="minorEastAsia" w:cs="Times New Roman"/>
                <w:szCs w:val="21"/>
              </w:rPr>
            </w:pPr>
            <w:r>
              <w:rPr>
                <w:rFonts w:eastAsiaTheme="minorEastAsia" w:cs="Times New Roman"/>
                <w:bCs/>
                <w:kern w:val="0"/>
                <w:szCs w:val="21"/>
                <w:lang w:bidi="ar"/>
              </w:rPr>
              <w:t>合计</w:t>
            </w:r>
          </w:p>
        </w:tc>
        <w:tc>
          <w:tcPr>
            <w:tcW w:w="1268" w:type="dxa"/>
            <w:vAlign w:val="center"/>
          </w:tcPr>
          <w:p w14:paraId="087F8D13" w14:textId="77777777" w:rsidR="007D1E74" w:rsidRDefault="00A95641">
            <w:pPr>
              <w:jc w:val="center"/>
              <w:rPr>
                <w:rFonts w:eastAsiaTheme="minorEastAsia" w:cs="Times New Roman"/>
                <w:szCs w:val="21"/>
              </w:rPr>
            </w:pPr>
            <w:r>
              <w:rPr>
                <w:rFonts w:eastAsiaTheme="minorEastAsia" w:cs="Times New Roman"/>
                <w:bCs/>
                <w:kern w:val="0"/>
                <w:szCs w:val="21"/>
                <w:lang w:bidi="ar"/>
              </w:rPr>
              <w:t>11044.2</w:t>
            </w:r>
          </w:p>
        </w:tc>
        <w:tc>
          <w:tcPr>
            <w:tcW w:w="1268" w:type="dxa"/>
            <w:vAlign w:val="center"/>
          </w:tcPr>
          <w:p w14:paraId="2053B7AB" w14:textId="77777777" w:rsidR="007D1E74" w:rsidRDefault="00A95641">
            <w:pPr>
              <w:jc w:val="center"/>
              <w:rPr>
                <w:rFonts w:eastAsiaTheme="minorEastAsia" w:cs="Times New Roman"/>
                <w:szCs w:val="21"/>
              </w:rPr>
            </w:pPr>
            <w:r>
              <w:rPr>
                <w:rFonts w:eastAsiaTheme="minorEastAsia" w:cs="Times New Roman"/>
                <w:bCs/>
                <w:kern w:val="0"/>
                <w:szCs w:val="21"/>
                <w:lang w:bidi="ar"/>
              </w:rPr>
              <w:t>100</w:t>
            </w:r>
          </w:p>
        </w:tc>
        <w:tc>
          <w:tcPr>
            <w:tcW w:w="1268" w:type="dxa"/>
            <w:vAlign w:val="center"/>
          </w:tcPr>
          <w:p w14:paraId="46B9E394" w14:textId="77777777" w:rsidR="007D1E74" w:rsidRDefault="00A95641">
            <w:pPr>
              <w:jc w:val="center"/>
              <w:rPr>
                <w:rFonts w:eastAsiaTheme="minorEastAsia" w:cs="Times New Roman"/>
                <w:szCs w:val="21"/>
              </w:rPr>
            </w:pPr>
            <w:r>
              <w:rPr>
                <w:rFonts w:eastAsiaTheme="minorEastAsia" w:cs="Times New Roman"/>
                <w:bCs/>
                <w:kern w:val="0"/>
                <w:szCs w:val="21"/>
                <w:lang w:bidi="ar"/>
              </w:rPr>
              <w:t>11044.2</w:t>
            </w:r>
          </w:p>
        </w:tc>
        <w:tc>
          <w:tcPr>
            <w:tcW w:w="1268" w:type="dxa"/>
            <w:vAlign w:val="center"/>
          </w:tcPr>
          <w:p w14:paraId="645C710A" w14:textId="77777777" w:rsidR="007D1E74" w:rsidRDefault="00A95641">
            <w:pPr>
              <w:jc w:val="center"/>
              <w:rPr>
                <w:rFonts w:eastAsiaTheme="minorEastAsia" w:cs="Times New Roman"/>
                <w:szCs w:val="21"/>
              </w:rPr>
            </w:pPr>
            <w:r>
              <w:rPr>
                <w:rFonts w:eastAsiaTheme="minorEastAsia" w:cs="Times New Roman"/>
                <w:bCs/>
                <w:kern w:val="0"/>
                <w:szCs w:val="21"/>
                <w:lang w:bidi="ar"/>
              </w:rPr>
              <w:t>100</w:t>
            </w:r>
          </w:p>
        </w:tc>
        <w:tc>
          <w:tcPr>
            <w:tcW w:w="1268" w:type="dxa"/>
            <w:vAlign w:val="center"/>
          </w:tcPr>
          <w:p w14:paraId="49698963" w14:textId="77777777" w:rsidR="007D1E74" w:rsidRDefault="00A95641">
            <w:pPr>
              <w:jc w:val="center"/>
              <w:rPr>
                <w:rFonts w:eastAsiaTheme="minorEastAsia" w:cs="Times New Roman"/>
                <w:szCs w:val="21"/>
              </w:rPr>
            </w:pPr>
            <w:r>
              <w:rPr>
                <w:rFonts w:eastAsiaTheme="minorEastAsia" w:cs="Times New Roman"/>
                <w:bCs/>
                <w:kern w:val="0"/>
                <w:szCs w:val="21"/>
                <w:lang w:bidi="ar"/>
              </w:rPr>
              <w:t>11044.2</w:t>
            </w:r>
          </w:p>
        </w:tc>
        <w:tc>
          <w:tcPr>
            <w:tcW w:w="1268" w:type="dxa"/>
            <w:vAlign w:val="center"/>
          </w:tcPr>
          <w:p w14:paraId="70C8855C" w14:textId="77777777" w:rsidR="007D1E74" w:rsidRDefault="00A95641">
            <w:pPr>
              <w:jc w:val="center"/>
              <w:rPr>
                <w:rFonts w:eastAsiaTheme="minorEastAsia" w:cs="Times New Roman"/>
                <w:szCs w:val="21"/>
              </w:rPr>
            </w:pPr>
            <w:r>
              <w:rPr>
                <w:rFonts w:eastAsiaTheme="minorEastAsia" w:cs="Times New Roman"/>
                <w:bCs/>
                <w:kern w:val="0"/>
                <w:szCs w:val="21"/>
                <w:lang w:bidi="ar"/>
              </w:rPr>
              <w:t>100</w:t>
            </w:r>
          </w:p>
        </w:tc>
      </w:tr>
    </w:tbl>
    <w:p w14:paraId="3FEFC287" w14:textId="77777777" w:rsidR="007D1E74" w:rsidRDefault="00A95641">
      <w:pPr>
        <w:pStyle w:val="afffffe"/>
        <w:numPr>
          <w:ilvl w:val="0"/>
          <w:numId w:val="41"/>
        </w:numPr>
        <w:spacing w:line="360" w:lineRule="auto"/>
        <w:ind w:firstLineChars="0"/>
        <w:jc w:val="center"/>
        <w:rPr>
          <w:rFonts w:eastAsia="黑体" w:cs="Times New Roman"/>
          <w:szCs w:val="21"/>
        </w:rPr>
      </w:pPr>
      <w:bookmarkStart w:id="29" w:name="_Hlk98451825"/>
      <w:r>
        <w:rPr>
          <w:rFonts w:eastAsia="黑体" w:cs="Times New Roman" w:hint="eastAsia"/>
          <w:szCs w:val="21"/>
        </w:rPr>
        <w:t>项目建设对评价区景观优势度影响预测表</w:t>
      </w:r>
    </w:p>
    <w:tbl>
      <w:tblPr>
        <w:tblStyle w:val="affffc"/>
        <w:tblW w:w="5000" w:type="pct"/>
        <w:tblLook w:val="04A0" w:firstRow="1" w:lastRow="0" w:firstColumn="1" w:lastColumn="0" w:noHBand="0" w:noVBand="1"/>
      </w:tblPr>
      <w:tblGrid>
        <w:gridCol w:w="2254"/>
        <w:gridCol w:w="2254"/>
        <w:gridCol w:w="2254"/>
        <w:gridCol w:w="2254"/>
      </w:tblGrid>
      <w:tr w:rsidR="007D1E74" w14:paraId="5EA2491B" w14:textId="77777777">
        <w:tc>
          <w:tcPr>
            <w:tcW w:w="1250" w:type="pct"/>
            <w:vAlign w:val="center"/>
          </w:tcPr>
          <w:bookmarkEnd w:id="29"/>
          <w:p w14:paraId="6C06904E" w14:textId="77777777" w:rsidR="007D1E74" w:rsidRDefault="00A95641">
            <w:pPr>
              <w:jc w:val="center"/>
              <w:rPr>
                <w:rFonts w:cs="Times New Roman"/>
                <w:szCs w:val="21"/>
              </w:rPr>
            </w:pPr>
            <w:r>
              <w:rPr>
                <w:rFonts w:cs="Times New Roman" w:hint="eastAsia"/>
                <w:szCs w:val="21"/>
              </w:rPr>
              <w:t>景观类型</w:t>
            </w:r>
          </w:p>
        </w:tc>
        <w:tc>
          <w:tcPr>
            <w:tcW w:w="1250" w:type="pct"/>
            <w:vAlign w:val="center"/>
          </w:tcPr>
          <w:p w14:paraId="52DAE351" w14:textId="77777777" w:rsidR="007D1E74" w:rsidRDefault="00A95641">
            <w:pPr>
              <w:jc w:val="center"/>
              <w:rPr>
                <w:rFonts w:cs="Times New Roman"/>
                <w:szCs w:val="21"/>
              </w:rPr>
            </w:pPr>
            <w:r>
              <w:rPr>
                <w:rFonts w:cs="Times New Roman" w:hint="eastAsia"/>
                <w:szCs w:val="21"/>
              </w:rPr>
              <w:t>现状（</w:t>
            </w:r>
            <w:r>
              <w:rPr>
                <w:rFonts w:cs="Times New Roman" w:hint="eastAsia"/>
                <w:szCs w:val="21"/>
              </w:rPr>
              <w:t>%</w:t>
            </w:r>
            <w:r>
              <w:rPr>
                <w:rFonts w:cs="Times New Roman" w:hint="eastAsia"/>
                <w:szCs w:val="21"/>
              </w:rPr>
              <w:t>）</w:t>
            </w:r>
          </w:p>
        </w:tc>
        <w:tc>
          <w:tcPr>
            <w:tcW w:w="1250" w:type="pct"/>
            <w:vAlign w:val="center"/>
          </w:tcPr>
          <w:p w14:paraId="324F7251" w14:textId="77777777" w:rsidR="007D1E74" w:rsidRDefault="00A95641">
            <w:pPr>
              <w:jc w:val="center"/>
              <w:rPr>
                <w:rFonts w:cs="Times New Roman"/>
                <w:szCs w:val="21"/>
              </w:rPr>
            </w:pPr>
            <w:r>
              <w:rPr>
                <w:rFonts w:cs="Times New Roman" w:hint="eastAsia"/>
                <w:szCs w:val="21"/>
              </w:rPr>
              <w:t>预测值（</w:t>
            </w:r>
            <w:r>
              <w:rPr>
                <w:rFonts w:cs="Times New Roman" w:hint="eastAsia"/>
                <w:szCs w:val="21"/>
              </w:rPr>
              <w:t>%</w:t>
            </w:r>
            <w:r>
              <w:rPr>
                <w:rFonts w:cs="Times New Roman" w:hint="eastAsia"/>
                <w:szCs w:val="21"/>
              </w:rPr>
              <w:t>）</w:t>
            </w:r>
          </w:p>
        </w:tc>
        <w:tc>
          <w:tcPr>
            <w:tcW w:w="1250" w:type="pct"/>
            <w:vAlign w:val="center"/>
          </w:tcPr>
          <w:p w14:paraId="2CE169BD" w14:textId="77777777" w:rsidR="007D1E74" w:rsidRDefault="00A95641">
            <w:pPr>
              <w:jc w:val="center"/>
              <w:rPr>
                <w:rFonts w:cs="Times New Roman"/>
                <w:szCs w:val="21"/>
              </w:rPr>
            </w:pPr>
            <w:r>
              <w:rPr>
                <w:rFonts w:cs="Times New Roman" w:hint="eastAsia"/>
                <w:szCs w:val="21"/>
              </w:rPr>
              <w:t>变化（</w:t>
            </w:r>
            <w:r>
              <w:rPr>
                <w:rFonts w:cs="Times New Roman" w:hint="eastAsia"/>
                <w:szCs w:val="21"/>
              </w:rPr>
              <w:t>%</w:t>
            </w:r>
            <w:r>
              <w:rPr>
                <w:rFonts w:cs="Times New Roman" w:hint="eastAsia"/>
                <w:szCs w:val="21"/>
              </w:rPr>
              <w:t>）</w:t>
            </w:r>
          </w:p>
        </w:tc>
      </w:tr>
      <w:tr w:rsidR="007D1E74" w14:paraId="65BE22FB" w14:textId="77777777">
        <w:tc>
          <w:tcPr>
            <w:tcW w:w="1250" w:type="pct"/>
            <w:vAlign w:val="center"/>
          </w:tcPr>
          <w:p w14:paraId="12DB7BA9" w14:textId="77777777" w:rsidR="007D1E74" w:rsidRDefault="00A95641">
            <w:pPr>
              <w:jc w:val="center"/>
              <w:rPr>
                <w:rFonts w:cs="Times New Roman"/>
                <w:szCs w:val="21"/>
              </w:rPr>
            </w:pPr>
            <w:r>
              <w:rPr>
                <w:rFonts w:cs="Times New Roman"/>
                <w:kern w:val="0"/>
                <w:szCs w:val="21"/>
              </w:rPr>
              <w:t>森林</w:t>
            </w:r>
          </w:p>
        </w:tc>
        <w:tc>
          <w:tcPr>
            <w:tcW w:w="1250" w:type="pct"/>
            <w:vAlign w:val="center"/>
          </w:tcPr>
          <w:p w14:paraId="0923B6A0" w14:textId="77777777" w:rsidR="007D1E74" w:rsidRDefault="00A95641">
            <w:pPr>
              <w:jc w:val="center"/>
              <w:rPr>
                <w:rFonts w:cs="Times New Roman"/>
                <w:szCs w:val="21"/>
              </w:rPr>
            </w:pPr>
            <w:r>
              <w:rPr>
                <w:rFonts w:cs="Times New Roman"/>
                <w:szCs w:val="21"/>
              </w:rPr>
              <w:t>60.88</w:t>
            </w:r>
          </w:p>
        </w:tc>
        <w:tc>
          <w:tcPr>
            <w:tcW w:w="1250" w:type="pct"/>
            <w:vAlign w:val="center"/>
          </w:tcPr>
          <w:p w14:paraId="3A21BC64" w14:textId="77777777" w:rsidR="007D1E74" w:rsidRDefault="00A95641">
            <w:pPr>
              <w:jc w:val="center"/>
              <w:rPr>
                <w:rFonts w:cs="Times New Roman"/>
                <w:szCs w:val="21"/>
              </w:rPr>
            </w:pPr>
            <w:r>
              <w:rPr>
                <w:rFonts w:cs="Times New Roman"/>
                <w:szCs w:val="21"/>
              </w:rPr>
              <w:t>60.50</w:t>
            </w:r>
          </w:p>
        </w:tc>
        <w:tc>
          <w:tcPr>
            <w:tcW w:w="1250" w:type="pct"/>
            <w:vAlign w:val="center"/>
          </w:tcPr>
          <w:p w14:paraId="3B451EDF" w14:textId="77777777" w:rsidR="007D1E74" w:rsidRDefault="00A95641">
            <w:pPr>
              <w:jc w:val="center"/>
              <w:rPr>
                <w:rFonts w:cs="Times New Roman"/>
                <w:szCs w:val="21"/>
              </w:rPr>
            </w:pPr>
            <w:r>
              <w:rPr>
                <w:rFonts w:cs="Times New Roman"/>
                <w:szCs w:val="21"/>
              </w:rPr>
              <w:t>-0.38</w:t>
            </w:r>
          </w:p>
        </w:tc>
      </w:tr>
      <w:tr w:rsidR="007D1E74" w14:paraId="7E1C47A5" w14:textId="77777777">
        <w:tc>
          <w:tcPr>
            <w:tcW w:w="1250" w:type="pct"/>
            <w:vAlign w:val="center"/>
          </w:tcPr>
          <w:p w14:paraId="4A50EC72" w14:textId="77777777" w:rsidR="007D1E74" w:rsidRDefault="00A95641">
            <w:pPr>
              <w:jc w:val="center"/>
              <w:rPr>
                <w:rFonts w:cs="Times New Roman"/>
                <w:szCs w:val="21"/>
              </w:rPr>
            </w:pPr>
            <w:r>
              <w:rPr>
                <w:rFonts w:cs="Times New Roman"/>
                <w:kern w:val="0"/>
                <w:szCs w:val="21"/>
              </w:rPr>
              <w:t>灌丛</w:t>
            </w:r>
          </w:p>
        </w:tc>
        <w:tc>
          <w:tcPr>
            <w:tcW w:w="1250" w:type="pct"/>
            <w:vAlign w:val="center"/>
          </w:tcPr>
          <w:p w14:paraId="1D8BB585" w14:textId="77777777" w:rsidR="007D1E74" w:rsidRDefault="00A95641">
            <w:pPr>
              <w:jc w:val="center"/>
              <w:rPr>
                <w:rFonts w:cs="Times New Roman"/>
                <w:szCs w:val="21"/>
              </w:rPr>
            </w:pPr>
            <w:r>
              <w:rPr>
                <w:rFonts w:cs="Times New Roman"/>
                <w:szCs w:val="21"/>
              </w:rPr>
              <w:t>3.23</w:t>
            </w:r>
          </w:p>
        </w:tc>
        <w:tc>
          <w:tcPr>
            <w:tcW w:w="1250" w:type="pct"/>
            <w:vAlign w:val="center"/>
          </w:tcPr>
          <w:p w14:paraId="13BF7C92" w14:textId="77777777" w:rsidR="007D1E74" w:rsidRDefault="00A95641">
            <w:pPr>
              <w:jc w:val="center"/>
              <w:rPr>
                <w:rFonts w:cs="Times New Roman"/>
                <w:szCs w:val="21"/>
              </w:rPr>
            </w:pPr>
            <w:r>
              <w:rPr>
                <w:rFonts w:cs="Times New Roman"/>
                <w:szCs w:val="21"/>
              </w:rPr>
              <w:t>3.14</w:t>
            </w:r>
          </w:p>
        </w:tc>
        <w:tc>
          <w:tcPr>
            <w:tcW w:w="1250" w:type="pct"/>
            <w:vAlign w:val="center"/>
          </w:tcPr>
          <w:p w14:paraId="341AAAEE" w14:textId="77777777" w:rsidR="007D1E74" w:rsidRDefault="00A95641">
            <w:pPr>
              <w:jc w:val="center"/>
              <w:rPr>
                <w:rFonts w:cs="Times New Roman"/>
                <w:szCs w:val="21"/>
              </w:rPr>
            </w:pPr>
            <w:r>
              <w:rPr>
                <w:rFonts w:cs="Times New Roman"/>
                <w:szCs w:val="21"/>
              </w:rPr>
              <w:t>-0.09</w:t>
            </w:r>
          </w:p>
        </w:tc>
      </w:tr>
      <w:tr w:rsidR="007D1E74" w14:paraId="4DB60A59" w14:textId="77777777">
        <w:tc>
          <w:tcPr>
            <w:tcW w:w="1250" w:type="pct"/>
            <w:vAlign w:val="center"/>
          </w:tcPr>
          <w:p w14:paraId="1DF58752" w14:textId="77777777" w:rsidR="007D1E74" w:rsidRDefault="00A95641">
            <w:pPr>
              <w:jc w:val="center"/>
              <w:rPr>
                <w:rFonts w:cs="Times New Roman"/>
                <w:szCs w:val="21"/>
              </w:rPr>
            </w:pPr>
            <w:r>
              <w:rPr>
                <w:rFonts w:cs="Times New Roman"/>
                <w:kern w:val="0"/>
                <w:szCs w:val="21"/>
              </w:rPr>
              <w:t>水体</w:t>
            </w:r>
          </w:p>
        </w:tc>
        <w:tc>
          <w:tcPr>
            <w:tcW w:w="1250" w:type="pct"/>
            <w:vAlign w:val="center"/>
          </w:tcPr>
          <w:p w14:paraId="6F550A5C" w14:textId="77777777" w:rsidR="007D1E74" w:rsidRDefault="00A95641">
            <w:pPr>
              <w:jc w:val="center"/>
              <w:rPr>
                <w:rFonts w:cs="Times New Roman"/>
                <w:szCs w:val="21"/>
              </w:rPr>
            </w:pPr>
            <w:r>
              <w:rPr>
                <w:rFonts w:cs="Times New Roman"/>
                <w:szCs w:val="21"/>
              </w:rPr>
              <w:t>2.44</w:t>
            </w:r>
          </w:p>
        </w:tc>
        <w:tc>
          <w:tcPr>
            <w:tcW w:w="1250" w:type="pct"/>
            <w:vAlign w:val="center"/>
          </w:tcPr>
          <w:p w14:paraId="2C7B66C1" w14:textId="77777777" w:rsidR="007D1E74" w:rsidRDefault="00A95641">
            <w:pPr>
              <w:jc w:val="center"/>
              <w:rPr>
                <w:rFonts w:cs="Times New Roman"/>
                <w:szCs w:val="21"/>
              </w:rPr>
            </w:pPr>
            <w:r>
              <w:rPr>
                <w:rFonts w:cs="Times New Roman"/>
                <w:szCs w:val="21"/>
              </w:rPr>
              <w:t>2.43</w:t>
            </w:r>
          </w:p>
        </w:tc>
        <w:tc>
          <w:tcPr>
            <w:tcW w:w="1250" w:type="pct"/>
            <w:vAlign w:val="center"/>
          </w:tcPr>
          <w:p w14:paraId="1521D35B" w14:textId="77777777" w:rsidR="007D1E74" w:rsidRDefault="00A95641">
            <w:pPr>
              <w:jc w:val="center"/>
              <w:rPr>
                <w:rFonts w:cs="Times New Roman"/>
                <w:szCs w:val="21"/>
              </w:rPr>
            </w:pPr>
            <w:r>
              <w:rPr>
                <w:rFonts w:cs="Times New Roman"/>
                <w:szCs w:val="21"/>
              </w:rPr>
              <w:t>-0.01</w:t>
            </w:r>
          </w:p>
        </w:tc>
      </w:tr>
      <w:tr w:rsidR="007D1E74" w14:paraId="6D74F9D6" w14:textId="77777777">
        <w:tc>
          <w:tcPr>
            <w:tcW w:w="1250" w:type="pct"/>
            <w:vAlign w:val="center"/>
          </w:tcPr>
          <w:p w14:paraId="5BB7CC53" w14:textId="77777777" w:rsidR="007D1E74" w:rsidRDefault="00A95641">
            <w:pPr>
              <w:jc w:val="center"/>
              <w:rPr>
                <w:rFonts w:cs="Times New Roman"/>
                <w:szCs w:val="21"/>
              </w:rPr>
            </w:pPr>
            <w:r>
              <w:rPr>
                <w:rFonts w:cs="Times New Roman"/>
                <w:kern w:val="0"/>
                <w:szCs w:val="21"/>
              </w:rPr>
              <w:t>农田</w:t>
            </w:r>
          </w:p>
        </w:tc>
        <w:tc>
          <w:tcPr>
            <w:tcW w:w="1250" w:type="pct"/>
            <w:vAlign w:val="center"/>
          </w:tcPr>
          <w:p w14:paraId="35267DBF" w14:textId="77777777" w:rsidR="007D1E74" w:rsidRDefault="00A95641">
            <w:pPr>
              <w:jc w:val="center"/>
              <w:rPr>
                <w:rFonts w:cs="Times New Roman"/>
                <w:szCs w:val="21"/>
              </w:rPr>
            </w:pPr>
            <w:r>
              <w:rPr>
                <w:rFonts w:cs="Times New Roman"/>
                <w:szCs w:val="21"/>
              </w:rPr>
              <w:t>28.74</w:t>
            </w:r>
          </w:p>
        </w:tc>
        <w:tc>
          <w:tcPr>
            <w:tcW w:w="1250" w:type="pct"/>
            <w:vAlign w:val="center"/>
          </w:tcPr>
          <w:p w14:paraId="20B2C9F4" w14:textId="77777777" w:rsidR="007D1E74" w:rsidRDefault="00A95641">
            <w:pPr>
              <w:jc w:val="center"/>
              <w:rPr>
                <w:rFonts w:cs="Times New Roman"/>
                <w:szCs w:val="21"/>
              </w:rPr>
            </w:pPr>
            <w:r>
              <w:rPr>
                <w:rFonts w:cs="Times New Roman"/>
                <w:szCs w:val="21"/>
              </w:rPr>
              <w:t>28.77</w:t>
            </w:r>
          </w:p>
        </w:tc>
        <w:tc>
          <w:tcPr>
            <w:tcW w:w="1250" w:type="pct"/>
            <w:vAlign w:val="center"/>
          </w:tcPr>
          <w:p w14:paraId="05FA46A6" w14:textId="77777777" w:rsidR="007D1E74" w:rsidRDefault="00A95641">
            <w:pPr>
              <w:jc w:val="center"/>
              <w:rPr>
                <w:rFonts w:cs="Times New Roman"/>
                <w:szCs w:val="21"/>
              </w:rPr>
            </w:pPr>
            <w:r>
              <w:rPr>
                <w:rFonts w:cs="Times New Roman"/>
                <w:szCs w:val="21"/>
              </w:rPr>
              <w:t>+0.03</w:t>
            </w:r>
          </w:p>
        </w:tc>
      </w:tr>
      <w:tr w:rsidR="007D1E74" w14:paraId="2395C715" w14:textId="77777777">
        <w:tc>
          <w:tcPr>
            <w:tcW w:w="1250" w:type="pct"/>
            <w:vAlign w:val="center"/>
          </w:tcPr>
          <w:p w14:paraId="3BA1750A" w14:textId="77777777" w:rsidR="007D1E74" w:rsidRDefault="00A95641">
            <w:pPr>
              <w:jc w:val="center"/>
              <w:rPr>
                <w:rFonts w:cs="Times New Roman"/>
                <w:szCs w:val="21"/>
              </w:rPr>
            </w:pPr>
            <w:r>
              <w:rPr>
                <w:rFonts w:cs="Times New Roman"/>
                <w:kern w:val="0"/>
                <w:szCs w:val="21"/>
              </w:rPr>
              <w:t>建设用地</w:t>
            </w:r>
          </w:p>
        </w:tc>
        <w:tc>
          <w:tcPr>
            <w:tcW w:w="1250" w:type="pct"/>
            <w:vAlign w:val="center"/>
          </w:tcPr>
          <w:p w14:paraId="3C13C27F" w14:textId="77777777" w:rsidR="007D1E74" w:rsidRDefault="00A95641">
            <w:pPr>
              <w:jc w:val="center"/>
              <w:rPr>
                <w:rFonts w:cs="Times New Roman"/>
                <w:szCs w:val="21"/>
              </w:rPr>
            </w:pPr>
            <w:r>
              <w:rPr>
                <w:rFonts w:cs="Times New Roman"/>
                <w:szCs w:val="21"/>
              </w:rPr>
              <w:t>4.71</w:t>
            </w:r>
          </w:p>
        </w:tc>
        <w:tc>
          <w:tcPr>
            <w:tcW w:w="1250" w:type="pct"/>
            <w:vAlign w:val="center"/>
          </w:tcPr>
          <w:p w14:paraId="5D194F03" w14:textId="77777777" w:rsidR="007D1E74" w:rsidRDefault="00A95641">
            <w:pPr>
              <w:jc w:val="center"/>
              <w:rPr>
                <w:rFonts w:cs="Times New Roman"/>
                <w:szCs w:val="21"/>
              </w:rPr>
            </w:pPr>
            <w:r>
              <w:rPr>
                <w:rFonts w:cs="Times New Roman"/>
                <w:szCs w:val="21"/>
              </w:rPr>
              <w:t>5.14</w:t>
            </w:r>
          </w:p>
        </w:tc>
        <w:tc>
          <w:tcPr>
            <w:tcW w:w="1250" w:type="pct"/>
            <w:vAlign w:val="center"/>
          </w:tcPr>
          <w:p w14:paraId="2EF90DDE" w14:textId="77777777" w:rsidR="007D1E74" w:rsidRDefault="00A95641">
            <w:pPr>
              <w:jc w:val="center"/>
              <w:rPr>
                <w:rFonts w:cs="Times New Roman"/>
                <w:szCs w:val="21"/>
              </w:rPr>
            </w:pPr>
            <w:r>
              <w:rPr>
                <w:rFonts w:cs="Times New Roman"/>
                <w:szCs w:val="21"/>
              </w:rPr>
              <w:t>+0.47</w:t>
            </w:r>
          </w:p>
        </w:tc>
      </w:tr>
    </w:tbl>
    <w:p w14:paraId="44032468" w14:textId="77777777" w:rsidR="007D1E74" w:rsidRDefault="00A95641">
      <w:pPr>
        <w:spacing w:line="360" w:lineRule="auto"/>
        <w:ind w:firstLineChars="200" w:firstLine="480"/>
        <w:rPr>
          <w:rFonts w:cs="Times New Roman"/>
          <w:sz w:val="24"/>
          <w:szCs w:val="24"/>
        </w:rPr>
      </w:pPr>
      <w:r>
        <w:rPr>
          <w:rFonts w:cs="Times New Roman" w:hint="eastAsia"/>
          <w:sz w:val="24"/>
          <w:szCs w:val="24"/>
        </w:rPr>
        <w:t>由上表影响预测情况分析，本项目的建设对评价区生态系统面积及比例的改变程度较小，改变比例在</w:t>
      </w:r>
      <w:r>
        <w:rPr>
          <w:rFonts w:cs="Times New Roman" w:hint="eastAsia"/>
          <w:sz w:val="24"/>
          <w:szCs w:val="24"/>
        </w:rPr>
        <w:t>0.35%</w:t>
      </w:r>
      <w:r>
        <w:rPr>
          <w:rFonts w:cs="Times New Roman" w:hint="eastAsia"/>
          <w:sz w:val="24"/>
          <w:szCs w:val="24"/>
        </w:rPr>
        <w:t>以内，到运营期的改变情况更小，仅在</w:t>
      </w:r>
      <w:r>
        <w:rPr>
          <w:rFonts w:cs="Times New Roman" w:hint="eastAsia"/>
          <w:sz w:val="24"/>
          <w:szCs w:val="24"/>
        </w:rPr>
        <w:t>0.05%</w:t>
      </w:r>
      <w:r>
        <w:rPr>
          <w:rFonts w:cs="Times New Roman" w:hint="eastAsia"/>
          <w:sz w:val="24"/>
          <w:szCs w:val="24"/>
        </w:rPr>
        <w:t>以内。</w:t>
      </w:r>
    </w:p>
    <w:p w14:paraId="479870F7" w14:textId="77777777" w:rsidR="007D1E74" w:rsidRDefault="00A95641">
      <w:pPr>
        <w:spacing w:line="360" w:lineRule="auto"/>
        <w:ind w:firstLineChars="200" w:firstLine="480"/>
        <w:rPr>
          <w:rFonts w:cs="Times New Roman"/>
          <w:sz w:val="24"/>
          <w:szCs w:val="24"/>
        </w:rPr>
      </w:pPr>
      <w:r>
        <w:rPr>
          <w:rFonts w:cs="Times New Roman" w:hint="eastAsia"/>
          <w:sz w:val="24"/>
          <w:szCs w:val="24"/>
        </w:rPr>
        <w:t>本项目的建设对评价区景观体系的影响程度也很小，表现在斑块的数量、分布面积和平均斑块面积改变量均较小；本项目的建设较少占用水域和道路，对廊道的地理性质基本无改变，但会影响水质和道路的通行量；对各景观的优势度值改变量也很小，在</w:t>
      </w:r>
      <w:r>
        <w:rPr>
          <w:rFonts w:cs="Times New Roman" w:hint="eastAsia"/>
          <w:sz w:val="24"/>
          <w:szCs w:val="24"/>
        </w:rPr>
        <w:t>0.47%</w:t>
      </w:r>
      <w:r>
        <w:rPr>
          <w:rFonts w:cs="Times New Roman" w:hint="eastAsia"/>
          <w:sz w:val="24"/>
          <w:szCs w:val="24"/>
        </w:rPr>
        <w:t>以内，各景观优势度排序将不会改变，依旧是：森林</w:t>
      </w:r>
      <w:r>
        <w:rPr>
          <w:rFonts w:cs="Times New Roman" w:hint="eastAsia"/>
          <w:sz w:val="24"/>
          <w:szCs w:val="24"/>
        </w:rPr>
        <w:t>&gt;</w:t>
      </w:r>
      <w:r>
        <w:rPr>
          <w:rFonts w:cs="Times New Roman" w:hint="eastAsia"/>
          <w:sz w:val="24"/>
          <w:szCs w:val="24"/>
        </w:rPr>
        <w:t>农田</w:t>
      </w:r>
      <w:r>
        <w:rPr>
          <w:rFonts w:cs="Times New Roman" w:hint="eastAsia"/>
          <w:sz w:val="24"/>
          <w:szCs w:val="24"/>
        </w:rPr>
        <w:t>&gt;</w:t>
      </w:r>
      <w:r>
        <w:rPr>
          <w:rFonts w:cs="Times New Roman" w:hint="eastAsia"/>
          <w:sz w:val="24"/>
          <w:szCs w:val="24"/>
        </w:rPr>
        <w:t>建设用地</w:t>
      </w:r>
      <w:r>
        <w:rPr>
          <w:rFonts w:cs="Times New Roman" w:hint="eastAsia"/>
          <w:sz w:val="24"/>
          <w:szCs w:val="24"/>
        </w:rPr>
        <w:t>&gt;</w:t>
      </w:r>
      <w:r>
        <w:rPr>
          <w:rFonts w:cs="Times New Roman" w:hint="eastAsia"/>
          <w:sz w:val="24"/>
          <w:szCs w:val="24"/>
        </w:rPr>
        <w:t>灌丛</w:t>
      </w:r>
      <w:r>
        <w:rPr>
          <w:rFonts w:cs="Times New Roman" w:hint="eastAsia"/>
          <w:sz w:val="24"/>
          <w:szCs w:val="24"/>
        </w:rPr>
        <w:t>&gt;</w:t>
      </w:r>
      <w:r>
        <w:rPr>
          <w:rFonts w:cs="Times New Roman" w:hint="eastAsia"/>
          <w:sz w:val="24"/>
          <w:szCs w:val="24"/>
        </w:rPr>
        <w:t>水体；本项目的实施不会改变森林和农田景观作为评价区景观基质的地位。</w:t>
      </w:r>
    </w:p>
    <w:p w14:paraId="3E327CA3" w14:textId="77777777" w:rsidR="007D1E74" w:rsidRDefault="00A95641">
      <w:pPr>
        <w:pStyle w:val="afffff7"/>
        <w:ind w:firstLine="482"/>
      </w:pPr>
      <w:r>
        <w:t>3</w:t>
      </w:r>
      <w:r>
        <w:rPr>
          <w:rFonts w:hint="eastAsia"/>
        </w:rPr>
        <w:t>、对生态系统完整性影响预测</w:t>
      </w:r>
    </w:p>
    <w:p w14:paraId="31E448F1" w14:textId="77777777" w:rsidR="007D1E74" w:rsidRDefault="00A95641">
      <w:pPr>
        <w:spacing w:line="360" w:lineRule="auto"/>
        <w:ind w:firstLineChars="200" w:firstLine="480"/>
        <w:rPr>
          <w:rFonts w:cs="Times New Roman"/>
          <w:sz w:val="24"/>
          <w:szCs w:val="24"/>
        </w:rPr>
      </w:pPr>
      <w:r>
        <w:rPr>
          <w:rFonts w:cs="Times New Roman" w:hint="eastAsia"/>
          <w:sz w:val="24"/>
          <w:szCs w:val="24"/>
        </w:rPr>
        <w:t>生态系统完整性是在生物完整性概念的基础上发展起来的，且因“系统”的特性，其内涵更加丰富。从系统的角度考察完整性，包括三个层次：一是组成系统的成分是否</w:t>
      </w:r>
      <w:r>
        <w:rPr>
          <w:rFonts w:cs="Times New Roman" w:hint="eastAsia"/>
          <w:sz w:val="24"/>
          <w:szCs w:val="24"/>
        </w:rPr>
        <w:lastRenderedPageBreak/>
        <w:t>完整，即系统是否具有本生的全部物种，二是系统的组织结构是否完整，三是系统的功能是否健康。</w:t>
      </w:r>
    </w:p>
    <w:p w14:paraId="1DCF0338" w14:textId="77777777" w:rsidR="007D1E74" w:rsidRDefault="00A95641">
      <w:pPr>
        <w:spacing w:line="360" w:lineRule="auto"/>
        <w:ind w:firstLineChars="200" w:firstLine="480"/>
        <w:rPr>
          <w:rFonts w:cs="Times New Roman"/>
          <w:sz w:val="24"/>
          <w:szCs w:val="24"/>
        </w:rPr>
      </w:pPr>
      <w:r>
        <w:rPr>
          <w:rFonts w:cs="Times New Roman" w:hint="eastAsia"/>
          <w:sz w:val="24"/>
          <w:szCs w:val="24"/>
        </w:rPr>
        <w:t>从第一个层次来看，本项目的建设侵占了部分的森林生态系统、湿地生态系统和农田生态系统等，但生态系统内的组成未发生大的改变，因此生态系统组成成分完整。</w:t>
      </w:r>
    </w:p>
    <w:p w14:paraId="29BB41A1" w14:textId="77777777" w:rsidR="007D1E74" w:rsidRDefault="00A95641">
      <w:pPr>
        <w:spacing w:line="360" w:lineRule="auto"/>
        <w:ind w:firstLineChars="200" w:firstLine="480"/>
        <w:rPr>
          <w:rFonts w:cs="Times New Roman"/>
          <w:sz w:val="24"/>
          <w:szCs w:val="24"/>
        </w:rPr>
      </w:pPr>
      <w:r>
        <w:rPr>
          <w:rFonts w:cs="Times New Roman" w:hint="eastAsia"/>
          <w:sz w:val="24"/>
          <w:szCs w:val="24"/>
        </w:rPr>
        <w:t>从第二个层次来看，除占地区域内的植物种群数量发生不明显的减少外，生态系统的绝大部分区域原有生境不变，以这一生境为依托的动植物关系、生物与非生物环境关系、食物链及能流渠道都没有发生变化，因此生态系统总体的组织结构仍然完整。</w:t>
      </w:r>
    </w:p>
    <w:p w14:paraId="0FD17F81" w14:textId="77777777" w:rsidR="007D1E74" w:rsidRDefault="00A95641">
      <w:pPr>
        <w:spacing w:line="360" w:lineRule="auto"/>
        <w:ind w:firstLineChars="200" w:firstLine="480"/>
        <w:rPr>
          <w:rFonts w:cs="Times New Roman"/>
          <w:sz w:val="24"/>
          <w:szCs w:val="24"/>
        </w:rPr>
      </w:pPr>
      <w:r>
        <w:rPr>
          <w:rFonts w:cs="Times New Roman" w:hint="eastAsia"/>
          <w:sz w:val="24"/>
          <w:szCs w:val="24"/>
        </w:rPr>
        <w:t>从第三个层次来看，本项目建设仅对评价区生态系统的局部区域带来侵占和干扰影响，且未线性干扰，直接侵占区域面积占生态系统面积的比例较小，并未导致整个生态系统功能的崩溃，生态系统仍然具有良好的自我调控能力。</w:t>
      </w:r>
    </w:p>
    <w:p w14:paraId="73152C4F" w14:textId="77777777" w:rsidR="007D1E74" w:rsidRDefault="00A95641">
      <w:pPr>
        <w:spacing w:line="360" w:lineRule="auto"/>
        <w:ind w:firstLineChars="200" w:firstLine="480"/>
        <w:rPr>
          <w:rFonts w:cs="Times New Roman"/>
          <w:sz w:val="24"/>
          <w:szCs w:val="24"/>
        </w:rPr>
      </w:pPr>
      <w:r>
        <w:rPr>
          <w:rFonts w:cs="Times New Roman" w:hint="eastAsia"/>
          <w:sz w:val="24"/>
          <w:szCs w:val="24"/>
        </w:rPr>
        <w:t>综上所述，本项目对生态系统完整性的影响评价为“小”。</w:t>
      </w:r>
    </w:p>
    <w:p w14:paraId="0E51D899" w14:textId="77777777" w:rsidR="007D1E74" w:rsidRDefault="00A95641">
      <w:pPr>
        <w:pStyle w:val="a9"/>
      </w:pPr>
      <w:r>
        <w:rPr>
          <w:rFonts w:hint="eastAsia"/>
        </w:rPr>
        <w:t>陆生生态影响减免和补偿措施</w:t>
      </w:r>
    </w:p>
    <w:p w14:paraId="74EF2FD5" w14:textId="77777777" w:rsidR="007D1E74" w:rsidRDefault="00A95641">
      <w:pPr>
        <w:pStyle w:val="aa"/>
      </w:pPr>
      <w:r>
        <w:rPr>
          <w:rFonts w:hint="eastAsia"/>
        </w:rPr>
        <w:t>景观生态体系的保护与减免措施</w:t>
      </w:r>
    </w:p>
    <w:p w14:paraId="170AFECF" w14:textId="77777777" w:rsidR="007D1E74" w:rsidRDefault="00A95641">
      <w:pPr>
        <w:spacing w:line="360" w:lineRule="auto"/>
        <w:ind w:firstLineChars="200" w:firstLine="480"/>
        <w:rPr>
          <w:rFonts w:cs="Times New Roman"/>
          <w:sz w:val="24"/>
          <w:szCs w:val="24"/>
        </w:rPr>
      </w:pPr>
      <w:r>
        <w:rPr>
          <w:rFonts w:cs="Times New Roman" w:hint="eastAsia"/>
          <w:sz w:val="24"/>
          <w:szCs w:val="24"/>
        </w:rPr>
        <w:t>景观生态体系是一个紧密联系的动态体系。生态破坏可以理解为生态体系的结构发生变化，功能退化或丧失，其具体表现可以是生态系统、生境和物种等三方面的多样性丧失，或生物生产力下降，或空间异质性下降。生态恢复是在施工迹地上采取一定的工程措施以减弱管线、阀室建设给景观生态体系带来的扰动，尽可能让其恢复到管线、阀室修建之前的水平，即恢复系统合理的结构、高效的功能和协调的关系，恢复生态系统、生境和物种等三方面的多样性，或使生物生产力和空间异质性恢复到原先的状态。但是，由于自然条件的复杂性以及人类社会对自然资源利用的取向影响，生态恢复并不意味着总能或必须使生态系统恢复到原先的状态。生态恢复最本质的目的是使生态系统重新处于相对稳定的状态。</w:t>
      </w:r>
    </w:p>
    <w:p w14:paraId="1BDE0B91" w14:textId="77777777" w:rsidR="007D1E74" w:rsidRDefault="00A95641">
      <w:pPr>
        <w:spacing w:line="360" w:lineRule="auto"/>
        <w:ind w:firstLineChars="200" w:firstLine="480"/>
        <w:rPr>
          <w:rFonts w:cs="Times New Roman"/>
          <w:sz w:val="24"/>
          <w:szCs w:val="24"/>
        </w:rPr>
      </w:pPr>
      <w:r>
        <w:rPr>
          <w:rFonts w:cs="Times New Roman" w:hint="eastAsia"/>
          <w:sz w:val="24"/>
          <w:szCs w:val="24"/>
        </w:rPr>
        <w:t>具体应该在施工结束后，从斑块、廊道、基质等方面进行恢复工作：</w:t>
      </w:r>
    </w:p>
    <w:p w14:paraId="306E6E47" w14:textId="77777777" w:rsidR="007D1E74" w:rsidRDefault="00A95641">
      <w:pPr>
        <w:pStyle w:val="afffff7"/>
        <w:ind w:firstLine="482"/>
      </w:pPr>
      <w:r>
        <w:rPr>
          <w:rFonts w:hint="eastAsia"/>
        </w:rPr>
        <w:t>1</w:t>
      </w:r>
      <w:r>
        <w:t>、</w:t>
      </w:r>
      <w:r>
        <w:rPr>
          <w:rFonts w:hint="eastAsia"/>
        </w:rPr>
        <w:t>斑块</w:t>
      </w:r>
    </w:p>
    <w:p w14:paraId="178960E7" w14:textId="77777777" w:rsidR="007D1E74" w:rsidRDefault="00A95641">
      <w:pPr>
        <w:spacing w:line="360" w:lineRule="auto"/>
        <w:ind w:firstLineChars="200" w:firstLine="480"/>
        <w:rPr>
          <w:rFonts w:cs="Times New Roman"/>
          <w:sz w:val="24"/>
          <w:szCs w:val="24"/>
        </w:rPr>
      </w:pPr>
      <w:r>
        <w:rPr>
          <w:rFonts w:cs="Times New Roman" w:hint="eastAsia"/>
          <w:sz w:val="24"/>
          <w:szCs w:val="24"/>
        </w:rPr>
        <w:t>从斑块的角度讲，管线、阀室修建后导致评价区斑块类型、面积发生了改变，斑块破碎化程度加大。恢复工作应该对除永久占地以外的所有施工迹地按原有植被类型进行恢复，以减少斑块类型改变和转化的面积。对施工迹地如临时堆场等裸露地要进行平整和植被恢复，以利于被分割破碎化的拼块能够重新合并，以降低项目施工给斑块破碎化带来的影响。</w:t>
      </w:r>
    </w:p>
    <w:p w14:paraId="0C573FDC" w14:textId="77777777" w:rsidR="007D1E74" w:rsidRDefault="00A95641">
      <w:pPr>
        <w:pStyle w:val="afffff7"/>
        <w:ind w:firstLine="482"/>
      </w:pPr>
      <w:r>
        <w:rPr>
          <w:rFonts w:hint="eastAsia"/>
        </w:rPr>
        <w:lastRenderedPageBreak/>
        <w:t>2</w:t>
      </w:r>
      <w:r>
        <w:rPr>
          <w:rFonts w:hint="eastAsia"/>
        </w:rPr>
        <w:t>、廊道</w:t>
      </w:r>
    </w:p>
    <w:p w14:paraId="0A398868" w14:textId="77777777" w:rsidR="007D1E74" w:rsidRDefault="00A95641">
      <w:pPr>
        <w:spacing w:line="360" w:lineRule="auto"/>
        <w:ind w:firstLineChars="200" w:firstLine="480"/>
        <w:rPr>
          <w:rFonts w:cs="Times New Roman"/>
          <w:sz w:val="24"/>
          <w:szCs w:val="24"/>
        </w:rPr>
      </w:pPr>
      <w:r>
        <w:rPr>
          <w:rFonts w:cs="Times New Roman" w:hint="eastAsia"/>
          <w:sz w:val="24"/>
          <w:szCs w:val="24"/>
        </w:rPr>
        <w:t>管线施工期间，产生新的线状廊道。这些新的廊道的产生加强了对景观的切割作用，原有的物流、能流部分被中断。</w:t>
      </w:r>
    </w:p>
    <w:p w14:paraId="5C32BB12" w14:textId="77777777" w:rsidR="007D1E74" w:rsidRDefault="00A95641">
      <w:pPr>
        <w:spacing w:line="360" w:lineRule="auto"/>
        <w:ind w:firstLineChars="200" w:firstLine="480"/>
        <w:rPr>
          <w:rFonts w:cs="Times New Roman"/>
          <w:sz w:val="24"/>
          <w:szCs w:val="24"/>
        </w:rPr>
      </w:pPr>
      <w:r>
        <w:rPr>
          <w:rFonts w:cs="Times New Roman" w:hint="eastAsia"/>
          <w:sz w:val="24"/>
          <w:szCs w:val="24"/>
        </w:rPr>
        <w:t>在施工后尽快对填埋后的表土进行必要的松土、撒播草本种子，加速管线表土植被恢复，削弱其切割功能。</w:t>
      </w:r>
    </w:p>
    <w:p w14:paraId="213F91B5" w14:textId="77777777" w:rsidR="007D1E74" w:rsidRDefault="00A95641">
      <w:pPr>
        <w:pStyle w:val="afffff7"/>
        <w:ind w:firstLine="482"/>
      </w:pPr>
      <w:r>
        <w:t>3</w:t>
      </w:r>
      <w:r>
        <w:rPr>
          <w:rFonts w:hint="eastAsia"/>
        </w:rPr>
        <w:t>、基质</w:t>
      </w:r>
    </w:p>
    <w:p w14:paraId="1EC5A360" w14:textId="77777777" w:rsidR="007D1E74" w:rsidRDefault="00A95641">
      <w:pPr>
        <w:spacing w:line="360" w:lineRule="auto"/>
        <w:ind w:firstLineChars="200" w:firstLine="480"/>
        <w:rPr>
          <w:rFonts w:cs="Times New Roman"/>
          <w:sz w:val="24"/>
          <w:szCs w:val="24"/>
        </w:rPr>
      </w:pPr>
      <w:r>
        <w:rPr>
          <w:rFonts w:cs="Times New Roman" w:hint="eastAsia"/>
          <w:sz w:val="24"/>
          <w:szCs w:val="24"/>
        </w:rPr>
        <w:t>本项目对基质改变不大，施工结束后，耕地复耕，对其余施工迹地进行平整，恢复为小灌木林地。</w:t>
      </w:r>
    </w:p>
    <w:p w14:paraId="1F194C74" w14:textId="77777777" w:rsidR="007D1E74" w:rsidRDefault="00A95641">
      <w:pPr>
        <w:pStyle w:val="aa"/>
      </w:pPr>
      <w:r>
        <w:rPr>
          <w:rFonts w:hint="eastAsia"/>
        </w:rPr>
        <w:t>陆生植物和植被影响的防护与恢复</w:t>
      </w:r>
    </w:p>
    <w:p w14:paraId="2896C8EC" w14:textId="77777777" w:rsidR="007D1E74" w:rsidRDefault="00A95641">
      <w:pPr>
        <w:spacing w:line="360" w:lineRule="auto"/>
        <w:ind w:firstLineChars="200" w:firstLine="480"/>
        <w:rPr>
          <w:rFonts w:cs="Times New Roman"/>
          <w:sz w:val="24"/>
          <w:szCs w:val="24"/>
        </w:rPr>
      </w:pPr>
      <w:r>
        <w:rPr>
          <w:rFonts w:cs="Times New Roman" w:hint="eastAsia"/>
          <w:sz w:val="24"/>
          <w:szCs w:val="24"/>
        </w:rPr>
        <w:t>管线、阀室处于施工期，是对植物、植被影响最大的时期。管线、阀室运营期几乎不会对植物产生影响，所以保护与恢复措施主要针对施工期，以最大程度降低植物、植被受管线、阀室建设的影响。</w:t>
      </w:r>
    </w:p>
    <w:p w14:paraId="3BA6C3DA" w14:textId="77777777" w:rsidR="007D1E74" w:rsidRDefault="00A95641">
      <w:pPr>
        <w:pStyle w:val="afffff7"/>
        <w:ind w:firstLine="482"/>
      </w:pPr>
      <w:r>
        <w:rPr>
          <w:rFonts w:hint="eastAsia"/>
        </w:rPr>
        <w:t>1</w:t>
      </w:r>
      <w:r>
        <w:rPr>
          <w:rFonts w:hint="eastAsia"/>
        </w:rPr>
        <w:t>、加强优化工程设计方案</w:t>
      </w:r>
    </w:p>
    <w:p w14:paraId="07B44BEE" w14:textId="77777777" w:rsidR="007D1E74" w:rsidRDefault="00A95641">
      <w:pPr>
        <w:spacing w:line="360" w:lineRule="auto"/>
        <w:ind w:firstLineChars="200" w:firstLine="480"/>
        <w:rPr>
          <w:rFonts w:cs="Times New Roman"/>
          <w:sz w:val="24"/>
          <w:szCs w:val="24"/>
        </w:rPr>
      </w:pPr>
      <w:r>
        <w:rPr>
          <w:rFonts w:cs="Times New Roman" w:hint="eastAsia"/>
          <w:sz w:val="24"/>
          <w:szCs w:val="24"/>
        </w:rPr>
        <w:t>这是工程动工前不容忽视的一个环节，对环境保护而言在施工阶段加以考虑往往也能起到事半功倍的效果。在项目动工以前，通过方案比选和方案优化，使施工线路走向、临时堆料场和施工道路等布局更为合理，这是对植物和植被保护极为重要的环节。</w:t>
      </w:r>
    </w:p>
    <w:p w14:paraId="2AD192C0" w14:textId="77777777" w:rsidR="007D1E74" w:rsidRDefault="00A95641">
      <w:pPr>
        <w:spacing w:line="360" w:lineRule="auto"/>
        <w:ind w:firstLineChars="200" w:firstLine="480"/>
        <w:rPr>
          <w:rFonts w:cs="Times New Roman"/>
          <w:sz w:val="24"/>
          <w:szCs w:val="24"/>
        </w:rPr>
      </w:pPr>
      <w:r>
        <w:rPr>
          <w:rFonts w:cs="Times New Roman" w:hint="eastAsia"/>
          <w:sz w:val="24"/>
          <w:szCs w:val="24"/>
        </w:rPr>
        <w:t>根据当地地形划定最小的施工作业区域，把施工活动限定在一个尽可能小的范围内，严禁施工人员和器械超出施工区域对工地周边的植被、植物物种造成破坏。严禁施工材料乱堆乱放，对施工垃圾应该统一处理，以免影响植物物种的生长。</w:t>
      </w:r>
    </w:p>
    <w:p w14:paraId="44F78673" w14:textId="77777777" w:rsidR="007D1E74" w:rsidRDefault="00A95641">
      <w:pPr>
        <w:pStyle w:val="afffff7"/>
        <w:ind w:firstLine="482"/>
      </w:pPr>
      <w:r>
        <w:t>2</w:t>
      </w:r>
      <w:r>
        <w:rPr>
          <w:rFonts w:hint="eastAsia"/>
        </w:rPr>
        <w:t>、临时占地施工结束后，积极进行植被恢复工作</w:t>
      </w:r>
    </w:p>
    <w:p w14:paraId="66EDB42E" w14:textId="77777777" w:rsidR="007D1E74" w:rsidRDefault="00A95641">
      <w:pPr>
        <w:spacing w:line="360" w:lineRule="auto"/>
        <w:ind w:firstLineChars="200" w:firstLine="480"/>
        <w:rPr>
          <w:rFonts w:cs="Times New Roman"/>
          <w:sz w:val="24"/>
          <w:szCs w:val="24"/>
        </w:rPr>
      </w:pPr>
      <w:r>
        <w:rPr>
          <w:rFonts w:cs="Times New Roman" w:hint="eastAsia"/>
          <w:sz w:val="24"/>
          <w:szCs w:val="24"/>
        </w:rPr>
        <w:t>施工结束后，应该积极开展植被恢复工作。评价区地处盆地东北，气候温暖湿润，具有进行植被恢复的有利条件。</w:t>
      </w:r>
    </w:p>
    <w:p w14:paraId="482630B6" w14:textId="77777777" w:rsidR="007D1E74" w:rsidRDefault="00A95641">
      <w:pPr>
        <w:spacing w:line="360" w:lineRule="auto"/>
        <w:ind w:firstLineChars="200" w:firstLine="480"/>
        <w:rPr>
          <w:rFonts w:cs="Times New Roman"/>
          <w:sz w:val="24"/>
          <w:szCs w:val="24"/>
        </w:rPr>
      </w:pPr>
      <w:r>
        <w:rPr>
          <w:rFonts w:cs="Times New Roman" w:hint="eastAsia"/>
          <w:sz w:val="24"/>
          <w:szCs w:val="24"/>
        </w:rPr>
        <w:t>植被恢复工作包括所有施工迹地，主要是临时堆料场和施工道路。其处理措施如下：</w:t>
      </w:r>
    </w:p>
    <w:p w14:paraId="7C279473" w14:textId="77777777" w:rsidR="007D1E74" w:rsidRDefault="00A95641">
      <w:pPr>
        <w:spacing w:line="360" w:lineRule="auto"/>
        <w:ind w:firstLineChars="200" w:firstLine="480"/>
        <w:rPr>
          <w:rFonts w:cs="Times New Roman"/>
          <w:sz w:val="24"/>
          <w:szCs w:val="24"/>
        </w:rPr>
      </w:pPr>
      <w:r>
        <w:rPr>
          <w:rFonts w:cs="Times New Roman" w:hint="eastAsia"/>
          <w:sz w:val="24"/>
          <w:szCs w:val="24"/>
        </w:rPr>
        <w:t>临时堆料场稳定性差，为防止松滑、垮塌，同时再塑原有景观，应采取工程和植物措施相结合的方式进行防护和美化。</w:t>
      </w:r>
    </w:p>
    <w:p w14:paraId="1576F3EB" w14:textId="77777777" w:rsidR="007D1E74" w:rsidRDefault="00A95641">
      <w:pPr>
        <w:spacing w:line="360" w:lineRule="auto"/>
        <w:ind w:firstLineChars="200" w:firstLine="480"/>
        <w:rPr>
          <w:rFonts w:cs="Times New Roman"/>
          <w:sz w:val="24"/>
          <w:szCs w:val="24"/>
        </w:rPr>
      </w:pPr>
      <w:r>
        <w:rPr>
          <w:rFonts w:cs="Times New Roman" w:hint="eastAsia"/>
          <w:sz w:val="24"/>
          <w:szCs w:val="24"/>
        </w:rPr>
        <w:t>表土应尽量利用，施工结束后应做好场地平整措施，使堆场边界与周围地形自然连接，减少人工痕迹。地面上进行覆土、翻松，并种植灌草，植草种类应选择与周围环境相适应的当地常见、适生的乡土物种。</w:t>
      </w:r>
    </w:p>
    <w:p w14:paraId="0F7846D4" w14:textId="77777777" w:rsidR="007D1E74" w:rsidRDefault="00A95641">
      <w:pPr>
        <w:pStyle w:val="afffff7"/>
        <w:ind w:firstLine="482"/>
      </w:pPr>
      <w:r>
        <w:t>3</w:t>
      </w:r>
      <w:r>
        <w:rPr>
          <w:rFonts w:hint="eastAsia"/>
        </w:rPr>
        <w:t>、减少粉尘对植物生长环境的影响</w:t>
      </w:r>
    </w:p>
    <w:p w14:paraId="1441FF4C" w14:textId="77777777" w:rsidR="007D1E74" w:rsidRDefault="00A95641">
      <w:pPr>
        <w:spacing w:line="360" w:lineRule="auto"/>
        <w:ind w:firstLineChars="200" w:firstLine="480"/>
        <w:rPr>
          <w:rFonts w:cs="Times New Roman"/>
          <w:sz w:val="24"/>
          <w:szCs w:val="24"/>
        </w:rPr>
      </w:pPr>
      <w:r>
        <w:rPr>
          <w:rFonts w:cs="Times New Roman" w:hint="eastAsia"/>
          <w:sz w:val="24"/>
          <w:szCs w:val="24"/>
        </w:rPr>
        <w:lastRenderedPageBreak/>
        <w:t>工程施工过程中产生的粉尘随风飘散，降低评价区周围的环境质量及植物的生长环境。为防止工地尘土飞扬，给植物生长和植被生境带来不利影响，各个施工工地内应配备洒水车定时洒水，防止产生大量粉尘。</w:t>
      </w:r>
    </w:p>
    <w:p w14:paraId="42EBB6A3" w14:textId="77777777" w:rsidR="007D1E74" w:rsidRDefault="00A95641">
      <w:pPr>
        <w:pStyle w:val="afffff7"/>
        <w:ind w:firstLine="482"/>
      </w:pPr>
      <w:r>
        <w:t>4</w:t>
      </w:r>
      <w:r>
        <w:rPr>
          <w:rFonts w:hint="eastAsia"/>
        </w:rPr>
        <w:t>、永久建筑物的绿化、美化措施</w:t>
      </w:r>
    </w:p>
    <w:p w14:paraId="67CA759C" w14:textId="77777777" w:rsidR="007D1E74" w:rsidRDefault="00A95641">
      <w:pPr>
        <w:spacing w:line="360" w:lineRule="auto"/>
        <w:ind w:firstLineChars="200" w:firstLine="480"/>
        <w:rPr>
          <w:rFonts w:cs="Times New Roman"/>
          <w:sz w:val="24"/>
          <w:szCs w:val="24"/>
        </w:rPr>
      </w:pPr>
      <w:r>
        <w:rPr>
          <w:rFonts w:cs="Times New Roman" w:hint="eastAsia"/>
          <w:sz w:val="24"/>
          <w:szCs w:val="24"/>
        </w:rPr>
        <w:t>为使阀室设计与评价区域的整体自然景观和环境相协调，应加强周边的绿化和美化，其风格、色彩和材料等要尽量使其与当地环境协调，与当地环境融为一体。</w:t>
      </w:r>
    </w:p>
    <w:p w14:paraId="5D0EDF2D" w14:textId="77777777" w:rsidR="007D1E74" w:rsidRDefault="00A95641">
      <w:pPr>
        <w:pStyle w:val="afffff7"/>
        <w:ind w:firstLine="482"/>
      </w:pPr>
      <w:r>
        <w:t>5</w:t>
      </w:r>
      <w:r>
        <w:rPr>
          <w:rFonts w:hint="eastAsia"/>
        </w:rPr>
        <w:t>、植物物种选择</w:t>
      </w:r>
    </w:p>
    <w:p w14:paraId="1E94A4B4" w14:textId="77777777" w:rsidR="007D1E74" w:rsidRDefault="00A95641">
      <w:pPr>
        <w:spacing w:line="360" w:lineRule="auto"/>
        <w:ind w:firstLineChars="200" w:firstLine="480"/>
        <w:rPr>
          <w:rFonts w:cs="Times New Roman"/>
          <w:sz w:val="24"/>
          <w:szCs w:val="24"/>
        </w:rPr>
      </w:pPr>
      <w:r>
        <w:rPr>
          <w:rFonts w:cs="Times New Roman" w:hint="eastAsia"/>
          <w:sz w:val="24"/>
          <w:szCs w:val="24"/>
        </w:rPr>
        <w:t>针对各类施工迹地恢复和绿化、美化，本报告推荐了一些具有经济、观赏价值，速生、固土作用强的植物，为后期施工迹地恢复和水土保持工作提供参考。</w:t>
      </w:r>
    </w:p>
    <w:p w14:paraId="477F61AF" w14:textId="77777777" w:rsidR="007D1E74" w:rsidRDefault="00A95641">
      <w:pPr>
        <w:spacing w:line="360" w:lineRule="auto"/>
        <w:ind w:firstLineChars="200" w:firstLine="480"/>
        <w:rPr>
          <w:rFonts w:cs="Times New Roman"/>
          <w:sz w:val="24"/>
          <w:szCs w:val="24"/>
        </w:rPr>
      </w:pPr>
      <w:r>
        <w:rPr>
          <w:rFonts w:cs="Times New Roman" w:hint="eastAsia"/>
          <w:sz w:val="24"/>
          <w:szCs w:val="24"/>
        </w:rPr>
        <w:t>通江县属于四川盆地中亚热带湿润季风气候区，在借鉴四川盆地东北巴中、广元、南充所辖各县（区、市）工程后期绿化经验的基础上，同时考虑经济性、速生性、原生性、美观性、安全性、地域性等多方面因素和水库所处的海拔地理环境，本报告推荐主要绿化植物如下：</w:t>
      </w:r>
    </w:p>
    <w:p w14:paraId="7CD35DAC" w14:textId="77777777" w:rsidR="007D1E74" w:rsidRDefault="00A95641">
      <w:pPr>
        <w:spacing w:line="360" w:lineRule="auto"/>
        <w:ind w:firstLineChars="200" w:firstLine="480"/>
        <w:rPr>
          <w:rFonts w:cs="Times New Roman"/>
          <w:sz w:val="24"/>
          <w:szCs w:val="24"/>
        </w:rPr>
      </w:pPr>
      <w:r>
        <w:rPr>
          <w:rFonts w:cs="Times New Roman" w:hint="eastAsia"/>
          <w:sz w:val="24"/>
          <w:szCs w:val="24"/>
        </w:rPr>
        <w:t>乔木：银杏、水杉、杨树、桤木、喜树、马尾松、红豆杉、池杉、柏木、樟、油樟、银木、天竺桂、小叶榕、黄葛树等适生种类进行植被恢复和绿化。</w:t>
      </w:r>
    </w:p>
    <w:p w14:paraId="53BD8D4A" w14:textId="77777777" w:rsidR="007D1E74" w:rsidRDefault="00A95641">
      <w:pPr>
        <w:spacing w:line="360" w:lineRule="auto"/>
        <w:ind w:firstLineChars="200" w:firstLine="480"/>
        <w:rPr>
          <w:rFonts w:cs="Times New Roman"/>
          <w:sz w:val="24"/>
          <w:szCs w:val="24"/>
        </w:rPr>
      </w:pPr>
      <w:r>
        <w:rPr>
          <w:rFonts w:cs="Times New Roman" w:hint="eastAsia"/>
          <w:sz w:val="24"/>
          <w:szCs w:val="24"/>
        </w:rPr>
        <w:t>灌木：桂花、日本晚樱、红叶石楠、红花檵木、光叶海桐、黄荆、马桑、火棘、粉团蔷薇、野蔷薇、月季花、木香花、小叶女贞、棣棠花等灌木植物进行植被恢复和绿化。</w:t>
      </w:r>
    </w:p>
    <w:p w14:paraId="29E228D3" w14:textId="77777777" w:rsidR="007D1E74" w:rsidRDefault="00A95641">
      <w:pPr>
        <w:spacing w:line="360" w:lineRule="auto"/>
        <w:ind w:firstLineChars="200" w:firstLine="480"/>
        <w:rPr>
          <w:rFonts w:cs="Times New Roman"/>
          <w:sz w:val="24"/>
          <w:szCs w:val="24"/>
        </w:rPr>
      </w:pPr>
      <w:r>
        <w:rPr>
          <w:rFonts w:cs="Times New Roman" w:hint="eastAsia"/>
          <w:sz w:val="24"/>
          <w:szCs w:val="24"/>
        </w:rPr>
        <w:t>草本：白茅、斑茅、芒、扁穗牛鞭草、多花黑麦草、三色堇、葱莲、诸葛菜、肾蕨、大花型菊科植物等物种进行植被恢复和绿化。</w:t>
      </w:r>
    </w:p>
    <w:p w14:paraId="6444F16E" w14:textId="77777777" w:rsidR="007D1E74" w:rsidRDefault="00A95641">
      <w:pPr>
        <w:spacing w:line="360" w:lineRule="auto"/>
        <w:ind w:firstLineChars="200" w:firstLine="480"/>
        <w:rPr>
          <w:rFonts w:cs="Times New Roman"/>
          <w:sz w:val="24"/>
          <w:szCs w:val="24"/>
        </w:rPr>
      </w:pPr>
      <w:r>
        <w:rPr>
          <w:rFonts w:cs="Times New Roman" w:hint="eastAsia"/>
          <w:sz w:val="24"/>
          <w:szCs w:val="24"/>
        </w:rPr>
        <w:t>这些植物种类都是当地的原生种、适生物种或经济物种，适应当地的气候、土壤条件，又有一定的观赏价值或经济价值，或具有良好的水土保持作用，在确定栽种乔木的前提下按照灌、草的不同搭配可以形成不同的植被恢复组合，起到较好的植被恢复和景观打造效果。</w:t>
      </w:r>
    </w:p>
    <w:p w14:paraId="43EEED71" w14:textId="77777777" w:rsidR="007D1E74" w:rsidRDefault="00A95641">
      <w:pPr>
        <w:spacing w:line="360" w:lineRule="auto"/>
        <w:ind w:firstLineChars="200" w:firstLine="480"/>
        <w:rPr>
          <w:rFonts w:cs="Times New Roman"/>
          <w:sz w:val="24"/>
          <w:szCs w:val="24"/>
        </w:rPr>
      </w:pPr>
      <w:r>
        <w:rPr>
          <w:rFonts w:cs="Times New Roman" w:hint="eastAsia"/>
          <w:sz w:val="24"/>
          <w:szCs w:val="24"/>
        </w:rPr>
        <w:t>由于天然气</w:t>
      </w:r>
      <w:r>
        <w:rPr>
          <w:rFonts w:cs="Times New Roman"/>
          <w:sz w:val="24"/>
          <w:szCs w:val="24"/>
        </w:rPr>
        <w:t>体管线的特殊性，建议以栽植灌木草本为主，灌苗栽植的间距为</w:t>
      </w:r>
      <w:r>
        <w:rPr>
          <w:rFonts w:cs="Times New Roman"/>
          <w:sz w:val="24"/>
          <w:szCs w:val="24"/>
        </w:rPr>
        <w:t>1</w:t>
      </w:r>
      <w:r>
        <w:rPr>
          <w:rFonts w:cs="Times New Roman" w:hint="eastAsia"/>
          <w:sz w:val="24"/>
          <w:szCs w:val="24"/>
        </w:rPr>
        <w:t>~</w:t>
      </w:r>
      <w:r>
        <w:rPr>
          <w:rFonts w:cs="Times New Roman"/>
          <w:sz w:val="24"/>
          <w:szCs w:val="24"/>
        </w:rPr>
        <w:t>2m</w:t>
      </w:r>
      <w:r>
        <w:rPr>
          <w:rFonts w:cs="Times New Roman"/>
          <w:sz w:val="24"/>
          <w:szCs w:val="24"/>
        </w:rPr>
        <w:t>，草本中大型草本栽植距离为</w:t>
      </w:r>
      <w:r>
        <w:rPr>
          <w:rFonts w:cs="Times New Roman"/>
          <w:sz w:val="24"/>
          <w:szCs w:val="24"/>
        </w:rPr>
        <w:t>0.5</w:t>
      </w:r>
      <w:r>
        <w:rPr>
          <w:rFonts w:cs="Times New Roman" w:hint="eastAsia"/>
          <w:sz w:val="24"/>
          <w:szCs w:val="24"/>
        </w:rPr>
        <w:t>~</w:t>
      </w:r>
      <w:r>
        <w:rPr>
          <w:rFonts w:cs="Times New Roman"/>
          <w:sz w:val="24"/>
          <w:szCs w:val="24"/>
        </w:rPr>
        <w:t>1m</w:t>
      </w:r>
      <w:r>
        <w:rPr>
          <w:rFonts w:cs="Times New Roman"/>
          <w:sz w:val="24"/>
          <w:szCs w:val="24"/>
        </w:rPr>
        <w:t>，小型草本栽植的距离为</w:t>
      </w:r>
      <w:r>
        <w:rPr>
          <w:rFonts w:cs="Times New Roman"/>
          <w:sz w:val="24"/>
          <w:szCs w:val="24"/>
        </w:rPr>
        <w:t>0.2</w:t>
      </w:r>
      <w:r>
        <w:rPr>
          <w:rFonts w:cs="Times New Roman" w:hint="eastAsia"/>
          <w:sz w:val="24"/>
          <w:szCs w:val="24"/>
        </w:rPr>
        <w:t>~</w:t>
      </w:r>
      <w:r>
        <w:rPr>
          <w:rFonts w:cs="Times New Roman"/>
          <w:sz w:val="24"/>
          <w:szCs w:val="24"/>
        </w:rPr>
        <w:t>0.3m×0.15</w:t>
      </w:r>
      <w:r>
        <w:rPr>
          <w:rFonts w:cs="Times New Roman" w:hint="eastAsia"/>
          <w:sz w:val="24"/>
          <w:szCs w:val="24"/>
        </w:rPr>
        <w:t>~</w:t>
      </w:r>
      <w:r>
        <w:rPr>
          <w:rFonts w:cs="Times New Roman"/>
          <w:sz w:val="24"/>
          <w:szCs w:val="24"/>
        </w:rPr>
        <w:t>0.25m</w:t>
      </w:r>
      <w:r>
        <w:rPr>
          <w:rFonts w:cs="Times New Roman"/>
          <w:sz w:val="24"/>
          <w:szCs w:val="24"/>
        </w:rPr>
        <w:t>，播撒草籽的用量平均为</w:t>
      </w:r>
      <w:r>
        <w:rPr>
          <w:rFonts w:cs="Times New Roman"/>
          <w:sz w:val="24"/>
          <w:szCs w:val="24"/>
        </w:rPr>
        <w:t>80kg/hm</w:t>
      </w:r>
      <w:r>
        <w:rPr>
          <w:rFonts w:cs="Times New Roman"/>
          <w:sz w:val="24"/>
          <w:szCs w:val="24"/>
          <w:vertAlign w:val="superscript"/>
        </w:rPr>
        <w:t>2</w:t>
      </w:r>
      <w:r>
        <w:rPr>
          <w:rFonts w:cs="Times New Roman"/>
          <w:sz w:val="24"/>
          <w:szCs w:val="24"/>
        </w:rPr>
        <w:t>。</w:t>
      </w:r>
    </w:p>
    <w:p w14:paraId="4017D1C8" w14:textId="77777777" w:rsidR="007D1E74" w:rsidRDefault="00A95641">
      <w:pPr>
        <w:pStyle w:val="afffff7"/>
        <w:ind w:firstLine="482"/>
      </w:pPr>
      <w:r>
        <w:t>6</w:t>
      </w:r>
      <w:r>
        <w:rPr>
          <w:rFonts w:hint="eastAsia"/>
        </w:rPr>
        <w:t>、对保护植物和古树名木的保护对策</w:t>
      </w:r>
    </w:p>
    <w:p w14:paraId="6CD7B54D" w14:textId="77777777" w:rsidR="007D1E74" w:rsidRDefault="00A95641">
      <w:pPr>
        <w:spacing w:line="360" w:lineRule="auto"/>
        <w:ind w:firstLineChars="200" w:firstLine="480"/>
        <w:rPr>
          <w:rFonts w:cs="Times New Roman"/>
          <w:sz w:val="24"/>
          <w:szCs w:val="24"/>
        </w:rPr>
      </w:pPr>
      <w:r>
        <w:rPr>
          <w:rFonts w:cs="Times New Roman" w:hint="eastAsia"/>
          <w:sz w:val="24"/>
          <w:szCs w:val="24"/>
        </w:rPr>
        <w:t>调查发现，在评价区域内生长有国家二级重点保护野生植物春兰，与项目占地区距离超过</w:t>
      </w:r>
      <w:r>
        <w:rPr>
          <w:rFonts w:cs="Times New Roman" w:hint="eastAsia"/>
          <w:sz w:val="24"/>
          <w:szCs w:val="24"/>
        </w:rPr>
        <w:t>300m</w:t>
      </w:r>
      <w:r>
        <w:rPr>
          <w:rFonts w:cs="Times New Roman" w:hint="eastAsia"/>
          <w:sz w:val="24"/>
          <w:szCs w:val="24"/>
        </w:rPr>
        <w:t>，可不必制定专门的保护方案，但应禁止人员采摘。</w:t>
      </w:r>
    </w:p>
    <w:p w14:paraId="2A534E66" w14:textId="77777777" w:rsidR="007D1E74" w:rsidRDefault="00A95641">
      <w:pPr>
        <w:spacing w:line="360" w:lineRule="auto"/>
        <w:ind w:firstLineChars="200" w:firstLine="480"/>
        <w:rPr>
          <w:rFonts w:cs="Times New Roman"/>
          <w:sz w:val="24"/>
          <w:szCs w:val="24"/>
        </w:rPr>
      </w:pPr>
      <w:r>
        <w:rPr>
          <w:rFonts w:cs="Times New Roman" w:hint="eastAsia"/>
          <w:sz w:val="24"/>
          <w:szCs w:val="24"/>
        </w:rPr>
        <w:lastRenderedPageBreak/>
        <w:t>评价区的古树名木距离施工区域均超过</w:t>
      </w:r>
      <w:r>
        <w:rPr>
          <w:rFonts w:cs="Times New Roman" w:hint="eastAsia"/>
          <w:sz w:val="24"/>
          <w:szCs w:val="24"/>
        </w:rPr>
        <w:t>100m</w:t>
      </w:r>
      <w:r>
        <w:rPr>
          <w:rFonts w:cs="Times New Roman" w:hint="eastAsia"/>
          <w:sz w:val="24"/>
          <w:szCs w:val="24"/>
        </w:rPr>
        <w:t>，多数距离超过</w:t>
      </w:r>
      <w:r>
        <w:rPr>
          <w:rFonts w:cs="Times New Roman" w:hint="eastAsia"/>
          <w:sz w:val="24"/>
          <w:szCs w:val="24"/>
        </w:rPr>
        <w:t>500m</w:t>
      </w:r>
      <w:r>
        <w:rPr>
          <w:rFonts w:cs="Times New Roman" w:hint="eastAsia"/>
          <w:sz w:val="24"/>
          <w:szCs w:val="24"/>
        </w:rPr>
        <w:t>，也不位于运输道路边，不必制定特别的保护方案。</w:t>
      </w:r>
    </w:p>
    <w:p w14:paraId="58F3699B" w14:textId="77777777" w:rsidR="007D1E74" w:rsidRDefault="00A95641">
      <w:pPr>
        <w:spacing w:line="360" w:lineRule="auto"/>
        <w:ind w:firstLineChars="200" w:firstLine="480"/>
        <w:rPr>
          <w:rFonts w:cs="Times New Roman"/>
          <w:sz w:val="24"/>
          <w:szCs w:val="24"/>
        </w:rPr>
      </w:pPr>
      <w:r>
        <w:rPr>
          <w:rFonts w:cs="Times New Roman" w:hint="eastAsia"/>
          <w:sz w:val="24"/>
          <w:szCs w:val="24"/>
        </w:rPr>
        <w:t>严禁采伐和伤害保护野生植物及古树名木的一切行为。</w:t>
      </w:r>
    </w:p>
    <w:p w14:paraId="0D275540" w14:textId="77777777" w:rsidR="007D1E74" w:rsidRDefault="00A95641">
      <w:pPr>
        <w:pStyle w:val="afffff7"/>
        <w:ind w:firstLine="482"/>
      </w:pPr>
      <w:r>
        <w:t>7</w:t>
      </w:r>
      <w:r>
        <w:rPr>
          <w:rFonts w:hint="eastAsia"/>
        </w:rPr>
        <w:t>、加强生产生活火源管理，杜绝火灾</w:t>
      </w:r>
    </w:p>
    <w:p w14:paraId="38FE27FB" w14:textId="77777777" w:rsidR="007D1E74" w:rsidRDefault="00A95641">
      <w:pPr>
        <w:spacing w:line="360" w:lineRule="auto"/>
        <w:ind w:firstLineChars="200" w:firstLine="480"/>
        <w:rPr>
          <w:rFonts w:cs="Times New Roman"/>
          <w:sz w:val="24"/>
          <w:szCs w:val="24"/>
        </w:rPr>
      </w:pPr>
      <w:r>
        <w:rPr>
          <w:rFonts w:cs="Times New Roman" w:hint="eastAsia"/>
          <w:sz w:val="24"/>
          <w:szCs w:val="24"/>
        </w:rPr>
        <w:t>严格控制野外用火和施工生产生活用火。做好施工人员吸烟和其他生活和生产用火的火源管理，加强防火宣传教育，建立施工区防火及火警警报系统和管理制度，一旦出现火情，立即向林业主管部门和地方有关主管部门进行通报，同时组织人员协同当地群众积极灭火，以确保施工期内施工区及附近区域的森林资源安全。</w:t>
      </w:r>
    </w:p>
    <w:p w14:paraId="095096B6" w14:textId="77777777" w:rsidR="007D1E74" w:rsidRDefault="00A95641">
      <w:pPr>
        <w:pStyle w:val="aa"/>
      </w:pPr>
      <w:r>
        <w:rPr>
          <w:rFonts w:hint="eastAsia"/>
        </w:rPr>
        <w:t>陆生脊椎动物影响的减免和保护</w:t>
      </w:r>
    </w:p>
    <w:p w14:paraId="73B28560" w14:textId="77777777" w:rsidR="007D1E74" w:rsidRDefault="00A95641">
      <w:pPr>
        <w:pStyle w:val="afffff7"/>
        <w:ind w:firstLine="482"/>
      </w:pPr>
      <w:r>
        <w:t>1</w:t>
      </w:r>
      <w:r>
        <w:rPr>
          <w:rFonts w:hint="eastAsia"/>
        </w:rPr>
        <w:t>、野生动物影响减免和保护总体要求</w:t>
      </w:r>
    </w:p>
    <w:p w14:paraId="22B3BC19" w14:textId="77777777" w:rsidR="007D1E74" w:rsidRDefault="00A95641">
      <w:pPr>
        <w:spacing w:line="360" w:lineRule="auto"/>
        <w:ind w:firstLineChars="200" w:firstLine="480"/>
        <w:rPr>
          <w:rFonts w:cs="Times New Roman"/>
          <w:sz w:val="24"/>
          <w:szCs w:val="24"/>
        </w:rPr>
      </w:pPr>
      <w:r>
        <w:rPr>
          <w:rFonts w:cs="Times New Roman" w:hint="eastAsia"/>
          <w:sz w:val="24"/>
          <w:szCs w:val="24"/>
        </w:rPr>
        <w:t>对陆生脊椎动物的影响主要来自</w:t>
      </w:r>
      <w:r>
        <w:rPr>
          <w:rFonts w:cs="Times New Roman" w:hint="eastAsia"/>
          <w:sz w:val="24"/>
          <w:szCs w:val="24"/>
        </w:rPr>
        <w:t>3</w:t>
      </w:r>
      <w:r>
        <w:rPr>
          <w:rFonts w:cs="Times New Roman" w:hint="eastAsia"/>
          <w:sz w:val="24"/>
          <w:szCs w:val="24"/>
        </w:rPr>
        <w:t>个方面的因素：土地利用格局的改变，污染和偷猎，因此要减免管线、站井建设对动物的影响主要从这</w:t>
      </w:r>
      <w:r>
        <w:rPr>
          <w:rFonts w:cs="Times New Roman" w:hint="eastAsia"/>
          <w:sz w:val="24"/>
          <w:szCs w:val="24"/>
        </w:rPr>
        <w:t>3</w:t>
      </w:r>
      <w:r>
        <w:rPr>
          <w:rFonts w:cs="Times New Roman" w:hint="eastAsia"/>
          <w:sz w:val="24"/>
          <w:szCs w:val="24"/>
        </w:rPr>
        <w:t>个主要的方面入手。</w:t>
      </w:r>
    </w:p>
    <w:p w14:paraId="6443C73F" w14:textId="77777777" w:rsidR="007D1E74" w:rsidRDefault="00A95641">
      <w:pPr>
        <w:spacing w:line="360" w:lineRule="auto"/>
        <w:ind w:firstLineChars="200" w:firstLine="480"/>
        <w:rPr>
          <w:rFonts w:cs="Times New Roman"/>
          <w:sz w:val="24"/>
          <w:szCs w:val="24"/>
        </w:rPr>
      </w:pPr>
      <w:r>
        <w:rPr>
          <w:rFonts w:cs="Times New Roman" w:hint="eastAsia"/>
          <w:sz w:val="24"/>
          <w:szCs w:val="24"/>
        </w:rPr>
        <w:t>管线、阀室的线路长，永久占地和临时占地面积较大，实施该项目建设，这种土地利用方面的改变就不可避免，对陆生脊椎动物的影响就无法避免。</w:t>
      </w:r>
    </w:p>
    <w:p w14:paraId="173FB69F" w14:textId="77777777" w:rsidR="007D1E74" w:rsidRDefault="00A95641">
      <w:pPr>
        <w:spacing w:line="360" w:lineRule="auto"/>
        <w:ind w:firstLineChars="200" w:firstLine="480"/>
        <w:rPr>
          <w:rFonts w:cs="Times New Roman"/>
          <w:sz w:val="24"/>
          <w:szCs w:val="24"/>
        </w:rPr>
      </w:pPr>
      <w:r>
        <w:rPr>
          <w:rFonts w:cs="Times New Roman" w:hint="eastAsia"/>
          <w:sz w:val="24"/>
          <w:szCs w:val="24"/>
        </w:rPr>
        <w:t>项目应加强的影响减免措施如下：</w:t>
      </w:r>
    </w:p>
    <w:p w14:paraId="024DB979" w14:textId="77777777" w:rsidR="007D1E74" w:rsidRDefault="00A95641">
      <w:pPr>
        <w:spacing w:line="360" w:lineRule="auto"/>
        <w:ind w:firstLineChars="200" w:firstLine="482"/>
        <w:rPr>
          <w:rFonts w:cs="Times New Roman"/>
          <w:b/>
          <w:bCs/>
          <w:sz w:val="24"/>
          <w:szCs w:val="24"/>
        </w:rPr>
      </w:pPr>
      <w:r>
        <w:rPr>
          <w:rFonts w:cs="Times New Roman" w:hint="eastAsia"/>
          <w:b/>
          <w:bCs/>
          <w:sz w:val="24"/>
          <w:szCs w:val="24"/>
        </w:rPr>
        <w:t>（</w:t>
      </w:r>
      <w:r>
        <w:rPr>
          <w:rFonts w:cs="Times New Roman" w:hint="eastAsia"/>
          <w:b/>
          <w:bCs/>
          <w:sz w:val="24"/>
          <w:szCs w:val="24"/>
        </w:rPr>
        <w:t>1</w:t>
      </w:r>
      <w:r>
        <w:rPr>
          <w:rFonts w:cs="Times New Roman" w:hint="eastAsia"/>
          <w:b/>
          <w:bCs/>
          <w:sz w:val="24"/>
          <w:szCs w:val="24"/>
        </w:rPr>
        <w:t>）从减少土地占用入手减免对陆生动物栖息地的影响</w:t>
      </w:r>
    </w:p>
    <w:p w14:paraId="7AD103E9" w14:textId="77777777" w:rsidR="007D1E74" w:rsidRDefault="00A95641">
      <w:pPr>
        <w:spacing w:line="360" w:lineRule="auto"/>
        <w:ind w:firstLineChars="200" w:firstLine="480"/>
        <w:rPr>
          <w:rFonts w:cs="Times New Roman"/>
          <w:sz w:val="24"/>
          <w:szCs w:val="24"/>
        </w:rPr>
      </w:pPr>
      <w:r>
        <w:rPr>
          <w:rFonts w:cs="Times New Roman" w:hint="eastAsia"/>
          <w:sz w:val="24"/>
          <w:szCs w:val="24"/>
        </w:rPr>
        <w:t>陆生动物栖息地的变化主要表现为：森林、灌丛、草丛等原有植被转变为硬化路面、临时堆料场、料场、生活及服务区等环境，对森林、灌丛类型的鸟类、两栖、爬行类和兽类的影响不可避免。</w:t>
      </w:r>
    </w:p>
    <w:p w14:paraId="3F900140" w14:textId="77777777" w:rsidR="007D1E74" w:rsidRDefault="00A95641">
      <w:pPr>
        <w:spacing w:line="360" w:lineRule="auto"/>
        <w:ind w:firstLineChars="200" w:firstLine="480"/>
        <w:rPr>
          <w:rFonts w:cs="Times New Roman"/>
          <w:sz w:val="24"/>
          <w:szCs w:val="24"/>
        </w:rPr>
      </w:pPr>
      <w:r>
        <w:rPr>
          <w:rFonts w:cs="Times New Roman" w:hint="eastAsia"/>
          <w:sz w:val="24"/>
          <w:szCs w:val="24"/>
        </w:rPr>
        <w:t>最有效的方法是后续施工要尽力减少野生动物栖息地受到工程破坏带来的影响，要严格把永久和临时占地控制在最合理、最小的面积内，尽量少的占用其原有的栖息生境。</w:t>
      </w:r>
    </w:p>
    <w:p w14:paraId="128CCB8B" w14:textId="77777777" w:rsidR="007D1E74" w:rsidRDefault="00A95641">
      <w:pPr>
        <w:spacing w:line="360" w:lineRule="auto"/>
        <w:ind w:firstLineChars="200" w:firstLine="480"/>
        <w:rPr>
          <w:rFonts w:cs="Times New Roman"/>
          <w:sz w:val="24"/>
          <w:szCs w:val="24"/>
        </w:rPr>
      </w:pPr>
      <w:r>
        <w:rPr>
          <w:rFonts w:cs="Times New Roman" w:hint="eastAsia"/>
          <w:sz w:val="24"/>
          <w:szCs w:val="24"/>
        </w:rPr>
        <w:t>在每一个临时占地完成后，应及时恢复临时占地区域的野生动物活动的生境，不必等到工程结束后才恢复。</w:t>
      </w:r>
    </w:p>
    <w:p w14:paraId="3E695E6D" w14:textId="77777777" w:rsidR="007D1E74" w:rsidRDefault="00A95641">
      <w:pPr>
        <w:spacing w:line="360" w:lineRule="auto"/>
        <w:ind w:firstLineChars="200" w:firstLine="482"/>
        <w:rPr>
          <w:rFonts w:cs="Times New Roman"/>
          <w:b/>
          <w:bCs/>
          <w:sz w:val="24"/>
          <w:szCs w:val="24"/>
        </w:rPr>
      </w:pPr>
      <w:r>
        <w:rPr>
          <w:rFonts w:cs="Times New Roman" w:hint="eastAsia"/>
          <w:b/>
          <w:bCs/>
          <w:sz w:val="24"/>
          <w:szCs w:val="24"/>
        </w:rPr>
        <w:t>（</w:t>
      </w:r>
      <w:r>
        <w:rPr>
          <w:rFonts w:cs="Times New Roman"/>
          <w:b/>
          <w:bCs/>
          <w:sz w:val="24"/>
          <w:szCs w:val="24"/>
        </w:rPr>
        <w:t>2</w:t>
      </w:r>
      <w:r>
        <w:rPr>
          <w:rFonts w:cs="Times New Roman" w:hint="eastAsia"/>
          <w:b/>
          <w:bCs/>
          <w:sz w:val="24"/>
          <w:szCs w:val="24"/>
        </w:rPr>
        <w:t>）从控制污染入手减免工程对陆生动物的影响</w:t>
      </w:r>
    </w:p>
    <w:p w14:paraId="6B5847A6" w14:textId="77777777" w:rsidR="007D1E74" w:rsidRDefault="00A95641">
      <w:pPr>
        <w:spacing w:line="360" w:lineRule="auto"/>
        <w:ind w:firstLineChars="200" w:firstLine="480"/>
        <w:rPr>
          <w:rFonts w:cs="Times New Roman"/>
          <w:sz w:val="24"/>
          <w:szCs w:val="24"/>
        </w:rPr>
      </w:pPr>
      <w:r>
        <w:rPr>
          <w:rFonts w:cs="Times New Roman" w:hint="eastAsia"/>
          <w:sz w:val="24"/>
          <w:szCs w:val="24"/>
        </w:rPr>
        <w:t>污染包括施工产生的噪声、废渣、废气、废水、扬尘、烟尘、生活污水等污染，运营后产生的汽车尾气、燃油泄漏、管理人员的生活污染、固废等影响较大。</w:t>
      </w:r>
    </w:p>
    <w:p w14:paraId="34C19328" w14:textId="77777777" w:rsidR="007D1E74" w:rsidRDefault="00A95641">
      <w:pPr>
        <w:spacing w:line="360" w:lineRule="auto"/>
        <w:ind w:firstLineChars="200" w:firstLine="480"/>
        <w:rPr>
          <w:rFonts w:cs="Times New Roman"/>
          <w:sz w:val="24"/>
          <w:szCs w:val="24"/>
        </w:rPr>
      </w:pPr>
      <w:r>
        <w:rPr>
          <w:rFonts w:cs="Times New Roman" w:hint="eastAsia"/>
          <w:sz w:val="24"/>
          <w:szCs w:val="24"/>
        </w:rPr>
        <w:t>根据国家规定，废气、废水、噪声等必须经过技术和保护管理措施的处置后达标排放，弃渣、生活垃圾等必须有专门的处理设施。施工单位若能完全按照国家和环保的规定对各种废弃物（包括废水、废渣及生活垃圾等）进行及时妥善的处理，则对评价区的</w:t>
      </w:r>
      <w:r>
        <w:rPr>
          <w:rFonts w:cs="Times New Roman" w:hint="eastAsia"/>
          <w:sz w:val="24"/>
          <w:szCs w:val="24"/>
        </w:rPr>
        <w:lastRenderedPageBreak/>
        <w:t>环境的伤害将比较小。但是，根据到目前为止，从四川省内管线、阀室施工过程中对噪声、废气、废水、固废等的处理看，有的施工单位违反环境保护法，任意堆放生产、生活废物，任意将粪便、含油废水、生活废水排入河流。各种污染物不按照规定遗弃在工地、生活区，污染土壤和干、支河流，长期无法分解、降解。所有这些污染，最终将破坏野生动物的栖息地，使它们无法在污染区生存，或者死亡，或者迁往它处，减少栖息地面积，增加其它栖息地的种内和种间竞争，对野生动物种群产生不利的影响。</w:t>
      </w:r>
    </w:p>
    <w:p w14:paraId="01373615" w14:textId="77777777" w:rsidR="007D1E74" w:rsidRDefault="00A95641">
      <w:pPr>
        <w:spacing w:line="360" w:lineRule="auto"/>
        <w:ind w:firstLineChars="200" w:firstLine="480"/>
        <w:rPr>
          <w:rFonts w:cs="Times New Roman"/>
          <w:sz w:val="24"/>
          <w:szCs w:val="24"/>
        </w:rPr>
      </w:pPr>
      <w:r>
        <w:rPr>
          <w:rFonts w:cs="Times New Roman" w:hint="eastAsia"/>
          <w:sz w:val="24"/>
          <w:szCs w:val="24"/>
        </w:rPr>
        <w:t>本项目应该严格按照“三废”污染治理要求，及时落实各项环保措施。</w:t>
      </w:r>
    </w:p>
    <w:p w14:paraId="3E228138" w14:textId="77777777" w:rsidR="007D1E74" w:rsidRDefault="00A95641">
      <w:pPr>
        <w:spacing w:line="360" w:lineRule="auto"/>
        <w:ind w:firstLineChars="200" w:firstLine="482"/>
        <w:rPr>
          <w:rFonts w:cs="Times New Roman"/>
          <w:b/>
          <w:bCs/>
          <w:sz w:val="24"/>
          <w:szCs w:val="24"/>
        </w:rPr>
      </w:pPr>
      <w:r>
        <w:rPr>
          <w:rFonts w:cs="Times New Roman" w:hint="eastAsia"/>
          <w:b/>
          <w:bCs/>
          <w:sz w:val="24"/>
          <w:szCs w:val="24"/>
        </w:rPr>
        <w:t>（</w:t>
      </w:r>
      <w:r>
        <w:rPr>
          <w:rFonts w:cs="Times New Roman"/>
          <w:b/>
          <w:bCs/>
          <w:sz w:val="24"/>
          <w:szCs w:val="24"/>
        </w:rPr>
        <w:t>3</w:t>
      </w:r>
      <w:r>
        <w:rPr>
          <w:rFonts w:cs="Times New Roman" w:hint="eastAsia"/>
          <w:b/>
          <w:bCs/>
          <w:sz w:val="24"/>
          <w:szCs w:val="24"/>
        </w:rPr>
        <w:t>）从打击偷猎和野生动物贸易等违法行为减免对野生动物的直接伤害</w:t>
      </w:r>
    </w:p>
    <w:p w14:paraId="4CC42706" w14:textId="77777777" w:rsidR="007D1E74" w:rsidRDefault="00A95641">
      <w:pPr>
        <w:spacing w:line="360" w:lineRule="auto"/>
        <w:ind w:firstLineChars="200" w:firstLine="480"/>
        <w:rPr>
          <w:rFonts w:cs="Times New Roman"/>
          <w:sz w:val="24"/>
          <w:szCs w:val="24"/>
        </w:rPr>
      </w:pPr>
      <w:r>
        <w:rPr>
          <w:rFonts w:cs="Times New Roman" w:hint="eastAsia"/>
          <w:sz w:val="24"/>
          <w:szCs w:val="24"/>
        </w:rPr>
        <w:t>管线、阀室建设沿线区域分布有猛禽和鸡形目的、雉鸡、灰胸竹鸡等珍稀保护鸟类，兽类有黄鼬、豹猫和猪獾等中小型兽类分布，以及蛇类等可食用的两栖爬行类。</w:t>
      </w:r>
    </w:p>
    <w:p w14:paraId="1C19E2C7" w14:textId="77777777" w:rsidR="007D1E74" w:rsidRDefault="00A95641">
      <w:pPr>
        <w:spacing w:line="360" w:lineRule="auto"/>
        <w:ind w:firstLineChars="200" w:firstLine="480"/>
        <w:rPr>
          <w:rFonts w:cs="Times New Roman"/>
          <w:sz w:val="24"/>
          <w:szCs w:val="24"/>
        </w:rPr>
      </w:pPr>
      <w:r>
        <w:rPr>
          <w:rFonts w:cs="Times New Roman" w:hint="eastAsia"/>
          <w:sz w:val="24"/>
          <w:szCs w:val="24"/>
        </w:rPr>
        <w:t>于是，减免工程对陆生脊椎动物影响的第</w:t>
      </w:r>
      <w:r>
        <w:rPr>
          <w:rFonts w:cs="Times New Roman" w:hint="eastAsia"/>
          <w:sz w:val="24"/>
          <w:szCs w:val="24"/>
        </w:rPr>
        <w:t>3</w:t>
      </w:r>
      <w:r>
        <w:rPr>
          <w:rFonts w:cs="Times New Roman" w:hint="eastAsia"/>
          <w:sz w:val="24"/>
          <w:szCs w:val="24"/>
        </w:rPr>
        <w:t>大类措施是当地政府和野生动物保护主管部门采取多种方式，打击偷猎和野生动物贸易等违法行为。</w:t>
      </w:r>
    </w:p>
    <w:p w14:paraId="281DBEB7" w14:textId="77777777" w:rsidR="007D1E74" w:rsidRDefault="00A95641">
      <w:pPr>
        <w:pStyle w:val="afffff7"/>
        <w:ind w:firstLine="482"/>
      </w:pPr>
      <w:r>
        <w:t>2</w:t>
      </w:r>
      <w:r>
        <w:rPr>
          <w:rFonts w:hint="eastAsia"/>
        </w:rPr>
        <w:t>、分类群野生动物影响减免和保护措施</w:t>
      </w:r>
    </w:p>
    <w:p w14:paraId="182A44D4" w14:textId="77777777" w:rsidR="007D1E74" w:rsidRDefault="00A95641">
      <w:pPr>
        <w:spacing w:line="360" w:lineRule="auto"/>
        <w:ind w:firstLineChars="200" w:firstLine="482"/>
        <w:rPr>
          <w:rFonts w:cs="Times New Roman"/>
          <w:b/>
          <w:bCs/>
          <w:sz w:val="24"/>
          <w:szCs w:val="24"/>
        </w:rPr>
      </w:pPr>
      <w:r>
        <w:rPr>
          <w:rFonts w:cs="Times New Roman" w:hint="eastAsia"/>
          <w:b/>
          <w:bCs/>
          <w:sz w:val="24"/>
          <w:szCs w:val="24"/>
        </w:rPr>
        <w:t>（</w:t>
      </w:r>
      <w:r>
        <w:rPr>
          <w:rFonts w:cs="Times New Roman" w:hint="eastAsia"/>
          <w:b/>
          <w:bCs/>
          <w:sz w:val="24"/>
          <w:szCs w:val="24"/>
        </w:rPr>
        <w:t>1</w:t>
      </w:r>
      <w:r>
        <w:rPr>
          <w:rFonts w:cs="Times New Roman" w:hint="eastAsia"/>
          <w:b/>
          <w:bCs/>
          <w:sz w:val="24"/>
          <w:szCs w:val="24"/>
        </w:rPr>
        <w:t>）两栖爬行动物</w:t>
      </w:r>
    </w:p>
    <w:p w14:paraId="289F4465" w14:textId="77777777" w:rsidR="007D1E74" w:rsidRDefault="00A95641">
      <w:pPr>
        <w:spacing w:line="360" w:lineRule="auto"/>
        <w:ind w:firstLineChars="200" w:firstLine="480"/>
        <w:rPr>
          <w:rFonts w:cs="Times New Roman"/>
          <w:sz w:val="24"/>
          <w:szCs w:val="24"/>
        </w:rPr>
      </w:pPr>
      <w:r>
        <w:rPr>
          <w:rFonts w:cs="Times New Roman" w:hint="eastAsia"/>
          <w:sz w:val="24"/>
          <w:szCs w:val="24"/>
        </w:rPr>
        <w:t>工程建设难免会污染河流及其溪流的水质，会侵占部分森林、灌丛、草丛等，将不可避免缩小两栖爬行动物的栖息地面积。</w:t>
      </w:r>
    </w:p>
    <w:p w14:paraId="010FA632" w14:textId="77777777" w:rsidR="007D1E74" w:rsidRDefault="00A95641">
      <w:pPr>
        <w:spacing w:line="360" w:lineRule="auto"/>
        <w:ind w:firstLineChars="200" w:firstLine="480"/>
        <w:rPr>
          <w:rFonts w:cs="Times New Roman"/>
          <w:sz w:val="24"/>
          <w:szCs w:val="24"/>
        </w:rPr>
      </w:pPr>
      <w:r>
        <w:rPr>
          <w:rFonts w:cs="Times New Roman" w:hint="eastAsia"/>
          <w:sz w:val="24"/>
          <w:szCs w:val="24"/>
        </w:rPr>
        <w:t>对两栖爬行动物的影响减免和保护，只能集中在减少和控制环境污染以及防止偷猎上。在施工中尽可能地防止燃油泄漏和机械检修、冲洗等随意排放，对工程废物进行快速、集中处理，减少对环境的污染。对于施工人员产生的垃圾集中进行填埋；集中处理粪便，并将粪便运至远离水体处，腐熟作为肥料施入森林、或灌丛，生活废水也应该集中处理后作为灌溉用水，坚决制止粪便和生活污水不加处理，任意排放，特别是往河流中排放。坚持控制污染、杜绝污染、治理污染是保护两栖爬行动物的关键。</w:t>
      </w:r>
    </w:p>
    <w:p w14:paraId="506774ED" w14:textId="77777777" w:rsidR="007D1E74" w:rsidRDefault="00A95641">
      <w:pPr>
        <w:spacing w:line="360" w:lineRule="auto"/>
        <w:ind w:firstLineChars="200" w:firstLine="480"/>
        <w:rPr>
          <w:rFonts w:cs="Times New Roman"/>
          <w:sz w:val="24"/>
          <w:szCs w:val="24"/>
        </w:rPr>
      </w:pPr>
      <w:r>
        <w:rPr>
          <w:rFonts w:cs="Times New Roman" w:hint="eastAsia"/>
          <w:sz w:val="24"/>
          <w:szCs w:val="24"/>
        </w:rPr>
        <w:t>加强对施工人员的监督力度，防止他们偷猎和捕捉两栖和爬行动物。向施工人员宣传，部分野生动物虽然有食用和药用的功能，但却是人类的朋友，人类要有一个好的环境，必须要有野生动物。</w:t>
      </w:r>
    </w:p>
    <w:p w14:paraId="2BFD7ABF" w14:textId="77777777" w:rsidR="007D1E74" w:rsidRDefault="00A95641">
      <w:pPr>
        <w:spacing w:line="360" w:lineRule="auto"/>
        <w:ind w:firstLineChars="200" w:firstLine="482"/>
        <w:rPr>
          <w:rFonts w:cs="Times New Roman"/>
          <w:b/>
          <w:bCs/>
          <w:sz w:val="24"/>
          <w:szCs w:val="24"/>
        </w:rPr>
      </w:pPr>
      <w:r>
        <w:rPr>
          <w:rFonts w:cs="Times New Roman" w:hint="eastAsia"/>
          <w:b/>
          <w:bCs/>
          <w:sz w:val="24"/>
          <w:szCs w:val="24"/>
        </w:rPr>
        <w:t>（</w:t>
      </w:r>
      <w:r>
        <w:rPr>
          <w:rFonts w:cs="Times New Roman"/>
          <w:b/>
          <w:bCs/>
          <w:sz w:val="24"/>
          <w:szCs w:val="24"/>
        </w:rPr>
        <w:t>2</w:t>
      </w:r>
      <w:r>
        <w:rPr>
          <w:rFonts w:cs="Times New Roman" w:hint="eastAsia"/>
          <w:b/>
          <w:bCs/>
          <w:sz w:val="24"/>
          <w:szCs w:val="24"/>
        </w:rPr>
        <w:t>）鸟类</w:t>
      </w:r>
    </w:p>
    <w:p w14:paraId="365ABDBD" w14:textId="77777777" w:rsidR="007D1E74" w:rsidRDefault="00A95641">
      <w:pPr>
        <w:spacing w:line="360" w:lineRule="auto"/>
        <w:ind w:firstLineChars="200" w:firstLine="480"/>
        <w:rPr>
          <w:rFonts w:cs="Times New Roman"/>
          <w:sz w:val="24"/>
          <w:szCs w:val="24"/>
        </w:rPr>
      </w:pPr>
      <w:r>
        <w:rPr>
          <w:rFonts w:cs="Times New Roman" w:hint="eastAsia"/>
          <w:sz w:val="24"/>
          <w:szCs w:val="24"/>
        </w:rPr>
        <w:t>建设期施工场地及周围的森林、灌草丛鸟类的种类和数量将会减少，大桥施工场所附近的水鸟水禽的种类和数量也会有所减少。猛禽有较强飞翔能力，管线、阀室施工和运行将使它们迁移到别处。</w:t>
      </w:r>
    </w:p>
    <w:p w14:paraId="522DD905" w14:textId="77777777" w:rsidR="007D1E74" w:rsidRDefault="00A95641">
      <w:pPr>
        <w:spacing w:line="360" w:lineRule="auto"/>
        <w:ind w:firstLineChars="200" w:firstLine="480"/>
        <w:rPr>
          <w:rFonts w:cs="Times New Roman"/>
          <w:sz w:val="24"/>
          <w:szCs w:val="24"/>
        </w:rPr>
      </w:pPr>
      <w:r>
        <w:rPr>
          <w:rFonts w:cs="Times New Roman" w:hint="eastAsia"/>
          <w:sz w:val="24"/>
          <w:szCs w:val="24"/>
        </w:rPr>
        <w:lastRenderedPageBreak/>
        <w:t>在施工中要保证不多占用土地，尽量减少施工对鸟类生境的破坏以及施工后及时进行植被恢复。</w:t>
      </w:r>
    </w:p>
    <w:p w14:paraId="43EB7B18" w14:textId="77777777" w:rsidR="007D1E74" w:rsidRDefault="00A95641">
      <w:pPr>
        <w:spacing w:line="360" w:lineRule="auto"/>
        <w:ind w:firstLineChars="200" w:firstLine="480"/>
        <w:rPr>
          <w:rFonts w:cs="Times New Roman"/>
          <w:sz w:val="24"/>
          <w:szCs w:val="24"/>
        </w:rPr>
      </w:pPr>
      <w:r>
        <w:rPr>
          <w:rFonts w:cs="Times New Roman" w:hint="eastAsia"/>
          <w:sz w:val="24"/>
          <w:szCs w:val="24"/>
        </w:rPr>
        <w:t>施工中要尽可能地防止燃油泄漏，对工程废物进行快速、集中处理，坚持集中和实时处理各类污染，以减少对环境的污染，保护水体的清洁，减少环境污染对水鸟和其它鸟类物种多样性的影响。</w:t>
      </w:r>
    </w:p>
    <w:p w14:paraId="3BDE1F3C" w14:textId="77777777" w:rsidR="007D1E74" w:rsidRDefault="00A95641">
      <w:pPr>
        <w:spacing w:line="360" w:lineRule="auto"/>
        <w:ind w:firstLineChars="200" w:firstLine="480"/>
        <w:rPr>
          <w:rFonts w:cs="Times New Roman"/>
          <w:sz w:val="24"/>
          <w:szCs w:val="24"/>
        </w:rPr>
      </w:pPr>
      <w:r>
        <w:rPr>
          <w:rFonts w:cs="Times New Roman" w:hint="eastAsia"/>
          <w:sz w:val="24"/>
          <w:szCs w:val="24"/>
        </w:rPr>
        <w:t>加强对施工人员的环境保护意识宣传，加强野生动物保护的宣传。同时，加强对施工人员的监督，禁止他们偷猎雉鸡、灰胸竹鸡等鸟类，禁止掏鸟蛋、端鸟窝、捉幼鸟的行为。</w:t>
      </w:r>
    </w:p>
    <w:p w14:paraId="536120A1" w14:textId="77777777" w:rsidR="007D1E74" w:rsidRDefault="00A95641">
      <w:pPr>
        <w:spacing w:line="360" w:lineRule="auto"/>
        <w:ind w:firstLineChars="200" w:firstLine="480"/>
        <w:rPr>
          <w:rFonts w:cs="Times New Roman"/>
          <w:sz w:val="24"/>
          <w:szCs w:val="24"/>
        </w:rPr>
      </w:pPr>
      <w:r>
        <w:rPr>
          <w:rFonts w:cs="Times New Roman" w:hint="eastAsia"/>
          <w:sz w:val="24"/>
          <w:szCs w:val="24"/>
        </w:rPr>
        <w:t>当地林业主管部门，有权监管施工单位野生动物保护情况，并按照国家野生动物保护法对偷猎者实施处罚。</w:t>
      </w:r>
    </w:p>
    <w:p w14:paraId="502DA68A" w14:textId="77777777" w:rsidR="007D1E74" w:rsidRDefault="00A95641">
      <w:pPr>
        <w:spacing w:line="360" w:lineRule="auto"/>
        <w:ind w:firstLineChars="200" w:firstLine="482"/>
        <w:rPr>
          <w:rFonts w:cs="Times New Roman"/>
          <w:b/>
          <w:bCs/>
          <w:sz w:val="24"/>
          <w:szCs w:val="24"/>
        </w:rPr>
      </w:pPr>
      <w:r>
        <w:rPr>
          <w:rFonts w:cs="Times New Roman" w:hint="eastAsia"/>
          <w:b/>
          <w:bCs/>
          <w:sz w:val="24"/>
          <w:szCs w:val="24"/>
        </w:rPr>
        <w:t>（</w:t>
      </w:r>
      <w:r>
        <w:rPr>
          <w:rFonts w:cs="Times New Roman"/>
          <w:b/>
          <w:bCs/>
          <w:sz w:val="24"/>
          <w:szCs w:val="24"/>
        </w:rPr>
        <w:t>3</w:t>
      </w:r>
      <w:r>
        <w:rPr>
          <w:rFonts w:cs="Times New Roman" w:hint="eastAsia"/>
          <w:b/>
          <w:bCs/>
          <w:sz w:val="24"/>
          <w:szCs w:val="24"/>
        </w:rPr>
        <w:t>）兽类</w:t>
      </w:r>
    </w:p>
    <w:p w14:paraId="025AE51D" w14:textId="77777777" w:rsidR="007D1E74" w:rsidRDefault="00A95641">
      <w:pPr>
        <w:spacing w:line="360" w:lineRule="auto"/>
        <w:ind w:firstLineChars="200" w:firstLine="480"/>
        <w:rPr>
          <w:rFonts w:cs="Times New Roman"/>
          <w:sz w:val="24"/>
          <w:szCs w:val="24"/>
        </w:rPr>
      </w:pPr>
      <w:r>
        <w:rPr>
          <w:rFonts w:cs="Times New Roman" w:hint="eastAsia"/>
          <w:sz w:val="24"/>
          <w:szCs w:val="24"/>
        </w:rPr>
        <w:t>由于该区域内兽类以农田和灌丛生活的鼠类为主，它们的繁殖能力较强，而中型兽类种类和数量较少，迁徙和逃逸能力较强，因此工程不会对兽类造成太大的影响。</w:t>
      </w:r>
    </w:p>
    <w:p w14:paraId="74142901" w14:textId="77777777" w:rsidR="007D1E74" w:rsidRDefault="00A95641">
      <w:pPr>
        <w:spacing w:line="360" w:lineRule="auto"/>
        <w:ind w:firstLineChars="200" w:firstLine="480"/>
        <w:rPr>
          <w:rFonts w:cs="Times New Roman"/>
          <w:sz w:val="24"/>
          <w:szCs w:val="24"/>
        </w:rPr>
      </w:pPr>
      <w:r>
        <w:rPr>
          <w:rFonts w:cs="Times New Roman" w:hint="eastAsia"/>
          <w:sz w:val="24"/>
          <w:szCs w:val="24"/>
        </w:rPr>
        <w:t>对兽类的保护主要是要作好宣传，避免人为捕杀大中型的猪獾、黄鼬、豹猫和松鼠等；同时，加强施工人员环境和自然保护教育，杜绝一切不利于兽类生存繁衍的活动，特别是破坏兽类生境的活动。</w:t>
      </w:r>
    </w:p>
    <w:p w14:paraId="4475F04B" w14:textId="77777777" w:rsidR="007D1E74" w:rsidRDefault="00A95641">
      <w:pPr>
        <w:spacing w:line="360" w:lineRule="auto"/>
        <w:ind w:firstLineChars="200" w:firstLine="480"/>
        <w:rPr>
          <w:rFonts w:cs="Times New Roman"/>
          <w:sz w:val="24"/>
          <w:szCs w:val="24"/>
        </w:rPr>
      </w:pPr>
      <w:r>
        <w:rPr>
          <w:rFonts w:cs="Times New Roman" w:hint="eastAsia"/>
          <w:sz w:val="24"/>
          <w:szCs w:val="24"/>
        </w:rPr>
        <w:t>在施工过程中应进一步合理安排工期，加强生态监理，作好渣场、料场、施工便道等的设计工作，最大限度地减少对动物的阻隔影响。</w:t>
      </w:r>
    </w:p>
    <w:p w14:paraId="7B90516C" w14:textId="77777777" w:rsidR="007D1E74" w:rsidRDefault="00A95641">
      <w:pPr>
        <w:spacing w:line="360" w:lineRule="auto"/>
        <w:ind w:firstLineChars="200" w:firstLine="480"/>
        <w:rPr>
          <w:rFonts w:cs="Times New Roman"/>
          <w:sz w:val="24"/>
          <w:szCs w:val="24"/>
        </w:rPr>
      </w:pPr>
      <w:r>
        <w:rPr>
          <w:rFonts w:cs="Times New Roman" w:hint="eastAsia"/>
          <w:sz w:val="24"/>
          <w:szCs w:val="24"/>
        </w:rPr>
        <w:t>最后，还应处理好施工道路、临时堆料场等地的生态恢复工作，还野生动物一个自然的生态环境。</w:t>
      </w:r>
    </w:p>
    <w:p w14:paraId="6A9096D1" w14:textId="77777777" w:rsidR="007D1E74" w:rsidRDefault="00A95641">
      <w:pPr>
        <w:pStyle w:val="aa"/>
      </w:pPr>
      <w:r>
        <w:rPr>
          <w:rFonts w:hint="eastAsia"/>
        </w:rPr>
        <w:t>土地保护与恢复措施</w:t>
      </w:r>
    </w:p>
    <w:p w14:paraId="47F6B00F" w14:textId="77777777" w:rsidR="007D1E74" w:rsidRDefault="00A95641">
      <w:pPr>
        <w:pStyle w:val="afffff7"/>
        <w:ind w:firstLine="482"/>
      </w:pPr>
      <w:r>
        <w:rPr>
          <w:rFonts w:hint="eastAsia"/>
        </w:rPr>
        <w:t>1</w:t>
      </w:r>
      <w:r>
        <w:rPr>
          <w:rFonts w:hint="eastAsia"/>
        </w:rPr>
        <w:t>、土壤耕作层保护设计</w:t>
      </w:r>
    </w:p>
    <w:p w14:paraId="5DCD0B03" w14:textId="77777777" w:rsidR="007D1E74" w:rsidRDefault="00A95641">
      <w:pPr>
        <w:spacing w:line="360" w:lineRule="auto"/>
        <w:ind w:firstLineChars="200" w:firstLine="480"/>
        <w:rPr>
          <w:rFonts w:cs="Times New Roman"/>
          <w:sz w:val="24"/>
          <w:szCs w:val="24"/>
        </w:rPr>
      </w:pPr>
      <w:r>
        <w:rPr>
          <w:rFonts w:cs="Times New Roman" w:hint="eastAsia"/>
          <w:sz w:val="24"/>
          <w:szCs w:val="24"/>
        </w:rPr>
        <w:t>管线经过区域，土地表层可耕作层土壤厚度较厚，在施工前场地清理时应在地表植被清除的同时，对表层的熟土也进行剥离和临时的堆存。</w:t>
      </w:r>
    </w:p>
    <w:p w14:paraId="1E2C4A95" w14:textId="77777777" w:rsidR="007D1E74" w:rsidRDefault="00A95641">
      <w:pPr>
        <w:spacing w:line="360" w:lineRule="auto"/>
        <w:ind w:firstLineChars="200" w:firstLine="480"/>
        <w:rPr>
          <w:rFonts w:cs="Times New Roman"/>
          <w:sz w:val="24"/>
          <w:szCs w:val="24"/>
        </w:rPr>
      </w:pPr>
      <w:r>
        <w:rPr>
          <w:rFonts w:cs="Times New Roman" w:hint="eastAsia"/>
          <w:sz w:val="24"/>
          <w:szCs w:val="24"/>
        </w:rPr>
        <w:t>工程在施工场所等进场前，应对这些场地的表层有肥力的耕作层土壤进行保护，以便于施工后期的场地绿化和植被恢复。在管线边坡绿化和临时场地复耕和恢复林地时，应充分利用剥离的有肥力的表层土壤，避免重新取土。</w:t>
      </w:r>
    </w:p>
    <w:p w14:paraId="2435FD76" w14:textId="77777777" w:rsidR="007D1E74" w:rsidRDefault="00A95641">
      <w:pPr>
        <w:pStyle w:val="afffff7"/>
        <w:ind w:firstLine="482"/>
      </w:pPr>
      <w:r>
        <w:t>2</w:t>
      </w:r>
      <w:r>
        <w:rPr>
          <w:rFonts w:hint="eastAsia"/>
        </w:rPr>
        <w:t>、恢复及节约耕地措施</w:t>
      </w:r>
    </w:p>
    <w:p w14:paraId="46496EB6" w14:textId="77777777" w:rsidR="007D1E74" w:rsidRDefault="00A95641">
      <w:pPr>
        <w:spacing w:line="360" w:lineRule="auto"/>
        <w:ind w:firstLineChars="200" w:firstLine="480"/>
        <w:rPr>
          <w:rFonts w:cs="Times New Roman"/>
          <w:sz w:val="24"/>
          <w:szCs w:val="24"/>
        </w:rPr>
      </w:pPr>
      <w:r>
        <w:rPr>
          <w:rFonts w:cs="Times New Roman" w:hint="eastAsia"/>
          <w:sz w:val="24"/>
          <w:szCs w:val="24"/>
        </w:rPr>
        <w:t>临时堆场、施工便道及其它临时占地根据土壤性质尽量进行复耕作业。</w:t>
      </w:r>
    </w:p>
    <w:p w14:paraId="0A29039A" w14:textId="77777777" w:rsidR="007D1E74" w:rsidRDefault="00A95641">
      <w:pPr>
        <w:pStyle w:val="aa"/>
      </w:pPr>
      <w:r>
        <w:rPr>
          <w:rFonts w:hint="eastAsia"/>
        </w:rPr>
        <w:lastRenderedPageBreak/>
        <w:t>对公益林和退耕还林的保护措施</w:t>
      </w:r>
    </w:p>
    <w:p w14:paraId="627BE95C" w14:textId="77777777" w:rsidR="007D1E74" w:rsidRDefault="00A95641">
      <w:pPr>
        <w:spacing w:line="360" w:lineRule="auto"/>
        <w:ind w:firstLineChars="200" w:firstLine="480"/>
        <w:rPr>
          <w:rFonts w:cs="Times New Roman"/>
          <w:sz w:val="24"/>
          <w:szCs w:val="24"/>
        </w:rPr>
      </w:pPr>
      <w:r>
        <w:rPr>
          <w:rFonts w:cs="Times New Roman" w:hint="eastAsia"/>
          <w:sz w:val="24"/>
          <w:szCs w:val="24"/>
        </w:rPr>
        <w:t>本线路经过区域涉及公益林和退耕还林分布。因此，需结合拟使用林地可行性研究，弄清公益林和退耕还林地的具体分布位置、数量和面积，在施工设计时，特别是在施工便道、渣场和料场等临时用地的选择上，尽量采取避让措施，尽量选择荒坡、荒地，尽量避免占用和砍伐公益林和退耕还林。</w:t>
      </w:r>
    </w:p>
    <w:p w14:paraId="46B45406" w14:textId="77777777" w:rsidR="007D1E74" w:rsidRDefault="00A95641">
      <w:pPr>
        <w:spacing w:line="360" w:lineRule="auto"/>
        <w:ind w:firstLineChars="200" w:firstLine="480"/>
        <w:rPr>
          <w:rFonts w:cs="Times New Roman"/>
          <w:sz w:val="24"/>
          <w:szCs w:val="24"/>
        </w:rPr>
      </w:pPr>
      <w:r>
        <w:rPr>
          <w:rFonts w:cs="Times New Roman" w:hint="eastAsia"/>
          <w:sz w:val="24"/>
          <w:szCs w:val="24"/>
        </w:rPr>
        <w:t>在工程施工期间，应加强防护，在施工周围林区竖立严禁乱砍公益林、退耕还林地和防火的警示牌，划出可生火范围、巡回检查、搞好消防队伍及设施的建设等，以预防和杜绝火灾发生，以避免引发对天然林和退耕还林的威胁。</w:t>
      </w:r>
    </w:p>
    <w:p w14:paraId="0F084FB6" w14:textId="77777777" w:rsidR="007D1E74" w:rsidRDefault="00A95641">
      <w:pPr>
        <w:pStyle w:val="aa"/>
      </w:pPr>
      <w:r>
        <w:rPr>
          <w:rFonts w:hint="eastAsia"/>
        </w:rPr>
        <w:t>保障措施</w:t>
      </w:r>
    </w:p>
    <w:p w14:paraId="4CE6B150" w14:textId="77777777" w:rsidR="007D1E74" w:rsidRDefault="00A95641">
      <w:pPr>
        <w:spacing w:line="360" w:lineRule="auto"/>
        <w:ind w:firstLineChars="200" w:firstLine="480"/>
        <w:rPr>
          <w:rFonts w:cs="Times New Roman"/>
          <w:sz w:val="24"/>
          <w:szCs w:val="24"/>
        </w:rPr>
      </w:pPr>
      <w:r>
        <w:rPr>
          <w:rFonts w:cs="Times New Roman" w:hint="eastAsia"/>
          <w:sz w:val="24"/>
          <w:szCs w:val="24"/>
        </w:rPr>
        <w:t>严格执行中华人民共和国《中华人民共和国环境保护法》、《中华人民共和国森林法》、《中华人民共和国野生动物保护法》、《中华人民共和国水土保持法》、《建设项目环境保护管理条例》等法律和法规，为最大限度减少管线的施工和运行对野生动植物的影响，提出以下有关保障措施：</w:t>
      </w:r>
    </w:p>
    <w:p w14:paraId="492D2CBE" w14:textId="77777777" w:rsidR="007D1E74" w:rsidRDefault="00A95641">
      <w:pPr>
        <w:spacing w:line="360" w:lineRule="auto"/>
        <w:ind w:firstLineChars="200" w:firstLine="480"/>
        <w:rPr>
          <w:rFonts w:cs="Times New Roman"/>
          <w:sz w:val="24"/>
          <w:szCs w:val="24"/>
        </w:rPr>
      </w:pPr>
      <w:r>
        <w:rPr>
          <w:rFonts w:cs="Times New Roman" w:hint="eastAsia"/>
          <w:sz w:val="24"/>
          <w:szCs w:val="24"/>
        </w:rPr>
        <w:t>①以国家相关法律和法规为依据，施工单位应和当地政府或生态环境、林业、渔业、水运等主管部门签订野生动植物保护协议，使施工单位的生产行为在与野生动植物保护有关的国家相关部门监理下进行；</w:t>
      </w:r>
    </w:p>
    <w:p w14:paraId="651A5754" w14:textId="77777777" w:rsidR="007D1E74" w:rsidRDefault="00A95641">
      <w:pPr>
        <w:spacing w:line="360" w:lineRule="auto"/>
        <w:ind w:firstLineChars="200" w:firstLine="480"/>
        <w:rPr>
          <w:rFonts w:cs="Times New Roman"/>
          <w:sz w:val="24"/>
          <w:szCs w:val="24"/>
        </w:rPr>
      </w:pPr>
      <w:r>
        <w:rPr>
          <w:rFonts w:cs="Times New Roman" w:hint="eastAsia"/>
          <w:sz w:val="24"/>
          <w:szCs w:val="24"/>
        </w:rPr>
        <w:t>②生态环境、林业、渔业等主管部门可派专人对施工单位在施工区内的生产活动实施环境监理；</w:t>
      </w:r>
    </w:p>
    <w:p w14:paraId="3E951758" w14:textId="77777777" w:rsidR="007D1E74" w:rsidRDefault="00A95641">
      <w:pPr>
        <w:spacing w:line="360" w:lineRule="auto"/>
        <w:ind w:firstLineChars="200" w:firstLine="480"/>
        <w:rPr>
          <w:rFonts w:cs="Times New Roman"/>
          <w:sz w:val="24"/>
          <w:szCs w:val="24"/>
        </w:rPr>
      </w:pPr>
      <w:r>
        <w:rPr>
          <w:rFonts w:cs="Times New Roman" w:hint="eastAsia"/>
          <w:sz w:val="24"/>
          <w:szCs w:val="24"/>
        </w:rPr>
        <w:t>③施工单位应制定野生动植物及景观保护管理的措施，要求职工严格执行；</w:t>
      </w:r>
    </w:p>
    <w:p w14:paraId="78AD5F09" w14:textId="77777777" w:rsidR="007D1E74" w:rsidRDefault="00A95641">
      <w:pPr>
        <w:spacing w:line="360" w:lineRule="auto"/>
        <w:ind w:firstLineChars="200" w:firstLine="480"/>
        <w:rPr>
          <w:rFonts w:cs="Times New Roman"/>
          <w:sz w:val="24"/>
          <w:szCs w:val="24"/>
        </w:rPr>
      </w:pPr>
      <w:r>
        <w:rPr>
          <w:rFonts w:cs="Times New Roman" w:hint="eastAsia"/>
          <w:sz w:val="24"/>
          <w:szCs w:val="24"/>
        </w:rPr>
        <w:t>④施工单位应有专人负责野生动植物保护管理协议和措施的实施，实行违规、失职责任制；</w:t>
      </w:r>
    </w:p>
    <w:p w14:paraId="2E23D4D5" w14:textId="77777777" w:rsidR="007D1E74" w:rsidRDefault="00A95641">
      <w:pPr>
        <w:spacing w:line="360" w:lineRule="auto"/>
        <w:ind w:firstLineChars="200" w:firstLine="480"/>
        <w:rPr>
          <w:rFonts w:cs="Times New Roman"/>
          <w:sz w:val="24"/>
          <w:szCs w:val="24"/>
        </w:rPr>
      </w:pPr>
      <w:r>
        <w:rPr>
          <w:rFonts w:cs="Times New Roman" w:hint="eastAsia"/>
          <w:sz w:val="24"/>
          <w:szCs w:val="24"/>
        </w:rPr>
        <w:t>⑤加强对职工的生物多样性保护意识宣传和教育。</w:t>
      </w:r>
    </w:p>
    <w:p w14:paraId="2FA8ACE5" w14:textId="77777777" w:rsidR="007D1E74" w:rsidRDefault="00A95641">
      <w:pPr>
        <w:pStyle w:val="a8"/>
      </w:pPr>
      <w:r>
        <w:rPr>
          <w:rFonts w:hint="eastAsia"/>
        </w:rPr>
        <w:t>诺水河珍稀水生动物国家级自然保护区影响评价</w:t>
      </w:r>
    </w:p>
    <w:p w14:paraId="74FDABE6" w14:textId="77777777" w:rsidR="007D1E74" w:rsidRDefault="00A95641">
      <w:pPr>
        <w:pStyle w:val="a9"/>
      </w:pPr>
      <w:r>
        <w:rPr>
          <w:rFonts w:hint="eastAsia"/>
        </w:rPr>
        <w:t>对水质、底质、水文、地形地貌等影响评价</w:t>
      </w:r>
    </w:p>
    <w:p w14:paraId="42B8872C" w14:textId="77777777" w:rsidR="007D1E74" w:rsidRDefault="00A95641">
      <w:pPr>
        <w:pStyle w:val="aa"/>
      </w:pPr>
      <w:r>
        <w:rPr>
          <w:rFonts w:hint="eastAsia"/>
        </w:rPr>
        <w:t>水质</w:t>
      </w:r>
    </w:p>
    <w:p w14:paraId="3C267D20" w14:textId="77777777" w:rsidR="007D1E74" w:rsidRDefault="00A95641">
      <w:pPr>
        <w:pStyle w:val="afffff7"/>
        <w:ind w:firstLine="482"/>
      </w:pPr>
      <w:r>
        <w:rPr>
          <w:rFonts w:hint="eastAsia"/>
        </w:rPr>
        <w:t>1</w:t>
      </w:r>
      <w:r>
        <w:rPr>
          <w:rFonts w:hint="eastAsia"/>
        </w:rPr>
        <w:t>、施工期</w:t>
      </w:r>
    </w:p>
    <w:p w14:paraId="2B9AFBCF" w14:textId="77777777" w:rsidR="007D1E74" w:rsidRDefault="00A95641">
      <w:pPr>
        <w:spacing w:line="360" w:lineRule="auto"/>
        <w:ind w:firstLineChars="200" w:firstLine="480"/>
        <w:rPr>
          <w:rFonts w:cs="Times New Roman"/>
          <w:sz w:val="24"/>
          <w:szCs w:val="24"/>
        </w:rPr>
      </w:pPr>
      <w:r>
        <w:rPr>
          <w:rFonts w:cs="Times New Roman" w:hint="eastAsia"/>
          <w:sz w:val="24"/>
          <w:szCs w:val="24"/>
        </w:rPr>
        <w:t>小通江河定向钻分别</w:t>
      </w:r>
      <w:r>
        <w:rPr>
          <w:rFonts w:cs="Times New Roman"/>
          <w:sz w:val="24"/>
          <w:szCs w:val="24"/>
        </w:rPr>
        <w:t>3</w:t>
      </w:r>
      <w:r>
        <w:rPr>
          <w:rFonts w:cs="Times New Roman" w:hint="eastAsia"/>
          <w:sz w:val="24"/>
          <w:szCs w:val="24"/>
        </w:rPr>
        <w:t>次穿越小通江，对保护区水质可能产生影响的主要因子是悬浮物，其主要来源于施工区的生产废水（定向钻泥浆等）和生活污水。</w:t>
      </w:r>
    </w:p>
    <w:p w14:paraId="73BAFD1A" w14:textId="77777777" w:rsidR="007D1E74" w:rsidRDefault="00A95641">
      <w:pPr>
        <w:spacing w:line="360" w:lineRule="auto"/>
        <w:ind w:firstLineChars="200" w:firstLine="480"/>
        <w:rPr>
          <w:rFonts w:cs="Times New Roman"/>
          <w:sz w:val="24"/>
          <w:szCs w:val="24"/>
        </w:rPr>
      </w:pPr>
      <w:r>
        <w:rPr>
          <w:rFonts w:cs="Times New Roman" w:hint="eastAsia"/>
          <w:sz w:val="24"/>
          <w:szCs w:val="24"/>
        </w:rPr>
        <w:t>根据相关资料显示，水体悬浮固体低于</w:t>
      </w:r>
      <w:r>
        <w:rPr>
          <w:rFonts w:cs="Times New Roman" w:hint="eastAsia"/>
          <w:sz w:val="24"/>
          <w:szCs w:val="24"/>
        </w:rPr>
        <w:t>25mg/L</w:t>
      </w:r>
      <w:r>
        <w:rPr>
          <w:rFonts w:cs="Times New Roman" w:hint="eastAsia"/>
          <w:sz w:val="24"/>
          <w:szCs w:val="24"/>
        </w:rPr>
        <w:t>，不会对渔业造成危害。但当悬浮</w:t>
      </w:r>
      <w:r>
        <w:rPr>
          <w:rFonts w:cs="Times New Roman" w:hint="eastAsia"/>
          <w:sz w:val="24"/>
          <w:szCs w:val="24"/>
        </w:rPr>
        <w:lastRenderedPageBreak/>
        <w:t>物大量排放将造成河床及河滩逐渐淤积，生物群落多样性程度降低，破坏鱼类的产卵条件和索饵场所。排放废水中的悬浮物可能扰乱鱼类生殖洄游，危害胚胎发育，淤积河床，破坏产卵场，减少鱼类天然食料，降低鱼类生长率和抗病力，对鱼类等水生生物有一定的危害。</w:t>
      </w:r>
    </w:p>
    <w:p w14:paraId="678CC488" w14:textId="77777777" w:rsidR="007D1E74" w:rsidRDefault="00A95641">
      <w:pPr>
        <w:spacing w:line="360" w:lineRule="auto"/>
        <w:ind w:firstLineChars="200" w:firstLine="480"/>
        <w:rPr>
          <w:rFonts w:cs="Times New Roman"/>
          <w:sz w:val="24"/>
          <w:szCs w:val="24"/>
        </w:rPr>
      </w:pPr>
      <w:r>
        <w:rPr>
          <w:rFonts w:cs="Times New Roman" w:hint="eastAsia"/>
          <w:sz w:val="24"/>
          <w:szCs w:val="24"/>
        </w:rPr>
        <w:t>穿越过程中需在入土点与出土点分设泥浆池，从已有工程的施工现场来看，泥浆池均设有防渗防漏层，造成泄漏的几率较小，对泥浆池的大小设计是根据定向钻穿越河流长度所需泥浆量的多少来进行设计的，因此对地表水体造成影响的几率很小。穿越工程的施工区均在河岸两侧的开阔地，生活污水和生产废水均统一妥善处置或循环使用，不排入水体。施工便道位于入土点和出土点的后方，远离河道，对保护区水环境基本不造成破坏。因此，项目施工对保护区水质基本不会产生影响。</w:t>
      </w:r>
    </w:p>
    <w:p w14:paraId="1E5C7970" w14:textId="77777777" w:rsidR="007D1E74" w:rsidRDefault="00A95641">
      <w:pPr>
        <w:pStyle w:val="afffff7"/>
        <w:ind w:firstLine="482"/>
      </w:pPr>
      <w:r>
        <w:rPr>
          <w:rFonts w:hint="eastAsia"/>
        </w:rPr>
        <w:t>2</w:t>
      </w:r>
      <w:r>
        <w:rPr>
          <w:rFonts w:hint="eastAsia"/>
        </w:rPr>
        <w:t>、运营期</w:t>
      </w:r>
    </w:p>
    <w:p w14:paraId="5CAB83F8" w14:textId="77777777" w:rsidR="007D1E74" w:rsidRDefault="00A95641">
      <w:pPr>
        <w:spacing w:line="360" w:lineRule="auto"/>
        <w:ind w:firstLineChars="200" w:firstLine="480"/>
        <w:rPr>
          <w:rFonts w:cs="Times New Roman"/>
          <w:sz w:val="24"/>
          <w:szCs w:val="24"/>
        </w:rPr>
      </w:pPr>
      <w:r>
        <w:rPr>
          <w:rFonts w:cs="Times New Roman" w:hint="eastAsia"/>
          <w:sz w:val="24"/>
          <w:szCs w:val="24"/>
        </w:rPr>
        <w:t>本工程仅为输气管道，运行期发生泄漏也不会对保护区水质产生影响。</w:t>
      </w:r>
    </w:p>
    <w:p w14:paraId="3AF2A978" w14:textId="77777777" w:rsidR="007D1E74" w:rsidRDefault="00A95641">
      <w:pPr>
        <w:pStyle w:val="aa"/>
      </w:pPr>
      <w:r>
        <w:rPr>
          <w:rFonts w:hint="eastAsia"/>
        </w:rPr>
        <w:t>底质</w:t>
      </w:r>
    </w:p>
    <w:p w14:paraId="0A5C3B69" w14:textId="77777777" w:rsidR="007D1E74" w:rsidRDefault="00A95641">
      <w:pPr>
        <w:spacing w:line="360" w:lineRule="auto"/>
        <w:ind w:firstLineChars="200" w:firstLine="480"/>
        <w:rPr>
          <w:rFonts w:cs="Times New Roman"/>
          <w:sz w:val="24"/>
          <w:szCs w:val="24"/>
        </w:rPr>
      </w:pPr>
      <w:r>
        <w:rPr>
          <w:rFonts w:cs="Times New Roman" w:hint="eastAsia"/>
          <w:sz w:val="24"/>
          <w:szCs w:val="24"/>
        </w:rPr>
        <w:t>本定向钻施工管道在河床下埋深工艺设计断面主河床内管顶埋深约</w:t>
      </w:r>
      <w:r>
        <w:rPr>
          <w:rFonts w:cs="Times New Roman" w:hint="eastAsia"/>
          <w:sz w:val="24"/>
          <w:szCs w:val="24"/>
        </w:rPr>
        <w:t>12.3~13.0m</w:t>
      </w:r>
      <w:r>
        <w:rPr>
          <w:rFonts w:cs="Times New Roman" w:hint="eastAsia"/>
          <w:sz w:val="24"/>
          <w:szCs w:val="24"/>
        </w:rPr>
        <w:t>，工程无水上、水下作业，不与河床基质发生接触，不损坏江河两侧堤坝及河床结构，不会导致河床底质发生变化。</w:t>
      </w:r>
    </w:p>
    <w:p w14:paraId="0F5FE451" w14:textId="77777777" w:rsidR="007D1E74" w:rsidRDefault="00A95641">
      <w:pPr>
        <w:pStyle w:val="aa"/>
      </w:pPr>
      <w:r>
        <w:rPr>
          <w:rFonts w:hint="eastAsia"/>
        </w:rPr>
        <w:t>水文</w:t>
      </w:r>
    </w:p>
    <w:p w14:paraId="6CC6C19A" w14:textId="77777777" w:rsidR="007D1E74" w:rsidRDefault="00A95641">
      <w:pPr>
        <w:spacing w:line="360" w:lineRule="auto"/>
        <w:ind w:firstLineChars="200" w:firstLine="480"/>
        <w:rPr>
          <w:rFonts w:cs="Times New Roman"/>
          <w:sz w:val="24"/>
          <w:szCs w:val="24"/>
        </w:rPr>
      </w:pPr>
      <w:r>
        <w:rPr>
          <w:rFonts w:cs="Times New Roman" w:hint="eastAsia"/>
          <w:sz w:val="24"/>
          <w:szCs w:val="24"/>
        </w:rPr>
        <w:t>由于工程不进入保护区施工，也无涉水建筑，不会导致相应河段水文特征的变化。</w:t>
      </w:r>
    </w:p>
    <w:p w14:paraId="1FFE2A68" w14:textId="77777777" w:rsidR="007D1E74" w:rsidRDefault="00A95641">
      <w:pPr>
        <w:pStyle w:val="aa"/>
      </w:pPr>
      <w:r>
        <w:rPr>
          <w:rFonts w:hint="eastAsia"/>
        </w:rPr>
        <w:t>地形地貌</w:t>
      </w:r>
    </w:p>
    <w:p w14:paraId="74AD9C30" w14:textId="77777777" w:rsidR="007D1E74" w:rsidRDefault="00A95641">
      <w:pPr>
        <w:spacing w:line="360" w:lineRule="auto"/>
        <w:ind w:firstLineChars="200" w:firstLine="480"/>
        <w:rPr>
          <w:rFonts w:cs="Times New Roman"/>
          <w:sz w:val="24"/>
          <w:szCs w:val="24"/>
        </w:rPr>
      </w:pPr>
      <w:r>
        <w:rPr>
          <w:rFonts w:cs="Times New Roman"/>
          <w:sz w:val="24"/>
          <w:szCs w:val="24"/>
        </w:rPr>
        <w:t>工程钻机施工场地和回拖场地一般均占地</w:t>
      </w:r>
      <w:r>
        <w:rPr>
          <w:rFonts w:cs="Times New Roman"/>
          <w:sz w:val="24"/>
          <w:szCs w:val="24"/>
        </w:rPr>
        <w:t>30m×45m</w:t>
      </w:r>
      <w:r>
        <w:rPr>
          <w:rFonts w:cs="Times New Roman"/>
          <w:sz w:val="24"/>
          <w:szCs w:val="24"/>
        </w:rPr>
        <w:t>，其施工场地的平整将导致原有两岸农田地貌和地表植被等的改变。由于施工场地占地面积较小，其影响较为有限，而且在施工结束时将对耕地进行覆土复耕，可最大程度减小临时占地带来的影响。</w:t>
      </w:r>
    </w:p>
    <w:p w14:paraId="434DD76C" w14:textId="77777777" w:rsidR="007D1E74" w:rsidRDefault="00A95641">
      <w:pPr>
        <w:pStyle w:val="a9"/>
      </w:pPr>
      <w:r>
        <w:rPr>
          <w:rFonts w:hint="eastAsia"/>
        </w:rPr>
        <w:t>对水生生物影响评价</w:t>
      </w:r>
    </w:p>
    <w:p w14:paraId="1C4E18FD" w14:textId="77777777" w:rsidR="007D1E74" w:rsidRDefault="00A95641">
      <w:pPr>
        <w:pStyle w:val="aa"/>
      </w:pPr>
      <w:r>
        <w:rPr>
          <w:rFonts w:hint="eastAsia"/>
        </w:rPr>
        <w:t>鱼类</w:t>
      </w:r>
    </w:p>
    <w:p w14:paraId="7B2151B6" w14:textId="77777777" w:rsidR="007D1E74" w:rsidRDefault="00A95641">
      <w:pPr>
        <w:spacing w:line="360" w:lineRule="auto"/>
        <w:ind w:firstLineChars="200" w:firstLine="480"/>
        <w:rPr>
          <w:rFonts w:cs="Times New Roman"/>
          <w:sz w:val="24"/>
          <w:szCs w:val="24"/>
        </w:rPr>
      </w:pPr>
      <w:r>
        <w:rPr>
          <w:rFonts w:cs="Times New Roman" w:hint="eastAsia"/>
          <w:sz w:val="24"/>
          <w:szCs w:val="24"/>
        </w:rPr>
        <w:t>由于小通江河定向钻穿越在河床下进行，由液压动力源为钻机系统提供高压液压油作为钻机的动力，施工时河床下方基本不会产生噪声和振动，施工本身基本不会对江河鱼类造成直接危害。</w:t>
      </w:r>
    </w:p>
    <w:p w14:paraId="4848AEF9" w14:textId="77777777" w:rsidR="007D1E74" w:rsidRDefault="00A95641">
      <w:pPr>
        <w:spacing w:line="360" w:lineRule="auto"/>
        <w:ind w:firstLineChars="200" w:firstLine="480"/>
        <w:rPr>
          <w:rFonts w:cs="Times New Roman"/>
          <w:sz w:val="24"/>
          <w:szCs w:val="24"/>
        </w:rPr>
      </w:pPr>
      <w:r>
        <w:rPr>
          <w:rFonts w:cs="Times New Roman" w:hint="eastAsia"/>
          <w:sz w:val="24"/>
          <w:szCs w:val="24"/>
        </w:rPr>
        <w:t>管道从河床稳定层下面约</w:t>
      </w:r>
      <w:r>
        <w:rPr>
          <w:rFonts w:cs="Times New Roman" w:hint="eastAsia"/>
          <w:sz w:val="24"/>
          <w:szCs w:val="24"/>
        </w:rPr>
        <w:t>12.3~13.0m</w:t>
      </w:r>
      <w:r>
        <w:rPr>
          <w:rFonts w:cs="Times New Roman" w:hint="eastAsia"/>
          <w:sz w:val="24"/>
          <w:szCs w:val="24"/>
        </w:rPr>
        <w:t>处穿越，无河床以上涉水施工工程，基本不会对该处河流水质、堤岸、河床底质等造成破坏，运营期对相应河流生境也基本不会造</w:t>
      </w:r>
      <w:r>
        <w:rPr>
          <w:rFonts w:cs="Times New Roman" w:hint="eastAsia"/>
          <w:sz w:val="24"/>
          <w:szCs w:val="24"/>
        </w:rPr>
        <w:lastRenderedPageBreak/>
        <w:t>成影响。因此，工程本身对所在河段的鱼类组成和渔业资源等基本不会造成影响。</w:t>
      </w:r>
    </w:p>
    <w:p w14:paraId="276D6A0A" w14:textId="77777777" w:rsidR="007D1E74" w:rsidRDefault="00A95641">
      <w:pPr>
        <w:spacing w:line="360" w:lineRule="auto"/>
        <w:ind w:firstLineChars="200" w:firstLine="480"/>
        <w:rPr>
          <w:rFonts w:cs="Times New Roman"/>
          <w:sz w:val="24"/>
          <w:szCs w:val="24"/>
        </w:rPr>
      </w:pPr>
      <w:r>
        <w:rPr>
          <w:rFonts w:cs="Times New Roman" w:hint="eastAsia"/>
          <w:sz w:val="24"/>
          <w:szCs w:val="24"/>
        </w:rPr>
        <w:t>定向钻穿越施工场地布置在河流两侧，施工期间机械噪声可能对小通江河工程段造成一定程度的扰动，可能对所在水域鱼类等水生生物的活动造成干扰。当噪声强度较大时，可能影响相应区域鱼类的产卵、索饵和洄游等活动，在一段时间内可能造成影响区域鱼类资源量的降低。</w:t>
      </w:r>
    </w:p>
    <w:p w14:paraId="2B89C478" w14:textId="77777777" w:rsidR="007D1E74" w:rsidRDefault="00A95641">
      <w:pPr>
        <w:spacing w:line="360" w:lineRule="auto"/>
        <w:ind w:firstLineChars="200" w:firstLine="480"/>
        <w:rPr>
          <w:rFonts w:cs="Times New Roman"/>
          <w:sz w:val="24"/>
          <w:szCs w:val="24"/>
        </w:rPr>
      </w:pPr>
      <w:r>
        <w:rPr>
          <w:rFonts w:cs="Times New Roman" w:hint="eastAsia"/>
          <w:sz w:val="24"/>
          <w:szCs w:val="24"/>
        </w:rPr>
        <w:t>小通江河河穿越两岸钻机入土点和出土点与河岸距离较远，施工噪声对小通江河水生生物扰动较小。</w:t>
      </w:r>
    </w:p>
    <w:p w14:paraId="5F430A55" w14:textId="77777777" w:rsidR="007D1E74" w:rsidRDefault="00A95641">
      <w:pPr>
        <w:pStyle w:val="aa"/>
      </w:pPr>
      <w:r>
        <w:rPr>
          <w:rFonts w:hint="eastAsia"/>
        </w:rPr>
        <w:t>水生生物</w:t>
      </w:r>
    </w:p>
    <w:p w14:paraId="29F03772" w14:textId="77777777" w:rsidR="007D1E74" w:rsidRDefault="00A95641">
      <w:pPr>
        <w:spacing w:line="360" w:lineRule="auto"/>
        <w:ind w:firstLineChars="200" w:firstLine="480"/>
        <w:rPr>
          <w:rFonts w:cs="Times New Roman"/>
          <w:sz w:val="24"/>
          <w:szCs w:val="24"/>
        </w:rPr>
      </w:pPr>
      <w:r>
        <w:rPr>
          <w:rFonts w:cs="Times New Roman" w:hint="eastAsia"/>
          <w:sz w:val="24"/>
          <w:szCs w:val="24"/>
        </w:rPr>
        <w:t>由于工程施工基本不进入保护区，也无涉水工程，工程施工期和运营期对浮游植物、浮游动物、底栖生物和水生维管束植物等水生生物不会造成影响。</w:t>
      </w:r>
    </w:p>
    <w:p w14:paraId="7F8BDEB6" w14:textId="77777777" w:rsidR="007D1E74" w:rsidRDefault="00A95641">
      <w:pPr>
        <w:pStyle w:val="a9"/>
      </w:pPr>
      <w:r>
        <w:rPr>
          <w:rFonts w:hint="eastAsia"/>
        </w:rPr>
        <w:t>对生态系统、重点保护物种及其“三场”、洄游通道等影响评价</w:t>
      </w:r>
    </w:p>
    <w:p w14:paraId="33EBE534" w14:textId="77777777" w:rsidR="007D1E74" w:rsidRDefault="00A95641">
      <w:pPr>
        <w:spacing w:line="360" w:lineRule="auto"/>
        <w:ind w:firstLineChars="200" w:firstLine="480"/>
        <w:rPr>
          <w:rFonts w:cs="Times New Roman"/>
          <w:sz w:val="24"/>
          <w:szCs w:val="24"/>
        </w:rPr>
      </w:pPr>
      <w:r>
        <w:rPr>
          <w:rFonts w:cs="Times New Roman" w:hint="eastAsia"/>
          <w:sz w:val="24"/>
          <w:szCs w:val="24"/>
        </w:rPr>
        <w:t>小通江河定向钻穿越工程均不在保护区内施工，也不在保护区内设置构筑物。在施工期和运营期不会向水体排放废水和固体废弃物等，基本不会给保护区水环境造成破坏。工程采用非开挖方式施工，于河床下</w:t>
      </w:r>
      <w:r>
        <w:rPr>
          <w:rFonts w:cs="Times New Roman" w:hint="eastAsia"/>
          <w:sz w:val="24"/>
          <w:szCs w:val="24"/>
        </w:rPr>
        <w:t>12.3~13.0m</w:t>
      </w:r>
      <w:r>
        <w:rPr>
          <w:rFonts w:cs="Times New Roman" w:hint="eastAsia"/>
          <w:sz w:val="24"/>
          <w:szCs w:val="24"/>
        </w:rPr>
        <w:t>穿越小通江河，不会破坏河床底质和河岸形态，对鱼类等水生生物的“三场”及洄游通道等栖息环境不会造成破坏。本定向钻穿越工程基本不破坏相应河段的水域生态系统，对鱼类等水生生物及其生存的环境和活动场所等基本不会造成负面影响。</w:t>
      </w:r>
    </w:p>
    <w:p w14:paraId="7BC4C3BE" w14:textId="77777777" w:rsidR="007D1E74" w:rsidRDefault="00A95641">
      <w:pPr>
        <w:pStyle w:val="a9"/>
      </w:pPr>
      <w:r>
        <w:rPr>
          <w:rFonts w:hint="eastAsia"/>
        </w:rPr>
        <w:t>工程取水的影响</w:t>
      </w:r>
    </w:p>
    <w:p w14:paraId="469657A5" w14:textId="77777777" w:rsidR="007D1E74" w:rsidRDefault="00A95641">
      <w:pPr>
        <w:spacing w:line="360" w:lineRule="auto"/>
        <w:ind w:firstLineChars="200" w:firstLine="480"/>
        <w:rPr>
          <w:rFonts w:cs="Times New Roman"/>
          <w:sz w:val="24"/>
          <w:szCs w:val="24"/>
        </w:rPr>
      </w:pPr>
      <w:r>
        <w:rPr>
          <w:rFonts w:cs="Times New Roman" w:hint="eastAsia"/>
          <w:sz w:val="24"/>
          <w:szCs w:val="24"/>
        </w:rPr>
        <w:t>定向钻穿越施工需间歇式取水进行膨润土的拌合，小通江河定向钻穿越施工工期约</w:t>
      </w:r>
      <w:r>
        <w:rPr>
          <w:rFonts w:cs="Times New Roman" w:hint="eastAsia"/>
          <w:sz w:val="24"/>
          <w:szCs w:val="24"/>
        </w:rPr>
        <w:t>3</w:t>
      </w:r>
      <w:r>
        <w:rPr>
          <w:rFonts w:cs="Times New Roman" w:hint="eastAsia"/>
          <w:sz w:val="24"/>
          <w:szCs w:val="24"/>
        </w:rPr>
        <w:t>个月。如果施工期从小通江河取水的话，可能导致取水区域的卵、苗被吸入拌合池，进而导致卵、苗的损失。</w:t>
      </w:r>
    </w:p>
    <w:p w14:paraId="10AD2618" w14:textId="77777777" w:rsidR="007D1E74" w:rsidRDefault="00A95641">
      <w:pPr>
        <w:spacing w:line="360" w:lineRule="auto"/>
        <w:ind w:firstLineChars="200" w:firstLine="480"/>
        <w:rPr>
          <w:rFonts w:cs="Times New Roman"/>
          <w:sz w:val="24"/>
          <w:szCs w:val="24"/>
        </w:rPr>
      </w:pPr>
      <w:r>
        <w:rPr>
          <w:rFonts w:cs="Times New Roman" w:hint="eastAsia"/>
          <w:sz w:val="24"/>
          <w:szCs w:val="24"/>
        </w:rPr>
        <w:t>工程河段分布鱼类多产黏性卵，受精卵多附着于河岸水草和浅滩上孵化，但工程于河道水体较深处取水，从该河段鱼类产卵特性和取水方式来看，项目施工期取水可能造成的受精卵的损失比较有限。较大的鱼类游泳能力较强，能够对水泵产生的负压做出主动回避；初孵仔鱼和鱼苗等主要于河湾等浅水区索饵，取水泵布设时须避开此类场所。从现场调研结果来看，穿越点附近无鱼类三场分布，对鱼类的影响相对较小。</w:t>
      </w:r>
    </w:p>
    <w:p w14:paraId="5D9B0F54" w14:textId="77777777" w:rsidR="007D1E74" w:rsidRDefault="00A95641">
      <w:pPr>
        <w:spacing w:line="360" w:lineRule="auto"/>
        <w:ind w:firstLineChars="200" w:firstLine="480"/>
        <w:rPr>
          <w:rFonts w:cs="Times New Roman"/>
          <w:sz w:val="24"/>
          <w:szCs w:val="24"/>
        </w:rPr>
      </w:pPr>
      <w:r>
        <w:rPr>
          <w:rFonts w:cs="Times New Roman" w:hint="eastAsia"/>
          <w:sz w:val="24"/>
          <w:szCs w:val="24"/>
        </w:rPr>
        <w:t>总的来说，由于泥浆水经沉淀后循环使用，在水量不足时进行补给，因此，总的取水量不大，取水频率也较低。但为防止取水造成影响，取水时有必要采取相应的措施予以防范。</w:t>
      </w:r>
    </w:p>
    <w:p w14:paraId="20A7F497" w14:textId="77777777" w:rsidR="007D1E74" w:rsidRDefault="00A95641">
      <w:pPr>
        <w:pStyle w:val="a9"/>
      </w:pPr>
      <w:r>
        <w:rPr>
          <w:rFonts w:hint="eastAsia"/>
        </w:rPr>
        <w:lastRenderedPageBreak/>
        <w:t>对保护区功能影响评价</w:t>
      </w:r>
    </w:p>
    <w:p w14:paraId="665F0DFC" w14:textId="77777777" w:rsidR="007D1E74" w:rsidRDefault="00A95641">
      <w:pPr>
        <w:spacing w:line="360" w:lineRule="auto"/>
        <w:ind w:firstLineChars="200" w:firstLine="480"/>
        <w:rPr>
          <w:rFonts w:cs="Times New Roman"/>
          <w:sz w:val="24"/>
          <w:szCs w:val="24"/>
        </w:rPr>
      </w:pPr>
      <w:r>
        <w:rPr>
          <w:rFonts w:cs="Times New Roman" w:hint="eastAsia"/>
          <w:sz w:val="24"/>
          <w:szCs w:val="24"/>
        </w:rPr>
        <w:t>工程穿越河段属四川诺水河珍稀水生动物国家级自然保护区。保护区是我国长江上游大鲵的重要分布区，也是长江上游特有鱼类岩原鲤种群在嘉陵江上游支流的集中分布区，是水獭、重口裂腹鱼、青石爬鮡、鳖、乌龟等多种珍稀水生动物的重要栖息和繁殖场所。</w:t>
      </w:r>
    </w:p>
    <w:p w14:paraId="67A8612C" w14:textId="77777777" w:rsidR="007D1E74" w:rsidRDefault="00A95641">
      <w:pPr>
        <w:spacing w:line="360" w:lineRule="auto"/>
        <w:ind w:firstLineChars="200" w:firstLine="480"/>
        <w:rPr>
          <w:rFonts w:cs="Times New Roman"/>
          <w:sz w:val="24"/>
          <w:szCs w:val="24"/>
        </w:rPr>
      </w:pPr>
      <w:r>
        <w:rPr>
          <w:rFonts w:cs="Times New Roman" w:hint="eastAsia"/>
          <w:sz w:val="24"/>
          <w:szCs w:val="24"/>
        </w:rPr>
        <w:t>本工程定向钻穿越工程入土点和出土点均位于保护区外，采用非开挖方式施工，于河床下</w:t>
      </w:r>
      <w:r>
        <w:rPr>
          <w:rFonts w:cs="Times New Roman" w:hint="eastAsia"/>
          <w:sz w:val="24"/>
          <w:szCs w:val="24"/>
        </w:rPr>
        <w:t>12.3~13.0m</w:t>
      </w:r>
      <w:r>
        <w:rPr>
          <w:rFonts w:cs="Times New Roman" w:hint="eastAsia"/>
          <w:sz w:val="24"/>
          <w:szCs w:val="24"/>
        </w:rPr>
        <w:t>穿越小通江河。工程无涉水施工，无废水和弃渣排放，在保护区内也无构筑物，工程本身基本不会对保护区水生生物及其生境造成影响，基本不会对保护区上述功能产生影响。施工期施工区的机械噪声、施工人员噪声和人为活动的加大等可能对相应区域水环境形成一定的干扰，由于两岸施工点在远离河岸的区域，且有地势或地表植被阻挡，其对保护区的影响较为有限。</w:t>
      </w:r>
    </w:p>
    <w:p w14:paraId="41A4D304" w14:textId="77777777" w:rsidR="007D1E74" w:rsidRDefault="00A95641">
      <w:pPr>
        <w:pStyle w:val="a9"/>
      </w:pPr>
      <w:r>
        <w:rPr>
          <w:rFonts w:hint="eastAsia"/>
        </w:rPr>
        <w:t>保护区内永久性构筑物的位置、面积、形态</w:t>
      </w:r>
    </w:p>
    <w:p w14:paraId="6B4007DC" w14:textId="77777777" w:rsidR="007D1E74" w:rsidRDefault="00A95641">
      <w:pPr>
        <w:spacing w:line="360" w:lineRule="auto"/>
        <w:ind w:firstLineChars="200" w:firstLine="480"/>
        <w:rPr>
          <w:rFonts w:cs="Times New Roman"/>
          <w:sz w:val="24"/>
          <w:szCs w:val="24"/>
        </w:rPr>
      </w:pPr>
      <w:r>
        <w:rPr>
          <w:rFonts w:cs="Times New Roman" w:hint="eastAsia"/>
          <w:sz w:val="24"/>
          <w:szCs w:val="24"/>
        </w:rPr>
        <w:t>定向钻作为非开挖的一种施工工法，已在天然气管道穿越中得到了广泛应用。定向钻一般施工工艺为：根据设计提出的入土位置、出土位置和管线坐标，用定向钻钻导向孔，并逐节加入套管；在对岸出土后，在套管出土端连接扩孔器和穿越管段，扩孔器数量根据穿越管段直径选择；同时管道在出土岸进行分段或整体组装，检验、试压合格后。利用钻机拉动扩孔器和穿越管段回拖，直至使穿越管道完全敷设于扩大的导向孔内到钻机入土处露出端头。</w:t>
      </w:r>
    </w:p>
    <w:p w14:paraId="127A60BC" w14:textId="77777777" w:rsidR="007D1E74" w:rsidRDefault="00A95641">
      <w:pPr>
        <w:spacing w:line="360" w:lineRule="auto"/>
        <w:ind w:firstLineChars="200" w:firstLine="480"/>
        <w:rPr>
          <w:rFonts w:cs="Times New Roman"/>
          <w:sz w:val="24"/>
          <w:szCs w:val="24"/>
        </w:rPr>
      </w:pPr>
      <w:r>
        <w:rPr>
          <w:rFonts w:cs="Times New Roman" w:hint="eastAsia"/>
          <w:sz w:val="24"/>
          <w:szCs w:val="24"/>
        </w:rPr>
        <w:t>定向钻被认为是不破坏地貌状态和保护环境的最理想的施工方法。定向钻施工不会阻碍交通，不破坏绿地、植被，解决了传统开挖施工对环境等破坏。采用水平定向钻机穿越河流时，一般埋在河床下</w:t>
      </w:r>
      <w:r>
        <w:rPr>
          <w:rFonts w:cs="Times New Roman" w:hint="eastAsia"/>
          <w:sz w:val="24"/>
          <w:szCs w:val="24"/>
        </w:rPr>
        <w:t>9~18m</w:t>
      </w:r>
      <w:r>
        <w:rPr>
          <w:rFonts w:cs="Times New Roman" w:hint="eastAsia"/>
          <w:sz w:val="24"/>
          <w:szCs w:val="24"/>
        </w:rPr>
        <w:t>，没有水上、水下作业，不损坏江河两侧堤坝及河床结构，不会给水生生物造成大的影响。所以采用定向钻机穿越，对周围环境没有影响，不破坏地貌和环境，适应环保的各项要求。</w:t>
      </w:r>
    </w:p>
    <w:p w14:paraId="7BDDCFA7" w14:textId="77777777" w:rsidR="007D1E74" w:rsidRDefault="00A95641">
      <w:pPr>
        <w:pStyle w:val="afffffe"/>
        <w:numPr>
          <w:ilvl w:val="0"/>
          <w:numId w:val="44"/>
        </w:numPr>
        <w:spacing w:line="360" w:lineRule="auto"/>
        <w:ind w:firstLineChars="0"/>
        <w:jc w:val="center"/>
        <w:rPr>
          <w:rFonts w:eastAsia="黑体" w:cs="Times New Roman"/>
          <w:szCs w:val="21"/>
        </w:rPr>
      </w:pPr>
      <w:r>
        <w:rPr>
          <w:rFonts w:eastAsia="黑体" w:cs="Times New Roman" w:hint="eastAsia"/>
          <w:szCs w:val="21"/>
        </w:rPr>
        <w:t>定向钻入、出土点位置</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5"/>
        <w:gridCol w:w="1100"/>
        <w:gridCol w:w="3024"/>
        <w:gridCol w:w="1511"/>
        <w:gridCol w:w="1338"/>
        <w:gridCol w:w="948"/>
      </w:tblGrid>
      <w:tr w:rsidR="007D1E74" w14:paraId="549A7210" w14:textId="77777777">
        <w:tc>
          <w:tcPr>
            <w:tcW w:w="1217" w:type="pct"/>
            <w:gridSpan w:val="2"/>
            <w:shd w:val="clear" w:color="auto" w:fill="auto"/>
            <w:vAlign w:val="center"/>
          </w:tcPr>
          <w:p w14:paraId="07744530" w14:textId="77777777" w:rsidR="007D1E74" w:rsidRDefault="00A95641">
            <w:pPr>
              <w:pStyle w:val="afffff8"/>
              <w:rPr>
                <w:rFonts w:cs="Times New Roman"/>
              </w:rPr>
            </w:pPr>
            <w:r>
              <w:rPr>
                <w:rFonts w:cs="Times New Roman"/>
              </w:rPr>
              <w:t>穿越点</w:t>
            </w:r>
          </w:p>
        </w:tc>
        <w:tc>
          <w:tcPr>
            <w:tcW w:w="1677" w:type="pct"/>
            <w:shd w:val="clear" w:color="auto" w:fill="auto"/>
            <w:vAlign w:val="center"/>
          </w:tcPr>
          <w:p w14:paraId="128EFE4F" w14:textId="77777777" w:rsidR="007D1E74" w:rsidRDefault="00A95641">
            <w:pPr>
              <w:pStyle w:val="afffff8"/>
              <w:rPr>
                <w:rFonts w:cs="Times New Roman"/>
              </w:rPr>
            </w:pPr>
            <w:r>
              <w:rPr>
                <w:rFonts w:cs="Times New Roman"/>
              </w:rPr>
              <w:t>地理坐标（</w:t>
            </w:r>
            <w:r>
              <w:rPr>
                <w:rFonts w:cs="Times New Roman"/>
              </w:rPr>
              <w:t>m</w:t>
            </w:r>
            <w:r>
              <w:rPr>
                <w:rFonts w:cs="Times New Roman"/>
              </w:rPr>
              <w:t>）</w:t>
            </w:r>
          </w:p>
        </w:tc>
        <w:tc>
          <w:tcPr>
            <w:tcW w:w="838" w:type="pct"/>
            <w:shd w:val="clear" w:color="auto" w:fill="auto"/>
            <w:vAlign w:val="center"/>
          </w:tcPr>
          <w:p w14:paraId="12BED533" w14:textId="77777777" w:rsidR="007D1E74" w:rsidRDefault="00A95641">
            <w:pPr>
              <w:pStyle w:val="afffff8"/>
              <w:rPr>
                <w:rFonts w:cs="Times New Roman"/>
              </w:rPr>
            </w:pPr>
            <w:r>
              <w:rPr>
                <w:rFonts w:cs="Times New Roman"/>
              </w:rPr>
              <w:t>定向钻水平段位于河床下</w:t>
            </w:r>
          </w:p>
        </w:tc>
        <w:tc>
          <w:tcPr>
            <w:tcW w:w="742" w:type="pct"/>
            <w:shd w:val="clear" w:color="auto" w:fill="auto"/>
            <w:vAlign w:val="center"/>
          </w:tcPr>
          <w:p w14:paraId="3E05B75B" w14:textId="77777777" w:rsidR="007D1E74" w:rsidRDefault="00A95641">
            <w:pPr>
              <w:pStyle w:val="afffff8"/>
              <w:rPr>
                <w:rFonts w:cs="Times New Roman"/>
              </w:rPr>
            </w:pPr>
            <w:r>
              <w:rPr>
                <w:rFonts w:cs="Times New Roman"/>
              </w:rPr>
              <w:t>与生态保护红线的关系</w:t>
            </w:r>
          </w:p>
        </w:tc>
        <w:tc>
          <w:tcPr>
            <w:tcW w:w="526" w:type="pct"/>
            <w:shd w:val="clear" w:color="auto" w:fill="auto"/>
            <w:vAlign w:val="center"/>
          </w:tcPr>
          <w:p w14:paraId="7C57EFE0" w14:textId="77777777" w:rsidR="007D1E74" w:rsidRDefault="00A95641">
            <w:pPr>
              <w:pStyle w:val="afffff8"/>
              <w:rPr>
                <w:rFonts w:cs="Times New Roman"/>
              </w:rPr>
            </w:pPr>
            <w:r>
              <w:rPr>
                <w:rFonts w:cs="Times New Roman"/>
              </w:rPr>
              <w:t>备注</w:t>
            </w:r>
          </w:p>
        </w:tc>
      </w:tr>
      <w:tr w:rsidR="007D1E74" w14:paraId="2FBE7003" w14:textId="77777777">
        <w:tc>
          <w:tcPr>
            <w:tcW w:w="607" w:type="pct"/>
            <w:vMerge w:val="restart"/>
            <w:shd w:val="clear" w:color="auto" w:fill="auto"/>
            <w:vAlign w:val="center"/>
          </w:tcPr>
          <w:p w14:paraId="4416BC3C" w14:textId="77777777" w:rsidR="007D1E74" w:rsidRDefault="00A95641">
            <w:pPr>
              <w:pStyle w:val="afffff8"/>
              <w:rPr>
                <w:rFonts w:cs="Times New Roman"/>
              </w:rPr>
            </w:pPr>
            <w:r>
              <w:rPr>
                <w:rFonts w:cs="Times New Roman"/>
              </w:rPr>
              <w:t>定向钻</w:t>
            </w:r>
            <w:r>
              <w:rPr>
                <w:rFonts w:cs="Times New Roman"/>
              </w:rPr>
              <w:t>1</w:t>
            </w:r>
          </w:p>
        </w:tc>
        <w:tc>
          <w:tcPr>
            <w:tcW w:w="610" w:type="pct"/>
            <w:shd w:val="clear" w:color="auto" w:fill="auto"/>
            <w:vAlign w:val="center"/>
          </w:tcPr>
          <w:p w14:paraId="37401D45" w14:textId="77777777" w:rsidR="007D1E74" w:rsidRDefault="00A95641">
            <w:pPr>
              <w:pStyle w:val="afffff8"/>
              <w:rPr>
                <w:rFonts w:cs="Times New Roman"/>
              </w:rPr>
            </w:pPr>
            <w:r>
              <w:rPr>
                <w:rFonts w:cs="Times New Roman"/>
              </w:rPr>
              <w:t>入土点</w:t>
            </w:r>
          </w:p>
        </w:tc>
        <w:tc>
          <w:tcPr>
            <w:tcW w:w="1677" w:type="pct"/>
            <w:shd w:val="clear" w:color="auto" w:fill="auto"/>
            <w:vAlign w:val="center"/>
          </w:tcPr>
          <w:p w14:paraId="31AFA0E1" w14:textId="77777777" w:rsidR="007D1E74" w:rsidRDefault="00A95641">
            <w:pPr>
              <w:pStyle w:val="afffff8"/>
              <w:rPr>
                <w:rFonts w:cs="Times New Roman"/>
              </w:rPr>
            </w:pPr>
            <w:r>
              <w:rPr>
                <w:rFonts w:cs="Times New Roman"/>
              </w:rPr>
              <w:t>X=3564547.779, Y=422177.337</w:t>
            </w:r>
          </w:p>
        </w:tc>
        <w:tc>
          <w:tcPr>
            <w:tcW w:w="838" w:type="pct"/>
            <w:vMerge w:val="restart"/>
            <w:shd w:val="clear" w:color="auto" w:fill="auto"/>
            <w:vAlign w:val="center"/>
          </w:tcPr>
          <w:p w14:paraId="39BBB626" w14:textId="77777777" w:rsidR="007D1E74" w:rsidRDefault="00A95641">
            <w:pPr>
              <w:pStyle w:val="afffff8"/>
              <w:rPr>
                <w:rFonts w:cs="Times New Roman"/>
              </w:rPr>
            </w:pPr>
            <w:r>
              <w:rPr>
                <w:rFonts w:cs="Times New Roman"/>
              </w:rPr>
              <w:t>12.3m</w:t>
            </w:r>
          </w:p>
        </w:tc>
        <w:tc>
          <w:tcPr>
            <w:tcW w:w="742" w:type="pct"/>
            <w:shd w:val="clear" w:color="auto" w:fill="auto"/>
            <w:vAlign w:val="center"/>
          </w:tcPr>
          <w:p w14:paraId="7147A48C" w14:textId="77777777" w:rsidR="007D1E74" w:rsidRDefault="00A95641">
            <w:pPr>
              <w:pStyle w:val="afffff8"/>
              <w:rPr>
                <w:rFonts w:cs="Times New Roman"/>
              </w:rPr>
            </w:pPr>
            <w:r>
              <w:rPr>
                <w:rFonts w:cs="Times New Roman"/>
              </w:rPr>
              <w:t>不涉及</w:t>
            </w:r>
          </w:p>
        </w:tc>
        <w:tc>
          <w:tcPr>
            <w:tcW w:w="526" w:type="pct"/>
            <w:shd w:val="clear" w:color="auto" w:fill="auto"/>
            <w:vAlign w:val="center"/>
          </w:tcPr>
          <w:p w14:paraId="64807968" w14:textId="77777777" w:rsidR="007D1E74" w:rsidRDefault="00A95641">
            <w:pPr>
              <w:pStyle w:val="afffff8"/>
              <w:rPr>
                <w:rFonts w:cs="Times New Roman"/>
              </w:rPr>
            </w:pPr>
            <w:r>
              <w:rPr>
                <w:rFonts w:cs="Times New Roman"/>
              </w:rPr>
              <w:t>左岸</w:t>
            </w:r>
          </w:p>
        </w:tc>
      </w:tr>
      <w:tr w:rsidR="007D1E74" w14:paraId="5D6FEB80" w14:textId="77777777">
        <w:tc>
          <w:tcPr>
            <w:tcW w:w="607" w:type="pct"/>
            <w:vMerge/>
            <w:vAlign w:val="center"/>
          </w:tcPr>
          <w:p w14:paraId="37DBE5C7" w14:textId="77777777" w:rsidR="007D1E74" w:rsidRDefault="007D1E74">
            <w:pPr>
              <w:pStyle w:val="afffff8"/>
              <w:rPr>
                <w:rFonts w:cs="Times New Roman"/>
              </w:rPr>
            </w:pPr>
          </w:p>
        </w:tc>
        <w:tc>
          <w:tcPr>
            <w:tcW w:w="610" w:type="pct"/>
            <w:shd w:val="clear" w:color="auto" w:fill="auto"/>
            <w:vAlign w:val="center"/>
          </w:tcPr>
          <w:p w14:paraId="0A0AD019" w14:textId="77777777" w:rsidR="007D1E74" w:rsidRDefault="00A95641">
            <w:pPr>
              <w:pStyle w:val="afffff8"/>
              <w:rPr>
                <w:rFonts w:cs="Times New Roman"/>
              </w:rPr>
            </w:pPr>
            <w:r>
              <w:rPr>
                <w:rFonts w:cs="Times New Roman"/>
              </w:rPr>
              <w:t>出土点</w:t>
            </w:r>
          </w:p>
        </w:tc>
        <w:tc>
          <w:tcPr>
            <w:tcW w:w="1677" w:type="pct"/>
            <w:shd w:val="clear" w:color="auto" w:fill="auto"/>
            <w:vAlign w:val="center"/>
          </w:tcPr>
          <w:p w14:paraId="5BDE0986" w14:textId="77777777" w:rsidR="007D1E74" w:rsidRDefault="00A95641">
            <w:pPr>
              <w:pStyle w:val="afffff8"/>
              <w:rPr>
                <w:rFonts w:cs="Times New Roman"/>
              </w:rPr>
            </w:pPr>
            <w:r>
              <w:rPr>
                <w:rFonts w:cs="Times New Roman"/>
              </w:rPr>
              <w:t>X=3564827.570,Y=422110.739</w:t>
            </w:r>
          </w:p>
        </w:tc>
        <w:tc>
          <w:tcPr>
            <w:tcW w:w="838" w:type="pct"/>
            <w:vMerge/>
            <w:vAlign w:val="center"/>
          </w:tcPr>
          <w:p w14:paraId="70204D97" w14:textId="77777777" w:rsidR="007D1E74" w:rsidRDefault="007D1E74">
            <w:pPr>
              <w:pStyle w:val="afffff8"/>
              <w:rPr>
                <w:rFonts w:cs="Times New Roman"/>
              </w:rPr>
            </w:pPr>
          </w:p>
        </w:tc>
        <w:tc>
          <w:tcPr>
            <w:tcW w:w="742" w:type="pct"/>
            <w:shd w:val="clear" w:color="auto" w:fill="auto"/>
            <w:vAlign w:val="center"/>
          </w:tcPr>
          <w:p w14:paraId="224D99FC" w14:textId="77777777" w:rsidR="007D1E74" w:rsidRDefault="00A95641">
            <w:pPr>
              <w:pStyle w:val="afffff8"/>
              <w:rPr>
                <w:rFonts w:cs="Times New Roman"/>
              </w:rPr>
            </w:pPr>
            <w:r>
              <w:rPr>
                <w:rFonts w:cs="Times New Roman"/>
              </w:rPr>
              <w:t>不涉及</w:t>
            </w:r>
          </w:p>
        </w:tc>
        <w:tc>
          <w:tcPr>
            <w:tcW w:w="526" w:type="pct"/>
            <w:shd w:val="clear" w:color="auto" w:fill="auto"/>
            <w:vAlign w:val="center"/>
          </w:tcPr>
          <w:p w14:paraId="16192367" w14:textId="77777777" w:rsidR="007D1E74" w:rsidRDefault="00A95641">
            <w:pPr>
              <w:pStyle w:val="afffff8"/>
              <w:rPr>
                <w:rFonts w:cs="Times New Roman"/>
              </w:rPr>
            </w:pPr>
            <w:r>
              <w:rPr>
                <w:rFonts w:cs="Times New Roman"/>
              </w:rPr>
              <w:t>右岸</w:t>
            </w:r>
          </w:p>
        </w:tc>
      </w:tr>
      <w:tr w:rsidR="007D1E74" w14:paraId="0F3E7520" w14:textId="77777777">
        <w:tc>
          <w:tcPr>
            <w:tcW w:w="607" w:type="pct"/>
            <w:vMerge w:val="restart"/>
            <w:shd w:val="clear" w:color="auto" w:fill="auto"/>
            <w:vAlign w:val="center"/>
          </w:tcPr>
          <w:p w14:paraId="29AA7979" w14:textId="77777777" w:rsidR="007D1E74" w:rsidRDefault="00A95641">
            <w:pPr>
              <w:pStyle w:val="afffff8"/>
              <w:rPr>
                <w:rFonts w:cs="Times New Roman"/>
              </w:rPr>
            </w:pPr>
            <w:r>
              <w:rPr>
                <w:rFonts w:cs="Times New Roman"/>
              </w:rPr>
              <w:t>定向钻</w:t>
            </w:r>
            <w:r>
              <w:rPr>
                <w:rFonts w:cs="Times New Roman"/>
              </w:rPr>
              <w:t>2</w:t>
            </w:r>
          </w:p>
        </w:tc>
        <w:tc>
          <w:tcPr>
            <w:tcW w:w="610" w:type="pct"/>
            <w:shd w:val="clear" w:color="auto" w:fill="auto"/>
            <w:vAlign w:val="center"/>
          </w:tcPr>
          <w:p w14:paraId="0C02E6FC" w14:textId="77777777" w:rsidR="007D1E74" w:rsidRDefault="00A95641">
            <w:pPr>
              <w:pStyle w:val="afffff8"/>
              <w:rPr>
                <w:rFonts w:cs="Times New Roman"/>
              </w:rPr>
            </w:pPr>
            <w:r>
              <w:rPr>
                <w:rFonts w:cs="Times New Roman"/>
              </w:rPr>
              <w:t>入土点</w:t>
            </w:r>
          </w:p>
        </w:tc>
        <w:tc>
          <w:tcPr>
            <w:tcW w:w="1677" w:type="pct"/>
            <w:shd w:val="clear" w:color="auto" w:fill="auto"/>
            <w:vAlign w:val="center"/>
          </w:tcPr>
          <w:p w14:paraId="666404B9" w14:textId="77777777" w:rsidR="007D1E74" w:rsidRDefault="00A95641">
            <w:pPr>
              <w:pStyle w:val="afffff8"/>
              <w:rPr>
                <w:rFonts w:cs="Times New Roman"/>
              </w:rPr>
            </w:pPr>
            <w:r>
              <w:rPr>
                <w:rFonts w:cs="Times New Roman"/>
              </w:rPr>
              <w:t>X=3561867.092,Y=421856.405</w:t>
            </w:r>
          </w:p>
        </w:tc>
        <w:tc>
          <w:tcPr>
            <w:tcW w:w="838" w:type="pct"/>
            <w:vMerge w:val="restart"/>
            <w:shd w:val="clear" w:color="auto" w:fill="auto"/>
            <w:vAlign w:val="center"/>
          </w:tcPr>
          <w:p w14:paraId="2616095F" w14:textId="77777777" w:rsidR="007D1E74" w:rsidRDefault="00A95641">
            <w:pPr>
              <w:pStyle w:val="afffff8"/>
              <w:rPr>
                <w:rFonts w:cs="Times New Roman"/>
              </w:rPr>
            </w:pPr>
            <w:r>
              <w:rPr>
                <w:rFonts w:cs="Times New Roman"/>
              </w:rPr>
              <w:t>13m</w:t>
            </w:r>
          </w:p>
        </w:tc>
        <w:tc>
          <w:tcPr>
            <w:tcW w:w="742" w:type="pct"/>
            <w:shd w:val="clear" w:color="auto" w:fill="auto"/>
            <w:vAlign w:val="center"/>
          </w:tcPr>
          <w:p w14:paraId="36724506" w14:textId="77777777" w:rsidR="007D1E74" w:rsidRDefault="00A95641">
            <w:pPr>
              <w:pStyle w:val="afffff8"/>
              <w:rPr>
                <w:rFonts w:cs="Times New Roman"/>
              </w:rPr>
            </w:pPr>
            <w:r>
              <w:rPr>
                <w:rFonts w:cs="Times New Roman"/>
              </w:rPr>
              <w:t>不涉及</w:t>
            </w:r>
          </w:p>
        </w:tc>
        <w:tc>
          <w:tcPr>
            <w:tcW w:w="526" w:type="pct"/>
            <w:shd w:val="clear" w:color="auto" w:fill="auto"/>
            <w:vAlign w:val="center"/>
          </w:tcPr>
          <w:p w14:paraId="58CEC3E8" w14:textId="77777777" w:rsidR="007D1E74" w:rsidRDefault="00A95641">
            <w:pPr>
              <w:pStyle w:val="afffff8"/>
              <w:rPr>
                <w:rFonts w:cs="Times New Roman"/>
              </w:rPr>
            </w:pPr>
            <w:r>
              <w:rPr>
                <w:rFonts w:cs="Times New Roman"/>
              </w:rPr>
              <w:t>左岸</w:t>
            </w:r>
          </w:p>
        </w:tc>
      </w:tr>
      <w:tr w:rsidR="007D1E74" w14:paraId="66B459F2" w14:textId="77777777">
        <w:tc>
          <w:tcPr>
            <w:tcW w:w="607" w:type="pct"/>
            <w:vMerge/>
            <w:vAlign w:val="center"/>
          </w:tcPr>
          <w:p w14:paraId="6A1FF7EE" w14:textId="77777777" w:rsidR="007D1E74" w:rsidRDefault="007D1E74">
            <w:pPr>
              <w:pStyle w:val="afffff8"/>
              <w:rPr>
                <w:rFonts w:cs="Times New Roman"/>
              </w:rPr>
            </w:pPr>
          </w:p>
        </w:tc>
        <w:tc>
          <w:tcPr>
            <w:tcW w:w="610" w:type="pct"/>
            <w:shd w:val="clear" w:color="auto" w:fill="auto"/>
            <w:vAlign w:val="center"/>
          </w:tcPr>
          <w:p w14:paraId="67776536" w14:textId="77777777" w:rsidR="007D1E74" w:rsidRDefault="00A95641">
            <w:pPr>
              <w:pStyle w:val="afffff8"/>
              <w:rPr>
                <w:rFonts w:cs="Times New Roman"/>
              </w:rPr>
            </w:pPr>
            <w:r>
              <w:rPr>
                <w:rFonts w:cs="Times New Roman"/>
              </w:rPr>
              <w:t>出土点</w:t>
            </w:r>
          </w:p>
        </w:tc>
        <w:tc>
          <w:tcPr>
            <w:tcW w:w="1677" w:type="pct"/>
            <w:shd w:val="clear" w:color="auto" w:fill="auto"/>
            <w:vAlign w:val="center"/>
          </w:tcPr>
          <w:p w14:paraId="6A72BD34" w14:textId="77777777" w:rsidR="007D1E74" w:rsidRDefault="00A95641">
            <w:pPr>
              <w:pStyle w:val="afffff8"/>
              <w:rPr>
                <w:rFonts w:cs="Times New Roman"/>
              </w:rPr>
            </w:pPr>
            <w:r>
              <w:rPr>
                <w:rFonts w:cs="Times New Roman"/>
              </w:rPr>
              <w:t>X=3561643.275, Y=421625.624</w:t>
            </w:r>
          </w:p>
        </w:tc>
        <w:tc>
          <w:tcPr>
            <w:tcW w:w="838" w:type="pct"/>
            <w:vMerge/>
            <w:vAlign w:val="center"/>
          </w:tcPr>
          <w:p w14:paraId="4ED16601" w14:textId="77777777" w:rsidR="007D1E74" w:rsidRDefault="007D1E74">
            <w:pPr>
              <w:pStyle w:val="afffff8"/>
              <w:rPr>
                <w:rFonts w:cs="Times New Roman"/>
              </w:rPr>
            </w:pPr>
          </w:p>
        </w:tc>
        <w:tc>
          <w:tcPr>
            <w:tcW w:w="742" w:type="pct"/>
            <w:shd w:val="clear" w:color="auto" w:fill="auto"/>
            <w:vAlign w:val="center"/>
          </w:tcPr>
          <w:p w14:paraId="524326B4" w14:textId="77777777" w:rsidR="007D1E74" w:rsidRDefault="00A95641">
            <w:pPr>
              <w:pStyle w:val="afffff8"/>
              <w:rPr>
                <w:rFonts w:cs="Times New Roman"/>
              </w:rPr>
            </w:pPr>
            <w:r>
              <w:rPr>
                <w:rFonts w:cs="Times New Roman"/>
              </w:rPr>
              <w:t>不涉及</w:t>
            </w:r>
          </w:p>
        </w:tc>
        <w:tc>
          <w:tcPr>
            <w:tcW w:w="526" w:type="pct"/>
            <w:shd w:val="clear" w:color="auto" w:fill="auto"/>
            <w:vAlign w:val="center"/>
          </w:tcPr>
          <w:p w14:paraId="7530A845" w14:textId="77777777" w:rsidR="007D1E74" w:rsidRDefault="00A95641">
            <w:pPr>
              <w:pStyle w:val="afffff8"/>
              <w:rPr>
                <w:rFonts w:cs="Times New Roman"/>
              </w:rPr>
            </w:pPr>
            <w:r>
              <w:rPr>
                <w:rFonts w:cs="Times New Roman"/>
              </w:rPr>
              <w:t>右岸</w:t>
            </w:r>
          </w:p>
        </w:tc>
      </w:tr>
      <w:tr w:rsidR="007D1E74" w14:paraId="7BBCECCF" w14:textId="77777777">
        <w:tc>
          <w:tcPr>
            <w:tcW w:w="5000" w:type="pct"/>
            <w:gridSpan w:val="6"/>
            <w:vAlign w:val="center"/>
          </w:tcPr>
          <w:p w14:paraId="2FEB94EC" w14:textId="77777777" w:rsidR="007D1E74" w:rsidRDefault="00A95641">
            <w:pPr>
              <w:pStyle w:val="afffff8"/>
              <w:jc w:val="both"/>
              <w:rPr>
                <w:rFonts w:cs="Times New Roman"/>
              </w:rPr>
            </w:pPr>
            <w:r>
              <w:rPr>
                <w:rFonts w:cs="Times New Roman" w:hint="eastAsia"/>
              </w:rPr>
              <w:t>注：平面坐标为国家</w:t>
            </w:r>
            <w:r>
              <w:rPr>
                <w:rFonts w:cs="Times New Roman" w:hint="eastAsia"/>
              </w:rPr>
              <w:t>2000</w:t>
            </w:r>
            <w:r>
              <w:rPr>
                <w:rFonts w:cs="Times New Roman" w:hint="eastAsia"/>
              </w:rPr>
              <w:t>大地坐标系，</w:t>
            </w:r>
            <w:r>
              <w:rPr>
                <w:rFonts w:cs="Times New Roman" w:hint="eastAsia"/>
              </w:rPr>
              <w:t>3</w:t>
            </w:r>
            <w:r>
              <w:rPr>
                <w:rFonts w:cs="Times New Roman" w:hint="eastAsia"/>
              </w:rPr>
              <w:t>度带第</w:t>
            </w:r>
            <w:r>
              <w:rPr>
                <w:rFonts w:cs="Times New Roman" w:hint="eastAsia"/>
              </w:rPr>
              <w:t>36</w:t>
            </w:r>
            <w:r>
              <w:rPr>
                <w:rFonts w:cs="Times New Roman" w:hint="eastAsia"/>
              </w:rPr>
              <w:t>分带。</w:t>
            </w:r>
          </w:p>
        </w:tc>
      </w:tr>
    </w:tbl>
    <w:p w14:paraId="19D5C18E" w14:textId="77777777" w:rsidR="007D1E74" w:rsidRDefault="00A95641">
      <w:pPr>
        <w:spacing w:line="360" w:lineRule="auto"/>
        <w:ind w:firstLineChars="200" w:firstLine="480"/>
        <w:rPr>
          <w:rFonts w:cs="Times New Roman"/>
          <w:sz w:val="24"/>
          <w:szCs w:val="24"/>
        </w:rPr>
      </w:pPr>
      <w:r>
        <w:rPr>
          <w:rFonts w:cs="Times New Roman" w:hint="eastAsia"/>
          <w:sz w:val="24"/>
          <w:szCs w:val="24"/>
        </w:rPr>
        <w:lastRenderedPageBreak/>
        <w:t>小通江河穿越段河流左右两岸均为农田，地形平坦开阔。入土点和出土点均远离小通江河的河岸，并不涉及生态保护红线。由于无法获得工程水域的二十年一遇水位线，本报告以调查二十年最高水位线做参考，下表一一介绍定向钻距离小通江河常水位及二十年最高水位线的距离。穿越工程均在保护区边界线以外施工，且在保护区内无临时或永久性构筑物。</w:t>
      </w:r>
    </w:p>
    <w:p w14:paraId="386F1DE8" w14:textId="77777777" w:rsidR="007D1E74" w:rsidRDefault="00A95641">
      <w:pPr>
        <w:pStyle w:val="afffffe"/>
        <w:numPr>
          <w:ilvl w:val="0"/>
          <w:numId w:val="44"/>
        </w:numPr>
        <w:spacing w:line="360" w:lineRule="auto"/>
        <w:ind w:firstLineChars="0"/>
        <w:jc w:val="center"/>
        <w:rPr>
          <w:rFonts w:eastAsia="黑体" w:cs="Times New Roman"/>
          <w:szCs w:val="21"/>
        </w:rPr>
      </w:pPr>
      <w:r>
        <w:rPr>
          <w:rFonts w:eastAsia="黑体" w:cs="Times New Roman" w:hint="eastAsia"/>
          <w:szCs w:val="21"/>
        </w:rPr>
        <w:t>定向钻入、出土点与河岸线距离关系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1"/>
        <w:gridCol w:w="1374"/>
        <w:gridCol w:w="1374"/>
        <w:gridCol w:w="1513"/>
        <w:gridCol w:w="1785"/>
        <w:gridCol w:w="1599"/>
      </w:tblGrid>
      <w:tr w:rsidR="007D1E74" w14:paraId="32DBEDDB" w14:textId="77777777">
        <w:trPr>
          <w:tblHeader/>
        </w:trPr>
        <w:tc>
          <w:tcPr>
            <w:tcW w:w="1522" w:type="pct"/>
            <w:gridSpan w:val="2"/>
            <w:shd w:val="clear" w:color="auto" w:fill="auto"/>
            <w:vAlign w:val="center"/>
          </w:tcPr>
          <w:p w14:paraId="19DB2566" w14:textId="77777777" w:rsidR="007D1E74" w:rsidRDefault="00A95641">
            <w:pPr>
              <w:pStyle w:val="afffff8"/>
              <w:rPr>
                <w:rFonts w:cs="Times New Roman"/>
              </w:rPr>
            </w:pPr>
            <w:r>
              <w:rPr>
                <w:rFonts w:cs="Times New Roman"/>
              </w:rPr>
              <w:t>穿越点</w:t>
            </w:r>
          </w:p>
        </w:tc>
        <w:tc>
          <w:tcPr>
            <w:tcW w:w="762" w:type="pct"/>
            <w:shd w:val="clear" w:color="auto" w:fill="auto"/>
            <w:vAlign w:val="center"/>
          </w:tcPr>
          <w:p w14:paraId="073684E9" w14:textId="77777777" w:rsidR="007D1E74" w:rsidRDefault="00A95641">
            <w:pPr>
              <w:pStyle w:val="afffff8"/>
              <w:rPr>
                <w:rFonts w:cs="Times New Roman"/>
              </w:rPr>
            </w:pPr>
            <w:r>
              <w:rPr>
                <w:rFonts w:cs="Times New Roman" w:hint="eastAsia"/>
              </w:rPr>
              <w:t>河岸</w:t>
            </w:r>
          </w:p>
        </w:tc>
        <w:tc>
          <w:tcPr>
            <w:tcW w:w="839" w:type="pct"/>
            <w:vAlign w:val="center"/>
          </w:tcPr>
          <w:p w14:paraId="5195A3BA" w14:textId="77777777" w:rsidR="007D1E74" w:rsidRDefault="00A95641">
            <w:pPr>
              <w:autoSpaceDE w:val="0"/>
              <w:autoSpaceDN w:val="0"/>
              <w:adjustRightInd w:val="0"/>
              <w:jc w:val="center"/>
              <w:rPr>
                <w:bCs/>
                <w:kern w:val="0"/>
                <w:szCs w:val="21"/>
              </w:rPr>
            </w:pPr>
            <w:r>
              <w:rPr>
                <w:bCs/>
                <w:kern w:val="0"/>
                <w:szCs w:val="21"/>
              </w:rPr>
              <w:t>与常水位距离（</w:t>
            </w:r>
            <w:r>
              <w:rPr>
                <w:bCs/>
                <w:kern w:val="0"/>
                <w:szCs w:val="21"/>
              </w:rPr>
              <w:t>m</w:t>
            </w:r>
            <w:r>
              <w:rPr>
                <w:bCs/>
                <w:kern w:val="0"/>
                <w:szCs w:val="21"/>
              </w:rPr>
              <w:t>）</w:t>
            </w:r>
          </w:p>
        </w:tc>
        <w:tc>
          <w:tcPr>
            <w:tcW w:w="990" w:type="pct"/>
            <w:vAlign w:val="center"/>
          </w:tcPr>
          <w:p w14:paraId="74B7028A" w14:textId="77777777" w:rsidR="007D1E74" w:rsidRDefault="00A95641">
            <w:pPr>
              <w:pStyle w:val="afffff8"/>
              <w:rPr>
                <w:rFonts w:cs="Times New Roman"/>
                <w:bCs/>
              </w:rPr>
            </w:pPr>
            <w:r>
              <w:rPr>
                <w:bCs/>
                <w:kern w:val="0"/>
              </w:rPr>
              <w:t>与二十年最高洪水线距离（</w:t>
            </w:r>
            <w:r>
              <w:rPr>
                <w:bCs/>
                <w:kern w:val="0"/>
              </w:rPr>
              <w:t>m</w:t>
            </w:r>
            <w:r>
              <w:rPr>
                <w:bCs/>
                <w:kern w:val="0"/>
              </w:rPr>
              <w:t>）</w:t>
            </w:r>
          </w:p>
        </w:tc>
        <w:tc>
          <w:tcPr>
            <w:tcW w:w="887" w:type="pct"/>
            <w:vAlign w:val="center"/>
          </w:tcPr>
          <w:p w14:paraId="2BE95E85" w14:textId="77777777" w:rsidR="007D1E74" w:rsidRDefault="00A95641">
            <w:pPr>
              <w:pStyle w:val="afffff8"/>
              <w:rPr>
                <w:rFonts w:cs="Times New Roman"/>
                <w:bCs/>
              </w:rPr>
            </w:pPr>
            <w:r>
              <w:rPr>
                <w:bCs/>
                <w:kern w:val="0"/>
              </w:rPr>
              <w:t>备注</w:t>
            </w:r>
          </w:p>
        </w:tc>
      </w:tr>
      <w:tr w:rsidR="007D1E74" w14:paraId="343A5AFF" w14:textId="77777777">
        <w:tc>
          <w:tcPr>
            <w:tcW w:w="760" w:type="pct"/>
            <w:vMerge w:val="restart"/>
            <w:shd w:val="clear" w:color="auto" w:fill="auto"/>
            <w:vAlign w:val="center"/>
          </w:tcPr>
          <w:p w14:paraId="3A40C6B9" w14:textId="77777777" w:rsidR="007D1E74" w:rsidRDefault="00A95641">
            <w:pPr>
              <w:pStyle w:val="afffff8"/>
              <w:rPr>
                <w:rFonts w:cs="Times New Roman"/>
              </w:rPr>
            </w:pPr>
            <w:r>
              <w:rPr>
                <w:rFonts w:cs="Times New Roman"/>
              </w:rPr>
              <w:t>定向钻</w:t>
            </w:r>
            <w:r>
              <w:rPr>
                <w:rFonts w:cs="Times New Roman"/>
              </w:rPr>
              <w:t>1</w:t>
            </w:r>
          </w:p>
        </w:tc>
        <w:tc>
          <w:tcPr>
            <w:tcW w:w="762" w:type="pct"/>
            <w:shd w:val="clear" w:color="auto" w:fill="auto"/>
            <w:vAlign w:val="center"/>
          </w:tcPr>
          <w:p w14:paraId="62146AB7" w14:textId="77777777" w:rsidR="007D1E74" w:rsidRDefault="00A95641">
            <w:pPr>
              <w:pStyle w:val="afffff8"/>
              <w:rPr>
                <w:rFonts w:cs="Times New Roman"/>
              </w:rPr>
            </w:pPr>
            <w:r>
              <w:rPr>
                <w:rFonts w:cs="Times New Roman"/>
              </w:rPr>
              <w:t>入土点</w:t>
            </w:r>
          </w:p>
        </w:tc>
        <w:tc>
          <w:tcPr>
            <w:tcW w:w="762" w:type="pct"/>
            <w:shd w:val="clear" w:color="auto" w:fill="auto"/>
            <w:vAlign w:val="center"/>
          </w:tcPr>
          <w:p w14:paraId="444EE192" w14:textId="77777777" w:rsidR="007D1E74" w:rsidRDefault="00A95641">
            <w:pPr>
              <w:pStyle w:val="afffff8"/>
              <w:rPr>
                <w:rFonts w:cs="Times New Roman"/>
              </w:rPr>
            </w:pPr>
            <w:r>
              <w:rPr>
                <w:rFonts w:cs="Times New Roman"/>
              </w:rPr>
              <w:t>左岸</w:t>
            </w:r>
          </w:p>
        </w:tc>
        <w:tc>
          <w:tcPr>
            <w:tcW w:w="839" w:type="pct"/>
            <w:vAlign w:val="center"/>
          </w:tcPr>
          <w:p w14:paraId="213077E1" w14:textId="77777777" w:rsidR="007D1E74" w:rsidRDefault="00A95641">
            <w:pPr>
              <w:pStyle w:val="afffff8"/>
              <w:rPr>
                <w:rFonts w:cs="Times New Roman"/>
              </w:rPr>
            </w:pPr>
            <w:r>
              <w:rPr>
                <w:rFonts w:cs="Times New Roman"/>
                <w:kern w:val="0"/>
              </w:rPr>
              <w:t>131.64</w:t>
            </w:r>
          </w:p>
        </w:tc>
        <w:tc>
          <w:tcPr>
            <w:tcW w:w="990" w:type="pct"/>
            <w:vAlign w:val="center"/>
          </w:tcPr>
          <w:p w14:paraId="5B73C469" w14:textId="77777777" w:rsidR="007D1E74" w:rsidRDefault="00A95641">
            <w:pPr>
              <w:pStyle w:val="afffff8"/>
              <w:rPr>
                <w:rFonts w:cs="Times New Roman"/>
              </w:rPr>
            </w:pPr>
            <w:r>
              <w:rPr>
                <w:rFonts w:cs="Times New Roman"/>
                <w:kern w:val="0"/>
              </w:rPr>
              <w:t>100.05</w:t>
            </w:r>
          </w:p>
        </w:tc>
        <w:tc>
          <w:tcPr>
            <w:tcW w:w="887" w:type="pct"/>
            <w:vAlign w:val="center"/>
          </w:tcPr>
          <w:p w14:paraId="0342C98A" w14:textId="77777777" w:rsidR="007D1E74" w:rsidRDefault="00A95641">
            <w:pPr>
              <w:pStyle w:val="afffff8"/>
              <w:rPr>
                <w:rFonts w:cs="Times New Roman"/>
              </w:rPr>
            </w:pPr>
            <w:r>
              <w:rPr>
                <w:rFonts w:cs="Times New Roman"/>
                <w:kern w:val="0"/>
              </w:rPr>
              <w:t>/</w:t>
            </w:r>
          </w:p>
        </w:tc>
      </w:tr>
      <w:tr w:rsidR="007D1E74" w14:paraId="52894566" w14:textId="77777777">
        <w:tc>
          <w:tcPr>
            <w:tcW w:w="760" w:type="pct"/>
            <w:vMerge/>
            <w:vAlign w:val="center"/>
          </w:tcPr>
          <w:p w14:paraId="3DC1B464" w14:textId="77777777" w:rsidR="007D1E74" w:rsidRDefault="007D1E74">
            <w:pPr>
              <w:pStyle w:val="afffff8"/>
              <w:rPr>
                <w:rFonts w:cs="Times New Roman"/>
              </w:rPr>
            </w:pPr>
          </w:p>
        </w:tc>
        <w:tc>
          <w:tcPr>
            <w:tcW w:w="762" w:type="pct"/>
            <w:shd w:val="clear" w:color="auto" w:fill="auto"/>
            <w:vAlign w:val="center"/>
          </w:tcPr>
          <w:p w14:paraId="4B32434F" w14:textId="77777777" w:rsidR="007D1E74" w:rsidRDefault="00A95641">
            <w:pPr>
              <w:pStyle w:val="afffff8"/>
              <w:rPr>
                <w:rFonts w:cs="Times New Roman"/>
              </w:rPr>
            </w:pPr>
            <w:r>
              <w:rPr>
                <w:rFonts w:cs="Times New Roman"/>
              </w:rPr>
              <w:t>出土点</w:t>
            </w:r>
          </w:p>
        </w:tc>
        <w:tc>
          <w:tcPr>
            <w:tcW w:w="762" w:type="pct"/>
            <w:shd w:val="clear" w:color="auto" w:fill="auto"/>
            <w:vAlign w:val="center"/>
          </w:tcPr>
          <w:p w14:paraId="624D0583" w14:textId="77777777" w:rsidR="007D1E74" w:rsidRDefault="00A95641">
            <w:pPr>
              <w:pStyle w:val="afffff8"/>
              <w:rPr>
                <w:rFonts w:cs="Times New Roman"/>
              </w:rPr>
            </w:pPr>
            <w:r>
              <w:rPr>
                <w:rFonts w:cs="Times New Roman"/>
              </w:rPr>
              <w:t>右岸</w:t>
            </w:r>
          </w:p>
        </w:tc>
        <w:tc>
          <w:tcPr>
            <w:tcW w:w="839" w:type="pct"/>
            <w:vAlign w:val="center"/>
          </w:tcPr>
          <w:p w14:paraId="3FD96E4C" w14:textId="77777777" w:rsidR="007D1E74" w:rsidRDefault="00A95641">
            <w:pPr>
              <w:pStyle w:val="afffff8"/>
              <w:rPr>
                <w:rFonts w:cs="Times New Roman"/>
              </w:rPr>
            </w:pPr>
            <w:r>
              <w:rPr>
                <w:rFonts w:cs="Times New Roman"/>
                <w:kern w:val="0"/>
              </w:rPr>
              <w:t>101.11</w:t>
            </w:r>
          </w:p>
        </w:tc>
        <w:tc>
          <w:tcPr>
            <w:tcW w:w="990" w:type="pct"/>
            <w:vAlign w:val="center"/>
          </w:tcPr>
          <w:p w14:paraId="13692F2E" w14:textId="77777777" w:rsidR="007D1E74" w:rsidRDefault="00A95641">
            <w:pPr>
              <w:pStyle w:val="afffff8"/>
              <w:rPr>
                <w:rFonts w:cs="Times New Roman"/>
              </w:rPr>
            </w:pPr>
            <w:r>
              <w:rPr>
                <w:rFonts w:cs="Times New Roman"/>
                <w:kern w:val="0"/>
              </w:rPr>
              <w:t>/</w:t>
            </w:r>
          </w:p>
        </w:tc>
        <w:tc>
          <w:tcPr>
            <w:tcW w:w="887" w:type="pct"/>
            <w:vAlign w:val="center"/>
          </w:tcPr>
          <w:p w14:paraId="4543BBD2" w14:textId="77777777" w:rsidR="007D1E74" w:rsidRDefault="00A95641">
            <w:pPr>
              <w:pStyle w:val="afffff8"/>
              <w:rPr>
                <w:rFonts w:cs="Times New Roman"/>
              </w:rPr>
            </w:pPr>
            <w:r>
              <w:rPr>
                <w:rFonts w:cs="Times New Roman"/>
                <w:snapToGrid w:val="0"/>
              </w:rPr>
              <w:t>马</w:t>
            </w:r>
            <w:r>
              <w:rPr>
                <w:rFonts w:cs="Times New Roman"/>
                <w:snapToGrid w:val="0"/>
              </w:rPr>
              <w:t>1-13H</w:t>
            </w:r>
            <w:r>
              <w:rPr>
                <w:rFonts w:cs="Times New Roman"/>
                <w:snapToGrid w:val="0"/>
              </w:rPr>
              <w:t>井旁</w:t>
            </w:r>
          </w:p>
        </w:tc>
      </w:tr>
      <w:tr w:rsidR="007D1E74" w14:paraId="178AFA79" w14:textId="77777777">
        <w:tc>
          <w:tcPr>
            <w:tcW w:w="760" w:type="pct"/>
            <w:vMerge w:val="restart"/>
            <w:shd w:val="clear" w:color="auto" w:fill="auto"/>
            <w:vAlign w:val="center"/>
          </w:tcPr>
          <w:p w14:paraId="77383949" w14:textId="77777777" w:rsidR="007D1E74" w:rsidRDefault="00A95641">
            <w:pPr>
              <w:pStyle w:val="afffff8"/>
              <w:rPr>
                <w:rFonts w:cs="Times New Roman"/>
              </w:rPr>
            </w:pPr>
            <w:r>
              <w:rPr>
                <w:rFonts w:cs="Times New Roman"/>
              </w:rPr>
              <w:t>定向钻</w:t>
            </w:r>
            <w:r>
              <w:rPr>
                <w:rFonts w:cs="Times New Roman"/>
              </w:rPr>
              <w:t>2</w:t>
            </w:r>
          </w:p>
        </w:tc>
        <w:tc>
          <w:tcPr>
            <w:tcW w:w="762" w:type="pct"/>
            <w:shd w:val="clear" w:color="auto" w:fill="auto"/>
            <w:vAlign w:val="center"/>
          </w:tcPr>
          <w:p w14:paraId="42FAA08D" w14:textId="77777777" w:rsidR="007D1E74" w:rsidRDefault="00A95641">
            <w:pPr>
              <w:pStyle w:val="afffff8"/>
              <w:rPr>
                <w:rFonts w:cs="Times New Roman"/>
              </w:rPr>
            </w:pPr>
            <w:r>
              <w:rPr>
                <w:rFonts w:cs="Times New Roman"/>
              </w:rPr>
              <w:t>入土点</w:t>
            </w:r>
          </w:p>
        </w:tc>
        <w:tc>
          <w:tcPr>
            <w:tcW w:w="762" w:type="pct"/>
            <w:shd w:val="clear" w:color="auto" w:fill="auto"/>
            <w:vAlign w:val="center"/>
          </w:tcPr>
          <w:p w14:paraId="23EE24F4" w14:textId="77777777" w:rsidR="007D1E74" w:rsidRDefault="00A95641">
            <w:pPr>
              <w:pStyle w:val="afffff8"/>
              <w:rPr>
                <w:rFonts w:cs="Times New Roman"/>
              </w:rPr>
            </w:pPr>
            <w:r>
              <w:rPr>
                <w:rFonts w:cs="Times New Roman"/>
              </w:rPr>
              <w:t>左岸</w:t>
            </w:r>
          </w:p>
        </w:tc>
        <w:tc>
          <w:tcPr>
            <w:tcW w:w="839" w:type="pct"/>
            <w:vAlign w:val="center"/>
          </w:tcPr>
          <w:p w14:paraId="020C756B" w14:textId="77777777" w:rsidR="007D1E74" w:rsidRDefault="00A95641">
            <w:pPr>
              <w:pStyle w:val="afffff8"/>
              <w:rPr>
                <w:rFonts w:cs="Times New Roman"/>
              </w:rPr>
            </w:pPr>
            <w:r>
              <w:rPr>
                <w:rFonts w:cs="Times New Roman"/>
                <w:kern w:val="0"/>
              </w:rPr>
              <w:t>131.27</w:t>
            </w:r>
          </w:p>
        </w:tc>
        <w:tc>
          <w:tcPr>
            <w:tcW w:w="990" w:type="pct"/>
            <w:vAlign w:val="center"/>
          </w:tcPr>
          <w:p w14:paraId="33013601" w14:textId="77777777" w:rsidR="007D1E74" w:rsidRDefault="00A95641">
            <w:pPr>
              <w:pStyle w:val="afffff8"/>
              <w:rPr>
                <w:rFonts w:cs="Times New Roman"/>
              </w:rPr>
            </w:pPr>
            <w:r>
              <w:rPr>
                <w:rFonts w:cs="Times New Roman"/>
                <w:kern w:val="0"/>
              </w:rPr>
              <w:t>42.96</w:t>
            </w:r>
          </w:p>
        </w:tc>
        <w:tc>
          <w:tcPr>
            <w:tcW w:w="887" w:type="pct"/>
            <w:vAlign w:val="center"/>
          </w:tcPr>
          <w:p w14:paraId="50819DAE" w14:textId="77777777" w:rsidR="007D1E74" w:rsidRDefault="00A95641">
            <w:pPr>
              <w:pStyle w:val="afffff8"/>
              <w:rPr>
                <w:rFonts w:cs="Times New Roman"/>
              </w:rPr>
            </w:pPr>
            <w:r>
              <w:rPr>
                <w:rFonts w:cs="Times New Roman"/>
                <w:kern w:val="0"/>
              </w:rPr>
              <w:t>/</w:t>
            </w:r>
          </w:p>
        </w:tc>
      </w:tr>
      <w:tr w:rsidR="007D1E74" w14:paraId="126139F0" w14:textId="77777777">
        <w:trPr>
          <w:trHeight w:val="70"/>
        </w:trPr>
        <w:tc>
          <w:tcPr>
            <w:tcW w:w="760" w:type="pct"/>
            <w:vMerge/>
            <w:vAlign w:val="center"/>
          </w:tcPr>
          <w:p w14:paraId="49B7BAC4" w14:textId="77777777" w:rsidR="007D1E74" w:rsidRDefault="007D1E74">
            <w:pPr>
              <w:pStyle w:val="afffff8"/>
              <w:rPr>
                <w:rFonts w:cs="Times New Roman"/>
              </w:rPr>
            </w:pPr>
          </w:p>
        </w:tc>
        <w:tc>
          <w:tcPr>
            <w:tcW w:w="762" w:type="pct"/>
            <w:shd w:val="clear" w:color="auto" w:fill="auto"/>
            <w:vAlign w:val="center"/>
          </w:tcPr>
          <w:p w14:paraId="2884BDA2" w14:textId="77777777" w:rsidR="007D1E74" w:rsidRDefault="00A95641">
            <w:pPr>
              <w:pStyle w:val="afffff8"/>
              <w:rPr>
                <w:rFonts w:cs="Times New Roman"/>
              </w:rPr>
            </w:pPr>
            <w:r>
              <w:rPr>
                <w:rFonts w:cs="Times New Roman"/>
              </w:rPr>
              <w:t>出土点</w:t>
            </w:r>
          </w:p>
        </w:tc>
        <w:tc>
          <w:tcPr>
            <w:tcW w:w="762" w:type="pct"/>
            <w:shd w:val="clear" w:color="auto" w:fill="auto"/>
            <w:vAlign w:val="center"/>
          </w:tcPr>
          <w:p w14:paraId="076BADD2" w14:textId="77777777" w:rsidR="007D1E74" w:rsidRDefault="00A95641">
            <w:pPr>
              <w:pStyle w:val="afffff8"/>
              <w:rPr>
                <w:rFonts w:cs="Times New Roman"/>
              </w:rPr>
            </w:pPr>
            <w:r>
              <w:rPr>
                <w:rFonts w:cs="Times New Roman"/>
              </w:rPr>
              <w:t>右岸</w:t>
            </w:r>
          </w:p>
        </w:tc>
        <w:tc>
          <w:tcPr>
            <w:tcW w:w="839" w:type="pct"/>
            <w:vAlign w:val="center"/>
          </w:tcPr>
          <w:p w14:paraId="48F80D15" w14:textId="77777777" w:rsidR="007D1E74" w:rsidRDefault="00A95641">
            <w:pPr>
              <w:pStyle w:val="afffff8"/>
              <w:rPr>
                <w:rFonts w:cs="Times New Roman"/>
              </w:rPr>
            </w:pPr>
            <w:r>
              <w:rPr>
                <w:rFonts w:cs="Times New Roman"/>
                <w:kern w:val="0"/>
              </w:rPr>
              <w:t>97.91</w:t>
            </w:r>
          </w:p>
        </w:tc>
        <w:tc>
          <w:tcPr>
            <w:tcW w:w="990" w:type="pct"/>
            <w:vAlign w:val="center"/>
          </w:tcPr>
          <w:p w14:paraId="6F1AB684" w14:textId="77777777" w:rsidR="007D1E74" w:rsidRDefault="00A95641">
            <w:pPr>
              <w:pStyle w:val="afffff8"/>
              <w:rPr>
                <w:rFonts w:cs="Times New Roman"/>
              </w:rPr>
            </w:pPr>
            <w:r>
              <w:rPr>
                <w:rFonts w:cs="Times New Roman"/>
                <w:kern w:val="0"/>
              </w:rPr>
              <w:t>80.77</w:t>
            </w:r>
          </w:p>
        </w:tc>
        <w:tc>
          <w:tcPr>
            <w:tcW w:w="887" w:type="pct"/>
            <w:vAlign w:val="center"/>
          </w:tcPr>
          <w:p w14:paraId="6ED8E8A0" w14:textId="77777777" w:rsidR="007D1E74" w:rsidRDefault="00A95641">
            <w:pPr>
              <w:pStyle w:val="afffff8"/>
              <w:rPr>
                <w:rFonts w:cs="Times New Roman"/>
              </w:rPr>
            </w:pPr>
            <w:r>
              <w:rPr>
                <w:rFonts w:cs="Times New Roman"/>
                <w:kern w:val="0"/>
              </w:rPr>
              <w:t>/</w:t>
            </w:r>
          </w:p>
        </w:tc>
      </w:tr>
      <w:tr w:rsidR="007D1E74" w14:paraId="24E7F345" w14:textId="77777777">
        <w:trPr>
          <w:trHeight w:val="70"/>
        </w:trPr>
        <w:tc>
          <w:tcPr>
            <w:tcW w:w="760" w:type="pct"/>
            <w:vMerge w:val="restart"/>
            <w:vAlign w:val="center"/>
          </w:tcPr>
          <w:p w14:paraId="36F870BF" w14:textId="77777777" w:rsidR="007D1E74" w:rsidRDefault="00A95641">
            <w:pPr>
              <w:pStyle w:val="afffff8"/>
              <w:rPr>
                <w:rFonts w:cs="Times New Roman"/>
              </w:rPr>
            </w:pPr>
            <w:r>
              <w:rPr>
                <w:rFonts w:cs="Times New Roman"/>
              </w:rPr>
              <w:t>定向钻</w:t>
            </w:r>
            <w:r>
              <w:rPr>
                <w:rFonts w:cs="Times New Roman"/>
              </w:rPr>
              <w:t>3</w:t>
            </w:r>
          </w:p>
        </w:tc>
        <w:tc>
          <w:tcPr>
            <w:tcW w:w="762" w:type="pct"/>
            <w:shd w:val="clear" w:color="auto" w:fill="auto"/>
            <w:vAlign w:val="center"/>
          </w:tcPr>
          <w:p w14:paraId="740A30F1" w14:textId="77777777" w:rsidR="007D1E74" w:rsidRDefault="00A95641">
            <w:pPr>
              <w:pStyle w:val="afffff8"/>
              <w:rPr>
                <w:rFonts w:cs="Times New Roman"/>
              </w:rPr>
            </w:pPr>
            <w:r>
              <w:rPr>
                <w:rFonts w:cs="Times New Roman"/>
              </w:rPr>
              <w:t>入土点</w:t>
            </w:r>
          </w:p>
        </w:tc>
        <w:tc>
          <w:tcPr>
            <w:tcW w:w="762" w:type="pct"/>
            <w:shd w:val="clear" w:color="auto" w:fill="auto"/>
            <w:vAlign w:val="center"/>
          </w:tcPr>
          <w:p w14:paraId="46047A6C" w14:textId="77777777" w:rsidR="007D1E74" w:rsidRDefault="00A95641">
            <w:pPr>
              <w:pStyle w:val="afffff8"/>
              <w:rPr>
                <w:rFonts w:cs="Times New Roman"/>
              </w:rPr>
            </w:pPr>
            <w:r>
              <w:rPr>
                <w:rFonts w:cs="Times New Roman"/>
              </w:rPr>
              <w:t>左岸</w:t>
            </w:r>
          </w:p>
        </w:tc>
        <w:tc>
          <w:tcPr>
            <w:tcW w:w="839" w:type="pct"/>
            <w:vAlign w:val="center"/>
          </w:tcPr>
          <w:p w14:paraId="34D9583A" w14:textId="77777777" w:rsidR="007D1E74" w:rsidRDefault="007D1E74">
            <w:pPr>
              <w:pStyle w:val="afffff8"/>
              <w:rPr>
                <w:rFonts w:cs="Times New Roman"/>
                <w:kern w:val="0"/>
              </w:rPr>
            </w:pPr>
          </w:p>
        </w:tc>
        <w:tc>
          <w:tcPr>
            <w:tcW w:w="990" w:type="pct"/>
            <w:vAlign w:val="center"/>
          </w:tcPr>
          <w:p w14:paraId="111A7E7E" w14:textId="77777777" w:rsidR="007D1E74" w:rsidRDefault="00A95641">
            <w:pPr>
              <w:pStyle w:val="afffff8"/>
              <w:rPr>
                <w:rFonts w:cs="Times New Roman"/>
                <w:kern w:val="0"/>
              </w:rPr>
            </w:pPr>
            <w:r>
              <w:rPr>
                <w:rFonts w:cs="Times New Roman" w:hint="eastAsia"/>
                <w:kern w:val="0"/>
              </w:rPr>
              <w:t>6</w:t>
            </w:r>
            <w:r>
              <w:rPr>
                <w:rFonts w:cs="Times New Roman"/>
                <w:kern w:val="0"/>
              </w:rPr>
              <w:t>0.55</w:t>
            </w:r>
          </w:p>
        </w:tc>
        <w:tc>
          <w:tcPr>
            <w:tcW w:w="887" w:type="pct"/>
            <w:vAlign w:val="center"/>
          </w:tcPr>
          <w:p w14:paraId="40735DF2" w14:textId="77777777" w:rsidR="007D1E74" w:rsidRDefault="00A95641">
            <w:pPr>
              <w:pStyle w:val="afffff8"/>
              <w:rPr>
                <w:rFonts w:cs="Times New Roman"/>
                <w:kern w:val="0"/>
              </w:rPr>
            </w:pPr>
            <w:r>
              <w:rPr>
                <w:rFonts w:cs="Times New Roman"/>
                <w:kern w:val="0"/>
              </w:rPr>
              <w:t>/</w:t>
            </w:r>
          </w:p>
        </w:tc>
      </w:tr>
      <w:tr w:rsidR="007D1E74" w14:paraId="31E57866" w14:textId="77777777">
        <w:trPr>
          <w:trHeight w:val="70"/>
        </w:trPr>
        <w:tc>
          <w:tcPr>
            <w:tcW w:w="760" w:type="pct"/>
            <w:vMerge/>
            <w:vAlign w:val="center"/>
          </w:tcPr>
          <w:p w14:paraId="716C562F" w14:textId="77777777" w:rsidR="007D1E74" w:rsidRDefault="007D1E74">
            <w:pPr>
              <w:pStyle w:val="afffff8"/>
              <w:rPr>
                <w:rFonts w:cs="Times New Roman"/>
              </w:rPr>
            </w:pPr>
          </w:p>
        </w:tc>
        <w:tc>
          <w:tcPr>
            <w:tcW w:w="762" w:type="pct"/>
            <w:shd w:val="clear" w:color="auto" w:fill="auto"/>
            <w:vAlign w:val="center"/>
          </w:tcPr>
          <w:p w14:paraId="64334B26" w14:textId="77777777" w:rsidR="007D1E74" w:rsidRDefault="00A95641">
            <w:pPr>
              <w:pStyle w:val="afffff8"/>
              <w:rPr>
                <w:rFonts w:cs="Times New Roman"/>
              </w:rPr>
            </w:pPr>
            <w:r>
              <w:rPr>
                <w:rFonts w:cs="Times New Roman"/>
              </w:rPr>
              <w:t>出土点</w:t>
            </w:r>
          </w:p>
        </w:tc>
        <w:tc>
          <w:tcPr>
            <w:tcW w:w="762" w:type="pct"/>
            <w:shd w:val="clear" w:color="auto" w:fill="auto"/>
            <w:vAlign w:val="center"/>
          </w:tcPr>
          <w:p w14:paraId="1ED6D73C" w14:textId="77777777" w:rsidR="007D1E74" w:rsidRDefault="00A95641">
            <w:pPr>
              <w:pStyle w:val="afffff8"/>
              <w:rPr>
                <w:rFonts w:cs="Times New Roman"/>
              </w:rPr>
            </w:pPr>
            <w:r>
              <w:rPr>
                <w:rFonts w:cs="Times New Roman"/>
              </w:rPr>
              <w:t>右岸</w:t>
            </w:r>
          </w:p>
        </w:tc>
        <w:tc>
          <w:tcPr>
            <w:tcW w:w="839" w:type="pct"/>
            <w:vAlign w:val="center"/>
          </w:tcPr>
          <w:p w14:paraId="330BD7E3" w14:textId="77777777" w:rsidR="007D1E74" w:rsidRDefault="007D1E74">
            <w:pPr>
              <w:pStyle w:val="afffff8"/>
              <w:rPr>
                <w:rFonts w:cs="Times New Roman"/>
                <w:kern w:val="0"/>
              </w:rPr>
            </w:pPr>
          </w:p>
        </w:tc>
        <w:tc>
          <w:tcPr>
            <w:tcW w:w="990" w:type="pct"/>
            <w:vAlign w:val="center"/>
          </w:tcPr>
          <w:p w14:paraId="6865F70E" w14:textId="77777777" w:rsidR="007D1E74" w:rsidRDefault="00A95641">
            <w:pPr>
              <w:pStyle w:val="afffff8"/>
              <w:rPr>
                <w:rFonts w:cs="Times New Roman"/>
                <w:kern w:val="0"/>
              </w:rPr>
            </w:pPr>
            <w:r>
              <w:rPr>
                <w:rFonts w:cs="Times New Roman" w:hint="eastAsia"/>
                <w:kern w:val="0"/>
              </w:rPr>
              <w:t>4</w:t>
            </w:r>
            <w:r>
              <w:rPr>
                <w:rFonts w:cs="Times New Roman"/>
                <w:kern w:val="0"/>
              </w:rPr>
              <w:t>3.78</w:t>
            </w:r>
          </w:p>
        </w:tc>
        <w:tc>
          <w:tcPr>
            <w:tcW w:w="887" w:type="pct"/>
            <w:vAlign w:val="center"/>
          </w:tcPr>
          <w:p w14:paraId="2AC3BAE4" w14:textId="77777777" w:rsidR="007D1E74" w:rsidRDefault="00A95641">
            <w:pPr>
              <w:pStyle w:val="afffff8"/>
              <w:rPr>
                <w:rFonts w:cs="Times New Roman"/>
                <w:kern w:val="0"/>
              </w:rPr>
            </w:pPr>
            <w:r>
              <w:rPr>
                <w:rFonts w:cs="Times New Roman"/>
                <w:kern w:val="0"/>
              </w:rPr>
              <w:t>/</w:t>
            </w:r>
          </w:p>
        </w:tc>
      </w:tr>
    </w:tbl>
    <w:p w14:paraId="4B48A40A" w14:textId="77777777" w:rsidR="007D1E74" w:rsidRDefault="00A95641">
      <w:pPr>
        <w:spacing w:line="360" w:lineRule="auto"/>
        <w:jc w:val="center"/>
        <w:rPr>
          <w:rFonts w:cs="Times New Roman"/>
          <w:sz w:val="24"/>
          <w:szCs w:val="24"/>
        </w:rPr>
      </w:pPr>
      <w:r>
        <w:rPr>
          <w:noProof/>
          <w:sz w:val="24"/>
        </w:rPr>
        <w:drawing>
          <wp:inline distT="0" distB="0" distL="0" distR="0" wp14:anchorId="3F76D929" wp14:editId="4D75E0C5">
            <wp:extent cx="3419475" cy="2515870"/>
            <wp:effectExtent l="0" t="0" r="9525" b="1397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a:xfrm>
                      <a:off x="0" y="0"/>
                      <a:ext cx="3428248" cy="2522673"/>
                    </a:xfrm>
                    <a:prstGeom prst="rect">
                      <a:avLst/>
                    </a:prstGeom>
                    <a:noFill/>
                    <a:ln>
                      <a:noFill/>
                    </a:ln>
                  </pic:spPr>
                </pic:pic>
              </a:graphicData>
            </a:graphic>
          </wp:inline>
        </w:drawing>
      </w:r>
    </w:p>
    <w:p w14:paraId="3CC9FC4F" w14:textId="77777777" w:rsidR="007D1E74" w:rsidRDefault="00A95641">
      <w:pPr>
        <w:pStyle w:val="afffffe"/>
        <w:numPr>
          <w:ilvl w:val="0"/>
          <w:numId w:val="45"/>
        </w:numPr>
        <w:spacing w:line="360" w:lineRule="auto"/>
        <w:ind w:firstLineChars="0"/>
        <w:jc w:val="center"/>
        <w:rPr>
          <w:rFonts w:eastAsia="黑体" w:cs="Times New Roman"/>
          <w:szCs w:val="21"/>
        </w:rPr>
      </w:pPr>
      <w:r>
        <w:rPr>
          <w:rFonts w:eastAsia="黑体" w:cs="Times New Roman" w:hint="eastAsia"/>
          <w:szCs w:val="21"/>
        </w:rPr>
        <w:t>穿越点</w:t>
      </w:r>
      <w:r>
        <w:rPr>
          <w:rFonts w:eastAsia="黑体" w:cs="Times New Roman" w:hint="eastAsia"/>
          <w:szCs w:val="21"/>
        </w:rPr>
        <w:t>1</w:t>
      </w:r>
      <w:r>
        <w:rPr>
          <w:rFonts w:eastAsia="黑体" w:cs="Times New Roman" w:hint="eastAsia"/>
          <w:szCs w:val="21"/>
        </w:rPr>
        <w:t>生境</w:t>
      </w:r>
    </w:p>
    <w:p w14:paraId="2BE13306" w14:textId="77777777" w:rsidR="007D1E74" w:rsidRDefault="00A95641">
      <w:pPr>
        <w:spacing w:line="360" w:lineRule="auto"/>
        <w:ind w:firstLineChars="200" w:firstLine="480"/>
        <w:rPr>
          <w:rFonts w:cs="Times New Roman"/>
          <w:sz w:val="24"/>
          <w:szCs w:val="24"/>
        </w:rPr>
      </w:pPr>
      <w:r>
        <w:rPr>
          <w:rFonts w:cs="Times New Roman" w:hint="eastAsia"/>
          <w:sz w:val="24"/>
          <w:szCs w:val="24"/>
        </w:rPr>
        <w:t>穿越点</w:t>
      </w:r>
      <w:r>
        <w:rPr>
          <w:rFonts w:cs="Times New Roman" w:hint="eastAsia"/>
          <w:sz w:val="24"/>
          <w:szCs w:val="24"/>
        </w:rPr>
        <w:t>1</w:t>
      </w:r>
      <w:r>
        <w:rPr>
          <w:rFonts w:cs="Times New Roman" w:hint="eastAsia"/>
          <w:sz w:val="24"/>
          <w:szCs w:val="24"/>
        </w:rPr>
        <w:t>的右岸地形平坦开阔，修建有马</w:t>
      </w:r>
      <w:r>
        <w:rPr>
          <w:rFonts w:cs="Times New Roman" w:hint="eastAsia"/>
          <w:sz w:val="24"/>
          <w:szCs w:val="24"/>
        </w:rPr>
        <w:t>1-13H</w:t>
      </w:r>
      <w:r>
        <w:rPr>
          <w:rFonts w:cs="Times New Roman" w:hint="eastAsia"/>
          <w:sz w:val="24"/>
          <w:szCs w:val="24"/>
        </w:rPr>
        <w:t>井，右岸穿越点距离河岸</w:t>
      </w:r>
      <w:r>
        <w:rPr>
          <w:rFonts w:cs="Times New Roman" w:hint="eastAsia"/>
          <w:sz w:val="24"/>
          <w:szCs w:val="24"/>
        </w:rPr>
        <w:t>101.11m</w:t>
      </w:r>
      <w:r>
        <w:rPr>
          <w:rFonts w:cs="Times New Roman" w:hint="eastAsia"/>
          <w:sz w:val="24"/>
          <w:szCs w:val="24"/>
        </w:rPr>
        <w:t>；左岸为农田，左岸穿越点距离河岸</w:t>
      </w:r>
      <w:r>
        <w:rPr>
          <w:rFonts w:cs="Times New Roman" w:hint="eastAsia"/>
          <w:sz w:val="24"/>
          <w:szCs w:val="24"/>
        </w:rPr>
        <w:t>131.64m</w:t>
      </w:r>
      <w:r>
        <w:rPr>
          <w:rFonts w:cs="Times New Roman" w:hint="eastAsia"/>
          <w:sz w:val="24"/>
          <w:szCs w:val="24"/>
        </w:rPr>
        <w:t>。</w:t>
      </w:r>
    </w:p>
    <w:p w14:paraId="796F3C3A" w14:textId="77777777" w:rsidR="007D1E74" w:rsidRDefault="00A95641">
      <w:pPr>
        <w:spacing w:line="360" w:lineRule="auto"/>
        <w:jc w:val="center"/>
        <w:rPr>
          <w:rFonts w:cs="Times New Roman"/>
          <w:sz w:val="24"/>
          <w:szCs w:val="24"/>
        </w:rPr>
      </w:pPr>
      <w:r>
        <w:rPr>
          <w:noProof/>
          <w:sz w:val="24"/>
        </w:rPr>
        <w:lastRenderedPageBreak/>
        <w:drawing>
          <wp:inline distT="0" distB="0" distL="0" distR="0" wp14:anchorId="3E3CCE77" wp14:editId="3DC99076">
            <wp:extent cx="3381375" cy="2525395"/>
            <wp:effectExtent l="0" t="0" r="1905" b="4445"/>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a:xfrm>
                      <a:off x="0" y="0"/>
                      <a:ext cx="3388518" cy="2531343"/>
                    </a:xfrm>
                    <a:prstGeom prst="rect">
                      <a:avLst/>
                    </a:prstGeom>
                    <a:noFill/>
                    <a:ln>
                      <a:noFill/>
                    </a:ln>
                  </pic:spPr>
                </pic:pic>
              </a:graphicData>
            </a:graphic>
          </wp:inline>
        </w:drawing>
      </w:r>
    </w:p>
    <w:p w14:paraId="3B666F1D" w14:textId="77777777" w:rsidR="007D1E74" w:rsidRDefault="00A95641">
      <w:pPr>
        <w:pStyle w:val="afffffe"/>
        <w:numPr>
          <w:ilvl w:val="0"/>
          <w:numId w:val="45"/>
        </w:numPr>
        <w:spacing w:line="360" w:lineRule="auto"/>
        <w:ind w:firstLineChars="0"/>
        <w:jc w:val="center"/>
        <w:rPr>
          <w:rFonts w:eastAsia="黑体" w:cs="Times New Roman"/>
          <w:szCs w:val="21"/>
        </w:rPr>
      </w:pPr>
      <w:r>
        <w:rPr>
          <w:rFonts w:eastAsia="黑体" w:cs="Times New Roman" w:hint="eastAsia"/>
          <w:szCs w:val="21"/>
        </w:rPr>
        <w:t>穿越点</w:t>
      </w:r>
      <w:r>
        <w:rPr>
          <w:rFonts w:eastAsia="黑体" w:cs="Times New Roman"/>
          <w:szCs w:val="21"/>
        </w:rPr>
        <w:t>2</w:t>
      </w:r>
      <w:r>
        <w:rPr>
          <w:rFonts w:eastAsia="黑体" w:cs="Times New Roman" w:hint="eastAsia"/>
          <w:szCs w:val="21"/>
        </w:rPr>
        <w:t>生境</w:t>
      </w:r>
    </w:p>
    <w:p w14:paraId="63C170B1" w14:textId="77777777" w:rsidR="007D1E74" w:rsidRDefault="00A95641">
      <w:pPr>
        <w:spacing w:line="360" w:lineRule="auto"/>
        <w:ind w:firstLineChars="200" w:firstLine="480"/>
        <w:rPr>
          <w:rFonts w:cs="Times New Roman"/>
          <w:sz w:val="24"/>
          <w:szCs w:val="24"/>
        </w:rPr>
      </w:pPr>
      <w:r>
        <w:rPr>
          <w:rFonts w:cs="Times New Roman" w:hint="eastAsia"/>
          <w:sz w:val="24"/>
          <w:szCs w:val="24"/>
        </w:rPr>
        <w:t>穿越点</w:t>
      </w:r>
      <w:r>
        <w:rPr>
          <w:rFonts w:cs="Times New Roman" w:hint="eastAsia"/>
          <w:sz w:val="24"/>
          <w:szCs w:val="24"/>
        </w:rPr>
        <w:t>2</w:t>
      </w:r>
      <w:r>
        <w:rPr>
          <w:rFonts w:cs="Times New Roman" w:hint="eastAsia"/>
          <w:sz w:val="24"/>
          <w:szCs w:val="24"/>
        </w:rPr>
        <w:t>地形平坦开阔，河流两岸均为农田。左岸和右岸的穿越点距离河岸的长度分别是</w:t>
      </w:r>
      <w:r>
        <w:rPr>
          <w:rFonts w:cs="Times New Roman" w:hint="eastAsia"/>
          <w:sz w:val="24"/>
          <w:szCs w:val="24"/>
        </w:rPr>
        <w:t>97.91m</w:t>
      </w:r>
      <w:r>
        <w:rPr>
          <w:rFonts w:cs="Times New Roman" w:hint="eastAsia"/>
          <w:sz w:val="24"/>
          <w:szCs w:val="24"/>
        </w:rPr>
        <w:t>和</w:t>
      </w:r>
      <w:r>
        <w:rPr>
          <w:rFonts w:cs="Times New Roman" w:hint="eastAsia"/>
          <w:sz w:val="24"/>
          <w:szCs w:val="24"/>
        </w:rPr>
        <w:t>131.27m</w:t>
      </w:r>
      <w:r>
        <w:rPr>
          <w:rFonts w:cs="Times New Roman" w:hint="eastAsia"/>
          <w:sz w:val="24"/>
          <w:szCs w:val="24"/>
        </w:rPr>
        <w:t>。</w:t>
      </w:r>
    </w:p>
    <w:p w14:paraId="0F0D293E" w14:textId="77777777" w:rsidR="007D1E74" w:rsidRDefault="00A95641">
      <w:pPr>
        <w:pStyle w:val="a9"/>
      </w:pPr>
      <w:r>
        <w:rPr>
          <w:rFonts w:hint="eastAsia"/>
        </w:rPr>
        <w:t>施工期和运行期管理措施</w:t>
      </w:r>
    </w:p>
    <w:p w14:paraId="06F3FB6E" w14:textId="77777777" w:rsidR="007D1E74" w:rsidRDefault="00A95641">
      <w:pPr>
        <w:pStyle w:val="aa"/>
      </w:pPr>
      <w:r>
        <w:rPr>
          <w:rFonts w:hint="eastAsia"/>
        </w:rPr>
        <w:t>施工单位管理</w:t>
      </w:r>
    </w:p>
    <w:p w14:paraId="59015E83" w14:textId="77777777" w:rsidR="007D1E74" w:rsidRDefault="00A95641">
      <w:pPr>
        <w:spacing w:line="360" w:lineRule="auto"/>
        <w:ind w:firstLineChars="200" w:firstLine="480"/>
        <w:rPr>
          <w:rFonts w:cs="Times New Roman"/>
          <w:sz w:val="24"/>
          <w:szCs w:val="24"/>
        </w:rPr>
      </w:pPr>
      <w:r>
        <w:rPr>
          <w:rFonts w:cs="Times New Roman" w:hint="eastAsia"/>
          <w:sz w:val="24"/>
          <w:szCs w:val="24"/>
        </w:rPr>
        <w:t>提高施工人员的环保意识，严禁下河捕鱼；加强施工管理，做好施工生产生活废污水和固体废弃物处理措施，保护水域生态环境；合理安排施工时间，尽量避开鱼类等的繁殖高峰时间。</w:t>
      </w:r>
    </w:p>
    <w:p w14:paraId="2493A03B" w14:textId="77777777" w:rsidR="007D1E74" w:rsidRDefault="00A95641">
      <w:pPr>
        <w:spacing w:line="360" w:lineRule="auto"/>
        <w:ind w:firstLineChars="200" w:firstLine="480"/>
        <w:rPr>
          <w:rFonts w:cs="Times New Roman"/>
          <w:sz w:val="24"/>
          <w:szCs w:val="24"/>
        </w:rPr>
      </w:pPr>
      <w:r>
        <w:rPr>
          <w:rFonts w:cs="Times New Roman" w:hint="eastAsia"/>
          <w:sz w:val="24"/>
          <w:szCs w:val="24"/>
        </w:rPr>
        <w:t>建设单位应在工程管理机构内设置生态环境管理员，对施工期间保护区内水生动物情况进行实时监测或调查，并建立向保护区管理机构进行实时报告的制度。</w:t>
      </w:r>
    </w:p>
    <w:p w14:paraId="4E76CCB4" w14:textId="77777777" w:rsidR="007D1E74" w:rsidRDefault="00A95641">
      <w:pPr>
        <w:spacing w:line="360" w:lineRule="auto"/>
        <w:ind w:firstLineChars="200" w:firstLine="480"/>
        <w:rPr>
          <w:rFonts w:cs="Times New Roman"/>
          <w:sz w:val="24"/>
          <w:szCs w:val="24"/>
        </w:rPr>
      </w:pPr>
      <w:r>
        <w:rPr>
          <w:rFonts w:cs="Times New Roman" w:hint="eastAsia"/>
          <w:sz w:val="24"/>
          <w:szCs w:val="24"/>
        </w:rPr>
        <w:t>做好生态环境能够保护的宣传教育工作，提高施工人员的环保意识，严禁在保护区内滥捕水生动物；施工期间一旦发现珍稀水生动物，及时上报至保护区管理机构和建设单位，待处理完毕并经保护区管理局同意后方可继续施工。</w:t>
      </w:r>
    </w:p>
    <w:p w14:paraId="3E97E3FE" w14:textId="77777777" w:rsidR="007D1E74" w:rsidRDefault="00A95641">
      <w:pPr>
        <w:spacing w:line="360" w:lineRule="auto"/>
        <w:ind w:firstLineChars="200" w:firstLine="480"/>
        <w:rPr>
          <w:rFonts w:cs="Times New Roman"/>
          <w:sz w:val="24"/>
          <w:szCs w:val="24"/>
        </w:rPr>
      </w:pPr>
      <w:r>
        <w:rPr>
          <w:rFonts w:cs="Times New Roman" w:hint="eastAsia"/>
          <w:sz w:val="24"/>
          <w:szCs w:val="24"/>
        </w:rPr>
        <w:t>施工结束后，施工单位应按照景观相一致的原则，及时对施工场所等迹地进行恢复，同时要对上述场所附近裸露区域进行补充绿化。</w:t>
      </w:r>
    </w:p>
    <w:p w14:paraId="64124F81" w14:textId="77777777" w:rsidR="007D1E74" w:rsidRDefault="00A95641">
      <w:pPr>
        <w:pStyle w:val="aa"/>
      </w:pPr>
      <w:r>
        <w:rPr>
          <w:rFonts w:hint="eastAsia"/>
        </w:rPr>
        <w:t>保护区管理</w:t>
      </w:r>
    </w:p>
    <w:p w14:paraId="2D80E59A" w14:textId="77777777" w:rsidR="007D1E74" w:rsidRDefault="00A95641">
      <w:pPr>
        <w:spacing w:line="360" w:lineRule="auto"/>
        <w:ind w:firstLineChars="200" w:firstLine="480"/>
        <w:rPr>
          <w:rFonts w:cs="Times New Roman"/>
          <w:sz w:val="24"/>
          <w:szCs w:val="24"/>
        </w:rPr>
      </w:pPr>
      <w:r>
        <w:rPr>
          <w:rFonts w:cs="Times New Roman" w:hint="eastAsia"/>
          <w:sz w:val="24"/>
          <w:szCs w:val="24"/>
        </w:rPr>
        <w:t>为严格控制管道穿越工程对保护区的影响，保护区管理部门应加强工程施工期和营运期对保护区相应区段的管理。加强渔政管理，加强《渔业法》和长江十年禁渔的宣传，发动群众参与鱼类资源的保护。加强对施工人员的管理和环境保护的宣传力度，最终达到经济效益、社会效益和生态效益的统一。</w:t>
      </w:r>
    </w:p>
    <w:p w14:paraId="44F50156" w14:textId="77777777" w:rsidR="007D1E74" w:rsidRDefault="00A95641">
      <w:pPr>
        <w:spacing w:line="360" w:lineRule="auto"/>
        <w:ind w:firstLineChars="200" w:firstLine="480"/>
        <w:rPr>
          <w:rFonts w:cs="Times New Roman"/>
          <w:sz w:val="24"/>
          <w:szCs w:val="24"/>
        </w:rPr>
      </w:pPr>
      <w:r>
        <w:rPr>
          <w:rFonts w:cs="Times New Roman" w:hint="eastAsia"/>
          <w:sz w:val="24"/>
          <w:szCs w:val="24"/>
        </w:rPr>
        <w:lastRenderedPageBreak/>
        <w:t>在工程的建设和运营期，除了工程业主应设立由工程技术、环保和安全等方面人员组成的环保工作部门，落实各项环保措施外，保护区有关管理部门应加强对工程施工行为的监督和管理。监控的主要内容包括：施工河段、施工期的核实，工程规模的控制，有利于减缓工程影响的各项环保措施的落实等。</w:t>
      </w:r>
    </w:p>
    <w:p w14:paraId="06412985" w14:textId="77777777" w:rsidR="007D1E74" w:rsidRDefault="00A95641">
      <w:pPr>
        <w:spacing w:line="360" w:lineRule="auto"/>
        <w:ind w:firstLineChars="200" w:firstLine="480"/>
        <w:rPr>
          <w:rFonts w:cs="Times New Roman"/>
          <w:sz w:val="24"/>
          <w:szCs w:val="24"/>
        </w:rPr>
      </w:pPr>
      <w:r>
        <w:rPr>
          <w:rFonts w:cs="Times New Roman" w:hint="eastAsia"/>
          <w:sz w:val="24"/>
          <w:szCs w:val="24"/>
        </w:rPr>
        <w:t>因此，建议建设单位与渔政主管部门建立协调小组，加强施工期和营运期对影响区域的管理，并在工程影响区域加大宣传力度，设立宣传和警示牌，专门设立监管支出项目。</w:t>
      </w:r>
    </w:p>
    <w:p w14:paraId="0CE28EAA" w14:textId="77777777" w:rsidR="007D1E74" w:rsidRDefault="00A95641">
      <w:pPr>
        <w:spacing w:line="360" w:lineRule="auto"/>
        <w:ind w:firstLineChars="200" w:firstLine="480"/>
        <w:rPr>
          <w:rFonts w:cs="Times New Roman"/>
          <w:sz w:val="24"/>
          <w:szCs w:val="24"/>
        </w:rPr>
      </w:pPr>
      <w:r>
        <w:rPr>
          <w:rFonts w:cs="Times New Roman" w:hint="eastAsia"/>
          <w:sz w:val="24"/>
          <w:szCs w:val="24"/>
        </w:rPr>
        <w:t>为确保各项监督管理工作的顺利开展，业主应预留一定的宣传教育和监督管理经费，经估算约需费用</w:t>
      </w:r>
      <w:r>
        <w:rPr>
          <w:rFonts w:cs="Times New Roman" w:hint="eastAsia"/>
          <w:sz w:val="24"/>
          <w:szCs w:val="24"/>
        </w:rPr>
        <w:t>16</w:t>
      </w:r>
      <w:r>
        <w:rPr>
          <w:rFonts w:cs="Times New Roman" w:hint="eastAsia"/>
          <w:sz w:val="24"/>
          <w:szCs w:val="24"/>
        </w:rPr>
        <w:t>万元。</w:t>
      </w:r>
    </w:p>
    <w:p w14:paraId="6A87BDD6" w14:textId="77777777" w:rsidR="007D1E74" w:rsidRDefault="00A95641">
      <w:pPr>
        <w:pStyle w:val="afffffe"/>
        <w:numPr>
          <w:ilvl w:val="0"/>
          <w:numId w:val="44"/>
        </w:numPr>
        <w:spacing w:line="360" w:lineRule="auto"/>
        <w:ind w:firstLineChars="0"/>
        <w:jc w:val="center"/>
        <w:rPr>
          <w:rFonts w:eastAsia="黑体" w:cs="Times New Roman"/>
          <w:szCs w:val="21"/>
        </w:rPr>
      </w:pPr>
      <w:r>
        <w:rPr>
          <w:rFonts w:eastAsia="黑体" w:cs="Times New Roman" w:hint="eastAsia"/>
          <w:szCs w:val="21"/>
        </w:rPr>
        <w:t>管理经费预算表</w:t>
      </w:r>
    </w:p>
    <w:tbl>
      <w:tblPr>
        <w:tblStyle w:val="affffc"/>
        <w:tblW w:w="0" w:type="auto"/>
        <w:tblLook w:val="04A0" w:firstRow="1" w:lastRow="0" w:firstColumn="1" w:lastColumn="0" w:noHBand="0" w:noVBand="1"/>
      </w:tblPr>
      <w:tblGrid>
        <w:gridCol w:w="2254"/>
        <w:gridCol w:w="2254"/>
        <w:gridCol w:w="2254"/>
        <w:gridCol w:w="2254"/>
      </w:tblGrid>
      <w:tr w:rsidR="007D1E74" w14:paraId="30B75C2E" w14:textId="77777777">
        <w:tc>
          <w:tcPr>
            <w:tcW w:w="2324" w:type="dxa"/>
          </w:tcPr>
          <w:p w14:paraId="748AAFC7" w14:textId="77777777" w:rsidR="007D1E74" w:rsidRDefault="00A95641">
            <w:pPr>
              <w:jc w:val="center"/>
              <w:rPr>
                <w:rFonts w:cs="Times New Roman"/>
                <w:szCs w:val="21"/>
              </w:rPr>
            </w:pPr>
            <w:r>
              <w:rPr>
                <w:szCs w:val="21"/>
              </w:rPr>
              <w:t>编号</w:t>
            </w:r>
          </w:p>
        </w:tc>
        <w:tc>
          <w:tcPr>
            <w:tcW w:w="2325" w:type="dxa"/>
          </w:tcPr>
          <w:p w14:paraId="07865ADC" w14:textId="77777777" w:rsidR="007D1E74" w:rsidRDefault="00A95641">
            <w:pPr>
              <w:jc w:val="center"/>
              <w:rPr>
                <w:rFonts w:cs="Times New Roman"/>
                <w:szCs w:val="21"/>
              </w:rPr>
            </w:pPr>
            <w:r>
              <w:rPr>
                <w:szCs w:val="21"/>
              </w:rPr>
              <w:t>项目</w:t>
            </w:r>
          </w:p>
        </w:tc>
        <w:tc>
          <w:tcPr>
            <w:tcW w:w="2325" w:type="dxa"/>
          </w:tcPr>
          <w:p w14:paraId="48585D3F" w14:textId="77777777" w:rsidR="007D1E74" w:rsidRDefault="00A95641">
            <w:pPr>
              <w:jc w:val="center"/>
              <w:rPr>
                <w:rFonts w:cs="Times New Roman"/>
                <w:szCs w:val="21"/>
              </w:rPr>
            </w:pPr>
            <w:r>
              <w:rPr>
                <w:szCs w:val="21"/>
              </w:rPr>
              <w:t>经费</w:t>
            </w:r>
          </w:p>
        </w:tc>
        <w:tc>
          <w:tcPr>
            <w:tcW w:w="2325" w:type="dxa"/>
          </w:tcPr>
          <w:p w14:paraId="00FE23FD" w14:textId="77777777" w:rsidR="007D1E74" w:rsidRDefault="00A95641">
            <w:pPr>
              <w:jc w:val="center"/>
              <w:rPr>
                <w:rFonts w:cs="Times New Roman"/>
                <w:szCs w:val="21"/>
              </w:rPr>
            </w:pPr>
            <w:r>
              <w:rPr>
                <w:szCs w:val="21"/>
              </w:rPr>
              <w:t>备注</w:t>
            </w:r>
          </w:p>
        </w:tc>
      </w:tr>
      <w:tr w:rsidR="007D1E74" w14:paraId="3B250E0D" w14:textId="77777777">
        <w:tc>
          <w:tcPr>
            <w:tcW w:w="2324" w:type="dxa"/>
            <w:vAlign w:val="center"/>
          </w:tcPr>
          <w:p w14:paraId="05581E31" w14:textId="77777777" w:rsidR="007D1E74" w:rsidRDefault="00A95641">
            <w:pPr>
              <w:jc w:val="center"/>
              <w:rPr>
                <w:rFonts w:cs="Times New Roman"/>
                <w:szCs w:val="21"/>
              </w:rPr>
            </w:pPr>
            <w:r>
              <w:rPr>
                <w:szCs w:val="21"/>
              </w:rPr>
              <w:t>1</w:t>
            </w:r>
          </w:p>
        </w:tc>
        <w:tc>
          <w:tcPr>
            <w:tcW w:w="2325" w:type="dxa"/>
            <w:vAlign w:val="center"/>
          </w:tcPr>
          <w:p w14:paraId="208AF5BD" w14:textId="77777777" w:rsidR="007D1E74" w:rsidRDefault="00A95641">
            <w:pPr>
              <w:jc w:val="center"/>
              <w:rPr>
                <w:rFonts w:cs="Times New Roman"/>
                <w:szCs w:val="21"/>
              </w:rPr>
            </w:pPr>
            <w:r>
              <w:rPr>
                <w:szCs w:val="21"/>
              </w:rPr>
              <w:t>施工期监管</w:t>
            </w:r>
          </w:p>
        </w:tc>
        <w:tc>
          <w:tcPr>
            <w:tcW w:w="2325" w:type="dxa"/>
            <w:vAlign w:val="center"/>
          </w:tcPr>
          <w:p w14:paraId="0E020AC6" w14:textId="77777777" w:rsidR="007D1E74" w:rsidRDefault="00A95641">
            <w:pPr>
              <w:jc w:val="center"/>
              <w:rPr>
                <w:rFonts w:cs="Times New Roman"/>
                <w:szCs w:val="21"/>
              </w:rPr>
            </w:pPr>
            <w:r>
              <w:rPr>
                <w:szCs w:val="21"/>
              </w:rPr>
              <w:t>1</w:t>
            </w:r>
          </w:p>
        </w:tc>
        <w:tc>
          <w:tcPr>
            <w:tcW w:w="2325" w:type="dxa"/>
            <w:vAlign w:val="center"/>
          </w:tcPr>
          <w:p w14:paraId="7F64051C" w14:textId="77777777" w:rsidR="007D1E74" w:rsidRDefault="007D1E74">
            <w:pPr>
              <w:jc w:val="center"/>
              <w:rPr>
                <w:rFonts w:cs="Times New Roman"/>
                <w:szCs w:val="21"/>
              </w:rPr>
            </w:pPr>
          </w:p>
        </w:tc>
      </w:tr>
      <w:tr w:rsidR="007D1E74" w14:paraId="48973EBB" w14:textId="77777777">
        <w:tc>
          <w:tcPr>
            <w:tcW w:w="2324" w:type="dxa"/>
            <w:vAlign w:val="center"/>
          </w:tcPr>
          <w:p w14:paraId="1798E928" w14:textId="77777777" w:rsidR="007D1E74" w:rsidRDefault="00A95641">
            <w:pPr>
              <w:jc w:val="center"/>
              <w:rPr>
                <w:rFonts w:cs="Times New Roman"/>
                <w:szCs w:val="21"/>
              </w:rPr>
            </w:pPr>
            <w:r>
              <w:rPr>
                <w:szCs w:val="21"/>
              </w:rPr>
              <w:t>2</w:t>
            </w:r>
          </w:p>
        </w:tc>
        <w:tc>
          <w:tcPr>
            <w:tcW w:w="2325" w:type="dxa"/>
            <w:vAlign w:val="center"/>
          </w:tcPr>
          <w:p w14:paraId="6035749A" w14:textId="77777777" w:rsidR="007D1E74" w:rsidRDefault="00A95641">
            <w:pPr>
              <w:jc w:val="center"/>
              <w:rPr>
                <w:rFonts w:cs="Times New Roman"/>
                <w:szCs w:val="21"/>
              </w:rPr>
            </w:pPr>
            <w:r>
              <w:rPr>
                <w:szCs w:val="21"/>
              </w:rPr>
              <w:t>宣传教育</w:t>
            </w:r>
          </w:p>
        </w:tc>
        <w:tc>
          <w:tcPr>
            <w:tcW w:w="2325" w:type="dxa"/>
            <w:vAlign w:val="center"/>
          </w:tcPr>
          <w:p w14:paraId="7DC72650" w14:textId="77777777" w:rsidR="007D1E74" w:rsidRDefault="00A95641">
            <w:pPr>
              <w:jc w:val="center"/>
              <w:rPr>
                <w:rFonts w:cs="Times New Roman"/>
                <w:szCs w:val="21"/>
              </w:rPr>
            </w:pPr>
            <w:r>
              <w:rPr>
                <w:szCs w:val="21"/>
              </w:rPr>
              <w:t>15</w:t>
            </w:r>
          </w:p>
        </w:tc>
        <w:tc>
          <w:tcPr>
            <w:tcW w:w="2325" w:type="dxa"/>
            <w:vAlign w:val="center"/>
          </w:tcPr>
          <w:p w14:paraId="5C15BA41" w14:textId="77777777" w:rsidR="007D1E74" w:rsidRDefault="00A95641">
            <w:pPr>
              <w:jc w:val="center"/>
              <w:rPr>
                <w:rFonts w:cs="Times New Roman"/>
                <w:szCs w:val="21"/>
              </w:rPr>
            </w:pPr>
            <w:r>
              <w:rPr>
                <w:szCs w:val="21"/>
              </w:rPr>
              <w:t>5</w:t>
            </w:r>
            <w:r>
              <w:rPr>
                <w:szCs w:val="21"/>
              </w:rPr>
              <w:t>年</w:t>
            </w:r>
          </w:p>
        </w:tc>
      </w:tr>
    </w:tbl>
    <w:p w14:paraId="6D4E7415" w14:textId="77777777" w:rsidR="007D1E74" w:rsidRDefault="00A95641">
      <w:pPr>
        <w:pStyle w:val="a9"/>
      </w:pPr>
      <w:r>
        <w:rPr>
          <w:rFonts w:hint="eastAsia"/>
        </w:rPr>
        <w:t>施工防护</w:t>
      </w:r>
    </w:p>
    <w:p w14:paraId="75C835E6" w14:textId="77777777" w:rsidR="007D1E74" w:rsidRDefault="00A95641">
      <w:pPr>
        <w:spacing w:line="360" w:lineRule="auto"/>
        <w:ind w:firstLineChars="200" w:firstLine="480"/>
        <w:rPr>
          <w:rFonts w:cs="Times New Roman"/>
          <w:sz w:val="24"/>
          <w:szCs w:val="24"/>
        </w:rPr>
      </w:pPr>
      <w:r>
        <w:rPr>
          <w:rFonts w:cs="Times New Roman" w:hint="eastAsia"/>
          <w:sz w:val="24"/>
          <w:szCs w:val="24"/>
        </w:rPr>
        <w:t>定向钻</w:t>
      </w:r>
      <w:r>
        <w:rPr>
          <w:rFonts w:cs="Times New Roman" w:hint="eastAsia"/>
          <w:sz w:val="24"/>
          <w:szCs w:val="24"/>
        </w:rPr>
        <w:t>1</w:t>
      </w:r>
      <w:r>
        <w:rPr>
          <w:rFonts w:cs="Times New Roman" w:hint="eastAsia"/>
          <w:sz w:val="24"/>
          <w:szCs w:val="24"/>
        </w:rPr>
        <w:t>的出土点位于马</w:t>
      </w:r>
      <w:r>
        <w:rPr>
          <w:rFonts w:cs="Times New Roman" w:hint="eastAsia"/>
          <w:sz w:val="24"/>
          <w:szCs w:val="24"/>
        </w:rPr>
        <w:t>1-13H</w:t>
      </w:r>
      <w:r>
        <w:rPr>
          <w:rFonts w:cs="Times New Roman" w:hint="eastAsia"/>
          <w:sz w:val="24"/>
          <w:szCs w:val="24"/>
        </w:rPr>
        <w:t>井附近，由于马</w:t>
      </w:r>
      <w:r>
        <w:rPr>
          <w:rFonts w:cs="Times New Roman" w:hint="eastAsia"/>
          <w:sz w:val="24"/>
          <w:szCs w:val="24"/>
        </w:rPr>
        <w:t>1-13H</w:t>
      </w:r>
      <w:r>
        <w:rPr>
          <w:rFonts w:cs="Times New Roman" w:hint="eastAsia"/>
          <w:sz w:val="24"/>
          <w:szCs w:val="24"/>
        </w:rPr>
        <w:t>井的地理位置所限，该出土点在二十年最高水位线以内，并且没有优化空间。为避免施工期突发洪水，最大程度的减小极端不利情况对保护区造成的影响，本报告要求施工单位在施工期做好施工防护，在定向钻</w:t>
      </w:r>
      <w:r>
        <w:rPr>
          <w:rFonts w:cs="Times New Roman" w:hint="eastAsia"/>
          <w:sz w:val="24"/>
          <w:szCs w:val="24"/>
        </w:rPr>
        <w:t>1</w:t>
      </w:r>
      <w:r>
        <w:rPr>
          <w:rFonts w:cs="Times New Roman" w:hint="eastAsia"/>
          <w:sz w:val="24"/>
          <w:szCs w:val="24"/>
        </w:rPr>
        <w:t>出土点工区周围沿小通江河岸（右岸）进行打围，保证在突发二十年一遇的洪水时也不会有任何污染物进入河流。</w:t>
      </w:r>
    </w:p>
    <w:p w14:paraId="1CC8A487" w14:textId="77777777" w:rsidR="007D1E74" w:rsidRDefault="00A95641">
      <w:pPr>
        <w:pStyle w:val="a9"/>
      </w:pPr>
      <w:r>
        <w:rPr>
          <w:rFonts w:hint="eastAsia"/>
        </w:rPr>
        <w:t>生态补偿经费</w:t>
      </w:r>
    </w:p>
    <w:p w14:paraId="585C9F24" w14:textId="77777777" w:rsidR="007D1E74" w:rsidRDefault="00A95641">
      <w:pPr>
        <w:spacing w:line="360" w:lineRule="auto"/>
        <w:ind w:firstLineChars="200" w:firstLine="480"/>
        <w:rPr>
          <w:rFonts w:cs="Times New Roman"/>
          <w:sz w:val="24"/>
          <w:szCs w:val="24"/>
        </w:rPr>
      </w:pPr>
      <w:r>
        <w:rPr>
          <w:rFonts w:cs="Times New Roman" w:hint="eastAsia"/>
          <w:sz w:val="24"/>
          <w:szCs w:val="24"/>
        </w:rPr>
        <w:t>依据《中华人民共和国自然保护区条例》、《中华人民共和国渔业法》的相关规定，建设单位必需对因工程建设引起的水环境变化和对渔业资源造成的损失采取补就措施，所采取的措施落实均在保护区管理部门和渔业行政主管部门的监督下实施，尽量减少工程修建和运行对影响水域的鱼类等水生生物及其栖息环境，以及保护区的不利影响，依据水生生态专题评价提出的环保方案和措施，落实相关的生态环境保护投资。针对本工程影响和保护需求，需要的水生生态环保投资经费合计</w:t>
      </w:r>
      <w:r>
        <w:rPr>
          <w:rFonts w:cs="Times New Roman" w:hint="eastAsia"/>
          <w:sz w:val="24"/>
          <w:szCs w:val="24"/>
        </w:rPr>
        <w:t>16</w:t>
      </w:r>
      <w:r>
        <w:rPr>
          <w:rFonts w:cs="Times New Roman" w:hint="eastAsia"/>
          <w:sz w:val="24"/>
          <w:szCs w:val="24"/>
        </w:rPr>
        <w:t>万元，具体的投资预算见下表。</w:t>
      </w:r>
    </w:p>
    <w:p w14:paraId="74520895" w14:textId="77777777" w:rsidR="007D1E74" w:rsidRDefault="00A95641">
      <w:pPr>
        <w:pStyle w:val="afffffe"/>
        <w:numPr>
          <w:ilvl w:val="0"/>
          <w:numId w:val="44"/>
        </w:numPr>
        <w:spacing w:line="360" w:lineRule="auto"/>
        <w:ind w:firstLineChars="0"/>
        <w:jc w:val="center"/>
        <w:rPr>
          <w:rFonts w:eastAsia="黑体" w:cs="Times New Roman"/>
          <w:szCs w:val="21"/>
        </w:rPr>
      </w:pPr>
      <w:r>
        <w:rPr>
          <w:rFonts w:eastAsia="黑体" w:cs="Times New Roman" w:hint="eastAsia"/>
          <w:szCs w:val="21"/>
        </w:rPr>
        <w:t>工程水生生态环境保护投资经费</w:t>
      </w:r>
    </w:p>
    <w:tbl>
      <w:tblPr>
        <w:tblStyle w:val="affffc"/>
        <w:tblW w:w="5000" w:type="pct"/>
        <w:tblLook w:val="04A0" w:firstRow="1" w:lastRow="0" w:firstColumn="1" w:lastColumn="0" w:noHBand="0" w:noVBand="1"/>
      </w:tblPr>
      <w:tblGrid>
        <w:gridCol w:w="2194"/>
        <w:gridCol w:w="3024"/>
        <w:gridCol w:w="3798"/>
      </w:tblGrid>
      <w:tr w:rsidR="007D1E74" w14:paraId="0D1EB64A" w14:textId="77777777">
        <w:tc>
          <w:tcPr>
            <w:tcW w:w="1217" w:type="pct"/>
          </w:tcPr>
          <w:p w14:paraId="0A203A89" w14:textId="77777777" w:rsidR="007D1E74" w:rsidRDefault="00A95641">
            <w:pPr>
              <w:jc w:val="center"/>
              <w:rPr>
                <w:rFonts w:cs="Times New Roman"/>
                <w:szCs w:val="21"/>
              </w:rPr>
            </w:pPr>
            <w:r>
              <w:rPr>
                <w:szCs w:val="21"/>
              </w:rPr>
              <w:t>编号</w:t>
            </w:r>
          </w:p>
        </w:tc>
        <w:tc>
          <w:tcPr>
            <w:tcW w:w="1677" w:type="pct"/>
          </w:tcPr>
          <w:p w14:paraId="11725DBC" w14:textId="77777777" w:rsidR="007D1E74" w:rsidRDefault="00A95641">
            <w:pPr>
              <w:jc w:val="center"/>
              <w:rPr>
                <w:rFonts w:cs="Times New Roman"/>
                <w:szCs w:val="21"/>
              </w:rPr>
            </w:pPr>
            <w:r>
              <w:rPr>
                <w:szCs w:val="21"/>
              </w:rPr>
              <w:t>项目</w:t>
            </w:r>
          </w:p>
        </w:tc>
        <w:tc>
          <w:tcPr>
            <w:tcW w:w="2106" w:type="pct"/>
          </w:tcPr>
          <w:p w14:paraId="6B829F1B" w14:textId="77777777" w:rsidR="007D1E74" w:rsidRDefault="00A95641">
            <w:pPr>
              <w:jc w:val="center"/>
              <w:rPr>
                <w:rFonts w:cs="Times New Roman"/>
                <w:szCs w:val="21"/>
              </w:rPr>
            </w:pPr>
            <w:r>
              <w:rPr>
                <w:szCs w:val="21"/>
              </w:rPr>
              <w:t>经费（万元）</w:t>
            </w:r>
          </w:p>
        </w:tc>
      </w:tr>
      <w:tr w:rsidR="007D1E74" w14:paraId="5D9C3594" w14:textId="77777777">
        <w:tc>
          <w:tcPr>
            <w:tcW w:w="1217" w:type="pct"/>
          </w:tcPr>
          <w:p w14:paraId="6E43E283" w14:textId="77777777" w:rsidR="007D1E74" w:rsidRDefault="00A95641">
            <w:pPr>
              <w:jc w:val="center"/>
              <w:rPr>
                <w:rFonts w:cs="Times New Roman"/>
                <w:szCs w:val="21"/>
              </w:rPr>
            </w:pPr>
            <w:r>
              <w:rPr>
                <w:szCs w:val="21"/>
              </w:rPr>
              <w:t>1</w:t>
            </w:r>
          </w:p>
        </w:tc>
        <w:tc>
          <w:tcPr>
            <w:tcW w:w="1677" w:type="pct"/>
          </w:tcPr>
          <w:p w14:paraId="3D55AD2E" w14:textId="77777777" w:rsidR="007D1E74" w:rsidRDefault="00A95641">
            <w:pPr>
              <w:jc w:val="center"/>
              <w:rPr>
                <w:rFonts w:cs="Times New Roman"/>
                <w:szCs w:val="21"/>
              </w:rPr>
            </w:pPr>
            <w:r>
              <w:rPr>
                <w:szCs w:val="21"/>
              </w:rPr>
              <w:t>宣传及监督管理经费</w:t>
            </w:r>
          </w:p>
        </w:tc>
        <w:tc>
          <w:tcPr>
            <w:tcW w:w="2106" w:type="pct"/>
          </w:tcPr>
          <w:p w14:paraId="1AE1A5A4" w14:textId="77777777" w:rsidR="007D1E74" w:rsidRDefault="00A95641">
            <w:pPr>
              <w:jc w:val="center"/>
              <w:rPr>
                <w:rFonts w:cs="Times New Roman"/>
                <w:szCs w:val="21"/>
              </w:rPr>
            </w:pPr>
            <w:r>
              <w:rPr>
                <w:szCs w:val="21"/>
              </w:rPr>
              <w:t>16</w:t>
            </w:r>
          </w:p>
        </w:tc>
      </w:tr>
      <w:tr w:rsidR="007D1E74" w14:paraId="24B8ED2F" w14:textId="77777777">
        <w:tc>
          <w:tcPr>
            <w:tcW w:w="2894" w:type="pct"/>
            <w:gridSpan w:val="2"/>
          </w:tcPr>
          <w:p w14:paraId="4CC06706" w14:textId="77777777" w:rsidR="007D1E74" w:rsidRDefault="00A95641">
            <w:pPr>
              <w:jc w:val="center"/>
              <w:rPr>
                <w:rFonts w:cs="Times New Roman"/>
                <w:szCs w:val="21"/>
              </w:rPr>
            </w:pPr>
            <w:r>
              <w:rPr>
                <w:szCs w:val="21"/>
              </w:rPr>
              <w:lastRenderedPageBreak/>
              <w:t>合计</w:t>
            </w:r>
          </w:p>
        </w:tc>
        <w:tc>
          <w:tcPr>
            <w:tcW w:w="2106" w:type="pct"/>
          </w:tcPr>
          <w:p w14:paraId="0C3D3F7A" w14:textId="77777777" w:rsidR="007D1E74" w:rsidRDefault="00A95641">
            <w:pPr>
              <w:jc w:val="center"/>
              <w:rPr>
                <w:rFonts w:cs="Times New Roman"/>
                <w:szCs w:val="21"/>
              </w:rPr>
            </w:pPr>
            <w:r>
              <w:rPr>
                <w:szCs w:val="21"/>
              </w:rPr>
              <w:t>16</w:t>
            </w:r>
          </w:p>
        </w:tc>
      </w:tr>
    </w:tbl>
    <w:p w14:paraId="656FF0F3" w14:textId="77777777" w:rsidR="007D1E74" w:rsidRDefault="00A95641">
      <w:pPr>
        <w:pStyle w:val="a9"/>
      </w:pPr>
      <w:r>
        <w:rPr>
          <w:rFonts w:hint="eastAsia"/>
        </w:rPr>
        <w:t>小结</w:t>
      </w:r>
    </w:p>
    <w:p w14:paraId="127B820E" w14:textId="77777777" w:rsidR="007D1E74" w:rsidRDefault="00A95641">
      <w:pPr>
        <w:spacing w:line="360" w:lineRule="auto"/>
        <w:ind w:firstLineChars="200" w:firstLine="480"/>
        <w:rPr>
          <w:rFonts w:cs="Times New Roman"/>
          <w:sz w:val="24"/>
          <w:szCs w:val="24"/>
        </w:rPr>
      </w:pPr>
      <w:r>
        <w:rPr>
          <w:rFonts w:cs="Times New Roman" w:hint="eastAsia"/>
          <w:sz w:val="24"/>
          <w:szCs w:val="24"/>
        </w:rPr>
        <w:t>根据工程对保护区水生生态环境影响主要因素分析结果，依据水域生态系统结构组成及演替规律及保护区水域环境的特殊要求，小通江河定向钻穿越工程在建设和运营期间应与保护区管理机构建立协调管理机制；开展施工队伍生态环境保护教育；科学调度，文明施工，对水、固体废弃物和噪声等进行集中收集处理和严格控制；施工防护、制定有针对性的风险应急预案可有效减轻工程建设对保护区水生生态系统的影响程度。</w:t>
      </w:r>
    </w:p>
    <w:p w14:paraId="27391C84" w14:textId="77777777" w:rsidR="007D1E74" w:rsidRDefault="00A95641">
      <w:pPr>
        <w:spacing w:line="360" w:lineRule="auto"/>
        <w:ind w:firstLineChars="200" w:firstLine="480"/>
        <w:rPr>
          <w:rFonts w:cs="Times New Roman"/>
          <w:sz w:val="24"/>
          <w:szCs w:val="24"/>
        </w:rPr>
      </w:pPr>
      <w:r>
        <w:rPr>
          <w:rFonts w:cs="Times New Roman" w:hint="eastAsia"/>
          <w:sz w:val="24"/>
          <w:szCs w:val="24"/>
        </w:rPr>
        <w:t>综上所述，小通江河定向钻穿越工程均不在保护区内施工，也不在保护区内设置构筑物。在施工期和运营期不会向水体排放废水和固体废弃物等，基本不会给保护区水环境造成破坏。工程采用非开挖方式施工，于河床下</w:t>
      </w:r>
      <w:r>
        <w:rPr>
          <w:rFonts w:cs="Times New Roman" w:hint="eastAsia"/>
          <w:sz w:val="24"/>
          <w:szCs w:val="24"/>
        </w:rPr>
        <w:t>12.3~13.0m</w:t>
      </w:r>
      <w:r>
        <w:rPr>
          <w:rFonts w:cs="Times New Roman" w:hint="eastAsia"/>
          <w:sz w:val="24"/>
          <w:szCs w:val="24"/>
        </w:rPr>
        <w:t>穿越小通江河，不会破坏河床底质和河岸形态，对鱼类等水生生物的“三场”及洄游通道等栖息环境不会造成破坏。本穿越工程基本不破坏小通江河相应河段的水域生态系统，对鱼类等水生生物及其生存的环境和活动场所等基本不会造成负面影响。根据以上分析，本报告认为小通江河定向钻穿越工程是可行的。</w:t>
      </w:r>
    </w:p>
    <w:p w14:paraId="5507CE17" w14:textId="77777777" w:rsidR="007D1E74" w:rsidRDefault="00A95641">
      <w:pPr>
        <w:rPr>
          <w:rFonts w:cs="Times New Roman"/>
          <w:sz w:val="24"/>
          <w:szCs w:val="24"/>
        </w:rPr>
      </w:pPr>
      <w:r>
        <w:rPr>
          <w:rFonts w:cs="Times New Roman"/>
          <w:sz w:val="24"/>
          <w:szCs w:val="24"/>
        </w:rPr>
        <w:br w:type="page"/>
      </w:r>
    </w:p>
    <w:p w14:paraId="277A35E7" w14:textId="77777777" w:rsidR="007D1E74" w:rsidRDefault="00A95641">
      <w:pPr>
        <w:pStyle w:val="a7"/>
        <w:spacing w:beforeLines="100" w:before="312" w:afterLines="100" w:after="312"/>
        <w:rPr>
          <w:rFonts w:cs="Times New Roman"/>
        </w:rPr>
      </w:pPr>
      <w:bookmarkStart w:id="30" w:name="_Toc8618"/>
      <w:r>
        <w:rPr>
          <w:rFonts w:cs="Times New Roman"/>
          <w:spacing w:val="3"/>
        </w:rPr>
        <w:lastRenderedPageBreak/>
        <w:t xml:space="preserve">6  </w:t>
      </w:r>
      <w:r>
        <w:rPr>
          <w:rFonts w:cs="Times New Roman"/>
        </w:rPr>
        <w:t>环</w:t>
      </w:r>
      <w:r>
        <w:rPr>
          <w:rFonts w:cs="Times New Roman"/>
          <w:spacing w:val="3"/>
        </w:rPr>
        <w:t>境</w:t>
      </w:r>
      <w:r>
        <w:rPr>
          <w:rFonts w:cs="Times New Roman"/>
        </w:rPr>
        <w:t>影响预测</w:t>
      </w:r>
      <w:r>
        <w:rPr>
          <w:rFonts w:cs="Times New Roman"/>
          <w:spacing w:val="3"/>
        </w:rPr>
        <w:t>与</w:t>
      </w:r>
      <w:r>
        <w:rPr>
          <w:rFonts w:cs="Times New Roman"/>
        </w:rPr>
        <w:t>评价</w:t>
      </w:r>
      <w:bookmarkEnd w:id="30"/>
    </w:p>
    <w:p w14:paraId="1672A7D3" w14:textId="77777777" w:rsidR="007D1E74" w:rsidRDefault="00A95641">
      <w:pPr>
        <w:spacing w:line="360" w:lineRule="auto"/>
        <w:outlineLvl w:val="1"/>
        <w:rPr>
          <w:b/>
          <w:sz w:val="30"/>
          <w:szCs w:val="30"/>
        </w:rPr>
      </w:pPr>
      <w:bookmarkStart w:id="31" w:name="_Toc26644"/>
      <w:r>
        <w:rPr>
          <w:b/>
          <w:sz w:val="30"/>
          <w:szCs w:val="30"/>
        </w:rPr>
        <w:t>6.1</w:t>
      </w:r>
      <w:r>
        <w:rPr>
          <w:b/>
          <w:sz w:val="30"/>
          <w:szCs w:val="30"/>
        </w:rPr>
        <w:t>施工期环境影响分析</w:t>
      </w:r>
      <w:bookmarkEnd w:id="31"/>
    </w:p>
    <w:p w14:paraId="479D1960" w14:textId="77777777" w:rsidR="007D1E74" w:rsidRDefault="00A95641">
      <w:pPr>
        <w:spacing w:line="360" w:lineRule="auto"/>
        <w:outlineLvl w:val="2"/>
        <w:rPr>
          <w:b/>
          <w:sz w:val="28"/>
          <w:szCs w:val="28"/>
        </w:rPr>
      </w:pPr>
      <w:r>
        <w:rPr>
          <w:b/>
          <w:sz w:val="28"/>
          <w:szCs w:val="28"/>
        </w:rPr>
        <w:t>6.1.1</w:t>
      </w:r>
      <w:r>
        <w:rPr>
          <w:b/>
          <w:sz w:val="28"/>
          <w:szCs w:val="28"/>
        </w:rPr>
        <w:t>施工期大气环境影响分析</w:t>
      </w:r>
    </w:p>
    <w:p w14:paraId="70E35BE7" w14:textId="77777777" w:rsidR="007D1E74" w:rsidRDefault="00A95641">
      <w:pPr>
        <w:spacing w:line="360" w:lineRule="auto"/>
        <w:outlineLvl w:val="2"/>
        <w:rPr>
          <w:b/>
          <w:sz w:val="24"/>
        </w:rPr>
      </w:pPr>
      <w:r>
        <w:rPr>
          <w:b/>
          <w:sz w:val="24"/>
        </w:rPr>
        <w:t>1</w:t>
      </w:r>
      <w:r>
        <w:rPr>
          <w:b/>
          <w:sz w:val="24"/>
        </w:rPr>
        <w:t>、施工期扬尘影响分析</w:t>
      </w:r>
    </w:p>
    <w:p w14:paraId="5D499990" w14:textId="77777777" w:rsidR="007D1E74" w:rsidRDefault="00A95641">
      <w:pPr>
        <w:spacing w:line="360" w:lineRule="auto"/>
        <w:ind w:firstLineChars="200" w:firstLine="480"/>
        <w:rPr>
          <w:sz w:val="24"/>
        </w:rPr>
      </w:pPr>
      <w:r>
        <w:rPr>
          <w:sz w:val="24"/>
        </w:rPr>
        <w:t>施工扬尘的起尘量与许多因素有关，如挖土机等在工作时的起尘量与挖坑深度、挖土机抓斗与地面的相对高度、风速、土壤的颗粒度、土壤含水量等有关。对于渣土堆场而言，起尘量还与堆放方式、起动风速及堆场有无防护措施等有关。在相关影响因素中，</w:t>
      </w:r>
      <w:r>
        <w:rPr>
          <w:sz w:val="24"/>
        </w:rPr>
        <w:t xml:space="preserve"> </w:t>
      </w:r>
      <w:r>
        <w:rPr>
          <w:sz w:val="24"/>
        </w:rPr>
        <w:t>起尘量受风力的影响因素最大，随着风速的增大，施工扬尘（粉尘）的污染程度和超标范围也将随之增强和扩大。</w:t>
      </w:r>
    </w:p>
    <w:p w14:paraId="6B9511D6" w14:textId="77777777" w:rsidR="007D1E74" w:rsidRDefault="00A95641">
      <w:pPr>
        <w:spacing w:line="360" w:lineRule="auto"/>
        <w:ind w:firstLineChars="200" w:firstLine="480"/>
        <w:rPr>
          <w:sz w:val="24"/>
        </w:rPr>
      </w:pPr>
      <w:r>
        <w:rPr>
          <w:sz w:val="24"/>
        </w:rPr>
        <w:t>管道的地面开挖、填埋、土石方堆放过程为分段进行，在同一地点施工时间较短，</w:t>
      </w:r>
      <w:r>
        <w:rPr>
          <w:sz w:val="24"/>
        </w:rPr>
        <w:t xml:space="preserve"> </w:t>
      </w:r>
      <w:r>
        <w:rPr>
          <w:sz w:val="24"/>
        </w:rPr>
        <w:t>作业带内产生的扬尘（粉尘）为无组织面源排放，本项目施工区地形主要为平原、丘陵等地施工。根据类似工程的实际现场调查：在大风情况下施工现场下风向</w:t>
      </w:r>
      <w:r>
        <w:rPr>
          <w:sz w:val="24"/>
        </w:rPr>
        <w:t>1m</w:t>
      </w:r>
      <w:r>
        <w:rPr>
          <w:sz w:val="24"/>
        </w:rPr>
        <w:t>处扬尘浓度可达</w:t>
      </w:r>
      <w:r>
        <w:rPr>
          <w:sz w:val="24"/>
        </w:rPr>
        <w:t>3mg/m</w:t>
      </w:r>
      <w:r>
        <w:rPr>
          <w:sz w:val="24"/>
          <w:vertAlign w:val="superscript"/>
        </w:rPr>
        <w:t>3</w:t>
      </w:r>
      <w:r>
        <w:rPr>
          <w:sz w:val="24"/>
        </w:rPr>
        <w:t>以上，</w:t>
      </w:r>
      <w:r>
        <w:rPr>
          <w:sz w:val="24"/>
        </w:rPr>
        <w:t>25m</w:t>
      </w:r>
      <w:r>
        <w:rPr>
          <w:sz w:val="24"/>
        </w:rPr>
        <w:t>处为</w:t>
      </w:r>
      <w:r>
        <w:rPr>
          <w:sz w:val="24"/>
        </w:rPr>
        <w:t>1.53mg/m</w:t>
      </w:r>
      <w:r>
        <w:rPr>
          <w:sz w:val="24"/>
          <w:vertAlign w:val="superscript"/>
        </w:rPr>
        <w:t>3</w:t>
      </w:r>
      <w:r>
        <w:rPr>
          <w:sz w:val="24"/>
        </w:rPr>
        <w:t>，下风向</w:t>
      </w:r>
      <w:r>
        <w:rPr>
          <w:sz w:val="24"/>
        </w:rPr>
        <w:t>60m</w:t>
      </w:r>
      <w:r>
        <w:rPr>
          <w:sz w:val="24"/>
        </w:rPr>
        <w:t>范围内</w:t>
      </w:r>
      <w:r>
        <w:rPr>
          <w:sz w:val="24"/>
        </w:rPr>
        <w:t xml:space="preserve">TSP </w:t>
      </w:r>
      <w:r>
        <w:rPr>
          <w:sz w:val="24"/>
        </w:rPr>
        <w:t>浓度超标。但由于施工过程为分段进行，施工时间较短，在严格执行分层开挖、分层回填的操作制度、避免长距离施工、工程措施与生物措施相结合的条件下，总体而言，管道施工作业扬尘污染是短时的，且影响不会很大。</w:t>
      </w:r>
    </w:p>
    <w:p w14:paraId="50DA277E" w14:textId="77777777" w:rsidR="007D1E74" w:rsidRDefault="00A95641">
      <w:pPr>
        <w:spacing w:line="360" w:lineRule="auto"/>
        <w:ind w:firstLineChars="200" w:firstLine="480"/>
        <w:rPr>
          <w:sz w:val="24"/>
        </w:rPr>
      </w:pPr>
      <w:r>
        <w:rPr>
          <w:sz w:val="24"/>
        </w:rPr>
        <w:t>施工阶段汽车运输过程中，也会产生扬尘污染。扬尘量、粒径大小等与多种因素有关，如路面状况、车辆行驶速度、载重量、天气情况等。其中风速、风向等天气状况直接影响扬尘的传输方向和距离。由于汽车运输过程中产生的扬尘时间短、扬尘落地快、影响范围主要集中在运输道路两侧，故汽车运输扬尘对周边的环境空气影响程度和范围较小，影响时间也较短。如果采用硬化道路、道路定时撒水抑尘、车辆不要装载过满并采取密闭或遮盖措施，可大大减少运输扬尘对周围环境空气的影响。根据类比监测分析，</w:t>
      </w:r>
      <w:r>
        <w:rPr>
          <w:sz w:val="24"/>
        </w:rPr>
        <w:t xml:space="preserve"> </w:t>
      </w:r>
      <w:r>
        <w:rPr>
          <w:sz w:val="24"/>
        </w:rPr>
        <w:t>运输车辆扬尘其影响范围主要集中在运输路线两侧</w:t>
      </w:r>
      <w:r>
        <w:rPr>
          <w:sz w:val="24"/>
        </w:rPr>
        <w:t>50m</w:t>
      </w:r>
      <w:r>
        <w:rPr>
          <w:sz w:val="24"/>
        </w:rPr>
        <w:t>内。</w:t>
      </w:r>
    </w:p>
    <w:p w14:paraId="5C29E437" w14:textId="77777777" w:rsidR="007D1E74" w:rsidRDefault="00A95641">
      <w:pPr>
        <w:spacing w:line="360" w:lineRule="auto"/>
        <w:outlineLvl w:val="2"/>
        <w:rPr>
          <w:b/>
          <w:sz w:val="24"/>
        </w:rPr>
      </w:pPr>
      <w:r>
        <w:rPr>
          <w:b/>
          <w:sz w:val="24"/>
        </w:rPr>
        <w:t>2</w:t>
      </w:r>
      <w:r>
        <w:rPr>
          <w:b/>
          <w:sz w:val="24"/>
        </w:rPr>
        <w:t>、施工机械尾气影响分析</w:t>
      </w:r>
    </w:p>
    <w:p w14:paraId="4E24EAD8" w14:textId="77777777" w:rsidR="007D1E74" w:rsidRDefault="00A95641">
      <w:pPr>
        <w:spacing w:line="360" w:lineRule="auto"/>
        <w:ind w:firstLineChars="200" w:firstLine="480"/>
        <w:rPr>
          <w:sz w:val="24"/>
        </w:rPr>
      </w:pPr>
      <w:r>
        <w:rPr>
          <w:sz w:val="24"/>
        </w:rPr>
        <w:t>施工期间，运输汽车、公路和沟渠穿越等施工中，由于使用柴油机等设备，将产生燃烧烟气，主要污染物为</w:t>
      </w:r>
      <w:r>
        <w:rPr>
          <w:sz w:val="24"/>
        </w:rPr>
        <w:t xml:space="preserve"> SO</w:t>
      </w:r>
      <w:r>
        <w:rPr>
          <w:sz w:val="24"/>
          <w:vertAlign w:val="subscript"/>
        </w:rPr>
        <w:t>2</w:t>
      </w:r>
      <w:r>
        <w:rPr>
          <w:sz w:val="24"/>
        </w:rPr>
        <w:t>、</w:t>
      </w:r>
      <w:r>
        <w:rPr>
          <w:sz w:val="24"/>
        </w:rPr>
        <w:t>NO</w:t>
      </w:r>
      <w:r>
        <w:rPr>
          <w:sz w:val="24"/>
          <w:vertAlign w:val="subscript"/>
        </w:rPr>
        <w:t>2</w:t>
      </w:r>
      <w:r>
        <w:rPr>
          <w:sz w:val="24"/>
        </w:rPr>
        <w:t>、</w:t>
      </w:r>
      <w:r>
        <w:rPr>
          <w:sz w:val="24"/>
        </w:rPr>
        <w:t>C</w:t>
      </w:r>
      <w:r>
        <w:rPr>
          <w:sz w:val="24"/>
          <w:vertAlign w:val="subscript"/>
        </w:rPr>
        <w:t>m</w:t>
      </w:r>
      <w:r>
        <w:rPr>
          <w:sz w:val="24"/>
        </w:rPr>
        <w:t>H</w:t>
      </w:r>
      <w:r>
        <w:rPr>
          <w:sz w:val="24"/>
          <w:vertAlign w:val="subscript"/>
        </w:rPr>
        <w:t>n</w:t>
      </w:r>
      <w:r>
        <w:rPr>
          <w:sz w:val="24"/>
        </w:rPr>
        <w:t>等。但由于废气量较小，且施工现场均在野外，施工机械排放燃烧烟气具有排放量小、间歇性、短期性和流动性的特点，有利于空气的扩散，同时废气污染源具有间歇性和流动性，烟气对大气环境的影响较轻。</w:t>
      </w:r>
    </w:p>
    <w:p w14:paraId="79524AA4" w14:textId="77777777" w:rsidR="007D1E74" w:rsidRDefault="00A95641">
      <w:pPr>
        <w:spacing w:line="360" w:lineRule="auto"/>
        <w:outlineLvl w:val="2"/>
        <w:rPr>
          <w:b/>
          <w:sz w:val="24"/>
        </w:rPr>
      </w:pPr>
      <w:r>
        <w:rPr>
          <w:b/>
          <w:sz w:val="24"/>
        </w:rPr>
        <w:lastRenderedPageBreak/>
        <w:t>3</w:t>
      </w:r>
      <w:r>
        <w:rPr>
          <w:b/>
          <w:sz w:val="24"/>
        </w:rPr>
        <w:t>、施工期焊烟影响分析</w:t>
      </w:r>
    </w:p>
    <w:p w14:paraId="65065E2D" w14:textId="77777777" w:rsidR="007D1E74" w:rsidRDefault="00A95641">
      <w:pPr>
        <w:spacing w:line="360" w:lineRule="auto"/>
        <w:ind w:firstLineChars="200" w:firstLine="480"/>
        <w:rPr>
          <w:sz w:val="24"/>
        </w:rPr>
      </w:pPr>
      <w:r>
        <w:rPr>
          <w:sz w:val="24"/>
        </w:rPr>
        <w:t>项目管道焊接采用半自动焊接，焊烟产生量较小，施工场地地势开阔，利于焊接烟气扩散，在施工过程中先布管后在进行焊接，焊接点位沿管道布设，在同一个焊接点排放污染物较少，不会对环境造成明显影响。</w:t>
      </w:r>
    </w:p>
    <w:p w14:paraId="4057D411" w14:textId="77777777" w:rsidR="007D1E74" w:rsidRDefault="00A95641">
      <w:pPr>
        <w:spacing w:line="360" w:lineRule="auto"/>
        <w:outlineLvl w:val="2"/>
        <w:rPr>
          <w:b/>
          <w:sz w:val="28"/>
          <w:szCs w:val="28"/>
        </w:rPr>
      </w:pPr>
      <w:r>
        <w:rPr>
          <w:b/>
          <w:sz w:val="28"/>
          <w:szCs w:val="28"/>
        </w:rPr>
        <w:t>6.1.2</w:t>
      </w:r>
      <w:r>
        <w:rPr>
          <w:b/>
          <w:sz w:val="28"/>
          <w:szCs w:val="28"/>
        </w:rPr>
        <w:t>施工期地表水环境影响分析</w:t>
      </w:r>
    </w:p>
    <w:p w14:paraId="046F635A" w14:textId="77777777" w:rsidR="007D1E74" w:rsidRDefault="00A95641">
      <w:pPr>
        <w:spacing w:line="360" w:lineRule="auto"/>
        <w:ind w:firstLineChars="200" w:firstLine="480"/>
        <w:rPr>
          <w:sz w:val="24"/>
        </w:rPr>
      </w:pPr>
      <w:r>
        <w:rPr>
          <w:sz w:val="24"/>
        </w:rPr>
        <w:t>本工程施工期对水环境的影响主要是管道穿越沟渠处的涉水施工、施工人员在施工作业中产生的生活污水、管道安装完后清管试压的生产污水等排放对水环境的影响等。</w:t>
      </w:r>
    </w:p>
    <w:p w14:paraId="404318A3" w14:textId="77777777" w:rsidR="007D1E74" w:rsidRDefault="00A95641">
      <w:pPr>
        <w:spacing w:line="360" w:lineRule="auto"/>
        <w:outlineLvl w:val="2"/>
        <w:rPr>
          <w:b/>
          <w:sz w:val="24"/>
        </w:rPr>
      </w:pPr>
      <w:r>
        <w:rPr>
          <w:b/>
          <w:sz w:val="24"/>
        </w:rPr>
        <w:t>6.1.2.1</w:t>
      </w:r>
      <w:r>
        <w:rPr>
          <w:b/>
          <w:sz w:val="24"/>
        </w:rPr>
        <w:t>管道施工对地表水环境影响分析</w:t>
      </w:r>
    </w:p>
    <w:p w14:paraId="6914EDBE" w14:textId="77777777" w:rsidR="007D1E74" w:rsidRDefault="00A95641">
      <w:pPr>
        <w:spacing w:line="360" w:lineRule="auto"/>
        <w:ind w:firstLineChars="200" w:firstLine="482"/>
        <w:rPr>
          <w:b/>
          <w:bCs/>
          <w:sz w:val="24"/>
        </w:rPr>
      </w:pPr>
      <w:r>
        <w:rPr>
          <w:b/>
          <w:bCs/>
          <w:sz w:val="24"/>
        </w:rPr>
        <w:t>1</w:t>
      </w:r>
      <w:r>
        <w:rPr>
          <w:b/>
          <w:bCs/>
          <w:sz w:val="24"/>
        </w:rPr>
        <w:t>、沟渠穿越影响分析</w:t>
      </w:r>
    </w:p>
    <w:p w14:paraId="62F18BA1" w14:textId="77777777" w:rsidR="007D1E74" w:rsidRDefault="00A95641">
      <w:pPr>
        <w:spacing w:line="360" w:lineRule="auto"/>
        <w:ind w:firstLineChars="200" w:firstLine="480"/>
        <w:rPr>
          <w:sz w:val="24"/>
        </w:rPr>
      </w:pPr>
      <w:r>
        <w:rPr>
          <w:sz w:val="24"/>
        </w:rPr>
        <w:t>本项目集输管线穿跨越沟渠</w:t>
      </w:r>
      <w:r>
        <w:rPr>
          <w:sz w:val="24"/>
        </w:rPr>
        <w:t>115m/9</w:t>
      </w:r>
      <w:r>
        <w:rPr>
          <w:sz w:val="24"/>
        </w:rPr>
        <w:t>次，均采用大开挖方式。穿跨越施工时间均才枯水期进行。</w:t>
      </w:r>
    </w:p>
    <w:p w14:paraId="6786981F" w14:textId="77777777" w:rsidR="007D1E74" w:rsidRDefault="00A95641">
      <w:pPr>
        <w:spacing w:line="360" w:lineRule="auto"/>
        <w:ind w:firstLineChars="200" w:firstLine="480"/>
        <w:rPr>
          <w:sz w:val="24"/>
        </w:rPr>
      </w:pPr>
      <w:r>
        <w:rPr>
          <w:sz w:val="24"/>
        </w:rPr>
        <w:t>项目大开挖施工采用围堰大开挖法施工，在管道穿越轴线两侧砌筑围堰，将明水抽掉，降低地下水，进行管沟开挖，铺设管道，采用管段上加混凝土压块进行稳管处理，管道埋深在河底稳定层中，管顶埋深约在冲刷层以下</w:t>
      </w:r>
      <w:r>
        <w:rPr>
          <w:sz w:val="24"/>
        </w:rPr>
        <w:t>1.5m</w:t>
      </w:r>
      <w:r>
        <w:rPr>
          <w:sz w:val="24"/>
        </w:rPr>
        <w:t>。待施工完成后，经覆土复原，使河床稳固。围堰大开挖法施工对沟渠造成的影响如下：</w:t>
      </w:r>
    </w:p>
    <w:p w14:paraId="3186C809" w14:textId="77777777" w:rsidR="007D1E74" w:rsidRDefault="00A95641">
      <w:pPr>
        <w:spacing w:line="360" w:lineRule="auto"/>
        <w:ind w:firstLineChars="200" w:firstLine="482"/>
        <w:rPr>
          <w:b/>
          <w:sz w:val="24"/>
        </w:rPr>
      </w:pPr>
      <w:r>
        <w:rPr>
          <w:b/>
          <w:sz w:val="24"/>
        </w:rPr>
        <w:t>（</w:t>
      </w:r>
      <w:r>
        <w:rPr>
          <w:b/>
          <w:sz w:val="24"/>
        </w:rPr>
        <w:t>1</w:t>
      </w:r>
      <w:r>
        <w:rPr>
          <w:b/>
          <w:sz w:val="24"/>
        </w:rPr>
        <w:t>）对水质的影响</w:t>
      </w:r>
    </w:p>
    <w:p w14:paraId="1AB4D4E4" w14:textId="77777777" w:rsidR="007D1E74" w:rsidRDefault="00A95641">
      <w:pPr>
        <w:spacing w:line="360" w:lineRule="auto"/>
        <w:ind w:firstLineChars="200" w:firstLine="480"/>
        <w:rPr>
          <w:sz w:val="24"/>
        </w:rPr>
      </w:pPr>
      <w:r>
        <w:rPr>
          <w:sz w:val="24"/>
        </w:rPr>
        <w:t>开挖穿越在施工期将对沟渠水质产生短期影响，主要是围堰布设使泥沙含量显著增加。但这种影响是局部的，在沟渠水水体流过一段距离后，由于泥沙的重新沉积会使沟渠中水质恢复到原有状况。施工过后，不会对水体功能和水质产生明显影响。</w:t>
      </w:r>
    </w:p>
    <w:p w14:paraId="2657FD94" w14:textId="77777777" w:rsidR="007D1E74" w:rsidRDefault="00A95641">
      <w:pPr>
        <w:spacing w:line="360" w:lineRule="auto"/>
        <w:ind w:firstLineChars="200" w:firstLine="480"/>
        <w:rPr>
          <w:sz w:val="24"/>
        </w:rPr>
      </w:pPr>
      <w:r>
        <w:rPr>
          <w:sz w:val="24"/>
        </w:rPr>
        <w:t>本项目沿线以开挖方式穿越的沟渠，均为水浅、流量较小的渠道，评价要求项目河流开挖均选择在枯水期进行，根据现场实地调研结果，在枯水期沿线沟渠中水量较少，</w:t>
      </w:r>
      <w:r>
        <w:rPr>
          <w:sz w:val="24"/>
        </w:rPr>
        <w:t xml:space="preserve"> </w:t>
      </w:r>
      <w:r>
        <w:rPr>
          <w:sz w:val="24"/>
        </w:rPr>
        <w:t>对水渠中水质影响较小。</w:t>
      </w:r>
    </w:p>
    <w:p w14:paraId="18A7ECF0" w14:textId="77777777" w:rsidR="007D1E74" w:rsidRDefault="00A95641">
      <w:pPr>
        <w:spacing w:line="360" w:lineRule="auto"/>
        <w:ind w:firstLineChars="200" w:firstLine="480"/>
        <w:rPr>
          <w:sz w:val="24"/>
        </w:rPr>
      </w:pPr>
      <w:r>
        <w:rPr>
          <w:sz w:val="24"/>
        </w:rPr>
        <w:t>管沟开挖作业会对沟渠造成暂时性破坏，待施工完成后，经覆土复原，采用稳固措施后，不会对水渠及水体环境产生影响。</w:t>
      </w:r>
    </w:p>
    <w:p w14:paraId="7D396250" w14:textId="77777777" w:rsidR="007D1E74" w:rsidRDefault="00A95641">
      <w:pPr>
        <w:spacing w:line="360" w:lineRule="auto"/>
        <w:ind w:firstLineChars="200" w:firstLine="482"/>
        <w:rPr>
          <w:b/>
          <w:bCs/>
          <w:sz w:val="24"/>
        </w:rPr>
      </w:pPr>
      <w:r>
        <w:rPr>
          <w:b/>
          <w:bCs/>
          <w:sz w:val="24"/>
        </w:rPr>
        <w:t>（</w:t>
      </w:r>
      <w:r>
        <w:rPr>
          <w:b/>
          <w:bCs/>
          <w:sz w:val="24"/>
        </w:rPr>
        <w:t>2</w:t>
      </w:r>
      <w:r>
        <w:rPr>
          <w:b/>
          <w:bCs/>
          <w:sz w:val="24"/>
        </w:rPr>
        <w:t>）对水生生物和下游农业用水的影响分析</w:t>
      </w:r>
    </w:p>
    <w:p w14:paraId="1D7DA0EF" w14:textId="77777777" w:rsidR="007D1E74" w:rsidRDefault="00A95641">
      <w:pPr>
        <w:spacing w:line="360" w:lineRule="auto"/>
        <w:ind w:firstLineChars="200" w:firstLine="480"/>
        <w:rPr>
          <w:sz w:val="24"/>
        </w:rPr>
      </w:pPr>
      <w:r>
        <w:rPr>
          <w:sz w:val="24"/>
        </w:rPr>
        <w:t>施工过程中的开挖活动可能阻隔、影响水域的固有水文规律，开挖将使地下水向管沟方向侧渗，可能沿管沟形成水流，造成周围局部高出地段地下水位下降或使管沟两侧地下潜流受阻，开挖作业一般选在枯水期，一般水量相对较小，沟渠基本干涸，且项目仅涉及沟渠开挖，不涉及河流开挖，项目开挖段对水生生物和下游农业用水量影响较小，</w:t>
      </w:r>
      <w:r>
        <w:rPr>
          <w:sz w:val="24"/>
        </w:rPr>
        <w:t xml:space="preserve"> </w:t>
      </w:r>
      <w:r>
        <w:rPr>
          <w:sz w:val="24"/>
        </w:rPr>
        <w:lastRenderedPageBreak/>
        <w:t>若施工期赶在灌溉季节，施工将采用泵进行抽水，分段施工，不会对水进行截流，另外，</w:t>
      </w:r>
      <w:r>
        <w:rPr>
          <w:sz w:val="24"/>
        </w:rPr>
        <w:t xml:space="preserve"> </w:t>
      </w:r>
      <w:r>
        <w:rPr>
          <w:sz w:val="24"/>
        </w:rPr>
        <w:t>沟渠的施工较短，一般为</w:t>
      </w:r>
      <w:r>
        <w:rPr>
          <w:sz w:val="24"/>
        </w:rPr>
        <w:t>3-5</w:t>
      </w:r>
      <w:r>
        <w:rPr>
          <w:sz w:val="24"/>
        </w:rPr>
        <w:t>天，影响是短期的和局部的。</w:t>
      </w:r>
    </w:p>
    <w:p w14:paraId="7793ACB0" w14:textId="77777777" w:rsidR="007D1E74" w:rsidRDefault="00A95641">
      <w:pPr>
        <w:spacing w:line="360" w:lineRule="auto"/>
        <w:ind w:firstLineChars="200" w:firstLine="482"/>
        <w:rPr>
          <w:b/>
          <w:bCs/>
          <w:sz w:val="24"/>
        </w:rPr>
      </w:pPr>
      <w:r>
        <w:rPr>
          <w:b/>
          <w:bCs/>
          <w:sz w:val="24"/>
        </w:rPr>
        <w:t>（</w:t>
      </w:r>
      <w:r>
        <w:rPr>
          <w:b/>
          <w:bCs/>
          <w:sz w:val="24"/>
        </w:rPr>
        <w:t>3</w:t>
      </w:r>
      <w:r>
        <w:rPr>
          <w:b/>
          <w:bCs/>
          <w:sz w:val="24"/>
        </w:rPr>
        <w:t>）对水土流失的影响分析</w:t>
      </w:r>
    </w:p>
    <w:p w14:paraId="7754E128" w14:textId="77777777" w:rsidR="007D1E74" w:rsidRDefault="00A95641">
      <w:pPr>
        <w:spacing w:line="360" w:lineRule="auto"/>
        <w:ind w:firstLineChars="200" w:firstLine="480"/>
        <w:rPr>
          <w:sz w:val="24"/>
        </w:rPr>
      </w:pPr>
      <w:r>
        <w:rPr>
          <w:sz w:val="24"/>
        </w:rPr>
        <w:t>施工中做好临时防护工程，有效的防治洪水冲刷，减少水土流失，总之，采取开挖方式施工时，建设单位在对穿越点的选择过程中需充分考虑地表水功能和类型，降低施工期间对地表水水质造成的影响。</w:t>
      </w:r>
    </w:p>
    <w:p w14:paraId="0E4EBA3D" w14:textId="77777777" w:rsidR="007D1E74" w:rsidRDefault="00A95641">
      <w:pPr>
        <w:spacing w:line="360" w:lineRule="auto"/>
        <w:ind w:firstLineChars="200" w:firstLine="482"/>
        <w:rPr>
          <w:b/>
          <w:bCs/>
          <w:sz w:val="24"/>
        </w:rPr>
      </w:pPr>
      <w:r>
        <w:rPr>
          <w:b/>
          <w:bCs/>
          <w:sz w:val="24"/>
        </w:rPr>
        <w:t>2</w:t>
      </w:r>
      <w:r>
        <w:rPr>
          <w:b/>
          <w:bCs/>
          <w:sz w:val="24"/>
        </w:rPr>
        <w:t>、项目采取的环保措施</w:t>
      </w:r>
    </w:p>
    <w:p w14:paraId="7D4B6FA0" w14:textId="77777777" w:rsidR="007D1E74" w:rsidRDefault="00A95641">
      <w:pPr>
        <w:spacing w:line="360" w:lineRule="auto"/>
        <w:ind w:firstLineChars="200" w:firstLine="480"/>
        <w:rPr>
          <w:sz w:val="24"/>
        </w:rPr>
      </w:pPr>
      <w:r>
        <w:rPr>
          <w:sz w:val="24"/>
        </w:rPr>
        <w:t>在大开挖施工过程中，为减少项目施工对沟渠环境的影响，环评提出以下减缓影响的环保措施：</w:t>
      </w:r>
    </w:p>
    <w:p w14:paraId="5206598A" w14:textId="77777777" w:rsidR="007D1E74" w:rsidRDefault="00A95641">
      <w:pPr>
        <w:spacing w:line="360" w:lineRule="auto"/>
        <w:ind w:firstLineChars="200" w:firstLine="480"/>
        <w:rPr>
          <w:sz w:val="24"/>
        </w:rPr>
      </w:pPr>
      <w:r>
        <w:rPr>
          <w:sz w:val="24"/>
        </w:rPr>
        <w:t>（</w:t>
      </w:r>
      <w:r>
        <w:rPr>
          <w:sz w:val="24"/>
        </w:rPr>
        <w:t>1</w:t>
      </w:r>
      <w:r>
        <w:rPr>
          <w:sz w:val="24"/>
        </w:rPr>
        <w:t>）采取开挖方式施工时，建设单位在对穿越点的选择过程中需充分考虑地表水功能和类型，同时要取得水利、规划、农业和环保等部门的认可，降低施工期间对地表水水质造成的影响。</w:t>
      </w:r>
    </w:p>
    <w:p w14:paraId="58A5EC42" w14:textId="77777777" w:rsidR="007D1E74" w:rsidRDefault="00A95641">
      <w:pPr>
        <w:spacing w:line="360" w:lineRule="auto"/>
        <w:ind w:firstLineChars="200" w:firstLine="480"/>
        <w:rPr>
          <w:sz w:val="24"/>
        </w:rPr>
      </w:pPr>
      <w:r>
        <w:rPr>
          <w:sz w:val="24"/>
        </w:rPr>
        <w:t>（</w:t>
      </w:r>
      <w:r>
        <w:rPr>
          <w:sz w:val="24"/>
        </w:rPr>
        <w:t>2</w:t>
      </w:r>
      <w:r>
        <w:rPr>
          <w:sz w:val="24"/>
        </w:rPr>
        <w:t>）建设单位应加强施工期环境管理，管沟开挖、临时道路修建、沟渠穿越施工应避开雨季，减少水土流失和对水生生态系统的影响。</w:t>
      </w:r>
    </w:p>
    <w:p w14:paraId="706573BE" w14:textId="77777777" w:rsidR="007D1E74" w:rsidRDefault="00A95641">
      <w:pPr>
        <w:spacing w:line="360" w:lineRule="auto"/>
        <w:ind w:firstLineChars="200" w:firstLine="480"/>
        <w:rPr>
          <w:sz w:val="24"/>
        </w:rPr>
      </w:pPr>
      <w:r>
        <w:rPr>
          <w:sz w:val="24"/>
        </w:rPr>
        <w:t>（</w:t>
      </w:r>
      <w:r>
        <w:rPr>
          <w:sz w:val="24"/>
        </w:rPr>
        <w:t>3</w:t>
      </w:r>
      <w:r>
        <w:rPr>
          <w:sz w:val="24"/>
        </w:rPr>
        <w:t>）必须选择在枯水期进行施工，禁止向水体排放一切污染物。</w:t>
      </w:r>
    </w:p>
    <w:p w14:paraId="7F164312" w14:textId="77777777" w:rsidR="007D1E74" w:rsidRDefault="00A95641">
      <w:pPr>
        <w:spacing w:line="360" w:lineRule="auto"/>
        <w:ind w:firstLineChars="200" w:firstLine="480"/>
        <w:rPr>
          <w:sz w:val="24"/>
        </w:rPr>
      </w:pPr>
      <w:r>
        <w:rPr>
          <w:sz w:val="24"/>
        </w:rPr>
        <w:t>（</w:t>
      </w:r>
      <w:r>
        <w:rPr>
          <w:sz w:val="24"/>
        </w:rPr>
        <w:t>4</w:t>
      </w:r>
      <w:r>
        <w:rPr>
          <w:sz w:val="24"/>
        </w:rPr>
        <w:t>）严格施工组织，优化施工方案，尽量缩短施工时间。</w:t>
      </w:r>
    </w:p>
    <w:p w14:paraId="1417FDE8" w14:textId="77777777" w:rsidR="007D1E74" w:rsidRDefault="00A95641">
      <w:pPr>
        <w:spacing w:line="360" w:lineRule="auto"/>
        <w:ind w:firstLineChars="200" w:firstLine="480"/>
        <w:rPr>
          <w:sz w:val="24"/>
        </w:rPr>
      </w:pPr>
      <w:r>
        <w:rPr>
          <w:sz w:val="24"/>
        </w:rPr>
        <w:t>（</w:t>
      </w:r>
      <w:r>
        <w:rPr>
          <w:sz w:val="24"/>
        </w:rPr>
        <w:t>5</w:t>
      </w:r>
      <w:r>
        <w:rPr>
          <w:sz w:val="24"/>
        </w:rPr>
        <w:t>）严禁向河道排放管道试压水，严禁在河流两堤外堤脚内建立施工营地和施工临时厕所，严禁在河流及近岸内清洗施工机械、运输车辆，严禁向河道内排放污水和固体废物。</w:t>
      </w:r>
    </w:p>
    <w:p w14:paraId="77746433" w14:textId="77777777" w:rsidR="007D1E74" w:rsidRDefault="00A95641">
      <w:pPr>
        <w:spacing w:line="360" w:lineRule="auto"/>
        <w:ind w:firstLineChars="200" w:firstLine="480"/>
        <w:rPr>
          <w:sz w:val="24"/>
        </w:rPr>
      </w:pPr>
      <w:r>
        <w:rPr>
          <w:sz w:val="24"/>
        </w:rPr>
        <w:t>在穿越沟渠两侧不进行施工机械加油或存放油品储罐活动，严禁在水渠等地表水体内清洗施工机械或车辆。机械设备若有漏油现象要及时清理散落机油。严禁将施工现场的洒落机油等污染物落入地表水体中。</w:t>
      </w:r>
    </w:p>
    <w:p w14:paraId="4734FE33" w14:textId="77777777" w:rsidR="007D1E74" w:rsidRDefault="00A95641">
      <w:pPr>
        <w:spacing w:line="360" w:lineRule="auto"/>
        <w:ind w:firstLineChars="200" w:firstLine="480"/>
        <w:rPr>
          <w:sz w:val="24"/>
        </w:rPr>
      </w:pPr>
      <w:r>
        <w:rPr>
          <w:sz w:val="24"/>
        </w:rPr>
        <w:t>（</w:t>
      </w:r>
      <w:r>
        <w:rPr>
          <w:sz w:val="24"/>
        </w:rPr>
        <w:t>7</w:t>
      </w:r>
      <w:r>
        <w:rPr>
          <w:sz w:val="24"/>
        </w:rPr>
        <w:t>）施工产生的试压废水应设置坑池将管道试压水中的悬浮泥沙沉淀过滤后再行排放。</w:t>
      </w:r>
    </w:p>
    <w:p w14:paraId="5708C62A" w14:textId="77777777" w:rsidR="007D1E74" w:rsidRDefault="00A95641">
      <w:pPr>
        <w:spacing w:line="360" w:lineRule="auto"/>
        <w:ind w:firstLineChars="200" w:firstLine="480"/>
        <w:rPr>
          <w:sz w:val="24"/>
        </w:rPr>
      </w:pPr>
      <w:r>
        <w:rPr>
          <w:sz w:val="24"/>
        </w:rPr>
        <w:t>（</w:t>
      </w:r>
      <w:r>
        <w:rPr>
          <w:sz w:val="24"/>
        </w:rPr>
        <w:t>8</w:t>
      </w:r>
      <w:r>
        <w:rPr>
          <w:sz w:val="24"/>
        </w:rPr>
        <w:t>）施工结束后，应尽量使施工段沟渠恢复原貌，管沟回填后多余土石方可均匀堆积于穿越区岸坡背水侧，压实、或用于修筑堤坝；必须注意围堰土在施工结束后的清理工作，避免阻塞水渠。</w:t>
      </w:r>
    </w:p>
    <w:p w14:paraId="06A718B8" w14:textId="77777777" w:rsidR="007D1E74" w:rsidRDefault="00A95641">
      <w:pPr>
        <w:spacing w:line="360" w:lineRule="auto"/>
        <w:ind w:firstLineChars="200" w:firstLine="480"/>
        <w:rPr>
          <w:sz w:val="24"/>
        </w:rPr>
      </w:pPr>
      <w:r>
        <w:rPr>
          <w:sz w:val="24"/>
        </w:rPr>
        <w:t>（</w:t>
      </w:r>
      <w:r>
        <w:rPr>
          <w:sz w:val="24"/>
        </w:rPr>
        <w:t>9</w:t>
      </w:r>
      <w:r>
        <w:rPr>
          <w:sz w:val="24"/>
        </w:rPr>
        <w:t>）大开挖施工均在枯水期进行，采取有效措施防止泥沙扰动及禁止渣土进入沟渠等地表水体中，施工结束后及时恢复原貌。</w:t>
      </w:r>
    </w:p>
    <w:p w14:paraId="536C0E0E" w14:textId="77777777" w:rsidR="007D1E74" w:rsidRDefault="00A95641">
      <w:pPr>
        <w:spacing w:line="360" w:lineRule="auto"/>
        <w:ind w:firstLineChars="200" w:firstLine="480"/>
        <w:rPr>
          <w:sz w:val="24"/>
        </w:rPr>
      </w:pPr>
      <w:r>
        <w:rPr>
          <w:sz w:val="24"/>
        </w:rPr>
        <w:lastRenderedPageBreak/>
        <w:t>根据现状调查，采取大开挖穿越的地表水体中，为了保护地表水，最大限度的减轻大开挖施工对穿越水体的影响。在穿越施工期间，要严格执行《中华人民共和国水污染防治法》及中有关规定，严格实施关于大开挖施工方式的有关环境保护要求及相应保护措施。</w:t>
      </w:r>
    </w:p>
    <w:p w14:paraId="7364064D" w14:textId="77777777" w:rsidR="007D1E74" w:rsidRDefault="00A95641">
      <w:pPr>
        <w:spacing w:line="360" w:lineRule="auto"/>
        <w:outlineLvl w:val="2"/>
        <w:rPr>
          <w:b/>
          <w:sz w:val="24"/>
        </w:rPr>
      </w:pPr>
      <w:r>
        <w:rPr>
          <w:b/>
          <w:sz w:val="24"/>
        </w:rPr>
        <w:t>6.1.2.2</w:t>
      </w:r>
      <w:r>
        <w:rPr>
          <w:b/>
          <w:sz w:val="24"/>
        </w:rPr>
        <w:t>生活污水及试压废水对地表水的影响分析</w:t>
      </w:r>
    </w:p>
    <w:p w14:paraId="5F52A24B" w14:textId="77777777" w:rsidR="007D1E74" w:rsidRDefault="00A95641">
      <w:pPr>
        <w:spacing w:line="360" w:lineRule="auto"/>
        <w:ind w:firstLineChars="200" w:firstLine="480"/>
        <w:rPr>
          <w:sz w:val="24"/>
        </w:rPr>
      </w:pPr>
      <w:r>
        <w:rPr>
          <w:sz w:val="24"/>
        </w:rPr>
        <w:t>根据工程分析，本项目施工期生活污水总产生量约为</w:t>
      </w:r>
      <w:r>
        <w:rPr>
          <w:sz w:val="24"/>
        </w:rPr>
        <w:t>37.5m</w:t>
      </w:r>
      <w:r>
        <w:rPr>
          <w:sz w:val="24"/>
          <w:vertAlign w:val="superscript"/>
        </w:rPr>
        <w:t>3</w:t>
      </w:r>
      <w:r>
        <w:rPr>
          <w:sz w:val="24"/>
        </w:rPr>
        <w:t>，</w:t>
      </w:r>
      <w:r>
        <w:rPr>
          <w:sz w:val="24"/>
        </w:rPr>
        <w:t>COD</w:t>
      </w:r>
      <w:r>
        <w:rPr>
          <w:sz w:val="24"/>
          <w:vertAlign w:val="subscript"/>
        </w:rPr>
        <w:t>Cr</w:t>
      </w:r>
      <w:r>
        <w:rPr>
          <w:sz w:val="24"/>
        </w:rPr>
        <w:t>排放总量约为</w:t>
      </w:r>
      <w:r>
        <w:rPr>
          <w:sz w:val="24"/>
        </w:rPr>
        <w:t>7.2kg/d</w:t>
      </w:r>
      <w:r>
        <w:rPr>
          <w:sz w:val="24"/>
        </w:rPr>
        <w:t>，氨氮排放总量约为</w:t>
      </w:r>
      <w:r>
        <w:rPr>
          <w:sz w:val="24"/>
        </w:rPr>
        <w:t>0.2kg/d</w:t>
      </w:r>
      <w:r>
        <w:rPr>
          <w:sz w:val="24"/>
        </w:rPr>
        <w:t>。同时施工是分段分期进行，具有较大的分散性，</w:t>
      </w:r>
      <w:r>
        <w:rPr>
          <w:sz w:val="24"/>
        </w:rPr>
        <w:t xml:space="preserve"> </w:t>
      </w:r>
      <w:r>
        <w:rPr>
          <w:sz w:val="24"/>
        </w:rPr>
        <w:t>局部排放量很小。项目施工期间，远离城镇的施工人员产生的生活污水经过周围农户旱厕处理后直接用于农业灌溉，由于周围主要为农村环境，项目产生的生活污水用于农业灌溉满足需求；城镇施工人员依托现有化粪池处理后进入污水</w:t>
      </w:r>
      <w:r>
        <w:rPr>
          <w:rFonts w:hint="eastAsia"/>
          <w:sz w:val="24"/>
        </w:rPr>
        <w:t>管网</w:t>
      </w:r>
      <w:r>
        <w:rPr>
          <w:sz w:val="24"/>
        </w:rPr>
        <w:t>最终进入城镇污水处理厂处理后达标排放。</w:t>
      </w:r>
    </w:p>
    <w:p w14:paraId="00290DDD" w14:textId="77777777" w:rsidR="007D1E74" w:rsidRDefault="00A95641">
      <w:pPr>
        <w:spacing w:line="360" w:lineRule="auto"/>
        <w:ind w:firstLineChars="200" w:firstLine="480"/>
        <w:rPr>
          <w:sz w:val="24"/>
        </w:rPr>
      </w:pPr>
      <w:r>
        <w:rPr>
          <w:sz w:val="24"/>
        </w:rPr>
        <w:t>项目在同一地点产生生活污水较少，生活污水不直接进入地表水体，施工期生活污水对地表水环境的影响很小。</w:t>
      </w:r>
    </w:p>
    <w:p w14:paraId="42057901" w14:textId="77777777" w:rsidR="007D1E74" w:rsidRDefault="00A95641">
      <w:pPr>
        <w:spacing w:line="360" w:lineRule="auto"/>
        <w:ind w:firstLineChars="200" w:firstLine="480"/>
        <w:rPr>
          <w:sz w:val="24"/>
        </w:rPr>
      </w:pPr>
      <w:r>
        <w:rPr>
          <w:sz w:val="24"/>
        </w:rPr>
        <w:t>项目拟在各施工场地设置临时隔油沉淀池，施工废水经隔油沉淀池处理后循环使用或回用于施工场地的洒水抑尘等，不外排。</w:t>
      </w:r>
    </w:p>
    <w:p w14:paraId="66FFEB29" w14:textId="77777777" w:rsidR="007D1E74" w:rsidRDefault="00A95641">
      <w:pPr>
        <w:spacing w:line="360" w:lineRule="auto"/>
        <w:ind w:firstLineChars="200" w:firstLine="480"/>
        <w:rPr>
          <w:sz w:val="24"/>
        </w:rPr>
      </w:pPr>
      <w:r>
        <w:rPr>
          <w:sz w:val="24"/>
        </w:rPr>
        <w:t>本项目管道试压使用洁净水，且采取分段试压的方式进行，产生量约为</w:t>
      </w:r>
      <w:r>
        <w:rPr>
          <w:sz w:val="24"/>
        </w:rPr>
        <w:t>185m</w:t>
      </w:r>
      <w:r>
        <w:rPr>
          <w:sz w:val="24"/>
          <w:vertAlign w:val="superscript"/>
        </w:rPr>
        <w:t>3</w:t>
      </w:r>
      <w:r>
        <w:rPr>
          <w:sz w:val="24"/>
        </w:rPr>
        <w:t>，污水排放采用罐车拉运至污水处理厂进行处理。</w:t>
      </w:r>
    </w:p>
    <w:p w14:paraId="02ED7D48" w14:textId="77777777" w:rsidR="007D1E74" w:rsidRDefault="00A95641">
      <w:pPr>
        <w:spacing w:line="360" w:lineRule="auto"/>
        <w:ind w:firstLineChars="200" w:firstLine="480"/>
        <w:rPr>
          <w:sz w:val="24"/>
        </w:rPr>
      </w:pPr>
      <w:r>
        <w:rPr>
          <w:sz w:val="24"/>
        </w:rPr>
        <w:t>本项目沿线基本沿小通江河布设，本次环评提出严禁将废水直接排入四川诺水河珍稀水生动物国家级自然保护区小通江以及具有饮水源功能的水体。</w:t>
      </w:r>
    </w:p>
    <w:p w14:paraId="6BEBF085" w14:textId="77777777" w:rsidR="007D1E74" w:rsidRDefault="00A95641">
      <w:pPr>
        <w:spacing w:line="360" w:lineRule="auto"/>
        <w:outlineLvl w:val="2"/>
        <w:rPr>
          <w:b/>
          <w:sz w:val="28"/>
          <w:szCs w:val="28"/>
        </w:rPr>
      </w:pPr>
      <w:r>
        <w:rPr>
          <w:b/>
          <w:sz w:val="28"/>
          <w:szCs w:val="28"/>
        </w:rPr>
        <w:t>6.1.3</w:t>
      </w:r>
      <w:r>
        <w:rPr>
          <w:b/>
          <w:sz w:val="28"/>
          <w:szCs w:val="28"/>
        </w:rPr>
        <w:t>施工期地下水环境影响分析</w:t>
      </w:r>
    </w:p>
    <w:p w14:paraId="55771574" w14:textId="77777777" w:rsidR="007D1E74" w:rsidRDefault="00A95641">
      <w:pPr>
        <w:spacing w:line="360" w:lineRule="auto"/>
        <w:ind w:firstLineChars="200" w:firstLine="480"/>
        <w:rPr>
          <w:sz w:val="24"/>
        </w:rPr>
      </w:pPr>
      <w:r>
        <w:rPr>
          <w:sz w:val="24"/>
        </w:rPr>
        <w:t>本工程的管道敷设埋深一般在</w:t>
      </w:r>
      <w:r>
        <w:rPr>
          <w:sz w:val="24"/>
        </w:rPr>
        <w:t>2m</w:t>
      </w:r>
      <w:r>
        <w:rPr>
          <w:sz w:val="24"/>
        </w:rPr>
        <w:t>以内，在施工过程中的辅料、废料等在降水的淋滤作用下产生的浸出液进入地下含水层，将对地下水造成不同程度的影响，其影响程度取决于下渗量及其饱和地带的厚度、岩性和对污染物的阻滞、吸附分解等自然净化能力。由管道通过地区沿线的表层土来看，均有一定的自然净化能力，对地下水的影响较小。施工过程中不设营地，均依托民居，生活污水、生活垃圾利用现有设施进行处理处置，废弃土石方就地平整，对地下水的影响很小。本工程管道所经过区域没有地下水源保护区。因此，本工程的管道埋设不会对地下水造成明显影响。</w:t>
      </w:r>
    </w:p>
    <w:p w14:paraId="547EECB7" w14:textId="77777777" w:rsidR="007D1E74" w:rsidRDefault="00A95641">
      <w:pPr>
        <w:spacing w:line="360" w:lineRule="auto"/>
        <w:outlineLvl w:val="2"/>
        <w:rPr>
          <w:b/>
          <w:sz w:val="28"/>
          <w:szCs w:val="28"/>
        </w:rPr>
      </w:pPr>
      <w:r>
        <w:rPr>
          <w:b/>
          <w:sz w:val="28"/>
          <w:szCs w:val="28"/>
        </w:rPr>
        <w:t>6.1.4</w:t>
      </w:r>
      <w:r>
        <w:rPr>
          <w:b/>
          <w:sz w:val="28"/>
          <w:szCs w:val="28"/>
        </w:rPr>
        <w:t>施工期声环境影响分析</w:t>
      </w:r>
    </w:p>
    <w:p w14:paraId="244BFFB3" w14:textId="77777777" w:rsidR="007D1E74" w:rsidRDefault="00A95641">
      <w:pPr>
        <w:spacing w:line="360" w:lineRule="auto"/>
        <w:outlineLvl w:val="2"/>
        <w:rPr>
          <w:b/>
          <w:sz w:val="24"/>
        </w:rPr>
      </w:pPr>
      <w:r>
        <w:rPr>
          <w:b/>
          <w:sz w:val="24"/>
        </w:rPr>
        <w:t>6.1.4.1</w:t>
      </w:r>
      <w:r>
        <w:rPr>
          <w:b/>
          <w:sz w:val="24"/>
        </w:rPr>
        <w:t>施工噪声源</w:t>
      </w:r>
    </w:p>
    <w:p w14:paraId="129D39FE" w14:textId="77777777" w:rsidR="007D1E74" w:rsidRDefault="00A95641">
      <w:pPr>
        <w:spacing w:line="360" w:lineRule="auto"/>
        <w:ind w:firstLineChars="200" w:firstLine="480"/>
        <w:rPr>
          <w:sz w:val="24"/>
        </w:rPr>
      </w:pPr>
      <w:r>
        <w:rPr>
          <w:sz w:val="24"/>
        </w:rPr>
        <w:lastRenderedPageBreak/>
        <w:t>根据工程分析，施工期对噪声环境的影响主要是由施工机械和运输车辆造成，此外，</w:t>
      </w:r>
      <w:r>
        <w:rPr>
          <w:sz w:val="24"/>
        </w:rPr>
        <w:t xml:space="preserve"> </w:t>
      </w:r>
      <w:r>
        <w:rPr>
          <w:sz w:val="24"/>
        </w:rPr>
        <w:t>在修建施工便道、开挖管沟等施工中，会产生强噪声。</w:t>
      </w:r>
    </w:p>
    <w:p w14:paraId="34C66F16" w14:textId="77777777" w:rsidR="007D1E74" w:rsidRDefault="00A95641">
      <w:pPr>
        <w:spacing w:line="360" w:lineRule="auto"/>
        <w:ind w:firstLineChars="200" w:firstLine="480"/>
        <w:rPr>
          <w:sz w:val="24"/>
        </w:rPr>
      </w:pPr>
      <w:r>
        <w:rPr>
          <w:sz w:val="24"/>
        </w:rPr>
        <w:t>各施工区段内随着项目进展，将采用不同的机械设备施工，如在挖沟时采用挖掘机，</w:t>
      </w:r>
      <w:r>
        <w:rPr>
          <w:sz w:val="24"/>
        </w:rPr>
        <w:t xml:space="preserve"> </w:t>
      </w:r>
      <w:r>
        <w:rPr>
          <w:sz w:val="24"/>
        </w:rPr>
        <w:t>布管时使用运输车辆，焊接时使用电焊机及发电机，管道入沟时采用吊管机，回填时使用推土机，这些施工均为白天作业，根据施工内容交替使用施工机械，并随施工位置变化移动，在同一区域施工时间较短。</w:t>
      </w:r>
    </w:p>
    <w:p w14:paraId="3BA0601B" w14:textId="77777777" w:rsidR="007D1E74" w:rsidRDefault="00A95641">
      <w:pPr>
        <w:spacing w:line="360" w:lineRule="auto"/>
        <w:ind w:firstLineChars="200" w:firstLine="480"/>
        <w:rPr>
          <w:sz w:val="24"/>
        </w:rPr>
      </w:pPr>
      <w:r>
        <w:rPr>
          <w:sz w:val="24"/>
        </w:rPr>
        <w:t>穿越施工地点选择在交通方便、场地开阔的一侧，施工周期取决于采用的施工方式和穿越长度及地质情况，每项穿越工程的施工时间一般在</w:t>
      </w:r>
      <w:r>
        <w:rPr>
          <w:sz w:val="24"/>
        </w:rPr>
        <w:t>20</w:t>
      </w:r>
      <w:r>
        <w:rPr>
          <w:sz w:val="24"/>
        </w:rPr>
        <w:t>～</w:t>
      </w:r>
      <w:r>
        <w:rPr>
          <w:sz w:val="24"/>
        </w:rPr>
        <w:t>40d</w:t>
      </w:r>
      <w:r>
        <w:rPr>
          <w:sz w:val="24"/>
        </w:rPr>
        <w:t>不等，一般白天施工，</w:t>
      </w:r>
      <w:r>
        <w:rPr>
          <w:sz w:val="24"/>
        </w:rPr>
        <w:t xml:space="preserve"> </w:t>
      </w:r>
      <w:r>
        <w:rPr>
          <w:sz w:val="24"/>
        </w:rPr>
        <w:t>噪声源主要是发电机等。</w:t>
      </w:r>
    </w:p>
    <w:p w14:paraId="1293BFBB" w14:textId="77777777" w:rsidR="007D1E74" w:rsidRDefault="00A95641">
      <w:pPr>
        <w:spacing w:line="360" w:lineRule="auto"/>
        <w:ind w:firstLineChars="200" w:firstLine="480"/>
        <w:rPr>
          <w:sz w:val="24"/>
        </w:rPr>
      </w:pPr>
      <w:r>
        <w:rPr>
          <w:sz w:val="24"/>
        </w:rPr>
        <w:t>根据类比调查以及项目提供的主要设备选型等有关资料分析，设备高达</w:t>
      </w:r>
      <w:r>
        <w:rPr>
          <w:sz w:val="24"/>
        </w:rPr>
        <w:t>85dB(A)</w:t>
      </w:r>
      <w:r>
        <w:rPr>
          <w:sz w:val="24"/>
        </w:rPr>
        <w:t>以上的噪声源施工机械有：挖掘机、吊管机、电焊机、推土机、切割机等。</w:t>
      </w:r>
    </w:p>
    <w:p w14:paraId="492F2D31" w14:textId="77777777" w:rsidR="007D1E74" w:rsidRDefault="00A95641">
      <w:pPr>
        <w:spacing w:line="360" w:lineRule="auto"/>
        <w:ind w:firstLineChars="200" w:firstLine="480"/>
        <w:rPr>
          <w:sz w:val="24"/>
        </w:rPr>
      </w:pPr>
      <w:r>
        <w:rPr>
          <w:sz w:val="24"/>
        </w:rPr>
        <w:t>施工机械噪声采用如下模式进行预测计算：</w:t>
      </w:r>
    </w:p>
    <w:p w14:paraId="31E59CD9" w14:textId="77777777" w:rsidR="007D1E74" w:rsidRDefault="00A95641">
      <w:pPr>
        <w:spacing w:line="360" w:lineRule="auto"/>
        <w:ind w:firstLineChars="200" w:firstLine="420"/>
        <w:jc w:val="center"/>
      </w:pPr>
      <w:r>
        <w:rPr>
          <w:noProof/>
        </w:rPr>
        <w:drawing>
          <wp:inline distT="0" distB="0" distL="114300" distR="114300" wp14:anchorId="78B7C18D" wp14:editId="3C893163">
            <wp:extent cx="2076450" cy="457200"/>
            <wp:effectExtent l="0" t="0" r="11430" b="0"/>
            <wp:docPr id="117" name="图片 2" descr="C:/Users/Administrator/AppData/Local/Temp/picturecompress_20210816174539/output_70.pngoutput_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 descr="C:/Users/Administrator/AppData/Local/Temp/picturecompress_20210816174539/output_70.pngoutput_70"/>
                    <pic:cNvPicPr>
                      <a:picLocks noChangeAspect="1"/>
                    </pic:cNvPicPr>
                  </pic:nvPicPr>
                  <pic:blipFill>
                    <a:blip r:embed="rId149"/>
                    <a:stretch>
                      <a:fillRect/>
                    </a:stretch>
                  </pic:blipFill>
                  <pic:spPr>
                    <a:xfrm>
                      <a:off x="0" y="0"/>
                      <a:ext cx="2076450" cy="457200"/>
                    </a:xfrm>
                    <a:prstGeom prst="rect">
                      <a:avLst/>
                    </a:prstGeom>
                    <a:noFill/>
                    <a:ln>
                      <a:noFill/>
                    </a:ln>
                  </pic:spPr>
                </pic:pic>
              </a:graphicData>
            </a:graphic>
          </wp:inline>
        </w:drawing>
      </w:r>
    </w:p>
    <w:p w14:paraId="50BF07D3" w14:textId="77777777" w:rsidR="007D1E74" w:rsidRDefault="00A95641">
      <w:pPr>
        <w:spacing w:line="360" w:lineRule="auto"/>
        <w:ind w:firstLineChars="200" w:firstLine="480"/>
        <w:rPr>
          <w:sz w:val="24"/>
        </w:rPr>
      </w:pPr>
      <w:r>
        <w:rPr>
          <w:sz w:val="24"/>
        </w:rPr>
        <w:t>式中：</w:t>
      </w:r>
      <w:r>
        <w:rPr>
          <w:sz w:val="24"/>
        </w:rPr>
        <w:t>L</w:t>
      </w:r>
      <w:r>
        <w:rPr>
          <w:sz w:val="24"/>
          <w:vertAlign w:val="subscript"/>
        </w:rPr>
        <w:t>i</w:t>
      </w:r>
      <w:r>
        <w:rPr>
          <w:sz w:val="24"/>
        </w:rPr>
        <w:t>——</w:t>
      </w:r>
      <w:r>
        <w:rPr>
          <w:sz w:val="24"/>
        </w:rPr>
        <w:t>距声源</w:t>
      </w:r>
      <w:r>
        <w:rPr>
          <w:sz w:val="24"/>
        </w:rPr>
        <w:t xml:space="preserve"> r</w:t>
      </w:r>
      <w:r>
        <w:rPr>
          <w:sz w:val="24"/>
          <w:vertAlign w:val="subscript"/>
        </w:rPr>
        <w:t>i</w:t>
      </w:r>
      <w:r>
        <w:rPr>
          <w:sz w:val="24"/>
        </w:rPr>
        <w:t xml:space="preserve"> </w:t>
      </w:r>
      <w:r>
        <w:rPr>
          <w:sz w:val="24"/>
        </w:rPr>
        <w:t>处的声级</w:t>
      </w:r>
      <w:r>
        <w:rPr>
          <w:sz w:val="24"/>
        </w:rPr>
        <w:t xml:space="preserve"> dB</w:t>
      </w:r>
      <w:r>
        <w:rPr>
          <w:sz w:val="24"/>
        </w:rPr>
        <w:t>（</w:t>
      </w:r>
      <w:r>
        <w:rPr>
          <w:sz w:val="24"/>
        </w:rPr>
        <w:t>A</w:t>
      </w:r>
      <w:r>
        <w:rPr>
          <w:sz w:val="24"/>
        </w:rPr>
        <w:t>）；</w:t>
      </w:r>
    </w:p>
    <w:p w14:paraId="4B9BFF12" w14:textId="77777777" w:rsidR="007D1E74" w:rsidRDefault="00A95641">
      <w:pPr>
        <w:spacing w:line="360" w:lineRule="auto"/>
        <w:ind w:firstLineChars="500" w:firstLine="1200"/>
        <w:rPr>
          <w:sz w:val="24"/>
        </w:rPr>
      </w:pPr>
      <w:r>
        <w:rPr>
          <w:sz w:val="24"/>
        </w:rPr>
        <w:t>L</w:t>
      </w:r>
      <w:r>
        <w:rPr>
          <w:sz w:val="24"/>
          <w:vertAlign w:val="subscript"/>
        </w:rPr>
        <w:t>0</w:t>
      </w:r>
      <w:r>
        <w:rPr>
          <w:sz w:val="24"/>
        </w:rPr>
        <w:t>——</w:t>
      </w:r>
      <w:r>
        <w:rPr>
          <w:sz w:val="24"/>
        </w:rPr>
        <w:t>距声源</w:t>
      </w:r>
      <w:r>
        <w:rPr>
          <w:sz w:val="24"/>
        </w:rPr>
        <w:t xml:space="preserve"> r</w:t>
      </w:r>
      <w:r>
        <w:rPr>
          <w:sz w:val="24"/>
          <w:vertAlign w:val="subscript"/>
        </w:rPr>
        <w:t>0</w:t>
      </w:r>
      <w:r>
        <w:rPr>
          <w:sz w:val="24"/>
        </w:rPr>
        <w:t xml:space="preserve"> </w:t>
      </w:r>
      <w:r>
        <w:rPr>
          <w:sz w:val="24"/>
        </w:rPr>
        <w:t>处的声级</w:t>
      </w:r>
      <w:r>
        <w:rPr>
          <w:sz w:val="24"/>
        </w:rPr>
        <w:t xml:space="preserve"> dB</w:t>
      </w:r>
      <w:r>
        <w:rPr>
          <w:sz w:val="24"/>
        </w:rPr>
        <w:t>（</w:t>
      </w:r>
      <w:r>
        <w:rPr>
          <w:sz w:val="24"/>
        </w:rPr>
        <w:t>A</w:t>
      </w:r>
      <w:r>
        <w:rPr>
          <w:sz w:val="24"/>
        </w:rPr>
        <w:t>）；</w:t>
      </w:r>
    </w:p>
    <w:p w14:paraId="3A953213" w14:textId="77777777" w:rsidR="007D1E74" w:rsidRDefault="00A95641">
      <w:pPr>
        <w:spacing w:line="360" w:lineRule="auto"/>
        <w:ind w:firstLineChars="500" w:firstLine="1200"/>
        <w:rPr>
          <w:sz w:val="24"/>
        </w:rPr>
      </w:pPr>
      <w:r>
        <w:rPr>
          <w:rFonts w:ascii="宋体" w:hAnsi="宋体" w:cs="宋体" w:hint="eastAsia"/>
          <w:sz w:val="24"/>
        </w:rPr>
        <w:t>△</w:t>
      </w:r>
      <w:r>
        <w:rPr>
          <w:sz w:val="24"/>
        </w:rPr>
        <w:t>L——</w:t>
      </w:r>
      <w:r>
        <w:rPr>
          <w:sz w:val="24"/>
        </w:rPr>
        <w:t>其它因素引起的噪声衰减量</w:t>
      </w:r>
      <w:r>
        <w:rPr>
          <w:sz w:val="24"/>
        </w:rPr>
        <w:t xml:space="preserve"> dB</w:t>
      </w:r>
      <w:r>
        <w:rPr>
          <w:sz w:val="24"/>
        </w:rPr>
        <w:t>（</w:t>
      </w:r>
      <w:r>
        <w:rPr>
          <w:sz w:val="24"/>
        </w:rPr>
        <w:t>A</w:t>
      </w:r>
      <w:r>
        <w:rPr>
          <w:sz w:val="24"/>
        </w:rPr>
        <w:t>）。</w:t>
      </w:r>
    </w:p>
    <w:p w14:paraId="08AEE942" w14:textId="77777777" w:rsidR="007D1E74" w:rsidRDefault="00A95641">
      <w:pPr>
        <w:spacing w:line="360" w:lineRule="auto"/>
        <w:ind w:firstLineChars="200" w:firstLine="480"/>
        <w:rPr>
          <w:sz w:val="24"/>
        </w:rPr>
      </w:pPr>
      <w:r>
        <w:rPr>
          <w:sz w:val="24"/>
        </w:rPr>
        <w:t>各声源在预测点产生的合成声级采用以下公式计算：</w:t>
      </w:r>
    </w:p>
    <w:p w14:paraId="39374119" w14:textId="77777777" w:rsidR="007D1E74" w:rsidRDefault="00A95641">
      <w:pPr>
        <w:spacing w:line="360" w:lineRule="auto"/>
        <w:ind w:firstLineChars="200" w:firstLine="420"/>
        <w:jc w:val="center"/>
      </w:pPr>
      <w:r>
        <w:rPr>
          <w:noProof/>
        </w:rPr>
        <w:drawing>
          <wp:inline distT="0" distB="0" distL="114300" distR="114300" wp14:anchorId="763883D8" wp14:editId="7126F059">
            <wp:extent cx="1895475" cy="657225"/>
            <wp:effectExtent l="0" t="0" r="9525" b="13335"/>
            <wp:docPr id="118" name="图片 3" descr="C:/Users/Administrator/AppData/Local/Temp/picturecompress_20210816174539/output_71.pngoutput_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3" descr="C:/Users/Administrator/AppData/Local/Temp/picturecompress_20210816174539/output_71.pngoutput_71"/>
                    <pic:cNvPicPr>
                      <a:picLocks noChangeAspect="1"/>
                    </pic:cNvPicPr>
                  </pic:nvPicPr>
                  <pic:blipFill>
                    <a:blip r:embed="rId150"/>
                    <a:stretch>
                      <a:fillRect/>
                    </a:stretch>
                  </pic:blipFill>
                  <pic:spPr>
                    <a:xfrm>
                      <a:off x="0" y="0"/>
                      <a:ext cx="1895475" cy="657225"/>
                    </a:xfrm>
                    <a:prstGeom prst="rect">
                      <a:avLst/>
                    </a:prstGeom>
                    <a:noFill/>
                    <a:ln>
                      <a:noFill/>
                    </a:ln>
                  </pic:spPr>
                </pic:pic>
              </a:graphicData>
            </a:graphic>
          </wp:inline>
        </w:drawing>
      </w:r>
    </w:p>
    <w:p w14:paraId="17C937CC" w14:textId="77777777" w:rsidR="007D1E74" w:rsidRDefault="00A95641">
      <w:pPr>
        <w:spacing w:line="360" w:lineRule="auto"/>
        <w:ind w:firstLineChars="200" w:firstLine="480"/>
        <w:rPr>
          <w:sz w:val="24"/>
        </w:rPr>
      </w:pPr>
      <w:r>
        <w:rPr>
          <w:sz w:val="24"/>
        </w:rPr>
        <w:t>通常在同一施工场地上有多台不同种类的施工机械同时作业，它们的辐射声级将叠加，其强度增量视噪声源种类、数量、相对分布的距离等因素而不同。施工噪声随距离衰减后的预测值见下表。</w:t>
      </w:r>
    </w:p>
    <w:p w14:paraId="1D6E4D2D" w14:textId="77777777" w:rsidR="007D1E74" w:rsidRDefault="00A95641">
      <w:pPr>
        <w:rPr>
          <w:b/>
        </w:rPr>
      </w:pPr>
      <w:r>
        <w:rPr>
          <w:b/>
        </w:rPr>
        <w:br w:type="page"/>
      </w:r>
    </w:p>
    <w:p w14:paraId="2B937670" w14:textId="77777777" w:rsidR="007D1E74" w:rsidRDefault="00A95641">
      <w:pPr>
        <w:tabs>
          <w:tab w:val="left" w:pos="965"/>
          <w:tab w:val="left" w:pos="3706"/>
        </w:tabs>
        <w:jc w:val="center"/>
        <w:rPr>
          <w:b/>
        </w:rPr>
      </w:pPr>
      <w:r>
        <w:rPr>
          <w:b/>
        </w:rPr>
        <w:lastRenderedPageBreak/>
        <w:t>表</w:t>
      </w:r>
      <w:r>
        <w:rPr>
          <w:b/>
          <w:spacing w:val="1"/>
        </w:rPr>
        <w:t xml:space="preserve"> </w:t>
      </w:r>
      <w:r>
        <w:rPr>
          <w:b/>
        </w:rPr>
        <w:t>6.1-1</w:t>
      </w:r>
      <w:r>
        <w:rPr>
          <w:b/>
        </w:rPr>
        <w:tab/>
      </w:r>
      <w:r>
        <w:rPr>
          <w:b/>
        </w:rPr>
        <w:t>施工噪声随距</w:t>
      </w:r>
      <w:r>
        <w:rPr>
          <w:b/>
          <w:spacing w:val="-3"/>
        </w:rPr>
        <w:t>离</w:t>
      </w:r>
      <w:r>
        <w:rPr>
          <w:b/>
        </w:rPr>
        <w:t>的衰减情况</w:t>
      </w:r>
      <w:r>
        <w:rPr>
          <w:b/>
        </w:rPr>
        <w:tab/>
      </w:r>
      <w:r>
        <w:rPr>
          <w:b/>
        </w:rPr>
        <w:t>单位：</w:t>
      </w:r>
      <w:r>
        <w:rPr>
          <w:b/>
        </w:rPr>
        <w:t>dB</w:t>
      </w:r>
      <w:r>
        <w:rPr>
          <w:b/>
        </w:rPr>
        <w:t>（</w:t>
      </w:r>
      <w:r>
        <w:rPr>
          <w:b/>
        </w:rPr>
        <w:t>A</w:t>
      </w:r>
      <w:r>
        <w:rPr>
          <w:b/>
        </w:rPr>
        <w:t>）</w:t>
      </w:r>
    </w:p>
    <w:tbl>
      <w:tblPr>
        <w:tblW w:w="0" w:type="auto"/>
        <w:tblInd w:w="1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13"/>
        <w:gridCol w:w="747"/>
        <w:gridCol w:w="748"/>
        <w:gridCol w:w="747"/>
        <w:gridCol w:w="747"/>
        <w:gridCol w:w="875"/>
        <w:gridCol w:w="875"/>
        <w:gridCol w:w="875"/>
        <w:gridCol w:w="876"/>
        <w:gridCol w:w="1036"/>
      </w:tblGrid>
      <w:tr w:rsidR="007D1E74" w14:paraId="6A973D50" w14:textId="77777777">
        <w:trPr>
          <w:trHeight w:val="311"/>
        </w:trPr>
        <w:tc>
          <w:tcPr>
            <w:tcW w:w="1613" w:type="dxa"/>
          </w:tcPr>
          <w:p w14:paraId="53337E47" w14:textId="77777777" w:rsidR="007D1E74" w:rsidRDefault="00A95641">
            <w:pPr>
              <w:pStyle w:val="TableParagraph"/>
              <w:spacing w:before="27"/>
              <w:ind w:left="312" w:right="255"/>
              <w:rPr>
                <w:rFonts w:ascii="Times New Roman" w:hAnsi="Times New Roman"/>
                <w:sz w:val="20"/>
              </w:rPr>
            </w:pPr>
            <w:r>
              <w:rPr>
                <w:rFonts w:ascii="Times New Roman" w:hAnsi="Times New Roman"/>
                <w:sz w:val="20"/>
              </w:rPr>
              <w:t>距离</w:t>
            </w:r>
          </w:p>
        </w:tc>
        <w:tc>
          <w:tcPr>
            <w:tcW w:w="747" w:type="dxa"/>
          </w:tcPr>
          <w:p w14:paraId="79805097" w14:textId="77777777" w:rsidR="007D1E74" w:rsidRDefault="00A95641">
            <w:pPr>
              <w:pStyle w:val="TableParagraph"/>
              <w:spacing w:before="40"/>
              <w:ind w:left="182" w:right="155"/>
              <w:rPr>
                <w:rFonts w:ascii="Times New Roman" w:hAnsi="Times New Roman"/>
                <w:sz w:val="20"/>
              </w:rPr>
            </w:pPr>
            <w:r>
              <w:rPr>
                <w:rFonts w:ascii="Times New Roman" w:hAnsi="Times New Roman"/>
                <w:sz w:val="20"/>
              </w:rPr>
              <w:t>10m</w:t>
            </w:r>
          </w:p>
        </w:tc>
        <w:tc>
          <w:tcPr>
            <w:tcW w:w="748" w:type="dxa"/>
          </w:tcPr>
          <w:p w14:paraId="4AA0B926" w14:textId="77777777" w:rsidR="007D1E74" w:rsidRDefault="00A95641">
            <w:pPr>
              <w:pStyle w:val="TableParagraph"/>
              <w:spacing w:before="40"/>
              <w:ind w:left="183" w:right="158"/>
              <w:rPr>
                <w:rFonts w:ascii="Times New Roman" w:hAnsi="Times New Roman"/>
                <w:sz w:val="20"/>
              </w:rPr>
            </w:pPr>
            <w:r>
              <w:rPr>
                <w:rFonts w:ascii="Times New Roman" w:hAnsi="Times New Roman"/>
                <w:sz w:val="20"/>
              </w:rPr>
              <w:t>20m</w:t>
            </w:r>
          </w:p>
        </w:tc>
        <w:tc>
          <w:tcPr>
            <w:tcW w:w="747" w:type="dxa"/>
          </w:tcPr>
          <w:p w14:paraId="12EBD03B" w14:textId="77777777" w:rsidR="007D1E74" w:rsidRDefault="00A95641">
            <w:pPr>
              <w:pStyle w:val="TableParagraph"/>
              <w:spacing w:before="40"/>
              <w:ind w:left="181" w:right="157"/>
              <w:rPr>
                <w:rFonts w:ascii="Times New Roman" w:hAnsi="Times New Roman"/>
                <w:sz w:val="20"/>
              </w:rPr>
            </w:pPr>
            <w:r>
              <w:rPr>
                <w:rFonts w:ascii="Times New Roman" w:hAnsi="Times New Roman"/>
                <w:sz w:val="20"/>
              </w:rPr>
              <w:t>40m</w:t>
            </w:r>
          </w:p>
        </w:tc>
        <w:tc>
          <w:tcPr>
            <w:tcW w:w="747" w:type="dxa"/>
          </w:tcPr>
          <w:p w14:paraId="7BA030B6" w14:textId="77777777" w:rsidR="007D1E74" w:rsidRDefault="00A95641">
            <w:pPr>
              <w:pStyle w:val="TableParagraph"/>
              <w:spacing w:before="40"/>
              <w:ind w:left="180" w:right="157"/>
              <w:rPr>
                <w:rFonts w:ascii="Times New Roman" w:hAnsi="Times New Roman"/>
                <w:sz w:val="20"/>
              </w:rPr>
            </w:pPr>
            <w:r>
              <w:rPr>
                <w:rFonts w:ascii="Times New Roman" w:hAnsi="Times New Roman"/>
                <w:sz w:val="20"/>
              </w:rPr>
              <w:t>80m</w:t>
            </w:r>
          </w:p>
        </w:tc>
        <w:tc>
          <w:tcPr>
            <w:tcW w:w="875" w:type="dxa"/>
          </w:tcPr>
          <w:p w14:paraId="4B79A8AF" w14:textId="77777777" w:rsidR="007D1E74" w:rsidRDefault="00A95641">
            <w:pPr>
              <w:pStyle w:val="TableParagraph"/>
              <w:spacing w:before="40"/>
              <w:ind w:left="193" w:right="170"/>
              <w:rPr>
                <w:rFonts w:ascii="Times New Roman" w:hAnsi="Times New Roman"/>
                <w:sz w:val="20"/>
              </w:rPr>
            </w:pPr>
            <w:r>
              <w:rPr>
                <w:rFonts w:ascii="Times New Roman" w:hAnsi="Times New Roman"/>
                <w:sz w:val="20"/>
              </w:rPr>
              <w:t>100m</w:t>
            </w:r>
          </w:p>
        </w:tc>
        <w:tc>
          <w:tcPr>
            <w:tcW w:w="875" w:type="dxa"/>
          </w:tcPr>
          <w:p w14:paraId="15491113" w14:textId="77777777" w:rsidR="007D1E74" w:rsidRDefault="00A95641">
            <w:pPr>
              <w:pStyle w:val="TableParagraph"/>
              <w:spacing w:before="40"/>
              <w:ind w:left="193" w:right="172"/>
              <w:rPr>
                <w:rFonts w:ascii="Times New Roman" w:hAnsi="Times New Roman"/>
                <w:sz w:val="20"/>
              </w:rPr>
            </w:pPr>
            <w:r>
              <w:rPr>
                <w:rFonts w:ascii="Times New Roman" w:hAnsi="Times New Roman"/>
                <w:sz w:val="20"/>
              </w:rPr>
              <w:t>200m</w:t>
            </w:r>
          </w:p>
        </w:tc>
        <w:tc>
          <w:tcPr>
            <w:tcW w:w="875" w:type="dxa"/>
          </w:tcPr>
          <w:p w14:paraId="2F20D507" w14:textId="77777777" w:rsidR="007D1E74" w:rsidRDefault="00A95641">
            <w:pPr>
              <w:pStyle w:val="TableParagraph"/>
              <w:spacing w:before="40"/>
              <w:ind w:left="191" w:right="173"/>
              <w:rPr>
                <w:rFonts w:ascii="Times New Roman" w:hAnsi="Times New Roman"/>
                <w:sz w:val="20"/>
              </w:rPr>
            </w:pPr>
            <w:r>
              <w:rPr>
                <w:rFonts w:ascii="Times New Roman" w:hAnsi="Times New Roman"/>
                <w:sz w:val="20"/>
              </w:rPr>
              <w:t>400m</w:t>
            </w:r>
          </w:p>
        </w:tc>
        <w:tc>
          <w:tcPr>
            <w:tcW w:w="876" w:type="dxa"/>
          </w:tcPr>
          <w:p w14:paraId="19994031" w14:textId="77777777" w:rsidR="007D1E74" w:rsidRDefault="00A95641">
            <w:pPr>
              <w:pStyle w:val="TableParagraph"/>
              <w:spacing w:before="40"/>
              <w:ind w:left="192" w:right="177"/>
              <w:rPr>
                <w:rFonts w:ascii="Times New Roman" w:hAnsi="Times New Roman"/>
                <w:sz w:val="20"/>
              </w:rPr>
            </w:pPr>
            <w:r>
              <w:rPr>
                <w:rFonts w:ascii="Times New Roman" w:hAnsi="Times New Roman"/>
                <w:sz w:val="20"/>
              </w:rPr>
              <w:t>800m</w:t>
            </w:r>
          </w:p>
        </w:tc>
        <w:tc>
          <w:tcPr>
            <w:tcW w:w="1036" w:type="dxa"/>
          </w:tcPr>
          <w:p w14:paraId="274058B1" w14:textId="77777777" w:rsidR="007D1E74" w:rsidRDefault="00A95641">
            <w:pPr>
              <w:pStyle w:val="TableParagraph"/>
              <w:spacing w:before="40"/>
              <w:ind w:left="207" w:right="228"/>
              <w:rPr>
                <w:rFonts w:ascii="Times New Roman" w:hAnsi="Times New Roman"/>
                <w:sz w:val="20"/>
              </w:rPr>
            </w:pPr>
            <w:r>
              <w:rPr>
                <w:rFonts w:ascii="Times New Roman" w:hAnsi="Times New Roman"/>
                <w:sz w:val="20"/>
              </w:rPr>
              <w:t>1000m</w:t>
            </w:r>
          </w:p>
        </w:tc>
      </w:tr>
      <w:tr w:rsidR="007D1E74" w14:paraId="1B023355" w14:textId="77777777">
        <w:trPr>
          <w:trHeight w:val="312"/>
        </w:trPr>
        <w:tc>
          <w:tcPr>
            <w:tcW w:w="1613" w:type="dxa"/>
          </w:tcPr>
          <w:p w14:paraId="47181D0C" w14:textId="77777777" w:rsidR="007D1E74" w:rsidRDefault="00A95641">
            <w:pPr>
              <w:pStyle w:val="TableParagraph"/>
              <w:spacing w:before="28"/>
              <w:ind w:left="312" w:right="252"/>
              <w:rPr>
                <w:rFonts w:ascii="Times New Roman" w:hAnsi="Times New Roman"/>
                <w:sz w:val="20"/>
              </w:rPr>
            </w:pPr>
            <w:r>
              <w:rPr>
                <w:rFonts w:ascii="Times New Roman" w:hAnsi="Times New Roman"/>
                <w:sz w:val="20"/>
              </w:rPr>
              <w:t>挖掘机</w:t>
            </w:r>
          </w:p>
        </w:tc>
        <w:tc>
          <w:tcPr>
            <w:tcW w:w="747" w:type="dxa"/>
          </w:tcPr>
          <w:p w14:paraId="031F4049" w14:textId="77777777" w:rsidR="007D1E74" w:rsidRDefault="00A95641">
            <w:pPr>
              <w:pStyle w:val="TableParagraph"/>
              <w:spacing w:before="41"/>
              <w:ind w:left="182" w:right="152"/>
              <w:rPr>
                <w:rFonts w:ascii="Times New Roman" w:hAnsi="Times New Roman"/>
                <w:sz w:val="20"/>
              </w:rPr>
            </w:pPr>
            <w:r>
              <w:rPr>
                <w:rFonts w:ascii="Times New Roman" w:hAnsi="Times New Roman"/>
                <w:sz w:val="20"/>
              </w:rPr>
              <w:t>80</w:t>
            </w:r>
          </w:p>
        </w:tc>
        <w:tc>
          <w:tcPr>
            <w:tcW w:w="748" w:type="dxa"/>
          </w:tcPr>
          <w:p w14:paraId="60F1EBB6" w14:textId="77777777" w:rsidR="007D1E74" w:rsidRDefault="00A95641">
            <w:pPr>
              <w:pStyle w:val="TableParagraph"/>
              <w:spacing w:before="41"/>
              <w:ind w:left="183" w:right="154"/>
              <w:rPr>
                <w:rFonts w:ascii="Times New Roman" w:hAnsi="Times New Roman"/>
                <w:sz w:val="20"/>
              </w:rPr>
            </w:pPr>
            <w:r>
              <w:rPr>
                <w:rFonts w:ascii="Times New Roman" w:hAnsi="Times New Roman"/>
                <w:sz w:val="20"/>
              </w:rPr>
              <w:t>74</w:t>
            </w:r>
          </w:p>
        </w:tc>
        <w:tc>
          <w:tcPr>
            <w:tcW w:w="747" w:type="dxa"/>
          </w:tcPr>
          <w:p w14:paraId="3BEC91FE" w14:textId="77777777" w:rsidR="007D1E74" w:rsidRDefault="00A95641">
            <w:pPr>
              <w:pStyle w:val="TableParagraph"/>
              <w:spacing w:before="41"/>
              <w:ind w:left="182" w:right="156"/>
              <w:rPr>
                <w:rFonts w:ascii="Times New Roman" w:hAnsi="Times New Roman"/>
                <w:sz w:val="20"/>
              </w:rPr>
            </w:pPr>
            <w:r>
              <w:rPr>
                <w:rFonts w:ascii="Times New Roman" w:hAnsi="Times New Roman"/>
                <w:sz w:val="20"/>
              </w:rPr>
              <w:t>68</w:t>
            </w:r>
          </w:p>
        </w:tc>
        <w:tc>
          <w:tcPr>
            <w:tcW w:w="747" w:type="dxa"/>
          </w:tcPr>
          <w:p w14:paraId="7DA984D4" w14:textId="77777777" w:rsidR="007D1E74" w:rsidRDefault="00A95641">
            <w:pPr>
              <w:pStyle w:val="TableParagraph"/>
              <w:spacing w:before="41"/>
              <w:ind w:left="182" w:right="157"/>
              <w:rPr>
                <w:rFonts w:ascii="Times New Roman" w:hAnsi="Times New Roman"/>
                <w:sz w:val="20"/>
              </w:rPr>
            </w:pPr>
            <w:r>
              <w:rPr>
                <w:rFonts w:ascii="Times New Roman" w:hAnsi="Times New Roman"/>
                <w:sz w:val="20"/>
              </w:rPr>
              <w:t>62</w:t>
            </w:r>
          </w:p>
        </w:tc>
        <w:tc>
          <w:tcPr>
            <w:tcW w:w="875" w:type="dxa"/>
          </w:tcPr>
          <w:p w14:paraId="6B59A4C3" w14:textId="77777777" w:rsidR="007D1E74" w:rsidRDefault="00A95641">
            <w:pPr>
              <w:pStyle w:val="TableParagraph"/>
              <w:spacing w:before="41"/>
              <w:ind w:left="193" w:right="172"/>
              <w:rPr>
                <w:rFonts w:ascii="Times New Roman" w:hAnsi="Times New Roman"/>
                <w:sz w:val="20"/>
              </w:rPr>
            </w:pPr>
            <w:r>
              <w:rPr>
                <w:rFonts w:ascii="Times New Roman" w:hAnsi="Times New Roman"/>
                <w:sz w:val="20"/>
              </w:rPr>
              <w:t>60</w:t>
            </w:r>
          </w:p>
        </w:tc>
        <w:tc>
          <w:tcPr>
            <w:tcW w:w="875" w:type="dxa"/>
          </w:tcPr>
          <w:p w14:paraId="6912AE78" w14:textId="77777777" w:rsidR="007D1E74" w:rsidRDefault="00A95641">
            <w:pPr>
              <w:pStyle w:val="TableParagraph"/>
              <w:spacing w:before="41"/>
              <w:ind w:left="192" w:right="173"/>
              <w:rPr>
                <w:rFonts w:ascii="Times New Roman" w:hAnsi="Times New Roman"/>
                <w:sz w:val="20"/>
              </w:rPr>
            </w:pPr>
            <w:r>
              <w:rPr>
                <w:rFonts w:ascii="Times New Roman" w:hAnsi="Times New Roman"/>
                <w:sz w:val="20"/>
              </w:rPr>
              <w:t>54</w:t>
            </w:r>
          </w:p>
        </w:tc>
        <w:tc>
          <w:tcPr>
            <w:tcW w:w="875" w:type="dxa"/>
          </w:tcPr>
          <w:p w14:paraId="0CBC2583" w14:textId="77777777" w:rsidR="007D1E74" w:rsidRDefault="00A95641">
            <w:pPr>
              <w:pStyle w:val="TableParagraph"/>
              <w:spacing w:before="41"/>
              <w:ind w:left="189" w:right="173"/>
              <w:rPr>
                <w:rFonts w:ascii="Times New Roman" w:hAnsi="Times New Roman"/>
                <w:sz w:val="20"/>
              </w:rPr>
            </w:pPr>
            <w:r>
              <w:rPr>
                <w:rFonts w:ascii="Times New Roman" w:hAnsi="Times New Roman"/>
                <w:sz w:val="20"/>
              </w:rPr>
              <w:t>48</w:t>
            </w:r>
          </w:p>
        </w:tc>
        <w:tc>
          <w:tcPr>
            <w:tcW w:w="876" w:type="dxa"/>
          </w:tcPr>
          <w:p w14:paraId="28F7C5FE" w14:textId="77777777" w:rsidR="007D1E74" w:rsidRDefault="00A95641">
            <w:pPr>
              <w:pStyle w:val="TableParagraph"/>
              <w:spacing w:before="41"/>
              <w:ind w:left="189" w:right="177"/>
              <w:rPr>
                <w:rFonts w:ascii="Times New Roman" w:hAnsi="Times New Roman"/>
                <w:sz w:val="20"/>
              </w:rPr>
            </w:pPr>
            <w:r>
              <w:rPr>
                <w:rFonts w:ascii="Times New Roman" w:hAnsi="Times New Roman"/>
                <w:sz w:val="20"/>
              </w:rPr>
              <w:t>42</w:t>
            </w:r>
          </w:p>
        </w:tc>
        <w:tc>
          <w:tcPr>
            <w:tcW w:w="1036" w:type="dxa"/>
          </w:tcPr>
          <w:p w14:paraId="44736BFA" w14:textId="77777777" w:rsidR="007D1E74" w:rsidRDefault="00A95641">
            <w:pPr>
              <w:pStyle w:val="TableParagraph"/>
              <w:spacing w:before="41"/>
              <w:ind w:left="207" w:right="226"/>
              <w:rPr>
                <w:rFonts w:ascii="Times New Roman" w:hAnsi="Times New Roman"/>
                <w:sz w:val="20"/>
              </w:rPr>
            </w:pPr>
            <w:r>
              <w:rPr>
                <w:rFonts w:ascii="Times New Roman" w:hAnsi="Times New Roman"/>
                <w:sz w:val="20"/>
              </w:rPr>
              <w:t>40</w:t>
            </w:r>
          </w:p>
        </w:tc>
      </w:tr>
      <w:tr w:rsidR="007D1E74" w14:paraId="77639170" w14:textId="77777777">
        <w:trPr>
          <w:trHeight w:val="314"/>
        </w:trPr>
        <w:tc>
          <w:tcPr>
            <w:tcW w:w="1613" w:type="dxa"/>
          </w:tcPr>
          <w:p w14:paraId="3E7811BB" w14:textId="77777777" w:rsidR="007D1E74" w:rsidRDefault="00A95641">
            <w:pPr>
              <w:pStyle w:val="TableParagraph"/>
              <w:spacing w:before="30"/>
              <w:ind w:left="312" w:right="252"/>
              <w:rPr>
                <w:rFonts w:ascii="Times New Roman" w:hAnsi="Times New Roman"/>
                <w:sz w:val="20"/>
              </w:rPr>
            </w:pPr>
            <w:r>
              <w:rPr>
                <w:rFonts w:ascii="Times New Roman" w:hAnsi="Times New Roman"/>
                <w:sz w:val="20"/>
              </w:rPr>
              <w:t>吊管机</w:t>
            </w:r>
          </w:p>
        </w:tc>
        <w:tc>
          <w:tcPr>
            <w:tcW w:w="747" w:type="dxa"/>
          </w:tcPr>
          <w:p w14:paraId="1F4D0236" w14:textId="77777777" w:rsidR="007D1E74" w:rsidRDefault="00A95641">
            <w:pPr>
              <w:pStyle w:val="TableParagraph"/>
              <w:spacing w:before="43"/>
              <w:ind w:left="182" w:right="152"/>
              <w:rPr>
                <w:rFonts w:ascii="Times New Roman" w:hAnsi="Times New Roman"/>
                <w:sz w:val="20"/>
              </w:rPr>
            </w:pPr>
            <w:r>
              <w:rPr>
                <w:rFonts w:ascii="Times New Roman" w:hAnsi="Times New Roman"/>
                <w:sz w:val="20"/>
              </w:rPr>
              <w:t>76</w:t>
            </w:r>
          </w:p>
        </w:tc>
        <w:tc>
          <w:tcPr>
            <w:tcW w:w="748" w:type="dxa"/>
          </w:tcPr>
          <w:p w14:paraId="685A8BD6" w14:textId="77777777" w:rsidR="007D1E74" w:rsidRDefault="00A95641">
            <w:pPr>
              <w:pStyle w:val="TableParagraph"/>
              <w:spacing w:before="43"/>
              <w:ind w:left="183" w:right="154"/>
              <w:rPr>
                <w:rFonts w:ascii="Times New Roman" w:hAnsi="Times New Roman"/>
                <w:sz w:val="20"/>
              </w:rPr>
            </w:pPr>
            <w:r>
              <w:rPr>
                <w:rFonts w:ascii="Times New Roman" w:hAnsi="Times New Roman"/>
                <w:sz w:val="20"/>
              </w:rPr>
              <w:t>70</w:t>
            </w:r>
          </w:p>
        </w:tc>
        <w:tc>
          <w:tcPr>
            <w:tcW w:w="747" w:type="dxa"/>
          </w:tcPr>
          <w:p w14:paraId="74B36FC0" w14:textId="77777777" w:rsidR="007D1E74" w:rsidRDefault="00A95641">
            <w:pPr>
              <w:pStyle w:val="TableParagraph"/>
              <w:spacing w:before="43"/>
              <w:ind w:left="182" w:right="156"/>
              <w:rPr>
                <w:rFonts w:ascii="Times New Roman" w:hAnsi="Times New Roman"/>
                <w:sz w:val="20"/>
              </w:rPr>
            </w:pPr>
            <w:r>
              <w:rPr>
                <w:rFonts w:ascii="Times New Roman" w:hAnsi="Times New Roman"/>
                <w:sz w:val="20"/>
              </w:rPr>
              <w:t>64</w:t>
            </w:r>
          </w:p>
        </w:tc>
        <w:tc>
          <w:tcPr>
            <w:tcW w:w="747" w:type="dxa"/>
          </w:tcPr>
          <w:p w14:paraId="22D2FEE1" w14:textId="77777777" w:rsidR="007D1E74" w:rsidRDefault="00A95641">
            <w:pPr>
              <w:pStyle w:val="TableParagraph"/>
              <w:spacing w:before="43"/>
              <w:ind w:left="182" w:right="157"/>
              <w:rPr>
                <w:rFonts w:ascii="Times New Roman" w:hAnsi="Times New Roman"/>
                <w:sz w:val="20"/>
              </w:rPr>
            </w:pPr>
            <w:r>
              <w:rPr>
                <w:rFonts w:ascii="Times New Roman" w:hAnsi="Times New Roman"/>
                <w:sz w:val="20"/>
              </w:rPr>
              <w:t>58</w:t>
            </w:r>
          </w:p>
        </w:tc>
        <w:tc>
          <w:tcPr>
            <w:tcW w:w="875" w:type="dxa"/>
          </w:tcPr>
          <w:p w14:paraId="1388C765" w14:textId="77777777" w:rsidR="007D1E74" w:rsidRDefault="00A95641">
            <w:pPr>
              <w:pStyle w:val="TableParagraph"/>
              <w:spacing w:before="43"/>
              <w:ind w:left="193" w:right="172"/>
              <w:rPr>
                <w:rFonts w:ascii="Times New Roman" w:hAnsi="Times New Roman"/>
                <w:sz w:val="20"/>
              </w:rPr>
            </w:pPr>
            <w:r>
              <w:rPr>
                <w:rFonts w:ascii="Times New Roman" w:hAnsi="Times New Roman"/>
                <w:sz w:val="20"/>
              </w:rPr>
              <w:t>56</w:t>
            </w:r>
          </w:p>
        </w:tc>
        <w:tc>
          <w:tcPr>
            <w:tcW w:w="875" w:type="dxa"/>
          </w:tcPr>
          <w:p w14:paraId="01563660" w14:textId="77777777" w:rsidR="007D1E74" w:rsidRDefault="00A95641">
            <w:pPr>
              <w:pStyle w:val="TableParagraph"/>
              <w:spacing w:before="43"/>
              <w:ind w:left="192" w:right="173"/>
              <w:rPr>
                <w:rFonts w:ascii="Times New Roman" w:hAnsi="Times New Roman"/>
                <w:sz w:val="20"/>
              </w:rPr>
            </w:pPr>
            <w:r>
              <w:rPr>
                <w:rFonts w:ascii="Times New Roman" w:hAnsi="Times New Roman"/>
                <w:sz w:val="20"/>
              </w:rPr>
              <w:t>50</w:t>
            </w:r>
          </w:p>
        </w:tc>
        <w:tc>
          <w:tcPr>
            <w:tcW w:w="875" w:type="dxa"/>
          </w:tcPr>
          <w:p w14:paraId="6370BBB1" w14:textId="77777777" w:rsidR="007D1E74" w:rsidRDefault="00A95641">
            <w:pPr>
              <w:pStyle w:val="TableParagraph"/>
              <w:spacing w:before="43"/>
              <w:ind w:left="189" w:right="173"/>
              <w:rPr>
                <w:rFonts w:ascii="Times New Roman" w:hAnsi="Times New Roman"/>
                <w:sz w:val="20"/>
              </w:rPr>
            </w:pPr>
            <w:r>
              <w:rPr>
                <w:rFonts w:ascii="Times New Roman" w:hAnsi="Times New Roman"/>
                <w:sz w:val="20"/>
              </w:rPr>
              <w:t>44</w:t>
            </w:r>
          </w:p>
        </w:tc>
        <w:tc>
          <w:tcPr>
            <w:tcW w:w="876" w:type="dxa"/>
          </w:tcPr>
          <w:p w14:paraId="76DD65B1" w14:textId="77777777" w:rsidR="007D1E74" w:rsidRDefault="00A95641">
            <w:pPr>
              <w:pStyle w:val="TableParagraph"/>
              <w:spacing w:before="43"/>
              <w:ind w:left="189" w:right="177"/>
              <w:rPr>
                <w:rFonts w:ascii="Times New Roman" w:hAnsi="Times New Roman"/>
                <w:sz w:val="20"/>
              </w:rPr>
            </w:pPr>
            <w:r>
              <w:rPr>
                <w:rFonts w:ascii="Times New Roman" w:hAnsi="Times New Roman"/>
                <w:sz w:val="20"/>
              </w:rPr>
              <w:t>38</w:t>
            </w:r>
          </w:p>
        </w:tc>
        <w:tc>
          <w:tcPr>
            <w:tcW w:w="1036" w:type="dxa"/>
          </w:tcPr>
          <w:p w14:paraId="26932E4A" w14:textId="77777777" w:rsidR="007D1E74" w:rsidRDefault="00A95641">
            <w:pPr>
              <w:pStyle w:val="TableParagraph"/>
              <w:spacing w:before="43"/>
              <w:ind w:left="207" w:right="226"/>
              <w:rPr>
                <w:rFonts w:ascii="Times New Roman" w:hAnsi="Times New Roman"/>
                <w:sz w:val="20"/>
              </w:rPr>
            </w:pPr>
            <w:r>
              <w:rPr>
                <w:rFonts w:ascii="Times New Roman" w:hAnsi="Times New Roman"/>
                <w:sz w:val="20"/>
              </w:rPr>
              <w:t>36</w:t>
            </w:r>
          </w:p>
        </w:tc>
      </w:tr>
      <w:tr w:rsidR="007D1E74" w14:paraId="4B773A17" w14:textId="77777777">
        <w:trPr>
          <w:trHeight w:val="311"/>
        </w:trPr>
        <w:tc>
          <w:tcPr>
            <w:tcW w:w="1613" w:type="dxa"/>
          </w:tcPr>
          <w:p w14:paraId="41CF7D9C" w14:textId="77777777" w:rsidR="007D1E74" w:rsidRDefault="00A95641">
            <w:pPr>
              <w:pStyle w:val="TableParagraph"/>
              <w:spacing w:before="28"/>
              <w:ind w:left="312" w:right="252"/>
              <w:rPr>
                <w:rFonts w:ascii="Times New Roman" w:hAnsi="Times New Roman"/>
                <w:sz w:val="20"/>
              </w:rPr>
            </w:pPr>
            <w:r>
              <w:rPr>
                <w:rFonts w:ascii="Times New Roman" w:hAnsi="Times New Roman"/>
                <w:sz w:val="20"/>
              </w:rPr>
              <w:t>电焊机</w:t>
            </w:r>
          </w:p>
        </w:tc>
        <w:tc>
          <w:tcPr>
            <w:tcW w:w="747" w:type="dxa"/>
          </w:tcPr>
          <w:p w14:paraId="50129054" w14:textId="77777777" w:rsidR="007D1E74" w:rsidRDefault="00A95641">
            <w:pPr>
              <w:pStyle w:val="TableParagraph"/>
              <w:spacing w:before="41"/>
              <w:ind w:left="182" w:right="152"/>
              <w:rPr>
                <w:rFonts w:ascii="Times New Roman" w:hAnsi="Times New Roman"/>
                <w:sz w:val="20"/>
              </w:rPr>
            </w:pPr>
            <w:r>
              <w:rPr>
                <w:rFonts w:ascii="Times New Roman" w:hAnsi="Times New Roman"/>
                <w:sz w:val="20"/>
              </w:rPr>
              <w:t>73</w:t>
            </w:r>
          </w:p>
        </w:tc>
        <w:tc>
          <w:tcPr>
            <w:tcW w:w="748" w:type="dxa"/>
          </w:tcPr>
          <w:p w14:paraId="7337CB5E" w14:textId="77777777" w:rsidR="007D1E74" w:rsidRDefault="00A95641">
            <w:pPr>
              <w:pStyle w:val="TableParagraph"/>
              <w:spacing w:before="41"/>
              <w:ind w:left="183" w:right="154"/>
              <w:rPr>
                <w:rFonts w:ascii="Times New Roman" w:hAnsi="Times New Roman"/>
                <w:sz w:val="20"/>
              </w:rPr>
            </w:pPr>
            <w:r>
              <w:rPr>
                <w:rFonts w:ascii="Times New Roman" w:hAnsi="Times New Roman"/>
                <w:sz w:val="20"/>
              </w:rPr>
              <w:t>67</w:t>
            </w:r>
          </w:p>
        </w:tc>
        <w:tc>
          <w:tcPr>
            <w:tcW w:w="747" w:type="dxa"/>
          </w:tcPr>
          <w:p w14:paraId="3E81C1B8" w14:textId="77777777" w:rsidR="007D1E74" w:rsidRDefault="00A95641">
            <w:pPr>
              <w:pStyle w:val="TableParagraph"/>
              <w:spacing w:before="41"/>
              <w:ind w:left="182" w:right="156"/>
              <w:rPr>
                <w:rFonts w:ascii="Times New Roman" w:hAnsi="Times New Roman"/>
                <w:sz w:val="20"/>
              </w:rPr>
            </w:pPr>
            <w:r>
              <w:rPr>
                <w:rFonts w:ascii="Times New Roman" w:hAnsi="Times New Roman"/>
                <w:sz w:val="20"/>
              </w:rPr>
              <w:t>61</w:t>
            </w:r>
          </w:p>
        </w:tc>
        <w:tc>
          <w:tcPr>
            <w:tcW w:w="747" w:type="dxa"/>
          </w:tcPr>
          <w:p w14:paraId="12F19154" w14:textId="77777777" w:rsidR="007D1E74" w:rsidRDefault="00A95641">
            <w:pPr>
              <w:pStyle w:val="TableParagraph"/>
              <w:spacing w:before="41"/>
              <w:ind w:left="182" w:right="157"/>
              <w:rPr>
                <w:rFonts w:ascii="Times New Roman" w:hAnsi="Times New Roman"/>
                <w:sz w:val="20"/>
              </w:rPr>
            </w:pPr>
            <w:r>
              <w:rPr>
                <w:rFonts w:ascii="Times New Roman" w:hAnsi="Times New Roman"/>
                <w:sz w:val="20"/>
              </w:rPr>
              <w:t>55</w:t>
            </w:r>
          </w:p>
        </w:tc>
        <w:tc>
          <w:tcPr>
            <w:tcW w:w="875" w:type="dxa"/>
          </w:tcPr>
          <w:p w14:paraId="5861030E" w14:textId="77777777" w:rsidR="007D1E74" w:rsidRDefault="00A95641">
            <w:pPr>
              <w:pStyle w:val="TableParagraph"/>
              <w:spacing w:before="41"/>
              <w:ind w:left="193" w:right="172"/>
              <w:rPr>
                <w:rFonts w:ascii="Times New Roman" w:hAnsi="Times New Roman"/>
                <w:sz w:val="20"/>
              </w:rPr>
            </w:pPr>
            <w:r>
              <w:rPr>
                <w:rFonts w:ascii="Times New Roman" w:hAnsi="Times New Roman"/>
                <w:sz w:val="20"/>
              </w:rPr>
              <w:t>53</w:t>
            </w:r>
          </w:p>
        </w:tc>
        <w:tc>
          <w:tcPr>
            <w:tcW w:w="875" w:type="dxa"/>
          </w:tcPr>
          <w:p w14:paraId="1CBF0B20" w14:textId="77777777" w:rsidR="007D1E74" w:rsidRDefault="00A95641">
            <w:pPr>
              <w:pStyle w:val="TableParagraph"/>
              <w:spacing w:before="41"/>
              <w:ind w:left="192" w:right="173"/>
              <w:rPr>
                <w:rFonts w:ascii="Times New Roman" w:hAnsi="Times New Roman"/>
                <w:sz w:val="20"/>
              </w:rPr>
            </w:pPr>
            <w:r>
              <w:rPr>
                <w:rFonts w:ascii="Times New Roman" w:hAnsi="Times New Roman"/>
                <w:sz w:val="20"/>
              </w:rPr>
              <w:t>47</w:t>
            </w:r>
          </w:p>
        </w:tc>
        <w:tc>
          <w:tcPr>
            <w:tcW w:w="875" w:type="dxa"/>
          </w:tcPr>
          <w:p w14:paraId="681A98B3" w14:textId="77777777" w:rsidR="007D1E74" w:rsidRDefault="00A95641">
            <w:pPr>
              <w:pStyle w:val="TableParagraph"/>
              <w:spacing w:before="41"/>
              <w:ind w:left="189" w:right="173"/>
              <w:rPr>
                <w:rFonts w:ascii="Times New Roman" w:hAnsi="Times New Roman"/>
                <w:sz w:val="20"/>
              </w:rPr>
            </w:pPr>
            <w:r>
              <w:rPr>
                <w:rFonts w:ascii="Times New Roman" w:hAnsi="Times New Roman"/>
                <w:sz w:val="20"/>
              </w:rPr>
              <w:t>41</w:t>
            </w:r>
          </w:p>
        </w:tc>
        <w:tc>
          <w:tcPr>
            <w:tcW w:w="876" w:type="dxa"/>
          </w:tcPr>
          <w:p w14:paraId="5F60EF34" w14:textId="77777777" w:rsidR="007D1E74" w:rsidRDefault="00A95641">
            <w:pPr>
              <w:pStyle w:val="TableParagraph"/>
              <w:spacing w:before="41"/>
              <w:ind w:left="189" w:right="177"/>
              <w:rPr>
                <w:rFonts w:ascii="Times New Roman" w:hAnsi="Times New Roman"/>
                <w:sz w:val="20"/>
              </w:rPr>
            </w:pPr>
            <w:r>
              <w:rPr>
                <w:rFonts w:ascii="Times New Roman" w:hAnsi="Times New Roman"/>
                <w:sz w:val="20"/>
              </w:rPr>
              <w:t>35</w:t>
            </w:r>
          </w:p>
        </w:tc>
        <w:tc>
          <w:tcPr>
            <w:tcW w:w="1036" w:type="dxa"/>
          </w:tcPr>
          <w:p w14:paraId="24C5987A" w14:textId="77777777" w:rsidR="007D1E74" w:rsidRDefault="00A95641">
            <w:pPr>
              <w:pStyle w:val="TableParagraph"/>
              <w:spacing w:before="41"/>
              <w:ind w:left="207" w:right="226"/>
              <w:rPr>
                <w:rFonts w:ascii="Times New Roman" w:hAnsi="Times New Roman"/>
                <w:sz w:val="20"/>
              </w:rPr>
            </w:pPr>
            <w:r>
              <w:rPr>
                <w:rFonts w:ascii="Times New Roman" w:hAnsi="Times New Roman"/>
                <w:sz w:val="20"/>
              </w:rPr>
              <w:t>33</w:t>
            </w:r>
          </w:p>
        </w:tc>
      </w:tr>
      <w:tr w:rsidR="007D1E74" w14:paraId="11DC627D" w14:textId="77777777">
        <w:trPr>
          <w:trHeight w:val="311"/>
        </w:trPr>
        <w:tc>
          <w:tcPr>
            <w:tcW w:w="1613" w:type="dxa"/>
          </w:tcPr>
          <w:p w14:paraId="37FC5FEB" w14:textId="77777777" w:rsidR="007D1E74" w:rsidRDefault="00A95641">
            <w:pPr>
              <w:pStyle w:val="TableParagraph"/>
              <w:spacing w:before="27"/>
              <w:ind w:left="312" w:right="252"/>
              <w:rPr>
                <w:rFonts w:ascii="Times New Roman" w:hAnsi="Times New Roman"/>
                <w:sz w:val="20"/>
              </w:rPr>
            </w:pPr>
            <w:r>
              <w:rPr>
                <w:rFonts w:ascii="Times New Roman" w:hAnsi="Times New Roman"/>
                <w:sz w:val="20"/>
              </w:rPr>
              <w:t>推土机</w:t>
            </w:r>
          </w:p>
        </w:tc>
        <w:tc>
          <w:tcPr>
            <w:tcW w:w="747" w:type="dxa"/>
          </w:tcPr>
          <w:p w14:paraId="67F892DC" w14:textId="77777777" w:rsidR="007D1E74" w:rsidRDefault="00A95641">
            <w:pPr>
              <w:pStyle w:val="TableParagraph"/>
              <w:spacing w:before="41"/>
              <w:ind w:left="182" w:right="152"/>
              <w:rPr>
                <w:rFonts w:ascii="Times New Roman" w:hAnsi="Times New Roman"/>
                <w:sz w:val="20"/>
              </w:rPr>
            </w:pPr>
            <w:r>
              <w:rPr>
                <w:rFonts w:ascii="Times New Roman" w:hAnsi="Times New Roman"/>
                <w:sz w:val="20"/>
              </w:rPr>
              <w:t>78</w:t>
            </w:r>
          </w:p>
        </w:tc>
        <w:tc>
          <w:tcPr>
            <w:tcW w:w="748" w:type="dxa"/>
          </w:tcPr>
          <w:p w14:paraId="4626EF9E" w14:textId="77777777" w:rsidR="007D1E74" w:rsidRDefault="00A95641">
            <w:pPr>
              <w:pStyle w:val="TableParagraph"/>
              <w:spacing w:before="41"/>
              <w:ind w:left="183" w:right="154"/>
              <w:rPr>
                <w:rFonts w:ascii="Times New Roman" w:hAnsi="Times New Roman"/>
                <w:sz w:val="20"/>
              </w:rPr>
            </w:pPr>
            <w:r>
              <w:rPr>
                <w:rFonts w:ascii="Times New Roman" w:hAnsi="Times New Roman"/>
                <w:sz w:val="20"/>
              </w:rPr>
              <w:t>72</w:t>
            </w:r>
          </w:p>
        </w:tc>
        <w:tc>
          <w:tcPr>
            <w:tcW w:w="747" w:type="dxa"/>
          </w:tcPr>
          <w:p w14:paraId="5EC3573D" w14:textId="77777777" w:rsidR="007D1E74" w:rsidRDefault="00A95641">
            <w:pPr>
              <w:pStyle w:val="TableParagraph"/>
              <w:spacing w:before="41"/>
              <w:ind w:left="182" w:right="156"/>
              <w:rPr>
                <w:rFonts w:ascii="Times New Roman" w:hAnsi="Times New Roman"/>
                <w:sz w:val="20"/>
              </w:rPr>
            </w:pPr>
            <w:r>
              <w:rPr>
                <w:rFonts w:ascii="Times New Roman" w:hAnsi="Times New Roman"/>
                <w:sz w:val="20"/>
              </w:rPr>
              <w:t>66</w:t>
            </w:r>
          </w:p>
        </w:tc>
        <w:tc>
          <w:tcPr>
            <w:tcW w:w="747" w:type="dxa"/>
          </w:tcPr>
          <w:p w14:paraId="06F6AD02" w14:textId="77777777" w:rsidR="007D1E74" w:rsidRDefault="00A95641">
            <w:pPr>
              <w:pStyle w:val="TableParagraph"/>
              <w:spacing w:before="41"/>
              <w:ind w:left="182" w:right="157"/>
              <w:rPr>
                <w:rFonts w:ascii="Times New Roman" w:hAnsi="Times New Roman"/>
                <w:sz w:val="20"/>
              </w:rPr>
            </w:pPr>
            <w:r>
              <w:rPr>
                <w:rFonts w:ascii="Times New Roman" w:hAnsi="Times New Roman"/>
                <w:sz w:val="20"/>
              </w:rPr>
              <w:t>60</w:t>
            </w:r>
          </w:p>
        </w:tc>
        <w:tc>
          <w:tcPr>
            <w:tcW w:w="875" w:type="dxa"/>
          </w:tcPr>
          <w:p w14:paraId="4057E424" w14:textId="77777777" w:rsidR="007D1E74" w:rsidRDefault="00A95641">
            <w:pPr>
              <w:pStyle w:val="TableParagraph"/>
              <w:spacing w:before="41"/>
              <w:ind w:left="193" w:right="172"/>
              <w:rPr>
                <w:rFonts w:ascii="Times New Roman" w:hAnsi="Times New Roman"/>
                <w:sz w:val="20"/>
              </w:rPr>
            </w:pPr>
            <w:r>
              <w:rPr>
                <w:rFonts w:ascii="Times New Roman" w:hAnsi="Times New Roman"/>
                <w:sz w:val="20"/>
              </w:rPr>
              <w:t>58</w:t>
            </w:r>
          </w:p>
        </w:tc>
        <w:tc>
          <w:tcPr>
            <w:tcW w:w="875" w:type="dxa"/>
          </w:tcPr>
          <w:p w14:paraId="06D81EAF" w14:textId="77777777" w:rsidR="007D1E74" w:rsidRDefault="00A95641">
            <w:pPr>
              <w:pStyle w:val="TableParagraph"/>
              <w:spacing w:before="41"/>
              <w:ind w:left="192" w:right="173"/>
              <w:rPr>
                <w:rFonts w:ascii="Times New Roman" w:hAnsi="Times New Roman"/>
                <w:sz w:val="20"/>
              </w:rPr>
            </w:pPr>
            <w:r>
              <w:rPr>
                <w:rFonts w:ascii="Times New Roman" w:hAnsi="Times New Roman"/>
                <w:sz w:val="20"/>
              </w:rPr>
              <w:t>52</w:t>
            </w:r>
          </w:p>
        </w:tc>
        <w:tc>
          <w:tcPr>
            <w:tcW w:w="875" w:type="dxa"/>
          </w:tcPr>
          <w:p w14:paraId="2C1DDEBE" w14:textId="77777777" w:rsidR="007D1E74" w:rsidRDefault="00A95641">
            <w:pPr>
              <w:pStyle w:val="TableParagraph"/>
              <w:spacing w:before="41"/>
              <w:ind w:left="189" w:right="173"/>
              <w:rPr>
                <w:rFonts w:ascii="Times New Roman" w:hAnsi="Times New Roman"/>
                <w:sz w:val="20"/>
              </w:rPr>
            </w:pPr>
            <w:r>
              <w:rPr>
                <w:rFonts w:ascii="Times New Roman" w:hAnsi="Times New Roman"/>
                <w:sz w:val="20"/>
              </w:rPr>
              <w:t>46</w:t>
            </w:r>
          </w:p>
        </w:tc>
        <w:tc>
          <w:tcPr>
            <w:tcW w:w="876" w:type="dxa"/>
          </w:tcPr>
          <w:p w14:paraId="10F6D739" w14:textId="77777777" w:rsidR="007D1E74" w:rsidRDefault="00A95641">
            <w:pPr>
              <w:pStyle w:val="TableParagraph"/>
              <w:spacing w:before="41"/>
              <w:ind w:left="189" w:right="177"/>
              <w:rPr>
                <w:rFonts w:ascii="Times New Roman" w:hAnsi="Times New Roman"/>
                <w:sz w:val="20"/>
              </w:rPr>
            </w:pPr>
            <w:r>
              <w:rPr>
                <w:rFonts w:ascii="Times New Roman" w:hAnsi="Times New Roman"/>
                <w:sz w:val="20"/>
              </w:rPr>
              <w:t>40</w:t>
            </w:r>
          </w:p>
        </w:tc>
        <w:tc>
          <w:tcPr>
            <w:tcW w:w="1036" w:type="dxa"/>
          </w:tcPr>
          <w:p w14:paraId="68AB6206" w14:textId="77777777" w:rsidR="007D1E74" w:rsidRDefault="00A95641">
            <w:pPr>
              <w:pStyle w:val="TableParagraph"/>
              <w:spacing w:before="41"/>
              <w:ind w:left="207" w:right="226"/>
              <w:rPr>
                <w:rFonts w:ascii="Times New Roman" w:hAnsi="Times New Roman"/>
                <w:sz w:val="20"/>
              </w:rPr>
            </w:pPr>
            <w:r>
              <w:rPr>
                <w:rFonts w:ascii="Times New Roman" w:hAnsi="Times New Roman"/>
                <w:sz w:val="20"/>
              </w:rPr>
              <w:t>38</w:t>
            </w:r>
          </w:p>
        </w:tc>
      </w:tr>
      <w:tr w:rsidR="007D1E74" w14:paraId="0E515742" w14:textId="77777777">
        <w:trPr>
          <w:trHeight w:val="311"/>
        </w:trPr>
        <w:tc>
          <w:tcPr>
            <w:tcW w:w="1613" w:type="dxa"/>
          </w:tcPr>
          <w:p w14:paraId="4EBB14E0" w14:textId="77777777" w:rsidR="007D1E74" w:rsidRDefault="00A95641">
            <w:pPr>
              <w:pStyle w:val="TableParagraph"/>
              <w:spacing w:before="28"/>
              <w:ind w:left="312" w:right="252"/>
              <w:rPr>
                <w:rFonts w:ascii="Times New Roman" w:hAnsi="Times New Roman"/>
                <w:sz w:val="20"/>
              </w:rPr>
            </w:pPr>
            <w:r>
              <w:rPr>
                <w:rFonts w:ascii="Times New Roman" w:hAnsi="Times New Roman"/>
                <w:sz w:val="20"/>
              </w:rPr>
              <w:t>切割机</w:t>
            </w:r>
          </w:p>
        </w:tc>
        <w:tc>
          <w:tcPr>
            <w:tcW w:w="747" w:type="dxa"/>
          </w:tcPr>
          <w:p w14:paraId="7A1CA971" w14:textId="77777777" w:rsidR="007D1E74" w:rsidRDefault="00A95641">
            <w:pPr>
              <w:pStyle w:val="TableParagraph"/>
              <w:spacing w:before="41"/>
              <w:ind w:left="182" w:right="152"/>
              <w:rPr>
                <w:rFonts w:ascii="Times New Roman" w:hAnsi="Times New Roman"/>
                <w:sz w:val="20"/>
              </w:rPr>
            </w:pPr>
            <w:r>
              <w:rPr>
                <w:rFonts w:ascii="Times New Roman" w:hAnsi="Times New Roman"/>
                <w:sz w:val="20"/>
              </w:rPr>
              <w:t>83</w:t>
            </w:r>
          </w:p>
        </w:tc>
        <w:tc>
          <w:tcPr>
            <w:tcW w:w="748" w:type="dxa"/>
          </w:tcPr>
          <w:p w14:paraId="389D4C9C" w14:textId="77777777" w:rsidR="007D1E74" w:rsidRDefault="00A95641">
            <w:pPr>
              <w:pStyle w:val="TableParagraph"/>
              <w:spacing w:before="41"/>
              <w:ind w:left="183" w:right="154"/>
              <w:rPr>
                <w:rFonts w:ascii="Times New Roman" w:hAnsi="Times New Roman"/>
                <w:sz w:val="20"/>
              </w:rPr>
            </w:pPr>
            <w:r>
              <w:rPr>
                <w:rFonts w:ascii="Times New Roman" w:hAnsi="Times New Roman"/>
                <w:sz w:val="20"/>
              </w:rPr>
              <w:t>77</w:t>
            </w:r>
          </w:p>
        </w:tc>
        <w:tc>
          <w:tcPr>
            <w:tcW w:w="747" w:type="dxa"/>
          </w:tcPr>
          <w:p w14:paraId="0590E08E" w14:textId="77777777" w:rsidR="007D1E74" w:rsidRDefault="00A95641">
            <w:pPr>
              <w:pStyle w:val="TableParagraph"/>
              <w:spacing w:before="41"/>
              <w:ind w:left="182" w:right="156"/>
              <w:rPr>
                <w:rFonts w:ascii="Times New Roman" w:hAnsi="Times New Roman"/>
                <w:sz w:val="20"/>
              </w:rPr>
            </w:pPr>
            <w:r>
              <w:rPr>
                <w:rFonts w:ascii="Times New Roman" w:hAnsi="Times New Roman"/>
                <w:sz w:val="20"/>
              </w:rPr>
              <w:t>71</w:t>
            </w:r>
          </w:p>
        </w:tc>
        <w:tc>
          <w:tcPr>
            <w:tcW w:w="747" w:type="dxa"/>
          </w:tcPr>
          <w:p w14:paraId="22035FEF" w14:textId="77777777" w:rsidR="007D1E74" w:rsidRDefault="00A95641">
            <w:pPr>
              <w:pStyle w:val="TableParagraph"/>
              <w:spacing w:before="41"/>
              <w:ind w:left="182" w:right="157"/>
              <w:rPr>
                <w:rFonts w:ascii="Times New Roman" w:hAnsi="Times New Roman"/>
                <w:sz w:val="20"/>
              </w:rPr>
            </w:pPr>
            <w:r>
              <w:rPr>
                <w:rFonts w:ascii="Times New Roman" w:hAnsi="Times New Roman"/>
                <w:sz w:val="20"/>
              </w:rPr>
              <w:t>65</w:t>
            </w:r>
          </w:p>
        </w:tc>
        <w:tc>
          <w:tcPr>
            <w:tcW w:w="875" w:type="dxa"/>
          </w:tcPr>
          <w:p w14:paraId="76841E13" w14:textId="77777777" w:rsidR="007D1E74" w:rsidRDefault="00A95641">
            <w:pPr>
              <w:pStyle w:val="TableParagraph"/>
              <w:spacing w:before="41"/>
              <w:ind w:left="193" w:right="172"/>
              <w:rPr>
                <w:rFonts w:ascii="Times New Roman" w:hAnsi="Times New Roman"/>
                <w:sz w:val="20"/>
              </w:rPr>
            </w:pPr>
            <w:r>
              <w:rPr>
                <w:rFonts w:ascii="Times New Roman" w:hAnsi="Times New Roman"/>
                <w:sz w:val="20"/>
              </w:rPr>
              <w:t>63</w:t>
            </w:r>
          </w:p>
        </w:tc>
        <w:tc>
          <w:tcPr>
            <w:tcW w:w="875" w:type="dxa"/>
          </w:tcPr>
          <w:p w14:paraId="4582BF54" w14:textId="77777777" w:rsidR="007D1E74" w:rsidRDefault="00A95641">
            <w:pPr>
              <w:pStyle w:val="TableParagraph"/>
              <w:spacing w:before="41"/>
              <w:ind w:left="192" w:right="173"/>
              <w:rPr>
                <w:rFonts w:ascii="Times New Roman" w:hAnsi="Times New Roman"/>
                <w:sz w:val="20"/>
              </w:rPr>
            </w:pPr>
            <w:r>
              <w:rPr>
                <w:rFonts w:ascii="Times New Roman" w:hAnsi="Times New Roman"/>
                <w:sz w:val="20"/>
              </w:rPr>
              <w:t>57</w:t>
            </w:r>
          </w:p>
        </w:tc>
        <w:tc>
          <w:tcPr>
            <w:tcW w:w="875" w:type="dxa"/>
          </w:tcPr>
          <w:p w14:paraId="43F2E03E" w14:textId="77777777" w:rsidR="007D1E74" w:rsidRDefault="00A95641">
            <w:pPr>
              <w:pStyle w:val="TableParagraph"/>
              <w:spacing w:before="41"/>
              <w:ind w:left="189" w:right="173"/>
              <w:rPr>
                <w:rFonts w:ascii="Times New Roman" w:hAnsi="Times New Roman"/>
                <w:sz w:val="20"/>
              </w:rPr>
            </w:pPr>
            <w:r>
              <w:rPr>
                <w:rFonts w:ascii="Times New Roman" w:hAnsi="Times New Roman"/>
                <w:sz w:val="20"/>
              </w:rPr>
              <w:t>51</w:t>
            </w:r>
          </w:p>
        </w:tc>
        <w:tc>
          <w:tcPr>
            <w:tcW w:w="876" w:type="dxa"/>
          </w:tcPr>
          <w:p w14:paraId="5791857C" w14:textId="77777777" w:rsidR="007D1E74" w:rsidRDefault="00A95641">
            <w:pPr>
              <w:pStyle w:val="TableParagraph"/>
              <w:spacing w:before="41"/>
              <w:ind w:left="189" w:right="177"/>
              <w:rPr>
                <w:rFonts w:ascii="Times New Roman" w:hAnsi="Times New Roman"/>
                <w:sz w:val="20"/>
              </w:rPr>
            </w:pPr>
            <w:r>
              <w:rPr>
                <w:rFonts w:ascii="Times New Roman" w:hAnsi="Times New Roman"/>
                <w:sz w:val="20"/>
              </w:rPr>
              <w:t>45</w:t>
            </w:r>
          </w:p>
        </w:tc>
        <w:tc>
          <w:tcPr>
            <w:tcW w:w="1036" w:type="dxa"/>
          </w:tcPr>
          <w:p w14:paraId="04BAD385" w14:textId="77777777" w:rsidR="007D1E74" w:rsidRDefault="00A95641">
            <w:pPr>
              <w:pStyle w:val="TableParagraph"/>
              <w:spacing w:before="41"/>
              <w:ind w:left="207" w:right="226"/>
              <w:rPr>
                <w:rFonts w:ascii="Times New Roman" w:hAnsi="Times New Roman"/>
                <w:sz w:val="20"/>
              </w:rPr>
            </w:pPr>
            <w:r>
              <w:rPr>
                <w:rFonts w:ascii="Times New Roman" w:hAnsi="Times New Roman"/>
                <w:sz w:val="20"/>
              </w:rPr>
              <w:t>43</w:t>
            </w:r>
          </w:p>
        </w:tc>
      </w:tr>
      <w:tr w:rsidR="007D1E74" w14:paraId="58ED9540" w14:textId="77777777">
        <w:trPr>
          <w:trHeight w:val="313"/>
        </w:trPr>
        <w:tc>
          <w:tcPr>
            <w:tcW w:w="1613" w:type="dxa"/>
          </w:tcPr>
          <w:p w14:paraId="618D2C75" w14:textId="77777777" w:rsidR="007D1E74" w:rsidRDefault="00A95641">
            <w:pPr>
              <w:pStyle w:val="TableParagraph"/>
              <w:spacing w:before="28"/>
              <w:ind w:left="312" w:right="255"/>
              <w:rPr>
                <w:rFonts w:ascii="Times New Roman" w:hAnsi="Times New Roman"/>
                <w:sz w:val="20"/>
              </w:rPr>
            </w:pPr>
            <w:r>
              <w:rPr>
                <w:rFonts w:ascii="Times New Roman" w:hAnsi="Times New Roman"/>
                <w:sz w:val="20"/>
              </w:rPr>
              <w:t>柴油发电机</w:t>
            </w:r>
          </w:p>
        </w:tc>
        <w:tc>
          <w:tcPr>
            <w:tcW w:w="747" w:type="dxa"/>
          </w:tcPr>
          <w:p w14:paraId="7FEF6828" w14:textId="77777777" w:rsidR="007D1E74" w:rsidRDefault="00A95641">
            <w:pPr>
              <w:pStyle w:val="TableParagraph"/>
              <w:spacing w:before="41"/>
              <w:ind w:left="182" w:right="152"/>
              <w:rPr>
                <w:rFonts w:ascii="Times New Roman" w:hAnsi="Times New Roman"/>
                <w:sz w:val="20"/>
              </w:rPr>
            </w:pPr>
            <w:r>
              <w:rPr>
                <w:rFonts w:ascii="Times New Roman" w:hAnsi="Times New Roman"/>
                <w:sz w:val="20"/>
              </w:rPr>
              <w:t>88</w:t>
            </w:r>
          </w:p>
        </w:tc>
        <w:tc>
          <w:tcPr>
            <w:tcW w:w="748" w:type="dxa"/>
          </w:tcPr>
          <w:p w14:paraId="1E7BB6B4" w14:textId="77777777" w:rsidR="007D1E74" w:rsidRDefault="00A95641">
            <w:pPr>
              <w:pStyle w:val="TableParagraph"/>
              <w:spacing w:before="41"/>
              <w:ind w:left="183" w:right="154"/>
              <w:rPr>
                <w:rFonts w:ascii="Times New Roman" w:hAnsi="Times New Roman"/>
                <w:sz w:val="20"/>
              </w:rPr>
            </w:pPr>
            <w:r>
              <w:rPr>
                <w:rFonts w:ascii="Times New Roman" w:hAnsi="Times New Roman"/>
                <w:sz w:val="20"/>
              </w:rPr>
              <w:t>82</w:t>
            </w:r>
          </w:p>
        </w:tc>
        <w:tc>
          <w:tcPr>
            <w:tcW w:w="747" w:type="dxa"/>
          </w:tcPr>
          <w:p w14:paraId="0B1CC7B9" w14:textId="77777777" w:rsidR="007D1E74" w:rsidRDefault="00A95641">
            <w:pPr>
              <w:pStyle w:val="TableParagraph"/>
              <w:spacing w:before="41"/>
              <w:ind w:left="182" w:right="156"/>
              <w:rPr>
                <w:rFonts w:ascii="Times New Roman" w:hAnsi="Times New Roman"/>
                <w:sz w:val="20"/>
              </w:rPr>
            </w:pPr>
            <w:r>
              <w:rPr>
                <w:rFonts w:ascii="Times New Roman" w:hAnsi="Times New Roman"/>
                <w:sz w:val="20"/>
              </w:rPr>
              <w:t>76</w:t>
            </w:r>
          </w:p>
        </w:tc>
        <w:tc>
          <w:tcPr>
            <w:tcW w:w="747" w:type="dxa"/>
          </w:tcPr>
          <w:p w14:paraId="6A26BDC0" w14:textId="77777777" w:rsidR="007D1E74" w:rsidRDefault="00A95641">
            <w:pPr>
              <w:pStyle w:val="TableParagraph"/>
              <w:spacing w:before="41"/>
              <w:ind w:left="182" w:right="157"/>
              <w:rPr>
                <w:rFonts w:ascii="Times New Roman" w:hAnsi="Times New Roman"/>
                <w:sz w:val="20"/>
              </w:rPr>
            </w:pPr>
            <w:r>
              <w:rPr>
                <w:rFonts w:ascii="Times New Roman" w:hAnsi="Times New Roman"/>
                <w:sz w:val="20"/>
              </w:rPr>
              <w:t>70</w:t>
            </w:r>
          </w:p>
        </w:tc>
        <w:tc>
          <w:tcPr>
            <w:tcW w:w="875" w:type="dxa"/>
          </w:tcPr>
          <w:p w14:paraId="6B4A5BC5" w14:textId="77777777" w:rsidR="007D1E74" w:rsidRDefault="00A95641">
            <w:pPr>
              <w:pStyle w:val="TableParagraph"/>
              <w:spacing w:before="41"/>
              <w:ind w:left="193" w:right="172"/>
              <w:rPr>
                <w:rFonts w:ascii="Times New Roman" w:hAnsi="Times New Roman"/>
                <w:sz w:val="20"/>
              </w:rPr>
            </w:pPr>
            <w:r>
              <w:rPr>
                <w:rFonts w:ascii="Times New Roman" w:hAnsi="Times New Roman"/>
                <w:sz w:val="20"/>
              </w:rPr>
              <w:t>68</w:t>
            </w:r>
          </w:p>
        </w:tc>
        <w:tc>
          <w:tcPr>
            <w:tcW w:w="875" w:type="dxa"/>
          </w:tcPr>
          <w:p w14:paraId="1EAF796C" w14:textId="77777777" w:rsidR="007D1E74" w:rsidRDefault="00A95641">
            <w:pPr>
              <w:pStyle w:val="TableParagraph"/>
              <w:spacing w:before="41"/>
              <w:ind w:left="192" w:right="173"/>
              <w:rPr>
                <w:rFonts w:ascii="Times New Roman" w:hAnsi="Times New Roman"/>
                <w:sz w:val="20"/>
              </w:rPr>
            </w:pPr>
            <w:r>
              <w:rPr>
                <w:rFonts w:ascii="Times New Roman" w:hAnsi="Times New Roman"/>
                <w:sz w:val="20"/>
              </w:rPr>
              <w:t>62</w:t>
            </w:r>
          </w:p>
        </w:tc>
        <w:tc>
          <w:tcPr>
            <w:tcW w:w="875" w:type="dxa"/>
          </w:tcPr>
          <w:p w14:paraId="4CD1EA97" w14:textId="77777777" w:rsidR="007D1E74" w:rsidRDefault="00A95641">
            <w:pPr>
              <w:pStyle w:val="TableParagraph"/>
              <w:spacing w:before="41"/>
              <w:ind w:left="189" w:right="173"/>
              <w:rPr>
                <w:rFonts w:ascii="Times New Roman" w:hAnsi="Times New Roman"/>
                <w:sz w:val="20"/>
              </w:rPr>
            </w:pPr>
            <w:r>
              <w:rPr>
                <w:rFonts w:ascii="Times New Roman" w:hAnsi="Times New Roman"/>
                <w:sz w:val="20"/>
              </w:rPr>
              <w:t>56</w:t>
            </w:r>
          </w:p>
        </w:tc>
        <w:tc>
          <w:tcPr>
            <w:tcW w:w="876" w:type="dxa"/>
          </w:tcPr>
          <w:p w14:paraId="2C219233" w14:textId="77777777" w:rsidR="007D1E74" w:rsidRDefault="00A95641">
            <w:pPr>
              <w:pStyle w:val="TableParagraph"/>
              <w:spacing w:before="41"/>
              <w:ind w:left="189" w:right="177"/>
              <w:rPr>
                <w:rFonts w:ascii="Times New Roman" w:hAnsi="Times New Roman"/>
                <w:sz w:val="20"/>
              </w:rPr>
            </w:pPr>
            <w:r>
              <w:rPr>
                <w:rFonts w:ascii="Times New Roman" w:hAnsi="Times New Roman"/>
                <w:sz w:val="20"/>
              </w:rPr>
              <w:t>50</w:t>
            </w:r>
          </w:p>
        </w:tc>
        <w:tc>
          <w:tcPr>
            <w:tcW w:w="1036" w:type="dxa"/>
          </w:tcPr>
          <w:p w14:paraId="1EF28539" w14:textId="77777777" w:rsidR="007D1E74" w:rsidRDefault="00A95641">
            <w:pPr>
              <w:pStyle w:val="TableParagraph"/>
              <w:spacing w:before="41"/>
              <w:ind w:left="207" w:right="226"/>
              <w:rPr>
                <w:rFonts w:ascii="Times New Roman" w:hAnsi="Times New Roman"/>
                <w:sz w:val="20"/>
              </w:rPr>
            </w:pPr>
            <w:r>
              <w:rPr>
                <w:rFonts w:ascii="Times New Roman" w:hAnsi="Times New Roman"/>
                <w:sz w:val="20"/>
              </w:rPr>
              <w:t>48</w:t>
            </w:r>
          </w:p>
        </w:tc>
      </w:tr>
    </w:tbl>
    <w:p w14:paraId="2D83A546" w14:textId="77777777" w:rsidR="007D1E74" w:rsidRDefault="00A95641">
      <w:pPr>
        <w:spacing w:line="360" w:lineRule="auto"/>
        <w:ind w:firstLineChars="200" w:firstLine="480"/>
        <w:rPr>
          <w:sz w:val="24"/>
        </w:rPr>
      </w:pPr>
      <w:r>
        <w:rPr>
          <w:sz w:val="24"/>
        </w:rPr>
        <w:t>在线路施工中，使用挖掘机的时间较长，噪声强度较高，持续时间较长，而其它施工机械如切割机、推土机等一般间歇使用，且施工时间较短，故挖掘机施工噪声基本反映了管道施工噪声的影响水平。</w:t>
      </w:r>
    </w:p>
    <w:p w14:paraId="2E682CEC" w14:textId="77777777" w:rsidR="007D1E74" w:rsidRDefault="00A95641">
      <w:pPr>
        <w:spacing w:line="360" w:lineRule="auto"/>
        <w:outlineLvl w:val="2"/>
        <w:rPr>
          <w:b/>
          <w:sz w:val="24"/>
        </w:rPr>
      </w:pPr>
      <w:r>
        <w:rPr>
          <w:b/>
          <w:sz w:val="24"/>
        </w:rPr>
        <w:t>6.1.4.2</w:t>
      </w:r>
      <w:r>
        <w:rPr>
          <w:b/>
          <w:sz w:val="24"/>
        </w:rPr>
        <w:t>施工噪声影响分析</w:t>
      </w:r>
    </w:p>
    <w:p w14:paraId="6D901FF1" w14:textId="77777777" w:rsidR="007D1E74" w:rsidRDefault="00A95641">
      <w:pPr>
        <w:spacing w:line="360" w:lineRule="auto"/>
        <w:ind w:firstLineChars="200" w:firstLine="480"/>
        <w:rPr>
          <w:sz w:val="24"/>
        </w:rPr>
      </w:pPr>
      <w:r>
        <w:rPr>
          <w:sz w:val="24"/>
        </w:rPr>
        <w:t>根据上表，项目施工过程中主要机械在</w:t>
      </w:r>
      <w:r>
        <w:rPr>
          <w:sz w:val="24"/>
        </w:rPr>
        <w:t>40m</w:t>
      </w:r>
      <w:r>
        <w:rPr>
          <w:sz w:val="24"/>
        </w:rPr>
        <w:t>以外不超过《建筑施工场界环境噪声排放标准》（</w:t>
      </w:r>
      <w:r>
        <w:rPr>
          <w:sz w:val="24"/>
        </w:rPr>
        <w:t>GB12523-2011</w:t>
      </w:r>
      <w:r>
        <w:rPr>
          <w:sz w:val="24"/>
        </w:rPr>
        <w:t>）中昼间噪声限值</w:t>
      </w:r>
      <w:r>
        <w:rPr>
          <w:sz w:val="24"/>
        </w:rPr>
        <w:t>70dB</w:t>
      </w:r>
      <w:r>
        <w:rPr>
          <w:sz w:val="24"/>
        </w:rPr>
        <w:t>（</w:t>
      </w:r>
      <w:r>
        <w:rPr>
          <w:sz w:val="24"/>
        </w:rPr>
        <w:t>A</w:t>
      </w:r>
      <w:r>
        <w:rPr>
          <w:sz w:val="24"/>
        </w:rPr>
        <w:t>），而在夜间若不超过</w:t>
      </w:r>
      <w:r>
        <w:rPr>
          <w:sz w:val="24"/>
        </w:rPr>
        <w:t>55dB</w:t>
      </w:r>
      <w:r>
        <w:rPr>
          <w:sz w:val="24"/>
        </w:rPr>
        <w:t>（</w:t>
      </w:r>
      <w:r>
        <w:rPr>
          <w:sz w:val="24"/>
        </w:rPr>
        <w:t>A</w:t>
      </w:r>
      <w:r>
        <w:rPr>
          <w:sz w:val="24"/>
        </w:rPr>
        <w:t>）的标准，其距离要远到</w:t>
      </w:r>
      <w:r>
        <w:rPr>
          <w:sz w:val="24"/>
        </w:rPr>
        <w:t>200m</w:t>
      </w:r>
      <w:r>
        <w:rPr>
          <w:sz w:val="24"/>
        </w:rPr>
        <w:t>以上。本项目管道</w:t>
      </w:r>
      <w:r>
        <w:rPr>
          <w:sz w:val="24"/>
        </w:rPr>
        <w:t>200m</w:t>
      </w:r>
      <w:r>
        <w:rPr>
          <w:sz w:val="24"/>
        </w:rPr>
        <w:t>范围内分布有村庄、居民点等。</w:t>
      </w:r>
    </w:p>
    <w:p w14:paraId="4D2641F5" w14:textId="77777777" w:rsidR="007D1E74" w:rsidRDefault="00A95641">
      <w:pPr>
        <w:spacing w:line="360" w:lineRule="auto"/>
        <w:ind w:firstLineChars="200" w:firstLine="480"/>
        <w:rPr>
          <w:sz w:val="24"/>
        </w:rPr>
      </w:pPr>
      <w:r>
        <w:rPr>
          <w:sz w:val="24"/>
        </w:rPr>
        <w:t>本项目挖掘机使用频率最高，因此，以挖掘机为代表说明本项目施工期噪声影响。根据计算结果，本项目施工期设备噪声声级值以施工管道沿线向外逐渐减弱，根据表</w:t>
      </w:r>
      <w:r>
        <w:rPr>
          <w:sz w:val="24"/>
        </w:rPr>
        <w:t>6.4-1</w:t>
      </w:r>
      <w:r>
        <w:rPr>
          <w:sz w:val="24"/>
        </w:rPr>
        <w:t>，在昼间距离施工机械</w:t>
      </w:r>
      <w:r>
        <w:rPr>
          <w:sz w:val="24"/>
        </w:rPr>
        <w:t>40m</w:t>
      </w:r>
      <w:r>
        <w:rPr>
          <w:sz w:val="24"/>
        </w:rPr>
        <w:t>处能够满足《建筑施工场界环境噪声排放标准》（</w:t>
      </w:r>
      <w:r>
        <w:rPr>
          <w:sz w:val="24"/>
        </w:rPr>
        <w:t>GB12523-2011</w:t>
      </w:r>
      <w:r>
        <w:rPr>
          <w:sz w:val="24"/>
        </w:rPr>
        <w:t>）中昼间噪声限值</w:t>
      </w:r>
      <w:r>
        <w:rPr>
          <w:sz w:val="24"/>
        </w:rPr>
        <w:t>70dB</w:t>
      </w:r>
      <w:r>
        <w:rPr>
          <w:sz w:val="24"/>
        </w:rPr>
        <w:t>（</w:t>
      </w:r>
      <w:r>
        <w:rPr>
          <w:sz w:val="24"/>
        </w:rPr>
        <w:t>A</w:t>
      </w:r>
      <w:r>
        <w:rPr>
          <w:sz w:val="24"/>
        </w:rPr>
        <w:t>）要求，夜间在距声源</w:t>
      </w:r>
      <w:r>
        <w:rPr>
          <w:sz w:val="24"/>
        </w:rPr>
        <w:t>200m</w:t>
      </w:r>
      <w:r>
        <w:rPr>
          <w:sz w:val="24"/>
        </w:rPr>
        <w:t>以外挖掘机的噪声声级值已低于</w:t>
      </w:r>
      <w:r>
        <w:rPr>
          <w:sz w:val="24"/>
        </w:rPr>
        <w:t>54dB(A)</w:t>
      </w:r>
      <w:r>
        <w:rPr>
          <w:sz w:val="24"/>
        </w:rPr>
        <w:t>。本项目管道主要在昼间进行施工，施工机械产生的噪声经过距离衰减后需要</w:t>
      </w:r>
      <w:r>
        <w:rPr>
          <w:sz w:val="24"/>
        </w:rPr>
        <w:t>100m</w:t>
      </w:r>
      <w:r>
        <w:rPr>
          <w:sz w:val="24"/>
        </w:rPr>
        <w:t>才满足《声环境质量标准》（</w:t>
      </w:r>
      <w:r>
        <w:rPr>
          <w:sz w:val="24"/>
        </w:rPr>
        <w:t>GB3096-2008</w:t>
      </w:r>
      <w:r>
        <w:rPr>
          <w:sz w:val="24"/>
        </w:rPr>
        <w:t>）中二级标准要求。因此管道两侧</w:t>
      </w:r>
      <w:r>
        <w:rPr>
          <w:sz w:val="24"/>
        </w:rPr>
        <w:t>200m</w:t>
      </w:r>
      <w:r>
        <w:rPr>
          <w:sz w:val="24"/>
        </w:rPr>
        <w:t>以内声环境保护目标的声环境在施工期会受到施工噪声的影响（</w:t>
      </w:r>
      <w:r>
        <w:rPr>
          <w:sz w:val="24"/>
        </w:rPr>
        <w:t xml:space="preserve">100m </w:t>
      </w:r>
      <w:r>
        <w:rPr>
          <w:sz w:val="24"/>
        </w:rPr>
        <w:t>范围内的影响较大），距离施工区域越近，噪声水平有不同程度的增加，若不采取隔声降噪措施，噪声值会超过标准限值。但施工噪声是短暂的且具有分散性，一般在白天施工，不会对夜间声环境产生影响。在同一工段施工时间为</w:t>
      </w:r>
      <w:r>
        <w:rPr>
          <w:sz w:val="24"/>
        </w:rPr>
        <w:t>3-5</w:t>
      </w:r>
      <w:r>
        <w:rPr>
          <w:sz w:val="24"/>
        </w:rPr>
        <w:t>天，随着施工期的结束，影响也随之结束。因此，一般施工噪声对周围居民的生活影响不是很大。为防止对近距离的敏感点造成影响，采取措施如下：</w:t>
      </w:r>
    </w:p>
    <w:p w14:paraId="4FBD32F0" w14:textId="77777777" w:rsidR="007D1E74" w:rsidRDefault="00A95641">
      <w:pPr>
        <w:pStyle w:val="afffffff2"/>
        <w:ind w:firstLine="480"/>
        <w:rPr>
          <w:rStyle w:val="CharCharfc"/>
        </w:rPr>
      </w:pPr>
      <w:r>
        <w:rPr>
          <w:rStyle w:val="CharCharfc"/>
          <w:rFonts w:ascii="宋体" w:hAnsi="宋体" w:hint="eastAsia"/>
        </w:rPr>
        <w:t>①</w:t>
      </w:r>
      <w:r>
        <w:rPr>
          <w:rStyle w:val="CharCharfc"/>
        </w:rPr>
        <w:t>合理布局施工现场，在居民点附近施工时采取临时的消声围护结构或临时隔声屏障；</w:t>
      </w:r>
    </w:p>
    <w:p w14:paraId="28580059" w14:textId="77777777" w:rsidR="007D1E74" w:rsidRDefault="00A95641">
      <w:pPr>
        <w:pStyle w:val="afffffff2"/>
        <w:ind w:firstLine="480"/>
        <w:rPr>
          <w:rStyle w:val="CharCharfc"/>
        </w:rPr>
      </w:pPr>
      <w:r>
        <w:rPr>
          <w:rStyle w:val="CharCharfc"/>
          <w:rFonts w:ascii="宋体" w:hAnsi="宋体" w:hint="eastAsia"/>
        </w:rPr>
        <w:t>②</w:t>
      </w:r>
      <w:r>
        <w:rPr>
          <w:rStyle w:val="CharCharfc"/>
        </w:rPr>
        <w:t>合理安排施工运输车辆的行走路线和行走时间，车辆运行线路尽量避开居民区；</w:t>
      </w:r>
    </w:p>
    <w:p w14:paraId="53122408" w14:textId="77777777" w:rsidR="007D1E74" w:rsidRDefault="00A95641">
      <w:pPr>
        <w:pStyle w:val="afffffff2"/>
        <w:ind w:firstLine="480"/>
        <w:rPr>
          <w:rStyle w:val="CharCharfc"/>
        </w:rPr>
      </w:pPr>
      <w:r>
        <w:rPr>
          <w:rStyle w:val="CharCharfc"/>
          <w:rFonts w:ascii="宋体" w:hAnsi="宋体" w:hint="eastAsia"/>
        </w:rPr>
        <w:t>③</w:t>
      </w:r>
      <w:r>
        <w:rPr>
          <w:rStyle w:val="CharCharfc"/>
        </w:rPr>
        <w:t>尽量采用低噪声机械，工程施工所用的施工机械设备应事先对其常规工作状态下的噪声进行测量，超过国家标准的机械应禁止入场施工。施工过程中还应经常对设备进</w:t>
      </w:r>
      <w:r>
        <w:rPr>
          <w:rStyle w:val="CharCharfc"/>
        </w:rPr>
        <w:lastRenderedPageBreak/>
        <w:t>行维修保养，避免由于设备性能差而使噪声增加的现象发生；</w:t>
      </w:r>
    </w:p>
    <w:p w14:paraId="79FD2E9B" w14:textId="77777777" w:rsidR="007D1E74" w:rsidRDefault="00A95641">
      <w:pPr>
        <w:pStyle w:val="afffffff2"/>
        <w:ind w:firstLine="480"/>
        <w:rPr>
          <w:rStyle w:val="CharCharfc"/>
        </w:rPr>
      </w:pPr>
      <w:r>
        <w:rPr>
          <w:rStyle w:val="CharCharfc"/>
          <w:rFonts w:ascii="宋体" w:hAnsi="宋体" w:hint="eastAsia"/>
        </w:rPr>
        <w:t>④</w:t>
      </w:r>
      <w:r>
        <w:rPr>
          <w:rStyle w:val="CharCharfc"/>
        </w:rPr>
        <w:t>施工单位通过文明施工、加强有效管理缓解人为因素造成的噪声强度升高。施工方应该合理有效的制定施工计划，提高工作效率，把施工时间控制在最短范围内，并提前发布公告，最大限度的争取民众支持；</w:t>
      </w:r>
    </w:p>
    <w:p w14:paraId="00F1D923" w14:textId="77777777" w:rsidR="007D1E74" w:rsidRDefault="00A95641">
      <w:pPr>
        <w:pStyle w:val="afffffff2"/>
        <w:ind w:firstLine="480"/>
        <w:rPr>
          <w:rStyle w:val="CharCharfc"/>
        </w:rPr>
      </w:pPr>
      <w:r>
        <w:rPr>
          <w:rStyle w:val="CharCharfc"/>
          <w:rFonts w:ascii="宋体" w:hAnsi="宋体" w:hint="eastAsia"/>
        </w:rPr>
        <w:t>⑤</w:t>
      </w:r>
      <w:r>
        <w:rPr>
          <w:rStyle w:val="CharCharfc"/>
        </w:rPr>
        <w:t>施工单位要加强对施工人员的教育，提高作业人员的环保意识，坚持科学组织、文明施工；</w:t>
      </w:r>
    </w:p>
    <w:p w14:paraId="5923CBAF" w14:textId="77777777" w:rsidR="007D1E74" w:rsidRDefault="00A95641">
      <w:pPr>
        <w:pStyle w:val="afffffff2"/>
        <w:ind w:firstLine="480"/>
        <w:rPr>
          <w:rStyle w:val="CharCharfc"/>
        </w:rPr>
      </w:pPr>
      <w:r>
        <w:rPr>
          <w:rStyle w:val="CharCharfc"/>
          <w:rFonts w:ascii="宋体" w:hAnsi="宋体" w:hint="eastAsia"/>
        </w:rPr>
        <w:t>⑥</w:t>
      </w:r>
      <w:r>
        <w:rPr>
          <w:rStyle w:val="CharCharfc"/>
        </w:rPr>
        <w:t>合理安排施工作业时间，严格控制各种强噪声施工机械的作业时间。除抢修、抢险作业和因生产工艺上要求或者特殊要求必须连续作业外，禁止夜间（</w:t>
      </w:r>
      <w:r>
        <w:rPr>
          <w:rStyle w:val="CharCharfc"/>
        </w:rPr>
        <w:t>22</w:t>
      </w:r>
      <w:r>
        <w:rPr>
          <w:rStyle w:val="CharCharfc"/>
        </w:rPr>
        <w:t>：</w:t>
      </w:r>
      <w:r>
        <w:rPr>
          <w:rStyle w:val="CharCharfc"/>
        </w:rPr>
        <w:t>00</w:t>
      </w:r>
      <w:r>
        <w:rPr>
          <w:rStyle w:val="CharCharfc"/>
        </w:rPr>
        <w:t>～</w:t>
      </w:r>
      <w:r>
        <w:rPr>
          <w:rStyle w:val="CharCharfc"/>
        </w:rPr>
        <w:t>06:00</w:t>
      </w:r>
      <w:r>
        <w:rPr>
          <w:rStyle w:val="CharCharfc"/>
        </w:rPr>
        <w:t>）进行产生环境噪声污染的建筑施工作业，</w:t>
      </w:r>
      <w:r>
        <w:rPr>
          <w:rStyle w:val="CharCharfc"/>
        </w:rPr>
        <w:t>“</w:t>
      </w:r>
      <w:r>
        <w:rPr>
          <w:rStyle w:val="CharCharfc"/>
        </w:rPr>
        <w:t>因特殊要求必须连续作业的，必须有县级以上人民政府或者有关主管部门的证明</w:t>
      </w:r>
      <w:r>
        <w:rPr>
          <w:rStyle w:val="CharCharfc"/>
        </w:rPr>
        <w:t>”</w:t>
      </w:r>
      <w:r>
        <w:rPr>
          <w:rStyle w:val="CharCharfc"/>
        </w:rPr>
        <w:t>，并公告附近居民。</w:t>
      </w:r>
    </w:p>
    <w:p w14:paraId="4D49ECB7" w14:textId="77777777" w:rsidR="007D1E74" w:rsidRDefault="00A95641">
      <w:pPr>
        <w:pStyle w:val="afffffff2"/>
        <w:ind w:firstLine="480"/>
        <w:rPr>
          <w:rStyle w:val="CharCharfc"/>
        </w:rPr>
      </w:pPr>
      <w:r>
        <w:rPr>
          <w:rStyle w:val="CharCharfc"/>
          <w:rFonts w:ascii="宋体" w:hAnsi="宋体" w:hint="eastAsia"/>
        </w:rPr>
        <w:t>⑦</w:t>
      </w:r>
      <w:r>
        <w:rPr>
          <w:rStyle w:val="CharCharfc"/>
        </w:rPr>
        <w:t>根据《关于宣传贯彻《中华人民共和国噪声污染防治法》的通知》</w:t>
      </w:r>
      <w:r>
        <w:rPr>
          <w:rStyle w:val="CharCharfc"/>
        </w:rPr>
        <w:t xml:space="preserve"> (</w:t>
      </w:r>
      <w:r>
        <w:rPr>
          <w:rStyle w:val="CharCharfc"/>
        </w:rPr>
        <w:t>环法规</w:t>
      </w:r>
      <w:r>
        <w:rPr>
          <w:rStyle w:val="CharCharfc"/>
        </w:rPr>
        <w:t>[2022]13</w:t>
      </w:r>
      <w:r>
        <w:rPr>
          <w:rStyle w:val="CharCharfc"/>
        </w:rPr>
        <w:t>号</w:t>
      </w:r>
      <w:r>
        <w:rPr>
          <w:rStyle w:val="CharCharfc"/>
        </w:rPr>
        <w:t>)</w:t>
      </w:r>
      <w:r>
        <w:rPr>
          <w:rStyle w:val="CharCharfc"/>
        </w:rPr>
        <w:t>的规定，对建筑施工噪声，要求在噪声敏感建筑集中区域施工的优先使用低噪声施工工艺和设备，并实施噪声自动监测；</w:t>
      </w:r>
    </w:p>
    <w:p w14:paraId="280AFC41" w14:textId="77777777" w:rsidR="007D1E74" w:rsidRDefault="00A95641">
      <w:pPr>
        <w:pStyle w:val="afffffff2"/>
        <w:ind w:firstLine="480"/>
        <w:rPr>
          <w:rStyle w:val="CharCharfc"/>
        </w:rPr>
      </w:pPr>
      <w:r>
        <w:rPr>
          <w:rStyle w:val="CharCharfc"/>
          <w:rFonts w:ascii="宋体" w:hAnsi="宋体" w:hint="eastAsia"/>
        </w:rPr>
        <w:t>⑧</w:t>
      </w:r>
      <w:r>
        <w:rPr>
          <w:rStyle w:val="CharCharfc"/>
        </w:rPr>
        <w:t>项目在清管试压过程中会使用空压机，鉴于空压机产生噪声较大，项目试压点分布较多，试压时间较短的特点，环评要求，项目应将试压点设置在远离居民点等敏感区域的地方，合理安排试压时间，使噪声经过衰减后不会对居民点造成影响。</w:t>
      </w:r>
    </w:p>
    <w:p w14:paraId="487BFFF0" w14:textId="77777777" w:rsidR="007D1E74" w:rsidRDefault="00A95641">
      <w:pPr>
        <w:spacing w:line="360" w:lineRule="auto"/>
        <w:outlineLvl w:val="2"/>
        <w:rPr>
          <w:b/>
          <w:sz w:val="28"/>
          <w:szCs w:val="28"/>
        </w:rPr>
      </w:pPr>
      <w:r>
        <w:rPr>
          <w:b/>
          <w:sz w:val="28"/>
          <w:szCs w:val="28"/>
        </w:rPr>
        <w:t>6.1.5</w:t>
      </w:r>
      <w:r>
        <w:rPr>
          <w:b/>
          <w:sz w:val="28"/>
          <w:szCs w:val="28"/>
        </w:rPr>
        <w:t>施工期固体废物环境影响分析</w:t>
      </w:r>
    </w:p>
    <w:p w14:paraId="5816681D" w14:textId="77777777" w:rsidR="007D1E74" w:rsidRDefault="00A95641">
      <w:pPr>
        <w:spacing w:line="360" w:lineRule="auto"/>
        <w:ind w:firstLineChars="200" w:firstLine="480"/>
        <w:rPr>
          <w:sz w:val="24"/>
        </w:rPr>
      </w:pPr>
      <w:r>
        <w:rPr>
          <w:sz w:val="24"/>
        </w:rPr>
        <w:t>施工期的固体废物来源：施工人员产生的生活垃圾、工程施工产生的废弃土石方、施工废料等。</w:t>
      </w:r>
    </w:p>
    <w:p w14:paraId="6EA4F6C6" w14:textId="77777777" w:rsidR="007D1E74" w:rsidRDefault="00A95641">
      <w:pPr>
        <w:spacing w:line="360" w:lineRule="auto"/>
        <w:outlineLvl w:val="2"/>
        <w:rPr>
          <w:b/>
          <w:sz w:val="24"/>
        </w:rPr>
      </w:pPr>
      <w:r>
        <w:rPr>
          <w:b/>
          <w:sz w:val="24"/>
        </w:rPr>
        <w:t>6.1.5.1</w:t>
      </w:r>
      <w:r>
        <w:rPr>
          <w:b/>
          <w:sz w:val="24"/>
        </w:rPr>
        <w:t>弃土石方影响分析</w:t>
      </w:r>
    </w:p>
    <w:p w14:paraId="499C0CC1" w14:textId="77777777" w:rsidR="007D1E74" w:rsidRDefault="00A95641">
      <w:pPr>
        <w:spacing w:line="360" w:lineRule="auto"/>
        <w:ind w:firstLineChars="200" w:firstLine="480"/>
        <w:rPr>
          <w:sz w:val="24"/>
        </w:rPr>
      </w:pPr>
      <w:r>
        <w:rPr>
          <w:sz w:val="24"/>
        </w:rPr>
        <w:t>经土石方平衡分析，项目土石方开挖总量</w:t>
      </w:r>
      <w:r>
        <w:rPr>
          <w:sz w:val="24"/>
        </w:rPr>
        <w:t>117026m</w:t>
      </w:r>
      <w:r>
        <w:rPr>
          <w:sz w:val="24"/>
          <w:vertAlign w:val="superscript"/>
        </w:rPr>
        <w:t>3</w:t>
      </w:r>
      <w:r>
        <w:rPr>
          <w:sz w:val="24"/>
        </w:rPr>
        <w:t>，填方</w:t>
      </w:r>
      <w:r>
        <w:rPr>
          <w:sz w:val="24"/>
        </w:rPr>
        <w:t>113340 m</w:t>
      </w:r>
      <w:r>
        <w:rPr>
          <w:sz w:val="24"/>
          <w:vertAlign w:val="superscript"/>
        </w:rPr>
        <w:t>3</w:t>
      </w:r>
      <w:r>
        <w:rPr>
          <w:sz w:val="24"/>
        </w:rPr>
        <w:t>（表土全部回填），余方约</w:t>
      </w:r>
      <w:r>
        <w:rPr>
          <w:sz w:val="24"/>
        </w:rPr>
        <w:t>3686m</w:t>
      </w:r>
      <w:r>
        <w:rPr>
          <w:sz w:val="24"/>
          <w:vertAlign w:val="superscript"/>
        </w:rPr>
        <w:t>3</w:t>
      </w:r>
      <w:r>
        <w:rPr>
          <w:sz w:val="24"/>
        </w:rPr>
        <w:t>沿线就地平整，不设置专门弃渣场。基本做到土石方平衡，工程废弃土石方对周围环境影响不大。</w:t>
      </w:r>
    </w:p>
    <w:p w14:paraId="02A227A7" w14:textId="77777777" w:rsidR="007D1E74" w:rsidRDefault="00A95641">
      <w:pPr>
        <w:spacing w:line="360" w:lineRule="auto"/>
        <w:outlineLvl w:val="2"/>
        <w:rPr>
          <w:b/>
          <w:sz w:val="24"/>
        </w:rPr>
      </w:pPr>
      <w:r>
        <w:rPr>
          <w:b/>
          <w:sz w:val="24"/>
        </w:rPr>
        <w:t>6.1.5.2</w:t>
      </w:r>
      <w:r>
        <w:rPr>
          <w:b/>
          <w:sz w:val="24"/>
        </w:rPr>
        <w:t>生活垃圾</w:t>
      </w:r>
    </w:p>
    <w:p w14:paraId="21D7D57C" w14:textId="77777777" w:rsidR="007D1E74" w:rsidRDefault="00A95641">
      <w:pPr>
        <w:spacing w:line="360" w:lineRule="auto"/>
        <w:ind w:firstLineChars="200" w:firstLine="480"/>
        <w:rPr>
          <w:sz w:val="24"/>
        </w:rPr>
      </w:pPr>
      <w:r>
        <w:rPr>
          <w:sz w:val="24"/>
        </w:rPr>
        <w:t>工程施工过程中，施工人员就近租用当地民房，而且项目分段施工，生活垃圾产生量很小，产生的生活垃圾依托当地环卫部门处置，纳入城市垃圾清运系统，不会对周围环境产生明显不利影响。</w:t>
      </w:r>
    </w:p>
    <w:p w14:paraId="7025C924" w14:textId="77777777" w:rsidR="007D1E74" w:rsidRDefault="00A95641">
      <w:pPr>
        <w:spacing w:line="360" w:lineRule="auto"/>
        <w:outlineLvl w:val="2"/>
        <w:rPr>
          <w:b/>
          <w:sz w:val="24"/>
        </w:rPr>
      </w:pPr>
      <w:r>
        <w:rPr>
          <w:b/>
          <w:sz w:val="24"/>
        </w:rPr>
        <w:t>6.1.5.3</w:t>
      </w:r>
      <w:r>
        <w:rPr>
          <w:b/>
          <w:sz w:val="24"/>
        </w:rPr>
        <w:t>施工废料</w:t>
      </w:r>
    </w:p>
    <w:p w14:paraId="74A26BC7" w14:textId="77777777" w:rsidR="007D1E74" w:rsidRDefault="00A95641">
      <w:pPr>
        <w:spacing w:line="360" w:lineRule="auto"/>
        <w:ind w:firstLineChars="200" w:firstLine="480"/>
        <w:rPr>
          <w:sz w:val="24"/>
        </w:rPr>
      </w:pPr>
      <w:r>
        <w:rPr>
          <w:sz w:val="24"/>
        </w:rPr>
        <w:t>施工废料主要包括焊接作业中产生废焊条、防腐作业中产生的废防腐材料及施工过程及公路穿越过程中产生的废混凝土等。施工废料部分可回收利用，可回收的部分全部</w:t>
      </w:r>
      <w:r>
        <w:rPr>
          <w:sz w:val="24"/>
        </w:rPr>
        <w:lastRenderedPageBreak/>
        <w:t>由废品收购方回收处理，剩余废料依托当地环卫部门有偿清运，纳入城市垃圾清运系统，不会对周围环境产生明显不利影响。</w:t>
      </w:r>
    </w:p>
    <w:p w14:paraId="160D9B52" w14:textId="77777777" w:rsidR="007D1E74" w:rsidRDefault="00A95641">
      <w:pPr>
        <w:spacing w:line="360" w:lineRule="auto"/>
        <w:outlineLvl w:val="1"/>
        <w:rPr>
          <w:b/>
          <w:sz w:val="30"/>
          <w:szCs w:val="30"/>
        </w:rPr>
      </w:pPr>
      <w:r>
        <w:rPr>
          <w:b/>
          <w:sz w:val="30"/>
          <w:szCs w:val="30"/>
        </w:rPr>
        <w:t>6.2</w:t>
      </w:r>
      <w:r>
        <w:rPr>
          <w:b/>
          <w:sz w:val="30"/>
          <w:szCs w:val="30"/>
        </w:rPr>
        <w:t>营运期环境影响分析</w:t>
      </w:r>
    </w:p>
    <w:p w14:paraId="230C4D2B" w14:textId="77777777" w:rsidR="007D1E74" w:rsidRDefault="00A95641">
      <w:pPr>
        <w:spacing w:line="360" w:lineRule="auto"/>
        <w:outlineLvl w:val="2"/>
        <w:rPr>
          <w:b/>
          <w:sz w:val="28"/>
          <w:szCs w:val="28"/>
        </w:rPr>
      </w:pPr>
      <w:r>
        <w:rPr>
          <w:b/>
          <w:sz w:val="28"/>
          <w:szCs w:val="28"/>
        </w:rPr>
        <w:t>6.2.1</w:t>
      </w:r>
      <w:r>
        <w:rPr>
          <w:b/>
          <w:sz w:val="28"/>
          <w:szCs w:val="28"/>
        </w:rPr>
        <w:t>运营期大气环境影响预测与分析</w:t>
      </w:r>
    </w:p>
    <w:p w14:paraId="29F91CD3" w14:textId="77777777" w:rsidR="007D1E74" w:rsidRDefault="00A95641">
      <w:pPr>
        <w:spacing w:line="360" w:lineRule="auto"/>
        <w:ind w:firstLineChars="200" w:firstLine="480"/>
        <w:rPr>
          <w:sz w:val="24"/>
        </w:rPr>
      </w:pPr>
      <w:r>
        <w:rPr>
          <w:sz w:val="24"/>
        </w:rPr>
        <w:t>项目管道输送的介质为经过净化后的天然气，不含硫，全线采用密闭输送，在正常工况下，无废气排放。仅在清管作业时会排放少量的天然气，主要成分为甲烷，还有极少量的非甲烷总烃，对环境影响较小。</w:t>
      </w:r>
    </w:p>
    <w:p w14:paraId="54D398F4" w14:textId="77777777" w:rsidR="007D1E74" w:rsidRDefault="00A95641">
      <w:pPr>
        <w:spacing w:line="360" w:lineRule="auto"/>
        <w:ind w:firstLineChars="200" w:firstLine="480"/>
        <w:rPr>
          <w:sz w:val="24"/>
        </w:rPr>
      </w:pPr>
      <w:r>
        <w:rPr>
          <w:sz w:val="24"/>
        </w:rPr>
        <w:t>非正常工况，排放的废气主要为在系统超压或事故时排放的事故废气。系统发生事故时，会将管道线路内的余气通过放空管放空。天然气事故放空的次数极少，发生的频率极低，不超过</w:t>
      </w:r>
      <w:r>
        <w:rPr>
          <w:sz w:val="24"/>
        </w:rPr>
        <w:t>1</w:t>
      </w:r>
      <w:r>
        <w:rPr>
          <w:sz w:val="24"/>
        </w:rPr>
        <w:t>次</w:t>
      </w:r>
      <w:r>
        <w:rPr>
          <w:sz w:val="24"/>
        </w:rPr>
        <w:t>/</w:t>
      </w:r>
      <w:r>
        <w:rPr>
          <w:sz w:val="24"/>
        </w:rPr>
        <w:t>年，由于项目两端相关的井站及阀室均设置了紧急隔离系统，一旦管道发生事故，两端迅速关闭，泄漏时间一般不会超过</w:t>
      </w:r>
      <w:r>
        <w:rPr>
          <w:sz w:val="24"/>
        </w:rPr>
        <w:t>10min</w:t>
      </w:r>
      <w:r>
        <w:rPr>
          <w:sz w:val="24"/>
        </w:rPr>
        <w:t>。事故放空废气均经放空立管排放。由于事故放空时间短，频率低，加之扩散条件好，放空废气不会对当地大气环境造成明显影响。</w:t>
      </w:r>
    </w:p>
    <w:p w14:paraId="549F9B5C" w14:textId="77777777" w:rsidR="007D1E74" w:rsidRDefault="00A95641">
      <w:pPr>
        <w:spacing w:line="360" w:lineRule="auto"/>
        <w:outlineLvl w:val="2"/>
        <w:rPr>
          <w:b/>
          <w:sz w:val="28"/>
          <w:szCs w:val="28"/>
        </w:rPr>
      </w:pPr>
      <w:r>
        <w:rPr>
          <w:b/>
          <w:sz w:val="28"/>
          <w:szCs w:val="28"/>
        </w:rPr>
        <w:t>6.2.2</w:t>
      </w:r>
      <w:r>
        <w:rPr>
          <w:b/>
          <w:sz w:val="28"/>
          <w:szCs w:val="28"/>
        </w:rPr>
        <w:t>运营期地表水环境影响预测与分析</w:t>
      </w:r>
    </w:p>
    <w:p w14:paraId="0A1806A5" w14:textId="77777777" w:rsidR="007D1E74" w:rsidRDefault="00A95641">
      <w:pPr>
        <w:spacing w:line="360" w:lineRule="auto"/>
        <w:ind w:firstLineChars="200" w:firstLine="480"/>
        <w:rPr>
          <w:sz w:val="24"/>
        </w:rPr>
      </w:pPr>
      <w:r>
        <w:rPr>
          <w:sz w:val="24"/>
        </w:rPr>
        <w:t>项目主要为天然气输送管道，集输管线埋地敷设，密闭输送，运营期正常情况下不会产生的废水；</w:t>
      </w:r>
      <w:r>
        <w:rPr>
          <w:sz w:val="24"/>
        </w:rPr>
        <w:t>1#</w:t>
      </w:r>
      <w:r>
        <w:rPr>
          <w:sz w:val="24"/>
        </w:rPr>
        <w:t>阀室分离废水经污水收集罐暂存后由罐车定期转运至污水处理厂处理，不外排。</w:t>
      </w:r>
    </w:p>
    <w:p w14:paraId="56C3A2D5" w14:textId="77777777" w:rsidR="007D1E74" w:rsidRDefault="00A95641">
      <w:pPr>
        <w:pStyle w:val="affffff6"/>
        <w:ind w:firstLine="480"/>
        <w:rPr>
          <w:rFonts w:ascii="Times New Roman" w:hAnsi="Times New Roman" w:cs="Times New Roman"/>
        </w:rPr>
      </w:pPr>
      <w:r>
        <w:rPr>
          <w:rFonts w:ascii="Times New Roman" w:hAnsi="Times New Roman" w:cs="Times New Roman"/>
        </w:rPr>
        <w:t>由于输气管线是全封闭系统，输运的天然气不会与管线穿越的河流水体之间发生联系，采用外防腐层和强制电流阴极保护联合方式，如不发生泄漏事故，正常运营期对穿越河流不会造成影响。</w:t>
      </w:r>
    </w:p>
    <w:p w14:paraId="2A4ABCBE" w14:textId="77777777" w:rsidR="007D1E74" w:rsidRDefault="00A95641">
      <w:pPr>
        <w:pStyle w:val="affffff6"/>
        <w:ind w:firstLine="480"/>
        <w:rPr>
          <w:rFonts w:ascii="Times New Roman" w:hAnsi="Times New Roman" w:cs="Times New Roman"/>
        </w:rPr>
      </w:pPr>
      <w:r>
        <w:rPr>
          <w:rFonts w:ascii="Times New Roman" w:hAnsi="Times New Roman" w:cs="Times New Roman"/>
        </w:rPr>
        <w:t>由于管线穿越河流时埋设在穿越河流河床设计冲刷线以下稳定层内，即使发生破裂事故，其泄漏的天然气会慢慢的泄漏到大气中，会对大气环境造成一定的影响。而天然气对水质的影响较小，但管道的维修和维护将会对地表水环境造成一定的影响，应在维修与维护工作中注意对地表水体的保护。</w:t>
      </w:r>
    </w:p>
    <w:p w14:paraId="10378610" w14:textId="77777777" w:rsidR="007D1E74" w:rsidRDefault="00A95641">
      <w:pPr>
        <w:spacing w:line="360" w:lineRule="auto"/>
        <w:outlineLvl w:val="2"/>
        <w:rPr>
          <w:b/>
          <w:sz w:val="28"/>
          <w:szCs w:val="28"/>
        </w:rPr>
      </w:pPr>
      <w:bookmarkStart w:id="32" w:name="_Toc24641"/>
      <w:r>
        <w:rPr>
          <w:b/>
          <w:sz w:val="28"/>
          <w:szCs w:val="28"/>
        </w:rPr>
        <w:t>6.2.3</w:t>
      </w:r>
      <w:r>
        <w:rPr>
          <w:b/>
          <w:sz w:val="28"/>
          <w:szCs w:val="28"/>
        </w:rPr>
        <w:t>地下水环境影响预测与评价</w:t>
      </w:r>
      <w:bookmarkEnd w:id="32"/>
    </w:p>
    <w:p w14:paraId="3D1EE0C4" w14:textId="77777777" w:rsidR="007D1E74" w:rsidRDefault="00A95641">
      <w:pPr>
        <w:spacing w:line="360" w:lineRule="auto"/>
        <w:outlineLvl w:val="2"/>
        <w:rPr>
          <w:b/>
          <w:sz w:val="24"/>
        </w:rPr>
      </w:pPr>
      <w:r>
        <w:rPr>
          <w:b/>
          <w:sz w:val="24"/>
        </w:rPr>
        <w:t>6.2.3.1</w:t>
      </w:r>
      <w:r>
        <w:rPr>
          <w:b/>
          <w:sz w:val="24"/>
        </w:rPr>
        <w:t>评价区和场地环境水文地质条件</w:t>
      </w:r>
    </w:p>
    <w:p w14:paraId="64A18795" w14:textId="77777777" w:rsidR="007D1E74" w:rsidRDefault="00A95641">
      <w:pPr>
        <w:pStyle w:val="afffffff2"/>
        <w:ind w:firstLine="482"/>
        <w:rPr>
          <w:rFonts w:ascii="Times New Roman" w:hAnsi="Times New Roman" w:cs="Times New Roman"/>
          <w:b/>
          <w:bCs/>
        </w:rPr>
      </w:pPr>
      <w:r>
        <w:rPr>
          <w:rFonts w:ascii="Times New Roman" w:hAnsi="Times New Roman" w:cs="Times New Roman"/>
          <w:b/>
          <w:bCs/>
        </w:rPr>
        <w:t>6.2.3.1.1</w:t>
      </w:r>
      <w:r>
        <w:rPr>
          <w:rFonts w:ascii="Times New Roman" w:hAnsi="Times New Roman" w:cs="Times New Roman"/>
          <w:b/>
          <w:bCs/>
        </w:rPr>
        <w:t>区域裂隙发育情况</w:t>
      </w:r>
    </w:p>
    <w:p w14:paraId="23DB4ACE" w14:textId="77777777" w:rsidR="007D1E74" w:rsidRDefault="00A95641">
      <w:pPr>
        <w:spacing w:line="360" w:lineRule="auto"/>
        <w:ind w:firstLineChars="200" w:firstLine="480"/>
        <w:rPr>
          <w:sz w:val="24"/>
        </w:rPr>
      </w:pPr>
      <w:r>
        <w:rPr>
          <w:sz w:val="24"/>
        </w:rPr>
        <w:t>通江县区域裂隙普遍较发育，其发育方向与构造线展布方向有关，发育密度与破裂</w:t>
      </w:r>
      <w:r>
        <w:rPr>
          <w:sz w:val="24"/>
        </w:rPr>
        <w:lastRenderedPageBreak/>
        <w:t>程度与岩性和受力强弱及所处地貌部位有关，总的看来，主要有</w:t>
      </w:r>
      <w:r>
        <w:rPr>
          <w:sz w:val="24"/>
        </w:rPr>
        <w:t>300~330°</w:t>
      </w:r>
      <w:r>
        <w:rPr>
          <w:sz w:val="24"/>
        </w:rPr>
        <w:t>和</w:t>
      </w:r>
      <w:r>
        <w:rPr>
          <w:sz w:val="24"/>
        </w:rPr>
        <w:t>30~60°</w:t>
      </w:r>
      <w:r>
        <w:rPr>
          <w:sz w:val="24"/>
        </w:rPr>
        <w:t>两组近南北向和近东西向两组较为发育，这些裂隙均属倾向裂隙与走向裂隙以及与构造线斜交的</w:t>
      </w:r>
      <w:r>
        <w:rPr>
          <w:sz w:val="24"/>
        </w:rPr>
        <w:t>“X”</w:t>
      </w:r>
      <w:r>
        <w:rPr>
          <w:sz w:val="24"/>
        </w:rPr>
        <w:t>裂隙，一般皆组合成对地出现，其发育具有下列特征：节理裂隙主要为砂岩风化裂隙及泥岩网状风化裂隙，红层区</w:t>
      </w:r>
      <w:r>
        <w:rPr>
          <w:sz w:val="24"/>
        </w:rPr>
        <w:t>95%</w:t>
      </w:r>
      <w:r>
        <w:rPr>
          <w:sz w:val="24"/>
        </w:rPr>
        <w:t>以上的裂隙出现在砂岩层中，由砂岩构造裂隙改造而成，砂岩裂隙发育具有方向性强、倾角大（多在</w:t>
      </w:r>
      <w:r>
        <w:rPr>
          <w:sz w:val="24"/>
        </w:rPr>
        <w:t>70~90°</w:t>
      </w:r>
      <w:r>
        <w:rPr>
          <w:sz w:val="24"/>
        </w:rPr>
        <w:t>之间）、频率高而又发育不均等特点。此外，在褶皱平缓地区，厚度大的（厚度一般大于</w:t>
      </w:r>
      <w:r>
        <w:rPr>
          <w:sz w:val="24"/>
        </w:rPr>
        <w:t>30m</w:t>
      </w:r>
      <w:r>
        <w:rPr>
          <w:sz w:val="24"/>
        </w:rPr>
        <w:t>）砂岩层，由于岩体强度大，在受力较弱的情况下，往往不易发生破裂，因而裂隙频率较低，岩石比较完整，通江县南部（民胜</w:t>
      </w:r>
      <w:r>
        <w:rPr>
          <w:sz w:val="24"/>
        </w:rPr>
        <w:t>—</w:t>
      </w:r>
      <w:r>
        <w:rPr>
          <w:sz w:val="24"/>
        </w:rPr>
        <w:t>麻石</w:t>
      </w:r>
      <w:r>
        <w:rPr>
          <w:sz w:val="24"/>
        </w:rPr>
        <w:t>—</w:t>
      </w:r>
      <w:r>
        <w:rPr>
          <w:sz w:val="24"/>
        </w:rPr>
        <w:t>铁佛一带工作区）的平缓褶皱区，裂隙频率普遍较低，在每</w:t>
      </w:r>
      <w:r>
        <w:rPr>
          <w:sz w:val="24"/>
        </w:rPr>
        <w:t>10m</w:t>
      </w:r>
      <w:r>
        <w:rPr>
          <w:sz w:val="24"/>
        </w:rPr>
        <w:t>长度内，一般为</w:t>
      </w:r>
      <w:r>
        <w:rPr>
          <w:sz w:val="24"/>
        </w:rPr>
        <w:t>2~3</w:t>
      </w:r>
      <w:r>
        <w:rPr>
          <w:sz w:val="24"/>
        </w:rPr>
        <w:t>条之间，但局部可达</w:t>
      </w:r>
      <w:r>
        <w:rPr>
          <w:sz w:val="24"/>
        </w:rPr>
        <w:t xml:space="preserve">1~2 </w:t>
      </w:r>
      <w:r>
        <w:rPr>
          <w:sz w:val="24"/>
        </w:rPr>
        <w:t>条</w:t>
      </w:r>
      <w:r>
        <w:rPr>
          <w:sz w:val="24"/>
        </w:rPr>
        <w:t>/m</w:t>
      </w:r>
      <w:r>
        <w:rPr>
          <w:sz w:val="24"/>
        </w:rPr>
        <w:t>，苍溪组（</w:t>
      </w:r>
      <w:r>
        <w:rPr>
          <w:sz w:val="24"/>
        </w:rPr>
        <w:t>K1c</w:t>
      </w:r>
      <w:r>
        <w:rPr>
          <w:sz w:val="24"/>
        </w:rPr>
        <w:t>）、白龙组（</w:t>
      </w:r>
      <w:r>
        <w:rPr>
          <w:sz w:val="24"/>
        </w:rPr>
        <w:t>K1b</w:t>
      </w:r>
      <w:r>
        <w:rPr>
          <w:sz w:val="24"/>
        </w:rPr>
        <w:t>）、蓬莱组（</w:t>
      </w:r>
      <w:r>
        <w:rPr>
          <w:sz w:val="24"/>
        </w:rPr>
        <w:t>J3p</w:t>
      </w:r>
      <w:r>
        <w:rPr>
          <w:sz w:val="24"/>
        </w:rPr>
        <w:t>）地层裂隙较为发育，裂隙率一般为</w:t>
      </w:r>
      <w:r>
        <w:rPr>
          <w:sz w:val="24"/>
        </w:rPr>
        <w:t xml:space="preserve">2.1~6.57%, </w:t>
      </w:r>
      <w:r>
        <w:rPr>
          <w:sz w:val="24"/>
        </w:rPr>
        <w:t>最大可达</w:t>
      </w:r>
      <w:r>
        <w:rPr>
          <w:sz w:val="24"/>
        </w:rPr>
        <w:t>15%</w:t>
      </w:r>
      <w:r>
        <w:rPr>
          <w:sz w:val="24"/>
        </w:rPr>
        <w:t>。泥岩中构造裂隙多较隐蔽，一般不发育，因为泥岩容易风化，所以外表普遍以风化的细微网状裂隙为主，因而发育深度是比较有限的，通常只有数米或十数米，与砂岩风化裂隙共同组成风化带，为浅层风化带裂隙水构成了储存空间，风化带厚度最大为</w:t>
      </w:r>
      <w:r>
        <w:rPr>
          <w:sz w:val="24"/>
        </w:rPr>
        <w:t>30m</w:t>
      </w:r>
      <w:r>
        <w:rPr>
          <w:sz w:val="24"/>
        </w:rPr>
        <w:t>。</w:t>
      </w:r>
    </w:p>
    <w:p w14:paraId="2ED174FD" w14:textId="77777777" w:rsidR="007D1E74" w:rsidRDefault="00A95641">
      <w:pPr>
        <w:spacing w:line="360" w:lineRule="auto"/>
        <w:ind w:firstLineChars="200" w:firstLine="482"/>
        <w:rPr>
          <w:b/>
          <w:bCs/>
          <w:sz w:val="24"/>
        </w:rPr>
      </w:pPr>
      <w:r>
        <w:rPr>
          <w:b/>
          <w:bCs/>
          <w:sz w:val="24"/>
        </w:rPr>
        <w:t>6.2.3.1.2</w:t>
      </w:r>
      <w:r>
        <w:rPr>
          <w:b/>
          <w:bCs/>
          <w:sz w:val="24"/>
        </w:rPr>
        <w:t>区域地下水类型及富水性</w:t>
      </w:r>
    </w:p>
    <w:p w14:paraId="3481D192" w14:textId="77777777" w:rsidR="007D1E74" w:rsidRDefault="00A95641">
      <w:pPr>
        <w:spacing w:line="360" w:lineRule="auto"/>
        <w:ind w:firstLineChars="200" w:firstLine="480"/>
        <w:rPr>
          <w:sz w:val="24"/>
        </w:rPr>
      </w:pPr>
      <w:r>
        <w:rPr>
          <w:sz w:val="24"/>
        </w:rPr>
        <w:t xml:space="preserve"> </w:t>
      </w:r>
      <w:r>
        <w:rPr>
          <w:sz w:val="24"/>
        </w:rPr>
        <w:t>（</w:t>
      </w:r>
      <w:r>
        <w:rPr>
          <w:sz w:val="24"/>
        </w:rPr>
        <w:t>1</w:t>
      </w:r>
      <w:r>
        <w:rPr>
          <w:sz w:val="24"/>
        </w:rPr>
        <w:t>）松散堆积层孔隙水（</w:t>
      </w:r>
      <w:r>
        <w:rPr>
          <w:sz w:val="24"/>
        </w:rPr>
        <w:t>Q4</w:t>
      </w:r>
      <w:r>
        <w:rPr>
          <w:sz w:val="24"/>
        </w:rPr>
        <w:t>）</w:t>
      </w:r>
    </w:p>
    <w:p w14:paraId="7351A8B3" w14:textId="77777777" w:rsidR="007D1E74" w:rsidRDefault="00A95641">
      <w:pPr>
        <w:spacing w:line="360" w:lineRule="auto"/>
        <w:ind w:firstLineChars="200" w:firstLine="480"/>
        <w:rPr>
          <w:sz w:val="24"/>
        </w:rPr>
      </w:pPr>
      <w:r>
        <w:rPr>
          <w:sz w:val="24"/>
        </w:rPr>
        <w:t xml:space="preserve">  </w:t>
      </w:r>
      <w:r>
        <w:rPr>
          <w:sz w:val="24"/>
        </w:rPr>
        <w:t>第四系零星分布在各地层之上及沿河两岸的坝地内，除了沿河谷地带分布的冲洪积层之处，还有残坡积和崩坡积层等散布于境内各地，其中以冲积、冲洪积砂质粘土夹碎石为主，次为残坡积和崩坡积砂质粘土、粘质沙土夹碎块石。分布零星、面积小、厚度薄。含孔隙水，水量贫乏，单井涌水量一般小于</w:t>
      </w:r>
      <w:r>
        <w:rPr>
          <w:sz w:val="24"/>
        </w:rPr>
        <w:t>50m</w:t>
      </w:r>
      <w:r>
        <w:rPr>
          <w:sz w:val="24"/>
          <w:vertAlign w:val="superscript"/>
        </w:rPr>
        <w:t>3</w:t>
      </w:r>
      <w:r>
        <w:rPr>
          <w:sz w:val="24"/>
        </w:rPr>
        <w:t>/d</w:t>
      </w:r>
      <w:r>
        <w:rPr>
          <w:sz w:val="24"/>
        </w:rPr>
        <w:t>。</w:t>
      </w:r>
      <w:r>
        <w:rPr>
          <w:sz w:val="24"/>
        </w:rPr>
        <w:t xml:space="preserve"> </w:t>
      </w:r>
    </w:p>
    <w:p w14:paraId="1EC1D2FD" w14:textId="77777777" w:rsidR="007D1E74" w:rsidRDefault="00A95641">
      <w:pPr>
        <w:spacing w:line="360" w:lineRule="auto"/>
        <w:ind w:firstLineChars="200" w:firstLine="480"/>
        <w:rPr>
          <w:sz w:val="24"/>
        </w:rPr>
      </w:pPr>
      <w:r>
        <w:rPr>
          <w:sz w:val="24"/>
        </w:rPr>
        <w:t xml:space="preserve"> </w:t>
      </w:r>
      <w:r>
        <w:rPr>
          <w:sz w:val="24"/>
        </w:rPr>
        <w:t>（</w:t>
      </w:r>
      <w:r>
        <w:rPr>
          <w:sz w:val="24"/>
        </w:rPr>
        <w:t>2</w:t>
      </w:r>
      <w:r>
        <w:rPr>
          <w:sz w:val="24"/>
        </w:rPr>
        <w:t>）碎屑岩裂隙水</w:t>
      </w:r>
    </w:p>
    <w:p w14:paraId="0CC80669" w14:textId="77777777" w:rsidR="007D1E74" w:rsidRDefault="00A95641">
      <w:pPr>
        <w:spacing w:line="360" w:lineRule="auto"/>
        <w:ind w:firstLineChars="200" w:firstLine="480"/>
        <w:rPr>
          <w:sz w:val="24"/>
        </w:rPr>
      </w:pPr>
      <w:r>
        <w:rPr>
          <w:sz w:val="24"/>
        </w:rPr>
        <w:t xml:space="preserve"> 1</w:t>
      </w:r>
      <w:r>
        <w:rPr>
          <w:sz w:val="24"/>
        </w:rPr>
        <w:t>）红层砂泥岩网状风化带孔隙裂隙水（</w:t>
      </w:r>
      <w:r>
        <w:rPr>
          <w:sz w:val="24"/>
        </w:rPr>
        <w:t>K</w:t>
      </w:r>
      <w:r>
        <w:rPr>
          <w:sz w:val="24"/>
        </w:rPr>
        <w:t>、</w:t>
      </w:r>
      <w:r>
        <w:rPr>
          <w:sz w:val="24"/>
        </w:rPr>
        <w:t>J</w:t>
      </w:r>
      <w:r>
        <w:rPr>
          <w:sz w:val="24"/>
        </w:rPr>
        <w:t>）</w:t>
      </w:r>
    </w:p>
    <w:p w14:paraId="70AA9D18" w14:textId="77777777" w:rsidR="007D1E74" w:rsidRDefault="00A95641">
      <w:pPr>
        <w:spacing w:line="360" w:lineRule="auto"/>
        <w:ind w:firstLineChars="200" w:firstLine="480"/>
        <w:rPr>
          <w:sz w:val="24"/>
        </w:rPr>
      </w:pPr>
      <w:r>
        <w:rPr>
          <w:sz w:val="24"/>
        </w:rPr>
        <w:t xml:space="preserve"> </w:t>
      </w:r>
      <w:r>
        <w:rPr>
          <w:sz w:val="24"/>
        </w:rPr>
        <w:t>含水层包括侏罗系上统蓬莱镇组，白垩系下统城墙岩群、七曲寺组、白龙组、苍溪组，侏罗系中统遂宁组及沙溪庙组，为一套陆相红色砂岩泥岩交互的碎屑岩建造，按其富水性不同划分为两级。</w:t>
      </w:r>
    </w:p>
    <w:p w14:paraId="5C598F56" w14:textId="77777777" w:rsidR="007D1E74" w:rsidRDefault="00A95641">
      <w:pPr>
        <w:spacing w:line="360" w:lineRule="auto"/>
        <w:ind w:firstLineChars="200" w:firstLine="480"/>
        <w:rPr>
          <w:sz w:val="24"/>
        </w:rPr>
      </w:pPr>
      <w:r>
        <w:rPr>
          <w:rFonts w:ascii="宋体" w:hAnsi="宋体" w:cs="宋体" w:hint="eastAsia"/>
          <w:sz w:val="24"/>
        </w:rPr>
        <w:t>①</w:t>
      </w:r>
      <w:r>
        <w:rPr>
          <w:sz w:val="24"/>
        </w:rPr>
        <w:t>富水性中等含水岩组（</w:t>
      </w:r>
      <w:r>
        <w:rPr>
          <w:sz w:val="24"/>
        </w:rPr>
        <w:t>Kch</w:t>
      </w:r>
      <w:r>
        <w:rPr>
          <w:sz w:val="24"/>
        </w:rPr>
        <w:t>、</w:t>
      </w:r>
      <w:r>
        <w:rPr>
          <w:sz w:val="24"/>
        </w:rPr>
        <w:t>K1q</w:t>
      </w:r>
      <w:r>
        <w:rPr>
          <w:sz w:val="24"/>
        </w:rPr>
        <w:t>、</w:t>
      </w:r>
      <w:r>
        <w:rPr>
          <w:sz w:val="24"/>
        </w:rPr>
        <w:t>K1b</w:t>
      </w:r>
      <w:r>
        <w:rPr>
          <w:sz w:val="24"/>
        </w:rPr>
        <w:t>、</w:t>
      </w:r>
      <w:r>
        <w:rPr>
          <w:sz w:val="24"/>
        </w:rPr>
        <w:t>K1c</w:t>
      </w:r>
      <w:r>
        <w:rPr>
          <w:sz w:val="24"/>
        </w:rPr>
        <w:t>、</w:t>
      </w:r>
      <w:r>
        <w:rPr>
          <w:sz w:val="24"/>
        </w:rPr>
        <w:t>J3p</w:t>
      </w:r>
      <w:r>
        <w:rPr>
          <w:sz w:val="24"/>
        </w:rPr>
        <w:t>）</w:t>
      </w:r>
    </w:p>
    <w:p w14:paraId="72DCCC8D" w14:textId="77777777" w:rsidR="007D1E74" w:rsidRDefault="00A95641">
      <w:pPr>
        <w:spacing w:line="360" w:lineRule="auto"/>
        <w:ind w:firstLineChars="200" w:firstLine="480"/>
        <w:rPr>
          <w:sz w:val="24"/>
        </w:rPr>
      </w:pPr>
      <w:r>
        <w:rPr>
          <w:sz w:val="24"/>
        </w:rPr>
        <w:t>主要分布在西南部北西向构造宽缓褶皱区，地貌属方山、单面山等地形。砂岩厚度一般</w:t>
      </w:r>
      <w:r>
        <w:rPr>
          <w:sz w:val="24"/>
        </w:rPr>
        <w:t>5-20m</w:t>
      </w:r>
      <w:r>
        <w:rPr>
          <w:sz w:val="24"/>
        </w:rPr>
        <w:t>，个别</w:t>
      </w:r>
      <w:r>
        <w:rPr>
          <w:sz w:val="24"/>
        </w:rPr>
        <w:t>80m</w:t>
      </w:r>
      <w:r>
        <w:rPr>
          <w:sz w:val="24"/>
        </w:rPr>
        <w:t>左右。砂岩与泥岩比约为</w:t>
      </w:r>
      <w:r>
        <w:rPr>
          <w:sz w:val="24"/>
        </w:rPr>
        <w:t xml:space="preserve">1:3 </w:t>
      </w:r>
      <w:r>
        <w:rPr>
          <w:sz w:val="24"/>
        </w:rPr>
        <w:t>或</w:t>
      </w:r>
      <w:r>
        <w:rPr>
          <w:sz w:val="24"/>
        </w:rPr>
        <w:t>1:4</w:t>
      </w:r>
      <w:r>
        <w:rPr>
          <w:sz w:val="24"/>
        </w:rPr>
        <w:t>。泉流量一般</w:t>
      </w:r>
      <w:r>
        <w:rPr>
          <w:sz w:val="24"/>
        </w:rPr>
        <w:t>0.05-0.5L/s</w:t>
      </w:r>
      <w:r>
        <w:rPr>
          <w:sz w:val="24"/>
        </w:rPr>
        <w:t>，地下径流模数一般为</w:t>
      </w:r>
      <w:r>
        <w:rPr>
          <w:sz w:val="24"/>
        </w:rPr>
        <w:t>0.2-0.6L/s.km</w:t>
      </w:r>
      <w:r>
        <w:rPr>
          <w:sz w:val="24"/>
          <w:vertAlign w:val="superscript"/>
        </w:rPr>
        <w:t>2</w:t>
      </w:r>
      <w:r>
        <w:rPr>
          <w:sz w:val="24"/>
        </w:rPr>
        <w:t>，浅部为裂隙潜水。其深部既</w:t>
      </w:r>
      <w:r>
        <w:rPr>
          <w:sz w:val="24"/>
        </w:rPr>
        <w:t xml:space="preserve"> </w:t>
      </w:r>
      <w:r>
        <w:rPr>
          <w:sz w:val="24"/>
        </w:rPr>
        <w:t>由白垩系城墙岩群下段组成的板桥口向斜及泥溪向斜尚赋存有层间裂隙承压水。泥溪向斜在区内共长</w:t>
      </w:r>
      <w:r>
        <w:rPr>
          <w:sz w:val="24"/>
        </w:rPr>
        <w:t>25km</w:t>
      </w:r>
      <w:r>
        <w:rPr>
          <w:sz w:val="24"/>
        </w:rPr>
        <w:t>，</w:t>
      </w:r>
      <w:r>
        <w:rPr>
          <w:sz w:val="24"/>
        </w:rPr>
        <w:lastRenderedPageBreak/>
        <w:t>宽</w:t>
      </w:r>
      <w:r>
        <w:rPr>
          <w:sz w:val="24"/>
        </w:rPr>
        <w:t>15km</w:t>
      </w:r>
      <w:r>
        <w:rPr>
          <w:sz w:val="24"/>
        </w:rPr>
        <w:t>，北东翼陡，倾角</w:t>
      </w:r>
      <w:r>
        <w:rPr>
          <w:sz w:val="24"/>
        </w:rPr>
        <w:t>30</w:t>
      </w:r>
      <w:r>
        <w:rPr>
          <w:sz w:val="24"/>
        </w:rPr>
        <w:t>度左右，南西翼缓，</w:t>
      </w:r>
      <w:r>
        <w:rPr>
          <w:sz w:val="24"/>
        </w:rPr>
        <w:t xml:space="preserve"> </w:t>
      </w:r>
      <w:r>
        <w:rPr>
          <w:sz w:val="24"/>
        </w:rPr>
        <w:t>倾角</w:t>
      </w:r>
      <w:r>
        <w:rPr>
          <w:sz w:val="24"/>
        </w:rPr>
        <w:t>13</w:t>
      </w:r>
      <w:r>
        <w:rPr>
          <w:sz w:val="24"/>
        </w:rPr>
        <w:t>度左右，向北西仰起，南东倾伏，且入通江幅。砂岩含水层顶板埋深</w:t>
      </w:r>
      <w:r>
        <w:rPr>
          <w:sz w:val="24"/>
        </w:rPr>
        <w:t>36- 45m</w:t>
      </w:r>
      <w:r>
        <w:rPr>
          <w:sz w:val="24"/>
        </w:rPr>
        <w:t>，最浅</w:t>
      </w:r>
      <w:r>
        <w:rPr>
          <w:sz w:val="24"/>
        </w:rPr>
        <w:t>9.7m</w:t>
      </w:r>
      <w:r>
        <w:rPr>
          <w:sz w:val="24"/>
        </w:rPr>
        <w:t>，钻孔单位涌水量</w:t>
      </w:r>
      <w:r>
        <w:rPr>
          <w:sz w:val="24"/>
        </w:rPr>
        <w:t>3-20m</w:t>
      </w:r>
      <w:r>
        <w:rPr>
          <w:sz w:val="24"/>
          <w:vertAlign w:val="superscript"/>
        </w:rPr>
        <w:t>3</w:t>
      </w:r>
      <w:r>
        <w:rPr>
          <w:sz w:val="24"/>
        </w:rPr>
        <w:t xml:space="preserve"> /d.m</w:t>
      </w:r>
      <w:r>
        <w:rPr>
          <w:sz w:val="24"/>
        </w:rPr>
        <w:t>。南江幅在新华向斜查明承压含水</w:t>
      </w:r>
      <w:r>
        <w:rPr>
          <w:sz w:val="24"/>
        </w:rPr>
        <w:t xml:space="preserve"> </w:t>
      </w:r>
      <w:r>
        <w:rPr>
          <w:sz w:val="24"/>
        </w:rPr>
        <w:t>层顶板最浅顶板埋深</w:t>
      </w:r>
      <w:r>
        <w:rPr>
          <w:sz w:val="24"/>
        </w:rPr>
        <w:t>6.8m</w:t>
      </w:r>
      <w:r>
        <w:rPr>
          <w:sz w:val="24"/>
        </w:rPr>
        <w:t>，一般</w:t>
      </w:r>
      <w:r>
        <w:rPr>
          <w:sz w:val="24"/>
        </w:rPr>
        <w:t>30-100m</w:t>
      </w:r>
      <w:r>
        <w:rPr>
          <w:sz w:val="24"/>
        </w:rPr>
        <w:t>，单位涌水量一般</w:t>
      </w:r>
      <w:r>
        <w:rPr>
          <w:sz w:val="24"/>
        </w:rPr>
        <w:t>5-50m</w:t>
      </w:r>
      <w:r>
        <w:rPr>
          <w:sz w:val="24"/>
          <w:vertAlign w:val="superscript"/>
        </w:rPr>
        <w:t>3</w:t>
      </w:r>
      <w:r>
        <w:rPr>
          <w:sz w:val="24"/>
        </w:rPr>
        <w:t xml:space="preserve"> /d.m</w:t>
      </w:r>
      <w:r>
        <w:rPr>
          <w:sz w:val="24"/>
        </w:rPr>
        <w:t>。上述两个向斜为红层区两个较好的储水构造，具小型供水意义。</w:t>
      </w:r>
      <w:r>
        <w:rPr>
          <w:sz w:val="24"/>
        </w:rPr>
        <w:t xml:space="preserve"> </w:t>
      </w:r>
    </w:p>
    <w:p w14:paraId="1BA03629" w14:textId="77777777" w:rsidR="007D1E74" w:rsidRDefault="00A95641">
      <w:pPr>
        <w:spacing w:line="360" w:lineRule="auto"/>
        <w:ind w:firstLineChars="200" w:firstLine="480"/>
        <w:rPr>
          <w:sz w:val="24"/>
        </w:rPr>
      </w:pPr>
      <w:r>
        <w:rPr>
          <w:rFonts w:ascii="宋体" w:hAnsi="宋体" w:cs="宋体" w:hint="eastAsia"/>
          <w:sz w:val="24"/>
        </w:rPr>
        <w:t>②</w:t>
      </w:r>
      <w:r>
        <w:rPr>
          <w:sz w:val="24"/>
        </w:rPr>
        <w:t>富水性弱含水岩组（</w:t>
      </w:r>
      <w:r>
        <w:rPr>
          <w:sz w:val="24"/>
        </w:rPr>
        <w:t>J2sn</w:t>
      </w:r>
      <w:r>
        <w:rPr>
          <w:sz w:val="24"/>
        </w:rPr>
        <w:t>、</w:t>
      </w:r>
      <w:r>
        <w:rPr>
          <w:sz w:val="24"/>
        </w:rPr>
        <w:t>J2s</w:t>
      </w:r>
      <w:r>
        <w:rPr>
          <w:sz w:val="24"/>
        </w:rPr>
        <w:t>）</w:t>
      </w:r>
      <w:r>
        <w:rPr>
          <w:sz w:val="24"/>
        </w:rPr>
        <w:t xml:space="preserve"> </w:t>
      </w:r>
    </w:p>
    <w:p w14:paraId="6C4A7CF6" w14:textId="77777777" w:rsidR="007D1E74" w:rsidRDefault="00A95641">
      <w:pPr>
        <w:spacing w:line="360" w:lineRule="auto"/>
        <w:ind w:firstLineChars="200" w:firstLine="480"/>
        <w:rPr>
          <w:sz w:val="24"/>
        </w:rPr>
      </w:pPr>
      <w:r>
        <w:rPr>
          <w:sz w:val="24"/>
        </w:rPr>
        <w:t>主要分布在南部，糊型构造外弧南段紧密褶皱区，遂宁组多分布在背斜</w:t>
      </w:r>
      <w:r>
        <w:rPr>
          <w:sz w:val="24"/>
        </w:rPr>
        <w:t xml:space="preserve"> </w:t>
      </w:r>
      <w:r>
        <w:rPr>
          <w:sz w:val="24"/>
        </w:rPr>
        <w:t>轴部，沙溪庙组多组成紧密褶皱的向斜轴部，地貌属于垄岗地形，砂岩一般厚</w:t>
      </w:r>
      <w:r>
        <w:rPr>
          <w:sz w:val="24"/>
        </w:rPr>
        <w:t>1- 5m</w:t>
      </w:r>
      <w:r>
        <w:rPr>
          <w:sz w:val="24"/>
        </w:rPr>
        <w:t>，以泥质岩石为主，泉（井）流量一般</w:t>
      </w:r>
      <w:r>
        <w:rPr>
          <w:sz w:val="24"/>
        </w:rPr>
        <w:t>0.01-0.05L/s</w:t>
      </w:r>
      <w:r>
        <w:rPr>
          <w:sz w:val="24"/>
        </w:rPr>
        <w:t>，地下径流模数</w:t>
      </w:r>
      <w:r>
        <w:rPr>
          <w:sz w:val="24"/>
        </w:rPr>
        <w:t>0.01- 0.2L/s.km2</w:t>
      </w:r>
      <w:r>
        <w:rPr>
          <w:sz w:val="24"/>
        </w:rPr>
        <w:t>，随着构造条件，补给条件的改变，局部也赋存有层间裂隙承压水，水量微弱，局部有一定的供水意义，如</w:t>
      </w:r>
      <w:r>
        <w:rPr>
          <w:sz w:val="24"/>
        </w:rPr>
        <w:t>18</w:t>
      </w:r>
      <w:r>
        <w:rPr>
          <w:sz w:val="24"/>
        </w:rPr>
        <w:t>号钻孔（</w:t>
      </w:r>
      <w:r>
        <w:rPr>
          <w:sz w:val="24"/>
        </w:rPr>
        <w:t>20</w:t>
      </w:r>
      <w:r>
        <w:rPr>
          <w:sz w:val="24"/>
        </w:rPr>
        <w:t>万水文地质报告），位于十字坝复式向斜两翼次级向斜轴部，揭穿沙溪庙组砂岩含水层，地下水具承压水性</w:t>
      </w:r>
      <w:r>
        <w:rPr>
          <w:sz w:val="24"/>
        </w:rPr>
        <w:t xml:space="preserve"> </w:t>
      </w:r>
      <w:r>
        <w:rPr>
          <w:sz w:val="24"/>
        </w:rPr>
        <w:t>质，静止水位</w:t>
      </w:r>
      <w:r>
        <w:rPr>
          <w:sz w:val="24"/>
        </w:rPr>
        <w:t>3.63m</w:t>
      </w:r>
      <w:r>
        <w:rPr>
          <w:sz w:val="24"/>
        </w:rPr>
        <w:t>，降深</w:t>
      </w:r>
      <w:r>
        <w:rPr>
          <w:sz w:val="24"/>
        </w:rPr>
        <w:t>16.92m</w:t>
      </w:r>
      <w:r>
        <w:rPr>
          <w:sz w:val="24"/>
        </w:rPr>
        <w:t>，</w:t>
      </w:r>
      <w:r>
        <w:rPr>
          <w:sz w:val="24"/>
        </w:rPr>
        <w:t>32</w:t>
      </w:r>
      <w:r>
        <w:rPr>
          <w:sz w:val="24"/>
        </w:rPr>
        <w:t>号钻孔位于涪阳坝复式背斜与板桥口向</w:t>
      </w:r>
      <w:r>
        <w:rPr>
          <w:sz w:val="24"/>
        </w:rPr>
        <w:t xml:space="preserve"> </w:t>
      </w:r>
      <w:r>
        <w:rPr>
          <w:sz w:val="24"/>
        </w:rPr>
        <w:t>斜南翼次背斜复合部位，揭穿遂宁组砂岩含水层，地下水具有承压水性质，静止水位</w:t>
      </w:r>
      <w:r>
        <w:rPr>
          <w:sz w:val="24"/>
        </w:rPr>
        <w:t>3.52m</w:t>
      </w:r>
      <w:r>
        <w:rPr>
          <w:sz w:val="24"/>
        </w:rPr>
        <w:t>，单孔涌水量</w:t>
      </w:r>
      <w:r>
        <w:rPr>
          <w:sz w:val="24"/>
        </w:rPr>
        <w:t>156.24m</w:t>
      </w:r>
      <w:r>
        <w:rPr>
          <w:sz w:val="24"/>
          <w:vertAlign w:val="superscript"/>
        </w:rPr>
        <w:t>3</w:t>
      </w:r>
      <w:r>
        <w:rPr>
          <w:sz w:val="24"/>
        </w:rPr>
        <w:t xml:space="preserve"> /d</w:t>
      </w:r>
      <w:r>
        <w:rPr>
          <w:sz w:val="24"/>
        </w:rPr>
        <w:t>。</w:t>
      </w:r>
      <w:r>
        <w:rPr>
          <w:sz w:val="24"/>
        </w:rPr>
        <w:t xml:space="preserve"> </w:t>
      </w:r>
    </w:p>
    <w:p w14:paraId="00A8E0CF" w14:textId="77777777" w:rsidR="007D1E74" w:rsidRDefault="00A95641">
      <w:pPr>
        <w:spacing w:line="360" w:lineRule="auto"/>
        <w:ind w:firstLineChars="200" w:firstLine="480"/>
        <w:rPr>
          <w:sz w:val="24"/>
        </w:rPr>
      </w:pPr>
      <w:r>
        <w:rPr>
          <w:sz w:val="24"/>
        </w:rPr>
        <w:t>2</w:t>
      </w:r>
      <w:r>
        <w:rPr>
          <w:sz w:val="24"/>
        </w:rPr>
        <w:t>）碎屑岩层间裂隙水（</w:t>
      </w:r>
      <w:r>
        <w:rPr>
          <w:sz w:val="24"/>
        </w:rPr>
        <w:t>T3x</w:t>
      </w:r>
      <w:r>
        <w:rPr>
          <w:sz w:val="24"/>
        </w:rPr>
        <w:t>、</w:t>
      </w:r>
      <w:r>
        <w:rPr>
          <w:sz w:val="24"/>
        </w:rPr>
        <w:t>J1q</w:t>
      </w:r>
      <w:r>
        <w:rPr>
          <w:sz w:val="24"/>
        </w:rPr>
        <w:t>、</w:t>
      </w:r>
      <w:r>
        <w:rPr>
          <w:sz w:val="24"/>
        </w:rPr>
        <w:t>J2b</w:t>
      </w:r>
      <w:r>
        <w:rPr>
          <w:sz w:val="24"/>
        </w:rPr>
        <w:t>）</w:t>
      </w:r>
      <w:r>
        <w:rPr>
          <w:sz w:val="24"/>
        </w:rPr>
        <w:t xml:space="preserve"> </w:t>
      </w:r>
    </w:p>
    <w:p w14:paraId="69C506FD" w14:textId="77777777" w:rsidR="007D1E74" w:rsidRDefault="00A95641">
      <w:pPr>
        <w:spacing w:line="360" w:lineRule="auto"/>
        <w:ind w:firstLineChars="200" w:firstLine="480"/>
        <w:rPr>
          <w:sz w:val="24"/>
        </w:rPr>
      </w:pPr>
      <w:r>
        <w:rPr>
          <w:sz w:val="24"/>
        </w:rPr>
        <w:t>含水层为侏罗系中统千佛岩组、下统白田坝组及上三叠系上统须家河组地层，组成背斜、向斜及单斜构造产出，属中切割单斜中山地形，出露面积</w:t>
      </w:r>
      <w:r>
        <w:rPr>
          <w:sz w:val="24"/>
        </w:rPr>
        <w:t xml:space="preserve"> 688km</w:t>
      </w:r>
      <w:r>
        <w:rPr>
          <w:sz w:val="24"/>
          <w:vertAlign w:val="superscript"/>
        </w:rPr>
        <w:t>2</w:t>
      </w:r>
      <w:r>
        <w:rPr>
          <w:sz w:val="24"/>
        </w:rPr>
        <w:t>，</w:t>
      </w:r>
      <w:r>
        <w:rPr>
          <w:sz w:val="24"/>
        </w:rPr>
        <w:t xml:space="preserve"> </w:t>
      </w:r>
      <w:r>
        <w:rPr>
          <w:sz w:val="24"/>
        </w:rPr>
        <w:t>主要含水层为砂岩、砾岩，且以白田坝组下部砂砾岩和须家河下部砂岩富水性最好，含层间裂隙承压水，单位涌水量</w:t>
      </w:r>
      <w:r>
        <w:rPr>
          <w:sz w:val="24"/>
        </w:rPr>
        <w:t>3-50m</w:t>
      </w:r>
      <w:r>
        <w:rPr>
          <w:sz w:val="24"/>
          <w:vertAlign w:val="superscript"/>
        </w:rPr>
        <w:t>3</w:t>
      </w:r>
      <w:r>
        <w:rPr>
          <w:sz w:val="24"/>
        </w:rPr>
        <w:t xml:space="preserve"> /d.m</w:t>
      </w:r>
      <w:r>
        <w:rPr>
          <w:sz w:val="24"/>
        </w:rPr>
        <w:t>，富水性中等。</w:t>
      </w:r>
      <w:r>
        <w:rPr>
          <w:sz w:val="24"/>
        </w:rPr>
        <w:t xml:space="preserve"> </w:t>
      </w:r>
      <w:r>
        <w:rPr>
          <w:sz w:val="24"/>
        </w:rPr>
        <w:t>从东向西随着含水层厚度，埋藏深度及隔水层厚度增加，钻孔涌水量有所增</w:t>
      </w:r>
      <w:r>
        <w:rPr>
          <w:sz w:val="24"/>
        </w:rPr>
        <w:t xml:space="preserve"> </w:t>
      </w:r>
      <w:r>
        <w:rPr>
          <w:sz w:val="24"/>
        </w:rPr>
        <w:t>大，地下水又承压变为自流，在不同构造部位，岩层富水性亦有变化，向斜仰起</w:t>
      </w:r>
      <w:r>
        <w:rPr>
          <w:sz w:val="24"/>
        </w:rPr>
        <w:t xml:space="preserve"> </w:t>
      </w:r>
      <w:r>
        <w:rPr>
          <w:sz w:val="24"/>
        </w:rPr>
        <w:t>端因三面受水补给，而岩层转折处裂隙发育，故其富水性好，向斜翼部，补给面</w:t>
      </w:r>
      <w:r>
        <w:rPr>
          <w:sz w:val="24"/>
        </w:rPr>
        <w:t xml:space="preserve"> </w:t>
      </w:r>
      <w:r>
        <w:rPr>
          <w:sz w:val="24"/>
        </w:rPr>
        <w:t>积小，富水性较差。</w:t>
      </w:r>
      <w:r>
        <w:rPr>
          <w:sz w:val="24"/>
        </w:rPr>
        <w:t xml:space="preserve"> </w:t>
      </w:r>
    </w:p>
    <w:p w14:paraId="46AA150B" w14:textId="77777777" w:rsidR="007D1E74" w:rsidRDefault="00A95641">
      <w:pPr>
        <w:spacing w:line="360" w:lineRule="auto"/>
        <w:ind w:firstLineChars="200" w:firstLine="480"/>
        <w:rPr>
          <w:sz w:val="24"/>
        </w:rPr>
      </w:pPr>
      <w:r>
        <w:rPr>
          <w:sz w:val="24"/>
        </w:rPr>
        <w:t>（</w:t>
      </w:r>
      <w:r>
        <w:rPr>
          <w:sz w:val="24"/>
        </w:rPr>
        <w:t>3</w:t>
      </w:r>
      <w:r>
        <w:rPr>
          <w:sz w:val="24"/>
        </w:rPr>
        <w:t>）碳酸盐岩裂隙溶洞水</w:t>
      </w:r>
      <w:r>
        <w:rPr>
          <w:sz w:val="24"/>
        </w:rPr>
        <w:t xml:space="preserve">  </w:t>
      </w:r>
    </w:p>
    <w:p w14:paraId="05F612FA" w14:textId="77777777" w:rsidR="007D1E74" w:rsidRDefault="00A95641">
      <w:pPr>
        <w:spacing w:line="360" w:lineRule="auto"/>
        <w:ind w:firstLineChars="200" w:firstLine="480"/>
        <w:rPr>
          <w:sz w:val="24"/>
        </w:rPr>
      </w:pPr>
      <w:r>
        <w:rPr>
          <w:sz w:val="24"/>
        </w:rPr>
        <w:t>主要分布于区域北部，东西向构造及弧形构造弧北段，包括二叠系、三叠系碳酸盐岩，区内除小型洼地内赋存覆盖型岩溶水外，其他均为裸露型岩溶水，埋深深度除在排泄口较浅外，其余均大于</w:t>
      </w:r>
      <w:r>
        <w:rPr>
          <w:sz w:val="24"/>
        </w:rPr>
        <w:t>100m</w:t>
      </w:r>
      <w:r>
        <w:rPr>
          <w:sz w:val="24"/>
        </w:rPr>
        <w:t>。下面将裸露型岩溶水按岩溶发育强度及富水性划分三级。</w:t>
      </w:r>
    </w:p>
    <w:p w14:paraId="4C42BB57" w14:textId="77777777" w:rsidR="007D1E74" w:rsidRDefault="00A95641">
      <w:pPr>
        <w:spacing w:line="360" w:lineRule="auto"/>
        <w:outlineLvl w:val="2"/>
        <w:rPr>
          <w:b/>
          <w:sz w:val="24"/>
        </w:rPr>
      </w:pPr>
      <w:r>
        <w:rPr>
          <w:b/>
          <w:sz w:val="24"/>
        </w:rPr>
        <w:t>6.2.3.2</w:t>
      </w:r>
      <w:r>
        <w:rPr>
          <w:b/>
          <w:sz w:val="24"/>
        </w:rPr>
        <w:t>地下水补径排条件和地下水环境质量现状</w:t>
      </w:r>
    </w:p>
    <w:p w14:paraId="3719CD20" w14:textId="77777777" w:rsidR="007D1E74" w:rsidRDefault="00A95641">
      <w:pPr>
        <w:spacing w:line="360" w:lineRule="auto"/>
        <w:ind w:firstLineChars="200" w:firstLine="480"/>
        <w:rPr>
          <w:sz w:val="24"/>
        </w:rPr>
      </w:pPr>
      <w:r>
        <w:rPr>
          <w:sz w:val="24"/>
        </w:rPr>
        <w:t>项目管道经过地区地下水以大气补给为主。根据地下水现状监测结果可知，项目所</w:t>
      </w:r>
      <w:r>
        <w:rPr>
          <w:sz w:val="24"/>
        </w:rPr>
        <w:lastRenderedPageBreak/>
        <w:t>在地地下水化学类型基本为</w:t>
      </w:r>
      <w:r>
        <w:rPr>
          <w:sz w:val="24"/>
        </w:rPr>
        <w:t>HCO</w:t>
      </w:r>
      <w:r>
        <w:rPr>
          <w:sz w:val="24"/>
          <w:vertAlign w:val="subscript"/>
        </w:rPr>
        <w:t>3</w:t>
      </w:r>
      <w:r>
        <w:rPr>
          <w:sz w:val="24"/>
        </w:rPr>
        <w:t xml:space="preserve">-Ca </w:t>
      </w:r>
      <w:r>
        <w:rPr>
          <w:sz w:val="24"/>
        </w:rPr>
        <w:t>型，各监测点地下水各项指标均满足《地下水质量标准》（</w:t>
      </w:r>
      <w:r>
        <w:rPr>
          <w:sz w:val="24"/>
        </w:rPr>
        <w:t>GB/T14848-2017</w:t>
      </w:r>
      <w:r>
        <w:rPr>
          <w:sz w:val="24"/>
        </w:rPr>
        <w:t>）中</w:t>
      </w:r>
      <w:r>
        <w:rPr>
          <w:sz w:val="24"/>
        </w:rPr>
        <w:t>Ⅲ</w:t>
      </w:r>
      <w:r>
        <w:rPr>
          <w:sz w:val="24"/>
        </w:rPr>
        <w:t>类标准要求，总体来说，项目评价区内地下水水质较好。</w:t>
      </w:r>
    </w:p>
    <w:p w14:paraId="73DF1A44" w14:textId="77777777" w:rsidR="007D1E74" w:rsidRDefault="00A95641">
      <w:pPr>
        <w:spacing w:line="360" w:lineRule="auto"/>
        <w:outlineLvl w:val="2"/>
        <w:rPr>
          <w:b/>
          <w:sz w:val="24"/>
        </w:rPr>
      </w:pPr>
      <w:r>
        <w:rPr>
          <w:b/>
          <w:sz w:val="24"/>
        </w:rPr>
        <w:t>6.2.3.3</w:t>
      </w:r>
      <w:r>
        <w:rPr>
          <w:b/>
          <w:sz w:val="24"/>
        </w:rPr>
        <w:t>地下水动态变化特征</w:t>
      </w:r>
    </w:p>
    <w:p w14:paraId="50FF9425" w14:textId="77777777" w:rsidR="007D1E74" w:rsidRDefault="00A95641">
      <w:pPr>
        <w:spacing w:line="360" w:lineRule="auto"/>
        <w:ind w:firstLineChars="200" w:firstLine="480"/>
        <w:rPr>
          <w:sz w:val="24"/>
        </w:rPr>
      </w:pPr>
      <w:r>
        <w:rPr>
          <w:sz w:val="24"/>
        </w:rPr>
        <w:t>区内地下水的补给条件受多种因素控制，以大气降水渗入为主要补给来源，故其变化与大气降水的年变化和多年变化呈正相关，地下水动态主要受降水和季节的控制，变化较大，基岩裂隙水尤为显著。</w:t>
      </w:r>
      <w:r>
        <w:rPr>
          <w:sz w:val="24"/>
        </w:rPr>
        <w:t>6~9</w:t>
      </w:r>
      <w:r>
        <w:rPr>
          <w:sz w:val="24"/>
        </w:rPr>
        <w:t>月雨季地下水位升高，泉流量增大，而旱季</w:t>
      </w:r>
      <w:r>
        <w:rPr>
          <w:sz w:val="24"/>
        </w:rPr>
        <w:t>1~3</w:t>
      </w:r>
      <w:r>
        <w:rPr>
          <w:sz w:val="24"/>
        </w:rPr>
        <w:t>月降雨少，井水位显著降低，泉流量减小，流量差异明显，变幅达</w:t>
      </w:r>
      <w:r>
        <w:rPr>
          <w:sz w:val="24"/>
        </w:rPr>
        <w:t>2~4</w:t>
      </w:r>
      <w:r>
        <w:rPr>
          <w:sz w:val="24"/>
        </w:rPr>
        <w:t>倍。</w:t>
      </w:r>
    </w:p>
    <w:p w14:paraId="77E32994" w14:textId="77777777" w:rsidR="007D1E74" w:rsidRDefault="00A95641">
      <w:pPr>
        <w:spacing w:line="360" w:lineRule="auto"/>
        <w:ind w:firstLineChars="200" w:firstLine="480"/>
        <w:rPr>
          <w:sz w:val="24"/>
        </w:rPr>
      </w:pPr>
      <w:r>
        <w:rPr>
          <w:sz w:val="24"/>
        </w:rPr>
        <w:t>地下水的动态变化除与降水量有关外，还与区域的地形地貌密切相关，一般沟谷底部水位动态变化较小，年变化</w:t>
      </w:r>
      <w:r>
        <w:rPr>
          <w:sz w:val="24"/>
        </w:rPr>
        <w:t>1m~2m</w:t>
      </w:r>
      <w:r>
        <w:rPr>
          <w:sz w:val="24"/>
        </w:rPr>
        <w:t>，最多</w:t>
      </w:r>
      <w:r>
        <w:rPr>
          <w:sz w:val="24"/>
        </w:rPr>
        <w:t>3m~4m</w:t>
      </w:r>
      <w:r>
        <w:rPr>
          <w:sz w:val="24"/>
        </w:rPr>
        <w:t>；而沟谷两侧较高处水位动态变化较大，一般为</w:t>
      </w:r>
      <w:r>
        <w:rPr>
          <w:sz w:val="24"/>
        </w:rPr>
        <w:t>4m~5m</w:t>
      </w:r>
      <w:r>
        <w:rPr>
          <w:sz w:val="24"/>
        </w:rPr>
        <w:t>，有的达</w:t>
      </w:r>
      <w:r>
        <w:rPr>
          <w:sz w:val="24"/>
        </w:rPr>
        <w:t>8m~10m</w:t>
      </w:r>
      <w:r>
        <w:rPr>
          <w:sz w:val="24"/>
        </w:rPr>
        <w:t>。随着水位的降低，水量也就相应的减少。</w:t>
      </w:r>
    </w:p>
    <w:p w14:paraId="60BF004F" w14:textId="77777777" w:rsidR="007D1E74" w:rsidRDefault="00A95641">
      <w:pPr>
        <w:spacing w:line="360" w:lineRule="auto"/>
        <w:outlineLvl w:val="2"/>
        <w:rPr>
          <w:b/>
          <w:sz w:val="24"/>
        </w:rPr>
      </w:pPr>
      <w:r>
        <w:rPr>
          <w:b/>
          <w:sz w:val="24"/>
        </w:rPr>
        <w:t>6.2.3.4</w:t>
      </w:r>
      <w:r>
        <w:rPr>
          <w:b/>
          <w:sz w:val="24"/>
        </w:rPr>
        <w:t>地下水污染源调查</w:t>
      </w:r>
    </w:p>
    <w:p w14:paraId="1A7BC61F" w14:textId="77777777" w:rsidR="007D1E74" w:rsidRDefault="00A95641">
      <w:pPr>
        <w:spacing w:line="360" w:lineRule="auto"/>
        <w:ind w:firstLineChars="200" w:firstLine="480"/>
        <w:rPr>
          <w:sz w:val="24"/>
        </w:rPr>
      </w:pPr>
      <w:r>
        <w:rPr>
          <w:sz w:val="24"/>
        </w:rPr>
        <w:t>项目区域内经济以农业为主，无大型的工业园区分布，地下水污染源主要是农业面源污染，其次是零星分布的生活垃圾堆放地、养殖场的点源污染。区内主要居民点主要山坡，水田主要分布于山坡梯田，旱地主要分布于山坡</w:t>
      </w:r>
      <w:r>
        <w:rPr>
          <w:sz w:val="24"/>
        </w:rPr>
        <w:t xml:space="preserve"> </w:t>
      </w:r>
      <w:r>
        <w:rPr>
          <w:sz w:val="24"/>
        </w:rPr>
        <w:t>，施肥多以化肥为主，农家肥为辅，农药使用亦较为普遍。畜禽养殖以家庭分散养殖为主，规模化养殖较少。</w:t>
      </w:r>
    </w:p>
    <w:p w14:paraId="196C4A90" w14:textId="77777777" w:rsidR="007D1E74" w:rsidRDefault="00A95641">
      <w:pPr>
        <w:spacing w:line="360" w:lineRule="auto"/>
        <w:ind w:firstLineChars="200" w:firstLine="480"/>
        <w:rPr>
          <w:sz w:val="24"/>
        </w:rPr>
      </w:pPr>
      <w:r>
        <w:rPr>
          <w:sz w:val="24"/>
        </w:rPr>
        <w:t>本钻井平台所在的水文地质单元内地下水污染源主要是农业污染和农村居民生活垃圾污染，且垃圾、牲畜粪便等的堆存地面多未进行防渗处理，污染物经降水淋滤直接进入包气带。表层覆盖有厚度较大的粘性土地带，污染物被部分吸附。</w:t>
      </w:r>
    </w:p>
    <w:p w14:paraId="6A752BBC" w14:textId="77777777" w:rsidR="007D1E74" w:rsidRDefault="00A95641">
      <w:pPr>
        <w:spacing w:line="360" w:lineRule="auto"/>
        <w:outlineLvl w:val="2"/>
        <w:rPr>
          <w:b/>
          <w:sz w:val="24"/>
        </w:rPr>
      </w:pPr>
      <w:r>
        <w:rPr>
          <w:b/>
          <w:sz w:val="24"/>
        </w:rPr>
        <w:t>6.2.3.5</w:t>
      </w:r>
      <w:r>
        <w:rPr>
          <w:b/>
          <w:sz w:val="24"/>
        </w:rPr>
        <w:t>运营期地下水环境影响预测与分析</w:t>
      </w:r>
    </w:p>
    <w:p w14:paraId="2C1BB8B2" w14:textId="77777777" w:rsidR="007D1E74" w:rsidRDefault="00A95641">
      <w:pPr>
        <w:spacing w:line="360" w:lineRule="auto"/>
        <w:ind w:firstLineChars="200" w:firstLine="482"/>
        <w:rPr>
          <w:b/>
          <w:bCs/>
          <w:sz w:val="24"/>
        </w:rPr>
      </w:pPr>
      <w:r>
        <w:rPr>
          <w:b/>
          <w:bCs/>
          <w:sz w:val="24"/>
        </w:rPr>
        <w:t>1</w:t>
      </w:r>
      <w:r>
        <w:rPr>
          <w:b/>
          <w:bCs/>
          <w:sz w:val="24"/>
        </w:rPr>
        <w:t>、评价等级</w:t>
      </w:r>
    </w:p>
    <w:p w14:paraId="3E893FA2" w14:textId="77777777" w:rsidR="007D1E74" w:rsidRDefault="00A95641">
      <w:pPr>
        <w:spacing w:line="360" w:lineRule="auto"/>
        <w:ind w:firstLineChars="200" w:firstLine="480"/>
        <w:rPr>
          <w:sz w:val="24"/>
        </w:rPr>
      </w:pPr>
      <w:r>
        <w:rPr>
          <w:sz w:val="24"/>
        </w:rPr>
        <w:t>按照《环境影响评价技术导则</w:t>
      </w:r>
      <w:r>
        <w:rPr>
          <w:sz w:val="24"/>
        </w:rPr>
        <w:t>-</w:t>
      </w:r>
      <w:r>
        <w:rPr>
          <w:sz w:val="24"/>
        </w:rPr>
        <w:t>地下水环境》（</w:t>
      </w:r>
      <w:r>
        <w:rPr>
          <w:sz w:val="24"/>
        </w:rPr>
        <w:t>HJ610-2016</w:t>
      </w:r>
      <w:r>
        <w:rPr>
          <w:sz w:val="24"/>
        </w:rPr>
        <w:t>），并结合《建设项目环境影响评价分类管理名录》，本项目地下水环境影响评价项目类别属</w:t>
      </w:r>
      <w:r>
        <w:rPr>
          <w:sz w:val="24"/>
        </w:rPr>
        <w:t xml:space="preserve"> III </w:t>
      </w:r>
      <w:r>
        <w:rPr>
          <w:sz w:val="24"/>
        </w:rPr>
        <w:t>类。</w:t>
      </w:r>
    </w:p>
    <w:p w14:paraId="325B01D2" w14:textId="77777777" w:rsidR="007D1E74" w:rsidRDefault="00A95641">
      <w:pPr>
        <w:spacing w:line="360" w:lineRule="auto"/>
        <w:ind w:firstLineChars="200" w:firstLine="480"/>
        <w:rPr>
          <w:sz w:val="24"/>
        </w:rPr>
      </w:pPr>
      <w:r>
        <w:rPr>
          <w:sz w:val="24"/>
        </w:rPr>
        <w:t>根据现场调查，本项目沿线</w:t>
      </w:r>
      <w:r>
        <w:rPr>
          <w:sz w:val="24"/>
        </w:rPr>
        <w:t>200m</w:t>
      </w:r>
      <w:r>
        <w:rPr>
          <w:sz w:val="24"/>
        </w:rPr>
        <w:t>范围内主要分布有村镇居民，分布有分散式地下水饮用水源（出露泉点），根据《全国地下水功能区划分技术大纲》的要求和实地调查项目区的地下水环境状况，本项目评价区地下水功能为分散供水水源资源功能。</w:t>
      </w:r>
    </w:p>
    <w:p w14:paraId="68619234" w14:textId="77777777" w:rsidR="007D1E74" w:rsidRDefault="00A95641">
      <w:pPr>
        <w:spacing w:line="360" w:lineRule="auto"/>
        <w:ind w:firstLineChars="200" w:firstLine="420"/>
      </w:pPr>
      <w:r>
        <w:rPr>
          <w:noProof/>
        </w:rPr>
        <w:lastRenderedPageBreak/>
        <w:drawing>
          <wp:inline distT="0" distB="0" distL="0" distR="0" wp14:anchorId="7DDF8256" wp14:editId="02980EC3">
            <wp:extent cx="5059680" cy="1714500"/>
            <wp:effectExtent l="0" t="0" r="0" b="762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151"/>
                    <a:stretch>
                      <a:fillRect/>
                    </a:stretch>
                  </pic:blipFill>
                  <pic:spPr>
                    <a:xfrm>
                      <a:off x="0" y="0"/>
                      <a:ext cx="5060123" cy="1714650"/>
                    </a:xfrm>
                    <a:prstGeom prst="rect">
                      <a:avLst/>
                    </a:prstGeom>
                  </pic:spPr>
                </pic:pic>
              </a:graphicData>
            </a:graphic>
          </wp:inline>
        </w:drawing>
      </w:r>
    </w:p>
    <w:p w14:paraId="0232C896" w14:textId="77777777" w:rsidR="007D1E74" w:rsidRDefault="00A95641">
      <w:pPr>
        <w:pStyle w:val="affffff6"/>
        <w:ind w:firstLine="422"/>
        <w:jc w:val="center"/>
        <w:rPr>
          <w:rFonts w:ascii="Times New Roman" w:hAnsi="Times New Roman" w:cs="Times New Roman"/>
          <w:b/>
          <w:bCs/>
          <w:sz w:val="21"/>
          <w:szCs w:val="20"/>
        </w:rPr>
      </w:pPr>
      <w:r>
        <w:rPr>
          <w:rFonts w:ascii="Times New Roman" w:hAnsi="Times New Roman" w:cs="Times New Roman"/>
          <w:b/>
          <w:bCs/>
          <w:sz w:val="21"/>
          <w:szCs w:val="20"/>
        </w:rPr>
        <w:t>图</w:t>
      </w:r>
      <w:r>
        <w:rPr>
          <w:rFonts w:ascii="Times New Roman" w:hAnsi="Times New Roman" w:cs="Times New Roman"/>
          <w:b/>
          <w:bCs/>
          <w:sz w:val="21"/>
          <w:szCs w:val="20"/>
        </w:rPr>
        <w:t xml:space="preserve">6.2-1  </w:t>
      </w:r>
      <w:r>
        <w:rPr>
          <w:rFonts w:ascii="Times New Roman" w:hAnsi="Times New Roman" w:cs="Times New Roman"/>
          <w:b/>
          <w:bCs/>
          <w:sz w:val="21"/>
          <w:szCs w:val="20"/>
        </w:rPr>
        <w:t>项目周边泉水出露点</w:t>
      </w:r>
    </w:p>
    <w:p w14:paraId="7145C0FC" w14:textId="77777777" w:rsidR="007D1E74" w:rsidRDefault="00A95641">
      <w:pPr>
        <w:spacing w:line="360" w:lineRule="auto"/>
        <w:ind w:firstLineChars="200" w:firstLine="480"/>
        <w:rPr>
          <w:sz w:val="24"/>
        </w:rPr>
      </w:pPr>
      <w:r>
        <w:rPr>
          <w:sz w:val="24"/>
        </w:rPr>
        <w:t>综上，确定本项目地下水环境敏感为较敏感。因此，项目地下水评价等级为三级。</w:t>
      </w:r>
    </w:p>
    <w:p w14:paraId="1C0980FB" w14:textId="77777777" w:rsidR="007D1E74" w:rsidRDefault="00A95641">
      <w:pPr>
        <w:pStyle w:val="21"/>
        <w:ind w:leftChars="0" w:left="0" w:firstLineChars="0" w:firstLine="0"/>
        <w:jc w:val="center"/>
        <w:rPr>
          <w:rFonts w:ascii="Times New Roman" w:eastAsia="黑体" w:hAnsi="Times New Roman" w:cs="Times New Roman"/>
          <w:szCs w:val="21"/>
        </w:rPr>
      </w:pPr>
      <w:r>
        <w:rPr>
          <w:rFonts w:ascii="Times New Roman" w:eastAsia="黑体" w:hAnsi="Times New Roman" w:cs="Times New Roman"/>
          <w:bCs/>
          <w:szCs w:val="21"/>
        </w:rPr>
        <w:t>表</w:t>
      </w:r>
      <w:r>
        <w:rPr>
          <w:rFonts w:ascii="Times New Roman" w:eastAsia="黑体" w:hAnsi="Times New Roman" w:cs="Times New Roman"/>
          <w:bCs/>
          <w:szCs w:val="21"/>
        </w:rPr>
        <w:t xml:space="preserve">6.2-1  </w:t>
      </w:r>
      <w:r>
        <w:rPr>
          <w:rFonts w:ascii="Times New Roman" w:eastAsia="黑体" w:hAnsi="Times New Roman" w:cs="Times New Roman"/>
          <w:bCs/>
          <w:szCs w:val="21"/>
        </w:rPr>
        <w:t>建设项目所属地下水环境影响评价项目类别</w:t>
      </w:r>
    </w:p>
    <w:tbl>
      <w:tblPr>
        <w:tblStyle w:val="affffc"/>
        <w:tblW w:w="0" w:type="auto"/>
        <w:tblLook w:val="04A0" w:firstRow="1" w:lastRow="0" w:firstColumn="1" w:lastColumn="0" w:noHBand="0" w:noVBand="1"/>
      </w:tblPr>
      <w:tblGrid>
        <w:gridCol w:w="3381"/>
        <w:gridCol w:w="3385"/>
        <w:gridCol w:w="2250"/>
      </w:tblGrid>
      <w:tr w:rsidR="007D1E74" w14:paraId="32AC7C53" w14:textId="77777777">
        <w:tc>
          <w:tcPr>
            <w:tcW w:w="3397" w:type="dxa"/>
            <w:vMerge w:val="restart"/>
            <w:vAlign w:val="center"/>
          </w:tcPr>
          <w:p w14:paraId="33A5EA49" w14:textId="77777777" w:rsidR="007D1E74" w:rsidRDefault="00A95641">
            <w:pPr>
              <w:jc w:val="center"/>
              <w:rPr>
                <w:bCs/>
                <w:szCs w:val="21"/>
              </w:rPr>
            </w:pPr>
            <w:r>
              <w:rPr>
                <w:bCs/>
                <w:szCs w:val="21"/>
              </w:rPr>
              <w:t>行业类别</w:t>
            </w:r>
          </w:p>
        </w:tc>
        <w:tc>
          <w:tcPr>
            <w:tcW w:w="3402" w:type="dxa"/>
            <w:vMerge w:val="restart"/>
            <w:vAlign w:val="center"/>
          </w:tcPr>
          <w:p w14:paraId="7F19C8D5" w14:textId="77777777" w:rsidR="007D1E74" w:rsidRDefault="00A95641">
            <w:pPr>
              <w:jc w:val="center"/>
              <w:rPr>
                <w:bCs/>
                <w:szCs w:val="21"/>
              </w:rPr>
            </w:pPr>
            <w:r>
              <w:rPr>
                <w:bCs/>
                <w:szCs w:val="21"/>
              </w:rPr>
              <w:t>环评类别</w:t>
            </w:r>
          </w:p>
        </w:tc>
        <w:tc>
          <w:tcPr>
            <w:tcW w:w="2261" w:type="dxa"/>
            <w:vAlign w:val="center"/>
          </w:tcPr>
          <w:p w14:paraId="1B3A9D2D" w14:textId="77777777" w:rsidR="007D1E74" w:rsidRDefault="00A95641">
            <w:pPr>
              <w:jc w:val="center"/>
              <w:rPr>
                <w:bCs/>
                <w:szCs w:val="21"/>
              </w:rPr>
            </w:pPr>
            <w:r>
              <w:rPr>
                <w:bCs/>
                <w:szCs w:val="21"/>
              </w:rPr>
              <w:t>项目类型识别</w:t>
            </w:r>
          </w:p>
        </w:tc>
      </w:tr>
      <w:tr w:rsidR="007D1E74" w14:paraId="75004D56" w14:textId="77777777">
        <w:tc>
          <w:tcPr>
            <w:tcW w:w="3397" w:type="dxa"/>
            <w:vMerge/>
            <w:vAlign w:val="center"/>
          </w:tcPr>
          <w:p w14:paraId="1E2A3FBD" w14:textId="77777777" w:rsidR="007D1E74" w:rsidRDefault="007D1E74">
            <w:pPr>
              <w:jc w:val="center"/>
              <w:rPr>
                <w:bCs/>
                <w:szCs w:val="21"/>
              </w:rPr>
            </w:pPr>
          </w:p>
        </w:tc>
        <w:tc>
          <w:tcPr>
            <w:tcW w:w="3402" w:type="dxa"/>
            <w:vMerge/>
            <w:vAlign w:val="center"/>
          </w:tcPr>
          <w:p w14:paraId="55DC095B" w14:textId="77777777" w:rsidR="007D1E74" w:rsidRDefault="007D1E74">
            <w:pPr>
              <w:jc w:val="center"/>
              <w:rPr>
                <w:bCs/>
                <w:szCs w:val="21"/>
              </w:rPr>
            </w:pPr>
          </w:p>
        </w:tc>
        <w:tc>
          <w:tcPr>
            <w:tcW w:w="2261" w:type="dxa"/>
            <w:vAlign w:val="center"/>
          </w:tcPr>
          <w:p w14:paraId="755FBDC6" w14:textId="77777777" w:rsidR="007D1E74" w:rsidRDefault="00A95641">
            <w:pPr>
              <w:jc w:val="center"/>
              <w:rPr>
                <w:bCs/>
                <w:szCs w:val="21"/>
              </w:rPr>
            </w:pPr>
            <w:r>
              <w:rPr>
                <w:bCs/>
                <w:szCs w:val="21"/>
              </w:rPr>
              <w:t>项目类型</w:t>
            </w:r>
          </w:p>
        </w:tc>
      </w:tr>
      <w:tr w:rsidR="007D1E74" w14:paraId="6D55B92C" w14:textId="77777777">
        <w:tc>
          <w:tcPr>
            <w:tcW w:w="3397" w:type="dxa"/>
            <w:vAlign w:val="center"/>
          </w:tcPr>
          <w:p w14:paraId="27A3D88D" w14:textId="77777777" w:rsidR="007D1E74" w:rsidRDefault="00A95641">
            <w:pPr>
              <w:jc w:val="center"/>
              <w:rPr>
                <w:bCs/>
                <w:szCs w:val="21"/>
              </w:rPr>
            </w:pPr>
            <w:r>
              <w:rPr>
                <w:bCs/>
                <w:szCs w:val="21"/>
              </w:rPr>
              <w:t>41</w:t>
            </w:r>
            <w:r>
              <w:rPr>
                <w:bCs/>
                <w:szCs w:val="21"/>
              </w:rPr>
              <w:t>、石油、天然气、成品油管线（不含城市天然气管线）</w:t>
            </w:r>
          </w:p>
        </w:tc>
        <w:tc>
          <w:tcPr>
            <w:tcW w:w="3402" w:type="dxa"/>
            <w:vAlign w:val="center"/>
          </w:tcPr>
          <w:p w14:paraId="53B759E3" w14:textId="77777777" w:rsidR="007D1E74" w:rsidRDefault="00A95641">
            <w:pPr>
              <w:jc w:val="center"/>
              <w:rPr>
                <w:bCs/>
                <w:szCs w:val="21"/>
              </w:rPr>
            </w:pPr>
            <w:r>
              <w:rPr>
                <w:bCs/>
                <w:szCs w:val="21"/>
              </w:rPr>
              <w:t>报告书</w:t>
            </w:r>
          </w:p>
        </w:tc>
        <w:tc>
          <w:tcPr>
            <w:tcW w:w="2261" w:type="dxa"/>
            <w:vAlign w:val="center"/>
          </w:tcPr>
          <w:p w14:paraId="3C0029F0" w14:textId="77777777" w:rsidR="007D1E74" w:rsidRDefault="00A95641">
            <w:pPr>
              <w:jc w:val="center"/>
              <w:rPr>
                <w:bCs/>
                <w:szCs w:val="21"/>
              </w:rPr>
            </w:pPr>
            <w:r>
              <w:rPr>
                <w:bCs/>
                <w:szCs w:val="21"/>
              </w:rPr>
              <w:t>III</w:t>
            </w:r>
            <w:r>
              <w:rPr>
                <w:bCs/>
                <w:szCs w:val="21"/>
              </w:rPr>
              <w:t>类</w:t>
            </w:r>
          </w:p>
        </w:tc>
      </w:tr>
    </w:tbl>
    <w:p w14:paraId="0CADB6C9" w14:textId="77777777" w:rsidR="007D1E74" w:rsidRDefault="00A95641">
      <w:pPr>
        <w:spacing w:line="360" w:lineRule="auto"/>
        <w:ind w:firstLineChars="200" w:firstLine="420"/>
        <w:jc w:val="center"/>
        <w:rPr>
          <w:rFonts w:eastAsia="黑体"/>
          <w:bCs/>
          <w:szCs w:val="21"/>
        </w:rPr>
      </w:pPr>
      <w:r>
        <w:rPr>
          <w:rFonts w:eastAsia="黑体"/>
          <w:bCs/>
          <w:szCs w:val="21"/>
        </w:rPr>
        <w:t>表</w:t>
      </w:r>
      <w:r>
        <w:rPr>
          <w:rFonts w:eastAsia="黑体"/>
          <w:bCs/>
          <w:szCs w:val="21"/>
        </w:rPr>
        <w:t xml:space="preserve">6.2-2  </w:t>
      </w:r>
      <w:r>
        <w:rPr>
          <w:rFonts w:eastAsia="黑体"/>
          <w:bCs/>
          <w:szCs w:val="21"/>
        </w:rPr>
        <w:t>本项目地下水评价工作等级分级</w:t>
      </w:r>
    </w:p>
    <w:tbl>
      <w:tblPr>
        <w:tblStyle w:val="affffc"/>
        <w:tblW w:w="0" w:type="auto"/>
        <w:tblLook w:val="04A0" w:firstRow="1" w:lastRow="0" w:firstColumn="1" w:lastColumn="0" w:noHBand="0" w:noVBand="1"/>
      </w:tblPr>
      <w:tblGrid>
        <w:gridCol w:w="1901"/>
        <w:gridCol w:w="1882"/>
        <w:gridCol w:w="5233"/>
      </w:tblGrid>
      <w:tr w:rsidR="007D1E74" w14:paraId="67F1574B" w14:textId="77777777">
        <w:tc>
          <w:tcPr>
            <w:tcW w:w="1909" w:type="dxa"/>
            <w:vAlign w:val="center"/>
          </w:tcPr>
          <w:p w14:paraId="7F4A02C6" w14:textId="77777777" w:rsidR="007D1E74" w:rsidRDefault="00A95641">
            <w:pPr>
              <w:jc w:val="center"/>
              <w:rPr>
                <w:bCs/>
                <w:szCs w:val="21"/>
              </w:rPr>
            </w:pPr>
            <w:r>
              <w:rPr>
                <w:bCs/>
                <w:szCs w:val="21"/>
              </w:rPr>
              <w:t>环境敏感程度</w:t>
            </w:r>
          </w:p>
        </w:tc>
        <w:tc>
          <w:tcPr>
            <w:tcW w:w="1889" w:type="dxa"/>
            <w:vAlign w:val="center"/>
          </w:tcPr>
          <w:p w14:paraId="55596A41" w14:textId="77777777" w:rsidR="007D1E74" w:rsidRDefault="00A95641">
            <w:pPr>
              <w:jc w:val="center"/>
              <w:rPr>
                <w:bCs/>
                <w:szCs w:val="21"/>
              </w:rPr>
            </w:pPr>
            <w:r>
              <w:rPr>
                <w:bCs/>
                <w:szCs w:val="21"/>
              </w:rPr>
              <w:t>III</w:t>
            </w:r>
            <w:r>
              <w:rPr>
                <w:bCs/>
                <w:szCs w:val="21"/>
              </w:rPr>
              <w:t>类项目</w:t>
            </w:r>
          </w:p>
        </w:tc>
        <w:tc>
          <w:tcPr>
            <w:tcW w:w="5262" w:type="dxa"/>
            <w:vAlign w:val="center"/>
          </w:tcPr>
          <w:p w14:paraId="624E110F" w14:textId="77777777" w:rsidR="007D1E74" w:rsidRDefault="00A95641">
            <w:pPr>
              <w:jc w:val="center"/>
              <w:rPr>
                <w:bCs/>
                <w:szCs w:val="21"/>
              </w:rPr>
            </w:pPr>
            <w:r>
              <w:rPr>
                <w:bCs/>
                <w:szCs w:val="21"/>
              </w:rPr>
              <w:t>本项目评价等级</w:t>
            </w:r>
          </w:p>
        </w:tc>
      </w:tr>
      <w:tr w:rsidR="007D1E74" w14:paraId="4E756FE0" w14:textId="77777777">
        <w:tc>
          <w:tcPr>
            <w:tcW w:w="1909" w:type="dxa"/>
            <w:vAlign w:val="center"/>
          </w:tcPr>
          <w:p w14:paraId="30AED933" w14:textId="77777777" w:rsidR="007D1E74" w:rsidRDefault="00A95641">
            <w:pPr>
              <w:jc w:val="center"/>
              <w:rPr>
                <w:bCs/>
                <w:szCs w:val="21"/>
              </w:rPr>
            </w:pPr>
            <w:r>
              <w:rPr>
                <w:bCs/>
                <w:szCs w:val="21"/>
              </w:rPr>
              <w:t>敏感</w:t>
            </w:r>
          </w:p>
        </w:tc>
        <w:tc>
          <w:tcPr>
            <w:tcW w:w="1889" w:type="dxa"/>
            <w:vAlign w:val="center"/>
          </w:tcPr>
          <w:p w14:paraId="3ECF4428" w14:textId="77777777" w:rsidR="007D1E74" w:rsidRDefault="00A95641">
            <w:pPr>
              <w:jc w:val="center"/>
              <w:rPr>
                <w:bCs/>
                <w:szCs w:val="21"/>
              </w:rPr>
            </w:pPr>
            <w:r>
              <w:rPr>
                <w:bCs/>
                <w:szCs w:val="21"/>
              </w:rPr>
              <w:t>二</w:t>
            </w:r>
          </w:p>
        </w:tc>
        <w:tc>
          <w:tcPr>
            <w:tcW w:w="5262" w:type="dxa"/>
            <w:vMerge w:val="restart"/>
            <w:vAlign w:val="center"/>
          </w:tcPr>
          <w:p w14:paraId="30768913" w14:textId="77777777" w:rsidR="007D1E74" w:rsidRDefault="00A95641">
            <w:pPr>
              <w:jc w:val="center"/>
              <w:rPr>
                <w:bCs/>
                <w:szCs w:val="21"/>
              </w:rPr>
            </w:pPr>
            <w:r>
              <w:rPr>
                <w:bCs/>
                <w:szCs w:val="21"/>
              </w:rPr>
              <w:t>本项目属</w:t>
            </w:r>
            <w:r>
              <w:rPr>
                <w:bCs/>
                <w:szCs w:val="21"/>
              </w:rPr>
              <w:t>III</w:t>
            </w:r>
            <w:r>
              <w:rPr>
                <w:bCs/>
                <w:szCs w:val="21"/>
              </w:rPr>
              <w:t>类项目，其地下水环境敏感程度为</w:t>
            </w:r>
            <w:r>
              <w:rPr>
                <w:bCs/>
                <w:szCs w:val="21"/>
              </w:rPr>
              <w:t>“</w:t>
            </w:r>
            <w:r>
              <w:rPr>
                <w:bCs/>
                <w:szCs w:val="21"/>
              </w:rPr>
              <w:t>较敏感</w:t>
            </w:r>
            <w:r>
              <w:rPr>
                <w:bCs/>
                <w:szCs w:val="21"/>
              </w:rPr>
              <w:t>”</w:t>
            </w:r>
            <w:r>
              <w:rPr>
                <w:bCs/>
                <w:szCs w:val="21"/>
              </w:rPr>
              <w:t>，根据评价工作等级分级表判定为</w:t>
            </w:r>
            <w:r>
              <w:rPr>
                <w:bCs/>
                <w:szCs w:val="21"/>
              </w:rPr>
              <w:t>“</w:t>
            </w:r>
            <w:r>
              <w:rPr>
                <w:bCs/>
                <w:szCs w:val="21"/>
              </w:rPr>
              <w:t>三</w:t>
            </w:r>
            <w:r>
              <w:rPr>
                <w:bCs/>
                <w:szCs w:val="21"/>
              </w:rPr>
              <w:t>”</w:t>
            </w:r>
            <w:r>
              <w:rPr>
                <w:bCs/>
                <w:szCs w:val="21"/>
              </w:rPr>
              <w:t>级评价。</w:t>
            </w:r>
          </w:p>
        </w:tc>
      </w:tr>
      <w:tr w:rsidR="007D1E74" w14:paraId="60302D25" w14:textId="77777777">
        <w:tc>
          <w:tcPr>
            <w:tcW w:w="1909" w:type="dxa"/>
            <w:vAlign w:val="center"/>
          </w:tcPr>
          <w:p w14:paraId="0A51B347" w14:textId="77777777" w:rsidR="007D1E74" w:rsidRDefault="00A95641">
            <w:pPr>
              <w:jc w:val="center"/>
              <w:rPr>
                <w:bCs/>
                <w:szCs w:val="21"/>
              </w:rPr>
            </w:pPr>
            <w:r>
              <w:rPr>
                <w:bCs/>
                <w:szCs w:val="21"/>
              </w:rPr>
              <w:t>较敏感（</w:t>
            </w:r>
            <w:r>
              <w:rPr>
                <w:bCs/>
                <w:szCs w:val="21"/>
              </w:rPr>
              <w:t>√</w:t>
            </w:r>
            <w:r>
              <w:rPr>
                <w:bCs/>
                <w:szCs w:val="21"/>
              </w:rPr>
              <w:t>）</w:t>
            </w:r>
          </w:p>
        </w:tc>
        <w:tc>
          <w:tcPr>
            <w:tcW w:w="1889" w:type="dxa"/>
            <w:vAlign w:val="center"/>
          </w:tcPr>
          <w:p w14:paraId="7B576888" w14:textId="77777777" w:rsidR="007D1E74" w:rsidRDefault="00A95641">
            <w:pPr>
              <w:jc w:val="center"/>
              <w:rPr>
                <w:bCs/>
                <w:szCs w:val="21"/>
              </w:rPr>
            </w:pPr>
            <w:r>
              <w:rPr>
                <w:bCs/>
                <w:szCs w:val="21"/>
              </w:rPr>
              <w:t>三（</w:t>
            </w:r>
            <w:r>
              <w:rPr>
                <w:bCs/>
                <w:szCs w:val="21"/>
              </w:rPr>
              <w:t>√</w:t>
            </w:r>
            <w:r>
              <w:rPr>
                <w:bCs/>
                <w:szCs w:val="21"/>
              </w:rPr>
              <w:t>）</w:t>
            </w:r>
          </w:p>
        </w:tc>
        <w:tc>
          <w:tcPr>
            <w:tcW w:w="5262" w:type="dxa"/>
            <w:vMerge/>
            <w:vAlign w:val="center"/>
          </w:tcPr>
          <w:p w14:paraId="63521D05" w14:textId="77777777" w:rsidR="007D1E74" w:rsidRDefault="007D1E74">
            <w:pPr>
              <w:jc w:val="center"/>
              <w:rPr>
                <w:bCs/>
                <w:szCs w:val="21"/>
              </w:rPr>
            </w:pPr>
          </w:p>
        </w:tc>
      </w:tr>
      <w:tr w:rsidR="007D1E74" w14:paraId="0E87F984" w14:textId="77777777">
        <w:tc>
          <w:tcPr>
            <w:tcW w:w="1909" w:type="dxa"/>
            <w:vAlign w:val="center"/>
          </w:tcPr>
          <w:p w14:paraId="3340C699" w14:textId="77777777" w:rsidR="007D1E74" w:rsidRDefault="00A95641">
            <w:pPr>
              <w:jc w:val="center"/>
              <w:rPr>
                <w:bCs/>
                <w:szCs w:val="21"/>
              </w:rPr>
            </w:pPr>
            <w:r>
              <w:rPr>
                <w:bCs/>
                <w:szCs w:val="21"/>
              </w:rPr>
              <w:t>不敏感</w:t>
            </w:r>
          </w:p>
        </w:tc>
        <w:tc>
          <w:tcPr>
            <w:tcW w:w="1889" w:type="dxa"/>
            <w:vAlign w:val="center"/>
          </w:tcPr>
          <w:p w14:paraId="570FB379" w14:textId="77777777" w:rsidR="007D1E74" w:rsidRDefault="00A95641">
            <w:pPr>
              <w:jc w:val="center"/>
              <w:rPr>
                <w:bCs/>
                <w:szCs w:val="21"/>
              </w:rPr>
            </w:pPr>
            <w:r>
              <w:rPr>
                <w:bCs/>
                <w:szCs w:val="21"/>
              </w:rPr>
              <w:t>三</w:t>
            </w:r>
          </w:p>
        </w:tc>
        <w:tc>
          <w:tcPr>
            <w:tcW w:w="5262" w:type="dxa"/>
            <w:vMerge/>
            <w:vAlign w:val="center"/>
          </w:tcPr>
          <w:p w14:paraId="10650546" w14:textId="77777777" w:rsidR="007D1E74" w:rsidRDefault="007D1E74">
            <w:pPr>
              <w:jc w:val="center"/>
              <w:rPr>
                <w:bCs/>
                <w:szCs w:val="21"/>
              </w:rPr>
            </w:pPr>
          </w:p>
        </w:tc>
      </w:tr>
    </w:tbl>
    <w:p w14:paraId="117C0171" w14:textId="77777777" w:rsidR="007D1E74" w:rsidRDefault="00A95641">
      <w:pPr>
        <w:spacing w:line="360" w:lineRule="auto"/>
        <w:ind w:firstLineChars="200" w:firstLine="482"/>
        <w:rPr>
          <w:b/>
          <w:bCs/>
          <w:sz w:val="24"/>
        </w:rPr>
      </w:pPr>
      <w:r>
        <w:rPr>
          <w:b/>
          <w:bCs/>
          <w:sz w:val="24"/>
        </w:rPr>
        <w:t>2</w:t>
      </w:r>
      <w:r>
        <w:rPr>
          <w:b/>
          <w:bCs/>
          <w:sz w:val="24"/>
        </w:rPr>
        <w:t>、评价范围</w:t>
      </w:r>
    </w:p>
    <w:p w14:paraId="5D500046" w14:textId="77777777" w:rsidR="007D1E74" w:rsidRDefault="00A95641">
      <w:pPr>
        <w:pStyle w:val="affffff6"/>
        <w:adjustRightInd w:val="0"/>
        <w:snapToGrid w:val="0"/>
        <w:ind w:firstLine="480"/>
        <w:rPr>
          <w:rFonts w:ascii="Times New Roman" w:hAnsi="Times New Roman" w:cs="Times New Roman"/>
        </w:rPr>
      </w:pPr>
      <w:r>
        <w:rPr>
          <w:rFonts w:ascii="Times New Roman" w:hAnsi="Times New Roman" w:cs="Times New Roman"/>
        </w:rPr>
        <w:t>本项目集气管线及支线为线性工程，评价范围为以工程边界两侧向外延伸</w:t>
      </w:r>
      <w:r>
        <w:rPr>
          <w:rFonts w:ascii="Times New Roman" w:hAnsi="Times New Roman" w:cs="Times New Roman"/>
        </w:rPr>
        <w:t>200m</w:t>
      </w:r>
      <w:r>
        <w:rPr>
          <w:rFonts w:ascii="Times New Roman" w:hAnsi="Times New Roman" w:cs="Times New Roman"/>
        </w:rPr>
        <w:t>作为调查评价范围，因此项目地下水环境影响预测范围为管线两侧</w:t>
      </w:r>
      <w:r>
        <w:rPr>
          <w:rFonts w:ascii="Times New Roman" w:hAnsi="Times New Roman" w:cs="Times New Roman"/>
        </w:rPr>
        <w:t>200m</w:t>
      </w:r>
      <w:r>
        <w:rPr>
          <w:rFonts w:ascii="Times New Roman" w:hAnsi="Times New Roman" w:cs="Times New Roman"/>
        </w:rPr>
        <w:t>。</w:t>
      </w:r>
    </w:p>
    <w:p w14:paraId="61276E6B" w14:textId="77777777" w:rsidR="007D1E74" w:rsidRDefault="00A95641">
      <w:pPr>
        <w:pStyle w:val="affffff6"/>
        <w:adjustRightInd w:val="0"/>
        <w:snapToGrid w:val="0"/>
        <w:ind w:firstLine="480"/>
        <w:rPr>
          <w:rFonts w:ascii="Times New Roman" w:hAnsi="Times New Roman" w:cs="Times New Roman"/>
        </w:rPr>
      </w:pPr>
      <w:r>
        <w:rPr>
          <w:rFonts w:ascii="Times New Roman" w:hAnsi="Times New Roman" w:cs="Times New Roman"/>
        </w:rPr>
        <w:t>其余建设</w:t>
      </w:r>
      <w:r>
        <w:rPr>
          <w:rFonts w:ascii="Times New Roman" w:hAnsi="Times New Roman" w:cs="Times New Roman"/>
        </w:rPr>
        <w:t>2#</w:t>
      </w:r>
      <w:r>
        <w:rPr>
          <w:rFonts w:ascii="Times New Roman" w:hAnsi="Times New Roman" w:cs="Times New Roman"/>
        </w:rPr>
        <w:t>、</w:t>
      </w:r>
      <w:r>
        <w:rPr>
          <w:rFonts w:ascii="Times New Roman" w:hAnsi="Times New Roman" w:cs="Times New Roman"/>
        </w:rPr>
        <w:t>3#</w:t>
      </w:r>
      <w:r>
        <w:rPr>
          <w:rFonts w:ascii="Times New Roman" w:hAnsi="Times New Roman" w:cs="Times New Roman"/>
        </w:rPr>
        <w:t>插输阀室、</w:t>
      </w:r>
      <w:r>
        <w:rPr>
          <w:rFonts w:ascii="Times New Roman" w:hAnsi="Times New Roman" w:cs="Times New Roman"/>
        </w:rPr>
        <w:t>4#</w:t>
      </w:r>
      <w:r>
        <w:rPr>
          <w:rFonts w:ascii="Times New Roman" w:hAnsi="Times New Roman" w:cs="Times New Roman"/>
        </w:rPr>
        <w:t>插输阀组仅有阀门、球阀装置，不涉及水污染物排放，范围考虑与管线相同。</w:t>
      </w:r>
    </w:p>
    <w:p w14:paraId="40C3FBC7" w14:textId="77777777" w:rsidR="007D1E74" w:rsidRDefault="00A95641">
      <w:pPr>
        <w:pStyle w:val="affffff6"/>
        <w:adjustRightInd w:val="0"/>
        <w:snapToGrid w:val="0"/>
        <w:ind w:firstLine="480"/>
        <w:rPr>
          <w:rFonts w:ascii="Times New Roman" w:hAnsi="Times New Roman" w:cs="Times New Roman"/>
        </w:rPr>
      </w:pPr>
      <w:r>
        <w:rPr>
          <w:rFonts w:ascii="Times New Roman" w:hAnsi="Times New Roman" w:cs="Times New Roman"/>
        </w:rPr>
        <w:t>1#</w:t>
      </w:r>
      <w:r>
        <w:rPr>
          <w:rFonts w:ascii="Times New Roman" w:hAnsi="Times New Roman" w:cs="Times New Roman"/>
        </w:rPr>
        <w:t>阀室采出水分离后会在阀室采出水罐暂存，罐体容积约为</w:t>
      </w:r>
      <w:r>
        <w:rPr>
          <w:rFonts w:ascii="Times New Roman" w:hAnsi="Times New Roman" w:cs="Times New Roman"/>
        </w:rPr>
        <w:t>20m</w:t>
      </w:r>
      <w:r>
        <w:rPr>
          <w:rFonts w:ascii="Times New Roman" w:hAnsi="Times New Roman" w:cs="Times New Roman"/>
          <w:vertAlign w:val="superscript"/>
        </w:rPr>
        <w:t>3</w:t>
      </w:r>
      <w:r>
        <w:rPr>
          <w:rFonts w:ascii="Times New Roman" w:hAnsi="Times New Roman" w:cs="Times New Roman"/>
        </w:rPr>
        <w:t>，其评价范围根据《地下水环境影响评价技术导则</w:t>
      </w:r>
      <w:r>
        <w:rPr>
          <w:rFonts w:ascii="Times New Roman" w:hAnsi="Times New Roman" w:cs="Times New Roman"/>
        </w:rPr>
        <w:t>-</w:t>
      </w:r>
      <w:r>
        <w:rPr>
          <w:rFonts w:ascii="Times New Roman" w:hAnsi="Times New Roman" w:cs="Times New Roman"/>
        </w:rPr>
        <w:t>地下水环境》（</w:t>
      </w:r>
      <w:r>
        <w:rPr>
          <w:rFonts w:ascii="Times New Roman" w:hAnsi="Times New Roman" w:cs="Times New Roman"/>
        </w:rPr>
        <w:t>HJ610-2016</w:t>
      </w:r>
      <w:r>
        <w:rPr>
          <w:rFonts w:ascii="Times New Roman" w:hAnsi="Times New Roman" w:cs="Times New Roman"/>
        </w:rPr>
        <w:t>），地下水环境现状调查评价范围应包括于建设项目相关的地下水环境保护目标，以能说明地下水环境现状，反映调查评价区地下水基本渗流特征，满足地下水环境影响预测和评价为基本原则。</w:t>
      </w:r>
    </w:p>
    <w:p w14:paraId="399ED344" w14:textId="77777777" w:rsidR="007D1E74" w:rsidRDefault="00A95641">
      <w:pPr>
        <w:adjustRightInd w:val="0"/>
        <w:snapToGrid w:val="0"/>
        <w:spacing w:line="360" w:lineRule="auto"/>
        <w:ind w:firstLineChars="200" w:firstLine="480"/>
        <w:rPr>
          <w:sz w:val="24"/>
        </w:rPr>
      </w:pPr>
      <w:r>
        <w:rPr>
          <w:sz w:val="24"/>
        </w:rPr>
        <w:t>建设项目地下水环境现状调查评价范围的确定可采用公式计算法、查表法及自定义法。</w:t>
      </w:r>
    </w:p>
    <w:p w14:paraId="1D1BA69B" w14:textId="77777777" w:rsidR="007D1E74" w:rsidRDefault="00A95641">
      <w:pPr>
        <w:adjustRightInd w:val="0"/>
        <w:snapToGrid w:val="0"/>
        <w:spacing w:line="360" w:lineRule="auto"/>
        <w:ind w:firstLineChars="200" w:firstLine="480"/>
        <w:rPr>
          <w:sz w:val="24"/>
        </w:rPr>
      </w:pPr>
      <w:r>
        <w:rPr>
          <w:sz w:val="24"/>
        </w:rPr>
        <w:t>（</w:t>
      </w:r>
      <w:r>
        <w:rPr>
          <w:sz w:val="24"/>
        </w:rPr>
        <w:t>1</w:t>
      </w:r>
      <w:r>
        <w:rPr>
          <w:sz w:val="24"/>
        </w:rPr>
        <w:t>）公式计算法</w:t>
      </w:r>
    </w:p>
    <w:p w14:paraId="48D3460D" w14:textId="77777777" w:rsidR="007D1E74" w:rsidRDefault="00A95641">
      <w:pPr>
        <w:adjustRightInd w:val="0"/>
        <w:snapToGrid w:val="0"/>
        <w:spacing w:line="360" w:lineRule="auto"/>
        <w:ind w:firstLineChars="200" w:firstLine="480"/>
        <w:rPr>
          <w:sz w:val="24"/>
        </w:rPr>
      </w:pPr>
      <w:r>
        <w:rPr>
          <w:sz w:val="24"/>
        </w:rPr>
        <w:t>当建设项目所在地水文地质条件相对简单，且所掌握的资料能够满足公式计算法的要求时，应采用公式计算法确定：</w:t>
      </w:r>
    </w:p>
    <w:p w14:paraId="6C332DF9" w14:textId="77777777" w:rsidR="007D1E74" w:rsidRDefault="00A95641">
      <w:pPr>
        <w:adjustRightInd w:val="0"/>
        <w:snapToGrid w:val="0"/>
        <w:spacing w:line="360" w:lineRule="auto"/>
        <w:jc w:val="center"/>
        <w:rPr>
          <w:i/>
          <w:sz w:val="24"/>
        </w:rPr>
      </w:pPr>
      <w:r>
        <w:rPr>
          <w:i/>
          <w:sz w:val="24"/>
        </w:rPr>
        <w:lastRenderedPageBreak/>
        <w:t>L=α×K×I×T/n</w:t>
      </w:r>
      <w:r>
        <w:rPr>
          <w:i/>
          <w:sz w:val="24"/>
          <w:vertAlign w:val="subscript"/>
        </w:rPr>
        <w:t xml:space="preserve">e          </w:t>
      </w:r>
      <w:r>
        <w:rPr>
          <w:sz w:val="24"/>
        </w:rPr>
        <w:t>（式</w:t>
      </w:r>
      <w:r>
        <w:rPr>
          <w:sz w:val="24"/>
        </w:rPr>
        <w:t>6-1</w:t>
      </w:r>
      <w:r>
        <w:rPr>
          <w:sz w:val="24"/>
        </w:rPr>
        <w:t>）</w:t>
      </w:r>
    </w:p>
    <w:p w14:paraId="02778DB7" w14:textId="77777777" w:rsidR="007D1E74" w:rsidRDefault="00A95641">
      <w:pPr>
        <w:adjustRightInd w:val="0"/>
        <w:snapToGrid w:val="0"/>
        <w:spacing w:line="360" w:lineRule="auto"/>
        <w:ind w:firstLine="480"/>
        <w:rPr>
          <w:sz w:val="24"/>
        </w:rPr>
      </w:pPr>
      <w:r>
        <w:rPr>
          <w:sz w:val="24"/>
        </w:rPr>
        <w:t>式中：</w:t>
      </w:r>
      <w:r>
        <w:rPr>
          <w:sz w:val="24"/>
        </w:rPr>
        <w:t>L—</w:t>
      </w:r>
      <w:r>
        <w:rPr>
          <w:sz w:val="24"/>
        </w:rPr>
        <w:t>下游迁移距离</w:t>
      </w:r>
    </w:p>
    <w:p w14:paraId="3F845A75" w14:textId="77777777" w:rsidR="007D1E74" w:rsidRDefault="00A95641">
      <w:pPr>
        <w:adjustRightInd w:val="0"/>
        <w:snapToGrid w:val="0"/>
        <w:spacing w:line="360" w:lineRule="auto"/>
        <w:ind w:firstLineChars="400" w:firstLine="960"/>
        <w:rPr>
          <w:sz w:val="24"/>
        </w:rPr>
      </w:pPr>
      <w:r>
        <w:rPr>
          <w:i/>
          <w:sz w:val="24"/>
        </w:rPr>
        <w:t>α</w:t>
      </w:r>
      <w:r>
        <w:rPr>
          <w:sz w:val="24"/>
        </w:rPr>
        <w:t>—</w:t>
      </w:r>
      <w:r>
        <w:rPr>
          <w:sz w:val="24"/>
        </w:rPr>
        <w:t>变化系数，</w:t>
      </w:r>
      <w:r>
        <w:rPr>
          <w:i/>
          <w:sz w:val="24"/>
        </w:rPr>
        <w:t>α≥</w:t>
      </w:r>
      <w:r>
        <w:rPr>
          <w:sz w:val="24"/>
        </w:rPr>
        <w:t>1</w:t>
      </w:r>
      <w:r>
        <w:rPr>
          <w:sz w:val="24"/>
        </w:rPr>
        <w:t>，一般取</w:t>
      </w:r>
      <w:r>
        <w:rPr>
          <w:sz w:val="24"/>
        </w:rPr>
        <w:t>2</w:t>
      </w:r>
    </w:p>
    <w:p w14:paraId="538EFE17" w14:textId="77777777" w:rsidR="007D1E74" w:rsidRDefault="00A95641">
      <w:pPr>
        <w:adjustRightInd w:val="0"/>
        <w:snapToGrid w:val="0"/>
        <w:spacing w:line="360" w:lineRule="auto"/>
        <w:ind w:firstLine="480"/>
        <w:rPr>
          <w:sz w:val="24"/>
        </w:rPr>
      </w:pPr>
      <w:r>
        <w:rPr>
          <w:sz w:val="24"/>
        </w:rPr>
        <w:t xml:space="preserve">    K—</w:t>
      </w:r>
      <w:r>
        <w:rPr>
          <w:sz w:val="24"/>
        </w:rPr>
        <w:t>渗透系数，</w:t>
      </w:r>
      <w:r>
        <w:rPr>
          <w:sz w:val="24"/>
        </w:rPr>
        <w:t>m/d</w:t>
      </w:r>
      <w:r>
        <w:rPr>
          <w:sz w:val="24"/>
        </w:rPr>
        <w:t>，</w:t>
      </w:r>
      <w:r>
        <w:rPr>
          <w:kern w:val="0"/>
          <w:sz w:val="24"/>
        </w:rPr>
        <w:t>本次取</w:t>
      </w:r>
      <w:r>
        <w:rPr>
          <w:kern w:val="0"/>
          <w:sz w:val="24"/>
        </w:rPr>
        <w:t>1.5m/d</w:t>
      </w:r>
      <w:r>
        <w:rPr>
          <w:kern w:val="0"/>
          <w:sz w:val="24"/>
        </w:rPr>
        <w:t>；（项目地下水</w:t>
      </w:r>
      <w:r>
        <w:rPr>
          <w:sz w:val="24"/>
          <w:szCs w:val="28"/>
        </w:rPr>
        <w:t>赋存于粉砂中，评价根据地勘报告的岩土特性，对照地下水导则附录</w:t>
      </w:r>
      <w:r>
        <w:rPr>
          <w:sz w:val="24"/>
          <w:szCs w:val="28"/>
        </w:rPr>
        <w:t xml:space="preserve"> B</w:t>
      </w:r>
      <w:r>
        <w:rPr>
          <w:sz w:val="24"/>
          <w:szCs w:val="28"/>
        </w:rPr>
        <w:t>（资料性附录）水文地质参数经验值表进行取值，并保守考虑，取</w:t>
      </w:r>
      <w:r>
        <w:rPr>
          <w:sz w:val="24"/>
          <w:szCs w:val="28"/>
        </w:rPr>
        <w:t>1.5</w:t>
      </w:r>
      <w:r>
        <w:rPr>
          <w:kern w:val="0"/>
          <w:sz w:val="24"/>
        </w:rPr>
        <w:t>）</w:t>
      </w:r>
    </w:p>
    <w:p w14:paraId="2FB6A30E" w14:textId="77777777" w:rsidR="007D1E74" w:rsidRDefault="00A95641">
      <w:pPr>
        <w:adjustRightInd w:val="0"/>
        <w:snapToGrid w:val="0"/>
        <w:spacing w:line="360" w:lineRule="auto"/>
        <w:ind w:firstLine="480"/>
        <w:rPr>
          <w:sz w:val="24"/>
        </w:rPr>
      </w:pPr>
      <w:r>
        <w:rPr>
          <w:sz w:val="24"/>
        </w:rPr>
        <w:t xml:space="preserve">    I—</w:t>
      </w:r>
      <w:r>
        <w:rPr>
          <w:sz w:val="24"/>
        </w:rPr>
        <w:t>水力坡度，无量纲</w:t>
      </w:r>
      <w:r>
        <w:rPr>
          <w:kern w:val="0"/>
          <w:sz w:val="24"/>
        </w:rPr>
        <w:t>，本次取</w:t>
      </w:r>
      <w:r>
        <w:rPr>
          <w:kern w:val="0"/>
          <w:sz w:val="24"/>
        </w:rPr>
        <w:t>0. 1</w:t>
      </w:r>
      <w:r>
        <w:rPr>
          <w:sz w:val="24"/>
        </w:rPr>
        <w:t>；</w:t>
      </w:r>
    </w:p>
    <w:p w14:paraId="0C9A1CBE" w14:textId="77777777" w:rsidR="007D1E74" w:rsidRDefault="00A95641">
      <w:pPr>
        <w:adjustRightInd w:val="0"/>
        <w:snapToGrid w:val="0"/>
        <w:spacing w:line="360" w:lineRule="auto"/>
        <w:ind w:firstLine="480"/>
        <w:rPr>
          <w:sz w:val="24"/>
        </w:rPr>
      </w:pPr>
      <w:r>
        <w:rPr>
          <w:sz w:val="24"/>
        </w:rPr>
        <w:t xml:space="preserve">    T—</w:t>
      </w:r>
      <w:r>
        <w:rPr>
          <w:sz w:val="24"/>
        </w:rPr>
        <w:t>质点迁移天数，取值不小于</w:t>
      </w:r>
      <w:r>
        <w:rPr>
          <w:sz w:val="24"/>
        </w:rPr>
        <w:t>5000d</w:t>
      </w:r>
      <w:r>
        <w:rPr>
          <w:sz w:val="24"/>
        </w:rPr>
        <w:t>；</w:t>
      </w:r>
    </w:p>
    <w:p w14:paraId="0F4D5189" w14:textId="77777777" w:rsidR="007D1E74" w:rsidRDefault="00A95641">
      <w:pPr>
        <w:adjustRightInd w:val="0"/>
        <w:snapToGrid w:val="0"/>
        <w:spacing w:line="360" w:lineRule="auto"/>
        <w:ind w:firstLine="480"/>
        <w:rPr>
          <w:kern w:val="0"/>
          <w:sz w:val="24"/>
        </w:rPr>
      </w:pPr>
      <w:r>
        <w:rPr>
          <w:sz w:val="24"/>
        </w:rPr>
        <w:t xml:space="preserve">    n</w:t>
      </w:r>
      <w:r>
        <w:rPr>
          <w:sz w:val="24"/>
          <w:vertAlign w:val="subscript"/>
        </w:rPr>
        <w:t>e</w:t>
      </w:r>
      <w:r>
        <w:rPr>
          <w:sz w:val="24"/>
        </w:rPr>
        <w:t>—</w:t>
      </w:r>
      <w:r>
        <w:rPr>
          <w:sz w:val="24"/>
        </w:rPr>
        <w:t>有效孔隙度，无量纲；</w:t>
      </w:r>
      <w:r>
        <w:rPr>
          <w:kern w:val="0"/>
          <w:sz w:val="24"/>
        </w:rPr>
        <w:t>（考虑含水层岩性特征，根据相关经验，本次综合有效孔隙度取值</w:t>
      </w:r>
      <w:r>
        <w:rPr>
          <w:kern w:val="0"/>
          <w:sz w:val="24"/>
        </w:rPr>
        <w:t>0.2</w:t>
      </w:r>
      <w:r>
        <w:rPr>
          <w:kern w:val="0"/>
          <w:sz w:val="24"/>
        </w:rPr>
        <w:t>）。</w:t>
      </w:r>
    </w:p>
    <w:p w14:paraId="243DA433" w14:textId="77777777" w:rsidR="007D1E74" w:rsidRDefault="00A95641">
      <w:pPr>
        <w:adjustRightInd w:val="0"/>
        <w:snapToGrid w:val="0"/>
        <w:spacing w:line="360" w:lineRule="auto"/>
        <w:ind w:firstLineChars="200" w:firstLine="480"/>
        <w:rPr>
          <w:sz w:val="24"/>
        </w:rPr>
      </w:pPr>
      <w:r>
        <w:rPr>
          <w:sz w:val="24"/>
        </w:rPr>
        <w:t>（</w:t>
      </w:r>
      <w:r>
        <w:rPr>
          <w:sz w:val="24"/>
        </w:rPr>
        <w:t>2</w:t>
      </w:r>
      <w:r>
        <w:rPr>
          <w:sz w:val="24"/>
        </w:rPr>
        <w:t>）查表法</w:t>
      </w:r>
    </w:p>
    <w:p w14:paraId="6BD1118A" w14:textId="77777777" w:rsidR="007D1E74" w:rsidRDefault="00A95641">
      <w:pPr>
        <w:adjustRightInd w:val="0"/>
        <w:snapToGrid w:val="0"/>
        <w:spacing w:line="360" w:lineRule="auto"/>
        <w:ind w:firstLineChars="200" w:firstLine="480"/>
        <w:rPr>
          <w:sz w:val="24"/>
        </w:rPr>
      </w:pPr>
      <w:r>
        <w:rPr>
          <w:sz w:val="24"/>
        </w:rPr>
        <w:t>当不满足公式计算法的要求时，可采用查表法确定。</w:t>
      </w:r>
    </w:p>
    <w:p w14:paraId="4E9AD33E" w14:textId="77777777" w:rsidR="007D1E74" w:rsidRDefault="00A95641">
      <w:pPr>
        <w:jc w:val="center"/>
        <w:rPr>
          <w:rFonts w:eastAsia="黑体"/>
          <w:bCs/>
          <w:szCs w:val="21"/>
        </w:rPr>
      </w:pPr>
      <w:r>
        <w:rPr>
          <w:rFonts w:eastAsia="黑体"/>
          <w:bCs/>
          <w:szCs w:val="21"/>
        </w:rPr>
        <w:t>表</w:t>
      </w:r>
      <w:r>
        <w:rPr>
          <w:rFonts w:eastAsia="黑体"/>
          <w:bCs/>
          <w:szCs w:val="21"/>
        </w:rPr>
        <w:t xml:space="preserve">6.2-3   </w:t>
      </w:r>
      <w:r>
        <w:rPr>
          <w:rFonts w:eastAsia="黑体"/>
          <w:bCs/>
          <w:szCs w:val="21"/>
        </w:rPr>
        <w:t>地下水环境现状调查评价范围参照</w:t>
      </w:r>
    </w:p>
    <w:tbl>
      <w:tblPr>
        <w:tblW w:w="4750" w:type="pct"/>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firstRow="1" w:lastRow="0" w:firstColumn="1" w:lastColumn="0" w:noHBand="0" w:noVBand="1"/>
      </w:tblPr>
      <w:tblGrid>
        <w:gridCol w:w="1690"/>
        <w:gridCol w:w="4022"/>
        <w:gridCol w:w="2857"/>
      </w:tblGrid>
      <w:tr w:rsidR="007D1E74" w14:paraId="78326E42" w14:textId="77777777">
        <w:trPr>
          <w:jc w:val="center"/>
        </w:trPr>
        <w:tc>
          <w:tcPr>
            <w:tcW w:w="986" w:type="pct"/>
            <w:vAlign w:val="center"/>
          </w:tcPr>
          <w:p w14:paraId="24A6D1F5" w14:textId="77777777" w:rsidR="007D1E74" w:rsidRDefault="00A95641">
            <w:pPr>
              <w:jc w:val="center"/>
              <w:rPr>
                <w:szCs w:val="21"/>
              </w:rPr>
            </w:pPr>
            <w:r>
              <w:rPr>
                <w:szCs w:val="21"/>
              </w:rPr>
              <w:t>评价等级</w:t>
            </w:r>
          </w:p>
        </w:tc>
        <w:tc>
          <w:tcPr>
            <w:tcW w:w="2347" w:type="pct"/>
            <w:vAlign w:val="center"/>
          </w:tcPr>
          <w:p w14:paraId="2ED17514" w14:textId="77777777" w:rsidR="007D1E74" w:rsidRDefault="00A95641">
            <w:pPr>
              <w:jc w:val="center"/>
              <w:rPr>
                <w:szCs w:val="21"/>
              </w:rPr>
            </w:pPr>
            <w:r>
              <w:rPr>
                <w:szCs w:val="21"/>
              </w:rPr>
              <w:t>调查评价面积（</w:t>
            </w:r>
            <w:r>
              <w:rPr>
                <w:szCs w:val="21"/>
              </w:rPr>
              <w:t>km</w:t>
            </w:r>
            <w:r>
              <w:rPr>
                <w:szCs w:val="21"/>
                <w:vertAlign w:val="superscript"/>
              </w:rPr>
              <w:t>2</w:t>
            </w:r>
            <w:r>
              <w:rPr>
                <w:szCs w:val="21"/>
              </w:rPr>
              <w:t>）</w:t>
            </w:r>
          </w:p>
        </w:tc>
        <w:tc>
          <w:tcPr>
            <w:tcW w:w="1667" w:type="pct"/>
            <w:vAlign w:val="center"/>
          </w:tcPr>
          <w:p w14:paraId="34854846" w14:textId="77777777" w:rsidR="007D1E74" w:rsidRDefault="00A95641">
            <w:pPr>
              <w:jc w:val="center"/>
              <w:rPr>
                <w:szCs w:val="21"/>
              </w:rPr>
            </w:pPr>
            <w:r>
              <w:rPr>
                <w:szCs w:val="21"/>
              </w:rPr>
              <w:t>备注</w:t>
            </w:r>
          </w:p>
        </w:tc>
      </w:tr>
      <w:tr w:rsidR="007D1E74" w14:paraId="238A6A2A" w14:textId="77777777">
        <w:trPr>
          <w:jc w:val="center"/>
        </w:trPr>
        <w:tc>
          <w:tcPr>
            <w:tcW w:w="986" w:type="pct"/>
            <w:vAlign w:val="center"/>
          </w:tcPr>
          <w:p w14:paraId="41BCC918" w14:textId="77777777" w:rsidR="007D1E74" w:rsidRDefault="00A95641">
            <w:pPr>
              <w:jc w:val="center"/>
              <w:rPr>
                <w:szCs w:val="21"/>
              </w:rPr>
            </w:pPr>
            <w:r>
              <w:rPr>
                <w:szCs w:val="21"/>
              </w:rPr>
              <w:t>一级</w:t>
            </w:r>
          </w:p>
        </w:tc>
        <w:tc>
          <w:tcPr>
            <w:tcW w:w="2347" w:type="pct"/>
            <w:vAlign w:val="center"/>
          </w:tcPr>
          <w:p w14:paraId="027B85F3" w14:textId="77777777" w:rsidR="007D1E74" w:rsidRDefault="00A95641">
            <w:pPr>
              <w:jc w:val="center"/>
              <w:rPr>
                <w:szCs w:val="21"/>
              </w:rPr>
            </w:pPr>
            <w:r>
              <w:rPr>
                <w:szCs w:val="21"/>
              </w:rPr>
              <w:t>≥20</w:t>
            </w:r>
          </w:p>
        </w:tc>
        <w:tc>
          <w:tcPr>
            <w:tcW w:w="1667" w:type="pct"/>
            <w:vMerge w:val="restart"/>
            <w:vAlign w:val="center"/>
          </w:tcPr>
          <w:p w14:paraId="57CE61CA" w14:textId="77777777" w:rsidR="007D1E74" w:rsidRDefault="00A95641">
            <w:pPr>
              <w:jc w:val="center"/>
              <w:rPr>
                <w:szCs w:val="21"/>
              </w:rPr>
            </w:pPr>
            <w:r>
              <w:rPr>
                <w:szCs w:val="21"/>
              </w:rPr>
              <w:t>应包括重要的地下水环境保护目标，必要时适当扩大范围</w:t>
            </w:r>
          </w:p>
        </w:tc>
      </w:tr>
      <w:tr w:rsidR="007D1E74" w14:paraId="10653132" w14:textId="77777777">
        <w:trPr>
          <w:jc w:val="center"/>
        </w:trPr>
        <w:tc>
          <w:tcPr>
            <w:tcW w:w="986" w:type="pct"/>
            <w:vAlign w:val="center"/>
          </w:tcPr>
          <w:p w14:paraId="10178755" w14:textId="77777777" w:rsidR="007D1E74" w:rsidRDefault="00A95641">
            <w:pPr>
              <w:jc w:val="center"/>
              <w:rPr>
                <w:szCs w:val="21"/>
              </w:rPr>
            </w:pPr>
            <w:r>
              <w:rPr>
                <w:szCs w:val="21"/>
              </w:rPr>
              <w:t>二级</w:t>
            </w:r>
          </w:p>
        </w:tc>
        <w:tc>
          <w:tcPr>
            <w:tcW w:w="2347" w:type="pct"/>
            <w:vAlign w:val="center"/>
          </w:tcPr>
          <w:p w14:paraId="71AF7296" w14:textId="77777777" w:rsidR="007D1E74" w:rsidRDefault="00A95641">
            <w:pPr>
              <w:jc w:val="center"/>
              <w:rPr>
                <w:szCs w:val="21"/>
              </w:rPr>
            </w:pPr>
            <w:r>
              <w:rPr>
                <w:szCs w:val="21"/>
              </w:rPr>
              <w:t>6</w:t>
            </w:r>
            <w:r>
              <w:rPr>
                <w:szCs w:val="21"/>
              </w:rPr>
              <w:t>～</w:t>
            </w:r>
            <w:r>
              <w:rPr>
                <w:szCs w:val="21"/>
              </w:rPr>
              <w:t>20</w:t>
            </w:r>
          </w:p>
        </w:tc>
        <w:tc>
          <w:tcPr>
            <w:tcW w:w="1667" w:type="pct"/>
            <w:vMerge/>
            <w:vAlign w:val="center"/>
          </w:tcPr>
          <w:p w14:paraId="72CBD2DC" w14:textId="77777777" w:rsidR="007D1E74" w:rsidRDefault="007D1E74">
            <w:pPr>
              <w:jc w:val="center"/>
              <w:rPr>
                <w:szCs w:val="21"/>
              </w:rPr>
            </w:pPr>
          </w:p>
        </w:tc>
      </w:tr>
      <w:tr w:rsidR="007D1E74" w14:paraId="3DE859A2" w14:textId="77777777">
        <w:trPr>
          <w:jc w:val="center"/>
        </w:trPr>
        <w:tc>
          <w:tcPr>
            <w:tcW w:w="986" w:type="pct"/>
            <w:vAlign w:val="center"/>
          </w:tcPr>
          <w:p w14:paraId="151CF49A" w14:textId="77777777" w:rsidR="007D1E74" w:rsidRDefault="00A95641">
            <w:pPr>
              <w:jc w:val="center"/>
              <w:rPr>
                <w:szCs w:val="21"/>
              </w:rPr>
            </w:pPr>
            <w:r>
              <w:rPr>
                <w:szCs w:val="21"/>
              </w:rPr>
              <w:t>三级</w:t>
            </w:r>
          </w:p>
        </w:tc>
        <w:tc>
          <w:tcPr>
            <w:tcW w:w="2347" w:type="pct"/>
            <w:vAlign w:val="center"/>
          </w:tcPr>
          <w:p w14:paraId="12E07C95" w14:textId="77777777" w:rsidR="007D1E74" w:rsidRDefault="00A95641">
            <w:pPr>
              <w:jc w:val="center"/>
              <w:rPr>
                <w:szCs w:val="21"/>
              </w:rPr>
            </w:pPr>
            <w:r>
              <w:rPr>
                <w:szCs w:val="21"/>
              </w:rPr>
              <w:t>≤6</w:t>
            </w:r>
          </w:p>
        </w:tc>
        <w:tc>
          <w:tcPr>
            <w:tcW w:w="1667" w:type="pct"/>
            <w:vMerge/>
            <w:vAlign w:val="center"/>
          </w:tcPr>
          <w:p w14:paraId="4918224A" w14:textId="77777777" w:rsidR="007D1E74" w:rsidRDefault="007D1E74">
            <w:pPr>
              <w:jc w:val="center"/>
              <w:rPr>
                <w:szCs w:val="21"/>
              </w:rPr>
            </w:pPr>
          </w:p>
        </w:tc>
      </w:tr>
    </w:tbl>
    <w:p w14:paraId="15C37325" w14:textId="77777777" w:rsidR="007D1E74" w:rsidRDefault="00A95641">
      <w:pPr>
        <w:adjustRightInd w:val="0"/>
        <w:snapToGrid w:val="0"/>
        <w:spacing w:line="360" w:lineRule="auto"/>
        <w:ind w:firstLineChars="200" w:firstLine="480"/>
        <w:rPr>
          <w:sz w:val="24"/>
        </w:rPr>
      </w:pPr>
      <w:r>
        <w:rPr>
          <w:sz w:val="24"/>
        </w:rPr>
        <w:t>（</w:t>
      </w:r>
      <w:r>
        <w:rPr>
          <w:sz w:val="24"/>
        </w:rPr>
        <w:t>3</w:t>
      </w:r>
      <w:r>
        <w:rPr>
          <w:sz w:val="24"/>
        </w:rPr>
        <w:t>）自定义法</w:t>
      </w:r>
    </w:p>
    <w:p w14:paraId="06251D60" w14:textId="77777777" w:rsidR="007D1E74" w:rsidRDefault="00A95641">
      <w:pPr>
        <w:adjustRightInd w:val="0"/>
        <w:snapToGrid w:val="0"/>
        <w:spacing w:line="360" w:lineRule="auto"/>
        <w:ind w:firstLineChars="200" w:firstLine="480"/>
        <w:rPr>
          <w:sz w:val="24"/>
        </w:rPr>
      </w:pPr>
      <w:r>
        <w:rPr>
          <w:sz w:val="24"/>
        </w:rPr>
        <w:t>当计算或查表范围超出所处水文地质单元边界时，应以所处水文地质单元边界为宜，可根据建设项目所在区域水文地质条件确定。</w:t>
      </w:r>
    </w:p>
    <w:p w14:paraId="58E49190" w14:textId="77777777" w:rsidR="007D1E74" w:rsidRDefault="00A95641">
      <w:pPr>
        <w:spacing w:line="360" w:lineRule="auto"/>
        <w:ind w:firstLineChars="200" w:firstLine="480"/>
        <w:rPr>
          <w:kern w:val="0"/>
          <w:sz w:val="24"/>
          <w:szCs w:val="32"/>
        </w:rPr>
      </w:pPr>
      <w:r>
        <w:rPr>
          <w:kern w:val="0"/>
          <w:sz w:val="24"/>
          <w:szCs w:val="32"/>
        </w:rPr>
        <w:t>根据现场调查及区域水文地质资料，本次选取自定义法及公式计算法确定本项目地下水环境影响调查评价范围：西侧以评价区最低排泄基准面蒲江河为界，北侧向下游以溶质迁移</w:t>
      </w:r>
      <w:r>
        <w:rPr>
          <w:kern w:val="0"/>
          <w:sz w:val="24"/>
          <w:szCs w:val="32"/>
        </w:rPr>
        <w:t>5000d</w:t>
      </w:r>
      <w:r>
        <w:rPr>
          <w:kern w:val="0"/>
          <w:sz w:val="24"/>
          <w:szCs w:val="32"/>
        </w:rPr>
        <w:t>距离</w:t>
      </w:r>
      <w:r>
        <w:rPr>
          <w:kern w:val="0"/>
          <w:sz w:val="24"/>
          <w:szCs w:val="32"/>
        </w:rPr>
        <w:t>L</w:t>
      </w:r>
      <w:r>
        <w:rPr>
          <w:kern w:val="0"/>
          <w:sz w:val="24"/>
          <w:szCs w:val="32"/>
        </w:rPr>
        <w:t>，即</w:t>
      </w:r>
      <w:r>
        <w:rPr>
          <w:kern w:val="0"/>
          <w:sz w:val="24"/>
          <w:szCs w:val="32"/>
        </w:rPr>
        <w:t>300m</w:t>
      </w:r>
      <w:r>
        <w:rPr>
          <w:kern w:val="0"/>
          <w:sz w:val="24"/>
          <w:szCs w:val="32"/>
        </w:rPr>
        <w:t>为界；南侧、东侧上游均以</w:t>
      </w:r>
      <w:r>
        <w:rPr>
          <w:kern w:val="0"/>
          <w:sz w:val="24"/>
          <w:szCs w:val="32"/>
        </w:rPr>
        <w:t>L/2</w:t>
      </w:r>
      <w:r>
        <w:rPr>
          <w:kern w:val="0"/>
          <w:sz w:val="24"/>
          <w:szCs w:val="32"/>
        </w:rPr>
        <w:t>，即</w:t>
      </w:r>
      <w:r>
        <w:rPr>
          <w:kern w:val="0"/>
          <w:sz w:val="24"/>
          <w:szCs w:val="32"/>
        </w:rPr>
        <w:t>150m</w:t>
      </w:r>
      <w:r>
        <w:rPr>
          <w:kern w:val="0"/>
          <w:sz w:val="24"/>
          <w:szCs w:val="32"/>
        </w:rPr>
        <w:t>为界。据测算，本项目地下水环境影响评价范围共计</w:t>
      </w:r>
      <w:r>
        <w:rPr>
          <w:kern w:val="0"/>
          <w:sz w:val="24"/>
          <w:szCs w:val="32"/>
        </w:rPr>
        <w:t>0.044km</w:t>
      </w:r>
      <w:r>
        <w:rPr>
          <w:kern w:val="0"/>
          <w:sz w:val="24"/>
          <w:szCs w:val="32"/>
          <w:vertAlign w:val="superscript"/>
        </w:rPr>
        <w:t>2</w:t>
      </w:r>
      <w:r>
        <w:rPr>
          <w:kern w:val="0"/>
          <w:sz w:val="24"/>
          <w:szCs w:val="32"/>
        </w:rPr>
        <w:t>。</w:t>
      </w:r>
    </w:p>
    <w:p w14:paraId="53B1292A" w14:textId="77777777" w:rsidR="007D1E74" w:rsidRDefault="00A95641">
      <w:pPr>
        <w:pStyle w:val="affffff6"/>
        <w:ind w:firstLineChars="0" w:firstLine="0"/>
        <w:jc w:val="center"/>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673600" behindDoc="0" locked="0" layoutInCell="1" allowOverlap="1" wp14:anchorId="1E7B0983" wp14:editId="7128A2AF">
                <wp:simplePos x="0" y="0"/>
                <wp:positionH relativeFrom="column">
                  <wp:posOffset>2848610</wp:posOffset>
                </wp:positionH>
                <wp:positionV relativeFrom="paragraph">
                  <wp:posOffset>2047240</wp:posOffset>
                </wp:positionV>
                <wp:extent cx="754380" cy="259080"/>
                <wp:effectExtent l="4445" t="4445" r="18415" b="10795"/>
                <wp:wrapNone/>
                <wp:docPr id="159" name="文本框 159"/>
                <wp:cNvGraphicFramePr/>
                <a:graphic xmlns:a="http://schemas.openxmlformats.org/drawingml/2006/main">
                  <a:graphicData uri="http://schemas.microsoft.com/office/word/2010/wordprocessingShape">
                    <wps:wsp>
                      <wps:cNvSpPr txBox="1"/>
                      <wps:spPr>
                        <a:xfrm>
                          <a:off x="0" y="0"/>
                          <a:ext cx="754380" cy="259080"/>
                        </a:xfrm>
                        <a:prstGeom prst="rect">
                          <a:avLst/>
                        </a:prstGeom>
                        <a:solidFill>
                          <a:schemeClr val="lt1"/>
                        </a:solidFill>
                        <a:ln w="6350">
                          <a:solidFill>
                            <a:prstClr val="black"/>
                          </a:solidFill>
                        </a:ln>
                      </wps:spPr>
                      <wps:txbx>
                        <w:txbxContent>
                          <w:p w14:paraId="070761DE" w14:textId="77777777" w:rsidR="007D1E74" w:rsidRDefault="00A95641">
                            <w:pPr>
                              <w:adjustRightInd w:val="0"/>
                              <w:snapToGrid w:val="0"/>
                            </w:pPr>
                            <w:r>
                              <w:rPr>
                                <w:rFonts w:hint="eastAsia"/>
                              </w:rPr>
                              <w:t>评价范围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E7B0983" id="文本框 159" o:spid="_x0000_s1138" type="#_x0000_t202" style="position:absolute;left:0;text-align:left;margin-left:224.3pt;margin-top:161.2pt;width:59.4pt;height:20.4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" fillcolor="white [3201]" strokeweight=".5pt">
                <v:textbox>
                  <w:txbxContent>
                    <w:p w14:paraId="070761DE" w14:textId="77777777" w:rsidR="007D1E74" w:rsidRDefault="00A95641">
                      <w:pPr>
                        <w:adjustRightInd w:val="0"/>
                        <w:snapToGrid w:val="0"/>
                      </w:pPr>
                      <w:r>
                        <w:rPr>
                          <w:rFonts w:hint="eastAsia"/>
                        </w:rPr>
                        <w:t>评价范围</w:t>
                      </w:r>
                    </w:p>
                  </w:txbxContent>
                </v:textbox>
              </v:shape>
            </w:pict>
          </mc:Fallback>
        </mc:AlternateContent>
      </w:r>
      <w:r>
        <w:rPr>
          <w:rFonts w:ascii="Times New Roman" w:hAnsi="Times New Roman" w:cs="Times New Roman"/>
          <w:noProof/>
        </w:rPr>
        <mc:AlternateContent>
          <mc:Choice Requires="wps">
            <w:drawing>
              <wp:anchor distT="0" distB="0" distL="114300" distR="114300" simplePos="0" relativeHeight="251672576" behindDoc="0" locked="0" layoutInCell="1" allowOverlap="1" wp14:anchorId="3EF5F7FB" wp14:editId="7D371AF1">
                <wp:simplePos x="0" y="0"/>
                <wp:positionH relativeFrom="column">
                  <wp:posOffset>1667510</wp:posOffset>
                </wp:positionH>
                <wp:positionV relativeFrom="paragraph">
                  <wp:posOffset>3046730</wp:posOffset>
                </wp:positionV>
                <wp:extent cx="617220" cy="259080"/>
                <wp:effectExtent l="4445" t="4445" r="18415" b="10795"/>
                <wp:wrapNone/>
                <wp:docPr id="154" name="文本框 154"/>
                <wp:cNvGraphicFramePr/>
                <a:graphic xmlns:a="http://schemas.openxmlformats.org/drawingml/2006/main">
                  <a:graphicData uri="http://schemas.microsoft.com/office/word/2010/wordprocessingShape">
                    <wps:wsp>
                      <wps:cNvSpPr txBox="1"/>
                      <wps:spPr>
                        <a:xfrm>
                          <a:off x="0" y="0"/>
                          <a:ext cx="617220" cy="259080"/>
                        </a:xfrm>
                        <a:prstGeom prst="rect">
                          <a:avLst/>
                        </a:prstGeom>
                        <a:solidFill>
                          <a:schemeClr val="lt1"/>
                        </a:solidFill>
                        <a:ln w="6350">
                          <a:solidFill>
                            <a:prstClr val="black"/>
                          </a:solidFill>
                        </a:ln>
                      </wps:spPr>
                      <wps:txbx>
                        <w:txbxContent>
                          <w:p w14:paraId="2680C154" w14:textId="77777777" w:rsidR="007D1E74" w:rsidRDefault="00A95641">
                            <w:pPr>
                              <w:adjustRightInd w:val="0"/>
                              <w:snapToGrid w:val="0"/>
                              <w:jc w:val="center"/>
                            </w:pPr>
                            <w:r>
                              <w:rPr>
                                <w:rFonts w:hint="eastAsia"/>
                              </w:rPr>
                              <w:t>支流</w:t>
                            </w:r>
                            <w:r>
                              <w:rPr>
                                <w:rFonts w:hint="eastAsia"/>
                                <w:noProof/>
                              </w:rPr>
                              <w:drawing>
                                <wp:inline distT="0" distB="0" distL="0" distR="0" wp14:anchorId="223C71F7" wp14:editId="03ECD43F">
                                  <wp:extent cx="352425" cy="161290"/>
                                  <wp:effectExtent l="0" t="0" r="13335" b="635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a:xfrm>
                                            <a:off x="0" y="0"/>
                                            <a:ext cx="352425" cy="1612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EF5F7FB" id="文本框 154" o:spid="_x0000_s1139" type="#_x0000_t202" style="position:absolute;left:0;text-align:left;margin-left:131.3pt;margin-top:239.9pt;width:48.6pt;height:20.4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" fillcolor="white [3201]" strokeweight=".5pt">
                <v:textbox>
                  <w:txbxContent>
                    <w:p w14:paraId="2680C154" w14:textId="77777777" w:rsidR="007D1E74" w:rsidRDefault="00A95641">
                      <w:pPr>
                        <w:adjustRightInd w:val="0"/>
                        <w:snapToGrid w:val="0"/>
                        <w:jc w:val="center"/>
                      </w:pPr>
                      <w:r>
                        <w:rPr>
                          <w:rFonts w:hint="eastAsia"/>
                        </w:rPr>
                        <w:t>支流</w:t>
                      </w:r>
                      <w:r>
                        <w:rPr>
                          <w:rFonts w:hint="eastAsia"/>
                          <w:noProof/>
                        </w:rPr>
                        <w:drawing>
                          <wp:inline distT="0" distB="0" distL="0" distR="0" wp14:anchorId="223C71F7" wp14:editId="03ECD43F">
                            <wp:extent cx="352425" cy="161290"/>
                            <wp:effectExtent l="0" t="0" r="13335" b="635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a:xfrm>
                                      <a:off x="0" y="0"/>
                                      <a:ext cx="352425" cy="161290"/>
                                    </a:xfrm>
                                    <a:prstGeom prst="rect">
                                      <a:avLst/>
                                    </a:prstGeom>
                                    <a:noFill/>
                                    <a:ln>
                                      <a:noFill/>
                                    </a:ln>
                                  </pic:spPr>
                                </pic:pic>
                              </a:graphicData>
                            </a:graphic>
                          </wp:inline>
                        </w:drawing>
                      </w:r>
                    </w:p>
                  </w:txbxContent>
                </v:textbox>
              </v:shape>
            </w:pict>
          </mc:Fallback>
        </mc:AlternateContent>
      </w:r>
      <w:r>
        <w:rPr>
          <w:rFonts w:ascii="Times New Roman" w:hAnsi="Times New Roman" w:cs="Times New Roman"/>
          <w:noProof/>
        </w:rPr>
        <mc:AlternateContent>
          <mc:Choice Requires="wps">
            <w:drawing>
              <wp:anchor distT="0" distB="0" distL="114300" distR="114300" simplePos="0" relativeHeight="251671552" behindDoc="0" locked="0" layoutInCell="1" allowOverlap="1" wp14:anchorId="461189AF" wp14:editId="29DBDB69">
                <wp:simplePos x="0" y="0"/>
                <wp:positionH relativeFrom="column">
                  <wp:posOffset>2505710</wp:posOffset>
                </wp:positionH>
                <wp:positionV relativeFrom="paragraph">
                  <wp:posOffset>1003300</wp:posOffset>
                </wp:positionV>
                <wp:extent cx="617220" cy="259080"/>
                <wp:effectExtent l="4445" t="4445" r="18415" b="10795"/>
                <wp:wrapNone/>
                <wp:docPr id="149" name="文本框 149"/>
                <wp:cNvGraphicFramePr/>
                <a:graphic xmlns:a="http://schemas.openxmlformats.org/drawingml/2006/main">
                  <a:graphicData uri="http://schemas.microsoft.com/office/word/2010/wordprocessingShape">
                    <wps:wsp>
                      <wps:cNvSpPr txBox="1"/>
                      <wps:spPr>
                        <a:xfrm>
                          <a:off x="0" y="0"/>
                          <a:ext cx="617220" cy="259080"/>
                        </a:xfrm>
                        <a:prstGeom prst="rect">
                          <a:avLst/>
                        </a:prstGeom>
                        <a:solidFill>
                          <a:schemeClr val="lt1"/>
                        </a:solidFill>
                        <a:ln w="6350">
                          <a:solidFill>
                            <a:prstClr val="black"/>
                          </a:solidFill>
                        </a:ln>
                      </wps:spPr>
                      <wps:txbx>
                        <w:txbxContent>
                          <w:p w14:paraId="021F72A6" w14:textId="77777777" w:rsidR="007D1E74" w:rsidRDefault="00A95641">
                            <w:pPr>
                              <w:adjustRightInd w:val="0"/>
                              <w:snapToGrid w:val="0"/>
                              <w:jc w:val="center"/>
                            </w:pPr>
                            <w:r>
                              <w:rPr>
                                <w:rFonts w:hint="eastAsia"/>
                              </w:rPr>
                              <w:t>清峪河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61189AF" id="文本框 149" o:spid="_x0000_s1140" type="#_x0000_t202" style="position:absolute;left:0;text-align:left;margin-left:197.3pt;margin-top:79pt;width:48.6pt;height:20.4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" fillcolor="white [3201]" strokeweight=".5pt">
                <v:textbox>
                  <w:txbxContent>
                    <w:p w14:paraId="021F72A6" w14:textId="77777777" w:rsidR="007D1E74" w:rsidRDefault="00A95641">
                      <w:pPr>
                        <w:adjustRightInd w:val="0"/>
                        <w:snapToGrid w:val="0"/>
                        <w:jc w:val="center"/>
                      </w:pPr>
                      <w:r>
                        <w:rPr>
                          <w:rFonts w:hint="eastAsia"/>
                        </w:rPr>
                        <w:t>清峪河</w:t>
                      </w:r>
                    </w:p>
                  </w:txbxContent>
                </v:textbox>
              </v:shape>
            </w:pict>
          </mc:Fallback>
        </mc:AlternateContent>
      </w:r>
      <w:r>
        <w:rPr>
          <w:rFonts w:ascii="Times New Roman" w:hAnsi="Times New Roman" w:cs="Times New Roman"/>
          <w:noProof/>
        </w:rPr>
        <w:drawing>
          <wp:inline distT="0" distB="0" distL="0" distR="0" wp14:anchorId="727D2701" wp14:editId="464E45BA">
            <wp:extent cx="4986655" cy="4107180"/>
            <wp:effectExtent l="0" t="0" r="12065" b="762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154"/>
                    <a:stretch>
                      <a:fillRect/>
                    </a:stretch>
                  </pic:blipFill>
                  <pic:spPr>
                    <a:xfrm>
                      <a:off x="0" y="0"/>
                      <a:ext cx="4989939" cy="4109685"/>
                    </a:xfrm>
                    <a:prstGeom prst="rect">
                      <a:avLst/>
                    </a:prstGeom>
                  </pic:spPr>
                </pic:pic>
              </a:graphicData>
            </a:graphic>
          </wp:inline>
        </w:drawing>
      </w:r>
    </w:p>
    <w:p w14:paraId="4E8500A8" w14:textId="77777777" w:rsidR="007D1E74" w:rsidRDefault="00A95641">
      <w:pPr>
        <w:pStyle w:val="affffff6"/>
        <w:ind w:firstLine="422"/>
        <w:jc w:val="center"/>
        <w:rPr>
          <w:rFonts w:ascii="Times New Roman" w:hAnsi="Times New Roman" w:cs="Times New Roman"/>
          <w:b/>
          <w:bCs/>
          <w:sz w:val="21"/>
          <w:szCs w:val="20"/>
        </w:rPr>
      </w:pPr>
      <w:r>
        <w:rPr>
          <w:rFonts w:ascii="Times New Roman" w:hAnsi="Times New Roman" w:cs="Times New Roman"/>
          <w:b/>
          <w:bCs/>
          <w:sz w:val="21"/>
          <w:szCs w:val="20"/>
        </w:rPr>
        <w:t>附图</w:t>
      </w:r>
      <w:r>
        <w:rPr>
          <w:rFonts w:ascii="Times New Roman" w:hAnsi="Times New Roman" w:cs="Times New Roman"/>
          <w:b/>
          <w:bCs/>
          <w:sz w:val="21"/>
          <w:szCs w:val="20"/>
        </w:rPr>
        <w:t xml:space="preserve">6.2-1   </w:t>
      </w:r>
      <w:r>
        <w:rPr>
          <w:rFonts w:ascii="Times New Roman" w:hAnsi="Times New Roman" w:cs="Times New Roman"/>
          <w:b/>
          <w:bCs/>
          <w:sz w:val="21"/>
          <w:szCs w:val="20"/>
        </w:rPr>
        <w:t>项目地下水评价范围</w:t>
      </w:r>
    </w:p>
    <w:p w14:paraId="5F77030C" w14:textId="77777777" w:rsidR="007D1E74" w:rsidRDefault="00A95641">
      <w:pPr>
        <w:pStyle w:val="-1"/>
        <w:ind w:firstLine="480"/>
      </w:pPr>
      <w:r>
        <w:t>根据《环境影响评价技术导则</w:t>
      </w:r>
      <w:r>
        <w:t xml:space="preserve"> </w:t>
      </w:r>
      <w:r>
        <w:t>地下水环境》（</w:t>
      </w:r>
      <w:r>
        <w:t>HJ610-2016</w:t>
      </w:r>
      <w:r>
        <w:t>）中有关要求，本次地下水环境影响预测范围与调查评价范围一致，预测时间为非正常状况下污染发生后</w:t>
      </w:r>
      <w:r>
        <w:t>100d</w:t>
      </w:r>
      <w:r>
        <w:t>、</w:t>
      </w:r>
      <w:r>
        <w:t>1000d</w:t>
      </w:r>
      <w:r>
        <w:t>、</w:t>
      </w:r>
      <w:r>
        <w:t>20</w:t>
      </w:r>
      <w:r>
        <w:t>年。</w:t>
      </w:r>
    </w:p>
    <w:p w14:paraId="73BCD147" w14:textId="77777777" w:rsidR="007D1E74" w:rsidRDefault="00A95641">
      <w:pPr>
        <w:pStyle w:val="-1"/>
        <w:ind w:firstLine="482"/>
        <w:rPr>
          <w:b/>
        </w:rPr>
      </w:pPr>
      <w:r>
        <w:rPr>
          <w:b/>
        </w:rPr>
        <w:t>3</w:t>
      </w:r>
      <w:r>
        <w:rPr>
          <w:b/>
        </w:rPr>
        <w:t>、情景设置</w:t>
      </w:r>
    </w:p>
    <w:p w14:paraId="2DB57C8B" w14:textId="77777777" w:rsidR="007D1E74" w:rsidRDefault="00A95641">
      <w:pPr>
        <w:pStyle w:val="-1"/>
        <w:ind w:firstLine="480"/>
      </w:pPr>
      <w:r>
        <w:t>根据地下水环境影响识别，营运期对地下水环境可能产生污染的污染源主要为污水处理站生产废水</w:t>
      </w:r>
      <w:bookmarkStart w:id="33" w:name="_Hlk98488825"/>
      <w:r>
        <w:rPr>
          <w:rFonts w:hint="eastAsia"/>
        </w:rPr>
        <w:t>泄漏</w:t>
      </w:r>
      <w:bookmarkEnd w:id="33"/>
      <w:r>
        <w:t>影响，在严格按照环评中划定的防渗分区，落实各防渗区地面防渗措施，确保污水处理站正常运行的情况下，废水发生渗漏的可能性很小，对地下水环境基无影响。但一旦污水处理站出现故障、渗漏等非正常状况，生产废水将对地下水环境造成点源或面源污染，污染物可能下渗至包气带从而在潜水含水层中进行迁移。根据《环境影响评价技术导则</w:t>
      </w:r>
      <w:r>
        <w:t xml:space="preserve"> </w:t>
      </w:r>
      <w:r>
        <w:t>地下水环境》（</w:t>
      </w:r>
      <w:r>
        <w:t>HJ610-2016</w:t>
      </w:r>
      <w:r>
        <w:t>）中有关要求，本次环评主要预测非正常状况下污染物的迁移变化。</w:t>
      </w:r>
    </w:p>
    <w:p w14:paraId="26779BC4" w14:textId="77777777" w:rsidR="007D1E74" w:rsidRDefault="00A95641">
      <w:pPr>
        <w:pStyle w:val="-1"/>
        <w:ind w:firstLine="482"/>
        <w:rPr>
          <w:b/>
        </w:rPr>
      </w:pPr>
      <w:r>
        <w:rPr>
          <w:b/>
        </w:rPr>
        <w:t>4</w:t>
      </w:r>
      <w:r>
        <w:rPr>
          <w:b/>
        </w:rPr>
        <w:t>、预测因子</w:t>
      </w:r>
    </w:p>
    <w:p w14:paraId="559F7BAE" w14:textId="77777777" w:rsidR="007D1E74" w:rsidRDefault="00A95641">
      <w:pPr>
        <w:pStyle w:val="-1"/>
        <w:ind w:firstLine="480"/>
      </w:pPr>
      <w:r>
        <w:t>根据建设项目采出废水特点，本次环评选取石油类为预测因子。</w:t>
      </w:r>
    </w:p>
    <w:p w14:paraId="62589501" w14:textId="77777777" w:rsidR="007D1E74" w:rsidRDefault="00A95641">
      <w:pPr>
        <w:pStyle w:val="-1"/>
        <w:ind w:firstLine="482"/>
        <w:rPr>
          <w:b/>
        </w:rPr>
      </w:pPr>
      <w:r>
        <w:rPr>
          <w:b/>
        </w:rPr>
        <w:t>5</w:t>
      </w:r>
      <w:r>
        <w:rPr>
          <w:b/>
        </w:rPr>
        <w:t>、预测源强</w:t>
      </w:r>
    </w:p>
    <w:p w14:paraId="7B593C8C" w14:textId="77777777" w:rsidR="007D1E74" w:rsidRDefault="00A95641">
      <w:pPr>
        <w:pStyle w:val="-1"/>
        <w:ind w:firstLine="480"/>
      </w:pPr>
      <w:r>
        <w:lastRenderedPageBreak/>
        <w:t>假设采出水罐发生泄漏事故时，建设单位通过设置重点防渗进行防治，但仍有部分废水可能通过渗漏进入地下水。</w:t>
      </w:r>
    </w:p>
    <w:p w14:paraId="2974CA5C" w14:textId="77777777" w:rsidR="007D1E74" w:rsidRDefault="00A95641">
      <w:pPr>
        <w:spacing w:line="360" w:lineRule="auto"/>
        <w:ind w:firstLineChars="200" w:firstLine="480"/>
        <w:rPr>
          <w:sz w:val="24"/>
        </w:rPr>
      </w:pPr>
      <w:r>
        <w:rPr>
          <w:sz w:val="24"/>
        </w:rPr>
        <w:t>非正常状况下，因生产设备老化及腐蚀等因素影响，厂区地坪防渗层防渗性能减弱，采出水罐因老化、腐蚀等原因出现裂，假设采出水罐发生破裂发生污水泄漏事故，</w:t>
      </w:r>
    </w:p>
    <w:p w14:paraId="0083FCE0" w14:textId="77777777" w:rsidR="007D1E74" w:rsidRDefault="00A95641">
      <w:pPr>
        <w:spacing w:line="360" w:lineRule="auto"/>
        <w:rPr>
          <w:sz w:val="24"/>
        </w:rPr>
      </w:pPr>
      <w:r>
        <w:rPr>
          <w:sz w:val="24"/>
        </w:rPr>
        <w:t>采出水罐容积约为</w:t>
      </w:r>
      <w:r>
        <w:rPr>
          <w:sz w:val="24"/>
        </w:rPr>
        <w:t>20m</w:t>
      </w:r>
      <w:r>
        <w:rPr>
          <w:sz w:val="24"/>
          <w:vertAlign w:val="superscript"/>
        </w:rPr>
        <w:t>3</w:t>
      </w:r>
      <w:r>
        <w:rPr>
          <w:sz w:val="24"/>
        </w:rPr>
        <w:t>，考虑其最不利情况，泄漏量按全部</w:t>
      </w:r>
      <w:r>
        <w:rPr>
          <w:rFonts w:hint="eastAsia"/>
          <w:sz w:val="24"/>
        </w:rPr>
        <w:t>泄漏</w:t>
      </w:r>
      <w:r>
        <w:rPr>
          <w:sz w:val="24"/>
        </w:rPr>
        <w:t>进行计算。由于采出废水须定期转运，容易发现</w:t>
      </w:r>
      <w:r>
        <w:rPr>
          <w:rFonts w:hint="eastAsia"/>
          <w:sz w:val="24"/>
        </w:rPr>
        <w:t>泄漏</w:t>
      </w:r>
      <w:r>
        <w:rPr>
          <w:sz w:val="24"/>
        </w:rPr>
        <w:t>，并采取相应措施，截断污染源下渗。因此考虑为事故情况下瞬时点源</w:t>
      </w:r>
      <w:r>
        <w:rPr>
          <w:rFonts w:hint="eastAsia"/>
          <w:sz w:val="24"/>
        </w:rPr>
        <w:t>泄漏</w:t>
      </w:r>
      <w:r>
        <w:rPr>
          <w:sz w:val="24"/>
        </w:rPr>
        <w:t>。</w:t>
      </w:r>
    </w:p>
    <w:p w14:paraId="6288BB7F" w14:textId="77777777" w:rsidR="007D1E74" w:rsidRDefault="00A95641">
      <w:pPr>
        <w:spacing w:line="360" w:lineRule="auto"/>
        <w:ind w:firstLineChars="200" w:firstLine="480"/>
        <w:rPr>
          <w:sz w:val="24"/>
        </w:rPr>
      </w:pPr>
      <w:r>
        <w:rPr>
          <w:sz w:val="24"/>
        </w:rPr>
        <w:t>污染物浓度参考本地区马</w:t>
      </w:r>
      <w:r>
        <w:rPr>
          <w:sz w:val="24"/>
        </w:rPr>
        <w:t>1-11</w:t>
      </w:r>
      <w:r>
        <w:rPr>
          <w:sz w:val="24"/>
        </w:rPr>
        <w:t>废液浓度石油类</w:t>
      </w:r>
      <w:r>
        <w:rPr>
          <w:sz w:val="24"/>
        </w:rPr>
        <w:t>100mg/L</w:t>
      </w:r>
      <w:r>
        <w:rPr>
          <w:sz w:val="24"/>
        </w:rPr>
        <w:t>，污水中污染物质量标准及源强计算结果见表下表。</w:t>
      </w:r>
    </w:p>
    <w:p w14:paraId="328DD1BA" w14:textId="77777777" w:rsidR="007D1E74" w:rsidRDefault="00A95641">
      <w:pPr>
        <w:spacing w:line="360" w:lineRule="auto"/>
        <w:ind w:left="420"/>
        <w:jc w:val="center"/>
        <w:rPr>
          <w:rFonts w:eastAsia="黑体"/>
          <w:szCs w:val="18"/>
        </w:rPr>
      </w:pPr>
      <w:r>
        <w:rPr>
          <w:rFonts w:eastAsia="黑体"/>
          <w:szCs w:val="21"/>
        </w:rPr>
        <w:t>表</w:t>
      </w:r>
      <w:r>
        <w:rPr>
          <w:rFonts w:eastAsia="黑体"/>
          <w:szCs w:val="21"/>
        </w:rPr>
        <w:t xml:space="preserve">6.2-4 </w:t>
      </w:r>
      <w:r>
        <w:rPr>
          <w:rFonts w:eastAsia="黑体"/>
          <w:bCs/>
          <w:sz w:val="18"/>
          <w:szCs w:val="18"/>
        </w:rPr>
        <w:t xml:space="preserve"> </w:t>
      </w:r>
      <w:r>
        <w:rPr>
          <w:rFonts w:eastAsia="黑体"/>
          <w:szCs w:val="21"/>
        </w:rPr>
        <w:t xml:space="preserve"> </w:t>
      </w:r>
      <w:r>
        <w:rPr>
          <w:rFonts w:eastAsia="黑体"/>
          <w:szCs w:val="18"/>
        </w:rPr>
        <w:t>非正常工况下污染物源强表</w:t>
      </w:r>
    </w:p>
    <w:tbl>
      <w:tblPr>
        <w:tblW w:w="49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9"/>
        <w:gridCol w:w="1099"/>
        <w:gridCol w:w="1669"/>
        <w:gridCol w:w="1673"/>
        <w:gridCol w:w="1669"/>
        <w:gridCol w:w="1673"/>
      </w:tblGrid>
      <w:tr w:rsidR="007D1E74" w14:paraId="481310C7" w14:textId="77777777">
        <w:tc>
          <w:tcPr>
            <w:tcW w:w="682" w:type="pct"/>
            <w:shd w:val="clear" w:color="auto" w:fill="auto"/>
            <w:vAlign w:val="center"/>
          </w:tcPr>
          <w:p w14:paraId="05B3A2AB" w14:textId="77777777" w:rsidR="007D1E74" w:rsidRDefault="00A95641">
            <w:pPr>
              <w:pStyle w:val="08"/>
              <w:rPr>
                <w:rFonts w:ascii="Times New Roman" w:hAnsi="Times New Roman" w:cs="Times New Roman"/>
              </w:rPr>
            </w:pPr>
            <w:r>
              <w:rPr>
                <w:rFonts w:ascii="Times New Roman" w:hAnsi="Times New Roman" w:cs="Times New Roman"/>
              </w:rPr>
              <w:t>情景设定</w:t>
            </w:r>
          </w:p>
        </w:tc>
        <w:tc>
          <w:tcPr>
            <w:tcW w:w="610" w:type="pct"/>
            <w:shd w:val="clear" w:color="auto" w:fill="auto"/>
            <w:vAlign w:val="center"/>
          </w:tcPr>
          <w:p w14:paraId="57742248" w14:textId="77777777" w:rsidR="007D1E74" w:rsidRDefault="00A95641">
            <w:pPr>
              <w:pStyle w:val="08"/>
              <w:rPr>
                <w:rFonts w:ascii="Times New Roman" w:hAnsi="Times New Roman" w:cs="Times New Roman"/>
              </w:rPr>
            </w:pPr>
            <w:r>
              <w:rPr>
                <w:rFonts w:ascii="Times New Roman" w:hAnsi="Times New Roman" w:cs="Times New Roman"/>
              </w:rPr>
              <w:t>污染物</w:t>
            </w:r>
          </w:p>
        </w:tc>
        <w:tc>
          <w:tcPr>
            <w:tcW w:w="926" w:type="pct"/>
            <w:shd w:val="clear" w:color="auto" w:fill="auto"/>
            <w:vAlign w:val="center"/>
          </w:tcPr>
          <w:p w14:paraId="1D540BC9" w14:textId="77777777" w:rsidR="007D1E74" w:rsidRDefault="00A95641">
            <w:pPr>
              <w:pStyle w:val="08"/>
              <w:rPr>
                <w:rFonts w:ascii="Times New Roman" w:hAnsi="Times New Roman" w:cs="Times New Roman"/>
              </w:rPr>
            </w:pPr>
            <w:r>
              <w:rPr>
                <w:rFonts w:ascii="Times New Roman" w:hAnsi="Times New Roman" w:cs="Times New Roman"/>
              </w:rPr>
              <w:t>浓度（</w:t>
            </w:r>
            <w:r>
              <w:rPr>
                <w:rFonts w:ascii="Times New Roman" w:hAnsi="Times New Roman" w:cs="Times New Roman"/>
              </w:rPr>
              <w:t>mg/L</w:t>
            </w:r>
            <w:r>
              <w:rPr>
                <w:rFonts w:ascii="Times New Roman" w:hAnsi="Times New Roman" w:cs="Times New Roman"/>
              </w:rPr>
              <w:t>）</w:t>
            </w:r>
          </w:p>
        </w:tc>
        <w:tc>
          <w:tcPr>
            <w:tcW w:w="928" w:type="pct"/>
            <w:shd w:val="clear" w:color="auto" w:fill="auto"/>
            <w:vAlign w:val="center"/>
          </w:tcPr>
          <w:p w14:paraId="3C54D983" w14:textId="77777777" w:rsidR="007D1E74" w:rsidRDefault="00A95641">
            <w:pPr>
              <w:pStyle w:val="08"/>
              <w:rPr>
                <w:rFonts w:ascii="Times New Roman" w:hAnsi="Times New Roman" w:cs="Times New Roman"/>
              </w:rPr>
            </w:pPr>
            <w:r>
              <w:rPr>
                <w:rFonts w:ascii="Times New Roman" w:hAnsi="Times New Roman" w:cs="Times New Roman"/>
              </w:rPr>
              <w:t>泄漏时长（</w:t>
            </w:r>
            <w:r>
              <w:rPr>
                <w:rFonts w:ascii="Times New Roman" w:hAnsi="Times New Roman" w:cs="Times New Roman"/>
              </w:rPr>
              <w:t>d</w:t>
            </w:r>
            <w:r>
              <w:rPr>
                <w:rFonts w:ascii="Times New Roman" w:hAnsi="Times New Roman" w:cs="Times New Roman"/>
              </w:rPr>
              <w:t>）</w:t>
            </w:r>
          </w:p>
        </w:tc>
        <w:tc>
          <w:tcPr>
            <w:tcW w:w="926" w:type="pct"/>
            <w:shd w:val="clear" w:color="auto" w:fill="auto"/>
            <w:vAlign w:val="center"/>
          </w:tcPr>
          <w:p w14:paraId="1E2958F9" w14:textId="77777777" w:rsidR="007D1E74" w:rsidRDefault="00A95641">
            <w:pPr>
              <w:pStyle w:val="08"/>
              <w:rPr>
                <w:rFonts w:ascii="Times New Roman" w:hAnsi="Times New Roman" w:cs="Times New Roman"/>
              </w:rPr>
            </w:pPr>
            <w:r>
              <w:rPr>
                <w:rFonts w:ascii="Times New Roman" w:hAnsi="Times New Roman" w:cs="Times New Roman"/>
              </w:rPr>
              <w:t>泄漏量（</w:t>
            </w:r>
            <w:r>
              <w:rPr>
                <w:rFonts w:ascii="Times New Roman" w:hAnsi="Times New Roman" w:cs="Times New Roman"/>
              </w:rPr>
              <w:t>m</w:t>
            </w:r>
            <w:r>
              <w:rPr>
                <w:rFonts w:ascii="Times New Roman" w:hAnsi="Times New Roman" w:cs="Times New Roman"/>
                <w:vertAlign w:val="superscript"/>
              </w:rPr>
              <w:t>3</w:t>
            </w:r>
            <w:r>
              <w:rPr>
                <w:rFonts w:ascii="Times New Roman" w:hAnsi="Times New Roman" w:cs="Times New Roman"/>
              </w:rPr>
              <w:t>/d</w:t>
            </w:r>
            <w:r>
              <w:rPr>
                <w:rFonts w:ascii="Times New Roman" w:hAnsi="Times New Roman" w:cs="Times New Roman"/>
              </w:rPr>
              <w:t>）</w:t>
            </w:r>
          </w:p>
        </w:tc>
        <w:tc>
          <w:tcPr>
            <w:tcW w:w="928" w:type="pct"/>
            <w:shd w:val="clear" w:color="auto" w:fill="auto"/>
            <w:vAlign w:val="center"/>
          </w:tcPr>
          <w:p w14:paraId="33470EE4" w14:textId="77777777" w:rsidR="007D1E74" w:rsidRDefault="00A95641">
            <w:pPr>
              <w:pStyle w:val="08"/>
              <w:rPr>
                <w:rFonts w:ascii="Times New Roman" w:hAnsi="Times New Roman" w:cs="Times New Roman"/>
              </w:rPr>
            </w:pPr>
            <w:r>
              <w:rPr>
                <w:rFonts w:ascii="Times New Roman" w:hAnsi="Times New Roman" w:cs="Times New Roman"/>
              </w:rPr>
              <w:t>泄漏源强（</w:t>
            </w:r>
            <w:r>
              <w:rPr>
                <w:rFonts w:ascii="Times New Roman" w:hAnsi="Times New Roman" w:cs="Times New Roman"/>
              </w:rPr>
              <w:t>kg/d</w:t>
            </w:r>
            <w:r>
              <w:rPr>
                <w:rFonts w:ascii="Times New Roman" w:hAnsi="Times New Roman" w:cs="Times New Roman"/>
              </w:rPr>
              <w:t>）</w:t>
            </w:r>
          </w:p>
        </w:tc>
      </w:tr>
      <w:tr w:rsidR="007D1E74" w14:paraId="1B704259" w14:textId="77777777">
        <w:trPr>
          <w:trHeight w:val="90"/>
        </w:trPr>
        <w:tc>
          <w:tcPr>
            <w:tcW w:w="682" w:type="pct"/>
            <w:shd w:val="clear" w:color="auto" w:fill="auto"/>
            <w:vAlign w:val="center"/>
          </w:tcPr>
          <w:p w14:paraId="1E7774DE" w14:textId="77777777" w:rsidR="007D1E74" w:rsidRDefault="00A95641">
            <w:pPr>
              <w:pStyle w:val="08"/>
              <w:rPr>
                <w:rFonts w:ascii="Times New Roman" w:hAnsi="Times New Roman" w:cs="Times New Roman"/>
              </w:rPr>
            </w:pPr>
            <w:r>
              <w:rPr>
                <w:rFonts w:ascii="Times New Roman" w:hAnsi="Times New Roman" w:cs="Times New Roman"/>
              </w:rPr>
              <w:t>发生泄漏</w:t>
            </w:r>
          </w:p>
        </w:tc>
        <w:tc>
          <w:tcPr>
            <w:tcW w:w="610" w:type="pct"/>
            <w:shd w:val="clear" w:color="auto" w:fill="auto"/>
            <w:vAlign w:val="center"/>
          </w:tcPr>
          <w:p w14:paraId="67CB2291" w14:textId="77777777" w:rsidR="007D1E74" w:rsidRDefault="00A95641">
            <w:pPr>
              <w:pStyle w:val="08"/>
              <w:rPr>
                <w:rFonts w:ascii="Times New Roman" w:hAnsi="Times New Roman" w:cs="Times New Roman"/>
              </w:rPr>
            </w:pPr>
            <w:r>
              <w:rPr>
                <w:rFonts w:ascii="Times New Roman" w:hAnsi="Times New Roman" w:cs="Times New Roman"/>
              </w:rPr>
              <w:t>石油类</w:t>
            </w:r>
          </w:p>
        </w:tc>
        <w:tc>
          <w:tcPr>
            <w:tcW w:w="926" w:type="pct"/>
            <w:shd w:val="clear" w:color="auto" w:fill="auto"/>
            <w:vAlign w:val="center"/>
          </w:tcPr>
          <w:p w14:paraId="76F9FE2C" w14:textId="77777777" w:rsidR="007D1E74" w:rsidRDefault="00A95641">
            <w:pPr>
              <w:widowControl/>
              <w:jc w:val="center"/>
              <w:textAlignment w:val="center"/>
            </w:pPr>
            <w:r>
              <w:rPr>
                <w:kern w:val="0"/>
                <w:szCs w:val="21"/>
                <w:lang w:bidi="ar"/>
              </w:rPr>
              <w:t>100</w:t>
            </w:r>
          </w:p>
        </w:tc>
        <w:tc>
          <w:tcPr>
            <w:tcW w:w="928" w:type="pct"/>
            <w:shd w:val="clear" w:color="auto" w:fill="auto"/>
            <w:vAlign w:val="center"/>
          </w:tcPr>
          <w:p w14:paraId="6F98D498" w14:textId="77777777" w:rsidR="007D1E74" w:rsidRDefault="00A95641">
            <w:pPr>
              <w:pStyle w:val="08"/>
              <w:rPr>
                <w:rFonts w:ascii="Times New Roman" w:hAnsi="Times New Roman" w:cs="Times New Roman"/>
              </w:rPr>
            </w:pPr>
            <w:r>
              <w:rPr>
                <w:rFonts w:ascii="Times New Roman" w:hAnsi="Times New Roman" w:cs="Times New Roman"/>
              </w:rPr>
              <w:t>1</w:t>
            </w:r>
          </w:p>
        </w:tc>
        <w:tc>
          <w:tcPr>
            <w:tcW w:w="926" w:type="pct"/>
            <w:shd w:val="clear" w:color="auto" w:fill="auto"/>
            <w:vAlign w:val="center"/>
          </w:tcPr>
          <w:p w14:paraId="5520B9BD" w14:textId="77777777" w:rsidR="007D1E74" w:rsidRDefault="00A95641">
            <w:pPr>
              <w:pStyle w:val="08"/>
              <w:rPr>
                <w:rFonts w:ascii="Times New Roman" w:hAnsi="Times New Roman" w:cs="Times New Roman"/>
              </w:rPr>
            </w:pPr>
            <w:r>
              <w:rPr>
                <w:rFonts w:ascii="Times New Roman" w:hAnsi="Times New Roman" w:cs="Times New Roman"/>
              </w:rPr>
              <w:t>20</w:t>
            </w:r>
          </w:p>
        </w:tc>
        <w:tc>
          <w:tcPr>
            <w:tcW w:w="928" w:type="pct"/>
            <w:shd w:val="clear" w:color="auto" w:fill="auto"/>
            <w:vAlign w:val="center"/>
          </w:tcPr>
          <w:p w14:paraId="63825E80" w14:textId="77777777" w:rsidR="007D1E74" w:rsidRDefault="00A95641">
            <w:pPr>
              <w:widowControl/>
              <w:jc w:val="center"/>
              <w:textAlignment w:val="center"/>
            </w:pPr>
            <w:r>
              <w:rPr>
                <w:kern w:val="0"/>
                <w:szCs w:val="21"/>
                <w:lang w:bidi="ar"/>
              </w:rPr>
              <w:t>2</w:t>
            </w:r>
          </w:p>
        </w:tc>
      </w:tr>
    </w:tbl>
    <w:p w14:paraId="3CAE0EBF" w14:textId="77777777" w:rsidR="007D1E74" w:rsidRDefault="00A95641">
      <w:pPr>
        <w:pStyle w:val="-1"/>
        <w:ind w:firstLine="482"/>
        <w:rPr>
          <w:b/>
        </w:rPr>
      </w:pPr>
      <w:r>
        <w:rPr>
          <w:b/>
        </w:rPr>
        <w:t>6</w:t>
      </w:r>
      <w:r>
        <w:rPr>
          <w:b/>
        </w:rPr>
        <w:t>、预测方法</w:t>
      </w:r>
    </w:p>
    <w:p w14:paraId="7C789AFC" w14:textId="77777777" w:rsidR="007D1E74" w:rsidRDefault="00A95641">
      <w:pPr>
        <w:pStyle w:val="-1"/>
        <w:ind w:firstLine="482"/>
        <w:rPr>
          <w:b/>
        </w:rPr>
      </w:pPr>
      <w:r>
        <w:rPr>
          <w:rFonts w:ascii="宋体" w:hAnsi="宋体" w:cs="宋体" w:hint="eastAsia"/>
          <w:b/>
        </w:rPr>
        <w:t>①</w:t>
      </w:r>
      <w:r>
        <w:rPr>
          <w:b/>
        </w:rPr>
        <w:t>污染源的概化</w:t>
      </w:r>
    </w:p>
    <w:p w14:paraId="39DEC170" w14:textId="77777777" w:rsidR="007D1E74" w:rsidRDefault="00A95641">
      <w:pPr>
        <w:spacing w:line="360" w:lineRule="auto"/>
        <w:ind w:firstLineChars="150" w:firstLine="360"/>
        <w:rPr>
          <w:bCs/>
          <w:sz w:val="24"/>
        </w:rPr>
      </w:pPr>
      <w:r>
        <w:rPr>
          <w:sz w:val="24"/>
        </w:rPr>
        <w:t>本工程</w:t>
      </w:r>
      <w:r>
        <w:rPr>
          <w:bCs/>
          <w:sz w:val="24"/>
        </w:rPr>
        <w:t>采出水罐发生破损后</w:t>
      </w:r>
      <w:r>
        <w:rPr>
          <w:sz w:val="24"/>
        </w:rPr>
        <w:t>短时间内会被发现并采取相应措施移除污染源，</w:t>
      </w:r>
      <w:r>
        <w:rPr>
          <w:bCs/>
          <w:sz w:val="24"/>
        </w:rPr>
        <w:t>因此，非正常工况下污染物的泄漏可概化为瞬时点源</w:t>
      </w:r>
      <w:r>
        <w:rPr>
          <w:rFonts w:hint="eastAsia"/>
          <w:bCs/>
          <w:sz w:val="24"/>
        </w:rPr>
        <w:t>泄漏</w:t>
      </w:r>
      <w:r>
        <w:rPr>
          <w:bCs/>
          <w:sz w:val="24"/>
        </w:rPr>
        <w:t>。综上，污染物在潜水含水层中的迁移，可概化为瞬时注入示踪剂</w:t>
      </w:r>
      <w:r>
        <w:rPr>
          <w:bCs/>
          <w:sz w:val="24"/>
        </w:rPr>
        <w:t>——</w:t>
      </w:r>
      <w:r>
        <w:rPr>
          <w:bCs/>
          <w:sz w:val="24"/>
        </w:rPr>
        <w:t>平面瞬时点源的一维稳定流动二维水动力弥散问题。</w:t>
      </w:r>
    </w:p>
    <w:p w14:paraId="31AFC453" w14:textId="77777777" w:rsidR="007D1E74" w:rsidRDefault="00A95641">
      <w:pPr>
        <w:pStyle w:val="-1"/>
        <w:ind w:firstLine="482"/>
        <w:rPr>
          <w:b/>
        </w:rPr>
      </w:pPr>
      <w:r>
        <w:rPr>
          <w:rFonts w:ascii="宋体" w:hAnsi="宋体" w:cs="宋体" w:hint="eastAsia"/>
          <w:b/>
        </w:rPr>
        <w:t>②</w:t>
      </w:r>
      <w:r>
        <w:rPr>
          <w:b/>
        </w:rPr>
        <w:t>预测模型</w:t>
      </w:r>
    </w:p>
    <w:p w14:paraId="3F0B6770" w14:textId="77777777" w:rsidR="007D1E74" w:rsidRDefault="00A95641">
      <w:pPr>
        <w:spacing w:line="360" w:lineRule="auto"/>
        <w:ind w:firstLineChars="150" w:firstLine="360"/>
        <w:rPr>
          <w:bCs/>
          <w:sz w:val="24"/>
        </w:rPr>
      </w:pPr>
      <w:r>
        <w:rPr>
          <w:bCs/>
          <w:sz w:val="24"/>
        </w:rPr>
        <w:t>本次污染物预测模拟计算，受到资料的限制，模拟过程未考虑污染物在含水层中的吸附、挥发、生物化学反应等，且模型中所赋各项参数予以保守性考虑。这样选择的理由是：</w:t>
      </w:r>
      <w:r>
        <w:rPr>
          <w:bCs/>
          <w:sz w:val="24"/>
        </w:rPr>
        <w:t>a.</w:t>
      </w:r>
      <w:r>
        <w:rPr>
          <w:bCs/>
          <w:sz w:val="24"/>
        </w:rPr>
        <w:t>一些污染物在地下水中的运移非常复杂，影响因素除对流、弥散作用以外，还存在物理、化学、微生物等作用，这些作用常常会使污染浓度衰减，目前国际上对这些作用参数的准确获取还存在着困难；</w:t>
      </w:r>
      <w:r>
        <w:rPr>
          <w:bCs/>
          <w:sz w:val="24"/>
        </w:rPr>
        <w:t>b.</w:t>
      </w:r>
      <w:r>
        <w:rPr>
          <w:bCs/>
          <w:sz w:val="24"/>
        </w:rPr>
        <w:t>从保守性角度考虑，假设污染质在运移中不与含水层介质发生反应，可以被认为是保守型污染质，只按保守型污染质来计算，即只考虑运移过程中的对流、弥散作用，这样预测结果更加保守稳健，在国际上有很多用保守型污染质作为模拟因子的环境质量评价的成功实例；</w:t>
      </w:r>
      <w:r>
        <w:rPr>
          <w:bCs/>
          <w:sz w:val="24"/>
        </w:rPr>
        <w:t>c.</w:t>
      </w:r>
      <w:r>
        <w:rPr>
          <w:bCs/>
          <w:sz w:val="24"/>
        </w:rPr>
        <w:t>保守型考虑符合工程设计的思想。</w:t>
      </w:r>
    </w:p>
    <w:p w14:paraId="338C11E0" w14:textId="77777777" w:rsidR="007D1E74" w:rsidRDefault="00A95641">
      <w:pPr>
        <w:spacing w:line="360" w:lineRule="auto"/>
        <w:ind w:firstLineChars="150" w:firstLine="360"/>
        <w:rPr>
          <w:bCs/>
          <w:sz w:val="24"/>
        </w:rPr>
      </w:pPr>
      <w:r>
        <w:rPr>
          <w:bCs/>
          <w:sz w:val="24"/>
        </w:rPr>
        <w:t>本项目地下水评价区水文地质条件相对简单，采用解析法对地下水环境</w:t>
      </w:r>
      <w:r>
        <w:rPr>
          <w:sz w:val="24"/>
        </w:rPr>
        <w:t>环境进行分析和评价</w:t>
      </w:r>
      <w:r>
        <w:rPr>
          <w:bCs/>
          <w:sz w:val="24"/>
        </w:rPr>
        <w:t>。</w:t>
      </w:r>
      <w:r>
        <w:rPr>
          <w:sz w:val="24"/>
        </w:rPr>
        <w:t>根据《环境影响评价技术导则</w:t>
      </w:r>
      <w:r>
        <w:rPr>
          <w:sz w:val="24"/>
        </w:rPr>
        <w:t xml:space="preserve"> </w:t>
      </w:r>
      <w:r>
        <w:rPr>
          <w:sz w:val="24"/>
        </w:rPr>
        <w:t>地下水环境》（</w:t>
      </w:r>
      <w:r>
        <w:rPr>
          <w:sz w:val="24"/>
        </w:rPr>
        <w:t>HJ610-2016</w:t>
      </w:r>
      <w:r>
        <w:rPr>
          <w:sz w:val="24"/>
        </w:rPr>
        <w:t>）附录</w:t>
      </w:r>
      <w:r>
        <w:rPr>
          <w:sz w:val="24"/>
        </w:rPr>
        <w:t>D</w:t>
      </w:r>
      <w:r>
        <w:rPr>
          <w:sz w:val="24"/>
        </w:rPr>
        <w:t>中</w:t>
      </w:r>
      <w:r>
        <w:rPr>
          <w:sz w:val="24"/>
        </w:rPr>
        <w:t>“</w:t>
      </w:r>
      <w:r>
        <w:rPr>
          <w:sz w:val="24"/>
        </w:rPr>
        <w:t>瞬时注入示踪剂</w:t>
      </w:r>
      <w:r>
        <w:rPr>
          <w:sz w:val="24"/>
        </w:rPr>
        <w:t>——</w:t>
      </w:r>
      <w:r>
        <w:rPr>
          <w:sz w:val="24"/>
        </w:rPr>
        <w:t>平面瞬时点源</w:t>
      </w:r>
      <w:r>
        <w:rPr>
          <w:sz w:val="24"/>
        </w:rPr>
        <w:t>”</w:t>
      </w:r>
      <w:r>
        <w:rPr>
          <w:sz w:val="24"/>
        </w:rPr>
        <w:t>模型：</w:t>
      </w:r>
    </w:p>
    <w:p w14:paraId="1F967E37" w14:textId="77777777" w:rsidR="007D1E74" w:rsidRDefault="00A95641">
      <w:pPr>
        <w:pStyle w:val="-1"/>
        <w:ind w:firstLine="480"/>
        <w:jc w:val="center"/>
        <w:rPr>
          <w:szCs w:val="24"/>
        </w:rPr>
      </w:pPr>
      <w:r>
        <w:rPr>
          <w:position w:val="-34"/>
          <w:szCs w:val="24"/>
        </w:rPr>
        <w:object w:dxaOrig="3617" w:dyaOrig="904" w14:anchorId="43D5CDDB">
          <v:shape id="_x0000_i1027" type="#_x0000_t75" style="width:181.5pt;height:45.75pt" o:ole="">
            <v:imagedata r:id="rId155" o:title=""/>
          </v:shape>
          <o:OLEObject Type="Embed" ProgID="Equation.DSMT4" ShapeID="_x0000_i1027" DrawAspect="Content" ObjectID="_1710238125" r:id="rId156"/>
        </w:object>
      </w:r>
    </w:p>
    <w:p w14:paraId="6B74D487" w14:textId="77777777" w:rsidR="007D1E74" w:rsidRDefault="00A95641">
      <w:pPr>
        <w:pStyle w:val="-1"/>
        <w:ind w:firstLine="480"/>
        <w:rPr>
          <w:szCs w:val="24"/>
        </w:rPr>
      </w:pPr>
      <w:r>
        <w:rPr>
          <w:szCs w:val="24"/>
        </w:rPr>
        <w:t>式中：</w:t>
      </w:r>
      <w:r>
        <w:rPr>
          <w:i/>
          <w:szCs w:val="24"/>
        </w:rPr>
        <w:t>x</w:t>
      </w:r>
      <w:r>
        <w:rPr>
          <w:szCs w:val="24"/>
        </w:rPr>
        <w:t>，</w:t>
      </w:r>
      <w:r>
        <w:rPr>
          <w:i/>
          <w:szCs w:val="24"/>
        </w:rPr>
        <w:t>y</w:t>
      </w:r>
      <w:r>
        <w:rPr>
          <w:szCs w:val="24"/>
        </w:rPr>
        <w:t>——</w:t>
      </w:r>
      <w:r>
        <w:rPr>
          <w:szCs w:val="24"/>
        </w:rPr>
        <w:t>计算点处的位置坐标；</w:t>
      </w:r>
    </w:p>
    <w:p w14:paraId="7C0A22FE" w14:textId="77777777" w:rsidR="007D1E74" w:rsidRDefault="00A95641">
      <w:pPr>
        <w:pStyle w:val="-1"/>
        <w:ind w:firstLineChars="650" w:firstLine="1560"/>
      </w:pPr>
      <w:r>
        <w:rPr>
          <w:i/>
        </w:rPr>
        <w:t>t</w:t>
      </w:r>
      <w:r>
        <w:t>——</w:t>
      </w:r>
      <w:r>
        <w:t>时间，</w:t>
      </w:r>
      <w:r>
        <w:t>d</w:t>
      </w:r>
      <w:r>
        <w:t>；</w:t>
      </w:r>
    </w:p>
    <w:p w14:paraId="2BED7677" w14:textId="77777777" w:rsidR="007D1E74" w:rsidRDefault="00A95641">
      <w:pPr>
        <w:pStyle w:val="-1"/>
        <w:ind w:firstLineChars="650" w:firstLine="1560"/>
      </w:pPr>
      <w:r>
        <w:rPr>
          <w:i/>
        </w:rPr>
        <w:t>C</w:t>
      </w:r>
      <w:r>
        <w:t>（</w:t>
      </w:r>
      <w:r>
        <w:rPr>
          <w:i/>
        </w:rPr>
        <w:t>x</w:t>
      </w:r>
      <w:r>
        <w:t>，</w:t>
      </w:r>
      <w:r>
        <w:rPr>
          <w:i/>
        </w:rPr>
        <w:t>y</w:t>
      </w:r>
      <w:r>
        <w:t>，</w:t>
      </w:r>
      <w:r>
        <w:rPr>
          <w:i/>
        </w:rPr>
        <w:t>t</w:t>
      </w:r>
      <w:r>
        <w:t>）</w:t>
      </w:r>
      <w:r>
        <w:t>——</w:t>
      </w:r>
      <w:r>
        <w:rPr>
          <w:i/>
        </w:rPr>
        <w:t>t</w:t>
      </w:r>
      <w:r>
        <w:t>时刻点</w:t>
      </w:r>
      <w:r>
        <w:rPr>
          <w:i/>
        </w:rPr>
        <w:t>x</w:t>
      </w:r>
      <w:r>
        <w:t>，</w:t>
      </w:r>
      <w:r>
        <w:rPr>
          <w:i/>
        </w:rPr>
        <w:t>y</w:t>
      </w:r>
      <w:r>
        <w:t>处的示踪剂浓度，</w:t>
      </w:r>
      <w:r>
        <w:t>g/L</w:t>
      </w:r>
      <w:r>
        <w:t>；</w:t>
      </w:r>
    </w:p>
    <w:p w14:paraId="4FE68760" w14:textId="77777777" w:rsidR="007D1E74" w:rsidRDefault="00A95641">
      <w:pPr>
        <w:pStyle w:val="-1"/>
        <w:ind w:firstLineChars="650" w:firstLine="1560"/>
      </w:pPr>
      <w:r>
        <w:rPr>
          <w:i/>
        </w:rPr>
        <w:t>M</w:t>
      </w:r>
      <w:r>
        <w:t>——</w:t>
      </w:r>
      <w:r>
        <w:t>承压含水层的厚度，</w:t>
      </w:r>
      <w:r>
        <w:t>m</w:t>
      </w:r>
      <w:r>
        <w:t>；</w:t>
      </w:r>
    </w:p>
    <w:p w14:paraId="59E4470A" w14:textId="77777777" w:rsidR="007D1E74" w:rsidRDefault="00A95641">
      <w:pPr>
        <w:pStyle w:val="-1"/>
        <w:ind w:firstLineChars="650" w:firstLine="1560"/>
      </w:pPr>
      <w:r>
        <w:rPr>
          <w:i/>
        </w:rPr>
        <w:t>M</w:t>
      </w:r>
      <w:r>
        <w:rPr>
          <w:i/>
          <w:vertAlign w:val="subscript"/>
        </w:rPr>
        <w:t>M</w:t>
      </w:r>
      <w:r>
        <w:t>——</w:t>
      </w:r>
      <w:r>
        <w:t>长度为</w:t>
      </w:r>
      <w:r>
        <w:rPr>
          <w:i/>
        </w:rPr>
        <w:t>M</w:t>
      </w:r>
      <w:r>
        <w:t>的线源瞬时注入的示踪剂质量，</w:t>
      </w:r>
      <w:r>
        <w:t>kg</w:t>
      </w:r>
      <w:r>
        <w:t>；</w:t>
      </w:r>
    </w:p>
    <w:p w14:paraId="25862A51" w14:textId="77777777" w:rsidR="007D1E74" w:rsidRDefault="00A95641">
      <w:pPr>
        <w:pStyle w:val="-1"/>
        <w:ind w:firstLineChars="650" w:firstLine="1560"/>
      </w:pPr>
      <w:r>
        <w:rPr>
          <w:i/>
        </w:rPr>
        <w:t>u</w:t>
      </w:r>
      <w:r>
        <w:t>——</w:t>
      </w:r>
      <w:r>
        <w:t>水流速度，</w:t>
      </w:r>
      <w:r>
        <w:t>m/d</w:t>
      </w:r>
      <w:r>
        <w:t>；</w:t>
      </w:r>
    </w:p>
    <w:p w14:paraId="27123D8B" w14:textId="77777777" w:rsidR="007D1E74" w:rsidRDefault="00A95641">
      <w:pPr>
        <w:pStyle w:val="-1"/>
        <w:ind w:firstLineChars="650" w:firstLine="1560"/>
      </w:pPr>
      <w:r>
        <w:rPr>
          <w:i/>
        </w:rPr>
        <w:t>n</w:t>
      </w:r>
      <w:r>
        <w:t>——</w:t>
      </w:r>
      <w:r>
        <w:t>有效孔隙度，无量纲；</w:t>
      </w:r>
    </w:p>
    <w:p w14:paraId="01CFC85B" w14:textId="77777777" w:rsidR="007D1E74" w:rsidRDefault="00A95641">
      <w:pPr>
        <w:pStyle w:val="-1"/>
        <w:ind w:firstLineChars="650" w:firstLine="1560"/>
      </w:pPr>
      <w:r>
        <w:rPr>
          <w:i/>
        </w:rPr>
        <w:t>D</w:t>
      </w:r>
      <w:r>
        <w:rPr>
          <w:i/>
          <w:vertAlign w:val="subscript"/>
        </w:rPr>
        <w:t>L</w:t>
      </w:r>
      <w:r>
        <w:t>——</w:t>
      </w:r>
      <w:r>
        <w:t>纵向弥散系数，</w:t>
      </w:r>
      <w:r>
        <w:t>m</w:t>
      </w:r>
      <w:r>
        <w:rPr>
          <w:vertAlign w:val="superscript"/>
        </w:rPr>
        <w:t>2</w:t>
      </w:r>
      <w:r>
        <w:t>/d</w:t>
      </w:r>
      <w:r>
        <w:t>；</w:t>
      </w:r>
    </w:p>
    <w:p w14:paraId="1B45E9C8" w14:textId="77777777" w:rsidR="007D1E74" w:rsidRDefault="00A95641">
      <w:pPr>
        <w:pStyle w:val="-1"/>
        <w:ind w:firstLineChars="650" w:firstLine="1560"/>
      </w:pPr>
      <w:r>
        <w:rPr>
          <w:i/>
        </w:rPr>
        <w:t>D</w:t>
      </w:r>
      <w:r>
        <w:rPr>
          <w:i/>
          <w:vertAlign w:val="subscript"/>
        </w:rPr>
        <w:t>T</w:t>
      </w:r>
      <w:r>
        <w:t>——</w:t>
      </w:r>
      <w:r>
        <w:t>横向</w:t>
      </w:r>
      <w:r>
        <w:rPr>
          <w:i/>
        </w:rPr>
        <w:t>y</w:t>
      </w:r>
      <w:r>
        <w:t>方向的弥散系数，</w:t>
      </w:r>
      <w:r>
        <w:t>m</w:t>
      </w:r>
      <w:r>
        <w:rPr>
          <w:vertAlign w:val="superscript"/>
        </w:rPr>
        <w:t>2</w:t>
      </w:r>
      <w:r>
        <w:t>/d</w:t>
      </w:r>
      <w:r>
        <w:t>；</w:t>
      </w:r>
    </w:p>
    <w:p w14:paraId="64266344" w14:textId="77777777" w:rsidR="007D1E74" w:rsidRDefault="00A95641">
      <w:pPr>
        <w:spacing w:line="360" w:lineRule="auto"/>
        <w:ind w:firstLineChars="700" w:firstLine="1680"/>
        <w:rPr>
          <w:b/>
          <w:sz w:val="24"/>
        </w:rPr>
      </w:pPr>
      <w:r>
        <w:rPr>
          <w:sz w:val="24"/>
        </w:rPr>
        <w:t>π——</w:t>
      </w:r>
      <w:r>
        <w:rPr>
          <w:sz w:val="24"/>
        </w:rPr>
        <w:t>圆周率。</w:t>
      </w:r>
    </w:p>
    <w:p w14:paraId="2FBB0EBB" w14:textId="77777777" w:rsidR="007D1E74" w:rsidRDefault="00A95641">
      <w:pPr>
        <w:pStyle w:val="-1"/>
        <w:ind w:firstLine="482"/>
        <w:rPr>
          <w:b/>
        </w:rPr>
      </w:pPr>
      <w:r>
        <w:rPr>
          <w:rFonts w:ascii="宋体" w:hAnsi="宋体" w:cs="宋体" w:hint="eastAsia"/>
          <w:b/>
        </w:rPr>
        <w:t>②</w:t>
      </w:r>
      <w:r>
        <w:rPr>
          <w:b/>
        </w:rPr>
        <w:t>模型参数选取</w:t>
      </w:r>
    </w:p>
    <w:p w14:paraId="3630EC68" w14:textId="77777777" w:rsidR="007D1E74" w:rsidRDefault="00A95641">
      <w:pPr>
        <w:spacing w:line="360" w:lineRule="auto"/>
        <w:ind w:firstLineChars="200" w:firstLine="480"/>
        <w:rPr>
          <w:sz w:val="24"/>
        </w:rPr>
      </w:pPr>
      <w:bookmarkStart w:id="34" w:name="_Ref25521434"/>
      <w:r>
        <w:rPr>
          <w:bCs/>
          <w:sz w:val="24"/>
        </w:rPr>
        <w:t>根据</w:t>
      </w:r>
      <w:r>
        <w:rPr>
          <w:sz w:val="24"/>
        </w:rPr>
        <w:t>项目水文地质勘察及收集的水文地质试验参数</w:t>
      </w:r>
      <w:r>
        <w:rPr>
          <w:bCs/>
          <w:sz w:val="24"/>
        </w:rPr>
        <w:t>，含水层渗透系数为</w:t>
      </w:r>
      <w:r>
        <w:rPr>
          <w:bCs/>
          <w:sz w:val="24"/>
        </w:rPr>
        <w:t>0.15m/d</w:t>
      </w:r>
      <w:r>
        <w:rPr>
          <w:bCs/>
          <w:sz w:val="24"/>
        </w:rPr>
        <w:t>，</w:t>
      </w:r>
      <w:r>
        <w:rPr>
          <w:sz w:val="24"/>
        </w:rPr>
        <w:t>含水层平均厚度为</w:t>
      </w:r>
      <w:r>
        <w:rPr>
          <w:sz w:val="24"/>
        </w:rPr>
        <w:t>50m</w:t>
      </w:r>
      <w:r>
        <w:rPr>
          <w:sz w:val="24"/>
        </w:rPr>
        <w:t>，场地内水力坡度为</w:t>
      </w:r>
      <w:r>
        <w:rPr>
          <w:sz w:val="24"/>
        </w:rPr>
        <w:t>0.10</w:t>
      </w:r>
      <w:r>
        <w:rPr>
          <w:sz w:val="24"/>
        </w:rPr>
        <w:t>，有效孔隙度为</w:t>
      </w:r>
      <w:r>
        <w:rPr>
          <w:sz w:val="24"/>
        </w:rPr>
        <w:t>0.2</w:t>
      </w:r>
      <w:r>
        <w:rPr>
          <w:sz w:val="24"/>
        </w:rPr>
        <w:t>。根据达西定律</w:t>
      </w:r>
      <w:r>
        <w:rPr>
          <w:sz w:val="24"/>
        </w:rPr>
        <w:t>u=Ki/n</w:t>
      </w:r>
      <w:r>
        <w:rPr>
          <w:sz w:val="24"/>
          <w:vertAlign w:val="subscript"/>
        </w:rPr>
        <w:t>e</w:t>
      </w:r>
      <w:r>
        <w:rPr>
          <w:sz w:val="24"/>
        </w:rPr>
        <w:t>计算可得，地下水流速</w:t>
      </w:r>
      <w:r>
        <w:rPr>
          <w:sz w:val="24"/>
        </w:rPr>
        <w:t>u=0.75m/d</w:t>
      </w:r>
      <w:r>
        <w:rPr>
          <w:sz w:val="24"/>
        </w:rPr>
        <w:t>。</w:t>
      </w:r>
    </w:p>
    <w:p w14:paraId="0DEA2EC5" w14:textId="77777777" w:rsidR="007D1E74" w:rsidRDefault="00A95641">
      <w:pPr>
        <w:spacing w:line="360" w:lineRule="auto"/>
        <w:ind w:firstLineChars="200" w:firstLine="480"/>
        <w:rPr>
          <w:sz w:val="24"/>
        </w:rPr>
      </w:pPr>
      <w:r>
        <w:rPr>
          <w:sz w:val="24"/>
        </w:rPr>
        <w:t>弥散系数取值参考</w:t>
      </w:r>
      <w:r>
        <w:rPr>
          <w:sz w:val="24"/>
        </w:rPr>
        <w:t>Gelhar</w:t>
      </w:r>
      <w:r>
        <w:rPr>
          <w:sz w:val="24"/>
        </w:rPr>
        <w:t>等人关于纵向弥散度与观测尺度关系的理论，根据本次场地的研究尺度，纵向弥散度</w:t>
      </w:r>
      <w:r>
        <w:rPr>
          <w:sz w:val="24"/>
        </w:rPr>
        <w:t>∂L</w:t>
      </w:r>
      <w:r>
        <w:rPr>
          <w:sz w:val="24"/>
        </w:rPr>
        <w:t>取值为</w:t>
      </w:r>
      <w:r>
        <w:rPr>
          <w:sz w:val="24"/>
        </w:rPr>
        <w:t>10m</w:t>
      </w:r>
      <w:r>
        <w:rPr>
          <w:sz w:val="24"/>
        </w:rPr>
        <w:t>，则纵向弥散系数</w:t>
      </w:r>
      <w:r>
        <w:rPr>
          <w:sz w:val="24"/>
        </w:rPr>
        <w:t>D</w:t>
      </w:r>
      <w:r>
        <w:rPr>
          <w:sz w:val="24"/>
          <w:vertAlign w:val="subscript"/>
        </w:rPr>
        <w:t>L</w:t>
      </w:r>
      <w:r>
        <w:rPr>
          <w:sz w:val="24"/>
        </w:rPr>
        <w:t>=∂L×u</w:t>
      </w:r>
      <w:r>
        <w:rPr>
          <w:sz w:val="24"/>
        </w:rPr>
        <w:t>，即</w:t>
      </w:r>
      <w:r>
        <w:rPr>
          <w:sz w:val="24"/>
        </w:rPr>
        <w:t>7.5m</w:t>
      </w:r>
      <w:r>
        <w:rPr>
          <w:sz w:val="24"/>
          <w:vertAlign w:val="superscript"/>
        </w:rPr>
        <w:t>2</w:t>
      </w:r>
      <w:r>
        <w:rPr>
          <w:sz w:val="24"/>
        </w:rPr>
        <w:t>/d</w:t>
      </w:r>
      <w:r>
        <w:rPr>
          <w:sz w:val="24"/>
        </w:rPr>
        <w:t>；一般横向弥散系数与纵向弥散系数比值为</w:t>
      </w:r>
      <w:r>
        <w:rPr>
          <w:sz w:val="24"/>
        </w:rPr>
        <w:t>D</w:t>
      </w:r>
      <w:r>
        <w:rPr>
          <w:sz w:val="24"/>
          <w:vertAlign w:val="subscript"/>
        </w:rPr>
        <w:t>Γ</w:t>
      </w:r>
      <w:r>
        <w:rPr>
          <w:sz w:val="24"/>
        </w:rPr>
        <w:t>/D</w:t>
      </w:r>
      <w:r>
        <w:rPr>
          <w:sz w:val="24"/>
          <w:vertAlign w:val="subscript"/>
        </w:rPr>
        <w:t>L</w:t>
      </w:r>
      <w:r>
        <w:rPr>
          <w:sz w:val="24"/>
        </w:rPr>
        <w:t>=0.1</w:t>
      </w:r>
      <w:r>
        <w:rPr>
          <w:sz w:val="24"/>
        </w:rPr>
        <w:t>，则横向弥散系数为</w:t>
      </w:r>
      <w:r>
        <w:rPr>
          <w:sz w:val="24"/>
        </w:rPr>
        <w:t>0.75m</w:t>
      </w:r>
      <w:r>
        <w:rPr>
          <w:sz w:val="24"/>
          <w:vertAlign w:val="superscript"/>
        </w:rPr>
        <w:t>2</w:t>
      </w:r>
      <w:r>
        <w:rPr>
          <w:sz w:val="24"/>
        </w:rPr>
        <w:t>/d</w:t>
      </w:r>
      <w:r>
        <w:rPr>
          <w:sz w:val="24"/>
        </w:rPr>
        <w:t>。</w:t>
      </w:r>
    </w:p>
    <w:p w14:paraId="6C10FF00" w14:textId="77777777" w:rsidR="007D1E74" w:rsidRDefault="00A95641">
      <w:pPr>
        <w:spacing w:line="360" w:lineRule="auto"/>
        <w:ind w:firstLineChars="200" w:firstLine="480"/>
        <w:rPr>
          <w:sz w:val="24"/>
        </w:rPr>
      </w:pPr>
      <w:r>
        <w:rPr>
          <w:sz w:val="24"/>
        </w:rPr>
        <w:t>综上，</w:t>
      </w:r>
      <w:r>
        <w:rPr>
          <w:spacing w:val="2"/>
          <w:sz w:val="24"/>
        </w:rPr>
        <w:t>本次预测模型参数</w:t>
      </w:r>
      <w:r>
        <w:rPr>
          <w:sz w:val="24"/>
        </w:rPr>
        <w:t>见表</w:t>
      </w:r>
      <w:r>
        <w:rPr>
          <w:sz w:val="24"/>
        </w:rPr>
        <w:t>6.2-5</w:t>
      </w:r>
      <w:r>
        <w:rPr>
          <w:sz w:val="24"/>
        </w:rPr>
        <w:t>。</w:t>
      </w:r>
    </w:p>
    <w:p w14:paraId="63138F1F" w14:textId="77777777" w:rsidR="007D1E74" w:rsidRDefault="00A95641">
      <w:pPr>
        <w:spacing w:line="360" w:lineRule="auto"/>
        <w:ind w:left="420"/>
        <w:jc w:val="center"/>
        <w:rPr>
          <w:rFonts w:eastAsia="黑体"/>
          <w:szCs w:val="21"/>
        </w:rPr>
      </w:pPr>
      <w:r>
        <w:rPr>
          <w:rFonts w:eastAsia="黑体"/>
          <w:szCs w:val="21"/>
        </w:rPr>
        <w:t>表</w:t>
      </w:r>
      <w:r>
        <w:rPr>
          <w:rFonts w:eastAsia="黑体"/>
          <w:bCs/>
          <w:szCs w:val="21"/>
        </w:rPr>
        <w:t xml:space="preserve">6.2-5  </w:t>
      </w:r>
      <w:r>
        <w:rPr>
          <w:rFonts w:eastAsia="黑体"/>
          <w:szCs w:val="21"/>
        </w:rPr>
        <w:t>预测模型参数表</w:t>
      </w:r>
      <w:bookmarkEnd w:id="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0"/>
        <w:gridCol w:w="1640"/>
        <w:gridCol w:w="1639"/>
        <w:gridCol w:w="1639"/>
        <w:gridCol w:w="1639"/>
        <w:gridCol w:w="1639"/>
      </w:tblGrid>
      <w:tr w:rsidR="007D1E74" w14:paraId="5B1DCC91" w14:textId="77777777">
        <w:tc>
          <w:tcPr>
            <w:tcW w:w="454" w:type="pct"/>
            <w:shd w:val="clear" w:color="auto" w:fill="auto"/>
            <w:vAlign w:val="center"/>
          </w:tcPr>
          <w:p w14:paraId="0066764D" w14:textId="77777777" w:rsidR="007D1E74" w:rsidRDefault="00A95641">
            <w:pPr>
              <w:pStyle w:val="08"/>
              <w:rPr>
                <w:rFonts w:ascii="Times New Roman" w:hAnsi="Times New Roman" w:cs="Times New Roman"/>
              </w:rPr>
            </w:pPr>
            <w:r>
              <w:rPr>
                <w:rFonts w:ascii="Times New Roman" w:hAnsi="Times New Roman" w:cs="Times New Roman"/>
              </w:rPr>
              <w:t>参数</w:t>
            </w:r>
          </w:p>
        </w:tc>
        <w:tc>
          <w:tcPr>
            <w:tcW w:w="909" w:type="pct"/>
            <w:shd w:val="clear" w:color="auto" w:fill="auto"/>
            <w:vAlign w:val="center"/>
          </w:tcPr>
          <w:p w14:paraId="75D519DF" w14:textId="77777777" w:rsidR="007D1E74" w:rsidRDefault="00A95641">
            <w:pPr>
              <w:pStyle w:val="08"/>
              <w:rPr>
                <w:rFonts w:ascii="Times New Roman" w:hAnsi="Times New Roman" w:cs="Times New Roman"/>
              </w:rPr>
            </w:pPr>
            <w:r>
              <w:rPr>
                <w:rFonts w:ascii="Times New Roman" w:hAnsi="Times New Roman" w:cs="Times New Roman"/>
              </w:rPr>
              <w:t>含水层厚度</w:t>
            </w:r>
            <w:r>
              <w:rPr>
                <w:rFonts w:ascii="Times New Roman" w:hAnsi="Times New Roman" w:cs="Times New Roman"/>
                <w:i/>
                <w:sz w:val="24"/>
              </w:rPr>
              <w:t>M</w:t>
            </w:r>
            <w:r>
              <w:rPr>
                <w:rFonts w:ascii="Times New Roman" w:hAnsi="Times New Roman" w:cs="Times New Roman"/>
              </w:rPr>
              <w:t>（</w:t>
            </w:r>
            <w:r>
              <w:rPr>
                <w:rFonts w:ascii="Times New Roman" w:hAnsi="Times New Roman" w:cs="Times New Roman"/>
              </w:rPr>
              <w:t>m</w:t>
            </w:r>
            <w:r>
              <w:rPr>
                <w:rFonts w:ascii="Times New Roman" w:hAnsi="Times New Roman" w:cs="Times New Roman"/>
              </w:rPr>
              <w:t>）</w:t>
            </w:r>
          </w:p>
        </w:tc>
        <w:tc>
          <w:tcPr>
            <w:tcW w:w="909" w:type="pct"/>
            <w:shd w:val="clear" w:color="auto" w:fill="auto"/>
            <w:vAlign w:val="center"/>
          </w:tcPr>
          <w:p w14:paraId="0B4E7F2C" w14:textId="77777777" w:rsidR="007D1E74" w:rsidRDefault="00A95641">
            <w:pPr>
              <w:pStyle w:val="08"/>
              <w:rPr>
                <w:rFonts w:ascii="Times New Roman" w:hAnsi="Times New Roman" w:cs="Times New Roman"/>
              </w:rPr>
            </w:pPr>
            <w:r>
              <w:rPr>
                <w:rFonts w:ascii="Times New Roman" w:hAnsi="Times New Roman" w:cs="Times New Roman"/>
              </w:rPr>
              <w:t>水流速度</w:t>
            </w:r>
            <w:r>
              <w:rPr>
                <w:rFonts w:ascii="Times New Roman" w:hAnsi="Times New Roman" w:cs="Times New Roman"/>
                <w:i/>
                <w:sz w:val="24"/>
              </w:rPr>
              <w:t>u</w:t>
            </w:r>
            <w:r>
              <w:rPr>
                <w:rFonts w:ascii="Times New Roman" w:hAnsi="Times New Roman" w:cs="Times New Roman"/>
              </w:rPr>
              <w:t>（</w:t>
            </w:r>
            <w:r>
              <w:rPr>
                <w:rFonts w:ascii="Times New Roman" w:hAnsi="Times New Roman" w:cs="Times New Roman"/>
              </w:rPr>
              <w:t>m/d</w:t>
            </w:r>
            <w:r>
              <w:rPr>
                <w:rFonts w:ascii="Times New Roman" w:hAnsi="Times New Roman" w:cs="Times New Roman"/>
              </w:rPr>
              <w:t>）</w:t>
            </w:r>
          </w:p>
        </w:tc>
        <w:tc>
          <w:tcPr>
            <w:tcW w:w="909" w:type="pct"/>
            <w:shd w:val="clear" w:color="auto" w:fill="auto"/>
            <w:vAlign w:val="center"/>
          </w:tcPr>
          <w:p w14:paraId="5D715FEC" w14:textId="77777777" w:rsidR="007D1E74" w:rsidRDefault="00A95641">
            <w:pPr>
              <w:pStyle w:val="08"/>
              <w:rPr>
                <w:rFonts w:ascii="Times New Roman" w:hAnsi="Times New Roman" w:cs="Times New Roman"/>
              </w:rPr>
            </w:pPr>
            <w:r>
              <w:rPr>
                <w:rFonts w:ascii="Times New Roman" w:hAnsi="Times New Roman" w:cs="Times New Roman"/>
              </w:rPr>
              <w:t>有效孔隙度</w:t>
            </w:r>
            <w:r>
              <w:rPr>
                <w:rFonts w:ascii="Times New Roman" w:hAnsi="Times New Roman" w:cs="Times New Roman"/>
                <w:i/>
                <w:sz w:val="24"/>
              </w:rPr>
              <w:t>n</w:t>
            </w:r>
          </w:p>
        </w:tc>
        <w:tc>
          <w:tcPr>
            <w:tcW w:w="909" w:type="pct"/>
            <w:shd w:val="clear" w:color="auto" w:fill="auto"/>
            <w:vAlign w:val="center"/>
          </w:tcPr>
          <w:p w14:paraId="6179CFA0" w14:textId="77777777" w:rsidR="007D1E74" w:rsidRDefault="00A95641">
            <w:pPr>
              <w:pStyle w:val="08"/>
              <w:rPr>
                <w:rFonts w:ascii="Times New Roman" w:hAnsi="Times New Roman" w:cs="Times New Roman"/>
              </w:rPr>
            </w:pPr>
            <w:r>
              <w:rPr>
                <w:rFonts w:ascii="Times New Roman" w:hAnsi="Times New Roman" w:cs="Times New Roman"/>
              </w:rPr>
              <w:t>纵向弥散系数</w:t>
            </w:r>
            <w:r>
              <w:rPr>
                <w:rFonts w:ascii="Times New Roman" w:hAnsi="Times New Roman" w:cs="Times New Roman"/>
                <w:i/>
                <w:sz w:val="24"/>
              </w:rPr>
              <w:t>D</w:t>
            </w:r>
            <w:r>
              <w:rPr>
                <w:rFonts w:ascii="Times New Roman" w:hAnsi="Times New Roman" w:cs="Times New Roman"/>
                <w:i/>
                <w:sz w:val="24"/>
                <w:vertAlign w:val="subscript"/>
              </w:rPr>
              <w:t>L</w:t>
            </w:r>
            <w:r>
              <w:rPr>
                <w:rFonts w:ascii="Times New Roman" w:hAnsi="Times New Roman" w:cs="Times New Roman"/>
              </w:rPr>
              <w:t>（</w:t>
            </w:r>
            <w:r>
              <w:rPr>
                <w:rFonts w:ascii="Times New Roman" w:hAnsi="Times New Roman" w:cs="Times New Roman"/>
              </w:rPr>
              <w:t>m</w:t>
            </w:r>
            <w:r>
              <w:rPr>
                <w:rFonts w:ascii="Times New Roman" w:hAnsi="Times New Roman" w:cs="Times New Roman"/>
                <w:vertAlign w:val="superscript"/>
              </w:rPr>
              <w:t>2</w:t>
            </w:r>
            <w:r>
              <w:rPr>
                <w:rFonts w:ascii="Times New Roman" w:hAnsi="Times New Roman" w:cs="Times New Roman"/>
              </w:rPr>
              <w:t>/d</w:t>
            </w:r>
            <w:r>
              <w:rPr>
                <w:rFonts w:ascii="Times New Roman" w:hAnsi="Times New Roman" w:cs="Times New Roman"/>
              </w:rPr>
              <w:t>）</w:t>
            </w:r>
          </w:p>
        </w:tc>
        <w:tc>
          <w:tcPr>
            <w:tcW w:w="909" w:type="pct"/>
            <w:shd w:val="clear" w:color="auto" w:fill="auto"/>
            <w:vAlign w:val="center"/>
          </w:tcPr>
          <w:p w14:paraId="191F26BC" w14:textId="77777777" w:rsidR="007D1E74" w:rsidRDefault="00A95641">
            <w:pPr>
              <w:pStyle w:val="08"/>
              <w:rPr>
                <w:rFonts w:ascii="Times New Roman" w:hAnsi="Times New Roman" w:cs="Times New Roman"/>
              </w:rPr>
            </w:pPr>
            <w:r>
              <w:rPr>
                <w:rFonts w:ascii="Times New Roman" w:hAnsi="Times New Roman" w:cs="Times New Roman"/>
              </w:rPr>
              <w:t>横向弥散系数</w:t>
            </w:r>
            <w:r>
              <w:rPr>
                <w:rFonts w:ascii="Times New Roman" w:hAnsi="Times New Roman" w:cs="Times New Roman"/>
                <w:i/>
                <w:sz w:val="24"/>
              </w:rPr>
              <w:t>D</w:t>
            </w:r>
            <w:r>
              <w:rPr>
                <w:rFonts w:ascii="Times New Roman" w:hAnsi="Times New Roman" w:cs="Times New Roman"/>
                <w:i/>
                <w:sz w:val="24"/>
                <w:vertAlign w:val="subscript"/>
              </w:rPr>
              <w:t>T</w:t>
            </w:r>
            <w:r>
              <w:rPr>
                <w:rFonts w:ascii="Times New Roman" w:hAnsi="Times New Roman" w:cs="Times New Roman"/>
              </w:rPr>
              <w:t>（</w:t>
            </w:r>
            <w:r>
              <w:rPr>
                <w:rFonts w:ascii="Times New Roman" w:hAnsi="Times New Roman" w:cs="Times New Roman"/>
              </w:rPr>
              <w:t>m</w:t>
            </w:r>
            <w:r>
              <w:rPr>
                <w:rFonts w:ascii="Times New Roman" w:hAnsi="Times New Roman" w:cs="Times New Roman"/>
                <w:vertAlign w:val="superscript"/>
              </w:rPr>
              <w:t>2</w:t>
            </w:r>
            <w:r>
              <w:rPr>
                <w:rFonts w:ascii="Times New Roman" w:hAnsi="Times New Roman" w:cs="Times New Roman"/>
              </w:rPr>
              <w:t>/d</w:t>
            </w:r>
            <w:r>
              <w:rPr>
                <w:rFonts w:ascii="Times New Roman" w:hAnsi="Times New Roman" w:cs="Times New Roman"/>
              </w:rPr>
              <w:t>）</w:t>
            </w:r>
          </w:p>
        </w:tc>
      </w:tr>
      <w:tr w:rsidR="007D1E74" w14:paraId="172A280C" w14:textId="77777777">
        <w:trPr>
          <w:trHeight w:val="109"/>
        </w:trPr>
        <w:tc>
          <w:tcPr>
            <w:tcW w:w="454" w:type="pct"/>
            <w:shd w:val="clear" w:color="auto" w:fill="auto"/>
            <w:vAlign w:val="center"/>
          </w:tcPr>
          <w:p w14:paraId="213DC173" w14:textId="77777777" w:rsidR="007D1E74" w:rsidRDefault="00A95641">
            <w:pPr>
              <w:pStyle w:val="08"/>
              <w:rPr>
                <w:rFonts w:ascii="Times New Roman" w:hAnsi="Times New Roman" w:cs="Times New Roman"/>
              </w:rPr>
            </w:pPr>
            <w:r>
              <w:rPr>
                <w:rFonts w:ascii="Times New Roman" w:hAnsi="Times New Roman" w:cs="Times New Roman"/>
              </w:rPr>
              <w:t>取值</w:t>
            </w:r>
          </w:p>
        </w:tc>
        <w:tc>
          <w:tcPr>
            <w:tcW w:w="909" w:type="pct"/>
            <w:shd w:val="clear" w:color="auto" w:fill="auto"/>
            <w:vAlign w:val="center"/>
          </w:tcPr>
          <w:p w14:paraId="59332C65" w14:textId="77777777" w:rsidR="007D1E74" w:rsidRDefault="00A95641">
            <w:pPr>
              <w:pStyle w:val="08"/>
              <w:rPr>
                <w:rFonts w:ascii="Times New Roman" w:hAnsi="Times New Roman" w:cs="Times New Roman"/>
              </w:rPr>
            </w:pPr>
            <w:r>
              <w:rPr>
                <w:rFonts w:ascii="Times New Roman" w:hAnsi="Times New Roman" w:cs="Times New Roman"/>
              </w:rPr>
              <w:t>50</w:t>
            </w:r>
          </w:p>
        </w:tc>
        <w:tc>
          <w:tcPr>
            <w:tcW w:w="909" w:type="pct"/>
            <w:shd w:val="clear" w:color="auto" w:fill="auto"/>
            <w:vAlign w:val="center"/>
          </w:tcPr>
          <w:p w14:paraId="1B3B13CF" w14:textId="77777777" w:rsidR="007D1E74" w:rsidRDefault="00A95641">
            <w:pPr>
              <w:pStyle w:val="08"/>
              <w:rPr>
                <w:rFonts w:ascii="Times New Roman" w:hAnsi="Times New Roman" w:cs="Times New Roman"/>
              </w:rPr>
            </w:pPr>
            <w:r>
              <w:rPr>
                <w:rFonts w:ascii="Times New Roman" w:hAnsi="Times New Roman" w:cs="Times New Roman"/>
              </w:rPr>
              <w:t>0.75</w:t>
            </w:r>
          </w:p>
        </w:tc>
        <w:tc>
          <w:tcPr>
            <w:tcW w:w="909" w:type="pct"/>
            <w:shd w:val="clear" w:color="auto" w:fill="auto"/>
            <w:vAlign w:val="center"/>
          </w:tcPr>
          <w:p w14:paraId="44739C01" w14:textId="77777777" w:rsidR="007D1E74" w:rsidRDefault="00A95641">
            <w:pPr>
              <w:pStyle w:val="08"/>
              <w:rPr>
                <w:rFonts w:ascii="Times New Roman" w:hAnsi="Times New Roman" w:cs="Times New Roman"/>
              </w:rPr>
            </w:pPr>
            <w:r>
              <w:rPr>
                <w:rFonts w:ascii="Times New Roman" w:hAnsi="Times New Roman" w:cs="Times New Roman"/>
              </w:rPr>
              <w:t>0.2</w:t>
            </w:r>
          </w:p>
        </w:tc>
        <w:tc>
          <w:tcPr>
            <w:tcW w:w="909" w:type="pct"/>
            <w:shd w:val="clear" w:color="auto" w:fill="auto"/>
            <w:vAlign w:val="center"/>
          </w:tcPr>
          <w:p w14:paraId="2234A7DC" w14:textId="77777777" w:rsidR="007D1E74" w:rsidRDefault="00A95641">
            <w:pPr>
              <w:pStyle w:val="08"/>
              <w:rPr>
                <w:rFonts w:ascii="Times New Roman" w:hAnsi="Times New Roman" w:cs="Times New Roman"/>
              </w:rPr>
            </w:pPr>
            <w:r>
              <w:rPr>
                <w:rFonts w:ascii="Times New Roman" w:hAnsi="Times New Roman" w:cs="Times New Roman"/>
              </w:rPr>
              <w:t>7.5</w:t>
            </w:r>
          </w:p>
        </w:tc>
        <w:tc>
          <w:tcPr>
            <w:tcW w:w="909" w:type="pct"/>
            <w:shd w:val="clear" w:color="auto" w:fill="auto"/>
            <w:vAlign w:val="center"/>
          </w:tcPr>
          <w:p w14:paraId="59186010" w14:textId="77777777" w:rsidR="007D1E74" w:rsidRDefault="00A95641">
            <w:pPr>
              <w:pStyle w:val="08"/>
              <w:rPr>
                <w:rFonts w:ascii="Times New Roman" w:hAnsi="Times New Roman" w:cs="Times New Roman"/>
              </w:rPr>
            </w:pPr>
            <w:r>
              <w:rPr>
                <w:rFonts w:ascii="Times New Roman" w:hAnsi="Times New Roman" w:cs="Times New Roman"/>
              </w:rPr>
              <w:t>0.75</w:t>
            </w:r>
          </w:p>
        </w:tc>
      </w:tr>
    </w:tbl>
    <w:p w14:paraId="474F0CDB" w14:textId="77777777" w:rsidR="007D1E74" w:rsidRDefault="00A95641">
      <w:pPr>
        <w:pStyle w:val="-1"/>
        <w:ind w:firstLineChars="82" w:firstLine="198"/>
        <w:rPr>
          <w:b/>
        </w:rPr>
      </w:pPr>
      <w:r>
        <w:rPr>
          <w:b/>
        </w:rPr>
        <w:t>7</w:t>
      </w:r>
      <w:r>
        <w:rPr>
          <w:b/>
        </w:rPr>
        <w:t>、预测结果</w:t>
      </w:r>
    </w:p>
    <w:p w14:paraId="3EAD05C0" w14:textId="77777777" w:rsidR="007D1E74" w:rsidRDefault="00A95641">
      <w:pPr>
        <w:spacing w:line="360" w:lineRule="auto"/>
        <w:ind w:firstLineChars="200" w:firstLine="480"/>
        <w:rPr>
          <w:sz w:val="24"/>
        </w:rPr>
      </w:pPr>
      <w:r>
        <w:rPr>
          <w:sz w:val="24"/>
        </w:rPr>
        <w:t>本次预测主要考虑污染物在地下水中的迁移规律，以污水处理站为原点，水流方向为</w:t>
      </w:r>
      <w:r>
        <w:rPr>
          <w:sz w:val="24"/>
        </w:rPr>
        <w:t>x</w:t>
      </w:r>
      <w:r>
        <w:rPr>
          <w:sz w:val="24"/>
        </w:rPr>
        <w:t>轴、垂直水流方向为</w:t>
      </w:r>
      <w:r>
        <w:rPr>
          <w:sz w:val="24"/>
        </w:rPr>
        <w:t>y</w:t>
      </w:r>
      <w:r>
        <w:rPr>
          <w:sz w:val="24"/>
        </w:rPr>
        <w:t>轴。根据上述预测模型，营运期非正常状况下（渗漏）污染物预。</w:t>
      </w:r>
    </w:p>
    <w:p w14:paraId="0EC26893" w14:textId="77777777" w:rsidR="007D1E74" w:rsidRDefault="00A95641">
      <w:pPr>
        <w:pStyle w:val="affffff6"/>
        <w:ind w:firstLineChars="0" w:firstLine="0"/>
        <w:rPr>
          <w:rFonts w:ascii="Times New Roman" w:hAnsi="Times New Roman" w:cs="Times New Roman"/>
        </w:rPr>
      </w:pPr>
      <w:r>
        <w:rPr>
          <w:rFonts w:ascii="Times New Roman" w:hAnsi="Times New Roman" w:cs="Times New Roman"/>
          <w:noProof/>
        </w:rPr>
        <w:lastRenderedPageBreak/>
        <w:drawing>
          <wp:inline distT="0" distB="0" distL="0" distR="0" wp14:anchorId="7C4729DD" wp14:editId="511E0549">
            <wp:extent cx="5759450" cy="3361055"/>
            <wp:effectExtent l="0" t="0" r="1270" b="6985"/>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157"/>
                    <a:stretch>
                      <a:fillRect/>
                    </a:stretch>
                  </pic:blipFill>
                  <pic:spPr>
                    <a:xfrm>
                      <a:off x="0" y="0"/>
                      <a:ext cx="5759450" cy="3361055"/>
                    </a:xfrm>
                    <a:prstGeom prst="rect">
                      <a:avLst/>
                    </a:prstGeom>
                  </pic:spPr>
                </pic:pic>
              </a:graphicData>
            </a:graphic>
          </wp:inline>
        </w:drawing>
      </w:r>
    </w:p>
    <w:p w14:paraId="5332905D" w14:textId="77777777" w:rsidR="007D1E74" w:rsidRDefault="00A95641">
      <w:pPr>
        <w:pStyle w:val="affffff6"/>
        <w:ind w:firstLine="420"/>
        <w:jc w:val="center"/>
        <w:rPr>
          <w:rFonts w:ascii="Times New Roman" w:hAnsi="Times New Roman" w:cs="Times New Roman"/>
          <w:b/>
          <w:bCs/>
          <w:sz w:val="21"/>
          <w:szCs w:val="20"/>
        </w:rPr>
      </w:pPr>
      <w:r>
        <w:rPr>
          <w:rFonts w:ascii="Times New Roman" w:eastAsia="黑体" w:hAnsi="Times New Roman" w:cs="Times New Roman"/>
          <w:sz w:val="21"/>
          <w:szCs w:val="18"/>
        </w:rPr>
        <w:t>图</w:t>
      </w:r>
      <w:r>
        <w:rPr>
          <w:rFonts w:ascii="Times New Roman" w:eastAsia="黑体" w:hAnsi="Times New Roman" w:cs="Times New Roman"/>
          <w:sz w:val="21"/>
          <w:szCs w:val="18"/>
        </w:rPr>
        <w:t xml:space="preserve">6.2-2  </w:t>
      </w:r>
      <w:r>
        <w:rPr>
          <w:rFonts w:ascii="Times New Roman" w:eastAsia="黑体" w:hAnsi="Times New Roman" w:cs="Times New Roman"/>
          <w:sz w:val="21"/>
          <w:szCs w:val="18"/>
        </w:rPr>
        <w:t>非正常工况石油类浓度迁移图</w:t>
      </w:r>
      <w:r>
        <w:rPr>
          <w:rFonts w:ascii="Times New Roman" w:eastAsia="黑体" w:hAnsi="Times New Roman" w:cs="Times New Roman"/>
          <w:sz w:val="21"/>
          <w:szCs w:val="18"/>
        </w:rPr>
        <w:t>-100d</w:t>
      </w:r>
      <w:r>
        <w:rPr>
          <w:rFonts w:ascii="Times New Roman" w:eastAsia="黑体" w:hAnsi="Times New Roman" w:cs="Times New Roman"/>
          <w:sz w:val="21"/>
          <w:szCs w:val="18"/>
        </w:rPr>
        <w:t>（</w:t>
      </w:r>
      <w:r>
        <w:rPr>
          <w:rFonts w:ascii="Times New Roman" w:eastAsia="黑体" w:hAnsi="Times New Roman" w:cs="Times New Roman"/>
          <w:sz w:val="21"/>
          <w:szCs w:val="18"/>
        </w:rPr>
        <w:t>mg/L</w:t>
      </w:r>
      <w:r>
        <w:rPr>
          <w:rFonts w:ascii="Times New Roman" w:eastAsia="黑体" w:hAnsi="Times New Roman" w:cs="Times New Roman"/>
          <w:sz w:val="21"/>
          <w:szCs w:val="18"/>
        </w:rPr>
        <w:t>）</w:t>
      </w:r>
    </w:p>
    <w:p w14:paraId="55D92C21" w14:textId="77777777" w:rsidR="007D1E74" w:rsidRDefault="007D1E74">
      <w:pPr>
        <w:pStyle w:val="affffff6"/>
        <w:ind w:firstLine="482"/>
        <w:rPr>
          <w:rFonts w:ascii="Times New Roman" w:hAnsi="Times New Roman" w:cs="Times New Roman"/>
          <w:b/>
          <w:bCs/>
        </w:rPr>
      </w:pPr>
    </w:p>
    <w:p w14:paraId="077EE0DB" w14:textId="77777777" w:rsidR="007D1E74" w:rsidRDefault="007D1E74">
      <w:pPr>
        <w:pStyle w:val="affffff6"/>
        <w:ind w:firstLine="482"/>
        <w:rPr>
          <w:rFonts w:ascii="Times New Roman" w:hAnsi="Times New Roman" w:cs="Times New Roman"/>
          <w:b/>
          <w:bCs/>
        </w:rPr>
      </w:pPr>
    </w:p>
    <w:p w14:paraId="2984F67F" w14:textId="77777777" w:rsidR="007D1E74" w:rsidRDefault="00A95641">
      <w:pPr>
        <w:pStyle w:val="affffff6"/>
        <w:ind w:firstLineChars="0" w:firstLine="0"/>
        <w:rPr>
          <w:rFonts w:ascii="Times New Roman" w:hAnsi="Times New Roman" w:cs="Times New Roman"/>
          <w:b/>
          <w:bCs/>
        </w:rPr>
      </w:pPr>
      <w:r>
        <w:rPr>
          <w:rFonts w:ascii="Times New Roman" w:hAnsi="Times New Roman" w:cs="Times New Roman"/>
          <w:noProof/>
        </w:rPr>
        <w:drawing>
          <wp:inline distT="0" distB="0" distL="0" distR="0" wp14:anchorId="07BDA10F" wp14:editId="10D86045">
            <wp:extent cx="5759450" cy="3530600"/>
            <wp:effectExtent l="0" t="0" r="1270" b="508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158"/>
                    <a:stretch>
                      <a:fillRect/>
                    </a:stretch>
                  </pic:blipFill>
                  <pic:spPr>
                    <a:xfrm>
                      <a:off x="0" y="0"/>
                      <a:ext cx="5759450" cy="3530600"/>
                    </a:xfrm>
                    <a:prstGeom prst="rect">
                      <a:avLst/>
                    </a:prstGeom>
                  </pic:spPr>
                </pic:pic>
              </a:graphicData>
            </a:graphic>
          </wp:inline>
        </w:drawing>
      </w:r>
    </w:p>
    <w:p w14:paraId="6CF11DCE" w14:textId="77777777" w:rsidR="007D1E74" w:rsidRDefault="00A95641">
      <w:pPr>
        <w:pStyle w:val="affffff6"/>
        <w:ind w:firstLine="420"/>
        <w:jc w:val="center"/>
        <w:rPr>
          <w:rFonts w:ascii="Times New Roman" w:hAnsi="Times New Roman" w:cs="Times New Roman"/>
          <w:b/>
          <w:bCs/>
          <w:sz w:val="21"/>
          <w:szCs w:val="20"/>
        </w:rPr>
      </w:pPr>
      <w:r>
        <w:rPr>
          <w:rFonts w:ascii="Times New Roman" w:eastAsia="黑体" w:hAnsi="Times New Roman" w:cs="Times New Roman"/>
          <w:sz w:val="21"/>
          <w:szCs w:val="18"/>
        </w:rPr>
        <w:t>图</w:t>
      </w:r>
      <w:r>
        <w:rPr>
          <w:rFonts w:ascii="Times New Roman" w:eastAsia="黑体" w:hAnsi="Times New Roman" w:cs="Times New Roman"/>
          <w:sz w:val="21"/>
          <w:szCs w:val="18"/>
        </w:rPr>
        <w:t xml:space="preserve">6.2-3  </w:t>
      </w:r>
      <w:r>
        <w:rPr>
          <w:rFonts w:ascii="Times New Roman" w:eastAsia="黑体" w:hAnsi="Times New Roman" w:cs="Times New Roman"/>
          <w:sz w:val="21"/>
          <w:szCs w:val="18"/>
        </w:rPr>
        <w:t>非正常工况石油类浓度迁移图</w:t>
      </w:r>
      <w:r>
        <w:rPr>
          <w:rFonts w:ascii="Times New Roman" w:eastAsia="黑体" w:hAnsi="Times New Roman" w:cs="Times New Roman"/>
          <w:sz w:val="21"/>
          <w:szCs w:val="18"/>
        </w:rPr>
        <w:t>-1000d</w:t>
      </w:r>
      <w:r>
        <w:rPr>
          <w:rFonts w:ascii="Times New Roman" w:eastAsia="黑体" w:hAnsi="Times New Roman" w:cs="Times New Roman"/>
          <w:sz w:val="21"/>
          <w:szCs w:val="18"/>
        </w:rPr>
        <w:t>（</w:t>
      </w:r>
      <w:r>
        <w:rPr>
          <w:rFonts w:ascii="Times New Roman" w:eastAsia="黑体" w:hAnsi="Times New Roman" w:cs="Times New Roman"/>
          <w:sz w:val="21"/>
          <w:szCs w:val="18"/>
        </w:rPr>
        <w:t>mg/L</w:t>
      </w:r>
      <w:r>
        <w:rPr>
          <w:rFonts w:ascii="Times New Roman" w:eastAsia="黑体" w:hAnsi="Times New Roman" w:cs="Times New Roman"/>
          <w:sz w:val="21"/>
          <w:szCs w:val="18"/>
        </w:rPr>
        <w:t>）</w:t>
      </w:r>
    </w:p>
    <w:p w14:paraId="79116676" w14:textId="77777777" w:rsidR="007D1E74" w:rsidRDefault="00A95641">
      <w:pPr>
        <w:pStyle w:val="affffff6"/>
        <w:ind w:firstLineChars="0" w:firstLine="0"/>
        <w:rPr>
          <w:rFonts w:ascii="Times New Roman" w:hAnsi="Times New Roman" w:cs="Times New Roman"/>
          <w:b/>
          <w:bCs/>
        </w:rPr>
      </w:pPr>
      <w:r>
        <w:rPr>
          <w:rFonts w:ascii="Times New Roman" w:hAnsi="Times New Roman" w:cs="Times New Roman"/>
          <w:noProof/>
        </w:rPr>
        <w:lastRenderedPageBreak/>
        <w:drawing>
          <wp:inline distT="0" distB="0" distL="0" distR="0" wp14:anchorId="57F1E3CC" wp14:editId="75BCF3CE">
            <wp:extent cx="5759450" cy="3366135"/>
            <wp:effectExtent l="0" t="0" r="1270" b="1905"/>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159"/>
                    <a:stretch>
                      <a:fillRect/>
                    </a:stretch>
                  </pic:blipFill>
                  <pic:spPr>
                    <a:xfrm>
                      <a:off x="0" y="0"/>
                      <a:ext cx="5759450" cy="3366135"/>
                    </a:xfrm>
                    <a:prstGeom prst="rect">
                      <a:avLst/>
                    </a:prstGeom>
                  </pic:spPr>
                </pic:pic>
              </a:graphicData>
            </a:graphic>
          </wp:inline>
        </w:drawing>
      </w:r>
    </w:p>
    <w:p w14:paraId="2B94BC2C" w14:textId="77777777" w:rsidR="007D1E74" w:rsidRDefault="00A95641">
      <w:pPr>
        <w:pStyle w:val="affffff6"/>
        <w:ind w:firstLine="420"/>
        <w:jc w:val="center"/>
        <w:rPr>
          <w:rFonts w:ascii="Times New Roman" w:hAnsi="Times New Roman" w:cs="Times New Roman"/>
          <w:b/>
          <w:bCs/>
          <w:sz w:val="21"/>
          <w:szCs w:val="20"/>
        </w:rPr>
      </w:pPr>
      <w:r>
        <w:rPr>
          <w:rFonts w:ascii="Times New Roman" w:eastAsia="黑体" w:hAnsi="Times New Roman" w:cs="Times New Roman"/>
          <w:sz w:val="21"/>
          <w:szCs w:val="18"/>
        </w:rPr>
        <w:t>图</w:t>
      </w:r>
      <w:r>
        <w:rPr>
          <w:rFonts w:ascii="Times New Roman" w:eastAsia="黑体" w:hAnsi="Times New Roman" w:cs="Times New Roman"/>
          <w:sz w:val="21"/>
          <w:szCs w:val="18"/>
        </w:rPr>
        <w:t xml:space="preserve">6.2-4  </w:t>
      </w:r>
      <w:r>
        <w:rPr>
          <w:rFonts w:ascii="Times New Roman" w:eastAsia="黑体" w:hAnsi="Times New Roman" w:cs="Times New Roman"/>
          <w:sz w:val="21"/>
          <w:szCs w:val="18"/>
        </w:rPr>
        <w:t>非正常工况石油类浓度迁移图</w:t>
      </w:r>
      <w:r>
        <w:rPr>
          <w:rFonts w:ascii="Times New Roman" w:eastAsia="黑体" w:hAnsi="Times New Roman" w:cs="Times New Roman"/>
          <w:sz w:val="21"/>
          <w:szCs w:val="18"/>
        </w:rPr>
        <w:t>-7000d</w:t>
      </w:r>
      <w:r>
        <w:rPr>
          <w:rFonts w:ascii="Times New Roman" w:eastAsia="黑体" w:hAnsi="Times New Roman" w:cs="Times New Roman"/>
          <w:sz w:val="21"/>
          <w:szCs w:val="18"/>
        </w:rPr>
        <w:t>（</w:t>
      </w:r>
      <w:r>
        <w:rPr>
          <w:rFonts w:ascii="Times New Roman" w:eastAsia="黑体" w:hAnsi="Times New Roman" w:cs="Times New Roman"/>
          <w:sz w:val="21"/>
          <w:szCs w:val="18"/>
        </w:rPr>
        <w:t>mg/L</w:t>
      </w:r>
      <w:r>
        <w:rPr>
          <w:rFonts w:ascii="Times New Roman" w:eastAsia="黑体" w:hAnsi="Times New Roman" w:cs="Times New Roman"/>
          <w:sz w:val="21"/>
          <w:szCs w:val="18"/>
        </w:rPr>
        <w:t>）</w:t>
      </w:r>
    </w:p>
    <w:p w14:paraId="0403AED7" w14:textId="77777777" w:rsidR="007D1E74" w:rsidRDefault="00A95641">
      <w:pPr>
        <w:spacing w:line="360" w:lineRule="auto"/>
        <w:ind w:firstLineChars="200" w:firstLine="480"/>
        <w:rPr>
          <w:sz w:val="24"/>
        </w:rPr>
      </w:pPr>
      <w:r>
        <w:rPr>
          <w:sz w:val="24"/>
        </w:rPr>
        <w:t>由预测可知，营运期非正常工况下污染发生后，石油类污染物第</w:t>
      </w:r>
      <w:r>
        <w:rPr>
          <w:sz w:val="24"/>
        </w:rPr>
        <w:t>100d</w:t>
      </w:r>
      <w:r>
        <w:rPr>
          <w:sz w:val="24"/>
        </w:rPr>
        <w:t>最大贡献值出现在泄漏源点下游</w:t>
      </w:r>
      <w:r>
        <w:rPr>
          <w:sz w:val="24"/>
        </w:rPr>
        <w:t>80m</w:t>
      </w:r>
      <w:r>
        <w:rPr>
          <w:sz w:val="24"/>
        </w:rPr>
        <w:t>处。石油类第</w:t>
      </w:r>
      <w:r>
        <w:rPr>
          <w:sz w:val="24"/>
        </w:rPr>
        <w:t>100d</w:t>
      </w:r>
      <w:r>
        <w:rPr>
          <w:sz w:val="24"/>
        </w:rPr>
        <w:t>浓度出现了超标现象（参照《地表水环境质量标准》（</w:t>
      </w:r>
      <w:r>
        <w:rPr>
          <w:sz w:val="24"/>
        </w:rPr>
        <w:t>GB3838-2002</w:t>
      </w:r>
      <w:r>
        <w:rPr>
          <w:sz w:val="24"/>
        </w:rPr>
        <w:t>）</w:t>
      </w:r>
      <w:r>
        <w:rPr>
          <w:sz w:val="24"/>
        </w:rPr>
        <w:t>III</w:t>
      </w:r>
      <w:r>
        <w:rPr>
          <w:sz w:val="24"/>
        </w:rPr>
        <w:t>类标准）；第</w:t>
      </w:r>
      <w:r>
        <w:rPr>
          <w:sz w:val="24"/>
        </w:rPr>
        <w:t>1000d</w:t>
      </w:r>
      <w:r>
        <w:rPr>
          <w:sz w:val="24"/>
        </w:rPr>
        <w:t>、</w:t>
      </w:r>
      <w:r>
        <w:rPr>
          <w:sz w:val="24"/>
        </w:rPr>
        <w:t>7300d</w:t>
      </w:r>
      <w:r>
        <w:rPr>
          <w:sz w:val="24"/>
        </w:rPr>
        <w:t>浓度均未出现超标现象。</w:t>
      </w:r>
    </w:p>
    <w:p w14:paraId="1C573331" w14:textId="77777777" w:rsidR="007D1E74" w:rsidRDefault="00A95641">
      <w:pPr>
        <w:pStyle w:val="-1"/>
        <w:ind w:firstLineChars="82" w:firstLine="198"/>
        <w:rPr>
          <w:b/>
        </w:rPr>
      </w:pPr>
      <w:r>
        <w:rPr>
          <w:b/>
        </w:rPr>
        <w:t>8</w:t>
      </w:r>
      <w:r>
        <w:rPr>
          <w:b/>
        </w:rPr>
        <w:t>、</w:t>
      </w:r>
      <w:r>
        <w:rPr>
          <w:b/>
        </w:rPr>
        <w:t xml:space="preserve"> </w:t>
      </w:r>
      <w:r>
        <w:rPr>
          <w:b/>
        </w:rPr>
        <w:t>地下水影响预测结果分析</w:t>
      </w:r>
    </w:p>
    <w:p w14:paraId="5853A468" w14:textId="77777777" w:rsidR="007D1E74" w:rsidRDefault="00A95641">
      <w:pPr>
        <w:spacing w:line="360" w:lineRule="auto"/>
        <w:ind w:firstLineChars="200" w:firstLine="480"/>
        <w:rPr>
          <w:sz w:val="24"/>
        </w:rPr>
      </w:pPr>
      <w:r>
        <w:rPr>
          <w:sz w:val="24"/>
        </w:rPr>
        <w:t>根据预测结果，本项目发生非正常工况将石油类浓度升高，在污染源周边超标，虽然超标的范围有限，但要恢复至背景水平需要非常长的时间，因此，应尽量避免风险事故发生。</w:t>
      </w:r>
    </w:p>
    <w:p w14:paraId="1BD7202C" w14:textId="77777777" w:rsidR="007D1E74" w:rsidRDefault="00A95641">
      <w:pPr>
        <w:pStyle w:val="-1"/>
        <w:ind w:firstLineChars="82" w:firstLine="198"/>
        <w:rPr>
          <w:b/>
        </w:rPr>
      </w:pPr>
      <w:r>
        <w:rPr>
          <w:b/>
        </w:rPr>
        <w:t>9</w:t>
      </w:r>
      <w:r>
        <w:rPr>
          <w:b/>
        </w:rPr>
        <w:t>、</w:t>
      </w:r>
      <w:r>
        <w:rPr>
          <w:b/>
        </w:rPr>
        <w:t xml:space="preserve"> </w:t>
      </w:r>
      <w:r>
        <w:rPr>
          <w:b/>
        </w:rPr>
        <w:t>地下水污染防治措施</w:t>
      </w:r>
    </w:p>
    <w:p w14:paraId="26F9EB2A" w14:textId="77777777" w:rsidR="007D1E74" w:rsidRDefault="00A95641">
      <w:pPr>
        <w:pStyle w:val="-1"/>
        <w:ind w:firstLineChars="82" w:firstLine="198"/>
      </w:pPr>
      <w:r>
        <w:rPr>
          <w:b/>
        </w:rPr>
        <w:t>（</w:t>
      </w:r>
      <w:r>
        <w:rPr>
          <w:b/>
        </w:rPr>
        <w:t>1</w:t>
      </w:r>
      <w:r>
        <w:rPr>
          <w:b/>
        </w:rPr>
        <w:t>）源头控制措施</w:t>
      </w:r>
    </w:p>
    <w:p w14:paraId="5CBF600E" w14:textId="77777777" w:rsidR="007D1E74" w:rsidRDefault="00A95641">
      <w:pPr>
        <w:spacing w:line="360" w:lineRule="auto"/>
        <w:ind w:firstLineChars="200" w:firstLine="480"/>
        <w:rPr>
          <w:sz w:val="24"/>
        </w:rPr>
      </w:pPr>
      <w:r>
        <w:rPr>
          <w:sz w:val="24"/>
        </w:rPr>
        <w:t>工艺设备、管道、采出水罐均采取防腐、防渗漏措施，定期检查管道、采出水罐，防止污染物</w:t>
      </w:r>
      <w:r>
        <w:rPr>
          <w:sz w:val="24"/>
        </w:rPr>
        <w:t>“</w:t>
      </w:r>
      <w:r>
        <w:rPr>
          <w:sz w:val="24"/>
        </w:rPr>
        <w:t>跑、冒、滴、漏</w:t>
      </w:r>
      <w:r>
        <w:rPr>
          <w:sz w:val="24"/>
        </w:rPr>
        <w:t>”</w:t>
      </w:r>
      <w:r>
        <w:rPr>
          <w:sz w:val="24"/>
        </w:rPr>
        <w:t>，将污染物泄漏的环境风险事故降到最低程度。</w:t>
      </w:r>
    </w:p>
    <w:p w14:paraId="34D4E2F6" w14:textId="77777777" w:rsidR="007D1E74" w:rsidRDefault="00A95641">
      <w:pPr>
        <w:pStyle w:val="-1"/>
        <w:ind w:firstLineChars="82" w:firstLine="198"/>
        <w:rPr>
          <w:b/>
        </w:rPr>
      </w:pPr>
      <w:r>
        <w:rPr>
          <w:b/>
        </w:rPr>
        <w:t>（</w:t>
      </w:r>
      <w:r>
        <w:rPr>
          <w:b/>
        </w:rPr>
        <w:t>2</w:t>
      </w:r>
      <w:r>
        <w:rPr>
          <w:b/>
        </w:rPr>
        <w:t>）分区防渗措施</w:t>
      </w:r>
    </w:p>
    <w:p w14:paraId="6613C417" w14:textId="77777777" w:rsidR="007D1E74" w:rsidRDefault="00A95641">
      <w:pPr>
        <w:spacing w:line="360" w:lineRule="auto"/>
        <w:ind w:firstLineChars="200" w:firstLine="480"/>
        <w:rPr>
          <w:sz w:val="24"/>
        </w:rPr>
      </w:pPr>
      <w:r>
        <w:rPr>
          <w:sz w:val="24"/>
        </w:rPr>
        <w:t>采出水罐、重力分离器撬、放空分液储存集成装置间，</w:t>
      </w:r>
      <w:r>
        <w:rPr>
          <w:bCs/>
          <w:sz w:val="24"/>
        </w:rPr>
        <w:t>均采取重点防渗</w:t>
      </w:r>
      <w:r>
        <w:rPr>
          <w:sz w:val="24"/>
        </w:rPr>
        <w:t>，并设防渗检漏系统，确保等效粘土防渗层</w:t>
      </w:r>
      <w:r>
        <w:rPr>
          <w:sz w:val="24"/>
        </w:rPr>
        <w:t>Mb≥6.0m</w:t>
      </w:r>
      <w:r>
        <w:rPr>
          <w:sz w:val="24"/>
        </w:rPr>
        <w:t>，</w:t>
      </w:r>
      <w:r>
        <w:rPr>
          <w:sz w:val="24"/>
        </w:rPr>
        <w:t>K≤10</w:t>
      </w:r>
      <w:r>
        <w:rPr>
          <w:sz w:val="24"/>
          <w:vertAlign w:val="superscript"/>
        </w:rPr>
        <w:t>-7</w:t>
      </w:r>
      <w:r>
        <w:rPr>
          <w:sz w:val="24"/>
        </w:rPr>
        <w:t>cm/s</w:t>
      </w:r>
      <w:r>
        <w:rPr>
          <w:sz w:val="24"/>
        </w:rPr>
        <w:t>。具体防渗结构及措施</w:t>
      </w:r>
      <w:r>
        <w:rPr>
          <w:bCs/>
          <w:sz w:val="24"/>
        </w:rPr>
        <w:t>由专业设计单位根据相关要求进行设计，但不应低于环评提出的防渗级别和要求</w:t>
      </w:r>
      <w:r>
        <w:rPr>
          <w:sz w:val="24"/>
        </w:rPr>
        <w:t>。</w:t>
      </w:r>
    </w:p>
    <w:p w14:paraId="1F56A68F" w14:textId="77777777" w:rsidR="007D1E74" w:rsidRDefault="00A95641">
      <w:pPr>
        <w:spacing w:line="360" w:lineRule="auto"/>
        <w:ind w:firstLineChars="200" w:firstLine="482"/>
        <w:rPr>
          <w:sz w:val="24"/>
        </w:rPr>
      </w:pPr>
      <w:r>
        <w:rPr>
          <w:b/>
          <w:sz w:val="24"/>
        </w:rPr>
        <w:t>简单防渗区</w:t>
      </w:r>
      <w:r>
        <w:rPr>
          <w:sz w:val="24"/>
        </w:rPr>
        <w:t>：除重点防渗区以外的区域等。采取一般地面硬化措施。</w:t>
      </w:r>
    </w:p>
    <w:p w14:paraId="5A408D9F" w14:textId="77777777" w:rsidR="007D1E74" w:rsidRDefault="00A95641">
      <w:pPr>
        <w:pStyle w:val="-1"/>
        <w:ind w:firstLineChars="82" w:firstLine="198"/>
        <w:rPr>
          <w:b/>
        </w:rPr>
      </w:pPr>
      <w:r>
        <w:rPr>
          <w:b/>
        </w:rPr>
        <w:lastRenderedPageBreak/>
        <w:t>10</w:t>
      </w:r>
      <w:r>
        <w:rPr>
          <w:b/>
        </w:rPr>
        <w:t>、地下水环境管理</w:t>
      </w:r>
    </w:p>
    <w:p w14:paraId="7985E626" w14:textId="77777777" w:rsidR="007D1E74" w:rsidRDefault="00A95641">
      <w:pPr>
        <w:spacing w:line="360" w:lineRule="auto"/>
        <w:ind w:firstLineChars="200" w:firstLine="480"/>
        <w:rPr>
          <w:sz w:val="24"/>
        </w:rPr>
      </w:pPr>
      <w:r>
        <w:rPr>
          <w:rFonts w:ascii="宋体" w:hAnsi="宋体" w:cs="宋体" w:hint="eastAsia"/>
          <w:sz w:val="24"/>
        </w:rPr>
        <w:t>①</w:t>
      </w:r>
      <w:r>
        <w:rPr>
          <w:sz w:val="24"/>
        </w:rPr>
        <w:t>加强本项目生产线及各管路的检修，避免生产工艺过程中废水的漏滴。</w:t>
      </w:r>
    </w:p>
    <w:p w14:paraId="20DB3465" w14:textId="77777777" w:rsidR="007D1E74" w:rsidRDefault="00A95641">
      <w:pPr>
        <w:spacing w:line="360" w:lineRule="auto"/>
        <w:ind w:firstLineChars="200" w:firstLine="480"/>
        <w:rPr>
          <w:sz w:val="24"/>
        </w:rPr>
      </w:pPr>
      <w:r>
        <w:rPr>
          <w:rFonts w:ascii="宋体" w:hAnsi="宋体" w:cs="宋体" w:hint="eastAsia"/>
          <w:sz w:val="24"/>
        </w:rPr>
        <w:t>②</w:t>
      </w:r>
      <w:r>
        <w:rPr>
          <w:sz w:val="24"/>
        </w:rPr>
        <w:t>本项目罐体下方除按要求设置防渗措施外，还应在罐体附近设置围堰</w:t>
      </w:r>
      <w:r>
        <w:rPr>
          <w:sz w:val="24"/>
        </w:rPr>
        <w:t>+</w:t>
      </w:r>
      <w:r>
        <w:rPr>
          <w:sz w:val="24"/>
        </w:rPr>
        <w:t>收集槽，出现泄漏情况能及时收集废水至事故池。</w:t>
      </w:r>
    </w:p>
    <w:p w14:paraId="1475D272" w14:textId="77777777" w:rsidR="007D1E74" w:rsidRDefault="00A95641">
      <w:pPr>
        <w:spacing w:line="360" w:lineRule="auto"/>
        <w:ind w:firstLineChars="200" w:firstLine="480"/>
        <w:rPr>
          <w:sz w:val="24"/>
        </w:rPr>
      </w:pPr>
      <w:r>
        <w:rPr>
          <w:rFonts w:ascii="宋体" w:hAnsi="宋体" w:cs="宋体" w:hint="eastAsia"/>
          <w:sz w:val="24"/>
        </w:rPr>
        <w:t>③实行</w:t>
      </w:r>
      <w:r>
        <w:rPr>
          <w:sz w:val="24"/>
        </w:rPr>
        <w:t>“</w:t>
      </w:r>
      <w:r>
        <w:rPr>
          <w:sz w:val="24"/>
        </w:rPr>
        <w:t>清污分流</w:t>
      </w:r>
      <w:r>
        <w:rPr>
          <w:sz w:val="24"/>
        </w:rPr>
        <w:t>”</w:t>
      </w:r>
      <w:r>
        <w:rPr>
          <w:sz w:val="24"/>
        </w:rPr>
        <w:t>。</w:t>
      </w:r>
    </w:p>
    <w:p w14:paraId="07172B65" w14:textId="77777777" w:rsidR="007D1E74" w:rsidRDefault="00A95641">
      <w:pPr>
        <w:spacing w:line="360" w:lineRule="auto"/>
        <w:ind w:firstLineChars="200" w:firstLine="480"/>
        <w:rPr>
          <w:sz w:val="24"/>
        </w:rPr>
      </w:pPr>
      <w:r>
        <w:rPr>
          <w:sz w:val="24"/>
        </w:rPr>
        <w:t>建设单位应建立完善的质量管理体系，实现</w:t>
      </w:r>
      <w:r>
        <w:rPr>
          <w:sz w:val="24"/>
        </w:rPr>
        <w:t>“</w:t>
      </w:r>
      <w:r>
        <w:rPr>
          <w:sz w:val="24"/>
        </w:rPr>
        <w:t>质量、安全、环境</w:t>
      </w:r>
      <w:r>
        <w:rPr>
          <w:sz w:val="24"/>
        </w:rPr>
        <w:t>”</w:t>
      </w:r>
      <w:r>
        <w:rPr>
          <w:sz w:val="24"/>
        </w:rPr>
        <w:t>三位一体的全面质量管理目标。</w:t>
      </w:r>
    </w:p>
    <w:p w14:paraId="1EE87C36" w14:textId="77777777" w:rsidR="007D1E74" w:rsidRDefault="00A95641">
      <w:pPr>
        <w:pStyle w:val="-1"/>
        <w:ind w:firstLine="482"/>
        <w:rPr>
          <w:b/>
        </w:rPr>
      </w:pPr>
      <w:r>
        <w:rPr>
          <w:b/>
        </w:rPr>
        <w:t>11</w:t>
      </w:r>
      <w:r>
        <w:rPr>
          <w:b/>
        </w:rPr>
        <w:t>、地下水环境影响结论</w:t>
      </w:r>
    </w:p>
    <w:p w14:paraId="57F1F823" w14:textId="77777777" w:rsidR="007D1E74" w:rsidRDefault="00A95641">
      <w:pPr>
        <w:spacing w:line="360" w:lineRule="auto"/>
        <w:ind w:firstLineChars="200" w:firstLine="480"/>
        <w:rPr>
          <w:sz w:val="24"/>
        </w:rPr>
      </w:pPr>
      <w:r>
        <w:rPr>
          <w:sz w:val="24"/>
        </w:rPr>
        <w:t>运营期管道沿线表层地质结构受到破坏，渗透性增大，有利于地面污染物随降水渗入地下含水层，由于本工程所经区域为农村地区，地表污染物较少，因此由于地表破坏而造成的地下水影响很微小。</w:t>
      </w:r>
    </w:p>
    <w:p w14:paraId="78C92C5B" w14:textId="77777777" w:rsidR="007D1E74" w:rsidRDefault="00A95641">
      <w:pPr>
        <w:spacing w:line="360" w:lineRule="auto"/>
        <w:ind w:firstLineChars="200" w:firstLine="480"/>
        <w:rPr>
          <w:sz w:val="24"/>
        </w:rPr>
      </w:pPr>
      <w:r>
        <w:rPr>
          <w:sz w:val="24"/>
        </w:rPr>
        <w:t>营运期，正常工况下，由于集输管线是全封闭系统，采用外防腐层和强制电流阴极保护联合方式，如不发生泄漏事故，对地下水不会造成影响。当管道发生破裂事故，其泄漏的天然气主要成分为甲烷，为气态，不溶于水，直接进入空气中，气体不会进入地下水，外管道防腐设，计严格按照相关规定，对地下水基本不会造成影响。</w:t>
      </w:r>
    </w:p>
    <w:p w14:paraId="58B79080" w14:textId="77777777" w:rsidR="007D1E74" w:rsidRDefault="00A95641">
      <w:pPr>
        <w:pStyle w:val="affffff6"/>
        <w:ind w:firstLine="480"/>
        <w:rPr>
          <w:rFonts w:ascii="Times New Roman" w:hAnsi="Times New Roman" w:cs="Times New Roman"/>
        </w:rPr>
      </w:pPr>
      <w:r>
        <w:rPr>
          <w:rFonts w:ascii="Times New Roman" w:hAnsi="Times New Roman" w:cs="Times New Roman"/>
        </w:rPr>
        <w:t>1#</w:t>
      </w:r>
      <w:r>
        <w:rPr>
          <w:rFonts w:ascii="Times New Roman" w:hAnsi="Times New Roman" w:cs="Times New Roman"/>
        </w:rPr>
        <w:t>阀室采出水罐石油类第</w:t>
      </w:r>
      <w:r>
        <w:rPr>
          <w:rFonts w:ascii="Times New Roman" w:hAnsi="Times New Roman" w:cs="Times New Roman"/>
        </w:rPr>
        <w:t>100d</w:t>
      </w:r>
      <w:r>
        <w:rPr>
          <w:rFonts w:ascii="Times New Roman" w:hAnsi="Times New Roman" w:cs="Times New Roman"/>
        </w:rPr>
        <w:t>浓度出现了超标现象（参照《地表水环境质量标准》（</w:t>
      </w:r>
      <w:r>
        <w:rPr>
          <w:rFonts w:ascii="Times New Roman" w:hAnsi="Times New Roman" w:cs="Times New Roman"/>
        </w:rPr>
        <w:t>GB3838-2002</w:t>
      </w:r>
      <w:r>
        <w:rPr>
          <w:rFonts w:ascii="Times New Roman" w:hAnsi="Times New Roman" w:cs="Times New Roman"/>
        </w:rPr>
        <w:t>）</w:t>
      </w:r>
      <w:r>
        <w:rPr>
          <w:rFonts w:ascii="Times New Roman" w:hAnsi="Times New Roman" w:cs="Times New Roman"/>
        </w:rPr>
        <w:t>III</w:t>
      </w:r>
      <w:r>
        <w:rPr>
          <w:rFonts w:ascii="Times New Roman" w:hAnsi="Times New Roman" w:cs="Times New Roman"/>
        </w:rPr>
        <w:t>类标准），通过加强采出水罐的检查检修，杜绝非正常工况的发生，同时制定非正常工况风险事故防范和应急措施，发生非正常工况风险事故后，通过及时处理，可有效控制污染影响。</w:t>
      </w:r>
    </w:p>
    <w:p w14:paraId="152F58A4" w14:textId="77777777" w:rsidR="007D1E74" w:rsidRDefault="00A95641">
      <w:pPr>
        <w:spacing w:line="360" w:lineRule="auto"/>
        <w:outlineLvl w:val="2"/>
        <w:rPr>
          <w:b/>
          <w:sz w:val="28"/>
          <w:szCs w:val="28"/>
        </w:rPr>
      </w:pPr>
      <w:bookmarkStart w:id="35" w:name="_Toc19648"/>
      <w:r>
        <w:rPr>
          <w:b/>
          <w:sz w:val="28"/>
          <w:szCs w:val="28"/>
        </w:rPr>
        <w:t>6.2.4</w:t>
      </w:r>
      <w:r>
        <w:rPr>
          <w:b/>
          <w:sz w:val="28"/>
          <w:szCs w:val="28"/>
        </w:rPr>
        <w:t>声环境影响预测与评价</w:t>
      </w:r>
      <w:bookmarkEnd w:id="35"/>
    </w:p>
    <w:p w14:paraId="546852C2" w14:textId="77777777" w:rsidR="007D1E74" w:rsidRDefault="00A95641">
      <w:pPr>
        <w:spacing w:line="360" w:lineRule="auto"/>
        <w:outlineLvl w:val="2"/>
        <w:rPr>
          <w:b/>
          <w:sz w:val="24"/>
        </w:rPr>
      </w:pPr>
      <w:bookmarkStart w:id="36" w:name="_Toc3965"/>
      <w:r>
        <w:rPr>
          <w:b/>
          <w:sz w:val="24"/>
        </w:rPr>
        <w:t>6.2.4.1</w:t>
      </w:r>
      <w:r>
        <w:rPr>
          <w:b/>
          <w:sz w:val="24"/>
        </w:rPr>
        <w:t>噪声评价等级</w:t>
      </w:r>
    </w:p>
    <w:p w14:paraId="413BCBBF" w14:textId="77777777" w:rsidR="007D1E74" w:rsidRDefault="00A95641">
      <w:pPr>
        <w:spacing w:line="360" w:lineRule="auto"/>
        <w:ind w:firstLineChars="200" w:firstLine="480"/>
        <w:rPr>
          <w:sz w:val="24"/>
        </w:rPr>
      </w:pPr>
      <w:r>
        <w:rPr>
          <w:sz w:val="24"/>
        </w:rPr>
        <w:t>本噪声评价等级为二级，主要是管道、阀室装置等，</w:t>
      </w:r>
      <w:r>
        <w:rPr>
          <w:rFonts w:hint="eastAsia"/>
          <w:sz w:val="24"/>
        </w:rPr>
        <w:t>管道</w:t>
      </w:r>
      <w:r>
        <w:rPr>
          <w:sz w:val="24"/>
        </w:rPr>
        <w:t>为埋地敷设</w:t>
      </w:r>
      <w:r>
        <w:rPr>
          <w:rFonts w:hint="eastAsia"/>
          <w:sz w:val="24"/>
        </w:rPr>
        <w:t>，</w:t>
      </w:r>
      <w:r>
        <w:rPr>
          <w:sz w:val="24"/>
        </w:rPr>
        <w:t>因此本次评价主要对阀室噪声进行评价。</w:t>
      </w:r>
    </w:p>
    <w:p w14:paraId="2E042E1D" w14:textId="77777777" w:rsidR="007D1E74" w:rsidRDefault="00A95641">
      <w:pPr>
        <w:spacing w:line="360" w:lineRule="auto"/>
        <w:outlineLvl w:val="2"/>
        <w:rPr>
          <w:b/>
          <w:sz w:val="24"/>
        </w:rPr>
      </w:pPr>
      <w:r>
        <w:rPr>
          <w:b/>
          <w:sz w:val="24"/>
        </w:rPr>
        <w:t>6.2.4.2</w:t>
      </w:r>
      <w:r>
        <w:rPr>
          <w:b/>
          <w:sz w:val="24"/>
        </w:rPr>
        <w:t>噪声源分析</w:t>
      </w:r>
    </w:p>
    <w:p w14:paraId="7169CC33" w14:textId="77777777" w:rsidR="007D1E74" w:rsidRDefault="00A95641">
      <w:pPr>
        <w:spacing w:line="360" w:lineRule="auto"/>
        <w:ind w:firstLineChars="200" w:firstLine="480"/>
        <w:rPr>
          <w:sz w:val="24"/>
        </w:rPr>
      </w:pPr>
      <w:r>
        <w:rPr>
          <w:sz w:val="24"/>
        </w:rPr>
        <w:t>本项目主要噪声源及治理措施见表</w:t>
      </w:r>
      <w:r>
        <w:rPr>
          <w:sz w:val="24"/>
        </w:rPr>
        <w:t>3.2-5</w:t>
      </w:r>
      <w:r>
        <w:rPr>
          <w:sz w:val="24"/>
        </w:rPr>
        <w:t>。</w:t>
      </w:r>
    </w:p>
    <w:p w14:paraId="02CBAD2D" w14:textId="77777777" w:rsidR="007D1E74" w:rsidRDefault="00A95641">
      <w:pPr>
        <w:spacing w:line="360" w:lineRule="auto"/>
        <w:outlineLvl w:val="2"/>
        <w:rPr>
          <w:b/>
          <w:sz w:val="24"/>
        </w:rPr>
      </w:pPr>
      <w:r>
        <w:rPr>
          <w:b/>
          <w:sz w:val="24"/>
        </w:rPr>
        <w:t xml:space="preserve">6.2.4.3 </w:t>
      </w:r>
      <w:r>
        <w:rPr>
          <w:b/>
          <w:sz w:val="24"/>
        </w:rPr>
        <w:t>主要噪声源强的确定</w:t>
      </w:r>
    </w:p>
    <w:p w14:paraId="5ABF5982" w14:textId="77777777" w:rsidR="007D1E74" w:rsidRDefault="00A95641">
      <w:pPr>
        <w:pStyle w:val="21"/>
        <w:spacing w:after="0" w:line="360" w:lineRule="auto"/>
        <w:ind w:leftChars="0" w:left="0" w:firstLine="480"/>
        <w:rPr>
          <w:rFonts w:ascii="Times New Roman" w:hAnsi="Times New Roman" w:cs="Times New Roman"/>
          <w:sz w:val="24"/>
        </w:rPr>
      </w:pPr>
      <w:r>
        <w:rPr>
          <w:rFonts w:ascii="Times New Roman" w:hAnsi="Times New Roman" w:cs="Times New Roman"/>
          <w:sz w:val="24"/>
        </w:rPr>
        <w:t>根据《环境影响评价技术导则</w:t>
      </w:r>
      <w:r>
        <w:rPr>
          <w:rFonts w:ascii="Times New Roman" w:hAnsi="Times New Roman" w:cs="Times New Roman"/>
          <w:sz w:val="24"/>
        </w:rPr>
        <w:t>-</w:t>
      </w:r>
      <w:r>
        <w:rPr>
          <w:rFonts w:ascii="Times New Roman" w:hAnsi="Times New Roman" w:cs="Times New Roman"/>
          <w:sz w:val="24"/>
        </w:rPr>
        <w:t>声环境》中关于噪声源简化处理原则，以独立房间视为一个点声源，将房间内的主要噪声源分别进行声级叠加，一个叠加声源经房间墙体的隔声衰减，传至室外的声级值作为一个等效室外声源。</w:t>
      </w:r>
    </w:p>
    <w:p w14:paraId="79D9B8FA" w14:textId="77777777" w:rsidR="007D1E74" w:rsidRDefault="00A95641">
      <w:pPr>
        <w:pStyle w:val="21"/>
        <w:spacing w:after="0" w:line="360" w:lineRule="auto"/>
        <w:ind w:leftChars="0" w:left="0" w:firstLine="480"/>
        <w:rPr>
          <w:rFonts w:ascii="Times New Roman" w:hAnsi="Times New Roman" w:cs="Times New Roman"/>
          <w:sz w:val="24"/>
        </w:rPr>
      </w:pPr>
      <w:r>
        <w:rPr>
          <w:rFonts w:ascii="Times New Roman" w:hAnsi="Times New Roman" w:cs="Times New Roman"/>
          <w:sz w:val="24"/>
        </w:rPr>
        <w:lastRenderedPageBreak/>
        <w:t>房间内各噪声源叠加模式</w:t>
      </w:r>
    </w:p>
    <w:p w14:paraId="309A3D1E" w14:textId="77777777" w:rsidR="007D1E74" w:rsidRDefault="00A95641">
      <w:pPr>
        <w:pStyle w:val="21"/>
        <w:spacing w:after="0" w:line="360" w:lineRule="auto"/>
        <w:ind w:leftChars="0" w:left="0"/>
        <w:jc w:val="center"/>
        <w:rPr>
          <w:rFonts w:ascii="Times New Roman" w:hAnsi="Times New Roman" w:cs="Times New Roman"/>
          <w:sz w:val="24"/>
        </w:rPr>
      </w:pPr>
      <w:r>
        <w:rPr>
          <w:rFonts w:ascii="Times New Roman" w:hAnsi="Times New Roman" w:cs="Times New Roman"/>
          <w:noProof/>
        </w:rPr>
        <w:drawing>
          <wp:inline distT="0" distB="0" distL="114300" distR="114300" wp14:anchorId="6CE218D9" wp14:editId="38E03624">
            <wp:extent cx="1666875" cy="533400"/>
            <wp:effectExtent l="0" t="0" r="9525" b="0"/>
            <wp:docPr id="15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
                    <pic:cNvPicPr>
                      <a:picLocks noChangeAspect="1"/>
                    </pic:cNvPicPr>
                  </pic:nvPicPr>
                  <pic:blipFill>
                    <a:blip r:embed="rId160"/>
                    <a:stretch>
                      <a:fillRect/>
                    </a:stretch>
                  </pic:blipFill>
                  <pic:spPr>
                    <a:xfrm>
                      <a:off x="0" y="0"/>
                      <a:ext cx="1666875" cy="533400"/>
                    </a:xfrm>
                    <a:prstGeom prst="rect">
                      <a:avLst/>
                    </a:prstGeom>
                    <a:noFill/>
                    <a:ln>
                      <a:noFill/>
                    </a:ln>
                  </pic:spPr>
                </pic:pic>
              </a:graphicData>
            </a:graphic>
          </wp:inline>
        </w:drawing>
      </w:r>
    </w:p>
    <w:p w14:paraId="282769C3" w14:textId="77777777" w:rsidR="007D1E74" w:rsidRDefault="00A95641">
      <w:pPr>
        <w:pStyle w:val="21"/>
        <w:spacing w:after="0" w:line="360" w:lineRule="auto"/>
        <w:ind w:leftChars="0" w:left="0" w:firstLine="480"/>
        <w:rPr>
          <w:rFonts w:ascii="Times New Roman" w:hAnsi="Times New Roman" w:cs="Times New Roman"/>
          <w:sz w:val="24"/>
        </w:rPr>
      </w:pPr>
      <w:r>
        <w:rPr>
          <w:rFonts w:ascii="Times New Roman" w:hAnsi="Times New Roman" w:cs="Times New Roman"/>
          <w:sz w:val="24"/>
        </w:rPr>
        <w:t>式中：</w:t>
      </w:r>
      <w:r>
        <w:rPr>
          <w:rFonts w:ascii="Times New Roman" w:hAnsi="Times New Roman" w:cs="Times New Roman"/>
          <w:sz w:val="24"/>
        </w:rPr>
        <w:t>L——</w:t>
      </w:r>
      <w:r>
        <w:rPr>
          <w:rFonts w:ascii="Times New Roman" w:hAnsi="Times New Roman" w:cs="Times New Roman"/>
          <w:sz w:val="24"/>
        </w:rPr>
        <w:t>评价点噪声的预测值，</w:t>
      </w:r>
      <w:r>
        <w:rPr>
          <w:rFonts w:ascii="Times New Roman" w:hAnsi="Times New Roman" w:cs="Times New Roman"/>
          <w:sz w:val="24"/>
        </w:rPr>
        <w:t>dB(Α)</w:t>
      </w:r>
      <w:r>
        <w:rPr>
          <w:rFonts w:ascii="Times New Roman" w:hAnsi="Times New Roman" w:cs="Times New Roman"/>
          <w:sz w:val="24"/>
        </w:rPr>
        <w:t>；</w:t>
      </w:r>
    </w:p>
    <w:p w14:paraId="0B112AB8" w14:textId="77777777" w:rsidR="007D1E74" w:rsidRDefault="00A95641">
      <w:pPr>
        <w:pStyle w:val="21"/>
        <w:spacing w:after="0" w:line="360" w:lineRule="auto"/>
        <w:ind w:leftChars="0" w:left="0" w:firstLine="480"/>
        <w:rPr>
          <w:rFonts w:ascii="Times New Roman" w:hAnsi="Times New Roman" w:cs="Times New Roman"/>
          <w:sz w:val="24"/>
        </w:rPr>
      </w:pPr>
      <w:r>
        <w:rPr>
          <w:rFonts w:ascii="Times New Roman" w:hAnsi="Times New Roman" w:cs="Times New Roman"/>
          <w:sz w:val="24"/>
        </w:rPr>
        <w:t>Li——</w:t>
      </w:r>
      <w:r>
        <w:rPr>
          <w:rFonts w:ascii="Times New Roman" w:hAnsi="Times New Roman" w:cs="Times New Roman"/>
          <w:sz w:val="24"/>
        </w:rPr>
        <w:t>第</w:t>
      </w:r>
      <w:r>
        <w:rPr>
          <w:rFonts w:ascii="Times New Roman" w:hAnsi="Times New Roman" w:cs="Times New Roman"/>
          <w:sz w:val="24"/>
        </w:rPr>
        <w:t xml:space="preserve"> i </w:t>
      </w:r>
      <w:r>
        <w:rPr>
          <w:rFonts w:ascii="Times New Roman" w:hAnsi="Times New Roman" w:cs="Times New Roman"/>
          <w:sz w:val="24"/>
        </w:rPr>
        <w:t>个声源在评价点产生的噪声贡献值，</w:t>
      </w:r>
      <w:r>
        <w:rPr>
          <w:rFonts w:ascii="Times New Roman" w:hAnsi="Times New Roman" w:cs="Times New Roman"/>
          <w:sz w:val="24"/>
        </w:rPr>
        <w:t>dB(Α)</w:t>
      </w:r>
      <w:r>
        <w:rPr>
          <w:rFonts w:ascii="Times New Roman" w:hAnsi="Times New Roman" w:cs="Times New Roman"/>
          <w:sz w:val="24"/>
        </w:rPr>
        <w:t>；</w:t>
      </w:r>
    </w:p>
    <w:p w14:paraId="2CA09642" w14:textId="77777777" w:rsidR="007D1E74" w:rsidRDefault="00A95641">
      <w:pPr>
        <w:pStyle w:val="21"/>
        <w:spacing w:after="0" w:line="360" w:lineRule="auto"/>
        <w:ind w:leftChars="0" w:left="0" w:firstLine="480"/>
        <w:rPr>
          <w:rFonts w:ascii="Times New Roman" w:hAnsi="Times New Roman" w:cs="Times New Roman"/>
          <w:sz w:val="24"/>
        </w:rPr>
      </w:pPr>
      <w:r>
        <w:rPr>
          <w:rFonts w:ascii="Times New Roman" w:hAnsi="Times New Roman" w:cs="Times New Roman"/>
          <w:sz w:val="24"/>
        </w:rPr>
        <w:t>n——</w:t>
      </w:r>
      <w:r>
        <w:rPr>
          <w:rFonts w:ascii="Times New Roman" w:hAnsi="Times New Roman" w:cs="Times New Roman"/>
          <w:sz w:val="24"/>
        </w:rPr>
        <w:t>点声源数。</w:t>
      </w:r>
    </w:p>
    <w:p w14:paraId="27B12B68" w14:textId="77777777" w:rsidR="007D1E74" w:rsidRDefault="00A95641">
      <w:pPr>
        <w:pStyle w:val="21"/>
        <w:spacing w:after="0" w:line="360" w:lineRule="auto"/>
        <w:ind w:leftChars="0" w:left="0" w:firstLine="480"/>
        <w:rPr>
          <w:rFonts w:ascii="Times New Roman" w:hAnsi="Times New Roman" w:cs="Times New Roman"/>
          <w:sz w:val="24"/>
        </w:rPr>
      </w:pPr>
      <w:r>
        <w:rPr>
          <w:rFonts w:ascii="Times New Roman" w:hAnsi="Times New Roman" w:cs="Times New Roman"/>
          <w:sz w:val="24"/>
        </w:rPr>
        <w:t>根据生产设备噪声源治理后的噪声级，噪声值按不利考虑为</w:t>
      </w:r>
      <w:r>
        <w:rPr>
          <w:rFonts w:ascii="Times New Roman" w:hAnsi="Times New Roman" w:cs="Times New Roman"/>
          <w:sz w:val="24"/>
        </w:rPr>
        <w:t>55dB(A)</w:t>
      </w:r>
      <w:r>
        <w:rPr>
          <w:rFonts w:ascii="Times New Roman" w:hAnsi="Times New Roman" w:cs="Times New Roman"/>
          <w:sz w:val="24"/>
        </w:rPr>
        <w:t>。</w:t>
      </w:r>
    </w:p>
    <w:p w14:paraId="52DB0EEB" w14:textId="77777777" w:rsidR="007D1E74" w:rsidRDefault="00A95641">
      <w:pPr>
        <w:spacing w:line="360" w:lineRule="auto"/>
        <w:outlineLvl w:val="2"/>
        <w:rPr>
          <w:b/>
          <w:sz w:val="24"/>
        </w:rPr>
      </w:pPr>
      <w:r>
        <w:rPr>
          <w:b/>
          <w:sz w:val="24"/>
        </w:rPr>
        <w:t>6.2.4.4</w:t>
      </w:r>
      <w:r>
        <w:rPr>
          <w:b/>
          <w:sz w:val="24"/>
        </w:rPr>
        <w:t>噪声影响预测方法</w:t>
      </w:r>
    </w:p>
    <w:p w14:paraId="38D83AEB" w14:textId="77777777" w:rsidR="007D1E74" w:rsidRDefault="00A95641">
      <w:pPr>
        <w:pStyle w:val="afffffffff8"/>
        <w:adjustRightInd/>
        <w:rPr>
          <w:rFonts w:ascii="Times New Roman" w:hAnsi="Times New Roman" w:cs="Times New Roman"/>
          <w:szCs w:val="24"/>
        </w:rPr>
      </w:pPr>
      <w:r>
        <w:rPr>
          <w:rFonts w:ascii="Times New Roman" w:hAnsi="Times New Roman" w:cs="Times New Roman"/>
          <w:szCs w:val="24"/>
        </w:rPr>
        <w:t>1</w:t>
      </w:r>
      <w:r>
        <w:rPr>
          <w:rFonts w:ascii="Times New Roman" w:hAnsi="Times New Roman" w:cs="Times New Roman"/>
          <w:szCs w:val="24"/>
        </w:rPr>
        <w:t>）噪声衰减模式：</w:t>
      </w:r>
    </w:p>
    <w:p w14:paraId="5A591246" w14:textId="77777777" w:rsidR="007D1E74" w:rsidRDefault="00A95641">
      <w:pPr>
        <w:pStyle w:val="afffffffff8"/>
        <w:adjustRightInd/>
        <w:rPr>
          <w:rFonts w:ascii="Times New Roman" w:hAnsi="Times New Roman" w:cs="Times New Roman"/>
          <w:szCs w:val="24"/>
        </w:rPr>
      </w:pPr>
      <w:r>
        <w:rPr>
          <w:rFonts w:ascii="Times New Roman" w:hAnsi="Times New Roman" w:cs="Times New Roman"/>
          <w:szCs w:val="24"/>
        </w:rPr>
        <w:t xml:space="preserve">          L</w:t>
      </w:r>
      <w:r>
        <w:rPr>
          <w:rFonts w:ascii="Times New Roman" w:hAnsi="Times New Roman" w:cs="Times New Roman"/>
          <w:szCs w:val="24"/>
          <w:vertAlign w:val="subscript"/>
        </w:rPr>
        <w:t>P</w:t>
      </w:r>
      <w:r>
        <w:rPr>
          <w:rFonts w:ascii="Times New Roman" w:hAnsi="Times New Roman" w:cs="Times New Roman"/>
          <w:szCs w:val="24"/>
          <w:lang w:val="en-GB"/>
        </w:rPr>
        <w:t>＝</w:t>
      </w:r>
      <w:r>
        <w:rPr>
          <w:rFonts w:ascii="Times New Roman" w:hAnsi="Times New Roman" w:cs="Times New Roman"/>
          <w:szCs w:val="24"/>
        </w:rPr>
        <w:t>L</w:t>
      </w:r>
      <w:r>
        <w:rPr>
          <w:rFonts w:ascii="Times New Roman" w:hAnsi="Times New Roman" w:cs="Times New Roman"/>
          <w:szCs w:val="24"/>
          <w:vertAlign w:val="subscript"/>
        </w:rPr>
        <w:t>W</w:t>
      </w:r>
      <w:r>
        <w:rPr>
          <w:rFonts w:ascii="Times New Roman" w:hAnsi="Times New Roman" w:cs="Times New Roman"/>
          <w:szCs w:val="24"/>
          <w:lang w:val="en-GB"/>
        </w:rPr>
        <w:t>－</w:t>
      </w:r>
      <w:r>
        <w:rPr>
          <w:rFonts w:ascii="Times New Roman" w:hAnsi="Times New Roman" w:cs="Times New Roman"/>
          <w:szCs w:val="24"/>
        </w:rPr>
        <w:t>20lgr</w:t>
      </w:r>
      <w:r>
        <w:rPr>
          <w:rFonts w:ascii="Times New Roman" w:hAnsi="Times New Roman" w:cs="Times New Roman"/>
          <w:szCs w:val="24"/>
          <w:lang w:val="en-GB"/>
        </w:rPr>
        <w:t>－</w:t>
      </w:r>
      <w:r>
        <w:rPr>
          <w:rFonts w:ascii="Times New Roman" w:hAnsi="Times New Roman" w:cs="Times New Roman"/>
          <w:szCs w:val="24"/>
        </w:rPr>
        <w:t>K</w:t>
      </w:r>
    </w:p>
    <w:p w14:paraId="261EFD85" w14:textId="77777777" w:rsidR="007D1E74" w:rsidRDefault="00A95641">
      <w:pPr>
        <w:pStyle w:val="afffffffff8"/>
        <w:adjustRightInd/>
        <w:rPr>
          <w:rFonts w:ascii="Times New Roman" w:hAnsi="Times New Roman" w:cs="Times New Roman"/>
          <w:szCs w:val="24"/>
        </w:rPr>
      </w:pPr>
      <w:r>
        <w:rPr>
          <w:rFonts w:ascii="Times New Roman" w:hAnsi="Times New Roman" w:cs="Times New Roman"/>
          <w:szCs w:val="24"/>
        </w:rPr>
        <w:tab/>
      </w:r>
      <w:r>
        <w:rPr>
          <w:rFonts w:ascii="Times New Roman" w:hAnsi="Times New Roman" w:cs="Times New Roman"/>
          <w:szCs w:val="24"/>
        </w:rPr>
        <w:t>式中：</w:t>
      </w:r>
      <w:r>
        <w:rPr>
          <w:rFonts w:ascii="Times New Roman" w:hAnsi="Times New Roman" w:cs="Times New Roman"/>
          <w:szCs w:val="24"/>
        </w:rPr>
        <w:t>L</w:t>
      </w:r>
      <w:r>
        <w:rPr>
          <w:rFonts w:ascii="Times New Roman" w:hAnsi="Times New Roman" w:cs="Times New Roman"/>
          <w:szCs w:val="24"/>
          <w:vertAlign w:val="subscript"/>
        </w:rPr>
        <w:t>P</w:t>
      </w:r>
      <w:r>
        <w:rPr>
          <w:rFonts w:ascii="Times New Roman" w:hAnsi="Times New Roman" w:cs="Times New Roman"/>
          <w:szCs w:val="24"/>
        </w:rPr>
        <w:t>……</w:t>
      </w:r>
      <w:r>
        <w:rPr>
          <w:rFonts w:ascii="Times New Roman" w:hAnsi="Times New Roman" w:cs="Times New Roman"/>
          <w:szCs w:val="24"/>
        </w:rPr>
        <w:t>距离声源</w:t>
      </w:r>
      <w:r>
        <w:rPr>
          <w:rFonts w:ascii="Times New Roman" w:hAnsi="Times New Roman" w:cs="Times New Roman"/>
          <w:szCs w:val="24"/>
        </w:rPr>
        <w:t>r</w:t>
      </w:r>
      <w:r>
        <w:rPr>
          <w:rFonts w:ascii="Times New Roman" w:hAnsi="Times New Roman" w:cs="Times New Roman"/>
          <w:szCs w:val="24"/>
        </w:rPr>
        <w:t>米处的声压级；</w:t>
      </w:r>
    </w:p>
    <w:p w14:paraId="0DF094FC" w14:textId="77777777" w:rsidR="007D1E74" w:rsidRDefault="00A95641">
      <w:pPr>
        <w:pStyle w:val="afffffffff8"/>
        <w:adjustRightInd/>
        <w:rPr>
          <w:rFonts w:ascii="Times New Roman" w:hAnsi="Times New Roman" w:cs="Times New Roman"/>
          <w:szCs w:val="24"/>
        </w:rPr>
      </w:pPr>
      <w:r>
        <w:rPr>
          <w:rFonts w:ascii="Times New Roman" w:hAnsi="Times New Roman" w:cs="Times New Roman"/>
          <w:szCs w:val="24"/>
        </w:rPr>
        <w:tab/>
        <w:t xml:space="preserve">      L</w:t>
      </w:r>
      <w:r>
        <w:rPr>
          <w:rFonts w:ascii="Times New Roman" w:hAnsi="Times New Roman" w:cs="Times New Roman"/>
          <w:szCs w:val="24"/>
          <w:vertAlign w:val="subscript"/>
        </w:rPr>
        <w:t>W</w:t>
      </w:r>
      <w:r>
        <w:rPr>
          <w:rFonts w:ascii="Times New Roman" w:hAnsi="Times New Roman" w:cs="Times New Roman"/>
          <w:szCs w:val="24"/>
        </w:rPr>
        <w:t>……</w:t>
      </w:r>
      <w:r>
        <w:rPr>
          <w:rFonts w:ascii="Times New Roman" w:hAnsi="Times New Roman" w:cs="Times New Roman"/>
          <w:szCs w:val="24"/>
        </w:rPr>
        <w:t>声源声功率级；</w:t>
      </w:r>
    </w:p>
    <w:p w14:paraId="61904DD4" w14:textId="77777777" w:rsidR="007D1E74" w:rsidRDefault="00A95641">
      <w:pPr>
        <w:pStyle w:val="afffffffff8"/>
        <w:adjustRightInd/>
        <w:rPr>
          <w:rFonts w:ascii="Times New Roman" w:hAnsi="Times New Roman" w:cs="Times New Roman"/>
          <w:szCs w:val="24"/>
        </w:rPr>
      </w:pPr>
      <w:r>
        <w:rPr>
          <w:rFonts w:ascii="Times New Roman" w:hAnsi="Times New Roman" w:cs="Times New Roman"/>
          <w:szCs w:val="24"/>
        </w:rPr>
        <w:tab/>
        <w:t xml:space="preserve">      r……</w:t>
      </w:r>
      <w:r>
        <w:rPr>
          <w:rFonts w:ascii="Times New Roman" w:hAnsi="Times New Roman" w:cs="Times New Roman"/>
          <w:szCs w:val="24"/>
        </w:rPr>
        <w:t>距离声源中心的距离；</w:t>
      </w:r>
    </w:p>
    <w:p w14:paraId="7806A663" w14:textId="77777777" w:rsidR="007D1E74" w:rsidRDefault="00A95641">
      <w:pPr>
        <w:pStyle w:val="afffffffff8"/>
        <w:adjustRightInd/>
        <w:rPr>
          <w:rFonts w:ascii="Times New Roman" w:hAnsi="Times New Roman" w:cs="Times New Roman"/>
          <w:szCs w:val="24"/>
        </w:rPr>
      </w:pPr>
      <w:r>
        <w:rPr>
          <w:rFonts w:ascii="Times New Roman" w:hAnsi="Times New Roman" w:cs="Times New Roman"/>
          <w:szCs w:val="24"/>
        </w:rPr>
        <w:tab/>
        <w:t xml:space="preserve">      K</w:t>
      </w:r>
      <w:r>
        <w:rPr>
          <w:rFonts w:ascii="Times New Roman" w:hAnsi="Times New Roman" w:cs="Times New Roman"/>
          <w:szCs w:val="24"/>
          <w:lang w:val="en-GB"/>
        </w:rPr>
        <w:t>……</w:t>
      </w:r>
      <w:r>
        <w:rPr>
          <w:rFonts w:ascii="Times New Roman" w:hAnsi="Times New Roman" w:cs="Times New Roman"/>
          <w:szCs w:val="24"/>
        </w:rPr>
        <w:t>修正值。</w:t>
      </w:r>
    </w:p>
    <w:p w14:paraId="322A2524" w14:textId="77777777" w:rsidR="007D1E74" w:rsidRDefault="00A95641">
      <w:pPr>
        <w:pStyle w:val="afffffffff8"/>
        <w:adjustRightInd/>
        <w:rPr>
          <w:rFonts w:ascii="Times New Roman" w:hAnsi="Times New Roman" w:cs="Times New Roman"/>
          <w:szCs w:val="24"/>
        </w:rPr>
      </w:pPr>
      <w:r>
        <w:rPr>
          <w:rFonts w:ascii="Times New Roman" w:hAnsi="Times New Roman" w:cs="Times New Roman"/>
          <w:szCs w:val="24"/>
        </w:rPr>
        <w:t>对于同一声源可知</w:t>
      </w:r>
      <w:r>
        <w:rPr>
          <w:rFonts w:ascii="Times New Roman" w:hAnsi="Times New Roman" w:cs="Times New Roman"/>
          <w:szCs w:val="24"/>
        </w:rPr>
        <w:t>r</w:t>
      </w:r>
      <w:r>
        <w:rPr>
          <w:rFonts w:ascii="Times New Roman" w:hAnsi="Times New Roman" w:cs="Times New Roman"/>
          <w:szCs w:val="24"/>
          <w:vertAlign w:val="subscript"/>
        </w:rPr>
        <w:t>1</w:t>
      </w:r>
      <w:r>
        <w:rPr>
          <w:rFonts w:ascii="Times New Roman" w:hAnsi="Times New Roman" w:cs="Times New Roman"/>
          <w:szCs w:val="24"/>
        </w:rPr>
        <w:t>和</w:t>
      </w:r>
      <w:r>
        <w:rPr>
          <w:rFonts w:ascii="Times New Roman" w:hAnsi="Times New Roman" w:cs="Times New Roman"/>
          <w:szCs w:val="24"/>
        </w:rPr>
        <w:t>r</w:t>
      </w:r>
      <w:r>
        <w:rPr>
          <w:rFonts w:ascii="Times New Roman" w:hAnsi="Times New Roman" w:cs="Times New Roman"/>
          <w:szCs w:val="24"/>
          <w:vertAlign w:val="subscript"/>
        </w:rPr>
        <w:t>2</w:t>
      </w:r>
      <w:r>
        <w:rPr>
          <w:rFonts w:ascii="Times New Roman" w:hAnsi="Times New Roman" w:cs="Times New Roman"/>
          <w:szCs w:val="24"/>
        </w:rPr>
        <w:t>处声压级</w:t>
      </w:r>
      <w:r>
        <w:rPr>
          <w:rFonts w:ascii="Times New Roman" w:hAnsi="Times New Roman" w:cs="Times New Roman"/>
          <w:szCs w:val="24"/>
        </w:rPr>
        <w:t>L</w:t>
      </w:r>
      <w:r>
        <w:rPr>
          <w:rFonts w:ascii="Times New Roman" w:hAnsi="Times New Roman" w:cs="Times New Roman"/>
          <w:szCs w:val="24"/>
          <w:vertAlign w:val="subscript"/>
        </w:rPr>
        <w:t>1</w:t>
      </w:r>
      <w:r>
        <w:rPr>
          <w:rFonts w:ascii="Times New Roman" w:hAnsi="Times New Roman" w:cs="Times New Roman"/>
          <w:szCs w:val="24"/>
        </w:rPr>
        <w:t>和</w:t>
      </w:r>
      <w:r>
        <w:rPr>
          <w:rFonts w:ascii="Times New Roman" w:hAnsi="Times New Roman" w:cs="Times New Roman"/>
          <w:szCs w:val="24"/>
        </w:rPr>
        <w:t>L</w:t>
      </w:r>
      <w:r>
        <w:rPr>
          <w:rFonts w:ascii="Times New Roman" w:hAnsi="Times New Roman" w:cs="Times New Roman"/>
          <w:szCs w:val="24"/>
          <w:vertAlign w:val="subscript"/>
        </w:rPr>
        <w:t>2</w:t>
      </w:r>
      <w:r>
        <w:rPr>
          <w:rFonts w:ascii="Times New Roman" w:hAnsi="Times New Roman" w:cs="Times New Roman"/>
          <w:szCs w:val="24"/>
        </w:rPr>
        <w:t>间关系为：</w:t>
      </w:r>
    </w:p>
    <w:p w14:paraId="15DFB59D" w14:textId="77777777" w:rsidR="007D1E74" w:rsidRDefault="00A95641">
      <w:pPr>
        <w:pStyle w:val="afffffffff8"/>
        <w:adjustRightInd/>
        <w:ind w:firstLine="0"/>
        <w:jc w:val="center"/>
        <w:rPr>
          <w:rFonts w:ascii="Times New Roman" w:hAnsi="Times New Roman" w:cs="Times New Roman"/>
          <w:szCs w:val="24"/>
        </w:rPr>
      </w:pPr>
      <w:r>
        <w:rPr>
          <w:rFonts w:ascii="Times New Roman" w:hAnsi="Times New Roman" w:cs="Times New Roman"/>
          <w:szCs w:val="24"/>
        </w:rPr>
        <w:t>L</w:t>
      </w:r>
      <w:r>
        <w:rPr>
          <w:rFonts w:ascii="Times New Roman" w:hAnsi="Times New Roman" w:cs="Times New Roman"/>
          <w:szCs w:val="24"/>
          <w:vertAlign w:val="subscript"/>
        </w:rPr>
        <w:t>2</w:t>
      </w:r>
      <w:r>
        <w:rPr>
          <w:rFonts w:ascii="Times New Roman" w:hAnsi="Times New Roman" w:cs="Times New Roman"/>
          <w:szCs w:val="24"/>
          <w:lang w:val="en-GB"/>
        </w:rPr>
        <w:t>＝</w:t>
      </w:r>
      <w:r>
        <w:rPr>
          <w:rFonts w:ascii="Times New Roman" w:hAnsi="Times New Roman" w:cs="Times New Roman"/>
          <w:szCs w:val="24"/>
        </w:rPr>
        <w:t>L</w:t>
      </w:r>
      <w:r>
        <w:rPr>
          <w:rFonts w:ascii="Times New Roman" w:hAnsi="Times New Roman" w:cs="Times New Roman"/>
          <w:szCs w:val="24"/>
          <w:vertAlign w:val="subscript"/>
        </w:rPr>
        <w:t>1</w:t>
      </w:r>
      <w:r>
        <w:rPr>
          <w:rFonts w:ascii="Times New Roman" w:hAnsi="Times New Roman" w:cs="Times New Roman"/>
          <w:szCs w:val="24"/>
          <w:lang w:val="en-GB"/>
        </w:rPr>
        <w:t>－</w:t>
      </w:r>
      <w:r>
        <w:rPr>
          <w:rFonts w:ascii="Times New Roman" w:hAnsi="Times New Roman" w:cs="Times New Roman"/>
          <w:szCs w:val="24"/>
        </w:rPr>
        <w:t>20lg(r</w:t>
      </w:r>
      <w:r>
        <w:rPr>
          <w:rFonts w:ascii="Times New Roman" w:hAnsi="Times New Roman" w:cs="Times New Roman"/>
          <w:szCs w:val="24"/>
          <w:vertAlign w:val="subscript"/>
        </w:rPr>
        <w:t>2</w:t>
      </w:r>
      <w:r>
        <w:rPr>
          <w:rFonts w:ascii="Times New Roman" w:hAnsi="Times New Roman" w:cs="Times New Roman"/>
          <w:szCs w:val="24"/>
        </w:rPr>
        <w:t>/r</w:t>
      </w:r>
      <w:r>
        <w:rPr>
          <w:rFonts w:ascii="Times New Roman" w:hAnsi="Times New Roman" w:cs="Times New Roman"/>
          <w:szCs w:val="24"/>
          <w:vertAlign w:val="subscript"/>
        </w:rPr>
        <w:t>1</w:t>
      </w:r>
      <w:r>
        <w:rPr>
          <w:rFonts w:ascii="Times New Roman" w:hAnsi="Times New Roman" w:cs="Times New Roman"/>
          <w:szCs w:val="24"/>
        </w:rPr>
        <w:t>)</w:t>
      </w:r>
    </w:p>
    <w:p w14:paraId="42471237" w14:textId="77777777" w:rsidR="007D1E74" w:rsidRDefault="00A95641">
      <w:pPr>
        <w:pStyle w:val="afffffffff8"/>
        <w:adjustRightInd/>
        <w:rPr>
          <w:rFonts w:ascii="Times New Roman" w:hAnsi="Times New Roman" w:cs="Times New Roman"/>
          <w:szCs w:val="24"/>
        </w:rPr>
      </w:pPr>
      <w:r>
        <w:rPr>
          <w:rFonts w:ascii="Times New Roman" w:hAnsi="Times New Roman" w:cs="Times New Roman"/>
          <w:szCs w:val="24"/>
        </w:rPr>
        <w:t>2</w:t>
      </w:r>
      <w:r>
        <w:rPr>
          <w:rFonts w:ascii="Times New Roman" w:hAnsi="Times New Roman" w:cs="Times New Roman"/>
          <w:szCs w:val="24"/>
        </w:rPr>
        <w:t>）多源叠加模式：</w:t>
      </w:r>
    </w:p>
    <w:p w14:paraId="3B929B14" w14:textId="77777777" w:rsidR="007D1E74" w:rsidRDefault="00A95641">
      <w:pPr>
        <w:pStyle w:val="afffffffff8"/>
        <w:adjustRightInd/>
        <w:rPr>
          <w:rFonts w:ascii="Times New Roman" w:hAnsi="Times New Roman" w:cs="Times New Roman"/>
        </w:rPr>
      </w:pPr>
      <w:r>
        <w:rPr>
          <w:rFonts w:ascii="Times New Roman" w:hAnsi="Times New Roman" w:cs="Times New Roman"/>
        </w:rPr>
        <w:t>在预测</w:t>
      </w:r>
      <w:r>
        <w:rPr>
          <w:rFonts w:ascii="Times New Roman" w:hAnsi="Times New Roman" w:cs="Times New Roman"/>
          <w:szCs w:val="24"/>
        </w:rPr>
        <w:t>过程</w:t>
      </w:r>
      <w:r>
        <w:rPr>
          <w:rFonts w:ascii="Times New Roman" w:hAnsi="Times New Roman" w:cs="Times New Roman"/>
        </w:rPr>
        <w:t>中，根据实际情况把各具体复杂的噪声源简化为点声源进行计算，再将其计算结果与本底进行能量叠加，得到该处噪声预测值。</w:t>
      </w:r>
    </w:p>
    <w:p w14:paraId="0254129B" w14:textId="77777777" w:rsidR="007D1E74" w:rsidRDefault="00A95641">
      <w:pPr>
        <w:pStyle w:val="afffffffff8"/>
        <w:adjustRightInd/>
        <w:rPr>
          <w:rFonts w:ascii="Times New Roman" w:hAnsi="Times New Roman" w:cs="Times New Roman"/>
        </w:rPr>
      </w:pPr>
      <w:r>
        <w:rPr>
          <w:rFonts w:ascii="Times New Roman" w:hAnsi="Times New Roman" w:cs="Times New Roman"/>
        </w:rPr>
        <w:t>对于任何一个预测点，其总噪声效应是多个叠加声级</w:t>
      </w:r>
      <w:r>
        <w:rPr>
          <w:rFonts w:ascii="Times New Roman" w:hAnsi="Times New Roman" w:cs="Times New Roman"/>
        </w:rPr>
        <w:t>(</w:t>
      </w:r>
      <w:r>
        <w:rPr>
          <w:rFonts w:ascii="Times New Roman" w:hAnsi="Times New Roman" w:cs="Times New Roman"/>
        </w:rPr>
        <w:t>即各声源分别在该点的贡献值</w:t>
      </w:r>
      <w:r>
        <w:rPr>
          <w:rFonts w:ascii="Times New Roman" w:hAnsi="Times New Roman" w:cs="Times New Roman"/>
        </w:rPr>
        <w:t>L</w:t>
      </w:r>
      <w:r>
        <w:rPr>
          <w:rFonts w:ascii="Times New Roman" w:hAnsi="Times New Roman" w:cs="Times New Roman"/>
          <w:vertAlign w:val="subscript"/>
        </w:rPr>
        <w:t>2</w:t>
      </w:r>
      <w:r>
        <w:rPr>
          <w:rFonts w:ascii="Times New Roman" w:hAnsi="Times New Roman" w:cs="Times New Roman"/>
        </w:rPr>
        <w:t>和本底噪声值</w:t>
      </w:r>
      <w:r>
        <w:rPr>
          <w:rFonts w:ascii="Times New Roman" w:hAnsi="Times New Roman" w:cs="Times New Roman"/>
        </w:rPr>
        <w:t>)</w:t>
      </w:r>
      <w:r>
        <w:rPr>
          <w:rFonts w:ascii="Times New Roman" w:hAnsi="Times New Roman" w:cs="Times New Roman"/>
        </w:rPr>
        <w:t>的能量总和，其计算式如下：</w:t>
      </w:r>
    </w:p>
    <w:p w14:paraId="6E5A6A98" w14:textId="77777777" w:rsidR="007D1E74" w:rsidRDefault="00A95641">
      <w:pPr>
        <w:pStyle w:val="afffffffff8"/>
        <w:adjustRightInd/>
        <w:ind w:firstLine="0"/>
        <w:jc w:val="center"/>
        <w:rPr>
          <w:rFonts w:ascii="Times New Roman" w:hAnsi="Times New Roman" w:cs="Times New Roman"/>
          <w:sz w:val="22"/>
          <w:szCs w:val="24"/>
        </w:rPr>
      </w:pPr>
      <w:r>
        <w:rPr>
          <w:rFonts w:ascii="Times New Roman" w:hAnsi="Times New Roman" w:cs="Times New Roman"/>
          <w:position w:val="-16"/>
          <w:sz w:val="22"/>
          <w:szCs w:val="24"/>
        </w:rPr>
        <w:object w:dxaOrig="2227" w:dyaOrig="419" w14:anchorId="0C89DFEB">
          <v:shape id="_x0000_i1028" type="#_x0000_t75" style="width:111.75pt;height:20.25pt" o:ole="" fillcolor="#aca899">
            <v:imagedata r:id="rId161" o:title=""/>
          </v:shape>
          <o:OLEObject Type="Embed" ProgID="Equation.3" ShapeID="_x0000_i1028" DrawAspect="Content" ObjectID="_1710238126" r:id="rId162"/>
        </w:object>
      </w:r>
    </w:p>
    <w:p w14:paraId="1DB84275" w14:textId="77777777" w:rsidR="007D1E74" w:rsidRDefault="00A95641">
      <w:pPr>
        <w:pStyle w:val="afffffffff8"/>
        <w:adjustRightInd/>
        <w:rPr>
          <w:rFonts w:ascii="Times New Roman" w:hAnsi="Times New Roman" w:cs="Times New Roman"/>
        </w:rPr>
      </w:pPr>
      <w:r>
        <w:rPr>
          <w:rFonts w:ascii="Times New Roman" w:hAnsi="Times New Roman" w:cs="Times New Roman"/>
        </w:rPr>
        <w:t>式中：</w:t>
      </w:r>
      <w:r>
        <w:rPr>
          <w:rFonts w:ascii="Times New Roman" w:hAnsi="Times New Roman" w:cs="Times New Roman"/>
        </w:rPr>
        <w:t>L——</w:t>
      </w:r>
      <w:r>
        <w:rPr>
          <w:rFonts w:ascii="Times New Roman" w:hAnsi="Times New Roman" w:cs="Times New Roman"/>
        </w:rPr>
        <w:t>某点噪声总叠加值，</w:t>
      </w:r>
      <w:r>
        <w:rPr>
          <w:rFonts w:ascii="Times New Roman" w:hAnsi="Times New Roman" w:cs="Times New Roman"/>
        </w:rPr>
        <w:t>dB(A)</w:t>
      </w:r>
      <w:r>
        <w:rPr>
          <w:rFonts w:ascii="Times New Roman" w:hAnsi="Times New Roman" w:cs="Times New Roman"/>
        </w:rPr>
        <w:t>；</w:t>
      </w:r>
    </w:p>
    <w:p w14:paraId="40DA4903" w14:textId="77777777" w:rsidR="007D1E74" w:rsidRDefault="00A95641">
      <w:pPr>
        <w:pStyle w:val="afffffffff8"/>
        <w:adjustRightInd/>
        <w:ind w:firstLineChars="510" w:firstLine="1224"/>
        <w:rPr>
          <w:rFonts w:ascii="Times New Roman" w:hAnsi="Times New Roman" w:cs="Times New Roman"/>
        </w:rPr>
      </w:pPr>
      <w:r>
        <w:rPr>
          <w:rFonts w:ascii="Times New Roman" w:hAnsi="Times New Roman" w:cs="Times New Roman"/>
        </w:rPr>
        <w:t>Li——</w:t>
      </w:r>
      <w:r>
        <w:rPr>
          <w:rFonts w:ascii="Times New Roman" w:hAnsi="Times New Roman" w:cs="Times New Roman"/>
        </w:rPr>
        <w:t>第</w:t>
      </w:r>
      <w:r>
        <w:rPr>
          <w:rFonts w:ascii="Times New Roman" w:hAnsi="Times New Roman" w:cs="Times New Roman"/>
        </w:rPr>
        <w:t>i</w:t>
      </w:r>
      <w:r>
        <w:rPr>
          <w:rFonts w:ascii="Times New Roman" w:hAnsi="Times New Roman" w:cs="Times New Roman"/>
        </w:rPr>
        <w:t>个</w:t>
      </w:r>
      <w:r>
        <w:rPr>
          <w:rFonts w:ascii="Times New Roman" w:hAnsi="Times New Roman" w:cs="Times New Roman"/>
          <w:szCs w:val="24"/>
        </w:rPr>
        <w:t>声源</w:t>
      </w:r>
      <w:r>
        <w:rPr>
          <w:rFonts w:ascii="Times New Roman" w:hAnsi="Times New Roman" w:cs="Times New Roman"/>
        </w:rPr>
        <w:t>的噪声值，</w:t>
      </w:r>
      <w:r>
        <w:rPr>
          <w:rFonts w:ascii="Times New Roman" w:hAnsi="Times New Roman" w:cs="Times New Roman"/>
        </w:rPr>
        <w:t>dB(A)</w:t>
      </w:r>
      <w:r>
        <w:rPr>
          <w:rFonts w:ascii="Times New Roman" w:hAnsi="Times New Roman" w:cs="Times New Roman"/>
        </w:rPr>
        <w:t>；</w:t>
      </w:r>
    </w:p>
    <w:p w14:paraId="112FCF03" w14:textId="77777777" w:rsidR="007D1E74" w:rsidRDefault="00A95641">
      <w:pPr>
        <w:pStyle w:val="afffffffff8"/>
        <w:adjustRightInd/>
        <w:ind w:firstLineChars="565" w:firstLine="1356"/>
        <w:rPr>
          <w:rFonts w:ascii="Times New Roman" w:hAnsi="Times New Roman" w:cs="Times New Roman"/>
        </w:rPr>
      </w:pPr>
      <w:r>
        <w:rPr>
          <w:rFonts w:ascii="Times New Roman" w:hAnsi="Times New Roman" w:cs="Times New Roman"/>
        </w:rPr>
        <w:t>n——</w:t>
      </w:r>
      <w:r>
        <w:rPr>
          <w:rFonts w:ascii="Times New Roman" w:hAnsi="Times New Roman" w:cs="Times New Roman"/>
        </w:rPr>
        <w:t>声源个数。</w:t>
      </w:r>
    </w:p>
    <w:p w14:paraId="72254E2C" w14:textId="77777777" w:rsidR="007D1E74" w:rsidRDefault="00A95641">
      <w:pPr>
        <w:spacing w:line="360" w:lineRule="auto"/>
        <w:outlineLvl w:val="2"/>
        <w:rPr>
          <w:b/>
          <w:sz w:val="24"/>
        </w:rPr>
      </w:pPr>
      <w:r>
        <w:rPr>
          <w:b/>
          <w:sz w:val="24"/>
        </w:rPr>
        <w:t>6.2.4.5</w:t>
      </w:r>
      <w:r>
        <w:rPr>
          <w:b/>
          <w:sz w:val="24"/>
        </w:rPr>
        <w:t>预测结果与评价</w:t>
      </w:r>
    </w:p>
    <w:p w14:paraId="1C34F502" w14:textId="77777777" w:rsidR="007D1E74" w:rsidRDefault="00A95641">
      <w:pPr>
        <w:pStyle w:val="21"/>
        <w:ind w:leftChars="0" w:left="0" w:firstLineChars="100" w:firstLine="241"/>
        <w:rPr>
          <w:rFonts w:ascii="Times New Roman" w:hAnsi="Times New Roman" w:cs="Times New Roman"/>
          <w:b/>
          <w:bCs/>
          <w:sz w:val="24"/>
        </w:rPr>
      </w:pPr>
      <w:r>
        <w:rPr>
          <w:rFonts w:ascii="Times New Roman" w:hAnsi="Times New Roman" w:cs="Times New Roman"/>
          <w:b/>
          <w:bCs/>
          <w:sz w:val="24"/>
        </w:rPr>
        <w:t>（</w:t>
      </w:r>
      <w:r>
        <w:rPr>
          <w:rFonts w:ascii="Times New Roman" w:hAnsi="Times New Roman" w:cs="Times New Roman"/>
          <w:b/>
          <w:bCs/>
          <w:sz w:val="24"/>
        </w:rPr>
        <w:t>1</w:t>
      </w:r>
      <w:r>
        <w:rPr>
          <w:rFonts w:ascii="Times New Roman" w:hAnsi="Times New Roman" w:cs="Times New Roman"/>
          <w:b/>
          <w:bCs/>
          <w:sz w:val="24"/>
        </w:rPr>
        <w:t>）厂界达标分析</w:t>
      </w:r>
    </w:p>
    <w:p w14:paraId="36A80D7E" w14:textId="77777777" w:rsidR="007D1E74" w:rsidRDefault="00A95641">
      <w:pPr>
        <w:pStyle w:val="21"/>
        <w:spacing w:after="0" w:line="360" w:lineRule="auto"/>
        <w:ind w:leftChars="0" w:left="0" w:firstLine="480"/>
        <w:rPr>
          <w:rFonts w:ascii="Times New Roman" w:hAnsi="Times New Roman" w:cs="Times New Roman"/>
          <w:sz w:val="24"/>
        </w:rPr>
      </w:pPr>
      <w:r>
        <w:rPr>
          <w:rFonts w:ascii="Times New Roman" w:hAnsi="Times New Roman" w:cs="Times New Roman"/>
          <w:sz w:val="24"/>
        </w:rPr>
        <w:t>本项目各阀室、阀组在采取低噪声设备、采取隔声减振、合理布局、距离衰减措施后，对预测点影响预测结果见表</w:t>
      </w:r>
      <w:r>
        <w:rPr>
          <w:rFonts w:ascii="Times New Roman" w:hAnsi="Times New Roman" w:cs="Times New Roman"/>
          <w:sz w:val="24"/>
        </w:rPr>
        <w:t>6.2-5</w:t>
      </w:r>
      <w:r>
        <w:rPr>
          <w:rFonts w:ascii="Times New Roman" w:hAnsi="Times New Roman" w:cs="Times New Roman"/>
          <w:sz w:val="24"/>
        </w:rPr>
        <w:t>。</w:t>
      </w:r>
    </w:p>
    <w:p w14:paraId="681A645A" w14:textId="77777777" w:rsidR="007D1E74" w:rsidRDefault="00A95641">
      <w:pPr>
        <w:pStyle w:val="21"/>
        <w:ind w:leftChars="0" w:left="0" w:firstLineChars="0" w:firstLine="0"/>
        <w:jc w:val="center"/>
        <w:rPr>
          <w:rFonts w:ascii="Times New Roman" w:eastAsia="黑体" w:hAnsi="Times New Roman" w:cs="Times New Roman"/>
          <w:szCs w:val="21"/>
        </w:rPr>
      </w:pPr>
      <w:r>
        <w:rPr>
          <w:rFonts w:ascii="Times New Roman" w:eastAsia="黑体" w:hAnsi="Times New Roman" w:cs="Times New Roman"/>
          <w:szCs w:val="21"/>
        </w:rPr>
        <w:lastRenderedPageBreak/>
        <w:t>表</w:t>
      </w:r>
      <w:r>
        <w:rPr>
          <w:rFonts w:ascii="Times New Roman" w:eastAsia="黑体" w:hAnsi="Times New Roman" w:cs="Times New Roman"/>
          <w:szCs w:val="21"/>
        </w:rPr>
        <w:t xml:space="preserve">6.2-5  </w:t>
      </w:r>
      <w:r>
        <w:rPr>
          <w:rFonts w:ascii="Times New Roman" w:eastAsia="黑体" w:hAnsi="Times New Roman" w:cs="Times New Roman"/>
          <w:szCs w:val="21"/>
        </w:rPr>
        <w:t>噪声影响预测结果（单位：</w:t>
      </w:r>
      <w:r>
        <w:rPr>
          <w:rFonts w:ascii="Times New Roman" w:eastAsia="黑体" w:hAnsi="Times New Roman" w:cs="Times New Roman"/>
          <w:szCs w:val="21"/>
        </w:rPr>
        <w:t>dB</w:t>
      </w:r>
      <w:r>
        <w:rPr>
          <w:rFonts w:ascii="Times New Roman" w:eastAsia="黑体" w:hAnsi="Times New Roman" w:cs="Times New Roman"/>
          <w:szCs w:val="21"/>
        </w:rPr>
        <w:t>（</w:t>
      </w:r>
      <w:r>
        <w:rPr>
          <w:rFonts w:ascii="Times New Roman" w:eastAsia="黑体" w:hAnsi="Times New Roman" w:cs="Times New Roman"/>
          <w:szCs w:val="21"/>
        </w:rPr>
        <w:t>A</w:t>
      </w:r>
      <w:r>
        <w:rPr>
          <w:rFonts w:ascii="Times New Roman" w:eastAsia="黑体" w:hAnsi="Times New Roman" w:cs="Times New Roman"/>
          <w:szCs w:val="21"/>
        </w:rPr>
        <w:t>））</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034"/>
        <w:gridCol w:w="1748"/>
        <w:gridCol w:w="1105"/>
        <w:gridCol w:w="1363"/>
        <w:gridCol w:w="1233"/>
        <w:gridCol w:w="2533"/>
      </w:tblGrid>
      <w:tr w:rsidR="007D1E74" w14:paraId="614E9CF8" w14:textId="77777777">
        <w:trPr>
          <w:trHeight w:val="573"/>
          <w:jc w:val="center"/>
        </w:trPr>
        <w:tc>
          <w:tcPr>
            <w:tcW w:w="573" w:type="pct"/>
            <w:vAlign w:val="center"/>
          </w:tcPr>
          <w:p w14:paraId="5788B8C5" w14:textId="77777777" w:rsidR="007D1E74" w:rsidRDefault="00A95641">
            <w:pPr>
              <w:jc w:val="center"/>
              <w:rPr>
                <w:b/>
              </w:rPr>
            </w:pPr>
            <w:r>
              <w:rPr>
                <w:b/>
              </w:rPr>
              <w:t>序号</w:t>
            </w:r>
          </w:p>
        </w:tc>
        <w:tc>
          <w:tcPr>
            <w:tcW w:w="969" w:type="pct"/>
            <w:vAlign w:val="center"/>
          </w:tcPr>
          <w:p w14:paraId="332542DF" w14:textId="77777777" w:rsidR="007D1E74" w:rsidRDefault="00A95641">
            <w:pPr>
              <w:jc w:val="center"/>
              <w:rPr>
                <w:b/>
              </w:rPr>
            </w:pPr>
            <w:r>
              <w:rPr>
                <w:b/>
              </w:rPr>
              <w:t>名称</w:t>
            </w:r>
          </w:p>
        </w:tc>
        <w:tc>
          <w:tcPr>
            <w:tcW w:w="613" w:type="pct"/>
            <w:vAlign w:val="center"/>
          </w:tcPr>
          <w:p w14:paraId="37832EAB" w14:textId="77777777" w:rsidR="007D1E74" w:rsidRDefault="00A95641">
            <w:pPr>
              <w:jc w:val="center"/>
              <w:rPr>
                <w:b/>
              </w:rPr>
            </w:pPr>
            <w:r>
              <w:rPr>
                <w:b/>
              </w:rPr>
              <w:t>时间</w:t>
            </w:r>
          </w:p>
        </w:tc>
        <w:tc>
          <w:tcPr>
            <w:tcW w:w="756" w:type="pct"/>
            <w:vAlign w:val="center"/>
          </w:tcPr>
          <w:p w14:paraId="3EA21ECD" w14:textId="77777777" w:rsidR="007D1E74" w:rsidRDefault="00A95641">
            <w:pPr>
              <w:jc w:val="center"/>
              <w:rPr>
                <w:b/>
              </w:rPr>
            </w:pPr>
            <w:r>
              <w:rPr>
                <w:b/>
              </w:rPr>
              <w:t>贡献值</w:t>
            </w:r>
          </w:p>
        </w:tc>
        <w:tc>
          <w:tcPr>
            <w:tcW w:w="684" w:type="pct"/>
            <w:vAlign w:val="center"/>
          </w:tcPr>
          <w:p w14:paraId="6C847FA7" w14:textId="77777777" w:rsidR="007D1E74" w:rsidRDefault="00A95641">
            <w:pPr>
              <w:ind w:left="126"/>
              <w:jc w:val="center"/>
              <w:rPr>
                <w:b/>
              </w:rPr>
            </w:pPr>
            <w:r>
              <w:rPr>
                <w:b/>
              </w:rPr>
              <w:t>背景值</w:t>
            </w:r>
          </w:p>
        </w:tc>
        <w:tc>
          <w:tcPr>
            <w:tcW w:w="1405" w:type="pct"/>
            <w:vAlign w:val="center"/>
          </w:tcPr>
          <w:p w14:paraId="32221A10" w14:textId="77777777" w:rsidR="007D1E74" w:rsidRDefault="00A95641">
            <w:pPr>
              <w:jc w:val="center"/>
              <w:rPr>
                <w:b/>
              </w:rPr>
            </w:pPr>
            <w:r>
              <w:rPr>
                <w:b/>
              </w:rPr>
              <w:t>执行标准</w:t>
            </w:r>
          </w:p>
        </w:tc>
      </w:tr>
      <w:tr w:rsidR="007D1E74" w14:paraId="3E54A640" w14:textId="77777777">
        <w:trPr>
          <w:trHeight w:val="232"/>
          <w:jc w:val="center"/>
        </w:trPr>
        <w:tc>
          <w:tcPr>
            <w:tcW w:w="573" w:type="pct"/>
            <w:vMerge w:val="restart"/>
            <w:vAlign w:val="center"/>
          </w:tcPr>
          <w:p w14:paraId="1FE8C909" w14:textId="77777777" w:rsidR="007D1E74" w:rsidRDefault="00A95641">
            <w:pPr>
              <w:jc w:val="center"/>
              <w:rPr>
                <w:bCs/>
              </w:rPr>
            </w:pPr>
            <w:r>
              <w:rPr>
                <w:bCs/>
              </w:rPr>
              <w:t>1#</w:t>
            </w:r>
            <w:r>
              <w:rPr>
                <w:bCs/>
              </w:rPr>
              <w:t>阀室</w:t>
            </w:r>
          </w:p>
        </w:tc>
        <w:tc>
          <w:tcPr>
            <w:tcW w:w="969" w:type="pct"/>
            <w:vMerge w:val="restart"/>
            <w:vAlign w:val="center"/>
          </w:tcPr>
          <w:p w14:paraId="40752A2C" w14:textId="77777777" w:rsidR="007D1E74" w:rsidRDefault="00A95641">
            <w:pPr>
              <w:jc w:val="center"/>
              <w:rPr>
                <w:b/>
              </w:rPr>
            </w:pPr>
            <w:r>
              <w:rPr>
                <w:kern w:val="0"/>
                <w:szCs w:val="21"/>
                <w:lang w:bidi="ar"/>
              </w:rPr>
              <w:t>厂界东侧</w:t>
            </w:r>
          </w:p>
        </w:tc>
        <w:tc>
          <w:tcPr>
            <w:tcW w:w="613" w:type="pct"/>
            <w:vAlign w:val="center"/>
          </w:tcPr>
          <w:p w14:paraId="69DFB3E5" w14:textId="77777777" w:rsidR="007D1E74" w:rsidRDefault="00A95641">
            <w:pPr>
              <w:jc w:val="center"/>
              <w:rPr>
                <w:b/>
              </w:rPr>
            </w:pPr>
            <w:r>
              <w:rPr>
                <w:rStyle w:val="font01"/>
                <w:lang w:bidi="ar"/>
              </w:rPr>
              <w:t>昼间</w:t>
            </w:r>
          </w:p>
        </w:tc>
        <w:tc>
          <w:tcPr>
            <w:tcW w:w="756" w:type="pct"/>
            <w:vAlign w:val="center"/>
          </w:tcPr>
          <w:p w14:paraId="46055732" w14:textId="77777777" w:rsidR="007D1E74" w:rsidRDefault="00A95641">
            <w:pPr>
              <w:widowControl/>
              <w:jc w:val="center"/>
              <w:textAlignment w:val="center"/>
            </w:pPr>
            <w:r>
              <w:t>43</w:t>
            </w:r>
          </w:p>
        </w:tc>
        <w:tc>
          <w:tcPr>
            <w:tcW w:w="684" w:type="pct"/>
            <w:vAlign w:val="center"/>
          </w:tcPr>
          <w:p w14:paraId="55EEEE6E" w14:textId="77777777" w:rsidR="007D1E74" w:rsidRDefault="00A95641">
            <w:pPr>
              <w:widowControl/>
              <w:jc w:val="center"/>
              <w:textAlignment w:val="center"/>
            </w:pPr>
            <w:r>
              <w:t>/</w:t>
            </w:r>
          </w:p>
        </w:tc>
        <w:tc>
          <w:tcPr>
            <w:tcW w:w="1405" w:type="pct"/>
            <w:vMerge w:val="restart"/>
            <w:vAlign w:val="center"/>
          </w:tcPr>
          <w:p w14:paraId="4A3DE6EC" w14:textId="77777777" w:rsidR="007D1E74" w:rsidRDefault="00A95641">
            <w:pPr>
              <w:jc w:val="center"/>
            </w:pPr>
            <w:r>
              <w:t>昼间：</w:t>
            </w:r>
            <w:r>
              <w:t>≤60dB</w:t>
            </w:r>
            <w:r>
              <w:t>（</w:t>
            </w:r>
            <w:r>
              <w:t>A</w:t>
            </w:r>
            <w:r>
              <w:t>）</w:t>
            </w:r>
          </w:p>
          <w:p w14:paraId="43D0DA54" w14:textId="77777777" w:rsidR="007D1E74" w:rsidRDefault="00A95641">
            <w:pPr>
              <w:jc w:val="center"/>
              <w:rPr>
                <w:b/>
              </w:rPr>
            </w:pPr>
            <w:r>
              <w:t>夜间：</w:t>
            </w:r>
            <w:r>
              <w:t>≤50dB</w:t>
            </w:r>
            <w:r>
              <w:t>（</w:t>
            </w:r>
            <w:r>
              <w:t>A</w:t>
            </w:r>
            <w:r>
              <w:t>）</w:t>
            </w:r>
          </w:p>
        </w:tc>
      </w:tr>
      <w:tr w:rsidR="007D1E74" w14:paraId="02F11DC4" w14:textId="77777777">
        <w:trPr>
          <w:trHeight w:val="250"/>
          <w:jc w:val="center"/>
        </w:trPr>
        <w:tc>
          <w:tcPr>
            <w:tcW w:w="573" w:type="pct"/>
            <w:vMerge/>
            <w:vAlign w:val="center"/>
          </w:tcPr>
          <w:p w14:paraId="507AC801" w14:textId="77777777" w:rsidR="007D1E74" w:rsidRDefault="007D1E74">
            <w:pPr>
              <w:jc w:val="center"/>
              <w:rPr>
                <w:b/>
              </w:rPr>
            </w:pPr>
          </w:p>
        </w:tc>
        <w:tc>
          <w:tcPr>
            <w:tcW w:w="969" w:type="pct"/>
            <w:vMerge/>
            <w:vAlign w:val="center"/>
          </w:tcPr>
          <w:p w14:paraId="1157B7A4" w14:textId="77777777" w:rsidR="007D1E74" w:rsidRDefault="007D1E74">
            <w:pPr>
              <w:jc w:val="center"/>
              <w:rPr>
                <w:b/>
              </w:rPr>
            </w:pPr>
          </w:p>
        </w:tc>
        <w:tc>
          <w:tcPr>
            <w:tcW w:w="613" w:type="pct"/>
            <w:vAlign w:val="center"/>
          </w:tcPr>
          <w:p w14:paraId="6D2CC9EB" w14:textId="77777777" w:rsidR="007D1E74" w:rsidRDefault="00A95641">
            <w:pPr>
              <w:jc w:val="center"/>
              <w:rPr>
                <w:b/>
              </w:rPr>
            </w:pPr>
            <w:r>
              <w:rPr>
                <w:rStyle w:val="font01"/>
                <w:lang w:bidi="ar"/>
              </w:rPr>
              <w:t>夜间</w:t>
            </w:r>
          </w:p>
        </w:tc>
        <w:tc>
          <w:tcPr>
            <w:tcW w:w="756" w:type="pct"/>
            <w:vAlign w:val="center"/>
          </w:tcPr>
          <w:p w14:paraId="6A4B372D" w14:textId="77777777" w:rsidR="007D1E74" w:rsidRDefault="00A95641">
            <w:pPr>
              <w:widowControl/>
              <w:jc w:val="center"/>
              <w:textAlignment w:val="center"/>
            </w:pPr>
            <w:r>
              <w:t>43</w:t>
            </w:r>
          </w:p>
        </w:tc>
        <w:tc>
          <w:tcPr>
            <w:tcW w:w="684" w:type="pct"/>
            <w:vAlign w:val="center"/>
          </w:tcPr>
          <w:p w14:paraId="6290AE75" w14:textId="77777777" w:rsidR="007D1E74" w:rsidRDefault="00A95641">
            <w:pPr>
              <w:widowControl/>
              <w:jc w:val="center"/>
              <w:textAlignment w:val="center"/>
            </w:pPr>
            <w:r>
              <w:t>/</w:t>
            </w:r>
          </w:p>
        </w:tc>
        <w:tc>
          <w:tcPr>
            <w:tcW w:w="1405" w:type="pct"/>
            <w:vMerge/>
            <w:vAlign w:val="center"/>
          </w:tcPr>
          <w:p w14:paraId="6381BB08" w14:textId="77777777" w:rsidR="007D1E74" w:rsidRDefault="007D1E74">
            <w:pPr>
              <w:jc w:val="center"/>
              <w:rPr>
                <w:b/>
              </w:rPr>
            </w:pPr>
          </w:p>
        </w:tc>
      </w:tr>
      <w:tr w:rsidR="007D1E74" w14:paraId="7C93C1E8" w14:textId="77777777">
        <w:trPr>
          <w:trHeight w:val="268"/>
          <w:jc w:val="center"/>
        </w:trPr>
        <w:tc>
          <w:tcPr>
            <w:tcW w:w="573" w:type="pct"/>
            <w:vMerge/>
            <w:vAlign w:val="center"/>
          </w:tcPr>
          <w:p w14:paraId="770FA557" w14:textId="77777777" w:rsidR="007D1E74" w:rsidRDefault="007D1E74">
            <w:pPr>
              <w:jc w:val="center"/>
              <w:rPr>
                <w:b/>
              </w:rPr>
            </w:pPr>
          </w:p>
        </w:tc>
        <w:tc>
          <w:tcPr>
            <w:tcW w:w="969" w:type="pct"/>
            <w:vMerge w:val="restart"/>
            <w:vAlign w:val="center"/>
          </w:tcPr>
          <w:p w14:paraId="2E470334" w14:textId="77777777" w:rsidR="007D1E74" w:rsidRDefault="00A95641">
            <w:pPr>
              <w:jc w:val="center"/>
              <w:rPr>
                <w:b/>
              </w:rPr>
            </w:pPr>
            <w:r>
              <w:rPr>
                <w:kern w:val="0"/>
                <w:szCs w:val="21"/>
                <w:lang w:bidi="ar"/>
              </w:rPr>
              <w:t>厂界南侧</w:t>
            </w:r>
          </w:p>
        </w:tc>
        <w:tc>
          <w:tcPr>
            <w:tcW w:w="613" w:type="pct"/>
            <w:vAlign w:val="center"/>
          </w:tcPr>
          <w:p w14:paraId="7552B163" w14:textId="77777777" w:rsidR="007D1E74" w:rsidRDefault="00A95641">
            <w:pPr>
              <w:jc w:val="center"/>
              <w:rPr>
                <w:b/>
              </w:rPr>
            </w:pPr>
            <w:r>
              <w:rPr>
                <w:rStyle w:val="font01"/>
                <w:lang w:bidi="ar"/>
              </w:rPr>
              <w:t>昼间</w:t>
            </w:r>
          </w:p>
        </w:tc>
        <w:tc>
          <w:tcPr>
            <w:tcW w:w="756" w:type="pct"/>
            <w:vAlign w:val="center"/>
          </w:tcPr>
          <w:p w14:paraId="006C1875" w14:textId="77777777" w:rsidR="007D1E74" w:rsidRDefault="00A95641">
            <w:pPr>
              <w:widowControl/>
              <w:jc w:val="center"/>
              <w:textAlignment w:val="center"/>
            </w:pPr>
            <w:r>
              <w:t>40</w:t>
            </w:r>
          </w:p>
        </w:tc>
        <w:tc>
          <w:tcPr>
            <w:tcW w:w="684" w:type="pct"/>
            <w:vAlign w:val="center"/>
          </w:tcPr>
          <w:p w14:paraId="4DF2ECC9" w14:textId="77777777" w:rsidR="007D1E74" w:rsidRDefault="00A95641">
            <w:pPr>
              <w:widowControl/>
              <w:jc w:val="center"/>
              <w:textAlignment w:val="center"/>
            </w:pPr>
            <w:r>
              <w:t>/</w:t>
            </w:r>
          </w:p>
        </w:tc>
        <w:tc>
          <w:tcPr>
            <w:tcW w:w="1405" w:type="pct"/>
            <w:vMerge/>
            <w:vAlign w:val="center"/>
          </w:tcPr>
          <w:p w14:paraId="7B72C245" w14:textId="77777777" w:rsidR="007D1E74" w:rsidRDefault="007D1E74">
            <w:pPr>
              <w:jc w:val="center"/>
              <w:rPr>
                <w:b/>
              </w:rPr>
            </w:pPr>
          </w:p>
        </w:tc>
      </w:tr>
      <w:tr w:rsidR="007D1E74" w14:paraId="08BF8D74" w14:textId="77777777">
        <w:trPr>
          <w:trHeight w:val="258"/>
          <w:jc w:val="center"/>
        </w:trPr>
        <w:tc>
          <w:tcPr>
            <w:tcW w:w="573" w:type="pct"/>
            <w:vMerge/>
            <w:vAlign w:val="center"/>
          </w:tcPr>
          <w:p w14:paraId="4B82D066" w14:textId="77777777" w:rsidR="007D1E74" w:rsidRDefault="007D1E74">
            <w:pPr>
              <w:jc w:val="center"/>
              <w:rPr>
                <w:b/>
              </w:rPr>
            </w:pPr>
          </w:p>
        </w:tc>
        <w:tc>
          <w:tcPr>
            <w:tcW w:w="969" w:type="pct"/>
            <w:vMerge/>
            <w:vAlign w:val="center"/>
          </w:tcPr>
          <w:p w14:paraId="7481C147" w14:textId="77777777" w:rsidR="007D1E74" w:rsidRDefault="007D1E74">
            <w:pPr>
              <w:jc w:val="center"/>
              <w:rPr>
                <w:b/>
              </w:rPr>
            </w:pPr>
          </w:p>
        </w:tc>
        <w:tc>
          <w:tcPr>
            <w:tcW w:w="613" w:type="pct"/>
            <w:vAlign w:val="center"/>
          </w:tcPr>
          <w:p w14:paraId="30E0B409" w14:textId="77777777" w:rsidR="007D1E74" w:rsidRDefault="00A95641">
            <w:pPr>
              <w:jc w:val="center"/>
              <w:rPr>
                <w:b/>
              </w:rPr>
            </w:pPr>
            <w:r>
              <w:rPr>
                <w:rStyle w:val="font01"/>
                <w:lang w:bidi="ar"/>
              </w:rPr>
              <w:t>夜间</w:t>
            </w:r>
          </w:p>
        </w:tc>
        <w:tc>
          <w:tcPr>
            <w:tcW w:w="756" w:type="pct"/>
            <w:vAlign w:val="center"/>
          </w:tcPr>
          <w:p w14:paraId="37677ED5" w14:textId="77777777" w:rsidR="007D1E74" w:rsidRDefault="00A95641">
            <w:pPr>
              <w:widowControl/>
              <w:jc w:val="center"/>
              <w:textAlignment w:val="center"/>
            </w:pPr>
            <w:r>
              <w:t>40</w:t>
            </w:r>
          </w:p>
        </w:tc>
        <w:tc>
          <w:tcPr>
            <w:tcW w:w="684" w:type="pct"/>
            <w:vAlign w:val="center"/>
          </w:tcPr>
          <w:p w14:paraId="187988BF" w14:textId="77777777" w:rsidR="007D1E74" w:rsidRDefault="00A95641">
            <w:pPr>
              <w:widowControl/>
              <w:jc w:val="center"/>
              <w:textAlignment w:val="center"/>
            </w:pPr>
            <w:r>
              <w:t>/</w:t>
            </w:r>
          </w:p>
        </w:tc>
        <w:tc>
          <w:tcPr>
            <w:tcW w:w="1405" w:type="pct"/>
            <w:vMerge/>
            <w:vAlign w:val="center"/>
          </w:tcPr>
          <w:p w14:paraId="097FD949" w14:textId="77777777" w:rsidR="007D1E74" w:rsidRDefault="007D1E74">
            <w:pPr>
              <w:jc w:val="center"/>
              <w:rPr>
                <w:b/>
              </w:rPr>
            </w:pPr>
          </w:p>
        </w:tc>
      </w:tr>
      <w:tr w:rsidR="007D1E74" w14:paraId="0D7F838A" w14:textId="77777777">
        <w:trPr>
          <w:trHeight w:val="262"/>
          <w:jc w:val="center"/>
        </w:trPr>
        <w:tc>
          <w:tcPr>
            <w:tcW w:w="573" w:type="pct"/>
            <w:vMerge/>
            <w:vAlign w:val="center"/>
          </w:tcPr>
          <w:p w14:paraId="37A25D01" w14:textId="77777777" w:rsidR="007D1E74" w:rsidRDefault="007D1E74">
            <w:pPr>
              <w:jc w:val="center"/>
              <w:rPr>
                <w:b/>
              </w:rPr>
            </w:pPr>
          </w:p>
        </w:tc>
        <w:tc>
          <w:tcPr>
            <w:tcW w:w="969" w:type="pct"/>
            <w:vMerge w:val="restart"/>
            <w:vAlign w:val="center"/>
          </w:tcPr>
          <w:p w14:paraId="6AD6BC3D" w14:textId="77777777" w:rsidR="007D1E74" w:rsidRDefault="00A95641">
            <w:pPr>
              <w:jc w:val="center"/>
              <w:rPr>
                <w:b/>
              </w:rPr>
            </w:pPr>
            <w:r>
              <w:rPr>
                <w:kern w:val="0"/>
                <w:szCs w:val="21"/>
                <w:lang w:bidi="ar"/>
              </w:rPr>
              <w:t>厂界西侧</w:t>
            </w:r>
          </w:p>
        </w:tc>
        <w:tc>
          <w:tcPr>
            <w:tcW w:w="613" w:type="pct"/>
            <w:vAlign w:val="center"/>
          </w:tcPr>
          <w:p w14:paraId="4B0057EF" w14:textId="77777777" w:rsidR="007D1E74" w:rsidRDefault="00A95641">
            <w:pPr>
              <w:jc w:val="center"/>
              <w:rPr>
                <w:b/>
              </w:rPr>
            </w:pPr>
            <w:r>
              <w:rPr>
                <w:rStyle w:val="font01"/>
                <w:lang w:bidi="ar"/>
              </w:rPr>
              <w:t>昼间</w:t>
            </w:r>
          </w:p>
        </w:tc>
        <w:tc>
          <w:tcPr>
            <w:tcW w:w="756" w:type="pct"/>
            <w:vAlign w:val="center"/>
          </w:tcPr>
          <w:p w14:paraId="673A5BB1" w14:textId="77777777" w:rsidR="007D1E74" w:rsidRDefault="00A95641">
            <w:pPr>
              <w:widowControl/>
              <w:jc w:val="center"/>
              <w:textAlignment w:val="center"/>
            </w:pPr>
            <w:r>
              <w:t>42</w:t>
            </w:r>
          </w:p>
        </w:tc>
        <w:tc>
          <w:tcPr>
            <w:tcW w:w="684" w:type="pct"/>
            <w:vAlign w:val="center"/>
          </w:tcPr>
          <w:p w14:paraId="44DC7668" w14:textId="77777777" w:rsidR="007D1E74" w:rsidRDefault="00A95641">
            <w:pPr>
              <w:widowControl/>
              <w:jc w:val="center"/>
              <w:textAlignment w:val="center"/>
            </w:pPr>
            <w:r>
              <w:t>/</w:t>
            </w:r>
          </w:p>
        </w:tc>
        <w:tc>
          <w:tcPr>
            <w:tcW w:w="1405" w:type="pct"/>
            <w:vMerge/>
            <w:vAlign w:val="center"/>
          </w:tcPr>
          <w:p w14:paraId="58B75D34" w14:textId="77777777" w:rsidR="007D1E74" w:rsidRDefault="007D1E74">
            <w:pPr>
              <w:jc w:val="center"/>
              <w:rPr>
                <w:b/>
              </w:rPr>
            </w:pPr>
          </w:p>
        </w:tc>
      </w:tr>
      <w:tr w:rsidR="007D1E74" w14:paraId="6B92735E" w14:textId="77777777">
        <w:trPr>
          <w:trHeight w:val="252"/>
          <w:jc w:val="center"/>
        </w:trPr>
        <w:tc>
          <w:tcPr>
            <w:tcW w:w="573" w:type="pct"/>
            <w:vMerge/>
            <w:vAlign w:val="center"/>
          </w:tcPr>
          <w:p w14:paraId="6FE5EAF8" w14:textId="77777777" w:rsidR="007D1E74" w:rsidRDefault="007D1E74">
            <w:pPr>
              <w:jc w:val="center"/>
              <w:rPr>
                <w:b/>
              </w:rPr>
            </w:pPr>
          </w:p>
        </w:tc>
        <w:tc>
          <w:tcPr>
            <w:tcW w:w="969" w:type="pct"/>
            <w:vMerge/>
            <w:vAlign w:val="center"/>
          </w:tcPr>
          <w:p w14:paraId="627421E1" w14:textId="77777777" w:rsidR="007D1E74" w:rsidRDefault="007D1E74">
            <w:pPr>
              <w:jc w:val="center"/>
              <w:rPr>
                <w:b/>
              </w:rPr>
            </w:pPr>
          </w:p>
        </w:tc>
        <w:tc>
          <w:tcPr>
            <w:tcW w:w="613" w:type="pct"/>
            <w:vAlign w:val="center"/>
          </w:tcPr>
          <w:p w14:paraId="1C44A343" w14:textId="77777777" w:rsidR="007D1E74" w:rsidRDefault="00A95641">
            <w:pPr>
              <w:jc w:val="center"/>
              <w:rPr>
                <w:b/>
              </w:rPr>
            </w:pPr>
            <w:r>
              <w:rPr>
                <w:rStyle w:val="font01"/>
                <w:lang w:bidi="ar"/>
              </w:rPr>
              <w:t>夜间</w:t>
            </w:r>
          </w:p>
        </w:tc>
        <w:tc>
          <w:tcPr>
            <w:tcW w:w="756" w:type="pct"/>
            <w:vAlign w:val="center"/>
          </w:tcPr>
          <w:p w14:paraId="1037F1BF" w14:textId="77777777" w:rsidR="007D1E74" w:rsidRDefault="00A95641">
            <w:pPr>
              <w:widowControl/>
              <w:jc w:val="center"/>
              <w:textAlignment w:val="center"/>
            </w:pPr>
            <w:r>
              <w:t>42</w:t>
            </w:r>
          </w:p>
        </w:tc>
        <w:tc>
          <w:tcPr>
            <w:tcW w:w="684" w:type="pct"/>
            <w:vAlign w:val="center"/>
          </w:tcPr>
          <w:p w14:paraId="4D41ECE6" w14:textId="77777777" w:rsidR="007D1E74" w:rsidRDefault="00A95641">
            <w:pPr>
              <w:widowControl/>
              <w:jc w:val="center"/>
              <w:textAlignment w:val="center"/>
            </w:pPr>
            <w:r>
              <w:t>/</w:t>
            </w:r>
          </w:p>
        </w:tc>
        <w:tc>
          <w:tcPr>
            <w:tcW w:w="1405" w:type="pct"/>
            <w:vMerge/>
            <w:vAlign w:val="center"/>
          </w:tcPr>
          <w:p w14:paraId="752A1C74" w14:textId="77777777" w:rsidR="007D1E74" w:rsidRDefault="007D1E74">
            <w:pPr>
              <w:jc w:val="center"/>
              <w:rPr>
                <w:b/>
              </w:rPr>
            </w:pPr>
          </w:p>
        </w:tc>
      </w:tr>
      <w:tr w:rsidR="007D1E74" w14:paraId="66F3B0BC" w14:textId="77777777">
        <w:trPr>
          <w:trHeight w:val="270"/>
          <w:jc w:val="center"/>
        </w:trPr>
        <w:tc>
          <w:tcPr>
            <w:tcW w:w="573" w:type="pct"/>
            <w:vMerge/>
            <w:vAlign w:val="center"/>
          </w:tcPr>
          <w:p w14:paraId="6C60C645" w14:textId="77777777" w:rsidR="007D1E74" w:rsidRDefault="007D1E74">
            <w:pPr>
              <w:jc w:val="center"/>
              <w:rPr>
                <w:b/>
              </w:rPr>
            </w:pPr>
          </w:p>
        </w:tc>
        <w:tc>
          <w:tcPr>
            <w:tcW w:w="969" w:type="pct"/>
            <w:vMerge w:val="restart"/>
            <w:vAlign w:val="center"/>
          </w:tcPr>
          <w:p w14:paraId="57A33F46" w14:textId="77777777" w:rsidR="007D1E74" w:rsidRDefault="00A95641">
            <w:pPr>
              <w:jc w:val="center"/>
              <w:rPr>
                <w:b/>
              </w:rPr>
            </w:pPr>
            <w:r>
              <w:rPr>
                <w:kern w:val="0"/>
                <w:szCs w:val="21"/>
                <w:lang w:bidi="ar"/>
              </w:rPr>
              <w:t>厂界北侧</w:t>
            </w:r>
          </w:p>
        </w:tc>
        <w:tc>
          <w:tcPr>
            <w:tcW w:w="613" w:type="pct"/>
            <w:vAlign w:val="center"/>
          </w:tcPr>
          <w:p w14:paraId="2CBF4429" w14:textId="77777777" w:rsidR="007D1E74" w:rsidRDefault="00A95641">
            <w:pPr>
              <w:jc w:val="center"/>
              <w:rPr>
                <w:b/>
              </w:rPr>
            </w:pPr>
            <w:r>
              <w:rPr>
                <w:rStyle w:val="font01"/>
                <w:lang w:bidi="ar"/>
              </w:rPr>
              <w:t>昼间</w:t>
            </w:r>
          </w:p>
        </w:tc>
        <w:tc>
          <w:tcPr>
            <w:tcW w:w="756" w:type="pct"/>
            <w:vAlign w:val="center"/>
          </w:tcPr>
          <w:p w14:paraId="40A6A9AB" w14:textId="77777777" w:rsidR="007D1E74" w:rsidRDefault="00A95641">
            <w:pPr>
              <w:widowControl/>
              <w:jc w:val="center"/>
              <w:textAlignment w:val="center"/>
            </w:pPr>
            <w:r>
              <w:t>33</w:t>
            </w:r>
          </w:p>
        </w:tc>
        <w:tc>
          <w:tcPr>
            <w:tcW w:w="684" w:type="pct"/>
            <w:vAlign w:val="center"/>
          </w:tcPr>
          <w:p w14:paraId="54C7D79E" w14:textId="77777777" w:rsidR="007D1E74" w:rsidRDefault="00A95641">
            <w:pPr>
              <w:widowControl/>
              <w:jc w:val="center"/>
              <w:textAlignment w:val="center"/>
            </w:pPr>
            <w:r>
              <w:t>/</w:t>
            </w:r>
          </w:p>
        </w:tc>
        <w:tc>
          <w:tcPr>
            <w:tcW w:w="1405" w:type="pct"/>
            <w:vMerge/>
            <w:vAlign w:val="center"/>
          </w:tcPr>
          <w:p w14:paraId="11A7A1B7" w14:textId="77777777" w:rsidR="007D1E74" w:rsidRDefault="007D1E74">
            <w:pPr>
              <w:jc w:val="center"/>
              <w:rPr>
                <w:b/>
              </w:rPr>
            </w:pPr>
          </w:p>
        </w:tc>
      </w:tr>
      <w:tr w:rsidR="007D1E74" w14:paraId="074C6619" w14:textId="77777777">
        <w:trPr>
          <w:trHeight w:val="274"/>
          <w:jc w:val="center"/>
        </w:trPr>
        <w:tc>
          <w:tcPr>
            <w:tcW w:w="573" w:type="pct"/>
            <w:vMerge/>
            <w:vAlign w:val="center"/>
          </w:tcPr>
          <w:p w14:paraId="2DD01289" w14:textId="77777777" w:rsidR="007D1E74" w:rsidRDefault="007D1E74">
            <w:pPr>
              <w:jc w:val="center"/>
              <w:rPr>
                <w:b/>
              </w:rPr>
            </w:pPr>
          </w:p>
        </w:tc>
        <w:tc>
          <w:tcPr>
            <w:tcW w:w="969" w:type="pct"/>
            <w:vMerge/>
            <w:vAlign w:val="center"/>
          </w:tcPr>
          <w:p w14:paraId="2263DD60" w14:textId="77777777" w:rsidR="007D1E74" w:rsidRDefault="007D1E74">
            <w:pPr>
              <w:jc w:val="center"/>
              <w:rPr>
                <w:b/>
              </w:rPr>
            </w:pPr>
          </w:p>
        </w:tc>
        <w:tc>
          <w:tcPr>
            <w:tcW w:w="613" w:type="pct"/>
            <w:vAlign w:val="center"/>
          </w:tcPr>
          <w:p w14:paraId="6C3069EA" w14:textId="77777777" w:rsidR="007D1E74" w:rsidRDefault="00A95641">
            <w:pPr>
              <w:jc w:val="center"/>
              <w:rPr>
                <w:b/>
              </w:rPr>
            </w:pPr>
            <w:r>
              <w:rPr>
                <w:rStyle w:val="font01"/>
                <w:lang w:bidi="ar"/>
              </w:rPr>
              <w:t>夜间</w:t>
            </w:r>
          </w:p>
        </w:tc>
        <w:tc>
          <w:tcPr>
            <w:tcW w:w="756" w:type="pct"/>
            <w:vAlign w:val="center"/>
          </w:tcPr>
          <w:p w14:paraId="185C1F23" w14:textId="77777777" w:rsidR="007D1E74" w:rsidRDefault="00A95641">
            <w:pPr>
              <w:widowControl/>
              <w:jc w:val="center"/>
              <w:textAlignment w:val="center"/>
            </w:pPr>
            <w:r>
              <w:t>33</w:t>
            </w:r>
          </w:p>
        </w:tc>
        <w:tc>
          <w:tcPr>
            <w:tcW w:w="684" w:type="pct"/>
            <w:vAlign w:val="center"/>
          </w:tcPr>
          <w:p w14:paraId="21232F33" w14:textId="77777777" w:rsidR="007D1E74" w:rsidRDefault="00A95641">
            <w:pPr>
              <w:widowControl/>
              <w:jc w:val="center"/>
              <w:textAlignment w:val="center"/>
            </w:pPr>
            <w:r>
              <w:t>/</w:t>
            </w:r>
          </w:p>
        </w:tc>
        <w:tc>
          <w:tcPr>
            <w:tcW w:w="1405" w:type="pct"/>
            <w:vMerge/>
            <w:vAlign w:val="center"/>
          </w:tcPr>
          <w:p w14:paraId="5DD674D1" w14:textId="77777777" w:rsidR="007D1E74" w:rsidRDefault="007D1E74">
            <w:pPr>
              <w:jc w:val="center"/>
              <w:rPr>
                <w:b/>
              </w:rPr>
            </w:pPr>
          </w:p>
        </w:tc>
      </w:tr>
      <w:tr w:rsidR="007D1E74" w14:paraId="260F7FA5" w14:textId="77777777">
        <w:trPr>
          <w:trHeight w:val="353"/>
          <w:jc w:val="center"/>
        </w:trPr>
        <w:tc>
          <w:tcPr>
            <w:tcW w:w="573" w:type="pct"/>
            <w:vMerge w:val="restart"/>
            <w:vAlign w:val="center"/>
          </w:tcPr>
          <w:p w14:paraId="18F57D57" w14:textId="77777777" w:rsidR="007D1E74" w:rsidRDefault="00A95641">
            <w:pPr>
              <w:jc w:val="center"/>
            </w:pPr>
            <w:r>
              <w:t>2#</w:t>
            </w:r>
            <w:r>
              <w:t>阀组</w:t>
            </w:r>
          </w:p>
        </w:tc>
        <w:tc>
          <w:tcPr>
            <w:tcW w:w="969" w:type="pct"/>
            <w:vMerge w:val="restart"/>
            <w:vAlign w:val="center"/>
          </w:tcPr>
          <w:p w14:paraId="1CD6252F" w14:textId="77777777" w:rsidR="007D1E74" w:rsidRDefault="00A95641">
            <w:pPr>
              <w:widowControl/>
              <w:jc w:val="center"/>
              <w:textAlignment w:val="center"/>
            </w:pPr>
            <w:r>
              <w:rPr>
                <w:kern w:val="0"/>
                <w:szCs w:val="21"/>
                <w:lang w:bidi="ar"/>
              </w:rPr>
              <w:t>厂界东侧</w:t>
            </w:r>
          </w:p>
        </w:tc>
        <w:tc>
          <w:tcPr>
            <w:tcW w:w="613" w:type="pct"/>
            <w:vAlign w:val="center"/>
          </w:tcPr>
          <w:p w14:paraId="5E5D46DA" w14:textId="77777777" w:rsidR="007D1E74" w:rsidRDefault="00A95641">
            <w:pPr>
              <w:widowControl/>
              <w:jc w:val="center"/>
              <w:textAlignment w:val="center"/>
            </w:pPr>
            <w:r>
              <w:rPr>
                <w:rStyle w:val="font01"/>
                <w:lang w:bidi="ar"/>
              </w:rPr>
              <w:t>昼间</w:t>
            </w:r>
          </w:p>
        </w:tc>
        <w:tc>
          <w:tcPr>
            <w:tcW w:w="756" w:type="pct"/>
            <w:vAlign w:val="center"/>
          </w:tcPr>
          <w:p w14:paraId="3B73FDAD" w14:textId="77777777" w:rsidR="007D1E74" w:rsidRDefault="00A95641">
            <w:pPr>
              <w:widowControl/>
              <w:jc w:val="center"/>
              <w:textAlignment w:val="center"/>
            </w:pPr>
            <w:r>
              <w:t>32</w:t>
            </w:r>
          </w:p>
        </w:tc>
        <w:tc>
          <w:tcPr>
            <w:tcW w:w="684" w:type="pct"/>
          </w:tcPr>
          <w:p w14:paraId="6BD79F93" w14:textId="77777777" w:rsidR="007D1E74" w:rsidRDefault="00A95641">
            <w:pPr>
              <w:widowControl/>
              <w:jc w:val="center"/>
              <w:textAlignment w:val="center"/>
            </w:pPr>
            <w:r>
              <w:t>/</w:t>
            </w:r>
          </w:p>
        </w:tc>
        <w:tc>
          <w:tcPr>
            <w:tcW w:w="1405" w:type="pct"/>
            <w:vMerge/>
            <w:vAlign w:val="center"/>
          </w:tcPr>
          <w:p w14:paraId="4A11C06A" w14:textId="77777777" w:rsidR="007D1E74" w:rsidRDefault="007D1E74">
            <w:pPr>
              <w:jc w:val="center"/>
            </w:pPr>
          </w:p>
        </w:tc>
      </w:tr>
      <w:tr w:rsidR="007D1E74" w14:paraId="14C69053" w14:textId="77777777">
        <w:trPr>
          <w:trHeight w:val="303"/>
          <w:jc w:val="center"/>
        </w:trPr>
        <w:tc>
          <w:tcPr>
            <w:tcW w:w="573" w:type="pct"/>
            <w:vMerge/>
            <w:vAlign w:val="center"/>
          </w:tcPr>
          <w:p w14:paraId="3BA0AE50" w14:textId="77777777" w:rsidR="007D1E74" w:rsidRDefault="007D1E74">
            <w:pPr>
              <w:jc w:val="center"/>
            </w:pPr>
          </w:p>
        </w:tc>
        <w:tc>
          <w:tcPr>
            <w:tcW w:w="969" w:type="pct"/>
            <w:vMerge/>
            <w:vAlign w:val="center"/>
          </w:tcPr>
          <w:p w14:paraId="1E4C16F2" w14:textId="77777777" w:rsidR="007D1E74" w:rsidRDefault="007D1E74">
            <w:pPr>
              <w:jc w:val="center"/>
            </w:pPr>
          </w:p>
        </w:tc>
        <w:tc>
          <w:tcPr>
            <w:tcW w:w="613" w:type="pct"/>
            <w:vAlign w:val="center"/>
          </w:tcPr>
          <w:p w14:paraId="6818FA42" w14:textId="77777777" w:rsidR="007D1E74" w:rsidRDefault="00A95641">
            <w:pPr>
              <w:widowControl/>
              <w:jc w:val="center"/>
              <w:textAlignment w:val="center"/>
            </w:pPr>
            <w:r>
              <w:rPr>
                <w:rStyle w:val="font01"/>
                <w:lang w:bidi="ar"/>
              </w:rPr>
              <w:t>夜间</w:t>
            </w:r>
          </w:p>
        </w:tc>
        <w:tc>
          <w:tcPr>
            <w:tcW w:w="756" w:type="pct"/>
            <w:vAlign w:val="center"/>
          </w:tcPr>
          <w:p w14:paraId="2145A699" w14:textId="77777777" w:rsidR="007D1E74" w:rsidRDefault="00A95641">
            <w:pPr>
              <w:widowControl/>
              <w:jc w:val="center"/>
              <w:textAlignment w:val="center"/>
            </w:pPr>
            <w:r>
              <w:t>32</w:t>
            </w:r>
          </w:p>
        </w:tc>
        <w:tc>
          <w:tcPr>
            <w:tcW w:w="684" w:type="pct"/>
          </w:tcPr>
          <w:p w14:paraId="0814EF49" w14:textId="77777777" w:rsidR="007D1E74" w:rsidRDefault="00A95641">
            <w:pPr>
              <w:widowControl/>
              <w:jc w:val="center"/>
              <w:textAlignment w:val="center"/>
            </w:pPr>
            <w:r>
              <w:t>/</w:t>
            </w:r>
          </w:p>
        </w:tc>
        <w:tc>
          <w:tcPr>
            <w:tcW w:w="1405" w:type="pct"/>
            <w:vMerge/>
            <w:vAlign w:val="center"/>
          </w:tcPr>
          <w:p w14:paraId="262C83BC" w14:textId="77777777" w:rsidR="007D1E74" w:rsidRDefault="007D1E74">
            <w:pPr>
              <w:jc w:val="center"/>
            </w:pPr>
          </w:p>
        </w:tc>
      </w:tr>
      <w:tr w:rsidR="007D1E74" w14:paraId="61C05C6D" w14:textId="77777777">
        <w:trPr>
          <w:trHeight w:val="153"/>
          <w:jc w:val="center"/>
        </w:trPr>
        <w:tc>
          <w:tcPr>
            <w:tcW w:w="573" w:type="pct"/>
            <w:vMerge/>
            <w:vAlign w:val="center"/>
          </w:tcPr>
          <w:p w14:paraId="209B8F81" w14:textId="77777777" w:rsidR="007D1E74" w:rsidRDefault="007D1E74">
            <w:pPr>
              <w:jc w:val="center"/>
            </w:pPr>
          </w:p>
        </w:tc>
        <w:tc>
          <w:tcPr>
            <w:tcW w:w="969" w:type="pct"/>
            <w:vMerge w:val="restart"/>
            <w:vAlign w:val="center"/>
          </w:tcPr>
          <w:p w14:paraId="0ADD090E" w14:textId="77777777" w:rsidR="007D1E74" w:rsidRDefault="00A95641">
            <w:pPr>
              <w:widowControl/>
              <w:jc w:val="center"/>
              <w:textAlignment w:val="center"/>
            </w:pPr>
            <w:r>
              <w:rPr>
                <w:kern w:val="0"/>
                <w:szCs w:val="21"/>
                <w:lang w:bidi="ar"/>
              </w:rPr>
              <w:t>厂界南侧</w:t>
            </w:r>
          </w:p>
        </w:tc>
        <w:tc>
          <w:tcPr>
            <w:tcW w:w="613" w:type="pct"/>
            <w:vAlign w:val="center"/>
          </w:tcPr>
          <w:p w14:paraId="5CB1129C" w14:textId="77777777" w:rsidR="007D1E74" w:rsidRDefault="00A95641">
            <w:pPr>
              <w:widowControl/>
              <w:jc w:val="center"/>
              <w:textAlignment w:val="center"/>
            </w:pPr>
            <w:r>
              <w:rPr>
                <w:rStyle w:val="font01"/>
                <w:lang w:bidi="ar"/>
              </w:rPr>
              <w:t>昼间</w:t>
            </w:r>
          </w:p>
        </w:tc>
        <w:tc>
          <w:tcPr>
            <w:tcW w:w="756" w:type="pct"/>
            <w:vAlign w:val="center"/>
          </w:tcPr>
          <w:p w14:paraId="1023D12D" w14:textId="77777777" w:rsidR="007D1E74" w:rsidRDefault="00A95641">
            <w:pPr>
              <w:widowControl/>
              <w:jc w:val="center"/>
              <w:textAlignment w:val="center"/>
            </w:pPr>
            <w:r>
              <w:t>33</w:t>
            </w:r>
          </w:p>
        </w:tc>
        <w:tc>
          <w:tcPr>
            <w:tcW w:w="684" w:type="pct"/>
          </w:tcPr>
          <w:p w14:paraId="491C7168" w14:textId="77777777" w:rsidR="007D1E74" w:rsidRDefault="00A95641">
            <w:pPr>
              <w:widowControl/>
              <w:jc w:val="center"/>
              <w:textAlignment w:val="center"/>
            </w:pPr>
            <w:r>
              <w:t>/</w:t>
            </w:r>
          </w:p>
        </w:tc>
        <w:tc>
          <w:tcPr>
            <w:tcW w:w="1405" w:type="pct"/>
            <w:vMerge/>
            <w:vAlign w:val="center"/>
          </w:tcPr>
          <w:p w14:paraId="63377640" w14:textId="77777777" w:rsidR="007D1E74" w:rsidRDefault="007D1E74">
            <w:pPr>
              <w:jc w:val="center"/>
            </w:pPr>
          </w:p>
        </w:tc>
      </w:tr>
      <w:tr w:rsidR="007D1E74" w14:paraId="22850DFB" w14:textId="77777777">
        <w:trPr>
          <w:trHeight w:val="236"/>
          <w:jc w:val="center"/>
        </w:trPr>
        <w:tc>
          <w:tcPr>
            <w:tcW w:w="573" w:type="pct"/>
            <w:vMerge/>
            <w:vAlign w:val="center"/>
          </w:tcPr>
          <w:p w14:paraId="2BA6A002" w14:textId="77777777" w:rsidR="007D1E74" w:rsidRDefault="007D1E74">
            <w:pPr>
              <w:jc w:val="center"/>
            </w:pPr>
          </w:p>
        </w:tc>
        <w:tc>
          <w:tcPr>
            <w:tcW w:w="969" w:type="pct"/>
            <w:vMerge/>
            <w:vAlign w:val="center"/>
          </w:tcPr>
          <w:p w14:paraId="32554179" w14:textId="77777777" w:rsidR="007D1E74" w:rsidRDefault="007D1E74">
            <w:pPr>
              <w:jc w:val="center"/>
            </w:pPr>
          </w:p>
        </w:tc>
        <w:tc>
          <w:tcPr>
            <w:tcW w:w="613" w:type="pct"/>
            <w:vAlign w:val="center"/>
          </w:tcPr>
          <w:p w14:paraId="0BBD8325" w14:textId="77777777" w:rsidR="007D1E74" w:rsidRDefault="00A95641">
            <w:pPr>
              <w:widowControl/>
              <w:jc w:val="center"/>
              <w:textAlignment w:val="center"/>
            </w:pPr>
            <w:r>
              <w:rPr>
                <w:rStyle w:val="font01"/>
                <w:lang w:bidi="ar"/>
              </w:rPr>
              <w:t>夜间</w:t>
            </w:r>
          </w:p>
        </w:tc>
        <w:tc>
          <w:tcPr>
            <w:tcW w:w="756" w:type="pct"/>
            <w:vAlign w:val="center"/>
          </w:tcPr>
          <w:p w14:paraId="005CE129" w14:textId="77777777" w:rsidR="007D1E74" w:rsidRDefault="00A95641">
            <w:pPr>
              <w:widowControl/>
              <w:jc w:val="center"/>
              <w:textAlignment w:val="center"/>
            </w:pPr>
            <w:r>
              <w:t>33</w:t>
            </w:r>
          </w:p>
        </w:tc>
        <w:tc>
          <w:tcPr>
            <w:tcW w:w="684" w:type="pct"/>
          </w:tcPr>
          <w:p w14:paraId="063696A6" w14:textId="77777777" w:rsidR="007D1E74" w:rsidRDefault="00A95641">
            <w:pPr>
              <w:widowControl/>
              <w:jc w:val="center"/>
              <w:textAlignment w:val="center"/>
            </w:pPr>
            <w:r>
              <w:t>/</w:t>
            </w:r>
          </w:p>
        </w:tc>
        <w:tc>
          <w:tcPr>
            <w:tcW w:w="1405" w:type="pct"/>
            <w:vMerge/>
            <w:vAlign w:val="center"/>
          </w:tcPr>
          <w:p w14:paraId="773E0CFC" w14:textId="77777777" w:rsidR="007D1E74" w:rsidRDefault="007D1E74">
            <w:pPr>
              <w:jc w:val="center"/>
            </w:pPr>
          </w:p>
        </w:tc>
      </w:tr>
      <w:tr w:rsidR="007D1E74" w14:paraId="444C2562" w14:textId="77777777">
        <w:trPr>
          <w:trHeight w:val="252"/>
          <w:jc w:val="center"/>
        </w:trPr>
        <w:tc>
          <w:tcPr>
            <w:tcW w:w="573" w:type="pct"/>
            <w:vMerge/>
            <w:vAlign w:val="center"/>
          </w:tcPr>
          <w:p w14:paraId="65760F34" w14:textId="77777777" w:rsidR="007D1E74" w:rsidRDefault="007D1E74">
            <w:pPr>
              <w:jc w:val="center"/>
            </w:pPr>
          </w:p>
        </w:tc>
        <w:tc>
          <w:tcPr>
            <w:tcW w:w="969" w:type="pct"/>
            <w:vMerge w:val="restart"/>
            <w:vAlign w:val="center"/>
          </w:tcPr>
          <w:p w14:paraId="7D32207E" w14:textId="77777777" w:rsidR="007D1E74" w:rsidRDefault="00A95641">
            <w:pPr>
              <w:widowControl/>
              <w:jc w:val="center"/>
              <w:textAlignment w:val="center"/>
            </w:pPr>
            <w:r>
              <w:rPr>
                <w:kern w:val="0"/>
                <w:szCs w:val="21"/>
                <w:lang w:bidi="ar"/>
              </w:rPr>
              <w:t>厂界西侧</w:t>
            </w:r>
          </w:p>
        </w:tc>
        <w:tc>
          <w:tcPr>
            <w:tcW w:w="613" w:type="pct"/>
            <w:vAlign w:val="center"/>
          </w:tcPr>
          <w:p w14:paraId="0715837A" w14:textId="77777777" w:rsidR="007D1E74" w:rsidRDefault="00A95641">
            <w:pPr>
              <w:widowControl/>
              <w:jc w:val="center"/>
              <w:textAlignment w:val="center"/>
            </w:pPr>
            <w:r>
              <w:rPr>
                <w:rStyle w:val="font01"/>
                <w:lang w:bidi="ar"/>
              </w:rPr>
              <w:t>昼间</w:t>
            </w:r>
          </w:p>
        </w:tc>
        <w:tc>
          <w:tcPr>
            <w:tcW w:w="756" w:type="pct"/>
            <w:vAlign w:val="center"/>
          </w:tcPr>
          <w:p w14:paraId="5F61A2FB" w14:textId="77777777" w:rsidR="007D1E74" w:rsidRDefault="00A95641">
            <w:pPr>
              <w:widowControl/>
              <w:jc w:val="center"/>
              <w:textAlignment w:val="center"/>
            </w:pPr>
            <w:r>
              <w:t>31</w:t>
            </w:r>
          </w:p>
        </w:tc>
        <w:tc>
          <w:tcPr>
            <w:tcW w:w="684" w:type="pct"/>
          </w:tcPr>
          <w:p w14:paraId="3FB651D9" w14:textId="77777777" w:rsidR="007D1E74" w:rsidRDefault="00A95641">
            <w:pPr>
              <w:widowControl/>
              <w:jc w:val="center"/>
              <w:textAlignment w:val="center"/>
            </w:pPr>
            <w:r>
              <w:t>/</w:t>
            </w:r>
          </w:p>
        </w:tc>
        <w:tc>
          <w:tcPr>
            <w:tcW w:w="1405" w:type="pct"/>
            <w:vMerge/>
            <w:vAlign w:val="center"/>
          </w:tcPr>
          <w:p w14:paraId="506EC36E" w14:textId="77777777" w:rsidR="007D1E74" w:rsidRDefault="007D1E74">
            <w:pPr>
              <w:jc w:val="center"/>
            </w:pPr>
          </w:p>
        </w:tc>
      </w:tr>
      <w:tr w:rsidR="007D1E74" w14:paraId="1C05F7EE" w14:textId="77777777">
        <w:trPr>
          <w:trHeight w:val="90"/>
          <w:jc w:val="center"/>
        </w:trPr>
        <w:tc>
          <w:tcPr>
            <w:tcW w:w="573" w:type="pct"/>
            <w:vMerge/>
            <w:vAlign w:val="center"/>
          </w:tcPr>
          <w:p w14:paraId="3842F2F3" w14:textId="77777777" w:rsidR="007D1E74" w:rsidRDefault="007D1E74">
            <w:pPr>
              <w:jc w:val="center"/>
            </w:pPr>
          </w:p>
        </w:tc>
        <w:tc>
          <w:tcPr>
            <w:tcW w:w="969" w:type="pct"/>
            <w:vMerge/>
            <w:vAlign w:val="center"/>
          </w:tcPr>
          <w:p w14:paraId="7B6F1FA7" w14:textId="77777777" w:rsidR="007D1E74" w:rsidRDefault="007D1E74">
            <w:pPr>
              <w:jc w:val="center"/>
            </w:pPr>
          </w:p>
        </w:tc>
        <w:tc>
          <w:tcPr>
            <w:tcW w:w="613" w:type="pct"/>
            <w:vAlign w:val="center"/>
          </w:tcPr>
          <w:p w14:paraId="711E3F87" w14:textId="77777777" w:rsidR="007D1E74" w:rsidRDefault="00A95641">
            <w:pPr>
              <w:widowControl/>
              <w:jc w:val="center"/>
              <w:textAlignment w:val="center"/>
            </w:pPr>
            <w:r>
              <w:rPr>
                <w:rStyle w:val="font01"/>
                <w:lang w:bidi="ar"/>
              </w:rPr>
              <w:t>夜间</w:t>
            </w:r>
          </w:p>
        </w:tc>
        <w:tc>
          <w:tcPr>
            <w:tcW w:w="756" w:type="pct"/>
            <w:vAlign w:val="center"/>
          </w:tcPr>
          <w:p w14:paraId="3078139B" w14:textId="77777777" w:rsidR="007D1E74" w:rsidRDefault="00A95641">
            <w:pPr>
              <w:widowControl/>
              <w:jc w:val="center"/>
              <w:textAlignment w:val="center"/>
            </w:pPr>
            <w:r>
              <w:t>31</w:t>
            </w:r>
          </w:p>
        </w:tc>
        <w:tc>
          <w:tcPr>
            <w:tcW w:w="684" w:type="pct"/>
          </w:tcPr>
          <w:p w14:paraId="0994FB00" w14:textId="77777777" w:rsidR="007D1E74" w:rsidRDefault="00A95641">
            <w:pPr>
              <w:widowControl/>
              <w:jc w:val="center"/>
              <w:textAlignment w:val="center"/>
            </w:pPr>
            <w:r>
              <w:t>/</w:t>
            </w:r>
          </w:p>
        </w:tc>
        <w:tc>
          <w:tcPr>
            <w:tcW w:w="1405" w:type="pct"/>
            <w:vMerge/>
            <w:vAlign w:val="center"/>
          </w:tcPr>
          <w:p w14:paraId="336DF2BC" w14:textId="77777777" w:rsidR="007D1E74" w:rsidRDefault="007D1E74">
            <w:pPr>
              <w:jc w:val="center"/>
            </w:pPr>
          </w:p>
        </w:tc>
      </w:tr>
      <w:tr w:rsidR="007D1E74" w14:paraId="14AF370B" w14:textId="77777777">
        <w:trPr>
          <w:trHeight w:val="219"/>
          <w:jc w:val="center"/>
        </w:trPr>
        <w:tc>
          <w:tcPr>
            <w:tcW w:w="573" w:type="pct"/>
            <w:vMerge/>
            <w:vAlign w:val="center"/>
          </w:tcPr>
          <w:p w14:paraId="2C0532F0" w14:textId="77777777" w:rsidR="007D1E74" w:rsidRDefault="007D1E74">
            <w:pPr>
              <w:jc w:val="center"/>
            </w:pPr>
          </w:p>
        </w:tc>
        <w:tc>
          <w:tcPr>
            <w:tcW w:w="969" w:type="pct"/>
            <w:vMerge w:val="restart"/>
            <w:vAlign w:val="center"/>
          </w:tcPr>
          <w:p w14:paraId="5E7FF3FB" w14:textId="77777777" w:rsidR="007D1E74" w:rsidRDefault="00A95641">
            <w:pPr>
              <w:widowControl/>
              <w:jc w:val="center"/>
              <w:textAlignment w:val="center"/>
            </w:pPr>
            <w:r>
              <w:rPr>
                <w:kern w:val="0"/>
                <w:szCs w:val="21"/>
                <w:lang w:bidi="ar"/>
              </w:rPr>
              <w:t>厂界北侧</w:t>
            </w:r>
          </w:p>
        </w:tc>
        <w:tc>
          <w:tcPr>
            <w:tcW w:w="613" w:type="pct"/>
            <w:vAlign w:val="center"/>
          </w:tcPr>
          <w:p w14:paraId="6DBFD95E" w14:textId="77777777" w:rsidR="007D1E74" w:rsidRDefault="00A95641">
            <w:pPr>
              <w:widowControl/>
              <w:jc w:val="center"/>
              <w:textAlignment w:val="center"/>
            </w:pPr>
            <w:r>
              <w:rPr>
                <w:rStyle w:val="font01"/>
                <w:lang w:bidi="ar"/>
              </w:rPr>
              <w:t>昼间</w:t>
            </w:r>
          </w:p>
        </w:tc>
        <w:tc>
          <w:tcPr>
            <w:tcW w:w="756" w:type="pct"/>
            <w:vAlign w:val="center"/>
          </w:tcPr>
          <w:p w14:paraId="7402EEA5" w14:textId="77777777" w:rsidR="007D1E74" w:rsidRDefault="00A95641">
            <w:pPr>
              <w:widowControl/>
              <w:jc w:val="center"/>
              <w:textAlignment w:val="center"/>
            </w:pPr>
            <w:r>
              <w:t>32</w:t>
            </w:r>
          </w:p>
        </w:tc>
        <w:tc>
          <w:tcPr>
            <w:tcW w:w="684" w:type="pct"/>
          </w:tcPr>
          <w:p w14:paraId="2F8A27C1" w14:textId="77777777" w:rsidR="007D1E74" w:rsidRDefault="00A95641">
            <w:pPr>
              <w:widowControl/>
              <w:jc w:val="center"/>
              <w:textAlignment w:val="center"/>
            </w:pPr>
            <w:r>
              <w:t>/</w:t>
            </w:r>
          </w:p>
        </w:tc>
        <w:tc>
          <w:tcPr>
            <w:tcW w:w="1405" w:type="pct"/>
            <w:vMerge/>
            <w:vAlign w:val="center"/>
          </w:tcPr>
          <w:p w14:paraId="6223DBAC" w14:textId="77777777" w:rsidR="007D1E74" w:rsidRDefault="007D1E74">
            <w:pPr>
              <w:jc w:val="center"/>
            </w:pPr>
          </w:p>
        </w:tc>
      </w:tr>
      <w:tr w:rsidR="007D1E74" w14:paraId="43B83F4B" w14:textId="77777777">
        <w:trPr>
          <w:trHeight w:val="270"/>
          <w:jc w:val="center"/>
        </w:trPr>
        <w:tc>
          <w:tcPr>
            <w:tcW w:w="573" w:type="pct"/>
            <w:vMerge/>
            <w:vAlign w:val="center"/>
          </w:tcPr>
          <w:p w14:paraId="20DF6781" w14:textId="77777777" w:rsidR="007D1E74" w:rsidRDefault="007D1E74">
            <w:pPr>
              <w:jc w:val="center"/>
            </w:pPr>
          </w:p>
        </w:tc>
        <w:tc>
          <w:tcPr>
            <w:tcW w:w="969" w:type="pct"/>
            <w:vMerge/>
            <w:vAlign w:val="center"/>
          </w:tcPr>
          <w:p w14:paraId="359296C8" w14:textId="77777777" w:rsidR="007D1E74" w:rsidRDefault="007D1E74">
            <w:pPr>
              <w:jc w:val="center"/>
            </w:pPr>
          </w:p>
        </w:tc>
        <w:tc>
          <w:tcPr>
            <w:tcW w:w="613" w:type="pct"/>
            <w:vAlign w:val="center"/>
          </w:tcPr>
          <w:p w14:paraId="53AF451B" w14:textId="77777777" w:rsidR="007D1E74" w:rsidRDefault="00A95641">
            <w:pPr>
              <w:widowControl/>
              <w:jc w:val="center"/>
              <w:textAlignment w:val="center"/>
            </w:pPr>
            <w:r>
              <w:rPr>
                <w:rStyle w:val="font01"/>
                <w:lang w:bidi="ar"/>
              </w:rPr>
              <w:t>夜间</w:t>
            </w:r>
          </w:p>
        </w:tc>
        <w:tc>
          <w:tcPr>
            <w:tcW w:w="756" w:type="pct"/>
            <w:vAlign w:val="center"/>
          </w:tcPr>
          <w:p w14:paraId="05FAFD78" w14:textId="77777777" w:rsidR="007D1E74" w:rsidRDefault="00A95641">
            <w:pPr>
              <w:widowControl/>
              <w:jc w:val="center"/>
              <w:textAlignment w:val="center"/>
            </w:pPr>
            <w:r>
              <w:t>32</w:t>
            </w:r>
          </w:p>
        </w:tc>
        <w:tc>
          <w:tcPr>
            <w:tcW w:w="684" w:type="pct"/>
          </w:tcPr>
          <w:p w14:paraId="08DAA436" w14:textId="77777777" w:rsidR="007D1E74" w:rsidRDefault="00A95641">
            <w:pPr>
              <w:widowControl/>
              <w:jc w:val="center"/>
              <w:textAlignment w:val="center"/>
            </w:pPr>
            <w:r>
              <w:t>/</w:t>
            </w:r>
          </w:p>
        </w:tc>
        <w:tc>
          <w:tcPr>
            <w:tcW w:w="1405" w:type="pct"/>
            <w:vMerge/>
            <w:vAlign w:val="center"/>
          </w:tcPr>
          <w:p w14:paraId="46DA6743" w14:textId="77777777" w:rsidR="007D1E74" w:rsidRDefault="007D1E74">
            <w:pPr>
              <w:jc w:val="center"/>
            </w:pPr>
          </w:p>
        </w:tc>
      </w:tr>
      <w:tr w:rsidR="007D1E74" w14:paraId="1482AA8F" w14:textId="77777777">
        <w:trPr>
          <w:trHeight w:val="65"/>
          <w:jc w:val="center"/>
        </w:trPr>
        <w:tc>
          <w:tcPr>
            <w:tcW w:w="573" w:type="pct"/>
            <w:vMerge w:val="restart"/>
            <w:vAlign w:val="center"/>
          </w:tcPr>
          <w:p w14:paraId="0E6104CE" w14:textId="77777777" w:rsidR="007D1E74" w:rsidRDefault="00A95641">
            <w:pPr>
              <w:jc w:val="center"/>
            </w:pPr>
            <w:r>
              <w:t>3#</w:t>
            </w:r>
            <w:r>
              <w:t>阀组</w:t>
            </w:r>
          </w:p>
        </w:tc>
        <w:tc>
          <w:tcPr>
            <w:tcW w:w="969" w:type="pct"/>
            <w:vMerge w:val="restart"/>
            <w:vAlign w:val="center"/>
          </w:tcPr>
          <w:p w14:paraId="3B01FD2C" w14:textId="77777777" w:rsidR="007D1E74" w:rsidRDefault="00A95641">
            <w:pPr>
              <w:widowControl/>
              <w:jc w:val="center"/>
              <w:textAlignment w:val="center"/>
            </w:pPr>
            <w:r>
              <w:rPr>
                <w:kern w:val="0"/>
                <w:szCs w:val="21"/>
                <w:lang w:bidi="ar"/>
              </w:rPr>
              <w:t>厂界东侧</w:t>
            </w:r>
          </w:p>
        </w:tc>
        <w:tc>
          <w:tcPr>
            <w:tcW w:w="613" w:type="pct"/>
            <w:vAlign w:val="center"/>
          </w:tcPr>
          <w:p w14:paraId="565A4C83" w14:textId="77777777" w:rsidR="007D1E74" w:rsidRDefault="00A95641">
            <w:pPr>
              <w:widowControl/>
              <w:jc w:val="center"/>
              <w:textAlignment w:val="center"/>
            </w:pPr>
            <w:r>
              <w:rPr>
                <w:rStyle w:val="font01"/>
                <w:lang w:bidi="ar"/>
              </w:rPr>
              <w:t>昼间</w:t>
            </w:r>
          </w:p>
        </w:tc>
        <w:tc>
          <w:tcPr>
            <w:tcW w:w="756" w:type="pct"/>
            <w:vAlign w:val="center"/>
          </w:tcPr>
          <w:p w14:paraId="61361B06" w14:textId="77777777" w:rsidR="007D1E74" w:rsidRDefault="00A95641">
            <w:pPr>
              <w:widowControl/>
              <w:jc w:val="center"/>
              <w:textAlignment w:val="center"/>
            </w:pPr>
            <w:r>
              <w:t>32</w:t>
            </w:r>
          </w:p>
        </w:tc>
        <w:tc>
          <w:tcPr>
            <w:tcW w:w="684" w:type="pct"/>
          </w:tcPr>
          <w:p w14:paraId="73B7A26C" w14:textId="77777777" w:rsidR="007D1E74" w:rsidRDefault="00A95641">
            <w:pPr>
              <w:widowControl/>
              <w:jc w:val="center"/>
              <w:textAlignment w:val="center"/>
            </w:pPr>
            <w:r>
              <w:t>/</w:t>
            </w:r>
          </w:p>
        </w:tc>
        <w:tc>
          <w:tcPr>
            <w:tcW w:w="1405" w:type="pct"/>
            <w:vMerge/>
            <w:vAlign w:val="center"/>
          </w:tcPr>
          <w:p w14:paraId="66DF02FE" w14:textId="77777777" w:rsidR="007D1E74" w:rsidRDefault="007D1E74">
            <w:pPr>
              <w:jc w:val="center"/>
            </w:pPr>
          </w:p>
        </w:tc>
      </w:tr>
      <w:tr w:rsidR="007D1E74" w14:paraId="4E03958F" w14:textId="77777777">
        <w:trPr>
          <w:trHeight w:val="318"/>
          <w:jc w:val="center"/>
        </w:trPr>
        <w:tc>
          <w:tcPr>
            <w:tcW w:w="573" w:type="pct"/>
            <w:vMerge/>
            <w:vAlign w:val="center"/>
          </w:tcPr>
          <w:p w14:paraId="73D5F315" w14:textId="77777777" w:rsidR="007D1E74" w:rsidRDefault="007D1E74">
            <w:pPr>
              <w:jc w:val="center"/>
            </w:pPr>
          </w:p>
        </w:tc>
        <w:tc>
          <w:tcPr>
            <w:tcW w:w="969" w:type="pct"/>
            <w:vMerge/>
            <w:vAlign w:val="center"/>
          </w:tcPr>
          <w:p w14:paraId="71DB633D" w14:textId="77777777" w:rsidR="007D1E74" w:rsidRDefault="007D1E74">
            <w:pPr>
              <w:jc w:val="center"/>
            </w:pPr>
          </w:p>
        </w:tc>
        <w:tc>
          <w:tcPr>
            <w:tcW w:w="613" w:type="pct"/>
            <w:vAlign w:val="center"/>
          </w:tcPr>
          <w:p w14:paraId="087B09AF" w14:textId="77777777" w:rsidR="007D1E74" w:rsidRDefault="00A95641">
            <w:pPr>
              <w:widowControl/>
              <w:jc w:val="center"/>
              <w:textAlignment w:val="center"/>
            </w:pPr>
            <w:r>
              <w:rPr>
                <w:rStyle w:val="font01"/>
                <w:lang w:bidi="ar"/>
              </w:rPr>
              <w:t>夜间</w:t>
            </w:r>
          </w:p>
        </w:tc>
        <w:tc>
          <w:tcPr>
            <w:tcW w:w="756" w:type="pct"/>
            <w:vAlign w:val="center"/>
          </w:tcPr>
          <w:p w14:paraId="732F2F0D" w14:textId="77777777" w:rsidR="007D1E74" w:rsidRDefault="00A95641">
            <w:pPr>
              <w:widowControl/>
              <w:jc w:val="center"/>
              <w:textAlignment w:val="center"/>
            </w:pPr>
            <w:r>
              <w:t>32</w:t>
            </w:r>
          </w:p>
        </w:tc>
        <w:tc>
          <w:tcPr>
            <w:tcW w:w="684" w:type="pct"/>
          </w:tcPr>
          <w:p w14:paraId="742CF391" w14:textId="77777777" w:rsidR="007D1E74" w:rsidRDefault="00A95641">
            <w:pPr>
              <w:widowControl/>
              <w:jc w:val="center"/>
              <w:textAlignment w:val="center"/>
            </w:pPr>
            <w:r>
              <w:t>/</w:t>
            </w:r>
          </w:p>
        </w:tc>
        <w:tc>
          <w:tcPr>
            <w:tcW w:w="1405" w:type="pct"/>
            <w:vMerge/>
            <w:vAlign w:val="center"/>
          </w:tcPr>
          <w:p w14:paraId="7B88E69A" w14:textId="77777777" w:rsidR="007D1E74" w:rsidRDefault="007D1E74">
            <w:pPr>
              <w:jc w:val="center"/>
            </w:pPr>
          </w:p>
        </w:tc>
      </w:tr>
      <w:tr w:rsidR="007D1E74" w14:paraId="4E532855" w14:textId="77777777">
        <w:trPr>
          <w:trHeight w:val="318"/>
          <w:jc w:val="center"/>
        </w:trPr>
        <w:tc>
          <w:tcPr>
            <w:tcW w:w="573" w:type="pct"/>
            <w:vMerge/>
            <w:vAlign w:val="center"/>
          </w:tcPr>
          <w:p w14:paraId="7A8D7346" w14:textId="77777777" w:rsidR="007D1E74" w:rsidRDefault="007D1E74">
            <w:pPr>
              <w:jc w:val="center"/>
            </w:pPr>
          </w:p>
        </w:tc>
        <w:tc>
          <w:tcPr>
            <w:tcW w:w="969" w:type="pct"/>
            <w:vMerge w:val="restart"/>
            <w:vAlign w:val="center"/>
          </w:tcPr>
          <w:p w14:paraId="1F8C4CF4" w14:textId="77777777" w:rsidR="007D1E74" w:rsidRDefault="00A95641">
            <w:pPr>
              <w:widowControl/>
              <w:jc w:val="center"/>
              <w:textAlignment w:val="center"/>
            </w:pPr>
            <w:r>
              <w:rPr>
                <w:kern w:val="0"/>
                <w:szCs w:val="21"/>
                <w:lang w:bidi="ar"/>
              </w:rPr>
              <w:t>厂界南侧</w:t>
            </w:r>
          </w:p>
        </w:tc>
        <w:tc>
          <w:tcPr>
            <w:tcW w:w="613" w:type="pct"/>
            <w:vAlign w:val="center"/>
          </w:tcPr>
          <w:p w14:paraId="6470DE51" w14:textId="77777777" w:rsidR="007D1E74" w:rsidRDefault="00A95641">
            <w:pPr>
              <w:widowControl/>
              <w:jc w:val="center"/>
              <w:textAlignment w:val="center"/>
              <w:rPr>
                <w:szCs w:val="21"/>
              </w:rPr>
            </w:pPr>
            <w:r>
              <w:rPr>
                <w:rStyle w:val="font01"/>
                <w:lang w:bidi="ar"/>
              </w:rPr>
              <w:t>昼间</w:t>
            </w:r>
          </w:p>
        </w:tc>
        <w:tc>
          <w:tcPr>
            <w:tcW w:w="756" w:type="pct"/>
            <w:vAlign w:val="center"/>
          </w:tcPr>
          <w:p w14:paraId="590DB3AC" w14:textId="77777777" w:rsidR="007D1E74" w:rsidRDefault="00A95641">
            <w:pPr>
              <w:widowControl/>
              <w:jc w:val="center"/>
              <w:textAlignment w:val="center"/>
            </w:pPr>
            <w:r>
              <w:t>33</w:t>
            </w:r>
          </w:p>
        </w:tc>
        <w:tc>
          <w:tcPr>
            <w:tcW w:w="684" w:type="pct"/>
          </w:tcPr>
          <w:p w14:paraId="7DB2BD0D" w14:textId="77777777" w:rsidR="007D1E74" w:rsidRDefault="00A95641">
            <w:pPr>
              <w:widowControl/>
              <w:jc w:val="center"/>
              <w:textAlignment w:val="center"/>
            </w:pPr>
            <w:r>
              <w:t>/</w:t>
            </w:r>
          </w:p>
        </w:tc>
        <w:tc>
          <w:tcPr>
            <w:tcW w:w="1405" w:type="pct"/>
            <w:vMerge/>
            <w:vAlign w:val="center"/>
          </w:tcPr>
          <w:p w14:paraId="4D0B8752" w14:textId="77777777" w:rsidR="007D1E74" w:rsidRDefault="007D1E74">
            <w:pPr>
              <w:jc w:val="center"/>
            </w:pPr>
          </w:p>
        </w:tc>
      </w:tr>
      <w:tr w:rsidR="007D1E74" w14:paraId="6A81F212" w14:textId="77777777">
        <w:trPr>
          <w:trHeight w:val="318"/>
          <w:jc w:val="center"/>
        </w:trPr>
        <w:tc>
          <w:tcPr>
            <w:tcW w:w="573" w:type="pct"/>
            <w:vMerge/>
            <w:vAlign w:val="center"/>
          </w:tcPr>
          <w:p w14:paraId="673F3305" w14:textId="77777777" w:rsidR="007D1E74" w:rsidRDefault="007D1E74">
            <w:pPr>
              <w:jc w:val="center"/>
            </w:pPr>
          </w:p>
        </w:tc>
        <w:tc>
          <w:tcPr>
            <w:tcW w:w="969" w:type="pct"/>
            <w:vMerge/>
            <w:vAlign w:val="center"/>
          </w:tcPr>
          <w:p w14:paraId="7E954777" w14:textId="77777777" w:rsidR="007D1E74" w:rsidRDefault="007D1E74">
            <w:pPr>
              <w:jc w:val="center"/>
            </w:pPr>
          </w:p>
        </w:tc>
        <w:tc>
          <w:tcPr>
            <w:tcW w:w="613" w:type="pct"/>
            <w:vAlign w:val="center"/>
          </w:tcPr>
          <w:p w14:paraId="3FE39BB6" w14:textId="77777777" w:rsidR="007D1E74" w:rsidRDefault="00A95641">
            <w:pPr>
              <w:widowControl/>
              <w:jc w:val="center"/>
              <w:textAlignment w:val="center"/>
              <w:rPr>
                <w:szCs w:val="21"/>
              </w:rPr>
            </w:pPr>
            <w:r>
              <w:rPr>
                <w:rStyle w:val="font01"/>
                <w:lang w:bidi="ar"/>
              </w:rPr>
              <w:t>夜间</w:t>
            </w:r>
          </w:p>
        </w:tc>
        <w:tc>
          <w:tcPr>
            <w:tcW w:w="756" w:type="pct"/>
            <w:vAlign w:val="center"/>
          </w:tcPr>
          <w:p w14:paraId="19D97C25" w14:textId="77777777" w:rsidR="007D1E74" w:rsidRDefault="00A95641">
            <w:pPr>
              <w:widowControl/>
              <w:jc w:val="center"/>
              <w:textAlignment w:val="center"/>
            </w:pPr>
            <w:r>
              <w:t>33</w:t>
            </w:r>
          </w:p>
        </w:tc>
        <w:tc>
          <w:tcPr>
            <w:tcW w:w="684" w:type="pct"/>
          </w:tcPr>
          <w:p w14:paraId="477C67EA" w14:textId="77777777" w:rsidR="007D1E74" w:rsidRDefault="00A95641">
            <w:pPr>
              <w:widowControl/>
              <w:jc w:val="center"/>
              <w:textAlignment w:val="center"/>
            </w:pPr>
            <w:r>
              <w:t>/</w:t>
            </w:r>
          </w:p>
        </w:tc>
        <w:tc>
          <w:tcPr>
            <w:tcW w:w="1405" w:type="pct"/>
            <w:vMerge/>
            <w:vAlign w:val="center"/>
          </w:tcPr>
          <w:p w14:paraId="0AAB58FF" w14:textId="77777777" w:rsidR="007D1E74" w:rsidRDefault="007D1E74">
            <w:pPr>
              <w:jc w:val="center"/>
            </w:pPr>
          </w:p>
        </w:tc>
      </w:tr>
      <w:tr w:rsidR="007D1E74" w14:paraId="52E98D68" w14:textId="77777777">
        <w:trPr>
          <w:trHeight w:val="318"/>
          <w:jc w:val="center"/>
        </w:trPr>
        <w:tc>
          <w:tcPr>
            <w:tcW w:w="573" w:type="pct"/>
            <w:vMerge/>
            <w:vAlign w:val="center"/>
          </w:tcPr>
          <w:p w14:paraId="163088AA" w14:textId="77777777" w:rsidR="007D1E74" w:rsidRDefault="007D1E74">
            <w:pPr>
              <w:jc w:val="center"/>
            </w:pPr>
          </w:p>
        </w:tc>
        <w:tc>
          <w:tcPr>
            <w:tcW w:w="969" w:type="pct"/>
            <w:vMerge w:val="restart"/>
            <w:vAlign w:val="center"/>
          </w:tcPr>
          <w:p w14:paraId="5EF7995A" w14:textId="77777777" w:rsidR="007D1E74" w:rsidRDefault="00A95641">
            <w:pPr>
              <w:jc w:val="center"/>
            </w:pPr>
            <w:r>
              <w:rPr>
                <w:kern w:val="0"/>
                <w:szCs w:val="21"/>
                <w:lang w:bidi="ar"/>
              </w:rPr>
              <w:t>厂界西侧</w:t>
            </w:r>
          </w:p>
        </w:tc>
        <w:tc>
          <w:tcPr>
            <w:tcW w:w="613" w:type="pct"/>
            <w:vAlign w:val="center"/>
          </w:tcPr>
          <w:p w14:paraId="5BC3095B" w14:textId="77777777" w:rsidR="007D1E74" w:rsidRDefault="00A95641">
            <w:pPr>
              <w:widowControl/>
              <w:jc w:val="center"/>
              <w:textAlignment w:val="center"/>
              <w:rPr>
                <w:rStyle w:val="font01"/>
                <w:lang w:bidi="ar"/>
              </w:rPr>
            </w:pPr>
            <w:r>
              <w:rPr>
                <w:rStyle w:val="font01"/>
                <w:lang w:bidi="ar"/>
              </w:rPr>
              <w:t>昼间</w:t>
            </w:r>
          </w:p>
        </w:tc>
        <w:tc>
          <w:tcPr>
            <w:tcW w:w="756" w:type="pct"/>
            <w:vAlign w:val="center"/>
          </w:tcPr>
          <w:p w14:paraId="644AC4F8" w14:textId="77777777" w:rsidR="007D1E74" w:rsidRDefault="00A95641">
            <w:pPr>
              <w:widowControl/>
              <w:jc w:val="center"/>
              <w:textAlignment w:val="center"/>
              <w:rPr>
                <w:kern w:val="0"/>
                <w:szCs w:val="21"/>
                <w:lang w:bidi="ar"/>
              </w:rPr>
            </w:pPr>
            <w:r>
              <w:rPr>
                <w:kern w:val="0"/>
                <w:szCs w:val="21"/>
                <w:lang w:bidi="ar"/>
              </w:rPr>
              <w:t>35</w:t>
            </w:r>
          </w:p>
        </w:tc>
        <w:tc>
          <w:tcPr>
            <w:tcW w:w="684" w:type="pct"/>
          </w:tcPr>
          <w:p w14:paraId="237340ED" w14:textId="77777777" w:rsidR="007D1E74" w:rsidRDefault="00A95641">
            <w:pPr>
              <w:widowControl/>
              <w:jc w:val="center"/>
              <w:textAlignment w:val="center"/>
              <w:rPr>
                <w:kern w:val="0"/>
                <w:szCs w:val="21"/>
                <w:lang w:bidi="ar"/>
              </w:rPr>
            </w:pPr>
            <w:r>
              <w:t>/</w:t>
            </w:r>
          </w:p>
        </w:tc>
        <w:tc>
          <w:tcPr>
            <w:tcW w:w="1405" w:type="pct"/>
            <w:vMerge/>
            <w:vAlign w:val="center"/>
          </w:tcPr>
          <w:p w14:paraId="178E8DFB" w14:textId="77777777" w:rsidR="007D1E74" w:rsidRDefault="007D1E74">
            <w:pPr>
              <w:jc w:val="center"/>
            </w:pPr>
          </w:p>
        </w:tc>
      </w:tr>
      <w:tr w:rsidR="007D1E74" w14:paraId="356CAF30" w14:textId="77777777">
        <w:trPr>
          <w:trHeight w:val="318"/>
          <w:jc w:val="center"/>
        </w:trPr>
        <w:tc>
          <w:tcPr>
            <w:tcW w:w="573" w:type="pct"/>
            <w:vMerge/>
            <w:vAlign w:val="center"/>
          </w:tcPr>
          <w:p w14:paraId="64E2A399" w14:textId="77777777" w:rsidR="007D1E74" w:rsidRDefault="007D1E74">
            <w:pPr>
              <w:jc w:val="center"/>
            </w:pPr>
          </w:p>
        </w:tc>
        <w:tc>
          <w:tcPr>
            <w:tcW w:w="969" w:type="pct"/>
            <w:vMerge/>
            <w:vAlign w:val="center"/>
          </w:tcPr>
          <w:p w14:paraId="65AB1619" w14:textId="77777777" w:rsidR="007D1E74" w:rsidRDefault="007D1E74">
            <w:pPr>
              <w:jc w:val="center"/>
            </w:pPr>
          </w:p>
        </w:tc>
        <w:tc>
          <w:tcPr>
            <w:tcW w:w="613" w:type="pct"/>
            <w:vAlign w:val="center"/>
          </w:tcPr>
          <w:p w14:paraId="6F7B9E09" w14:textId="77777777" w:rsidR="007D1E74" w:rsidRDefault="00A95641">
            <w:pPr>
              <w:widowControl/>
              <w:jc w:val="center"/>
              <w:textAlignment w:val="center"/>
              <w:rPr>
                <w:rStyle w:val="font01"/>
                <w:lang w:bidi="ar"/>
              </w:rPr>
            </w:pPr>
            <w:r>
              <w:rPr>
                <w:rStyle w:val="font01"/>
                <w:lang w:bidi="ar"/>
              </w:rPr>
              <w:t>夜间</w:t>
            </w:r>
          </w:p>
        </w:tc>
        <w:tc>
          <w:tcPr>
            <w:tcW w:w="756" w:type="pct"/>
            <w:vAlign w:val="center"/>
          </w:tcPr>
          <w:p w14:paraId="746AC11E" w14:textId="77777777" w:rsidR="007D1E74" w:rsidRDefault="00A95641">
            <w:pPr>
              <w:widowControl/>
              <w:jc w:val="center"/>
              <w:textAlignment w:val="center"/>
              <w:rPr>
                <w:kern w:val="0"/>
                <w:szCs w:val="21"/>
                <w:lang w:bidi="ar"/>
              </w:rPr>
            </w:pPr>
            <w:r>
              <w:rPr>
                <w:kern w:val="0"/>
                <w:szCs w:val="21"/>
                <w:lang w:bidi="ar"/>
              </w:rPr>
              <w:t>35</w:t>
            </w:r>
          </w:p>
        </w:tc>
        <w:tc>
          <w:tcPr>
            <w:tcW w:w="684" w:type="pct"/>
          </w:tcPr>
          <w:p w14:paraId="3E7F93DC" w14:textId="77777777" w:rsidR="007D1E74" w:rsidRDefault="00A95641">
            <w:pPr>
              <w:widowControl/>
              <w:jc w:val="center"/>
              <w:textAlignment w:val="center"/>
              <w:rPr>
                <w:kern w:val="0"/>
                <w:szCs w:val="21"/>
                <w:lang w:bidi="ar"/>
              </w:rPr>
            </w:pPr>
            <w:r>
              <w:t>/</w:t>
            </w:r>
          </w:p>
        </w:tc>
        <w:tc>
          <w:tcPr>
            <w:tcW w:w="1405" w:type="pct"/>
            <w:vMerge/>
            <w:vAlign w:val="center"/>
          </w:tcPr>
          <w:p w14:paraId="3F58316B" w14:textId="77777777" w:rsidR="007D1E74" w:rsidRDefault="007D1E74">
            <w:pPr>
              <w:jc w:val="center"/>
            </w:pPr>
          </w:p>
        </w:tc>
      </w:tr>
      <w:tr w:rsidR="007D1E74" w14:paraId="39A606E0" w14:textId="77777777">
        <w:trPr>
          <w:trHeight w:val="318"/>
          <w:jc w:val="center"/>
        </w:trPr>
        <w:tc>
          <w:tcPr>
            <w:tcW w:w="573" w:type="pct"/>
            <w:vMerge/>
            <w:vAlign w:val="center"/>
          </w:tcPr>
          <w:p w14:paraId="25898BB2" w14:textId="77777777" w:rsidR="007D1E74" w:rsidRDefault="007D1E74">
            <w:pPr>
              <w:jc w:val="center"/>
            </w:pPr>
          </w:p>
        </w:tc>
        <w:tc>
          <w:tcPr>
            <w:tcW w:w="969" w:type="pct"/>
            <w:vMerge w:val="restart"/>
            <w:vAlign w:val="center"/>
          </w:tcPr>
          <w:p w14:paraId="28C0FB8A" w14:textId="77777777" w:rsidR="007D1E74" w:rsidRDefault="00A95641">
            <w:pPr>
              <w:jc w:val="center"/>
            </w:pPr>
            <w:r>
              <w:rPr>
                <w:kern w:val="0"/>
                <w:szCs w:val="21"/>
                <w:lang w:bidi="ar"/>
              </w:rPr>
              <w:t>厂界北侧</w:t>
            </w:r>
          </w:p>
        </w:tc>
        <w:tc>
          <w:tcPr>
            <w:tcW w:w="613" w:type="pct"/>
            <w:vAlign w:val="center"/>
          </w:tcPr>
          <w:p w14:paraId="0E7EA8BD" w14:textId="77777777" w:rsidR="007D1E74" w:rsidRDefault="00A95641">
            <w:pPr>
              <w:widowControl/>
              <w:jc w:val="center"/>
              <w:textAlignment w:val="center"/>
              <w:rPr>
                <w:rStyle w:val="font01"/>
                <w:lang w:bidi="ar"/>
              </w:rPr>
            </w:pPr>
            <w:r>
              <w:rPr>
                <w:rStyle w:val="font01"/>
                <w:lang w:bidi="ar"/>
              </w:rPr>
              <w:t>昼间</w:t>
            </w:r>
          </w:p>
        </w:tc>
        <w:tc>
          <w:tcPr>
            <w:tcW w:w="756" w:type="pct"/>
            <w:vAlign w:val="center"/>
          </w:tcPr>
          <w:p w14:paraId="2C1C18B4" w14:textId="77777777" w:rsidR="007D1E74" w:rsidRDefault="00A95641">
            <w:pPr>
              <w:widowControl/>
              <w:jc w:val="center"/>
              <w:textAlignment w:val="center"/>
              <w:rPr>
                <w:kern w:val="0"/>
                <w:szCs w:val="21"/>
                <w:lang w:bidi="ar"/>
              </w:rPr>
            </w:pPr>
            <w:r>
              <w:rPr>
                <w:kern w:val="0"/>
                <w:szCs w:val="21"/>
                <w:lang w:bidi="ar"/>
              </w:rPr>
              <w:t>34</w:t>
            </w:r>
          </w:p>
        </w:tc>
        <w:tc>
          <w:tcPr>
            <w:tcW w:w="684" w:type="pct"/>
          </w:tcPr>
          <w:p w14:paraId="4CEC7427" w14:textId="77777777" w:rsidR="007D1E74" w:rsidRDefault="00A95641">
            <w:pPr>
              <w:widowControl/>
              <w:jc w:val="center"/>
              <w:textAlignment w:val="center"/>
              <w:rPr>
                <w:kern w:val="0"/>
                <w:szCs w:val="21"/>
                <w:lang w:bidi="ar"/>
              </w:rPr>
            </w:pPr>
            <w:r>
              <w:t>/</w:t>
            </w:r>
          </w:p>
        </w:tc>
        <w:tc>
          <w:tcPr>
            <w:tcW w:w="1405" w:type="pct"/>
            <w:vMerge/>
            <w:vAlign w:val="center"/>
          </w:tcPr>
          <w:p w14:paraId="2630CFF1" w14:textId="77777777" w:rsidR="007D1E74" w:rsidRDefault="007D1E74">
            <w:pPr>
              <w:jc w:val="center"/>
            </w:pPr>
          </w:p>
        </w:tc>
      </w:tr>
      <w:tr w:rsidR="007D1E74" w14:paraId="16A05610" w14:textId="77777777">
        <w:trPr>
          <w:trHeight w:val="318"/>
          <w:jc w:val="center"/>
        </w:trPr>
        <w:tc>
          <w:tcPr>
            <w:tcW w:w="573" w:type="pct"/>
            <w:vMerge/>
            <w:vAlign w:val="center"/>
          </w:tcPr>
          <w:p w14:paraId="31628D4D" w14:textId="77777777" w:rsidR="007D1E74" w:rsidRDefault="007D1E74">
            <w:pPr>
              <w:jc w:val="center"/>
            </w:pPr>
          </w:p>
        </w:tc>
        <w:tc>
          <w:tcPr>
            <w:tcW w:w="969" w:type="pct"/>
            <w:vMerge/>
            <w:vAlign w:val="center"/>
          </w:tcPr>
          <w:p w14:paraId="2CD39937" w14:textId="77777777" w:rsidR="007D1E74" w:rsidRDefault="007D1E74">
            <w:pPr>
              <w:jc w:val="center"/>
            </w:pPr>
          </w:p>
        </w:tc>
        <w:tc>
          <w:tcPr>
            <w:tcW w:w="613" w:type="pct"/>
            <w:vAlign w:val="center"/>
          </w:tcPr>
          <w:p w14:paraId="4CA9AF71" w14:textId="77777777" w:rsidR="007D1E74" w:rsidRDefault="00A95641">
            <w:pPr>
              <w:widowControl/>
              <w:jc w:val="center"/>
              <w:textAlignment w:val="center"/>
              <w:rPr>
                <w:rStyle w:val="font01"/>
                <w:lang w:bidi="ar"/>
              </w:rPr>
            </w:pPr>
            <w:r>
              <w:rPr>
                <w:rStyle w:val="font01"/>
                <w:lang w:bidi="ar"/>
              </w:rPr>
              <w:t>夜间</w:t>
            </w:r>
          </w:p>
        </w:tc>
        <w:tc>
          <w:tcPr>
            <w:tcW w:w="756" w:type="pct"/>
            <w:vAlign w:val="center"/>
          </w:tcPr>
          <w:p w14:paraId="24BC6170" w14:textId="77777777" w:rsidR="007D1E74" w:rsidRDefault="00A95641">
            <w:pPr>
              <w:widowControl/>
              <w:jc w:val="center"/>
              <w:textAlignment w:val="center"/>
              <w:rPr>
                <w:kern w:val="0"/>
                <w:szCs w:val="21"/>
                <w:lang w:bidi="ar"/>
              </w:rPr>
            </w:pPr>
            <w:r>
              <w:rPr>
                <w:kern w:val="0"/>
                <w:szCs w:val="21"/>
                <w:lang w:bidi="ar"/>
              </w:rPr>
              <w:t>34</w:t>
            </w:r>
          </w:p>
        </w:tc>
        <w:tc>
          <w:tcPr>
            <w:tcW w:w="684" w:type="pct"/>
          </w:tcPr>
          <w:p w14:paraId="69F2C1ED" w14:textId="77777777" w:rsidR="007D1E74" w:rsidRDefault="00A95641">
            <w:pPr>
              <w:widowControl/>
              <w:jc w:val="center"/>
              <w:textAlignment w:val="center"/>
              <w:rPr>
                <w:kern w:val="0"/>
                <w:szCs w:val="21"/>
                <w:lang w:bidi="ar"/>
              </w:rPr>
            </w:pPr>
            <w:r>
              <w:t>/</w:t>
            </w:r>
          </w:p>
        </w:tc>
        <w:tc>
          <w:tcPr>
            <w:tcW w:w="1405" w:type="pct"/>
            <w:vMerge/>
            <w:vAlign w:val="center"/>
          </w:tcPr>
          <w:p w14:paraId="2106A2CD" w14:textId="77777777" w:rsidR="007D1E74" w:rsidRDefault="007D1E74">
            <w:pPr>
              <w:jc w:val="center"/>
            </w:pPr>
          </w:p>
        </w:tc>
      </w:tr>
      <w:tr w:rsidR="007D1E74" w14:paraId="1CA27203" w14:textId="77777777">
        <w:trPr>
          <w:trHeight w:val="318"/>
          <w:jc w:val="center"/>
        </w:trPr>
        <w:tc>
          <w:tcPr>
            <w:tcW w:w="573" w:type="pct"/>
            <w:vMerge w:val="restart"/>
            <w:vAlign w:val="center"/>
          </w:tcPr>
          <w:p w14:paraId="20125125" w14:textId="77777777" w:rsidR="007D1E74" w:rsidRDefault="00A95641">
            <w:pPr>
              <w:jc w:val="center"/>
            </w:pPr>
            <w:r>
              <w:t>4#</w:t>
            </w:r>
            <w:r>
              <w:t>阀组</w:t>
            </w:r>
          </w:p>
        </w:tc>
        <w:tc>
          <w:tcPr>
            <w:tcW w:w="969" w:type="pct"/>
            <w:vMerge w:val="restart"/>
            <w:vAlign w:val="center"/>
          </w:tcPr>
          <w:p w14:paraId="79BFCE28" w14:textId="77777777" w:rsidR="007D1E74" w:rsidRDefault="00A95641">
            <w:pPr>
              <w:jc w:val="center"/>
            </w:pPr>
            <w:r>
              <w:rPr>
                <w:kern w:val="0"/>
                <w:szCs w:val="21"/>
                <w:lang w:bidi="ar"/>
              </w:rPr>
              <w:t>厂界东侧</w:t>
            </w:r>
          </w:p>
        </w:tc>
        <w:tc>
          <w:tcPr>
            <w:tcW w:w="613" w:type="pct"/>
            <w:vAlign w:val="center"/>
          </w:tcPr>
          <w:p w14:paraId="4E54CCF1" w14:textId="77777777" w:rsidR="007D1E74" w:rsidRDefault="00A95641">
            <w:pPr>
              <w:widowControl/>
              <w:jc w:val="center"/>
              <w:textAlignment w:val="center"/>
              <w:rPr>
                <w:rStyle w:val="font01"/>
                <w:lang w:bidi="ar"/>
              </w:rPr>
            </w:pPr>
            <w:r>
              <w:rPr>
                <w:rStyle w:val="font01"/>
                <w:lang w:bidi="ar"/>
              </w:rPr>
              <w:t>昼间</w:t>
            </w:r>
          </w:p>
        </w:tc>
        <w:tc>
          <w:tcPr>
            <w:tcW w:w="756" w:type="pct"/>
            <w:vAlign w:val="center"/>
          </w:tcPr>
          <w:p w14:paraId="26470F7F" w14:textId="77777777" w:rsidR="007D1E74" w:rsidRDefault="00A95641">
            <w:pPr>
              <w:widowControl/>
              <w:jc w:val="center"/>
              <w:textAlignment w:val="center"/>
              <w:rPr>
                <w:kern w:val="0"/>
                <w:szCs w:val="21"/>
                <w:lang w:bidi="ar"/>
              </w:rPr>
            </w:pPr>
            <w:r>
              <w:rPr>
                <w:kern w:val="0"/>
                <w:szCs w:val="21"/>
                <w:lang w:bidi="ar"/>
              </w:rPr>
              <w:t>35</w:t>
            </w:r>
          </w:p>
        </w:tc>
        <w:tc>
          <w:tcPr>
            <w:tcW w:w="684" w:type="pct"/>
          </w:tcPr>
          <w:p w14:paraId="0F2A3BBA" w14:textId="77777777" w:rsidR="007D1E74" w:rsidRDefault="00A95641">
            <w:pPr>
              <w:widowControl/>
              <w:jc w:val="center"/>
              <w:textAlignment w:val="center"/>
              <w:rPr>
                <w:kern w:val="0"/>
                <w:szCs w:val="21"/>
                <w:lang w:bidi="ar"/>
              </w:rPr>
            </w:pPr>
            <w:r>
              <w:t>/</w:t>
            </w:r>
          </w:p>
        </w:tc>
        <w:tc>
          <w:tcPr>
            <w:tcW w:w="1405" w:type="pct"/>
            <w:vMerge/>
            <w:vAlign w:val="center"/>
          </w:tcPr>
          <w:p w14:paraId="62421813" w14:textId="77777777" w:rsidR="007D1E74" w:rsidRDefault="007D1E74">
            <w:pPr>
              <w:jc w:val="center"/>
            </w:pPr>
          </w:p>
        </w:tc>
      </w:tr>
      <w:tr w:rsidR="007D1E74" w14:paraId="10241689" w14:textId="77777777">
        <w:trPr>
          <w:trHeight w:val="318"/>
          <w:jc w:val="center"/>
        </w:trPr>
        <w:tc>
          <w:tcPr>
            <w:tcW w:w="573" w:type="pct"/>
            <w:vMerge/>
            <w:vAlign w:val="center"/>
          </w:tcPr>
          <w:p w14:paraId="1EFCA027" w14:textId="77777777" w:rsidR="007D1E74" w:rsidRDefault="007D1E74">
            <w:pPr>
              <w:jc w:val="center"/>
            </w:pPr>
          </w:p>
        </w:tc>
        <w:tc>
          <w:tcPr>
            <w:tcW w:w="969" w:type="pct"/>
            <w:vMerge/>
            <w:vAlign w:val="center"/>
          </w:tcPr>
          <w:p w14:paraId="5C98C172" w14:textId="77777777" w:rsidR="007D1E74" w:rsidRDefault="007D1E74">
            <w:pPr>
              <w:jc w:val="center"/>
            </w:pPr>
          </w:p>
        </w:tc>
        <w:tc>
          <w:tcPr>
            <w:tcW w:w="613" w:type="pct"/>
            <w:vAlign w:val="center"/>
          </w:tcPr>
          <w:p w14:paraId="6B4224FA" w14:textId="77777777" w:rsidR="007D1E74" w:rsidRDefault="00A95641">
            <w:pPr>
              <w:widowControl/>
              <w:jc w:val="center"/>
              <w:textAlignment w:val="center"/>
              <w:rPr>
                <w:rStyle w:val="font01"/>
                <w:lang w:bidi="ar"/>
              </w:rPr>
            </w:pPr>
            <w:r>
              <w:rPr>
                <w:rStyle w:val="font01"/>
                <w:lang w:bidi="ar"/>
              </w:rPr>
              <w:t>夜间</w:t>
            </w:r>
          </w:p>
        </w:tc>
        <w:tc>
          <w:tcPr>
            <w:tcW w:w="756" w:type="pct"/>
            <w:vAlign w:val="center"/>
          </w:tcPr>
          <w:p w14:paraId="6391809B" w14:textId="77777777" w:rsidR="007D1E74" w:rsidRDefault="00A95641">
            <w:pPr>
              <w:widowControl/>
              <w:jc w:val="center"/>
              <w:textAlignment w:val="center"/>
              <w:rPr>
                <w:kern w:val="0"/>
                <w:szCs w:val="21"/>
                <w:lang w:bidi="ar"/>
              </w:rPr>
            </w:pPr>
            <w:r>
              <w:rPr>
                <w:kern w:val="0"/>
                <w:szCs w:val="21"/>
                <w:lang w:bidi="ar"/>
              </w:rPr>
              <w:t>35</w:t>
            </w:r>
          </w:p>
        </w:tc>
        <w:tc>
          <w:tcPr>
            <w:tcW w:w="684" w:type="pct"/>
          </w:tcPr>
          <w:p w14:paraId="5FFFA8D4" w14:textId="77777777" w:rsidR="007D1E74" w:rsidRDefault="00A95641">
            <w:pPr>
              <w:widowControl/>
              <w:jc w:val="center"/>
              <w:textAlignment w:val="center"/>
              <w:rPr>
                <w:kern w:val="0"/>
                <w:szCs w:val="21"/>
                <w:lang w:bidi="ar"/>
              </w:rPr>
            </w:pPr>
            <w:r>
              <w:t>/</w:t>
            </w:r>
          </w:p>
        </w:tc>
        <w:tc>
          <w:tcPr>
            <w:tcW w:w="1405" w:type="pct"/>
            <w:vMerge/>
            <w:vAlign w:val="center"/>
          </w:tcPr>
          <w:p w14:paraId="6DFCA3C8" w14:textId="77777777" w:rsidR="007D1E74" w:rsidRDefault="007D1E74">
            <w:pPr>
              <w:jc w:val="center"/>
            </w:pPr>
          </w:p>
        </w:tc>
      </w:tr>
      <w:tr w:rsidR="007D1E74" w14:paraId="620F6E99" w14:textId="77777777">
        <w:trPr>
          <w:trHeight w:val="318"/>
          <w:jc w:val="center"/>
        </w:trPr>
        <w:tc>
          <w:tcPr>
            <w:tcW w:w="573" w:type="pct"/>
            <w:vMerge/>
            <w:vAlign w:val="center"/>
          </w:tcPr>
          <w:p w14:paraId="53814861" w14:textId="77777777" w:rsidR="007D1E74" w:rsidRDefault="007D1E74">
            <w:pPr>
              <w:jc w:val="center"/>
            </w:pPr>
          </w:p>
        </w:tc>
        <w:tc>
          <w:tcPr>
            <w:tcW w:w="969" w:type="pct"/>
            <w:vMerge w:val="restart"/>
            <w:vAlign w:val="center"/>
          </w:tcPr>
          <w:p w14:paraId="21C29D70" w14:textId="77777777" w:rsidR="007D1E74" w:rsidRDefault="00A95641">
            <w:pPr>
              <w:jc w:val="center"/>
            </w:pPr>
            <w:r>
              <w:rPr>
                <w:kern w:val="0"/>
                <w:szCs w:val="21"/>
                <w:lang w:bidi="ar"/>
              </w:rPr>
              <w:t>厂界南侧</w:t>
            </w:r>
          </w:p>
        </w:tc>
        <w:tc>
          <w:tcPr>
            <w:tcW w:w="613" w:type="pct"/>
            <w:vAlign w:val="center"/>
          </w:tcPr>
          <w:p w14:paraId="421E9041" w14:textId="77777777" w:rsidR="007D1E74" w:rsidRDefault="00A95641">
            <w:pPr>
              <w:widowControl/>
              <w:jc w:val="center"/>
              <w:textAlignment w:val="center"/>
              <w:rPr>
                <w:rStyle w:val="font01"/>
                <w:lang w:bidi="ar"/>
              </w:rPr>
            </w:pPr>
            <w:r>
              <w:rPr>
                <w:rStyle w:val="font01"/>
                <w:lang w:bidi="ar"/>
              </w:rPr>
              <w:t>昼间</w:t>
            </w:r>
          </w:p>
        </w:tc>
        <w:tc>
          <w:tcPr>
            <w:tcW w:w="756" w:type="pct"/>
            <w:vAlign w:val="center"/>
          </w:tcPr>
          <w:p w14:paraId="2990DACB" w14:textId="77777777" w:rsidR="007D1E74" w:rsidRDefault="00A95641">
            <w:pPr>
              <w:widowControl/>
              <w:jc w:val="center"/>
              <w:textAlignment w:val="center"/>
              <w:rPr>
                <w:kern w:val="0"/>
                <w:szCs w:val="21"/>
                <w:lang w:bidi="ar"/>
              </w:rPr>
            </w:pPr>
            <w:r>
              <w:rPr>
                <w:kern w:val="0"/>
                <w:szCs w:val="21"/>
                <w:lang w:bidi="ar"/>
              </w:rPr>
              <w:t>30</w:t>
            </w:r>
          </w:p>
        </w:tc>
        <w:tc>
          <w:tcPr>
            <w:tcW w:w="684" w:type="pct"/>
          </w:tcPr>
          <w:p w14:paraId="352654AB" w14:textId="77777777" w:rsidR="007D1E74" w:rsidRDefault="00A95641">
            <w:pPr>
              <w:widowControl/>
              <w:jc w:val="center"/>
              <w:textAlignment w:val="center"/>
              <w:rPr>
                <w:kern w:val="0"/>
                <w:szCs w:val="21"/>
                <w:lang w:bidi="ar"/>
              </w:rPr>
            </w:pPr>
            <w:r>
              <w:t>/</w:t>
            </w:r>
          </w:p>
        </w:tc>
        <w:tc>
          <w:tcPr>
            <w:tcW w:w="1405" w:type="pct"/>
            <w:vMerge/>
            <w:vAlign w:val="center"/>
          </w:tcPr>
          <w:p w14:paraId="1A8B036F" w14:textId="77777777" w:rsidR="007D1E74" w:rsidRDefault="007D1E74">
            <w:pPr>
              <w:jc w:val="center"/>
            </w:pPr>
          </w:p>
        </w:tc>
      </w:tr>
      <w:tr w:rsidR="007D1E74" w14:paraId="6CBF9360" w14:textId="77777777">
        <w:trPr>
          <w:trHeight w:val="318"/>
          <w:jc w:val="center"/>
        </w:trPr>
        <w:tc>
          <w:tcPr>
            <w:tcW w:w="573" w:type="pct"/>
            <w:vMerge/>
            <w:vAlign w:val="center"/>
          </w:tcPr>
          <w:p w14:paraId="0512C30B" w14:textId="77777777" w:rsidR="007D1E74" w:rsidRDefault="007D1E74">
            <w:pPr>
              <w:jc w:val="center"/>
            </w:pPr>
          </w:p>
        </w:tc>
        <w:tc>
          <w:tcPr>
            <w:tcW w:w="969" w:type="pct"/>
            <w:vMerge/>
            <w:vAlign w:val="center"/>
          </w:tcPr>
          <w:p w14:paraId="3BD14035" w14:textId="77777777" w:rsidR="007D1E74" w:rsidRDefault="007D1E74">
            <w:pPr>
              <w:jc w:val="center"/>
            </w:pPr>
          </w:p>
        </w:tc>
        <w:tc>
          <w:tcPr>
            <w:tcW w:w="613" w:type="pct"/>
            <w:vAlign w:val="center"/>
          </w:tcPr>
          <w:p w14:paraId="65990878" w14:textId="77777777" w:rsidR="007D1E74" w:rsidRDefault="00A95641">
            <w:pPr>
              <w:widowControl/>
              <w:jc w:val="center"/>
              <w:textAlignment w:val="center"/>
              <w:rPr>
                <w:rStyle w:val="font01"/>
                <w:lang w:bidi="ar"/>
              </w:rPr>
            </w:pPr>
            <w:r>
              <w:rPr>
                <w:rStyle w:val="font01"/>
                <w:lang w:bidi="ar"/>
              </w:rPr>
              <w:t>夜间</w:t>
            </w:r>
          </w:p>
        </w:tc>
        <w:tc>
          <w:tcPr>
            <w:tcW w:w="756" w:type="pct"/>
            <w:vAlign w:val="center"/>
          </w:tcPr>
          <w:p w14:paraId="3AE6CDEB" w14:textId="77777777" w:rsidR="007D1E74" w:rsidRDefault="00A95641">
            <w:pPr>
              <w:widowControl/>
              <w:jc w:val="center"/>
              <w:textAlignment w:val="center"/>
              <w:rPr>
                <w:kern w:val="0"/>
                <w:szCs w:val="21"/>
                <w:lang w:bidi="ar"/>
              </w:rPr>
            </w:pPr>
            <w:r>
              <w:rPr>
                <w:kern w:val="0"/>
                <w:szCs w:val="21"/>
                <w:lang w:bidi="ar"/>
              </w:rPr>
              <w:t>30</w:t>
            </w:r>
          </w:p>
        </w:tc>
        <w:tc>
          <w:tcPr>
            <w:tcW w:w="684" w:type="pct"/>
          </w:tcPr>
          <w:p w14:paraId="4376808B" w14:textId="77777777" w:rsidR="007D1E74" w:rsidRDefault="00A95641">
            <w:pPr>
              <w:widowControl/>
              <w:jc w:val="center"/>
              <w:textAlignment w:val="center"/>
              <w:rPr>
                <w:kern w:val="0"/>
                <w:szCs w:val="21"/>
                <w:lang w:bidi="ar"/>
              </w:rPr>
            </w:pPr>
            <w:r>
              <w:t>/</w:t>
            </w:r>
          </w:p>
        </w:tc>
        <w:tc>
          <w:tcPr>
            <w:tcW w:w="1405" w:type="pct"/>
            <w:vMerge/>
            <w:vAlign w:val="center"/>
          </w:tcPr>
          <w:p w14:paraId="342E3BF9" w14:textId="77777777" w:rsidR="007D1E74" w:rsidRDefault="007D1E74">
            <w:pPr>
              <w:jc w:val="center"/>
            </w:pPr>
          </w:p>
        </w:tc>
      </w:tr>
      <w:tr w:rsidR="007D1E74" w14:paraId="75BD28E6" w14:textId="77777777">
        <w:trPr>
          <w:trHeight w:val="318"/>
          <w:jc w:val="center"/>
        </w:trPr>
        <w:tc>
          <w:tcPr>
            <w:tcW w:w="573" w:type="pct"/>
            <w:vMerge/>
            <w:vAlign w:val="center"/>
          </w:tcPr>
          <w:p w14:paraId="0C85B480" w14:textId="77777777" w:rsidR="007D1E74" w:rsidRDefault="007D1E74">
            <w:pPr>
              <w:jc w:val="center"/>
            </w:pPr>
          </w:p>
        </w:tc>
        <w:tc>
          <w:tcPr>
            <w:tcW w:w="969" w:type="pct"/>
            <w:vMerge w:val="restart"/>
            <w:vAlign w:val="center"/>
          </w:tcPr>
          <w:p w14:paraId="006A5843" w14:textId="77777777" w:rsidR="007D1E74" w:rsidRDefault="00A95641">
            <w:pPr>
              <w:jc w:val="center"/>
            </w:pPr>
            <w:r>
              <w:rPr>
                <w:kern w:val="0"/>
                <w:szCs w:val="21"/>
                <w:lang w:bidi="ar"/>
              </w:rPr>
              <w:t>厂界西侧</w:t>
            </w:r>
          </w:p>
        </w:tc>
        <w:tc>
          <w:tcPr>
            <w:tcW w:w="613" w:type="pct"/>
            <w:vAlign w:val="center"/>
          </w:tcPr>
          <w:p w14:paraId="0AC8B9F1" w14:textId="77777777" w:rsidR="007D1E74" w:rsidRDefault="00A95641">
            <w:pPr>
              <w:widowControl/>
              <w:jc w:val="center"/>
              <w:textAlignment w:val="center"/>
              <w:rPr>
                <w:rStyle w:val="font01"/>
                <w:lang w:bidi="ar"/>
              </w:rPr>
            </w:pPr>
            <w:r>
              <w:rPr>
                <w:rStyle w:val="font01"/>
                <w:lang w:bidi="ar"/>
              </w:rPr>
              <w:t>昼间</w:t>
            </w:r>
          </w:p>
        </w:tc>
        <w:tc>
          <w:tcPr>
            <w:tcW w:w="756" w:type="pct"/>
            <w:vAlign w:val="center"/>
          </w:tcPr>
          <w:p w14:paraId="5191FD7C" w14:textId="77777777" w:rsidR="007D1E74" w:rsidRDefault="00A95641">
            <w:pPr>
              <w:widowControl/>
              <w:jc w:val="center"/>
              <w:textAlignment w:val="center"/>
              <w:rPr>
                <w:kern w:val="0"/>
                <w:szCs w:val="21"/>
                <w:lang w:bidi="ar"/>
              </w:rPr>
            </w:pPr>
            <w:r>
              <w:rPr>
                <w:kern w:val="0"/>
                <w:szCs w:val="21"/>
                <w:lang w:bidi="ar"/>
              </w:rPr>
              <w:t>35</w:t>
            </w:r>
          </w:p>
        </w:tc>
        <w:tc>
          <w:tcPr>
            <w:tcW w:w="684" w:type="pct"/>
          </w:tcPr>
          <w:p w14:paraId="68B66675" w14:textId="77777777" w:rsidR="007D1E74" w:rsidRDefault="00A95641">
            <w:pPr>
              <w:widowControl/>
              <w:jc w:val="center"/>
              <w:textAlignment w:val="center"/>
              <w:rPr>
                <w:kern w:val="0"/>
                <w:szCs w:val="21"/>
                <w:lang w:bidi="ar"/>
              </w:rPr>
            </w:pPr>
            <w:r>
              <w:t>/</w:t>
            </w:r>
          </w:p>
        </w:tc>
        <w:tc>
          <w:tcPr>
            <w:tcW w:w="1405" w:type="pct"/>
            <w:vMerge/>
            <w:vAlign w:val="center"/>
          </w:tcPr>
          <w:p w14:paraId="388587F2" w14:textId="77777777" w:rsidR="007D1E74" w:rsidRDefault="007D1E74">
            <w:pPr>
              <w:jc w:val="center"/>
            </w:pPr>
          </w:p>
        </w:tc>
      </w:tr>
      <w:tr w:rsidR="007D1E74" w14:paraId="4B9A5579" w14:textId="77777777">
        <w:trPr>
          <w:trHeight w:val="318"/>
          <w:jc w:val="center"/>
        </w:trPr>
        <w:tc>
          <w:tcPr>
            <w:tcW w:w="573" w:type="pct"/>
            <w:vMerge/>
            <w:vAlign w:val="center"/>
          </w:tcPr>
          <w:p w14:paraId="74D70586" w14:textId="77777777" w:rsidR="007D1E74" w:rsidRDefault="007D1E74">
            <w:pPr>
              <w:jc w:val="center"/>
            </w:pPr>
          </w:p>
        </w:tc>
        <w:tc>
          <w:tcPr>
            <w:tcW w:w="969" w:type="pct"/>
            <w:vMerge/>
            <w:vAlign w:val="center"/>
          </w:tcPr>
          <w:p w14:paraId="77FBDD30" w14:textId="77777777" w:rsidR="007D1E74" w:rsidRDefault="007D1E74">
            <w:pPr>
              <w:jc w:val="center"/>
            </w:pPr>
          </w:p>
        </w:tc>
        <w:tc>
          <w:tcPr>
            <w:tcW w:w="613" w:type="pct"/>
            <w:vAlign w:val="center"/>
          </w:tcPr>
          <w:p w14:paraId="14616FDA" w14:textId="77777777" w:rsidR="007D1E74" w:rsidRDefault="00A95641">
            <w:pPr>
              <w:widowControl/>
              <w:jc w:val="center"/>
              <w:textAlignment w:val="center"/>
              <w:rPr>
                <w:rStyle w:val="font01"/>
                <w:lang w:bidi="ar"/>
              </w:rPr>
            </w:pPr>
            <w:r>
              <w:rPr>
                <w:rStyle w:val="font01"/>
                <w:lang w:bidi="ar"/>
              </w:rPr>
              <w:t>夜间</w:t>
            </w:r>
          </w:p>
        </w:tc>
        <w:tc>
          <w:tcPr>
            <w:tcW w:w="756" w:type="pct"/>
            <w:vAlign w:val="center"/>
          </w:tcPr>
          <w:p w14:paraId="790CC9F2" w14:textId="77777777" w:rsidR="007D1E74" w:rsidRDefault="00A95641">
            <w:pPr>
              <w:widowControl/>
              <w:jc w:val="center"/>
              <w:textAlignment w:val="center"/>
              <w:rPr>
                <w:kern w:val="0"/>
                <w:szCs w:val="21"/>
                <w:lang w:bidi="ar"/>
              </w:rPr>
            </w:pPr>
            <w:r>
              <w:rPr>
                <w:kern w:val="0"/>
                <w:szCs w:val="21"/>
                <w:lang w:bidi="ar"/>
              </w:rPr>
              <w:t>35</w:t>
            </w:r>
          </w:p>
        </w:tc>
        <w:tc>
          <w:tcPr>
            <w:tcW w:w="684" w:type="pct"/>
          </w:tcPr>
          <w:p w14:paraId="7AAC3B40" w14:textId="77777777" w:rsidR="007D1E74" w:rsidRDefault="00A95641">
            <w:pPr>
              <w:widowControl/>
              <w:jc w:val="center"/>
              <w:textAlignment w:val="center"/>
              <w:rPr>
                <w:kern w:val="0"/>
                <w:szCs w:val="21"/>
                <w:lang w:bidi="ar"/>
              </w:rPr>
            </w:pPr>
            <w:r>
              <w:t>/</w:t>
            </w:r>
          </w:p>
        </w:tc>
        <w:tc>
          <w:tcPr>
            <w:tcW w:w="1405" w:type="pct"/>
            <w:vMerge/>
            <w:vAlign w:val="center"/>
          </w:tcPr>
          <w:p w14:paraId="3C6A0DA5" w14:textId="77777777" w:rsidR="007D1E74" w:rsidRDefault="007D1E74">
            <w:pPr>
              <w:jc w:val="center"/>
            </w:pPr>
          </w:p>
        </w:tc>
      </w:tr>
      <w:tr w:rsidR="007D1E74" w14:paraId="21056443" w14:textId="77777777">
        <w:trPr>
          <w:trHeight w:val="318"/>
          <w:jc w:val="center"/>
        </w:trPr>
        <w:tc>
          <w:tcPr>
            <w:tcW w:w="573" w:type="pct"/>
            <w:vMerge/>
            <w:vAlign w:val="center"/>
          </w:tcPr>
          <w:p w14:paraId="7ACDD753" w14:textId="77777777" w:rsidR="007D1E74" w:rsidRDefault="007D1E74">
            <w:pPr>
              <w:jc w:val="center"/>
            </w:pPr>
          </w:p>
        </w:tc>
        <w:tc>
          <w:tcPr>
            <w:tcW w:w="969" w:type="pct"/>
            <w:vMerge w:val="restart"/>
            <w:vAlign w:val="center"/>
          </w:tcPr>
          <w:p w14:paraId="45CA7939" w14:textId="77777777" w:rsidR="007D1E74" w:rsidRDefault="00A95641">
            <w:pPr>
              <w:jc w:val="center"/>
            </w:pPr>
            <w:r>
              <w:rPr>
                <w:kern w:val="0"/>
                <w:szCs w:val="21"/>
                <w:lang w:bidi="ar"/>
              </w:rPr>
              <w:t>厂界北侧</w:t>
            </w:r>
          </w:p>
        </w:tc>
        <w:tc>
          <w:tcPr>
            <w:tcW w:w="613" w:type="pct"/>
            <w:vAlign w:val="center"/>
          </w:tcPr>
          <w:p w14:paraId="0399531B" w14:textId="77777777" w:rsidR="007D1E74" w:rsidRDefault="00A95641">
            <w:pPr>
              <w:widowControl/>
              <w:jc w:val="center"/>
              <w:textAlignment w:val="center"/>
              <w:rPr>
                <w:rStyle w:val="font01"/>
                <w:lang w:bidi="ar"/>
              </w:rPr>
            </w:pPr>
            <w:r>
              <w:rPr>
                <w:rStyle w:val="font01"/>
                <w:lang w:bidi="ar"/>
              </w:rPr>
              <w:t>昼间</w:t>
            </w:r>
          </w:p>
        </w:tc>
        <w:tc>
          <w:tcPr>
            <w:tcW w:w="756" w:type="pct"/>
            <w:vAlign w:val="center"/>
          </w:tcPr>
          <w:p w14:paraId="2C15ECA8" w14:textId="77777777" w:rsidR="007D1E74" w:rsidRDefault="00A95641">
            <w:pPr>
              <w:widowControl/>
              <w:jc w:val="center"/>
              <w:textAlignment w:val="center"/>
              <w:rPr>
                <w:kern w:val="0"/>
                <w:szCs w:val="21"/>
                <w:lang w:bidi="ar"/>
              </w:rPr>
            </w:pPr>
            <w:r>
              <w:rPr>
                <w:kern w:val="0"/>
                <w:szCs w:val="21"/>
                <w:lang w:bidi="ar"/>
              </w:rPr>
              <w:t>30</w:t>
            </w:r>
          </w:p>
        </w:tc>
        <w:tc>
          <w:tcPr>
            <w:tcW w:w="684" w:type="pct"/>
          </w:tcPr>
          <w:p w14:paraId="6024A532" w14:textId="77777777" w:rsidR="007D1E74" w:rsidRDefault="00A95641">
            <w:pPr>
              <w:widowControl/>
              <w:jc w:val="center"/>
              <w:textAlignment w:val="center"/>
              <w:rPr>
                <w:kern w:val="0"/>
                <w:szCs w:val="21"/>
                <w:lang w:bidi="ar"/>
              </w:rPr>
            </w:pPr>
            <w:r>
              <w:t>/</w:t>
            </w:r>
          </w:p>
        </w:tc>
        <w:tc>
          <w:tcPr>
            <w:tcW w:w="1405" w:type="pct"/>
            <w:vMerge/>
            <w:vAlign w:val="center"/>
          </w:tcPr>
          <w:p w14:paraId="78E269E5" w14:textId="77777777" w:rsidR="007D1E74" w:rsidRDefault="007D1E74">
            <w:pPr>
              <w:jc w:val="center"/>
            </w:pPr>
          </w:p>
        </w:tc>
      </w:tr>
      <w:tr w:rsidR="007D1E74" w14:paraId="24B23754" w14:textId="77777777">
        <w:trPr>
          <w:trHeight w:val="318"/>
          <w:jc w:val="center"/>
        </w:trPr>
        <w:tc>
          <w:tcPr>
            <w:tcW w:w="573" w:type="pct"/>
            <w:vMerge/>
            <w:vAlign w:val="center"/>
          </w:tcPr>
          <w:p w14:paraId="66E431BC" w14:textId="77777777" w:rsidR="007D1E74" w:rsidRDefault="007D1E74">
            <w:pPr>
              <w:jc w:val="center"/>
            </w:pPr>
          </w:p>
        </w:tc>
        <w:tc>
          <w:tcPr>
            <w:tcW w:w="969" w:type="pct"/>
            <w:vMerge/>
            <w:vAlign w:val="center"/>
          </w:tcPr>
          <w:p w14:paraId="5B54D981" w14:textId="77777777" w:rsidR="007D1E74" w:rsidRDefault="007D1E74">
            <w:pPr>
              <w:jc w:val="center"/>
            </w:pPr>
          </w:p>
        </w:tc>
        <w:tc>
          <w:tcPr>
            <w:tcW w:w="613" w:type="pct"/>
            <w:vAlign w:val="center"/>
          </w:tcPr>
          <w:p w14:paraId="61290C64" w14:textId="77777777" w:rsidR="007D1E74" w:rsidRDefault="00A95641">
            <w:pPr>
              <w:widowControl/>
              <w:jc w:val="center"/>
              <w:textAlignment w:val="center"/>
              <w:rPr>
                <w:rStyle w:val="font01"/>
                <w:lang w:bidi="ar"/>
              </w:rPr>
            </w:pPr>
            <w:r>
              <w:rPr>
                <w:rStyle w:val="font01"/>
                <w:lang w:bidi="ar"/>
              </w:rPr>
              <w:t>夜间</w:t>
            </w:r>
          </w:p>
        </w:tc>
        <w:tc>
          <w:tcPr>
            <w:tcW w:w="756" w:type="pct"/>
            <w:vAlign w:val="center"/>
          </w:tcPr>
          <w:p w14:paraId="7ECD530F" w14:textId="77777777" w:rsidR="007D1E74" w:rsidRDefault="00A95641">
            <w:pPr>
              <w:widowControl/>
              <w:jc w:val="center"/>
              <w:textAlignment w:val="center"/>
              <w:rPr>
                <w:kern w:val="0"/>
                <w:szCs w:val="21"/>
                <w:lang w:bidi="ar"/>
              </w:rPr>
            </w:pPr>
            <w:r>
              <w:rPr>
                <w:kern w:val="0"/>
                <w:szCs w:val="21"/>
                <w:lang w:bidi="ar"/>
              </w:rPr>
              <w:t>30</w:t>
            </w:r>
          </w:p>
        </w:tc>
        <w:tc>
          <w:tcPr>
            <w:tcW w:w="684" w:type="pct"/>
          </w:tcPr>
          <w:p w14:paraId="25F85485" w14:textId="77777777" w:rsidR="007D1E74" w:rsidRDefault="00A95641">
            <w:pPr>
              <w:widowControl/>
              <w:jc w:val="center"/>
              <w:textAlignment w:val="center"/>
              <w:rPr>
                <w:kern w:val="0"/>
                <w:szCs w:val="21"/>
                <w:lang w:bidi="ar"/>
              </w:rPr>
            </w:pPr>
            <w:r>
              <w:t>/</w:t>
            </w:r>
          </w:p>
        </w:tc>
        <w:tc>
          <w:tcPr>
            <w:tcW w:w="1405" w:type="pct"/>
            <w:vMerge/>
            <w:vAlign w:val="center"/>
          </w:tcPr>
          <w:p w14:paraId="42CF45B6" w14:textId="77777777" w:rsidR="007D1E74" w:rsidRDefault="007D1E74">
            <w:pPr>
              <w:jc w:val="center"/>
            </w:pPr>
          </w:p>
        </w:tc>
      </w:tr>
    </w:tbl>
    <w:tbl>
      <w:tblPr>
        <w:tblStyle w:val="affffc"/>
        <w:tblW w:w="5000" w:type="pct"/>
        <w:tblLook w:val="04A0" w:firstRow="1" w:lastRow="0" w:firstColumn="1" w:lastColumn="0" w:noHBand="0" w:noVBand="1"/>
      </w:tblPr>
      <w:tblGrid>
        <w:gridCol w:w="9016"/>
      </w:tblGrid>
      <w:tr w:rsidR="007D1E74" w14:paraId="210E06F2" w14:textId="77777777">
        <w:trPr>
          <w:trHeight w:val="4379"/>
        </w:trPr>
        <w:tc>
          <w:tcPr>
            <w:tcW w:w="5000" w:type="pct"/>
            <w:vAlign w:val="center"/>
          </w:tcPr>
          <w:p w14:paraId="64014DAE" w14:textId="77777777" w:rsidR="007D1E74" w:rsidRDefault="00A95641">
            <w:pPr>
              <w:pStyle w:val="21"/>
              <w:adjustRightInd w:val="0"/>
              <w:snapToGrid w:val="0"/>
              <w:spacing w:after="0"/>
              <w:ind w:leftChars="0" w:left="0" w:firstLineChars="0" w:firstLine="0"/>
              <w:rPr>
                <w:rFonts w:ascii="Times New Roman" w:hAnsi="Times New Roman" w:cs="Times New Roman"/>
                <w:sz w:val="24"/>
              </w:rPr>
            </w:pPr>
            <w:r>
              <w:rPr>
                <w:rFonts w:ascii="Times New Roman" w:hAnsi="Times New Roman" w:cs="Times New Roman"/>
                <w:noProof/>
              </w:rPr>
              <w:lastRenderedPageBreak/>
              <w:drawing>
                <wp:inline distT="0" distB="0" distL="0" distR="0" wp14:anchorId="205FEFDF" wp14:editId="1B820C04">
                  <wp:extent cx="5321300" cy="2809240"/>
                  <wp:effectExtent l="0" t="0" r="12700" b="1016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a:xfrm>
                            <a:off x="0" y="0"/>
                            <a:ext cx="5344601" cy="2821972"/>
                          </a:xfrm>
                          <a:prstGeom prst="rect">
                            <a:avLst/>
                          </a:prstGeom>
                          <a:noFill/>
                          <a:ln>
                            <a:noFill/>
                          </a:ln>
                        </pic:spPr>
                      </pic:pic>
                    </a:graphicData>
                  </a:graphic>
                </wp:inline>
              </w:drawing>
            </w:r>
          </w:p>
        </w:tc>
      </w:tr>
      <w:tr w:rsidR="007D1E74" w14:paraId="0C085C16" w14:textId="77777777">
        <w:tc>
          <w:tcPr>
            <w:tcW w:w="5000" w:type="pct"/>
            <w:vAlign w:val="center"/>
          </w:tcPr>
          <w:p w14:paraId="322D399F" w14:textId="77777777" w:rsidR="007D1E74" w:rsidRDefault="00A95641">
            <w:pPr>
              <w:pStyle w:val="21"/>
              <w:adjustRightInd w:val="0"/>
              <w:snapToGrid w:val="0"/>
              <w:spacing w:after="0"/>
              <w:ind w:firstLine="422"/>
              <w:jc w:val="center"/>
              <w:rPr>
                <w:rFonts w:ascii="Times New Roman" w:hAnsi="Times New Roman" w:cs="Times New Roman"/>
                <w:sz w:val="24"/>
              </w:rPr>
            </w:pPr>
            <w:r>
              <w:rPr>
                <w:rFonts w:ascii="Times New Roman" w:hAnsi="Times New Roman" w:cs="Times New Roman"/>
                <w:b/>
                <w:bCs/>
                <w:szCs w:val="21"/>
              </w:rPr>
              <w:t>附图</w:t>
            </w:r>
            <w:r>
              <w:rPr>
                <w:rFonts w:ascii="Times New Roman" w:hAnsi="Times New Roman" w:cs="Times New Roman"/>
                <w:b/>
                <w:bCs/>
                <w:szCs w:val="21"/>
              </w:rPr>
              <w:t>6.2-5  1#</w:t>
            </w:r>
            <w:r>
              <w:rPr>
                <w:rFonts w:ascii="Times New Roman" w:hAnsi="Times New Roman" w:cs="Times New Roman"/>
                <w:b/>
                <w:bCs/>
                <w:szCs w:val="21"/>
              </w:rPr>
              <w:t>阀室</w:t>
            </w:r>
            <w:r>
              <w:rPr>
                <w:rFonts w:ascii="Times New Roman" w:hAnsi="Times New Roman" w:cs="Times New Roman"/>
                <w:b/>
                <w:bCs/>
                <w:szCs w:val="21"/>
              </w:rPr>
              <w:t xml:space="preserve"> </w:t>
            </w:r>
            <w:r>
              <w:rPr>
                <w:rFonts w:ascii="Times New Roman" w:hAnsi="Times New Roman" w:cs="Times New Roman"/>
                <w:b/>
                <w:bCs/>
                <w:szCs w:val="21"/>
              </w:rPr>
              <w:t>噪声预测等声值线图（昼夜间）</w:t>
            </w:r>
          </w:p>
        </w:tc>
      </w:tr>
      <w:tr w:rsidR="007D1E74" w14:paraId="122DAD4E" w14:textId="77777777">
        <w:tc>
          <w:tcPr>
            <w:tcW w:w="5000" w:type="pct"/>
            <w:vAlign w:val="center"/>
          </w:tcPr>
          <w:p w14:paraId="37C16ADF" w14:textId="77777777" w:rsidR="007D1E74" w:rsidRDefault="00A95641">
            <w:pPr>
              <w:pStyle w:val="21"/>
              <w:adjustRightInd w:val="0"/>
              <w:snapToGrid w:val="0"/>
              <w:spacing w:after="0"/>
              <w:ind w:leftChars="0" w:left="0" w:firstLineChars="0" w:firstLine="0"/>
              <w:jc w:val="left"/>
              <w:rPr>
                <w:rFonts w:ascii="Times New Roman" w:hAnsi="Times New Roman" w:cs="Times New Roman"/>
              </w:rPr>
            </w:pPr>
            <w:r>
              <w:rPr>
                <w:rFonts w:ascii="Times New Roman" w:hAnsi="Times New Roman" w:cs="Times New Roman"/>
                <w:noProof/>
              </w:rPr>
              <w:drawing>
                <wp:inline distT="0" distB="0" distL="0" distR="0" wp14:anchorId="6713AC4C" wp14:editId="78C5DE4F">
                  <wp:extent cx="5123180" cy="2705100"/>
                  <wp:effectExtent l="0" t="0" r="12700" b="762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a:xfrm>
                            <a:off x="0" y="0"/>
                            <a:ext cx="5131057" cy="2709221"/>
                          </a:xfrm>
                          <a:prstGeom prst="rect">
                            <a:avLst/>
                          </a:prstGeom>
                          <a:noFill/>
                          <a:ln>
                            <a:noFill/>
                          </a:ln>
                        </pic:spPr>
                      </pic:pic>
                    </a:graphicData>
                  </a:graphic>
                </wp:inline>
              </w:drawing>
            </w:r>
          </w:p>
        </w:tc>
      </w:tr>
      <w:tr w:rsidR="007D1E74" w14:paraId="226F9353" w14:textId="77777777">
        <w:tc>
          <w:tcPr>
            <w:tcW w:w="5000" w:type="pct"/>
            <w:vAlign w:val="center"/>
          </w:tcPr>
          <w:p w14:paraId="7D5E36F7" w14:textId="77777777" w:rsidR="007D1E74" w:rsidRDefault="00A95641">
            <w:pPr>
              <w:pStyle w:val="21"/>
              <w:adjustRightInd w:val="0"/>
              <w:snapToGrid w:val="0"/>
              <w:spacing w:after="0"/>
              <w:ind w:leftChars="0" w:left="0" w:firstLineChars="0" w:firstLine="0"/>
              <w:jc w:val="center"/>
              <w:rPr>
                <w:rFonts w:ascii="Times New Roman" w:hAnsi="Times New Roman" w:cs="Times New Roman"/>
              </w:rPr>
            </w:pPr>
            <w:r>
              <w:rPr>
                <w:rFonts w:ascii="Times New Roman" w:hAnsi="Times New Roman" w:cs="Times New Roman"/>
                <w:b/>
                <w:bCs/>
                <w:szCs w:val="21"/>
              </w:rPr>
              <w:t>附图</w:t>
            </w:r>
            <w:r>
              <w:rPr>
                <w:rFonts w:ascii="Times New Roman" w:hAnsi="Times New Roman" w:cs="Times New Roman"/>
                <w:b/>
                <w:bCs/>
                <w:szCs w:val="21"/>
              </w:rPr>
              <w:t>6.2-6  2#</w:t>
            </w:r>
            <w:r>
              <w:rPr>
                <w:rFonts w:ascii="Times New Roman" w:hAnsi="Times New Roman" w:cs="Times New Roman"/>
                <w:b/>
                <w:bCs/>
                <w:szCs w:val="21"/>
              </w:rPr>
              <w:t>阀组</w:t>
            </w:r>
            <w:r>
              <w:rPr>
                <w:rFonts w:ascii="Times New Roman" w:hAnsi="Times New Roman" w:cs="Times New Roman"/>
                <w:b/>
                <w:bCs/>
                <w:szCs w:val="21"/>
              </w:rPr>
              <w:t xml:space="preserve"> </w:t>
            </w:r>
            <w:r>
              <w:rPr>
                <w:rFonts w:ascii="Times New Roman" w:hAnsi="Times New Roman" w:cs="Times New Roman"/>
                <w:b/>
                <w:bCs/>
                <w:szCs w:val="21"/>
              </w:rPr>
              <w:t>噪声预测等声值线图（昼夜间）</w:t>
            </w:r>
          </w:p>
        </w:tc>
      </w:tr>
      <w:tr w:rsidR="007D1E74" w14:paraId="46B67BD9" w14:textId="77777777">
        <w:tc>
          <w:tcPr>
            <w:tcW w:w="5000" w:type="pct"/>
            <w:vAlign w:val="center"/>
          </w:tcPr>
          <w:p w14:paraId="2D7398B7" w14:textId="77777777" w:rsidR="007D1E74" w:rsidRDefault="00A95641">
            <w:pPr>
              <w:pStyle w:val="21"/>
              <w:adjustRightInd w:val="0"/>
              <w:snapToGrid w:val="0"/>
              <w:spacing w:after="0"/>
              <w:ind w:leftChars="0" w:left="0" w:firstLineChars="0" w:firstLine="0"/>
              <w:rPr>
                <w:rFonts w:ascii="Times New Roman" w:hAnsi="Times New Roman" w:cs="Times New Roman"/>
                <w:b/>
                <w:bCs/>
                <w:szCs w:val="21"/>
              </w:rPr>
            </w:pPr>
            <w:r>
              <w:rPr>
                <w:rFonts w:ascii="Times New Roman" w:hAnsi="Times New Roman" w:cs="Times New Roman"/>
                <w:noProof/>
              </w:rPr>
              <w:drawing>
                <wp:inline distT="0" distB="0" distL="0" distR="0" wp14:anchorId="59EE82D2" wp14:editId="2E1D9186">
                  <wp:extent cx="5210175" cy="2620010"/>
                  <wp:effectExtent l="0" t="0" r="1905" b="127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a:xfrm>
                            <a:off x="0" y="0"/>
                            <a:ext cx="5231042" cy="2630503"/>
                          </a:xfrm>
                          <a:prstGeom prst="rect">
                            <a:avLst/>
                          </a:prstGeom>
                          <a:noFill/>
                          <a:ln>
                            <a:noFill/>
                          </a:ln>
                        </pic:spPr>
                      </pic:pic>
                    </a:graphicData>
                  </a:graphic>
                </wp:inline>
              </w:drawing>
            </w:r>
          </w:p>
        </w:tc>
      </w:tr>
      <w:tr w:rsidR="007D1E74" w14:paraId="387A9EDE" w14:textId="77777777">
        <w:tc>
          <w:tcPr>
            <w:tcW w:w="5000" w:type="pct"/>
            <w:vAlign w:val="center"/>
          </w:tcPr>
          <w:p w14:paraId="61BA05BA" w14:textId="77777777" w:rsidR="007D1E74" w:rsidRDefault="00A95641">
            <w:pPr>
              <w:pStyle w:val="21"/>
              <w:adjustRightInd w:val="0"/>
              <w:snapToGrid w:val="0"/>
              <w:spacing w:after="0"/>
              <w:ind w:firstLine="422"/>
              <w:jc w:val="center"/>
              <w:rPr>
                <w:rFonts w:ascii="Times New Roman" w:hAnsi="Times New Roman" w:cs="Times New Roman"/>
                <w:b/>
                <w:bCs/>
                <w:szCs w:val="21"/>
              </w:rPr>
            </w:pPr>
            <w:r>
              <w:rPr>
                <w:rFonts w:ascii="Times New Roman" w:hAnsi="Times New Roman" w:cs="Times New Roman"/>
                <w:b/>
                <w:bCs/>
                <w:szCs w:val="21"/>
              </w:rPr>
              <w:t>附图</w:t>
            </w:r>
            <w:r>
              <w:rPr>
                <w:rFonts w:ascii="Times New Roman" w:hAnsi="Times New Roman" w:cs="Times New Roman"/>
                <w:b/>
                <w:bCs/>
                <w:szCs w:val="21"/>
              </w:rPr>
              <w:t>6.2-7  3#</w:t>
            </w:r>
            <w:r>
              <w:rPr>
                <w:rFonts w:ascii="Times New Roman" w:hAnsi="Times New Roman" w:cs="Times New Roman"/>
                <w:b/>
                <w:bCs/>
                <w:szCs w:val="21"/>
              </w:rPr>
              <w:t>阀组</w:t>
            </w:r>
            <w:r>
              <w:rPr>
                <w:rFonts w:ascii="Times New Roman" w:hAnsi="Times New Roman" w:cs="Times New Roman"/>
                <w:b/>
                <w:bCs/>
                <w:szCs w:val="21"/>
              </w:rPr>
              <w:t xml:space="preserve"> </w:t>
            </w:r>
            <w:r>
              <w:rPr>
                <w:rFonts w:ascii="Times New Roman" w:hAnsi="Times New Roman" w:cs="Times New Roman"/>
                <w:b/>
                <w:bCs/>
                <w:szCs w:val="21"/>
              </w:rPr>
              <w:t>噪声预测等声值线图（昼夜间）</w:t>
            </w:r>
          </w:p>
        </w:tc>
      </w:tr>
      <w:tr w:rsidR="007D1E74" w14:paraId="10A8AA78" w14:textId="77777777">
        <w:tc>
          <w:tcPr>
            <w:tcW w:w="5000" w:type="pct"/>
            <w:vAlign w:val="center"/>
          </w:tcPr>
          <w:p w14:paraId="532D6C82" w14:textId="77777777" w:rsidR="007D1E74" w:rsidRDefault="00A95641">
            <w:pPr>
              <w:pStyle w:val="21"/>
              <w:adjustRightInd w:val="0"/>
              <w:snapToGrid w:val="0"/>
              <w:spacing w:after="0"/>
              <w:ind w:leftChars="0" w:left="0" w:firstLineChars="0" w:firstLine="0"/>
              <w:rPr>
                <w:rFonts w:ascii="Times New Roman" w:hAnsi="Times New Roman" w:cs="Times New Roman"/>
                <w:b/>
                <w:bCs/>
                <w:szCs w:val="21"/>
              </w:rPr>
            </w:pPr>
            <w:r>
              <w:rPr>
                <w:rFonts w:ascii="Times New Roman" w:hAnsi="Times New Roman" w:cs="Times New Roman"/>
                <w:noProof/>
              </w:rPr>
              <w:lastRenderedPageBreak/>
              <w:drawing>
                <wp:inline distT="0" distB="0" distL="0" distR="0" wp14:anchorId="3F649659" wp14:editId="10E8B7EA">
                  <wp:extent cx="5314315" cy="2565400"/>
                  <wp:effectExtent l="0" t="0" r="4445" b="1016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a:xfrm>
                            <a:off x="0" y="0"/>
                            <a:ext cx="5339839" cy="2577583"/>
                          </a:xfrm>
                          <a:prstGeom prst="rect">
                            <a:avLst/>
                          </a:prstGeom>
                          <a:noFill/>
                          <a:ln>
                            <a:noFill/>
                          </a:ln>
                        </pic:spPr>
                      </pic:pic>
                    </a:graphicData>
                  </a:graphic>
                </wp:inline>
              </w:drawing>
            </w:r>
          </w:p>
        </w:tc>
      </w:tr>
      <w:tr w:rsidR="007D1E74" w14:paraId="75353927" w14:textId="77777777">
        <w:tc>
          <w:tcPr>
            <w:tcW w:w="5000" w:type="pct"/>
            <w:vAlign w:val="center"/>
          </w:tcPr>
          <w:p w14:paraId="31A07F02" w14:textId="77777777" w:rsidR="007D1E74" w:rsidRDefault="00A95641">
            <w:pPr>
              <w:pStyle w:val="21"/>
              <w:adjustRightInd w:val="0"/>
              <w:snapToGrid w:val="0"/>
              <w:spacing w:after="0"/>
              <w:ind w:firstLine="422"/>
              <w:jc w:val="center"/>
              <w:rPr>
                <w:rFonts w:ascii="Times New Roman" w:hAnsi="Times New Roman" w:cs="Times New Roman"/>
                <w:b/>
                <w:bCs/>
                <w:szCs w:val="21"/>
              </w:rPr>
            </w:pPr>
            <w:r>
              <w:rPr>
                <w:rFonts w:ascii="Times New Roman" w:hAnsi="Times New Roman" w:cs="Times New Roman"/>
                <w:b/>
                <w:bCs/>
                <w:szCs w:val="21"/>
              </w:rPr>
              <w:t>附图</w:t>
            </w:r>
            <w:r>
              <w:rPr>
                <w:rFonts w:ascii="Times New Roman" w:hAnsi="Times New Roman" w:cs="Times New Roman"/>
                <w:b/>
                <w:bCs/>
                <w:szCs w:val="21"/>
              </w:rPr>
              <w:t>6.2-8  4#</w:t>
            </w:r>
            <w:r>
              <w:rPr>
                <w:rFonts w:ascii="Times New Roman" w:hAnsi="Times New Roman" w:cs="Times New Roman"/>
                <w:b/>
                <w:bCs/>
                <w:szCs w:val="21"/>
              </w:rPr>
              <w:t>阀组</w:t>
            </w:r>
            <w:r>
              <w:rPr>
                <w:rFonts w:ascii="Times New Roman" w:hAnsi="Times New Roman" w:cs="Times New Roman"/>
                <w:b/>
                <w:bCs/>
                <w:szCs w:val="21"/>
              </w:rPr>
              <w:t xml:space="preserve"> </w:t>
            </w:r>
            <w:r>
              <w:rPr>
                <w:rFonts w:ascii="Times New Roman" w:hAnsi="Times New Roman" w:cs="Times New Roman"/>
                <w:b/>
                <w:bCs/>
                <w:szCs w:val="21"/>
              </w:rPr>
              <w:t>噪声预测等声值线图（昼夜间）</w:t>
            </w:r>
          </w:p>
        </w:tc>
      </w:tr>
    </w:tbl>
    <w:p w14:paraId="15DE8DAC" w14:textId="77777777" w:rsidR="007D1E74" w:rsidRDefault="00A95641">
      <w:pPr>
        <w:pStyle w:val="21"/>
        <w:spacing w:after="0" w:line="360" w:lineRule="auto"/>
        <w:ind w:leftChars="0" w:left="0" w:firstLine="480"/>
        <w:rPr>
          <w:rStyle w:val="CharCharChara"/>
          <w:rFonts w:cs="Times New Roman"/>
        </w:rPr>
      </w:pPr>
      <w:r>
        <w:rPr>
          <w:rStyle w:val="CharCharChara"/>
          <w:rFonts w:cs="Times New Roman"/>
        </w:rPr>
        <w:t>预测结果表明，项目运营期通过选用低噪声设备、基础减震、厂界隔声、合理布置等措施，项目阀室厂界噪声满足《工业企业厂界环境噪声排放标准》（</w:t>
      </w:r>
      <w:r>
        <w:rPr>
          <w:rStyle w:val="CharCharChara"/>
          <w:rFonts w:cs="Times New Roman"/>
        </w:rPr>
        <w:t>GB12348-2008</w:t>
      </w:r>
      <w:r>
        <w:rPr>
          <w:rStyle w:val="CharCharChara"/>
          <w:rFonts w:cs="Times New Roman"/>
        </w:rPr>
        <w:t>）</w:t>
      </w:r>
      <w:r>
        <w:rPr>
          <w:rStyle w:val="CharCharChara"/>
          <w:rFonts w:cs="Times New Roman"/>
        </w:rPr>
        <w:t>2</w:t>
      </w:r>
      <w:r>
        <w:rPr>
          <w:rStyle w:val="CharCharChara"/>
          <w:rFonts w:cs="Times New Roman"/>
        </w:rPr>
        <w:t>类标准限值的要求，同时对周边住户敏感点影响较小。</w:t>
      </w:r>
    </w:p>
    <w:p w14:paraId="15EDC6BE" w14:textId="77777777" w:rsidR="007D1E74" w:rsidRDefault="00A95641">
      <w:pPr>
        <w:spacing w:line="360" w:lineRule="auto"/>
        <w:ind w:firstLineChars="200" w:firstLine="480"/>
        <w:rPr>
          <w:sz w:val="24"/>
        </w:rPr>
      </w:pPr>
      <w:r>
        <w:rPr>
          <w:sz w:val="24"/>
        </w:rPr>
        <w:t>管线噪声控制措施：为有效控制噪声，首先在管道选线时尽量顺直，减少弯道控制气流速度，减少管道的弯头、三通等管建，降低噪声。根据类比调查，噪声级一般在</w:t>
      </w:r>
      <w:r>
        <w:rPr>
          <w:sz w:val="24"/>
        </w:rPr>
        <w:t>60</w:t>
      </w:r>
      <w:r>
        <w:rPr>
          <w:sz w:val="24"/>
        </w:rPr>
        <w:t>～</w:t>
      </w:r>
      <w:r>
        <w:rPr>
          <w:sz w:val="24"/>
        </w:rPr>
        <w:t>65dB</w:t>
      </w:r>
      <w:r>
        <w:rPr>
          <w:sz w:val="24"/>
        </w:rPr>
        <w:t>（</w:t>
      </w:r>
      <w:r>
        <w:rPr>
          <w:sz w:val="24"/>
        </w:rPr>
        <w:t>A</w:t>
      </w:r>
      <w:r>
        <w:rPr>
          <w:sz w:val="24"/>
        </w:rPr>
        <w:t>）。</w:t>
      </w:r>
    </w:p>
    <w:p w14:paraId="5DEE36E5" w14:textId="77777777" w:rsidR="007D1E74" w:rsidRDefault="00A95641">
      <w:pPr>
        <w:spacing w:line="360" w:lineRule="auto"/>
        <w:ind w:firstLineChars="200" w:firstLine="480"/>
        <w:rPr>
          <w:sz w:val="24"/>
        </w:rPr>
      </w:pPr>
      <w:r>
        <w:rPr>
          <w:sz w:val="24"/>
        </w:rPr>
        <w:t>噪声控制措施：为有效控制噪声，首先在管道选线时尽量顺直，减少弯道控制气流速度，减少管道的弯头、三通等管建，降低噪声。通过采取这些噪声控制措施后，噪声源声级值能降至</w:t>
      </w:r>
      <w:r>
        <w:rPr>
          <w:sz w:val="24"/>
        </w:rPr>
        <w:t>60dB</w:t>
      </w:r>
      <w:r>
        <w:rPr>
          <w:sz w:val="24"/>
        </w:rPr>
        <w:t>（</w:t>
      </w:r>
      <w:r>
        <w:rPr>
          <w:sz w:val="24"/>
        </w:rPr>
        <w:t>A</w:t>
      </w:r>
      <w:r>
        <w:rPr>
          <w:sz w:val="24"/>
        </w:rPr>
        <w:t>）以下。同时</w:t>
      </w:r>
    </w:p>
    <w:p w14:paraId="16BCE129" w14:textId="77777777" w:rsidR="007D1E74" w:rsidRDefault="00A95641">
      <w:pPr>
        <w:spacing w:line="360" w:lineRule="auto"/>
        <w:outlineLvl w:val="2"/>
        <w:rPr>
          <w:b/>
          <w:sz w:val="24"/>
        </w:rPr>
      </w:pPr>
      <w:r>
        <w:rPr>
          <w:b/>
          <w:sz w:val="24"/>
        </w:rPr>
        <w:t>6.2.4.6</w:t>
      </w:r>
      <w:r>
        <w:rPr>
          <w:b/>
          <w:sz w:val="24"/>
        </w:rPr>
        <w:t>小结</w:t>
      </w:r>
    </w:p>
    <w:p w14:paraId="67169FEF" w14:textId="77777777" w:rsidR="007D1E74" w:rsidRDefault="00A95641">
      <w:pPr>
        <w:spacing w:line="360" w:lineRule="auto"/>
        <w:ind w:firstLineChars="200" w:firstLine="480"/>
        <w:rPr>
          <w:sz w:val="24"/>
        </w:rPr>
      </w:pPr>
      <w:r>
        <w:rPr>
          <w:sz w:val="24"/>
        </w:rPr>
        <w:t>本工程集输管线为埋地敷设，正常运营过程中噪声影响小；阀室产生气流摩擦噪声，通过优化线路等措施后，能达标，对声环境影响较小。</w:t>
      </w:r>
    </w:p>
    <w:p w14:paraId="6A027CF2" w14:textId="77777777" w:rsidR="007D1E74" w:rsidRDefault="00A95641">
      <w:pPr>
        <w:spacing w:line="360" w:lineRule="auto"/>
        <w:outlineLvl w:val="1"/>
        <w:rPr>
          <w:b/>
          <w:sz w:val="28"/>
          <w:szCs w:val="28"/>
        </w:rPr>
      </w:pPr>
      <w:r>
        <w:rPr>
          <w:b/>
          <w:sz w:val="28"/>
          <w:szCs w:val="28"/>
        </w:rPr>
        <w:t>6.2.5</w:t>
      </w:r>
      <w:r>
        <w:rPr>
          <w:b/>
          <w:sz w:val="28"/>
          <w:szCs w:val="28"/>
        </w:rPr>
        <w:t>固体废物处置</w:t>
      </w:r>
      <w:r>
        <w:rPr>
          <w:b/>
          <w:sz w:val="30"/>
          <w:szCs w:val="30"/>
        </w:rPr>
        <w:t>环境影响</w:t>
      </w:r>
      <w:r>
        <w:rPr>
          <w:b/>
          <w:sz w:val="28"/>
          <w:szCs w:val="28"/>
        </w:rPr>
        <w:t>分析</w:t>
      </w:r>
      <w:bookmarkEnd w:id="36"/>
    </w:p>
    <w:p w14:paraId="7C804A0B" w14:textId="77777777" w:rsidR="007D1E74" w:rsidRDefault="00A95641">
      <w:pPr>
        <w:spacing w:line="360" w:lineRule="auto"/>
        <w:outlineLvl w:val="2"/>
        <w:rPr>
          <w:b/>
          <w:sz w:val="24"/>
        </w:rPr>
      </w:pPr>
      <w:r>
        <w:rPr>
          <w:b/>
          <w:sz w:val="24"/>
        </w:rPr>
        <w:t>6.2.5.1</w:t>
      </w:r>
      <w:r>
        <w:rPr>
          <w:b/>
          <w:sz w:val="24"/>
        </w:rPr>
        <w:t>运营期固体废物环境影响分析</w:t>
      </w:r>
    </w:p>
    <w:p w14:paraId="60A58B0B" w14:textId="77777777" w:rsidR="007D1E74" w:rsidRDefault="00A95641">
      <w:pPr>
        <w:spacing w:line="360" w:lineRule="auto"/>
        <w:ind w:firstLineChars="200" w:firstLine="480"/>
        <w:rPr>
          <w:sz w:val="24"/>
        </w:rPr>
      </w:pPr>
      <w:r>
        <w:rPr>
          <w:sz w:val="24"/>
        </w:rPr>
        <w:t>营运期采用密闭输气工艺，正常情况下不会产生固体废物</w:t>
      </w:r>
      <w:r>
        <w:rPr>
          <w:rFonts w:hint="eastAsia"/>
          <w:sz w:val="24"/>
        </w:rPr>
        <w:t>；过滤废渣、清管废渣定期交由环卫部门清运。</w:t>
      </w:r>
    </w:p>
    <w:p w14:paraId="49D4195C" w14:textId="77777777" w:rsidR="007D1E74" w:rsidRDefault="00A95641">
      <w:pPr>
        <w:spacing w:line="360" w:lineRule="auto"/>
        <w:outlineLvl w:val="2"/>
        <w:rPr>
          <w:b/>
          <w:sz w:val="24"/>
        </w:rPr>
      </w:pPr>
      <w:r>
        <w:rPr>
          <w:b/>
          <w:sz w:val="24"/>
        </w:rPr>
        <w:t>6.2.5.2</w:t>
      </w:r>
      <w:r>
        <w:rPr>
          <w:b/>
          <w:sz w:val="24"/>
        </w:rPr>
        <w:t>小结</w:t>
      </w:r>
    </w:p>
    <w:p w14:paraId="68DDBBA1" w14:textId="77777777" w:rsidR="007D1E74" w:rsidRDefault="00A95641">
      <w:pPr>
        <w:spacing w:line="360" w:lineRule="auto"/>
        <w:ind w:firstLineChars="200" w:firstLine="480"/>
        <w:rPr>
          <w:sz w:val="24"/>
        </w:rPr>
      </w:pPr>
      <w:r>
        <w:rPr>
          <w:sz w:val="24"/>
        </w:rPr>
        <w:t>营运期采用密闭输气工艺，正常情况下不会产生固体废物。本项目营运期的固废均得到了有效的处理、处置，对环境影响较小。</w:t>
      </w:r>
    </w:p>
    <w:p w14:paraId="1D740E32" w14:textId="77777777" w:rsidR="007D1E74" w:rsidRDefault="00A95641">
      <w:pPr>
        <w:spacing w:line="360" w:lineRule="auto"/>
        <w:outlineLvl w:val="1"/>
        <w:rPr>
          <w:b/>
          <w:sz w:val="28"/>
          <w:szCs w:val="28"/>
        </w:rPr>
      </w:pPr>
      <w:bookmarkStart w:id="37" w:name="_Toc7113"/>
      <w:r>
        <w:rPr>
          <w:b/>
          <w:sz w:val="28"/>
          <w:szCs w:val="28"/>
        </w:rPr>
        <w:t>6.3</w:t>
      </w:r>
      <w:r>
        <w:rPr>
          <w:b/>
          <w:sz w:val="28"/>
          <w:szCs w:val="28"/>
        </w:rPr>
        <w:t>对生态环境敏感区的影响</w:t>
      </w:r>
    </w:p>
    <w:p w14:paraId="08514D90" w14:textId="77777777" w:rsidR="007D1E74" w:rsidRDefault="00A95641">
      <w:pPr>
        <w:spacing w:line="360" w:lineRule="auto"/>
        <w:outlineLvl w:val="2"/>
        <w:rPr>
          <w:b/>
          <w:sz w:val="28"/>
          <w:szCs w:val="28"/>
        </w:rPr>
      </w:pPr>
      <w:r>
        <w:rPr>
          <w:b/>
          <w:sz w:val="28"/>
          <w:szCs w:val="28"/>
        </w:rPr>
        <w:lastRenderedPageBreak/>
        <w:t>6.3.1</w:t>
      </w:r>
      <w:r>
        <w:rPr>
          <w:b/>
          <w:sz w:val="28"/>
          <w:szCs w:val="28"/>
        </w:rPr>
        <w:t>对基本农田的环境影响分析</w:t>
      </w:r>
    </w:p>
    <w:p w14:paraId="32194609" w14:textId="77777777" w:rsidR="007D1E74" w:rsidRDefault="00A95641">
      <w:pPr>
        <w:pStyle w:val="affffff6"/>
        <w:ind w:firstLine="480"/>
        <w:rPr>
          <w:rFonts w:ascii="Times New Roman" w:hAnsi="Times New Roman" w:cs="Times New Roman"/>
        </w:rPr>
      </w:pPr>
      <w:r>
        <w:rPr>
          <w:rFonts w:ascii="Times New Roman" w:hAnsi="Times New Roman" w:cs="Times New Roman"/>
        </w:rPr>
        <w:t>基本农田是指按照一定时期人口和社会经济发展对农产品的需求，依据土地利用总体规划确定的不得占用的耕地。基本农田保护区是指为对基本农田实行特殊保护而依据土地利用总体规划和依照法定程序确定的特定保护区域</w:t>
      </w:r>
      <w:r>
        <w:rPr>
          <w:rFonts w:ascii="Times New Roman" w:hAnsi="Times New Roman" w:cs="Times New Roman"/>
        </w:rPr>
        <w:t>(</w:t>
      </w:r>
      <w:r>
        <w:rPr>
          <w:rFonts w:ascii="Times New Roman" w:hAnsi="Times New Roman" w:cs="Times New Roman"/>
        </w:rPr>
        <w:t>《基本农田保护条例》</w:t>
      </w:r>
      <w:r>
        <w:rPr>
          <w:rFonts w:ascii="Times New Roman" w:hAnsi="Times New Roman" w:cs="Times New Roman"/>
        </w:rPr>
        <w:t>)</w:t>
      </w:r>
      <w:r>
        <w:rPr>
          <w:rFonts w:ascii="Times New Roman" w:hAnsi="Times New Roman" w:cs="Times New Roman"/>
        </w:rPr>
        <w:t>。</w:t>
      </w:r>
    </w:p>
    <w:p w14:paraId="0EA08E01" w14:textId="77777777" w:rsidR="007D1E74" w:rsidRDefault="00A95641">
      <w:pPr>
        <w:pStyle w:val="affffff6"/>
        <w:ind w:firstLine="480"/>
        <w:rPr>
          <w:rFonts w:ascii="Times New Roman" w:hAnsi="Times New Roman" w:cs="Times New Roman"/>
        </w:rPr>
      </w:pPr>
      <w:r>
        <w:rPr>
          <w:rFonts w:ascii="Times New Roman" w:hAnsi="Times New Roman" w:cs="Times New Roman"/>
        </w:rPr>
        <w:t>据调查，本工程临时占用耕地中包括基本农田，管道沿线占用的基本农田绝大部分种植水稻、玉米、小麦、大豆、高粱等粮食作物。</w:t>
      </w:r>
    </w:p>
    <w:p w14:paraId="407481D2" w14:textId="77777777" w:rsidR="007D1E74" w:rsidRDefault="00A95641">
      <w:pPr>
        <w:pStyle w:val="affffff6"/>
        <w:ind w:firstLine="480"/>
        <w:rPr>
          <w:rFonts w:ascii="Times New Roman" w:hAnsi="Times New Roman" w:cs="Times New Roman"/>
        </w:rPr>
      </w:pPr>
      <w:r>
        <w:rPr>
          <w:rFonts w:ascii="Times New Roman" w:hAnsi="Times New Roman" w:cs="Times New Roman"/>
        </w:rPr>
        <w:t>本工程对基本农田的影响可以分为两类，一类为管道施工临时占地对农业生产的影响，主要表现为耽误一季农作物生产，二季农作物减产，这种影响是临时的，不会改变基本农田的利用性质。待施工结束后，可以恢复成施工前的土地利用类型，工程活动对基本农田的影响仅限于施工期以及施工后期一段时间之内对于农业土壤的影响以及造成的农业生产损失等。但是这种影响是暂时性的，施工结束后恢复耕种一段时间，可以恢复原有的生产能力。</w:t>
      </w:r>
    </w:p>
    <w:p w14:paraId="50A53DBD" w14:textId="77777777" w:rsidR="007D1E74" w:rsidRDefault="00A95641">
      <w:pPr>
        <w:pStyle w:val="affffff6"/>
        <w:ind w:firstLine="480"/>
        <w:rPr>
          <w:rFonts w:ascii="Times New Roman" w:hAnsi="Times New Roman" w:cs="Times New Roman"/>
        </w:rPr>
      </w:pPr>
      <w:r>
        <w:rPr>
          <w:rFonts w:ascii="Times New Roman" w:hAnsi="Times New Roman" w:cs="Times New Roman"/>
        </w:rPr>
        <w:t>另一类为</w:t>
      </w:r>
      <w:r>
        <w:rPr>
          <w:rFonts w:ascii="Times New Roman" w:hAnsi="Times New Roman" w:cs="Times New Roman" w:hint="eastAsia"/>
        </w:rPr>
        <w:t>1#</w:t>
      </w:r>
      <w:r>
        <w:rPr>
          <w:rFonts w:ascii="Times New Roman" w:hAnsi="Times New Roman" w:cs="Times New Roman" w:hint="eastAsia"/>
        </w:rPr>
        <w:t>阀室</w:t>
      </w:r>
      <w:r>
        <w:rPr>
          <w:rFonts w:ascii="Times New Roman" w:hAnsi="Times New Roman" w:cs="Times New Roman"/>
        </w:rPr>
        <w:t>永久占地所产生的影响，将永久改变原土地利用性质。对于这些永久占地，本工程应按照《基本农田保护条例》中的有关规定办理。</w:t>
      </w:r>
    </w:p>
    <w:p w14:paraId="6E3E5D70" w14:textId="77777777" w:rsidR="007D1E74" w:rsidRDefault="00A95641">
      <w:pPr>
        <w:spacing w:line="360" w:lineRule="auto"/>
        <w:outlineLvl w:val="2"/>
        <w:rPr>
          <w:b/>
          <w:sz w:val="28"/>
          <w:szCs w:val="28"/>
        </w:rPr>
      </w:pPr>
      <w:r>
        <w:rPr>
          <w:b/>
          <w:sz w:val="28"/>
          <w:szCs w:val="28"/>
        </w:rPr>
        <w:t>6.3.2</w:t>
      </w:r>
      <w:r>
        <w:rPr>
          <w:b/>
          <w:sz w:val="28"/>
          <w:szCs w:val="28"/>
        </w:rPr>
        <w:t>对饮用水源保护区的环境影响分析</w:t>
      </w:r>
    </w:p>
    <w:p w14:paraId="69939376" w14:textId="77777777" w:rsidR="007D1E74" w:rsidRDefault="00A95641">
      <w:pPr>
        <w:pStyle w:val="affffff6"/>
        <w:ind w:firstLine="480"/>
        <w:rPr>
          <w:rFonts w:ascii="Times New Roman" w:hAnsi="Times New Roman" w:cs="Times New Roman"/>
        </w:rPr>
      </w:pPr>
      <w:r>
        <w:rPr>
          <w:rFonts w:ascii="Times New Roman" w:hAnsi="Times New Roman" w:cs="Times New Roman" w:hint="eastAsia"/>
        </w:rPr>
        <w:t>管道沿线水污染控制原则，应坚持“注重源头控制、强化监控手段、污水、完善应急响应系统建设”的原则，其宗旨是采取主动控制，避免泄漏事故发生。</w:t>
      </w:r>
    </w:p>
    <w:p w14:paraId="5D8D06C8" w14:textId="77777777" w:rsidR="007D1E74" w:rsidRDefault="00A95641">
      <w:pPr>
        <w:pStyle w:val="affffff6"/>
        <w:ind w:firstLine="480"/>
        <w:rPr>
          <w:rFonts w:ascii="Times New Roman" w:hAnsi="Times New Roman" w:cs="Times New Roman"/>
        </w:rPr>
      </w:pPr>
      <w:r>
        <w:rPr>
          <w:rFonts w:ascii="Times New Roman" w:hAnsi="Times New Roman" w:cs="Times New Roman"/>
        </w:rPr>
        <w:t>1</w:t>
      </w:r>
      <w:r>
        <w:rPr>
          <w:rFonts w:ascii="Times New Roman" w:hAnsi="Times New Roman" w:cs="Times New Roman" w:hint="eastAsia"/>
        </w:rPr>
        <w:t>）注重源头控制：主要是在输气管道的工程设计、施工、运行管理等方面采取控制措施，防止或将天然气泄漏的可能性降到最低限度；</w:t>
      </w:r>
    </w:p>
    <w:p w14:paraId="064A1C99" w14:textId="77777777" w:rsidR="007D1E74" w:rsidRDefault="00A95641">
      <w:pPr>
        <w:pStyle w:val="affffff6"/>
        <w:ind w:firstLine="480"/>
        <w:rPr>
          <w:rFonts w:ascii="Times New Roman" w:hAnsi="Times New Roman" w:cs="Times New Roman"/>
        </w:rPr>
      </w:pPr>
      <w:r>
        <w:rPr>
          <w:rFonts w:ascii="Times New Roman" w:hAnsi="Times New Roman" w:cs="Times New Roman"/>
        </w:rPr>
        <w:t>2</w:t>
      </w:r>
      <w:r>
        <w:rPr>
          <w:rFonts w:ascii="Times New Roman" w:hAnsi="Times New Roman" w:cs="Times New Roman" w:hint="eastAsia"/>
        </w:rPr>
        <w:t>）强化监控手段：采取先进的、自动化程度高的管线检漏、报警和定位系统，达到实时监控、准确及时报警和定位、快速处理泄漏事故，将泄漏事故发生和持续的时间控制在最短范围内，将其造成的影响控制在最小范围内。同时，与主体工程的监测制度和装置相结合，制定完善的监测制度、配备先进的监测仪器和设备，及时发现污染、及时控制。</w:t>
      </w:r>
    </w:p>
    <w:p w14:paraId="6437C94F" w14:textId="77777777" w:rsidR="007D1E74" w:rsidRDefault="00A95641">
      <w:pPr>
        <w:pStyle w:val="affffff6"/>
        <w:ind w:firstLine="480"/>
        <w:rPr>
          <w:rFonts w:ascii="Times New Roman" w:hAnsi="Times New Roman" w:cs="Times New Roman"/>
        </w:rPr>
      </w:pPr>
      <w:r>
        <w:rPr>
          <w:rFonts w:ascii="Times New Roman" w:hAnsi="Times New Roman" w:cs="Times New Roman"/>
        </w:rPr>
        <w:t>本项目穿越的水源保护区段均属于二级保护区陆域范围，管道距离新场镇沙湾里饮用水源取水口最近处约为</w:t>
      </w:r>
      <w:r>
        <w:rPr>
          <w:rFonts w:ascii="Times New Roman" w:hAnsi="Times New Roman" w:cs="Times New Roman"/>
        </w:rPr>
        <w:t>560m</w:t>
      </w:r>
      <w:r>
        <w:rPr>
          <w:rFonts w:ascii="Times New Roman" w:hAnsi="Times New Roman" w:cs="Times New Roman"/>
        </w:rPr>
        <w:t>，距离涪阳镇酒厂沟饮用水源取水口最近处约为</w:t>
      </w:r>
      <w:r>
        <w:rPr>
          <w:rFonts w:ascii="Times New Roman" w:hAnsi="Times New Roman" w:cs="Times New Roman"/>
        </w:rPr>
        <w:t>1140m</w:t>
      </w:r>
      <w:r>
        <w:rPr>
          <w:rFonts w:ascii="Times New Roman" w:hAnsi="Times New Roman" w:cs="Times New Roman"/>
        </w:rPr>
        <w:t>。项目施工作业带约为</w:t>
      </w:r>
      <w:r>
        <w:rPr>
          <w:rFonts w:ascii="Times New Roman" w:hAnsi="Times New Roman" w:cs="Times New Roman"/>
        </w:rPr>
        <w:t>10~12m</w:t>
      </w:r>
      <w:r>
        <w:rPr>
          <w:rFonts w:ascii="Times New Roman" w:hAnsi="Times New Roman" w:cs="Times New Roman"/>
        </w:rPr>
        <w:t>，埋深小于</w:t>
      </w:r>
      <w:r>
        <w:rPr>
          <w:rFonts w:ascii="Times New Roman" w:hAnsi="Times New Roman" w:cs="Times New Roman"/>
        </w:rPr>
        <w:t>2m</w:t>
      </w:r>
      <w:r>
        <w:rPr>
          <w:rFonts w:ascii="Times New Roman" w:hAnsi="Times New Roman" w:cs="Times New Roman"/>
        </w:rPr>
        <w:t>，施工影响范围主要集中在作业带范围内，不接触水体。同时施工期间禁止废水、弃渣等排入小通江，施工敷设管道对水体影响很小</w:t>
      </w:r>
      <w:r>
        <w:rPr>
          <w:rFonts w:ascii="Times New Roman" w:hAnsi="Times New Roman" w:cs="Times New Roman" w:hint="eastAsia"/>
        </w:rPr>
        <w:t>。</w:t>
      </w:r>
    </w:p>
    <w:p w14:paraId="4B32D096" w14:textId="77777777" w:rsidR="007D1E74" w:rsidRDefault="00A95641">
      <w:pPr>
        <w:pStyle w:val="affffff6"/>
        <w:ind w:firstLine="480"/>
        <w:rPr>
          <w:rFonts w:ascii="Times New Roman" w:hAnsi="Times New Roman" w:cs="Times New Roman"/>
        </w:rPr>
      </w:pPr>
      <w:r>
        <w:rPr>
          <w:rFonts w:ascii="Times New Roman" w:hAnsi="Times New Roman" w:cs="Times New Roman"/>
        </w:rPr>
        <w:lastRenderedPageBreak/>
        <w:t>并且管道在穿越二级保护区时对穿越管段采取</w:t>
      </w:r>
      <w:r>
        <w:rPr>
          <w:rFonts w:ascii="Times New Roman" w:hAnsi="Times New Roman" w:cs="Times New Roman"/>
        </w:rPr>
        <w:t>100%</w:t>
      </w:r>
      <w:r>
        <w:rPr>
          <w:rFonts w:ascii="Times New Roman" w:hAnsi="Times New Roman" w:cs="Times New Roman"/>
        </w:rPr>
        <w:t>射线检验、在外防腐涂层基础上增加电流阴极联合保护，确保按运行安全。</w:t>
      </w:r>
    </w:p>
    <w:p w14:paraId="7778F21D" w14:textId="77777777" w:rsidR="007D1E74" w:rsidRDefault="00A95641">
      <w:pPr>
        <w:pStyle w:val="affffff6"/>
        <w:ind w:firstLine="482"/>
        <w:rPr>
          <w:rFonts w:ascii="Times New Roman" w:hAnsi="Times New Roman" w:cs="Times New Roman"/>
          <w:b/>
          <w:bCs/>
        </w:rPr>
      </w:pPr>
      <w:r>
        <w:rPr>
          <w:rFonts w:ascii="Times New Roman" w:hAnsi="Times New Roman" w:cs="Times New Roman" w:hint="eastAsia"/>
          <w:b/>
          <w:bCs/>
        </w:rPr>
        <w:t>施工期保护措施：</w:t>
      </w:r>
    </w:p>
    <w:p w14:paraId="75ED4AC0" w14:textId="77777777" w:rsidR="007D1E74" w:rsidRDefault="00A95641">
      <w:pPr>
        <w:pStyle w:val="affffff6"/>
        <w:ind w:firstLine="480"/>
        <w:rPr>
          <w:rFonts w:ascii="Times New Roman" w:hAnsi="Times New Roman" w:cs="Times New Roman"/>
        </w:rPr>
      </w:pPr>
      <w:r>
        <w:rPr>
          <w:rFonts w:ascii="Times New Roman" w:hAnsi="Times New Roman" w:cs="Times New Roman"/>
        </w:rPr>
        <w:t>1</w:t>
      </w:r>
      <w:r>
        <w:rPr>
          <w:rFonts w:ascii="Times New Roman" w:hAnsi="Times New Roman" w:cs="Times New Roman" w:hint="eastAsia"/>
        </w:rPr>
        <w:t xml:space="preserve">) </w:t>
      </w:r>
      <w:r>
        <w:rPr>
          <w:rFonts w:ascii="Times New Roman" w:hAnsi="Times New Roman" w:cs="Times New Roman" w:hint="eastAsia"/>
        </w:rPr>
        <w:t>污水集中处理：管道沿线各施工场地产生的生产废水、生活污水集中处理后用于施工过程中洒水降尘；</w:t>
      </w:r>
    </w:p>
    <w:p w14:paraId="2B59B0A5" w14:textId="77777777" w:rsidR="007D1E74" w:rsidRDefault="00A95641">
      <w:pPr>
        <w:pStyle w:val="affffff6"/>
        <w:ind w:firstLine="480"/>
        <w:rPr>
          <w:rFonts w:ascii="Times New Roman" w:hAnsi="Times New Roman" w:cs="Times New Roman"/>
        </w:rPr>
      </w:pPr>
      <w:r>
        <w:rPr>
          <w:rFonts w:ascii="Times New Roman" w:hAnsi="Times New Roman" w:cs="Times New Roman"/>
        </w:rPr>
        <w:t>2</w:t>
      </w:r>
      <w:r>
        <w:rPr>
          <w:rFonts w:ascii="Times New Roman" w:hAnsi="Times New Roman" w:cs="Times New Roman" w:hint="eastAsia"/>
        </w:rPr>
        <w:t xml:space="preserve">) </w:t>
      </w:r>
      <w:r>
        <w:rPr>
          <w:rFonts w:ascii="Times New Roman" w:hAnsi="Times New Roman" w:cs="Times New Roman" w:hint="eastAsia"/>
        </w:rPr>
        <w:t>完善应急响应措施：通过实时监控系统的监测，随时掌握天然气管道泄漏信息，污染事故一旦发生，立即启动应急防范措施，减少事故影响。</w:t>
      </w:r>
    </w:p>
    <w:p w14:paraId="2ADA7E63" w14:textId="77777777" w:rsidR="007D1E74" w:rsidRDefault="00A95641">
      <w:pPr>
        <w:pStyle w:val="affffff6"/>
        <w:ind w:firstLine="480"/>
        <w:rPr>
          <w:rFonts w:ascii="Times New Roman" w:hAnsi="Times New Roman" w:cs="Times New Roman"/>
        </w:rPr>
      </w:pPr>
      <w:r>
        <w:rPr>
          <w:rFonts w:ascii="Times New Roman" w:hAnsi="Times New Roman" w:cs="Times New Roman"/>
        </w:rPr>
        <w:t>3</w:t>
      </w:r>
      <w:r>
        <w:rPr>
          <w:rFonts w:ascii="Times New Roman" w:hAnsi="Times New Roman" w:cs="Times New Roman" w:hint="eastAsia"/>
        </w:rPr>
        <w:t xml:space="preserve">) </w:t>
      </w:r>
      <w:r>
        <w:rPr>
          <w:rFonts w:ascii="Times New Roman" w:hAnsi="Times New Roman" w:cs="Times New Roman" w:hint="eastAsia"/>
        </w:rPr>
        <w:t>优化施工方案，抓紧施工进度，尽量避开在降雨时段进行土石方开挖；对施工产生的废渣及时清运，禁止在水源保护区内临时堆存、排放施工废渣，裸露土地应及时采取覆土和绿化的工程措施。严格划定施工范围，尽量不扩大施工占地。</w:t>
      </w:r>
    </w:p>
    <w:p w14:paraId="1B2F6AA4" w14:textId="77777777" w:rsidR="007D1E74" w:rsidRDefault="00A95641">
      <w:pPr>
        <w:pStyle w:val="affffff6"/>
        <w:ind w:firstLine="480"/>
        <w:rPr>
          <w:rFonts w:ascii="Times New Roman" w:hAnsi="Times New Roman" w:cs="Times New Roman"/>
        </w:rPr>
      </w:pPr>
      <w:r>
        <w:rPr>
          <w:rFonts w:ascii="Times New Roman" w:hAnsi="Times New Roman" w:cs="Times New Roman"/>
        </w:rPr>
        <w:t>4</w:t>
      </w:r>
      <w:r>
        <w:rPr>
          <w:rFonts w:ascii="Times New Roman" w:hAnsi="Times New Roman" w:cs="Times New Roman" w:hint="eastAsia"/>
        </w:rPr>
        <w:t xml:space="preserve">) </w:t>
      </w:r>
      <w:r>
        <w:rPr>
          <w:rFonts w:ascii="Times New Roman" w:hAnsi="Times New Roman" w:cs="Times New Roman" w:hint="eastAsia"/>
        </w:rPr>
        <w:t>施工过程中尽量减小作业带宽度，施工前确定施工作业范围边线，管道施工机械设备严格控制在作业带边线范围内开展相关施工活动，作业带空间范围内，施工机械、设备、材料等有序摆放，施工材料等按施工进度计划购买，施工结束后对施工作业带进行平整恢复。</w:t>
      </w:r>
    </w:p>
    <w:p w14:paraId="051AE4C8" w14:textId="77777777" w:rsidR="007D1E74" w:rsidRDefault="00A95641">
      <w:pPr>
        <w:pStyle w:val="affffff6"/>
        <w:ind w:firstLine="480"/>
        <w:rPr>
          <w:rFonts w:ascii="Times New Roman" w:hAnsi="Times New Roman" w:cs="Times New Roman"/>
        </w:rPr>
      </w:pPr>
      <w:r>
        <w:rPr>
          <w:rFonts w:ascii="Times New Roman" w:hAnsi="Times New Roman" w:cs="Times New Roman"/>
        </w:rPr>
        <w:t>5</w:t>
      </w:r>
      <w:r>
        <w:rPr>
          <w:rFonts w:ascii="Times New Roman" w:hAnsi="Times New Roman" w:cs="Times New Roman" w:hint="eastAsia"/>
        </w:rPr>
        <w:t xml:space="preserve">) </w:t>
      </w:r>
      <w:r>
        <w:rPr>
          <w:rFonts w:ascii="Times New Roman" w:hAnsi="Times New Roman" w:cs="Times New Roman" w:hint="eastAsia"/>
        </w:rPr>
        <w:t>机械设备进出作业带按照划定路线行驶，不得随意对作业带范围外地表进行碾压。</w:t>
      </w:r>
    </w:p>
    <w:p w14:paraId="73C77FE8" w14:textId="77777777" w:rsidR="007D1E74" w:rsidRDefault="00A95641">
      <w:pPr>
        <w:pStyle w:val="affffff6"/>
        <w:ind w:firstLine="480"/>
        <w:rPr>
          <w:rFonts w:ascii="Times New Roman" w:hAnsi="Times New Roman" w:cs="Times New Roman"/>
        </w:rPr>
      </w:pPr>
      <w:r>
        <w:rPr>
          <w:rFonts w:ascii="Times New Roman" w:hAnsi="Times New Roman" w:cs="Times New Roman"/>
        </w:rPr>
        <w:t>6</w:t>
      </w:r>
      <w:r>
        <w:rPr>
          <w:rFonts w:ascii="Times New Roman" w:hAnsi="Times New Roman" w:cs="Times New Roman" w:hint="eastAsia"/>
        </w:rPr>
        <w:t xml:space="preserve">) </w:t>
      </w:r>
      <w:r>
        <w:rPr>
          <w:rFonts w:ascii="Times New Roman" w:hAnsi="Times New Roman" w:cs="Times New Roman" w:hint="eastAsia"/>
        </w:rPr>
        <w:t>施工场地</w:t>
      </w:r>
      <w:r>
        <w:rPr>
          <w:rFonts w:ascii="Times New Roman" w:hAnsi="Times New Roman" w:cs="Times New Roman" w:hint="eastAsia"/>
        </w:rPr>
        <w:t>(</w:t>
      </w:r>
      <w:r>
        <w:rPr>
          <w:rFonts w:ascii="Times New Roman" w:hAnsi="Times New Roman" w:cs="Times New Roman" w:hint="eastAsia"/>
        </w:rPr>
        <w:t>包括施工营地</w:t>
      </w:r>
      <w:r>
        <w:rPr>
          <w:rFonts w:ascii="Times New Roman" w:hAnsi="Times New Roman" w:cs="Times New Roman" w:hint="eastAsia"/>
        </w:rPr>
        <w:t>)</w:t>
      </w:r>
      <w:r>
        <w:rPr>
          <w:rFonts w:ascii="Times New Roman" w:hAnsi="Times New Roman" w:cs="Times New Roman" w:hint="eastAsia"/>
        </w:rPr>
        <w:t>禁止设置在水源保护区内。在水源保护区内不设置取土场、表土堆场，施工废水、生活污水全部得到有效处理，不外排进入水源地保护区。石料、砂、石灰等建筑材料按施工进度计划购买，少量建筑材料放置于工棚或用篷布遮盖，减小其随降水进入水源地保护区可能性。</w:t>
      </w:r>
    </w:p>
    <w:p w14:paraId="4782CA69" w14:textId="77777777" w:rsidR="007D1E74" w:rsidRDefault="00A95641">
      <w:pPr>
        <w:pStyle w:val="affffff6"/>
        <w:ind w:firstLine="480"/>
        <w:rPr>
          <w:rFonts w:ascii="Times New Roman" w:hAnsi="Times New Roman" w:cs="Times New Roman"/>
        </w:rPr>
      </w:pPr>
      <w:r>
        <w:rPr>
          <w:rFonts w:ascii="Times New Roman" w:hAnsi="Times New Roman" w:cs="Times New Roman"/>
        </w:rPr>
        <w:t>7</w:t>
      </w:r>
      <w:r>
        <w:rPr>
          <w:rFonts w:ascii="Times New Roman" w:hAnsi="Times New Roman" w:cs="Times New Roman" w:hint="eastAsia"/>
        </w:rPr>
        <w:t xml:space="preserve">) </w:t>
      </w:r>
      <w:r>
        <w:rPr>
          <w:rFonts w:ascii="Times New Roman" w:hAnsi="Times New Roman" w:cs="Times New Roman" w:hint="eastAsia"/>
        </w:rPr>
        <w:t>加强对施工人员的管理，废弃包装材料、管端打磨铁屑、废弃焊接材料等施工垃圾统一收集，集中处理，严禁散落在作业带内；严禁将施工机械的废弃油品、废水等排放在水源保护区内及周边，须到指定地点集中处理。</w:t>
      </w:r>
    </w:p>
    <w:p w14:paraId="7F9C03F8" w14:textId="77777777" w:rsidR="007D1E74" w:rsidRDefault="00A95641">
      <w:pPr>
        <w:pStyle w:val="affffff6"/>
        <w:ind w:firstLine="480"/>
        <w:rPr>
          <w:rFonts w:ascii="Times New Roman" w:hAnsi="Times New Roman" w:cs="Times New Roman"/>
        </w:rPr>
      </w:pPr>
      <w:r>
        <w:rPr>
          <w:rFonts w:ascii="Times New Roman" w:hAnsi="Times New Roman" w:cs="Times New Roman"/>
        </w:rPr>
        <w:t>8</w:t>
      </w:r>
      <w:r>
        <w:rPr>
          <w:rFonts w:ascii="Times New Roman" w:hAnsi="Times New Roman" w:cs="Times New Roman" w:hint="eastAsia"/>
        </w:rPr>
        <w:t xml:space="preserve">) </w:t>
      </w:r>
      <w:r>
        <w:rPr>
          <w:rFonts w:ascii="Times New Roman" w:hAnsi="Times New Roman" w:cs="Times New Roman" w:hint="eastAsia"/>
        </w:rPr>
        <w:t>提高距离二级保护区距离较近的工程段，以及穿越二级保护区工段的管道防护等级，提高钢管制造标准，焊缝检验采用</w:t>
      </w:r>
      <w:r>
        <w:rPr>
          <w:rFonts w:ascii="Times New Roman" w:hAnsi="Times New Roman" w:cs="Times New Roman" w:hint="eastAsia"/>
        </w:rPr>
        <w:t xml:space="preserve"> 100%</w:t>
      </w:r>
      <w:r>
        <w:rPr>
          <w:rFonts w:ascii="Times New Roman" w:hAnsi="Times New Roman" w:cs="Times New Roman" w:hint="eastAsia"/>
        </w:rPr>
        <w:t>超声波检验、</w:t>
      </w:r>
      <w:r>
        <w:rPr>
          <w:rFonts w:ascii="Times New Roman" w:hAnsi="Times New Roman" w:cs="Times New Roman" w:hint="eastAsia"/>
        </w:rPr>
        <w:t>100%</w:t>
      </w:r>
      <w:r>
        <w:rPr>
          <w:rFonts w:ascii="Times New Roman" w:hAnsi="Times New Roman" w:cs="Times New Roman" w:hint="eastAsia"/>
        </w:rPr>
        <w:t>射线照相检验；采用加强级“三层</w:t>
      </w:r>
      <w:r>
        <w:rPr>
          <w:rFonts w:ascii="Times New Roman" w:hAnsi="Times New Roman" w:cs="Times New Roman" w:hint="eastAsia"/>
        </w:rPr>
        <w:t xml:space="preserve"> PE</w:t>
      </w:r>
      <w:r>
        <w:rPr>
          <w:rFonts w:ascii="Times New Roman" w:hAnsi="Times New Roman" w:cs="Times New Roman" w:hint="eastAsia"/>
        </w:rPr>
        <w:t>”防腐涂层，最大限度地控制事故的发生。</w:t>
      </w:r>
    </w:p>
    <w:p w14:paraId="1F513B87" w14:textId="77777777" w:rsidR="007D1E74" w:rsidRDefault="00A95641">
      <w:pPr>
        <w:pStyle w:val="affffff6"/>
        <w:ind w:firstLine="480"/>
        <w:rPr>
          <w:rFonts w:ascii="Times New Roman" w:hAnsi="Times New Roman" w:cs="Times New Roman"/>
        </w:rPr>
      </w:pPr>
      <w:r>
        <w:rPr>
          <w:rFonts w:ascii="Times New Roman" w:hAnsi="Times New Roman" w:cs="Times New Roman"/>
        </w:rPr>
        <w:t>9</w:t>
      </w:r>
      <w:r>
        <w:rPr>
          <w:rFonts w:ascii="Times New Roman" w:hAnsi="Times New Roman" w:cs="Times New Roman" w:hint="eastAsia"/>
        </w:rPr>
        <w:t xml:space="preserve">) </w:t>
      </w:r>
      <w:r>
        <w:rPr>
          <w:rFonts w:ascii="Times New Roman" w:hAnsi="Times New Roman" w:cs="Times New Roman" w:hint="eastAsia"/>
        </w:rPr>
        <w:t>严格控制线路用钢管质量，确保经过水源保护区段的钢管不存在缺陷。</w:t>
      </w:r>
    </w:p>
    <w:p w14:paraId="0A657C65" w14:textId="77777777" w:rsidR="007D1E74" w:rsidRDefault="00A95641">
      <w:pPr>
        <w:pStyle w:val="affffff6"/>
        <w:ind w:firstLine="480"/>
        <w:rPr>
          <w:rFonts w:ascii="Times New Roman" w:hAnsi="Times New Roman" w:cs="Times New Roman"/>
        </w:rPr>
      </w:pPr>
      <w:r>
        <w:rPr>
          <w:rFonts w:ascii="Times New Roman" w:hAnsi="Times New Roman" w:cs="Times New Roman"/>
        </w:rPr>
        <w:t>10</w:t>
      </w:r>
      <w:r>
        <w:rPr>
          <w:rFonts w:ascii="Times New Roman" w:hAnsi="Times New Roman" w:cs="Times New Roman" w:hint="eastAsia"/>
        </w:rPr>
        <w:t xml:space="preserve">) </w:t>
      </w:r>
      <w:r>
        <w:rPr>
          <w:rFonts w:ascii="Times New Roman" w:hAnsi="Times New Roman" w:cs="Times New Roman" w:hint="eastAsia"/>
        </w:rPr>
        <w:t>严格控制水源保护区段管道环焊口的焊接质量，对保护区段管道，要求对每道焊口均进行</w:t>
      </w:r>
      <w:r>
        <w:rPr>
          <w:rFonts w:ascii="Times New Roman" w:hAnsi="Times New Roman" w:cs="Times New Roman" w:hint="eastAsia"/>
        </w:rPr>
        <w:t xml:space="preserve"> 100%</w:t>
      </w:r>
      <w:r>
        <w:rPr>
          <w:rFonts w:ascii="Times New Roman" w:hAnsi="Times New Roman" w:cs="Times New Roman" w:hint="eastAsia"/>
        </w:rPr>
        <w:t>射线和</w:t>
      </w:r>
      <w:r>
        <w:rPr>
          <w:rFonts w:ascii="Times New Roman" w:hAnsi="Times New Roman" w:cs="Times New Roman" w:hint="eastAsia"/>
        </w:rPr>
        <w:t xml:space="preserve"> 100%</w:t>
      </w:r>
      <w:r>
        <w:rPr>
          <w:rFonts w:ascii="Times New Roman" w:hAnsi="Times New Roman" w:cs="Times New Roman" w:hint="eastAsia"/>
        </w:rPr>
        <w:t>超声波检测。</w:t>
      </w:r>
    </w:p>
    <w:p w14:paraId="7261D3B4" w14:textId="77777777" w:rsidR="007D1E74" w:rsidRDefault="00A95641">
      <w:pPr>
        <w:pStyle w:val="affffff6"/>
        <w:ind w:firstLine="480"/>
        <w:rPr>
          <w:rFonts w:ascii="Times New Roman" w:hAnsi="Times New Roman" w:cs="Times New Roman"/>
        </w:rPr>
      </w:pPr>
      <w:r>
        <w:rPr>
          <w:rFonts w:ascii="Times New Roman" w:hAnsi="Times New Roman" w:cs="Times New Roman"/>
        </w:rPr>
        <w:lastRenderedPageBreak/>
        <w:t>11</w:t>
      </w:r>
      <w:r>
        <w:rPr>
          <w:rFonts w:ascii="Times New Roman" w:hAnsi="Times New Roman" w:cs="Times New Roman" w:hint="eastAsia"/>
        </w:rPr>
        <w:t xml:space="preserve">) </w:t>
      </w:r>
      <w:r>
        <w:rPr>
          <w:rFonts w:ascii="Times New Roman" w:hAnsi="Times New Roman" w:cs="Times New Roman" w:hint="eastAsia"/>
        </w:rPr>
        <w:t>做好集中式饮用水水源保护区的保护和管理工作，强化目标责任，明确管理措施，自觉接受当地环保部门的监督检查，确保水源地保护措施同步建设、落实到位。工程完工后要及时申请当地环保部门对本项目水源地保护措施完成情况进行现场核查验收。</w:t>
      </w:r>
    </w:p>
    <w:p w14:paraId="2E039641" w14:textId="77777777" w:rsidR="007D1E74" w:rsidRDefault="00A95641">
      <w:pPr>
        <w:pStyle w:val="affffff6"/>
        <w:ind w:firstLine="482"/>
        <w:rPr>
          <w:rFonts w:ascii="Times New Roman" w:hAnsi="Times New Roman" w:cs="Times New Roman"/>
          <w:b/>
          <w:bCs/>
        </w:rPr>
      </w:pPr>
      <w:r>
        <w:rPr>
          <w:rFonts w:ascii="Times New Roman" w:hAnsi="Times New Roman" w:cs="Times New Roman" w:hint="eastAsia"/>
          <w:b/>
          <w:bCs/>
        </w:rPr>
        <w:t>运行期保护措施：</w:t>
      </w:r>
    </w:p>
    <w:p w14:paraId="5AA80AD0" w14:textId="77777777" w:rsidR="007D1E74" w:rsidRDefault="00A95641">
      <w:pPr>
        <w:pStyle w:val="affffff6"/>
        <w:ind w:firstLine="480"/>
        <w:rPr>
          <w:rFonts w:ascii="Times New Roman" w:hAnsi="Times New Roman" w:cs="Times New Roman"/>
        </w:rPr>
      </w:pPr>
      <w:r>
        <w:rPr>
          <w:rFonts w:ascii="Times New Roman" w:hAnsi="Times New Roman" w:cs="Times New Roman" w:hint="eastAsia"/>
        </w:rPr>
        <w:t xml:space="preserve">1) </w:t>
      </w:r>
      <w:r>
        <w:rPr>
          <w:rFonts w:ascii="Times New Roman" w:hAnsi="Times New Roman" w:cs="Times New Roman" w:hint="eastAsia"/>
        </w:rPr>
        <w:t>管线介质腐蚀防护。</w:t>
      </w:r>
    </w:p>
    <w:p w14:paraId="7BB3A72C" w14:textId="77777777" w:rsidR="007D1E74" w:rsidRDefault="00A95641">
      <w:pPr>
        <w:pStyle w:val="affffff6"/>
        <w:ind w:firstLine="480"/>
        <w:rPr>
          <w:rFonts w:ascii="Times New Roman" w:hAnsi="Times New Roman" w:cs="Times New Roman"/>
        </w:rPr>
      </w:pPr>
      <w:r>
        <w:rPr>
          <w:rFonts w:ascii="Times New Roman" w:hAnsi="Times New Roman" w:cs="Times New Roman" w:hint="eastAsia"/>
        </w:rPr>
        <w:t>本次天然气管道采用介质过滤除尘净化、管道内壁涂层措施，使得杂质的含量控制在允许的范围内。</w:t>
      </w:r>
    </w:p>
    <w:p w14:paraId="36214C7B" w14:textId="77777777" w:rsidR="007D1E74" w:rsidRDefault="00A95641">
      <w:pPr>
        <w:pStyle w:val="affffff6"/>
        <w:ind w:firstLine="480"/>
        <w:rPr>
          <w:rFonts w:ascii="Times New Roman" w:hAnsi="Times New Roman" w:cs="Times New Roman"/>
        </w:rPr>
      </w:pPr>
      <w:r>
        <w:rPr>
          <w:rFonts w:ascii="Times New Roman" w:hAnsi="Times New Roman" w:cs="Times New Roman" w:hint="eastAsia"/>
        </w:rPr>
        <w:t xml:space="preserve">2) </w:t>
      </w:r>
      <w:r>
        <w:rPr>
          <w:rFonts w:ascii="Times New Roman" w:hAnsi="Times New Roman" w:cs="Times New Roman" w:hint="eastAsia"/>
        </w:rPr>
        <w:t>提高穿越水源地段的管道壁厚等级</w:t>
      </w:r>
    </w:p>
    <w:p w14:paraId="367FCA26" w14:textId="77777777" w:rsidR="007D1E74" w:rsidRDefault="00A95641">
      <w:pPr>
        <w:pStyle w:val="affffff6"/>
        <w:ind w:firstLine="480"/>
        <w:rPr>
          <w:rFonts w:ascii="Times New Roman" w:hAnsi="Times New Roman" w:cs="Times New Roman"/>
        </w:rPr>
      </w:pPr>
      <w:r>
        <w:rPr>
          <w:rFonts w:ascii="Times New Roman" w:hAnsi="Times New Roman" w:cs="Times New Roman" w:hint="eastAsia"/>
        </w:rPr>
        <w:t>根据本项目可行性研究报告可知，该水源保护区段管道，管道外防腐层采用三层结构聚乙烯</w:t>
      </w:r>
      <w:r>
        <w:rPr>
          <w:rFonts w:ascii="Times New Roman" w:hAnsi="Times New Roman" w:cs="Times New Roman" w:hint="eastAsia"/>
        </w:rPr>
        <w:t>(3LPE)</w:t>
      </w:r>
      <w:r>
        <w:rPr>
          <w:rFonts w:ascii="Times New Roman" w:hAnsi="Times New Roman" w:cs="Times New Roman" w:hint="eastAsia"/>
        </w:rPr>
        <w:t>材料。本次方案要求，穿越二级保护区段管道壁厚提高一个等级，外防腐层采用加强级三层结构聚乙烯</w:t>
      </w:r>
      <w:r>
        <w:rPr>
          <w:rFonts w:ascii="Times New Roman" w:hAnsi="Times New Roman" w:cs="Times New Roman" w:hint="eastAsia"/>
        </w:rPr>
        <w:t>(3LPE)</w:t>
      </w:r>
      <w:r>
        <w:rPr>
          <w:rFonts w:ascii="Times New Roman" w:hAnsi="Times New Roman" w:cs="Times New Roman" w:hint="eastAsia"/>
        </w:rPr>
        <w:t>结构。</w:t>
      </w:r>
    </w:p>
    <w:p w14:paraId="5F7AE7DF" w14:textId="77777777" w:rsidR="007D1E74" w:rsidRDefault="00A95641">
      <w:pPr>
        <w:pStyle w:val="affffff6"/>
        <w:ind w:firstLine="480"/>
        <w:rPr>
          <w:rFonts w:ascii="Times New Roman" w:hAnsi="Times New Roman" w:cs="Times New Roman"/>
        </w:rPr>
      </w:pPr>
      <w:r>
        <w:rPr>
          <w:rFonts w:ascii="Times New Roman" w:hAnsi="Times New Roman" w:cs="Times New Roman" w:hint="eastAsia"/>
        </w:rPr>
        <w:t xml:space="preserve">3) </w:t>
      </w:r>
      <w:r>
        <w:rPr>
          <w:rFonts w:ascii="Times New Roman" w:hAnsi="Times New Roman" w:cs="Times New Roman" w:hint="eastAsia"/>
        </w:rPr>
        <w:t>同时穿越水源地段上游设置</w:t>
      </w:r>
      <w:r>
        <w:rPr>
          <w:rFonts w:ascii="Times New Roman" w:hAnsi="Times New Roman" w:cs="Times New Roman" w:hint="eastAsia"/>
        </w:rPr>
        <w:t>3#</w:t>
      </w:r>
      <w:r>
        <w:rPr>
          <w:rFonts w:ascii="Times New Roman" w:hAnsi="Times New Roman" w:cs="Times New Roman" w:hint="eastAsia"/>
        </w:rPr>
        <w:t>、</w:t>
      </w:r>
      <w:r>
        <w:rPr>
          <w:rFonts w:ascii="Times New Roman" w:hAnsi="Times New Roman" w:cs="Times New Roman" w:hint="eastAsia"/>
        </w:rPr>
        <w:t>4#</w:t>
      </w:r>
      <w:r>
        <w:rPr>
          <w:rFonts w:ascii="Times New Roman" w:hAnsi="Times New Roman" w:cs="Times New Roman" w:hint="eastAsia"/>
        </w:rPr>
        <w:t>阀室，一旦发生天然气泄漏情况，应立即启动截断阀，防止天然气进一步泄漏。</w:t>
      </w:r>
    </w:p>
    <w:p w14:paraId="091E4E93" w14:textId="77777777" w:rsidR="007D1E74" w:rsidRDefault="00A95641">
      <w:pPr>
        <w:pStyle w:val="affffff6"/>
        <w:ind w:firstLine="480"/>
        <w:rPr>
          <w:rFonts w:ascii="Times New Roman" w:hAnsi="Times New Roman" w:cs="Times New Roman"/>
        </w:rPr>
      </w:pPr>
      <w:r>
        <w:rPr>
          <w:rFonts w:ascii="Times New Roman" w:hAnsi="Times New Roman" w:cs="Times New Roman" w:hint="eastAsia"/>
        </w:rPr>
        <w:t xml:space="preserve">4) </w:t>
      </w:r>
      <w:r>
        <w:rPr>
          <w:rFonts w:ascii="Times New Roman" w:hAnsi="Times New Roman" w:cs="Times New Roman" w:hint="eastAsia"/>
        </w:rPr>
        <w:t>运行期，应注意对管道及各种连接处的监控，最大限度地控制事故的发生，加强巡线，并对附近村民进行宣传教育，做到群防群治。</w:t>
      </w:r>
    </w:p>
    <w:p w14:paraId="6AB91AD7" w14:textId="77777777" w:rsidR="007D1E74" w:rsidRDefault="00A95641">
      <w:pPr>
        <w:pStyle w:val="affffff6"/>
        <w:ind w:firstLine="480"/>
        <w:rPr>
          <w:rFonts w:ascii="Times New Roman" w:hAnsi="Times New Roman" w:cs="Times New Roman"/>
        </w:rPr>
      </w:pPr>
      <w:r>
        <w:rPr>
          <w:rFonts w:ascii="Times New Roman" w:hAnsi="Times New Roman" w:cs="Times New Roman" w:hint="eastAsia"/>
        </w:rPr>
        <w:t xml:space="preserve">5) </w:t>
      </w:r>
      <w:r>
        <w:rPr>
          <w:rFonts w:ascii="Times New Roman" w:hAnsi="Times New Roman" w:cs="Times New Roman" w:hint="eastAsia"/>
        </w:rPr>
        <w:t>一旦发生泄漏事故后，应对事故现场进行调查、监测、处理，对事故后果进行评估，密切关注周围地表水水质变化情况，采取紧急措施制止事故的扩散、扩大、蔓延及连锁反应。查找事故原因并制定防止类似事件发生的措施。</w:t>
      </w:r>
    </w:p>
    <w:p w14:paraId="5A47A835" w14:textId="77777777" w:rsidR="007D1E74" w:rsidRDefault="00A95641">
      <w:pPr>
        <w:pStyle w:val="affffff6"/>
        <w:ind w:firstLine="480"/>
        <w:rPr>
          <w:rFonts w:ascii="Times New Roman" w:hAnsi="Times New Roman" w:cs="Times New Roman"/>
        </w:rPr>
      </w:pPr>
      <w:r>
        <w:rPr>
          <w:rFonts w:ascii="Times New Roman" w:hAnsi="Times New Roman" w:cs="Times New Roman" w:hint="eastAsia"/>
        </w:rPr>
        <w:t xml:space="preserve">6) </w:t>
      </w:r>
      <w:r>
        <w:rPr>
          <w:rFonts w:ascii="Times New Roman" w:hAnsi="Times New Roman" w:cs="Times New Roman" w:hint="eastAsia"/>
        </w:rPr>
        <w:t>加强应急预案建设。在管道运行过程中，应专门制定泄漏事故应急预案。建立健全消防、公安、水利、环保等部门在事故发生时的紧急联动机制，将事故危害控制到最小。加强应急预案的培训和演练，使预案真正发挥作用。</w:t>
      </w:r>
    </w:p>
    <w:p w14:paraId="0A0CEDFF" w14:textId="77777777" w:rsidR="007D1E74" w:rsidRDefault="00A95641">
      <w:pPr>
        <w:pStyle w:val="affffff6"/>
        <w:ind w:firstLine="480"/>
        <w:rPr>
          <w:rFonts w:ascii="Times New Roman" w:hAnsi="Times New Roman" w:cs="Times New Roman"/>
        </w:rPr>
      </w:pPr>
      <w:r>
        <w:rPr>
          <w:rFonts w:ascii="Times New Roman" w:hAnsi="Times New Roman" w:cs="Times New Roman" w:hint="eastAsia"/>
        </w:rPr>
        <w:t xml:space="preserve">7) </w:t>
      </w:r>
      <w:r>
        <w:rPr>
          <w:rFonts w:ascii="Times New Roman" w:hAnsi="Times New Roman" w:cs="Times New Roman" w:hint="eastAsia"/>
        </w:rPr>
        <w:t>对事故现场进行调查、监测、处理，对事故后果进行评估，密切关注保护区内水质变化情况，采取紧急措施制止事故的扩散、扩大、蔓延及连锁反应。</w:t>
      </w:r>
    </w:p>
    <w:p w14:paraId="2D1302F7" w14:textId="77777777" w:rsidR="007D1E74" w:rsidRDefault="00A95641">
      <w:pPr>
        <w:pStyle w:val="affffff6"/>
        <w:ind w:firstLine="480"/>
        <w:rPr>
          <w:rFonts w:ascii="Times New Roman" w:hAnsi="Times New Roman" w:cs="Times New Roman"/>
        </w:rPr>
      </w:pPr>
      <w:r>
        <w:rPr>
          <w:rFonts w:ascii="Times New Roman" w:hAnsi="Times New Roman" w:cs="Times New Roman" w:hint="eastAsia"/>
        </w:rPr>
        <w:t xml:space="preserve">8) </w:t>
      </w:r>
      <w:r>
        <w:rPr>
          <w:rFonts w:ascii="Times New Roman" w:hAnsi="Times New Roman" w:cs="Times New Roman" w:hint="eastAsia"/>
        </w:rPr>
        <w:t>管道投产运行后，加强对水源保护区段管道的维护力度和宣传力度，降低区段内管道受外界破坏的几率。</w:t>
      </w:r>
    </w:p>
    <w:p w14:paraId="4D658177" w14:textId="77777777" w:rsidR="007D1E74" w:rsidRDefault="00A95641">
      <w:pPr>
        <w:pStyle w:val="affffff6"/>
        <w:ind w:firstLine="480"/>
        <w:rPr>
          <w:rFonts w:ascii="Times New Roman" w:hAnsi="Times New Roman" w:cs="Times New Roman"/>
        </w:rPr>
      </w:pPr>
      <w:r>
        <w:rPr>
          <w:rFonts w:ascii="Times New Roman" w:hAnsi="Times New Roman" w:cs="Times New Roman"/>
        </w:rPr>
        <w:t>主要影响在施工期，且随着施工期的结束而消失，影响很小。管道正常运行期间不会对水源地造成影响。</w:t>
      </w:r>
    </w:p>
    <w:p w14:paraId="4A2493DD" w14:textId="77777777" w:rsidR="007D1E74" w:rsidRDefault="007D1E74">
      <w:pPr>
        <w:pStyle w:val="affffff6"/>
        <w:ind w:firstLineChars="0" w:firstLine="0"/>
        <w:rPr>
          <w:rFonts w:ascii="Times New Roman" w:hAnsi="Times New Roman" w:cs="Times New Roman"/>
        </w:rPr>
      </w:pPr>
    </w:p>
    <w:p w14:paraId="784952C2" w14:textId="77777777" w:rsidR="007D1E74" w:rsidRDefault="007D1E74">
      <w:pPr>
        <w:pStyle w:val="affffff6"/>
        <w:ind w:firstLine="480"/>
        <w:rPr>
          <w:rFonts w:ascii="Times New Roman" w:hAnsi="Times New Roman" w:cs="Times New Roman"/>
        </w:rPr>
      </w:pPr>
    </w:p>
    <w:p w14:paraId="2FF8D5A3" w14:textId="77777777" w:rsidR="007D1E74" w:rsidRDefault="007D1E74">
      <w:pPr>
        <w:pStyle w:val="affffff6"/>
        <w:ind w:firstLine="480"/>
        <w:rPr>
          <w:rFonts w:ascii="Times New Roman" w:hAnsi="Times New Roman" w:cs="Times New Roman"/>
        </w:rPr>
      </w:pPr>
    </w:p>
    <w:p w14:paraId="78289D1C" w14:textId="77777777" w:rsidR="007D1E74" w:rsidRDefault="00A95641">
      <w:pPr>
        <w:spacing w:line="360" w:lineRule="auto"/>
        <w:outlineLvl w:val="1"/>
        <w:rPr>
          <w:b/>
          <w:sz w:val="28"/>
          <w:szCs w:val="28"/>
        </w:rPr>
      </w:pPr>
      <w:r>
        <w:rPr>
          <w:b/>
          <w:sz w:val="28"/>
          <w:szCs w:val="28"/>
        </w:rPr>
        <w:t>6.4</w:t>
      </w:r>
      <w:r>
        <w:rPr>
          <w:b/>
          <w:sz w:val="28"/>
          <w:szCs w:val="28"/>
        </w:rPr>
        <w:t>社会环境影响分析</w:t>
      </w:r>
      <w:bookmarkEnd w:id="37"/>
    </w:p>
    <w:p w14:paraId="492045A4" w14:textId="77777777" w:rsidR="007D1E74" w:rsidRDefault="00A95641">
      <w:pPr>
        <w:spacing w:line="360" w:lineRule="auto"/>
        <w:outlineLvl w:val="2"/>
        <w:rPr>
          <w:b/>
          <w:sz w:val="28"/>
          <w:szCs w:val="28"/>
        </w:rPr>
      </w:pPr>
      <w:r>
        <w:rPr>
          <w:b/>
          <w:sz w:val="28"/>
          <w:szCs w:val="28"/>
        </w:rPr>
        <w:t>6.4.1</w:t>
      </w:r>
      <w:r>
        <w:rPr>
          <w:b/>
          <w:sz w:val="28"/>
          <w:szCs w:val="28"/>
        </w:rPr>
        <w:t>施工期社会环境影响分析</w:t>
      </w:r>
    </w:p>
    <w:p w14:paraId="761C71D4" w14:textId="77777777" w:rsidR="007D1E74" w:rsidRDefault="00A95641">
      <w:pPr>
        <w:spacing w:line="360" w:lineRule="auto"/>
        <w:outlineLvl w:val="2"/>
        <w:rPr>
          <w:b/>
          <w:bCs/>
          <w:sz w:val="24"/>
        </w:rPr>
      </w:pPr>
      <w:r>
        <w:rPr>
          <w:b/>
          <w:bCs/>
          <w:sz w:val="24"/>
        </w:rPr>
        <w:t>6.4.1.1</w:t>
      </w:r>
      <w:r>
        <w:rPr>
          <w:b/>
          <w:bCs/>
          <w:sz w:val="24"/>
        </w:rPr>
        <w:t>对居民居住</w:t>
      </w:r>
      <w:r>
        <w:rPr>
          <w:b/>
          <w:sz w:val="24"/>
        </w:rPr>
        <w:t>环境影响</w:t>
      </w:r>
      <w:r>
        <w:rPr>
          <w:b/>
          <w:bCs/>
          <w:sz w:val="24"/>
        </w:rPr>
        <w:t>分析</w:t>
      </w:r>
    </w:p>
    <w:p w14:paraId="3C47B645" w14:textId="77777777" w:rsidR="007D1E74" w:rsidRDefault="00A95641">
      <w:pPr>
        <w:spacing w:line="360" w:lineRule="auto"/>
        <w:ind w:firstLineChars="200" w:firstLine="480"/>
        <w:rPr>
          <w:sz w:val="24"/>
        </w:rPr>
      </w:pPr>
      <w:r>
        <w:rPr>
          <w:sz w:val="24"/>
        </w:rPr>
        <w:t>施工期间，施工噪声及施工扬尘可能短期内对沿线附近的居民生活环境产生一定的影响，根据计算结果，本项目施工期设备噪声声级值以施工管道沿线向外逐渐减弱，距声源</w:t>
      </w:r>
      <w:r>
        <w:rPr>
          <w:sz w:val="24"/>
        </w:rPr>
        <w:t>200m</w:t>
      </w:r>
      <w:r>
        <w:rPr>
          <w:sz w:val="24"/>
        </w:rPr>
        <w:t>以外挖掘机的噪声声级值已低于</w:t>
      </w:r>
      <w:r>
        <w:rPr>
          <w:sz w:val="24"/>
        </w:rPr>
        <w:t>55dB(A)</w:t>
      </w:r>
      <w:r>
        <w:rPr>
          <w:sz w:val="24"/>
        </w:rPr>
        <w:t>。管道两侧</w:t>
      </w:r>
      <w:r>
        <w:rPr>
          <w:sz w:val="24"/>
        </w:rPr>
        <w:t>200m</w:t>
      </w:r>
      <w:r>
        <w:rPr>
          <w:sz w:val="24"/>
        </w:rPr>
        <w:t>以内的噪声保护目标的声环境在施工期会受到施工噪声的影响，噪声水平有不同程度的增加，噪声值会超过标准限值。施工噪声是短暂的且具有分散性，一般在白天施工，不会对夜间声环境产生影响，在同一工段施工时间为</w:t>
      </w:r>
      <w:r>
        <w:rPr>
          <w:sz w:val="24"/>
        </w:rPr>
        <w:t>3-5</w:t>
      </w:r>
      <w:r>
        <w:rPr>
          <w:sz w:val="24"/>
        </w:rPr>
        <w:t>天，随着施工期的结束，影响也随之结束。施工单位和建设单位加强施工期的环境管理，尽可能将管道敷设的不良影响降到最低。</w:t>
      </w:r>
    </w:p>
    <w:p w14:paraId="26285068" w14:textId="77777777" w:rsidR="007D1E74" w:rsidRDefault="00A95641">
      <w:pPr>
        <w:spacing w:line="360" w:lineRule="auto"/>
        <w:outlineLvl w:val="2"/>
        <w:rPr>
          <w:b/>
          <w:sz w:val="24"/>
        </w:rPr>
      </w:pPr>
      <w:r>
        <w:rPr>
          <w:b/>
          <w:sz w:val="24"/>
        </w:rPr>
        <w:t>6.4.1.2</w:t>
      </w:r>
      <w:r>
        <w:rPr>
          <w:b/>
          <w:sz w:val="24"/>
        </w:rPr>
        <w:t>对农田水利设施的影响</w:t>
      </w:r>
    </w:p>
    <w:p w14:paraId="73A1695D" w14:textId="77777777" w:rsidR="007D1E74" w:rsidRDefault="00A95641">
      <w:pPr>
        <w:spacing w:line="360" w:lineRule="auto"/>
        <w:ind w:firstLineChars="200" w:firstLine="480"/>
        <w:rPr>
          <w:sz w:val="24"/>
        </w:rPr>
      </w:pPr>
      <w:r>
        <w:rPr>
          <w:sz w:val="24"/>
        </w:rPr>
        <w:t>本项目施工期间，由于沿线一般性农灌渠及排涝沟多采用大开挖穿越，施工期短期内会对地方农业环境产生一定的不利影响。管道施工时影响了其较为完善的农田供水管道系统等水利设施，管道施工期间对农业生产和生活有一定的影响。管道在有沟渠等水利设施区域内敷设时加大埋深，并且在施工完成后恢复原状，以减少相互影响。</w:t>
      </w:r>
    </w:p>
    <w:p w14:paraId="12540ED9" w14:textId="77777777" w:rsidR="007D1E74" w:rsidRDefault="00A95641">
      <w:pPr>
        <w:spacing w:line="360" w:lineRule="auto"/>
        <w:ind w:firstLineChars="200" w:firstLine="480"/>
        <w:rPr>
          <w:sz w:val="24"/>
        </w:rPr>
      </w:pPr>
      <w:r>
        <w:rPr>
          <w:sz w:val="24"/>
        </w:rPr>
        <w:t>总体而言，只要建设单位就线路穿越方案与沿线地方水利主管部门及其他有关职能部门协商解决，本项目建设对沿线区域农田水利设施的不利影响可以有效控制。</w:t>
      </w:r>
    </w:p>
    <w:p w14:paraId="3DCA4A43" w14:textId="77777777" w:rsidR="007D1E74" w:rsidRDefault="00A95641">
      <w:pPr>
        <w:spacing w:line="360" w:lineRule="auto"/>
        <w:outlineLvl w:val="2"/>
        <w:rPr>
          <w:b/>
          <w:sz w:val="24"/>
        </w:rPr>
      </w:pPr>
      <w:r>
        <w:rPr>
          <w:b/>
          <w:sz w:val="24"/>
        </w:rPr>
        <w:t>6.4.1.3</w:t>
      </w:r>
      <w:r>
        <w:rPr>
          <w:b/>
          <w:sz w:val="24"/>
        </w:rPr>
        <w:t>对地方交通环境影响分析</w:t>
      </w:r>
    </w:p>
    <w:p w14:paraId="148FC55C" w14:textId="77777777" w:rsidR="007D1E74" w:rsidRDefault="00A95641">
      <w:pPr>
        <w:spacing w:line="360" w:lineRule="auto"/>
        <w:ind w:firstLineChars="200" w:firstLine="480"/>
        <w:rPr>
          <w:sz w:val="24"/>
        </w:rPr>
      </w:pPr>
      <w:r>
        <w:rPr>
          <w:sz w:val="24"/>
        </w:rPr>
        <w:t>本项目沿线穿越道路仅为乡村道路，穿越乡村道路采用大开挖方式进行施工，施工期短期内会对地方居民出行及农作活动产生一定的影响，但由于施工时间短，此影响较小，施工结束后即可恢复。</w:t>
      </w:r>
    </w:p>
    <w:p w14:paraId="6A9305CE" w14:textId="77777777" w:rsidR="007D1E74" w:rsidRDefault="00A95641">
      <w:pPr>
        <w:spacing w:line="360" w:lineRule="auto"/>
        <w:ind w:firstLineChars="200" w:firstLine="480"/>
        <w:rPr>
          <w:sz w:val="24"/>
        </w:rPr>
      </w:pPr>
      <w:r>
        <w:rPr>
          <w:sz w:val="24"/>
        </w:rPr>
        <w:t>总体而言，建设单位只要提前作好于居民的沟通，本项目建设对沿线区域交通环境影响较小。</w:t>
      </w:r>
    </w:p>
    <w:p w14:paraId="25529032" w14:textId="77777777" w:rsidR="007D1E74" w:rsidRDefault="00A95641">
      <w:pPr>
        <w:spacing w:line="360" w:lineRule="auto"/>
        <w:outlineLvl w:val="2"/>
        <w:rPr>
          <w:b/>
          <w:sz w:val="24"/>
        </w:rPr>
      </w:pPr>
      <w:r>
        <w:rPr>
          <w:b/>
          <w:sz w:val="24"/>
        </w:rPr>
        <w:t>6.4.1.4</w:t>
      </w:r>
      <w:r>
        <w:rPr>
          <w:b/>
          <w:sz w:val="24"/>
        </w:rPr>
        <w:t>对居民生活质量的影响</w:t>
      </w:r>
    </w:p>
    <w:p w14:paraId="6B729844" w14:textId="77777777" w:rsidR="007D1E74" w:rsidRDefault="00A95641">
      <w:pPr>
        <w:spacing w:line="360" w:lineRule="auto"/>
        <w:ind w:firstLineChars="200" w:firstLine="480"/>
        <w:rPr>
          <w:sz w:val="24"/>
        </w:rPr>
      </w:pPr>
      <w:r>
        <w:rPr>
          <w:sz w:val="24"/>
        </w:rPr>
        <w:t>项目建设需要劳动力资源，可增加当地的就业机会。项目施工过程中可吸纳当地大量的地方民工。施工人员的进驻还可带动当地第三产业的发展，增加当地居民的收入。但是，施工期施工人员的大量进入会使当地的物价有所提高，增加当地居民的生活支出，</w:t>
      </w:r>
      <w:r>
        <w:rPr>
          <w:sz w:val="24"/>
        </w:rPr>
        <w:t xml:space="preserve"> </w:t>
      </w:r>
      <w:r>
        <w:rPr>
          <w:sz w:val="24"/>
        </w:rPr>
        <w:t>对当地居民的正常生活造成不利影响。施工人员往往会带来健康与社会问题，包括疾病、</w:t>
      </w:r>
      <w:r>
        <w:rPr>
          <w:sz w:val="24"/>
        </w:rPr>
        <w:lastRenderedPageBreak/>
        <w:t>生活习性、就业压力等，这些都将影响当地居民的生活方式。</w:t>
      </w:r>
    </w:p>
    <w:p w14:paraId="26485B32" w14:textId="77777777" w:rsidR="007D1E74" w:rsidRDefault="00A95641">
      <w:pPr>
        <w:spacing w:line="360" w:lineRule="auto"/>
        <w:ind w:firstLineChars="200" w:firstLine="480"/>
        <w:rPr>
          <w:sz w:val="24"/>
        </w:rPr>
      </w:pPr>
      <w:r>
        <w:rPr>
          <w:sz w:val="24"/>
        </w:rPr>
        <w:t>拟建天然气管道位于农村区域，避让了城市规划区和集中规划区等居民集中区域，施工期间施工机械的虽然大量进入，但运行中产生的噪声、振动、扬尘等距离集中居民区还有一定距离，因此不会对附近居民的正常生活产生较大干扰。</w:t>
      </w:r>
    </w:p>
    <w:p w14:paraId="40DF559F" w14:textId="77777777" w:rsidR="007D1E74" w:rsidRDefault="00A95641">
      <w:pPr>
        <w:spacing w:line="360" w:lineRule="auto"/>
        <w:ind w:firstLineChars="200" w:firstLine="480"/>
        <w:rPr>
          <w:sz w:val="24"/>
        </w:rPr>
      </w:pPr>
      <w:r>
        <w:rPr>
          <w:sz w:val="24"/>
        </w:rPr>
        <w:t>管道施工是分段进行，施工期影响是局部和暂时的，随着施工的结束，造成的影响也随即消除。通过加强与周围居民的沟通，取得谅解，则施工期的影响是可以接受的。</w:t>
      </w:r>
    </w:p>
    <w:p w14:paraId="52E4810A" w14:textId="77777777" w:rsidR="007D1E74" w:rsidRDefault="00A95641">
      <w:pPr>
        <w:spacing w:line="360" w:lineRule="auto"/>
        <w:outlineLvl w:val="2"/>
        <w:rPr>
          <w:b/>
          <w:sz w:val="24"/>
        </w:rPr>
      </w:pPr>
      <w:r>
        <w:rPr>
          <w:b/>
          <w:sz w:val="24"/>
        </w:rPr>
        <w:t>6.4.1.5</w:t>
      </w:r>
      <w:r>
        <w:rPr>
          <w:b/>
          <w:sz w:val="24"/>
        </w:rPr>
        <w:t>占地拆迁的影响</w:t>
      </w:r>
    </w:p>
    <w:p w14:paraId="23373307" w14:textId="77777777" w:rsidR="007D1E74" w:rsidRDefault="00A95641">
      <w:pPr>
        <w:spacing w:line="360" w:lineRule="auto"/>
        <w:ind w:firstLineChars="200" w:firstLine="480"/>
        <w:rPr>
          <w:sz w:val="24"/>
        </w:rPr>
      </w:pPr>
      <w:r>
        <w:rPr>
          <w:sz w:val="24"/>
        </w:rPr>
        <w:t>根据本项目设计资料，项目沿线无工程拆迁和环保拆迁，仅管道在农田区敷设时，</w:t>
      </w:r>
      <w:r>
        <w:rPr>
          <w:sz w:val="24"/>
        </w:rPr>
        <w:t xml:space="preserve"> </w:t>
      </w:r>
      <w:r>
        <w:rPr>
          <w:sz w:val="24"/>
        </w:rPr>
        <w:t>要损坏周边农田的小型排水沟和农田田坎，敷设完毕后，需要对毁坏的排水沟和田坎进行恢复。因此，项目建设占地拆迁不会产生较大影响。</w:t>
      </w:r>
    </w:p>
    <w:p w14:paraId="17AD5795" w14:textId="77777777" w:rsidR="007D1E74" w:rsidRDefault="00A95641">
      <w:pPr>
        <w:spacing w:line="360" w:lineRule="auto"/>
        <w:outlineLvl w:val="2"/>
        <w:rPr>
          <w:b/>
          <w:sz w:val="28"/>
          <w:szCs w:val="28"/>
        </w:rPr>
      </w:pPr>
      <w:r>
        <w:rPr>
          <w:b/>
          <w:sz w:val="28"/>
          <w:szCs w:val="28"/>
        </w:rPr>
        <w:t>6.4.2</w:t>
      </w:r>
      <w:r>
        <w:rPr>
          <w:b/>
          <w:sz w:val="28"/>
          <w:szCs w:val="28"/>
        </w:rPr>
        <w:t>运营期社会环境影响预测与分析</w:t>
      </w:r>
    </w:p>
    <w:p w14:paraId="70059FE8" w14:textId="77777777" w:rsidR="007D1E74" w:rsidRDefault="00A95641">
      <w:pPr>
        <w:spacing w:line="360" w:lineRule="auto"/>
        <w:ind w:firstLineChars="200" w:firstLine="480"/>
        <w:rPr>
          <w:sz w:val="24"/>
        </w:rPr>
      </w:pPr>
      <w:r>
        <w:rPr>
          <w:sz w:val="24"/>
        </w:rPr>
        <w:t>本项目管道敷设在地下，进行密闭输送，运营后沿线工程扰动区域内的土壤、农作物、道路交通等逐渐恢复。本项目营运期对社会环境不会造成明显影响。</w:t>
      </w:r>
    </w:p>
    <w:p w14:paraId="22D46AA3" w14:textId="77777777" w:rsidR="007D1E74" w:rsidRDefault="00A95641">
      <w:pPr>
        <w:spacing w:line="360" w:lineRule="auto"/>
        <w:outlineLvl w:val="2"/>
        <w:rPr>
          <w:b/>
          <w:sz w:val="28"/>
          <w:szCs w:val="28"/>
        </w:rPr>
      </w:pPr>
      <w:r>
        <w:rPr>
          <w:b/>
          <w:sz w:val="28"/>
          <w:szCs w:val="28"/>
        </w:rPr>
        <w:t>6.4.3</w:t>
      </w:r>
      <w:r>
        <w:rPr>
          <w:b/>
          <w:sz w:val="28"/>
          <w:szCs w:val="28"/>
        </w:rPr>
        <w:t>小结</w:t>
      </w:r>
    </w:p>
    <w:p w14:paraId="4A0BC3A9" w14:textId="77777777" w:rsidR="007D1E74" w:rsidRDefault="00A95641">
      <w:pPr>
        <w:spacing w:line="360" w:lineRule="auto"/>
        <w:ind w:firstLineChars="200" w:firstLine="480"/>
        <w:rPr>
          <w:sz w:val="24"/>
        </w:rPr>
      </w:pPr>
      <w:r>
        <w:rPr>
          <w:sz w:val="24"/>
        </w:rPr>
        <w:t>本工程建设过程中将投入大量建设资金，为当地居民提供了就业渠道和增加收入的来源。施工人员排放的生活垃圾、生活污水、粪便，如不妥善处置，容易引起鼠、蚊、蝇的孳生，造成工区环境卫生质量下降和疾病传播，危害施工人员身体健康，进而影响工程进度。另外施工中产生的三废对现场作业人员身体健康也有一定的影响，需采取防治的对策措施。</w:t>
      </w:r>
    </w:p>
    <w:p w14:paraId="405DF912" w14:textId="77777777" w:rsidR="007D1E74" w:rsidRDefault="00A95641">
      <w:pPr>
        <w:spacing w:line="360" w:lineRule="auto"/>
        <w:ind w:firstLineChars="200" w:firstLine="480"/>
        <w:rPr>
          <w:sz w:val="24"/>
        </w:rPr>
      </w:pPr>
      <w:r>
        <w:rPr>
          <w:sz w:val="24"/>
        </w:rPr>
        <w:t>同时项目建设征地会对居民的农业生产及经济生活带来一定不利影响。如施工期临时占用导致耕地、林地面积减少，影响其原有生活水平。工程考虑补偿、生产设施调配等方案，在具体操作过程中要尽量使受影响村民生活水平不低于原有水平。</w:t>
      </w:r>
    </w:p>
    <w:p w14:paraId="7028F6BC" w14:textId="77777777" w:rsidR="007D1E74" w:rsidRDefault="00A95641">
      <w:pPr>
        <w:spacing w:line="360" w:lineRule="auto"/>
        <w:ind w:firstLineChars="200" w:firstLine="480"/>
        <w:rPr>
          <w:sz w:val="24"/>
        </w:rPr>
      </w:pPr>
      <w:r>
        <w:rPr>
          <w:sz w:val="24"/>
        </w:rPr>
        <w:t>项目建成后，有利于加快沿线的经济建设步伐，全面促进当地经济的发展，项目建设对社会环境影响较小。</w:t>
      </w:r>
    </w:p>
    <w:p w14:paraId="6E8E8A46" w14:textId="77777777" w:rsidR="007D1E74" w:rsidRDefault="00A95641">
      <w:pPr>
        <w:rPr>
          <w:sz w:val="24"/>
        </w:rPr>
      </w:pPr>
      <w:r>
        <w:rPr>
          <w:sz w:val="24"/>
        </w:rPr>
        <w:br w:type="page"/>
      </w:r>
    </w:p>
    <w:p w14:paraId="6D5B828F" w14:textId="77777777" w:rsidR="007D1E74" w:rsidRDefault="007D1E74">
      <w:pPr>
        <w:pStyle w:val="afffffe"/>
        <w:numPr>
          <w:ilvl w:val="0"/>
          <w:numId w:val="12"/>
        </w:numPr>
        <w:spacing w:line="360" w:lineRule="auto"/>
        <w:ind w:firstLineChars="0"/>
        <w:outlineLvl w:val="0"/>
        <w:rPr>
          <w:rFonts w:eastAsia="黑体"/>
          <w:vanish/>
          <w:color w:val="7030A0"/>
          <w:sz w:val="32"/>
          <w:szCs w:val="24"/>
        </w:rPr>
      </w:pPr>
    </w:p>
    <w:p w14:paraId="6AAC8DC6" w14:textId="77777777" w:rsidR="007D1E74" w:rsidRDefault="007D1E74">
      <w:pPr>
        <w:pStyle w:val="afffffe"/>
        <w:numPr>
          <w:ilvl w:val="0"/>
          <w:numId w:val="12"/>
        </w:numPr>
        <w:spacing w:line="360" w:lineRule="auto"/>
        <w:ind w:firstLineChars="0"/>
        <w:outlineLvl w:val="0"/>
        <w:rPr>
          <w:rFonts w:eastAsia="黑体"/>
          <w:vanish/>
          <w:color w:val="7030A0"/>
          <w:sz w:val="32"/>
          <w:szCs w:val="24"/>
        </w:rPr>
      </w:pPr>
    </w:p>
    <w:p w14:paraId="78C7DF6F" w14:textId="77777777" w:rsidR="007D1E74" w:rsidRDefault="007D1E74">
      <w:pPr>
        <w:pStyle w:val="afffffe"/>
        <w:numPr>
          <w:ilvl w:val="0"/>
          <w:numId w:val="12"/>
        </w:numPr>
        <w:spacing w:line="360" w:lineRule="auto"/>
        <w:ind w:firstLineChars="0"/>
        <w:outlineLvl w:val="0"/>
        <w:rPr>
          <w:rFonts w:eastAsia="黑体"/>
          <w:vanish/>
          <w:color w:val="7030A0"/>
          <w:sz w:val="32"/>
          <w:szCs w:val="24"/>
        </w:rPr>
      </w:pPr>
    </w:p>
    <w:p w14:paraId="26D3A4DB" w14:textId="77777777" w:rsidR="007D1E74" w:rsidRDefault="007D1E74">
      <w:pPr>
        <w:pStyle w:val="afffffe"/>
        <w:numPr>
          <w:ilvl w:val="0"/>
          <w:numId w:val="12"/>
        </w:numPr>
        <w:spacing w:line="360" w:lineRule="auto"/>
        <w:ind w:firstLineChars="0"/>
        <w:outlineLvl w:val="0"/>
        <w:rPr>
          <w:rFonts w:eastAsia="黑体"/>
          <w:vanish/>
          <w:color w:val="7030A0"/>
          <w:sz w:val="32"/>
          <w:szCs w:val="24"/>
        </w:rPr>
      </w:pPr>
    </w:p>
    <w:p w14:paraId="20681F08" w14:textId="77777777" w:rsidR="007D1E74" w:rsidRDefault="007D1E74">
      <w:pPr>
        <w:pStyle w:val="afffffe"/>
        <w:numPr>
          <w:ilvl w:val="0"/>
          <w:numId w:val="12"/>
        </w:numPr>
        <w:spacing w:line="360" w:lineRule="auto"/>
        <w:ind w:firstLineChars="0"/>
        <w:outlineLvl w:val="0"/>
        <w:rPr>
          <w:rFonts w:eastAsia="黑体"/>
          <w:vanish/>
          <w:color w:val="7030A0"/>
          <w:sz w:val="32"/>
          <w:szCs w:val="24"/>
        </w:rPr>
      </w:pPr>
    </w:p>
    <w:p w14:paraId="557B3598" w14:textId="77777777" w:rsidR="007D1E74" w:rsidRDefault="007D1E74">
      <w:pPr>
        <w:pStyle w:val="afffffe"/>
        <w:numPr>
          <w:ilvl w:val="0"/>
          <w:numId w:val="12"/>
        </w:numPr>
        <w:spacing w:line="360" w:lineRule="auto"/>
        <w:ind w:firstLineChars="0"/>
        <w:outlineLvl w:val="0"/>
        <w:rPr>
          <w:rFonts w:eastAsia="黑体"/>
          <w:vanish/>
          <w:color w:val="7030A0"/>
          <w:sz w:val="32"/>
          <w:szCs w:val="24"/>
        </w:rPr>
      </w:pPr>
    </w:p>
    <w:p w14:paraId="72C3F131" w14:textId="77777777" w:rsidR="007D1E74" w:rsidRDefault="00A95641">
      <w:pPr>
        <w:pStyle w:val="a7"/>
      </w:pPr>
      <w:r>
        <w:rPr>
          <w:rFonts w:hint="eastAsia"/>
        </w:rPr>
        <w:t>环境风险评价</w:t>
      </w:r>
    </w:p>
    <w:p w14:paraId="6208D0FF" w14:textId="77777777" w:rsidR="007D1E74" w:rsidRDefault="00A95641">
      <w:pPr>
        <w:pStyle w:val="a8"/>
      </w:pPr>
      <w:r>
        <w:rPr>
          <w:rFonts w:hint="eastAsia"/>
        </w:rPr>
        <w:t>评价目的与原则</w:t>
      </w:r>
    </w:p>
    <w:p w14:paraId="0746AB92" w14:textId="77777777" w:rsidR="007D1E74" w:rsidRDefault="00A95641">
      <w:pPr>
        <w:pStyle w:val="a9"/>
      </w:pPr>
      <w:r>
        <w:rPr>
          <w:rFonts w:hint="eastAsia"/>
        </w:rPr>
        <w:t>评价目的</w:t>
      </w:r>
    </w:p>
    <w:p w14:paraId="3D30A6DA" w14:textId="77777777" w:rsidR="007D1E74" w:rsidRDefault="00A95641">
      <w:pPr>
        <w:spacing w:line="360" w:lineRule="auto"/>
        <w:ind w:firstLineChars="200" w:firstLine="480"/>
        <w:rPr>
          <w:sz w:val="24"/>
          <w:szCs w:val="24"/>
        </w:rPr>
      </w:pPr>
      <w:r>
        <w:rPr>
          <w:rFonts w:cs="Times New Roman" w:hint="eastAsia"/>
          <w:sz w:val="24"/>
          <w:szCs w:val="24"/>
        </w:rPr>
        <w:t>环境风险评价目的是分析和预测建设项目存在的潜在危险、有害因素，建设项目建设和运行期间可能发生的突发性事件或事故（一般不包括人为破坏及自然灾害），引起有毒有害和易燃易爆等物质泄漏，所造成的人身安全与环境影响和损害程度，提出合理可行的防范、应急与减缓措施，以将风险可能性和危害程度降至最低。</w:t>
      </w:r>
    </w:p>
    <w:p w14:paraId="0E7DD67C" w14:textId="77777777" w:rsidR="007D1E74" w:rsidRDefault="00A95641">
      <w:pPr>
        <w:pStyle w:val="a9"/>
      </w:pPr>
      <w:r>
        <w:rPr>
          <w:rFonts w:hint="eastAsia"/>
        </w:rPr>
        <w:t>评价原则</w:t>
      </w:r>
    </w:p>
    <w:p w14:paraId="0C9A0BFF" w14:textId="77777777" w:rsidR="007D1E74" w:rsidRDefault="00A95641">
      <w:pPr>
        <w:spacing w:line="360" w:lineRule="auto"/>
        <w:ind w:firstLineChars="200" w:firstLine="480"/>
        <w:rPr>
          <w:sz w:val="24"/>
          <w:szCs w:val="24"/>
        </w:rPr>
      </w:pPr>
      <w:r>
        <w:rPr>
          <w:rFonts w:hint="eastAsia"/>
          <w:sz w:val="24"/>
          <w:szCs w:val="24"/>
        </w:rPr>
        <w:t>环境风险评价应以突发性事故导致的危险物质环境急性损害防控为目标，对建设项目的环境风险进行分析、预测和评估，提出环境风险预防、控制、减缓措施，明确环境风险监控及应急建议要求，为建设项目环境风险防控提供科学依据。</w:t>
      </w:r>
    </w:p>
    <w:p w14:paraId="0CCAEAEA" w14:textId="77777777" w:rsidR="007D1E74" w:rsidRDefault="00A95641">
      <w:pPr>
        <w:pStyle w:val="a8"/>
      </w:pPr>
      <w:r>
        <w:rPr>
          <w:rFonts w:hint="eastAsia"/>
        </w:rPr>
        <w:t>风险调查</w:t>
      </w:r>
    </w:p>
    <w:p w14:paraId="5FA2CC1A" w14:textId="77777777" w:rsidR="007D1E74" w:rsidRDefault="00A95641">
      <w:pPr>
        <w:pStyle w:val="a9"/>
      </w:pPr>
      <w:r>
        <w:rPr>
          <w:rFonts w:hint="eastAsia"/>
        </w:rPr>
        <w:t>建设项目风险源调查</w:t>
      </w:r>
    </w:p>
    <w:p w14:paraId="037CEB06" w14:textId="77777777" w:rsidR="007D1E74" w:rsidRDefault="00A95641">
      <w:pPr>
        <w:spacing w:line="360" w:lineRule="auto"/>
        <w:ind w:firstLineChars="200" w:firstLine="480"/>
        <w:rPr>
          <w:rFonts w:cs="Times New Roman"/>
          <w:sz w:val="24"/>
          <w:szCs w:val="24"/>
        </w:rPr>
      </w:pPr>
      <w:r>
        <w:rPr>
          <w:rFonts w:cs="Times New Roman"/>
          <w:sz w:val="24"/>
          <w:szCs w:val="24"/>
        </w:rPr>
        <w:t>根据建设项目危险物质数量和分布情况、生产工艺特点分析，运营期</w:t>
      </w:r>
      <w:bookmarkStart w:id="38" w:name="_Hlk98357562"/>
      <w:r>
        <w:rPr>
          <w:rFonts w:cs="Times New Roman"/>
          <w:sz w:val="24"/>
          <w:szCs w:val="24"/>
        </w:rPr>
        <w:t>主要风险源为集输管道，</w:t>
      </w:r>
      <w:r>
        <w:rPr>
          <w:rFonts w:cs="Times New Roman" w:hint="eastAsia"/>
          <w:sz w:val="24"/>
          <w:szCs w:val="24"/>
        </w:rPr>
        <w:t>输送介质</w:t>
      </w:r>
      <w:r>
        <w:rPr>
          <w:rFonts w:cs="Times New Roman"/>
          <w:sz w:val="24"/>
          <w:szCs w:val="24"/>
        </w:rPr>
        <w:t>为不含硫化氢的天然气</w:t>
      </w:r>
      <w:r>
        <w:rPr>
          <w:rFonts w:cs="Times New Roman" w:hint="eastAsia"/>
          <w:sz w:val="24"/>
          <w:szCs w:val="24"/>
        </w:rPr>
        <w:t>，</w:t>
      </w:r>
      <w:r>
        <w:rPr>
          <w:rFonts w:cs="Times New Roman"/>
          <w:sz w:val="24"/>
          <w:szCs w:val="24"/>
        </w:rPr>
        <w:t>主要成分为甲烷，</w:t>
      </w:r>
      <w:r>
        <w:rPr>
          <w:rFonts w:cs="Times New Roman" w:hint="eastAsia"/>
          <w:sz w:val="24"/>
          <w:szCs w:val="24"/>
        </w:rPr>
        <w:t>另有少量乙烷和丙烷</w:t>
      </w:r>
      <w:bookmarkEnd w:id="38"/>
      <w:r>
        <w:rPr>
          <w:rFonts w:cs="Times New Roman" w:hint="eastAsia"/>
          <w:sz w:val="24"/>
          <w:szCs w:val="24"/>
        </w:rPr>
        <w:t>。按照《石油天然气工程设计防火规范》（</w:t>
      </w:r>
      <w:r>
        <w:rPr>
          <w:rFonts w:cs="Times New Roman" w:hint="eastAsia"/>
          <w:sz w:val="24"/>
          <w:szCs w:val="24"/>
        </w:rPr>
        <w:t>GB50183-2015</w:t>
      </w:r>
      <w:r>
        <w:rPr>
          <w:rFonts w:cs="Times New Roman" w:hint="eastAsia"/>
          <w:sz w:val="24"/>
          <w:szCs w:val="24"/>
        </w:rPr>
        <w:t>）的有关规定，天然气的火灾危险性类别为甲</w:t>
      </w:r>
      <w:r>
        <w:rPr>
          <w:rFonts w:cs="Times New Roman" w:hint="eastAsia"/>
          <w:sz w:val="24"/>
          <w:szCs w:val="24"/>
        </w:rPr>
        <w:t>B</w:t>
      </w:r>
      <w:r>
        <w:rPr>
          <w:rFonts w:cs="Times New Roman" w:hint="eastAsia"/>
          <w:sz w:val="24"/>
          <w:szCs w:val="24"/>
        </w:rPr>
        <w:t>类</w:t>
      </w:r>
      <w:r>
        <w:rPr>
          <w:rFonts w:cs="Times New Roman"/>
          <w:sz w:val="24"/>
          <w:szCs w:val="24"/>
        </w:rPr>
        <w:t>。</w:t>
      </w:r>
    </w:p>
    <w:p w14:paraId="6A50F608" w14:textId="77777777" w:rsidR="007D1E74" w:rsidRDefault="00A95641">
      <w:pPr>
        <w:pStyle w:val="a9"/>
      </w:pPr>
      <w:r>
        <w:rPr>
          <w:rFonts w:hint="eastAsia"/>
        </w:rPr>
        <w:t>环境敏感目标调查</w:t>
      </w:r>
    </w:p>
    <w:p w14:paraId="3EFB7B3B" w14:textId="77777777" w:rsidR="007D1E74" w:rsidRDefault="00A95641">
      <w:pPr>
        <w:spacing w:line="360" w:lineRule="auto"/>
        <w:ind w:firstLineChars="200" w:firstLine="480"/>
        <w:rPr>
          <w:sz w:val="24"/>
          <w:szCs w:val="24"/>
        </w:rPr>
      </w:pPr>
      <w:r>
        <w:rPr>
          <w:rFonts w:hint="eastAsia"/>
          <w:sz w:val="24"/>
          <w:szCs w:val="24"/>
        </w:rPr>
        <w:t>本项目环境风险评价工作等级为二级，本次大气环境风险评价范围为管道中心线两侧</w:t>
      </w:r>
      <w:r>
        <w:rPr>
          <w:sz w:val="24"/>
          <w:szCs w:val="24"/>
        </w:rPr>
        <w:t>200m</w:t>
      </w:r>
      <w:r>
        <w:rPr>
          <w:rFonts w:hint="eastAsia"/>
          <w:sz w:val="24"/>
          <w:szCs w:val="24"/>
        </w:rPr>
        <w:t>范围，地下水环境风险评价范围同地下水评价范围。通过危险物质可能的影响途径，以及对评价范围内社会关注点逐一排查，环境风险评价范围敏感目标调查结果见下表。</w:t>
      </w:r>
    </w:p>
    <w:p w14:paraId="50B3569B" w14:textId="77777777" w:rsidR="007D1E74" w:rsidRDefault="00A95641">
      <w:pPr>
        <w:pStyle w:val="afffffe"/>
        <w:numPr>
          <w:ilvl w:val="0"/>
          <w:numId w:val="46"/>
        </w:numPr>
        <w:spacing w:line="360" w:lineRule="auto"/>
        <w:ind w:firstLineChars="0"/>
        <w:jc w:val="center"/>
        <w:rPr>
          <w:rFonts w:eastAsia="黑体" w:cs="Times New Roman"/>
          <w:szCs w:val="21"/>
        </w:rPr>
      </w:pPr>
      <w:r>
        <w:rPr>
          <w:rFonts w:eastAsia="黑体" w:cs="Times New Roman" w:hint="eastAsia"/>
          <w:szCs w:val="21"/>
        </w:rPr>
        <w:t>项目环境敏感特征表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766"/>
        <w:gridCol w:w="2568"/>
        <w:gridCol w:w="1199"/>
        <w:gridCol w:w="1138"/>
        <w:gridCol w:w="1278"/>
        <w:gridCol w:w="1363"/>
      </w:tblGrid>
      <w:tr w:rsidR="007D1E74" w14:paraId="052262D0" w14:textId="77777777">
        <w:trPr>
          <w:tblHeader/>
        </w:trPr>
        <w:tc>
          <w:tcPr>
            <w:tcW w:w="390" w:type="pct"/>
            <w:shd w:val="clear" w:color="auto" w:fill="auto"/>
            <w:vAlign w:val="center"/>
          </w:tcPr>
          <w:p w14:paraId="0B0E5FCA" w14:textId="77777777" w:rsidR="007D1E74" w:rsidRDefault="00A95641">
            <w:pPr>
              <w:widowControl/>
              <w:jc w:val="center"/>
              <w:rPr>
                <w:rFonts w:cs="Times New Roman"/>
                <w:kern w:val="0"/>
                <w:szCs w:val="21"/>
              </w:rPr>
            </w:pPr>
            <w:r>
              <w:rPr>
                <w:rFonts w:cs="Times New Roman"/>
                <w:kern w:val="0"/>
                <w:szCs w:val="21"/>
              </w:rPr>
              <w:t>类别</w:t>
            </w:r>
          </w:p>
        </w:tc>
        <w:tc>
          <w:tcPr>
            <w:tcW w:w="4610" w:type="pct"/>
            <w:gridSpan w:val="6"/>
            <w:shd w:val="clear" w:color="auto" w:fill="auto"/>
            <w:vAlign w:val="center"/>
          </w:tcPr>
          <w:p w14:paraId="417D75F1" w14:textId="77777777" w:rsidR="007D1E74" w:rsidRDefault="00A95641">
            <w:pPr>
              <w:widowControl/>
              <w:jc w:val="center"/>
              <w:rPr>
                <w:rFonts w:cs="Times New Roman"/>
                <w:kern w:val="0"/>
                <w:szCs w:val="21"/>
              </w:rPr>
            </w:pPr>
            <w:r>
              <w:rPr>
                <w:rFonts w:cs="Times New Roman"/>
                <w:kern w:val="0"/>
                <w:szCs w:val="21"/>
              </w:rPr>
              <w:t>环境敏感特征</w:t>
            </w:r>
          </w:p>
        </w:tc>
      </w:tr>
      <w:tr w:rsidR="007D1E74" w14:paraId="12797B29" w14:textId="77777777">
        <w:tc>
          <w:tcPr>
            <w:tcW w:w="390" w:type="pct"/>
            <w:vMerge w:val="restart"/>
            <w:shd w:val="clear" w:color="auto" w:fill="auto"/>
            <w:vAlign w:val="center"/>
          </w:tcPr>
          <w:p w14:paraId="13358B40" w14:textId="77777777" w:rsidR="007D1E74" w:rsidRDefault="00A95641">
            <w:pPr>
              <w:widowControl/>
              <w:jc w:val="center"/>
              <w:rPr>
                <w:rFonts w:cs="Times New Roman"/>
                <w:kern w:val="0"/>
                <w:szCs w:val="21"/>
              </w:rPr>
            </w:pPr>
            <w:r>
              <w:rPr>
                <w:rFonts w:cs="Times New Roman"/>
                <w:kern w:val="0"/>
                <w:szCs w:val="21"/>
              </w:rPr>
              <w:t>环境空气</w:t>
            </w:r>
          </w:p>
        </w:tc>
        <w:tc>
          <w:tcPr>
            <w:tcW w:w="4610" w:type="pct"/>
            <w:gridSpan w:val="6"/>
            <w:shd w:val="clear" w:color="auto" w:fill="auto"/>
            <w:vAlign w:val="center"/>
          </w:tcPr>
          <w:p w14:paraId="082BC6E2" w14:textId="77777777" w:rsidR="007D1E74" w:rsidRDefault="00A95641">
            <w:pPr>
              <w:widowControl/>
              <w:jc w:val="center"/>
              <w:rPr>
                <w:rFonts w:cs="Times New Roman"/>
                <w:kern w:val="0"/>
                <w:szCs w:val="21"/>
              </w:rPr>
            </w:pPr>
            <w:r>
              <w:rPr>
                <w:rFonts w:cs="Times New Roman"/>
                <w:kern w:val="0"/>
                <w:szCs w:val="21"/>
                <w:u w:val="single"/>
              </w:rPr>
              <w:t xml:space="preserve"> </w:t>
            </w:r>
            <w:r>
              <w:rPr>
                <w:rFonts w:cs="Times New Roman" w:hint="eastAsia"/>
                <w:kern w:val="0"/>
                <w:szCs w:val="21"/>
                <w:u w:val="single"/>
              </w:rPr>
              <w:t>1#</w:t>
            </w:r>
            <w:r>
              <w:rPr>
                <w:rFonts w:cs="Times New Roman" w:hint="eastAsia"/>
                <w:kern w:val="0"/>
                <w:szCs w:val="21"/>
                <w:u w:val="single"/>
              </w:rPr>
              <w:t>阀室至马</w:t>
            </w:r>
            <w:r>
              <w:rPr>
                <w:rFonts w:cs="Times New Roman" w:hint="eastAsia"/>
                <w:kern w:val="0"/>
                <w:szCs w:val="21"/>
                <w:u w:val="single"/>
              </w:rPr>
              <w:t>1-11</w:t>
            </w:r>
            <w:r>
              <w:rPr>
                <w:rFonts w:cs="Times New Roman" w:hint="eastAsia"/>
                <w:kern w:val="0"/>
                <w:szCs w:val="21"/>
                <w:u w:val="single"/>
              </w:rPr>
              <w:t>脱水井场集输干线</w:t>
            </w:r>
            <w:r>
              <w:rPr>
                <w:rFonts w:cs="Times New Roman"/>
                <w:kern w:val="0"/>
                <w:szCs w:val="21"/>
                <w:u w:val="single"/>
              </w:rPr>
              <w:t xml:space="preserve"> </w:t>
            </w:r>
            <w:r>
              <w:rPr>
                <w:rFonts w:cs="Times New Roman"/>
                <w:kern w:val="0"/>
                <w:szCs w:val="21"/>
              </w:rPr>
              <w:t>200m</w:t>
            </w:r>
            <w:r>
              <w:rPr>
                <w:rFonts w:cs="Times New Roman"/>
                <w:kern w:val="0"/>
                <w:szCs w:val="21"/>
              </w:rPr>
              <w:t>范围内</w:t>
            </w:r>
          </w:p>
        </w:tc>
      </w:tr>
      <w:tr w:rsidR="007D1E74" w14:paraId="3923EA6E" w14:textId="77777777">
        <w:tc>
          <w:tcPr>
            <w:tcW w:w="390" w:type="pct"/>
            <w:vMerge/>
            <w:vAlign w:val="center"/>
          </w:tcPr>
          <w:p w14:paraId="59768A11" w14:textId="77777777" w:rsidR="007D1E74" w:rsidRDefault="007D1E74">
            <w:pPr>
              <w:widowControl/>
              <w:jc w:val="left"/>
              <w:rPr>
                <w:rFonts w:cs="Times New Roman"/>
                <w:kern w:val="0"/>
                <w:szCs w:val="21"/>
              </w:rPr>
            </w:pPr>
          </w:p>
        </w:tc>
        <w:tc>
          <w:tcPr>
            <w:tcW w:w="425" w:type="pct"/>
            <w:shd w:val="clear" w:color="auto" w:fill="auto"/>
            <w:vAlign w:val="center"/>
          </w:tcPr>
          <w:p w14:paraId="339B9487" w14:textId="77777777" w:rsidR="007D1E74" w:rsidRDefault="00A95641">
            <w:pPr>
              <w:widowControl/>
              <w:jc w:val="center"/>
              <w:rPr>
                <w:rFonts w:cs="Times New Roman"/>
                <w:kern w:val="0"/>
                <w:szCs w:val="21"/>
              </w:rPr>
            </w:pPr>
            <w:r>
              <w:rPr>
                <w:rFonts w:cs="Times New Roman"/>
                <w:kern w:val="0"/>
                <w:szCs w:val="21"/>
              </w:rPr>
              <w:t>序号</w:t>
            </w:r>
          </w:p>
        </w:tc>
        <w:tc>
          <w:tcPr>
            <w:tcW w:w="1424" w:type="pct"/>
            <w:shd w:val="clear" w:color="auto" w:fill="auto"/>
            <w:vAlign w:val="center"/>
          </w:tcPr>
          <w:p w14:paraId="729DDD86" w14:textId="77777777" w:rsidR="007D1E74" w:rsidRDefault="00A95641">
            <w:pPr>
              <w:widowControl/>
              <w:jc w:val="center"/>
              <w:rPr>
                <w:rFonts w:cs="Times New Roman"/>
                <w:kern w:val="0"/>
                <w:szCs w:val="21"/>
              </w:rPr>
            </w:pPr>
            <w:r>
              <w:rPr>
                <w:rFonts w:cs="Times New Roman"/>
                <w:kern w:val="0"/>
                <w:szCs w:val="21"/>
              </w:rPr>
              <w:t>敏感目标</w:t>
            </w:r>
          </w:p>
        </w:tc>
        <w:tc>
          <w:tcPr>
            <w:tcW w:w="665" w:type="pct"/>
            <w:shd w:val="clear" w:color="auto" w:fill="auto"/>
            <w:vAlign w:val="center"/>
          </w:tcPr>
          <w:p w14:paraId="2D485FC2" w14:textId="77777777" w:rsidR="007D1E74" w:rsidRDefault="00A95641">
            <w:pPr>
              <w:widowControl/>
              <w:jc w:val="center"/>
              <w:rPr>
                <w:rFonts w:cs="Times New Roman"/>
                <w:kern w:val="0"/>
                <w:szCs w:val="21"/>
              </w:rPr>
            </w:pPr>
            <w:r>
              <w:rPr>
                <w:rFonts w:cs="Times New Roman"/>
                <w:kern w:val="0"/>
                <w:szCs w:val="21"/>
              </w:rPr>
              <w:t>相对方位</w:t>
            </w:r>
          </w:p>
        </w:tc>
        <w:tc>
          <w:tcPr>
            <w:tcW w:w="631" w:type="pct"/>
            <w:shd w:val="clear" w:color="auto" w:fill="auto"/>
            <w:vAlign w:val="center"/>
          </w:tcPr>
          <w:p w14:paraId="4C8E558A" w14:textId="77777777" w:rsidR="007D1E74" w:rsidRDefault="00A95641">
            <w:pPr>
              <w:widowControl/>
              <w:jc w:val="center"/>
              <w:rPr>
                <w:rFonts w:cs="Times New Roman"/>
                <w:kern w:val="0"/>
                <w:szCs w:val="21"/>
              </w:rPr>
            </w:pPr>
            <w:r>
              <w:rPr>
                <w:rFonts w:cs="Times New Roman"/>
                <w:kern w:val="0"/>
                <w:szCs w:val="21"/>
              </w:rPr>
              <w:t>距离</w:t>
            </w:r>
            <w:r>
              <w:rPr>
                <w:rFonts w:cs="Times New Roman"/>
                <w:kern w:val="0"/>
                <w:szCs w:val="21"/>
              </w:rPr>
              <w:t>/m</w:t>
            </w:r>
          </w:p>
        </w:tc>
        <w:tc>
          <w:tcPr>
            <w:tcW w:w="709" w:type="pct"/>
            <w:shd w:val="clear" w:color="auto" w:fill="auto"/>
            <w:vAlign w:val="center"/>
          </w:tcPr>
          <w:p w14:paraId="0B747497" w14:textId="77777777" w:rsidR="007D1E74" w:rsidRDefault="00A95641">
            <w:pPr>
              <w:widowControl/>
              <w:jc w:val="center"/>
              <w:rPr>
                <w:rFonts w:cs="Times New Roman"/>
                <w:kern w:val="0"/>
                <w:szCs w:val="21"/>
              </w:rPr>
            </w:pPr>
            <w:r>
              <w:rPr>
                <w:rFonts w:cs="Times New Roman"/>
                <w:kern w:val="0"/>
                <w:szCs w:val="21"/>
              </w:rPr>
              <w:t>属性</w:t>
            </w:r>
          </w:p>
        </w:tc>
        <w:tc>
          <w:tcPr>
            <w:tcW w:w="756" w:type="pct"/>
            <w:shd w:val="clear" w:color="auto" w:fill="auto"/>
            <w:vAlign w:val="center"/>
          </w:tcPr>
          <w:p w14:paraId="0DA97616" w14:textId="77777777" w:rsidR="007D1E74" w:rsidRDefault="00A95641">
            <w:pPr>
              <w:widowControl/>
              <w:jc w:val="center"/>
              <w:rPr>
                <w:rFonts w:cs="Times New Roman"/>
                <w:kern w:val="0"/>
                <w:szCs w:val="21"/>
              </w:rPr>
            </w:pPr>
            <w:r>
              <w:rPr>
                <w:rFonts w:cs="Times New Roman"/>
                <w:kern w:val="0"/>
                <w:szCs w:val="21"/>
              </w:rPr>
              <w:t>人口数</w:t>
            </w:r>
          </w:p>
        </w:tc>
      </w:tr>
      <w:tr w:rsidR="007D1E74" w14:paraId="1DF597EB" w14:textId="77777777">
        <w:tc>
          <w:tcPr>
            <w:tcW w:w="390" w:type="pct"/>
            <w:vMerge/>
            <w:vAlign w:val="center"/>
          </w:tcPr>
          <w:p w14:paraId="31E55FE5" w14:textId="77777777" w:rsidR="007D1E74" w:rsidRDefault="007D1E74">
            <w:pPr>
              <w:widowControl/>
              <w:jc w:val="left"/>
              <w:rPr>
                <w:rFonts w:cs="Times New Roman"/>
                <w:kern w:val="0"/>
                <w:szCs w:val="21"/>
              </w:rPr>
            </w:pPr>
          </w:p>
        </w:tc>
        <w:tc>
          <w:tcPr>
            <w:tcW w:w="425" w:type="pct"/>
            <w:shd w:val="clear" w:color="auto" w:fill="auto"/>
            <w:vAlign w:val="center"/>
          </w:tcPr>
          <w:p w14:paraId="479C972D" w14:textId="77777777" w:rsidR="007D1E74" w:rsidRDefault="00A95641">
            <w:pPr>
              <w:widowControl/>
              <w:jc w:val="center"/>
              <w:rPr>
                <w:rFonts w:cs="Times New Roman"/>
                <w:kern w:val="0"/>
                <w:szCs w:val="21"/>
              </w:rPr>
            </w:pPr>
            <w:r>
              <w:rPr>
                <w:rFonts w:cs="Times New Roman"/>
                <w:kern w:val="0"/>
                <w:szCs w:val="21"/>
              </w:rPr>
              <w:t>1</w:t>
            </w:r>
          </w:p>
        </w:tc>
        <w:tc>
          <w:tcPr>
            <w:tcW w:w="1424" w:type="pct"/>
            <w:shd w:val="clear" w:color="auto" w:fill="auto"/>
            <w:vAlign w:val="center"/>
          </w:tcPr>
          <w:p w14:paraId="5D608205" w14:textId="77777777" w:rsidR="007D1E74" w:rsidRDefault="00A95641">
            <w:pPr>
              <w:widowControl/>
              <w:jc w:val="center"/>
              <w:rPr>
                <w:rFonts w:cs="Times New Roman"/>
                <w:kern w:val="0"/>
                <w:szCs w:val="21"/>
              </w:rPr>
            </w:pPr>
            <w:r>
              <w:rPr>
                <w:rFonts w:cs="Times New Roman"/>
                <w:kern w:val="0"/>
                <w:szCs w:val="21"/>
              </w:rPr>
              <w:t>青山坪</w:t>
            </w:r>
          </w:p>
        </w:tc>
        <w:tc>
          <w:tcPr>
            <w:tcW w:w="665" w:type="pct"/>
            <w:shd w:val="clear" w:color="auto" w:fill="auto"/>
            <w:vAlign w:val="center"/>
          </w:tcPr>
          <w:p w14:paraId="5A68F080" w14:textId="77777777" w:rsidR="007D1E74" w:rsidRDefault="00A95641">
            <w:pPr>
              <w:widowControl/>
              <w:jc w:val="center"/>
              <w:rPr>
                <w:rFonts w:cs="Times New Roman"/>
                <w:kern w:val="0"/>
                <w:szCs w:val="21"/>
              </w:rPr>
            </w:pPr>
            <w:r>
              <w:rPr>
                <w:rFonts w:cs="Times New Roman"/>
                <w:kern w:val="0"/>
                <w:szCs w:val="21"/>
              </w:rPr>
              <w:t>左</w:t>
            </w:r>
          </w:p>
        </w:tc>
        <w:tc>
          <w:tcPr>
            <w:tcW w:w="631" w:type="pct"/>
            <w:shd w:val="clear" w:color="auto" w:fill="auto"/>
            <w:vAlign w:val="center"/>
          </w:tcPr>
          <w:p w14:paraId="06DF53EB" w14:textId="77777777" w:rsidR="007D1E74" w:rsidRDefault="00A95641">
            <w:pPr>
              <w:widowControl/>
              <w:jc w:val="center"/>
              <w:rPr>
                <w:rFonts w:cs="Times New Roman"/>
                <w:kern w:val="0"/>
                <w:szCs w:val="21"/>
              </w:rPr>
            </w:pPr>
            <w:r>
              <w:rPr>
                <w:rFonts w:cs="Times New Roman" w:hint="eastAsia"/>
                <w:kern w:val="0"/>
                <w:szCs w:val="21"/>
              </w:rPr>
              <w:t>2</w:t>
            </w:r>
            <w:r>
              <w:rPr>
                <w:rFonts w:cs="Times New Roman"/>
                <w:kern w:val="0"/>
                <w:szCs w:val="21"/>
              </w:rPr>
              <w:t>2~90</w:t>
            </w:r>
          </w:p>
        </w:tc>
        <w:tc>
          <w:tcPr>
            <w:tcW w:w="709" w:type="pct"/>
            <w:shd w:val="clear" w:color="auto" w:fill="auto"/>
            <w:vAlign w:val="center"/>
          </w:tcPr>
          <w:p w14:paraId="40A303B0" w14:textId="77777777" w:rsidR="007D1E74" w:rsidRDefault="00A95641">
            <w:pPr>
              <w:widowControl/>
              <w:jc w:val="center"/>
              <w:rPr>
                <w:rFonts w:cs="Times New Roman"/>
                <w:kern w:val="0"/>
                <w:szCs w:val="21"/>
              </w:rPr>
            </w:pPr>
            <w:r>
              <w:rPr>
                <w:rFonts w:cs="Times New Roman"/>
                <w:kern w:val="0"/>
                <w:szCs w:val="21"/>
              </w:rPr>
              <w:t>居住区</w:t>
            </w:r>
          </w:p>
        </w:tc>
        <w:tc>
          <w:tcPr>
            <w:tcW w:w="756" w:type="pct"/>
            <w:shd w:val="clear" w:color="auto" w:fill="auto"/>
            <w:vAlign w:val="center"/>
          </w:tcPr>
          <w:p w14:paraId="48D13BF2" w14:textId="77777777" w:rsidR="007D1E74" w:rsidRDefault="00A95641">
            <w:pPr>
              <w:widowControl/>
              <w:jc w:val="center"/>
              <w:rPr>
                <w:rFonts w:cs="Times New Roman"/>
                <w:kern w:val="0"/>
                <w:szCs w:val="21"/>
              </w:rPr>
            </w:pPr>
            <w:r>
              <w:rPr>
                <w:rFonts w:cs="Times New Roman"/>
                <w:kern w:val="0"/>
                <w:szCs w:val="21"/>
              </w:rPr>
              <w:t>约</w:t>
            </w:r>
            <w:r>
              <w:rPr>
                <w:rFonts w:cs="Times New Roman" w:hint="eastAsia"/>
                <w:kern w:val="0"/>
                <w:szCs w:val="21"/>
              </w:rPr>
              <w:t>1</w:t>
            </w:r>
            <w:r>
              <w:rPr>
                <w:rFonts w:cs="Times New Roman"/>
                <w:kern w:val="0"/>
                <w:szCs w:val="21"/>
              </w:rPr>
              <w:t>7</w:t>
            </w:r>
            <w:r>
              <w:rPr>
                <w:rFonts w:cs="Times New Roman"/>
                <w:kern w:val="0"/>
                <w:szCs w:val="21"/>
              </w:rPr>
              <w:t>人</w:t>
            </w:r>
          </w:p>
        </w:tc>
      </w:tr>
      <w:tr w:rsidR="007D1E74" w14:paraId="0132677F" w14:textId="77777777">
        <w:tc>
          <w:tcPr>
            <w:tcW w:w="390" w:type="pct"/>
            <w:vMerge/>
            <w:vAlign w:val="center"/>
          </w:tcPr>
          <w:p w14:paraId="71D1E683" w14:textId="77777777" w:rsidR="007D1E74" w:rsidRDefault="007D1E74">
            <w:pPr>
              <w:widowControl/>
              <w:jc w:val="left"/>
              <w:rPr>
                <w:rFonts w:cs="Times New Roman"/>
                <w:kern w:val="0"/>
                <w:szCs w:val="21"/>
              </w:rPr>
            </w:pPr>
          </w:p>
        </w:tc>
        <w:tc>
          <w:tcPr>
            <w:tcW w:w="425" w:type="pct"/>
            <w:shd w:val="clear" w:color="auto" w:fill="auto"/>
            <w:vAlign w:val="center"/>
          </w:tcPr>
          <w:p w14:paraId="1C852F1F" w14:textId="77777777" w:rsidR="007D1E74" w:rsidRDefault="00A95641">
            <w:pPr>
              <w:widowControl/>
              <w:jc w:val="center"/>
              <w:rPr>
                <w:rFonts w:cs="Times New Roman"/>
                <w:kern w:val="0"/>
                <w:szCs w:val="21"/>
              </w:rPr>
            </w:pPr>
            <w:r>
              <w:rPr>
                <w:rFonts w:cs="Times New Roman"/>
                <w:kern w:val="0"/>
                <w:szCs w:val="21"/>
              </w:rPr>
              <w:t>2</w:t>
            </w:r>
          </w:p>
        </w:tc>
        <w:tc>
          <w:tcPr>
            <w:tcW w:w="1424" w:type="pct"/>
            <w:shd w:val="clear" w:color="auto" w:fill="auto"/>
            <w:vAlign w:val="center"/>
          </w:tcPr>
          <w:p w14:paraId="3C6D71BB" w14:textId="77777777" w:rsidR="007D1E74" w:rsidRDefault="00A95641">
            <w:pPr>
              <w:widowControl/>
              <w:jc w:val="center"/>
              <w:rPr>
                <w:rFonts w:cs="Times New Roman"/>
                <w:kern w:val="0"/>
                <w:szCs w:val="21"/>
              </w:rPr>
            </w:pPr>
            <w:r>
              <w:rPr>
                <w:rFonts w:cs="Times New Roman"/>
                <w:kern w:val="0"/>
                <w:szCs w:val="21"/>
              </w:rPr>
              <w:t>观音岩</w:t>
            </w:r>
          </w:p>
        </w:tc>
        <w:tc>
          <w:tcPr>
            <w:tcW w:w="665" w:type="pct"/>
            <w:shd w:val="clear" w:color="auto" w:fill="auto"/>
            <w:vAlign w:val="center"/>
          </w:tcPr>
          <w:p w14:paraId="4DB0F8FC" w14:textId="77777777" w:rsidR="007D1E74" w:rsidRDefault="00A95641">
            <w:pPr>
              <w:widowControl/>
              <w:jc w:val="center"/>
              <w:rPr>
                <w:rFonts w:cs="Times New Roman"/>
                <w:kern w:val="0"/>
                <w:szCs w:val="21"/>
              </w:rPr>
            </w:pPr>
            <w:r>
              <w:rPr>
                <w:rFonts w:cs="Times New Roman"/>
                <w:kern w:val="0"/>
                <w:szCs w:val="21"/>
              </w:rPr>
              <w:t>右</w:t>
            </w:r>
          </w:p>
        </w:tc>
        <w:tc>
          <w:tcPr>
            <w:tcW w:w="631" w:type="pct"/>
            <w:shd w:val="clear" w:color="auto" w:fill="auto"/>
            <w:vAlign w:val="center"/>
          </w:tcPr>
          <w:p w14:paraId="194CC486" w14:textId="77777777" w:rsidR="007D1E74" w:rsidRDefault="00A95641">
            <w:pPr>
              <w:widowControl/>
              <w:jc w:val="center"/>
              <w:rPr>
                <w:rFonts w:cs="Times New Roman"/>
                <w:kern w:val="0"/>
                <w:szCs w:val="21"/>
              </w:rPr>
            </w:pPr>
            <w:r>
              <w:rPr>
                <w:rFonts w:cs="Times New Roman" w:hint="eastAsia"/>
                <w:kern w:val="0"/>
                <w:szCs w:val="21"/>
              </w:rPr>
              <w:t>3</w:t>
            </w:r>
            <w:r>
              <w:rPr>
                <w:rFonts w:cs="Times New Roman"/>
                <w:kern w:val="0"/>
                <w:szCs w:val="21"/>
              </w:rPr>
              <w:t>4~126</w:t>
            </w:r>
          </w:p>
        </w:tc>
        <w:tc>
          <w:tcPr>
            <w:tcW w:w="709" w:type="pct"/>
            <w:shd w:val="clear" w:color="auto" w:fill="auto"/>
            <w:vAlign w:val="center"/>
          </w:tcPr>
          <w:p w14:paraId="311C0E84" w14:textId="77777777" w:rsidR="007D1E74" w:rsidRDefault="00A95641">
            <w:pPr>
              <w:widowControl/>
              <w:jc w:val="center"/>
              <w:rPr>
                <w:rFonts w:cs="Times New Roman"/>
                <w:kern w:val="0"/>
                <w:szCs w:val="21"/>
              </w:rPr>
            </w:pPr>
            <w:r>
              <w:rPr>
                <w:rFonts w:cs="Times New Roman"/>
                <w:kern w:val="0"/>
                <w:szCs w:val="21"/>
              </w:rPr>
              <w:t>居住区</w:t>
            </w:r>
          </w:p>
        </w:tc>
        <w:tc>
          <w:tcPr>
            <w:tcW w:w="756" w:type="pct"/>
            <w:shd w:val="clear" w:color="auto" w:fill="auto"/>
            <w:vAlign w:val="center"/>
          </w:tcPr>
          <w:p w14:paraId="1C659C85" w14:textId="77777777" w:rsidR="007D1E74" w:rsidRDefault="00A95641">
            <w:pPr>
              <w:widowControl/>
              <w:jc w:val="center"/>
              <w:rPr>
                <w:rFonts w:cs="Times New Roman"/>
                <w:kern w:val="0"/>
                <w:szCs w:val="21"/>
              </w:rPr>
            </w:pPr>
            <w:r>
              <w:rPr>
                <w:rFonts w:cs="Times New Roman"/>
                <w:kern w:val="0"/>
                <w:szCs w:val="21"/>
              </w:rPr>
              <w:t>约</w:t>
            </w:r>
            <w:r>
              <w:rPr>
                <w:rFonts w:cs="Times New Roman" w:hint="eastAsia"/>
                <w:kern w:val="0"/>
                <w:szCs w:val="21"/>
              </w:rPr>
              <w:t>2</w:t>
            </w:r>
            <w:r>
              <w:rPr>
                <w:rFonts w:cs="Times New Roman"/>
                <w:kern w:val="0"/>
                <w:szCs w:val="21"/>
              </w:rPr>
              <w:t>8</w:t>
            </w:r>
            <w:r>
              <w:rPr>
                <w:rFonts w:cs="Times New Roman"/>
                <w:kern w:val="0"/>
                <w:szCs w:val="21"/>
              </w:rPr>
              <w:t>人</w:t>
            </w:r>
          </w:p>
        </w:tc>
      </w:tr>
      <w:tr w:rsidR="007D1E74" w14:paraId="2745272B" w14:textId="77777777">
        <w:tc>
          <w:tcPr>
            <w:tcW w:w="390" w:type="pct"/>
            <w:vMerge/>
            <w:vAlign w:val="center"/>
          </w:tcPr>
          <w:p w14:paraId="05B92A10" w14:textId="77777777" w:rsidR="007D1E74" w:rsidRDefault="007D1E74">
            <w:pPr>
              <w:widowControl/>
              <w:jc w:val="left"/>
              <w:rPr>
                <w:rFonts w:cs="Times New Roman"/>
                <w:kern w:val="0"/>
                <w:szCs w:val="21"/>
              </w:rPr>
            </w:pPr>
          </w:p>
        </w:tc>
        <w:tc>
          <w:tcPr>
            <w:tcW w:w="425" w:type="pct"/>
            <w:shd w:val="clear" w:color="auto" w:fill="auto"/>
            <w:vAlign w:val="center"/>
          </w:tcPr>
          <w:p w14:paraId="2B8F60C3" w14:textId="77777777" w:rsidR="007D1E74" w:rsidRDefault="00A95641">
            <w:pPr>
              <w:widowControl/>
              <w:jc w:val="center"/>
              <w:rPr>
                <w:rFonts w:cs="Times New Roman"/>
                <w:kern w:val="0"/>
                <w:szCs w:val="21"/>
              </w:rPr>
            </w:pPr>
            <w:r>
              <w:rPr>
                <w:rFonts w:cs="Times New Roman"/>
                <w:kern w:val="0"/>
                <w:szCs w:val="21"/>
              </w:rPr>
              <w:t>3</w:t>
            </w:r>
          </w:p>
        </w:tc>
        <w:tc>
          <w:tcPr>
            <w:tcW w:w="1424" w:type="pct"/>
            <w:shd w:val="clear" w:color="auto" w:fill="auto"/>
            <w:vAlign w:val="center"/>
          </w:tcPr>
          <w:p w14:paraId="367FD99D" w14:textId="77777777" w:rsidR="007D1E74" w:rsidRDefault="00A95641">
            <w:pPr>
              <w:widowControl/>
              <w:jc w:val="center"/>
              <w:rPr>
                <w:rFonts w:cs="Times New Roman"/>
                <w:kern w:val="0"/>
                <w:szCs w:val="21"/>
              </w:rPr>
            </w:pPr>
            <w:r>
              <w:rPr>
                <w:rFonts w:cs="Times New Roman"/>
                <w:kern w:val="0"/>
                <w:szCs w:val="21"/>
              </w:rPr>
              <w:t>杨家坪</w:t>
            </w:r>
          </w:p>
        </w:tc>
        <w:tc>
          <w:tcPr>
            <w:tcW w:w="665" w:type="pct"/>
            <w:shd w:val="clear" w:color="auto" w:fill="auto"/>
            <w:vAlign w:val="center"/>
          </w:tcPr>
          <w:p w14:paraId="61CC1C22" w14:textId="77777777" w:rsidR="007D1E74" w:rsidRDefault="00A95641">
            <w:pPr>
              <w:widowControl/>
              <w:jc w:val="center"/>
              <w:rPr>
                <w:rFonts w:cs="Times New Roman"/>
                <w:kern w:val="0"/>
                <w:szCs w:val="21"/>
              </w:rPr>
            </w:pPr>
            <w:r>
              <w:rPr>
                <w:rFonts w:cs="Times New Roman"/>
                <w:kern w:val="0"/>
                <w:szCs w:val="21"/>
              </w:rPr>
              <w:t>左</w:t>
            </w:r>
          </w:p>
        </w:tc>
        <w:tc>
          <w:tcPr>
            <w:tcW w:w="631" w:type="pct"/>
            <w:shd w:val="clear" w:color="auto" w:fill="auto"/>
            <w:vAlign w:val="center"/>
          </w:tcPr>
          <w:p w14:paraId="6E60406E" w14:textId="77777777" w:rsidR="007D1E74" w:rsidRDefault="00A95641">
            <w:pPr>
              <w:widowControl/>
              <w:jc w:val="center"/>
              <w:rPr>
                <w:rFonts w:cs="Times New Roman"/>
                <w:kern w:val="0"/>
                <w:szCs w:val="21"/>
              </w:rPr>
            </w:pPr>
            <w:r>
              <w:rPr>
                <w:rFonts w:cs="Times New Roman" w:hint="eastAsia"/>
                <w:kern w:val="0"/>
                <w:szCs w:val="21"/>
              </w:rPr>
              <w:t>4</w:t>
            </w:r>
            <w:r>
              <w:rPr>
                <w:rFonts w:cs="Times New Roman"/>
                <w:kern w:val="0"/>
                <w:szCs w:val="21"/>
              </w:rPr>
              <w:t>4~186</w:t>
            </w:r>
          </w:p>
        </w:tc>
        <w:tc>
          <w:tcPr>
            <w:tcW w:w="709" w:type="pct"/>
            <w:shd w:val="clear" w:color="auto" w:fill="auto"/>
            <w:vAlign w:val="center"/>
          </w:tcPr>
          <w:p w14:paraId="7D94B45E" w14:textId="77777777" w:rsidR="007D1E74" w:rsidRDefault="00A95641">
            <w:pPr>
              <w:widowControl/>
              <w:jc w:val="center"/>
              <w:rPr>
                <w:rFonts w:cs="Times New Roman"/>
                <w:kern w:val="0"/>
                <w:szCs w:val="21"/>
              </w:rPr>
            </w:pPr>
            <w:r>
              <w:rPr>
                <w:rFonts w:cs="Times New Roman"/>
                <w:kern w:val="0"/>
                <w:szCs w:val="21"/>
              </w:rPr>
              <w:t>居住区</w:t>
            </w:r>
          </w:p>
        </w:tc>
        <w:tc>
          <w:tcPr>
            <w:tcW w:w="756" w:type="pct"/>
            <w:shd w:val="clear" w:color="auto" w:fill="auto"/>
            <w:vAlign w:val="center"/>
          </w:tcPr>
          <w:p w14:paraId="4CD87674" w14:textId="77777777" w:rsidR="007D1E74" w:rsidRDefault="00A95641">
            <w:pPr>
              <w:widowControl/>
              <w:jc w:val="center"/>
              <w:rPr>
                <w:rFonts w:cs="Times New Roman"/>
                <w:kern w:val="0"/>
                <w:szCs w:val="21"/>
              </w:rPr>
            </w:pPr>
            <w:r>
              <w:rPr>
                <w:rFonts w:cs="Times New Roman"/>
                <w:kern w:val="0"/>
                <w:szCs w:val="21"/>
              </w:rPr>
              <w:t>约</w:t>
            </w:r>
            <w:r>
              <w:rPr>
                <w:rFonts w:cs="Times New Roman" w:hint="eastAsia"/>
                <w:kern w:val="0"/>
                <w:szCs w:val="21"/>
              </w:rPr>
              <w:t>1</w:t>
            </w:r>
            <w:r>
              <w:rPr>
                <w:rFonts w:cs="Times New Roman"/>
                <w:kern w:val="0"/>
                <w:szCs w:val="21"/>
              </w:rPr>
              <w:t>05</w:t>
            </w:r>
            <w:r>
              <w:rPr>
                <w:rFonts w:cs="Times New Roman"/>
                <w:kern w:val="0"/>
                <w:szCs w:val="21"/>
              </w:rPr>
              <w:t>人</w:t>
            </w:r>
          </w:p>
        </w:tc>
      </w:tr>
      <w:tr w:rsidR="007D1E74" w14:paraId="1B8CDFB3" w14:textId="77777777">
        <w:tc>
          <w:tcPr>
            <w:tcW w:w="390" w:type="pct"/>
            <w:vMerge/>
            <w:vAlign w:val="center"/>
          </w:tcPr>
          <w:p w14:paraId="22FC6D19" w14:textId="77777777" w:rsidR="007D1E74" w:rsidRDefault="007D1E74">
            <w:pPr>
              <w:widowControl/>
              <w:jc w:val="left"/>
              <w:rPr>
                <w:rFonts w:cs="Times New Roman"/>
                <w:kern w:val="0"/>
                <w:szCs w:val="21"/>
              </w:rPr>
            </w:pPr>
          </w:p>
        </w:tc>
        <w:tc>
          <w:tcPr>
            <w:tcW w:w="425" w:type="pct"/>
            <w:shd w:val="clear" w:color="auto" w:fill="auto"/>
            <w:vAlign w:val="center"/>
          </w:tcPr>
          <w:p w14:paraId="48F20EB4" w14:textId="77777777" w:rsidR="007D1E74" w:rsidRDefault="00A95641">
            <w:pPr>
              <w:widowControl/>
              <w:jc w:val="center"/>
              <w:rPr>
                <w:rFonts w:cs="Times New Roman"/>
                <w:kern w:val="0"/>
                <w:szCs w:val="21"/>
              </w:rPr>
            </w:pPr>
            <w:r>
              <w:rPr>
                <w:rFonts w:cs="Times New Roman"/>
                <w:kern w:val="0"/>
                <w:szCs w:val="21"/>
              </w:rPr>
              <w:t>4</w:t>
            </w:r>
          </w:p>
        </w:tc>
        <w:tc>
          <w:tcPr>
            <w:tcW w:w="1424" w:type="pct"/>
            <w:shd w:val="clear" w:color="auto" w:fill="auto"/>
            <w:vAlign w:val="center"/>
          </w:tcPr>
          <w:p w14:paraId="092AF931" w14:textId="77777777" w:rsidR="007D1E74" w:rsidRDefault="00A95641">
            <w:pPr>
              <w:widowControl/>
              <w:jc w:val="center"/>
              <w:rPr>
                <w:rFonts w:cs="Times New Roman"/>
                <w:kern w:val="0"/>
                <w:szCs w:val="21"/>
              </w:rPr>
            </w:pPr>
            <w:r>
              <w:rPr>
                <w:rFonts w:cs="Times New Roman"/>
                <w:kern w:val="0"/>
                <w:szCs w:val="21"/>
              </w:rPr>
              <w:t>高桥</w:t>
            </w:r>
          </w:p>
        </w:tc>
        <w:tc>
          <w:tcPr>
            <w:tcW w:w="665" w:type="pct"/>
            <w:shd w:val="clear" w:color="auto" w:fill="auto"/>
            <w:vAlign w:val="center"/>
          </w:tcPr>
          <w:p w14:paraId="50A6928F" w14:textId="77777777" w:rsidR="007D1E74" w:rsidRDefault="00A95641">
            <w:pPr>
              <w:widowControl/>
              <w:jc w:val="center"/>
              <w:rPr>
                <w:rFonts w:cs="Times New Roman"/>
                <w:kern w:val="0"/>
                <w:szCs w:val="21"/>
              </w:rPr>
            </w:pPr>
            <w:r>
              <w:rPr>
                <w:rFonts w:cs="Times New Roman"/>
                <w:kern w:val="0"/>
                <w:szCs w:val="21"/>
              </w:rPr>
              <w:t>右</w:t>
            </w:r>
          </w:p>
        </w:tc>
        <w:tc>
          <w:tcPr>
            <w:tcW w:w="631" w:type="pct"/>
            <w:shd w:val="clear" w:color="auto" w:fill="auto"/>
            <w:vAlign w:val="center"/>
          </w:tcPr>
          <w:p w14:paraId="215155E9" w14:textId="77777777" w:rsidR="007D1E74" w:rsidRDefault="00A95641">
            <w:pPr>
              <w:widowControl/>
              <w:jc w:val="center"/>
              <w:rPr>
                <w:rFonts w:cs="Times New Roman"/>
                <w:kern w:val="0"/>
                <w:szCs w:val="21"/>
              </w:rPr>
            </w:pPr>
            <w:r>
              <w:rPr>
                <w:rFonts w:cs="Times New Roman" w:hint="eastAsia"/>
                <w:kern w:val="0"/>
                <w:szCs w:val="21"/>
              </w:rPr>
              <w:t>6</w:t>
            </w:r>
            <w:r>
              <w:rPr>
                <w:rFonts w:cs="Times New Roman"/>
                <w:kern w:val="0"/>
                <w:szCs w:val="21"/>
              </w:rPr>
              <w:t>0~166</w:t>
            </w:r>
          </w:p>
        </w:tc>
        <w:tc>
          <w:tcPr>
            <w:tcW w:w="709" w:type="pct"/>
            <w:shd w:val="clear" w:color="auto" w:fill="auto"/>
            <w:vAlign w:val="center"/>
          </w:tcPr>
          <w:p w14:paraId="48599CF1" w14:textId="77777777" w:rsidR="007D1E74" w:rsidRDefault="00A95641">
            <w:pPr>
              <w:widowControl/>
              <w:jc w:val="center"/>
              <w:rPr>
                <w:rFonts w:cs="Times New Roman"/>
                <w:kern w:val="0"/>
                <w:szCs w:val="21"/>
              </w:rPr>
            </w:pPr>
            <w:r>
              <w:rPr>
                <w:rFonts w:cs="Times New Roman"/>
                <w:kern w:val="0"/>
                <w:szCs w:val="21"/>
              </w:rPr>
              <w:t>居住区</w:t>
            </w:r>
          </w:p>
        </w:tc>
        <w:tc>
          <w:tcPr>
            <w:tcW w:w="756" w:type="pct"/>
            <w:shd w:val="clear" w:color="auto" w:fill="auto"/>
            <w:vAlign w:val="center"/>
          </w:tcPr>
          <w:p w14:paraId="30E6A677" w14:textId="77777777" w:rsidR="007D1E74" w:rsidRDefault="00A95641">
            <w:pPr>
              <w:widowControl/>
              <w:jc w:val="center"/>
              <w:rPr>
                <w:rFonts w:cs="Times New Roman"/>
                <w:kern w:val="0"/>
                <w:szCs w:val="21"/>
              </w:rPr>
            </w:pPr>
            <w:r>
              <w:rPr>
                <w:rFonts w:cs="Times New Roman"/>
                <w:kern w:val="0"/>
                <w:szCs w:val="21"/>
              </w:rPr>
              <w:t>约</w:t>
            </w:r>
            <w:r>
              <w:rPr>
                <w:rFonts w:cs="Times New Roman" w:hint="eastAsia"/>
                <w:kern w:val="0"/>
                <w:szCs w:val="21"/>
              </w:rPr>
              <w:t>4</w:t>
            </w:r>
            <w:r>
              <w:rPr>
                <w:rFonts w:cs="Times New Roman"/>
                <w:kern w:val="0"/>
                <w:szCs w:val="21"/>
              </w:rPr>
              <w:t>9</w:t>
            </w:r>
            <w:r>
              <w:rPr>
                <w:rFonts w:cs="Times New Roman"/>
                <w:kern w:val="0"/>
                <w:szCs w:val="21"/>
              </w:rPr>
              <w:t>人</w:t>
            </w:r>
          </w:p>
        </w:tc>
      </w:tr>
      <w:tr w:rsidR="007D1E74" w14:paraId="123F3C00" w14:textId="77777777">
        <w:tc>
          <w:tcPr>
            <w:tcW w:w="390" w:type="pct"/>
            <w:vMerge/>
            <w:vAlign w:val="center"/>
          </w:tcPr>
          <w:p w14:paraId="066E9FE9" w14:textId="77777777" w:rsidR="007D1E74" w:rsidRDefault="007D1E74">
            <w:pPr>
              <w:widowControl/>
              <w:jc w:val="left"/>
              <w:rPr>
                <w:rFonts w:cs="Times New Roman"/>
                <w:kern w:val="0"/>
                <w:szCs w:val="21"/>
              </w:rPr>
            </w:pPr>
          </w:p>
        </w:tc>
        <w:tc>
          <w:tcPr>
            <w:tcW w:w="425" w:type="pct"/>
            <w:shd w:val="clear" w:color="auto" w:fill="auto"/>
            <w:vAlign w:val="center"/>
          </w:tcPr>
          <w:p w14:paraId="5CF964DE" w14:textId="77777777" w:rsidR="007D1E74" w:rsidRDefault="00A95641">
            <w:pPr>
              <w:widowControl/>
              <w:jc w:val="center"/>
              <w:rPr>
                <w:rFonts w:cs="Times New Roman"/>
                <w:kern w:val="0"/>
                <w:szCs w:val="21"/>
              </w:rPr>
            </w:pPr>
            <w:r>
              <w:rPr>
                <w:rFonts w:cs="Times New Roman"/>
                <w:kern w:val="0"/>
                <w:szCs w:val="21"/>
              </w:rPr>
              <w:t>5</w:t>
            </w:r>
          </w:p>
        </w:tc>
        <w:tc>
          <w:tcPr>
            <w:tcW w:w="1424" w:type="pct"/>
            <w:shd w:val="clear" w:color="auto" w:fill="auto"/>
            <w:vAlign w:val="center"/>
          </w:tcPr>
          <w:p w14:paraId="669F6D77" w14:textId="77777777" w:rsidR="007D1E74" w:rsidRDefault="00A95641">
            <w:pPr>
              <w:widowControl/>
              <w:jc w:val="center"/>
              <w:rPr>
                <w:rFonts w:cs="Times New Roman"/>
                <w:kern w:val="0"/>
                <w:szCs w:val="21"/>
              </w:rPr>
            </w:pPr>
            <w:r>
              <w:rPr>
                <w:rFonts w:cs="Times New Roman"/>
                <w:kern w:val="0"/>
                <w:szCs w:val="21"/>
              </w:rPr>
              <w:t>龙王庙</w:t>
            </w:r>
          </w:p>
        </w:tc>
        <w:tc>
          <w:tcPr>
            <w:tcW w:w="665" w:type="pct"/>
            <w:shd w:val="clear" w:color="auto" w:fill="auto"/>
            <w:vAlign w:val="center"/>
          </w:tcPr>
          <w:p w14:paraId="0D375FC0" w14:textId="77777777" w:rsidR="007D1E74" w:rsidRDefault="00A95641">
            <w:pPr>
              <w:widowControl/>
              <w:jc w:val="center"/>
              <w:rPr>
                <w:rFonts w:cs="Times New Roman"/>
                <w:kern w:val="0"/>
                <w:szCs w:val="21"/>
              </w:rPr>
            </w:pPr>
            <w:r>
              <w:rPr>
                <w:rFonts w:cs="Times New Roman"/>
                <w:kern w:val="0"/>
                <w:szCs w:val="21"/>
              </w:rPr>
              <w:t>左</w:t>
            </w:r>
            <w:r>
              <w:rPr>
                <w:rFonts w:cs="Times New Roman" w:hint="eastAsia"/>
                <w:kern w:val="0"/>
                <w:szCs w:val="21"/>
              </w:rPr>
              <w:t>/</w:t>
            </w:r>
            <w:r>
              <w:rPr>
                <w:rFonts w:cs="Times New Roman" w:hint="eastAsia"/>
                <w:kern w:val="0"/>
                <w:szCs w:val="21"/>
              </w:rPr>
              <w:t>右</w:t>
            </w:r>
          </w:p>
        </w:tc>
        <w:tc>
          <w:tcPr>
            <w:tcW w:w="631" w:type="pct"/>
            <w:shd w:val="clear" w:color="auto" w:fill="auto"/>
            <w:vAlign w:val="center"/>
          </w:tcPr>
          <w:p w14:paraId="20610359" w14:textId="77777777" w:rsidR="007D1E74" w:rsidRDefault="00A95641">
            <w:pPr>
              <w:widowControl/>
              <w:jc w:val="center"/>
              <w:rPr>
                <w:rFonts w:cs="Times New Roman"/>
                <w:kern w:val="0"/>
                <w:szCs w:val="21"/>
              </w:rPr>
            </w:pPr>
            <w:r>
              <w:rPr>
                <w:rFonts w:cs="Times New Roman" w:hint="eastAsia"/>
                <w:kern w:val="0"/>
                <w:szCs w:val="21"/>
              </w:rPr>
              <w:t>2</w:t>
            </w:r>
            <w:r>
              <w:rPr>
                <w:rFonts w:cs="Times New Roman"/>
                <w:kern w:val="0"/>
                <w:szCs w:val="21"/>
              </w:rPr>
              <w:t>0~</w:t>
            </w:r>
            <w:r>
              <w:rPr>
                <w:rFonts w:cs="Times New Roman" w:hint="eastAsia"/>
                <w:kern w:val="0"/>
                <w:szCs w:val="21"/>
              </w:rPr>
              <w:t>1</w:t>
            </w:r>
            <w:r>
              <w:rPr>
                <w:rFonts w:cs="Times New Roman"/>
                <w:kern w:val="0"/>
                <w:szCs w:val="21"/>
              </w:rPr>
              <w:t>57</w:t>
            </w:r>
          </w:p>
        </w:tc>
        <w:tc>
          <w:tcPr>
            <w:tcW w:w="709" w:type="pct"/>
            <w:shd w:val="clear" w:color="auto" w:fill="auto"/>
            <w:vAlign w:val="center"/>
          </w:tcPr>
          <w:p w14:paraId="44CA2275" w14:textId="77777777" w:rsidR="007D1E74" w:rsidRDefault="00A95641">
            <w:pPr>
              <w:widowControl/>
              <w:jc w:val="center"/>
              <w:rPr>
                <w:rFonts w:cs="Times New Roman"/>
                <w:kern w:val="0"/>
                <w:szCs w:val="21"/>
              </w:rPr>
            </w:pPr>
            <w:r>
              <w:rPr>
                <w:rFonts w:cs="Times New Roman"/>
                <w:kern w:val="0"/>
                <w:szCs w:val="21"/>
              </w:rPr>
              <w:t>居住区</w:t>
            </w:r>
          </w:p>
        </w:tc>
        <w:tc>
          <w:tcPr>
            <w:tcW w:w="756" w:type="pct"/>
            <w:shd w:val="clear" w:color="auto" w:fill="auto"/>
            <w:vAlign w:val="center"/>
          </w:tcPr>
          <w:p w14:paraId="1998B407" w14:textId="77777777" w:rsidR="007D1E74" w:rsidRDefault="00A95641">
            <w:pPr>
              <w:widowControl/>
              <w:jc w:val="center"/>
              <w:rPr>
                <w:rFonts w:cs="Times New Roman"/>
                <w:kern w:val="0"/>
                <w:szCs w:val="21"/>
              </w:rPr>
            </w:pPr>
            <w:r>
              <w:rPr>
                <w:rFonts w:cs="Times New Roman"/>
                <w:kern w:val="0"/>
                <w:szCs w:val="21"/>
              </w:rPr>
              <w:t>约</w:t>
            </w:r>
            <w:r>
              <w:rPr>
                <w:rFonts w:cs="Times New Roman"/>
                <w:kern w:val="0"/>
                <w:szCs w:val="21"/>
              </w:rPr>
              <w:t>56</w:t>
            </w:r>
            <w:r>
              <w:rPr>
                <w:rFonts w:cs="Times New Roman"/>
                <w:kern w:val="0"/>
                <w:szCs w:val="21"/>
              </w:rPr>
              <w:t>人</w:t>
            </w:r>
          </w:p>
        </w:tc>
      </w:tr>
      <w:tr w:rsidR="007D1E74" w14:paraId="4300E2E0" w14:textId="77777777">
        <w:tc>
          <w:tcPr>
            <w:tcW w:w="390" w:type="pct"/>
            <w:vMerge/>
            <w:vAlign w:val="center"/>
          </w:tcPr>
          <w:p w14:paraId="1EED7C1B" w14:textId="77777777" w:rsidR="007D1E74" w:rsidRDefault="007D1E74">
            <w:pPr>
              <w:widowControl/>
              <w:jc w:val="left"/>
              <w:rPr>
                <w:rFonts w:cs="Times New Roman"/>
                <w:kern w:val="0"/>
                <w:szCs w:val="21"/>
              </w:rPr>
            </w:pPr>
          </w:p>
        </w:tc>
        <w:tc>
          <w:tcPr>
            <w:tcW w:w="425" w:type="pct"/>
            <w:shd w:val="clear" w:color="auto" w:fill="auto"/>
            <w:vAlign w:val="center"/>
          </w:tcPr>
          <w:p w14:paraId="17BEE2D1" w14:textId="77777777" w:rsidR="007D1E74" w:rsidRDefault="00A95641">
            <w:pPr>
              <w:widowControl/>
              <w:jc w:val="center"/>
              <w:rPr>
                <w:rFonts w:cs="Times New Roman"/>
                <w:kern w:val="0"/>
                <w:szCs w:val="21"/>
              </w:rPr>
            </w:pPr>
            <w:r>
              <w:rPr>
                <w:rFonts w:cs="Times New Roman"/>
                <w:kern w:val="0"/>
                <w:szCs w:val="21"/>
              </w:rPr>
              <w:t>6</w:t>
            </w:r>
          </w:p>
        </w:tc>
        <w:tc>
          <w:tcPr>
            <w:tcW w:w="1424" w:type="pct"/>
            <w:shd w:val="clear" w:color="auto" w:fill="auto"/>
            <w:vAlign w:val="center"/>
          </w:tcPr>
          <w:p w14:paraId="11101896" w14:textId="77777777" w:rsidR="007D1E74" w:rsidRDefault="00A95641">
            <w:pPr>
              <w:widowControl/>
              <w:jc w:val="center"/>
              <w:rPr>
                <w:rFonts w:cs="Times New Roman"/>
                <w:kern w:val="0"/>
                <w:szCs w:val="21"/>
              </w:rPr>
            </w:pPr>
            <w:r>
              <w:rPr>
                <w:rFonts w:cs="Times New Roman"/>
                <w:kern w:val="0"/>
                <w:szCs w:val="21"/>
              </w:rPr>
              <w:t>孙家湾</w:t>
            </w:r>
          </w:p>
        </w:tc>
        <w:tc>
          <w:tcPr>
            <w:tcW w:w="665" w:type="pct"/>
            <w:shd w:val="clear" w:color="auto" w:fill="auto"/>
            <w:vAlign w:val="center"/>
          </w:tcPr>
          <w:p w14:paraId="318BEFDC" w14:textId="77777777" w:rsidR="007D1E74" w:rsidRDefault="00A95641">
            <w:pPr>
              <w:widowControl/>
              <w:jc w:val="center"/>
              <w:rPr>
                <w:rFonts w:cs="Times New Roman"/>
                <w:kern w:val="0"/>
                <w:szCs w:val="21"/>
              </w:rPr>
            </w:pPr>
            <w:r>
              <w:rPr>
                <w:rFonts w:cs="Times New Roman"/>
                <w:kern w:val="0"/>
                <w:szCs w:val="21"/>
              </w:rPr>
              <w:t>左</w:t>
            </w:r>
            <w:r>
              <w:rPr>
                <w:rFonts w:cs="Times New Roman" w:hint="eastAsia"/>
                <w:kern w:val="0"/>
                <w:szCs w:val="21"/>
              </w:rPr>
              <w:t>/</w:t>
            </w:r>
            <w:r>
              <w:rPr>
                <w:rFonts w:cs="Times New Roman" w:hint="eastAsia"/>
                <w:kern w:val="0"/>
                <w:szCs w:val="21"/>
              </w:rPr>
              <w:t>右</w:t>
            </w:r>
          </w:p>
        </w:tc>
        <w:tc>
          <w:tcPr>
            <w:tcW w:w="631" w:type="pct"/>
            <w:shd w:val="clear" w:color="auto" w:fill="auto"/>
            <w:vAlign w:val="center"/>
          </w:tcPr>
          <w:p w14:paraId="607D9BB1" w14:textId="77777777" w:rsidR="007D1E74" w:rsidRDefault="00A95641">
            <w:pPr>
              <w:widowControl/>
              <w:jc w:val="center"/>
              <w:rPr>
                <w:rFonts w:cs="Times New Roman"/>
                <w:kern w:val="0"/>
                <w:szCs w:val="21"/>
              </w:rPr>
            </w:pPr>
            <w:r>
              <w:rPr>
                <w:rFonts w:cs="Times New Roman" w:hint="eastAsia"/>
                <w:kern w:val="0"/>
                <w:szCs w:val="21"/>
              </w:rPr>
              <w:t>3</w:t>
            </w:r>
            <w:r>
              <w:rPr>
                <w:rFonts w:cs="Times New Roman"/>
                <w:kern w:val="0"/>
                <w:szCs w:val="21"/>
              </w:rPr>
              <w:t>4~185</w:t>
            </w:r>
          </w:p>
        </w:tc>
        <w:tc>
          <w:tcPr>
            <w:tcW w:w="709" w:type="pct"/>
            <w:shd w:val="clear" w:color="auto" w:fill="auto"/>
            <w:vAlign w:val="center"/>
          </w:tcPr>
          <w:p w14:paraId="4DCACE29" w14:textId="77777777" w:rsidR="007D1E74" w:rsidRDefault="00A95641">
            <w:pPr>
              <w:widowControl/>
              <w:jc w:val="center"/>
              <w:rPr>
                <w:rFonts w:cs="Times New Roman"/>
                <w:kern w:val="0"/>
                <w:szCs w:val="21"/>
              </w:rPr>
            </w:pPr>
            <w:r>
              <w:rPr>
                <w:rFonts w:cs="Times New Roman"/>
                <w:kern w:val="0"/>
                <w:szCs w:val="21"/>
              </w:rPr>
              <w:t>居住区</w:t>
            </w:r>
          </w:p>
        </w:tc>
        <w:tc>
          <w:tcPr>
            <w:tcW w:w="756" w:type="pct"/>
            <w:shd w:val="clear" w:color="auto" w:fill="auto"/>
            <w:vAlign w:val="center"/>
          </w:tcPr>
          <w:p w14:paraId="7853D435" w14:textId="77777777" w:rsidR="007D1E74" w:rsidRDefault="00A95641">
            <w:pPr>
              <w:widowControl/>
              <w:jc w:val="center"/>
              <w:rPr>
                <w:rFonts w:cs="Times New Roman"/>
                <w:kern w:val="0"/>
                <w:szCs w:val="21"/>
              </w:rPr>
            </w:pPr>
            <w:r>
              <w:rPr>
                <w:rFonts w:cs="Times New Roman"/>
                <w:kern w:val="0"/>
                <w:szCs w:val="21"/>
              </w:rPr>
              <w:t>约</w:t>
            </w:r>
            <w:r>
              <w:rPr>
                <w:rFonts w:cs="Times New Roman"/>
                <w:kern w:val="0"/>
                <w:szCs w:val="21"/>
              </w:rPr>
              <w:t>70</w:t>
            </w:r>
            <w:r>
              <w:rPr>
                <w:rFonts w:cs="Times New Roman"/>
                <w:kern w:val="0"/>
                <w:szCs w:val="21"/>
              </w:rPr>
              <w:t>人</w:t>
            </w:r>
          </w:p>
        </w:tc>
      </w:tr>
      <w:tr w:rsidR="007D1E74" w14:paraId="127DEA12" w14:textId="77777777">
        <w:tc>
          <w:tcPr>
            <w:tcW w:w="390" w:type="pct"/>
            <w:vMerge/>
            <w:vAlign w:val="center"/>
          </w:tcPr>
          <w:p w14:paraId="140C7B54" w14:textId="77777777" w:rsidR="007D1E74" w:rsidRDefault="007D1E74">
            <w:pPr>
              <w:widowControl/>
              <w:jc w:val="left"/>
              <w:rPr>
                <w:rFonts w:cs="Times New Roman"/>
                <w:kern w:val="0"/>
                <w:szCs w:val="21"/>
              </w:rPr>
            </w:pPr>
          </w:p>
        </w:tc>
        <w:tc>
          <w:tcPr>
            <w:tcW w:w="425" w:type="pct"/>
            <w:shd w:val="clear" w:color="auto" w:fill="auto"/>
            <w:vAlign w:val="center"/>
          </w:tcPr>
          <w:p w14:paraId="3DE3F1B9" w14:textId="77777777" w:rsidR="007D1E74" w:rsidRDefault="00A95641">
            <w:pPr>
              <w:widowControl/>
              <w:jc w:val="center"/>
              <w:rPr>
                <w:rFonts w:cs="Times New Roman"/>
                <w:kern w:val="0"/>
                <w:szCs w:val="21"/>
              </w:rPr>
            </w:pPr>
            <w:r>
              <w:rPr>
                <w:rFonts w:cs="Times New Roman"/>
                <w:kern w:val="0"/>
                <w:szCs w:val="21"/>
              </w:rPr>
              <w:t>7</w:t>
            </w:r>
          </w:p>
        </w:tc>
        <w:tc>
          <w:tcPr>
            <w:tcW w:w="1424" w:type="pct"/>
            <w:shd w:val="clear" w:color="auto" w:fill="auto"/>
            <w:vAlign w:val="center"/>
          </w:tcPr>
          <w:p w14:paraId="6CBD267D" w14:textId="77777777" w:rsidR="007D1E74" w:rsidRDefault="00A95641">
            <w:pPr>
              <w:widowControl/>
              <w:jc w:val="center"/>
              <w:rPr>
                <w:rFonts w:cs="Times New Roman"/>
                <w:szCs w:val="21"/>
              </w:rPr>
            </w:pPr>
            <w:r>
              <w:rPr>
                <w:rFonts w:cs="Times New Roman"/>
                <w:szCs w:val="21"/>
              </w:rPr>
              <w:t>窄口村</w:t>
            </w:r>
          </w:p>
        </w:tc>
        <w:tc>
          <w:tcPr>
            <w:tcW w:w="665" w:type="pct"/>
            <w:shd w:val="clear" w:color="auto" w:fill="auto"/>
            <w:vAlign w:val="center"/>
          </w:tcPr>
          <w:p w14:paraId="2F7A72E9" w14:textId="77777777" w:rsidR="007D1E74" w:rsidRDefault="00A95641">
            <w:pPr>
              <w:widowControl/>
              <w:jc w:val="center"/>
              <w:rPr>
                <w:rFonts w:cs="Times New Roman"/>
                <w:kern w:val="0"/>
                <w:szCs w:val="21"/>
              </w:rPr>
            </w:pPr>
            <w:r>
              <w:rPr>
                <w:rFonts w:cs="Times New Roman"/>
                <w:kern w:val="0"/>
                <w:szCs w:val="21"/>
              </w:rPr>
              <w:t>左</w:t>
            </w:r>
            <w:r>
              <w:rPr>
                <w:rFonts w:cs="Times New Roman" w:hint="eastAsia"/>
                <w:kern w:val="0"/>
                <w:szCs w:val="21"/>
              </w:rPr>
              <w:t>/</w:t>
            </w:r>
            <w:r>
              <w:rPr>
                <w:rFonts w:cs="Times New Roman" w:hint="eastAsia"/>
                <w:kern w:val="0"/>
                <w:szCs w:val="21"/>
              </w:rPr>
              <w:t>右</w:t>
            </w:r>
          </w:p>
        </w:tc>
        <w:tc>
          <w:tcPr>
            <w:tcW w:w="631" w:type="pct"/>
            <w:shd w:val="clear" w:color="auto" w:fill="auto"/>
            <w:vAlign w:val="center"/>
          </w:tcPr>
          <w:p w14:paraId="079724E6" w14:textId="77777777" w:rsidR="007D1E74" w:rsidRDefault="00A95641">
            <w:pPr>
              <w:widowControl/>
              <w:jc w:val="center"/>
              <w:rPr>
                <w:rFonts w:cs="Times New Roman"/>
                <w:kern w:val="0"/>
                <w:szCs w:val="21"/>
              </w:rPr>
            </w:pPr>
            <w:r>
              <w:rPr>
                <w:rFonts w:cs="Times New Roman" w:hint="eastAsia"/>
                <w:kern w:val="0"/>
                <w:szCs w:val="21"/>
              </w:rPr>
              <w:t>3~</w:t>
            </w:r>
            <w:r>
              <w:rPr>
                <w:rFonts w:cs="Times New Roman"/>
                <w:kern w:val="0"/>
                <w:szCs w:val="21"/>
              </w:rPr>
              <w:t>200</w:t>
            </w:r>
          </w:p>
        </w:tc>
        <w:tc>
          <w:tcPr>
            <w:tcW w:w="709" w:type="pct"/>
            <w:shd w:val="clear" w:color="auto" w:fill="auto"/>
            <w:vAlign w:val="center"/>
          </w:tcPr>
          <w:p w14:paraId="4C6F2D46" w14:textId="77777777" w:rsidR="007D1E74" w:rsidRDefault="00A95641">
            <w:pPr>
              <w:widowControl/>
              <w:jc w:val="center"/>
              <w:rPr>
                <w:rFonts w:cs="Times New Roman"/>
                <w:kern w:val="0"/>
                <w:szCs w:val="21"/>
              </w:rPr>
            </w:pPr>
            <w:r>
              <w:rPr>
                <w:rFonts w:cs="Times New Roman"/>
                <w:kern w:val="0"/>
                <w:szCs w:val="21"/>
              </w:rPr>
              <w:t>居住区</w:t>
            </w:r>
          </w:p>
        </w:tc>
        <w:tc>
          <w:tcPr>
            <w:tcW w:w="756" w:type="pct"/>
            <w:shd w:val="clear" w:color="auto" w:fill="auto"/>
            <w:vAlign w:val="center"/>
          </w:tcPr>
          <w:p w14:paraId="6028A63A" w14:textId="77777777" w:rsidR="007D1E74" w:rsidRDefault="00A95641">
            <w:pPr>
              <w:widowControl/>
              <w:jc w:val="center"/>
              <w:rPr>
                <w:rFonts w:cs="Times New Roman"/>
                <w:kern w:val="0"/>
                <w:szCs w:val="21"/>
              </w:rPr>
            </w:pPr>
            <w:r>
              <w:rPr>
                <w:rFonts w:cs="Times New Roman"/>
                <w:kern w:val="0"/>
                <w:szCs w:val="21"/>
              </w:rPr>
              <w:t>约</w:t>
            </w:r>
            <w:r>
              <w:rPr>
                <w:rFonts w:cs="Times New Roman"/>
                <w:kern w:val="0"/>
                <w:szCs w:val="21"/>
              </w:rPr>
              <w:t>196</w:t>
            </w:r>
            <w:r>
              <w:rPr>
                <w:rFonts w:cs="Times New Roman"/>
                <w:kern w:val="0"/>
                <w:szCs w:val="21"/>
              </w:rPr>
              <w:t>人</w:t>
            </w:r>
          </w:p>
        </w:tc>
      </w:tr>
      <w:tr w:rsidR="007D1E74" w14:paraId="294F56AA" w14:textId="77777777">
        <w:tc>
          <w:tcPr>
            <w:tcW w:w="390" w:type="pct"/>
            <w:vMerge/>
            <w:vAlign w:val="center"/>
          </w:tcPr>
          <w:p w14:paraId="038976B4" w14:textId="77777777" w:rsidR="007D1E74" w:rsidRDefault="007D1E74">
            <w:pPr>
              <w:widowControl/>
              <w:jc w:val="left"/>
              <w:rPr>
                <w:rFonts w:cs="Times New Roman"/>
                <w:kern w:val="0"/>
                <w:szCs w:val="21"/>
              </w:rPr>
            </w:pPr>
          </w:p>
        </w:tc>
        <w:tc>
          <w:tcPr>
            <w:tcW w:w="425" w:type="pct"/>
            <w:shd w:val="clear" w:color="auto" w:fill="auto"/>
            <w:vAlign w:val="center"/>
          </w:tcPr>
          <w:p w14:paraId="4B9B99C7" w14:textId="77777777" w:rsidR="007D1E74" w:rsidRDefault="00A95641">
            <w:pPr>
              <w:widowControl/>
              <w:jc w:val="center"/>
              <w:rPr>
                <w:rFonts w:cs="Times New Roman"/>
                <w:kern w:val="0"/>
                <w:szCs w:val="21"/>
              </w:rPr>
            </w:pPr>
            <w:r>
              <w:rPr>
                <w:rFonts w:cs="Times New Roman"/>
                <w:kern w:val="0"/>
                <w:szCs w:val="21"/>
              </w:rPr>
              <w:t>8</w:t>
            </w:r>
          </w:p>
        </w:tc>
        <w:tc>
          <w:tcPr>
            <w:tcW w:w="1424" w:type="pct"/>
            <w:shd w:val="clear" w:color="auto" w:fill="auto"/>
            <w:vAlign w:val="center"/>
          </w:tcPr>
          <w:p w14:paraId="2B673E96" w14:textId="77777777" w:rsidR="007D1E74" w:rsidRDefault="00A95641">
            <w:pPr>
              <w:widowControl/>
              <w:jc w:val="center"/>
              <w:rPr>
                <w:rFonts w:cs="Times New Roman"/>
                <w:kern w:val="0"/>
                <w:szCs w:val="21"/>
              </w:rPr>
            </w:pPr>
            <w:r>
              <w:rPr>
                <w:rFonts w:cs="Times New Roman"/>
                <w:kern w:val="0"/>
                <w:szCs w:val="21"/>
              </w:rPr>
              <w:t>何家坝</w:t>
            </w:r>
          </w:p>
        </w:tc>
        <w:tc>
          <w:tcPr>
            <w:tcW w:w="665" w:type="pct"/>
            <w:shd w:val="clear" w:color="auto" w:fill="auto"/>
            <w:vAlign w:val="center"/>
          </w:tcPr>
          <w:p w14:paraId="32D8CB6C" w14:textId="77777777" w:rsidR="007D1E74" w:rsidRDefault="00A95641">
            <w:pPr>
              <w:widowControl/>
              <w:jc w:val="center"/>
              <w:rPr>
                <w:rFonts w:cs="Times New Roman"/>
                <w:kern w:val="0"/>
                <w:szCs w:val="21"/>
              </w:rPr>
            </w:pPr>
            <w:r>
              <w:rPr>
                <w:rFonts w:cs="Times New Roman"/>
                <w:kern w:val="0"/>
                <w:szCs w:val="21"/>
              </w:rPr>
              <w:t>左</w:t>
            </w:r>
            <w:r>
              <w:rPr>
                <w:rFonts w:cs="Times New Roman" w:hint="eastAsia"/>
                <w:kern w:val="0"/>
                <w:szCs w:val="21"/>
              </w:rPr>
              <w:t>/</w:t>
            </w:r>
            <w:r>
              <w:rPr>
                <w:rFonts w:cs="Times New Roman" w:hint="eastAsia"/>
                <w:kern w:val="0"/>
                <w:szCs w:val="21"/>
              </w:rPr>
              <w:t>右</w:t>
            </w:r>
          </w:p>
        </w:tc>
        <w:tc>
          <w:tcPr>
            <w:tcW w:w="631" w:type="pct"/>
            <w:shd w:val="clear" w:color="auto" w:fill="auto"/>
            <w:vAlign w:val="center"/>
          </w:tcPr>
          <w:p w14:paraId="4200BA49" w14:textId="77777777" w:rsidR="007D1E74" w:rsidRDefault="00A95641">
            <w:pPr>
              <w:widowControl/>
              <w:jc w:val="center"/>
              <w:rPr>
                <w:rFonts w:cs="Times New Roman"/>
                <w:kern w:val="0"/>
                <w:szCs w:val="21"/>
              </w:rPr>
            </w:pPr>
            <w:r>
              <w:rPr>
                <w:rFonts w:cs="Times New Roman" w:hint="eastAsia"/>
                <w:kern w:val="0"/>
                <w:szCs w:val="21"/>
              </w:rPr>
              <w:t>8~</w:t>
            </w:r>
            <w:r>
              <w:rPr>
                <w:rFonts w:cs="Times New Roman"/>
                <w:kern w:val="0"/>
                <w:szCs w:val="21"/>
              </w:rPr>
              <w:t>200</w:t>
            </w:r>
          </w:p>
        </w:tc>
        <w:tc>
          <w:tcPr>
            <w:tcW w:w="709" w:type="pct"/>
            <w:shd w:val="clear" w:color="auto" w:fill="auto"/>
            <w:vAlign w:val="center"/>
          </w:tcPr>
          <w:p w14:paraId="30F76A5F" w14:textId="77777777" w:rsidR="007D1E74" w:rsidRDefault="00A95641">
            <w:pPr>
              <w:widowControl/>
              <w:jc w:val="center"/>
              <w:rPr>
                <w:rFonts w:cs="Times New Roman"/>
                <w:kern w:val="0"/>
                <w:szCs w:val="21"/>
              </w:rPr>
            </w:pPr>
            <w:r>
              <w:rPr>
                <w:rFonts w:cs="Times New Roman"/>
                <w:kern w:val="0"/>
                <w:szCs w:val="21"/>
              </w:rPr>
              <w:t>居住区</w:t>
            </w:r>
          </w:p>
        </w:tc>
        <w:tc>
          <w:tcPr>
            <w:tcW w:w="756" w:type="pct"/>
            <w:shd w:val="clear" w:color="auto" w:fill="auto"/>
            <w:vAlign w:val="center"/>
          </w:tcPr>
          <w:p w14:paraId="1EB88EEA" w14:textId="77777777" w:rsidR="007D1E74" w:rsidRDefault="00A95641">
            <w:pPr>
              <w:widowControl/>
              <w:jc w:val="center"/>
              <w:rPr>
                <w:rFonts w:cs="Times New Roman"/>
                <w:kern w:val="0"/>
                <w:szCs w:val="21"/>
              </w:rPr>
            </w:pPr>
            <w:r>
              <w:rPr>
                <w:rFonts w:cs="Times New Roman"/>
                <w:kern w:val="0"/>
                <w:szCs w:val="21"/>
              </w:rPr>
              <w:t>约</w:t>
            </w:r>
            <w:r>
              <w:rPr>
                <w:rFonts w:cs="Times New Roman"/>
                <w:kern w:val="0"/>
                <w:szCs w:val="21"/>
              </w:rPr>
              <w:t>160</w:t>
            </w:r>
            <w:r>
              <w:rPr>
                <w:rFonts w:cs="Times New Roman"/>
                <w:kern w:val="0"/>
                <w:szCs w:val="21"/>
              </w:rPr>
              <w:t>人</w:t>
            </w:r>
          </w:p>
        </w:tc>
      </w:tr>
      <w:tr w:rsidR="007D1E74" w14:paraId="7BEB4488" w14:textId="77777777">
        <w:tc>
          <w:tcPr>
            <w:tcW w:w="390" w:type="pct"/>
            <w:vMerge/>
            <w:vAlign w:val="center"/>
          </w:tcPr>
          <w:p w14:paraId="63BC7F50" w14:textId="77777777" w:rsidR="007D1E74" w:rsidRDefault="007D1E74">
            <w:pPr>
              <w:widowControl/>
              <w:jc w:val="left"/>
              <w:rPr>
                <w:rFonts w:cs="Times New Roman"/>
                <w:kern w:val="0"/>
                <w:szCs w:val="21"/>
              </w:rPr>
            </w:pPr>
          </w:p>
        </w:tc>
        <w:tc>
          <w:tcPr>
            <w:tcW w:w="425" w:type="pct"/>
            <w:shd w:val="clear" w:color="auto" w:fill="auto"/>
            <w:vAlign w:val="center"/>
          </w:tcPr>
          <w:p w14:paraId="516D0BCF" w14:textId="77777777" w:rsidR="007D1E74" w:rsidRDefault="00A95641">
            <w:pPr>
              <w:widowControl/>
              <w:jc w:val="center"/>
              <w:rPr>
                <w:rFonts w:cs="Times New Roman"/>
                <w:kern w:val="0"/>
                <w:szCs w:val="21"/>
              </w:rPr>
            </w:pPr>
            <w:r>
              <w:rPr>
                <w:rFonts w:cs="Times New Roman"/>
                <w:kern w:val="0"/>
                <w:szCs w:val="21"/>
              </w:rPr>
              <w:t>9</w:t>
            </w:r>
          </w:p>
        </w:tc>
        <w:tc>
          <w:tcPr>
            <w:tcW w:w="1424" w:type="pct"/>
            <w:shd w:val="clear" w:color="auto" w:fill="auto"/>
            <w:vAlign w:val="center"/>
          </w:tcPr>
          <w:p w14:paraId="5F6AE5AE" w14:textId="77777777" w:rsidR="007D1E74" w:rsidRDefault="00A95641">
            <w:pPr>
              <w:widowControl/>
              <w:jc w:val="center"/>
              <w:rPr>
                <w:rFonts w:cs="Times New Roman"/>
                <w:kern w:val="0"/>
                <w:szCs w:val="21"/>
              </w:rPr>
            </w:pPr>
            <w:r>
              <w:rPr>
                <w:rFonts w:cs="Times New Roman"/>
                <w:kern w:val="0"/>
                <w:szCs w:val="21"/>
              </w:rPr>
              <w:t>建营坝</w:t>
            </w:r>
          </w:p>
        </w:tc>
        <w:tc>
          <w:tcPr>
            <w:tcW w:w="665" w:type="pct"/>
            <w:shd w:val="clear" w:color="auto" w:fill="auto"/>
            <w:vAlign w:val="center"/>
          </w:tcPr>
          <w:p w14:paraId="22FA2A1E" w14:textId="77777777" w:rsidR="007D1E74" w:rsidRDefault="00A95641">
            <w:pPr>
              <w:widowControl/>
              <w:jc w:val="center"/>
              <w:rPr>
                <w:rFonts w:cs="Times New Roman"/>
                <w:kern w:val="0"/>
                <w:szCs w:val="21"/>
              </w:rPr>
            </w:pPr>
            <w:r>
              <w:rPr>
                <w:rFonts w:cs="Times New Roman"/>
                <w:kern w:val="0"/>
                <w:szCs w:val="21"/>
              </w:rPr>
              <w:t>左</w:t>
            </w:r>
            <w:r>
              <w:rPr>
                <w:rFonts w:cs="Times New Roman" w:hint="eastAsia"/>
                <w:kern w:val="0"/>
                <w:szCs w:val="21"/>
              </w:rPr>
              <w:t>/</w:t>
            </w:r>
            <w:r>
              <w:rPr>
                <w:rFonts w:cs="Times New Roman" w:hint="eastAsia"/>
                <w:kern w:val="0"/>
                <w:szCs w:val="21"/>
              </w:rPr>
              <w:t>右</w:t>
            </w:r>
          </w:p>
        </w:tc>
        <w:tc>
          <w:tcPr>
            <w:tcW w:w="631" w:type="pct"/>
            <w:shd w:val="clear" w:color="auto" w:fill="auto"/>
            <w:vAlign w:val="center"/>
          </w:tcPr>
          <w:p w14:paraId="722E7592" w14:textId="77777777" w:rsidR="007D1E74" w:rsidRDefault="00A95641">
            <w:pPr>
              <w:widowControl/>
              <w:jc w:val="center"/>
              <w:rPr>
                <w:rFonts w:cs="Times New Roman"/>
                <w:kern w:val="0"/>
                <w:szCs w:val="21"/>
              </w:rPr>
            </w:pPr>
            <w:r>
              <w:rPr>
                <w:rFonts w:cs="Times New Roman" w:hint="eastAsia"/>
                <w:kern w:val="0"/>
                <w:szCs w:val="21"/>
              </w:rPr>
              <w:t>1</w:t>
            </w:r>
            <w:r>
              <w:rPr>
                <w:rFonts w:cs="Times New Roman"/>
                <w:kern w:val="0"/>
                <w:szCs w:val="21"/>
              </w:rPr>
              <w:t>5~200</w:t>
            </w:r>
          </w:p>
        </w:tc>
        <w:tc>
          <w:tcPr>
            <w:tcW w:w="709" w:type="pct"/>
            <w:shd w:val="clear" w:color="auto" w:fill="auto"/>
            <w:vAlign w:val="center"/>
          </w:tcPr>
          <w:p w14:paraId="7B615679" w14:textId="77777777" w:rsidR="007D1E74" w:rsidRDefault="00A95641">
            <w:pPr>
              <w:widowControl/>
              <w:jc w:val="center"/>
              <w:rPr>
                <w:rFonts w:cs="Times New Roman"/>
                <w:kern w:val="0"/>
                <w:szCs w:val="21"/>
              </w:rPr>
            </w:pPr>
            <w:r>
              <w:rPr>
                <w:rFonts w:cs="Times New Roman"/>
                <w:kern w:val="0"/>
                <w:szCs w:val="21"/>
              </w:rPr>
              <w:t>居住区</w:t>
            </w:r>
          </w:p>
        </w:tc>
        <w:tc>
          <w:tcPr>
            <w:tcW w:w="756" w:type="pct"/>
            <w:shd w:val="clear" w:color="auto" w:fill="auto"/>
            <w:vAlign w:val="center"/>
          </w:tcPr>
          <w:p w14:paraId="603F6AA6" w14:textId="77777777" w:rsidR="007D1E74" w:rsidRDefault="00A95641">
            <w:pPr>
              <w:widowControl/>
              <w:jc w:val="center"/>
              <w:rPr>
                <w:rFonts w:cs="Times New Roman"/>
                <w:kern w:val="0"/>
                <w:szCs w:val="21"/>
              </w:rPr>
            </w:pPr>
            <w:r>
              <w:rPr>
                <w:rFonts w:cs="Times New Roman"/>
                <w:kern w:val="0"/>
                <w:szCs w:val="21"/>
              </w:rPr>
              <w:t>约</w:t>
            </w:r>
            <w:r>
              <w:rPr>
                <w:rFonts w:cs="Times New Roman"/>
                <w:kern w:val="0"/>
                <w:szCs w:val="21"/>
              </w:rPr>
              <w:t>140</w:t>
            </w:r>
            <w:r>
              <w:rPr>
                <w:rFonts w:cs="Times New Roman"/>
                <w:kern w:val="0"/>
                <w:szCs w:val="21"/>
              </w:rPr>
              <w:t>人</w:t>
            </w:r>
          </w:p>
        </w:tc>
      </w:tr>
      <w:tr w:rsidR="007D1E74" w14:paraId="429E5904" w14:textId="77777777">
        <w:tc>
          <w:tcPr>
            <w:tcW w:w="390" w:type="pct"/>
            <w:vMerge/>
            <w:vAlign w:val="center"/>
          </w:tcPr>
          <w:p w14:paraId="0BB11AA2" w14:textId="77777777" w:rsidR="007D1E74" w:rsidRDefault="007D1E74">
            <w:pPr>
              <w:widowControl/>
              <w:jc w:val="left"/>
              <w:rPr>
                <w:rFonts w:cs="Times New Roman"/>
                <w:kern w:val="0"/>
                <w:szCs w:val="21"/>
              </w:rPr>
            </w:pPr>
          </w:p>
        </w:tc>
        <w:tc>
          <w:tcPr>
            <w:tcW w:w="3854" w:type="pct"/>
            <w:gridSpan w:val="5"/>
            <w:shd w:val="clear" w:color="auto" w:fill="auto"/>
            <w:vAlign w:val="center"/>
          </w:tcPr>
          <w:p w14:paraId="24576AD5" w14:textId="77777777" w:rsidR="007D1E74" w:rsidRDefault="00A95641">
            <w:pPr>
              <w:widowControl/>
              <w:jc w:val="center"/>
              <w:rPr>
                <w:rFonts w:cs="Times New Roman"/>
                <w:kern w:val="0"/>
                <w:szCs w:val="21"/>
              </w:rPr>
            </w:pPr>
            <w:r>
              <w:rPr>
                <w:rFonts w:cs="Times New Roman" w:hint="eastAsia"/>
                <w:kern w:val="0"/>
                <w:szCs w:val="21"/>
              </w:rPr>
              <w:t>每公里</w:t>
            </w:r>
            <w:r>
              <w:rPr>
                <w:rFonts w:cs="Times New Roman"/>
                <w:kern w:val="0"/>
                <w:szCs w:val="21"/>
              </w:rPr>
              <w:t>管段人口数</w:t>
            </w:r>
          </w:p>
        </w:tc>
        <w:tc>
          <w:tcPr>
            <w:tcW w:w="756" w:type="pct"/>
            <w:shd w:val="clear" w:color="auto" w:fill="auto"/>
            <w:vAlign w:val="center"/>
          </w:tcPr>
          <w:p w14:paraId="48AA26C6" w14:textId="77777777" w:rsidR="007D1E74" w:rsidRDefault="00A95641">
            <w:pPr>
              <w:widowControl/>
              <w:jc w:val="center"/>
              <w:rPr>
                <w:rFonts w:cs="Times New Roman"/>
                <w:kern w:val="0"/>
                <w:szCs w:val="21"/>
              </w:rPr>
            </w:pPr>
            <w:r>
              <w:rPr>
                <w:rFonts w:cs="Times New Roman"/>
                <w:kern w:val="0"/>
                <w:szCs w:val="21"/>
              </w:rPr>
              <w:t>约</w:t>
            </w:r>
            <w:r>
              <w:rPr>
                <w:rFonts w:cs="Times New Roman"/>
                <w:kern w:val="0"/>
                <w:szCs w:val="21"/>
              </w:rPr>
              <w:t>98</w:t>
            </w:r>
            <w:r>
              <w:rPr>
                <w:rFonts w:cs="Times New Roman"/>
                <w:kern w:val="0"/>
                <w:szCs w:val="21"/>
              </w:rPr>
              <w:t>人</w:t>
            </w:r>
          </w:p>
        </w:tc>
      </w:tr>
      <w:tr w:rsidR="007D1E74" w14:paraId="02F3B4A5" w14:textId="77777777">
        <w:tc>
          <w:tcPr>
            <w:tcW w:w="390" w:type="pct"/>
            <w:vMerge/>
            <w:vAlign w:val="center"/>
          </w:tcPr>
          <w:p w14:paraId="4FC9B52F" w14:textId="77777777" w:rsidR="007D1E74" w:rsidRDefault="007D1E74">
            <w:pPr>
              <w:widowControl/>
              <w:jc w:val="left"/>
              <w:rPr>
                <w:rFonts w:cs="Times New Roman"/>
                <w:kern w:val="0"/>
                <w:szCs w:val="21"/>
              </w:rPr>
            </w:pPr>
          </w:p>
        </w:tc>
        <w:tc>
          <w:tcPr>
            <w:tcW w:w="4610" w:type="pct"/>
            <w:gridSpan w:val="6"/>
            <w:shd w:val="clear" w:color="auto" w:fill="auto"/>
            <w:vAlign w:val="center"/>
          </w:tcPr>
          <w:p w14:paraId="0838B7E6" w14:textId="77777777" w:rsidR="007D1E74" w:rsidRDefault="00A95641">
            <w:pPr>
              <w:widowControl/>
              <w:jc w:val="center"/>
              <w:rPr>
                <w:rFonts w:cs="Times New Roman"/>
                <w:kern w:val="0"/>
                <w:szCs w:val="21"/>
              </w:rPr>
            </w:pPr>
            <w:r>
              <w:rPr>
                <w:rFonts w:cs="Times New Roman" w:hint="eastAsia"/>
                <w:kern w:val="0"/>
                <w:szCs w:val="21"/>
                <w:u w:val="single"/>
              </w:rPr>
              <w:t xml:space="preserve"> </w:t>
            </w:r>
            <w:r>
              <w:rPr>
                <w:rFonts w:cs="Times New Roman" w:hint="eastAsia"/>
                <w:kern w:val="0"/>
                <w:szCs w:val="21"/>
                <w:u w:val="single"/>
              </w:rPr>
              <w:t>马</w:t>
            </w:r>
            <w:r>
              <w:rPr>
                <w:rFonts w:cs="Times New Roman" w:hint="eastAsia"/>
                <w:kern w:val="0"/>
                <w:szCs w:val="21"/>
                <w:u w:val="single"/>
              </w:rPr>
              <w:t>1-10H</w:t>
            </w:r>
            <w:r>
              <w:rPr>
                <w:rFonts w:cs="Times New Roman" w:hint="eastAsia"/>
                <w:kern w:val="0"/>
                <w:szCs w:val="21"/>
                <w:u w:val="single"/>
              </w:rPr>
              <w:t>采气井场至马</w:t>
            </w:r>
            <w:r>
              <w:rPr>
                <w:rFonts w:cs="Times New Roman" w:hint="eastAsia"/>
                <w:kern w:val="0"/>
                <w:szCs w:val="21"/>
                <w:u w:val="single"/>
              </w:rPr>
              <w:t>1-1</w:t>
            </w:r>
            <w:r>
              <w:rPr>
                <w:rFonts w:cs="Times New Roman" w:hint="eastAsia"/>
                <w:kern w:val="0"/>
                <w:szCs w:val="21"/>
                <w:u w:val="single"/>
              </w:rPr>
              <w:t>集气支线</w:t>
            </w:r>
            <w:r>
              <w:rPr>
                <w:rFonts w:cs="Times New Roman"/>
                <w:kern w:val="0"/>
                <w:szCs w:val="21"/>
              </w:rPr>
              <w:t>200m</w:t>
            </w:r>
            <w:r>
              <w:rPr>
                <w:rFonts w:cs="Times New Roman"/>
                <w:kern w:val="0"/>
                <w:szCs w:val="21"/>
              </w:rPr>
              <w:t>范围内</w:t>
            </w:r>
          </w:p>
        </w:tc>
      </w:tr>
      <w:tr w:rsidR="007D1E74" w14:paraId="72D68682" w14:textId="77777777">
        <w:tc>
          <w:tcPr>
            <w:tcW w:w="390" w:type="pct"/>
            <w:vMerge/>
            <w:vAlign w:val="center"/>
          </w:tcPr>
          <w:p w14:paraId="5A65D95C" w14:textId="77777777" w:rsidR="007D1E74" w:rsidRDefault="007D1E74">
            <w:pPr>
              <w:widowControl/>
              <w:jc w:val="left"/>
              <w:rPr>
                <w:rFonts w:cs="Times New Roman"/>
                <w:kern w:val="0"/>
                <w:szCs w:val="21"/>
              </w:rPr>
            </w:pPr>
          </w:p>
        </w:tc>
        <w:tc>
          <w:tcPr>
            <w:tcW w:w="425" w:type="pct"/>
            <w:shd w:val="clear" w:color="auto" w:fill="auto"/>
            <w:vAlign w:val="center"/>
          </w:tcPr>
          <w:p w14:paraId="105079D7" w14:textId="77777777" w:rsidR="007D1E74" w:rsidRDefault="00A95641">
            <w:pPr>
              <w:widowControl/>
              <w:jc w:val="center"/>
              <w:rPr>
                <w:rFonts w:cs="Times New Roman"/>
                <w:kern w:val="0"/>
                <w:szCs w:val="21"/>
              </w:rPr>
            </w:pPr>
            <w:r>
              <w:rPr>
                <w:rFonts w:cs="Times New Roman"/>
                <w:kern w:val="0"/>
                <w:szCs w:val="21"/>
              </w:rPr>
              <w:t>1</w:t>
            </w:r>
          </w:p>
        </w:tc>
        <w:tc>
          <w:tcPr>
            <w:tcW w:w="1424" w:type="pct"/>
            <w:shd w:val="clear" w:color="auto" w:fill="auto"/>
            <w:vAlign w:val="center"/>
          </w:tcPr>
          <w:p w14:paraId="7A5EE84C" w14:textId="77777777" w:rsidR="007D1E74" w:rsidRDefault="00A95641">
            <w:pPr>
              <w:widowControl/>
              <w:jc w:val="center"/>
              <w:rPr>
                <w:rFonts w:cs="Times New Roman"/>
                <w:kern w:val="0"/>
                <w:szCs w:val="21"/>
              </w:rPr>
            </w:pPr>
            <w:r>
              <w:rPr>
                <w:rFonts w:cs="Times New Roman"/>
                <w:kern w:val="0"/>
                <w:szCs w:val="21"/>
              </w:rPr>
              <w:t>红岩村</w:t>
            </w:r>
          </w:p>
        </w:tc>
        <w:tc>
          <w:tcPr>
            <w:tcW w:w="665" w:type="pct"/>
            <w:shd w:val="clear" w:color="auto" w:fill="auto"/>
            <w:vAlign w:val="center"/>
          </w:tcPr>
          <w:p w14:paraId="2602987B" w14:textId="77777777" w:rsidR="007D1E74" w:rsidRDefault="00A95641">
            <w:pPr>
              <w:widowControl/>
              <w:jc w:val="center"/>
              <w:rPr>
                <w:rFonts w:cs="Times New Roman"/>
                <w:kern w:val="0"/>
                <w:szCs w:val="21"/>
              </w:rPr>
            </w:pPr>
            <w:r>
              <w:rPr>
                <w:rFonts w:cs="Times New Roman"/>
                <w:kern w:val="0"/>
                <w:szCs w:val="21"/>
              </w:rPr>
              <w:t>左</w:t>
            </w:r>
            <w:r>
              <w:rPr>
                <w:rFonts w:cs="Times New Roman" w:hint="eastAsia"/>
                <w:kern w:val="0"/>
                <w:szCs w:val="21"/>
              </w:rPr>
              <w:t>/</w:t>
            </w:r>
            <w:r>
              <w:rPr>
                <w:rFonts w:cs="Times New Roman" w:hint="eastAsia"/>
                <w:kern w:val="0"/>
                <w:szCs w:val="21"/>
              </w:rPr>
              <w:t>右</w:t>
            </w:r>
          </w:p>
        </w:tc>
        <w:tc>
          <w:tcPr>
            <w:tcW w:w="631" w:type="pct"/>
            <w:shd w:val="clear" w:color="auto" w:fill="auto"/>
            <w:vAlign w:val="center"/>
          </w:tcPr>
          <w:p w14:paraId="4CA07DAD" w14:textId="77777777" w:rsidR="007D1E74" w:rsidRDefault="00A95641">
            <w:pPr>
              <w:widowControl/>
              <w:jc w:val="center"/>
              <w:rPr>
                <w:rFonts w:cs="Times New Roman"/>
                <w:kern w:val="0"/>
                <w:szCs w:val="21"/>
              </w:rPr>
            </w:pPr>
            <w:r>
              <w:rPr>
                <w:rFonts w:cs="Times New Roman" w:hint="eastAsia"/>
                <w:kern w:val="0"/>
                <w:szCs w:val="21"/>
              </w:rPr>
              <w:t>1</w:t>
            </w:r>
            <w:r>
              <w:rPr>
                <w:rFonts w:cs="Times New Roman"/>
                <w:kern w:val="0"/>
                <w:szCs w:val="21"/>
              </w:rPr>
              <w:t>0~190</w:t>
            </w:r>
          </w:p>
        </w:tc>
        <w:tc>
          <w:tcPr>
            <w:tcW w:w="709" w:type="pct"/>
            <w:shd w:val="clear" w:color="auto" w:fill="auto"/>
            <w:vAlign w:val="center"/>
          </w:tcPr>
          <w:p w14:paraId="44022B44" w14:textId="77777777" w:rsidR="007D1E74" w:rsidRDefault="00A95641">
            <w:pPr>
              <w:widowControl/>
              <w:jc w:val="center"/>
              <w:rPr>
                <w:rFonts w:cs="Times New Roman"/>
                <w:kern w:val="0"/>
                <w:szCs w:val="21"/>
              </w:rPr>
            </w:pPr>
            <w:r>
              <w:rPr>
                <w:rFonts w:cs="Times New Roman"/>
                <w:kern w:val="0"/>
                <w:szCs w:val="21"/>
              </w:rPr>
              <w:t>居住区</w:t>
            </w:r>
          </w:p>
        </w:tc>
        <w:tc>
          <w:tcPr>
            <w:tcW w:w="756" w:type="pct"/>
            <w:shd w:val="clear" w:color="auto" w:fill="auto"/>
            <w:vAlign w:val="center"/>
          </w:tcPr>
          <w:p w14:paraId="2242AC3E" w14:textId="77777777" w:rsidR="007D1E74" w:rsidRDefault="00A95641">
            <w:pPr>
              <w:widowControl/>
              <w:jc w:val="center"/>
              <w:rPr>
                <w:rFonts w:cs="Times New Roman"/>
                <w:kern w:val="0"/>
                <w:szCs w:val="21"/>
              </w:rPr>
            </w:pPr>
            <w:r>
              <w:rPr>
                <w:rFonts w:cs="Times New Roman"/>
                <w:kern w:val="0"/>
                <w:szCs w:val="21"/>
              </w:rPr>
              <w:t>约</w:t>
            </w:r>
            <w:r>
              <w:rPr>
                <w:rFonts w:cs="Times New Roman"/>
                <w:kern w:val="0"/>
                <w:szCs w:val="21"/>
              </w:rPr>
              <w:t>42</w:t>
            </w:r>
            <w:r>
              <w:rPr>
                <w:rFonts w:cs="Times New Roman"/>
                <w:kern w:val="0"/>
                <w:szCs w:val="21"/>
              </w:rPr>
              <w:t>人</w:t>
            </w:r>
          </w:p>
        </w:tc>
      </w:tr>
      <w:tr w:rsidR="007D1E74" w14:paraId="678C26D0" w14:textId="77777777">
        <w:tc>
          <w:tcPr>
            <w:tcW w:w="390" w:type="pct"/>
            <w:vMerge/>
            <w:vAlign w:val="center"/>
          </w:tcPr>
          <w:p w14:paraId="2AF32E13" w14:textId="77777777" w:rsidR="007D1E74" w:rsidRDefault="007D1E74">
            <w:pPr>
              <w:widowControl/>
              <w:jc w:val="left"/>
              <w:rPr>
                <w:rFonts w:cs="Times New Roman"/>
                <w:kern w:val="0"/>
                <w:szCs w:val="21"/>
              </w:rPr>
            </w:pPr>
          </w:p>
        </w:tc>
        <w:tc>
          <w:tcPr>
            <w:tcW w:w="425" w:type="pct"/>
            <w:shd w:val="clear" w:color="auto" w:fill="auto"/>
            <w:vAlign w:val="center"/>
          </w:tcPr>
          <w:p w14:paraId="4E3B6AB0" w14:textId="77777777" w:rsidR="007D1E74" w:rsidRDefault="00A95641">
            <w:pPr>
              <w:widowControl/>
              <w:jc w:val="center"/>
              <w:rPr>
                <w:rFonts w:cs="Times New Roman"/>
                <w:kern w:val="0"/>
                <w:szCs w:val="21"/>
              </w:rPr>
            </w:pPr>
            <w:r>
              <w:rPr>
                <w:rFonts w:cs="Times New Roman"/>
                <w:kern w:val="0"/>
                <w:szCs w:val="21"/>
              </w:rPr>
              <w:t>2</w:t>
            </w:r>
          </w:p>
        </w:tc>
        <w:tc>
          <w:tcPr>
            <w:tcW w:w="1424" w:type="pct"/>
            <w:shd w:val="clear" w:color="auto" w:fill="auto"/>
            <w:vAlign w:val="center"/>
          </w:tcPr>
          <w:p w14:paraId="5878CF55" w14:textId="77777777" w:rsidR="007D1E74" w:rsidRDefault="00A95641">
            <w:pPr>
              <w:widowControl/>
              <w:jc w:val="center"/>
              <w:rPr>
                <w:rFonts w:cs="Times New Roman"/>
                <w:kern w:val="0"/>
                <w:szCs w:val="21"/>
              </w:rPr>
            </w:pPr>
            <w:r>
              <w:rPr>
                <w:rFonts w:cs="Times New Roman"/>
                <w:kern w:val="0"/>
                <w:szCs w:val="21"/>
              </w:rPr>
              <w:t>风岭坡</w:t>
            </w:r>
          </w:p>
        </w:tc>
        <w:tc>
          <w:tcPr>
            <w:tcW w:w="665" w:type="pct"/>
            <w:shd w:val="clear" w:color="auto" w:fill="auto"/>
            <w:vAlign w:val="center"/>
          </w:tcPr>
          <w:p w14:paraId="2DB6D136" w14:textId="77777777" w:rsidR="007D1E74" w:rsidRDefault="00A95641">
            <w:pPr>
              <w:widowControl/>
              <w:jc w:val="center"/>
              <w:rPr>
                <w:rFonts w:cs="Times New Roman"/>
                <w:kern w:val="0"/>
                <w:szCs w:val="21"/>
              </w:rPr>
            </w:pPr>
            <w:r>
              <w:rPr>
                <w:rFonts w:cs="Times New Roman"/>
                <w:kern w:val="0"/>
                <w:szCs w:val="21"/>
              </w:rPr>
              <w:t>右</w:t>
            </w:r>
          </w:p>
        </w:tc>
        <w:tc>
          <w:tcPr>
            <w:tcW w:w="631" w:type="pct"/>
            <w:shd w:val="clear" w:color="auto" w:fill="auto"/>
            <w:vAlign w:val="center"/>
          </w:tcPr>
          <w:p w14:paraId="5984DC95" w14:textId="77777777" w:rsidR="007D1E74" w:rsidRDefault="00A95641">
            <w:pPr>
              <w:widowControl/>
              <w:jc w:val="center"/>
              <w:rPr>
                <w:rFonts w:cs="Times New Roman"/>
                <w:kern w:val="0"/>
                <w:szCs w:val="21"/>
              </w:rPr>
            </w:pPr>
            <w:r>
              <w:rPr>
                <w:rFonts w:cs="Times New Roman" w:hint="eastAsia"/>
                <w:kern w:val="0"/>
                <w:szCs w:val="21"/>
              </w:rPr>
              <w:t>1</w:t>
            </w:r>
            <w:r>
              <w:rPr>
                <w:rFonts w:cs="Times New Roman"/>
                <w:kern w:val="0"/>
                <w:szCs w:val="21"/>
              </w:rPr>
              <w:t>15~194</w:t>
            </w:r>
          </w:p>
        </w:tc>
        <w:tc>
          <w:tcPr>
            <w:tcW w:w="709" w:type="pct"/>
            <w:shd w:val="clear" w:color="auto" w:fill="auto"/>
            <w:vAlign w:val="center"/>
          </w:tcPr>
          <w:p w14:paraId="590F2368" w14:textId="77777777" w:rsidR="007D1E74" w:rsidRDefault="00A95641">
            <w:pPr>
              <w:widowControl/>
              <w:jc w:val="center"/>
              <w:rPr>
                <w:rFonts w:cs="Times New Roman"/>
                <w:kern w:val="0"/>
                <w:szCs w:val="21"/>
              </w:rPr>
            </w:pPr>
            <w:r>
              <w:rPr>
                <w:rFonts w:cs="Times New Roman"/>
                <w:kern w:val="0"/>
                <w:szCs w:val="21"/>
              </w:rPr>
              <w:t>居住区</w:t>
            </w:r>
          </w:p>
        </w:tc>
        <w:tc>
          <w:tcPr>
            <w:tcW w:w="756" w:type="pct"/>
            <w:shd w:val="clear" w:color="auto" w:fill="auto"/>
            <w:vAlign w:val="center"/>
          </w:tcPr>
          <w:p w14:paraId="34CE4079" w14:textId="77777777" w:rsidR="007D1E74" w:rsidRDefault="00A95641">
            <w:pPr>
              <w:widowControl/>
              <w:jc w:val="center"/>
              <w:rPr>
                <w:rFonts w:cs="Times New Roman"/>
                <w:kern w:val="0"/>
                <w:szCs w:val="21"/>
              </w:rPr>
            </w:pPr>
            <w:r>
              <w:rPr>
                <w:rFonts w:cs="Times New Roman"/>
                <w:kern w:val="0"/>
                <w:szCs w:val="21"/>
              </w:rPr>
              <w:t>约</w:t>
            </w:r>
            <w:r>
              <w:rPr>
                <w:rFonts w:cs="Times New Roman"/>
                <w:kern w:val="0"/>
                <w:szCs w:val="21"/>
              </w:rPr>
              <w:t>14</w:t>
            </w:r>
            <w:r>
              <w:rPr>
                <w:rFonts w:cs="Times New Roman"/>
                <w:kern w:val="0"/>
                <w:szCs w:val="21"/>
              </w:rPr>
              <w:t>人</w:t>
            </w:r>
          </w:p>
        </w:tc>
      </w:tr>
      <w:tr w:rsidR="007D1E74" w14:paraId="5574A4ED" w14:textId="77777777">
        <w:tc>
          <w:tcPr>
            <w:tcW w:w="390" w:type="pct"/>
            <w:vMerge/>
            <w:vAlign w:val="center"/>
          </w:tcPr>
          <w:p w14:paraId="06B9F6FF" w14:textId="77777777" w:rsidR="007D1E74" w:rsidRDefault="007D1E74">
            <w:pPr>
              <w:widowControl/>
              <w:jc w:val="left"/>
              <w:rPr>
                <w:rFonts w:cs="Times New Roman"/>
                <w:kern w:val="0"/>
                <w:szCs w:val="21"/>
              </w:rPr>
            </w:pPr>
          </w:p>
        </w:tc>
        <w:tc>
          <w:tcPr>
            <w:tcW w:w="3854" w:type="pct"/>
            <w:gridSpan w:val="5"/>
            <w:shd w:val="clear" w:color="auto" w:fill="auto"/>
            <w:vAlign w:val="center"/>
          </w:tcPr>
          <w:p w14:paraId="27454AA9" w14:textId="77777777" w:rsidR="007D1E74" w:rsidRDefault="00A95641">
            <w:pPr>
              <w:widowControl/>
              <w:jc w:val="center"/>
              <w:rPr>
                <w:rFonts w:cs="Times New Roman"/>
                <w:kern w:val="0"/>
                <w:szCs w:val="21"/>
              </w:rPr>
            </w:pPr>
            <w:r>
              <w:rPr>
                <w:rFonts w:cs="Times New Roman" w:hint="eastAsia"/>
                <w:kern w:val="0"/>
                <w:szCs w:val="21"/>
              </w:rPr>
              <w:t>每公里</w:t>
            </w:r>
            <w:r>
              <w:rPr>
                <w:rFonts w:cs="Times New Roman"/>
                <w:kern w:val="0"/>
                <w:szCs w:val="21"/>
              </w:rPr>
              <w:t>管段人口数</w:t>
            </w:r>
          </w:p>
        </w:tc>
        <w:tc>
          <w:tcPr>
            <w:tcW w:w="756" w:type="pct"/>
            <w:shd w:val="clear" w:color="auto" w:fill="auto"/>
            <w:vAlign w:val="center"/>
          </w:tcPr>
          <w:p w14:paraId="284E0DD0" w14:textId="77777777" w:rsidR="007D1E74" w:rsidRDefault="00A95641">
            <w:pPr>
              <w:widowControl/>
              <w:jc w:val="center"/>
              <w:rPr>
                <w:rFonts w:cs="Times New Roman"/>
                <w:kern w:val="0"/>
                <w:szCs w:val="21"/>
              </w:rPr>
            </w:pPr>
            <w:r>
              <w:rPr>
                <w:rFonts w:cs="Times New Roman"/>
                <w:kern w:val="0"/>
                <w:szCs w:val="21"/>
              </w:rPr>
              <w:t>约</w:t>
            </w:r>
            <w:r>
              <w:rPr>
                <w:rFonts w:cs="Times New Roman"/>
                <w:kern w:val="0"/>
                <w:szCs w:val="21"/>
              </w:rPr>
              <w:t>14</w:t>
            </w:r>
            <w:r>
              <w:rPr>
                <w:rFonts w:cs="Times New Roman"/>
                <w:kern w:val="0"/>
                <w:szCs w:val="21"/>
              </w:rPr>
              <w:t>人</w:t>
            </w:r>
          </w:p>
        </w:tc>
      </w:tr>
      <w:tr w:rsidR="007D1E74" w14:paraId="17BFE6C0" w14:textId="77777777">
        <w:tc>
          <w:tcPr>
            <w:tcW w:w="390" w:type="pct"/>
            <w:vMerge/>
            <w:vAlign w:val="center"/>
          </w:tcPr>
          <w:p w14:paraId="76E7F30F" w14:textId="77777777" w:rsidR="007D1E74" w:rsidRDefault="007D1E74">
            <w:pPr>
              <w:widowControl/>
              <w:jc w:val="left"/>
              <w:rPr>
                <w:rFonts w:cs="Times New Roman"/>
                <w:kern w:val="0"/>
                <w:szCs w:val="21"/>
              </w:rPr>
            </w:pPr>
          </w:p>
        </w:tc>
        <w:tc>
          <w:tcPr>
            <w:tcW w:w="4610" w:type="pct"/>
            <w:gridSpan w:val="6"/>
            <w:shd w:val="clear" w:color="auto" w:fill="auto"/>
            <w:vAlign w:val="center"/>
          </w:tcPr>
          <w:p w14:paraId="3B6473EC" w14:textId="77777777" w:rsidR="007D1E74" w:rsidRDefault="00A95641">
            <w:pPr>
              <w:widowControl/>
              <w:jc w:val="center"/>
              <w:rPr>
                <w:rFonts w:cs="Times New Roman"/>
                <w:kern w:val="0"/>
                <w:szCs w:val="21"/>
              </w:rPr>
            </w:pPr>
            <w:r>
              <w:rPr>
                <w:rFonts w:cs="Times New Roman" w:hint="eastAsia"/>
                <w:kern w:val="0"/>
                <w:szCs w:val="21"/>
                <w:u w:val="single"/>
              </w:rPr>
              <w:t xml:space="preserve"> </w:t>
            </w:r>
            <w:r>
              <w:rPr>
                <w:rFonts w:cs="Times New Roman" w:hint="eastAsia"/>
                <w:kern w:val="0"/>
                <w:szCs w:val="21"/>
                <w:u w:val="single"/>
              </w:rPr>
              <w:t>马</w:t>
            </w:r>
            <w:r>
              <w:rPr>
                <w:rFonts w:cs="Times New Roman" w:hint="eastAsia"/>
                <w:kern w:val="0"/>
                <w:szCs w:val="21"/>
                <w:u w:val="single"/>
              </w:rPr>
              <w:t>1-1</w:t>
            </w:r>
            <w:r>
              <w:rPr>
                <w:rFonts w:cs="Times New Roman" w:hint="eastAsia"/>
                <w:kern w:val="0"/>
                <w:szCs w:val="21"/>
                <w:u w:val="single"/>
              </w:rPr>
              <w:t>采气井场至干线集气支线</w:t>
            </w:r>
            <w:r>
              <w:rPr>
                <w:rFonts w:cs="Times New Roman" w:hint="eastAsia"/>
                <w:kern w:val="0"/>
                <w:szCs w:val="21"/>
                <w:u w:val="single"/>
              </w:rPr>
              <w:t xml:space="preserve"> </w:t>
            </w:r>
            <w:r>
              <w:rPr>
                <w:rFonts w:cs="Times New Roman"/>
                <w:kern w:val="0"/>
                <w:szCs w:val="21"/>
              </w:rPr>
              <w:t>200m</w:t>
            </w:r>
            <w:r>
              <w:rPr>
                <w:rFonts w:cs="Times New Roman"/>
                <w:kern w:val="0"/>
                <w:szCs w:val="21"/>
              </w:rPr>
              <w:t>范围内</w:t>
            </w:r>
          </w:p>
        </w:tc>
      </w:tr>
      <w:tr w:rsidR="007D1E74" w14:paraId="674B7350" w14:textId="77777777">
        <w:tc>
          <w:tcPr>
            <w:tcW w:w="390" w:type="pct"/>
            <w:vMerge/>
            <w:vAlign w:val="center"/>
          </w:tcPr>
          <w:p w14:paraId="38040833" w14:textId="77777777" w:rsidR="007D1E74" w:rsidRDefault="007D1E74">
            <w:pPr>
              <w:widowControl/>
              <w:jc w:val="left"/>
              <w:rPr>
                <w:rFonts w:cs="Times New Roman"/>
                <w:kern w:val="0"/>
                <w:szCs w:val="21"/>
              </w:rPr>
            </w:pPr>
          </w:p>
        </w:tc>
        <w:tc>
          <w:tcPr>
            <w:tcW w:w="425" w:type="pct"/>
            <w:shd w:val="clear" w:color="auto" w:fill="auto"/>
            <w:vAlign w:val="center"/>
          </w:tcPr>
          <w:p w14:paraId="0DBB6C10" w14:textId="77777777" w:rsidR="007D1E74" w:rsidRDefault="00A95641">
            <w:pPr>
              <w:widowControl/>
              <w:jc w:val="center"/>
              <w:rPr>
                <w:rFonts w:cs="Times New Roman"/>
                <w:kern w:val="0"/>
                <w:szCs w:val="21"/>
              </w:rPr>
            </w:pPr>
            <w:r>
              <w:rPr>
                <w:rFonts w:cs="Times New Roman" w:hint="eastAsia"/>
                <w:kern w:val="0"/>
                <w:szCs w:val="21"/>
              </w:rPr>
              <w:t>/</w:t>
            </w:r>
          </w:p>
        </w:tc>
        <w:tc>
          <w:tcPr>
            <w:tcW w:w="1424" w:type="pct"/>
            <w:shd w:val="clear" w:color="auto" w:fill="auto"/>
            <w:vAlign w:val="center"/>
          </w:tcPr>
          <w:p w14:paraId="6A2D6BFD" w14:textId="77777777" w:rsidR="007D1E74" w:rsidRDefault="00A95641">
            <w:pPr>
              <w:widowControl/>
              <w:jc w:val="center"/>
              <w:rPr>
                <w:rFonts w:cs="Times New Roman"/>
                <w:kern w:val="0"/>
                <w:szCs w:val="21"/>
              </w:rPr>
            </w:pPr>
            <w:r>
              <w:rPr>
                <w:rFonts w:cs="Times New Roman" w:hint="eastAsia"/>
                <w:kern w:val="0"/>
                <w:szCs w:val="21"/>
              </w:rPr>
              <w:t>/</w:t>
            </w:r>
          </w:p>
        </w:tc>
        <w:tc>
          <w:tcPr>
            <w:tcW w:w="665" w:type="pct"/>
            <w:shd w:val="clear" w:color="auto" w:fill="auto"/>
            <w:vAlign w:val="center"/>
          </w:tcPr>
          <w:p w14:paraId="6B94C25E" w14:textId="77777777" w:rsidR="007D1E74" w:rsidRDefault="00A95641">
            <w:pPr>
              <w:widowControl/>
              <w:jc w:val="center"/>
              <w:rPr>
                <w:rFonts w:cs="Times New Roman"/>
                <w:kern w:val="0"/>
                <w:szCs w:val="21"/>
              </w:rPr>
            </w:pPr>
            <w:r>
              <w:rPr>
                <w:rFonts w:cs="Times New Roman" w:hint="eastAsia"/>
                <w:kern w:val="0"/>
                <w:szCs w:val="21"/>
              </w:rPr>
              <w:t>/</w:t>
            </w:r>
          </w:p>
        </w:tc>
        <w:tc>
          <w:tcPr>
            <w:tcW w:w="631" w:type="pct"/>
            <w:shd w:val="clear" w:color="auto" w:fill="auto"/>
            <w:vAlign w:val="center"/>
          </w:tcPr>
          <w:p w14:paraId="44F17AD9" w14:textId="77777777" w:rsidR="007D1E74" w:rsidRDefault="00A95641">
            <w:pPr>
              <w:widowControl/>
              <w:jc w:val="center"/>
              <w:rPr>
                <w:rFonts w:cs="Times New Roman"/>
                <w:kern w:val="0"/>
                <w:szCs w:val="21"/>
              </w:rPr>
            </w:pPr>
            <w:r>
              <w:rPr>
                <w:rFonts w:cs="Times New Roman" w:hint="eastAsia"/>
                <w:kern w:val="0"/>
                <w:szCs w:val="21"/>
              </w:rPr>
              <w:t>/</w:t>
            </w:r>
          </w:p>
        </w:tc>
        <w:tc>
          <w:tcPr>
            <w:tcW w:w="709" w:type="pct"/>
            <w:shd w:val="clear" w:color="auto" w:fill="auto"/>
            <w:vAlign w:val="center"/>
          </w:tcPr>
          <w:p w14:paraId="7F02A37B" w14:textId="77777777" w:rsidR="007D1E74" w:rsidRDefault="00A95641">
            <w:pPr>
              <w:widowControl/>
              <w:jc w:val="center"/>
              <w:rPr>
                <w:rFonts w:cs="Times New Roman"/>
                <w:kern w:val="0"/>
                <w:szCs w:val="21"/>
              </w:rPr>
            </w:pPr>
            <w:r>
              <w:rPr>
                <w:rFonts w:cs="Times New Roman" w:hint="eastAsia"/>
                <w:kern w:val="0"/>
                <w:szCs w:val="21"/>
              </w:rPr>
              <w:t>/</w:t>
            </w:r>
          </w:p>
        </w:tc>
        <w:tc>
          <w:tcPr>
            <w:tcW w:w="756" w:type="pct"/>
            <w:shd w:val="clear" w:color="auto" w:fill="auto"/>
            <w:vAlign w:val="center"/>
          </w:tcPr>
          <w:p w14:paraId="23469EEB" w14:textId="77777777" w:rsidR="007D1E74" w:rsidRDefault="00A95641">
            <w:pPr>
              <w:widowControl/>
              <w:jc w:val="center"/>
              <w:rPr>
                <w:rFonts w:cs="Times New Roman"/>
                <w:kern w:val="0"/>
                <w:szCs w:val="21"/>
              </w:rPr>
            </w:pPr>
            <w:r>
              <w:rPr>
                <w:rFonts w:cs="Times New Roman" w:hint="eastAsia"/>
                <w:kern w:val="0"/>
                <w:szCs w:val="21"/>
              </w:rPr>
              <w:t>/</w:t>
            </w:r>
          </w:p>
        </w:tc>
      </w:tr>
      <w:tr w:rsidR="007D1E74" w14:paraId="0AFB9C99" w14:textId="77777777">
        <w:tc>
          <w:tcPr>
            <w:tcW w:w="390" w:type="pct"/>
            <w:vMerge/>
            <w:vAlign w:val="center"/>
          </w:tcPr>
          <w:p w14:paraId="5493AB03" w14:textId="77777777" w:rsidR="007D1E74" w:rsidRDefault="007D1E74">
            <w:pPr>
              <w:widowControl/>
              <w:jc w:val="left"/>
              <w:rPr>
                <w:rFonts w:cs="Times New Roman"/>
                <w:kern w:val="0"/>
                <w:szCs w:val="21"/>
              </w:rPr>
            </w:pPr>
          </w:p>
        </w:tc>
        <w:tc>
          <w:tcPr>
            <w:tcW w:w="3854" w:type="pct"/>
            <w:gridSpan w:val="5"/>
            <w:shd w:val="clear" w:color="auto" w:fill="auto"/>
            <w:vAlign w:val="center"/>
          </w:tcPr>
          <w:p w14:paraId="401481F5" w14:textId="77777777" w:rsidR="007D1E74" w:rsidRDefault="00A95641">
            <w:pPr>
              <w:widowControl/>
              <w:jc w:val="center"/>
              <w:rPr>
                <w:rFonts w:cs="Times New Roman"/>
                <w:kern w:val="0"/>
                <w:szCs w:val="21"/>
              </w:rPr>
            </w:pPr>
            <w:r>
              <w:rPr>
                <w:rFonts w:cs="Times New Roman" w:hint="eastAsia"/>
                <w:kern w:val="0"/>
                <w:szCs w:val="21"/>
              </w:rPr>
              <w:t>每公里</w:t>
            </w:r>
            <w:r>
              <w:rPr>
                <w:rFonts w:cs="Times New Roman"/>
                <w:kern w:val="0"/>
                <w:szCs w:val="21"/>
              </w:rPr>
              <w:t>管段人口数</w:t>
            </w:r>
          </w:p>
        </w:tc>
        <w:tc>
          <w:tcPr>
            <w:tcW w:w="756" w:type="pct"/>
            <w:shd w:val="clear" w:color="auto" w:fill="auto"/>
            <w:vAlign w:val="center"/>
          </w:tcPr>
          <w:p w14:paraId="6DCA751C" w14:textId="77777777" w:rsidR="007D1E74" w:rsidRDefault="00A95641">
            <w:pPr>
              <w:widowControl/>
              <w:jc w:val="center"/>
              <w:rPr>
                <w:rFonts w:cs="Times New Roman"/>
                <w:kern w:val="0"/>
                <w:szCs w:val="21"/>
              </w:rPr>
            </w:pPr>
            <w:r>
              <w:rPr>
                <w:rFonts w:cs="Times New Roman" w:hint="eastAsia"/>
                <w:kern w:val="0"/>
                <w:szCs w:val="21"/>
              </w:rPr>
              <w:t>0</w:t>
            </w:r>
            <w:r>
              <w:rPr>
                <w:rFonts w:cs="Times New Roman"/>
                <w:kern w:val="0"/>
                <w:szCs w:val="21"/>
              </w:rPr>
              <w:t>人</w:t>
            </w:r>
          </w:p>
        </w:tc>
      </w:tr>
      <w:tr w:rsidR="007D1E74" w14:paraId="0D01E8E1" w14:textId="77777777">
        <w:tc>
          <w:tcPr>
            <w:tcW w:w="390" w:type="pct"/>
            <w:vMerge/>
            <w:vAlign w:val="center"/>
          </w:tcPr>
          <w:p w14:paraId="71B362EF" w14:textId="77777777" w:rsidR="007D1E74" w:rsidRDefault="007D1E74">
            <w:pPr>
              <w:widowControl/>
              <w:jc w:val="left"/>
              <w:rPr>
                <w:rFonts w:cs="Times New Roman"/>
                <w:kern w:val="0"/>
                <w:szCs w:val="21"/>
              </w:rPr>
            </w:pPr>
          </w:p>
        </w:tc>
        <w:tc>
          <w:tcPr>
            <w:tcW w:w="4610" w:type="pct"/>
            <w:gridSpan w:val="6"/>
            <w:shd w:val="clear" w:color="auto" w:fill="auto"/>
            <w:vAlign w:val="center"/>
          </w:tcPr>
          <w:p w14:paraId="09E7645D" w14:textId="77777777" w:rsidR="007D1E74" w:rsidRDefault="00A95641">
            <w:pPr>
              <w:widowControl/>
              <w:jc w:val="center"/>
              <w:rPr>
                <w:rFonts w:cs="Times New Roman"/>
                <w:kern w:val="0"/>
                <w:szCs w:val="21"/>
              </w:rPr>
            </w:pPr>
            <w:r>
              <w:rPr>
                <w:rFonts w:cs="Times New Roman" w:hint="eastAsia"/>
                <w:kern w:val="0"/>
                <w:szCs w:val="21"/>
                <w:u w:val="single"/>
              </w:rPr>
              <w:t xml:space="preserve"> </w:t>
            </w:r>
            <w:r>
              <w:rPr>
                <w:rFonts w:cs="Times New Roman" w:hint="eastAsia"/>
                <w:kern w:val="0"/>
                <w:szCs w:val="21"/>
                <w:u w:val="single"/>
              </w:rPr>
              <w:t>马</w:t>
            </w:r>
            <w:r>
              <w:rPr>
                <w:rFonts w:cs="Times New Roman" w:hint="eastAsia"/>
                <w:kern w:val="0"/>
                <w:szCs w:val="21"/>
                <w:u w:val="single"/>
              </w:rPr>
              <w:t>1-13H</w:t>
            </w:r>
            <w:r>
              <w:rPr>
                <w:rFonts w:cs="Times New Roman" w:hint="eastAsia"/>
                <w:kern w:val="0"/>
                <w:szCs w:val="21"/>
                <w:u w:val="single"/>
              </w:rPr>
              <w:t>采气井场至干线集气支线</w:t>
            </w:r>
            <w:r>
              <w:rPr>
                <w:rFonts w:cs="Times New Roman" w:hint="eastAsia"/>
                <w:kern w:val="0"/>
                <w:szCs w:val="21"/>
                <w:u w:val="single"/>
              </w:rPr>
              <w:t xml:space="preserve"> </w:t>
            </w:r>
            <w:r>
              <w:rPr>
                <w:rFonts w:cs="Times New Roman"/>
                <w:kern w:val="0"/>
                <w:szCs w:val="21"/>
              </w:rPr>
              <w:t>200m</w:t>
            </w:r>
            <w:r>
              <w:rPr>
                <w:rFonts w:cs="Times New Roman"/>
                <w:kern w:val="0"/>
                <w:szCs w:val="21"/>
              </w:rPr>
              <w:t>范围内</w:t>
            </w:r>
          </w:p>
        </w:tc>
      </w:tr>
      <w:tr w:rsidR="007D1E74" w14:paraId="12867462" w14:textId="77777777">
        <w:tc>
          <w:tcPr>
            <w:tcW w:w="390" w:type="pct"/>
            <w:vMerge/>
            <w:vAlign w:val="center"/>
          </w:tcPr>
          <w:p w14:paraId="1D4FAFD8" w14:textId="77777777" w:rsidR="007D1E74" w:rsidRDefault="007D1E74">
            <w:pPr>
              <w:widowControl/>
              <w:jc w:val="left"/>
              <w:rPr>
                <w:rFonts w:cs="Times New Roman"/>
                <w:kern w:val="0"/>
                <w:szCs w:val="21"/>
              </w:rPr>
            </w:pPr>
          </w:p>
        </w:tc>
        <w:tc>
          <w:tcPr>
            <w:tcW w:w="425" w:type="pct"/>
            <w:shd w:val="clear" w:color="auto" w:fill="auto"/>
            <w:vAlign w:val="center"/>
          </w:tcPr>
          <w:p w14:paraId="1519BC7A" w14:textId="77777777" w:rsidR="007D1E74" w:rsidRDefault="00A95641">
            <w:pPr>
              <w:widowControl/>
              <w:jc w:val="center"/>
              <w:rPr>
                <w:rFonts w:cs="Times New Roman"/>
                <w:kern w:val="0"/>
                <w:szCs w:val="21"/>
              </w:rPr>
            </w:pPr>
            <w:r>
              <w:rPr>
                <w:rFonts w:cs="Times New Roman" w:hint="eastAsia"/>
                <w:kern w:val="0"/>
                <w:szCs w:val="21"/>
              </w:rPr>
              <w:t>1</w:t>
            </w:r>
          </w:p>
        </w:tc>
        <w:tc>
          <w:tcPr>
            <w:tcW w:w="1424" w:type="pct"/>
            <w:shd w:val="clear" w:color="auto" w:fill="auto"/>
            <w:vAlign w:val="center"/>
          </w:tcPr>
          <w:p w14:paraId="176040FB" w14:textId="77777777" w:rsidR="007D1E74" w:rsidRDefault="00A95641">
            <w:pPr>
              <w:widowControl/>
              <w:jc w:val="center"/>
              <w:rPr>
                <w:rFonts w:cs="Times New Roman"/>
                <w:kern w:val="0"/>
                <w:szCs w:val="21"/>
              </w:rPr>
            </w:pPr>
            <w:r>
              <w:rPr>
                <w:rFonts w:cs="Times New Roman"/>
                <w:kern w:val="0"/>
                <w:szCs w:val="21"/>
              </w:rPr>
              <w:t>桔子坝</w:t>
            </w:r>
          </w:p>
        </w:tc>
        <w:tc>
          <w:tcPr>
            <w:tcW w:w="665" w:type="pct"/>
            <w:shd w:val="clear" w:color="auto" w:fill="auto"/>
            <w:vAlign w:val="center"/>
          </w:tcPr>
          <w:p w14:paraId="62A99A8C" w14:textId="77777777" w:rsidR="007D1E74" w:rsidRDefault="00A95641">
            <w:pPr>
              <w:widowControl/>
              <w:jc w:val="center"/>
              <w:rPr>
                <w:rFonts w:cs="Times New Roman"/>
                <w:kern w:val="0"/>
                <w:szCs w:val="21"/>
              </w:rPr>
            </w:pPr>
            <w:r>
              <w:rPr>
                <w:rFonts w:cs="Times New Roman"/>
                <w:kern w:val="0"/>
                <w:szCs w:val="21"/>
              </w:rPr>
              <w:t>左</w:t>
            </w:r>
          </w:p>
        </w:tc>
        <w:tc>
          <w:tcPr>
            <w:tcW w:w="631" w:type="pct"/>
            <w:shd w:val="clear" w:color="auto" w:fill="auto"/>
            <w:vAlign w:val="center"/>
          </w:tcPr>
          <w:p w14:paraId="1F9AE3FF" w14:textId="77777777" w:rsidR="007D1E74" w:rsidRDefault="00A95641">
            <w:pPr>
              <w:widowControl/>
              <w:jc w:val="center"/>
              <w:rPr>
                <w:rFonts w:cs="Times New Roman"/>
                <w:kern w:val="0"/>
                <w:szCs w:val="21"/>
              </w:rPr>
            </w:pPr>
            <w:r>
              <w:rPr>
                <w:rFonts w:cs="Times New Roman" w:hint="eastAsia"/>
                <w:kern w:val="0"/>
                <w:szCs w:val="21"/>
              </w:rPr>
              <w:t>1</w:t>
            </w:r>
            <w:r>
              <w:rPr>
                <w:rFonts w:cs="Times New Roman"/>
                <w:kern w:val="0"/>
                <w:szCs w:val="21"/>
              </w:rPr>
              <w:t>12~169</w:t>
            </w:r>
          </w:p>
        </w:tc>
        <w:tc>
          <w:tcPr>
            <w:tcW w:w="709" w:type="pct"/>
            <w:shd w:val="clear" w:color="auto" w:fill="auto"/>
            <w:vAlign w:val="center"/>
          </w:tcPr>
          <w:p w14:paraId="14298023" w14:textId="77777777" w:rsidR="007D1E74" w:rsidRDefault="00A95641">
            <w:pPr>
              <w:widowControl/>
              <w:jc w:val="center"/>
              <w:rPr>
                <w:rFonts w:cs="Times New Roman"/>
                <w:kern w:val="0"/>
                <w:szCs w:val="21"/>
              </w:rPr>
            </w:pPr>
            <w:r>
              <w:rPr>
                <w:rFonts w:cs="Times New Roman"/>
                <w:kern w:val="0"/>
                <w:szCs w:val="21"/>
              </w:rPr>
              <w:t>居住区</w:t>
            </w:r>
          </w:p>
        </w:tc>
        <w:tc>
          <w:tcPr>
            <w:tcW w:w="756" w:type="pct"/>
            <w:shd w:val="clear" w:color="auto" w:fill="auto"/>
            <w:vAlign w:val="center"/>
          </w:tcPr>
          <w:p w14:paraId="172571AB" w14:textId="77777777" w:rsidR="007D1E74" w:rsidRDefault="00A95641">
            <w:pPr>
              <w:widowControl/>
              <w:jc w:val="center"/>
              <w:rPr>
                <w:rFonts w:cs="Times New Roman"/>
                <w:kern w:val="0"/>
                <w:szCs w:val="21"/>
              </w:rPr>
            </w:pPr>
            <w:r>
              <w:rPr>
                <w:rFonts w:cs="Times New Roman"/>
                <w:kern w:val="0"/>
                <w:szCs w:val="21"/>
              </w:rPr>
              <w:t>约</w:t>
            </w:r>
            <w:r>
              <w:rPr>
                <w:rFonts w:cs="Times New Roman"/>
                <w:kern w:val="0"/>
                <w:szCs w:val="21"/>
              </w:rPr>
              <w:t>10</w:t>
            </w:r>
            <w:r>
              <w:rPr>
                <w:rFonts w:cs="Times New Roman"/>
                <w:kern w:val="0"/>
                <w:szCs w:val="21"/>
              </w:rPr>
              <w:t>人</w:t>
            </w:r>
          </w:p>
        </w:tc>
      </w:tr>
      <w:tr w:rsidR="007D1E74" w14:paraId="320C9746" w14:textId="77777777">
        <w:tc>
          <w:tcPr>
            <w:tcW w:w="390" w:type="pct"/>
            <w:vMerge/>
            <w:vAlign w:val="center"/>
          </w:tcPr>
          <w:p w14:paraId="4B2B7D1D" w14:textId="77777777" w:rsidR="007D1E74" w:rsidRDefault="007D1E74">
            <w:pPr>
              <w:widowControl/>
              <w:jc w:val="left"/>
              <w:rPr>
                <w:rFonts w:cs="Times New Roman"/>
                <w:kern w:val="0"/>
                <w:szCs w:val="21"/>
              </w:rPr>
            </w:pPr>
          </w:p>
        </w:tc>
        <w:tc>
          <w:tcPr>
            <w:tcW w:w="425" w:type="pct"/>
            <w:shd w:val="clear" w:color="auto" w:fill="auto"/>
            <w:vAlign w:val="center"/>
          </w:tcPr>
          <w:p w14:paraId="5E6B8D23" w14:textId="77777777" w:rsidR="007D1E74" w:rsidRDefault="00A95641">
            <w:pPr>
              <w:widowControl/>
              <w:jc w:val="center"/>
              <w:rPr>
                <w:rFonts w:cs="Times New Roman"/>
                <w:kern w:val="0"/>
                <w:szCs w:val="21"/>
              </w:rPr>
            </w:pPr>
            <w:r>
              <w:rPr>
                <w:rFonts w:cs="Times New Roman" w:hint="eastAsia"/>
                <w:kern w:val="0"/>
                <w:szCs w:val="21"/>
              </w:rPr>
              <w:t>2</w:t>
            </w:r>
          </w:p>
        </w:tc>
        <w:tc>
          <w:tcPr>
            <w:tcW w:w="1424" w:type="pct"/>
            <w:shd w:val="clear" w:color="auto" w:fill="auto"/>
            <w:vAlign w:val="center"/>
          </w:tcPr>
          <w:p w14:paraId="5F125C1E" w14:textId="77777777" w:rsidR="007D1E74" w:rsidRDefault="00A95641">
            <w:pPr>
              <w:widowControl/>
              <w:jc w:val="center"/>
              <w:rPr>
                <w:rFonts w:cs="Times New Roman"/>
                <w:kern w:val="0"/>
                <w:szCs w:val="21"/>
              </w:rPr>
            </w:pPr>
            <w:r>
              <w:rPr>
                <w:rFonts w:cs="Times New Roman"/>
                <w:kern w:val="0"/>
                <w:szCs w:val="21"/>
              </w:rPr>
              <w:t>矮子坪</w:t>
            </w:r>
          </w:p>
        </w:tc>
        <w:tc>
          <w:tcPr>
            <w:tcW w:w="665" w:type="pct"/>
            <w:shd w:val="clear" w:color="auto" w:fill="auto"/>
            <w:vAlign w:val="center"/>
          </w:tcPr>
          <w:p w14:paraId="5E64D405" w14:textId="77777777" w:rsidR="007D1E74" w:rsidRDefault="00A95641">
            <w:pPr>
              <w:widowControl/>
              <w:jc w:val="center"/>
              <w:rPr>
                <w:rFonts w:cs="Times New Roman"/>
                <w:kern w:val="0"/>
                <w:szCs w:val="21"/>
              </w:rPr>
            </w:pPr>
            <w:r>
              <w:rPr>
                <w:rFonts w:cs="Times New Roman"/>
                <w:kern w:val="0"/>
                <w:szCs w:val="21"/>
              </w:rPr>
              <w:t>左</w:t>
            </w:r>
          </w:p>
        </w:tc>
        <w:tc>
          <w:tcPr>
            <w:tcW w:w="631" w:type="pct"/>
            <w:shd w:val="clear" w:color="auto" w:fill="auto"/>
            <w:vAlign w:val="center"/>
          </w:tcPr>
          <w:p w14:paraId="5D26BDF3" w14:textId="77777777" w:rsidR="007D1E74" w:rsidRDefault="00A95641">
            <w:pPr>
              <w:widowControl/>
              <w:jc w:val="center"/>
              <w:rPr>
                <w:rFonts w:cs="Times New Roman"/>
                <w:kern w:val="0"/>
                <w:szCs w:val="21"/>
              </w:rPr>
            </w:pPr>
            <w:r>
              <w:rPr>
                <w:rFonts w:cs="Times New Roman" w:hint="eastAsia"/>
                <w:kern w:val="0"/>
                <w:szCs w:val="21"/>
              </w:rPr>
              <w:t>2</w:t>
            </w:r>
            <w:r>
              <w:rPr>
                <w:rFonts w:cs="Times New Roman"/>
                <w:kern w:val="0"/>
                <w:szCs w:val="21"/>
              </w:rPr>
              <w:t>8~83</w:t>
            </w:r>
          </w:p>
        </w:tc>
        <w:tc>
          <w:tcPr>
            <w:tcW w:w="709" w:type="pct"/>
            <w:shd w:val="clear" w:color="auto" w:fill="auto"/>
            <w:vAlign w:val="center"/>
          </w:tcPr>
          <w:p w14:paraId="3251EFF7" w14:textId="77777777" w:rsidR="007D1E74" w:rsidRDefault="00A95641">
            <w:pPr>
              <w:widowControl/>
              <w:jc w:val="center"/>
              <w:rPr>
                <w:rFonts w:cs="Times New Roman"/>
                <w:kern w:val="0"/>
                <w:szCs w:val="21"/>
              </w:rPr>
            </w:pPr>
            <w:r>
              <w:rPr>
                <w:rFonts w:cs="Times New Roman"/>
                <w:kern w:val="0"/>
                <w:szCs w:val="21"/>
              </w:rPr>
              <w:t>居住区</w:t>
            </w:r>
          </w:p>
        </w:tc>
        <w:tc>
          <w:tcPr>
            <w:tcW w:w="756" w:type="pct"/>
            <w:shd w:val="clear" w:color="auto" w:fill="auto"/>
            <w:vAlign w:val="center"/>
          </w:tcPr>
          <w:p w14:paraId="0C6FA4A9" w14:textId="77777777" w:rsidR="007D1E74" w:rsidRDefault="00A95641">
            <w:pPr>
              <w:widowControl/>
              <w:jc w:val="center"/>
              <w:rPr>
                <w:rFonts w:cs="Times New Roman"/>
                <w:kern w:val="0"/>
                <w:szCs w:val="21"/>
              </w:rPr>
            </w:pPr>
            <w:r>
              <w:rPr>
                <w:rFonts w:cs="Times New Roman"/>
                <w:kern w:val="0"/>
                <w:szCs w:val="21"/>
              </w:rPr>
              <w:t>约</w:t>
            </w:r>
            <w:r>
              <w:rPr>
                <w:rFonts w:cs="Times New Roman"/>
                <w:kern w:val="0"/>
                <w:szCs w:val="21"/>
              </w:rPr>
              <w:t>28</w:t>
            </w:r>
            <w:r>
              <w:rPr>
                <w:rFonts w:cs="Times New Roman"/>
                <w:kern w:val="0"/>
                <w:szCs w:val="21"/>
              </w:rPr>
              <w:t>人</w:t>
            </w:r>
          </w:p>
        </w:tc>
      </w:tr>
      <w:tr w:rsidR="007D1E74" w14:paraId="51C03C60" w14:textId="77777777">
        <w:tc>
          <w:tcPr>
            <w:tcW w:w="390" w:type="pct"/>
            <w:vMerge/>
            <w:vAlign w:val="center"/>
          </w:tcPr>
          <w:p w14:paraId="281434E5" w14:textId="77777777" w:rsidR="007D1E74" w:rsidRDefault="007D1E74">
            <w:pPr>
              <w:widowControl/>
              <w:jc w:val="left"/>
              <w:rPr>
                <w:rFonts w:cs="Times New Roman"/>
                <w:kern w:val="0"/>
                <w:szCs w:val="21"/>
              </w:rPr>
            </w:pPr>
          </w:p>
        </w:tc>
        <w:tc>
          <w:tcPr>
            <w:tcW w:w="425" w:type="pct"/>
            <w:shd w:val="clear" w:color="auto" w:fill="auto"/>
            <w:vAlign w:val="center"/>
          </w:tcPr>
          <w:p w14:paraId="2A3DEE37" w14:textId="77777777" w:rsidR="007D1E74" w:rsidRDefault="00A95641">
            <w:pPr>
              <w:widowControl/>
              <w:jc w:val="center"/>
              <w:rPr>
                <w:rFonts w:cs="Times New Roman"/>
                <w:kern w:val="0"/>
                <w:szCs w:val="21"/>
              </w:rPr>
            </w:pPr>
            <w:r>
              <w:rPr>
                <w:rFonts w:cs="Times New Roman" w:hint="eastAsia"/>
                <w:kern w:val="0"/>
                <w:szCs w:val="21"/>
              </w:rPr>
              <w:t>3</w:t>
            </w:r>
          </w:p>
        </w:tc>
        <w:tc>
          <w:tcPr>
            <w:tcW w:w="1424" w:type="pct"/>
            <w:shd w:val="clear" w:color="auto" w:fill="auto"/>
            <w:vAlign w:val="center"/>
          </w:tcPr>
          <w:p w14:paraId="24E8703A" w14:textId="77777777" w:rsidR="007D1E74" w:rsidRDefault="00A95641">
            <w:pPr>
              <w:widowControl/>
              <w:jc w:val="center"/>
              <w:rPr>
                <w:rFonts w:cs="Times New Roman"/>
                <w:kern w:val="0"/>
                <w:szCs w:val="21"/>
              </w:rPr>
            </w:pPr>
            <w:r>
              <w:rPr>
                <w:rFonts w:cs="Times New Roman"/>
                <w:kern w:val="0"/>
                <w:szCs w:val="21"/>
              </w:rPr>
              <w:t>包湾里</w:t>
            </w:r>
          </w:p>
        </w:tc>
        <w:tc>
          <w:tcPr>
            <w:tcW w:w="665" w:type="pct"/>
            <w:shd w:val="clear" w:color="auto" w:fill="auto"/>
            <w:vAlign w:val="center"/>
          </w:tcPr>
          <w:p w14:paraId="0426160C" w14:textId="77777777" w:rsidR="007D1E74" w:rsidRDefault="00A95641">
            <w:pPr>
              <w:widowControl/>
              <w:jc w:val="center"/>
              <w:rPr>
                <w:rFonts w:cs="Times New Roman"/>
                <w:kern w:val="0"/>
                <w:szCs w:val="21"/>
              </w:rPr>
            </w:pPr>
            <w:r>
              <w:rPr>
                <w:rFonts w:cs="Times New Roman"/>
                <w:kern w:val="0"/>
                <w:szCs w:val="21"/>
              </w:rPr>
              <w:t>右</w:t>
            </w:r>
          </w:p>
        </w:tc>
        <w:tc>
          <w:tcPr>
            <w:tcW w:w="631" w:type="pct"/>
            <w:shd w:val="clear" w:color="auto" w:fill="auto"/>
            <w:vAlign w:val="center"/>
          </w:tcPr>
          <w:p w14:paraId="44288DF2" w14:textId="77777777" w:rsidR="007D1E74" w:rsidRDefault="00A95641">
            <w:pPr>
              <w:widowControl/>
              <w:jc w:val="center"/>
              <w:rPr>
                <w:rFonts w:cs="Times New Roman"/>
                <w:kern w:val="0"/>
                <w:szCs w:val="21"/>
              </w:rPr>
            </w:pPr>
            <w:r>
              <w:rPr>
                <w:rFonts w:cs="Times New Roman" w:hint="eastAsia"/>
                <w:kern w:val="0"/>
                <w:szCs w:val="21"/>
              </w:rPr>
              <w:t>6</w:t>
            </w:r>
            <w:r>
              <w:rPr>
                <w:rFonts w:cs="Times New Roman"/>
                <w:kern w:val="0"/>
                <w:szCs w:val="21"/>
              </w:rPr>
              <w:t>8~200</w:t>
            </w:r>
          </w:p>
        </w:tc>
        <w:tc>
          <w:tcPr>
            <w:tcW w:w="709" w:type="pct"/>
            <w:shd w:val="clear" w:color="auto" w:fill="auto"/>
            <w:vAlign w:val="center"/>
          </w:tcPr>
          <w:p w14:paraId="62DA509B" w14:textId="77777777" w:rsidR="007D1E74" w:rsidRDefault="00A95641">
            <w:pPr>
              <w:widowControl/>
              <w:jc w:val="center"/>
              <w:rPr>
                <w:rFonts w:cs="Times New Roman"/>
                <w:kern w:val="0"/>
                <w:szCs w:val="21"/>
              </w:rPr>
            </w:pPr>
            <w:r>
              <w:rPr>
                <w:rFonts w:cs="Times New Roman"/>
                <w:kern w:val="0"/>
                <w:szCs w:val="21"/>
              </w:rPr>
              <w:t>居住区</w:t>
            </w:r>
          </w:p>
        </w:tc>
        <w:tc>
          <w:tcPr>
            <w:tcW w:w="756" w:type="pct"/>
            <w:shd w:val="clear" w:color="auto" w:fill="auto"/>
            <w:vAlign w:val="center"/>
          </w:tcPr>
          <w:p w14:paraId="6C534663" w14:textId="77777777" w:rsidR="007D1E74" w:rsidRDefault="00A95641">
            <w:pPr>
              <w:widowControl/>
              <w:jc w:val="center"/>
              <w:rPr>
                <w:rFonts w:cs="Times New Roman"/>
                <w:kern w:val="0"/>
                <w:szCs w:val="21"/>
              </w:rPr>
            </w:pPr>
            <w:r>
              <w:rPr>
                <w:rFonts w:cs="Times New Roman"/>
                <w:kern w:val="0"/>
                <w:szCs w:val="21"/>
              </w:rPr>
              <w:t>约</w:t>
            </w:r>
            <w:r>
              <w:rPr>
                <w:rFonts w:cs="Times New Roman"/>
                <w:kern w:val="0"/>
                <w:szCs w:val="21"/>
              </w:rPr>
              <w:t>35</w:t>
            </w:r>
            <w:r>
              <w:rPr>
                <w:rFonts w:cs="Times New Roman"/>
                <w:kern w:val="0"/>
                <w:szCs w:val="21"/>
              </w:rPr>
              <w:t>人</w:t>
            </w:r>
          </w:p>
        </w:tc>
      </w:tr>
      <w:tr w:rsidR="007D1E74" w14:paraId="2E8E14A2" w14:textId="77777777">
        <w:tc>
          <w:tcPr>
            <w:tcW w:w="390" w:type="pct"/>
            <w:vMerge/>
            <w:vAlign w:val="center"/>
          </w:tcPr>
          <w:p w14:paraId="56D904D1" w14:textId="77777777" w:rsidR="007D1E74" w:rsidRDefault="007D1E74">
            <w:pPr>
              <w:widowControl/>
              <w:jc w:val="left"/>
              <w:rPr>
                <w:rFonts w:cs="Times New Roman"/>
                <w:kern w:val="0"/>
                <w:szCs w:val="21"/>
              </w:rPr>
            </w:pPr>
          </w:p>
        </w:tc>
        <w:tc>
          <w:tcPr>
            <w:tcW w:w="3854" w:type="pct"/>
            <w:gridSpan w:val="5"/>
            <w:shd w:val="clear" w:color="auto" w:fill="auto"/>
            <w:vAlign w:val="center"/>
          </w:tcPr>
          <w:p w14:paraId="5E9AACE0" w14:textId="77777777" w:rsidR="007D1E74" w:rsidRDefault="00A95641">
            <w:pPr>
              <w:widowControl/>
              <w:jc w:val="center"/>
              <w:rPr>
                <w:rFonts w:cs="Times New Roman"/>
                <w:kern w:val="0"/>
                <w:szCs w:val="21"/>
              </w:rPr>
            </w:pPr>
            <w:r>
              <w:rPr>
                <w:rFonts w:cs="Times New Roman" w:hint="eastAsia"/>
                <w:kern w:val="0"/>
                <w:szCs w:val="21"/>
              </w:rPr>
              <w:t>每公里</w:t>
            </w:r>
            <w:r>
              <w:rPr>
                <w:rFonts w:cs="Times New Roman"/>
                <w:kern w:val="0"/>
                <w:szCs w:val="21"/>
              </w:rPr>
              <w:t>管段人口数</w:t>
            </w:r>
          </w:p>
        </w:tc>
        <w:tc>
          <w:tcPr>
            <w:tcW w:w="756" w:type="pct"/>
            <w:shd w:val="clear" w:color="auto" w:fill="auto"/>
            <w:vAlign w:val="center"/>
          </w:tcPr>
          <w:p w14:paraId="6EE6FD3E" w14:textId="77777777" w:rsidR="007D1E74" w:rsidRDefault="00A95641">
            <w:pPr>
              <w:widowControl/>
              <w:jc w:val="center"/>
              <w:rPr>
                <w:rFonts w:cs="Times New Roman"/>
                <w:kern w:val="0"/>
                <w:szCs w:val="21"/>
              </w:rPr>
            </w:pPr>
            <w:r>
              <w:rPr>
                <w:rFonts w:cs="Times New Roman"/>
                <w:kern w:val="0"/>
                <w:szCs w:val="21"/>
              </w:rPr>
              <w:t>约</w:t>
            </w:r>
            <w:r>
              <w:rPr>
                <w:rFonts w:cs="Times New Roman"/>
                <w:kern w:val="0"/>
                <w:szCs w:val="21"/>
              </w:rPr>
              <w:t>61</w:t>
            </w:r>
            <w:r>
              <w:rPr>
                <w:rFonts w:cs="Times New Roman"/>
                <w:kern w:val="0"/>
                <w:szCs w:val="21"/>
              </w:rPr>
              <w:t>人</w:t>
            </w:r>
          </w:p>
        </w:tc>
      </w:tr>
      <w:tr w:rsidR="007D1E74" w14:paraId="58F58A15" w14:textId="77777777">
        <w:tc>
          <w:tcPr>
            <w:tcW w:w="390" w:type="pct"/>
            <w:vMerge/>
            <w:vAlign w:val="center"/>
          </w:tcPr>
          <w:p w14:paraId="1BBA4DEA" w14:textId="77777777" w:rsidR="007D1E74" w:rsidRDefault="007D1E74">
            <w:pPr>
              <w:widowControl/>
              <w:jc w:val="left"/>
              <w:rPr>
                <w:rFonts w:cs="Times New Roman"/>
                <w:kern w:val="0"/>
                <w:szCs w:val="21"/>
              </w:rPr>
            </w:pPr>
          </w:p>
        </w:tc>
        <w:tc>
          <w:tcPr>
            <w:tcW w:w="4610" w:type="pct"/>
            <w:gridSpan w:val="6"/>
            <w:shd w:val="clear" w:color="auto" w:fill="auto"/>
            <w:vAlign w:val="center"/>
          </w:tcPr>
          <w:p w14:paraId="554BD349" w14:textId="77777777" w:rsidR="007D1E74" w:rsidRDefault="00A95641">
            <w:pPr>
              <w:widowControl/>
              <w:jc w:val="center"/>
              <w:rPr>
                <w:rFonts w:cs="Times New Roman"/>
                <w:kern w:val="0"/>
                <w:szCs w:val="21"/>
              </w:rPr>
            </w:pPr>
            <w:r>
              <w:rPr>
                <w:rFonts w:cs="Times New Roman" w:hint="eastAsia"/>
                <w:kern w:val="0"/>
                <w:szCs w:val="21"/>
                <w:u w:val="single"/>
              </w:rPr>
              <w:t xml:space="preserve"> </w:t>
            </w:r>
            <w:r>
              <w:rPr>
                <w:rFonts w:cs="Times New Roman" w:hint="eastAsia"/>
                <w:kern w:val="0"/>
                <w:szCs w:val="21"/>
                <w:u w:val="single"/>
              </w:rPr>
              <w:t>马</w:t>
            </w:r>
            <w:r>
              <w:rPr>
                <w:rFonts w:cs="Times New Roman" w:hint="eastAsia"/>
                <w:kern w:val="0"/>
                <w:szCs w:val="21"/>
                <w:u w:val="single"/>
              </w:rPr>
              <w:t>1-12H</w:t>
            </w:r>
            <w:r>
              <w:rPr>
                <w:rFonts w:cs="Times New Roman" w:hint="eastAsia"/>
                <w:kern w:val="0"/>
                <w:szCs w:val="21"/>
                <w:u w:val="single"/>
              </w:rPr>
              <w:t>采气井场至干线集气支线</w:t>
            </w:r>
            <w:r>
              <w:rPr>
                <w:rFonts w:cs="Times New Roman" w:hint="eastAsia"/>
                <w:kern w:val="0"/>
                <w:szCs w:val="21"/>
                <w:u w:val="single"/>
              </w:rPr>
              <w:t xml:space="preserve"> </w:t>
            </w:r>
            <w:r>
              <w:rPr>
                <w:rFonts w:cs="Times New Roman"/>
                <w:kern w:val="0"/>
                <w:szCs w:val="21"/>
              </w:rPr>
              <w:t>200m</w:t>
            </w:r>
            <w:r>
              <w:rPr>
                <w:rFonts w:cs="Times New Roman"/>
                <w:kern w:val="0"/>
                <w:szCs w:val="21"/>
              </w:rPr>
              <w:t>范围内</w:t>
            </w:r>
          </w:p>
        </w:tc>
      </w:tr>
      <w:tr w:rsidR="007D1E74" w14:paraId="6CC8E891" w14:textId="77777777">
        <w:tc>
          <w:tcPr>
            <w:tcW w:w="390" w:type="pct"/>
            <w:vMerge/>
            <w:vAlign w:val="center"/>
          </w:tcPr>
          <w:p w14:paraId="5EBF3D6A" w14:textId="77777777" w:rsidR="007D1E74" w:rsidRDefault="007D1E74">
            <w:pPr>
              <w:widowControl/>
              <w:jc w:val="left"/>
              <w:rPr>
                <w:rFonts w:cs="Times New Roman"/>
                <w:kern w:val="0"/>
                <w:szCs w:val="21"/>
              </w:rPr>
            </w:pPr>
          </w:p>
        </w:tc>
        <w:tc>
          <w:tcPr>
            <w:tcW w:w="425" w:type="pct"/>
            <w:shd w:val="clear" w:color="auto" w:fill="auto"/>
            <w:vAlign w:val="center"/>
          </w:tcPr>
          <w:p w14:paraId="69A3FA06" w14:textId="77777777" w:rsidR="007D1E74" w:rsidRDefault="00A95641">
            <w:pPr>
              <w:widowControl/>
              <w:jc w:val="center"/>
              <w:rPr>
                <w:rFonts w:cs="Times New Roman"/>
                <w:kern w:val="0"/>
                <w:szCs w:val="21"/>
              </w:rPr>
            </w:pPr>
            <w:r>
              <w:rPr>
                <w:rFonts w:cs="Times New Roman" w:hint="eastAsia"/>
                <w:kern w:val="0"/>
                <w:szCs w:val="21"/>
              </w:rPr>
              <w:t>1</w:t>
            </w:r>
          </w:p>
        </w:tc>
        <w:tc>
          <w:tcPr>
            <w:tcW w:w="1424" w:type="pct"/>
            <w:shd w:val="clear" w:color="auto" w:fill="auto"/>
            <w:vAlign w:val="center"/>
          </w:tcPr>
          <w:p w14:paraId="52BBB54F" w14:textId="77777777" w:rsidR="007D1E74" w:rsidRDefault="00A95641">
            <w:pPr>
              <w:widowControl/>
              <w:jc w:val="center"/>
              <w:rPr>
                <w:rFonts w:cs="Times New Roman"/>
                <w:kern w:val="0"/>
                <w:szCs w:val="21"/>
              </w:rPr>
            </w:pPr>
            <w:r>
              <w:rPr>
                <w:rFonts w:cs="Times New Roman"/>
                <w:kern w:val="0"/>
                <w:szCs w:val="21"/>
              </w:rPr>
              <w:t>巴州沟村</w:t>
            </w:r>
          </w:p>
        </w:tc>
        <w:tc>
          <w:tcPr>
            <w:tcW w:w="665" w:type="pct"/>
            <w:shd w:val="clear" w:color="auto" w:fill="auto"/>
            <w:vAlign w:val="center"/>
          </w:tcPr>
          <w:p w14:paraId="06277E94" w14:textId="77777777" w:rsidR="007D1E74" w:rsidRDefault="00A95641">
            <w:pPr>
              <w:widowControl/>
              <w:jc w:val="center"/>
              <w:rPr>
                <w:rFonts w:cs="Times New Roman"/>
                <w:szCs w:val="21"/>
              </w:rPr>
            </w:pPr>
            <w:r>
              <w:rPr>
                <w:rFonts w:cs="Times New Roman"/>
                <w:kern w:val="0"/>
                <w:szCs w:val="21"/>
              </w:rPr>
              <w:t>左</w:t>
            </w:r>
            <w:r>
              <w:rPr>
                <w:rFonts w:cs="Times New Roman" w:hint="eastAsia"/>
                <w:kern w:val="0"/>
                <w:szCs w:val="21"/>
              </w:rPr>
              <w:t>/</w:t>
            </w:r>
            <w:r>
              <w:rPr>
                <w:rFonts w:cs="Times New Roman" w:hint="eastAsia"/>
                <w:kern w:val="0"/>
                <w:szCs w:val="21"/>
              </w:rPr>
              <w:t>右</w:t>
            </w:r>
          </w:p>
        </w:tc>
        <w:tc>
          <w:tcPr>
            <w:tcW w:w="631" w:type="pct"/>
            <w:shd w:val="clear" w:color="auto" w:fill="auto"/>
            <w:vAlign w:val="center"/>
          </w:tcPr>
          <w:p w14:paraId="342FB64E" w14:textId="77777777" w:rsidR="007D1E74" w:rsidRDefault="00A95641">
            <w:pPr>
              <w:widowControl/>
              <w:jc w:val="center"/>
              <w:rPr>
                <w:rFonts w:cs="Times New Roman"/>
                <w:kern w:val="0"/>
                <w:szCs w:val="21"/>
              </w:rPr>
            </w:pPr>
            <w:r>
              <w:rPr>
                <w:rFonts w:cs="Times New Roman" w:hint="eastAsia"/>
                <w:kern w:val="0"/>
                <w:szCs w:val="21"/>
              </w:rPr>
              <w:t>9~</w:t>
            </w:r>
            <w:r>
              <w:rPr>
                <w:rFonts w:cs="Times New Roman"/>
                <w:kern w:val="0"/>
                <w:szCs w:val="21"/>
              </w:rPr>
              <w:t>200</w:t>
            </w:r>
          </w:p>
        </w:tc>
        <w:tc>
          <w:tcPr>
            <w:tcW w:w="709" w:type="pct"/>
            <w:shd w:val="clear" w:color="auto" w:fill="auto"/>
            <w:vAlign w:val="center"/>
          </w:tcPr>
          <w:p w14:paraId="25718D34" w14:textId="77777777" w:rsidR="007D1E74" w:rsidRDefault="00A95641">
            <w:pPr>
              <w:widowControl/>
              <w:jc w:val="center"/>
              <w:rPr>
                <w:rFonts w:cs="Times New Roman"/>
                <w:kern w:val="0"/>
                <w:szCs w:val="21"/>
              </w:rPr>
            </w:pPr>
            <w:r>
              <w:rPr>
                <w:rFonts w:cs="Times New Roman"/>
                <w:kern w:val="0"/>
                <w:szCs w:val="21"/>
              </w:rPr>
              <w:t>居住区</w:t>
            </w:r>
          </w:p>
        </w:tc>
        <w:tc>
          <w:tcPr>
            <w:tcW w:w="756" w:type="pct"/>
            <w:shd w:val="clear" w:color="auto" w:fill="auto"/>
            <w:vAlign w:val="center"/>
          </w:tcPr>
          <w:p w14:paraId="1042C694" w14:textId="77777777" w:rsidR="007D1E74" w:rsidRDefault="00A95641">
            <w:pPr>
              <w:widowControl/>
              <w:jc w:val="center"/>
              <w:rPr>
                <w:rFonts w:cs="Times New Roman"/>
                <w:kern w:val="0"/>
                <w:szCs w:val="21"/>
              </w:rPr>
            </w:pPr>
            <w:r>
              <w:rPr>
                <w:rFonts w:cs="Times New Roman"/>
                <w:kern w:val="0"/>
                <w:szCs w:val="21"/>
              </w:rPr>
              <w:t>约</w:t>
            </w:r>
            <w:r>
              <w:rPr>
                <w:rFonts w:cs="Times New Roman"/>
                <w:kern w:val="0"/>
                <w:szCs w:val="21"/>
              </w:rPr>
              <w:t>77</w:t>
            </w:r>
            <w:r>
              <w:rPr>
                <w:rFonts w:cs="Times New Roman"/>
                <w:kern w:val="0"/>
                <w:szCs w:val="21"/>
              </w:rPr>
              <w:t>人</w:t>
            </w:r>
          </w:p>
        </w:tc>
      </w:tr>
      <w:tr w:rsidR="007D1E74" w14:paraId="52C6ACFB" w14:textId="77777777">
        <w:tc>
          <w:tcPr>
            <w:tcW w:w="390" w:type="pct"/>
            <w:vMerge/>
            <w:vAlign w:val="center"/>
          </w:tcPr>
          <w:p w14:paraId="728EE37B" w14:textId="77777777" w:rsidR="007D1E74" w:rsidRDefault="007D1E74">
            <w:pPr>
              <w:widowControl/>
              <w:jc w:val="left"/>
              <w:rPr>
                <w:rFonts w:cs="Times New Roman"/>
                <w:kern w:val="0"/>
                <w:szCs w:val="21"/>
              </w:rPr>
            </w:pPr>
          </w:p>
        </w:tc>
        <w:tc>
          <w:tcPr>
            <w:tcW w:w="3854" w:type="pct"/>
            <w:gridSpan w:val="5"/>
            <w:shd w:val="clear" w:color="auto" w:fill="auto"/>
            <w:vAlign w:val="center"/>
          </w:tcPr>
          <w:p w14:paraId="6EB9D998" w14:textId="77777777" w:rsidR="007D1E74" w:rsidRDefault="00A95641">
            <w:pPr>
              <w:widowControl/>
              <w:jc w:val="center"/>
              <w:rPr>
                <w:rFonts w:cs="Times New Roman"/>
                <w:kern w:val="0"/>
                <w:szCs w:val="21"/>
              </w:rPr>
            </w:pPr>
            <w:r>
              <w:rPr>
                <w:rFonts w:cs="Times New Roman" w:hint="eastAsia"/>
                <w:kern w:val="0"/>
                <w:szCs w:val="21"/>
              </w:rPr>
              <w:t>每公里</w:t>
            </w:r>
            <w:r>
              <w:rPr>
                <w:rFonts w:cs="Times New Roman"/>
                <w:kern w:val="0"/>
                <w:szCs w:val="21"/>
              </w:rPr>
              <w:t>管段人口数</w:t>
            </w:r>
          </w:p>
        </w:tc>
        <w:tc>
          <w:tcPr>
            <w:tcW w:w="756" w:type="pct"/>
            <w:shd w:val="clear" w:color="auto" w:fill="auto"/>
            <w:vAlign w:val="center"/>
          </w:tcPr>
          <w:p w14:paraId="6ADD9C6B" w14:textId="77777777" w:rsidR="007D1E74" w:rsidRDefault="00A95641">
            <w:pPr>
              <w:widowControl/>
              <w:jc w:val="center"/>
              <w:rPr>
                <w:rFonts w:cs="Times New Roman"/>
                <w:kern w:val="0"/>
                <w:szCs w:val="21"/>
              </w:rPr>
            </w:pPr>
            <w:r>
              <w:rPr>
                <w:rFonts w:cs="Times New Roman" w:hint="eastAsia"/>
                <w:kern w:val="0"/>
                <w:szCs w:val="21"/>
              </w:rPr>
              <w:t>约</w:t>
            </w:r>
            <w:r>
              <w:rPr>
                <w:rFonts w:cs="Times New Roman" w:hint="eastAsia"/>
                <w:kern w:val="0"/>
                <w:szCs w:val="21"/>
              </w:rPr>
              <w:t>6</w:t>
            </w:r>
            <w:r>
              <w:rPr>
                <w:rFonts w:cs="Times New Roman"/>
                <w:kern w:val="0"/>
                <w:szCs w:val="21"/>
              </w:rPr>
              <w:t>4</w:t>
            </w:r>
            <w:r>
              <w:rPr>
                <w:rFonts w:cs="Times New Roman"/>
                <w:kern w:val="0"/>
                <w:szCs w:val="21"/>
              </w:rPr>
              <w:t>人</w:t>
            </w:r>
          </w:p>
        </w:tc>
      </w:tr>
      <w:tr w:rsidR="007D1E74" w14:paraId="5E4330F6" w14:textId="77777777">
        <w:tc>
          <w:tcPr>
            <w:tcW w:w="390" w:type="pct"/>
            <w:vMerge/>
            <w:vAlign w:val="center"/>
          </w:tcPr>
          <w:p w14:paraId="2AE6F99E" w14:textId="77777777" w:rsidR="007D1E74" w:rsidRDefault="007D1E74">
            <w:pPr>
              <w:widowControl/>
              <w:jc w:val="left"/>
              <w:rPr>
                <w:rFonts w:cs="Times New Roman"/>
                <w:kern w:val="0"/>
                <w:szCs w:val="21"/>
              </w:rPr>
            </w:pPr>
          </w:p>
        </w:tc>
        <w:tc>
          <w:tcPr>
            <w:tcW w:w="4610" w:type="pct"/>
            <w:gridSpan w:val="6"/>
            <w:shd w:val="clear" w:color="auto" w:fill="auto"/>
            <w:vAlign w:val="center"/>
          </w:tcPr>
          <w:p w14:paraId="7A02F378" w14:textId="77777777" w:rsidR="007D1E74" w:rsidRDefault="00A95641">
            <w:pPr>
              <w:widowControl/>
              <w:jc w:val="center"/>
              <w:rPr>
                <w:rFonts w:cs="Times New Roman"/>
                <w:kern w:val="0"/>
                <w:szCs w:val="21"/>
              </w:rPr>
            </w:pPr>
            <w:r>
              <w:rPr>
                <w:rFonts w:cs="Times New Roman" w:hint="eastAsia"/>
                <w:kern w:val="0"/>
                <w:szCs w:val="21"/>
                <w:u w:val="single"/>
              </w:rPr>
              <w:t xml:space="preserve"> </w:t>
            </w:r>
            <w:r>
              <w:rPr>
                <w:rFonts w:cs="Times New Roman" w:hint="eastAsia"/>
                <w:kern w:val="0"/>
                <w:szCs w:val="21"/>
                <w:u w:val="single"/>
              </w:rPr>
              <w:t>马</w:t>
            </w:r>
            <w:r>
              <w:rPr>
                <w:rFonts w:cs="Times New Roman" w:hint="eastAsia"/>
                <w:kern w:val="0"/>
                <w:szCs w:val="21"/>
                <w:u w:val="single"/>
              </w:rPr>
              <w:t>1-11</w:t>
            </w:r>
            <w:r>
              <w:rPr>
                <w:rFonts w:cs="Times New Roman" w:hint="eastAsia"/>
                <w:kern w:val="0"/>
                <w:szCs w:val="21"/>
                <w:u w:val="single"/>
              </w:rPr>
              <w:t>脱水井场至</w:t>
            </w:r>
            <w:r>
              <w:rPr>
                <w:rFonts w:cs="Times New Roman" w:hint="eastAsia"/>
                <w:kern w:val="0"/>
                <w:szCs w:val="21"/>
                <w:u w:val="single"/>
              </w:rPr>
              <w:t>4#</w:t>
            </w:r>
            <w:r>
              <w:rPr>
                <w:rFonts w:cs="Times New Roman" w:hint="eastAsia"/>
                <w:kern w:val="0"/>
                <w:szCs w:val="21"/>
                <w:u w:val="single"/>
              </w:rPr>
              <w:t>清管阀组集输干线</w:t>
            </w:r>
            <w:r>
              <w:rPr>
                <w:rFonts w:cs="Times New Roman"/>
                <w:kern w:val="0"/>
                <w:szCs w:val="21"/>
              </w:rPr>
              <w:t>200m</w:t>
            </w:r>
            <w:r>
              <w:rPr>
                <w:rFonts w:cs="Times New Roman"/>
                <w:kern w:val="0"/>
                <w:szCs w:val="21"/>
              </w:rPr>
              <w:t>范围内</w:t>
            </w:r>
          </w:p>
        </w:tc>
      </w:tr>
      <w:tr w:rsidR="007D1E74" w14:paraId="0851EFC4" w14:textId="77777777">
        <w:tc>
          <w:tcPr>
            <w:tcW w:w="390" w:type="pct"/>
            <w:vMerge/>
            <w:vAlign w:val="center"/>
          </w:tcPr>
          <w:p w14:paraId="52BA3CA3" w14:textId="77777777" w:rsidR="007D1E74" w:rsidRDefault="007D1E74">
            <w:pPr>
              <w:widowControl/>
              <w:jc w:val="left"/>
              <w:rPr>
                <w:rFonts w:cs="Times New Roman"/>
                <w:kern w:val="0"/>
                <w:szCs w:val="21"/>
              </w:rPr>
            </w:pPr>
          </w:p>
        </w:tc>
        <w:tc>
          <w:tcPr>
            <w:tcW w:w="425" w:type="pct"/>
            <w:shd w:val="clear" w:color="auto" w:fill="auto"/>
            <w:vAlign w:val="center"/>
          </w:tcPr>
          <w:p w14:paraId="4DB508F0" w14:textId="77777777" w:rsidR="007D1E74" w:rsidRDefault="00A95641">
            <w:pPr>
              <w:widowControl/>
              <w:jc w:val="center"/>
              <w:rPr>
                <w:rFonts w:cs="Times New Roman"/>
                <w:kern w:val="0"/>
                <w:szCs w:val="21"/>
              </w:rPr>
            </w:pPr>
            <w:r>
              <w:rPr>
                <w:rFonts w:cs="Times New Roman" w:hint="eastAsia"/>
                <w:kern w:val="0"/>
                <w:szCs w:val="21"/>
              </w:rPr>
              <w:t>1</w:t>
            </w:r>
          </w:p>
        </w:tc>
        <w:tc>
          <w:tcPr>
            <w:tcW w:w="1424" w:type="pct"/>
            <w:shd w:val="clear" w:color="auto" w:fill="auto"/>
            <w:vAlign w:val="center"/>
          </w:tcPr>
          <w:p w14:paraId="3524C338" w14:textId="77777777" w:rsidR="007D1E74" w:rsidRDefault="00A95641">
            <w:pPr>
              <w:widowControl/>
              <w:jc w:val="center"/>
              <w:rPr>
                <w:rFonts w:cs="Times New Roman"/>
                <w:kern w:val="0"/>
                <w:szCs w:val="21"/>
              </w:rPr>
            </w:pPr>
            <w:r>
              <w:rPr>
                <w:rFonts w:cs="Times New Roman"/>
                <w:kern w:val="0"/>
                <w:szCs w:val="21"/>
              </w:rPr>
              <w:t>瓦房湾</w:t>
            </w:r>
          </w:p>
        </w:tc>
        <w:tc>
          <w:tcPr>
            <w:tcW w:w="665" w:type="pct"/>
            <w:shd w:val="clear" w:color="auto" w:fill="auto"/>
            <w:vAlign w:val="center"/>
          </w:tcPr>
          <w:p w14:paraId="5E6201A0" w14:textId="77777777" w:rsidR="007D1E74" w:rsidRDefault="00A95641">
            <w:pPr>
              <w:widowControl/>
              <w:jc w:val="center"/>
              <w:rPr>
                <w:rFonts w:cs="Times New Roman"/>
                <w:kern w:val="0"/>
                <w:szCs w:val="21"/>
              </w:rPr>
            </w:pPr>
            <w:r>
              <w:rPr>
                <w:rFonts w:cs="Times New Roman"/>
                <w:kern w:val="0"/>
                <w:szCs w:val="21"/>
              </w:rPr>
              <w:t>左</w:t>
            </w:r>
            <w:r>
              <w:rPr>
                <w:rFonts w:cs="Times New Roman" w:hint="eastAsia"/>
                <w:kern w:val="0"/>
                <w:szCs w:val="21"/>
              </w:rPr>
              <w:t>/</w:t>
            </w:r>
            <w:r>
              <w:rPr>
                <w:rFonts w:cs="Times New Roman" w:hint="eastAsia"/>
                <w:kern w:val="0"/>
                <w:szCs w:val="21"/>
              </w:rPr>
              <w:t>右</w:t>
            </w:r>
          </w:p>
        </w:tc>
        <w:tc>
          <w:tcPr>
            <w:tcW w:w="631" w:type="pct"/>
            <w:shd w:val="clear" w:color="auto" w:fill="auto"/>
            <w:vAlign w:val="center"/>
          </w:tcPr>
          <w:p w14:paraId="70E53F7F" w14:textId="77777777" w:rsidR="007D1E74" w:rsidRDefault="00A95641">
            <w:pPr>
              <w:widowControl/>
              <w:jc w:val="center"/>
              <w:rPr>
                <w:rFonts w:cs="Times New Roman"/>
                <w:kern w:val="0"/>
                <w:szCs w:val="21"/>
              </w:rPr>
            </w:pPr>
            <w:r>
              <w:rPr>
                <w:rFonts w:cs="Times New Roman"/>
                <w:kern w:val="0"/>
                <w:szCs w:val="21"/>
              </w:rPr>
              <w:t>7~200</w:t>
            </w:r>
          </w:p>
        </w:tc>
        <w:tc>
          <w:tcPr>
            <w:tcW w:w="709" w:type="pct"/>
            <w:shd w:val="clear" w:color="auto" w:fill="auto"/>
            <w:vAlign w:val="center"/>
          </w:tcPr>
          <w:p w14:paraId="25C1EC51" w14:textId="77777777" w:rsidR="007D1E74" w:rsidRDefault="00A95641">
            <w:pPr>
              <w:widowControl/>
              <w:jc w:val="center"/>
              <w:rPr>
                <w:rFonts w:cs="Times New Roman"/>
                <w:kern w:val="0"/>
                <w:szCs w:val="21"/>
              </w:rPr>
            </w:pPr>
            <w:r>
              <w:rPr>
                <w:rFonts w:cs="Times New Roman"/>
                <w:kern w:val="0"/>
                <w:szCs w:val="21"/>
              </w:rPr>
              <w:t>居住区</w:t>
            </w:r>
          </w:p>
        </w:tc>
        <w:tc>
          <w:tcPr>
            <w:tcW w:w="756" w:type="pct"/>
            <w:shd w:val="clear" w:color="auto" w:fill="auto"/>
            <w:vAlign w:val="center"/>
          </w:tcPr>
          <w:p w14:paraId="1B939899" w14:textId="77777777" w:rsidR="007D1E74" w:rsidRDefault="00A95641">
            <w:pPr>
              <w:widowControl/>
              <w:jc w:val="center"/>
              <w:rPr>
                <w:rFonts w:cs="Times New Roman"/>
                <w:kern w:val="0"/>
                <w:szCs w:val="21"/>
              </w:rPr>
            </w:pPr>
            <w:r>
              <w:rPr>
                <w:rFonts w:cs="Times New Roman"/>
                <w:kern w:val="0"/>
                <w:szCs w:val="21"/>
              </w:rPr>
              <w:t>约</w:t>
            </w:r>
            <w:r>
              <w:rPr>
                <w:rFonts w:cs="Times New Roman"/>
                <w:kern w:val="0"/>
                <w:szCs w:val="21"/>
              </w:rPr>
              <w:t>133</w:t>
            </w:r>
            <w:r>
              <w:rPr>
                <w:rFonts w:cs="Times New Roman"/>
                <w:kern w:val="0"/>
                <w:szCs w:val="21"/>
              </w:rPr>
              <w:t>人</w:t>
            </w:r>
          </w:p>
        </w:tc>
      </w:tr>
      <w:tr w:rsidR="007D1E74" w14:paraId="5C6C8C01" w14:textId="77777777">
        <w:tc>
          <w:tcPr>
            <w:tcW w:w="390" w:type="pct"/>
            <w:vMerge/>
            <w:vAlign w:val="center"/>
          </w:tcPr>
          <w:p w14:paraId="4A67DEEF" w14:textId="77777777" w:rsidR="007D1E74" w:rsidRDefault="007D1E74">
            <w:pPr>
              <w:widowControl/>
              <w:jc w:val="left"/>
              <w:rPr>
                <w:rFonts w:cs="Times New Roman"/>
                <w:kern w:val="0"/>
                <w:szCs w:val="21"/>
              </w:rPr>
            </w:pPr>
          </w:p>
        </w:tc>
        <w:tc>
          <w:tcPr>
            <w:tcW w:w="425" w:type="pct"/>
            <w:shd w:val="clear" w:color="auto" w:fill="auto"/>
            <w:vAlign w:val="center"/>
          </w:tcPr>
          <w:p w14:paraId="0DE06187" w14:textId="77777777" w:rsidR="007D1E74" w:rsidRDefault="00A95641">
            <w:pPr>
              <w:widowControl/>
              <w:jc w:val="center"/>
              <w:rPr>
                <w:rFonts w:cs="Times New Roman"/>
                <w:kern w:val="0"/>
                <w:szCs w:val="21"/>
              </w:rPr>
            </w:pPr>
            <w:r>
              <w:rPr>
                <w:rFonts w:cs="Times New Roman" w:hint="eastAsia"/>
                <w:kern w:val="0"/>
                <w:szCs w:val="21"/>
              </w:rPr>
              <w:t>2</w:t>
            </w:r>
          </w:p>
        </w:tc>
        <w:tc>
          <w:tcPr>
            <w:tcW w:w="1424" w:type="pct"/>
            <w:shd w:val="clear" w:color="auto" w:fill="auto"/>
            <w:vAlign w:val="center"/>
          </w:tcPr>
          <w:p w14:paraId="740A1E54" w14:textId="77777777" w:rsidR="007D1E74" w:rsidRDefault="00A95641">
            <w:pPr>
              <w:widowControl/>
              <w:jc w:val="center"/>
              <w:rPr>
                <w:rFonts w:cs="Times New Roman"/>
                <w:kern w:val="0"/>
                <w:szCs w:val="21"/>
              </w:rPr>
            </w:pPr>
            <w:r>
              <w:rPr>
                <w:rFonts w:cs="Times New Roman"/>
                <w:kern w:val="0"/>
                <w:szCs w:val="21"/>
              </w:rPr>
              <w:t>大石坎</w:t>
            </w:r>
          </w:p>
        </w:tc>
        <w:tc>
          <w:tcPr>
            <w:tcW w:w="665" w:type="pct"/>
            <w:shd w:val="clear" w:color="auto" w:fill="auto"/>
            <w:vAlign w:val="center"/>
          </w:tcPr>
          <w:p w14:paraId="433A75C0" w14:textId="77777777" w:rsidR="007D1E74" w:rsidRDefault="00A95641">
            <w:pPr>
              <w:widowControl/>
              <w:jc w:val="center"/>
              <w:rPr>
                <w:rFonts w:cs="Times New Roman"/>
                <w:kern w:val="0"/>
                <w:szCs w:val="21"/>
              </w:rPr>
            </w:pPr>
            <w:r>
              <w:rPr>
                <w:rFonts w:cs="Times New Roman"/>
                <w:kern w:val="0"/>
                <w:szCs w:val="21"/>
              </w:rPr>
              <w:t>右</w:t>
            </w:r>
          </w:p>
        </w:tc>
        <w:tc>
          <w:tcPr>
            <w:tcW w:w="631" w:type="pct"/>
            <w:shd w:val="clear" w:color="auto" w:fill="auto"/>
            <w:vAlign w:val="center"/>
          </w:tcPr>
          <w:p w14:paraId="34C41CB2" w14:textId="77777777" w:rsidR="007D1E74" w:rsidRDefault="00A95641">
            <w:pPr>
              <w:widowControl/>
              <w:jc w:val="center"/>
              <w:rPr>
                <w:rFonts w:cs="Times New Roman"/>
                <w:kern w:val="0"/>
                <w:szCs w:val="21"/>
              </w:rPr>
            </w:pPr>
            <w:r>
              <w:rPr>
                <w:rFonts w:cs="Times New Roman" w:hint="eastAsia"/>
                <w:kern w:val="0"/>
                <w:szCs w:val="21"/>
              </w:rPr>
              <w:t>8</w:t>
            </w:r>
            <w:r>
              <w:rPr>
                <w:rFonts w:cs="Times New Roman"/>
                <w:kern w:val="0"/>
                <w:szCs w:val="21"/>
              </w:rPr>
              <w:t>1~200</w:t>
            </w:r>
          </w:p>
        </w:tc>
        <w:tc>
          <w:tcPr>
            <w:tcW w:w="709" w:type="pct"/>
            <w:shd w:val="clear" w:color="auto" w:fill="auto"/>
            <w:vAlign w:val="center"/>
          </w:tcPr>
          <w:p w14:paraId="628D9940" w14:textId="77777777" w:rsidR="007D1E74" w:rsidRDefault="00A95641">
            <w:pPr>
              <w:widowControl/>
              <w:jc w:val="center"/>
              <w:rPr>
                <w:rFonts w:cs="Times New Roman"/>
                <w:kern w:val="0"/>
                <w:szCs w:val="21"/>
              </w:rPr>
            </w:pPr>
            <w:r>
              <w:rPr>
                <w:rFonts w:cs="Times New Roman"/>
                <w:kern w:val="0"/>
                <w:szCs w:val="21"/>
              </w:rPr>
              <w:t>居住区</w:t>
            </w:r>
          </w:p>
        </w:tc>
        <w:tc>
          <w:tcPr>
            <w:tcW w:w="756" w:type="pct"/>
            <w:shd w:val="clear" w:color="auto" w:fill="auto"/>
            <w:vAlign w:val="center"/>
          </w:tcPr>
          <w:p w14:paraId="6D3D1C1E" w14:textId="77777777" w:rsidR="007D1E74" w:rsidRDefault="00A95641">
            <w:pPr>
              <w:widowControl/>
              <w:jc w:val="center"/>
              <w:rPr>
                <w:rFonts w:cs="Times New Roman"/>
                <w:kern w:val="0"/>
                <w:szCs w:val="21"/>
              </w:rPr>
            </w:pPr>
            <w:r>
              <w:rPr>
                <w:rFonts w:cs="Times New Roman"/>
                <w:kern w:val="0"/>
                <w:szCs w:val="21"/>
              </w:rPr>
              <w:t>约</w:t>
            </w:r>
            <w:r>
              <w:rPr>
                <w:rFonts w:cs="Times New Roman"/>
                <w:kern w:val="0"/>
                <w:szCs w:val="21"/>
              </w:rPr>
              <w:t>46</w:t>
            </w:r>
            <w:r>
              <w:rPr>
                <w:rFonts w:cs="Times New Roman"/>
                <w:kern w:val="0"/>
                <w:szCs w:val="21"/>
              </w:rPr>
              <w:t>人</w:t>
            </w:r>
          </w:p>
        </w:tc>
      </w:tr>
      <w:tr w:rsidR="007D1E74" w14:paraId="50783391" w14:textId="77777777">
        <w:tc>
          <w:tcPr>
            <w:tcW w:w="390" w:type="pct"/>
            <w:vMerge/>
            <w:vAlign w:val="center"/>
          </w:tcPr>
          <w:p w14:paraId="4B43EBC9" w14:textId="77777777" w:rsidR="007D1E74" w:rsidRDefault="007D1E74">
            <w:pPr>
              <w:widowControl/>
              <w:jc w:val="left"/>
              <w:rPr>
                <w:rFonts w:cs="Times New Roman"/>
                <w:kern w:val="0"/>
                <w:szCs w:val="21"/>
              </w:rPr>
            </w:pPr>
          </w:p>
        </w:tc>
        <w:tc>
          <w:tcPr>
            <w:tcW w:w="425" w:type="pct"/>
            <w:shd w:val="clear" w:color="auto" w:fill="auto"/>
            <w:vAlign w:val="center"/>
          </w:tcPr>
          <w:p w14:paraId="07B96DAB" w14:textId="77777777" w:rsidR="007D1E74" w:rsidRDefault="00A95641">
            <w:pPr>
              <w:widowControl/>
              <w:jc w:val="center"/>
              <w:rPr>
                <w:rFonts w:cs="Times New Roman"/>
                <w:kern w:val="0"/>
                <w:szCs w:val="21"/>
              </w:rPr>
            </w:pPr>
            <w:r>
              <w:rPr>
                <w:rFonts w:cs="Times New Roman" w:hint="eastAsia"/>
                <w:kern w:val="0"/>
                <w:szCs w:val="21"/>
              </w:rPr>
              <w:t>3</w:t>
            </w:r>
          </w:p>
        </w:tc>
        <w:tc>
          <w:tcPr>
            <w:tcW w:w="1424" w:type="pct"/>
            <w:shd w:val="clear" w:color="auto" w:fill="auto"/>
            <w:vAlign w:val="center"/>
          </w:tcPr>
          <w:p w14:paraId="6FB0DEF5" w14:textId="77777777" w:rsidR="007D1E74" w:rsidRDefault="00A95641">
            <w:pPr>
              <w:widowControl/>
              <w:jc w:val="center"/>
              <w:rPr>
                <w:rFonts w:cs="Times New Roman"/>
                <w:kern w:val="0"/>
                <w:szCs w:val="21"/>
              </w:rPr>
            </w:pPr>
            <w:r>
              <w:rPr>
                <w:rFonts w:cs="Times New Roman"/>
                <w:kern w:val="0"/>
                <w:szCs w:val="21"/>
              </w:rPr>
              <w:t>北斗坪</w:t>
            </w:r>
          </w:p>
        </w:tc>
        <w:tc>
          <w:tcPr>
            <w:tcW w:w="665" w:type="pct"/>
            <w:shd w:val="clear" w:color="auto" w:fill="auto"/>
            <w:vAlign w:val="center"/>
          </w:tcPr>
          <w:p w14:paraId="6F6652CA" w14:textId="77777777" w:rsidR="007D1E74" w:rsidRDefault="00A95641">
            <w:pPr>
              <w:widowControl/>
              <w:jc w:val="center"/>
              <w:rPr>
                <w:rFonts w:cs="Times New Roman"/>
                <w:kern w:val="0"/>
                <w:szCs w:val="21"/>
              </w:rPr>
            </w:pPr>
            <w:r>
              <w:rPr>
                <w:rFonts w:cs="Times New Roman"/>
                <w:kern w:val="0"/>
                <w:szCs w:val="21"/>
              </w:rPr>
              <w:t>右</w:t>
            </w:r>
          </w:p>
        </w:tc>
        <w:tc>
          <w:tcPr>
            <w:tcW w:w="631" w:type="pct"/>
            <w:shd w:val="clear" w:color="auto" w:fill="auto"/>
            <w:vAlign w:val="center"/>
          </w:tcPr>
          <w:p w14:paraId="4382FDE7" w14:textId="77777777" w:rsidR="007D1E74" w:rsidRDefault="00A95641">
            <w:pPr>
              <w:widowControl/>
              <w:jc w:val="center"/>
              <w:rPr>
                <w:rFonts w:cs="Times New Roman"/>
                <w:kern w:val="0"/>
                <w:szCs w:val="21"/>
              </w:rPr>
            </w:pPr>
            <w:r>
              <w:rPr>
                <w:rFonts w:cs="Times New Roman" w:hint="eastAsia"/>
                <w:kern w:val="0"/>
                <w:szCs w:val="21"/>
              </w:rPr>
              <w:t>2</w:t>
            </w:r>
            <w:r>
              <w:rPr>
                <w:rFonts w:cs="Times New Roman"/>
                <w:kern w:val="0"/>
                <w:szCs w:val="21"/>
              </w:rPr>
              <w:t>8~150</w:t>
            </w:r>
          </w:p>
        </w:tc>
        <w:tc>
          <w:tcPr>
            <w:tcW w:w="709" w:type="pct"/>
            <w:shd w:val="clear" w:color="auto" w:fill="auto"/>
            <w:vAlign w:val="center"/>
          </w:tcPr>
          <w:p w14:paraId="13535DC3" w14:textId="77777777" w:rsidR="007D1E74" w:rsidRDefault="00A95641">
            <w:pPr>
              <w:widowControl/>
              <w:jc w:val="center"/>
              <w:rPr>
                <w:rFonts w:cs="Times New Roman"/>
                <w:kern w:val="0"/>
                <w:szCs w:val="21"/>
              </w:rPr>
            </w:pPr>
            <w:r>
              <w:rPr>
                <w:rFonts w:cs="Times New Roman"/>
                <w:kern w:val="0"/>
                <w:szCs w:val="21"/>
              </w:rPr>
              <w:t>居住区</w:t>
            </w:r>
          </w:p>
        </w:tc>
        <w:tc>
          <w:tcPr>
            <w:tcW w:w="756" w:type="pct"/>
            <w:shd w:val="clear" w:color="auto" w:fill="auto"/>
            <w:vAlign w:val="center"/>
          </w:tcPr>
          <w:p w14:paraId="0040C953" w14:textId="77777777" w:rsidR="007D1E74" w:rsidRDefault="00A95641">
            <w:pPr>
              <w:widowControl/>
              <w:jc w:val="center"/>
              <w:rPr>
                <w:rFonts w:cs="Times New Roman"/>
                <w:kern w:val="0"/>
                <w:szCs w:val="21"/>
              </w:rPr>
            </w:pPr>
            <w:r>
              <w:rPr>
                <w:rFonts w:cs="Times New Roman"/>
                <w:kern w:val="0"/>
                <w:szCs w:val="21"/>
              </w:rPr>
              <w:t>约</w:t>
            </w:r>
            <w:r>
              <w:rPr>
                <w:rFonts w:cs="Times New Roman"/>
                <w:kern w:val="0"/>
                <w:szCs w:val="21"/>
              </w:rPr>
              <w:t>35</w:t>
            </w:r>
            <w:r>
              <w:rPr>
                <w:rFonts w:cs="Times New Roman"/>
                <w:kern w:val="0"/>
                <w:szCs w:val="21"/>
              </w:rPr>
              <w:t>人</w:t>
            </w:r>
          </w:p>
        </w:tc>
      </w:tr>
      <w:tr w:rsidR="007D1E74" w14:paraId="3F6855D1" w14:textId="77777777">
        <w:tc>
          <w:tcPr>
            <w:tcW w:w="390" w:type="pct"/>
            <w:vMerge/>
            <w:vAlign w:val="center"/>
          </w:tcPr>
          <w:p w14:paraId="2E5F2748" w14:textId="77777777" w:rsidR="007D1E74" w:rsidRDefault="007D1E74">
            <w:pPr>
              <w:widowControl/>
              <w:jc w:val="left"/>
              <w:rPr>
                <w:rFonts w:cs="Times New Roman"/>
                <w:kern w:val="0"/>
                <w:szCs w:val="21"/>
              </w:rPr>
            </w:pPr>
          </w:p>
        </w:tc>
        <w:tc>
          <w:tcPr>
            <w:tcW w:w="425" w:type="pct"/>
            <w:shd w:val="clear" w:color="auto" w:fill="auto"/>
            <w:vAlign w:val="center"/>
          </w:tcPr>
          <w:p w14:paraId="1372C2B6" w14:textId="77777777" w:rsidR="007D1E74" w:rsidRDefault="00A95641">
            <w:pPr>
              <w:widowControl/>
              <w:jc w:val="center"/>
              <w:rPr>
                <w:rFonts w:cs="Times New Roman"/>
                <w:kern w:val="0"/>
                <w:szCs w:val="21"/>
              </w:rPr>
            </w:pPr>
            <w:r>
              <w:rPr>
                <w:rFonts w:cs="Times New Roman" w:hint="eastAsia"/>
                <w:kern w:val="0"/>
                <w:szCs w:val="21"/>
              </w:rPr>
              <w:t>4</w:t>
            </w:r>
          </w:p>
        </w:tc>
        <w:tc>
          <w:tcPr>
            <w:tcW w:w="1424" w:type="pct"/>
            <w:shd w:val="clear" w:color="auto" w:fill="auto"/>
            <w:vAlign w:val="center"/>
          </w:tcPr>
          <w:p w14:paraId="34A47385" w14:textId="77777777" w:rsidR="007D1E74" w:rsidRDefault="00A95641">
            <w:pPr>
              <w:widowControl/>
              <w:jc w:val="center"/>
              <w:rPr>
                <w:rFonts w:cs="Times New Roman"/>
                <w:kern w:val="0"/>
                <w:szCs w:val="21"/>
              </w:rPr>
            </w:pPr>
            <w:r>
              <w:rPr>
                <w:rFonts w:cs="Times New Roman"/>
                <w:kern w:val="0"/>
                <w:szCs w:val="21"/>
              </w:rPr>
              <w:t>张家岭</w:t>
            </w:r>
          </w:p>
        </w:tc>
        <w:tc>
          <w:tcPr>
            <w:tcW w:w="665" w:type="pct"/>
            <w:shd w:val="clear" w:color="auto" w:fill="auto"/>
            <w:vAlign w:val="center"/>
          </w:tcPr>
          <w:p w14:paraId="23F08006" w14:textId="77777777" w:rsidR="007D1E74" w:rsidRDefault="00A95641">
            <w:pPr>
              <w:widowControl/>
              <w:jc w:val="center"/>
              <w:rPr>
                <w:rFonts w:cs="Times New Roman"/>
                <w:kern w:val="0"/>
                <w:szCs w:val="21"/>
              </w:rPr>
            </w:pPr>
            <w:r>
              <w:rPr>
                <w:rFonts w:cs="Times New Roman"/>
                <w:kern w:val="0"/>
                <w:szCs w:val="21"/>
              </w:rPr>
              <w:t>左</w:t>
            </w:r>
            <w:r>
              <w:rPr>
                <w:rFonts w:cs="Times New Roman" w:hint="eastAsia"/>
                <w:kern w:val="0"/>
                <w:szCs w:val="21"/>
              </w:rPr>
              <w:t>/</w:t>
            </w:r>
            <w:r>
              <w:rPr>
                <w:rFonts w:cs="Times New Roman"/>
                <w:kern w:val="0"/>
                <w:szCs w:val="21"/>
              </w:rPr>
              <w:t>右</w:t>
            </w:r>
          </w:p>
        </w:tc>
        <w:tc>
          <w:tcPr>
            <w:tcW w:w="631" w:type="pct"/>
            <w:shd w:val="clear" w:color="auto" w:fill="auto"/>
            <w:vAlign w:val="center"/>
          </w:tcPr>
          <w:p w14:paraId="5C6C1D53" w14:textId="77777777" w:rsidR="007D1E74" w:rsidRDefault="00A95641">
            <w:pPr>
              <w:widowControl/>
              <w:jc w:val="center"/>
              <w:rPr>
                <w:rFonts w:cs="Times New Roman"/>
                <w:kern w:val="0"/>
                <w:szCs w:val="21"/>
              </w:rPr>
            </w:pPr>
            <w:r>
              <w:rPr>
                <w:rFonts w:cs="Times New Roman" w:hint="eastAsia"/>
                <w:kern w:val="0"/>
                <w:szCs w:val="21"/>
              </w:rPr>
              <w:t>8~</w:t>
            </w:r>
            <w:r>
              <w:rPr>
                <w:rFonts w:cs="Times New Roman"/>
                <w:kern w:val="0"/>
                <w:szCs w:val="21"/>
              </w:rPr>
              <w:t>200</w:t>
            </w:r>
          </w:p>
        </w:tc>
        <w:tc>
          <w:tcPr>
            <w:tcW w:w="709" w:type="pct"/>
            <w:shd w:val="clear" w:color="auto" w:fill="auto"/>
            <w:vAlign w:val="center"/>
          </w:tcPr>
          <w:p w14:paraId="3AADED5E" w14:textId="77777777" w:rsidR="007D1E74" w:rsidRDefault="00A95641">
            <w:pPr>
              <w:widowControl/>
              <w:jc w:val="center"/>
              <w:rPr>
                <w:rFonts w:cs="Times New Roman"/>
                <w:kern w:val="0"/>
                <w:szCs w:val="21"/>
              </w:rPr>
            </w:pPr>
            <w:r>
              <w:rPr>
                <w:rFonts w:cs="Times New Roman"/>
                <w:kern w:val="0"/>
                <w:szCs w:val="21"/>
              </w:rPr>
              <w:t>居住区</w:t>
            </w:r>
          </w:p>
        </w:tc>
        <w:tc>
          <w:tcPr>
            <w:tcW w:w="756" w:type="pct"/>
            <w:shd w:val="clear" w:color="auto" w:fill="auto"/>
            <w:vAlign w:val="center"/>
          </w:tcPr>
          <w:p w14:paraId="3D77FE6C" w14:textId="77777777" w:rsidR="007D1E74" w:rsidRDefault="00A95641">
            <w:pPr>
              <w:widowControl/>
              <w:jc w:val="center"/>
              <w:rPr>
                <w:rFonts w:cs="Times New Roman"/>
                <w:kern w:val="0"/>
                <w:szCs w:val="21"/>
              </w:rPr>
            </w:pPr>
            <w:r>
              <w:rPr>
                <w:rFonts w:cs="Times New Roman"/>
                <w:kern w:val="0"/>
                <w:szCs w:val="21"/>
              </w:rPr>
              <w:t>约</w:t>
            </w:r>
            <w:r>
              <w:rPr>
                <w:rFonts w:cs="Times New Roman"/>
                <w:kern w:val="0"/>
                <w:szCs w:val="21"/>
              </w:rPr>
              <w:t>210</w:t>
            </w:r>
            <w:r>
              <w:rPr>
                <w:rFonts w:cs="Times New Roman"/>
                <w:kern w:val="0"/>
                <w:szCs w:val="21"/>
              </w:rPr>
              <w:t>人</w:t>
            </w:r>
          </w:p>
        </w:tc>
      </w:tr>
      <w:tr w:rsidR="007D1E74" w14:paraId="64B9396B" w14:textId="77777777">
        <w:tc>
          <w:tcPr>
            <w:tcW w:w="390" w:type="pct"/>
            <w:vMerge/>
            <w:vAlign w:val="center"/>
          </w:tcPr>
          <w:p w14:paraId="20B111F0" w14:textId="77777777" w:rsidR="007D1E74" w:rsidRDefault="007D1E74">
            <w:pPr>
              <w:widowControl/>
              <w:jc w:val="left"/>
              <w:rPr>
                <w:rFonts w:cs="Times New Roman"/>
                <w:kern w:val="0"/>
                <w:szCs w:val="21"/>
              </w:rPr>
            </w:pPr>
          </w:p>
        </w:tc>
        <w:tc>
          <w:tcPr>
            <w:tcW w:w="3854" w:type="pct"/>
            <w:gridSpan w:val="5"/>
            <w:shd w:val="clear" w:color="auto" w:fill="auto"/>
            <w:vAlign w:val="center"/>
          </w:tcPr>
          <w:p w14:paraId="4409E3F4" w14:textId="77777777" w:rsidR="007D1E74" w:rsidRDefault="00A95641">
            <w:pPr>
              <w:widowControl/>
              <w:jc w:val="center"/>
              <w:rPr>
                <w:rFonts w:cs="Times New Roman"/>
                <w:kern w:val="0"/>
                <w:szCs w:val="21"/>
              </w:rPr>
            </w:pPr>
            <w:r>
              <w:rPr>
                <w:rFonts w:cs="Times New Roman" w:hint="eastAsia"/>
                <w:kern w:val="0"/>
                <w:szCs w:val="21"/>
              </w:rPr>
              <w:t>每公里</w:t>
            </w:r>
            <w:r>
              <w:rPr>
                <w:rFonts w:cs="Times New Roman"/>
                <w:kern w:val="0"/>
                <w:szCs w:val="21"/>
              </w:rPr>
              <w:t>管段人口数</w:t>
            </w:r>
          </w:p>
        </w:tc>
        <w:tc>
          <w:tcPr>
            <w:tcW w:w="756" w:type="pct"/>
            <w:shd w:val="clear" w:color="auto" w:fill="auto"/>
            <w:vAlign w:val="center"/>
          </w:tcPr>
          <w:p w14:paraId="4A7AD138" w14:textId="77777777" w:rsidR="007D1E74" w:rsidRDefault="00A95641">
            <w:pPr>
              <w:widowControl/>
              <w:jc w:val="center"/>
              <w:rPr>
                <w:rFonts w:cs="Times New Roman"/>
                <w:kern w:val="0"/>
                <w:szCs w:val="21"/>
              </w:rPr>
            </w:pPr>
            <w:r>
              <w:rPr>
                <w:rFonts w:cs="Times New Roman" w:hint="eastAsia"/>
                <w:kern w:val="0"/>
                <w:szCs w:val="21"/>
              </w:rPr>
              <w:t>约</w:t>
            </w:r>
            <w:r>
              <w:rPr>
                <w:rFonts w:cs="Times New Roman" w:hint="eastAsia"/>
                <w:kern w:val="0"/>
                <w:szCs w:val="21"/>
              </w:rPr>
              <w:t>60</w:t>
            </w:r>
            <w:r>
              <w:rPr>
                <w:rFonts w:cs="Times New Roman"/>
                <w:kern w:val="0"/>
                <w:szCs w:val="21"/>
              </w:rPr>
              <w:t>人</w:t>
            </w:r>
          </w:p>
        </w:tc>
      </w:tr>
      <w:tr w:rsidR="007D1E74" w14:paraId="35E8520B" w14:textId="77777777">
        <w:tc>
          <w:tcPr>
            <w:tcW w:w="390" w:type="pct"/>
            <w:vMerge/>
            <w:vAlign w:val="center"/>
          </w:tcPr>
          <w:p w14:paraId="30DCA32D" w14:textId="77777777" w:rsidR="007D1E74" w:rsidRDefault="007D1E74">
            <w:pPr>
              <w:widowControl/>
              <w:jc w:val="left"/>
              <w:rPr>
                <w:rFonts w:cs="Times New Roman"/>
                <w:kern w:val="0"/>
                <w:szCs w:val="21"/>
              </w:rPr>
            </w:pPr>
          </w:p>
        </w:tc>
        <w:tc>
          <w:tcPr>
            <w:tcW w:w="4610" w:type="pct"/>
            <w:gridSpan w:val="6"/>
            <w:shd w:val="clear" w:color="auto" w:fill="auto"/>
            <w:vAlign w:val="center"/>
          </w:tcPr>
          <w:p w14:paraId="1B6CBF01" w14:textId="77777777" w:rsidR="007D1E74" w:rsidRDefault="00A95641">
            <w:pPr>
              <w:widowControl/>
              <w:jc w:val="center"/>
              <w:rPr>
                <w:rFonts w:cs="Times New Roman"/>
                <w:kern w:val="0"/>
                <w:szCs w:val="21"/>
              </w:rPr>
            </w:pPr>
            <w:r>
              <w:rPr>
                <w:rFonts w:cs="Times New Roman"/>
                <w:kern w:val="0"/>
                <w:szCs w:val="21"/>
                <w:u w:val="single"/>
              </w:rPr>
              <w:t xml:space="preserve"> </w:t>
            </w:r>
            <w:r>
              <w:rPr>
                <w:rFonts w:cs="Times New Roman" w:hint="eastAsia"/>
                <w:kern w:val="0"/>
                <w:szCs w:val="21"/>
                <w:u w:val="single"/>
              </w:rPr>
              <w:t>4#</w:t>
            </w:r>
            <w:r>
              <w:rPr>
                <w:rFonts w:cs="Times New Roman" w:hint="eastAsia"/>
                <w:kern w:val="0"/>
                <w:szCs w:val="21"/>
                <w:u w:val="single"/>
              </w:rPr>
              <w:t>清管阀组至草池增压站集输干线</w:t>
            </w:r>
            <w:r>
              <w:rPr>
                <w:rFonts w:cs="Times New Roman" w:hint="eastAsia"/>
                <w:kern w:val="0"/>
                <w:szCs w:val="21"/>
                <w:u w:val="single"/>
              </w:rPr>
              <w:t xml:space="preserve"> </w:t>
            </w:r>
            <w:r>
              <w:rPr>
                <w:rFonts w:cs="Times New Roman"/>
                <w:kern w:val="0"/>
                <w:szCs w:val="21"/>
              </w:rPr>
              <w:t>200m</w:t>
            </w:r>
            <w:r>
              <w:rPr>
                <w:rFonts w:cs="Times New Roman"/>
                <w:kern w:val="0"/>
                <w:szCs w:val="21"/>
              </w:rPr>
              <w:t>范围内</w:t>
            </w:r>
          </w:p>
        </w:tc>
      </w:tr>
      <w:tr w:rsidR="007D1E74" w14:paraId="66DF786C" w14:textId="77777777">
        <w:tc>
          <w:tcPr>
            <w:tcW w:w="390" w:type="pct"/>
            <w:vMerge/>
            <w:vAlign w:val="center"/>
          </w:tcPr>
          <w:p w14:paraId="2CA0512E" w14:textId="77777777" w:rsidR="007D1E74" w:rsidRDefault="007D1E74">
            <w:pPr>
              <w:widowControl/>
              <w:jc w:val="left"/>
              <w:rPr>
                <w:rFonts w:cs="Times New Roman"/>
                <w:kern w:val="0"/>
                <w:szCs w:val="21"/>
              </w:rPr>
            </w:pPr>
          </w:p>
        </w:tc>
        <w:tc>
          <w:tcPr>
            <w:tcW w:w="425" w:type="pct"/>
            <w:shd w:val="clear" w:color="auto" w:fill="auto"/>
            <w:vAlign w:val="center"/>
          </w:tcPr>
          <w:p w14:paraId="1D571BBE" w14:textId="77777777" w:rsidR="007D1E74" w:rsidRDefault="00A95641">
            <w:pPr>
              <w:widowControl/>
              <w:jc w:val="center"/>
              <w:rPr>
                <w:rFonts w:cs="Times New Roman"/>
                <w:kern w:val="0"/>
                <w:szCs w:val="21"/>
              </w:rPr>
            </w:pPr>
            <w:r>
              <w:rPr>
                <w:rFonts w:cs="Times New Roman" w:hint="eastAsia"/>
                <w:kern w:val="0"/>
                <w:szCs w:val="21"/>
              </w:rPr>
              <w:t>1</w:t>
            </w:r>
          </w:p>
        </w:tc>
        <w:tc>
          <w:tcPr>
            <w:tcW w:w="1424" w:type="pct"/>
            <w:shd w:val="clear" w:color="auto" w:fill="auto"/>
            <w:vAlign w:val="center"/>
          </w:tcPr>
          <w:p w14:paraId="31D00D2F" w14:textId="77777777" w:rsidR="007D1E74" w:rsidRDefault="00A95641">
            <w:pPr>
              <w:widowControl/>
              <w:jc w:val="center"/>
              <w:rPr>
                <w:rFonts w:cs="Times New Roman"/>
                <w:kern w:val="0"/>
                <w:szCs w:val="21"/>
              </w:rPr>
            </w:pPr>
            <w:r>
              <w:rPr>
                <w:rFonts w:cs="Times New Roman" w:hint="eastAsia"/>
                <w:kern w:val="0"/>
                <w:szCs w:val="21"/>
              </w:rPr>
              <w:t>漩涡潭</w:t>
            </w:r>
          </w:p>
        </w:tc>
        <w:tc>
          <w:tcPr>
            <w:tcW w:w="665" w:type="pct"/>
            <w:shd w:val="clear" w:color="auto" w:fill="auto"/>
            <w:vAlign w:val="center"/>
          </w:tcPr>
          <w:p w14:paraId="159690A7" w14:textId="77777777" w:rsidR="007D1E74" w:rsidRDefault="00A95641">
            <w:pPr>
              <w:widowControl/>
              <w:jc w:val="center"/>
              <w:rPr>
                <w:rFonts w:cs="Times New Roman"/>
                <w:kern w:val="0"/>
                <w:szCs w:val="21"/>
              </w:rPr>
            </w:pPr>
            <w:r>
              <w:rPr>
                <w:rFonts w:cs="Times New Roman"/>
                <w:kern w:val="0"/>
                <w:szCs w:val="21"/>
              </w:rPr>
              <w:t>右</w:t>
            </w:r>
          </w:p>
        </w:tc>
        <w:tc>
          <w:tcPr>
            <w:tcW w:w="631" w:type="pct"/>
            <w:shd w:val="clear" w:color="auto" w:fill="auto"/>
            <w:vAlign w:val="center"/>
          </w:tcPr>
          <w:p w14:paraId="4C382292" w14:textId="77777777" w:rsidR="007D1E74" w:rsidRDefault="00A95641">
            <w:pPr>
              <w:widowControl/>
              <w:jc w:val="center"/>
              <w:rPr>
                <w:rFonts w:cs="Times New Roman"/>
                <w:kern w:val="0"/>
                <w:szCs w:val="21"/>
              </w:rPr>
            </w:pPr>
            <w:r>
              <w:rPr>
                <w:rFonts w:cs="Times New Roman" w:hint="eastAsia"/>
                <w:kern w:val="0"/>
                <w:szCs w:val="21"/>
              </w:rPr>
              <w:t>1</w:t>
            </w:r>
            <w:r>
              <w:rPr>
                <w:rFonts w:cs="Times New Roman"/>
                <w:kern w:val="0"/>
                <w:szCs w:val="21"/>
              </w:rPr>
              <w:t>7~177</w:t>
            </w:r>
          </w:p>
        </w:tc>
        <w:tc>
          <w:tcPr>
            <w:tcW w:w="709" w:type="pct"/>
            <w:shd w:val="clear" w:color="auto" w:fill="auto"/>
            <w:vAlign w:val="center"/>
          </w:tcPr>
          <w:p w14:paraId="209314F5" w14:textId="77777777" w:rsidR="007D1E74" w:rsidRDefault="00A95641">
            <w:pPr>
              <w:widowControl/>
              <w:jc w:val="center"/>
              <w:rPr>
                <w:rFonts w:cs="Times New Roman"/>
                <w:kern w:val="0"/>
                <w:szCs w:val="21"/>
              </w:rPr>
            </w:pPr>
            <w:r>
              <w:rPr>
                <w:rFonts w:cs="Times New Roman"/>
                <w:kern w:val="0"/>
                <w:szCs w:val="21"/>
              </w:rPr>
              <w:t>居住区</w:t>
            </w:r>
          </w:p>
        </w:tc>
        <w:tc>
          <w:tcPr>
            <w:tcW w:w="756" w:type="pct"/>
            <w:shd w:val="clear" w:color="auto" w:fill="auto"/>
            <w:vAlign w:val="center"/>
          </w:tcPr>
          <w:p w14:paraId="4597AD48" w14:textId="77777777" w:rsidR="007D1E74" w:rsidRDefault="00A95641">
            <w:pPr>
              <w:widowControl/>
              <w:jc w:val="center"/>
              <w:rPr>
                <w:rFonts w:cs="Times New Roman"/>
                <w:kern w:val="0"/>
                <w:szCs w:val="21"/>
              </w:rPr>
            </w:pPr>
            <w:r>
              <w:rPr>
                <w:rFonts w:cs="Times New Roman"/>
                <w:kern w:val="0"/>
                <w:szCs w:val="21"/>
              </w:rPr>
              <w:t>约</w:t>
            </w:r>
            <w:r>
              <w:rPr>
                <w:rFonts w:cs="Times New Roman"/>
                <w:kern w:val="0"/>
                <w:szCs w:val="21"/>
              </w:rPr>
              <w:t>30</w:t>
            </w:r>
            <w:r>
              <w:rPr>
                <w:rFonts w:cs="Times New Roman"/>
                <w:kern w:val="0"/>
                <w:szCs w:val="21"/>
              </w:rPr>
              <w:t>人</w:t>
            </w:r>
          </w:p>
        </w:tc>
      </w:tr>
      <w:tr w:rsidR="007D1E74" w14:paraId="27DA3105" w14:textId="77777777">
        <w:tc>
          <w:tcPr>
            <w:tcW w:w="390" w:type="pct"/>
            <w:vMerge/>
            <w:vAlign w:val="center"/>
          </w:tcPr>
          <w:p w14:paraId="261BBC33" w14:textId="77777777" w:rsidR="007D1E74" w:rsidRDefault="007D1E74">
            <w:pPr>
              <w:widowControl/>
              <w:jc w:val="left"/>
              <w:rPr>
                <w:rFonts w:cs="Times New Roman"/>
                <w:kern w:val="0"/>
                <w:szCs w:val="21"/>
              </w:rPr>
            </w:pPr>
          </w:p>
        </w:tc>
        <w:tc>
          <w:tcPr>
            <w:tcW w:w="425" w:type="pct"/>
            <w:shd w:val="clear" w:color="auto" w:fill="auto"/>
            <w:vAlign w:val="center"/>
          </w:tcPr>
          <w:p w14:paraId="110FB8C3" w14:textId="77777777" w:rsidR="007D1E74" w:rsidRDefault="00A95641">
            <w:pPr>
              <w:widowControl/>
              <w:jc w:val="center"/>
              <w:rPr>
                <w:rFonts w:cs="Times New Roman"/>
                <w:kern w:val="0"/>
                <w:szCs w:val="21"/>
              </w:rPr>
            </w:pPr>
            <w:r>
              <w:rPr>
                <w:rFonts w:cs="Times New Roman" w:hint="eastAsia"/>
                <w:kern w:val="0"/>
                <w:szCs w:val="21"/>
              </w:rPr>
              <w:t>2</w:t>
            </w:r>
          </w:p>
        </w:tc>
        <w:tc>
          <w:tcPr>
            <w:tcW w:w="1424" w:type="pct"/>
            <w:shd w:val="clear" w:color="auto" w:fill="auto"/>
            <w:vAlign w:val="center"/>
          </w:tcPr>
          <w:p w14:paraId="232FC837" w14:textId="77777777" w:rsidR="007D1E74" w:rsidRDefault="00A95641">
            <w:pPr>
              <w:widowControl/>
              <w:jc w:val="center"/>
              <w:rPr>
                <w:rFonts w:cs="Times New Roman"/>
                <w:kern w:val="0"/>
                <w:szCs w:val="21"/>
              </w:rPr>
            </w:pPr>
            <w:r>
              <w:rPr>
                <w:rFonts w:cs="Times New Roman"/>
                <w:kern w:val="0"/>
                <w:szCs w:val="21"/>
              </w:rPr>
              <w:t>白沙坝</w:t>
            </w:r>
          </w:p>
        </w:tc>
        <w:tc>
          <w:tcPr>
            <w:tcW w:w="665" w:type="pct"/>
            <w:shd w:val="clear" w:color="auto" w:fill="auto"/>
            <w:vAlign w:val="center"/>
          </w:tcPr>
          <w:p w14:paraId="7B20A25F" w14:textId="77777777" w:rsidR="007D1E74" w:rsidRDefault="00A95641">
            <w:pPr>
              <w:widowControl/>
              <w:jc w:val="center"/>
              <w:rPr>
                <w:rFonts w:cs="Times New Roman"/>
                <w:kern w:val="0"/>
                <w:szCs w:val="21"/>
              </w:rPr>
            </w:pPr>
            <w:r>
              <w:rPr>
                <w:rFonts w:cs="Times New Roman"/>
                <w:kern w:val="0"/>
                <w:szCs w:val="21"/>
              </w:rPr>
              <w:t>左</w:t>
            </w:r>
            <w:r>
              <w:rPr>
                <w:rFonts w:cs="Times New Roman" w:hint="eastAsia"/>
                <w:kern w:val="0"/>
                <w:szCs w:val="21"/>
              </w:rPr>
              <w:t>/</w:t>
            </w:r>
            <w:r>
              <w:rPr>
                <w:rFonts w:cs="Times New Roman"/>
                <w:kern w:val="0"/>
                <w:szCs w:val="21"/>
              </w:rPr>
              <w:t>右</w:t>
            </w:r>
          </w:p>
        </w:tc>
        <w:tc>
          <w:tcPr>
            <w:tcW w:w="631" w:type="pct"/>
            <w:shd w:val="clear" w:color="auto" w:fill="auto"/>
            <w:vAlign w:val="center"/>
          </w:tcPr>
          <w:p w14:paraId="2E01FFCA" w14:textId="77777777" w:rsidR="007D1E74" w:rsidRDefault="00A95641">
            <w:pPr>
              <w:widowControl/>
              <w:jc w:val="center"/>
              <w:rPr>
                <w:rFonts w:cs="Times New Roman"/>
                <w:kern w:val="0"/>
                <w:szCs w:val="21"/>
              </w:rPr>
            </w:pPr>
            <w:r>
              <w:rPr>
                <w:rFonts w:cs="Times New Roman" w:hint="eastAsia"/>
                <w:kern w:val="0"/>
                <w:szCs w:val="21"/>
              </w:rPr>
              <w:t>2</w:t>
            </w:r>
            <w:r>
              <w:rPr>
                <w:rFonts w:cs="Times New Roman"/>
                <w:kern w:val="0"/>
                <w:szCs w:val="21"/>
              </w:rPr>
              <w:t>4~180</w:t>
            </w:r>
          </w:p>
        </w:tc>
        <w:tc>
          <w:tcPr>
            <w:tcW w:w="709" w:type="pct"/>
            <w:shd w:val="clear" w:color="auto" w:fill="auto"/>
            <w:vAlign w:val="center"/>
          </w:tcPr>
          <w:p w14:paraId="1DBEA3CE" w14:textId="77777777" w:rsidR="007D1E74" w:rsidRDefault="00A95641">
            <w:pPr>
              <w:widowControl/>
              <w:jc w:val="center"/>
              <w:rPr>
                <w:rFonts w:cs="Times New Roman"/>
                <w:kern w:val="0"/>
                <w:szCs w:val="21"/>
              </w:rPr>
            </w:pPr>
            <w:r>
              <w:rPr>
                <w:rFonts w:cs="Times New Roman"/>
                <w:kern w:val="0"/>
                <w:szCs w:val="21"/>
              </w:rPr>
              <w:t>居住区</w:t>
            </w:r>
          </w:p>
        </w:tc>
        <w:tc>
          <w:tcPr>
            <w:tcW w:w="756" w:type="pct"/>
            <w:shd w:val="clear" w:color="auto" w:fill="auto"/>
            <w:vAlign w:val="center"/>
          </w:tcPr>
          <w:p w14:paraId="359ECAE3" w14:textId="77777777" w:rsidR="007D1E74" w:rsidRDefault="00A95641">
            <w:pPr>
              <w:widowControl/>
              <w:jc w:val="center"/>
              <w:rPr>
                <w:rFonts w:cs="Times New Roman"/>
                <w:kern w:val="0"/>
                <w:szCs w:val="21"/>
              </w:rPr>
            </w:pPr>
            <w:r>
              <w:rPr>
                <w:rFonts w:cs="Times New Roman"/>
                <w:kern w:val="0"/>
                <w:szCs w:val="21"/>
              </w:rPr>
              <w:t>约</w:t>
            </w:r>
            <w:r>
              <w:rPr>
                <w:rFonts w:cs="Times New Roman"/>
                <w:kern w:val="0"/>
                <w:szCs w:val="21"/>
              </w:rPr>
              <w:t>42</w:t>
            </w:r>
            <w:r>
              <w:rPr>
                <w:rFonts w:cs="Times New Roman"/>
                <w:kern w:val="0"/>
                <w:szCs w:val="21"/>
              </w:rPr>
              <w:t>人</w:t>
            </w:r>
          </w:p>
        </w:tc>
      </w:tr>
      <w:tr w:rsidR="007D1E74" w14:paraId="500C29A1" w14:textId="77777777">
        <w:tc>
          <w:tcPr>
            <w:tcW w:w="390" w:type="pct"/>
            <w:vMerge/>
            <w:vAlign w:val="center"/>
          </w:tcPr>
          <w:p w14:paraId="78975C63" w14:textId="77777777" w:rsidR="007D1E74" w:rsidRDefault="007D1E74">
            <w:pPr>
              <w:widowControl/>
              <w:jc w:val="left"/>
              <w:rPr>
                <w:rFonts w:cs="Times New Roman"/>
                <w:kern w:val="0"/>
                <w:szCs w:val="21"/>
              </w:rPr>
            </w:pPr>
          </w:p>
        </w:tc>
        <w:tc>
          <w:tcPr>
            <w:tcW w:w="425" w:type="pct"/>
            <w:shd w:val="clear" w:color="auto" w:fill="auto"/>
            <w:vAlign w:val="center"/>
          </w:tcPr>
          <w:p w14:paraId="61C03E6B" w14:textId="77777777" w:rsidR="007D1E74" w:rsidRDefault="00A95641">
            <w:pPr>
              <w:widowControl/>
              <w:jc w:val="center"/>
              <w:rPr>
                <w:rFonts w:cs="Times New Roman"/>
                <w:kern w:val="0"/>
                <w:szCs w:val="21"/>
              </w:rPr>
            </w:pPr>
            <w:r>
              <w:rPr>
                <w:rFonts w:cs="Times New Roman" w:hint="eastAsia"/>
                <w:kern w:val="0"/>
                <w:szCs w:val="21"/>
              </w:rPr>
              <w:t>3</w:t>
            </w:r>
          </w:p>
        </w:tc>
        <w:tc>
          <w:tcPr>
            <w:tcW w:w="1424" w:type="pct"/>
            <w:shd w:val="clear" w:color="auto" w:fill="auto"/>
            <w:vAlign w:val="center"/>
          </w:tcPr>
          <w:p w14:paraId="272783D6" w14:textId="77777777" w:rsidR="007D1E74" w:rsidRDefault="00A95641">
            <w:pPr>
              <w:widowControl/>
              <w:jc w:val="center"/>
              <w:rPr>
                <w:rFonts w:cs="Times New Roman"/>
                <w:kern w:val="0"/>
                <w:szCs w:val="21"/>
              </w:rPr>
            </w:pPr>
            <w:r>
              <w:rPr>
                <w:rFonts w:cs="Times New Roman"/>
                <w:kern w:val="0"/>
                <w:szCs w:val="21"/>
              </w:rPr>
              <w:t>水洗坝</w:t>
            </w:r>
          </w:p>
        </w:tc>
        <w:tc>
          <w:tcPr>
            <w:tcW w:w="665" w:type="pct"/>
            <w:shd w:val="clear" w:color="auto" w:fill="auto"/>
            <w:vAlign w:val="center"/>
          </w:tcPr>
          <w:p w14:paraId="31F970F9" w14:textId="77777777" w:rsidR="007D1E74" w:rsidRDefault="00A95641">
            <w:pPr>
              <w:widowControl/>
              <w:jc w:val="center"/>
              <w:rPr>
                <w:rFonts w:cs="Times New Roman"/>
                <w:kern w:val="0"/>
                <w:szCs w:val="21"/>
              </w:rPr>
            </w:pPr>
            <w:r>
              <w:rPr>
                <w:rFonts w:cs="Times New Roman"/>
                <w:kern w:val="0"/>
                <w:szCs w:val="21"/>
              </w:rPr>
              <w:t>右</w:t>
            </w:r>
          </w:p>
        </w:tc>
        <w:tc>
          <w:tcPr>
            <w:tcW w:w="631" w:type="pct"/>
            <w:shd w:val="clear" w:color="auto" w:fill="auto"/>
            <w:vAlign w:val="center"/>
          </w:tcPr>
          <w:p w14:paraId="496FDE31" w14:textId="77777777" w:rsidR="007D1E74" w:rsidRDefault="00A95641">
            <w:pPr>
              <w:widowControl/>
              <w:jc w:val="center"/>
              <w:rPr>
                <w:rFonts w:cs="Times New Roman"/>
                <w:kern w:val="0"/>
                <w:szCs w:val="21"/>
              </w:rPr>
            </w:pPr>
            <w:r>
              <w:rPr>
                <w:rFonts w:cs="Times New Roman" w:hint="eastAsia"/>
                <w:kern w:val="0"/>
                <w:szCs w:val="21"/>
              </w:rPr>
              <w:t>1</w:t>
            </w:r>
            <w:r>
              <w:rPr>
                <w:rFonts w:cs="Times New Roman"/>
                <w:kern w:val="0"/>
                <w:szCs w:val="21"/>
              </w:rPr>
              <w:t>7~109</w:t>
            </w:r>
          </w:p>
        </w:tc>
        <w:tc>
          <w:tcPr>
            <w:tcW w:w="709" w:type="pct"/>
            <w:shd w:val="clear" w:color="auto" w:fill="auto"/>
            <w:vAlign w:val="center"/>
          </w:tcPr>
          <w:p w14:paraId="63ABE08E" w14:textId="77777777" w:rsidR="007D1E74" w:rsidRDefault="00A95641">
            <w:pPr>
              <w:widowControl/>
              <w:jc w:val="center"/>
              <w:rPr>
                <w:rFonts w:cs="Times New Roman"/>
                <w:kern w:val="0"/>
                <w:szCs w:val="21"/>
              </w:rPr>
            </w:pPr>
            <w:r>
              <w:rPr>
                <w:rFonts w:cs="Times New Roman"/>
                <w:kern w:val="0"/>
                <w:szCs w:val="21"/>
              </w:rPr>
              <w:t>居住区</w:t>
            </w:r>
          </w:p>
        </w:tc>
        <w:tc>
          <w:tcPr>
            <w:tcW w:w="756" w:type="pct"/>
            <w:shd w:val="clear" w:color="auto" w:fill="auto"/>
            <w:vAlign w:val="center"/>
          </w:tcPr>
          <w:p w14:paraId="53D290DC" w14:textId="77777777" w:rsidR="007D1E74" w:rsidRDefault="00A95641">
            <w:pPr>
              <w:widowControl/>
              <w:jc w:val="center"/>
              <w:rPr>
                <w:rFonts w:cs="Times New Roman"/>
                <w:kern w:val="0"/>
                <w:szCs w:val="21"/>
              </w:rPr>
            </w:pPr>
            <w:r>
              <w:rPr>
                <w:rFonts w:cs="Times New Roman"/>
                <w:kern w:val="0"/>
                <w:szCs w:val="21"/>
              </w:rPr>
              <w:t>约</w:t>
            </w:r>
            <w:r>
              <w:rPr>
                <w:rFonts w:cs="Times New Roman"/>
                <w:kern w:val="0"/>
                <w:szCs w:val="21"/>
              </w:rPr>
              <w:t>35</w:t>
            </w:r>
            <w:r>
              <w:rPr>
                <w:rFonts w:cs="Times New Roman"/>
                <w:kern w:val="0"/>
                <w:szCs w:val="21"/>
              </w:rPr>
              <w:t>人</w:t>
            </w:r>
          </w:p>
        </w:tc>
      </w:tr>
      <w:tr w:rsidR="007D1E74" w14:paraId="5920B889" w14:textId="77777777">
        <w:tc>
          <w:tcPr>
            <w:tcW w:w="390" w:type="pct"/>
            <w:vMerge/>
            <w:vAlign w:val="center"/>
          </w:tcPr>
          <w:p w14:paraId="7DA5D9EE" w14:textId="77777777" w:rsidR="007D1E74" w:rsidRDefault="007D1E74">
            <w:pPr>
              <w:widowControl/>
              <w:jc w:val="left"/>
              <w:rPr>
                <w:rFonts w:cs="Times New Roman"/>
                <w:kern w:val="0"/>
                <w:szCs w:val="21"/>
              </w:rPr>
            </w:pPr>
          </w:p>
        </w:tc>
        <w:tc>
          <w:tcPr>
            <w:tcW w:w="425" w:type="pct"/>
            <w:shd w:val="clear" w:color="auto" w:fill="auto"/>
            <w:vAlign w:val="center"/>
          </w:tcPr>
          <w:p w14:paraId="5EA6747F" w14:textId="77777777" w:rsidR="007D1E74" w:rsidRDefault="00A95641">
            <w:pPr>
              <w:widowControl/>
              <w:jc w:val="center"/>
              <w:rPr>
                <w:rFonts w:cs="Times New Roman"/>
                <w:kern w:val="0"/>
                <w:szCs w:val="21"/>
              </w:rPr>
            </w:pPr>
            <w:r>
              <w:rPr>
                <w:rFonts w:cs="Times New Roman" w:hint="eastAsia"/>
                <w:kern w:val="0"/>
                <w:szCs w:val="21"/>
              </w:rPr>
              <w:t>4</w:t>
            </w:r>
          </w:p>
        </w:tc>
        <w:tc>
          <w:tcPr>
            <w:tcW w:w="1424" w:type="pct"/>
            <w:shd w:val="clear" w:color="auto" w:fill="auto"/>
            <w:vAlign w:val="center"/>
          </w:tcPr>
          <w:p w14:paraId="32D021DA" w14:textId="77777777" w:rsidR="007D1E74" w:rsidRDefault="00A95641">
            <w:pPr>
              <w:widowControl/>
              <w:jc w:val="center"/>
              <w:rPr>
                <w:rFonts w:cs="Times New Roman"/>
                <w:kern w:val="0"/>
                <w:szCs w:val="21"/>
              </w:rPr>
            </w:pPr>
            <w:r>
              <w:rPr>
                <w:rFonts w:cs="Times New Roman"/>
                <w:kern w:val="0"/>
                <w:szCs w:val="21"/>
              </w:rPr>
              <w:t>关路潭</w:t>
            </w:r>
          </w:p>
        </w:tc>
        <w:tc>
          <w:tcPr>
            <w:tcW w:w="665" w:type="pct"/>
            <w:shd w:val="clear" w:color="auto" w:fill="auto"/>
            <w:vAlign w:val="center"/>
          </w:tcPr>
          <w:p w14:paraId="75AF6961" w14:textId="77777777" w:rsidR="007D1E74" w:rsidRDefault="00A95641">
            <w:pPr>
              <w:widowControl/>
              <w:jc w:val="center"/>
              <w:rPr>
                <w:rFonts w:cs="Times New Roman"/>
                <w:kern w:val="0"/>
                <w:szCs w:val="21"/>
              </w:rPr>
            </w:pPr>
            <w:r>
              <w:rPr>
                <w:rFonts w:cs="Times New Roman"/>
                <w:kern w:val="0"/>
                <w:szCs w:val="21"/>
              </w:rPr>
              <w:t>左</w:t>
            </w:r>
            <w:r>
              <w:rPr>
                <w:rFonts w:cs="Times New Roman" w:hint="eastAsia"/>
                <w:kern w:val="0"/>
                <w:szCs w:val="21"/>
              </w:rPr>
              <w:t>/</w:t>
            </w:r>
            <w:r>
              <w:rPr>
                <w:rFonts w:cs="Times New Roman"/>
                <w:kern w:val="0"/>
                <w:szCs w:val="21"/>
              </w:rPr>
              <w:t>右</w:t>
            </w:r>
          </w:p>
        </w:tc>
        <w:tc>
          <w:tcPr>
            <w:tcW w:w="631" w:type="pct"/>
            <w:shd w:val="clear" w:color="auto" w:fill="auto"/>
            <w:vAlign w:val="center"/>
          </w:tcPr>
          <w:p w14:paraId="656AAF7D" w14:textId="77777777" w:rsidR="007D1E74" w:rsidRDefault="00A95641">
            <w:pPr>
              <w:widowControl/>
              <w:jc w:val="center"/>
              <w:rPr>
                <w:rFonts w:cs="Times New Roman"/>
                <w:kern w:val="0"/>
                <w:szCs w:val="21"/>
              </w:rPr>
            </w:pPr>
            <w:r>
              <w:rPr>
                <w:rFonts w:cs="Times New Roman" w:hint="eastAsia"/>
                <w:kern w:val="0"/>
                <w:szCs w:val="21"/>
              </w:rPr>
              <w:t>3</w:t>
            </w:r>
            <w:r>
              <w:rPr>
                <w:rFonts w:cs="Times New Roman"/>
                <w:kern w:val="0"/>
                <w:szCs w:val="21"/>
              </w:rPr>
              <w:t>4~194</w:t>
            </w:r>
          </w:p>
        </w:tc>
        <w:tc>
          <w:tcPr>
            <w:tcW w:w="709" w:type="pct"/>
            <w:shd w:val="clear" w:color="auto" w:fill="auto"/>
            <w:vAlign w:val="center"/>
          </w:tcPr>
          <w:p w14:paraId="48DB34FD" w14:textId="77777777" w:rsidR="007D1E74" w:rsidRDefault="00A95641">
            <w:pPr>
              <w:widowControl/>
              <w:jc w:val="center"/>
              <w:rPr>
                <w:rFonts w:cs="Times New Roman"/>
                <w:kern w:val="0"/>
                <w:szCs w:val="21"/>
              </w:rPr>
            </w:pPr>
            <w:r>
              <w:rPr>
                <w:rFonts w:cs="Times New Roman"/>
                <w:kern w:val="0"/>
                <w:szCs w:val="21"/>
              </w:rPr>
              <w:t>居住区</w:t>
            </w:r>
          </w:p>
        </w:tc>
        <w:tc>
          <w:tcPr>
            <w:tcW w:w="756" w:type="pct"/>
            <w:shd w:val="clear" w:color="auto" w:fill="auto"/>
            <w:vAlign w:val="center"/>
          </w:tcPr>
          <w:p w14:paraId="1C8C9AF0" w14:textId="77777777" w:rsidR="007D1E74" w:rsidRDefault="00A95641">
            <w:pPr>
              <w:widowControl/>
              <w:jc w:val="center"/>
              <w:rPr>
                <w:rFonts w:cs="Times New Roman"/>
                <w:kern w:val="0"/>
                <w:szCs w:val="21"/>
              </w:rPr>
            </w:pPr>
            <w:r>
              <w:rPr>
                <w:rFonts w:cs="Times New Roman"/>
                <w:kern w:val="0"/>
                <w:szCs w:val="21"/>
              </w:rPr>
              <w:t>约</w:t>
            </w:r>
            <w:r>
              <w:rPr>
                <w:rFonts w:cs="Times New Roman"/>
                <w:kern w:val="0"/>
                <w:szCs w:val="21"/>
              </w:rPr>
              <w:t>42</w:t>
            </w:r>
            <w:r>
              <w:rPr>
                <w:rFonts w:cs="Times New Roman"/>
                <w:kern w:val="0"/>
                <w:szCs w:val="21"/>
              </w:rPr>
              <w:t>人</w:t>
            </w:r>
          </w:p>
        </w:tc>
      </w:tr>
      <w:tr w:rsidR="007D1E74" w14:paraId="65676239" w14:textId="77777777">
        <w:tc>
          <w:tcPr>
            <w:tcW w:w="390" w:type="pct"/>
            <w:vMerge/>
            <w:vAlign w:val="center"/>
          </w:tcPr>
          <w:p w14:paraId="57544752" w14:textId="77777777" w:rsidR="007D1E74" w:rsidRDefault="007D1E74">
            <w:pPr>
              <w:widowControl/>
              <w:jc w:val="left"/>
              <w:rPr>
                <w:rFonts w:cs="Times New Roman"/>
                <w:kern w:val="0"/>
                <w:szCs w:val="21"/>
              </w:rPr>
            </w:pPr>
          </w:p>
        </w:tc>
        <w:tc>
          <w:tcPr>
            <w:tcW w:w="425" w:type="pct"/>
            <w:shd w:val="clear" w:color="auto" w:fill="auto"/>
            <w:vAlign w:val="center"/>
          </w:tcPr>
          <w:p w14:paraId="5740EFAD" w14:textId="77777777" w:rsidR="007D1E74" w:rsidRDefault="00A95641">
            <w:pPr>
              <w:widowControl/>
              <w:jc w:val="center"/>
              <w:rPr>
                <w:rFonts w:cs="Times New Roman"/>
                <w:kern w:val="0"/>
                <w:szCs w:val="21"/>
              </w:rPr>
            </w:pPr>
            <w:r>
              <w:rPr>
                <w:rFonts w:cs="Times New Roman" w:hint="eastAsia"/>
                <w:kern w:val="0"/>
                <w:szCs w:val="21"/>
              </w:rPr>
              <w:t>5</w:t>
            </w:r>
          </w:p>
        </w:tc>
        <w:tc>
          <w:tcPr>
            <w:tcW w:w="1424" w:type="pct"/>
            <w:shd w:val="clear" w:color="auto" w:fill="auto"/>
            <w:vAlign w:val="center"/>
          </w:tcPr>
          <w:p w14:paraId="7137A659" w14:textId="77777777" w:rsidR="007D1E74" w:rsidRDefault="00A95641">
            <w:pPr>
              <w:widowControl/>
              <w:jc w:val="center"/>
              <w:rPr>
                <w:rFonts w:cs="Times New Roman"/>
                <w:kern w:val="0"/>
                <w:szCs w:val="21"/>
              </w:rPr>
            </w:pPr>
            <w:r>
              <w:rPr>
                <w:rFonts w:cs="Times New Roman"/>
                <w:kern w:val="0"/>
                <w:szCs w:val="21"/>
              </w:rPr>
              <w:t>玉皇庙</w:t>
            </w:r>
          </w:p>
        </w:tc>
        <w:tc>
          <w:tcPr>
            <w:tcW w:w="665" w:type="pct"/>
            <w:shd w:val="clear" w:color="auto" w:fill="auto"/>
            <w:vAlign w:val="center"/>
          </w:tcPr>
          <w:p w14:paraId="7EF590C0" w14:textId="77777777" w:rsidR="007D1E74" w:rsidRDefault="00A95641">
            <w:pPr>
              <w:widowControl/>
              <w:jc w:val="center"/>
              <w:rPr>
                <w:rFonts w:cs="Times New Roman"/>
                <w:kern w:val="0"/>
                <w:szCs w:val="21"/>
              </w:rPr>
            </w:pPr>
            <w:r>
              <w:rPr>
                <w:rFonts w:cs="Times New Roman"/>
                <w:kern w:val="0"/>
                <w:szCs w:val="21"/>
              </w:rPr>
              <w:t>左</w:t>
            </w:r>
            <w:r>
              <w:rPr>
                <w:rFonts w:cs="Times New Roman" w:hint="eastAsia"/>
                <w:kern w:val="0"/>
                <w:szCs w:val="21"/>
              </w:rPr>
              <w:t>/</w:t>
            </w:r>
            <w:r>
              <w:rPr>
                <w:rFonts w:cs="Times New Roman"/>
                <w:kern w:val="0"/>
                <w:szCs w:val="21"/>
              </w:rPr>
              <w:t>右</w:t>
            </w:r>
          </w:p>
        </w:tc>
        <w:tc>
          <w:tcPr>
            <w:tcW w:w="631" w:type="pct"/>
            <w:shd w:val="clear" w:color="auto" w:fill="auto"/>
            <w:vAlign w:val="center"/>
          </w:tcPr>
          <w:p w14:paraId="2DBF0FA9" w14:textId="77777777" w:rsidR="007D1E74" w:rsidRDefault="00A95641">
            <w:pPr>
              <w:widowControl/>
              <w:jc w:val="center"/>
              <w:rPr>
                <w:rFonts w:cs="Times New Roman"/>
                <w:kern w:val="0"/>
                <w:szCs w:val="21"/>
              </w:rPr>
            </w:pPr>
            <w:r>
              <w:rPr>
                <w:rFonts w:cs="Times New Roman" w:hint="eastAsia"/>
                <w:kern w:val="0"/>
                <w:szCs w:val="21"/>
              </w:rPr>
              <w:t>3</w:t>
            </w:r>
            <w:r>
              <w:rPr>
                <w:rFonts w:cs="Times New Roman"/>
                <w:kern w:val="0"/>
                <w:szCs w:val="21"/>
              </w:rPr>
              <w:t>5~200</w:t>
            </w:r>
          </w:p>
        </w:tc>
        <w:tc>
          <w:tcPr>
            <w:tcW w:w="709" w:type="pct"/>
            <w:shd w:val="clear" w:color="auto" w:fill="auto"/>
            <w:vAlign w:val="center"/>
          </w:tcPr>
          <w:p w14:paraId="15C88E41" w14:textId="77777777" w:rsidR="007D1E74" w:rsidRDefault="00A95641">
            <w:pPr>
              <w:widowControl/>
              <w:jc w:val="center"/>
              <w:rPr>
                <w:rFonts w:cs="Times New Roman"/>
                <w:kern w:val="0"/>
                <w:szCs w:val="21"/>
              </w:rPr>
            </w:pPr>
            <w:r>
              <w:rPr>
                <w:rFonts w:cs="Times New Roman"/>
                <w:kern w:val="0"/>
                <w:szCs w:val="21"/>
              </w:rPr>
              <w:t>居住区</w:t>
            </w:r>
          </w:p>
        </w:tc>
        <w:tc>
          <w:tcPr>
            <w:tcW w:w="756" w:type="pct"/>
            <w:shd w:val="clear" w:color="auto" w:fill="auto"/>
            <w:vAlign w:val="center"/>
          </w:tcPr>
          <w:p w14:paraId="4A060E82" w14:textId="77777777" w:rsidR="007D1E74" w:rsidRDefault="00A95641">
            <w:pPr>
              <w:widowControl/>
              <w:jc w:val="center"/>
              <w:rPr>
                <w:rFonts w:cs="Times New Roman"/>
                <w:kern w:val="0"/>
                <w:szCs w:val="21"/>
              </w:rPr>
            </w:pPr>
            <w:r>
              <w:rPr>
                <w:rFonts w:cs="Times New Roman"/>
                <w:kern w:val="0"/>
                <w:szCs w:val="21"/>
              </w:rPr>
              <w:t>约</w:t>
            </w:r>
            <w:r>
              <w:rPr>
                <w:rFonts w:cs="Times New Roman"/>
                <w:kern w:val="0"/>
                <w:szCs w:val="21"/>
              </w:rPr>
              <w:t>49</w:t>
            </w:r>
            <w:r>
              <w:rPr>
                <w:rFonts w:cs="Times New Roman"/>
                <w:kern w:val="0"/>
                <w:szCs w:val="21"/>
              </w:rPr>
              <w:t>人</w:t>
            </w:r>
          </w:p>
        </w:tc>
      </w:tr>
      <w:tr w:rsidR="007D1E74" w14:paraId="038285FA" w14:textId="77777777">
        <w:tc>
          <w:tcPr>
            <w:tcW w:w="390" w:type="pct"/>
            <w:vMerge/>
            <w:vAlign w:val="center"/>
          </w:tcPr>
          <w:p w14:paraId="4A300C1C" w14:textId="77777777" w:rsidR="007D1E74" w:rsidRDefault="007D1E74">
            <w:pPr>
              <w:widowControl/>
              <w:jc w:val="left"/>
              <w:rPr>
                <w:rFonts w:cs="Times New Roman"/>
                <w:kern w:val="0"/>
                <w:szCs w:val="21"/>
              </w:rPr>
            </w:pPr>
          </w:p>
        </w:tc>
        <w:tc>
          <w:tcPr>
            <w:tcW w:w="425" w:type="pct"/>
            <w:shd w:val="clear" w:color="auto" w:fill="auto"/>
            <w:vAlign w:val="center"/>
          </w:tcPr>
          <w:p w14:paraId="304D5B20" w14:textId="77777777" w:rsidR="007D1E74" w:rsidRDefault="00A95641">
            <w:pPr>
              <w:widowControl/>
              <w:jc w:val="center"/>
              <w:rPr>
                <w:rFonts w:cs="Times New Roman"/>
                <w:kern w:val="0"/>
                <w:szCs w:val="21"/>
              </w:rPr>
            </w:pPr>
            <w:r>
              <w:rPr>
                <w:rFonts w:cs="Times New Roman" w:hint="eastAsia"/>
                <w:kern w:val="0"/>
                <w:szCs w:val="21"/>
              </w:rPr>
              <w:t>6</w:t>
            </w:r>
          </w:p>
        </w:tc>
        <w:tc>
          <w:tcPr>
            <w:tcW w:w="1424" w:type="pct"/>
            <w:shd w:val="clear" w:color="auto" w:fill="auto"/>
            <w:vAlign w:val="center"/>
          </w:tcPr>
          <w:p w14:paraId="22ADA302" w14:textId="77777777" w:rsidR="007D1E74" w:rsidRDefault="00A95641">
            <w:pPr>
              <w:widowControl/>
              <w:jc w:val="center"/>
              <w:rPr>
                <w:rFonts w:cs="Times New Roman"/>
                <w:kern w:val="0"/>
                <w:szCs w:val="21"/>
              </w:rPr>
            </w:pPr>
            <w:r>
              <w:rPr>
                <w:rFonts w:cs="Times New Roman"/>
                <w:kern w:val="0"/>
                <w:szCs w:val="21"/>
              </w:rPr>
              <w:t>后槽湾</w:t>
            </w:r>
          </w:p>
        </w:tc>
        <w:tc>
          <w:tcPr>
            <w:tcW w:w="665" w:type="pct"/>
            <w:shd w:val="clear" w:color="auto" w:fill="auto"/>
            <w:vAlign w:val="center"/>
          </w:tcPr>
          <w:p w14:paraId="7A534908" w14:textId="77777777" w:rsidR="007D1E74" w:rsidRDefault="00A95641">
            <w:pPr>
              <w:widowControl/>
              <w:jc w:val="center"/>
              <w:rPr>
                <w:rFonts w:cs="Times New Roman"/>
                <w:kern w:val="0"/>
                <w:szCs w:val="21"/>
              </w:rPr>
            </w:pPr>
            <w:r>
              <w:rPr>
                <w:rFonts w:cs="Times New Roman"/>
                <w:kern w:val="0"/>
                <w:szCs w:val="21"/>
              </w:rPr>
              <w:t>左</w:t>
            </w:r>
            <w:r>
              <w:rPr>
                <w:rFonts w:cs="Times New Roman" w:hint="eastAsia"/>
                <w:kern w:val="0"/>
                <w:szCs w:val="21"/>
              </w:rPr>
              <w:t>/</w:t>
            </w:r>
            <w:r>
              <w:rPr>
                <w:rFonts w:cs="Times New Roman"/>
                <w:kern w:val="0"/>
                <w:szCs w:val="21"/>
              </w:rPr>
              <w:t>右</w:t>
            </w:r>
          </w:p>
        </w:tc>
        <w:tc>
          <w:tcPr>
            <w:tcW w:w="631" w:type="pct"/>
            <w:shd w:val="clear" w:color="auto" w:fill="auto"/>
            <w:vAlign w:val="center"/>
          </w:tcPr>
          <w:p w14:paraId="6825B8C8" w14:textId="77777777" w:rsidR="007D1E74" w:rsidRDefault="00A95641">
            <w:pPr>
              <w:widowControl/>
              <w:jc w:val="center"/>
              <w:rPr>
                <w:rFonts w:cs="Times New Roman"/>
                <w:kern w:val="0"/>
                <w:szCs w:val="21"/>
              </w:rPr>
            </w:pPr>
            <w:r>
              <w:rPr>
                <w:rFonts w:cs="Times New Roman" w:hint="eastAsia"/>
                <w:kern w:val="0"/>
                <w:szCs w:val="21"/>
              </w:rPr>
              <w:t>1</w:t>
            </w:r>
            <w:r>
              <w:rPr>
                <w:rFonts w:cs="Times New Roman"/>
                <w:kern w:val="0"/>
                <w:szCs w:val="21"/>
              </w:rPr>
              <w:t>25~183</w:t>
            </w:r>
          </w:p>
        </w:tc>
        <w:tc>
          <w:tcPr>
            <w:tcW w:w="709" w:type="pct"/>
            <w:shd w:val="clear" w:color="auto" w:fill="auto"/>
            <w:vAlign w:val="center"/>
          </w:tcPr>
          <w:p w14:paraId="0A2EBAAF" w14:textId="77777777" w:rsidR="007D1E74" w:rsidRDefault="00A95641">
            <w:pPr>
              <w:widowControl/>
              <w:jc w:val="center"/>
              <w:rPr>
                <w:rFonts w:cs="Times New Roman"/>
                <w:kern w:val="0"/>
                <w:szCs w:val="21"/>
              </w:rPr>
            </w:pPr>
            <w:r>
              <w:rPr>
                <w:rFonts w:cs="Times New Roman"/>
                <w:kern w:val="0"/>
                <w:szCs w:val="21"/>
              </w:rPr>
              <w:t>居住区</w:t>
            </w:r>
          </w:p>
        </w:tc>
        <w:tc>
          <w:tcPr>
            <w:tcW w:w="756" w:type="pct"/>
            <w:shd w:val="clear" w:color="auto" w:fill="auto"/>
            <w:vAlign w:val="center"/>
          </w:tcPr>
          <w:p w14:paraId="3DBC7FE0" w14:textId="77777777" w:rsidR="007D1E74" w:rsidRDefault="00A95641">
            <w:pPr>
              <w:widowControl/>
              <w:jc w:val="center"/>
              <w:rPr>
                <w:rFonts w:cs="Times New Roman"/>
                <w:kern w:val="0"/>
                <w:szCs w:val="21"/>
              </w:rPr>
            </w:pPr>
            <w:r>
              <w:rPr>
                <w:rFonts w:cs="Times New Roman"/>
                <w:kern w:val="0"/>
                <w:szCs w:val="21"/>
              </w:rPr>
              <w:t>约</w:t>
            </w:r>
            <w:r>
              <w:rPr>
                <w:rFonts w:cs="Times New Roman"/>
                <w:kern w:val="0"/>
                <w:szCs w:val="21"/>
              </w:rPr>
              <w:t>14</w:t>
            </w:r>
            <w:r>
              <w:rPr>
                <w:rFonts w:cs="Times New Roman"/>
                <w:kern w:val="0"/>
                <w:szCs w:val="21"/>
              </w:rPr>
              <w:t>人</w:t>
            </w:r>
          </w:p>
        </w:tc>
      </w:tr>
      <w:tr w:rsidR="007D1E74" w14:paraId="6D58F654" w14:textId="77777777">
        <w:tc>
          <w:tcPr>
            <w:tcW w:w="390" w:type="pct"/>
            <w:vMerge/>
            <w:vAlign w:val="center"/>
          </w:tcPr>
          <w:p w14:paraId="415A73E1" w14:textId="77777777" w:rsidR="007D1E74" w:rsidRDefault="007D1E74">
            <w:pPr>
              <w:widowControl/>
              <w:jc w:val="left"/>
              <w:rPr>
                <w:rFonts w:cs="Times New Roman"/>
                <w:kern w:val="0"/>
                <w:szCs w:val="21"/>
              </w:rPr>
            </w:pPr>
          </w:p>
        </w:tc>
        <w:tc>
          <w:tcPr>
            <w:tcW w:w="425" w:type="pct"/>
            <w:shd w:val="clear" w:color="auto" w:fill="auto"/>
            <w:vAlign w:val="center"/>
          </w:tcPr>
          <w:p w14:paraId="461C5116" w14:textId="77777777" w:rsidR="007D1E74" w:rsidRDefault="00A95641">
            <w:pPr>
              <w:widowControl/>
              <w:jc w:val="center"/>
              <w:rPr>
                <w:rFonts w:cs="Times New Roman"/>
                <w:kern w:val="0"/>
                <w:szCs w:val="21"/>
              </w:rPr>
            </w:pPr>
            <w:r>
              <w:rPr>
                <w:rFonts w:cs="Times New Roman" w:hint="eastAsia"/>
                <w:kern w:val="0"/>
                <w:szCs w:val="21"/>
              </w:rPr>
              <w:t>7</w:t>
            </w:r>
          </w:p>
        </w:tc>
        <w:tc>
          <w:tcPr>
            <w:tcW w:w="1424" w:type="pct"/>
            <w:shd w:val="clear" w:color="auto" w:fill="auto"/>
            <w:vAlign w:val="center"/>
          </w:tcPr>
          <w:p w14:paraId="475F845F" w14:textId="77777777" w:rsidR="007D1E74" w:rsidRDefault="00A95641">
            <w:pPr>
              <w:widowControl/>
              <w:jc w:val="center"/>
              <w:rPr>
                <w:rFonts w:cs="Times New Roman"/>
                <w:kern w:val="0"/>
                <w:szCs w:val="21"/>
              </w:rPr>
            </w:pPr>
            <w:r>
              <w:rPr>
                <w:rFonts w:cs="Times New Roman"/>
                <w:kern w:val="0"/>
                <w:szCs w:val="21"/>
              </w:rPr>
              <w:t>马家院</w:t>
            </w:r>
          </w:p>
        </w:tc>
        <w:tc>
          <w:tcPr>
            <w:tcW w:w="665" w:type="pct"/>
            <w:shd w:val="clear" w:color="auto" w:fill="auto"/>
            <w:vAlign w:val="center"/>
          </w:tcPr>
          <w:p w14:paraId="36660003" w14:textId="77777777" w:rsidR="007D1E74" w:rsidRDefault="00A95641">
            <w:pPr>
              <w:widowControl/>
              <w:jc w:val="center"/>
              <w:rPr>
                <w:rFonts w:cs="Times New Roman"/>
                <w:kern w:val="0"/>
                <w:szCs w:val="21"/>
              </w:rPr>
            </w:pPr>
            <w:r>
              <w:rPr>
                <w:rFonts w:cs="Times New Roman"/>
                <w:kern w:val="0"/>
                <w:szCs w:val="21"/>
              </w:rPr>
              <w:t>左</w:t>
            </w:r>
            <w:r>
              <w:rPr>
                <w:rFonts w:cs="Times New Roman" w:hint="eastAsia"/>
                <w:kern w:val="0"/>
                <w:szCs w:val="21"/>
              </w:rPr>
              <w:t>/</w:t>
            </w:r>
            <w:r>
              <w:rPr>
                <w:rFonts w:cs="Times New Roman"/>
                <w:kern w:val="0"/>
                <w:szCs w:val="21"/>
              </w:rPr>
              <w:t>右</w:t>
            </w:r>
          </w:p>
        </w:tc>
        <w:tc>
          <w:tcPr>
            <w:tcW w:w="631" w:type="pct"/>
            <w:shd w:val="clear" w:color="auto" w:fill="auto"/>
            <w:vAlign w:val="center"/>
          </w:tcPr>
          <w:p w14:paraId="021B4238" w14:textId="77777777" w:rsidR="007D1E74" w:rsidRDefault="00A95641">
            <w:pPr>
              <w:widowControl/>
              <w:jc w:val="center"/>
              <w:rPr>
                <w:rFonts w:cs="Times New Roman"/>
                <w:kern w:val="0"/>
                <w:szCs w:val="21"/>
              </w:rPr>
            </w:pPr>
            <w:r>
              <w:rPr>
                <w:rFonts w:cs="Times New Roman" w:hint="eastAsia"/>
                <w:kern w:val="0"/>
                <w:szCs w:val="21"/>
              </w:rPr>
              <w:t>1</w:t>
            </w:r>
            <w:r>
              <w:rPr>
                <w:rFonts w:cs="Times New Roman"/>
                <w:kern w:val="0"/>
                <w:szCs w:val="21"/>
              </w:rPr>
              <w:t>5~155</w:t>
            </w:r>
          </w:p>
        </w:tc>
        <w:tc>
          <w:tcPr>
            <w:tcW w:w="709" w:type="pct"/>
            <w:shd w:val="clear" w:color="auto" w:fill="auto"/>
            <w:vAlign w:val="center"/>
          </w:tcPr>
          <w:p w14:paraId="6AC80AA0" w14:textId="77777777" w:rsidR="007D1E74" w:rsidRDefault="00A95641">
            <w:pPr>
              <w:widowControl/>
              <w:jc w:val="center"/>
              <w:rPr>
                <w:rFonts w:cs="Times New Roman"/>
                <w:kern w:val="0"/>
                <w:szCs w:val="21"/>
              </w:rPr>
            </w:pPr>
            <w:r>
              <w:rPr>
                <w:rFonts w:cs="Times New Roman"/>
                <w:kern w:val="0"/>
                <w:szCs w:val="21"/>
              </w:rPr>
              <w:t>居住区</w:t>
            </w:r>
          </w:p>
        </w:tc>
        <w:tc>
          <w:tcPr>
            <w:tcW w:w="756" w:type="pct"/>
            <w:shd w:val="clear" w:color="auto" w:fill="auto"/>
            <w:vAlign w:val="center"/>
          </w:tcPr>
          <w:p w14:paraId="174C8362" w14:textId="77777777" w:rsidR="007D1E74" w:rsidRDefault="00A95641">
            <w:pPr>
              <w:widowControl/>
              <w:jc w:val="center"/>
              <w:rPr>
                <w:rFonts w:cs="Times New Roman"/>
                <w:kern w:val="0"/>
                <w:szCs w:val="21"/>
              </w:rPr>
            </w:pPr>
            <w:r>
              <w:rPr>
                <w:rFonts w:cs="Times New Roman"/>
                <w:kern w:val="0"/>
                <w:szCs w:val="21"/>
              </w:rPr>
              <w:t>约</w:t>
            </w:r>
            <w:r>
              <w:rPr>
                <w:rFonts w:cs="Times New Roman"/>
                <w:kern w:val="0"/>
                <w:szCs w:val="21"/>
              </w:rPr>
              <w:t>60</w:t>
            </w:r>
            <w:r>
              <w:rPr>
                <w:rFonts w:cs="Times New Roman"/>
                <w:kern w:val="0"/>
                <w:szCs w:val="21"/>
              </w:rPr>
              <w:t>人</w:t>
            </w:r>
          </w:p>
        </w:tc>
      </w:tr>
      <w:tr w:rsidR="007D1E74" w14:paraId="60D00942" w14:textId="77777777">
        <w:tc>
          <w:tcPr>
            <w:tcW w:w="390" w:type="pct"/>
            <w:vMerge/>
            <w:vAlign w:val="center"/>
          </w:tcPr>
          <w:p w14:paraId="08EEE968" w14:textId="77777777" w:rsidR="007D1E74" w:rsidRDefault="007D1E74">
            <w:pPr>
              <w:widowControl/>
              <w:jc w:val="left"/>
              <w:rPr>
                <w:rFonts w:cs="Times New Roman"/>
                <w:kern w:val="0"/>
                <w:szCs w:val="21"/>
              </w:rPr>
            </w:pPr>
          </w:p>
        </w:tc>
        <w:tc>
          <w:tcPr>
            <w:tcW w:w="425" w:type="pct"/>
            <w:shd w:val="clear" w:color="auto" w:fill="auto"/>
            <w:vAlign w:val="center"/>
          </w:tcPr>
          <w:p w14:paraId="507CFC0B" w14:textId="77777777" w:rsidR="007D1E74" w:rsidRDefault="00A95641">
            <w:pPr>
              <w:widowControl/>
              <w:jc w:val="center"/>
              <w:rPr>
                <w:rFonts w:cs="Times New Roman"/>
                <w:kern w:val="0"/>
                <w:szCs w:val="21"/>
              </w:rPr>
            </w:pPr>
            <w:r>
              <w:rPr>
                <w:rFonts w:cs="Times New Roman" w:hint="eastAsia"/>
                <w:kern w:val="0"/>
                <w:szCs w:val="21"/>
              </w:rPr>
              <w:t>8</w:t>
            </w:r>
          </w:p>
        </w:tc>
        <w:tc>
          <w:tcPr>
            <w:tcW w:w="1424" w:type="pct"/>
            <w:shd w:val="clear" w:color="auto" w:fill="auto"/>
            <w:vAlign w:val="center"/>
          </w:tcPr>
          <w:p w14:paraId="65DE13DA" w14:textId="77777777" w:rsidR="007D1E74" w:rsidRDefault="00A95641">
            <w:pPr>
              <w:widowControl/>
              <w:jc w:val="center"/>
              <w:rPr>
                <w:rFonts w:cs="Times New Roman"/>
                <w:kern w:val="0"/>
                <w:szCs w:val="21"/>
              </w:rPr>
            </w:pPr>
            <w:r>
              <w:rPr>
                <w:rFonts w:cs="Times New Roman"/>
                <w:kern w:val="0"/>
                <w:szCs w:val="21"/>
              </w:rPr>
              <w:t>草池</w:t>
            </w:r>
          </w:p>
        </w:tc>
        <w:tc>
          <w:tcPr>
            <w:tcW w:w="665" w:type="pct"/>
            <w:shd w:val="clear" w:color="auto" w:fill="auto"/>
            <w:vAlign w:val="center"/>
          </w:tcPr>
          <w:p w14:paraId="13AC7494" w14:textId="77777777" w:rsidR="007D1E74" w:rsidRDefault="00A95641">
            <w:pPr>
              <w:widowControl/>
              <w:jc w:val="center"/>
              <w:rPr>
                <w:rFonts w:cs="Times New Roman"/>
                <w:kern w:val="0"/>
                <w:szCs w:val="21"/>
              </w:rPr>
            </w:pPr>
            <w:r>
              <w:rPr>
                <w:rFonts w:cs="Times New Roman"/>
                <w:kern w:val="0"/>
                <w:szCs w:val="21"/>
              </w:rPr>
              <w:t>左</w:t>
            </w:r>
          </w:p>
        </w:tc>
        <w:tc>
          <w:tcPr>
            <w:tcW w:w="631" w:type="pct"/>
            <w:shd w:val="clear" w:color="auto" w:fill="auto"/>
            <w:vAlign w:val="center"/>
          </w:tcPr>
          <w:p w14:paraId="5A011832" w14:textId="77777777" w:rsidR="007D1E74" w:rsidRDefault="00A95641">
            <w:pPr>
              <w:widowControl/>
              <w:jc w:val="center"/>
              <w:rPr>
                <w:rFonts w:cs="Times New Roman"/>
                <w:kern w:val="0"/>
                <w:szCs w:val="21"/>
              </w:rPr>
            </w:pPr>
            <w:r>
              <w:rPr>
                <w:rFonts w:cs="Times New Roman" w:hint="eastAsia"/>
                <w:kern w:val="0"/>
                <w:szCs w:val="21"/>
              </w:rPr>
              <w:t>2</w:t>
            </w:r>
            <w:r>
              <w:rPr>
                <w:rFonts w:cs="Times New Roman"/>
                <w:kern w:val="0"/>
                <w:szCs w:val="21"/>
              </w:rPr>
              <w:t>7~200</w:t>
            </w:r>
          </w:p>
        </w:tc>
        <w:tc>
          <w:tcPr>
            <w:tcW w:w="709" w:type="pct"/>
            <w:shd w:val="clear" w:color="auto" w:fill="auto"/>
            <w:vAlign w:val="center"/>
          </w:tcPr>
          <w:p w14:paraId="770A2C79" w14:textId="77777777" w:rsidR="007D1E74" w:rsidRDefault="00A95641">
            <w:pPr>
              <w:widowControl/>
              <w:jc w:val="center"/>
              <w:rPr>
                <w:rFonts w:cs="Times New Roman"/>
                <w:kern w:val="0"/>
                <w:szCs w:val="21"/>
              </w:rPr>
            </w:pPr>
            <w:r>
              <w:rPr>
                <w:rFonts w:cs="Times New Roman"/>
                <w:kern w:val="0"/>
                <w:szCs w:val="21"/>
              </w:rPr>
              <w:t>居住区</w:t>
            </w:r>
          </w:p>
        </w:tc>
        <w:tc>
          <w:tcPr>
            <w:tcW w:w="756" w:type="pct"/>
            <w:shd w:val="clear" w:color="auto" w:fill="auto"/>
            <w:vAlign w:val="center"/>
          </w:tcPr>
          <w:p w14:paraId="5C5916E4" w14:textId="77777777" w:rsidR="007D1E74" w:rsidRDefault="00A95641">
            <w:pPr>
              <w:widowControl/>
              <w:jc w:val="center"/>
              <w:rPr>
                <w:rFonts w:cs="Times New Roman"/>
                <w:kern w:val="0"/>
                <w:szCs w:val="21"/>
              </w:rPr>
            </w:pPr>
            <w:r>
              <w:rPr>
                <w:rFonts w:cs="Times New Roman"/>
                <w:kern w:val="0"/>
                <w:szCs w:val="21"/>
              </w:rPr>
              <w:t>约</w:t>
            </w:r>
            <w:r>
              <w:rPr>
                <w:rFonts w:cs="Times New Roman"/>
                <w:kern w:val="0"/>
                <w:szCs w:val="21"/>
              </w:rPr>
              <w:t>140</w:t>
            </w:r>
            <w:r>
              <w:rPr>
                <w:rFonts w:cs="Times New Roman"/>
                <w:kern w:val="0"/>
                <w:szCs w:val="21"/>
              </w:rPr>
              <w:t>人</w:t>
            </w:r>
          </w:p>
        </w:tc>
      </w:tr>
      <w:tr w:rsidR="007D1E74" w14:paraId="556351C6" w14:textId="77777777">
        <w:tc>
          <w:tcPr>
            <w:tcW w:w="390" w:type="pct"/>
            <w:vMerge/>
            <w:vAlign w:val="center"/>
          </w:tcPr>
          <w:p w14:paraId="2800206A" w14:textId="77777777" w:rsidR="007D1E74" w:rsidRDefault="007D1E74">
            <w:pPr>
              <w:widowControl/>
              <w:jc w:val="left"/>
              <w:rPr>
                <w:rFonts w:cs="Times New Roman"/>
                <w:kern w:val="0"/>
                <w:szCs w:val="21"/>
              </w:rPr>
            </w:pPr>
          </w:p>
        </w:tc>
        <w:tc>
          <w:tcPr>
            <w:tcW w:w="3854" w:type="pct"/>
            <w:gridSpan w:val="5"/>
            <w:shd w:val="clear" w:color="auto" w:fill="auto"/>
            <w:vAlign w:val="center"/>
          </w:tcPr>
          <w:p w14:paraId="27E84A84" w14:textId="77777777" w:rsidR="007D1E74" w:rsidRDefault="00A95641">
            <w:pPr>
              <w:widowControl/>
              <w:jc w:val="center"/>
              <w:rPr>
                <w:rFonts w:cs="Times New Roman"/>
                <w:kern w:val="0"/>
                <w:szCs w:val="21"/>
              </w:rPr>
            </w:pPr>
            <w:r>
              <w:rPr>
                <w:rFonts w:cs="Times New Roman" w:hint="eastAsia"/>
                <w:kern w:val="0"/>
                <w:szCs w:val="21"/>
              </w:rPr>
              <w:t>每公里</w:t>
            </w:r>
            <w:r>
              <w:rPr>
                <w:rFonts w:cs="Times New Roman"/>
                <w:kern w:val="0"/>
                <w:szCs w:val="21"/>
              </w:rPr>
              <w:t>管段人口数</w:t>
            </w:r>
          </w:p>
        </w:tc>
        <w:tc>
          <w:tcPr>
            <w:tcW w:w="756" w:type="pct"/>
            <w:shd w:val="clear" w:color="auto" w:fill="auto"/>
            <w:vAlign w:val="center"/>
          </w:tcPr>
          <w:p w14:paraId="157F72C9" w14:textId="77777777" w:rsidR="007D1E74" w:rsidRDefault="00A95641">
            <w:pPr>
              <w:widowControl/>
              <w:jc w:val="center"/>
              <w:rPr>
                <w:rFonts w:cs="Times New Roman"/>
                <w:kern w:val="0"/>
                <w:szCs w:val="21"/>
              </w:rPr>
            </w:pPr>
            <w:r>
              <w:rPr>
                <w:rFonts w:cs="Times New Roman" w:hint="eastAsia"/>
                <w:kern w:val="0"/>
                <w:szCs w:val="21"/>
              </w:rPr>
              <w:t>约</w:t>
            </w:r>
            <w:r>
              <w:rPr>
                <w:rFonts w:cs="Times New Roman" w:hint="eastAsia"/>
                <w:kern w:val="0"/>
                <w:szCs w:val="21"/>
              </w:rPr>
              <w:t>2</w:t>
            </w:r>
            <w:r>
              <w:rPr>
                <w:rFonts w:cs="Times New Roman"/>
                <w:kern w:val="0"/>
                <w:szCs w:val="21"/>
              </w:rPr>
              <w:t>9</w:t>
            </w:r>
            <w:r>
              <w:rPr>
                <w:rFonts w:cs="Times New Roman"/>
                <w:kern w:val="0"/>
                <w:szCs w:val="21"/>
              </w:rPr>
              <w:t>人</w:t>
            </w:r>
          </w:p>
        </w:tc>
      </w:tr>
      <w:tr w:rsidR="007D1E74" w14:paraId="557EB82D" w14:textId="77777777">
        <w:tc>
          <w:tcPr>
            <w:tcW w:w="390" w:type="pct"/>
            <w:vMerge/>
            <w:vAlign w:val="center"/>
          </w:tcPr>
          <w:p w14:paraId="5E450114" w14:textId="77777777" w:rsidR="007D1E74" w:rsidRDefault="007D1E74">
            <w:pPr>
              <w:widowControl/>
              <w:jc w:val="left"/>
              <w:rPr>
                <w:rFonts w:cs="Times New Roman"/>
                <w:kern w:val="0"/>
                <w:szCs w:val="21"/>
              </w:rPr>
            </w:pPr>
          </w:p>
        </w:tc>
        <w:tc>
          <w:tcPr>
            <w:tcW w:w="3854" w:type="pct"/>
            <w:gridSpan w:val="5"/>
            <w:shd w:val="clear" w:color="auto" w:fill="auto"/>
            <w:vAlign w:val="center"/>
          </w:tcPr>
          <w:p w14:paraId="1847488A" w14:textId="77777777" w:rsidR="007D1E74" w:rsidRDefault="00A95641">
            <w:pPr>
              <w:widowControl/>
              <w:jc w:val="center"/>
              <w:rPr>
                <w:rFonts w:cs="Times New Roman"/>
                <w:kern w:val="0"/>
                <w:szCs w:val="21"/>
              </w:rPr>
            </w:pPr>
            <w:r>
              <w:rPr>
                <w:rFonts w:cs="Times New Roman" w:hint="eastAsia"/>
                <w:kern w:val="0"/>
                <w:szCs w:val="21"/>
              </w:rPr>
              <w:t>每公里</w:t>
            </w:r>
            <w:r>
              <w:rPr>
                <w:rFonts w:cs="Times New Roman"/>
                <w:kern w:val="0"/>
                <w:szCs w:val="21"/>
              </w:rPr>
              <w:t>管段人口数（最大）</w:t>
            </w:r>
          </w:p>
        </w:tc>
        <w:tc>
          <w:tcPr>
            <w:tcW w:w="756" w:type="pct"/>
            <w:shd w:val="clear" w:color="auto" w:fill="auto"/>
            <w:vAlign w:val="center"/>
          </w:tcPr>
          <w:p w14:paraId="01B69BAC" w14:textId="77777777" w:rsidR="007D1E74" w:rsidRDefault="00A95641">
            <w:pPr>
              <w:widowControl/>
              <w:jc w:val="center"/>
              <w:rPr>
                <w:rFonts w:cs="Times New Roman"/>
                <w:kern w:val="0"/>
                <w:szCs w:val="21"/>
              </w:rPr>
            </w:pPr>
            <w:r>
              <w:rPr>
                <w:rFonts w:cs="Times New Roman"/>
                <w:kern w:val="0"/>
                <w:szCs w:val="21"/>
              </w:rPr>
              <w:t>约</w:t>
            </w:r>
            <w:r>
              <w:rPr>
                <w:rFonts w:cs="Times New Roman"/>
                <w:kern w:val="0"/>
                <w:szCs w:val="21"/>
              </w:rPr>
              <w:t>98</w:t>
            </w:r>
            <w:r>
              <w:rPr>
                <w:rFonts w:cs="Times New Roman"/>
                <w:kern w:val="0"/>
                <w:szCs w:val="21"/>
              </w:rPr>
              <w:t>人</w:t>
            </w:r>
          </w:p>
        </w:tc>
      </w:tr>
      <w:tr w:rsidR="007D1E74" w14:paraId="0B25E351" w14:textId="77777777">
        <w:tc>
          <w:tcPr>
            <w:tcW w:w="390" w:type="pct"/>
            <w:vMerge/>
            <w:vAlign w:val="center"/>
          </w:tcPr>
          <w:p w14:paraId="796C7402" w14:textId="77777777" w:rsidR="007D1E74" w:rsidRDefault="007D1E74">
            <w:pPr>
              <w:widowControl/>
              <w:jc w:val="left"/>
              <w:rPr>
                <w:rFonts w:cs="Times New Roman"/>
                <w:kern w:val="0"/>
                <w:szCs w:val="21"/>
              </w:rPr>
            </w:pPr>
          </w:p>
        </w:tc>
        <w:tc>
          <w:tcPr>
            <w:tcW w:w="3854" w:type="pct"/>
            <w:gridSpan w:val="5"/>
            <w:shd w:val="clear" w:color="auto" w:fill="auto"/>
            <w:vAlign w:val="center"/>
          </w:tcPr>
          <w:p w14:paraId="50AB6384" w14:textId="77777777" w:rsidR="007D1E74" w:rsidRDefault="00A95641">
            <w:pPr>
              <w:widowControl/>
              <w:jc w:val="center"/>
              <w:rPr>
                <w:rFonts w:cs="Times New Roman"/>
                <w:kern w:val="0"/>
                <w:szCs w:val="21"/>
              </w:rPr>
            </w:pPr>
            <w:r>
              <w:rPr>
                <w:rFonts w:cs="Times New Roman"/>
                <w:kern w:val="0"/>
                <w:szCs w:val="21"/>
              </w:rPr>
              <w:t>大气环境敏感程度</w:t>
            </w:r>
            <w:r>
              <w:rPr>
                <w:rFonts w:cs="Times New Roman"/>
                <w:kern w:val="0"/>
                <w:szCs w:val="21"/>
              </w:rPr>
              <w:t>E</w:t>
            </w:r>
            <w:r>
              <w:rPr>
                <w:rFonts w:cs="Times New Roman"/>
                <w:kern w:val="0"/>
                <w:szCs w:val="21"/>
              </w:rPr>
              <w:t>值</w:t>
            </w:r>
          </w:p>
        </w:tc>
        <w:tc>
          <w:tcPr>
            <w:tcW w:w="756" w:type="pct"/>
            <w:shd w:val="clear" w:color="auto" w:fill="auto"/>
            <w:vAlign w:val="center"/>
          </w:tcPr>
          <w:p w14:paraId="5A15A348" w14:textId="77777777" w:rsidR="007D1E74" w:rsidRDefault="00A95641">
            <w:pPr>
              <w:widowControl/>
              <w:jc w:val="center"/>
              <w:rPr>
                <w:rFonts w:cs="Times New Roman"/>
                <w:kern w:val="0"/>
                <w:szCs w:val="21"/>
              </w:rPr>
            </w:pPr>
            <w:r>
              <w:rPr>
                <w:rFonts w:cs="Times New Roman"/>
                <w:kern w:val="0"/>
                <w:szCs w:val="21"/>
              </w:rPr>
              <w:t>E3</w:t>
            </w:r>
          </w:p>
        </w:tc>
      </w:tr>
      <w:tr w:rsidR="007D1E74" w14:paraId="03458117" w14:textId="77777777">
        <w:tc>
          <w:tcPr>
            <w:tcW w:w="390" w:type="pct"/>
            <w:vMerge w:val="restart"/>
            <w:shd w:val="clear" w:color="auto" w:fill="auto"/>
            <w:vAlign w:val="center"/>
          </w:tcPr>
          <w:p w14:paraId="478E4BF4" w14:textId="77777777" w:rsidR="007D1E74" w:rsidRDefault="00A95641">
            <w:pPr>
              <w:widowControl/>
              <w:jc w:val="center"/>
              <w:rPr>
                <w:rFonts w:cs="Times New Roman"/>
                <w:kern w:val="0"/>
                <w:szCs w:val="21"/>
              </w:rPr>
            </w:pPr>
            <w:r>
              <w:rPr>
                <w:rFonts w:cs="Times New Roman"/>
                <w:kern w:val="0"/>
                <w:szCs w:val="21"/>
              </w:rPr>
              <w:t>地表水</w:t>
            </w:r>
          </w:p>
        </w:tc>
        <w:tc>
          <w:tcPr>
            <w:tcW w:w="4610" w:type="pct"/>
            <w:gridSpan w:val="6"/>
            <w:shd w:val="clear" w:color="auto" w:fill="auto"/>
            <w:vAlign w:val="center"/>
          </w:tcPr>
          <w:p w14:paraId="3904ABF4" w14:textId="77777777" w:rsidR="007D1E74" w:rsidRDefault="00A95641">
            <w:pPr>
              <w:widowControl/>
              <w:jc w:val="center"/>
              <w:rPr>
                <w:rFonts w:cs="Times New Roman"/>
                <w:kern w:val="0"/>
                <w:szCs w:val="21"/>
              </w:rPr>
            </w:pPr>
            <w:r>
              <w:rPr>
                <w:rFonts w:cs="Times New Roman"/>
                <w:kern w:val="0"/>
                <w:szCs w:val="21"/>
              </w:rPr>
              <w:t>受纳水体</w:t>
            </w:r>
          </w:p>
        </w:tc>
      </w:tr>
      <w:tr w:rsidR="007D1E74" w14:paraId="77EEEC18" w14:textId="77777777">
        <w:trPr>
          <w:trHeight w:val="70"/>
        </w:trPr>
        <w:tc>
          <w:tcPr>
            <w:tcW w:w="390" w:type="pct"/>
            <w:vMerge/>
            <w:vAlign w:val="center"/>
          </w:tcPr>
          <w:p w14:paraId="1C7613D8" w14:textId="77777777" w:rsidR="007D1E74" w:rsidRDefault="007D1E74">
            <w:pPr>
              <w:widowControl/>
              <w:jc w:val="left"/>
              <w:rPr>
                <w:rFonts w:cs="Times New Roman"/>
                <w:kern w:val="0"/>
                <w:szCs w:val="21"/>
              </w:rPr>
            </w:pPr>
          </w:p>
        </w:tc>
        <w:tc>
          <w:tcPr>
            <w:tcW w:w="425" w:type="pct"/>
            <w:shd w:val="clear" w:color="auto" w:fill="auto"/>
            <w:vAlign w:val="center"/>
          </w:tcPr>
          <w:p w14:paraId="78E3F9B1" w14:textId="77777777" w:rsidR="007D1E74" w:rsidRDefault="00A95641">
            <w:pPr>
              <w:widowControl/>
              <w:jc w:val="center"/>
              <w:rPr>
                <w:rFonts w:cs="Times New Roman"/>
                <w:kern w:val="0"/>
                <w:szCs w:val="21"/>
              </w:rPr>
            </w:pPr>
            <w:r>
              <w:rPr>
                <w:rFonts w:cs="Times New Roman"/>
                <w:kern w:val="0"/>
                <w:szCs w:val="21"/>
              </w:rPr>
              <w:t>序号</w:t>
            </w:r>
          </w:p>
        </w:tc>
        <w:tc>
          <w:tcPr>
            <w:tcW w:w="1424" w:type="pct"/>
            <w:shd w:val="clear" w:color="auto" w:fill="auto"/>
            <w:vAlign w:val="center"/>
          </w:tcPr>
          <w:p w14:paraId="5CEF034B" w14:textId="77777777" w:rsidR="007D1E74" w:rsidRDefault="00A95641">
            <w:pPr>
              <w:widowControl/>
              <w:jc w:val="center"/>
              <w:rPr>
                <w:rFonts w:cs="Times New Roman"/>
                <w:kern w:val="0"/>
                <w:szCs w:val="21"/>
              </w:rPr>
            </w:pPr>
            <w:r>
              <w:rPr>
                <w:rFonts w:cs="Times New Roman"/>
                <w:kern w:val="0"/>
                <w:szCs w:val="21"/>
              </w:rPr>
              <w:t>受纳水体名称</w:t>
            </w:r>
          </w:p>
        </w:tc>
        <w:tc>
          <w:tcPr>
            <w:tcW w:w="1296" w:type="pct"/>
            <w:gridSpan w:val="2"/>
            <w:shd w:val="clear" w:color="auto" w:fill="auto"/>
            <w:vAlign w:val="center"/>
          </w:tcPr>
          <w:p w14:paraId="585E4829" w14:textId="77777777" w:rsidR="007D1E74" w:rsidRDefault="00A95641">
            <w:pPr>
              <w:widowControl/>
              <w:jc w:val="center"/>
              <w:rPr>
                <w:rFonts w:cs="Times New Roman"/>
                <w:kern w:val="0"/>
                <w:szCs w:val="21"/>
              </w:rPr>
            </w:pPr>
            <w:r>
              <w:rPr>
                <w:rFonts w:cs="Times New Roman"/>
                <w:kern w:val="0"/>
                <w:szCs w:val="21"/>
              </w:rPr>
              <w:t>排放点水域环境功能</w:t>
            </w:r>
          </w:p>
        </w:tc>
        <w:tc>
          <w:tcPr>
            <w:tcW w:w="1465" w:type="pct"/>
            <w:gridSpan w:val="2"/>
            <w:shd w:val="clear" w:color="auto" w:fill="auto"/>
            <w:vAlign w:val="center"/>
          </w:tcPr>
          <w:p w14:paraId="340326A9" w14:textId="77777777" w:rsidR="007D1E74" w:rsidRDefault="00A95641">
            <w:pPr>
              <w:widowControl/>
              <w:jc w:val="center"/>
              <w:rPr>
                <w:rFonts w:cs="Times New Roman"/>
                <w:kern w:val="0"/>
                <w:szCs w:val="21"/>
              </w:rPr>
            </w:pPr>
            <w:r>
              <w:rPr>
                <w:rFonts w:cs="Times New Roman"/>
                <w:kern w:val="0"/>
                <w:szCs w:val="21"/>
              </w:rPr>
              <w:t>24h</w:t>
            </w:r>
            <w:r>
              <w:rPr>
                <w:rFonts w:cs="Times New Roman"/>
                <w:kern w:val="0"/>
                <w:szCs w:val="21"/>
              </w:rPr>
              <w:t>内流经范围</w:t>
            </w:r>
            <w:r>
              <w:rPr>
                <w:rFonts w:cs="Times New Roman"/>
                <w:kern w:val="0"/>
                <w:szCs w:val="21"/>
              </w:rPr>
              <w:t>/km</w:t>
            </w:r>
          </w:p>
        </w:tc>
      </w:tr>
      <w:tr w:rsidR="007D1E74" w14:paraId="4616B1E8" w14:textId="77777777">
        <w:tc>
          <w:tcPr>
            <w:tcW w:w="390" w:type="pct"/>
            <w:vMerge/>
            <w:vAlign w:val="center"/>
          </w:tcPr>
          <w:p w14:paraId="23E45898" w14:textId="77777777" w:rsidR="007D1E74" w:rsidRDefault="007D1E74">
            <w:pPr>
              <w:widowControl/>
              <w:jc w:val="left"/>
              <w:rPr>
                <w:rFonts w:cs="Times New Roman"/>
                <w:kern w:val="0"/>
                <w:szCs w:val="21"/>
              </w:rPr>
            </w:pPr>
          </w:p>
        </w:tc>
        <w:tc>
          <w:tcPr>
            <w:tcW w:w="425" w:type="pct"/>
            <w:shd w:val="clear" w:color="auto" w:fill="auto"/>
            <w:vAlign w:val="center"/>
          </w:tcPr>
          <w:p w14:paraId="0A278D13" w14:textId="77777777" w:rsidR="007D1E74" w:rsidRDefault="00A95641">
            <w:pPr>
              <w:widowControl/>
              <w:jc w:val="center"/>
              <w:rPr>
                <w:rFonts w:cs="Times New Roman"/>
                <w:kern w:val="0"/>
                <w:szCs w:val="21"/>
              </w:rPr>
            </w:pPr>
            <w:r>
              <w:rPr>
                <w:rFonts w:cs="Times New Roman" w:hint="eastAsia"/>
                <w:kern w:val="0"/>
                <w:szCs w:val="21"/>
              </w:rPr>
              <w:t>/</w:t>
            </w:r>
          </w:p>
        </w:tc>
        <w:tc>
          <w:tcPr>
            <w:tcW w:w="1424" w:type="pct"/>
            <w:shd w:val="clear" w:color="auto" w:fill="auto"/>
            <w:vAlign w:val="center"/>
          </w:tcPr>
          <w:p w14:paraId="2A5BBAD1" w14:textId="77777777" w:rsidR="007D1E74" w:rsidRDefault="00A95641">
            <w:pPr>
              <w:widowControl/>
              <w:jc w:val="center"/>
              <w:rPr>
                <w:rFonts w:cs="Times New Roman"/>
                <w:kern w:val="0"/>
                <w:szCs w:val="21"/>
              </w:rPr>
            </w:pPr>
            <w:r>
              <w:rPr>
                <w:rFonts w:cs="Times New Roman" w:hint="eastAsia"/>
                <w:kern w:val="0"/>
                <w:szCs w:val="21"/>
              </w:rPr>
              <w:t>/</w:t>
            </w:r>
          </w:p>
        </w:tc>
        <w:tc>
          <w:tcPr>
            <w:tcW w:w="1296" w:type="pct"/>
            <w:gridSpan w:val="2"/>
            <w:shd w:val="clear" w:color="auto" w:fill="auto"/>
            <w:vAlign w:val="center"/>
          </w:tcPr>
          <w:p w14:paraId="1C1A9E26" w14:textId="77777777" w:rsidR="007D1E74" w:rsidRDefault="00A95641">
            <w:pPr>
              <w:widowControl/>
              <w:jc w:val="center"/>
              <w:rPr>
                <w:rFonts w:cs="Times New Roman"/>
                <w:kern w:val="0"/>
                <w:szCs w:val="21"/>
              </w:rPr>
            </w:pPr>
            <w:r>
              <w:rPr>
                <w:rFonts w:cs="Times New Roman" w:hint="eastAsia"/>
                <w:kern w:val="0"/>
                <w:szCs w:val="21"/>
              </w:rPr>
              <w:t>/</w:t>
            </w:r>
          </w:p>
        </w:tc>
        <w:tc>
          <w:tcPr>
            <w:tcW w:w="1465" w:type="pct"/>
            <w:gridSpan w:val="2"/>
            <w:shd w:val="clear" w:color="auto" w:fill="auto"/>
            <w:vAlign w:val="center"/>
          </w:tcPr>
          <w:p w14:paraId="4431D073" w14:textId="77777777" w:rsidR="007D1E74" w:rsidRDefault="00A95641">
            <w:pPr>
              <w:widowControl/>
              <w:jc w:val="center"/>
              <w:rPr>
                <w:rFonts w:cs="Times New Roman"/>
                <w:kern w:val="0"/>
                <w:szCs w:val="21"/>
              </w:rPr>
            </w:pPr>
            <w:r>
              <w:rPr>
                <w:rFonts w:cs="Times New Roman" w:hint="eastAsia"/>
                <w:kern w:val="0"/>
                <w:szCs w:val="21"/>
              </w:rPr>
              <w:t>/</w:t>
            </w:r>
          </w:p>
        </w:tc>
      </w:tr>
      <w:tr w:rsidR="007D1E74" w14:paraId="6C1F4903" w14:textId="77777777">
        <w:tc>
          <w:tcPr>
            <w:tcW w:w="390" w:type="pct"/>
            <w:vMerge/>
            <w:vAlign w:val="center"/>
          </w:tcPr>
          <w:p w14:paraId="6FB3DADC" w14:textId="77777777" w:rsidR="007D1E74" w:rsidRDefault="007D1E74">
            <w:pPr>
              <w:widowControl/>
              <w:jc w:val="left"/>
              <w:rPr>
                <w:rFonts w:cs="Times New Roman"/>
                <w:kern w:val="0"/>
                <w:szCs w:val="21"/>
              </w:rPr>
            </w:pPr>
          </w:p>
        </w:tc>
        <w:tc>
          <w:tcPr>
            <w:tcW w:w="4610" w:type="pct"/>
            <w:gridSpan w:val="6"/>
            <w:shd w:val="clear" w:color="auto" w:fill="auto"/>
            <w:vAlign w:val="center"/>
          </w:tcPr>
          <w:p w14:paraId="61E011FF" w14:textId="77777777" w:rsidR="007D1E74" w:rsidRDefault="00A95641">
            <w:pPr>
              <w:widowControl/>
              <w:jc w:val="center"/>
              <w:rPr>
                <w:rFonts w:cs="Times New Roman"/>
                <w:kern w:val="0"/>
                <w:szCs w:val="21"/>
              </w:rPr>
            </w:pPr>
            <w:r>
              <w:rPr>
                <w:rFonts w:cs="Times New Roman"/>
                <w:kern w:val="0"/>
                <w:szCs w:val="21"/>
              </w:rPr>
              <w:t>内陆水体排放点下游</w:t>
            </w:r>
            <w:r>
              <w:rPr>
                <w:rFonts w:cs="Times New Roman"/>
                <w:kern w:val="0"/>
                <w:szCs w:val="21"/>
              </w:rPr>
              <w:t>10km</w:t>
            </w:r>
            <w:r>
              <w:rPr>
                <w:rFonts w:cs="Times New Roman"/>
                <w:kern w:val="0"/>
                <w:szCs w:val="21"/>
              </w:rPr>
              <w:t>范围内敏感目标</w:t>
            </w:r>
          </w:p>
        </w:tc>
      </w:tr>
      <w:tr w:rsidR="007D1E74" w14:paraId="16DB9B05" w14:textId="77777777">
        <w:tc>
          <w:tcPr>
            <w:tcW w:w="390" w:type="pct"/>
            <w:vMerge/>
            <w:vAlign w:val="center"/>
          </w:tcPr>
          <w:p w14:paraId="0740EF14" w14:textId="77777777" w:rsidR="007D1E74" w:rsidRDefault="007D1E74">
            <w:pPr>
              <w:widowControl/>
              <w:jc w:val="left"/>
              <w:rPr>
                <w:rFonts w:cs="Times New Roman"/>
                <w:kern w:val="0"/>
                <w:szCs w:val="21"/>
              </w:rPr>
            </w:pPr>
          </w:p>
        </w:tc>
        <w:tc>
          <w:tcPr>
            <w:tcW w:w="425" w:type="pct"/>
            <w:shd w:val="clear" w:color="auto" w:fill="auto"/>
            <w:vAlign w:val="center"/>
          </w:tcPr>
          <w:p w14:paraId="612096D3" w14:textId="77777777" w:rsidR="007D1E74" w:rsidRDefault="00A95641">
            <w:pPr>
              <w:widowControl/>
              <w:jc w:val="center"/>
              <w:rPr>
                <w:rFonts w:cs="Times New Roman"/>
                <w:kern w:val="0"/>
                <w:szCs w:val="21"/>
              </w:rPr>
            </w:pPr>
            <w:r>
              <w:rPr>
                <w:rFonts w:cs="Times New Roman"/>
                <w:kern w:val="0"/>
                <w:szCs w:val="21"/>
              </w:rPr>
              <w:t>序号</w:t>
            </w:r>
          </w:p>
        </w:tc>
        <w:tc>
          <w:tcPr>
            <w:tcW w:w="1424" w:type="pct"/>
            <w:shd w:val="clear" w:color="auto" w:fill="auto"/>
            <w:vAlign w:val="center"/>
          </w:tcPr>
          <w:p w14:paraId="3A46FE36" w14:textId="77777777" w:rsidR="007D1E74" w:rsidRDefault="00A95641">
            <w:pPr>
              <w:widowControl/>
              <w:jc w:val="center"/>
              <w:rPr>
                <w:rFonts w:cs="Times New Roman"/>
                <w:kern w:val="0"/>
                <w:szCs w:val="21"/>
              </w:rPr>
            </w:pPr>
            <w:r>
              <w:rPr>
                <w:rFonts w:cs="Times New Roman"/>
                <w:kern w:val="0"/>
                <w:szCs w:val="21"/>
              </w:rPr>
              <w:t>敏感目标名称</w:t>
            </w:r>
          </w:p>
        </w:tc>
        <w:tc>
          <w:tcPr>
            <w:tcW w:w="665" w:type="pct"/>
            <w:shd w:val="clear" w:color="auto" w:fill="auto"/>
            <w:vAlign w:val="center"/>
          </w:tcPr>
          <w:p w14:paraId="50932420" w14:textId="77777777" w:rsidR="007D1E74" w:rsidRDefault="00A95641">
            <w:pPr>
              <w:widowControl/>
              <w:jc w:val="center"/>
              <w:rPr>
                <w:rFonts w:cs="Times New Roman"/>
                <w:kern w:val="0"/>
                <w:szCs w:val="21"/>
              </w:rPr>
            </w:pPr>
            <w:r>
              <w:rPr>
                <w:rFonts w:cs="Times New Roman"/>
                <w:kern w:val="0"/>
                <w:szCs w:val="21"/>
              </w:rPr>
              <w:t>相对方位</w:t>
            </w:r>
          </w:p>
        </w:tc>
        <w:tc>
          <w:tcPr>
            <w:tcW w:w="631" w:type="pct"/>
            <w:shd w:val="clear" w:color="auto" w:fill="auto"/>
            <w:vAlign w:val="center"/>
          </w:tcPr>
          <w:p w14:paraId="37DDB68B" w14:textId="77777777" w:rsidR="007D1E74" w:rsidRDefault="00A95641">
            <w:pPr>
              <w:widowControl/>
              <w:jc w:val="center"/>
              <w:rPr>
                <w:rFonts w:cs="Times New Roman"/>
                <w:kern w:val="0"/>
                <w:szCs w:val="21"/>
              </w:rPr>
            </w:pPr>
            <w:r>
              <w:rPr>
                <w:rFonts w:cs="Times New Roman"/>
                <w:kern w:val="0"/>
                <w:szCs w:val="21"/>
              </w:rPr>
              <w:t>距离</w:t>
            </w:r>
            <w:r>
              <w:rPr>
                <w:rFonts w:cs="Times New Roman"/>
                <w:kern w:val="0"/>
                <w:szCs w:val="21"/>
              </w:rPr>
              <w:t>/m</w:t>
            </w:r>
          </w:p>
        </w:tc>
        <w:tc>
          <w:tcPr>
            <w:tcW w:w="709" w:type="pct"/>
            <w:shd w:val="clear" w:color="auto" w:fill="auto"/>
            <w:vAlign w:val="center"/>
          </w:tcPr>
          <w:p w14:paraId="4FB0C0F2" w14:textId="77777777" w:rsidR="007D1E74" w:rsidRDefault="00A95641">
            <w:pPr>
              <w:widowControl/>
              <w:jc w:val="center"/>
              <w:rPr>
                <w:rFonts w:cs="Times New Roman"/>
                <w:kern w:val="0"/>
                <w:szCs w:val="21"/>
              </w:rPr>
            </w:pPr>
            <w:r>
              <w:rPr>
                <w:rFonts w:cs="Times New Roman"/>
                <w:kern w:val="0"/>
                <w:szCs w:val="21"/>
              </w:rPr>
              <w:t>属性</w:t>
            </w:r>
          </w:p>
        </w:tc>
        <w:tc>
          <w:tcPr>
            <w:tcW w:w="756" w:type="pct"/>
            <w:shd w:val="clear" w:color="auto" w:fill="auto"/>
            <w:vAlign w:val="center"/>
          </w:tcPr>
          <w:p w14:paraId="4AE6E492" w14:textId="77777777" w:rsidR="007D1E74" w:rsidRDefault="00A95641">
            <w:pPr>
              <w:widowControl/>
              <w:jc w:val="center"/>
              <w:rPr>
                <w:rFonts w:cs="Times New Roman"/>
                <w:kern w:val="0"/>
                <w:szCs w:val="21"/>
              </w:rPr>
            </w:pPr>
            <w:r>
              <w:rPr>
                <w:rFonts w:cs="Times New Roman"/>
                <w:kern w:val="0"/>
                <w:szCs w:val="21"/>
              </w:rPr>
              <w:t>人口数</w:t>
            </w:r>
          </w:p>
        </w:tc>
      </w:tr>
      <w:tr w:rsidR="007D1E74" w14:paraId="57922988" w14:textId="77777777">
        <w:tc>
          <w:tcPr>
            <w:tcW w:w="390" w:type="pct"/>
            <w:vMerge/>
            <w:vAlign w:val="center"/>
          </w:tcPr>
          <w:p w14:paraId="01D6CA77" w14:textId="77777777" w:rsidR="007D1E74" w:rsidRDefault="007D1E74">
            <w:pPr>
              <w:widowControl/>
              <w:jc w:val="left"/>
              <w:rPr>
                <w:rFonts w:cs="Times New Roman"/>
                <w:kern w:val="0"/>
                <w:szCs w:val="21"/>
              </w:rPr>
            </w:pPr>
          </w:p>
        </w:tc>
        <w:tc>
          <w:tcPr>
            <w:tcW w:w="425" w:type="pct"/>
            <w:shd w:val="clear" w:color="auto" w:fill="auto"/>
            <w:vAlign w:val="center"/>
          </w:tcPr>
          <w:p w14:paraId="2821DAD3" w14:textId="77777777" w:rsidR="007D1E74" w:rsidRDefault="00A95641">
            <w:pPr>
              <w:widowControl/>
              <w:jc w:val="center"/>
              <w:rPr>
                <w:rFonts w:cs="Times New Roman"/>
                <w:kern w:val="0"/>
                <w:szCs w:val="21"/>
              </w:rPr>
            </w:pPr>
            <w:r>
              <w:rPr>
                <w:rFonts w:cs="Times New Roman"/>
                <w:kern w:val="0"/>
                <w:szCs w:val="21"/>
              </w:rPr>
              <w:t>/</w:t>
            </w:r>
          </w:p>
        </w:tc>
        <w:tc>
          <w:tcPr>
            <w:tcW w:w="1424" w:type="pct"/>
            <w:shd w:val="clear" w:color="auto" w:fill="auto"/>
            <w:vAlign w:val="center"/>
          </w:tcPr>
          <w:p w14:paraId="35D48ED9" w14:textId="77777777" w:rsidR="007D1E74" w:rsidRDefault="00A95641">
            <w:pPr>
              <w:widowControl/>
              <w:jc w:val="center"/>
              <w:rPr>
                <w:rFonts w:cs="Times New Roman"/>
                <w:kern w:val="0"/>
                <w:szCs w:val="21"/>
              </w:rPr>
            </w:pPr>
            <w:r>
              <w:rPr>
                <w:rFonts w:cs="Times New Roman"/>
                <w:kern w:val="0"/>
                <w:szCs w:val="21"/>
              </w:rPr>
              <w:t>无</w:t>
            </w:r>
          </w:p>
        </w:tc>
        <w:tc>
          <w:tcPr>
            <w:tcW w:w="665" w:type="pct"/>
            <w:shd w:val="clear" w:color="auto" w:fill="auto"/>
            <w:vAlign w:val="center"/>
          </w:tcPr>
          <w:p w14:paraId="3678DC2C" w14:textId="77777777" w:rsidR="007D1E74" w:rsidRDefault="00A95641">
            <w:pPr>
              <w:widowControl/>
              <w:jc w:val="center"/>
              <w:rPr>
                <w:rFonts w:cs="Times New Roman"/>
                <w:kern w:val="0"/>
                <w:szCs w:val="21"/>
              </w:rPr>
            </w:pPr>
            <w:r>
              <w:rPr>
                <w:rFonts w:cs="Times New Roman"/>
                <w:kern w:val="0"/>
                <w:szCs w:val="21"/>
              </w:rPr>
              <w:t>/</w:t>
            </w:r>
          </w:p>
        </w:tc>
        <w:tc>
          <w:tcPr>
            <w:tcW w:w="631" w:type="pct"/>
            <w:shd w:val="clear" w:color="auto" w:fill="auto"/>
            <w:vAlign w:val="center"/>
          </w:tcPr>
          <w:p w14:paraId="55A34672" w14:textId="77777777" w:rsidR="007D1E74" w:rsidRDefault="00A95641">
            <w:pPr>
              <w:widowControl/>
              <w:jc w:val="center"/>
              <w:rPr>
                <w:rFonts w:cs="Times New Roman"/>
                <w:kern w:val="0"/>
                <w:szCs w:val="21"/>
              </w:rPr>
            </w:pPr>
            <w:r>
              <w:rPr>
                <w:rFonts w:cs="Times New Roman"/>
                <w:kern w:val="0"/>
                <w:szCs w:val="21"/>
              </w:rPr>
              <w:t>/</w:t>
            </w:r>
          </w:p>
        </w:tc>
        <w:tc>
          <w:tcPr>
            <w:tcW w:w="709" w:type="pct"/>
            <w:shd w:val="clear" w:color="auto" w:fill="auto"/>
            <w:vAlign w:val="center"/>
          </w:tcPr>
          <w:p w14:paraId="73D261AC" w14:textId="77777777" w:rsidR="007D1E74" w:rsidRDefault="00A95641">
            <w:pPr>
              <w:widowControl/>
              <w:jc w:val="center"/>
              <w:rPr>
                <w:rFonts w:cs="Times New Roman"/>
                <w:kern w:val="0"/>
                <w:szCs w:val="21"/>
              </w:rPr>
            </w:pPr>
            <w:r>
              <w:rPr>
                <w:rFonts w:cs="Times New Roman"/>
                <w:kern w:val="0"/>
                <w:szCs w:val="21"/>
              </w:rPr>
              <w:t>/</w:t>
            </w:r>
          </w:p>
        </w:tc>
        <w:tc>
          <w:tcPr>
            <w:tcW w:w="756" w:type="pct"/>
            <w:shd w:val="clear" w:color="auto" w:fill="auto"/>
            <w:vAlign w:val="center"/>
          </w:tcPr>
          <w:p w14:paraId="68F9F0A7" w14:textId="77777777" w:rsidR="007D1E74" w:rsidRDefault="00A95641">
            <w:pPr>
              <w:widowControl/>
              <w:jc w:val="center"/>
              <w:rPr>
                <w:rFonts w:cs="Times New Roman"/>
                <w:kern w:val="0"/>
                <w:szCs w:val="21"/>
              </w:rPr>
            </w:pPr>
            <w:r>
              <w:rPr>
                <w:rFonts w:cs="Times New Roman"/>
                <w:kern w:val="0"/>
                <w:szCs w:val="21"/>
              </w:rPr>
              <w:t>/</w:t>
            </w:r>
          </w:p>
        </w:tc>
      </w:tr>
      <w:tr w:rsidR="007D1E74" w14:paraId="0A511414" w14:textId="77777777">
        <w:tc>
          <w:tcPr>
            <w:tcW w:w="390" w:type="pct"/>
            <w:vMerge/>
            <w:vAlign w:val="center"/>
          </w:tcPr>
          <w:p w14:paraId="1D5031B5" w14:textId="77777777" w:rsidR="007D1E74" w:rsidRDefault="007D1E74">
            <w:pPr>
              <w:widowControl/>
              <w:jc w:val="left"/>
              <w:rPr>
                <w:rFonts w:cs="Times New Roman"/>
                <w:kern w:val="0"/>
                <w:szCs w:val="21"/>
              </w:rPr>
            </w:pPr>
          </w:p>
        </w:tc>
        <w:tc>
          <w:tcPr>
            <w:tcW w:w="3854" w:type="pct"/>
            <w:gridSpan w:val="5"/>
            <w:shd w:val="clear" w:color="auto" w:fill="auto"/>
            <w:vAlign w:val="center"/>
          </w:tcPr>
          <w:p w14:paraId="288FA46D" w14:textId="77777777" w:rsidR="007D1E74" w:rsidRDefault="00A95641">
            <w:pPr>
              <w:widowControl/>
              <w:jc w:val="center"/>
              <w:rPr>
                <w:rFonts w:cs="Times New Roman"/>
                <w:kern w:val="0"/>
                <w:szCs w:val="21"/>
              </w:rPr>
            </w:pPr>
            <w:r>
              <w:rPr>
                <w:rFonts w:cs="Times New Roman"/>
                <w:kern w:val="0"/>
                <w:szCs w:val="21"/>
              </w:rPr>
              <w:t>地表水环境敏感程度</w:t>
            </w:r>
            <w:r>
              <w:rPr>
                <w:rFonts w:cs="Times New Roman"/>
                <w:kern w:val="0"/>
                <w:szCs w:val="21"/>
              </w:rPr>
              <w:t>E</w:t>
            </w:r>
            <w:r>
              <w:rPr>
                <w:rFonts w:cs="Times New Roman"/>
                <w:kern w:val="0"/>
                <w:szCs w:val="21"/>
              </w:rPr>
              <w:t>值</w:t>
            </w:r>
          </w:p>
        </w:tc>
        <w:tc>
          <w:tcPr>
            <w:tcW w:w="756" w:type="pct"/>
            <w:shd w:val="clear" w:color="auto" w:fill="auto"/>
            <w:vAlign w:val="center"/>
          </w:tcPr>
          <w:p w14:paraId="29A3C1DD" w14:textId="77777777" w:rsidR="007D1E74" w:rsidRDefault="00A95641">
            <w:pPr>
              <w:widowControl/>
              <w:jc w:val="center"/>
              <w:rPr>
                <w:rFonts w:cs="Times New Roman"/>
                <w:kern w:val="0"/>
                <w:szCs w:val="21"/>
              </w:rPr>
            </w:pPr>
            <w:r>
              <w:rPr>
                <w:rFonts w:cs="Times New Roman" w:hint="eastAsia"/>
                <w:kern w:val="0"/>
                <w:szCs w:val="21"/>
              </w:rPr>
              <w:t>/</w:t>
            </w:r>
          </w:p>
        </w:tc>
      </w:tr>
      <w:tr w:rsidR="007D1E74" w14:paraId="3B59F4AD" w14:textId="77777777">
        <w:tc>
          <w:tcPr>
            <w:tcW w:w="390" w:type="pct"/>
            <w:vMerge w:val="restart"/>
            <w:shd w:val="clear" w:color="auto" w:fill="auto"/>
            <w:vAlign w:val="center"/>
          </w:tcPr>
          <w:p w14:paraId="637C001B" w14:textId="77777777" w:rsidR="007D1E74" w:rsidRDefault="00A95641">
            <w:pPr>
              <w:widowControl/>
              <w:jc w:val="center"/>
              <w:rPr>
                <w:rFonts w:cs="Times New Roman"/>
                <w:kern w:val="0"/>
                <w:szCs w:val="21"/>
              </w:rPr>
            </w:pPr>
            <w:r>
              <w:rPr>
                <w:rFonts w:cs="Times New Roman"/>
                <w:kern w:val="0"/>
                <w:szCs w:val="21"/>
              </w:rPr>
              <w:t>地下水</w:t>
            </w:r>
          </w:p>
        </w:tc>
        <w:tc>
          <w:tcPr>
            <w:tcW w:w="425" w:type="pct"/>
            <w:shd w:val="clear" w:color="auto" w:fill="auto"/>
            <w:vAlign w:val="center"/>
          </w:tcPr>
          <w:p w14:paraId="271CF888" w14:textId="77777777" w:rsidR="007D1E74" w:rsidRDefault="00A95641">
            <w:pPr>
              <w:widowControl/>
              <w:jc w:val="center"/>
              <w:rPr>
                <w:rFonts w:cs="Times New Roman"/>
                <w:kern w:val="0"/>
                <w:szCs w:val="21"/>
              </w:rPr>
            </w:pPr>
            <w:r>
              <w:rPr>
                <w:rFonts w:cs="Times New Roman"/>
                <w:kern w:val="0"/>
                <w:szCs w:val="21"/>
              </w:rPr>
              <w:t>序号</w:t>
            </w:r>
          </w:p>
        </w:tc>
        <w:tc>
          <w:tcPr>
            <w:tcW w:w="1424" w:type="pct"/>
            <w:shd w:val="clear" w:color="auto" w:fill="auto"/>
            <w:vAlign w:val="center"/>
          </w:tcPr>
          <w:p w14:paraId="1D774264" w14:textId="77777777" w:rsidR="007D1E74" w:rsidRDefault="00A95641">
            <w:pPr>
              <w:widowControl/>
              <w:jc w:val="center"/>
              <w:rPr>
                <w:rFonts w:cs="Times New Roman"/>
                <w:kern w:val="0"/>
                <w:szCs w:val="21"/>
              </w:rPr>
            </w:pPr>
            <w:r>
              <w:rPr>
                <w:rFonts w:cs="Times New Roman"/>
                <w:kern w:val="0"/>
                <w:szCs w:val="21"/>
              </w:rPr>
              <w:t>环境敏感区名称</w:t>
            </w:r>
          </w:p>
        </w:tc>
        <w:tc>
          <w:tcPr>
            <w:tcW w:w="665" w:type="pct"/>
            <w:shd w:val="clear" w:color="auto" w:fill="auto"/>
            <w:vAlign w:val="center"/>
          </w:tcPr>
          <w:p w14:paraId="033AA6A9" w14:textId="77777777" w:rsidR="007D1E74" w:rsidRDefault="00A95641">
            <w:pPr>
              <w:widowControl/>
              <w:jc w:val="center"/>
              <w:rPr>
                <w:rFonts w:cs="Times New Roman"/>
                <w:kern w:val="0"/>
                <w:szCs w:val="21"/>
              </w:rPr>
            </w:pPr>
            <w:r>
              <w:rPr>
                <w:rFonts w:cs="Times New Roman"/>
                <w:kern w:val="0"/>
                <w:szCs w:val="21"/>
              </w:rPr>
              <w:t>环境敏感特征</w:t>
            </w:r>
          </w:p>
        </w:tc>
        <w:tc>
          <w:tcPr>
            <w:tcW w:w="631" w:type="pct"/>
            <w:shd w:val="clear" w:color="auto" w:fill="auto"/>
            <w:vAlign w:val="center"/>
          </w:tcPr>
          <w:p w14:paraId="7C185AF0" w14:textId="77777777" w:rsidR="007D1E74" w:rsidRDefault="00A95641">
            <w:pPr>
              <w:widowControl/>
              <w:jc w:val="center"/>
              <w:rPr>
                <w:rFonts w:cs="Times New Roman"/>
                <w:kern w:val="0"/>
                <w:szCs w:val="21"/>
              </w:rPr>
            </w:pPr>
            <w:r>
              <w:rPr>
                <w:rFonts w:cs="Times New Roman"/>
                <w:kern w:val="0"/>
                <w:szCs w:val="21"/>
              </w:rPr>
              <w:t>水质目标</w:t>
            </w:r>
          </w:p>
        </w:tc>
        <w:tc>
          <w:tcPr>
            <w:tcW w:w="709" w:type="pct"/>
            <w:shd w:val="clear" w:color="auto" w:fill="auto"/>
            <w:vAlign w:val="center"/>
          </w:tcPr>
          <w:p w14:paraId="4D659636" w14:textId="77777777" w:rsidR="007D1E74" w:rsidRDefault="00A95641">
            <w:pPr>
              <w:widowControl/>
              <w:jc w:val="center"/>
              <w:rPr>
                <w:rFonts w:cs="Times New Roman"/>
                <w:kern w:val="0"/>
                <w:szCs w:val="21"/>
              </w:rPr>
            </w:pPr>
            <w:r>
              <w:rPr>
                <w:rFonts w:cs="Times New Roman"/>
                <w:kern w:val="0"/>
                <w:szCs w:val="21"/>
              </w:rPr>
              <w:t>包气带防污性能</w:t>
            </w:r>
          </w:p>
        </w:tc>
        <w:tc>
          <w:tcPr>
            <w:tcW w:w="756" w:type="pct"/>
            <w:shd w:val="clear" w:color="auto" w:fill="auto"/>
            <w:vAlign w:val="center"/>
          </w:tcPr>
          <w:p w14:paraId="4D406B1C" w14:textId="77777777" w:rsidR="007D1E74" w:rsidRDefault="00A95641">
            <w:pPr>
              <w:widowControl/>
              <w:jc w:val="center"/>
              <w:rPr>
                <w:rFonts w:cs="Times New Roman"/>
                <w:kern w:val="0"/>
                <w:szCs w:val="21"/>
              </w:rPr>
            </w:pPr>
            <w:r>
              <w:rPr>
                <w:rFonts w:cs="Times New Roman"/>
                <w:kern w:val="0"/>
                <w:szCs w:val="21"/>
              </w:rPr>
              <w:t>与下游厂界距离</w:t>
            </w:r>
            <w:r>
              <w:rPr>
                <w:rFonts w:cs="Times New Roman"/>
                <w:kern w:val="0"/>
                <w:szCs w:val="21"/>
              </w:rPr>
              <w:t>/m</w:t>
            </w:r>
          </w:p>
        </w:tc>
      </w:tr>
      <w:tr w:rsidR="007D1E74" w14:paraId="77BCE53A" w14:textId="77777777">
        <w:tc>
          <w:tcPr>
            <w:tcW w:w="390" w:type="pct"/>
            <w:vMerge/>
            <w:vAlign w:val="center"/>
          </w:tcPr>
          <w:p w14:paraId="050C7315" w14:textId="77777777" w:rsidR="007D1E74" w:rsidRDefault="007D1E74">
            <w:pPr>
              <w:widowControl/>
              <w:jc w:val="left"/>
              <w:rPr>
                <w:rFonts w:cs="Times New Roman"/>
                <w:kern w:val="0"/>
                <w:szCs w:val="21"/>
              </w:rPr>
            </w:pPr>
          </w:p>
        </w:tc>
        <w:tc>
          <w:tcPr>
            <w:tcW w:w="425" w:type="pct"/>
            <w:shd w:val="clear" w:color="auto" w:fill="auto"/>
            <w:vAlign w:val="center"/>
          </w:tcPr>
          <w:p w14:paraId="49A7A520" w14:textId="77777777" w:rsidR="007D1E74" w:rsidRDefault="00A95641">
            <w:pPr>
              <w:widowControl/>
              <w:jc w:val="center"/>
              <w:rPr>
                <w:rFonts w:cs="Times New Roman"/>
                <w:kern w:val="0"/>
                <w:szCs w:val="21"/>
              </w:rPr>
            </w:pPr>
            <w:r>
              <w:rPr>
                <w:rFonts w:cs="Times New Roman"/>
                <w:kern w:val="0"/>
                <w:szCs w:val="21"/>
              </w:rPr>
              <w:t>1</w:t>
            </w:r>
          </w:p>
        </w:tc>
        <w:tc>
          <w:tcPr>
            <w:tcW w:w="1424" w:type="pct"/>
            <w:shd w:val="clear" w:color="auto" w:fill="auto"/>
            <w:vAlign w:val="center"/>
          </w:tcPr>
          <w:p w14:paraId="3F7694D1" w14:textId="77777777" w:rsidR="007D1E74" w:rsidRDefault="00A95641">
            <w:pPr>
              <w:widowControl/>
              <w:jc w:val="center"/>
              <w:rPr>
                <w:rFonts w:cs="Times New Roman"/>
                <w:kern w:val="0"/>
                <w:szCs w:val="21"/>
              </w:rPr>
            </w:pPr>
            <w:r>
              <w:rPr>
                <w:rFonts w:cs="Times New Roman"/>
                <w:kern w:val="0"/>
                <w:szCs w:val="21"/>
              </w:rPr>
              <w:t>分散式居民饮用水</w:t>
            </w:r>
          </w:p>
        </w:tc>
        <w:tc>
          <w:tcPr>
            <w:tcW w:w="665" w:type="pct"/>
            <w:shd w:val="clear" w:color="auto" w:fill="auto"/>
            <w:vAlign w:val="center"/>
          </w:tcPr>
          <w:p w14:paraId="4337E7BF" w14:textId="77777777" w:rsidR="007D1E74" w:rsidRDefault="00A95641">
            <w:pPr>
              <w:widowControl/>
              <w:jc w:val="center"/>
              <w:rPr>
                <w:rFonts w:cs="Times New Roman"/>
                <w:kern w:val="0"/>
                <w:szCs w:val="21"/>
              </w:rPr>
            </w:pPr>
            <w:r>
              <w:rPr>
                <w:rFonts w:cs="Times New Roman"/>
                <w:kern w:val="0"/>
                <w:szCs w:val="21"/>
              </w:rPr>
              <w:t>较敏感</w:t>
            </w:r>
          </w:p>
        </w:tc>
        <w:tc>
          <w:tcPr>
            <w:tcW w:w="631" w:type="pct"/>
            <w:shd w:val="clear" w:color="auto" w:fill="auto"/>
            <w:vAlign w:val="center"/>
          </w:tcPr>
          <w:p w14:paraId="52C271B6" w14:textId="77777777" w:rsidR="007D1E74" w:rsidRDefault="00A95641">
            <w:pPr>
              <w:widowControl/>
              <w:jc w:val="center"/>
              <w:rPr>
                <w:rFonts w:cs="Times New Roman"/>
                <w:kern w:val="0"/>
                <w:szCs w:val="21"/>
              </w:rPr>
            </w:pPr>
            <w:r>
              <w:rPr>
                <w:rFonts w:cs="Times New Roman"/>
                <w:kern w:val="0"/>
                <w:szCs w:val="21"/>
              </w:rPr>
              <w:t>III</w:t>
            </w:r>
            <w:r>
              <w:rPr>
                <w:rFonts w:cs="Times New Roman"/>
                <w:kern w:val="0"/>
                <w:szCs w:val="21"/>
              </w:rPr>
              <w:t>类</w:t>
            </w:r>
          </w:p>
        </w:tc>
        <w:tc>
          <w:tcPr>
            <w:tcW w:w="709" w:type="pct"/>
            <w:shd w:val="clear" w:color="auto" w:fill="auto"/>
            <w:vAlign w:val="center"/>
          </w:tcPr>
          <w:p w14:paraId="08913F78" w14:textId="77777777" w:rsidR="007D1E74" w:rsidRDefault="00A95641">
            <w:pPr>
              <w:widowControl/>
              <w:jc w:val="center"/>
              <w:rPr>
                <w:rFonts w:cs="Times New Roman"/>
                <w:kern w:val="0"/>
                <w:szCs w:val="21"/>
              </w:rPr>
            </w:pPr>
            <w:r>
              <w:rPr>
                <w:rFonts w:cs="Times New Roman"/>
                <w:kern w:val="0"/>
                <w:szCs w:val="21"/>
              </w:rPr>
              <w:t>D1</w:t>
            </w:r>
          </w:p>
        </w:tc>
        <w:tc>
          <w:tcPr>
            <w:tcW w:w="756" w:type="pct"/>
            <w:shd w:val="clear" w:color="auto" w:fill="auto"/>
            <w:vAlign w:val="center"/>
          </w:tcPr>
          <w:p w14:paraId="473C84BB" w14:textId="77777777" w:rsidR="007D1E74" w:rsidRDefault="00A95641">
            <w:pPr>
              <w:widowControl/>
              <w:jc w:val="center"/>
              <w:rPr>
                <w:rFonts w:cs="Times New Roman"/>
                <w:kern w:val="0"/>
                <w:szCs w:val="21"/>
              </w:rPr>
            </w:pPr>
            <w:r>
              <w:rPr>
                <w:rFonts w:cs="Times New Roman"/>
                <w:kern w:val="0"/>
                <w:szCs w:val="21"/>
              </w:rPr>
              <w:t>3</w:t>
            </w:r>
            <w:r>
              <w:rPr>
                <w:rFonts w:cs="Times New Roman" w:hint="eastAsia"/>
                <w:kern w:val="0"/>
                <w:szCs w:val="21"/>
              </w:rPr>
              <w:t>~</w:t>
            </w:r>
            <w:r>
              <w:rPr>
                <w:rFonts w:cs="Times New Roman"/>
                <w:kern w:val="0"/>
                <w:szCs w:val="21"/>
              </w:rPr>
              <w:t>200</w:t>
            </w:r>
          </w:p>
        </w:tc>
      </w:tr>
      <w:tr w:rsidR="007D1E74" w14:paraId="3D1C4C5D" w14:textId="77777777">
        <w:tc>
          <w:tcPr>
            <w:tcW w:w="390" w:type="pct"/>
            <w:vMerge/>
            <w:vAlign w:val="center"/>
          </w:tcPr>
          <w:p w14:paraId="24B2E678" w14:textId="77777777" w:rsidR="007D1E74" w:rsidRDefault="007D1E74">
            <w:pPr>
              <w:widowControl/>
              <w:jc w:val="left"/>
              <w:rPr>
                <w:rFonts w:cs="Times New Roman"/>
                <w:kern w:val="0"/>
                <w:szCs w:val="21"/>
              </w:rPr>
            </w:pPr>
          </w:p>
        </w:tc>
        <w:tc>
          <w:tcPr>
            <w:tcW w:w="3854" w:type="pct"/>
            <w:gridSpan w:val="5"/>
            <w:shd w:val="clear" w:color="auto" w:fill="auto"/>
            <w:vAlign w:val="center"/>
          </w:tcPr>
          <w:p w14:paraId="7E4061EE" w14:textId="77777777" w:rsidR="007D1E74" w:rsidRDefault="00A95641">
            <w:pPr>
              <w:widowControl/>
              <w:jc w:val="center"/>
              <w:rPr>
                <w:rFonts w:cs="Times New Roman"/>
                <w:kern w:val="0"/>
                <w:szCs w:val="21"/>
              </w:rPr>
            </w:pPr>
            <w:r>
              <w:rPr>
                <w:rFonts w:cs="Times New Roman"/>
                <w:kern w:val="0"/>
                <w:szCs w:val="21"/>
              </w:rPr>
              <w:t>地下水环境敏感程度</w:t>
            </w:r>
            <w:r>
              <w:rPr>
                <w:rFonts w:cs="Times New Roman"/>
                <w:kern w:val="0"/>
                <w:szCs w:val="21"/>
              </w:rPr>
              <w:t>E</w:t>
            </w:r>
            <w:r>
              <w:rPr>
                <w:rFonts w:cs="Times New Roman"/>
                <w:kern w:val="0"/>
                <w:szCs w:val="21"/>
              </w:rPr>
              <w:t>值</w:t>
            </w:r>
          </w:p>
        </w:tc>
        <w:tc>
          <w:tcPr>
            <w:tcW w:w="756" w:type="pct"/>
            <w:shd w:val="clear" w:color="auto" w:fill="auto"/>
            <w:vAlign w:val="center"/>
          </w:tcPr>
          <w:p w14:paraId="06F9ED96" w14:textId="77777777" w:rsidR="007D1E74" w:rsidRDefault="00A95641">
            <w:pPr>
              <w:widowControl/>
              <w:jc w:val="center"/>
              <w:rPr>
                <w:rFonts w:cs="Times New Roman"/>
                <w:kern w:val="0"/>
                <w:szCs w:val="21"/>
              </w:rPr>
            </w:pPr>
            <w:r>
              <w:rPr>
                <w:rFonts w:cs="Times New Roman"/>
                <w:kern w:val="0"/>
                <w:szCs w:val="21"/>
              </w:rPr>
              <w:t>E1</w:t>
            </w:r>
          </w:p>
        </w:tc>
      </w:tr>
    </w:tbl>
    <w:p w14:paraId="01AA6075" w14:textId="77777777" w:rsidR="007D1E74" w:rsidRDefault="00A95641">
      <w:pPr>
        <w:pStyle w:val="a8"/>
      </w:pPr>
      <w:r>
        <w:rPr>
          <w:rFonts w:hint="eastAsia"/>
        </w:rPr>
        <w:t>环境风险潜势初判</w:t>
      </w:r>
    </w:p>
    <w:p w14:paraId="004325B9" w14:textId="77777777" w:rsidR="007D1E74" w:rsidRDefault="00A95641">
      <w:pPr>
        <w:pStyle w:val="a9"/>
      </w:pPr>
      <w:r>
        <w:rPr>
          <w:rFonts w:hint="eastAsia"/>
        </w:rPr>
        <w:t>危险物质及工艺系统危险性（</w:t>
      </w:r>
      <w:r>
        <w:rPr>
          <w:rFonts w:hint="eastAsia"/>
        </w:rPr>
        <w:t>P</w:t>
      </w:r>
      <w:r>
        <w:rPr>
          <w:rFonts w:hint="eastAsia"/>
        </w:rPr>
        <w:t>）的分级</w:t>
      </w:r>
    </w:p>
    <w:p w14:paraId="2B0AED0C" w14:textId="77777777" w:rsidR="007D1E74" w:rsidRDefault="00A95641">
      <w:pPr>
        <w:pStyle w:val="aa"/>
      </w:pPr>
      <w:r>
        <w:rPr>
          <w:rFonts w:hint="eastAsia"/>
        </w:rPr>
        <w:t>危险物质数量与临界量比值（</w:t>
      </w:r>
      <w:r>
        <w:rPr>
          <w:rFonts w:hint="eastAsia"/>
          <w:i/>
        </w:rPr>
        <w:t>Q</w:t>
      </w:r>
      <w:r>
        <w:rPr>
          <w:rFonts w:hint="eastAsia"/>
        </w:rPr>
        <w:t>）</w:t>
      </w:r>
    </w:p>
    <w:p w14:paraId="5D34B0BB" w14:textId="77777777" w:rsidR="007D1E74" w:rsidRDefault="00A95641">
      <w:pPr>
        <w:pStyle w:val="-1"/>
        <w:ind w:firstLine="480"/>
      </w:pPr>
      <w:r>
        <w:rPr>
          <w:rFonts w:hint="eastAsia"/>
        </w:rPr>
        <w:t>计算所涉及的每种危险物质在厂界内的最大存在总量与其在《建设项目环境风险评价技术导则》（</w:t>
      </w:r>
      <w:r>
        <w:rPr>
          <w:rFonts w:hint="eastAsia"/>
        </w:rPr>
        <w:t>HJ169-2018</w:t>
      </w:r>
      <w:r>
        <w:rPr>
          <w:rFonts w:hint="eastAsia"/>
        </w:rPr>
        <w:t>）附录</w:t>
      </w:r>
      <w:r>
        <w:rPr>
          <w:rFonts w:hint="eastAsia"/>
        </w:rPr>
        <w:t>B</w:t>
      </w:r>
      <w:r>
        <w:rPr>
          <w:rFonts w:hint="eastAsia"/>
        </w:rPr>
        <w:t>中对应临界量的比值</w:t>
      </w:r>
      <w:r>
        <w:rPr>
          <w:rFonts w:hint="eastAsia"/>
          <w:i/>
          <w:iCs/>
        </w:rPr>
        <w:t>Q</w:t>
      </w:r>
      <w:r>
        <w:rPr>
          <w:rFonts w:hint="eastAsia"/>
        </w:rPr>
        <w:t>。在不同厂区的同一种物质，按其在厂界内的最大存在总量计算。</w:t>
      </w:r>
    </w:p>
    <w:p w14:paraId="496CDB89" w14:textId="77777777" w:rsidR="007D1E74" w:rsidRDefault="00A95641">
      <w:pPr>
        <w:pStyle w:val="-1"/>
        <w:ind w:firstLine="480"/>
      </w:pPr>
      <w:r>
        <w:rPr>
          <w:rFonts w:hint="eastAsia"/>
        </w:rPr>
        <w:t>当只涉及一种危险物质时，计算该物质的总量与其临界量比值，即为</w:t>
      </w:r>
      <w:r>
        <w:rPr>
          <w:rFonts w:hint="eastAsia"/>
          <w:i/>
          <w:iCs/>
        </w:rPr>
        <w:t>Q</w:t>
      </w:r>
      <w:r>
        <w:rPr>
          <w:rFonts w:hint="eastAsia"/>
        </w:rPr>
        <w:t>；</w:t>
      </w:r>
    </w:p>
    <w:p w14:paraId="702EFC4B" w14:textId="77777777" w:rsidR="007D1E74" w:rsidRDefault="00A95641">
      <w:pPr>
        <w:pStyle w:val="-1"/>
        <w:ind w:firstLine="480"/>
      </w:pPr>
      <w:r>
        <w:rPr>
          <w:rFonts w:hint="eastAsia"/>
        </w:rPr>
        <w:t>当存在多种危险物质时，则按下式计算物质总量与其临界量比值（</w:t>
      </w:r>
      <w:r>
        <w:rPr>
          <w:rFonts w:hint="eastAsia"/>
          <w:i/>
          <w:iCs/>
        </w:rPr>
        <w:t>Q</w:t>
      </w:r>
      <w:r>
        <w:rPr>
          <w:rFonts w:hint="eastAsia"/>
        </w:rPr>
        <w:t>）：</w:t>
      </w:r>
    </w:p>
    <w:p w14:paraId="5591CE2B" w14:textId="77777777" w:rsidR="007D1E74" w:rsidRDefault="00A95641">
      <w:pPr>
        <w:spacing w:line="360" w:lineRule="auto"/>
        <w:jc w:val="center"/>
        <w:rPr>
          <w:sz w:val="24"/>
          <w:szCs w:val="24"/>
        </w:rPr>
      </w:pPr>
      <w:r>
        <w:rPr>
          <w:position w:val="-30"/>
        </w:rPr>
        <w:object w:dxaOrig="2010" w:dyaOrig="720" w14:anchorId="4AE44ED8">
          <v:shape id="_x0000_i1029" type="#_x0000_t75" style="width:100.5pt;height:36pt" o:ole="">
            <v:imagedata r:id="rId167" o:title=""/>
          </v:shape>
          <o:OLEObject Type="Embed" ProgID="Equation.DSMT4" ShapeID="_x0000_i1029" DrawAspect="Content" ObjectID="_1710238127" r:id="rId168"/>
        </w:object>
      </w:r>
    </w:p>
    <w:p w14:paraId="559F2A73" w14:textId="77777777" w:rsidR="007D1E74" w:rsidRDefault="00A95641">
      <w:pPr>
        <w:spacing w:line="360" w:lineRule="auto"/>
        <w:ind w:firstLineChars="200" w:firstLine="480"/>
        <w:rPr>
          <w:i/>
          <w:sz w:val="24"/>
        </w:rPr>
      </w:pPr>
      <w:r>
        <w:rPr>
          <w:rFonts w:hint="eastAsia"/>
          <w:sz w:val="24"/>
        </w:rPr>
        <w:t>式中：</w:t>
      </w:r>
      <w:r>
        <w:rPr>
          <w:i/>
          <w:sz w:val="24"/>
        </w:rPr>
        <w:t>q</w:t>
      </w:r>
      <w:r>
        <w:rPr>
          <w:sz w:val="24"/>
          <w:vertAlign w:val="subscript"/>
        </w:rPr>
        <w:t>1</w:t>
      </w:r>
      <w:r>
        <w:rPr>
          <w:rFonts w:hint="eastAsia"/>
          <w:sz w:val="24"/>
        </w:rPr>
        <w:t>，</w:t>
      </w:r>
      <w:r>
        <w:rPr>
          <w:i/>
          <w:sz w:val="24"/>
        </w:rPr>
        <w:t>q</w:t>
      </w:r>
      <w:r>
        <w:rPr>
          <w:sz w:val="24"/>
          <w:vertAlign w:val="subscript"/>
        </w:rPr>
        <w:t>2</w:t>
      </w:r>
      <w:r>
        <w:rPr>
          <w:rFonts w:hint="eastAsia"/>
          <w:sz w:val="24"/>
        </w:rPr>
        <w:t>，</w:t>
      </w:r>
      <w:r>
        <w:rPr>
          <w:rFonts w:cstheme="minorHAnsi"/>
          <w:sz w:val="24"/>
        </w:rPr>
        <w:t>···</w:t>
      </w:r>
      <w:r>
        <w:rPr>
          <w:rFonts w:cstheme="minorHAnsi"/>
          <w:sz w:val="24"/>
        </w:rPr>
        <w:t>，</w:t>
      </w:r>
      <w:r>
        <w:rPr>
          <w:i/>
          <w:sz w:val="24"/>
        </w:rPr>
        <w:t>q</w:t>
      </w:r>
      <w:r>
        <w:rPr>
          <w:i/>
          <w:sz w:val="24"/>
          <w:vertAlign w:val="subscript"/>
        </w:rPr>
        <w:t>n</w:t>
      </w:r>
      <w:r>
        <w:rPr>
          <w:sz w:val="24"/>
        </w:rPr>
        <w:t>——</w:t>
      </w:r>
      <w:r>
        <w:rPr>
          <w:rFonts w:hint="eastAsia"/>
          <w:sz w:val="24"/>
        </w:rPr>
        <w:t>每种危险物质的最大存在总量，</w:t>
      </w:r>
      <w:r>
        <w:rPr>
          <w:rFonts w:hint="eastAsia"/>
          <w:sz w:val="24"/>
        </w:rPr>
        <w:t>t</w:t>
      </w:r>
      <w:r>
        <w:rPr>
          <w:rFonts w:hint="eastAsia"/>
          <w:sz w:val="24"/>
        </w:rPr>
        <w:t>；</w:t>
      </w:r>
    </w:p>
    <w:p w14:paraId="562C6E05" w14:textId="77777777" w:rsidR="007D1E74" w:rsidRDefault="00A95641">
      <w:pPr>
        <w:spacing w:line="360" w:lineRule="auto"/>
        <w:ind w:firstLineChars="500" w:firstLine="1200"/>
        <w:rPr>
          <w:sz w:val="24"/>
        </w:rPr>
      </w:pPr>
      <w:r>
        <w:rPr>
          <w:i/>
          <w:sz w:val="24"/>
        </w:rPr>
        <w:t>Q</w:t>
      </w:r>
      <w:r>
        <w:rPr>
          <w:sz w:val="24"/>
          <w:vertAlign w:val="subscript"/>
        </w:rPr>
        <w:t>1</w:t>
      </w:r>
      <w:r>
        <w:rPr>
          <w:rFonts w:hint="eastAsia"/>
          <w:sz w:val="24"/>
        </w:rPr>
        <w:t>，</w:t>
      </w:r>
      <w:r>
        <w:rPr>
          <w:i/>
          <w:sz w:val="24"/>
        </w:rPr>
        <w:t>Q</w:t>
      </w:r>
      <w:r>
        <w:rPr>
          <w:sz w:val="24"/>
          <w:vertAlign w:val="subscript"/>
        </w:rPr>
        <w:t>2</w:t>
      </w:r>
      <w:r>
        <w:rPr>
          <w:rFonts w:hint="eastAsia"/>
          <w:sz w:val="24"/>
        </w:rPr>
        <w:t>，</w:t>
      </w:r>
      <w:r>
        <w:rPr>
          <w:rFonts w:cstheme="minorHAnsi"/>
          <w:sz w:val="24"/>
        </w:rPr>
        <w:t>···</w:t>
      </w:r>
      <w:r>
        <w:rPr>
          <w:rFonts w:cstheme="minorHAnsi"/>
          <w:sz w:val="24"/>
        </w:rPr>
        <w:t>，</w:t>
      </w:r>
      <w:r>
        <w:rPr>
          <w:i/>
          <w:sz w:val="24"/>
        </w:rPr>
        <w:t>Q</w:t>
      </w:r>
      <w:r>
        <w:rPr>
          <w:i/>
          <w:sz w:val="24"/>
          <w:vertAlign w:val="subscript"/>
        </w:rPr>
        <w:t>n</w:t>
      </w:r>
      <w:r>
        <w:rPr>
          <w:sz w:val="24"/>
        </w:rPr>
        <w:t>——</w:t>
      </w:r>
      <w:r>
        <w:rPr>
          <w:rFonts w:hint="eastAsia"/>
          <w:sz w:val="24"/>
        </w:rPr>
        <w:t>每种危险物质的临界量，</w:t>
      </w:r>
      <w:r>
        <w:rPr>
          <w:rFonts w:hint="eastAsia"/>
          <w:sz w:val="24"/>
        </w:rPr>
        <w:t>t</w:t>
      </w:r>
      <w:r>
        <w:rPr>
          <w:rFonts w:hint="eastAsia"/>
          <w:sz w:val="24"/>
        </w:rPr>
        <w:t>。</w:t>
      </w:r>
    </w:p>
    <w:p w14:paraId="01859368" w14:textId="77777777" w:rsidR="007D1E74" w:rsidRDefault="00A95641">
      <w:pPr>
        <w:spacing w:line="360" w:lineRule="auto"/>
        <w:ind w:firstLineChars="200" w:firstLine="480"/>
        <w:rPr>
          <w:rFonts w:cstheme="minorHAnsi"/>
          <w:sz w:val="24"/>
        </w:rPr>
      </w:pPr>
      <w:r>
        <w:rPr>
          <w:rFonts w:cstheme="minorHAnsi"/>
          <w:sz w:val="24"/>
        </w:rPr>
        <w:t>当</w:t>
      </w:r>
      <w:r>
        <w:rPr>
          <w:rFonts w:cstheme="minorHAnsi"/>
          <w:i/>
          <w:sz w:val="24"/>
        </w:rPr>
        <w:t>Q</w:t>
      </w:r>
      <w:r>
        <w:rPr>
          <w:rFonts w:cstheme="minorHAnsi"/>
          <w:sz w:val="24"/>
        </w:rPr>
        <w:t>&lt;1</w:t>
      </w:r>
      <w:r>
        <w:rPr>
          <w:rFonts w:cstheme="minorHAnsi"/>
          <w:sz w:val="24"/>
        </w:rPr>
        <w:t>时，该项目环境风险潜势为</w:t>
      </w:r>
      <w:r>
        <w:rPr>
          <w:rFonts w:cstheme="minorHAnsi"/>
          <w:sz w:val="24"/>
        </w:rPr>
        <w:t>I</w:t>
      </w:r>
      <w:r>
        <w:rPr>
          <w:rFonts w:cstheme="minorHAnsi"/>
          <w:sz w:val="24"/>
        </w:rPr>
        <w:t>；当</w:t>
      </w:r>
      <w:r>
        <w:rPr>
          <w:rFonts w:cstheme="minorHAnsi"/>
          <w:i/>
          <w:sz w:val="24"/>
        </w:rPr>
        <w:t>Q</w:t>
      </w:r>
      <w:r>
        <w:rPr>
          <w:rFonts w:cstheme="minorHAnsi"/>
          <w:sz w:val="24"/>
        </w:rPr>
        <w:t>≥1</w:t>
      </w:r>
      <w:r>
        <w:rPr>
          <w:rFonts w:cstheme="minorHAnsi"/>
          <w:sz w:val="24"/>
        </w:rPr>
        <w:t>时</w:t>
      </w:r>
      <w:r>
        <w:rPr>
          <w:rFonts w:cstheme="minorHAnsi" w:hint="eastAsia"/>
          <w:sz w:val="24"/>
        </w:rPr>
        <w:t>，</w:t>
      </w:r>
      <w:r>
        <w:rPr>
          <w:rFonts w:cstheme="minorHAnsi"/>
          <w:sz w:val="24"/>
        </w:rPr>
        <w:t>将</w:t>
      </w:r>
      <w:r>
        <w:rPr>
          <w:rFonts w:cstheme="minorHAnsi"/>
          <w:i/>
          <w:sz w:val="24"/>
        </w:rPr>
        <w:t>Q</w:t>
      </w:r>
      <w:r>
        <w:rPr>
          <w:rFonts w:cstheme="minorHAnsi"/>
          <w:sz w:val="24"/>
        </w:rPr>
        <w:t>值划分为：</w:t>
      </w:r>
      <w:r>
        <w:rPr>
          <w:rFonts w:cstheme="minorHAnsi" w:hint="eastAsia"/>
          <w:sz w:val="24"/>
        </w:rPr>
        <w:t>①</w:t>
      </w:r>
      <w:r>
        <w:rPr>
          <w:rFonts w:cstheme="minorHAnsi"/>
          <w:sz w:val="24"/>
        </w:rPr>
        <w:t>1≤</w:t>
      </w:r>
      <w:r>
        <w:rPr>
          <w:rFonts w:cstheme="minorHAnsi"/>
          <w:i/>
          <w:sz w:val="24"/>
        </w:rPr>
        <w:t>Q</w:t>
      </w:r>
      <w:r>
        <w:rPr>
          <w:rFonts w:cstheme="minorHAnsi"/>
          <w:sz w:val="24"/>
        </w:rPr>
        <w:t>&lt;10</w:t>
      </w:r>
      <w:r>
        <w:rPr>
          <w:rFonts w:cstheme="minorHAnsi" w:hint="eastAsia"/>
          <w:sz w:val="24"/>
        </w:rPr>
        <w:t>；②</w:t>
      </w:r>
      <w:r>
        <w:rPr>
          <w:rFonts w:cstheme="minorHAnsi"/>
          <w:sz w:val="24"/>
        </w:rPr>
        <w:t xml:space="preserve"> 10≤</w:t>
      </w:r>
      <w:r>
        <w:rPr>
          <w:rFonts w:cstheme="minorHAnsi"/>
          <w:i/>
          <w:sz w:val="24"/>
        </w:rPr>
        <w:t>Q</w:t>
      </w:r>
      <w:r>
        <w:rPr>
          <w:rFonts w:cstheme="minorHAnsi"/>
          <w:sz w:val="24"/>
        </w:rPr>
        <w:t>&lt;100</w:t>
      </w:r>
      <w:r>
        <w:rPr>
          <w:rFonts w:cstheme="minorHAnsi" w:hint="eastAsia"/>
          <w:sz w:val="24"/>
        </w:rPr>
        <w:t>；③</w:t>
      </w:r>
      <w:r>
        <w:rPr>
          <w:rFonts w:cstheme="minorHAnsi"/>
          <w:i/>
          <w:sz w:val="24"/>
        </w:rPr>
        <w:t>Q</w:t>
      </w:r>
      <w:r>
        <w:rPr>
          <w:rFonts w:cstheme="minorHAnsi"/>
          <w:sz w:val="24"/>
        </w:rPr>
        <w:t>≥100</w:t>
      </w:r>
      <w:r>
        <w:rPr>
          <w:rFonts w:cstheme="minorHAnsi" w:hint="eastAsia"/>
          <w:sz w:val="24"/>
        </w:rPr>
        <w:t>。</w:t>
      </w:r>
    </w:p>
    <w:p w14:paraId="7C74AB3C" w14:textId="77777777" w:rsidR="007D1E74" w:rsidRDefault="00A95641">
      <w:pPr>
        <w:pStyle w:val="-1"/>
        <w:ind w:firstLine="480"/>
      </w:pPr>
      <w:r>
        <w:rPr>
          <w:rFonts w:hint="eastAsia"/>
        </w:rPr>
        <w:t>本项目危险物质数量与临界量比值见下表。</w:t>
      </w:r>
    </w:p>
    <w:p w14:paraId="22DA0E51" w14:textId="77777777" w:rsidR="007D1E74" w:rsidRDefault="00A95641">
      <w:pPr>
        <w:pStyle w:val="afffffe"/>
        <w:numPr>
          <w:ilvl w:val="0"/>
          <w:numId w:val="47"/>
        </w:numPr>
        <w:spacing w:line="360" w:lineRule="auto"/>
        <w:ind w:firstLineChars="0"/>
        <w:jc w:val="center"/>
        <w:rPr>
          <w:rFonts w:eastAsia="黑体" w:cs="Times New Roman"/>
          <w:szCs w:val="21"/>
        </w:rPr>
      </w:pPr>
      <w:r>
        <w:rPr>
          <w:rFonts w:eastAsia="黑体" w:cs="Times New Roman" w:hint="eastAsia"/>
          <w:szCs w:val="21"/>
        </w:rPr>
        <w:t>危险物质数量与临界量比值</w:t>
      </w:r>
      <w:r>
        <w:rPr>
          <w:rFonts w:eastAsia="黑体" w:cs="Times New Roman" w:hint="eastAsia"/>
          <w:i/>
          <w:szCs w:val="21"/>
        </w:rPr>
        <w:t>（</w:t>
      </w:r>
      <w:r>
        <w:rPr>
          <w:rFonts w:eastAsia="黑体" w:cs="Times New Roman" w:hint="eastAsia"/>
          <w:i/>
          <w:szCs w:val="21"/>
        </w:rPr>
        <w:t>Q</w:t>
      </w:r>
      <w:r>
        <w:rPr>
          <w:rFonts w:eastAsia="黑体" w:cs="Times New Roman" w:hint="eastAsia"/>
          <w:i/>
          <w:szCs w:val="21"/>
        </w:rPr>
        <w:t>）</w:t>
      </w:r>
      <w:r>
        <w:rPr>
          <w:rFonts w:eastAsia="黑体" w:cs="Times New Roman" w:hint="eastAsia"/>
          <w:szCs w:val="21"/>
        </w:rPr>
        <w:t>计算结果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6"/>
        <w:gridCol w:w="2103"/>
        <w:gridCol w:w="957"/>
        <w:gridCol w:w="961"/>
        <w:gridCol w:w="689"/>
        <w:gridCol w:w="959"/>
        <w:gridCol w:w="963"/>
        <w:gridCol w:w="967"/>
        <w:gridCol w:w="911"/>
      </w:tblGrid>
      <w:tr w:rsidR="007D1E74" w14:paraId="1779987B" w14:textId="77777777">
        <w:trPr>
          <w:tblHeader/>
          <w:jc w:val="center"/>
        </w:trPr>
        <w:tc>
          <w:tcPr>
            <w:tcW w:w="281" w:type="pct"/>
            <w:vAlign w:val="center"/>
          </w:tcPr>
          <w:p w14:paraId="2263FFA3" w14:textId="77777777" w:rsidR="007D1E74" w:rsidRDefault="00A95641">
            <w:pPr>
              <w:jc w:val="center"/>
              <w:rPr>
                <w:szCs w:val="21"/>
              </w:rPr>
            </w:pPr>
            <w:r>
              <w:rPr>
                <w:rFonts w:hint="eastAsia"/>
                <w:szCs w:val="21"/>
              </w:rPr>
              <w:t>序号</w:t>
            </w:r>
          </w:p>
        </w:tc>
        <w:tc>
          <w:tcPr>
            <w:tcW w:w="1166" w:type="pct"/>
            <w:vAlign w:val="center"/>
          </w:tcPr>
          <w:p w14:paraId="7152CB41" w14:textId="77777777" w:rsidR="007D1E74" w:rsidRDefault="00A95641">
            <w:pPr>
              <w:jc w:val="center"/>
              <w:rPr>
                <w:szCs w:val="21"/>
              </w:rPr>
            </w:pPr>
            <w:r>
              <w:rPr>
                <w:rFonts w:hint="eastAsia"/>
                <w:szCs w:val="21"/>
              </w:rPr>
              <w:t>风险单元</w:t>
            </w:r>
          </w:p>
        </w:tc>
        <w:tc>
          <w:tcPr>
            <w:tcW w:w="531" w:type="pct"/>
            <w:vAlign w:val="center"/>
          </w:tcPr>
          <w:p w14:paraId="104C81EA" w14:textId="77777777" w:rsidR="007D1E74" w:rsidRDefault="00A95641">
            <w:pPr>
              <w:jc w:val="center"/>
              <w:rPr>
                <w:szCs w:val="21"/>
              </w:rPr>
            </w:pPr>
            <w:r>
              <w:rPr>
                <w:rFonts w:hint="eastAsia"/>
                <w:szCs w:val="21"/>
              </w:rPr>
              <w:t>长度（</w:t>
            </w:r>
            <w:r>
              <w:rPr>
                <w:rFonts w:hint="eastAsia"/>
                <w:szCs w:val="21"/>
              </w:rPr>
              <w:t>km</w:t>
            </w:r>
            <w:r>
              <w:rPr>
                <w:rFonts w:hint="eastAsia"/>
                <w:szCs w:val="21"/>
              </w:rPr>
              <w:t>）</w:t>
            </w:r>
          </w:p>
        </w:tc>
        <w:tc>
          <w:tcPr>
            <w:tcW w:w="533" w:type="pct"/>
            <w:vAlign w:val="center"/>
          </w:tcPr>
          <w:p w14:paraId="6220A6E0" w14:textId="77777777" w:rsidR="007D1E74" w:rsidRDefault="00A95641">
            <w:pPr>
              <w:jc w:val="center"/>
              <w:rPr>
                <w:szCs w:val="21"/>
              </w:rPr>
            </w:pPr>
            <w:r>
              <w:rPr>
                <w:rFonts w:hint="eastAsia"/>
                <w:szCs w:val="21"/>
              </w:rPr>
              <w:t>管径（</w:t>
            </w:r>
            <w:r>
              <w:rPr>
                <w:rFonts w:hint="eastAsia"/>
                <w:szCs w:val="21"/>
              </w:rPr>
              <w:t>mm</w:t>
            </w:r>
            <w:r>
              <w:rPr>
                <w:rFonts w:hint="eastAsia"/>
                <w:szCs w:val="21"/>
              </w:rPr>
              <w:t>）</w:t>
            </w:r>
          </w:p>
        </w:tc>
        <w:tc>
          <w:tcPr>
            <w:tcW w:w="382" w:type="pct"/>
            <w:vAlign w:val="center"/>
          </w:tcPr>
          <w:p w14:paraId="19AEDA69" w14:textId="77777777" w:rsidR="007D1E74" w:rsidRDefault="00A95641">
            <w:pPr>
              <w:jc w:val="center"/>
              <w:rPr>
                <w:szCs w:val="21"/>
              </w:rPr>
            </w:pPr>
            <w:r>
              <w:rPr>
                <w:rFonts w:hint="eastAsia"/>
                <w:szCs w:val="21"/>
              </w:rPr>
              <w:t>危险物质</w:t>
            </w:r>
          </w:p>
        </w:tc>
        <w:tc>
          <w:tcPr>
            <w:tcW w:w="532" w:type="pct"/>
            <w:vAlign w:val="center"/>
          </w:tcPr>
          <w:p w14:paraId="63FDAB5C" w14:textId="77777777" w:rsidR="007D1E74" w:rsidRDefault="00A95641">
            <w:pPr>
              <w:jc w:val="center"/>
              <w:rPr>
                <w:szCs w:val="21"/>
              </w:rPr>
            </w:pPr>
            <w:r>
              <w:rPr>
                <w:rFonts w:hint="eastAsia"/>
                <w:szCs w:val="21"/>
              </w:rPr>
              <w:t>CAS</w:t>
            </w:r>
            <w:r>
              <w:rPr>
                <w:rFonts w:hint="eastAsia"/>
                <w:szCs w:val="21"/>
              </w:rPr>
              <w:t>号</w:t>
            </w:r>
          </w:p>
        </w:tc>
        <w:tc>
          <w:tcPr>
            <w:tcW w:w="534" w:type="pct"/>
            <w:vAlign w:val="center"/>
          </w:tcPr>
          <w:p w14:paraId="15A3D1A0" w14:textId="77777777" w:rsidR="007D1E74" w:rsidRDefault="00A95641">
            <w:pPr>
              <w:jc w:val="center"/>
              <w:rPr>
                <w:szCs w:val="21"/>
              </w:rPr>
            </w:pPr>
            <w:r>
              <w:rPr>
                <w:rFonts w:hint="eastAsia"/>
                <w:szCs w:val="21"/>
              </w:rPr>
              <w:t>存在总量（</w:t>
            </w:r>
            <w:r>
              <w:rPr>
                <w:rFonts w:hint="eastAsia"/>
                <w:szCs w:val="21"/>
              </w:rPr>
              <w:t>t</w:t>
            </w:r>
            <w:r>
              <w:rPr>
                <w:rFonts w:hint="eastAsia"/>
                <w:szCs w:val="21"/>
              </w:rPr>
              <w:t>）</w:t>
            </w:r>
          </w:p>
        </w:tc>
        <w:tc>
          <w:tcPr>
            <w:tcW w:w="536" w:type="pct"/>
            <w:vAlign w:val="center"/>
          </w:tcPr>
          <w:p w14:paraId="48AD9B80" w14:textId="77777777" w:rsidR="007D1E74" w:rsidRDefault="00A95641">
            <w:pPr>
              <w:jc w:val="center"/>
              <w:rPr>
                <w:szCs w:val="21"/>
              </w:rPr>
            </w:pPr>
            <w:r>
              <w:rPr>
                <w:rFonts w:hint="eastAsia"/>
                <w:szCs w:val="21"/>
              </w:rPr>
              <w:t>临界量（</w:t>
            </w:r>
            <w:r>
              <w:rPr>
                <w:rFonts w:hint="eastAsia"/>
                <w:szCs w:val="21"/>
              </w:rPr>
              <w:t>t</w:t>
            </w:r>
            <w:r>
              <w:rPr>
                <w:rFonts w:hint="eastAsia"/>
                <w:szCs w:val="21"/>
              </w:rPr>
              <w:t>）</w:t>
            </w:r>
          </w:p>
        </w:tc>
        <w:tc>
          <w:tcPr>
            <w:tcW w:w="505" w:type="pct"/>
            <w:vAlign w:val="center"/>
          </w:tcPr>
          <w:p w14:paraId="47335611" w14:textId="77777777" w:rsidR="007D1E74" w:rsidRDefault="00A95641">
            <w:pPr>
              <w:jc w:val="center"/>
              <w:rPr>
                <w:szCs w:val="21"/>
              </w:rPr>
            </w:pPr>
            <w:r>
              <w:rPr>
                <w:rFonts w:hint="eastAsia"/>
                <w:szCs w:val="21"/>
              </w:rPr>
              <w:t>比值（</w:t>
            </w:r>
            <w:r>
              <w:rPr>
                <w:rFonts w:hint="eastAsia"/>
                <w:i/>
                <w:szCs w:val="21"/>
              </w:rPr>
              <w:t>Q</w:t>
            </w:r>
            <w:r>
              <w:rPr>
                <w:rFonts w:hint="eastAsia"/>
                <w:szCs w:val="21"/>
              </w:rPr>
              <w:t>）</w:t>
            </w:r>
          </w:p>
        </w:tc>
      </w:tr>
      <w:tr w:rsidR="007D1E74" w14:paraId="1DB3D189" w14:textId="77777777">
        <w:trPr>
          <w:trHeight w:val="70"/>
          <w:jc w:val="center"/>
        </w:trPr>
        <w:tc>
          <w:tcPr>
            <w:tcW w:w="281" w:type="pct"/>
            <w:vAlign w:val="center"/>
          </w:tcPr>
          <w:p w14:paraId="2EDB530B" w14:textId="77777777" w:rsidR="007D1E74" w:rsidRDefault="00A95641">
            <w:pPr>
              <w:jc w:val="center"/>
              <w:rPr>
                <w:szCs w:val="21"/>
              </w:rPr>
            </w:pPr>
            <w:r>
              <w:rPr>
                <w:rFonts w:hint="eastAsia"/>
                <w:szCs w:val="21"/>
              </w:rPr>
              <w:t>1</w:t>
            </w:r>
          </w:p>
        </w:tc>
        <w:tc>
          <w:tcPr>
            <w:tcW w:w="1166" w:type="pct"/>
            <w:vAlign w:val="center"/>
          </w:tcPr>
          <w:p w14:paraId="2F0D94DB" w14:textId="77777777" w:rsidR="007D1E74" w:rsidRDefault="00A95641">
            <w:pPr>
              <w:jc w:val="center"/>
              <w:rPr>
                <w:rFonts w:cstheme="minorHAnsi"/>
                <w:szCs w:val="21"/>
              </w:rPr>
            </w:pPr>
            <w:r>
              <w:rPr>
                <w:rFonts w:cstheme="minorHAnsi" w:hint="eastAsia"/>
                <w:szCs w:val="21"/>
              </w:rPr>
              <w:t>1#</w:t>
            </w:r>
            <w:r>
              <w:rPr>
                <w:rFonts w:cstheme="minorHAnsi" w:hint="eastAsia"/>
                <w:szCs w:val="21"/>
              </w:rPr>
              <w:t>阀室至马</w:t>
            </w:r>
            <w:r>
              <w:rPr>
                <w:rFonts w:cstheme="minorHAnsi" w:hint="eastAsia"/>
                <w:szCs w:val="21"/>
              </w:rPr>
              <w:t>1-11</w:t>
            </w:r>
            <w:r>
              <w:rPr>
                <w:rFonts w:cstheme="minorHAnsi" w:hint="eastAsia"/>
                <w:szCs w:val="21"/>
              </w:rPr>
              <w:t>脱水井场集输干线</w:t>
            </w:r>
          </w:p>
        </w:tc>
        <w:tc>
          <w:tcPr>
            <w:tcW w:w="531" w:type="pct"/>
            <w:vAlign w:val="center"/>
          </w:tcPr>
          <w:p w14:paraId="37145074" w14:textId="77777777" w:rsidR="007D1E74" w:rsidRDefault="00A95641">
            <w:pPr>
              <w:jc w:val="center"/>
              <w:rPr>
                <w:szCs w:val="21"/>
              </w:rPr>
            </w:pPr>
            <w:r>
              <w:rPr>
                <w:rFonts w:hint="eastAsia"/>
                <w:szCs w:val="21"/>
              </w:rPr>
              <w:t>8</w:t>
            </w:r>
            <w:r>
              <w:rPr>
                <w:szCs w:val="21"/>
              </w:rPr>
              <w:t>.4</w:t>
            </w:r>
          </w:p>
        </w:tc>
        <w:tc>
          <w:tcPr>
            <w:tcW w:w="533" w:type="pct"/>
            <w:vAlign w:val="center"/>
          </w:tcPr>
          <w:p w14:paraId="215F4324" w14:textId="77777777" w:rsidR="007D1E74" w:rsidRDefault="00A95641">
            <w:pPr>
              <w:jc w:val="center"/>
              <w:rPr>
                <w:szCs w:val="21"/>
              </w:rPr>
            </w:pPr>
            <w:r>
              <w:rPr>
                <w:szCs w:val="21"/>
              </w:rPr>
              <w:t>DN300</w:t>
            </w:r>
          </w:p>
        </w:tc>
        <w:tc>
          <w:tcPr>
            <w:tcW w:w="382" w:type="pct"/>
            <w:vMerge w:val="restart"/>
            <w:vAlign w:val="center"/>
          </w:tcPr>
          <w:p w14:paraId="5E9F7D1D" w14:textId="77777777" w:rsidR="007D1E74" w:rsidRDefault="00A95641">
            <w:pPr>
              <w:jc w:val="center"/>
              <w:rPr>
                <w:szCs w:val="21"/>
              </w:rPr>
            </w:pPr>
            <w:r>
              <w:rPr>
                <w:szCs w:val="21"/>
              </w:rPr>
              <w:t>天然气</w:t>
            </w:r>
          </w:p>
        </w:tc>
        <w:tc>
          <w:tcPr>
            <w:tcW w:w="532" w:type="pct"/>
            <w:vMerge w:val="restart"/>
            <w:vAlign w:val="center"/>
          </w:tcPr>
          <w:p w14:paraId="278FB4DA" w14:textId="77777777" w:rsidR="007D1E74" w:rsidRDefault="00A95641">
            <w:pPr>
              <w:jc w:val="center"/>
              <w:rPr>
                <w:szCs w:val="21"/>
              </w:rPr>
            </w:pPr>
            <w:r>
              <w:rPr>
                <w:szCs w:val="21"/>
              </w:rPr>
              <w:t>8006-14-2</w:t>
            </w:r>
          </w:p>
        </w:tc>
        <w:tc>
          <w:tcPr>
            <w:tcW w:w="534" w:type="pct"/>
            <w:vAlign w:val="center"/>
          </w:tcPr>
          <w:p w14:paraId="4F19D793" w14:textId="77777777" w:rsidR="007D1E74" w:rsidRDefault="00A95641">
            <w:pPr>
              <w:widowControl/>
              <w:jc w:val="center"/>
              <w:rPr>
                <w:rFonts w:cs="Times New Roman"/>
                <w:szCs w:val="21"/>
              </w:rPr>
            </w:pPr>
            <w:r>
              <w:rPr>
                <w:rFonts w:cs="Times New Roman"/>
                <w:szCs w:val="21"/>
              </w:rPr>
              <w:t>26.57</w:t>
            </w:r>
          </w:p>
        </w:tc>
        <w:tc>
          <w:tcPr>
            <w:tcW w:w="536" w:type="pct"/>
            <w:vAlign w:val="center"/>
          </w:tcPr>
          <w:p w14:paraId="2D700E13" w14:textId="77777777" w:rsidR="007D1E74" w:rsidRDefault="00A95641">
            <w:pPr>
              <w:jc w:val="center"/>
              <w:rPr>
                <w:rFonts w:cs="Times New Roman"/>
                <w:szCs w:val="21"/>
              </w:rPr>
            </w:pPr>
            <w:r>
              <w:rPr>
                <w:rFonts w:cs="Times New Roman"/>
                <w:szCs w:val="21"/>
              </w:rPr>
              <w:t>10</w:t>
            </w:r>
          </w:p>
        </w:tc>
        <w:tc>
          <w:tcPr>
            <w:tcW w:w="505" w:type="pct"/>
            <w:vAlign w:val="center"/>
          </w:tcPr>
          <w:p w14:paraId="3ED8C96B" w14:textId="77777777" w:rsidR="007D1E74" w:rsidRDefault="00A95641">
            <w:pPr>
              <w:jc w:val="center"/>
              <w:rPr>
                <w:rFonts w:cs="Times New Roman"/>
                <w:szCs w:val="21"/>
              </w:rPr>
            </w:pPr>
            <w:r>
              <w:rPr>
                <w:rFonts w:cs="Times New Roman"/>
                <w:szCs w:val="21"/>
              </w:rPr>
              <w:t>2.66</w:t>
            </w:r>
          </w:p>
        </w:tc>
      </w:tr>
      <w:tr w:rsidR="007D1E74" w14:paraId="3B9E2B9C" w14:textId="77777777">
        <w:trPr>
          <w:trHeight w:val="70"/>
          <w:jc w:val="center"/>
        </w:trPr>
        <w:tc>
          <w:tcPr>
            <w:tcW w:w="281" w:type="pct"/>
            <w:vAlign w:val="center"/>
          </w:tcPr>
          <w:p w14:paraId="167A2913" w14:textId="77777777" w:rsidR="007D1E74" w:rsidRDefault="00A95641">
            <w:pPr>
              <w:jc w:val="center"/>
              <w:rPr>
                <w:szCs w:val="21"/>
              </w:rPr>
            </w:pPr>
            <w:r>
              <w:rPr>
                <w:rFonts w:hint="eastAsia"/>
                <w:szCs w:val="21"/>
              </w:rPr>
              <w:t>2</w:t>
            </w:r>
          </w:p>
        </w:tc>
        <w:tc>
          <w:tcPr>
            <w:tcW w:w="1166" w:type="pct"/>
            <w:vAlign w:val="center"/>
          </w:tcPr>
          <w:p w14:paraId="67866922" w14:textId="77777777" w:rsidR="007D1E74" w:rsidRDefault="00A95641">
            <w:pPr>
              <w:jc w:val="center"/>
              <w:rPr>
                <w:rFonts w:cstheme="minorHAnsi"/>
                <w:szCs w:val="21"/>
              </w:rPr>
            </w:pPr>
            <w:r>
              <w:rPr>
                <w:rFonts w:cstheme="minorHAnsi" w:hint="eastAsia"/>
                <w:szCs w:val="21"/>
              </w:rPr>
              <w:t>马</w:t>
            </w:r>
            <w:r>
              <w:rPr>
                <w:rFonts w:cstheme="minorHAnsi" w:hint="eastAsia"/>
                <w:szCs w:val="21"/>
              </w:rPr>
              <w:t>1-10H</w:t>
            </w:r>
            <w:r>
              <w:rPr>
                <w:rFonts w:cstheme="minorHAnsi" w:hint="eastAsia"/>
                <w:szCs w:val="21"/>
              </w:rPr>
              <w:t>采气井场至马</w:t>
            </w:r>
            <w:r>
              <w:rPr>
                <w:rFonts w:cstheme="minorHAnsi" w:hint="eastAsia"/>
                <w:szCs w:val="21"/>
              </w:rPr>
              <w:t>1-1</w:t>
            </w:r>
            <w:r>
              <w:rPr>
                <w:rFonts w:cstheme="minorHAnsi" w:hint="eastAsia"/>
                <w:szCs w:val="21"/>
              </w:rPr>
              <w:t>集气支线</w:t>
            </w:r>
          </w:p>
        </w:tc>
        <w:tc>
          <w:tcPr>
            <w:tcW w:w="531" w:type="pct"/>
            <w:vAlign w:val="center"/>
          </w:tcPr>
          <w:p w14:paraId="2A7C3623" w14:textId="77777777" w:rsidR="007D1E74" w:rsidRDefault="00A95641">
            <w:pPr>
              <w:jc w:val="center"/>
              <w:rPr>
                <w:szCs w:val="21"/>
              </w:rPr>
            </w:pPr>
            <w:r>
              <w:rPr>
                <w:rFonts w:hint="eastAsia"/>
                <w:szCs w:val="21"/>
              </w:rPr>
              <w:t>4</w:t>
            </w:r>
            <w:r>
              <w:rPr>
                <w:szCs w:val="21"/>
              </w:rPr>
              <w:t>.1</w:t>
            </w:r>
          </w:p>
        </w:tc>
        <w:tc>
          <w:tcPr>
            <w:tcW w:w="533" w:type="pct"/>
            <w:vAlign w:val="center"/>
          </w:tcPr>
          <w:p w14:paraId="7A35AF0F" w14:textId="77777777" w:rsidR="007D1E74" w:rsidRDefault="00A95641">
            <w:pPr>
              <w:jc w:val="center"/>
              <w:rPr>
                <w:szCs w:val="21"/>
              </w:rPr>
            </w:pPr>
            <w:r>
              <w:rPr>
                <w:szCs w:val="21"/>
              </w:rPr>
              <w:t>DN114.3</w:t>
            </w:r>
          </w:p>
        </w:tc>
        <w:tc>
          <w:tcPr>
            <w:tcW w:w="382" w:type="pct"/>
            <w:vMerge/>
          </w:tcPr>
          <w:p w14:paraId="7889C430" w14:textId="77777777" w:rsidR="007D1E74" w:rsidRDefault="007D1E74"/>
        </w:tc>
        <w:tc>
          <w:tcPr>
            <w:tcW w:w="532" w:type="pct"/>
            <w:vMerge/>
            <w:vAlign w:val="center"/>
          </w:tcPr>
          <w:p w14:paraId="58385B73" w14:textId="77777777" w:rsidR="007D1E74" w:rsidRDefault="007D1E74">
            <w:pPr>
              <w:jc w:val="center"/>
              <w:rPr>
                <w:szCs w:val="21"/>
              </w:rPr>
            </w:pPr>
          </w:p>
        </w:tc>
        <w:tc>
          <w:tcPr>
            <w:tcW w:w="534" w:type="pct"/>
            <w:vAlign w:val="center"/>
          </w:tcPr>
          <w:p w14:paraId="051927EB" w14:textId="77777777" w:rsidR="007D1E74" w:rsidRDefault="00A95641">
            <w:pPr>
              <w:jc w:val="center"/>
              <w:rPr>
                <w:rFonts w:cs="Times New Roman"/>
                <w:szCs w:val="21"/>
              </w:rPr>
            </w:pPr>
            <w:r>
              <w:rPr>
                <w:rFonts w:cs="Times New Roman"/>
                <w:szCs w:val="21"/>
              </w:rPr>
              <w:t>1.88</w:t>
            </w:r>
          </w:p>
        </w:tc>
        <w:tc>
          <w:tcPr>
            <w:tcW w:w="536" w:type="pct"/>
            <w:vAlign w:val="center"/>
          </w:tcPr>
          <w:p w14:paraId="311D0D62" w14:textId="77777777" w:rsidR="007D1E74" w:rsidRDefault="00A95641">
            <w:pPr>
              <w:jc w:val="center"/>
              <w:rPr>
                <w:rFonts w:cs="Times New Roman"/>
                <w:szCs w:val="21"/>
              </w:rPr>
            </w:pPr>
            <w:r>
              <w:rPr>
                <w:rFonts w:cs="Times New Roman"/>
                <w:szCs w:val="21"/>
              </w:rPr>
              <w:t>10</w:t>
            </w:r>
          </w:p>
        </w:tc>
        <w:tc>
          <w:tcPr>
            <w:tcW w:w="505" w:type="pct"/>
            <w:vAlign w:val="center"/>
          </w:tcPr>
          <w:p w14:paraId="4297261E" w14:textId="77777777" w:rsidR="007D1E74" w:rsidRDefault="00A95641">
            <w:pPr>
              <w:jc w:val="center"/>
              <w:rPr>
                <w:rFonts w:cs="Times New Roman"/>
                <w:szCs w:val="21"/>
              </w:rPr>
            </w:pPr>
            <w:r>
              <w:rPr>
                <w:rFonts w:cs="Times New Roman"/>
                <w:szCs w:val="21"/>
              </w:rPr>
              <w:t>0.19</w:t>
            </w:r>
          </w:p>
        </w:tc>
      </w:tr>
      <w:tr w:rsidR="007D1E74" w14:paraId="799CEEE8" w14:textId="77777777">
        <w:trPr>
          <w:trHeight w:val="70"/>
          <w:jc w:val="center"/>
        </w:trPr>
        <w:tc>
          <w:tcPr>
            <w:tcW w:w="281" w:type="pct"/>
            <w:vAlign w:val="center"/>
          </w:tcPr>
          <w:p w14:paraId="3DFBC9ED" w14:textId="77777777" w:rsidR="007D1E74" w:rsidRDefault="00A95641">
            <w:pPr>
              <w:jc w:val="center"/>
              <w:rPr>
                <w:szCs w:val="21"/>
              </w:rPr>
            </w:pPr>
            <w:r>
              <w:rPr>
                <w:rFonts w:hint="eastAsia"/>
                <w:szCs w:val="21"/>
              </w:rPr>
              <w:t>3</w:t>
            </w:r>
          </w:p>
        </w:tc>
        <w:tc>
          <w:tcPr>
            <w:tcW w:w="1166" w:type="pct"/>
            <w:vAlign w:val="center"/>
          </w:tcPr>
          <w:p w14:paraId="7F7E6328" w14:textId="77777777" w:rsidR="007D1E74" w:rsidRDefault="00A95641">
            <w:pPr>
              <w:jc w:val="center"/>
              <w:rPr>
                <w:rFonts w:cstheme="minorHAnsi"/>
                <w:szCs w:val="21"/>
              </w:rPr>
            </w:pPr>
            <w:r>
              <w:rPr>
                <w:rFonts w:cstheme="minorHAnsi" w:hint="eastAsia"/>
                <w:szCs w:val="21"/>
              </w:rPr>
              <w:t>马</w:t>
            </w:r>
            <w:r>
              <w:rPr>
                <w:rFonts w:cstheme="minorHAnsi" w:hint="eastAsia"/>
                <w:szCs w:val="21"/>
              </w:rPr>
              <w:t>1-</w:t>
            </w:r>
            <w:r>
              <w:rPr>
                <w:rFonts w:cstheme="minorHAnsi"/>
                <w:szCs w:val="21"/>
              </w:rPr>
              <w:t>1</w:t>
            </w:r>
            <w:r>
              <w:rPr>
                <w:rFonts w:cstheme="minorHAnsi"/>
                <w:szCs w:val="21"/>
              </w:rPr>
              <w:t>采气井场至干线集气支线</w:t>
            </w:r>
          </w:p>
        </w:tc>
        <w:tc>
          <w:tcPr>
            <w:tcW w:w="531" w:type="pct"/>
            <w:vAlign w:val="center"/>
          </w:tcPr>
          <w:p w14:paraId="2EAF0279" w14:textId="77777777" w:rsidR="007D1E74" w:rsidRDefault="00A95641">
            <w:pPr>
              <w:jc w:val="center"/>
              <w:rPr>
                <w:szCs w:val="21"/>
              </w:rPr>
            </w:pPr>
            <w:r>
              <w:rPr>
                <w:rFonts w:hint="eastAsia"/>
                <w:szCs w:val="21"/>
              </w:rPr>
              <w:t>1</w:t>
            </w:r>
            <w:r>
              <w:rPr>
                <w:szCs w:val="21"/>
              </w:rPr>
              <w:t>.1</w:t>
            </w:r>
          </w:p>
        </w:tc>
        <w:tc>
          <w:tcPr>
            <w:tcW w:w="533" w:type="pct"/>
            <w:vAlign w:val="center"/>
          </w:tcPr>
          <w:p w14:paraId="0AFEA910" w14:textId="77777777" w:rsidR="007D1E74" w:rsidRDefault="00A95641">
            <w:pPr>
              <w:jc w:val="center"/>
              <w:rPr>
                <w:szCs w:val="21"/>
              </w:rPr>
            </w:pPr>
            <w:r>
              <w:rPr>
                <w:szCs w:val="21"/>
              </w:rPr>
              <w:t>DN114.3</w:t>
            </w:r>
          </w:p>
        </w:tc>
        <w:tc>
          <w:tcPr>
            <w:tcW w:w="382" w:type="pct"/>
            <w:vMerge/>
          </w:tcPr>
          <w:p w14:paraId="66A87AC4" w14:textId="77777777" w:rsidR="007D1E74" w:rsidRDefault="007D1E74"/>
        </w:tc>
        <w:tc>
          <w:tcPr>
            <w:tcW w:w="532" w:type="pct"/>
            <w:vMerge/>
            <w:vAlign w:val="center"/>
          </w:tcPr>
          <w:p w14:paraId="687A94A1" w14:textId="77777777" w:rsidR="007D1E74" w:rsidRDefault="007D1E74">
            <w:pPr>
              <w:jc w:val="center"/>
              <w:rPr>
                <w:szCs w:val="21"/>
              </w:rPr>
            </w:pPr>
          </w:p>
        </w:tc>
        <w:tc>
          <w:tcPr>
            <w:tcW w:w="534" w:type="pct"/>
            <w:vAlign w:val="center"/>
          </w:tcPr>
          <w:p w14:paraId="41A4E61D" w14:textId="77777777" w:rsidR="007D1E74" w:rsidRDefault="00A95641">
            <w:pPr>
              <w:jc w:val="center"/>
              <w:rPr>
                <w:rFonts w:cs="Times New Roman"/>
                <w:szCs w:val="21"/>
              </w:rPr>
            </w:pPr>
            <w:r>
              <w:rPr>
                <w:rFonts w:cs="Times New Roman"/>
                <w:szCs w:val="21"/>
              </w:rPr>
              <w:t>0.51</w:t>
            </w:r>
          </w:p>
        </w:tc>
        <w:tc>
          <w:tcPr>
            <w:tcW w:w="536" w:type="pct"/>
            <w:vAlign w:val="center"/>
          </w:tcPr>
          <w:p w14:paraId="6E1CC983" w14:textId="77777777" w:rsidR="007D1E74" w:rsidRDefault="00A95641">
            <w:pPr>
              <w:jc w:val="center"/>
              <w:rPr>
                <w:rFonts w:cs="Times New Roman"/>
                <w:szCs w:val="21"/>
              </w:rPr>
            </w:pPr>
            <w:r>
              <w:rPr>
                <w:rFonts w:cs="Times New Roman"/>
                <w:szCs w:val="21"/>
              </w:rPr>
              <w:t>10</w:t>
            </w:r>
          </w:p>
        </w:tc>
        <w:tc>
          <w:tcPr>
            <w:tcW w:w="505" w:type="pct"/>
            <w:vAlign w:val="center"/>
          </w:tcPr>
          <w:p w14:paraId="616BA4C4" w14:textId="77777777" w:rsidR="007D1E74" w:rsidRDefault="00A95641">
            <w:pPr>
              <w:jc w:val="center"/>
              <w:rPr>
                <w:rFonts w:cs="Times New Roman"/>
                <w:szCs w:val="21"/>
              </w:rPr>
            </w:pPr>
            <w:r>
              <w:rPr>
                <w:rFonts w:cs="Times New Roman"/>
                <w:szCs w:val="21"/>
              </w:rPr>
              <w:t>0.05</w:t>
            </w:r>
          </w:p>
        </w:tc>
      </w:tr>
      <w:tr w:rsidR="007D1E74" w14:paraId="0DA94808" w14:textId="77777777">
        <w:trPr>
          <w:trHeight w:val="70"/>
          <w:jc w:val="center"/>
        </w:trPr>
        <w:tc>
          <w:tcPr>
            <w:tcW w:w="281" w:type="pct"/>
            <w:vAlign w:val="center"/>
          </w:tcPr>
          <w:p w14:paraId="14863637" w14:textId="77777777" w:rsidR="007D1E74" w:rsidRDefault="00A95641">
            <w:pPr>
              <w:jc w:val="center"/>
              <w:rPr>
                <w:szCs w:val="21"/>
              </w:rPr>
            </w:pPr>
            <w:r>
              <w:rPr>
                <w:szCs w:val="21"/>
              </w:rPr>
              <w:lastRenderedPageBreak/>
              <w:t>4</w:t>
            </w:r>
          </w:p>
        </w:tc>
        <w:tc>
          <w:tcPr>
            <w:tcW w:w="1166" w:type="pct"/>
            <w:vAlign w:val="center"/>
          </w:tcPr>
          <w:p w14:paraId="7BDAA03D" w14:textId="77777777" w:rsidR="007D1E74" w:rsidRDefault="00A95641">
            <w:pPr>
              <w:jc w:val="center"/>
              <w:rPr>
                <w:rFonts w:cstheme="minorHAnsi"/>
                <w:szCs w:val="21"/>
              </w:rPr>
            </w:pPr>
            <w:r>
              <w:rPr>
                <w:rFonts w:cstheme="minorHAnsi" w:hint="eastAsia"/>
                <w:szCs w:val="21"/>
              </w:rPr>
              <w:t>马</w:t>
            </w:r>
            <w:r>
              <w:rPr>
                <w:rFonts w:cstheme="minorHAnsi" w:hint="eastAsia"/>
                <w:szCs w:val="21"/>
              </w:rPr>
              <w:t>1-</w:t>
            </w:r>
            <w:r>
              <w:rPr>
                <w:rFonts w:cstheme="minorHAnsi"/>
                <w:szCs w:val="21"/>
              </w:rPr>
              <w:t>13H</w:t>
            </w:r>
            <w:r>
              <w:rPr>
                <w:rFonts w:cstheme="minorHAnsi"/>
                <w:szCs w:val="21"/>
              </w:rPr>
              <w:t>采气井场至干线集气支线</w:t>
            </w:r>
          </w:p>
        </w:tc>
        <w:tc>
          <w:tcPr>
            <w:tcW w:w="531" w:type="pct"/>
            <w:vAlign w:val="center"/>
          </w:tcPr>
          <w:p w14:paraId="0D423036" w14:textId="77777777" w:rsidR="007D1E74" w:rsidRDefault="00A95641">
            <w:pPr>
              <w:jc w:val="center"/>
              <w:rPr>
                <w:szCs w:val="21"/>
              </w:rPr>
            </w:pPr>
            <w:r>
              <w:rPr>
                <w:rFonts w:hint="eastAsia"/>
                <w:szCs w:val="21"/>
              </w:rPr>
              <w:t>1</w:t>
            </w:r>
            <w:r>
              <w:rPr>
                <w:szCs w:val="21"/>
              </w:rPr>
              <w:t>.2</w:t>
            </w:r>
          </w:p>
        </w:tc>
        <w:tc>
          <w:tcPr>
            <w:tcW w:w="533" w:type="pct"/>
            <w:vAlign w:val="center"/>
          </w:tcPr>
          <w:p w14:paraId="3F403865" w14:textId="77777777" w:rsidR="007D1E74" w:rsidRDefault="00A95641">
            <w:pPr>
              <w:jc w:val="center"/>
              <w:rPr>
                <w:szCs w:val="21"/>
              </w:rPr>
            </w:pPr>
            <w:r>
              <w:rPr>
                <w:szCs w:val="21"/>
              </w:rPr>
              <w:t>DN114.3</w:t>
            </w:r>
          </w:p>
        </w:tc>
        <w:tc>
          <w:tcPr>
            <w:tcW w:w="382" w:type="pct"/>
            <w:vMerge/>
          </w:tcPr>
          <w:p w14:paraId="1DC05E0C" w14:textId="77777777" w:rsidR="007D1E74" w:rsidRDefault="007D1E74"/>
        </w:tc>
        <w:tc>
          <w:tcPr>
            <w:tcW w:w="532" w:type="pct"/>
            <w:vMerge/>
            <w:vAlign w:val="center"/>
          </w:tcPr>
          <w:p w14:paraId="77E4C6A7" w14:textId="77777777" w:rsidR="007D1E74" w:rsidRDefault="007D1E74">
            <w:pPr>
              <w:jc w:val="center"/>
              <w:rPr>
                <w:szCs w:val="21"/>
              </w:rPr>
            </w:pPr>
          </w:p>
        </w:tc>
        <w:tc>
          <w:tcPr>
            <w:tcW w:w="534" w:type="pct"/>
            <w:vAlign w:val="center"/>
          </w:tcPr>
          <w:p w14:paraId="1EA5DBC6" w14:textId="77777777" w:rsidR="007D1E74" w:rsidRDefault="00A95641">
            <w:pPr>
              <w:jc w:val="center"/>
              <w:rPr>
                <w:rFonts w:cs="Times New Roman"/>
                <w:szCs w:val="21"/>
              </w:rPr>
            </w:pPr>
            <w:r>
              <w:rPr>
                <w:rFonts w:cs="Times New Roman"/>
                <w:szCs w:val="21"/>
              </w:rPr>
              <w:t>0.55</w:t>
            </w:r>
          </w:p>
        </w:tc>
        <w:tc>
          <w:tcPr>
            <w:tcW w:w="536" w:type="pct"/>
            <w:vAlign w:val="center"/>
          </w:tcPr>
          <w:p w14:paraId="5BECEC02" w14:textId="77777777" w:rsidR="007D1E74" w:rsidRDefault="00A95641">
            <w:pPr>
              <w:jc w:val="center"/>
              <w:rPr>
                <w:rFonts w:cs="Times New Roman"/>
                <w:szCs w:val="21"/>
              </w:rPr>
            </w:pPr>
            <w:r>
              <w:rPr>
                <w:rFonts w:cs="Times New Roman"/>
                <w:szCs w:val="21"/>
              </w:rPr>
              <w:t>10</w:t>
            </w:r>
          </w:p>
        </w:tc>
        <w:tc>
          <w:tcPr>
            <w:tcW w:w="505" w:type="pct"/>
            <w:vAlign w:val="center"/>
          </w:tcPr>
          <w:p w14:paraId="2B26E198" w14:textId="77777777" w:rsidR="007D1E74" w:rsidRDefault="00A95641">
            <w:pPr>
              <w:jc w:val="center"/>
              <w:rPr>
                <w:rFonts w:cs="Times New Roman"/>
                <w:szCs w:val="21"/>
              </w:rPr>
            </w:pPr>
            <w:r>
              <w:rPr>
                <w:rFonts w:cs="Times New Roman"/>
                <w:szCs w:val="21"/>
              </w:rPr>
              <w:t>0.06</w:t>
            </w:r>
          </w:p>
        </w:tc>
      </w:tr>
      <w:tr w:rsidR="007D1E74" w14:paraId="2BFA3DAF" w14:textId="77777777">
        <w:trPr>
          <w:trHeight w:val="70"/>
          <w:jc w:val="center"/>
        </w:trPr>
        <w:tc>
          <w:tcPr>
            <w:tcW w:w="281" w:type="pct"/>
            <w:vAlign w:val="center"/>
          </w:tcPr>
          <w:p w14:paraId="323D1D25" w14:textId="77777777" w:rsidR="007D1E74" w:rsidRDefault="00A95641">
            <w:pPr>
              <w:jc w:val="center"/>
              <w:rPr>
                <w:szCs w:val="21"/>
              </w:rPr>
            </w:pPr>
            <w:r>
              <w:rPr>
                <w:rFonts w:hint="eastAsia"/>
                <w:szCs w:val="21"/>
              </w:rPr>
              <w:t>5</w:t>
            </w:r>
          </w:p>
        </w:tc>
        <w:tc>
          <w:tcPr>
            <w:tcW w:w="1166" w:type="pct"/>
            <w:vAlign w:val="center"/>
          </w:tcPr>
          <w:p w14:paraId="6D93DDCB" w14:textId="77777777" w:rsidR="007D1E74" w:rsidRDefault="00A95641">
            <w:pPr>
              <w:jc w:val="center"/>
              <w:rPr>
                <w:rFonts w:cstheme="minorHAnsi"/>
                <w:szCs w:val="21"/>
              </w:rPr>
            </w:pPr>
            <w:r>
              <w:rPr>
                <w:rFonts w:cstheme="minorHAnsi" w:hint="eastAsia"/>
                <w:szCs w:val="21"/>
              </w:rPr>
              <w:t>马</w:t>
            </w:r>
            <w:r>
              <w:rPr>
                <w:rFonts w:cstheme="minorHAnsi" w:hint="eastAsia"/>
                <w:szCs w:val="21"/>
              </w:rPr>
              <w:t>1-</w:t>
            </w:r>
            <w:r>
              <w:rPr>
                <w:rFonts w:cstheme="minorHAnsi"/>
                <w:szCs w:val="21"/>
              </w:rPr>
              <w:t>12H</w:t>
            </w:r>
            <w:r>
              <w:rPr>
                <w:rFonts w:cstheme="minorHAnsi"/>
                <w:szCs w:val="21"/>
              </w:rPr>
              <w:t>采气井场至干线集气支线</w:t>
            </w:r>
          </w:p>
        </w:tc>
        <w:tc>
          <w:tcPr>
            <w:tcW w:w="531" w:type="pct"/>
            <w:vAlign w:val="center"/>
          </w:tcPr>
          <w:p w14:paraId="5CB0AE47" w14:textId="77777777" w:rsidR="007D1E74" w:rsidRDefault="00A95641">
            <w:pPr>
              <w:jc w:val="center"/>
              <w:rPr>
                <w:szCs w:val="21"/>
              </w:rPr>
            </w:pPr>
            <w:r>
              <w:rPr>
                <w:rFonts w:hint="eastAsia"/>
                <w:szCs w:val="21"/>
              </w:rPr>
              <w:t>1</w:t>
            </w:r>
            <w:r>
              <w:rPr>
                <w:szCs w:val="21"/>
              </w:rPr>
              <w:t>.6</w:t>
            </w:r>
          </w:p>
        </w:tc>
        <w:tc>
          <w:tcPr>
            <w:tcW w:w="533" w:type="pct"/>
            <w:vAlign w:val="center"/>
          </w:tcPr>
          <w:p w14:paraId="011ACB9D" w14:textId="77777777" w:rsidR="007D1E74" w:rsidRDefault="00A95641">
            <w:pPr>
              <w:jc w:val="center"/>
              <w:rPr>
                <w:szCs w:val="21"/>
              </w:rPr>
            </w:pPr>
            <w:r>
              <w:rPr>
                <w:szCs w:val="21"/>
              </w:rPr>
              <w:t>DN300</w:t>
            </w:r>
          </w:p>
        </w:tc>
        <w:tc>
          <w:tcPr>
            <w:tcW w:w="382" w:type="pct"/>
            <w:vMerge/>
          </w:tcPr>
          <w:p w14:paraId="7C01F623" w14:textId="77777777" w:rsidR="007D1E74" w:rsidRDefault="007D1E74"/>
        </w:tc>
        <w:tc>
          <w:tcPr>
            <w:tcW w:w="532" w:type="pct"/>
            <w:vMerge/>
            <w:vAlign w:val="center"/>
          </w:tcPr>
          <w:p w14:paraId="724C8E14" w14:textId="77777777" w:rsidR="007D1E74" w:rsidRDefault="007D1E74">
            <w:pPr>
              <w:jc w:val="center"/>
              <w:rPr>
                <w:szCs w:val="21"/>
              </w:rPr>
            </w:pPr>
          </w:p>
        </w:tc>
        <w:tc>
          <w:tcPr>
            <w:tcW w:w="534" w:type="pct"/>
            <w:vAlign w:val="center"/>
          </w:tcPr>
          <w:p w14:paraId="7DF39A43" w14:textId="77777777" w:rsidR="007D1E74" w:rsidRDefault="00A95641">
            <w:pPr>
              <w:jc w:val="center"/>
              <w:rPr>
                <w:rFonts w:cs="Times New Roman"/>
                <w:szCs w:val="21"/>
              </w:rPr>
            </w:pPr>
            <w:r>
              <w:rPr>
                <w:rFonts w:cs="Times New Roman"/>
                <w:szCs w:val="21"/>
              </w:rPr>
              <w:t>5.06</w:t>
            </w:r>
          </w:p>
        </w:tc>
        <w:tc>
          <w:tcPr>
            <w:tcW w:w="536" w:type="pct"/>
            <w:vAlign w:val="center"/>
          </w:tcPr>
          <w:p w14:paraId="0571E611" w14:textId="77777777" w:rsidR="007D1E74" w:rsidRDefault="00A95641">
            <w:pPr>
              <w:jc w:val="center"/>
              <w:rPr>
                <w:rFonts w:cs="Times New Roman"/>
                <w:szCs w:val="21"/>
              </w:rPr>
            </w:pPr>
            <w:r>
              <w:rPr>
                <w:rFonts w:cs="Times New Roman"/>
                <w:szCs w:val="21"/>
              </w:rPr>
              <w:t>10</w:t>
            </w:r>
          </w:p>
        </w:tc>
        <w:tc>
          <w:tcPr>
            <w:tcW w:w="505" w:type="pct"/>
            <w:vAlign w:val="center"/>
          </w:tcPr>
          <w:p w14:paraId="7D93D90A" w14:textId="77777777" w:rsidR="007D1E74" w:rsidRDefault="00A95641">
            <w:pPr>
              <w:jc w:val="center"/>
              <w:rPr>
                <w:rFonts w:cs="Times New Roman"/>
                <w:szCs w:val="21"/>
              </w:rPr>
            </w:pPr>
            <w:r>
              <w:rPr>
                <w:rFonts w:cs="Times New Roman"/>
                <w:szCs w:val="21"/>
              </w:rPr>
              <w:t>0.51</w:t>
            </w:r>
          </w:p>
        </w:tc>
      </w:tr>
      <w:tr w:rsidR="007D1E74" w14:paraId="42EACC8E" w14:textId="77777777">
        <w:trPr>
          <w:trHeight w:val="70"/>
          <w:jc w:val="center"/>
        </w:trPr>
        <w:tc>
          <w:tcPr>
            <w:tcW w:w="281" w:type="pct"/>
            <w:vAlign w:val="center"/>
          </w:tcPr>
          <w:p w14:paraId="3A1D2F87" w14:textId="77777777" w:rsidR="007D1E74" w:rsidRDefault="00A95641">
            <w:pPr>
              <w:jc w:val="center"/>
              <w:rPr>
                <w:szCs w:val="21"/>
              </w:rPr>
            </w:pPr>
            <w:r>
              <w:rPr>
                <w:rFonts w:hint="eastAsia"/>
                <w:szCs w:val="21"/>
              </w:rPr>
              <w:t>6</w:t>
            </w:r>
          </w:p>
        </w:tc>
        <w:tc>
          <w:tcPr>
            <w:tcW w:w="1166" w:type="pct"/>
            <w:vAlign w:val="center"/>
          </w:tcPr>
          <w:p w14:paraId="0CB5166D" w14:textId="77777777" w:rsidR="007D1E74" w:rsidRDefault="00A95641">
            <w:pPr>
              <w:jc w:val="center"/>
              <w:rPr>
                <w:rFonts w:cstheme="minorHAnsi"/>
                <w:szCs w:val="21"/>
              </w:rPr>
            </w:pPr>
            <w:r>
              <w:rPr>
                <w:rFonts w:cstheme="minorHAnsi" w:hint="eastAsia"/>
                <w:szCs w:val="21"/>
              </w:rPr>
              <w:t>马</w:t>
            </w:r>
            <w:r>
              <w:rPr>
                <w:rFonts w:cstheme="minorHAnsi" w:hint="eastAsia"/>
                <w:szCs w:val="21"/>
              </w:rPr>
              <w:t>1-</w:t>
            </w:r>
            <w:r>
              <w:rPr>
                <w:rFonts w:cstheme="minorHAnsi"/>
                <w:szCs w:val="21"/>
              </w:rPr>
              <w:t>11</w:t>
            </w:r>
            <w:r>
              <w:rPr>
                <w:rFonts w:cstheme="minorHAnsi"/>
                <w:szCs w:val="21"/>
              </w:rPr>
              <w:t>脱水井场至</w:t>
            </w:r>
            <w:r>
              <w:rPr>
                <w:rFonts w:cstheme="minorHAnsi" w:hint="eastAsia"/>
                <w:szCs w:val="21"/>
              </w:rPr>
              <w:t>4#</w:t>
            </w:r>
            <w:r>
              <w:rPr>
                <w:rFonts w:cstheme="minorHAnsi" w:hint="eastAsia"/>
                <w:szCs w:val="21"/>
              </w:rPr>
              <w:t>清管阀组集输干线</w:t>
            </w:r>
          </w:p>
        </w:tc>
        <w:tc>
          <w:tcPr>
            <w:tcW w:w="531" w:type="pct"/>
            <w:vAlign w:val="center"/>
          </w:tcPr>
          <w:p w14:paraId="1A2A18E9" w14:textId="77777777" w:rsidR="007D1E74" w:rsidRDefault="00A95641">
            <w:pPr>
              <w:jc w:val="center"/>
              <w:rPr>
                <w:szCs w:val="21"/>
              </w:rPr>
            </w:pPr>
            <w:r>
              <w:rPr>
                <w:szCs w:val="21"/>
              </w:rPr>
              <w:t>7.1</w:t>
            </w:r>
          </w:p>
        </w:tc>
        <w:tc>
          <w:tcPr>
            <w:tcW w:w="533" w:type="pct"/>
            <w:vAlign w:val="center"/>
          </w:tcPr>
          <w:p w14:paraId="5C0A56CB" w14:textId="77777777" w:rsidR="007D1E74" w:rsidRDefault="00A95641">
            <w:pPr>
              <w:jc w:val="center"/>
              <w:rPr>
                <w:szCs w:val="21"/>
              </w:rPr>
            </w:pPr>
            <w:r>
              <w:rPr>
                <w:szCs w:val="21"/>
              </w:rPr>
              <w:t>DN300</w:t>
            </w:r>
          </w:p>
        </w:tc>
        <w:tc>
          <w:tcPr>
            <w:tcW w:w="382" w:type="pct"/>
            <w:vMerge/>
          </w:tcPr>
          <w:p w14:paraId="13B093C6" w14:textId="77777777" w:rsidR="007D1E74" w:rsidRDefault="007D1E74"/>
        </w:tc>
        <w:tc>
          <w:tcPr>
            <w:tcW w:w="532" w:type="pct"/>
            <w:vMerge/>
            <w:vAlign w:val="center"/>
          </w:tcPr>
          <w:p w14:paraId="7821C73A" w14:textId="77777777" w:rsidR="007D1E74" w:rsidRDefault="007D1E74">
            <w:pPr>
              <w:jc w:val="center"/>
              <w:rPr>
                <w:szCs w:val="21"/>
              </w:rPr>
            </w:pPr>
          </w:p>
        </w:tc>
        <w:tc>
          <w:tcPr>
            <w:tcW w:w="534" w:type="pct"/>
            <w:vAlign w:val="center"/>
          </w:tcPr>
          <w:p w14:paraId="42E4F408" w14:textId="77777777" w:rsidR="007D1E74" w:rsidRDefault="00A95641">
            <w:pPr>
              <w:jc w:val="center"/>
              <w:rPr>
                <w:rFonts w:cs="Times New Roman"/>
                <w:szCs w:val="21"/>
              </w:rPr>
            </w:pPr>
            <w:r>
              <w:rPr>
                <w:rFonts w:cs="Times New Roman"/>
                <w:szCs w:val="21"/>
              </w:rPr>
              <w:t>22.46</w:t>
            </w:r>
          </w:p>
        </w:tc>
        <w:tc>
          <w:tcPr>
            <w:tcW w:w="536" w:type="pct"/>
            <w:vAlign w:val="center"/>
          </w:tcPr>
          <w:p w14:paraId="6472A967" w14:textId="77777777" w:rsidR="007D1E74" w:rsidRDefault="00A95641">
            <w:pPr>
              <w:jc w:val="center"/>
              <w:rPr>
                <w:rFonts w:cs="Times New Roman"/>
                <w:szCs w:val="21"/>
              </w:rPr>
            </w:pPr>
            <w:r>
              <w:rPr>
                <w:rFonts w:cs="Times New Roman"/>
                <w:szCs w:val="21"/>
              </w:rPr>
              <w:t>10</w:t>
            </w:r>
          </w:p>
        </w:tc>
        <w:tc>
          <w:tcPr>
            <w:tcW w:w="505" w:type="pct"/>
            <w:vAlign w:val="center"/>
          </w:tcPr>
          <w:p w14:paraId="1DD9ADBC" w14:textId="77777777" w:rsidR="007D1E74" w:rsidRDefault="00A95641">
            <w:pPr>
              <w:jc w:val="center"/>
              <w:rPr>
                <w:rFonts w:cs="Times New Roman"/>
                <w:szCs w:val="21"/>
              </w:rPr>
            </w:pPr>
            <w:r>
              <w:rPr>
                <w:rFonts w:cs="Times New Roman"/>
                <w:szCs w:val="21"/>
              </w:rPr>
              <w:t>2.25</w:t>
            </w:r>
          </w:p>
        </w:tc>
      </w:tr>
      <w:tr w:rsidR="007D1E74" w14:paraId="11371294" w14:textId="77777777">
        <w:trPr>
          <w:trHeight w:val="70"/>
          <w:jc w:val="center"/>
        </w:trPr>
        <w:tc>
          <w:tcPr>
            <w:tcW w:w="281" w:type="pct"/>
            <w:vAlign w:val="center"/>
          </w:tcPr>
          <w:p w14:paraId="44B63376" w14:textId="77777777" w:rsidR="007D1E74" w:rsidRDefault="00A95641">
            <w:pPr>
              <w:jc w:val="center"/>
              <w:rPr>
                <w:szCs w:val="21"/>
              </w:rPr>
            </w:pPr>
            <w:r>
              <w:rPr>
                <w:rFonts w:hint="eastAsia"/>
                <w:szCs w:val="21"/>
              </w:rPr>
              <w:t>7</w:t>
            </w:r>
          </w:p>
        </w:tc>
        <w:tc>
          <w:tcPr>
            <w:tcW w:w="1166" w:type="pct"/>
            <w:vAlign w:val="center"/>
          </w:tcPr>
          <w:p w14:paraId="1CE10179" w14:textId="77777777" w:rsidR="007D1E74" w:rsidRDefault="00A95641">
            <w:pPr>
              <w:jc w:val="center"/>
              <w:rPr>
                <w:rFonts w:cstheme="minorHAnsi"/>
                <w:szCs w:val="21"/>
              </w:rPr>
            </w:pPr>
            <w:r>
              <w:rPr>
                <w:rFonts w:cstheme="minorHAnsi" w:hint="eastAsia"/>
                <w:szCs w:val="21"/>
              </w:rPr>
              <w:t>4#</w:t>
            </w:r>
            <w:r>
              <w:rPr>
                <w:rFonts w:cstheme="minorHAnsi" w:hint="eastAsia"/>
                <w:szCs w:val="21"/>
              </w:rPr>
              <w:t>清管阀组至草池增压站集输干线</w:t>
            </w:r>
          </w:p>
        </w:tc>
        <w:tc>
          <w:tcPr>
            <w:tcW w:w="531" w:type="pct"/>
            <w:vAlign w:val="center"/>
          </w:tcPr>
          <w:p w14:paraId="7F023CFE" w14:textId="77777777" w:rsidR="007D1E74" w:rsidRDefault="00A95641">
            <w:pPr>
              <w:jc w:val="center"/>
              <w:rPr>
                <w:szCs w:val="21"/>
              </w:rPr>
            </w:pPr>
            <w:r>
              <w:rPr>
                <w:rFonts w:hint="eastAsia"/>
                <w:szCs w:val="21"/>
              </w:rPr>
              <w:t>1</w:t>
            </w:r>
            <w:r>
              <w:rPr>
                <w:szCs w:val="21"/>
              </w:rPr>
              <w:t>4.3</w:t>
            </w:r>
          </w:p>
        </w:tc>
        <w:tc>
          <w:tcPr>
            <w:tcW w:w="533" w:type="pct"/>
            <w:vAlign w:val="center"/>
          </w:tcPr>
          <w:p w14:paraId="13EAEBC4" w14:textId="77777777" w:rsidR="007D1E74" w:rsidRDefault="00A95641">
            <w:pPr>
              <w:jc w:val="center"/>
              <w:rPr>
                <w:szCs w:val="21"/>
              </w:rPr>
            </w:pPr>
            <w:r>
              <w:rPr>
                <w:szCs w:val="21"/>
              </w:rPr>
              <w:t>DN350</w:t>
            </w:r>
          </w:p>
        </w:tc>
        <w:tc>
          <w:tcPr>
            <w:tcW w:w="382" w:type="pct"/>
            <w:vMerge/>
          </w:tcPr>
          <w:p w14:paraId="36636BAF" w14:textId="77777777" w:rsidR="007D1E74" w:rsidRDefault="007D1E74"/>
        </w:tc>
        <w:tc>
          <w:tcPr>
            <w:tcW w:w="532" w:type="pct"/>
            <w:vMerge/>
            <w:vAlign w:val="center"/>
          </w:tcPr>
          <w:p w14:paraId="1F26FC3B" w14:textId="77777777" w:rsidR="007D1E74" w:rsidRDefault="007D1E74">
            <w:pPr>
              <w:jc w:val="center"/>
              <w:rPr>
                <w:szCs w:val="21"/>
              </w:rPr>
            </w:pPr>
          </w:p>
        </w:tc>
        <w:tc>
          <w:tcPr>
            <w:tcW w:w="534" w:type="pct"/>
            <w:vAlign w:val="center"/>
          </w:tcPr>
          <w:p w14:paraId="35A72D3D" w14:textId="77777777" w:rsidR="007D1E74" w:rsidRDefault="00A95641">
            <w:pPr>
              <w:jc w:val="center"/>
              <w:rPr>
                <w:rFonts w:cs="Times New Roman"/>
                <w:szCs w:val="21"/>
              </w:rPr>
            </w:pPr>
            <w:r>
              <w:rPr>
                <w:rFonts w:cs="Times New Roman"/>
                <w:szCs w:val="21"/>
              </w:rPr>
              <w:t>97.72</w:t>
            </w:r>
          </w:p>
        </w:tc>
        <w:tc>
          <w:tcPr>
            <w:tcW w:w="536" w:type="pct"/>
            <w:vAlign w:val="center"/>
          </w:tcPr>
          <w:p w14:paraId="697F53C6" w14:textId="77777777" w:rsidR="007D1E74" w:rsidRDefault="00A95641">
            <w:pPr>
              <w:jc w:val="center"/>
              <w:rPr>
                <w:rFonts w:cs="Times New Roman"/>
                <w:szCs w:val="21"/>
              </w:rPr>
            </w:pPr>
            <w:r>
              <w:rPr>
                <w:rFonts w:cs="Times New Roman"/>
                <w:szCs w:val="21"/>
              </w:rPr>
              <w:t>10</w:t>
            </w:r>
          </w:p>
        </w:tc>
        <w:tc>
          <w:tcPr>
            <w:tcW w:w="505" w:type="pct"/>
            <w:vAlign w:val="center"/>
          </w:tcPr>
          <w:p w14:paraId="54BDD23B" w14:textId="77777777" w:rsidR="007D1E74" w:rsidRDefault="00A95641">
            <w:pPr>
              <w:jc w:val="center"/>
              <w:rPr>
                <w:rFonts w:cs="Times New Roman"/>
                <w:szCs w:val="21"/>
              </w:rPr>
            </w:pPr>
            <w:r>
              <w:rPr>
                <w:rFonts w:cs="Times New Roman"/>
                <w:szCs w:val="21"/>
              </w:rPr>
              <w:t>9.77</w:t>
            </w:r>
          </w:p>
        </w:tc>
      </w:tr>
      <w:tr w:rsidR="007D1E74" w14:paraId="04F64308" w14:textId="77777777">
        <w:trPr>
          <w:trHeight w:val="70"/>
          <w:jc w:val="center"/>
        </w:trPr>
        <w:tc>
          <w:tcPr>
            <w:tcW w:w="4495" w:type="pct"/>
            <w:gridSpan w:val="8"/>
            <w:vAlign w:val="center"/>
          </w:tcPr>
          <w:p w14:paraId="08D075E3" w14:textId="77777777" w:rsidR="007D1E74" w:rsidRDefault="00A95641">
            <w:pPr>
              <w:jc w:val="center"/>
              <w:rPr>
                <w:szCs w:val="21"/>
              </w:rPr>
            </w:pPr>
            <w:r>
              <w:rPr>
                <w:rFonts w:hint="eastAsia"/>
                <w:szCs w:val="21"/>
              </w:rPr>
              <w:t>合计</w:t>
            </w:r>
          </w:p>
        </w:tc>
        <w:tc>
          <w:tcPr>
            <w:tcW w:w="505" w:type="pct"/>
            <w:vAlign w:val="center"/>
          </w:tcPr>
          <w:p w14:paraId="404728D5" w14:textId="77777777" w:rsidR="007D1E74" w:rsidRDefault="00A95641">
            <w:pPr>
              <w:jc w:val="center"/>
              <w:rPr>
                <w:szCs w:val="21"/>
              </w:rPr>
            </w:pPr>
            <w:r>
              <w:rPr>
                <w:szCs w:val="21"/>
              </w:rPr>
              <w:t>15.47</w:t>
            </w:r>
          </w:p>
        </w:tc>
      </w:tr>
      <w:tr w:rsidR="007D1E74" w14:paraId="319944B7" w14:textId="77777777">
        <w:trPr>
          <w:trHeight w:val="70"/>
          <w:jc w:val="center"/>
        </w:trPr>
        <w:tc>
          <w:tcPr>
            <w:tcW w:w="5000" w:type="pct"/>
            <w:gridSpan w:val="9"/>
            <w:vAlign w:val="center"/>
          </w:tcPr>
          <w:p w14:paraId="7676409A" w14:textId="77777777" w:rsidR="007D1E74" w:rsidRDefault="00A95641">
            <w:pPr>
              <w:rPr>
                <w:szCs w:val="21"/>
              </w:rPr>
            </w:pPr>
            <w:r>
              <w:rPr>
                <w:szCs w:val="21"/>
              </w:rPr>
              <w:t>注：</w:t>
            </w:r>
            <w:r>
              <w:rPr>
                <w:rFonts w:cs="Times New Roman"/>
                <w:szCs w:val="21"/>
              </w:rPr>
              <w:t>天然气密度</w:t>
            </w:r>
            <w:r>
              <w:rPr>
                <w:rFonts w:cs="Times New Roman"/>
                <w:szCs w:val="21"/>
              </w:rPr>
              <w:t>ρ=ρ</w:t>
            </w:r>
            <w:r>
              <w:rPr>
                <w:rFonts w:cs="Times New Roman"/>
                <w:szCs w:val="21"/>
              </w:rPr>
              <w:t>（标况）</w:t>
            </w:r>
            <w:r>
              <w:rPr>
                <w:rFonts w:cs="Times New Roman"/>
                <w:szCs w:val="21"/>
              </w:rPr>
              <w:t>×P/P</w:t>
            </w:r>
            <w:r>
              <w:rPr>
                <w:rFonts w:cs="Times New Roman"/>
                <w:szCs w:val="21"/>
              </w:rPr>
              <w:t>（标况），项目</w:t>
            </w:r>
            <w:r>
              <w:rPr>
                <w:rFonts w:cs="Times New Roman" w:hint="eastAsia"/>
                <w:szCs w:val="21"/>
              </w:rPr>
              <w:t>4#</w:t>
            </w:r>
            <w:r>
              <w:rPr>
                <w:rFonts w:cs="Times New Roman" w:hint="eastAsia"/>
                <w:szCs w:val="21"/>
              </w:rPr>
              <w:t>清管阀组至草池增压站集输干线设计压力</w:t>
            </w:r>
            <w:r>
              <w:rPr>
                <w:rFonts w:cs="Times New Roman" w:hint="eastAsia"/>
                <w:szCs w:val="21"/>
              </w:rPr>
              <w:t>1</w:t>
            </w:r>
            <w:r>
              <w:rPr>
                <w:rFonts w:cs="Times New Roman"/>
                <w:szCs w:val="21"/>
              </w:rPr>
              <w:t>0MPa</w:t>
            </w:r>
            <w:r>
              <w:rPr>
                <w:rFonts w:cs="Times New Roman"/>
                <w:szCs w:val="21"/>
              </w:rPr>
              <w:t>，其余管道设计压力</w:t>
            </w:r>
            <w:r>
              <w:rPr>
                <w:rFonts w:cs="Times New Roman" w:hint="eastAsia"/>
                <w:szCs w:val="21"/>
              </w:rPr>
              <w:t>6</w:t>
            </w:r>
            <w:r>
              <w:rPr>
                <w:rFonts w:cs="Times New Roman"/>
                <w:szCs w:val="21"/>
              </w:rPr>
              <w:t>.3MPa</w:t>
            </w:r>
            <w:r>
              <w:rPr>
                <w:rFonts w:cs="Times New Roman"/>
                <w:szCs w:val="21"/>
              </w:rPr>
              <w:t>，标准状态下天然气密度按</w:t>
            </w:r>
            <w:r>
              <w:rPr>
                <w:rFonts w:cs="Times New Roman" w:hint="eastAsia"/>
                <w:szCs w:val="21"/>
              </w:rPr>
              <w:t>0</w:t>
            </w:r>
            <w:r>
              <w:rPr>
                <w:rFonts w:cs="Times New Roman"/>
                <w:szCs w:val="21"/>
              </w:rPr>
              <w:t>.72kg/m</w:t>
            </w:r>
            <w:r>
              <w:rPr>
                <w:rFonts w:cs="Times New Roman"/>
                <w:szCs w:val="21"/>
                <w:vertAlign w:val="superscript"/>
              </w:rPr>
              <w:t>3</w:t>
            </w:r>
            <w:r>
              <w:rPr>
                <w:rFonts w:cs="Times New Roman"/>
                <w:szCs w:val="21"/>
              </w:rPr>
              <w:t>计。</w:t>
            </w:r>
          </w:p>
        </w:tc>
      </w:tr>
    </w:tbl>
    <w:p w14:paraId="5FEDE231" w14:textId="77777777" w:rsidR="007D1E74" w:rsidRDefault="00A95641">
      <w:pPr>
        <w:spacing w:line="360" w:lineRule="auto"/>
        <w:ind w:firstLine="480"/>
        <w:rPr>
          <w:rFonts w:cs="宋体"/>
          <w:sz w:val="24"/>
          <w:szCs w:val="24"/>
        </w:rPr>
      </w:pPr>
      <w:r>
        <w:rPr>
          <w:rFonts w:cs="宋体" w:hint="eastAsia"/>
          <w:sz w:val="24"/>
          <w:szCs w:val="24"/>
        </w:rPr>
        <w:t>经计算，项目危险物质数量与临界量比值（</w:t>
      </w:r>
      <w:r>
        <w:rPr>
          <w:rFonts w:cs="宋体" w:hint="eastAsia"/>
          <w:i/>
          <w:sz w:val="24"/>
          <w:szCs w:val="24"/>
        </w:rPr>
        <w:t>Q</w:t>
      </w:r>
      <w:r>
        <w:rPr>
          <w:rFonts w:cs="宋体" w:hint="eastAsia"/>
          <w:sz w:val="24"/>
          <w:szCs w:val="24"/>
        </w:rPr>
        <w:t>）</w:t>
      </w:r>
      <w:r>
        <w:rPr>
          <w:rFonts w:cs="宋体" w:hint="eastAsia"/>
          <w:sz w:val="24"/>
          <w:szCs w:val="24"/>
        </w:rPr>
        <w:t>=</w:t>
      </w:r>
      <w:r>
        <w:rPr>
          <w:rFonts w:cs="宋体"/>
          <w:sz w:val="24"/>
          <w:szCs w:val="24"/>
        </w:rPr>
        <w:t>15.47</w:t>
      </w:r>
      <w:r>
        <w:rPr>
          <w:rFonts w:cs="宋体" w:hint="eastAsia"/>
          <w:sz w:val="24"/>
          <w:szCs w:val="24"/>
        </w:rPr>
        <w:t>，</w:t>
      </w:r>
      <w:r>
        <w:rPr>
          <w:rFonts w:cstheme="minorHAnsi"/>
          <w:sz w:val="24"/>
        </w:rPr>
        <w:t>10≤</w:t>
      </w:r>
      <w:r>
        <w:rPr>
          <w:rFonts w:cstheme="minorHAnsi"/>
          <w:i/>
          <w:sz w:val="24"/>
        </w:rPr>
        <w:t>Q</w:t>
      </w:r>
      <w:r>
        <w:rPr>
          <w:rFonts w:cstheme="minorHAnsi"/>
          <w:sz w:val="24"/>
        </w:rPr>
        <w:t>&lt;100</w:t>
      </w:r>
      <w:r>
        <w:rPr>
          <w:rFonts w:cstheme="minorHAnsi" w:hint="eastAsia"/>
          <w:sz w:val="24"/>
        </w:rPr>
        <w:t>。</w:t>
      </w:r>
    </w:p>
    <w:p w14:paraId="440B571B" w14:textId="77777777" w:rsidR="007D1E74" w:rsidRDefault="00A95641">
      <w:pPr>
        <w:pStyle w:val="aa"/>
      </w:pPr>
      <w:r>
        <w:rPr>
          <w:rFonts w:hint="eastAsia"/>
        </w:rPr>
        <w:t>行业及生产工艺（</w:t>
      </w:r>
      <w:r>
        <w:rPr>
          <w:rFonts w:hint="eastAsia"/>
        </w:rPr>
        <w:t>M</w:t>
      </w:r>
      <w:r>
        <w:rPr>
          <w:rFonts w:hint="eastAsia"/>
        </w:rPr>
        <w:t>）</w:t>
      </w:r>
    </w:p>
    <w:p w14:paraId="02197078" w14:textId="77777777" w:rsidR="007D1E74" w:rsidRDefault="00A95641">
      <w:pPr>
        <w:pStyle w:val="-1"/>
        <w:ind w:firstLine="480"/>
      </w:pPr>
      <w:r>
        <w:rPr>
          <w:rFonts w:hint="eastAsia"/>
        </w:rPr>
        <w:t>分析项目所属行业及生产工艺特点，按照下表评估生产工艺情况。具有多套工艺</w:t>
      </w:r>
      <w:r>
        <w:t>单元的项目，对每套生产工艺分别评分并求和。将</w:t>
      </w:r>
      <w:r>
        <w:rPr>
          <w:rFonts w:hint="eastAsia"/>
        </w:rPr>
        <w:t>M</w:t>
      </w:r>
      <w:r>
        <w:t>划分为</w:t>
      </w:r>
      <w:r>
        <w:rPr>
          <w:rFonts w:ascii="宋体" w:hAnsi="宋体" w:cs="宋体" w:hint="eastAsia"/>
        </w:rPr>
        <w:t>①</w:t>
      </w:r>
      <w:r>
        <w:t>M</w:t>
      </w:r>
      <w:r>
        <w:rPr>
          <w:rFonts w:hint="eastAsia"/>
        </w:rPr>
        <w:t>&gt;</w:t>
      </w:r>
      <w:r>
        <w:t>20</w:t>
      </w:r>
      <w:r>
        <w:t>；</w:t>
      </w:r>
      <w:r>
        <w:rPr>
          <w:rFonts w:ascii="宋体" w:hAnsi="宋体" w:cs="宋体" w:hint="eastAsia"/>
        </w:rPr>
        <w:t>②</w:t>
      </w:r>
      <w:r>
        <w:t>10</w:t>
      </w:r>
      <w:r>
        <w:rPr>
          <w:rFonts w:hint="eastAsia"/>
        </w:rPr>
        <w:t>&lt;</w:t>
      </w:r>
      <w:r>
        <w:t>M≤20</w:t>
      </w:r>
      <w:r>
        <w:t>；</w:t>
      </w:r>
      <w:r>
        <w:rPr>
          <w:rFonts w:ascii="宋体" w:hAnsi="宋体" w:cs="宋体" w:hint="eastAsia"/>
        </w:rPr>
        <w:t>③</w:t>
      </w:r>
      <w:r>
        <w:t>5</w:t>
      </w:r>
      <w:r>
        <w:rPr>
          <w:rFonts w:hint="eastAsia"/>
        </w:rPr>
        <w:t>&lt;</w:t>
      </w:r>
      <w:r>
        <w:t>M≤10</w:t>
      </w:r>
      <w:r>
        <w:t>；</w:t>
      </w:r>
      <w:r>
        <w:rPr>
          <w:rFonts w:ascii="宋体" w:hAnsi="宋体" w:cs="宋体" w:hint="eastAsia"/>
        </w:rPr>
        <w:t>④</w:t>
      </w:r>
      <w:r>
        <w:t>M=5</w:t>
      </w:r>
      <w:r>
        <w:t>，分别以</w:t>
      </w:r>
      <w:r>
        <w:t>M1</w:t>
      </w:r>
      <w:r>
        <w:t>、</w:t>
      </w:r>
      <w:r>
        <w:t>M2</w:t>
      </w:r>
      <w:r>
        <w:t>、</w:t>
      </w:r>
      <w:r>
        <w:t>M3</w:t>
      </w:r>
      <w:r>
        <w:t>和</w:t>
      </w:r>
      <w:r>
        <w:t>M4</w:t>
      </w:r>
      <w:r>
        <w:t>表示。</w:t>
      </w:r>
    </w:p>
    <w:p w14:paraId="24FC4DEA" w14:textId="77777777" w:rsidR="007D1E74" w:rsidRDefault="00A95641">
      <w:pPr>
        <w:pStyle w:val="afffffe"/>
        <w:numPr>
          <w:ilvl w:val="0"/>
          <w:numId w:val="47"/>
        </w:numPr>
        <w:spacing w:line="360" w:lineRule="auto"/>
        <w:ind w:firstLineChars="0"/>
        <w:jc w:val="center"/>
        <w:rPr>
          <w:rFonts w:eastAsia="黑体" w:cs="Times New Roman"/>
          <w:szCs w:val="21"/>
        </w:rPr>
      </w:pPr>
      <w:r>
        <w:rPr>
          <w:rFonts w:eastAsia="黑体" w:cs="Times New Roman" w:hint="eastAsia"/>
          <w:szCs w:val="21"/>
        </w:rPr>
        <w:t>行业及生产工艺（</w:t>
      </w:r>
      <w:r>
        <w:rPr>
          <w:rFonts w:eastAsia="黑体" w:cs="Times New Roman" w:hint="eastAsia"/>
          <w:szCs w:val="21"/>
        </w:rPr>
        <w:t>M</w:t>
      </w:r>
      <w:r>
        <w:rPr>
          <w:rFonts w:eastAsia="黑体" w:cs="Times New Roman" w:hint="eastAsia"/>
          <w:szCs w:val="21"/>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6097"/>
        <w:gridCol w:w="1506"/>
      </w:tblGrid>
      <w:tr w:rsidR="007D1E74" w14:paraId="48715F32" w14:textId="77777777">
        <w:trPr>
          <w:tblHeader/>
        </w:trPr>
        <w:tc>
          <w:tcPr>
            <w:tcW w:w="784" w:type="pct"/>
            <w:shd w:val="clear" w:color="auto" w:fill="auto"/>
            <w:vAlign w:val="center"/>
          </w:tcPr>
          <w:p w14:paraId="7E45C4D3" w14:textId="77777777" w:rsidR="007D1E74" w:rsidRDefault="00A95641">
            <w:pPr>
              <w:pStyle w:val="afffff8"/>
            </w:pPr>
            <w:r>
              <w:rPr>
                <w:rFonts w:hint="eastAsia"/>
              </w:rPr>
              <w:t>行业</w:t>
            </w:r>
          </w:p>
        </w:tc>
        <w:tc>
          <w:tcPr>
            <w:tcW w:w="3381" w:type="pct"/>
            <w:shd w:val="clear" w:color="auto" w:fill="auto"/>
            <w:vAlign w:val="center"/>
          </w:tcPr>
          <w:p w14:paraId="559CDA0C" w14:textId="77777777" w:rsidR="007D1E74" w:rsidRDefault="00A95641">
            <w:pPr>
              <w:pStyle w:val="afffff8"/>
            </w:pPr>
            <w:r>
              <w:rPr>
                <w:rFonts w:hint="eastAsia"/>
              </w:rPr>
              <w:t>评估依据</w:t>
            </w:r>
          </w:p>
        </w:tc>
        <w:tc>
          <w:tcPr>
            <w:tcW w:w="835" w:type="pct"/>
            <w:shd w:val="clear" w:color="auto" w:fill="auto"/>
            <w:vAlign w:val="center"/>
          </w:tcPr>
          <w:p w14:paraId="7D65E0E3" w14:textId="77777777" w:rsidR="007D1E74" w:rsidRDefault="00A95641">
            <w:pPr>
              <w:pStyle w:val="afffff8"/>
            </w:pPr>
            <w:r>
              <w:rPr>
                <w:rFonts w:hint="eastAsia"/>
              </w:rPr>
              <w:t>分值</w:t>
            </w:r>
          </w:p>
        </w:tc>
      </w:tr>
      <w:tr w:rsidR="007D1E74" w14:paraId="7A0381D8" w14:textId="77777777">
        <w:tc>
          <w:tcPr>
            <w:tcW w:w="784" w:type="pct"/>
            <w:vMerge w:val="restart"/>
            <w:shd w:val="clear" w:color="auto" w:fill="auto"/>
            <w:vAlign w:val="center"/>
          </w:tcPr>
          <w:p w14:paraId="405DEF62" w14:textId="77777777" w:rsidR="007D1E74" w:rsidRDefault="00A95641">
            <w:pPr>
              <w:pStyle w:val="afffff8"/>
              <w:jc w:val="both"/>
            </w:pPr>
            <w:r>
              <w:rPr>
                <w:rFonts w:hint="eastAsia"/>
              </w:rPr>
              <w:t>石化、化工、医药、轻工、化纤、有色冶炼等</w:t>
            </w:r>
          </w:p>
        </w:tc>
        <w:tc>
          <w:tcPr>
            <w:tcW w:w="3381" w:type="pct"/>
            <w:shd w:val="clear" w:color="auto" w:fill="auto"/>
            <w:vAlign w:val="center"/>
          </w:tcPr>
          <w:p w14:paraId="6EB563DB" w14:textId="77777777" w:rsidR="007D1E74" w:rsidRDefault="00A95641">
            <w:pPr>
              <w:pStyle w:val="afffff8"/>
              <w:jc w:val="both"/>
            </w:pPr>
            <w:r>
              <w:rPr>
                <w:rFonts w:hint="eastAsia"/>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835" w:type="pct"/>
            <w:shd w:val="clear" w:color="auto" w:fill="auto"/>
            <w:vAlign w:val="center"/>
          </w:tcPr>
          <w:p w14:paraId="3FC4BFEB" w14:textId="77777777" w:rsidR="007D1E74" w:rsidRDefault="00A95641">
            <w:pPr>
              <w:pStyle w:val="afffff8"/>
              <w:rPr>
                <w:rFonts w:cs="Times New Roman"/>
              </w:rPr>
            </w:pPr>
            <w:r>
              <w:rPr>
                <w:rFonts w:cs="Times New Roman"/>
              </w:rPr>
              <w:t>10/</w:t>
            </w:r>
            <w:r>
              <w:rPr>
                <w:rFonts w:cs="Times New Roman" w:hint="eastAsia"/>
              </w:rPr>
              <w:t>套</w:t>
            </w:r>
          </w:p>
        </w:tc>
      </w:tr>
      <w:tr w:rsidR="007D1E74" w14:paraId="0903E5D1" w14:textId="77777777">
        <w:tc>
          <w:tcPr>
            <w:tcW w:w="784" w:type="pct"/>
            <w:vMerge/>
            <w:vAlign w:val="center"/>
          </w:tcPr>
          <w:p w14:paraId="739935C0" w14:textId="77777777" w:rsidR="007D1E74" w:rsidRDefault="007D1E74">
            <w:pPr>
              <w:pStyle w:val="afffff8"/>
              <w:jc w:val="both"/>
            </w:pPr>
          </w:p>
        </w:tc>
        <w:tc>
          <w:tcPr>
            <w:tcW w:w="3381" w:type="pct"/>
            <w:shd w:val="clear" w:color="auto" w:fill="auto"/>
            <w:vAlign w:val="center"/>
          </w:tcPr>
          <w:p w14:paraId="57AFF15F" w14:textId="77777777" w:rsidR="007D1E74" w:rsidRDefault="00A95641">
            <w:pPr>
              <w:pStyle w:val="afffff8"/>
              <w:jc w:val="both"/>
            </w:pPr>
            <w:r>
              <w:rPr>
                <w:rFonts w:hint="eastAsia"/>
              </w:rPr>
              <w:t>无机酸制酸工艺、焦化工艺</w:t>
            </w:r>
          </w:p>
        </w:tc>
        <w:tc>
          <w:tcPr>
            <w:tcW w:w="835" w:type="pct"/>
            <w:shd w:val="clear" w:color="auto" w:fill="auto"/>
            <w:vAlign w:val="center"/>
          </w:tcPr>
          <w:p w14:paraId="13CBB5A3" w14:textId="77777777" w:rsidR="007D1E74" w:rsidRDefault="00A95641">
            <w:pPr>
              <w:pStyle w:val="afffff8"/>
              <w:rPr>
                <w:rFonts w:cs="Times New Roman"/>
              </w:rPr>
            </w:pPr>
            <w:r>
              <w:rPr>
                <w:rFonts w:cs="Times New Roman"/>
              </w:rPr>
              <w:t>5/</w:t>
            </w:r>
            <w:r>
              <w:rPr>
                <w:rFonts w:cs="Times New Roman" w:hint="eastAsia"/>
              </w:rPr>
              <w:t>套</w:t>
            </w:r>
          </w:p>
        </w:tc>
      </w:tr>
      <w:tr w:rsidR="007D1E74" w14:paraId="1F7C0C80" w14:textId="77777777">
        <w:tc>
          <w:tcPr>
            <w:tcW w:w="784" w:type="pct"/>
            <w:vMerge/>
            <w:vAlign w:val="center"/>
          </w:tcPr>
          <w:p w14:paraId="75942DDB" w14:textId="77777777" w:rsidR="007D1E74" w:rsidRDefault="007D1E74">
            <w:pPr>
              <w:pStyle w:val="afffff8"/>
              <w:jc w:val="both"/>
            </w:pPr>
          </w:p>
        </w:tc>
        <w:tc>
          <w:tcPr>
            <w:tcW w:w="3381" w:type="pct"/>
            <w:shd w:val="clear" w:color="auto" w:fill="auto"/>
            <w:vAlign w:val="center"/>
          </w:tcPr>
          <w:p w14:paraId="50B02DD5" w14:textId="77777777" w:rsidR="007D1E74" w:rsidRDefault="00A95641">
            <w:pPr>
              <w:pStyle w:val="afffff8"/>
              <w:jc w:val="both"/>
            </w:pPr>
            <w:r>
              <w:rPr>
                <w:rFonts w:hint="eastAsia"/>
              </w:rPr>
              <w:t>其他高温或高压，且涉及危险物质的工艺过程</w:t>
            </w:r>
            <w:r>
              <w:rPr>
                <w:rFonts w:cs="Times New Roman"/>
                <w:vertAlign w:val="superscript"/>
              </w:rPr>
              <w:t>a</w:t>
            </w:r>
            <w:r>
              <w:rPr>
                <w:rFonts w:hint="eastAsia"/>
              </w:rPr>
              <w:t>、危险物质贮存罐区</w:t>
            </w:r>
          </w:p>
        </w:tc>
        <w:tc>
          <w:tcPr>
            <w:tcW w:w="835" w:type="pct"/>
            <w:shd w:val="clear" w:color="auto" w:fill="auto"/>
            <w:vAlign w:val="center"/>
          </w:tcPr>
          <w:p w14:paraId="11DB2736" w14:textId="77777777" w:rsidR="007D1E74" w:rsidRDefault="00A95641">
            <w:pPr>
              <w:pStyle w:val="afffff8"/>
              <w:rPr>
                <w:rFonts w:cs="Times New Roman"/>
              </w:rPr>
            </w:pPr>
            <w:r>
              <w:rPr>
                <w:rFonts w:cs="Times New Roman"/>
              </w:rPr>
              <w:t>5/</w:t>
            </w:r>
            <w:r>
              <w:rPr>
                <w:rFonts w:cs="Times New Roman" w:hint="eastAsia"/>
              </w:rPr>
              <w:t>套（罐区）</w:t>
            </w:r>
          </w:p>
        </w:tc>
      </w:tr>
      <w:tr w:rsidR="007D1E74" w14:paraId="01676BB3" w14:textId="77777777">
        <w:tc>
          <w:tcPr>
            <w:tcW w:w="784" w:type="pct"/>
            <w:shd w:val="clear" w:color="auto" w:fill="auto"/>
            <w:vAlign w:val="center"/>
          </w:tcPr>
          <w:p w14:paraId="74F841B8" w14:textId="77777777" w:rsidR="007D1E74" w:rsidRDefault="00A95641">
            <w:pPr>
              <w:pStyle w:val="afffff8"/>
              <w:jc w:val="both"/>
            </w:pPr>
            <w:r>
              <w:rPr>
                <w:rFonts w:hint="eastAsia"/>
              </w:rPr>
              <w:t>管道、港口</w:t>
            </w:r>
            <w:r>
              <w:rPr>
                <w:rFonts w:cs="Times New Roman"/>
              </w:rPr>
              <w:t>/</w:t>
            </w:r>
            <w:r>
              <w:rPr>
                <w:rFonts w:hint="eastAsia"/>
              </w:rPr>
              <w:t>码头等</w:t>
            </w:r>
          </w:p>
        </w:tc>
        <w:tc>
          <w:tcPr>
            <w:tcW w:w="3381" w:type="pct"/>
            <w:shd w:val="clear" w:color="auto" w:fill="auto"/>
            <w:vAlign w:val="center"/>
          </w:tcPr>
          <w:p w14:paraId="72FE2B06" w14:textId="77777777" w:rsidR="007D1E74" w:rsidRDefault="00A95641">
            <w:pPr>
              <w:pStyle w:val="afffff8"/>
              <w:jc w:val="both"/>
            </w:pPr>
            <w:r>
              <w:rPr>
                <w:rFonts w:hint="eastAsia"/>
              </w:rPr>
              <w:t>涉及危险物质管道运输项目、港口</w:t>
            </w:r>
            <w:r>
              <w:rPr>
                <w:rFonts w:cs="Times New Roman"/>
              </w:rPr>
              <w:t>/</w:t>
            </w:r>
            <w:r>
              <w:rPr>
                <w:rFonts w:hint="eastAsia"/>
              </w:rPr>
              <w:t>码头等</w:t>
            </w:r>
          </w:p>
        </w:tc>
        <w:tc>
          <w:tcPr>
            <w:tcW w:w="835" w:type="pct"/>
            <w:shd w:val="clear" w:color="auto" w:fill="auto"/>
            <w:vAlign w:val="center"/>
          </w:tcPr>
          <w:p w14:paraId="1BC576B3" w14:textId="77777777" w:rsidR="007D1E74" w:rsidRDefault="00A95641">
            <w:pPr>
              <w:pStyle w:val="afffff8"/>
              <w:rPr>
                <w:rFonts w:cs="Times New Roman"/>
              </w:rPr>
            </w:pPr>
            <w:r>
              <w:rPr>
                <w:rFonts w:cs="Times New Roman"/>
              </w:rPr>
              <w:t>10</w:t>
            </w:r>
          </w:p>
        </w:tc>
      </w:tr>
      <w:tr w:rsidR="007D1E74" w14:paraId="45DB9264" w14:textId="77777777">
        <w:tc>
          <w:tcPr>
            <w:tcW w:w="784" w:type="pct"/>
            <w:shd w:val="clear" w:color="auto" w:fill="auto"/>
            <w:vAlign w:val="center"/>
          </w:tcPr>
          <w:p w14:paraId="779B6E1E" w14:textId="77777777" w:rsidR="007D1E74" w:rsidRDefault="00A95641">
            <w:pPr>
              <w:pStyle w:val="afffff8"/>
              <w:jc w:val="both"/>
            </w:pPr>
            <w:r>
              <w:rPr>
                <w:rFonts w:hint="eastAsia"/>
              </w:rPr>
              <w:t>石油天然气</w:t>
            </w:r>
          </w:p>
        </w:tc>
        <w:tc>
          <w:tcPr>
            <w:tcW w:w="3381" w:type="pct"/>
            <w:shd w:val="clear" w:color="auto" w:fill="auto"/>
            <w:vAlign w:val="center"/>
          </w:tcPr>
          <w:p w14:paraId="20DC68AB" w14:textId="77777777" w:rsidR="007D1E74" w:rsidRDefault="00A95641">
            <w:pPr>
              <w:pStyle w:val="afffff8"/>
              <w:jc w:val="both"/>
            </w:pPr>
            <w:r>
              <w:rPr>
                <w:rFonts w:hint="eastAsia"/>
              </w:rPr>
              <w:t>石油、天然气、页岩气开采（含净化），气库（不含加气站的气库），油库（不含加气站的油库）、油气管线</w:t>
            </w:r>
            <w:r>
              <w:rPr>
                <w:rFonts w:cs="Times New Roman"/>
                <w:vertAlign w:val="superscript"/>
              </w:rPr>
              <w:t>b</w:t>
            </w:r>
            <w:r>
              <w:rPr>
                <w:rFonts w:hint="eastAsia"/>
              </w:rPr>
              <w:t>（不含城镇燃气管线）</w:t>
            </w:r>
          </w:p>
        </w:tc>
        <w:tc>
          <w:tcPr>
            <w:tcW w:w="835" w:type="pct"/>
            <w:shd w:val="clear" w:color="auto" w:fill="auto"/>
            <w:vAlign w:val="center"/>
          </w:tcPr>
          <w:p w14:paraId="42A81933" w14:textId="77777777" w:rsidR="007D1E74" w:rsidRDefault="00A95641">
            <w:pPr>
              <w:pStyle w:val="afffff8"/>
              <w:rPr>
                <w:rFonts w:cs="Times New Roman"/>
              </w:rPr>
            </w:pPr>
            <w:r>
              <w:rPr>
                <w:rFonts w:cs="Times New Roman"/>
              </w:rPr>
              <w:t>10</w:t>
            </w:r>
          </w:p>
        </w:tc>
      </w:tr>
      <w:tr w:rsidR="007D1E74" w14:paraId="157780B9" w14:textId="77777777">
        <w:tc>
          <w:tcPr>
            <w:tcW w:w="784" w:type="pct"/>
            <w:shd w:val="clear" w:color="auto" w:fill="auto"/>
            <w:vAlign w:val="center"/>
          </w:tcPr>
          <w:p w14:paraId="138BF081" w14:textId="77777777" w:rsidR="007D1E74" w:rsidRDefault="00A95641">
            <w:pPr>
              <w:pStyle w:val="afffff8"/>
              <w:jc w:val="both"/>
            </w:pPr>
            <w:r>
              <w:rPr>
                <w:rFonts w:hint="eastAsia"/>
              </w:rPr>
              <w:t>其他</w:t>
            </w:r>
          </w:p>
        </w:tc>
        <w:tc>
          <w:tcPr>
            <w:tcW w:w="3381" w:type="pct"/>
            <w:shd w:val="clear" w:color="auto" w:fill="auto"/>
            <w:vAlign w:val="center"/>
          </w:tcPr>
          <w:p w14:paraId="7A964719" w14:textId="77777777" w:rsidR="007D1E74" w:rsidRDefault="00A95641">
            <w:pPr>
              <w:pStyle w:val="afffff8"/>
              <w:jc w:val="both"/>
            </w:pPr>
            <w:r>
              <w:rPr>
                <w:rFonts w:hint="eastAsia"/>
              </w:rPr>
              <w:t>涉及危险物质使用、贮存的项目</w:t>
            </w:r>
          </w:p>
        </w:tc>
        <w:tc>
          <w:tcPr>
            <w:tcW w:w="835" w:type="pct"/>
            <w:shd w:val="clear" w:color="auto" w:fill="auto"/>
            <w:vAlign w:val="center"/>
          </w:tcPr>
          <w:p w14:paraId="723279CC" w14:textId="77777777" w:rsidR="007D1E74" w:rsidRDefault="00A95641">
            <w:pPr>
              <w:pStyle w:val="afffff8"/>
              <w:rPr>
                <w:rFonts w:cs="Times New Roman"/>
              </w:rPr>
            </w:pPr>
            <w:r>
              <w:rPr>
                <w:rFonts w:cs="Times New Roman"/>
              </w:rPr>
              <w:t>5</w:t>
            </w:r>
          </w:p>
        </w:tc>
      </w:tr>
      <w:tr w:rsidR="007D1E74" w14:paraId="36343836" w14:textId="77777777">
        <w:trPr>
          <w:trHeight w:val="634"/>
        </w:trPr>
        <w:tc>
          <w:tcPr>
            <w:tcW w:w="0" w:type="auto"/>
            <w:gridSpan w:val="3"/>
            <w:shd w:val="clear" w:color="auto" w:fill="auto"/>
            <w:vAlign w:val="center"/>
          </w:tcPr>
          <w:p w14:paraId="2491E531" w14:textId="77777777" w:rsidR="007D1E74" w:rsidRDefault="00A95641">
            <w:pPr>
              <w:pStyle w:val="afffff8"/>
              <w:jc w:val="both"/>
              <w:rPr>
                <w:rFonts w:cs="Times New Roman"/>
              </w:rPr>
            </w:pPr>
            <w:r>
              <w:rPr>
                <w:rFonts w:cs="Times New Roman" w:hint="eastAsia"/>
              </w:rPr>
              <w:t>注：</w:t>
            </w:r>
            <w:r>
              <w:rPr>
                <w:rFonts w:cs="Times New Roman"/>
                <w:vertAlign w:val="superscript"/>
              </w:rPr>
              <w:t>a</w:t>
            </w:r>
            <w:r>
              <w:rPr>
                <w:rFonts w:cs="Times New Roman" w:hint="eastAsia"/>
              </w:rPr>
              <w:t>高温指工艺温度</w:t>
            </w:r>
            <w:r>
              <w:rPr>
                <w:rFonts w:cs="Times New Roman"/>
              </w:rPr>
              <w:t>≥300</w:t>
            </w:r>
            <w:r>
              <w:rPr>
                <w:rFonts w:cs="Times New Roman" w:hint="eastAsia"/>
              </w:rPr>
              <w:t>℃，高压指压力容器的设计压力（</w:t>
            </w:r>
            <w:r>
              <w:rPr>
                <w:rFonts w:cs="Times New Roman"/>
              </w:rPr>
              <w:t>P</w:t>
            </w:r>
            <w:r>
              <w:rPr>
                <w:rFonts w:cs="Times New Roman" w:hint="eastAsia"/>
              </w:rPr>
              <w:t>）</w:t>
            </w:r>
            <w:r>
              <w:rPr>
                <w:rFonts w:cs="Times New Roman"/>
              </w:rPr>
              <w:t>≥10.0MPa</w:t>
            </w:r>
            <w:r>
              <w:rPr>
                <w:rFonts w:cs="Times New Roman" w:hint="eastAsia"/>
              </w:rPr>
              <w:t>；</w:t>
            </w:r>
          </w:p>
          <w:p w14:paraId="0C12542F" w14:textId="77777777" w:rsidR="007D1E74" w:rsidRDefault="00A95641">
            <w:pPr>
              <w:pStyle w:val="afffff8"/>
              <w:ind w:firstLineChars="200" w:firstLine="420"/>
              <w:jc w:val="both"/>
              <w:rPr>
                <w:rFonts w:cs="Times New Roman"/>
              </w:rPr>
            </w:pPr>
            <w:r>
              <w:rPr>
                <w:rFonts w:cs="Times New Roman"/>
                <w:vertAlign w:val="superscript"/>
              </w:rPr>
              <w:t xml:space="preserve">b </w:t>
            </w:r>
            <w:r>
              <w:rPr>
                <w:rFonts w:cs="Times New Roman" w:hint="eastAsia"/>
              </w:rPr>
              <w:t>长输管道运输项目应按站场、管线分段进行评价。</w:t>
            </w:r>
          </w:p>
        </w:tc>
      </w:tr>
    </w:tbl>
    <w:p w14:paraId="0C5D3EBF" w14:textId="77777777" w:rsidR="007D1E74" w:rsidRDefault="00A95641">
      <w:pPr>
        <w:spacing w:line="360" w:lineRule="auto"/>
        <w:ind w:firstLineChars="200" w:firstLine="480"/>
        <w:rPr>
          <w:sz w:val="24"/>
          <w:szCs w:val="24"/>
        </w:rPr>
      </w:pPr>
      <w:r>
        <w:rPr>
          <w:rFonts w:hint="eastAsia"/>
          <w:sz w:val="24"/>
          <w:szCs w:val="24"/>
        </w:rPr>
        <w:t>本项目为天然气集输管线，属上表石油天然气行业中油气管线（不含城镇燃气管线），</w:t>
      </w:r>
      <w:r>
        <w:rPr>
          <w:rFonts w:hint="eastAsia"/>
          <w:sz w:val="24"/>
          <w:szCs w:val="24"/>
        </w:rPr>
        <w:t>M</w:t>
      </w:r>
      <w:r>
        <w:rPr>
          <w:rFonts w:hint="eastAsia"/>
          <w:sz w:val="24"/>
          <w:szCs w:val="24"/>
        </w:rPr>
        <w:t>值</w:t>
      </w:r>
      <w:r>
        <w:rPr>
          <w:rFonts w:hint="eastAsia"/>
          <w:sz w:val="24"/>
          <w:szCs w:val="24"/>
        </w:rPr>
        <w:t>=10</w:t>
      </w:r>
      <w:r>
        <w:rPr>
          <w:rFonts w:hint="eastAsia"/>
          <w:sz w:val="24"/>
          <w:szCs w:val="24"/>
        </w:rPr>
        <w:t>，判定为</w:t>
      </w:r>
      <w:r>
        <w:rPr>
          <w:rFonts w:hint="eastAsia"/>
          <w:sz w:val="24"/>
          <w:szCs w:val="24"/>
        </w:rPr>
        <w:t>M3</w:t>
      </w:r>
      <w:r>
        <w:rPr>
          <w:rFonts w:hint="eastAsia"/>
          <w:sz w:val="24"/>
          <w:szCs w:val="24"/>
        </w:rPr>
        <w:t>。</w:t>
      </w:r>
    </w:p>
    <w:p w14:paraId="703CD1AB" w14:textId="77777777" w:rsidR="007D1E74" w:rsidRDefault="00A95641">
      <w:pPr>
        <w:pStyle w:val="aa"/>
      </w:pPr>
      <w:r>
        <w:rPr>
          <w:rFonts w:hint="eastAsia"/>
        </w:rPr>
        <w:t>危险物质及工艺系统危险性（</w:t>
      </w:r>
      <w:r>
        <w:rPr>
          <w:rFonts w:hint="eastAsia"/>
        </w:rPr>
        <w:t>P</w:t>
      </w:r>
      <w:r>
        <w:rPr>
          <w:rFonts w:hint="eastAsia"/>
        </w:rPr>
        <w:t>）分级</w:t>
      </w:r>
    </w:p>
    <w:p w14:paraId="6844745F" w14:textId="77777777" w:rsidR="007D1E74" w:rsidRDefault="00A95641">
      <w:pPr>
        <w:spacing w:line="360" w:lineRule="auto"/>
        <w:ind w:firstLineChars="200" w:firstLine="480"/>
        <w:rPr>
          <w:sz w:val="24"/>
          <w:szCs w:val="24"/>
        </w:rPr>
      </w:pPr>
      <w:r>
        <w:rPr>
          <w:rFonts w:hint="eastAsia"/>
          <w:sz w:val="24"/>
          <w:szCs w:val="24"/>
        </w:rPr>
        <w:lastRenderedPageBreak/>
        <w:t>根据危险物质数量与临界量比值（</w:t>
      </w:r>
      <w:r>
        <w:rPr>
          <w:rFonts w:hint="eastAsia"/>
          <w:sz w:val="24"/>
          <w:szCs w:val="24"/>
        </w:rPr>
        <w:t>Q</w:t>
      </w:r>
      <w:r>
        <w:rPr>
          <w:rFonts w:hint="eastAsia"/>
          <w:sz w:val="24"/>
          <w:szCs w:val="24"/>
        </w:rPr>
        <w:t>）和行业及生产工艺（</w:t>
      </w:r>
      <w:r>
        <w:rPr>
          <w:rFonts w:hint="eastAsia"/>
          <w:sz w:val="24"/>
          <w:szCs w:val="24"/>
        </w:rPr>
        <w:t>M</w:t>
      </w:r>
      <w:r>
        <w:rPr>
          <w:rFonts w:hint="eastAsia"/>
          <w:sz w:val="24"/>
          <w:szCs w:val="24"/>
        </w:rPr>
        <w:t>），按照下表确定危险物质及工艺系统危险性等级（</w:t>
      </w:r>
      <w:r>
        <w:rPr>
          <w:rFonts w:hint="eastAsia"/>
          <w:sz w:val="24"/>
          <w:szCs w:val="24"/>
        </w:rPr>
        <w:t>P</w:t>
      </w:r>
      <w:r>
        <w:rPr>
          <w:rFonts w:hint="eastAsia"/>
          <w:sz w:val="24"/>
          <w:szCs w:val="24"/>
        </w:rPr>
        <w:t>），分别以</w:t>
      </w:r>
      <w:r>
        <w:rPr>
          <w:rFonts w:hint="eastAsia"/>
          <w:sz w:val="24"/>
          <w:szCs w:val="24"/>
        </w:rPr>
        <w:t>P1</w:t>
      </w:r>
      <w:r>
        <w:rPr>
          <w:rFonts w:hint="eastAsia"/>
          <w:sz w:val="24"/>
          <w:szCs w:val="24"/>
        </w:rPr>
        <w:t>、</w:t>
      </w:r>
      <w:r>
        <w:rPr>
          <w:rFonts w:hint="eastAsia"/>
          <w:sz w:val="24"/>
          <w:szCs w:val="24"/>
        </w:rPr>
        <w:t>P2</w:t>
      </w:r>
      <w:r>
        <w:rPr>
          <w:rFonts w:hint="eastAsia"/>
          <w:sz w:val="24"/>
          <w:szCs w:val="24"/>
        </w:rPr>
        <w:t>、</w:t>
      </w:r>
      <w:r>
        <w:rPr>
          <w:rFonts w:hint="eastAsia"/>
          <w:sz w:val="24"/>
          <w:szCs w:val="24"/>
        </w:rPr>
        <w:t>P3</w:t>
      </w:r>
      <w:r>
        <w:rPr>
          <w:rFonts w:hint="eastAsia"/>
          <w:sz w:val="24"/>
          <w:szCs w:val="24"/>
        </w:rPr>
        <w:t>、</w:t>
      </w:r>
      <w:r>
        <w:rPr>
          <w:rFonts w:hint="eastAsia"/>
          <w:sz w:val="24"/>
          <w:szCs w:val="24"/>
        </w:rPr>
        <w:t xml:space="preserve">P4 </w:t>
      </w:r>
      <w:r>
        <w:rPr>
          <w:rFonts w:hint="eastAsia"/>
          <w:sz w:val="24"/>
          <w:szCs w:val="24"/>
        </w:rPr>
        <w:t>表示。</w:t>
      </w:r>
    </w:p>
    <w:p w14:paraId="2531460B" w14:textId="77777777" w:rsidR="007D1E74" w:rsidRDefault="007D1E74">
      <w:pPr>
        <w:spacing w:line="360" w:lineRule="auto"/>
        <w:ind w:firstLineChars="200" w:firstLine="480"/>
        <w:rPr>
          <w:sz w:val="24"/>
          <w:szCs w:val="24"/>
        </w:rPr>
      </w:pPr>
    </w:p>
    <w:p w14:paraId="6E58CC31" w14:textId="77777777" w:rsidR="007D1E74" w:rsidRDefault="00A95641">
      <w:pPr>
        <w:pStyle w:val="afffffe"/>
        <w:numPr>
          <w:ilvl w:val="0"/>
          <w:numId w:val="47"/>
        </w:numPr>
        <w:spacing w:line="360" w:lineRule="auto"/>
        <w:ind w:firstLineChars="0"/>
        <w:jc w:val="center"/>
        <w:rPr>
          <w:rFonts w:eastAsia="黑体" w:cs="Times New Roman"/>
          <w:szCs w:val="21"/>
        </w:rPr>
      </w:pPr>
      <w:r>
        <w:rPr>
          <w:rFonts w:eastAsia="黑体" w:cs="Times New Roman" w:hint="eastAsia"/>
          <w:szCs w:val="21"/>
        </w:rPr>
        <w:t>危险物质及工艺系统危险性等级判断（</w:t>
      </w:r>
      <w:r>
        <w:rPr>
          <w:rFonts w:eastAsia="黑体" w:cs="Times New Roman" w:hint="eastAsia"/>
          <w:szCs w:val="21"/>
        </w:rPr>
        <w:t>P</w:t>
      </w:r>
      <w:r>
        <w:rPr>
          <w:rFonts w:eastAsia="黑体" w:cs="Times New Roman" w:hint="eastAsia"/>
          <w:szCs w:val="21"/>
        </w:rPr>
        <w:t>）</w:t>
      </w:r>
    </w:p>
    <w:tbl>
      <w:tblPr>
        <w:tblW w:w="5000" w:type="pct"/>
        <w:tblLook w:val="04A0" w:firstRow="1" w:lastRow="0" w:firstColumn="1" w:lastColumn="0" w:noHBand="0" w:noVBand="1"/>
      </w:tblPr>
      <w:tblGrid>
        <w:gridCol w:w="2403"/>
        <w:gridCol w:w="1652"/>
        <w:gridCol w:w="1654"/>
        <w:gridCol w:w="1652"/>
        <w:gridCol w:w="1655"/>
      </w:tblGrid>
      <w:tr w:rsidR="007D1E74" w14:paraId="3E45459C" w14:textId="77777777">
        <w:trPr>
          <w:trHeight w:val="70"/>
        </w:trPr>
        <w:tc>
          <w:tcPr>
            <w:tcW w:w="1333"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F9E567B" w14:textId="77777777" w:rsidR="007D1E74" w:rsidRDefault="00A95641">
            <w:pPr>
              <w:widowControl/>
              <w:jc w:val="center"/>
              <w:rPr>
                <w:rFonts w:ascii="宋体" w:hAnsi="宋体" w:cs="宋体"/>
                <w:kern w:val="0"/>
                <w:szCs w:val="21"/>
              </w:rPr>
            </w:pPr>
            <w:r>
              <w:rPr>
                <w:rFonts w:ascii="宋体" w:hAnsi="宋体" w:cs="宋体" w:hint="eastAsia"/>
                <w:kern w:val="0"/>
                <w:szCs w:val="21"/>
              </w:rPr>
              <w:t>危险物质数量与临界量比值（</w:t>
            </w:r>
            <w:r>
              <w:rPr>
                <w:rFonts w:cs="Times New Roman"/>
                <w:kern w:val="0"/>
                <w:szCs w:val="21"/>
              </w:rPr>
              <w:t>Q</w:t>
            </w:r>
            <w:r>
              <w:rPr>
                <w:rFonts w:ascii="宋体" w:hAnsi="宋体" w:cs="宋体" w:hint="eastAsia"/>
                <w:kern w:val="0"/>
                <w:szCs w:val="21"/>
              </w:rPr>
              <w:t>）</w:t>
            </w:r>
          </w:p>
        </w:tc>
        <w:tc>
          <w:tcPr>
            <w:tcW w:w="3667" w:type="pct"/>
            <w:gridSpan w:val="4"/>
            <w:tcBorders>
              <w:top w:val="single" w:sz="4" w:space="0" w:color="auto"/>
              <w:left w:val="nil"/>
              <w:bottom w:val="single" w:sz="4" w:space="0" w:color="auto"/>
              <w:right w:val="single" w:sz="4" w:space="0" w:color="auto"/>
            </w:tcBorders>
            <w:shd w:val="clear" w:color="auto" w:fill="auto"/>
            <w:vAlign w:val="center"/>
          </w:tcPr>
          <w:p w14:paraId="58688F10" w14:textId="77777777" w:rsidR="007D1E74" w:rsidRDefault="00A95641">
            <w:pPr>
              <w:widowControl/>
              <w:jc w:val="center"/>
              <w:rPr>
                <w:rFonts w:ascii="宋体" w:hAnsi="宋体" w:cs="宋体"/>
                <w:kern w:val="0"/>
                <w:szCs w:val="21"/>
              </w:rPr>
            </w:pPr>
            <w:r>
              <w:rPr>
                <w:rFonts w:ascii="宋体" w:hAnsi="宋体" w:cs="宋体" w:hint="eastAsia"/>
                <w:kern w:val="0"/>
                <w:szCs w:val="21"/>
              </w:rPr>
              <w:t>行业及生产工艺（</w:t>
            </w:r>
            <w:r>
              <w:rPr>
                <w:rFonts w:cs="Times New Roman"/>
                <w:kern w:val="0"/>
                <w:szCs w:val="21"/>
              </w:rPr>
              <w:t>M</w:t>
            </w:r>
            <w:r>
              <w:rPr>
                <w:rFonts w:ascii="宋体" w:hAnsi="宋体" w:cs="宋体" w:hint="eastAsia"/>
                <w:kern w:val="0"/>
                <w:szCs w:val="21"/>
              </w:rPr>
              <w:t>）</w:t>
            </w:r>
          </w:p>
        </w:tc>
      </w:tr>
      <w:tr w:rsidR="007D1E74" w14:paraId="40756DF0" w14:textId="77777777">
        <w:trPr>
          <w:trHeight w:val="285"/>
        </w:trPr>
        <w:tc>
          <w:tcPr>
            <w:tcW w:w="1333" w:type="pct"/>
            <w:vMerge/>
            <w:tcBorders>
              <w:top w:val="single" w:sz="4" w:space="0" w:color="auto"/>
              <w:left w:val="single" w:sz="4" w:space="0" w:color="auto"/>
              <w:bottom w:val="single" w:sz="4" w:space="0" w:color="auto"/>
              <w:right w:val="single" w:sz="4" w:space="0" w:color="auto"/>
            </w:tcBorders>
            <w:vAlign w:val="center"/>
          </w:tcPr>
          <w:p w14:paraId="028C41A0" w14:textId="77777777" w:rsidR="007D1E74" w:rsidRDefault="007D1E74">
            <w:pPr>
              <w:widowControl/>
              <w:jc w:val="left"/>
              <w:rPr>
                <w:rFonts w:ascii="宋体" w:hAnsi="宋体" w:cs="宋体"/>
                <w:kern w:val="0"/>
                <w:szCs w:val="21"/>
              </w:rPr>
            </w:pPr>
          </w:p>
        </w:tc>
        <w:tc>
          <w:tcPr>
            <w:tcW w:w="916" w:type="pct"/>
            <w:tcBorders>
              <w:top w:val="nil"/>
              <w:left w:val="nil"/>
              <w:bottom w:val="single" w:sz="4" w:space="0" w:color="auto"/>
              <w:right w:val="single" w:sz="4" w:space="0" w:color="auto"/>
            </w:tcBorders>
            <w:shd w:val="clear" w:color="auto" w:fill="auto"/>
            <w:vAlign w:val="center"/>
          </w:tcPr>
          <w:p w14:paraId="59BE4355" w14:textId="77777777" w:rsidR="007D1E74" w:rsidRDefault="00A95641">
            <w:pPr>
              <w:widowControl/>
              <w:jc w:val="center"/>
              <w:rPr>
                <w:rFonts w:cs="Times New Roman"/>
                <w:kern w:val="0"/>
                <w:szCs w:val="21"/>
              </w:rPr>
            </w:pPr>
            <w:r>
              <w:rPr>
                <w:rFonts w:cs="Times New Roman"/>
                <w:kern w:val="0"/>
                <w:szCs w:val="21"/>
              </w:rPr>
              <w:t>M1</w:t>
            </w:r>
          </w:p>
        </w:tc>
        <w:tc>
          <w:tcPr>
            <w:tcW w:w="917" w:type="pct"/>
            <w:tcBorders>
              <w:top w:val="nil"/>
              <w:left w:val="nil"/>
              <w:bottom w:val="single" w:sz="4" w:space="0" w:color="auto"/>
              <w:right w:val="single" w:sz="4" w:space="0" w:color="auto"/>
            </w:tcBorders>
            <w:shd w:val="clear" w:color="auto" w:fill="auto"/>
            <w:vAlign w:val="center"/>
          </w:tcPr>
          <w:p w14:paraId="7329F429" w14:textId="77777777" w:rsidR="007D1E74" w:rsidRDefault="00A95641">
            <w:pPr>
              <w:widowControl/>
              <w:jc w:val="center"/>
              <w:rPr>
                <w:rFonts w:cs="Times New Roman"/>
                <w:kern w:val="0"/>
                <w:szCs w:val="21"/>
              </w:rPr>
            </w:pPr>
            <w:r>
              <w:rPr>
                <w:rFonts w:cs="Times New Roman"/>
                <w:kern w:val="0"/>
                <w:szCs w:val="21"/>
              </w:rPr>
              <w:t>M2</w:t>
            </w:r>
          </w:p>
        </w:tc>
        <w:tc>
          <w:tcPr>
            <w:tcW w:w="916" w:type="pct"/>
            <w:tcBorders>
              <w:top w:val="nil"/>
              <w:left w:val="nil"/>
              <w:bottom w:val="single" w:sz="4" w:space="0" w:color="auto"/>
              <w:right w:val="single" w:sz="4" w:space="0" w:color="auto"/>
            </w:tcBorders>
            <w:shd w:val="clear" w:color="auto" w:fill="auto"/>
            <w:vAlign w:val="center"/>
          </w:tcPr>
          <w:p w14:paraId="2B88C966" w14:textId="77777777" w:rsidR="007D1E74" w:rsidRDefault="00A95641">
            <w:pPr>
              <w:widowControl/>
              <w:jc w:val="center"/>
              <w:rPr>
                <w:rFonts w:cs="Times New Roman"/>
                <w:kern w:val="0"/>
                <w:szCs w:val="21"/>
              </w:rPr>
            </w:pPr>
            <w:r>
              <w:rPr>
                <w:rFonts w:cs="Times New Roman"/>
                <w:kern w:val="0"/>
                <w:szCs w:val="21"/>
              </w:rPr>
              <w:t>M3</w:t>
            </w:r>
          </w:p>
        </w:tc>
        <w:tc>
          <w:tcPr>
            <w:tcW w:w="918" w:type="pct"/>
            <w:tcBorders>
              <w:top w:val="nil"/>
              <w:left w:val="nil"/>
              <w:bottom w:val="single" w:sz="4" w:space="0" w:color="auto"/>
              <w:right w:val="single" w:sz="4" w:space="0" w:color="auto"/>
            </w:tcBorders>
            <w:shd w:val="clear" w:color="auto" w:fill="auto"/>
            <w:vAlign w:val="center"/>
          </w:tcPr>
          <w:p w14:paraId="39A31550" w14:textId="77777777" w:rsidR="007D1E74" w:rsidRDefault="00A95641">
            <w:pPr>
              <w:widowControl/>
              <w:jc w:val="center"/>
              <w:rPr>
                <w:rFonts w:cs="Times New Roman"/>
                <w:kern w:val="0"/>
                <w:szCs w:val="21"/>
              </w:rPr>
            </w:pPr>
            <w:r>
              <w:rPr>
                <w:rFonts w:cs="Times New Roman"/>
                <w:kern w:val="0"/>
                <w:szCs w:val="21"/>
              </w:rPr>
              <w:t>M4</w:t>
            </w:r>
          </w:p>
        </w:tc>
      </w:tr>
      <w:tr w:rsidR="007D1E74" w14:paraId="55F29943" w14:textId="77777777">
        <w:trPr>
          <w:trHeight w:val="285"/>
        </w:trPr>
        <w:tc>
          <w:tcPr>
            <w:tcW w:w="1333" w:type="pct"/>
            <w:tcBorders>
              <w:top w:val="nil"/>
              <w:left w:val="single" w:sz="4" w:space="0" w:color="auto"/>
              <w:bottom w:val="single" w:sz="4" w:space="0" w:color="auto"/>
              <w:right w:val="single" w:sz="4" w:space="0" w:color="auto"/>
            </w:tcBorders>
            <w:shd w:val="clear" w:color="auto" w:fill="auto"/>
            <w:vAlign w:val="center"/>
          </w:tcPr>
          <w:p w14:paraId="74075BCA" w14:textId="77777777" w:rsidR="007D1E74" w:rsidRDefault="00A95641">
            <w:pPr>
              <w:widowControl/>
              <w:jc w:val="center"/>
              <w:rPr>
                <w:rFonts w:cs="Times New Roman"/>
                <w:kern w:val="0"/>
                <w:szCs w:val="21"/>
              </w:rPr>
            </w:pPr>
            <w:r>
              <w:rPr>
                <w:rFonts w:cs="Times New Roman"/>
                <w:kern w:val="0"/>
                <w:szCs w:val="21"/>
              </w:rPr>
              <w:t>Q≥100</w:t>
            </w:r>
          </w:p>
        </w:tc>
        <w:tc>
          <w:tcPr>
            <w:tcW w:w="916" w:type="pct"/>
            <w:tcBorders>
              <w:top w:val="nil"/>
              <w:left w:val="nil"/>
              <w:bottom w:val="single" w:sz="4" w:space="0" w:color="auto"/>
              <w:right w:val="single" w:sz="4" w:space="0" w:color="auto"/>
            </w:tcBorders>
            <w:shd w:val="clear" w:color="auto" w:fill="auto"/>
            <w:vAlign w:val="center"/>
          </w:tcPr>
          <w:p w14:paraId="595938C9" w14:textId="77777777" w:rsidR="007D1E74" w:rsidRDefault="00A95641">
            <w:pPr>
              <w:widowControl/>
              <w:jc w:val="center"/>
              <w:rPr>
                <w:rFonts w:cs="Times New Roman"/>
                <w:kern w:val="0"/>
                <w:szCs w:val="21"/>
              </w:rPr>
            </w:pPr>
            <w:r>
              <w:rPr>
                <w:rFonts w:cs="Times New Roman"/>
                <w:kern w:val="0"/>
                <w:szCs w:val="21"/>
              </w:rPr>
              <w:t>P1</w:t>
            </w:r>
          </w:p>
        </w:tc>
        <w:tc>
          <w:tcPr>
            <w:tcW w:w="917" w:type="pct"/>
            <w:tcBorders>
              <w:top w:val="nil"/>
              <w:left w:val="nil"/>
              <w:bottom w:val="single" w:sz="4" w:space="0" w:color="auto"/>
              <w:right w:val="single" w:sz="4" w:space="0" w:color="auto"/>
            </w:tcBorders>
            <w:shd w:val="clear" w:color="auto" w:fill="auto"/>
            <w:vAlign w:val="center"/>
          </w:tcPr>
          <w:p w14:paraId="4EE46025" w14:textId="77777777" w:rsidR="007D1E74" w:rsidRDefault="00A95641">
            <w:pPr>
              <w:widowControl/>
              <w:jc w:val="center"/>
              <w:rPr>
                <w:rFonts w:cs="Times New Roman"/>
                <w:kern w:val="0"/>
                <w:szCs w:val="21"/>
              </w:rPr>
            </w:pPr>
            <w:r>
              <w:rPr>
                <w:rFonts w:cs="Times New Roman"/>
                <w:kern w:val="0"/>
                <w:szCs w:val="21"/>
              </w:rPr>
              <w:t>P1</w:t>
            </w:r>
          </w:p>
        </w:tc>
        <w:tc>
          <w:tcPr>
            <w:tcW w:w="916" w:type="pct"/>
            <w:tcBorders>
              <w:top w:val="nil"/>
              <w:left w:val="nil"/>
              <w:bottom w:val="single" w:sz="4" w:space="0" w:color="auto"/>
              <w:right w:val="single" w:sz="4" w:space="0" w:color="auto"/>
            </w:tcBorders>
            <w:shd w:val="clear" w:color="auto" w:fill="auto"/>
            <w:vAlign w:val="center"/>
          </w:tcPr>
          <w:p w14:paraId="2A493F36" w14:textId="77777777" w:rsidR="007D1E74" w:rsidRDefault="00A95641">
            <w:pPr>
              <w:widowControl/>
              <w:jc w:val="center"/>
              <w:rPr>
                <w:rFonts w:cs="Times New Roman"/>
                <w:kern w:val="0"/>
                <w:szCs w:val="21"/>
              </w:rPr>
            </w:pPr>
            <w:r>
              <w:rPr>
                <w:rFonts w:cs="Times New Roman"/>
                <w:kern w:val="0"/>
                <w:szCs w:val="21"/>
              </w:rPr>
              <w:t>P2</w:t>
            </w:r>
          </w:p>
        </w:tc>
        <w:tc>
          <w:tcPr>
            <w:tcW w:w="918" w:type="pct"/>
            <w:tcBorders>
              <w:top w:val="nil"/>
              <w:left w:val="nil"/>
              <w:bottom w:val="single" w:sz="4" w:space="0" w:color="auto"/>
              <w:right w:val="single" w:sz="4" w:space="0" w:color="auto"/>
            </w:tcBorders>
            <w:shd w:val="clear" w:color="auto" w:fill="auto"/>
            <w:vAlign w:val="center"/>
          </w:tcPr>
          <w:p w14:paraId="570AD74D" w14:textId="77777777" w:rsidR="007D1E74" w:rsidRDefault="00A95641">
            <w:pPr>
              <w:widowControl/>
              <w:jc w:val="center"/>
              <w:rPr>
                <w:rFonts w:cs="Times New Roman"/>
                <w:kern w:val="0"/>
                <w:szCs w:val="21"/>
              </w:rPr>
            </w:pPr>
            <w:r>
              <w:rPr>
                <w:rFonts w:cs="Times New Roman"/>
                <w:kern w:val="0"/>
                <w:szCs w:val="21"/>
              </w:rPr>
              <w:t>P3</w:t>
            </w:r>
          </w:p>
        </w:tc>
      </w:tr>
      <w:tr w:rsidR="007D1E74" w14:paraId="71376114" w14:textId="77777777">
        <w:trPr>
          <w:trHeight w:val="285"/>
        </w:trPr>
        <w:tc>
          <w:tcPr>
            <w:tcW w:w="1333" w:type="pct"/>
            <w:tcBorders>
              <w:top w:val="nil"/>
              <w:left w:val="single" w:sz="4" w:space="0" w:color="auto"/>
              <w:bottom w:val="single" w:sz="4" w:space="0" w:color="auto"/>
              <w:right w:val="single" w:sz="4" w:space="0" w:color="auto"/>
            </w:tcBorders>
            <w:shd w:val="clear" w:color="auto" w:fill="auto"/>
            <w:vAlign w:val="center"/>
          </w:tcPr>
          <w:p w14:paraId="56EE7595" w14:textId="77777777" w:rsidR="007D1E74" w:rsidRDefault="00A95641">
            <w:pPr>
              <w:widowControl/>
              <w:jc w:val="center"/>
              <w:rPr>
                <w:rFonts w:cs="Times New Roman"/>
                <w:kern w:val="0"/>
                <w:szCs w:val="21"/>
              </w:rPr>
            </w:pPr>
            <w:r>
              <w:rPr>
                <w:rFonts w:cs="Times New Roman"/>
                <w:kern w:val="0"/>
                <w:szCs w:val="21"/>
              </w:rPr>
              <w:t>10≤Q</w:t>
            </w:r>
            <w:r>
              <w:rPr>
                <w:rFonts w:cs="Times New Roman" w:hint="eastAsia"/>
                <w:kern w:val="0"/>
                <w:szCs w:val="21"/>
              </w:rPr>
              <w:t>&lt;</w:t>
            </w:r>
            <w:r>
              <w:rPr>
                <w:rFonts w:cs="Times New Roman"/>
                <w:kern w:val="0"/>
                <w:szCs w:val="21"/>
              </w:rPr>
              <w:t>100</w:t>
            </w:r>
          </w:p>
        </w:tc>
        <w:tc>
          <w:tcPr>
            <w:tcW w:w="916" w:type="pct"/>
            <w:tcBorders>
              <w:top w:val="nil"/>
              <w:left w:val="nil"/>
              <w:bottom w:val="single" w:sz="4" w:space="0" w:color="auto"/>
              <w:right w:val="single" w:sz="4" w:space="0" w:color="auto"/>
            </w:tcBorders>
            <w:shd w:val="clear" w:color="auto" w:fill="auto"/>
            <w:vAlign w:val="center"/>
          </w:tcPr>
          <w:p w14:paraId="1521B198" w14:textId="77777777" w:rsidR="007D1E74" w:rsidRDefault="00A95641">
            <w:pPr>
              <w:widowControl/>
              <w:jc w:val="center"/>
              <w:rPr>
                <w:rFonts w:cs="Times New Roman"/>
                <w:kern w:val="0"/>
                <w:szCs w:val="21"/>
              </w:rPr>
            </w:pPr>
            <w:r>
              <w:rPr>
                <w:rFonts w:cs="Times New Roman"/>
                <w:kern w:val="0"/>
                <w:szCs w:val="21"/>
              </w:rPr>
              <w:t>P1</w:t>
            </w:r>
          </w:p>
        </w:tc>
        <w:tc>
          <w:tcPr>
            <w:tcW w:w="917" w:type="pct"/>
            <w:tcBorders>
              <w:top w:val="nil"/>
              <w:left w:val="nil"/>
              <w:bottom w:val="single" w:sz="4" w:space="0" w:color="auto"/>
              <w:right w:val="single" w:sz="4" w:space="0" w:color="auto"/>
            </w:tcBorders>
            <w:shd w:val="clear" w:color="auto" w:fill="auto"/>
            <w:vAlign w:val="center"/>
          </w:tcPr>
          <w:p w14:paraId="48A6CD3D" w14:textId="77777777" w:rsidR="007D1E74" w:rsidRDefault="00A95641">
            <w:pPr>
              <w:widowControl/>
              <w:jc w:val="center"/>
              <w:rPr>
                <w:rFonts w:cs="Times New Roman"/>
                <w:kern w:val="0"/>
                <w:szCs w:val="21"/>
              </w:rPr>
            </w:pPr>
            <w:r>
              <w:rPr>
                <w:rFonts w:cs="Times New Roman"/>
                <w:kern w:val="0"/>
                <w:szCs w:val="21"/>
              </w:rPr>
              <w:t>P2</w:t>
            </w:r>
          </w:p>
        </w:tc>
        <w:tc>
          <w:tcPr>
            <w:tcW w:w="916" w:type="pct"/>
            <w:tcBorders>
              <w:top w:val="nil"/>
              <w:left w:val="nil"/>
              <w:bottom w:val="single" w:sz="4" w:space="0" w:color="auto"/>
              <w:right w:val="single" w:sz="4" w:space="0" w:color="auto"/>
            </w:tcBorders>
            <w:shd w:val="clear" w:color="auto" w:fill="auto"/>
            <w:vAlign w:val="center"/>
          </w:tcPr>
          <w:p w14:paraId="421C7FC4" w14:textId="77777777" w:rsidR="007D1E74" w:rsidRDefault="00A95641">
            <w:pPr>
              <w:widowControl/>
              <w:jc w:val="center"/>
              <w:rPr>
                <w:rFonts w:cs="Times New Roman"/>
                <w:kern w:val="0"/>
                <w:szCs w:val="21"/>
              </w:rPr>
            </w:pPr>
            <w:r>
              <w:rPr>
                <w:rFonts w:cs="Times New Roman"/>
                <w:kern w:val="0"/>
                <w:szCs w:val="21"/>
              </w:rPr>
              <w:t>P3</w:t>
            </w:r>
          </w:p>
        </w:tc>
        <w:tc>
          <w:tcPr>
            <w:tcW w:w="918" w:type="pct"/>
            <w:tcBorders>
              <w:top w:val="nil"/>
              <w:left w:val="nil"/>
              <w:bottom w:val="single" w:sz="4" w:space="0" w:color="auto"/>
              <w:right w:val="single" w:sz="4" w:space="0" w:color="auto"/>
            </w:tcBorders>
            <w:shd w:val="clear" w:color="auto" w:fill="auto"/>
            <w:vAlign w:val="center"/>
          </w:tcPr>
          <w:p w14:paraId="5A5E5D8A" w14:textId="77777777" w:rsidR="007D1E74" w:rsidRDefault="00A95641">
            <w:pPr>
              <w:widowControl/>
              <w:jc w:val="center"/>
              <w:rPr>
                <w:rFonts w:cs="Times New Roman"/>
                <w:kern w:val="0"/>
                <w:szCs w:val="21"/>
              </w:rPr>
            </w:pPr>
            <w:r>
              <w:rPr>
                <w:rFonts w:cs="Times New Roman"/>
                <w:kern w:val="0"/>
                <w:szCs w:val="21"/>
              </w:rPr>
              <w:t>P4</w:t>
            </w:r>
          </w:p>
        </w:tc>
      </w:tr>
      <w:tr w:rsidR="007D1E74" w14:paraId="0005131C" w14:textId="77777777">
        <w:trPr>
          <w:trHeight w:val="285"/>
        </w:trPr>
        <w:tc>
          <w:tcPr>
            <w:tcW w:w="1333" w:type="pct"/>
            <w:tcBorders>
              <w:top w:val="nil"/>
              <w:left w:val="single" w:sz="4" w:space="0" w:color="auto"/>
              <w:bottom w:val="single" w:sz="4" w:space="0" w:color="auto"/>
              <w:right w:val="single" w:sz="4" w:space="0" w:color="auto"/>
            </w:tcBorders>
            <w:shd w:val="clear" w:color="auto" w:fill="auto"/>
            <w:vAlign w:val="center"/>
          </w:tcPr>
          <w:p w14:paraId="74943652" w14:textId="77777777" w:rsidR="007D1E74" w:rsidRDefault="00A95641">
            <w:pPr>
              <w:widowControl/>
              <w:jc w:val="center"/>
              <w:rPr>
                <w:rFonts w:cs="Times New Roman"/>
                <w:kern w:val="0"/>
                <w:szCs w:val="21"/>
              </w:rPr>
            </w:pPr>
            <w:r>
              <w:rPr>
                <w:rFonts w:cs="Times New Roman"/>
                <w:kern w:val="0"/>
                <w:szCs w:val="21"/>
              </w:rPr>
              <w:t>1≤Q</w:t>
            </w:r>
            <w:r>
              <w:rPr>
                <w:rFonts w:cs="Times New Roman" w:hint="eastAsia"/>
                <w:kern w:val="0"/>
                <w:szCs w:val="21"/>
              </w:rPr>
              <w:t>&lt;</w:t>
            </w:r>
            <w:r>
              <w:rPr>
                <w:rFonts w:cs="Times New Roman"/>
                <w:kern w:val="0"/>
                <w:szCs w:val="21"/>
              </w:rPr>
              <w:t>10</w:t>
            </w:r>
          </w:p>
        </w:tc>
        <w:tc>
          <w:tcPr>
            <w:tcW w:w="916" w:type="pct"/>
            <w:tcBorders>
              <w:top w:val="nil"/>
              <w:left w:val="nil"/>
              <w:bottom w:val="single" w:sz="4" w:space="0" w:color="auto"/>
              <w:right w:val="single" w:sz="4" w:space="0" w:color="auto"/>
            </w:tcBorders>
            <w:shd w:val="clear" w:color="auto" w:fill="auto"/>
            <w:vAlign w:val="center"/>
          </w:tcPr>
          <w:p w14:paraId="74F4E3F1" w14:textId="77777777" w:rsidR="007D1E74" w:rsidRDefault="00A95641">
            <w:pPr>
              <w:widowControl/>
              <w:jc w:val="center"/>
              <w:rPr>
                <w:rFonts w:cs="Times New Roman"/>
                <w:kern w:val="0"/>
                <w:szCs w:val="21"/>
              </w:rPr>
            </w:pPr>
            <w:r>
              <w:rPr>
                <w:rFonts w:cs="Times New Roman"/>
                <w:kern w:val="0"/>
                <w:szCs w:val="21"/>
              </w:rPr>
              <w:t>P2</w:t>
            </w:r>
          </w:p>
        </w:tc>
        <w:tc>
          <w:tcPr>
            <w:tcW w:w="917" w:type="pct"/>
            <w:tcBorders>
              <w:top w:val="nil"/>
              <w:left w:val="nil"/>
              <w:bottom w:val="single" w:sz="4" w:space="0" w:color="auto"/>
              <w:right w:val="single" w:sz="4" w:space="0" w:color="auto"/>
            </w:tcBorders>
            <w:shd w:val="clear" w:color="auto" w:fill="auto"/>
            <w:vAlign w:val="center"/>
          </w:tcPr>
          <w:p w14:paraId="71D99400" w14:textId="77777777" w:rsidR="007D1E74" w:rsidRDefault="00A95641">
            <w:pPr>
              <w:widowControl/>
              <w:jc w:val="center"/>
              <w:rPr>
                <w:rFonts w:cs="Times New Roman"/>
                <w:kern w:val="0"/>
                <w:szCs w:val="21"/>
              </w:rPr>
            </w:pPr>
            <w:r>
              <w:rPr>
                <w:rFonts w:cs="Times New Roman"/>
                <w:kern w:val="0"/>
                <w:szCs w:val="21"/>
              </w:rPr>
              <w:t>P3</w:t>
            </w:r>
          </w:p>
        </w:tc>
        <w:tc>
          <w:tcPr>
            <w:tcW w:w="916" w:type="pct"/>
            <w:tcBorders>
              <w:top w:val="nil"/>
              <w:left w:val="nil"/>
              <w:bottom w:val="single" w:sz="4" w:space="0" w:color="auto"/>
              <w:right w:val="single" w:sz="4" w:space="0" w:color="auto"/>
            </w:tcBorders>
            <w:shd w:val="clear" w:color="auto" w:fill="auto"/>
            <w:vAlign w:val="center"/>
          </w:tcPr>
          <w:p w14:paraId="430FC327" w14:textId="77777777" w:rsidR="007D1E74" w:rsidRDefault="00A95641">
            <w:pPr>
              <w:widowControl/>
              <w:jc w:val="center"/>
              <w:rPr>
                <w:rFonts w:cs="Times New Roman"/>
                <w:kern w:val="0"/>
                <w:szCs w:val="21"/>
              </w:rPr>
            </w:pPr>
            <w:r>
              <w:rPr>
                <w:rFonts w:cs="Times New Roman"/>
                <w:kern w:val="0"/>
                <w:szCs w:val="21"/>
              </w:rPr>
              <w:t>P4</w:t>
            </w:r>
          </w:p>
        </w:tc>
        <w:tc>
          <w:tcPr>
            <w:tcW w:w="918" w:type="pct"/>
            <w:tcBorders>
              <w:top w:val="nil"/>
              <w:left w:val="nil"/>
              <w:bottom w:val="single" w:sz="4" w:space="0" w:color="auto"/>
              <w:right w:val="single" w:sz="4" w:space="0" w:color="auto"/>
            </w:tcBorders>
            <w:shd w:val="clear" w:color="auto" w:fill="auto"/>
            <w:vAlign w:val="center"/>
          </w:tcPr>
          <w:p w14:paraId="4EBE9273" w14:textId="77777777" w:rsidR="007D1E74" w:rsidRDefault="00A95641">
            <w:pPr>
              <w:widowControl/>
              <w:jc w:val="center"/>
              <w:rPr>
                <w:rFonts w:cs="Times New Roman"/>
                <w:kern w:val="0"/>
                <w:szCs w:val="21"/>
              </w:rPr>
            </w:pPr>
            <w:r>
              <w:rPr>
                <w:rFonts w:cs="Times New Roman"/>
                <w:kern w:val="0"/>
                <w:szCs w:val="21"/>
              </w:rPr>
              <w:t>P4</w:t>
            </w:r>
          </w:p>
        </w:tc>
      </w:tr>
    </w:tbl>
    <w:p w14:paraId="5DBAB7AB" w14:textId="77777777" w:rsidR="007D1E74" w:rsidRDefault="00A95641">
      <w:pPr>
        <w:pStyle w:val="-1"/>
        <w:ind w:firstLine="480"/>
      </w:pPr>
      <w:r>
        <w:rPr>
          <w:rFonts w:hint="eastAsia"/>
        </w:rPr>
        <w:t>本项目</w:t>
      </w:r>
      <w:r>
        <w:rPr>
          <w:rFonts w:cs="宋体" w:hint="eastAsia"/>
          <w:i/>
          <w:szCs w:val="24"/>
        </w:rPr>
        <w:t>Q</w:t>
      </w:r>
      <w:r>
        <w:rPr>
          <w:rFonts w:cs="宋体" w:hint="eastAsia"/>
          <w:szCs w:val="24"/>
        </w:rPr>
        <w:t>=</w:t>
      </w:r>
      <w:r>
        <w:rPr>
          <w:rFonts w:cs="宋体"/>
          <w:szCs w:val="24"/>
        </w:rPr>
        <w:t>15.47</w:t>
      </w:r>
      <w:r>
        <w:rPr>
          <w:rFonts w:cs="宋体" w:hint="eastAsia"/>
          <w:szCs w:val="24"/>
        </w:rPr>
        <w:t>，</w:t>
      </w:r>
      <w:r>
        <w:rPr>
          <w:rFonts w:cstheme="minorHAnsi"/>
        </w:rPr>
        <w:t>10≤</w:t>
      </w:r>
      <w:r>
        <w:rPr>
          <w:rFonts w:cstheme="minorHAnsi"/>
          <w:i/>
        </w:rPr>
        <w:t>Q</w:t>
      </w:r>
      <w:r>
        <w:rPr>
          <w:rFonts w:cstheme="minorHAnsi"/>
        </w:rPr>
        <w:t>&lt;100</w:t>
      </w:r>
      <w:r>
        <w:rPr>
          <w:rFonts w:cstheme="minorHAnsi" w:hint="eastAsia"/>
        </w:rPr>
        <w:t>；</w:t>
      </w:r>
      <w:r>
        <w:rPr>
          <w:rFonts w:hint="eastAsia"/>
        </w:rPr>
        <w:t>M</w:t>
      </w:r>
      <w:r>
        <w:rPr>
          <w:rFonts w:hint="eastAsia"/>
        </w:rPr>
        <w:t>值</w:t>
      </w:r>
      <w:r>
        <w:rPr>
          <w:rFonts w:hint="eastAsia"/>
        </w:rPr>
        <w:t>=1</w:t>
      </w:r>
      <w:r>
        <w:t>0</w:t>
      </w:r>
      <w:r>
        <w:rPr>
          <w:rFonts w:hint="eastAsia"/>
        </w:rPr>
        <w:t>，</w:t>
      </w:r>
      <w:r>
        <w:rPr>
          <w:rFonts w:hint="eastAsia"/>
        </w:rPr>
        <w:t>M</w:t>
      </w:r>
      <w:r>
        <w:t>3</w:t>
      </w:r>
      <w:r>
        <w:rPr>
          <w:rFonts w:hint="eastAsia"/>
        </w:rPr>
        <w:t>；由上表可知，项目危险物质及工艺系统危险性等级为</w:t>
      </w:r>
      <w:r>
        <w:rPr>
          <w:rFonts w:hint="eastAsia"/>
        </w:rPr>
        <w:t>P</w:t>
      </w:r>
      <w:r>
        <w:t>3</w:t>
      </w:r>
      <w:r>
        <w:rPr>
          <w:rFonts w:hint="eastAsia"/>
        </w:rPr>
        <w:t>。</w:t>
      </w:r>
    </w:p>
    <w:p w14:paraId="5F24F230" w14:textId="77777777" w:rsidR="007D1E74" w:rsidRDefault="00A95641">
      <w:pPr>
        <w:pStyle w:val="a9"/>
      </w:pPr>
      <w:r>
        <w:t>环境敏感程度（</w:t>
      </w:r>
      <w:r>
        <w:t>E</w:t>
      </w:r>
      <w:r>
        <w:t>）</w:t>
      </w:r>
      <w:r>
        <w:rPr>
          <w:rFonts w:hint="eastAsia"/>
        </w:rPr>
        <w:t>的分级</w:t>
      </w:r>
    </w:p>
    <w:p w14:paraId="276C05B0" w14:textId="77777777" w:rsidR="007D1E74" w:rsidRDefault="00A95641">
      <w:pPr>
        <w:pStyle w:val="aa"/>
      </w:pPr>
      <w:r>
        <w:rPr>
          <w:rFonts w:hint="eastAsia"/>
        </w:rPr>
        <w:t>大气环境</w:t>
      </w:r>
    </w:p>
    <w:p w14:paraId="7622FA24" w14:textId="77777777" w:rsidR="007D1E74" w:rsidRDefault="00A95641">
      <w:pPr>
        <w:pStyle w:val="-1"/>
        <w:ind w:firstLine="480"/>
      </w:pPr>
      <w:r>
        <w:rPr>
          <w:rFonts w:hint="eastAsia"/>
        </w:rPr>
        <w:t>依据环境敏感目标环境敏感性及人口密度划分环境风险受体的敏感性，共分为三种类型，</w:t>
      </w:r>
      <w:r>
        <w:rPr>
          <w:rFonts w:hint="eastAsia"/>
        </w:rPr>
        <w:t>E1</w:t>
      </w:r>
      <w:r>
        <w:rPr>
          <w:rFonts w:hint="eastAsia"/>
        </w:rPr>
        <w:t>为环境高度敏感区，</w:t>
      </w:r>
      <w:r>
        <w:rPr>
          <w:rFonts w:hint="eastAsia"/>
        </w:rPr>
        <w:t>E2</w:t>
      </w:r>
      <w:r>
        <w:rPr>
          <w:rFonts w:hint="eastAsia"/>
        </w:rPr>
        <w:t>为环境中度敏感区，</w:t>
      </w:r>
      <w:r>
        <w:rPr>
          <w:rFonts w:hint="eastAsia"/>
        </w:rPr>
        <w:t>E3</w:t>
      </w:r>
      <w:r>
        <w:rPr>
          <w:rFonts w:hint="eastAsia"/>
        </w:rPr>
        <w:t>为环境低度敏感区，分级原则下表。</w:t>
      </w:r>
    </w:p>
    <w:p w14:paraId="36E322AD" w14:textId="77777777" w:rsidR="007D1E74" w:rsidRDefault="00A95641">
      <w:pPr>
        <w:pStyle w:val="afffffe"/>
        <w:numPr>
          <w:ilvl w:val="0"/>
          <w:numId w:val="47"/>
        </w:numPr>
        <w:spacing w:line="360" w:lineRule="auto"/>
        <w:ind w:firstLineChars="0"/>
        <w:jc w:val="center"/>
        <w:rPr>
          <w:rFonts w:eastAsia="黑体" w:cs="Times New Roman"/>
          <w:szCs w:val="21"/>
        </w:rPr>
      </w:pPr>
      <w:r>
        <w:rPr>
          <w:rFonts w:eastAsia="黑体" w:cs="Times New Roman" w:hint="eastAsia"/>
          <w:szCs w:val="21"/>
        </w:rPr>
        <w:t>大气环境敏感程度分级</w:t>
      </w:r>
    </w:p>
    <w:tbl>
      <w:tblPr>
        <w:tblStyle w:val="affffc"/>
        <w:tblW w:w="5000" w:type="pct"/>
        <w:tblLook w:val="04A0" w:firstRow="1" w:lastRow="0" w:firstColumn="1" w:lastColumn="0" w:noHBand="0" w:noVBand="1"/>
      </w:tblPr>
      <w:tblGrid>
        <w:gridCol w:w="846"/>
        <w:gridCol w:w="5529"/>
        <w:gridCol w:w="1417"/>
        <w:gridCol w:w="1224"/>
      </w:tblGrid>
      <w:tr w:rsidR="007D1E74" w14:paraId="1F652364" w14:textId="77777777">
        <w:trPr>
          <w:tblHeader/>
        </w:trPr>
        <w:tc>
          <w:tcPr>
            <w:tcW w:w="469" w:type="pct"/>
            <w:vAlign w:val="center"/>
          </w:tcPr>
          <w:p w14:paraId="42B61A65" w14:textId="77777777" w:rsidR="007D1E74" w:rsidRDefault="00A95641">
            <w:pPr>
              <w:pStyle w:val="afffff8"/>
            </w:pPr>
            <w:r>
              <w:rPr>
                <w:rFonts w:hint="eastAsia"/>
              </w:rPr>
              <w:t>分级</w:t>
            </w:r>
          </w:p>
        </w:tc>
        <w:tc>
          <w:tcPr>
            <w:tcW w:w="3066" w:type="pct"/>
            <w:vAlign w:val="center"/>
          </w:tcPr>
          <w:p w14:paraId="5F1F5C79" w14:textId="77777777" w:rsidR="007D1E74" w:rsidRDefault="00A95641">
            <w:pPr>
              <w:pStyle w:val="afffff8"/>
            </w:pPr>
            <w:r>
              <w:rPr>
                <w:rFonts w:hint="eastAsia"/>
              </w:rPr>
              <w:t>大气环境敏感性</w:t>
            </w:r>
          </w:p>
        </w:tc>
        <w:tc>
          <w:tcPr>
            <w:tcW w:w="786" w:type="pct"/>
            <w:vAlign w:val="center"/>
          </w:tcPr>
          <w:p w14:paraId="512B683F" w14:textId="77777777" w:rsidR="007D1E74" w:rsidRDefault="00A95641">
            <w:pPr>
              <w:pStyle w:val="afffff8"/>
            </w:pPr>
            <w:r>
              <w:rPr>
                <w:rFonts w:hint="eastAsia"/>
              </w:rPr>
              <w:t>本项目情况</w:t>
            </w:r>
          </w:p>
        </w:tc>
        <w:tc>
          <w:tcPr>
            <w:tcW w:w="679" w:type="pct"/>
            <w:vAlign w:val="center"/>
          </w:tcPr>
          <w:p w14:paraId="094B0E02" w14:textId="77777777" w:rsidR="007D1E74" w:rsidRDefault="00A95641">
            <w:pPr>
              <w:pStyle w:val="afffff8"/>
            </w:pPr>
            <w:r>
              <w:rPr>
                <w:rFonts w:hint="eastAsia"/>
              </w:rPr>
              <w:t>敏感程度</w:t>
            </w:r>
          </w:p>
        </w:tc>
      </w:tr>
      <w:tr w:rsidR="007D1E74" w14:paraId="3BE5C9AF" w14:textId="77777777">
        <w:trPr>
          <w:trHeight w:val="625"/>
        </w:trPr>
        <w:tc>
          <w:tcPr>
            <w:tcW w:w="469" w:type="pct"/>
            <w:vAlign w:val="center"/>
          </w:tcPr>
          <w:p w14:paraId="060B83CE" w14:textId="77777777" w:rsidR="007D1E74" w:rsidRDefault="00A95641">
            <w:pPr>
              <w:pStyle w:val="afffff8"/>
            </w:pPr>
            <w:r>
              <w:rPr>
                <w:rFonts w:hint="eastAsia"/>
              </w:rPr>
              <w:t>E</w:t>
            </w:r>
            <w:r>
              <w:t>1</w:t>
            </w:r>
          </w:p>
        </w:tc>
        <w:tc>
          <w:tcPr>
            <w:tcW w:w="3066" w:type="pct"/>
            <w:vAlign w:val="center"/>
          </w:tcPr>
          <w:p w14:paraId="02CC2C76" w14:textId="77777777" w:rsidR="007D1E74" w:rsidRDefault="00A95641">
            <w:pPr>
              <w:pStyle w:val="afffff8"/>
              <w:jc w:val="both"/>
            </w:pPr>
            <w:r>
              <w:rPr>
                <w:rFonts w:hint="eastAsia"/>
              </w:rPr>
              <w:t>周边</w:t>
            </w:r>
            <w:r>
              <w:rPr>
                <w:rFonts w:hint="eastAsia"/>
              </w:rPr>
              <w:t>5km</w:t>
            </w:r>
            <w:r>
              <w:rPr>
                <w:rFonts w:hint="eastAsia"/>
              </w:rPr>
              <w:t>范围内居住区、医疗卫生、文化教育、科研、行政办公等机构人口总数大于</w:t>
            </w:r>
            <w:r>
              <w:rPr>
                <w:rFonts w:hint="eastAsia"/>
              </w:rPr>
              <w:t>5</w:t>
            </w:r>
            <w:r>
              <w:rPr>
                <w:rFonts w:hint="eastAsia"/>
              </w:rPr>
              <w:t>万人，或其他需要特殊保护区域；或周边</w:t>
            </w:r>
            <w:r>
              <w:rPr>
                <w:rFonts w:hint="eastAsia"/>
              </w:rPr>
              <w:t>500m</w:t>
            </w:r>
            <w:r>
              <w:rPr>
                <w:rFonts w:hint="eastAsia"/>
              </w:rPr>
              <w:t>范围内人口总数大于</w:t>
            </w:r>
            <w:r>
              <w:rPr>
                <w:rFonts w:hint="eastAsia"/>
              </w:rPr>
              <w:t>1000</w:t>
            </w:r>
            <w:r>
              <w:rPr>
                <w:rFonts w:hint="eastAsia"/>
              </w:rPr>
              <w:t>人；油气、化学品输送管线管段周边</w:t>
            </w:r>
            <w:r>
              <w:rPr>
                <w:rFonts w:hint="eastAsia"/>
              </w:rPr>
              <w:t>200m</w:t>
            </w:r>
            <w:r>
              <w:rPr>
                <w:rFonts w:hint="eastAsia"/>
              </w:rPr>
              <w:t>范围内，每千米管段人口数大于</w:t>
            </w:r>
            <w:r>
              <w:rPr>
                <w:rFonts w:hint="eastAsia"/>
              </w:rPr>
              <w:t>200</w:t>
            </w:r>
            <w:r>
              <w:rPr>
                <w:rFonts w:hint="eastAsia"/>
              </w:rPr>
              <w:t>人</w:t>
            </w:r>
          </w:p>
        </w:tc>
        <w:tc>
          <w:tcPr>
            <w:tcW w:w="786" w:type="pct"/>
            <w:vMerge w:val="restart"/>
            <w:vAlign w:val="center"/>
          </w:tcPr>
          <w:p w14:paraId="6DD26E4D" w14:textId="77777777" w:rsidR="007D1E74" w:rsidRDefault="00A95641">
            <w:pPr>
              <w:pStyle w:val="afffff8"/>
              <w:jc w:val="both"/>
            </w:pPr>
            <w:r>
              <w:rPr>
                <w:rFonts w:hint="eastAsia"/>
              </w:rPr>
              <w:t>项目每公里管段人口数（最大）约</w:t>
            </w:r>
            <w:r>
              <w:t>98</w:t>
            </w:r>
            <w:r>
              <w:rPr>
                <w:rFonts w:hint="eastAsia"/>
              </w:rPr>
              <w:t>人</w:t>
            </w:r>
          </w:p>
        </w:tc>
        <w:tc>
          <w:tcPr>
            <w:tcW w:w="679" w:type="pct"/>
            <w:vMerge w:val="restart"/>
            <w:vAlign w:val="center"/>
          </w:tcPr>
          <w:p w14:paraId="3CDE6C19" w14:textId="77777777" w:rsidR="007D1E74" w:rsidRDefault="00A95641">
            <w:pPr>
              <w:pStyle w:val="afffff8"/>
            </w:pPr>
            <w:r>
              <w:rPr>
                <w:rFonts w:hint="eastAsia"/>
              </w:rPr>
              <w:t>E</w:t>
            </w:r>
            <w:r>
              <w:t>3</w:t>
            </w:r>
          </w:p>
        </w:tc>
      </w:tr>
      <w:tr w:rsidR="007D1E74" w14:paraId="4042996A" w14:textId="77777777">
        <w:tc>
          <w:tcPr>
            <w:tcW w:w="469" w:type="pct"/>
            <w:vAlign w:val="center"/>
          </w:tcPr>
          <w:p w14:paraId="797706CD" w14:textId="77777777" w:rsidR="007D1E74" w:rsidRDefault="00A95641">
            <w:pPr>
              <w:pStyle w:val="afffff8"/>
            </w:pPr>
            <w:r>
              <w:rPr>
                <w:rFonts w:hint="eastAsia"/>
              </w:rPr>
              <w:t>E</w:t>
            </w:r>
            <w:r>
              <w:t>2</w:t>
            </w:r>
          </w:p>
        </w:tc>
        <w:tc>
          <w:tcPr>
            <w:tcW w:w="3066" w:type="pct"/>
            <w:vAlign w:val="center"/>
          </w:tcPr>
          <w:p w14:paraId="664CEA92" w14:textId="77777777" w:rsidR="007D1E74" w:rsidRDefault="00A95641">
            <w:pPr>
              <w:pStyle w:val="afffff8"/>
              <w:jc w:val="both"/>
            </w:pPr>
            <w:r>
              <w:rPr>
                <w:rFonts w:hint="eastAsia"/>
              </w:rPr>
              <w:t>周边</w:t>
            </w:r>
            <w:r>
              <w:rPr>
                <w:rFonts w:hint="eastAsia"/>
              </w:rPr>
              <w:t>5km</w:t>
            </w:r>
            <w:r>
              <w:rPr>
                <w:rFonts w:hint="eastAsia"/>
              </w:rPr>
              <w:t>范围内居住区、医疗卫生、文化教育、科研、行政办公等机构人口总数大于</w:t>
            </w:r>
            <w:r>
              <w:rPr>
                <w:rFonts w:hint="eastAsia"/>
              </w:rPr>
              <w:t>1</w:t>
            </w:r>
            <w:r>
              <w:rPr>
                <w:rFonts w:hint="eastAsia"/>
              </w:rPr>
              <w:t>万人，小于</w:t>
            </w:r>
            <w:r>
              <w:rPr>
                <w:rFonts w:hint="eastAsia"/>
              </w:rPr>
              <w:t>5</w:t>
            </w:r>
            <w:r>
              <w:rPr>
                <w:rFonts w:hint="eastAsia"/>
              </w:rPr>
              <w:t>万人；或周边</w:t>
            </w:r>
            <w:r>
              <w:rPr>
                <w:rFonts w:hint="eastAsia"/>
              </w:rPr>
              <w:t>500m</w:t>
            </w:r>
            <w:r>
              <w:rPr>
                <w:rFonts w:hint="eastAsia"/>
              </w:rPr>
              <w:t>范围内人口总数大于</w:t>
            </w:r>
            <w:r>
              <w:rPr>
                <w:rFonts w:hint="eastAsia"/>
              </w:rPr>
              <w:t>500</w:t>
            </w:r>
            <w:r>
              <w:rPr>
                <w:rFonts w:hint="eastAsia"/>
              </w:rPr>
              <w:t>人小于</w:t>
            </w:r>
            <w:r>
              <w:rPr>
                <w:rFonts w:hint="eastAsia"/>
              </w:rPr>
              <w:t>1000</w:t>
            </w:r>
            <w:r>
              <w:rPr>
                <w:rFonts w:hint="eastAsia"/>
              </w:rPr>
              <w:t>人；油气、化学品输送管线管段周边</w:t>
            </w:r>
            <w:r>
              <w:rPr>
                <w:rFonts w:hint="eastAsia"/>
              </w:rPr>
              <w:t xml:space="preserve">200m </w:t>
            </w:r>
            <w:r>
              <w:rPr>
                <w:rFonts w:hint="eastAsia"/>
              </w:rPr>
              <w:t>范围内，每千米管段人口数大于</w:t>
            </w:r>
            <w:r>
              <w:rPr>
                <w:rFonts w:hint="eastAsia"/>
              </w:rPr>
              <w:t>100</w:t>
            </w:r>
            <w:r>
              <w:rPr>
                <w:rFonts w:hint="eastAsia"/>
              </w:rPr>
              <w:t>人，小于</w:t>
            </w:r>
            <w:r>
              <w:rPr>
                <w:rFonts w:hint="eastAsia"/>
              </w:rPr>
              <w:t>200</w:t>
            </w:r>
            <w:r>
              <w:rPr>
                <w:rFonts w:hint="eastAsia"/>
              </w:rPr>
              <w:t>人</w:t>
            </w:r>
          </w:p>
        </w:tc>
        <w:tc>
          <w:tcPr>
            <w:tcW w:w="786" w:type="pct"/>
            <w:vMerge/>
            <w:vAlign w:val="center"/>
          </w:tcPr>
          <w:p w14:paraId="2FCFC5DF" w14:textId="77777777" w:rsidR="007D1E74" w:rsidRDefault="007D1E74">
            <w:pPr>
              <w:pStyle w:val="afffff8"/>
            </w:pPr>
          </w:p>
        </w:tc>
        <w:tc>
          <w:tcPr>
            <w:tcW w:w="679" w:type="pct"/>
            <w:vMerge/>
            <w:vAlign w:val="center"/>
          </w:tcPr>
          <w:p w14:paraId="50E6C5E4" w14:textId="77777777" w:rsidR="007D1E74" w:rsidRDefault="007D1E74">
            <w:pPr>
              <w:pStyle w:val="afffff8"/>
            </w:pPr>
          </w:p>
        </w:tc>
      </w:tr>
      <w:tr w:rsidR="007D1E74" w14:paraId="0A22E961" w14:textId="77777777">
        <w:tc>
          <w:tcPr>
            <w:tcW w:w="469" w:type="pct"/>
            <w:vAlign w:val="center"/>
          </w:tcPr>
          <w:p w14:paraId="56044C53" w14:textId="77777777" w:rsidR="007D1E74" w:rsidRDefault="00A95641">
            <w:pPr>
              <w:pStyle w:val="afffff8"/>
            </w:pPr>
            <w:r>
              <w:rPr>
                <w:rFonts w:hint="eastAsia"/>
              </w:rPr>
              <w:t>E</w:t>
            </w:r>
            <w:r>
              <w:t>3</w:t>
            </w:r>
          </w:p>
        </w:tc>
        <w:tc>
          <w:tcPr>
            <w:tcW w:w="3066" w:type="pct"/>
            <w:vAlign w:val="center"/>
          </w:tcPr>
          <w:p w14:paraId="7DF0FDAA" w14:textId="77777777" w:rsidR="007D1E74" w:rsidRDefault="00A95641">
            <w:pPr>
              <w:pStyle w:val="afffff8"/>
              <w:jc w:val="both"/>
            </w:pPr>
            <w:r>
              <w:rPr>
                <w:rFonts w:hint="eastAsia"/>
              </w:rPr>
              <w:t>周边</w:t>
            </w:r>
            <w:r>
              <w:rPr>
                <w:rFonts w:hint="eastAsia"/>
              </w:rPr>
              <w:t>5km</w:t>
            </w:r>
            <w:r>
              <w:rPr>
                <w:rFonts w:hint="eastAsia"/>
              </w:rPr>
              <w:t>范围内居住区、医疗卫生、文化教育、科研、行政办公等机构人口总数小于</w:t>
            </w:r>
            <w:r>
              <w:rPr>
                <w:rFonts w:hint="eastAsia"/>
              </w:rPr>
              <w:t>1</w:t>
            </w:r>
            <w:r>
              <w:rPr>
                <w:rFonts w:hint="eastAsia"/>
              </w:rPr>
              <w:t>万人；或周边</w:t>
            </w:r>
            <w:r>
              <w:rPr>
                <w:rFonts w:hint="eastAsia"/>
              </w:rPr>
              <w:t>500m</w:t>
            </w:r>
            <w:r>
              <w:rPr>
                <w:rFonts w:hint="eastAsia"/>
              </w:rPr>
              <w:t>范围内人口总数小于</w:t>
            </w:r>
            <w:r>
              <w:rPr>
                <w:rFonts w:hint="eastAsia"/>
              </w:rPr>
              <w:t>500</w:t>
            </w:r>
            <w:r>
              <w:rPr>
                <w:rFonts w:hint="eastAsia"/>
              </w:rPr>
              <w:t>人；油气、化学品输送管线管段周边</w:t>
            </w:r>
            <w:r>
              <w:rPr>
                <w:rFonts w:hint="eastAsia"/>
              </w:rPr>
              <w:t>200m</w:t>
            </w:r>
            <w:r>
              <w:rPr>
                <w:rFonts w:hint="eastAsia"/>
              </w:rPr>
              <w:t>范围内，每千米管段人口数小于</w:t>
            </w:r>
            <w:r>
              <w:rPr>
                <w:rFonts w:hint="eastAsia"/>
              </w:rPr>
              <w:t>100</w:t>
            </w:r>
            <w:r>
              <w:rPr>
                <w:rFonts w:hint="eastAsia"/>
              </w:rPr>
              <w:t>人</w:t>
            </w:r>
          </w:p>
        </w:tc>
        <w:tc>
          <w:tcPr>
            <w:tcW w:w="786" w:type="pct"/>
            <w:vMerge/>
            <w:vAlign w:val="center"/>
          </w:tcPr>
          <w:p w14:paraId="21406A15" w14:textId="77777777" w:rsidR="007D1E74" w:rsidRDefault="007D1E74">
            <w:pPr>
              <w:pStyle w:val="afffff8"/>
            </w:pPr>
          </w:p>
        </w:tc>
        <w:tc>
          <w:tcPr>
            <w:tcW w:w="679" w:type="pct"/>
            <w:vMerge/>
            <w:vAlign w:val="center"/>
          </w:tcPr>
          <w:p w14:paraId="3F325CE7" w14:textId="77777777" w:rsidR="007D1E74" w:rsidRDefault="007D1E74">
            <w:pPr>
              <w:pStyle w:val="afffff8"/>
            </w:pPr>
          </w:p>
        </w:tc>
      </w:tr>
    </w:tbl>
    <w:p w14:paraId="785FF172" w14:textId="77777777" w:rsidR="007D1E74" w:rsidRDefault="00A95641">
      <w:pPr>
        <w:pStyle w:val="aa"/>
      </w:pPr>
      <w:r>
        <w:rPr>
          <w:rFonts w:hint="eastAsia"/>
        </w:rPr>
        <w:t>地表水环境</w:t>
      </w:r>
    </w:p>
    <w:p w14:paraId="13BE9FFF" w14:textId="77777777" w:rsidR="007D1E74" w:rsidRDefault="00A95641">
      <w:pPr>
        <w:spacing w:line="360" w:lineRule="auto"/>
        <w:ind w:firstLineChars="200" w:firstLine="480"/>
        <w:rPr>
          <w:sz w:val="24"/>
          <w:szCs w:val="24"/>
        </w:rPr>
      </w:pPr>
      <w:r>
        <w:rPr>
          <w:rFonts w:hint="eastAsia"/>
          <w:sz w:val="24"/>
          <w:szCs w:val="24"/>
        </w:rPr>
        <w:t>依据事故情况下危险物质泄漏到水体的排放点受纳地表水体功能敏感性，与</w:t>
      </w:r>
      <w:proofErr w:type="gramStart"/>
      <w:r>
        <w:rPr>
          <w:rFonts w:hint="eastAsia"/>
          <w:sz w:val="24"/>
          <w:szCs w:val="24"/>
        </w:rPr>
        <w:t>下游环境</w:t>
      </w:r>
      <w:proofErr w:type="gramEnd"/>
      <w:r>
        <w:rPr>
          <w:rFonts w:hint="eastAsia"/>
          <w:sz w:val="24"/>
          <w:szCs w:val="24"/>
        </w:rPr>
        <w:t>敏感目标情况，共分为三种类型，</w:t>
      </w:r>
      <w:r>
        <w:rPr>
          <w:rFonts w:hint="eastAsia"/>
          <w:sz w:val="24"/>
          <w:szCs w:val="24"/>
        </w:rPr>
        <w:t>E1</w:t>
      </w:r>
      <w:r>
        <w:rPr>
          <w:rFonts w:hint="eastAsia"/>
          <w:sz w:val="24"/>
          <w:szCs w:val="24"/>
        </w:rPr>
        <w:t>为环境高度敏感区，</w:t>
      </w:r>
      <w:r>
        <w:rPr>
          <w:rFonts w:hint="eastAsia"/>
          <w:sz w:val="24"/>
          <w:szCs w:val="24"/>
        </w:rPr>
        <w:t>E2</w:t>
      </w:r>
      <w:r>
        <w:rPr>
          <w:rFonts w:hint="eastAsia"/>
          <w:sz w:val="24"/>
          <w:szCs w:val="24"/>
        </w:rPr>
        <w:t>为环境中度敏感区，</w:t>
      </w:r>
      <w:r>
        <w:rPr>
          <w:rFonts w:hint="eastAsia"/>
          <w:sz w:val="24"/>
          <w:szCs w:val="24"/>
        </w:rPr>
        <w:t>E3</w:t>
      </w:r>
      <w:r>
        <w:rPr>
          <w:rFonts w:hint="eastAsia"/>
          <w:sz w:val="24"/>
          <w:szCs w:val="24"/>
        </w:rPr>
        <w:t>为环境低度敏感区，分级原则见</w:t>
      </w:r>
      <w:r>
        <w:rPr>
          <w:sz w:val="24"/>
          <w:szCs w:val="24"/>
        </w:rPr>
        <w:fldChar w:fldCharType="begin"/>
      </w:r>
      <w:r>
        <w:rPr>
          <w:sz w:val="24"/>
          <w:szCs w:val="24"/>
        </w:rPr>
        <w:instrText xml:space="preserve"> </w:instrText>
      </w:r>
      <w:r>
        <w:rPr>
          <w:rFonts w:hint="eastAsia"/>
          <w:sz w:val="24"/>
          <w:szCs w:val="24"/>
        </w:rPr>
        <w:instrText>REF _Ref98247833 \r \h</w:instrText>
      </w:r>
      <w:r>
        <w:rPr>
          <w:sz w:val="24"/>
          <w:szCs w:val="24"/>
        </w:rPr>
        <w:instrText xml:space="preserve"> </w:instrText>
      </w:r>
      <w:r>
        <w:rPr>
          <w:sz w:val="24"/>
          <w:szCs w:val="24"/>
        </w:rPr>
      </w:r>
      <w:r>
        <w:rPr>
          <w:sz w:val="24"/>
          <w:szCs w:val="24"/>
        </w:rPr>
        <w:fldChar w:fldCharType="separate"/>
      </w:r>
      <w:r>
        <w:rPr>
          <w:rFonts w:hint="eastAsia"/>
          <w:sz w:val="24"/>
          <w:szCs w:val="24"/>
        </w:rPr>
        <w:t>表</w:t>
      </w:r>
      <w:r>
        <w:rPr>
          <w:rFonts w:hint="eastAsia"/>
          <w:sz w:val="24"/>
          <w:szCs w:val="24"/>
        </w:rPr>
        <w:t>7.3-5</w:t>
      </w:r>
      <w:r>
        <w:rPr>
          <w:sz w:val="24"/>
          <w:szCs w:val="24"/>
        </w:rPr>
        <w:fldChar w:fldCharType="end"/>
      </w:r>
      <w:r>
        <w:rPr>
          <w:rFonts w:hint="eastAsia"/>
          <w:sz w:val="24"/>
          <w:szCs w:val="24"/>
        </w:rPr>
        <w:t>，其中地表水功能敏感性分区和环境敏感目标</w:t>
      </w:r>
      <w:r>
        <w:rPr>
          <w:rFonts w:hint="eastAsia"/>
          <w:sz w:val="24"/>
          <w:szCs w:val="24"/>
        </w:rPr>
        <w:lastRenderedPageBreak/>
        <w:t>分级分别见</w:t>
      </w:r>
      <w:r>
        <w:rPr>
          <w:sz w:val="24"/>
          <w:szCs w:val="24"/>
        </w:rPr>
        <w:fldChar w:fldCharType="begin"/>
      </w:r>
      <w:r>
        <w:rPr>
          <w:sz w:val="24"/>
          <w:szCs w:val="24"/>
        </w:rPr>
        <w:instrText xml:space="preserve"> </w:instrText>
      </w:r>
      <w:r>
        <w:rPr>
          <w:rFonts w:hint="eastAsia"/>
          <w:sz w:val="24"/>
          <w:szCs w:val="24"/>
        </w:rPr>
        <w:instrText>REF _Ref98247839 \r \h</w:instrText>
      </w:r>
      <w:r>
        <w:rPr>
          <w:sz w:val="24"/>
          <w:szCs w:val="24"/>
        </w:rPr>
        <w:instrText xml:space="preserve"> </w:instrText>
      </w:r>
      <w:r>
        <w:rPr>
          <w:sz w:val="24"/>
          <w:szCs w:val="24"/>
        </w:rPr>
      </w:r>
      <w:r>
        <w:rPr>
          <w:sz w:val="24"/>
          <w:szCs w:val="24"/>
        </w:rPr>
        <w:fldChar w:fldCharType="separate"/>
      </w:r>
      <w:r>
        <w:rPr>
          <w:rFonts w:hint="eastAsia"/>
          <w:sz w:val="24"/>
          <w:szCs w:val="24"/>
        </w:rPr>
        <w:t>表</w:t>
      </w:r>
      <w:r>
        <w:rPr>
          <w:rFonts w:hint="eastAsia"/>
          <w:sz w:val="24"/>
          <w:szCs w:val="24"/>
        </w:rPr>
        <w:t>7.3-6</w:t>
      </w:r>
      <w:r>
        <w:rPr>
          <w:sz w:val="24"/>
          <w:szCs w:val="24"/>
        </w:rPr>
        <w:fldChar w:fldCharType="end"/>
      </w:r>
      <w:r>
        <w:rPr>
          <w:rFonts w:hint="eastAsia"/>
          <w:sz w:val="24"/>
          <w:szCs w:val="24"/>
        </w:rPr>
        <w:t>和</w:t>
      </w:r>
      <w:r>
        <w:rPr>
          <w:sz w:val="24"/>
          <w:szCs w:val="24"/>
        </w:rPr>
        <w:fldChar w:fldCharType="begin"/>
      </w:r>
      <w:r>
        <w:rPr>
          <w:sz w:val="24"/>
          <w:szCs w:val="24"/>
        </w:rPr>
        <w:instrText xml:space="preserve"> </w:instrText>
      </w:r>
      <w:r>
        <w:rPr>
          <w:rFonts w:hint="eastAsia"/>
          <w:sz w:val="24"/>
          <w:szCs w:val="24"/>
        </w:rPr>
        <w:instrText>REF _Ref98247845 \r \h</w:instrText>
      </w:r>
      <w:r>
        <w:rPr>
          <w:sz w:val="24"/>
          <w:szCs w:val="24"/>
        </w:rPr>
        <w:instrText xml:space="preserve"> </w:instrText>
      </w:r>
      <w:r>
        <w:rPr>
          <w:sz w:val="24"/>
          <w:szCs w:val="24"/>
        </w:rPr>
      </w:r>
      <w:r>
        <w:rPr>
          <w:sz w:val="24"/>
          <w:szCs w:val="24"/>
        </w:rPr>
        <w:fldChar w:fldCharType="separate"/>
      </w:r>
      <w:r>
        <w:rPr>
          <w:rFonts w:hint="eastAsia"/>
          <w:sz w:val="24"/>
          <w:szCs w:val="24"/>
        </w:rPr>
        <w:t>表</w:t>
      </w:r>
      <w:r>
        <w:rPr>
          <w:rFonts w:hint="eastAsia"/>
          <w:sz w:val="24"/>
          <w:szCs w:val="24"/>
        </w:rPr>
        <w:t>7.3-7</w:t>
      </w:r>
      <w:r>
        <w:rPr>
          <w:sz w:val="24"/>
          <w:szCs w:val="24"/>
        </w:rPr>
        <w:fldChar w:fldCharType="end"/>
      </w:r>
      <w:r>
        <w:rPr>
          <w:rFonts w:hint="eastAsia"/>
          <w:sz w:val="24"/>
          <w:szCs w:val="24"/>
        </w:rPr>
        <w:t>。</w:t>
      </w:r>
    </w:p>
    <w:p w14:paraId="130CBD9A" w14:textId="77777777" w:rsidR="007D1E74" w:rsidRDefault="007D1E74">
      <w:pPr>
        <w:spacing w:line="360" w:lineRule="auto"/>
        <w:ind w:firstLineChars="200" w:firstLine="480"/>
        <w:rPr>
          <w:sz w:val="24"/>
          <w:szCs w:val="24"/>
        </w:rPr>
      </w:pPr>
    </w:p>
    <w:p w14:paraId="6AD266C1" w14:textId="77777777" w:rsidR="007D1E74" w:rsidRDefault="007D1E74">
      <w:pPr>
        <w:spacing w:line="360" w:lineRule="auto"/>
        <w:ind w:firstLineChars="200" w:firstLine="480"/>
        <w:rPr>
          <w:sz w:val="24"/>
          <w:szCs w:val="24"/>
        </w:rPr>
      </w:pPr>
    </w:p>
    <w:p w14:paraId="24BCE197" w14:textId="77777777" w:rsidR="007D1E74" w:rsidRDefault="007D1E74">
      <w:pPr>
        <w:spacing w:line="360" w:lineRule="auto"/>
        <w:ind w:firstLineChars="200" w:firstLine="480"/>
        <w:rPr>
          <w:sz w:val="24"/>
          <w:szCs w:val="24"/>
        </w:rPr>
      </w:pPr>
    </w:p>
    <w:p w14:paraId="7D2731D9" w14:textId="77777777" w:rsidR="007D1E74" w:rsidRDefault="00A95641">
      <w:pPr>
        <w:pStyle w:val="afffffe"/>
        <w:numPr>
          <w:ilvl w:val="0"/>
          <w:numId w:val="47"/>
        </w:numPr>
        <w:spacing w:line="360" w:lineRule="auto"/>
        <w:ind w:firstLineChars="0"/>
        <w:jc w:val="center"/>
        <w:rPr>
          <w:rFonts w:eastAsia="黑体" w:cs="Times New Roman"/>
          <w:szCs w:val="21"/>
        </w:rPr>
      </w:pPr>
      <w:bookmarkStart w:id="39" w:name="_Ref98247833"/>
      <w:r>
        <w:rPr>
          <w:rFonts w:eastAsia="黑体" w:cs="Times New Roman" w:hint="eastAsia"/>
          <w:szCs w:val="21"/>
        </w:rPr>
        <w:t>地表水环境敏感程度分级</w:t>
      </w:r>
      <w:bookmarkEnd w:id="39"/>
    </w:p>
    <w:tbl>
      <w:tblPr>
        <w:tblStyle w:val="affffc"/>
        <w:tblW w:w="5000" w:type="pct"/>
        <w:tblLook w:val="04A0" w:firstRow="1" w:lastRow="0" w:firstColumn="1" w:lastColumn="0" w:noHBand="0" w:noVBand="1"/>
      </w:tblPr>
      <w:tblGrid>
        <w:gridCol w:w="2125"/>
        <w:gridCol w:w="2297"/>
        <w:gridCol w:w="2297"/>
        <w:gridCol w:w="2297"/>
      </w:tblGrid>
      <w:tr w:rsidR="007D1E74" w14:paraId="29E9F243" w14:textId="77777777">
        <w:trPr>
          <w:tblHeader/>
        </w:trPr>
        <w:tc>
          <w:tcPr>
            <w:tcW w:w="1178" w:type="pct"/>
            <w:vMerge w:val="restart"/>
            <w:vAlign w:val="center"/>
          </w:tcPr>
          <w:p w14:paraId="63B0436C" w14:textId="77777777" w:rsidR="007D1E74" w:rsidRDefault="00A95641">
            <w:pPr>
              <w:pStyle w:val="afffff8"/>
            </w:pPr>
            <w:r>
              <w:rPr>
                <w:rFonts w:hint="eastAsia"/>
              </w:rPr>
              <w:t>环境敏感目标</w:t>
            </w:r>
          </w:p>
        </w:tc>
        <w:tc>
          <w:tcPr>
            <w:tcW w:w="3822" w:type="pct"/>
            <w:gridSpan w:val="3"/>
            <w:vAlign w:val="center"/>
          </w:tcPr>
          <w:p w14:paraId="7C176E28" w14:textId="77777777" w:rsidR="007D1E74" w:rsidRDefault="00A95641">
            <w:pPr>
              <w:pStyle w:val="afffff8"/>
            </w:pPr>
            <w:r>
              <w:rPr>
                <w:rFonts w:hint="eastAsia"/>
              </w:rPr>
              <w:t>地表水功能敏感性</w:t>
            </w:r>
          </w:p>
        </w:tc>
      </w:tr>
      <w:tr w:rsidR="007D1E74" w14:paraId="4688A5E0" w14:textId="77777777">
        <w:trPr>
          <w:tblHeader/>
        </w:trPr>
        <w:tc>
          <w:tcPr>
            <w:tcW w:w="1178" w:type="pct"/>
            <w:vMerge/>
            <w:vAlign w:val="center"/>
          </w:tcPr>
          <w:p w14:paraId="0EFFC664" w14:textId="77777777" w:rsidR="007D1E74" w:rsidRDefault="007D1E74">
            <w:pPr>
              <w:pStyle w:val="afffff8"/>
            </w:pPr>
          </w:p>
        </w:tc>
        <w:tc>
          <w:tcPr>
            <w:tcW w:w="1274" w:type="pct"/>
            <w:vAlign w:val="center"/>
          </w:tcPr>
          <w:p w14:paraId="056A99D6" w14:textId="77777777" w:rsidR="007D1E74" w:rsidRDefault="00A95641">
            <w:pPr>
              <w:pStyle w:val="afffff8"/>
            </w:pPr>
            <w:r>
              <w:rPr>
                <w:rFonts w:hint="eastAsia"/>
              </w:rPr>
              <w:t>F</w:t>
            </w:r>
            <w:r>
              <w:t>1</w:t>
            </w:r>
          </w:p>
        </w:tc>
        <w:tc>
          <w:tcPr>
            <w:tcW w:w="1274" w:type="pct"/>
            <w:vAlign w:val="center"/>
          </w:tcPr>
          <w:p w14:paraId="659C605C" w14:textId="77777777" w:rsidR="007D1E74" w:rsidRDefault="00A95641">
            <w:pPr>
              <w:pStyle w:val="afffff8"/>
            </w:pPr>
            <w:r>
              <w:rPr>
                <w:rFonts w:hint="eastAsia"/>
              </w:rPr>
              <w:t>F</w:t>
            </w:r>
            <w:r>
              <w:t>2</w:t>
            </w:r>
          </w:p>
        </w:tc>
        <w:tc>
          <w:tcPr>
            <w:tcW w:w="1275" w:type="pct"/>
            <w:vAlign w:val="center"/>
          </w:tcPr>
          <w:p w14:paraId="3B299D69" w14:textId="77777777" w:rsidR="007D1E74" w:rsidRDefault="00A95641">
            <w:pPr>
              <w:pStyle w:val="afffff8"/>
            </w:pPr>
            <w:r>
              <w:rPr>
                <w:rFonts w:hint="eastAsia"/>
              </w:rPr>
              <w:t>F</w:t>
            </w:r>
            <w:r>
              <w:t>3</w:t>
            </w:r>
          </w:p>
        </w:tc>
      </w:tr>
      <w:tr w:rsidR="007D1E74" w14:paraId="1212B825" w14:textId="77777777">
        <w:trPr>
          <w:trHeight w:val="70"/>
        </w:trPr>
        <w:tc>
          <w:tcPr>
            <w:tcW w:w="1178" w:type="pct"/>
            <w:vAlign w:val="center"/>
          </w:tcPr>
          <w:p w14:paraId="03506F53" w14:textId="77777777" w:rsidR="007D1E74" w:rsidRDefault="00A95641">
            <w:pPr>
              <w:pStyle w:val="afffff8"/>
            </w:pPr>
            <w:r>
              <w:t>S1</w:t>
            </w:r>
          </w:p>
        </w:tc>
        <w:tc>
          <w:tcPr>
            <w:tcW w:w="1274" w:type="pct"/>
            <w:vAlign w:val="center"/>
          </w:tcPr>
          <w:p w14:paraId="3FCB7AAD" w14:textId="77777777" w:rsidR="007D1E74" w:rsidRDefault="00A95641">
            <w:pPr>
              <w:pStyle w:val="afffff8"/>
            </w:pPr>
            <w:r>
              <w:rPr>
                <w:rFonts w:hint="eastAsia"/>
              </w:rPr>
              <w:t>E</w:t>
            </w:r>
            <w:r>
              <w:t>1</w:t>
            </w:r>
          </w:p>
        </w:tc>
        <w:tc>
          <w:tcPr>
            <w:tcW w:w="1274" w:type="pct"/>
            <w:vAlign w:val="center"/>
          </w:tcPr>
          <w:p w14:paraId="7C2E092D" w14:textId="77777777" w:rsidR="007D1E74" w:rsidRDefault="00A95641">
            <w:pPr>
              <w:pStyle w:val="afffff8"/>
            </w:pPr>
            <w:r>
              <w:rPr>
                <w:rFonts w:hint="eastAsia"/>
              </w:rPr>
              <w:t>E</w:t>
            </w:r>
            <w:r>
              <w:t>1</w:t>
            </w:r>
          </w:p>
        </w:tc>
        <w:tc>
          <w:tcPr>
            <w:tcW w:w="1275" w:type="pct"/>
            <w:vAlign w:val="center"/>
          </w:tcPr>
          <w:p w14:paraId="0D22FB63" w14:textId="77777777" w:rsidR="007D1E74" w:rsidRDefault="00A95641">
            <w:pPr>
              <w:pStyle w:val="afffff8"/>
            </w:pPr>
            <w:r>
              <w:rPr>
                <w:rFonts w:hint="eastAsia"/>
              </w:rPr>
              <w:t>E</w:t>
            </w:r>
            <w:r>
              <w:t>2</w:t>
            </w:r>
          </w:p>
        </w:tc>
      </w:tr>
      <w:tr w:rsidR="007D1E74" w14:paraId="32A1EFC1" w14:textId="77777777">
        <w:tc>
          <w:tcPr>
            <w:tcW w:w="1178" w:type="pct"/>
            <w:vAlign w:val="center"/>
          </w:tcPr>
          <w:p w14:paraId="732F193D" w14:textId="77777777" w:rsidR="007D1E74" w:rsidRDefault="00A95641">
            <w:pPr>
              <w:pStyle w:val="afffff8"/>
            </w:pPr>
            <w:r>
              <w:t>S2</w:t>
            </w:r>
          </w:p>
        </w:tc>
        <w:tc>
          <w:tcPr>
            <w:tcW w:w="1274" w:type="pct"/>
            <w:vAlign w:val="center"/>
          </w:tcPr>
          <w:p w14:paraId="70E82308" w14:textId="77777777" w:rsidR="007D1E74" w:rsidRDefault="00A95641">
            <w:pPr>
              <w:pStyle w:val="afffff8"/>
            </w:pPr>
            <w:r>
              <w:rPr>
                <w:rFonts w:hint="eastAsia"/>
              </w:rPr>
              <w:t>E</w:t>
            </w:r>
            <w:r>
              <w:t>1</w:t>
            </w:r>
          </w:p>
        </w:tc>
        <w:tc>
          <w:tcPr>
            <w:tcW w:w="1274" w:type="pct"/>
            <w:vAlign w:val="center"/>
          </w:tcPr>
          <w:p w14:paraId="1494DD13" w14:textId="77777777" w:rsidR="007D1E74" w:rsidRDefault="00A95641">
            <w:pPr>
              <w:pStyle w:val="afffff8"/>
            </w:pPr>
            <w:r>
              <w:rPr>
                <w:rFonts w:hint="eastAsia"/>
              </w:rPr>
              <w:t>E</w:t>
            </w:r>
            <w:r>
              <w:t>2</w:t>
            </w:r>
          </w:p>
        </w:tc>
        <w:tc>
          <w:tcPr>
            <w:tcW w:w="1275" w:type="pct"/>
            <w:vAlign w:val="center"/>
          </w:tcPr>
          <w:p w14:paraId="2DF1DC6C" w14:textId="77777777" w:rsidR="007D1E74" w:rsidRDefault="00A95641">
            <w:pPr>
              <w:pStyle w:val="afffff8"/>
            </w:pPr>
            <w:r>
              <w:rPr>
                <w:rFonts w:hint="eastAsia"/>
              </w:rPr>
              <w:t>E</w:t>
            </w:r>
            <w:r>
              <w:t>3</w:t>
            </w:r>
          </w:p>
        </w:tc>
      </w:tr>
      <w:tr w:rsidR="007D1E74" w14:paraId="7ED33D3C" w14:textId="77777777">
        <w:tc>
          <w:tcPr>
            <w:tcW w:w="1178" w:type="pct"/>
            <w:vAlign w:val="center"/>
          </w:tcPr>
          <w:p w14:paraId="097794C3" w14:textId="77777777" w:rsidR="007D1E74" w:rsidRDefault="00A95641">
            <w:pPr>
              <w:pStyle w:val="afffff8"/>
            </w:pPr>
            <w:r>
              <w:t>S3</w:t>
            </w:r>
          </w:p>
        </w:tc>
        <w:tc>
          <w:tcPr>
            <w:tcW w:w="1274" w:type="pct"/>
            <w:vAlign w:val="center"/>
          </w:tcPr>
          <w:p w14:paraId="4B92A18E" w14:textId="77777777" w:rsidR="007D1E74" w:rsidRDefault="00A95641">
            <w:pPr>
              <w:pStyle w:val="afffff8"/>
            </w:pPr>
            <w:r>
              <w:rPr>
                <w:rFonts w:hint="eastAsia"/>
              </w:rPr>
              <w:t>E</w:t>
            </w:r>
            <w:r>
              <w:t>1</w:t>
            </w:r>
          </w:p>
        </w:tc>
        <w:tc>
          <w:tcPr>
            <w:tcW w:w="1274" w:type="pct"/>
            <w:vAlign w:val="center"/>
          </w:tcPr>
          <w:p w14:paraId="534C9E93" w14:textId="77777777" w:rsidR="007D1E74" w:rsidRDefault="00A95641">
            <w:pPr>
              <w:pStyle w:val="afffff8"/>
            </w:pPr>
            <w:r>
              <w:rPr>
                <w:rFonts w:hint="eastAsia"/>
              </w:rPr>
              <w:t>E</w:t>
            </w:r>
            <w:r>
              <w:t>2</w:t>
            </w:r>
          </w:p>
        </w:tc>
        <w:tc>
          <w:tcPr>
            <w:tcW w:w="1275" w:type="pct"/>
            <w:vAlign w:val="center"/>
          </w:tcPr>
          <w:p w14:paraId="3D6C4D03" w14:textId="77777777" w:rsidR="007D1E74" w:rsidRDefault="00A95641">
            <w:pPr>
              <w:pStyle w:val="afffff8"/>
            </w:pPr>
            <w:r>
              <w:rPr>
                <w:rFonts w:hint="eastAsia"/>
              </w:rPr>
              <w:t>E</w:t>
            </w:r>
            <w:r>
              <w:t>3</w:t>
            </w:r>
          </w:p>
        </w:tc>
      </w:tr>
    </w:tbl>
    <w:p w14:paraId="08E11C23" w14:textId="77777777" w:rsidR="007D1E74" w:rsidRDefault="00A95641">
      <w:pPr>
        <w:pStyle w:val="afffffe"/>
        <w:numPr>
          <w:ilvl w:val="0"/>
          <w:numId w:val="47"/>
        </w:numPr>
        <w:spacing w:line="360" w:lineRule="auto"/>
        <w:ind w:firstLineChars="0"/>
        <w:jc w:val="center"/>
        <w:rPr>
          <w:rFonts w:eastAsia="黑体" w:cs="Times New Roman"/>
          <w:szCs w:val="21"/>
        </w:rPr>
      </w:pPr>
      <w:bookmarkStart w:id="40" w:name="_Ref98247839"/>
      <w:r>
        <w:rPr>
          <w:rFonts w:eastAsia="黑体" w:cs="Times New Roman" w:hint="eastAsia"/>
          <w:szCs w:val="21"/>
        </w:rPr>
        <w:t>地表水功能敏感性分级</w:t>
      </w:r>
      <w:bookmarkEnd w:id="40"/>
    </w:p>
    <w:tbl>
      <w:tblPr>
        <w:tblStyle w:val="affffc"/>
        <w:tblW w:w="5000" w:type="pct"/>
        <w:tblLook w:val="04A0" w:firstRow="1" w:lastRow="0" w:firstColumn="1" w:lastColumn="0" w:noHBand="0" w:noVBand="1"/>
      </w:tblPr>
      <w:tblGrid>
        <w:gridCol w:w="1697"/>
        <w:gridCol w:w="4679"/>
        <w:gridCol w:w="1417"/>
        <w:gridCol w:w="1223"/>
      </w:tblGrid>
      <w:tr w:rsidR="007D1E74" w14:paraId="7BC6D94E" w14:textId="77777777">
        <w:tc>
          <w:tcPr>
            <w:tcW w:w="941" w:type="pct"/>
            <w:vAlign w:val="center"/>
          </w:tcPr>
          <w:p w14:paraId="3F012F93" w14:textId="77777777" w:rsidR="007D1E74" w:rsidRDefault="00A95641">
            <w:pPr>
              <w:pStyle w:val="afffff8"/>
            </w:pPr>
            <w:r>
              <w:rPr>
                <w:rFonts w:hint="eastAsia"/>
              </w:rPr>
              <w:t>敏感性</w:t>
            </w:r>
          </w:p>
        </w:tc>
        <w:tc>
          <w:tcPr>
            <w:tcW w:w="2595" w:type="pct"/>
            <w:vAlign w:val="center"/>
          </w:tcPr>
          <w:p w14:paraId="2B8AF178" w14:textId="77777777" w:rsidR="007D1E74" w:rsidRDefault="00A95641">
            <w:pPr>
              <w:pStyle w:val="afffff8"/>
            </w:pPr>
            <w:r>
              <w:rPr>
                <w:rFonts w:hint="eastAsia"/>
              </w:rPr>
              <w:t>地表水环境敏感特征</w:t>
            </w:r>
          </w:p>
        </w:tc>
        <w:tc>
          <w:tcPr>
            <w:tcW w:w="786" w:type="pct"/>
            <w:vAlign w:val="center"/>
          </w:tcPr>
          <w:p w14:paraId="0C5E64FC" w14:textId="77777777" w:rsidR="007D1E74" w:rsidRDefault="00A95641">
            <w:pPr>
              <w:pStyle w:val="afffff8"/>
            </w:pPr>
            <w:r>
              <w:rPr>
                <w:rFonts w:hint="eastAsia"/>
              </w:rPr>
              <w:t>本项目情况</w:t>
            </w:r>
          </w:p>
        </w:tc>
        <w:tc>
          <w:tcPr>
            <w:tcW w:w="678" w:type="pct"/>
            <w:vAlign w:val="center"/>
          </w:tcPr>
          <w:p w14:paraId="1C54C99A" w14:textId="77777777" w:rsidR="007D1E74" w:rsidRDefault="00A95641">
            <w:pPr>
              <w:pStyle w:val="afffff8"/>
            </w:pPr>
            <w:r>
              <w:rPr>
                <w:rFonts w:hint="eastAsia"/>
              </w:rPr>
              <w:t>敏感程度</w:t>
            </w:r>
          </w:p>
        </w:tc>
      </w:tr>
      <w:tr w:rsidR="007D1E74" w14:paraId="7B3C304D" w14:textId="77777777">
        <w:trPr>
          <w:trHeight w:val="70"/>
        </w:trPr>
        <w:tc>
          <w:tcPr>
            <w:tcW w:w="941" w:type="pct"/>
            <w:vAlign w:val="center"/>
          </w:tcPr>
          <w:p w14:paraId="168B86AA" w14:textId="77777777" w:rsidR="007D1E74" w:rsidRDefault="00A95641">
            <w:pPr>
              <w:pStyle w:val="afffff8"/>
            </w:pPr>
            <w:r>
              <w:rPr>
                <w:rFonts w:hint="eastAsia"/>
              </w:rPr>
              <w:t>敏感</w:t>
            </w:r>
            <w:r>
              <w:rPr>
                <w:rFonts w:hint="eastAsia"/>
              </w:rPr>
              <w:t>F1</w:t>
            </w:r>
          </w:p>
        </w:tc>
        <w:tc>
          <w:tcPr>
            <w:tcW w:w="2595" w:type="pct"/>
            <w:vAlign w:val="center"/>
          </w:tcPr>
          <w:p w14:paraId="01B9EF05" w14:textId="77777777" w:rsidR="007D1E74" w:rsidRDefault="00A95641">
            <w:pPr>
              <w:pStyle w:val="afffff8"/>
              <w:jc w:val="both"/>
            </w:pPr>
            <w:r>
              <w:rPr>
                <w:rFonts w:hint="eastAsia"/>
              </w:rPr>
              <w:t>排放点进入地表水水域环境功能为</w:t>
            </w:r>
            <w:r>
              <w:rPr>
                <w:rFonts w:hint="eastAsia"/>
              </w:rPr>
              <w:t>II</w:t>
            </w:r>
            <w:r>
              <w:rPr>
                <w:rFonts w:hint="eastAsia"/>
              </w:rPr>
              <w:t>类及以上，或海水水质分类第一类；或以发生事故时，危险物质泄漏到水体的排放点算起，排放进入受纳河流最大流速时，</w:t>
            </w:r>
            <w:r>
              <w:rPr>
                <w:rFonts w:hint="eastAsia"/>
              </w:rPr>
              <w:t>24h</w:t>
            </w:r>
            <w:r>
              <w:rPr>
                <w:rFonts w:hint="eastAsia"/>
              </w:rPr>
              <w:t>流经范围内涉跨国界的</w:t>
            </w:r>
          </w:p>
        </w:tc>
        <w:tc>
          <w:tcPr>
            <w:tcW w:w="786" w:type="pct"/>
            <w:vMerge w:val="restart"/>
            <w:vAlign w:val="center"/>
          </w:tcPr>
          <w:p w14:paraId="55133C53" w14:textId="77777777" w:rsidR="007D1E74" w:rsidRDefault="00A95641">
            <w:pPr>
              <w:pStyle w:val="afffff8"/>
              <w:jc w:val="both"/>
            </w:pPr>
            <w:r>
              <w:rPr>
                <w:rFonts w:hint="eastAsia"/>
              </w:rPr>
              <w:t>项目为天然气集输管道，发生泄漏后，由于危险物质天然气不溶于水，故不会进入地表水体</w:t>
            </w:r>
          </w:p>
        </w:tc>
        <w:tc>
          <w:tcPr>
            <w:tcW w:w="678" w:type="pct"/>
            <w:vMerge w:val="restart"/>
            <w:vAlign w:val="center"/>
          </w:tcPr>
          <w:p w14:paraId="5DFE2E1E" w14:textId="77777777" w:rsidR="007D1E74" w:rsidRDefault="00A95641">
            <w:pPr>
              <w:pStyle w:val="afffff8"/>
            </w:pPr>
            <w:r>
              <w:rPr>
                <w:rFonts w:hint="eastAsia"/>
              </w:rPr>
              <w:t>不涉及</w:t>
            </w:r>
          </w:p>
        </w:tc>
      </w:tr>
      <w:tr w:rsidR="007D1E74" w14:paraId="49CC1C8B" w14:textId="77777777">
        <w:tc>
          <w:tcPr>
            <w:tcW w:w="941" w:type="pct"/>
            <w:vAlign w:val="center"/>
          </w:tcPr>
          <w:p w14:paraId="4F160065" w14:textId="77777777" w:rsidR="007D1E74" w:rsidRDefault="00A95641">
            <w:pPr>
              <w:pStyle w:val="afffff8"/>
            </w:pPr>
            <w:r>
              <w:rPr>
                <w:rFonts w:hint="eastAsia"/>
              </w:rPr>
              <w:t>较敏感</w:t>
            </w:r>
            <w:r>
              <w:rPr>
                <w:rFonts w:hint="eastAsia"/>
              </w:rPr>
              <w:t>F</w:t>
            </w:r>
            <w:r>
              <w:t>2</w:t>
            </w:r>
          </w:p>
        </w:tc>
        <w:tc>
          <w:tcPr>
            <w:tcW w:w="2595" w:type="pct"/>
            <w:vAlign w:val="center"/>
          </w:tcPr>
          <w:p w14:paraId="1A19F770" w14:textId="77777777" w:rsidR="007D1E74" w:rsidRDefault="00A95641">
            <w:pPr>
              <w:pStyle w:val="afffff8"/>
              <w:jc w:val="both"/>
            </w:pPr>
            <w:r>
              <w:rPr>
                <w:rFonts w:hint="eastAsia"/>
              </w:rPr>
              <w:t>排放点进入地表水水域环境功能为</w:t>
            </w:r>
            <w:r>
              <w:rPr>
                <w:rFonts w:hint="eastAsia"/>
              </w:rPr>
              <w:t>III</w:t>
            </w:r>
            <w:r>
              <w:rPr>
                <w:rFonts w:hint="eastAsia"/>
              </w:rPr>
              <w:t>类，或海水水质分类第二类；或以发生事故时，危险物质泄漏到水体的排放点算起，排放进入受纳河流最大流速时，</w:t>
            </w:r>
            <w:r>
              <w:rPr>
                <w:rFonts w:hint="eastAsia"/>
              </w:rPr>
              <w:t>24h</w:t>
            </w:r>
            <w:r>
              <w:rPr>
                <w:rFonts w:hint="eastAsia"/>
              </w:rPr>
              <w:t>流经范围内涉跨省界的</w:t>
            </w:r>
          </w:p>
        </w:tc>
        <w:tc>
          <w:tcPr>
            <w:tcW w:w="786" w:type="pct"/>
            <w:vMerge/>
            <w:vAlign w:val="center"/>
          </w:tcPr>
          <w:p w14:paraId="713647DF" w14:textId="77777777" w:rsidR="007D1E74" w:rsidRDefault="007D1E74">
            <w:pPr>
              <w:pStyle w:val="afffff8"/>
            </w:pPr>
          </w:p>
        </w:tc>
        <w:tc>
          <w:tcPr>
            <w:tcW w:w="678" w:type="pct"/>
            <w:vMerge/>
            <w:vAlign w:val="center"/>
          </w:tcPr>
          <w:p w14:paraId="4A701B17" w14:textId="77777777" w:rsidR="007D1E74" w:rsidRDefault="007D1E74">
            <w:pPr>
              <w:pStyle w:val="afffff8"/>
            </w:pPr>
          </w:p>
        </w:tc>
      </w:tr>
      <w:tr w:rsidR="007D1E74" w14:paraId="587C4E5A" w14:textId="77777777">
        <w:tc>
          <w:tcPr>
            <w:tcW w:w="941" w:type="pct"/>
            <w:vAlign w:val="center"/>
          </w:tcPr>
          <w:p w14:paraId="366FDC82" w14:textId="77777777" w:rsidR="007D1E74" w:rsidRDefault="00A95641">
            <w:pPr>
              <w:pStyle w:val="afffff8"/>
            </w:pPr>
            <w:r>
              <w:rPr>
                <w:rFonts w:hint="eastAsia"/>
              </w:rPr>
              <w:t>低敏感</w:t>
            </w:r>
            <w:r>
              <w:rPr>
                <w:rFonts w:hint="eastAsia"/>
              </w:rPr>
              <w:t>F</w:t>
            </w:r>
            <w:r>
              <w:t>3</w:t>
            </w:r>
          </w:p>
        </w:tc>
        <w:tc>
          <w:tcPr>
            <w:tcW w:w="2595" w:type="pct"/>
            <w:vAlign w:val="center"/>
          </w:tcPr>
          <w:p w14:paraId="7C6B4329" w14:textId="77777777" w:rsidR="007D1E74" w:rsidRDefault="00A95641">
            <w:pPr>
              <w:pStyle w:val="afffff8"/>
              <w:jc w:val="both"/>
            </w:pPr>
            <w:r>
              <w:rPr>
                <w:rFonts w:hint="eastAsia"/>
              </w:rPr>
              <w:t>上述地区之外的其他地区</w:t>
            </w:r>
          </w:p>
        </w:tc>
        <w:tc>
          <w:tcPr>
            <w:tcW w:w="786" w:type="pct"/>
            <w:vMerge/>
            <w:vAlign w:val="center"/>
          </w:tcPr>
          <w:p w14:paraId="39FC773A" w14:textId="77777777" w:rsidR="007D1E74" w:rsidRDefault="007D1E74">
            <w:pPr>
              <w:pStyle w:val="afffff8"/>
            </w:pPr>
          </w:p>
        </w:tc>
        <w:tc>
          <w:tcPr>
            <w:tcW w:w="678" w:type="pct"/>
            <w:vMerge/>
            <w:vAlign w:val="center"/>
          </w:tcPr>
          <w:p w14:paraId="2576C550" w14:textId="77777777" w:rsidR="007D1E74" w:rsidRDefault="007D1E74">
            <w:pPr>
              <w:pStyle w:val="afffff8"/>
            </w:pPr>
          </w:p>
        </w:tc>
      </w:tr>
    </w:tbl>
    <w:p w14:paraId="33D6A6B1" w14:textId="77777777" w:rsidR="007D1E74" w:rsidRDefault="00A95641">
      <w:pPr>
        <w:pStyle w:val="afffffe"/>
        <w:numPr>
          <w:ilvl w:val="0"/>
          <w:numId w:val="47"/>
        </w:numPr>
        <w:spacing w:line="360" w:lineRule="auto"/>
        <w:ind w:firstLineChars="0"/>
        <w:jc w:val="center"/>
        <w:rPr>
          <w:rFonts w:eastAsia="黑体" w:cs="Times New Roman"/>
          <w:szCs w:val="21"/>
        </w:rPr>
      </w:pPr>
      <w:bookmarkStart w:id="41" w:name="_Ref98247845"/>
      <w:r>
        <w:rPr>
          <w:rFonts w:eastAsia="黑体" w:cs="Times New Roman" w:hint="eastAsia"/>
          <w:szCs w:val="21"/>
        </w:rPr>
        <w:t>地表水环境敏感目标分级</w:t>
      </w:r>
      <w:bookmarkEnd w:id="41"/>
    </w:p>
    <w:tbl>
      <w:tblPr>
        <w:tblStyle w:val="affffc"/>
        <w:tblW w:w="5000" w:type="pct"/>
        <w:tblLook w:val="04A0" w:firstRow="1" w:lastRow="0" w:firstColumn="1" w:lastColumn="0" w:noHBand="0" w:noVBand="1"/>
      </w:tblPr>
      <w:tblGrid>
        <w:gridCol w:w="988"/>
        <w:gridCol w:w="5388"/>
        <w:gridCol w:w="1417"/>
        <w:gridCol w:w="1223"/>
      </w:tblGrid>
      <w:tr w:rsidR="007D1E74" w14:paraId="00C3E923" w14:textId="77777777">
        <w:trPr>
          <w:tblHeader/>
        </w:trPr>
        <w:tc>
          <w:tcPr>
            <w:tcW w:w="548" w:type="pct"/>
            <w:vAlign w:val="center"/>
          </w:tcPr>
          <w:p w14:paraId="4CC59F87" w14:textId="77777777" w:rsidR="007D1E74" w:rsidRDefault="00A95641">
            <w:pPr>
              <w:pStyle w:val="afffff8"/>
            </w:pPr>
            <w:r>
              <w:rPr>
                <w:rFonts w:hint="eastAsia"/>
              </w:rPr>
              <w:t>分级</w:t>
            </w:r>
          </w:p>
        </w:tc>
        <w:tc>
          <w:tcPr>
            <w:tcW w:w="2988" w:type="pct"/>
            <w:vAlign w:val="center"/>
          </w:tcPr>
          <w:p w14:paraId="5485E5F8" w14:textId="77777777" w:rsidR="007D1E74" w:rsidRDefault="00A95641">
            <w:pPr>
              <w:pStyle w:val="afffff8"/>
            </w:pPr>
            <w:r>
              <w:rPr>
                <w:rFonts w:hint="eastAsia"/>
              </w:rPr>
              <w:t>地表水环境敏感目标</w:t>
            </w:r>
          </w:p>
        </w:tc>
        <w:tc>
          <w:tcPr>
            <w:tcW w:w="786" w:type="pct"/>
            <w:vAlign w:val="center"/>
          </w:tcPr>
          <w:p w14:paraId="2FD43276" w14:textId="77777777" w:rsidR="007D1E74" w:rsidRDefault="00A95641">
            <w:pPr>
              <w:pStyle w:val="afffff8"/>
            </w:pPr>
            <w:r>
              <w:rPr>
                <w:rFonts w:hint="eastAsia"/>
              </w:rPr>
              <w:t>本项目情况</w:t>
            </w:r>
          </w:p>
        </w:tc>
        <w:tc>
          <w:tcPr>
            <w:tcW w:w="678" w:type="pct"/>
            <w:vAlign w:val="center"/>
          </w:tcPr>
          <w:p w14:paraId="7AA0AAC3" w14:textId="77777777" w:rsidR="007D1E74" w:rsidRDefault="00A95641">
            <w:pPr>
              <w:pStyle w:val="afffff8"/>
            </w:pPr>
            <w:r>
              <w:rPr>
                <w:rFonts w:hint="eastAsia"/>
              </w:rPr>
              <w:t>敏感程度</w:t>
            </w:r>
          </w:p>
        </w:tc>
      </w:tr>
      <w:tr w:rsidR="007D1E74" w14:paraId="2A84AEB6" w14:textId="77777777">
        <w:trPr>
          <w:trHeight w:val="70"/>
        </w:trPr>
        <w:tc>
          <w:tcPr>
            <w:tcW w:w="548" w:type="pct"/>
            <w:vAlign w:val="center"/>
          </w:tcPr>
          <w:p w14:paraId="76D3A593" w14:textId="77777777" w:rsidR="007D1E74" w:rsidRDefault="00A95641">
            <w:pPr>
              <w:pStyle w:val="afffff8"/>
            </w:pPr>
            <w:r>
              <w:rPr>
                <w:rFonts w:hint="eastAsia"/>
              </w:rPr>
              <w:t>S</w:t>
            </w:r>
            <w:r>
              <w:t>1</w:t>
            </w:r>
          </w:p>
        </w:tc>
        <w:tc>
          <w:tcPr>
            <w:tcW w:w="2988" w:type="pct"/>
            <w:vAlign w:val="center"/>
          </w:tcPr>
          <w:p w14:paraId="3083EBA5" w14:textId="77777777" w:rsidR="007D1E74" w:rsidRDefault="00A95641">
            <w:pPr>
              <w:pStyle w:val="afffff8"/>
              <w:jc w:val="both"/>
            </w:pPr>
            <w:r>
              <w:rPr>
                <w:rFonts w:hint="eastAsia"/>
              </w:rPr>
              <w:t>发生事故时，危险物质泄漏到内陆水体的排放点下游（顺水流向）</w:t>
            </w:r>
            <w:r>
              <w:rPr>
                <w:rFonts w:hint="eastAsia"/>
              </w:rPr>
              <w:t>10 km</w:t>
            </w:r>
            <w:r>
              <w:rPr>
                <w:rFonts w:hint="eastAsia"/>
              </w:rPr>
              <w:t>范围内、近岸海域一个潮周期水质点可能达到的最大水平距离的两倍范围内，有如下一类或多类环境风险受体：集中式地表水饮用水水源保护区（包括一级保护区、二级保护区及准保护区）；农村及分散式饮用水水源保护区；自然保护区；重要湿地；珍稀濒危野生动植物天然集中分布区；重要水生生物的自然产卵场及索饵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c>
          <w:tcPr>
            <w:tcW w:w="786" w:type="pct"/>
            <w:vMerge w:val="restart"/>
            <w:vAlign w:val="center"/>
          </w:tcPr>
          <w:p w14:paraId="4FF3E5E4" w14:textId="77777777" w:rsidR="007D1E74" w:rsidRDefault="00A95641">
            <w:pPr>
              <w:pStyle w:val="afffff8"/>
              <w:jc w:val="both"/>
            </w:pPr>
            <w:r>
              <w:rPr>
                <w:rFonts w:hint="eastAsia"/>
              </w:rPr>
              <w:t>项目为天然气集输管道，发生泄漏后，由于危险物质天然气不溶于水，故不会进入地表水体</w:t>
            </w:r>
          </w:p>
        </w:tc>
        <w:tc>
          <w:tcPr>
            <w:tcW w:w="678" w:type="pct"/>
            <w:vMerge w:val="restart"/>
            <w:vAlign w:val="center"/>
          </w:tcPr>
          <w:p w14:paraId="5AC74A92" w14:textId="77777777" w:rsidR="007D1E74" w:rsidRDefault="00A95641">
            <w:pPr>
              <w:pStyle w:val="afffff8"/>
            </w:pPr>
            <w:r>
              <w:rPr>
                <w:rFonts w:hint="eastAsia"/>
              </w:rPr>
              <w:t>不涉及</w:t>
            </w:r>
          </w:p>
        </w:tc>
      </w:tr>
      <w:tr w:rsidR="007D1E74" w14:paraId="2E56A10A" w14:textId="77777777">
        <w:tc>
          <w:tcPr>
            <w:tcW w:w="548" w:type="pct"/>
            <w:vAlign w:val="center"/>
          </w:tcPr>
          <w:p w14:paraId="3F2F56A2" w14:textId="77777777" w:rsidR="007D1E74" w:rsidRDefault="00A95641">
            <w:pPr>
              <w:pStyle w:val="afffff8"/>
            </w:pPr>
            <w:r>
              <w:rPr>
                <w:rFonts w:hint="eastAsia"/>
              </w:rPr>
              <w:t>S</w:t>
            </w:r>
            <w:r>
              <w:t>2</w:t>
            </w:r>
          </w:p>
        </w:tc>
        <w:tc>
          <w:tcPr>
            <w:tcW w:w="2988" w:type="pct"/>
            <w:vAlign w:val="center"/>
          </w:tcPr>
          <w:p w14:paraId="161B4884" w14:textId="77777777" w:rsidR="007D1E74" w:rsidRDefault="00A95641">
            <w:pPr>
              <w:pStyle w:val="afffff8"/>
              <w:jc w:val="both"/>
            </w:pPr>
            <w:r>
              <w:rPr>
                <w:rFonts w:hint="eastAsia"/>
              </w:rPr>
              <w:t>发生事故时，危险物质泄漏到内陆水体的排放点下游（顺水流向）</w:t>
            </w:r>
            <w:r>
              <w:rPr>
                <w:rFonts w:hint="eastAsia"/>
              </w:rPr>
              <w:t>10km</w:t>
            </w:r>
            <w:r>
              <w:rPr>
                <w:rFonts w:hint="eastAsia"/>
              </w:rPr>
              <w:t>范围内、近岸海域一个潮周期水质点可能达到的最大水平距离的两倍范围内，有如下一类或多类环境风险受体的：水产养殖区；天然渔场；森林公园；地质公园；海滨风景游览区；具有重要经济价值的海洋生物生</w:t>
            </w:r>
            <w:r>
              <w:rPr>
                <w:rFonts w:hint="eastAsia"/>
              </w:rPr>
              <w:lastRenderedPageBreak/>
              <w:t>存区域</w:t>
            </w:r>
          </w:p>
        </w:tc>
        <w:tc>
          <w:tcPr>
            <w:tcW w:w="786" w:type="pct"/>
            <w:vMerge/>
            <w:vAlign w:val="center"/>
          </w:tcPr>
          <w:p w14:paraId="2FB9A441" w14:textId="77777777" w:rsidR="007D1E74" w:rsidRDefault="007D1E74">
            <w:pPr>
              <w:pStyle w:val="afffff8"/>
            </w:pPr>
          </w:p>
        </w:tc>
        <w:tc>
          <w:tcPr>
            <w:tcW w:w="678" w:type="pct"/>
            <w:vMerge/>
            <w:vAlign w:val="center"/>
          </w:tcPr>
          <w:p w14:paraId="7FDF2335" w14:textId="77777777" w:rsidR="007D1E74" w:rsidRDefault="007D1E74">
            <w:pPr>
              <w:pStyle w:val="afffff8"/>
            </w:pPr>
          </w:p>
        </w:tc>
      </w:tr>
      <w:tr w:rsidR="007D1E74" w14:paraId="1C45F596" w14:textId="77777777">
        <w:tc>
          <w:tcPr>
            <w:tcW w:w="548" w:type="pct"/>
            <w:vAlign w:val="center"/>
          </w:tcPr>
          <w:p w14:paraId="4C6CCEFB" w14:textId="77777777" w:rsidR="007D1E74" w:rsidRDefault="00A95641">
            <w:pPr>
              <w:pStyle w:val="afffff8"/>
            </w:pPr>
            <w:r>
              <w:rPr>
                <w:rFonts w:hint="eastAsia"/>
              </w:rPr>
              <w:t>S</w:t>
            </w:r>
            <w:r>
              <w:t>3</w:t>
            </w:r>
          </w:p>
        </w:tc>
        <w:tc>
          <w:tcPr>
            <w:tcW w:w="2988" w:type="pct"/>
            <w:vAlign w:val="center"/>
          </w:tcPr>
          <w:p w14:paraId="054D3E91" w14:textId="77777777" w:rsidR="007D1E74" w:rsidRDefault="00A95641">
            <w:pPr>
              <w:pStyle w:val="afffff8"/>
              <w:jc w:val="both"/>
            </w:pPr>
            <w:r>
              <w:rPr>
                <w:rFonts w:hint="eastAsia"/>
              </w:rPr>
              <w:t>排放点下游（顺水流向）</w:t>
            </w:r>
            <w:r>
              <w:rPr>
                <w:rFonts w:hint="eastAsia"/>
              </w:rPr>
              <w:t>10km</w:t>
            </w:r>
            <w:r>
              <w:rPr>
                <w:rFonts w:hint="eastAsia"/>
              </w:rPr>
              <w:t>范围、近岸海域一个潮周期水质点可能达到的最大水平距离的两倍范围内无上述类型</w:t>
            </w:r>
            <w:r>
              <w:rPr>
                <w:rFonts w:hint="eastAsia"/>
              </w:rPr>
              <w:t>1</w:t>
            </w:r>
            <w:r>
              <w:rPr>
                <w:rFonts w:hint="eastAsia"/>
              </w:rPr>
              <w:t>和类型</w:t>
            </w:r>
            <w:r>
              <w:rPr>
                <w:rFonts w:hint="eastAsia"/>
              </w:rPr>
              <w:t>2</w:t>
            </w:r>
            <w:r>
              <w:rPr>
                <w:rFonts w:hint="eastAsia"/>
              </w:rPr>
              <w:t>包括的敏感保护目标</w:t>
            </w:r>
          </w:p>
        </w:tc>
        <w:tc>
          <w:tcPr>
            <w:tcW w:w="786" w:type="pct"/>
            <w:vMerge/>
            <w:vAlign w:val="center"/>
          </w:tcPr>
          <w:p w14:paraId="7F65E9CF" w14:textId="77777777" w:rsidR="007D1E74" w:rsidRDefault="007D1E74">
            <w:pPr>
              <w:pStyle w:val="afffff8"/>
            </w:pPr>
          </w:p>
        </w:tc>
        <w:tc>
          <w:tcPr>
            <w:tcW w:w="678" w:type="pct"/>
            <w:vMerge/>
            <w:vAlign w:val="center"/>
          </w:tcPr>
          <w:p w14:paraId="03C79FB1" w14:textId="77777777" w:rsidR="007D1E74" w:rsidRDefault="007D1E74">
            <w:pPr>
              <w:pStyle w:val="afffff8"/>
            </w:pPr>
          </w:p>
        </w:tc>
      </w:tr>
    </w:tbl>
    <w:p w14:paraId="42EB3C61" w14:textId="77777777" w:rsidR="007D1E74" w:rsidRDefault="00A95641">
      <w:pPr>
        <w:spacing w:line="360" w:lineRule="auto"/>
        <w:ind w:firstLineChars="200" w:firstLine="480"/>
        <w:rPr>
          <w:sz w:val="24"/>
          <w:szCs w:val="24"/>
        </w:rPr>
      </w:pPr>
      <w:r>
        <w:rPr>
          <w:rFonts w:hint="eastAsia"/>
          <w:sz w:val="24"/>
          <w:szCs w:val="24"/>
        </w:rPr>
        <w:t>综上分析，本项目发生事故后，危险物质不会进入地表水体，不对地表水环境敏感程度做出判定。</w:t>
      </w:r>
    </w:p>
    <w:p w14:paraId="55783A9E" w14:textId="77777777" w:rsidR="007D1E74" w:rsidRDefault="00A95641">
      <w:pPr>
        <w:pStyle w:val="aa"/>
      </w:pPr>
      <w:r>
        <w:rPr>
          <w:rFonts w:hint="eastAsia"/>
        </w:rPr>
        <w:t>地下水环境</w:t>
      </w:r>
    </w:p>
    <w:p w14:paraId="006D9007" w14:textId="77777777" w:rsidR="007D1E74" w:rsidRDefault="00A95641">
      <w:pPr>
        <w:spacing w:line="360" w:lineRule="auto"/>
        <w:ind w:firstLineChars="200" w:firstLine="480"/>
        <w:rPr>
          <w:sz w:val="24"/>
          <w:szCs w:val="24"/>
        </w:rPr>
      </w:pPr>
      <w:r>
        <w:rPr>
          <w:rFonts w:hint="eastAsia"/>
          <w:sz w:val="24"/>
          <w:szCs w:val="24"/>
        </w:rPr>
        <w:t>依据地下水功能敏感性与包气带防污性能，共分为三种类型，</w:t>
      </w:r>
      <w:r>
        <w:rPr>
          <w:rFonts w:hint="eastAsia"/>
          <w:sz w:val="24"/>
          <w:szCs w:val="24"/>
        </w:rPr>
        <w:t>E1</w:t>
      </w:r>
      <w:r>
        <w:rPr>
          <w:rFonts w:hint="eastAsia"/>
          <w:sz w:val="24"/>
          <w:szCs w:val="24"/>
        </w:rPr>
        <w:t>为环境高度敏感区，</w:t>
      </w:r>
      <w:r>
        <w:rPr>
          <w:rFonts w:hint="eastAsia"/>
          <w:sz w:val="24"/>
          <w:szCs w:val="24"/>
        </w:rPr>
        <w:t>E2</w:t>
      </w:r>
      <w:r>
        <w:rPr>
          <w:rFonts w:hint="eastAsia"/>
          <w:sz w:val="24"/>
          <w:szCs w:val="24"/>
        </w:rPr>
        <w:t>为环境中度敏感区，</w:t>
      </w:r>
      <w:r>
        <w:rPr>
          <w:rFonts w:hint="eastAsia"/>
          <w:sz w:val="24"/>
          <w:szCs w:val="24"/>
        </w:rPr>
        <w:t>E3</w:t>
      </w:r>
      <w:r>
        <w:rPr>
          <w:rFonts w:hint="eastAsia"/>
          <w:sz w:val="24"/>
          <w:szCs w:val="24"/>
        </w:rPr>
        <w:t>为环境低度敏感区，分级原则见</w:t>
      </w:r>
      <w:r>
        <w:rPr>
          <w:sz w:val="24"/>
          <w:szCs w:val="24"/>
        </w:rPr>
        <w:fldChar w:fldCharType="begin"/>
      </w:r>
      <w:r>
        <w:rPr>
          <w:sz w:val="24"/>
          <w:szCs w:val="24"/>
        </w:rPr>
        <w:instrText xml:space="preserve"> </w:instrText>
      </w:r>
      <w:r>
        <w:rPr>
          <w:rFonts w:hint="eastAsia"/>
          <w:sz w:val="24"/>
          <w:szCs w:val="24"/>
        </w:rPr>
        <w:instrText>REF _Ref98248856 \r \h</w:instrText>
      </w:r>
      <w:r>
        <w:rPr>
          <w:sz w:val="24"/>
          <w:szCs w:val="24"/>
        </w:rPr>
        <w:instrText xml:space="preserve"> </w:instrText>
      </w:r>
      <w:r>
        <w:rPr>
          <w:sz w:val="24"/>
          <w:szCs w:val="24"/>
        </w:rPr>
      </w:r>
      <w:r>
        <w:rPr>
          <w:sz w:val="24"/>
          <w:szCs w:val="24"/>
        </w:rPr>
        <w:fldChar w:fldCharType="separate"/>
      </w:r>
      <w:r>
        <w:rPr>
          <w:rFonts w:hint="eastAsia"/>
          <w:sz w:val="24"/>
          <w:szCs w:val="24"/>
        </w:rPr>
        <w:t>表</w:t>
      </w:r>
      <w:r>
        <w:rPr>
          <w:rFonts w:hint="eastAsia"/>
          <w:sz w:val="24"/>
          <w:szCs w:val="24"/>
        </w:rPr>
        <w:t>7.3-8</w:t>
      </w:r>
      <w:r>
        <w:rPr>
          <w:sz w:val="24"/>
          <w:szCs w:val="24"/>
        </w:rPr>
        <w:fldChar w:fldCharType="end"/>
      </w:r>
      <w:r>
        <w:rPr>
          <w:rFonts w:hint="eastAsia"/>
          <w:sz w:val="24"/>
          <w:szCs w:val="24"/>
        </w:rPr>
        <w:t>。其中地下水功能敏感性分区和包气带防污性能分级分别见</w:t>
      </w:r>
      <w:r>
        <w:rPr>
          <w:sz w:val="24"/>
          <w:szCs w:val="24"/>
        </w:rPr>
        <w:fldChar w:fldCharType="begin"/>
      </w:r>
      <w:r>
        <w:rPr>
          <w:sz w:val="24"/>
          <w:szCs w:val="24"/>
        </w:rPr>
        <w:instrText xml:space="preserve"> </w:instrText>
      </w:r>
      <w:r>
        <w:rPr>
          <w:rFonts w:hint="eastAsia"/>
          <w:sz w:val="24"/>
          <w:szCs w:val="24"/>
        </w:rPr>
        <w:instrText>REF _Ref98248894 \r \h</w:instrText>
      </w:r>
      <w:r>
        <w:rPr>
          <w:sz w:val="24"/>
          <w:szCs w:val="24"/>
        </w:rPr>
        <w:instrText xml:space="preserve"> </w:instrText>
      </w:r>
      <w:r>
        <w:rPr>
          <w:sz w:val="24"/>
          <w:szCs w:val="24"/>
        </w:rPr>
      </w:r>
      <w:r>
        <w:rPr>
          <w:sz w:val="24"/>
          <w:szCs w:val="24"/>
        </w:rPr>
        <w:fldChar w:fldCharType="separate"/>
      </w:r>
      <w:r>
        <w:rPr>
          <w:rFonts w:hint="eastAsia"/>
          <w:sz w:val="24"/>
          <w:szCs w:val="24"/>
        </w:rPr>
        <w:t>表</w:t>
      </w:r>
      <w:r>
        <w:rPr>
          <w:rFonts w:hint="eastAsia"/>
          <w:sz w:val="24"/>
          <w:szCs w:val="24"/>
        </w:rPr>
        <w:t>7.3-9</w:t>
      </w:r>
      <w:r>
        <w:rPr>
          <w:sz w:val="24"/>
          <w:szCs w:val="24"/>
        </w:rPr>
        <w:fldChar w:fldCharType="end"/>
      </w:r>
      <w:r>
        <w:rPr>
          <w:rFonts w:hint="eastAsia"/>
          <w:sz w:val="24"/>
          <w:szCs w:val="24"/>
        </w:rPr>
        <w:t>和</w:t>
      </w:r>
      <w:r>
        <w:rPr>
          <w:sz w:val="24"/>
          <w:szCs w:val="24"/>
        </w:rPr>
        <w:fldChar w:fldCharType="begin"/>
      </w:r>
      <w:r>
        <w:rPr>
          <w:sz w:val="24"/>
          <w:szCs w:val="24"/>
        </w:rPr>
        <w:instrText xml:space="preserve"> </w:instrText>
      </w:r>
      <w:r>
        <w:rPr>
          <w:rFonts w:hint="eastAsia"/>
          <w:sz w:val="24"/>
          <w:szCs w:val="24"/>
        </w:rPr>
        <w:instrText>REF _Ref98248900 \r \h</w:instrText>
      </w:r>
      <w:r>
        <w:rPr>
          <w:sz w:val="24"/>
          <w:szCs w:val="24"/>
        </w:rPr>
        <w:instrText xml:space="preserve"> </w:instrText>
      </w:r>
      <w:r>
        <w:rPr>
          <w:sz w:val="24"/>
          <w:szCs w:val="24"/>
        </w:rPr>
      </w:r>
      <w:r>
        <w:rPr>
          <w:sz w:val="24"/>
          <w:szCs w:val="24"/>
        </w:rPr>
        <w:fldChar w:fldCharType="separate"/>
      </w:r>
      <w:r>
        <w:rPr>
          <w:rFonts w:hint="eastAsia"/>
          <w:sz w:val="24"/>
          <w:szCs w:val="24"/>
        </w:rPr>
        <w:t>表</w:t>
      </w:r>
      <w:r>
        <w:rPr>
          <w:rFonts w:hint="eastAsia"/>
          <w:sz w:val="24"/>
          <w:szCs w:val="24"/>
        </w:rPr>
        <w:t>7.3-10</w:t>
      </w:r>
      <w:r>
        <w:rPr>
          <w:sz w:val="24"/>
          <w:szCs w:val="24"/>
        </w:rPr>
        <w:fldChar w:fldCharType="end"/>
      </w:r>
      <w:r>
        <w:rPr>
          <w:rFonts w:hint="eastAsia"/>
          <w:sz w:val="24"/>
          <w:szCs w:val="24"/>
        </w:rPr>
        <w:t>。当同一建设项目涉及两个</w:t>
      </w:r>
      <w:r>
        <w:rPr>
          <w:rFonts w:hint="eastAsia"/>
          <w:sz w:val="24"/>
          <w:szCs w:val="24"/>
        </w:rPr>
        <w:t>G</w:t>
      </w:r>
      <w:r>
        <w:rPr>
          <w:rFonts w:hint="eastAsia"/>
          <w:sz w:val="24"/>
          <w:szCs w:val="24"/>
        </w:rPr>
        <w:t>分区或</w:t>
      </w:r>
      <w:r>
        <w:rPr>
          <w:rFonts w:hint="eastAsia"/>
          <w:sz w:val="24"/>
          <w:szCs w:val="24"/>
        </w:rPr>
        <w:t>D</w:t>
      </w:r>
      <w:r>
        <w:rPr>
          <w:rFonts w:hint="eastAsia"/>
          <w:sz w:val="24"/>
          <w:szCs w:val="24"/>
        </w:rPr>
        <w:t>分级及以上时，取相对高值。</w:t>
      </w:r>
    </w:p>
    <w:p w14:paraId="063AFABE" w14:textId="77777777" w:rsidR="007D1E74" w:rsidRDefault="00A95641">
      <w:pPr>
        <w:pStyle w:val="afffffe"/>
        <w:numPr>
          <w:ilvl w:val="0"/>
          <w:numId w:val="47"/>
        </w:numPr>
        <w:spacing w:line="360" w:lineRule="auto"/>
        <w:ind w:firstLineChars="0"/>
        <w:jc w:val="center"/>
        <w:rPr>
          <w:rFonts w:eastAsia="黑体" w:cs="Times New Roman"/>
          <w:szCs w:val="21"/>
        </w:rPr>
      </w:pPr>
      <w:bookmarkStart w:id="42" w:name="_Ref98248856"/>
      <w:r>
        <w:rPr>
          <w:rFonts w:eastAsia="黑体" w:cs="Times New Roman" w:hint="eastAsia"/>
          <w:szCs w:val="21"/>
        </w:rPr>
        <w:t>地下水环境敏感程度分级</w:t>
      </w:r>
      <w:bookmarkEnd w:id="42"/>
    </w:p>
    <w:tbl>
      <w:tblPr>
        <w:tblStyle w:val="affffc"/>
        <w:tblW w:w="5000" w:type="pct"/>
        <w:tblLook w:val="04A0" w:firstRow="1" w:lastRow="0" w:firstColumn="1" w:lastColumn="0" w:noHBand="0" w:noVBand="1"/>
      </w:tblPr>
      <w:tblGrid>
        <w:gridCol w:w="2125"/>
        <w:gridCol w:w="2297"/>
        <w:gridCol w:w="2297"/>
        <w:gridCol w:w="2297"/>
      </w:tblGrid>
      <w:tr w:rsidR="007D1E74" w14:paraId="63078841" w14:textId="77777777">
        <w:tc>
          <w:tcPr>
            <w:tcW w:w="1178" w:type="pct"/>
            <w:vMerge w:val="restart"/>
            <w:vAlign w:val="center"/>
          </w:tcPr>
          <w:p w14:paraId="1FB20638" w14:textId="77777777" w:rsidR="007D1E74" w:rsidRDefault="00A95641">
            <w:pPr>
              <w:pStyle w:val="afffff8"/>
            </w:pPr>
            <w:r>
              <w:rPr>
                <w:rFonts w:hint="eastAsia"/>
              </w:rPr>
              <w:t>包气带防污性能</w:t>
            </w:r>
          </w:p>
        </w:tc>
        <w:tc>
          <w:tcPr>
            <w:tcW w:w="3822" w:type="pct"/>
            <w:gridSpan w:val="3"/>
            <w:vAlign w:val="center"/>
          </w:tcPr>
          <w:p w14:paraId="0BA5645A" w14:textId="77777777" w:rsidR="007D1E74" w:rsidRDefault="00A95641">
            <w:pPr>
              <w:pStyle w:val="afffff8"/>
            </w:pPr>
            <w:r>
              <w:rPr>
                <w:rFonts w:hint="eastAsia"/>
              </w:rPr>
              <w:t>地下水功能敏感性</w:t>
            </w:r>
          </w:p>
        </w:tc>
      </w:tr>
      <w:tr w:rsidR="007D1E74" w14:paraId="3DB5083E" w14:textId="77777777">
        <w:tc>
          <w:tcPr>
            <w:tcW w:w="1178" w:type="pct"/>
            <w:vMerge/>
            <w:vAlign w:val="center"/>
          </w:tcPr>
          <w:p w14:paraId="3303069C" w14:textId="77777777" w:rsidR="007D1E74" w:rsidRDefault="007D1E74">
            <w:pPr>
              <w:pStyle w:val="afffff8"/>
            </w:pPr>
          </w:p>
        </w:tc>
        <w:tc>
          <w:tcPr>
            <w:tcW w:w="1274" w:type="pct"/>
            <w:vAlign w:val="center"/>
          </w:tcPr>
          <w:p w14:paraId="16215A81" w14:textId="77777777" w:rsidR="007D1E74" w:rsidRDefault="00A95641">
            <w:pPr>
              <w:pStyle w:val="afffff8"/>
            </w:pPr>
            <w:r>
              <w:rPr>
                <w:rFonts w:hint="eastAsia"/>
              </w:rPr>
              <w:t>G</w:t>
            </w:r>
            <w:r>
              <w:t>1</w:t>
            </w:r>
          </w:p>
        </w:tc>
        <w:tc>
          <w:tcPr>
            <w:tcW w:w="1274" w:type="pct"/>
            <w:vAlign w:val="center"/>
          </w:tcPr>
          <w:p w14:paraId="1899B373" w14:textId="77777777" w:rsidR="007D1E74" w:rsidRDefault="00A95641">
            <w:pPr>
              <w:pStyle w:val="afffff8"/>
            </w:pPr>
            <w:r>
              <w:rPr>
                <w:rFonts w:hint="eastAsia"/>
              </w:rPr>
              <w:t>G</w:t>
            </w:r>
            <w:r>
              <w:t>2</w:t>
            </w:r>
          </w:p>
        </w:tc>
        <w:tc>
          <w:tcPr>
            <w:tcW w:w="1275" w:type="pct"/>
            <w:vAlign w:val="center"/>
          </w:tcPr>
          <w:p w14:paraId="5B85F92D" w14:textId="77777777" w:rsidR="007D1E74" w:rsidRDefault="00A95641">
            <w:pPr>
              <w:pStyle w:val="afffff8"/>
            </w:pPr>
            <w:r>
              <w:rPr>
                <w:rFonts w:hint="eastAsia"/>
              </w:rPr>
              <w:t>G</w:t>
            </w:r>
            <w:r>
              <w:t>3</w:t>
            </w:r>
          </w:p>
        </w:tc>
      </w:tr>
      <w:tr w:rsidR="007D1E74" w14:paraId="6FEB2A9D" w14:textId="77777777">
        <w:trPr>
          <w:trHeight w:val="70"/>
        </w:trPr>
        <w:tc>
          <w:tcPr>
            <w:tcW w:w="1178" w:type="pct"/>
            <w:vAlign w:val="center"/>
          </w:tcPr>
          <w:p w14:paraId="650A04A5" w14:textId="77777777" w:rsidR="007D1E74" w:rsidRDefault="00A95641">
            <w:pPr>
              <w:pStyle w:val="afffff8"/>
            </w:pPr>
            <w:r>
              <w:rPr>
                <w:rFonts w:hint="eastAsia"/>
              </w:rPr>
              <w:t>D</w:t>
            </w:r>
            <w:r>
              <w:t>1</w:t>
            </w:r>
          </w:p>
        </w:tc>
        <w:tc>
          <w:tcPr>
            <w:tcW w:w="1274" w:type="pct"/>
            <w:vAlign w:val="center"/>
          </w:tcPr>
          <w:p w14:paraId="4C610AC7" w14:textId="77777777" w:rsidR="007D1E74" w:rsidRDefault="00A95641">
            <w:pPr>
              <w:pStyle w:val="afffff8"/>
            </w:pPr>
            <w:r>
              <w:rPr>
                <w:rFonts w:hint="eastAsia"/>
              </w:rPr>
              <w:t>E</w:t>
            </w:r>
            <w:r>
              <w:t>1</w:t>
            </w:r>
          </w:p>
        </w:tc>
        <w:tc>
          <w:tcPr>
            <w:tcW w:w="1274" w:type="pct"/>
            <w:vAlign w:val="center"/>
          </w:tcPr>
          <w:p w14:paraId="41E75028" w14:textId="77777777" w:rsidR="007D1E74" w:rsidRDefault="00A95641">
            <w:pPr>
              <w:pStyle w:val="afffff8"/>
            </w:pPr>
            <w:r>
              <w:rPr>
                <w:rFonts w:hint="eastAsia"/>
              </w:rPr>
              <w:t>E</w:t>
            </w:r>
            <w:r>
              <w:t>1</w:t>
            </w:r>
          </w:p>
        </w:tc>
        <w:tc>
          <w:tcPr>
            <w:tcW w:w="1275" w:type="pct"/>
            <w:vAlign w:val="center"/>
          </w:tcPr>
          <w:p w14:paraId="61FADC88" w14:textId="77777777" w:rsidR="007D1E74" w:rsidRDefault="00A95641">
            <w:pPr>
              <w:pStyle w:val="afffff8"/>
            </w:pPr>
            <w:r>
              <w:rPr>
                <w:rFonts w:hint="eastAsia"/>
              </w:rPr>
              <w:t>E</w:t>
            </w:r>
            <w:r>
              <w:t>2</w:t>
            </w:r>
          </w:p>
        </w:tc>
      </w:tr>
      <w:tr w:rsidR="007D1E74" w14:paraId="13F9A153" w14:textId="77777777">
        <w:tc>
          <w:tcPr>
            <w:tcW w:w="1178" w:type="pct"/>
            <w:vAlign w:val="center"/>
          </w:tcPr>
          <w:p w14:paraId="2BCEC7BE" w14:textId="77777777" w:rsidR="007D1E74" w:rsidRDefault="00A95641">
            <w:pPr>
              <w:pStyle w:val="afffff8"/>
            </w:pPr>
            <w:r>
              <w:rPr>
                <w:rFonts w:hint="eastAsia"/>
              </w:rPr>
              <w:t>D</w:t>
            </w:r>
            <w:r>
              <w:t>2</w:t>
            </w:r>
          </w:p>
        </w:tc>
        <w:tc>
          <w:tcPr>
            <w:tcW w:w="1274" w:type="pct"/>
            <w:vAlign w:val="center"/>
          </w:tcPr>
          <w:p w14:paraId="36D17D7F" w14:textId="77777777" w:rsidR="007D1E74" w:rsidRDefault="00A95641">
            <w:pPr>
              <w:pStyle w:val="afffff8"/>
            </w:pPr>
            <w:r>
              <w:rPr>
                <w:rFonts w:hint="eastAsia"/>
              </w:rPr>
              <w:t>E</w:t>
            </w:r>
            <w:r>
              <w:t>1</w:t>
            </w:r>
          </w:p>
        </w:tc>
        <w:tc>
          <w:tcPr>
            <w:tcW w:w="1274" w:type="pct"/>
            <w:vAlign w:val="center"/>
          </w:tcPr>
          <w:p w14:paraId="1DC830D4" w14:textId="77777777" w:rsidR="007D1E74" w:rsidRDefault="00A95641">
            <w:pPr>
              <w:pStyle w:val="afffff8"/>
            </w:pPr>
            <w:r>
              <w:rPr>
                <w:rFonts w:hint="eastAsia"/>
              </w:rPr>
              <w:t>E</w:t>
            </w:r>
            <w:r>
              <w:t>2</w:t>
            </w:r>
          </w:p>
        </w:tc>
        <w:tc>
          <w:tcPr>
            <w:tcW w:w="1275" w:type="pct"/>
            <w:vAlign w:val="center"/>
          </w:tcPr>
          <w:p w14:paraId="2405F7A1" w14:textId="77777777" w:rsidR="007D1E74" w:rsidRDefault="00A95641">
            <w:pPr>
              <w:pStyle w:val="afffff8"/>
            </w:pPr>
            <w:r>
              <w:rPr>
                <w:rFonts w:hint="eastAsia"/>
              </w:rPr>
              <w:t>E</w:t>
            </w:r>
            <w:r>
              <w:t>3</w:t>
            </w:r>
          </w:p>
        </w:tc>
      </w:tr>
      <w:tr w:rsidR="007D1E74" w14:paraId="4D22BBC0" w14:textId="77777777">
        <w:tc>
          <w:tcPr>
            <w:tcW w:w="1178" w:type="pct"/>
            <w:vAlign w:val="center"/>
          </w:tcPr>
          <w:p w14:paraId="6AAEABB7" w14:textId="77777777" w:rsidR="007D1E74" w:rsidRDefault="00A95641">
            <w:pPr>
              <w:pStyle w:val="afffff8"/>
            </w:pPr>
            <w:r>
              <w:rPr>
                <w:rFonts w:hint="eastAsia"/>
              </w:rPr>
              <w:t>D</w:t>
            </w:r>
            <w:r>
              <w:t>3</w:t>
            </w:r>
          </w:p>
        </w:tc>
        <w:tc>
          <w:tcPr>
            <w:tcW w:w="1274" w:type="pct"/>
            <w:vAlign w:val="center"/>
          </w:tcPr>
          <w:p w14:paraId="49FE7F05" w14:textId="77777777" w:rsidR="007D1E74" w:rsidRDefault="00A95641">
            <w:pPr>
              <w:pStyle w:val="afffff8"/>
            </w:pPr>
            <w:r>
              <w:rPr>
                <w:rFonts w:hint="eastAsia"/>
              </w:rPr>
              <w:t>E</w:t>
            </w:r>
            <w:r>
              <w:t>2</w:t>
            </w:r>
          </w:p>
        </w:tc>
        <w:tc>
          <w:tcPr>
            <w:tcW w:w="1274" w:type="pct"/>
            <w:vAlign w:val="center"/>
          </w:tcPr>
          <w:p w14:paraId="435BC01A" w14:textId="77777777" w:rsidR="007D1E74" w:rsidRDefault="00A95641">
            <w:pPr>
              <w:pStyle w:val="afffff8"/>
            </w:pPr>
            <w:r>
              <w:rPr>
                <w:rFonts w:hint="eastAsia"/>
              </w:rPr>
              <w:t>E</w:t>
            </w:r>
            <w:r>
              <w:t>3</w:t>
            </w:r>
          </w:p>
        </w:tc>
        <w:tc>
          <w:tcPr>
            <w:tcW w:w="1275" w:type="pct"/>
            <w:vAlign w:val="center"/>
          </w:tcPr>
          <w:p w14:paraId="31E584C1" w14:textId="77777777" w:rsidR="007D1E74" w:rsidRDefault="00A95641">
            <w:pPr>
              <w:pStyle w:val="afffff8"/>
            </w:pPr>
            <w:r>
              <w:rPr>
                <w:rFonts w:hint="eastAsia"/>
              </w:rPr>
              <w:t>E</w:t>
            </w:r>
            <w:r>
              <w:t>3</w:t>
            </w:r>
          </w:p>
        </w:tc>
      </w:tr>
    </w:tbl>
    <w:p w14:paraId="48899435" w14:textId="77777777" w:rsidR="007D1E74" w:rsidRDefault="00A95641">
      <w:pPr>
        <w:pStyle w:val="afffffe"/>
        <w:numPr>
          <w:ilvl w:val="0"/>
          <w:numId w:val="47"/>
        </w:numPr>
        <w:spacing w:line="360" w:lineRule="auto"/>
        <w:ind w:firstLineChars="0"/>
        <w:jc w:val="center"/>
        <w:rPr>
          <w:rFonts w:eastAsia="黑体" w:cs="Times New Roman"/>
          <w:szCs w:val="21"/>
        </w:rPr>
      </w:pPr>
      <w:bookmarkStart w:id="43" w:name="_Ref98248894"/>
      <w:r>
        <w:rPr>
          <w:rFonts w:eastAsia="黑体" w:cs="Times New Roman" w:hint="eastAsia"/>
          <w:szCs w:val="21"/>
        </w:rPr>
        <w:t>地下水功能敏感性分级</w:t>
      </w:r>
      <w:bookmarkEnd w:id="43"/>
    </w:p>
    <w:tbl>
      <w:tblPr>
        <w:tblStyle w:val="affffc"/>
        <w:tblW w:w="5000" w:type="pct"/>
        <w:tblLook w:val="04A0" w:firstRow="1" w:lastRow="0" w:firstColumn="1" w:lastColumn="0" w:noHBand="0" w:noVBand="1"/>
      </w:tblPr>
      <w:tblGrid>
        <w:gridCol w:w="1271"/>
        <w:gridCol w:w="5105"/>
        <w:gridCol w:w="1417"/>
        <w:gridCol w:w="1223"/>
      </w:tblGrid>
      <w:tr w:rsidR="007D1E74" w14:paraId="010654A8" w14:textId="77777777">
        <w:trPr>
          <w:tblHeader/>
        </w:trPr>
        <w:tc>
          <w:tcPr>
            <w:tcW w:w="705" w:type="pct"/>
            <w:vAlign w:val="center"/>
          </w:tcPr>
          <w:p w14:paraId="61079ED4" w14:textId="77777777" w:rsidR="007D1E74" w:rsidRDefault="00A95641">
            <w:pPr>
              <w:pStyle w:val="afffff8"/>
            </w:pPr>
            <w:r>
              <w:rPr>
                <w:rFonts w:hint="eastAsia"/>
              </w:rPr>
              <w:t>敏感性</w:t>
            </w:r>
          </w:p>
        </w:tc>
        <w:tc>
          <w:tcPr>
            <w:tcW w:w="2831" w:type="pct"/>
            <w:vAlign w:val="center"/>
          </w:tcPr>
          <w:p w14:paraId="7C65023B" w14:textId="77777777" w:rsidR="007D1E74" w:rsidRDefault="00A95641">
            <w:pPr>
              <w:pStyle w:val="afffff8"/>
            </w:pPr>
            <w:r>
              <w:rPr>
                <w:rFonts w:hint="eastAsia"/>
              </w:rPr>
              <w:t>地下水环境敏感特征</w:t>
            </w:r>
          </w:p>
        </w:tc>
        <w:tc>
          <w:tcPr>
            <w:tcW w:w="786" w:type="pct"/>
            <w:vAlign w:val="center"/>
          </w:tcPr>
          <w:p w14:paraId="4A137BC2" w14:textId="77777777" w:rsidR="007D1E74" w:rsidRDefault="00A95641">
            <w:pPr>
              <w:pStyle w:val="afffff8"/>
            </w:pPr>
            <w:r>
              <w:rPr>
                <w:rFonts w:hint="eastAsia"/>
              </w:rPr>
              <w:t>本项目情况</w:t>
            </w:r>
          </w:p>
        </w:tc>
        <w:tc>
          <w:tcPr>
            <w:tcW w:w="678" w:type="pct"/>
            <w:vAlign w:val="center"/>
          </w:tcPr>
          <w:p w14:paraId="687F91B9" w14:textId="77777777" w:rsidR="007D1E74" w:rsidRDefault="00A95641">
            <w:pPr>
              <w:pStyle w:val="afffff8"/>
            </w:pPr>
            <w:r>
              <w:rPr>
                <w:rFonts w:hint="eastAsia"/>
              </w:rPr>
              <w:t>敏感程度</w:t>
            </w:r>
          </w:p>
        </w:tc>
      </w:tr>
      <w:tr w:rsidR="007D1E74" w14:paraId="178BA28D" w14:textId="77777777">
        <w:trPr>
          <w:trHeight w:val="70"/>
        </w:trPr>
        <w:tc>
          <w:tcPr>
            <w:tcW w:w="705" w:type="pct"/>
            <w:vAlign w:val="center"/>
          </w:tcPr>
          <w:p w14:paraId="6AEA5A77" w14:textId="77777777" w:rsidR="007D1E74" w:rsidRDefault="00A95641">
            <w:pPr>
              <w:pStyle w:val="afffff8"/>
            </w:pPr>
            <w:r>
              <w:rPr>
                <w:rFonts w:hint="eastAsia"/>
              </w:rPr>
              <w:t>敏感</w:t>
            </w:r>
            <w:r>
              <w:rPr>
                <w:rFonts w:hint="eastAsia"/>
              </w:rPr>
              <w:t>G1</w:t>
            </w:r>
          </w:p>
        </w:tc>
        <w:tc>
          <w:tcPr>
            <w:tcW w:w="2831" w:type="pct"/>
            <w:vAlign w:val="center"/>
          </w:tcPr>
          <w:p w14:paraId="3B9D723B" w14:textId="77777777" w:rsidR="007D1E74" w:rsidRDefault="00A95641">
            <w:pPr>
              <w:pStyle w:val="afffff8"/>
              <w:jc w:val="both"/>
            </w:pPr>
            <w:r>
              <w:rPr>
                <w:rFonts w:hint="eastAsia"/>
              </w:rPr>
              <w:t>集中式饮用水水源（包括已建成的在用、备用、应急水源，在建和规划的饮用水水源）准保护区；除集中式饮用水水源以外的国家或地方政府设定的与地下水环境相关的其他保护区，如热水、矿泉水、温泉等特殊地下水资源保护区</w:t>
            </w:r>
          </w:p>
        </w:tc>
        <w:tc>
          <w:tcPr>
            <w:tcW w:w="786" w:type="pct"/>
            <w:vMerge w:val="restart"/>
            <w:vAlign w:val="center"/>
          </w:tcPr>
          <w:p w14:paraId="22340F23" w14:textId="77777777" w:rsidR="007D1E74" w:rsidRDefault="00A95641">
            <w:pPr>
              <w:pStyle w:val="afffff8"/>
              <w:jc w:val="both"/>
            </w:pPr>
            <w:r>
              <w:rPr>
                <w:rFonts w:hint="eastAsia"/>
              </w:rPr>
              <w:t>项目沿线存在分散式饮用水水源地</w:t>
            </w:r>
          </w:p>
        </w:tc>
        <w:tc>
          <w:tcPr>
            <w:tcW w:w="678" w:type="pct"/>
            <w:vMerge w:val="restart"/>
            <w:vAlign w:val="center"/>
          </w:tcPr>
          <w:p w14:paraId="4235730D" w14:textId="77777777" w:rsidR="007D1E74" w:rsidRDefault="00A95641">
            <w:pPr>
              <w:pStyle w:val="afffff8"/>
            </w:pPr>
            <w:r>
              <w:rPr>
                <w:rFonts w:hint="eastAsia"/>
              </w:rPr>
              <w:t>G</w:t>
            </w:r>
            <w:r>
              <w:t>2</w:t>
            </w:r>
          </w:p>
        </w:tc>
      </w:tr>
      <w:tr w:rsidR="007D1E74" w14:paraId="15B5969C" w14:textId="77777777">
        <w:tc>
          <w:tcPr>
            <w:tcW w:w="705" w:type="pct"/>
            <w:vAlign w:val="center"/>
          </w:tcPr>
          <w:p w14:paraId="62E7B31E" w14:textId="77777777" w:rsidR="007D1E74" w:rsidRDefault="00A95641">
            <w:pPr>
              <w:pStyle w:val="afffff8"/>
            </w:pPr>
            <w:r>
              <w:rPr>
                <w:rFonts w:hint="eastAsia"/>
              </w:rPr>
              <w:t>较敏感</w:t>
            </w:r>
            <w:r>
              <w:rPr>
                <w:rFonts w:hint="eastAsia"/>
              </w:rPr>
              <w:t>G</w:t>
            </w:r>
            <w:r>
              <w:t>2</w:t>
            </w:r>
          </w:p>
        </w:tc>
        <w:tc>
          <w:tcPr>
            <w:tcW w:w="2831" w:type="pct"/>
            <w:vAlign w:val="center"/>
          </w:tcPr>
          <w:p w14:paraId="6DCF7311" w14:textId="77777777" w:rsidR="007D1E74" w:rsidRDefault="00A95641">
            <w:pPr>
              <w:pStyle w:val="afffff8"/>
              <w:jc w:val="both"/>
            </w:pPr>
            <w:r>
              <w:rPr>
                <w:rFonts w:hint="eastAsia"/>
              </w:rPr>
              <w:t>集中式饮用水水源（包括已建成的在用、备用、应急水源，在建和规划的饮用水水源）准保护区以外的补给径流区；未划定准保护区的集中式饮用水水源，其保护区以外的补给径流区；分散式饮用水水源地；特殊地下水资源（如热水、矿泉水、温泉等）保护区以外的分布区等其他未列入上述敏感分级的环境敏感区</w:t>
            </w:r>
            <w:r>
              <w:rPr>
                <w:rFonts w:hint="eastAsia"/>
                <w:vertAlign w:val="superscript"/>
              </w:rPr>
              <w:t>a</w:t>
            </w:r>
          </w:p>
        </w:tc>
        <w:tc>
          <w:tcPr>
            <w:tcW w:w="786" w:type="pct"/>
            <w:vMerge/>
            <w:vAlign w:val="center"/>
          </w:tcPr>
          <w:p w14:paraId="4A7E45F7" w14:textId="77777777" w:rsidR="007D1E74" w:rsidRDefault="007D1E74">
            <w:pPr>
              <w:pStyle w:val="afffff8"/>
            </w:pPr>
          </w:p>
        </w:tc>
        <w:tc>
          <w:tcPr>
            <w:tcW w:w="678" w:type="pct"/>
            <w:vMerge/>
            <w:vAlign w:val="center"/>
          </w:tcPr>
          <w:p w14:paraId="694EF90F" w14:textId="77777777" w:rsidR="007D1E74" w:rsidRDefault="007D1E74">
            <w:pPr>
              <w:pStyle w:val="afffff8"/>
            </w:pPr>
          </w:p>
        </w:tc>
      </w:tr>
      <w:tr w:rsidR="007D1E74" w14:paraId="2F920A21" w14:textId="77777777">
        <w:tc>
          <w:tcPr>
            <w:tcW w:w="705" w:type="pct"/>
            <w:vAlign w:val="center"/>
          </w:tcPr>
          <w:p w14:paraId="725F9032" w14:textId="77777777" w:rsidR="007D1E74" w:rsidRDefault="00A95641">
            <w:pPr>
              <w:pStyle w:val="afffff8"/>
            </w:pPr>
            <w:r>
              <w:rPr>
                <w:rFonts w:hint="eastAsia"/>
              </w:rPr>
              <w:t>不敏感</w:t>
            </w:r>
            <w:r>
              <w:rPr>
                <w:rFonts w:hint="eastAsia"/>
              </w:rPr>
              <w:t>G</w:t>
            </w:r>
            <w:r>
              <w:t>3</w:t>
            </w:r>
          </w:p>
        </w:tc>
        <w:tc>
          <w:tcPr>
            <w:tcW w:w="2831" w:type="pct"/>
            <w:vAlign w:val="center"/>
          </w:tcPr>
          <w:p w14:paraId="572BD0D7" w14:textId="77777777" w:rsidR="007D1E74" w:rsidRDefault="00A95641">
            <w:pPr>
              <w:pStyle w:val="afffff8"/>
              <w:jc w:val="both"/>
            </w:pPr>
            <w:r>
              <w:rPr>
                <w:rFonts w:hint="eastAsia"/>
              </w:rPr>
              <w:t>上述地区之外的其他地区</w:t>
            </w:r>
          </w:p>
        </w:tc>
        <w:tc>
          <w:tcPr>
            <w:tcW w:w="786" w:type="pct"/>
            <w:vMerge/>
            <w:vAlign w:val="center"/>
          </w:tcPr>
          <w:p w14:paraId="46F7998D" w14:textId="77777777" w:rsidR="007D1E74" w:rsidRDefault="007D1E74">
            <w:pPr>
              <w:pStyle w:val="afffff8"/>
            </w:pPr>
          </w:p>
        </w:tc>
        <w:tc>
          <w:tcPr>
            <w:tcW w:w="678" w:type="pct"/>
            <w:vMerge/>
            <w:vAlign w:val="center"/>
          </w:tcPr>
          <w:p w14:paraId="23CAA113" w14:textId="77777777" w:rsidR="007D1E74" w:rsidRDefault="007D1E74">
            <w:pPr>
              <w:pStyle w:val="afffff8"/>
            </w:pPr>
          </w:p>
        </w:tc>
      </w:tr>
      <w:tr w:rsidR="007D1E74" w14:paraId="3389A9F1" w14:textId="77777777">
        <w:tc>
          <w:tcPr>
            <w:tcW w:w="5000" w:type="pct"/>
            <w:gridSpan w:val="4"/>
            <w:vAlign w:val="center"/>
          </w:tcPr>
          <w:p w14:paraId="109B5E9F" w14:textId="77777777" w:rsidR="007D1E74" w:rsidRDefault="00A95641">
            <w:pPr>
              <w:pStyle w:val="afffff8"/>
              <w:jc w:val="both"/>
            </w:pPr>
            <w:r>
              <w:rPr>
                <w:rFonts w:hint="eastAsia"/>
              </w:rPr>
              <w:t>注：</w:t>
            </w:r>
            <w:r>
              <w:rPr>
                <w:rFonts w:hint="eastAsia"/>
                <w:vertAlign w:val="superscript"/>
              </w:rPr>
              <w:t>a</w:t>
            </w:r>
            <w:r>
              <w:rPr>
                <w:rFonts w:hint="eastAsia"/>
              </w:rPr>
              <w:t>“环境敏感区”是指《建设项目环境影响评价分类管理名录》中所界定的涉及地下水的环境敏感区</w:t>
            </w:r>
          </w:p>
        </w:tc>
      </w:tr>
    </w:tbl>
    <w:p w14:paraId="43495486" w14:textId="77777777" w:rsidR="007D1E74" w:rsidRDefault="00A95641">
      <w:pPr>
        <w:pStyle w:val="afffffe"/>
        <w:numPr>
          <w:ilvl w:val="0"/>
          <w:numId w:val="47"/>
        </w:numPr>
        <w:spacing w:line="360" w:lineRule="auto"/>
        <w:ind w:firstLineChars="0"/>
        <w:jc w:val="center"/>
        <w:rPr>
          <w:rFonts w:eastAsia="黑体" w:cs="Times New Roman"/>
          <w:szCs w:val="21"/>
        </w:rPr>
      </w:pPr>
      <w:bookmarkStart w:id="44" w:name="_Ref98248900"/>
      <w:r>
        <w:rPr>
          <w:rFonts w:eastAsia="黑体" w:cs="Times New Roman" w:hint="eastAsia"/>
          <w:szCs w:val="21"/>
        </w:rPr>
        <w:t>包气带防污性能分级</w:t>
      </w:r>
      <w:bookmarkEnd w:id="44"/>
    </w:p>
    <w:tbl>
      <w:tblPr>
        <w:tblStyle w:val="affffc"/>
        <w:tblW w:w="5000" w:type="pct"/>
        <w:tblLook w:val="04A0" w:firstRow="1" w:lastRow="0" w:firstColumn="1" w:lastColumn="0" w:noHBand="0" w:noVBand="1"/>
      </w:tblPr>
      <w:tblGrid>
        <w:gridCol w:w="988"/>
        <w:gridCol w:w="4537"/>
        <w:gridCol w:w="2268"/>
        <w:gridCol w:w="1223"/>
      </w:tblGrid>
      <w:tr w:rsidR="007D1E74" w14:paraId="06295C5B" w14:textId="77777777">
        <w:tc>
          <w:tcPr>
            <w:tcW w:w="548" w:type="pct"/>
            <w:vAlign w:val="center"/>
          </w:tcPr>
          <w:p w14:paraId="6F3C6794" w14:textId="77777777" w:rsidR="007D1E74" w:rsidRDefault="00A95641">
            <w:pPr>
              <w:pStyle w:val="afffff8"/>
            </w:pPr>
            <w:r>
              <w:rPr>
                <w:rFonts w:hint="eastAsia"/>
              </w:rPr>
              <w:t>分级</w:t>
            </w:r>
          </w:p>
        </w:tc>
        <w:tc>
          <w:tcPr>
            <w:tcW w:w="2516" w:type="pct"/>
            <w:vAlign w:val="center"/>
          </w:tcPr>
          <w:p w14:paraId="7B5E7CDE" w14:textId="77777777" w:rsidR="007D1E74" w:rsidRDefault="00A95641">
            <w:pPr>
              <w:pStyle w:val="afffff8"/>
            </w:pPr>
            <w:r>
              <w:rPr>
                <w:rFonts w:hint="eastAsia"/>
              </w:rPr>
              <w:t>包气带岩土的渗透性能</w:t>
            </w:r>
          </w:p>
        </w:tc>
        <w:tc>
          <w:tcPr>
            <w:tcW w:w="1258" w:type="pct"/>
            <w:vAlign w:val="center"/>
          </w:tcPr>
          <w:p w14:paraId="72E94443" w14:textId="77777777" w:rsidR="007D1E74" w:rsidRDefault="00A95641">
            <w:pPr>
              <w:pStyle w:val="afffff8"/>
            </w:pPr>
            <w:r>
              <w:rPr>
                <w:rFonts w:hint="eastAsia"/>
              </w:rPr>
              <w:t>本项目情况</w:t>
            </w:r>
          </w:p>
        </w:tc>
        <w:tc>
          <w:tcPr>
            <w:tcW w:w="678" w:type="pct"/>
            <w:vAlign w:val="center"/>
          </w:tcPr>
          <w:p w14:paraId="79ECA2AA" w14:textId="77777777" w:rsidR="007D1E74" w:rsidRDefault="00A95641">
            <w:pPr>
              <w:pStyle w:val="afffff8"/>
            </w:pPr>
            <w:r>
              <w:rPr>
                <w:rFonts w:hint="eastAsia"/>
              </w:rPr>
              <w:t>敏感程度</w:t>
            </w:r>
          </w:p>
        </w:tc>
      </w:tr>
      <w:tr w:rsidR="007D1E74" w14:paraId="0266486C" w14:textId="77777777">
        <w:trPr>
          <w:trHeight w:val="70"/>
        </w:trPr>
        <w:tc>
          <w:tcPr>
            <w:tcW w:w="548" w:type="pct"/>
            <w:vAlign w:val="center"/>
          </w:tcPr>
          <w:p w14:paraId="7BC8C7A0" w14:textId="77777777" w:rsidR="007D1E74" w:rsidRDefault="00A95641">
            <w:pPr>
              <w:pStyle w:val="afffff8"/>
            </w:pPr>
            <w:r>
              <w:rPr>
                <w:rFonts w:hint="eastAsia"/>
              </w:rPr>
              <w:t>D</w:t>
            </w:r>
            <w:r>
              <w:t>3</w:t>
            </w:r>
          </w:p>
        </w:tc>
        <w:tc>
          <w:tcPr>
            <w:tcW w:w="2516" w:type="pct"/>
            <w:vAlign w:val="center"/>
          </w:tcPr>
          <w:p w14:paraId="609F4AA5" w14:textId="77777777" w:rsidR="007D1E74" w:rsidRDefault="00A95641">
            <w:pPr>
              <w:pStyle w:val="afffff8"/>
              <w:rPr>
                <w:rFonts w:cs="Times New Roman"/>
              </w:rPr>
            </w:pPr>
            <w:r>
              <w:rPr>
                <w:rFonts w:cs="Times New Roman"/>
              </w:rPr>
              <w:t>Mb≥1.0m</w:t>
            </w:r>
            <w:r>
              <w:rPr>
                <w:rFonts w:cs="Times New Roman"/>
              </w:rPr>
              <w:t>，</w:t>
            </w:r>
            <w:r>
              <w:rPr>
                <w:rFonts w:cs="Times New Roman"/>
              </w:rPr>
              <w:t>K≤1.0×10</w:t>
            </w:r>
            <w:r>
              <w:rPr>
                <w:rFonts w:cs="Times New Roman"/>
                <w:vertAlign w:val="superscript"/>
              </w:rPr>
              <w:t>-6</w:t>
            </w:r>
            <w:r>
              <w:rPr>
                <w:rFonts w:cs="Times New Roman"/>
              </w:rPr>
              <w:t>cm/s</w:t>
            </w:r>
            <w:r>
              <w:rPr>
                <w:rFonts w:cs="Times New Roman"/>
              </w:rPr>
              <w:t>，且分布连续、稳定</w:t>
            </w:r>
          </w:p>
        </w:tc>
        <w:tc>
          <w:tcPr>
            <w:tcW w:w="1258" w:type="pct"/>
            <w:vMerge w:val="restart"/>
            <w:vAlign w:val="center"/>
          </w:tcPr>
          <w:p w14:paraId="59FF9027" w14:textId="77777777" w:rsidR="007D1E74" w:rsidRDefault="00A95641">
            <w:pPr>
              <w:pStyle w:val="afffff8"/>
              <w:jc w:val="both"/>
            </w:pPr>
            <w:r>
              <w:rPr>
                <w:rFonts w:hint="eastAsia"/>
              </w:rPr>
              <w:t>评价区地层主要为由第四系河漫滩冲洪积层（</w:t>
            </w:r>
            <w:r>
              <w:rPr>
                <w:rFonts w:hint="eastAsia"/>
              </w:rPr>
              <w:t>Q</w:t>
            </w:r>
            <w:r>
              <w:rPr>
                <w:rFonts w:hint="eastAsia"/>
                <w:vertAlign w:val="subscript"/>
              </w:rPr>
              <w:t>4</w:t>
            </w:r>
            <w:r>
              <w:rPr>
                <w:rFonts w:hint="eastAsia"/>
                <w:vertAlign w:val="superscript"/>
              </w:rPr>
              <w:t>al+pl</w:t>
            </w:r>
            <w:r>
              <w:rPr>
                <w:rFonts w:hint="eastAsia"/>
              </w:rPr>
              <w:t>）粉砂、粉质</w:t>
            </w:r>
            <w:r>
              <w:rPr>
                <w:rFonts w:hint="eastAsia"/>
              </w:rPr>
              <w:lastRenderedPageBreak/>
              <w:t>粘土、卵石和侏罗系中统遂宁组（</w:t>
            </w:r>
            <w:r>
              <w:rPr>
                <w:rFonts w:hint="eastAsia"/>
              </w:rPr>
              <w:t>J</w:t>
            </w:r>
            <w:r>
              <w:rPr>
                <w:rFonts w:hint="eastAsia"/>
                <w:vertAlign w:val="subscript"/>
              </w:rPr>
              <w:t>2</w:t>
            </w:r>
            <w:r>
              <w:rPr>
                <w:rFonts w:hint="eastAsia"/>
              </w:rPr>
              <w:t>Sn</w:t>
            </w:r>
            <w:r>
              <w:rPr>
                <w:rFonts w:hint="eastAsia"/>
              </w:rPr>
              <w:t>）的泥质砂岩及砂岩，岩土层单层厚</w:t>
            </w:r>
            <w:r>
              <w:rPr>
                <w:rFonts w:cs="Times New Roman"/>
              </w:rPr>
              <w:t>度</w:t>
            </w:r>
            <w:r>
              <w:rPr>
                <w:rFonts w:cs="Times New Roman"/>
              </w:rPr>
              <w:t>Mb≥1.0m</w:t>
            </w:r>
            <w:r>
              <w:rPr>
                <w:rFonts w:cs="Times New Roman"/>
              </w:rPr>
              <w:t>，且分布连续、稳定，渗透系数</w:t>
            </w:r>
            <w:r>
              <w:rPr>
                <w:rFonts w:cs="Times New Roman" w:hint="eastAsia"/>
              </w:rPr>
              <w:t>1</w:t>
            </w:r>
            <w:r>
              <w:rPr>
                <w:rFonts w:cs="Times New Roman"/>
              </w:rPr>
              <w:t>.16×10</w:t>
            </w:r>
            <w:r>
              <w:rPr>
                <w:rFonts w:cs="Times New Roman" w:hint="eastAsia"/>
                <w:vertAlign w:val="superscript"/>
              </w:rPr>
              <w:t>-</w:t>
            </w:r>
            <w:r>
              <w:rPr>
                <w:rFonts w:cs="Times New Roman"/>
                <w:vertAlign w:val="superscript"/>
              </w:rPr>
              <w:t>3</w:t>
            </w:r>
            <w:r>
              <w:rPr>
                <w:rFonts w:cs="Times New Roman"/>
              </w:rPr>
              <w:t>cm/s</w:t>
            </w:r>
            <w:r>
              <w:rPr>
                <w:rFonts w:cs="Times New Roman" w:hint="eastAsia"/>
              </w:rPr>
              <w:t>~</w:t>
            </w:r>
            <w:r>
              <w:rPr>
                <w:rFonts w:cs="Times New Roman"/>
              </w:rPr>
              <w:t>1.74×10</w:t>
            </w:r>
            <w:r>
              <w:rPr>
                <w:rFonts w:cs="Times New Roman"/>
                <w:vertAlign w:val="superscript"/>
              </w:rPr>
              <w:t>-3</w:t>
            </w:r>
            <w:r>
              <w:rPr>
                <w:rFonts w:cs="Times New Roman"/>
              </w:rPr>
              <w:t>cm/s</w:t>
            </w:r>
          </w:p>
        </w:tc>
        <w:tc>
          <w:tcPr>
            <w:tcW w:w="678" w:type="pct"/>
            <w:vMerge w:val="restart"/>
            <w:vAlign w:val="center"/>
          </w:tcPr>
          <w:p w14:paraId="3C4A1DCE" w14:textId="77777777" w:rsidR="007D1E74" w:rsidRDefault="00A95641">
            <w:pPr>
              <w:pStyle w:val="afffff8"/>
            </w:pPr>
            <w:r>
              <w:rPr>
                <w:rFonts w:hint="eastAsia"/>
              </w:rPr>
              <w:lastRenderedPageBreak/>
              <w:t>D</w:t>
            </w:r>
            <w:r>
              <w:t>1</w:t>
            </w:r>
          </w:p>
        </w:tc>
      </w:tr>
      <w:tr w:rsidR="007D1E74" w14:paraId="31DCBE4B" w14:textId="77777777">
        <w:tc>
          <w:tcPr>
            <w:tcW w:w="548" w:type="pct"/>
            <w:vAlign w:val="center"/>
          </w:tcPr>
          <w:p w14:paraId="28F50FE2" w14:textId="77777777" w:rsidR="007D1E74" w:rsidRDefault="00A95641">
            <w:pPr>
              <w:pStyle w:val="afffff8"/>
            </w:pPr>
            <w:r>
              <w:rPr>
                <w:rFonts w:hint="eastAsia"/>
              </w:rPr>
              <w:t>D</w:t>
            </w:r>
            <w:r>
              <w:t>2</w:t>
            </w:r>
          </w:p>
        </w:tc>
        <w:tc>
          <w:tcPr>
            <w:tcW w:w="2516" w:type="pct"/>
            <w:vAlign w:val="center"/>
          </w:tcPr>
          <w:p w14:paraId="5C6F10DE" w14:textId="77777777" w:rsidR="007D1E74" w:rsidRDefault="00A95641">
            <w:pPr>
              <w:pStyle w:val="afffff8"/>
              <w:rPr>
                <w:rFonts w:cs="Times New Roman"/>
              </w:rPr>
            </w:pPr>
            <w:r>
              <w:rPr>
                <w:rFonts w:cs="Times New Roman"/>
              </w:rPr>
              <w:t>0.5m≤Mb&lt;1.0m</w:t>
            </w:r>
            <w:r>
              <w:rPr>
                <w:rFonts w:cs="Times New Roman"/>
              </w:rPr>
              <w:t>，</w:t>
            </w:r>
            <w:r>
              <w:rPr>
                <w:rFonts w:cs="Times New Roman"/>
              </w:rPr>
              <w:t>K≤1.0×10</w:t>
            </w:r>
            <w:r>
              <w:rPr>
                <w:rFonts w:cs="Times New Roman"/>
                <w:vertAlign w:val="superscript"/>
              </w:rPr>
              <w:t>-6</w:t>
            </w:r>
            <w:r>
              <w:rPr>
                <w:rFonts w:cs="Times New Roman"/>
              </w:rPr>
              <w:t>cm/s</w:t>
            </w:r>
            <w:r>
              <w:rPr>
                <w:rFonts w:cs="Times New Roman"/>
              </w:rPr>
              <w:t>，且分布连续、稳定</w:t>
            </w:r>
          </w:p>
          <w:p w14:paraId="2BE6F53C" w14:textId="77777777" w:rsidR="007D1E74" w:rsidRDefault="00A95641">
            <w:pPr>
              <w:pStyle w:val="afffff8"/>
              <w:rPr>
                <w:rFonts w:cs="Times New Roman"/>
              </w:rPr>
            </w:pPr>
            <w:r>
              <w:rPr>
                <w:rFonts w:cs="Times New Roman"/>
              </w:rPr>
              <w:lastRenderedPageBreak/>
              <w:t>Mb≥1.0m</w:t>
            </w:r>
            <w:r>
              <w:rPr>
                <w:rFonts w:cs="Times New Roman"/>
              </w:rPr>
              <w:t>，</w:t>
            </w:r>
            <w:r>
              <w:rPr>
                <w:rFonts w:cs="Times New Roman"/>
              </w:rPr>
              <w:t>1.0×10</w:t>
            </w:r>
            <w:r>
              <w:rPr>
                <w:rFonts w:cs="Times New Roman"/>
                <w:vertAlign w:val="superscript"/>
              </w:rPr>
              <w:t>-6</w:t>
            </w:r>
            <w:r>
              <w:rPr>
                <w:rFonts w:cs="Times New Roman"/>
              </w:rPr>
              <w:t>cm/s</w:t>
            </w:r>
            <w:r>
              <w:rPr>
                <w:rFonts w:cs="Times New Roman" w:hint="eastAsia"/>
              </w:rPr>
              <w:t>&lt;</w:t>
            </w:r>
            <w:r>
              <w:rPr>
                <w:rFonts w:cs="Times New Roman"/>
              </w:rPr>
              <w:t>K≤1.0×10</w:t>
            </w:r>
            <w:r>
              <w:rPr>
                <w:rFonts w:cs="Times New Roman"/>
                <w:vertAlign w:val="superscript"/>
              </w:rPr>
              <w:t>-4</w:t>
            </w:r>
            <w:r>
              <w:rPr>
                <w:rFonts w:cs="Times New Roman"/>
              </w:rPr>
              <w:t>cm/s</w:t>
            </w:r>
            <w:r>
              <w:rPr>
                <w:rFonts w:cs="Times New Roman"/>
              </w:rPr>
              <w:t>，且分布连续、稳定</w:t>
            </w:r>
          </w:p>
        </w:tc>
        <w:tc>
          <w:tcPr>
            <w:tcW w:w="1258" w:type="pct"/>
            <w:vMerge/>
            <w:vAlign w:val="center"/>
          </w:tcPr>
          <w:p w14:paraId="565AB771" w14:textId="77777777" w:rsidR="007D1E74" w:rsidRDefault="007D1E74">
            <w:pPr>
              <w:pStyle w:val="afffff8"/>
            </w:pPr>
          </w:p>
        </w:tc>
        <w:tc>
          <w:tcPr>
            <w:tcW w:w="678" w:type="pct"/>
            <w:vMerge/>
            <w:vAlign w:val="center"/>
          </w:tcPr>
          <w:p w14:paraId="713C502D" w14:textId="77777777" w:rsidR="007D1E74" w:rsidRDefault="007D1E74">
            <w:pPr>
              <w:pStyle w:val="afffff8"/>
            </w:pPr>
          </w:p>
        </w:tc>
      </w:tr>
      <w:tr w:rsidR="007D1E74" w14:paraId="6A6C855C" w14:textId="77777777">
        <w:tc>
          <w:tcPr>
            <w:tcW w:w="548" w:type="pct"/>
            <w:vAlign w:val="center"/>
          </w:tcPr>
          <w:p w14:paraId="7C7D051B" w14:textId="77777777" w:rsidR="007D1E74" w:rsidRDefault="00A95641">
            <w:pPr>
              <w:pStyle w:val="afffff8"/>
            </w:pPr>
            <w:r>
              <w:rPr>
                <w:rFonts w:hint="eastAsia"/>
              </w:rPr>
              <w:t>D</w:t>
            </w:r>
            <w:r>
              <w:t>1</w:t>
            </w:r>
          </w:p>
        </w:tc>
        <w:tc>
          <w:tcPr>
            <w:tcW w:w="2516" w:type="pct"/>
            <w:vAlign w:val="center"/>
          </w:tcPr>
          <w:p w14:paraId="6339D00C" w14:textId="77777777" w:rsidR="007D1E74" w:rsidRDefault="00A95641">
            <w:pPr>
              <w:pStyle w:val="afffff8"/>
              <w:rPr>
                <w:rFonts w:cs="Times New Roman"/>
              </w:rPr>
            </w:pPr>
            <w:r>
              <w:rPr>
                <w:rFonts w:cs="Times New Roman" w:hint="eastAsia"/>
              </w:rPr>
              <w:t>岩（土）层不满足上述“</w:t>
            </w:r>
            <w:r>
              <w:rPr>
                <w:rFonts w:cs="Times New Roman" w:hint="eastAsia"/>
              </w:rPr>
              <w:t>D2</w:t>
            </w:r>
            <w:r>
              <w:rPr>
                <w:rFonts w:cs="Times New Roman" w:hint="eastAsia"/>
              </w:rPr>
              <w:t>”和“</w:t>
            </w:r>
            <w:r>
              <w:rPr>
                <w:rFonts w:cs="Times New Roman" w:hint="eastAsia"/>
              </w:rPr>
              <w:t>D3</w:t>
            </w:r>
            <w:r>
              <w:rPr>
                <w:rFonts w:cs="Times New Roman" w:hint="eastAsia"/>
              </w:rPr>
              <w:t>”条件</w:t>
            </w:r>
          </w:p>
        </w:tc>
        <w:tc>
          <w:tcPr>
            <w:tcW w:w="1258" w:type="pct"/>
            <w:vMerge/>
            <w:vAlign w:val="center"/>
          </w:tcPr>
          <w:p w14:paraId="3BEF4449" w14:textId="77777777" w:rsidR="007D1E74" w:rsidRDefault="007D1E74">
            <w:pPr>
              <w:pStyle w:val="afffff8"/>
            </w:pPr>
          </w:p>
        </w:tc>
        <w:tc>
          <w:tcPr>
            <w:tcW w:w="678" w:type="pct"/>
            <w:vMerge/>
            <w:vAlign w:val="center"/>
          </w:tcPr>
          <w:p w14:paraId="651B7BE2" w14:textId="77777777" w:rsidR="007D1E74" w:rsidRDefault="007D1E74">
            <w:pPr>
              <w:pStyle w:val="afffff8"/>
            </w:pPr>
          </w:p>
        </w:tc>
      </w:tr>
      <w:tr w:rsidR="007D1E74" w14:paraId="536C3CB4" w14:textId="77777777">
        <w:trPr>
          <w:trHeight w:val="70"/>
        </w:trPr>
        <w:tc>
          <w:tcPr>
            <w:tcW w:w="5000" w:type="pct"/>
            <w:gridSpan w:val="4"/>
            <w:vAlign w:val="center"/>
          </w:tcPr>
          <w:p w14:paraId="604508B7" w14:textId="77777777" w:rsidR="007D1E74" w:rsidRDefault="00A95641">
            <w:pPr>
              <w:pStyle w:val="afffff8"/>
              <w:jc w:val="both"/>
            </w:pPr>
            <w:r>
              <w:rPr>
                <w:rFonts w:hint="eastAsia"/>
              </w:rPr>
              <w:t>注：</w:t>
            </w:r>
            <w:r>
              <w:rPr>
                <w:rFonts w:hint="eastAsia"/>
              </w:rPr>
              <w:t>Mb</w:t>
            </w:r>
            <w:r>
              <w:rPr>
                <w:rFonts w:hint="eastAsia"/>
              </w:rPr>
              <w:t>：岩土层单层厚度，</w:t>
            </w:r>
            <w:r>
              <w:rPr>
                <w:rFonts w:hint="eastAsia"/>
              </w:rPr>
              <w:t>K</w:t>
            </w:r>
            <w:r>
              <w:rPr>
                <w:rFonts w:hint="eastAsia"/>
              </w:rPr>
              <w:t>：渗透系数。</w:t>
            </w:r>
          </w:p>
        </w:tc>
      </w:tr>
    </w:tbl>
    <w:p w14:paraId="7A61B8A1" w14:textId="77777777" w:rsidR="007D1E74" w:rsidRDefault="00A95641">
      <w:pPr>
        <w:pStyle w:val="-1"/>
        <w:ind w:firstLine="480"/>
      </w:pPr>
      <w:r>
        <w:rPr>
          <w:rFonts w:hint="eastAsia"/>
        </w:rPr>
        <w:t>综上分析，本项目地下水环境敏感程度为环境高度敏感区（</w:t>
      </w:r>
      <w:r>
        <w:rPr>
          <w:rFonts w:hint="eastAsia"/>
        </w:rPr>
        <w:t>E</w:t>
      </w:r>
      <w:r>
        <w:t>1</w:t>
      </w:r>
      <w:r>
        <w:rPr>
          <w:rFonts w:hint="eastAsia"/>
        </w:rPr>
        <w:t>）。</w:t>
      </w:r>
    </w:p>
    <w:p w14:paraId="11F4E044" w14:textId="77777777" w:rsidR="007D1E74" w:rsidRDefault="00A95641">
      <w:pPr>
        <w:pStyle w:val="a9"/>
      </w:pPr>
      <w:r>
        <w:t>建设项目环境</w:t>
      </w:r>
      <w:r>
        <w:rPr>
          <w:rFonts w:hint="eastAsia"/>
        </w:rPr>
        <w:t>风险</w:t>
      </w:r>
      <w:r>
        <w:t>潜势判断</w:t>
      </w:r>
    </w:p>
    <w:p w14:paraId="7A4C5A34" w14:textId="77777777" w:rsidR="007D1E74" w:rsidRDefault="00A95641">
      <w:pPr>
        <w:pStyle w:val="-1"/>
        <w:ind w:firstLine="480"/>
        <w:rPr>
          <w:szCs w:val="24"/>
        </w:rPr>
      </w:pPr>
      <w:r>
        <w:rPr>
          <w:rFonts w:hint="eastAsia"/>
          <w:szCs w:val="24"/>
        </w:rPr>
        <w:t>建设项目环境风险潜势划分为</w:t>
      </w:r>
      <w:r>
        <w:rPr>
          <w:rFonts w:hint="eastAsia"/>
          <w:szCs w:val="24"/>
        </w:rPr>
        <w:t>I</w:t>
      </w:r>
      <w:r>
        <w:rPr>
          <w:rFonts w:hint="eastAsia"/>
          <w:szCs w:val="24"/>
        </w:rPr>
        <w:t>、</w:t>
      </w:r>
      <w:r>
        <w:rPr>
          <w:rFonts w:hint="eastAsia"/>
          <w:szCs w:val="24"/>
        </w:rPr>
        <w:t>II</w:t>
      </w:r>
      <w:r>
        <w:rPr>
          <w:rFonts w:hint="eastAsia"/>
          <w:szCs w:val="24"/>
        </w:rPr>
        <w:t>、</w:t>
      </w:r>
      <w:r>
        <w:rPr>
          <w:rFonts w:hint="eastAsia"/>
          <w:szCs w:val="24"/>
        </w:rPr>
        <w:t>III</w:t>
      </w:r>
      <w:r>
        <w:rPr>
          <w:rFonts w:hint="eastAsia"/>
          <w:szCs w:val="24"/>
        </w:rPr>
        <w:t>、</w:t>
      </w:r>
      <w:r>
        <w:rPr>
          <w:rFonts w:hint="eastAsia"/>
          <w:szCs w:val="24"/>
        </w:rPr>
        <w:t>IV</w:t>
      </w:r>
      <w:r>
        <w:rPr>
          <w:szCs w:val="24"/>
        </w:rPr>
        <w:t>/IV</w:t>
      </w:r>
      <w:r>
        <w:rPr>
          <w:rFonts w:hint="eastAsia"/>
          <w:szCs w:val="24"/>
          <w:vertAlign w:val="superscript"/>
        </w:rPr>
        <w:t>+</w:t>
      </w:r>
      <w:r>
        <w:rPr>
          <w:szCs w:val="24"/>
        </w:rPr>
        <w:t>级</w:t>
      </w:r>
      <w:r>
        <w:rPr>
          <w:rFonts w:hint="eastAsia"/>
          <w:szCs w:val="24"/>
        </w:rPr>
        <w:t>，</w:t>
      </w:r>
      <w:r>
        <w:rPr>
          <w:szCs w:val="24"/>
        </w:rPr>
        <w:t>主要根据建设项目涉及的物质和工艺系统的危险性及其所在地的环境敏感</w:t>
      </w:r>
      <w:r>
        <w:rPr>
          <w:rFonts w:hint="eastAsia"/>
          <w:szCs w:val="24"/>
        </w:rPr>
        <w:t>程度，</w:t>
      </w:r>
      <w:r>
        <w:rPr>
          <w:szCs w:val="24"/>
        </w:rPr>
        <w:t>结合事故情形下环境影响途径</w:t>
      </w:r>
      <w:r>
        <w:rPr>
          <w:rFonts w:hint="eastAsia"/>
          <w:szCs w:val="24"/>
        </w:rPr>
        <w:t>，对建设项目潜在环境危害程度进行概化分析，</w:t>
      </w:r>
      <w:r>
        <w:rPr>
          <w:szCs w:val="24"/>
        </w:rPr>
        <w:t>按照</w:t>
      </w:r>
      <w:r>
        <w:rPr>
          <w:rFonts w:hint="eastAsia"/>
          <w:szCs w:val="24"/>
        </w:rPr>
        <w:t>下表进行确定。</w:t>
      </w:r>
    </w:p>
    <w:p w14:paraId="5E2D845C" w14:textId="77777777" w:rsidR="007D1E74" w:rsidRDefault="00A95641">
      <w:pPr>
        <w:pStyle w:val="afffffe"/>
        <w:numPr>
          <w:ilvl w:val="0"/>
          <w:numId w:val="47"/>
        </w:numPr>
        <w:spacing w:line="360" w:lineRule="auto"/>
        <w:ind w:firstLineChars="0"/>
        <w:jc w:val="center"/>
        <w:rPr>
          <w:rFonts w:eastAsia="黑体" w:cs="Times New Roman"/>
          <w:szCs w:val="21"/>
        </w:rPr>
      </w:pPr>
      <w:r>
        <w:rPr>
          <w:rFonts w:eastAsia="黑体" w:cs="Times New Roman" w:hint="eastAsia"/>
          <w:szCs w:val="21"/>
        </w:rPr>
        <w:t>建设项目环境风险潜势划分</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3"/>
        <w:gridCol w:w="1652"/>
        <w:gridCol w:w="1654"/>
        <w:gridCol w:w="1652"/>
        <w:gridCol w:w="1655"/>
      </w:tblGrid>
      <w:tr w:rsidR="007D1E74" w14:paraId="317DD0BD" w14:textId="77777777">
        <w:tc>
          <w:tcPr>
            <w:tcW w:w="1333" w:type="pct"/>
            <w:vMerge w:val="restart"/>
            <w:shd w:val="clear" w:color="auto" w:fill="auto"/>
            <w:vAlign w:val="center"/>
          </w:tcPr>
          <w:p w14:paraId="133BA6D9" w14:textId="77777777" w:rsidR="007D1E74" w:rsidRDefault="00A95641">
            <w:pPr>
              <w:pStyle w:val="afffff8"/>
            </w:pPr>
            <w:r>
              <w:rPr>
                <w:rFonts w:hint="eastAsia"/>
              </w:rPr>
              <w:t>环境敏感程度（</w:t>
            </w:r>
            <w:r>
              <w:t>E</w:t>
            </w:r>
            <w:r>
              <w:rPr>
                <w:rFonts w:hint="eastAsia"/>
              </w:rPr>
              <w:t>）</w:t>
            </w:r>
          </w:p>
        </w:tc>
        <w:tc>
          <w:tcPr>
            <w:tcW w:w="3667" w:type="pct"/>
            <w:gridSpan w:val="4"/>
            <w:shd w:val="clear" w:color="auto" w:fill="auto"/>
            <w:vAlign w:val="center"/>
          </w:tcPr>
          <w:p w14:paraId="727C9C1C" w14:textId="77777777" w:rsidR="007D1E74" w:rsidRDefault="00A95641">
            <w:pPr>
              <w:pStyle w:val="afffff8"/>
            </w:pPr>
            <w:r>
              <w:rPr>
                <w:rFonts w:hint="eastAsia"/>
              </w:rPr>
              <w:t>危险物质及工艺系统危险性</w:t>
            </w:r>
            <w:r>
              <w:t>（</w:t>
            </w:r>
            <w:r>
              <w:t>P</w:t>
            </w:r>
            <w:r>
              <w:t>）</w:t>
            </w:r>
          </w:p>
        </w:tc>
      </w:tr>
      <w:tr w:rsidR="007D1E74" w14:paraId="18C3B0DC" w14:textId="77777777">
        <w:tc>
          <w:tcPr>
            <w:tcW w:w="1333" w:type="pct"/>
            <w:vMerge/>
            <w:vAlign w:val="center"/>
          </w:tcPr>
          <w:p w14:paraId="42BDB229" w14:textId="77777777" w:rsidR="007D1E74" w:rsidRDefault="007D1E74">
            <w:pPr>
              <w:pStyle w:val="afffff8"/>
            </w:pPr>
          </w:p>
        </w:tc>
        <w:tc>
          <w:tcPr>
            <w:tcW w:w="916" w:type="pct"/>
            <w:shd w:val="clear" w:color="auto" w:fill="auto"/>
            <w:vAlign w:val="center"/>
          </w:tcPr>
          <w:p w14:paraId="02689E06" w14:textId="77777777" w:rsidR="007D1E74" w:rsidRDefault="00A95641">
            <w:pPr>
              <w:pStyle w:val="afffff8"/>
              <w:jc w:val="both"/>
            </w:pPr>
            <w:r>
              <w:rPr>
                <w:rFonts w:hint="eastAsia"/>
              </w:rPr>
              <w:t>极高危害（</w:t>
            </w:r>
            <w:r>
              <w:t>P1</w:t>
            </w:r>
            <w:r>
              <w:rPr>
                <w:rFonts w:hint="eastAsia"/>
              </w:rPr>
              <w:t>）</w:t>
            </w:r>
          </w:p>
        </w:tc>
        <w:tc>
          <w:tcPr>
            <w:tcW w:w="917" w:type="pct"/>
            <w:shd w:val="clear" w:color="auto" w:fill="auto"/>
            <w:vAlign w:val="center"/>
          </w:tcPr>
          <w:p w14:paraId="0282F877" w14:textId="77777777" w:rsidR="007D1E74" w:rsidRDefault="00A95641">
            <w:pPr>
              <w:pStyle w:val="afffff8"/>
              <w:jc w:val="both"/>
            </w:pPr>
            <w:r>
              <w:rPr>
                <w:rFonts w:hint="eastAsia"/>
              </w:rPr>
              <w:t>高度危害（</w:t>
            </w:r>
            <w:r>
              <w:t>P2</w:t>
            </w:r>
            <w:r>
              <w:rPr>
                <w:rFonts w:hint="eastAsia"/>
              </w:rPr>
              <w:t>）</w:t>
            </w:r>
          </w:p>
        </w:tc>
        <w:tc>
          <w:tcPr>
            <w:tcW w:w="916" w:type="pct"/>
            <w:shd w:val="clear" w:color="auto" w:fill="auto"/>
            <w:vAlign w:val="center"/>
          </w:tcPr>
          <w:p w14:paraId="7582AE1E" w14:textId="77777777" w:rsidR="007D1E74" w:rsidRDefault="00A95641">
            <w:pPr>
              <w:pStyle w:val="afffff8"/>
              <w:jc w:val="both"/>
            </w:pPr>
            <w:r>
              <w:rPr>
                <w:rFonts w:hint="eastAsia"/>
              </w:rPr>
              <w:t>中度危害（</w:t>
            </w:r>
            <w:r>
              <w:t>P3</w:t>
            </w:r>
            <w:r>
              <w:rPr>
                <w:rFonts w:hint="eastAsia"/>
              </w:rPr>
              <w:t>）</w:t>
            </w:r>
          </w:p>
        </w:tc>
        <w:tc>
          <w:tcPr>
            <w:tcW w:w="918" w:type="pct"/>
            <w:shd w:val="clear" w:color="auto" w:fill="auto"/>
            <w:vAlign w:val="center"/>
          </w:tcPr>
          <w:p w14:paraId="315EB147" w14:textId="77777777" w:rsidR="007D1E74" w:rsidRDefault="00A95641">
            <w:pPr>
              <w:pStyle w:val="afffff8"/>
              <w:jc w:val="both"/>
            </w:pPr>
            <w:r>
              <w:rPr>
                <w:rFonts w:hint="eastAsia"/>
              </w:rPr>
              <w:t>轻度危害（</w:t>
            </w:r>
            <w:r>
              <w:t>P4</w:t>
            </w:r>
            <w:r>
              <w:rPr>
                <w:rFonts w:hint="eastAsia"/>
              </w:rPr>
              <w:t>）</w:t>
            </w:r>
          </w:p>
        </w:tc>
      </w:tr>
      <w:tr w:rsidR="007D1E74" w14:paraId="25E01CCE" w14:textId="77777777">
        <w:tc>
          <w:tcPr>
            <w:tcW w:w="1333" w:type="pct"/>
            <w:shd w:val="clear" w:color="auto" w:fill="auto"/>
            <w:vAlign w:val="center"/>
          </w:tcPr>
          <w:p w14:paraId="2664A703" w14:textId="77777777" w:rsidR="007D1E74" w:rsidRDefault="00A95641">
            <w:pPr>
              <w:pStyle w:val="afffff8"/>
            </w:pPr>
            <w:r>
              <w:rPr>
                <w:rFonts w:hint="eastAsia"/>
              </w:rPr>
              <w:t>环境高度敏感区（</w:t>
            </w:r>
            <w:r>
              <w:t>E1</w:t>
            </w:r>
            <w:r>
              <w:rPr>
                <w:rFonts w:hint="eastAsia"/>
              </w:rPr>
              <w:t>）</w:t>
            </w:r>
          </w:p>
        </w:tc>
        <w:tc>
          <w:tcPr>
            <w:tcW w:w="916" w:type="pct"/>
            <w:shd w:val="clear" w:color="auto" w:fill="auto"/>
            <w:vAlign w:val="center"/>
          </w:tcPr>
          <w:p w14:paraId="7E67F5AD" w14:textId="77777777" w:rsidR="007D1E74" w:rsidRDefault="00A95641">
            <w:pPr>
              <w:pStyle w:val="afffff8"/>
            </w:pPr>
            <w:r>
              <w:rPr>
                <w:rFonts w:hint="eastAsia"/>
              </w:rPr>
              <w:t>IV</w:t>
            </w:r>
            <w:r>
              <w:rPr>
                <w:rFonts w:hint="eastAsia"/>
                <w:vertAlign w:val="superscript"/>
              </w:rPr>
              <w:t>+</w:t>
            </w:r>
          </w:p>
        </w:tc>
        <w:tc>
          <w:tcPr>
            <w:tcW w:w="917" w:type="pct"/>
            <w:shd w:val="clear" w:color="auto" w:fill="auto"/>
            <w:vAlign w:val="center"/>
          </w:tcPr>
          <w:p w14:paraId="7548FB02" w14:textId="77777777" w:rsidR="007D1E74" w:rsidRDefault="00A95641">
            <w:pPr>
              <w:pStyle w:val="afffff8"/>
            </w:pPr>
            <w:r>
              <w:rPr>
                <w:rFonts w:hint="eastAsia"/>
              </w:rPr>
              <w:t>IV</w:t>
            </w:r>
          </w:p>
        </w:tc>
        <w:tc>
          <w:tcPr>
            <w:tcW w:w="916" w:type="pct"/>
            <w:shd w:val="clear" w:color="auto" w:fill="auto"/>
          </w:tcPr>
          <w:p w14:paraId="0BD28406" w14:textId="77777777" w:rsidR="007D1E74" w:rsidRDefault="00A95641">
            <w:pPr>
              <w:pStyle w:val="afffff8"/>
            </w:pPr>
            <w:r>
              <w:rPr>
                <w:rFonts w:hint="eastAsia"/>
              </w:rPr>
              <w:t>III</w:t>
            </w:r>
          </w:p>
        </w:tc>
        <w:tc>
          <w:tcPr>
            <w:tcW w:w="918" w:type="pct"/>
            <w:shd w:val="clear" w:color="auto" w:fill="auto"/>
            <w:vAlign w:val="center"/>
          </w:tcPr>
          <w:p w14:paraId="261F9D3E" w14:textId="77777777" w:rsidR="007D1E74" w:rsidRDefault="00A95641">
            <w:pPr>
              <w:pStyle w:val="afffff8"/>
            </w:pPr>
            <w:r>
              <w:rPr>
                <w:rFonts w:hint="eastAsia"/>
              </w:rPr>
              <w:t>III</w:t>
            </w:r>
          </w:p>
        </w:tc>
      </w:tr>
      <w:tr w:rsidR="007D1E74" w14:paraId="6FFA2431" w14:textId="77777777">
        <w:tc>
          <w:tcPr>
            <w:tcW w:w="1333" w:type="pct"/>
            <w:shd w:val="clear" w:color="auto" w:fill="auto"/>
            <w:vAlign w:val="center"/>
          </w:tcPr>
          <w:p w14:paraId="21BDD70A" w14:textId="77777777" w:rsidR="007D1E74" w:rsidRDefault="00A95641">
            <w:pPr>
              <w:pStyle w:val="afffff8"/>
            </w:pPr>
            <w:r>
              <w:rPr>
                <w:rFonts w:hint="eastAsia"/>
              </w:rPr>
              <w:t>环境中度敏感区（</w:t>
            </w:r>
            <w:r>
              <w:t>E2</w:t>
            </w:r>
            <w:r>
              <w:rPr>
                <w:rFonts w:hint="eastAsia"/>
              </w:rPr>
              <w:t>）</w:t>
            </w:r>
          </w:p>
        </w:tc>
        <w:tc>
          <w:tcPr>
            <w:tcW w:w="916" w:type="pct"/>
            <w:shd w:val="clear" w:color="auto" w:fill="auto"/>
            <w:vAlign w:val="center"/>
          </w:tcPr>
          <w:p w14:paraId="0AEF6A0F" w14:textId="77777777" w:rsidR="007D1E74" w:rsidRDefault="00A95641">
            <w:pPr>
              <w:pStyle w:val="afffff8"/>
            </w:pPr>
            <w:r>
              <w:rPr>
                <w:rFonts w:hint="eastAsia"/>
              </w:rPr>
              <w:t>IV</w:t>
            </w:r>
          </w:p>
        </w:tc>
        <w:tc>
          <w:tcPr>
            <w:tcW w:w="917" w:type="pct"/>
            <w:shd w:val="clear" w:color="auto" w:fill="auto"/>
          </w:tcPr>
          <w:p w14:paraId="1DC4899C" w14:textId="77777777" w:rsidR="007D1E74" w:rsidRDefault="00A95641">
            <w:pPr>
              <w:pStyle w:val="afffff8"/>
            </w:pPr>
            <w:r>
              <w:rPr>
                <w:rFonts w:hint="eastAsia"/>
              </w:rPr>
              <w:t>III</w:t>
            </w:r>
          </w:p>
        </w:tc>
        <w:tc>
          <w:tcPr>
            <w:tcW w:w="916" w:type="pct"/>
            <w:shd w:val="clear" w:color="auto" w:fill="auto"/>
          </w:tcPr>
          <w:p w14:paraId="17DFD614" w14:textId="77777777" w:rsidR="007D1E74" w:rsidRDefault="00A95641">
            <w:pPr>
              <w:pStyle w:val="afffff8"/>
            </w:pPr>
            <w:r>
              <w:rPr>
                <w:rFonts w:hint="eastAsia"/>
              </w:rPr>
              <w:t>III</w:t>
            </w:r>
          </w:p>
        </w:tc>
        <w:tc>
          <w:tcPr>
            <w:tcW w:w="918" w:type="pct"/>
            <w:shd w:val="clear" w:color="auto" w:fill="auto"/>
            <w:vAlign w:val="center"/>
          </w:tcPr>
          <w:p w14:paraId="01247DC8" w14:textId="77777777" w:rsidR="007D1E74" w:rsidRDefault="00A95641">
            <w:pPr>
              <w:pStyle w:val="afffff8"/>
            </w:pPr>
            <w:r>
              <w:rPr>
                <w:rFonts w:hint="eastAsia"/>
              </w:rPr>
              <w:t>II</w:t>
            </w:r>
          </w:p>
        </w:tc>
      </w:tr>
      <w:tr w:rsidR="007D1E74" w14:paraId="05C214CE" w14:textId="77777777">
        <w:tc>
          <w:tcPr>
            <w:tcW w:w="1333" w:type="pct"/>
            <w:shd w:val="clear" w:color="auto" w:fill="auto"/>
            <w:vAlign w:val="center"/>
          </w:tcPr>
          <w:p w14:paraId="6A4B5107" w14:textId="77777777" w:rsidR="007D1E74" w:rsidRDefault="00A95641">
            <w:pPr>
              <w:pStyle w:val="afffff8"/>
            </w:pPr>
            <w:r>
              <w:rPr>
                <w:rFonts w:hint="eastAsia"/>
              </w:rPr>
              <w:t>环境低度敏感区（</w:t>
            </w:r>
            <w:r>
              <w:t>E3</w:t>
            </w:r>
            <w:r>
              <w:rPr>
                <w:rFonts w:hint="eastAsia"/>
              </w:rPr>
              <w:t>）</w:t>
            </w:r>
          </w:p>
        </w:tc>
        <w:tc>
          <w:tcPr>
            <w:tcW w:w="916" w:type="pct"/>
            <w:shd w:val="clear" w:color="auto" w:fill="auto"/>
            <w:vAlign w:val="center"/>
          </w:tcPr>
          <w:p w14:paraId="66706E34" w14:textId="77777777" w:rsidR="007D1E74" w:rsidRDefault="00A95641">
            <w:pPr>
              <w:pStyle w:val="afffff8"/>
            </w:pPr>
            <w:r>
              <w:rPr>
                <w:rFonts w:hint="eastAsia"/>
              </w:rPr>
              <w:t>III</w:t>
            </w:r>
          </w:p>
        </w:tc>
        <w:tc>
          <w:tcPr>
            <w:tcW w:w="917" w:type="pct"/>
            <w:shd w:val="clear" w:color="auto" w:fill="auto"/>
          </w:tcPr>
          <w:p w14:paraId="0240B9FB" w14:textId="77777777" w:rsidR="007D1E74" w:rsidRDefault="00A95641">
            <w:pPr>
              <w:pStyle w:val="afffff8"/>
            </w:pPr>
            <w:r>
              <w:rPr>
                <w:rFonts w:hint="eastAsia"/>
              </w:rPr>
              <w:t>III</w:t>
            </w:r>
          </w:p>
        </w:tc>
        <w:tc>
          <w:tcPr>
            <w:tcW w:w="916" w:type="pct"/>
            <w:shd w:val="clear" w:color="auto" w:fill="auto"/>
            <w:vAlign w:val="center"/>
          </w:tcPr>
          <w:p w14:paraId="082B73AE" w14:textId="77777777" w:rsidR="007D1E74" w:rsidRDefault="00A95641">
            <w:pPr>
              <w:pStyle w:val="afffff8"/>
            </w:pPr>
            <w:r>
              <w:rPr>
                <w:rFonts w:hint="eastAsia"/>
              </w:rPr>
              <w:t>II</w:t>
            </w:r>
          </w:p>
        </w:tc>
        <w:tc>
          <w:tcPr>
            <w:tcW w:w="918" w:type="pct"/>
            <w:shd w:val="clear" w:color="auto" w:fill="auto"/>
            <w:vAlign w:val="center"/>
          </w:tcPr>
          <w:p w14:paraId="0601951C" w14:textId="77777777" w:rsidR="007D1E74" w:rsidRDefault="00A95641">
            <w:pPr>
              <w:pStyle w:val="afffff8"/>
            </w:pPr>
            <w:r>
              <w:rPr>
                <w:rFonts w:hint="eastAsia"/>
              </w:rPr>
              <w:t>I</w:t>
            </w:r>
          </w:p>
        </w:tc>
      </w:tr>
      <w:tr w:rsidR="007D1E74" w14:paraId="2A21B34F" w14:textId="77777777">
        <w:tc>
          <w:tcPr>
            <w:tcW w:w="5000" w:type="pct"/>
            <w:gridSpan w:val="5"/>
            <w:shd w:val="clear" w:color="auto" w:fill="auto"/>
            <w:vAlign w:val="center"/>
          </w:tcPr>
          <w:p w14:paraId="01A4CB8E" w14:textId="77777777" w:rsidR="007D1E74" w:rsidRDefault="00A95641">
            <w:pPr>
              <w:pStyle w:val="afffff8"/>
              <w:jc w:val="both"/>
            </w:pPr>
            <w:r>
              <w:rPr>
                <w:rFonts w:hint="eastAsia"/>
              </w:rPr>
              <w:t>注：</w:t>
            </w:r>
            <w:r>
              <w:rPr>
                <w:rFonts w:hint="eastAsia"/>
              </w:rPr>
              <w:t>IV</w:t>
            </w:r>
            <w:r>
              <w:rPr>
                <w:rFonts w:hint="eastAsia"/>
                <w:vertAlign w:val="superscript"/>
              </w:rPr>
              <w:t>+</w:t>
            </w:r>
            <w:r>
              <w:rPr>
                <w:rFonts w:hint="eastAsia"/>
              </w:rPr>
              <w:t>为极高环境风险。</w:t>
            </w:r>
          </w:p>
        </w:tc>
      </w:tr>
    </w:tbl>
    <w:p w14:paraId="69E8B924" w14:textId="77777777" w:rsidR="007D1E74" w:rsidRDefault="00A95641">
      <w:pPr>
        <w:spacing w:line="360" w:lineRule="auto"/>
        <w:ind w:firstLineChars="200" w:firstLine="480"/>
        <w:rPr>
          <w:sz w:val="24"/>
          <w:szCs w:val="24"/>
        </w:rPr>
      </w:pPr>
      <w:r>
        <w:rPr>
          <w:rFonts w:hint="eastAsia"/>
          <w:sz w:val="24"/>
          <w:szCs w:val="24"/>
        </w:rPr>
        <w:t>本项目危险物质及工艺系统危险性为</w:t>
      </w:r>
      <w:r>
        <w:rPr>
          <w:rFonts w:hint="eastAsia"/>
          <w:sz w:val="24"/>
          <w:szCs w:val="24"/>
        </w:rPr>
        <w:t>P3</w:t>
      </w:r>
      <w:r>
        <w:rPr>
          <w:rFonts w:hint="eastAsia"/>
          <w:sz w:val="24"/>
          <w:szCs w:val="24"/>
        </w:rPr>
        <w:t>，大气环境敏感程度为</w:t>
      </w:r>
      <w:r>
        <w:rPr>
          <w:rFonts w:hint="eastAsia"/>
          <w:sz w:val="24"/>
          <w:szCs w:val="24"/>
        </w:rPr>
        <w:t>E</w:t>
      </w:r>
      <w:r>
        <w:rPr>
          <w:sz w:val="24"/>
          <w:szCs w:val="24"/>
        </w:rPr>
        <w:t>3</w:t>
      </w:r>
      <w:r>
        <w:rPr>
          <w:rFonts w:hint="eastAsia"/>
          <w:sz w:val="24"/>
          <w:szCs w:val="24"/>
        </w:rPr>
        <w:t>，地下水环境敏感程度为</w:t>
      </w:r>
      <w:r>
        <w:rPr>
          <w:rFonts w:hint="eastAsia"/>
          <w:sz w:val="24"/>
          <w:szCs w:val="24"/>
        </w:rPr>
        <w:t>E</w:t>
      </w:r>
      <w:r>
        <w:rPr>
          <w:sz w:val="24"/>
          <w:szCs w:val="24"/>
        </w:rPr>
        <w:t>1</w:t>
      </w:r>
      <w:r>
        <w:rPr>
          <w:rFonts w:hint="eastAsia"/>
          <w:sz w:val="24"/>
          <w:szCs w:val="24"/>
        </w:rPr>
        <w:t>，项目大气环境风险潜势为</w:t>
      </w:r>
      <w:r>
        <w:rPr>
          <w:rFonts w:hint="eastAsia"/>
          <w:sz w:val="24"/>
          <w:szCs w:val="24"/>
        </w:rPr>
        <w:t>II</w:t>
      </w:r>
      <w:r>
        <w:rPr>
          <w:rFonts w:hint="eastAsia"/>
          <w:sz w:val="24"/>
          <w:szCs w:val="24"/>
        </w:rPr>
        <w:t>级</w:t>
      </w:r>
      <w:r>
        <w:rPr>
          <w:sz w:val="24"/>
          <w:szCs w:val="24"/>
        </w:rPr>
        <w:t>，</w:t>
      </w:r>
      <w:r>
        <w:rPr>
          <w:rFonts w:hint="eastAsia"/>
          <w:sz w:val="24"/>
          <w:szCs w:val="24"/>
        </w:rPr>
        <w:t>地下水环境风险潜势为</w:t>
      </w:r>
      <w:r>
        <w:rPr>
          <w:rFonts w:hint="eastAsia"/>
          <w:sz w:val="24"/>
          <w:szCs w:val="24"/>
        </w:rPr>
        <w:t>III</w:t>
      </w:r>
      <w:r>
        <w:rPr>
          <w:rFonts w:hint="eastAsia"/>
          <w:sz w:val="24"/>
          <w:szCs w:val="24"/>
        </w:rPr>
        <w:t>级。因此，本项目环境风险潜势综合等级为</w:t>
      </w:r>
      <w:r>
        <w:rPr>
          <w:rFonts w:hint="eastAsia"/>
          <w:sz w:val="24"/>
          <w:szCs w:val="24"/>
        </w:rPr>
        <w:t>III</w:t>
      </w:r>
      <w:r>
        <w:rPr>
          <w:rFonts w:hint="eastAsia"/>
          <w:sz w:val="24"/>
          <w:szCs w:val="24"/>
        </w:rPr>
        <w:t>级。</w:t>
      </w:r>
    </w:p>
    <w:p w14:paraId="2013778E" w14:textId="77777777" w:rsidR="007D1E74" w:rsidRDefault="00A95641">
      <w:pPr>
        <w:pStyle w:val="a8"/>
      </w:pPr>
      <w:r>
        <w:rPr>
          <w:rFonts w:hint="eastAsia"/>
        </w:rPr>
        <w:t>环境风险识别</w:t>
      </w:r>
    </w:p>
    <w:p w14:paraId="25DE39BC" w14:textId="77777777" w:rsidR="007D1E74" w:rsidRDefault="00A95641">
      <w:pPr>
        <w:spacing w:line="360" w:lineRule="auto"/>
        <w:ind w:firstLineChars="200" w:firstLine="480"/>
        <w:rPr>
          <w:sz w:val="24"/>
          <w:szCs w:val="24"/>
        </w:rPr>
      </w:pPr>
      <w:r>
        <w:rPr>
          <w:rFonts w:hint="eastAsia"/>
          <w:sz w:val="24"/>
          <w:szCs w:val="24"/>
        </w:rPr>
        <w:t>环境风险识别内容包括物质危险性识别、生产系统危险性识别和危险物质向环境转移的途径识别。</w:t>
      </w:r>
    </w:p>
    <w:p w14:paraId="5959AF25" w14:textId="77777777" w:rsidR="007D1E74" w:rsidRDefault="00A95641">
      <w:pPr>
        <w:spacing w:line="360" w:lineRule="auto"/>
        <w:ind w:firstLineChars="200" w:firstLine="480"/>
        <w:rPr>
          <w:sz w:val="24"/>
          <w:szCs w:val="24"/>
        </w:rPr>
      </w:pPr>
      <w:r>
        <w:rPr>
          <w:rFonts w:hint="eastAsia"/>
          <w:sz w:val="24"/>
          <w:szCs w:val="24"/>
        </w:rPr>
        <w:t>物质危险性识别：包括主要原辅材料、燃料、中间产品、副产品、最终产品、污染物、火灾和爆炸伴生</w:t>
      </w:r>
      <w:r>
        <w:rPr>
          <w:rFonts w:hint="eastAsia"/>
          <w:sz w:val="24"/>
          <w:szCs w:val="24"/>
        </w:rPr>
        <w:t>/</w:t>
      </w:r>
      <w:r>
        <w:rPr>
          <w:rFonts w:hint="eastAsia"/>
          <w:sz w:val="24"/>
          <w:szCs w:val="24"/>
        </w:rPr>
        <w:t>次生物等。</w:t>
      </w:r>
    </w:p>
    <w:p w14:paraId="60A11414" w14:textId="77777777" w:rsidR="007D1E74" w:rsidRDefault="00A95641">
      <w:pPr>
        <w:spacing w:line="360" w:lineRule="auto"/>
        <w:ind w:firstLineChars="200" w:firstLine="480"/>
        <w:rPr>
          <w:sz w:val="24"/>
          <w:szCs w:val="24"/>
        </w:rPr>
      </w:pPr>
      <w:r>
        <w:rPr>
          <w:rFonts w:hint="eastAsia"/>
          <w:sz w:val="24"/>
          <w:szCs w:val="24"/>
        </w:rPr>
        <w:t>生产系统危险性识别：包括主要生产装置、储运设施、公用工程和辅助生产设施以及环境保护设施等。</w:t>
      </w:r>
    </w:p>
    <w:p w14:paraId="1E8C23DA" w14:textId="77777777" w:rsidR="007D1E74" w:rsidRDefault="00A95641">
      <w:pPr>
        <w:spacing w:line="360" w:lineRule="auto"/>
        <w:ind w:firstLineChars="200" w:firstLine="480"/>
        <w:rPr>
          <w:sz w:val="24"/>
          <w:szCs w:val="24"/>
        </w:rPr>
      </w:pPr>
      <w:r>
        <w:rPr>
          <w:rFonts w:hint="eastAsia"/>
          <w:sz w:val="24"/>
          <w:szCs w:val="24"/>
        </w:rPr>
        <w:t>危险物质向环境转移的途径识别：包括分析危险物质特性及可能的环境风险类型，识别危险物质影响环境的途径，分析可能影响的环境敏感目标。</w:t>
      </w:r>
    </w:p>
    <w:p w14:paraId="01481AD8" w14:textId="77777777" w:rsidR="007D1E74" w:rsidRDefault="00A95641">
      <w:pPr>
        <w:pStyle w:val="a9"/>
      </w:pPr>
      <w:r>
        <w:rPr>
          <w:rFonts w:hint="eastAsia"/>
        </w:rPr>
        <w:t>物质危险性识别</w:t>
      </w:r>
    </w:p>
    <w:p w14:paraId="463A903C" w14:textId="77777777" w:rsidR="007D1E74" w:rsidRDefault="00A95641">
      <w:pPr>
        <w:spacing w:line="360" w:lineRule="auto"/>
        <w:ind w:firstLineChars="200" w:firstLine="480"/>
        <w:rPr>
          <w:rFonts w:cs="Times New Roman"/>
          <w:sz w:val="24"/>
          <w:szCs w:val="24"/>
        </w:rPr>
      </w:pPr>
      <w:r>
        <w:rPr>
          <w:rFonts w:cs="Times New Roman"/>
          <w:sz w:val="24"/>
          <w:szCs w:val="24"/>
        </w:rPr>
        <w:lastRenderedPageBreak/>
        <w:t>运营期主要风险</w:t>
      </w:r>
      <w:r>
        <w:rPr>
          <w:rFonts w:cs="Times New Roman" w:hint="eastAsia"/>
          <w:sz w:val="24"/>
          <w:szCs w:val="24"/>
        </w:rPr>
        <w:t>物质</w:t>
      </w:r>
      <w:r>
        <w:rPr>
          <w:rFonts w:cs="Times New Roman"/>
          <w:sz w:val="24"/>
          <w:szCs w:val="24"/>
        </w:rPr>
        <w:t>为管道输送的不含硫化氢的天然气</w:t>
      </w:r>
      <w:r>
        <w:rPr>
          <w:rFonts w:cs="Times New Roman" w:hint="eastAsia"/>
          <w:sz w:val="24"/>
          <w:szCs w:val="24"/>
        </w:rPr>
        <w:t>，</w:t>
      </w:r>
      <w:r>
        <w:rPr>
          <w:rFonts w:cs="Times New Roman"/>
          <w:sz w:val="24"/>
          <w:szCs w:val="24"/>
        </w:rPr>
        <w:t>主要成分为甲烷，</w:t>
      </w:r>
      <w:r>
        <w:rPr>
          <w:rFonts w:cs="Times New Roman" w:hint="eastAsia"/>
          <w:sz w:val="24"/>
          <w:szCs w:val="24"/>
        </w:rPr>
        <w:t>另有少量乙烷和丙烷。按照《石油天然气工程设计防火规范》（</w:t>
      </w:r>
      <w:r>
        <w:rPr>
          <w:rFonts w:cs="Times New Roman" w:hint="eastAsia"/>
          <w:sz w:val="24"/>
          <w:szCs w:val="24"/>
        </w:rPr>
        <w:t>GB50183-2015</w:t>
      </w:r>
      <w:r>
        <w:rPr>
          <w:rFonts w:cs="Times New Roman" w:hint="eastAsia"/>
          <w:sz w:val="24"/>
          <w:szCs w:val="24"/>
        </w:rPr>
        <w:t>）的有关规定，天然气的火灾危险性类别为甲</w:t>
      </w:r>
      <w:r>
        <w:rPr>
          <w:rFonts w:cs="Times New Roman" w:hint="eastAsia"/>
          <w:sz w:val="24"/>
          <w:szCs w:val="24"/>
        </w:rPr>
        <w:t>B</w:t>
      </w:r>
      <w:r>
        <w:rPr>
          <w:rFonts w:cs="Times New Roman" w:hint="eastAsia"/>
          <w:sz w:val="24"/>
          <w:szCs w:val="24"/>
        </w:rPr>
        <w:t>类。</w:t>
      </w:r>
      <w:r>
        <w:rPr>
          <w:rFonts w:cs="Times New Roman"/>
          <w:sz w:val="24"/>
          <w:szCs w:val="24"/>
        </w:rPr>
        <w:t>主要</w:t>
      </w:r>
      <w:r>
        <w:rPr>
          <w:rFonts w:cs="Times New Roman" w:hint="eastAsia"/>
          <w:sz w:val="24"/>
          <w:szCs w:val="24"/>
        </w:rPr>
        <w:t>危险物质存在情况见下表。</w:t>
      </w:r>
    </w:p>
    <w:p w14:paraId="4FBC1761" w14:textId="77777777" w:rsidR="007D1E74" w:rsidRDefault="00A95641">
      <w:pPr>
        <w:pStyle w:val="afffffe"/>
        <w:numPr>
          <w:ilvl w:val="0"/>
          <w:numId w:val="48"/>
        </w:numPr>
        <w:spacing w:line="360" w:lineRule="auto"/>
        <w:ind w:firstLineChars="0"/>
        <w:jc w:val="center"/>
        <w:rPr>
          <w:rFonts w:eastAsia="黑体" w:cs="Times New Roman"/>
          <w:szCs w:val="21"/>
        </w:rPr>
      </w:pPr>
      <w:r>
        <w:rPr>
          <w:rFonts w:eastAsia="黑体" w:cs="Times New Roman" w:hint="eastAsia"/>
          <w:szCs w:val="21"/>
        </w:rPr>
        <w:t>主要危险物质储存情况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2"/>
        <w:gridCol w:w="2178"/>
        <w:gridCol w:w="1100"/>
        <w:gridCol w:w="1239"/>
        <w:gridCol w:w="1374"/>
        <w:gridCol w:w="1239"/>
        <w:gridCol w:w="1044"/>
      </w:tblGrid>
      <w:tr w:rsidR="007D1E74" w14:paraId="57820BF3" w14:textId="77777777">
        <w:trPr>
          <w:tblHeader/>
          <w:jc w:val="center"/>
        </w:trPr>
        <w:tc>
          <w:tcPr>
            <w:tcW w:w="467" w:type="pct"/>
            <w:vAlign w:val="center"/>
          </w:tcPr>
          <w:p w14:paraId="7DD9B169" w14:textId="77777777" w:rsidR="007D1E74" w:rsidRDefault="00A95641">
            <w:pPr>
              <w:jc w:val="center"/>
              <w:rPr>
                <w:szCs w:val="21"/>
              </w:rPr>
            </w:pPr>
            <w:r>
              <w:rPr>
                <w:rFonts w:hint="eastAsia"/>
                <w:szCs w:val="21"/>
              </w:rPr>
              <w:t>序号</w:t>
            </w:r>
          </w:p>
        </w:tc>
        <w:tc>
          <w:tcPr>
            <w:tcW w:w="1208" w:type="pct"/>
            <w:vAlign w:val="center"/>
          </w:tcPr>
          <w:p w14:paraId="23780CCC" w14:textId="77777777" w:rsidR="007D1E74" w:rsidRDefault="00A95641">
            <w:pPr>
              <w:jc w:val="center"/>
              <w:rPr>
                <w:szCs w:val="21"/>
              </w:rPr>
            </w:pPr>
            <w:r>
              <w:rPr>
                <w:rFonts w:hint="eastAsia"/>
                <w:szCs w:val="21"/>
              </w:rPr>
              <w:t>风险单元</w:t>
            </w:r>
          </w:p>
        </w:tc>
        <w:tc>
          <w:tcPr>
            <w:tcW w:w="610" w:type="pct"/>
            <w:vAlign w:val="center"/>
          </w:tcPr>
          <w:p w14:paraId="4F8FA721" w14:textId="77777777" w:rsidR="007D1E74" w:rsidRDefault="00A95641">
            <w:pPr>
              <w:jc w:val="center"/>
              <w:rPr>
                <w:szCs w:val="21"/>
              </w:rPr>
            </w:pPr>
            <w:r>
              <w:rPr>
                <w:rFonts w:hint="eastAsia"/>
                <w:szCs w:val="21"/>
              </w:rPr>
              <w:t>危险物质</w:t>
            </w:r>
          </w:p>
        </w:tc>
        <w:tc>
          <w:tcPr>
            <w:tcW w:w="687" w:type="pct"/>
            <w:vAlign w:val="center"/>
          </w:tcPr>
          <w:p w14:paraId="550B7F98" w14:textId="77777777" w:rsidR="007D1E74" w:rsidRDefault="00A95641">
            <w:pPr>
              <w:jc w:val="center"/>
              <w:rPr>
                <w:szCs w:val="21"/>
              </w:rPr>
            </w:pPr>
            <w:r>
              <w:rPr>
                <w:rFonts w:hint="eastAsia"/>
                <w:szCs w:val="21"/>
              </w:rPr>
              <w:t>CAS</w:t>
            </w:r>
            <w:r>
              <w:rPr>
                <w:rFonts w:hint="eastAsia"/>
                <w:szCs w:val="21"/>
              </w:rPr>
              <w:t>号</w:t>
            </w:r>
          </w:p>
        </w:tc>
        <w:tc>
          <w:tcPr>
            <w:tcW w:w="762" w:type="pct"/>
            <w:vAlign w:val="center"/>
          </w:tcPr>
          <w:p w14:paraId="352AC58F" w14:textId="77777777" w:rsidR="007D1E74" w:rsidRDefault="00A95641">
            <w:pPr>
              <w:jc w:val="center"/>
              <w:rPr>
                <w:szCs w:val="21"/>
              </w:rPr>
            </w:pPr>
            <w:r>
              <w:rPr>
                <w:rFonts w:hint="eastAsia"/>
                <w:szCs w:val="21"/>
              </w:rPr>
              <w:t>贮存量（</w:t>
            </w:r>
            <w:r>
              <w:rPr>
                <w:rFonts w:hint="eastAsia"/>
                <w:szCs w:val="21"/>
              </w:rPr>
              <w:t>t</w:t>
            </w:r>
            <w:r>
              <w:rPr>
                <w:rFonts w:hint="eastAsia"/>
                <w:szCs w:val="21"/>
              </w:rPr>
              <w:t>）</w:t>
            </w:r>
          </w:p>
        </w:tc>
        <w:tc>
          <w:tcPr>
            <w:tcW w:w="687" w:type="pct"/>
            <w:vAlign w:val="center"/>
          </w:tcPr>
          <w:p w14:paraId="44E9C289" w14:textId="77777777" w:rsidR="007D1E74" w:rsidRDefault="00A95641">
            <w:pPr>
              <w:jc w:val="center"/>
              <w:rPr>
                <w:szCs w:val="21"/>
              </w:rPr>
            </w:pPr>
            <w:r>
              <w:rPr>
                <w:rFonts w:hint="eastAsia"/>
                <w:szCs w:val="21"/>
              </w:rPr>
              <w:t>储存方式</w:t>
            </w:r>
          </w:p>
        </w:tc>
        <w:tc>
          <w:tcPr>
            <w:tcW w:w="579" w:type="pct"/>
            <w:vAlign w:val="center"/>
          </w:tcPr>
          <w:p w14:paraId="56D8D577" w14:textId="77777777" w:rsidR="007D1E74" w:rsidRDefault="00A95641">
            <w:pPr>
              <w:jc w:val="center"/>
              <w:rPr>
                <w:szCs w:val="21"/>
              </w:rPr>
            </w:pPr>
            <w:r>
              <w:rPr>
                <w:rFonts w:hint="eastAsia"/>
                <w:szCs w:val="21"/>
              </w:rPr>
              <w:t>危险性</w:t>
            </w:r>
          </w:p>
        </w:tc>
      </w:tr>
      <w:tr w:rsidR="007D1E74" w14:paraId="3CB2B0DD" w14:textId="77777777">
        <w:trPr>
          <w:trHeight w:val="70"/>
          <w:jc w:val="center"/>
        </w:trPr>
        <w:tc>
          <w:tcPr>
            <w:tcW w:w="467" w:type="pct"/>
            <w:vAlign w:val="center"/>
          </w:tcPr>
          <w:p w14:paraId="33113B53" w14:textId="77777777" w:rsidR="007D1E74" w:rsidRDefault="00A95641">
            <w:pPr>
              <w:jc w:val="center"/>
              <w:rPr>
                <w:szCs w:val="21"/>
              </w:rPr>
            </w:pPr>
            <w:r>
              <w:rPr>
                <w:rFonts w:hint="eastAsia"/>
                <w:szCs w:val="21"/>
              </w:rPr>
              <w:t>1</w:t>
            </w:r>
          </w:p>
        </w:tc>
        <w:tc>
          <w:tcPr>
            <w:tcW w:w="1208" w:type="pct"/>
            <w:vAlign w:val="center"/>
          </w:tcPr>
          <w:p w14:paraId="371DB505" w14:textId="77777777" w:rsidR="007D1E74" w:rsidRDefault="00A95641">
            <w:pPr>
              <w:jc w:val="center"/>
              <w:rPr>
                <w:rFonts w:cstheme="minorHAnsi"/>
                <w:szCs w:val="21"/>
              </w:rPr>
            </w:pPr>
            <w:r>
              <w:rPr>
                <w:rFonts w:cstheme="minorHAnsi" w:hint="eastAsia"/>
                <w:szCs w:val="21"/>
              </w:rPr>
              <w:t>1#</w:t>
            </w:r>
            <w:r>
              <w:rPr>
                <w:rFonts w:cstheme="minorHAnsi" w:hint="eastAsia"/>
                <w:szCs w:val="21"/>
              </w:rPr>
              <w:t>阀室至马</w:t>
            </w:r>
            <w:r>
              <w:rPr>
                <w:rFonts w:cstheme="minorHAnsi" w:hint="eastAsia"/>
                <w:szCs w:val="21"/>
              </w:rPr>
              <w:t>1-11</w:t>
            </w:r>
            <w:r>
              <w:rPr>
                <w:rFonts w:cstheme="minorHAnsi" w:hint="eastAsia"/>
                <w:szCs w:val="21"/>
              </w:rPr>
              <w:t>脱水井场集输干线</w:t>
            </w:r>
          </w:p>
        </w:tc>
        <w:tc>
          <w:tcPr>
            <w:tcW w:w="610" w:type="pct"/>
            <w:vMerge w:val="restart"/>
            <w:vAlign w:val="center"/>
          </w:tcPr>
          <w:p w14:paraId="09B660CE" w14:textId="77777777" w:rsidR="007D1E74" w:rsidRDefault="00A95641">
            <w:pPr>
              <w:jc w:val="center"/>
              <w:rPr>
                <w:szCs w:val="21"/>
              </w:rPr>
            </w:pPr>
            <w:r>
              <w:rPr>
                <w:szCs w:val="21"/>
              </w:rPr>
              <w:t>天然气</w:t>
            </w:r>
          </w:p>
        </w:tc>
        <w:tc>
          <w:tcPr>
            <w:tcW w:w="687" w:type="pct"/>
            <w:vMerge w:val="restart"/>
            <w:vAlign w:val="center"/>
          </w:tcPr>
          <w:p w14:paraId="34AC6619" w14:textId="77777777" w:rsidR="007D1E74" w:rsidRDefault="00A95641">
            <w:pPr>
              <w:jc w:val="center"/>
              <w:rPr>
                <w:szCs w:val="21"/>
              </w:rPr>
            </w:pPr>
            <w:r>
              <w:rPr>
                <w:szCs w:val="21"/>
              </w:rPr>
              <w:t>8006-14-2</w:t>
            </w:r>
          </w:p>
        </w:tc>
        <w:tc>
          <w:tcPr>
            <w:tcW w:w="762" w:type="pct"/>
            <w:vAlign w:val="center"/>
          </w:tcPr>
          <w:p w14:paraId="54D5ADD0" w14:textId="77777777" w:rsidR="007D1E74" w:rsidRDefault="00A95641">
            <w:pPr>
              <w:widowControl/>
              <w:jc w:val="center"/>
              <w:rPr>
                <w:rFonts w:cs="Times New Roman"/>
                <w:szCs w:val="21"/>
              </w:rPr>
            </w:pPr>
            <w:r>
              <w:rPr>
                <w:rFonts w:cs="Times New Roman"/>
                <w:szCs w:val="21"/>
              </w:rPr>
              <w:t>26.57</w:t>
            </w:r>
          </w:p>
        </w:tc>
        <w:tc>
          <w:tcPr>
            <w:tcW w:w="687" w:type="pct"/>
            <w:vAlign w:val="center"/>
          </w:tcPr>
          <w:p w14:paraId="2479F183" w14:textId="77777777" w:rsidR="007D1E74" w:rsidRDefault="00A95641">
            <w:pPr>
              <w:jc w:val="center"/>
              <w:rPr>
                <w:szCs w:val="21"/>
              </w:rPr>
            </w:pPr>
            <w:r>
              <w:rPr>
                <w:szCs w:val="21"/>
              </w:rPr>
              <w:t>管道</w:t>
            </w:r>
          </w:p>
        </w:tc>
        <w:tc>
          <w:tcPr>
            <w:tcW w:w="579" w:type="pct"/>
            <w:vAlign w:val="center"/>
          </w:tcPr>
          <w:p w14:paraId="7532E61C" w14:textId="77777777" w:rsidR="007D1E74" w:rsidRDefault="00A95641">
            <w:pPr>
              <w:jc w:val="center"/>
              <w:rPr>
                <w:szCs w:val="21"/>
              </w:rPr>
            </w:pPr>
            <w:r>
              <w:rPr>
                <w:rFonts w:hint="eastAsia"/>
                <w:szCs w:val="21"/>
              </w:rPr>
              <w:t>易燃</w:t>
            </w:r>
          </w:p>
        </w:tc>
      </w:tr>
      <w:tr w:rsidR="007D1E74" w14:paraId="294F5A8B" w14:textId="77777777">
        <w:trPr>
          <w:trHeight w:val="70"/>
          <w:jc w:val="center"/>
        </w:trPr>
        <w:tc>
          <w:tcPr>
            <w:tcW w:w="467" w:type="pct"/>
            <w:vAlign w:val="center"/>
          </w:tcPr>
          <w:p w14:paraId="2E37EF52" w14:textId="77777777" w:rsidR="007D1E74" w:rsidRDefault="00A95641">
            <w:pPr>
              <w:jc w:val="center"/>
              <w:rPr>
                <w:szCs w:val="21"/>
              </w:rPr>
            </w:pPr>
            <w:r>
              <w:rPr>
                <w:rFonts w:hint="eastAsia"/>
                <w:szCs w:val="21"/>
              </w:rPr>
              <w:t>2</w:t>
            </w:r>
          </w:p>
        </w:tc>
        <w:tc>
          <w:tcPr>
            <w:tcW w:w="1208" w:type="pct"/>
            <w:vAlign w:val="center"/>
          </w:tcPr>
          <w:p w14:paraId="32E4D8E2" w14:textId="77777777" w:rsidR="007D1E74" w:rsidRDefault="00A95641">
            <w:pPr>
              <w:jc w:val="center"/>
              <w:rPr>
                <w:rFonts w:cstheme="minorHAnsi"/>
                <w:szCs w:val="21"/>
              </w:rPr>
            </w:pPr>
            <w:r>
              <w:rPr>
                <w:rFonts w:cstheme="minorHAnsi" w:hint="eastAsia"/>
                <w:szCs w:val="21"/>
              </w:rPr>
              <w:t>马</w:t>
            </w:r>
            <w:r>
              <w:rPr>
                <w:rFonts w:cstheme="minorHAnsi" w:hint="eastAsia"/>
                <w:szCs w:val="21"/>
              </w:rPr>
              <w:t>1-10H</w:t>
            </w:r>
            <w:r>
              <w:rPr>
                <w:rFonts w:cstheme="minorHAnsi" w:hint="eastAsia"/>
                <w:szCs w:val="21"/>
              </w:rPr>
              <w:t>采气井场至马</w:t>
            </w:r>
            <w:r>
              <w:rPr>
                <w:rFonts w:cstheme="minorHAnsi" w:hint="eastAsia"/>
                <w:szCs w:val="21"/>
              </w:rPr>
              <w:t>1-1</w:t>
            </w:r>
            <w:r>
              <w:rPr>
                <w:rFonts w:cstheme="minorHAnsi" w:hint="eastAsia"/>
                <w:szCs w:val="21"/>
              </w:rPr>
              <w:t>集气支线</w:t>
            </w:r>
          </w:p>
        </w:tc>
        <w:tc>
          <w:tcPr>
            <w:tcW w:w="610" w:type="pct"/>
            <w:vMerge/>
            <w:vAlign w:val="center"/>
          </w:tcPr>
          <w:p w14:paraId="10612381" w14:textId="77777777" w:rsidR="007D1E74" w:rsidRDefault="007D1E74">
            <w:pPr>
              <w:jc w:val="center"/>
              <w:rPr>
                <w:szCs w:val="21"/>
              </w:rPr>
            </w:pPr>
          </w:p>
        </w:tc>
        <w:tc>
          <w:tcPr>
            <w:tcW w:w="687" w:type="pct"/>
            <w:vMerge/>
            <w:vAlign w:val="center"/>
          </w:tcPr>
          <w:p w14:paraId="799BD7B0" w14:textId="77777777" w:rsidR="007D1E74" w:rsidRDefault="007D1E74">
            <w:pPr>
              <w:jc w:val="center"/>
              <w:rPr>
                <w:szCs w:val="21"/>
              </w:rPr>
            </w:pPr>
          </w:p>
        </w:tc>
        <w:tc>
          <w:tcPr>
            <w:tcW w:w="762" w:type="pct"/>
            <w:vAlign w:val="center"/>
          </w:tcPr>
          <w:p w14:paraId="6AAE743E" w14:textId="77777777" w:rsidR="007D1E74" w:rsidRDefault="00A95641">
            <w:pPr>
              <w:jc w:val="center"/>
              <w:rPr>
                <w:rFonts w:cs="Times New Roman"/>
                <w:szCs w:val="21"/>
              </w:rPr>
            </w:pPr>
            <w:r>
              <w:rPr>
                <w:rFonts w:cs="Times New Roman"/>
                <w:szCs w:val="21"/>
              </w:rPr>
              <w:t>1.88</w:t>
            </w:r>
          </w:p>
        </w:tc>
        <w:tc>
          <w:tcPr>
            <w:tcW w:w="687" w:type="pct"/>
            <w:vAlign w:val="center"/>
          </w:tcPr>
          <w:p w14:paraId="41AE71B9" w14:textId="77777777" w:rsidR="007D1E74" w:rsidRDefault="00A95641">
            <w:pPr>
              <w:jc w:val="center"/>
              <w:rPr>
                <w:szCs w:val="21"/>
              </w:rPr>
            </w:pPr>
            <w:r>
              <w:rPr>
                <w:szCs w:val="21"/>
              </w:rPr>
              <w:t>管道</w:t>
            </w:r>
          </w:p>
        </w:tc>
        <w:tc>
          <w:tcPr>
            <w:tcW w:w="579" w:type="pct"/>
            <w:vAlign w:val="center"/>
          </w:tcPr>
          <w:p w14:paraId="5C4DA211" w14:textId="77777777" w:rsidR="007D1E74" w:rsidRDefault="00A95641">
            <w:pPr>
              <w:jc w:val="center"/>
              <w:rPr>
                <w:szCs w:val="21"/>
              </w:rPr>
            </w:pPr>
            <w:r>
              <w:rPr>
                <w:rFonts w:hint="eastAsia"/>
                <w:szCs w:val="21"/>
              </w:rPr>
              <w:t>易燃</w:t>
            </w:r>
          </w:p>
        </w:tc>
      </w:tr>
      <w:tr w:rsidR="007D1E74" w14:paraId="34C20B3E" w14:textId="77777777">
        <w:trPr>
          <w:trHeight w:val="70"/>
          <w:jc w:val="center"/>
        </w:trPr>
        <w:tc>
          <w:tcPr>
            <w:tcW w:w="467" w:type="pct"/>
            <w:vAlign w:val="center"/>
          </w:tcPr>
          <w:p w14:paraId="64513D57" w14:textId="77777777" w:rsidR="007D1E74" w:rsidRDefault="00A95641">
            <w:pPr>
              <w:jc w:val="center"/>
              <w:rPr>
                <w:szCs w:val="21"/>
              </w:rPr>
            </w:pPr>
            <w:r>
              <w:rPr>
                <w:rFonts w:hint="eastAsia"/>
                <w:szCs w:val="21"/>
              </w:rPr>
              <w:t>3</w:t>
            </w:r>
          </w:p>
        </w:tc>
        <w:tc>
          <w:tcPr>
            <w:tcW w:w="1208" w:type="pct"/>
            <w:vAlign w:val="center"/>
          </w:tcPr>
          <w:p w14:paraId="1BAB3150" w14:textId="77777777" w:rsidR="007D1E74" w:rsidRDefault="00A95641">
            <w:pPr>
              <w:jc w:val="center"/>
              <w:rPr>
                <w:rFonts w:cstheme="minorHAnsi"/>
                <w:szCs w:val="21"/>
              </w:rPr>
            </w:pPr>
            <w:r>
              <w:rPr>
                <w:rFonts w:cstheme="minorHAnsi" w:hint="eastAsia"/>
                <w:szCs w:val="21"/>
              </w:rPr>
              <w:t>马</w:t>
            </w:r>
            <w:r>
              <w:rPr>
                <w:rFonts w:cstheme="minorHAnsi" w:hint="eastAsia"/>
                <w:szCs w:val="21"/>
              </w:rPr>
              <w:t>1-</w:t>
            </w:r>
            <w:r>
              <w:rPr>
                <w:rFonts w:cstheme="minorHAnsi"/>
                <w:szCs w:val="21"/>
              </w:rPr>
              <w:t>1</w:t>
            </w:r>
            <w:r>
              <w:rPr>
                <w:rFonts w:cstheme="minorHAnsi"/>
                <w:szCs w:val="21"/>
              </w:rPr>
              <w:t>采气井场至干线集气支线</w:t>
            </w:r>
          </w:p>
        </w:tc>
        <w:tc>
          <w:tcPr>
            <w:tcW w:w="610" w:type="pct"/>
            <w:vMerge/>
            <w:vAlign w:val="center"/>
          </w:tcPr>
          <w:p w14:paraId="118F8376" w14:textId="77777777" w:rsidR="007D1E74" w:rsidRDefault="007D1E74">
            <w:pPr>
              <w:jc w:val="center"/>
              <w:rPr>
                <w:szCs w:val="21"/>
              </w:rPr>
            </w:pPr>
          </w:p>
        </w:tc>
        <w:tc>
          <w:tcPr>
            <w:tcW w:w="687" w:type="pct"/>
            <w:vMerge/>
            <w:vAlign w:val="center"/>
          </w:tcPr>
          <w:p w14:paraId="49B2FE96" w14:textId="77777777" w:rsidR="007D1E74" w:rsidRDefault="007D1E74">
            <w:pPr>
              <w:jc w:val="center"/>
              <w:rPr>
                <w:szCs w:val="21"/>
              </w:rPr>
            </w:pPr>
          </w:p>
        </w:tc>
        <w:tc>
          <w:tcPr>
            <w:tcW w:w="762" w:type="pct"/>
            <w:vAlign w:val="center"/>
          </w:tcPr>
          <w:p w14:paraId="72DDAD96" w14:textId="77777777" w:rsidR="007D1E74" w:rsidRDefault="00A95641">
            <w:pPr>
              <w:jc w:val="center"/>
              <w:rPr>
                <w:rFonts w:cs="Times New Roman"/>
                <w:szCs w:val="21"/>
              </w:rPr>
            </w:pPr>
            <w:r>
              <w:rPr>
                <w:rFonts w:cs="Times New Roman"/>
                <w:szCs w:val="21"/>
              </w:rPr>
              <w:t>0.51</w:t>
            </w:r>
          </w:p>
        </w:tc>
        <w:tc>
          <w:tcPr>
            <w:tcW w:w="687" w:type="pct"/>
            <w:vAlign w:val="center"/>
          </w:tcPr>
          <w:p w14:paraId="3D593F51" w14:textId="77777777" w:rsidR="007D1E74" w:rsidRDefault="00A95641">
            <w:pPr>
              <w:jc w:val="center"/>
              <w:rPr>
                <w:szCs w:val="21"/>
              </w:rPr>
            </w:pPr>
            <w:r>
              <w:rPr>
                <w:szCs w:val="21"/>
              </w:rPr>
              <w:t>管道</w:t>
            </w:r>
          </w:p>
        </w:tc>
        <w:tc>
          <w:tcPr>
            <w:tcW w:w="579" w:type="pct"/>
            <w:vAlign w:val="center"/>
          </w:tcPr>
          <w:p w14:paraId="23DEC897" w14:textId="77777777" w:rsidR="007D1E74" w:rsidRDefault="00A95641">
            <w:pPr>
              <w:jc w:val="center"/>
              <w:rPr>
                <w:szCs w:val="21"/>
              </w:rPr>
            </w:pPr>
            <w:r>
              <w:rPr>
                <w:rFonts w:hint="eastAsia"/>
                <w:szCs w:val="21"/>
              </w:rPr>
              <w:t>易燃</w:t>
            </w:r>
          </w:p>
        </w:tc>
      </w:tr>
      <w:tr w:rsidR="007D1E74" w14:paraId="444E7021" w14:textId="77777777">
        <w:trPr>
          <w:trHeight w:val="70"/>
          <w:jc w:val="center"/>
        </w:trPr>
        <w:tc>
          <w:tcPr>
            <w:tcW w:w="467" w:type="pct"/>
            <w:vAlign w:val="center"/>
          </w:tcPr>
          <w:p w14:paraId="133620D1" w14:textId="77777777" w:rsidR="007D1E74" w:rsidRDefault="00A95641">
            <w:pPr>
              <w:jc w:val="center"/>
              <w:rPr>
                <w:szCs w:val="21"/>
              </w:rPr>
            </w:pPr>
            <w:r>
              <w:rPr>
                <w:szCs w:val="21"/>
              </w:rPr>
              <w:t>4</w:t>
            </w:r>
          </w:p>
        </w:tc>
        <w:tc>
          <w:tcPr>
            <w:tcW w:w="1208" w:type="pct"/>
            <w:vAlign w:val="center"/>
          </w:tcPr>
          <w:p w14:paraId="1E95BCDB" w14:textId="77777777" w:rsidR="007D1E74" w:rsidRDefault="00A95641">
            <w:pPr>
              <w:jc w:val="center"/>
              <w:rPr>
                <w:rFonts w:cstheme="minorHAnsi"/>
                <w:szCs w:val="21"/>
              </w:rPr>
            </w:pPr>
            <w:r>
              <w:rPr>
                <w:rFonts w:cstheme="minorHAnsi" w:hint="eastAsia"/>
                <w:szCs w:val="21"/>
              </w:rPr>
              <w:t>马</w:t>
            </w:r>
            <w:r>
              <w:rPr>
                <w:rFonts w:cstheme="minorHAnsi" w:hint="eastAsia"/>
                <w:szCs w:val="21"/>
              </w:rPr>
              <w:t>1-</w:t>
            </w:r>
            <w:r>
              <w:rPr>
                <w:rFonts w:cstheme="minorHAnsi"/>
                <w:szCs w:val="21"/>
              </w:rPr>
              <w:t>13H</w:t>
            </w:r>
            <w:r>
              <w:rPr>
                <w:rFonts w:cstheme="minorHAnsi"/>
                <w:szCs w:val="21"/>
              </w:rPr>
              <w:t>采气井场至干线集气支线</w:t>
            </w:r>
          </w:p>
        </w:tc>
        <w:tc>
          <w:tcPr>
            <w:tcW w:w="610" w:type="pct"/>
            <w:vMerge/>
            <w:vAlign w:val="center"/>
          </w:tcPr>
          <w:p w14:paraId="717AE99C" w14:textId="77777777" w:rsidR="007D1E74" w:rsidRDefault="007D1E74">
            <w:pPr>
              <w:jc w:val="center"/>
              <w:rPr>
                <w:szCs w:val="21"/>
              </w:rPr>
            </w:pPr>
          </w:p>
        </w:tc>
        <w:tc>
          <w:tcPr>
            <w:tcW w:w="687" w:type="pct"/>
            <w:vMerge/>
            <w:vAlign w:val="center"/>
          </w:tcPr>
          <w:p w14:paraId="1360ED87" w14:textId="77777777" w:rsidR="007D1E74" w:rsidRDefault="007D1E74">
            <w:pPr>
              <w:jc w:val="center"/>
              <w:rPr>
                <w:szCs w:val="21"/>
              </w:rPr>
            </w:pPr>
          </w:p>
        </w:tc>
        <w:tc>
          <w:tcPr>
            <w:tcW w:w="762" w:type="pct"/>
            <w:vAlign w:val="center"/>
          </w:tcPr>
          <w:p w14:paraId="0884FE3B" w14:textId="77777777" w:rsidR="007D1E74" w:rsidRDefault="00A95641">
            <w:pPr>
              <w:jc w:val="center"/>
              <w:rPr>
                <w:rFonts w:cs="Times New Roman"/>
                <w:szCs w:val="21"/>
              </w:rPr>
            </w:pPr>
            <w:r>
              <w:rPr>
                <w:rFonts w:cs="Times New Roman"/>
                <w:szCs w:val="21"/>
              </w:rPr>
              <w:t>0.55</w:t>
            </w:r>
          </w:p>
        </w:tc>
        <w:tc>
          <w:tcPr>
            <w:tcW w:w="687" w:type="pct"/>
            <w:vAlign w:val="center"/>
          </w:tcPr>
          <w:p w14:paraId="7119DB06" w14:textId="77777777" w:rsidR="007D1E74" w:rsidRDefault="00A95641">
            <w:pPr>
              <w:jc w:val="center"/>
              <w:rPr>
                <w:szCs w:val="21"/>
              </w:rPr>
            </w:pPr>
            <w:r>
              <w:rPr>
                <w:szCs w:val="21"/>
              </w:rPr>
              <w:t>管道</w:t>
            </w:r>
          </w:p>
        </w:tc>
        <w:tc>
          <w:tcPr>
            <w:tcW w:w="579" w:type="pct"/>
            <w:vAlign w:val="center"/>
          </w:tcPr>
          <w:p w14:paraId="07F45ADC" w14:textId="77777777" w:rsidR="007D1E74" w:rsidRDefault="00A95641">
            <w:pPr>
              <w:jc w:val="center"/>
              <w:rPr>
                <w:szCs w:val="21"/>
              </w:rPr>
            </w:pPr>
            <w:r>
              <w:rPr>
                <w:rFonts w:hint="eastAsia"/>
                <w:szCs w:val="21"/>
              </w:rPr>
              <w:t>易燃</w:t>
            </w:r>
          </w:p>
        </w:tc>
      </w:tr>
      <w:tr w:rsidR="007D1E74" w14:paraId="1F4FFB08" w14:textId="77777777">
        <w:trPr>
          <w:trHeight w:val="70"/>
          <w:jc w:val="center"/>
        </w:trPr>
        <w:tc>
          <w:tcPr>
            <w:tcW w:w="467" w:type="pct"/>
            <w:vAlign w:val="center"/>
          </w:tcPr>
          <w:p w14:paraId="10308366" w14:textId="77777777" w:rsidR="007D1E74" w:rsidRDefault="00A95641">
            <w:pPr>
              <w:jc w:val="center"/>
              <w:rPr>
                <w:szCs w:val="21"/>
              </w:rPr>
            </w:pPr>
            <w:r>
              <w:rPr>
                <w:rFonts w:hint="eastAsia"/>
                <w:szCs w:val="21"/>
              </w:rPr>
              <w:t>5</w:t>
            </w:r>
          </w:p>
        </w:tc>
        <w:tc>
          <w:tcPr>
            <w:tcW w:w="1208" w:type="pct"/>
            <w:vAlign w:val="center"/>
          </w:tcPr>
          <w:p w14:paraId="302D98A0" w14:textId="77777777" w:rsidR="007D1E74" w:rsidRDefault="00A95641">
            <w:pPr>
              <w:jc w:val="center"/>
              <w:rPr>
                <w:rFonts w:cstheme="minorHAnsi"/>
                <w:szCs w:val="21"/>
              </w:rPr>
            </w:pPr>
            <w:r>
              <w:rPr>
                <w:rFonts w:cstheme="minorHAnsi" w:hint="eastAsia"/>
                <w:szCs w:val="21"/>
              </w:rPr>
              <w:t>马</w:t>
            </w:r>
            <w:r>
              <w:rPr>
                <w:rFonts w:cstheme="minorHAnsi" w:hint="eastAsia"/>
                <w:szCs w:val="21"/>
              </w:rPr>
              <w:t>1-</w:t>
            </w:r>
            <w:r>
              <w:rPr>
                <w:rFonts w:cstheme="minorHAnsi"/>
                <w:szCs w:val="21"/>
              </w:rPr>
              <w:t>12H</w:t>
            </w:r>
            <w:r>
              <w:rPr>
                <w:rFonts w:cstheme="minorHAnsi"/>
                <w:szCs w:val="21"/>
              </w:rPr>
              <w:t>采气井场至干线集气支线</w:t>
            </w:r>
          </w:p>
        </w:tc>
        <w:tc>
          <w:tcPr>
            <w:tcW w:w="610" w:type="pct"/>
            <w:vMerge/>
            <w:vAlign w:val="center"/>
          </w:tcPr>
          <w:p w14:paraId="60451148" w14:textId="77777777" w:rsidR="007D1E74" w:rsidRDefault="007D1E74">
            <w:pPr>
              <w:jc w:val="center"/>
              <w:rPr>
                <w:szCs w:val="21"/>
              </w:rPr>
            </w:pPr>
          </w:p>
        </w:tc>
        <w:tc>
          <w:tcPr>
            <w:tcW w:w="687" w:type="pct"/>
            <w:vMerge/>
            <w:vAlign w:val="center"/>
          </w:tcPr>
          <w:p w14:paraId="54B4EB38" w14:textId="77777777" w:rsidR="007D1E74" w:rsidRDefault="007D1E74">
            <w:pPr>
              <w:jc w:val="center"/>
              <w:rPr>
                <w:szCs w:val="21"/>
              </w:rPr>
            </w:pPr>
          </w:p>
        </w:tc>
        <w:tc>
          <w:tcPr>
            <w:tcW w:w="762" w:type="pct"/>
            <w:vAlign w:val="center"/>
          </w:tcPr>
          <w:p w14:paraId="3BB0AB0C" w14:textId="77777777" w:rsidR="007D1E74" w:rsidRDefault="00A95641">
            <w:pPr>
              <w:jc w:val="center"/>
              <w:rPr>
                <w:rFonts w:cs="Times New Roman"/>
                <w:szCs w:val="21"/>
              </w:rPr>
            </w:pPr>
            <w:r>
              <w:rPr>
                <w:rFonts w:cs="Times New Roman"/>
                <w:szCs w:val="21"/>
              </w:rPr>
              <w:t>5.06</w:t>
            </w:r>
          </w:p>
        </w:tc>
        <w:tc>
          <w:tcPr>
            <w:tcW w:w="687" w:type="pct"/>
            <w:vAlign w:val="center"/>
          </w:tcPr>
          <w:p w14:paraId="039EADD3" w14:textId="77777777" w:rsidR="007D1E74" w:rsidRDefault="00A95641">
            <w:pPr>
              <w:jc w:val="center"/>
              <w:rPr>
                <w:szCs w:val="21"/>
              </w:rPr>
            </w:pPr>
            <w:r>
              <w:rPr>
                <w:szCs w:val="21"/>
              </w:rPr>
              <w:t>管道</w:t>
            </w:r>
          </w:p>
        </w:tc>
        <w:tc>
          <w:tcPr>
            <w:tcW w:w="579" w:type="pct"/>
            <w:vAlign w:val="center"/>
          </w:tcPr>
          <w:p w14:paraId="797F2F8C" w14:textId="77777777" w:rsidR="007D1E74" w:rsidRDefault="00A95641">
            <w:pPr>
              <w:jc w:val="center"/>
              <w:rPr>
                <w:szCs w:val="21"/>
              </w:rPr>
            </w:pPr>
            <w:r>
              <w:rPr>
                <w:rFonts w:hint="eastAsia"/>
                <w:szCs w:val="21"/>
              </w:rPr>
              <w:t>易燃</w:t>
            </w:r>
          </w:p>
        </w:tc>
      </w:tr>
      <w:tr w:rsidR="007D1E74" w14:paraId="245328FC" w14:textId="77777777">
        <w:trPr>
          <w:trHeight w:val="70"/>
          <w:jc w:val="center"/>
        </w:trPr>
        <w:tc>
          <w:tcPr>
            <w:tcW w:w="467" w:type="pct"/>
            <w:vAlign w:val="center"/>
          </w:tcPr>
          <w:p w14:paraId="5A5E2E68" w14:textId="77777777" w:rsidR="007D1E74" w:rsidRDefault="00A95641">
            <w:pPr>
              <w:jc w:val="center"/>
              <w:rPr>
                <w:szCs w:val="21"/>
              </w:rPr>
            </w:pPr>
            <w:r>
              <w:rPr>
                <w:rFonts w:hint="eastAsia"/>
                <w:szCs w:val="21"/>
              </w:rPr>
              <w:t>6</w:t>
            </w:r>
          </w:p>
        </w:tc>
        <w:tc>
          <w:tcPr>
            <w:tcW w:w="1208" w:type="pct"/>
            <w:vAlign w:val="center"/>
          </w:tcPr>
          <w:p w14:paraId="6A273714" w14:textId="77777777" w:rsidR="007D1E74" w:rsidRDefault="00A95641">
            <w:pPr>
              <w:jc w:val="center"/>
              <w:rPr>
                <w:rFonts w:cstheme="minorHAnsi"/>
                <w:szCs w:val="21"/>
              </w:rPr>
            </w:pPr>
            <w:r>
              <w:rPr>
                <w:rFonts w:cstheme="minorHAnsi" w:hint="eastAsia"/>
                <w:szCs w:val="21"/>
              </w:rPr>
              <w:t>马</w:t>
            </w:r>
            <w:r>
              <w:rPr>
                <w:rFonts w:cstheme="minorHAnsi" w:hint="eastAsia"/>
                <w:szCs w:val="21"/>
              </w:rPr>
              <w:t>1-</w:t>
            </w:r>
            <w:r>
              <w:rPr>
                <w:rFonts w:cstheme="minorHAnsi"/>
                <w:szCs w:val="21"/>
              </w:rPr>
              <w:t>11</w:t>
            </w:r>
            <w:r>
              <w:rPr>
                <w:rFonts w:cstheme="minorHAnsi"/>
                <w:szCs w:val="21"/>
              </w:rPr>
              <w:t>脱水井场至</w:t>
            </w:r>
            <w:r>
              <w:rPr>
                <w:rFonts w:cstheme="minorHAnsi" w:hint="eastAsia"/>
                <w:szCs w:val="21"/>
              </w:rPr>
              <w:t>4#</w:t>
            </w:r>
            <w:r>
              <w:rPr>
                <w:rFonts w:cstheme="minorHAnsi" w:hint="eastAsia"/>
                <w:szCs w:val="21"/>
              </w:rPr>
              <w:t>清管阀组集输干线</w:t>
            </w:r>
          </w:p>
        </w:tc>
        <w:tc>
          <w:tcPr>
            <w:tcW w:w="610" w:type="pct"/>
            <w:vMerge/>
            <w:vAlign w:val="center"/>
          </w:tcPr>
          <w:p w14:paraId="7D78D84C" w14:textId="77777777" w:rsidR="007D1E74" w:rsidRDefault="007D1E74">
            <w:pPr>
              <w:jc w:val="center"/>
              <w:rPr>
                <w:szCs w:val="21"/>
              </w:rPr>
            </w:pPr>
          </w:p>
        </w:tc>
        <w:tc>
          <w:tcPr>
            <w:tcW w:w="687" w:type="pct"/>
            <w:vMerge/>
            <w:vAlign w:val="center"/>
          </w:tcPr>
          <w:p w14:paraId="200EDA3E" w14:textId="77777777" w:rsidR="007D1E74" w:rsidRDefault="007D1E74">
            <w:pPr>
              <w:jc w:val="center"/>
              <w:rPr>
                <w:szCs w:val="21"/>
              </w:rPr>
            </w:pPr>
          </w:p>
        </w:tc>
        <w:tc>
          <w:tcPr>
            <w:tcW w:w="762" w:type="pct"/>
            <w:vAlign w:val="center"/>
          </w:tcPr>
          <w:p w14:paraId="74D72F19" w14:textId="77777777" w:rsidR="007D1E74" w:rsidRDefault="00A95641">
            <w:pPr>
              <w:jc w:val="center"/>
              <w:rPr>
                <w:rFonts w:cs="Times New Roman"/>
                <w:szCs w:val="21"/>
              </w:rPr>
            </w:pPr>
            <w:r>
              <w:rPr>
                <w:rFonts w:cs="Times New Roman"/>
                <w:szCs w:val="21"/>
              </w:rPr>
              <w:t>22.46</w:t>
            </w:r>
          </w:p>
        </w:tc>
        <w:tc>
          <w:tcPr>
            <w:tcW w:w="687" w:type="pct"/>
            <w:vAlign w:val="center"/>
          </w:tcPr>
          <w:p w14:paraId="7E36C338" w14:textId="77777777" w:rsidR="007D1E74" w:rsidRDefault="00A95641">
            <w:pPr>
              <w:jc w:val="center"/>
              <w:rPr>
                <w:szCs w:val="21"/>
              </w:rPr>
            </w:pPr>
            <w:r>
              <w:rPr>
                <w:szCs w:val="21"/>
              </w:rPr>
              <w:t>管道</w:t>
            </w:r>
          </w:p>
        </w:tc>
        <w:tc>
          <w:tcPr>
            <w:tcW w:w="579" w:type="pct"/>
            <w:vAlign w:val="center"/>
          </w:tcPr>
          <w:p w14:paraId="15EC4657" w14:textId="77777777" w:rsidR="007D1E74" w:rsidRDefault="00A95641">
            <w:pPr>
              <w:jc w:val="center"/>
              <w:rPr>
                <w:szCs w:val="21"/>
              </w:rPr>
            </w:pPr>
            <w:r>
              <w:rPr>
                <w:rFonts w:hint="eastAsia"/>
                <w:szCs w:val="21"/>
              </w:rPr>
              <w:t>易燃</w:t>
            </w:r>
          </w:p>
        </w:tc>
      </w:tr>
      <w:tr w:rsidR="007D1E74" w14:paraId="4DD6724B" w14:textId="77777777">
        <w:trPr>
          <w:trHeight w:val="70"/>
          <w:jc w:val="center"/>
        </w:trPr>
        <w:tc>
          <w:tcPr>
            <w:tcW w:w="467" w:type="pct"/>
            <w:vAlign w:val="center"/>
          </w:tcPr>
          <w:p w14:paraId="255819EC" w14:textId="77777777" w:rsidR="007D1E74" w:rsidRDefault="00A95641">
            <w:pPr>
              <w:jc w:val="center"/>
              <w:rPr>
                <w:szCs w:val="21"/>
              </w:rPr>
            </w:pPr>
            <w:r>
              <w:rPr>
                <w:rFonts w:hint="eastAsia"/>
                <w:szCs w:val="21"/>
              </w:rPr>
              <w:t>7</w:t>
            </w:r>
          </w:p>
        </w:tc>
        <w:tc>
          <w:tcPr>
            <w:tcW w:w="1208" w:type="pct"/>
            <w:vAlign w:val="center"/>
          </w:tcPr>
          <w:p w14:paraId="3FE74C6D" w14:textId="77777777" w:rsidR="007D1E74" w:rsidRDefault="00A95641">
            <w:pPr>
              <w:jc w:val="center"/>
              <w:rPr>
                <w:rFonts w:cstheme="minorHAnsi"/>
                <w:szCs w:val="21"/>
              </w:rPr>
            </w:pPr>
            <w:r>
              <w:rPr>
                <w:rFonts w:cstheme="minorHAnsi" w:hint="eastAsia"/>
                <w:szCs w:val="21"/>
              </w:rPr>
              <w:t>4#</w:t>
            </w:r>
            <w:r>
              <w:rPr>
                <w:rFonts w:cstheme="minorHAnsi" w:hint="eastAsia"/>
                <w:szCs w:val="21"/>
              </w:rPr>
              <w:t>清管阀组至草池增压站集输干线</w:t>
            </w:r>
          </w:p>
        </w:tc>
        <w:tc>
          <w:tcPr>
            <w:tcW w:w="610" w:type="pct"/>
            <w:vMerge/>
            <w:vAlign w:val="center"/>
          </w:tcPr>
          <w:p w14:paraId="276BB556" w14:textId="77777777" w:rsidR="007D1E74" w:rsidRDefault="007D1E74">
            <w:pPr>
              <w:jc w:val="center"/>
              <w:rPr>
                <w:szCs w:val="21"/>
              </w:rPr>
            </w:pPr>
          </w:p>
        </w:tc>
        <w:tc>
          <w:tcPr>
            <w:tcW w:w="687" w:type="pct"/>
            <w:vMerge/>
            <w:vAlign w:val="center"/>
          </w:tcPr>
          <w:p w14:paraId="6A185F82" w14:textId="77777777" w:rsidR="007D1E74" w:rsidRDefault="007D1E74">
            <w:pPr>
              <w:jc w:val="center"/>
              <w:rPr>
                <w:szCs w:val="21"/>
              </w:rPr>
            </w:pPr>
          </w:p>
        </w:tc>
        <w:tc>
          <w:tcPr>
            <w:tcW w:w="762" w:type="pct"/>
            <w:vAlign w:val="center"/>
          </w:tcPr>
          <w:p w14:paraId="4414F211" w14:textId="77777777" w:rsidR="007D1E74" w:rsidRDefault="00A95641">
            <w:pPr>
              <w:jc w:val="center"/>
              <w:rPr>
                <w:rFonts w:cs="Times New Roman"/>
                <w:szCs w:val="21"/>
              </w:rPr>
            </w:pPr>
            <w:r>
              <w:rPr>
                <w:rFonts w:cs="Times New Roman"/>
                <w:szCs w:val="21"/>
              </w:rPr>
              <w:t>97.72</w:t>
            </w:r>
          </w:p>
        </w:tc>
        <w:tc>
          <w:tcPr>
            <w:tcW w:w="687" w:type="pct"/>
            <w:vAlign w:val="center"/>
          </w:tcPr>
          <w:p w14:paraId="729748F8" w14:textId="77777777" w:rsidR="007D1E74" w:rsidRDefault="00A95641">
            <w:pPr>
              <w:jc w:val="center"/>
              <w:rPr>
                <w:szCs w:val="21"/>
              </w:rPr>
            </w:pPr>
            <w:r>
              <w:rPr>
                <w:szCs w:val="21"/>
              </w:rPr>
              <w:t>管道</w:t>
            </w:r>
          </w:p>
        </w:tc>
        <w:tc>
          <w:tcPr>
            <w:tcW w:w="579" w:type="pct"/>
            <w:vAlign w:val="center"/>
          </w:tcPr>
          <w:p w14:paraId="30D74748" w14:textId="77777777" w:rsidR="007D1E74" w:rsidRDefault="00A95641">
            <w:pPr>
              <w:jc w:val="center"/>
              <w:rPr>
                <w:szCs w:val="21"/>
              </w:rPr>
            </w:pPr>
            <w:r>
              <w:rPr>
                <w:rFonts w:hint="eastAsia"/>
                <w:szCs w:val="21"/>
              </w:rPr>
              <w:t>易燃</w:t>
            </w:r>
          </w:p>
        </w:tc>
      </w:tr>
    </w:tbl>
    <w:p w14:paraId="36EB789E" w14:textId="77777777" w:rsidR="007D1E74" w:rsidRDefault="00A95641">
      <w:pPr>
        <w:spacing w:line="360" w:lineRule="auto"/>
        <w:ind w:firstLineChars="200" w:firstLine="480"/>
        <w:rPr>
          <w:sz w:val="24"/>
          <w:szCs w:val="24"/>
        </w:rPr>
      </w:pPr>
      <w:r>
        <w:rPr>
          <w:rFonts w:hint="eastAsia"/>
          <w:sz w:val="24"/>
          <w:szCs w:val="24"/>
        </w:rPr>
        <w:t>项目生产过程中所涉及的危险物质理化特性见下表。</w:t>
      </w:r>
    </w:p>
    <w:p w14:paraId="027F2948" w14:textId="77777777" w:rsidR="007D1E74" w:rsidRDefault="00A95641">
      <w:pPr>
        <w:pStyle w:val="afffffe"/>
        <w:numPr>
          <w:ilvl w:val="0"/>
          <w:numId w:val="48"/>
        </w:numPr>
        <w:spacing w:line="360" w:lineRule="auto"/>
        <w:ind w:firstLineChars="0"/>
        <w:jc w:val="center"/>
        <w:rPr>
          <w:rFonts w:eastAsia="黑体" w:cs="Times New Roman"/>
          <w:szCs w:val="21"/>
        </w:rPr>
      </w:pPr>
      <w:r>
        <w:rPr>
          <w:rFonts w:eastAsia="黑体" w:cs="Times New Roman" w:hint="eastAsia"/>
          <w:szCs w:val="21"/>
        </w:rPr>
        <w:t>天然气理化特性表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7"/>
        <w:gridCol w:w="4678"/>
        <w:gridCol w:w="3111"/>
      </w:tblGrid>
      <w:tr w:rsidR="007D1E74" w14:paraId="09718E3F" w14:textId="77777777">
        <w:trPr>
          <w:tblHeader/>
          <w:jc w:val="center"/>
        </w:trPr>
        <w:tc>
          <w:tcPr>
            <w:tcW w:w="681" w:type="pct"/>
            <w:vAlign w:val="center"/>
          </w:tcPr>
          <w:p w14:paraId="635F6780" w14:textId="77777777" w:rsidR="007D1E74" w:rsidRDefault="00A95641">
            <w:pPr>
              <w:jc w:val="center"/>
              <w:rPr>
                <w:szCs w:val="21"/>
              </w:rPr>
            </w:pPr>
            <w:r>
              <w:rPr>
                <w:szCs w:val="21"/>
              </w:rPr>
              <w:t>物质名称</w:t>
            </w:r>
          </w:p>
        </w:tc>
        <w:tc>
          <w:tcPr>
            <w:tcW w:w="2594" w:type="pct"/>
            <w:vAlign w:val="center"/>
          </w:tcPr>
          <w:p w14:paraId="5E128A1E" w14:textId="77777777" w:rsidR="007D1E74" w:rsidRDefault="00A95641">
            <w:pPr>
              <w:jc w:val="center"/>
              <w:rPr>
                <w:szCs w:val="21"/>
              </w:rPr>
            </w:pPr>
            <w:r>
              <w:rPr>
                <w:szCs w:val="21"/>
              </w:rPr>
              <w:t>理化性质</w:t>
            </w:r>
          </w:p>
        </w:tc>
        <w:tc>
          <w:tcPr>
            <w:tcW w:w="1725" w:type="pct"/>
            <w:vAlign w:val="center"/>
          </w:tcPr>
          <w:p w14:paraId="084991F8" w14:textId="77777777" w:rsidR="007D1E74" w:rsidRDefault="00A95641">
            <w:pPr>
              <w:jc w:val="center"/>
              <w:rPr>
                <w:szCs w:val="21"/>
              </w:rPr>
            </w:pPr>
            <w:r>
              <w:rPr>
                <w:szCs w:val="21"/>
              </w:rPr>
              <w:t>危险特性</w:t>
            </w:r>
          </w:p>
        </w:tc>
      </w:tr>
      <w:tr w:rsidR="007D1E74" w14:paraId="14D0670D" w14:textId="77777777">
        <w:trPr>
          <w:trHeight w:val="70"/>
          <w:jc w:val="center"/>
        </w:trPr>
        <w:tc>
          <w:tcPr>
            <w:tcW w:w="681" w:type="pct"/>
            <w:vAlign w:val="center"/>
          </w:tcPr>
          <w:p w14:paraId="646AAE5F" w14:textId="77777777" w:rsidR="007D1E74" w:rsidRDefault="00A95641">
            <w:pPr>
              <w:jc w:val="center"/>
              <w:rPr>
                <w:rFonts w:cstheme="minorHAnsi"/>
                <w:szCs w:val="21"/>
              </w:rPr>
            </w:pPr>
            <w:r>
              <w:rPr>
                <w:rFonts w:hint="eastAsia"/>
                <w:szCs w:val="21"/>
              </w:rPr>
              <w:t>天然气</w:t>
            </w:r>
          </w:p>
        </w:tc>
        <w:tc>
          <w:tcPr>
            <w:tcW w:w="2594" w:type="pct"/>
            <w:vAlign w:val="center"/>
          </w:tcPr>
          <w:p w14:paraId="6BB06826" w14:textId="77777777" w:rsidR="007D1E74" w:rsidRDefault="00A95641">
            <w:pPr>
              <w:rPr>
                <w:szCs w:val="21"/>
              </w:rPr>
            </w:pPr>
            <w:r>
              <w:rPr>
                <w:rFonts w:hint="eastAsia"/>
                <w:szCs w:val="21"/>
              </w:rPr>
              <w:t>指天然蕴藏于地层中的烃类和非烃类气体的混合物，为无色无味气体，主要由甲烷和少量乙烷、丙烷等组成，熔点</w:t>
            </w:r>
            <w:r>
              <w:rPr>
                <w:rFonts w:hint="eastAsia"/>
                <w:szCs w:val="21"/>
              </w:rPr>
              <w:t>-</w:t>
            </w:r>
            <w:r>
              <w:rPr>
                <w:szCs w:val="21"/>
              </w:rPr>
              <w:t>182℃</w:t>
            </w:r>
            <w:r>
              <w:rPr>
                <w:szCs w:val="21"/>
              </w:rPr>
              <w:t>，沸点</w:t>
            </w:r>
            <w:r>
              <w:rPr>
                <w:rFonts w:hint="eastAsia"/>
                <w:szCs w:val="21"/>
              </w:rPr>
              <w:t>-</w:t>
            </w:r>
            <w:r>
              <w:rPr>
                <w:szCs w:val="21"/>
              </w:rPr>
              <w:t>162℃</w:t>
            </w:r>
            <w:r>
              <w:rPr>
                <w:szCs w:val="21"/>
              </w:rPr>
              <w:t>，相对密度</w:t>
            </w:r>
            <w:r>
              <w:rPr>
                <w:szCs w:val="21"/>
              </w:rPr>
              <w:t>0.72mg/L</w:t>
            </w:r>
            <w:r>
              <w:rPr>
                <w:szCs w:val="21"/>
              </w:rPr>
              <w:t>，</w:t>
            </w:r>
            <w:r>
              <w:rPr>
                <w:rFonts w:hint="eastAsia"/>
                <w:szCs w:val="21"/>
              </w:rPr>
              <w:t>不溶于水。</w:t>
            </w:r>
          </w:p>
        </w:tc>
        <w:tc>
          <w:tcPr>
            <w:tcW w:w="1725" w:type="pct"/>
            <w:vAlign w:val="center"/>
          </w:tcPr>
          <w:p w14:paraId="69985A63" w14:textId="77777777" w:rsidR="007D1E74" w:rsidRDefault="00A95641">
            <w:pPr>
              <w:rPr>
                <w:szCs w:val="21"/>
              </w:rPr>
            </w:pPr>
            <w:r>
              <w:rPr>
                <w:rFonts w:hint="eastAsia"/>
                <w:szCs w:val="21"/>
              </w:rPr>
              <w:t>极端易燃，有爆炸危险。高压压缩气体，遇热有爆炸危险。天然气在空气中含量达到一定程度后会使人窒息。</w:t>
            </w:r>
          </w:p>
        </w:tc>
      </w:tr>
    </w:tbl>
    <w:p w14:paraId="1A0E2475" w14:textId="77777777" w:rsidR="007D1E74" w:rsidRDefault="00A95641">
      <w:pPr>
        <w:pStyle w:val="a9"/>
      </w:pPr>
      <w:r>
        <w:rPr>
          <w:rFonts w:hint="eastAsia"/>
        </w:rPr>
        <w:t>生产系统危险性识别</w:t>
      </w:r>
    </w:p>
    <w:p w14:paraId="2B9961F7" w14:textId="77777777" w:rsidR="007D1E74" w:rsidRDefault="00A95641">
      <w:pPr>
        <w:spacing w:line="360" w:lineRule="auto"/>
        <w:ind w:firstLineChars="200" w:firstLine="480"/>
        <w:rPr>
          <w:sz w:val="24"/>
          <w:szCs w:val="24"/>
        </w:rPr>
      </w:pPr>
      <w:r>
        <w:rPr>
          <w:rFonts w:hint="eastAsia"/>
          <w:sz w:val="24"/>
          <w:szCs w:val="24"/>
        </w:rPr>
        <w:t>根据项目工程分析，项目涉及的生产设施主要是阀组、集输管道，其中：集输管道涉及的危险性物料输送量大，对管道的承压、密封和耐腐蚀要求较高，存在因管道破裂发生气体泄漏或爆炸的风险。</w:t>
      </w:r>
    </w:p>
    <w:p w14:paraId="365002D1" w14:textId="77777777" w:rsidR="007D1E74" w:rsidRDefault="00A95641">
      <w:pPr>
        <w:pStyle w:val="aa"/>
      </w:pPr>
      <w:r>
        <w:rPr>
          <w:rFonts w:hint="eastAsia"/>
        </w:rPr>
        <w:t>集输管道危险性识别</w:t>
      </w:r>
    </w:p>
    <w:p w14:paraId="3688EDB5" w14:textId="77777777" w:rsidR="007D1E74" w:rsidRDefault="00A95641">
      <w:pPr>
        <w:spacing w:line="360" w:lineRule="auto"/>
        <w:ind w:firstLineChars="200" w:firstLine="480"/>
        <w:rPr>
          <w:sz w:val="24"/>
          <w:szCs w:val="24"/>
        </w:rPr>
      </w:pPr>
      <w:r>
        <w:rPr>
          <w:rFonts w:hint="eastAsia"/>
          <w:sz w:val="24"/>
          <w:szCs w:val="24"/>
        </w:rPr>
        <w:t>项目集输管道输送介质具有易燃、易爆危险性，输气管道涉及的危险性物料输送量大，对管道的承压、密封和耐腐蚀要求较高，存在因管道破裂发生物料泄漏的可能。在设计、施工、运行管理过程中，可能存在设计不合理、施工质量问题、腐蚀、疲劳等因素，造成管线、设备及连接部位破损引起泄漏事故。其风险因素主要包括。</w:t>
      </w:r>
    </w:p>
    <w:p w14:paraId="3E14142B" w14:textId="77777777" w:rsidR="007D1E74" w:rsidRDefault="00A95641">
      <w:pPr>
        <w:pStyle w:val="afffff7"/>
        <w:ind w:firstLine="482"/>
      </w:pPr>
      <w:r>
        <w:t>1</w:t>
      </w:r>
      <w:r>
        <w:t>、设计</w:t>
      </w:r>
      <w:r>
        <w:rPr>
          <w:rFonts w:hint="eastAsia"/>
        </w:rPr>
        <w:t>缺陷</w:t>
      </w:r>
    </w:p>
    <w:p w14:paraId="2356802D" w14:textId="77777777" w:rsidR="007D1E74" w:rsidRDefault="00A95641">
      <w:pPr>
        <w:spacing w:line="360" w:lineRule="auto"/>
        <w:ind w:firstLineChars="200" w:firstLine="482"/>
        <w:rPr>
          <w:b/>
          <w:sz w:val="24"/>
          <w:szCs w:val="24"/>
        </w:rPr>
      </w:pPr>
      <w:r>
        <w:rPr>
          <w:rFonts w:hint="eastAsia"/>
          <w:b/>
          <w:sz w:val="24"/>
          <w:szCs w:val="24"/>
        </w:rPr>
        <w:lastRenderedPageBreak/>
        <w:t>（</w:t>
      </w:r>
      <w:r>
        <w:rPr>
          <w:rFonts w:hint="eastAsia"/>
          <w:b/>
          <w:sz w:val="24"/>
          <w:szCs w:val="24"/>
        </w:rPr>
        <w:t>1</w:t>
      </w:r>
      <w:r>
        <w:rPr>
          <w:rFonts w:hint="eastAsia"/>
          <w:b/>
          <w:sz w:val="24"/>
          <w:szCs w:val="24"/>
        </w:rPr>
        <w:t>）材料选材、设备选型不合理</w:t>
      </w:r>
    </w:p>
    <w:p w14:paraId="48800DEC" w14:textId="77777777" w:rsidR="007D1E74" w:rsidRDefault="00A95641">
      <w:pPr>
        <w:spacing w:line="360" w:lineRule="auto"/>
        <w:ind w:firstLineChars="200" w:firstLine="480"/>
        <w:rPr>
          <w:sz w:val="24"/>
          <w:szCs w:val="24"/>
        </w:rPr>
      </w:pPr>
      <w:r>
        <w:rPr>
          <w:rFonts w:hint="eastAsia"/>
          <w:sz w:val="24"/>
          <w:szCs w:val="24"/>
        </w:rPr>
        <w:t>在确定管道、管件、法兰、阀门、机械设备、仪器仪表材料时，未充分考虑材料的强度，若管道的选材不能满足强度要求，管道存在应力开裂危险。</w:t>
      </w:r>
    </w:p>
    <w:p w14:paraId="73A2ECD3" w14:textId="77777777" w:rsidR="007D1E74" w:rsidRDefault="00A95641">
      <w:pPr>
        <w:spacing w:line="360" w:lineRule="auto"/>
        <w:ind w:firstLineChars="200" w:firstLine="482"/>
        <w:rPr>
          <w:b/>
          <w:sz w:val="24"/>
          <w:szCs w:val="24"/>
        </w:rPr>
      </w:pPr>
      <w:r>
        <w:rPr>
          <w:rFonts w:hint="eastAsia"/>
          <w:b/>
          <w:sz w:val="24"/>
          <w:szCs w:val="24"/>
        </w:rPr>
        <w:t>（</w:t>
      </w:r>
      <w:r>
        <w:rPr>
          <w:b/>
          <w:sz w:val="24"/>
          <w:szCs w:val="24"/>
        </w:rPr>
        <w:t>2</w:t>
      </w:r>
      <w:r>
        <w:rPr>
          <w:rFonts w:hint="eastAsia"/>
          <w:b/>
          <w:sz w:val="24"/>
          <w:szCs w:val="24"/>
        </w:rPr>
        <w:t>）管线布置、柔性考虑不周</w:t>
      </w:r>
    </w:p>
    <w:p w14:paraId="4C644F8A" w14:textId="77777777" w:rsidR="007D1E74" w:rsidRDefault="00A95641">
      <w:pPr>
        <w:spacing w:line="360" w:lineRule="auto"/>
        <w:ind w:firstLineChars="200" w:firstLine="480"/>
        <w:rPr>
          <w:sz w:val="24"/>
          <w:szCs w:val="24"/>
        </w:rPr>
      </w:pPr>
      <w:r>
        <w:rPr>
          <w:rFonts w:hint="eastAsia"/>
          <w:sz w:val="24"/>
          <w:szCs w:val="24"/>
        </w:rPr>
        <w:t>管线布置不合理，造成因热胀冷缩产生变形破坏或振动；埋地管道弯头的设置、弹性敷设、埋设地质影响、温差变化等，对运行管道产生管道位移具有重要影响，柔性分析中如果未充分考虑或考虑不全面，将会引起管道弯曲、拱起甚土断裂。管内介质不稳定流动和穿越公路处地基振动产生的管道振动也可能导致管道位移。</w:t>
      </w:r>
    </w:p>
    <w:p w14:paraId="3F4C48C2" w14:textId="77777777" w:rsidR="007D1E74" w:rsidRDefault="00A95641">
      <w:pPr>
        <w:spacing w:line="360" w:lineRule="auto"/>
        <w:ind w:firstLineChars="200" w:firstLine="482"/>
        <w:rPr>
          <w:b/>
          <w:sz w:val="24"/>
          <w:szCs w:val="24"/>
        </w:rPr>
      </w:pPr>
      <w:r>
        <w:rPr>
          <w:rFonts w:hint="eastAsia"/>
          <w:b/>
          <w:sz w:val="24"/>
          <w:szCs w:val="24"/>
        </w:rPr>
        <w:t>（</w:t>
      </w:r>
      <w:r>
        <w:rPr>
          <w:b/>
          <w:sz w:val="24"/>
          <w:szCs w:val="24"/>
        </w:rPr>
        <w:t>3</w:t>
      </w:r>
      <w:r>
        <w:rPr>
          <w:rFonts w:hint="eastAsia"/>
          <w:b/>
          <w:sz w:val="24"/>
          <w:szCs w:val="24"/>
        </w:rPr>
        <w:t>）结构设计不合理</w:t>
      </w:r>
    </w:p>
    <w:p w14:paraId="6C901C55" w14:textId="77777777" w:rsidR="007D1E74" w:rsidRDefault="00A95641">
      <w:pPr>
        <w:spacing w:line="360" w:lineRule="auto"/>
        <w:ind w:firstLineChars="200" w:firstLine="480"/>
        <w:rPr>
          <w:sz w:val="24"/>
          <w:szCs w:val="24"/>
        </w:rPr>
      </w:pPr>
      <w:r>
        <w:rPr>
          <w:rFonts w:hint="eastAsia"/>
          <w:sz w:val="24"/>
          <w:szCs w:val="24"/>
        </w:rPr>
        <w:t>在管道结构设计中未充分考虑使用后定期检验或清管要求，造成管道投入使用后不能保证管道内检系统或清管球的通过，而不能定期检验或清污；或者管道、压力设备结构设计不合理，难以满足工艺操作要求甚至带来重大安全事故。</w:t>
      </w:r>
    </w:p>
    <w:p w14:paraId="6F9BCB42" w14:textId="77777777" w:rsidR="007D1E74" w:rsidRDefault="00A95641">
      <w:pPr>
        <w:spacing w:line="360" w:lineRule="auto"/>
        <w:ind w:firstLineChars="200" w:firstLine="482"/>
        <w:rPr>
          <w:b/>
          <w:sz w:val="24"/>
          <w:szCs w:val="24"/>
        </w:rPr>
      </w:pPr>
      <w:r>
        <w:rPr>
          <w:rFonts w:hint="eastAsia"/>
          <w:b/>
          <w:sz w:val="24"/>
          <w:szCs w:val="24"/>
        </w:rPr>
        <w:t>（</w:t>
      </w:r>
      <w:r>
        <w:rPr>
          <w:b/>
          <w:sz w:val="24"/>
          <w:szCs w:val="24"/>
        </w:rPr>
        <w:t>4</w:t>
      </w:r>
      <w:r>
        <w:rPr>
          <w:rFonts w:hint="eastAsia"/>
          <w:b/>
          <w:sz w:val="24"/>
          <w:szCs w:val="24"/>
        </w:rPr>
        <w:t>）防雷、防静电设计缺陷</w:t>
      </w:r>
    </w:p>
    <w:p w14:paraId="46D18FD9" w14:textId="77777777" w:rsidR="007D1E74" w:rsidRDefault="00A95641">
      <w:pPr>
        <w:spacing w:line="360" w:lineRule="auto"/>
        <w:ind w:firstLineChars="200" w:firstLine="480"/>
        <w:rPr>
          <w:sz w:val="24"/>
          <w:szCs w:val="24"/>
        </w:rPr>
      </w:pPr>
      <w:r>
        <w:rPr>
          <w:rFonts w:hint="eastAsia"/>
          <w:sz w:val="24"/>
          <w:szCs w:val="24"/>
        </w:rPr>
        <w:t>管道工程如果防雷、防静电设计不合理、设计结构、安装位置等不符合法规、标准要求，会为工程投产后带来很大的安全隐患。</w:t>
      </w:r>
    </w:p>
    <w:p w14:paraId="70884ED2" w14:textId="77777777" w:rsidR="007D1E74" w:rsidRDefault="00A95641">
      <w:pPr>
        <w:pStyle w:val="afffff7"/>
        <w:ind w:firstLine="482"/>
      </w:pPr>
      <w:r>
        <w:t>2</w:t>
      </w:r>
      <w:r>
        <w:t>、</w:t>
      </w:r>
      <w:r>
        <w:rPr>
          <w:rFonts w:hint="eastAsia"/>
        </w:rPr>
        <w:t>施工</w:t>
      </w:r>
      <w:r>
        <w:t>质量及材料缺陷</w:t>
      </w:r>
    </w:p>
    <w:p w14:paraId="3844CA12" w14:textId="77777777" w:rsidR="007D1E74" w:rsidRDefault="00A95641">
      <w:pPr>
        <w:spacing w:line="360" w:lineRule="auto"/>
        <w:ind w:firstLineChars="200" w:firstLine="482"/>
        <w:rPr>
          <w:b/>
          <w:sz w:val="24"/>
          <w:szCs w:val="24"/>
        </w:rPr>
      </w:pPr>
      <w:r>
        <w:rPr>
          <w:rFonts w:hint="eastAsia"/>
          <w:b/>
          <w:sz w:val="24"/>
          <w:szCs w:val="24"/>
        </w:rPr>
        <w:t>（</w:t>
      </w:r>
      <w:r>
        <w:rPr>
          <w:rFonts w:hint="eastAsia"/>
          <w:b/>
          <w:sz w:val="24"/>
          <w:szCs w:val="24"/>
        </w:rPr>
        <w:t>1</w:t>
      </w:r>
      <w:r>
        <w:rPr>
          <w:rFonts w:hint="eastAsia"/>
          <w:b/>
          <w:sz w:val="24"/>
          <w:szCs w:val="24"/>
        </w:rPr>
        <w:t>）施工质量</w:t>
      </w:r>
    </w:p>
    <w:p w14:paraId="4208F113" w14:textId="77777777" w:rsidR="007D1E74" w:rsidRDefault="00A95641">
      <w:pPr>
        <w:spacing w:line="360" w:lineRule="auto"/>
        <w:ind w:firstLineChars="200" w:firstLine="480"/>
        <w:rPr>
          <w:sz w:val="24"/>
          <w:szCs w:val="24"/>
        </w:rPr>
      </w:pPr>
      <w:r>
        <w:rPr>
          <w:rFonts w:hint="eastAsia"/>
          <w:sz w:val="24"/>
          <w:szCs w:val="24"/>
        </w:rPr>
        <w:t>集输管道敷设施工作业由测量、放线、作业带清理、挖沟、运管、布管、组装、焊接、探伤、补口补伤、下沟、测量检查、回填覆土、通球、分段试压、碰死口、整体试压等环节组成。尽管每个环节都有严格的作业标准，但如果稍有疏忽，哪怕是其中的一个非主要环节存在施工质量问题，都会给整个输气管道带来安全隐患。尤其是管道对接焊缝质量。我国管口焊接质量水平低，电弧烧穿、气孔、夹渣和未焊透发生率高，是引发事故的又一重要因素。</w:t>
      </w:r>
    </w:p>
    <w:p w14:paraId="6C154C41" w14:textId="77777777" w:rsidR="007D1E74" w:rsidRDefault="00A95641">
      <w:pPr>
        <w:spacing w:line="360" w:lineRule="auto"/>
        <w:ind w:firstLineChars="200" w:firstLine="480"/>
        <w:rPr>
          <w:sz w:val="24"/>
          <w:szCs w:val="24"/>
        </w:rPr>
      </w:pPr>
      <w:r>
        <w:rPr>
          <w:rFonts w:hint="eastAsia"/>
          <w:sz w:val="24"/>
          <w:szCs w:val="24"/>
        </w:rPr>
        <w:t>施工不良还表现在以下方面：管道除锈、去污、防腐和现场补口等工序未按施工要求去做；现场涂敷作业管理不严，使防腐层与管体粘结不良，管子下沟动作粗鲁以及回填作业草率，使泥土、岩石冲击防腐层，造成防腐层破坏；阴极保护没有与管道埋地同时进行；还有管子搬运时大手大脚，不仔细，管子产生疲劳裂纹。</w:t>
      </w:r>
    </w:p>
    <w:p w14:paraId="081B381A" w14:textId="77777777" w:rsidR="007D1E74" w:rsidRDefault="00A95641">
      <w:pPr>
        <w:spacing w:line="360" w:lineRule="auto"/>
        <w:ind w:firstLineChars="200" w:firstLine="482"/>
        <w:rPr>
          <w:b/>
          <w:sz w:val="24"/>
          <w:szCs w:val="24"/>
        </w:rPr>
      </w:pPr>
      <w:r>
        <w:rPr>
          <w:rFonts w:hint="eastAsia"/>
          <w:b/>
          <w:sz w:val="24"/>
          <w:szCs w:val="24"/>
        </w:rPr>
        <w:t>（</w:t>
      </w:r>
      <w:r>
        <w:rPr>
          <w:b/>
          <w:sz w:val="24"/>
          <w:szCs w:val="24"/>
        </w:rPr>
        <w:t>2</w:t>
      </w:r>
      <w:r>
        <w:rPr>
          <w:rFonts w:hint="eastAsia"/>
          <w:b/>
          <w:sz w:val="24"/>
          <w:szCs w:val="24"/>
        </w:rPr>
        <w:t>）材料缺陷</w:t>
      </w:r>
    </w:p>
    <w:p w14:paraId="1743F2DF" w14:textId="77777777" w:rsidR="007D1E74" w:rsidRDefault="00A95641">
      <w:pPr>
        <w:spacing w:line="360" w:lineRule="auto"/>
        <w:ind w:firstLineChars="200" w:firstLine="480"/>
        <w:rPr>
          <w:sz w:val="24"/>
          <w:szCs w:val="24"/>
        </w:rPr>
      </w:pPr>
      <w:r>
        <w:rPr>
          <w:rFonts w:hint="eastAsia"/>
          <w:sz w:val="24"/>
          <w:szCs w:val="24"/>
        </w:rPr>
        <w:t>材料缺陷最主要的就是管材，管材本身质量差多是因为金属材质及制造工艺的缺陷</w:t>
      </w:r>
      <w:r>
        <w:rPr>
          <w:rFonts w:hint="eastAsia"/>
          <w:sz w:val="24"/>
          <w:szCs w:val="24"/>
        </w:rPr>
        <w:lastRenderedPageBreak/>
        <w:t>引起，其中管材卷边、分层、制管焊缝缺陷、管段热处理等工艺均可影响到管材质量；管道焊接缺陷主要表现在焊接边缘错位、未焊透与未熔合、夹渣、气孔和裂纹等，这些缺陷大多数是由于焊工责任心不强、工作不认真以及违反焊接工艺规程所造成的。</w:t>
      </w:r>
    </w:p>
    <w:p w14:paraId="24C91C0C" w14:textId="77777777" w:rsidR="007D1E74" w:rsidRDefault="00A95641">
      <w:pPr>
        <w:spacing w:line="360" w:lineRule="auto"/>
        <w:ind w:firstLineChars="200" w:firstLine="480"/>
        <w:rPr>
          <w:sz w:val="24"/>
          <w:szCs w:val="24"/>
        </w:rPr>
      </w:pPr>
      <w:r>
        <w:rPr>
          <w:rFonts w:hint="eastAsia"/>
          <w:sz w:val="24"/>
          <w:szCs w:val="24"/>
        </w:rPr>
        <w:t>制管质量事故多出现于有缝钢管（多见于螺旋缝钢管）。我国由于生产螺旋缝钢管的生产历史较长，输送天然气几乎全部采用螺旋缝钢管。螺旋焊钢管有其自身的优点，但它的焊缝长度具有应力集中现象，因而焊缝缺陷引发的事故比直缝钢管概率高。</w:t>
      </w:r>
    </w:p>
    <w:p w14:paraId="5245B354" w14:textId="77777777" w:rsidR="007D1E74" w:rsidRDefault="00A95641">
      <w:pPr>
        <w:pStyle w:val="afffff7"/>
        <w:ind w:firstLine="482"/>
      </w:pPr>
      <w:r>
        <w:t>3</w:t>
      </w:r>
      <w:r>
        <w:t>、</w:t>
      </w:r>
      <w:r>
        <w:rPr>
          <w:rFonts w:hint="eastAsia"/>
        </w:rPr>
        <w:t>腐蚀、磨蚀</w:t>
      </w:r>
    </w:p>
    <w:p w14:paraId="56FD757B" w14:textId="77777777" w:rsidR="007D1E74" w:rsidRDefault="00A95641">
      <w:pPr>
        <w:spacing w:line="360" w:lineRule="auto"/>
        <w:ind w:firstLineChars="200" w:firstLine="480"/>
        <w:rPr>
          <w:sz w:val="24"/>
          <w:szCs w:val="24"/>
        </w:rPr>
      </w:pPr>
      <w:r>
        <w:rPr>
          <w:rFonts w:hint="eastAsia"/>
          <w:sz w:val="24"/>
          <w:szCs w:val="24"/>
        </w:rPr>
        <w:t>本项目集输管道沿线地下水、土对钢筋腐蚀性呈弱</w:t>
      </w:r>
      <w:r>
        <w:rPr>
          <w:rFonts w:hint="eastAsia"/>
          <w:sz w:val="24"/>
          <w:szCs w:val="24"/>
        </w:rPr>
        <w:t>~</w:t>
      </w:r>
      <w:r>
        <w:rPr>
          <w:rFonts w:hint="eastAsia"/>
          <w:sz w:val="24"/>
          <w:szCs w:val="24"/>
        </w:rPr>
        <w:t>中腐蚀性。腐蚀既有可能大面积减薄管的壁厚，导致过度变形或爆破，也有可能导致管道穿孔，引发漏气事故。另外，如果管道的阴极保护系统故障或受到人为破坏，使被保护管段短时失去保护，也可能导致管线腐蚀。在管输工艺过程中，若天然气中所含尘粒等固体杂质未被有效分离清除，同时管输天然气的流速较高，会冲击、磨蚀管道或设备材料表面，在管线转弯处尤为严重，从而可能导致局部减薄、刺漏。</w:t>
      </w:r>
    </w:p>
    <w:p w14:paraId="5490D2F6" w14:textId="77777777" w:rsidR="007D1E74" w:rsidRDefault="00A95641">
      <w:pPr>
        <w:pStyle w:val="afffff7"/>
        <w:ind w:firstLine="482"/>
      </w:pPr>
      <w:r>
        <w:t>4</w:t>
      </w:r>
      <w:r>
        <w:t>、</w:t>
      </w:r>
      <w:r>
        <w:rPr>
          <w:rFonts w:hint="eastAsia"/>
        </w:rPr>
        <w:t>疲劳失效</w:t>
      </w:r>
    </w:p>
    <w:p w14:paraId="52FA1B0E" w14:textId="77777777" w:rsidR="007D1E74" w:rsidRDefault="00A95641">
      <w:pPr>
        <w:spacing w:line="360" w:lineRule="auto"/>
        <w:ind w:firstLineChars="200" w:firstLine="480"/>
        <w:rPr>
          <w:sz w:val="24"/>
          <w:szCs w:val="24"/>
        </w:rPr>
      </w:pPr>
      <w:r>
        <w:rPr>
          <w:rFonts w:hint="eastAsia"/>
          <w:sz w:val="24"/>
          <w:szCs w:val="24"/>
        </w:rPr>
        <w:t>管道、设备等设施在交变应力作用下发生的破坏现象称为疲劳破坏。所谓交变应力即为因载荷作用而产生随时间周期或无规则变化的应力。交变应力引起的破坏与静应力引起的破坏现象截然不同，即使在交变应力低于材料屈服极限的情况下，经过长时间反复作用，也会发生突然破坏。管道经常开停车或变负荷，系统流动不稳定，穿越公路处地基振动产生管道振动等均会产生交变应力。而管道、设备等设施在制造过程中，不可避免的存在开孔或支管连接、焊缝缺陷，这些几何不连续造成应力集中，由于交变应力的作用将在这些部位产生疲劳裂纹，疲劳裂纹逐渐扩展贯穿整个壁厚后，会导致天然气泄漏或火灾、爆炸事故。</w:t>
      </w:r>
    </w:p>
    <w:p w14:paraId="5FECD34F" w14:textId="77777777" w:rsidR="007D1E74" w:rsidRDefault="00A95641">
      <w:pPr>
        <w:pStyle w:val="afffff7"/>
        <w:ind w:firstLine="482"/>
      </w:pPr>
      <w:r>
        <w:t>5</w:t>
      </w:r>
      <w:r>
        <w:t>、</w:t>
      </w:r>
      <w:r>
        <w:rPr>
          <w:rFonts w:hint="eastAsia"/>
        </w:rPr>
        <w:t>第三方破坏</w:t>
      </w:r>
    </w:p>
    <w:p w14:paraId="1B7354C5" w14:textId="77777777" w:rsidR="007D1E74" w:rsidRDefault="00A95641">
      <w:pPr>
        <w:spacing w:line="360" w:lineRule="auto"/>
        <w:ind w:firstLineChars="200" w:firstLine="480"/>
        <w:rPr>
          <w:sz w:val="24"/>
          <w:szCs w:val="24"/>
        </w:rPr>
      </w:pPr>
      <w:r>
        <w:rPr>
          <w:rFonts w:hint="eastAsia"/>
          <w:sz w:val="24"/>
          <w:szCs w:val="24"/>
        </w:rPr>
        <w:t>第三方破坏指人为偷盗造成的管道损伤以及管道沿线修筑道路、建筑施工、农民耕地等活动引起的管道损伤等。目前，我国颁发了《中华人民共和国石油天然气管道保护法》，这对确保石油天然气管道安全起到了积极作用，是打击和扼制第三方破坏的有效依据。</w:t>
      </w:r>
    </w:p>
    <w:p w14:paraId="3287BF97" w14:textId="77777777" w:rsidR="007D1E74" w:rsidRDefault="00A95641">
      <w:pPr>
        <w:pStyle w:val="aa"/>
      </w:pPr>
      <w:r>
        <w:rPr>
          <w:rFonts w:hint="eastAsia"/>
        </w:rPr>
        <w:t>阀室</w:t>
      </w:r>
      <w:r>
        <w:t>（组）</w:t>
      </w:r>
      <w:r>
        <w:rPr>
          <w:rFonts w:hint="eastAsia"/>
        </w:rPr>
        <w:t>危险性识别</w:t>
      </w:r>
    </w:p>
    <w:p w14:paraId="1CCDDC46" w14:textId="77777777" w:rsidR="007D1E74" w:rsidRDefault="00A95641">
      <w:pPr>
        <w:spacing w:line="360" w:lineRule="auto"/>
        <w:ind w:firstLineChars="200" w:firstLine="480"/>
        <w:rPr>
          <w:sz w:val="24"/>
          <w:szCs w:val="24"/>
        </w:rPr>
      </w:pPr>
      <w:r>
        <w:rPr>
          <w:rFonts w:hint="eastAsia"/>
          <w:sz w:val="24"/>
          <w:szCs w:val="24"/>
        </w:rPr>
        <w:t>本项目设置</w:t>
      </w:r>
      <w:r>
        <w:rPr>
          <w:rFonts w:hint="eastAsia"/>
          <w:sz w:val="24"/>
          <w:szCs w:val="24"/>
        </w:rPr>
        <w:t>1</w:t>
      </w:r>
      <w:r>
        <w:rPr>
          <w:rFonts w:hint="eastAsia"/>
          <w:sz w:val="24"/>
          <w:szCs w:val="24"/>
        </w:rPr>
        <w:t>座阀室、</w:t>
      </w:r>
      <w:r>
        <w:rPr>
          <w:sz w:val="24"/>
          <w:szCs w:val="24"/>
        </w:rPr>
        <w:t>2</w:t>
      </w:r>
      <w:r>
        <w:rPr>
          <w:rFonts w:hint="eastAsia"/>
          <w:sz w:val="24"/>
          <w:szCs w:val="24"/>
        </w:rPr>
        <w:t>座插输阀组、</w:t>
      </w:r>
      <w:r>
        <w:rPr>
          <w:rFonts w:hint="eastAsia"/>
          <w:sz w:val="24"/>
          <w:szCs w:val="24"/>
        </w:rPr>
        <w:t>1</w:t>
      </w:r>
      <w:r>
        <w:rPr>
          <w:rFonts w:hint="eastAsia"/>
          <w:sz w:val="24"/>
          <w:szCs w:val="24"/>
        </w:rPr>
        <w:t>座清管阀组，主要设备包括重力分离器撬、</w:t>
      </w:r>
      <w:r>
        <w:rPr>
          <w:rFonts w:hint="eastAsia"/>
          <w:sz w:val="24"/>
          <w:szCs w:val="24"/>
        </w:rPr>
        <w:lastRenderedPageBreak/>
        <w:t>放空分液储存集成装置、清管设备等。阀室（组）主要危险表现为站内设备故障、设备和管道泄漏及公用工程故障等。</w:t>
      </w:r>
    </w:p>
    <w:p w14:paraId="208829CC" w14:textId="77777777" w:rsidR="007D1E74" w:rsidRDefault="00A95641">
      <w:pPr>
        <w:pStyle w:val="afffff7"/>
        <w:ind w:firstLine="482"/>
      </w:pPr>
      <w:r>
        <w:t>1</w:t>
      </w:r>
      <w:r>
        <w:t>、</w:t>
      </w:r>
      <w:r>
        <w:rPr>
          <w:rFonts w:hint="eastAsia"/>
        </w:rPr>
        <w:t>站内设备</w:t>
      </w:r>
    </w:p>
    <w:p w14:paraId="22B82BB6" w14:textId="77777777" w:rsidR="007D1E74" w:rsidRDefault="00A95641">
      <w:pPr>
        <w:spacing w:line="360" w:lineRule="auto"/>
        <w:ind w:firstLineChars="200" w:firstLine="480"/>
        <w:rPr>
          <w:sz w:val="24"/>
          <w:szCs w:val="24"/>
        </w:rPr>
      </w:pPr>
      <w:r>
        <w:rPr>
          <w:rFonts w:hint="eastAsia"/>
          <w:sz w:val="24"/>
          <w:szCs w:val="24"/>
        </w:rPr>
        <w:t>由于本项目的工艺操作压力较高，且有不均匀变化，因此存在着由于压力波动、疲劳等引发事故的可能；若设备选型不当，将直接关系到阀室安全运行。</w:t>
      </w:r>
    </w:p>
    <w:p w14:paraId="0E71AC3A" w14:textId="77777777" w:rsidR="007D1E74" w:rsidRDefault="00A95641">
      <w:pPr>
        <w:spacing w:line="360" w:lineRule="auto"/>
        <w:ind w:firstLineChars="200" w:firstLine="482"/>
        <w:rPr>
          <w:b/>
          <w:sz w:val="24"/>
          <w:szCs w:val="24"/>
        </w:rPr>
      </w:pPr>
      <w:r>
        <w:rPr>
          <w:rFonts w:hint="eastAsia"/>
          <w:b/>
          <w:sz w:val="24"/>
          <w:szCs w:val="24"/>
        </w:rPr>
        <w:t>（</w:t>
      </w:r>
      <w:r>
        <w:rPr>
          <w:rFonts w:hint="eastAsia"/>
          <w:b/>
          <w:sz w:val="24"/>
          <w:szCs w:val="24"/>
        </w:rPr>
        <w:t>1</w:t>
      </w:r>
      <w:r>
        <w:rPr>
          <w:rFonts w:hint="eastAsia"/>
          <w:b/>
          <w:sz w:val="24"/>
          <w:szCs w:val="24"/>
        </w:rPr>
        <w:t>）过滤分离设备</w:t>
      </w:r>
    </w:p>
    <w:p w14:paraId="39E8EF02" w14:textId="77777777" w:rsidR="007D1E74" w:rsidRDefault="00A95641">
      <w:pPr>
        <w:spacing w:line="360" w:lineRule="auto"/>
        <w:ind w:firstLineChars="200" w:firstLine="480"/>
        <w:rPr>
          <w:sz w:val="24"/>
          <w:szCs w:val="24"/>
        </w:rPr>
      </w:pPr>
      <w:r>
        <w:rPr>
          <w:rFonts w:hint="eastAsia"/>
          <w:sz w:val="24"/>
          <w:szCs w:val="24"/>
        </w:rPr>
        <w:t>项目阀室设有重力分离器，当分离器的滤芯堵塞时，如果差压变送计失灵，并且安全阀定压过高或发生故障不能及时泄放，就会造成憋压或泄漏事故。</w:t>
      </w:r>
    </w:p>
    <w:p w14:paraId="3825F392" w14:textId="77777777" w:rsidR="007D1E74" w:rsidRDefault="00A95641">
      <w:pPr>
        <w:spacing w:line="360" w:lineRule="auto"/>
        <w:ind w:firstLineChars="200" w:firstLine="482"/>
        <w:rPr>
          <w:b/>
          <w:sz w:val="24"/>
          <w:szCs w:val="24"/>
        </w:rPr>
      </w:pPr>
      <w:r>
        <w:rPr>
          <w:rFonts w:hint="eastAsia"/>
          <w:b/>
          <w:sz w:val="24"/>
          <w:szCs w:val="24"/>
        </w:rPr>
        <w:t>（</w:t>
      </w:r>
      <w:r>
        <w:rPr>
          <w:rFonts w:hint="eastAsia"/>
          <w:b/>
          <w:sz w:val="24"/>
          <w:szCs w:val="24"/>
        </w:rPr>
        <w:t>2</w:t>
      </w:r>
      <w:r>
        <w:rPr>
          <w:rFonts w:hint="eastAsia"/>
          <w:b/>
          <w:sz w:val="24"/>
          <w:szCs w:val="24"/>
        </w:rPr>
        <w:t>）放空系统</w:t>
      </w:r>
    </w:p>
    <w:p w14:paraId="22FE0BB2" w14:textId="77777777" w:rsidR="007D1E74" w:rsidRDefault="00A95641">
      <w:pPr>
        <w:spacing w:line="360" w:lineRule="auto"/>
        <w:ind w:firstLineChars="200" w:firstLine="480"/>
        <w:rPr>
          <w:sz w:val="24"/>
          <w:szCs w:val="24"/>
        </w:rPr>
      </w:pPr>
      <w:r>
        <w:rPr>
          <w:rFonts w:hint="eastAsia"/>
          <w:sz w:val="24"/>
          <w:szCs w:val="24"/>
        </w:rPr>
        <w:t>放空系统是天然气在管道事故状态下或者一些正常的工作状态下，对天然气进行放空的系统，如果其放空管出现故障，就要将管道中气体直排进大气，当这些气体与空气混合达到爆炸浓度极限时，存在爆炸危险。当管道运行压力超过设定值时，会有泄压排放，采用直接压力保护阀泄压方式，气体直接排入大气环境，也有发生爆炸的可能性。</w:t>
      </w:r>
    </w:p>
    <w:p w14:paraId="07137579" w14:textId="77777777" w:rsidR="007D1E74" w:rsidRDefault="00A95641">
      <w:pPr>
        <w:spacing w:line="360" w:lineRule="auto"/>
        <w:ind w:firstLineChars="200" w:firstLine="482"/>
        <w:rPr>
          <w:b/>
          <w:sz w:val="24"/>
          <w:szCs w:val="24"/>
        </w:rPr>
      </w:pPr>
      <w:r>
        <w:rPr>
          <w:rFonts w:hint="eastAsia"/>
          <w:b/>
          <w:sz w:val="24"/>
          <w:szCs w:val="24"/>
        </w:rPr>
        <w:t>（</w:t>
      </w:r>
      <w:r>
        <w:rPr>
          <w:b/>
          <w:sz w:val="24"/>
          <w:szCs w:val="24"/>
        </w:rPr>
        <w:t>3</w:t>
      </w:r>
      <w:r>
        <w:rPr>
          <w:b/>
          <w:sz w:val="24"/>
          <w:szCs w:val="24"/>
        </w:rPr>
        <w:t>）</w:t>
      </w:r>
      <w:r>
        <w:rPr>
          <w:rFonts w:hint="eastAsia"/>
          <w:b/>
          <w:sz w:val="24"/>
          <w:szCs w:val="24"/>
        </w:rPr>
        <w:t>清管设备</w:t>
      </w:r>
    </w:p>
    <w:p w14:paraId="108E5337" w14:textId="77777777" w:rsidR="007D1E74" w:rsidRDefault="00A95641">
      <w:pPr>
        <w:spacing w:line="360" w:lineRule="auto"/>
        <w:ind w:firstLineChars="200" w:firstLine="480"/>
        <w:rPr>
          <w:sz w:val="24"/>
          <w:szCs w:val="24"/>
        </w:rPr>
      </w:pPr>
      <w:r>
        <w:rPr>
          <w:rFonts w:hint="eastAsia"/>
          <w:sz w:val="24"/>
          <w:szCs w:val="24"/>
        </w:rPr>
        <w:t>本项目清管阀组设有清管收（发）球阀，在清管作业时，如果仪表失灵或操作不当，就可能对操作人员或设备造成伤害。</w:t>
      </w:r>
    </w:p>
    <w:p w14:paraId="3F1B178F" w14:textId="77777777" w:rsidR="007D1E74" w:rsidRDefault="00A95641">
      <w:pPr>
        <w:pStyle w:val="afffff7"/>
        <w:ind w:firstLine="482"/>
      </w:pPr>
      <w:r>
        <w:t>2</w:t>
      </w:r>
      <w:r>
        <w:t>、</w:t>
      </w:r>
      <w:r>
        <w:rPr>
          <w:rFonts w:hint="eastAsia"/>
        </w:rPr>
        <w:t>安全附件</w:t>
      </w:r>
    </w:p>
    <w:p w14:paraId="0D6393BB" w14:textId="77777777" w:rsidR="007D1E74" w:rsidRDefault="00A95641">
      <w:pPr>
        <w:spacing w:line="360" w:lineRule="auto"/>
        <w:ind w:firstLineChars="200" w:firstLine="480"/>
        <w:rPr>
          <w:sz w:val="24"/>
          <w:szCs w:val="24"/>
        </w:rPr>
      </w:pPr>
      <w:r>
        <w:rPr>
          <w:rFonts w:hint="eastAsia"/>
          <w:sz w:val="24"/>
          <w:szCs w:val="24"/>
        </w:rPr>
        <w:t>设备上设置有安全阀等安全附件和相应的控制仪器仪表，以确保系统安全。如果安全附件故障，不仅不能对系统起到保护作用，而且有可能直接造成安全事故。</w:t>
      </w:r>
    </w:p>
    <w:p w14:paraId="40272B0D" w14:textId="77777777" w:rsidR="007D1E74" w:rsidRDefault="00A95641">
      <w:pPr>
        <w:pStyle w:val="a9"/>
      </w:pPr>
      <w:r>
        <w:rPr>
          <w:rFonts w:hint="eastAsia"/>
        </w:rPr>
        <w:t>危险物质向环境转移的途径识别</w:t>
      </w:r>
    </w:p>
    <w:p w14:paraId="39AB5B74" w14:textId="77777777" w:rsidR="007D1E74" w:rsidRDefault="00A95641">
      <w:pPr>
        <w:pStyle w:val="aa"/>
      </w:pPr>
      <w:r>
        <w:rPr>
          <w:rFonts w:hint="eastAsia"/>
        </w:rPr>
        <w:t>环境风险类型</w:t>
      </w:r>
    </w:p>
    <w:p w14:paraId="7DE040C9" w14:textId="77777777" w:rsidR="007D1E74" w:rsidRDefault="00A95641">
      <w:pPr>
        <w:spacing w:line="360" w:lineRule="auto"/>
        <w:ind w:firstLineChars="200" w:firstLine="480"/>
        <w:rPr>
          <w:sz w:val="24"/>
          <w:szCs w:val="24"/>
        </w:rPr>
      </w:pPr>
      <w:r>
        <w:rPr>
          <w:rFonts w:hint="eastAsia"/>
          <w:sz w:val="24"/>
          <w:szCs w:val="24"/>
        </w:rPr>
        <w:t>环境风险类型通常包括危险物质泄漏，以及火灾、爆炸等引发的伴生</w:t>
      </w:r>
      <w:r>
        <w:rPr>
          <w:rFonts w:hint="eastAsia"/>
          <w:sz w:val="24"/>
          <w:szCs w:val="24"/>
        </w:rPr>
        <w:t>/</w:t>
      </w:r>
      <w:r>
        <w:rPr>
          <w:rFonts w:hint="eastAsia"/>
          <w:sz w:val="24"/>
          <w:szCs w:val="24"/>
        </w:rPr>
        <w:t>次生污染排放。本项目主要危险物物质为集输管道内输送的天然气，</w:t>
      </w:r>
      <w:r>
        <w:rPr>
          <w:rFonts w:cs="Times New Roman"/>
          <w:sz w:val="24"/>
          <w:szCs w:val="24"/>
        </w:rPr>
        <w:t>主要成分为甲烷，</w:t>
      </w:r>
      <w:r>
        <w:rPr>
          <w:rFonts w:cs="Times New Roman" w:hint="eastAsia"/>
          <w:sz w:val="24"/>
          <w:szCs w:val="24"/>
        </w:rPr>
        <w:t>另有少量乙烷和丙烷。</w:t>
      </w:r>
      <w:r>
        <w:rPr>
          <w:rFonts w:hint="eastAsia"/>
          <w:sz w:val="24"/>
          <w:szCs w:val="24"/>
        </w:rPr>
        <w:t>环境风险类型主要为集输管道天然气泄漏，以及天然气燃烧产生的伴生</w:t>
      </w:r>
      <w:r>
        <w:rPr>
          <w:rFonts w:hint="eastAsia"/>
          <w:sz w:val="24"/>
          <w:szCs w:val="24"/>
        </w:rPr>
        <w:t>/</w:t>
      </w:r>
      <w:r>
        <w:rPr>
          <w:rFonts w:hint="eastAsia"/>
          <w:sz w:val="24"/>
          <w:szCs w:val="24"/>
        </w:rPr>
        <w:t>次生污染排放。</w:t>
      </w:r>
    </w:p>
    <w:p w14:paraId="1F226272" w14:textId="77777777" w:rsidR="007D1E74" w:rsidRDefault="00A95641">
      <w:pPr>
        <w:pStyle w:val="aa"/>
      </w:pPr>
      <w:r>
        <w:rPr>
          <w:rFonts w:hint="eastAsia"/>
        </w:rPr>
        <w:t>危害分析</w:t>
      </w:r>
    </w:p>
    <w:p w14:paraId="052779F9" w14:textId="77777777" w:rsidR="007D1E74" w:rsidRDefault="00A95641">
      <w:pPr>
        <w:spacing w:line="360" w:lineRule="auto"/>
        <w:ind w:firstLineChars="200" w:firstLine="480"/>
        <w:rPr>
          <w:sz w:val="24"/>
          <w:szCs w:val="24"/>
        </w:rPr>
      </w:pPr>
      <w:r>
        <w:rPr>
          <w:rFonts w:hint="eastAsia"/>
          <w:sz w:val="24"/>
          <w:szCs w:val="24"/>
        </w:rPr>
        <w:t>由于集输管道天然气泄漏、火灾等事故，危险物质会以气态形式释放至环境中，造成环境污染，运营期危险物质向环境转移的可能途径和影响方式如下：</w:t>
      </w:r>
    </w:p>
    <w:p w14:paraId="567EEEAB" w14:textId="77777777" w:rsidR="007D1E74" w:rsidRDefault="00A95641">
      <w:pPr>
        <w:pStyle w:val="afffff7"/>
        <w:ind w:firstLine="482"/>
      </w:pPr>
      <w:r>
        <w:rPr>
          <w:rFonts w:hint="eastAsia"/>
        </w:rPr>
        <w:t>1</w:t>
      </w:r>
      <w:r>
        <w:rPr>
          <w:rFonts w:hint="eastAsia"/>
        </w:rPr>
        <w:t>、大气环境</w:t>
      </w:r>
    </w:p>
    <w:p w14:paraId="5E96EC36" w14:textId="77777777" w:rsidR="007D1E74" w:rsidRDefault="00A95641">
      <w:pPr>
        <w:spacing w:line="360" w:lineRule="auto"/>
        <w:ind w:firstLineChars="200" w:firstLine="480"/>
        <w:rPr>
          <w:sz w:val="24"/>
          <w:szCs w:val="24"/>
        </w:rPr>
      </w:pPr>
      <w:r>
        <w:rPr>
          <w:rFonts w:hint="eastAsia"/>
          <w:sz w:val="24"/>
          <w:szCs w:val="24"/>
        </w:rPr>
        <w:lastRenderedPageBreak/>
        <w:t>集输管道天然气泄漏主要扩散途径为大气扩散。天然气在大气中受到湍流、风、温度、大气稳定度等气象因素以及地形因素的影响，与空气混合稀释扩散。由于集输管道为带压状态，泄漏为喷射形成蒸气云团，因天然气比空气质量轻，能在较低处扩散到相当远的地方，当气体集聚到一定浓度，遇明火将会出现燃烧爆炸的危险，对周边人群有一定的影响。天然气发生火灾产生的浓烟会以燃烧点为中心在一定范围内降落，燃烧点上空局部气温、气压、能见度等会产生明显的变化，对局部大气环境造成短期影响。天然气燃烧时将产生</w:t>
      </w:r>
      <w:r>
        <w:rPr>
          <w:rFonts w:hint="eastAsia"/>
          <w:sz w:val="24"/>
          <w:szCs w:val="24"/>
        </w:rPr>
        <w:t>CO</w:t>
      </w:r>
      <w:r>
        <w:rPr>
          <w:rFonts w:hint="eastAsia"/>
          <w:sz w:val="24"/>
          <w:szCs w:val="24"/>
        </w:rPr>
        <w:t>、颗粒物等伴生</w:t>
      </w:r>
      <w:r>
        <w:rPr>
          <w:rFonts w:hint="eastAsia"/>
          <w:sz w:val="24"/>
          <w:szCs w:val="24"/>
        </w:rPr>
        <w:t>/</w:t>
      </w:r>
      <w:r>
        <w:rPr>
          <w:rFonts w:hint="eastAsia"/>
          <w:sz w:val="24"/>
          <w:szCs w:val="24"/>
        </w:rPr>
        <w:t>次生污染物，烟气对眼睛、呼吸道有一定的刺激性，过渡接触可能导致中毒或窒息；同时，污染物沿下风向扩散，对下风向也会产生一定的影响。</w:t>
      </w:r>
    </w:p>
    <w:p w14:paraId="5EF0C881" w14:textId="77777777" w:rsidR="007D1E74" w:rsidRDefault="00A95641">
      <w:pPr>
        <w:pStyle w:val="afffff7"/>
        <w:ind w:firstLine="482"/>
      </w:pPr>
      <w:r>
        <w:rPr>
          <w:rFonts w:hint="eastAsia"/>
        </w:rPr>
        <w:t>2</w:t>
      </w:r>
      <w:r>
        <w:rPr>
          <w:rFonts w:hint="eastAsia"/>
        </w:rPr>
        <w:t>、水环境</w:t>
      </w:r>
    </w:p>
    <w:p w14:paraId="5648E47D" w14:textId="77777777" w:rsidR="007D1E74" w:rsidRDefault="00A95641">
      <w:pPr>
        <w:spacing w:line="360" w:lineRule="auto"/>
        <w:ind w:firstLineChars="200" w:firstLine="480"/>
        <w:rPr>
          <w:sz w:val="24"/>
          <w:szCs w:val="24"/>
        </w:rPr>
      </w:pPr>
      <w:r>
        <w:rPr>
          <w:rFonts w:hint="eastAsia"/>
          <w:sz w:val="24"/>
          <w:szCs w:val="24"/>
        </w:rPr>
        <w:t>正常工况下，由于集输管道是全封闭系统，输送的天然气不会与管线穿越的河流水体之间发生联系，即使在发生泄漏事故的状态下，管线穿越河流时埋设在穿越河流河床设计冲刷线以下的稳定层内，管道泄漏的天然气难溶于水，会逐渐扩散至大气中，也不会进入水环境。</w:t>
      </w:r>
    </w:p>
    <w:p w14:paraId="45727144" w14:textId="77777777" w:rsidR="007D1E74" w:rsidRDefault="00A95641">
      <w:pPr>
        <w:pStyle w:val="a9"/>
      </w:pPr>
      <w:r>
        <w:rPr>
          <w:rFonts w:hint="eastAsia"/>
        </w:rPr>
        <w:t>环境风险识别结果</w:t>
      </w:r>
    </w:p>
    <w:p w14:paraId="52702015" w14:textId="77777777" w:rsidR="007D1E74" w:rsidRDefault="00A95641">
      <w:pPr>
        <w:spacing w:line="360" w:lineRule="auto"/>
        <w:ind w:firstLineChars="200" w:firstLine="480"/>
        <w:rPr>
          <w:sz w:val="24"/>
          <w:szCs w:val="24"/>
        </w:rPr>
      </w:pPr>
      <w:r>
        <w:rPr>
          <w:rFonts w:hint="eastAsia"/>
          <w:sz w:val="24"/>
          <w:szCs w:val="24"/>
        </w:rPr>
        <w:t>根据项目所涉及物质危险性、生产系统危险性和危险物质向环境转移的途径识别结果，本项目环境风险识别表见下表。</w:t>
      </w:r>
    </w:p>
    <w:p w14:paraId="328BB26D" w14:textId="77777777" w:rsidR="007D1E74" w:rsidRDefault="00A95641">
      <w:pPr>
        <w:pStyle w:val="afffffe"/>
        <w:numPr>
          <w:ilvl w:val="0"/>
          <w:numId w:val="48"/>
        </w:numPr>
        <w:spacing w:line="360" w:lineRule="auto"/>
        <w:ind w:firstLineChars="0"/>
        <w:jc w:val="center"/>
        <w:rPr>
          <w:rFonts w:eastAsia="黑体" w:cs="Times New Roman"/>
          <w:szCs w:val="21"/>
        </w:rPr>
      </w:pPr>
      <w:r>
        <w:rPr>
          <w:rFonts w:eastAsia="黑体" w:cs="Times New Roman" w:hint="eastAsia"/>
          <w:szCs w:val="21"/>
        </w:rPr>
        <w:t>环境风险识别结果</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1133"/>
        <w:gridCol w:w="991"/>
        <w:gridCol w:w="992"/>
        <w:gridCol w:w="2692"/>
        <w:gridCol w:w="1795"/>
      </w:tblGrid>
      <w:tr w:rsidR="007D1E74" w14:paraId="38182FCC" w14:textId="77777777">
        <w:trPr>
          <w:tblHeader/>
        </w:trPr>
        <w:tc>
          <w:tcPr>
            <w:tcW w:w="1413" w:type="dxa"/>
            <w:shd w:val="clear" w:color="auto" w:fill="auto"/>
            <w:vAlign w:val="center"/>
          </w:tcPr>
          <w:p w14:paraId="3448CF8C" w14:textId="77777777" w:rsidR="007D1E74" w:rsidRDefault="00A95641">
            <w:pPr>
              <w:widowControl/>
              <w:jc w:val="center"/>
              <w:rPr>
                <w:rFonts w:ascii="宋体" w:hAnsi="宋体" w:cs="宋体"/>
                <w:kern w:val="0"/>
                <w:szCs w:val="21"/>
              </w:rPr>
            </w:pPr>
            <w:r>
              <w:rPr>
                <w:rFonts w:ascii="宋体" w:hAnsi="宋体" w:cs="宋体" w:hint="eastAsia"/>
                <w:kern w:val="0"/>
                <w:szCs w:val="21"/>
              </w:rPr>
              <w:t>危险单元</w:t>
            </w:r>
          </w:p>
        </w:tc>
        <w:tc>
          <w:tcPr>
            <w:tcW w:w="1134" w:type="dxa"/>
            <w:shd w:val="clear" w:color="auto" w:fill="auto"/>
            <w:vAlign w:val="center"/>
          </w:tcPr>
          <w:p w14:paraId="684F006E" w14:textId="77777777" w:rsidR="007D1E74" w:rsidRDefault="00A95641">
            <w:pPr>
              <w:widowControl/>
              <w:jc w:val="center"/>
              <w:rPr>
                <w:rFonts w:ascii="宋体" w:hAnsi="宋体" w:cs="宋体"/>
                <w:kern w:val="0"/>
                <w:szCs w:val="21"/>
              </w:rPr>
            </w:pPr>
            <w:r>
              <w:rPr>
                <w:rFonts w:ascii="宋体" w:hAnsi="宋体" w:cs="宋体" w:hint="eastAsia"/>
                <w:kern w:val="0"/>
                <w:szCs w:val="21"/>
              </w:rPr>
              <w:t>风险源</w:t>
            </w:r>
          </w:p>
        </w:tc>
        <w:tc>
          <w:tcPr>
            <w:tcW w:w="992" w:type="dxa"/>
            <w:shd w:val="clear" w:color="auto" w:fill="auto"/>
            <w:vAlign w:val="center"/>
          </w:tcPr>
          <w:p w14:paraId="39D05C3F" w14:textId="77777777" w:rsidR="007D1E74" w:rsidRDefault="00A95641">
            <w:pPr>
              <w:widowControl/>
              <w:jc w:val="center"/>
              <w:rPr>
                <w:rFonts w:ascii="宋体" w:hAnsi="宋体" w:cs="宋体"/>
                <w:kern w:val="0"/>
                <w:szCs w:val="21"/>
              </w:rPr>
            </w:pPr>
            <w:r>
              <w:rPr>
                <w:rFonts w:ascii="宋体" w:hAnsi="宋体" w:cs="宋体" w:hint="eastAsia"/>
                <w:kern w:val="0"/>
                <w:szCs w:val="21"/>
              </w:rPr>
              <w:t>主要危险物质</w:t>
            </w:r>
          </w:p>
        </w:tc>
        <w:tc>
          <w:tcPr>
            <w:tcW w:w="992" w:type="dxa"/>
            <w:shd w:val="clear" w:color="auto" w:fill="auto"/>
            <w:vAlign w:val="center"/>
          </w:tcPr>
          <w:p w14:paraId="096FA007" w14:textId="77777777" w:rsidR="007D1E74" w:rsidRDefault="00A95641">
            <w:pPr>
              <w:widowControl/>
              <w:jc w:val="center"/>
              <w:rPr>
                <w:rFonts w:ascii="宋体" w:hAnsi="宋体" w:cs="宋体"/>
                <w:kern w:val="0"/>
                <w:szCs w:val="21"/>
              </w:rPr>
            </w:pPr>
            <w:r>
              <w:rPr>
                <w:rFonts w:ascii="宋体" w:hAnsi="宋体" w:cs="宋体" w:hint="eastAsia"/>
                <w:kern w:val="0"/>
                <w:szCs w:val="21"/>
              </w:rPr>
              <w:t>环境风险类型</w:t>
            </w:r>
          </w:p>
        </w:tc>
        <w:tc>
          <w:tcPr>
            <w:tcW w:w="2694" w:type="dxa"/>
            <w:shd w:val="clear" w:color="auto" w:fill="auto"/>
            <w:vAlign w:val="center"/>
          </w:tcPr>
          <w:p w14:paraId="1A5AD66E" w14:textId="77777777" w:rsidR="007D1E74" w:rsidRDefault="00A95641">
            <w:pPr>
              <w:widowControl/>
              <w:jc w:val="center"/>
              <w:rPr>
                <w:rFonts w:ascii="宋体" w:hAnsi="宋体" w:cs="宋体"/>
                <w:kern w:val="0"/>
                <w:szCs w:val="21"/>
              </w:rPr>
            </w:pPr>
            <w:r>
              <w:rPr>
                <w:rFonts w:ascii="宋体" w:hAnsi="宋体" w:cs="宋体" w:hint="eastAsia"/>
                <w:kern w:val="0"/>
                <w:szCs w:val="21"/>
              </w:rPr>
              <w:t>环境影响途径</w:t>
            </w:r>
          </w:p>
        </w:tc>
        <w:tc>
          <w:tcPr>
            <w:tcW w:w="1796" w:type="dxa"/>
            <w:shd w:val="clear" w:color="auto" w:fill="auto"/>
            <w:vAlign w:val="center"/>
          </w:tcPr>
          <w:p w14:paraId="29E1020B" w14:textId="77777777" w:rsidR="007D1E74" w:rsidRDefault="00A95641">
            <w:pPr>
              <w:widowControl/>
              <w:jc w:val="center"/>
              <w:rPr>
                <w:rFonts w:ascii="宋体" w:hAnsi="宋体" w:cs="宋体"/>
                <w:kern w:val="0"/>
                <w:szCs w:val="21"/>
              </w:rPr>
            </w:pPr>
            <w:r>
              <w:rPr>
                <w:rFonts w:ascii="宋体" w:hAnsi="宋体" w:cs="宋体" w:hint="eastAsia"/>
                <w:kern w:val="0"/>
                <w:szCs w:val="21"/>
              </w:rPr>
              <w:t>可能受影响的环境敏感目标</w:t>
            </w:r>
          </w:p>
        </w:tc>
      </w:tr>
      <w:tr w:rsidR="007D1E74" w14:paraId="54917244" w14:textId="77777777">
        <w:tc>
          <w:tcPr>
            <w:tcW w:w="1413" w:type="dxa"/>
            <w:shd w:val="clear" w:color="auto" w:fill="auto"/>
            <w:vAlign w:val="center"/>
          </w:tcPr>
          <w:p w14:paraId="12EE69BF" w14:textId="77777777" w:rsidR="007D1E74" w:rsidRDefault="00A95641">
            <w:pPr>
              <w:jc w:val="center"/>
              <w:rPr>
                <w:rFonts w:cstheme="minorHAnsi"/>
                <w:szCs w:val="21"/>
              </w:rPr>
            </w:pPr>
            <w:r>
              <w:rPr>
                <w:rFonts w:cstheme="minorHAnsi" w:hint="eastAsia"/>
                <w:szCs w:val="21"/>
              </w:rPr>
              <w:t>集输干线、集输支线</w:t>
            </w:r>
          </w:p>
        </w:tc>
        <w:tc>
          <w:tcPr>
            <w:tcW w:w="1134" w:type="dxa"/>
            <w:shd w:val="clear" w:color="auto" w:fill="auto"/>
            <w:vAlign w:val="center"/>
          </w:tcPr>
          <w:p w14:paraId="5F5B868C" w14:textId="77777777" w:rsidR="007D1E74" w:rsidRDefault="00A95641">
            <w:pPr>
              <w:widowControl/>
              <w:jc w:val="center"/>
              <w:rPr>
                <w:rFonts w:ascii="宋体" w:hAnsi="宋体" w:cs="宋体"/>
                <w:kern w:val="0"/>
                <w:szCs w:val="21"/>
              </w:rPr>
            </w:pPr>
            <w:r>
              <w:rPr>
                <w:rFonts w:ascii="宋体" w:hAnsi="宋体" w:cs="宋体"/>
                <w:kern w:val="0"/>
                <w:szCs w:val="21"/>
              </w:rPr>
              <w:t>管道</w:t>
            </w:r>
          </w:p>
        </w:tc>
        <w:tc>
          <w:tcPr>
            <w:tcW w:w="992" w:type="dxa"/>
            <w:shd w:val="clear" w:color="auto" w:fill="auto"/>
            <w:vAlign w:val="center"/>
          </w:tcPr>
          <w:p w14:paraId="5545919C" w14:textId="77777777" w:rsidR="007D1E74" w:rsidRDefault="00A95641">
            <w:pPr>
              <w:widowControl/>
              <w:jc w:val="center"/>
              <w:rPr>
                <w:rFonts w:cs="Times New Roman"/>
                <w:kern w:val="0"/>
                <w:szCs w:val="21"/>
              </w:rPr>
            </w:pPr>
            <w:r>
              <w:rPr>
                <w:rFonts w:cs="Times New Roman"/>
                <w:kern w:val="0"/>
                <w:szCs w:val="21"/>
              </w:rPr>
              <w:t>天然气</w:t>
            </w:r>
          </w:p>
        </w:tc>
        <w:tc>
          <w:tcPr>
            <w:tcW w:w="992" w:type="dxa"/>
            <w:shd w:val="clear" w:color="auto" w:fill="auto"/>
            <w:vAlign w:val="center"/>
          </w:tcPr>
          <w:p w14:paraId="68EFE4F6" w14:textId="77777777" w:rsidR="007D1E74" w:rsidRDefault="00A95641">
            <w:pPr>
              <w:widowControl/>
              <w:jc w:val="center"/>
              <w:rPr>
                <w:rFonts w:ascii="宋体" w:hAnsi="宋体" w:cs="宋体"/>
                <w:kern w:val="0"/>
                <w:szCs w:val="21"/>
              </w:rPr>
            </w:pPr>
            <w:r>
              <w:rPr>
                <w:rFonts w:ascii="宋体" w:hAnsi="宋体" w:cs="宋体"/>
                <w:kern w:val="0"/>
                <w:szCs w:val="21"/>
              </w:rPr>
              <w:t>泄漏、火灾</w:t>
            </w:r>
          </w:p>
        </w:tc>
        <w:tc>
          <w:tcPr>
            <w:tcW w:w="2694" w:type="dxa"/>
            <w:shd w:val="clear" w:color="auto" w:fill="auto"/>
            <w:vAlign w:val="center"/>
          </w:tcPr>
          <w:p w14:paraId="562FA2A8" w14:textId="77777777" w:rsidR="007D1E74" w:rsidRDefault="00A95641">
            <w:pPr>
              <w:widowControl/>
              <w:rPr>
                <w:rFonts w:ascii="宋体" w:hAnsi="宋体" w:cs="宋体"/>
                <w:kern w:val="0"/>
                <w:szCs w:val="21"/>
              </w:rPr>
            </w:pPr>
            <w:r>
              <w:rPr>
                <w:rFonts w:ascii="宋体" w:hAnsi="宋体" w:cs="宋体" w:hint="eastAsia"/>
                <w:kern w:val="0"/>
                <w:szCs w:val="21"/>
              </w:rPr>
              <w:t>天然气泄漏进入大气环境，或火灾产生的</w:t>
            </w:r>
            <w:r>
              <w:rPr>
                <w:rFonts w:cstheme="minorHAnsi" w:hint="eastAsia"/>
                <w:szCs w:val="21"/>
              </w:rPr>
              <w:t>伴生</w:t>
            </w:r>
            <w:r>
              <w:rPr>
                <w:rFonts w:cstheme="minorHAnsi" w:hint="eastAsia"/>
                <w:szCs w:val="21"/>
              </w:rPr>
              <w:t>/</w:t>
            </w:r>
            <w:r>
              <w:rPr>
                <w:rFonts w:cstheme="minorHAnsi" w:hint="eastAsia"/>
                <w:szCs w:val="21"/>
              </w:rPr>
              <w:t>次生污染物（</w:t>
            </w:r>
            <w:r>
              <w:rPr>
                <w:rFonts w:cstheme="minorHAnsi" w:hint="eastAsia"/>
                <w:szCs w:val="21"/>
              </w:rPr>
              <w:t>CO</w:t>
            </w:r>
            <w:r>
              <w:rPr>
                <w:rFonts w:cstheme="minorHAnsi" w:hint="eastAsia"/>
                <w:szCs w:val="21"/>
              </w:rPr>
              <w:t>、</w:t>
            </w:r>
            <w:r>
              <w:rPr>
                <w:rFonts w:cstheme="minorHAnsi" w:hint="eastAsia"/>
                <w:szCs w:val="21"/>
              </w:rPr>
              <w:t>SO</w:t>
            </w:r>
            <w:r>
              <w:rPr>
                <w:rFonts w:cstheme="minorHAnsi" w:hint="eastAsia"/>
                <w:szCs w:val="21"/>
                <w:vertAlign w:val="subscript"/>
              </w:rPr>
              <w:t>2</w:t>
            </w:r>
            <w:r>
              <w:rPr>
                <w:rFonts w:cstheme="minorHAnsi" w:hint="eastAsia"/>
                <w:szCs w:val="21"/>
              </w:rPr>
              <w:t>、</w:t>
            </w:r>
            <w:r>
              <w:rPr>
                <w:rFonts w:cstheme="minorHAnsi" w:hint="eastAsia"/>
                <w:szCs w:val="21"/>
              </w:rPr>
              <w:t>NO</w:t>
            </w:r>
            <w:r>
              <w:rPr>
                <w:rFonts w:cstheme="minorHAnsi" w:hint="eastAsia"/>
                <w:szCs w:val="21"/>
                <w:vertAlign w:val="subscript"/>
              </w:rPr>
              <w:t>x</w:t>
            </w:r>
            <w:r>
              <w:rPr>
                <w:rFonts w:cstheme="minorHAnsi" w:hint="eastAsia"/>
                <w:szCs w:val="21"/>
              </w:rPr>
              <w:t>、颗粒物）排入大气环境</w:t>
            </w:r>
          </w:p>
        </w:tc>
        <w:tc>
          <w:tcPr>
            <w:tcW w:w="1796" w:type="dxa"/>
            <w:shd w:val="clear" w:color="auto" w:fill="auto"/>
            <w:vAlign w:val="center"/>
          </w:tcPr>
          <w:p w14:paraId="7C7FF972" w14:textId="77777777" w:rsidR="007D1E74" w:rsidRDefault="00A95641">
            <w:pPr>
              <w:widowControl/>
              <w:jc w:val="center"/>
              <w:rPr>
                <w:rFonts w:ascii="宋体" w:hAnsi="宋体" w:cs="宋体"/>
                <w:kern w:val="0"/>
                <w:szCs w:val="21"/>
              </w:rPr>
            </w:pPr>
            <w:r>
              <w:rPr>
                <w:rFonts w:ascii="宋体" w:hAnsi="宋体" w:cs="宋体" w:hint="eastAsia"/>
                <w:kern w:val="0"/>
                <w:szCs w:val="21"/>
              </w:rPr>
              <w:t>管道沿线居民</w:t>
            </w:r>
          </w:p>
        </w:tc>
      </w:tr>
    </w:tbl>
    <w:p w14:paraId="6AD96B40" w14:textId="77777777" w:rsidR="007D1E74" w:rsidRDefault="00A95641">
      <w:pPr>
        <w:pStyle w:val="a8"/>
      </w:pPr>
      <w:r>
        <w:rPr>
          <w:rFonts w:hint="eastAsia"/>
        </w:rPr>
        <w:t>风险事故情形设定</w:t>
      </w:r>
    </w:p>
    <w:p w14:paraId="31F45A35" w14:textId="77777777" w:rsidR="007D1E74" w:rsidRDefault="00A95641">
      <w:pPr>
        <w:spacing w:line="360" w:lineRule="auto"/>
        <w:ind w:firstLineChars="200" w:firstLine="480"/>
        <w:rPr>
          <w:sz w:val="24"/>
          <w:szCs w:val="24"/>
        </w:rPr>
      </w:pPr>
      <w:r>
        <w:rPr>
          <w:rFonts w:hint="eastAsia"/>
          <w:sz w:val="24"/>
          <w:szCs w:val="24"/>
        </w:rPr>
        <w:t>风险事故情形设定是在风险识别的基础上，选择对环境影响较大并具有代表性的事故类型，设定风险事故情形。风险事故情形设定内容包括环境风险类型、风险源、危险单元、危险物质和影响途径等。</w:t>
      </w:r>
    </w:p>
    <w:p w14:paraId="063562B9" w14:textId="77777777" w:rsidR="007D1E74" w:rsidRDefault="00A95641">
      <w:pPr>
        <w:pStyle w:val="aa"/>
      </w:pPr>
      <w:r>
        <w:rPr>
          <w:rFonts w:hint="eastAsia"/>
        </w:rPr>
        <w:t>典型事故调查</w:t>
      </w:r>
    </w:p>
    <w:p w14:paraId="491900EA" w14:textId="77777777" w:rsidR="007D1E74" w:rsidRDefault="00A95641">
      <w:pPr>
        <w:spacing w:line="360" w:lineRule="auto"/>
        <w:ind w:firstLineChars="200" w:firstLine="480"/>
        <w:rPr>
          <w:sz w:val="24"/>
          <w:szCs w:val="24"/>
        </w:rPr>
      </w:pPr>
      <w:r>
        <w:rPr>
          <w:rFonts w:hint="eastAsia"/>
          <w:sz w:val="24"/>
          <w:szCs w:val="24"/>
        </w:rPr>
        <w:t>川渝地区经过四十余年的天然气勘探开发，目前已成为我国重要的天然气工业基地，从</w:t>
      </w:r>
      <w:r>
        <w:rPr>
          <w:rFonts w:hint="eastAsia"/>
          <w:sz w:val="24"/>
          <w:szCs w:val="24"/>
        </w:rPr>
        <w:t>60</w:t>
      </w:r>
      <w:r>
        <w:rPr>
          <w:rFonts w:hint="eastAsia"/>
          <w:sz w:val="24"/>
          <w:szCs w:val="24"/>
        </w:rPr>
        <w:t>年代开始相继建成了川渝地区南半环供气系统并与</w:t>
      </w:r>
      <w:r>
        <w:rPr>
          <w:rFonts w:hint="eastAsia"/>
          <w:sz w:val="24"/>
          <w:szCs w:val="24"/>
        </w:rPr>
        <w:t>1989</w:t>
      </w:r>
      <w:r>
        <w:rPr>
          <w:rFonts w:hint="eastAsia"/>
          <w:sz w:val="24"/>
          <w:szCs w:val="24"/>
        </w:rPr>
        <w:t>年建成的北半环供气系</w:t>
      </w:r>
      <w:r>
        <w:rPr>
          <w:rFonts w:hint="eastAsia"/>
          <w:sz w:val="24"/>
          <w:szCs w:val="24"/>
        </w:rPr>
        <w:lastRenderedPageBreak/>
        <w:t>统相连接，形成了环形输气干线，盆地内至今已建成输气管道约有</w:t>
      </w:r>
      <w:r>
        <w:rPr>
          <w:rFonts w:hint="eastAsia"/>
          <w:sz w:val="24"/>
          <w:szCs w:val="24"/>
        </w:rPr>
        <w:t>5890km</w:t>
      </w:r>
      <w:r>
        <w:rPr>
          <w:rFonts w:hint="eastAsia"/>
          <w:sz w:val="24"/>
          <w:szCs w:val="24"/>
        </w:rPr>
        <w:t>，承担着向川、渝、滇、黔三省一市的供气任务，是西南三省一市经济发展的命脉。下表列出了</w:t>
      </w:r>
      <w:r>
        <w:rPr>
          <w:rFonts w:hint="eastAsia"/>
          <w:sz w:val="24"/>
          <w:szCs w:val="24"/>
        </w:rPr>
        <w:t>1969</w:t>
      </w:r>
      <w:r>
        <w:rPr>
          <w:rFonts w:hint="eastAsia"/>
          <w:sz w:val="24"/>
          <w:szCs w:val="24"/>
        </w:rPr>
        <w:t>年</w:t>
      </w:r>
      <w:r>
        <w:rPr>
          <w:rFonts w:hint="eastAsia"/>
          <w:sz w:val="24"/>
          <w:szCs w:val="24"/>
        </w:rPr>
        <w:t>~1990</w:t>
      </w:r>
      <w:r>
        <w:rPr>
          <w:rFonts w:hint="eastAsia"/>
          <w:sz w:val="24"/>
          <w:szCs w:val="24"/>
        </w:rPr>
        <w:t>年四川天然气管道事故统计结果。</w:t>
      </w:r>
    </w:p>
    <w:p w14:paraId="5F44E334" w14:textId="77777777" w:rsidR="007D1E74" w:rsidRDefault="00A95641">
      <w:pPr>
        <w:pStyle w:val="afffffe"/>
        <w:numPr>
          <w:ilvl w:val="0"/>
          <w:numId w:val="49"/>
        </w:numPr>
        <w:spacing w:line="360" w:lineRule="auto"/>
        <w:ind w:firstLineChars="0"/>
        <w:jc w:val="center"/>
        <w:rPr>
          <w:rFonts w:eastAsia="黑体" w:cs="Times New Roman"/>
          <w:szCs w:val="21"/>
        </w:rPr>
      </w:pPr>
      <w:r>
        <w:rPr>
          <w:rFonts w:eastAsia="黑体" w:cs="Times New Roman" w:hint="eastAsia"/>
          <w:szCs w:val="21"/>
        </w:rPr>
        <w:t>1</w:t>
      </w:r>
      <w:r>
        <w:rPr>
          <w:rFonts w:eastAsia="黑体" w:cs="Times New Roman"/>
          <w:szCs w:val="21"/>
        </w:rPr>
        <w:t>969</w:t>
      </w:r>
      <w:r>
        <w:rPr>
          <w:rFonts w:eastAsia="黑体" w:cs="Times New Roman"/>
          <w:szCs w:val="21"/>
        </w:rPr>
        <w:t>年</w:t>
      </w:r>
      <w:r>
        <w:rPr>
          <w:rFonts w:eastAsia="黑体" w:cs="Times New Roman"/>
          <w:szCs w:val="21"/>
        </w:rPr>
        <w:t>~1990</w:t>
      </w:r>
      <w:r>
        <w:rPr>
          <w:rFonts w:eastAsia="黑体" w:cs="Times New Roman"/>
          <w:szCs w:val="21"/>
        </w:rPr>
        <w:t>年四川天然气管道事故统计</w:t>
      </w:r>
    </w:p>
    <w:tbl>
      <w:tblPr>
        <w:tblStyle w:val="affffc"/>
        <w:tblW w:w="0" w:type="auto"/>
        <w:tblLook w:val="04A0" w:firstRow="1" w:lastRow="0" w:firstColumn="1" w:lastColumn="0" w:noHBand="0" w:noVBand="1"/>
      </w:tblPr>
      <w:tblGrid>
        <w:gridCol w:w="1504"/>
        <w:gridCol w:w="1505"/>
        <w:gridCol w:w="2998"/>
        <w:gridCol w:w="3009"/>
      </w:tblGrid>
      <w:tr w:rsidR="007D1E74" w14:paraId="1DA26918" w14:textId="77777777">
        <w:trPr>
          <w:tblHeader/>
        </w:trPr>
        <w:tc>
          <w:tcPr>
            <w:tcW w:w="3099" w:type="dxa"/>
            <w:gridSpan w:val="2"/>
            <w:vAlign w:val="center"/>
          </w:tcPr>
          <w:p w14:paraId="70CD25B1" w14:textId="77777777" w:rsidR="007D1E74" w:rsidRDefault="00A95641">
            <w:pPr>
              <w:jc w:val="center"/>
              <w:rPr>
                <w:szCs w:val="21"/>
              </w:rPr>
            </w:pPr>
            <w:r>
              <w:rPr>
                <w:szCs w:val="21"/>
              </w:rPr>
              <w:t>事故原因</w:t>
            </w:r>
          </w:p>
        </w:tc>
        <w:tc>
          <w:tcPr>
            <w:tcW w:w="3100" w:type="dxa"/>
            <w:vAlign w:val="center"/>
          </w:tcPr>
          <w:p w14:paraId="092BF569" w14:textId="77777777" w:rsidR="007D1E74" w:rsidRDefault="00A95641">
            <w:pPr>
              <w:jc w:val="center"/>
              <w:rPr>
                <w:szCs w:val="21"/>
              </w:rPr>
            </w:pPr>
            <w:r>
              <w:rPr>
                <w:szCs w:val="21"/>
              </w:rPr>
              <w:t>事故次数</w:t>
            </w:r>
          </w:p>
        </w:tc>
        <w:tc>
          <w:tcPr>
            <w:tcW w:w="3100" w:type="dxa"/>
            <w:vAlign w:val="center"/>
          </w:tcPr>
          <w:p w14:paraId="7672653A" w14:textId="77777777" w:rsidR="007D1E74" w:rsidRDefault="00A95641">
            <w:pPr>
              <w:jc w:val="center"/>
              <w:rPr>
                <w:szCs w:val="21"/>
              </w:rPr>
            </w:pPr>
            <w:r>
              <w:rPr>
                <w:szCs w:val="21"/>
              </w:rPr>
              <w:t>事故率（</w:t>
            </w:r>
            <w:r>
              <w:rPr>
                <w:szCs w:val="21"/>
              </w:rPr>
              <w:t>%</w:t>
            </w:r>
            <w:r>
              <w:rPr>
                <w:szCs w:val="21"/>
              </w:rPr>
              <w:t>）</w:t>
            </w:r>
          </w:p>
        </w:tc>
      </w:tr>
      <w:tr w:rsidR="007D1E74" w14:paraId="04FBA293" w14:textId="77777777">
        <w:tc>
          <w:tcPr>
            <w:tcW w:w="3099" w:type="dxa"/>
            <w:gridSpan w:val="2"/>
            <w:vAlign w:val="center"/>
          </w:tcPr>
          <w:p w14:paraId="7AA67D7B" w14:textId="77777777" w:rsidR="007D1E74" w:rsidRDefault="00A95641">
            <w:pPr>
              <w:jc w:val="center"/>
              <w:rPr>
                <w:szCs w:val="21"/>
              </w:rPr>
            </w:pPr>
            <w:r>
              <w:rPr>
                <w:szCs w:val="21"/>
              </w:rPr>
              <w:t>腐蚀</w:t>
            </w:r>
          </w:p>
        </w:tc>
        <w:tc>
          <w:tcPr>
            <w:tcW w:w="3100" w:type="dxa"/>
            <w:vAlign w:val="center"/>
          </w:tcPr>
          <w:p w14:paraId="6028C7A0" w14:textId="77777777" w:rsidR="007D1E74" w:rsidRDefault="00A95641">
            <w:pPr>
              <w:jc w:val="center"/>
              <w:rPr>
                <w:szCs w:val="21"/>
              </w:rPr>
            </w:pPr>
            <w:r>
              <w:rPr>
                <w:rFonts w:hint="eastAsia"/>
                <w:szCs w:val="21"/>
              </w:rPr>
              <w:t>6</w:t>
            </w:r>
            <w:r>
              <w:rPr>
                <w:szCs w:val="21"/>
              </w:rPr>
              <w:t>7</w:t>
            </w:r>
          </w:p>
        </w:tc>
        <w:tc>
          <w:tcPr>
            <w:tcW w:w="3100" w:type="dxa"/>
            <w:vAlign w:val="center"/>
          </w:tcPr>
          <w:p w14:paraId="177F2D5A" w14:textId="77777777" w:rsidR="007D1E74" w:rsidRDefault="00A95641">
            <w:pPr>
              <w:jc w:val="center"/>
              <w:rPr>
                <w:szCs w:val="21"/>
              </w:rPr>
            </w:pPr>
            <w:r>
              <w:rPr>
                <w:rFonts w:hint="eastAsia"/>
                <w:szCs w:val="21"/>
              </w:rPr>
              <w:t>4</w:t>
            </w:r>
            <w:r>
              <w:rPr>
                <w:szCs w:val="21"/>
              </w:rPr>
              <w:t>3.22</w:t>
            </w:r>
          </w:p>
        </w:tc>
      </w:tr>
      <w:tr w:rsidR="007D1E74" w14:paraId="7A48DC2B" w14:textId="77777777">
        <w:tc>
          <w:tcPr>
            <w:tcW w:w="1549" w:type="dxa"/>
            <w:vMerge w:val="restart"/>
            <w:vAlign w:val="center"/>
          </w:tcPr>
          <w:p w14:paraId="4498A2D1" w14:textId="77777777" w:rsidR="007D1E74" w:rsidRDefault="00A95641">
            <w:pPr>
              <w:jc w:val="center"/>
              <w:rPr>
                <w:szCs w:val="21"/>
              </w:rPr>
            </w:pPr>
            <w:r>
              <w:rPr>
                <w:szCs w:val="21"/>
              </w:rPr>
              <w:t>其中</w:t>
            </w:r>
          </w:p>
        </w:tc>
        <w:tc>
          <w:tcPr>
            <w:tcW w:w="1550" w:type="dxa"/>
            <w:vAlign w:val="center"/>
          </w:tcPr>
          <w:p w14:paraId="2EAAF55B" w14:textId="77777777" w:rsidR="007D1E74" w:rsidRDefault="00A95641">
            <w:pPr>
              <w:jc w:val="center"/>
              <w:rPr>
                <w:szCs w:val="21"/>
              </w:rPr>
            </w:pPr>
            <w:r>
              <w:rPr>
                <w:szCs w:val="21"/>
              </w:rPr>
              <w:t>内腐蚀</w:t>
            </w:r>
          </w:p>
        </w:tc>
        <w:tc>
          <w:tcPr>
            <w:tcW w:w="3100" w:type="dxa"/>
            <w:vAlign w:val="center"/>
          </w:tcPr>
          <w:p w14:paraId="6F937E32" w14:textId="77777777" w:rsidR="007D1E74" w:rsidRDefault="00A95641">
            <w:pPr>
              <w:jc w:val="center"/>
              <w:rPr>
                <w:szCs w:val="21"/>
              </w:rPr>
            </w:pPr>
            <w:r>
              <w:rPr>
                <w:rFonts w:hint="eastAsia"/>
                <w:szCs w:val="21"/>
              </w:rPr>
              <w:t>4</w:t>
            </w:r>
            <w:r>
              <w:rPr>
                <w:szCs w:val="21"/>
              </w:rPr>
              <w:t>6</w:t>
            </w:r>
          </w:p>
        </w:tc>
        <w:tc>
          <w:tcPr>
            <w:tcW w:w="3100" w:type="dxa"/>
            <w:vAlign w:val="center"/>
          </w:tcPr>
          <w:p w14:paraId="085D31B7" w14:textId="77777777" w:rsidR="007D1E74" w:rsidRDefault="00A95641">
            <w:pPr>
              <w:jc w:val="center"/>
              <w:rPr>
                <w:szCs w:val="21"/>
              </w:rPr>
            </w:pPr>
            <w:r>
              <w:rPr>
                <w:rFonts w:hint="eastAsia"/>
                <w:szCs w:val="21"/>
              </w:rPr>
              <w:t>2</w:t>
            </w:r>
            <w:r>
              <w:rPr>
                <w:szCs w:val="21"/>
              </w:rPr>
              <w:t>9.67</w:t>
            </w:r>
          </w:p>
        </w:tc>
      </w:tr>
      <w:tr w:rsidR="007D1E74" w14:paraId="11875530" w14:textId="77777777">
        <w:tc>
          <w:tcPr>
            <w:tcW w:w="1549" w:type="dxa"/>
            <w:vMerge/>
            <w:vAlign w:val="center"/>
          </w:tcPr>
          <w:p w14:paraId="583361A5" w14:textId="77777777" w:rsidR="007D1E74" w:rsidRDefault="007D1E74">
            <w:pPr>
              <w:jc w:val="center"/>
              <w:rPr>
                <w:szCs w:val="21"/>
              </w:rPr>
            </w:pPr>
          </w:p>
        </w:tc>
        <w:tc>
          <w:tcPr>
            <w:tcW w:w="1550" w:type="dxa"/>
            <w:vAlign w:val="center"/>
          </w:tcPr>
          <w:p w14:paraId="4635D2E1" w14:textId="77777777" w:rsidR="007D1E74" w:rsidRDefault="00A95641">
            <w:pPr>
              <w:jc w:val="center"/>
              <w:rPr>
                <w:szCs w:val="21"/>
              </w:rPr>
            </w:pPr>
            <w:r>
              <w:rPr>
                <w:szCs w:val="21"/>
              </w:rPr>
              <w:t>外腐蚀</w:t>
            </w:r>
          </w:p>
        </w:tc>
        <w:tc>
          <w:tcPr>
            <w:tcW w:w="3100" w:type="dxa"/>
            <w:vAlign w:val="center"/>
          </w:tcPr>
          <w:p w14:paraId="19E7D6B6" w14:textId="77777777" w:rsidR="007D1E74" w:rsidRDefault="00A95641">
            <w:pPr>
              <w:jc w:val="center"/>
              <w:rPr>
                <w:szCs w:val="21"/>
              </w:rPr>
            </w:pPr>
            <w:r>
              <w:rPr>
                <w:rFonts w:hint="eastAsia"/>
                <w:szCs w:val="21"/>
              </w:rPr>
              <w:t>2</w:t>
            </w:r>
            <w:r>
              <w:rPr>
                <w:szCs w:val="21"/>
              </w:rPr>
              <w:t>1</w:t>
            </w:r>
          </w:p>
        </w:tc>
        <w:tc>
          <w:tcPr>
            <w:tcW w:w="3100" w:type="dxa"/>
            <w:vAlign w:val="center"/>
          </w:tcPr>
          <w:p w14:paraId="6E24B6D7" w14:textId="77777777" w:rsidR="007D1E74" w:rsidRDefault="00A95641">
            <w:pPr>
              <w:jc w:val="center"/>
              <w:rPr>
                <w:szCs w:val="21"/>
              </w:rPr>
            </w:pPr>
            <w:r>
              <w:rPr>
                <w:rFonts w:hint="eastAsia"/>
                <w:szCs w:val="21"/>
              </w:rPr>
              <w:t>1</w:t>
            </w:r>
            <w:r>
              <w:rPr>
                <w:szCs w:val="21"/>
              </w:rPr>
              <w:t>3.55</w:t>
            </w:r>
          </w:p>
        </w:tc>
      </w:tr>
      <w:tr w:rsidR="007D1E74" w14:paraId="597EEFBC" w14:textId="77777777">
        <w:tc>
          <w:tcPr>
            <w:tcW w:w="3099" w:type="dxa"/>
            <w:gridSpan w:val="2"/>
            <w:vAlign w:val="center"/>
          </w:tcPr>
          <w:p w14:paraId="0FDBC850" w14:textId="77777777" w:rsidR="007D1E74" w:rsidRDefault="00A95641">
            <w:pPr>
              <w:jc w:val="center"/>
              <w:rPr>
                <w:szCs w:val="21"/>
              </w:rPr>
            </w:pPr>
            <w:r>
              <w:rPr>
                <w:szCs w:val="21"/>
              </w:rPr>
              <w:t>施工和材料缺陷</w:t>
            </w:r>
          </w:p>
        </w:tc>
        <w:tc>
          <w:tcPr>
            <w:tcW w:w="3100" w:type="dxa"/>
            <w:vAlign w:val="center"/>
          </w:tcPr>
          <w:p w14:paraId="7DA06F8A" w14:textId="77777777" w:rsidR="007D1E74" w:rsidRDefault="00A95641">
            <w:pPr>
              <w:jc w:val="center"/>
              <w:rPr>
                <w:szCs w:val="21"/>
              </w:rPr>
            </w:pPr>
            <w:r>
              <w:rPr>
                <w:rFonts w:hint="eastAsia"/>
                <w:szCs w:val="21"/>
              </w:rPr>
              <w:t>6</w:t>
            </w:r>
            <w:r>
              <w:rPr>
                <w:szCs w:val="21"/>
              </w:rPr>
              <w:t>0</w:t>
            </w:r>
          </w:p>
        </w:tc>
        <w:tc>
          <w:tcPr>
            <w:tcW w:w="3100" w:type="dxa"/>
            <w:vAlign w:val="center"/>
          </w:tcPr>
          <w:p w14:paraId="0EE3F01B" w14:textId="77777777" w:rsidR="007D1E74" w:rsidRDefault="00A95641">
            <w:pPr>
              <w:jc w:val="center"/>
              <w:rPr>
                <w:szCs w:val="21"/>
              </w:rPr>
            </w:pPr>
            <w:r>
              <w:rPr>
                <w:rFonts w:hint="eastAsia"/>
                <w:szCs w:val="21"/>
              </w:rPr>
              <w:t>3</w:t>
            </w:r>
            <w:r>
              <w:rPr>
                <w:szCs w:val="21"/>
              </w:rPr>
              <w:t>8.71</w:t>
            </w:r>
          </w:p>
        </w:tc>
      </w:tr>
      <w:tr w:rsidR="007D1E74" w14:paraId="3CE31311" w14:textId="77777777">
        <w:tc>
          <w:tcPr>
            <w:tcW w:w="1549" w:type="dxa"/>
            <w:vMerge w:val="restart"/>
            <w:vAlign w:val="center"/>
          </w:tcPr>
          <w:p w14:paraId="75BFD46A" w14:textId="77777777" w:rsidR="007D1E74" w:rsidRDefault="00A95641">
            <w:pPr>
              <w:jc w:val="center"/>
              <w:rPr>
                <w:szCs w:val="21"/>
              </w:rPr>
            </w:pPr>
            <w:r>
              <w:rPr>
                <w:szCs w:val="21"/>
              </w:rPr>
              <w:t>其中</w:t>
            </w:r>
          </w:p>
        </w:tc>
        <w:tc>
          <w:tcPr>
            <w:tcW w:w="1550" w:type="dxa"/>
            <w:vAlign w:val="center"/>
          </w:tcPr>
          <w:p w14:paraId="5B44CD88" w14:textId="77777777" w:rsidR="007D1E74" w:rsidRDefault="00A95641">
            <w:pPr>
              <w:jc w:val="center"/>
              <w:rPr>
                <w:szCs w:val="21"/>
              </w:rPr>
            </w:pPr>
            <w:r>
              <w:rPr>
                <w:szCs w:val="21"/>
              </w:rPr>
              <w:t>施工质量</w:t>
            </w:r>
          </w:p>
        </w:tc>
        <w:tc>
          <w:tcPr>
            <w:tcW w:w="3100" w:type="dxa"/>
            <w:vAlign w:val="center"/>
          </w:tcPr>
          <w:p w14:paraId="798DD150" w14:textId="77777777" w:rsidR="007D1E74" w:rsidRDefault="00A95641">
            <w:pPr>
              <w:jc w:val="center"/>
              <w:rPr>
                <w:szCs w:val="21"/>
              </w:rPr>
            </w:pPr>
            <w:r>
              <w:rPr>
                <w:rFonts w:hint="eastAsia"/>
                <w:szCs w:val="21"/>
              </w:rPr>
              <w:t>4</w:t>
            </w:r>
            <w:r>
              <w:rPr>
                <w:szCs w:val="21"/>
              </w:rPr>
              <w:t>1</w:t>
            </w:r>
          </w:p>
        </w:tc>
        <w:tc>
          <w:tcPr>
            <w:tcW w:w="3100" w:type="dxa"/>
            <w:vAlign w:val="center"/>
          </w:tcPr>
          <w:p w14:paraId="50A3F461" w14:textId="77777777" w:rsidR="007D1E74" w:rsidRDefault="00A95641">
            <w:pPr>
              <w:jc w:val="center"/>
              <w:rPr>
                <w:szCs w:val="21"/>
              </w:rPr>
            </w:pPr>
            <w:r>
              <w:rPr>
                <w:rFonts w:hint="eastAsia"/>
                <w:szCs w:val="21"/>
              </w:rPr>
              <w:t>2</w:t>
            </w:r>
            <w:r>
              <w:rPr>
                <w:szCs w:val="21"/>
              </w:rPr>
              <w:t>6.45</w:t>
            </w:r>
          </w:p>
        </w:tc>
      </w:tr>
      <w:tr w:rsidR="007D1E74" w14:paraId="06846D72" w14:textId="77777777">
        <w:tc>
          <w:tcPr>
            <w:tcW w:w="1549" w:type="dxa"/>
            <w:vMerge/>
            <w:vAlign w:val="center"/>
          </w:tcPr>
          <w:p w14:paraId="6E5F473E" w14:textId="77777777" w:rsidR="007D1E74" w:rsidRDefault="007D1E74">
            <w:pPr>
              <w:jc w:val="center"/>
              <w:rPr>
                <w:szCs w:val="21"/>
              </w:rPr>
            </w:pPr>
          </w:p>
        </w:tc>
        <w:tc>
          <w:tcPr>
            <w:tcW w:w="1550" w:type="dxa"/>
            <w:vAlign w:val="center"/>
          </w:tcPr>
          <w:p w14:paraId="583D0E15" w14:textId="77777777" w:rsidR="007D1E74" w:rsidRDefault="00A95641">
            <w:pPr>
              <w:jc w:val="center"/>
              <w:rPr>
                <w:szCs w:val="21"/>
              </w:rPr>
            </w:pPr>
            <w:r>
              <w:rPr>
                <w:szCs w:val="21"/>
              </w:rPr>
              <w:t>制管</w:t>
            </w:r>
            <w:r>
              <w:rPr>
                <w:rFonts w:hint="eastAsia"/>
                <w:szCs w:val="21"/>
              </w:rPr>
              <w:t>质量</w:t>
            </w:r>
          </w:p>
        </w:tc>
        <w:tc>
          <w:tcPr>
            <w:tcW w:w="3100" w:type="dxa"/>
            <w:vAlign w:val="center"/>
          </w:tcPr>
          <w:p w14:paraId="39521F82" w14:textId="77777777" w:rsidR="007D1E74" w:rsidRDefault="00A95641">
            <w:pPr>
              <w:jc w:val="center"/>
              <w:rPr>
                <w:szCs w:val="21"/>
              </w:rPr>
            </w:pPr>
            <w:r>
              <w:rPr>
                <w:rFonts w:hint="eastAsia"/>
                <w:szCs w:val="21"/>
              </w:rPr>
              <w:t>1</w:t>
            </w:r>
            <w:r>
              <w:rPr>
                <w:szCs w:val="21"/>
              </w:rPr>
              <w:t>9</w:t>
            </w:r>
          </w:p>
        </w:tc>
        <w:tc>
          <w:tcPr>
            <w:tcW w:w="3100" w:type="dxa"/>
            <w:vAlign w:val="center"/>
          </w:tcPr>
          <w:p w14:paraId="1E8F9CF0" w14:textId="77777777" w:rsidR="007D1E74" w:rsidRDefault="00A95641">
            <w:pPr>
              <w:jc w:val="center"/>
              <w:rPr>
                <w:szCs w:val="21"/>
              </w:rPr>
            </w:pPr>
            <w:r>
              <w:rPr>
                <w:rFonts w:hint="eastAsia"/>
                <w:szCs w:val="21"/>
              </w:rPr>
              <w:t>1</w:t>
            </w:r>
            <w:r>
              <w:rPr>
                <w:szCs w:val="21"/>
              </w:rPr>
              <w:t>2.26</w:t>
            </w:r>
          </w:p>
        </w:tc>
      </w:tr>
      <w:tr w:rsidR="007D1E74" w14:paraId="2A7D35AA" w14:textId="77777777">
        <w:tc>
          <w:tcPr>
            <w:tcW w:w="3099" w:type="dxa"/>
            <w:gridSpan w:val="2"/>
            <w:vAlign w:val="center"/>
          </w:tcPr>
          <w:p w14:paraId="2167621E" w14:textId="77777777" w:rsidR="007D1E74" w:rsidRDefault="00A95641">
            <w:pPr>
              <w:jc w:val="center"/>
              <w:rPr>
                <w:szCs w:val="21"/>
              </w:rPr>
            </w:pPr>
            <w:r>
              <w:rPr>
                <w:szCs w:val="21"/>
              </w:rPr>
              <w:t>不良环境影响</w:t>
            </w:r>
          </w:p>
        </w:tc>
        <w:tc>
          <w:tcPr>
            <w:tcW w:w="3100" w:type="dxa"/>
            <w:vAlign w:val="center"/>
          </w:tcPr>
          <w:p w14:paraId="162BD91D" w14:textId="77777777" w:rsidR="007D1E74" w:rsidRDefault="00A95641">
            <w:pPr>
              <w:jc w:val="center"/>
              <w:rPr>
                <w:szCs w:val="21"/>
              </w:rPr>
            </w:pPr>
            <w:r>
              <w:rPr>
                <w:rFonts w:hint="eastAsia"/>
                <w:szCs w:val="21"/>
              </w:rPr>
              <w:t>2</w:t>
            </w:r>
            <w:r>
              <w:rPr>
                <w:szCs w:val="21"/>
              </w:rPr>
              <w:t>2</w:t>
            </w:r>
          </w:p>
        </w:tc>
        <w:tc>
          <w:tcPr>
            <w:tcW w:w="3100" w:type="dxa"/>
            <w:vAlign w:val="center"/>
          </w:tcPr>
          <w:p w14:paraId="2B34FA90" w14:textId="77777777" w:rsidR="007D1E74" w:rsidRDefault="00A95641">
            <w:pPr>
              <w:jc w:val="center"/>
              <w:rPr>
                <w:szCs w:val="21"/>
              </w:rPr>
            </w:pPr>
            <w:r>
              <w:rPr>
                <w:rFonts w:hint="eastAsia"/>
                <w:szCs w:val="21"/>
              </w:rPr>
              <w:t>1</w:t>
            </w:r>
            <w:r>
              <w:rPr>
                <w:szCs w:val="21"/>
              </w:rPr>
              <w:t>4.20</w:t>
            </w:r>
          </w:p>
        </w:tc>
      </w:tr>
      <w:tr w:rsidR="007D1E74" w14:paraId="55CF97E1" w14:textId="77777777">
        <w:tc>
          <w:tcPr>
            <w:tcW w:w="3099" w:type="dxa"/>
            <w:gridSpan w:val="2"/>
            <w:vAlign w:val="center"/>
          </w:tcPr>
          <w:p w14:paraId="20807BF3" w14:textId="77777777" w:rsidR="007D1E74" w:rsidRDefault="00A95641">
            <w:pPr>
              <w:jc w:val="center"/>
              <w:rPr>
                <w:szCs w:val="21"/>
              </w:rPr>
            </w:pPr>
            <w:r>
              <w:rPr>
                <w:szCs w:val="21"/>
              </w:rPr>
              <w:t>人为破坏及其它原因</w:t>
            </w:r>
          </w:p>
        </w:tc>
        <w:tc>
          <w:tcPr>
            <w:tcW w:w="3100" w:type="dxa"/>
            <w:vAlign w:val="center"/>
          </w:tcPr>
          <w:p w14:paraId="7C1FCDCC" w14:textId="77777777" w:rsidR="007D1E74" w:rsidRDefault="00A95641">
            <w:pPr>
              <w:jc w:val="center"/>
              <w:rPr>
                <w:szCs w:val="21"/>
              </w:rPr>
            </w:pPr>
            <w:r>
              <w:rPr>
                <w:rFonts w:hint="eastAsia"/>
                <w:szCs w:val="21"/>
              </w:rPr>
              <w:t>6</w:t>
            </w:r>
          </w:p>
        </w:tc>
        <w:tc>
          <w:tcPr>
            <w:tcW w:w="3100" w:type="dxa"/>
            <w:vAlign w:val="center"/>
          </w:tcPr>
          <w:p w14:paraId="6B2717F9" w14:textId="77777777" w:rsidR="007D1E74" w:rsidRDefault="00A95641">
            <w:pPr>
              <w:jc w:val="center"/>
              <w:rPr>
                <w:szCs w:val="21"/>
              </w:rPr>
            </w:pPr>
            <w:r>
              <w:rPr>
                <w:rFonts w:hint="eastAsia"/>
                <w:szCs w:val="21"/>
              </w:rPr>
              <w:t>3</w:t>
            </w:r>
            <w:r>
              <w:rPr>
                <w:szCs w:val="21"/>
              </w:rPr>
              <w:t>.87</w:t>
            </w:r>
          </w:p>
        </w:tc>
      </w:tr>
      <w:tr w:rsidR="007D1E74" w14:paraId="0BFEA976" w14:textId="77777777">
        <w:tc>
          <w:tcPr>
            <w:tcW w:w="3099" w:type="dxa"/>
            <w:gridSpan w:val="2"/>
            <w:vAlign w:val="center"/>
          </w:tcPr>
          <w:p w14:paraId="18026649" w14:textId="77777777" w:rsidR="007D1E74" w:rsidRDefault="00A95641">
            <w:pPr>
              <w:jc w:val="center"/>
              <w:rPr>
                <w:szCs w:val="21"/>
              </w:rPr>
            </w:pPr>
            <w:r>
              <w:rPr>
                <w:szCs w:val="21"/>
              </w:rPr>
              <w:t>合计</w:t>
            </w:r>
          </w:p>
        </w:tc>
        <w:tc>
          <w:tcPr>
            <w:tcW w:w="3100" w:type="dxa"/>
            <w:vAlign w:val="center"/>
          </w:tcPr>
          <w:p w14:paraId="2F1AC64D" w14:textId="77777777" w:rsidR="007D1E74" w:rsidRDefault="00A95641">
            <w:pPr>
              <w:jc w:val="center"/>
              <w:rPr>
                <w:szCs w:val="21"/>
              </w:rPr>
            </w:pPr>
            <w:r>
              <w:rPr>
                <w:rFonts w:hint="eastAsia"/>
                <w:szCs w:val="21"/>
              </w:rPr>
              <w:t>1</w:t>
            </w:r>
            <w:r>
              <w:rPr>
                <w:szCs w:val="21"/>
              </w:rPr>
              <w:t>55</w:t>
            </w:r>
          </w:p>
        </w:tc>
        <w:tc>
          <w:tcPr>
            <w:tcW w:w="3100" w:type="dxa"/>
            <w:vAlign w:val="center"/>
          </w:tcPr>
          <w:p w14:paraId="31365243" w14:textId="77777777" w:rsidR="007D1E74" w:rsidRDefault="00A95641">
            <w:pPr>
              <w:jc w:val="center"/>
              <w:rPr>
                <w:szCs w:val="21"/>
              </w:rPr>
            </w:pPr>
            <w:r>
              <w:rPr>
                <w:rFonts w:hint="eastAsia"/>
                <w:szCs w:val="21"/>
              </w:rPr>
              <w:t>1</w:t>
            </w:r>
            <w:r>
              <w:rPr>
                <w:szCs w:val="21"/>
              </w:rPr>
              <w:t>00</w:t>
            </w:r>
          </w:p>
        </w:tc>
      </w:tr>
    </w:tbl>
    <w:p w14:paraId="43B7D488" w14:textId="77777777" w:rsidR="007D1E74" w:rsidRDefault="00A95641">
      <w:pPr>
        <w:spacing w:line="360" w:lineRule="auto"/>
        <w:ind w:firstLineChars="200" w:firstLine="480"/>
        <w:rPr>
          <w:sz w:val="24"/>
          <w:szCs w:val="24"/>
        </w:rPr>
      </w:pPr>
      <w:r>
        <w:rPr>
          <w:rFonts w:hint="eastAsia"/>
          <w:sz w:val="24"/>
          <w:szCs w:val="24"/>
        </w:rPr>
        <w:t>从表中可以看出，在</w:t>
      </w:r>
      <w:r>
        <w:rPr>
          <w:rFonts w:hint="eastAsia"/>
          <w:sz w:val="24"/>
          <w:szCs w:val="24"/>
        </w:rPr>
        <w:t>1969</w:t>
      </w:r>
      <w:r>
        <w:rPr>
          <w:rFonts w:hint="eastAsia"/>
          <w:sz w:val="24"/>
          <w:szCs w:val="24"/>
        </w:rPr>
        <w:t>年</w:t>
      </w:r>
      <w:r>
        <w:rPr>
          <w:rFonts w:hint="eastAsia"/>
          <w:sz w:val="24"/>
          <w:szCs w:val="24"/>
        </w:rPr>
        <w:t>~1990</w:t>
      </w:r>
      <w:r>
        <w:rPr>
          <w:rFonts w:hint="eastAsia"/>
          <w:sz w:val="24"/>
          <w:szCs w:val="24"/>
        </w:rPr>
        <w:t>年的</w:t>
      </w:r>
      <w:r>
        <w:rPr>
          <w:rFonts w:hint="eastAsia"/>
          <w:sz w:val="24"/>
          <w:szCs w:val="24"/>
        </w:rPr>
        <w:t>21</w:t>
      </w:r>
      <w:r>
        <w:rPr>
          <w:rFonts w:hint="eastAsia"/>
          <w:sz w:val="24"/>
          <w:szCs w:val="24"/>
        </w:rPr>
        <w:t>年间，四川输气管道共发生</w:t>
      </w:r>
      <w:r>
        <w:rPr>
          <w:rFonts w:hint="eastAsia"/>
          <w:sz w:val="24"/>
          <w:szCs w:val="24"/>
        </w:rPr>
        <w:t>155</w:t>
      </w:r>
      <w:r>
        <w:rPr>
          <w:rFonts w:hint="eastAsia"/>
          <w:sz w:val="24"/>
          <w:szCs w:val="24"/>
        </w:rPr>
        <w:t>次事故，其中腐蚀引发的有</w:t>
      </w:r>
      <w:r>
        <w:rPr>
          <w:rFonts w:hint="eastAsia"/>
          <w:sz w:val="24"/>
          <w:szCs w:val="24"/>
        </w:rPr>
        <w:t>67</w:t>
      </w:r>
      <w:r>
        <w:rPr>
          <w:rFonts w:hint="eastAsia"/>
          <w:sz w:val="24"/>
          <w:szCs w:val="24"/>
        </w:rPr>
        <w:t>次，占事故总数的</w:t>
      </w:r>
      <w:r>
        <w:rPr>
          <w:rFonts w:hint="eastAsia"/>
          <w:sz w:val="24"/>
          <w:szCs w:val="24"/>
        </w:rPr>
        <w:t>43.22%</w:t>
      </w:r>
      <w:r>
        <w:rPr>
          <w:rFonts w:hint="eastAsia"/>
          <w:sz w:val="24"/>
          <w:szCs w:val="24"/>
        </w:rPr>
        <w:t>，是导致事故的首要原因；施工和材料缺陷事故共有</w:t>
      </w:r>
      <w:r>
        <w:rPr>
          <w:rFonts w:hint="eastAsia"/>
          <w:sz w:val="24"/>
          <w:szCs w:val="24"/>
        </w:rPr>
        <w:t>60</w:t>
      </w:r>
      <w:r>
        <w:rPr>
          <w:rFonts w:hint="eastAsia"/>
          <w:sz w:val="24"/>
          <w:szCs w:val="24"/>
        </w:rPr>
        <w:t>次，占总数的</w:t>
      </w:r>
      <w:r>
        <w:rPr>
          <w:rFonts w:hint="eastAsia"/>
          <w:sz w:val="24"/>
          <w:szCs w:val="24"/>
        </w:rPr>
        <w:t>38.71%</w:t>
      </w:r>
      <w:r>
        <w:rPr>
          <w:rFonts w:hint="eastAsia"/>
          <w:sz w:val="24"/>
          <w:szCs w:val="24"/>
        </w:rPr>
        <w:t>，仅次于腐蚀因素而列于事故原因的第二位；由不良环境影响而导致的事故有</w:t>
      </w:r>
      <w:r>
        <w:rPr>
          <w:rFonts w:hint="eastAsia"/>
          <w:sz w:val="24"/>
          <w:szCs w:val="24"/>
        </w:rPr>
        <w:t>22</w:t>
      </w:r>
      <w:r>
        <w:rPr>
          <w:rFonts w:hint="eastAsia"/>
          <w:sz w:val="24"/>
          <w:szCs w:val="24"/>
        </w:rPr>
        <w:t>次，占到事故总数的</w:t>
      </w:r>
      <w:r>
        <w:rPr>
          <w:rFonts w:hint="eastAsia"/>
          <w:sz w:val="24"/>
          <w:szCs w:val="24"/>
        </w:rPr>
        <w:t>14.20%</w:t>
      </w:r>
      <w:r>
        <w:rPr>
          <w:rFonts w:hint="eastAsia"/>
          <w:sz w:val="24"/>
          <w:szCs w:val="24"/>
        </w:rPr>
        <w:t>，位居第三。从表中统计结果可以看出，在统计期间造成输气管道事故的主要原因分别是腐蚀、施工和材料缺陷及不良环境影响。这一统计结果与国外统计结果有相类似的地方，同样表明腐蚀及施工和材料缺陷是影响管道安全运行的主要因素。</w:t>
      </w:r>
    </w:p>
    <w:p w14:paraId="7E6135E0" w14:textId="77777777" w:rsidR="007D1E74" w:rsidRDefault="00A95641">
      <w:pPr>
        <w:pStyle w:val="aa"/>
      </w:pPr>
      <w:r>
        <w:rPr>
          <w:rFonts w:hint="eastAsia"/>
        </w:rPr>
        <w:t>风险事故情形设定</w:t>
      </w:r>
    </w:p>
    <w:p w14:paraId="725CD5B9" w14:textId="77777777" w:rsidR="007D1E74" w:rsidRDefault="00A95641">
      <w:pPr>
        <w:spacing w:line="360" w:lineRule="auto"/>
        <w:ind w:firstLineChars="200" w:firstLine="480"/>
        <w:rPr>
          <w:sz w:val="24"/>
          <w:szCs w:val="24"/>
        </w:rPr>
      </w:pPr>
      <w:r>
        <w:rPr>
          <w:rFonts w:hint="eastAsia"/>
          <w:sz w:val="24"/>
          <w:szCs w:val="24"/>
        </w:rPr>
        <w:t>由于事故触发因素具有不确定性，因此事故情形的设定并不能包含全部可能的环境风险，根据风险识别结果，结合相关案例分析，选择对环境影响较大并具有代表性的事故类型，设定风险事故情形。本次环评设定风险事故情形见下表。</w:t>
      </w:r>
    </w:p>
    <w:p w14:paraId="6E800414" w14:textId="77777777" w:rsidR="007D1E74" w:rsidRDefault="00A95641">
      <w:pPr>
        <w:pStyle w:val="afffffe"/>
        <w:numPr>
          <w:ilvl w:val="0"/>
          <w:numId w:val="49"/>
        </w:numPr>
        <w:spacing w:line="360" w:lineRule="auto"/>
        <w:ind w:firstLineChars="0"/>
        <w:jc w:val="center"/>
        <w:rPr>
          <w:rFonts w:eastAsia="黑体" w:cs="Times New Roman"/>
          <w:szCs w:val="21"/>
        </w:rPr>
      </w:pPr>
      <w:r>
        <w:rPr>
          <w:rFonts w:eastAsia="黑体" w:cs="Times New Roman"/>
          <w:szCs w:val="21"/>
        </w:rPr>
        <w:t>风险事故情形设定</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0"/>
        <w:gridCol w:w="1332"/>
        <w:gridCol w:w="1511"/>
        <w:gridCol w:w="1237"/>
        <w:gridCol w:w="3386"/>
      </w:tblGrid>
      <w:tr w:rsidR="007D1E74" w14:paraId="793758E5" w14:textId="77777777">
        <w:trPr>
          <w:tblHeader/>
        </w:trPr>
        <w:tc>
          <w:tcPr>
            <w:tcW w:w="859" w:type="pct"/>
            <w:vAlign w:val="center"/>
          </w:tcPr>
          <w:p w14:paraId="4029666E" w14:textId="77777777" w:rsidR="007D1E74" w:rsidRDefault="00A95641">
            <w:pPr>
              <w:widowControl/>
              <w:jc w:val="center"/>
              <w:rPr>
                <w:rFonts w:ascii="宋体" w:hAnsi="宋体" w:cs="宋体"/>
                <w:kern w:val="0"/>
                <w:szCs w:val="21"/>
              </w:rPr>
            </w:pPr>
            <w:r>
              <w:rPr>
                <w:rFonts w:ascii="宋体" w:hAnsi="宋体" w:cs="宋体" w:hint="eastAsia"/>
                <w:kern w:val="0"/>
                <w:szCs w:val="21"/>
              </w:rPr>
              <w:t>环境风险类型</w:t>
            </w:r>
          </w:p>
        </w:tc>
        <w:tc>
          <w:tcPr>
            <w:tcW w:w="738" w:type="pct"/>
            <w:shd w:val="clear" w:color="auto" w:fill="auto"/>
            <w:vAlign w:val="center"/>
          </w:tcPr>
          <w:p w14:paraId="0F4B6AD9" w14:textId="77777777" w:rsidR="007D1E74" w:rsidRDefault="00A95641">
            <w:pPr>
              <w:widowControl/>
              <w:jc w:val="center"/>
              <w:rPr>
                <w:rFonts w:ascii="宋体" w:hAnsi="宋体" w:cs="宋体"/>
                <w:kern w:val="0"/>
                <w:szCs w:val="21"/>
              </w:rPr>
            </w:pPr>
            <w:r>
              <w:rPr>
                <w:rFonts w:ascii="宋体" w:hAnsi="宋体" w:cs="宋体" w:hint="eastAsia"/>
                <w:kern w:val="0"/>
                <w:szCs w:val="21"/>
              </w:rPr>
              <w:t>风险源</w:t>
            </w:r>
          </w:p>
        </w:tc>
        <w:tc>
          <w:tcPr>
            <w:tcW w:w="838" w:type="pct"/>
            <w:vAlign w:val="center"/>
          </w:tcPr>
          <w:p w14:paraId="5B4EB4FD" w14:textId="77777777" w:rsidR="007D1E74" w:rsidRDefault="00A95641">
            <w:pPr>
              <w:widowControl/>
              <w:jc w:val="center"/>
              <w:rPr>
                <w:rFonts w:ascii="宋体" w:hAnsi="宋体" w:cs="宋体"/>
                <w:kern w:val="0"/>
                <w:szCs w:val="21"/>
              </w:rPr>
            </w:pPr>
            <w:r>
              <w:rPr>
                <w:rFonts w:ascii="宋体" w:hAnsi="宋体" w:cs="宋体" w:hint="eastAsia"/>
                <w:kern w:val="0"/>
                <w:szCs w:val="21"/>
              </w:rPr>
              <w:t>危险单元</w:t>
            </w:r>
          </w:p>
        </w:tc>
        <w:tc>
          <w:tcPr>
            <w:tcW w:w="686" w:type="pct"/>
            <w:shd w:val="clear" w:color="auto" w:fill="auto"/>
            <w:vAlign w:val="center"/>
          </w:tcPr>
          <w:p w14:paraId="7582238D" w14:textId="77777777" w:rsidR="007D1E74" w:rsidRDefault="00A95641">
            <w:pPr>
              <w:widowControl/>
              <w:jc w:val="center"/>
              <w:rPr>
                <w:rFonts w:ascii="宋体" w:hAnsi="宋体" w:cs="宋体"/>
                <w:kern w:val="0"/>
                <w:szCs w:val="21"/>
              </w:rPr>
            </w:pPr>
            <w:r>
              <w:rPr>
                <w:rFonts w:ascii="宋体" w:hAnsi="宋体" w:cs="宋体" w:hint="eastAsia"/>
                <w:kern w:val="0"/>
                <w:szCs w:val="21"/>
              </w:rPr>
              <w:t>危险物质</w:t>
            </w:r>
          </w:p>
        </w:tc>
        <w:tc>
          <w:tcPr>
            <w:tcW w:w="1878" w:type="pct"/>
            <w:shd w:val="clear" w:color="auto" w:fill="auto"/>
            <w:vAlign w:val="center"/>
          </w:tcPr>
          <w:p w14:paraId="1C9AC9AB" w14:textId="77777777" w:rsidR="007D1E74" w:rsidRDefault="00A95641">
            <w:pPr>
              <w:widowControl/>
              <w:jc w:val="center"/>
              <w:rPr>
                <w:rFonts w:ascii="宋体" w:hAnsi="宋体" w:cs="宋体"/>
                <w:kern w:val="0"/>
                <w:szCs w:val="21"/>
              </w:rPr>
            </w:pPr>
            <w:r>
              <w:rPr>
                <w:rFonts w:ascii="宋体" w:hAnsi="宋体" w:cs="宋体" w:hint="eastAsia"/>
                <w:kern w:val="0"/>
                <w:szCs w:val="21"/>
              </w:rPr>
              <w:t>环境影响途径</w:t>
            </w:r>
          </w:p>
        </w:tc>
      </w:tr>
      <w:tr w:rsidR="007D1E74" w14:paraId="6748AE8A" w14:textId="77777777">
        <w:trPr>
          <w:trHeight w:val="555"/>
        </w:trPr>
        <w:tc>
          <w:tcPr>
            <w:tcW w:w="859" w:type="pct"/>
            <w:vAlign w:val="center"/>
          </w:tcPr>
          <w:p w14:paraId="5B5A36BC" w14:textId="77777777" w:rsidR="007D1E74" w:rsidRDefault="00A95641">
            <w:pPr>
              <w:widowControl/>
              <w:jc w:val="center"/>
              <w:rPr>
                <w:rFonts w:ascii="宋体" w:hAnsi="宋体" w:cs="宋体"/>
                <w:kern w:val="0"/>
                <w:szCs w:val="21"/>
              </w:rPr>
            </w:pPr>
            <w:r>
              <w:rPr>
                <w:rFonts w:cstheme="minorHAnsi" w:hint="eastAsia"/>
                <w:szCs w:val="21"/>
              </w:rPr>
              <w:t>泄漏、火灾引发的伴生</w:t>
            </w:r>
            <w:r>
              <w:rPr>
                <w:rFonts w:cstheme="minorHAnsi" w:hint="eastAsia"/>
                <w:szCs w:val="21"/>
              </w:rPr>
              <w:t>/</w:t>
            </w:r>
            <w:r>
              <w:rPr>
                <w:rFonts w:cstheme="minorHAnsi" w:hint="eastAsia"/>
                <w:szCs w:val="21"/>
              </w:rPr>
              <w:t>次生污染物排放</w:t>
            </w:r>
          </w:p>
        </w:tc>
        <w:tc>
          <w:tcPr>
            <w:tcW w:w="738" w:type="pct"/>
            <w:shd w:val="clear" w:color="auto" w:fill="auto"/>
            <w:vAlign w:val="center"/>
          </w:tcPr>
          <w:p w14:paraId="2EF2B9B7" w14:textId="77777777" w:rsidR="007D1E74" w:rsidRDefault="00A95641">
            <w:pPr>
              <w:widowControl/>
              <w:jc w:val="center"/>
              <w:rPr>
                <w:rFonts w:ascii="宋体" w:hAnsi="宋体" w:cs="宋体"/>
                <w:kern w:val="0"/>
                <w:szCs w:val="21"/>
              </w:rPr>
            </w:pPr>
            <w:r>
              <w:rPr>
                <w:rFonts w:ascii="宋体" w:hAnsi="宋体" w:cs="宋体" w:hint="eastAsia"/>
                <w:kern w:val="0"/>
                <w:szCs w:val="21"/>
              </w:rPr>
              <w:t>管道</w:t>
            </w:r>
          </w:p>
        </w:tc>
        <w:tc>
          <w:tcPr>
            <w:tcW w:w="838" w:type="pct"/>
            <w:vAlign w:val="center"/>
          </w:tcPr>
          <w:p w14:paraId="30CB7F24" w14:textId="77777777" w:rsidR="007D1E74" w:rsidRDefault="00A95641">
            <w:pPr>
              <w:widowControl/>
              <w:jc w:val="center"/>
              <w:rPr>
                <w:rFonts w:cs="Times New Roman"/>
                <w:kern w:val="0"/>
                <w:szCs w:val="21"/>
              </w:rPr>
            </w:pPr>
            <w:r>
              <w:rPr>
                <w:rFonts w:cstheme="minorHAnsi" w:hint="eastAsia"/>
                <w:szCs w:val="21"/>
              </w:rPr>
              <w:t>集输干线、集输支线</w:t>
            </w:r>
          </w:p>
        </w:tc>
        <w:tc>
          <w:tcPr>
            <w:tcW w:w="686" w:type="pct"/>
            <w:shd w:val="clear" w:color="auto" w:fill="auto"/>
            <w:vAlign w:val="center"/>
          </w:tcPr>
          <w:p w14:paraId="09D963DE" w14:textId="77777777" w:rsidR="007D1E74" w:rsidRDefault="00A95641">
            <w:pPr>
              <w:widowControl/>
              <w:jc w:val="center"/>
              <w:rPr>
                <w:rFonts w:cs="Times New Roman"/>
                <w:kern w:val="0"/>
                <w:szCs w:val="21"/>
              </w:rPr>
            </w:pPr>
            <w:r>
              <w:rPr>
                <w:rFonts w:cs="Times New Roman" w:hint="eastAsia"/>
                <w:kern w:val="0"/>
                <w:szCs w:val="21"/>
              </w:rPr>
              <w:t>天然气</w:t>
            </w:r>
          </w:p>
        </w:tc>
        <w:tc>
          <w:tcPr>
            <w:tcW w:w="1878" w:type="pct"/>
            <w:shd w:val="clear" w:color="auto" w:fill="auto"/>
            <w:vAlign w:val="center"/>
          </w:tcPr>
          <w:p w14:paraId="73D902AD" w14:textId="77777777" w:rsidR="007D1E74" w:rsidRDefault="00A95641">
            <w:pPr>
              <w:widowControl/>
              <w:rPr>
                <w:rFonts w:ascii="宋体" w:hAnsi="宋体" w:cs="宋体"/>
                <w:kern w:val="0"/>
                <w:szCs w:val="21"/>
              </w:rPr>
            </w:pPr>
            <w:r>
              <w:rPr>
                <w:rFonts w:ascii="宋体" w:hAnsi="宋体" w:cs="宋体" w:hint="eastAsia"/>
                <w:kern w:val="0"/>
                <w:szCs w:val="21"/>
              </w:rPr>
              <w:t>天然气泄漏进入大气环境，或火灾产生的</w:t>
            </w:r>
            <w:r>
              <w:rPr>
                <w:rFonts w:cstheme="minorHAnsi" w:hint="eastAsia"/>
                <w:szCs w:val="21"/>
              </w:rPr>
              <w:t>伴生</w:t>
            </w:r>
            <w:r>
              <w:rPr>
                <w:rFonts w:cstheme="minorHAnsi" w:hint="eastAsia"/>
                <w:szCs w:val="21"/>
              </w:rPr>
              <w:t>/</w:t>
            </w:r>
            <w:r>
              <w:rPr>
                <w:rFonts w:cstheme="minorHAnsi" w:hint="eastAsia"/>
                <w:szCs w:val="21"/>
              </w:rPr>
              <w:t>次生污染物（</w:t>
            </w:r>
            <w:r>
              <w:rPr>
                <w:rFonts w:cstheme="minorHAnsi" w:hint="eastAsia"/>
                <w:szCs w:val="21"/>
              </w:rPr>
              <w:t>CO</w:t>
            </w:r>
            <w:r>
              <w:rPr>
                <w:rFonts w:cstheme="minorHAnsi" w:hint="eastAsia"/>
                <w:szCs w:val="21"/>
              </w:rPr>
              <w:t>、</w:t>
            </w:r>
            <w:r>
              <w:rPr>
                <w:rFonts w:cstheme="minorHAnsi" w:hint="eastAsia"/>
                <w:szCs w:val="21"/>
              </w:rPr>
              <w:t>SO</w:t>
            </w:r>
            <w:r>
              <w:rPr>
                <w:rFonts w:cstheme="minorHAnsi" w:hint="eastAsia"/>
                <w:szCs w:val="21"/>
                <w:vertAlign w:val="subscript"/>
              </w:rPr>
              <w:t>2</w:t>
            </w:r>
            <w:r>
              <w:rPr>
                <w:rFonts w:cstheme="minorHAnsi" w:hint="eastAsia"/>
                <w:szCs w:val="21"/>
              </w:rPr>
              <w:t>、</w:t>
            </w:r>
            <w:r>
              <w:rPr>
                <w:rFonts w:cstheme="minorHAnsi" w:hint="eastAsia"/>
                <w:szCs w:val="21"/>
              </w:rPr>
              <w:t>NO</w:t>
            </w:r>
            <w:r>
              <w:rPr>
                <w:rFonts w:cstheme="minorHAnsi" w:hint="eastAsia"/>
                <w:szCs w:val="21"/>
                <w:vertAlign w:val="subscript"/>
              </w:rPr>
              <w:t>x</w:t>
            </w:r>
            <w:r>
              <w:rPr>
                <w:rFonts w:cstheme="minorHAnsi" w:hint="eastAsia"/>
                <w:szCs w:val="21"/>
              </w:rPr>
              <w:t>、颗粒物）排入大气环境</w:t>
            </w:r>
          </w:p>
        </w:tc>
      </w:tr>
    </w:tbl>
    <w:p w14:paraId="6A5CE289" w14:textId="77777777" w:rsidR="007D1E74" w:rsidRDefault="00A95641">
      <w:pPr>
        <w:pStyle w:val="a8"/>
      </w:pPr>
      <w:r>
        <w:rPr>
          <w:rFonts w:hint="eastAsia"/>
        </w:rPr>
        <w:t>源项分析</w:t>
      </w:r>
    </w:p>
    <w:p w14:paraId="086B8C06" w14:textId="77777777" w:rsidR="007D1E74" w:rsidRDefault="00A95641">
      <w:pPr>
        <w:pStyle w:val="a9"/>
      </w:pPr>
      <w:r>
        <w:rPr>
          <w:rFonts w:hint="eastAsia"/>
        </w:rPr>
        <w:t>大气风险源项分析</w:t>
      </w:r>
    </w:p>
    <w:p w14:paraId="20E76506" w14:textId="77777777" w:rsidR="007D1E74" w:rsidRDefault="00A95641">
      <w:pPr>
        <w:pStyle w:val="aa"/>
      </w:pPr>
      <w:r>
        <w:rPr>
          <w:rFonts w:hint="eastAsia"/>
        </w:rPr>
        <w:t>物质泄漏量计算</w:t>
      </w:r>
    </w:p>
    <w:p w14:paraId="681B5C69" w14:textId="77777777" w:rsidR="007D1E74" w:rsidRDefault="00A95641">
      <w:pPr>
        <w:spacing w:line="360" w:lineRule="auto"/>
        <w:ind w:firstLineChars="200" w:firstLine="480"/>
        <w:rPr>
          <w:sz w:val="24"/>
          <w:szCs w:val="24"/>
        </w:rPr>
      </w:pPr>
      <w:r>
        <w:rPr>
          <w:rFonts w:hint="eastAsia"/>
          <w:sz w:val="24"/>
          <w:szCs w:val="24"/>
        </w:rPr>
        <w:lastRenderedPageBreak/>
        <w:t>依据前述分析，本项目集输管道输送介质为天然气，主要考虑管道腐蚀或应力作用引起的天然气泄漏事故。由于各个危险单元前后两端设置了紧急截断系统，设定事故发生时，管道按管径</w:t>
      </w:r>
      <w:r>
        <w:rPr>
          <w:rFonts w:hint="eastAsia"/>
          <w:sz w:val="24"/>
          <w:szCs w:val="24"/>
        </w:rPr>
        <w:t>100%</w:t>
      </w:r>
      <w:r>
        <w:rPr>
          <w:rFonts w:hint="eastAsia"/>
          <w:sz w:val="24"/>
          <w:szCs w:val="24"/>
        </w:rPr>
        <w:t>断裂，管线两端紧急启动截断阀的响应时间为</w:t>
      </w:r>
      <w:r>
        <w:rPr>
          <w:rFonts w:hint="eastAsia"/>
          <w:sz w:val="24"/>
          <w:szCs w:val="24"/>
        </w:rPr>
        <w:t>30s</w:t>
      </w:r>
      <w:r>
        <w:rPr>
          <w:rFonts w:hint="eastAsia"/>
          <w:sz w:val="24"/>
          <w:szCs w:val="24"/>
        </w:rPr>
        <w:t>，天然气泄漏量为断阀启动前的泄漏量和截断阀启动后管存量之和。</w:t>
      </w:r>
    </w:p>
    <w:p w14:paraId="7CB5220D" w14:textId="77777777" w:rsidR="007D1E74" w:rsidRDefault="00A95641">
      <w:pPr>
        <w:pStyle w:val="afffff7"/>
        <w:ind w:firstLine="482"/>
      </w:pPr>
      <w:r>
        <w:rPr>
          <w:rFonts w:hint="eastAsia"/>
        </w:rPr>
        <w:t>1</w:t>
      </w:r>
      <w:r>
        <w:rPr>
          <w:rFonts w:hint="eastAsia"/>
        </w:rPr>
        <w:t>、截断阀启动前泄漏量</w:t>
      </w:r>
    </w:p>
    <w:p w14:paraId="4BE83ADE" w14:textId="77777777" w:rsidR="007D1E74" w:rsidRDefault="00A95641">
      <w:pPr>
        <w:spacing w:line="360" w:lineRule="auto"/>
        <w:ind w:firstLineChars="200" w:firstLine="480"/>
        <w:rPr>
          <w:sz w:val="24"/>
          <w:szCs w:val="24"/>
        </w:rPr>
      </w:pPr>
      <w:r>
        <w:rPr>
          <w:rFonts w:hint="eastAsia"/>
          <w:sz w:val="24"/>
          <w:szCs w:val="24"/>
        </w:rPr>
        <w:t>截断阀启动前，泄漏量按管道正常工况下的实际流量计算，发生泄漏后，管线两端紧急启动截断阀响应时间为</w:t>
      </w:r>
      <w:r>
        <w:rPr>
          <w:rFonts w:hint="eastAsia"/>
          <w:sz w:val="24"/>
          <w:szCs w:val="24"/>
        </w:rPr>
        <w:t>30s</w:t>
      </w:r>
      <w:r>
        <w:rPr>
          <w:rFonts w:hint="eastAsia"/>
          <w:sz w:val="24"/>
          <w:szCs w:val="24"/>
        </w:rPr>
        <w:t>，则截断阀启动前泄漏量计算结果见下表。</w:t>
      </w:r>
    </w:p>
    <w:p w14:paraId="27273117" w14:textId="77777777" w:rsidR="007D1E74" w:rsidRDefault="00A95641">
      <w:pPr>
        <w:pStyle w:val="afffffe"/>
        <w:numPr>
          <w:ilvl w:val="0"/>
          <w:numId w:val="50"/>
        </w:numPr>
        <w:spacing w:line="360" w:lineRule="auto"/>
        <w:ind w:firstLineChars="0"/>
        <w:jc w:val="center"/>
        <w:rPr>
          <w:rFonts w:eastAsia="黑体" w:cs="Times New Roman"/>
          <w:szCs w:val="21"/>
        </w:rPr>
      </w:pPr>
      <w:r>
        <w:rPr>
          <w:rFonts w:eastAsia="黑体" w:cs="Times New Roman" w:hint="eastAsia"/>
          <w:szCs w:val="21"/>
        </w:rPr>
        <w:t>截断阀启动前天然气泄漏量计算结果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3"/>
        <w:gridCol w:w="1100"/>
        <w:gridCol w:w="1650"/>
        <w:gridCol w:w="1311"/>
        <w:gridCol w:w="1311"/>
        <w:gridCol w:w="1311"/>
      </w:tblGrid>
      <w:tr w:rsidR="007D1E74" w14:paraId="441B220B" w14:textId="77777777">
        <w:trPr>
          <w:tblHeader/>
          <w:jc w:val="center"/>
        </w:trPr>
        <w:tc>
          <w:tcPr>
            <w:tcW w:w="1294" w:type="pct"/>
            <w:vAlign w:val="center"/>
          </w:tcPr>
          <w:p w14:paraId="2592FC0D" w14:textId="77777777" w:rsidR="007D1E74" w:rsidRDefault="00A95641">
            <w:pPr>
              <w:jc w:val="center"/>
              <w:rPr>
                <w:rFonts w:cs="Times New Roman"/>
                <w:szCs w:val="21"/>
              </w:rPr>
            </w:pPr>
            <w:r>
              <w:rPr>
                <w:rFonts w:cs="Times New Roman"/>
                <w:szCs w:val="21"/>
              </w:rPr>
              <w:t>管段</w:t>
            </w:r>
          </w:p>
        </w:tc>
        <w:tc>
          <w:tcPr>
            <w:tcW w:w="610" w:type="pct"/>
            <w:vAlign w:val="center"/>
          </w:tcPr>
          <w:p w14:paraId="12DC3726" w14:textId="77777777" w:rsidR="007D1E74" w:rsidRDefault="00A95641">
            <w:pPr>
              <w:jc w:val="center"/>
              <w:rPr>
                <w:rFonts w:cs="Times New Roman"/>
                <w:szCs w:val="21"/>
              </w:rPr>
            </w:pPr>
            <w:r>
              <w:rPr>
                <w:rFonts w:cs="Times New Roman"/>
                <w:szCs w:val="21"/>
              </w:rPr>
              <w:t>泄漏物质</w:t>
            </w:r>
          </w:p>
        </w:tc>
        <w:tc>
          <w:tcPr>
            <w:tcW w:w="915" w:type="pct"/>
            <w:vAlign w:val="center"/>
          </w:tcPr>
          <w:p w14:paraId="253C57AA" w14:textId="77777777" w:rsidR="007D1E74" w:rsidRDefault="00A95641">
            <w:pPr>
              <w:jc w:val="center"/>
              <w:rPr>
                <w:rFonts w:cs="Times New Roman"/>
                <w:szCs w:val="21"/>
              </w:rPr>
            </w:pPr>
            <w:r>
              <w:rPr>
                <w:rFonts w:cs="Times New Roman"/>
                <w:szCs w:val="21"/>
              </w:rPr>
              <w:t>设计输气能力（</w:t>
            </w:r>
            <w:r>
              <w:rPr>
                <w:rFonts w:cs="Times New Roman"/>
                <w:szCs w:val="21"/>
              </w:rPr>
              <w:t>×10</w:t>
            </w:r>
            <w:r>
              <w:rPr>
                <w:rFonts w:cs="Times New Roman"/>
                <w:szCs w:val="21"/>
                <w:vertAlign w:val="superscript"/>
              </w:rPr>
              <w:t>4</w:t>
            </w:r>
            <w:r>
              <w:rPr>
                <w:rFonts w:cs="Times New Roman"/>
                <w:szCs w:val="21"/>
              </w:rPr>
              <w:t>m</w:t>
            </w:r>
            <w:r>
              <w:rPr>
                <w:rFonts w:cs="Times New Roman"/>
                <w:szCs w:val="21"/>
                <w:vertAlign w:val="superscript"/>
              </w:rPr>
              <w:t>3</w:t>
            </w:r>
            <w:r>
              <w:rPr>
                <w:rFonts w:cs="Times New Roman"/>
                <w:szCs w:val="21"/>
              </w:rPr>
              <w:t>/d</w:t>
            </w:r>
            <w:r>
              <w:rPr>
                <w:rFonts w:cs="Times New Roman"/>
                <w:szCs w:val="21"/>
              </w:rPr>
              <w:t>）</w:t>
            </w:r>
          </w:p>
        </w:tc>
        <w:tc>
          <w:tcPr>
            <w:tcW w:w="727" w:type="pct"/>
            <w:vAlign w:val="center"/>
          </w:tcPr>
          <w:p w14:paraId="16FBEAB4" w14:textId="77777777" w:rsidR="007D1E74" w:rsidRDefault="00A95641">
            <w:pPr>
              <w:jc w:val="center"/>
              <w:rPr>
                <w:rFonts w:cs="Times New Roman"/>
                <w:szCs w:val="21"/>
              </w:rPr>
            </w:pPr>
            <w:r>
              <w:rPr>
                <w:rFonts w:cs="Times New Roman"/>
                <w:szCs w:val="21"/>
              </w:rPr>
              <w:t>泄漏速率（</w:t>
            </w:r>
            <w:r>
              <w:rPr>
                <w:rFonts w:cs="Times New Roman"/>
                <w:szCs w:val="21"/>
              </w:rPr>
              <w:t>kg/s</w:t>
            </w:r>
            <w:r>
              <w:rPr>
                <w:rFonts w:cs="Times New Roman"/>
                <w:szCs w:val="21"/>
              </w:rPr>
              <w:t>）</w:t>
            </w:r>
          </w:p>
        </w:tc>
        <w:tc>
          <w:tcPr>
            <w:tcW w:w="727" w:type="pct"/>
            <w:vAlign w:val="center"/>
          </w:tcPr>
          <w:p w14:paraId="5967BBFA" w14:textId="77777777" w:rsidR="007D1E74" w:rsidRDefault="00A95641">
            <w:pPr>
              <w:jc w:val="center"/>
              <w:rPr>
                <w:rFonts w:cs="Times New Roman"/>
                <w:szCs w:val="21"/>
              </w:rPr>
            </w:pPr>
            <w:r>
              <w:rPr>
                <w:rFonts w:cs="Times New Roman"/>
                <w:szCs w:val="21"/>
              </w:rPr>
              <w:t>泄漏时间（</w:t>
            </w:r>
            <w:r>
              <w:rPr>
                <w:rFonts w:cs="Times New Roman"/>
                <w:szCs w:val="21"/>
              </w:rPr>
              <w:t>s</w:t>
            </w:r>
            <w:r>
              <w:rPr>
                <w:rFonts w:cs="Times New Roman"/>
                <w:szCs w:val="21"/>
              </w:rPr>
              <w:t>）</w:t>
            </w:r>
          </w:p>
        </w:tc>
        <w:tc>
          <w:tcPr>
            <w:tcW w:w="727" w:type="pct"/>
            <w:vAlign w:val="center"/>
          </w:tcPr>
          <w:p w14:paraId="7BA355AF" w14:textId="77777777" w:rsidR="007D1E74" w:rsidRDefault="00A95641">
            <w:pPr>
              <w:jc w:val="center"/>
              <w:rPr>
                <w:rFonts w:cs="Times New Roman"/>
                <w:szCs w:val="21"/>
              </w:rPr>
            </w:pPr>
            <w:r>
              <w:rPr>
                <w:rFonts w:cs="Times New Roman"/>
                <w:szCs w:val="21"/>
              </w:rPr>
              <w:t>泄漏量（</w:t>
            </w:r>
            <w:r>
              <w:rPr>
                <w:rFonts w:cs="Times New Roman"/>
                <w:szCs w:val="21"/>
              </w:rPr>
              <w:t>kg</w:t>
            </w:r>
            <w:r>
              <w:rPr>
                <w:rFonts w:cs="Times New Roman"/>
                <w:szCs w:val="21"/>
              </w:rPr>
              <w:t>）</w:t>
            </w:r>
          </w:p>
        </w:tc>
      </w:tr>
      <w:tr w:rsidR="007D1E74" w14:paraId="7270085D" w14:textId="77777777">
        <w:trPr>
          <w:trHeight w:val="70"/>
          <w:jc w:val="center"/>
        </w:trPr>
        <w:tc>
          <w:tcPr>
            <w:tcW w:w="1294" w:type="pct"/>
            <w:vAlign w:val="center"/>
          </w:tcPr>
          <w:p w14:paraId="5FF5E96B" w14:textId="77777777" w:rsidR="007D1E74" w:rsidRDefault="00A95641">
            <w:pPr>
              <w:jc w:val="center"/>
              <w:rPr>
                <w:rFonts w:cstheme="minorHAnsi"/>
                <w:szCs w:val="21"/>
              </w:rPr>
            </w:pPr>
            <w:r>
              <w:rPr>
                <w:rFonts w:cstheme="minorHAnsi" w:hint="eastAsia"/>
                <w:szCs w:val="21"/>
              </w:rPr>
              <w:t>1#</w:t>
            </w:r>
            <w:r>
              <w:rPr>
                <w:rFonts w:cstheme="minorHAnsi" w:hint="eastAsia"/>
                <w:szCs w:val="21"/>
              </w:rPr>
              <w:t>阀室至马</w:t>
            </w:r>
            <w:r>
              <w:rPr>
                <w:rFonts w:cstheme="minorHAnsi" w:hint="eastAsia"/>
                <w:szCs w:val="21"/>
              </w:rPr>
              <w:t>1-11</w:t>
            </w:r>
            <w:r>
              <w:rPr>
                <w:rFonts w:cstheme="minorHAnsi" w:hint="eastAsia"/>
                <w:szCs w:val="21"/>
              </w:rPr>
              <w:t>脱水井场集输干线</w:t>
            </w:r>
          </w:p>
        </w:tc>
        <w:tc>
          <w:tcPr>
            <w:tcW w:w="610" w:type="pct"/>
            <w:vAlign w:val="center"/>
          </w:tcPr>
          <w:p w14:paraId="78089D83" w14:textId="77777777" w:rsidR="007D1E74" w:rsidRDefault="00A95641">
            <w:pPr>
              <w:jc w:val="center"/>
              <w:rPr>
                <w:rFonts w:cs="Times New Roman"/>
                <w:szCs w:val="21"/>
              </w:rPr>
            </w:pPr>
            <w:r>
              <w:rPr>
                <w:rFonts w:cs="Times New Roman"/>
                <w:szCs w:val="21"/>
              </w:rPr>
              <w:t>天然气</w:t>
            </w:r>
          </w:p>
        </w:tc>
        <w:tc>
          <w:tcPr>
            <w:tcW w:w="915" w:type="pct"/>
            <w:vAlign w:val="center"/>
          </w:tcPr>
          <w:p w14:paraId="7D8F9D27" w14:textId="77777777" w:rsidR="007D1E74" w:rsidRDefault="00A95641">
            <w:pPr>
              <w:jc w:val="center"/>
              <w:rPr>
                <w:szCs w:val="21"/>
              </w:rPr>
            </w:pPr>
            <w:r>
              <w:rPr>
                <w:rFonts w:hint="eastAsia"/>
                <w:szCs w:val="21"/>
              </w:rPr>
              <w:t>1</w:t>
            </w:r>
            <w:r>
              <w:rPr>
                <w:szCs w:val="21"/>
              </w:rPr>
              <w:t>50</w:t>
            </w:r>
          </w:p>
        </w:tc>
        <w:tc>
          <w:tcPr>
            <w:tcW w:w="727" w:type="pct"/>
            <w:vAlign w:val="center"/>
          </w:tcPr>
          <w:p w14:paraId="098CD709" w14:textId="77777777" w:rsidR="007D1E74" w:rsidRDefault="00A95641">
            <w:pPr>
              <w:widowControl/>
              <w:jc w:val="center"/>
              <w:rPr>
                <w:rFonts w:cs="Times New Roman"/>
                <w:szCs w:val="21"/>
              </w:rPr>
            </w:pPr>
            <w:r>
              <w:rPr>
                <w:rFonts w:cs="Times New Roman"/>
                <w:szCs w:val="21"/>
              </w:rPr>
              <w:t>777.26</w:t>
            </w:r>
          </w:p>
        </w:tc>
        <w:tc>
          <w:tcPr>
            <w:tcW w:w="727" w:type="pct"/>
            <w:vAlign w:val="center"/>
          </w:tcPr>
          <w:p w14:paraId="7B221D1A" w14:textId="77777777" w:rsidR="007D1E74" w:rsidRDefault="00A95641">
            <w:pPr>
              <w:jc w:val="center"/>
              <w:rPr>
                <w:rFonts w:cs="Times New Roman"/>
                <w:szCs w:val="21"/>
              </w:rPr>
            </w:pPr>
            <w:r>
              <w:rPr>
                <w:rFonts w:cs="Times New Roman"/>
                <w:szCs w:val="21"/>
              </w:rPr>
              <w:t>30</w:t>
            </w:r>
          </w:p>
        </w:tc>
        <w:tc>
          <w:tcPr>
            <w:tcW w:w="727" w:type="pct"/>
            <w:vAlign w:val="center"/>
          </w:tcPr>
          <w:p w14:paraId="66C36E6C" w14:textId="77777777" w:rsidR="007D1E74" w:rsidRDefault="00A95641">
            <w:pPr>
              <w:widowControl/>
              <w:jc w:val="center"/>
              <w:rPr>
                <w:rFonts w:cs="Times New Roman"/>
                <w:szCs w:val="21"/>
              </w:rPr>
            </w:pPr>
            <w:r>
              <w:rPr>
                <w:rFonts w:cs="Times New Roman"/>
                <w:szCs w:val="21"/>
              </w:rPr>
              <w:t>23317.71</w:t>
            </w:r>
          </w:p>
        </w:tc>
      </w:tr>
      <w:tr w:rsidR="007D1E74" w14:paraId="5453DFA6" w14:textId="77777777">
        <w:trPr>
          <w:trHeight w:val="70"/>
          <w:jc w:val="center"/>
        </w:trPr>
        <w:tc>
          <w:tcPr>
            <w:tcW w:w="1294" w:type="pct"/>
            <w:vAlign w:val="center"/>
          </w:tcPr>
          <w:p w14:paraId="4EFDBD8A" w14:textId="77777777" w:rsidR="007D1E74" w:rsidRDefault="00A95641">
            <w:pPr>
              <w:jc w:val="center"/>
              <w:rPr>
                <w:rFonts w:cstheme="minorHAnsi"/>
                <w:szCs w:val="21"/>
              </w:rPr>
            </w:pPr>
            <w:r>
              <w:rPr>
                <w:rFonts w:cstheme="minorHAnsi" w:hint="eastAsia"/>
                <w:szCs w:val="21"/>
              </w:rPr>
              <w:t>马</w:t>
            </w:r>
            <w:r>
              <w:rPr>
                <w:rFonts w:cstheme="minorHAnsi" w:hint="eastAsia"/>
                <w:szCs w:val="21"/>
              </w:rPr>
              <w:t>1-10H</w:t>
            </w:r>
            <w:r>
              <w:rPr>
                <w:rFonts w:cstheme="minorHAnsi" w:hint="eastAsia"/>
                <w:szCs w:val="21"/>
              </w:rPr>
              <w:t>采气井场至马</w:t>
            </w:r>
            <w:r>
              <w:rPr>
                <w:rFonts w:cstheme="minorHAnsi" w:hint="eastAsia"/>
                <w:szCs w:val="21"/>
              </w:rPr>
              <w:t>1-1</w:t>
            </w:r>
            <w:r>
              <w:rPr>
                <w:rFonts w:cstheme="minorHAnsi" w:hint="eastAsia"/>
                <w:szCs w:val="21"/>
              </w:rPr>
              <w:t>集气支线</w:t>
            </w:r>
          </w:p>
        </w:tc>
        <w:tc>
          <w:tcPr>
            <w:tcW w:w="610" w:type="pct"/>
            <w:vAlign w:val="center"/>
          </w:tcPr>
          <w:p w14:paraId="775D2461" w14:textId="77777777" w:rsidR="007D1E74" w:rsidRDefault="00A95641">
            <w:pPr>
              <w:jc w:val="center"/>
              <w:rPr>
                <w:rFonts w:cs="Times New Roman"/>
                <w:szCs w:val="21"/>
              </w:rPr>
            </w:pPr>
            <w:r>
              <w:rPr>
                <w:rFonts w:cs="Times New Roman"/>
                <w:szCs w:val="21"/>
              </w:rPr>
              <w:t>天然气</w:t>
            </w:r>
          </w:p>
        </w:tc>
        <w:tc>
          <w:tcPr>
            <w:tcW w:w="915" w:type="pct"/>
            <w:vAlign w:val="center"/>
          </w:tcPr>
          <w:p w14:paraId="4B49A7DB" w14:textId="77777777" w:rsidR="007D1E74" w:rsidRDefault="00A95641">
            <w:pPr>
              <w:jc w:val="center"/>
              <w:rPr>
                <w:szCs w:val="21"/>
              </w:rPr>
            </w:pPr>
            <w:r>
              <w:rPr>
                <w:rFonts w:hint="eastAsia"/>
                <w:szCs w:val="21"/>
              </w:rPr>
              <w:t>5~</w:t>
            </w:r>
            <w:r>
              <w:rPr>
                <w:szCs w:val="21"/>
              </w:rPr>
              <w:t>15</w:t>
            </w:r>
          </w:p>
        </w:tc>
        <w:tc>
          <w:tcPr>
            <w:tcW w:w="727" w:type="pct"/>
            <w:vAlign w:val="center"/>
          </w:tcPr>
          <w:p w14:paraId="63B957E5" w14:textId="77777777" w:rsidR="007D1E74" w:rsidRDefault="00A95641">
            <w:pPr>
              <w:jc w:val="center"/>
              <w:rPr>
                <w:rFonts w:cs="Times New Roman"/>
                <w:szCs w:val="21"/>
              </w:rPr>
            </w:pPr>
            <w:r>
              <w:rPr>
                <w:rFonts w:cs="Times New Roman"/>
                <w:szCs w:val="21"/>
              </w:rPr>
              <w:t>77.73</w:t>
            </w:r>
          </w:p>
        </w:tc>
        <w:tc>
          <w:tcPr>
            <w:tcW w:w="727" w:type="pct"/>
            <w:vAlign w:val="center"/>
          </w:tcPr>
          <w:p w14:paraId="586DD624" w14:textId="77777777" w:rsidR="007D1E74" w:rsidRDefault="00A95641">
            <w:pPr>
              <w:jc w:val="center"/>
            </w:pPr>
            <w:r>
              <w:rPr>
                <w:rFonts w:cs="Times New Roman"/>
                <w:szCs w:val="21"/>
              </w:rPr>
              <w:t>30</w:t>
            </w:r>
          </w:p>
        </w:tc>
        <w:tc>
          <w:tcPr>
            <w:tcW w:w="727" w:type="pct"/>
            <w:vAlign w:val="center"/>
          </w:tcPr>
          <w:p w14:paraId="08BCF6C7" w14:textId="77777777" w:rsidR="007D1E74" w:rsidRDefault="00A95641">
            <w:pPr>
              <w:jc w:val="center"/>
              <w:rPr>
                <w:rFonts w:cs="Times New Roman"/>
                <w:szCs w:val="21"/>
              </w:rPr>
            </w:pPr>
            <w:r>
              <w:rPr>
                <w:rFonts w:cs="Times New Roman"/>
                <w:szCs w:val="21"/>
              </w:rPr>
              <w:t>2331.77</w:t>
            </w:r>
          </w:p>
        </w:tc>
      </w:tr>
      <w:tr w:rsidR="007D1E74" w14:paraId="773D80CB" w14:textId="77777777">
        <w:trPr>
          <w:trHeight w:val="70"/>
          <w:jc w:val="center"/>
        </w:trPr>
        <w:tc>
          <w:tcPr>
            <w:tcW w:w="1294" w:type="pct"/>
            <w:vAlign w:val="center"/>
          </w:tcPr>
          <w:p w14:paraId="30B7B55A" w14:textId="77777777" w:rsidR="007D1E74" w:rsidRDefault="00A95641">
            <w:pPr>
              <w:jc w:val="center"/>
              <w:rPr>
                <w:rFonts w:cstheme="minorHAnsi"/>
                <w:szCs w:val="21"/>
              </w:rPr>
            </w:pPr>
            <w:r>
              <w:rPr>
                <w:rFonts w:cstheme="minorHAnsi" w:hint="eastAsia"/>
                <w:szCs w:val="21"/>
              </w:rPr>
              <w:t>马</w:t>
            </w:r>
            <w:r>
              <w:rPr>
                <w:rFonts w:cstheme="minorHAnsi" w:hint="eastAsia"/>
                <w:szCs w:val="21"/>
              </w:rPr>
              <w:t>1-</w:t>
            </w:r>
            <w:r>
              <w:rPr>
                <w:rFonts w:cstheme="minorHAnsi"/>
                <w:szCs w:val="21"/>
              </w:rPr>
              <w:t>1</w:t>
            </w:r>
            <w:r>
              <w:rPr>
                <w:rFonts w:cstheme="minorHAnsi"/>
                <w:szCs w:val="21"/>
              </w:rPr>
              <w:t>采气井场至干线集气支线</w:t>
            </w:r>
          </w:p>
        </w:tc>
        <w:tc>
          <w:tcPr>
            <w:tcW w:w="610" w:type="pct"/>
            <w:vAlign w:val="center"/>
          </w:tcPr>
          <w:p w14:paraId="12B51391" w14:textId="77777777" w:rsidR="007D1E74" w:rsidRDefault="00A95641">
            <w:pPr>
              <w:jc w:val="center"/>
              <w:rPr>
                <w:rFonts w:cs="Times New Roman"/>
                <w:szCs w:val="21"/>
              </w:rPr>
            </w:pPr>
            <w:r>
              <w:rPr>
                <w:rFonts w:cs="Times New Roman"/>
                <w:szCs w:val="21"/>
              </w:rPr>
              <w:t>天然气</w:t>
            </w:r>
          </w:p>
        </w:tc>
        <w:tc>
          <w:tcPr>
            <w:tcW w:w="915" w:type="pct"/>
            <w:vAlign w:val="center"/>
          </w:tcPr>
          <w:p w14:paraId="47BC5B4C" w14:textId="77777777" w:rsidR="007D1E74" w:rsidRDefault="00A95641">
            <w:pPr>
              <w:jc w:val="center"/>
              <w:rPr>
                <w:szCs w:val="21"/>
              </w:rPr>
            </w:pPr>
            <w:r>
              <w:rPr>
                <w:rFonts w:hint="eastAsia"/>
                <w:szCs w:val="21"/>
              </w:rPr>
              <w:t>5~</w:t>
            </w:r>
            <w:r>
              <w:rPr>
                <w:szCs w:val="21"/>
              </w:rPr>
              <w:t>15</w:t>
            </w:r>
          </w:p>
        </w:tc>
        <w:tc>
          <w:tcPr>
            <w:tcW w:w="727" w:type="pct"/>
            <w:vAlign w:val="center"/>
          </w:tcPr>
          <w:p w14:paraId="2007403D" w14:textId="77777777" w:rsidR="007D1E74" w:rsidRDefault="00A95641">
            <w:pPr>
              <w:jc w:val="center"/>
              <w:rPr>
                <w:rFonts w:cs="Times New Roman"/>
                <w:szCs w:val="21"/>
              </w:rPr>
            </w:pPr>
            <w:r>
              <w:rPr>
                <w:rFonts w:cs="Times New Roman"/>
                <w:szCs w:val="21"/>
              </w:rPr>
              <w:t>77.73</w:t>
            </w:r>
          </w:p>
        </w:tc>
        <w:tc>
          <w:tcPr>
            <w:tcW w:w="727" w:type="pct"/>
            <w:vAlign w:val="center"/>
          </w:tcPr>
          <w:p w14:paraId="51381E87" w14:textId="77777777" w:rsidR="007D1E74" w:rsidRDefault="00A95641">
            <w:pPr>
              <w:jc w:val="center"/>
            </w:pPr>
            <w:r>
              <w:rPr>
                <w:rFonts w:cs="Times New Roman"/>
                <w:szCs w:val="21"/>
              </w:rPr>
              <w:t>30</w:t>
            </w:r>
          </w:p>
        </w:tc>
        <w:tc>
          <w:tcPr>
            <w:tcW w:w="727" w:type="pct"/>
            <w:vAlign w:val="center"/>
          </w:tcPr>
          <w:p w14:paraId="70F80DFC" w14:textId="77777777" w:rsidR="007D1E74" w:rsidRDefault="00A95641">
            <w:pPr>
              <w:jc w:val="center"/>
              <w:rPr>
                <w:rFonts w:cs="Times New Roman"/>
                <w:szCs w:val="21"/>
              </w:rPr>
            </w:pPr>
            <w:r>
              <w:rPr>
                <w:rFonts w:cs="Times New Roman"/>
                <w:szCs w:val="21"/>
              </w:rPr>
              <w:t>2331.77</w:t>
            </w:r>
          </w:p>
        </w:tc>
      </w:tr>
      <w:tr w:rsidR="007D1E74" w14:paraId="54442610" w14:textId="77777777">
        <w:trPr>
          <w:trHeight w:val="70"/>
          <w:jc w:val="center"/>
        </w:trPr>
        <w:tc>
          <w:tcPr>
            <w:tcW w:w="1294" w:type="pct"/>
            <w:vAlign w:val="center"/>
          </w:tcPr>
          <w:p w14:paraId="0D82DC84" w14:textId="77777777" w:rsidR="007D1E74" w:rsidRDefault="00A95641">
            <w:pPr>
              <w:jc w:val="center"/>
              <w:rPr>
                <w:rFonts w:cstheme="minorHAnsi"/>
                <w:szCs w:val="21"/>
              </w:rPr>
            </w:pPr>
            <w:r>
              <w:rPr>
                <w:rFonts w:cstheme="minorHAnsi" w:hint="eastAsia"/>
                <w:szCs w:val="21"/>
              </w:rPr>
              <w:t>马</w:t>
            </w:r>
            <w:r>
              <w:rPr>
                <w:rFonts w:cstheme="minorHAnsi" w:hint="eastAsia"/>
                <w:szCs w:val="21"/>
              </w:rPr>
              <w:t>1-</w:t>
            </w:r>
            <w:r>
              <w:rPr>
                <w:rFonts w:cstheme="minorHAnsi"/>
                <w:szCs w:val="21"/>
              </w:rPr>
              <w:t>13H</w:t>
            </w:r>
            <w:r>
              <w:rPr>
                <w:rFonts w:cstheme="minorHAnsi"/>
                <w:szCs w:val="21"/>
              </w:rPr>
              <w:t>采气井场至干线集气支线</w:t>
            </w:r>
          </w:p>
        </w:tc>
        <w:tc>
          <w:tcPr>
            <w:tcW w:w="610" w:type="pct"/>
            <w:vAlign w:val="center"/>
          </w:tcPr>
          <w:p w14:paraId="705275AA" w14:textId="77777777" w:rsidR="007D1E74" w:rsidRDefault="00A95641">
            <w:pPr>
              <w:jc w:val="center"/>
              <w:rPr>
                <w:rFonts w:cs="Times New Roman"/>
                <w:szCs w:val="21"/>
              </w:rPr>
            </w:pPr>
            <w:r>
              <w:rPr>
                <w:rFonts w:cs="Times New Roman"/>
                <w:szCs w:val="21"/>
              </w:rPr>
              <w:t>天然气</w:t>
            </w:r>
          </w:p>
        </w:tc>
        <w:tc>
          <w:tcPr>
            <w:tcW w:w="915" w:type="pct"/>
            <w:vAlign w:val="center"/>
          </w:tcPr>
          <w:p w14:paraId="2678E010" w14:textId="77777777" w:rsidR="007D1E74" w:rsidRDefault="00A95641">
            <w:pPr>
              <w:jc w:val="center"/>
              <w:rPr>
                <w:szCs w:val="21"/>
              </w:rPr>
            </w:pPr>
            <w:r>
              <w:rPr>
                <w:rFonts w:hint="eastAsia"/>
                <w:szCs w:val="21"/>
              </w:rPr>
              <w:t>5~</w:t>
            </w:r>
            <w:r>
              <w:rPr>
                <w:szCs w:val="21"/>
              </w:rPr>
              <w:t>15</w:t>
            </w:r>
          </w:p>
        </w:tc>
        <w:tc>
          <w:tcPr>
            <w:tcW w:w="727" w:type="pct"/>
            <w:vAlign w:val="center"/>
          </w:tcPr>
          <w:p w14:paraId="06388F79" w14:textId="77777777" w:rsidR="007D1E74" w:rsidRDefault="00A95641">
            <w:pPr>
              <w:jc w:val="center"/>
              <w:rPr>
                <w:rFonts w:cs="Times New Roman"/>
                <w:szCs w:val="21"/>
              </w:rPr>
            </w:pPr>
            <w:r>
              <w:rPr>
                <w:rFonts w:cs="Times New Roman"/>
                <w:szCs w:val="21"/>
              </w:rPr>
              <w:t>77.73</w:t>
            </w:r>
          </w:p>
        </w:tc>
        <w:tc>
          <w:tcPr>
            <w:tcW w:w="727" w:type="pct"/>
            <w:vAlign w:val="center"/>
          </w:tcPr>
          <w:p w14:paraId="42E4B746" w14:textId="77777777" w:rsidR="007D1E74" w:rsidRDefault="00A95641">
            <w:pPr>
              <w:jc w:val="center"/>
            </w:pPr>
            <w:r>
              <w:rPr>
                <w:rFonts w:cs="Times New Roman"/>
                <w:szCs w:val="21"/>
              </w:rPr>
              <w:t>30</w:t>
            </w:r>
          </w:p>
        </w:tc>
        <w:tc>
          <w:tcPr>
            <w:tcW w:w="727" w:type="pct"/>
            <w:vAlign w:val="center"/>
          </w:tcPr>
          <w:p w14:paraId="5B57D99C" w14:textId="77777777" w:rsidR="007D1E74" w:rsidRDefault="00A95641">
            <w:pPr>
              <w:jc w:val="center"/>
              <w:rPr>
                <w:rFonts w:cs="Times New Roman"/>
                <w:szCs w:val="21"/>
              </w:rPr>
            </w:pPr>
            <w:r>
              <w:rPr>
                <w:rFonts w:cs="Times New Roman"/>
                <w:szCs w:val="21"/>
              </w:rPr>
              <w:t>2331.77</w:t>
            </w:r>
          </w:p>
        </w:tc>
      </w:tr>
      <w:tr w:rsidR="007D1E74" w14:paraId="423D3202" w14:textId="77777777">
        <w:trPr>
          <w:trHeight w:val="70"/>
          <w:jc w:val="center"/>
        </w:trPr>
        <w:tc>
          <w:tcPr>
            <w:tcW w:w="1294" w:type="pct"/>
            <w:vAlign w:val="center"/>
          </w:tcPr>
          <w:p w14:paraId="55751F55" w14:textId="77777777" w:rsidR="007D1E74" w:rsidRDefault="00A95641">
            <w:pPr>
              <w:jc w:val="center"/>
              <w:rPr>
                <w:rFonts w:cstheme="minorHAnsi"/>
                <w:szCs w:val="21"/>
              </w:rPr>
            </w:pPr>
            <w:r>
              <w:rPr>
                <w:rFonts w:cstheme="minorHAnsi" w:hint="eastAsia"/>
                <w:szCs w:val="21"/>
              </w:rPr>
              <w:t>马</w:t>
            </w:r>
            <w:r>
              <w:rPr>
                <w:rFonts w:cstheme="minorHAnsi" w:hint="eastAsia"/>
                <w:szCs w:val="21"/>
              </w:rPr>
              <w:t>1-</w:t>
            </w:r>
            <w:r>
              <w:rPr>
                <w:rFonts w:cstheme="minorHAnsi"/>
                <w:szCs w:val="21"/>
              </w:rPr>
              <w:t>12H</w:t>
            </w:r>
            <w:r>
              <w:rPr>
                <w:rFonts w:cstheme="minorHAnsi"/>
                <w:szCs w:val="21"/>
              </w:rPr>
              <w:t>采气井场至干线集气支线</w:t>
            </w:r>
          </w:p>
        </w:tc>
        <w:tc>
          <w:tcPr>
            <w:tcW w:w="610" w:type="pct"/>
            <w:vAlign w:val="center"/>
          </w:tcPr>
          <w:p w14:paraId="093FF2D3" w14:textId="77777777" w:rsidR="007D1E74" w:rsidRDefault="00A95641">
            <w:pPr>
              <w:jc w:val="center"/>
              <w:rPr>
                <w:rFonts w:cs="Times New Roman"/>
                <w:szCs w:val="21"/>
              </w:rPr>
            </w:pPr>
            <w:r>
              <w:rPr>
                <w:rFonts w:cs="Times New Roman"/>
                <w:szCs w:val="21"/>
              </w:rPr>
              <w:t>天然气</w:t>
            </w:r>
          </w:p>
        </w:tc>
        <w:tc>
          <w:tcPr>
            <w:tcW w:w="915" w:type="pct"/>
            <w:vAlign w:val="center"/>
          </w:tcPr>
          <w:p w14:paraId="75532E30" w14:textId="77777777" w:rsidR="007D1E74" w:rsidRDefault="00A95641">
            <w:pPr>
              <w:jc w:val="center"/>
              <w:rPr>
                <w:szCs w:val="21"/>
              </w:rPr>
            </w:pPr>
            <w:r>
              <w:rPr>
                <w:rFonts w:hint="eastAsia"/>
                <w:szCs w:val="21"/>
              </w:rPr>
              <w:t>5~</w:t>
            </w:r>
            <w:r>
              <w:rPr>
                <w:szCs w:val="21"/>
              </w:rPr>
              <w:t>15</w:t>
            </w:r>
          </w:p>
        </w:tc>
        <w:tc>
          <w:tcPr>
            <w:tcW w:w="727" w:type="pct"/>
            <w:vAlign w:val="center"/>
          </w:tcPr>
          <w:p w14:paraId="131FE7B8" w14:textId="77777777" w:rsidR="007D1E74" w:rsidRDefault="00A95641">
            <w:pPr>
              <w:jc w:val="center"/>
              <w:rPr>
                <w:rFonts w:cs="Times New Roman"/>
                <w:szCs w:val="21"/>
              </w:rPr>
            </w:pPr>
            <w:r>
              <w:rPr>
                <w:rFonts w:cs="Times New Roman"/>
                <w:szCs w:val="21"/>
              </w:rPr>
              <w:t>77.73</w:t>
            </w:r>
          </w:p>
        </w:tc>
        <w:tc>
          <w:tcPr>
            <w:tcW w:w="727" w:type="pct"/>
            <w:vAlign w:val="center"/>
          </w:tcPr>
          <w:p w14:paraId="4A09301F" w14:textId="77777777" w:rsidR="007D1E74" w:rsidRDefault="00A95641">
            <w:pPr>
              <w:jc w:val="center"/>
            </w:pPr>
            <w:r>
              <w:rPr>
                <w:rFonts w:cs="Times New Roman"/>
                <w:szCs w:val="21"/>
              </w:rPr>
              <w:t>30</w:t>
            </w:r>
          </w:p>
        </w:tc>
        <w:tc>
          <w:tcPr>
            <w:tcW w:w="727" w:type="pct"/>
            <w:vAlign w:val="center"/>
          </w:tcPr>
          <w:p w14:paraId="5D87EA87" w14:textId="77777777" w:rsidR="007D1E74" w:rsidRDefault="00A95641">
            <w:pPr>
              <w:jc w:val="center"/>
              <w:rPr>
                <w:rFonts w:cs="Times New Roman"/>
                <w:szCs w:val="21"/>
              </w:rPr>
            </w:pPr>
            <w:r>
              <w:rPr>
                <w:rFonts w:cs="Times New Roman"/>
                <w:szCs w:val="21"/>
              </w:rPr>
              <w:t>2331.77</w:t>
            </w:r>
          </w:p>
        </w:tc>
      </w:tr>
      <w:tr w:rsidR="007D1E74" w14:paraId="5873BBFF" w14:textId="77777777">
        <w:trPr>
          <w:trHeight w:val="70"/>
          <w:jc w:val="center"/>
        </w:trPr>
        <w:tc>
          <w:tcPr>
            <w:tcW w:w="1294" w:type="pct"/>
            <w:vAlign w:val="center"/>
          </w:tcPr>
          <w:p w14:paraId="40B43EF5" w14:textId="77777777" w:rsidR="007D1E74" w:rsidRDefault="00A95641">
            <w:pPr>
              <w:jc w:val="center"/>
              <w:rPr>
                <w:rFonts w:cstheme="minorHAnsi"/>
                <w:szCs w:val="21"/>
              </w:rPr>
            </w:pPr>
            <w:r>
              <w:rPr>
                <w:rFonts w:cstheme="minorHAnsi" w:hint="eastAsia"/>
                <w:szCs w:val="21"/>
              </w:rPr>
              <w:t>马</w:t>
            </w:r>
            <w:r>
              <w:rPr>
                <w:rFonts w:cstheme="minorHAnsi" w:hint="eastAsia"/>
                <w:szCs w:val="21"/>
              </w:rPr>
              <w:t>1-</w:t>
            </w:r>
            <w:r>
              <w:rPr>
                <w:rFonts w:cstheme="minorHAnsi"/>
                <w:szCs w:val="21"/>
              </w:rPr>
              <w:t>11</w:t>
            </w:r>
            <w:r>
              <w:rPr>
                <w:rFonts w:cstheme="minorHAnsi"/>
                <w:szCs w:val="21"/>
              </w:rPr>
              <w:t>脱水井场至</w:t>
            </w:r>
            <w:r>
              <w:rPr>
                <w:rFonts w:cstheme="minorHAnsi" w:hint="eastAsia"/>
                <w:szCs w:val="21"/>
              </w:rPr>
              <w:t>4#</w:t>
            </w:r>
            <w:r>
              <w:rPr>
                <w:rFonts w:cstheme="minorHAnsi" w:hint="eastAsia"/>
                <w:szCs w:val="21"/>
              </w:rPr>
              <w:t>清管阀组集输干线</w:t>
            </w:r>
          </w:p>
        </w:tc>
        <w:tc>
          <w:tcPr>
            <w:tcW w:w="610" w:type="pct"/>
            <w:vAlign w:val="center"/>
          </w:tcPr>
          <w:p w14:paraId="5DE01ABD" w14:textId="77777777" w:rsidR="007D1E74" w:rsidRDefault="00A95641">
            <w:pPr>
              <w:jc w:val="center"/>
              <w:rPr>
                <w:rFonts w:cs="Times New Roman"/>
                <w:szCs w:val="21"/>
              </w:rPr>
            </w:pPr>
            <w:r>
              <w:rPr>
                <w:rFonts w:cs="Times New Roman"/>
                <w:szCs w:val="21"/>
              </w:rPr>
              <w:t>天然气</w:t>
            </w:r>
          </w:p>
        </w:tc>
        <w:tc>
          <w:tcPr>
            <w:tcW w:w="915" w:type="pct"/>
            <w:vAlign w:val="center"/>
          </w:tcPr>
          <w:p w14:paraId="796EA76A" w14:textId="77777777" w:rsidR="007D1E74" w:rsidRDefault="00A95641">
            <w:pPr>
              <w:jc w:val="center"/>
              <w:rPr>
                <w:szCs w:val="21"/>
              </w:rPr>
            </w:pPr>
            <w:r>
              <w:rPr>
                <w:rFonts w:hint="eastAsia"/>
                <w:szCs w:val="21"/>
              </w:rPr>
              <w:t>1</w:t>
            </w:r>
            <w:r>
              <w:rPr>
                <w:szCs w:val="21"/>
              </w:rPr>
              <w:t>50</w:t>
            </w:r>
          </w:p>
        </w:tc>
        <w:tc>
          <w:tcPr>
            <w:tcW w:w="727" w:type="pct"/>
            <w:vAlign w:val="center"/>
          </w:tcPr>
          <w:p w14:paraId="251976C9" w14:textId="77777777" w:rsidR="007D1E74" w:rsidRDefault="00A95641">
            <w:pPr>
              <w:jc w:val="center"/>
              <w:rPr>
                <w:rFonts w:cs="Times New Roman"/>
                <w:szCs w:val="21"/>
              </w:rPr>
            </w:pPr>
            <w:r>
              <w:rPr>
                <w:rFonts w:cs="Times New Roman"/>
                <w:szCs w:val="21"/>
              </w:rPr>
              <w:t>777.26</w:t>
            </w:r>
          </w:p>
        </w:tc>
        <w:tc>
          <w:tcPr>
            <w:tcW w:w="727" w:type="pct"/>
            <w:vAlign w:val="center"/>
          </w:tcPr>
          <w:p w14:paraId="5CEEB870" w14:textId="77777777" w:rsidR="007D1E74" w:rsidRDefault="00A95641">
            <w:pPr>
              <w:jc w:val="center"/>
            </w:pPr>
            <w:r>
              <w:rPr>
                <w:rFonts w:cs="Times New Roman"/>
                <w:szCs w:val="21"/>
              </w:rPr>
              <w:t>30</w:t>
            </w:r>
          </w:p>
        </w:tc>
        <w:tc>
          <w:tcPr>
            <w:tcW w:w="727" w:type="pct"/>
            <w:vAlign w:val="center"/>
          </w:tcPr>
          <w:p w14:paraId="4D267C19" w14:textId="77777777" w:rsidR="007D1E74" w:rsidRDefault="00A95641">
            <w:pPr>
              <w:jc w:val="center"/>
              <w:rPr>
                <w:rFonts w:cs="Times New Roman"/>
                <w:szCs w:val="21"/>
              </w:rPr>
            </w:pPr>
            <w:r>
              <w:rPr>
                <w:rFonts w:cs="Times New Roman"/>
                <w:szCs w:val="21"/>
              </w:rPr>
              <w:t>23317.71</w:t>
            </w:r>
          </w:p>
        </w:tc>
      </w:tr>
      <w:tr w:rsidR="007D1E74" w14:paraId="661ABCA7" w14:textId="77777777">
        <w:trPr>
          <w:trHeight w:val="70"/>
          <w:jc w:val="center"/>
        </w:trPr>
        <w:tc>
          <w:tcPr>
            <w:tcW w:w="1294" w:type="pct"/>
            <w:vAlign w:val="center"/>
          </w:tcPr>
          <w:p w14:paraId="6B001B92" w14:textId="77777777" w:rsidR="007D1E74" w:rsidRDefault="00A95641">
            <w:pPr>
              <w:jc w:val="center"/>
              <w:rPr>
                <w:rFonts w:cstheme="minorHAnsi"/>
                <w:szCs w:val="21"/>
              </w:rPr>
            </w:pPr>
            <w:r>
              <w:rPr>
                <w:rFonts w:cstheme="minorHAnsi" w:hint="eastAsia"/>
                <w:szCs w:val="21"/>
              </w:rPr>
              <w:t>4#</w:t>
            </w:r>
            <w:r>
              <w:rPr>
                <w:rFonts w:cstheme="minorHAnsi" w:hint="eastAsia"/>
                <w:szCs w:val="21"/>
              </w:rPr>
              <w:t>清管阀组至草池增压站集输干线</w:t>
            </w:r>
          </w:p>
        </w:tc>
        <w:tc>
          <w:tcPr>
            <w:tcW w:w="610" w:type="pct"/>
            <w:vAlign w:val="center"/>
          </w:tcPr>
          <w:p w14:paraId="7E2EAC7E" w14:textId="77777777" w:rsidR="007D1E74" w:rsidRDefault="00A95641">
            <w:pPr>
              <w:jc w:val="center"/>
              <w:rPr>
                <w:rFonts w:cs="Times New Roman"/>
                <w:szCs w:val="21"/>
              </w:rPr>
            </w:pPr>
            <w:r>
              <w:rPr>
                <w:rFonts w:cs="Times New Roman"/>
                <w:szCs w:val="21"/>
              </w:rPr>
              <w:t>天然气</w:t>
            </w:r>
          </w:p>
        </w:tc>
        <w:tc>
          <w:tcPr>
            <w:tcW w:w="915" w:type="pct"/>
            <w:vAlign w:val="center"/>
          </w:tcPr>
          <w:p w14:paraId="5F9C52BC" w14:textId="77777777" w:rsidR="007D1E74" w:rsidRDefault="00A95641">
            <w:pPr>
              <w:jc w:val="center"/>
              <w:rPr>
                <w:szCs w:val="21"/>
              </w:rPr>
            </w:pPr>
            <w:r>
              <w:rPr>
                <w:rFonts w:hint="eastAsia"/>
                <w:szCs w:val="21"/>
              </w:rPr>
              <w:t>1</w:t>
            </w:r>
            <w:r>
              <w:rPr>
                <w:szCs w:val="21"/>
              </w:rPr>
              <w:t>50</w:t>
            </w:r>
          </w:p>
        </w:tc>
        <w:tc>
          <w:tcPr>
            <w:tcW w:w="727" w:type="pct"/>
            <w:vAlign w:val="center"/>
          </w:tcPr>
          <w:p w14:paraId="0B1EE4F8" w14:textId="77777777" w:rsidR="007D1E74" w:rsidRDefault="00A95641">
            <w:pPr>
              <w:jc w:val="center"/>
              <w:rPr>
                <w:rFonts w:cs="Times New Roman"/>
                <w:szCs w:val="21"/>
              </w:rPr>
            </w:pPr>
            <w:r>
              <w:rPr>
                <w:rFonts w:cs="Times New Roman"/>
                <w:szCs w:val="21"/>
              </w:rPr>
              <w:t>777.26</w:t>
            </w:r>
          </w:p>
        </w:tc>
        <w:tc>
          <w:tcPr>
            <w:tcW w:w="727" w:type="pct"/>
            <w:vAlign w:val="center"/>
          </w:tcPr>
          <w:p w14:paraId="3B42BC6F" w14:textId="77777777" w:rsidR="007D1E74" w:rsidRDefault="00A95641">
            <w:pPr>
              <w:jc w:val="center"/>
            </w:pPr>
            <w:r>
              <w:rPr>
                <w:rFonts w:cs="Times New Roman"/>
                <w:szCs w:val="21"/>
              </w:rPr>
              <w:t>30</w:t>
            </w:r>
          </w:p>
        </w:tc>
        <w:tc>
          <w:tcPr>
            <w:tcW w:w="727" w:type="pct"/>
            <w:vAlign w:val="center"/>
          </w:tcPr>
          <w:p w14:paraId="0A43CCF6" w14:textId="77777777" w:rsidR="007D1E74" w:rsidRDefault="00A95641">
            <w:pPr>
              <w:jc w:val="center"/>
              <w:rPr>
                <w:rFonts w:cs="Times New Roman"/>
                <w:szCs w:val="21"/>
              </w:rPr>
            </w:pPr>
            <w:r>
              <w:rPr>
                <w:rFonts w:cs="Times New Roman"/>
                <w:szCs w:val="21"/>
              </w:rPr>
              <w:t>23317.71</w:t>
            </w:r>
          </w:p>
        </w:tc>
      </w:tr>
    </w:tbl>
    <w:p w14:paraId="2AC430DB" w14:textId="77777777" w:rsidR="007D1E74" w:rsidRDefault="00A95641">
      <w:pPr>
        <w:pStyle w:val="afffff7"/>
        <w:ind w:firstLine="482"/>
      </w:pPr>
      <w:r>
        <w:rPr>
          <w:rFonts w:hint="eastAsia"/>
        </w:rPr>
        <w:t>2</w:t>
      </w:r>
      <w:r>
        <w:rPr>
          <w:rFonts w:hint="eastAsia"/>
        </w:rPr>
        <w:t>、截断阀启动后泄漏量</w:t>
      </w:r>
    </w:p>
    <w:p w14:paraId="43930166" w14:textId="77777777" w:rsidR="007D1E74" w:rsidRDefault="00A95641">
      <w:pPr>
        <w:spacing w:line="360" w:lineRule="auto"/>
        <w:ind w:firstLineChars="200" w:firstLine="480"/>
        <w:rPr>
          <w:sz w:val="24"/>
          <w:szCs w:val="24"/>
        </w:rPr>
      </w:pPr>
      <w:r>
        <w:rPr>
          <w:rFonts w:hint="eastAsia"/>
          <w:sz w:val="24"/>
          <w:szCs w:val="24"/>
        </w:rPr>
        <w:t>截断阀启动后，泄漏量以管道泄压至与环境压力平衡所需时间计。根据资料调查类比，高压管道两端截断阀关闭后，高压管道泄漏之后，管道内的压力在</w:t>
      </w:r>
      <w:r>
        <w:rPr>
          <w:rFonts w:hint="eastAsia"/>
          <w:sz w:val="24"/>
          <w:szCs w:val="24"/>
        </w:rPr>
        <w:t>20min</w:t>
      </w:r>
      <w:r>
        <w:rPr>
          <w:rFonts w:hint="eastAsia"/>
          <w:sz w:val="24"/>
          <w:szCs w:val="24"/>
        </w:rPr>
        <w:t>内基本与环境压力平衡，达到平衡之后泄漏量很小，保守考虑，本项目管线断裂后平均泄漏时间以</w:t>
      </w:r>
      <w:r>
        <w:rPr>
          <w:rFonts w:hint="eastAsia"/>
          <w:sz w:val="24"/>
          <w:szCs w:val="24"/>
        </w:rPr>
        <w:t>20min</w:t>
      </w:r>
      <w:r>
        <w:rPr>
          <w:rFonts w:hint="eastAsia"/>
          <w:sz w:val="24"/>
          <w:szCs w:val="24"/>
        </w:rPr>
        <w:t>计，泄漏量按管道截面</w:t>
      </w:r>
      <w:r>
        <w:rPr>
          <w:rFonts w:hint="eastAsia"/>
          <w:sz w:val="24"/>
          <w:szCs w:val="24"/>
        </w:rPr>
        <w:t>100%</w:t>
      </w:r>
      <w:r>
        <w:rPr>
          <w:rFonts w:hint="eastAsia"/>
          <w:sz w:val="24"/>
          <w:szCs w:val="24"/>
        </w:rPr>
        <w:t>断裂进行估算，则截断阀启动后泄漏量计算结果见下表。</w:t>
      </w:r>
    </w:p>
    <w:p w14:paraId="79A97699" w14:textId="77777777" w:rsidR="007D1E74" w:rsidRDefault="00A95641">
      <w:pPr>
        <w:pStyle w:val="afffffe"/>
        <w:numPr>
          <w:ilvl w:val="0"/>
          <w:numId w:val="50"/>
        </w:numPr>
        <w:spacing w:line="360" w:lineRule="auto"/>
        <w:ind w:firstLineChars="0"/>
        <w:jc w:val="center"/>
        <w:rPr>
          <w:rFonts w:eastAsia="黑体" w:cs="Times New Roman"/>
          <w:szCs w:val="21"/>
        </w:rPr>
      </w:pPr>
      <w:r>
        <w:rPr>
          <w:rFonts w:eastAsia="黑体" w:cs="Times New Roman" w:hint="eastAsia"/>
          <w:szCs w:val="21"/>
        </w:rPr>
        <w:t>截断阀启动后天然气泄漏量计算结果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0"/>
        <w:gridCol w:w="1100"/>
        <w:gridCol w:w="1172"/>
        <w:gridCol w:w="1172"/>
        <w:gridCol w:w="1172"/>
        <w:gridCol w:w="1172"/>
        <w:gridCol w:w="1168"/>
      </w:tblGrid>
      <w:tr w:rsidR="007D1E74" w14:paraId="1F5E96F8" w14:textId="77777777">
        <w:trPr>
          <w:tblHeader/>
          <w:jc w:val="center"/>
        </w:trPr>
        <w:tc>
          <w:tcPr>
            <w:tcW w:w="1142" w:type="pct"/>
            <w:vAlign w:val="center"/>
          </w:tcPr>
          <w:p w14:paraId="7537D5E6" w14:textId="77777777" w:rsidR="007D1E74" w:rsidRDefault="00A95641">
            <w:pPr>
              <w:jc w:val="center"/>
              <w:rPr>
                <w:rFonts w:cs="Times New Roman"/>
                <w:szCs w:val="21"/>
              </w:rPr>
            </w:pPr>
            <w:r>
              <w:rPr>
                <w:rFonts w:cs="Times New Roman"/>
                <w:szCs w:val="21"/>
              </w:rPr>
              <w:t>管段</w:t>
            </w:r>
          </w:p>
        </w:tc>
        <w:tc>
          <w:tcPr>
            <w:tcW w:w="610" w:type="pct"/>
            <w:vAlign w:val="center"/>
          </w:tcPr>
          <w:p w14:paraId="7A15BE61" w14:textId="77777777" w:rsidR="007D1E74" w:rsidRDefault="00A95641">
            <w:pPr>
              <w:jc w:val="center"/>
              <w:rPr>
                <w:rFonts w:cs="Times New Roman"/>
                <w:szCs w:val="21"/>
              </w:rPr>
            </w:pPr>
            <w:r>
              <w:rPr>
                <w:rFonts w:cs="Times New Roman"/>
                <w:szCs w:val="21"/>
              </w:rPr>
              <w:t>泄漏物质</w:t>
            </w:r>
          </w:p>
        </w:tc>
        <w:tc>
          <w:tcPr>
            <w:tcW w:w="650" w:type="pct"/>
            <w:vAlign w:val="center"/>
          </w:tcPr>
          <w:p w14:paraId="2F3589BF" w14:textId="77777777" w:rsidR="007D1E74" w:rsidRDefault="00A95641">
            <w:pPr>
              <w:jc w:val="center"/>
              <w:rPr>
                <w:rFonts w:cs="Times New Roman"/>
                <w:szCs w:val="21"/>
              </w:rPr>
            </w:pPr>
            <w:r>
              <w:rPr>
                <w:rFonts w:cs="Times New Roman"/>
                <w:szCs w:val="21"/>
              </w:rPr>
              <w:t>长度（</w:t>
            </w:r>
            <w:r>
              <w:rPr>
                <w:rFonts w:cs="Times New Roman"/>
                <w:szCs w:val="21"/>
              </w:rPr>
              <w:t>km</w:t>
            </w:r>
            <w:r>
              <w:rPr>
                <w:rFonts w:cs="Times New Roman"/>
                <w:szCs w:val="21"/>
              </w:rPr>
              <w:t>）</w:t>
            </w:r>
          </w:p>
        </w:tc>
        <w:tc>
          <w:tcPr>
            <w:tcW w:w="650" w:type="pct"/>
            <w:vAlign w:val="center"/>
          </w:tcPr>
          <w:p w14:paraId="33F23DA1" w14:textId="77777777" w:rsidR="007D1E74" w:rsidRDefault="00A95641">
            <w:pPr>
              <w:jc w:val="center"/>
              <w:rPr>
                <w:rFonts w:cs="Times New Roman"/>
                <w:szCs w:val="21"/>
              </w:rPr>
            </w:pPr>
            <w:r>
              <w:rPr>
                <w:rFonts w:hint="eastAsia"/>
                <w:szCs w:val="21"/>
              </w:rPr>
              <w:t>管径（</w:t>
            </w:r>
            <w:r>
              <w:rPr>
                <w:rFonts w:hint="eastAsia"/>
                <w:szCs w:val="21"/>
              </w:rPr>
              <w:t>mm</w:t>
            </w:r>
            <w:r>
              <w:rPr>
                <w:rFonts w:hint="eastAsia"/>
                <w:szCs w:val="21"/>
              </w:rPr>
              <w:t>）</w:t>
            </w:r>
          </w:p>
        </w:tc>
        <w:tc>
          <w:tcPr>
            <w:tcW w:w="650" w:type="pct"/>
            <w:vAlign w:val="center"/>
          </w:tcPr>
          <w:p w14:paraId="6F3309C6" w14:textId="77777777" w:rsidR="007D1E74" w:rsidRDefault="00A95641">
            <w:pPr>
              <w:jc w:val="center"/>
              <w:rPr>
                <w:rFonts w:cs="Times New Roman"/>
                <w:szCs w:val="21"/>
              </w:rPr>
            </w:pPr>
            <w:r>
              <w:rPr>
                <w:rFonts w:cs="Times New Roman"/>
                <w:szCs w:val="21"/>
              </w:rPr>
              <w:t>泄漏速率（</w:t>
            </w:r>
            <w:r>
              <w:rPr>
                <w:rFonts w:cs="Times New Roman"/>
                <w:szCs w:val="21"/>
              </w:rPr>
              <w:t>kg/s</w:t>
            </w:r>
            <w:r>
              <w:rPr>
                <w:rFonts w:cs="Times New Roman"/>
                <w:szCs w:val="21"/>
              </w:rPr>
              <w:t>）</w:t>
            </w:r>
          </w:p>
        </w:tc>
        <w:tc>
          <w:tcPr>
            <w:tcW w:w="650" w:type="pct"/>
            <w:vAlign w:val="center"/>
          </w:tcPr>
          <w:p w14:paraId="140AEB4A" w14:textId="77777777" w:rsidR="007D1E74" w:rsidRDefault="00A95641">
            <w:pPr>
              <w:jc w:val="center"/>
              <w:rPr>
                <w:rFonts w:cs="Times New Roman"/>
                <w:szCs w:val="21"/>
              </w:rPr>
            </w:pPr>
            <w:r>
              <w:rPr>
                <w:rFonts w:cs="Times New Roman"/>
                <w:szCs w:val="21"/>
              </w:rPr>
              <w:t>泄漏时间（</w:t>
            </w:r>
            <w:r>
              <w:rPr>
                <w:rFonts w:cs="Times New Roman" w:hint="eastAsia"/>
                <w:szCs w:val="21"/>
              </w:rPr>
              <w:t>min</w:t>
            </w:r>
            <w:r>
              <w:rPr>
                <w:rFonts w:cs="Times New Roman"/>
                <w:szCs w:val="21"/>
              </w:rPr>
              <w:t>）</w:t>
            </w:r>
          </w:p>
        </w:tc>
        <w:tc>
          <w:tcPr>
            <w:tcW w:w="648" w:type="pct"/>
            <w:vAlign w:val="center"/>
          </w:tcPr>
          <w:p w14:paraId="01F14131" w14:textId="77777777" w:rsidR="007D1E74" w:rsidRDefault="00A95641">
            <w:pPr>
              <w:jc w:val="center"/>
              <w:rPr>
                <w:rFonts w:cs="Times New Roman"/>
                <w:szCs w:val="21"/>
              </w:rPr>
            </w:pPr>
            <w:r>
              <w:rPr>
                <w:rFonts w:cs="Times New Roman"/>
                <w:szCs w:val="21"/>
              </w:rPr>
              <w:t>泄漏量（</w:t>
            </w:r>
            <w:r>
              <w:rPr>
                <w:rFonts w:cs="Times New Roman"/>
                <w:szCs w:val="21"/>
              </w:rPr>
              <w:t>kg</w:t>
            </w:r>
            <w:r>
              <w:rPr>
                <w:rFonts w:cs="Times New Roman"/>
                <w:szCs w:val="21"/>
              </w:rPr>
              <w:t>）</w:t>
            </w:r>
          </w:p>
        </w:tc>
      </w:tr>
      <w:tr w:rsidR="007D1E74" w14:paraId="419EA524" w14:textId="77777777">
        <w:trPr>
          <w:trHeight w:val="70"/>
          <w:jc w:val="center"/>
        </w:trPr>
        <w:tc>
          <w:tcPr>
            <w:tcW w:w="1142" w:type="pct"/>
            <w:vAlign w:val="center"/>
          </w:tcPr>
          <w:p w14:paraId="0AD27B58" w14:textId="77777777" w:rsidR="007D1E74" w:rsidRDefault="00A95641">
            <w:pPr>
              <w:jc w:val="center"/>
              <w:rPr>
                <w:rFonts w:cstheme="minorHAnsi"/>
                <w:szCs w:val="21"/>
              </w:rPr>
            </w:pPr>
            <w:r>
              <w:rPr>
                <w:rFonts w:cstheme="minorHAnsi" w:hint="eastAsia"/>
                <w:szCs w:val="21"/>
              </w:rPr>
              <w:t>1#</w:t>
            </w:r>
            <w:r>
              <w:rPr>
                <w:rFonts w:cstheme="minorHAnsi" w:hint="eastAsia"/>
                <w:szCs w:val="21"/>
              </w:rPr>
              <w:t>阀室至马</w:t>
            </w:r>
            <w:r>
              <w:rPr>
                <w:rFonts w:cstheme="minorHAnsi" w:hint="eastAsia"/>
                <w:szCs w:val="21"/>
              </w:rPr>
              <w:t>1-11</w:t>
            </w:r>
            <w:r>
              <w:rPr>
                <w:rFonts w:cstheme="minorHAnsi" w:hint="eastAsia"/>
                <w:szCs w:val="21"/>
              </w:rPr>
              <w:t>脱水井场集输干线</w:t>
            </w:r>
          </w:p>
        </w:tc>
        <w:tc>
          <w:tcPr>
            <w:tcW w:w="610" w:type="pct"/>
            <w:vAlign w:val="center"/>
          </w:tcPr>
          <w:p w14:paraId="47D2A1E1" w14:textId="77777777" w:rsidR="007D1E74" w:rsidRDefault="00A95641">
            <w:pPr>
              <w:jc w:val="center"/>
              <w:rPr>
                <w:rFonts w:cs="Times New Roman"/>
                <w:szCs w:val="21"/>
              </w:rPr>
            </w:pPr>
            <w:r>
              <w:rPr>
                <w:rFonts w:cs="Times New Roman"/>
                <w:szCs w:val="21"/>
              </w:rPr>
              <w:t>天然气</w:t>
            </w:r>
          </w:p>
        </w:tc>
        <w:tc>
          <w:tcPr>
            <w:tcW w:w="650" w:type="pct"/>
            <w:vAlign w:val="center"/>
          </w:tcPr>
          <w:p w14:paraId="76991671" w14:textId="77777777" w:rsidR="007D1E74" w:rsidRDefault="00A95641">
            <w:pPr>
              <w:jc w:val="center"/>
              <w:rPr>
                <w:szCs w:val="21"/>
              </w:rPr>
            </w:pPr>
            <w:r>
              <w:rPr>
                <w:rFonts w:hint="eastAsia"/>
                <w:szCs w:val="21"/>
              </w:rPr>
              <w:t>8</w:t>
            </w:r>
            <w:r>
              <w:rPr>
                <w:szCs w:val="21"/>
              </w:rPr>
              <w:t>.4</w:t>
            </w:r>
          </w:p>
        </w:tc>
        <w:tc>
          <w:tcPr>
            <w:tcW w:w="650" w:type="pct"/>
            <w:vAlign w:val="center"/>
          </w:tcPr>
          <w:p w14:paraId="69FEE7DB" w14:textId="77777777" w:rsidR="007D1E74" w:rsidRDefault="00A95641">
            <w:pPr>
              <w:jc w:val="center"/>
              <w:rPr>
                <w:szCs w:val="21"/>
              </w:rPr>
            </w:pPr>
            <w:r>
              <w:rPr>
                <w:szCs w:val="21"/>
              </w:rPr>
              <w:t>DN300</w:t>
            </w:r>
          </w:p>
        </w:tc>
        <w:tc>
          <w:tcPr>
            <w:tcW w:w="650" w:type="pct"/>
            <w:vAlign w:val="center"/>
          </w:tcPr>
          <w:p w14:paraId="7311B1AB" w14:textId="77777777" w:rsidR="007D1E74" w:rsidRDefault="00A95641">
            <w:pPr>
              <w:widowControl/>
              <w:jc w:val="center"/>
              <w:rPr>
                <w:rFonts w:cs="Times New Roman"/>
                <w:szCs w:val="21"/>
              </w:rPr>
            </w:pPr>
            <w:r>
              <w:rPr>
                <w:rFonts w:cs="Times New Roman"/>
                <w:szCs w:val="21"/>
              </w:rPr>
              <w:t>22.14</w:t>
            </w:r>
          </w:p>
        </w:tc>
        <w:tc>
          <w:tcPr>
            <w:tcW w:w="650" w:type="pct"/>
            <w:vAlign w:val="center"/>
          </w:tcPr>
          <w:p w14:paraId="08D9E9A8" w14:textId="77777777" w:rsidR="007D1E74" w:rsidRDefault="00A95641">
            <w:pPr>
              <w:widowControl/>
              <w:jc w:val="center"/>
              <w:rPr>
                <w:rFonts w:cs="Times New Roman"/>
                <w:szCs w:val="21"/>
              </w:rPr>
            </w:pPr>
            <w:r>
              <w:rPr>
                <w:rFonts w:cs="Times New Roman"/>
                <w:szCs w:val="21"/>
              </w:rPr>
              <w:t>20</w:t>
            </w:r>
          </w:p>
        </w:tc>
        <w:tc>
          <w:tcPr>
            <w:tcW w:w="648" w:type="pct"/>
            <w:vAlign w:val="center"/>
          </w:tcPr>
          <w:p w14:paraId="2AE58150" w14:textId="77777777" w:rsidR="007D1E74" w:rsidRDefault="00A95641">
            <w:pPr>
              <w:widowControl/>
              <w:jc w:val="center"/>
              <w:rPr>
                <w:rFonts w:cs="Times New Roman"/>
                <w:szCs w:val="21"/>
              </w:rPr>
            </w:pPr>
            <w:r>
              <w:rPr>
                <w:rFonts w:cs="Times New Roman"/>
                <w:szCs w:val="21"/>
              </w:rPr>
              <w:t>26569.20</w:t>
            </w:r>
          </w:p>
        </w:tc>
      </w:tr>
      <w:tr w:rsidR="007D1E74" w14:paraId="5F76FA87" w14:textId="77777777">
        <w:trPr>
          <w:trHeight w:val="70"/>
          <w:jc w:val="center"/>
        </w:trPr>
        <w:tc>
          <w:tcPr>
            <w:tcW w:w="1142" w:type="pct"/>
            <w:vAlign w:val="center"/>
          </w:tcPr>
          <w:p w14:paraId="7E323010" w14:textId="77777777" w:rsidR="007D1E74" w:rsidRDefault="00A95641">
            <w:pPr>
              <w:jc w:val="center"/>
              <w:rPr>
                <w:rFonts w:cstheme="minorHAnsi"/>
                <w:szCs w:val="21"/>
              </w:rPr>
            </w:pPr>
            <w:r>
              <w:rPr>
                <w:rFonts w:cstheme="minorHAnsi" w:hint="eastAsia"/>
                <w:szCs w:val="21"/>
              </w:rPr>
              <w:t>马</w:t>
            </w:r>
            <w:r>
              <w:rPr>
                <w:rFonts w:cstheme="minorHAnsi" w:hint="eastAsia"/>
                <w:szCs w:val="21"/>
              </w:rPr>
              <w:t>1-10H</w:t>
            </w:r>
            <w:r>
              <w:rPr>
                <w:rFonts w:cstheme="minorHAnsi" w:hint="eastAsia"/>
                <w:szCs w:val="21"/>
              </w:rPr>
              <w:t>采气井场</w:t>
            </w:r>
            <w:r>
              <w:rPr>
                <w:rFonts w:cstheme="minorHAnsi" w:hint="eastAsia"/>
                <w:szCs w:val="21"/>
              </w:rPr>
              <w:lastRenderedPageBreak/>
              <w:t>至马</w:t>
            </w:r>
            <w:r>
              <w:rPr>
                <w:rFonts w:cstheme="minorHAnsi" w:hint="eastAsia"/>
                <w:szCs w:val="21"/>
              </w:rPr>
              <w:t>1-1</w:t>
            </w:r>
            <w:r>
              <w:rPr>
                <w:rFonts w:cstheme="minorHAnsi" w:hint="eastAsia"/>
                <w:szCs w:val="21"/>
              </w:rPr>
              <w:t>集气支线</w:t>
            </w:r>
          </w:p>
        </w:tc>
        <w:tc>
          <w:tcPr>
            <w:tcW w:w="610" w:type="pct"/>
            <w:vAlign w:val="center"/>
          </w:tcPr>
          <w:p w14:paraId="666ADBC8" w14:textId="77777777" w:rsidR="007D1E74" w:rsidRDefault="00A95641">
            <w:pPr>
              <w:jc w:val="center"/>
              <w:rPr>
                <w:rFonts w:cs="Times New Roman"/>
                <w:szCs w:val="21"/>
              </w:rPr>
            </w:pPr>
            <w:r>
              <w:rPr>
                <w:rFonts w:cs="Times New Roman"/>
                <w:szCs w:val="21"/>
              </w:rPr>
              <w:lastRenderedPageBreak/>
              <w:t>天然气</w:t>
            </w:r>
          </w:p>
        </w:tc>
        <w:tc>
          <w:tcPr>
            <w:tcW w:w="650" w:type="pct"/>
            <w:vAlign w:val="center"/>
          </w:tcPr>
          <w:p w14:paraId="2C7E7F2B" w14:textId="77777777" w:rsidR="007D1E74" w:rsidRDefault="00A95641">
            <w:pPr>
              <w:jc w:val="center"/>
              <w:rPr>
                <w:szCs w:val="21"/>
              </w:rPr>
            </w:pPr>
            <w:r>
              <w:rPr>
                <w:rFonts w:hint="eastAsia"/>
                <w:szCs w:val="21"/>
              </w:rPr>
              <w:t>4</w:t>
            </w:r>
            <w:r>
              <w:rPr>
                <w:szCs w:val="21"/>
              </w:rPr>
              <w:t>.1</w:t>
            </w:r>
          </w:p>
        </w:tc>
        <w:tc>
          <w:tcPr>
            <w:tcW w:w="650" w:type="pct"/>
            <w:vAlign w:val="center"/>
          </w:tcPr>
          <w:p w14:paraId="0BE16399" w14:textId="77777777" w:rsidR="007D1E74" w:rsidRDefault="00A95641">
            <w:pPr>
              <w:jc w:val="center"/>
              <w:rPr>
                <w:szCs w:val="21"/>
              </w:rPr>
            </w:pPr>
            <w:r>
              <w:rPr>
                <w:szCs w:val="21"/>
              </w:rPr>
              <w:t>DN114.3</w:t>
            </w:r>
          </w:p>
        </w:tc>
        <w:tc>
          <w:tcPr>
            <w:tcW w:w="650" w:type="pct"/>
            <w:vAlign w:val="center"/>
          </w:tcPr>
          <w:p w14:paraId="60B6A94A" w14:textId="77777777" w:rsidR="007D1E74" w:rsidRDefault="00A95641">
            <w:pPr>
              <w:jc w:val="center"/>
              <w:rPr>
                <w:rFonts w:cs="Times New Roman"/>
                <w:szCs w:val="21"/>
              </w:rPr>
            </w:pPr>
            <w:r>
              <w:rPr>
                <w:rFonts w:cs="Times New Roman"/>
                <w:szCs w:val="21"/>
              </w:rPr>
              <w:t>1.57</w:t>
            </w:r>
          </w:p>
        </w:tc>
        <w:tc>
          <w:tcPr>
            <w:tcW w:w="650" w:type="pct"/>
            <w:vAlign w:val="center"/>
          </w:tcPr>
          <w:p w14:paraId="5A896B60" w14:textId="77777777" w:rsidR="007D1E74" w:rsidRDefault="00A95641">
            <w:pPr>
              <w:jc w:val="center"/>
              <w:rPr>
                <w:rFonts w:cs="Times New Roman"/>
                <w:szCs w:val="21"/>
              </w:rPr>
            </w:pPr>
            <w:r>
              <w:rPr>
                <w:rFonts w:cs="Times New Roman"/>
                <w:szCs w:val="21"/>
              </w:rPr>
              <w:t>20</w:t>
            </w:r>
          </w:p>
        </w:tc>
        <w:tc>
          <w:tcPr>
            <w:tcW w:w="648" w:type="pct"/>
            <w:vAlign w:val="center"/>
          </w:tcPr>
          <w:p w14:paraId="64E92680" w14:textId="77777777" w:rsidR="007D1E74" w:rsidRDefault="00A95641">
            <w:pPr>
              <w:jc w:val="center"/>
              <w:rPr>
                <w:rFonts w:cs="Times New Roman"/>
                <w:szCs w:val="21"/>
              </w:rPr>
            </w:pPr>
            <w:r>
              <w:rPr>
                <w:rFonts w:cs="Times New Roman"/>
                <w:szCs w:val="21"/>
              </w:rPr>
              <w:t>1882.49</w:t>
            </w:r>
          </w:p>
        </w:tc>
      </w:tr>
      <w:tr w:rsidR="007D1E74" w14:paraId="5CECFF58" w14:textId="77777777">
        <w:trPr>
          <w:trHeight w:val="70"/>
          <w:jc w:val="center"/>
        </w:trPr>
        <w:tc>
          <w:tcPr>
            <w:tcW w:w="1142" w:type="pct"/>
            <w:vAlign w:val="center"/>
          </w:tcPr>
          <w:p w14:paraId="7275FACF" w14:textId="77777777" w:rsidR="007D1E74" w:rsidRDefault="00A95641">
            <w:pPr>
              <w:jc w:val="center"/>
              <w:rPr>
                <w:rFonts w:cstheme="minorHAnsi"/>
                <w:szCs w:val="21"/>
              </w:rPr>
            </w:pPr>
            <w:r>
              <w:rPr>
                <w:rFonts w:cstheme="minorHAnsi" w:hint="eastAsia"/>
                <w:szCs w:val="21"/>
              </w:rPr>
              <w:t>马</w:t>
            </w:r>
            <w:r>
              <w:rPr>
                <w:rFonts w:cstheme="minorHAnsi" w:hint="eastAsia"/>
                <w:szCs w:val="21"/>
              </w:rPr>
              <w:t>1-</w:t>
            </w:r>
            <w:r>
              <w:rPr>
                <w:rFonts w:cstheme="minorHAnsi"/>
                <w:szCs w:val="21"/>
              </w:rPr>
              <w:t>1</w:t>
            </w:r>
            <w:r>
              <w:rPr>
                <w:rFonts w:cstheme="minorHAnsi"/>
                <w:szCs w:val="21"/>
              </w:rPr>
              <w:t>采气井场至干线集气支线</w:t>
            </w:r>
          </w:p>
        </w:tc>
        <w:tc>
          <w:tcPr>
            <w:tcW w:w="610" w:type="pct"/>
            <w:vAlign w:val="center"/>
          </w:tcPr>
          <w:p w14:paraId="3323DB60" w14:textId="77777777" w:rsidR="007D1E74" w:rsidRDefault="00A95641">
            <w:pPr>
              <w:jc w:val="center"/>
              <w:rPr>
                <w:rFonts w:cs="Times New Roman"/>
                <w:szCs w:val="21"/>
              </w:rPr>
            </w:pPr>
            <w:r>
              <w:rPr>
                <w:rFonts w:cs="Times New Roman"/>
                <w:szCs w:val="21"/>
              </w:rPr>
              <w:t>天然气</w:t>
            </w:r>
          </w:p>
        </w:tc>
        <w:tc>
          <w:tcPr>
            <w:tcW w:w="650" w:type="pct"/>
            <w:vAlign w:val="center"/>
          </w:tcPr>
          <w:p w14:paraId="01A3B53D" w14:textId="77777777" w:rsidR="007D1E74" w:rsidRDefault="00A95641">
            <w:pPr>
              <w:jc w:val="center"/>
              <w:rPr>
                <w:szCs w:val="21"/>
              </w:rPr>
            </w:pPr>
            <w:r>
              <w:rPr>
                <w:rFonts w:hint="eastAsia"/>
                <w:szCs w:val="21"/>
              </w:rPr>
              <w:t>1</w:t>
            </w:r>
            <w:r>
              <w:rPr>
                <w:szCs w:val="21"/>
              </w:rPr>
              <w:t>.1</w:t>
            </w:r>
          </w:p>
        </w:tc>
        <w:tc>
          <w:tcPr>
            <w:tcW w:w="650" w:type="pct"/>
            <w:vAlign w:val="center"/>
          </w:tcPr>
          <w:p w14:paraId="006CA3F4" w14:textId="77777777" w:rsidR="007D1E74" w:rsidRDefault="00A95641">
            <w:pPr>
              <w:jc w:val="center"/>
              <w:rPr>
                <w:szCs w:val="21"/>
              </w:rPr>
            </w:pPr>
            <w:r>
              <w:rPr>
                <w:szCs w:val="21"/>
              </w:rPr>
              <w:t>DN114.3</w:t>
            </w:r>
          </w:p>
        </w:tc>
        <w:tc>
          <w:tcPr>
            <w:tcW w:w="650" w:type="pct"/>
            <w:vAlign w:val="center"/>
          </w:tcPr>
          <w:p w14:paraId="62DA835C" w14:textId="77777777" w:rsidR="007D1E74" w:rsidRDefault="00A95641">
            <w:pPr>
              <w:jc w:val="center"/>
              <w:rPr>
                <w:rFonts w:cs="Times New Roman"/>
                <w:szCs w:val="21"/>
              </w:rPr>
            </w:pPr>
            <w:r>
              <w:rPr>
                <w:rFonts w:cs="Times New Roman"/>
                <w:szCs w:val="21"/>
              </w:rPr>
              <w:t>0.42</w:t>
            </w:r>
          </w:p>
        </w:tc>
        <w:tc>
          <w:tcPr>
            <w:tcW w:w="650" w:type="pct"/>
            <w:vAlign w:val="center"/>
          </w:tcPr>
          <w:p w14:paraId="73EE3CD7" w14:textId="77777777" w:rsidR="007D1E74" w:rsidRDefault="00A95641">
            <w:pPr>
              <w:jc w:val="center"/>
              <w:rPr>
                <w:rFonts w:cs="Times New Roman"/>
                <w:szCs w:val="21"/>
              </w:rPr>
            </w:pPr>
            <w:r>
              <w:rPr>
                <w:rFonts w:cs="Times New Roman"/>
                <w:szCs w:val="21"/>
              </w:rPr>
              <w:t>20</w:t>
            </w:r>
          </w:p>
        </w:tc>
        <w:tc>
          <w:tcPr>
            <w:tcW w:w="648" w:type="pct"/>
            <w:vAlign w:val="center"/>
          </w:tcPr>
          <w:p w14:paraId="15A10296" w14:textId="77777777" w:rsidR="007D1E74" w:rsidRDefault="00A95641">
            <w:pPr>
              <w:jc w:val="center"/>
              <w:rPr>
                <w:rFonts w:cs="Times New Roman"/>
                <w:szCs w:val="21"/>
              </w:rPr>
            </w:pPr>
            <w:r>
              <w:rPr>
                <w:rFonts w:cs="Times New Roman"/>
                <w:szCs w:val="21"/>
              </w:rPr>
              <w:t>505.06</w:t>
            </w:r>
          </w:p>
        </w:tc>
      </w:tr>
      <w:tr w:rsidR="007D1E74" w14:paraId="15B62691" w14:textId="77777777">
        <w:trPr>
          <w:trHeight w:val="70"/>
          <w:jc w:val="center"/>
        </w:trPr>
        <w:tc>
          <w:tcPr>
            <w:tcW w:w="1142" w:type="pct"/>
            <w:vAlign w:val="center"/>
          </w:tcPr>
          <w:p w14:paraId="0B0CBE6B" w14:textId="77777777" w:rsidR="007D1E74" w:rsidRDefault="00A95641">
            <w:pPr>
              <w:jc w:val="center"/>
              <w:rPr>
                <w:rFonts w:cstheme="minorHAnsi"/>
                <w:szCs w:val="21"/>
              </w:rPr>
            </w:pPr>
            <w:r>
              <w:rPr>
                <w:rFonts w:cstheme="minorHAnsi" w:hint="eastAsia"/>
                <w:szCs w:val="21"/>
              </w:rPr>
              <w:t>马</w:t>
            </w:r>
            <w:r>
              <w:rPr>
                <w:rFonts w:cstheme="minorHAnsi" w:hint="eastAsia"/>
                <w:szCs w:val="21"/>
              </w:rPr>
              <w:t>1-</w:t>
            </w:r>
            <w:r>
              <w:rPr>
                <w:rFonts w:cstheme="minorHAnsi"/>
                <w:szCs w:val="21"/>
              </w:rPr>
              <w:t>13H</w:t>
            </w:r>
            <w:r>
              <w:rPr>
                <w:rFonts w:cstheme="minorHAnsi"/>
                <w:szCs w:val="21"/>
              </w:rPr>
              <w:t>采气井场至干线集气支线</w:t>
            </w:r>
          </w:p>
        </w:tc>
        <w:tc>
          <w:tcPr>
            <w:tcW w:w="610" w:type="pct"/>
            <w:vAlign w:val="center"/>
          </w:tcPr>
          <w:p w14:paraId="02F1D47C" w14:textId="77777777" w:rsidR="007D1E74" w:rsidRDefault="00A95641">
            <w:pPr>
              <w:jc w:val="center"/>
              <w:rPr>
                <w:rFonts w:cs="Times New Roman"/>
                <w:szCs w:val="21"/>
              </w:rPr>
            </w:pPr>
            <w:r>
              <w:rPr>
                <w:rFonts w:cs="Times New Roman"/>
                <w:szCs w:val="21"/>
              </w:rPr>
              <w:t>天然气</w:t>
            </w:r>
          </w:p>
        </w:tc>
        <w:tc>
          <w:tcPr>
            <w:tcW w:w="650" w:type="pct"/>
            <w:vAlign w:val="center"/>
          </w:tcPr>
          <w:p w14:paraId="127142B6" w14:textId="77777777" w:rsidR="007D1E74" w:rsidRDefault="00A95641">
            <w:pPr>
              <w:jc w:val="center"/>
              <w:rPr>
                <w:szCs w:val="21"/>
              </w:rPr>
            </w:pPr>
            <w:r>
              <w:rPr>
                <w:rFonts w:hint="eastAsia"/>
                <w:szCs w:val="21"/>
              </w:rPr>
              <w:t>1</w:t>
            </w:r>
            <w:r>
              <w:rPr>
                <w:szCs w:val="21"/>
              </w:rPr>
              <w:t>.2</w:t>
            </w:r>
          </w:p>
        </w:tc>
        <w:tc>
          <w:tcPr>
            <w:tcW w:w="650" w:type="pct"/>
            <w:vAlign w:val="center"/>
          </w:tcPr>
          <w:p w14:paraId="1E18F34C" w14:textId="77777777" w:rsidR="007D1E74" w:rsidRDefault="00A95641">
            <w:pPr>
              <w:jc w:val="center"/>
              <w:rPr>
                <w:szCs w:val="21"/>
              </w:rPr>
            </w:pPr>
            <w:r>
              <w:rPr>
                <w:szCs w:val="21"/>
              </w:rPr>
              <w:t>DN114.3</w:t>
            </w:r>
          </w:p>
        </w:tc>
        <w:tc>
          <w:tcPr>
            <w:tcW w:w="650" w:type="pct"/>
            <w:vAlign w:val="center"/>
          </w:tcPr>
          <w:p w14:paraId="3E3A7769" w14:textId="77777777" w:rsidR="007D1E74" w:rsidRDefault="00A95641">
            <w:pPr>
              <w:jc w:val="center"/>
              <w:rPr>
                <w:rFonts w:cs="Times New Roman"/>
                <w:szCs w:val="21"/>
              </w:rPr>
            </w:pPr>
            <w:r>
              <w:rPr>
                <w:rFonts w:cs="Times New Roman"/>
                <w:szCs w:val="21"/>
              </w:rPr>
              <w:t>0.46</w:t>
            </w:r>
          </w:p>
        </w:tc>
        <w:tc>
          <w:tcPr>
            <w:tcW w:w="650" w:type="pct"/>
            <w:vAlign w:val="center"/>
          </w:tcPr>
          <w:p w14:paraId="6403D7F3" w14:textId="77777777" w:rsidR="007D1E74" w:rsidRDefault="00A95641">
            <w:pPr>
              <w:jc w:val="center"/>
              <w:rPr>
                <w:rFonts w:cs="Times New Roman"/>
                <w:szCs w:val="21"/>
              </w:rPr>
            </w:pPr>
            <w:r>
              <w:rPr>
                <w:rFonts w:cs="Times New Roman"/>
                <w:szCs w:val="21"/>
              </w:rPr>
              <w:t>20</w:t>
            </w:r>
          </w:p>
        </w:tc>
        <w:tc>
          <w:tcPr>
            <w:tcW w:w="648" w:type="pct"/>
            <w:vAlign w:val="center"/>
          </w:tcPr>
          <w:p w14:paraId="02807932" w14:textId="77777777" w:rsidR="007D1E74" w:rsidRDefault="00A95641">
            <w:pPr>
              <w:jc w:val="center"/>
              <w:rPr>
                <w:rFonts w:cs="Times New Roman"/>
                <w:szCs w:val="21"/>
              </w:rPr>
            </w:pPr>
            <w:r>
              <w:rPr>
                <w:rFonts w:cs="Times New Roman"/>
                <w:szCs w:val="21"/>
              </w:rPr>
              <w:t>550.97</w:t>
            </w:r>
          </w:p>
        </w:tc>
      </w:tr>
      <w:tr w:rsidR="007D1E74" w14:paraId="1FFEA9ED" w14:textId="77777777">
        <w:trPr>
          <w:trHeight w:val="70"/>
          <w:jc w:val="center"/>
        </w:trPr>
        <w:tc>
          <w:tcPr>
            <w:tcW w:w="1142" w:type="pct"/>
            <w:vAlign w:val="center"/>
          </w:tcPr>
          <w:p w14:paraId="07F25363" w14:textId="77777777" w:rsidR="007D1E74" w:rsidRDefault="00A95641">
            <w:pPr>
              <w:jc w:val="center"/>
              <w:rPr>
                <w:rFonts w:cstheme="minorHAnsi"/>
                <w:szCs w:val="21"/>
              </w:rPr>
            </w:pPr>
            <w:r>
              <w:rPr>
                <w:rFonts w:cstheme="minorHAnsi" w:hint="eastAsia"/>
                <w:szCs w:val="21"/>
              </w:rPr>
              <w:t>马</w:t>
            </w:r>
            <w:r>
              <w:rPr>
                <w:rFonts w:cstheme="minorHAnsi" w:hint="eastAsia"/>
                <w:szCs w:val="21"/>
              </w:rPr>
              <w:t>1-</w:t>
            </w:r>
            <w:r>
              <w:rPr>
                <w:rFonts w:cstheme="minorHAnsi"/>
                <w:szCs w:val="21"/>
              </w:rPr>
              <w:t>12H</w:t>
            </w:r>
            <w:r>
              <w:rPr>
                <w:rFonts w:cstheme="minorHAnsi"/>
                <w:szCs w:val="21"/>
              </w:rPr>
              <w:t>采气井场至干线集气支线</w:t>
            </w:r>
          </w:p>
        </w:tc>
        <w:tc>
          <w:tcPr>
            <w:tcW w:w="610" w:type="pct"/>
            <w:vAlign w:val="center"/>
          </w:tcPr>
          <w:p w14:paraId="7675A4C0" w14:textId="77777777" w:rsidR="007D1E74" w:rsidRDefault="00A95641">
            <w:pPr>
              <w:jc w:val="center"/>
              <w:rPr>
                <w:rFonts w:cs="Times New Roman"/>
                <w:szCs w:val="21"/>
              </w:rPr>
            </w:pPr>
            <w:r>
              <w:rPr>
                <w:rFonts w:cs="Times New Roman"/>
                <w:szCs w:val="21"/>
              </w:rPr>
              <w:t>天然气</w:t>
            </w:r>
          </w:p>
        </w:tc>
        <w:tc>
          <w:tcPr>
            <w:tcW w:w="650" w:type="pct"/>
            <w:vAlign w:val="center"/>
          </w:tcPr>
          <w:p w14:paraId="1A3E44E6" w14:textId="77777777" w:rsidR="007D1E74" w:rsidRDefault="00A95641">
            <w:pPr>
              <w:jc w:val="center"/>
              <w:rPr>
                <w:szCs w:val="21"/>
              </w:rPr>
            </w:pPr>
            <w:r>
              <w:rPr>
                <w:rFonts w:hint="eastAsia"/>
                <w:szCs w:val="21"/>
              </w:rPr>
              <w:t>1</w:t>
            </w:r>
            <w:r>
              <w:rPr>
                <w:szCs w:val="21"/>
              </w:rPr>
              <w:t>.6</w:t>
            </w:r>
          </w:p>
        </w:tc>
        <w:tc>
          <w:tcPr>
            <w:tcW w:w="650" w:type="pct"/>
            <w:vAlign w:val="center"/>
          </w:tcPr>
          <w:p w14:paraId="61E5FBCD" w14:textId="77777777" w:rsidR="007D1E74" w:rsidRDefault="00A95641">
            <w:pPr>
              <w:jc w:val="center"/>
              <w:rPr>
                <w:szCs w:val="21"/>
              </w:rPr>
            </w:pPr>
            <w:r>
              <w:rPr>
                <w:szCs w:val="21"/>
              </w:rPr>
              <w:t>DN300</w:t>
            </w:r>
          </w:p>
        </w:tc>
        <w:tc>
          <w:tcPr>
            <w:tcW w:w="650" w:type="pct"/>
            <w:vAlign w:val="center"/>
          </w:tcPr>
          <w:p w14:paraId="4EF9D5EB" w14:textId="77777777" w:rsidR="007D1E74" w:rsidRDefault="00A95641">
            <w:pPr>
              <w:jc w:val="center"/>
              <w:rPr>
                <w:rFonts w:cs="Times New Roman"/>
                <w:szCs w:val="21"/>
              </w:rPr>
            </w:pPr>
            <w:r>
              <w:rPr>
                <w:rFonts w:cs="Times New Roman"/>
                <w:szCs w:val="21"/>
              </w:rPr>
              <w:t>4.22</w:t>
            </w:r>
          </w:p>
        </w:tc>
        <w:tc>
          <w:tcPr>
            <w:tcW w:w="650" w:type="pct"/>
            <w:vAlign w:val="center"/>
          </w:tcPr>
          <w:p w14:paraId="6190682B" w14:textId="77777777" w:rsidR="007D1E74" w:rsidRDefault="00A95641">
            <w:pPr>
              <w:jc w:val="center"/>
              <w:rPr>
                <w:rFonts w:cs="Times New Roman"/>
                <w:szCs w:val="21"/>
              </w:rPr>
            </w:pPr>
            <w:r>
              <w:rPr>
                <w:rFonts w:cs="Times New Roman"/>
                <w:szCs w:val="21"/>
              </w:rPr>
              <w:t>20</w:t>
            </w:r>
          </w:p>
        </w:tc>
        <w:tc>
          <w:tcPr>
            <w:tcW w:w="648" w:type="pct"/>
            <w:vAlign w:val="center"/>
          </w:tcPr>
          <w:p w14:paraId="7BF9249E" w14:textId="77777777" w:rsidR="007D1E74" w:rsidRDefault="00A95641">
            <w:pPr>
              <w:jc w:val="center"/>
              <w:rPr>
                <w:rFonts w:cs="Times New Roman"/>
                <w:szCs w:val="21"/>
              </w:rPr>
            </w:pPr>
            <w:r>
              <w:rPr>
                <w:rFonts w:cs="Times New Roman"/>
                <w:szCs w:val="21"/>
              </w:rPr>
              <w:t>5060.80</w:t>
            </w:r>
          </w:p>
        </w:tc>
      </w:tr>
      <w:tr w:rsidR="007D1E74" w14:paraId="2D903AE7" w14:textId="77777777">
        <w:trPr>
          <w:trHeight w:val="70"/>
          <w:jc w:val="center"/>
        </w:trPr>
        <w:tc>
          <w:tcPr>
            <w:tcW w:w="1142" w:type="pct"/>
            <w:vAlign w:val="center"/>
          </w:tcPr>
          <w:p w14:paraId="07C9AB90" w14:textId="77777777" w:rsidR="007D1E74" w:rsidRDefault="00A95641">
            <w:pPr>
              <w:jc w:val="center"/>
              <w:rPr>
                <w:rFonts w:cstheme="minorHAnsi"/>
                <w:szCs w:val="21"/>
              </w:rPr>
            </w:pPr>
            <w:r>
              <w:rPr>
                <w:rFonts w:cstheme="minorHAnsi" w:hint="eastAsia"/>
                <w:szCs w:val="21"/>
              </w:rPr>
              <w:t>马</w:t>
            </w:r>
            <w:r>
              <w:rPr>
                <w:rFonts w:cstheme="minorHAnsi" w:hint="eastAsia"/>
                <w:szCs w:val="21"/>
              </w:rPr>
              <w:t>1-</w:t>
            </w:r>
            <w:r>
              <w:rPr>
                <w:rFonts w:cstheme="minorHAnsi"/>
                <w:szCs w:val="21"/>
              </w:rPr>
              <w:t>11</w:t>
            </w:r>
            <w:r>
              <w:rPr>
                <w:rFonts w:cstheme="minorHAnsi"/>
                <w:szCs w:val="21"/>
              </w:rPr>
              <w:t>脱水井场至</w:t>
            </w:r>
            <w:r>
              <w:rPr>
                <w:rFonts w:cstheme="minorHAnsi" w:hint="eastAsia"/>
                <w:szCs w:val="21"/>
              </w:rPr>
              <w:t>4#</w:t>
            </w:r>
            <w:r>
              <w:rPr>
                <w:rFonts w:cstheme="minorHAnsi" w:hint="eastAsia"/>
                <w:szCs w:val="21"/>
              </w:rPr>
              <w:t>清管阀组集输干线</w:t>
            </w:r>
          </w:p>
        </w:tc>
        <w:tc>
          <w:tcPr>
            <w:tcW w:w="610" w:type="pct"/>
            <w:vAlign w:val="center"/>
          </w:tcPr>
          <w:p w14:paraId="5EC76B35" w14:textId="77777777" w:rsidR="007D1E74" w:rsidRDefault="00A95641">
            <w:pPr>
              <w:jc w:val="center"/>
              <w:rPr>
                <w:rFonts w:cs="Times New Roman"/>
                <w:szCs w:val="21"/>
              </w:rPr>
            </w:pPr>
            <w:r>
              <w:rPr>
                <w:rFonts w:cs="Times New Roman"/>
                <w:szCs w:val="21"/>
              </w:rPr>
              <w:t>天然气</w:t>
            </w:r>
          </w:p>
        </w:tc>
        <w:tc>
          <w:tcPr>
            <w:tcW w:w="650" w:type="pct"/>
            <w:vAlign w:val="center"/>
          </w:tcPr>
          <w:p w14:paraId="2368BD6D" w14:textId="77777777" w:rsidR="007D1E74" w:rsidRDefault="00A95641">
            <w:pPr>
              <w:jc w:val="center"/>
              <w:rPr>
                <w:szCs w:val="21"/>
              </w:rPr>
            </w:pPr>
            <w:r>
              <w:rPr>
                <w:szCs w:val="21"/>
              </w:rPr>
              <w:t>7.1</w:t>
            </w:r>
          </w:p>
        </w:tc>
        <w:tc>
          <w:tcPr>
            <w:tcW w:w="650" w:type="pct"/>
            <w:vAlign w:val="center"/>
          </w:tcPr>
          <w:p w14:paraId="0437CB07" w14:textId="77777777" w:rsidR="007D1E74" w:rsidRDefault="00A95641">
            <w:pPr>
              <w:jc w:val="center"/>
              <w:rPr>
                <w:szCs w:val="21"/>
              </w:rPr>
            </w:pPr>
            <w:r>
              <w:rPr>
                <w:szCs w:val="21"/>
              </w:rPr>
              <w:t>DN300</w:t>
            </w:r>
          </w:p>
        </w:tc>
        <w:tc>
          <w:tcPr>
            <w:tcW w:w="650" w:type="pct"/>
            <w:vAlign w:val="center"/>
          </w:tcPr>
          <w:p w14:paraId="6B748982" w14:textId="77777777" w:rsidR="007D1E74" w:rsidRDefault="00A95641">
            <w:pPr>
              <w:jc w:val="center"/>
              <w:rPr>
                <w:rFonts w:cs="Times New Roman"/>
                <w:szCs w:val="21"/>
              </w:rPr>
            </w:pPr>
            <w:r>
              <w:rPr>
                <w:rFonts w:cs="Times New Roman"/>
                <w:szCs w:val="21"/>
              </w:rPr>
              <w:t>18.71</w:t>
            </w:r>
          </w:p>
        </w:tc>
        <w:tc>
          <w:tcPr>
            <w:tcW w:w="650" w:type="pct"/>
            <w:vAlign w:val="center"/>
          </w:tcPr>
          <w:p w14:paraId="70CC2261" w14:textId="77777777" w:rsidR="007D1E74" w:rsidRDefault="00A95641">
            <w:pPr>
              <w:jc w:val="center"/>
              <w:rPr>
                <w:rFonts w:cs="Times New Roman"/>
                <w:szCs w:val="21"/>
              </w:rPr>
            </w:pPr>
            <w:r>
              <w:rPr>
                <w:rFonts w:cs="Times New Roman"/>
                <w:szCs w:val="21"/>
              </w:rPr>
              <w:t>20</w:t>
            </w:r>
          </w:p>
        </w:tc>
        <w:tc>
          <w:tcPr>
            <w:tcW w:w="648" w:type="pct"/>
            <w:vAlign w:val="center"/>
          </w:tcPr>
          <w:p w14:paraId="624FE1A4" w14:textId="77777777" w:rsidR="007D1E74" w:rsidRDefault="00A95641">
            <w:pPr>
              <w:jc w:val="center"/>
              <w:rPr>
                <w:rFonts w:cs="Times New Roman"/>
                <w:szCs w:val="21"/>
              </w:rPr>
            </w:pPr>
            <w:r>
              <w:rPr>
                <w:rFonts w:cs="Times New Roman"/>
                <w:szCs w:val="21"/>
              </w:rPr>
              <w:t>22457.30</w:t>
            </w:r>
          </w:p>
        </w:tc>
      </w:tr>
      <w:tr w:rsidR="007D1E74" w14:paraId="5D88353D" w14:textId="77777777">
        <w:trPr>
          <w:trHeight w:val="70"/>
          <w:jc w:val="center"/>
        </w:trPr>
        <w:tc>
          <w:tcPr>
            <w:tcW w:w="1142" w:type="pct"/>
            <w:vAlign w:val="center"/>
          </w:tcPr>
          <w:p w14:paraId="11308018" w14:textId="77777777" w:rsidR="007D1E74" w:rsidRDefault="00A95641">
            <w:pPr>
              <w:jc w:val="center"/>
              <w:rPr>
                <w:rFonts w:cstheme="minorHAnsi"/>
                <w:szCs w:val="21"/>
              </w:rPr>
            </w:pPr>
            <w:r>
              <w:rPr>
                <w:rFonts w:cstheme="minorHAnsi" w:hint="eastAsia"/>
                <w:szCs w:val="21"/>
              </w:rPr>
              <w:t>4#</w:t>
            </w:r>
            <w:r>
              <w:rPr>
                <w:rFonts w:cstheme="minorHAnsi" w:hint="eastAsia"/>
                <w:szCs w:val="21"/>
              </w:rPr>
              <w:t>清管阀组至草池增压站集输干线</w:t>
            </w:r>
          </w:p>
        </w:tc>
        <w:tc>
          <w:tcPr>
            <w:tcW w:w="610" w:type="pct"/>
            <w:vAlign w:val="center"/>
          </w:tcPr>
          <w:p w14:paraId="0CAED9D6" w14:textId="77777777" w:rsidR="007D1E74" w:rsidRDefault="00A95641">
            <w:pPr>
              <w:jc w:val="center"/>
              <w:rPr>
                <w:rFonts w:cs="Times New Roman"/>
                <w:szCs w:val="21"/>
              </w:rPr>
            </w:pPr>
            <w:r>
              <w:rPr>
                <w:rFonts w:cs="Times New Roman"/>
                <w:szCs w:val="21"/>
              </w:rPr>
              <w:t>天然气</w:t>
            </w:r>
          </w:p>
        </w:tc>
        <w:tc>
          <w:tcPr>
            <w:tcW w:w="650" w:type="pct"/>
            <w:vAlign w:val="center"/>
          </w:tcPr>
          <w:p w14:paraId="2AE7944D" w14:textId="77777777" w:rsidR="007D1E74" w:rsidRDefault="00A95641">
            <w:pPr>
              <w:jc w:val="center"/>
              <w:rPr>
                <w:szCs w:val="21"/>
              </w:rPr>
            </w:pPr>
            <w:r>
              <w:rPr>
                <w:rFonts w:hint="eastAsia"/>
                <w:szCs w:val="21"/>
              </w:rPr>
              <w:t>1</w:t>
            </w:r>
            <w:r>
              <w:rPr>
                <w:szCs w:val="21"/>
              </w:rPr>
              <w:t>4.3</w:t>
            </w:r>
          </w:p>
        </w:tc>
        <w:tc>
          <w:tcPr>
            <w:tcW w:w="650" w:type="pct"/>
            <w:vAlign w:val="center"/>
          </w:tcPr>
          <w:p w14:paraId="1131123C" w14:textId="77777777" w:rsidR="007D1E74" w:rsidRDefault="00A95641">
            <w:pPr>
              <w:jc w:val="center"/>
              <w:rPr>
                <w:szCs w:val="21"/>
              </w:rPr>
            </w:pPr>
            <w:r>
              <w:rPr>
                <w:szCs w:val="21"/>
              </w:rPr>
              <w:t>DN350</w:t>
            </w:r>
          </w:p>
        </w:tc>
        <w:tc>
          <w:tcPr>
            <w:tcW w:w="650" w:type="pct"/>
            <w:vAlign w:val="center"/>
          </w:tcPr>
          <w:p w14:paraId="22954D7B" w14:textId="77777777" w:rsidR="007D1E74" w:rsidRDefault="00A95641">
            <w:pPr>
              <w:jc w:val="center"/>
              <w:rPr>
                <w:rFonts w:cs="Times New Roman"/>
                <w:szCs w:val="21"/>
              </w:rPr>
            </w:pPr>
            <w:r>
              <w:rPr>
                <w:rFonts w:cs="Times New Roman"/>
                <w:szCs w:val="21"/>
              </w:rPr>
              <w:t>51.30</w:t>
            </w:r>
          </w:p>
        </w:tc>
        <w:tc>
          <w:tcPr>
            <w:tcW w:w="650" w:type="pct"/>
            <w:vAlign w:val="center"/>
          </w:tcPr>
          <w:p w14:paraId="54CA3EAD" w14:textId="77777777" w:rsidR="007D1E74" w:rsidRDefault="00A95641">
            <w:pPr>
              <w:jc w:val="center"/>
              <w:rPr>
                <w:rFonts w:cs="Times New Roman"/>
                <w:szCs w:val="21"/>
              </w:rPr>
            </w:pPr>
            <w:r>
              <w:rPr>
                <w:rFonts w:cs="Times New Roman"/>
                <w:szCs w:val="21"/>
              </w:rPr>
              <w:t>20</w:t>
            </w:r>
          </w:p>
        </w:tc>
        <w:tc>
          <w:tcPr>
            <w:tcW w:w="648" w:type="pct"/>
            <w:vAlign w:val="center"/>
          </w:tcPr>
          <w:p w14:paraId="6DD34843" w14:textId="77777777" w:rsidR="007D1E74" w:rsidRDefault="00A95641">
            <w:pPr>
              <w:jc w:val="center"/>
              <w:rPr>
                <w:rFonts w:cs="Times New Roman"/>
                <w:szCs w:val="21"/>
              </w:rPr>
            </w:pPr>
            <w:r>
              <w:rPr>
                <w:rFonts w:cs="Times New Roman"/>
                <w:szCs w:val="21"/>
              </w:rPr>
              <w:t>61564.29</w:t>
            </w:r>
          </w:p>
        </w:tc>
      </w:tr>
    </w:tbl>
    <w:p w14:paraId="4D6F4B96" w14:textId="77777777" w:rsidR="007D1E74" w:rsidRDefault="00A95641">
      <w:pPr>
        <w:spacing w:line="360" w:lineRule="auto"/>
        <w:ind w:firstLineChars="200" w:firstLine="480"/>
        <w:rPr>
          <w:sz w:val="24"/>
          <w:szCs w:val="24"/>
        </w:rPr>
      </w:pPr>
      <w:r>
        <w:rPr>
          <w:sz w:val="24"/>
          <w:szCs w:val="24"/>
        </w:rPr>
        <w:t>综上所述，项目集输管道总泄漏量见下表。</w:t>
      </w:r>
    </w:p>
    <w:p w14:paraId="41B39EF2" w14:textId="77777777" w:rsidR="007D1E74" w:rsidRDefault="00A95641">
      <w:pPr>
        <w:pStyle w:val="afffffe"/>
        <w:numPr>
          <w:ilvl w:val="0"/>
          <w:numId w:val="50"/>
        </w:numPr>
        <w:spacing w:line="360" w:lineRule="auto"/>
        <w:ind w:firstLineChars="0"/>
        <w:jc w:val="center"/>
        <w:rPr>
          <w:rFonts w:eastAsia="黑体" w:cs="Times New Roman"/>
          <w:szCs w:val="21"/>
        </w:rPr>
      </w:pPr>
      <w:r>
        <w:rPr>
          <w:rFonts w:eastAsia="黑体" w:cs="Times New Roman" w:hint="eastAsia"/>
          <w:szCs w:val="21"/>
        </w:rPr>
        <w:t>集输管道天然气总泄漏量计算结果</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5"/>
        <w:gridCol w:w="1389"/>
        <w:gridCol w:w="1388"/>
        <w:gridCol w:w="1388"/>
        <w:gridCol w:w="1329"/>
        <w:gridCol w:w="1327"/>
      </w:tblGrid>
      <w:tr w:rsidR="007D1E74" w14:paraId="1F7E4932" w14:textId="77777777">
        <w:trPr>
          <w:trHeight w:val="70"/>
        </w:trPr>
        <w:tc>
          <w:tcPr>
            <w:tcW w:w="1217" w:type="pct"/>
            <w:vMerge w:val="restart"/>
            <w:shd w:val="clear" w:color="auto" w:fill="auto"/>
            <w:vAlign w:val="center"/>
          </w:tcPr>
          <w:p w14:paraId="22E58182" w14:textId="77777777" w:rsidR="007D1E74" w:rsidRDefault="00A95641">
            <w:pPr>
              <w:widowControl/>
              <w:jc w:val="center"/>
              <w:rPr>
                <w:rFonts w:cs="Times New Roman"/>
                <w:kern w:val="0"/>
                <w:szCs w:val="21"/>
              </w:rPr>
            </w:pPr>
            <w:r>
              <w:rPr>
                <w:rFonts w:cs="Times New Roman"/>
                <w:kern w:val="0"/>
                <w:szCs w:val="21"/>
              </w:rPr>
              <w:t>管段</w:t>
            </w:r>
          </w:p>
        </w:tc>
        <w:tc>
          <w:tcPr>
            <w:tcW w:w="2310" w:type="pct"/>
            <w:gridSpan w:val="3"/>
            <w:shd w:val="clear" w:color="auto" w:fill="auto"/>
            <w:vAlign w:val="center"/>
          </w:tcPr>
          <w:p w14:paraId="59A618AA" w14:textId="77777777" w:rsidR="007D1E74" w:rsidRDefault="00A95641">
            <w:pPr>
              <w:widowControl/>
              <w:jc w:val="center"/>
              <w:rPr>
                <w:rFonts w:cs="Times New Roman"/>
                <w:kern w:val="0"/>
                <w:szCs w:val="21"/>
              </w:rPr>
            </w:pPr>
            <w:r>
              <w:rPr>
                <w:rFonts w:cs="Times New Roman"/>
                <w:kern w:val="0"/>
                <w:szCs w:val="21"/>
              </w:rPr>
              <w:t>泄漏量（</w:t>
            </w:r>
            <w:r>
              <w:rPr>
                <w:rFonts w:cs="Times New Roman"/>
                <w:kern w:val="0"/>
                <w:szCs w:val="21"/>
              </w:rPr>
              <w:t>kg</w:t>
            </w:r>
            <w:r>
              <w:rPr>
                <w:rFonts w:cs="Times New Roman"/>
                <w:kern w:val="0"/>
                <w:szCs w:val="21"/>
              </w:rPr>
              <w:t>）</w:t>
            </w:r>
          </w:p>
        </w:tc>
        <w:tc>
          <w:tcPr>
            <w:tcW w:w="737" w:type="pct"/>
            <w:vMerge w:val="restart"/>
            <w:vAlign w:val="center"/>
          </w:tcPr>
          <w:p w14:paraId="540D13B0" w14:textId="77777777" w:rsidR="007D1E74" w:rsidRDefault="00A95641">
            <w:pPr>
              <w:widowControl/>
              <w:jc w:val="center"/>
              <w:rPr>
                <w:rFonts w:cs="Times New Roman"/>
                <w:kern w:val="0"/>
                <w:szCs w:val="21"/>
              </w:rPr>
            </w:pPr>
            <w:r>
              <w:rPr>
                <w:rFonts w:cs="Times New Roman"/>
                <w:kern w:val="0"/>
                <w:szCs w:val="21"/>
              </w:rPr>
              <w:t>泄漏时间（</w:t>
            </w:r>
            <w:r>
              <w:rPr>
                <w:rFonts w:cs="Times New Roman"/>
                <w:kern w:val="0"/>
                <w:szCs w:val="21"/>
              </w:rPr>
              <w:t>min</w:t>
            </w:r>
            <w:r>
              <w:rPr>
                <w:rFonts w:cs="Times New Roman"/>
                <w:kern w:val="0"/>
                <w:szCs w:val="21"/>
              </w:rPr>
              <w:t>）</w:t>
            </w:r>
          </w:p>
        </w:tc>
        <w:tc>
          <w:tcPr>
            <w:tcW w:w="736" w:type="pct"/>
            <w:vMerge w:val="restart"/>
            <w:vAlign w:val="center"/>
          </w:tcPr>
          <w:p w14:paraId="14B9304A" w14:textId="77777777" w:rsidR="007D1E74" w:rsidRDefault="00A95641">
            <w:pPr>
              <w:widowControl/>
              <w:jc w:val="center"/>
              <w:rPr>
                <w:rFonts w:cs="Times New Roman"/>
                <w:kern w:val="0"/>
                <w:szCs w:val="21"/>
              </w:rPr>
            </w:pPr>
            <w:r>
              <w:rPr>
                <w:rFonts w:cs="Times New Roman"/>
                <w:kern w:val="0"/>
                <w:szCs w:val="21"/>
              </w:rPr>
              <w:t>泄漏速率（</w:t>
            </w:r>
            <w:r>
              <w:rPr>
                <w:rFonts w:cs="Times New Roman"/>
                <w:kern w:val="0"/>
                <w:szCs w:val="21"/>
              </w:rPr>
              <w:t>kg/s</w:t>
            </w:r>
            <w:r>
              <w:rPr>
                <w:rFonts w:cs="Times New Roman"/>
                <w:kern w:val="0"/>
                <w:szCs w:val="21"/>
              </w:rPr>
              <w:t>）</w:t>
            </w:r>
          </w:p>
        </w:tc>
      </w:tr>
      <w:tr w:rsidR="007D1E74" w14:paraId="5B6D19BA" w14:textId="77777777">
        <w:trPr>
          <w:trHeight w:val="70"/>
        </w:trPr>
        <w:tc>
          <w:tcPr>
            <w:tcW w:w="1217" w:type="pct"/>
            <w:vMerge/>
            <w:vAlign w:val="center"/>
          </w:tcPr>
          <w:p w14:paraId="4ACAD37D" w14:textId="77777777" w:rsidR="007D1E74" w:rsidRDefault="007D1E74">
            <w:pPr>
              <w:widowControl/>
              <w:jc w:val="center"/>
              <w:rPr>
                <w:rFonts w:cs="Times New Roman"/>
                <w:kern w:val="0"/>
                <w:szCs w:val="21"/>
              </w:rPr>
            </w:pPr>
          </w:p>
        </w:tc>
        <w:tc>
          <w:tcPr>
            <w:tcW w:w="770" w:type="pct"/>
            <w:shd w:val="clear" w:color="auto" w:fill="auto"/>
            <w:vAlign w:val="center"/>
          </w:tcPr>
          <w:p w14:paraId="62203175" w14:textId="77777777" w:rsidR="007D1E74" w:rsidRDefault="00A95641">
            <w:pPr>
              <w:widowControl/>
              <w:jc w:val="center"/>
              <w:rPr>
                <w:rFonts w:cs="Times New Roman"/>
                <w:kern w:val="0"/>
                <w:szCs w:val="21"/>
              </w:rPr>
            </w:pPr>
            <w:r>
              <w:rPr>
                <w:rFonts w:cs="Times New Roman"/>
                <w:kern w:val="0"/>
                <w:szCs w:val="21"/>
              </w:rPr>
              <w:t>阀门关闭前</w:t>
            </w:r>
          </w:p>
        </w:tc>
        <w:tc>
          <w:tcPr>
            <w:tcW w:w="770" w:type="pct"/>
            <w:shd w:val="clear" w:color="auto" w:fill="auto"/>
            <w:vAlign w:val="center"/>
          </w:tcPr>
          <w:p w14:paraId="0816478C" w14:textId="77777777" w:rsidR="007D1E74" w:rsidRDefault="00A95641">
            <w:pPr>
              <w:widowControl/>
              <w:jc w:val="center"/>
              <w:rPr>
                <w:rFonts w:cs="Times New Roman"/>
                <w:kern w:val="0"/>
                <w:szCs w:val="21"/>
              </w:rPr>
            </w:pPr>
            <w:r>
              <w:rPr>
                <w:rFonts w:cs="Times New Roman"/>
                <w:kern w:val="0"/>
                <w:szCs w:val="21"/>
              </w:rPr>
              <w:t>阀门关闭后</w:t>
            </w:r>
          </w:p>
        </w:tc>
        <w:tc>
          <w:tcPr>
            <w:tcW w:w="770" w:type="pct"/>
            <w:shd w:val="clear" w:color="auto" w:fill="auto"/>
            <w:vAlign w:val="center"/>
          </w:tcPr>
          <w:p w14:paraId="59C38ADE" w14:textId="77777777" w:rsidR="007D1E74" w:rsidRDefault="00A95641">
            <w:pPr>
              <w:widowControl/>
              <w:jc w:val="center"/>
              <w:rPr>
                <w:rFonts w:cs="Times New Roman"/>
                <w:kern w:val="0"/>
                <w:szCs w:val="21"/>
              </w:rPr>
            </w:pPr>
            <w:r>
              <w:rPr>
                <w:rFonts w:cs="Times New Roman"/>
                <w:kern w:val="0"/>
                <w:szCs w:val="21"/>
              </w:rPr>
              <w:t>合计</w:t>
            </w:r>
          </w:p>
        </w:tc>
        <w:tc>
          <w:tcPr>
            <w:tcW w:w="737" w:type="pct"/>
            <w:vMerge/>
            <w:vAlign w:val="center"/>
          </w:tcPr>
          <w:p w14:paraId="3DB34BA7" w14:textId="77777777" w:rsidR="007D1E74" w:rsidRDefault="007D1E74">
            <w:pPr>
              <w:widowControl/>
              <w:jc w:val="center"/>
              <w:rPr>
                <w:rFonts w:cs="Times New Roman"/>
                <w:kern w:val="0"/>
                <w:szCs w:val="21"/>
              </w:rPr>
            </w:pPr>
          </w:p>
        </w:tc>
        <w:tc>
          <w:tcPr>
            <w:tcW w:w="736" w:type="pct"/>
            <w:vMerge/>
            <w:vAlign w:val="center"/>
          </w:tcPr>
          <w:p w14:paraId="226A19D1" w14:textId="77777777" w:rsidR="007D1E74" w:rsidRDefault="007D1E74">
            <w:pPr>
              <w:widowControl/>
              <w:jc w:val="center"/>
              <w:rPr>
                <w:rFonts w:cs="Times New Roman"/>
                <w:kern w:val="0"/>
                <w:szCs w:val="21"/>
              </w:rPr>
            </w:pPr>
          </w:p>
        </w:tc>
      </w:tr>
      <w:tr w:rsidR="007D1E74" w14:paraId="48CB778E" w14:textId="77777777">
        <w:trPr>
          <w:trHeight w:val="70"/>
        </w:trPr>
        <w:tc>
          <w:tcPr>
            <w:tcW w:w="1217" w:type="pct"/>
            <w:shd w:val="clear" w:color="auto" w:fill="auto"/>
            <w:vAlign w:val="center"/>
          </w:tcPr>
          <w:p w14:paraId="0380D442" w14:textId="77777777" w:rsidR="007D1E74" w:rsidRDefault="00A95641">
            <w:pPr>
              <w:widowControl/>
              <w:jc w:val="center"/>
              <w:rPr>
                <w:rFonts w:cs="Times New Roman"/>
                <w:kern w:val="0"/>
                <w:szCs w:val="21"/>
              </w:rPr>
            </w:pPr>
            <w:r>
              <w:rPr>
                <w:rFonts w:cs="Times New Roman"/>
                <w:kern w:val="0"/>
                <w:szCs w:val="21"/>
              </w:rPr>
              <w:t>1#</w:t>
            </w:r>
            <w:r>
              <w:rPr>
                <w:rFonts w:cs="Times New Roman"/>
                <w:kern w:val="0"/>
                <w:szCs w:val="21"/>
              </w:rPr>
              <w:t>阀室至马</w:t>
            </w:r>
            <w:r>
              <w:rPr>
                <w:rFonts w:cs="Times New Roman"/>
                <w:kern w:val="0"/>
                <w:szCs w:val="21"/>
              </w:rPr>
              <w:t>1-11</w:t>
            </w:r>
            <w:r>
              <w:rPr>
                <w:rFonts w:cs="Times New Roman"/>
                <w:kern w:val="0"/>
                <w:szCs w:val="21"/>
              </w:rPr>
              <w:t>脱水井场集输干线</w:t>
            </w:r>
          </w:p>
        </w:tc>
        <w:tc>
          <w:tcPr>
            <w:tcW w:w="770" w:type="pct"/>
            <w:shd w:val="clear" w:color="auto" w:fill="auto"/>
            <w:vAlign w:val="center"/>
          </w:tcPr>
          <w:p w14:paraId="005B99BC" w14:textId="77777777" w:rsidR="007D1E74" w:rsidRDefault="00A95641">
            <w:pPr>
              <w:widowControl/>
              <w:jc w:val="center"/>
              <w:rPr>
                <w:rFonts w:cs="Times New Roman"/>
                <w:kern w:val="0"/>
                <w:szCs w:val="21"/>
              </w:rPr>
            </w:pPr>
            <w:r>
              <w:rPr>
                <w:rFonts w:cs="Times New Roman"/>
                <w:kern w:val="0"/>
                <w:szCs w:val="21"/>
              </w:rPr>
              <w:t>23317.71</w:t>
            </w:r>
          </w:p>
        </w:tc>
        <w:tc>
          <w:tcPr>
            <w:tcW w:w="770" w:type="pct"/>
            <w:shd w:val="clear" w:color="auto" w:fill="auto"/>
            <w:vAlign w:val="center"/>
          </w:tcPr>
          <w:p w14:paraId="552565C9" w14:textId="77777777" w:rsidR="007D1E74" w:rsidRDefault="00A95641">
            <w:pPr>
              <w:widowControl/>
              <w:jc w:val="center"/>
              <w:rPr>
                <w:rFonts w:cs="Times New Roman"/>
                <w:kern w:val="0"/>
                <w:szCs w:val="21"/>
              </w:rPr>
            </w:pPr>
            <w:r>
              <w:rPr>
                <w:rFonts w:cs="Times New Roman"/>
                <w:kern w:val="0"/>
                <w:szCs w:val="21"/>
              </w:rPr>
              <w:t>26569.2</w:t>
            </w:r>
          </w:p>
        </w:tc>
        <w:tc>
          <w:tcPr>
            <w:tcW w:w="770" w:type="pct"/>
            <w:shd w:val="clear" w:color="auto" w:fill="auto"/>
            <w:vAlign w:val="center"/>
          </w:tcPr>
          <w:p w14:paraId="16BEBB79" w14:textId="77777777" w:rsidR="007D1E74" w:rsidRDefault="00A95641">
            <w:pPr>
              <w:widowControl/>
              <w:jc w:val="center"/>
              <w:rPr>
                <w:rFonts w:cs="Times New Roman"/>
                <w:kern w:val="0"/>
                <w:szCs w:val="21"/>
              </w:rPr>
            </w:pPr>
            <w:r>
              <w:rPr>
                <w:rFonts w:cs="Times New Roman"/>
                <w:kern w:val="0"/>
                <w:szCs w:val="21"/>
              </w:rPr>
              <w:t>49886.91</w:t>
            </w:r>
          </w:p>
        </w:tc>
        <w:tc>
          <w:tcPr>
            <w:tcW w:w="737" w:type="pct"/>
            <w:vAlign w:val="center"/>
          </w:tcPr>
          <w:p w14:paraId="2E2ABE97" w14:textId="77777777" w:rsidR="007D1E74" w:rsidRDefault="00A95641">
            <w:pPr>
              <w:widowControl/>
              <w:jc w:val="center"/>
              <w:rPr>
                <w:rFonts w:cs="Times New Roman"/>
                <w:kern w:val="0"/>
                <w:szCs w:val="21"/>
              </w:rPr>
            </w:pPr>
            <w:r>
              <w:rPr>
                <w:rFonts w:cs="Times New Roman" w:hint="eastAsia"/>
                <w:kern w:val="0"/>
                <w:szCs w:val="21"/>
              </w:rPr>
              <w:t>2</w:t>
            </w:r>
            <w:r>
              <w:rPr>
                <w:rFonts w:cs="Times New Roman"/>
                <w:kern w:val="0"/>
                <w:szCs w:val="21"/>
              </w:rPr>
              <w:t>0</w:t>
            </w:r>
          </w:p>
        </w:tc>
        <w:tc>
          <w:tcPr>
            <w:tcW w:w="736" w:type="pct"/>
            <w:vAlign w:val="center"/>
          </w:tcPr>
          <w:p w14:paraId="38DE7216" w14:textId="77777777" w:rsidR="007D1E74" w:rsidRDefault="00A95641">
            <w:pPr>
              <w:widowControl/>
              <w:jc w:val="center"/>
              <w:rPr>
                <w:szCs w:val="21"/>
              </w:rPr>
            </w:pPr>
            <w:r>
              <w:rPr>
                <w:rFonts w:hint="eastAsia"/>
                <w:szCs w:val="21"/>
              </w:rPr>
              <w:t>41.57</w:t>
            </w:r>
          </w:p>
        </w:tc>
      </w:tr>
      <w:tr w:rsidR="007D1E74" w14:paraId="2BB4999C" w14:textId="77777777">
        <w:trPr>
          <w:trHeight w:val="540"/>
        </w:trPr>
        <w:tc>
          <w:tcPr>
            <w:tcW w:w="1217" w:type="pct"/>
            <w:shd w:val="clear" w:color="auto" w:fill="auto"/>
            <w:vAlign w:val="center"/>
          </w:tcPr>
          <w:p w14:paraId="40B659F4" w14:textId="77777777" w:rsidR="007D1E74" w:rsidRDefault="00A95641">
            <w:pPr>
              <w:widowControl/>
              <w:jc w:val="center"/>
              <w:rPr>
                <w:rFonts w:cs="Times New Roman"/>
                <w:kern w:val="0"/>
                <w:szCs w:val="21"/>
              </w:rPr>
            </w:pPr>
            <w:r>
              <w:rPr>
                <w:rFonts w:cs="Times New Roman"/>
                <w:kern w:val="0"/>
                <w:szCs w:val="21"/>
              </w:rPr>
              <w:t>马</w:t>
            </w:r>
            <w:r>
              <w:rPr>
                <w:rFonts w:cs="Times New Roman"/>
                <w:kern w:val="0"/>
                <w:szCs w:val="21"/>
              </w:rPr>
              <w:t>1-10H</w:t>
            </w:r>
            <w:r>
              <w:rPr>
                <w:rFonts w:cs="Times New Roman"/>
                <w:kern w:val="0"/>
                <w:szCs w:val="21"/>
              </w:rPr>
              <w:t>采气井场至马</w:t>
            </w:r>
            <w:r>
              <w:rPr>
                <w:rFonts w:cs="Times New Roman"/>
                <w:kern w:val="0"/>
                <w:szCs w:val="21"/>
              </w:rPr>
              <w:t>1-1</w:t>
            </w:r>
            <w:r>
              <w:rPr>
                <w:rFonts w:cs="Times New Roman"/>
                <w:kern w:val="0"/>
                <w:szCs w:val="21"/>
              </w:rPr>
              <w:t>集气支线</w:t>
            </w:r>
          </w:p>
        </w:tc>
        <w:tc>
          <w:tcPr>
            <w:tcW w:w="770" w:type="pct"/>
            <w:shd w:val="clear" w:color="auto" w:fill="auto"/>
            <w:vAlign w:val="center"/>
          </w:tcPr>
          <w:p w14:paraId="2EA5B78A" w14:textId="77777777" w:rsidR="007D1E74" w:rsidRDefault="00A95641">
            <w:pPr>
              <w:widowControl/>
              <w:jc w:val="center"/>
              <w:rPr>
                <w:rFonts w:cs="Times New Roman"/>
                <w:kern w:val="0"/>
                <w:szCs w:val="21"/>
              </w:rPr>
            </w:pPr>
            <w:r>
              <w:rPr>
                <w:rFonts w:cs="Times New Roman"/>
                <w:kern w:val="0"/>
                <w:szCs w:val="21"/>
              </w:rPr>
              <w:t>2331.77</w:t>
            </w:r>
          </w:p>
        </w:tc>
        <w:tc>
          <w:tcPr>
            <w:tcW w:w="770" w:type="pct"/>
            <w:shd w:val="clear" w:color="auto" w:fill="auto"/>
            <w:vAlign w:val="center"/>
          </w:tcPr>
          <w:p w14:paraId="267EF111" w14:textId="77777777" w:rsidR="007D1E74" w:rsidRDefault="00A95641">
            <w:pPr>
              <w:widowControl/>
              <w:jc w:val="center"/>
              <w:rPr>
                <w:rFonts w:cs="Times New Roman"/>
                <w:kern w:val="0"/>
                <w:szCs w:val="21"/>
              </w:rPr>
            </w:pPr>
            <w:r>
              <w:rPr>
                <w:rFonts w:cs="Times New Roman"/>
                <w:kern w:val="0"/>
                <w:szCs w:val="21"/>
              </w:rPr>
              <w:t>1882.49</w:t>
            </w:r>
          </w:p>
        </w:tc>
        <w:tc>
          <w:tcPr>
            <w:tcW w:w="770" w:type="pct"/>
            <w:shd w:val="clear" w:color="auto" w:fill="auto"/>
            <w:vAlign w:val="center"/>
          </w:tcPr>
          <w:p w14:paraId="6EF2DB09" w14:textId="77777777" w:rsidR="007D1E74" w:rsidRDefault="00A95641">
            <w:pPr>
              <w:widowControl/>
              <w:jc w:val="center"/>
              <w:rPr>
                <w:rFonts w:cs="Times New Roman"/>
                <w:kern w:val="0"/>
                <w:szCs w:val="21"/>
              </w:rPr>
            </w:pPr>
            <w:r>
              <w:rPr>
                <w:rFonts w:cs="Times New Roman"/>
                <w:kern w:val="0"/>
                <w:szCs w:val="21"/>
              </w:rPr>
              <w:t>4214.26</w:t>
            </w:r>
          </w:p>
        </w:tc>
        <w:tc>
          <w:tcPr>
            <w:tcW w:w="737" w:type="pct"/>
            <w:vAlign w:val="center"/>
          </w:tcPr>
          <w:p w14:paraId="75C9DB82" w14:textId="77777777" w:rsidR="007D1E74" w:rsidRDefault="00A95641">
            <w:pPr>
              <w:jc w:val="center"/>
            </w:pPr>
            <w:r>
              <w:rPr>
                <w:rFonts w:cs="Times New Roman" w:hint="eastAsia"/>
                <w:kern w:val="0"/>
                <w:szCs w:val="21"/>
              </w:rPr>
              <w:t>2</w:t>
            </w:r>
            <w:r>
              <w:rPr>
                <w:rFonts w:cs="Times New Roman"/>
                <w:kern w:val="0"/>
                <w:szCs w:val="21"/>
              </w:rPr>
              <w:t>0</w:t>
            </w:r>
          </w:p>
        </w:tc>
        <w:tc>
          <w:tcPr>
            <w:tcW w:w="736" w:type="pct"/>
            <w:vAlign w:val="center"/>
          </w:tcPr>
          <w:p w14:paraId="5BF6F227" w14:textId="77777777" w:rsidR="007D1E74" w:rsidRDefault="00A95641">
            <w:pPr>
              <w:jc w:val="center"/>
              <w:rPr>
                <w:szCs w:val="21"/>
              </w:rPr>
            </w:pPr>
            <w:r>
              <w:rPr>
                <w:rFonts w:hint="eastAsia"/>
                <w:szCs w:val="21"/>
              </w:rPr>
              <w:t>3.51</w:t>
            </w:r>
          </w:p>
        </w:tc>
      </w:tr>
      <w:tr w:rsidR="007D1E74" w14:paraId="1CEFFA1C" w14:textId="77777777">
        <w:trPr>
          <w:trHeight w:val="525"/>
        </w:trPr>
        <w:tc>
          <w:tcPr>
            <w:tcW w:w="1217" w:type="pct"/>
            <w:shd w:val="clear" w:color="auto" w:fill="auto"/>
            <w:vAlign w:val="center"/>
          </w:tcPr>
          <w:p w14:paraId="4A75CE89" w14:textId="77777777" w:rsidR="007D1E74" w:rsidRDefault="00A95641">
            <w:pPr>
              <w:widowControl/>
              <w:jc w:val="center"/>
              <w:rPr>
                <w:rFonts w:cs="Times New Roman"/>
                <w:kern w:val="0"/>
                <w:szCs w:val="21"/>
              </w:rPr>
            </w:pPr>
            <w:r>
              <w:rPr>
                <w:rFonts w:cs="Times New Roman"/>
                <w:kern w:val="0"/>
                <w:szCs w:val="21"/>
              </w:rPr>
              <w:t>马</w:t>
            </w:r>
            <w:r>
              <w:rPr>
                <w:rFonts w:cs="Times New Roman"/>
                <w:kern w:val="0"/>
                <w:szCs w:val="21"/>
              </w:rPr>
              <w:t>1-1</w:t>
            </w:r>
            <w:r>
              <w:rPr>
                <w:rFonts w:cs="Times New Roman"/>
                <w:kern w:val="0"/>
                <w:szCs w:val="21"/>
              </w:rPr>
              <w:t>采气井场至干线集气支线</w:t>
            </w:r>
          </w:p>
        </w:tc>
        <w:tc>
          <w:tcPr>
            <w:tcW w:w="770" w:type="pct"/>
            <w:shd w:val="clear" w:color="auto" w:fill="auto"/>
            <w:vAlign w:val="center"/>
          </w:tcPr>
          <w:p w14:paraId="248147F2" w14:textId="77777777" w:rsidR="007D1E74" w:rsidRDefault="00A95641">
            <w:pPr>
              <w:widowControl/>
              <w:jc w:val="center"/>
              <w:rPr>
                <w:rFonts w:cs="Times New Roman"/>
                <w:kern w:val="0"/>
                <w:szCs w:val="21"/>
              </w:rPr>
            </w:pPr>
            <w:r>
              <w:rPr>
                <w:rFonts w:cs="Times New Roman"/>
                <w:kern w:val="0"/>
                <w:szCs w:val="21"/>
              </w:rPr>
              <w:t>2331.77</w:t>
            </w:r>
          </w:p>
        </w:tc>
        <w:tc>
          <w:tcPr>
            <w:tcW w:w="770" w:type="pct"/>
            <w:shd w:val="clear" w:color="auto" w:fill="auto"/>
            <w:vAlign w:val="center"/>
          </w:tcPr>
          <w:p w14:paraId="0EB1D127" w14:textId="77777777" w:rsidR="007D1E74" w:rsidRDefault="00A95641">
            <w:pPr>
              <w:widowControl/>
              <w:jc w:val="center"/>
              <w:rPr>
                <w:rFonts w:cs="Times New Roman"/>
                <w:kern w:val="0"/>
                <w:szCs w:val="21"/>
              </w:rPr>
            </w:pPr>
            <w:r>
              <w:rPr>
                <w:rFonts w:cs="Times New Roman"/>
                <w:kern w:val="0"/>
                <w:szCs w:val="21"/>
              </w:rPr>
              <w:t>505.06</w:t>
            </w:r>
          </w:p>
        </w:tc>
        <w:tc>
          <w:tcPr>
            <w:tcW w:w="770" w:type="pct"/>
            <w:shd w:val="clear" w:color="auto" w:fill="auto"/>
            <w:vAlign w:val="center"/>
          </w:tcPr>
          <w:p w14:paraId="56B18E86" w14:textId="77777777" w:rsidR="007D1E74" w:rsidRDefault="00A95641">
            <w:pPr>
              <w:widowControl/>
              <w:jc w:val="center"/>
              <w:rPr>
                <w:rFonts w:cs="Times New Roman"/>
                <w:kern w:val="0"/>
                <w:szCs w:val="21"/>
              </w:rPr>
            </w:pPr>
            <w:r>
              <w:rPr>
                <w:rFonts w:cs="Times New Roman"/>
                <w:kern w:val="0"/>
                <w:szCs w:val="21"/>
              </w:rPr>
              <w:t>2836.83</w:t>
            </w:r>
          </w:p>
        </w:tc>
        <w:tc>
          <w:tcPr>
            <w:tcW w:w="737" w:type="pct"/>
            <w:vAlign w:val="center"/>
          </w:tcPr>
          <w:p w14:paraId="74B57DD9" w14:textId="77777777" w:rsidR="007D1E74" w:rsidRDefault="00A95641">
            <w:pPr>
              <w:jc w:val="center"/>
            </w:pPr>
            <w:r>
              <w:rPr>
                <w:rFonts w:cs="Times New Roman" w:hint="eastAsia"/>
                <w:kern w:val="0"/>
                <w:szCs w:val="21"/>
              </w:rPr>
              <w:t>2</w:t>
            </w:r>
            <w:r>
              <w:rPr>
                <w:rFonts w:cs="Times New Roman"/>
                <w:kern w:val="0"/>
                <w:szCs w:val="21"/>
              </w:rPr>
              <w:t>0</w:t>
            </w:r>
          </w:p>
        </w:tc>
        <w:tc>
          <w:tcPr>
            <w:tcW w:w="736" w:type="pct"/>
            <w:vAlign w:val="center"/>
          </w:tcPr>
          <w:p w14:paraId="71A9DF7F" w14:textId="77777777" w:rsidR="007D1E74" w:rsidRDefault="00A95641">
            <w:pPr>
              <w:jc w:val="center"/>
              <w:rPr>
                <w:szCs w:val="21"/>
              </w:rPr>
            </w:pPr>
            <w:r>
              <w:rPr>
                <w:rFonts w:hint="eastAsia"/>
                <w:szCs w:val="21"/>
              </w:rPr>
              <w:t>2.36</w:t>
            </w:r>
          </w:p>
        </w:tc>
      </w:tr>
      <w:tr w:rsidR="007D1E74" w14:paraId="72A05861" w14:textId="77777777">
        <w:trPr>
          <w:trHeight w:val="525"/>
        </w:trPr>
        <w:tc>
          <w:tcPr>
            <w:tcW w:w="1217" w:type="pct"/>
            <w:shd w:val="clear" w:color="auto" w:fill="auto"/>
            <w:vAlign w:val="center"/>
          </w:tcPr>
          <w:p w14:paraId="3D5AB819" w14:textId="77777777" w:rsidR="007D1E74" w:rsidRDefault="00A95641">
            <w:pPr>
              <w:widowControl/>
              <w:jc w:val="center"/>
              <w:rPr>
                <w:rFonts w:cs="Times New Roman"/>
                <w:kern w:val="0"/>
                <w:szCs w:val="21"/>
              </w:rPr>
            </w:pPr>
            <w:r>
              <w:rPr>
                <w:rFonts w:cs="Times New Roman"/>
                <w:kern w:val="0"/>
                <w:szCs w:val="21"/>
              </w:rPr>
              <w:t>马</w:t>
            </w:r>
            <w:r>
              <w:rPr>
                <w:rFonts w:cs="Times New Roman"/>
                <w:kern w:val="0"/>
                <w:szCs w:val="21"/>
              </w:rPr>
              <w:t>1-13H</w:t>
            </w:r>
            <w:r>
              <w:rPr>
                <w:rFonts w:cs="Times New Roman"/>
                <w:kern w:val="0"/>
                <w:szCs w:val="21"/>
              </w:rPr>
              <w:t>采气井场至干线集气支线</w:t>
            </w:r>
          </w:p>
        </w:tc>
        <w:tc>
          <w:tcPr>
            <w:tcW w:w="770" w:type="pct"/>
            <w:shd w:val="clear" w:color="auto" w:fill="auto"/>
            <w:vAlign w:val="center"/>
          </w:tcPr>
          <w:p w14:paraId="5C556C33" w14:textId="77777777" w:rsidR="007D1E74" w:rsidRDefault="00A95641">
            <w:pPr>
              <w:widowControl/>
              <w:jc w:val="center"/>
              <w:rPr>
                <w:rFonts w:cs="Times New Roman"/>
                <w:kern w:val="0"/>
                <w:szCs w:val="21"/>
              </w:rPr>
            </w:pPr>
            <w:r>
              <w:rPr>
                <w:rFonts w:cs="Times New Roman"/>
                <w:kern w:val="0"/>
                <w:szCs w:val="21"/>
              </w:rPr>
              <w:t>2331.77</w:t>
            </w:r>
          </w:p>
        </w:tc>
        <w:tc>
          <w:tcPr>
            <w:tcW w:w="770" w:type="pct"/>
            <w:shd w:val="clear" w:color="auto" w:fill="auto"/>
            <w:vAlign w:val="center"/>
          </w:tcPr>
          <w:p w14:paraId="5424C78E" w14:textId="77777777" w:rsidR="007D1E74" w:rsidRDefault="00A95641">
            <w:pPr>
              <w:widowControl/>
              <w:jc w:val="center"/>
              <w:rPr>
                <w:rFonts w:cs="Times New Roman"/>
                <w:kern w:val="0"/>
                <w:szCs w:val="21"/>
              </w:rPr>
            </w:pPr>
            <w:r>
              <w:rPr>
                <w:rFonts w:cs="Times New Roman"/>
                <w:kern w:val="0"/>
                <w:szCs w:val="21"/>
              </w:rPr>
              <w:t>550.97</w:t>
            </w:r>
          </w:p>
        </w:tc>
        <w:tc>
          <w:tcPr>
            <w:tcW w:w="770" w:type="pct"/>
            <w:shd w:val="clear" w:color="auto" w:fill="auto"/>
            <w:vAlign w:val="center"/>
          </w:tcPr>
          <w:p w14:paraId="22086310" w14:textId="77777777" w:rsidR="007D1E74" w:rsidRDefault="00A95641">
            <w:pPr>
              <w:widowControl/>
              <w:jc w:val="center"/>
              <w:rPr>
                <w:rFonts w:cs="Times New Roman"/>
                <w:kern w:val="0"/>
                <w:szCs w:val="21"/>
              </w:rPr>
            </w:pPr>
            <w:r>
              <w:rPr>
                <w:rFonts w:cs="Times New Roman"/>
                <w:kern w:val="0"/>
                <w:szCs w:val="21"/>
              </w:rPr>
              <w:t>2882.74</w:t>
            </w:r>
          </w:p>
        </w:tc>
        <w:tc>
          <w:tcPr>
            <w:tcW w:w="737" w:type="pct"/>
            <w:vAlign w:val="center"/>
          </w:tcPr>
          <w:p w14:paraId="36CD1370" w14:textId="77777777" w:rsidR="007D1E74" w:rsidRDefault="00A95641">
            <w:pPr>
              <w:jc w:val="center"/>
            </w:pPr>
            <w:r>
              <w:rPr>
                <w:rFonts w:cs="Times New Roman" w:hint="eastAsia"/>
                <w:kern w:val="0"/>
                <w:szCs w:val="21"/>
              </w:rPr>
              <w:t>2</w:t>
            </w:r>
            <w:r>
              <w:rPr>
                <w:rFonts w:cs="Times New Roman"/>
                <w:kern w:val="0"/>
                <w:szCs w:val="21"/>
              </w:rPr>
              <w:t>0</w:t>
            </w:r>
          </w:p>
        </w:tc>
        <w:tc>
          <w:tcPr>
            <w:tcW w:w="736" w:type="pct"/>
            <w:vAlign w:val="center"/>
          </w:tcPr>
          <w:p w14:paraId="746F731F" w14:textId="77777777" w:rsidR="007D1E74" w:rsidRDefault="00A95641">
            <w:pPr>
              <w:jc w:val="center"/>
              <w:rPr>
                <w:szCs w:val="21"/>
              </w:rPr>
            </w:pPr>
            <w:r>
              <w:rPr>
                <w:rFonts w:hint="eastAsia"/>
                <w:szCs w:val="21"/>
              </w:rPr>
              <w:t>2.40</w:t>
            </w:r>
          </w:p>
        </w:tc>
      </w:tr>
      <w:tr w:rsidR="007D1E74" w14:paraId="3C23C7EA" w14:textId="77777777">
        <w:trPr>
          <w:trHeight w:val="525"/>
        </w:trPr>
        <w:tc>
          <w:tcPr>
            <w:tcW w:w="1217" w:type="pct"/>
            <w:shd w:val="clear" w:color="auto" w:fill="auto"/>
            <w:vAlign w:val="center"/>
          </w:tcPr>
          <w:p w14:paraId="0C6B85A4" w14:textId="77777777" w:rsidR="007D1E74" w:rsidRDefault="00A95641">
            <w:pPr>
              <w:widowControl/>
              <w:jc w:val="center"/>
              <w:rPr>
                <w:rFonts w:cs="Times New Roman"/>
                <w:kern w:val="0"/>
                <w:szCs w:val="21"/>
              </w:rPr>
            </w:pPr>
            <w:r>
              <w:rPr>
                <w:rFonts w:cs="Times New Roman"/>
                <w:kern w:val="0"/>
                <w:szCs w:val="21"/>
              </w:rPr>
              <w:t>马</w:t>
            </w:r>
            <w:r>
              <w:rPr>
                <w:rFonts w:cs="Times New Roman"/>
                <w:kern w:val="0"/>
                <w:szCs w:val="21"/>
              </w:rPr>
              <w:t>1-12H</w:t>
            </w:r>
            <w:r>
              <w:rPr>
                <w:rFonts w:cs="Times New Roman"/>
                <w:kern w:val="0"/>
                <w:szCs w:val="21"/>
              </w:rPr>
              <w:t>采气井场至干线集气支线</w:t>
            </w:r>
          </w:p>
        </w:tc>
        <w:tc>
          <w:tcPr>
            <w:tcW w:w="770" w:type="pct"/>
            <w:shd w:val="clear" w:color="auto" w:fill="auto"/>
            <w:vAlign w:val="center"/>
          </w:tcPr>
          <w:p w14:paraId="13F2968F" w14:textId="77777777" w:rsidR="007D1E74" w:rsidRDefault="00A95641">
            <w:pPr>
              <w:widowControl/>
              <w:jc w:val="center"/>
              <w:rPr>
                <w:rFonts w:cs="Times New Roman"/>
                <w:kern w:val="0"/>
                <w:szCs w:val="21"/>
              </w:rPr>
            </w:pPr>
            <w:r>
              <w:rPr>
                <w:rFonts w:cs="Times New Roman"/>
                <w:kern w:val="0"/>
                <w:szCs w:val="21"/>
              </w:rPr>
              <w:t>2331.77</w:t>
            </w:r>
          </w:p>
        </w:tc>
        <w:tc>
          <w:tcPr>
            <w:tcW w:w="770" w:type="pct"/>
            <w:shd w:val="clear" w:color="auto" w:fill="auto"/>
            <w:vAlign w:val="center"/>
          </w:tcPr>
          <w:p w14:paraId="5C86A558" w14:textId="77777777" w:rsidR="007D1E74" w:rsidRDefault="00A95641">
            <w:pPr>
              <w:widowControl/>
              <w:jc w:val="center"/>
              <w:rPr>
                <w:rFonts w:cs="Times New Roman"/>
                <w:kern w:val="0"/>
                <w:szCs w:val="21"/>
              </w:rPr>
            </w:pPr>
            <w:r>
              <w:rPr>
                <w:rFonts w:cs="Times New Roman"/>
                <w:kern w:val="0"/>
                <w:szCs w:val="21"/>
              </w:rPr>
              <w:t>5060.8</w:t>
            </w:r>
          </w:p>
        </w:tc>
        <w:tc>
          <w:tcPr>
            <w:tcW w:w="770" w:type="pct"/>
            <w:shd w:val="clear" w:color="auto" w:fill="auto"/>
            <w:vAlign w:val="center"/>
          </w:tcPr>
          <w:p w14:paraId="3482000E" w14:textId="77777777" w:rsidR="007D1E74" w:rsidRDefault="00A95641">
            <w:pPr>
              <w:widowControl/>
              <w:jc w:val="center"/>
              <w:rPr>
                <w:rFonts w:cs="Times New Roman"/>
                <w:kern w:val="0"/>
                <w:szCs w:val="21"/>
              </w:rPr>
            </w:pPr>
            <w:r>
              <w:rPr>
                <w:rFonts w:cs="Times New Roman"/>
                <w:kern w:val="0"/>
                <w:szCs w:val="21"/>
              </w:rPr>
              <w:t>7392.57</w:t>
            </w:r>
          </w:p>
        </w:tc>
        <w:tc>
          <w:tcPr>
            <w:tcW w:w="737" w:type="pct"/>
            <w:vAlign w:val="center"/>
          </w:tcPr>
          <w:p w14:paraId="7A48DFD1" w14:textId="77777777" w:rsidR="007D1E74" w:rsidRDefault="00A95641">
            <w:pPr>
              <w:jc w:val="center"/>
            </w:pPr>
            <w:r>
              <w:rPr>
                <w:rFonts w:cs="Times New Roman" w:hint="eastAsia"/>
                <w:kern w:val="0"/>
                <w:szCs w:val="21"/>
              </w:rPr>
              <w:t>2</w:t>
            </w:r>
            <w:r>
              <w:rPr>
                <w:rFonts w:cs="Times New Roman"/>
                <w:kern w:val="0"/>
                <w:szCs w:val="21"/>
              </w:rPr>
              <w:t>0</w:t>
            </w:r>
          </w:p>
        </w:tc>
        <w:tc>
          <w:tcPr>
            <w:tcW w:w="736" w:type="pct"/>
            <w:vAlign w:val="center"/>
          </w:tcPr>
          <w:p w14:paraId="58BF40BF" w14:textId="77777777" w:rsidR="007D1E74" w:rsidRDefault="00A95641">
            <w:pPr>
              <w:jc w:val="center"/>
              <w:rPr>
                <w:szCs w:val="21"/>
              </w:rPr>
            </w:pPr>
            <w:r>
              <w:rPr>
                <w:rFonts w:hint="eastAsia"/>
                <w:szCs w:val="21"/>
              </w:rPr>
              <w:t>6.16</w:t>
            </w:r>
          </w:p>
        </w:tc>
      </w:tr>
      <w:tr w:rsidR="007D1E74" w14:paraId="2E07AA18" w14:textId="77777777">
        <w:trPr>
          <w:trHeight w:val="525"/>
        </w:trPr>
        <w:tc>
          <w:tcPr>
            <w:tcW w:w="1217" w:type="pct"/>
            <w:shd w:val="clear" w:color="auto" w:fill="auto"/>
            <w:vAlign w:val="center"/>
          </w:tcPr>
          <w:p w14:paraId="43B91E65" w14:textId="77777777" w:rsidR="007D1E74" w:rsidRDefault="00A95641">
            <w:pPr>
              <w:widowControl/>
              <w:jc w:val="center"/>
              <w:rPr>
                <w:rFonts w:cs="Times New Roman"/>
                <w:kern w:val="0"/>
                <w:szCs w:val="21"/>
              </w:rPr>
            </w:pPr>
            <w:r>
              <w:rPr>
                <w:rFonts w:cs="Times New Roman"/>
                <w:kern w:val="0"/>
                <w:szCs w:val="21"/>
              </w:rPr>
              <w:t>马</w:t>
            </w:r>
            <w:r>
              <w:rPr>
                <w:rFonts w:cs="Times New Roman"/>
                <w:kern w:val="0"/>
                <w:szCs w:val="21"/>
              </w:rPr>
              <w:t>1-11</w:t>
            </w:r>
            <w:r>
              <w:rPr>
                <w:rFonts w:cs="Times New Roman"/>
                <w:kern w:val="0"/>
                <w:szCs w:val="21"/>
              </w:rPr>
              <w:t>脱水井场至</w:t>
            </w:r>
            <w:r>
              <w:rPr>
                <w:rFonts w:cs="Times New Roman"/>
                <w:kern w:val="0"/>
                <w:szCs w:val="21"/>
              </w:rPr>
              <w:t>4#</w:t>
            </w:r>
            <w:r>
              <w:rPr>
                <w:rFonts w:cs="Times New Roman"/>
                <w:kern w:val="0"/>
                <w:szCs w:val="21"/>
              </w:rPr>
              <w:t>清管阀组集输干线</w:t>
            </w:r>
          </w:p>
        </w:tc>
        <w:tc>
          <w:tcPr>
            <w:tcW w:w="770" w:type="pct"/>
            <w:shd w:val="clear" w:color="auto" w:fill="auto"/>
            <w:vAlign w:val="center"/>
          </w:tcPr>
          <w:p w14:paraId="2FCFDFFC" w14:textId="77777777" w:rsidR="007D1E74" w:rsidRDefault="00A95641">
            <w:pPr>
              <w:widowControl/>
              <w:jc w:val="center"/>
              <w:rPr>
                <w:rFonts w:cs="Times New Roman"/>
                <w:kern w:val="0"/>
                <w:szCs w:val="21"/>
              </w:rPr>
            </w:pPr>
            <w:r>
              <w:rPr>
                <w:rFonts w:cs="Times New Roman"/>
                <w:kern w:val="0"/>
                <w:szCs w:val="21"/>
              </w:rPr>
              <w:t>23317.71</w:t>
            </w:r>
          </w:p>
        </w:tc>
        <w:tc>
          <w:tcPr>
            <w:tcW w:w="770" w:type="pct"/>
            <w:shd w:val="clear" w:color="auto" w:fill="auto"/>
            <w:vAlign w:val="center"/>
          </w:tcPr>
          <w:p w14:paraId="54D09179" w14:textId="77777777" w:rsidR="007D1E74" w:rsidRDefault="00A95641">
            <w:pPr>
              <w:widowControl/>
              <w:jc w:val="center"/>
              <w:rPr>
                <w:rFonts w:cs="Times New Roman"/>
                <w:kern w:val="0"/>
                <w:szCs w:val="21"/>
              </w:rPr>
            </w:pPr>
            <w:r>
              <w:rPr>
                <w:rFonts w:cs="Times New Roman"/>
                <w:kern w:val="0"/>
                <w:szCs w:val="21"/>
              </w:rPr>
              <w:t>22457.3</w:t>
            </w:r>
          </w:p>
        </w:tc>
        <w:tc>
          <w:tcPr>
            <w:tcW w:w="770" w:type="pct"/>
            <w:shd w:val="clear" w:color="auto" w:fill="auto"/>
            <w:vAlign w:val="center"/>
          </w:tcPr>
          <w:p w14:paraId="6069C15F" w14:textId="77777777" w:rsidR="007D1E74" w:rsidRDefault="00A95641">
            <w:pPr>
              <w:widowControl/>
              <w:jc w:val="center"/>
              <w:rPr>
                <w:rFonts w:cs="Times New Roman"/>
                <w:kern w:val="0"/>
                <w:szCs w:val="21"/>
              </w:rPr>
            </w:pPr>
            <w:r>
              <w:rPr>
                <w:rFonts w:cs="Times New Roman"/>
                <w:kern w:val="0"/>
                <w:szCs w:val="21"/>
              </w:rPr>
              <w:t>45775.01</w:t>
            </w:r>
          </w:p>
        </w:tc>
        <w:tc>
          <w:tcPr>
            <w:tcW w:w="737" w:type="pct"/>
            <w:vAlign w:val="center"/>
          </w:tcPr>
          <w:p w14:paraId="542C415D" w14:textId="77777777" w:rsidR="007D1E74" w:rsidRDefault="00A95641">
            <w:pPr>
              <w:jc w:val="center"/>
            </w:pPr>
            <w:r>
              <w:rPr>
                <w:rFonts w:cs="Times New Roman" w:hint="eastAsia"/>
                <w:kern w:val="0"/>
                <w:szCs w:val="21"/>
              </w:rPr>
              <w:t>2</w:t>
            </w:r>
            <w:r>
              <w:rPr>
                <w:rFonts w:cs="Times New Roman"/>
                <w:kern w:val="0"/>
                <w:szCs w:val="21"/>
              </w:rPr>
              <w:t>0</w:t>
            </w:r>
          </w:p>
        </w:tc>
        <w:tc>
          <w:tcPr>
            <w:tcW w:w="736" w:type="pct"/>
            <w:vAlign w:val="center"/>
          </w:tcPr>
          <w:p w14:paraId="40D45D2F" w14:textId="77777777" w:rsidR="007D1E74" w:rsidRDefault="00A95641">
            <w:pPr>
              <w:jc w:val="center"/>
              <w:rPr>
                <w:szCs w:val="21"/>
              </w:rPr>
            </w:pPr>
            <w:r>
              <w:rPr>
                <w:rFonts w:hint="eastAsia"/>
                <w:szCs w:val="21"/>
              </w:rPr>
              <w:t>38.15</w:t>
            </w:r>
          </w:p>
        </w:tc>
      </w:tr>
      <w:tr w:rsidR="007D1E74" w14:paraId="6F742C88" w14:textId="77777777">
        <w:trPr>
          <w:trHeight w:val="525"/>
        </w:trPr>
        <w:tc>
          <w:tcPr>
            <w:tcW w:w="1217" w:type="pct"/>
            <w:shd w:val="clear" w:color="auto" w:fill="auto"/>
            <w:vAlign w:val="center"/>
          </w:tcPr>
          <w:p w14:paraId="77152246" w14:textId="77777777" w:rsidR="007D1E74" w:rsidRDefault="00A95641">
            <w:pPr>
              <w:widowControl/>
              <w:jc w:val="center"/>
              <w:rPr>
                <w:rFonts w:cs="Times New Roman"/>
                <w:kern w:val="0"/>
                <w:szCs w:val="21"/>
              </w:rPr>
            </w:pPr>
            <w:r>
              <w:rPr>
                <w:rFonts w:cs="Times New Roman"/>
                <w:kern w:val="0"/>
                <w:szCs w:val="21"/>
              </w:rPr>
              <w:t>4#</w:t>
            </w:r>
            <w:r>
              <w:rPr>
                <w:rFonts w:cs="Times New Roman"/>
                <w:kern w:val="0"/>
                <w:szCs w:val="21"/>
              </w:rPr>
              <w:t>清管阀组至草池增压站集输干线</w:t>
            </w:r>
          </w:p>
        </w:tc>
        <w:tc>
          <w:tcPr>
            <w:tcW w:w="770" w:type="pct"/>
            <w:shd w:val="clear" w:color="auto" w:fill="auto"/>
            <w:vAlign w:val="center"/>
          </w:tcPr>
          <w:p w14:paraId="00D0C32E" w14:textId="77777777" w:rsidR="007D1E74" w:rsidRDefault="00A95641">
            <w:pPr>
              <w:widowControl/>
              <w:jc w:val="center"/>
              <w:rPr>
                <w:rFonts w:cs="Times New Roman"/>
                <w:kern w:val="0"/>
                <w:szCs w:val="21"/>
              </w:rPr>
            </w:pPr>
            <w:r>
              <w:rPr>
                <w:rFonts w:cs="Times New Roman"/>
                <w:kern w:val="0"/>
                <w:szCs w:val="21"/>
              </w:rPr>
              <w:t>23317.71</w:t>
            </w:r>
          </w:p>
        </w:tc>
        <w:tc>
          <w:tcPr>
            <w:tcW w:w="770" w:type="pct"/>
            <w:shd w:val="clear" w:color="auto" w:fill="auto"/>
            <w:vAlign w:val="center"/>
          </w:tcPr>
          <w:p w14:paraId="63DC76FA" w14:textId="77777777" w:rsidR="007D1E74" w:rsidRDefault="00A95641">
            <w:pPr>
              <w:widowControl/>
              <w:jc w:val="center"/>
              <w:rPr>
                <w:rFonts w:cs="Times New Roman"/>
                <w:kern w:val="0"/>
                <w:szCs w:val="21"/>
              </w:rPr>
            </w:pPr>
            <w:r>
              <w:rPr>
                <w:rFonts w:cs="Times New Roman"/>
                <w:kern w:val="0"/>
                <w:szCs w:val="21"/>
              </w:rPr>
              <w:t>61564.29</w:t>
            </w:r>
          </w:p>
        </w:tc>
        <w:tc>
          <w:tcPr>
            <w:tcW w:w="770" w:type="pct"/>
            <w:shd w:val="clear" w:color="auto" w:fill="auto"/>
            <w:vAlign w:val="center"/>
          </w:tcPr>
          <w:p w14:paraId="1BCD48AA" w14:textId="77777777" w:rsidR="007D1E74" w:rsidRDefault="00A95641">
            <w:pPr>
              <w:widowControl/>
              <w:jc w:val="center"/>
              <w:rPr>
                <w:rFonts w:cs="Times New Roman"/>
                <w:kern w:val="0"/>
                <w:szCs w:val="21"/>
              </w:rPr>
            </w:pPr>
            <w:r>
              <w:rPr>
                <w:rFonts w:cs="Times New Roman"/>
                <w:kern w:val="0"/>
                <w:szCs w:val="21"/>
              </w:rPr>
              <w:t>84882.00</w:t>
            </w:r>
          </w:p>
        </w:tc>
        <w:tc>
          <w:tcPr>
            <w:tcW w:w="737" w:type="pct"/>
            <w:vAlign w:val="center"/>
          </w:tcPr>
          <w:p w14:paraId="2D6959A8" w14:textId="77777777" w:rsidR="007D1E74" w:rsidRDefault="00A95641">
            <w:pPr>
              <w:jc w:val="center"/>
            </w:pPr>
            <w:r>
              <w:rPr>
                <w:rFonts w:cs="Times New Roman" w:hint="eastAsia"/>
                <w:kern w:val="0"/>
                <w:szCs w:val="21"/>
              </w:rPr>
              <w:t>2</w:t>
            </w:r>
            <w:r>
              <w:rPr>
                <w:rFonts w:cs="Times New Roman"/>
                <w:kern w:val="0"/>
                <w:szCs w:val="21"/>
              </w:rPr>
              <w:t>0</w:t>
            </w:r>
          </w:p>
        </w:tc>
        <w:tc>
          <w:tcPr>
            <w:tcW w:w="736" w:type="pct"/>
            <w:vAlign w:val="center"/>
          </w:tcPr>
          <w:p w14:paraId="3DA148D7" w14:textId="77777777" w:rsidR="007D1E74" w:rsidRDefault="00A95641">
            <w:pPr>
              <w:jc w:val="center"/>
              <w:rPr>
                <w:szCs w:val="21"/>
              </w:rPr>
            </w:pPr>
            <w:r>
              <w:rPr>
                <w:rFonts w:hint="eastAsia"/>
                <w:szCs w:val="21"/>
              </w:rPr>
              <w:t>70.74</w:t>
            </w:r>
          </w:p>
        </w:tc>
      </w:tr>
    </w:tbl>
    <w:p w14:paraId="56DD41BC" w14:textId="77777777" w:rsidR="007D1E74" w:rsidRDefault="00A95641">
      <w:pPr>
        <w:pStyle w:val="aa"/>
      </w:pPr>
      <w:r>
        <w:rPr>
          <w:rFonts w:hint="eastAsia"/>
        </w:rPr>
        <w:t>火灾伴生</w:t>
      </w:r>
      <w:r>
        <w:rPr>
          <w:rFonts w:hint="eastAsia"/>
        </w:rPr>
        <w:t>/</w:t>
      </w:r>
      <w:r>
        <w:rPr>
          <w:rFonts w:hint="eastAsia"/>
        </w:rPr>
        <w:t>次生污染物产生量估算</w:t>
      </w:r>
    </w:p>
    <w:p w14:paraId="012FAB88" w14:textId="77777777" w:rsidR="007D1E74" w:rsidRDefault="00A95641">
      <w:pPr>
        <w:spacing w:line="360" w:lineRule="auto"/>
        <w:ind w:firstLineChars="200" w:firstLine="480"/>
        <w:rPr>
          <w:sz w:val="24"/>
          <w:szCs w:val="24"/>
        </w:rPr>
      </w:pPr>
      <w:r>
        <w:rPr>
          <w:rFonts w:hint="eastAsia"/>
          <w:sz w:val="24"/>
          <w:szCs w:val="24"/>
        </w:rPr>
        <w:t>集输管道发生天然气泄漏，极易引发火灾。天然气瞬时大量泄漏，易产生不完全燃烧物，会产生一氧化碳。由于项目天然气不含硫，天然气燃烧基本不会产生</w:t>
      </w:r>
      <w:r>
        <w:rPr>
          <w:rFonts w:hint="eastAsia"/>
          <w:sz w:val="24"/>
          <w:szCs w:val="24"/>
        </w:rPr>
        <w:t>SO</w:t>
      </w:r>
      <w:r>
        <w:rPr>
          <w:sz w:val="24"/>
          <w:szCs w:val="24"/>
          <w:vertAlign w:val="subscript"/>
        </w:rPr>
        <w:t>2</w:t>
      </w:r>
      <w:r>
        <w:rPr>
          <w:rFonts w:hint="eastAsia"/>
          <w:sz w:val="24"/>
          <w:szCs w:val="24"/>
        </w:rPr>
        <w:t>，本次评价仅对伴生</w:t>
      </w:r>
      <w:r>
        <w:rPr>
          <w:rFonts w:hint="eastAsia"/>
          <w:sz w:val="24"/>
          <w:szCs w:val="24"/>
        </w:rPr>
        <w:t>/</w:t>
      </w:r>
      <w:r>
        <w:rPr>
          <w:rFonts w:hint="eastAsia"/>
          <w:sz w:val="24"/>
          <w:szCs w:val="24"/>
        </w:rPr>
        <w:t>次生</w:t>
      </w:r>
      <w:r>
        <w:rPr>
          <w:rFonts w:hint="eastAsia"/>
          <w:sz w:val="24"/>
          <w:szCs w:val="24"/>
        </w:rPr>
        <w:t>CO</w:t>
      </w:r>
      <w:r>
        <w:rPr>
          <w:sz w:val="24"/>
          <w:szCs w:val="24"/>
        </w:rPr>
        <w:t>产生量进行估算</w:t>
      </w:r>
      <w:r>
        <w:rPr>
          <w:rFonts w:hint="eastAsia"/>
          <w:sz w:val="24"/>
          <w:szCs w:val="24"/>
        </w:rPr>
        <w:t>。参照《北京环境总体规划研究（第二卷）》中天然气燃烧产生的污染物的参数进行计算，</w:t>
      </w:r>
      <w:r>
        <w:rPr>
          <w:rFonts w:hint="eastAsia"/>
          <w:sz w:val="24"/>
          <w:szCs w:val="24"/>
        </w:rPr>
        <w:t>CO</w:t>
      </w:r>
      <w:r>
        <w:rPr>
          <w:rFonts w:hint="eastAsia"/>
          <w:sz w:val="24"/>
          <w:szCs w:val="24"/>
        </w:rPr>
        <w:t>的产生系数为</w:t>
      </w:r>
      <w:r>
        <w:rPr>
          <w:rFonts w:hint="eastAsia"/>
          <w:sz w:val="24"/>
          <w:szCs w:val="24"/>
        </w:rPr>
        <w:t>0.35g/m</w:t>
      </w:r>
      <w:r>
        <w:rPr>
          <w:rFonts w:hint="eastAsia"/>
          <w:sz w:val="24"/>
          <w:szCs w:val="24"/>
          <w:vertAlign w:val="superscript"/>
        </w:rPr>
        <w:t>3</w:t>
      </w:r>
      <w:r>
        <w:rPr>
          <w:rFonts w:hint="eastAsia"/>
          <w:sz w:val="24"/>
          <w:szCs w:val="24"/>
        </w:rPr>
        <w:t>-</w:t>
      </w:r>
      <w:r>
        <w:rPr>
          <w:rFonts w:hint="eastAsia"/>
          <w:sz w:val="24"/>
          <w:szCs w:val="24"/>
        </w:rPr>
        <w:t>天然气，则火灾伴生</w:t>
      </w:r>
      <w:r>
        <w:rPr>
          <w:rFonts w:hint="eastAsia"/>
          <w:sz w:val="24"/>
          <w:szCs w:val="24"/>
        </w:rPr>
        <w:t>/</w:t>
      </w:r>
      <w:r>
        <w:rPr>
          <w:rFonts w:hint="eastAsia"/>
          <w:sz w:val="24"/>
          <w:szCs w:val="24"/>
        </w:rPr>
        <w:t>次生一氧化碳产生量见下表。</w:t>
      </w:r>
    </w:p>
    <w:p w14:paraId="1CD438E8" w14:textId="77777777" w:rsidR="007D1E74" w:rsidRDefault="00A95641">
      <w:pPr>
        <w:pStyle w:val="afffffe"/>
        <w:numPr>
          <w:ilvl w:val="0"/>
          <w:numId w:val="50"/>
        </w:numPr>
        <w:spacing w:line="360" w:lineRule="auto"/>
        <w:ind w:firstLineChars="0"/>
        <w:jc w:val="center"/>
        <w:rPr>
          <w:rFonts w:eastAsia="黑体" w:cs="Times New Roman"/>
          <w:szCs w:val="21"/>
        </w:rPr>
      </w:pPr>
      <w:r>
        <w:rPr>
          <w:rFonts w:eastAsia="黑体" w:cs="Times New Roman" w:hint="eastAsia"/>
          <w:szCs w:val="21"/>
        </w:rPr>
        <w:t>火灾伴生</w:t>
      </w:r>
      <w:r>
        <w:rPr>
          <w:rFonts w:eastAsia="黑体" w:cs="Times New Roman" w:hint="eastAsia"/>
          <w:szCs w:val="21"/>
        </w:rPr>
        <w:t>/</w:t>
      </w:r>
      <w:r>
        <w:rPr>
          <w:rFonts w:eastAsia="黑体" w:cs="Times New Roman" w:hint="eastAsia"/>
          <w:szCs w:val="21"/>
        </w:rPr>
        <w:t>次生一氧化碳产生量计算</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6"/>
        <w:gridCol w:w="1601"/>
        <w:gridCol w:w="1603"/>
        <w:gridCol w:w="1601"/>
        <w:gridCol w:w="1605"/>
      </w:tblGrid>
      <w:tr w:rsidR="007D1E74" w14:paraId="03037426" w14:textId="77777777">
        <w:trPr>
          <w:tblHeader/>
          <w:jc w:val="center"/>
        </w:trPr>
        <w:tc>
          <w:tcPr>
            <w:tcW w:w="1445" w:type="pct"/>
            <w:vMerge w:val="restart"/>
            <w:vAlign w:val="center"/>
          </w:tcPr>
          <w:p w14:paraId="1497CE1D" w14:textId="77777777" w:rsidR="007D1E74" w:rsidRDefault="00A95641">
            <w:pPr>
              <w:jc w:val="center"/>
              <w:rPr>
                <w:rFonts w:cs="Times New Roman"/>
                <w:szCs w:val="21"/>
              </w:rPr>
            </w:pPr>
            <w:r>
              <w:rPr>
                <w:rFonts w:cs="Times New Roman"/>
                <w:szCs w:val="21"/>
              </w:rPr>
              <w:lastRenderedPageBreak/>
              <w:t>管段</w:t>
            </w:r>
          </w:p>
        </w:tc>
        <w:tc>
          <w:tcPr>
            <w:tcW w:w="1777" w:type="pct"/>
            <w:gridSpan w:val="2"/>
            <w:vAlign w:val="center"/>
          </w:tcPr>
          <w:p w14:paraId="1ECAE57F" w14:textId="77777777" w:rsidR="007D1E74" w:rsidRDefault="00A95641">
            <w:pPr>
              <w:jc w:val="center"/>
              <w:rPr>
                <w:rFonts w:cs="Times New Roman"/>
                <w:szCs w:val="21"/>
              </w:rPr>
            </w:pPr>
            <w:r>
              <w:rPr>
                <w:rFonts w:cs="Times New Roman" w:hint="eastAsia"/>
                <w:szCs w:val="21"/>
              </w:rPr>
              <w:t>天然气泄漏量</w:t>
            </w:r>
          </w:p>
        </w:tc>
        <w:tc>
          <w:tcPr>
            <w:tcW w:w="1778" w:type="pct"/>
            <w:gridSpan w:val="2"/>
            <w:vAlign w:val="center"/>
          </w:tcPr>
          <w:p w14:paraId="68D308BF" w14:textId="77777777" w:rsidR="007D1E74" w:rsidRDefault="00A95641">
            <w:pPr>
              <w:jc w:val="center"/>
              <w:rPr>
                <w:rFonts w:cs="Times New Roman"/>
                <w:szCs w:val="21"/>
              </w:rPr>
            </w:pPr>
            <w:r>
              <w:rPr>
                <w:rFonts w:cs="Times New Roman" w:hint="eastAsia"/>
                <w:szCs w:val="21"/>
              </w:rPr>
              <w:t>一氧化碳产生量</w:t>
            </w:r>
          </w:p>
        </w:tc>
      </w:tr>
      <w:tr w:rsidR="007D1E74" w14:paraId="27913AC8" w14:textId="77777777">
        <w:trPr>
          <w:tblHeader/>
          <w:jc w:val="center"/>
        </w:trPr>
        <w:tc>
          <w:tcPr>
            <w:tcW w:w="1445" w:type="pct"/>
            <w:vMerge/>
            <w:vAlign w:val="center"/>
          </w:tcPr>
          <w:p w14:paraId="368B8F0D" w14:textId="77777777" w:rsidR="007D1E74" w:rsidRDefault="007D1E74">
            <w:pPr>
              <w:jc w:val="center"/>
              <w:rPr>
                <w:rFonts w:cs="Times New Roman"/>
                <w:szCs w:val="21"/>
              </w:rPr>
            </w:pPr>
          </w:p>
        </w:tc>
        <w:tc>
          <w:tcPr>
            <w:tcW w:w="888" w:type="pct"/>
            <w:vAlign w:val="center"/>
          </w:tcPr>
          <w:p w14:paraId="22FBB6E0" w14:textId="77777777" w:rsidR="007D1E74" w:rsidRDefault="00A95641">
            <w:pPr>
              <w:jc w:val="center"/>
              <w:rPr>
                <w:rFonts w:cs="Times New Roman"/>
                <w:szCs w:val="21"/>
              </w:rPr>
            </w:pPr>
            <w:r>
              <w:rPr>
                <w:rFonts w:cs="Times New Roman"/>
                <w:szCs w:val="21"/>
              </w:rPr>
              <w:t>泄漏速率（</w:t>
            </w:r>
            <w:r>
              <w:rPr>
                <w:rFonts w:cs="Times New Roman"/>
                <w:szCs w:val="21"/>
              </w:rPr>
              <w:t>kg/s</w:t>
            </w:r>
            <w:r>
              <w:rPr>
                <w:rFonts w:cs="Times New Roman"/>
                <w:szCs w:val="21"/>
              </w:rPr>
              <w:t>）</w:t>
            </w:r>
          </w:p>
        </w:tc>
        <w:tc>
          <w:tcPr>
            <w:tcW w:w="889" w:type="pct"/>
            <w:vAlign w:val="center"/>
          </w:tcPr>
          <w:p w14:paraId="2DA36EFE" w14:textId="77777777" w:rsidR="007D1E74" w:rsidRDefault="00A95641">
            <w:pPr>
              <w:jc w:val="center"/>
              <w:rPr>
                <w:rFonts w:cs="Times New Roman"/>
                <w:szCs w:val="21"/>
              </w:rPr>
            </w:pPr>
            <w:r>
              <w:rPr>
                <w:rFonts w:cs="Times New Roman" w:hint="eastAsia"/>
                <w:szCs w:val="21"/>
              </w:rPr>
              <w:t>泄漏量</w:t>
            </w:r>
            <w:r>
              <w:rPr>
                <w:rFonts w:cs="Times New Roman"/>
                <w:szCs w:val="21"/>
              </w:rPr>
              <w:t>（</w:t>
            </w:r>
            <w:r>
              <w:rPr>
                <w:rFonts w:cs="Times New Roman"/>
                <w:szCs w:val="21"/>
              </w:rPr>
              <w:t>kg</w:t>
            </w:r>
            <w:r>
              <w:rPr>
                <w:rFonts w:cs="Times New Roman"/>
                <w:szCs w:val="21"/>
              </w:rPr>
              <w:t>）</w:t>
            </w:r>
          </w:p>
        </w:tc>
        <w:tc>
          <w:tcPr>
            <w:tcW w:w="888" w:type="pct"/>
            <w:vAlign w:val="center"/>
          </w:tcPr>
          <w:p w14:paraId="71E5C1EA" w14:textId="77777777" w:rsidR="007D1E74" w:rsidRDefault="00A95641">
            <w:pPr>
              <w:jc w:val="center"/>
              <w:rPr>
                <w:rFonts w:cs="Times New Roman"/>
                <w:szCs w:val="21"/>
              </w:rPr>
            </w:pPr>
            <w:r>
              <w:rPr>
                <w:rFonts w:cs="Times New Roman"/>
                <w:szCs w:val="21"/>
              </w:rPr>
              <w:t>产生速率（</w:t>
            </w:r>
            <w:r>
              <w:rPr>
                <w:rFonts w:cs="Times New Roman"/>
                <w:szCs w:val="21"/>
              </w:rPr>
              <w:t>kg/s</w:t>
            </w:r>
            <w:r>
              <w:rPr>
                <w:rFonts w:cs="Times New Roman"/>
                <w:szCs w:val="21"/>
              </w:rPr>
              <w:t>）</w:t>
            </w:r>
          </w:p>
        </w:tc>
        <w:tc>
          <w:tcPr>
            <w:tcW w:w="890" w:type="pct"/>
            <w:vAlign w:val="center"/>
          </w:tcPr>
          <w:p w14:paraId="164D1E54" w14:textId="77777777" w:rsidR="007D1E74" w:rsidRDefault="00A95641">
            <w:pPr>
              <w:jc w:val="center"/>
              <w:rPr>
                <w:rFonts w:cs="Times New Roman"/>
                <w:szCs w:val="21"/>
              </w:rPr>
            </w:pPr>
            <w:r>
              <w:rPr>
                <w:rFonts w:cs="Times New Roman" w:hint="eastAsia"/>
                <w:szCs w:val="21"/>
              </w:rPr>
              <w:t>产生量</w:t>
            </w:r>
            <w:r>
              <w:rPr>
                <w:rFonts w:cs="Times New Roman"/>
                <w:szCs w:val="21"/>
              </w:rPr>
              <w:t>（</w:t>
            </w:r>
            <w:r>
              <w:rPr>
                <w:rFonts w:cs="Times New Roman"/>
                <w:szCs w:val="21"/>
              </w:rPr>
              <w:t>kg</w:t>
            </w:r>
            <w:r>
              <w:rPr>
                <w:rFonts w:cs="Times New Roman"/>
                <w:szCs w:val="21"/>
              </w:rPr>
              <w:t>）</w:t>
            </w:r>
          </w:p>
        </w:tc>
      </w:tr>
      <w:tr w:rsidR="007D1E74" w14:paraId="12A12E4C" w14:textId="77777777">
        <w:trPr>
          <w:trHeight w:val="70"/>
          <w:jc w:val="center"/>
        </w:trPr>
        <w:tc>
          <w:tcPr>
            <w:tcW w:w="1445" w:type="pct"/>
            <w:vAlign w:val="center"/>
          </w:tcPr>
          <w:p w14:paraId="0988E253" w14:textId="77777777" w:rsidR="007D1E74" w:rsidRDefault="00A95641">
            <w:pPr>
              <w:jc w:val="center"/>
              <w:rPr>
                <w:rFonts w:cstheme="minorHAnsi"/>
                <w:szCs w:val="21"/>
              </w:rPr>
            </w:pPr>
            <w:r>
              <w:rPr>
                <w:rFonts w:cstheme="minorHAnsi" w:hint="eastAsia"/>
                <w:szCs w:val="21"/>
              </w:rPr>
              <w:t>1#</w:t>
            </w:r>
            <w:r>
              <w:rPr>
                <w:rFonts w:cstheme="minorHAnsi" w:hint="eastAsia"/>
                <w:szCs w:val="21"/>
              </w:rPr>
              <w:t>阀室至马</w:t>
            </w:r>
            <w:r>
              <w:rPr>
                <w:rFonts w:cstheme="minorHAnsi" w:hint="eastAsia"/>
                <w:szCs w:val="21"/>
              </w:rPr>
              <w:t>1-11</w:t>
            </w:r>
            <w:r>
              <w:rPr>
                <w:rFonts w:cstheme="minorHAnsi" w:hint="eastAsia"/>
                <w:szCs w:val="21"/>
              </w:rPr>
              <w:t>脱水井场集输干线</w:t>
            </w:r>
          </w:p>
        </w:tc>
        <w:tc>
          <w:tcPr>
            <w:tcW w:w="888" w:type="pct"/>
            <w:vAlign w:val="center"/>
          </w:tcPr>
          <w:p w14:paraId="635F518F" w14:textId="77777777" w:rsidR="007D1E74" w:rsidRDefault="00A95641">
            <w:pPr>
              <w:widowControl/>
              <w:jc w:val="center"/>
              <w:rPr>
                <w:rFonts w:cs="Times New Roman"/>
                <w:szCs w:val="21"/>
              </w:rPr>
            </w:pPr>
            <w:r>
              <w:rPr>
                <w:rFonts w:cs="Times New Roman"/>
                <w:szCs w:val="21"/>
              </w:rPr>
              <w:t>41.57</w:t>
            </w:r>
          </w:p>
        </w:tc>
        <w:tc>
          <w:tcPr>
            <w:tcW w:w="889" w:type="pct"/>
            <w:vAlign w:val="center"/>
          </w:tcPr>
          <w:p w14:paraId="5AC8B8C2" w14:textId="77777777" w:rsidR="007D1E74" w:rsidRDefault="00A95641">
            <w:pPr>
              <w:jc w:val="center"/>
              <w:rPr>
                <w:rFonts w:cs="Times New Roman"/>
                <w:szCs w:val="21"/>
              </w:rPr>
            </w:pPr>
            <w:r>
              <w:rPr>
                <w:rFonts w:cs="Times New Roman"/>
                <w:szCs w:val="21"/>
              </w:rPr>
              <w:t>49886.91</w:t>
            </w:r>
          </w:p>
        </w:tc>
        <w:tc>
          <w:tcPr>
            <w:tcW w:w="888" w:type="pct"/>
            <w:vAlign w:val="center"/>
          </w:tcPr>
          <w:p w14:paraId="6164D433" w14:textId="77777777" w:rsidR="007D1E74" w:rsidRDefault="00A95641">
            <w:pPr>
              <w:widowControl/>
              <w:jc w:val="center"/>
              <w:rPr>
                <w:rFonts w:cs="Times New Roman"/>
                <w:szCs w:val="21"/>
              </w:rPr>
            </w:pPr>
            <w:r>
              <w:rPr>
                <w:rFonts w:cs="Times New Roman"/>
                <w:szCs w:val="21"/>
              </w:rPr>
              <w:t>3.25E-04</w:t>
            </w:r>
          </w:p>
        </w:tc>
        <w:tc>
          <w:tcPr>
            <w:tcW w:w="890" w:type="pct"/>
            <w:vAlign w:val="center"/>
          </w:tcPr>
          <w:p w14:paraId="742D8DAD" w14:textId="77777777" w:rsidR="007D1E74" w:rsidRDefault="00A95641">
            <w:pPr>
              <w:jc w:val="center"/>
              <w:rPr>
                <w:rFonts w:cs="Times New Roman"/>
                <w:szCs w:val="21"/>
              </w:rPr>
            </w:pPr>
            <w:r>
              <w:rPr>
                <w:rFonts w:cs="Times New Roman"/>
                <w:szCs w:val="21"/>
              </w:rPr>
              <w:t>0.3900</w:t>
            </w:r>
          </w:p>
        </w:tc>
      </w:tr>
      <w:tr w:rsidR="007D1E74" w14:paraId="26D56D2D" w14:textId="77777777">
        <w:trPr>
          <w:trHeight w:val="70"/>
          <w:jc w:val="center"/>
        </w:trPr>
        <w:tc>
          <w:tcPr>
            <w:tcW w:w="1445" w:type="pct"/>
            <w:vAlign w:val="center"/>
          </w:tcPr>
          <w:p w14:paraId="4C79C43E" w14:textId="77777777" w:rsidR="007D1E74" w:rsidRDefault="00A95641">
            <w:pPr>
              <w:jc w:val="center"/>
              <w:rPr>
                <w:rFonts w:cstheme="minorHAnsi"/>
                <w:szCs w:val="21"/>
              </w:rPr>
            </w:pPr>
            <w:r>
              <w:rPr>
                <w:rFonts w:cstheme="minorHAnsi" w:hint="eastAsia"/>
                <w:szCs w:val="21"/>
              </w:rPr>
              <w:t>马</w:t>
            </w:r>
            <w:r>
              <w:rPr>
                <w:rFonts w:cstheme="minorHAnsi" w:hint="eastAsia"/>
                <w:szCs w:val="21"/>
              </w:rPr>
              <w:t>1-10H</w:t>
            </w:r>
            <w:r>
              <w:rPr>
                <w:rFonts w:cstheme="minorHAnsi" w:hint="eastAsia"/>
                <w:szCs w:val="21"/>
              </w:rPr>
              <w:t>采气井场至马</w:t>
            </w:r>
            <w:r>
              <w:rPr>
                <w:rFonts w:cstheme="minorHAnsi" w:hint="eastAsia"/>
                <w:szCs w:val="21"/>
              </w:rPr>
              <w:t>1-1</w:t>
            </w:r>
            <w:r>
              <w:rPr>
                <w:rFonts w:cstheme="minorHAnsi" w:hint="eastAsia"/>
                <w:szCs w:val="21"/>
              </w:rPr>
              <w:t>集气支线</w:t>
            </w:r>
          </w:p>
        </w:tc>
        <w:tc>
          <w:tcPr>
            <w:tcW w:w="888" w:type="pct"/>
            <w:vAlign w:val="center"/>
          </w:tcPr>
          <w:p w14:paraId="766A65EC" w14:textId="77777777" w:rsidR="007D1E74" w:rsidRDefault="00A95641">
            <w:pPr>
              <w:jc w:val="center"/>
              <w:rPr>
                <w:rFonts w:cs="Times New Roman"/>
                <w:szCs w:val="21"/>
              </w:rPr>
            </w:pPr>
            <w:r>
              <w:rPr>
                <w:rFonts w:cs="Times New Roman"/>
                <w:szCs w:val="21"/>
              </w:rPr>
              <w:t>3.51</w:t>
            </w:r>
          </w:p>
        </w:tc>
        <w:tc>
          <w:tcPr>
            <w:tcW w:w="889" w:type="pct"/>
            <w:vAlign w:val="center"/>
          </w:tcPr>
          <w:p w14:paraId="6AD5020C" w14:textId="77777777" w:rsidR="007D1E74" w:rsidRDefault="00A95641">
            <w:pPr>
              <w:jc w:val="center"/>
              <w:rPr>
                <w:rFonts w:cs="Times New Roman"/>
                <w:szCs w:val="21"/>
              </w:rPr>
            </w:pPr>
            <w:r>
              <w:rPr>
                <w:rFonts w:cs="Times New Roman"/>
                <w:szCs w:val="21"/>
              </w:rPr>
              <w:t>4214.26</w:t>
            </w:r>
          </w:p>
        </w:tc>
        <w:tc>
          <w:tcPr>
            <w:tcW w:w="888" w:type="pct"/>
            <w:vAlign w:val="center"/>
          </w:tcPr>
          <w:p w14:paraId="08BC752F" w14:textId="77777777" w:rsidR="007D1E74" w:rsidRDefault="00A95641">
            <w:pPr>
              <w:jc w:val="center"/>
              <w:rPr>
                <w:rFonts w:cs="Times New Roman"/>
                <w:szCs w:val="21"/>
              </w:rPr>
            </w:pPr>
            <w:r>
              <w:rPr>
                <w:rFonts w:cs="Times New Roman"/>
                <w:szCs w:val="21"/>
              </w:rPr>
              <w:t>2.74E-05</w:t>
            </w:r>
          </w:p>
        </w:tc>
        <w:tc>
          <w:tcPr>
            <w:tcW w:w="890" w:type="pct"/>
            <w:vAlign w:val="center"/>
          </w:tcPr>
          <w:p w14:paraId="40E83210" w14:textId="77777777" w:rsidR="007D1E74" w:rsidRDefault="00A95641">
            <w:pPr>
              <w:jc w:val="center"/>
              <w:rPr>
                <w:rFonts w:cs="Times New Roman"/>
                <w:szCs w:val="21"/>
              </w:rPr>
            </w:pPr>
            <w:r>
              <w:rPr>
                <w:rFonts w:cs="Times New Roman"/>
                <w:szCs w:val="21"/>
              </w:rPr>
              <w:t>0.0329</w:t>
            </w:r>
          </w:p>
        </w:tc>
      </w:tr>
      <w:tr w:rsidR="007D1E74" w14:paraId="6D1450D0" w14:textId="77777777">
        <w:trPr>
          <w:trHeight w:val="70"/>
          <w:jc w:val="center"/>
        </w:trPr>
        <w:tc>
          <w:tcPr>
            <w:tcW w:w="1445" w:type="pct"/>
            <w:vAlign w:val="center"/>
          </w:tcPr>
          <w:p w14:paraId="64CA1742" w14:textId="77777777" w:rsidR="007D1E74" w:rsidRDefault="00A95641">
            <w:pPr>
              <w:jc w:val="center"/>
              <w:rPr>
                <w:rFonts w:cstheme="minorHAnsi"/>
                <w:szCs w:val="21"/>
              </w:rPr>
            </w:pPr>
            <w:r>
              <w:rPr>
                <w:rFonts w:cstheme="minorHAnsi" w:hint="eastAsia"/>
                <w:szCs w:val="21"/>
              </w:rPr>
              <w:t>马</w:t>
            </w:r>
            <w:r>
              <w:rPr>
                <w:rFonts w:cstheme="minorHAnsi" w:hint="eastAsia"/>
                <w:szCs w:val="21"/>
              </w:rPr>
              <w:t>1-</w:t>
            </w:r>
            <w:r>
              <w:rPr>
                <w:rFonts w:cstheme="minorHAnsi"/>
                <w:szCs w:val="21"/>
              </w:rPr>
              <w:t>1</w:t>
            </w:r>
            <w:r>
              <w:rPr>
                <w:rFonts w:cstheme="minorHAnsi"/>
                <w:szCs w:val="21"/>
              </w:rPr>
              <w:t>采气井场至干线集气支线</w:t>
            </w:r>
          </w:p>
        </w:tc>
        <w:tc>
          <w:tcPr>
            <w:tcW w:w="888" w:type="pct"/>
            <w:vAlign w:val="center"/>
          </w:tcPr>
          <w:p w14:paraId="37EB3CDB" w14:textId="77777777" w:rsidR="007D1E74" w:rsidRDefault="00A95641">
            <w:pPr>
              <w:jc w:val="center"/>
              <w:rPr>
                <w:rFonts w:cs="Times New Roman"/>
                <w:szCs w:val="21"/>
              </w:rPr>
            </w:pPr>
            <w:r>
              <w:rPr>
                <w:rFonts w:cs="Times New Roman"/>
                <w:szCs w:val="21"/>
              </w:rPr>
              <w:t>2.36</w:t>
            </w:r>
          </w:p>
        </w:tc>
        <w:tc>
          <w:tcPr>
            <w:tcW w:w="889" w:type="pct"/>
            <w:vAlign w:val="center"/>
          </w:tcPr>
          <w:p w14:paraId="568A7D64" w14:textId="77777777" w:rsidR="007D1E74" w:rsidRDefault="00A95641">
            <w:pPr>
              <w:jc w:val="center"/>
              <w:rPr>
                <w:rFonts w:cs="Times New Roman"/>
                <w:szCs w:val="21"/>
              </w:rPr>
            </w:pPr>
            <w:r>
              <w:rPr>
                <w:rFonts w:cs="Times New Roman"/>
                <w:szCs w:val="21"/>
              </w:rPr>
              <w:t>2836.83</w:t>
            </w:r>
          </w:p>
        </w:tc>
        <w:tc>
          <w:tcPr>
            <w:tcW w:w="888" w:type="pct"/>
            <w:vAlign w:val="center"/>
          </w:tcPr>
          <w:p w14:paraId="19F94B62" w14:textId="77777777" w:rsidR="007D1E74" w:rsidRDefault="00A95641">
            <w:pPr>
              <w:jc w:val="center"/>
              <w:rPr>
                <w:rFonts w:cs="Times New Roman"/>
                <w:szCs w:val="21"/>
              </w:rPr>
            </w:pPr>
            <w:r>
              <w:rPr>
                <w:rFonts w:cs="Times New Roman"/>
                <w:szCs w:val="21"/>
              </w:rPr>
              <w:t>1.84E-05</w:t>
            </w:r>
          </w:p>
        </w:tc>
        <w:tc>
          <w:tcPr>
            <w:tcW w:w="890" w:type="pct"/>
            <w:vAlign w:val="center"/>
          </w:tcPr>
          <w:p w14:paraId="0BCDB137" w14:textId="77777777" w:rsidR="007D1E74" w:rsidRDefault="00A95641">
            <w:pPr>
              <w:jc w:val="center"/>
              <w:rPr>
                <w:rFonts w:cs="Times New Roman"/>
                <w:szCs w:val="21"/>
              </w:rPr>
            </w:pPr>
            <w:r>
              <w:rPr>
                <w:rFonts w:cs="Times New Roman"/>
                <w:szCs w:val="21"/>
              </w:rPr>
              <w:t>0.0222</w:t>
            </w:r>
          </w:p>
        </w:tc>
      </w:tr>
      <w:tr w:rsidR="007D1E74" w14:paraId="45D1EEE2" w14:textId="77777777">
        <w:trPr>
          <w:trHeight w:val="70"/>
          <w:jc w:val="center"/>
        </w:trPr>
        <w:tc>
          <w:tcPr>
            <w:tcW w:w="1445" w:type="pct"/>
            <w:vAlign w:val="center"/>
          </w:tcPr>
          <w:p w14:paraId="3F6D207E" w14:textId="77777777" w:rsidR="007D1E74" w:rsidRDefault="00A95641">
            <w:pPr>
              <w:jc w:val="center"/>
              <w:rPr>
                <w:rFonts w:cstheme="minorHAnsi"/>
                <w:szCs w:val="21"/>
              </w:rPr>
            </w:pPr>
            <w:r>
              <w:rPr>
                <w:rFonts w:cstheme="minorHAnsi" w:hint="eastAsia"/>
                <w:szCs w:val="21"/>
              </w:rPr>
              <w:t>马</w:t>
            </w:r>
            <w:r>
              <w:rPr>
                <w:rFonts w:cstheme="minorHAnsi" w:hint="eastAsia"/>
                <w:szCs w:val="21"/>
              </w:rPr>
              <w:t>1-</w:t>
            </w:r>
            <w:r>
              <w:rPr>
                <w:rFonts w:cstheme="minorHAnsi"/>
                <w:szCs w:val="21"/>
              </w:rPr>
              <w:t>13H</w:t>
            </w:r>
            <w:r>
              <w:rPr>
                <w:rFonts w:cstheme="minorHAnsi"/>
                <w:szCs w:val="21"/>
              </w:rPr>
              <w:t>采气井场至干线集气支线</w:t>
            </w:r>
          </w:p>
        </w:tc>
        <w:tc>
          <w:tcPr>
            <w:tcW w:w="888" w:type="pct"/>
            <w:vAlign w:val="center"/>
          </w:tcPr>
          <w:p w14:paraId="58844F06" w14:textId="77777777" w:rsidR="007D1E74" w:rsidRDefault="00A95641">
            <w:pPr>
              <w:jc w:val="center"/>
              <w:rPr>
                <w:rFonts w:cs="Times New Roman"/>
                <w:szCs w:val="21"/>
              </w:rPr>
            </w:pPr>
            <w:r>
              <w:rPr>
                <w:rFonts w:cs="Times New Roman"/>
                <w:szCs w:val="21"/>
              </w:rPr>
              <w:t>2.4</w:t>
            </w:r>
          </w:p>
        </w:tc>
        <w:tc>
          <w:tcPr>
            <w:tcW w:w="889" w:type="pct"/>
            <w:vAlign w:val="center"/>
          </w:tcPr>
          <w:p w14:paraId="66D87D6F" w14:textId="77777777" w:rsidR="007D1E74" w:rsidRDefault="00A95641">
            <w:pPr>
              <w:jc w:val="center"/>
              <w:rPr>
                <w:rFonts w:cs="Times New Roman"/>
                <w:szCs w:val="21"/>
              </w:rPr>
            </w:pPr>
            <w:r>
              <w:rPr>
                <w:rFonts w:cs="Times New Roman"/>
                <w:szCs w:val="21"/>
              </w:rPr>
              <w:t>2882.74</w:t>
            </w:r>
          </w:p>
        </w:tc>
        <w:tc>
          <w:tcPr>
            <w:tcW w:w="888" w:type="pct"/>
            <w:vAlign w:val="center"/>
          </w:tcPr>
          <w:p w14:paraId="1A50E684" w14:textId="77777777" w:rsidR="007D1E74" w:rsidRDefault="00A95641">
            <w:pPr>
              <w:jc w:val="center"/>
              <w:rPr>
                <w:rFonts w:cs="Times New Roman"/>
                <w:szCs w:val="21"/>
              </w:rPr>
            </w:pPr>
            <w:r>
              <w:rPr>
                <w:rFonts w:cs="Times New Roman"/>
                <w:szCs w:val="21"/>
              </w:rPr>
              <w:t>1.88E-05</w:t>
            </w:r>
          </w:p>
        </w:tc>
        <w:tc>
          <w:tcPr>
            <w:tcW w:w="890" w:type="pct"/>
            <w:vAlign w:val="center"/>
          </w:tcPr>
          <w:p w14:paraId="2CA80B9A" w14:textId="77777777" w:rsidR="007D1E74" w:rsidRDefault="00A95641">
            <w:pPr>
              <w:jc w:val="center"/>
              <w:rPr>
                <w:rFonts w:cs="Times New Roman"/>
                <w:szCs w:val="21"/>
              </w:rPr>
            </w:pPr>
            <w:r>
              <w:rPr>
                <w:rFonts w:cs="Times New Roman"/>
                <w:szCs w:val="21"/>
              </w:rPr>
              <w:t>0.0225</w:t>
            </w:r>
          </w:p>
        </w:tc>
      </w:tr>
      <w:tr w:rsidR="007D1E74" w14:paraId="34687C33" w14:textId="77777777">
        <w:trPr>
          <w:trHeight w:val="70"/>
          <w:jc w:val="center"/>
        </w:trPr>
        <w:tc>
          <w:tcPr>
            <w:tcW w:w="1445" w:type="pct"/>
            <w:vAlign w:val="center"/>
          </w:tcPr>
          <w:p w14:paraId="21C62913" w14:textId="77777777" w:rsidR="007D1E74" w:rsidRDefault="00A95641">
            <w:pPr>
              <w:jc w:val="center"/>
              <w:rPr>
                <w:rFonts w:cstheme="minorHAnsi"/>
                <w:szCs w:val="21"/>
              </w:rPr>
            </w:pPr>
            <w:r>
              <w:rPr>
                <w:rFonts w:cstheme="minorHAnsi" w:hint="eastAsia"/>
                <w:szCs w:val="21"/>
              </w:rPr>
              <w:t>马</w:t>
            </w:r>
            <w:r>
              <w:rPr>
                <w:rFonts w:cstheme="minorHAnsi" w:hint="eastAsia"/>
                <w:szCs w:val="21"/>
              </w:rPr>
              <w:t>1-</w:t>
            </w:r>
            <w:r>
              <w:rPr>
                <w:rFonts w:cstheme="minorHAnsi"/>
                <w:szCs w:val="21"/>
              </w:rPr>
              <w:t>12H</w:t>
            </w:r>
            <w:r>
              <w:rPr>
                <w:rFonts w:cstheme="minorHAnsi"/>
                <w:szCs w:val="21"/>
              </w:rPr>
              <w:t>采气井场至干线集气支线</w:t>
            </w:r>
          </w:p>
        </w:tc>
        <w:tc>
          <w:tcPr>
            <w:tcW w:w="888" w:type="pct"/>
            <w:vAlign w:val="center"/>
          </w:tcPr>
          <w:p w14:paraId="4A2270A1" w14:textId="77777777" w:rsidR="007D1E74" w:rsidRDefault="00A95641">
            <w:pPr>
              <w:jc w:val="center"/>
              <w:rPr>
                <w:rFonts w:cs="Times New Roman"/>
                <w:szCs w:val="21"/>
              </w:rPr>
            </w:pPr>
            <w:r>
              <w:rPr>
                <w:rFonts w:cs="Times New Roman"/>
                <w:szCs w:val="21"/>
              </w:rPr>
              <w:t>6.16</w:t>
            </w:r>
          </w:p>
        </w:tc>
        <w:tc>
          <w:tcPr>
            <w:tcW w:w="889" w:type="pct"/>
            <w:vAlign w:val="center"/>
          </w:tcPr>
          <w:p w14:paraId="2647A935" w14:textId="77777777" w:rsidR="007D1E74" w:rsidRDefault="00A95641">
            <w:pPr>
              <w:jc w:val="center"/>
              <w:rPr>
                <w:rFonts w:cs="Times New Roman"/>
                <w:szCs w:val="21"/>
              </w:rPr>
            </w:pPr>
            <w:r>
              <w:rPr>
                <w:rFonts w:cs="Times New Roman"/>
                <w:szCs w:val="21"/>
              </w:rPr>
              <w:t>7392.57</w:t>
            </w:r>
          </w:p>
        </w:tc>
        <w:tc>
          <w:tcPr>
            <w:tcW w:w="888" w:type="pct"/>
            <w:vAlign w:val="center"/>
          </w:tcPr>
          <w:p w14:paraId="26330C21" w14:textId="77777777" w:rsidR="007D1E74" w:rsidRDefault="00A95641">
            <w:pPr>
              <w:jc w:val="center"/>
              <w:rPr>
                <w:rFonts w:cs="Times New Roman"/>
                <w:szCs w:val="21"/>
              </w:rPr>
            </w:pPr>
            <w:r>
              <w:rPr>
                <w:rFonts w:cs="Times New Roman"/>
                <w:szCs w:val="21"/>
              </w:rPr>
              <w:t>4.82E-05</w:t>
            </w:r>
          </w:p>
        </w:tc>
        <w:tc>
          <w:tcPr>
            <w:tcW w:w="890" w:type="pct"/>
            <w:vAlign w:val="center"/>
          </w:tcPr>
          <w:p w14:paraId="0F651878" w14:textId="77777777" w:rsidR="007D1E74" w:rsidRDefault="00A95641">
            <w:pPr>
              <w:jc w:val="center"/>
              <w:rPr>
                <w:rFonts w:cs="Times New Roman"/>
                <w:szCs w:val="21"/>
              </w:rPr>
            </w:pPr>
            <w:r>
              <w:rPr>
                <w:rFonts w:cs="Times New Roman"/>
                <w:szCs w:val="21"/>
              </w:rPr>
              <w:t>0.0578</w:t>
            </w:r>
          </w:p>
        </w:tc>
      </w:tr>
      <w:tr w:rsidR="007D1E74" w14:paraId="16F96490" w14:textId="77777777">
        <w:trPr>
          <w:trHeight w:val="70"/>
          <w:jc w:val="center"/>
        </w:trPr>
        <w:tc>
          <w:tcPr>
            <w:tcW w:w="1445" w:type="pct"/>
            <w:vAlign w:val="center"/>
          </w:tcPr>
          <w:p w14:paraId="27718ABE" w14:textId="77777777" w:rsidR="007D1E74" w:rsidRDefault="00A95641">
            <w:pPr>
              <w:jc w:val="center"/>
              <w:rPr>
                <w:rFonts w:cstheme="minorHAnsi"/>
                <w:szCs w:val="21"/>
              </w:rPr>
            </w:pPr>
            <w:r>
              <w:rPr>
                <w:rFonts w:cstheme="minorHAnsi" w:hint="eastAsia"/>
                <w:szCs w:val="21"/>
              </w:rPr>
              <w:t>马</w:t>
            </w:r>
            <w:r>
              <w:rPr>
                <w:rFonts w:cstheme="minorHAnsi" w:hint="eastAsia"/>
                <w:szCs w:val="21"/>
              </w:rPr>
              <w:t>1-</w:t>
            </w:r>
            <w:r>
              <w:rPr>
                <w:rFonts w:cstheme="minorHAnsi"/>
                <w:szCs w:val="21"/>
              </w:rPr>
              <w:t>11</w:t>
            </w:r>
            <w:r>
              <w:rPr>
                <w:rFonts w:cstheme="minorHAnsi"/>
                <w:szCs w:val="21"/>
              </w:rPr>
              <w:t>脱水井场至</w:t>
            </w:r>
            <w:r>
              <w:rPr>
                <w:rFonts w:cstheme="minorHAnsi" w:hint="eastAsia"/>
                <w:szCs w:val="21"/>
              </w:rPr>
              <w:t>4#</w:t>
            </w:r>
            <w:r>
              <w:rPr>
                <w:rFonts w:cstheme="minorHAnsi" w:hint="eastAsia"/>
                <w:szCs w:val="21"/>
              </w:rPr>
              <w:t>清管阀组集输干线</w:t>
            </w:r>
          </w:p>
        </w:tc>
        <w:tc>
          <w:tcPr>
            <w:tcW w:w="888" w:type="pct"/>
            <w:vAlign w:val="center"/>
          </w:tcPr>
          <w:p w14:paraId="49E4692C" w14:textId="77777777" w:rsidR="007D1E74" w:rsidRDefault="00A95641">
            <w:pPr>
              <w:jc w:val="center"/>
              <w:rPr>
                <w:rFonts w:cs="Times New Roman"/>
                <w:szCs w:val="21"/>
              </w:rPr>
            </w:pPr>
            <w:r>
              <w:rPr>
                <w:rFonts w:cs="Times New Roman"/>
                <w:szCs w:val="21"/>
              </w:rPr>
              <w:t>38.15</w:t>
            </w:r>
          </w:p>
        </w:tc>
        <w:tc>
          <w:tcPr>
            <w:tcW w:w="889" w:type="pct"/>
            <w:vAlign w:val="center"/>
          </w:tcPr>
          <w:p w14:paraId="5AA3A821" w14:textId="77777777" w:rsidR="007D1E74" w:rsidRDefault="00A95641">
            <w:pPr>
              <w:jc w:val="center"/>
              <w:rPr>
                <w:rFonts w:cs="Times New Roman"/>
                <w:szCs w:val="21"/>
              </w:rPr>
            </w:pPr>
            <w:r>
              <w:rPr>
                <w:rFonts w:cs="Times New Roman"/>
                <w:szCs w:val="21"/>
              </w:rPr>
              <w:t>45775.01</w:t>
            </w:r>
          </w:p>
        </w:tc>
        <w:tc>
          <w:tcPr>
            <w:tcW w:w="888" w:type="pct"/>
            <w:vAlign w:val="center"/>
          </w:tcPr>
          <w:p w14:paraId="5375F073" w14:textId="77777777" w:rsidR="007D1E74" w:rsidRDefault="00A95641">
            <w:pPr>
              <w:jc w:val="center"/>
              <w:rPr>
                <w:rFonts w:cs="Times New Roman"/>
                <w:szCs w:val="21"/>
              </w:rPr>
            </w:pPr>
            <w:r>
              <w:rPr>
                <w:rFonts w:cs="Times New Roman"/>
                <w:szCs w:val="21"/>
              </w:rPr>
              <w:t>2.98E-04</w:t>
            </w:r>
          </w:p>
        </w:tc>
        <w:tc>
          <w:tcPr>
            <w:tcW w:w="890" w:type="pct"/>
            <w:vAlign w:val="center"/>
          </w:tcPr>
          <w:p w14:paraId="6E964C48" w14:textId="77777777" w:rsidR="007D1E74" w:rsidRDefault="00A95641">
            <w:pPr>
              <w:jc w:val="center"/>
              <w:rPr>
                <w:rFonts w:cs="Times New Roman"/>
                <w:szCs w:val="21"/>
              </w:rPr>
            </w:pPr>
            <w:r>
              <w:rPr>
                <w:rFonts w:cs="Times New Roman"/>
                <w:szCs w:val="21"/>
              </w:rPr>
              <w:t>0.3579</w:t>
            </w:r>
          </w:p>
        </w:tc>
      </w:tr>
      <w:tr w:rsidR="007D1E74" w14:paraId="50376693" w14:textId="77777777">
        <w:trPr>
          <w:trHeight w:val="70"/>
          <w:jc w:val="center"/>
        </w:trPr>
        <w:tc>
          <w:tcPr>
            <w:tcW w:w="1445" w:type="pct"/>
            <w:vAlign w:val="center"/>
          </w:tcPr>
          <w:p w14:paraId="7893AC45" w14:textId="77777777" w:rsidR="007D1E74" w:rsidRDefault="00A95641">
            <w:pPr>
              <w:jc w:val="center"/>
              <w:rPr>
                <w:rFonts w:cstheme="minorHAnsi"/>
                <w:szCs w:val="21"/>
              </w:rPr>
            </w:pPr>
            <w:r>
              <w:rPr>
                <w:rFonts w:cstheme="minorHAnsi" w:hint="eastAsia"/>
                <w:szCs w:val="21"/>
              </w:rPr>
              <w:t>4#</w:t>
            </w:r>
            <w:r>
              <w:rPr>
                <w:rFonts w:cstheme="minorHAnsi" w:hint="eastAsia"/>
                <w:szCs w:val="21"/>
              </w:rPr>
              <w:t>清管阀组至草池增压站集输干线</w:t>
            </w:r>
          </w:p>
        </w:tc>
        <w:tc>
          <w:tcPr>
            <w:tcW w:w="888" w:type="pct"/>
            <w:vAlign w:val="center"/>
          </w:tcPr>
          <w:p w14:paraId="5444C99A" w14:textId="77777777" w:rsidR="007D1E74" w:rsidRDefault="00A95641">
            <w:pPr>
              <w:jc w:val="center"/>
              <w:rPr>
                <w:rFonts w:cs="Times New Roman"/>
                <w:szCs w:val="21"/>
              </w:rPr>
            </w:pPr>
            <w:r>
              <w:rPr>
                <w:rFonts w:cs="Times New Roman"/>
                <w:szCs w:val="21"/>
              </w:rPr>
              <w:t>70.74</w:t>
            </w:r>
          </w:p>
        </w:tc>
        <w:tc>
          <w:tcPr>
            <w:tcW w:w="889" w:type="pct"/>
            <w:vAlign w:val="center"/>
          </w:tcPr>
          <w:p w14:paraId="6DF70092" w14:textId="77777777" w:rsidR="007D1E74" w:rsidRDefault="00A95641">
            <w:pPr>
              <w:jc w:val="center"/>
              <w:rPr>
                <w:rFonts w:cs="Times New Roman"/>
                <w:szCs w:val="21"/>
              </w:rPr>
            </w:pPr>
            <w:r>
              <w:rPr>
                <w:rFonts w:cs="Times New Roman"/>
                <w:szCs w:val="21"/>
              </w:rPr>
              <w:t>84882.00</w:t>
            </w:r>
          </w:p>
        </w:tc>
        <w:tc>
          <w:tcPr>
            <w:tcW w:w="888" w:type="pct"/>
            <w:vAlign w:val="center"/>
          </w:tcPr>
          <w:p w14:paraId="37DDC2E5" w14:textId="77777777" w:rsidR="007D1E74" w:rsidRDefault="00A95641">
            <w:pPr>
              <w:jc w:val="center"/>
              <w:rPr>
                <w:rFonts w:cs="Times New Roman"/>
                <w:szCs w:val="21"/>
              </w:rPr>
            </w:pPr>
            <w:r>
              <w:rPr>
                <w:rFonts w:cs="Times New Roman"/>
                <w:szCs w:val="21"/>
              </w:rPr>
              <w:t>5.53E-04</w:t>
            </w:r>
          </w:p>
        </w:tc>
        <w:tc>
          <w:tcPr>
            <w:tcW w:w="890" w:type="pct"/>
            <w:vAlign w:val="center"/>
          </w:tcPr>
          <w:p w14:paraId="518AADB9" w14:textId="77777777" w:rsidR="007D1E74" w:rsidRDefault="00A95641">
            <w:pPr>
              <w:jc w:val="center"/>
              <w:rPr>
                <w:rFonts w:cs="Times New Roman"/>
                <w:szCs w:val="21"/>
              </w:rPr>
            </w:pPr>
            <w:r>
              <w:rPr>
                <w:rFonts w:cs="Times New Roman"/>
                <w:szCs w:val="21"/>
              </w:rPr>
              <w:t>0.6636</w:t>
            </w:r>
          </w:p>
        </w:tc>
      </w:tr>
    </w:tbl>
    <w:p w14:paraId="78670378" w14:textId="77777777" w:rsidR="007D1E74" w:rsidRDefault="00A95641">
      <w:pPr>
        <w:pStyle w:val="aa"/>
      </w:pPr>
      <w:r>
        <w:rPr>
          <w:rFonts w:hint="eastAsia"/>
        </w:rPr>
        <w:t>放空废气影响</w:t>
      </w:r>
    </w:p>
    <w:p w14:paraId="22FD0C48" w14:textId="77777777" w:rsidR="007D1E74" w:rsidRDefault="00A95641">
      <w:pPr>
        <w:spacing w:line="360" w:lineRule="auto"/>
        <w:ind w:firstLineChars="200" w:firstLine="480"/>
        <w:rPr>
          <w:sz w:val="24"/>
          <w:szCs w:val="24"/>
        </w:rPr>
      </w:pPr>
      <w:r>
        <w:rPr>
          <w:rFonts w:hint="eastAsia"/>
          <w:sz w:val="24"/>
          <w:szCs w:val="24"/>
        </w:rPr>
        <w:t>项目集输管道输送天然气成分比较单一，组分主要以甲烷为主，在事故放空情况下，天然气经</w:t>
      </w:r>
      <w:r>
        <w:rPr>
          <w:rFonts w:hint="eastAsia"/>
          <w:sz w:val="24"/>
          <w:szCs w:val="24"/>
        </w:rPr>
        <w:t>9m</w:t>
      </w:r>
      <w:r>
        <w:rPr>
          <w:rFonts w:hint="eastAsia"/>
          <w:sz w:val="24"/>
          <w:szCs w:val="24"/>
        </w:rPr>
        <w:t>放空立管排放。由于甲烷轻于气体，不会在地面聚集，因此不会对站场周边敏感点的环境空气造成影响。</w:t>
      </w:r>
    </w:p>
    <w:p w14:paraId="60CCD908" w14:textId="77777777" w:rsidR="007D1E74" w:rsidRDefault="00A95641">
      <w:pPr>
        <w:pStyle w:val="a9"/>
      </w:pPr>
      <w:r>
        <w:rPr>
          <w:rFonts w:hint="eastAsia"/>
        </w:rPr>
        <w:t>地表水风险源项分析</w:t>
      </w:r>
    </w:p>
    <w:p w14:paraId="2DAEEE8F" w14:textId="77777777" w:rsidR="007D1E74" w:rsidRDefault="00A95641">
      <w:pPr>
        <w:spacing w:line="360" w:lineRule="auto"/>
        <w:ind w:firstLineChars="200" w:firstLine="480"/>
        <w:rPr>
          <w:sz w:val="24"/>
          <w:szCs w:val="24"/>
        </w:rPr>
      </w:pPr>
      <w:r>
        <w:rPr>
          <w:rFonts w:hint="eastAsia"/>
          <w:sz w:val="24"/>
          <w:szCs w:val="24"/>
        </w:rPr>
        <w:t>项目输送介质为天然气，由于天然气密度比空气小，且几乎不溶于水，在事故状态下，即一旦输气管道穿越河流处发生破裂，管道泄漏的天然气会逐渐扩散至大气中，天然气对水质的直接影响很小。</w:t>
      </w:r>
    </w:p>
    <w:p w14:paraId="2B02B7F2" w14:textId="77777777" w:rsidR="007D1E74" w:rsidRDefault="00A95641">
      <w:pPr>
        <w:pStyle w:val="a9"/>
      </w:pPr>
      <w:r>
        <w:rPr>
          <w:rFonts w:hint="eastAsia"/>
        </w:rPr>
        <w:t>地下水风险源项分析</w:t>
      </w:r>
    </w:p>
    <w:p w14:paraId="22578A25" w14:textId="77777777" w:rsidR="007D1E74" w:rsidRDefault="00A95641">
      <w:pPr>
        <w:spacing w:line="360" w:lineRule="auto"/>
        <w:ind w:firstLineChars="200" w:firstLine="480"/>
        <w:rPr>
          <w:sz w:val="24"/>
          <w:szCs w:val="24"/>
        </w:rPr>
      </w:pPr>
      <w:r>
        <w:rPr>
          <w:rFonts w:hint="eastAsia"/>
          <w:sz w:val="24"/>
          <w:szCs w:val="24"/>
        </w:rPr>
        <w:t>运营期集输管道埋设于地下，输送天然气为不含硫的烷烃类气体，运营期无废水产生。即使管道破裂也不会进入地下水造成污染；另外管道防腐设计严格按照相关规定，采用外防腐层和阴极保护联合保护的方案对管道进行保护，对地下水不会造成影响。</w:t>
      </w:r>
    </w:p>
    <w:p w14:paraId="135B6F02" w14:textId="77777777" w:rsidR="007D1E74" w:rsidRDefault="00A95641">
      <w:pPr>
        <w:spacing w:line="360" w:lineRule="auto"/>
        <w:ind w:firstLineChars="200" w:firstLine="480"/>
        <w:rPr>
          <w:sz w:val="24"/>
          <w:szCs w:val="24"/>
        </w:rPr>
      </w:pPr>
      <w:r>
        <w:rPr>
          <w:rFonts w:hint="eastAsia"/>
          <w:sz w:val="24"/>
          <w:szCs w:val="24"/>
        </w:rPr>
        <w:t>综上所述，本项目环境风险事故源强计算结果见下表。</w:t>
      </w:r>
    </w:p>
    <w:p w14:paraId="35BE50BB" w14:textId="77777777" w:rsidR="007D1E74" w:rsidRDefault="00A95641">
      <w:pPr>
        <w:pStyle w:val="afffffe"/>
        <w:numPr>
          <w:ilvl w:val="0"/>
          <w:numId w:val="50"/>
        </w:numPr>
        <w:spacing w:line="360" w:lineRule="auto"/>
        <w:ind w:firstLineChars="0"/>
        <w:jc w:val="center"/>
        <w:rPr>
          <w:rFonts w:eastAsia="黑体" w:cs="Times New Roman"/>
          <w:szCs w:val="21"/>
        </w:rPr>
      </w:pPr>
      <w:r>
        <w:rPr>
          <w:rFonts w:eastAsia="黑体" w:cs="Times New Roman" w:hint="eastAsia"/>
          <w:szCs w:val="21"/>
        </w:rPr>
        <w:t>项目环境风险源强一览表</w:t>
      </w:r>
    </w:p>
    <w:tbl>
      <w:tblPr>
        <w:tblStyle w:val="affffc"/>
        <w:tblW w:w="5000" w:type="pct"/>
        <w:tblLook w:val="04A0" w:firstRow="1" w:lastRow="0" w:firstColumn="1" w:lastColumn="0" w:noHBand="0" w:noVBand="1"/>
      </w:tblPr>
      <w:tblGrid>
        <w:gridCol w:w="484"/>
        <w:gridCol w:w="886"/>
        <w:gridCol w:w="2198"/>
        <w:gridCol w:w="687"/>
        <w:gridCol w:w="824"/>
        <w:gridCol w:w="1311"/>
        <w:gridCol w:w="1311"/>
        <w:gridCol w:w="1315"/>
      </w:tblGrid>
      <w:tr w:rsidR="007D1E74" w14:paraId="24C0BC49" w14:textId="77777777">
        <w:trPr>
          <w:tblHeader/>
        </w:trPr>
        <w:tc>
          <w:tcPr>
            <w:tcW w:w="268" w:type="pct"/>
            <w:vAlign w:val="center"/>
          </w:tcPr>
          <w:p w14:paraId="612BE7D4" w14:textId="77777777" w:rsidR="007D1E74" w:rsidRDefault="00A95641">
            <w:pPr>
              <w:jc w:val="center"/>
              <w:rPr>
                <w:rFonts w:cs="Times New Roman"/>
                <w:szCs w:val="21"/>
              </w:rPr>
            </w:pPr>
            <w:r>
              <w:rPr>
                <w:rFonts w:cs="Times New Roman"/>
                <w:szCs w:val="21"/>
              </w:rPr>
              <w:t>序号</w:t>
            </w:r>
          </w:p>
        </w:tc>
        <w:tc>
          <w:tcPr>
            <w:tcW w:w="491" w:type="pct"/>
            <w:vAlign w:val="center"/>
          </w:tcPr>
          <w:p w14:paraId="6C699E4F" w14:textId="77777777" w:rsidR="007D1E74" w:rsidRDefault="00A95641">
            <w:pPr>
              <w:jc w:val="center"/>
              <w:rPr>
                <w:rFonts w:cs="Times New Roman"/>
                <w:szCs w:val="21"/>
              </w:rPr>
            </w:pPr>
            <w:r>
              <w:rPr>
                <w:rFonts w:cs="Times New Roman"/>
                <w:szCs w:val="21"/>
              </w:rPr>
              <w:t>风险事故情形描述</w:t>
            </w:r>
          </w:p>
        </w:tc>
        <w:tc>
          <w:tcPr>
            <w:tcW w:w="1219" w:type="pct"/>
            <w:vAlign w:val="center"/>
          </w:tcPr>
          <w:p w14:paraId="2AEB24ED" w14:textId="77777777" w:rsidR="007D1E74" w:rsidRDefault="00A95641">
            <w:pPr>
              <w:jc w:val="center"/>
              <w:rPr>
                <w:rFonts w:cs="Times New Roman"/>
                <w:szCs w:val="21"/>
              </w:rPr>
            </w:pPr>
            <w:r>
              <w:rPr>
                <w:rFonts w:cs="Times New Roman"/>
                <w:szCs w:val="21"/>
              </w:rPr>
              <w:t>危险单元</w:t>
            </w:r>
          </w:p>
        </w:tc>
        <w:tc>
          <w:tcPr>
            <w:tcW w:w="381" w:type="pct"/>
            <w:vAlign w:val="center"/>
          </w:tcPr>
          <w:p w14:paraId="19F4650D" w14:textId="77777777" w:rsidR="007D1E74" w:rsidRDefault="00A95641">
            <w:pPr>
              <w:jc w:val="center"/>
              <w:rPr>
                <w:rFonts w:cs="Times New Roman"/>
                <w:szCs w:val="21"/>
              </w:rPr>
            </w:pPr>
            <w:r>
              <w:rPr>
                <w:rFonts w:cs="Times New Roman"/>
                <w:szCs w:val="21"/>
              </w:rPr>
              <w:t>危险物质</w:t>
            </w:r>
          </w:p>
        </w:tc>
        <w:tc>
          <w:tcPr>
            <w:tcW w:w="457" w:type="pct"/>
            <w:vAlign w:val="center"/>
          </w:tcPr>
          <w:p w14:paraId="4FD56C1A" w14:textId="77777777" w:rsidR="007D1E74" w:rsidRDefault="00A95641">
            <w:pPr>
              <w:jc w:val="center"/>
              <w:rPr>
                <w:rFonts w:cs="Times New Roman"/>
                <w:szCs w:val="21"/>
              </w:rPr>
            </w:pPr>
            <w:r>
              <w:rPr>
                <w:rFonts w:cs="Times New Roman"/>
                <w:szCs w:val="21"/>
              </w:rPr>
              <w:t>影响途径</w:t>
            </w:r>
          </w:p>
        </w:tc>
        <w:tc>
          <w:tcPr>
            <w:tcW w:w="727" w:type="pct"/>
            <w:vAlign w:val="center"/>
          </w:tcPr>
          <w:p w14:paraId="49A10D1E" w14:textId="77777777" w:rsidR="007D1E74" w:rsidRDefault="00A95641">
            <w:pPr>
              <w:jc w:val="center"/>
              <w:rPr>
                <w:rFonts w:cs="Times New Roman"/>
                <w:szCs w:val="21"/>
              </w:rPr>
            </w:pPr>
            <w:r>
              <w:rPr>
                <w:rFonts w:cs="Times New Roman"/>
                <w:szCs w:val="21"/>
              </w:rPr>
              <w:t>释放或泄漏速率（</w:t>
            </w:r>
            <w:r>
              <w:rPr>
                <w:rFonts w:cs="Times New Roman"/>
                <w:szCs w:val="21"/>
              </w:rPr>
              <w:t>kg/s</w:t>
            </w:r>
            <w:r>
              <w:rPr>
                <w:rFonts w:cs="Times New Roman"/>
                <w:szCs w:val="21"/>
              </w:rPr>
              <w:t>）</w:t>
            </w:r>
          </w:p>
        </w:tc>
        <w:tc>
          <w:tcPr>
            <w:tcW w:w="727" w:type="pct"/>
            <w:vAlign w:val="center"/>
          </w:tcPr>
          <w:p w14:paraId="42811269" w14:textId="77777777" w:rsidR="007D1E74" w:rsidRDefault="00A95641">
            <w:pPr>
              <w:jc w:val="center"/>
              <w:rPr>
                <w:rFonts w:cs="Times New Roman"/>
                <w:szCs w:val="21"/>
              </w:rPr>
            </w:pPr>
            <w:r>
              <w:rPr>
                <w:rFonts w:cs="Times New Roman"/>
                <w:szCs w:val="21"/>
              </w:rPr>
              <w:t>释放或泄漏时间（</w:t>
            </w:r>
            <w:r>
              <w:rPr>
                <w:rFonts w:cs="Times New Roman"/>
                <w:szCs w:val="21"/>
              </w:rPr>
              <w:t>min</w:t>
            </w:r>
            <w:r>
              <w:rPr>
                <w:rFonts w:cs="Times New Roman"/>
                <w:szCs w:val="21"/>
              </w:rPr>
              <w:t>）</w:t>
            </w:r>
          </w:p>
        </w:tc>
        <w:tc>
          <w:tcPr>
            <w:tcW w:w="729" w:type="pct"/>
            <w:vAlign w:val="center"/>
          </w:tcPr>
          <w:p w14:paraId="6CAC302A" w14:textId="77777777" w:rsidR="007D1E74" w:rsidRDefault="00A95641">
            <w:pPr>
              <w:jc w:val="center"/>
              <w:rPr>
                <w:rFonts w:cs="Times New Roman"/>
                <w:szCs w:val="21"/>
              </w:rPr>
            </w:pPr>
            <w:r>
              <w:rPr>
                <w:rFonts w:cs="Times New Roman"/>
                <w:szCs w:val="21"/>
              </w:rPr>
              <w:t>最大释放量或泄漏量（</w:t>
            </w:r>
            <w:r>
              <w:rPr>
                <w:rFonts w:cs="Times New Roman"/>
                <w:szCs w:val="21"/>
              </w:rPr>
              <w:t>kg</w:t>
            </w:r>
            <w:r>
              <w:rPr>
                <w:rFonts w:cs="Times New Roman"/>
                <w:szCs w:val="21"/>
              </w:rPr>
              <w:t>）</w:t>
            </w:r>
          </w:p>
        </w:tc>
      </w:tr>
      <w:tr w:rsidR="007D1E74" w14:paraId="13D255E7" w14:textId="77777777">
        <w:tc>
          <w:tcPr>
            <w:tcW w:w="268" w:type="pct"/>
            <w:vMerge w:val="restart"/>
            <w:vAlign w:val="center"/>
          </w:tcPr>
          <w:p w14:paraId="11040E45" w14:textId="77777777" w:rsidR="007D1E74" w:rsidRDefault="00A95641">
            <w:pPr>
              <w:jc w:val="center"/>
              <w:rPr>
                <w:rFonts w:cs="Times New Roman"/>
                <w:szCs w:val="21"/>
              </w:rPr>
            </w:pPr>
            <w:r>
              <w:rPr>
                <w:rFonts w:cs="Times New Roman" w:hint="eastAsia"/>
                <w:szCs w:val="21"/>
              </w:rPr>
              <w:t>1</w:t>
            </w:r>
          </w:p>
        </w:tc>
        <w:tc>
          <w:tcPr>
            <w:tcW w:w="491" w:type="pct"/>
            <w:vMerge w:val="restart"/>
            <w:vAlign w:val="center"/>
          </w:tcPr>
          <w:p w14:paraId="63A4270F" w14:textId="77777777" w:rsidR="007D1E74" w:rsidRDefault="00A95641">
            <w:pPr>
              <w:jc w:val="center"/>
              <w:rPr>
                <w:rFonts w:cs="Times New Roman"/>
                <w:szCs w:val="21"/>
              </w:rPr>
            </w:pPr>
            <w:r>
              <w:rPr>
                <w:rFonts w:cs="Times New Roman"/>
                <w:szCs w:val="21"/>
              </w:rPr>
              <w:t>泄漏</w:t>
            </w:r>
          </w:p>
        </w:tc>
        <w:tc>
          <w:tcPr>
            <w:tcW w:w="1219" w:type="pct"/>
            <w:vAlign w:val="center"/>
          </w:tcPr>
          <w:p w14:paraId="2B7B5AEB" w14:textId="77777777" w:rsidR="007D1E74" w:rsidRDefault="00A95641">
            <w:pPr>
              <w:widowControl/>
              <w:jc w:val="center"/>
              <w:rPr>
                <w:rFonts w:cs="Times New Roman"/>
                <w:kern w:val="0"/>
                <w:szCs w:val="21"/>
              </w:rPr>
            </w:pPr>
            <w:r>
              <w:rPr>
                <w:rFonts w:cs="Times New Roman"/>
                <w:kern w:val="0"/>
                <w:szCs w:val="21"/>
              </w:rPr>
              <w:t>1#</w:t>
            </w:r>
            <w:r>
              <w:rPr>
                <w:rFonts w:cs="Times New Roman"/>
                <w:kern w:val="0"/>
                <w:szCs w:val="21"/>
              </w:rPr>
              <w:t>阀室至马</w:t>
            </w:r>
            <w:r>
              <w:rPr>
                <w:rFonts w:cs="Times New Roman"/>
                <w:kern w:val="0"/>
                <w:szCs w:val="21"/>
              </w:rPr>
              <w:t>1-11</w:t>
            </w:r>
            <w:r>
              <w:rPr>
                <w:rFonts w:cs="Times New Roman"/>
                <w:kern w:val="0"/>
                <w:szCs w:val="21"/>
              </w:rPr>
              <w:t>脱水井场集输干线</w:t>
            </w:r>
          </w:p>
        </w:tc>
        <w:tc>
          <w:tcPr>
            <w:tcW w:w="381" w:type="pct"/>
            <w:vMerge w:val="restart"/>
            <w:vAlign w:val="center"/>
          </w:tcPr>
          <w:p w14:paraId="365BB580" w14:textId="77777777" w:rsidR="007D1E74" w:rsidRDefault="00A95641">
            <w:pPr>
              <w:jc w:val="center"/>
              <w:rPr>
                <w:rFonts w:cs="Times New Roman"/>
                <w:szCs w:val="21"/>
              </w:rPr>
            </w:pPr>
            <w:r>
              <w:rPr>
                <w:rFonts w:cs="Times New Roman"/>
                <w:szCs w:val="21"/>
              </w:rPr>
              <w:t>天然气</w:t>
            </w:r>
          </w:p>
        </w:tc>
        <w:tc>
          <w:tcPr>
            <w:tcW w:w="457" w:type="pct"/>
            <w:vMerge w:val="restart"/>
            <w:vAlign w:val="center"/>
          </w:tcPr>
          <w:p w14:paraId="774EB7F4" w14:textId="77777777" w:rsidR="007D1E74" w:rsidRDefault="00A95641">
            <w:pPr>
              <w:jc w:val="center"/>
              <w:rPr>
                <w:rFonts w:cs="Times New Roman"/>
                <w:szCs w:val="21"/>
              </w:rPr>
            </w:pPr>
            <w:r>
              <w:rPr>
                <w:rFonts w:cs="Times New Roman"/>
                <w:szCs w:val="21"/>
              </w:rPr>
              <w:t>大气</w:t>
            </w:r>
          </w:p>
        </w:tc>
        <w:tc>
          <w:tcPr>
            <w:tcW w:w="727" w:type="pct"/>
            <w:vAlign w:val="center"/>
          </w:tcPr>
          <w:p w14:paraId="21F3FE48" w14:textId="77777777" w:rsidR="007D1E74" w:rsidRDefault="00A95641">
            <w:pPr>
              <w:widowControl/>
              <w:jc w:val="center"/>
              <w:rPr>
                <w:szCs w:val="21"/>
              </w:rPr>
            </w:pPr>
            <w:r>
              <w:rPr>
                <w:rFonts w:hint="eastAsia"/>
                <w:szCs w:val="21"/>
              </w:rPr>
              <w:t>41.57</w:t>
            </w:r>
          </w:p>
        </w:tc>
        <w:tc>
          <w:tcPr>
            <w:tcW w:w="727" w:type="pct"/>
            <w:vAlign w:val="center"/>
          </w:tcPr>
          <w:p w14:paraId="286EE6B3" w14:textId="77777777" w:rsidR="007D1E74" w:rsidRDefault="00A95641">
            <w:pPr>
              <w:jc w:val="center"/>
              <w:rPr>
                <w:rFonts w:cs="Times New Roman"/>
                <w:szCs w:val="21"/>
              </w:rPr>
            </w:pPr>
            <w:r>
              <w:rPr>
                <w:rFonts w:cs="Times New Roman" w:hint="eastAsia"/>
                <w:szCs w:val="21"/>
              </w:rPr>
              <w:t>2</w:t>
            </w:r>
            <w:r>
              <w:rPr>
                <w:rFonts w:cs="Times New Roman"/>
                <w:szCs w:val="21"/>
              </w:rPr>
              <w:t>0</w:t>
            </w:r>
          </w:p>
        </w:tc>
        <w:tc>
          <w:tcPr>
            <w:tcW w:w="729" w:type="pct"/>
            <w:vAlign w:val="center"/>
          </w:tcPr>
          <w:p w14:paraId="41953300" w14:textId="77777777" w:rsidR="007D1E74" w:rsidRDefault="00A95641">
            <w:pPr>
              <w:widowControl/>
              <w:jc w:val="center"/>
              <w:rPr>
                <w:rFonts w:cs="Times New Roman"/>
                <w:kern w:val="0"/>
                <w:szCs w:val="21"/>
              </w:rPr>
            </w:pPr>
            <w:r>
              <w:rPr>
                <w:rFonts w:cs="Times New Roman"/>
                <w:kern w:val="0"/>
                <w:szCs w:val="21"/>
              </w:rPr>
              <w:t>49886.91</w:t>
            </w:r>
          </w:p>
        </w:tc>
      </w:tr>
      <w:tr w:rsidR="007D1E74" w14:paraId="7B7F680F" w14:textId="77777777">
        <w:tc>
          <w:tcPr>
            <w:tcW w:w="268" w:type="pct"/>
            <w:vMerge/>
            <w:vAlign w:val="center"/>
          </w:tcPr>
          <w:p w14:paraId="07363CAA" w14:textId="77777777" w:rsidR="007D1E74" w:rsidRDefault="007D1E74">
            <w:pPr>
              <w:jc w:val="center"/>
              <w:rPr>
                <w:rFonts w:cs="Times New Roman"/>
                <w:szCs w:val="21"/>
              </w:rPr>
            </w:pPr>
          </w:p>
        </w:tc>
        <w:tc>
          <w:tcPr>
            <w:tcW w:w="491" w:type="pct"/>
            <w:vMerge/>
            <w:vAlign w:val="center"/>
          </w:tcPr>
          <w:p w14:paraId="46C1ECA5" w14:textId="77777777" w:rsidR="007D1E74" w:rsidRDefault="007D1E74">
            <w:pPr>
              <w:jc w:val="center"/>
              <w:rPr>
                <w:rFonts w:cs="Times New Roman"/>
                <w:szCs w:val="21"/>
              </w:rPr>
            </w:pPr>
          </w:p>
        </w:tc>
        <w:tc>
          <w:tcPr>
            <w:tcW w:w="1219" w:type="pct"/>
            <w:vAlign w:val="center"/>
          </w:tcPr>
          <w:p w14:paraId="18A05A33" w14:textId="77777777" w:rsidR="007D1E74" w:rsidRDefault="00A95641">
            <w:pPr>
              <w:widowControl/>
              <w:jc w:val="center"/>
              <w:rPr>
                <w:rFonts w:cs="Times New Roman"/>
                <w:kern w:val="0"/>
                <w:szCs w:val="21"/>
              </w:rPr>
            </w:pPr>
            <w:r>
              <w:rPr>
                <w:rFonts w:cs="Times New Roman"/>
                <w:kern w:val="0"/>
                <w:szCs w:val="21"/>
              </w:rPr>
              <w:t>马</w:t>
            </w:r>
            <w:r>
              <w:rPr>
                <w:rFonts w:cs="Times New Roman"/>
                <w:kern w:val="0"/>
                <w:szCs w:val="21"/>
              </w:rPr>
              <w:t>1-10H</w:t>
            </w:r>
            <w:r>
              <w:rPr>
                <w:rFonts w:cs="Times New Roman"/>
                <w:kern w:val="0"/>
                <w:szCs w:val="21"/>
              </w:rPr>
              <w:t>采气井场至马</w:t>
            </w:r>
            <w:r>
              <w:rPr>
                <w:rFonts w:cs="Times New Roman"/>
                <w:kern w:val="0"/>
                <w:szCs w:val="21"/>
              </w:rPr>
              <w:t>1-1</w:t>
            </w:r>
            <w:r>
              <w:rPr>
                <w:rFonts w:cs="Times New Roman"/>
                <w:kern w:val="0"/>
                <w:szCs w:val="21"/>
              </w:rPr>
              <w:t>集气支线</w:t>
            </w:r>
          </w:p>
        </w:tc>
        <w:tc>
          <w:tcPr>
            <w:tcW w:w="381" w:type="pct"/>
            <w:vMerge/>
            <w:vAlign w:val="center"/>
          </w:tcPr>
          <w:p w14:paraId="5AB10B5A" w14:textId="77777777" w:rsidR="007D1E74" w:rsidRDefault="007D1E74">
            <w:pPr>
              <w:jc w:val="center"/>
              <w:rPr>
                <w:rFonts w:cs="Times New Roman"/>
                <w:szCs w:val="21"/>
              </w:rPr>
            </w:pPr>
          </w:p>
        </w:tc>
        <w:tc>
          <w:tcPr>
            <w:tcW w:w="457" w:type="pct"/>
            <w:vMerge/>
            <w:vAlign w:val="center"/>
          </w:tcPr>
          <w:p w14:paraId="550D57B5" w14:textId="77777777" w:rsidR="007D1E74" w:rsidRDefault="007D1E74">
            <w:pPr>
              <w:jc w:val="center"/>
              <w:rPr>
                <w:rFonts w:cs="Times New Roman"/>
                <w:szCs w:val="21"/>
              </w:rPr>
            </w:pPr>
          </w:p>
        </w:tc>
        <w:tc>
          <w:tcPr>
            <w:tcW w:w="727" w:type="pct"/>
            <w:vAlign w:val="center"/>
          </w:tcPr>
          <w:p w14:paraId="7BEA96B0" w14:textId="77777777" w:rsidR="007D1E74" w:rsidRDefault="00A95641">
            <w:pPr>
              <w:jc w:val="center"/>
              <w:rPr>
                <w:szCs w:val="21"/>
              </w:rPr>
            </w:pPr>
            <w:r>
              <w:rPr>
                <w:rFonts w:hint="eastAsia"/>
                <w:szCs w:val="21"/>
              </w:rPr>
              <w:t>3.51</w:t>
            </w:r>
          </w:p>
        </w:tc>
        <w:tc>
          <w:tcPr>
            <w:tcW w:w="727" w:type="pct"/>
            <w:vAlign w:val="center"/>
          </w:tcPr>
          <w:p w14:paraId="71A3D944" w14:textId="77777777" w:rsidR="007D1E74" w:rsidRDefault="00A95641">
            <w:pPr>
              <w:jc w:val="center"/>
              <w:rPr>
                <w:rFonts w:cs="Times New Roman"/>
                <w:szCs w:val="21"/>
              </w:rPr>
            </w:pPr>
            <w:r>
              <w:rPr>
                <w:rFonts w:cs="Times New Roman" w:hint="eastAsia"/>
                <w:szCs w:val="21"/>
              </w:rPr>
              <w:t>2</w:t>
            </w:r>
            <w:r>
              <w:rPr>
                <w:rFonts w:cs="Times New Roman"/>
                <w:szCs w:val="21"/>
              </w:rPr>
              <w:t>0</w:t>
            </w:r>
          </w:p>
        </w:tc>
        <w:tc>
          <w:tcPr>
            <w:tcW w:w="729" w:type="pct"/>
            <w:vAlign w:val="center"/>
          </w:tcPr>
          <w:p w14:paraId="35D3054F" w14:textId="77777777" w:rsidR="007D1E74" w:rsidRDefault="00A95641">
            <w:pPr>
              <w:widowControl/>
              <w:jc w:val="center"/>
              <w:rPr>
                <w:rFonts w:cs="Times New Roman"/>
                <w:kern w:val="0"/>
                <w:szCs w:val="21"/>
              </w:rPr>
            </w:pPr>
            <w:r>
              <w:rPr>
                <w:rFonts w:cs="Times New Roman"/>
                <w:kern w:val="0"/>
                <w:szCs w:val="21"/>
              </w:rPr>
              <w:t>4214.26</w:t>
            </w:r>
          </w:p>
        </w:tc>
      </w:tr>
      <w:tr w:rsidR="007D1E74" w14:paraId="18EC4D45" w14:textId="77777777">
        <w:tc>
          <w:tcPr>
            <w:tcW w:w="268" w:type="pct"/>
            <w:vMerge/>
            <w:vAlign w:val="center"/>
          </w:tcPr>
          <w:p w14:paraId="61C808C6" w14:textId="77777777" w:rsidR="007D1E74" w:rsidRDefault="007D1E74">
            <w:pPr>
              <w:jc w:val="center"/>
              <w:rPr>
                <w:rFonts w:cs="Times New Roman"/>
                <w:szCs w:val="21"/>
              </w:rPr>
            </w:pPr>
          </w:p>
        </w:tc>
        <w:tc>
          <w:tcPr>
            <w:tcW w:w="491" w:type="pct"/>
            <w:vMerge/>
            <w:vAlign w:val="center"/>
          </w:tcPr>
          <w:p w14:paraId="5205818D" w14:textId="77777777" w:rsidR="007D1E74" w:rsidRDefault="007D1E74">
            <w:pPr>
              <w:jc w:val="center"/>
              <w:rPr>
                <w:rFonts w:cs="Times New Roman"/>
                <w:szCs w:val="21"/>
              </w:rPr>
            </w:pPr>
          </w:p>
        </w:tc>
        <w:tc>
          <w:tcPr>
            <w:tcW w:w="1219" w:type="pct"/>
            <w:vAlign w:val="center"/>
          </w:tcPr>
          <w:p w14:paraId="3847CE19" w14:textId="77777777" w:rsidR="007D1E74" w:rsidRDefault="00A95641">
            <w:pPr>
              <w:widowControl/>
              <w:jc w:val="center"/>
              <w:rPr>
                <w:rFonts w:cs="Times New Roman"/>
                <w:kern w:val="0"/>
                <w:szCs w:val="21"/>
              </w:rPr>
            </w:pPr>
            <w:r>
              <w:rPr>
                <w:rFonts w:cs="Times New Roman"/>
                <w:kern w:val="0"/>
                <w:szCs w:val="21"/>
              </w:rPr>
              <w:t>马</w:t>
            </w:r>
            <w:r>
              <w:rPr>
                <w:rFonts w:cs="Times New Roman"/>
                <w:kern w:val="0"/>
                <w:szCs w:val="21"/>
              </w:rPr>
              <w:t>1-1</w:t>
            </w:r>
            <w:r>
              <w:rPr>
                <w:rFonts w:cs="Times New Roman"/>
                <w:kern w:val="0"/>
                <w:szCs w:val="21"/>
              </w:rPr>
              <w:t>采气井场至干线集气支线</w:t>
            </w:r>
          </w:p>
        </w:tc>
        <w:tc>
          <w:tcPr>
            <w:tcW w:w="381" w:type="pct"/>
            <w:vMerge/>
            <w:vAlign w:val="center"/>
          </w:tcPr>
          <w:p w14:paraId="35BA60B0" w14:textId="77777777" w:rsidR="007D1E74" w:rsidRDefault="007D1E74">
            <w:pPr>
              <w:jc w:val="center"/>
              <w:rPr>
                <w:rFonts w:cs="Times New Roman"/>
                <w:szCs w:val="21"/>
              </w:rPr>
            </w:pPr>
          </w:p>
        </w:tc>
        <w:tc>
          <w:tcPr>
            <w:tcW w:w="457" w:type="pct"/>
            <w:vMerge/>
            <w:vAlign w:val="center"/>
          </w:tcPr>
          <w:p w14:paraId="4A1BFDFA" w14:textId="77777777" w:rsidR="007D1E74" w:rsidRDefault="007D1E74">
            <w:pPr>
              <w:jc w:val="center"/>
              <w:rPr>
                <w:rFonts w:cs="Times New Roman"/>
                <w:szCs w:val="21"/>
              </w:rPr>
            </w:pPr>
          </w:p>
        </w:tc>
        <w:tc>
          <w:tcPr>
            <w:tcW w:w="727" w:type="pct"/>
            <w:vAlign w:val="center"/>
          </w:tcPr>
          <w:p w14:paraId="2EEB48F2" w14:textId="77777777" w:rsidR="007D1E74" w:rsidRDefault="00A95641">
            <w:pPr>
              <w:jc w:val="center"/>
              <w:rPr>
                <w:szCs w:val="21"/>
              </w:rPr>
            </w:pPr>
            <w:r>
              <w:rPr>
                <w:rFonts w:hint="eastAsia"/>
                <w:szCs w:val="21"/>
              </w:rPr>
              <w:t>2.36</w:t>
            </w:r>
          </w:p>
        </w:tc>
        <w:tc>
          <w:tcPr>
            <w:tcW w:w="727" w:type="pct"/>
            <w:vAlign w:val="center"/>
          </w:tcPr>
          <w:p w14:paraId="135A3FB0" w14:textId="77777777" w:rsidR="007D1E74" w:rsidRDefault="00A95641">
            <w:pPr>
              <w:jc w:val="center"/>
              <w:rPr>
                <w:rFonts w:cs="Times New Roman"/>
                <w:szCs w:val="21"/>
              </w:rPr>
            </w:pPr>
            <w:r>
              <w:rPr>
                <w:rFonts w:cs="Times New Roman" w:hint="eastAsia"/>
                <w:szCs w:val="21"/>
              </w:rPr>
              <w:t>2</w:t>
            </w:r>
            <w:r>
              <w:rPr>
                <w:rFonts w:cs="Times New Roman"/>
                <w:szCs w:val="21"/>
              </w:rPr>
              <w:t>0</w:t>
            </w:r>
          </w:p>
        </w:tc>
        <w:tc>
          <w:tcPr>
            <w:tcW w:w="729" w:type="pct"/>
            <w:vAlign w:val="center"/>
          </w:tcPr>
          <w:p w14:paraId="0849F944" w14:textId="77777777" w:rsidR="007D1E74" w:rsidRDefault="00A95641">
            <w:pPr>
              <w:widowControl/>
              <w:jc w:val="center"/>
              <w:rPr>
                <w:rFonts w:cs="Times New Roman"/>
                <w:kern w:val="0"/>
                <w:szCs w:val="21"/>
              </w:rPr>
            </w:pPr>
            <w:r>
              <w:rPr>
                <w:rFonts w:cs="Times New Roman"/>
                <w:kern w:val="0"/>
                <w:szCs w:val="21"/>
              </w:rPr>
              <w:t>2836.83</w:t>
            </w:r>
          </w:p>
        </w:tc>
      </w:tr>
      <w:tr w:rsidR="007D1E74" w14:paraId="0F51B653" w14:textId="77777777">
        <w:tc>
          <w:tcPr>
            <w:tcW w:w="268" w:type="pct"/>
            <w:vMerge/>
            <w:vAlign w:val="center"/>
          </w:tcPr>
          <w:p w14:paraId="3C5CFFF2" w14:textId="77777777" w:rsidR="007D1E74" w:rsidRDefault="007D1E74">
            <w:pPr>
              <w:jc w:val="center"/>
              <w:rPr>
                <w:rFonts w:cs="Times New Roman"/>
                <w:szCs w:val="21"/>
              </w:rPr>
            </w:pPr>
          </w:p>
        </w:tc>
        <w:tc>
          <w:tcPr>
            <w:tcW w:w="491" w:type="pct"/>
            <w:vMerge/>
            <w:vAlign w:val="center"/>
          </w:tcPr>
          <w:p w14:paraId="56D3C360" w14:textId="77777777" w:rsidR="007D1E74" w:rsidRDefault="007D1E74">
            <w:pPr>
              <w:jc w:val="center"/>
              <w:rPr>
                <w:rFonts w:cs="Times New Roman"/>
                <w:szCs w:val="21"/>
              </w:rPr>
            </w:pPr>
          </w:p>
        </w:tc>
        <w:tc>
          <w:tcPr>
            <w:tcW w:w="1219" w:type="pct"/>
            <w:vAlign w:val="center"/>
          </w:tcPr>
          <w:p w14:paraId="14FB1943" w14:textId="77777777" w:rsidR="007D1E74" w:rsidRDefault="00A95641">
            <w:pPr>
              <w:widowControl/>
              <w:jc w:val="center"/>
              <w:rPr>
                <w:rFonts w:cs="Times New Roman"/>
                <w:kern w:val="0"/>
                <w:szCs w:val="21"/>
              </w:rPr>
            </w:pPr>
            <w:r>
              <w:rPr>
                <w:rFonts w:cs="Times New Roman"/>
                <w:kern w:val="0"/>
                <w:szCs w:val="21"/>
              </w:rPr>
              <w:t>马</w:t>
            </w:r>
            <w:r>
              <w:rPr>
                <w:rFonts w:cs="Times New Roman"/>
                <w:kern w:val="0"/>
                <w:szCs w:val="21"/>
              </w:rPr>
              <w:t>1-13H</w:t>
            </w:r>
            <w:r>
              <w:rPr>
                <w:rFonts w:cs="Times New Roman"/>
                <w:kern w:val="0"/>
                <w:szCs w:val="21"/>
              </w:rPr>
              <w:t>采气井场至干线集气支线</w:t>
            </w:r>
          </w:p>
        </w:tc>
        <w:tc>
          <w:tcPr>
            <w:tcW w:w="381" w:type="pct"/>
            <w:vMerge/>
            <w:vAlign w:val="center"/>
          </w:tcPr>
          <w:p w14:paraId="0004DB96" w14:textId="77777777" w:rsidR="007D1E74" w:rsidRDefault="007D1E74">
            <w:pPr>
              <w:jc w:val="center"/>
              <w:rPr>
                <w:rFonts w:cs="Times New Roman"/>
                <w:szCs w:val="21"/>
              </w:rPr>
            </w:pPr>
          </w:p>
        </w:tc>
        <w:tc>
          <w:tcPr>
            <w:tcW w:w="457" w:type="pct"/>
            <w:vMerge/>
            <w:vAlign w:val="center"/>
          </w:tcPr>
          <w:p w14:paraId="5568BE77" w14:textId="77777777" w:rsidR="007D1E74" w:rsidRDefault="007D1E74">
            <w:pPr>
              <w:jc w:val="center"/>
              <w:rPr>
                <w:rFonts w:cs="Times New Roman"/>
                <w:szCs w:val="21"/>
              </w:rPr>
            </w:pPr>
          </w:p>
        </w:tc>
        <w:tc>
          <w:tcPr>
            <w:tcW w:w="727" w:type="pct"/>
            <w:vAlign w:val="center"/>
          </w:tcPr>
          <w:p w14:paraId="2E5FC52F" w14:textId="77777777" w:rsidR="007D1E74" w:rsidRDefault="00A95641">
            <w:pPr>
              <w:jc w:val="center"/>
              <w:rPr>
                <w:szCs w:val="21"/>
              </w:rPr>
            </w:pPr>
            <w:r>
              <w:rPr>
                <w:rFonts w:hint="eastAsia"/>
                <w:szCs w:val="21"/>
              </w:rPr>
              <w:t>2.40</w:t>
            </w:r>
          </w:p>
        </w:tc>
        <w:tc>
          <w:tcPr>
            <w:tcW w:w="727" w:type="pct"/>
            <w:vAlign w:val="center"/>
          </w:tcPr>
          <w:p w14:paraId="2B1C5745" w14:textId="77777777" w:rsidR="007D1E74" w:rsidRDefault="00A95641">
            <w:pPr>
              <w:jc w:val="center"/>
              <w:rPr>
                <w:rFonts w:cs="Times New Roman"/>
                <w:szCs w:val="21"/>
              </w:rPr>
            </w:pPr>
            <w:r>
              <w:rPr>
                <w:rFonts w:cs="Times New Roman" w:hint="eastAsia"/>
                <w:szCs w:val="21"/>
              </w:rPr>
              <w:t>2</w:t>
            </w:r>
            <w:r>
              <w:rPr>
                <w:rFonts w:cs="Times New Roman"/>
                <w:szCs w:val="21"/>
              </w:rPr>
              <w:t>0</w:t>
            </w:r>
          </w:p>
        </w:tc>
        <w:tc>
          <w:tcPr>
            <w:tcW w:w="729" w:type="pct"/>
            <w:vAlign w:val="center"/>
          </w:tcPr>
          <w:p w14:paraId="794CB892" w14:textId="77777777" w:rsidR="007D1E74" w:rsidRDefault="00A95641">
            <w:pPr>
              <w:widowControl/>
              <w:jc w:val="center"/>
              <w:rPr>
                <w:rFonts w:cs="Times New Roman"/>
                <w:kern w:val="0"/>
                <w:szCs w:val="21"/>
              </w:rPr>
            </w:pPr>
            <w:r>
              <w:rPr>
                <w:rFonts w:cs="Times New Roman"/>
                <w:kern w:val="0"/>
                <w:szCs w:val="21"/>
              </w:rPr>
              <w:t>2882.74</w:t>
            </w:r>
          </w:p>
        </w:tc>
      </w:tr>
      <w:tr w:rsidR="007D1E74" w14:paraId="6AB3515A" w14:textId="77777777">
        <w:tc>
          <w:tcPr>
            <w:tcW w:w="268" w:type="pct"/>
            <w:vMerge/>
            <w:vAlign w:val="center"/>
          </w:tcPr>
          <w:p w14:paraId="4CCC363D" w14:textId="77777777" w:rsidR="007D1E74" w:rsidRDefault="007D1E74">
            <w:pPr>
              <w:jc w:val="center"/>
              <w:rPr>
                <w:rFonts w:cs="Times New Roman"/>
                <w:szCs w:val="21"/>
              </w:rPr>
            </w:pPr>
          </w:p>
        </w:tc>
        <w:tc>
          <w:tcPr>
            <w:tcW w:w="491" w:type="pct"/>
            <w:vMerge/>
            <w:vAlign w:val="center"/>
          </w:tcPr>
          <w:p w14:paraId="5149A2D1" w14:textId="77777777" w:rsidR="007D1E74" w:rsidRDefault="007D1E74">
            <w:pPr>
              <w:jc w:val="center"/>
              <w:rPr>
                <w:rFonts w:cs="Times New Roman"/>
                <w:szCs w:val="21"/>
              </w:rPr>
            </w:pPr>
          </w:p>
        </w:tc>
        <w:tc>
          <w:tcPr>
            <w:tcW w:w="1219" w:type="pct"/>
            <w:vAlign w:val="center"/>
          </w:tcPr>
          <w:p w14:paraId="10F811E8" w14:textId="77777777" w:rsidR="007D1E74" w:rsidRDefault="00A95641">
            <w:pPr>
              <w:widowControl/>
              <w:jc w:val="center"/>
              <w:rPr>
                <w:rFonts w:cs="Times New Roman"/>
                <w:kern w:val="0"/>
                <w:szCs w:val="21"/>
              </w:rPr>
            </w:pPr>
            <w:r>
              <w:rPr>
                <w:rFonts w:cs="Times New Roman"/>
                <w:kern w:val="0"/>
                <w:szCs w:val="21"/>
              </w:rPr>
              <w:t>马</w:t>
            </w:r>
            <w:r>
              <w:rPr>
                <w:rFonts w:cs="Times New Roman"/>
                <w:kern w:val="0"/>
                <w:szCs w:val="21"/>
              </w:rPr>
              <w:t>1-12H</w:t>
            </w:r>
            <w:r>
              <w:rPr>
                <w:rFonts w:cs="Times New Roman"/>
                <w:kern w:val="0"/>
                <w:szCs w:val="21"/>
              </w:rPr>
              <w:t>采气井场至干线集气支线</w:t>
            </w:r>
          </w:p>
        </w:tc>
        <w:tc>
          <w:tcPr>
            <w:tcW w:w="381" w:type="pct"/>
            <w:vMerge/>
            <w:vAlign w:val="center"/>
          </w:tcPr>
          <w:p w14:paraId="17D3ACED" w14:textId="77777777" w:rsidR="007D1E74" w:rsidRDefault="007D1E74">
            <w:pPr>
              <w:jc w:val="center"/>
              <w:rPr>
                <w:rFonts w:cs="Times New Roman"/>
                <w:szCs w:val="21"/>
              </w:rPr>
            </w:pPr>
          </w:p>
        </w:tc>
        <w:tc>
          <w:tcPr>
            <w:tcW w:w="457" w:type="pct"/>
            <w:vMerge/>
            <w:vAlign w:val="center"/>
          </w:tcPr>
          <w:p w14:paraId="2E9DCA0E" w14:textId="77777777" w:rsidR="007D1E74" w:rsidRDefault="007D1E74">
            <w:pPr>
              <w:jc w:val="center"/>
              <w:rPr>
                <w:rFonts w:cs="Times New Roman"/>
                <w:szCs w:val="21"/>
              </w:rPr>
            </w:pPr>
          </w:p>
        </w:tc>
        <w:tc>
          <w:tcPr>
            <w:tcW w:w="727" w:type="pct"/>
            <w:vAlign w:val="center"/>
          </w:tcPr>
          <w:p w14:paraId="765D3946" w14:textId="77777777" w:rsidR="007D1E74" w:rsidRDefault="00A95641">
            <w:pPr>
              <w:jc w:val="center"/>
              <w:rPr>
                <w:szCs w:val="21"/>
              </w:rPr>
            </w:pPr>
            <w:r>
              <w:rPr>
                <w:rFonts w:hint="eastAsia"/>
                <w:szCs w:val="21"/>
              </w:rPr>
              <w:t>6.16</w:t>
            </w:r>
          </w:p>
        </w:tc>
        <w:tc>
          <w:tcPr>
            <w:tcW w:w="727" w:type="pct"/>
            <w:vAlign w:val="center"/>
          </w:tcPr>
          <w:p w14:paraId="716B297D" w14:textId="77777777" w:rsidR="007D1E74" w:rsidRDefault="00A95641">
            <w:pPr>
              <w:jc w:val="center"/>
              <w:rPr>
                <w:rFonts w:cs="Times New Roman"/>
                <w:szCs w:val="21"/>
              </w:rPr>
            </w:pPr>
            <w:r>
              <w:rPr>
                <w:rFonts w:cs="Times New Roman" w:hint="eastAsia"/>
                <w:szCs w:val="21"/>
              </w:rPr>
              <w:t>2</w:t>
            </w:r>
            <w:r>
              <w:rPr>
                <w:rFonts w:cs="Times New Roman"/>
                <w:szCs w:val="21"/>
              </w:rPr>
              <w:t>0</w:t>
            </w:r>
          </w:p>
        </w:tc>
        <w:tc>
          <w:tcPr>
            <w:tcW w:w="729" w:type="pct"/>
            <w:vAlign w:val="center"/>
          </w:tcPr>
          <w:p w14:paraId="37239261" w14:textId="77777777" w:rsidR="007D1E74" w:rsidRDefault="00A95641">
            <w:pPr>
              <w:widowControl/>
              <w:jc w:val="center"/>
              <w:rPr>
                <w:rFonts w:cs="Times New Roman"/>
                <w:kern w:val="0"/>
                <w:szCs w:val="21"/>
              </w:rPr>
            </w:pPr>
            <w:r>
              <w:rPr>
                <w:rFonts w:cs="Times New Roman"/>
                <w:kern w:val="0"/>
                <w:szCs w:val="21"/>
              </w:rPr>
              <w:t>7392.57</w:t>
            </w:r>
          </w:p>
        </w:tc>
      </w:tr>
      <w:tr w:rsidR="007D1E74" w14:paraId="216E5C7E" w14:textId="77777777">
        <w:tc>
          <w:tcPr>
            <w:tcW w:w="268" w:type="pct"/>
            <w:vMerge/>
            <w:vAlign w:val="center"/>
          </w:tcPr>
          <w:p w14:paraId="7C44D9C9" w14:textId="77777777" w:rsidR="007D1E74" w:rsidRDefault="007D1E74">
            <w:pPr>
              <w:jc w:val="center"/>
              <w:rPr>
                <w:rFonts w:cs="Times New Roman"/>
                <w:szCs w:val="21"/>
              </w:rPr>
            </w:pPr>
          </w:p>
        </w:tc>
        <w:tc>
          <w:tcPr>
            <w:tcW w:w="491" w:type="pct"/>
            <w:vMerge/>
            <w:vAlign w:val="center"/>
          </w:tcPr>
          <w:p w14:paraId="7863EA07" w14:textId="77777777" w:rsidR="007D1E74" w:rsidRDefault="007D1E74">
            <w:pPr>
              <w:jc w:val="center"/>
              <w:rPr>
                <w:rFonts w:cs="Times New Roman"/>
                <w:szCs w:val="21"/>
              </w:rPr>
            </w:pPr>
          </w:p>
        </w:tc>
        <w:tc>
          <w:tcPr>
            <w:tcW w:w="1219" w:type="pct"/>
            <w:vAlign w:val="center"/>
          </w:tcPr>
          <w:p w14:paraId="2C16120B" w14:textId="77777777" w:rsidR="007D1E74" w:rsidRDefault="00A95641">
            <w:pPr>
              <w:widowControl/>
              <w:jc w:val="center"/>
              <w:rPr>
                <w:rFonts w:cs="Times New Roman"/>
                <w:kern w:val="0"/>
                <w:szCs w:val="21"/>
              </w:rPr>
            </w:pPr>
            <w:r>
              <w:rPr>
                <w:rFonts w:cs="Times New Roman"/>
                <w:kern w:val="0"/>
                <w:szCs w:val="21"/>
              </w:rPr>
              <w:t>马</w:t>
            </w:r>
            <w:r>
              <w:rPr>
                <w:rFonts w:cs="Times New Roman"/>
                <w:kern w:val="0"/>
                <w:szCs w:val="21"/>
              </w:rPr>
              <w:t>1-11</w:t>
            </w:r>
            <w:r>
              <w:rPr>
                <w:rFonts w:cs="Times New Roman"/>
                <w:kern w:val="0"/>
                <w:szCs w:val="21"/>
              </w:rPr>
              <w:t>脱水井场至</w:t>
            </w:r>
            <w:r>
              <w:rPr>
                <w:rFonts w:cs="Times New Roman"/>
                <w:kern w:val="0"/>
                <w:szCs w:val="21"/>
              </w:rPr>
              <w:t>4#</w:t>
            </w:r>
            <w:r>
              <w:rPr>
                <w:rFonts w:cs="Times New Roman"/>
                <w:kern w:val="0"/>
                <w:szCs w:val="21"/>
              </w:rPr>
              <w:t>清管阀组集输干线</w:t>
            </w:r>
          </w:p>
        </w:tc>
        <w:tc>
          <w:tcPr>
            <w:tcW w:w="381" w:type="pct"/>
            <w:vMerge/>
            <w:vAlign w:val="center"/>
          </w:tcPr>
          <w:p w14:paraId="65BF0171" w14:textId="77777777" w:rsidR="007D1E74" w:rsidRDefault="007D1E74">
            <w:pPr>
              <w:jc w:val="center"/>
              <w:rPr>
                <w:rFonts w:cs="Times New Roman"/>
                <w:szCs w:val="21"/>
              </w:rPr>
            </w:pPr>
          </w:p>
        </w:tc>
        <w:tc>
          <w:tcPr>
            <w:tcW w:w="457" w:type="pct"/>
            <w:vMerge/>
            <w:vAlign w:val="center"/>
          </w:tcPr>
          <w:p w14:paraId="6BA736E5" w14:textId="77777777" w:rsidR="007D1E74" w:rsidRDefault="007D1E74">
            <w:pPr>
              <w:jc w:val="center"/>
              <w:rPr>
                <w:rFonts w:cs="Times New Roman"/>
                <w:szCs w:val="21"/>
              </w:rPr>
            </w:pPr>
          </w:p>
        </w:tc>
        <w:tc>
          <w:tcPr>
            <w:tcW w:w="727" w:type="pct"/>
            <w:vAlign w:val="center"/>
          </w:tcPr>
          <w:p w14:paraId="08F1F026" w14:textId="77777777" w:rsidR="007D1E74" w:rsidRDefault="00A95641">
            <w:pPr>
              <w:jc w:val="center"/>
              <w:rPr>
                <w:szCs w:val="21"/>
              </w:rPr>
            </w:pPr>
            <w:r>
              <w:rPr>
                <w:rFonts w:hint="eastAsia"/>
                <w:szCs w:val="21"/>
              </w:rPr>
              <w:t>38.15</w:t>
            </w:r>
          </w:p>
        </w:tc>
        <w:tc>
          <w:tcPr>
            <w:tcW w:w="727" w:type="pct"/>
            <w:vAlign w:val="center"/>
          </w:tcPr>
          <w:p w14:paraId="44968625" w14:textId="77777777" w:rsidR="007D1E74" w:rsidRDefault="00A95641">
            <w:pPr>
              <w:jc w:val="center"/>
              <w:rPr>
                <w:rFonts w:cs="Times New Roman"/>
                <w:szCs w:val="21"/>
              </w:rPr>
            </w:pPr>
            <w:r>
              <w:rPr>
                <w:rFonts w:cs="Times New Roman" w:hint="eastAsia"/>
                <w:szCs w:val="21"/>
              </w:rPr>
              <w:t>2</w:t>
            </w:r>
            <w:r>
              <w:rPr>
                <w:rFonts w:cs="Times New Roman"/>
                <w:szCs w:val="21"/>
              </w:rPr>
              <w:t>0</w:t>
            </w:r>
          </w:p>
        </w:tc>
        <w:tc>
          <w:tcPr>
            <w:tcW w:w="729" w:type="pct"/>
            <w:vAlign w:val="center"/>
          </w:tcPr>
          <w:p w14:paraId="5DA516F3" w14:textId="77777777" w:rsidR="007D1E74" w:rsidRDefault="00A95641">
            <w:pPr>
              <w:widowControl/>
              <w:jc w:val="center"/>
              <w:rPr>
                <w:rFonts w:cs="Times New Roman"/>
                <w:kern w:val="0"/>
                <w:szCs w:val="21"/>
              </w:rPr>
            </w:pPr>
            <w:r>
              <w:rPr>
                <w:rFonts w:cs="Times New Roman"/>
                <w:kern w:val="0"/>
                <w:szCs w:val="21"/>
              </w:rPr>
              <w:t>45775.01</w:t>
            </w:r>
          </w:p>
        </w:tc>
      </w:tr>
      <w:tr w:rsidR="007D1E74" w14:paraId="623994AB" w14:textId="77777777">
        <w:tc>
          <w:tcPr>
            <w:tcW w:w="268" w:type="pct"/>
            <w:vMerge/>
            <w:vAlign w:val="center"/>
          </w:tcPr>
          <w:p w14:paraId="21DF1D0D" w14:textId="77777777" w:rsidR="007D1E74" w:rsidRDefault="007D1E74">
            <w:pPr>
              <w:jc w:val="center"/>
              <w:rPr>
                <w:rFonts w:cs="Times New Roman"/>
                <w:szCs w:val="21"/>
              </w:rPr>
            </w:pPr>
          </w:p>
        </w:tc>
        <w:tc>
          <w:tcPr>
            <w:tcW w:w="491" w:type="pct"/>
            <w:vMerge/>
            <w:vAlign w:val="center"/>
          </w:tcPr>
          <w:p w14:paraId="076A35F2" w14:textId="77777777" w:rsidR="007D1E74" w:rsidRDefault="007D1E74">
            <w:pPr>
              <w:jc w:val="center"/>
              <w:rPr>
                <w:rFonts w:cs="Times New Roman"/>
                <w:szCs w:val="21"/>
              </w:rPr>
            </w:pPr>
          </w:p>
        </w:tc>
        <w:tc>
          <w:tcPr>
            <w:tcW w:w="1219" w:type="pct"/>
            <w:vAlign w:val="center"/>
          </w:tcPr>
          <w:p w14:paraId="10A43D90" w14:textId="77777777" w:rsidR="007D1E74" w:rsidRDefault="00A95641">
            <w:pPr>
              <w:widowControl/>
              <w:jc w:val="center"/>
              <w:rPr>
                <w:rFonts w:cs="Times New Roman"/>
                <w:kern w:val="0"/>
                <w:szCs w:val="21"/>
              </w:rPr>
            </w:pPr>
            <w:r>
              <w:rPr>
                <w:rFonts w:cs="Times New Roman"/>
                <w:kern w:val="0"/>
                <w:szCs w:val="21"/>
              </w:rPr>
              <w:t>4#</w:t>
            </w:r>
            <w:r>
              <w:rPr>
                <w:rFonts w:cs="Times New Roman"/>
                <w:kern w:val="0"/>
                <w:szCs w:val="21"/>
              </w:rPr>
              <w:t>清管阀组至草池增压站集输干线</w:t>
            </w:r>
          </w:p>
        </w:tc>
        <w:tc>
          <w:tcPr>
            <w:tcW w:w="381" w:type="pct"/>
            <w:vMerge/>
            <w:vAlign w:val="center"/>
          </w:tcPr>
          <w:p w14:paraId="07DA7D15" w14:textId="77777777" w:rsidR="007D1E74" w:rsidRDefault="007D1E74">
            <w:pPr>
              <w:jc w:val="center"/>
              <w:rPr>
                <w:rFonts w:cs="Times New Roman"/>
                <w:szCs w:val="21"/>
              </w:rPr>
            </w:pPr>
          </w:p>
        </w:tc>
        <w:tc>
          <w:tcPr>
            <w:tcW w:w="457" w:type="pct"/>
            <w:vMerge/>
            <w:vAlign w:val="center"/>
          </w:tcPr>
          <w:p w14:paraId="63FD31D8" w14:textId="77777777" w:rsidR="007D1E74" w:rsidRDefault="007D1E74">
            <w:pPr>
              <w:jc w:val="center"/>
              <w:rPr>
                <w:rFonts w:cs="Times New Roman"/>
                <w:szCs w:val="21"/>
              </w:rPr>
            </w:pPr>
          </w:p>
        </w:tc>
        <w:tc>
          <w:tcPr>
            <w:tcW w:w="727" w:type="pct"/>
            <w:vAlign w:val="center"/>
          </w:tcPr>
          <w:p w14:paraId="036E138C" w14:textId="77777777" w:rsidR="007D1E74" w:rsidRDefault="00A95641">
            <w:pPr>
              <w:jc w:val="center"/>
              <w:rPr>
                <w:szCs w:val="21"/>
              </w:rPr>
            </w:pPr>
            <w:r>
              <w:rPr>
                <w:rFonts w:hint="eastAsia"/>
                <w:szCs w:val="21"/>
              </w:rPr>
              <w:t>70.74</w:t>
            </w:r>
          </w:p>
        </w:tc>
        <w:tc>
          <w:tcPr>
            <w:tcW w:w="727" w:type="pct"/>
            <w:vAlign w:val="center"/>
          </w:tcPr>
          <w:p w14:paraId="30F0A0CD" w14:textId="77777777" w:rsidR="007D1E74" w:rsidRDefault="00A95641">
            <w:pPr>
              <w:jc w:val="center"/>
              <w:rPr>
                <w:rFonts w:cs="Times New Roman"/>
                <w:szCs w:val="21"/>
              </w:rPr>
            </w:pPr>
            <w:r>
              <w:rPr>
                <w:rFonts w:cs="Times New Roman" w:hint="eastAsia"/>
                <w:szCs w:val="21"/>
              </w:rPr>
              <w:t>2</w:t>
            </w:r>
            <w:r>
              <w:rPr>
                <w:rFonts w:cs="Times New Roman"/>
                <w:szCs w:val="21"/>
              </w:rPr>
              <w:t>0</w:t>
            </w:r>
          </w:p>
        </w:tc>
        <w:tc>
          <w:tcPr>
            <w:tcW w:w="729" w:type="pct"/>
            <w:vAlign w:val="center"/>
          </w:tcPr>
          <w:p w14:paraId="1A55A221" w14:textId="77777777" w:rsidR="007D1E74" w:rsidRDefault="00A95641">
            <w:pPr>
              <w:widowControl/>
              <w:jc w:val="center"/>
              <w:rPr>
                <w:rFonts w:cs="Times New Roman"/>
                <w:kern w:val="0"/>
                <w:szCs w:val="21"/>
              </w:rPr>
            </w:pPr>
            <w:r>
              <w:rPr>
                <w:rFonts w:cs="Times New Roman"/>
                <w:kern w:val="0"/>
                <w:szCs w:val="21"/>
              </w:rPr>
              <w:t>84882.00</w:t>
            </w:r>
          </w:p>
        </w:tc>
      </w:tr>
      <w:tr w:rsidR="007D1E74" w14:paraId="0B79F310" w14:textId="77777777">
        <w:tc>
          <w:tcPr>
            <w:tcW w:w="268" w:type="pct"/>
            <w:vMerge w:val="restart"/>
            <w:vAlign w:val="center"/>
          </w:tcPr>
          <w:p w14:paraId="5609454D" w14:textId="77777777" w:rsidR="007D1E74" w:rsidRDefault="00A95641">
            <w:pPr>
              <w:jc w:val="center"/>
              <w:rPr>
                <w:rFonts w:cs="Times New Roman"/>
                <w:szCs w:val="21"/>
              </w:rPr>
            </w:pPr>
            <w:r>
              <w:rPr>
                <w:rFonts w:cs="Times New Roman" w:hint="eastAsia"/>
                <w:szCs w:val="21"/>
              </w:rPr>
              <w:t>2</w:t>
            </w:r>
          </w:p>
        </w:tc>
        <w:tc>
          <w:tcPr>
            <w:tcW w:w="491" w:type="pct"/>
            <w:vMerge w:val="restart"/>
            <w:vAlign w:val="center"/>
          </w:tcPr>
          <w:p w14:paraId="3CB48B5E" w14:textId="77777777" w:rsidR="007D1E74" w:rsidRDefault="00A95641">
            <w:pPr>
              <w:jc w:val="center"/>
              <w:rPr>
                <w:rFonts w:cs="Times New Roman"/>
                <w:szCs w:val="21"/>
              </w:rPr>
            </w:pPr>
            <w:r>
              <w:rPr>
                <w:rFonts w:cs="Times New Roman" w:hint="eastAsia"/>
                <w:szCs w:val="21"/>
              </w:rPr>
              <w:t>火灾伴生</w:t>
            </w:r>
            <w:r>
              <w:rPr>
                <w:rFonts w:cs="Times New Roman" w:hint="eastAsia"/>
                <w:szCs w:val="21"/>
              </w:rPr>
              <w:t>/</w:t>
            </w:r>
            <w:r>
              <w:rPr>
                <w:rFonts w:cs="Times New Roman" w:hint="eastAsia"/>
                <w:szCs w:val="21"/>
              </w:rPr>
              <w:t>次生污染</w:t>
            </w:r>
          </w:p>
        </w:tc>
        <w:tc>
          <w:tcPr>
            <w:tcW w:w="1219" w:type="pct"/>
            <w:vAlign w:val="center"/>
          </w:tcPr>
          <w:p w14:paraId="75535A4E" w14:textId="77777777" w:rsidR="007D1E74" w:rsidRDefault="00A95641">
            <w:pPr>
              <w:widowControl/>
              <w:jc w:val="center"/>
              <w:rPr>
                <w:rFonts w:cs="Times New Roman"/>
                <w:kern w:val="0"/>
                <w:szCs w:val="21"/>
              </w:rPr>
            </w:pPr>
            <w:r>
              <w:rPr>
                <w:rFonts w:cs="Times New Roman"/>
                <w:kern w:val="0"/>
                <w:szCs w:val="21"/>
              </w:rPr>
              <w:t>1#</w:t>
            </w:r>
            <w:r>
              <w:rPr>
                <w:rFonts w:cs="Times New Roman"/>
                <w:kern w:val="0"/>
                <w:szCs w:val="21"/>
              </w:rPr>
              <w:t>阀室至马</w:t>
            </w:r>
            <w:r>
              <w:rPr>
                <w:rFonts w:cs="Times New Roman"/>
                <w:kern w:val="0"/>
                <w:szCs w:val="21"/>
              </w:rPr>
              <w:t>1-11</w:t>
            </w:r>
            <w:r>
              <w:rPr>
                <w:rFonts w:cs="Times New Roman"/>
                <w:kern w:val="0"/>
                <w:szCs w:val="21"/>
              </w:rPr>
              <w:t>脱水井场集输干线</w:t>
            </w:r>
          </w:p>
        </w:tc>
        <w:tc>
          <w:tcPr>
            <w:tcW w:w="381" w:type="pct"/>
            <w:vMerge w:val="restart"/>
            <w:vAlign w:val="center"/>
          </w:tcPr>
          <w:p w14:paraId="19BC5547" w14:textId="77777777" w:rsidR="007D1E74" w:rsidRDefault="00A95641">
            <w:pPr>
              <w:jc w:val="center"/>
              <w:rPr>
                <w:rFonts w:cs="Times New Roman"/>
                <w:szCs w:val="21"/>
              </w:rPr>
            </w:pPr>
            <w:r>
              <w:rPr>
                <w:rFonts w:cs="Times New Roman"/>
                <w:szCs w:val="21"/>
              </w:rPr>
              <w:t>一氧化碳</w:t>
            </w:r>
          </w:p>
        </w:tc>
        <w:tc>
          <w:tcPr>
            <w:tcW w:w="457" w:type="pct"/>
            <w:vMerge w:val="restart"/>
            <w:vAlign w:val="center"/>
          </w:tcPr>
          <w:p w14:paraId="692050D8" w14:textId="77777777" w:rsidR="007D1E74" w:rsidRDefault="00A95641">
            <w:pPr>
              <w:jc w:val="center"/>
              <w:rPr>
                <w:rFonts w:cs="Times New Roman"/>
                <w:szCs w:val="21"/>
              </w:rPr>
            </w:pPr>
            <w:r>
              <w:rPr>
                <w:rFonts w:cs="Times New Roman"/>
                <w:szCs w:val="21"/>
              </w:rPr>
              <w:t>大气</w:t>
            </w:r>
          </w:p>
        </w:tc>
        <w:tc>
          <w:tcPr>
            <w:tcW w:w="727" w:type="pct"/>
            <w:vAlign w:val="center"/>
          </w:tcPr>
          <w:p w14:paraId="17CA5652" w14:textId="77777777" w:rsidR="007D1E74" w:rsidRDefault="00A95641">
            <w:pPr>
              <w:widowControl/>
              <w:jc w:val="center"/>
              <w:rPr>
                <w:rFonts w:cs="Times New Roman"/>
                <w:szCs w:val="21"/>
              </w:rPr>
            </w:pPr>
            <w:r>
              <w:rPr>
                <w:rFonts w:cs="Times New Roman"/>
                <w:szCs w:val="21"/>
              </w:rPr>
              <w:t>3.25E-04</w:t>
            </w:r>
          </w:p>
        </w:tc>
        <w:tc>
          <w:tcPr>
            <w:tcW w:w="727" w:type="pct"/>
            <w:vAlign w:val="center"/>
          </w:tcPr>
          <w:p w14:paraId="485E5830" w14:textId="77777777" w:rsidR="007D1E74" w:rsidRDefault="00A95641">
            <w:pPr>
              <w:jc w:val="center"/>
              <w:rPr>
                <w:rFonts w:cs="Times New Roman"/>
                <w:szCs w:val="21"/>
              </w:rPr>
            </w:pPr>
            <w:r>
              <w:rPr>
                <w:rFonts w:cs="Times New Roman"/>
                <w:szCs w:val="21"/>
              </w:rPr>
              <w:t>20</w:t>
            </w:r>
          </w:p>
        </w:tc>
        <w:tc>
          <w:tcPr>
            <w:tcW w:w="729" w:type="pct"/>
            <w:vAlign w:val="center"/>
          </w:tcPr>
          <w:p w14:paraId="6669FF74" w14:textId="77777777" w:rsidR="007D1E74" w:rsidRDefault="00A95641">
            <w:pPr>
              <w:jc w:val="center"/>
              <w:rPr>
                <w:rFonts w:cs="Times New Roman"/>
                <w:szCs w:val="21"/>
              </w:rPr>
            </w:pPr>
            <w:r>
              <w:rPr>
                <w:rFonts w:cs="Times New Roman"/>
                <w:szCs w:val="21"/>
              </w:rPr>
              <w:t>0.3900</w:t>
            </w:r>
          </w:p>
        </w:tc>
      </w:tr>
      <w:tr w:rsidR="007D1E74" w14:paraId="63284CA5" w14:textId="77777777">
        <w:tc>
          <w:tcPr>
            <w:tcW w:w="268" w:type="pct"/>
            <w:vMerge/>
            <w:vAlign w:val="center"/>
          </w:tcPr>
          <w:p w14:paraId="606E7232" w14:textId="77777777" w:rsidR="007D1E74" w:rsidRDefault="007D1E74">
            <w:pPr>
              <w:jc w:val="center"/>
              <w:rPr>
                <w:rFonts w:cs="Times New Roman"/>
                <w:szCs w:val="21"/>
              </w:rPr>
            </w:pPr>
          </w:p>
        </w:tc>
        <w:tc>
          <w:tcPr>
            <w:tcW w:w="491" w:type="pct"/>
            <w:vMerge/>
            <w:vAlign w:val="center"/>
          </w:tcPr>
          <w:p w14:paraId="081FC9A6" w14:textId="77777777" w:rsidR="007D1E74" w:rsidRDefault="007D1E74">
            <w:pPr>
              <w:jc w:val="center"/>
              <w:rPr>
                <w:rFonts w:cs="Times New Roman"/>
                <w:szCs w:val="21"/>
              </w:rPr>
            </w:pPr>
          </w:p>
        </w:tc>
        <w:tc>
          <w:tcPr>
            <w:tcW w:w="1219" w:type="pct"/>
            <w:vAlign w:val="center"/>
          </w:tcPr>
          <w:p w14:paraId="4687A4D8" w14:textId="77777777" w:rsidR="007D1E74" w:rsidRDefault="00A95641">
            <w:pPr>
              <w:widowControl/>
              <w:jc w:val="center"/>
              <w:rPr>
                <w:rFonts w:cs="Times New Roman"/>
                <w:kern w:val="0"/>
                <w:szCs w:val="21"/>
              </w:rPr>
            </w:pPr>
            <w:r>
              <w:rPr>
                <w:rFonts w:cs="Times New Roman"/>
                <w:kern w:val="0"/>
                <w:szCs w:val="21"/>
              </w:rPr>
              <w:t>马</w:t>
            </w:r>
            <w:r>
              <w:rPr>
                <w:rFonts w:cs="Times New Roman"/>
                <w:kern w:val="0"/>
                <w:szCs w:val="21"/>
              </w:rPr>
              <w:t>1-10H</w:t>
            </w:r>
            <w:r>
              <w:rPr>
                <w:rFonts w:cs="Times New Roman"/>
                <w:kern w:val="0"/>
                <w:szCs w:val="21"/>
              </w:rPr>
              <w:t>采气井场至马</w:t>
            </w:r>
            <w:r>
              <w:rPr>
                <w:rFonts w:cs="Times New Roman"/>
                <w:kern w:val="0"/>
                <w:szCs w:val="21"/>
              </w:rPr>
              <w:t>1-1</w:t>
            </w:r>
            <w:r>
              <w:rPr>
                <w:rFonts w:cs="Times New Roman"/>
                <w:kern w:val="0"/>
                <w:szCs w:val="21"/>
              </w:rPr>
              <w:t>集气支线</w:t>
            </w:r>
          </w:p>
        </w:tc>
        <w:tc>
          <w:tcPr>
            <w:tcW w:w="381" w:type="pct"/>
            <w:vMerge/>
            <w:vAlign w:val="center"/>
          </w:tcPr>
          <w:p w14:paraId="5CCBCD81" w14:textId="77777777" w:rsidR="007D1E74" w:rsidRDefault="007D1E74">
            <w:pPr>
              <w:jc w:val="center"/>
              <w:rPr>
                <w:rFonts w:cs="Times New Roman"/>
                <w:szCs w:val="21"/>
              </w:rPr>
            </w:pPr>
          </w:p>
        </w:tc>
        <w:tc>
          <w:tcPr>
            <w:tcW w:w="457" w:type="pct"/>
            <w:vMerge/>
            <w:vAlign w:val="center"/>
          </w:tcPr>
          <w:p w14:paraId="1197C24E" w14:textId="77777777" w:rsidR="007D1E74" w:rsidRDefault="007D1E74">
            <w:pPr>
              <w:jc w:val="center"/>
              <w:rPr>
                <w:rFonts w:cs="Times New Roman"/>
                <w:szCs w:val="21"/>
              </w:rPr>
            </w:pPr>
          </w:p>
        </w:tc>
        <w:tc>
          <w:tcPr>
            <w:tcW w:w="727" w:type="pct"/>
            <w:vAlign w:val="center"/>
          </w:tcPr>
          <w:p w14:paraId="0605E828" w14:textId="77777777" w:rsidR="007D1E74" w:rsidRDefault="00A95641">
            <w:pPr>
              <w:jc w:val="center"/>
              <w:rPr>
                <w:rFonts w:cs="Times New Roman"/>
                <w:szCs w:val="21"/>
              </w:rPr>
            </w:pPr>
            <w:r>
              <w:rPr>
                <w:rFonts w:cs="Times New Roman"/>
                <w:szCs w:val="21"/>
              </w:rPr>
              <w:t>2.74E-05</w:t>
            </w:r>
          </w:p>
        </w:tc>
        <w:tc>
          <w:tcPr>
            <w:tcW w:w="727" w:type="pct"/>
            <w:vAlign w:val="center"/>
          </w:tcPr>
          <w:p w14:paraId="2BA7F464" w14:textId="77777777" w:rsidR="007D1E74" w:rsidRDefault="00A95641">
            <w:pPr>
              <w:jc w:val="center"/>
              <w:rPr>
                <w:rFonts w:cs="Times New Roman"/>
                <w:szCs w:val="21"/>
              </w:rPr>
            </w:pPr>
            <w:r>
              <w:rPr>
                <w:rFonts w:cs="Times New Roman"/>
                <w:szCs w:val="21"/>
              </w:rPr>
              <w:t>20</w:t>
            </w:r>
          </w:p>
        </w:tc>
        <w:tc>
          <w:tcPr>
            <w:tcW w:w="729" w:type="pct"/>
            <w:vAlign w:val="center"/>
          </w:tcPr>
          <w:p w14:paraId="65575A19" w14:textId="77777777" w:rsidR="007D1E74" w:rsidRDefault="00A95641">
            <w:pPr>
              <w:jc w:val="center"/>
              <w:rPr>
                <w:rFonts w:cs="Times New Roman"/>
                <w:szCs w:val="21"/>
              </w:rPr>
            </w:pPr>
            <w:r>
              <w:rPr>
                <w:rFonts w:cs="Times New Roman"/>
                <w:szCs w:val="21"/>
              </w:rPr>
              <w:t>0.0329</w:t>
            </w:r>
          </w:p>
        </w:tc>
      </w:tr>
      <w:tr w:rsidR="007D1E74" w14:paraId="332A68FF" w14:textId="77777777">
        <w:tc>
          <w:tcPr>
            <w:tcW w:w="268" w:type="pct"/>
            <w:vMerge/>
            <w:vAlign w:val="center"/>
          </w:tcPr>
          <w:p w14:paraId="1C112E6F" w14:textId="77777777" w:rsidR="007D1E74" w:rsidRDefault="007D1E74">
            <w:pPr>
              <w:jc w:val="center"/>
              <w:rPr>
                <w:rFonts w:cs="Times New Roman"/>
                <w:szCs w:val="21"/>
              </w:rPr>
            </w:pPr>
          </w:p>
        </w:tc>
        <w:tc>
          <w:tcPr>
            <w:tcW w:w="491" w:type="pct"/>
            <w:vMerge/>
            <w:vAlign w:val="center"/>
          </w:tcPr>
          <w:p w14:paraId="5A2F1FA8" w14:textId="77777777" w:rsidR="007D1E74" w:rsidRDefault="007D1E74">
            <w:pPr>
              <w:jc w:val="center"/>
              <w:rPr>
                <w:rFonts w:cs="Times New Roman"/>
                <w:szCs w:val="21"/>
              </w:rPr>
            </w:pPr>
          </w:p>
        </w:tc>
        <w:tc>
          <w:tcPr>
            <w:tcW w:w="1219" w:type="pct"/>
            <w:vAlign w:val="center"/>
          </w:tcPr>
          <w:p w14:paraId="5CDE46DF" w14:textId="77777777" w:rsidR="007D1E74" w:rsidRDefault="00A95641">
            <w:pPr>
              <w:widowControl/>
              <w:jc w:val="center"/>
              <w:rPr>
                <w:rFonts w:cs="Times New Roman"/>
                <w:kern w:val="0"/>
                <w:szCs w:val="21"/>
              </w:rPr>
            </w:pPr>
            <w:r>
              <w:rPr>
                <w:rFonts w:cs="Times New Roman"/>
                <w:kern w:val="0"/>
                <w:szCs w:val="21"/>
              </w:rPr>
              <w:t>马</w:t>
            </w:r>
            <w:r>
              <w:rPr>
                <w:rFonts w:cs="Times New Roman"/>
                <w:kern w:val="0"/>
                <w:szCs w:val="21"/>
              </w:rPr>
              <w:t>1-1</w:t>
            </w:r>
            <w:r>
              <w:rPr>
                <w:rFonts w:cs="Times New Roman"/>
                <w:kern w:val="0"/>
                <w:szCs w:val="21"/>
              </w:rPr>
              <w:t>采气井场至干线集气支线</w:t>
            </w:r>
          </w:p>
        </w:tc>
        <w:tc>
          <w:tcPr>
            <w:tcW w:w="381" w:type="pct"/>
            <w:vMerge/>
            <w:vAlign w:val="center"/>
          </w:tcPr>
          <w:p w14:paraId="5651C6DB" w14:textId="77777777" w:rsidR="007D1E74" w:rsidRDefault="007D1E74">
            <w:pPr>
              <w:jc w:val="center"/>
              <w:rPr>
                <w:rFonts w:cs="Times New Roman"/>
                <w:szCs w:val="21"/>
              </w:rPr>
            </w:pPr>
          </w:p>
        </w:tc>
        <w:tc>
          <w:tcPr>
            <w:tcW w:w="457" w:type="pct"/>
            <w:vMerge/>
            <w:vAlign w:val="center"/>
          </w:tcPr>
          <w:p w14:paraId="1A46A457" w14:textId="77777777" w:rsidR="007D1E74" w:rsidRDefault="007D1E74">
            <w:pPr>
              <w:jc w:val="center"/>
              <w:rPr>
                <w:rFonts w:cs="Times New Roman"/>
                <w:szCs w:val="21"/>
              </w:rPr>
            </w:pPr>
          </w:p>
        </w:tc>
        <w:tc>
          <w:tcPr>
            <w:tcW w:w="727" w:type="pct"/>
            <w:vAlign w:val="center"/>
          </w:tcPr>
          <w:p w14:paraId="231B5CD9" w14:textId="77777777" w:rsidR="007D1E74" w:rsidRDefault="00A95641">
            <w:pPr>
              <w:jc w:val="center"/>
              <w:rPr>
                <w:rFonts w:cs="Times New Roman"/>
                <w:szCs w:val="21"/>
              </w:rPr>
            </w:pPr>
            <w:r>
              <w:rPr>
                <w:rFonts w:cs="Times New Roman"/>
                <w:szCs w:val="21"/>
              </w:rPr>
              <w:t>1.84E-05</w:t>
            </w:r>
          </w:p>
        </w:tc>
        <w:tc>
          <w:tcPr>
            <w:tcW w:w="727" w:type="pct"/>
            <w:vAlign w:val="center"/>
          </w:tcPr>
          <w:p w14:paraId="6BC5AFFF" w14:textId="77777777" w:rsidR="007D1E74" w:rsidRDefault="00A95641">
            <w:pPr>
              <w:jc w:val="center"/>
              <w:rPr>
                <w:rFonts w:cs="Times New Roman"/>
                <w:szCs w:val="21"/>
              </w:rPr>
            </w:pPr>
            <w:r>
              <w:rPr>
                <w:rFonts w:cs="Times New Roman"/>
                <w:szCs w:val="21"/>
              </w:rPr>
              <w:t>20</w:t>
            </w:r>
          </w:p>
        </w:tc>
        <w:tc>
          <w:tcPr>
            <w:tcW w:w="729" w:type="pct"/>
            <w:vAlign w:val="center"/>
          </w:tcPr>
          <w:p w14:paraId="19FDA833" w14:textId="77777777" w:rsidR="007D1E74" w:rsidRDefault="00A95641">
            <w:pPr>
              <w:jc w:val="center"/>
              <w:rPr>
                <w:rFonts w:cs="Times New Roman"/>
                <w:szCs w:val="21"/>
              </w:rPr>
            </w:pPr>
            <w:r>
              <w:rPr>
                <w:rFonts w:cs="Times New Roman"/>
                <w:szCs w:val="21"/>
              </w:rPr>
              <w:t>0.0222</w:t>
            </w:r>
          </w:p>
        </w:tc>
      </w:tr>
      <w:tr w:rsidR="007D1E74" w14:paraId="76BA464F" w14:textId="77777777">
        <w:tc>
          <w:tcPr>
            <w:tcW w:w="268" w:type="pct"/>
            <w:vMerge/>
            <w:vAlign w:val="center"/>
          </w:tcPr>
          <w:p w14:paraId="7D0AC883" w14:textId="77777777" w:rsidR="007D1E74" w:rsidRDefault="007D1E74">
            <w:pPr>
              <w:jc w:val="center"/>
              <w:rPr>
                <w:rFonts w:cs="Times New Roman"/>
                <w:szCs w:val="21"/>
              </w:rPr>
            </w:pPr>
          </w:p>
        </w:tc>
        <w:tc>
          <w:tcPr>
            <w:tcW w:w="491" w:type="pct"/>
            <w:vMerge/>
            <w:vAlign w:val="center"/>
          </w:tcPr>
          <w:p w14:paraId="21BB4D8A" w14:textId="77777777" w:rsidR="007D1E74" w:rsidRDefault="007D1E74">
            <w:pPr>
              <w:jc w:val="center"/>
              <w:rPr>
                <w:rFonts w:cs="Times New Roman"/>
                <w:szCs w:val="21"/>
              </w:rPr>
            </w:pPr>
          </w:p>
        </w:tc>
        <w:tc>
          <w:tcPr>
            <w:tcW w:w="1219" w:type="pct"/>
            <w:vAlign w:val="center"/>
          </w:tcPr>
          <w:p w14:paraId="299A7C07" w14:textId="77777777" w:rsidR="007D1E74" w:rsidRDefault="00A95641">
            <w:pPr>
              <w:widowControl/>
              <w:jc w:val="center"/>
              <w:rPr>
                <w:rFonts w:cs="Times New Roman"/>
                <w:kern w:val="0"/>
                <w:szCs w:val="21"/>
              </w:rPr>
            </w:pPr>
            <w:r>
              <w:rPr>
                <w:rFonts w:cs="Times New Roman"/>
                <w:kern w:val="0"/>
                <w:szCs w:val="21"/>
              </w:rPr>
              <w:t>马</w:t>
            </w:r>
            <w:r>
              <w:rPr>
                <w:rFonts w:cs="Times New Roman"/>
                <w:kern w:val="0"/>
                <w:szCs w:val="21"/>
              </w:rPr>
              <w:t>1-13H</w:t>
            </w:r>
            <w:r>
              <w:rPr>
                <w:rFonts w:cs="Times New Roman"/>
                <w:kern w:val="0"/>
                <w:szCs w:val="21"/>
              </w:rPr>
              <w:t>采气井场至干线集气支线</w:t>
            </w:r>
          </w:p>
        </w:tc>
        <w:tc>
          <w:tcPr>
            <w:tcW w:w="381" w:type="pct"/>
            <w:vMerge/>
            <w:vAlign w:val="center"/>
          </w:tcPr>
          <w:p w14:paraId="2694EAAB" w14:textId="77777777" w:rsidR="007D1E74" w:rsidRDefault="007D1E74">
            <w:pPr>
              <w:jc w:val="center"/>
              <w:rPr>
                <w:rFonts w:cs="Times New Roman"/>
                <w:szCs w:val="21"/>
              </w:rPr>
            </w:pPr>
          </w:p>
        </w:tc>
        <w:tc>
          <w:tcPr>
            <w:tcW w:w="457" w:type="pct"/>
            <w:vMerge/>
            <w:vAlign w:val="center"/>
          </w:tcPr>
          <w:p w14:paraId="39FB5898" w14:textId="77777777" w:rsidR="007D1E74" w:rsidRDefault="007D1E74">
            <w:pPr>
              <w:jc w:val="center"/>
              <w:rPr>
                <w:rFonts w:cs="Times New Roman"/>
                <w:szCs w:val="21"/>
              </w:rPr>
            </w:pPr>
          </w:p>
        </w:tc>
        <w:tc>
          <w:tcPr>
            <w:tcW w:w="727" w:type="pct"/>
            <w:vAlign w:val="center"/>
          </w:tcPr>
          <w:p w14:paraId="7A829B14" w14:textId="77777777" w:rsidR="007D1E74" w:rsidRDefault="00A95641">
            <w:pPr>
              <w:jc w:val="center"/>
              <w:rPr>
                <w:rFonts w:cs="Times New Roman"/>
                <w:szCs w:val="21"/>
              </w:rPr>
            </w:pPr>
            <w:r>
              <w:rPr>
                <w:rFonts w:cs="Times New Roman"/>
                <w:szCs w:val="21"/>
              </w:rPr>
              <w:t>1.88E-05</w:t>
            </w:r>
          </w:p>
        </w:tc>
        <w:tc>
          <w:tcPr>
            <w:tcW w:w="727" w:type="pct"/>
            <w:vAlign w:val="center"/>
          </w:tcPr>
          <w:p w14:paraId="7F8442A0" w14:textId="77777777" w:rsidR="007D1E74" w:rsidRDefault="00A95641">
            <w:pPr>
              <w:jc w:val="center"/>
              <w:rPr>
                <w:rFonts w:cs="Times New Roman"/>
                <w:szCs w:val="21"/>
              </w:rPr>
            </w:pPr>
            <w:r>
              <w:rPr>
                <w:rFonts w:cs="Times New Roman"/>
                <w:szCs w:val="21"/>
              </w:rPr>
              <w:t>20</w:t>
            </w:r>
          </w:p>
        </w:tc>
        <w:tc>
          <w:tcPr>
            <w:tcW w:w="729" w:type="pct"/>
            <w:vAlign w:val="center"/>
          </w:tcPr>
          <w:p w14:paraId="0FFCF7C7" w14:textId="77777777" w:rsidR="007D1E74" w:rsidRDefault="00A95641">
            <w:pPr>
              <w:jc w:val="center"/>
              <w:rPr>
                <w:rFonts w:cs="Times New Roman"/>
                <w:szCs w:val="21"/>
              </w:rPr>
            </w:pPr>
            <w:r>
              <w:rPr>
                <w:rFonts w:cs="Times New Roman"/>
                <w:szCs w:val="21"/>
              </w:rPr>
              <w:t>0.0225</w:t>
            </w:r>
          </w:p>
        </w:tc>
      </w:tr>
      <w:tr w:rsidR="007D1E74" w14:paraId="5445080C" w14:textId="77777777">
        <w:tc>
          <w:tcPr>
            <w:tcW w:w="268" w:type="pct"/>
            <w:vMerge/>
            <w:vAlign w:val="center"/>
          </w:tcPr>
          <w:p w14:paraId="63284DAB" w14:textId="77777777" w:rsidR="007D1E74" w:rsidRDefault="007D1E74">
            <w:pPr>
              <w:jc w:val="center"/>
              <w:rPr>
                <w:rFonts w:cs="Times New Roman"/>
                <w:szCs w:val="21"/>
              </w:rPr>
            </w:pPr>
          </w:p>
        </w:tc>
        <w:tc>
          <w:tcPr>
            <w:tcW w:w="491" w:type="pct"/>
            <w:vMerge/>
            <w:vAlign w:val="center"/>
          </w:tcPr>
          <w:p w14:paraId="1C387476" w14:textId="77777777" w:rsidR="007D1E74" w:rsidRDefault="007D1E74">
            <w:pPr>
              <w:jc w:val="center"/>
              <w:rPr>
                <w:rFonts w:cs="Times New Roman"/>
                <w:szCs w:val="21"/>
              </w:rPr>
            </w:pPr>
          </w:p>
        </w:tc>
        <w:tc>
          <w:tcPr>
            <w:tcW w:w="1219" w:type="pct"/>
            <w:vAlign w:val="center"/>
          </w:tcPr>
          <w:p w14:paraId="3CD89674" w14:textId="77777777" w:rsidR="007D1E74" w:rsidRDefault="00A95641">
            <w:pPr>
              <w:widowControl/>
              <w:jc w:val="center"/>
              <w:rPr>
                <w:rFonts w:cs="Times New Roman"/>
                <w:kern w:val="0"/>
                <w:szCs w:val="21"/>
              </w:rPr>
            </w:pPr>
            <w:r>
              <w:rPr>
                <w:rFonts w:cs="Times New Roman"/>
                <w:kern w:val="0"/>
                <w:szCs w:val="21"/>
              </w:rPr>
              <w:t>马</w:t>
            </w:r>
            <w:r>
              <w:rPr>
                <w:rFonts w:cs="Times New Roman"/>
                <w:kern w:val="0"/>
                <w:szCs w:val="21"/>
              </w:rPr>
              <w:t>1-12H</w:t>
            </w:r>
            <w:r>
              <w:rPr>
                <w:rFonts w:cs="Times New Roman"/>
                <w:kern w:val="0"/>
                <w:szCs w:val="21"/>
              </w:rPr>
              <w:t>采气井场至干线集气支线</w:t>
            </w:r>
          </w:p>
        </w:tc>
        <w:tc>
          <w:tcPr>
            <w:tcW w:w="381" w:type="pct"/>
            <w:vMerge/>
            <w:vAlign w:val="center"/>
          </w:tcPr>
          <w:p w14:paraId="5C10B3D6" w14:textId="77777777" w:rsidR="007D1E74" w:rsidRDefault="007D1E74">
            <w:pPr>
              <w:jc w:val="center"/>
              <w:rPr>
                <w:rFonts w:cs="Times New Roman"/>
                <w:szCs w:val="21"/>
              </w:rPr>
            </w:pPr>
          </w:p>
        </w:tc>
        <w:tc>
          <w:tcPr>
            <w:tcW w:w="457" w:type="pct"/>
            <w:vMerge/>
            <w:vAlign w:val="center"/>
          </w:tcPr>
          <w:p w14:paraId="07CFEE77" w14:textId="77777777" w:rsidR="007D1E74" w:rsidRDefault="007D1E74">
            <w:pPr>
              <w:jc w:val="center"/>
              <w:rPr>
                <w:rFonts w:cs="Times New Roman"/>
                <w:szCs w:val="21"/>
              </w:rPr>
            </w:pPr>
          </w:p>
        </w:tc>
        <w:tc>
          <w:tcPr>
            <w:tcW w:w="727" w:type="pct"/>
            <w:vAlign w:val="center"/>
          </w:tcPr>
          <w:p w14:paraId="4EFBF6EA" w14:textId="77777777" w:rsidR="007D1E74" w:rsidRDefault="00A95641">
            <w:pPr>
              <w:jc w:val="center"/>
              <w:rPr>
                <w:rFonts w:cs="Times New Roman"/>
                <w:szCs w:val="21"/>
              </w:rPr>
            </w:pPr>
            <w:r>
              <w:rPr>
                <w:rFonts w:cs="Times New Roman"/>
                <w:szCs w:val="21"/>
              </w:rPr>
              <w:t>4.82E-05</w:t>
            </w:r>
          </w:p>
        </w:tc>
        <w:tc>
          <w:tcPr>
            <w:tcW w:w="727" w:type="pct"/>
            <w:vAlign w:val="center"/>
          </w:tcPr>
          <w:p w14:paraId="333C44E0" w14:textId="77777777" w:rsidR="007D1E74" w:rsidRDefault="00A95641">
            <w:pPr>
              <w:jc w:val="center"/>
              <w:rPr>
                <w:rFonts w:cs="Times New Roman"/>
                <w:szCs w:val="21"/>
              </w:rPr>
            </w:pPr>
            <w:r>
              <w:rPr>
                <w:rFonts w:cs="Times New Roman"/>
                <w:szCs w:val="21"/>
              </w:rPr>
              <w:t>20</w:t>
            </w:r>
          </w:p>
        </w:tc>
        <w:tc>
          <w:tcPr>
            <w:tcW w:w="729" w:type="pct"/>
            <w:vAlign w:val="center"/>
          </w:tcPr>
          <w:p w14:paraId="2A2B255C" w14:textId="77777777" w:rsidR="007D1E74" w:rsidRDefault="00A95641">
            <w:pPr>
              <w:jc w:val="center"/>
              <w:rPr>
                <w:rFonts w:cs="Times New Roman"/>
                <w:szCs w:val="21"/>
              </w:rPr>
            </w:pPr>
            <w:r>
              <w:rPr>
                <w:rFonts w:cs="Times New Roman"/>
                <w:szCs w:val="21"/>
              </w:rPr>
              <w:t>0.0578</w:t>
            </w:r>
          </w:p>
        </w:tc>
      </w:tr>
      <w:tr w:rsidR="007D1E74" w14:paraId="7884A068" w14:textId="77777777">
        <w:tc>
          <w:tcPr>
            <w:tcW w:w="268" w:type="pct"/>
            <w:vMerge/>
            <w:vAlign w:val="center"/>
          </w:tcPr>
          <w:p w14:paraId="77529517" w14:textId="77777777" w:rsidR="007D1E74" w:rsidRDefault="007D1E74">
            <w:pPr>
              <w:jc w:val="center"/>
              <w:rPr>
                <w:rFonts w:cs="Times New Roman"/>
                <w:szCs w:val="21"/>
              </w:rPr>
            </w:pPr>
          </w:p>
        </w:tc>
        <w:tc>
          <w:tcPr>
            <w:tcW w:w="491" w:type="pct"/>
            <w:vMerge/>
            <w:vAlign w:val="center"/>
          </w:tcPr>
          <w:p w14:paraId="362E804D" w14:textId="77777777" w:rsidR="007D1E74" w:rsidRDefault="007D1E74">
            <w:pPr>
              <w:jc w:val="center"/>
              <w:rPr>
                <w:rFonts w:cs="Times New Roman"/>
                <w:szCs w:val="21"/>
              </w:rPr>
            </w:pPr>
          </w:p>
        </w:tc>
        <w:tc>
          <w:tcPr>
            <w:tcW w:w="1219" w:type="pct"/>
            <w:vAlign w:val="center"/>
          </w:tcPr>
          <w:p w14:paraId="30FCE802" w14:textId="77777777" w:rsidR="007D1E74" w:rsidRDefault="00A95641">
            <w:pPr>
              <w:widowControl/>
              <w:jc w:val="center"/>
              <w:rPr>
                <w:rFonts w:cs="Times New Roman"/>
                <w:kern w:val="0"/>
                <w:szCs w:val="21"/>
              </w:rPr>
            </w:pPr>
            <w:r>
              <w:rPr>
                <w:rFonts w:cs="Times New Roman"/>
                <w:kern w:val="0"/>
                <w:szCs w:val="21"/>
              </w:rPr>
              <w:t>马</w:t>
            </w:r>
            <w:r>
              <w:rPr>
                <w:rFonts w:cs="Times New Roman"/>
                <w:kern w:val="0"/>
                <w:szCs w:val="21"/>
              </w:rPr>
              <w:t>1-11</w:t>
            </w:r>
            <w:r>
              <w:rPr>
                <w:rFonts w:cs="Times New Roman"/>
                <w:kern w:val="0"/>
                <w:szCs w:val="21"/>
              </w:rPr>
              <w:t>脱水井场至</w:t>
            </w:r>
            <w:r>
              <w:rPr>
                <w:rFonts w:cs="Times New Roman"/>
                <w:kern w:val="0"/>
                <w:szCs w:val="21"/>
              </w:rPr>
              <w:t>4#</w:t>
            </w:r>
            <w:r>
              <w:rPr>
                <w:rFonts w:cs="Times New Roman"/>
                <w:kern w:val="0"/>
                <w:szCs w:val="21"/>
              </w:rPr>
              <w:t>清管阀组集输干线</w:t>
            </w:r>
          </w:p>
        </w:tc>
        <w:tc>
          <w:tcPr>
            <w:tcW w:w="381" w:type="pct"/>
            <w:vMerge/>
            <w:vAlign w:val="center"/>
          </w:tcPr>
          <w:p w14:paraId="715D6CFD" w14:textId="77777777" w:rsidR="007D1E74" w:rsidRDefault="007D1E74">
            <w:pPr>
              <w:jc w:val="center"/>
              <w:rPr>
                <w:rFonts w:cs="Times New Roman"/>
                <w:szCs w:val="21"/>
              </w:rPr>
            </w:pPr>
          </w:p>
        </w:tc>
        <w:tc>
          <w:tcPr>
            <w:tcW w:w="457" w:type="pct"/>
            <w:vMerge/>
            <w:vAlign w:val="center"/>
          </w:tcPr>
          <w:p w14:paraId="282B2511" w14:textId="77777777" w:rsidR="007D1E74" w:rsidRDefault="007D1E74">
            <w:pPr>
              <w:jc w:val="center"/>
              <w:rPr>
                <w:rFonts w:cs="Times New Roman"/>
                <w:szCs w:val="21"/>
              </w:rPr>
            </w:pPr>
          </w:p>
        </w:tc>
        <w:tc>
          <w:tcPr>
            <w:tcW w:w="727" w:type="pct"/>
            <w:vAlign w:val="center"/>
          </w:tcPr>
          <w:p w14:paraId="1A39BA18" w14:textId="77777777" w:rsidR="007D1E74" w:rsidRDefault="00A95641">
            <w:pPr>
              <w:jc w:val="center"/>
              <w:rPr>
                <w:rFonts w:cs="Times New Roman"/>
                <w:szCs w:val="21"/>
              </w:rPr>
            </w:pPr>
            <w:r>
              <w:rPr>
                <w:rFonts w:cs="Times New Roman"/>
                <w:szCs w:val="21"/>
              </w:rPr>
              <w:t>2.98E-04</w:t>
            </w:r>
          </w:p>
        </w:tc>
        <w:tc>
          <w:tcPr>
            <w:tcW w:w="727" w:type="pct"/>
            <w:vAlign w:val="center"/>
          </w:tcPr>
          <w:p w14:paraId="33A4F80C" w14:textId="77777777" w:rsidR="007D1E74" w:rsidRDefault="00A95641">
            <w:pPr>
              <w:jc w:val="center"/>
              <w:rPr>
                <w:rFonts w:cs="Times New Roman"/>
                <w:szCs w:val="21"/>
              </w:rPr>
            </w:pPr>
            <w:r>
              <w:rPr>
                <w:rFonts w:cs="Times New Roman"/>
                <w:szCs w:val="21"/>
              </w:rPr>
              <w:t>20</w:t>
            </w:r>
          </w:p>
        </w:tc>
        <w:tc>
          <w:tcPr>
            <w:tcW w:w="729" w:type="pct"/>
            <w:vAlign w:val="center"/>
          </w:tcPr>
          <w:p w14:paraId="5ACCA938" w14:textId="77777777" w:rsidR="007D1E74" w:rsidRDefault="00A95641">
            <w:pPr>
              <w:jc w:val="center"/>
              <w:rPr>
                <w:rFonts w:cs="Times New Roman"/>
                <w:szCs w:val="21"/>
              </w:rPr>
            </w:pPr>
            <w:r>
              <w:rPr>
                <w:rFonts w:cs="Times New Roman"/>
                <w:szCs w:val="21"/>
              </w:rPr>
              <w:t>0.3579</w:t>
            </w:r>
          </w:p>
        </w:tc>
      </w:tr>
      <w:tr w:rsidR="007D1E74" w14:paraId="415609F5" w14:textId="77777777">
        <w:tc>
          <w:tcPr>
            <w:tcW w:w="268" w:type="pct"/>
            <w:vMerge/>
            <w:vAlign w:val="center"/>
          </w:tcPr>
          <w:p w14:paraId="130AB889" w14:textId="77777777" w:rsidR="007D1E74" w:rsidRDefault="007D1E74">
            <w:pPr>
              <w:jc w:val="center"/>
              <w:rPr>
                <w:rFonts w:cs="Times New Roman"/>
                <w:szCs w:val="21"/>
              </w:rPr>
            </w:pPr>
          </w:p>
        </w:tc>
        <w:tc>
          <w:tcPr>
            <w:tcW w:w="491" w:type="pct"/>
            <w:vMerge/>
            <w:vAlign w:val="center"/>
          </w:tcPr>
          <w:p w14:paraId="1D5611E6" w14:textId="77777777" w:rsidR="007D1E74" w:rsidRDefault="007D1E74">
            <w:pPr>
              <w:jc w:val="center"/>
              <w:rPr>
                <w:rFonts w:cs="Times New Roman"/>
                <w:szCs w:val="21"/>
              </w:rPr>
            </w:pPr>
          </w:p>
        </w:tc>
        <w:tc>
          <w:tcPr>
            <w:tcW w:w="1219" w:type="pct"/>
            <w:vAlign w:val="center"/>
          </w:tcPr>
          <w:p w14:paraId="09F96BE4" w14:textId="77777777" w:rsidR="007D1E74" w:rsidRDefault="00A95641">
            <w:pPr>
              <w:widowControl/>
              <w:jc w:val="center"/>
              <w:rPr>
                <w:rFonts w:cs="Times New Roman"/>
                <w:kern w:val="0"/>
                <w:szCs w:val="21"/>
              </w:rPr>
            </w:pPr>
            <w:r>
              <w:rPr>
                <w:rFonts w:cs="Times New Roman"/>
                <w:kern w:val="0"/>
                <w:szCs w:val="21"/>
              </w:rPr>
              <w:t>4#</w:t>
            </w:r>
            <w:r>
              <w:rPr>
                <w:rFonts w:cs="Times New Roman"/>
                <w:kern w:val="0"/>
                <w:szCs w:val="21"/>
              </w:rPr>
              <w:t>清管阀组至草池增压站集输干线</w:t>
            </w:r>
          </w:p>
        </w:tc>
        <w:tc>
          <w:tcPr>
            <w:tcW w:w="381" w:type="pct"/>
            <w:vMerge/>
            <w:vAlign w:val="center"/>
          </w:tcPr>
          <w:p w14:paraId="40ACBA4F" w14:textId="77777777" w:rsidR="007D1E74" w:rsidRDefault="007D1E74">
            <w:pPr>
              <w:jc w:val="center"/>
              <w:rPr>
                <w:rFonts w:cs="Times New Roman"/>
                <w:szCs w:val="21"/>
              </w:rPr>
            </w:pPr>
          </w:p>
        </w:tc>
        <w:tc>
          <w:tcPr>
            <w:tcW w:w="457" w:type="pct"/>
            <w:vMerge/>
            <w:vAlign w:val="center"/>
          </w:tcPr>
          <w:p w14:paraId="3D74302E" w14:textId="77777777" w:rsidR="007D1E74" w:rsidRDefault="007D1E74">
            <w:pPr>
              <w:jc w:val="center"/>
              <w:rPr>
                <w:rFonts w:cs="Times New Roman"/>
                <w:szCs w:val="21"/>
              </w:rPr>
            </w:pPr>
          </w:p>
        </w:tc>
        <w:tc>
          <w:tcPr>
            <w:tcW w:w="727" w:type="pct"/>
            <w:vAlign w:val="center"/>
          </w:tcPr>
          <w:p w14:paraId="2D69397E" w14:textId="77777777" w:rsidR="007D1E74" w:rsidRDefault="00A95641">
            <w:pPr>
              <w:jc w:val="center"/>
              <w:rPr>
                <w:rFonts w:cs="Times New Roman"/>
                <w:szCs w:val="21"/>
              </w:rPr>
            </w:pPr>
            <w:r>
              <w:rPr>
                <w:rFonts w:cs="Times New Roman"/>
                <w:szCs w:val="21"/>
              </w:rPr>
              <w:t>5.53E-04</w:t>
            </w:r>
          </w:p>
        </w:tc>
        <w:tc>
          <w:tcPr>
            <w:tcW w:w="727" w:type="pct"/>
            <w:vAlign w:val="center"/>
          </w:tcPr>
          <w:p w14:paraId="38CF5604" w14:textId="77777777" w:rsidR="007D1E74" w:rsidRDefault="00A95641">
            <w:pPr>
              <w:jc w:val="center"/>
              <w:rPr>
                <w:rFonts w:cs="Times New Roman"/>
                <w:szCs w:val="21"/>
              </w:rPr>
            </w:pPr>
            <w:r>
              <w:rPr>
                <w:rFonts w:cs="Times New Roman"/>
                <w:szCs w:val="21"/>
              </w:rPr>
              <w:t>20</w:t>
            </w:r>
          </w:p>
        </w:tc>
        <w:tc>
          <w:tcPr>
            <w:tcW w:w="729" w:type="pct"/>
            <w:vAlign w:val="center"/>
          </w:tcPr>
          <w:p w14:paraId="0523969F" w14:textId="77777777" w:rsidR="007D1E74" w:rsidRDefault="00A95641">
            <w:pPr>
              <w:jc w:val="center"/>
              <w:rPr>
                <w:rFonts w:cs="Times New Roman"/>
                <w:szCs w:val="21"/>
              </w:rPr>
            </w:pPr>
            <w:r>
              <w:rPr>
                <w:rFonts w:cs="Times New Roman"/>
                <w:szCs w:val="21"/>
              </w:rPr>
              <w:t>0.6636</w:t>
            </w:r>
          </w:p>
        </w:tc>
      </w:tr>
    </w:tbl>
    <w:p w14:paraId="1CC8DEB0" w14:textId="77777777" w:rsidR="007D1E74" w:rsidRDefault="00A95641">
      <w:pPr>
        <w:pStyle w:val="a8"/>
      </w:pPr>
      <w:r>
        <w:t>风险预测与评价</w:t>
      </w:r>
    </w:p>
    <w:p w14:paraId="6113C1E1" w14:textId="77777777" w:rsidR="007D1E74" w:rsidRDefault="00A95641">
      <w:pPr>
        <w:pStyle w:val="a9"/>
      </w:pPr>
      <w:r>
        <w:rPr>
          <w:rFonts w:hint="eastAsia"/>
        </w:rPr>
        <w:t>大气环境风险预测与评价</w:t>
      </w:r>
    </w:p>
    <w:p w14:paraId="4E01BA91" w14:textId="77777777" w:rsidR="007D1E74" w:rsidRDefault="00A95641">
      <w:pPr>
        <w:pStyle w:val="aa"/>
      </w:pPr>
      <w:r>
        <w:t>预测模型</w:t>
      </w:r>
    </w:p>
    <w:p w14:paraId="335F20BF" w14:textId="77777777" w:rsidR="007D1E74" w:rsidRDefault="00A95641">
      <w:pPr>
        <w:spacing w:line="360" w:lineRule="auto"/>
        <w:ind w:firstLineChars="200" w:firstLine="480"/>
        <w:rPr>
          <w:sz w:val="24"/>
          <w:szCs w:val="24"/>
        </w:rPr>
      </w:pPr>
      <w:r>
        <w:rPr>
          <w:rFonts w:hint="eastAsia"/>
          <w:sz w:val="24"/>
          <w:szCs w:val="24"/>
        </w:rPr>
        <w:t>根据《建设项目环境风险评价技术导则》（</w:t>
      </w:r>
      <w:r>
        <w:rPr>
          <w:rFonts w:hint="eastAsia"/>
          <w:sz w:val="24"/>
          <w:szCs w:val="24"/>
        </w:rPr>
        <w:t>HJ169-2018</w:t>
      </w:r>
      <w:r>
        <w:rPr>
          <w:rFonts w:hint="eastAsia"/>
          <w:sz w:val="24"/>
          <w:szCs w:val="24"/>
        </w:rPr>
        <w:t>），预测计算时，应区分重质气体与轻质气体排放选择合适的大</w:t>
      </w:r>
      <w:r>
        <w:rPr>
          <w:rFonts w:cs="Times New Roman"/>
          <w:sz w:val="24"/>
          <w:szCs w:val="24"/>
        </w:rPr>
        <w:t>气风险预测模型。根据查阅相关资料，天然气泄漏后气体扩散理查德森数</w:t>
      </w:r>
      <w:r>
        <w:rPr>
          <w:rFonts w:cs="Times New Roman"/>
          <w:i/>
          <w:sz w:val="24"/>
          <w:szCs w:val="24"/>
        </w:rPr>
        <w:t>R</w:t>
      </w:r>
      <w:r>
        <w:rPr>
          <w:rFonts w:cs="Times New Roman"/>
          <w:i/>
          <w:sz w:val="24"/>
          <w:szCs w:val="24"/>
          <w:vertAlign w:val="subscript"/>
        </w:rPr>
        <w:t>i</w:t>
      </w:r>
      <w:r>
        <w:rPr>
          <w:rFonts w:cs="Times New Roman"/>
          <w:sz w:val="24"/>
          <w:szCs w:val="24"/>
        </w:rPr>
        <w:t>=-7.383</w:t>
      </w:r>
      <w:r>
        <w:rPr>
          <w:rFonts w:cs="Times New Roman"/>
          <w:sz w:val="24"/>
          <w:szCs w:val="24"/>
        </w:rPr>
        <w:t>，</w:t>
      </w:r>
      <w:r>
        <w:rPr>
          <w:rFonts w:cs="Times New Roman"/>
          <w:i/>
          <w:sz w:val="24"/>
          <w:szCs w:val="24"/>
        </w:rPr>
        <w:t>R</w:t>
      </w:r>
      <w:r>
        <w:rPr>
          <w:rFonts w:cs="Times New Roman"/>
          <w:i/>
          <w:sz w:val="24"/>
          <w:szCs w:val="24"/>
          <w:vertAlign w:val="subscript"/>
        </w:rPr>
        <w:t>i</w:t>
      </w:r>
      <w:r>
        <w:rPr>
          <w:rFonts w:cs="Times New Roman" w:hint="eastAsia"/>
          <w:sz w:val="24"/>
          <w:szCs w:val="24"/>
        </w:rPr>
        <w:t>&lt;</w:t>
      </w:r>
      <w:r>
        <w:rPr>
          <w:rFonts w:cs="Times New Roman"/>
          <w:sz w:val="24"/>
          <w:szCs w:val="24"/>
        </w:rPr>
        <w:t>1/6</w:t>
      </w:r>
      <w:r>
        <w:rPr>
          <w:rFonts w:cs="Times New Roman"/>
          <w:sz w:val="24"/>
          <w:szCs w:val="24"/>
        </w:rPr>
        <w:t>，为轻质气体；</w:t>
      </w:r>
      <w:r>
        <w:rPr>
          <w:rFonts w:hint="eastAsia"/>
          <w:sz w:val="24"/>
          <w:szCs w:val="24"/>
        </w:rPr>
        <w:t>天然气泄漏引发的火灾伴生</w:t>
      </w:r>
      <w:r>
        <w:rPr>
          <w:rFonts w:hint="eastAsia"/>
          <w:sz w:val="24"/>
          <w:szCs w:val="24"/>
        </w:rPr>
        <w:t>/</w:t>
      </w:r>
      <w:r>
        <w:rPr>
          <w:rFonts w:hint="eastAsia"/>
          <w:sz w:val="24"/>
          <w:szCs w:val="24"/>
        </w:rPr>
        <w:t>次生一氧化碳烟团初始密度（</w:t>
      </w:r>
      <w:r>
        <w:rPr>
          <w:rFonts w:hint="eastAsia"/>
          <w:sz w:val="24"/>
          <w:szCs w:val="24"/>
        </w:rPr>
        <w:t>1.25kg/m</w:t>
      </w:r>
      <w:r>
        <w:rPr>
          <w:rFonts w:hint="eastAsia"/>
          <w:sz w:val="24"/>
          <w:szCs w:val="24"/>
          <w:vertAlign w:val="superscript"/>
        </w:rPr>
        <w:t>3</w:t>
      </w:r>
      <w:r>
        <w:rPr>
          <w:rFonts w:hint="eastAsia"/>
          <w:sz w:val="24"/>
          <w:szCs w:val="24"/>
        </w:rPr>
        <w:t>）小于空气密度（</w:t>
      </w:r>
      <w:r>
        <w:rPr>
          <w:rFonts w:hint="eastAsia"/>
          <w:sz w:val="24"/>
          <w:szCs w:val="24"/>
        </w:rPr>
        <w:t>1.29kg/m</w:t>
      </w:r>
      <w:r>
        <w:rPr>
          <w:rFonts w:hint="eastAsia"/>
          <w:sz w:val="24"/>
          <w:szCs w:val="24"/>
          <w:vertAlign w:val="superscript"/>
        </w:rPr>
        <w:t>3</w:t>
      </w:r>
      <w:r>
        <w:rPr>
          <w:rFonts w:hint="eastAsia"/>
          <w:sz w:val="24"/>
          <w:szCs w:val="24"/>
        </w:rPr>
        <w:t>），不计算理查德森数，为轻质气体。根据</w:t>
      </w:r>
      <w:r>
        <w:rPr>
          <w:rFonts w:hint="eastAsia"/>
          <w:sz w:val="24"/>
          <w:szCs w:val="24"/>
        </w:rPr>
        <w:t>HJ169-2018</w:t>
      </w:r>
      <w:r>
        <w:rPr>
          <w:rFonts w:hint="eastAsia"/>
          <w:sz w:val="24"/>
          <w:szCs w:val="24"/>
        </w:rPr>
        <w:t>附录</w:t>
      </w:r>
      <w:r>
        <w:rPr>
          <w:rFonts w:hint="eastAsia"/>
          <w:sz w:val="24"/>
          <w:szCs w:val="24"/>
        </w:rPr>
        <w:t>G</w:t>
      </w:r>
      <w:r>
        <w:rPr>
          <w:rFonts w:hint="eastAsia"/>
          <w:sz w:val="24"/>
          <w:szCs w:val="24"/>
        </w:rPr>
        <w:t>推荐模型，本次环评选用</w:t>
      </w:r>
      <w:r>
        <w:rPr>
          <w:rFonts w:hint="eastAsia"/>
          <w:sz w:val="24"/>
          <w:szCs w:val="24"/>
        </w:rPr>
        <w:t>AFTOX</w:t>
      </w:r>
      <w:r>
        <w:rPr>
          <w:rFonts w:hint="eastAsia"/>
          <w:sz w:val="24"/>
          <w:szCs w:val="24"/>
        </w:rPr>
        <w:t>模型进行预测。</w:t>
      </w:r>
    </w:p>
    <w:p w14:paraId="63781195" w14:textId="77777777" w:rsidR="007D1E74" w:rsidRDefault="00A95641">
      <w:pPr>
        <w:pStyle w:val="aa"/>
      </w:pPr>
      <w:r>
        <w:t>气象参数</w:t>
      </w:r>
    </w:p>
    <w:p w14:paraId="104764F0" w14:textId="77777777" w:rsidR="007D1E74" w:rsidRDefault="00A95641">
      <w:pPr>
        <w:spacing w:line="360" w:lineRule="auto"/>
        <w:ind w:firstLineChars="200" w:firstLine="480"/>
        <w:rPr>
          <w:sz w:val="24"/>
          <w:szCs w:val="24"/>
        </w:rPr>
      </w:pPr>
      <w:r>
        <w:rPr>
          <w:rFonts w:hint="eastAsia"/>
          <w:sz w:val="24"/>
          <w:szCs w:val="24"/>
        </w:rPr>
        <w:lastRenderedPageBreak/>
        <w:t>本项目环境风险评价工作等级为二级，根据《建设项目环境风险评价技术导则》（</w:t>
      </w:r>
      <w:r>
        <w:rPr>
          <w:rFonts w:hint="eastAsia"/>
          <w:sz w:val="24"/>
          <w:szCs w:val="24"/>
        </w:rPr>
        <w:t>HJ169-2018</w:t>
      </w:r>
      <w:r>
        <w:rPr>
          <w:rFonts w:hint="eastAsia"/>
          <w:sz w:val="24"/>
          <w:szCs w:val="24"/>
        </w:rPr>
        <w:t>）中相关要求选择最不利气象条件进行后果预测，预测气象参数如下：</w:t>
      </w:r>
    </w:p>
    <w:p w14:paraId="1DF7FC91" w14:textId="77777777" w:rsidR="007D1E74" w:rsidRDefault="00A95641">
      <w:pPr>
        <w:pStyle w:val="afffffe"/>
        <w:numPr>
          <w:ilvl w:val="0"/>
          <w:numId w:val="51"/>
        </w:numPr>
        <w:spacing w:line="360" w:lineRule="auto"/>
        <w:ind w:firstLineChars="0"/>
        <w:jc w:val="center"/>
        <w:rPr>
          <w:rFonts w:eastAsia="黑体" w:cs="Times New Roman"/>
          <w:szCs w:val="21"/>
        </w:rPr>
      </w:pPr>
      <w:r>
        <w:rPr>
          <w:rFonts w:eastAsia="黑体" w:cs="Times New Roman" w:hint="eastAsia"/>
          <w:szCs w:val="21"/>
        </w:rPr>
        <w:t>大气</w:t>
      </w:r>
      <w:r>
        <w:rPr>
          <w:rFonts w:eastAsia="黑体" w:cs="Times New Roman"/>
          <w:szCs w:val="21"/>
        </w:rPr>
        <w:t>风险预测模型主要参数表</w:t>
      </w:r>
    </w:p>
    <w:tbl>
      <w:tblPr>
        <w:tblStyle w:val="affffc"/>
        <w:tblW w:w="0" w:type="auto"/>
        <w:tblLook w:val="04A0" w:firstRow="1" w:lastRow="0" w:firstColumn="1" w:lastColumn="0" w:noHBand="0" w:noVBand="1"/>
      </w:tblPr>
      <w:tblGrid>
        <w:gridCol w:w="2263"/>
        <w:gridCol w:w="3376"/>
        <w:gridCol w:w="3377"/>
      </w:tblGrid>
      <w:tr w:rsidR="007D1E74" w14:paraId="3FEA0F28" w14:textId="77777777">
        <w:trPr>
          <w:tblHeader/>
        </w:trPr>
        <w:tc>
          <w:tcPr>
            <w:tcW w:w="2263" w:type="dxa"/>
            <w:vAlign w:val="center"/>
          </w:tcPr>
          <w:p w14:paraId="4DA1150D" w14:textId="77777777" w:rsidR="007D1E74" w:rsidRDefault="00A95641">
            <w:pPr>
              <w:jc w:val="center"/>
              <w:rPr>
                <w:rFonts w:cs="Times New Roman"/>
                <w:szCs w:val="21"/>
              </w:rPr>
            </w:pPr>
            <w:r>
              <w:rPr>
                <w:rFonts w:cs="Times New Roman"/>
                <w:szCs w:val="21"/>
              </w:rPr>
              <w:t>参数类型</w:t>
            </w:r>
          </w:p>
        </w:tc>
        <w:tc>
          <w:tcPr>
            <w:tcW w:w="3376" w:type="dxa"/>
            <w:vAlign w:val="center"/>
          </w:tcPr>
          <w:p w14:paraId="37B16D6A" w14:textId="77777777" w:rsidR="007D1E74" w:rsidRDefault="00A95641">
            <w:pPr>
              <w:jc w:val="center"/>
              <w:rPr>
                <w:rFonts w:cs="Times New Roman"/>
                <w:szCs w:val="21"/>
              </w:rPr>
            </w:pPr>
            <w:r>
              <w:rPr>
                <w:rFonts w:cs="Times New Roman"/>
                <w:szCs w:val="21"/>
              </w:rPr>
              <w:t>选项</w:t>
            </w:r>
          </w:p>
        </w:tc>
        <w:tc>
          <w:tcPr>
            <w:tcW w:w="3377" w:type="dxa"/>
            <w:vAlign w:val="center"/>
          </w:tcPr>
          <w:p w14:paraId="2CBF3F3F" w14:textId="77777777" w:rsidR="007D1E74" w:rsidRDefault="00A95641">
            <w:pPr>
              <w:jc w:val="center"/>
              <w:rPr>
                <w:rFonts w:cs="Times New Roman"/>
                <w:szCs w:val="21"/>
              </w:rPr>
            </w:pPr>
            <w:r>
              <w:rPr>
                <w:rFonts w:cs="Times New Roman"/>
                <w:szCs w:val="21"/>
              </w:rPr>
              <w:t>参数</w:t>
            </w:r>
          </w:p>
        </w:tc>
      </w:tr>
      <w:tr w:rsidR="007D1E74" w14:paraId="7AD23AFF" w14:textId="77777777">
        <w:tc>
          <w:tcPr>
            <w:tcW w:w="2263" w:type="dxa"/>
            <w:vMerge w:val="restart"/>
            <w:vAlign w:val="center"/>
          </w:tcPr>
          <w:p w14:paraId="11543F03" w14:textId="77777777" w:rsidR="007D1E74" w:rsidRDefault="00A95641">
            <w:pPr>
              <w:jc w:val="center"/>
              <w:rPr>
                <w:rFonts w:cs="Times New Roman"/>
                <w:szCs w:val="21"/>
              </w:rPr>
            </w:pPr>
            <w:r>
              <w:rPr>
                <w:rFonts w:cs="Times New Roman"/>
                <w:szCs w:val="21"/>
              </w:rPr>
              <w:t>基本情况</w:t>
            </w:r>
          </w:p>
        </w:tc>
        <w:tc>
          <w:tcPr>
            <w:tcW w:w="3376" w:type="dxa"/>
            <w:vAlign w:val="center"/>
          </w:tcPr>
          <w:p w14:paraId="68020285" w14:textId="77777777" w:rsidR="007D1E74" w:rsidRDefault="00A95641">
            <w:pPr>
              <w:jc w:val="center"/>
              <w:rPr>
                <w:rFonts w:cs="Times New Roman"/>
                <w:szCs w:val="21"/>
              </w:rPr>
            </w:pPr>
            <w:r>
              <w:rPr>
                <w:rFonts w:cs="Times New Roman"/>
                <w:szCs w:val="21"/>
              </w:rPr>
              <w:t>事故源经度（</w:t>
            </w:r>
            <w:r>
              <w:rPr>
                <w:rFonts w:cs="Times New Roman"/>
                <w:szCs w:val="21"/>
              </w:rPr>
              <w:t>°</w:t>
            </w:r>
            <w:r>
              <w:rPr>
                <w:rFonts w:cs="Times New Roman"/>
                <w:szCs w:val="21"/>
              </w:rPr>
              <w:t>）</w:t>
            </w:r>
          </w:p>
        </w:tc>
        <w:tc>
          <w:tcPr>
            <w:tcW w:w="3377" w:type="dxa"/>
            <w:vAlign w:val="center"/>
          </w:tcPr>
          <w:p w14:paraId="30279D81" w14:textId="77777777" w:rsidR="007D1E74" w:rsidRDefault="00A95641">
            <w:pPr>
              <w:jc w:val="center"/>
              <w:rPr>
                <w:rFonts w:cs="Times New Roman"/>
                <w:szCs w:val="21"/>
              </w:rPr>
            </w:pPr>
            <w:r>
              <w:rPr>
                <w:rFonts w:cs="Times New Roman" w:hint="eastAsia"/>
                <w:szCs w:val="21"/>
              </w:rPr>
              <w:t>/</w:t>
            </w:r>
          </w:p>
        </w:tc>
      </w:tr>
      <w:tr w:rsidR="007D1E74" w14:paraId="2B11EC9E" w14:textId="77777777">
        <w:tc>
          <w:tcPr>
            <w:tcW w:w="2263" w:type="dxa"/>
            <w:vMerge/>
            <w:vAlign w:val="center"/>
          </w:tcPr>
          <w:p w14:paraId="6E2E405F" w14:textId="77777777" w:rsidR="007D1E74" w:rsidRDefault="007D1E74">
            <w:pPr>
              <w:jc w:val="center"/>
              <w:rPr>
                <w:rFonts w:cs="Times New Roman"/>
                <w:szCs w:val="21"/>
              </w:rPr>
            </w:pPr>
          </w:p>
        </w:tc>
        <w:tc>
          <w:tcPr>
            <w:tcW w:w="3376" w:type="dxa"/>
            <w:vAlign w:val="center"/>
          </w:tcPr>
          <w:p w14:paraId="7F68608A" w14:textId="77777777" w:rsidR="007D1E74" w:rsidRDefault="00A95641">
            <w:pPr>
              <w:jc w:val="center"/>
              <w:rPr>
                <w:rFonts w:cs="Times New Roman"/>
                <w:szCs w:val="21"/>
              </w:rPr>
            </w:pPr>
            <w:r>
              <w:rPr>
                <w:rFonts w:cs="Times New Roman"/>
                <w:szCs w:val="21"/>
              </w:rPr>
              <w:t>事故源纬度（</w:t>
            </w:r>
            <w:r>
              <w:rPr>
                <w:rFonts w:cs="Times New Roman"/>
                <w:szCs w:val="21"/>
              </w:rPr>
              <w:t>°</w:t>
            </w:r>
            <w:r>
              <w:rPr>
                <w:rFonts w:cs="Times New Roman"/>
                <w:szCs w:val="21"/>
              </w:rPr>
              <w:t>）</w:t>
            </w:r>
          </w:p>
        </w:tc>
        <w:tc>
          <w:tcPr>
            <w:tcW w:w="3377" w:type="dxa"/>
            <w:vAlign w:val="center"/>
          </w:tcPr>
          <w:p w14:paraId="624C7ADA" w14:textId="77777777" w:rsidR="007D1E74" w:rsidRDefault="00A95641">
            <w:pPr>
              <w:jc w:val="center"/>
              <w:rPr>
                <w:rFonts w:cs="Times New Roman"/>
                <w:szCs w:val="21"/>
              </w:rPr>
            </w:pPr>
            <w:r>
              <w:rPr>
                <w:rFonts w:cs="Times New Roman" w:hint="eastAsia"/>
                <w:szCs w:val="21"/>
              </w:rPr>
              <w:t>/</w:t>
            </w:r>
          </w:p>
        </w:tc>
      </w:tr>
      <w:tr w:rsidR="007D1E74" w14:paraId="29FBC651" w14:textId="77777777">
        <w:tc>
          <w:tcPr>
            <w:tcW w:w="2263" w:type="dxa"/>
            <w:vMerge/>
            <w:vAlign w:val="center"/>
          </w:tcPr>
          <w:p w14:paraId="69AF20B1" w14:textId="77777777" w:rsidR="007D1E74" w:rsidRDefault="007D1E74">
            <w:pPr>
              <w:jc w:val="center"/>
              <w:rPr>
                <w:rFonts w:cs="Times New Roman"/>
                <w:szCs w:val="21"/>
              </w:rPr>
            </w:pPr>
          </w:p>
        </w:tc>
        <w:tc>
          <w:tcPr>
            <w:tcW w:w="3376" w:type="dxa"/>
            <w:vAlign w:val="center"/>
          </w:tcPr>
          <w:p w14:paraId="7E862873" w14:textId="77777777" w:rsidR="007D1E74" w:rsidRDefault="00A95641">
            <w:pPr>
              <w:jc w:val="center"/>
              <w:rPr>
                <w:rFonts w:cs="Times New Roman"/>
                <w:szCs w:val="21"/>
              </w:rPr>
            </w:pPr>
            <w:r>
              <w:rPr>
                <w:rFonts w:cs="Times New Roman"/>
                <w:szCs w:val="21"/>
              </w:rPr>
              <w:t>事故源类型</w:t>
            </w:r>
          </w:p>
        </w:tc>
        <w:tc>
          <w:tcPr>
            <w:tcW w:w="3377" w:type="dxa"/>
            <w:vAlign w:val="center"/>
          </w:tcPr>
          <w:p w14:paraId="7BCAB12B" w14:textId="77777777" w:rsidR="007D1E74" w:rsidRDefault="00A95641">
            <w:pPr>
              <w:jc w:val="center"/>
              <w:rPr>
                <w:rFonts w:cs="Times New Roman"/>
                <w:szCs w:val="21"/>
              </w:rPr>
            </w:pPr>
            <w:r>
              <w:rPr>
                <w:rFonts w:cs="Times New Roman"/>
                <w:szCs w:val="21"/>
              </w:rPr>
              <w:t>泄漏、火灾伴生</w:t>
            </w:r>
            <w:r>
              <w:rPr>
                <w:rFonts w:cs="Times New Roman"/>
                <w:szCs w:val="21"/>
              </w:rPr>
              <w:t>/</w:t>
            </w:r>
            <w:r>
              <w:rPr>
                <w:rFonts w:cs="Times New Roman"/>
                <w:szCs w:val="21"/>
              </w:rPr>
              <w:t>次生污染</w:t>
            </w:r>
          </w:p>
        </w:tc>
      </w:tr>
      <w:tr w:rsidR="007D1E74" w14:paraId="56A26F10" w14:textId="77777777">
        <w:tc>
          <w:tcPr>
            <w:tcW w:w="2263" w:type="dxa"/>
            <w:vMerge w:val="restart"/>
            <w:vAlign w:val="center"/>
          </w:tcPr>
          <w:p w14:paraId="3AF3E978" w14:textId="77777777" w:rsidR="007D1E74" w:rsidRDefault="00A95641">
            <w:pPr>
              <w:jc w:val="center"/>
              <w:rPr>
                <w:rFonts w:cs="Times New Roman"/>
                <w:szCs w:val="21"/>
              </w:rPr>
            </w:pPr>
            <w:r>
              <w:rPr>
                <w:rFonts w:cs="Times New Roman"/>
                <w:szCs w:val="21"/>
              </w:rPr>
              <w:t>气象参数</w:t>
            </w:r>
          </w:p>
        </w:tc>
        <w:tc>
          <w:tcPr>
            <w:tcW w:w="3376" w:type="dxa"/>
            <w:vAlign w:val="center"/>
          </w:tcPr>
          <w:p w14:paraId="3A50647B" w14:textId="77777777" w:rsidR="007D1E74" w:rsidRDefault="00A95641">
            <w:pPr>
              <w:jc w:val="center"/>
              <w:rPr>
                <w:rFonts w:cs="Times New Roman"/>
                <w:szCs w:val="21"/>
              </w:rPr>
            </w:pPr>
            <w:r>
              <w:rPr>
                <w:rFonts w:cs="Times New Roman"/>
                <w:szCs w:val="21"/>
              </w:rPr>
              <w:t>气象条件类型</w:t>
            </w:r>
          </w:p>
        </w:tc>
        <w:tc>
          <w:tcPr>
            <w:tcW w:w="3377" w:type="dxa"/>
            <w:vAlign w:val="center"/>
          </w:tcPr>
          <w:p w14:paraId="392B8BE4" w14:textId="77777777" w:rsidR="007D1E74" w:rsidRDefault="00A95641">
            <w:pPr>
              <w:jc w:val="center"/>
              <w:rPr>
                <w:rFonts w:cs="Times New Roman"/>
                <w:szCs w:val="21"/>
              </w:rPr>
            </w:pPr>
            <w:r>
              <w:rPr>
                <w:rFonts w:cs="Times New Roman"/>
                <w:szCs w:val="21"/>
              </w:rPr>
              <w:t>最不利气象</w:t>
            </w:r>
          </w:p>
        </w:tc>
      </w:tr>
      <w:tr w:rsidR="007D1E74" w14:paraId="72143FE7" w14:textId="77777777">
        <w:tc>
          <w:tcPr>
            <w:tcW w:w="2263" w:type="dxa"/>
            <w:vMerge/>
            <w:vAlign w:val="center"/>
          </w:tcPr>
          <w:p w14:paraId="308B8C5C" w14:textId="77777777" w:rsidR="007D1E74" w:rsidRDefault="007D1E74">
            <w:pPr>
              <w:jc w:val="center"/>
              <w:rPr>
                <w:rFonts w:cs="Times New Roman"/>
                <w:szCs w:val="21"/>
              </w:rPr>
            </w:pPr>
          </w:p>
        </w:tc>
        <w:tc>
          <w:tcPr>
            <w:tcW w:w="3376" w:type="dxa"/>
            <w:vAlign w:val="center"/>
          </w:tcPr>
          <w:p w14:paraId="74946D33" w14:textId="77777777" w:rsidR="007D1E74" w:rsidRDefault="00A95641">
            <w:pPr>
              <w:jc w:val="center"/>
              <w:rPr>
                <w:rFonts w:cs="Times New Roman"/>
                <w:szCs w:val="21"/>
              </w:rPr>
            </w:pPr>
            <w:r>
              <w:rPr>
                <w:rFonts w:cs="Times New Roman"/>
                <w:szCs w:val="21"/>
              </w:rPr>
              <w:t>风速（</w:t>
            </w:r>
            <w:r>
              <w:rPr>
                <w:rFonts w:cs="Times New Roman"/>
                <w:szCs w:val="21"/>
              </w:rPr>
              <w:t>m/s</w:t>
            </w:r>
            <w:r>
              <w:rPr>
                <w:rFonts w:cs="Times New Roman"/>
                <w:szCs w:val="21"/>
              </w:rPr>
              <w:t>）</w:t>
            </w:r>
          </w:p>
        </w:tc>
        <w:tc>
          <w:tcPr>
            <w:tcW w:w="3377" w:type="dxa"/>
            <w:vAlign w:val="center"/>
          </w:tcPr>
          <w:p w14:paraId="7D2E3E2D" w14:textId="77777777" w:rsidR="007D1E74" w:rsidRDefault="00A95641">
            <w:pPr>
              <w:jc w:val="center"/>
              <w:rPr>
                <w:rFonts w:cs="Times New Roman"/>
                <w:szCs w:val="21"/>
              </w:rPr>
            </w:pPr>
            <w:r>
              <w:rPr>
                <w:rFonts w:cs="Times New Roman"/>
                <w:szCs w:val="21"/>
              </w:rPr>
              <w:t>1.5</w:t>
            </w:r>
          </w:p>
        </w:tc>
      </w:tr>
      <w:tr w:rsidR="007D1E74" w14:paraId="51339207" w14:textId="77777777">
        <w:tc>
          <w:tcPr>
            <w:tcW w:w="2263" w:type="dxa"/>
            <w:vMerge/>
            <w:vAlign w:val="center"/>
          </w:tcPr>
          <w:p w14:paraId="0DE46EFE" w14:textId="77777777" w:rsidR="007D1E74" w:rsidRDefault="007D1E74">
            <w:pPr>
              <w:jc w:val="center"/>
              <w:rPr>
                <w:rFonts w:cs="Times New Roman"/>
                <w:szCs w:val="21"/>
              </w:rPr>
            </w:pPr>
          </w:p>
        </w:tc>
        <w:tc>
          <w:tcPr>
            <w:tcW w:w="3376" w:type="dxa"/>
            <w:vAlign w:val="center"/>
          </w:tcPr>
          <w:p w14:paraId="0F82B34F" w14:textId="77777777" w:rsidR="007D1E74" w:rsidRDefault="00A95641">
            <w:pPr>
              <w:jc w:val="center"/>
              <w:rPr>
                <w:rFonts w:cs="Times New Roman"/>
                <w:szCs w:val="21"/>
              </w:rPr>
            </w:pPr>
            <w:r>
              <w:rPr>
                <w:rFonts w:cs="Times New Roman"/>
                <w:szCs w:val="21"/>
              </w:rPr>
              <w:t>环境温度（</w:t>
            </w:r>
            <w:r>
              <w:rPr>
                <w:rFonts w:cs="Times New Roman"/>
                <w:szCs w:val="21"/>
              </w:rPr>
              <w:t>℃</w:t>
            </w:r>
            <w:r>
              <w:rPr>
                <w:rFonts w:cs="Times New Roman"/>
                <w:szCs w:val="21"/>
              </w:rPr>
              <w:t>）</w:t>
            </w:r>
          </w:p>
        </w:tc>
        <w:tc>
          <w:tcPr>
            <w:tcW w:w="3377" w:type="dxa"/>
            <w:vAlign w:val="center"/>
          </w:tcPr>
          <w:p w14:paraId="2425978C" w14:textId="77777777" w:rsidR="007D1E74" w:rsidRDefault="00A95641">
            <w:pPr>
              <w:jc w:val="center"/>
              <w:rPr>
                <w:rFonts w:cs="Times New Roman"/>
                <w:szCs w:val="21"/>
              </w:rPr>
            </w:pPr>
            <w:r>
              <w:rPr>
                <w:rFonts w:cs="Times New Roman"/>
                <w:szCs w:val="21"/>
              </w:rPr>
              <w:t>25</w:t>
            </w:r>
          </w:p>
        </w:tc>
      </w:tr>
      <w:tr w:rsidR="007D1E74" w14:paraId="0E4A9EB7" w14:textId="77777777">
        <w:tc>
          <w:tcPr>
            <w:tcW w:w="2263" w:type="dxa"/>
            <w:vMerge/>
            <w:vAlign w:val="center"/>
          </w:tcPr>
          <w:p w14:paraId="4275EAEA" w14:textId="77777777" w:rsidR="007D1E74" w:rsidRDefault="007D1E74">
            <w:pPr>
              <w:jc w:val="center"/>
              <w:rPr>
                <w:rFonts w:cs="Times New Roman"/>
                <w:szCs w:val="21"/>
              </w:rPr>
            </w:pPr>
          </w:p>
        </w:tc>
        <w:tc>
          <w:tcPr>
            <w:tcW w:w="3376" w:type="dxa"/>
            <w:vAlign w:val="center"/>
          </w:tcPr>
          <w:p w14:paraId="40C1DAB7" w14:textId="77777777" w:rsidR="007D1E74" w:rsidRDefault="00A95641">
            <w:pPr>
              <w:jc w:val="center"/>
              <w:rPr>
                <w:rFonts w:cs="Times New Roman"/>
                <w:szCs w:val="21"/>
              </w:rPr>
            </w:pPr>
            <w:r>
              <w:rPr>
                <w:rFonts w:cs="Times New Roman"/>
                <w:szCs w:val="21"/>
              </w:rPr>
              <w:t>相对湿度（</w:t>
            </w:r>
            <w:r>
              <w:rPr>
                <w:rFonts w:cs="Times New Roman"/>
                <w:szCs w:val="21"/>
              </w:rPr>
              <w:t>%</w:t>
            </w:r>
            <w:r>
              <w:rPr>
                <w:rFonts w:cs="Times New Roman"/>
                <w:szCs w:val="21"/>
              </w:rPr>
              <w:t>）</w:t>
            </w:r>
          </w:p>
        </w:tc>
        <w:tc>
          <w:tcPr>
            <w:tcW w:w="3377" w:type="dxa"/>
            <w:vAlign w:val="center"/>
          </w:tcPr>
          <w:p w14:paraId="67F071CC" w14:textId="77777777" w:rsidR="007D1E74" w:rsidRDefault="00A95641">
            <w:pPr>
              <w:jc w:val="center"/>
              <w:rPr>
                <w:rFonts w:cs="Times New Roman"/>
                <w:szCs w:val="21"/>
              </w:rPr>
            </w:pPr>
            <w:r>
              <w:rPr>
                <w:rFonts w:cs="Times New Roman"/>
                <w:szCs w:val="21"/>
              </w:rPr>
              <w:t>50</w:t>
            </w:r>
          </w:p>
        </w:tc>
      </w:tr>
      <w:tr w:rsidR="007D1E74" w14:paraId="2E52D40F" w14:textId="77777777">
        <w:tc>
          <w:tcPr>
            <w:tcW w:w="2263" w:type="dxa"/>
            <w:vMerge/>
            <w:vAlign w:val="center"/>
          </w:tcPr>
          <w:p w14:paraId="5FB792C4" w14:textId="77777777" w:rsidR="007D1E74" w:rsidRDefault="007D1E74">
            <w:pPr>
              <w:jc w:val="center"/>
              <w:rPr>
                <w:rFonts w:cs="Times New Roman"/>
                <w:szCs w:val="21"/>
              </w:rPr>
            </w:pPr>
          </w:p>
        </w:tc>
        <w:tc>
          <w:tcPr>
            <w:tcW w:w="3376" w:type="dxa"/>
            <w:vAlign w:val="center"/>
          </w:tcPr>
          <w:p w14:paraId="20866390" w14:textId="77777777" w:rsidR="007D1E74" w:rsidRDefault="00A95641">
            <w:pPr>
              <w:jc w:val="center"/>
              <w:rPr>
                <w:rFonts w:cs="Times New Roman"/>
                <w:szCs w:val="21"/>
              </w:rPr>
            </w:pPr>
            <w:r>
              <w:rPr>
                <w:rFonts w:cs="Times New Roman"/>
                <w:szCs w:val="21"/>
              </w:rPr>
              <w:t>稳定度</w:t>
            </w:r>
          </w:p>
        </w:tc>
        <w:tc>
          <w:tcPr>
            <w:tcW w:w="3377" w:type="dxa"/>
            <w:vAlign w:val="center"/>
          </w:tcPr>
          <w:p w14:paraId="5EA6568A" w14:textId="77777777" w:rsidR="007D1E74" w:rsidRDefault="00A95641">
            <w:pPr>
              <w:jc w:val="center"/>
              <w:rPr>
                <w:rFonts w:cs="Times New Roman"/>
                <w:szCs w:val="21"/>
              </w:rPr>
            </w:pPr>
            <w:r>
              <w:rPr>
                <w:rFonts w:cs="Times New Roman"/>
                <w:szCs w:val="21"/>
              </w:rPr>
              <w:t>F</w:t>
            </w:r>
          </w:p>
        </w:tc>
      </w:tr>
      <w:tr w:rsidR="007D1E74" w14:paraId="314D475B" w14:textId="77777777">
        <w:tc>
          <w:tcPr>
            <w:tcW w:w="2263" w:type="dxa"/>
            <w:vMerge w:val="restart"/>
            <w:vAlign w:val="center"/>
          </w:tcPr>
          <w:p w14:paraId="3A9E1AD1" w14:textId="77777777" w:rsidR="007D1E74" w:rsidRDefault="00A95641">
            <w:pPr>
              <w:jc w:val="center"/>
              <w:rPr>
                <w:rFonts w:cs="Times New Roman"/>
                <w:szCs w:val="21"/>
              </w:rPr>
            </w:pPr>
            <w:r>
              <w:rPr>
                <w:rFonts w:cs="Times New Roman"/>
                <w:szCs w:val="21"/>
              </w:rPr>
              <w:t>其他参数</w:t>
            </w:r>
          </w:p>
        </w:tc>
        <w:tc>
          <w:tcPr>
            <w:tcW w:w="3376" w:type="dxa"/>
            <w:vAlign w:val="center"/>
          </w:tcPr>
          <w:p w14:paraId="5E7795D2" w14:textId="77777777" w:rsidR="007D1E74" w:rsidRDefault="00A95641">
            <w:pPr>
              <w:jc w:val="center"/>
              <w:rPr>
                <w:rFonts w:cs="Times New Roman"/>
                <w:szCs w:val="21"/>
              </w:rPr>
            </w:pPr>
            <w:r>
              <w:rPr>
                <w:rFonts w:cs="Times New Roman"/>
                <w:szCs w:val="21"/>
              </w:rPr>
              <w:t>地表粗糙度（</w:t>
            </w:r>
            <w:r>
              <w:rPr>
                <w:rFonts w:cs="Times New Roman"/>
                <w:szCs w:val="21"/>
              </w:rPr>
              <w:t>m</w:t>
            </w:r>
            <w:r>
              <w:rPr>
                <w:rFonts w:cs="Times New Roman"/>
                <w:szCs w:val="21"/>
              </w:rPr>
              <w:t>）</w:t>
            </w:r>
          </w:p>
        </w:tc>
        <w:tc>
          <w:tcPr>
            <w:tcW w:w="3377" w:type="dxa"/>
            <w:vAlign w:val="center"/>
          </w:tcPr>
          <w:p w14:paraId="2CBB8796" w14:textId="77777777" w:rsidR="007D1E74" w:rsidRDefault="00A95641">
            <w:pPr>
              <w:jc w:val="center"/>
              <w:rPr>
                <w:rFonts w:cs="Times New Roman"/>
                <w:szCs w:val="21"/>
              </w:rPr>
            </w:pPr>
            <w:r>
              <w:rPr>
                <w:rFonts w:cs="Times New Roman"/>
                <w:szCs w:val="21"/>
              </w:rPr>
              <w:t>0.5</w:t>
            </w:r>
          </w:p>
        </w:tc>
      </w:tr>
      <w:tr w:rsidR="007D1E74" w14:paraId="45EFFFE2" w14:textId="77777777">
        <w:tc>
          <w:tcPr>
            <w:tcW w:w="2263" w:type="dxa"/>
            <w:vMerge/>
            <w:vAlign w:val="center"/>
          </w:tcPr>
          <w:p w14:paraId="7CB73AEF" w14:textId="77777777" w:rsidR="007D1E74" w:rsidRDefault="007D1E74">
            <w:pPr>
              <w:jc w:val="center"/>
              <w:rPr>
                <w:rFonts w:cs="Times New Roman"/>
                <w:szCs w:val="21"/>
              </w:rPr>
            </w:pPr>
          </w:p>
        </w:tc>
        <w:tc>
          <w:tcPr>
            <w:tcW w:w="3376" w:type="dxa"/>
            <w:vAlign w:val="center"/>
          </w:tcPr>
          <w:p w14:paraId="1C5CCA9A" w14:textId="77777777" w:rsidR="007D1E74" w:rsidRDefault="00A95641">
            <w:pPr>
              <w:jc w:val="center"/>
              <w:rPr>
                <w:rFonts w:cs="Times New Roman"/>
                <w:szCs w:val="21"/>
              </w:rPr>
            </w:pPr>
            <w:r>
              <w:rPr>
                <w:rFonts w:cs="Times New Roman"/>
                <w:szCs w:val="21"/>
              </w:rPr>
              <w:t>是否考虑地形</w:t>
            </w:r>
          </w:p>
        </w:tc>
        <w:tc>
          <w:tcPr>
            <w:tcW w:w="3377" w:type="dxa"/>
            <w:vAlign w:val="center"/>
          </w:tcPr>
          <w:p w14:paraId="2ED53F74" w14:textId="77777777" w:rsidR="007D1E74" w:rsidRDefault="00A95641">
            <w:pPr>
              <w:jc w:val="center"/>
              <w:rPr>
                <w:rFonts w:cs="Times New Roman"/>
                <w:szCs w:val="21"/>
              </w:rPr>
            </w:pPr>
            <w:r>
              <w:rPr>
                <w:rFonts w:cs="Times New Roman" w:hint="eastAsia"/>
                <w:szCs w:val="21"/>
              </w:rPr>
              <w:t>否</w:t>
            </w:r>
          </w:p>
        </w:tc>
      </w:tr>
      <w:tr w:rsidR="007D1E74" w14:paraId="7BF7747B" w14:textId="77777777">
        <w:tc>
          <w:tcPr>
            <w:tcW w:w="2263" w:type="dxa"/>
            <w:vMerge/>
            <w:vAlign w:val="center"/>
          </w:tcPr>
          <w:p w14:paraId="23386A87" w14:textId="77777777" w:rsidR="007D1E74" w:rsidRDefault="007D1E74">
            <w:pPr>
              <w:jc w:val="center"/>
              <w:rPr>
                <w:rFonts w:cs="Times New Roman"/>
                <w:szCs w:val="21"/>
              </w:rPr>
            </w:pPr>
          </w:p>
        </w:tc>
        <w:tc>
          <w:tcPr>
            <w:tcW w:w="3376" w:type="dxa"/>
            <w:vAlign w:val="center"/>
          </w:tcPr>
          <w:p w14:paraId="465B8653" w14:textId="77777777" w:rsidR="007D1E74" w:rsidRDefault="00A95641">
            <w:pPr>
              <w:jc w:val="center"/>
              <w:rPr>
                <w:rFonts w:cs="Times New Roman"/>
                <w:szCs w:val="21"/>
              </w:rPr>
            </w:pPr>
            <w:r>
              <w:rPr>
                <w:rFonts w:cs="Times New Roman"/>
                <w:szCs w:val="21"/>
              </w:rPr>
              <w:t>地形数据精度（</w:t>
            </w:r>
            <w:r>
              <w:rPr>
                <w:rFonts w:cs="Times New Roman"/>
                <w:szCs w:val="21"/>
              </w:rPr>
              <w:t>m</w:t>
            </w:r>
            <w:r>
              <w:rPr>
                <w:rFonts w:cs="Times New Roman"/>
                <w:szCs w:val="21"/>
              </w:rPr>
              <w:t>）</w:t>
            </w:r>
          </w:p>
        </w:tc>
        <w:tc>
          <w:tcPr>
            <w:tcW w:w="3377" w:type="dxa"/>
            <w:vAlign w:val="center"/>
          </w:tcPr>
          <w:p w14:paraId="403CEA5B" w14:textId="77777777" w:rsidR="007D1E74" w:rsidRDefault="00A95641">
            <w:pPr>
              <w:jc w:val="center"/>
              <w:rPr>
                <w:rFonts w:cs="Times New Roman"/>
                <w:szCs w:val="21"/>
              </w:rPr>
            </w:pPr>
            <w:r>
              <w:rPr>
                <w:rFonts w:cs="Times New Roman"/>
                <w:szCs w:val="21"/>
              </w:rPr>
              <w:t>/</w:t>
            </w:r>
          </w:p>
        </w:tc>
      </w:tr>
    </w:tbl>
    <w:p w14:paraId="5F3C8134" w14:textId="77777777" w:rsidR="007D1E74" w:rsidRDefault="00A95641">
      <w:pPr>
        <w:pStyle w:val="aa"/>
      </w:pPr>
      <w:r>
        <w:rPr>
          <w:rFonts w:hint="eastAsia"/>
        </w:rPr>
        <w:t>大气</w:t>
      </w:r>
      <w:r>
        <w:t>毒性终点浓度值</w:t>
      </w:r>
    </w:p>
    <w:p w14:paraId="2F357EBC" w14:textId="77777777" w:rsidR="007D1E74" w:rsidRDefault="00A95641">
      <w:pPr>
        <w:spacing w:line="360" w:lineRule="auto"/>
        <w:ind w:firstLineChars="200" w:firstLine="480"/>
        <w:rPr>
          <w:sz w:val="24"/>
          <w:szCs w:val="24"/>
        </w:rPr>
      </w:pPr>
      <w:r>
        <w:rPr>
          <w:rFonts w:hint="eastAsia"/>
          <w:sz w:val="24"/>
          <w:szCs w:val="24"/>
        </w:rPr>
        <w:t>大气毒性终点浓度即预测评价标准，分为</w:t>
      </w:r>
      <w:r>
        <w:rPr>
          <w:rFonts w:hint="eastAsia"/>
          <w:sz w:val="24"/>
          <w:szCs w:val="24"/>
        </w:rPr>
        <w:t>1</w:t>
      </w:r>
      <w:r>
        <w:rPr>
          <w:rFonts w:hint="eastAsia"/>
          <w:sz w:val="24"/>
          <w:szCs w:val="24"/>
        </w:rPr>
        <w:t>、</w:t>
      </w:r>
      <w:r>
        <w:rPr>
          <w:rFonts w:hint="eastAsia"/>
          <w:sz w:val="24"/>
          <w:szCs w:val="24"/>
        </w:rPr>
        <w:t>2</w:t>
      </w:r>
      <w:r>
        <w:rPr>
          <w:rFonts w:hint="eastAsia"/>
          <w:sz w:val="24"/>
          <w:szCs w:val="24"/>
        </w:rPr>
        <w:t>级，其中：</w:t>
      </w:r>
      <w:r>
        <w:rPr>
          <w:rFonts w:hint="eastAsia"/>
          <w:sz w:val="24"/>
          <w:szCs w:val="24"/>
        </w:rPr>
        <w:t>1</w:t>
      </w:r>
      <w:r>
        <w:rPr>
          <w:rFonts w:hint="eastAsia"/>
          <w:sz w:val="24"/>
          <w:szCs w:val="24"/>
        </w:rPr>
        <w:t>级为当大气中危险物质浓度低于该限值时，绝大多数人员暴露</w:t>
      </w:r>
      <w:r>
        <w:rPr>
          <w:rFonts w:hint="eastAsia"/>
          <w:sz w:val="24"/>
          <w:szCs w:val="24"/>
        </w:rPr>
        <w:t>1h</w:t>
      </w:r>
      <w:r>
        <w:rPr>
          <w:rFonts w:hint="eastAsia"/>
          <w:sz w:val="24"/>
          <w:szCs w:val="24"/>
        </w:rPr>
        <w:t>不会对生命造成威胁，当超过该限值时，有可能对人群造成生命威胁；</w:t>
      </w:r>
      <w:r>
        <w:rPr>
          <w:rFonts w:hint="eastAsia"/>
          <w:sz w:val="24"/>
          <w:szCs w:val="24"/>
        </w:rPr>
        <w:t>2</w:t>
      </w:r>
      <w:r>
        <w:rPr>
          <w:rFonts w:hint="eastAsia"/>
          <w:sz w:val="24"/>
          <w:szCs w:val="24"/>
        </w:rPr>
        <w:t>级为当大气中危险物质浓度低于该限值时，暴露</w:t>
      </w:r>
      <w:r>
        <w:rPr>
          <w:rFonts w:hint="eastAsia"/>
          <w:sz w:val="24"/>
          <w:szCs w:val="24"/>
        </w:rPr>
        <w:t>1h</w:t>
      </w:r>
      <w:r>
        <w:rPr>
          <w:rFonts w:hint="eastAsia"/>
          <w:sz w:val="24"/>
          <w:szCs w:val="24"/>
        </w:rPr>
        <w:t>一般不会对人体造成不可逆的伤害，或出现的症状一般不会损伤该个体采取有效防护措施的能力。</w:t>
      </w:r>
    </w:p>
    <w:p w14:paraId="324BB9C8" w14:textId="77777777" w:rsidR="007D1E74" w:rsidRDefault="00A95641">
      <w:pPr>
        <w:spacing w:line="360" w:lineRule="auto"/>
        <w:ind w:firstLineChars="200" w:firstLine="480"/>
        <w:rPr>
          <w:sz w:val="24"/>
          <w:szCs w:val="24"/>
        </w:rPr>
      </w:pPr>
      <w:r>
        <w:rPr>
          <w:rFonts w:hint="eastAsia"/>
          <w:sz w:val="24"/>
          <w:szCs w:val="24"/>
        </w:rPr>
        <w:t>根据《建设项目环境风险评价技术导则》（</w:t>
      </w:r>
      <w:r>
        <w:rPr>
          <w:rFonts w:hint="eastAsia"/>
          <w:sz w:val="24"/>
          <w:szCs w:val="24"/>
        </w:rPr>
        <w:t>HJ169-2018</w:t>
      </w:r>
      <w:r>
        <w:rPr>
          <w:rFonts w:hint="eastAsia"/>
          <w:sz w:val="24"/>
          <w:szCs w:val="24"/>
        </w:rPr>
        <w:t>）附录</w:t>
      </w:r>
      <w:r>
        <w:rPr>
          <w:rFonts w:hint="eastAsia"/>
          <w:sz w:val="24"/>
          <w:szCs w:val="24"/>
        </w:rPr>
        <w:t>H</w:t>
      </w:r>
      <w:r>
        <w:rPr>
          <w:rFonts w:hint="eastAsia"/>
          <w:sz w:val="24"/>
          <w:szCs w:val="24"/>
        </w:rPr>
        <w:t>，本项目火灾伴生</w:t>
      </w:r>
      <w:r>
        <w:rPr>
          <w:rFonts w:hint="eastAsia"/>
          <w:sz w:val="24"/>
          <w:szCs w:val="24"/>
        </w:rPr>
        <w:t>/</w:t>
      </w:r>
      <w:r>
        <w:rPr>
          <w:rFonts w:hint="eastAsia"/>
          <w:sz w:val="24"/>
          <w:szCs w:val="24"/>
        </w:rPr>
        <w:t>次生污染物天然气（以甲烷计）、一氧化碳大气毒性终点浓度值见下表。</w:t>
      </w:r>
    </w:p>
    <w:p w14:paraId="1E22EC13" w14:textId="77777777" w:rsidR="007D1E74" w:rsidRDefault="00A95641">
      <w:pPr>
        <w:pStyle w:val="afffffe"/>
        <w:numPr>
          <w:ilvl w:val="0"/>
          <w:numId w:val="51"/>
        </w:numPr>
        <w:spacing w:line="360" w:lineRule="auto"/>
        <w:ind w:firstLineChars="0"/>
        <w:jc w:val="center"/>
        <w:rPr>
          <w:rFonts w:eastAsia="黑体" w:cs="Times New Roman"/>
          <w:szCs w:val="21"/>
        </w:rPr>
      </w:pPr>
      <w:r>
        <w:rPr>
          <w:rFonts w:eastAsia="黑体" w:cs="Times New Roman" w:hint="eastAsia"/>
          <w:szCs w:val="21"/>
        </w:rPr>
        <w:t>危险物质大气毒性终点浓度值</w:t>
      </w:r>
    </w:p>
    <w:tbl>
      <w:tblPr>
        <w:tblStyle w:val="affffc"/>
        <w:tblW w:w="0" w:type="auto"/>
        <w:tblLook w:val="04A0" w:firstRow="1" w:lastRow="0" w:firstColumn="1" w:lastColumn="0" w:noHBand="0" w:noVBand="1"/>
      </w:tblPr>
      <w:tblGrid>
        <w:gridCol w:w="2263"/>
        <w:gridCol w:w="1418"/>
        <w:gridCol w:w="2667"/>
        <w:gridCol w:w="2668"/>
      </w:tblGrid>
      <w:tr w:rsidR="007D1E74" w14:paraId="526981D2" w14:textId="77777777">
        <w:tc>
          <w:tcPr>
            <w:tcW w:w="2263" w:type="dxa"/>
            <w:vAlign w:val="center"/>
          </w:tcPr>
          <w:p w14:paraId="3CC75424" w14:textId="77777777" w:rsidR="007D1E74" w:rsidRDefault="00A95641">
            <w:pPr>
              <w:jc w:val="center"/>
              <w:rPr>
                <w:rFonts w:cs="Times New Roman"/>
                <w:szCs w:val="21"/>
              </w:rPr>
            </w:pPr>
            <w:r>
              <w:rPr>
                <w:rFonts w:cs="Times New Roman"/>
                <w:szCs w:val="21"/>
              </w:rPr>
              <w:t>物质名称</w:t>
            </w:r>
          </w:p>
        </w:tc>
        <w:tc>
          <w:tcPr>
            <w:tcW w:w="1418" w:type="dxa"/>
            <w:vAlign w:val="center"/>
          </w:tcPr>
          <w:p w14:paraId="45F3CE9B" w14:textId="77777777" w:rsidR="007D1E74" w:rsidRDefault="00A95641">
            <w:pPr>
              <w:jc w:val="center"/>
              <w:rPr>
                <w:rFonts w:cs="Times New Roman"/>
                <w:szCs w:val="21"/>
              </w:rPr>
            </w:pPr>
            <w:r>
              <w:rPr>
                <w:rFonts w:cs="Times New Roman"/>
                <w:szCs w:val="21"/>
              </w:rPr>
              <w:t>CAS</w:t>
            </w:r>
            <w:r>
              <w:rPr>
                <w:rFonts w:cs="Times New Roman"/>
                <w:szCs w:val="21"/>
              </w:rPr>
              <w:t>号</w:t>
            </w:r>
          </w:p>
        </w:tc>
        <w:tc>
          <w:tcPr>
            <w:tcW w:w="2667" w:type="dxa"/>
            <w:vAlign w:val="center"/>
          </w:tcPr>
          <w:p w14:paraId="3549EEDE" w14:textId="77777777" w:rsidR="007D1E74" w:rsidRDefault="00A95641">
            <w:pPr>
              <w:jc w:val="center"/>
              <w:rPr>
                <w:rFonts w:cs="Times New Roman"/>
                <w:szCs w:val="21"/>
              </w:rPr>
            </w:pPr>
            <w:r>
              <w:rPr>
                <w:rFonts w:cs="Times New Roman"/>
                <w:szCs w:val="21"/>
              </w:rPr>
              <w:t>毒性终点浓度</w:t>
            </w:r>
            <w:r>
              <w:rPr>
                <w:rFonts w:cs="Times New Roman"/>
                <w:szCs w:val="21"/>
              </w:rPr>
              <w:t>-1</w:t>
            </w:r>
            <w:r>
              <w:rPr>
                <w:rFonts w:cs="Times New Roman"/>
                <w:szCs w:val="21"/>
              </w:rPr>
              <w:t>（</w:t>
            </w:r>
            <w:r>
              <w:rPr>
                <w:rFonts w:cs="Times New Roman"/>
                <w:szCs w:val="21"/>
              </w:rPr>
              <w:t>mg/m</w:t>
            </w:r>
            <w:r>
              <w:rPr>
                <w:rFonts w:cs="Times New Roman"/>
                <w:szCs w:val="21"/>
                <w:vertAlign w:val="superscript"/>
              </w:rPr>
              <w:t>3</w:t>
            </w:r>
            <w:r>
              <w:rPr>
                <w:rFonts w:cs="Times New Roman"/>
                <w:szCs w:val="21"/>
              </w:rPr>
              <w:t>）</w:t>
            </w:r>
          </w:p>
        </w:tc>
        <w:tc>
          <w:tcPr>
            <w:tcW w:w="2668" w:type="dxa"/>
            <w:vAlign w:val="center"/>
          </w:tcPr>
          <w:p w14:paraId="705D9D54" w14:textId="77777777" w:rsidR="007D1E74" w:rsidRDefault="00A95641">
            <w:pPr>
              <w:jc w:val="center"/>
              <w:rPr>
                <w:rFonts w:cs="Times New Roman"/>
                <w:szCs w:val="21"/>
              </w:rPr>
            </w:pPr>
            <w:r>
              <w:rPr>
                <w:rFonts w:cs="Times New Roman"/>
                <w:szCs w:val="21"/>
              </w:rPr>
              <w:t>毒性终点浓度</w:t>
            </w:r>
            <w:r>
              <w:rPr>
                <w:rFonts w:cs="Times New Roman"/>
                <w:szCs w:val="21"/>
              </w:rPr>
              <w:t>-2</w:t>
            </w:r>
            <w:r>
              <w:rPr>
                <w:rFonts w:cs="Times New Roman"/>
                <w:szCs w:val="21"/>
              </w:rPr>
              <w:t>（</w:t>
            </w:r>
            <w:r>
              <w:rPr>
                <w:rFonts w:cs="Times New Roman"/>
                <w:szCs w:val="21"/>
              </w:rPr>
              <w:t>mg/m</w:t>
            </w:r>
            <w:r>
              <w:rPr>
                <w:rFonts w:cs="Times New Roman"/>
                <w:szCs w:val="21"/>
                <w:vertAlign w:val="superscript"/>
              </w:rPr>
              <w:t>3</w:t>
            </w:r>
            <w:r>
              <w:rPr>
                <w:rFonts w:cs="Times New Roman"/>
                <w:szCs w:val="21"/>
              </w:rPr>
              <w:t>）</w:t>
            </w:r>
          </w:p>
        </w:tc>
      </w:tr>
      <w:tr w:rsidR="007D1E74" w14:paraId="2A1DAAAE" w14:textId="77777777">
        <w:tc>
          <w:tcPr>
            <w:tcW w:w="2263" w:type="dxa"/>
            <w:vAlign w:val="center"/>
          </w:tcPr>
          <w:p w14:paraId="34A63B1E" w14:textId="77777777" w:rsidR="007D1E74" w:rsidRDefault="00A95641">
            <w:pPr>
              <w:jc w:val="center"/>
              <w:rPr>
                <w:rFonts w:cs="Times New Roman"/>
                <w:szCs w:val="21"/>
              </w:rPr>
            </w:pPr>
            <w:r>
              <w:rPr>
                <w:rFonts w:cs="Times New Roman" w:hint="eastAsia"/>
                <w:szCs w:val="21"/>
              </w:rPr>
              <w:t>甲烷</w:t>
            </w:r>
          </w:p>
        </w:tc>
        <w:tc>
          <w:tcPr>
            <w:tcW w:w="1418" w:type="dxa"/>
            <w:vAlign w:val="center"/>
          </w:tcPr>
          <w:p w14:paraId="6836C1F7" w14:textId="77777777" w:rsidR="007D1E74" w:rsidRDefault="00A95641">
            <w:pPr>
              <w:jc w:val="center"/>
              <w:rPr>
                <w:rFonts w:cs="Times New Roman"/>
                <w:szCs w:val="21"/>
              </w:rPr>
            </w:pPr>
            <w:r>
              <w:rPr>
                <w:rFonts w:cs="Times New Roman" w:hint="eastAsia"/>
                <w:szCs w:val="21"/>
              </w:rPr>
              <w:t>7</w:t>
            </w:r>
            <w:r>
              <w:rPr>
                <w:rFonts w:cs="Times New Roman"/>
                <w:szCs w:val="21"/>
              </w:rPr>
              <w:t>4-82-8</w:t>
            </w:r>
          </w:p>
        </w:tc>
        <w:tc>
          <w:tcPr>
            <w:tcW w:w="2667" w:type="dxa"/>
            <w:vAlign w:val="center"/>
          </w:tcPr>
          <w:p w14:paraId="17BC194B" w14:textId="77777777" w:rsidR="007D1E74" w:rsidRDefault="00A95641">
            <w:pPr>
              <w:jc w:val="center"/>
              <w:rPr>
                <w:rFonts w:cs="Times New Roman"/>
                <w:szCs w:val="21"/>
              </w:rPr>
            </w:pPr>
            <w:r>
              <w:rPr>
                <w:rFonts w:cs="Times New Roman" w:hint="eastAsia"/>
                <w:szCs w:val="21"/>
              </w:rPr>
              <w:t>2</w:t>
            </w:r>
            <w:r>
              <w:rPr>
                <w:rFonts w:cs="Times New Roman"/>
                <w:szCs w:val="21"/>
              </w:rPr>
              <w:t>60000</w:t>
            </w:r>
          </w:p>
        </w:tc>
        <w:tc>
          <w:tcPr>
            <w:tcW w:w="2668" w:type="dxa"/>
            <w:vAlign w:val="center"/>
          </w:tcPr>
          <w:p w14:paraId="26230FB0" w14:textId="77777777" w:rsidR="007D1E74" w:rsidRDefault="00A95641">
            <w:pPr>
              <w:jc w:val="center"/>
              <w:rPr>
                <w:rFonts w:cs="Times New Roman"/>
                <w:szCs w:val="21"/>
              </w:rPr>
            </w:pPr>
            <w:r>
              <w:rPr>
                <w:rFonts w:cs="Times New Roman" w:hint="eastAsia"/>
                <w:szCs w:val="21"/>
              </w:rPr>
              <w:t>1</w:t>
            </w:r>
            <w:r>
              <w:rPr>
                <w:rFonts w:cs="Times New Roman"/>
                <w:szCs w:val="21"/>
              </w:rPr>
              <w:t>50000</w:t>
            </w:r>
          </w:p>
        </w:tc>
      </w:tr>
      <w:tr w:rsidR="007D1E74" w14:paraId="30C9BBDB" w14:textId="77777777">
        <w:tc>
          <w:tcPr>
            <w:tcW w:w="2263" w:type="dxa"/>
            <w:vAlign w:val="center"/>
          </w:tcPr>
          <w:p w14:paraId="4F29A396" w14:textId="77777777" w:rsidR="007D1E74" w:rsidRDefault="00A95641">
            <w:pPr>
              <w:jc w:val="center"/>
              <w:rPr>
                <w:rFonts w:cs="Times New Roman"/>
                <w:szCs w:val="21"/>
              </w:rPr>
            </w:pPr>
            <w:r>
              <w:rPr>
                <w:rFonts w:cs="Times New Roman" w:hint="eastAsia"/>
                <w:szCs w:val="21"/>
              </w:rPr>
              <w:t>一氧化碳</w:t>
            </w:r>
          </w:p>
        </w:tc>
        <w:tc>
          <w:tcPr>
            <w:tcW w:w="1418" w:type="dxa"/>
            <w:vAlign w:val="center"/>
          </w:tcPr>
          <w:p w14:paraId="0B758B2F" w14:textId="77777777" w:rsidR="007D1E74" w:rsidRDefault="00A95641">
            <w:pPr>
              <w:jc w:val="center"/>
              <w:rPr>
                <w:rFonts w:cs="Times New Roman"/>
                <w:szCs w:val="21"/>
              </w:rPr>
            </w:pPr>
            <w:r>
              <w:rPr>
                <w:rFonts w:cs="Times New Roman" w:hint="eastAsia"/>
                <w:szCs w:val="21"/>
              </w:rPr>
              <w:t>6</w:t>
            </w:r>
            <w:r>
              <w:rPr>
                <w:rFonts w:cs="Times New Roman"/>
                <w:szCs w:val="21"/>
              </w:rPr>
              <w:t>30-08-0</w:t>
            </w:r>
          </w:p>
        </w:tc>
        <w:tc>
          <w:tcPr>
            <w:tcW w:w="2667" w:type="dxa"/>
            <w:vAlign w:val="center"/>
          </w:tcPr>
          <w:p w14:paraId="37694DCF" w14:textId="77777777" w:rsidR="007D1E74" w:rsidRDefault="00A95641">
            <w:pPr>
              <w:jc w:val="center"/>
              <w:rPr>
                <w:rFonts w:cs="Times New Roman"/>
                <w:szCs w:val="21"/>
              </w:rPr>
            </w:pPr>
            <w:r>
              <w:rPr>
                <w:rFonts w:cs="Times New Roman" w:hint="eastAsia"/>
                <w:szCs w:val="21"/>
              </w:rPr>
              <w:t>3</w:t>
            </w:r>
            <w:r>
              <w:rPr>
                <w:rFonts w:cs="Times New Roman"/>
                <w:szCs w:val="21"/>
              </w:rPr>
              <w:t>80</w:t>
            </w:r>
          </w:p>
        </w:tc>
        <w:tc>
          <w:tcPr>
            <w:tcW w:w="2668" w:type="dxa"/>
            <w:vAlign w:val="center"/>
          </w:tcPr>
          <w:p w14:paraId="5DDADFD4" w14:textId="77777777" w:rsidR="007D1E74" w:rsidRDefault="00A95641">
            <w:pPr>
              <w:jc w:val="center"/>
              <w:rPr>
                <w:rFonts w:cs="Times New Roman"/>
                <w:szCs w:val="21"/>
              </w:rPr>
            </w:pPr>
            <w:r>
              <w:rPr>
                <w:rFonts w:cs="Times New Roman" w:hint="eastAsia"/>
                <w:szCs w:val="21"/>
              </w:rPr>
              <w:t>9</w:t>
            </w:r>
            <w:r>
              <w:rPr>
                <w:rFonts w:cs="Times New Roman"/>
                <w:szCs w:val="21"/>
              </w:rPr>
              <w:t>5</w:t>
            </w:r>
          </w:p>
        </w:tc>
      </w:tr>
    </w:tbl>
    <w:p w14:paraId="4638935B" w14:textId="77777777" w:rsidR="007D1E74" w:rsidRDefault="00A95641">
      <w:pPr>
        <w:pStyle w:val="aa"/>
      </w:pPr>
      <w:r>
        <w:rPr>
          <w:rFonts w:hint="eastAsia"/>
        </w:rPr>
        <w:t>预测结果</w:t>
      </w:r>
    </w:p>
    <w:p w14:paraId="0379D8E3" w14:textId="77777777" w:rsidR="007D1E74" w:rsidRDefault="00A95641">
      <w:pPr>
        <w:pStyle w:val="afffff7"/>
        <w:ind w:firstLine="482"/>
      </w:pPr>
      <w:r>
        <w:rPr>
          <w:rFonts w:hint="eastAsia"/>
        </w:rPr>
        <w:t>1</w:t>
      </w:r>
      <w:r>
        <w:rPr>
          <w:rFonts w:hint="eastAsia"/>
        </w:rPr>
        <w:t>、天然气泄漏事故预测结果</w:t>
      </w:r>
    </w:p>
    <w:p w14:paraId="7482333C" w14:textId="77777777" w:rsidR="007D1E74" w:rsidRDefault="00A95641">
      <w:pPr>
        <w:spacing w:line="360" w:lineRule="auto"/>
        <w:ind w:firstLineChars="200" w:firstLine="480"/>
        <w:rPr>
          <w:sz w:val="24"/>
          <w:szCs w:val="24"/>
        </w:rPr>
      </w:pPr>
      <w:r>
        <w:rPr>
          <w:rFonts w:hint="eastAsia"/>
          <w:sz w:val="24"/>
          <w:szCs w:val="24"/>
        </w:rPr>
        <w:t>天然气管道断裂后，气流的抬升高度直接影响到预测结果，根据收集的一些天然气管道事故的有关报道，多数大孔径、高压力管道断裂时天然气气流的喷射高度可达</w:t>
      </w:r>
      <w:r>
        <w:rPr>
          <w:rFonts w:hint="eastAsia"/>
          <w:sz w:val="24"/>
          <w:szCs w:val="24"/>
        </w:rPr>
        <w:t>60m</w:t>
      </w:r>
      <w:r>
        <w:rPr>
          <w:rFonts w:hint="eastAsia"/>
          <w:sz w:val="24"/>
          <w:szCs w:val="24"/>
        </w:rPr>
        <w:t>以上。由于最大落地浓度与烟气的抬升高度成反比例关系，因此本报告偏保守考虑，抬升高度以</w:t>
      </w:r>
      <w:r>
        <w:rPr>
          <w:rFonts w:hint="eastAsia"/>
          <w:sz w:val="24"/>
          <w:szCs w:val="24"/>
        </w:rPr>
        <w:t>30m</w:t>
      </w:r>
      <w:r>
        <w:rPr>
          <w:rFonts w:hint="eastAsia"/>
          <w:sz w:val="24"/>
          <w:szCs w:val="24"/>
        </w:rPr>
        <w:t>进行预测评价。</w:t>
      </w:r>
    </w:p>
    <w:p w14:paraId="41F47C88" w14:textId="77777777" w:rsidR="007D1E74" w:rsidRDefault="00A95641">
      <w:pPr>
        <w:spacing w:line="360" w:lineRule="auto"/>
        <w:ind w:firstLineChars="200" w:firstLine="480"/>
        <w:rPr>
          <w:sz w:val="24"/>
          <w:szCs w:val="24"/>
        </w:rPr>
      </w:pPr>
      <w:r>
        <w:rPr>
          <w:rFonts w:hint="eastAsia"/>
          <w:sz w:val="24"/>
          <w:szCs w:val="24"/>
        </w:rPr>
        <w:t>设定情景下，集输管道发生泄漏事故后，甲烷在空气中的扩散影响预测结果见下表。</w:t>
      </w:r>
    </w:p>
    <w:p w14:paraId="5B5A516F" w14:textId="77777777" w:rsidR="007D1E74" w:rsidRDefault="00A95641">
      <w:pPr>
        <w:pStyle w:val="afffffe"/>
        <w:numPr>
          <w:ilvl w:val="0"/>
          <w:numId w:val="51"/>
        </w:numPr>
        <w:spacing w:line="360" w:lineRule="auto"/>
        <w:ind w:firstLineChars="0"/>
        <w:jc w:val="center"/>
        <w:rPr>
          <w:rFonts w:eastAsia="黑体" w:cs="Times New Roman"/>
          <w:szCs w:val="21"/>
        </w:rPr>
      </w:pPr>
      <w:r>
        <w:rPr>
          <w:rFonts w:eastAsia="黑体" w:cs="Times New Roman" w:hint="eastAsia"/>
          <w:szCs w:val="21"/>
        </w:rPr>
        <w:lastRenderedPageBreak/>
        <w:t>天然气泄漏预测最大浓度及毒性终点浓度影响范围</w:t>
      </w:r>
    </w:p>
    <w:tbl>
      <w:tblPr>
        <w:tblStyle w:val="affffc"/>
        <w:tblW w:w="5000" w:type="pct"/>
        <w:tblLayout w:type="fixed"/>
        <w:tblLook w:val="04A0" w:firstRow="1" w:lastRow="0" w:firstColumn="1" w:lastColumn="0" w:noHBand="0" w:noVBand="1"/>
      </w:tblPr>
      <w:tblGrid>
        <w:gridCol w:w="1645"/>
        <w:gridCol w:w="689"/>
        <w:gridCol w:w="826"/>
        <w:gridCol w:w="963"/>
        <w:gridCol w:w="1100"/>
        <w:gridCol w:w="961"/>
        <w:gridCol w:w="963"/>
        <w:gridCol w:w="957"/>
        <w:gridCol w:w="912"/>
      </w:tblGrid>
      <w:tr w:rsidR="007D1E74" w14:paraId="1E67B99B" w14:textId="77777777">
        <w:trPr>
          <w:tblHeader/>
        </w:trPr>
        <w:tc>
          <w:tcPr>
            <w:tcW w:w="912" w:type="pct"/>
            <w:vMerge w:val="restart"/>
            <w:vAlign w:val="center"/>
          </w:tcPr>
          <w:p w14:paraId="32F2FBF9" w14:textId="77777777" w:rsidR="007D1E74" w:rsidRDefault="00A95641">
            <w:pPr>
              <w:jc w:val="center"/>
              <w:rPr>
                <w:rFonts w:cs="Times New Roman"/>
                <w:sz w:val="18"/>
                <w:szCs w:val="18"/>
              </w:rPr>
            </w:pPr>
            <w:r>
              <w:rPr>
                <w:rFonts w:cs="Times New Roman"/>
                <w:sz w:val="18"/>
                <w:szCs w:val="18"/>
              </w:rPr>
              <w:t>管段</w:t>
            </w:r>
          </w:p>
        </w:tc>
        <w:tc>
          <w:tcPr>
            <w:tcW w:w="382" w:type="pct"/>
            <w:vMerge w:val="restart"/>
            <w:vAlign w:val="center"/>
          </w:tcPr>
          <w:p w14:paraId="2EB94178" w14:textId="77777777" w:rsidR="007D1E74" w:rsidRDefault="00A95641">
            <w:pPr>
              <w:jc w:val="center"/>
              <w:rPr>
                <w:rFonts w:cs="Times New Roman"/>
                <w:sz w:val="18"/>
                <w:szCs w:val="18"/>
              </w:rPr>
            </w:pPr>
            <w:r>
              <w:rPr>
                <w:rFonts w:cs="Times New Roman"/>
                <w:sz w:val="18"/>
                <w:szCs w:val="18"/>
              </w:rPr>
              <w:t>危险物质</w:t>
            </w:r>
          </w:p>
        </w:tc>
        <w:tc>
          <w:tcPr>
            <w:tcW w:w="1602" w:type="pct"/>
            <w:gridSpan w:val="3"/>
            <w:vAlign w:val="center"/>
          </w:tcPr>
          <w:p w14:paraId="14117369" w14:textId="77777777" w:rsidR="007D1E74" w:rsidRDefault="00A95641">
            <w:pPr>
              <w:jc w:val="center"/>
              <w:rPr>
                <w:rFonts w:cs="Times New Roman"/>
                <w:sz w:val="18"/>
                <w:szCs w:val="18"/>
              </w:rPr>
            </w:pPr>
            <w:r>
              <w:rPr>
                <w:rFonts w:cs="Times New Roman"/>
                <w:sz w:val="18"/>
                <w:szCs w:val="18"/>
              </w:rPr>
              <w:t>最大浓度值</w:t>
            </w:r>
          </w:p>
        </w:tc>
        <w:tc>
          <w:tcPr>
            <w:tcW w:w="2104" w:type="pct"/>
            <w:gridSpan w:val="4"/>
            <w:vAlign w:val="center"/>
          </w:tcPr>
          <w:p w14:paraId="7C853C50" w14:textId="77777777" w:rsidR="007D1E74" w:rsidRDefault="00A95641">
            <w:pPr>
              <w:jc w:val="center"/>
              <w:rPr>
                <w:rFonts w:cs="Times New Roman"/>
                <w:sz w:val="18"/>
                <w:szCs w:val="18"/>
              </w:rPr>
            </w:pPr>
            <w:r>
              <w:rPr>
                <w:rFonts w:cs="Times New Roman" w:hint="eastAsia"/>
                <w:sz w:val="18"/>
                <w:szCs w:val="18"/>
              </w:rPr>
              <w:t>影响</w:t>
            </w:r>
            <w:r>
              <w:rPr>
                <w:rFonts w:cs="Times New Roman"/>
                <w:sz w:val="18"/>
                <w:szCs w:val="18"/>
              </w:rPr>
              <w:t>半径</w:t>
            </w:r>
          </w:p>
        </w:tc>
      </w:tr>
      <w:tr w:rsidR="007D1E74" w14:paraId="7453E02D" w14:textId="77777777">
        <w:trPr>
          <w:tblHeader/>
        </w:trPr>
        <w:tc>
          <w:tcPr>
            <w:tcW w:w="912" w:type="pct"/>
            <w:vMerge/>
            <w:vAlign w:val="center"/>
          </w:tcPr>
          <w:p w14:paraId="0C48428F" w14:textId="77777777" w:rsidR="007D1E74" w:rsidRDefault="007D1E74">
            <w:pPr>
              <w:jc w:val="center"/>
              <w:rPr>
                <w:rFonts w:cs="Times New Roman"/>
                <w:sz w:val="18"/>
                <w:szCs w:val="18"/>
              </w:rPr>
            </w:pPr>
          </w:p>
        </w:tc>
        <w:tc>
          <w:tcPr>
            <w:tcW w:w="382" w:type="pct"/>
            <w:vMerge/>
            <w:vAlign w:val="center"/>
          </w:tcPr>
          <w:p w14:paraId="4B2E13DB" w14:textId="77777777" w:rsidR="007D1E74" w:rsidRDefault="007D1E74">
            <w:pPr>
              <w:jc w:val="center"/>
              <w:rPr>
                <w:rFonts w:cs="Times New Roman"/>
                <w:sz w:val="18"/>
                <w:szCs w:val="18"/>
              </w:rPr>
            </w:pPr>
          </w:p>
        </w:tc>
        <w:tc>
          <w:tcPr>
            <w:tcW w:w="458" w:type="pct"/>
            <w:vMerge w:val="restart"/>
            <w:vAlign w:val="center"/>
          </w:tcPr>
          <w:p w14:paraId="41BCA355" w14:textId="77777777" w:rsidR="007D1E74" w:rsidRDefault="00A95641">
            <w:pPr>
              <w:jc w:val="center"/>
              <w:rPr>
                <w:rFonts w:cs="Times New Roman"/>
                <w:sz w:val="18"/>
                <w:szCs w:val="18"/>
              </w:rPr>
            </w:pPr>
            <w:r>
              <w:rPr>
                <w:rFonts w:cs="Times New Roman"/>
                <w:sz w:val="18"/>
                <w:szCs w:val="18"/>
              </w:rPr>
              <w:t>距离（</w:t>
            </w:r>
            <w:r>
              <w:rPr>
                <w:rFonts w:cs="Times New Roman"/>
                <w:sz w:val="18"/>
                <w:szCs w:val="18"/>
              </w:rPr>
              <w:t>m</w:t>
            </w:r>
            <w:r>
              <w:rPr>
                <w:rFonts w:cs="Times New Roman"/>
                <w:sz w:val="18"/>
                <w:szCs w:val="18"/>
              </w:rPr>
              <w:t>）</w:t>
            </w:r>
          </w:p>
        </w:tc>
        <w:tc>
          <w:tcPr>
            <w:tcW w:w="534" w:type="pct"/>
            <w:vMerge w:val="restart"/>
            <w:vAlign w:val="center"/>
          </w:tcPr>
          <w:p w14:paraId="7CD2C77F" w14:textId="77777777" w:rsidR="007D1E74" w:rsidRDefault="00A95641">
            <w:pPr>
              <w:jc w:val="center"/>
              <w:rPr>
                <w:rFonts w:cs="Times New Roman"/>
                <w:sz w:val="18"/>
                <w:szCs w:val="18"/>
              </w:rPr>
            </w:pPr>
            <w:r>
              <w:rPr>
                <w:rFonts w:cs="Times New Roman"/>
                <w:sz w:val="18"/>
                <w:szCs w:val="18"/>
              </w:rPr>
              <w:t>出现时间（</w:t>
            </w:r>
            <w:r>
              <w:rPr>
                <w:rFonts w:cs="Times New Roman"/>
                <w:sz w:val="18"/>
                <w:szCs w:val="18"/>
              </w:rPr>
              <w:t>min</w:t>
            </w:r>
            <w:r>
              <w:rPr>
                <w:rFonts w:cs="Times New Roman"/>
                <w:sz w:val="18"/>
                <w:szCs w:val="18"/>
              </w:rPr>
              <w:t>）</w:t>
            </w:r>
          </w:p>
        </w:tc>
        <w:tc>
          <w:tcPr>
            <w:tcW w:w="610" w:type="pct"/>
            <w:vMerge w:val="restart"/>
            <w:vAlign w:val="center"/>
          </w:tcPr>
          <w:p w14:paraId="3D3C4840" w14:textId="77777777" w:rsidR="007D1E74" w:rsidRDefault="00A95641">
            <w:pPr>
              <w:jc w:val="center"/>
              <w:rPr>
                <w:rFonts w:cs="Times New Roman"/>
                <w:sz w:val="18"/>
                <w:szCs w:val="18"/>
              </w:rPr>
            </w:pPr>
            <w:r>
              <w:rPr>
                <w:rFonts w:cs="Times New Roman"/>
                <w:sz w:val="18"/>
                <w:szCs w:val="18"/>
              </w:rPr>
              <w:t>高峰浓度（</w:t>
            </w:r>
            <w:r>
              <w:rPr>
                <w:rFonts w:cs="Times New Roman"/>
                <w:sz w:val="18"/>
                <w:szCs w:val="18"/>
              </w:rPr>
              <w:t>mg/m</w:t>
            </w:r>
            <w:r>
              <w:rPr>
                <w:rFonts w:cs="Times New Roman"/>
                <w:sz w:val="18"/>
                <w:szCs w:val="18"/>
                <w:vertAlign w:val="superscript"/>
              </w:rPr>
              <w:t>3</w:t>
            </w:r>
            <w:r>
              <w:rPr>
                <w:rFonts w:cs="Times New Roman"/>
                <w:sz w:val="18"/>
                <w:szCs w:val="18"/>
              </w:rPr>
              <w:t>）</w:t>
            </w:r>
          </w:p>
        </w:tc>
        <w:tc>
          <w:tcPr>
            <w:tcW w:w="1067" w:type="pct"/>
            <w:gridSpan w:val="2"/>
            <w:vAlign w:val="center"/>
          </w:tcPr>
          <w:p w14:paraId="4CAC957E" w14:textId="77777777" w:rsidR="007D1E74" w:rsidRDefault="00A95641">
            <w:pPr>
              <w:jc w:val="center"/>
              <w:rPr>
                <w:rFonts w:cs="Times New Roman"/>
                <w:sz w:val="18"/>
                <w:szCs w:val="18"/>
              </w:rPr>
            </w:pPr>
            <w:r>
              <w:rPr>
                <w:rFonts w:cs="Times New Roman"/>
                <w:sz w:val="18"/>
                <w:szCs w:val="18"/>
              </w:rPr>
              <w:t>毒性终点浓度</w:t>
            </w:r>
            <w:r>
              <w:rPr>
                <w:rFonts w:cs="Times New Roman"/>
                <w:sz w:val="18"/>
                <w:szCs w:val="18"/>
              </w:rPr>
              <w:t>-1</w:t>
            </w:r>
          </w:p>
        </w:tc>
        <w:tc>
          <w:tcPr>
            <w:tcW w:w="1037" w:type="pct"/>
            <w:gridSpan w:val="2"/>
            <w:vAlign w:val="center"/>
          </w:tcPr>
          <w:p w14:paraId="13EFDF3D" w14:textId="77777777" w:rsidR="007D1E74" w:rsidRDefault="00A95641">
            <w:pPr>
              <w:jc w:val="center"/>
              <w:rPr>
                <w:rFonts w:cs="Times New Roman"/>
                <w:sz w:val="18"/>
                <w:szCs w:val="18"/>
              </w:rPr>
            </w:pPr>
            <w:r>
              <w:rPr>
                <w:rFonts w:cs="Times New Roman"/>
                <w:sz w:val="18"/>
                <w:szCs w:val="18"/>
              </w:rPr>
              <w:t>毒性终点浓度</w:t>
            </w:r>
            <w:r>
              <w:rPr>
                <w:rFonts w:cs="Times New Roman"/>
                <w:sz w:val="18"/>
                <w:szCs w:val="18"/>
              </w:rPr>
              <w:t>-2</w:t>
            </w:r>
          </w:p>
        </w:tc>
      </w:tr>
      <w:tr w:rsidR="007D1E74" w14:paraId="1E96AE0E" w14:textId="77777777">
        <w:trPr>
          <w:trHeight w:val="185"/>
          <w:tblHeader/>
        </w:trPr>
        <w:tc>
          <w:tcPr>
            <w:tcW w:w="912" w:type="pct"/>
            <w:vMerge/>
            <w:vAlign w:val="center"/>
          </w:tcPr>
          <w:p w14:paraId="50CC2751" w14:textId="77777777" w:rsidR="007D1E74" w:rsidRDefault="007D1E74">
            <w:pPr>
              <w:jc w:val="center"/>
              <w:rPr>
                <w:rFonts w:cs="Times New Roman"/>
                <w:sz w:val="18"/>
                <w:szCs w:val="18"/>
              </w:rPr>
            </w:pPr>
          </w:p>
        </w:tc>
        <w:tc>
          <w:tcPr>
            <w:tcW w:w="382" w:type="pct"/>
            <w:vMerge/>
            <w:vAlign w:val="center"/>
          </w:tcPr>
          <w:p w14:paraId="430D29C3" w14:textId="77777777" w:rsidR="007D1E74" w:rsidRDefault="007D1E74">
            <w:pPr>
              <w:jc w:val="center"/>
              <w:rPr>
                <w:rFonts w:cs="Times New Roman"/>
                <w:sz w:val="18"/>
                <w:szCs w:val="18"/>
              </w:rPr>
            </w:pPr>
          </w:p>
        </w:tc>
        <w:tc>
          <w:tcPr>
            <w:tcW w:w="458" w:type="pct"/>
            <w:vMerge/>
            <w:vAlign w:val="center"/>
          </w:tcPr>
          <w:p w14:paraId="6B0807C9" w14:textId="77777777" w:rsidR="007D1E74" w:rsidRDefault="007D1E74">
            <w:pPr>
              <w:jc w:val="center"/>
              <w:rPr>
                <w:rFonts w:cs="Times New Roman"/>
                <w:sz w:val="18"/>
                <w:szCs w:val="18"/>
              </w:rPr>
            </w:pPr>
          </w:p>
        </w:tc>
        <w:tc>
          <w:tcPr>
            <w:tcW w:w="534" w:type="pct"/>
            <w:vMerge/>
            <w:vAlign w:val="center"/>
          </w:tcPr>
          <w:p w14:paraId="2E1FA414" w14:textId="77777777" w:rsidR="007D1E74" w:rsidRDefault="007D1E74">
            <w:pPr>
              <w:jc w:val="center"/>
              <w:rPr>
                <w:rFonts w:cs="Times New Roman"/>
                <w:sz w:val="18"/>
                <w:szCs w:val="18"/>
              </w:rPr>
            </w:pPr>
          </w:p>
        </w:tc>
        <w:tc>
          <w:tcPr>
            <w:tcW w:w="610" w:type="pct"/>
            <w:vMerge/>
            <w:vAlign w:val="center"/>
          </w:tcPr>
          <w:p w14:paraId="0EE66910" w14:textId="77777777" w:rsidR="007D1E74" w:rsidRDefault="007D1E74">
            <w:pPr>
              <w:jc w:val="center"/>
              <w:rPr>
                <w:rFonts w:cs="Times New Roman"/>
                <w:sz w:val="18"/>
                <w:szCs w:val="18"/>
              </w:rPr>
            </w:pPr>
          </w:p>
        </w:tc>
        <w:tc>
          <w:tcPr>
            <w:tcW w:w="533" w:type="pct"/>
            <w:vAlign w:val="center"/>
          </w:tcPr>
          <w:p w14:paraId="38593D77" w14:textId="77777777" w:rsidR="007D1E74" w:rsidRDefault="00A95641">
            <w:pPr>
              <w:jc w:val="center"/>
              <w:rPr>
                <w:rFonts w:cs="Times New Roman"/>
                <w:sz w:val="18"/>
                <w:szCs w:val="18"/>
              </w:rPr>
            </w:pPr>
            <w:r>
              <w:rPr>
                <w:rFonts w:cs="Times New Roman"/>
                <w:sz w:val="18"/>
                <w:szCs w:val="18"/>
              </w:rPr>
              <w:t>最远距离（</w:t>
            </w:r>
            <w:r>
              <w:rPr>
                <w:rFonts w:cs="Times New Roman"/>
                <w:sz w:val="18"/>
                <w:szCs w:val="18"/>
              </w:rPr>
              <w:t>m</w:t>
            </w:r>
            <w:r>
              <w:rPr>
                <w:rFonts w:cs="Times New Roman"/>
                <w:sz w:val="18"/>
                <w:szCs w:val="18"/>
              </w:rPr>
              <w:t>）</w:t>
            </w:r>
          </w:p>
        </w:tc>
        <w:tc>
          <w:tcPr>
            <w:tcW w:w="534" w:type="pct"/>
            <w:vAlign w:val="center"/>
          </w:tcPr>
          <w:p w14:paraId="5297CFFA" w14:textId="77777777" w:rsidR="007D1E74" w:rsidRDefault="00A95641">
            <w:pPr>
              <w:jc w:val="center"/>
              <w:rPr>
                <w:rFonts w:cs="Times New Roman"/>
                <w:sz w:val="18"/>
                <w:szCs w:val="18"/>
              </w:rPr>
            </w:pPr>
            <w:r>
              <w:rPr>
                <w:rFonts w:cs="Times New Roman"/>
                <w:sz w:val="18"/>
                <w:szCs w:val="18"/>
              </w:rPr>
              <w:t>到达时间（</w:t>
            </w:r>
            <w:r>
              <w:rPr>
                <w:rFonts w:cs="Times New Roman"/>
                <w:sz w:val="18"/>
                <w:szCs w:val="18"/>
              </w:rPr>
              <w:t>min</w:t>
            </w:r>
            <w:r>
              <w:rPr>
                <w:rFonts w:cs="Times New Roman"/>
                <w:sz w:val="18"/>
                <w:szCs w:val="18"/>
              </w:rPr>
              <w:t>）</w:t>
            </w:r>
          </w:p>
        </w:tc>
        <w:tc>
          <w:tcPr>
            <w:tcW w:w="531" w:type="pct"/>
            <w:vAlign w:val="center"/>
          </w:tcPr>
          <w:p w14:paraId="25128A2E" w14:textId="77777777" w:rsidR="007D1E74" w:rsidRDefault="00A95641">
            <w:pPr>
              <w:jc w:val="center"/>
              <w:rPr>
                <w:rFonts w:cs="Times New Roman"/>
                <w:sz w:val="18"/>
                <w:szCs w:val="18"/>
              </w:rPr>
            </w:pPr>
            <w:r>
              <w:rPr>
                <w:rFonts w:cs="Times New Roman"/>
                <w:sz w:val="18"/>
                <w:szCs w:val="18"/>
              </w:rPr>
              <w:t>最远距离（</w:t>
            </w:r>
            <w:r>
              <w:rPr>
                <w:rFonts w:cs="Times New Roman"/>
                <w:sz w:val="18"/>
                <w:szCs w:val="18"/>
              </w:rPr>
              <w:t>m</w:t>
            </w:r>
            <w:r>
              <w:rPr>
                <w:rFonts w:cs="Times New Roman"/>
                <w:sz w:val="18"/>
                <w:szCs w:val="18"/>
              </w:rPr>
              <w:t>）</w:t>
            </w:r>
          </w:p>
        </w:tc>
        <w:tc>
          <w:tcPr>
            <w:tcW w:w="506" w:type="pct"/>
            <w:vAlign w:val="center"/>
          </w:tcPr>
          <w:p w14:paraId="534BD0D0" w14:textId="77777777" w:rsidR="007D1E74" w:rsidRDefault="00A95641">
            <w:pPr>
              <w:rPr>
                <w:rFonts w:cs="Times New Roman"/>
                <w:sz w:val="18"/>
                <w:szCs w:val="18"/>
              </w:rPr>
            </w:pPr>
            <w:r>
              <w:rPr>
                <w:rFonts w:cs="Times New Roman"/>
                <w:sz w:val="18"/>
                <w:szCs w:val="18"/>
              </w:rPr>
              <w:t>到达时间（</w:t>
            </w:r>
            <w:r>
              <w:rPr>
                <w:rFonts w:cs="Times New Roman"/>
                <w:sz w:val="18"/>
                <w:szCs w:val="18"/>
              </w:rPr>
              <w:t>min</w:t>
            </w:r>
            <w:r>
              <w:rPr>
                <w:rFonts w:cs="Times New Roman"/>
                <w:sz w:val="18"/>
                <w:szCs w:val="18"/>
              </w:rPr>
              <w:t>）</w:t>
            </w:r>
          </w:p>
        </w:tc>
      </w:tr>
      <w:tr w:rsidR="007D1E74" w14:paraId="4DD0967B" w14:textId="77777777">
        <w:tc>
          <w:tcPr>
            <w:tcW w:w="912" w:type="pct"/>
            <w:vAlign w:val="center"/>
          </w:tcPr>
          <w:p w14:paraId="15A0178B" w14:textId="77777777" w:rsidR="007D1E74" w:rsidRDefault="00A95641">
            <w:pPr>
              <w:widowControl/>
              <w:jc w:val="center"/>
              <w:rPr>
                <w:rFonts w:cs="Times New Roman"/>
                <w:kern w:val="0"/>
                <w:sz w:val="18"/>
                <w:szCs w:val="18"/>
              </w:rPr>
            </w:pPr>
            <w:r>
              <w:rPr>
                <w:rFonts w:cs="Times New Roman"/>
                <w:kern w:val="0"/>
                <w:sz w:val="18"/>
                <w:szCs w:val="18"/>
              </w:rPr>
              <w:t>1#</w:t>
            </w:r>
            <w:r>
              <w:rPr>
                <w:rFonts w:cs="Times New Roman"/>
                <w:kern w:val="0"/>
                <w:sz w:val="18"/>
                <w:szCs w:val="18"/>
              </w:rPr>
              <w:t>阀室至马</w:t>
            </w:r>
            <w:r>
              <w:rPr>
                <w:rFonts w:cs="Times New Roman"/>
                <w:kern w:val="0"/>
                <w:sz w:val="18"/>
                <w:szCs w:val="18"/>
              </w:rPr>
              <w:t>1-11</w:t>
            </w:r>
            <w:r>
              <w:rPr>
                <w:rFonts w:cs="Times New Roman"/>
                <w:kern w:val="0"/>
                <w:sz w:val="18"/>
                <w:szCs w:val="18"/>
              </w:rPr>
              <w:t>脱水井场集输干线</w:t>
            </w:r>
          </w:p>
        </w:tc>
        <w:tc>
          <w:tcPr>
            <w:tcW w:w="382" w:type="pct"/>
            <w:vMerge w:val="restart"/>
            <w:vAlign w:val="center"/>
          </w:tcPr>
          <w:p w14:paraId="39B3FBC6" w14:textId="77777777" w:rsidR="007D1E74" w:rsidRDefault="00A95641">
            <w:pPr>
              <w:jc w:val="center"/>
              <w:rPr>
                <w:rFonts w:cs="Times New Roman"/>
                <w:sz w:val="18"/>
                <w:szCs w:val="18"/>
              </w:rPr>
            </w:pPr>
            <w:r>
              <w:rPr>
                <w:rFonts w:cs="Times New Roman" w:hint="eastAsia"/>
                <w:sz w:val="18"/>
                <w:szCs w:val="18"/>
              </w:rPr>
              <w:t>甲烷</w:t>
            </w:r>
          </w:p>
        </w:tc>
        <w:tc>
          <w:tcPr>
            <w:tcW w:w="458" w:type="pct"/>
            <w:vAlign w:val="center"/>
          </w:tcPr>
          <w:p w14:paraId="48CEB152" w14:textId="77777777" w:rsidR="007D1E74" w:rsidRDefault="00A95641">
            <w:pPr>
              <w:jc w:val="center"/>
              <w:rPr>
                <w:rFonts w:cs="Times New Roman"/>
                <w:sz w:val="18"/>
                <w:szCs w:val="18"/>
              </w:rPr>
            </w:pPr>
            <w:r>
              <w:rPr>
                <w:rFonts w:cs="Times New Roman" w:hint="eastAsia"/>
                <w:sz w:val="18"/>
                <w:szCs w:val="18"/>
              </w:rPr>
              <w:t>6</w:t>
            </w:r>
            <w:r>
              <w:rPr>
                <w:rFonts w:cs="Times New Roman"/>
                <w:sz w:val="18"/>
                <w:szCs w:val="18"/>
              </w:rPr>
              <w:t>30</w:t>
            </w:r>
          </w:p>
        </w:tc>
        <w:tc>
          <w:tcPr>
            <w:tcW w:w="534" w:type="pct"/>
            <w:vAlign w:val="center"/>
          </w:tcPr>
          <w:p w14:paraId="3C758130" w14:textId="77777777" w:rsidR="007D1E74" w:rsidRDefault="00A95641">
            <w:pPr>
              <w:jc w:val="center"/>
              <w:rPr>
                <w:rFonts w:cs="Times New Roman"/>
                <w:sz w:val="18"/>
                <w:szCs w:val="18"/>
              </w:rPr>
            </w:pPr>
            <w:r>
              <w:rPr>
                <w:rFonts w:cs="Times New Roman" w:hint="eastAsia"/>
                <w:sz w:val="18"/>
                <w:szCs w:val="18"/>
              </w:rPr>
              <w:t>7</w:t>
            </w:r>
          </w:p>
        </w:tc>
        <w:tc>
          <w:tcPr>
            <w:tcW w:w="610" w:type="pct"/>
            <w:vAlign w:val="center"/>
          </w:tcPr>
          <w:p w14:paraId="02E9E595" w14:textId="77777777" w:rsidR="007D1E74" w:rsidRDefault="00A95641">
            <w:pPr>
              <w:jc w:val="center"/>
              <w:rPr>
                <w:rFonts w:cs="Times New Roman"/>
                <w:sz w:val="18"/>
                <w:szCs w:val="18"/>
              </w:rPr>
            </w:pPr>
            <w:r>
              <w:rPr>
                <w:rFonts w:cs="Times New Roman"/>
                <w:sz w:val="18"/>
                <w:szCs w:val="18"/>
              </w:rPr>
              <w:t>3575.30</w:t>
            </w:r>
          </w:p>
        </w:tc>
        <w:tc>
          <w:tcPr>
            <w:tcW w:w="533" w:type="pct"/>
            <w:vAlign w:val="center"/>
          </w:tcPr>
          <w:p w14:paraId="6219421E" w14:textId="77777777" w:rsidR="007D1E74" w:rsidRDefault="00A95641">
            <w:pPr>
              <w:jc w:val="center"/>
              <w:rPr>
                <w:rFonts w:cs="Times New Roman"/>
                <w:sz w:val="18"/>
                <w:szCs w:val="18"/>
              </w:rPr>
            </w:pPr>
            <w:r>
              <w:rPr>
                <w:rFonts w:cs="Times New Roman" w:hint="eastAsia"/>
                <w:sz w:val="18"/>
                <w:szCs w:val="18"/>
              </w:rPr>
              <w:t>/</w:t>
            </w:r>
          </w:p>
        </w:tc>
        <w:tc>
          <w:tcPr>
            <w:tcW w:w="534" w:type="pct"/>
            <w:vAlign w:val="center"/>
          </w:tcPr>
          <w:p w14:paraId="7E0A738E" w14:textId="77777777" w:rsidR="007D1E74" w:rsidRDefault="00A95641">
            <w:pPr>
              <w:jc w:val="center"/>
              <w:rPr>
                <w:rFonts w:cs="Times New Roman"/>
                <w:sz w:val="18"/>
                <w:szCs w:val="18"/>
              </w:rPr>
            </w:pPr>
            <w:r>
              <w:rPr>
                <w:rFonts w:cs="Times New Roman" w:hint="eastAsia"/>
                <w:sz w:val="18"/>
                <w:szCs w:val="18"/>
              </w:rPr>
              <w:t>/</w:t>
            </w:r>
          </w:p>
        </w:tc>
        <w:tc>
          <w:tcPr>
            <w:tcW w:w="531" w:type="pct"/>
            <w:vAlign w:val="center"/>
          </w:tcPr>
          <w:p w14:paraId="72000CB0" w14:textId="77777777" w:rsidR="007D1E74" w:rsidRDefault="00A95641">
            <w:pPr>
              <w:jc w:val="center"/>
              <w:rPr>
                <w:rFonts w:cs="Times New Roman"/>
                <w:sz w:val="18"/>
                <w:szCs w:val="18"/>
              </w:rPr>
            </w:pPr>
            <w:r>
              <w:rPr>
                <w:rFonts w:cs="Times New Roman" w:hint="eastAsia"/>
                <w:sz w:val="18"/>
                <w:szCs w:val="18"/>
              </w:rPr>
              <w:t>/</w:t>
            </w:r>
          </w:p>
        </w:tc>
        <w:tc>
          <w:tcPr>
            <w:tcW w:w="506" w:type="pct"/>
            <w:vAlign w:val="center"/>
          </w:tcPr>
          <w:p w14:paraId="06F3B0C1" w14:textId="77777777" w:rsidR="007D1E74" w:rsidRDefault="00A95641">
            <w:pPr>
              <w:jc w:val="center"/>
              <w:rPr>
                <w:rFonts w:cs="Times New Roman"/>
                <w:sz w:val="18"/>
                <w:szCs w:val="18"/>
              </w:rPr>
            </w:pPr>
            <w:r>
              <w:rPr>
                <w:rFonts w:cs="Times New Roman" w:hint="eastAsia"/>
                <w:sz w:val="18"/>
                <w:szCs w:val="18"/>
              </w:rPr>
              <w:t>/</w:t>
            </w:r>
          </w:p>
        </w:tc>
      </w:tr>
      <w:tr w:rsidR="007D1E74" w14:paraId="08968157" w14:textId="77777777">
        <w:tc>
          <w:tcPr>
            <w:tcW w:w="912" w:type="pct"/>
            <w:vAlign w:val="center"/>
          </w:tcPr>
          <w:p w14:paraId="5629D9A1" w14:textId="77777777" w:rsidR="007D1E74" w:rsidRDefault="00A95641">
            <w:pPr>
              <w:widowControl/>
              <w:jc w:val="center"/>
              <w:rPr>
                <w:rFonts w:cs="Times New Roman"/>
                <w:kern w:val="0"/>
                <w:sz w:val="18"/>
                <w:szCs w:val="18"/>
              </w:rPr>
            </w:pPr>
            <w:r>
              <w:rPr>
                <w:rFonts w:cs="Times New Roman"/>
                <w:kern w:val="0"/>
                <w:sz w:val="18"/>
                <w:szCs w:val="18"/>
              </w:rPr>
              <w:t>马</w:t>
            </w:r>
            <w:r>
              <w:rPr>
                <w:rFonts w:cs="Times New Roman"/>
                <w:kern w:val="0"/>
                <w:sz w:val="18"/>
                <w:szCs w:val="18"/>
              </w:rPr>
              <w:t>1-10H</w:t>
            </w:r>
            <w:r>
              <w:rPr>
                <w:rFonts w:cs="Times New Roman"/>
                <w:kern w:val="0"/>
                <w:sz w:val="18"/>
                <w:szCs w:val="18"/>
              </w:rPr>
              <w:t>采气井场至马</w:t>
            </w:r>
            <w:r>
              <w:rPr>
                <w:rFonts w:cs="Times New Roman"/>
                <w:kern w:val="0"/>
                <w:sz w:val="18"/>
                <w:szCs w:val="18"/>
              </w:rPr>
              <w:t>1-1</w:t>
            </w:r>
            <w:r>
              <w:rPr>
                <w:rFonts w:cs="Times New Roman"/>
                <w:kern w:val="0"/>
                <w:sz w:val="18"/>
                <w:szCs w:val="18"/>
              </w:rPr>
              <w:t>集气支线</w:t>
            </w:r>
          </w:p>
        </w:tc>
        <w:tc>
          <w:tcPr>
            <w:tcW w:w="382" w:type="pct"/>
            <w:vMerge/>
            <w:vAlign w:val="center"/>
          </w:tcPr>
          <w:p w14:paraId="1E8ED360" w14:textId="77777777" w:rsidR="007D1E74" w:rsidRDefault="007D1E74">
            <w:pPr>
              <w:jc w:val="center"/>
              <w:rPr>
                <w:rFonts w:cs="Times New Roman"/>
                <w:sz w:val="18"/>
                <w:szCs w:val="18"/>
              </w:rPr>
            </w:pPr>
          </w:p>
        </w:tc>
        <w:tc>
          <w:tcPr>
            <w:tcW w:w="458" w:type="pct"/>
            <w:vAlign w:val="center"/>
          </w:tcPr>
          <w:p w14:paraId="684FD434" w14:textId="77777777" w:rsidR="007D1E74" w:rsidRDefault="00A95641">
            <w:pPr>
              <w:jc w:val="center"/>
              <w:rPr>
                <w:rFonts w:cs="Times New Roman"/>
                <w:sz w:val="18"/>
                <w:szCs w:val="18"/>
              </w:rPr>
            </w:pPr>
            <w:r>
              <w:rPr>
                <w:rFonts w:cs="Times New Roman" w:hint="eastAsia"/>
                <w:sz w:val="18"/>
                <w:szCs w:val="18"/>
              </w:rPr>
              <w:t>6</w:t>
            </w:r>
            <w:r>
              <w:rPr>
                <w:rFonts w:cs="Times New Roman"/>
                <w:sz w:val="18"/>
                <w:szCs w:val="18"/>
              </w:rPr>
              <w:t>30</w:t>
            </w:r>
          </w:p>
        </w:tc>
        <w:tc>
          <w:tcPr>
            <w:tcW w:w="534" w:type="pct"/>
            <w:vAlign w:val="center"/>
          </w:tcPr>
          <w:p w14:paraId="598CAFEC" w14:textId="77777777" w:rsidR="007D1E74" w:rsidRDefault="00A95641">
            <w:pPr>
              <w:jc w:val="center"/>
              <w:rPr>
                <w:rFonts w:cs="Times New Roman"/>
                <w:sz w:val="18"/>
                <w:szCs w:val="18"/>
              </w:rPr>
            </w:pPr>
            <w:r>
              <w:rPr>
                <w:rFonts w:cs="Times New Roman" w:hint="eastAsia"/>
                <w:sz w:val="18"/>
                <w:szCs w:val="18"/>
              </w:rPr>
              <w:t>7</w:t>
            </w:r>
          </w:p>
        </w:tc>
        <w:tc>
          <w:tcPr>
            <w:tcW w:w="610" w:type="pct"/>
            <w:vAlign w:val="center"/>
          </w:tcPr>
          <w:p w14:paraId="0545D332" w14:textId="77777777" w:rsidR="007D1E74" w:rsidRDefault="00A95641">
            <w:pPr>
              <w:jc w:val="center"/>
              <w:rPr>
                <w:rFonts w:cs="Times New Roman"/>
                <w:sz w:val="18"/>
                <w:szCs w:val="18"/>
              </w:rPr>
            </w:pPr>
            <w:r>
              <w:rPr>
                <w:rFonts w:cs="Times New Roman" w:hint="eastAsia"/>
                <w:sz w:val="18"/>
                <w:szCs w:val="18"/>
              </w:rPr>
              <w:t>3</w:t>
            </w:r>
            <w:r>
              <w:rPr>
                <w:rFonts w:cs="Times New Roman"/>
                <w:sz w:val="18"/>
                <w:szCs w:val="18"/>
              </w:rPr>
              <w:t>01.88</w:t>
            </w:r>
          </w:p>
        </w:tc>
        <w:tc>
          <w:tcPr>
            <w:tcW w:w="533" w:type="pct"/>
            <w:vAlign w:val="center"/>
          </w:tcPr>
          <w:p w14:paraId="62C3CC33" w14:textId="77777777" w:rsidR="007D1E74" w:rsidRDefault="00A95641">
            <w:pPr>
              <w:jc w:val="center"/>
              <w:rPr>
                <w:rFonts w:cs="Times New Roman"/>
                <w:sz w:val="18"/>
                <w:szCs w:val="18"/>
              </w:rPr>
            </w:pPr>
            <w:r>
              <w:rPr>
                <w:rFonts w:cs="Times New Roman" w:hint="eastAsia"/>
                <w:sz w:val="18"/>
                <w:szCs w:val="18"/>
              </w:rPr>
              <w:t>/</w:t>
            </w:r>
          </w:p>
        </w:tc>
        <w:tc>
          <w:tcPr>
            <w:tcW w:w="534" w:type="pct"/>
            <w:vAlign w:val="center"/>
          </w:tcPr>
          <w:p w14:paraId="0C7DB2B9" w14:textId="77777777" w:rsidR="007D1E74" w:rsidRDefault="00A95641">
            <w:pPr>
              <w:jc w:val="center"/>
              <w:rPr>
                <w:rFonts w:cs="Times New Roman"/>
                <w:sz w:val="18"/>
                <w:szCs w:val="18"/>
              </w:rPr>
            </w:pPr>
            <w:r>
              <w:rPr>
                <w:rFonts w:cs="Times New Roman" w:hint="eastAsia"/>
                <w:sz w:val="18"/>
                <w:szCs w:val="18"/>
              </w:rPr>
              <w:t>/</w:t>
            </w:r>
          </w:p>
        </w:tc>
        <w:tc>
          <w:tcPr>
            <w:tcW w:w="531" w:type="pct"/>
            <w:vAlign w:val="center"/>
          </w:tcPr>
          <w:p w14:paraId="4D3E0FCA" w14:textId="77777777" w:rsidR="007D1E74" w:rsidRDefault="00A95641">
            <w:pPr>
              <w:jc w:val="center"/>
              <w:rPr>
                <w:rFonts w:cs="Times New Roman"/>
                <w:sz w:val="18"/>
                <w:szCs w:val="18"/>
              </w:rPr>
            </w:pPr>
            <w:r>
              <w:rPr>
                <w:rFonts w:cs="Times New Roman" w:hint="eastAsia"/>
                <w:sz w:val="18"/>
                <w:szCs w:val="18"/>
              </w:rPr>
              <w:t>/</w:t>
            </w:r>
          </w:p>
        </w:tc>
        <w:tc>
          <w:tcPr>
            <w:tcW w:w="506" w:type="pct"/>
            <w:vAlign w:val="center"/>
          </w:tcPr>
          <w:p w14:paraId="60F09524" w14:textId="77777777" w:rsidR="007D1E74" w:rsidRDefault="00A95641">
            <w:pPr>
              <w:jc w:val="center"/>
              <w:rPr>
                <w:rFonts w:cs="Times New Roman"/>
                <w:sz w:val="18"/>
                <w:szCs w:val="18"/>
              </w:rPr>
            </w:pPr>
            <w:r>
              <w:rPr>
                <w:rFonts w:cs="Times New Roman" w:hint="eastAsia"/>
                <w:sz w:val="18"/>
                <w:szCs w:val="18"/>
              </w:rPr>
              <w:t>/</w:t>
            </w:r>
          </w:p>
        </w:tc>
      </w:tr>
      <w:tr w:rsidR="007D1E74" w14:paraId="5B59C3F6" w14:textId="77777777">
        <w:tc>
          <w:tcPr>
            <w:tcW w:w="912" w:type="pct"/>
            <w:vAlign w:val="center"/>
          </w:tcPr>
          <w:p w14:paraId="10EC925E" w14:textId="77777777" w:rsidR="007D1E74" w:rsidRDefault="00A95641">
            <w:pPr>
              <w:widowControl/>
              <w:jc w:val="center"/>
              <w:rPr>
                <w:rFonts w:cs="Times New Roman"/>
                <w:kern w:val="0"/>
                <w:sz w:val="18"/>
                <w:szCs w:val="18"/>
              </w:rPr>
            </w:pPr>
            <w:r>
              <w:rPr>
                <w:rFonts w:cs="Times New Roman"/>
                <w:kern w:val="0"/>
                <w:sz w:val="18"/>
                <w:szCs w:val="18"/>
              </w:rPr>
              <w:t>马</w:t>
            </w:r>
            <w:r>
              <w:rPr>
                <w:rFonts w:cs="Times New Roman"/>
                <w:kern w:val="0"/>
                <w:sz w:val="18"/>
                <w:szCs w:val="18"/>
              </w:rPr>
              <w:t>1-1</w:t>
            </w:r>
            <w:r>
              <w:rPr>
                <w:rFonts w:cs="Times New Roman"/>
                <w:kern w:val="0"/>
                <w:sz w:val="18"/>
                <w:szCs w:val="18"/>
              </w:rPr>
              <w:t>采气井场至干线集气支线</w:t>
            </w:r>
          </w:p>
        </w:tc>
        <w:tc>
          <w:tcPr>
            <w:tcW w:w="382" w:type="pct"/>
            <w:vMerge/>
            <w:vAlign w:val="center"/>
          </w:tcPr>
          <w:p w14:paraId="5EB7D69F" w14:textId="77777777" w:rsidR="007D1E74" w:rsidRDefault="007D1E74">
            <w:pPr>
              <w:jc w:val="center"/>
              <w:rPr>
                <w:rFonts w:cs="Times New Roman"/>
                <w:sz w:val="18"/>
                <w:szCs w:val="18"/>
              </w:rPr>
            </w:pPr>
          </w:p>
        </w:tc>
        <w:tc>
          <w:tcPr>
            <w:tcW w:w="458" w:type="pct"/>
            <w:vAlign w:val="center"/>
          </w:tcPr>
          <w:p w14:paraId="4DB16DA0" w14:textId="77777777" w:rsidR="007D1E74" w:rsidRDefault="00A95641">
            <w:pPr>
              <w:jc w:val="center"/>
              <w:rPr>
                <w:rFonts w:cs="Times New Roman"/>
                <w:sz w:val="18"/>
                <w:szCs w:val="18"/>
              </w:rPr>
            </w:pPr>
            <w:r>
              <w:rPr>
                <w:rFonts w:cs="Times New Roman" w:hint="eastAsia"/>
                <w:sz w:val="18"/>
                <w:szCs w:val="18"/>
              </w:rPr>
              <w:t>6</w:t>
            </w:r>
            <w:r>
              <w:rPr>
                <w:rFonts w:cs="Times New Roman"/>
                <w:sz w:val="18"/>
                <w:szCs w:val="18"/>
              </w:rPr>
              <w:t>30</w:t>
            </w:r>
          </w:p>
        </w:tc>
        <w:tc>
          <w:tcPr>
            <w:tcW w:w="534" w:type="pct"/>
            <w:vAlign w:val="center"/>
          </w:tcPr>
          <w:p w14:paraId="2AC76121" w14:textId="77777777" w:rsidR="007D1E74" w:rsidRDefault="00A95641">
            <w:pPr>
              <w:jc w:val="center"/>
              <w:rPr>
                <w:rFonts w:cs="Times New Roman"/>
                <w:sz w:val="18"/>
                <w:szCs w:val="18"/>
              </w:rPr>
            </w:pPr>
            <w:r>
              <w:rPr>
                <w:rFonts w:cs="Times New Roman" w:hint="eastAsia"/>
                <w:sz w:val="18"/>
                <w:szCs w:val="18"/>
              </w:rPr>
              <w:t>7</w:t>
            </w:r>
          </w:p>
        </w:tc>
        <w:tc>
          <w:tcPr>
            <w:tcW w:w="610" w:type="pct"/>
            <w:vAlign w:val="center"/>
          </w:tcPr>
          <w:p w14:paraId="3DE5E5D6" w14:textId="77777777" w:rsidR="007D1E74" w:rsidRDefault="00A95641">
            <w:pPr>
              <w:jc w:val="center"/>
              <w:rPr>
                <w:rFonts w:cs="Times New Roman"/>
                <w:sz w:val="18"/>
                <w:szCs w:val="18"/>
              </w:rPr>
            </w:pPr>
            <w:r>
              <w:rPr>
                <w:rFonts w:cs="Times New Roman"/>
                <w:sz w:val="18"/>
                <w:szCs w:val="18"/>
              </w:rPr>
              <w:t>202.98</w:t>
            </w:r>
          </w:p>
        </w:tc>
        <w:tc>
          <w:tcPr>
            <w:tcW w:w="533" w:type="pct"/>
            <w:vAlign w:val="center"/>
          </w:tcPr>
          <w:p w14:paraId="37AF1B15" w14:textId="77777777" w:rsidR="007D1E74" w:rsidRDefault="00A95641">
            <w:pPr>
              <w:jc w:val="center"/>
              <w:rPr>
                <w:rFonts w:cs="Times New Roman"/>
                <w:sz w:val="18"/>
                <w:szCs w:val="18"/>
              </w:rPr>
            </w:pPr>
            <w:r>
              <w:rPr>
                <w:rFonts w:cs="Times New Roman" w:hint="eastAsia"/>
                <w:sz w:val="18"/>
                <w:szCs w:val="18"/>
              </w:rPr>
              <w:t>/</w:t>
            </w:r>
          </w:p>
        </w:tc>
        <w:tc>
          <w:tcPr>
            <w:tcW w:w="534" w:type="pct"/>
            <w:vAlign w:val="center"/>
          </w:tcPr>
          <w:p w14:paraId="53AED463" w14:textId="77777777" w:rsidR="007D1E74" w:rsidRDefault="00A95641">
            <w:pPr>
              <w:jc w:val="center"/>
              <w:rPr>
                <w:rFonts w:cs="Times New Roman"/>
                <w:sz w:val="18"/>
                <w:szCs w:val="18"/>
              </w:rPr>
            </w:pPr>
            <w:r>
              <w:rPr>
                <w:rFonts w:cs="Times New Roman" w:hint="eastAsia"/>
                <w:sz w:val="18"/>
                <w:szCs w:val="18"/>
              </w:rPr>
              <w:t>/</w:t>
            </w:r>
          </w:p>
        </w:tc>
        <w:tc>
          <w:tcPr>
            <w:tcW w:w="531" w:type="pct"/>
            <w:vAlign w:val="center"/>
          </w:tcPr>
          <w:p w14:paraId="7516B90C" w14:textId="77777777" w:rsidR="007D1E74" w:rsidRDefault="00A95641">
            <w:pPr>
              <w:jc w:val="center"/>
              <w:rPr>
                <w:rFonts w:cs="Times New Roman"/>
                <w:sz w:val="18"/>
                <w:szCs w:val="18"/>
              </w:rPr>
            </w:pPr>
            <w:r>
              <w:rPr>
                <w:rFonts w:cs="Times New Roman" w:hint="eastAsia"/>
                <w:sz w:val="18"/>
                <w:szCs w:val="18"/>
              </w:rPr>
              <w:t>/</w:t>
            </w:r>
          </w:p>
        </w:tc>
        <w:tc>
          <w:tcPr>
            <w:tcW w:w="506" w:type="pct"/>
            <w:vAlign w:val="center"/>
          </w:tcPr>
          <w:p w14:paraId="03C5EE75" w14:textId="77777777" w:rsidR="007D1E74" w:rsidRDefault="00A95641">
            <w:pPr>
              <w:jc w:val="center"/>
              <w:rPr>
                <w:rFonts w:cs="Times New Roman"/>
                <w:sz w:val="18"/>
                <w:szCs w:val="18"/>
              </w:rPr>
            </w:pPr>
            <w:r>
              <w:rPr>
                <w:rFonts w:cs="Times New Roman" w:hint="eastAsia"/>
                <w:sz w:val="18"/>
                <w:szCs w:val="18"/>
              </w:rPr>
              <w:t>/</w:t>
            </w:r>
          </w:p>
        </w:tc>
      </w:tr>
      <w:tr w:rsidR="007D1E74" w14:paraId="5289FD42" w14:textId="77777777">
        <w:tc>
          <w:tcPr>
            <w:tcW w:w="912" w:type="pct"/>
            <w:vAlign w:val="center"/>
          </w:tcPr>
          <w:p w14:paraId="1DBF9CD2" w14:textId="77777777" w:rsidR="007D1E74" w:rsidRDefault="00A95641">
            <w:pPr>
              <w:widowControl/>
              <w:jc w:val="center"/>
              <w:rPr>
                <w:rFonts w:cs="Times New Roman"/>
                <w:kern w:val="0"/>
                <w:sz w:val="18"/>
                <w:szCs w:val="18"/>
              </w:rPr>
            </w:pPr>
            <w:r>
              <w:rPr>
                <w:rFonts w:cs="Times New Roman"/>
                <w:kern w:val="0"/>
                <w:sz w:val="18"/>
                <w:szCs w:val="18"/>
              </w:rPr>
              <w:t>马</w:t>
            </w:r>
            <w:r>
              <w:rPr>
                <w:rFonts w:cs="Times New Roman"/>
                <w:kern w:val="0"/>
                <w:sz w:val="18"/>
                <w:szCs w:val="18"/>
              </w:rPr>
              <w:t>1-13H</w:t>
            </w:r>
            <w:r>
              <w:rPr>
                <w:rFonts w:cs="Times New Roman"/>
                <w:kern w:val="0"/>
                <w:sz w:val="18"/>
                <w:szCs w:val="18"/>
              </w:rPr>
              <w:t>采气井场至干线集气支线</w:t>
            </w:r>
          </w:p>
        </w:tc>
        <w:tc>
          <w:tcPr>
            <w:tcW w:w="382" w:type="pct"/>
            <w:vMerge/>
            <w:vAlign w:val="center"/>
          </w:tcPr>
          <w:p w14:paraId="5AEFDFB5" w14:textId="77777777" w:rsidR="007D1E74" w:rsidRDefault="007D1E74">
            <w:pPr>
              <w:jc w:val="center"/>
              <w:rPr>
                <w:rFonts w:cs="Times New Roman"/>
                <w:sz w:val="18"/>
                <w:szCs w:val="18"/>
              </w:rPr>
            </w:pPr>
          </w:p>
        </w:tc>
        <w:tc>
          <w:tcPr>
            <w:tcW w:w="458" w:type="pct"/>
            <w:vAlign w:val="center"/>
          </w:tcPr>
          <w:p w14:paraId="3F65FE2B" w14:textId="77777777" w:rsidR="007D1E74" w:rsidRDefault="00A95641">
            <w:pPr>
              <w:jc w:val="center"/>
              <w:rPr>
                <w:rFonts w:cs="Times New Roman"/>
                <w:sz w:val="18"/>
                <w:szCs w:val="18"/>
              </w:rPr>
            </w:pPr>
            <w:r>
              <w:rPr>
                <w:rFonts w:cs="Times New Roman" w:hint="eastAsia"/>
                <w:sz w:val="18"/>
                <w:szCs w:val="18"/>
              </w:rPr>
              <w:t>6</w:t>
            </w:r>
            <w:r>
              <w:rPr>
                <w:rFonts w:cs="Times New Roman"/>
                <w:sz w:val="18"/>
                <w:szCs w:val="18"/>
              </w:rPr>
              <w:t>30</w:t>
            </w:r>
          </w:p>
        </w:tc>
        <w:tc>
          <w:tcPr>
            <w:tcW w:w="534" w:type="pct"/>
            <w:vAlign w:val="center"/>
          </w:tcPr>
          <w:p w14:paraId="46D4822D" w14:textId="77777777" w:rsidR="007D1E74" w:rsidRDefault="00A95641">
            <w:pPr>
              <w:jc w:val="center"/>
              <w:rPr>
                <w:rFonts w:cs="Times New Roman"/>
                <w:sz w:val="18"/>
                <w:szCs w:val="18"/>
              </w:rPr>
            </w:pPr>
            <w:r>
              <w:rPr>
                <w:rFonts w:cs="Times New Roman" w:hint="eastAsia"/>
                <w:sz w:val="18"/>
                <w:szCs w:val="18"/>
              </w:rPr>
              <w:t>7</w:t>
            </w:r>
          </w:p>
        </w:tc>
        <w:tc>
          <w:tcPr>
            <w:tcW w:w="610" w:type="pct"/>
            <w:vAlign w:val="center"/>
          </w:tcPr>
          <w:p w14:paraId="6192C7EB" w14:textId="77777777" w:rsidR="007D1E74" w:rsidRDefault="00A95641">
            <w:pPr>
              <w:jc w:val="center"/>
              <w:rPr>
                <w:rFonts w:cs="Times New Roman"/>
                <w:sz w:val="18"/>
                <w:szCs w:val="18"/>
              </w:rPr>
            </w:pPr>
            <w:r>
              <w:rPr>
                <w:rFonts w:cs="Times New Roman" w:hint="eastAsia"/>
                <w:sz w:val="18"/>
                <w:szCs w:val="18"/>
              </w:rPr>
              <w:t>2</w:t>
            </w:r>
            <w:r>
              <w:rPr>
                <w:rFonts w:cs="Times New Roman"/>
                <w:sz w:val="18"/>
                <w:szCs w:val="18"/>
              </w:rPr>
              <w:t>06.42</w:t>
            </w:r>
          </w:p>
        </w:tc>
        <w:tc>
          <w:tcPr>
            <w:tcW w:w="533" w:type="pct"/>
            <w:vAlign w:val="center"/>
          </w:tcPr>
          <w:p w14:paraId="570C7ED3" w14:textId="77777777" w:rsidR="007D1E74" w:rsidRDefault="00A95641">
            <w:pPr>
              <w:jc w:val="center"/>
              <w:rPr>
                <w:rFonts w:cs="Times New Roman"/>
                <w:sz w:val="18"/>
                <w:szCs w:val="18"/>
              </w:rPr>
            </w:pPr>
            <w:r>
              <w:rPr>
                <w:rFonts w:cs="Times New Roman" w:hint="eastAsia"/>
                <w:sz w:val="18"/>
                <w:szCs w:val="18"/>
              </w:rPr>
              <w:t>/</w:t>
            </w:r>
          </w:p>
        </w:tc>
        <w:tc>
          <w:tcPr>
            <w:tcW w:w="534" w:type="pct"/>
            <w:vAlign w:val="center"/>
          </w:tcPr>
          <w:p w14:paraId="156A598B" w14:textId="77777777" w:rsidR="007D1E74" w:rsidRDefault="00A95641">
            <w:pPr>
              <w:jc w:val="center"/>
              <w:rPr>
                <w:rFonts w:cs="Times New Roman"/>
                <w:sz w:val="18"/>
                <w:szCs w:val="18"/>
              </w:rPr>
            </w:pPr>
            <w:r>
              <w:rPr>
                <w:rFonts w:cs="Times New Roman" w:hint="eastAsia"/>
                <w:sz w:val="18"/>
                <w:szCs w:val="18"/>
              </w:rPr>
              <w:t>/</w:t>
            </w:r>
          </w:p>
        </w:tc>
        <w:tc>
          <w:tcPr>
            <w:tcW w:w="531" w:type="pct"/>
            <w:vAlign w:val="center"/>
          </w:tcPr>
          <w:p w14:paraId="2BF9EAC3" w14:textId="77777777" w:rsidR="007D1E74" w:rsidRDefault="00A95641">
            <w:pPr>
              <w:jc w:val="center"/>
              <w:rPr>
                <w:rFonts w:cs="Times New Roman"/>
                <w:sz w:val="18"/>
                <w:szCs w:val="18"/>
              </w:rPr>
            </w:pPr>
            <w:r>
              <w:rPr>
                <w:rFonts w:cs="Times New Roman" w:hint="eastAsia"/>
                <w:sz w:val="18"/>
                <w:szCs w:val="18"/>
              </w:rPr>
              <w:t>/</w:t>
            </w:r>
          </w:p>
        </w:tc>
        <w:tc>
          <w:tcPr>
            <w:tcW w:w="506" w:type="pct"/>
            <w:vAlign w:val="center"/>
          </w:tcPr>
          <w:p w14:paraId="2DAFF656" w14:textId="77777777" w:rsidR="007D1E74" w:rsidRDefault="00A95641">
            <w:pPr>
              <w:jc w:val="center"/>
              <w:rPr>
                <w:rFonts w:cs="Times New Roman"/>
                <w:sz w:val="18"/>
                <w:szCs w:val="18"/>
              </w:rPr>
            </w:pPr>
            <w:r>
              <w:rPr>
                <w:rFonts w:cs="Times New Roman" w:hint="eastAsia"/>
                <w:sz w:val="18"/>
                <w:szCs w:val="18"/>
              </w:rPr>
              <w:t>/</w:t>
            </w:r>
          </w:p>
        </w:tc>
      </w:tr>
      <w:tr w:rsidR="007D1E74" w14:paraId="74A3D4F3" w14:textId="77777777">
        <w:tc>
          <w:tcPr>
            <w:tcW w:w="912" w:type="pct"/>
            <w:vAlign w:val="center"/>
          </w:tcPr>
          <w:p w14:paraId="12C5B9C7" w14:textId="77777777" w:rsidR="007D1E74" w:rsidRDefault="00A95641">
            <w:pPr>
              <w:widowControl/>
              <w:jc w:val="center"/>
              <w:rPr>
                <w:rFonts w:cs="Times New Roman"/>
                <w:kern w:val="0"/>
                <w:sz w:val="18"/>
                <w:szCs w:val="18"/>
              </w:rPr>
            </w:pPr>
            <w:r>
              <w:rPr>
                <w:rFonts w:cs="Times New Roman"/>
                <w:kern w:val="0"/>
                <w:sz w:val="18"/>
                <w:szCs w:val="18"/>
              </w:rPr>
              <w:t>马</w:t>
            </w:r>
            <w:r>
              <w:rPr>
                <w:rFonts w:cs="Times New Roman"/>
                <w:kern w:val="0"/>
                <w:sz w:val="18"/>
                <w:szCs w:val="18"/>
              </w:rPr>
              <w:t>1-12H</w:t>
            </w:r>
            <w:r>
              <w:rPr>
                <w:rFonts w:cs="Times New Roman"/>
                <w:kern w:val="0"/>
                <w:sz w:val="18"/>
                <w:szCs w:val="18"/>
              </w:rPr>
              <w:t>采气井场至干线集气支线</w:t>
            </w:r>
          </w:p>
        </w:tc>
        <w:tc>
          <w:tcPr>
            <w:tcW w:w="382" w:type="pct"/>
            <w:vMerge/>
            <w:vAlign w:val="center"/>
          </w:tcPr>
          <w:p w14:paraId="4674B0E1" w14:textId="77777777" w:rsidR="007D1E74" w:rsidRDefault="007D1E74">
            <w:pPr>
              <w:jc w:val="center"/>
              <w:rPr>
                <w:rFonts w:cs="Times New Roman"/>
                <w:sz w:val="18"/>
                <w:szCs w:val="18"/>
              </w:rPr>
            </w:pPr>
          </w:p>
        </w:tc>
        <w:tc>
          <w:tcPr>
            <w:tcW w:w="458" w:type="pct"/>
            <w:vAlign w:val="center"/>
          </w:tcPr>
          <w:p w14:paraId="05B27A50" w14:textId="77777777" w:rsidR="007D1E74" w:rsidRDefault="00A95641">
            <w:pPr>
              <w:jc w:val="center"/>
              <w:rPr>
                <w:rFonts w:cs="Times New Roman"/>
                <w:sz w:val="18"/>
                <w:szCs w:val="18"/>
              </w:rPr>
            </w:pPr>
            <w:r>
              <w:rPr>
                <w:rFonts w:cs="Times New Roman" w:hint="eastAsia"/>
                <w:sz w:val="18"/>
                <w:szCs w:val="18"/>
              </w:rPr>
              <w:t>6</w:t>
            </w:r>
            <w:r>
              <w:rPr>
                <w:rFonts w:cs="Times New Roman"/>
                <w:sz w:val="18"/>
                <w:szCs w:val="18"/>
              </w:rPr>
              <w:t>30</w:t>
            </w:r>
          </w:p>
        </w:tc>
        <w:tc>
          <w:tcPr>
            <w:tcW w:w="534" w:type="pct"/>
            <w:vAlign w:val="center"/>
          </w:tcPr>
          <w:p w14:paraId="2B0B08FC" w14:textId="77777777" w:rsidR="007D1E74" w:rsidRDefault="00A95641">
            <w:pPr>
              <w:jc w:val="center"/>
              <w:rPr>
                <w:rFonts w:cs="Times New Roman"/>
                <w:sz w:val="18"/>
                <w:szCs w:val="18"/>
              </w:rPr>
            </w:pPr>
            <w:r>
              <w:rPr>
                <w:rFonts w:cs="Times New Roman" w:hint="eastAsia"/>
                <w:sz w:val="18"/>
                <w:szCs w:val="18"/>
              </w:rPr>
              <w:t>7</w:t>
            </w:r>
          </w:p>
        </w:tc>
        <w:tc>
          <w:tcPr>
            <w:tcW w:w="610" w:type="pct"/>
            <w:vAlign w:val="center"/>
          </w:tcPr>
          <w:p w14:paraId="61646EAE" w14:textId="77777777" w:rsidR="007D1E74" w:rsidRDefault="00A95641">
            <w:pPr>
              <w:jc w:val="center"/>
              <w:rPr>
                <w:rFonts w:cs="Times New Roman"/>
                <w:sz w:val="18"/>
                <w:szCs w:val="18"/>
              </w:rPr>
            </w:pPr>
            <w:r>
              <w:rPr>
                <w:rFonts w:cs="Times New Roman" w:hint="eastAsia"/>
                <w:sz w:val="18"/>
                <w:szCs w:val="18"/>
              </w:rPr>
              <w:t>5</w:t>
            </w:r>
            <w:r>
              <w:rPr>
                <w:rFonts w:cs="Times New Roman"/>
                <w:sz w:val="18"/>
                <w:szCs w:val="18"/>
              </w:rPr>
              <w:t>29.80</w:t>
            </w:r>
          </w:p>
        </w:tc>
        <w:tc>
          <w:tcPr>
            <w:tcW w:w="533" w:type="pct"/>
            <w:vAlign w:val="center"/>
          </w:tcPr>
          <w:p w14:paraId="64F6FFD2" w14:textId="77777777" w:rsidR="007D1E74" w:rsidRDefault="00A95641">
            <w:pPr>
              <w:jc w:val="center"/>
              <w:rPr>
                <w:rFonts w:cs="Times New Roman"/>
                <w:sz w:val="18"/>
                <w:szCs w:val="18"/>
              </w:rPr>
            </w:pPr>
            <w:r>
              <w:rPr>
                <w:rFonts w:cs="Times New Roman" w:hint="eastAsia"/>
                <w:sz w:val="18"/>
                <w:szCs w:val="18"/>
              </w:rPr>
              <w:t>/</w:t>
            </w:r>
          </w:p>
        </w:tc>
        <w:tc>
          <w:tcPr>
            <w:tcW w:w="534" w:type="pct"/>
            <w:vAlign w:val="center"/>
          </w:tcPr>
          <w:p w14:paraId="72C109BB" w14:textId="77777777" w:rsidR="007D1E74" w:rsidRDefault="00A95641">
            <w:pPr>
              <w:jc w:val="center"/>
              <w:rPr>
                <w:rFonts w:cs="Times New Roman"/>
                <w:sz w:val="18"/>
                <w:szCs w:val="18"/>
              </w:rPr>
            </w:pPr>
            <w:r>
              <w:rPr>
                <w:rFonts w:cs="Times New Roman" w:hint="eastAsia"/>
                <w:sz w:val="18"/>
                <w:szCs w:val="18"/>
              </w:rPr>
              <w:t>/</w:t>
            </w:r>
          </w:p>
        </w:tc>
        <w:tc>
          <w:tcPr>
            <w:tcW w:w="531" w:type="pct"/>
            <w:vAlign w:val="center"/>
          </w:tcPr>
          <w:p w14:paraId="729F4118" w14:textId="77777777" w:rsidR="007D1E74" w:rsidRDefault="00A95641">
            <w:pPr>
              <w:jc w:val="center"/>
              <w:rPr>
                <w:rFonts w:cs="Times New Roman"/>
                <w:sz w:val="18"/>
                <w:szCs w:val="18"/>
              </w:rPr>
            </w:pPr>
            <w:r>
              <w:rPr>
                <w:rFonts w:cs="Times New Roman" w:hint="eastAsia"/>
                <w:sz w:val="18"/>
                <w:szCs w:val="18"/>
              </w:rPr>
              <w:t>/</w:t>
            </w:r>
          </w:p>
        </w:tc>
        <w:tc>
          <w:tcPr>
            <w:tcW w:w="506" w:type="pct"/>
            <w:vAlign w:val="center"/>
          </w:tcPr>
          <w:p w14:paraId="629120CA" w14:textId="77777777" w:rsidR="007D1E74" w:rsidRDefault="00A95641">
            <w:pPr>
              <w:jc w:val="center"/>
              <w:rPr>
                <w:rFonts w:cs="Times New Roman"/>
                <w:sz w:val="18"/>
                <w:szCs w:val="18"/>
              </w:rPr>
            </w:pPr>
            <w:r>
              <w:rPr>
                <w:rFonts w:cs="Times New Roman" w:hint="eastAsia"/>
                <w:sz w:val="18"/>
                <w:szCs w:val="18"/>
              </w:rPr>
              <w:t>/</w:t>
            </w:r>
          </w:p>
        </w:tc>
      </w:tr>
      <w:tr w:rsidR="007D1E74" w14:paraId="25F4E447" w14:textId="77777777">
        <w:tc>
          <w:tcPr>
            <w:tcW w:w="912" w:type="pct"/>
            <w:vAlign w:val="center"/>
          </w:tcPr>
          <w:p w14:paraId="4C2D59E0" w14:textId="77777777" w:rsidR="007D1E74" w:rsidRDefault="00A95641">
            <w:pPr>
              <w:widowControl/>
              <w:jc w:val="center"/>
              <w:rPr>
                <w:rFonts w:cs="Times New Roman"/>
                <w:kern w:val="0"/>
                <w:sz w:val="18"/>
                <w:szCs w:val="18"/>
              </w:rPr>
            </w:pPr>
            <w:r>
              <w:rPr>
                <w:rFonts w:cs="Times New Roman"/>
                <w:kern w:val="0"/>
                <w:sz w:val="18"/>
                <w:szCs w:val="18"/>
              </w:rPr>
              <w:t>马</w:t>
            </w:r>
            <w:r>
              <w:rPr>
                <w:rFonts w:cs="Times New Roman"/>
                <w:kern w:val="0"/>
                <w:sz w:val="18"/>
                <w:szCs w:val="18"/>
              </w:rPr>
              <w:t>1-11</w:t>
            </w:r>
            <w:r>
              <w:rPr>
                <w:rFonts w:cs="Times New Roman"/>
                <w:kern w:val="0"/>
                <w:sz w:val="18"/>
                <w:szCs w:val="18"/>
              </w:rPr>
              <w:t>脱水井场至</w:t>
            </w:r>
            <w:r>
              <w:rPr>
                <w:rFonts w:cs="Times New Roman"/>
                <w:kern w:val="0"/>
                <w:sz w:val="18"/>
                <w:szCs w:val="18"/>
              </w:rPr>
              <w:t>4#</w:t>
            </w:r>
            <w:r>
              <w:rPr>
                <w:rFonts w:cs="Times New Roman"/>
                <w:kern w:val="0"/>
                <w:sz w:val="18"/>
                <w:szCs w:val="18"/>
              </w:rPr>
              <w:t>清管阀组集输干线</w:t>
            </w:r>
          </w:p>
        </w:tc>
        <w:tc>
          <w:tcPr>
            <w:tcW w:w="382" w:type="pct"/>
            <w:vMerge/>
            <w:vAlign w:val="center"/>
          </w:tcPr>
          <w:p w14:paraId="02DDB9ED" w14:textId="77777777" w:rsidR="007D1E74" w:rsidRDefault="007D1E74">
            <w:pPr>
              <w:jc w:val="center"/>
              <w:rPr>
                <w:rFonts w:cs="Times New Roman"/>
                <w:sz w:val="18"/>
                <w:szCs w:val="18"/>
              </w:rPr>
            </w:pPr>
          </w:p>
        </w:tc>
        <w:tc>
          <w:tcPr>
            <w:tcW w:w="458" w:type="pct"/>
            <w:vAlign w:val="center"/>
          </w:tcPr>
          <w:p w14:paraId="0F325A85" w14:textId="77777777" w:rsidR="007D1E74" w:rsidRDefault="00A95641">
            <w:pPr>
              <w:jc w:val="center"/>
              <w:rPr>
                <w:rFonts w:cs="Times New Roman"/>
                <w:sz w:val="18"/>
                <w:szCs w:val="18"/>
              </w:rPr>
            </w:pPr>
            <w:r>
              <w:rPr>
                <w:rFonts w:cs="Times New Roman" w:hint="eastAsia"/>
                <w:sz w:val="18"/>
                <w:szCs w:val="18"/>
              </w:rPr>
              <w:t>6</w:t>
            </w:r>
            <w:r>
              <w:rPr>
                <w:rFonts w:cs="Times New Roman"/>
                <w:sz w:val="18"/>
                <w:szCs w:val="18"/>
              </w:rPr>
              <w:t>30</w:t>
            </w:r>
          </w:p>
        </w:tc>
        <w:tc>
          <w:tcPr>
            <w:tcW w:w="534" w:type="pct"/>
            <w:vAlign w:val="center"/>
          </w:tcPr>
          <w:p w14:paraId="19C7543F" w14:textId="77777777" w:rsidR="007D1E74" w:rsidRDefault="00A95641">
            <w:pPr>
              <w:jc w:val="center"/>
              <w:rPr>
                <w:rFonts w:cs="Times New Roman"/>
                <w:sz w:val="18"/>
                <w:szCs w:val="18"/>
              </w:rPr>
            </w:pPr>
            <w:r>
              <w:rPr>
                <w:rFonts w:cs="Times New Roman" w:hint="eastAsia"/>
                <w:sz w:val="18"/>
                <w:szCs w:val="18"/>
              </w:rPr>
              <w:t>7</w:t>
            </w:r>
          </w:p>
        </w:tc>
        <w:tc>
          <w:tcPr>
            <w:tcW w:w="610" w:type="pct"/>
            <w:vAlign w:val="center"/>
          </w:tcPr>
          <w:p w14:paraId="0EF7BAA6" w14:textId="77777777" w:rsidR="007D1E74" w:rsidRDefault="00A95641">
            <w:pPr>
              <w:jc w:val="center"/>
              <w:rPr>
                <w:rFonts w:cs="Times New Roman"/>
                <w:sz w:val="18"/>
                <w:szCs w:val="18"/>
              </w:rPr>
            </w:pPr>
            <w:r>
              <w:rPr>
                <w:rFonts w:cs="Times New Roman" w:hint="eastAsia"/>
                <w:sz w:val="18"/>
                <w:szCs w:val="18"/>
              </w:rPr>
              <w:t>3</w:t>
            </w:r>
            <w:r>
              <w:rPr>
                <w:rFonts w:cs="Times New Roman"/>
                <w:sz w:val="18"/>
                <w:szCs w:val="18"/>
              </w:rPr>
              <w:t>281.10</w:t>
            </w:r>
          </w:p>
        </w:tc>
        <w:tc>
          <w:tcPr>
            <w:tcW w:w="533" w:type="pct"/>
            <w:vAlign w:val="center"/>
          </w:tcPr>
          <w:p w14:paraId="50C029E7" w14:textId="77777777" w:rsidR="007D1E74" w:rsidRDefault="00A95641">
            <w:pPr>
              <w:jc w:val="center"/>
              <w:rPr>
                <w:rFonts w:cs="Times New Roman"/>
                <w:sz w:val="18"/>
                <w:szCs w:val="18"/>
              </w:rPr>
            </w:pPr>
            <w:r>
              <w:rPr>
                <w:rFonts w:cs="Times New Roman" w:hint="eastAsia"/>
                <w:sz w:val="18"/>
                <w:szCs w:val="18"/>
              </w:rPr>
              <w:t>/</w:t>
            </w:r>
          </w:p>
        </w:tc>
        <w:tc>
          <w:tcPr>
            <w:tcW w:w="534" w:type="pct"/>
            <w:vAlign w:val="center"/>
          </w:tcPr>
          <w:p w14:paraId="77145436" w14:textId="77777777" w:rsidR="007D1E74" w:rsidRDefault="00A95641">
            <w:pPr>
              <w:jc w:val="center"/>
              <w:rPr>
                <w:rFonts w:cs="Times New Roman"/>
                <w:sz w:val="18"/>
                <w:szCs w:val="18"/>
              </w:rPr>
            </w:pPr>
            <w:r>
              <w:rPr>
                <w:rFonts w:cs="Times New Roman" w:hint="eastAsia"/>
                <w:sz w:val="18"/>
                <w:szCs w:val="18"/>
              </w:rPr>
              <w:t>/</w:t>
            </w:r>
          </w:p>
        </w:tc>
        <w:tc>
          <w:tcPr>
            <w:tcW w:w="531" w:type="pct"/>
            <w:vAlign w:val="center"/>
          </w:tcPr>
          <w:p w14:paraId="61EF9EE4" w14:textId="77777777" w:rsidR="007D1E74" w:rsidRDefault="00A95641">
            <w:pPr>
              <w:jc w:val="center"/>
              <w:rPr>
                <w:rFonts w:cs="Times New Roman"/>
                <w:sz w:val="18"/>
                <w:szCs w:val="18"/>
              </w:rPr>
            </w:pPr>
            <w:r>
              <w:rPr>
                <w:rFonts w:cs="Times New Roman" w:hint="eastAsia"/>
                <w:sz w:val="18"/>
                <w:szCs w:val="18"/>
              </w:rPr>
              <w:t>/</w:t>
            </w:r>
          </w:p>
        </w:tc>
        <w:tc>
          <w:tcPr>
            <w:tcW w:w="506" w:type="pct"/>
            <w:vAlign w:val="center"/>
          </w:tcPr>
          <w:p w14:paraId="40AF73A9" w14:textId="77777777" w:rsidR="007D1E74" w:rsidRDefault="00A95641">
            <w:pPr>
              <w:jc w:val="center"/>
              <w:rPr>
                <w:rFonts w:cs="Times New Roman"/>
                <w:sz w:val="18"/>
                <w:szCs w:val="18"/>
              </w:rPr>
            </w:pPr>
            <w:r>
              <w:rPr>
                <w:rFonts w:cs="Times New Roman" w:hint="eastAsia"/>
                <w:sz w:val="18"/>
                <w:szCs w:val="18"/>
              </w:rPr>
              <w:t>/</w:t>
            </w:r>
          </w:p>
        </w:tc>
      </w:tr>
      <w:tr w:rsidR="007D1E74" w14:paraId="42783482" w14:textId="77777777">
        <w:tc>
          <w:tcPr>
            <w:tcW w:w="912" w:type="pct"/>
            <w:vAlign w:val="center"/>
          </w:tcPr>
          <w:p w14:paraId="3EE62F04" w14:textId="77777777" w:rsidR="007D1E74" w:rsidRDefault="00A95641">
            <w:pPr>
              <w:widowControl/>
              <w:jc w:val="center"/>
              <w:rPr>
                <w:rFonts w:cs="Times New Roman"/>
                <w:kern w:val="0"/>
                <w:sz w:val="18"/>
                <w:szCs w:val="18"/>
              </w:rPr>
            </w:pPr>
            <w:r>
              <w:rPr>
                <w:rFonts w:cs="Times New Roman"/>
                <w:kern w:val="0"/>
                <w:sz w:val="18"/>
                <w:szCs w:val="18"/>
              </w:rPr>
              <w:t>4#</w:t>
            </w:r>
            <w:r>
              <w:rPr>
                <w:rFonts w:cs="Times New Roman"/>
                <w:kern w:val="0"/>
                <w:sz w:val="18"/>
                <w:szCs w:val="18"/>
              </w:rPr>
              <w:t>清管阀组至草池增压站集输干线</w:t>
            </w:r>
          </w:p>
        </w:tc>
        <w:tc>
          <w:tcPr>
            <w:tcW w:w="382" w:type="pct"/>
            <w:vMerge/>
            <w:vAlign w:val="center"/>
          </w:tcPr>
          <w:p w14:paraId="1FA68146" w14:textId="77777777" w:rsidR="007D1E74" w:rsidRDefault="007D1E74">
            <w:pPr>
              <w:jc w:val="center"/>
              <w:rPr>
                <w:rFonts w:cs="Times New Roman"/>
                <w:sz w:val="18"/>
                <w:szCs w:val="18"/>
              </w:rPr>
            </w:pPr>
          </w:p>
        </w:tc>
        <w:tc>
          <w:tcPr>
            <w:tcW w:w="458" w:type="pct"/>
            <w:vAlign w:val="center"/>
          </w:tcPr>
          <w:p w14:paraId="51BA2595" w14:textId="77777777" w:rsidR="007D1E74" w:rsidRDefault="00A95641">
            <w:pPr>
              <w:jc w:val="center"/>
              <w:rPr>
                <w:rFonts w:cs="Times New Roman"/>
                <w:sz w:val="18"/>
                <w:szCs w:val="18"/>
              </w:rPr>
            </w:pPr>
            <w:r>
              <w:rPr>
                <w:rFonts w:cs="Times New Roman" w:hint="eastAsia"/>
                <w:sz w:val="18"/>
                <w:szCs w:val="18"/>
              </w:rPr>
              <w:t>6</w:t>
            </w:r>
            <w:r>
              <w:rPr>
                <w:rFonts w:cs="Times New Roman"/>
                <w:sz w:val="18"/>
                <w:szCs w:val="18"/>
              </w:rPr>
              <w:t>30</w:t>
            </w:r>
          </w:p>
        </w:tc>
        <w:tc>
          <w:tcPr>
            <w:tcW w:w="534" w:type="pct"/>
            <w:vAlign w:val="center"/>
          </w:tcPr>
          <w:p w14:paraId="6D40A615" w14:textId="77777777" w:rsidR="007D1E74" w:rsidRDefault="00A95641">
            <w:pPr>
              <w:jc w:val="center"/>
              <w:rPr>
                <w:rFonts w:cs="Times New Roman"/>
                <w:sz w:val="18"/>
                <w:szCs w:val="18"/>
              </w:rPr>
            </w:pPr>
            <w:r>
              <w:rPr>
                <w:rFonts w:cs="Times New Roman" w:hint="eastAsia"/>
                <w:sz w:val="18"/>
                <w:szCs w:val="18"/>
              </w:rPr>
              <w:t>7</w:t>
            </w:r>
          </w:p>
        </w:tc>
        <w:tc>
          <w:tcPr>
            <w:tcW w:w="610" w:type="pct"/>
            <w:vAlign w:val="center"/>
          </w:tcPr>
          <w:p w14:paraId="6430757A" w14:textId="77777777" w:rsidR="007D1E74" w:rsidRDefault="00A95641">
            <w:pPr>
              <w:jc w:val="center"/>
              <w:rPr>
                <w:rFonts w:cs="Times New Roman"/>
                <w:sz w:val="18"/>
                <w:szCs w:val="18"/>
              </w:rPr>
            </w:pPr>
            <w:r>
              <w:rPr>
                <w:rFonts w:cs="Times New Roman" w:hint="eastAsia"/>
                <w:sz w:val="18"/>
                <w:szCs w:val="18"/>
              </w:rPr>
              <w:t>6</w:t>
            </w:r>
            <w:r>
              <w:rPr>
                <w:rFonts w:cs="Times New Roman"/>
                <w:sz w:val="18"/>
                <w:szCs w:val="18"/>
              </w:rPr>
              <w:t>084.1</w:t>
            </w:r>
          </w:p>
        </w:tc>
        <w:tc>
          <w:tcPr>
            <w:tcW w:w="533" w:type="pct"/>
            <w:vAlign w:val="center"/>
          </w:tcPr>
          <w:p w14:paraId="3217C148" w14:textId="77777777" w:rsidR="007D1E74" w:rsidRDefault="00A95641">
            <w:pPr>
              <w:jc w:val="center"/>
              <w:rPr>
                <w:rFonts w:cs="Times New Roman"/>
                <w:sz w:val="18"/>
                <w:szCs w:val="18"/>
              </w:rPr>
            </w:pPr>
            <w:r>
              <w:rPr>
                <w:rFonts w:cs="Times New Roman" w:hint="eastAsia"/>
                <w:sz w:val="18"/>
                <w:szCs w:val="18"/>
              </w:rPr>
              <w:t>/</w:t>
            </w:r>
          </w:p>
        </w:tc>
        <w:tc>
          <w:tcPr>
            <w:tcW w:w="534" w:type="pct"/>
            <w:vAlign w:val="center"/>
          </w:tcPr>
          <w:p w14:paraId="545EB994" w14:textId="77777777" w:rsidR="007D1E74" w:rsidRDefault="00A95641">
            <w:pPr>
              <w:jc w:val="center"/>
              <w:rPr>
                <w:rFonts w:cs="Times New Roman"/>
                <w:sz w:val="18"/>
                <w:szCs w:val="18"/>
              </w:rPr>
            </w:pPr>
            <w:r>
              <w:rPr>
                <w:rFonts w:cs="Times New Roman" w:hint="eastAsia"/>
                <w:sz w:val="18"/>
                <w:szCs w:val="18"/>
              </w:rPr>
              <w:t>/</w:t>
            </w:r>
          </w:p>
        </w:tc>
        <w:tc>
          <w:tcPr>
            <w:tcW w:w="531" w:type="pct"/>
            <w:vAlign w:val="center"/>
          </w:tcPr>
          <w:p w14:paraId="5102351C" w14:textId="77777777" w:rsidR="007D1E74" w:rsidRDefault="00A95641">
            <w:pPr>
              <w:jc w:val="center"/>
              <w:rPr>
                <w:rFonts w:cs="Times New Roman"/>
                <w:sz w:val="18"/>
                <w:szCs w:val="18"/>
              </w:rPr>
            </w:pPr>
            <w:r>
              <w:rPr>
                <w:rFonts w:cs="Times New Roman" w:hint="eastAsia"/>
                <w:sz w:val="18"/>
                <w:szCs w:val="18"/>
              </w:rPr>
              <w:t>/</w:t>
            </w:r>
          </w:p>
        </w:tc>
        <w:tc>
          <w:tcPr>
            <w:tcW w:w="506" w:type="pct"/>
            <w:vAlign w:val="center"/>
          </w:tcPr>
          <w:p w14:paraId="5CBC64E9" w14:textId="77777777" w:rsidR="007D1E74" w:rsidRDefault="00A95641">
            <w:pPr>
              <w:jc w:val="center"/>
              <w:rPr>
                <w:rFonts w:cs="Times New Roman"/>
                <w:sz w:val="18"/>
                <w:szCs w:val="18"/>
              </w:rPr>
            </w:pPr>
            <w:r>
              <w:rPr>
                <w:rFonts w:cs="Times New Roman" w:hint="eastAsia"/>
                <w:sz w:val="18"/>
                <w:szCs w:val="18"/>
              </w:rPr>
              <w:t>/</w:t>
            </w:r>
          </w:p>
        </w:tc>
      </w:tr>
    </w:tbl>
    <w:p w14:paraId="18832E5B" w14:textId="77777777" w:rsidR="007D1E74" w:rsidRDefault="00A95641">
      <w:pPr>
        <w:spacing w:line="360" w:lineRule="auto"/>
        <w:jc w:val="center"/>
        <w:rPr>
          <w:sz w:val="24"/>
          <w:szCs w:val="24"/>
        </w:rPr>
      </w:pPr>
      <w:r>
        <w:rPr>
          <w:rFonts w:hint="eastAsia"/>
          <w:noProof/>
          <w:sz w:val="24"/>
          <w:szCs w:val="24"/>
        </w:rPr>
        <w:drawing>
          <wp:inline distT="0" distB="0" distL="0" distR="0" wp14:anchorId="33B18F35" wp14:editId="3DCFBCD2">
            <wp:extent cx="4705350" cy="2352675"/>
            <wp:effectExtent l="0" t="0" r="3810" b="9525"/>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a:xfrm>
                      <a:off x="0" y="0"/>
                      <a:ext cx="4715066" cy="2357533"/>
                    </a:xfrm>
                    <a:prstGeom prst="rect">
                      <a:avLst/>
                    </a:prstGeom>
                    <a:noFill/>
                    <a:ln>
                      <a:noFill/>
                    </a:ln>
                  </pic:spPr>
                </pic:pic>
              </a:graphicData>
            </a:graphic>
          </wp:inline>
        </w:drawing>
      </w:r>
    </w:p>
    <w:p w14:paraId="7B960557" w14:textId="77777777" w:rsidR="007D1E74" w:rsidRDefault="00A95641">
      <w:pPr>
        <w:pStyle w:val="afffffe"/>
        <w:numPr>
          <w:ilvl w:val="0"/>
          <w:numId w:val="52"/>
        </w:numPr>
        <w:spacing w:line="360" w:lineRule="auto"/>
        <w:ind w:firstLineChars="0"/>
        <w:jc w:val="center"/>
        <w:rPr>
          <w:rFonts w:eastAsia="黑体" w:cs="Times New Roman"/>
          <w:szCs w:val="21"/>
        </w:rPr>
      </w:pPr>
      <w:r>
        <w:rPr>
          <w:rFonts w:eastAsia="黑体" w:cs="Times New Roman" w:hint="eastAsia"/>
          <w:szCs w:val="21"/>
        </w:rPr>
        <w:t>1#</w:t>
      </w:r>
      <w:r>
        <w:rPr>
          <w:rFonts w:eastAsia="黑体" w:cs="Times New Roman" w:hint="eastAsia"/>
          <w:szCs w:val="21"/>
        </w:rPr>
        <w:t>阀室至马</w:t>
      </w:r>
      <w:r>
        <w:rPr>
          <w:rFonts w:eastAsia="黑体" w:cs="Times New Roman" w:hint="eastAsia"/>
          <w:szCs w:val="21"/>
        </w:rPr>
        <w:t>1-11</w:t>
      </w:r>
      <w:r>
        <w:rPr>
          <w:rFonts w:eastAsia="黑体" w:cs="Times New Roman" w:hint="eastAsia"/>
          <w:szCs w:val="21"/>
        </w:rPr>
        <w:t>脱水井场集输干线天然气</w:t>
      </w:r>
      <w:r>
        <w:rPr>
          <w:rFonts w:eastAsia="黑体" w:cs="Times New Roman"/>
          <w:szCs w:val="21"/>
        </w:rPr>
        <w:t>泄漏浓度曲线图</w:t>
      </w:r>
    </w:p>
    <w:p w14:paraId="4557C1DB" w14:textId="77777777" w:rsidR="007D1E74" w:rsidRDefault="00A95641">
      <w:pPr>
        <w:spacing w:line="360" w:lineRule="auto"/>
        <w:jc w:val="center"/>
        <w:rPr>
          <w:sz w:val="24"/>
          <w:szCs w:val="24"/>
        </w:rPr>
      </w:pPr>
      <w:r>
        <w:rPr>
          <w:rFonts w:hint="eastAsia"/>
          <w:noProof/>
          <w:sz w:val="24"/>
          <w:szCs w:val="24"/>
        </w:rPr>
        <w:lastRenderedPageBreak/>
        <w:drawing>
          <wp:inline distT="0" distB="0" distL="0" distR="0" wp14:anchorId="658B9296" wp14:editId="36837D94">
            <wp:extent cx="4686300" cy="2343150"/>
            <wp:effectExtent l="0" t="0" r="7620" b="381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a:xfrm>
                      <a:off x="0" y="0"/>
                      <a:ext cx="4710910" cy="2355455"/>
                    </a:xfrm>
                    <a:prstGeom prst="rect">
                      <a:avLst/>
                    </a:prstGeom>
                    <a:noFill/>
                    <a:ln>
                      <a:noFill/>
                    </a:ln>
                  </pic:spPr>
                </pic:pic>
              </a:graphicData>
            </a:graphic>
          </wp:inline>
        </w:drawing>
      </w:r>
    </w:p>
    <w:p w14:paraId="52B4D416" w14:textId="77777777" w:rsidR="007D1E74" w:rsidRDefault="00A95641">
      <w:pPr>
        <w:pStyle w:val="afffffe"/>
        <w:numPr>
          <w:ilvl w:val="0"/>
          <w:numId w:val="52"/>
        </w:numPr>
        <w:spacing w:line="360" w:lineRule="auto"/>
        <w:ind w:firstLineChars="0"/>
        <w:jc w:val="center"/>
        <w:rPr>
          <w:rFonts w:eastAsia="黑体" w:cs="Times New Roman"/>
          <w:szCs w:val="21"/>
        </w:rPr>
      </w:pPr>
      <w:r>
        <w:rPr>
          <w:rFonts w:eastAsia="黑体" w:cs="Times New Roman" w:hint="eastAsia"/>
          <w:szCs w:val="21"/>
        </w:rPr>
        <w:t>马</w:t>
      </w:r>
      <w:r>
        <w:rPr>
          <w:rFonts w:eastAsia="黑体" w:cs="Times New Roman" w:hint="eastAsia"/>
          <w:szCs w:val="21"/>
        </w:rPr>
        <w:t>1-10H</w:t>
      </w:r>
      <w:r>
        <w:rPr>
          <w:rFonts w:eastAsia="黑体" w:cs="Times New Roman" w:hint="eastAsia"/>
          <w:szCs w:val="21"/>
        </w:rPr>
        <w:t>采气井场至马</w:t>
      </w:r>
      <w:r>
        <w:rPr>
          <w:rFonts w:eastAsia="黑体" w:cs="Times New Roman" w:hint="eastAsia"/>
          <w:szCs w:val="21"/>
        </w:rPr>
        <w:t>1-1</w:t>
      </w:r>
      <w:r>
        <w:rPr>
          <w:rFonts w:eastAsia="黑体" w:cs="Times New Roman" w:hint="eastAsia"/>
          <w:szCs w:val="21"/>
        </w:rPr>
        <w:t>集气支线天然气</w:t>
      </w:r>
      <w:r>
        <w:rPr>
          <w:rFonts w:eastAsia="黑体" w:cs="Times New Roman"/>
          <w:szCs w:val="21"/>
        </w:rPr>
        <w:t>泄漏浓度曲线图</w:t>
      </w:r>
    </w:p>
    <w:p w14:paraId="7E392E8C" w14:textId="77777777" w:rsidR="007D1E74" w:rsidRDefault="00A95641">
      <w:pPr>
        <w:spacing w:line="360" w:lineRule="auto"/>
        <w:jc w:val="center"/>
        <w:rPr>
          <w:sz w:val="24"/>
          <w:szCs w:val="24"/>
        </w:rPr>
      </w:pPr>
      <w:r>
        <w:rPr>
          <w:noProof/>
          <w:sz w:val="24"/>
          <w:szCs w:val="24"/>
        </w:rPr>
        <w:drawing>
          <wp:inline distT="0" distB="0" distL="0" distR="0" wp14:anchorId="6D755E9F" wp14:editId="4ABBDB05">
            <wp:extent cx="4686300" cy="2343150"/>
            <wp:effectExtent l="0" t="0" r="7620" b="381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a:xfrm>
                      <a:off x="0" y="0"/>
                      <a:ext cx="4737232" cy="2368616"/>
                    </a:xfrm>
                    <a:prstGeom prst="rect">
                      <a:avLst/>
                    </a:prstGeom>
                    <a:noFill/>
                    <a:ln>
                      <a:noFill/>
                    </a:ln>
                  </pic:spPr>
                </pic:pic>
              </a:graphicData>
            </a:graphic>
          </wp:inline>
        </w:drawing>
      </w:r>
    </w:p>
    <w:p w14:paraId="72BBB9E7" w14:textId="77777777" w:rsidR="007D1E74" w:rsidRDefault="00A95641">
      <w:pPr>
        <w:pStyle w:val="afffffe"/>
        <w:numPr>
          <w:ilvl w:val="0"/>
          <w:numId w:val="52"/>
        </w:numPr>
        <w:spacing w:line="360" w:lineRule="auto"/>
        <w:ind w:firstLineChars="0"/>
        <w:jc w:val="center"/>
        <w:rPr>
          <w:rFonts w:eastAsia="黑体" w:cs="Times New Roman"/>
          <w:szCs w:val="21"/>
        </w:rPr>
      </w:pPr>
      <w:r>
        <w:rPr>
          <w:rFonts w:eastAsia="黑体" w:cs="Times New Roman" w:hint="eastAsia"/>
          <w:szCs w:val="21"/>
        </w:rPr>
        <w:t>马</w:t>
      </w:r>
      <w:r>
        <w:rPr>
          <w:rFonts w:eastAsia="黑体" w:cs="Times New Roman" w:hint="eastAsia"/>
          <w:szCs w:val="21"/>
        </w:rPr>
        <w:t>1-1</w:t>
      </w:r>
      <w:r>
        <w:rPr>
          <w:rFonts w:eastAsia="黑体" w:cs="Times New Roman" w:hint="eastAsia"/>
          <w:szCs w:val="21"/>
        </w:rPr>
        <w:t>采气井场至干线集气支线天然气</w:t>
      </w:r>
      <w:r>
        <w:rPr>
          <w:rFonts w:eastAsia="黑体" w:cs="Times New Roman"/>
          <w:szCs w:val="21"/>
        </w:rPr>
        <w:t>泄漏浓度曲线图</w:t>
      </w:r>
    </w:p>
    <w:p w14:paraId="26D7B54D" w14:textId="77777777" w:rsidR="007D1E74" w:rsidRDefault="00A95641">
      <w:pPr>
        <w:spacing w:line="360" w:lineRule="auto"/>
        <w:jc w:val="center"/>
        <w:rPr>
          <w:sz w:val="24"/>
          <w:szCs w:val="24"/>
        </w:rPr>
      </w:pPr>
      <w:r>
        <w:rPr>
          <w:noProof/>
          <w:sz w:val="24"/>
          <w:szCs w:val="24"/>
        </w:rPr>
        <w:drawing>
          <wp:inline distT="0" distB="0" distL="0" distR="0" wp14:anchorId="23CE1FF7" wp14:editId="35AD15B5">
            <wp:extent cx="4705350" cy="2352675"/>
            <wp:effectExtent l="0" t="0" r="3810" b="9525"/>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a:xfrm>
                      <a:off x="0" y="0"/>
                      <a:ext cx="4722144" cy="2361072"/>
                    </a:xfrm>
                    <a:prstGeom prst="rect">
                      <a:avLst/>
                    </a:prstGeom>
                    <a:noFill/>
                    <a:ln>
                      <a:noFill/>
                    </a:ln>
                  </pic:spPr>
                </pic:pic>
              </a:graphicData>
            </a:graphic>
          </wp:inline>
        </w:drawing>
      </w:r>
    </w:p>
    <w:p w14:paraId="3C53117B" w14:textId="77777777" w:rsidR="007D1E74" w:rsidRDefault="00A95641">
      <w:pPr>
        <w:pStyle w:val="afffffe"/>
        <w:numPr>
          <w:ilvl w:val="0"/>
          <w:numId w:val="52"/>
        </w:numPr>
        <w:spacing w:line="360" w:lineRule="auto"/>
        <w:ind w:firstLineChars="0"/>
        <w:jc w:val="center"/>
        <w:rPr>
          <w:rFonts w:eastAsia="黑体" w:cs="Times New Roman"/>
          <w:szCs w:val="21"/>
        </w:rPr>
      </w:pPr>
      <w:r>
        <w:rPr>
          <w:rFonts w:eastAsia="黑体" w:cs="Times New Roman" w:hint="eastAsia"/>
          <w:szCs w:val="21"/>
        </w:rPr>
        <w:t>马</w:t>
      </w:r>
      <w:r>
        <w:rPr>
          <w:rFonts w:eastAsia="黑体" w:cs="Times New Roman" w:hint="eastAsia"/>
          <w:szCs w:val="21"/>
        </w:rPr>
        <w:t>1-13H</w:t>
      </w:r>
      <w:r>
        <w:rPr>
          <w:rFonts w:eastAsia="黑体" w:cs="Times New Roman" w:hint="eastAsia"/>
          <w:szCs w:val="21"/>
        </w:rPr>
        <w:t>采气井场至干线集气支线天然气</w:t>
      </w:r>
      <w:r>
        <w:rPr>
          <w:rFonts w:eastAsia="黑体" w:cs="Times New Roman"/>
          <w:szCs w:val="21"/>
        </w:rPr>
        <w:t>泄漏浓度曲线图</w:t>
      </w:r>
    </w:p>
    <w:p w14:paraId="59D27299" w14:textId="77777777" w:rsidR="007D1E74" w:rsidRDefault="00A95641">
      <w:pPr>
        <w:spacing w:line="360" w:lineRule="auto"/>
        <w:jc w:val="center"/>
        <w:rPr>
          <w:sz w:val="24"/>
          <w:szCs w:val="24"/>
        </w:rPr>
      </w:pPr>
      <w:r>
        <w:rPr>
          <w:noProof/>
          <w:sz w:val="24"/>
          <w:szCs w:val="24"/>
        </w:rPr>
        <w:lastRenderedPageBreak/>
        <w:drawing>
          <wp:inline distT="0" distB="0" distL="0" distR="0" wp14:anchorId="4C268576" wp14:editId="7CDAEF5B">
            <wp:extent cx="4705350" cy="2352675"/>
            <wp:effectExtent l="0" t="0" r="3810" b="952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a:xfrm>
                      <a:off x="0" y="0"/>
                      <a:ext cx="4729273" cy="2364637"/>
                    </a:xfrm>
                    <a:prstGeom prst="rect">
                      <a:avLst/>
                    </a:prstGeom>
                    <a:noFill/>
                    <a:ln>
                      <a:noFill/>
                    </a:ln>
                  </pic:spPr>
                </pic:pic>
              </a:graphicData>
            </a:graphic>
          </wp:inline>
        </w:drawing>
      </w:r>
    </w:p>
    <w:p w14:paraId="79834C64" w14:textId="77777777" w:rsidR="007D1E74" w:rsidRDefault="00A95641">
      <w:pPr>
        <w:pStyle w:val="afffffe"/>
        <w:numPr>
          <w:ilvl w:val="0"/>
          <w:numId w:val="52"/>
        </w:numPr>
        <w:spacing w:line="360" w:lineRule="auto"/>
        <w:ind w:firstLineChars="0"/>
        <w:jc w:val="center"/>
        <w:rPr>
          <w:rFonts w:eastAsia="黑体" w:cs="Times New Roman"/>
          <w:szCs w:val="21"/>
        </w:rPr>
      </w:pPr>
      <w:r>
        <w:rPr>
          <w:rFonts w:eastAsia="黑体" w:cs="Times New Roman" w:hint="eastAsia"/>
          <w:szCs w:val="21"/>
        </w:rPr>
        <w:t>马</w:t>
      </w:r>
      <w:r>
        <w:rPr>
          <w:rFonts w:eastAsia="黑体" w:cs="Times New Roman" w:hint="eastAsia"/>
          <w:szCs w:val="21"/>
        </w:rPr>
        <w:t>1-12H</w:t>
      </w:r>
      <w:r>
        <w:rPr>
          <w:rFonts w:eastAsia="黑体" w:cs="Times New Roman" w:hint="eastAsia"/>
          <w:szCs w:val="21"/>
        </w:rPr>
        <w:t>采气井场至干线集气支线天然气</w:t>
      </w:r>
      <w:r>
        <w:rPr>
          <w:rFonts w:eastAsia="黑体" w:cs="Times New Roman"/>
          <w:szCs w:val="21"/>
        </w:rPr>
        <w:t>泄漏浓度曲线图</w:t>
      </w:r>
    </w:p>
    <w:p w14:paraId="3D169F59" w14:textId="77777777" w:rsidR="007D1E74" w:rsidRDefault="00A95641">
      <w:pPr>
        <w:spacing w:line="360" w:lineRule="auto"/>
        <w:jc w:val="center"/>
        <w:rPr>
          <w:sz w:val="24"/>
          <w:szCs w:val="24"/>
        </w:rPr>
      </w:pPr>
      <w:r>
        <w:rPr>
          <w:noProof/>
          <w:sz w:val="24"/>
          <w:szCs w:val="24"/>
        </w:rPr>
        <w:drawing>
          <wp:inline distT="0" distB="0" distL="0" distR="0" wp14:anchorId="761D810C" wp14:editId="64ECA776">
            <wp:extent cx="4695825" cy="2347595"/>
            <wp:effectExtent l="0" t="0" r="13335" b="14605"/>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a:xfrm>
                      <a:off x="0" y="0"/>
                      <a:ext cx="4713753" cy="2356877"/>
                    </a:xfrm>
                    <a:prstGeom prst="rect">
                      <a:avLst/>
                    </a:prstGeom>
                    <a:noFill/>
                    <a:ln>
                      <a:noFill/>
                    </a:ln>
                  </pic:spPr>
                </pic:pic>
              </a:graphicData>
            </a:graphic>
          </wp:inline>
        </w:drawing>
      </w:r>
    </w:p>
    <w:p w14:paraId="27EBFF76" w14:textId="77777777" w:rsidR="007D1E74" w:rsidRDefault="00A95641">
      <w:pPr>
        <w:pStyle w:val="afffffe"/>
        <w:numPr>
          <w:ilvl w:val="0"/>
          <w:numId w:val="52"/>
        </w:numPr>
        <w:spacing w:line="360" w:lineRule="auto"/>
        <w:ind w:firstLineChars="0"/>
        <w:jc w:val="center"/>
        <w:rPr>
          <w:rFonts w:eastAsia="黑体" w:cs="Times New Roman"/>
          <w:szCs w:val="21"/>
        </w:rPr>
      </w:pPr>
      <w:r>
        <w:rPr>
          <w:rFonts w:eastAsia="黑体" w:cs="Times New Roman" w:hint="eastAsia"/>
          <w:szCs w:val="21"/>
        </w:rPr>
        <w:t>马</w:t>
      </w:r>
      <w:r>
        <w:rPr>
          <w:rFonts w:eastAsia="黑体" w:cs="Times New Roman" w:hint="eastAsia"/>
          <w:szCs w:val="21"/>
        </w:rPr>
        <w:t>1-11</w:t>
      </w:r>
      <w:r>
        <w:rPr>
          <w:rFonts w:eastAsia="黑体" w:cs="Times New Roman" w:hint="eastAsia"/>
          <w:szCs w:val="21"/>
        </w:rPr>
        <w:t>脱水井场至</w:t>
      </w:r>
      <w:r>
        <w:rPr>
          <w:rFonts w:eastAsia="黑体" w:cs="Times New Roman" w:hint="eastAsia"/>
          <w:szCs w:val="21"/>
        </w:rPr>
        <w:t>4#</w:t>
      </w:r>
      <w:r>
        <w:rPr>
          <w:rFonts w:eastAsia="黑体" w:cs="Times New Roman" w:hint="eastAsia"/>
          <w:szCs w:val="21"/>
        </w:rPr>
        <w:t>清管阀组集输干线天然气</w:t>
      </w:r>
      <w:r>
        <w:rPr>
          <w:rFonts w:eastAsia="黑体" w:cs="Times New Roman"/>
          <w:szCs w:val="21"/>
        </w:rPr>
        <w:t>泄漏浓度曲线图</w:t>
      </w:r>
    </w:p>
    <w:p w14:paraId="23B41B73" w14:textId="77777777" w:rsidR="007D1E74" w:rsidRDefault="00A95641">
      <w:pPr>
        <w:spacing w:line="360" w:lineRule="auto"/>
        <w:jc w:val="center"/>
        <w:rPr>
          <w:sz w:val="24"/>
          <w:szCs w:val="24"/>
        </w:rPr>
      </w:pPr>
      <w:r>
        <w:rPr>
          <w:noProof/>
          <w:sz w:val="24"/>
          <w:szCs w:val="24"/>
        </w:rPr>
        <w:drawing>
          <wp:inline distT="0" distB="0" distL="0" distR="0" wp14:anchorId="65E14EAE" wp14:editId="0F9449DF">
            <wp:extent cx="4724400" cy="2362200"/>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a:xfrm>
                      <a:off x="0" y="0"/>
                      <a:ext cx="4864390" cy="2432195"/>
                    </a:xfrm>
                    <a:prstGeom prst="rect">
                      <a:avLst/>
                    </a:prstGeom>
                    <a:noFill/>
                    <a:ln>
                      <a:noFill/>
                    </a:ln>
                  </pic:spPr>
                </pic:pic>
              </a:graphicData>
            </a:graphic>
          </wp:inline>
        </w:drawing>
      </w:r>
    </w:p>
    <w:p w14:paraId="4F8DCC7D" w14:textId="77777777" w:rsidR="007D1E74" w:rsidRDefault="00A95641">
      <w:pPr>
        <w:pStyle w:val="afffffe"/>
        <w:numPr>
          <w:ilvl w:val="0"/>
          <w:numId w:val="52"/>
        </w:numPr>
        <w:spacing w:line="360" w:lineRule="auto"/>
        <w:ind w:firstLineChars="0"/>
        <w:jc w:val="center"/>
        <w:rPr>
          <w:rFonts w:eastAsia="黑体" w:cs="Times New Roman"/>
          <w:szCs w:val="21"/>
        </w:rPr>
      </w:pPr>
      <w:r>
        <w:rPr>
          <w:rFonts w:eastAsia="黑体" w:cs="Times New Roman" w:hint="eastAsia"/>
          <w:szCs w:val="21"/>
        </w:rPr>
        <w:t>4#</w:t>
      </w:r>
      <w:r>
        <w:rPr>
          <w:rFonts w:eastAsia="黑体" w:cs="Times New Roman" w:hint="eastAsia"/>
          <w:szCs w:val="21"/>
        </w:rPr>
        <w:t>清管阀组至草池增压站集输干线天然气</w:t>
      </w:r>
      <w:r>
        <w:rPr>
          <w:rFonts w:eastAsia="黑体" w:cs="Times New Roman"/>
          <w:szCs w:val="21"/>
        </w:rPr>
        <w:t>泄漏浓度曲线图</w:t>
      </w:r>
    </w:p>
    <w:p w14:paraId="0DEABCB7" w14:textId="77777777" w:rsidR="007D1E74" w:rsidRDefault="00A95641">
      <w:pPr>
        <w:pStyle w:val="afffff7"/>
        <w:ind w:firstLine="482"/>
      </w:pPr>
      <w:r>
        <w:t>2</w:t>
      </w:r>
      <w:r>
        <w:rPr>
          <w:rFonts w:hint="eastAsia"/>
        </w:rPr>
        <w:t>、火灾伴生</w:t>
      </w:r>
      <w:r>
        <w:rPr>
          <w:rFonts w:hint="eastAsia"/>
        </w:rPr>
        <w:t>/</w:t>
      </w:r>
      <w:r>
        <w:rPr>
          <w:rFonts w:hint="eastAsia"/>
        </w:rPr>
        <w:t>次生污染物一氧化碳的预测结果</w:t>
      </w:r>
    </w:p>
    <w:p w14:paraId="01568224" w14:textId="77777777" w:rsidR="007D1E74" w:rsidRDefault="00A95641">
      <w:pPr>
        <w:spacing w:line="360" w:lineRule="auto"/>
        <w:ind w:firstLineChars="200" w:firstLine="480"/>
        <w:rPr>
          <w:sz w:val="24"/>
          <w:szCs w:val="24"/>
        </w:rPr>
      </w:pPr>
      <w:r>
        <w:rPr>
          <w:rFonts w:hint="eastAsia"/>
          <w:sz w:val="24"/>
          <w:szCs w:val="24"/>
        </w:rPr>
        <w:t>天然气管道断裂后，当天然气泄漏到一定程度，遇火源才能稳定燃烧，本次评价将</w:t>
      </w:r>
      <w:r>
        <w:rPr>
          <w:rFonts w:hint="eastAsia"/>
          <w:sz w:val="24"/>
          <w:szCs w:val="24"/>
        </w:rPr>
        <w:lastRenderedPageBreak/>
        <w:t>针对此种情景分析天然气燃烧产生的一氧化碳污染物的次生环境影响进行预测，详见下表。</w:t>
      </w:r>
    </w:p>
    <w:p w14:paraId="6ECB4165" w14:textId="77777777" w:rsidR="007D1E74" w:rsidRDefault="00A95641">
      <w:pPr>
        <w:pStyle w:val="afffffe"/>
        <w:numPr>
          <w:ilvl w:val="0"/>
          <w:numId w:val="51"/>
        </w:numPr>
        <w:spacing w:line="360" w:lineRule="auto"/>
        <w:ind w:firstLineChars="0"/>
        <w:jc w:val="center"/>
        <w:rPr>
          <w:rFonts w:eastAsia="黑体" w:cs="Times New Roman"/>
          <w:szCs w:val="21"/>
        </w:rPr>
      </w:pPr>
      <w:r>
        <w:rPr>
          <w:rFonts w:eastAsia="黑体" w:cs="Times New Roman" w:hint="eastAsia"/>
          <w:szCs w:val="21"/>
        </w:rPr>
        <w:t>火灾伴生</w:t>
      </w:r>
      <w:r>
        <w:rPr>
          <w:rFonts w:eastAsia="黑体" w:cs="Times New Roman" w:hint="eastAsia"/>
          <w:szCs w:val="21"/>
        </w:rPr>
        <w:t>/</w:t>
      </w:r>
      <w:r>
        <w:rPr>
          <w:rFonts w:eastAsia="黑体" w:cs="Times New Roman" w:hint="eastAsia"/>
          <w:szCs w:val="21"/>
        </w:rPr>
        <w:t>次生污染物最大浓度及毒性终点浓度影响范围</w:t>
      </w:r>
    </w:p>
    <w:tbl>
      <w:tblPr>
        <w:tblStyle w:val="affffc"/>
        <w:tblW w:w="5000" w:type="pct"/>
        <w:tblLayout w:type="fixed"/>
        <w:tblLook w:val="04A0" w:firstRow="1" w:lastRow="0" w:firstColumn="1" w:lastColumn="0" w:noHBand="0" w:noVBand="1"/>
      </w:tblPr>
      <w:tblGrid>
        <w:gridCol w:w="1645"/>
        <w:gridCol w:w="689"/>
        <w:gridCol w:w="826"/>
        <w:gridCol w:w="963"/>
        <w:gridCol w:w="1100"/>
        <w:gridCol w:w="961"/>
        <w:gridCol w:w="963"/>
        <w:gridCol w:w="957"/>
        <w:gridCol w:w="912"/>
      </w:tblGrid>
      <w:tr w:rsidR="007D1E74" w14:paraId="26766052" w14:textId="77777777">
        <w:trPr>
          <w:tblHeader/>
        </w:trPr>
        <w:tc>
          <w:tcPr>
            <w:tcW w:w="912" w:type="pct"/>
            <w:vMerge w:val="restart"/>
            <w:vAlign w:val="center"/>
          </w:tcPr>
          <w:p w14:paraId="0698A0E1" w14:textId="77777777" w:rsidR="007D1E74" w:rsidRDefault="00A95641">
            <w:pPr>
              <w:jc w:val="center"/>
              <w:rPr>
                <w:rFonts w:cs="Times New Roman"/>
                <w:sz w:val="18"/>
                <w:szCs w:val="18"/>
              </w:rPr>
            </w:pPr>
            <w:r>
              <w:rPr>
                <w:rFonts w:cs="Times New Roman"/>
                <w:sz w:val="18"/>
                <w:szCs w:val="18"/>
              </w:rPr>
              <w:t>管段</w:t>
            </w:r>
          </w:p>
        </w:tc>
        <w:tc>
          <w:tcPr>
            <w:tcW w:w="382" w:type="pct"/>
            <w:vMerge w:val="restart"/>
            <w:vAlign w:val="center"/>
          </w:tcPr>
          <w:p w14:paraId="28608705" w14:textId="77777777" w:rsidR="007D1E74" w:rsidRDefault="00A95641">
            <w:pPr>
              <w:jc w:val="center"/>
              <w:rPr>
                <w:rFonts w:cs="Times New Roman"/>
                <w:sz w:val="18"/>
                <w:szCs w:val="18"/>
              </w:rPr>
            </w:pPr>
            <w:r>
              <w:rPr>
                <w:rFonts w:cs="Times New Roman"/>
                <w:sz w:val="18"/>
                <w:szCs w:val="18"/>
              </w:rPr>
              <w:t>危险物质</w:t>
            </w:r>
          </w:p>
        </w:tc>
        <w:tc>
          <w:tcPr>
            <w:tcW w:w="1602" w:type="pct"/>
            <w:gridSpan w:val="3"/>
            <w:vAlign w:val="center"/>
          </w:tcPr>
          <w:p w14:paraId="1A2895E6" w14:textId="77777777" w:rsidR="007D1E74" w:rsidRDefault="00A95641">
            <w:pPr>
              <w:jc w:val="center"/>
              <w:rPr>
                <w:rFonts w:cs="Times New Roman"/>
                <w:sz w:val="18"/>
                <w:szCs w:val="18"/>
              </w:rPr>
            </w:pPr>
            <w:r>
              <w:rPr>
                <w:rFonts w:cs="Times New Roman"/>
                <w:sz w:val="18"/>
                <w:szCs w:val="18"/>
              </w:rPr>
              <w:t>最大浓度值</w:t>
            </w:r>
          </w:p>
        </w:tc>
        <w:tc>
          <w:tcPr>
            <w:tcW w:w="2104" w:type="pct"/>
            <w:gridSpan w:val="4"/>
            <w:vAlign w:val="center"/>
          </w:tcPr>
          <w:p w14:paraId="220B4C2F" w14:textId="77777777" w:rsidR="007D1E74" w:rsidRDefault="00A95641">
            <w:pPr>
              <w:jc w:val="center"/>
              <w:rPr>
                <w:rFonts w:cs="Times New Roman"/>
                <w:sz w:val="18"/>
                <w:szCs w:val="18"/>
              </w:rPr>
            </w:pPr>
            <w:r>
              <w:rPr>
                <w:rFonts w:cs="Times New Roman" w:hint="eastAsia"/>
                <w:sz w:val="18"/>
                <w:szCs w:val="18"/>
              </w:rPr>
              <w:t>影响</w:t>
            </w:r>
            <w:r>
              <w:rPr>
                <w:rFonts w:cs="Times New Roman"/>
                <w:sz w:val="18"/>
                <w:szCs w:val="18"/>
              </w:rPr>
              <w:t>半径</w:t>
            </w:r>
          </w:p>
        </w:tc>
      </w:tr>
      <w:tr w:rsidR="007D1E74" w14:paraId="4B1D4E6B" w14:textId="77777777">
        <w:trPr>
          <w:tblHeader/>
        </w:trPr>
        <w:tc>
          <w:tcPr>
            <w:tcW w:w="912" w:type="pct"/>
            <w:vMerge/>
            <w:vAlign w:val="center"/>
          </w:tcPr>
          <w:p w14:paraId="2659FAF0" w14:textId="77777777" w:rsidR="007D1E74" w:rsidRDefault="007D1E74">
            <w:pPr>
              <w:jc w:val="center"/>
              <w:rPr>
                <w:rFonts w:cs="Times New Roman"/>
                <w:sz w:val="18"/>
                <w:szCs w:val="18"/>
              </w:rPr>
            </w:pPr>
          </w:p>
        </w:tc>
        <w:tc>
          <w:tcPr>
            <w:tcW w:w="382" w:type="pct"/>
            <w:vMerge/>
            <w:vAlign w:val="center"/>
          </w:tcPr>
          <w:p w14:paraId="64FC9829" w14:textId="77777777" w:rsidR="007D1E74" w:rsidRDefault="007D1E74">
            <w:pPr>
              <w:jc w:val="center"/>
              <w:rPr>
                <w:rFonts w:cs="Times New Roman"/>
                <w:sz w:val="18"/>
                <w:szCs w:val="18"/>
              </w:rPr>
            </w:pPr>
          </w:p>
        </w:tc>
        <w:tc>
          <w:tcPr>
            <w:tcW w:w="458" w:type="pct"/>
            <w:vMerge w:val="restart"/>
            <w:vAlign w:val="center"/>
          </w:tcPr>
          <w:p w14:paraId="496647F8" w14:textId="77777777" w:rsidR="007D1E74" w:rsidRDefault="00A95641">
            <w:pPr>
              <w:jc w:val="center"/>
              <w:rPr>
                <w:rFonts w:cs="Times New Roman"/>
                <w:sz w:val="18"/>
                <w:szCs w:val="18"/>
              </w:rPr>
            </w:pPr>
            <w:r>
              <w:rPr>
                <w:rFonts w:cs="Times New Roman"/>
                <w:sz w:val="18"/>
                <w:szCs w:val="18"/>
              </w:rPr>
              <w:t>距离（</w:t>
            </w:r>
            <w:r>
              <w:rPr>
                <w:rFonts w:cs="Times New Roman"/>
                <w:sz w:val="18"/>
                <w:szCs w:val="18"/>
              </w:rPr>
              <w:t>m</w:t>
            </w:r>
            <w:r>
              <w:rPr>
                <w:rFonts w:cs="Times New Roman"/>
                <w:sz w:val="18"/>
                <w:szCs w:val="18"/>
              </w:rPr>
              <w:t>）</w:t>
            </w:r>
          </w:p>
        </w:tc>
        <w:tc>
          <w:tcPr>
            <w:tcW w:w="534" w:type="pct"/>
            <w:vMerge w:val="restart"/>
            <w:vAlign w:val="center"/>
          </w:tcPr>
          <w:p w14:paraId="73E3BE39" w14:textId="77777777" w:rsidR="007D1E74" w:rsidRDefault="00A95641">
            <w:pPr>
              <w:jc w:val="center"/>
              <w:rPr>
                <w:rFonts w:cs="Times New Roman"/>
                <w:sz w:val="18"/>
                <w:szCs w:val="18"/>
              </w:rPr>
            </w:pPr>
            <w:r>
              <w:rPr>
                <w:rFonts w:cs="Times New Roman"/>
                <w:sz w:val="18"/>
                <w:szCs w:val="18"/>
              </w:rPr>
              <w:t>出现时间（</w:t>
            </w:r>
            <w:r>
              <w:rPr>
                <w:rFonts w:cs="Times New Roman"/>
                <w:sz w:val="18"/>
                <w:szCs w:val="18"/>
              </w:rPr>
              <w:t>min</w:t>
            </w:r>
            <w:r>
              <w:rPr>
                <w:rFonts w:cs="Times New Roman"/>
                <w:sz w:val="18"/>
                <w:szCs w:val="18"/>
              </w:rPr>
              <w:t>）</w:t>
            </w:r>
          </w:p>
        </w:tc>
        <w:tc>
          <w:tcPr>
            <w:tcW w:w="610" w:type="pct"/>
            <w:vMerge w:val="restart"/>
            <w:vAlign w:val="center"/>
          </w:tcPr>
          <w:p w14:paraId="03057557" w14:textId="77777777" w:rsidR="007D1E74" w:rsidRDefault="00A95641">
            <w:pPr>
              <w:jc w:val="center"/>
              <w:rPr>
                <w:rFonts w:cs="Times New Roman"/>
                <w:sz w:val="18"/>
                <w:szCs w:val="18"/>
              </w:rPr>
            </w:pPr>
            <w:r>
              <w:rPr>
                <w:rFonts w:cs="Times New Roman"/>
                <w:sz w:val="18"/>
                <w:szCs w:val="18"/>
              </w:rPr>
              <w:t>高峰浓度（</w:t>
            </w:r>
            <w:r>
              <w:rPr>
                <w:rFonts w:cs="Times New Roman"/>
                <w:sz w:val="18"/>
                <w:szCs w:val="18"/>
              </w:rPr>
              <w:t>mg/m</w:t>
            </w:r>
            <w:r>
              <w:rPr>
                <w:rFonts w:cs="Times New Roman"/>
                <w:sz w:val="18"/>
                <w:szCs w:val="18"/>
                <w:vertAlign w:val="superscript"/>
              </w:rPr>
              <w:t>3</w:t>
            </w:r>
            <w:r>
              <w:rPr>
                <w:rFonts w:cs="Times New Roman"/>
                <w:sz w:val="18"/>
                <w:szCs w:val="18"/>
              </w:rPr>
              <w:t>）</w:t>
            </w:r>
          </w:p>
        </w:tc>
        <w:tc>
          <w:tcPr>
            <w:tcW w:w="1067" w:type="pct"/>
            <w:gridSpan w:val="2"/>
            <w:vAlign w:val="center"/>
          </w:tcPr>
          <w:p w14:paraId="03733BFD" w14:textId="77777777" w:rsidR="007D1E74" w:rsidRDefault="00A95641">
            <w:pPr>
              <w:jc w:val="center"/>
              <w:rPr>
                <w:rFonts w:cs="Times New Roman"/>
                <w:sz w:val="18"/>
                <w:szCs w:val="18"/>
              </w:rPr>
            </w:pPr>
            <w:r>
              <w:rPr>
                <w:rFonts w:cs="Times New Roman"/>
                <w:sz w:val="18"/>
                <w:szCs w:val="18"/>
              </w:rPr>
              <w:t>毒性终点浓度</w:t>
            </w:r>
            <w:r>
              <w:rPr>
                <w:rFonts w:cs="Times New Roman"/>
                <w:sz w:val="18"/>
                <w:szCs w:val="18"/>
              </w:rPr>
              <w:t>-1</w:t>
            </w:r>
          </w:p>
        </w:tc>
        <w:tc>
          <w:tcPr>
            <w:tcW w:w="1037" w:type="pct"/>
            <w:gridSpan w:val="2"/>
            <w:vAlign w:val="center"/>
          </w:tcPr>
          <w:p w14:paraId="76D100EC" w14:textId="77777777" w:rsidR="007D1E74" w:rsidRDefault="00A95641">
            <w:pPr>
              <w:jc w:val="center"/>
              <w:rPr>
                <w:rFonts w:cs="Times New Roman"/>
                <w:sz w:val="18"/>
                <w:szCs w:val="18"/>
              </w:rPr>
            </w:pPr>
            <w:r>
              <w:rPr>
                <w:rFonts w:cs="Times New Roman"/>
                <w:sz w:val="18"/>
                <w:szCs w:val="18"/>
              </w:rPr>
              <w:t>毒性终点浓度</w:t>
            </w:r>
            <w:r>
              <w:rPr>
                <w:rFonts w:cs="Times New Roman"/>
                <w:sz w:val="18"/>
                <w:szCs w:val="18"/>
              </w:rPr>
              <w:t>-2</w:t>
            </w:r>
          </w:p>
        </w:tc>
      </w:tr>
      <w:tr w:rsidR="007D1E74" w14:paraId="75336B39" w14:textId="77777777">
        <w:trPr>
          <w:trHeight w:val="185"/>
          <w:tblHeader/>
        </w:trPr>
        <w:tc>
          <w:tcPr>
            <w:tcW w:w="912" w:type="pct"/>
            <w:vMerge/>
            <w:vAlign w:val="center"/>
          </w:tcPr>
          <w:p w14:paraId="3E5630C5" w14:textId="77777777" w:rsidR="007D1E74" w:rsidRDefault="007D1E74">
            <w:pPr>
              <w:jc w:val="center"/>
              <w:rPr>
                <w:rFonts w:cs="Times New Roman"/>
                <w:sz w:val="18"/>
                <w:szCs w:val="18"/>
              </w:rPr>
            </w:pPr>
          </w:p>
        </w:tc>
        <w:tc>
          <w:tcPr>
            <w:tcW w:w="382" w:type="pct"/>
            <w:vMerge/>
            <w:vAlign w:val="center"/>
          </w:tcPr>
          <w:p w14:paraId="0B99BD80" w14:textId="77777777" w:rsidR="007D1E74" w:rsidRDefault="007D1E74">
            <w:pPr>
              <w:jc w:val="center"/>
              <w:rPr>
                <w:rFonts w:cs="Times New Roman"/>
                <w:sz w:val="18"/>
                <w:szCs w:val="18"/>
              </w:rPr>
            </w:pPr>
          </w:p>
        </w:tc>
        <w:tc>
          <w:tcPr>
            <w:tcW w:w="458" w:type="pct"/>
            <w:vMerge/>
            <w:vAlign w:val="center"/>
          </w:tcPr>
          <w:p w14:paraId="2407995D" w14:textId="77777777" w:rsidR="007D1E74" w:rsidRDefault="007D1E74">
            <w:pPr>
              <w:jc w:val="center"/>
              <w:rPr>
                <w:rFonts w:cs="Times New Roman"/>
                <w:sz w:val="18"/>
                <w:szCs w:val="18"/>
              </w:rPr>
            </w:pPr>
          </w:p>
        </w:tc>
        <w:tc>
          <w:tcPr>
            <w:tcW w:w="534" w:type="pct"/>
            <w:vMerge/>
            <w:vAlign w:val="center"/>
          </w:tcPr>
          <w:p w14:paraId="529351A9" w14:textId="77777777" w:rsidR="007D1E74" w:rsidRDefault="007D1E74">
            <w:pPr>
              <w:jc w:val="center"/>
              <w:rPr>
                <w:rFonts w:cs="Times New Roman"/>
                <w:sz w:val="18"/>
                <w:szCs w:val="18"/>
              </w:rPr>
            </w:pPr>
          </w:p>
        </w:tc>
        <w:tc>
          <w:tcPr>
            <w:tcW w:w="610" w:type="pct"/>
            <w:vMerge/>
            <w:vAlign w:val="center"/>
          </w:tcPr>
          <w:p w14:paraId="78B0A82B" w14:textId="77777777" w:rsidR="007D1E74" w:rsidRDefault="007D1E74">
            <w:pPr>
              <w:jc w:val="center"/>
              <w:rPr>
                <w:rFonts w:cs="Times New Roman"/>
                <w:sz w:val="18"/>
                <w:szCs w:val="18"/>
              </w:rPr>
            </w:pPr>
          </w:p>
        </w:tc>
        <w:tc>
          <w:tcPr>
            <w:tcW w:w="533" w:type="pct"/>
            <w:vAlign w:val="center"/>
          </w:tcPr>
          <w:p w14:paraId="2C30696A" w14:textId="77777777" w:rsidR="007D1E74" w:rsidRDefault="00A95641">
            <w:pPr>
              <w:jc w:val="center"/>
              <w:rPr>
                <w:rFonts w:cs="Times New Roman"/>
                <w:sz w:val="18"/>
                <w:szCs w:val="18"/>
              </w:rPr>
            </w:pPr>
            <w:r>
              <w:rPr>
                <w:rFonts w:cs="Times New Roman"/>
                <w:sz w:val="18"/>
                <w:szCs w:val="18"/>
              </w:rPr>
              <w:t>最远距离（</w:t>
            </w:r>
            <w:r>
              <w:rPr>
                <w:rFonts w:cs="Times New Roman"/>
                <w:sz w:val="18"/>
                <w:szCs w:val="18"/>
              </w:rPr>
              <w:t>m</w:t>
            </w:r>
            <w:r>
              <w:rPr>
                <w:rFonts w:cs="Times New Roman"/>
                <w:sz w:val="18"/>
                <w:szCs w:val="18"/>
              </w:rPr>
              <w:t>）</w:t>
            </w:r>
          </w:p>
        </w:tc>
        <w:tc>
          <w:tcPr>
            <w:tcW w:w="534" w:type="pct"/>
            <w:vAlign w:val="center"/>
          </w:tcPr>
          <w:p w14:paraId="5848E1A5" w14:textId="77777777" w:rsidR="007D1E74" w:rsidRDefault="00A95641">
            <w:pPr>
              <w:jc w:val="center"/>
              <w:rPr>
                <w:rFonts w:cs="Times New Roman"/>
                <w:sz w:val="18"/>
                <w:szCs w:val="18"/>
              </w:rPr>
            </w:pPr>
            <w:r>
              <w:rPr>
                <w:rFonts w:cs="Times New Roman"/>
                <w:sz w:val="18"/>
                <w:szCs w:val="18"/>
              </w:rPr>
              <w:t>到达时间（</w:t>
            </w:r>
            <w:r>
              <w:rPr>
                <w:rFonts w:cs="Times New Roman"/>
                <w:sz w:val="18"/>
                <w:szCs w:val="18"/>
              </w:rPr>
              <w:t>min</w:t>
            </w:r>
            <w:r>
              <w:rPr>
                <w:rFonts w:cs="Times New Roman"/>
                <w:sz w:val="18"/>
                <w:szCs w:val="18"/>
              </w:rPr>
              <w:t>）</w:t>
            </w:r>
          </w:p>
        </w:tc>
        <w:tc>
          <w:tcPr>
            <w:tcW w:w="531" w:type="pct"/>
            <w:vAlign w:val="center"/>
          </w:tcPr>
          <w:p w14:paraId="7F05647C" w14:textId="77777777" w:rsidR="007D1E74" w:rsidRDefault="00A95641">
            <w:pPr>
              <w:jc w:val="center"/>
              <w:rPr>
                <w:rFonts w:cs="Times New Roman"/>
                <w:sz w:val="18"/>
                <w:szCs w:val="18"/>
              </w:rPr>
            </w:pPr>
            <w:r>
              <w:rPr>
                <w:rFonts w:cs="Times New Roman"/>
                <w:sz w:val="18"/>
                <w:szCs w:val="18"/>
              </w:rPr>
              <w:t>最远距离（</w:t>
            </w:r>
            <w:r>
              <w:rPr>
                <w:rFonts w:cs="Times New Roman"/>
                <w:sz w:val="18"/>
                <w:szCs w:val="18"/>
              </w:rPr>
              <w:t>m</w:t>
            </w:r>
            <w:r>
              <w:rPr>
                <w:rFonts w:cs="Times New Roman"/>
                <w:sz w:val="18"/>
                <w:szCs w:val="18"/>
              </w:rPr>
              <w:t>）</w:t>
            </w:r>
          </w:p>
        </w:tc>
        <w:tc>
          <w:tcPr>
            <w:tcW w:w="506" w:type="pct"/>
            <w:vAlign w:val="center"/>
          </w:tcPr>
          <w:p w14:paraId="0CECD852" w14:textId="77777777" w:rsidR="007D1E74" w:rsidRDefault="00A95641">
            <w:pPr>
              <w:rPr>
                <w:rFonts w:cs="Times New Roman"/>
                <w:sz w:val="18"/>
                <w:szCs w:val="18"/>
              </w:rPr>
            </w:pPr>
            <w:r>
              <w:rPr>
                <w:rFonts w:cs="Times New Roman"/>
                <w:sz w:val="18"/>
                <w:szCs w:val="18"/>
              </w:rPr>
              <w:t>到达时间（</w:t>
            </w:r>
            <w:r>
              <w:rPr>
                <w:rFonts w:cs="Times New Roman"/>
                <w:sz w:val="18"/>
                <w:szCs w:val="18"/>
              </w:rPr>
              <w:t>min</w:t>
            </w:r>
            <w:r>
              <w:rPr>
                <w:rFonts w:cs="Times New Roman"/>
                <w:sz w:val="18"/>
                <w:szCs w:val="18"/>
              </w:rPr>
              <w:t>）</w:t>
            </w:r>
          </w:p>
        </w:tc>
      </w:tr>
      <w:tr w:rsidR="007D1E74" w14:paraId="2B638603" w14:textId="77777777">
        <w:tc>
          <w:tcPr>
            <w:tcW w:w="912" w:type="pct"/>
            <w:vAlign w:val="center"/>
          </w:tcPr>
          <w:p w14:paraId="50A554B4" w14:textId="77777777" w:rsidR="007D1E74" w:rsidRDefault="00A95641">
            <w:pPr>
              <w:widowControl/>
              <w:jc w:val="center"/>
              <w:rPr>
                <w:rFonts w:cs="Times New Roman"/>
                <w:kern w:val="0"/>
                <w:sz w:val="18"/>
                <w:szCs w:val="18"/>
              </w:rPr>
            </w:pPr>
            <w:r>
              <w:rPr>
                <w:rFonts w:cs="Times New Roman"/>
                <w:kern w:val="0"/>
                <w:sz w:val="18"/>
                <w:szCs w:val="18"/>
              </w:rPr>
              <w:t>1#</w:t>
            </w:r>
            <w:r>
              <w:rPr>
                <w:rFonts w:cs="Times New Roman"/>
                <w:kern w:val="0"/>
                <w:sz w:val="18"/>
                <w:szCs w:val="18"/>
              </w:rPr>
              <w:t>阀室至马</w:t>
            </w:r>
            <w:r>
              <w:rPr>
                <w:rFonts w:cs="Times New Roman"/>
                <w:kern w:val="0"/>
                <w:sz w:val="18"/>
                <w:szCs w:val="18"/>
              </w:rPr>
              <w:t>1-11</w:t>
            </w:r>
            <w:r>
              <w:rPr>
                <w:rFonts w:cs="Times New Roman"/>
                <w:kern w:val="0"/>
                <w:sz w:val="18"/>
                <w:szCs w:val="18"/>
              </w:rPr>
              <w:t>脱水井场集输干线</w:t>
            </w:r>
          </w:p>
        </w:tc>
        <w:tc>
          <w:tcPr>
            <w:tcW w:w="382" w:type="pct"/>
            <w:vMerge w:val="restart"/>
            <w:vAlign w:val="center"/>
          </w:tcPr>
          <w:p w14:paraId="71AF65EA" w14:textId="77777777" w:rsidR="007D1E74" w:rsidRDefault="00A95641">
            <w:pPr>
              <w:jc w:val="center"/>
              <w:rPr>
                <w:rFonts w:cs="Times New Roman"/>
                <w:sz w:val="18"/>
                <w:szCs w:val="18"/>
              </w:rPr>
            </w:pPr>
            <w:r>
              <w:rPr>
                <w:rFonts w:cs="Times New Roman" w:hint="eastAsia"/>
                <w:sz w:val="18"/>
                <w:szCs w:val="18"/>
              </w:rPr>
              <w:t>一氧化碳</w:t>
            </w:r>
          </w:p>
        </w:tc>
        <w:tc>
          <w:tcPr>
            <w:tcW w:w="458" w:type="pct"/>
            <w:vAlign w:val="center"/>
          </w:tcPr>
          <w:p w14:paraId="70E5AAC1" w14:textId="77777777" w:rsidR="007D1E74" w:rsidRDefault="00A95641">
            <w:pPr>
              <w:jc w:val="center"/>
              <w:rPr>
                <w:rFonts w:cs="Times New Roman"/>
                <w:sz w:val="18"/>
                <w:szCs w:val="18"/>
              </w:rPr>
            </w:pPr>
            <w:r>
              <w:rPr>
                <w:rFonts w:cs="Times New Roman" w:hint="eastAsia"/>
                <w:sz w:val="18"/>
                <w:szCs w:val="18"/>
              </w:rPr>
              <w:t>7</w:t>
            </w:r>
            <w:r>
              <w:rPr>
                <w:rFonts w:cs="Times New Roman"/>
                <w:sz w:val="18"/>
                <w:szCs w:val="18"/>
              </w:rPr>
              <w:t>70</w:t>
            </w:r>
          </w:p>
        </w:tc>
        <w:tc>
          <w:tcPr>
            <w:tcW w:w="534" w:type="pct"/>
            <w:vAlign w:val="center"/>
          </w:tcPr>
          <w:p w14:paraId="35D4ABEB" w14:textId="77777777" w:rsidR="007D1E74" w:rsidRDefault="00A95641">
            <w:pPr>
              <w:jc w:val="center"/>
              <w:rPr>
                <w:rFonts w:cs="Times New Roman"/>
                <w:sz w:val="18"/>
                <w:szCs w:val="18"/>
              </w:rPr>
            </w:pPr>
            <w:r>
              <w:rPr>
                <w:rFonts w:cs="Times New Roman"/>
                <w:sz w:val="18"/>
                <w:szCs w:val="18"/>
              </w:rPr>
              <w:t>8.56</w:t>
            </w:r>
          </w:p>
        </w:tc>
        <w:tc>
          <w:tcPr>
            <w:tcW w:w="610" w:type="pct"/>
            <w:vAlign w:val="center"/>
          </w:tcPr>
          <w:p w14:paraId="3AD42F50" w14:textId="77777777" w:rsidR="007D1E74" w:rsidRDefault="00A95641">
            <w:pPr>
              <w:jc w:val="center"/>
              <w:rPr>
                <w:rFonts w:cs="Times New Roman"/>
                <w:sz w:val="18"/>
                <w:szCs w:val="18"/>
              </w:rPr>
            </w:pPr>
            <w:r>
              <w:rPr>
                <w:rFonts w:cs="Times New Roman" w:hint="eastAsia"/>
                <w:sz w:val="18"/>
                <w:szCs w:val="18"/>
              </w:rPr>
              <w:t>0</w:t>
            </w:r>
            <w:r>
              <w:rPr>
                <w:rFonts w:cs="Times New Roman"/>
                <w:sz w:val="18"/>
                <w:szCs w:val="18"/>
              </w:rPr>
              <w:t>.0200</w:t>
            </w:r>
          </w:p>
        </w:tc>
        <w:tc>
          <w:tcPr>
            <w:tcW w:w="533" w:type="pct"/>
            <w:vAlign w:val="center"/>
          </w:tcPr>
          <w:p w14:paraId="7927DAD6" w14:textId="77777777" w:rsidR="007D1E74" w:rsidRDefault="00A95641">
            <w:pPr>
              <w:jc w:val="center"/>
              <w:rPr>
                <w:rFonts w:cs="Times New Roman"/>
                <w:sz w:val="18"/>
                <w:szCs w:val="18"/>
              </w:rPr>
            </w:pPr>
            <w:r>
              <w:rPr>
                <w:rFonts w:cs="Times New Roman" w:hint="eastAsia"/>
                <w:sz w:val="18"/>
                <w:szCs w:val="18"/>
              </w:rPr>
              <w:t>/</w:t>
            </w:r>
          </w:p>
        </w:tc>
        <w:tc>
          <w:tcPr>
            <w:tcW w:w="534" w:type="pct"/>
            <w:vAlign w:val="center"/>
          </w:tcPr>
          <w:p w14:paraId="09034E97" w14:textId="77777777" w:rsidR="007D1E74" w:rsidRDefault="00A95641">
            <w:pPr>
              <w:jc w:val="center"/>
              <w:rPr>
                <w:rFonts w:cs="Times New Roman"/>
                <w:sz w:val="18"/>
                <w:szCs w:val="18"/>
              </w:rPr>
            </w:pPr>
            <w:r>
              <w:rPr>
                <w:rFonts w:cs="Times New Roman" w:hint="eastAsia"/>
                <w:sz w:val="18"/>
                <w:szCs w:val="18"/>
              </w:rPr>
              <w:t>/</w:t>
            </w:r>
          </w:p>
        </w:tc>
        <w:tc>
          <w:tcPr>
            <w:tcW w:w="531" w:type="pct"/>
            <w:vAlign w:val="center"/>
          </w:tcPr>
          <w:p w14:paraId="5EEA9A4C" w14:textId="77777777" w:rsidR="007D1E74" w:rsidRDefault="00A95641">
            <w:pPr>
              <w:jc w:val="center"/>
              <w:rPr>
                <w:rFonts w:cs="Times New Roman"/>
                <w:sz w:val="18"/>
                <w:szCs w:val="18"/>
              </w:rPr>
            </w:pPr>
            <w:r>
              <w:rPr>
                <w:rFonts w:cs="Times New Roman" w:hint="eastAsia"/>
                <w:sz w:val="18"/>
                <w:szCs w:val="18"/>
              </w:rPr>
              <w:t>/</w:t>
            </w:r>
          </w:p>
        </w:tc>
        <w:tc>
          <w:tcPr>
            <w:tcW w:w="506" w:type="pct"/>
            <w:vAlign w:val="center"/>
          </w:tcPr>
          <w:p w14:paraId="692E2C39" w14:textId="77777777" w:rsidR="007D1E74" w:rsidRDefault="00A95641">
            <w:pPr>
              <w:jc w:val="center"/>
              <w:rPr>
                <w:rFonts w:cs="Times New Roman"/>
                <w:sz w:val="18"/>
                <w:szCs w:val="18"/>
              </w:rPr>
            </w:pPr>
            <w:r>
              <w:rPr>
                <w:rFonts w:cs="Times New Roman" w:hint="eastAsia"/>
                <w:sz w:val="18"/>
                <w:szCs w:val="18"/>
              </w:rPr>
              <w:t>/</w:t>
            </w:r>
          </w:p>
        </w:tc>
      </w:tr>
      <w:tr w:rsidR="007D1E74" w14:paraId="01B64E12" w14:textId="77777777">
        <w:tc>
          <w:tcPr>
            <w:tcW w:w="912" w:type="pct"/>
            <w:vAlign w:val="center"/>
          </w:tcPr>
          <w:p w14:paraId="2418EBDF" w14:textId="77777777" w:rsidR="007D1E74" w:rsidRDefault="00A95641">
            <w:pPr>
              <w:widowControl/>
              <w:jc w:val="center"/>
              <w:rPr>
                <w:rFonts w:cs="Times New Roman"/>
                <w:kern w:val="0"/>
                <w:sz w:val="18"/>
                <w:szCs w:val="18"/>
              </w:rPr>
            </w:pPr>
            <w:r>
              <w:rPr>
                <w:rFonts w:cs="Times New Roman"/>
                <w:kern w:val="0"/>
                <w:sz w:val="18"/>
                <w:szCs w:val="18"/>
              </w:rPr>
              <w:t>马</w:t>
            </w:r>
            <w:r>
              <w:rPr>
                <w:rFonts w:cs="Times New Roman"/>
                <w:kern w:val="0"/>
                <w:sz w:val="18"/>
                <w:szCs w:val="18"/>
              </w:rPr>
              <w:t>1-10H</w:t>
            </w:r>
            <w:r>
              <w:rPr>
                <w:rFonts w:cs="Times New Roman"/>
                <w:kern w:val="0"/>
                <w:sz w:val="18"/>
                <w:szCs w:val="18"/>
              </w:rPr>
              <w:t>采气井场至马</w:t>
            </w:r>
            <w:r>
              <w:rPr>
                <w:rFonts w:cs="Times New Roman"/>
                <w:kern w:val="0"/>
                <w:sz w:val="18"/>
                <w:szCs w:val="18"/>
              </w:rPr>
              <w:t>1-1</w:t>
            </w:r>
            <w:r>
              <w:rPr>
                <w:rFonts w:cs="Times New Roman"/>
                <w:kern w:val="0"/>
                <w:sz w:val="18"/>
                <w:szCs w:val="18"/>
              </w:rPr>
              <w:t>集气支线</w:t>
            </w:r>
          </w:p>
        </w:tc>
        <w:tc>
          <w:tcPr>
            <w:tcW w:w="382" w:type="pct"/>
            <w:vMerge/>
            <w:vAlign w:val="center"/>
          </w:tcPr>
          <w:p w14:paraId="6B1D8820" w14:textId="77777777" w:rsidR="007D1E74" w:rsidRDefault="007D1E74">
            <w:pPr>
              <w:jc w:val="center"/>
              <w:rPr>
                <w:rFonts w:cs="Times New Roman"/>
                <w:sz w:val="18"/>
                <w:szCs w:val="18"/>
              </w:rPr>
            </w:pPr>
          </w:p>
        </w:tc>
        <w:tc>
          <w:tcPr>
            <w:tcW w:w="458" w:type="pct"/>
            <w:vAlign w:val="center"/>
          </w:tcPr>
          <w:p w14:paraId="66FC23B7" w14:textId="77777777" w:rsidR="007D1E74" w:rsidRDefault="00A95641">
            <w:pPr>
              <w:jc w:val="center"/>
              <w:rPr>
                <w:rFonts w:cs="Times New Roman"/>
                <w:sz w:val="18"/>
                <w:szCs w:val="18"/>
              </w:rPr>
            </w:pPr>
            <w:r>
              <w:rPr>
                <w:rFonts w:cs="Times New Roman" w:hint="eastAsia"/>
                <w:sz w:val="18"/>
                <w:szCs w:val="18"/>
              </w:rPr>
              <w:t>7</w:t>
            </w:r>
            <w:r>
              <w:rPr>
                <w:rFonts w:cs="Times New Roman"/>
                <w:sz w:val="18"/>
                <w:szCs w:val="18"/>
              </w:rPr>
              <w:t>70</w:t>
            </w:r>
          </w:p>
        </w:tc>
        <w:tc>
          <w:tcPr>
            <w:tcW w:w="534" w:type="pct"/>
            <w:vAlign w:val="center"/>
          </w:tcPr>
          <w:p w14:paraId="71F3197D" w14:textId="77777777" w:rsidR="007D1E74" w:rsidRDefault="00A95641">
            <w:pPr>
              <w:jc w:val="center"/>
              <w:rPr>
                <w:rFonts w:cs="Times New Roman"/>
                <w:sz w:val="18"/>
                <w:szCs w:val="18"/>
              </w:rPr>
            </w:pPr>
            <w:r>
              <w:rPr>
                <w:rFonts w:cs="Times New Roman"/>
                <w:sz w:val="18"/>
                <w:szCs w:val="18"/>
              </w:rPr>
              <w:t>8.56</w:t>
            </w:r>
          </w:p>
        </w:tc>
        <w:tc>
          <w:tcPr>
            <w:tcW w:w="610" w:type="pct"/>
            <w:vAlign w:val="center"/>
          </w:tcPr>
          <w:p w14:paraId="1625D3D6" w14:textId="77777777" w:rsidR="007D1E74" w:rsidRDefault="00A95641">
            <w:pPr>
              <w:jc w:val="center"/>
              <w:rPr>
                <w:rFonts w:cs="Times New Roman"/>
                <w:sz w:val="18"/>
                <w:szCs w:val="18"/>
              </w:rPr>
            </w:pPr>
            <w:r>
              <w:rPr>
                <w:rFonts w:cs="Times New Roman" w:hint="eastAsia"/>
                <w:sz w:val="18"/>
                <w:szCs w:val="18"/>
              </w:rPr>
              <w:t>0</w:t>
            </w:r>
            <w:r>
              <w:rPr>
                <w:rFonts w:cs="Times New Roman"/>
                <w:sz w:val="18"/>
                <w:szCs w:val="18"/>
              </w:rPr>
              <w:t>.0017</w:t>
            </w:r>
          </w:p>
        </w:tc>
        <w:tc>
          <w:tcPr>
            <w:tcW w:w="533" w:type="pct"/>
            <w:vAlign w:val="center"/>
          </w:tcPr>
          <w:p w14:paraId="443C834C" w14:textId="77777777" w:rsidR="007D1E74" w:rsidRDefault="00A95641">
            <w:pPr>
              <w:jc w:val="center"/>
              <w:rPr>
                <w:rFonts w:cs="Times New Roman"/>
                <w:sz w:val="18"/>
                <w:szCs w:val="18"/>
              </w:rPr>
            </w:pPr>
            <w:r>
              <w:rPr>
                <w:rFonts w:cs="Times New Roman" w:hint="eastAsia"/>
                <w:sz w:val="18"/>
                <w:szCs w:val="18"/>
              </w:rPr>
              <w:t>/</w:t>
            </w:r>
          </w:p>
        </w:tc>
        <w:tc>
          <w:tcPr>
            <w:tcW w:w="534" w:type="pct"/>
            <w:vAlign w:val="center"/>
          </w:tcPr>
          <w:p w14:paraId="6085CA2E" w14:textId="77777777" w:rsidR="007D1E74" w:rsidRDefault="00A95641">
            <w:pPr>
              <w:jc w:val="center"/>
              <w:rPr>
                <w:rFonts w:cs="Times New Roman"/>
                <w:sz w:val="18"/>
                <w:szCs w:val="18"/>
              </w:rPr>
            </w:pPr>
            <w:r>
              <w:rPr>
                <w:rFonts w:cs="Times New Roman" w:hint="eastAsia"/>
                <w:sz w:val="18"/>
                <w:szCs w:val="18"/>
              </w:rPr>
              <w:t>/</w:t>
            </w:r>
          </w:p>
        </w:tc>
        <w:tc>
          <w:tcPr>
            <w:tcW w:w="531" w:type="pct"/>
            <w:vAlign w:val="center"/>
          </w:tcPr>
          <w:p w14:paraId="07AA432C" w14:textId="77777777" w:rsidR="007D1E74" w:rsidRDefault="00A95641">
            <w:pPr>
              <w:jc w:val="center"/>
              <w:rPr>
                <w:rFonts w:cs="Times New Roman"/>
                <w:sz w:val="18"/>
                <w:szCs w:val="18"/>
              </w:rPr>
            </w:pPr>
            <w:r>
              <w:rPr>
                <w:rFonts w:cs="Times New Roman" w:hint="eastAsia"/>
                <w:sz w:val="18"/>
                <w:szCs w:val="18"/>
              </w:rPr>
              <w:t>/</w:t>
            </w:r>
          </w:p>
        </w:tc>
        <w:tc>
          <w:tcPr>
            <w:tcW w:w="506" w:type="pct"/>
            <w:vAlign w:val="center"/>
          </w:tcPr>
          <w:p w14:paraId="29DF9726" w14:textId="77777777" w:rsidR="007D1E74" w:rsidRDefault="00A95641">
            <w:pPr>
              <w:jc w:val="center"/>
              <w:rPr>
                <w:rFonts w:cs="Times New Roman"/>
                <w:sz w:val="18"/>
                <w:szCs w:val="18"/>
              </w:rPr>
            </w:pPr>
            <w:r>
              <w:rPr>
                <w:rFonts w:cs="Times New Roman" w:hint="eastAsia"/>
                <w:sz w:val="18"/>
                <w:szCs w:val="18"/>
              </w:rPr>
              <w:t>/</w:t>
            </w:r>
          </w:p>
        </w:tc>
      </w:tr>
      <w:tr w:rsidR="007D1E74" w14:paraId="73A8DEB3" w14:textId="77777777">
        <w:tc>
          <w:tcPr>
            <w:tcW w:w="912" w:type="pct"/>
            <w:vAlign w:val="center"/>
          </w:tcPr>
          <w:p w14:paraId="49DDC408" w14:textId="77777777" w:rsidR="007D1E74" w:rsidRDefault="00A95641">
            <w:pPr>
              <w:widowControl/>
              <w:jc w:val="center"/>
              <w:rPr>
                <w:rFonts w:cs="Times New Roman"/>
                <w:kern w:val="0"/>
                <w:sz w:val="18"/>
                <w:szCs w:val="18"/>
              </w:rPr>
            </w:pPr>
            <w:r>
              <w:rPr>
                <w:rFonts w:cs="Times New Roman"/>
                <w:kern w:val="0"/>
                <w:sz w:val="18"/>
                <w:szCs w:val="18"/>
              </w:rPr>
              <w:t>马</w:t>
            </w:r>
            <w:r>
              <w:rPr>
                <w:rFonts w:cs="Times New Roman"/>
                <w:kern w:val="0"/>
                <w:sz w:val="18"/>
                <w:szCs w:val="18"/>
              </w:rPr>
              <w:t>1-1</w:t>
            </w:r>
            <w:r>
              <w:rPr>
                <w:rFonts w:cs="Times New Roman"/>
                <w:kern w:val="0"/>
                <w:sz w:val="18"/>
                <w:szCs w:val="18"/>
              </w:rPr>
              <w:t>采气井场至干线集气支线</w:t>
            </w:r>
          </w:p>
        </w:tc>
        <w:tc>
          <w:tcPr>
            <w:tcW w:w="382" w:type="pct"/>
            <w:vMerge/>
            <w:vAlign w:val="center"/>
          </w:tcPr>
          <w:p w14:paraId="5BB6494A" w14:textId="77777777" w:rsidR="007D1E74" w:rsidRDefault="007D1E74">
            <w:pPr>
              <w:jc w:val="center"/>
              <w:rPr>
                <w:rFonts w:cs="Times New Roman"/>
                <w:sz w:val="18"/>
                <w:szCs w:val="18"/>
              </w:rPr>
            </w:pPr>
          </w:p>
        </w:tc>
        <w:tc>
          <w:tcPr>
            <w:tcW w:w="458" w:type="pct"/>
            <w:vAlign w:val="center"/>
          </w:tcPr>
          <w:p w14:paraId="7B267951" w14:textId="77777777" w:rsidR="007D1E74" w:rsidRDefault="00A95641">
            <w:pPr>
              <w:jc w:val="center"/>
              <w:rPr>
                <w:rFonts w:cs="Times New Roman"/>
                <w:sz w:val="18"/>
                <w:szCs w:val="18"/>
              </w:rPr>
            </w:pPr>
            <w:r>
              <w:rPr>
                <w:rFonts w:cs="Times New Roman" w:hint="eastAsia"/>
                <w:sz w:val="18"/>
                <w:szCs w:val="18"/>
              </w:rPr>
              <w:t>7</w:t>
            </w:r>
            <w:r>
              <w:rPr>
                <w:rFonts w:cs="Times New Roman"/>
                <w:sz w:val="18"/>
                <w:szCs w:val="18"/>
              </w:rPr>
              <w:t>70</w:t>
            </w:r>
          </w:p>
        </w:tc>
        <w:tc>
          <w:tcPr>
            <w:tcW w:w="534" w:type="pct"/>
            <w:vAlign w:val="center"/>
          </w:tcPr>
          <w:p w14:paraId="0E0905AD" w14:textId="77777777" w:rsidR="007D1E74" w:rsidRDefault="00A95641">
            <w:pPr>
              <w:jc w:val="center"/>
              <w:rPr>
                <w:rFonts w:cs="Times New Roman"/>
                <w:sz w:val="18"/>
                <w:szCs w:val="18"/>
              </w:rPr>
            </w:pPr>
            <w:r>
              <w:rPr>
                <w:rFonts w:cs="Times New Roman"/>
                <w:sz w:val="18"/>
                <w:szCs w:val="18"/>
              </w:rPr>
              <w:t>8.56</w:t>
            </w:r>
          </w:p>
        </w:tc>
        <w:tc>
          <w:tcPr>
            <w:tcW w:w="610" w:type="pct"/>
            <w:vAlign w:val="center"/>
          </w:tcPr>
          <w:p w14:paraId="0B2B6B08" w14:textId="77777777" w:rsidR="007D1E74" w:rsidRDefault="00A95641">
            <w:pPr>
              <w:jc w:val="center"/>
              <w:rPr>
                <w:rFonts w:cs="Times New Roman"/>
                <w:sz w:val="18"/>
                <w:szCs w:val="18"/>
              </w:rPr>
            </w:pPr>
            <w:r>
              <w:rPr>
                <w:rFonts w:cs="Times New Roman" w:hint="eastAsia"/>
                <w:sz w:val="18"/>
                <w:szCs w:val="18"/>
              </w:rPr>
              <w:t>0</w:t>
            </w:r>
            <w:r>
              <w:rPr>
                <w:rFonts w:cs="Times New Roman"/>
                <w:sz w:val="18"/>
                <w:szCs w:val="18"/>
              </w:rPr>
              <w:t>.0011</w:t>
            </w:r>
          </w:p>
        </w:tc>
        <w:tc>
          <w:tcPr>
            <w:tcW w:w="533" w:type="pct"/>
            <w:vAlign w:val="center"/>
          </w:tcPr>
          <w:p w14:paraId="1BB5D9B1" w14:textId="77777777" w:rsidR="007D1E74" w:rsidRDefault="00A95641">
            <w:pPr>
              <w:jc w:val="center"/>
              <w:rPr>
                <w:rFonts w:cs="Times New Roman"/>
                <w:sz w:val="18"/>
                <w:szCs w:val="18"/>
              </w:rPr>
            </w:pPr>
            <w:r>
              <w:rPr>
                <w:rFonts w:cs="Times New Roman" w:hint="eastAsia"/>
                <w:sz w:val="18"/>
                <w:szCs w:val="18"/>
              </w:rPr>
              <w:t>/</w:t>
            </w:r>
          </w:p>
        </w:tc>
        <w:tc>
          <w:tcPr>
            <w:tcW w:w="534" w:type="pct"/>
            <w:vAlign w:val="center"/>
          </w:tcPr>
          <w:p w14:paraId="2A6D0F3A" w14:textId="77777777" w:rsidR="007D1E74" w:rsidRDefault="00A95641">
            <w:pPr>
              <w:jc w:val="center"/>
              <w:rPr>
                <w:rFonts w:cs="Times New Roman"/>
                <w:sz w:val="18"/>
                <w:szCs w:val="18"/>
              </w:rPr>
            </w:pPr>
            <w:r>
              <w:rPr>
                <w:rFonts w:cs="Times New Roman" w:hint="eastAsia"/>
                <w:sz w:val="18"/>
                <w:szCs w:val="18"/>
              </w:rPr>
              <w:t>/</w:t>
            </w:r>
          </w:p>
        </w:tc>
        <w:tc>
          <w:tcPr>
            <w:tcW w:w="531" w:type="pct"/>
            <w:vAlign w:val="center"/>
          </w:tcPr>
          <w:p w14:paraId="34EDF931" w14:textId="77777777" w:rsidR="007D1E74" w:rsidRDefault="00A95641">
            <w:pPr>
              <w:jc w:val="center"/>
              <w:rPr>
                <w:rFonts w:cs="Times New Roman"/>
                <w:sz w:val="18"/>
                <w:szCs w:val="18"/>
              </w:rPr>
            </w:pPr>
            <w:r>
              <w:rPr>
                <w:rFonts w:cs="Times New Roman" w:hint="eastAsia"/>
                <w:sz w:val="18"/>
                <w:szCs w:val="18"/>
              </w:rPr>
              <w:t>/</w:t>
            </w:r>
          </w:p>
        </w:tc>
        <w:tc>
          <w:tcPr>
            <w:tcW w:w="506" w:type="pct"/>
            <w:vAlign w:val="center"/>
          </w:tcPr>
          <w:p w14:paraId="287D8D77" w14:textId="77777777" w:rsidR="007D1E74" w:rsidRDefault="00A95641">
            <w:pPr>
              <w:jc w:val="center"/>
              <w:rPr>
                <w:rFonts w:cs="Times New Roman"/>
                <w:sz w:val="18"/>
                <w:szCs w:val="18"/>
              </w:rPr>
            </w:pPr>
            <w:r>
              <w:rPr>
                <w:rFonts w:cs="Times New Roman" w:hint="eastAsia"/>
                <w:sz w:val="18"/>
                <w:szCs w:val="18"/>
              </w:rPr>
              <w:t>/</w:t>
            </w:r>
          </w:p>
        </w:tc>
      </w:tr>
      <w:tr w:rsidR="007D1E74" w14:paraId="4EBC1631" w14:textId="77777777">
        <w:tc>
          <w:tcPr>
            <w:tcW w:w="912" w:type="pct"/>
            <w:vAlign w:val="center"/>
          </w:tcPr>
          <w:p w14:paraId="30747C61" w14:textId="77777777" w:rsidR="007D1E74" w:rsidRDefault="00A95641">
            <w:pPr>
              <w:widowControl/>
              <w:jc w:val="center"/>
              <w:rPr>
                <w:rFonts w:cs="Times New Roman"/>
                <w:kern w:val="0"/>
                <w:sz w:val="18"/>
                <w:szCs w:val="18"/>
              </w:rPr>
            </w:pPr>
            <w:r>
              <w:rPr>
                <w:rFonts w:cs="Times New Roman"/>
                <w:kern w:val="0"/>
                <w:sz w:val="18"/>
                <w:szCs w:val="18"/>
              </w:rPr>
              <w:t>马</w:t>
            </w:r>
            <w:r>
              <w:rPr>
                <w:rFonts w:cs="Times New Roman"/>
                <w:kern w:val="0"/>
                <w:sz w:val="18"/>
                <w:szCs w:val="18"/>
              </w:rPr>
              <w:t>1-13H</w:t>
            </w:r>
            <w:r>
              <w:rPr>
                <w:rFonts w:cs="Times New Roman"/>
                <w:kern w:val="0"/>
                <w:sz w:val="18"/>
                <w:szCs w:val="18"/>
              </w:rPr>
              <w:t>采气井场至干线集气支线</w:t>
            </w:r>
          </w:p>
        </w:tc>
        <w:tc>
          <w:tcPr>
            <w:tcW w:w="382" w:type="pct"/>
            <w:vMerge/>
            <w:vAlign w:val="center"/>
          </w:tcPr>
          <w:p w14:paraId="7FD458BF" w14:textId="77777777" w:rsidR="007D1E74" w:rsidRDefault="007D1E74">
            <w:pPr>
              <w:jc w:val="center"/>
              <w:rPr>
                <w:rFonts w:cs="Times New Roman"/>
                <w:sz w:val="18"/>
                <w:szCs w:val="18"/>
              </w:rPr>
            </w:pPr>
          </w:p>
        </w:tc>
        <w:tc>
          <w:tcPr>
            <w:tcW w:w="458" w:type="pct"/>
            <w:vAlign w:val="center"/>
          </w:tcPr>
          <w:p w14:paraId="105D8A7B" w14:textId="77777777" w:rsidR="007D1E74" w:rsidRDefault="00A95641">
            <w:pPr>
              <w:jc w:val="center"/>
              <w:rPr>
                <w:rFonts w:cs="Times New Roman"/>
                <w:sz w:val="18"/>
                <w:szCs w:val="18"/>
              </w:rPr>
            </w:pPr>
            <w:r>
              <w:rPr>
                <w:rFonts w:cs="Times New Roman" w:hint="eastAsia"/>
                <w:sz w:val="18"/>
                <w:szCs w:val="18"/>
              </w:rPr>
              <w:t>7</w:t>
            </w:r>
            <w:r>
              <w:rPr>
                <w:rFonts w:cs="Times New Roman"/>
                <w:sz w:val="18"/>
                <w:szCs w:val="18"/>
              </w:rPr>
              <w:t>70</w:t>
            </w:r>
          </w:p>
        </w:tc>
        <w:tc>
          <w:tcPr>
            <w:tcW w:w="534" w:type="pct"/>
            <w:vAlign w:val="center"/>
          </w:tcPr>
          <w:p w14:paraId="6F964428" w14:textId="77777777" w:rsidR="007D1E74" w:rsidRDefault="00A95641">
            <w:pPr>
              <w:jc w:val="center"/>
              <w:rPr>
                <w:rFonts w:cs="Times New Roman"/>
                <w:sz w:val="18"/>
                <w:szCs w:val="18"/>
              </w:rPr>
            </w:pPr>
            <w:r>
              <w:rPr>
                <w:rFonts w:cs="Times New Roman"/>
                <w:sz w:val="18"/>
                <w:szCs w:val="18"/>
              </w:rPr>
              <w:t>8.56</w:t>
            </w:r>
          </w:p>
        </w:tc>
        <w:tc>
          <w:tcPr>
            <w:tcW w:w="610" w:type="pct"/>
            <w:vAlign w:val="center"/>
          </w:tcPr>
          <w:p w14:paraId="72C1AA90" w14:textId="77777777" w:rsidR="007D1E74" w:rsidRDefault="00A95641">
            <w:pPr>
              <w:jc w:val="center"/>
              <w:rPr>
                <w:rFonts w:cs="Times New Roman"/>
                <w:sz w:val="18"/>
                <w:szCs w:val="18"/>
              </w:rPr>
            </w:pPr>
            <w:r>
              <w:rPr>
                <w:rFonts w:cs="Times New Roman" w:hint="eastAsia"/>
                <w:sz w:val="18"/>
                <w:szCs w:val="18"/>
              </w:rPr>
              <w:t>0</w:t>
            </w:r>
            <w:r>
              <w:rPr>
                <w:rFonts w:cs="Times New Roman"/>
                <w:sz w:val="18"/>
                <w:szCs w:val="18"/>
              </w:rPr>
              <w:t>.0012</w:t>
            </w:r>
          </w:p>
        </w:tc>
        <w:tc>
          <w:tcPr>
            <w:tcW w:w="533" w:type="pct"/>
            <w:vAlign w:val="center"/>
          </w:tcPr>
          <w:p w14:paraId="0AB95638" w14:textId="77777777" w:rsidR="007D1E74" w:rsidRDefault="00A95641">
            <w:pPr>
              <w:jc w:val="center"/>
              <w:rPr>
                <w:rFonts w:cs="Times New Roman"/>
                <w:sz w:val="18"/>
                <w:szCs w:val="18"/>
              </w:rPr>
            </w:pPr>
            <w:r>
              <w:rPr>
                <w:rFonts w:cs="Times New Roman" w:hint="eastAsia"/>
                <w:sz w:val="18"/>
                <w:szCs w:val="18"/>
              </w:rPr>
              <w:t>/</w:t>
            </w:r>
          </w:p>
        </w:tc>
        <w:tc>
          <w:tcPr>
            <w:tcW w:w="534" w:type="pct"/>
            <w:vAlign w:val="center"/>
          </w:tcPr>
          <w:p w14:paraId="032D5839" w14:textId="77777777" w:rsidR="007D1E74" w:rsidRDefault="00A95641">
            <w:pPr>
              <w:jc w:val="center"/>
              <w:rPr>
                <w:rFonts w:cs="Times New Roman"/>
                <w:sz w:val="18"/>
                <w:szCs w:val="18"/>
              </w:rPr>
            </w:pPr>
            <w:r>
              <w:rPr>
                <w:rFonts w:cs="Times New Roman" w:hint="eastAsia"/>
                <w:sz w:val="18"/>
                <w:szCs w:val="18"/>
              </w:rPr>
              <w:t>/</w:t>
            </w:r>
          </w:p>
        </w:tc>
        <w:tc>
          <w:tcPr>
            <w:tcW w:w="531" w:type="pct"/>
            <w:vAlign w:val="center"/>
          </w:tcPr>
          <w:p w14:paraId="7D9E26D2" w14:textId="77777777" w:rsidR="007D1E74" w:rsidRDefault="00A95641">
            <w:pPr>
              <w:jc w:val="center"/>
              <w:rPr>
                <w:rFonts w:cs="Times New Roman"/>
                <w:sz w:val="18"/>
                <w:szCs w:val="18"/>
              </w:rPr>
            </w:pPr>
            <w:r>
              <w:rPr>
                <w:rFonts w:cs="Times New Roman" w:hint="eastAsia"/>
                <w:sz w:val="18"/>
                <w:szCs w:val="18"/>
              </w:rPr>
              <w:t>/</w:t>
            </w:r>
          </w:p>
        </w:tc>
        <w:tc>
          <w:tcPr>
            <w:tcW w:w="506" w:type="pct"/>
            <w:vAlign w:val="center"/>
          </w:tcPr>
          <w:p w14:paraId="37443543" w14:textId="77777777" w:rsidR="007D1E74" w:rsidRDefault="00A95641">
            <w:pPr>
              <w:jc w:val="center"/>
              <w:rPr>
                <w:rFonts w:cs="Times New Roman"/>
                <w:sz w:val="18"/>
                <w:szCs w:val="18"/>
              </w:rPr>
            </w:pPr>
            <w:r>
              <w:rPr>
                <w:rFonts w:cs="Times New Roman" w:hint="eastAsia"/>
                <w:sz w:val="18"/>
                <w:szCs w:val="18"/>
              </w:rPr>
              <w:t>/</w:t>
            </w:r>
          </w:p>
        </w:tc>
      </w:tr>
      <w:tr w:rsidR="007D1E74" w14:paraId="218D5A37" w14:textId="77777777">
        <w:tc>
          <w:tcPr>
            <w:tcW w:w="912" w:type="pct"/>
            <w:vAlign w:val="center"/>
          </w:tcPr>
          <w:p w14:paraId="20AC4140" w14:textId="77777777" w:rsidR="007D1E74" w:rsidRDefault="00A95641">
            <w:pPr>
              <w:widowControl/>
              <w:jc w:val="center"/>
              <w:rPr>
                <w:rFonts w:cs="Times New Roman"/>
                <w:kern w:val="0"/>
                <w:sz w:val="18"/>
                <w:szCs w:val="18"/>
              </w:rPr>
            </w:pPr>
            <w:r>
              <w:rPr>
                <w:rFonts w:cs="Times New Roman"/>
                <w:kern w:val="0"/>
                <w:sz w:val="18"/>
                <w:szCs w:val="18"/>
              </w:rPr>
              <w:t>马</w:t>
            </w:r>
            <w:r>
              <w:rPr>
                <w:rFonts w:cs="Times New Roman"/>
                <w:kern w:val="0"/>
                <w:sz w:val="18"/>
                <w:szCs w:val="18"/>
              </w:rPr>
              <w:t>1-12H</w:t>
            </w:r>
            <w:r>
              <w:rPr>
                <w:rFonts w:cs="Times New Roman"/>
                <w:kern w:val="0"/>
                <w:sz w:val="18"/>
                <w:szCs w:val="18"/>
              </w:rPr>
              <w:t>采气井场至干线集气支线</w:t>
            </w:r>
          </w:p>
        </w:tc>
        <w:tc>
          <w:tcPr>
            <w:tcW w:w="382" w:type="pct"/>
            <w:vMerge/>
            <w:vAlign w:val="center"/>
          </w:tcPr>
          <w:p w14:paraId="0B4FF9DD" w14:textId="77777777" w:rsidR="007D1E74" w:rsidRDefault="007D1E74">
            <w:pPr>
              <w:jc w:val="center"/>
              <w:rPr>
                <w:rFonts w:cs="Times New Roman"/>
                <w:sz w:val="18"/>
                <w:szCs w:val="18"/>
              </w:rPr>
            </w:pPr>
          </w:p>
        </w:tc>
        <w:tc>
          <w:tcPr>
            <w:tcW w:w="458" w:type="pct"/>
            <w:vAlign w:val="center"/>
          </w:tcPr>
          <w:p w14:paraId="16313CF3" w14:textId="77777777" w:rsidR="007D1E74" w:rsidRDefault="00A95641">
            <w:pPr>
              <w:jc w:val="center"/>
              <w:rPr>
                <w:rFonts w:cs="Times New Roman"/>
                <w:sz w:val="18"/>
                <w:szCs w:val="18"/>
              </w:rPr>
            </w:pPr>
            <w:r>
              <w:rPr>
                <w:rFonts w:cs="Times New Roman" w:hint="eastAsia"/>
                <w:sz w:val="18"/>
                <w:szCs w:val="18"/>
              </w:rPr>
              <w:t>7</w:t>
            </w:r>
            <w:r>
              <w:rPr>
                <w:rFonts w:cs="Times New Roman"/>
                <w:sz w:val="18"/>
                <w:szCs w:val="18"/>
              </w:rPr>
              <w:t>70</w:t>
            </w:r>
          </w:p>
        </w:tc>
        <w:tc>
          <w:tcPr>
            <w:tcW w:w="534" w:type="pct"/>
            <w:vAlign w:val="center"/>
          </w:tcPr>
          <w:p w14:paraId="79FBE973" w14:textId="77777777" w:rsidR="007D1E74" w:rsidRDefault="00A95641">
            <w:pPr>
              <w:jc w:val="center"/>
              <w:rPr>
                <w:rFonts w:cs="Times New Roman"/>
                <w:sz w:val="18"/>
                <w:szCs w:val="18"/>
              </w:rPr>
            </w:pPr>
            <w:r>
              <w:rPr>
                <w:rFonts w:cs="Times New Roman"/>
                <w:sz w:val="18"/>
                <w:szCs w:val="18"/>
              </w:rPr>
              <w:t>8.56</w:t>
            </w:r>
          </w:p>
        </w:tc>
        <w:tc>
          <w:tcPr>
            <w:tcW w:w="610" w:type="pct"/>
            <w:vAlign w:val="center"/>
          </w:tcPr>
          <w:p w14:paraId="5037E34D" w14:textId="77777777" w:rsidR="007D1E74" w:rsidRDefault="00A95641">
            <w:pPr>
              <w:jc w:val="center"/>
              <w:rPr>
                <w:rFonts w:cs="Times New Roman"/>
                <w:sz w:val="18"/>
                <w:szCs w:val="18"/>
              </w:rPr>
            </w:pPr>
            <w:r>
              <w:rPr>
                <w:rFonts w:cs="Times New Roman" w:hint="eastAsia"/>
                <w:sz w:val="18"/>
                <w:szCs w:val="18"/>
              </w:rPr>
              <w:t>0</w:t>
            </w:r>
            <w:r>
              <w:rPr>
                <w:rFonts w:cs="Times New Roman"/>
                <w:sz w:val="18"/>
                <w:szCs w:val="18"/>
              </w:rPr>
              <w:t>.0030</w:t>
            </w:r>
          </w:p>
        </w:tc>
        <w:tc>
          <w:tcPr>
            <w:tcW w:w="533" w:type="pct"/>
            <w:vAlign w:val="center"/>
          </w:tcPr>
          <w:p w14:paraId="0B17EB00" w14:textId="77777777" w:rsidR="007D1E74" w:rsidRDefault="00A95641">
            <w:pPr>
              <w:jc w:val="center"/>
              <w:rPr>
                <w:rFonts w:cs="Times New Roman"/>
                <w:sz w:val="18"/>
                <w:szCs w:val="18"/>
              </w:rPr>
            </w:pPr>
            <w:r>
              <w:rPr>
                <w:rFonts w:cs="Times New Roman" w:hint="eastAsia"/>
                <w:sz w:val="18"/>
                <w:szCs w:val="18"/>
              </w:rPr>
              <w:t>/</w:t>
            </w:r>
          </w:p>
        </w:tc>
        <w:tc>
          <w:tcPr>
            <w:tcW w:w="534" w:type="pct"/>
            <w:vAlign w:val="center"/>
          </w:tcPr>
          <w:p w14:paraId="2F9F134D" w14:textId="77777777" w:rsidR="007D1E74" w:rsidRDefault="00A95641">
            <w:pPr>
              <w:jc w:val="center"/>
              <w:rPr>
                <w:rFonts w:cs="Times New Roman"/>
                <w:sz w:val="18"/>
                <w:szCs w:val="18"/>
              </w:rPr>
            </w:pPr>
            <w:r>
              <w:rPr>
                <w:rFonts w:cs="Times New Roman" w:hint="eastAsia"/>
                <w:sz w:val="18"/>
                <w:szCs w:val="18"/>
              </w:rPr>
              <w:t>/</w:t>
            </w:r>
          </w:p>
        </w:tc>
        <w:tc>
          <w:tcPr>
            <w:tcW w:w="531" w:type="pct"/>
            <w:vAlign w:val="center"/>
          </w:tcPr>
          <w:p w14:paraId="04B44293" w14:textId="77777777" w:rsidR="007D1E74" w:rsidRDefault="00A95641">
            <w:pPr>
              <w:jc w:val="center"/>
              <w:rPr>
                <w:rFonts w:cs="Times New Roman"/>
                <w:sz w:val="18"/>
                <w:szCs w:val="18"/>
              </w:rPr>
            </w:pPr>
            <w:r>
              <w:rPr>
                <w:rFonts w:cs="Times New Roman" w:hint="eastAsia"/>
                <w:sz w:val="18"/>
                <w:szCs w:val="18"/>
              </w:rPr>
              <w:t>/</w:t>
            </w:r>
          </w:p>
        </w:tc>
        <w:tc>
          <w:tcPr>
            <w:tcW w:w="506" w:type="pct"/>
            <w:vAlign w:val="center"/>
          </w:tcPr>
          <w:p w14:paraId="126AAD77" w14:textId="77777777" w:rsidR="007D1E74" w:rsidRDefault="00A95641">
            <w:pPr>
              <w:jc w:val="center"/>
              <w:rPr>
                <w:rFonts w:cs="Times New Roman"/>
                <w:sz w:val="18"/>
                <w:szCs w:val="18"/>
              </w:rPr>
            </w:pPr>
            <w:r>
              <w:rPr>
                <w:rFonts w:cs="Times New Roman" w:hint="eastAsia"/>
                <w:sz w:val="18"/>
                <w:szCs w:val="18"/>
              </w:rPr>
              <w:t>/</w:t>
            </w:r>
          </w:p>
        </w:tc>
      </w:tr>
      <w:tr w:rsidR="007D1E74" w14:paraId="69C86875" w14:textId="77777777">
        <w:tc>
          <w:tcPr>
            <w:tcW w:w="912" w:type="pct"/>
            <w:vAlign w:val="center"/>
          </w:tcPr>
          <w:p w14:paraId="46CABB5C" w14:textId="77777777" w:rsidR="007D1E74" w:rsidRDefault="00A95641">
            <w:pPr>
              <w:widowControl/>
              <w:jc w:val="center"/>
              <w:rPr>
                <w:rFonts w:cs="Times New Roman"/>
                <w:kern w:val="0"/>
                <w:sz w:val="18"/>
                <w:szCs w:val="18"/>
              </w:rPr>
            </w:pPr>
            <w:r>
              <w:rPr>
                <w:rFonts w:cs="Times New Roman"/>
                <w:kern w:val="0"/>
                <w:sz w:val="18"/>
                <w:szCs w:val="18"/>
              </w:rPr>
              <w:t>马</w:t>
            </w:r>
            <w:r>
              <w:rPr>
                <w:rFonts w:cs="Times New Roman"/>
                <w:kern w:val="0"/>
                <w:sz w:val="18"/>
                <w:szCs w:val="18"/>
              </w:rPr>
              <w:t>1-11</w:t>
            </w:r>
            <w:r>
              <w:rPr>
                <w:rFonts w:cs="Times New Roman"/>
                <w:kern w:val="0"/>
                <w:sz w:val="18"/>
                <w:szCs w:val="18"/>
              </w:rPr>
              <w:t>脱水井场至</w:t>
            </w:r>
            <w:r>
              <w:rPr>
                <w:rFonts w:cs="Times New Roman"/>
                <w:kern w:val="0"/>
                <w:sz w:val="18"/>
                <w:szCs w:val="18"/>
              </w:rPr>
              <w:t>4#</w:t>
            </w:r>
            <w:r>
              <w:rPr>
                <w:rFonts w:cs="Times New Roman"/>
                <w:kern w:val="0"/>
                <w:sz w:val="18"/>
                <w:szCs w:val="18"/>
              </w:rPr>
              <w:t>清管阀组集输干线</w:t>
            </w:r>
          </w:p>
        </w:tc>
        <w:tc>
          <w:tcPr>
            <w:tcW w:w="382" w:type="pct"/>
            <w:vMerge/>
            <w:vAlign w:val="center"/>
          </w:tcPr>
          <w:p w14:paraId="6A8287EB" w14:textId="77777777" w:rsidR="007D1E74" w:rsidRDefault="007D1E74">
            <w:pPr>
              <w:jc w:val="center"/>
              <w:rPr>
                <w:rFonts w:cs="Times New Roman"/>
                <w:sz w:val="18"/>
                <w:szCs w:val="18"/>
              </w:rPr>
            </w:pPr>
          </w:p>
        </w:tc>
        <w:tc>
          <w:tcPr>
            <w:tcW w:w="458" w:type="pct"/>
            <w:vAlign w:val="center"/>
          </w:tcPr>
          <w:p w14:paraId="2CA537DC" w14:textId="77777777" w:rsidR="007D1E74" w:rsidRDefault="00A95641">
            <w:pPr>
              <w:jc w:val="center"/>
              <w:rPr>
                <w:rFonts w:cs="Times New Roman"/>
                <w:sz w:val="18"/>
                <w:szCs w:val="18"/>
              </w:rPr>
            </w:pPr>
            <w:r>
              <w:rPr>
                <w:rFonts w:cs="Times New Roman" w:hint="eastAsia"/>
                <w:sz w:val="18"/>
                <w:szCs w:val="18"/>
              </w:rPr>
              <w:t>7</w:t>
            </w:r>
            <w:r>
              <w:rPr>
                <w:rFonts w:cs="Times New Roman"/>
                <w:sz w:val="18"/>
                <w:szCs w:val="18"/>
              </w:rPr>
              <w:t>70</w:t>
            </w:r>
          </w:p>
        </w:tc>
        <w:tc>
          <w:tcPr>
            <w:tcW w:w="534" w:type="pct"/>
            <w:vAlign w:val="center"/>
          </w:tcPr>
          <w:p w14:paraId="595CC591" w14:textId="77777777" w:rsidR="007D1E74" w:rsidRDefault="00A95641">
            <w:pPr>
              <w:jc w:val="center"/>
              <w:rPr>
                <w:rFonts w:cs="Times New Roman"/>
                <w:sz w:val="18"/>
                <w:szCs w:val="18"/>
              </w:rPr>
            </w:pPr>
            <w:r>
              <w:rPr>
                <w:rFonts w:cs="Times New Roman"/>
                <w:sz w:val="18"/>
                <w:szCs w:val="18"/>
              </w:rPr>
              <w:t>8.56</w:t>
            </w:r>
          </w:p>
        </w:tc>
        <w:tc>
          <w:tcPr>
            <w:tcW w:w="610" w:type="pct"/>
            <w:vAlign w:val="center"/>
          </w:tcPr>
          <w:p w14:paraId="571432ED" w14:textId="77777777" w:rsidR="007D1E74" w:rsidRDefault="00A95641">
            <w:pPr>
              <w:jc w:val="center"/>
              <w:rPr>
                <w:rFonts w:cs="Times New Roman"/>
                <w:sz w:val="18"/>
                <w:szCs w:val="18"/>
              </w:rPr>
            </w:pPr>
            <w:r>
              <w:rPr>
                <w:rFonts w:cs="Times New Roman" w:hint="eastAsia"/>
                <w:sz w:val="18"/>
                <w:szCs w:val="18"/>
              </w:rPr>
              <w:t>0</w:t>
            </w:r>
            <w:r>
              <w:rPr>
                <w:rFonts w:cs="Times New Roman"/>
                <w:sz w:val="18"/>
                <w:szCs w:val="18"/>
              </w:rPr>
              <w:t>.0184</w:t>
            </w:r>
          </w:p>
        </w:tc>
        <w:tc>
          <w:tcPr>
            <w:tcW w:w="533" w:type="pct"/>
            <w:vAlign w:val="center"/>
          </w:tcPr>
          <w:p w14:paraId="3CF2937A" w14:textId="77777777" w:rsidR="007D1E74" w:rsidRDefault="00A95641">
            <w:pPr>
              <w:jc w:val="center"/>
              <w:rPr>
                <w:rFonts w:cs="Times New Roman"/>
                <w:sz w:val="18"/>
                <w:szCs w:val="18"/>
              </w:rPr>
            </w:pPr>
            <w:r>
              <w:rPr>
                <w:rFonts w:cs="Times New Roman" w:hint="eastAsia"/>
                <w:sz w:val="18"/>
                <w:szCs w:val="18"/>
              </w:rPr>
              <w:t>/</w:t>
            </w:r>
          </w:p>
        </w:tc>
        <w:tc>
          <w:tcPr>
            <w:tcW w:w="534" w:type="pct"/>
            <w:vAlign w:val="center"/>
          </w:tcPr>
          <w:p w14:paraId="41107FF2" w14:textId="77777777" w:rsidR="007D1E74" w:rsidRDefault="00A95641">
            <w:pPr>
              <w:jc w:val="center"/>
              <w:rPr>
                <w:rFonts w:cs="Times New Roman"/>
                <w:sz w:val="18"/>
                <w:szCs w:val="18"/>
              </w:rPr>
            </w:pPr>
            <w:r>
              <w:rPr>
                <w:rFonts w:cs="Times New Roman" w:hint="eastAsia"/>
                <w:sz w:val="18"/>
                <w:szCs w:val="18"/>
              </w:rPr>
              <w:t>/</w:t>
            </w:r>
          </w:p>
        </w:tc>
        <w:tc>
          <w:tcPr>
            <w:tcW w:w="531" w:type="pct"/>
            <w:vAlign w:val="center"/>
          </w:tcPr>
          <w:p w14:paraId="31092B7A" w14:textId="77777777" w:rsidR="007D1E74" w:rsidRDefault="00A95641">
            <w:pPr>
              <w:jc w:val="center"/>
              <w:rPr>
                <w:rFonts w:cs="Times New Roman"/>
                <w:sz w:val="18"/>
                <w:szCs w:val="18"/>
              </w:rPr>
            </w:pPr>
            <w:r>
              <w:rPr>
                <w:rFonts w:cs="Times New Roman" w:hint="eastAsia"/>
                <w:sz w:val="18"/>
                <w:szCs w:val="18"/>
              </w:rPr>
              <w:t>/</w:t>
            </w:r>
          </w:p>
        </w:tc>
        <w:tc>
          <w:tcPr>
            <w:tcW w:w="506" w:type="pct"/>
            <w:vAlign w:val="center"/>
          </w:tcPr>
          <w:p w14:paraId="47D5A283" w14:textId="77777777" w:rsidR="007D1E74" w:rsidRDefault="00A95641">
            <w:pPr>
              <w:jc w:val="center"/>
              <w:rPr>
                <w:rFonts w:cs="Times New Roman"/>
                <w:sz w:val="18"/>
                <w:szCs w:val="18"/>
              </w:rPr>
            </w:pPr>
            <w:r>
              <w:rPr>
                <w:rFonts w:cs="Times New Roman" w:hint="eastAsia"/>
                <w:sz w:val="18"/>
                <w:szCs w:val="18"/>
              </w:rPr>
              <w:t>/</w:t>
            </w:r>
          </w:p>
        </w:tc>
      </w:tr>
      <w:tr w:rsidR="007D1E74" w14:paraId="05B4E24D" w14:textId="77777777">
        <w:tc>
          <w:tcPr>
            <w:tcW w:w="912" w:type="pct"/>
            <w:vAlign w:val="center"/>
          </w:tcPr>
          <w:p w14:paraId="485C4DC9" w14:textId="77777777" w:rsidR="007D1E74" w:rsidRDefault="00A95641">
            <w:pPr>
              <w:widowControl/>
              <w:jc w:val="center"/>
              <w:rPr>
                <w:rFonts w:cs="Times New Roman"/>
                <w:kern w:val="0"/>
                <w:sz w:val="18"/>
                <w:szCs w:val="18"/>
              </w:rPr>
            </w:pPr>
            <w:r>
              <w:rPr>
                <w:rFonts w:cs="Times New Roman"/>
                <w:kern w:val="0"/>
                <w:sz w:val="18"/>
                <w:szCs w:val="18"/>
              </w:rPr>
              <w:t>4#</w:t>
            </w:r>
            <w:r>
              <w:rPr>
                <w:rFonts w:cs="Times New Roman"/>
                <w:kern w:val="0"/>
                <w:sz w:val="18"/>
                <w:szCs w:val="18"/>
              </w:rPr>
              <w:t>清管阀组至草池增压站集输干线</w:t>
            </w:r>
          </w:p>
        </w:tc>
        <w:tc>
          <w:tcPr>
            <w:tcW w:w="382" w:type="pct"/>
            <w:vMerge/>
            <w:vAlign w:val="center"/>
          </w:tcPr>
          <w:p w14:paraId="1820E679" w14:textId="77777777" w:rsidR="007D1E74" w:rsidRDefault="007D1E74">
            <w:pPr>
              <w:jc w:val="center"/>
              <w:rPr>
                <w:rFonts w:cs="Times New Roman"/>
                <w:sz w:val="18"/>
                <w:szCs w:val="18"/>
              </w:rPr>
            </w:pPr>
          </w:p>
        </w:tc>
        <w:tc>
          <w:tcPr>
            <w:tcW w:w="458" w:type="pct"/>
            <w:vAlign w:val="center"/>
          </w:tcPr>
          <w:p w14:paraId="41366A40" w14:textId="77777777" w:rsidR="007D1E74" w:rsidRDefault="00A95641">
            <w:pPr>
              <w:jc w:val="center"/>
              <w:rPr>
                <w:rFonts w:cs="Times New Roman"/>
                <w:sz w:val="18"/>
                <w:szCs w:val="18"/>
              </w:rPr>
            </w:pPr>
            <w:r>
              <w:rPr>
                <w:rFonts w:cs="Times New Roman" w:hint="eastAsia"/>
                <w:sz w:val="18"/>
                <w:szCs w:val="18"/>
              </w:rPr>
              <w:t>7</w:t>
            </w:r>
            <w:r>
              <w:rPr>
                <w:rFonts w:cs="Times New Roman"/>
                <w:sz w:val="18"/>
                <w:szCs w:val="18"/>
              </w:rPr>
              <w:t>70</w:t>
            </w:r>
          </w:p>
        </w:tc>
        <w:tc>
          <w:tcPr>
            <w:tcW w:w="534" w:type="pct"/>
            <w:vAlign w:val="center"/>
          </w:tcPr>
          <w:p w14:paraId="5F96FF3A" w14:textId="77777777" w:rsidR="007D1E74" w:rsidRDefault="00A95641">
            <w:pPr>
              <w:jc w:val="center"/>
              <w:rPr>
                <w:rFonts w:cs="Times New Roman"/>
                <w:sz w:val="18"/>
                <w:szCs w:val="18"/>
              </w:rPr>
            </w:pPr>
            <w:r>
              <w:rPr>
                <w:rFonts w:cs="Times New Roman"/>
                <w:sz w:val="18"/>
                <w:szCs w:val="18"/>
              </w:rPr>
              <w:t>8.56</w:t>
            </w:r>
          </w:p>
        </w:tc>
        <w:tc>
          <w:tcPr>
            <w:tcW w:w="610" w:type="pct"/>
            <w:vAlign w:val="center"/>
          </w:tcPr>
          <w:p w14:paraId="3ECA3614" w14:textId="77777777" w:rsidR="007D1E74" w:rsidRDefault="00A95641">
            <w:pPr>
              <w:jc w:val="center"/>
              <w:rPr>
                <w:rFonts w:cs="Times New Roman"/>
                <w:sz w:val="18"/>
                <w:szCs w:val="18"/>
              </w:rPr>
            </w:pPr>
            <w:r>
              <w:rPr>
                <w:rFonts w:cs="Times New Roman" w:hint="eastAsia"/>
                <w:sz w:val="18"/>
                <w:szCs w:val="18"/>
              </w:rPr>
              <w:t>0</w:t>
            </w:r>
            <w:r>
              <w:rPr>
                <w:rFonts w:cs="Times New Roman"/>
                <w:sz w:val="18"/>
                <w:szCs w:val="18"/>
              </w:rPr>
              <w:t>.0341</w:t>
            </w:r>
          </w:p>
        </w:tc>
        <w:tc>
          <w:tcPr>
            <w:tcW w:w="533" w:type="pct"/>
            <w:vAlign w:val="center"/>
          </w:tcPr>
          <w:p w14:paraId="6E896738" w14:textId="77777777" w:rsidR="007D1E74" w:rsidRDefault="00A95641">
            <w:pPr>
              <w:jc w:val="center"/>
              <w:rPr>
                <w:rFonts w:cs="Times New Roman"/>
                <w:sz w:val="18"/>
                <w:szCs w:val="18"/>
              </w:rPr>
            </w:pPr>
            <w:r>
              <w:rPr>
                <w:rFonts w:cs="Times New Roman" w:hint="eastAsia"/>
                <w:sz w:val="18"/>
                <w:szCs w:val="18"/>
              </w:rPr>
              <w:t>/</w:t>
            </w:r>
          </w:p>
        </w:tc>
        <w:tc>
          <w:tcPr>
            <w:tcW w:w="534" w:type="pct"/>
            <w:vAlign w:val="center"/>
          </w:tcPr>
          <w:p w14:paraId="2849B3E6" w14:textId="77777777" w:rsidR="007D1E74" w:rsidRDefault="00A95641">
            <w:pPr>
              <w:jc w:val="center"/>
              <w:rPr>
                <w:rFonts w:cs="Times New Roman"/>
                <w:sz w:val="18"/>
                <w:szCs w:val="18"/>
              </w:rPr>
            </w:pPr>
            <w:r>
              <w:rPr>
                <w:rFonts w:cs="Times New Roman" w:hint="eastAsia"/>
                <w:sz w:val="18"/>
                <w:szCs w:val="18"/>
              </w:rPr>
              <w:t>/</w:t>
            </w:r>
          </w:p>
        </w:tc>
        <w:tc>
          <w:tcPr>
            <w:tcW w:w="531" w:type="pct"/>
            <w:vAlign w:val="center"/>
          </w:tcPr>
          <w:p w14:paraId="2E874F67" w14:textId="77777777" w:rsidR="007D1E74" w:rsidRDefault="00A95641">
            <w:pPr>
              <w:jc w:val="center"/>
              <w:rPr>
                <w:rFonts w:cs="Times New Roman"/>
                <w:sz w:val="18"/>
                <w:szCs w:val="18"/>
              </w:rPr>
            </w:pPr>
            <w:r>
              <w:rPr>
                <w:rFonts w:cs="Times New Roman" w:hint="eastAsia"/>
                <w:sz w:val="18"/>
                <w:szCs w:val="18"/>
              </w:rPr>
              <w:t>/</w:t>
            </w:r>
          </w:p>
        </w:tc>
        <w:tc>
          <w:tcPr>
            <w:tcW w:w="506" w:type="pct"/>
            <w:vAlign w:val="center"/>
          </w:tcPr>
          <w:p w14:paraId="17FDFBE3" w14:textId="77777777" w:rsidR="007D1E74" w:rsidRDefault="00A95641">
            <w:pPr>
              <w:jc w:val="center"/>
              <w:rPr>
                <w:rFonts w:cs="Times New Roman"/>
                <w:sz w:val="18"/>
                <w:szCs w:val="18"/>
              </w:rPr>
            </w:pPr>
            <w:r>
              <w:rPr>
                <w:rFonts w:cs="Times New Roman" w:hint="eastAsia"/>
                <w:sz w:val="18"/>
                <w:szCs w:val="18"/>
              </w:rPr>
              <w:t>/</w:t>
            </w:r>
          </w:p>
        </w:tc>
      </w:tr>
    </w:tbl>
    <w:p w14:paraId="075A453F" w14:textId="77777777" w:rsidR="007D1E74" w:rsidRDefault="00A95641">
      <w:pPr>
        <w:spacing w:line="360" w:lineRule="auto"/>
        <w:jc w:val="center"/>
        <w:rPr>
          <w:sz w:val="24"/>
          <w:szCs w:val="24"/>
        </w:rPr>
      </w:pPr>
      <w:r>
        <w:rPr>
          <w:noProof/>
          <w:sz w:val="24"/>
          <w:szCs w:val="24"/>
        </w:rPr>
        <w:drawing>
          <wp:inline distT="0" distB="0" distL="0" distR="0" wp14:anchorId="46E2AFA0" wp14:editId="01786F23">
            <wp:extent cx="4733925" cy="2366645"/>
            <wp:effectExtent l="0" t="0" r="5715" b="10795"/>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a:xfrm>
                      <a:off x="0" y="0"/>
                      <a:ext cx="4751703" cy="2375852"/>
                    </a:xfrm>
                    <a:prstGeom prst="rect">
                      <a:avLst/>
                    </a:prstGeom>
                    <a:noFill/>
                    <a:ln>
                      <a:noFill/>
                    </a:ln>
                  </pic:spPr>
                </pic:pic>
              </a:graphicData>
            </a:graphic>
          </wp:inline>
        </w:drawing>
      </w:r>
    </w:p>
    <w:p w14:paraId="2D1F27E0" w14:textId="77777777" w:rsidR="007D1E74" w:rsidRDefault="00A95641">
      <w:pPr>
        <w:pStyle w:val="afffffe"/>
        <w:numPr>
          <w:ilvl w:val="0"/>
          <w:numId w:val="52"/>
        </w:numPr>
        <w:spacing w:line="360" w:lineRule="auto"/>
        <w:ind w:firstLineChars="0"/>
        <w:jc w:val="center"/>
        <w:rPr>
          <w:rFonts w:eastAsia="黑体" w:cs="Times New Roman"/>
          <w:szCs w:val="21"/>
        </w:rPr>
      </w:pPr>
      <w:r>
        <w:rPr>
          <w:rFonts w:eastAsia="黑体" w:cs="Times New Roman" w:hint="eastAsia"/>
          <w:szCs w:val="21"/>
        </w:rPr>
        <w:t>1#</w:t>
      </w:r>
      <w:r>
        <w:rPr>
          <w:rFonts w:eastAsia="黑体" w:cs="Times New Roman" w:hint="eastAsia"/>
          <w:szCs w:val="21"/>
        </w:rPr>
        <w:t>阀室至马</w:t>
      </w:r>
      <w:r>
        <w:rPr>
          <w:rFonts w:eastAsia="黑体" w:cs="Times New Roman" w:hint="eastAsia"/>
          <w:szCs w:val="21"/>
        </w:rPr>
        <w:t>1-11</w:t>
      </w:r>
      <w:r>
        <w:rPr>
          <w:rFonts w:eastAsia="黑体" w:cs="Times New Roman" w:hint="eastAsia"/>
          <w:szCs w:val="21"/>
        </w:rPr>
        <w:t>脱水井场集输干线火灾伴生</w:t>
      </w:r>
      <w:r>
        <w:rPr>
          <w:rFonts w:eastAsia="黑体" w:cs="Times New Roman" w:hint="eastAsia"/>
          <w:szCs w:val="21"/>
        </w:rPr>
        <w:t>/</w:t>
      </w:r>
      <w:r>
        <w:rPr>
          <w:rFonts w:eastAsia="黑体" w:cs="Times New Roman" w:hint="eastAsia"/>
          <w:szCs w:val="21"/>
        </w:rPr>
        <w:t>次数污染物</w:t>
      </w:r>
      <w:r>
        <w:rPr>
          <w:rFonts w:eastAsia="黑体" w:cs="Times New Roman"/>
          <w:szCs w:val="21"/>
        </w:rPr>
        <w:t>浓度曲线图</w:t>
      </w:r>
    </w:p>
    <w:p w14:paraId="1F4999BD" w14:textId="77777777" w:rsidR="007D1E74" w:rsidRDefault="00A95641">
      <w:pPr>
        <w:spacing w:line="360" w:lineRule="auto"/>
        <w:jc w:val="center"/>
        <w:rPr>
          <w:sz w:val="24"/>
          <w:szCs w:val="24"/>
        </w:rPr>
      </w:pPr>
      <w:r>
        <w:rPr>
          <w:noProof/>
          <w:sz w:val="24"/>
          <w:szCs w:val="24"/>
        </w:rPr>
        <w:lastRenderedPageBreak/>
        <w:drawing>
          <wp:inline distT="0" distB="0" distL="0" distR="0" wp14:anchorId="044C354F" wp14:editId="7AA5D5E3">
            <wp:extent cx="4714875" cy="2357120"/>
            <wp:effectExtent l="0" t="0" r="9525" b="508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a:xfrm>
                      <a:off x="0" y="0"/>
                      <a:ext cx="4745621" cy="2372811"/>
                    </a:xfrm>
                    <a:prstGeom prst="rect">
                      <a:avLst/>
                    </a:prstGeom>
                    <a:noFill/>
                    <a:ln>
                      <a:noFill/>
                    </a:ln>
                  </pic:spPr>
                </pic:pic>
              </a:graphicData>
            </a:graphic>
          </wp:inline>
        </w:drawing>
      </w:r>
    </w:p>
    <w:p w14:paraId="659BA792" w14:textId="77777777" w:rsidR="007D1E74" w:rsidRDefault="00A95641">
      <w:pPr>
        <w:pStyle w:val="afffffe"/>
        <w:numPr>
          <w:ilvl w:val="0"/>
          <w:numId w:val="52"/>
        </w:numPr>
        <w:spacing w:line="360" w:lineRule="auto"/>
        <w:ind w:firstLineChars="0"/>
        <w:jc w:val="center"/>
        <w:rPr>
          <w:rFonts w:eastAsia="黑体" w:cs="Times New Roman"/>
          <w:szCs w:val="21"/>
        </w:rPr>
      </w:pPr>
      <w:r>
        <w:rPr>
          <w:rFonts w:eastAsia="黑体" w:cs="Times New Roman" w:hint="eastAsia"/>
          <w:szCs w:val="21"/>
        </w:rPr>
        <w:t>马</w:t>
      </w:r>
      <w:r>
        <w:rPr>
          <w:rFonts w:eastAsia="黑体" w:cs="Times New Roman" w:hint="eastAsia"/>
          <w:szCs w:val="21"/>
        </w:rPr>
        <w:t>1-10H</w:t>
      </w:r>
      <w:r>
        <w:rPr>
          <w:rFonts w:eastAsia="黑体" w:cs="Times New Roman" w:hint="eastAsia"/>
          <w:szCs w:val="21"/>
        </w:rPr>
        <w:t>采气井场至马</w:t>
      </w:r>
      <w:r>
        <w:rPr>
          <w:rFonts w:eastAsia="黑体" w:cs="Times New Roman" w:hint="eastAsia"/>
          <w:szCs w:val="21"/>
        </w:rPr>
        <w:t>1-1</w:t>
      </w:r>
      <w:r>
        <w:rPr>
          <w:rFonts w:eastAsia="黑体" w:cs="Times New Roman" w:hint="eastAsia"/>
          <w:szCs w:val="21"/>
        </w:rPr>
        <w:t>集气支线火灾伴生</w:t>
      </w:r>
      <w:r>
        <w:rPr>
          <w:rFonts w:eastAsia="黑体" w:cs="Times New Roman" w:hint="eastAsia"/>
          <w:szCs w:val="21"/>
        </w:rPr>
        <w:t>/</w:t>
      </w:r>
      <w:r>
        <w:rPr>
          <w:rFonts w:eastAsia="黑体" w:cs="Times New Roman" w:hint="eastAsia"/>
          <w:szCs w:val="21"/>
        </w:rPr>
        <w:t>次数污染物</w:t>
      </w:r>
      <w:r>
        <w:rPr>
          <w:rFonts w:eastAsia="黑体" w:cs="Times New Roman"/>
          <w:szCs w:val="21"/>
        </w:rPr>
        <w:t>曲线图</w:t>
      </w:r>
    </w:p>
    <w:p w14:paraId="1F7889EC" w14:textId="77777777" w:rsidR="007D1E74" w:rsidRDefault="00A95641">
      <w:pPr>
        <w:spacing w:line="360" w:lineRule="auto"/>
        <w:jc w:val="center"/>
        <w:rPr>
          <w:sz w:val="24"/>
          <w:szCs w:val="24"/>
        </w:rPr>
      </w:pPr>
      <w:r>
        <w:rPr>
          <w:noProof/>
          <w:sz w:val="24"/>
          <w:szCs w:val="24"/>
        </w:rPr>
        <w:drawing>
          <wp:inline distT="0" distB="0" distL="0" distR="0" wp14:anchorId="470B6806" wp14:editId="1BA280D4">
            <wp:extent cx="4733925" cy="2366645"/>
            <wp:effectExtent l="0" t="0" r="5715" b="10795"/>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a:xfrm>
                      <a:off x="0" y="0"/>
                      <a:ext cx="4761917" cy="2380959"/>
                    </a:xfrm>
                    <a:prstGeom prst="rect">
                      <a:avLst/>
                    </a:prstGeom>
                    <a:noFill/>
                    <a:ln>
                      <a:noFill/>
                    </a:ln>
                  </pic:spPr>
                </pic:pic>
              </a:graphicData>
            </a:graphic>
          </wp:inline>
        </w:drawing>
      </w:r>
    </w:p>
    <w:p w14:paraId="6E4FDC34" w14:textId="77777777" w:rsidR="007D1E74" w:rsidRDefault="00A95641">
      <w:pPr>
        <w:pStyle w:val="afffffe"/>
        <w:numPr>
          <w:ilvl w:val="0"/>
          <w:numId w:val="52"/>
        </w:numPr>
        <w:spacing w:line="360" w:lineRule="auto"/>
        <w:ind w:firstLineChars="0"/>
        <w:jc w:val="center"/>
        <w:rPr>
          <w:rFonts w:eastAsia="黑体" w:cs="Times New Roman"/>
          <w:szCs w:val="21"/>
        </w:rPr>
      </w:pPr>
      <w:r>
        <w:rPr>
          <w:rFonts w:eastAsia="黑体" w:cs="Times New Roman" w:hint="eastAsia"/>
          <w:szCs w:val="21"/>
        </w:rPr>
        <w:t>马</w:t>
      </w:r>
      <w:r>
        <w:rPr>
          <w:rFonts w:eastAsia="黑体" w:cs="Times New Roman" w:hint="eastAsia"/>
          <w:szCs w:val="21"/>
        </w:rPr>
        <w:t>1-1</w:t>
      </w:r>
      <w:r>
        <w:rPr>
          <w:rFonts w:eastAsia="黑体" w:cs="Times New Roman" w:hint="eastAsia"/>
          <w:szCs w:val="21"/>
        </w:rPr>
        <w:t>采气井场至干线集气支线火灾伴生</w:t>
      </w:r>
      <w:r>
        <w:rPr>
          <w:rFonts w:eastAsia="黑体" w:cs="Times New Roman" w:hint="eastAsia"/>
          <w:szCs w:val="21"/>
        </w:rPr>
        <w:t>/</w:t>
      </w:r>
      <w:r>
        <w:rPr>
          <w:rFonts w:eastAsia="黑体" w:cs="Times New Roman" w:hint="eastAsia"/>
          <w:szCs w:val="21"/>
        </w:rPr>
        <w:t>次数污染物</w:t>
      </w:r>
      <w:r>
        <w:rPr>
          <w:rFonts w:eastAsia="黑体" w:cs="Times New Roman"/>
          <w:szCs w:val="21"/>
        </w:rPr>
        <w:t>浓度曲线图</w:t>
      </w:r>
    </w:p>
    <w:p w14:paraId="08BF9CF2" w14:textId="77777777" w:rsidR="007D1E74" w:rsidRDefault="00A95641">
      <w:pPr>
        <w:spacing w:line="360" w:lineRule="auto"/>
        <w:jc w:val="center"/>
        <w:rPr>
          <w:sz w:val="24"/>
          <w:szCs w:val="24"/>
        </w:rPr>
      </w:pPr>
      <w:r>
        <w:rPr>
          <w:noProof/>
          <w:sz w:val="24"/>
          <w:szCs w:val="24"/>
        </w:rPr>
        <w:drawing>
          <wp:inline distT="0" distB="0" distL="0" distR="0" wp14:anchorId="443505E7" wp14:editId="4130544C">
            <wp:extent cx="4705350" cy="2352675"/>
            <wp:effectExtent l="0" t="0" r="3810" b="9525"/>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a:xfrm>
                      <a:off x="0" y="0"/>
                      <a:ext cx="4722852" cy="2361426"/>
                    </a:xfrm>
                    <a:prstGeom prst="rect">
                      <a:avLst/>
                    </a:prstGeom>
                    <a:noFill/>
                    <a:ln>
                      <a:noFill/>
                    </a:ln>
                  </pic:spPr>
                </pic:pic>
              </a:graphicData>
            </a:graphic>
          </wp:inline>
        </w:drawing>
      </w:r>
    </w:p>
    <w:p w14:paraId="39F4B2AD" w14:textId="77777777" w:rsidR="007D1E74" w:rsidRDefault="00A95641">
      <w:pPr>
        <w:pStyle w:val="afffffe"/>
        <w:numPr>
          <w:ilvl w:val="0"/>
          <w:numId w:val="52"/>
        </w:numPr>
        <w:spacing w:line="360" w:lineRule="auto"/>
        <w:ind w:firstLineChars="0"/>
        <w:jc w:val="center"/>
        <w:rPr>
          <w:rFonts w:eastAsia="黑体" w:cs="Times New Roman"/>
          <w:szCs w:val="21"/>
        </w:rPr>
      </w:pPr>
      <w:r>
        <w:rPr>
          <w:rFonts w:eastAsia="黑体" w:cs="Times New Roman" w:hint="eastAsia"/>
          <w:szCs w:val="21"/>
        </w:rPr>
        <w:t>马</w:t>
      </w:r>
      <w:r>
        <w:rPr>
          <w:rFonts w:eastAsia="黑体" w:cs="Times New Roman" w:hint="eastAsia"/>
          <w:szCs w:val="21"/>
        </w:rPr>
        <w:t>1-13H</w:t>
      </w:r>
      <w:r>
        <w:rPr>
          <w:rFonts w:eastAsia="黑体" w:cs="Times New Roman" w:hint="eastAsia"/>
          <w:szCs w:val="21"/>
        </w:rPr>
        <w:t>采气井场至干线集气支线火灾伴生</w:t>
      </w:r>
      <w:r>
        <w:rPr>
          <w:rFonts w:eastAsia="黑体" w:cs="Times New Roman" w:hint="eastAsia"/>
          <w:szCs w:val="21"/>
        </w:rPr>
        <w:t>/</w:t>
      </w:r>
      <w:r>
        <w:rPr>
          <w:rFonts w:eastAsia="黑体" w:cs="Times New Roman" w:hint="eastAsia"/>
          <w:szCs w:val="21"/>
        </w:rPr>
        <w:t>次数污染物</w:t>
      </w:r>
      <w:r>
        <w:rPr>
          <w:rFonts w:eastAsia="黑体" w:cs="Times New Roman"/>
          <w:szCs w:val="21"/>
        </w:rPr>
        <w:t>浓度曲线图</w:t>
      </w:r>
    </w:p>
    <w:p w14:paraId="7B776A9D" w14:textId="77777777" w:rsidR="007D1E74" w:rsidRDefault="00A95641">
      <w:pPr>
        <w:spacing w:line="360" w:lineRule="auto"/>
        <w:jc w:val="center"/>
        <w:rPr>
          <w:sz w:val="24"/>
          <w:szCs w:val="24"/>
        </w:rPr>
      </w:pPr>
      <w:r>
        <w:rPr>
          <w:noProof/>
          <w:sz w:val="24"/>
          <w:szCs w:val="24"/>
        </w:rPr>
        <w:lastRenderedPageBreak/>
        <w:drawing>
          <wp:inline distT="0" distB="0" distL="0" distR="0" wp14:anchorId="761EB83B" wp14:editId="138E9A5C">
            <wp:extent cx="4733925" cy="2366645"/>
            <wp:effectExtent l="0" t="0" r="5715" b="10795"/>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a:xfrm>
                      <a:off x="0" y="0"/>
                      <a:ext cx="4759096" cy="2379549"/>
                    </a:xfrm>
                    <a:prstGeom prst="rect">
                      <a:avLst/>
                    </a:prstGeom>
                    <a:noFill/>
                    <a:ln>
                      <a:noFill/>
                    </a:ln>
                  </pic:spPr>
                </pic:pic>
              </a:graphicData>
            </a:graphic>
          </wp:inline>
        </w:drawing>
      </w:r>
    </w:p>
    <w:p w14:paraId="2F420C16" w14:textId="77777777" w:rsidR="007D1E74" w:rsidRDefault="00A95641">
      <w:pPr>
        <w:pStyle w:val="afffffe"/>
        <w:numPr>
          <w:ilvl w:val="0"/>
          <w:numId w:val="52"/>
        </w:numPr>
        <w:spacing w:line="360" w:lineRule="auto"/>
        <w:ind w:firstLineChars="0"/>
        <w:jc w:val="center"/>
        <w:rPr>
          <w:rFonts w:eastAsia="黑体" w:cs="Times New Roman"/>
          <w:szCs w:val="21"/>
        </w:rPr>
      </w:pPr>
      <w:r>
        <w:rPr>
          <w:rFonts w:eastAsia="黑体" w:cs="Times New Roman" w:hint="eastAsia"/>
          <w:szCs w:val="21"/>
        </w:rPr>
        <w:t>马</w:t>
      </w:r>
      <w:r>
        <w:rPr>
          <w:rFonts w:eastAsia="黑体" w:cs="Times New Roman" w:hint="eastAsia"/>
          <w:szCs w:val="21"/>
        </w:rPr>
        <w:t>1-12H</w:t>
      </w:r>
      <w:r>
        <w:rPr>
          <w:rFonts w:eastAsia="黑体" w:cs="Times New Roman" w:hint="eastAsia"/>
          <w:szCs w:val="21"/>
        </w:rPr>
        <w:t>采气井场至干线集气支线火灾伴生</w:t>
      </w:r>
      <w:r>
        <w:rPr>
          <w:rFonts w:eastAsia="黑体" w:cs="Times New Roman" w:hint="eastAsia"/>
          <w:szCs w:val="21"/>
        </w:rPr>
        <w:t>/</w:t>
      </w:r>
      <w:r>
        <w:rPr>
          <w:rFonts w:eastAsia="黑体" w:cs="Times New Roman" w:hint="eastAsia"/>
          <w:szCs w:val="21"/>
        </w:rPr>
        <w:t>次数污染物</w:t>
      </w:r>
      <w:r>
        <w:rPr>
          <w:rFonts w:eastAsia="黑体" w:cs="Times New Roman"/>
          <w:szCs w:val="21"/>
        </w:rPr>
        <w:t>浓度曲线图</w:t>
      </w:r>
    </w:p>
    <w:p w14:paraId="13D675FF" w14:textId="77777777" w:rsidR="007D1E74" w:rsidRDefault="00A95641">
      <w:pPr>
        <w:spacing w:line="360" w:lineRule="auto"/>
        <w:jc w:val="center"/>
        <w:rPr>
          <w:sz w:val="24"/>
          <w:szCs w:val="24"/>
        </w:rPr>
      </w:pPr>
      <w:r>
        <w:rPr>
          <w:noProof/>
          <w:sz w:val="24"/>
          <w:szCs w:val="24"/>
        </w:rPr>
        <w:drawing>
          <wp:inline distT="0" distB="0" distL="0" distR="0" wp14:anchorId="60C476B0" wp14:editId="6C0A31C6">
            <wp:extent cx="4724400" cy="2362200"/>
            <wp:effectExtent l="0" t="0" r="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a:xfrm>
                      <a:off x="0" y="0"/>
                      <a:ext cx="4752679" cy="2376340"/>
                    </a:xfrm>
                    <a:prstGeom prst="rect">
                      <a:avLst/>
                    </a:prstGeom>
                    <a:noFill/>
                    <a:ln>
                      <a:noFill/>
                    </a:ln>
                  </pic:spPr>
                </pic:pic>
              </a:graphicData>
            </a:graphic>
          </wp:inline>
        </w:drawing>
      </w:r>
    </w:p>
    <w:p w14:paraId="25796E7C" w14:textId="77777777" w:rsidR="007D1E74" w:rsidRDefault="00A95641">
      <w:pPr>
        <w:pStyle w:val="afffffe"/>
        <w:numPr>
          <w:ilvl w:val="0"/>
          <w:numId w:val="52"/>
        </w:numPr>
        <w:spacing w:line="360" w:lineRule="auto"/>
        <w:ind w:firstLineChars="0"/>
        <w:jc w:val="center"/>
        <w:rPr>
          <w:rFonts w:eastAsia="黑体" w:cs="Times New Roman"/>
          <w:szCs w:val="21"/>
        </w:rPr>
      </w:pPr>
      <w:r>
        <w:rPr>
          <w:rFonts w:eastAsia="黑体" w:cs="Times New Roman" w:hint="eastAsia"/>
          <w:szCs w:val="21"/>
        </w:rPr>
        <w:t>马</w:t>
      </w:r>
      <w:r>
        <w:rPr>
          <w:rFonts w:eastAsia="黑体" w:cs="Times New Roman" w:hint="eastAsia"/>
          <w:szCs w:val="21"/>
        </w:rPr>
        <w:t>1-11</w:t>
      </w:r>
      <w:r>
        <w:rPr>
          <w:rFonts w:eastAsia="黑体" w:cs="Times New Roman" w:hint="eastAsia"/>
          <w:szCs w:val="21"/>
        </w:rPr>
        <w:t>脱水井场至</w:t>
      </w:r>
      <w:r>
        <w:rPr>
          <w:rFonts w:eastAsia="黑体" w:cs="Times New Roman" w:hint="eastAsia"/>
          <w:szCs w:val="21"/>
        </w:rPr>
        <w:t>4#</w:t>
      </w:r>
      <w:r>
        <w:rPr>
          <w:rFonts w:eastAsia="黑体" w:cs="Times New Roman" w:hint="eastAsia"/>
          <w:szCs w:val="21"/>
        </w:rPr>
        <w:t>清管阀组集输干线火灾伴生</w:t>
      </w:r>
      <w:r>
        <w:rPr>
          <w:rFonts w:eastAsia="黑体" w:cs="Times New Roman" w:hint="eastAsia"/>
          <w:szCs w:val="21"/>
        </w:rPr>
        <w:t>/</w:t>
      </w:r>
      <w:r>
        <w:rPr>
          <w:rFonts w:eastAsia="黑体" w:cs="Times New Roman" w:hint="eastAsia"/>
          <w:szCs w:val="21"/>
        </w:rPr>
        <w:t>次数污染物</w:t>
      </w:r>
      <w:r>
        <w:rPr>
          <w:rFonts w:eastAsia="黑体" w:cs="Times New Roman"/>
          <w:szCs w:val="21"/>
        </w:rPr>
        <w:t>浓度曲线图</w:t>
      </w:r>
    </w:p>
    <w:p w14:paraId="3E906363" w14:textId="77777777" w:rsidR="007D1E74" w:rsidRDefault="00A95641">
      <w:pPr>
        <w:spacing w:line="360" w:lineRule="auto"/>
        <w:jc w:val="center"/>
        <w:rPr>
          <w:sz w:val="24"/>
          <w:szCs w:val="24"/>
        </w:rPr>
      </w:pPr>
      <w:r>
        <w:rPr>
          <w:noProof/>
          <w:sz w:val="24"/>
          <w:szCs w:val="24"/>
        </w:rPr>
        <w:drawing>
          <wp:inline distT="0" distB="0" distL="0" distR="0" wp14:anchorId="5E247216" wp14:editId="3739AB41">
            <wp:extent cx="4705350" cy="2352675"/>
            <wp:effectExtent l="0" t="0" r="3810" b="9525"/>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a:xfrm>
                      <a:off x="0" y="0"/>
                      <a:ext cx="4730668" cy="2365334"/>
                    </a:xfrm>
                    <a:prstGeom prst="rect">
                      <a:avLst/>
                    </a:prstGeom>
                    <a:noFill/>
                    <a:ln>
                      <a:noFill/>
                    </a:ln>
                  </pic:spPr>
                </pic:pic>
              </a:graphicData>
            </a:graphic>
          </wp:inline>
        </w:drawing>
      </w:r>
    </w:p>
    <w:p w14:paraId="4441ACB9" w14:textId="77777777" w:rsidR="007D1E74" w:rsidRDefault="00A95641">
      <w:pPr>
        <w:pStyle w:val="afffffe"/>
        <w:numPr>
          <w:ilvl w:val="0"/>
          <w:numId w:val="52"/>
        </w:numPr>
        <w:spacing w:line="360" w:lineRule="auto"/>
        <w:ind w:firstLineChars="0"/>
        <w:jc w:val="center"/>
        <w:rPr>
          <w:rFonts w:eastAsia="黑体" w:cs="Times New Roman"/>
          <w:szCs w:val="21"/>
        </w:rPr>
      </w:pPr>
      <w:r>
        <w:rPr>
          <w:rFonts w:eastAsia="黑体" w:cs="Times New Roman" w:hint="eastAsia"/>
          <w:szCs w:val="21"/>
        </w:rPr>
        <w:t>4#</w:t>
      </w:r>
      <w:r>
        <w:rPr>
          <w:rFonts w:eastAsia="黑体" w:cs="Times New Roman" w:hint="eastAsia"/>
          <w:szCs w:val="21"/>
        </w:rPr>
        <w:t>清管阀组至草池增压站集输干线火灾伴生</w:t>
      </w:r>
      <w:r>
        <w:rPr>
          <w:rFonts w:eastAsia="黑体" w:cs="Times New Roman" w:hint="eastAsia"/>
          <w:szCs w:val="21"/>
        </w:rPr>
        <w:t>/</w:t>
      </w:r>
      <w:r>
        <w:rPr>
          <w:rFonts w:eastAsia="黑体" w:cs="Times New Roman" w:hint="eastAsia"/>
          <w:szCs w:val="21"/>
        </w:rPr>
        <w:t>次数污染物</w:t>
      </w:r>
      <w:r>
        <w:rPr>
          <w:rFonts w:eastAsia="黑体" w:cs="Times New Roman"/>
          <w:szCs w:val="21"/>
        </w:rPr>
        <w:t>浓度曲线图</w:t>
      </w:r>
    </w:p>
    <w:p w14:paraId="268C144B" w14:textId="77777777" w:rsidR="007D1E74" w:rsidRDefault="00A95641">
      <w:pPr>
        <w:pStyle w:val="aa"/>
      </w:pPr>
      <w:r>
        <w:rPr>
          <w:rFonts w:hint="eastAsia"/>
        </w:rPr>
        <w:t>大气环境风险评价</w:t>
      </w:r>
    </w:p>
    <w:p w14:paraId="66F347FA" w14:textId="77777777" w:rsidR="007D1E74" w:rsidRDefault="00A95641">
      <w:pPr>
        <w:spacing w:line="360" w:lineRule="auto"/>
        <w:ind w:firstLineChars="200" w:firstLine="480"/>
        <w:rPr>
          <w:rFonts w:cs="Times New Roman"/>
          <w:sz w:val="24"/>
          <w:szCs w:val="24"/>
        </w:rPr>
      </w:pPr>
      <w:r>
        <w:rPr>
          <w:rFonts w:cs="Times New Roman"/>
          <w:sz w:val="24"/>
          <w:szCs w:val="24"/>
        </w:rPr>
        <w:t>根据风险预测结果，</w:t>
      </w:r>
      <w:bookmarkStart w:id="45" w:name="_Hlk98357871"/>
      <w:r>
        <w:rPr>
          <w:rFonts w:cs="Times New Roman" w:hint="eastAsia"/>
          <w:sz w:val="24"/>
          <w:szCs w:val="24"/>
        </w:rPr>
        <w:t>集输管道天然气泄漏后甲烷在最不利条件下扩散，各段管道预</w:t>
      </w:r>
      <w:r>
        <w:rPr>
          <w:rFonts w:cs="Times New Roman" w:hint="eastAsia"/>
          <w:sz w:val="24"/>
          <w:szCs w:val="24"/>
        </w:rPr>
        <w:lastRenderedPageBreak/>
        <w:t>测浓度均未超出大气毒性终点浓度值，不会对周边大气环境造成危害；天然气泄漏</w:t>
      </w:r>
      <w:r>
        <w:rPr>
          <w:rFonts w:cs="Times New Roman"/>
          <w:sz w:val="24"/>
          <w:szCs w:val="24"/>
        </w:rPr>
        <w:t>引发火灾事故</w:t>
      </w:r>
      <w:r>
        <w:rPr>
          <w:rFonts w:cs="Times New Roman" w:hint="eastAsia"/>
          <w:sz w:val="24"/>
          <w:szCs w:val="24"/>
        </w:rPr>
        <w:t>伴生</w:t>
      </w:r>
      <w:r>
        <w:rPr>
          <w:rFonts w:cs="Times New Roman" w:hint="eastAsia"/>
          <w:sz w:val="24"/>
          <w:szCs w:val="24"/>
        </w:rPr>
        <w:t>/</w:t>
      </w:r>
      <w:r>
        <w:rPr>
          <w:rFonts w:cs="Times New Roman" w:hint="eastAsia"/>
          <w:sz w:val="24"/>
          <w:szCs w:val="24"/>
        </w:rPr>
        <w:t>次生污染物一氧化碳烟团扩散，各段管道预测浓度均未达到毒性终点浓度</w:t>
      </w:r>
      <w:r>
        <w:rPr>
          <w:rFonts w:cs="Times New Roman"/>
          <w:sz w:val="24"/>
          <w:szCs w:val="24"/>
        </w:rPr>
        <w:t>，不会</w:t>
      </w:r>
      <w:r>
        <w:rPr>
          <w:rFonts w:cs="Times New Roman" w:hint="eastAsia"/>
          <w:sz w:val="24"/>
          <w:szCs w:val="24"/>
        </w:rPr>
        <w:t>对环境敏感目标造成明显影响</w:t>
      </w:r>
      <w:bookmarkEnd w:id="45"/>
      <w:r>
        <w:rPr>
          <w:rFonts w:cs="Times New Roman" w:hint="eastAsia"/>
          <w:sz w:val="24"/>
          <w:szCs w:val="24"/>
        </w:rPr>
        <w:t>。</w:t>
      </w:r>
    </w:p>
    <w:p w14:paraId="1E1D2DA5" w14:textId="77777777" w:rsidR="007D1E74" w:rsidRDefault="00A95641">
      <w:pPr>
        <w:pStyle w:val="a9"/>
      </w:pPr>
      <w:r>
        <w:rPr>
          <w:rFonts w:hint="eastAsia"/>
        </w:rPr>
        <w:t>地表水环境风险预测与评价</w:t>
      </w:r>
    </w:p>
    <w:p w14:paraId="606CD507" w14:textId="77777777" w:rsidR="007D1E74" w:rsidRDefault="00A95641">
      <w:pPr>
        <w:spacing w:line="360" w:lineRule="auto"/>
        <w:ind w:firstLineChars="200" w:firstLine="480"/>
        <w:rPr>
          <w:sz w:val="24"/>
          <w:szCs w:val="24"/>
        </w:rPr>
      </w:pPr>
      <w:r>
        <w:rPr>
          <w:rFonts w:hint="eastAsia"/>
          <w:sz w:val="24"/>
          <w:szCs w:val="24"/>
        </w:rPr>
        <w:t>项目输送介质为天然气，由于天然气密度比空气小，且几乎不溶于水，在事故状态下，即一旦输气管道穿越河流处发生破裂，管道泄漏的天然气会逐渐扩散至大气中，天然气对水质的直接影响很小。</w:t>
      </w:r>
    </w:p>
    <w:p w14:paraId="4A354F53" w14:textId="77777777" w:rsidR="007D1E74" w:rsidRDefault="00A95641">
      <w:pPr>
        <w:pStyle w:val="a9"/>
      </w:pPr>
      <w:r>
        <w:rPr>
          <w:rFonts w:hint="eastAsia"/>
        </w:rPr>
        <w:t>地下水环境风险预测与评价</w:t>
      </w:r>
    </w:p>
    <w:p w14:paraId="7A30FE90" w14:textId="77777777" w:rsidR="007D1E74" w:rsidRDefault="00A95641">
      <w:pPr>
        <w:spacing w:line="360" w:lineRule="auto"/>
        <w:ind w:firstLineChars="200" w:firstLine="480"/>
        <w:rPr>
          <w:sz w:val="24"/>
          <w:szCs w:val="24"/>
        </w:rPr>
      </w:pPr>
      <w:bookmarkStart w:id="46" w:name="_Hlk98357933"/>
      <w:r>
        <w:rPr>
          <w:rFonts w:hint="eastAsia"/>
          <w:sz w:val="24"/>
          <w:szCs w:val="24"/>
        </w:rPr>
        <w:t>运营期集输管道埋设于地下，输送天然气为不含硫的烷烃类气体，由于集输管线是全封闭系统，采用外防腐层和强制电流阴极保护联合方式，如不发生泄漏事故，对地下水不会造成影响。当管道发生破裂事故，其泄漏的天然气主要成分为甲烷，为气态，不溶于水，直接进入空气中，气体不会进入地下水，外管道防腐设，计严格按照相关规定，对地下水基本不会造成影响。</w:t>
      </w:r>
    </w:p>
    <w:bookmarkEnd w:id="46"/>
    <w:p w14:paraId="44A2CB3B" w14:textId="77777777" w:rsidR="007D1E74" w:rsidRDefault="00A95641">
      <w:pPr>
        <w:spacing w:line="360" w:lineRule="auto"/>
        <w:ind w:firstLineChars="200" w:firstLine="480"/>
        <w:rPr>
          <w:sz w:val="24"/>
          <w:szCs w:val="24"/>
        </w:rPr>
      </w:pPr>
      <w:r>
        <w:rPr>
          <w:rFonts w:hint="eastAsia"/>
          <w:sz w:val="24"/>
          <w:szCs w:val="24"/>
        </w:rPr>
        <w:t>1#</w:t>
      </w:r>
      <w:r>
        <w:rPr>
          <w:rFonts w:hint="eastAsia"/>
          <w:sz w:val="24"/>
          <w:szCs w:val="24"/>
        </w:rPr>
        <w:t>阀室采出水罐石油类第</w:t>
      </w:r>
      <w:r>
        <w:rPr>
          <w:rFonts w:hint="eastAsia"/>
          <w:sz w:val="24"/>
          <w:szCs w:val="24"/>
        </w:rPr>
        <w:t>100d</w:t>
      </w:r>
      <w:r>
        <w:rPr>
          <w:rFonts w:hint="eastAsia"/>
          <w:sz w:val="24"/>
          <w:szCs w:val="24"/>
        </w:rPr>
        <w:t>浓度出现了超标现象（参照《地表水环境质量标准》（</w:t>
      </w:r>
      <w:r>
        <w:rPr>
          <w:rFonts w:hint="eastAsia"/>
          <w:sz w:val="24"/>
          <w:szCs w:val="24"/>
        </w:rPr>
        <w:t>GB3838-2002</w:t>
      </w:r>
      <w:r>
        <w:rPr>
          <w:rFonts w:hint="eastAsia"/>
          <w:sz w:val="24"/>
          <w:szCs w:val="24"/>
        </w:rPr>
        <w:t>）</w:t>
      </w:r>
      <w:r>
        <w:rPr>
          <w:rFonts w:hint="eastAsia"/>
          <w:sz w:val="24"/>
          <w:szCs w:val="24"/>
        </w:rPr>
        <w:t>III</w:t>
      </w:r>
      <w:r>
        <w:rPr>
          <w:rFonts w:hint="eastAsia"/>
          <w:sz w:val="24"/>
          <w:szCs w:val="24"/>
        </w:rPr>
        <w:t>类标准），通过加强采出水罐的检查检修，杜绝非正常工况的发生，同时制定非正常工况风险事故防范和应急措施，发生非正常工况风险事故后，通过及时处理，可有效控制污染影响。</w:t>
      </w:r>
    </w:p>
    <w:p w14:paraId="345B6615" w14:textId="77777777" w:rsidR="007D1E74" w:rsidRDefault="00A95641">
      <w:pPr>
        <w:spacing w:line="360" w:lineRule="auto"/>
        <w:ind w:firstLineChars="200" w:firstLine="480"/>
        <w:rPr>
          <w:rFonts w:cs="Times New Roman"/>
          <w:sz w:val="24"/>
          <w:szCs w:val="24"/>
        </w:rPr>
      </w:pPr>
      <w:r>
        <w:rPr>
          <w:rFonts w:cs="Times New Roman"/>
          <w:sz w:val="24"/>
          <w:szCs w:val="24"/>
        </w:rPr>
        <w:t>综上所述，本项目事故源项及事故后果预测信息见下表。</w:t>
      </w:r>
    </w:p>
    <w:p w14:paraId="316810B1" w14:textId="77777777" w:rsidR="007D1E74" w:rsidRDefault="00A95641">
      <w:pPr>
        <w:pStyle w:val="afffffe"/>
        <w:numPr>
          <w:ilvl w:val="0"/>
          <w:numId w:val="51"/>
        </w:numPr>
        <w:spacing w:line="360" w:lineRule="auto"/>
        <w:ind w:firstLineChars="0"/>
        <w:jc w:val="center"/>
        <w:rPr>
          <w:rFonts w:eastAsia="黑体" w:cs="Times New Roman"/>
          <w:szCs w:val="21"/>
        </w:rPr>
      </w:pPr>
      <w:r>
        <w:rPr>
          <w:rFonts w:eastAsia="黑体" w:cs="Times New Roman" w:hint="eastAsia"/>
          <w:szCs w:val="21"/>
        </w:rPr>
        <w:t>事故源项及事故后果基本信息表</w:t>
      </w:r>
    </w:p>
    <w:tbl>
      <w:tblPr>
        <w:tblStyle w:val="affffc"/>
        <w:tblW w:w="0" w:type="auto"/>
        <w:tblLook w:val="04A0" w:firstRow="1" w:lastRow="0" w:firstColumn="1" w:lastColumn="0" w:noHBand="0" w:noVBand="1"/>
      </w:tblPr>
      <w:tblGrid>
        <w:gridCol w:w="988"/>
        <w:gridCol w:w="1134"/>
        <w:gridCol w:w="1559"/>
        <w:gridCol w:w="1333"/>
        <w:gridCol w:w="445"/>
        <w:gridCol w:w="889"/>
        <w:gridCol w:w="889"/>
        <w:gridCol w:w="445"/>
        <w:gridCol w:w="1334"/>
      </w:tblGrid>
      <w:tr w:rsidR="007D1E74" w14:paraId="5CD48164" w14:textId="77777777">
        <w:tc>
          <w:tcPr>
            <w:tcW w:w="9016" w:type="dxa"/>
            <w:gridSpan w:val="9"/>
            <w:vAlign w:val="center"/>
          </w:tcPr>
          <w:p w14:paraId="005520B5" w14:textId="77777777" w:rsidR="007D1E74" w:rsidRDefault="00A95641">
            <w:pPr>
              <w:jc w:val="center"/>
              <w:rPr>
                <w:rFonts w:cs="Times New Roman"/>
                <w:szCs w:val="21"/>
              </w:rPr>
            </w:pPr>
            <w:r>
              <w:rPr>
                <w:rFonts w:cs="Times New Roman"/>
                <w:szCs w:val="21"/>
              </w:rPr>
              <w:t>风险事故情形分析</w:t>
            </w:r>
            <w:r>
              <w:rPr>
                <w:rFonts w:cs="Times New Roman"/>
                <w:szCs w:val="21"/>
                <w:vertAlign w:val="superscript"/>
              </w:rPr>
              <w:t>a</w:t>
            </w:r>
          </w:p>
        </w:tc>
      </w:tr>
      <w:tr w:rsidR="007D1E74" w14:paraId="4F79B13F" w14:textId="77777777">
        <w:tc>
          <w:tcPr>
            <w:tcW w:w="988" w:type="dxa"/>
            <w:vAlign w:val="center"/>
          </w:tcPr>
          <w:p w14:paraId="5F74B7AA" w14:textId="77777777" w:rsidR="007D1E74" w:rsidRDefault="00A95641">
            <w:pPr>
              <w:jc w:val="center"/>
              <w:rPr>
                <w:rFonts w:cs="Times New Roman"/>
                <w:szCs w:val="21"/>
              </w:rPr>
            </w:pPr>
            <w:r>
              <w:rPr>
                <w:rFonts w:cs="Times New Roman"/>
                <w:szCs w:val="21"/>
              </w:rPr>
              <w:t>代表性风险事故情形描述</w:t>
            </w:r>
          </w:p>
        </w:tc>
        <w:tc>
          <w:tcPr>
            <w:tcW w:w="8028" w:type="dxa"/>
            <w:gridSpan w:val="8"/>
            <w:vAlign w:val="center"/>
          </w:tcPr>
          <w:p w14:paraId="1BB6D0EC" w14:textId="77777777" w:rsidR="007D1E74" w:rsidRDefault="00A95641">
            <w:pPr>
              <w:jc w:val="center"/>
              <w:rPr>
                <w:rFonts w:cs="Times New Roman"/>
                <w:szCs w:val="21"/>
              </w:rPr>
            </w:pPr>
            <w:r>
              <w:rPr>
                <w:rFonts w:cs="Times New Roman" w:hint="eastAsia"/>
                <w:szCs w:val="21"/>
              </w:rPr>
              <w:t>集输管道断裂发生天然气泄漏，火灾引发的伴生</w:t>
            </w:r>
            <w:r>
              <w:rPr>
                <w:rFonts w:cs="Times New Roman" w:hint="eastAsia"/>
                <w:szCs w:val="21"/>
              </w:rPr>
              <w:t>/</w:t>
            </w:r>
            <w:r>
              <w:rPr>
                <w:rFonts w:cs="Times New Roman" w:hint="eastAsia"/>
                <w:szCs w:val="21"/>
              </w:rPr>
              <w:t>次生污染物排放</w:t>
            </w:r>
          </w:p>
        </w:tc>
      </w:tr>
      <w:tr w:rsidR="007D1E74" w14:paraId="12CC9D0D" w14:textId="77777777">
        <w:tc>
          <w:tcPr>
            <w:tcW w:w="988" w:type="dxa"/>
            <w:vAlign w:val="center"/>
          </w:tcPr>
          <w:p w14:paraId="0A918A9E" w14:textId="77777777" w:rsidR="007D1E74" w:rsidRDefault="00A95641">
            <w:pPr>
              <w:jc w:val="center"/>
              <w:rPr>
                <w:rFonts w:cs="Times New Roman"/>
                <w:szCs w:val="21"/>
              </w:rPr>
            </w:pPr>
            <w:r>
              <w:rPr>
                <w:rFonts w:cs="Times New Roman"/>
                <w:szCs w:val="21"/>
              </w:rPr>
              <w:t>环境风险类型</w:t>
            </w:r>
          </w:p>
        </w:tc>
        <w:tc>
          <w:tcPr>
            <w:tcW w:w="8028" w:type="dxa"/>
            <w:gridSpan w:val="8"/>
            <w:vAlign w:val="center"/>
          </w:tcPr>
          <w:p w14:paraId="0C7F82E1" w14:textId="77777777" w:rsidR="007D1E74" w:rsidRDefault="00A95641">
            <w:pPr>
              <w:jc w:val="center"/>
              <w:rPr>
                <w:rFonts w:cs="Times New Roman"/>
                <w:szCs w:val="21"/>
              </w:rPr>
            </w:pPr>
            <w:r>
              <w:rPr>
                <w:rFonts w:cs="Times New Roman" w:hint="eastAsia"/>
                <w:szCs w:val="21"/>
              </w:rPr>
              <w:t>泄漏、火灾引发的伴生</w:t>
            </w:r>
            <w:r>
              <w:rPr>
                <w:rFonts w:cs="Times New Roman" w:hint="eastAsia"/>
                <w:szCs w:val="21"/>
              </w:rPr>
              <w:t>/</w:t>
            </w:r>
            <w:r>
              <w:rPr>
                <w:rFonts w:cs="Times New Roman" w:hint="eastAsia"/>
                <w:szCs w:val="21"/>
              </w:rPr>
              <w:t>次生污染物排放</w:t>
            </w:r>
          </w:p>
        </w:tc>
      </w:tr>
      <w:tr w:rsidR="007D1E74" w14:paraId="5D15E73B" w14:textId="77777777">
        <w:tc>
          <w:tcPr>
            <w:tcW w:w="988" w:type="dxa"/>
            <w:vAlign w:val="center"/>
          </w:tcPr>
          <w:p w14:paraId="4EB1AEC0" w14:textId="77777777" w:rsidR="007D1E74" w:rsidRDefault="00A95641">
            <w:pPr>
              <w:jc w:val="center"/>
              <w:rPr>
                <w:rFonts w:cs="Times New Roman"/>
                <w:szCs w:val="21"/>
              </w:rPr>
            </w:pPr>
            <w:r>
              <w:rPr>
                <w:rFonts w:cs="Times New Roman"/>
                <w:szCs w:val="21"/>
              </w:rPr>
              <w:t>泄漏设备类型</w:t>
            </w:r>
          </w:p>
        </w:tc>
        <w:tc>
          <w:tcPr>
            <w:tcW w:w="1134" w:type="dxa"/>
            <w:vAlign w:val="center"/>
          </w:tcPr>
          <w:p w14:paraId="1189C9FA" w14:textId="77777777" w:rsidR="007D1E74" w:rsidRDefault="00A95641">
            <w:pPr>
              <w:jc w:val="center"/>
              <w:rPr>
                <w:rFonts w:cs="Times New Roman"/>
                <w:szCs w:val="21"/>
              </w:rPr>
            </w:pPr>
            <w:r>
              <w:rPr>
                <w:rFonts w:cs="Times New Roman" w:hint="eastAsia"/>
                <w:szCs w:val="21"/>
              </w:rPr>
              <w:t>管道</w:t>
            </w:r>
          </w:p>
        </w:tc>
        <w:tc>
          <w:tcPr>
            <w:tcW w:w="1559" w:type="dxa"/>
            <w:vAlign w:val="center"/>
          </w:tcPr>
          <w:p w14:paraId="6E164792" w14:textId="77777777" w:rsidR="007D1E74" w:rsidRDefault="00A95641">
            <w:pPr>
              <w:jc w:val="center"/>
              <w:rPr>
                <w:rFonts w:cs="Times New Roman"/>
                <w:szCs w:val="21"/>
              </w:rPr>
            </w:pPr>
            <w:r>
              <w:rPr>
                <w:rFonts w:cs="Times New Roman"/>
                <w:szCs w:val="21"/>
              </w:rPr>
              <w:t>操作温度</w:t>
            </w:r>
            <w:r>
              <w:rPr>
                <w:rFonts w:cs="Times New Roman" w:hint="eastAsia"/>
                <w:szCs w:val="21"/>
              </w:rPr>
              <w:t>/</w:t>
            </w:r>
            <w:r>
              <w:rPr>
                <w:rFonts w:cs="Times New Roman" w:hint="eastAsia"/>
                <w:szCs w:val="21"/>
              </w:rPr>
              <w:t>℃</w:t>
            </w:r>
          </w:p>
        </w:tc>
        <w:tc>
          <w:tcPr>
            <w:tcW w:w="1778" w:type="dxa"/>
            <w:gridSpan w:val="2"/>
            <w:vAlign w:val="center"/>
          </w:tcPr>
          <w:p w14:paraId="67C49E61" w14:textId="77777777" w:rsidR="007D1E74" w:rsidRDefault="00A95641">
            <w:pPr>
              <w:jc w:val="center"/>
              <w:rPr>
                <w:rFonts w:cs="Times New Roman"/>
                <w:szCs w:val="21"/>
              </w:rPr>
            </w:pPr>
            <w:r>
              <w:rPr>
                <w:rFonts w:cs="Times New Roman"/>
                <w:szCs w:val="21"/>
              </w:rPr>
              <w:t>20</w:t>
            </w:r>
          </w:p>
        </w:tc>
        <w:tc>
          <w:tcPr>
            <w:tcW w:w="1778" w:type="dxa"/>
            <w:gridSpan w:val="2"/>
            <w:vAlign w:val="center"/>
          </w:tcPr>
          <w:p w14:paraId="7CFCD044" w14:textId="77777777" w:rsidR="007D1E74" w:rsidRDefault="00A95641">
            <w:pPr>
              <w:jc w:val="center"/>
              <w:rPr>
                <w:rFonts w:cs="Times New Roman"/>
                <w:szCs w:val="21"/>
              </w:rPr>
            </w:pPr>
            <w:r>
              <w:rPr>
                <w:rFonts w:cs="Times New Roman"/>
                <w:szCs w:val="21"/>
              </w:rPr>
              <w:t>操作压力</w:t>
            </w:r>
            <w:r>
              <w:rPr>
                <w:rFonts w:cs="Times New Roman" w:hint="eastAsia"/>
                <w:szCs w:val="21"/>
              </w:rPr>
              <w:t>/</w:t>
            </w:r>
            <w:r>
              <w:rPr>
                <w:rFonts w:cs="Times New Roman"/>
                <w:szCs w:val="21"/>
              </w:rPr>
              <w:t>MPa</w:t>
            </w:r>
          </w:p>
        </w:tc>
        <w:tc>
          <w:tcPr>
            <w:tcW w:w="1779" w:type="dxa"/>
            <w:gridSpan w:val="2"/>
            <w:vAlign w:val="center"/>
          </w:tcPr>
          <w:p w14:paraId="09CEC987" w14:textId="77777777" w:rsidR="007D1E74" w:rsidRDefault="00A95641">
            <w:pPr>
              <w:jc w:val="center"/>
              <w:rPr>
                <w:rFonts w:cs="Times New Roman"/>
                <w:szCs w:val="21"/>
              </w:rPr>
            </w:pPr>
            <w:r>
              <w:rPr>
                <w:rFonts w:cs="Times New Roman"/>
                <w:szCs w:val="21"/>
              </w:rPr>
              <w:t>6.3~10</w:t>
            </w:r>
          </w:p>
        </w:tc>
      </w:tr>
      <w:tr w:rsidR="007D1E74" w14:paraId="3C586AED" w14:textId="77777777">
        <w:tc>
          <w:tcPr>
            <w:tcW w:w="988" w:type="dxa"/>
            <w:vAlign w:val="center"/>
          </w:tcPr>
          <w:p w14:paraId="2C549C33" w14:textId="77777777" w:rsidR="007D1E74" w:rsidRDefault="00A95641">
            <w:pPr>
              <w:jc w:val="center"/>
              <w:rPr>
                <w:rFonts w:cs="Times New Roman"/>
                <w:szCs w:val="21"/>
              </w:rPr>
            </w:pPr>
            <w:r>
              <w:rPr>
                <w:rFonts w:cs="Times New Roman"/>
                <w:szCs w:val="21"/>
              </w:rPr>
              <w:t>泄漏危险物质</w:t>
            </w:r>
          </w:p>
        </w:tc>
        <w:tc>
          <w:tcPr>
            <w:tcW w:w="1134" w:type="dxa"/>
            <w:vAlign w:val="center"/>
          </w:tcPr>
          <w:p w14:paraId="44F91B3B" w14:textId="77777777" w:rsidR="007D1E74" w:rsidRDefault="00A95641">
            <w:pPr>
              <w:jc w:val="center"/>
              <w:rPr>
                <w:rFonts w:cs="Times New Roman"/>
                <w:szCs w:val="21"/>
              </w:rPr>
            </w:pPr>
            <w:r>
              <w:rPr>
                <w:rFonts w:cs="Times New Roman" w:hint="eastAsia"/>
                <w:szCs w:val="21"/>
              </w:rPr>
              <w:t>天然气</w:t>
            </w:r>
          </w:p>
        </w:tc>
        <w:tc>
          <w:tcPr>
            <w:tcW w:w="1559" w:type="dxa"/>
            <w:vAlign w:val="center"/>
          </w:tcPr>
          <w:p w14:paraId="239683F2" w14:textId="77777777" w:rsidR="007D1E74" w:rsidRDefault="00A95641">
            <w:pPr>
              <w:jc w:val="center"/>
              <w:rPr>
                <w:rFonts w:cs="Times New Roman"/>
                <w:szCs w:val="21"/>
              </w:rPr>
            </w:pPr>
            <w:r>
              <w:rPr>
                <w:rFonts w:cs="Times New Roman"/>
                <w:szCs w:val="21"/>
              </w:rPr>
              <w:t>最大存在量</w:t>
            </w:r>
            <w:r>
              <w:rPr>
                <w:rFonts w:cs="Times New Roman" w:hint="eastAsia"/>
                <w:szCs w:val="21"/>
              </w:rPr>
              <w:t>/</w:t>
            </w:r>
            <w:r>
              <w:rPr>
                <w:rFonts w:cs="Times New Roman"/>
                <w:szCs w:val="21"/>
              </w:rPr>
              <w:t>kg</w:t>
            </w:r>
          </w:p>
        </w:tc>
        <w:tc>
          <w:tcPr>
            <w:tcW w:w="1778" w:type="dxa"/>
            <w:gridSpan w:val="2"/>
            <w:vAlign w:val="center"/>
          </w:tcPr>
          <w:p w14:paraId="6050A8C3" w14:textId="77777777" w:rsidR="007D1E74" w:rsidRDefault="00A95641">
            <w:pPr>
              <w:jc w:val="center"/>
              <w:rPr>
                <w:rFonts w:cs="Times New Roman"/>
                <w:szCs w:val="21"/>
              </w:rPr>
            </w:pPr>
            <w:r>
              <w:rPr>
                <w:rFonts w:cs="Times New Roman"/>
                <w:szCs w:val="21"/>
              </w:rPr>
              <w:t>/</w:t>
            </w:r>
          </w:p>
        </w:tc>
        <w:tc>
          <w:tcPr>
            <w:tcW w:w="1778" w:type="dxa"/>
            <w:gridSpan w:val="2"/>
            <w:vAlign w:val="center"/>
          </w:tcPr>
          <w:p w14:paraId="1167367B" w14:textId="77777777" w:rsidR="007D1E74" w:rsidRDefault="00A95641">
            <w:pPr>
              <w:jc w:val="center"/>
              <w:rPr>
                <w:rFonts w:cs="Times New Roman"/>
                <w:szCs w:val="21"/>
              </w:rPr>
            </w:pPr>
            <w:r>
              <w:rPr>
                <w:rFonts w:cs="Times New Roman"/>
                <w:szCs w:val="21"/>
              </w:rPr>
              <w:t>泄漏孔径</w:t>
            </w:r>
            <w:r>
              <w:rPr>
                <w:rFonts w:cs="Times New Roman" w:hint="eastAsia"/>
                <w:szCs w:val="21"/>
              </w:rPr>
              <w:t>/</w:t>
            </w:r>
            <w:r>
              <w:rPr>
                <w:rFonts w:cs="Times New Roman"/>
                <w:szCs w:val="21"/>
              </w:rPr>
              <w:t>mm</w:t>
            </w:r>
          </w:p>
        </w:tc>
        <w:tc>
          <w:tcPr>
            <w:tcW w:w="1779" w:type="dxa"/>
            <w:gridSpan w:val="2"/>
            <w:vAlign w:val="center"/>
          </w:tcPr>
          <w:p w14:paraId="3FA1C6E7" w14:textId="77777777" w:rsidR="007D1E74" w:rsidRDefault="00A95641">
            <w:pPr>
              <w:jc w:val="center"/>
              <w:rPr>
                <w:rFonts w:cs="Times New Roman"/>
                <w:szCs w:val="21"/>
              </w:rPr>
            </w:pPr>
            <w:r>
              <w:rPr>
                <w:rFonts w:cs="Times New Roman"/>
                <w:szCs w:val="21"/>
              </w:rPr>
              <w:t>114.3/300/350</w:t>
            </w:r>
          </w:p>
        </w:tc>
      </w:tr>
      <w:tr w:rsidR="007D1E74" w14:paraId="42D10004" w14:textId="77777777">
        <w:tc>
          <w:tcPr>
            <w:tcW w:w="988" w:type="dxa"/>
            <w:vAlign w:val="center"/>
          </w:tcPr>
          <w:p w14:paraId="270AEC3A" w14:textId="77777777" w:rsidR="007D1E74" w:rsidRDefault="00A95641">
            <w:pPr>
              <w:jc w:val="center"/>
              <w:rPr>
                <w:rFonts w:cs="Times New Roman"/>
                <w:szCs w:val="21"/>
              </w:rPr>
            </w:pPr>
            <w:r>
              <w:rPr>
                <w:rFonts w:cs="Times New Roman"/>
                <w:szCs w:val="21"/>
              </w:rPr>
              <w:t>泄漏速率</w:t>
            </w:r>
            <w:r>
              <w:rPr>
                <w:rFonts w:cs="Times New Roman" w:hint="eastAsia"/>
                <w:szCs w:val="21"/>
              </w:rPr>
              <w:t>/</w:t>
            </w:r>
            <w:r>
              <w:rPr>
                <w:rFonts w:cs="Times New Roman"/>
                <w:szCs w:val="21"/>
              </w:rPr>
              <w:t>(kg/s)</w:t>
            </w:r>
          </w:p>
        </w:tc>
        <w:tc>
          <w:tcPr>
            <w:tcW w:w="1134" w:type="dxa"/>
            <w:vAlign w:val="center"/>
          </w:tcPr>
          <w:p w14:paraId="691536A6" w14:textId="77777777" w:rsidR="007D1E74" w:rsidRDefault="00A95641">
            <w:pPr>
              <w:jc w:val="center"/>
              <w:rPr>
                <w:rFonts w:cs="Times New Roman"/>
                <w:szCs w:val="21"/>
              </w:rPr>
            </w:pPr>
            <w:r>
              <w:rPr>
                <w:rFonts w:cs="Times New Roman"/>
                <w:szCs w:val="21"/>
              </w:rPr>
              <w:t>41.57</w:t>
            </w:r>
            <w:r>
              <w:rPr>
                <w:rFonts w:cs="Times New Roman" w:hint="eastAsia"/>
                <w:szCs w:val="21"/>
              </w:rPr>
              <w:t>、</w:t>
            </w:r>
            <w:r>
              <w:rPr>
                <w:rFonts w:cs="Times New Roman"/>
                <w:szCs w:val="21"/>
              </w:rPr>
              <w:t>3.51</w:t>
            </w:r>
            <w:r>
              <w:rPr>
                <w:rFonts w:cs="Times New Roman" w:hint="eastAsia"/>
                <w:szCs w:val="21"/>
              </w:rPr>
              <w:t>、</w:t>
            </w:r>
            <w:r>
              <w:rPr>
                <w:rFonts w:cs="Times New Roman"/>
                <w:szCs w:val="21"/>
              </w:rPr>
              <w:t>2.36</w:t>
            </w:r>
            <w:r>
              <w:rPr>
                <w:rFonts w:cs="Times New Roman" w:hint="eastAsia"/>
                <w:szCs w:val="21"/>
              </w:rPr>
              <w:t>、</w:t>
            </w:r>
            <w:r>
              <w:rPr>
                <w:rFonts w:cs="Times New Roman"/>
                <w:szCs w:val="21"/>
              </w:rPr>
              <w:t>2.4</w:t>
            </w:r>
            <w:r>
              <w:rPr>
                <w:rFonts w:cs="Times New Roman" w:hint="eastAsia"/>
                <w:szCs w:val="21"/>
              </w:rPr>
              <w:t>、</w:t>
            </w:r>
            <w:r>
              <w:rPr>
                <w:rFonts w:cs="Times New Roman"/>
                <w:szCs w:val="21"/>
              </w:rPr>
              <w:lastRenderedPageBreak/>
              <w:t>6.16</w:t>
            </w:r>
            <w:r>
              <w:rPr>
                <w:rFonts w:cs="Times New Roman" w:hint="eastAsia"/>
                <w:szCs w:val="21"/>
              </w:rPr>
              <w:t>、</w:t>
            </w:r>
            <w:r>
              <w:rPr>
                <w:rFonts w:cs="Times New Roman"/>
                <w:szCs w:val="21"/>
              </w:rPr>
              <w:t>38.15</w:t>
            </w:r>
            <w:r>
              <w:rPr>
                <w:rFonts w:cs="Times New Roman" w:hint="eastAsia"/>
                <w:szCs w:val="21"/>
              </w:rPr>
              <w:t>、</w:t>
            </w:r>
            <w:r>
              <w:rPr>
                <w:rFonts w:cs="Times New Roman"/>
                <w:szCs w:val="21"/>
              </w:rPr>
              <w:t>70.71</w:t>
            </w:r>
          </w:p>
        </w:tc>
        <w:tc>
          <w:tcPr>
            <w:tcW w:w="1559" w:type="dxa"/>
            <w:vAlign w:val="center"/>
          </w:tcPr>
          <w:p w14:paraId="6DDE6661" w14:textId="77777777" w:rsidR="007D1E74" w:rsidRDefault="00A95641">
            <w:pPr>
              <w:jc w:val="center"/>
              <w:rPr>
                <w:rFonts w:cs="Times New Roman"/>
                <w:szCs w:val="21"/>
              </w:rPr>
            </w:pPr>
            <w:r>
              <w:rPr>
                <w:rFonts w:cs="Times New Roman"/>
                <w:szCs w:val="21"/>
              </w:rPr>
              <w:lastRenderedPageBreak/>
              <w:t>泄漏时间</w:t>
            </w:r>
            <w:r>
              <w:rPr>
                <w:rFonts w:cs="Times New Roman" w:hint="eastAsia"/>
                <w:szCs w:val="21"/>
              </w:rPr>
              <w:t>/</w:t>
            </w:r>
            <w:r>
              <w:rPr>
                <w:rFonts w:cs="Times New Roman"/>
                <w:szCs w:val="21"/>
              </w:rPr>
              <w:t>min</w:t>
            </w:r>
          </w:p>
        </w:tc>
        <w:tc>
          <w:tcPr>
            <w:tcW w:w="1778" w:type="dxa"/>
            <w:gridSpan w:val="2"/>
            <w:vAlign w:val="center"/>
          </w:tcPr>
          <w:p w14:paraId="080A7C8C" w14:textId="77777777" w:rsidR="007D1E74" w:rsidRDefault="00A95641">
            <w:pPr>
              <w:jc w:val="center"/>
              <w:rPr>
                <w:rFonts w:cs="Times New Roman"/>
                <w:szCs w:val="21"/>
              </w:rPr>
            </w:pPr>
            <w:r>
              <w:rPr>
                <w:rFonts w:cs="Times New Roman"/>
                <w:szCs w:val="21"/>
              </w:rPr>
              <w:t>20</w:t>
            </w:r>
          </w:p>
        </w:tc>
        <w:tc>
          <w:tcPr>
            <w:tcW w:w="1778" w:type="dxa"/>
            <w:gridSpan w:val="2"/>
            <w:vAlign w:val="center"/>
          </w:tcPr>
          <w:p w14:paraId="1558AA27" w14:textId="77777777" w:rsidR="007D1E74" w:rsidRDefault="00A95641">
            <w:pPr>
              <w:jc w:val="center"/>
              <w:rPr>
                <w:rFonts w:cs="Times New Roman"/>
                <w:szCs w:val="21"/>
              </w:rPr>
            </w:pPr>
            <w:r>
              <w:rPr>
                <w:rFonts w:cs="Times New Roman" w:hint="eastAsia"/>
                <w:szCs w:val="21"/>
              </w:rPr>
              <w:t>泄漏量</w:t>
            </w:r>
            <w:r>
              <w:rPr>
                <w:rFonts w:cs="Times New Roman" w:hint="eastAsia"/>
                <w:szCs w:val="21"/>
              </w:rPr>
              <w:t>/</w:t>
            </w:r>
            <w:r>
              <w:rPr>
                <w:rFonts w:cs="Times New Roman"/>
                <w:szCs w:val="21"/>
              </w:rPr>
              <w:t>kg</w:t>
            </w:r>
          </w:p>
        </w:tc>
        <w:tc>
          <w:tcPr>
            <w:tcW w:w="1779" w:type="dxa"/>
            <w:gridSpan w:val="2"/>
            <w:vAlign w:val="center"/>
          </w:tcPr>
          <w:p w14:paraId="058462DA" w14:textId="77777777" w:rsidR="007D1E74" w:rsidRDefault="00A95641">
            <w:pPr>
              <w:jc w:val="center"/>
              <w:rPr>
                <w:rFonts w:cs="Times New Roman"/>
                <w:szCs w:val="21"/>
              </w:rPr>
            </w:pPr>
            <w:r>
              <w:rPr>
                <w:rFonts w:cs="Times New Roman"/>
                <w:szCs w:val="21"/>
              </w:rPr>
              <w:t>49886.91</w:t>
            </w:r>
            <w:r>
              <w:rPr>
                <w:rFonts w:cs="Times New Roman" w:hint="eastAsia"/>
                <w:szCs w:val="21"/>
              </w:rPr>
              <w:t>、</w:t>
            </w:r>
            <w:r>
              <w:rPr>
                <w:rFonts w:cs="Times New Roman"/>
                <w:szCs w:val="21"/>
              </w:rPr>
              <w:t>4214.26</w:t>
            </w:r>
            <w:r>
              <w:rPr>
                <w:rFonts w:cs="Times New Roman" w:hint="eastAsia"/>
                <w:szCs w:val="21"/>
              </w:rPr>
              <w:t>、</w:t>
            </w:r>
            <w:r>
              <w:rPr>
                <w:rFonts w:cs="Times New Roman"/>
                <w:szCs w:val="21"/>
              </w:rPr>
              <w:t>2836.83</w:t>
            </w:r>
            <w:r>
              <w:rPr>
                <w:rFonts w:cs="Times New Roman" w:hint="eastAsia"/>
                <w:szCs w:val="21"/>
              </w:rPr>
              <w:t>、</w:t>
            </w:r>
            <w:r>
              <w:rPr>
                <w:rFonts w:cs="Times New Roman"/>
                <w:szCs w:val="21"/>
              </w:rPr>
              <w:t>2882.74</w:t>
            </w:r>
            <w:r>
              <w:rPr>
                <w:rFonts w:cs="Times New Roman" w:hint="eastAsia"/>
                <w:szCs w:val="21"/>
              </w:rPr>
              <w:t>、</w:t>
            </w:r>
            <w:r>
              <w:rPr>
                <w:rFonts w:cs="Times New Roman"/>
                <w:szCs w:val="21"/>
              </w:rPr>
              <w:lastRenderedPageBreak/>
              <w:t>7392.57</w:t>
            </w:r>
            <w:r>
              <w:rPr>
                <w:rFonts w:cs="Times New Roman" w:hint="eastAsia"/>
                <w:szCs w:val="21"/>
              </w:rPr>
              <w:t>、</w:t>
            </w:r>
            <w:r>
              <w:rPr>
                <w:rFonts w:cs="Times New Roman"/>
                <w:szCs w:val="21"/>
              </w:rPr>
              <w:t>45775.01</w:t>
            </w:r>
            <w:r>
              <w:rPr>
                <w:rFonts w:cs="Times New Roman" w:hint="eastAsia"/>
                <w:szCs w:val="21"/>
              </w:rPr>
              <w:t>、</w:t>
            </w:r>
            <w:r>
              <w:rPr>
                <w:rFonts w:cs="Times New Roman"/>
                <w:szCs w:val="21"/>
              </w:rPr>
              <w:t>8488200</w:t>
            </w:r>
          </w:p>
        </w:tc>
      </w:tr>
      <w:tr w:rsidR="007D1E74" w14:paraId="6FD1D9FA" w14:textId="77777777">
        <w:tc>
          <w:tcPr>
            <w:tcW w:w="988" w:type="dxa"/>
            <w:vAlign w:val="center"/>
          </w:tcPr>
          <w:p w14:paraId="66FA637B" w14:textId="77777777" w:rsidR="007D1E74" w:rsidRDefault="00A95641">
            <w:pPr>
              <w:jc w:val="center"/>
              <w:rPr>
                <w:rFonts w:cs="Times New Roman"/>
                <w:szCs w:val="21"/>
              </w:rPr>
            </w:pPr>
            <w:r>
              <w:rPr>
                <w:rFonts w:cs="Times New Roman"/>
                <w:szCs w:val="21"/>
              </w:rPr>
              <w:lastRenderedPageBreak/>
              <w:t>泄漏高度</w:t>
            </w:r>
            <w:r>
              <w:rPr>
                <w:rFonts w:cs="Times New Roman" w:hint="eastAsia"/>
                <w:szCs w:val="21"/>
              </w:rPr>
              <w:t>/</w:t>
            </w:r>
            <w:r>
              <w:rPr>
                <w:rFonts w:cs="Times New Roman"/>
                <w:szCs w:val="21"/>
              </w:rPr>
              <w:t>m</w:t>
            </w:r>
          </w:p>
        </w:tc>
        <w:tc>
          <w:tcPr>
            <w:tcW w:w="1134" w:type="dxa"/>
            <w:vAlign w:val="center"/>
          </w:tcPr>
          <w:p w14:paraId="2EC75135" w14:textId="77777777" w:rsidR="007D1E74" w:rsidRDefault="00A95641">
            <w:pPr>
              <w:jc w:val="center"/>
              <w:rPr>
                <w:rFonts w:cs="Times New Roman"/>
                <w:szCs w:val="21"/>
              </w:rPr>
            </w:pPr>
            <w:r>
              <w:rPr>
                <w:rFonts w:cs="Times New Roman"/>
                <w:szCs w:val="21"/>
              </w:rPr>
              <w:t>30</w:t>
            </w:r>
          </w:p>
        </w:tc>
        <w:tc>
          <w:tcPr>
            <w:tcW w:w="1559" w:type="dxa"/>
            <w:vAlign w:val="center"/>
          </w:tcPr>
          <w:p w14:paraId="2F832AD5" w14:textId="77777777" w:rsidR="007D1E74" w:rsidRDefault="00A95641">
            <w:pPr>
              <w:jc w:val="center"/>
              <w:rPr>
                <w:rFonts w:cs="Times New Roman"/>
                <w:szCs w:val="21"/>
              </w:rPr>
            </w:pPr>
            <w:r>
              <w:rPr>
                <w:rFonts w:cs="Times New Roman"/>
                <w:szCs w:val="21"/>
              </w:rPr>
              <w:t>泄漏液体蒸发量</w:t>
            </w:r>
            <w:r>
              <w:rPr>
                <w:rFonts w:cs="Times New Roman"/>
                <w:szCs w:val="21"/>
              </w:rPr>
              <w:t>/kg</w:t>
            </w:r>
          </w:p>
        </w:tc>
        <w:tc>
          <w:tcPr>
            <w:tcW w:w="1778" w:type="dxa"/>
            <w:gridSpan w:val="2"/>
            <w:vAlign w:val="center"/>
          </w:tcPr>
          <w:p w14:paraId="560EF948" w14:textId="77777777" w:rsidR="007D1E74" w:rsidRDefault="00A95641">
            <w:pPr>
              <w:jc w:val="center"/>
              <w:rPr>
                <w:rFonts w:cs="Times New Roman"/>
                <w:szCs w:val="21"/>
              </w:rPr>
            </w:pPr>
            <w:r>
              <w:rPr>
                <w:rFonts w:cs="Times New Roman"/>
                <w:szCs w:val="21"/>
              </w:rPr>
              <w:t>/</w:t>
            </w:r>
          </w:p>
        </w:tc>
        <w:tc>
          <w:tcPr>
            <w:tcW w:w="1778" w:type="dxa"/>
            <w:gridSpan w:val="2"/>
            <w:vAlign w:val="center"/>
          </w:tcPr>
          <w:p w14:paraId="177E1913" w14:textId="77777777" w:rsidR="007D1E74" w:rsidRDefault="00A95641">
            <w:pPr>
              <w:jc w:val="center"/>
              <w:rPr>
                <w:rFonts w:cs="Times New Roman"/>
                <w:szCs w:val="21"/>
              </w:rPr>
            </w:pPr>
            <w:r>
              <w:rPr>
                <w:rFonts w:cs="Times New Roman"/>
                <w:szCs w:val="21"/>
              </w:rPr>
              <w:t>泄漏频率</w:t>
            </w:r>
          </w:p>
        </w:tc>
        <w:tc>
          <w:tcPr>
            <w:tcW w:w="1779" w:type="dxa"/>
            <w:gridSpan w:val="2"/>
            <w:vAlign w:val="center"/>
          </w:tcPr>
          <w:p w14:paraId="5B94A02E" w14:textId="77777777" w:rsidR="007D1E74" w:rsidRDefault="00A95641">
            <w:pPr>
              <w:jc w:val="center"/>
              <w:rPr>
                <w:rFonts w:cs="Times New Roman"/>
                <w:szCs w:val="21"/>
              </w:rPr>
            </w:pPr>
            <w:r>
              <w:rPr>
                <w:rFonts w:cs="Times New Roman"/>
                <w:szCs w:val="21"/>
              </w:rPr>
              <w:t>1×10</w:t>
            </w:r>
            <w:r>
              <w:rPr>
                <w:rFonts w:cs="Times New Roman"/>
                <w:szCs w:val="21"/>
                <w:vertAlign w:val="superscript"/>
              </w:rPr>
              <w:t>-7</w:t>
            </w:r>
            <w:r>
              <w:rPr>
                <w:rFonts w:cs="Times New Roman"/>
                <w:szCs w:val="21"/>
              </w:rPr>
              <w:t>/m·a</w:t>
            </w:r>
          </w:p>
        </w:tc>
      </w:tr>
      <w:tr w:rsidR="007D1E74" w14:paraId="18562754" w14:textId="77777777">
        <w:tc>
          <w:tcPr>
            <w:tcW w:w="9016" w:type="dxa"/>
            <w:gridSpan w:val="9"/>
            <w:vAlign w:val="center"/>
          </w:tcPr>
          <w:p w14:paraId="60A440C8" w14:textId="77777777" w:rsidR="007D1E74" w:rsidRDefault="00A95641">
            <w:pPr>
              <w:jc w:val="center"/>
              <w:rPr>
                <w:rFonts w:cs="Times New Roman"/>
                <w:szCs w:val="21"/>
              </w:rPr>
            </w:pPr>
            <w:r>
              <w:rPr>
                <w:rFonts w:cs="Times New Roman"/>
                <w:szCs w:val="21"/>
              </w:rPr>
              <w:t>事故后果预测</w:t>
            </w:r>
          </w:p>
        </w:tc>
      </w:tr>
      <w:tr w:rsidR="007D1E74" w14:paraId="4A1461F6" w14:textId="77777777">
        <w:tc>
          <w:tcPr>
            <w:tcW w:w="988" w:type="dxa"/>
            <w:vMerge w:val="restart"/>
            <w:vAlign w:val="center"/>
          </w:tcPr>
          <w:p w14:paraId="3C2F7FDB" w14:textId="77777777" w:rsidR="007D1E74" w:rsidRDefault="00A95641">
            <w:pPr>
              <w:jc w:val="center"/>
              <w:rPr>
                <w:rFonts w:cs="Times New Roman"/>
                <w:szCs w:val="21"/>
              </w:rPr>
            </w:pPr>
            <w:r>
              <w:rPr>
                <w:rFonts w:cs="Times New Roman"/>
                <w:szCs w:val="21"/>
              </w:rPr>
              <w:t>大气</w:t>
            </w:r>
          </w:p>
        </w:tc>
        <w:tc>
          <w:tcPr>
            <w:tcW w:w="1134" w:type="dxa"/>
            <w:vAlign w:val="center"/>
          </w:tcPr>
          <w:p w14:paraId="0548D332" w14:textId="77777777" w:rsidR="007D1E74" w:rsidRDefault="00A95641">
            <w:pPr>
              <w:jc w:val="center"/>
              <w:rPr>
                <w:rFonts w:cs="Times New Roman"/>
                <w:szCs w:val="21"/>
              </w:rPr>
            </w:pPr>
            <w:r>
              <w:rPr>
                <w:rFonts w:cs="Times New Roman"/>
                <w:szCs w:val="21"/>
              </w:rPr>
              <w:t>危险物质</w:t>
            </w:r>
          </w:p>
        </w:tc>
        <w:tc>
          <w:tcPr>
            <w:tcW w:w="6894" w:type="dxa"/>
            <w:gridSpan w:val="7"/>
            <w:vAlign w:val="center"/>
          </w:tcPr>
          <w:p w14:paraId="55DAE873" w14:textId="77777777" w:rsidR="007D1E74" w:rsidRDefault="00A95641">
            <w:pPr>
              <w:jc w:val="center"/>
              <w:rPr>
                <w:rFonts w:cs="Times New Roman"/>
                <w:szCs w:val="21"/>
              </w:rPr>
            </w:pPr>
            <w:r>
              <w:rPr>
                <w:rFonts w:cs="Times New Roman"/>
                <w:szCs w:val="21"/>
              </w:rPr>
              <w:t>大气环境影响</w:t>
            </w:r>
          </w:p>
        </w:tc>
      </w:tr>
      <w:tr w:rsidR="007D1E74" w14:paraId="5F17E39C" w14:textId="77777777">
        <w:tc>
          <w:tcPr>
            <w:tcW w:w="988" w:type="dxa"/>
            <w:vMerge/>
            <w:vAlign w:val="center"/>
          </w:tcPr>
          <w:p w14:paraId="0AFF0093" w14:textId="77777777" w:rsidR="007D1E74" w:rsidRDefault="007D1E74">
            <w:pPr>
              <w:jc w:val="center"/>
              <w:rPr>
                <w:rFonts w:cs="Times New Roman"/>
                <w:szCs w:val="21"/>
              </w:rPr>
            </w:pPr>
          </w:p>
        </w:tc>
        <w:tc>
          <w:tcPr>
            <w:tcW w:w="1134" w:type="dxa"/>
            <w:vMerge w:val="restart"/>
            <w:vAlign w:val="center"/>
          </w:tcPr>
          <w:p w14:paraId="73C5B196" w14:textId="77777777" w:rsidR="007D1E74" w:rsidRDefault="00A95641">
            <w:pPr>
              <w:jc w:val="center"/>
              <w:rPr>
                <w:rFonts w:cs="Times New Roman"/>
                <w:szCs w:val="21"/>
              </w:rPr>
            </w:pPr>
            <w:r>
              <w:rPr>
                <w:rFonts w:cs="Times New Roman"/>
                <w:szCs w:val="21"/>
              </w:rPr>
              <w:t>甲烷</w:t>
            </w:r>
          </w:p>
        </w:tc>
        <w:tc>
          <w:tcPr>
            <w:tcW w:w="1559" w:type="dxa"/>
            <w:vAlign w:val="center"/>
          </w:tcPr>
          <w:p w14:paraId="023AAB73" w14:textId="77777777" w:rsidR="007D1E74" w:rsidRDefault="00A95641">
            <w:pPr>
              <w:jc w:val="center"/>
              <w:rPr>
                <w:rFonts w:cs="Times New Roman"/>
                <w:szCs w:val="21"/>
              </w:rPr>
            </w:pPr>
            <w:r>
              <w:rPr>
                <w:rFonts w:cs="Times New Roman"/>
                <w:szCs w:val="21"/>
              </w:rPr>
              <w:t>指标</w:t>
            </w:r>
          </w:p>
        </w:tc>
        <w:tc>
          <w:tcPr>
            <w:tcW w:w="1778" w:type="dxa"/>
            <w:gridSpan w:val="2"/>
            <w:vAlign w:val="center"/>
          </w:tcPr>
          <w:p w14:paraId="1FD01A3E" w14:textId="77777777" w:rsidR="007D1E74" w:rsidRDefault="00A95641">
            <w:pPr>
              <w:jc w:val="center"/>
              <w:rPr>
                <w:rFonts w:cs="Times New Roman"/>
                <w:szCs w:val="21"/>
              </w:rPr>
            </w:pPr>
            <w:r>
              <w:rPr>
                <w:rFonts w:cs="Times New Roman"/>
                <w:szCs w:val="21"/>
              </w:rPr>
              <w:t>浓度值</w:t>
            </w:r>
            <w:r>
              <w:rPr>
                <w:rFonts w:cs="Times New Roman" w:hint="eastAsia"/>
                <w:szCs w:val="21"/>
              </w:rPr>
              <w:t>/</w:t>
            </w:r>
            <w:r>
              <w:rPr>
                <w:rFonts w:cs="Times New Roman"/>
                <w:szCs w:val="21"/>
              </w:rPr>
              <w:t>(mg/m</w:t>
            </w:r>
            <w:r>
              <w:rPr>
                <w:rFonts w:cs="Times New Roman"/>
                <w:szCs w:val="21"/>
                <w:vertAlign w:val="superscript"/>
              </w:rPr>
              <w:t>3</w:t>
            </w:r>
            <w:r>
              <w:rPr>
                <w:rFonts w:cs="Times New Roman"/>
                <w:szCs w:val="21"/>
              </w:rPr>
              <w:t>)</w:t>
            </w:r>
          </w:p>
        </w:tc>
        <w:tc>
          <w:tcPr>
            <w:tcW w:w="1778" w:type="dxa"/>
            <w:gridSpan w:val="2"/>
            <w:vAlign w:val="center"/>
          </w:tcPr>
          <w:p w14:paraId="0D8B9099" w14:textId="77777777" w:rsidR="007D1E74" w:rsidRDefault="00A95641">
            <w:pPr>
              <w:jc w:val="center"/>
              <w:rPr>
                <w:rFonts w:cs="Times New Roman"/>
                <w:szCs w:val="21"/>
              </w:rPr>
            </w:pPr>
            <w:r>
              <w:rPr>
                <w:rFonts w:cs="Times New Roman" w:hint="eastAsia"/>
                <w:szCs w:val="21"/>
              </w:rPr>
              <w:t>最远影响距离</w:t>
            </w:r>
            <w:r>
              <w:rPr>
                <w:rFonts w:cs="Times New Roman" w:hint="eastAsia"/>
                <w:szCs w:val="21"/>
              </w:rPr>
              <w:t>/</w:t>
            </w:r>
            <w:r>
              <w:rPr>
                <w:rFonts w:cs="Times New Roman"/>
                <w:szCs w:val="21"/>
              </w:rPr>
              <w:t>m</w:t>
            </w:r>
          </w:p>
        </w:tc>
        <w:tc>
          <w:tcPr>
            <w:tcW w:w="1779" w:type="dxa"/>
            <w:gridSpan w:val="2"/>
            <w:vAlign w:val="center"/>
          </w:tcPr>
          <w:p w14:paraId="3E37006B" w14:textId="77777777" w:rsidR="007D1E74" w:rsidRDefault="00A95641">
            <w:pPr>
              <w:jc w:val="center"/>
              <w:rPr>
                <w:rFonts w:cs="Times New Roman"/>
                <w:szCs w:val="21"/>
              </w:rPr>
            </w:pPr>
            <w:r>
              <w:rPr>
                <w:rFonts w:cs="Times New Roman"/>
                <w:szCs w:val="21"/>
              </w:rPr>
              <w:t>到达时间</w:t>
            </w:r>
            <w:r>
              <w:rPr>
                <w:rFonts w:cs="Times New Roman" w:hint="eastAsia"/>
                <w:szCs w:val="21"/>
              </w:rPr>
              <w:t>/</w:t>
            </w:r>
            <w:r>
              <w:rPr>
                <w:rFonts w:cs="Times New Roman"/>
                <w:szCs w:val="21"/>
              </w:rPr>
              <w:t>min</w:t>
            </w:r>
          </w:p>
        </w:tc>
      </w:tr>
      <w:tr w:rsidR="007D1E74" w14:paraId="73B0348D" w14:textId="77777777">
        <w:tc>
          <w:tcPr>
            <w:tcW w:w="988" w:type="dxa"/>
            <w:vMerge/>
            <w:vAlign w:val="center"/>
          </w:tcPr>
          <w:p w14:paraId="3283B03D" w14:textId="77777777" w:rsidR="007D1E74" w:rsidRDefault="007D1E74">
            <w:pPr>
              <w:jc w:val="center"/>
              <w:rPr>
                <w:rFonts w:cs="Times New Roman"/>
                <w:szCs w:val="21"/>
              </w:rPr>
            </w:pPr>
          </w:p>
        </w:tc>
        <w:tc>
          <w:tcPr>
            <w:tcW w:w="1134" w:type="dxa"/>
            <w:vMerge/>
            <w:vAlign w:val="center"/>
          </w:tcPr>
          <w:p w14:paraId="010CE277" w14:textId="77777777" w:rsidR="007D1E74" w:rsidRDefault="007D1E74">
            <w:pPr>
              <w:jc w:val="center"/>
              <w:rPr>
                <w:rFonts w:cs="Times New Roman"/>
                <w:szCs w:val="21"/>
              </w:rPr>
            </w:pPr>
          </w:p>
        </w:tc>
        <w:tc>
          <w:tcPr>
            <w:tcW w:w="1559" w:type="dxa"/>
            <w:vAlign w:val="center"/>
          </w:tcPr>
          <w:p w14:paraId="66589B96" w14:textId="77777777" w:rsidR="007D1E74" w:rsidRDefault="00A95641">
            <w:pPr>
              <w:jc w:val="center"/>
              <w:rPr>
                <w:rFonts w:cs="Times New Roman"/>
                <w:szCs w:val="21"/>
              </w:rPr>
            </w:pPr>
            <w:r>
              <w:rPr>
                <w:rFonts w:cs="Times New Roman"/>
                <w:szCs w:val="21"/>
              </w:rPr>
              <w:t>大气毒性终点浓度</w:t>
            </w:r>
            <w:r>
              <w:rPr>
                <w:rFonts w:cs="Times New Roman"/>
                <w:szCs w:val="21"/>
              </w:rPr>
              <w:t>-1</w:t>
            </w:r>
          </w:p>
        </w:tc>
        <w:tc>
          <w:tcPr>
            <w:tcW w:w="1778" w:type="dxa"/>
            <w:gridSpan w:val="2"/>
            <w:vAlign w:val="center"/>
          </w:tcPr>
          <w:p w14:paraId="7055B7B6" w14:textId="77777777" w:rsidR="007D1E74" w:rsidRDefault="00A95641">
            <w:pPr>
              <w:jc w:val="center"/>
              <w:rPr>
                <w:rFonts w:cs="Times New Roman"/>
                <w:szCs w:val="21"/>
              </w:rPr>
            </w:pPr>
            <w:r>
              <w:rPr>
                <w:rFonts w:cs="Times New Roman" w:hint="eastAsia"/>
                <w:szCs w:val="21"/>
              </w:rPr>
              <w:t>2</w:t>
            </w:r>
            <w:r>
              <w:rPr>
                <w:rFonts w:cs="Times New Roman"/>
                <w:szCs w:val="21"/>
              </w:rPr>
              <w:t>60000</w:t>
            </w:r>
          </w:p>
        </w:tc>
        <w:tc>
          <w:tcPr>
            <w:tcW w:w="1778" w:type="dxa"/>
            <w:gridSpan w:val="2"/>
            <w:vAlign w:val="center"/>
          </w:tcPr>
          <w:p w14:paraId="2375ADD7" w14:textId="77777777" w:rsidR="007D1E74" w:rsidRDefault="00A95641">
            <w:pPr>
              <w:jc w:val="center"/>
              <w:rPr>
                <w:rFonts w:cs="Times New Roman"/>
                <w:szCs w:val="21"/>
              </w:rPr>
            </w:pPr>
            <w:r>
              <w:rPr>
                <w:rFonts w:cs="Times New Roman" w:hint="eastAsia"/>
                <w:szCs w:val="21"/>
              </w:rPr>
              <w:t>/</w:t>
            </w:r>
          </w:p>
        </w:tc>
        <w:tc>
          <w:tcPr>
            <w:tcW w:w="1779" w:type="dxa"/>
            <w:gridSpan w:val="2"/>
            <w:vAlign w:val="center"/>
          </w:tcPr>
          <w:p w14:paraId="749ADA28" w14:textId="77777777" w:rsidR="007D1E74" w:rsidRDefault="00A95641">
            <w:pPr>
              <w:jc w:val="center"/>
              <w:rPr>
                <w:rFonts w:cs="Times New Roman"/>
                <w:szCs w:val="21"/>
              </w:rPr>
            </w:pPr>
            <w:r>
              <w:rPr>
                <w:rFonts w:cs="Times New Roman" w:hint="eastAsia"/>
                <w:szCs w:val="21"/>
              </w:rPr>
              <w:t>/</w:t>
            </w:r>
          </w:p>
        </w:tc>
      </w:tr>
      <w:tr w:rsidR="007D1E74" w14:paraId="631D671F" w14:textId="77777777">
        <w:tc>
          <w:tcPr>
            <w:tcW w:w="988" w:type="dxa"/>
            <w:vMerge/>
            <w:vAlign w:val="center"/>
          </w:tcPr>
          <w:p w14:paraId="49DD0786" w14:textId="77777777" w:rsidR="007D1E74" w:rsidRDefault="007D1E74">
            <w:pPr>
              <w:jc w:val="center"/>
              <w:rPr>
                <w:rFonts w:cs="Times New Roman"/>
                <w:szCs w:val="21"/>
              </w:rPr>
            </w:pPr>
          </w:p>
        </w:tc>
        <w:tc>
          <w:tcPr>
            <w:tcW w:w="1134" w:type="dxa"/>
            <w:vMerge/>
            <w:vAlign w:val="center"/>
          </w:tcPr>
          <w:p w14:paraId="3F7674B9" w14:textId="77777777" w:rsidR="007D1E74" w:rsidRDefault="007D1E74">
            <w:pPr>
              <w:jc w:val="center"/>
              <w:rPr>
                <w:rFonts w:cs="Times New Roman"/>
                <w:szCs w:val="21"/>
              </w:rPr>
            </w:pPr>
          </w:p>
        </w:tc>
        <w:tc>
          <w:tcPr>
            <w:tcW w:w="1559" w:type="dxa"/>
            <w:vAlign w:val="center"/>
          </w:tcPr>
          <w:p w14:paraId="3E68BD44" w14:textId="77777777" w:rsidR="007D1E74" w:rsidRDefault="00A95641">
            <w:pPr>
              <w:jc w:val="center"/>
              <w:rPr>
                <w:rFonts w:cs="Times New Roman"/>
                <w:szCs w:val="21"/>
              </w:rPr>
            </w:pPr>
            <w:r>
              <w:rPr>
                <w:rFonts w:cs="Times New Roman"/>
                <w:szCs w:val="21"/>
              </w:rPr>
              <w:t>大气毒性终点浓度</w:t>
            </w:r>
            <w:r>
              <w:rPr>
                <w:rFonts w:cs="Times New Roman"/>
                <w:szCs w:val="21"/>
              </w:rPr>
              <w:t>-2</w:t>
            </w:r>
          </w:p>
        </w:tc>
        <w:tc>
          <w:tcPr>
            <w:tcW w:w="1778" w:type="dxa"/>
            <w:gridSpan w:val="2"/>
            <w:vAlign w:val="center"/>
          </w:tcPr>
          <w:p w14:paraId="5331AE4C" w14:textId="77777777" w:rsidR="007D1E74" w:rsidRDefault="00A95641">
            <w:pPr>
              <w:jc w:val="center"/>
              <w:rPr>
                <w:rFonts w:cs="Times New Roman"/>
                <w:szCs w:val="21"/>
              </w:rPr>
            </w:pPr>
            <w:r>
              <w:rPr>
                <w:rFonts w:cs="Times New Roman" w:hint="eastAsia"/>
                <w:szCs w:val="21"/>
              </w:rPr>
              <w:t>1</w:t>
            </w:r>
            <w:r>
              <w:rPr>
                <w:rFonts w:cs="Times New Roman"/>
                <w:szCs w:val="21"/>
              </w:rPr>
              <w:t>50000</w:t>
            </w:r>
          </w:p>
        </w:tc>
        <w:tc>
          <w:tcPr>
            <w:tcW w:w="1778" w:type="dxa"/>
            <w:gridSpan w:val="2"/>
            <w:vAlign w:val="center"/>
          </w:tcPr>
          <w:p w14:paraId="33F87639" w14:textId="77777777" w:rsidR="007D1E74" w:rsidRDefault="00A95641">
            <w:pPr>
              <w:jc w:val="center"/>
              <w:rPr>
                <w:rFonts w:cs="Times New Roman"/>
                <w:szCs w:val="21"/>
              </w:rPr>
            </w:pPr>
            <w:r>
              <w:rPr>
                <w:rFonts w:cs="Times New Roman" w:hint="eastAsia"/>
                <w:szCs w:val="21"/>
              </w:rPr>
              <w:t>/</w:t>
            </w:r>
          </w:p>
        </w:tc>
        <w:tc>
          <w:tcPr>
            <w:tcW w:w="1779" w:type="dxa"/>
            <w:gridSpan w:val="2"/>
            <w:vAlign w:val="center"/>
          </w:tcPr>
          <w:p w14:paraId="5DDC2FAA" w14:textId="77777777" w:rsidR="007D1E74" w:rsidRDefault="00A95641">
            <w:pPr>
              <w:jc w:val="center"/>
              <w:rPr>
                <w:rFonts w:cs="Times New Roman"/>
                <w:szCs w:val="21"/>
              </w:rPr>
            </w:pPr>
            <w:r>
              <w:rPr>
                <w:rFonts w:cs="Times New Roman" w:hint="eastAsia"/>
                <w:szCs w:val="21"/>
              </w:rPr>
              <w:t>/</w:t>
            </w:r>
          </w:p>
        </w:tc>
      </w:tr>
      <w:tr w:rsidR="007D1E74" w14:paraId="68F0896B" w14:textId="77777777">
        <w:tc>
          <w:tcPr>
            <w:tcW w:w="988" w:type="dxa"/>
            <w:vMerge/>
            <w:vAlign w:val="center"/>
          </w:tcPr>
          <w:p w14:paraId="7A09EC58" w14:textId="77777777" w:rsidR="007D1E74" w:rsidRDefault="007D1E74">
            <w:pPr>
              <w:jc w:val="center"/>
              <w:rPr>
                <w:rFonts w:cs="Times New Roman"/>
                <w:szCs w:val="21"/>
              </w:rPr>
            </w:pPr>
          </w:p>
        </w:tc>
        <w:tc>
          <w:tcPr>
            <w:tcW w:w="1134" w:type="dxa"/>
            <w:vMerge/>
            <w:vAlign w:val="center"/>
          </w:tcPr>
          <w:p w14:paraId="69BCF53C" w14:textId="77777777" w:rsidR="007D1E74" w:rsidRDefault="007D1E74">
            <w:pPr>
              <w:jc w:val="center"/>
              <w:rPr>
                <w:rFonts w:cs="Times New Roman"/>
                <w:szCs w:val="21"/>
              </w:rPr>
            </w:pPr>
          </w:p>
        </w:tc>
        <w:tc>
          <w:tcPr>
            <w:tcW w:w="1559" w:type="dxa"/>
            <w:vAlign w:val="center"/>
          </w:tcPr>
          <w:p w14:paraId="1118F603" w14:textId="77777777" w:rsidR="007D1E74" w:rsidRDefault="00A95641">
            <w:pPr>
              <w:jc w:val="center"/>
              <w:rPr>
                <w:rFonts w:cs="Times New Roman"/>
                <w:szCs w:val="21"/>
              </w:rPr>
            </w:pPr>
            <w:r>
              <w:rPr>
                <w:rFonts w:cs="Times New Roman"/>
                <w:szCs w:val="21"/>
              </w:rPr>
              <w:t>敏感目标名称</w:t>
            </w:r>
          </w:p>
        </w:tc>
        <w:tc>
          <w:tcPr>
            <w:tcW w:w="1778" w:type="dxa"/>
            <w:gridSpan w:val="2"/>
            <w:vAlign w:val="center"/>
          </w:tcPr>
          <w:p w14:paraId="05A28432" w14:textId="77777777" w:rsidR="007D1E74" w:rsidRDefault="00A95641">
            <w:pPr>
              <w:jc w:val="center"/>
              <w:rPr>
                <w:rFonts w:cs="Times New Roman"/>
                <w:szCs w:val="21"/>
              </w:rPr>
            </w:pPr>
            <w:r>
              <w:rPr>
                <w:rFonts w:cs="Times New Roman"/>
                <w:szCs w:val="21"/>
              </w:rPr>
              <w:t>超标时间</w:t>
            </w:r>
            <w:r>
              <w:rPr>
                <w:rFonts w:cs="Times New Roman" w:hint="eastAsia"/>
                <w:szCs w:val="21"/>
              </w:rPr>
              <w:t>/</w:t>
            </w:r>
            <w:r>
              <w:rPr>
                <w:rFonts w:cs="Times New Roman"/>
                <w:szCs w:val="21"/>
              </w:rPr>
              <w:t>min</w:t>
            </w:r>
          </w:p>
        </w:tc>
        <w:tc>
          <w:tcPr>
            <w:tcW w:w="1778" w:type="dxa"/>
            <w:gridSpan w:val="2"/>
            <w:vAlign w:val="center"/>
          </w:tcPr>
          <w:p w14:paraId="46B620FF" w14:textId="77777777" w:rsidR="007D1E74" w:rsidRDefault="00A95641">
            <w:pPr>
              <w:jc w:val="center"/>
              <w:rPr>
                <w:rFonts w:cs="Times New Roman"/>
                <w:szCs w:val="21"/>
              </w:rPr>
            </w:pPr>
            <w:r>
              <w:rPr>
                <w:rFonts w:cs="Times New Roman" w:hint="eastAsia"/>
                <w:szCs w:val="21"/>
              </w:rPr>
              <w:t>超标</w:t>
            </w:r>
            <w:r>
              <w:rPr>
                <w:rFonts w:cs="Times New Roman"/>
                <w:szCs w:val="21"/>
              </w:rPr>
              <w:t>持续时间</w:t>
            </w:r>
            <w:r>
              <w:rPr>
                <w:rFonts w:cs="Times New Roman" w:hint="eastAsia"/>
                <w:szCs w:val="21"/>
              </w:rPr>
              <w:t>/</w:t>
            </w:r>
            <w:r>
              <w:rPr>
                <w:rFonts w:cs="Times New Roman"/>
                <w:szCs w:val="21"/>
              </w:rPr>
              <w:t>min</w:t>
            </w:r>
          </w:p>
        </w:tc>
        <w:tc>
          <w:tcPr>
            <w:tcW w:w="1779" w:type="dxa"/>
            <w:gridSpan w:val="2"/>
            <w:vAlign w:val="center"/>
          </w:tcPr>
          <w:p w14:paraId="541C9E44" w14:textId="77777777" w:rsidR="007D1E74" w:rsidRDefault="00A95641">
            <w:pPr>
              <w:jc w:val="center"/>
              <w:rPr>
                <w:rFonts w:cs="Times New Roman"/>
                <w:szCs w:val="21"/>
              </w:rPr>
            </w:pPr>
            <w:r>
              <w:rPr>
                <w:rFonts w:cs="Times New Roman"/>
                <w:szCs w:val="21"/>
              </w:rPr>
              <w:t>最大浓度</w:t>
            </w:r>
            <w:r>
              <w:rPr>
                <w:rFonts w:cs="Times New Roman" w:hint="eastAsia"/>
                <w:szCs w:val="21"/>
              </w:rPr>
              <w:t>/</w:t>
            </w:r>
            <w:r>
              <w:rPr>
                <w:rFonts w:cs="Times New Roman"/>
                <w:szCs w:val="21"/>
              </w:rPr>
              <w:t>(mg/m</w:t>
            </w:r>
            <w:r>
              <w:rPr>
                <w:rFonts w:cs="Times New Roman"/>
                <w:szCs w:val="21"/>
                <w:vertAlign w:val="superscript"/>
              </w:rPr>
              <w:t>3</w:t>
            </w:r>
            <w:r>
              <w:rPr>
                <w:rFonts w:cs="Times New Roman"/>
                <w:szCs w:val="21"/>
              </w:rPr>
              <w:t>)</w:t>
            </w:r>
          </w:p>
        </w:tc>
      </w:tr>
      <w:tr w:rsidR="007D1E74" w14:paraId="1325C35B" w14:textId="77777777">
        <w:tc>
          <w:tcPr>
            <w:tcW w:w="988" w:type="dxa"/>
            <w:vMerge/>
            <w:vAlign w:val="center"/>
          </w:tcPr>
          <w:p w14:paraId="6ED4AB3B" w14:textId="77777777" w:rsidR="007D1E74" w:rsidRDefault="007D1E74">
            <w:pPr>
              <w:jc w:val="center"/>
              <w:rPr>
                <w:rFonts w:cs="Times New Roman"/>
                <w:szCs w:val="21"/>
              </w:rPr>
            </w:pPr>
          </w:p>
        </w:tc>
        <w:tc>
          <w:tcPr>
            <w:tcW w:w="1134" w:type="dxa"/>
            <w:vMerge/>
            <w:vAlign w:val="center"/>
          </w:tcPr>
          <w:p w14:paraId="6FB9DCB5" w14:textId="77777777" w:rsidR="007D1E74" w:rsidRDefault="007D1E74">
            <w:pPr>
              <w:jc w:val="center"/>
              <w:rPr>
                <w:rFonts w:cs="Times New Roman"/>
                <w:szCs w:val="21"/>
              </w:rPr>
            </w:pPr>
          </w:p>
        </w:tc>
        <w:tc>
          <w:tcPr>
            <w:tcW w:w="1559" w:type="dxa"/>
            <w:vAlign w:val="center"/>
          </w:tcPr>
          <w:p w14:paraId="485509B5" w14:textId="77777777" w:rsidR="007D1E74" w:rsidRDefault="00A95641">
            <w:pPr>
              <w:jc w:val="center"/>
              <w:rPr>
                <w:rFonts w:cs="Times New Roman"/>
                <w:szCs w:val="21"/>
              </w:rPr>
            </w:pPr>
            <w:r>
              <w:rPr>
                <w:rFonts w:cs="Times New Roman" w:hint="eastAsia"/>
                <w:szCs w:val="21"/>
              </w:rPr>
              <w:t>/</w:t>
            </w:r>
          </w:p>
        </w:tc>
        <w:tc>
          <w:tcPr>
            <w:tcW w:w="1778" w:type="dxa"/>
            <w:gridSpan w:val="2"/>
            <w:vAlign w:val="center"/>
          </w:tcPr>
          <w:p w14:paraId="01624BA2" w14:textId="77777777" w:rsidR="007D1E74" w:rsidRDefault="00A95641">
            <w:pPr>
              <w:jc w:val="center"/>
              <w:rPr>
                <w:rFonts w:cs="Times New Roman"/>
                <w:szCs w:val="21"/>
              </w:rPr>
            </w:pPr>
            <w:r>
              <w:rPr>
                <w:rFonts w:cs="Times New Roman" w:hint="eastAsia"/>
                <w:szCs w:val="21"/>
              </w:rPr>
              <w:t>/</w:t>
            </w:r>
          </w:p>
        </w:tc>
        <w:tc>
          <w:tcPr>
            <w:tcW w:w="1778" w:type="dxa"/>
            <w:gridSpan w:val="2"/>
            <w:vAlign w:val="center"/>
          </w:tcPr>
          <w:p w14:paraId="32FC4864" w14:textId="77777777" w:rsidR="007D1E74" w:rsidRDefault="00A95641">
            <w:pPr>
              <w:jc w:val="center"/>
              <w:rPr>
                <w:rFonts w:cs="Times New Roman"/>
                <w:szCs w:val="21"/>
              </w:rPr>
            </w:pPr>
            <w:r>
              <w:rPr>
                <w:rFonts w:cs="Times New Roman" w:hint="eastAsia"/>
                <w:szCs w:val="21"/>
              </w:rPr>
              <w:t>/</w:t>
            </w:r>
          </w:p>
        </w:tc>
        <w:tc>
          <w:tcPr>
            <w:tcW w:w="1779" w:type="dxa"/>
            <w:gridSpan w:val="2"/>
            <w:vAlign w:val="center"/>
          </w:tcPr>
          <w:p w14:paraId="1371E332" w14:textId="77777777" w:rsidR="007D1E74" w:rsidRDefault="00A95641">
            <w:pPr>
              <w:jc w:val="center"/>
              <w:rPr>
                <w:rFonts w:cs="Times New Roman"/>
                <w:szCs w:val="21"/>
              </w:rPr>
            </w:pPr>
            <w:r>
              <w:rPr>
                <w:rFonts w:cs="Times New Roman" w:hint="eastAsia"/>
                <w:szCs w:val="21"/>
              </w:rPr>
              <w:t>/</w:t>
            </w:r>
          </w:p>
        </w:tc>
      </w:tr>
      <w:tr w:rsidR="007D1E74" w14:paraId="2A0C160C" w14:textId="77777777">
        <w:tc>
          <w:tcPr>
            <w:tcW w:w="988" w:type="dxa"/>
            <w:vMerge/>
            <w:vAlign w:val="center"/>
          </w:tcPr>
          <w:p w14:paraId="2AC42F26" w14:textId="77777777" w:rsidR="007D1E74" w:rsidRDefault="007D1E74">
            <w:pPr>
              <w:jc w:val="center"/>
              <w:rPr>
                <w:rFonts w:cs="Times New Roman"/>
                <w:szCs w:val="21"/>
              </w:rPr>
            </w:pPr>
          </w:p>
        </w:tc>
        <w:tc>
          <w:tcPr>
            <w:tcW w:w="1134" w:type="dxa"/>
            <w:vMerge w:val="restart"/>
            <w:vAlign w:val="center"/>
          </w:tcPr>
          <w:p w14:paraId="43517FA9" w14:textId="77777777" w:rsidR="007D1E74" w:rsidRDefault="00A95641">
            <w:pPr>
              <w:jc w:val="center"/>
              <w:rPr>
                <w:rFonts w:cs="Times New Roman"/>
                <w:szCs w:val="21"/>
              </w:rPr>
            </w:pPr>
            <w:r>
              <w:rPr>
                <w:rFonts w:cs="Times New Roman"/>
                <w:szCs w:val="21"/>
              </w:rPr>
              <w:t>一氧化碳</w:t>
            </w:r>
          </w:p>
        </w:tc>
        <w:tc>
          <w:tcPr>
            <w:tcW w:w="1559" w:type="dxa"/>
            <w:vAlign w:val="center"/>
          </w:tcPr>
          <w:p w14:paraId="289B5717" w14:textId="77777777" w:rsidR="007D1E74" w:rsidRDefault="00A95641">
            <w:pPr>
              <w:jc w:val="center"/>
              <w:rPr>
                <w:rFonts w:cs="Times New Roman"/>
                <w:szCs w:val="21"/>
              </w:rPr>
            </w:pPr>
            <w:r>
              <w:rPr>
                <w:rFonts w:cs="Times New Roman"/>
                <w:szCs w:val="21"/>
              </w:rPr>
              <w:t>指标</w:t>
            </w:r>
          </w:p>
        </w:tc>
        <w:tc>
          <w:tcPr>
            <w:tcW w:w="1778" w:type="dxa"/>
            <w:gridSpan w:val="2"/>
            <w:vAlign w:val="center"/>
          </w:tcPr>
          <w:p w14:paraId="6A68E3AC" w14:textId="77777777" w:rsidR="007D1E74" w:rsidRDefault="00A95641">
            <w:pPr>
              <w:jc w:val="center"/>
              <w:rPr>
                <w:rFonts w:cs="Times New Roman"/>
                <w:szCs w:val="21"/>
              </w:rPr>
            </w:pPr>
            <w:r>
              <w:rPr>
                <w:rFonts w:cs="Times New Roman"/>
                <w:szCs w:val="21"/>
              </w:rPr>
              <w:t>浓度值</w:t>
            </w:r>
            <w:r>
              <w:rPr>
                <w:rFonts w:cs="Times New Roman" w:hint="eastAsia"/>
                <w:szCs w:val="21"/>
              </w:rPr>
              <w:t>/</w:t>
            </w:r>
            <w:r>
              <w:rPr>
                <w:rFonts w:cs="Times New Roman"/>
                <w:szCs w:val="21"/>
              </w:rPr>
              <w:t>(mg/m</w:t>
            </w:r>
            <w:r>
              <w:rPr>
                <w:rFonts w:cs="Times New Roman"/>
                <w:szCs w:val="21"/>
                <w:vertAlign w:val="superscript"/>
              </w:rPr>
              <w:t>3</w:t>
            </w:r>
            <w:r>
              <w:rPr>
                <w:rFonts w:cs="Times New Roman"/>
                <w:szCs w:val="21"/>
              </w:rPr>
              <w:t>)</w:t>
            </w:r>
          </w:p>
        </w:tc>
        <w:tc>
          <w:tcPr>
            <w:tcW w:w="1778" w:type="dxa"/>
            <w:gridSpan w:val="2"/>
            <w:vAlign w:val="center"/>
          </w:tcPr>
          <w:p w14:paraId="54F320EA" w14:textId="77777777" w:rsidR="007D1E74" w:rsidRDefault="00A95641">
            <w:pPr>
              <w:jc w:val="center"/>
              <w:rPr>
                <w:rFonts w:cs="Times New Roman"/>
                <w:szCs w:val="21"/>
              </w:rPr>
            </w:pPr>
            <w:r>
              <w:rPr>
                <w:rFonts w:cs="Times New Roman" w:hint="eastAsia"/>
                <w:szCs w:val="21"/>
              </w:rPr>
              <w:t>最远影响距离</w:t>
            </w:r>
            <w:r>
              <w:rPr>
                <w:rFonts w:cs="Times New Roman" w:hint="eastAsia"/>
                <w:szCs w:val="21"/>
              </w:rPr>
              <w:t>/</w:t>
            </w:r>
            <w:r>
              <w:rPr>
                <w:rFonts w:cs="Times New Roman"/>
                <w:szCs w:val="21"/>
              </w:rPr>
              <w:t>m</w:t>
            </w:r>
          </w:p>
        </w:tc>
        <w:tc>
          <w:tcPr>
            <w:tcW w:w="1779" w:type="dxa"/>
            <w:gridSpan w:val="2"/>
            <w:vAlign w:val="center"/>
          </w:tcPr>
          <w:p w14:paraId="0E428C46" w14:textId="77777777" w:rsidR="007D1E74" w:rsidRDefault="00A95641">
            <w:pPr>
              <w:jc w:val="center"/>
              <w:rPr>
                <w:rFonts w:cs="Times New Roman"/>
                <w:szCs w:val="21"/>
              </w:rPr>
            </w:pPr>
            <w:r>
              <w:rPr>
                <w:rFonts w:cs="Times New Roman"/>
                <w:szCs w:val="21"/>
              </w:rPr>
              <w:t>到达时间</w:t>
            </w:r>
            <w:r>
              <w:rPr>
                <w:rFonts w:cs="Times New Roman" w:hint="eastAsia"/>
                <w:szCs w:val="21"/>
              </w:rPr>
              <w:t>/</w:t>
            </w:r>
            <w:r>
              <w:rPr>
                <w:rFonts w:cs="Times New Roman"/>
                <w:szCs w:val="21"/>
              </w:rPr>
              <w:t>min</w:t>
            </w:r>
          </w:p>
        </w:tc>
      </w:tr>
      <w:tr w:rsidR="007D1E74" w14:paraId="6CF9DD75" w14:textId="77777777">
        <w:tc>
          <w:tcPr>
            <w:tcW w:w="988" w:type="dxa"/>
            <w:vMerge/>
            <w:vAlign w:val="center"/>
          </w:tcPr>
          <w:p w14:paraId="2CB6A22D" w14:textId="77777777" w:rsidR="007D1E74" w:rsidRDefault="007D1E74">
            <w:pPr>
              <w:jc w:val="center"/>
              <w:rPr>
                <w:rFonts w:cs="Times New Roman"/>
                <w:szCs w:val="21"/>
              </w:rPr>
            </w:pPr>
          </w:p>
        </w:tc>
        <w:tc>
          <w:tcPr>
            <w:tcW w:w="1134" w:type="dxa"/>
            <w:vMerge/>
            <w:vAlign w:val="center"/>
          </w:tcPr>
          <w:p w14:paraId="75786DB0" w14:textId="77777777" w:rsidR="007D1E74" w:rsidRDefault="007D1E74">
            <w:pPr>
              <w:jc w:val="center"/>
              <w:rPr>
                <w:rFonts w:cs="Times New Roman"/>
                <w:szCs w:val="21"/>
              </w:rPr>
            </w:pPr>
          </w:p>
        </w:tc>
        <w:tc>
          <w:tcPr>
            <w:tcW w:w="1559" w:type="dxa"/>
            <w:vAlign w:val="center"/>
          </w:tcPr>
          <w:p w14:paraId="2814F4DF" w14:textId="77777777" w:rsidR="007D1E74" w:rsidRDefault="00A95641">
            <w:pPr>
              <w:jc w:val="center"/>
              <w:rPr>
                <w:rFonts w:cs="Times New Roman"/>
                <w:szCs w:val="21"/>
              </w:rPr>
            </w:pPr>
            <w:r>
              <w:rPr>
                <w:rFonts w:cs="Times New Roman"/>
                <w:szCs w:val="21"/>
              </w:rPr>
              <w:t>大气毒性终点浓度</w:t>
            </w:r>
            <w:r>
              <w:rPr>
                <w:rFonts w:cs="Times New Roman"/>
                <w:szCs w:val="21"/>
              </w:rPr>
              <w:t>-1</w:t>
            </w:r>
          </w:p>
        </w:tc>
        <w:tc>
          <w:tcPr>
            <w:tcW w:w="1778" w:type="dxa"/>
            <w:gridSpan w:val="2"/>
            <w:vAlign w:val="center"/>
          </w:tcPr>
          <w:p w14:paraId="4702D345" w14:textId="77777777" w:rsidR="007D1E74" w:rsidRDefault="00A95641">
            <w:pPr>
              <w:jc w:val="center"/>
              <w:rPr>
                <w:rFonts w:cs="Times New Roman"/>
                <w:szCs w:val="21"/>
              </w:rPr>
            </w:pPr>
            <w:r>
              <w:rPr>
                <w:rFonts w:cs="Times New Roman" w:hint="eastAsia"/>
                <w:szCs w:val="21"/>
              </w:rPr>
              <w:t>3</w:t>
            </w:r>
            <w:r>
              <w:rPr>
                <w:rFonts w:cs="Times New Roman"/>
                <w:szCs w:val="21"/>
              </w:rPr>
              <w:t>80</w:t>
            </w:r>
          </w:p>
        </w:tc>
        <w:tc>
          <w:tcPr>
            <w:tcW w:w="1778" w:type="dxa"/>
            <w:gridSpan w:val="2"/>
            <w:vAlign w:val="center"/>
          </w:tcPr>
          <w:p w14:paraId="526FEA1D" w14:textId="77777777" w:rsidR="007D1E74" w:rsidRDefault="00A95641">
            <w:pPr>
              <w:jc w:val="center"/>
              <w:rPr>
                <w:rFonts w:cs="Times New Roman"/>
                <w:szCs w:val="21"/>
              </w:rPr>
            </w:pPr>
            <w:r>
              <w:rPr>
                <w:rFonts w:cs="Times New Roman" w:hint="eastAsia"/>
                <w:szCs w:val="21"/>
              </w:rPr>
              <w:t>/</w:t>
            </w:r>
          </w:p>
        </w:tc>
        <w:tc>
          <w:tcPr>
            <w:tcW w:w="1779" w:type="dxa"/>
            <w:gridSpan w:val="2"/>
            <w:vAlign w:val="center"/>
          </w:tcPr>
          <w:p w14:paraId="2A753187" w14:textId="77777777" w:rsidR="007D1E74" w:rsidRDefault="00A95641">
            <w:pPr>
              <w:jc w:val="center"/>
              <w:rPr>
                <w:rFonts w:cs="Times New Roman"/>
                <w:szCs w:val="21"/>
              </w:rPr>
            </w:pPr>
            <w:r>
              <w:rPr>
                <w:rFonts w:cs="Times New Roman" w:hint="eastAsia"/>
                <w:szCs w:val="21"/>
              </w:rPr>
              <w:t>/</w:t>
            </w:r>
          </w:p>
        </w:tc>
      </w:tr>
      <w:tr w:rsidR="007D1E74" w14:paraId="05EDDB78" w14:textId="77777777">
        <w:tc>
          <w:tcPr>
            <w:tcW w:w="988" w:type="dxa"/>
            <w:vMerge/>
            <w:vAlign w:val="center"/>
          </w:tcPr>
          <w:p w14:paraId="48B1D467" w14:textId="77777777" w:rsidR="007D1E74" w:rsidRDefault="007D1E74">
            <w:pPr>
              <w:jc w:val="center"/>
              <w:rPr>
                <w:rFonts w:cs="Times New Roman"/>
                <w:szCs w:val="21"/>
              </w:rPr>
            </w:pPr>
          </w:p>
        </w:tc>
        <w:tc>
          <w:tcPr>
            <w:tcW w:w="1134" w:type="dxa"/>
            <w:vMerge/>
            <w:vAlign w:val="center"/>
          </w:tcPr>
          <w:p w14:paraId="692E59D8" w14:textId="77777777" w:rsidR="007D1E74" w:rsidRDefault="007D1E74">
            <w:pPr>
              <w:jc w:val="center"/>
              <w:rPr>
                <w:rFonts w:cs="Times New Roman"/>
                <w:szCs w:val="21"/>
              </w:rPr>
            </w:pPr>
          </w:p>
        </w:tc>
        <w:tc>
          <w:tcPr>
            <w:tcW w:w="1559" w:type="dxa"/>
            <w:vAlign w:val="center"/>
          </w:tcPr>
          <w:p w14:paraId="323998EC" w14:textId="77777777" w:rsidR="007D1E74" w:rsidRDefault="00A95641">
            <w:pPr>
              <w:jc w:val="center"/>
              <w:rPr>
                <w:rFonts w:cs="Times New Roman"/>
                <w:szCs w:val="21"/>
              </w:rPr>
            </w:pPr>
            <w:r>
              <w:rPr>
                <w:rFonts w:cs="Times New Roman"/>
                <w:szCs w:val="21"/>
              </w:rPr>
              <w:t>大气毒性终点浓度</w:t>
            </w:r>
            <w:r>
              <w:rPr>
                <w:rFonts w:cs="Times New Roman"/>
                <w:szCs w:val="21"/>
              </w:rPr>
              <w:t>-2</w:t>
            </w:r>
          </w:p>
        </w:tc>
        <w:tc>
          <w:tcPr>
            <w:tcW w:w="1778" w:type="dxa"/>
            <w:gridSpan w:val="2"/>
            <w:vAlign w:val="center"/>
          </w:tcPr>
          <w:p w14:paraId="66AC6D53" w14:textId="77777777" w:rsidR="007D1E74" w:rsidRDefault="00A95641">
            <w:pPr>
              <w:jc w:val="center"/>
              <w:rPr>
                <w:rFonts w:cs="Times New Roman"/>
                <w:szCs w:val="21"/>
              </w:rPr>
            </w:pPr>
            <w:r>
              <w:rPr>
                <w:rFonts w:cs="Times New Roman" w:hint="eastAsia"/>
                <w:szCs w:val="21"/>
              </w:rPr>
              <w:t>9</w:t>
            </w:r>
            <w:r>
              <w:rPr>
                <w:rFonts w:cs="Times New Roman"/>
                <w:szCs w:val="21"/>
              </w:rPr>
              <w:t>5</w:t>
            </w:r>
          </w:p>
        </w:tc>
        <w:tc>
          <w:tcPr>
            <w:tcW w:w="1778" w:type="dxa"/>
            <w:gridSpan w:val="2"/>
            <w:vAlign w:val="center"/>
          </w:tcPr>
          <w:p w14:paraId="7FEAEFF3" w14:textId="77777777" w:rsidR="007D1E74" w:rsidRDefault="00A95641">
            <w:pPr>
              <w:jc w:val="center"/>
              <w:rPr>
                <w:rFonts w:cs="Times New Roman"/>
                <w:szCs w:val="21"/>
              </w:rPr>
            </w:pPr>
            <w:r>
              <w:rPr>
                <w:rFonts w:cs="Times New Roman" w:hint="eastAsia"/>
                <w:szCs w:val="21"/>
              </w:rPr>
              <w:t>/</w:t>
            </w:r>
          </w:p>
        </w:tc>
        <w:tc>
          <w:tcPr>
            <w:tcW w:w="1779" w:type="dxa"/>
            <w:gridSpan w:val="2"/>
            <w:vAlign w:val="center"/>
          </w:tcPr>
          <w:p w14:paraId="73044592" w14:textId="77777777" w:rsidR="007D1E74" w:rsidRDefault="00A95641">
            <w:pPr>
              <w:jc w:val="center"/>
              <w:rPr>
                <w:rFonts w:cs="Times New Roman"/>
                <w:szCs w:val="21"/>
              </w:rPr>
            </w:pPr>
            <w:r>
              <w:rPr>
                <w:rFonts w:cs="Times New Roman" w:hint="eastAsia"/>
                <w:szCs w:val="21"/>
              </w:rPr>
              <w:t>/</w:t>
            </w:r>
          </w:p>
        </w:tc>
      </w:tr>
      <w:tr w:rsidR="007D1E74" w14:paraId="29AD9606" w14:textId="77777777">
        <w:tc>
          <w:tcPr>
            <w:tcW w:w="988" w:type="dxa"/>
            <w:vMerge/>
            <w:vAlign w:val="center"/>
          </w:tcPr>
          <w:p w14:paraId="11092D97" w14:textId="77777777" w:rsidR="007D1E74" w:rsidRDefault="007D1E74">
            <w:pPr>
              <w:jc w:val="center"/>
              <w:rPr>
                <w:rFonts w:cs="Times New Roman"/>
                <w:szCs w:val="21"/>
              </w:rPr>
            </w:pPr>
          </w:p>
        </w:tc>
        <w:tc>
          <w:tcPr>
            <w:tcW w:w="1134" w:type="dxa"/>
            <w:vMerge/>
            <w:vAlign w:val="center"/>
          </w:tcPr>
          <w:p w14:paraId="2826A6AA" w14:textId="77777777" w:rsidR="007D1E74" w:rsidRDefault="007D1E74">
            <w:pPr>
              <w:jc w:val="center"/>
              <w:rPr>
                <w:rFonts w:cs="Times New Roman"/>
                <w:szCs w:val="21"/>
              </w:rPr>
            </w:pPr>
          </w:p>
        </w:tc>
        <w:tc>
          <w:tcPr>
            <w:tcW w:w="1559" w:type="dxa"/>
            <w:vAlign w:val="center"/>
          </w:tcPr>
          <w:p w14:paraId="6DD4930F" w14:textId="77777777" w:rsidR="007D1E74" w:rsidRDefault="00A95641">
            <w:pPr>
              <w:jc w:val="center"/>
              <w:rPr>
                <w:rFonts w:cs="Times New Roman"/>
                <w:szCs w:val="21"/>
              </w:rPr>
            </w:pPr>
            <w:r>
              <w:rPr>
                <w:rFonts w:cs="Times New Roman"/>
                <w:szCs w:val="21"/>
              </w:rPr>
              <w:t>敏感目标名称</w:t>
            </w:r>
          </w:p>
        </w:tc>
        <w:tc>
          <w:tcPr>
            <w:tcW w:w="1778" w:type="dxa"/>
            <w:gridSpan w:val="2"/>
            <w:vAlign w:val="center"/>
          </w:tcPr>
          <w:p w14:paraId="0F1A9559" w14:textId="77777777" w:rsidR="007D1E74" w:rsidRDefault="00A95641">
            <w:pPr>
              <w:jc w:val="center"/>
              <w:rPr>
                <w:rFonts w:cs="Times New Roman"/>
                <w:szCs w:val="21"/>
              </w:rPr>
            </w:pPr>
            <w:r>
              <w:rPr>
                <w:rFonts w:cs="Times New Roman"/>
                <w:szCs w:val="21"/>
              </w:rPr>
              <w:t>超标时间</w:t>
            </w:r>
            <w:r>
              <w:rPr>
                <w:rFonts w:cs="Times New Roman" w:hint="eastAsia"/>
                <w:szCs w:val="21"/>
              </w:rPr>
              <w:t>/</w:t>
            </w:r>
            <w:r>
              <w:rPr>
                <w:rFonts w:cs="Times New Roman"/>
                <w:szCs w:val="21"/>
              </w:rPr>
              <w:t>min</w:t>
            </w:r>
          </w:p>
        </w:tc>
        <w:tc>
          <w:tcPr>
            <w:tcW w:w="1778" w:type="dxa"/>
            <w:gridSpan w:val="2"/>
            <w:vAlign w:val="center"/>
          </w:tcPr>
          <w:p w14:paraId="09E02438" w14:textId="77777777" w:rsidR="007D1E74" w:rsidRDefault="00A95641">
            <w:pPr>
              <w:jc w:val="center"/>
              <w:rPr>
                <w:rFonts w:cs="Times New Roman"/>
                <w:szCs w:val="21"/>
              </w:rPr>
            </w:pPr>
            <w:r>
              <w:rPr>
                <w:rFonts w:cs="Times New Roman" w:hint="eastAsia"/>
                <w:szCs w:val="21"/>
              </w:rPr>
              <w:t>超标</w:t>
            </w:r>
            <w:r>
              <w:rPr>
                <w:rFonts w:cs="Times New Roman"/>
                <w:szCs w:val="21"/>
              </w:rPr>
              <w:t>持续时间</w:t>
            </w:r>
            <w:r>
              <w:rPr>
                <w:rFonts w:cs="Times New Roman" w:hint="eastAsia"/>
                <w:szCs w:val="21"/>
              </w:rPr>
              <w:t>/</w:t>
            </w:r>
            <w:r>
              <w:rPr>
                <w:rFonts w:cs="Times New Roman"/>
                <w:szCs w:val="21"/>
              </w:rPr>
              <w:t>min</w:t>
            </w:r>
          </w:p>
        </w:tc>
        <w:tc>
          <w:tcPr>
            <w:tcW w:w="1779" w:type="dxa"/>
            <w:gridSpan w:val="2"/>
            <w:vAlign w:val="center"/>
          </w:tcPr>
          <w:p w14:paraId="76DA2440" w14:textId="77777777" w:rsidR="007D1E74" w:rsidRDefault="00A95641">
            <w:pPr>
              <w:jc w:val="center"/>
              <w:rPr>
                <w:rFonts w:cs="Times New Roman"/>
                <w:szCs w:val="21"/>
              </w:rPr>
            </w:pPr>
            <w:r>
              <w:rPr>
                <w:rFonts w:cs="Times New Roman"/>
                <w:szCs w:val="21"/>
              </w:rPr>
              <w:t>最大浓度</w:t>
            </w:r>
            <w:r>
              <w:rPr>
                <w:rFonts w:cs="Times New Roman" w:hint="eastAsia"/>
                <w:szCs w:val="21"/>
              </w:rPr>
              <w:t>/</w:t>
            </w:r>
            <w:r>
              <w:rPr>
                <w:rFonts w:cs="Times New Roman"/>
                <w:szCs w:val="21"/>
              </w:rPr>
              <w:t>(mg/m</w:t>
            </w:r>
            <w:r>
              <w:rPr>
                <w:rFonts w:cs="Times New Roman"/>
                <w:szCs w:val="21"/>
                <w:vertAlign w:val="superscript"/>
              </w:rPr>
              <w:t>3</w:t>
            </w:r>
            <w:r>
              <w:rPr>
                <w:rFonts w:cs="Times New Roman"/>
                <w:szCs w:val="21"/>
              </w:rPr>
              <w:t>)</w:t>
            </w:r>
          </w:p>
        </w:tc>
      </w:tr>
      <w:tr w:rsidR="007D1E74" w14:paraId="4AA99A11" w14:textId="77777777">
        <w:tc>
          <w:tcPr>
            <w:tcW w:w="988" w:type="dxa"/>
            <w:vMerge/>
            <w:vAlign w:val="center"/>
          </w:tcPr>
          <w:p w14:paraId="036137E1" w14:textId="77777777" w:rsidR="007D1E74" w:rsidRDefault="007D1E74">
            <w:pPr>
              <w:jc w:val="center"/>
              <w:rPr>
                <w:rFonts w:cs="Times New Roman"/>
                <w:szCs w:val="21"/>
              </w:rPr>
            </w:pPr>
          </w:p>
        </w:tc>
        <w:tc>
          <w:tcPr>
            <w:tcW w:w="1134" w:type="dxa"/>
            <w:vMerge/>
            <w:vAlign w:val="center"/>
          </w:tcPr>
          <w:p w14:paraId="43A96218" w14:textId="77777777" w:rsidR="007D1E74" w:rsidRDefault="007D1E74">
            <w:pPr>
              <w:jc w:val="center"/>
              <w:rPr>
                <w:rFonts w:cs="Times New Roman"/>
                <w:szCs w:val="21"/>
              </w:rPr>
            </w:pPr>
          </w:p>
        </w:tc>
        <w:tc>
          <w:tcPr>
            <w:tcW w:w="1559" w:type="dxa"/>
            <w:vAlign w:val="center"/>
          </w:tcPr>
          <w:p w14:paraId="542504C4" w14:textId="77777777" w:rsidR="007D1E74" w:rsidRDefault="00A95641">
            <w:pPr>
              <w:jc w:val="center"/>
              <w:rPr>
                <w:rFonts w:cs="Times New Roman"/>
                <w:szCs w:val="21"/>
              </w:rPr>
            </w:pPr>
            <w:r>
              <w:rPr>
                <w:rFonts w:cs="Times New Roman" w:hint="eastAsia"/>
                <w:szCs w:val="21"/>
              </w:rPr>
              <w:t>/</w:t>
            </w:r>
          </w:p>
        </w:tc>
        <w:tc>
          <w:tcPr>
            <w:tcW w:w="1778" w:type="dxa"/>
            <w:gridSpan w:val="2"/>
            <w:vAlign w:val="center"/>
          </w:tcPr>
          <w:p w14:paraId="2B34A913" w14:textId="77777777" w:rsidR="007D1E74" w:rsidRDefault="00A95641">
            <w:pPr>
              <w:jc w:val="center"/>
              <w:rPr>
                <w:rFonts w:cs="Times New Roman"/>
                <w:szCs w:val="21"/>
              </w:rPr>
            </w:pPr>
            <w:r>
              <w:rPr>
                <w:rFonts w:cs="Times New Roman" w:hint="eastAsia"/>
                <w:szCs w:val="21"/>
              </w:rPr>
              <w:t>/</w:t>
            </w:r>
          </w:p>
        </w:tc>
        <w:tc>
          <w:tcPr>
            <w:tcW w:w="1778" w:type="dxa"/>
            <w:gridSpan w:val="2"/>
            <w:vAlign w:val="center"/>
          </w:tcPr>
          <w:p w14:paraId="1E46F786" w14:textId="77777777" w:rsidR="007D1E74" w:rsidRDefault="00A95641">
            <w:pPr>
              <w:jc w:val="center"/>
              <w:rPr>
                <w:rFonts w:cs="Times New Roman"/>
                <w:szCs w:val="21"/>
              </w:rPr>
            </w:pPr>
            <w:r>
              <w:rPr>
                <w:rFonts w:cs="Times New Roman" w:hint="eastAsia"/>
                <w:szCs w:val="21"/>
              </w:rPr>
              <w:t>/</w:t>
            </w:r>
          </w:p>
        </w:tc>
        <w:tc>
          <w:tcPr>
            <w:tcW w:w="1779" w:type="dxa"/>
            <w:gridSpan w:val="2"/>
            <w:vAlign w:val="center"/>
          </w:tcPr>
          <w:p w14:paraId="23929D4F" w14:textId="77777777" w:rsidR="007D1E74" w:rsidRDefault="00A95641">
            <w:pPr>
              <w:jc w:val="center"/>
              <w:rPr>
                <w:rFonts w:cs="Times New Roman"/>
                <w:szCs w:val="21"/>
              </w:rPr>
            </w:pPr>
            <w:r>
              <w:rPr>
                <w:rFonts w:cs="Times New Roman" w:hint="eastAsia"/>
                <w:szCs w:val="21"/>
              </w:rPr>
              <w:t>/</w:t>
            </w:r>
          </w:p>
        </w:tc>
      </w:tr>
      <w:tr w:rsidR="007D1E74" w14:paraId="64E9F762" w14:textId="77777777">
        <w:tc>
          <w:tcPr>
            <w:tcW w:w="988" w:type="dxa"/>
            <w:vMerge w:val="restart"/>
            <w:vAlign w:val="center"/>
          </w:tcPr>
          <w:p w14:paraId="67886B1F" w14:textId="77777777" w:rsidR="007D1E74" w:rsidRDefault="00A95641">
            <w:pPr>
              <w:jc w:val="center"/>
              <w:rPr>
                <w:rFonts w:cs="Times New Roman"/>
                <w:szCs w:val="21"/>
              </w:rPr>
            </w:pPr>
            <w:r>
              <w:rPr>
                <w:rFonts w:cs="Times New Roman"/>
                <w:szCs w:val="21"/>
              </w:rPr>
              <w:t>地表水</w:t>
            </w:r>
          </w:p>
        </w:tc>
        <w:tc>
          <w:tcPr>
            <w:tcW w:w="1134" w:type="dxa"/>
            <w:vAlign w:val="center"/>
          </w:tcPr>
          <w:p w14:paraId="77826225" w14:textId="77777777" w:rsidR="007D1E74" w:rsidRDefault="00A95641">
            <w:pPr>
              <w:jc w:val="center"/>
              <w:rPr>
                <w:rFonts w:cs="Times New Roman"/>
                <w:szCs w:val="21"/>
              </w:rPr>
            </w:pPr>
            <w:r>
              <w:rPr>
                <w:rFonts w:cs="Times New Roman"/>
                <w:szCs w:val="21"/>
              </w:rPr>
              <w:t>危险物质</w:t>
            </w:r>
          </w:p>
        </w:tc>
        <w:tc>
          <w:tcPr>
            <w:tcW w:w="6894" w:type="dxa"/>
            <w:gridSpan w:val="7"/>
            <w:vAlign w:val="center"/>
          </w:tcPr>
          <w:p w14:paraId="5FFC1622" w14:textId="77777777" w:rsidR="007D1E74" w:rsidRDefault="00A95641">
            <w:pPr>
              <w:jc w:val="center"/>
              <w:rPr>
                <w:rFonts w:cs="Times New Roman"/>
                <w:szCs w:val="21"/>
              </w:rPr>
            </w:pPr>
            <w:r>
              <w:rPr>
                <w:rFonts w:cs="Times New Roman"/>
                <w:szCs w:val="21"/>
              </w:rPr>
              <w:t>地表水环境影响</w:t>
            </w:r>
            <w:r>
              <w:rPr>
                <w:rFonts w:cs="Times New Roman"/>
                <w:szCs w:val="21"/>
                <w:vertAlign w:val="superscript"/>
              </w:rPr>
              <w:t>b</w:t>
            </w:r>
          </w:p>
        </w:tc>
      </w:tr>
      <w:tr w:rsidR="007D1E74" w14:paraId="1A5CAC10" w14:textId="77777777">
        <w:tc>
          <w:tcPr>
            <w:tcW w:w="988" w:type="dxa"/>
            <w:vMerge/>
            <w:vAlign w:val="center"/>
          </w:tcPr>
          <w:p w14:paraId="7EC44D0E" w14:textId="77777777" w:rsidR="007D1E74" w:rsidRDefault="007D1E74">
            <w:pPr>
              <w:jc w:val="center"/>
              <w:rPr>
                <w:rFonts w:cs="Times New Roman"/>
                <w:szCs w:val="21"/>
              </w:rPr>
            </w:pPr>
          </w:p>
        </w:tc>
        <w:tc>
          <w:tcPr>
            <w:tcW w:w="1134" w:type="dxa"/>
            <w:vMerge w:val="restart"/>
            <w:vAlign w:val="center"/>
          </w:tcPr>
          <w:p w14:paraId="4BCD05DA" w14:textId="77777777" w:rsidR="007D1E74" w:rsidRDefault="00A95641">
            <w:pPr>
              <w:jc w:val="center"/>
              <w:rPr>
                <w:rFonts w:cs="Times New Roman"/>
                <w:szCs w:val="21"/>
              </w:rPr>
            </w:pPr>
            <w:r>
              <w:rPr>
                <w:rFonts w:cs="Times New Roman" w:hint="eastAsia"/>
                <w:szCs w:val="21"/>
              </w:rPr>
              <w:t>/</w:t>
            </w:r>
          </w:p>
        </w:tc>
        <w:tc>
          <w:tcPr>
            <w:tcW w:w="1559" w:type="dxa"/>
            <w:vAlign w:val="center"/>
          </w:tcPr>
          <w:p w14:paraId="1366481A" w14:textId="77777777" w:rsidR="007D1E74" w:rsidRDefault="00A95641">
            <w:pPr>
              <w:jc w:val="center"/>
              <w:rPr>
                <w:rFonts w:cs="Times New Roman"/>
                <w:szCs w:val="21"/>
              </w:rPr>
            </w:pPr>
            <w:r>
              <w:rPr>
                <w:rFonts w:cs="Times New Roman"/>
                <w:szCs w:val="21"/>
              </w:rPr>
              <w:t>受纳水体名称</w:t>
            </w:r>
          </w:p>
        </w:tc>
        <w:tc>
          <w:tcPr>
            <w:tcW w:w="2667" w:type="dxa"/>
            <w:gridSpan w:val="3"/>
            <w:vAlign w:val="center"/>
          </w:tcPr>
          <w:p w14:paraId="55E8C0FF" w14:textId="77777777" w:rsidR="007D1E74" w:rsidRDefault="00A95641">
            <w:pPr>
              <w:jc w:val="center"/>
              <w:rPr>
                <w:rFonts w:cs="Times New Roman"/>
                <w:szCs w:val="21"/>
              </w:rPr>
            </w:pPr>
            <w:r>
              <w:rPr>
                <w:rFonts w:cs="Times New Roman"/>
                <w:szCs w:val="21"/>
              </w:rPr>
              <w:t>最远超标距离</w:t>
            </w:r>
            <w:r>
              <w:rPr>
                <w:rFonts w:cs="Times New Roman" w:hint="eastAsia"/>
                <w:szCs w:val="21"/>
              </w:rPr>
              <w:t>/</w:t>
            </w:r>
            <w:r>
              <w:rPr>
                <w:rFonts w:cs="Times New Roman"/>
                <w:szCs w:val="21"/>
              </w:rPr>
              <w:t>m</w:t>
            </w:r>
          </w:p>
        </w:tc>
        <w:tc>
          <w:tcPr>
            <w:tcW w:w="2668" w:type="dxa"/>
            <w:gridSpan w:val="3"/>
            <w:vAlign w:val="center"/>
          </w:tcPr>
          <w:p w14:paraId="5D40CF47" w14:textId="77777777" w:rsidR="007D1E74" w:rsidRDefault="00A95641">
            <w:pPr>
              <w:jc w:val="center"/>
              <w:rPr>
                <w:rFonts w:cs="Times New Roman"/>
                <w:szCs w:val="21"/>
              </w:rPr>
            </w:pPr>
            <w:r>
              <w:rPr>
                <w:rFonts w:cs="Times New Roman"/>
                <w:szCs w:val="21"/>
              </w:rPr>
              <w:t>最远距离到达时间</w:t>
            </w:r>
            <w:r>
              <w:rPr>
                <w:rFonts w:cs="Times New Roman" w:hint="eastAsia"/>
                <w:szCs w:val="21"/>
              </w:rPr>
              <w:t>/</w:t>
            </w:r>
            <w:r>
              <w:rPr>
                <w:rFonts w:cs="Times New Roman"/>
                <w:szCs w:val="21"/>
              </w:rPr>
              <w:t>h</w:t>
            </w:r>
          </w:p>
        </w:tc>
      </w:tr>
      <w:tr w:rsidR="007D1E74" w14:paraId="169C1EB9" w14:textId="77777777">
        <w:tc>
          <w:tcPr>
            <w:tcW w:w="988" w:type="dxa"/>
            <w:vMerge/>
            <w:vAlign w:val="center"/>
          </w:tcPr>
          <w:p w14:paraId="7041B069" w14:textId="77777777" w:rsidR="007D1E74" w:rsidRDefault="007D1E74">
            <w:pPr>
              <w:jc w:val="center"/>
              <w:rPr>
                <w:rFonts w:cs="Times New Roman"/>
                <w:szCs w:val="21"/>
              </w:rPr>
            </w:pPr>
          </w:p>
        </w:tc>
        <w:tc>
          <w:tcPr>
            <w:tcW w:w="1134" w:type="dxa"/>
            <w:vMerge/>
            <w:vAlign w:val="center"/>
          </w:tcPr>
          <w:p w14:paraId="23199ABE" w14:textId="77777777" w:rsidR="007D1E74" w:rsidRDefault="007D1E74">
            <w:pPr>
              <w:jc w:val="center"/>
              <w:rPr>
                <w:rFonts w:cs="Times New Roman"/>
                <w:szCs w:val="21"/>
              </w:rPr>
            </w:pPr>
          </w:p>
        </w:tc>
        <w:tc>
          <w:tcPr>
            <w:tcW w:w="1559" w:type="dxa"/>
            <w:vAlign w:val="center"/>
          </w:tcPr>
          <w:p w14:paraId="28522266" w14:textId="77777777" w:rsidR="007D1E74" w:rsidRDefault="00A95641">
            <w:pPr>
              <w:jc w:val="center"/>
              <w:rPr>
                <w:rFonts w:cs="Times New Roman"/>
                <w:szCs w:val="21"/>
              </w:rPr>
            </w:pPr>
            <w:r>
              <w:rPr>
                <w:rFonts w:cs="Times New Roman" w:hint="eastAsia"/>
                <w:szCs w:val="21"/>
              </w:rPr>
              <w:t>/</w:t>
            </w:r>
          </w:p>
        </w:tc>
        <w:tc>
          <w:tcPr>
            <w:tcW w:w="2667" w:type="dxa"/>
            <w:gridSpan w:val="3"/>
            <w:vAlign w:val="center"/>
          </w:tcPr>
          <w:p w14:paraId="71FE5F72" w14:textId="77777777" w:rsidR="007D1E74" w:rsidRDefault="00A95641">
            <w:pPr>
              <w:jc w:val="center"/>
              <w:rPr>
                <w:rFonts w:cs="Times New Roman"/>
                <w:szCs w:val="21"/>
              </w:rPr>
            </w:pPr>
            <w:r>
              <w:rPr>
                <w:rFonts w:cs="Times New Roman" w:hint="eastAsia"/>
                <w:szCs w:val="21"/>
              </w:rPr>
              <w:t>/</w:t>
            </w:r>
          </w:p>
        </w:tc>
        <w:tc>
          <w:tcPr>
            <w:tcW w:w="2668" w:type="dxa"/>
            <w:gridSpan w:val="3"/>
            <w:vAlign w:val="center"/>
          </w:tcPr>
          <w:p w14:paraId="46A081B0" w14:textId="77777777" w:rsidR="007D1E74" w:rsidRDefault="00A95641">
            <w:pPr>
              <w:jc w:val="center"/>
              <w:rPr>
                <w:rFonts w:cs="Times New Roman"/>
                <w:szCs w:val="21"/>
              </w:rPr>
            </w:pPr>
            <w:r>
              <w:rPr>
                <w:rFonts w:cs="Times New Roman" w:hint="eastAsia"/>
                <w:szCs w:val="21"/>
              </w:rPr>
              <w:t>/</w:t>
            </w:r>
          </w:p>
        </w:tc>
      </w:tr>
      <w:tr w:rsidR="007D1E74" w14:paraId="3C79690E" w14:textId="77777777">
        <w:tc>
          <w:tcPr>
            <w:tcW w:w="988" w:type="dxa"/>
            <w:vMerge/>
            <w:vAlign w:val="center"/>
          </w:tcPr>
          <w:p w14:paraId="7E535441" w14:textId="77777777" w:rsidR="007D1E74" w:rsidRDefault="007D1E74">
            <w:pPr>
              <w:jc w:val="center"/>
              <w:rPr>
                <w:rFonts w:cs="Times New Roman"/>
                <w:szCs w:val="21"/>
              </w:rPr>
            </w:pPr>
          </w:p>
        </w:tc>
        <w:tc>
          <w:tcPr>
            <w:tcW w:w="1134" w:type="dxa"/>
            <w:vMerge/>
            <w:vAlign w:val="center"/>
          </w:tcPr>
          <w:p w14:paraId="5DD43287" w14:textId="77777777" w:rsidR="007D1E74" w:rsidRDefault="007D1E74">
            <w:pPr>
              <w:jc w:val="center"/>
              <w:rPr>
                <w:rFonts w:cs="Times New Roman"/>
                <w:szCs w:val="21"/>
              </w:rPr>
            </w:pPr>
          </w:p>
        </w:tc>
        <w:tc>
          <w:tcPr>
            <w:tcW w:w="1559" w:type="dxa"/>
            <w:vAlign w:val="center"/>
          </w:tcPr>
          <w:p w14:paraId="30A35B0E" w14:textId="77777777" w:rsidR="007D1E74" w:rsidRDefault="00A95641">
            <w:pPr>
              <w:jc w:val="center"/>
              <w:rPr>
                <w:rFonts w:cs="Times New Roman"/>
                <w:szCs w:val="21"/>
              </w:rPr>
            </w:pPr>
            <w:r>
              <w:rPr>
                <w:rFonts w:cs="Times New Roman"/>
                <w:szCs w:val="21"/>
              </w:rPr>
              <w:t>敏感目标名称</w:t>
            </w:r>
          </w:p>
        </w:tc>
        <w:tc>
          <w:tcPr>
            <w:tcW w:w="1333" w:type="dxa"/>
            <w:vAlign w:val="center"/>
          </w:tcPr>
          <w:p w14:paraId="05E90527" w14:textId="77777777" w:rsidR="007D1E74" w:rsidRDefault="00A95641">
            <w:pPr>
              <w:jc w:val="center"/>
              <w:rPr>
                <w:rFonts w:cs="Times New Roman"/>
                <w:szCs w:val="21"/>
              </w:rPr>
            </w:pPr>
            <w:r>
              <w:rPr>
                <w:rFonts w:cs="Times New Roman"/>
                <w:szCs w:val="21"/>
              </w:rPr>
              <w:t>到达时间</w:t>
            </w:r>
            <w:r>
              <w:rPr>
                <w:rFonts w:cs="Times New Roman" w:hint="eastAsia"/>
                <w:szCs w:val="21"/>
              </w:rPr>
              <w:t>/</w:t>
            </w:r>
            <w:r>
              <w:rPr>
                <w:rFonts w:cs="Times New Roman"/>
                <w:szCs w:val="21"/>
              </w:rPr>
              <w:t>h</w:t>
            </w:r>
          </w:p>
        </w:tc>
        <w:tc>
          <w:tcPr>
            <w:tcW w:w="1334" w:type="dxa"/>
            <w:gridSpan w:val="2"/>
            <w:vAlign w:val="center"/>
          </w:tcPr>
          <w:p w14:paraId="57774D35" w14:textId="77777777" w:rsidR="007D1E74" w:rsidRDefault="00A95641">
            <w:pPr>
              <w:jc w:val="center"/>
              <w:rPr>
                <w:rFonts w:cs="Times New Roman"/>
                <w:szCs w:val="21"/>
              </w:rPr>
            </w:pPr>
            <w:r>
              <w:rPr>
                <w:rFonts w:cs="Times New Roman"/>
                <w:szCs w:val="21"/>
              </w:rPr>
              <w:t>超标时间</w:t>
            </w:r>
            <w:r>
              <w:rPr>
                <w:rFonts w:cs="Times New Roman" w:hint="eastAsia"/>
                <w:szCs w:val="21"/>
              </w:rPr>
              <w:t>/</w:t>
            </w:r>
            <w:r>
              <w:rPr>
                <w:rFonts w:cs="Times New Roman"/>
                <w:szCs w:val="21"/>
              </w:rPr>
              <w:t>h</w:t>
            </w:r>
          </w:p>
        </w:tc>
        <w:tc>
          <w:tcPr>
            <w:tcW w:w="1334" w:type="dxa"/>
            <w:gridSpan w:val="2"/>
            <w:vAlign w:val="center"/>
          </w:tcPr>
          <w:p w14:paraId="16D9D242" w14:textId="77777777" w:rsidR="007D1E74" w:rsidRDefault="00A95641">
            <w:pPr>
              <w:jc w:val="center"/>
              <w:rPr>
                <w:rFonts w:cs="Times New Roman"/>
                <w:szCs w:val="21"/>
              </w:rPr>
            </w:pPr>
            <w:r>
              <w:rPr>
                <w:rFonts w:cs="Times New Roman"/>
                <w:szCs w:val="21"/>
              </w:rPr>
              <w:t>超标持续时间</w:t>
            </w:r>
            <w:r>
              <w:rPr>
                <w:rFonts w:cs="Times New Roman" w:hint="eastAsia"/>
                <w:szCs w:val="21"/>
              </w:rPr>
              <w:t>/</w:t>
            </w:r>
            <w:r>
              <w:rPr>
                <w:rFonts w:cs="Times New Roman"/>
                <w:szCs w:val="21"/>
              </w:rPr>
              <w:t>h</w:t>
            </w:r>
          </w:p>
        </w:tc>
        <w:tc>
          <w:tcPr>
            <w:tcW w:w="1334" w:type="dxa"/>
            <w:vAlign w:val="center"/>
          </w:tcPr>
          <w:p w14:paraId="3D63E5F3" w14:textId="77777777" w:rsidR="007D1E74" w:rsidRDefault="00A95641">
            <w:pPr>
              <w:jc w:val="center"/>
              <w:rPr>
                <w:rFonts w:cs="Times New Roman"/>
                <w:szCs w:val="21"/>
              </w:rPr>
            </w:pPr>
            <w:r>
              <w:rPr>
                <w:rFonts w:cs="Times New Roman"/>
                <w:szCs w:val="21"/>
              </w:rPr>
              <w:t>最大浓度</w:t>
            </w:r>
            <w:r>
              <w:rPr>
                <w:rFonts w:cs="Times New Roman" w:hint="eastAsia"/>
                <w:szCs w:val="21"/>
              </w:rPr>
              <w:t>/</w:t>
            </w:r>
            <w:r>
              <w:rPr>
                <w:rFonts w:cs="Times New Roman"/>
                <w:szCs w:val="21"/>
              </w:rPr>
              <w:t>(mg/</w:t>
            </w:r>
            <w:r>
              <w:rPr>
                <w:rFonts w:cs="Times New Roman" w:hint="eastAsia"/>
                <w:szCs w:val="21"/>
              </w:rPr>
              <w:t>L</w:t>
            </w:r>
            <w:r>
              <w:rPr>
                <w:rFonts w:cs="Times New Roman"/>
                <w:szCs w:val="21"/>
              </w:rPr>
              <w:t>)</w:t>
            </w:r>
          </w:p>
        </w:tc>
      </w:tr>
      <w:tr w:rsidR="007D1E74" w14:paraId="784036D7" w14:textId="77777777">
        <w:tc>
          <w:tcPr>
            <w:tcW w:w="988" w:type="dxa"/>
            <w:vMerge/>
            <w:vAlign w:val="center"/>
          </w:tcPr>
          <w:p w14:paraId="18C00665" w14:textId="77777777" w:rsidR="007D1E74" w:rsidRDefault="007D1E74">
            <w:pPr>
              <w:jc w:val="center"/>
              <w:rPr>
                <w:rFonts w:cs="Times New Roman"/>
                <w:szCs w:val="21"/>
              </w:rPr>
            </w:pPr>
          </w:p>
        </w:tc>
        <w:tc>
          <w:tcPr>
            <w:tcW w:w="1134" w:type="dxa"/>
            <w:vMerge/>
            <w:vAlign w:val="center"/>
          </w:tcPr>
          <w:p w14:paraId="19C20F09" w14:textId="77777777" w:rsidR="007D1E74" w:rsidRDefault="007D1E74">
            <w:pPr>
              <w:jc w:val="center"/>
              <w:rPr>
                <w:rFonts w:cs="Times New Roman"/>
                <w:szCs w:val="21"/>
              </w:rPr>
            </w:pPr>
          </w:p>
        </w:tc>
        <w:tc>
          <w:tcPr>
            <w:tcW w:w="1559" w:type="dxa"/>
            <w:vAlign w:val="center"/>
          </w:tcPr>
          <w:p w14:paraId="44C7848A" w14:textId="77777777" w:rsidR="007D1E74" w:rsidRDefault="00A95641">
            <w:pPr>
              <w:jc w:val="center"/>
              <w:rPr>
                <w:rFonts w:cs="Times New Roman"/>
                <w:szCs w:val="21"/>
              </w:rPr>
            </w:pPr>
            <w:r>
              <w:rPr>
                <w:rFonts w:cs="Times New Roman" w:hint="eastAsia"/>
                <w:szCs w:val="21"/>
              </w:rPr>
              <w:t>/</w:t>
            </w:r>
          </w:p>
        </w:tc>
        <w:tc>
          <w:tcPr>
            <w:tcW w:w="1333" w:type="dxa"/>
            <w:vAlign w:val="center"/>
          </w:tcPr>
          <w:p w14:paraId="35348BC8" w14:textId="77777777" w:rsidR="007D1E74" w:rsidRDefault="00A95641">
            <w:pPr>
              <w:jc w:val="center"/>
              <w:rPr>
                <w:rFonts w:cs="Times New Roman"/>
                <w:szCs w:val="21"/>
              </w:rPr>
            </w:pPr>
            <w:r>
              <w:rPr>
                <w:rFonts w:cs="Times New Roman" w:hint="eastAsia"/>
                <w:szCs w:val="21"/>
              </w:rPr>
              <w:t>/</w:t>
            </w:r>
          </w:p>
        </w:tc>
        <w:tc>
          <w:tcPr>
            <w:tcW w:w="1334" w:type="dxa"/>
            <w:gridSpan w:val="2"/>
            <w:vAlign w:val="center"/>
          </w:tcPr>
          <w:p w14:paraId="3BE355D7" w14:textId="77777777" w:rsidR="007D1E74" w:rsidRDefault="00A95641">
            <w:pPr>
              <w:jc w:val="center"/>
              <w:rPr>
                <w:rFonts w:cs="Times New Roman"/>
                <w:szCs w:val="21"/>
              </w:rPr>
            </w:pPr>
            <w:r>
              <w:rPr>
                <w:rFonts w:cs="Times New Roman" w:hint="eastAsia"/>
                <w:szCs w:val="21"/>
              </w:rPr>
              <w:t>/</w:t>
            </w:r>
          </w:p>
        </w:tc>
        <w:tc>
          <w:tcPr>
            <w:tcW w:w="1334" w:type="dxa"/>
            <w:gridSpan w:val="2"/>
            <w:vAlign w:val="center"/>
          </w:tcPr>
          <w:p w14:paraId="1B60FF4F" w14:textId="77777777" w:rsidR="007D1E74" w:rsidRDefault="00A95641">
            <w:pPr>
              <w:jc w:val="center"/>
              <w:rPr>
                <w:rFonts w:cs="Times New Roman"/>
                <w:szCs w:val="21"/>
              </w:rPr>
            </w:pPr>
            <w:r>
              <w:rPr>
                <w:rFonts w:cs="Times New Roman" w:hint="eastAsia"/>
                <w:szCs w:val="21"/>
              </w:rPr>
              <w:t>/</w:t>
            </w:r>
          </w:p>
        </w:tc>
        <w:tc>
          <w:tcPr>
            <w:tcW w:w="1334" w:type="dxa"/>
            <w:vAlign w:val="center"/>
          </w:tcPr>
          <w:p w14:paraId="732F4A3F" w14:textId="77777777" w:rsidR="007D1E74" w:rsidRDefault="00A95641">
            <w:pPr>
              <w:jc w:val="center"/>
              <w:rPr>
                <w:rFonts w:cs="Times New Roman"/>
                <w:szCs w:val="21"/>
              </w:rPr>
            </w:pPr>
            <w:r>
              <w:rPr>
                <w:rFonts w:cs="Times New Roman" w:hint="eastAsia"/>
                <w:szCs w:val="21"/>
              </w:rPr>
              <w:t>/</w:t>
            </w:r>
          </w:p>
        </w:tc>
      </w:tr>
      <w:tr w:rsidR="007D1E74" w14:paraId="76A845A8" w14:textId="77777777">
        <w:tc>
          <w:tcPr>
            <w:tcW w:w="988" w:type="dxa"/>
            <w:vMerge w:val="restart"/>
            <w:vAlign w:val="center"/>
          </w:tcPr>
          <w:p w14:paraId="5284BBEF" w14:textId="77777777" w:rsidR="007D1E74" w:rsidRDefault="00A95641">
            <w:pPr>
              <w:jc w:val="center"/>
              <w:rPr>
                <w:rFonts w:cs="Times New Roman"/>
                <w:szCs w:val="21"/>
              </w:rPr>
            </w:pPr>
            <w:r>
              <w:rPr>
                <w:rFonts w:cs="Times New Roman"/>
                <w:szCs w:val="21"/>
              </w:rPr>
              <w:t>地下水</w:t>
            </w:r>
          </w:p>
        </w:tc>
        <w:tc>
          <w:tcPr>
            <w:tcW w:w="1134" w:type="dxa"/>
            <w:vAlign w:val="center"/>
          </w:tcPr>
          <w:p w14:paraId="492A93F8" w14:textId="77777777" w:rsidR="007D1E74" w:rsidRDefault="00A95641">
            <w:pPr>
              <w:jc w:val="center"/>
              <w:rPr>
                <w:rFonts w:cs="Times New Roman"/>
                <w:szCs w:val="21"/>
              </w:rPr>
            </w:pPr>
            <w:r>
              <w:rPr>
                <w:rFonts w:cs="Times New Roman"/>
                <w:szCs w:val="21"/>
              </w:rPr>
              <w:t>危险物质</w:t>
            </w:r>
          </w:p>
        </w:tc>
        <w:tc>
          <w:tcPr>
            <w:tcW w:w="6894" w:type="dxa"/>
            <w:gridSpan w:val="7"/>
            <w:vAlign w:val="center"/>
          </w:tcPr>
          <w:p w14:paraId="017B6A43" w14:textId="77777777" w:rsidR="007D1E74" w:rsidRDefault="00A95641">
            <w:pPr>
              <w:jc w:val="center"/>
              <w:rPr>
                <w:rFonts w:cs="Times New Roman"/>
                <w:szCs w:val="21"/>
              </w:rPr>
            </w:pPr>
            <w:r>
              <w:rPr>
                <w:rFonts w:cs="Times New Roman"/>
                <w:szCs w:val="21"/>
              </w:rPr>
              <w:t>地下水环境影响</w:t>
            </w:r>
          </w:p>
        </w:tc>
      </w:tr>
      <w:tr w:rsidR="007D1E74" w14:paraId="6D21E47C" w14:textId="77777777">
        <w:tc>
          <w:tcPr>
            <w:tcW w:w="988" w:type="dxa"/>
            <w:vMerge/>
            <w:vAlign w:val="center"/>
          </w:tcPr>
          <w:p w14:paraId="30853C83" w14:textId="77777777" w:rsidR="007D1E74" w:rsidRDefault="007D1E74">
            <w:pPr>
              <w:jc w:val="center"/>
              <w:rPr>
                <w:rFonts w:cs="Times New Roman"/>
                <w:szCs w:val="21"/>
              </w:rPr>
            </w:pPr>
          </w:p>
        </w:tc>
        <w:tc>
          <w:tcPr>
            <w:tcW w:w="1134" w:type="dxa"/>
            <w:vMerge w:val="restart"/>
            <w:vAlign w:val="center"/>
          </w:tcPr>
          <w:p w14:paraId="026F43FC" w14:textId="77777777" w:rsidR="007D1E74" w:rsidRDefault="00A95641">
            <w:pPr>
              <w:jc w:val="center"/>
              <w:rPr>
                <w:rFonts w:cs="Times New Roman"/>
                <w:szCs w:val="21"/>
              </w:rPr>
            </w:pPr>
            <w:r>
              <w:rPr>
                <w:rFonts w:cs="Times New Roman" w:hint="eastAsia"/>
                <w:szCs w:val="21"/>
              </w:rPr>
              <w:t>/</w:t>
            </w:r>
          </w:p>
        </w:tc>
        <w:tc>
          <w:tcPr>
            <w:tcW w:w="1559" w:type="dxa"/>
            <w:vAlign w:val="center"/>
          </w:tcPr>
          <w:p w14:paraId="018FDE96" w14:textId="77777777" w:rsidR="007D1E74" w:rsidRDefault="00A95641">
            <w:pPr>
              <w:jc w:val="center"/>
              <w:rPr>
                <w:rFonts w:cs="Times New Roman"/>
                <w:szCs w:val="21"/>
              </w:rPr>
            </w:pPr>
            <w:r>
              <w:rPr>
                <w:rFonts w:cs="Times New Roman"/>
                <w:szCs w:val="21"/>
              </w:rPr>
              <w:t>厂区边界</w:t>
            </w:r>
          </w:p>
        </w:tc>
        <w:tc>
          <w:tcPr>
            <w:tcW w:w="1333" w:type="dxa"/>
            <w:vAlign w:val="center"/>
          </w:tcPr>
          <w:p w14:paraId="075AD147" w14:textId="77777777" w:rsidR="007D1E74" w:rsidRDefault="00A95641">
            <w:pPr>
              <w:jc w:val="center"/>
              <w:rPr>
                <w:rFonts w:cs="Times New Roman"/>
                <w:szCs w:val="21"/>
              </w:rPr>
            </w:pPr>
            <w:r>
              <w:rPr>
                <w:rFonts w:cs="Times New Roman"/>
                <w:szCs w:val="21"/>
              </w:rPr>
              <w:t>到达时间</w:t>
            </w:r>
            <w:r>
              <w:rPr>
                <w:rFonts w:cs="Times New Roman" w:hint="eastAsia"/>
                <w:szCs w:val="21"/>
              </w:rPr>
              <w:t>/</w:t>
            </w:r>
            <w:r>
              <w:rPr>
                <w:rFonts w:cs="Times New Roman"/>
                <w:szCs w:val="21"/>
              </w:rPr>
              <w:t>d</w:t>
            </w:r>
          </w:p>
        </w:tc>
        <w:tc>
          <w:tcPr>
            <w:tcW w:w="1334" w:type="dxa"/>
            <w:gridSpan w:val="2"/>
            <w:vAlign w:val="center"/>
          </w:tcPr>
          <w:p w14:paraId="421B3E6B" w14:textId="77777777" w:rsidR="007D1E74" w:rsidRDefault="00A95641">
            <w:pPr>
              <w:jc w:val="center"/>
              <w:rPr>
                <w:rFonts w:cs="Times New Roman"/>
                <w:szCs w:val="21"/>
              </w:rPr>
            </w:pPr>
            <w:r>
              <w:rPr>
                <w:rFonts w:cs="Times New Roman" w:hint="eastAsia"/>
                <w:szCs w:val="21"/>
              </w:rPr>
              <w:t>超标时间</w:t>
            </w:r>
            <w:r>
              <w:rPr>
                <w:rFonts w:cs="Times New Roman" w:hint="eastAsia"/>
                <w:szCs w:val="21"/>
              </w:rPr>
              <w:t>/</w:t>
            </w:r>
            <w:r>
              <w:rPr>
                <w:rFonts w:cs="Times New Roman"/>
                <w:szCs w:val="21"/>
              </w:rPr>
              <w:t>d</w:t>
            </w:r>
          </w:p>
        </w:tc>
        <w:tc>
          <w:tcPr>
            <w:tcW w:w="1334" w:type="dxa"/>
            <w:gridSpan w:val="2"/>
            <w:vAlign w:val="center"/>
          </w:tcPr>
          <w:p w14:paraId="2A366D57" w14:textId="77777777" w:rsidR="007D1E74" w:rsidRDefault="00A95641">
            <w:pPr>
              <w:jc w:val="center"/>
              <w:rPr>
                <w:rFonts w:cs="Times New Roman"/>
                <w:szCs w:val="21"/>
              </w:rPr>
            </w:pPr>
            <w:r>
              <w:rPr>
                <w:rFonts w:cs="Times New Roman"/>
                <w:szCs w:val="21"/>
              </w:rPr>
              <w:t>超标持续时间</w:t>
            </w:r>
            <w:r>
              <w:rPr>
                <w:rFonts w:cs="Times New Roman" w:hint="eastAsia"/>
                <w:szCs w:val="21"/>
              </w:rPr>
              <w:t>/</w:t>
            </w:r>
            <w:r>
              <w:rPr>
                <w:rFonts w:cs="Times New Roman"/>
                <w:szCs w:val="21"/>
              </w:rPr>
              <w:t>d</w:t>
            </w:r>
          </w:p>
        </w:tc>
        <w:tc>
          <w:tcPr>
            <w:tcW w:w="1334" w:type="dxa"/>
            <w:vAlign w:val="center"/>
          </w:tcPr>
          <w:p w14:paraId="050D5FD3" w14:textId="77777777" w:rsidR="007D1E74" w:rsidRDefault="00A95641">
            <w:pPr>
              <w:jc w:val="center"/>
              <w:rPr>
                <w:rFonts w:cs="Times New Roman"/>
                <w:szCs w:val="21"/>
              </w:rPr>
            </w:pPr>
            <w:r>
              <w:rPr>
                <w:rFonts w:cs="Times New Roman"/>
                <w:szCs w:val="21"/>
              </w:rPr>
              <w:t>最大浓度</w:t>
            </w:r>
            <w:r>
              <w:rPr>
                <w:rFonts w:cs="Times New Roman" w:hint="eastAsia"/>
                <w:szCs w:val="21"/>
              </w:rPr>
              <w:t>/</w:t>
            </w:r>
            <w:r>
              <w:rPr>
                <w:rFonts w:cs="Times New Roman"/>
                <w:szCs w:val="21"/>
              </w:rPr>
              <w:t>(mg/</w:t>
            </w:r>
            <w:r>
              <w:rPr>
                <w:rFonts w:cs="Times New Roman" w:hint="eastAsia"/>
                <w:szCs w:val="21"/>
              </w:rPr>
              <w:t>L</w:t>
            </w:r>
            <w:r>
              <w:rPr>
                <w:rFonts w:cs="Times New Roman"/>
                <w:szCs w:val="21"/>
              </w:rPr>
              <w:t>)</w:t>
            </w:r>
          </w:p>
        </w:tc>
      </w:tr>
      <w:tr w:rsidR="007D1E74" w14:paraId="3E5BF97F" w14:textId="77777777">
        <w:tc>
          <w:tcPr>
            <w:tcW w:w="988" w:type="dxa"/>
            <w:vMerge/>
            <w:vAlign w:val="center"/>
          </w:tcPr>
          <w:p w14:paraId="48476A26" w14:textId="77777777" w:rsidR="007D1E74" w:rsidRDefault="007D1E74">
            <w:pPr>
              <w:jc w:val="center"/>
              <w:rPr>
                <w:rFonts w:cs="Times New Roman"/>
                <w:szCs w:val="21"/>
              </w:rPr>
            </w:pPr>
          </w:p>
        </w:tc>
        <w:tc>
          <w:tcPr>
            <w:tcW w:w="1134" w:type="dxa"/>
            <w:vMerge/>
            <w:vAlign w:val="center"/>
          </w:tcPr>
          <w:p w14:paraId="76C00C71" w14:textId="77777777" w:rsidR="007D1E74" w:rsidRDefault="007D1E74">
            <w:pPr>
              <w:jc w:val="center"/>
              <w:rPr>
                <w:rFonts w:cs="Times New Roman"/>
                <w:szCs w:val="21"/>
              </w:rPr>
            </w:pPr>
          </w:p>
        </w:tc>
        <w:tc>
          <w:tcPr>
            <w:tcW w:w="1559" w:type="dxa"/>
            <w:vAlign w:val="center"/>
          </w:tcPr>
          <w:p w14:paraId="40AA46AF" w14:textId="77777777" w:rsidR="007D1E74" w:rsidRDefault="00A95641">
            <w:pPr>
              <w:jc w:val="center"/>
              <w:rPr>
                <w:rFonts w:cs="Times New Roman"/>
                <w:szCs w:val="21"/>
              </w:rPr>
            </w:pPr>
            <w:r>
              <w:rPr>
                <w:rFonts w:cs="Times New Roman" w:hint="eastAsia"/>
                <w:szCs w:val="21"/>
              </w:rPr>
              <w:t>/</w:t>
            </w:r>
          </w:p>
        </w:tc>
        <w:tc>
          <w:tcPr>
            <w:tcW w:w="1333" w:type="dxa"/>
            <w:vAlign w:val="center"/>
          </w:tcPr>
          <w:p w14:paraId="5F667652" w14:textId="77777777" w:rsidR="007D1E74" w:rsidRDefault="00A95641">
            <w:pPr>
              <w:jc w:val="center"/>
              <w:rPr>
                <w:rFonts w:cs="Times New Roman"/>
                <w:szCs w:val="21"/>
              </w:rPr>
            </w:pPr>
            <w:r>
              <w:rPr>
                <w:rFonts w:cs="Times New Roman" w:hint="eastAsia"/>
                <w:szCs w:val="21"/>
              </w:rPr>
              <w:t>/</w:t>
            </w:r>
          </w:p>
        </w:tc>
        <w:tc>
          <w:tcPr>
            <w:tcW w:w="1334" w:type="dxa"/>
            <w:gridSpan w:val="2"/>
            <w:vAlign w:val="center"/>
          </w:tcPr>
          <w:p w14:paraId="78D62451" w14:textId="77777777" w:rsidR="007D1E74" w:rsidRDefault="00A95641">
            <w:pPr>
              <w:jc w:val="center"/>
              <w:rPr>
                <w:rFonts w:cs="Times New Roman"/>
                <w:szCs w:val="21"/>
              </w:rPr>
            </w:pPr>
            <w:r>
              <w:rPr>
                <w:rFonts w:cs="Times New Roman" w:hint="eastAsia"/>
                <w:szCs w:val="21"/>
              </w:rPr>
              <w:t>/</w:t>
            </w:r>
          </w:p>
        </w:tc>
        <w:tc>
          <w:tcPr>
            <w:tcW w:w="1334" w:type="dxa"/>
            <w:gridSpan w:val="2"/>
            <w:vAlign w:val="center"/>
          </w:tcPr>
          <w:p w14:paraId="4A3C3348" w14:textId="77777777" w:rsidR="007D1E74" w:rsidRDefault="00A95641">
            <w:pPr>
              <w:jc w:val="center"/>
              <w:rPr>
                <w:rFonts w:cs="Times New Roman"/>
                <w:szCs w:val="21"/>
              </w:rPr>
            </w:pPr>
            <w:r>
              <w:rPr>
                <w:rFonts w:cs="Times New Roman" w:hint="eastAsia"/>
                <w:szCs w:val="21"/>
              </w:rPr>
              <w:t>/</w:t>
            </w:r>
          </w:p>
        </w:tc>
        <w:tc>
          <w:tcPr>
            <w:tcW w:w="1334" w:type="dxa"/>
            <w:vAlign w:val="center"/>
          </w:tcPr>
          <w:p w14:paraId="028834BD" w14:textId="77777777" w:rsidR="007D1E74" w:rsidRDefault="00A95641">
            <w:pPr>
              <w:jc w:val="center"/>
              <w:rPr>
                <w:rFonts w:cs="Times New Roman"/>
                <w:szCs w:val="21"/>
              </w:rPr>
            </w:pPr>
            <w:r>
              <w:rPr>
                <w:rFonts w:cs="Times New Roman" w:hint="eastAsia"/>
                <w:szCs w:val="21"/>
              </w:rPr>
              <w:t>/</w:t>
            </w:r>
          </w:p>
        </w:tc>
      </w:tr>
      <w:tr w:rsidR="007D1E74" w14:paraId="72D80068" w14:textId="77777777">
        <w:tc>
          <w:tcPr>
            <w:tcW w:w="988" w:type="dxa"/>
            <w:vMerge/>
            <w:vAlign w:val="center"/>
          </w:tcPr>
          <w:p w14:paraId="697F57E0" w14:textId="77777777" w:rsidR="007D1E74" w:rsidRDefault="007D1E74">
            <w:pPr>
              <w:jc w:val="center"/>
              <w:rPr>
                <w:rFonts w:cs="Times New Roman"/>
                <w:szCs w:val="21"/>
              </w:rPr>
            </w:pPr>
          </w:p>
        </w:tc>
        <w:tc>
          <w:tcPr>
            <w:tcW w:w="1134" w:type="dxa"/>
            <w:vMerge/>
            <w:vAlign w:val="center"/>
          </w:tcPr>
          <w:p w14:paraId="555B1BF1" w14:textId="77777777" w:rsidR="007D1E74" w:rsidRDefault="007D1E74">
            <w:pPr>
              <w:jc w:val="center"/>
              <w:rPr>
                <w:rFonts w:cs="Times New Roman"/>
                <w:szCs w:val="21"/>
              </w:rPr>
            </w:pPr>
          </w:p>
        </w:tc>
        <w:tc>
          <w:tcPr>
            <w:tcW w:w="1559" w:type="dxa"/>
            <w:vAlign w:val="center"/>
          </w:tcPr>
          <w:p w14:paraId="234BD826" w14:textId="77777777" w:rsidR="007D1E74" w:rsidRDefault="00A95641">
            <w:pPr>
              <w:jc w:val="center"/>
              <w:rPr>
                <w:rFonts w:cs="Times New Roman"/>
                <w:szCs w:val="21"/>
              </w:rPr>
            </w:pPr>
            <w:r>
              <w:rPr>
                <w:rFonts w:cs="Times New Roman"/>
                <w:szCs w:val="21"/>
              </w:rPr>
              <w:t>敏感目标名称</w:t>
            </w:r>
          </w:p>
        </w:tc>
        <w:tc>
          <w:tcPr>
            <w:tcW w:w="1333" w:type="dxa"/>
            <w:vAlign w:val="center"/>
          </w:tcPr>
          <w:p w14:paraId="2FAFFD5A" w14:textId="77777777" w:rsidR="007D1E74" w:rsidRDefault="00A95641">
            <w:pPr>
              <w:jc w:val="center"/>
              <w:rPr>
                <w:rFonts w:cs="Times New Roman"/>
                <w:szCs w:val="21"/>
              </w:rPr>
            </w:pPr>
            <w:r>
              <w:rPr>
                <w:rFonts w:cs="Times New Roman"/>
                <w:szCs w:val="21"/>
              </w:rPr>
              <w:t>到达时间</w:t>
            </w:r>
            <w:r>
              <w:rPr>
                <w:rFonts w:cs="Times New Roman" w:hint="eastAsia"/>
                <w:szCs w:val="21"/>
              </w:rPr>
              <w:t>/</w:t>
            </w:r>
            <w:r>
              <w:rPr>
                <w:rFonts w:cs="Times New Roman"/>
                <w:szCs w:val="21"/>
              </w:rPr>
              <w:t>d</w:t>
            </w:r>
          </w:p>
        </w:tc>
        <w:tc>
          <w:tcPr>
            <w:tcW w:w="1334" w:type="dxa"/>
            <w:gridSpan w:val="2"/>
            <w:vAlign w:val="center"/>
          </w:tcPr>
          <w:p w14:paraId="0D972D7B" w14:textId="77777777" w:rsidR="007D1E74" w:rsidRDefault="00A95641">
            <w:pPr>
              <w:jc w:val="center"/>
              <w:rPr>
                <w:rFonts w:cs="Times New Roman"/>
                <w:szCs w:val="21"/>
              </w:rPr>
            </w:pPr>
            <w:r>
              <w:rPr>
                <w:rFonts w:cs="Times New Roman" w:hint="eastAsia"/>
                <w:szCs w:val="21"/>
              </w:rPr>
              <w:t>超标时间</w:t>
            </w:r>
            <w:r>
              <w:rPr>
                <w:rFonts w:cs="Times New Roman" w:hint="eastAsia"/>
                <w:szCs w:val="21"/>
              </w:rPr>
              <w:t>/</w:t>
            </w:r>
            <w:r>
              <w:rPr>
                <w:rFonts w:cs="Times New Roman"/>
                <w:szCs w:val="21"/>
              </w:rPr>
              <w:t>d</w:t>
            </w:r>
          </w:p>
        </w:tc>
        <w:tc>
          <w:tcPr>
            <w:tcW w:w="1334" w:type="dxa"/>
            <w:gridSpan w:val="2"/>
            <w:vAlign w:val="center"/>
          </w:tcPr>
          <w:p w14:paraId="7BB87B9B" w14:textId="77777777" w:rsidR="007D1E74" w:rsidRDefault="00A95641">
            <w:pPr>
              <w:jc w:val="center"/>
              <w:rPr>
                <w:rFonts w:cs="Times New Roman"/>
                <w:szCs w:val="21"/>
              </w:rPr>
            </w:pPr>
            <w:r>
              <w:rPr>
                <w:rFonts w:cs="Times New Roman"/>
                <w:szCs w:val="21"/>
              </w:rPr>
              <w:t>超标持续时间</w:t>
            </w:r>
            <w:r>
              <w:rPr>
                <w:rFonts w:cs="Times New Roman" w:hint="eastAsia"/>
                <w:szCs w:val="21"/>
              </w:rPr>
              <w:t>/</w:t>
            </w:r>
            <w:r>
              <w:rPr>
                <w:rFonts w:cs="Times New Roman"/>
                <w:szCs w:val="21"/>
              </w:rPr>
              <w:t>d</w:t>
            </w:r>
          </w:p>
        </w:tc>
        <w:tc>
          <w:tcPr>
            <w:tcW w:w="1334" w:type="dxa"/>
            <w:vAlign w:val="center"/>
          </w:tcPr>
          <w:p w14:paraId="6F6AE4CA" w14:textId="77777777" w:rsidR="007D1E74" w:rsidRDefault="00A95641">
            <w:pPr>
              <w:jc w:val="center"/>
              <w:rPr>
                <w:rFonts w:cs="Times New Roman"/>
                <w:szCs w:val="21"/>
              </w:rPr>
            </w:pPr>
            <w:r>
              <w:rPr>
                <w:rFonts w:cs="Times New Roman"/>
                <w:szCs w:val="21"/>
              </w:rPr>
              <w:t>最大浓度</w:t>
            </w:r>
            <w:r>
              <w:rPr>
                <w:rFonts w:cs="Times New Roman" w:hint="eastAsia"/>
                <w:szCs w:val="21"/>
              </w:rPr>
              <w:t>/</w:t>
            </w:r>
            <w:r>
              <w:rPr>
                <w:rFonts w:cs="Times New Roman"/>
                <w:szCs w:val="21"/>
              </w:rPr>
              <w:t>(mg/</w:t>
            </w:r>
            <w:r>
              <w:rPr>
                <w:rFonts w:cs="Times New Roman" w:hint="eastAsia"/>
                <w:szCs w:val="21"/>
              </w:rPr>
              <w:t>L</w:t>
            </w:r>
            <w:r>
              <w:rPr>
                <w:rFonts w:cs="Times New Roman"/>
                <w:szCs w:val="21"/>
              </w:rPr>
              <w:t>)</w:t>
            </w:r>
          </w:p>
        </w:tc>
      </w:tr>
      <w:tr w:rsidR="007D1E74" w14:paraId="58E63CC4" w14:textId="77777777">
        <w:tc>
          <w:tcPr>
            <w:tcW w:w="988" w:type="dxa"/>
            <w:vMerge/>
            <w:vAlign w:val="center"/>
          </w:tcPr>
          <w:p w14:paraId="63948CB1" w14:textId="77777777" w:rsidR="007D1E74" w:rsidRDefault="007D1E74">
            <w:pPr>
              <w:jc w:val="center"/>
              <w:rPr>
                <w:rFonts w:cs="Times New Roman"/>
                <w:szCs w:val="21"/>
              </w:rPr>
            </w:pPr>
          </w:p>
        </w:tc>
        <w:tc>
          <w:tcPr>
            <w:tcW w:w="1134" w:type="dxa"/>
            <w:vMerge/>
            <w:vAlign w:val="center"/>
          </w:tcPr>
          <w:p w14:paraId="54E64654" w14:textId="77777777" w:rsidR="007D1E74" w:rsidRDefault="007D1E74">
            <w:pPr>
              <w:jc w:val="center"/>
              <w:rPr>
                <w:rFonts w:cs="Times New Roman"/>
                <w:szCs w:val="21"/>
              </w:rPr>
            </w:pPr>
          </w:p>
        </w:tc>
        <w:tc>
          <w:tcPr>
            <w:tcW w:w="1559" w:type="dxa"/>
            <w:vAlign w:val="center"/>
          </w:tcPr>
          <w:p w14:paraId="2124F12A" w14:textId="77777777" w:rsidR="007D1E74" w:rsidRDefault="00A95641">
            <w:pPr>
              <w:jc w:val="center"/>
              <w:rPr>
                <w:rFonts w:cs="Times New Roman"/>
                <w:szCs w:val="21"/>
              </w:rPr>
            </w:pPr>
            <w:r>
              <w:rPr>
                <w:rFonts w:cs="Times New Roman" w:hint="eastAsia"/>
                <w:szCs w:val="21"/>
              </w:rPr>
              <w:t>/</w:t>
            </w:r>
          </w:p>
        </w:tc>
        <w:tc>
          <w:tcPr>
            <w:tcW w:w="1333" w:type="dxa"/>
            <w:vAlign w:val="center"/>
          </w:tcPr>
          <w:p w14:paraId="21449A46" w14:textId="77777777" w:rsidR="007D1E74" w:rsidRDefault="00A95641">
            <w:pPr>
              <w:jc w:val="center"/>
              <w:rPr>
                <w:rFonts w:cs="Times New Roman"/>
                <w:szCs w:val="21"/>
              </w:rPr>
            </w:pPr>
            <w:r>
              <w:rPr>
                <w:rFonts w:cs="Times New Roman" w:hint="eastAsia"/>
                <w:szCs w:val="21"/>
              </w:rPr>
              <w:t>/</w:t>
            </w:r>
          </w:p>
        </w:tc>
        <w:tc>
          <w:tcPr>
            <w:tcW w:w="1334" w:type="dxa"/>
            <w:gridSpan w:val="2"/>
            <w:vAlign w:val="center"/>
          </w:tcPr>
          <w:p w14:paraId="5FDF23E1" w14:textId="77777777" w:rsidR="007D1E74" w:rsidRDefault="00A95641">
            <w:pPr>
              <w:jc w:val="center"/>
              <w:rPr>
                <w:rFonts w:cs="Times New Roman"/>
                <w:szCs w:val="21"/>
              </w:rPr>
            </w:pPr>
            <w:r>
              <w:rPr>
                <w:rFonts w:cs="Times New Roman" w:hint="eastAsia"/>
                <w:szCs w:val="21"/>
              </w:rPr>
              <w:t>/</w:t>
            </w:r>
          </w:p>
        </w:tc>
        <w:tc>
          <w:tcPr>
            <w:tcW w:w="1334" w:type="dxa"/>
            <w:gridSpan w:val="2"/>
            <w:vAlign w:val="center"/>
          </w:tcPr>
          <w:p w14:paraId="0E704E46" w14:textId="77777777" w:rsidR="007D1E74" w:rsidRDefault="00A95641">
            <w:pPr>
              <w:jc w:val="center"/>
              <w:rPr>
                <w:rFonts w:cs="Times New Roman"/>
                <w:szCs w:val="21"/>
              </w:rPr>
            </w:pPr>
            <w:r>
              <w:rPr>
                <w:rFonts w:cs="Times New Roman" w:hint="eastAsia"/>
                <w:szCs w:val="21"/>
              </w:rPr>
              <w:t>/</w:t>
            </w:r>
          </w:p>
        </w:tc>
        <w:tc>
          <w:tcPr>
            <w:tcW w:w="1334" w:type="dxa"/>
            <w:vAlign w:val="center"/>
          </w:tcPr>
          <w:p w14:paraId="05779D9D" w14:textId="77777777" w:rsidR="007D1E74" w:rsidRDefault="00A95641">
            <w:pPr>
              <w:jc w:val="center"/>
              <w:rPr>
                <w:rFonts w:cs="Times New Roman"/>
                <w:szCs w:val="21"/>
              </w:rPr>
            </w:pPr>
            <w:r>
              <w:rPr>
                <w:rFonts w:cs="Times New Roman" w:hint="eastAsia"/>
                <w:szCs w:val="21"/>
              </w:rPr>
              <w:t>/</w:t>
            </w:r>
          </w:p>
        </w:tc>
      </w:tr>
      <w:tr w:rsidR="007D1E74" w14:paraId="178FB2EA" w14:textId="77777777">
        <w:tc>
          <w:tcPr>
            <w:tcW w:w="9016" w:type="dxa"/>
            <w:gridSpan w:val="9"/>
            <w:vAlign w:val="center"/>
          </w:tcPr>
          <w:p w14:paraId="13B615E7" w14:textId="77777777" w:rsidR="007D1E74" w:rsidRDefault="00A95641">
            <w:pPr>
              <w:rPr>
                <w:rFonts w:cs="Times New Roman"/>
                <w:szCs w:val="21"/>
              </w:rPr>
            </w:pPr>
            <w:r>
              <w:rPr>
                <w:rFonts w:cs="Times New Roman"/>
                <w:szCs w:val="21"/>
              </w:rPr>
              <w:t>注：</w:t>
            </w:r>
            <w:r>
              <w:rPr>
                <w:rFonts w:cs="Times New Roman"/>
                <w:szCs w:val="21"/>
              </w:rPr>
              <w:t>a.</w:t>
            </w:r>
            <w:r>
              <w:rPr>
                <w:rFonts w:cs="Times New Roman"/>
                <w:szCs w:val="21"/>
              </w:rPr>
              <w:t>按选择的代表性风险事故情形分别填写；</w:t>
            </w:r>
          </w:p>
          <w:p w14:paraId="4B730B92" w14:textId="77777777" w:rsidR="007D1E74" w:rsidRDefault="00A95641">
            <w:pPr>
              <w:ind w:firstLineChars="200" w:firstLine="420"/>
              <w:rPr>
                <w:rFonts w:cs="Times New Roman"/>
                <w:szCs w:val="21"/>
              </w:rPr>
            </w:pPr>
            <w:r>
              <w:rPr>
                <w:rFonts w:cs="Times New Roman"/>
                <w:szCs w:val="21"/>
              </w:rPr>
              <w:t>b.</w:t>
            </w:r>
            <w:r>
              <w:rPr>
                <w:rFonts w:cs="Times New Roman"/>
                <w:szCs w:val="21"/>
              </w:rPr>
              <w:t>根据预测结果表述，选择受纳水体最远超标距离及到达时间或环境敏感目标到达时间、超标时间、超标持续时间及最大浓度填写。</w:t>
            </w:r>
          </w:p>
        </w:tc>
      </w:tr>
    </w:tbl>
    <w:p w14:paraId="7ECF6A6F" w14:textId="77777777" w:rsidR="007D1E74" w:rsidRDefault="00A95641">
      <w:pPr>
        <w:pStyle w:val="a8"/>
      </w:pPr>
      <w:r>
        <w:t>环境风险</w:t>
      </w:r>
      <w:r>
        <w:rPr>
          <w:rFonts w:hint="eastAsia"/>
        </w:rPr>
        <w:t>管理</w:t>
      </w:r>
    </w:p>
    <w:p w14:paraId="763323B3" w14:textId="77777777" w:rsidR="007D1E74" w:rsidRDefault="00A95641">
      <w:pPr>
        <w:pStyle w:val="a9"/>
      </w:pPr>
      <w:r>
        <w:rPr>
          <w:rFonts w:hint="eastAsia"/>
        </w:rPr>
        <w:t>环境风险管理目标</w:t>
      </w:r>
    </w:p>
    <w:p w14:paraId="22ED8224" w14:textId="77777777" w:rsidR="007D1E74" w:rsidRDefault="00A95641">
      <w:pPr>
        <w:spacing w:line="360" w:lineRule="auto"/>
        <w:ind w:firstLineChars="200" w:firstLine="480"/>
        <w:rPr>
          <w:sz w:val="24"/>
          <w:szCs w:val="24"/>
        </w:rPr>
      </w:pPr>
      <w:r>
        <w:rPr>
          <w:rFonts w:hint="eastAsia"/>
          <w:sz w:val="24"/>
          <w:szCs w:val="24"/>
        </w:rPr>
        <w:lastRenderedPageBreak/>
        <w:t>环境风险管理目标是采用最低合理可行原则管控环境风险。采取的环境风险防范措施应与社会经济技术发展水平相适应，运用科学的技术手段和管理方法，对环境风险进行有效的预防、监控、响应。</w:t>
      </w:r>
    </w:p>
    <w:p w14:paraId="0CA65927" w14:textId="77777777" w:rsidR="007D1E74" w:rsidRDefault="00A95641">
      <w:pPr>
        <w:pStyle w:val="a9"/>
      </w:pPr>
      <w:r>
        <w:rPr>
          <w:rFonts w:hint="eastAsia"/>
        </w:rPr>
        <w:t>环境风险防范措施</w:t>
      </w:r>
    </w:p>
    <w:p w14:paraId="64B6D7E0" w14:textId="77777777" w:rsidR="007D1E74" w:rsidRDefault="00A95641">
      <w:pPr>
        <w:pStyle w:val="aa"/>
      </w:pPr>
      <w:r>
        <w:rPr>
          <w:rFonts w:hint="eastAsia"/>
        </w:rPr>
        <w:t>设计</w:t>
      </w:r>
      <w:r>
        <w:t>方案采取的风险防范措施</w:t>
      </w:r>
    </w:p>
    <w:p w14:paraId="55849ABE" w14:textId="77777777" w:rsidR="007D1E74" w:rsidRDefault="00A95641">
      <w:pPr>
        <w:pStyle w:val="afffff7"/>
        <w:ind w:firstLine="482"/>
      </w:pPr>
      <w:r>
        <w:rPr>
          <w:rFonts w:hint="eastAsia"/>
        </w:rPr>
        <w:t>1</w:t>
      </w:r>
      <w:r>
        <w:rPr>
          <w:rFonts w:hint="eastAsia"/>
        </w:rPr>
        <w:t>、管道路由选线</w:t>
      </w:r>
    </w:p>
    <w:p w14:paraId="5B315A37" w14:textId="77777777" w:rsidR="007D1E74" w:rsidRDefault="00A95641">
      <w:pPr>
        <w:spacing w:line="360" w:lineRule="auto"/>
        <w:ind w:firstLineChars="200" w:firstLine="480"/>
        <w:rPr>
          <w:sz w:val="24"/>
          <w:szCs w:val="24"/>
        </w:rPr>
      </w:pPr>
      <w:r>
        <w:rPr>
          <w:rFonts w:hint="eastAsia"/>
          <w:sz w:val="24"/>
          <w:szCs w:val="24"/>
        </w:rPr>
        <w:t>根据《输气管道工程设计规范》（</w:t>
      </w:r>
      <w:r>
        <w:rPr>
          <w:rFonts w:hint="eastAsia"/>
          <w:sz w:val="24"/>
          <w:szCs w:val="24"/>
        </w:rPr>
        <w:t>GB50251-2015</w:t>
      </w:r>
      <w:r>
        <w:rPr>
          <w:rFonts w:hint="eastAsia"/>
          <w:sz w:val="24"/>
          <w:szCs w:val="24"/>
        </w:rPr>
        <w:t>）中有关规定，结合管道沿线地形地貌、交通、人文、经济等条件，线路选择中尽量避开多年生经济作物区域和重要的农田基本建设设施，尽量避开城镇、工矿企业和人口稠密区，必须通过村镇时，严格按《输气管道工程设计规范》关于地区等级划分的要求进行设计。针对山区地形，线路尽量走较缓单良，尽量避开快速路、河道敷设管道，对于无法避开的河道，采取加配重块等保护措施。</w:t>
      </w:r>
    </w:p>
    <w:p w14:paraId="0F5EDF1A" w14:textId="77777777" w:rsidR="007D1E74" w:rsidRDefault="00A95641">
      <w:pPr>
        <w:pStyle w:val="afffff7"/>
        <w:ind w:firstLine="482"/>
      </w:pPr>
      <w:r>
        <w:t>2</w:t>
      </w:r>
      <w:r>
        <w:rPr>
          <w:rFonts w:hint="eastAsia"/>
        </w:rPr>
        <w:t>、总图布置风险防范措施</w:t>
      </w:r>
    </w:p>
    <w:p w14:paraId="45A1AA3B" w14:textId="77777777" w:rsidR="007D1E74" w:rsidRDefault="00A95641">
      <w:pPr>
        <w:spacing w:line="360" w:lineRule="auto"/>
        <w:ind w:firstLineChars="200" w:firstLine="480"/>
        <w:rPr>
          <w:sz w:val="24"/>
          <w:szCs w:val="24"/>
        </w:rPr>
      </w:pPr>
      <w:r>
        <w:rPr>
          <w:rFonts w:hint="eastAsia"/>
          <w:sz w:val="24"/>
          <w:szCs w:val="24"/>
        </w:rPr>
        <w:t>项目各阀室（组）等建构筑物间距满足安全防火距离，符合《石油天然气工程计防火规范》（</w:t>
      </w:r>
      <w:r>
        <w:rPr>
          <w:rFonts w:hint="eastAsia"/>
          <w:sz w:val="24"/>
          <w:szCs w:val="24"/>
        </w:rPr>
        <w:t>GB50183-2015</w:t>
      </w:r>
      <w:r>
        <w:rPr>
          <w:rFonts w:hint="eastAsia"/>
          <w:sz w:val="24"/>
          <w:szCs w:val="24"/>
        </w:rPr>
        <w:t>）要求；阀室与放空管距离按不小于</w:t>
      </w:r>
      <w:r>
        <w:rPr>
          <w:rFonts w:hint="eastAsia"/>
          <w:sz w:val="24"/>
          <w:szCs w:val="24"/>
        </w:rPr>
        <w:t>40m</w:t>
      </w:r>
      <w:r>
        <w:rPr>
          <w:rFonts w:hint="eastAsia"/>
          <w:sz w:val="24"/>
          <w:szCs w:val="24"/>
        </w:rPr>
        <w:t>的间距布置，并尽量将放空立管放在阀室全年最小风频的上风侧。管道与地面建构筑物的最小间距符合《石油天然气工程设计防火规范》（</w:t>
      </w:r>
      <w:r>
        <w:rPr>
          <w:rFonts w:hint="eastAsia"/>
          <w:sz w:val="24"/>
          <w:szCs w:val="24"/>
        </w:rPr>
        <w:t>GB50183-2015</w:t>
      </w:r>
      <w:r>
        <w:rPr>
          <w:rFonts w:hint="eastAsia"/>
          <w:sz w:val="24"/>
          <w:szCs w:val="24"/>
        </w:rPr>
        <w:t>）、《输气管道工程设计规范》（</w:t>
      </w:r>
      <w:r>
        <w:rPr>
          <w:rFonts w:hint="eastAsia"/>
          <w:sz w:val="24"/>
          <w:szCs w:val="24"/>
        </w:rPr>
        <w:t>GB50251-2015</w:t>
      </w:r>
      <w:r>
        <w:rPr>
          <w:rFonts w:hint="eastAsia"/>
          <w:sz w:val="24"/>
          <w:szCs w:val="24"/>
        </w:rPr>
        <w:t>）等规范要求。</w:t>
      </w:r>
    </w:p>
    <w:p w14:paraId="660C85B4" w14:textId="77777777" w:rsidR="007D1E74" w:rsidRDefault="00A95641">
      <w:pPr>
        <w:pStyle w:val="afffff7"/>
        <w:ind w:firstLine="482"/>
      </w:pPr>
      <w:r>
        <w:t>3</w:t>
      </w:r>
      <w:r>
        <w:rPr>
          <w:rFonts w:hint="eastAsia"/>
        </w:rPr>
        <w:t>、管道设计风险防范措施</w:t>
      </w:r>
    </w:p>
    <w:p w14:paraId="0972364B" w14:textId="77777777" w:rsidR="007D1E74" w:rsidRDefault="00A95641">
      <w:pPr>
        <w:spacing w:line="360" w:lineRule="auto"/>
        <w:ind w:firstLineChars="200" w:firstLine="482"/>
        <w:rPr>
          <w:b/>
          <w:sz w:val="24"/>
          <w:szCs w:val="24"/>
        </w:rPr>
      </w:pPr>
      <w:r>
        <w:rPr>
          <w:b/>
          <w:sz w:val="24"/>
          <w:szCs w:val="24"/>
        </w:rPr>
        <w:t>（</w:t>
      </w:r>
      <w:r>
        <w:rPr>
          <w:rFonts w:hint="eastAsia"/>
          <w:b/>
          <w:sz w:val="24"/>
          <w:szCs w:val="24"/>
        </w:rPr>
        <w:t>1</w:t>
      </w:r>
      <w:r>
        <w:rPr>
          <w:rFonts w:hint="eastAsia"/>
          <w:b/>
          <w:sz w:val="24"/>
          <w:szCs w:val="24"/>
        </w:rPr>
        <w:t>）管道设计强度、壁厚</w:t>
      </w:r>
    </w:p>
    <w:p w14:paraId="7D997DEF" w14:textId="77777777" w:rsidR="007D1E74" w:rsidRDefault="00A95641">
      <w:pPr>
        <w:spacing w:line="360" w:lineRule="auto"/>
        <w:ind w:firstLineChars="200" w:firstLine="480"/>
        <w:rPr>
          <w:sz w:val="24"/>
          <w:szCs w:val="24"/>
        </w:rPr>
      </w:pPr>
      <w:r>
        <w:rPr>
          <w:rFonts w:hint="eastAsia"/>
          <w:sz w:val="24"/>
          <w:szCs w:val="24"/>
        </w:rPr>
        <w:t>管道设计执行《输气管道工程设计规范》（</w:t>
      </w:r>
      <w:r>
        <w:rPr>
          <w:rFonts w:hint="eastAsia"/>
          <w:sz w:val="24"/>
          <w:szCs w:val="24"/>
        </w:rPr>
        <w:t>GB50251-2015</w:t>
      </w:r>
      <w:r>
        <w:rPr>
          <w:rFonts w:hint="eastAsia"/>
          <w:sz w:val="24"/>
          <w:szCs w:val="24"/>
        </w:rPr>
        <w:t>）的要求，对通过不同地区等级的管道采用不同的强度设计系数，经管道强度计算确定管道的用管壁厚。通过采用增加管道强度（加大用管壁厚、降低通过高等级地区管道的应力）、缩短线路阀室的设置间距、适当加大管道埋深、加强管道环向焊缝的质量检查等方法满足通过高等级地区的管道安全、减少外部活动可能对管道造成的破坏。</w:t>
      </w:r>
    </w:p>
    <w:p w14:paraId="04813DDA" w14:textId="77777777" w:rsidR="007D1E74" w:rsidRDefault="00A95641">
      <w:pPr>
        <w:spacing w:line="360" w:lineRule="auto"/>
        <w:ind w:firstLineChars="200" w:firstLine="482"/>
        <w:rPr>
          <w:b/>
          <w:sz w:val="24"/>
          <w:szCs w:val="24"/>
        </w:rPr>
      </w:pPr>
      <w:r>
        <w:rPr>
          <w:b/>
          <w:sz w:val="24"/>
          <w:szCs w:val="24"/>
        </w:rPr>
        <w:t>（</w:t>
      </w:r>
      <w:r>
        <w:rPr>
          <w:b/>
          <w:sz w:val="24"/>
          <w:szCs w:val="24"/>
        </w:rPr>
        <w:t>2</w:t>
      </w:r>
      <w:r>
        <w:rPr>
          <w:rFonts w:hint="eastAsia"/>
          <w:b/>
          <w:sz w:val="24"/>
          <w:szCs w:val="24"/>
        </w:rPr>
        <w:t>）线路标志</w:t>
      </w:r>
    </w:p>
    <w:p w14:paraId="6D2E89C4" w14:textId="77777777" w:rsidR="007D1E74" w:rsidRDefault="00A95641">
      <w:pPr>
        <w:spacing w:line="360" w:lineRule="auto"/>
        <w:ind w:firstLineChars="200" w:firstLine="480"/>
        <w:rPr>
          <w:sz w:val="24"/>
          <w:szCs w:val="24"/>
        </w:rPr>
      </w:pPr>
      <w:r>
        <w:rPr>
          <w:rFonts w:hint="eastAsia"/>
          <w:sz w:val="24"/>
          <w:szCs w:val="24"/>
        </w:rPr>
        <w:t>根据《管道干线标记设置技术规定》（</w:t>
      </w:r>
      <w:r>
        <w:rPr>
          <w:rFonts w:hint="eastAsia"/>
          <w:sz w:val="24"/>
          <w:szCs w:val="24"/>
        </w:rPr>
        <w:t>SY/T6064-94</w:t>
      </w:r>
      <w:r>
        <w:rPr>
          <w:rFonts w:hint="eastAsia"/>
          <w:sz w:val="24"/>
          <w:szCs w:val="24"/>
        </w:rPr>
        <w:t>）的规定，为保护管道不受意外外力破坏，提高管道沿线群众保护管道的意识，输气管道沿途设置一定数量的标志桩和警示牌。标志桩包括里程桩、转角桩、交叉标志桩、结构标志桩，警示牌设置位置如下：</w:t>
      </w:r>
    </w:p>
    <w:p w14:paraId="2D681F89" w14:textId="77777777" w:rsidR="007D1E74" w:rsidRDefault="00A95641">
      <w:pPr>
        <w:spacing w:line="360" w:lineRule="auto"/>
        <w:ind w:firstLineChars="200" w:firstLine="480"/>
        <w:rPr>
          <w:rFonts w:cs="Times New Roman"/>
          <w:sz w:val="24"/>
          <w:szCs w:val="24"/>
        </w:rPr>
      </w:pPr>
      <w:r>
        <w:rPr>
          <w:rFonts w:ascii="宋体" w:hAnsi="宋体" w:cs="宋体" w:hint="eastAsia"/>
          <w:sz w:val="24"/>
          <w:szCs w:val="24"/>
        </w:rPr>
        <w:lastRenderedPageBreak/>
        <w:t>①</w:t>
      </w:r>
      <w:r>
        <w:rPr>
          <w:rFonts w:cs="Times New Roman"/>
          <w:sz w:val="24"/>
          <w:szCs w:val="24"/>
        </w:rPr>
        <w:t>管道经过人口密集区，在进出两端各设警示牌一块，中间每</w:t>
      </w:r>
      <w:r>
        <w:rPr>
          <w:rFonts w:cs="Times New Roman"/>
          <w:sz w:val="24"/>
          <w:szCs w:val="24"/>
        </w:rPr>
        <w:t xml:space="preserve"> 300m</w:t>
      </w:r>
      <w:r>
        <w:rPr>
          <w:rFonts w:cs="Times New Roman"/>
          <w:sz w:val="24"/>
          <w:szCs w:val="24"/>
        </w:rPr>
        <w:t>设置一块警示牌；</w:t>
      </w:r>
    </w:p>
    <w:p w14:paraId="0E8EA403" w14:textId="77777777" w:rsidR="007D1E74" w:rsidRDefault="00A95641">
      <w:pPr>
        <w:spacing w:line="360" w:lineRule="auto"/>
        <w:ind w:firstLineChars="200" w:firstLine="480"/>
        <w:rPr>
          <w:sz w:val="24"/>
          <w:szCs w:val="24"/>
        </w:rPr>
      </w:pPr>
      <w:r>
        <w:rPr>
          <w:rFonts w:ascii="宋体" w:hAnsi="宋体" w:cs="宋体" w:hint="eastAsia"/>
          <w:sz w:val="24"/>
          <w:szCs w:val="24"/>
        </w:rPr>
        <w:t>②</w:t>
      </w:r>
      <w:r>
        <w:rPr>
          <w:rFonts w:cs="Times New Roman"/>
          <w:sz w:val="24"/>
          <w:szCs w:val="24"/>
        </w:rPr>
        <w:t>穿越高等级公路、路面宽度</w:t>
      </w:r>
      <w:r>
        <w:rPr>
          <w:rFonts w:cs="Times New Roman"/>
          <w:sz w:val="24"/>
          <w:szCs w:val="24"/>
        </w:rPr>
        <w:t>≥10m</w:t>
      </w:r>
      <w:r>
        <w:rPr>
          <w:rFonts w:cs="Times New Roman"/>
          <w:sz w:val="24"/>
          <w:szCs w:val="24"/>
        </w:rPr>
        <w:t>的普通公路时，在穿（跨）越段两侧设置警示牌。</w:t>
      </w:r>
    </w:p>
    <w:p w14:paraId="1136C762" w14:textId="77777777" w:rsidR="007D1E74" w:rsidRDefault="00A95641">
      <w:pPr>
        <w:spacing w:line="360" w:lineRule="auto"/>
        <w:ind w:firstLineChars="200" w:firstLine="482"/>
        <w:rPr>
          <w:b/>
          <w:sz w:val="24"/>
          <w:szCs w:val="24"/>
        </w:rPr>
      </w:pPr>
      <w:r>
        <w:rPr>
          <w:b/>
          <w:sz w:val="24"/>
          <w:szCs w:val="24"/>
        </w:rPr>
        <w:t>（</w:t>
      </w:r>
      <w:r>
        <w:rPr>
          <w:b/>
          <w:sz w:val="24"/>
          <w:szCs w:val="24"/>
        </w:rPr>
        <w:t>3</w:t>
      </w:r>
      <w:r>
        <w:rPr>
          <w:rFonts w:hint="eastAsia"/>
          <w:b/>
          <w:sz w:val="24"/>
          <w:szCs w:val="24"/>
        </w:rPr>
        <w:t>）管道警示带</w:t>
      </w:r>
    </w:p>
    <w:p w14:paraId="7D8BA83B" w14:textId="77777777" w:rsidR="007D1E74" w:rsidRDefault="00A95641">
      <w:pPr>
        <w:spacing w:line="360" w:lineRule="auto"/>
        <w:ind w:firstLineChars="200" w:firstLine="480"/>
        <w:rPr>
          <w:sz w:val="24"/>
          <w:szCs w:val="24"/>
        </w:rPr>
      </w:pPr>
      <w:r>
        <w:rPr>
          <w:rFonts w:hint="eastAsia"/>
          <w:sz w:val="24"/>
          <w:szCs w:val="24"/>
        </w:rPr>
        <w:t>为尽可能避免管道受外力破坏，管道沿线设置警示带。管道警示带作用是警示下方敷设有管道、光缆，其敷设位置在管道管顶正上方</w:t>
      </w:r>
      <w:r>
        <w:rPr>
          <w:rFonts w:hint="eastAsia"/>
          <w:sz w:val="24"/>
          <w:szCs w:val="24"/>
        </w:rPr>
        <w:t>500mm</w:t>
      </w:r>
      <w:r>
        <w:rPr>
          <w:rFonts w:hint="eastAsia"/>
          <w:sz w:val="24"/>
          <w:szCs w:val="24"/>
        </w:rPr>
        <w:t>处（农田或耕地地段应距地面</w:t>
      </w:r>
      <w:r>
        <w:rPr>
          <w:rFonts w:hint="eastAsia"/>
          <w:sz w:val="24"/>
          <w:szCs w:val="24"/>
        </w:rPr>
        <w:t>0.8m</w:t>
      </w:r>
      <w:r>
        <w:rPr>
          <w:rFonts w:hint="eastAsia"/>
          <w:sz w:val="24"/>
          <w:szCs w:val="24"/>
        </w:rPr>
        <w:t>以下）。</w:t>
      </w:r>
    </w:p>
    <w:p w14:paraId="71C1D106" w14:textId="77777777" w:rsidR="007D1E74" w:rsidRDefault="00A95641">
      <w:pPr>
        <w:spacing w:line="360" w:lineRule="auto"/>
        <w:ind w:firstLineChars="200" w:firstLine="482"/>
        <w:rPr>
          <w:b/>
          <w:sz w:val="24"/>
          <w:szCs w:val="24"/>
        </w:rPr>
      </w:pPr>
      <w:r>
        <w:rPr>
          <w:b/>
          <w:sz w:val="24"/>
          <w:szCs w:val="24"/>
        </w:rPr>
        <w:t>（</w:t>
      </w:r>
      <w:r>
        <w:rPr>
          <w:b/>
          <w:sz w:val="24"/>
          <w:szCs w:val="24"/>
        </w:rPr>
        <w:t>4</w:t>
      </w:r>
      <w:r>
        <w:rPr>
          <w:rFonts w:hint="eastAsia"/>
          <w:b/>
          <w:sz w:val="24"/>
          <w:szCs w:val="24"/>
        </w:rPr>
        <w:t>）水工保护</w:t>
      </w:r>
    </w:p>
    <w:p w14:paraId="337CBB1B" w14:textId="77777777" w:rsidR="007D1E74" w:rsidRDefault="00A95641">
      <w:pPr>
        <w:spacing w:line="360" w:lineRule="auto"/>
        <w:ind w:firstLineChars="200" w:firstLine="480"/>
        <w:rPr>
          <w:sz w:val="24"/>
          <w:szCs w:val="24"/>
        </w:rPr>
      </w:pPr>
      <w:r>
        <w:rPr>
          <w:rFonts w:hint="eastAsia"/>
          <w:sz w:val="24"/>
          <w:szCs w:val="24"/>
        </w:rPr>
        <w:t>管道沿线所经地貌基本为山林地区，为减缓管道附近地表或地基由于洪水、重力作用、风蚀、地震及人为改变地貌的活动给管道造成的破坏，在必要地段（河流岸坡、冲沟、高边陡坎）设置护坡、挡土墙等保护措施，同时对管线穿越田埂、果园、陡坎及乡镇机耕道路的路堤、路堑加以恢复、保护，以保证管道及周边地带的安全。</w:t>
      </w:r>
    </w:p>
    <w:p w14:paraId="5322D240" w14:textId="77777777" w:rsidR="007D1E74" w:rsidRDefault="00A95641">
      <w:pPr>
        <w:spacing w:line="360" w:lineRule="auto"/>
        <w:ind w:firstLineChars="200" w:firstLine="482"/>
        <w:rPr>
          <w:b/>
          <w:sz w:val="24"/>
          <w:szCs w:val="24"/>
        </w:rPr>
      </w:pPr>
      <w:r>
        <w:rPr>
          <w:b/>
          <w:sz w:val="24"/>
          <w:szCs w:val="24"/>
        </w:rPr>
        <w:t>（</w:t>
      </w:r>
      <w:r>
        <w:rPr>
          <w:b/>
          <w:sz w:val="24"/>
          <w:szCs w:val="24"/>
        </w:rPr>
        <w:t>5</w:t>
      </w:r>
      <w:r>
        <w:rPr>
          <w:rFonts w:hint="eastAsia"/>
          <w:b/>
          <w:sz w:val="24"/>
          <w:szCs w:val="24"/>
        </w:rPr>
        <w:t>）防腐设计</w:t>
      </w:r>
    </w:p>
    <w:p w14:paraId="79E8BA1D" w14:textId="77777777" w:rsidR="007D1E74" w:rsidRDefault="00A95641">
      <w:pPr>
        <w:spacing w:line="360" w:lineRule="auto"/>
        <w:ind w:firstLineChars="200" w:firstLine="480"/>
        <w:rPr>
          <w:sz w:val="24"/>
          <w:szCs w:val="24"/>
        </w:rPr>
      </w:pPr>
      <w:r>
        <w:rPr>
          <w:rFonts w:hint="eastAsia"/>
          <w:sz w:val="24"/>
          <w:szCs w:val="24"/>
        </w:rPr>
        <w:t>本项目一般线路防腐采用常温型加强级三层</w:t>
      </w:r>
      <w:r>
        <w:rPr>
          <w:rFonts w:hint="eastAsia"/>
          <w:sz w:val="24"/>
          <w:szCs w:val="24"/>
        </w:rPr>
        <w:t xml:space="preserve"> PE</w:t>
      </w:r>
      <w:r>
        <w:rPr>
          <w:rFonts w:hint="eastAsia"/>
          <w:sz w:val="24"/>
          <w:szCs w:val="24"/>
        </w:rPr>
        <w:t>防腐层，其中底层为熔结环氧粉末，中间层为胶粘剂层。热煨弯管外防腐层采用无溶剂液体环氧涂料</w:t>
      </w:r>
      <w:r>
        <w:rPr>
          <w:rFonts w:hint="eastAsia"/>
          <w:sz w:val="24"/>
          <w:szCs w:val="24"/>
        </w:rPr>
        <w:t>+</w:t>
      </w:r>
      <w:r>
        <w:rPr>
          <w:rFonts w:hint="eastAsia"/>
          <w:sz w:val="24"/>
          <w:szCs w:val="24"/>
        </w:rPr>
        <w:t>聚乙烯热收缩带。外输管道和集输干线采用强制电流阴极保护系统实施保护。</w:t>
      </w:r>
    </w:p>
    <w:p w14:paraId="7038D4B5" w14:textId="77777777" w:rsidR="007D1E74" w:rsidRDefault="00A95641">
      <w:pPr>
        <w:pStyle w:val="afffff7"/>
        <w:ind w:firstLine="482"/>
      </w:pPr>
      <w:r>
        <w:t>4</w:t>
      </w:r>
      <w:r>
        <w:rPr>
          <w:rFonts w:hint="eastAsia"/>
        </w:rPr>
        <w:t>、消防风险防范措施</w:t>
      </w:r>
    </w:p>
    <w:p w14:paraId="4F450C6E" w14:textId="77777777" w:rsidR="007D1E74" w:rsidRDefault="00A95641">
      <w:pPr>
        <w:spacing w:line="360" w:lineRule="auto"/>
        <w:ind w:firstLineChars="200" w:firstLine="480"/>
        <w:rPr>
          <w:sz w:val="24"/>
          <w:szCs w:val="24"/>
        </w:rPr>
      </w:pPr>
      <w:r>
        <w:rPr>
          <w:rFonts w:hint="eastAsia"/>
          <w:sz w:val="24"/>
          <w:szCs w:val="24"/>
        </w:rPr>
        <w:t>根据《石油天然气工程设计防火规范》（</w:t>
      </w:r>
      <w:r>
        <w:rPr>
          <w:rFonts w:hint="eastAsia"/>
          <w:sz w:val="24"/>
          <w:szCs w:val="24"/>
        </w:rPr>
        <w:t>GB50183-2004</w:t>
      </w:r>
      <w:r>
        <w:rPr>
          <w:rFonts w:hint="eastAsia"/>
          <w:sz w:val="24"/>
          <w:szCs w:val="24"/>
        </w:rPr>
        <w:t>）及《建筑设计防火规范（</w:t>
      </w:r>
      <w:r>
        <w:rPr>
          <w:rFonts w:hint="eastAsia"/>
          <w:sz w:val="24"/>
          <w:szCs w:val="24"/>
        </w:rPr>
        <w:t>2018</w:t>
      </w:r>
      <w:r>
        <w:rPr>
          <w:rFonts w:hint="eastAsia"/>
          <w:sz w:val="24"/>
          <w:szCs w:val="24"/>
        </w:rPr>
        <w:t>年版）》（</w:t>
      </w:r>
      <w:r>
        <w:rPr>
          <w:rFonts w:hint="eastAsia"/>
          <w:sz w:val="24"/>
          <w:szCs w:val="24"/>
        </w:rPr>
        <w:t>GB50016-2014</w:t>
      </w:r>
      <w:r>
        <w:rPr>
          <w:rFonts w:hint="eastAsia"/>
          <w:sz w:val="24"/>
          <w:szCs w:val="24"/>
        </w:rPr>
        <w:t>）相关规定，项目阀组、阀室不设消防水系统，需配置一定数量的灭火器。</w:t>
      </w:r>
      <w:r>
        <w:rPr>
          <w:rFonts w:hint="eastAsia"/>
          <w:sz w:val="24"/>
          <w:szCs w:val="24"/>
        </w:rPr>
        <w:t>1#</w:t>
      </w:r>
      <w:r>
        <w:rPr>
          <w:rFonts w:hint="eastAsia"/>
          <w:sz w:val="24"/>
          <w:szCs w:val="24"/>
        </w:rPr>
        <w:t>阀室配置推车式和手提式磷酸铵盐干粉灭火器；</w:t>
      </w:r>
      <w:r>
        <w:rPr>
          <w:rFonts w:hint="eastAsia"/>
          <w:sz w:val="24"/>
          <w:szCs w:val="24"/>
        </w:rPr>
        <w:t>2#</w:t>
      </w:r>
      <w:r>
        <w:rPr>
          <w:rFonts w:hint="eastAsia"/>
          <w:sz w:val="24"/>
          <w:szCs w:val="24"/>
        </w:rPr>
        <w:t>、</w:t>
      </w:r>
      <w:r>
        <w:rPr>
          <w:rFonts w:hint="eastAsia"/>
          <w:sz w:val="24"/>
          <w:szCs w:val="24"/>
        </w:rPr>
        <w:t>3#</w:t>
      </w:r>
      <w:r>
        <w:rPr>
          <w:rFonts w:hint="eastAsia"/>
          <w:sz w:val="24"/>
          <w:szCs w:val="24"/>
        </w:rPr>
        <w:t>插输阀组配置手提式磷酸铵盐干粉灭火器；</w:t>
      </w:r>
      <w:r>
        <w:rPr>
          <w:rFonts w:hint="eastAsia"/>
          <w:sz w:val="24"/>
          <w:szCs w:val="24"/>
        </w:rPr>
        <w:t>4#</w:t>
      </w:r>
      <w:r>
        <w:rPr>
          <w:rFonts w:hint="eastAsia"/>
          <w:sz w:val="24"/>
          <w:szCs w:val="24"/>
        </w:rPr>
        <w:t>清管阀组配置推车式和手提式磷酸铵盐干粉灭火器。</w:t>
      </w:r>
    </w:p>
    <w:p w14:paraId="26FAA85C" w14:textId="77777777" w:rsidR="007D1E74" w:rsidRDefault="00A95641">
      <w:pPr>
        <w:pStyle w:val="afffff7"/>
        <w:ind w:firstLine="482"/>
      </w:pPr>
      <w:r>
        <w:t>5</w:t>
      </w:r>
      <w:r>
        <w:rPr>
          <w:rFonts w:hint="eastAsia"/>
        </w:rPr>
        <w:t>、防爆设计</w:t>
      </w:r>
    </w:p>
    <w:p w14:paraId="7919A770" w14:textId="77777777" w:rsidR="007D1E74" w:rsidRDefault="00A95641">
      <w:pPr>
        <w:spacing w:line="360" w:lineRule="auto"/>
        <w:ind w:firstLineChars="200" w:firstLine="480"/>
        <w:rPr>
          <w:sz w:val="24"/>
          <w:szCs w:val="24"/>
        </w:rPr>
      </w:pPr>
      <w:r>
        <w:rPr>
          <w:rFonts w:hint="eastAsia"/>
          <w:sz w:val="24"/>
          <w:szCs w:val="24"/>
        </w:rPr>
        <w:t>本项目的场区爆炸性气体环境危险区域范围的划分依据《石油设施电气设备安装区域一级、</w:t>
      </w:r>
      <w:r>
        <w:rPr>
          <w:rFonts w:hint="eastAsia"/>
          <w:sz w:val="24"/>
          <w:szCs w:val="24"/>
        </w:rPr>
        <w:t>0</w:t>
      </w:r>
      <w:r>
        <w:rPr>
          <w:rFonts w:hint="eastAsia"/>
          <w:sz w:val="24"/>
          <w:szCs w:val="24"/>
        </w:rPr>
        <w:t>区、</w:t>
      </w:r>
      <w:r>
        <w:rPr>
          <w:rFonts w:hint="eastAsia"/>
          <w:sz w:val="24"/>
          <w:szCs w:val="24"/>
        </w:rPr>
        <w:t>1</w:t>
      </w:r>
      <w:r>
        <w:rPr>
          <w:rFonts w:hint="eastAsia"/>
          <w:sz w:val="24"/>
          <w:szCs w:val="24"/>
        </w:rPr>
        <w:t>区和</w:t>
      </w:r>
      <w:r>
        <w:rPr>
          <w:rFonts w:hint="eastAsia"/>
          <w:sz w:val="24"/>
          <w:szCs w:val="24"/>
        </w:rPr>
        <w:t xml:space="preserve"> 2</w:t>
      </w:r>
      <w:r>
        <w:rPr>
          <w:rFonts w:hint="eastAsia"/>
          <w:sz w:val="24"/>
          <w:szCs w:val="24"/>
        </w:rPr>
        <w:t>区区域划分推荐作法》（</w:t>
      </w:r>
      <w:r>
        <w:rPr>
          <w:rFonts w:hint="eastAsia"/>
          <w:sz w:val="24"/>
          <w:szCs w:val="24"/>
        </w:rPr>
        <w:t>SY/T 6671-2017</w:t>
      </w:r>
      <w:r>
        <w:rPr>
          <w:rFonts w:hint="eastAsia"/>
          <w:sz w:val="24"/>
          <w:szCs w:val="24"/>
        </w:rPr>
        <w:t>）执行；爆炸性气体环境危险区域范围的电气设计及电气设备选择依据国家标准《爆炸危险环境电力装置设计规范》（</w:t>
      </w:r>
      <w:r>
        <w:rPr>
          <w:rFonts w:hint="eastAsia"/>
          <w:sz w:val="24"/>
          <w:szCs w:val="24"/>
        </w:rPr>
        <w:t>GB50058-2014</w:t>
      </w:r>
      <w:r>
        <w:rPr>
          <w:rFonts w:hint="eastAsia"/>
          <w:sz w:val="24"/>
          <w:szCs w:val="24"/>
        </w:rPr>
        <w:t>）执行。爆炸性气体环境危险区域范围的电气设计及电气设备选择依据国家标准《爆炸危险环境电力装置设计规范》（</w:t>
      </w:r>
      <w:r>
        <w:rPr>
          <w:rFonts w:hint="eastAsia"/>
          <w:sz w:val="24"/>
          <w:szCs w:val="24"/>
        </w:rPr>
        <w:t>GB50058-2014</w:t>
      </w:r>
      <w:r>
        <w:rPr>
          <w:rFonts w:hint="eastAsia"/>
          <w:sz w:val="24"/>
          <w:szCs w:val="24"/>
        </w:rPr>
        <w:t>）执行。爆炸危险区域内的设备选用</w:t>
      </w:r>
      <w:r>
        <w:rPr>
          <w:rFonts w:hint="eastAsia"/>
          <w:sz w:val="24"/>
          <w:szCs w:val="24"/>
        </w:rPr>
        <w:t>Exd IIB T4</w:t>
      </w:r>
      <w:r>
        <w:rPr>
          <w:rFonts w:hint="eastAsia"/>
          <w:sz w:val="24"/>
          <w:szCs w:val="24"/>
        </w:rPr>
        <w:t>型设备，防护等级为</w:t>
      </w:r>
      <w:r>
        <w:rPr>
          <w:rFonts w:hint="eastAsia"/>
          <w:sz w:val="24"/>
          <w:szCs w:val="24"/>
        </w:rPr>
        <w:t>IP65</w:t>
      </w:r>
      <w:r>
        <w:rPr>
          <w:rFonts w:hint="eastAsia"/>
          <w:sz w:val="24"/>
          <w:szCs w:val="24"/>
        </w:rPr>
        <w:t>。</w:t>
      </w:r>
    </w:p>
    <w:p w14:paraId="6839619B" w14:textId="77777777" w:rsidR="007D1E74" w:rsidRDefault="00A95641">
      <w:pPr>
        <w:pStyle w:val="afffff7"/>
        <w:ind w:firstLine="482"/>
      </w:pPr>
      <w:r>
        <w:lastRenderedPageBreak/>
        <w:t>6</w:t>
      </w:r>
      <w:r>
        <w:rPr>
          <w:rFonts w:hint="eastAsia"/>
        </w:rPr>
        <w:t>、防雷、防静电及接地</w:t>
      </w:r>
    </w:p>
    <w:p w14:paraId="7C626321" w14:textId="77777777" w:rsidR="007D1E74" w:rsidRDefault="00A95641">
      <w:pPr>
        <w:spacing w:line="360" w:lineRule="auto"/>
        <w:ind w:firstLineChars="200" w:firstLine="482"/>
        <w:rPr>
          <w:b/>
          <w:sz w:val="24"/>
          <w:szCs w:val="24"/>
        </w:rPr>
      </w:pPr>
      <w:r>
        <w:rPr>
          <w:b/>
          <w:sz w:val="24"/>
          <w:szCs w:val="24"/>
        </w:rPr>
        <w:t>（</w:t>
      </w:r>
      <w:r>
        <w:rPr>
          <w:rFonts w:hint="eastAsia"/>
          <w:b/>
          <w:sz w:val="24"/>
          <w:szCs w:val="24"/>
        </w:rPr>
        <w:t>1</w:t>
      </w:r>
      <w:r>
        <w:rPr>
          <w:rFonts w:hint="eastAsia"/>
          <w:b/>
          <w:sz w:val="24"/>
          <w:szCs w:val="24"/>
        </w:rPr>
        <w:t>）防雷设置</w:t>
      </w:r>
    </w:p>
    <w:p w14:paraId="6581D170" w14:textId="77777777" w:rsidR="007D1E74" w:rsidRDefault="00A95641">
      <w:pPr>
        <w:spacing w:line="360" w:lineRule="auto"/>
        <w:ind w:firstLineChars="200" w:firstLine="480"/>
        <w:rPr>
          <w:sz w:val="24"/>
          <w:szCs w:val="24"/>
        </w:rPr>
      </w:pPr>
      <w:r>
        <w:rPr>
          <w:rFonts w:hint="eastAsia"/>
          <w:sz w:val="24"/>
          <w:szCs w:val="24"/>
        </w:rPr>
        <w:t>工艺装置区的设备及管架、管道的防雷保护执行《油气田及管道工程雷电防护设计规范》（</w:t>
      </w:r>
      <w:r>
        <w:rPr>
          <w:rFonts w:hint="eastAsia"/>
          <w:sz w:val="24"/>
          <w:szCs w:val="24"/>
        </w:rPr>
        <w:t>SY/T6885-2012</w:t>
      </w:r>
      <w:r>
        <w:rPr>
          <w:rFonts w:hint="eastAsia"/>
          <w:sz w:val="24"/>
          <w:szCs w:val="24"/>
        </w:rPr>
        <w:t>）。</w:t>
      </w:r>
    </w:p>
    <w:p w14:paraId="404C979E" w14:textId="77777777" w:rsidR="007D1E74" w:rsidRDefault="00A95641">
      <w:pPr>
        <w:spacing w:line="360" w:lineRule="auto"/>
        <w:ind w:firstLineChars="200" w:firstLine="480"/>
        <w:rPr>
          <w:sz w:val="24"/>
          <w:szCs w:val="24"/>
        </w:rPr>
      </w:pPr>
      <w:r>
        <w:rPr>
          <w:rFonts w:hint="eastAsia"/>
          <w:sz w:val="24"/>
          <w:szCs w:val="24"/>
        </w:rPr>
        <w:t>非工艺区内建筑物按照《建筑物防雷设计规范》（</w:t>
      </w:r>
      <w:r>
        <w:rPr>
          <w:rFonts w:hint="eastAsia"/>
          <w:sz w:val="24"/>
          <w:szCs w:val="24"/>
        </w:rPr>
        <w:t>GB50057-2010</w:t>
      </w:r>
      <w:r>
        <w:rPr>
          <w:rFonts w:hint="eastAsia"/>
          <w:sz w:val="24"/>
          <w:szCs w:val="24"/>
        </w:rPr>
        <w:t>）要求设计防雷设施，电子信息系统的防雷保护执行《建筑物电子信息系统防雷设计规范》（</w:t>
      </w:r>
      <w:r>
        <w:rPr>
          <w:rFonts w:hint="eastAsia"/>
          <w:sz w:val="24"/>
          <w:szCs w:val="24"/>
        </w:rPr>
        <w:t>GB50343-2012</w:t>
      </w:r>
      <w:r>
        <w:rPr>
          <w:rFonts w:hint="eastAsia"/>
          <w:sz w:val="24"/>
          <w:szCs w:val="24"/>
        </w:rPr>
        <w:t>）有关部分规定。</w:t>
      </w:r>
    </w:p>
    <w:p w14:paraId="556171BF" w14:textId="77777777" w:rsidR="007D1E74" w:rsidRDefault="00A95641">
      <w:pPr>
        <w:spacing w:line="360" w:lineRule="auto"/>
        <w:ind w:firstLineChars="200" w:firstLine="482"/>
        <w:rPr>
          <w:b/>
          <w:sz w:val="24"/>
          <w:szCs w:val="24"/>
        </w:rPr>
      </w:pPr>
      <w:r>
        <w:rPr>
          <w:b/>
          <w:sz w:val="24"/>
          <w:szCs w:val="24"/>
        </w:rPr>
        <w:t>（</w:t>
      </w:r>
      <w:r>
        <w:rPr>
          <w:b/>
          <w:sz w:val="24"/>
          <w:szCs w:val="24"/>
        </w:rPr>
        <w:t>2</w:t>
      </w:r>
      <w:r>
        <w:rPr>
          <w:rFonts w:hint="eastAsia"/>
          <w:b/>
          <w:sz w:val="24"/>
          <w:szCs w:val="24"/>
        </w:rPr>
        <w:t>）防静电设置</w:t>
      </w:r>
    </w:p>
    <w:p w14:paraId="16559510" w14:textId="77777777" w:rsidR="007D1E74" w:rsidRDefault="00A95641">
      <w:pPr>
        <w:spacing w:line="360" w:lineRule="auto"/>
        <w:ind w:firstLineChars="200" w:firstLine="480"/>
        <w:rPr>
          <w:sz w:val="24"/>
          <w:szCs w:val="24"/>
        </w:rPr>
      </w:pPr>
      <w:r>
        <w:rPr>
          <w:rFonts w:hint="eastAsia"/>
          <w:sz w:val="24"/>
          <w:szCs w:val="24"/>
        </w:rPr>
        <w:t>根据《油气田防静电接地设计规范》（</w:t>
      </w:r>
      <w:r>
        <w:rPr>
          <w:rFonts w:hint="eastAsia"/>
          <w:sz w:val="24"/>
          <w:szCs w:val="24"/>
        </w:rPr>
        <w:t>SY/T 0060-2017</w:t>
      </w:r>
      <w:r>
        <w:rPr>
          <w:rFonts w:hint="eastAsia"/>
          <w:sz w:val="24"/>
          <w:szCs w:val="24"/>
        </w:rPr>
        <w:t>）中有关规定，本项目防静电及接地采用以下措施：</w:t>
      </w:r>
    </w:p>
    <w:p w14:paraId="6C445722" w14:textId="77777777" w:rsidR="007D1E74" w:rsidRDefault="00A95641">
      <w:pPr>
        <w:spacing w:line="360" w:lineRule="auto"/>
        <w:ind w:firstLineChars="200" w:firstLine="480"/>
        <w:rPr>
          <w:sz w:val="24"/>
          <w:szCs w:val="24"/>
        </w:rPr>
      </w:pPr>
      <w:r>
        <w:rPr>
          <w:rFonts w:hint="eastAsia"/>
          <w:sz w:val="24"/>
          <w:szCs w:val="24"/>
        </w:rPr>
        <w:t>站内管道的始、末端、管道在进出装置区处、分岔处应进行接地。长距离无分支管道应每隔</w:t>
      </w:r>
      <w:r>
        <w:rPr>
          <w:rFonts w:hint="eastAsia"/>
          <w:sz w:val="24"/>
          <w:szCs w:val="24"/>
        </w:rPr>
        <w:t>100m</w:t>
      </w:r>
      <w:r>
        <w:rPr>
          <w:rFonts w:hint="eastAsia"/>
          <w:sz w:val="24"/>
          <w:szCs w:val="24"/>
        </w:rPr>
        <w:t>接地一次，平行管道净距小于</w:t>
      </w:r>
      <w:r>
        <w:rPr>
          <w:rFonts w:hint="eastAsia"/>
          <w:sz w:val="24"/>
          <w:szCs w:val="24"/>
        </w:rPr>
        <w:t>100mm</w:t>
      </w:r>
      <w:r>
        <w:rPr>
          <w:rFonts w:hint="eastAsia"/>
          <w:sz w:val="24"/>
          <w:szCs w:val="24"/>
        </w:rPr>
        <w:t>时，应每隔</w:t>
      </w:r>
      <w:r>
        <w:rPr>
          <w:rFonts w:hint="eastAsia"/>
          <w:sz w:val="24"/>
          <w:szCs w:val="24"/>
        </w:rPr>
        <w:t>20m</w:t>
      </w:r>
      <w:r>
        <w:rPr>
          <w:rFonts w:hint="eastAsia"/>
          <w:sz w:val="24"/>
          <w:szCs w:val="24"/>
        </w:rPr>
        <w:t>加跨接线。当管道交叉且净距小于</w:t>
      </w:r>
      <w:r>
        <w:rPr>
          <w:rFonts w:hint="eastAsia"/>
          <w:sz w:val="24"/>
          <w:szCs w:val="24"/>
        </w:rPr>
        <w:t>100mm</w:t>
      </w:r>
      <w:r>
        <w:rPr>
          <w:rFonts w:hint="eastAsia"/>
          <w:sz w:val="24"/>
          <w:szCs w:val="24"/>
        </w:rPr>
        <w:t>时，应加跨接线。</w:t>
      </w:r>
      <w:r>
        <w:rPr>
          <w:rFonts w:hint="eastAsia"/>
          <w:sz w:val="24"/>
          <w:szCs w:val="24"/>
        </w:rPr>
        <w:t xml:space="preserve"> </w:t>
      </w:r>
    </w:p>
    <w:p w14:paraId="14CFA8C4" w14:textId="77777777" w:rsidR="007D1E74" w:rsidRDefault="00A95641">
      <w:pPr>
        <w:spacing w:line="360" w:lineRule="auto"/>
        <w:ind w:firstLineChars="200" w:firstLine="480"/>
        <w:rPr>
          <w:sz w:val="24"/>
          <w:szCs w:val="24"/>
        </w:rPr>
      </w:pPr>
      <w:r>
        <w:rPr>
          <w:rFonts w:hint="eastAsia"/>
          <w:sz w:val="24"/>
          <w:szCs w:val="24"/>
        </w:rPr>
        <w:t>在爆炸危险场所中凡生产储存过程有可能产生静电的管道、设备、金属导体等均应做防静电接地。输气管线的法兰（绝缘法兰除外）、阀门连接处，应采用金属线跨接。</w:t>
      </w:r>
    </w:p>
    <w:p w14:paraId="7D8A32F4" w14:textId="77777777" w:rsidR="007D1E74" w:rsidRDefault="00A95641">
      <w:pPr>
        <w:spacing w:line="360" w:lineRule="auto"/>
        <w:ind w:firstLineChars="200" w:firstLine="482"/>
        <w:rPr>
          <w:b/>
          <w:sz w:val="24"/>
          <w:szCs w:val="24"/>
        </w:rPr>
      </w:pPr>
      <w:r>
        <w:rPr>
          <w:b/>
          <w:sz w:val="24"/>
          <w:szCs w:val="24"/>
        </w:rPr>
        <w:t>（</w:t>
      </w:r>
      <w:r>
        <w:rPr>
          <w:b/>
          <w:sz w:val="24"/>
          <w:szCs w:val="24"/>
        </w:rPr>
        <w:t>3</w:t>
      </w:r>
      <w:r>
        <w:rPr>
          <w:rFonts w:hint="eastAsia"/>
          <w:b/>
          <w:sz w:val="24"/>
          <w:szCs w:val="24"/>
        </w:rPr>
        <w:t>）接地设置</w:t>
      </w:r>
    </w:p>
    <w:p w14:paraId="39D1ACFB" w14:textId="77777777" w:rsidR="007D1E74" w:rsidRDefault="00A95641">
      <w:pPr>
        <w:spacing w:line="360" w:lineRule="auto"/>
        <w:ind w:firstLineChars="200" w:firstLine="480"/>
        <w:rPr>
          <w:sz w:val="24"/>
          <w:szCs w:val="24"/>
        </w:rPr>
      </w:pPr>
      <w:r>
        <w:rPr>
          <w:rFonts w:hint="eastAsia"/>
          <w:sz w:val="24"/>
          <w:szCs w:val="24"/>
        </w:rPr>
        <w:t>配电系统低压接</w:t>
      </w:r>
      <w:r>
        <w:rPr>
          <w:rFonts w:cs="Times New Roman"/>
          <w:sz w:val="24"/>
          <w:szCs w:val="24"/>
        </w:rPr>
        <w:t>地采用</w:t>
      </w:r>
      <w:r>
        <w:rPr>
          <w:rFonts w:cs="Times New Roman"/>
          <w:sz w:val="24"/>
          <w:szCs w:val="24"/>
        </w:rPr>
        <w:t>TN-S</w:t>
      </w:r>
      <w:r>
        <w:rPr>
          <w:rFonts w:cs="Times New Roman"/>
          <w:sz w:val="24"/>
          <w:szCs w:val="24"/>
        </w:rPr>
        <w:t>系统，电气接地、自控、通信的保护接地及工作接地、防雷防静电接地等共用同一接地装置时，接地电阻不大于</w:t>
      </w:r>
      <w:r>
        <w:rPr>
          <w:rFonts w:cs="Times New Roman"/>
          <w:sz w:val="24"/>
          <w:szCs w:val="24"/>
        </w:rPr>
        <w:t>1Ω</w:t>
      </w:r>
      <w:r>
        <w:rPr>
          <w:rFonts w:cs="Times New Roman"/>
          <w:sz w:val="24"/>
          <w:szCs w:val="24"/>
        </w:rPr>
        <w:t>。</w:t>
      </w:r>
    </w:p>
    <w:p w14:paraId="3BE5FA37" w14:textId="77777777" w:rsidR="007D1E74" w:rsidRDefault="00A95641">
      <w:pPr>
        <w:spacing w:line="360" w:lineRule="auto"/>
        <w:ind w:firstLineChars="200" w:firstLine="480"/>
        <w:rPr>
          <w:sz w:val="24"/>
          <w:szCs w:val="24"/>
        </w:rPr>
      </w:pPr>
      <w:r>
        <w:rPr>
          <w:rFonts w:hint="eastAsia"/>
          <w:sz w:val="24"/>
          <w:szCs w:val="24"/>
        </w:rPr>
        <w:t>放空管设集中接地装置，工艺装置区设备外壳均与附近接地系统可靠连接，室外每组路灯均单独做一组接地，接地装置的接地电阻不大于</w:t>
      </w:r>
      <w:r>
        <w:rPr>
          <w:rFonts w:hint="eastAsia"/>
          <w:sz w:val="24"/>
          <w:szCs w:val="24"/>
        </w:rPr>
        <w:t>10</w:t>
      </w:r>
      <w:r>
        <w:rPr>
          <w:rFonts w:cs="Times New Roman"/>
          <w:sz w:val="24"/>
          <w:szCs w:val="24"/>
        </w:rPr>
        <w:t>Ω</w:t>
      </w:r>
      <w:r>
        <w:rPr>
          <w:rFonts w:hint="eastAsia"/>
          <w:sz w:val="24"/>
          <w:szCs w:val="24"/>
        </w:rPr>
        <w:t>。</w:t>
      </w:r>
    </w:p>
    <w:p w14:paraId="00BCF271" w14:textId="77777777" w:rsidR="007D1E74" w:rsidRDefault="00A95641">
      <w:pPr>
        <w:pStyle w:val="aa"/>
      </w:pPr>
      <w:r>
        <w:rPr>
          <w:rFonts w:hint="eastAsia"/>
        </w:rPr>
        <w:t>施工期</w:t>
      </w:r>
      <w:r>
        <w:t>风险防范措施</w:t>
      </w:r>
    </w:p>
    <w:p w14:paraId="6BAD8016" w14:textId="77777777" w:rsidR="007D1E74" w:rsidRDefault="00A95641">
      <w:pPr>
        <w:spacing w:line="360" w:lineRule="auto"/>
        <w:ind w:firstLineChars="200" w:firstLine="480"/>
        <w:rPr>
          <w:sz w:val="24"/>
          <w:szCs w:val="24"/>
        </w:rPr>
      </w:pPr>
      <w:r>
        <w:rPr>
          <w:rFonts w:hint="eastAsia"/>
          <w:sz w:val="24"/>
          <w:szCs w:val="24"/>
        </w:rPr>
        <w:t>施工质量是关系到管道能否安全、平稳投产和运行，以及减少事故发生的关键。施工过程中除要遵守国家、行业有关施工规范和符合设计要求外，还应注意以下几方面的问题：</w:t>
      </w:r>
    </w:p>
    <w:p w14:paraId="7A17BE2E"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w:t>
      </w:r>
      <w:r>
        <w:rPr>
          <w:rFonts w:hint="eastAsia"/>
          <w:sz w:val="24"/>
          <w:szCs w:val="24"/>
        </w:rPr>
        <w:t>）严格挑选施工队伍，建议建设单位通过招投标方式将工程发包给具有相应资质、施工经验丰富、声誉良好的施工单位、监理单位、检测单位和供货厂商。</w:t>
      </w:r>
    </w:p>
    <w:p w14:paraId="7BE7EF8E"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2</w:t>
      </w:r>
      <w:r>
        <w:rPr>
          <w:rFonts w:hint="eastAsia"/>
          <w:sz w:val="24"/>
          <w:szCs w:val="24"/>
        </w:rPr>
        <w:t>）从事管道焊接以及无损检测的检测人员，必须按有关规定取得行政部门颁发的特种作业人员资格书，并要求持证上岗。</w:t>
      </w:r>
    </w:p>
    <w:p w14:paraId="0BDE1CBD"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3</w:t>
      </w:r>
      <w:r>
        <w:rPr>
          <w:rFonts w:hint="eastAsia"/>
          <w:sz w:val="24"/>
          <w:szCs w:val="24"/>
        </w:rPr>
        <w:t>）严格施工规范，强化</w:t>
      </w:r>
      <w:r>
        <w:rPr>
          <w:rFonts w:hint="eastAsia"/>
          <w:sz w:val="24"/>
          <w:szCs w:val="24"/>
        </w:rPr>
        <w:t>HSE</w:t>
      </w:r>
      <w:r>
        <w:rPr>
          <w:rFonts w:hint="eastAsia"/>
          <w:sz w:val="24"/>
          <w:szCs w:val="24"/>
        </w:rPr>
        <w:t>管理，把工程的整体质量分解到各个施工工序上进</w:t>
      </w:r>
      <w:r>
        <w:rPr>
          <w:rFonts w:hint="eastAsia"/>
          <w:sz w:val="24"/>
          <w:szCs w:val="24"/>
        </w:rPr>
        <w:lastRenderedPageBreak/>
        <w:t>行控制，通过控制每一道工序的施工质量，来保证整个管道工程的施工质量。加强施工过程中薄弱环节或部位的质量控制。</w:t>
      </w:r>
    </w:p>
    <w:p w14:paraId="630145C4"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4</w:t>
      </w:r>
      <w:r>
        <w:rPr>
          <w:rFonts w:hint="eastAsia"/>
          <w:sz w:val="24"/>
          <w:szCs w:val="24"/>
        </w:rPr>
        <w:t>）施工单位在开工前应根据设计文件提出的钢种等级、焊接材料、焊接方法和焊接工艺等，进行焊接工艺评定，并根据管材情况，在经过严格的焊接工艺评定基础上优选出适用的焊接材料，并制定出严格的焊接工艺规程。焊接工艺规程经有关部门及专家审定后实施，采办、施工、监理各方要严格执行以确保焊接质量。</w:t>
      </w:r>
    </w:p>
    <w:p w14:paraId="42DE5881"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5</w:t>
      </w:r>
      <w:r>
        <w:rPr>
          <w:rFonts w:hint="eastAsia"/>
          <w:sz w:val="24"/>
          <w:szCs w:val="24"/>
        </w:rPr>
        <w:t>）加强管材制造和外防腐预制过程的质量控制，建议由建设单位或监理单位进行驻厂监造，确保管材和外防腐层的出厂质量。</w:t>
      </w:r>
    </w:p>
    <w:p w14:paraId="66F620B5"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6</w:t>
      </w:r>
      <w:r>
        <w:rPr>
          <w:rFonts w:hint="eastAsia"/>
          <w:sz w:val="24"/>
          <w:szCs w:val="24"/>
        </w:rPr>
        <w:t>）对工程中所使用的设备及附件，应严格进行施工安装前的质量检验，检验合格后方可进行施工安装。</w:t>
      </w:r>
    </w:p>
    <w:p w14:paraId="0B51A369" w14:textId="77777777" w:rsidR="007D1E74" w:rsidRDefault="00A95641">
      <w:pPr>
        <w:spacing w:line="360" w:lineRule="auto"/>
        <w:ind w:firstLineChars="200" w:firstLine="480"/>
        <w:rPr>
          <w:sz w:val="24"/>
          <w:szCs w:val="24"/>
        </w:rPr>
      </w:pPr>
      <w:r>
        <w:rPr>
          <w:rFonts w:hint="eastAsia"/>
          <w:sz w:val="24"/>
          <w:szCs w:val="24"/>
        </w:rPr>
        <w:t>（</w:t>
      </w:r>
      <w:r>
        <w:rPr>
          <w:sz w:val="24"/>
          <w:szCs w:val="24"/>
        </w:rPr>
        <w:t>7</w:t>
      </w:r>
      <w:r>
        <w:rPr>
          <w:rFonts w:hint="eastAsia"/>
          <w:sz w:val="24"/>
          <w:szCs w:val="24"/>
        </w:rPr>
        <w:t>）施工单位根据管道的具体情况制定详细的管道试压和清管方案以及安全措施，经有关部门及专家审定后实施。在施工过程中由有关单位负责严格监督施工方案以及安全措施的实施情况，确保试压和清管达到规范规定的要求。管道施工过程中应科学组织，文明施工，尽量避免管道防腐层的损坏和管体的损伤等，一旦发生损伤，必须采取有效措施进行修复。特别注意管道内部的清理，防止泥土，手套、焊条、焊接工具等杂物遗留在管道内。</w:t>
      </w:r>
    </w:p>
    <w:p w14:paraId="55F6BCF3" w14:textId="77777777" w:rsidR="007D1E74" w:rsidRDefault="00A95641">
      <w:pPr>
        <w:spacing w:line="360" w:lineRule="auto"/>
        <w:ind w:firstLineChars="200" w:firstLine="480"/>
        <w:rPr>
          <w:sz w:val="24"/>
          <w:szCs w:val="24"/>
        </w:rPr>
      </w:pPr>
      <w:r>
        <w:rPr>
          <w:rFonts w:hint="eastAsia"/>
          <w:sz w:val="24"/>
          <w:szCs w:val="24"/>
        </w:rPr>
        <w:t>（</w:t>
      </w:r>
      <w:r>
        <w:rPr>
          <w:sz w:val="24"/>
          <w:szCs w:val="24"/>
        </w:rPr>
        <w:t>8</w:t>
      </w:r>
      <w:r>
        <w:rPr>
          <w:rFonts w:hint="eastAsia"/>
          <w:sz w:val="24"/>
          <w:szCs w:val="24"/>
        </w:rPr>
        <w:t>）加强地质灾害地段的施工管理，严格按照设计要求施工，确保施工质量。</w:t>
      </w:r>
    </w:p>
    <w:p w14:paraId="75BB8CE4" w14:textId="77777777" w:rsidR="007D1E74" w:rsidRDefault="00A95641">
      <w:pPr>
        <w:spacing w:line="360" w:lineRule="auto"/>
        <w:ind w:firstLineChars="200" w:firstLine="480"/>
        <w:rPr>
          <w:sz w:val="24"/>
          <w:szCs w:val="24"/>
        </w:rPr>
      </w:pPr>
      <w:r>
        <w:rPr>
          <w:rFonts w:hint="eastAsia"/>
          <w:sz w:val="24"/>
          <w:szCs w:val="24"/>
        </w:rPr>
        <w:t>（</w:t>
      </w:r>
      <w:r>
        <w:rPr>
          <w:sz w:val="24"/>
          <w:szCs w:val="24"/>
        </w:rPr>
        <w:t>9</w:t>
      </w:r>
      <w:r>
        <w:rPr>
          <w:rFonts w:hint="eastAsia"/>
          <w:sz w:val="24"/>
          <w:szCs w:val="24"/>
        </w:rPr>
        <w:t>）组装完毕的防腐管道应及时下沟、及时回填，以减少或避免意外的自然和人为灾害对施工质量的影响。</w:t>
      </w:r>
    </w:p>
    <w:p w14:paraId="37190622"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w:t>
      </w:r>
      <w:r>
        <w:rPr>
          <w:sz w:val="24"/>
          <w:szCs w:val="24"/>
        </w:rPr>
        <w:t>0</w:t>
      </w:r>
      <w:r>
        <w:rPr>
          <w:rFonts w:hint="eastAsia"/>
          <w:sz w:val="24"/>
          <w:szCs w:val="24"/>
        </w:rPr>
        <w:t>）重视补口材料的选用及施工要求，加强对补口质量的监督、检验。</w:t>
      </w:r>
    </w:p>
    <w:p w14:paraId="560D1134"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12</w:t>
      </w:r>
      <w:r>
        <w:rPr>
          <w:rFonts w:hint="eastAsia"/>
          <w:sz w:val="24"/>
          <w:szCs w:val="24"/>
        </w:rPr>
        <w:t>）施工单位应具有丰富的应急技术手段，对复杂地形管道施工有多种施工方案。</w:t>
      </w:r>
    </w:p>
    <w:p w14:paraId="4E59E356"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13</w:t>
      </w:r>
      <w:r>
        <w:rPr>
          <w:rFonts w:hint="eastAsia"/>
          <w:sz w:val="24"/>
          <w:szCs w:val="24"/>
        </w:rPr>
        <w:t>）施工完毕后应由工程建设主管部门会同具有相应检验资质的单位，根据《油气长输管道工程施工及验收规范》（</w:t>
      </w:r>
      <w:r>
        <w:rPr>
          <w:rFonts w:hint="eastAsia"/>
          <w:sz w:val="24"/>
          <w:szCs w:val="24"/>
        </w:rPr>
        <w:t>GB50369-2014</w:t>
      </w:r>
      <w:r>
        <w:rPr>
          <w:rFonts w:hint="eastAsia"/>
          <w:sz w:val="24"/>
          <w:szCs w:val="24"/>
        </w:rPr>
        <w:t>）和其他有关规定，对管道的施工质量进行监督检验。</w:t>
      </w:r>
    </w:p>
    <w:p w14:paraId="69734636" w14:textId="77777777" w:rsidR="007D1E74" w:rsidRDefault="00A95641">
      <w:pPr>
        <w:pStyle w:val="aa"/>
      </w:pPr>
      <w:r>
        <w:rPr>
          <w:rFonts w:hint="eastAsia"/>
        </w:rPr>
        <w:t>运营期</w:t>
      </w:r>
      <w:r>
        <w:t>风险防范措施</w:t>
      </w:r>
    </w:p>
    <w:p w14:paraId="06597C02"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w:t>
      </w:r>
      <w:r>
        <w:rPr>
          <w:rFonts w:hint="eastAsia"/>
          <w:sz w:val="24"/>
          <w:szCs w:val="24"/>
        </w:rPr>
        <w:t>）加强运行管理，建立完善的应急管理体系，制定全面的应急管理规章制度、工艺操作规程、安全技术规程、安全操作规程和事故预案。加强一线操作员工和调度人员的培训，熟练掌握正常操作和事故状态下的紧急处理程序和操作。</w:t>
      </w:r>
    </w:p>
    <w:p w14:paraId="31F70BE7"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2</w:t>
      </w:r>
      <w:r>
        <w:rPr>
          <w:rFonts w:hint="eastAsia"/>
          <w:sz w:val="24"/>
          <w:szCs w:val="24"/>
        </w:rPr>
        <w:t>）推行</w:t>
      </w:r>
      <w:r>
        <w:rPr>
          <w:rFonts w:hint="eastAsia"/>
          <w:sz w:val="24"/>
          <w:szCs w:val="24"/>
        </w:rPr>
        <w:t>HSE</w:t>
      </w:r>
      <w:r>
        <w:rPr>
          <w:rFonts w:hint="eastAsia"/>
          <w:sz w:val="24"/>
          <w:szCs w:val="24"/>
        </w:rPr>
        <w:t>体系建设，定期组织企业内部审核，做到了体系运行与日常管理工</w:t>
      </w:r>
      <w:r>
        <w:rPr>
          <w:rFonts w:hint="eastAsia"/>
          <w:sz w:val="24"/>
          <w:szCs w:val="24"/>
        </w:rPr>
        <w:lastRenderedPageBreak/>
        <w:t>作互相促进和协调统一，最大程度地消减事故的发生。</w:t>
      </w:r>
    </w:p>
    <w:p w14:paraId="6D907914"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3</w:t>
      </w:r>
      <w:r>
        <w:rPr>
          <w:rFonts w:hint="eastAsia"/>
          <w:sz w:val="24"/>
          <w:szCs w:val="24"/>
        </w:rPr>
        <w:t>）加强通信系统、自控系统的维护管理，定期对各类仪表、设备进行监测和检验，确保正常操作和事故状态下及时动作，以防止事故的进一步扩大。确保阴极保护系统的正常运行，对管道腐蚀状况要进行监测，发现问题及时采取措施。</w:t>
      </w:r>
    </w:p>
    <w:p w14:paraId="5A81DE23"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4</w:t>
      </w:r>
      <w:r>
        <w:rPr>
          <w:rFonts w:hint="eastAsia"/>
          <w:sz w:val="24"/>
          <w:szCs w:val="24"/>
        </w:rPr>
        <w:t>）加强对管道穿跨越段、水工保护设施的维护管理和沿线的巡查，以及强化管道安全保护的宣传教育，提高沿线人民群众公共安全意识，最大限度地减少自然灾害和人为因素对管道的破坏。确保阴极保护系统的正常运行，对管道腐蚀状况要进行监测，发现问题及时采取措施。</w:t>
      </w:r>
    </w:p>
    <w:p w14:paraId="4333D7E1"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5</w:t>
      </w:r>
      <w:r>
        <w:rPr>
          <w:rFonts w:hint="eastAsia"/>
          <w:sz w:val="24"/>
          <w:szCs w:val="24"/>
        </w:rPr>
        <w:t>）根据管道沿线地质、地理、地貌、水文、气象环境条件，因地制宜地制定自然灾害防护措施。</w:t>
      </w:r>
    </w:p>
    <w:p w14:paraId="36EDB38C"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6</w:t>
      </w:r>
      <w:r>
        <w:rPr>
          <w:rFonts w:hint="eastAsia"/>
          <w:sz w:val="24"/>
          <w:szCs w:val="24"/>
        </w:rPr>
        <w:t>）运行期间，有可能出现人为或自然灾害造成的突发性事故，必须及时对管道进行抢修；为保证输气管道安全，对管道必须进行有计划的维修。为了保障人民生命和财产的安全，必须建立完善的管道维修及抢修体系，设立专业化管理的维修及抢修队伍，配备齐全的维抢修设备、机具，确保事故状态下能及时到位，并在最短时间内完成管道的维抢修作业。</w:t>
      </w:r>
    </w:p>
    <w:p w14:paraId="580DCF69"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7</w:t>
      </w:r>
      <w:r>
        <w:rPr>
          <w:rFonts w:hint="eastAsia"/>
          <w:sz w:val="24"/>
          <w:szCs w:val="24"/>
        </w:rPr>
        <w:t>）建立技术档案，包括各种技术报表、安全操作规程、安全规章制度、电气设施检测数据等，为安全生产管理提供依据。</w:t>
      </w:r>
    </w:p>
    <w:p w14:paraId="24DAC8E9"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8</w:t>
      </w:r>
      <w:r>
        <w:rPr>
          <w:rFonts w:hint="eastAsia"/>
          <w:sz w:val="24"/>
          <w:szCs w:val="24"/>
        </w:rPr>
        <w:t>）重要危险点的仪表（流量、压力等）应有备用件，当工艺流程或仪表设备有变动时，应及时换发新操作规程或修改仪表设备档案。</w:t>
      </w:r>
    </w:p>
    <w:p w14:paraId="785A5D58"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9</w:t>
      </w:r>
      <w:r>
        <w:rPr>
          <w:rFonts w:hint="eastAsia"/>
          <w:sz w:val="24"/>
          <w:szCs w:val="24"/>
        </w:rPr>
        <w:t>）通过清管排除管内污物，达到防止内腐蚀的目的。根据管道运行状况合理制定清管周期并及时组织管道的清管，特别是投产初期更应引起注意。</w:t>
      </w:r>
    </w:p>
    <w:p w14:paraId="3DBBFCD8"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10</w:t>
      </w:r>
      <w:r>
        <w:rPr>
          <w:rFonts w:hint="eastAsia"/>
          <w:sz w:val="24"/>
          <w:szCs w:val="24"/>
        </w:rPr>
        <w:t>）定期对管道进行内、外检测和评估，掌握管道强度和完整性等数据，建立检测档案，从而可有计划地进行管道维修，减少穿孔泄漏事故；加强管道腐蚀控制，尽快推行并实施管道完整性管理。</w:t>
      </w:r>
    </w:p>
    <w:p w14:paraId="6FDFB851"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11</w:t>
      </w:r>
      <w:r>
        <w:rPr>
          <w:rFonts w:hint="eastAsia"/>
          <w:sz w:val="24"/>
          <w:szCs w:val="24"/>
        </w:rPr>
        <w:t>）加大管道周围安全隐患的治理力度，遏制违章建筑及占压；对于管道上方及附近的开荒行为加强监督，防止破坏管道；严禁挖沙取土。</w:t>
      </w:r>
    </w:p>
    <w:p w14:paraId="74AEF10F"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12</w:t>
      </w:r>
      <w:r>
        <w:rPr>
          <w:rFonts w:hint="eastAsia"/>
          <w:sz w:val="24"/>
          <w:szCs w:val="24"/>
        </w:rPr>
        <w:t>）建议管理单位与沿线地方政府及有关部门及时进行沟通联系和密切协作，建立不同形式的联防网络，进行联合治理，加大管道周围安全隐患的治理力度，有效遏制违章建筑及占压。按《中华人民共和国石油天然气管道保护法》的要求，禁止管道两侧</w:t>
      </w:r>
      <w:r>
        <w:rPr>
          <w:rFonts w:hint="eastAsia"/>
          <w:sz w:val="24"/>
          <w:szCs w:val="24"/>
        </w:rPr>
        <w:lastRenderedPageBreak/>
        <w:t>5m</w:t>
      </w:r>
      <w:r>
        <w:rPr>
          <w:rFonts w:hint="eastAsia"/>
          <w:sz w:val="24"/>
          <w:szCs w:val="24"/>
        </w:rPr>
        <w:t>范围新建居民住宅；</w:t>
      </w:r>
      <w:r>
        <w:rPr>
          <w:rFonts w:hint="eastAsia"/>
          <w:sz w:val="24"/>
          <w:szCs w:val="24"/>
        </w:rPr>
        <w:t>50m</w:t>
      </w:r>
      <w:r>
        <w:rPr>
          <w:rFonts w:hint="eastAsia"/>
          <w:sz w:val="24"/>
          <w:szCs w:val="24"/>
        </w:rPr>
        <w:t>范围内禁止爆破、开山和修筑大型建筑物、构筑物工程；在管道中心线两侧各</w:t>
      </w:r>
      <w:r>
        <w:rPr>
          <w:rFonts w:hint="eastAsia"/>
          <w:sz w:val="24"/>
          <w:szCs w:val="24"/>
        </w:rPr>
        <w:t>50m</w:t>
      </w:r>
      <w:r>
        <w:rPr>
          <w:rFonts w:hint="eastAsia"/>
          <w:sz w:val="24"/>
          <w:szCs w:val="24"/>
        </w:rPr>
        <w:t>至</w:t>
      </w:r>
      <w:r>
        <w:rPr>
          <w:rFonts w:hint="eastAsia"/>
          <w:sz w:val="24"/>
          <w:szCs w:val="24"/>
        </w:rPr>
        <w:t>500m</w:t>
      </w:r>
      <w:r>
        <w:rPr>
          <w:rFonts w:hint="eastAsia"/>
          <w:sz w:val="24"/>
          <w:szCs w:val="24"/>
        </w:rPr>
        <w:t>范围内进行爆破的，应当事先征得管道企业同意，在采取安全保护措施后方可进行；加强天然气管道安全宣传工作，减少第三方破坏活动的发生。</w:t>
      </w:r>
    </w:p>
    <w:p w14:paraId="7662D38B" w14:textId="77777777" w:rsidR="007D1E74" w:rsidRDefault="00A95641">
      <w:pPr>
        <w:spacing w:line="360" w:lineRule="auto"/>
        <w:ind w:firstLineChars="200" w:firstLine="480"/>
        <w:rPr>
          <w:sz w:val="24"/>
          <w:szCs w:val="24"/>
        </w:rPr>
      </w:pPr>
      <w:r>
        <w:rPr>
          <w:rFonts w:hint="eastAsia"/>
          <w:sz w:val="24"/>
          <w:szCs w:val="24"/>
        </w:rPr>
        <w:t>管理单位应加强重点地段管道的维护管理力度，建立完善的巡线制度，固定专门的巡线人员，配备专用的巡线车辆及器材，提高重点地段管线的巡线频率，坚持徒步巡线，保证不间断地对管道进行巡查，及时发现并处理现场所存在的隐患和问题，减小事故发生的几率；缩短重点地段管线的内、外壁检测周期，根据管道的内外壁腐蚀、埋深、损伤变形等的检测结果，及时采取相应的整改措施；增大沿线标志桩或警示牌的设置密度，以标示管道的准确走向，减少违章建筑和危及管道安全事故的发生；针对重点地段管线的特点，编制可能发生事故的专项应急救援预案，加强事故应急救援预案的演习和实施，减少事故造成的损失。</w:t>
      </w:r>
    </w:p>
    <w:p w14:paraId="485A6884" w14:textId="77777777" w:rsidR="007D1E74" w:rsidRDefault="00A95641">
      <w:pPr>
        <w:pStyle w:val="aa"/>
      </w:pPr>
      <w:r>
        <w:rPr>
          <w:rFonts w:hint="eastAsia"/>
        </w:rPr>
        <w:t>敏感管段风险防范措施</w:t>
      </w:r>
    </w:p>
    <w:p w14:paraId="4F6874E2" w14:textId="77777777" w:rsidR="007D1E74" w:rsidRDefault="00A95641">
      <w:pPr>
        <w:spacing w:line="360" w:lineRule="auto"/>
        <w:ind w:firstLineChars="200" w:firstLine="480"/>
        <w:rPr>
          <w:sz w:val="24"/>
          <w:szCs w:val="24"/>
        </w:rPr>
      </w:pPr>
      <w:r>
        <w:rPr>
          <w:sz w:val="24"/>
          <w:szCs w:val="24"/>
        </w:rPr>
        <w:t>针对集输管道穿越敏感区（</w:t>
      </w:r>
      <w:r>
        <w:rPr>
          <w:rFonts w:hint="eastAsia"/>
          <w:sz w:val="24"/>
          <w:szCs w:val="24"/>
        </w:rPr>
        <w:t>人口稠密区</w:t>
      </w:r>
      <w:r>
        <w:rPr>
          <w:sz w:val="24"/>
          <w:szCs w:val="24"/>
        </w:rPr>
        <w:t>、</w:t>
      </w:r>
      <w:r>
        <w:rPr>
          <w:rFonts w:hint="eastAsia"/>
          <w:sz w:val="24"/>
          <w:szCs w:val="24"/>
        </w:rPr>
        <w:t>四川诺水河珍稀水生动物自然保护区、饮用水源保护区</w:t>
      </w:r>
      <w:r>
        <w:rPr>
          <w:sz w:val="24"/>
          <w:szCs w:val="24"/>
        </w:rPr>
        <w:t>）段应采取以下风险防范措施：</w:t>
      </w:r>
    </w:p>
    <w:p w14:paraId="7558CF46" w14:textId="77777777" w:rsidR="007D1E74" w:rsidRDefault="00A95641">
      <w:pPr>
        <w:pStyle w:val="afffffe"/>
        <w:numPr>
          <w:ilvl w:val="0"/>
          <w:numId w:val="53"/>
        </w:numPr>
        <w:spacing w:line="360" w:lineRule="auto"/>
        <w:ind w:firstLineChars="0"/>
        <w:jc w:val="center"/>
        <w:rPr>
          <w:rFonts w:eastAsia="黑体" w:cs="Times New Roman"/>
          <w:szCs w:val="21"/>
        </w:rPr>
      </w:pPr>
      <w:r>
        <w:rPr>
          <w:rFonts w:eastAsia="黑体" w:cs="Times New Roman" w:hint="eastAsia"/>
          <w:szCs w:val="21"/>
        </w:rPr>
        <w:t>穿越敏感区段风险防范措施</w:t>
      </w:r>
    </w:p>
    <w:tbl>
      <w:tblPr>
        <w:tblStyle w:val="affffc"/>
        <w:tblW w:w="5000" w:type="pct"/>
        <w:tblLook w:val="04A0" w:firstRow="1" w:lastRow="0" w:firstColumn="1" w:lastColumn="0" w:noHBand="0" w:noVBand="1"/>
      </w:tblPr>
      <w:tblGrid>
        <w:gridCol w:w="1094"/>
        <w:gridCol w:w="963"/>
        <w:gridCol w:w="6959"/>
      </w:tblGrid>
      <w:tr w:rsidR="007D1E74" w14:paraId="4B18F1DA" w14:textId="77777777">
        <w:trPr>
          <w:tblHeader/>
        </w:trPr>
        <w:tc>
          <w:tcPr>
            <w:tcW w:w="607" w:type="pct"/>
            <w:vAlign w:val="center"/>
          </w:tcPr>
          <w:p w14:paraId="6B14B414" w14:textId="77777777" w:rsidR="007D1E74" w:rsidRDefault="00A95641">
            <w:pPr>
              <w:jc w:val="center"/>
              <w:rPr>
                <w:szCs w:val="21"/>
              </w:rPr>
            </w:pPr>
            <w:r>
              <w:rPr>
                <w:rFonts w:hint="eastAsia"/>
                <w:szCs w:val="21"/>
              </w:rPr>
              <w:t>敏感区</w:t>
            </w:r>
            <w:r>
              <w:rPr>
                <w:szCs w:val="21"/>
              </w:rPr>
              <w:t>段</w:t>
            </w:r>
          </w:p>
        </w:tc>
        <w:tc>
          <w:tcPr>
            <w:tcW w:w="534" w:type="pct"/>
            <w:vAlign w:val="center"/>
          </w:tcPr>
          <w:p w14:paraId="144D42A7" w14:textId="77777777" w:rsidR="007D1E74" w:rsidRDefault="00A95641">
            <w:pPr>
              <w:jc w:val="center"/>
              <w:rPr>
                <w:szCs w:val="21"/>
              </w:rPr>
            </w:pPr>
            <w:r>
              <w:rPr>
                <w:szCs w:val="21"/>
              </w:rPr>
              <w:t>危害</w:t>
            </w:r>
          </w:p>
        </w:tc>
        <w:tc>
          <w:tcPr>
            <w:tcW w:w="3859" w:type="pct"/>
            <w:vAlign w:val="center"/>
          </w:tcPr>
          <w:p w14:paraId="7302BCFC" w14:textId="77777777" w:rsidR="007D1E74" w:rsidRDefault="00A95641">
            <w:pPr>
              <w:jc w:val="center"/>
              <w:rPr>
                <w:szCs w:val="21"/>
              </w:rPr>
            </w:pPr>
            <w:r>
              <w:rPr>
                <w:szCs w:val="21"/>
              </w:rPr>
              <w:t>风险防范措施</w:t>
            </w:r>
          </w:p>
        </w:tc>
      </w:tr>
      <w:tr w:rsidR="007D1E74" w14:paraId="6FEB074A" w14:textId="77777777">
        <w:tc>
          <w:tcPr>
            <w:tcW w:w="607" w:type="pct"/>
            <w:vAlign w:val="center"/>
          </w:tcPr>
          <w:p w14:paraId="17031E07" w14:textId="77777777" w:rsidR="007D1E74" w:rsidRDefault="00A95641">
            <w:pPr>
              <w:jc w:val="center"/>
              <w:rPr>
                <w:szCs w:val="21"/>
              </w:rPr>
            </w:pPr>
            <w:r>
              <w:rPr>
                <w:szCs w:val="21"/>
              </w:rPr>
              <w:t>特殊地形段（河流岸坡、冲沟、高边陡坎等）</w:t>
            </w:r>
          </w:p>
        </w:tc>
        <w:tc>
          <w:tcPr>
            <w:tcW w:w="534" w:type="pct"/>
            <w:vAlign w:val="center"/>
          </w:tcPr>
          <w:p w14:paraId="6DA3A03F" w14:textId="77777777" w:rsidR="007D1E74" w:rsidRDefault="00A95641">
            <w:pPr>
              <w:jc w:val="center"/>
              <w:rPr>
                <w:szCs w:val="21"/>
              </w:rPr>
            </w:pPr>
            <w:r>
              <w:rPr>
                <w:szCs w:val="21"/>
              </w:rPr>
              <w:t>可能对管道造成破坏</w:t>
            </w:r>
          </w:p>
        </w:tc>
        <w:tc>
          <w:tcPr>
            <w:tcW w:w="3859" w:type="pct"/>
            <w:vAlign w:val="center"/>
          </w:tcPr>
          <w:p w14:paraId="39478972" w14:textId="77777777" w:rsidR="007D1E74" w:rsidRDefault="00A95641">
            <w:pPr>
              <w:rPr>
                <w:szCs w:val="21"/>
              </w:rPr>
            </w:pPr>
            <w:r>
              <w:rPr>
                <w:szCs w:val="21"/>
              </w:rPr>
              <w:t>针对管道穿越</w:t>
            </w:r>
            <w:r>
              <w:rPr>
                <w:rFonts w:hint="eastAsia"/>
                <w:szCs w:val="21"/>
              </w:rPr>
              <w:t>特殊地形段（河流岸坡、冲沟、高边陡坎等），设计采取水工保护措施，主要包括挡土墙、截水墙、平行管线防护、河流护岸、河底防护等。</w:t>
            </w:r>
          </w:p>
          <w:p w14:paraId="0870BE4C" w14:textId="77777777" w:rsidR="007D1E74" w:rsidRDefault="00A95641">
            <w:pPr>
              <w:rPr>
                <w:szCs w:val="21"/>
              </w:rPr>
            </w:pPr>
            <w:r>
              <w:rPr>
                <w:szCs w:val="21"/>
              </w:rPr>
              <w:t>（</w:t>
            </w:r>
            <w:r>
              <w:rPr>
                <w:rFonts w:hint="eastAsia"/>
                <w:szCs w:val="21"/>
              </w:rPr>
              <w:t>1</w:t>
            </w:r>
            <w:r>
              <w:rPr>
                <w:szCs w:val="21"/>
              </w:rPr>
              <w:t>）挡土墙：</w:t>
            </w:r>
            <w:r>
              <w:rPr>
                <w:rFonts w:hint="eastAsia"/>
                <w:szCs w:val="21"/>
              </w:rPr>
              <w:t>适</w:t>
            </w:r>
            <w:r>
              <w:rPr>
                <w:rFonts w:cs="Times New Roman"/>
                <w:szCs w:val="21"/>
              </w:rPr>
              <w:t>用于坡角</w:t>
            </w:r>
            <w:r>
              <w:rPr>
                <w:rFonts w:cs="Times New Roman"/>
                <w:szCs w:val="21"/>
              </w:rPr>
              <w:t>α≥45°</w:t>
            </w:r>
            <w:r>
              <w:rPr>
                <w:rFonts w:cs="Times New Roman"/>
                <w:szCs w:val="21"/>
              </w:rPr>
              <w:t>的管线坡地</w:t>
            </w:r>
            <w:r>
              <w:rPr>
                <w:rFonts w:cs="Times New Roman" w:hint="eastAsia"/>
                <w:szCs w:val="21"/>
              </w:rPr>
              <w:t>。</w:t>
            </w:r>
          </w:p>
          <w:p w14:paraId="684121F4" w14:textId="77777777" w:rsidR="007D1E74" w:rsidRDefault="00A95641">
            <w:pPr>
              <w:rPr>
                <w:rFonts w:cs="Times New Roman"/>
                <w:szCs w:val="21"/>
              </w:rPr>
            </w:pPr>
            <w:r>
              <w:rPr>
                <w:szCs w:val="21"/>
              </w:rPr>
              <w:t>（</w:t>
            </w:r>
            <w:r>
              <w:rPr>
                <w:szCs w:val="21"/>
              </w:rPr>
              <w:t>2</w:t>
            </w:r>
            <w:r>
              <w:rPr>
                <w:szCs w:val="21"/>
              </w:rPr>
              <w:t>）</w:t>
            </w:r>
            <w:r>
              <w:rPr>
                <w:rFonts w:hint="eastAsia"/>
                <w:szCs w:val="21"/>
              </w:rPr>
              <w:t>截水墙</w:t>
            </w:r>
            <w:r>
              <w:rPr>
                <w:szCs w:val="21"/>
              </w:rPr>
              <w:t>：</w:t>
            </w:r>
            <w:r>
              <w:rPr>
                <w:rFonts w:hint="eastAsia"/>
                <w:szCs w:val="21"/>
              </w:rPr>
              <w:t>管线交叉于</w:t>
            </w:r>
            <w:r>
              <w:rPr>
                <w:rFonts w:cs="Times New Roman"/>
                <w:szCs w:val="21"/>
              </w:rPr>
              <w:t>等高线敷设时，在坡度</w:t>
            </w:r>
            <w:r>
              <w:rPr>
                <w:rFonts w:cs="Times New Roman"/>
                <w:szCs w:val="21"/>
              </w:rPr>
              <w:t>α≤30°</w:t>
            </w:r>
            <w:r>
              <w:rPr>
                <w:rFonts w:cs="Times New Roman"/>
                <w:szCs w:val="21"/>
              </w:rPr>
              <w:t>之间的坡段，管道保护采用挡土墙、截水墙</w:t>
            </w:r>
            <w:r>
              <w:rPr>
                <w:rFonts w:cs="Times New Roman" w:hint="eastAsia"/>
                <w:szCs w:val="21"/>
              </w:rPr>
              <w:t>；</w:t>
            </w:r>
            <w:r>
              <w:rPr>
                <w:rFonts w:cs="Times New Roman"/>
                <w:szCs w:val="21"/>
              </w:rPr>
              <w:t>在坡度</w:t>
            </w:r>
            <w:r>
              <w:rPr>
                <w:rFonts w:cs="Times New Roman"/>
                <w:szCs w:val="21"/>
              </w:rPr>
              <w:t xml:space="preserve"> 30°</w:t>
            </w:r>
            <w:r>
              <w:rPr>
                <w:rFonts w:cs="Times New Roman" w:hint="eastAsia"/>
                <w:szCs w:val="21"/>
              </w:rPr>
              <w:t>&lt;</w:t>
            </w:r>
            <w:r>
              <w:rPr>
                <w:rFonts w:cs="Times New Roman"/>
                <w:szCs w:val="21"/>
              </w:rPr>
              <w:t>α≤60°</w:t>
            </w:r>
            <w:r>
              <w:rPr>
                <w:rFonts w:cs="Times New Roman"/>
                <w:szCs w:val="21"/>
              </w:rPr>
              <w:t>的坡段，管道采用浆砌块石挡土墙、挡土坎和预制混凝土框格护坡或毯状纤维棉绿化植生带相结合的结构进行保护。</w:t>
            </w:r>
          </w:p>
          <w:p w14:paraId="25C07E43" w14:textId="77777777" w:rsidR="007D1E74" w:rsidRDefault="00A95641">
            <w:pPr>
              <w:rPr>
                <w:rFonts w:cs="Times New Roman"/>
                <w:szCs w:val="21"/>
              </w:rPr>
            </w:pPr>
            <w:r>
              <w:rPr>
                <w:rFonts w:cs="Times New Roman"/>
                <w:szCs w:val="21"/>
              </w:rPr>
              <w:t>（</w:t>
            </w:r>
            <w:r>
              <w:rPr>
                <w:rFonts w:cs="Times New Roman" w:hint="eastAsia"/>
                <w:szCs w:val="21"/>
              </w:rPr>
              <w:t>3</w:t>
            </w:r>
            <w:r>
              <w:rPr>
                <w:rFonts w:cs="Times New Roman" w:hint="eastAsia"/>
                <w:szCs w:val="21"/>
              </w:rPr>
              <w:t>）田坎挡土墙：田</w:t>
            </w:r>
            <w:r>
              <w:rPr>
                <w:rFonts w:cs="Times New Roman"/>
                <w:szCs w:val="21"/>
              </w:rPr>
              <w:t>坎高度</w:t>
            </w:r>
            <w:r>
              <w:rPr>
                <w:rFonts w:cs="Times New Roman"/>
                <w:szCs w:val="21"/>
              </w:rPr>
              <w:t>&lt;0.8m</w:t>
            </w:r>
            <w:r>
              <w:rPr>
                <w:rFonts w:cs="Times New Roman"/>
                <w:szCs w:val="21"/>
              </w:rPr>
              <w:t>时，采取原土夯实恢复，也可采取袋装潮湿土内装草籽堆砌恢复田埂；田坎高度</w:t>
            </w:r>
            <w:r>
              <w:rPr>
                <w:rFonts w:cs="Times New Roman"/>
                <w:szCs w:val="21"/>
              </w:rPr>
              <w:t>≥0.8m</w:t>
            </w:r>
            <w:r>
              <w:rPr>
                <w:rFonts w:cs="Times New Roman"/>
                <w:szCs w:val="21"/>
              </w:rPr>
              <w:t>时，采用浆砌石挡墙。</w:t>
            </w:r>
          </w:p>
          <w:p w14:paraId="64B8840A" w14:textId="77777777" w:rsidR="007D1E74" w:rsidRDefault="00A95641">
            <w:pPr>
              <w:rPr>
                <w:rFonts w:cs="Times New Roman"/>
                <w:szCs w:val="21"/>
              </w:rPr>
            </w:pPr>
            <w:r>
              <w:rPr>
                <w:szCs w:val="21"/>
              </w:rPr>
              <w:t>（</w:t>
            </w:r>
            <w:r>
              <w:rPr>
                <w:rFonts w:hint="eastAsia"/>
                <w:szCs w:val="21"/>
              </w:rPr>
              <w:t>4</w:t>
            </w:r>
            <w:r>
              <w:rPr>
                <w:rFonts w:hint="eastAsia"/>
                <w:szCs w:val="21"/>
              </w:rPr>
              <w:t>）河流护岸：河岸坡</w:t>
            </w:r>
            <w:r>
              <w:rPr>
                <w:rFonts w:cs="Times New Roman"/>
                <w:szCs w:val="21"/>
              </w:rPr>
              <w:t>度</w:t>
            </w:r>
            <w:r>
              <w:rPr>
                <w:rFonts w:cs="Times New Roman"/>
                <w:szCs w:val="21"/>
              </w:rPr>
              <w:t>&lt;45°</w:t>
            </w:r>
            <w:r>
              <w:rPr>
                <w:rFonts w:cs="Times New Roman"/>
                <w:szCs w:val="21"/>
              </w:rPr>
              <w:t>时，应采用浆砌石护坡；河岸坡度</w:t>
            </w:r>
            <w:r>
              <w:rPr>
                <w:rFonts w:cs="Times New Roman"/>
                <w:szCs w:val="21"/>
              </w:rPr>
              <w:t>≥45°</w:t>
            </w:r>
            <w:r>
              <w:rPr>
                <w:rFonts w:cs="Times New Roman"/>
                <w:szCs w:val="21"/>
              </w:rPr>
              <w:t>时，应采用浆砌石挡土墙。</w:t>
            </w:r>
          </w:p>
          <w:p w14:paraId="15AE5A36" w14:textId="77777777" w:rsidR="007D1E74" w:rsidRDefault="00A95641">
            <w:pPr>
              <w:rPr>
                <w:szCs w:val="21"/>
              </w:rPr>
            </w:pPr>
            <w:r>
              <w:rPr>
                <w:szCs w:val="21"/>
              </w:rPr>
              <w:t>（</w:t>
            </w:r>
            <w:r>
              <w:rPr>
                <w:szCs w:val="21"/>
              </w:rPr>
              <w:t>5</w:t>
            </w:r>
            <w:r>
              <w:rPr>
                <w:rFonts w:hint="eastAsia"/>
                <w:szCs w:val="21"/>
              </w:rPr>
              <w:t>）河底防护：混凝土连续浇筑适用于基岩出露的河床或沟底，对于河床面为基岩的河道，管沟开挖部分采用满沟现浇水泥混凝土保护管道；对于河床表面为砂卵石层，下部基岩较浅的河段，基岩部分采用现浇水泥混凝土护管，其余用原状砂卵石回填，同时应保证河床面的平整，不得在河道内形成堤坝；浆砌石护底适用于砂卵石层较厚的河床或沟底。浆砌石防冲墙适用于土质和不抗冲刷基岩段的河、沟床的冲刷下切保护。</w:t>
            </w:r>
          </w:p>
          <w:p w14:paraId="5CC796A4" w14:textId="77777777" w:rsidR="007D1E74" w:rsidRDefault="00A95641">
            <w:pPr>
              <w:rPr>
                <w:szCs w:val="21"/>
              </w:rPr>
            </w:pPr>
            <w:r>
              <w:rPr>
                <w:szCs w:val="21"/>
              </w:rPr>
              <w:t>（</w:t>
            </w:r>
            <w:r>
              <w:rPr>
                <w:szCs w:val="21"/>
              </w:rPr>
              <w:t>6</w:t>
            </w:r>
            <w:r>
              <w:rPr>
                <w:rFonts w:hint="eastAsia"/>
                <w:szCs w:val="21"/>
              </w:rPr>
              <w:t>）平行管线防护：管线平行于等高线敷设时，需要削坡开挖施工作业带</w:t>
            </w:r>
            <w:r>
              <w:rPr>
                <w:rFonts w:hint="eastAsia"/>
                <w:szCs w:val="21"/>
              </w:rPr>
              <w:lastRenderedPageBreak/>
              <w:t>的边坡，开挖边坡顶部设浆砌块石截水沟，作业带下坡侧设挡土墙。</w:t>
            </w:r>
          </w:p>
        </w:tc>
      </w:tr>
      <w:tr w:rsidR="007D1E74" w14:paraId="31C587F8" w14:textId="77777777">
        <w:tc>
          <w:tcPr>
            <w:tcW w:w="607" w:type="pct"/>
            <w:vAlign w:val="center"/>
          </w:tcPr>
          <w:p w14:paraId="26838970" w14:textId="77777777" w:rsidR="007D1E74" w:rsidRDefault="00A95641">
            <w:pPr>
              <w:jc w:val="center"/>
              <w:rPr>
                <w:szCs w:val="21"/>
              </w:rPr>
            </w:pPr>
            <w:r>
              <w:rPr>
                <w:szCs w:val="21"/>
              </w:rPr>
              <w:lastRenderedPageBreak/>
              <w:t>穿越</w:t>
            </w:r>
            <w:r>
              <w:rPr>
                <w:rFonts w:hint="eastAsia"/>
                <w:szCs w:val="21"/>
              </w:rPr>
              <w:t>人口</w:t>
            </w:r>
            <w:r>
              <w:rPr>
                <w:szCs w:val="21"/>
              </w:rPr>
              <w:t>稠密区段</w:t>
            </w:r>
          </w:p>
        </w:tc>
        <w:tc>
          <w:tcPr>
            <w:tcW w:w="534" w:type="pct"/>
            <w:vAlign w:val="center"/>
          </w:tcPr>
          <w:p w14:paraId="1F3C425D" w14:textId="77777777" w:rsidR="007D1E74" w:rsidRDefault="00A95641">
            <w:pPr>
              <w:jc w:val="center"/>
              <w:rPr>
                <w:szCs w:val="21"/>
              </w:rPr>
            </w:pPr>
            <w:r>
              <w:rPr>
                <w:szCs w:val="21"/>
              </w:rPr>
              <w:t>对居民生命健康安全造成影响</w:t>
            </w:r>
          </w:p>
        </w:tc>
        <w:tc>
          <w:tcPr>
            <w:tcW w:w="3859" w:type="pct"/>
            <w:vAlign w:val="center"/>
          </w:tcPr>
          <w:p w14:paraId="65CAB7DC" w14:textId="77777777" w:rsidR="007D1E74" w:rsidRDefault="00A95641">
            <w:pPr>
              <w:rPr>
                <w:szCs w:val="21"/>
              </w:rPr>
            </w:pPr>
            <w:r>
              <w:rPr>
                <w:rFonts w:hint="eastAsia"/>
                <w:szCs w:val="21"/>
              </w:rPr>
              <w:t>（</w:t>
            </w:r>
            <w:r>
              <w:rPr>
                <w:rFonts w:hint="eastAsia"/>
                <w:szCs w:val="21"/>
              </w:rPr>
              <w:t>1</w:t>
            </w:r>
            <w:r>
              <w:rPr>
                <w:rFonts w:hint="eastAsia"/>
                <w:szCs w:val="21"/>
              </w:rPr>
              <w:t>）合理选择线路走向，尽量避开人口稠密区以及城镇发展规划区，以减少由于天然气泄漏引起的泄漏、火灾、爆炸事故对居民危害。</w:t>
            </w:r>
          </w:p>
          <w:p w14:paraId="2CFC571A" w14:textId="77777777" w:rsidR="007D1E74" w:rsidRDefault="00A95641">
            <w:pPr>
              <w:rPr>
                <w:szCs w:val="21"/>
              </w:rPr>
            </w:pPr>
            <w:r>
              <w:rPr>
                <w:szCs w:val="21"/>
              </w:rPr>
              <w:t>（</w:t>
            </w:r>
            <w:r>
              <w:rPr>
                <w:rFonts w:hint="eastAsia"/>
                <w:szCs w:val="21"/>
              </w:rPr>
              <w:t>2</w:t>
            </w:r>
            <w:r>
              <w:rPr>
                <w:rFonts w:hint="eastAsia"/>
                <w:szCs w:val="21"/>
              </w:rPr>
              <w:t>）管道经过人口稠密区，进出两端各设警示牌一块，中间每</w:t>
            </w:r>
            <w:r>
              <w:rPr>
                <w:rFonts w:hint="eastAsia"/>
                <w:szCs w:val="21"/>
              </w:rPr>
              <w:t>300m</w:t>
            </w:r>
            <w:r>
              <w:rPr>
                <w:rFonts w:hint="eastAsia"/>
                <w:szCs w:val="21"/>
              </w:rPr>
              <w:t>设置一块警示牌。</w:t>
            </w:r>
          </w:p>
          <w:p w14:paraId="67A654AA" w14:textId="77777777" w:rsidR="007D1E74" w:rsidRDefault="00A95641">
            <w:pPr>
              <w:rPr>
                <w:szCs w:val="21"/>
              </w:rPr>
            </w:pPr>
            <w:r>
              <w:rPr>
                <w:szCs w:val="21"/>
              </w:rPr>
              <w:t>（</w:t>
            </w:r>
            <w:r>
              <w:rPr>
                <w:rFonts w:hint="eastAsia"/>
                <w:szCs w:val="21"/>
              </w:rPr>
              <w:t>3</w:t>
            </w:r>
            <w:r>
              <w:rPr>
                <w:rFonts w:hint="eastAsia"/>
                <w:szCs w:val="21"/>
              </w:rPr>
              <w:t>）提高设计等级：对管道沿线无法避让的人口稠密区，应提高管道设计等级，增强管道抵抗外部可能造成破坏的能力，具体包括：①局部管道壁厚增加；②管道采用直缝埋弧焊钢管和无缝钢管；③管道防腐采用常温型加强级三层</w:t>
            </w:r>
            <w:r>
              <w:rPr>
                <w:rFonts w:hint="eastAsia"/>
                <w:szCs w:val="21"/>
              </w:rPr>
              <w:t xml:space="preserve"> PE</w:t>
            </w:r>
            <w:r>
              <w:rPr>
                <w:rFonts w:hint="eastAsia"/>
                <w:szCs w:val="21"/>
              </w:rPr>
              <w:t>防腐层。</w:t>
            </w:r>
          </w:p>
          <w:p w14:paraId="730ADDE3" w14:textId="77777777" w:rsidR="007D1E74" w:rsidRDefault="00A95641">
            <w:pPr>
              <w:rPr>
                <w:szCs w:val="21"/>
              </w:rPr>
            </w:pPr>
            <w:r>
              <w:rPr>
                <w:szCs w:val="21"/>
              </w:rPr>
              <w:t>（</w:t>
            </w:r>
            <w:r>
              <w:rPr>
                <w:rFonts w:hint="eastAsia"/>
                <w:szCs w:val="21"/>
              </w:rPr>
              <w:t>4</w:t>
            </w:r>
            <w:r>
              <w:rPr>
                <w:rFonts w:hint="eastAsia"/>
                <w:szCs w:val="21"/>
              </w:rPr>
              <w:t>）加强施工风险防范措施：①加强施工期监理，确保施工质量；②建立施工质量保证体系，提高施工检验人员的水平，加强检验手段；制定严格的规章制度，发现缺陷及时正确修补并做好记录；③选择有丰富经验的单位进行施工，并有优秀的第三方对其施工质量进行强有力的监督，减少施工误操作。</w:t>
            </w:r>
          </w:p>
          <w:p w14:paraId="02EF4F65" w14:textId="77777777" w:rsidR="007D1E74" w:rsidRDefault="00A95641">
            <w:pPr>
              <w:rPr>
                <w:szCs w:val="21"/>
              </w:rPr>
            </w:pPr>
            <w:r>
              <w:rPr>
                <w:szCs w:val="21"/>
              </w:rPr>
              <w:t>（</w:t>
            </w:r>
            <w:r>
              <w:rPr>
                <w:rFonts w:hint="eastAsia"/>
                <w:szCs w:val="21"/>
              </w:rPr>
              <w:t>5</w:t>
            </w:r>
            <w:r>
              <w:rPr>
                <w:rFonts w:hint="eastAsia"/>
                <w:szCs w:val="21"/>
              </w:rPr>
              <w:t>）强化运营期风险防范措施：①加强《中华人民共和国石油天然气管道保护法》的宣传力度，普及天然气及管道输送知识，提高居民安全防护意识，发现问题及时报告；②制定人口稠密区专项事故应急预案；③定期进行管道壁厚、安全保护系统检查，避免事故发生。</w:t>
            </w:r>
          </w:p>
        </w:tc>
      </w:tr>
      <w:tr w:rsidR="007D1E74" w14:paraId="3E515827" w14:textId="77777777">
        <w:tc>
          <w:tcPr>
            <w:tcW w:w="607" w:type="pct"/>
            <w:vAlign w:val="center"/>
          </w:tcPr>
          <w:p w14:paraId="01FE0A5E" w14:textId="77777777" w:rsidR="007D1E74" w:rsidRDefault="00A95641">
            <w:pPr>
              <w:jc w:val="center"/>
              <w:rPr>
                <w:szCs w:val="21"/>
              </w:rPr>
            </w:pPr>
            <w:r>
              <w:rPr>
                <w:szCs w:val="21"/>
              </w:rPr>
              <w:t>穿越</w:t>
            </w:r>
            <w:r>
              <w:rPr>
                <w:rFonts w:hint="eastAsia"/>
                <w:szCs w:val="21"/>
              </w:rPr>
              <w:t>四川诺水河珍稀水生动物自然保护区段</w:t>
            </w:r>
          </w:p>
        </w:tc>
        <w:tc>
          <w:tcPr>
            <w:tcW w:w="534" w:type="pct"/>
            <w:vAlign w:val="center"/>
          </w:tcPr>
          <w:p w14:paraId="09E07764" w14:textId="77777777" w:rsidR="007D1E74" w:rsidRDefault="00A95641">
            <w:pPr>
              <w:jc w:val="center"/>
              <w:rPr>
                <w:szCs w:val="21"/>
              </w:rPr>
            </w:pPr>
            <w:r>
              <w:rPr>
                <w:szCs w:val="21"/>
              </w:rPr>
              <w:t>对珍稀水生生物可能造成影响</w:t>
            </w:r>
          </w:p>
        </w:tc>
        <w:tc>
          <w:tcPr>
            <w:tcW w:w="3859" w:type="pct"/>
            <w:vAlign w:val="center"/>
          </w:tcPr>
          <w:p w14:paraId="0350F680" w14:textId="77777777" w:rsidR="007D1E74" w:rsidRDefault="00A95641">
            <w:pPr>
              <w:rPr>
                <w:szCs w:val="21"/>
              </w:rPr>
            </w:pPr>
            <w:r>
              <w:rPr>
                <w:rFonts w:hint="eastAsia"/>
                <w:szCs w:val="21"/>
              </w:rPr>
              <w:t>（</w:t>
            </w:r>
            <w:r>
              <w:rPr>
                <w:rFonts w:hint="eastAsia"/>
                <w:szCs w:val="21"/>
              </w:rPr>
              <w:t>1</w:t>
            </w:r>
            <w:r>
              <w:rPr>
                <w:rFonts w:hint="eastAsia"/>
                <w:szCs w:val="21"/>
              </w:rPr>
              <w:t>）合理选择线路走向，尽可能减少穿越四川诺水河珍稀水生动物自然保护区，禁止穿越自然保护区核心区</w:t>
            </w:r>
            <w:r>
              <w:rPr>
                <w:szCs w:val="21"/>
              </w:rPr>
              <w:t>，</w:t>
            </w:r>
            <w:r>
              <w:rPr>
                <w:rFonts w:hint="eastAsia"/>
                <w:szCs w:val="21"/>
              </w:rPr>
              <w:t>减少由于天然气泄漏引起的危害。</w:t>
            </w:r>
          </w:p>
          <w:p w14:paraId="540D3553" w14:textId="77777777" w:rsidR="007D1E74" w:rsidRDefault="00A95641">
            <w:pPr>
              <w:rPr>
                <w:szCs w:val="21"/>
              </w:rPr>
            </w:pPr>
            <w:r>
              <w:rPr>
                <w:szCs w:val="21"/>
              </w:rPr>
              <w:t>（</w:t>
            </w:r>
            <w:r>
              <w:rPr>
                <w:rFonts w:hint="eastAsia"/>
                <w:szCs w:val="21"/>
              </w:rPr>
              <w:t>2</w:t>
            </w:r>
            <w:r>
              <w:rPr>
                <w:rFonts w:hint="eastAsia"/>
                <w:szCs w:val="21"/>
              </w:rPr>
              <w:t>）在敏感区路段设置明显的警示标志，包括警示牌、标志桩。</w:t>
            </w:r>
          </w:p>
          <w:p w14:paraId="19C3A1E1" w14:textId="77777777" w:rsidR="007D1E74" w:rsidRDefault="00A95641">
            <w:pPr>
              <w:rPr>
                <w:szCs w:val="21"/>
              </w:rPr>
            </w:pPr>
            <w:r>
              <w:rPr>
                <w:szCs w:val="21"/>
              </w:rPr>
              <w:t>（</w:t>
            </w:r>
            <w:r>
              <w:rPr>
                <w:rFonts w:hint="eastAsia"/>
                <w:szCs w:val="21"/>
              </w:rPr>
              <w:t>3</w:t>
            </w:r>
            <w:r>
              <w:rPr>
                <w:rFonts w:hint="eastAsia"/>
                <w:szCs w:val="21"/>
              </w:rPr>
              <w:t>）提高设计等级：对管道沿线无法避让的自然保护区，应提高管道设计等级，增强管道抵抗外部可能造成破坏的能力，具体包括：①局部管道壁厚增加；②管道采用直缝埋弧焊钢管和无缝钢管；③管道防腐采用常温型加强级三层</w:t>
            </w:r>
            <w:r>
              <w:rPr>
                <w:rFonts w:hint="eastAsia"/>
                <w:szCs w:val="21"/>
              </w:rPr>
              <w:t xml:space="preserve"> PE</w:t>
            </w:r>
            <w:r>
              <w:rPr>
                <w:rFonts w:hint="eastAsia"/>
                <w:szCs w:val="21"/>
              </w:rPr>
              <w:t>防腐层。</w:t>
            </w:r>
          </w:p>
          <w:p w14:paraId="0125E778" w14:textId="77777777" w:rsidR="007D1E74" w:rsidRDefault="00A95641">
            <w:pPr>
              <w:rPr>
                <w:szCs w:val="21"/>
              </w:rPr>
            </w:pPr>
            <w:r>
              <w:rPr>
                <w:szCs w:val="21"/>
              </w:rPr>
              <w:t>（</w:t>
            </w:r>
            <w:r>
              <w:rPr>
                <w:rFonts w:hint="eastAsia"/>
                <w:szCs w:val="21"/>
              </w:rPr>
              <w:t>4</w:t>
            </w:r>
            <w:r>
              <w:rPr>
                <w:rFonts w:hint="eastAsia"/>
                <w:szCs w:val="21"/>
              </w:rPr>
              <w:t>）加强施工风险防范措施：①穿越自然保护区段施工期应开展环境监理，做好施工期环境保护；②科学组织、文明施工，穿越自然保护区河流段采用定向钻施工工艺，施工技术严格按《油气输送管道穿越工程施工规范》（</w:t>
            </w:r>
            <w:r>
              <w:rPr>
                <w:rFonts w:hint="eastAsia"/>
                <w:szCs w:val="21"/>
              </w:rPr>
              <w:t>GB50424-2015</w:t>
            </w:r>
            <w:r>
              <w:rPr>
                <w:rFonts w:hint="eastAsia"/>
                <w:szCs w:val="21"/>
              </w:rPr>
              <w:t>）要求执行，禁止涉水施工；③建立施工质量保证体系，提高施工检验人员的水平，加强检验手段；④制定严格的规章制度，发现缺陷及时正确修补并做好记录；⑤选择有丰富经验的单位进行施工，并有优秀的第三方对其施工质量进行强有力的监督，减少施工误操作；⑥严格划定施工范围，禁止将施工作业带设置在自然保护区范围内。</w:t>
            </w:r>
          </w:p>
          <w:p w14:paraId="262D98F3" w14:textId="77777777" w:rsidR="007D1E74" w:rsidRDefault="00A95641">
            <w:pPr>
              <w:rPr>
                <w:szCs w:val="21"/>
              </w:rPr>
            </w:pPr>
            <w:r>
              <w:rPr>
                <w:rFonts w:hint="eastAsia"/>
                <w:szCs w:val="21"/>
              </w:rPr>
              <w:t>（</w:t>
            </w:r>
            <w:r>
              <w:rPr>
                <w:rFonts w:hint="eastAsia"/>
                <w:szCs w:val="21"/>
              </w:rPr>
              <w:t>5</w:t>
            </w:r>
            <w:r>
              <w:rPr>
                <w:rFonts w:hint="eastAsia"/>
                <w:szCs w:val="21"/>
              </w:rPr>
              <w:t>）强化运营期风险防范措施：①合理设置截断阀室，争取在发生事故时能够紧急切断，避免大范围的事故发生；②制定穿越自然保护区专项事故应急预案；③定期进行管道壁厚、安全保护系统检查，避免事故发生。</w:t>
            </w:r>
          </w:p>
        </w:tc>
      </w:tr>
      <w:tr w:rsidR="007D1E74" w14:paraId="7E9E1406" w14:textId="77777777">
        <w:tc>
          <w:tcPr>
            <w:tcW w:w="607" w:type="pct"/>
            <w:vAlign w:val="center"/>
          </w:tcPr>
          <w:p w14:paraId="51AFA626" w14:textId="77777777" w:rsidR="007D1E74" w:rsidRDefault="00A95641">
            <w:pPr>
              <w:jc w:val="center"/>
              <w:rPr>
                <w:szCs w:val="21"/>
              </w:rPr>
            </w:pPr>
            <w:r>
              <w:rPr>
                <w:szCs w:val="21"/>
              </w:rPr>
              <w:t>穿越饮用水源保护区段</w:t>
            </w:r>
          </w:p>
        </w:tc>
        <w:tc>
          <w:tcPr>
            <w:tcW w:w="534" w:type="pct"/>
            <w:vAlign w:val="center"/>
          </w:tcPr>
          <w:p w14:paraId="5A85D705" w14:textId="77777777" w:rsidR="007D1E74" w:rsidRDefault="00A95641">
            <w:pPr>
              <w:jc w:val="center"/>
              <w:rPr>
                <w:szCs w:val="21"/>
              </w:rPr>
            </w:pPr>
            <w:r>
              <w:rPr>
                <w:szCs w:val="21"/>
              </w:rPr>
              <w:t>对水源保护区可能造成影响</w:t>
            </w:r>
          </w:p>
        </w:tc>
        <w:tc>
          <w:tcPr>
            <w:tcW w:w="3859" w:type="pct"/>
            <w:vAlign w:val="center"/>
          </w:tcPr>
          <w:p w14:paraId="5B96C523" w14:textId="77777777" w:rsidR="007D1E74" w:rsidRDefault="00A95641">
            <w:pPr>
              <w:rPr>
                <w:szCs w:val="21"/>
              </w:rPr>
            </w:pPr>
            <w:r>
              <w:rPr>
                <w:rFonts w:hint="eastAsia"/>
                <w:szCs w:val="21"/>
              </w:rPr>
              <w:t>（</w:t>
            </w:r>
            <w:r>
              <w:rPr>
                <w:rFonts w:hint="eastAsia"/>
                <w:szCs w:val="21"/>
              </w:rPr>
              <w:t>1</w:t>
            </w:r>
            <w:r>
              <w:rPr>
                <w:rFonts w:hint="eastAsia"/>
                <w:szCs w:val="21"/>
              </w:rPr>
              <w:t>）合理选择线路走向，尽可能避开饮用水源保护区，禁止穿越水源保护区水域</w:t>
            </w:r>
            <w:r>
              <w:rPr>
                <w:szCs w:val="21"/>
              </w:rPr>
              <w:t>，</w:t>
            </w:r>
            <w:r>
              <w:rPr>
                <w:rFonts w:hint="eastAsia"/>
                <w:szCs w:val="21"/>
              </w:rPr>
              <w:t>以减少由于天然气泄漏引起的危害。</w:t>
            </w:r>
          </w:p>
          <w:p w14:paraId="4215C640" w14:textId="77777777" w:rsidR="007D1E74" w:rsidRDefault="00A95641">
            <w:pPr>
              <w:rPr>
                <w:szCs w:val="21"/>
              </w:rPr>
            </w:pPr>
            <w:r>
              <w:rPr>
                <w:szCs w:val="21"/>
              </w:rPr>
              <w:t>（</w:t>
            </w:r>
            <w:r>
              <w:rPr>
                <w:rFonts w:hint="eastAsia"/>
                <w:szCs w:val="21"/>
              </w:rPr>
              <w:t>2</w:t>
            </w:r>
            <w:r>
              <w:rPr>
                <w:rFonts w:hint="eastAsia"/>
                <w:szCs w:val="21"/>
              </w:rPr>
              <w:t>）在敏感区路段设置明显的警示标志，包括警示牌、标志桩。</w:t>
            </w:r>
          </w:p>
          <w:p w14:paraId="58636CBA" w14:textId="77777777" w:rsidR="007D1E74" w:rsidRDefault="00A95641">
            <w:pPr>
              <w:rPr>
                <w:szCs w:val="21"/>
              </w:rPr>
            </w:pPr>
            <w:r>
              <w:rPr>
                <w:szCs w:val="21"/>
              </w:rPr>
              <w:t>（</w:t>
            </w:r>
            <w:r>
              <w:rPr>
                <w:rFonts w:hint="eastAsia"/>
                <w:szCs w:val="21"/>
              </w:rPr>
              <w:t>3</w:t>
            </w:r>
            <w:r>
              <w:rPr>
                <w:rFonts w:hint="eastAsia"/>
                <w:szCs w:val="21"/>
              </w:rPr>
              <w:t>）提高设计等级：对管道沿线无法避让水源保护区陆域段，应提高管道设计等级，增强管道抵抗外部可能造成破坏的能力，具体包括：①局部管道壁厚增加；②管道采用直缝埋弧焊钢管和无缝钢管；③管道防腐采用常温型加强级三层</w:t>
            </w:r>
            <w:r>
              <w:rPr>
                <w:rFonts w:hint="eastAsia"/>
                <w:szCs w:val="21"/>
              </w:rPr>
              <w:t xml:space="preserve"> PE</w:t>
            </w:r>
            <w:r>
              <w:rPr>
                <w:rFonts w:hint="eastAsia"/>
                <w:szCs w:val="21"/>
              </w:rPr>
              <w:t>防腐层。</w:t>
            </w:r>
          </w:p>
          <w:p w14:paraId="794EEF7D" w14:textId="77777777" w:rsidR="007D1E74" w:rsidRDefault="00A95641">
            <w:pPr>
              <w:rPr>
                <w:szCs w:val="21"/>
              </w:rPr>
            </w:pPr>
            <w:r>
              <w:rPr>
                <w:szCs w:val="21"/>
              </w:rPr>
              <w:lastRenderedPageBreak/>
              <w:t>（</w:t>
            </w:r>
            <w:r>
              <w:rPr>
                <w:rFonts w:hint="eastAsia"/>
                <w:szCs w:val="21"/>
              </w:rPr>
              <w:t>4</w:t>
            </w:r>
            <w:r>
              <w:rPr>
                <w:rFonts w:hint="eastAsia"/>
                <w:szCs w:val="21"/>
              </w:rPr>
              <w:t>）加强施工风险防范措施：①严禁从事《中华人民共和国水污染防治法》、《四川省饮用水水源保护管理条例》等相关规范中禁止的一切活动；②科学组织、文明施工，禁止在水源保护区及河道沿岸设置临时堆场、设备冲洗点等临时设施；③全线施工应设置连续围挡，加强施工管理，禁止涉水施工，严禁任何污染物以任何形式进入地表水体；④加强对进入施工现场机械和车辆的检修，杜绝“跑、冒、滴、漏”；施工期装卸材料应远离水体，材料运输应尽量避开水源保护区路段，做到密闭运输，不得超高、超载运输，不得带泥上路；⑤建立施工质量保证体系，提高施工检验人员的水平，加强检验手段；⑥制定严格的规章制度，发现缺陷及时正确修补并做好记录；⑦选择有丰富经验的单位进行施工，并有优秀的第三方对其施工质量进行强有力的监督，减少施工误操作。</w:t>
            </w:r>
          </w:p>
          <w:p w14:paraId="64467908" w14:textId="77777777" w:rsidR="007D1E74" w:rsidRDefault="00A95641">
            <w:pPr>
              <w:rPr>
                <w:szCs w:val="21"/>
              </w:rPr>
            </w:pPr>
            <w:r>
              <w:rPr>
                <w:rFonts w:hint="eastAsia"/>
                <w:szCs w:val="21"/>
              </w:rPr>
              <w:t>（</w:t>
            </w:r>
            <w:r>
              <w:rPr>
                <w:rFonts w:hint="eastAsia"/>
                <w:szCs w:val="21"/>
              </w:rPr>
              <w:t>5</w:t>
            </w:r>
            <w:r>
              <w:rPr>
                <w:rFonts w:hint="eastAsia"/>
                <w:szCs w:val="21"/>
              </w:rPr>
              <w:t>）强化运营期风险防范措施：①合理设置截断阀室，争取在发生事故时能够紧急切断，避免大范围的事故发生；②制定穿越水源保护区专项事故应急预案；③定期进行管道壁厚、安全保护系统检查，避免事故发生。</w:t>
            </w:r>
          </w:p>
        </w:tc>
      </w:tr>
    </w:tbl>
    <w:p w14:paraId="11732E82" w14:textId="77777777" w:rsidR="007D1E74" w:rsidRDefault="00A95641">
      <w:pPr>
        <w:pStyle w:val="a9"/>
      </w:pPr>
      <w:r>
        <w:rPr>
          <w:rFonts w:hint="eastAsia"/>
        </w:rPr>
        <w:lastRenderedPageBreak/>
        <w:t>事故应急措施</w:t>
      </w:r>
    </w:p>
    <w:p w14:paraId="0ACBDC50" w14:textId="77777777" w:rsidR="007D1E74" w:rsidRDefault="00A95641">
      <w:pPr>
        <w:pStyle w:val="aa"/>
      </w:pPr>
      <w:r>
        <w:rPr>
          <w:rFonts w:hint="eastAsia"/>
        </w:rPr>
        <w:t>管道泄漏事故应急措施</w:t>
      </w:r>
    </w:p>
    <w:p w14:paraId="49CFAD8C" w14:textId="77777777" w:rsidR="007D1E74" w:rsidRDefault="00A95641">
      <w:pPr>
        <w:spacing w:line="360" w:lineRule="auto"/>
        <w:ind w:firstLineChars="200" w:firstLine="480"/>
        <w:rPr>
          <w:sz w:val="24"/>
          <w:szCs w:val="24"/>
        </w:rPr>
      </w:pPr>
      <w:r>
        <w:rPr>
          <w:rFonts w:hint="eastAsia"/>
          <w:sz w:val="24"/>
          <w:szCs w:val="24"/>
        </w:rPr>
        <w:t>（</w:t>
      </w:r>
      <w:r>
        <w:rPr>
          <w:sz w:val="24"/>
          <w:szCs w:val="24"/>
        </w:rPr>
        <w:t>1</w:t>
      </w:r>
      <w:r>
        <w:rPr>
          <w:sz w:val="24"/>
          <w:szCs w:val="24"/>
        </w:rPr>
        <w:t>）</w:t>
      </w:r>
      <w:r>
        <w:rPr>
          <w:rFonts w:hint="eastAsia"/>
          <w:sz w:val="24"/>
          <w:szCs w:val="24"/>
        </w:rPr>
        <w:t>应迅速切断泄漏源，封闭事故现场；组织专业医疗救护小组抢救现场中毒人员；监测有害气体浓度，根据现场风向，加强现场人员的个人防护，疏散现场及周边无关人员。</w:t>
      </w:r>
    </w:p>
    <w:p w14:paraId="3F41AE73" w14:textId="77777777" w:rsidR="007D1E74" w:rsidRDefault="00A95641">
      <w:pPr>
        <w:spacing w:line="360" w:lineRule="auto"/>
        <w:ind w:firstLineChars="200" w:firstLine="480"/>
        <w:rPr>
          <w:sz w:val="24"/>
          <w:szCs w:val="24"/>
        </w:rPr>
      </w:pPr>
      <w:r>
        <w:rPr>
          <w:sz w:val="24"/>
          <w:szCs w:val="24"/>
        </w:rPr>
        <w:t>（</w:t>
      </w:r>
      <w:r>
        <w:rPr>
          <w:rFonts w:hint="eastAsia"/>
          <w:sz w:val="24"/>
          <w:szCs w:val="24"/>
        </w:rPr>
        <w:t>2</w:t>
      </w:r>
      <w:r>
        <w:rPr>
          <w:rFonts w:hint="eastAsia"/>
          <w:sz w:val="24"/>
          <w:szCs w:val="24"/>
        </w:rPr>
        <w:t>）迅速组织力量对泄漏管道进行封堵、抢修作业。</w:t>
      </w:r>
    </w:p>
    <w:p w14:paraId="55CE3C68"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3</w:t>
      </w:r>
      <w:r>
        <w:rPr>
          <w:rFonts w:hint="eastAsia"/>
          <w:sz w:val="24"/>
          <w:szCs w:val="24"/>
        </w:rPr>
        <w:t>）当输气管道泄漏处位于重点穿跨越段，并导致交通中断时，应立即向当地交通的政府主管部门汇报，请求启动当地政府部门相应的应急预案；立即切断泄漏源，进行放空，并组织清理交通要道，全力恢复交通。</w:t>
      </w:r>
    </w:p>
    <w:p w14:paraId="63F03852" w14:textId="77777777" w:rsidR="007D1E74" w:rsidRDefault="00A95641">
      <w:pPr>
        <w:spacing w:line="360" w:lineRule="auto"/>
        <w:ind w:firstLineChars="200" w:firstLine="480"/>
        <w:rPr>
          <w:sz w:val="24"/>
          <w:szCs w:val="24"/>
        </w:rPr>
      </w:pPr>
      <w:r>
        <w:rPr>
          <w:rFonts w:hint="eastAsia"/>
          <w:sz w:val="24"/>
          <w:szCs w:val="24"/>
        </w:rPr>
        <w:t>（</w:t>
      </w:r>
      <w:r>
        <w:rPr>
          <w:sz w:val="24"/>
          <w:szCs w:val="24"/>
        </w:rPr>
        <w:t>4</w:t>
      </w:r>
      <w:r>
        <w:rPr>
          <w:rFonts w:hint="eastAsia"/>
          <w:sz w:val="24"/>
          <w:szCs w:val="24"/>
        </w:rPr>
        <w:t>）当事故发生后，事故现场及与事故现场周围相邻的建筑物、居民区（或住宅）、交通道路等为危险区域，要加强对危险区域的监控。</w:t>
      </w:r>
    </w:p>
    <w:p w14:paraId="11AD9A21" w14:textId="77777777" w:rsidR="007D1E74" w:rsidRDefault="00A95641">
      <w:pPr>
        <w:pStyle w:val="aa"/>
      </w:pPr>
      <w:r>
        <w:rPr>
          <w:rFonts w:hint="eastAsia"/>
        </w:rPr>
        <w:t>管道火灾事故应急措施</w:t>
      </w:r>
    </w:p>
    <w:p w14:paraId="4BFE8C86" w14:textId="77777777" w:rsidR="007D1E74" w:rsidRDefault="00A95641">
      <w:pPr>
        <w:pStyle w:val="afffff7"/>
        <w:ind w:firstLine="482"/>
      </w:pPr>
      <w:r>
        <w:rPr>
          <w:rFonts w:hint="eastAsia"/>
        </w:rPr>
        <w:t>1</w:t>
      </w:r>
      <w:r>
        <w:rPr>
          <w:rFonts w:hint="eastAsia"/>
        </w:rPr>
        <w:t>、阀室（组）等发生火灾事故应急措施</w:t>
      </w:r>
    </w:p>
    <w:p w14:paraId="7F61D4C8" w14:textId="77777777" w:rsidR="007D1E74" w:rsidRDefault="00A95641">
      <w:pPr>
        <w:spacing w:line="360" w:lineRule="auto"/>
        <w:ind w:firstLineChars="200" w:firstLine="480"/>
        <w:rPr>
          <w:sz w:val="24"/>
          <w:szCs w:val="24"/>
        </w:rPr>
      </w:pPr>
      <w:r>
        <w:rPr>
          <w:sz w:val="24"/>
          <w:szCs w:val="24"/>
        </w:rPr>
        <w:t>（</w:t>
      </w:r>
      <w:r>
        <w:rPr>
          <w:rFonts w:hint="eastAsia"/>
          <w:sz w:val="24"/>
          <w:szCs w:val="24"/>
        </w:rPr>
        <w:t>1</w:t>
      </w:r>
      <w:r>
        <w:rPr>
          <w:rFonts w:hint="eastAsia"/>
          <w:sz w:val="24"/>
          <w:szCs w:val="24"/>
        </w:rPr>
        <w:t>）采取隔离和疏散措施，避免无关人员进入事件发生区域，并合理布置消防和救援力量。</w:t>
      </w:r>
    </w:p>
    <w:p w14:paraId="672CF045"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2</w:t>
      </w:r>
      <w:r>
        <w:rPr>
          <w:rFonts w:hint="eastAsia"/>
          <w:sz w:val="24"/>
          <w:szCs w:val="24"/>
        </w:rPr>
        <w:t>）当存在气体泄漏时，应进行可燃气体监测，加强救援人员的个人防护。</w:t>
      </w:r>
    </w:p>
    <w:p w14:paraId="420A6B65"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3</w:t>
      </w:r>
      <w:r>
        <w:rPr>
          <w:rFonts w:hint="eastAsia"/>
          <w:sz w:val="24"/>
          <w:szCs w:val="24"/>
        </w:rPr>
        <w:t>）迅速将受伤、中毒人员送往医院抢救，并根据需要向现场配备医疗救护人员、治疗药物和器材。</w:t>
      </w:r>
    </w:p>
    <w:p w14:paraId="24C6E3D9" w14:textId="77777777" w:rsidR="007D1E74" w:rsidRDefault="00A95641">
      <w:pPr>
        <w:spacing w:line="360" w:lineRule="auto"/>
        <w:ind w:firstLineChars="200" w:firstLine="480"/>
        <w:rPr>
          <w:sz w:val="24"/>
          <w:szCs w:val="24"/>
        </w:rPr>
      </w:pPr>
      <w:r>
        <w:rPr>
          <w:rFonts w:hint="eastAsia"/>
          <w:sz w:val="24"/>
          <w:szCs w:val="24"/>
        </w:rPr>
        <w:t>（</w:t>
      </w:r>
      <w:r>
        <w:rPr>
          <w:sz w:val="24"/>
          <w:szCs w:val="24"/>
        </w:rPr>
        <w:t>4</w:t>
      </w:r>
      <w:r>
        <w:rPr>
          <w:rFonts w:hint="eastAsia"/>
          <w:sz w:val="24"/>
          <w:szCs w:val="24"/>
        </w:rPr>
        <w:t>）火灾扑救过程中，专家组应根据危险区的危害因素和火灾发展趋势进行动态</w:t>
      </w:r>
      <w:r>
        <w:rPr>
          <w:rFonts w:hint="eastAsia"/>
          <w:sz w:val="24"/>
          <w:szCs w:val="24"/>
        </w:rPr>
        <w:lastRenderedPageBreak/>
        <w:t>评估，及时提出灭火的指导意见；</w:t>
      </w:r>
    </w:p>
    <w:p w14:paraId="7D1FD3B8" w14:textId="77777777" w:rsidR="007D1E74" w:rsidRDefault="00A95641">
      <w:pPr>
        <w:spacing w:line="360" w:lineRule="auto"/>
        <w:ind w:firstLineChars="200" w:firstLine="480"/>
        <w:rPr>
          <w:sz w:val="24"/>
          <w:szCs w:val="24"/>
        </w:rPr>
      </w:pPr>
      <w:r>
        <w:rPr>
          <w:rFonts w:hint="eastAsia"/>
          <w:sz w:val="24"/>
          <w:szCs w:val="24"/>
        </w:rPr>
        <w:t>（</w:t>
      </w:r>
      <w:r>
        <w:rPr>
          <w:sz w:val="24"/>
          <w:szCs w:val="24"/>
        </w:rPr>
        <w:t>5</w:t>
      </w:r>
      <w:r>
        <w:rPr>
          <w:rFonts w:hint="eastAsia"/>
          <w:sz w:val="24"/>
          <w:szCs w:val="24"/>
        </w:rPr>
        <w:t>）当火灾失控，危及灭火人员生命安全时，应立即指挥现场全部人员撤离至安全区域。</w:t>
      </w:r>
    </w:p>
    <w:p w14:paraId="490A3C85" w14:textId="77777777" w:rsidR="007D1E74" w:rsidRDefault="00A95641">
      <w:pPr>
        <w:pStyle w:val="afffff7"/>
        <w:ind w:firstLine="482"/>
      </w:pPr>
      <w:r>
        <w:t>2</w:t>
      </w:r>
      <w:r>
        <w:rPr>
          <w:rFonts w:hint="eastAsia"/>
        </w:rPr>
        <w:t>、管道泄漏发生火灾事故应急措施</w:t>
      </w:r>
    </w:p>
    <w:p w14:paraId="28C08BC4"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w:t>
      </w:r>
      <w:r>
        <w:rPr>
          <w:rFonts w:hint="eastAsia"/>
          <w:sz w:val="24"/>
          <w:szCs w:val="24"/>
        </w:rPr>
        <w:t>）立即实施局部停输或全流程停输，关闭管道泄漏点两侧的截断阀，对泄漏管道附近其它管道或电缆采取必要的保护措施；凸起地势处，应保证泄漏点处于正压状态。</w:t>
      </w:r>
    </w:p>
    <w:p w14:paraId="7DBEA2AF" w14:textId="77777777" w:rsidR="007D1E74" w:rsidRDefault="00A95641">
      <w:pPr>
        <w:spacing w:line="360" w:lineRule="auto"/>
        <w:ind w:firstLineChars="200" w:firstLine="480"/>
        <w:rPr>
          <w:sz w:val="24"/>
          <w:szCs w:val="24"/>
        </w:rPr>
      </w:pPr>
      <w:r>
        <w:rPr>
          <w:rFonts w:hint="eastAsia"/>
          <w:sz w:val="24"/>
          <w:szCs w:val="24"/>
        </w:rPr>
        <w:t>（</w:t>
      </w:r>
      <w:r>
        <w:rPr>
          <w:sz w:val="24"/>
          <w:szCs w:val="24"/>
        </w:rPr>
        <w:t>2</w:t>
      </w:r>
      <w:r>
        <w:rPr>
          <w:rFonts w:hint="eastAsia"/>
          <w:sz w:val="24"/>
          <w:szCs w:val="24"/>
        </w:rPr>
        <w:t>）全力救助伤员，采取隔离、警戒和疏散措施，必要时采取交通管制，避免无关人员进入现场危险区域；当火灾爆炸和气体泄漏同时发生时，应及时疏散下风口附近的居民，并通知停用一切明火。</w:t>
      </w:r>
    </w:p>
    <w:p w14:paraId="15741487" w14:textId="77777777" w:rsidR="007D1E74" w:rsidRDefault="00A95641">
      <w:pPr>
        <w:spacing w:line="360" w:lineRule="auto"/>
        <w:ind w:firstLineChars="200" w:firstLine="480"/>
        <w:rPr>
          <w:sz w:val="24"/>
          <w:szCs w:val="24"/>
        </w:rPr>
      </w:pPr>
      <w:r>
        <w:rPr>
          <w:rFonts w:hint="eastAsia"/>
          <w:sz w:val="24"/>
          <w:szCs w:val="24"/>
        </w:rPr>
        <w:t>（</w:t>
      </w:r>
      <w:r>
        <w:rPr>
          <w:sz w:val="24"/>
          <w:szCs w:val="24"/>
        </w:rPr>
        <w:t>3</w:t>
      </w:r>
      <w:r>
        <w:rPr>
          <w:rFonts w:hint="eastAsia"/>
          <w:sz w:val="24"/>
          <w:szCs w:val="24"/>
        </w:rPr>
        <w:t>）充分考虑着火区域地形地貌、风向、天气等因素，制定灭火方案，并合理布置消防和救援力量。</w:t>
      </w:r>
    </w:p>
    <w:p w14:paraId="214449C0" w14:textId="77777777" w:rsidR="007D1E74" w:rsidRDefault="00A95641">
      <w:pPr>
        <w:spacing w:line="360" w:lineRule="auto"/>
        <w:ind w:firstLineChars="200" w:firstLine="480"/>
        <w:rPr>
          <w:sz w:val="24"/>
          <w:szCs w:val="24"/>
        </w:rPr>
      </w:pPr>
      <w:r>
        <w:rPr>
          <w:rFonts w:hint="eastAsia"/>
          <w:sz w:val="24"/>
          <w:szCs w:val="24"/>
        </w:rPr>
        <w:t>（</w:t>
      </w:r>
      <w:r>
        <w:rPr>
          <w:sz w:val="24"/>
          <w:szCs w:val="24"/>
        </w:rPr>
        <w:t>4</w:t>
      </w:r>
      <w:r>
        <w:rPr>
          <w:rFonts w:hint="eastAsia"/>
          <w:sz w:val="24"/>
          <w:szCs w:val="24"/>
        </w:rPr>
        <w:t>）现场经检测安全后进入事故点，在事故点进行氮气置换或两端进行封堵，在氮气掩盖下用切管机切掉事故管段。更换事故管段，焊接、探伤、置换，取封堵、堵孔，通气试压、检查焊口。</w:t>
      </w:r>
    </w:p>
    <w:p w14:paraId="53CE01E5" w14:textId="77777777" w:rsidR="007D1E74" w:rsidRDefault="00A95641">
      <w:pPr>
        <w:pStyle w:val="a9"/>
      </w:pPr>
      <w:r>
        <w:rPr>
          <w:rFonts w:hint="eastAsia"/>
        </w:rPr>
        <w:t>突发环境事件应急预案编制要求</w:t>
      </w:r>
    </w:p>
    <w:p w14:paraId="212BA268" w14:textId="77777777" w:rsidR="007D1E74" w:rsidRDefault="00A95641">
      <w:pPr>
        <w:pStyle w:val="aa"/>
      </w:pPr>
      <w:r>
        <w:rPr>
          <w:rFonts w:hint="eastAsia"/>
        </w:rPr>
        <w:t>环境风险应急预案体系</w:t>
      </w:r>
    </w:p>
    <w:p w14:paraId="22023F0F" w14:textId="77777777" w:rsidR="007D1E74" w:rsidRDefault="00A95641">
      <w:pPr>
        <w:spacing w:line="360" w:lineRule="auto"/>
        <w:ind w:firstLineChars="200" w:firstLine="480"/>
        <w:rPr>
          <w:sz w:val="24"/>
          <w:szCs w:val="24"/>
        </w:rPr>
      </w:pPr>
      <w:r>
        <w:rPr>
          <w:rFonts w:hint="eastAsia"/>
          <w:sz w:val="24"/>
          <w:szCs w:val="24"/>
        </w:rPr>
        <w:t>按照《企业事业单位突发环境事件应急预案备案管理办法（试行）》（环发〔</w:t>
      </w:r>
      <w:r>
        <w:rPr>
          <w:rFonts w:hint="eastAsia"/>
          <w:sz w:val="24"/>
          <w:szCs w:val="24"/>
        </w:rPr>
        <w:t>2015</w:t>
      </w:r>
      <w:r>
        <w:rPr>
          <w:rFonts w:hint="eastAsia"/>
          <w:sz w:val="24"/>
          <w:szCs w:val="24"/>
        </w:rPr>
        <w:t>〕</w:t>
      </w:r>
      <w:r>
        <w:rPr>
          <w:rFonts w:hint="eastAsia"/>
          <w:sz w:val="24"/>
          <w:szCs w:val="24"/>
        </w:rPr>
        <w:t>4</w:t>
      </w:r>
      <w:r>
        <w:rPr>
          <w:rFonts w:hint="eastAsia"/>
          <w:sz w:val="24"/>
          <w:szCs w:val="24"/>
        </w:rPr>
        <w:t>号）的相关规定，应急预案体系应由总体应急预案（综合）、专项应急预案、部门应急预案、地方应急预案、企事业单位应急预案、重大活动应急预案等六大类构成。</w:t>
      </w:r>
    </w:p>
    <w:p w14:paraId="4B39DCAB" w14:textId="77777777" w:rsidR="007D1E74" w:rsidRDefault="00A95641">
      <w:pPr>
        <w:pStyle w:val="aa"/>
      </w:pPr>
      <w:r>
        <w:rPr>
          <w:rFonts w:hint="eastAsia"/>
        </w:rPr>
        <w:t>企业内部应急预案</w:t>
      </w:r>
    </w:p>
    <w:p w14:paraId="05D36B22" w14:textId="77777777" w:rsidR="007D1E74" w:rsidRDefault="00A95641">
      <w:pPr>
        <w:spacing w:line="360" w:lineRule="auto"/>
        <w:ind w:firstLineChars="200" w:firstLine="480"/>
        <w:rPr>
          <w:rFonts w:cs="Times New Roman"/>
          <w:sz w:val="24"/>
          <w:szCs w:val="24"/>
        </w:rPr>
      </w:pPr>
      <w:r>
        <w:rPr>
          <w:rFonts w:cs="Times New Roman" w:hint="eastAsia"/>
          <w:sz w:val="24"/>
          <w:szCs w:val="24"/>
        </w:rPr>
        <w:t>根据《突发事件应急预案管理办法》（国办发〔</w:t>
      </w:r>
      <w:r>
        <w:rPr>
          <w:rFonts w:cs="Times New Roman" w:hint="eastAsia"/>
          <w:sz w:val="24"/>
          <w:szCs w:val="24"/>
        </w:rPr>
        <w:t>2013</w:t>
      </w:r>
      <w:r>
        <w:rPr>
          <w:rFonts w:cs="Times New Roman" w:hint="eastAsia"/>
          <w:sz w:val="24"/>
          <w:szCs w:val="24"/>
        </w:rPr>
        <w:t>〕</w:t>
      </w:r>
      <w:r>
        <w:rPr>
          <w:rFonts w:cs="Times New Roman" w:hint="eastAsia"/>
          <w:sz w:val="24"/>
          <w:szCs w:val="24"/>
        </w:rPr>
        <w:t xml:space="preserve">101 </w:t>
      </w:r>
      <w:r>
        <w:rPr>
          <w:rFonts w:cs="Times New Roman" w:hint="eastAsia"/>
          <w:sz w:val="24"/>
          <w:szCs w:val="24"/>
        </w:rPr>
        <w:t>号）、《突发环境事件应急管理办法》（环境保护部第</w:t>
      </w:r>
      <w:r>
        <w:rPr>
          <w:rFonts w:cs="Times New Roman" w:hint="eastAsia"/>
          <w:sz w:val="24"/>
          <w:szCs w:val="24"/>
        </w:rPr>
        <w:t>34</w:t>
      </w:r>
      <w:r>
        <w:rPr>
          <w:rFonts w:cs="Times New Roman" w:hint="eastAsia"/>
          <w:sz w:val="24"/>
          <w:szCs w:val="24"/>
        </w:rPr>
        <w:t>号）、《企业事业单位突发环境事件应急预案备案管理办法（试行）》（环发〔</w:t>
      </w:r>
      <w:r>
        <w:rPr>
          <w:rFonts w:cs="Times New Roman" w:hint="eastAsia"/>
          <w:sz w:val="24"/>
          <w:szCs w:val="24"/>
        </w:rPr>
        <w:t>2015</w:t>
      </w:r>
      <w:r>
        <w:rPr>
          <w:rFonts w:cs="Times New Roman" w:hint="eastAsia"/>
          <w:sz w:val="24"/>
          <w:szCs w:val="24"/>
        </w:rPr>
        <w:t>〕</w:t>
      </w:r>
      <w:r>
        <w:rPr>
          <w:rFonts w:cs="Times New Roman" w:hint="eastAsia"/>
          <w:sz w:val="24"/>
          <w:szCs w:val="24"/>
        </w:rPr>
        <w:t>4</w:t>
      </w:r>
      <w:r>
        <w:rPr>
          <w:rFonts w:cs="Times New Roman" w:hint="eastAsia"/>
          <w:sz w:val="24"/>
          <w:szCs w:val="24"/>
        </w:rPr>
        <w:t>号）、《突发环境事件信息报告办法》（环境保护部令第</w:t>
      </w:r>
      <w:r>
        <w:rPr>
          <w:rFonts w:cs="Times New Roman" w:hint="eastAsia"/>
          <w:sz w:val="24"/>
          <w:szCs w:val="24"/>
        </w:rPr>
        <w:t>17</w:t>
      </w:r>
      <w:r>
        <w:rPr>
          <w:rFonts w:cs="Times New Roman" w:hint="eastAsia"/>
          <w:sz w:val="24"/>
          <w:szCs w:val="24"/>
        </w:rPr>
        <w:t>号）、《突发环境事件应急预案管理暂行办法》（环发〔</w:t>
      </w:r>
      <w:r>
        <w:rPr>
          <w:rFonts w:cs="Times New Roman" w:hint="eastAsia"/>
          <w:sz w:val="24"/>
          <w:szCs w:val="24"/>
        </w:rPr>
        <w:t>2010</w:t>
      </w:r>
      <w:r>
        <w:rPr>
          <w:rFonts w:cs="Times New Roman" w:hint="eastAsia"/>
          <w:sz w:val="24"/>
          <w:szCs w:val="24"/>
        </w:rPr>
        <w:t>〕</w:t>
      </w:r>
      <w:r>
        <w:rPr>
          <w:rFonts w:cs="Times New Roman" w:hint="eastAsia"/>
          <w:sz w:val="24"/>
          <w:szCs w:val="24"/>
        </w:rPr>
        <w:t>113</w:t>
      </w:r>
      <w:r>
        <w:rPr>
          <w:rFonts w:cs="Times New Roman" w:hint="eastAsia"/>
          <w:sz w:val="24"/>
          <w:szCs w:val="24"/>
        </w:rPr>
        <w:t>号）等文件要求，建设单位应制订和完善项目风险事故应急预案，应急预案的应包括下表内容。</w:t>
      </w:r>
    </w:p>
    <w:p w14:paraId="1AC1B71E" w14:textId="77777777" w:rsidR="007D1E74" w:rsidRDefault="00A95641">
      <w:pPr>
        <w:pStyle w:val="afffffe"/>
        <w:numPr>
          <w:ilvl w:val="0"/>
          <w:numId w:val="54"/>
        </w:numPr>
        <w:spacing w:line="360" w:lineRule="auto"/>
        <w:ind w:firstLineChars="0"/>
        <w:jc w:val="center"/>
        <w:rPr>
          <w:rFonts w:eastAsia="黑体" w:cs="Times New Roman"/>
          <w:szCs w:val="21"/>
        </w:rPr>
      </w:pPr>
      <w:r>
        <w:rPr>
          <w:rFonts w:eastAsia="黑体" w:cs="Times New Roman" w:hint="eastAsia"/>
          <w:szCs w:val="21"/>
        </w:rPr>
        <w:t>环境风险应急预案内容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0"/>
        <w:gridCol w:w="2811"/>
        <w:gridCol w:w="5145"/>
      </w:tblGrid>
      <w:tr w:rsidR="007D1E74" w14:paraId="47B60A4B" w14:textId="77777777">
        <w:trPr>
          <w:tblHeader/>
        </w:trPr>
        <w:tc>
          <w:tcPr>
            <w:tcW w:w="588" w:type="pct"/>
            <w:vAlign w:val="center"/>
          </w:tcPr>
          <w:p w14:paraId="149AC37B" w14:textId="77777777" w:rsidR="007D1E74" w:rsidRDefault="00A95641">
            <w:pPr>
              <w:widowControl/>
              <w:jc w:val="center"/>
              <w:rPr>
                <w:rFonts w:cs="Times New Roman"/>
                <w:kern w:val="0"/>
                <w:szCs w:val="21"/>
              </w:rPr>
            </w:pPr>
            <w:r>
              <w:rPr>
                <w:rFonts w:cs="Times New Roman"/>
                <w:kern w:val="0"/>
                <w:szCs w:val="21"/>
              </w:rPr>
              <w:t>序号</w:t>
            </w:r>
          </w:p>
        </w:tc>
        <w:tc>
          <w:tcPr>
            <w:tcW w:w="1559" w:type="pct"/>
            <w:vAlign w:val="center"/>
          </w:tcPr>
          <w:p w14:paraId="104A0766" w14:textId="77777777" w:rsidR="007D1E74" w:rsidRDefault="00A95641">
            <w:pPr>
              <w:widowControl/>
              <w:jc w:val="center"/>
              <w:rPr>
                <w:rFonts w:cs="Times New Roman"/>
                <w:kern w:val="0"/>
                <w:szCs w:val="21"/>
              </w:rPr>
            </w:pPr>
            <w:r>
              <w:rPr>
                <w:rFonts w:cs="Times New Roman"/>
                <w:kern w:val="0"/>
                <w:szCs w:val="21"/>
              </w:rPr>
              <w:t>项目</w:t>
            </w:r>
          </w:p>
        </w:tc>
        <w:tc>
          <w:tcPr>
            <w:tcW w:w="2853" w:type="pct"/>
            <w:vAlign w:val="center"/>
          </w:tcPr>
          <w:p w14:paraId="030A9300" w14:textId="77777777" w:rsidR="007D1E74" w:rsidRDefault="00A95641">
            <w:pPr>
              <w:widowControl/>
              <w:jc w:val="center"/>
              <w:rPr>
                <w:rFonts w:cs="Times New Roman"/>
                <w:kern w:val="0"/>
                <w:szCs w:val="21"/>
              </w:rPr>
            </w:pPr>
            <w:r>
              <w:rPr>
                <w:rFonts w:cs="Times New Roman"/>
                <w:kern w:val="0"/>
                <w:szCs w:val="21"/>
              </w:rPr>
              <w:t>内容及要求</w:t>
            </w:r>
          </w:p>
        </w:tc>
      </w:tr>
      <w:tr w:rsidR="007D1E74" w14:paraId="13A24708" w14:textId="77777777">
        <w:tc>
          <w:tcPr>
            <w:tcW w:w="588" w:type="pct"/>
            <w:vAlign w:val="center"/>
          </w:tcPr>
          <w:p w14:paraId="2DB5A7EE" w14:textId="77777777" w:rsidR="007D1E74" w:rsidRDefault="00A95641">
            <w:pPr>
              <w:widowControl/>
              <w:jc w:val="center"/>
              <w:rPr>
                <w:rFonts w:cs="Times New Roman"/>
                <w:kern w:val="0"/>
                <w:szCs w:val="21"/>
              </w:rPr>
            </w:pPr>
            <w:r>
              <w:rPr>
                <w:rFonts w:cs="Times New Roman"/>
                <w:kern w:val="0"/>
                <w:szCs w:val="21"/>
              </w:rPr>
              <w:t>1</w:t>
            </w:r>
          </w:p>
        </w:tc>
        <w:tc>
          <w:tcPr>
            <w:tcW w:w="1559" w:type="pct"/>
            <w:vAlign w:val="center"/>
          </w:tcPr>
          <w:p w14:paraId="2CF82749" w14:textId="77777777" w:rsidR="007D1E74" w:rsidRDefault="00A95641">
            <w:pPr>
              <w:widowControl/>
              <w:rPr>
                <w:rFonts w:cs="Times New Roman"/>
                <w:kern w:val="0"/>
                <w:szCs w:val="21"/>
              </w:rPr>
            </w:pPr>
            <w:r>
              <w:rPr>
                <w:rFonts w:cs="Times New Roman"/>
                <w:kern w:val="0"/>
                <w:szCs w:val="21"/>
              </w:rPr>
              <w:t>应急组织机构、人员</w:t>
            </w:r>
          </w:p>
        </w:tc>
        <w:tc>
          <w:tcPr>
            <w:tcW w:w="2853" w:type="pct"/>
            <w:vAlign w:val="center"/>
          </w:tcPr>
          <w:p w14:paraId="4707DC7B" w14:textId="77777777" w:rsidR="007D1E74" w:rsidRDefault="00A95641">
            <w:pPr>
              <w:widowControl/>
              <w:rPr>
                <w:rFonts w:cs="Times New Roman"/>
                <w:kern w:val="0"/>
                <w:szCs w:val="21"/>
              </w:rPr>
            </w:pPr>
            <w:r>
              <w:rPr>
                <w:rFonts w:cs="Times New Roman"/>
                <w:kern w:val="0"/>
                <w:szCs w:val="21"/>
              </w:rPr>
              <w:t>公司应急机构人员，地方政府应急组织人员</w:t>
            </w:r>
          </w:p>
        </w:tc>
      </w:tr>
      <w:tr w:rsidR="007D1E74" w14:paraId="33D2E63D" w14:textId="77777777">
        <w:tc>
          <w:tcPr>
            <w:tcW w:w="588" w:type="pct"/>
            <w:vAlign w:val="center"/>
          </w:tcPr>
          <w:p w14:paraId="538BCA68" w14:textId="77777777" w:rsidR="007D1E74" w:rsidRDefault="00A95641">
            <w:pPr>
              <w:widowControl/>
              <w:jc w:val="center"/>
              <w:rPr>
                <w:rFonts w:cs="Times New Roman"/>
                <w:kern w:val="0"/>
                <w:szCs w:val="21"/>
              </w:rPr>
            </w:pPr>
            <w:r>
              <w:rPr>
                <w:rFonts w:cs="Times New Roman"/>
                <w:kern w:val="0"/>
                <w:szCs w:val="21"/>
              </w:rPr>
              <w:t>2</w:t>
            </w:r>
          </w:p>
        </w:tc>
        <w:tc>
          <w:tcPr>
            <w:tcW w:w="1559" w:type="pct"/>
            <w:vAlign w:val="center"/>
          </w:tcPr>
          <w:p w14:paraId="34E0E314" w14:textId="77777777" w:rsidR="007D1E74" w:rsidRDefault="00A95641">
            <w:pPr>
              <w:widowControl/>
              <w:rPr>
                <w:rFonts w:cs="Times New Roman"/>
                <w:kern w:val="0"/>
                <w:szCs w:val="21"/>
              </w:rPr>
            </w:pPr>
            <w:r>
              <w:rPr>
                <w:rFonts w:cs="Times New Roman"/>
                <w:kern w:val="0"/>
                <w:szCs w:val="21"/>
              </w:rPr>
              <w:t>预案分级响应条件</w:t>
            </w:r>
          </w:p>
        </w:tc>
        <w:tc>
          <w:tcPr>
            <w:tcW w:w="2853" w:type="pct"/>
            <w:vAlign w:val="center"/>
          </w:tcPr>
          <w:p w14:paraId="3274544D" w14:textId="77777777" w:rsidR="007D1E74" w:rsidRDefault="00A95641">
            <w:pPr>
              <w:widowControl/>
              <w:rPr>
                <w:rFonts w:cs="Times New Roman"/>
                <w:kern w:val="0"/>
                <w:szCs w:val="21"/>
              </w:rPr>
            </w:pPr>
            <w:r>
              <w:rPr>
                <w:rFonts w:cs="Times New Roman"/>
                <w:kern w:val="0"/>
                <w:szCs w:val="21"/>
              </w:rPr>
              <w:t>规定预案的级别及分级响应程序</w:t>
            </w:r>
          </w:p>
        </w:tc>
      </w:tr>
      <w:tr w:rsidR="007D1E74" w14:paraId="219694C3" w14:textId="77777777">
        <w:tc>
          <w:tcPr>
            <w:tcW w:w="588" w:type="pct"/>
            <w:vAlign w:val="center"/>
          </w:tcPr>
          <w:p w14:paraId="3CD78AF3" w14:textId="77777777" w:rsidR="007D1E74" w:rsidRDefault="00A95641">
            <w:pPr>
              <w:widowControl/>
              <w:jc w:val="center"/>
              <w:rPr>
                <w:rFonts w:cs="Times New Roman"/>
                <w:kern w:val="0"/>
                <w:szCs w:val="21"/>
              </w:rPr>
            </w:pPr>
            <w:r>
              <w:rPr>
                <w:rFonts w:cs="Times New Roman"/>
                <w:kern w:val="0"/>
                <w:szCs w:val="21"/>
              </w:rPr>
              <w:t>3</w:t>
            </w:r>
          </w:p>
        </w:tc>
        <w:tc>
          <w:tcPr>
            <w:tcW w:w="1559" w:type="pct"/>
            <w:vAlign w:val="center"/>
          </w:tcPr>
          <w:p w14:paraId="33FA6F7C" w14:textId="77777777" w:rsidR="007D1E74" w:rsidRDefault="00A95641">
            <w:pPr>
              <w:widowControl/>
              <w:rPr>
                <w:rFonts w:cs="Times New Roman"/>
                <w:kern w:val="0"/>
                <w:szCs w:val="21"/>
              </w:rPr>
            </w:pPr>
            <w:r>
              <w:rPr>
                <w:rFonts w:cs="Times New Roman"/>
                <w:kern w:val="0"/>
                <w:szCs w:val="21"/>
              </w:rPr>
              <w:t>应急</w:t>
            </w:r>
            <w:r>
              <w:rPr>
                <w:rFonts w:cs="Times New Roman" w:hint="eastAsia"/>
                <w:kern w:val="0"/>
                <w:szCs w:val="21"/>
              </w:rPr>
              <w:t>救援</w:t>
            </w:r>
            <w:r>
              <w:rPr>
                <w:rFonts w:cs="Times New Roman"/>
                <w:kern w:val="0"/>
                <w:szCs w:val="21"/>
              </w:rPr>
              <w:t>保障</w:t>
            </w:r>
          </w:p>
        </w:tc>
        <w:tc>
          <w:tcPr>
            <w:tcW w:w="2853" w:type="pct"/>
            <w:vAlign w:val="center"/>
          </w:tcPr>
          <w:p w14:paraId="2993AE68" w14:textId="77777777" w:rsidR="007D1E74" w:rsidRDefault="00A95641">
            <w:pPr>
              <w:widowControl/>
              <w:rPr>
                <w:rFonts w:cs="Times New Roman"/>
                <w:kern w:val="0"/>
                <w:szCs w:val="21"/>
              </w:rPr>
            </w:pPr>
            <w:r>
              <w:rPr>
                <w:rFonts w:cs="Times New Roman"/>
                <w:kern w:val="0"/>
                <w:szCs w:val="21"/>
              </w:rPr>
              <w:t>应急设施、设备与器材等</w:t>
            </w:r>
          </w:p>
        </w:tc>
      </w:tr>
      <w:tr w:rsidR="007D1E74" w14:paraId="40F7347C" w14:textId="77777777">
        <w:tc>
          <w:tcPr>
            <w:tcW w:w="588" w:type="pct"/>
            <w:vAlign w:val="center"/>
          </w:tcPr>
          <w:p w14:paraId="28D5D389" w14:textId="77777777" w:rsidR="007D1E74" w:rsidRDefault="00A95641">
            <w:pPr>
              <w:widowControl/>
              <w:jc w:val="center"/>
              <w:rPr>
                <w:rFonts w:cs="Times New Roman"/>
                <w:kern w:val="0"/>
                <w:szCs w:val="21"/>
              </w:rPr>
            </w:pPr>
            <w:r>
              <w:rPr>
                <w:rFonts w:cs="Times New Roman"/>
                <w:kern w:val="0"/>
                <w:szCs w:val="21"/>
              </w:rPr>
              <w:t>4</w:t>
            </w:r>
          </w:p>
        </w:tc>
        <w:tc>
          <w:tcPr>
            <w:tcW w:w="1559" w:type="pct"/>
            <w:vAlign w:val="center"/>
          </w:tcPr>
          <w:p w14:paraId="2E20E851" w14:textId="77777777" w:rsidR="007D1E74" w:rsidRDefault="00A95641">
            <w:pPr>
              <w:widowControl/>
              <w:rPr>
                <w:rFonts w:cs="Times New Roman"/>
                <w:kern w:val="0"/>
                <w:szCs w:val="21"/>
              </w:rPr>
            </w:pPr>
            <w:r>
              <w:rPr>
                <w:rFonts w:cs="Times New Roman"/>
                <w:kern w:val="0"/>
                <w:szCs w:val="21"/>
              </w:rPr>
              <w:t>报警、通讯联络方式</w:t>
            </w:r>
          </w:p>
        </w:tc>
        <w:tc>
          <w:tcPr>
            <w:tcW w:w="2853" w:type="pct"/>
            <w:vAlign w:val="center"/>
          </w:tcPr>
          <w:p w14:paraId="3F7D3215" w14:textId="77777777" w:rsidR="007D1E74" w:rsidRDefault="00A95641">
            <w:pPr>
              <w:widowControl/>
              <w:rPr>
                <w:rFonts w:cs="Times New Roman"/>
                <w:kern w:val="0"/>
                <w:szCs w:val="21"/>
              </w:rPr>
            </w:pPr>
            <w:r>
              <w:rPr>
                <w:rFonts w:cs="Times New Roman"/>
                <w:kern w:val="0"/>
                <w:szCs w:val="21"/>
              </w:rPr>
              <w:t>规定应急状态下的报警通讯方式；交通保障、管制</w:t>
            </w:r>
          </w:p>
        </w:tc>
      </w:tr>
      <w:tr w:rsidR="007D1E74" w14:paraId="15281CFD" w14:textId="77777777">
        <w:tc>
          <w:tcPr>
            <w:tcW w:w="588" w:type="pct"/>
            <w:vAlign w:val="center"/>
          </w:tcPr>
          <w:p w14:paraId="66A53F41" w14:textId="77777777" w:rsidR="007D1E74" w:rsidRDefault="00A95641">
            <w:pPr>
              <w:widowControl/>
              <w:jc w:val="center"/>
              <w:rPr>
                <w:rFonts w:cs="Times New Roman"/>
                <w:kern w:val="0"/>
                <w:szCs w:val="21"/>
              </w:rPr>
            </w:pPr>
            <w:r>
              <w:rPr>
                <w:rFonts w:cs="Times New Roman"/>
                <w:kern w:val="0"/>
                <w:szCs w:val="21"/>
              </w:rPr>
              <w:lastRenderedPageBreak/>
              <w:t>5</w:t>
            </w:r>
          </w:p>
        </w:tc>
        <w:tc>
          <w:tcPr>
            <w:tcW w:w="1559" w:type="pct"/>
            <w:vAlign w:val="center"/>
          </w:tcPr>
          <w:p w14:paraId="6C788205" w14:textId="77777777" w:rsidR="007D1E74" w:rsidRDefault="00A95641">
            <w:pPr>
              <w:widowControl/>
              <w:rPr>
                <w:rFonts w:cs="Times New Roman"/>
                <w:kern w:val="0"/>
                <w:szCs w:val="21"/>
              </w:rPr>
            </w:pPr>
            <w:r>
              <w:rPr>
                <w:rFonts w:cs="Times New Roman"/>
                <w:kern w:val="0"/>
                <w:szCs w:val="21"/>
              </w:rPr>
              <w:t>应急环境监测、抢险、救援及控制措施</w:t>
            </w:r>
          </w:p>
        </w:tc>
        <w:tc>
          <w:tcPr>
            <w:tcW w:w="2853" w:type="pct"/>
            <w:vAlign w:val="center"/>
          </w:tcPr>
          <w:p w14:paraId="6620D8C0" w14:textId="77777777" w:rsidR="007D1E74" w:rsidRDefault="00A95641">
            <w:pPr>
              <w:widowControl/>
              <w:rPr>
                <w:rFonts w:cs="Times New Roman"/>
                <w:kern w:val="0"/>
                <w:szCs w:val="21"/>
              </w:rPr>
            </w:pPr>
            <w:r>
              <w:rPr>
                <w:rFonts w:cs="Times New Roman"/>
                <w:kern w:val="0"/>
                <w:szCs w:val="21"/>
              </w:rPr>
              <w:t>由环境监测站负责对事故现场进行监测，对事故性质、参数与后果进行评估，为指挥部门提供决策根据</w:t>
            </w:r>
          </w:p>
        </w:tc>
      </w:tr>
      <w:tr w:rsidR="007D1E74" w14:paraId="4B29E48B" w14:textId="77777777">
        <w:tc>
          <w:tcPr>
            <w:tcW w:w="588" w:type="pct"/>
            <w:vAlign w:val="center"/>
          </w:tcPr>
          <w:p w14:paraId="3EECC437" w14:textId="77777777" w:rsidR="007D1E74" w:rsidRDefault="00A95641">
            <w:pPr>
              <w:widowControl/>
              <w:jc w:val="center"/>
              <w:rPr>
                <w:rFonts w:cs="Times New Roman"/>
                <w:kern w:val="0"/>
                <w:szCs w:val="21"/>
              </w:rPr>
            </w:pPr>
            <w:r>
              <w:rPr>
                <w:rFonts w:cs="Times New Roman"/>
                <w:kern w:val="0"/>
                <w:szCs w:val="21"/>
              </w:rPr>
              <w:t>6</w:t>
            </w:r>
          </w:p>
        </w:tc>
        <w:tc>
          <w:tcPr>
            <w:tcW w:w="1559" w:type="pct"/>
            <w:vAlign w:val="center"/>
          </w:tcPr>
          <w:p w14:paraId="1C305590" w14:textId="77777777" w:rsidR="007D1E74" w:rsidRDefault="00A95641">
            <w:pPr>
              <w:widowControl/>
              <w:rPr>
                <w:rFonts w:cs="Times New Roman"/>
                <w:kern w:val="0"/>
                <w:szCs w:val="21"/>
              </w:rPr>
            </w:pPr>
            <w:r>
              <w:rPr>
                <w:rFonts w:cs="Times New Roman"/>
                <w:kern w:val="0"/>
                <w:szCs w:val="21"/>
              </w:rPr>
              <w:t>应急检测、防护措施、清除泄漏措施器材</w:t>
            </w:r>
          </w:p>
        </w:tc>
        <w:tc>
          <w:tcPr>
            <w:tcW w:w="2853" w:type="pct"/>
            <w:vAlign w:val="center"/>
          </w:tcPr>
          <w:p w14:paraId="054F3827" w14:textId="77777777" w:rsidR="007D1E74" w:rsidRDefault="00A95641">
            <w:pPr>
              <w:widowControl/>
              <w:rPr>
                <w:rFonts w:cs="Times New Roman"/>
                <w:kern w:val="0"/>
                <w:szCs w:val="21"/>
              </w:rPr>
            </w:pPr>
            <w:r>
              <w:rPr>
                <w:rFonts w:cs="Times New Roman"/>
                <w:kern w:val="0"/>
                <w:szCs w:val="21"/>
              </w:rPr>
              <w:t>事故现场、邻近区域、控制防火区域，控制和清除污染措施及相应设备</w:t>
            </w:r>
          </w:p>
        </w:tc>
      </w:tr>
      <w:tr w:rsidR="007D1E74" w14:paraId="66C8A3D5" w14:textId="77777777">
        <w:tc>
          <w:tcPr>
            <w:tcW w:w="588" w:type="pct"/>
            <w:vAlign w:val="center"/>
          </w:tcPr>
          <w:p w14:paraId="21318110" w14:textId="77777777" w:rsidR="007D1E74" w:rsidRDefault="00A95641">
            <w:pPr>
              <w:widowControl/>
              <w:jc w:val="center"/>
              <w:rPr>
                <w:rFonts w:cs="Times New Roman"/>
                <w:kern w:val="0"/>
                <w:szCs w:val="21"/>
              </w:rPr>
            </w:pPr>
            <w:r>
              <w:rPr>
                <w:rFonts w:cs="Times New Roman"/>
                <w:kern w:val="0"/>
                <w:szCs w:val="21"/>
              </w:rPr>
              <w:t>7</w:t>
            </w:r>
          </w:p>
        </w:tc>
        <w:tc>
          <w:tcPr>
            <w:tcW w:w="1559" w:type="pct"/>
            <w:vAlign w:val="center"/>
          </w:tcPr>
          <w:p w14:paraId="0331111E" w14:textId="77777777" w:rsidR="007D1E74" w:rsidRDefault="00A95641">
            <w:pPr>
              <w:widowControl/>
              <w:rPr>
                <w:rFonts w:cs="Times New Roman"/>
                <w:kern w:val="0"/>
                <w:szCs w:val="21"/>
              </w:rPr>
            </w:pPr>
            <w:r>
              <w:rPr>
                <w:rFonts w:cs="Times New Roman"/>
                <w:kern w:val="0"/>
                <w:szCs w:val="21"/>
              </w:rPr>
              <w:t>人员紧急撤离、疏散</w:t>
            </w:r>
          </w:p>
        </w:tc>
        <w:tc>
          <w:tcPr>
            <w:tcW w:w="2853" w:type="pct"/>
            <w:vAlign w:val="center"/>
          </w:tcPr>
          <w:p w14:paraId="0C6A5842" w14:textId="77777777" w:rsidR="007D1E74" w:rsidRDefault="00A95641">
            <w:pPr>
              <w:widowControl/>
              <w:rPr>
                <w:rFonts w:cs="Times New Roman"/>
                <w:kern w:val="0"/>
                <w:szCs w:val="21"/>
              </w:rPr>
            </w:pPr>
            <w:r>
              <w:rPr>
                <w:rFonts w:cs="Times New Roman"/>
                <w:kern w:val="0"/>
                <w:szCs w:val="21"/>
              </w:rPr>
              <w:t>撤离组织计划及救护，医疗救护与公众健康</w:t>
            </w:r>
          </w:p>
        </w:tc>
      </w:tr>
      <w:tr w:rsidR="007D1E74" w14:paraId="49EE2948" w14:textId="77777777">
        <w:tc>
          <w:tcPr>
            <w:tcW w:w="588" w:type="pct"/>
            <w:vAlign w:val="center"/>
          </w:tcPr>
          <w:p w14:paraId="3A421AA1" w14:textId="77777777" w:rsidR="007D1E74" w:rsidRDefault="00A95641">
            <w:pPr>
              <w:widowControl/>
              <w:jc w:val="center"/>
              <w:rPr>
                <w:rFonts w:cs="Times New Roman"/>
                <w:kern w:val="0"/>
                <w:szCs w:val="21"/>
              </w:rPr>
            </w:pPr>
            <w:r>
              <w:rPr>
                <w:rFonts w:cs="Times New Roman"/>
                <w:kern w:val="0"/>
                <w:szCs w:val="21"/>
              </w:rPr>
              <w:t>8</w:t>
            </w:r>
          </w:p>
        </w:tc>
        <w:tc>
          <w:tcPr>
            <w:tcW w:w="1559" w:type="pct"/>
            <w:vAlign w:val="center"/>
          </w:tcPr>
          <w:p w14:paraId="15047180" w14:textId="77777777" w:rsidR="007D1E74" w:rsidRDefault="00A95641">
            <w:pPr>
              <w:widowControl/>
              <w:rPr>
                <w:rFonts w:cs="Times New Roman"/>
                <w:kern w:val="0"/>
                <w:szCs w:val="21"/>
              </w:rPr>
            </w:pPr>
            <w:r>
              <w:rPr>
                <w:rFonts w:cs="Times New Roman"/>
                <w:kern w:val="0"/>
                <w:szCs w:val="21"/>
              </w:rPr>
              <w:t>事故应急救援关闭程序与恢复措施</w:t>
            </w:r>
          </w:p>
        </w:tc>
        <w:tc>
          <w:tcPr>
            <w:tcW w:w="2853" w:type="pct"/>
            <w:vAlign w:val="center"/>
          </w:tcPr>
          <w:p w14:paraId="6682FB43" w14:textId="77777777" w:rsidR="007D1E74" w:rsidRDefault="00A95641">
            <w:pPr>
              <w:widowControl/>
              <w:rPr>
                <w:rFonts w:cs="Times New Roman"/>
                <w:kern w:val="0"/>
                <w:szCs w:val="21"/>
              </w:rPr>
            </w:pPr>
            <w:r>
              <w:rPr>
                <w:rFonts w:cs="Times New Roman"/>
                <w:kern w:val="0"/>
                <w:szCs w:val="21"/>
              </w:rPr>
              <w:t>专业队伍抢救结束后，做好事故现场善后处理，邻近区域解除事故警戒及善后恢复措施，现场调查、清理、清洗工作恢复生产状态，组织生产</w:t>
            </w:r>
          </w:p>
        </w:tc>
      </w:tr>
      <w:tr w:rsidR="007D1E74" w14:paraId="3581A72F" w14:textId="77777777">
        <w:tc>
          <w:tcPr>
            <w:tcW w:w="588" w:type="pct"/>
            <w:vAlign w:val="center"/>
          </w:tcPr>
          <w:p w14:paraId="50B2973B" w14:textId="77777777" w:rsidR="007D1E74" w:rsidRDefault="00A95641">
            <w:pPr>
              <w:widowControl/>
              <w:jc w:val="center"/>
              <w:rPr>
                <w:rFonts w:cs="Times New Roman"/>
                <w:kern w:val="0"/>
                <w:szCs w:val="21"/>
              </w:rPr>
            </w:pPr>
            <w:r>
              <w:rPr>
                <w:rFonts w:cs="Times New Roman"/>
                <w:kern w:val="0"/>
                <w:szCs w:val="21"/>
              </w:rPr>
              <w:t>9</w:t>
            </w:r>
          </w:p>
        </w:tc>
        <w:tc>
          <w:tcPr>
            <w:tcW w:w="1559" w:type="pct"/>
            <w:vAlign w:val="center"/>
          </w:tcPr>
          <w:p w14:paraId="6E6097BC" w14:textId="77777777" w:rsidR="007D1E74" w:rsidRDefault="00A95641">
            <w:pPr>
              <w:widowControl/>
              <w:rPr>
                <w:rFonts w:cs="Times New Roman"/>
                <w:kern w:val="0"/>
                <w:szCs w:val="21"/>
              </w:rPr>
            </w:pPr>
            <w:r>
              <w:rPr>
                <w:rFonts w:cs="Times New Roman"/>
                <w:kern w:val="0"/>
                <w:szCs w:val="21"/>
              </w:rPr>
              <w:t>应急培训计划</w:t>
            </w:r>
          </w:p>
        </w:tc>
        <w:tc>
          <w:tcPr>
            <w:tcW w:w="2853" w:type="pct"/>
            <w:vAlign w:val="center"/>
          </w:tcPr>
          <w:p w14:paraId="0AA9F751" w14:textId="77777777" w:rsidR="007D1E74" w:rsidRDefault="00A95641">
            <w:pPr>
              <w:widowControl/>
              <w:rPr>
                <w:rFonts w:cs="Times New Roman"/>
                <w:kern w:val="0"/>
                <w:szCs w:val="21"/>
              </w:rPr>
            </w:pPr>
            <w:r>
              <w:rPr>
                <w:rFonts w:cs="Times New Roman"/>
                <w:kern w:val="0"/>
                <w:szCs w:val="21"/>
              </w:rPr>
              <w:t>制定计划，安排人员培训与演练</w:t>
            </w:r>
          </w:p>
        </w:tc>
      </w:tr>
    </w:tbl>
    <w:p w14:paraId="49F777DC" w14:textId="77777777" w:rsidR="007D1E74" w:rsidRDefault="00A95641">
      <w:pPr>
        <w:pStyle w:val="aa"/>
      </w:pPr>
      <w:r>
        <w:rPr>
          <w:rFonts w:hint="eastAsia"/>
        </w:rPr>
        <w:t>应急组织机构</w:t>
      </w:r>
    </w:p>
    <w:p w14:paraId="35BE1F32" w14:textId="77777777" w:rsidR="007D1E74" w:rsidRDefault="00A95641">
      <w:pPr>
        <w:spacing w:line="360" w:lineRule="auto"/>
        <w:ind w:firstLineChars="200" w:firstLine="480"/>
        <w:rPr>
          <w:sz w:val="24"/>
          <w:szCs w:val="24"/>
        </w:rPr>
      </w:pPr>
      <w:r>
        <w:rPr>
          <w:rFonts w:hint="eastAsia"/>
          <w:sz w:val="24"/>
          <w:szCs w:val="24"/>
        </w:rPr>
        <w:t>为防止突发性环境污染事件的发生，专门成立突发环境事件应急指挥部，指挥部由总指挥、副总指挥和成员组成。应急指挥部下设抢险救灾组、警戒疏散组、医疗救护组、应急监测组和通讯联络组。</w:t>
      </w:r>
    </w:p>
    <w:p w14:paraId="59BF86B2" w14:textId="77777777" w:rsidR="007D1E74" w:rsidRDefault="00A95641">
      <w:pPr>
        <w:pStyle w:val="aa"/>
      </w:pPr>
      <w:r>
        <w:rPr>
          <w:rFonts w:hint="eastAsia"/>
        </w:rPr>
        <w:t>应急响应程序</w:t>
      </w:r>
    </w:p>
    <w:p w14:paraId="239F4A16" w14:textId="77777777" w:rsidR="007D1E74" w:rsidRDefault="00A95641">
      <w:pPr>
        <w:spacing w:line="360" w:lineRule="auto"/>
        <w:ind w:firstLineChars="200" w:firstLine="480"/>
        <w:rPr>
          <w:sz w:val="24"/>
          <w:szCs w:val="24"/>
        </w:rPr>
      </w:pPr>
      <w:r>
        <w:rPr>
          <w:rFonts w:hint="eastAsia"/>
          <w:sz w:val="24"/>
          <w:szCs w:val="24"/>
        </w:rPr>
        <w:t>事故应急救援一般包括报警与接警、应急救援队伍的出动、救援后备队的预备、实施应急救援（紧急疏散、现场急救）、溢出或泄漏救援和火灾控制几个方面。</w:t>
      </w:r>
    </w:p>
    <w:p w14:paraId="30E9E54A"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1</w:t>
      </w:r>
      <w:r>
        <w:rPr>
          <w:rFonts w:hint="eastAsia"/>
          <w:sz w:val="24"/>
          <w:szCs w:val="24"/>
        </w:rPr>
        <w:t>）事故报警。发生危险化学品特大事故或有可能发展成为特大事故和可能危及周边区域安全的事故时，企业应及时向应急指挥部报告或向</w:t>
      </w:r>
      <w:r>
        <w:rPr>
          <w:rFonts w:hint="eastAsia"/>
          <w:sz w:val="24"/>
          <w:szCs w:val="24"/>
        </w:rPr>
        <w:t>119</w:t>
      </w:r>
      <w:r>
        <w:rPr>
          <w:rFonts w:hint="eastAsia"/>
          <w:sz w:val="24"/>
          <w:szCs w:val="24"/>
        </w:rPr>
        <w:t>报警。报告或报警的内容包括：事故发生的时间、地点、企业名称、交通路线、联络电话、联络人姓名、危险化学品的种类、数量、事故类型（火灾、爆炸、有毒物质的大量泄漏等）、周边情况、需要支援的人员、设备、器材等。</w:t>
      </w:r>
    </w:p>
    <w:p w14:paraId="180E23AC"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2</w:t>
      </w:r>
      <w:r>
        <w:rPr>
          <w:rFonts w:hint="eastAsia"/>
          <w:sz w:val="24"/>
          <w:szCs w:val="24"/>
        </w:rPr>
        <w:t>）接到报告或报警后，应急指挥部立即指派应急总指挥，调集车辆和各专业队伍、设施迅速赶赴事故现场。</w:t>
      </w:r>
    </w:p>
    <w:p w14:paraId="717B4484"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3</w:t>
      </w:r>
      <w:r>
        <w:rPr>
          <w:rFonts w:hint="eastAsia"/>
          <w:sz w:val="24"/>
          <w:szCs w:val="24"/>
        </w:rPr>
        <w:t>）事故发生单位应指派专人负责引导指挥人员及各专业队伍进入事故救援现场。</w:t>
      </w:r>
    </w:p>
    <w:p w14:paraId="21005D4A"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4</w:t>
      </w:r>
      <w:r>
        <w:rPr>
          <w:rFonts w:hint="eastAsia"/>
          <w:sz w:val="24"/>
          <w:szCs w:val="24"/>
        </w:rPr>
        <w:t>）指挥人员到达现场后，立即了解现场情况及事故的性质，确定警戒区域和事故控制具体实施方案，布置各专业救援队伍任务。</w:t>
      </w:r>
    </w:p>
    <w:p w14:paraId="26079190"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5</w:t>
      </w:r>
      <w:r>
        <w:rPr>
          <w:rFonts w:hint="eastAsia"/>
          <w:sz w:val="24"/>
          <w:szCs w:val="24"/>
        </w:rPr>
        <w:t>）专家咨询到达现场后，迅速对事故情况做出判断，提出处置实施办法和防范措施，事故得到控制后，参与事故调查及提出防范措施。</w:t>
      </w:r>
    </w:p>
    <w:p w14:paraId="0B680533"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6</w:t>
      </w:r>
      <w:r>
        <w:rPr>
          <w:rFonts w:hint="eastAsia"/>
          <w:sz w:val="24"/>
          <w:szCs w:val="24"/>
        </w:rPr>
        <w:t>）各专业救援队伍到达现场后，服从现场指挥人员的指挥，采取必须的个人防护，按各自的分工展开处置和救援工作。</w:t>
      </w:r>
    </w:p>
    <w:p w14:paraId="309C3EBC"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7</w:t>
      </w:r>
      <w:r>
        <w:rPr>
          <w:rFonts w:hint="eastAsia"/>
          <w:sz w:val="24"/>
          <w:szCs w:val="24"/>
        </w:rPr>
        <w:t>）事故得到控制后，由专家组成员和环保部门指导进行现场洗消工作。</w:t>
      </w:r>
    </w:p>
    <w:p w14:paraId="751F7787" w14:textId="77777777" w:rsidR="007D1E74" w:rsidRDefault="00A95641">
      <w:pPr>
        <w:spacing w:line="360" w:lineRule="auto"/>
        <w:ind w:firstLineChars="200" w:firstLine="480"/>
        <w:rPr>
          <w:sz w:val="24"/>
          <w:szCs w:val="24"/>
        </w:rPr>
      </w:pPr>
      <w:r>
        <w:rPr>
          <w:rFonts w:hint="eastAsia"/>
          <w:sz w:val="24"/>
          <w:szCs w:val="24"/>
        </w:rPr>
        <w:t>（</w:t>
      </w:r>
      <w:r>
        <w:rPr>
          <w:rFonts w:hint="eastAsia"/>
          <w:sz w:val="24"/>
          <w:szCs w:val="24"/>
        </w:rPr>
        <w:t>8</w:t>
      </w:r>
      <w:r>
        <w:rPr>
          <w:rFonts w:hint="eastAsia"/>
          <w:sz w:val="24"/>
          <w:szCs w:val="24"/>
        </w:rPr>
        <w:t>）事故得到控制后，由安全生产监督管理部门决定应妥善保护的区域，组织相</w:t>
      </w:r>
      <w:r>
        <w:rPr>
          <w:rFonts w:hint="eastAsia"/>
          <w:sz w:val="24"/>
          <w:szCs w:val="24"/>
        </w:rPr>
        <w:lastRenderedPageBreak/>
        <w:t>关机构和人员对事故开展调查和救援工作。</w:t>
      </w:r>
    </w:p>
    <w:p w14:paraId="53396FF3" w14:textId="77777777" w:rsidR="007D1E74" w:rsidRDefault="00A95641">
      <w:pPr>
        <w:pStyle w:val="aa"/>
      </w:pPr>
      <w:r>
        <w:rPr>
          <w:rFonts w:hint="eastAsia"/>
        </w:rPr>
        <w:t>应急环境监测</w:t>
      </w:r>
    </w:p>
    <w:p w14:paraId="5D88AB7F" w14:textId="77777777" w:rsidR="007D1E74" w:rsidRDefault="00A95641">
      <w:pPr>
        <w:spacing w:line="360" w:lineRule="auto"/>
        <w:ind w:firstLineChars="200" w:firstLine="480"/>
        <w:rPr>
          <w:sz w:val="24"/>
          <w:szCs w:val="24"/>
        </w:rPr>
      </w:pPr>
      <w:r>
        <w:rPr>
          <w:rFonts w:hint="eastAsia"/>
          <w:sz w:val="24"/>
          <w:szCs w:val="24"/>
        </w:rPr>
        <w:t>当事故发生后，应急指挥部应迅速组织企业和专业应急监测机构对事故现场以及周围环境进行连续不间断监测，及时了事故现场及敏感目标环境空气中污染物的浓度或水体中污染物浓度，对事故的性质、参数以及各类污染物质的扩散程度进行评估，为指挥部门提供决策依据。</w:t>
      </w:r>
    </w:p>
    <w:p w14:paraId="5F280864" w14:textId="77777777" w:rsidR="007D1E74" w:rsidRDefault="00A95641">
      <w:pPr>
        <w:pStyle w:val="aa"/>
      </w:pPr>
      <w:r>
        <w:rPr>
          <w:rFonts w:hint="eastAsia"/>
        </w:rPr>
        <w:t>应急救援结束、恢复现场</w:t>
      </w:r>
    </w:p>
    <w:p w14:paraId="1DD6DBB1" w14:textId="77777777" w:rsidR="007D1E74" w:rsidRDefault="00A95641">
      <w:pPr>
        <w:spacing w:line="360" w:lineRule="auto"/>
        <w:ind w:firstLineChars="200" w:firstLine="480"/>
        <w:rPr>
          <w:sz w:val="24"/>
          <w:szCs w:val="24"/>
        </w:rPr>
      </w:pPr>
      <w:r>
        <w:rPr>
          <w:rFonts w:hint="eastAsia"/>
          <w:sz w:val="24"/>
          <w:szCs w:val="24"/>
        </w:rPr>
        <w:t>应急救援指挥中心视事故救援结束，宣布应急救援结束，救援队伍和物资、设备撤离现场，恢复现场正常状态。</w:t>
      </w:r>
    </w:p>
    <w:p w14:paraId="56B6D656" w14:textId="77777777" w:rsidR="007D1E74" w:rsidRDefault="00A95641">
      <w:pPr>
        <w:pStyle w:val="aa"/>
      </w:pPr>
      <w:r>
        <w:rPr>
          <w:rFonts w:hint="eastAsia"/>
        </w:rPr>
        <w:t>事故调查、处理</w:t>
      </w:r>
    </w:p>
    <w:p w14:paraId="3F49948F" w14:textId="77777777" w:rsidR="007D1E74" w:rsidRDefault="00A95641">
      <w:pPr>
        <w:spacing w:line="360" w:lineRule="auto"/>
        <w:ind w:firstLineChars="200" w:firstLine="480"/>
        <w:rPr>
          <w:sz w:val="24"/>
          <w:szCs w:val="24"/>
        </w:rPr>
      </w:pPr>
      <w:r>
        <w:rPr>
          <w:rFonts w:hint="eastAsia"/>
          <w:sz w:val="24"/>
          <w:szCs w:val="24"/>
        </w:rPr>
        <w:t>由公司主要负责人负责，生产计划部、安全环保部等相关部门组成公司调查小组，协调政府有关部门、专家、设计对事故的经过、原因进行调查、确定事故性质、认定事故责任，提出整改和防范措施。</w:t>
      </w:r>
    </w:p>
    <w:p w14:paraId="04D4FA55" w14:textId="77777777" w:rsidR="007D1E74" w:rsidRDefault="00A95641">
      <w:pPr>
        <w:pStyle w:val="aa"/>
      </w:pPr>
      <w:r>
        <w:rPr>
          <w:rFonts w:hint="eastAsia"/>
        </w:rPr>
        <w:t>应急培训和演练</w:t>
      </w:r>
    </w:p>
    <w:p w14:paraId="7994542F" w14:textId="77777777" w:rsidR="007D1E74" w:rsidRDefault="00A95641">
      <w:pPr>
        <w:spacing w:line="360" w:lineRule="auto"/>
        <w:ind w:firstLineChars="200" w:firstLine="480"/>
        <w:rPr>
          <w:sz w:val="24"/>
          <w:szCs w:val="24"/>
        </w:rPr>
      </w:pPr>
      <w:r>
        <w:rPr>
          <w:rFonts w:hint="eastAsia"/>
          <w:sz w:val="24"/>
          <w:szCs w:val="24"/>
        </w:rPr>
        <w:t>由公司安全环保部、装置的安全环保组工作人员对公司各级领导和员工进行相应的各级《环境风险事故应急预案》进行宣传和培训，并组织演练。</w:t>
      </w:r>
    </w:p>
    <w:p w14:paraId="4A6E8FF3" w14:textId="77777777" w:rsidR="007D1E74" w:rsidRDefault="00A95641">
      <w:pPr>
        <w:pStyle w:val="a8"/>
      </w:pPr>
      <w:r>
        <w:t>环境风险</w:t>
      </w:r>
      <w:r>
        <w:rPr>
          <w:rFonts w:hint="eastAsia"/>
        </w:rPr>
        <w:t>投资估算</w:t>
      </w:r>
    </w:p>
    <w:p w14:paraId="0E95474E" w14:textId="77777777" w:rsidR="007D1E74" w:rsidRDefault="00A95641">
      <w:pPr>
        <w:spacing w:line="360" w:lineRule="auto"/>
        <w:ind w:firstLineChars="200" w:firstLine="480"/>
        <w:rPr>
          <w:sz w:val="24"/>
          <w:szCs w:val="24"/>
        </w:rPr>
      </w:pPr>
      <w:r>
        <w:rPr>
          <w:rFonts w:hint="eastAsia"/>
          <w:sz w:val="24"/>
          <w:szCs w:val="24"/>
        </w:rPr>
        <w:t>本项目主要环境风险防范措施及投资估算见下表。</w:t>
      </w:r>
    </w:p>
    <w:p w14:paraId="0FDD2FA4" w14:textId="77777777" w:rsidR="007D1E74" w:rsidRDefault="00A95641">
      <w:pPr>
        <w:pStyle w:val="afffffe"/>
        <w:numPr>
          <w:ilvl w:val="0"/>
          <w:numId w:val="55"/>
        </w:numPr>
        <w:spacing w:line="360" w:lineRule="auto"/>
        <w:ind w:firstLineChars="0"/>
        <w:jc w:val="center"/>
        <w:rPr>
          <w:rFonts w:eastAsia="黑体" w:cs="Times New Roman"/>
          <w:szCs w:val="21"/>
        </w:rPr>
      </w:pPr>
      <w:r>
        <w:rPr>
          <w:rFonts w:eastAsia="黑体" w:cs="Times New Roman" w:hint="eastAsia"/>
          <w:szCs w:val="21"/>
        </w:rPr>
        <w:t>环境风险防范措施及投资估算表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6805"/>
        <w:gridCol w:w="1507"/>
      </w:tblGrid>
      <w:tr w:rsidR="007D1E74" w14:paraId="1CA67792" w14:textId="77777777">
        <w:trPr>
          <w:tblHeader/>
        </w:trPr>
        <w:tc>
          <w:tcPr>
            <w:tcW w:w="390" w:type="pct"/>
            <w:shd w:val="clear" w:color="auto" w:fill="auto"/>
            <w:vAlign w:val="center"/>
          </w:tcPr>
          <w:p w14:paraId="337951D0" w14:textId="77777777" w:rsidR="007D1E74" w:rsidRDefault="00A95641">
            <w:pPr>
              <w:widowControl/>
              <w:jc w:val="center"/>
              <w:rPr>
                <w:rFonts w:cs="Times New Roman"/>
                <w:kern w:val="0"/>
                <w:szCs w:val="21"/>
              </w:rPr>
            </w:pPr>
            <w:r>
              <w:rPr>
                <w:rFonts w:cs="Times New Roman"/>
                <w:kern w:val="0"/>
                <w:szCs w:val="21"/>
              </w:rPr>
              <w:t>序号</w:t>
            </w:r>
          </w:p>
        </w:tc>
        <w:tc>
          <w:tcPr>
            <w:tcW w:w="3774" w:type="pct"/>
            <w:shd w:val="clear" w:color="auto" w:fill="auto"/>
            <w:vAlign w:val="center"/>
          </w:tcPr>
          <w:p w14:paraId="50446AFC" w14:textId="77777777" w:rsidR="007D1E74" w:rsidRDefault="00A95641">
            <w:pPr>
              <w:widowControl/>
              <w:jc w:val="center"/>
              <w:rPr>
                <w:rFonts w:cs="Times New Roman"/>
                <w:kern w:val="0"/>
                <w:szCs w:val="21"/>
              </w:rPr>
            </w:pPr>
            <w:r>
              <w:rPr>
                <w:rFonts w:cs="Times New Roman"/>
                <w:kern w:val="0"/>
                <w:szCs w:val="21"/>
              </w:rPr>
              <w:t>风险防范措施</w:t>
            </w:r>
          </w:p>
        </w:tc>
        <w:tc>
          <w:tcPr>
            <w:tcW w:w="836" w:type="pct"/>
            <w:shd w:val="clear" w:color="auto" w:fill="auto"/>
            <w:vAlign w:val="center"/>
          </w:tcPr>
          <w:p w14:paraId="6BC917E4" w14:textId="77777777" w:rsidR="007D1E74" w:rsidRDefault="00A95641">
            <w:pPr>
              <w:widowControl/>
              <w:jc w:val="center"/>
              <w:rPr>
                <w:rFonts w:cs="Times New Roman"/>
                <w:kern w:val="0"/>
                <w:szCs w:val="21"/>
              </w:rPr>
            </w:pPr>
            <w:r>
              <w:rPr>
                <w:rFonts w:cs="Times New Roman"/>
                <w:kern w:val="0"/>
                <w:szCs w:val="21"/>
              </w:rPr>
              <w:t>投资（万元）</w:t>
            </w:r>
          </w:p>
        </w:tc>
      </w:tr>
      <w:tr w:rsidR="007D1E74" w14:paraId="108B356C" w14:textId="77777777">
        <w:tc>
          <w:tcPr>
            <w:tcW w:w="390" w:type="pct"/>
            <w:shd w:val="clear" w:color="auto" w:fill="auto"/>
            <w:vAlign w:val="center"/>
          </w:tcPr>
          <w:p w14:paraId="3945EBB0" w14:textId="77777777" w:rsidR="007D1E74" w:rsidRDefault="00A95641">
            <w:pPr>
              <w:widowControl/>
              <w:jc w:val="center"/>
              <w:rPr>
                <w:rFonts w:cs="Times New Roman"/>
                <w:kern w:val="0"/>
                <w:szCs w:val="21"/>
              </w:rPr>
            </w:pPr>
            <w:r>
              <w:rPr>
                <w:rFonts w:cs="Times New Roman"/>
                <w:kern w:val="0"/>
                <w:szCs w:val="21"/>
              </w:rPr>
              <w:t>1</w:t>
            </w:r>
          </w:p>
        </w:tc>
        <w:tc>
          <w:tcPr>
            <w:tcW w:w="3774" w:type="pct"/>
            <w:shd w:val="clear" w:color="auto" w:fill="auto"/>
            <w:vAlign w:val="center"/>
          </w:tcPr>
          <w:p w14:paraId="4A6F9C00" w14:textId="77777777" w:rsidR="007D1E74" w:rsidRDefault="00A95641">
            <w:pPr>
              <w:widowControl/>
              <w:jc w:val="center"/>
              <w:rPr>
                <w:rFonts w:cs="Times New Roman"/>
                <w:kern w:val="0"/>
                <w:szCs w:val="21"/>
              </w:rPr>
            </w:pPr>
            <w:r>
              <w:rPr>
                <w:rFonts w:cs="Times New Roman" w:hint="eastAsia"/>
                <w:kern w:val="0"/>
                <w:szCs w:val="21"/>
              </w:rPr>
              <w:t>管道路由选线、设计严格按照相关规范进行，落实标志、警示带、水工保护、管道防腐等设计</w:t>
            </w:r>
          </w:p>
        </w:tc>
        <w:tc>
          <w:tcPr>
            <w:tcW w:w="836" w:type="pct"/>
            <w:vMerge w:val="restart"/>
            <w:shd w:val="clear" w:color="auto" w:fill="auto"/>
            <w:vAlign w:val="center"/>
          </w:tcPr>
          <w:p w14:paraId="36C07668" w14:textId="77777777" w:rsidR="007D1E74" w:rsidRDefault="00A95641">
            <w:pPr>
              <w:widowControl/>
              <w:jc w:val="center"/>
              <w:rPr>
                <w:rFonts w:cs="Times New Roman"/>
                <w:kern w:val="0"/>
                <w:szCs w:val="21"/>
              </w:rPr>
            </w:pPr>
            <w:r>
              <w:rPr>
                <w:rFonts w:cs="Times New Roman"/>
                <w:kern w:val="0"/>
                <w:szCs w:val="21"/>
              </w:rPr>
              <w:t>计入工程投资</w:t>
            </w:r>
          </w:p>
        </w:tc>
      </w:tr>
      <w:tr w:rsidR="007D1E74" w14:paraId="3CB9EA52" w14:textId="77777777">
        <w:tc>
          <w:tcPr>
            <w:tcW w:w="390" w:type="pct"/>
            <w:shd w:val="clear" w:color="auto" w:fill="auto"/>
            <w:vAlign w:val="center"/>
          </w:tcPr>
          <w:p w14:paraId="478D2835" w14:textId="77777777" w:rsidR="007D1E74" w:rsidRDefault="00A95641">
            <w:pPr>
              <w:widowControl/>
              <w:jc w:val="center"/>
              <w:rPr>
                <w:rFonts w:cs="Times New Roman"/>
                <w:kern w:val="0"/>
                <w:szCs w:val="21"/>
              </w:rPr>
            </w:pPr>
            <w:r>
              <w:rPr>
                <w:rFonts w:cs="Times New Roman"/>
                <w:kern w:val="0"/>
                <w:szCs w:val="21"/>
              </w:rPr>
              <w:t>2</w:t>
            </w:r>
          </w:p>
        </w:tc>
        <w:tc>
          <w:tcPr>
            <w:tcW w:w="3774" w:type="pct"/>
            <w:shd w:val="clear" w:color="auto" w:fill="auto"/>
            <w:vAlign w:val="center"/>
          </w:tcPr>
          <w:p w14:paraId="0D4C4708" w14:textId="77777777" w:rsidR="007D1E74" w:rsidRDefault="00A95641">
            <w:pPr>
              <w:widowControl/>
              <w:jc w:val="center"/>
              <w:rPr>
                <w:rFonts w:cs="Times New Roman"/>
                <w:kern w:val="0"/>
                <w:szCs w:val="21"/>
              </w:rPr>
            </w:pPr>
            <w:r>
              <w:rPr>
                <w:rFonts w:cs="Times New Roman" w:hint="eastAsia"/>
                <w:kern w:val="0"/>
                <w:szCs w:val="21"/>
              </w:rPr>
              <w:t>总图布置严格按照防火规范进行设计，落实安全防火间距要求，以及防爆、防雷、防静电及接地措施</w:t>
            </w:r>
          </w:p>
        </w:tc>
        <w:tc>
          <w:tcPr>
            <w:tcW w:w="836" w:type="pct"/>
            <w:vMerge/>
            <w:shd w:val="clear" w:color="auto" w:fill="auto"/>
            <w:vAlign w:val="center"/>
          </w:tcPr>
          <w:p w14:paraId="424DC636" w14:textId="77777777" w:rsidR="007D1E74" w:rsidRDefault="007D1E74">
            <w:pPr>
              <w:widowControl/>
              <w:jc w:val="center"/>
              <w:rPr>
                <w:rFonts w:cs="Times New Roman"/>
                <w:kern w:val="0"/>
                <w:szCs w:val="21"/>
              </w:rPr>
            </w:pPr>
          </w:p>
        </w:tc>
      </w:tr>
      <w:tr w:rsidR="007D1E74" w14:paraId="5F35CCB8" w14:textId="77777777">
        <w:tc>
          <w:tcPr>
            <w:tcW w:w="390" w:type="pct"/>
            <w:shd w:val="clear" w:color="auto" w:fill="auto"/>
            <w:vAlign w:val="center"/>
          </w:tcPr>
          <w:p w14:paraId="435F2A6C" w14:textId="77777777" w:rsidR="007D1E74" w:rsidRDefault="00A95641">
            <w:pPr>
              <w:widowControl/>
              <w:jc w:val="center"/>
              <w:rPr>
                <w:rFonts w:cs="Times New Roman"/>
                <w:kern w:val="0"/>
                <w:szCs w:val="21"/>
              </w:rPr>
            </w:pPr>
            <w:r>
              <w:rPr>
                <w:rFonts w:cs="Times New Roman"/>
                <w:kern w:val="0"/>
                <w:szCs w:val="21"/>
              </w:rPr>
              <w:t>3</w:t>
            </w:r>
          </w:p>
        </w:tc>
        <w:tc>
          <w:tcPr>
            <w:tcW w:w="3774" w:type="pct"/>
            <w:shd w:val="clear" w:color="auto" w:fill="auto"/>
            <w:vAlign w:val="center"/>
          </w:tcPr>
          <w:p w14:paraId="34EB5AE2" w14:textId="77777777" w:rsidR="007D1E74" w:rsidRDefault="00A95641">
            <w:pPr>
              <w:widowControl/>
              <w:jc w:val="center"/>
              <w:rPr>
                <w:rFonts w:cs="Times New Roman"/>
                <w:kern w:val="0"/>
                <w:szCs w:val="21"/>
              </w:rPr>
            </w:pPr>
            <w:r>
              <w:rPr>
                <w:rFonts w:cs="Times New Roman" w:hint="eastAsia"/>
                <w:kern w:val="0"/>
                <w:szCs w:val="21"/>
              </w:rPr>
              <w:t>阀室（组）按规范配置一定数量灭火器材</w:t>
            </w:r>
          </w:p>
        </w:tc>
        <w:tc>
          <w:tcPr>
            <w:tcW w:w="836" w:type="pct"/>
            <w:vMerge/>
            <w:shd w:val="clear" w:color="auto" w:fill="auto"/>
            <w:vAlign w:val="center"/>
          </w:tcPr>
          <w:p w14:paraId="440A6E49" w14:textId="77777777" w:rsidR="007D1E74" w:rsidRDefault="007D1E74">
            <w:pPr>
              <w:widowControl/>
              <w:jc w:val="center"/>
              <w:rPr>
                <w:rFonts w:cs="Times New Roman"/>
                <w:kern w:val="0"/>
                <w:szCs w:val="21"/>
              </w:rPr>
            </w:pPr>
          </w:p>
        </w:tc>
      </w:tr>
      <w:tr w:rsidR="007D1E74" w14:paraId="1AC62DB2" w14:textId="77777777">
        <w:trPr>
          <w:trHeight w:val="70"/>
        </w:trPr>
        <w:tc>
          <w:tcPr>
            <w:tcW w:w="390" w:type="pct"/>
            <w:shd w:val="clear" w:color="auto" w:fill="auto"/>
            <w:vAlign w:val="center"/>
          </w:tcPr>
          <w:p w14:paraId="2DFBA5C2" w14:textId="77777777" w:rsidR="007D1E74" w:rsidRDefault="00A95641">
            <w:pPr>
              <w:widowControl/>
              <w:jc w:val="center"/>
              <w:rPr>
                <w:rFonts w:cs="Times New Roman"/>
                <w:kern w:val="0"/>
                <w:szCs w:val="21"/>
              </w:rPr>
            </w:pPr>
            <w:r>
              <w:rPr>
                <w:rFonts w:cs="Times New Roman"/>
                <w:kern w:val="0"/>
                <w:szCs w:val="21"/>
              </w:rPr>
              <w:t>4</w:t>
            </w:r>
          </w:p>
        </w:tc>
        <w:tc>
          <w:tcPr>
            <w:tcW w:w="3774" w:type="pct"/>
            <w:shd w:val="clear" w:color="auto" w:fill="auto"/>
            <w:vAlign w:val="center"/>
          </w:tcPr>
          <w:p w14:paraId="2A12C112" w14:textId="77777777" w:rsidR="007D1E74" w:rsidRDefault="00A95641">
            <w:pPr>
              <w:widowControl/>
              <w:jc w:val="center"/>
              <w:rPr>
                <w:rFonts w:cs="Times New Roman"/>
                <w:kern w:val="0"/>
                <w:szCs w:val="21"/>
              </w:rPr>
            </w:pPr>
            <w:r>
              <w:rPr>
                <w:rFonts w:cs="Times New Roman" w:hint="eastAsia"/>
                <w:kern w:val="0"/>
                <w:szCs w:val="21"/>
              </w:rPr>
              <w:t>严格施工期管理，施工材料、工艺、施工方案、检测等均应符合相关规范要求，保证施工质量；穿越自然保护区段开展施工期环境监理，落实敏感区段（人口稠密区、自然保护区、水源保护区）施工期风险防范措施</w:t>
            </w:r>
          </w:p>
        </w:tc>
        <w:tc>
          <w:tcPr>
            <w:tcW w:w="836" w:type="pct"/>
            <w:shd w:val="clear" w:color="auto" w:fill="auto"/>
            <w:vAlign w:val="center"/>
          </w:tcPr>
          <w:p w14:paraId="2C858EDB" w14:textId="77777777" w:rsidR="007D1E74" w:rsidRDefault="00A95641">
            <w:pPr>
              <w:widowControl/>
              <w:jc w:val="center"/>
              <w:rPr>
                <w:rFonts w:cs="Times New Roman"/>
                <w:kern w:val="0"/>
                <w:szCs w:val="21"/>
              </w:rPr>
            </w:pPr>
            <w:r>
              <w:rPr>
                <w:rFonts w:cs="Times New Roman"/>
                <w:kern w:val="0"/>
                <w:szCs w:val="21"/>
              </w:rPr>
              <w:t>40</w:t>
            </w:r>
          </w:p>
        </w:tc>
      </w:tr>
      <w:tr w:rsidR="007D1E74" w14:paraId="61027AEC" w14:textId="77777777">
        <w:tc>
          <w:tcPr>
            <w:tcW w:w="390" w:type="pct"/>
            <w:shd w:val="clear" w:color="auto" w:fill="auto"/>
            <w:vAlign w:val="center"/>
          </w:tcPr>
          <w:p w14:paraId="3FD3B9BD" w14:textId="77777777" w:rsidR="007D1E74" w:rsidRDefault="00A95641">
            <w:pPr>
              <w:widowControl/>
              <w:jc w:val="center"/>
              <w:rPr>
                <w:rFonts w:cs="Times New Roman"/>
                <w:kern w:val="0"/>
                <w:szCs w:val="21"/>
              </w:rPr>
            </w:pPr>
            <w:r>
              <w:rPr>
                <w:rFonts w:cs="Times New Roman"/>
                <w:kern w:val="0"/>
                <w:szCs w:val="21"/>
              </w:rPr>
              <w:t>5</w:t>
            </w:r>
          </w:p>
        </w:tc>
        <w:tc>
          <w:tcPr>
            <w:tcW w:w="3774" w:type="pct"/>
            <w:shd w:val="clear" w:color="auto" w:fill="auto"/>
            <w:vAlign w:val="center"/>
          </w:tcPr>
          <w:p w14:paraId="38896AB7" w14:textId="77777777" w:rsidR="007D1E74" w:rsidRDefault="00A95641">
            <w:pPr>
              <w:widowControl/>
              <w:jc w:val="center"/>
              <w:rPr>
                <w:rFonts w:cs="Times New Roman"/>
                <w:kern w:val="0"/>
                <w:szCs w:val="21"/>
              </w:rPr>
            </w:pPr>
            <w:r>
              <w:rPr>
                <w:rFonts w:cs="Times New Roman" w:hint="eastAsia"/>
                <w:kern w:val="0"/>
                <w:szCs w:val="21"/>
              </w:rPr>
              <w:t>加强运营期风险防范，建立完善的应急管理体系，加大穿越段、水工保护设施维护、巡查力度，强化安全教育意识，制定自然灾害防护措施；重要危险点的仪表（流量、压力等）应有备用件；合理设置截断阀室，制定敏感区段（人口稠密区、自然保护区、水源保护区）专项事故应急预案</w:t>
            </w:r>
          </w:p>
        </w:tc>
        <w:tc>
          <w:tcPr>
            <w:tcW w:w="836" w:type="pct"/>
            <w:shd w:val="clear" w:color="auto" w:fill="auto"/>
            <w:vAlign w:val="center"/>
          </w:tcPr>
          <w:p w14:paraId="0ACFCD45" w14:textId="77777777" w:rsidR="007D1E74" w:rsidRDefault="00A95641">
            <w:pPr>
              <w:widowControl/>
              <w:jc w:val="center"/>
              <w:rPr>
                <w:rFonts w:cs="Times New Roman"/>
                <w:kern w:val="0"/>
                <w:szCs w:val="21"/>
              </w:rPr>
            </w:pPr>
            <w:r>
              <w:rPr>
                <w:rFonts w:cs="Times New Roman"/>
                <w:kern w:val="0"/>
                <w:szCs w:val="21"/>
              </w:rPr>
              <w:t>27</w:t>
            </w:r>
          </w:p>
        </w:tc>
      </w:tr>
      <w:tr w:rsidR="007D1E74" w14:paraId="1AEDE0BF" w14:textId="77777777">
        <w:tc>
          <w:tcPr>
            <w:tcW w:w="390" w:type="pct"/>
            <w:shd w:val="clear" w:color="auto" w:fill="auto"/>
            <w:vAlign w:val="center"/>
          </w:tcPr>
          <w:p w14:paraId="3732AC0B" w14:textId="77777777" w:rsidR="007D1E74" w:rsidRDefault="00A95641">
            <w:pPr>
              <w:widowControl/>
              <w:jc w:val="center"/>
              <w:rPr>
                <w:rFonts w:cs="Times New Roman"/>
                <w:kern w:val="0"/>
                <w:szCs w:val="21"/>
              </w:rPr>
            </w:pPr>
            <w:r>
              <w:rPr>
                <w:rFonts w:cs="Times New Roman"/>
                <w:kern w:val="0"/>
                <w:szCs w:val="21"/>
              </w:rPr>
              <w:lastRenderedPageBreak/>
              <w:t>6</w:t>
            </w:r>
          </w:p>
        </w:tc>
        <w:tc>
          <w:tcPr>
            <w:tcW w:w="3774" w:type="pct"/>
            <w:shd w:val="clear" w:color="auto" w:fill="auto"/>
            <w:vAlign w:val="center"/>
          </w:tcPr>
          <w:p w14:paraId="2DFEE296" w14:textId="77777777" w:rsidR="007D1E74" w:rsidRDefault="00A95641">
            <w:pPr>
              <w:widowControl/>
              <w:jc w:val="center"/>
              <w:rPr>
                <w:rFonts w:cs="Times New Roman"/>
                <w:kern w:val="0"/>
                <w:szCs w:val="21"/>
              </w:rPr>
            </w:pPr>
            <w:r>
              <w:rPr>
                <w:rFonts w:cs="Times New Roman"/>
                <w:kern w:val="0"/>
                <w:szCs w:val="21"/>
              </w:rPr>
              <w:t>制订环境风险应急预案，定期组织培训和演练</w:t>
            </w:r>
          </w:p>
        </w:tc>
        <w:tc>
          <w:tcPr>
            <w:tcW w:w="836" w:type="pct"/>
            <w:shd w:val="clear" w:color="auto" w:fill="auto"/>
            <w:vAlign w:val="center"/>
          </w:tcPr>
          <w:p w14:paraId="26475E00" w14:textId="77777777" w:rsidR="007D1E74" w:rsidRDefault="00A95641">
            <w:pPr>
              <w:widowControl/>
              <w:jc w:val="center"/>
              <w:rPr>
                <w:rFonts w:cs="Times New Roman"/>
                <w:kern w:val="0"/>
                <w:szCs w:val="21"/>
              </w:rPr>
            </w:pPr>
            <w:r>
              <w:rPr>
                <w:rFonts w:cs="Times New Roman"/>
                <w:kern w:val="0"/>
                <w:szCs w:val="21"/>
              </w:rPr>
              <w:t>3</w:t>
            </w:r>
          </w:p>
        </w:tc>
      </w:tr>
      <w:tr w:rsidR="007D1E74" w14:paraId="66322EA6" w14:textId="77777777">
        <w:tc>
          <w:tcPr>
            <w:tcW w:w="4164" w:type="pct"/>
            <w:gridSpan w:val="2"/>
            <w:shd w:val="clear" w:color="auto" w:fill="auto"/>
            <w:vAlign w:val="center"/>
          </w:tcPr>
          <w:p w14:paraId="32D3C273" w14:textId="77777777" w:rsidR="007D1E74" w:rsidRDefault="00A95641">
            <w:pPr>
              <w:widowControl/>
              <w:jc w:val="center"/>
              <w:rPr>
                <w:rFonts w:cs="Times New Roman"/>
                <w:kern w:val="0"/>
                <w:szCs w:val="21"/>
              </w:rPr>
            </w:pPr>
            <w:r>
              <w:rPr>
                <w:rFonts w:cs="Times New Roman"/>
                <w:kern w:val="0"/>
                <w:szCs w:val="21"/>
              </w:rPr>
              <w:t>合计</w:t>
            </w:r>
          </w:p>
        </w:tc>
        <w:tc>
          <w:tcPr>
            <w:tcW w:w="836" w:type="pct"/>
            <w:shd w:val="clear" w:color="auto" w:fill="auto"/>
            <w:vAlign w:val="center"/>
          </w:tcPr>
          <w:p w14:paraId="00D77F10" w14:textId="77777777" w:rsidR="007D1E74" w:rsidRDefault="00A95641">
            <w:pPr>
              <w:widowControl/>
              <w:jc w:val="center"/>
              <w:rPr>
                <w:rFonts w:cs="Times New Roman"/>
                <w:kern w:val="0"/>
                <w:szCs w:val="21"/>
              </w:rPr>
            </w:pPr>
            <w:r>
              <w:rPr>
                <w:rFonts w:cs="Times New Roman"/>
                <w:kern w:val="0"/>
                <w:szCs w:val="21"/>
              </w:rPr>
              <w:t>70</w:t>
            </w:r>
          </w:p>
        </w:tc>
      </w:tr>
    </w:tbl>
    <w:p w14:paraId="2E348C18" w14:textId="77777777" w:rsidR="007D1E74" w:rsidRDefault="00A95641">
      <w:pPr>
        <w:pStyle w:val="a8"/>
      </w:pPr>
      <w:r>
        <w:t>环境风险</w:t>
      </w:r>
      <w:r>
        <w:rPr>
          <w:rFonts w:hint="eastAsia"/>
        </w:rPr>
        <w:t>评价结论</w:t>
      </w:r>
    </w:p>
    <w:p w14:paraId="30EF4857" w14:textId="77777777" w:rsidR="007D1E74" w:rsidRDefault="00A95641">
      <w:pPr>
        <w:spacing w:line="360" w:lineRule="auto"/>
        <w:ind w:firstLineChars="200" w:firstLine="480"/>
        <w:rPr>
          <w:sz w:val="24"/>
          <w:szCs w:val="24"/>
        </w:rPr>
      </w:pPr>
      <w:r>
        <w:rPr>
          <w:rFonts w:hint="eastAsia"/>
          <w:sz w:val="24"/>
          <w:szCs w:val="24"/>
        </w:rPr>
        <w:t>本项目主要风险源为集输管道，风险物质为集输管道输送的天然气，主要环境风险为泄漏、火灾引发伴生</w:t>
      </w:r>
      <w:r>
        <w:rPr>
          <w:rFonts w:hint="eastAsia"/>
          <w:sz w:val="24"/>
          <w:szCs w:val="24"/>
        </w:rPr>
        <w:t>/</w:t>
      </w:r>
      <w:r>
        <w:rPr>
          <w:rFonts w:hint="eastAsia"/>
          <w:sz w:val="24"/>
          <w:szCs w:val="24"/>
        </w:rPr>
        <w:t>次生污染。项目危险物质及工艺系统危险性为</w:t>
      </w:r>
      <w:r>
        <w:rPr>
          <w:rFonts w:hint="eastAsia"/>
          <w:sz w:val="24"/>
          <w:szCs w:val="24"/>
        </w:rPr>
        <w:t>P3</w:t>
      </w:r>
      <w:r>
        <w:rPr>
          <w:rFonts w:hint="eastAsia"/>
          <w:sz w:val="24"/>
          <w:szCs w:val="24"/>
        </w:rPr>
        <w:t>，大气环境敏感程度为</w:t>
      </w:r>
      <w:r>
        <w:rPr>
          <w:rFonts w:hint="eastAsia"/>
          <w:sz w:val="24"/>
          <w:szCs w:val="24"/>
        </w:rPr>
        <w:t>E</w:t>
      </w:r>
      <w:r>
        <w:rPr>
          <w:sz w:val="24"/>
          <w:szCs w:val="24"/>
        </w:rPr>
        <w:t>3</w:t>
      </w:r>
      <w:r>
        <w:rPr>
          <w:rFonts w:hint="eastAsia"/>
          <w:sz w:val="24"/>
          <w:szCs w:val="24"/>
        </w:rPr>
        <w:t>，地下水环境敏感程度为</w:t>
      </w:r>
      <w:r>
        <w:rPr>
          <w:rFonts w:hint="eastAsia"/>
          <w:sz w:val="24"/>
          <w:szCs w:val="24"/>
        </w:rPr>
        <w:t>E</w:t>
      </w:r>
      <w:r>
        <w:rPr>
          <w:sz w:val="24"/>
          <w:szCs w:val="24"/>
        </w:rPr>
        <w:t>1</w:t>
      </w:r>
      <w:r>
        <w:rPr>
          <w:rFonts w:hint="eastAsia"/>
          <w:sz w:val="24"/>
          <w:szCs w:val="24"/>
        </w:rPr>
        <w:t>，环境风险潜势综合等级为</w:t>
      </w:r>
      <w:r>
        <w:rPr>
          <w:rFonts w:hint="eastAsia"/>
          <w:sz w:val="24"/>
          <w:szCs w:val="24"/>
        </w:rPr>
        <w:t>III</w:t>
      </w:r>
      <w:r>
        <w:rPr>
          <w:rFonts w:hint="eastAsia"/>
          <w:sz w:val="24"/>
          <w:szCs w:val="24"/>
        </w:rPr>
        <w:t>级，环境风险评价工作等级为二级。</w:t>
      </w:r>
    </w:p>
    <w:p w14:paraId="66B7005A" w14:textId="77777777" w:rsidR="007D1E74" w:rsidRDefault="00A95641">
      <w:pPr>
        <w:spacing w:line="360" w:lineRule="auto"/>
        <w:ind w:firstLineChars="200" w:firstLine="480"/>
        <w:rPr>
          <w:sz w:val="24"/>
          <w:szCs w:val="24"/>
        </w:rPr>
      </w:pPr>
      <w:r>
        <w:rPr>
          <w:rFonts w:hint="eastAsia"/>
          <w:sz w:val="24"/>
          <w:szCs w:val="24"/>
        </w:rPr>
        <w:t>根据事故源项及事故后果预测结果，项目集输管道天然气泄漏后甲烷在最不利条件下扩散，各段管道预测浓度均未超出大气毒性终点浓度值，不会对周边大气环境造成危害；天然气泄漏引发火灾事故伴生</w:t>
      </w:r>
      <w:r>
        <w:rPr>
          <w:rFonts w:hint="eastAsia"/>
          <w:sz w:val="24"/>
          <w:szCs w:val="24"/>
        </w:rPr>
        <w:t>/</w:t>
      </w:r>
      <w:r>
        <w:rPr>
          <w:rFonts w:hint="eastAsia"/>
          <w:sz w:val="24"/>
          <w:szCs w:val="24"/>
        </w:rPr>
        <w:t>次生污染物一氧化碳烟团扩散，各段管道预测浓度均未达到毒性终点浓度，不会对环境敏感目标造成明显影响。由于天然气密度比空气小，且几乎不溶于水，在事故状态下，即一旦输气管道穿越河流处发生破裂，管道泄漏的天然气会逐渐扩散至大气中，天然气对水质的直接影响很小。运营期集输管道埋设于地下，输送天然气为不含硫的烷烃类气体，由于集输管线是全封闭系统，采用外防腐层和强制电流阴极保护联合方式，如不发生泄漏事故，对地下水不会造成影响。当管道发生破裂事故，其泄漏的天然气主要成分为甲烷，为气态，不溶于水，直接进入空气中，气体不会进入地下水，外管道防腐设，计严格按照相关规定，对地下水基本不会造成影响。</w:t>
      </w:r>
    </w:p>
    <w:p w14:paraId="1595793B" w14:textId="77777777" w:rsidR="007D1E74" w:rsidRDefault="00A95641">
      <w:pPr>
        <w:spacing w:line="360" w:lineRule="auto"/>
        <w:ind w:firstLineChars="200" w:firstLine="480"/>
        <w:rPr>
          <w:sz w:val="24"/>
          <w:szCs w:val="24"/>
        </w:rPr>
      </w:pPr>
      <w:r>
        <w:rPr>
          <w:rFonts w:hint="eastAsia"/>
          <w:sz w:val="24"/>
          <w:szCs w:val="24"/>
        </w:rPr>
        <w:t>1#</w:t>
      </w:r>
      <w:r>
        <w:rPr>
          <w:rFonts w:hint="eastAsia"/>
          <w:sz w:val="24"/>
          <w:szCs w:val="24"/>
        </w:rPr>
        <w:t>阀室采出水罐石油类第</w:t>
      </w:r>
      <w:r>
        <w:rPr>
          <w:rFonts w:hint="eastAsia"/>
          <w:sz w:val="24"/>
          <w:szCs w:val="24"/>
        </w:rPr>
        <w:t>100d</w:t>
      </w:r>
      <w:r>
        <w:rPr>
          <w:rFonts w:hint="eastAsia"/>
          <w:sz w:val="24"/>
          <w:szCs w:val="24"/>
        </w:rPr>
        <w:t>浓度出现了超标现象（参照《地表水环境质量标准》（</w:t>
      </w:r>
      <w:r>
        <w:rPr>
          <w:rFonts w:hint="eastAsia"/>
          <w:sz w:val="24"/>
          <w:szCs w:val="24"/>
        </w:rPr>
        <w:t>GB3838-2002</w:t>
      </w:r>
      <w:r>
        <w:rPr>
          <w:rFonts w:hint="eastAsia"/>
          <w:sz w:val="24"/>
          <w:szCs w:val="24"/>
        </w:rPr>
        <w:t>）</w:t>
      </w:r>
      <w:r>
        <w:rPr>
          <w:rFonts w:hint="eastAsia"/>
          <w:sz w:val="24"/>
          <w:szCs w:val="24"/>
        </w:rPr>
        <w:t>III</w:t>
      </w:r>
      <w:r>
        <w:rPr>
          <w:rFonts w:hint="eastAsia"/>
          <w:sz w:val="24"/>
          <w:szCs w:val="24"/>
        </w:rPr>
        <w:t>类标准），通过加强采出水罐的检查检修，杜绝非正常工况的发生，同时制定非正常工况风险事故防范和应急措施，发生非正常工况风险事故后，通过及时处理，可有效控制污染影响。</w:t>
      </w:r>
    </w:p>
    <w:p w14:paraId="22587B91" w14:textId="77777777" w:rsidR="007D1E74" w:rsidRDefault="00A95641">
      <w:pPr>
        <w:spacing w:line="360" w:lineRule="auto"/>
        <w:ind w:firstLineChars="200" w:firstLine="480"/>
        <w:rPr>
          <w:sz w:val="24"/>
          <w:szCs w:val="24"/>
        </w:rPr>
      </w:pPr>
      <w:r>
        <w:rPr>
          <w:rFonts w:hint="eastAsia"/>
          <w:sz w:val="24"/>
          <w:szCs w:val="24"/>
        </w:rPr>
        <w:t>本项目在设计阶段、施工阶段、运行阶段都采取了各种风险事故防范措施，项目在严格落实本报告提出的各项措施、建立和落实各项风险预警防范措施和事故应预案，落实安全防护设施设计的前提下，建设项目风险水平处于可接受程度。</w:t>
      </w:r>
    </w:p>
    <w:p w14:paraId="378926D1" w14:textId="77777777" w:rsidR="007D1E74" w:rsidRDefault="007D1E74">
      <w:pPr>
        <w:spacing w:line="360" w:lineRule="auto"/>
        <w:ind w:firstLineChars="200" w:firstLine="480"/>
        <w:rPr>
          <w:sz w:val="24"/>
          <w:szCs w:val="24"/>
        </w:rPr>
      </w:pPr>
    </w:p>
    <w:p w14:paraId="23A30229" w14:textId="77777777" w:rsidR="007D1E74" w:rsidRDefault="00A95641">
      <w:pPr>
        <w:rPr>
          <w:sz w:val="24"/>
          <w:szCs w:val="24"/>
        </w:rPr>
      </w:pPr>
      <w:r>
        <w:rPr>
          <w:rFonts w:hint="eastAsia"/>
          <w:sz w:val="24"/>
          <w:szCs w:val="24"/>
        </w:rPr>
        <w:br w:type="page"/>
      </w:r>
    </w:p>
    <w:p w14:paraId="3F969764" w14:textId="77777777" w:rsidR="007D1E74" w:rsidRDefault="00A95641">
      <w:pPr>
        <w:pStyle w:val="a7"/>
        <w:spacing w:beforeLines="100" w:before="312" w:afterLines="100" w:after="312"/>
        <w:rPr>
          <w:rFonts w:cs="Times New Roman"/>
        </w:rPr>
      </w:pPr>
      <w:bookmarkStart w:id="47" w:name="_Toc7567"/>
      <w:bookmarkStart w:id="48" w:name="_Toc25183"/>
      <w:r>
        <w:rPr>
          <w:rFonts w:cs="Times New Roman"/>
        </w:rPr>
        <w:lastRenderedPageBreak/>
        <w:t xml:space="preserve">8  </w:t>
      </w:r>
      <w:r>
        <w:rPr>
          <w:rFonts w:cs="Times New Roman"/>
        </w:rPr>
        <w:t>环境保护措施及其可行性论证</w:t>
      </w:r>
      <w:bookmarkEnd w:id="47"/>
      <w:bookmarkEnd w:id="48"/>
    </w:p>
    <w:p w14:paraId="0F3AAF86" w14:textId="77777777" w:rsidR="007D1E74" w:rsidRDefault="00A95641">
      <w:pPr>
        <w:spacing w:line="360" w:lineRule="auto"/>
        <w:outlineLvl w:val="1"/>
        <w:rPr>
          <w:b/>
          <w:sz w:val="30"/>
          <w:szCs w:val="30"/>
        </w:rPr>
      </w:pPr>
      <w:bookmarkStart w:id="49" w:name="_Toc1403"/>
      <w:r>
        <w:rPr>
          <w:b/>
          <w:sz w:val="30"/>
          <w:szCs w:val="30"/>
        </w:rPr>
        <w:t>8.1</w:t>
      </w:r>
      <w:r>
        <w:rPr>
          <w:b/>
          <w:sz w:val="30"/>
          <w:szCs w:val="30"/>
        </w:rPr>
        <w:t>设计阶段环境保护措施</w:t>
      </w:r>
      <w:bookmarkEnd w:id="49"/>
    </w:p>
    <w:p w14:paraId="596C5323" w14:textId="77777777" w:rsidR="007D1E74" w:rsidRDefault="00A95641">
      <w:pPr>
        <w:spacing w:line="360" w:lineRule="auto"/>
        <w:outlineLvl w:val="2"/>
        <w:rPr>
          <w:b/>
          <w:sz w:val="28"/>
        </w:rPr>
      </w:pPr>
      <w:r>
        <w:rPr>
          <w:b/>
          <w:sz w:val="28"/>
        </w:rPr>
        <w:t>8.1.1</w:t>
      </w:r>
      <w:r>
        <w:rPr>
          <w:b/>
          <w:sz w:val="28"/>
        </w:rPr>
        <w:t>社会环境影响减缓措施</w:t>
      </w:r>
    </w:p>
    <w:p w14:paraId="2BBE4D0B" w14:textId="77777777" w:rsidR="007D1E74" w:rsidRDefault="00A95641">
      <w:pPr>
        <w:spacing w:line="360" w:lineRule="auto"/>
        <w:ind w:firstLineChars="200" w:firstLine="480"/>
        <w:rPr>
          <w:sz w:val="24"/>
        </w:rPr>
      </w:pPr>
      <w:r>
        <w:rPr>
          <w:sz w:val="24"/>
        </w:rPr>
        <w:t>1</w:t>
      </w:r>
      <w:r>
        <w:rPr>
          <w:sz w:val="24"/>
        </w:rPr>
        <w:t>、建设单位在下一步工作中应严格按照管道沿线地方发改部门、规划部门、生态环境局、水务部门等相关部门提出的意见和要求执行。</w:t>
      </w:r>
    </w:p>
    <w:p w14:paraId="3E9E64FB" w14:textId="77777777" w:rsidR="007D1E74" w:rsidRDefault="00A95641">
      <w:pPr>
        <w:spacing w:line="360" w:lineRule="auto"/>
        <w:ind w:firstLineChars="200" w:firstLine="480"/>
        <w:rPr>
          <w:sz w:val="24"/>
        </w:rPr>
      </w:pPr>
      <w:r>
        <w:rPr>
          <w:sz w:val="24"/>
        </w:rPr>
        <w:t>2</w:t>
      </w:r>
      <w:r>
        <w:rPr>
          <w:sz w:val="24"/>
        </w:rPr>
        <w:t>、按照《关于处理石油管道和天然气管道与公路相互关系的若干规定》中管道和公路保持安全距离、减少交叉、增强石油部门与交通部门的沟通等相关要求执行。</w:t>
      </w:r>
    </w:p>
    <w:p w14:paraId="5D94BDAF" w14:textId="77777777" w:rsidR="007D1E74" w:rsidRDefault="00A95641">
      <w:pPr>
        <w:spacing w:line="360" w:lineRule="auto"/>
        <w:ind w:firstLineChars="200" w:firstLine="480"/>
        <w:rPr>
          <w:sz w:val="24"/>
        </w:rPr>
      </w:pPr>
      <w:r>
        <w:rPr>
          <w:sz w:val="24"/>
        </w:rPr>
        <w:t>3</w:t>
      </w:r>
      <w:r>
        <w:rPr>
          <w:sz w:val="24"/>
        </w:rPr>
        <w:t>、按照《原油、天然气长输管道与铁路相关关系的若干规定》中的管道和铁路交叉位置的选择、管道的防护措施等相关要求执行。</w:t>
      </w:r>
    </w:p>
    <w:p w14:paraId="2E3DCDDF" w14:textId="77777777" w:rsidR="007D1E74" w:rsidRDefault="00A95641">
      <w:pPr>
        <w:spacing w:line="360" w:lineRule="auto"/>
        <w:ind w:firstLineChars="200" w:firstLine="480"/>
        <w:rPr>
          <w:sz w:val="24"/>
        </w:rPr>
      </w:pPr>
      <w:r>
        <w:rPr>
          <w:sz w:val="24"/>
        </w:rPr>
        <w:t>4</w:t>
      </w:r>
      <w:r>
        <w:rPr>
          <w:sz w:val="24"/>
        </w:rPr>
        <w:t>、合理规划设计，尽量利用已有道路，不建或少建施工便道。</w:t>
      </w:r>
    </w:p>
    <w:p w14:paraId="140FC20D" w14:textId="77777777" w:rsidR="007D1E74" w:rsidRDefault="00A95641">
      <w:pPr>
        <w:spacing w:line="360" w:lineRule="auto"/>
        <w:outlineLvl w:val="2"/>
        <w:rPr>
          <w:b/>
          <w:sz w:val="28"/>
        </w:rPr>
      </w:pPr>
      <w:r>
        <w:rPr>
          <w:b/>
          <w:sz w:val="28"/>
        </w:rPr>
        <w:t>8.1.2</w:t>
      </w:r>
      <w:r>
        <w:rPr>
          <w:b/>
          <w:sz w:val="28"/>
        </w:rPr>
        <w:t>水环境影响减缓措施</w:t>
      </w:r>
    </w:p>
    <w:p w14:paraId="3B941EA0" w14:textId="77777777" w:rsidR="007D1E74" w:rsidRDefault="00A95641">
      <w:pPr>
        <w:spacing w:line="360" w:lineRule="auto"/>
        <w:ind w:firstLineChars="200" w:firstLine="480"/>
        <w:rPr>
          <w:sz w:val="24"/>
        </w:rPr>
      </w:pPr>
      <w:r>
        <w:rPr>
          <w:sz w:val="24"/>
        </w:rPr>
        <w:t>1</w:t>
      </w:r>
      <w:r>
        <w:rPr>
          <w:sz w:val="24"/>
        </w:rPr>
        <w:t>、按照相关设计规范，强化管道的抗震、防洪和防腐设计，尽量避免在地质断裂带、地质灾害频发区穿越，对穿越沟渠管段等采取可靠的安全防护措施，如加强级防腐、增加管道壁厚、增加管道埋深、配重固定管道等，以提高管道抗自然灾害和人为破坏的能力。</w:t>
      </w:r>
    </w:p>
    <w:p w14:paraId="3C67B8EA" w14:textId="77777777" w:rsidR="007D1E74" w:rsidRDefault="00A95641">
      <w:pPr>
        <w:spacing w:line="360" w:lineRule="auto"/>
        <w:ind w:firstLineChars="200" w:firstLine="480"/>
        <w:rPr>
          <w:sz w:val="24"/>
        </w:rPr>
      </w:pPr>
      <w:r>
        <w:rPr>
          <w:sz w:val="24"/>
        </w:rPr>
        <w:t>2</w:t>
      </w:r>
      <w:r>
        <w:rPr>
          <w:sz w:val="24"/>
        </w:rPr>
        <w:t>、管道防腐层设计采用常温型加强级三层</w:t>
      </w:r>
      <w:r>
        <w:rPr>
          <w:sz w:val="24"/>
        </w:rPr>
        <w:t>PE</w:t>
      </w:r>
      <w:r>
        <w:rPr>
          <w:sz w:val="24"/>
        </w:rPr>
        <w:t>防腐层，工厂预制，现场热收缩套补口，减少在施工过程中防腐材料对土壤造成污染。</w:t>
      </w:r>
    </w:p>
    <w:p w14:paraId="722DCC36" w14:textId="77777777" w:rsidR="007D1E74" w:rsidRDefault="00A95641">
      <w:pPr>
        <w:spacing w:line="360" w:lineRule="auto"/>
        <w:ind w:firstLineChars="200" w:firstLine="480"/>
        <w:rPr>
          <w:sz w:val="24"/>
        </w:rPr>
      </w:pPr>
      <w:r>
        <w:rPr>
          <w:sz w:val="24"/>
        </w:rPr>
        <w:t>3</w:t>
      </w:r>
      <w:r>
        <w:rPr>
          <w:sz w:val="24"/>
        </w:rPr>
        <w:t>、在设计阶段，应尽量计划在其枯水期和非灌溉期时段内施工，以减缓管道施工对水环境的影响。</w:t>
      </w:r>
    </w:p>
    <w:p w14:paraId="62002056" w14:textId="77777777" w:rsidR="007D1E74" w:rsidRDefault="00A95641">
      <w:pPr>
        <w:spacing w:line="360" w:lineRule="auto"/>
        <w:ind w:firstLineChars="200" w:firstLine="480"/>
        <w:rPr>
          <w:sz w:val="24"/>
        </w:rPr>
      </w:pPr>
      <w:r>
        <w:rPr>
          <w:sz w:val="24"/>
        </w:rPr>
        <w:t>4</w:t>
      </w:r>
      <w:r>
        <w:rPr>
          <w:sz w:val="24"/>
        </w:rPr>
        <w:t>、在设计阶段，尽量减少带水作业，加强水下管道埋深。</w:t>
      </w:r>
    </w:p>
    <w:p w14:paraId="39E572A9" w14:textId="77777777" w:rsidR="007D1E74" w:rsidRDefault="00A95641">
      <w:pPr>
        <w:spacing w:line="360" w:lineRule="auto"/>
        <w:outlineLvl w:val="2"/>
        <w:rPr>
          <w:b/>
          <w:sz w:val="28"/>
        </w:rPr>
      </w:pPr>
      <w:r>
        <w:rPr>
          <w:b/>
          <w:sz w:val="28"/>
        </w:rPr>
        <w:t>8.1.3</w:t>
      </w:r>
      <w:r>
        <w:rPr>
          <w:b/>
          <w:sz w:val="28"/>
        </w:rPr>
        <w:t>固体废弃物减缓措施</w:t>
      </w:r>
    </w:p>
    <w:p w14:paraId="326C9B0E" w14:textId="77777777" w:rsidR="007D1E74" w:rsidRDefault="00A95641">
      <w:pPr>
        <w:spacing w:line="360" w:lineRule="auto"/>
        <w:ind w:firstLineChars="200" w:firstLine="480"/>
        <w:rPr>
          <w:sz w:val="24"/>
        </w:rPr>
      </w:pPr>
      <w:r>
        <w:rPr>
          <w:sz w:val="24"/>
        </w:rPr>
        <w:t>合理设计土石方临时堆放区域，不设置永久弃渣场。施工结束后，进行迹地恢复，也必须进行水保设计，并报经地方水行政主管部门批准后实施。</w:t>
      </w:r>
    </w:p>
    <w:p w14:paraId="0B8543E0" w14:textId="77777777" w:rsidR="007D1E74" w:rsidRDefault="00A95641">
      <w:pPr>
        <w:spacing w:line="360" w:lineRule="auto"/>
        <w:outlineLvl w:val="1"/>
        <w:rPr>
          <w:b/>
          <w:sz w:val="30"/>
          <w:szCs w:val="30"/>
        </w:rPr>
      </w:pPr>
      <w:bookmarkStart w:id="50" w:name="_Toc21076"/>
      <w:r>
        <w:rPr>
          <w:b/>
          <w:sz w:val="30"/>
          <w:szCs w:val="30"/>
        </w:rPr>
        <w:t>8.2</w:t>
      </w:r>
      <w:r>
        <w:rPr>
          <w:b/>
          <w:sz w:val="30"/>
          <w:szCs w:val="30"/>
        </w:rPr>
        <w:t>施工期环境保护措施及可行性论证</w:t>
      </w:r>
      <w:bookmarkEnd w:id="50"/>
    </w:p>
    <w:p w14:paraId="1289AF69" w14:textId="77777777" w:rsidR="007D1E74" w:rsidRDefault="00A95641">
      <w:pPr>
        <w:spacing w:line="360" w:lineRule="auto"/>
        <w:outlineLvl w:val="2"/>
        <w:rPr>
          <w:b/>
          <w:sz w:val="28"/>
        </w:rPr>
      </w:pPr>
      <w:r>
        <w:rPr>
          <w:b/>
          <w:sz w:val="28"/>
        </w:rPr>
        <w:t>8.2.1</w:t>
      </w:r>
      <w:r>
        <w:rPr>
          <w:b/>
          <w:sz w:val="28"/>
        </w:rPr>
        <w:t>社会环境影响减缓措施</w:t>
      </w:r>
    </w:p>
    <w:p w14:paraId="471B0A1D" w14:textId="77777777" w:rsidR="007D1E74" w:rsidRDefault="00A95641">
      <w:pPr>
        <w:spacing w:line="360" w:lineRule="auto"/>
        <w:ind w:firstLineChars="200" w:firstLine="480"/>
        <w:rPr>
          <w:sz w:val="24"/>
        </w:rPr>
      </w:pPr>
      <w:r>
        <w:rPr>
          <w:sz w:val="24"/>
        </w:rPr>
        <w:t>1</w:t>
      </w:r>
      <w:r>
        <w:rPr>
          <w:sz w:val="24"/>
        </w:rPr>
        <w:t>、项目建设尽量不要影响到其它公共设施如通信、水利、公路等的通达通畅。施</w:t>
      </w:r>
      <w:r>
        <w:rPr>
          <w:sz w:val="24"/>
        </w:rPr>
        <w:lastRenderedPageBreak/>
        <w:t>工结束后要对施工中损坏的田埂、沟渠等要进行恢复。</w:t>
      </w:r>
    </w:p>
    <w:p w14:paraId="735FD280" w14:textId="77777777" w:rsidR="007D1E74" w:rsidRDefault="00A95641">
      <w:pPr>
        <w:spacing w:line="360" w:lineRule="auto"/>
        <w:ind w:firstLineChars="200" w:firstLine="480"/>
        <w:rPr>
          <w:sz w:val="24"/>
        </w:rPr>
      </w:pPr>
      <w:r>
        <w:rPr>
          <w:sz w:val="24"/>
        </w:rPr>
        <w:t>2</w:t>
      </w:r>
      <w:r>
        <w:rPr>
          <w:sz w:val="24"/>
        </w:rPr>
        <w:t>、建设单位要加强与管道周围居民的沟通，取得当地居民谅解。</w:t>
      </w:r>
    </w:p>
    <w:p w14:paraId="3E1B5BC8" w14:textId="77777777" w:rsidR="007D1E74" w:rsidRDefault="00A95641">
      <w:pPr>
        <w:spacing w:line="360" w:lineRule="auto"/>
        <w:ind w:firstLineChars="200" w:firstLine="480"/>
        <w:rPr>
          <w:sz w:val="24"/>
        </w:rPr>
      </w:pPr>
      <w:r>
        <w:rPr>
          <w:sz w:val="24"/>
        </w:rPr>
        <w:t>3</w:t>
      </w:r>
      <w:r>
        <w:rPr>
          <w:sz w:val="24"/>
        </w:rPr>
        <w:t>、在穿越路口前设置荧光安全标志牌和提示牌，并派专人管理；夜间在穿越处两边各挂一蓄电式警示灯，并安排专人值班。同时，尽量缩短穿越处的施工时间，降低对车辆通行的影响。</w:t>
      </w:r>
    </w:p>
    <w:p w14:paraId="3A9CD50F" w14:textId="77777777" w:rsidR="007D1E74" w:rsidRDefault="00A95641">
      <w:pPr>
        <w:spacing w:line="360" w:lineRule="auto"/>
        <w:ind w:firstLineChars="200" w:firstLine="480"/>
        <w:rPr>
          <w:sz w:val="24"/>
        </w:rPr>
      </w:pPr>
      <w:r>
        <w:rPr>
          <w:sz w:val="24"/>
        </w:rPr>
        <w:t>4</w:t>
      </w:r>
      <w:r>
        <w:rPr>
          <w:sz w:val="24"/>
        </w:rPr>
        <w:t>、在施工中应注意保护文物线索，一旦发现文物保护单位应及时向当地文物部门汇报，以避免对文物古迹造成不利影响。</w:t>
      </w:r>
    </w:p>
    <w:p w14:paraId="2DA66C47" w14:textId="77777777" w:rsidR="007D1E74" w:rsidRDefault="00A95641">
      <w:pPr>
        <w:spacing w:line="360" w:lineRule="auto"/>
        <w:outlineLvl w:val="2"/>
        <w:rPr>
          <w:b/>
          <w:sz w:val="28"/>
        </w:rPr>
      </w:pPr>
      <w:r>
        <w:rPr>
          <w:b/>
          <w:sz w:val="28"/>
        </w:rPr>
        <w:t>8.2.2</w:t>
      </w:r>
      <w:r>
        <w:rPr>
          <w:b/>
          <w:sz w:val="28"/>
        </w:rPr>
        <w:t>地表水水环境影响减缓措施</w:t>
      </w:r>
    </w:p>
    <w:p w14:paraId="6494B2BD" w14:textId="77777777" w:rsidR="007D1E74" w:rsidRDefault="00A95641">
      <w:pPr>
        <w:pStyle w:val="243"/>
      </w:pPr>
      <w:r>
        <w:t>8.2.2.1</w:t>
      </w:r>
      <w:r>
        <w:t>一般地段施工水环境保护措施</w:t>
      </w:r>
    </w:p>
    <w:p w14:paraId="3799D96C" w14:textId="77777777" w:rsidR="007D1E74" w:rsidRDefault="00A95641">
      <w:pPr>
        <w:spacing w:line="360" w:lineRule="auto"/>
        <w:ind w:firstLineChars="200" w:firstLine="480"/>
        <w:rPr>
          <w:sz w:val="24"/>
        </w:rPr>
      </w:pPr>
      <w:r>
        <w:rPr>
          <w:sz w:val="24"/>
        </w:rPr>
        <w:t>施工期废水主要来自施工人员在施工作业中产生的生活污水及管道安装完后清管、试压中排放的废水。</w:t>
      </w:r>
    </w:p>
    <w:p w14:paraId="2436D921" w14:textId="77777777" w:rsidR="007D1E74" w:rsidRDefault="00A95641">
      <w:pPr>
        <w:spacing w:line="360" w:lineRule="auto"/>
        <w:ind w:firstLineChars="200" w:firstLine="480"/>
        <w:rPr>
          <w:sz w:val="24"/>
        </w:rPr>
      </w:pPr>
      <w:r>
        <w:rPr>
          <w:sz w:val="24"/>
        </w:rPr>
        <w:t>（</w:t>
      </w:r>
      <w:r>
        <w:rPr>
          <w:sz w:val="24"/>
        </w:rPr>
        <w:t>1</w:t>
      </w:r>
      <w:r>
        <w:rPr>
          <w:sz w:val="24"/>
        </w:rPr>
        <w:t>）生活污水</w:t>
      </w:r>
    </w:p>
    <w:p w14:paraId="6734991C" w14:textId="77777777" w:rsidR="007D1E74" w:rsidRDefault="00A95641">
      <w:pPr>
        <w:spacing w:line="360" w:lineRule="auto"/>
        <w:ind w:firstLineChars="200" w:firstLine="480"/>
        <w:rPr>
          <w:sz w:val="24"/>
        </w:rPr>
      </w:pPr>
      <w:r>
        <w:rPr>
          <w:sz w:val="24"/>
        </w:rPr>
        <w:t>项目施工期间，远离城镇的施工人员产生的生活污水经过周围农户旱厕处理后直接用于农业灌溉，由于周围主要为农村环境，项目产生的生活污水用于农业灌溉满足需求；城镇施工人员依托现有化粪池处理后进入污水挂网最终进入城镇污水处理厂处理后达标排放。</w:t>
      </w:r>
    </w:p>
    <w:p w14:paraId="67E2A402" w14:textId="77777777" w:rsidR="007D1E74" w:rsidRDefault="00A95641">
      <w:pPr>
        <w:spacing w:line="360" w:lineRule="auto"/>
        <w:ind w:firstLineChars="200" w:firstLine="480"/>
        <w:rPr>
          <w:sz w:val="24"/>
        </w:rPr>
      </w:pPr>
      <w:r>
        <w:rPr>
          <w:sz w:val="24"/>
        </w:rPr>
        <w:t>施工期产生的生活污水对环境污染基本可以得到控制，不会对环境造成明显影响。</w:t>
      </w:r>
    </w:p>
    <w:p w14:paraId="7CBABC96" w14:textId="77777777" w:rsidR="007D1E74" w:rsidRDefault="00A95641">
      <w:pPr>
        <w:spacing w:line="360" w:lineRule="auto"/>
        <w:ind w:firstLineChars="200" w:firstLine="480"/>
        <w:rPr>
          <w:sz w:val="24"/>
        </w:rPr>
      </w:pPr>
      <w:r>
        <w:rPr>
          <w:sz w:val="24"/>
        </w:rPr>
        <w:t>（</w:t>
      </w:r>
      <w:r>
        <w:rPr>
          <w:sz w:val="24"/>
        </w:rPr>
        <w:t>2</w:t>
      </w:r>
      <w:r>
        <w:rPr>
          <w:sz w:val="24"/>
        </w:rPr>
        <w:t>）施工生产废水</w:t>
      </w:r>
    </w:p>
    <w:p w14:paraId="22E1BADC" w14:textId="77777777" w:rsidR="007D1E74" w:rsidRDefault="00A95641">
      <w:pPr>
        <w:spacing w:line="360" w:lineRule="auto"/>
        <w:ind w:firstLineChars="200" w:firstLine="480"/>
        <w:rPr>
          <w:sz w:val="24"/>
        </w:rPr>
      </w:pPr>
      <w:r>
        <w:rPr>
          <w:sz w:val="24"/>
        </w:rPr>
        <w:t>项目拟在各施工场地设置临时隔油沉淀池，施工废水经隔油沉淀池处理后循环使用或回用于施工场地的洒水抑尘等，不外排。</w:t>
      </w:r>
    </w:p>
    <w:p w14:paraId="48CA40D8" w14:textId="77777777" w:rsidR="007D1E74" w:rsidRDefault="00A95641">
      <w:pPr>
        <w:spacing w:line="360" w:lineRule="auto"/>
        <w:ind w:firstLineChars="200" w:firstLine="480"/>
        <w:rPr>
          <w:sz w:val="24"/>
        </w:rPr>
      </w:pPr>
      <w:r>
        <w:rPr>
          <w:sz w:val="24"/>
        </w:rPr>
        <w:t>（</w:t>
      </w:r>
      <w:r>
        <w:rPr>
          <w:sz w:val="24"/>
        </w:rPr>
        <w:t>3</w:t>
      </w:r>
      <w:r>
        <w:rPr>
          <w:sz w:val="24"/>
        </w:rPr>
        <w:t>）试压废水</w:t>
      </w:r>
    </w:p>
    <w:p w14:paraId="12267DC8" w14:textId="77777777" w:rsidR="007D1E74" w:rsidRDefault="00A95641">
      <w:pPr>
        <w:spacing w:line="360" w:lineRule="auto"/>
        <w:ind w:firstLineChars="200" w:firstLine="480"/>
        <w:rPr>
          <w:sz w:val="24"/>
        </w:rPr>
      </w:pPr>
      <w:r>
        <w:rPr>
          <w:sz w:val="24"/>
        </w:rPr>
        <w:t>试压废水主要含泥沙等杂质，污水排放采用罐车拉运至污水处理厂进行处理。</w:t>
      </w:r>
    </w:p>
    <w:p w14:paraId="69B416EE" w14:textId="77777777" w:rsidR="007D1E74" w:rsidRDefault="00A95641">
      <w:pPr>
        <w:spacing w:line="360" w:lineRule="auto"/>
        <w:ind w:firstLineChars="200" w:firstLine="480"/>
        <w:rPr>
          <w:sz w:val="24"/>
        </w:rPr>
      </w:pPr>
      <w:r>
        <w:rPr>
          <w:sz w:val="24"/>
        </w:rPr>
        <w:t>本项目沿线基本沿小通江河布设，本次环评提出严禁将废水直接排入四川诺水河珍稀水生动物国家级自然保护区小通江以及具有饮水源功能的水体。</w:t>
      </w:r>
    </w:p>
    <w:p w14:paraId="3CE087EC" w14:textId="77777777" w:rsidR="007D1E74" w:rsidRDefault="00A95641">
      <w:pPr>
        <w:spacing w:line="360" w:lineRule="auto"/>
        <w:outlineLvl w:val="2"/>
        <w:rPr>
          <w:b/>
          <w:sz w:val="24"/>
        </w:rPr>
      </w:pPr>
      <w:r>
        <w:rPr>
          <w:b/>
          <w:sz w:val="24"/>
        </w:rPr>
        <w:t>8.2.2.2</w:t>
      </w:r>
      <w:r>
        <w:rPr>
          <w:b/>
          <w:sz w:val="24"/>
        </w:rPr>
        <w:t>大开挖穿越沟渠减缓措施</w:t>
      </w:r>
    </w:p>
    <w:p w14:paraId="0CCB2BF3" w14:textId="77777777" w:rsidR="007D1E74" w:rsidRDefault="00A95641">
      <w:pPr>
        <w:spacing w:line="360" w:lineRule="auto"/>
        <w:ind w:firstLineChars="200" w:firstLine="480"/>
        <w:rPr>
          <w:sz w:val="24"/>
        </w:rPr>
      </w:pPr>
      <w:r>
        <w:rPr>
          <w:sz w:val="24"/>
        </w:rPr>
        <w:t>（</w:t>
      </w:r>
      <w:r>
        <w:rPr>
          <w:sz w:val="24"/>
        </w:rPr>
        <w:t>1</w:t>
      </w:r>
      <w:r>
        <w:rPr>
          <w:sz w:val="24"/>
        </w:rPr>
        <w:t>）施工前环境影响预防措施</w:t>
      </w:r>
    </w:p>
    <w:p w14:paraId="6961BA21" w14:textId="77777777" w:rsidR="007D1E74" w:rsidRDefault="00A95641">
      <w:pPr>
        <w:spacing w:line="360" w:lineRule="auto"/>
        <w:ind w:firstLineChars="200" w:firstLine="480"/>
        <w:rPr>
          <w:sz w:val="24"/>
        </w:rPr>
      </w:pPr>
      <w:r>
        <w:rPr>
          <w:sz w:val="24"/>
        </w:rPr>
        <w:t>大开挖施工应选择合理的时段实施。为了防止各种沉积物冲刷进入沟渠，应尽量选择在干燥的旱季或非灌溉期施工，可避免大雨造成的冲刷和水土流失问题。必须在施工前编制和实施施工机械用燃料油、有害物质泄漏，突发洪水、山洪等事件的应急计划，</w:t>
      </w:r>
      <w:r>
        <w:rPr>
          <w:sz w:val="24"/>
        </w:rPr>
        <w:lastRenderedPageBreak/>
        <w:t>防止此类事件引发水环境污染。在施工前通知当地相关环保主管部门。</w:t>
      </w:r>
    </w:p>
    <w:p w14:paraId="652E6E4F" w14:textId="77777777" w:rsidR="007D1E74" w:rsidRDefault="00A95641">
      <w:pPr>
        <w:spacing w:line="360" w:lineRule="auto"/>
        <w:ind w:firstLineChars="200" w:firstLine="480"/>
        <w:rPr>
          <w:sz w:val="24"/>
        </w:rPr>
      </w:pPr>
      <w:r>
        <w:rPr>
          <w:sz w:val="24"/>
        </w:rPr>
        <w:t>（</w:t>
      </w:r>
      <w:r>
        <w:rPr>
          <w:sz w:val="24"/>
        </w:rPr>
        <w:t>2</w:t>
      </w:r>
      <w:r>
        <w:rPr>
          <w:sz w:val="24"/>
        </w:rPr>
        <w:t>）施工中防治泄漏污染措施</w:t>
      </w:r>
    </w:p>
    <w:p w14:paraId="414AC33C" w14:textId="77777777" w:rsidR="007D1E74" w:rsidRDefault="00A95641">
      <w:pPr>
        <w:spacing w:line="360" w:lineRule="auto"/>
        <w:ind w:firstLineChars="200" w:firstLine="480"/>
        <w:rPr>
          <w:sz w:val="24"/>
        </w:rPr>
      </w:pPr>
      <w:r>
        <w:rPr>
          <w:sz w:val="24"/>
        </w:rPr>
        <w:t>不设置施工营地，施工人员居住尽量就近租用农户现有房屋，若需搭建临时厕所，施工临时厕所不能搭建在穿越沟渠施工段的两堤外堤脚内，粪便及生活垃圾应及时用土填埋覆盖和清理，作为农作物的肥料和送交当地环卫部门。在穿越沟渠施工段的两堤外堤脚内，不准给施工机械加油或存放油品储罐，不准在沟渠内清洗施工机械或车辆。不能在沟渠中或地面上排放或丢弃施工机械用燃料油或其他废物。确保废物储存场所严格封闭和防渗，避免污染物溢出影响水体水质。施工机械加燃料油，换润滑油、机油时，必须避开流域高点，以减小潜在的对河流的影响风险。换掉的废润滑油、废机油必须妥善回收并送交有资质的单位处理，避免进入水体形成二次污染。</w:t>
      </w:r>
    </w:p>
    <w:p w14:paraId="6C30BC45" w14:textId="77777777" w:rsidR="007D1E74" w:rsidRDefault="00A95641">
      <w:pPr>
        <w:spacing w:line="360" w:lineRule="auto"/>
        <w:ind w:firstLineChars="200" w:firstLine="480"/>
        <w:rPr>
          <w:sz w:val="24"/>
        </w:rPr>
      </w:pPr>
      <w:r>
        <w:rPr>
          <w:sz w:val="24"/>
        </w:rPr>
        <w:t>对于管沟开挖或沟渠开挖时产生的渗出水排放，影响是局部的，在沟渠流过一段距离后，由于泥沙的重新沉积会使沟渠的水质恢复到原有状况。</w:t>
      </w:r>
      <w:r>
        <w:rPr>
          <w:sz w:val="24"/>
        </w:rPr>
        <w:t xml:space="preserve"> </w:t>
      </w:r>
    </w:p>
    <w:p w14:paraId="24B39D5A" w14:textId="77777777" w:rsidR="007D1E74" w:rsidRDefault="00A95641">
      <w:pPr>
        <w:spacing w:line="360" w:lineRule="auto"/>
        <w:ind w:firstLineChars="200" w:firstLine="480"/>
        <w:rPr>
          <w:sz w:val="24"/>
        </w:rPr>
      </w:pPr>
      <w:r>
        <w:rPr>
          <w:sz w:val="24"/>
        </w:rPr>
        <w:t>（</w:t>
      </w:r>
      <w:r>
        <w:rPr>
          <w:sz w:val="24"/>
        </w:rPr>
        <w:t>3</w:t>
      </w:r>
      <w:r>
        <w:rPr>
          <w:sz w:val="24"/>
        </w:rPr>
        <w:t>）扫线、开沟环保措施</w:t>
      </w:r>
    </w:p>
    <w:p w14:paraId="19A849F5" w14:textId="77777777" w:rsidR="007D1E74" w:rsidRDefault="00A95641">
      <w:pPr>
        <w:spacing w:line="360" w:lineRule="auto"/>
        <w:ind w:firstLineChars="200" w:firstLine="480"/>
        <w:rPr>
          <w:sz w:val="24"/>
        </w:rPr>
      </w:pPr>
      <w:r>
        <w:rPr>
          <w:sz w:val="24"/>
        </w:rPr>
        <w:t>管道扫线前要明确标记出扫线边界，使扫线范围最小化，减少侵蚀量和栖息地破坏程度。尽量避免在坡度较大和近河岸地区提前扫线，应在穿越施工开始前扫线，避免裸露地面引起侵蚀量增大，特别是防止遇暴雨侵蚀量陡增的问题。尽量限制在水体附近进行植被除根作业，特别是距离水体</w:t>
      </w:r>
      <w:r>
        <w:rPr>
          <w:sz w:val="24"/>
        </w:rPr>
        <w:t>l0m</w:t>
      </w:r>
      <w:r>
        <w:rPr>
          <w:sz w:val="24"/>
        </w:rPr>
        <w:t>之内，尽量保留低矮草本植物，以控制沿岸侵蚀物进入沟渠。不过，有时近岸植被也可能被施工机械碾压后带入水体中形成悬浮物污染源；所以，使进入水体的各种杂质最小化是判断是否在近水体地区保留适当植被的标准。</w:t>
      </w:r>
    </w:p>
    <w:p w14:paraId="682A01AF" w14:textId="77777777" w:rsidR="007D1E74" w:rsidRDefault="00A95641">
      <w:pPr>
        <w:spacing w:line="360" w:lineRule="auto"/>
        <w:ind w:firstLineChars="200" w:firstLine="480"/>
        <w:rPr>
          <w:sz w:val="24"/>
        </w:rPr>
      </w:pPr>
      <w:r>
        <w:rPr>
          <w:sz w:val="24"/>
        </w:rPr>
        <w:t>开挖管沟时产生的表层土要与下层土分开堆放，堆土要有一定坡度和宽度，减少侵蚀的发生。在坡顶开沟形成的表土堆，应设置专门的措施，防止大面积突发侵蚀事故的发生。如果不能立即回填管沟，需要将表土在沟外摆放较长时间</w:t>
      </w:r>
      <w:r>
        <w:rPr>
          <w:sz w:val="24"/>
        </w:rPr>
        <w:t>(</w:t>
      </w:r>
      <w:r>
        <w:rPr>
          <w:sz w:val="24"/>
        </w:rPr>
        <w:t>例如过冬等</w:t>
      </w:r>
      <w:r>
        <w:rPr>
          <w:sz w:val="24"/>
        </w:rPr>
        <w:t>)</w:t>
      </w:r>
      <w:r>
        <w:rPr>
          <w:sz w:val="24"/>
        </w:rPr>
        <w:t>，须用植物茎杆、藤蔓覆盖表层，减少水土流失。</w:t>
      </w:r>
    </w:p>
    <w:p w14:paraId="2E8F93EE" w14:textId="77777777" w:rsidR="007D1E74" w:rsidRDefault="00A95641">
      <w:pPr>
        <w:spacing w:line="360" w:lineRule="auto"/>
        <w:ind w:firstLineChars="200" w:firstLine="480"/>
        <w:rPr>
          <w:sz w:val="24"/>
        </w:rPr>
      </w:pPr>
      <w:r>
        <w:rPr>
          <w:sz w:val="24"/>
        </w:rPr>
        <w:t>必需要进行坡度缓和作业，在坡向水体的急坡区域，在管沟两侧一定范围内削成阶梯状坡面，可以大大控制穿越过程中的侵蚀强度，稳定土层。但应注意削坡产物的堆放，应集中堆放在远离沟渠的低洼地带，并进行必要的植被恢复工作。管道应在岸上焊接完成后拖曳进入管沟。建议在焊接、补口、试压等操作后再开挖管沟。</w:t>
      </w:r>
    </w:p>
    <w:p w14:paraId="552AE6E1" w14:textId="77777777" w:rsidR="007D1E74" w:rsidRDefault="00A95641">
      <w:pPr>
        <w:spacing w:line="360" w:lineRule="auto"/>
        <w:ind w:firstLineChars="200" w:firstLine="480"/>
        <w:rPr>
          <w:sz w:val="24"/>
        </w:rPr>
      </w:pPr>
      <w:r>
        <w:rPr>
          <w:sz w:val="24"/>
        </w:rPr>
        <w:t>（</w:t>
      </w:r>
      <w:r>
        <w:rPr>
          <w:sz w:val="24"/>
        </w:rPr>
        <w:t>4</w:t>
      </w:r>
      <w:r>
        <w:rPr>
          <w:sz w:val="24"/>
        </w:rPr>
        <w:t>）试压过程产生的污水，经沉淀池处理后回用于施工场地、施工便道、临时材料堆场洒水抑尘，不外排。</w:t>
      </w:r>
    </w:p>
    <w:p w14:paraId="69E82246" w14:textId="77777777" w:rsidR="007D1E74" w:rsidRDefault="00A95641">
      <w:pPr>
        <w:spacing w:line="360" w:lineRule="auto"/>
        <w:ind w:firstLineChars="200" w:firstLine="480"/>
        <w:rPr>
          <w:sz w:val="24"/>
        </w:rPr>
      </w:pPr>
      <w:r>
        <w:rPr>
          <w:sz w:val="24"/>
        </w:rPr>
        <w:lastRenderedPageBreak/>
        <w:t>（</w:t>
      </w:r>
      <w:r>
        <w:rPr>
          <w:sz w:val="24"/>
        </w:rPr>
        <w:t>5</w:t>
      </w:r>
      <w:r>
        <w:rPr>
          <w:sz w:val="24"/>
        </w:rPr>
        <w:t>）恢复阶段环保措施</w:t>
      </w:r>
    </w:p>
    <w:p w14:paraId="0977BDC9" w14:textId="77777777" w:rsidR="007D1E74" w:rsidRDefault="00A95641">
      <w:pPr>
        <w:spacing w:line="360" w:lineRule="auto"/>
        <w:ind w:firstLineChars="200" w:firstLine="480"/>
        <w:rPr>
          <w:sz w:val="24"/>
        </w:rPr>
      </w:pPr>
      <w:r>
        <w:rPr>
          <w:sz w:val="24"/>
        </w:rPr>
        <w:t>必须在管道穿越敷设完成后清理干净围堰，恢复沟渠原貌。管沟回填后多余土石方可均匀堆积于沟渠穿越区岸坡背水侧，压实，或用于修筑堤坝。在穿越施工中的拦水坝间水</w:t>
      </w:r>
      <w:r>
        <w:rPr>
          <w:sz w:val="24"/>
        </w:rPr>
        <w:t>(</w:t>
      </w:r>
      <w:r>
        <w:rPr>
          <w:sz w:val="24"/>
        </w:rPr>
        <w:t>悬浮物含量高</w:t>
      </w:r>
      <w:r>
        <w:rPr>
          <w:sz w:val="24"/>
        </w:rPr>
        <w:t>)</w:t>
      </w:r>
      <w:r>
        <w:rPr>
          <w:sz w:val="24"/>
        </w:rPr>
        <w:t>，必须在拦水坝清理之前排放到岸上进行沉淀。施工结束表层覆土回填后，岸边要进行合理的植被恢复。是否在新植被恢复地区施化肥要具体分析，防止水体富营养化污染。</w:t>
      </w:r>
    </w:p>
    <w:p w14:paraId="51B88024" w14:textId="77777777" w:rsidR="007D1E74" w:rsidRDefault="00A95641">
      <w:pPr>
        <w:spacing w:line="360" w:lineRule="auto"/>
        <w:outlineLvl w:val="2"/>
        <w:rPr>
          <w:b/>
          <w:sz w:val="24"/>
        </w:rPr>
      </w:pPr>
      <w:r>
        <w:rPr>
          <w:b/>
          <w:sz w:val="24"/>
        </w:rPr>
        <w:t>8.2.2.3</w:t>
      </w:r>
      <w:r>
        <w:rPr>
          <w:b/>
          <w:sz w:val="24"/>
        </w:rPr>
        <w:t>定向钻穿越小通江减缓措施</w:t>
      </w:r>
    </w:p>
    <w:p w14:paraId="2E18C0CB" w14:textId="77777777" w:rsidR="007D1E74" w:rsidRDefault="00A95641">
      <w:pPr>
        <w:autoSpaceDE w:val="0"/>
        <w:autoSpaceDN w:val="0"/>
        <w:adjustRightInd w:val="0"/>
        <w:spacing w:line="360" w:lineRule="auto"/>
        <w:ind w:firstLineChars="200" w:firstLine="480"/>
        <w:jc w:val="left"/>
        <w:rPr>
          <w:kern w:val="0"/>
          <w:sz w:val="24"/>
        </w:rPr>
      </w:pPr>
      <w:r>
        <w:rPr>
          <w:kern w:val="0"/>
          <w:sz w:val="24"/>
        </w:rPr>
        <w:t>小通江河定向钻穿越工程主要在施工期产污，运营期管道无人值守，不产生活污水。</w:t>
      </w:r>
    </w:p>
    <w:p w14:paraId="06A8EBD0" w14:textId="77777777" w:rsidR="007D1E74" w:rsidRDefault="00A95641">
      <w:pPr>
        <w:autoSpaceDE w:val="0"/>
        <w:autoSpaceDN w:val="0"/>
        <w:adjustRightInd w:val="0"/>
        <w:spacing w:line="360" w:lineRule="auto"/>
        <w:ind w:firstLineChars="200" w:firstLine="480"/>
        <w:jc w:val="left"/>
        <w:rPr>
          <w:kern w:val="0"/>
          <w:sz w:val="24"/>
        </w:rPr>
      </w:pPr>
      <w:r>
        <w:rPr>
          <w:kern w:val="0"/>
          <w:sz w:val="24"/>
        </w:rPr>
        <w:t>1</w:t>
      </w:r>
      <w:r>
        <w:rPr>
          <w:kern w:val="0"/>
          <w:sz w:val="24"/>
        </w:rPr>
        <w:t>、防止水土流失：施工期要加强施工管理和环境保护工作，合理布置施工营地和施工场地，做好施工区水土流失的防护工作。</w:t>
      </w:r>
    </w:p>
    <w:p w14:paraId="196B49A8" w14:textId="77777777" w:rsidR="007D1E74" w:rsidRDefault="00A95641">
      <w:pPr>
        <w:autoSpaceDE w:val="0"/>
        <w:autoSpaceDN w:val="0"/>
        <w:adjustRightInd w:val="0"/>
        <w:spacing w:line="360" w:lineRule="auto"/>
        <w:ind w:firstLineChars="200" w:firstLine="480"/>
        <w:jc w:val="left"/>
        <w:rPr>
          <w:kern w:val="0"/>
          <w:sz w:val="24"/>
        </w:rPr>
      </w:pPr>
      <w:r>
        <w:rPr>
          <w:kern w:val="0"/>
          <w:sz w:val="24"/>
        </w:rPr>
        <w:t>2</w:t>
      </w:r>
      <w:r>
        <w:rPr>
          <w:kern w:val="0"/>
          <w:sz w:val="24"/>
        </w:rPr>
        <w:t>、定向钻泥浆：分别于定向钻入土端和出土端设置泥浆池和沉淀池，对泥浆水沉淀处理后循环使用。</w:t>
      </w:r>
    </w:p>
    <w:p w14:paraId="43F56342" w14:textId="77777777" w:rsidR="007D1E74" w:rsidRDefault="00A95641">
      <w:pPr>
        <w:autoSpaceDE w:val="0"/>
        <w:autoSpaceDN w:val="0"/>
        <w:adjustRightInd w:val="0"/>
        <w:spacing w:line="360" w:lineRule="auto"/>
        <w:ind w:firstLineChars="200" w:firstLine="480"/>
        <w:jc w:val="left"/>
        <w:rPr>
          <w:kern w:val="0"/>
          <w:sz w:val="24"/>
        </w:rPr>
      </w:pPr>
      <w:r>
        <w:rPr>
          <w:kern w:val="0"/>
          <w:sz w:val="24"/>
        </w:rPr>
        <w:t>3</w:t>
      </w:r>
      <w:r>
        <w:rPr>
          <w:kern w:val="0"/>
          <w:sz w:val="24"/>
        </w:rPr>
        <w:t>、生活污水：对施工人员生活污水采用化粪池统一集中收集，经发酵处理后用于农灌和林灌，严格杜绝外排现象的发生。</w:t>
      </w:r>
    </w:p>
    <w:p w14:paraId="37EDC1C7" w14:textId="77777777" w:rsidR="007D1E74" w:rsidRDefault="00A95641">
      <w:pPr>
        <w:autoSpaceDE w:val="0"/>
        <w:autoSpaceDN w:val="0"/>
        <w:adjustRightInd w:val="0"/>
        <w:spacing w:line="360" w:lineRule="auto"/>
        <w:ind w:firstLineChars="200" w:firstLine="480"/>
        <w:jc w:val="left"/>
        <w:rPr>
          <w:kern w:val="0"/>
          <w:sz w:val="24"/>
        </w:rPr>
      </w:pPr>
      <w:r>
        <w:rPr>
          <w:kern w:val="0"/>
          <w:sz w:val="24"/>
        </w:rPr>
        <w:t>4</w:t>
      </w:r>
      <w:r>
        <w:rPr>
          <w:kern w:val="0"/>
          <w:sz w:val="24"/>
        </w:rPr>
        <w:t>、施工机具清洗废水：施工机具清洗废水通过施工区的沉淀池集中收集后回用，不外排。</w:t>
      </w:r>
    </w:p>
    <w:p w14:paraId="372FD13A" w14:textId="77777777" w:rsidR="007D1E74" w:rsidRDefault="00A95641">
      <w:pPr>
        <w:autoSpaceDE w:val="0"/>
        <w:autoSpaceDN w:val="0"/>
        <w:adjustRightInd w:val="0"/>
        <w:spacing w:line="360" w:lineRule="auto"/>
        <w:ind w:firstLineChars="200" w:firstLine="480"/>
        <w:jc w:val="left"/>
        <w:rPr>
          <w:kern w:val="0"/>
          <w:sz w:val="24"/>
        </w:rPr>
      </w:pPr>
      <w:r>
        <w:rPr>
          <w:kern w:val="0"/>
          <w:sz w:val="24"/>
        </w:rPr>
        <w:t>5</w:t>
      </w:r>
      <w:r>
        <w:rPr>
          <w:kern w:val="0"/>
          <w:sz w:val="24"/>
        </w:rPr>
        <w:t>、管道试压水：施工期管线清管、试压分段进行，为节约用水，避免水资源的浪费，管道试压废水经收集进行沉淀处理后可重复使用或做绿化浇灌用水。</w:t>
      </w:r>
    </w:p>
    <w:p w14:paraId="407A610E" w14:textId="77777777" w:rsidR="007D1E74" w:rsidRDefault="00A95641">
      <w:pPr>
        <w:spacing w:line="360" w:lineRule="auto"/>
        <w:outlineLvl w:val="2"/>
        <w:rPr>
          <w:b/>
          <w:sz w:val="24"/>
        </w:rPr>
      </w:pPr>
      <w:bookmarkStart w:id="51" w:name="_Toc486537563"/>
      <w:bookmarkStart w:id="52" w:name="_Toc92992860"/>
      <w:r>
        <w:rPr>
          <w:b/>
          <w:sz w:val="24"/>
        </w:rPr>
        <w:t>（</w:t>
      </w:r>
      <w:r>
        <w:rPr>
          <w:b/>
          <w:sz w:val="24"/>
        </w:rPr>
        <w:t>1</w:t>
      </w:r>
      <w:r>
        <w:rPr>
          <w:b/>
          <w:sz w:val="24"/>
        </w:rPr>
        <w:t>）固体废弃物防治措施</w:t>
      </w:r>
      <w:bookmarkEnd w:id="51"/>
      <w:bookmarkEnd w:id="52"/>
    </w:p>
    <w:p w14:paraId="31EA3EC3" w14:textId="77777777" w:rsidR="007D1E74" w:rsidRDefault="00A95641">
      <w:pPr>
        <w:autoSpaceDE w:val="0"/>
        <w:autoSpaceDN w:val="0"/>
        <w:adjustRightInd w:val="0"/>
        <w:spacing w:line="360" w:lineRule="auto"/>
        <w:ind w:firstLineChars="200" w:firstLine="480"/>
        <w:jc w:val="left"/>
        <w:rPr>
          <w:kern w:val="0"/>
          <w:sz w:val="24"/>
        </w:rPr>
      </w:pPr>
      <w:r>
        <w:rPr>
          <w:kern w:val="0"/>
          <w:sz w:val="24"/>
        </w:rPr>
        <w:t>小通江河穿越工程的固体废弃物主要来源于施工期的施工人员生活垃圾和施工废料等，针对上述固体废弃物制定以下污染防治措施。</w:t>
      </w:r>
    </w:p>
    <w:p w14:paraId="02768F2B" w14:textId="77777777" w:rsidR="007D1E74" w:rsidRDefault="00A95641">
      <w:pPr>
        <w:autoSpaceDE w:val="0"/>
        <w:autoSpaceDN w:val="0"/>
        <w:adjustRightInd w:val="0"/>
        <w:spacing w:line="360" w:lineRule="auto"/>
        <w:ind w:firstLineChars="200" w:firstLine="480"/>
        <w:jc w:val="left"/>
        <w:rPr>
          <w:kern w:val="0"/>
          <w:sz w:val="24"/>
        </w:rPr>
      </w:pPr>
      <w:r>
        <w:rPr>
          <w:rFonts w:ascii="宋体" w:hAnsi="宋体" w:cs="宋体" w:hint="eastAsia"/>
          <w:kern w:val="0"/>
          <w:sz w:val="24"/>
        </w:rPr>
        <w:t>①</w:t>
      </w:r>
      <w:r>
        <w:rPr>
          <w:kern w:val="0"/>
          <w:sz w:val="24"/>
        </w:rPr>
        <w:t>生活垃圾：施工人员产生的废水及垃圾均依托当地的处理设施，不能依托的，收集起来统一送环卫部门处理。</w:t>
      </w:r>
    </w:p>
    <w:p w14:paraId="195F0D4F" w14:textId="77777777" w:rsidR="007D1E74" w:rsidRDefault="00A95641">
      <w:pPr>
        <w:autoSpaceDE w:val="0"/>
        <w:autoSpaceDN w:val="0"/>
        <w:adjustRightInd w:val="0"/>
        <w:spacing w:line="360" w:lineRule="auto"/>
        <w:ind w:firstLineChars="200" w:firstLine="480"/>
        <w:jc w:val="left"/>
        <w:rPr>
          <w:kern w:val="0"/>
          <w:sz w:val="24"/>
        </w:rPr>
      </w:pPr>
      <w:r>
        <w:rPr>
          <w:rFonts w:ascii="宋体" w:hAnsi="宋体" w:cs="宋体" w:hint="eastAsia"/>
          <w:kern w:val="0"/>
          <w:sz w:val="24"/>
        </w:rPr>
        <w:t>②</w:t>
      </w:r>
      <w:r>
        <w:rPr>
          <w:kern w:val="0"/>
          <w:sz w:val="24"/>
        </w:rPr>
        <w:t>施工废料：施工废料部分可回收利用，剩余废料依托当地职能部门有偿清运。</w:t>
      </w:r>
    </w:p>
    <w:p w14:paraId="6E8E5B60" w14:textId="77777777" w:rsidR="007D1E74" w:rsidRDefault="00A95641">
      <w:pPr>
        <w:spacing w:line="360" w:lineRule="auto"/>
        <w:outlineLvl w:val="2"/>
        <w:rPr>
          <w:b/>
          <w:sz w:val="24"/>
        </w:rPr>
      </w:pPr>
      <w:bookmarkStart w:id="53" w:name="_Toc486537564"/>
      <w:bookmarkStart w:id="54" w:name="_Toc92992861"/>
      <w:r>
        <w:rPr>
          <w:b/>
          <w:sz w:val="24"/>
        </w:rPr>
        <w:t>（</w:t>
      </w:r>
      <w:r>
        <w:rPr>
          <w:b/>
          <w:sz w:val="24"/>
        </w:rPr>
        <w:t>2</w:t>
      </w:r>
      <w:r>
        <w:rPr>
          <w:b/>
          <w:sz w:val="24"/>
        </w:rPr>
        <w:t>）噪声防治措施</w:t>
      </w:r>
      <w:bookmarkEnd w:id="53"/>
      <w:bookmarkEnd w:id="54"/>
    </w:p>
    <w:p w14:paraId="66547440" w14:textId="77777777" w:rsidR="007D1E74" w:rsidRDefault="00A95641">
      <w:pPr>
        <w:autoSpaceDE w:val="0"/>
        <w:autoSpaceDN w:val="0"/>
        <w:adjustRightInd w:val="0"/>
        <w:spacing w:line="360" w:lineRule="auto"/>
        <w:ind w:firstLineChars="200" w:firstLine="480"/>
        <w:jc w:val="left"/>
        <w:rPr>
          <w:kern w:val="0"/>
          <w:sz w:val="24"/>
        </w:rPr>
      </w:pPr>
      <w:r>
        <w:rPr>
          <w:rFonts w:ascii="宋体" w:hAnsi="宋体" w:cs="宋体" w:hint="eastAsia"/>
          <w:kern w:val="0"/>
          <w:sz w:val="24"/>
        </w:rPr>
        <w:t>①</w:t>
      </w:r>
      <w:r>
        <w:rPr>
          <w:kern w:val="0"/>
          <w:sz w:val="24"/>
        </w:rPr>
        <w:t>施工单位尽量选用低噪声的施工机械和工艺，从根本上降低噪声源强。</w:t>
      </w:r>
    </w:p>
    <w:p w14:paraId="50FC9730" w14:textId="77777777" w:rsidR="007D1E74" w:rsidRDefault="00A95641">
      <w:pPr>
        <w:autoSpaceDE w:val="0"/>
        <w:autoSpaceDN w:val="0"/>
        <w:adjustRightInd w:val="0"/>
        <w:spacing w:line="360" w:lineRule="auto"/>
        <w:ind w:firstLineChars="200" w:firstLine="480"/>
        <w:jc w:val="left"/>
        <w:rPr>
          <w:kern w:val="0"/>
          <w:sz w:val="24"/>
        </w:rPr>
      </w:pPr>
      <w:r>
        <w:rPr>
          <w:rFonts w:ascii="宋体" w:hAnsi="宋体" w:cs="宋体" w:hint="eastAsia"/>
          <w:kern w:val="0"/>
          <w:sz w:val="24"/>
        </w:rPr>
        <w:t>②</w:t>
      </w:r>
      <w:r>
        <w:rPr>
          <w:kern w:val="0"/>
          <w:sz w:val="24"/>
        </w:rPr>
        <w:t>合理安排施工时间，减少夜间作业。</w:t>
      </w:r>
    </w:p>
    <w:p w14:paraId="0540E169" w14:textId="77777777" w:rsidR="007D1E74" w:rsidRDefault="00A95641">
      <w:pPr>
        <w:autoSpaceDE w:val="0"/>
        <w:autoSpaceDN w:val="0"/>
        <w:adjustRightInd w:val="0"/>
        <w:spacing w:line="360" w:lineRule="auto"/>
        <w:ind w:firstLineChars="200" w:firstLine="480"/>
        <w:jc w:val="left"/>
        <w:rPr>
          <w:kern w:val="0"/>
          <w:sz w:val="24"/>
        </w:rPr>
      </w:pPr>
      <w:r>
        <w:rPr>
          <w:rFonts w:ascii="宋体" w:hAnsi="宋体" w:cs="宋体" w:hint="eastAsia"/>
          <w:kern w:val="0"/>
          <w:sz w:val="24"/>
        </w:rPr>
        <w:t>③</w:t>
      </w:r>
      <w:r>
        <w:rPr>
          <w:kern w:val="0"/>
          <w:sz w:val="24"/>
        </w:rPr>
        <w:t>设置声屏障降噪。</w:t>
      </w:r>
    </w:p>
    <w:p w14:paraId="25142BDF" w14:textId="77777777" w:rsidR="007D1E74" w:rsidRDefault="00A95641">
      <w:pPr>
        <w:autoSpaceDE w:val="0"/>
        <w:autoSpaceDN w:val="0"/>
        <w:adjustRightInd w:val="0"/>
        <w:spacing w:line="360" w:lineRule="auto"/>
        <w:ind w:firstLineChars="200" w:firstLine="480"/>
        <w:jc w:val="left"/>
        <w:rPr>
          <w:kern w:val="0"/>
          <w:sz w:val="24"/>
        </w:rPr>
      </w:pPr>
      <w:r>
        <w:rPr>
          <w:rFonts w:ascii="宋体" w:hAnsi="宋体" w:cs="宋体" w:hint="eastAsia"/>
          <w:kern w:val="0"/>
          <w:sz w:val="24"/>
        </w:rPr>
        <w:lastRenderedPageBreak/>
        <w:t>④</w:t>
      </w:r>
      <w:r>
        <w:rPr>
          <w:kern w:val="0"/>
          <w:sz w:val="24"/>
        </w:rPr>
        <w:t>加强对施工期噪声的监督管理。施工单位做到文明施工。</w:t>
      </w:r>
    </w:p>
    <w:p w14:paraId="11E3E2BB" w14:textId="77777777" w:rsidR="007D1E74" w:rsidRDefault="00A95641">
      <w:pPr>
        <w:autoSpaceDE w:val="0"/>
        <w:autoSpaceDN w:val="0"/>
        <w:adjustRightInd w:val="0"/>
        <w:spacing w:line="360" w:lineRule="auto"/>
        <w:ind w:firstLineChars="200" w:firstLine="480"/>
        <w:jc w:val="left"/>
        <w:rPr>
          <w:kern w:val="0"/>
          <w:sz w:val="24"/>
        </w:rPr>
      </w:pPr>
      <w:r>
        <w:rPr>
          <w:rFonts w:ascii="宋体" w:hAnsi="宋体" w:cs="宋体" w:hint="eastAsia"/>
          <w:kern w:val="0"/>
          <w:sz w:val="24"/>
        </w:rPr>
        <w:t>⑤</w:t>
      </w:r>
      <w:r>
        <w:rPr>
          <w:kern w:val="0"/>
          <w:sz w:val="24"/>
        </w:rPr>
        <w:t>运输车辆应尽可能减少鸣号。</w:t>
      </w:r>
    </w:p>
    <w:p w14:paraId="6E7DD5CE" w14:textId="77777777" w:rsidR="007D1E74" w:rsidRDefault="00A95641">
      <w:pPr>
        <w:autoSpaceDE w:val="0"/>
        <w:autoSpaceDN w:val="0"/>
        <w:adjustRightInd w:val="0"/>
        <w:spacing w:line="360" w:lineRule="auto"/>
        <w:ind w:firstLineChars="200" w:firstLine="480"/>
        <w:jc w:val="left"/>
        <w:rPr>
          <w:kern w:val="0"/>
          <w:sz w:val="24"/>
        </w:rPr>
      </w:pPr>
      <w:r>
        <w:rPr>
          <w:rFonts w:ascii="宋体" w:hAnsi="宋体" w:cs="宋体" w:hint="eastAsia"/>
          <w:kern w:val="0"/>
          <w:sz w:val="24"/>
        </w:rPr>
        <w:t>⑥</w:t>
      </w:r>
      <w:r>
        <w:rPr>
          <w:kern w:val="0"/>
          <w:sz w:val="24"/>
        </w:rPr>
        <w:t>加强施工机械保养及维护，尽量减少机械噪声。</w:t>
      </w:r>
    </w:p>
    <w:p w14:paraId="6C8030AD" w14:textId="77777777" w:rsidR="007D1E74" w:rsidRDefault="00A95641">
      <w:pPr>
        <w:spacing w:line="360" w:lineRule="auto"/>
        <w:outlineLvl w:val="2"/>
        <w:rPr>
          <w:b/>
          <w:sz w:val="24"/>
        </w:rPr>
      </w:pPr>
      <w:bookmarkStart w:id="55" w:name="_Toc486537565"/>
      <w:bookmarkStart w:id="56" w:name="_Toc92992862"/>
      <w:r>
        <w:rPr>
          <w:b/>
          <w:sz w:val="24"/>
        </w:rPr>
        <w:t>（</w:t>
      </w:r>
      <w:r>
        <w:rPr>
          <w:b/>
          <w:sz w:val="24"/>
        </w:rPr>
        <w:t>3</w:t>
      </w:r>
      <w:r>
        <w:rPr>
          <w:b/>
          <w:sz w:val="24"/>
        </w:rPr>
        <w:t>）悬浮物防治措施</w:t>
      </w:r>
      <w:bookmarkEnd w:id="55"/>
      <w:bookmarkEnd w:id="56"/>
    </w:p>
    <w:p w14:paraId="0CD84BF8" w14:textId="77777777" w:rsidR="007D1E74" w:rsidRDefault="00A95641">
      <w:pPr>
        <w:autoSpaceDE w:val="0"/>
        <w:autoSpaceDN w:val="0"/>
        <w:adjustRightInd w:val="0"/>
        <w:spacing w:line="360" w:lineRule="auto"/>
        <w:ind w:firstLineChars="200" w:firstLine="480"/>
        <w:jc w:val="left"/>
        <w:rPr>
          <w:kern w:val="0"/>
          <w:sz w:val="24"/>
        </w:rPr>
      </w:pPr>
      <w:r>
        <w:rPr>
          <w:kern w:val="0"/>
          <w:sz w:val="24"/>
        </w:rPr>
        <w:t>加强施工区的水土保持工作，场地平整时尽量避免破坏植被，开挖地表应及时固化或植被覆盖，防止暴雨冲刷，导致泥沙冲入河中。</w:t>
      </w:r>
    </w:p>
    <w:p w14:paraId="60E72AF4" w14:textId="77777777" w:rsidR="007D1E74" w:rsidRDefault="00A95641">
      <w:pPr>
        <w:autoSpaceDE w:val="0"/>
        <w:autoSpaceDN w:val="0"/>
        <w:adjustRightInd w:val="0"/>
        <w:spacing w:line="360" w:lineRule="auto"/>
        <w:ind w:firstLineChars="200" w:firstLine="480"/>
        <w:jc w:val="left"/>
        <w:rPr>
          <w:kern w:val="0"/>
          <w:sz w:val="24"/>
        </w:rPr>
      </w:pPr>
      <w:r>
        <w:rPr>
          <w:kern w:val="0"/>
          <w:sz w:val="24"/>
        </w:rPr>
        <w:t>小通江河穿越工程悬浮物（</w:t>
      </w:r>
      <w:r>
        <w:rPr>
          <w:kern w:val="0"/>
          <w:sz w:val="24"/>
        </w:rPr>
        <w:t>SS</w:t>
      </w:r>
      <w:r>
        <w:rPr>
          <w:kern w:val="0"/>
          <w:sz w:val="24"/>
        </w:rPr>
        <w:t>）来源主要是定向钻产生的泥浆。由于钻机系统进行钻进工作时，需要泵入适合钻进工况的泥浆，钻出的泥浆经施工区的泥浆池收集，再由泥浆泵泵入沉淀池进行沉淀后用于配置钻井泥浆，多余泥浆由吸污车集中清运，不外排。</w:t>
      </w:r>
    </w:p>
    <w:p w14:paraId="1F67C5E2" w14:textId="77777777" w:rsidR="007D1E74" w:rsidRDefault="00A95641">
      <w:pPr>
        <w:spacing w:line="360" w:lineRule="auto"/>
        <w:outlineLvl w:val="2"/>
        <w:rPr>
          <w:b/>
          <w:sz w:val="24"/>
        </w:rPr>
      </w:pPr>
      <w:bookmarkStart w:id="57" w:name="_Toc239480694"/>
      <w:bookmarkStart w:id="58" w:name="_Toc486537566"/>
      <w:bookmarkStart w:id="59" w:name="_Toc92992863"/>
      <w:r>
        <w:rPr>
          <w:b/>
          <w:sz w:val="24"/>
        </w:rPr>
        <w:t>（</w:t>
      </w:r>
      <w:r>
        <w:rPr>
          <w:b/>
          <w:sz w:val="24"/>
        </w:rPr>
        <w:t>4</w:t>
      </w:r>
      <w:r>
        <w:rPr>
          <w:b/>
          <w:sz w:val="24"/>
        </w:rPr>
        <w:t>）油污处理措施</w:t>
      </w:r>
      <w:bookmarkEnd w:id="57"/>
      <w:bookmarkEnd w:id="58"/>
      <w:bookmarkEnd w:id="59"/>
    </w:p>
    <w:p w14:paraId="6B1F3083" w14:textId="77777777" w:rsidR="007D1E74" w:rsidRDefault="00A95641">
      <w:pPr>
        <w:autoSpaceDE w:val="0"/>
        <w:autoSpaceDN w:val="0"/>
        <w:adjustRightInd w:val="0"/>
        <w:spacing w:line="360" w:lineRule="auto"/>
        <w:ind w:firstLineChars="200" w:firstLine="480"/>
        <w:jc w:val="left"/>
        <w:rPr>
          <w:kern w:val="0"/>
          <w:sz w:val="24"/>
        </w:rPr>
      </w:pPr>
      <w:r>
        <w:rPr>
          <w:kern w:val="0"/>
          <w:sz w:val="24"/>
        </w:rPr>
        <w:t>在施工中，尽量使用先进的设备、机械，有效地减少跑、冒、滴和漏的数量及维修次数，对于不可避免的跑、冒、滴和漏的油污应全部用固态吸油材料（如绵纱、木屑等）吸收，以减少或避免油污废水的产生，并且浸油废物不得随意丢弃，进行集中无害化处理。</w:t>
      </w:r>
    </w:p>
    <w:p w14:paraId="26950162" w14:textId="77777777" w:rsidR="007D1E74" w:rsidRDefault="00A95641">
      <w:pPr>
        <w:spacing w:line="360" w:lineRule="auto"/>
        <w:outlineLvl w:val="2"/>
        <w:rPr>
          <w:b/>
          <w:sz w:val="24"/>
        </w:rPr>
      </w:pPr>
      <w:bookmarkStart w:id="60" w:name="_Toc486537567"/>
      <w:bookmarkStart w:id="61" w:name="_Toc92992864"/>
      <w:r>
        <w:rPr>
          <w:b/>
          <w:sz w:val="24"/>
        </w:rPr>
        <w:t>（</w:t>
      </w:r>
      <w:r>
        <w:rPr>
          <w:b/>
          <w:sz w:val="24"/>
        </w:rPr>
        <w:t>5</w:t>
      </w:r>
      <w:r>
        <w:rPr>
          <w:b/>
          <w:sz w:val="24"/>
        </w:rPr>
        <w:t>）取水防护措施</w:t>
      </w:r>
      <w:bookmarkEnd w:id="60"/>
      <w:bookmarkEnd w:id="61"/>
    </w:p>
    <w:p w14:paraId="3D62E6BE" w14:textId="77777777" w:rsidR="007D1E74" w:rsidRDefault="00A95641">
      <w:pPr>
        <w:autoSpaceDE w:val="0"/>
        <w:autoSpaceDN w:val="0"/>
        <w:adjustRightInd w:val="0"/>
        <w:spacing w:line="360" w:lineRule="auto"/>
        <w:ind w:firstLineChars="200" w:firstLine="480"/>
        <w:jc w:val="left"/>
        <w:rPr>
          <w:kern w:val="0"/>
          <w:sz w:val="24"/>
        </w:rPr>
      </w:pPr>
      <w:r>
        <w:rPr>
          <w:kern w:val="0"/>
          <w:sz w:val="24"/>
        </w:rPr>
        <w:t>由于穿越工程钻进时需要间断地对膨润土拌合水进行补给，施工时多采取就近取水的原则。如本穿越工程从小通江河取水时可能会导致部分鱼卵或鱼苗被吸入拌合池，导致其窒息死亡。为避开鱼苗集中分布的河岸、水体表层和河湾缓流浅水区，取水泵应布设在离河岸大于</w:t>
      </w:r>
      <w:r>
        <w:rPr>
          <w:kern w:val="0"/>
          <w:sz w:val="24"/>
        </w:rPr>
        <w:t>5m</w:t>
      </w:r>
      <w:r>
        <w:rPr>
          <w:kern w:val="0"/>
          <w:sz w:val="24"/>
        </w:rPr>
        <w:t>的深水区域，取水深度应控制在距离水面不得小于</w:t>
      </w:r>
      <w:r>
        <w:rPr>
          <w:kern w:val="0"/>
          <w:sz w:val="24"/>
        </w:rPr>
        <w:t>1m</w:t>
      </w:r>
      <w:r>
        <w:rPr>
          <w:kern w:val="0"/>
          <w:sz w:val="24"/>
        </w:rPr>
        <w:t>的水层。</w:t>
      </w:r>
    </w:p>
    <w:p w14:paraId="163ACE35" w14:textId="77777777" w:rsidR="007D1E74" w:rsidRDefault="00A95641">
      <w:pPr>
        <w:spacing w:line="360" w:lineRule="auto"/>
        <w:outlineLvl w:val="2"/>
        <w:rPr>
          <w:b/>
          <w:sz w:val="24"/>
        </w:rPr>
      </w:pPr>
      <w:bookmarkStart w:id="62" w:name="_Toc92992865"/>
      <w:bookmarkStart w:id="63" w:name="_Toc486537568"/>
      <w:r>
        <w:rPr>
          <w:b/>
          <w:sz w:val="24"/>
        </w:rPr>
        <w:t>（</w:t>
      </w:r>
      <w:r>
        <w:rPr>
          <w:b/>
          <w:sz w:val="24"/>
        </w:rPr>
        <w:t>6</w:t>
      </w:r>
      <w:r>
        <w:rPr>
          <w:b/>
          <w:sz w:val="24"/>
        </w:rPr>
        <w:t>）施工期和运行期管理措施</w:t>
      </w:r>
      <w:bookmarkEnd w:id="62"/>
      <w:bookmarkEnd w:id="63"/>
    </w:p>
    <w:p w14:paraId="69059028" w14:textId="77777777" w:rsidR="007D1E74" w:rsidRDefault="00A95641">
      <w:pPr>
        <w:spacing w:beforeLines="50" w:before="156" w:afterLines="50" w:after="156" w:line="360" w:lineRule="auto"/>
        <w:jc w:val="left"/>
        <w:outlineLvl w:val="2"/>
        <w:rPr>
          <w:b/>
          <w:bCs/>
          <w:kern w:val="10"/>
          <w:sz w:val="24"/>
        </w:rPr>
      </w:pPr>
      <w:bookmarkStart w:id="64" w:name="_Toc486537569"/>
      <w:r>
        <w:rPr>
          <w:rFonts w:ascii="宋体" w:hAnsi="宋体" w:cs="宋体" w:hint="eastAsia"/>
          <w:b/>
          <w:bCs/>
          <w:kern w:val="10"/>
          <w:sz w:val="24"/>
        </w:rPr>
        <w:t>①</w:t>
      </w:r>
      <w:r>
        <w:rPr>
          <w:b/>
          <w:bCs/>
          <w:kern w:val="10"/>
          <w:sz w:val="24"/>
        </w:rPr>
        <w:t>施工单位管理</w:t>
      </w:r>
      <w:bookmarkEnd w:id="64"/>
    </w:p>
    <w:p w14:paraId="1578449F" w14:textId="77777777" w:rsidR="007D1E74" w:rsidRDefault="00A95641">
      <w:pPr>
        <w:autoSpaceDE w:val="0"/>
        <w:autoSpaceDN w:val="0"/>
        <w:adjustRightInd w:val="0"/>
        <w:spacing w:line="360" w:lineRule="auto"/>
        <w:ind w:firstLineChars="200" w:firstLine="480"/>
        <w:jc w:val="left"/>
        <w:rPr>
          <w:kern w:val="0"/>
          <w:sz w:val="24"/>
        </w:rPr>
      </w:pPr>
      <w:r>
        <w:rPr>
          <w:kern w:val="0"/>
          <w:sz w:val="24"/>
        </w:rPr>
        <w:t>提高施工人员的环保意识，严禁下河捕鱼；加强施工管理，做好施工生产生活废污水和固体废弃物处理措施，保护水域生态环境；合理安排施工时间，尽量避开鱼类等的繁殖高峰时间。</w:t>
      </w:r>
    </w:p>
    <w:p w14:paraId="41ED456E" w14:textId="77777777" w:rsidR="007D1E74" w:rsidRDefault="00A95641">
      <w:pPr>
        <w:autoSpaceDE w:val="0"/>
        <w:autoSpaceDN w:val="0"/>
        <w:adjustRightInd w:val="0"/>
        <w:spacing w:line="360" w:lineRule="auto"/>
        <w:ind w:firstLineChars="200" w:firstLine="480"/>
        <w:jc w:val="left"/>
        <w:rPr>
          <w:kern w:val="0"/>
          <w:sz w:val="24"/>
        </w:rPr>
      </w:pPr>
      <w:r>
        <w:rPr>
          <w:kern w:val="0"/>
          <w:sz w:val="24"/>
        </w:rPr>
        <w:t>建设单位应在工程管理机构内设置生态环境管理员，对施工期间保护区内水生动物情况进行实时监测或调查，并建立向保护区管理机构进行实时报告的制度。</w:t>
      </w:r>
    </w:p>
    <w:p w14:paraId="468D533E" w14:textId="77777777" w:rsidR="007D1E74" w:rsidRDefault="00A95641">
      <w:pPr>
        <w:autoSpaceDE w:val="0"/>
        <w:autoSpaceDN w:val="0"/>
        <w:adjustRightInd w:val="0"/>
        <w:spacing w:line="360" w:lineRule="auto"/>
        <w:ind w:firstLineChars="200" w:firstLine="480"/>
        <w:jc w:val="left"/>
        <w:rPr>
          <w:kern w:val="0"/>
          <w:sz w:val="24"/>
        </w:rPr>
      </w:pPr>
      <w:r>
        <w:rPr>
          <w:kern w:val="0"/>
          <w:sz w:val="24"/>
        </w:rPr>
        <w:t>做好生态环境能够保护的宣传教育工作，提高施工人员的环保意识，严禁在保护</w:t>
      </w:r>
      <w:r>
        <w:rPr>
          <w:kern w:val="0"/>
          <w:sz w:val="24"/>
        </w:rPr>
        <w:lastRenderedPageBreak/>
        <w:t>区内滥捕水生动物；施工期间一旦发现珍稀水生动物，及时上报至保护区管理机构和建设单位，待处理完毕并经保护区管理局同意后方可继续施工。</w:t>
      </w:r>
    </w:p>
    <w:p w14:paraId="36BF59E6" w14:textId="77777777" w:rsidR="007D1E74" w:rsidRDefault="00A95641">
      <w:pPr>
        <w:autoSpaceDE w:val="0"/>
        <w:autoSpaceDN w:val="0"/>
        <w:adjustRightInd w:val="0"/>
        <w:spacing w:line="360" w:lineRule="auto"/>
        <w:ind w:firstLineChars="200" w:firstLine="480"/>
        <w:jc w:val="left"/>
        <w:rPr>
          <w:kern w:val="0"/>
          <w:sz w:val="24"/>
        </w:rPr>
      </w:pPr>
      <w:r>
        <w:rPr>
          <w:kern w:val="0"/>
          <w:sz w:val="24"/>
        </w:rPr>
        <w:t>施工结束后，施工单位应按照景观相一致的原则，及时对施工场所等迹地进行恢复，同时要对上述场所附近裸露区域进行补充绿化。</w:t>
      </w:r>
    </w:p>
    <w:p w14:paraId="65E8A75E" w14:textId="77777777" w:rsidR="007D1E74" w:rsidRDefault="00A95641">
      <w:pPr>
        <w:spacing w:line="360" w:lineRule="auto"/>
        <w:outlineLvl w:val="2"/>
        <w:rPr>
          <w:b/>
          <w:sz w:val="24"/>
        </w:rPr>
      </w:pPr>
      <w:bookmarkStart w:id="65" w:name="_Toc486537570"/>
      <w:r>
        <w:rPr>
          <w:rFonts w:ascii="宋体" w:hAnsi="宋体" w:cs="宋体" w:hint="eastAsia"/>
          <w:b/>
          <w:sz w:val="24"/>
        </w:rPr>
        <w:t>②</w:t>
      </w:r>
      <w:r>
        <w:rPr>
          <w:b/>
          <w:sz w:val="24"/>
        </w:rPr>
        <w:t>保护区管理</w:t>
      </w:r>
      <w:bookmarkEnd w:id="65"/>
    </w:p>
    <w:p w14:paraId="2969A0AF" w14:textId="77777777" w:rsidR="007D1E74" w:rsidRDefault="00A95641">
      <w:pPr>
        <w:autoSpaceDE w:val="0"/>
        <w:autoSpaceDN w:val="0"/>
        <w:adjustRightInd w:val="0"/>
        <w:spacing w:line="360" w:lineRule="auto"/>
        <w:ind w:firstLineChars="200" w:firstLine="480"/>
        <w:jc w:val="left"/>
        <w:rPr>
          <w:kern w:val="0"/>
          <w:sz w:val="24"/>
        </w:rPr>
      </w:pPr>
      <w:r>
        <w:rPr>
          <w:kern w:val="0"/>
          <w:sz w:val="24"/>
        </w:rPr>
        <w:t>为严格控制管道穿越工程对保护区的影响，保护区管理部门应加强工程施工期和营运期对保护区相应区段的管理。加强渔政管理，加强《渔业法》和长江十年禁渔的宣传，发动群众参与鱼类资源的保护。加强对施工人员的管理和环境保护的宣传力度，最终达到经济效益、社会效益和生态效益的统一。</w:t>
      </w:r>
    </w:p>
    <w:p w14:paraId="544623C1" w14:textId="77777777" w:rsidR="007D1E74" w:rsidRDefault="00A95641">
      <w:pPr>
        <w:autoSpaceDE w:val="0"/>
        <w:autoSpaceDN w:val="0"/>
        <w:adjustRightInd w:val="0"/>
        <w:spacing w:line="360" w:lineRule="auto"/>
        <w:ind w:firstLineChars="200" w:firstLine="480"/>
        <w:jc w:val="left"/>
        <w:rPr>
          <w:kern w:val="0"/>
          <w:sz w:val="24"/>
        </w:rPr>
      </w:pPr>
      <w:r>
        <w:rPr>
          <w:kern w:val="0"/>
          <w:sz w:val="24"/>
        </w:rPr>
        <w:t>在工程的建设和运营期，除了工程业主应设立由工程技术、环保和安全等方面人员组成的环保工作部门，落实各项环保措施外，保护区有关管理部门应加强对工程施工行为的监督和管理。监控的主要内容包括：施工河段、施工期的核实，工程规模的控制，有利于减缓工程影响的各项环保措施的落实等。</w:t>
      </w:r>
    </w:p>
    <w:p w14:paraId="21D67636" w14:textId="77777777" w:rsidR="007D1E74" w:rsidRDefault="00A95641">
      <w:pPr>
        <w:adjustRightInd w:val="0"/>
        <w:snapToGrid w:val="0"/>
        <w:spacing w:line="360" w:lineRule="auto"/>
        <w:ind w:firstLineChars="200" w:firstLine="480"/>
        <w:rPr>
          <w:sz w:val="24"/>
        </w:rPr>
      </w:pPr>
      <w:r>
        <w:rPr>
          <w:sz w:val="24"/>
        </w:rPr>
        <w:t>因此，建议建设单位与渔政主管部门建立协调小组，加强施工期和营运期对影响区域的管理，并在工程影响区域加大宣传力度，设立宣传和警示牌，专门设立监管支出项目。</w:t>
      </w:r>
    </w:p>
    <w:p w14:paraId="3B81B9F4" w14:textId="77777777" w:rsidR="007D1E74" w:rsidRDefault="00A95641">
      <w:pPr>
        <w:autoSpaceDE w:val="0"/>
        <w:autoSpaceDN w:val="0"/>
        <w:adjustRightInd w:val="0"/>
        <w:spacing w:line="360" w:lineRule="auto"/>
        <w:ind w:firstLineChars="200" w:firstLine="480"/>
        <w:jc w:val="left"/>
        <w:rPr>
          <w:kern w:val="0"/>
          <w:sz w:val="24"/>
        </w:rPr>
      </w:pPr>
      <w:r>
        <w:rPr>
          <w:kern w:val="0"/>
          <w:sz w:val="24"/>
        </w:rPr>
        <w:t>为确保各项监督管理工作的顺利开展，业主应预留一定的宣传教育和监督管理经费，经估算约需费用</w:t>
      </w:r>
      <w:r>
        <w:rPr>
          <w:kern w:val="0"/>
          <w:sz w:val="24"/>
        </w:rPr>
        <w:t>16</w:t>
      </w:r>
      <w:r>
        <w:rPr>
          <w:kern w:val="0"/>
          <w:sz w:val="24"/>
        </w:rPr>
        <w:t>万元。</w:t>
      </w:r>
    </w:p>
    <w:p w14:paraId="7AC7924A" w14:textId="77777777" w:rsidR="007D1E74" w:rsidRDefault="00A95641">
      <w:pPr>
        <w:snapToGrid w:val="0"/>
        <w:jc w:val="center"/>
        <w:rPr>
          <w:b/>
          <w:szCs w:val="21"/>
          <w:lang w:val="sq-AL"/>
        </w:rPr>
      </w:pPr>
      <w:r>
        <w:rPr>
          <w:b/>
          <w:szCs w:val="21"/>
          <w:lang w:val="sq-AL"/>
        </w:rPr>
        <w:t>表</w:t>
      </w:r>
      <w:r>
        <w:rPr>
          <w:b/>
          <w:szCs w:val="21"/>
          <w:lang w:val="sq-AL"/>
        </w:rPr>
        <w:t xml:space="preserve">8.2-1   </w:t>
      </w:r>
      <w:r>
        <w:rPr>
          <w:b/>
          <w:szCs w:val="21"/>
          <w:lang w:val="sq-AL"/>
        </w:rPr>
        <w:t>管理经费预算表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7"/>
        <w:gridCol w:w="4531"/>
        <w:gridCol w:w="1931"/>
        <w:gridCol w:w="1497"/>
      </w:tblGrid>
      <w:tr w:rsidR="007D1E74" w14:paraId="022D8EC0" w14:textId="77777777">
        <w:trPr>
          <w:jc w:val="center"/>
        </w:trPr>
        <w:tc>
          <w:tcPr>
            <w:tcW w:w="586" w:type="pct"/>
          </w:tcPr>
          <w:p w14:paraId="55441A1E" w14:textId="77777777" w:rsidR="007D1E74" w:rsidRDefault="00A95641">
            <w:pPr>
              <w:spacing w:line="360" w:lineRule="auto"/>
              <w:jc w:val="center"/>
              <w:rPr>
                <w:szCs w:val="21"/>
              </w:rPr>
            </w:pPr>
            <w:r>
              <w:rPr>
                <w:szCs w:val="21"/>
              </w:rPr>
              <w:t>编号</w:t>
            </w:r>
          </w:p>
        </w:tc>
        <w:tc>
          <w:tcPr>
            <w:tcW w:w="2513" w:type="pct"/>
          </w:tcPr>
          <w:p w14:paraId="30AAC6D8" w14:textId="77777777" w:rsidR="007D1E74" w:rsidRDefault="00A95641">
            <w:pPr>
              <w:spacing w:line="360" w:lineRule="auto"/>
              <w:jc w:val="center"/>
              <w:rPr>
                <w:szCs w:val="21"/>
              </w:rPr>
            </w:pPr>
            <w:r>
              <w:rPr>
                <w:szCs w:val="21"/>
              </w:rPr>
              <w:t>项目</w:t>
            </w:r>
          </w:p>
        </w:tc>
        <w:tc>
          <w:tcPr>
            <w:tcW w:w="1071" w:type="pct"/>
          </w:tcPr>
          <w:p w14:paraId="229B0D0F" w14:textId="77777777" w:rsidR="007D1E74" w:rsidRDefault="00A95641">
            <w:pPr>
              <w:spacing w:line="360" w:lineRule="auto"/>
              <w:jc w:val="center"/>
              <w:rPr>
                <w:szCs w:val="21"/>
              </w:rPr>
            </w:pPr>
            <w:r>
              <w:rPr>
                <w:szCs w:val="21"/>
              </w:rPr>
              <w:t>经费</w:t>
            </w:r>
          </w:p>
        </w:tc>
        <w:tc>
          <w:tcPr>
            <w:tcW w:w="830" w:type="pct"/>
          </w:tcPr>
          <w:p w14:paraId="3150C1F5" w14:textId="77777777" w:rsidR="007D1E74" w:rsidRDefault="00A95641">
            <w:pPr>
              <w:spacing w:line="360" w:lineRule="auto"/>
              <w:jc w:val="center"/>
              <w:rPr>
                <w:szCs w:val="21"/>
              </w:rPr>
            </w:pPr>
            <w:r>
              <w:rPr>
                <w:szCs w:val="21"/>
              </w:rPr>
              <w:t>备注</w:t>
            </w:r>
          </w:p>
        </w:tc>
      </w:tr>
      <w:tr w:rsidR="007D1E74" w14:paraId="4ECB0C3C" w14:textId="77777777">
        <w:trPr>
          <w:jc w:val="center"/>
        </w:trPr>
        <w:tc>
          <w:tcPr>
            <w:tcW w:w="586" w:type="pct"/>
            <w:vAlign w:val="center"/>
          </w:tcPr>
          <w:p w14:paraId="28CA1ED0" w14:textId="77777777" w:rsidR="007D1E74" w:rsidRDefault="00A95641">
            <w:pPr>
              <w:spacing w:line="360" w:lineRule="auto"/>
              <w:jc w:val="center"/>
              <w:rPr>
                <w:szCs w:val="21"/>
              </w:rPr>
            </w:pPr>
            <w:r>
              <w:rPr>
                <w:szCs w:val="21"/>
              </w:rPr>
              <w:t>1</w:t>
            </w:r>
          </w:p>
        </w:tc>
        <w:tc>
          <w:tcPr>
            <w:tcW w:w="2513" w:type="pct"/>
            <w:vAlign w:val="center"/>
          </w:tcPr>
          <w:p w14:paraId="6D0CDAD8" w14:textId="77777777" w:rsidR="007D1E74" w:rsidRDefault="00A95641">
            <w:pPr>
              <w:spacing w:line="360" w:lineRule="auto"/>
              <w:jc w:val="center"/>
              <w:rPr>
                <w:szCs w:val="21"/>
              </w:rPr>
            </w:pPr>
            <w:r>
              <w:rPr>
                <w:szCs w:val="21"/>
              </w:rPr>
              <w:t>施工期监管</w:t>
            </w:r>
          </w:p>
        </w:tc>
        <w:tc>
          <w:tcPr>
            <w:tcW w:w="1071" w:type="pct"/>
            <w:vAlign w:val="center"/>
          </w:tcPr>
          <w:p w14:paraId="213473AD" w14:textId="77777777" w:rsidR="007D1E74" w:rsidRDefault="00A95641">
            <w:pPr>
              <w:spacing w:line="360" w:lineRule="auto"/>
              <w:jc w:val="center"/>
              <w:rPr>
                <w:szCs w:val="21"/>
              </w:rPr>
            </w:pPr>
            <w:r>
              <w:rPr>
                <w:szCs w:val="21"/>
              </w:rPr>
              <w:t>1</w:t>
            </w:r>
          </w:p>
        </w:tc>
        <w:tc>
          <w:tcPr>
            <w:tcW w:w="830" w:type="pct"/>
            <w:vAlign w:val="center"/>
          </w:tcPr>
          <w:p w14:paraId="74467A34" w14:textId="77777777" w:rsidR="007D1E74" w:rsidRDefault="007D1E74">
            <w:pPr>
              <w:spacing w:line="360" w:lineRule="auto"/>
              <w:jc w:val="center"/>
              <w:rPr>
                <w:szCs w:val="21"/>
              </w:rPr>
            </w:pPr>
          </w:p>
        </w:tc>
      </w:tr>
      <w:tr w:rsidR="007D1E74" w14:paraId="42746503" w14:textId="77777777">
        <w:trPr>
          <w:jc w:val="center"/>
        </w:trPr>
        <w:tc>
          <w:tcPr>
            <w:tcW w:w="586" w:type="pct"/>
            <w:vAlign w:val="center"/>
          </w:tcPr>
          <w:p w14:paraId="5EA130A3" w14:textId="77777777" w:rsidR="007D1E74" w:rsidRDefault="00A95641">
            <w:pPr>
              <w:spacing w:line="360" w:lineRule="auto"/>
              <w:jc w:val="center"/>
              <w:rPr>
                <w:szCs w:val="21"/>
              </w:rPr>
            </w:pPr>
            <w:r>
              <w:rPr>
                <w:szCs w:val="21"/>
              </w:rPr>
              <w:t>2</w:t>
            </w:r>
          </w:p>
        </w:tc>
        <w:tc>
          <w:tcPr>
            <w:tcW w:w="2513" w:type="pct"/>
            <w:vAlign w:val="center"/>
          </w:tcPr>
          <w:p w14:paraId="68D3CB0F" w14:textId="77777777" w:rsidR="007D1E74" w:rsidRDefault="00A95641">
            <w:pPr>
              <w:spacing w:line="360" w:lineRule="auto"/>
              <w:jc w:val="center"/>
              <w:rPr>
                <w:szCs w:val="21"/>
              </w:rPr>
            </w:pPr>
            <w:r>
              <w:rPr>
                <w:szCs w:val="21"/>
              </w:rPr>
              <w:t>宣传教育</w:t>
            </w:r>
          </w:p>
        </w:tc>
        <w:tc>
          <w:tcPr>
            <w:tcW w:w="1071" w:type="pct"/>
            <w:vAlign w:val="center"/>
          </w:tcPr>
          <w:p w14:paraId="2021E33B" w14:textId="77777777" w:rsidR="007D1E74" w:rsidRDefault="00A95641">
            <w:pPr>
              <w:spacing w:line="360" w:lineRule="auto"/>
              <w:jc w:val="center"/>
              <w:rPr>
                <w:szCs w:val="21"/>
              </w:rPr>
            </w:pPr>
            <w:r>
              <w:rPr>
                <w:szCs w:val="21"/>
              </w:rPr>
              <w:t>15</w:t>
            </w:r>
          </w:p>
        </w:tc>
        <w:tc>
          <w:tcPr>
            <w:tcW w:w="830" w:type="pct"/>
            <w:vAlign w:val="center"/>
          </w:tcPr>
          <w:p w14:paraId="4F170DAC" w14:textId="77777777" w:rsidR="007D1E74" w:rsidRDefault="00A95641">
            <w:pPr>
              <w:spacing w:line="360" w:lineRule="auto"/>
              <w:jc w:val="center"/>
              <w:rPr>
                <w:szCs w:val="21"/>
              </w:rPr>
            </w:pPr>
            <w:r>
              <w:rPr>
                <w:szCs w:val="21"/>
              </w:rPr>
              <w:t>5</w:t>
            </w:r>
            <w:r>
              <w:rPr>
                <w:szCs w:val="21"/>
              </w:rPr>
              <w:t>年</w:t>
            </w:r>
          </w:p>
        </w:tc>
      </w:tr>
      <w:tr w:rsidR="007D1E74" w14:paraId="3C666040" w14:textId="77777777">
        <w:trPr>
          <w:jc w:val="center"/>
        </w:trPr>
        <w:tc>
          <w:tcPr>
            <w:tcW w:w="586" w:type="pct"/>
            <w:vAlign w:val="center"/>
          </w:tcPr>
          <w:p w14:paraId="065402A7" w14:textId="77777777" w:rsidR="007D1E74" w:rsidRDefault="00A95641">
            <w:pPr>
              <w:spacing w:line="360" w:lineRule="auto"/>
              <w:jc w:val="center"/>
              <w:rPr>
                <w:szCs w:val="21"/>
              </w:rPr>
            </w:pPr>
            <w:r>
              <w:rPr>
                <w:szCs w:val="21"/>
              </w:rPr>
              <w:t>3</w:t>
            </w:r>
          </w:p>
        </w:tc>
        <w:tc>
          <w:tcPr>
            <w:tcW w:w="2513" w:type="pct"/>
            <w:vAlign w:val="center"/>
          </w:tcPr>
          <w:p w14:paraId="5FF67CFC" w14:textId="77777777" w:rsidR="007D1E74" w:rsidRDefault="00A95641">
            <w:pPr>
              <w:spacing w:line="360" w:lineRule="auto"/>
              <w:jc w:val="center"/>
              <w:rPr>
                <w:szCs w:val="21"/>
              </w:rPr>
            </w:pPr>
            <w:r>
              <w:rPr>
                <w:szCs w:val="21"/>
              </w:rPr>
              <w:t>合计</w:t>
            </w:r>
          </w:p>
        </w:tc>
        <w:tc>
          <w:tcPr>
            <w:tcW w:w="1071" w:type="pct"/>
            <w:vAlign w:val="center"/>
          </w:tcPr>
          <w:p w14:paraId="0E25B1DB" w14:textId="77777777" w:rsidR="007D1E74" w:rsidRDefault="00A95641">
            <w:pPr>
              <w:spacing w:line="360" w:lineRule="auto"/>
              <w:jc w:val="center"/>
              <w:rPr>
                <w:szCs w:val="21"/>
              </w:rPr>
            </w:pPr>
            <w:r>
              <w:rPr>
                <w:szCs w:val="21"/>
              </w:rPr>
              <w:t>16</w:t>
            </w:r>
          </w:p>
        </w:tc>
        <w:tc>
          <w:tcPr>
            <w:tcW w:w="830" w:type="pct"/>
            <w:vAlign w:val="center"/>
          </w:tcPr>
          <w:p w14:paraId="5724DE06" w14:textId="77777777" w:rsidR="007D1E74" w:rsidRDefault="007D1E74">
            <w:pPr>
              <w:spacing w:line="360" w:lineRule="auto"/>
              <w:jc w:val="center"/>
              <w:rPr>
                <w:szCs w:val="21"/>
              </w:rPr>
            </w:pPr>
          </w:p>
        </w:tc>
      </w:tr>
    </w:tbl>
    <w:p w14:paraId="3E874972" w14:textId="77777777" w:rsidR="007D1E74" w:rsidRDefault="00A95641">
      <w:pPr>
        <w:spacing w:line="360" w:lineRule="auto"/>
        <w:outlineLvl w:val="2"/>
        <w:rPr>
          <w:b/>
          <w:sz w:val="24"/>
        </w:rPr>
      </w:pPr>
      <w:bookmarkStart w:id="66" w:name="_Toc426728585"/>
      <w:bookmarkStart w:id="67" w:name="_Toc92992866"/>
      <w:bookmarkStart w:id="68" w:name="_Toc486413908"/>
      <w:r>
        <w:rPr>
          <w:b/>
          <w:sz w:val="24"/>
        </w:rPr>
        <w:t>（</w:t>
      </w:r>
      <w:r>
        <w:rPr>
          <w:b/>
          <w:sz w:val="24"/>
        </w:rPr>
        <w:t>7</w:t>
      </w:r>
      <w:r>
        <w:rPr>
          <w:b/>
          <w:sz w:val="24"/>
        </w:rPr>
        <w:t>）施工防护</w:t>
      </w:r>
    </w:p>
    <w:p w14:paraId="67197E37" w14:textId="77777777" w:rsidR="007D1E74" w:rsidRDefault="00A95641">
      <w:pPr>
        <w:spacing w:line="360" w:lineRule="auto"/>
        <w:ind w:firstLineChars="200" w:firstLine="480"/>
        <w:rPr>
          <w:sz w:val="24"/>
        </w:rPr>
      </w:pPr>
      <w:r>
        <w:rPr>
          <w:sz w:val="24"/>
        </w:rPr>
        <w:t>定向钻</w:t>
      </w:r>
      <w:r>
        <w:rPr>
          <w:sz w:val="24"/>
        </w:rPr>
        <w:t>1</w:t>
      </w:r>
      <w:r>
        <w:rPr>
          <w:sz w:val="24"/>
        </w:rPr>
        <w:t>的出土点位于马</w:t>
      </w:r>
      <w:r>
        <w:rPr>
          <w:sz w:val="24"/>
        </w:rPr>
        <w:t>1-13H</w:t>
      </w:r>
      <w:r>
        <w:rPr>
          <w:sz w:val="24"/>
        </w:rPr>
        <w:t>井附近，由于马</w:t>
      </w:r>
      <w:r>
        <w:rPr>
          <w:sz w:val="24"/>
        </w:rPr>
        <w:t>1-13H</w:t>
      </w:r>
      <w:r>
        <w:rPr>
          <w:sz w:val="24"/>
        </w:rPr>
        <w:t>井的地理位置所限，该出土点在二十年最高水位线以内，并且没有优化空间。为避免施工期突发洪水，最大程度的减小极端不利情况对保护区造成的影响，本报告要求施工单位在施工期做好施工防护，在定向钻</w:t>
      </w:r>
      <w:r>
        <w:rPr>
          <w:sz w:val="24"/>
        </w:rPr>
        <w:t>1</w:t>
      </w:r>
      <w:r>
        <w:rPr>
          <w:sz w:val="24"/>
        </w:rPr>
        <w:t>出土点工区周围沿小通江河岸（右岸）进行打围，保证在突发二十年一遇的洪水时也不会有任何污染物进入河流。</w:t>
      </w:r>
    </w:p>
    <w:p w14:paraId="580C0215" w14:textId="77777777" w:rsidR="007D1E74" w:rsidRDefault="00A95641">
      <w:pPr>
        <w:spacing w:line="360" w:lineRule="auto"/>
        <w:outlineLvl w:val="2"/>
        <w:rPr>
          <w:b/>
          <w:sz w:val="24"/>
        </w:rPr>
      </w:pPr>
      <w:r>
        <w:rPr>
          <w:b/>
          <w:sz w:val="24"/>
        </w:rPr>
        <w:t>（</w:t>
      </w:r>
      <w:r>
        <w:rPr>
          <w:b/>
          <w:sz w:val="24"/>
        </w:rPr>
        <w:t>8</w:t>
      </w:r>
      <w:r>
        <w:rPr>
          <w:b/>
          <w:sz w:val="24"/>
        </w:rPr>
        <w:t>）生态补偿经费</w:t>
      </w:r>
      <w:bookmarkEnd w:id="66"/>
      <w:bookmarkEnd w:id="67"/>
      <w:bookmarkEnd w:id="68"/>
    </w:p>
    <w:p w14:paraId="5FB8D45E" w14:textId="77777777" w:rsidR="007D1E74" w:rsidRDefault="00A95641">
      <w:pPr>
        <w:spacing w:line="360" w:lineRule="auto"/>
        <w:ind w:firstLineChars="200" w:firstLine="480"/>
        <w:rPr>
          <w:sz w:val="24"/>
        </w:rPr>
      </w:pPr>
      <w:bookmarkStart w:id="69" w:name="_Toc309764300"/>
      <w:bookmarkStart w:id="70" w:name="_Toc309764580"/>
      <w:bookmarkStart w:id="71" w:name="_Toc335211722"/>
      <w:bookmarkStart w:id="72" w:name="_Toc328729470"/>
      <w:r>
        <w:rPr>
          <w:sz w:val="24"/>
        </w:rPr>
        <w:lastRenderedPageBreak/>
        <w:t>依据《中华人民共和国自然保护区条例》、《中华人民共和国渔业法》的相关规定，建设单位必需对因工程建设引起的水环境变化和对渔业资源造成的损失采取补就措施，所采取的措施落实均在保护区管理部门和渔业行政主管部门的监督下实施，尽量减少工程修建和运行对影响水域的鱼类等水生生物及其栖息环境，以及保护区的不利影响，依据水生生态专题评价提出的环保方案和措施，落实相关的生态环境保护投资。针对本工程影响和保护需求，需要的水生生态环保投资经费合计</w:t>
      </w:r>
      <w:r>
        <w:rPr>
          <w:sz w:val="24"/>
        </w:rPr>
        <w:t>16</w:t>
      </w:r>
      <w:r>
        <w:rPr>
          <w:sz w:val="24"/>
        </w:rPr>
        <w:t>万元，具体的投资预算见表</w:t>
      </w:r>
      <w:r>
        <w:rPr>
          <w:sz w:val="24"/>
        </w:rPr>
        <w:t>8-2</w:t>
      </w:r>
      <w:r>
        <w:rPr>
          <w:sz w:val="24"/>
        </w:rPr>
        <w:t>。</w:t>
      </w:r>
    </w:p>
    <w:p w14:paraId="50B7F3D6" w14:textId="77777777" w:rsidR="007D1E74" w:rsidRDefault="00A95641">
      <w:pPr>
        <w:spacing w:beforeLines="50" w:before="156" w:afterLines="50" w:after="156" w:line="360" w:lineRule="auto"/>
        <w:jc w:val="center"/>
        <w:rPr>
          <w:b/>
          <w:szCs w:val="21"/>
        </w:rPr>
      </w:pPr>
      <w:r>
        <w:rPr>
          <w:b/>
          <w:szCs w:val="21"/>
        </w:rPr>
        <w:t>表</w:t>
      </w:r>
      <w:r>
        <w:rPr>
          <w:b/>
          <w:szCs w:val="21"/>
        </w:rPr>
        <w:t xml:space="preserve">8.2-2  </w:t>
      </w:r>
      <w:r>
        <w:rPr>
          <w:b/>
          <w:szCs w:val="21"/>
        </w:rPr>
        <w:t>工程水生生态环境保护投资经费</w:t>
      </w:r>
    </w:p>
    <w:tbl>
      <w:tblPr>
        <w:tblW w:w="85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3"/>
        <w:gridCol w:w="3935"/>
        <w:gridCol w:w="2312"/>
      </w:tblGrid>
      <w:tr w:rsidR="007D1E74" w14:paraId="328B9C83" w14:textId="77777777">
        <w:trPr>
          <w:trHeight w:val="304"/>
          <w:jc w:val="center"/>
        </w:trPr>
        <w:tc>
          <w:tcPr>
            <w:tcW w:w="2333" w:type="dxa"/>
          </w:tcPr>
          <w:p w14:paraId="3C1242D7" w14:textId="77777777" w:rsidR="007D1E74" w:rsidRDefault="00A95641">
            <w:pPr>
              <w:jc w:val="center"/>
              <w:rPr>
                <w:szCs w:val="21"/>
              </w:rPr>
            </w:pPr>
            <w:r>
              <w:rPr>
                <w:szCs w:val="21"/>
              </w:rPr>
              <w:t>编</w:t>
            </w:r>
            <w:r>
              <w:rPr>
                <w:szCs w:val="21"/>
              </w:rPr>
              <w:t xml:space="preserve">  </w:t>
            </w:r>
            <w:r>
              <w:rPr>
                <w:szCs w:val="21"/>
              </w:rPr>
              <w:t>号</w:t>
            </w:r>
          </w:p>
        </w:tc>
        <w:tc>
          <w:tcPr>
            <w:tcW w:w="3935" w:type="dxa"/>
          </w:tcPr>
          <w:p w14:paraId="239B13BD" w14:textId="77777777" w:rsidR="007D1E74" w:rsidRDefault="00A95641">
            <w:pPr>
              <w:jc w:val="center"/>
              <w:rPr>
                <w:szCs w:val="21"/>
              </w:rPr>
            </w:pPr>
            <w:r>
              <w:rPr>
                <w:szCs w:val="21"/>
              </w:rPr>
              <w:t>项</w:t>
            </w:r>
            <w:r>
              <w:rPr>
                <w:szCs w:val="21"/>
              </w:rPr>
              <w:t xml:space="preserve">    </w:t>
            </w:r>
            <w:r>
              <w:rPr>
                <w:szCs w:val="21"/>
              </w:rPr>
              <w:t>目</w:t>
            </w:r>
          </w:p>
        </w:tc>
        <w:tc>
          <w:tcPr>
            <w:tcW w:w="2312" w:type="dxa"/>
          </w:tcPr>
          <w:p w14:paraId="0F510724" w14:textId="77777777" w:rsidR="007D1E74" w:rsidRDefault="00A95641">
            <w:pPr>
              <w:jc w:val="center"/>
              <w:rPr>
                <w:szCs w:val="21"/>
              </w:rPr>
            </w:pPr>
            <w:r>
              <w:rPr>
                <w:szCs w:val="21"/>
              </w:rPr>
              <w:t>经费（万元）</w:t>
            </w:r>
          </w:p>
        </w:tc>
      </w:tr>
      <w:tr w:rsidR="007D1E74" w14:paraId="2CD3E318" w14:textId="77777777">
        <w:trPr>
          <w:trHeight w:val="289"/>
          <w:jc w:val="center"/>
        </w:trPr>
        <w:tc>
          <w:tcPr>
            <w:tcW w:w="2333" w:type="dxa"/>
          </w:tcPr>
          <w:p w14:paraId="31001C6A" w14:textId="77777777" w:rsidR="007D1E74" w:rsidRDefault="00A95641">
            <w:pPr>
              <w:jc w:val="center"/>
              <w:rPr>
                <w:szCs w:val="21"/>
              </w:rPr>
            </w:pPr>
            <w:r>
              <w:rPr>
                <w:szCs w:val="21"/>
              </w:rPr>
              <w:t>1</w:t>
            </w:r>
          </w:p>
        </w:tc>
        <w:tc>
          <w:tcPr>
            <w:tcW w:w="3935" w:type="dxa"/>
          </w:tcPr>
          <w:p w14:paraId="6C4EEBA4" w14:textId="77777777" w:rsidR="007D1E74" w:rsidRDefault="00A95641">
            <w:pPr>
              <w:jc w:val="center"/>
              <w:rPr>
                <w:szCs w:val="21"/>
              </w:rPr>
            </w:pPr>
            <w:r>
              <w:rPr>
                <w:szCs w:val="21"/>
              </w:rPr>
              <w:t>宣传及监督管理经费</w:t>
            </w:r>
          </w:p>
        </w:tc>
        <w:tc>
          <w:tcPr>
            <w:tcW w:w="2312" w:type="dxa"/>
          </w:tcPr>
          <w:p w14:paraId="2AB2EA51" w14:textId="77777777" w:rsidR="007D1E74" w:rsidRDefault="00A95641">
            <w:pPr>
              <w:jc w:val="center"/>
              <w:rPr>
                <w:szCs w:val="21"/>
              </w:rPr>
            </w:pPr>
            <w:r>
              <w:rPr>
                <w:szCs w:val="21"/>
              </w:rPr>
              <w:t>16</w:t>
            </w:r>
          </w:p>
        </w:tc>
      </w:tr>
      <w:tr w:rsidR="007D1E74" w14:paraId="335FBE79" w14:textId="77777777">
        <w:trPr>
          <w:trHeight w:val="304"/>
          <w:jc w:val="center"/>
        </w:trPr>
        <w:tc>
          <w:tcPr>
            <w:tcW w:w="2333" w:type="dxa"/>
          </w:tcPr>
          <w:p w14:paraId="57BBD600" w14:textId="77777777" w:rsidR="007D1E74" w:rsidRDefault="007D1E74">
            <w:pPr>
              <w:jc w:val="center"/>
              <w:rPr>
                <w:szCs w:val="21"/>
              </w:rPr>
            </w:pPr>
          </w:p>
        </w:tc>
        <w:tc>
          <w:tcPr>
            <w:tcW w:w="3935" w:type="dxa"/>
          </w:tcPr>
          <w:p w14:paraId="5C0DA660" w14:textId="77777777" w:rsidR="007D1E74" w:rsidRDefault="00A95641">
            <w:pPr>
              <w:jc w:val="center"/>
              <w:rPr>
                <w:szCs w:val="21"/>
              </w:rPr>
            </w:pPr>
            <w:r>
              <w:rPr>
                <w:szCs w:val="21"/>
              </w:rPr>
              <w:t>合</w:t>
            </w:r>
            <w:r>
              <w:rPr>
                <w:szCs w:val="21"/>
              </w:rPr>
              <w:t xml:space="preserve">  </w:t>
            </w:r>
            <w:r>
              <w:rPr>
                <w:szCs w:val="21"/>
              </w:rPr>
              <w:t>计</w:t>
            </w:r>
          </w:p>
        </w:tc>
        <w:tc>
          <w:tcPr>
            <w:tcW w:w="2312" w:type="dxa"/>
          </w:tcPr>
          <w:p w14:paraId="12B48BB1" w14:textId="77777777" w:rsidR="007D1E74" w:rsidRDefault="00A95641">
            <w:pPr>
              <w:jc w:val="center"/>
              <w:rPr>
                <w:szCs w:val="21"/>
              </w:rPr>
            </w:pPr>
            <w:r>
              <w:rPr>
                <w:szCs w:val="21"/>
              </w:rPr>
              <w:t>16</w:t>
            </w:r>
          </w:p>
        </w:tc>
      </w:tr>
    </w:tbl>
    <w:bookmarkEnd w:id="69"/>
    <w:bookmarkEnd w:id="70"/>
    <w:bookmarkEnd w:id="71"/>
    <w:bookmarkEnd w:id="72"/>
    <w:p w14:paraId="7B1AF222" w14:textId="77777777" w:rsidR="007D1E74" w:rsidRDefault="00A95641">
      <w:pPr>
        <w:spacing w:line="360" w:lineRule="auto"/>
        <w:outlineLvl w:val="2"/>
        <w:rPr>
          <w:b/>
          <w:sz w:val="28"/>
        </w:rPr>
      </w:pPr>
      <w:r>
        <w:rPr>
          <w:b/>
          <w:sz w:val="28"/>
        </w:rPr>
        <w:t>8.2.3</w:t>
      </w:r>
      <w:r>
        <w:rPr>
          <w:b/>
          <w:sz w:val="28"/>
        </w:rPr>
        <w:t>地下水防治措施</w:t>
      </w:r>
    </w:p>
    <w:p w14:paraId="53C7FBCF" w14:textId="77777777" w:rsidR="007D1E74" w:rsidRDefault="00A95641">
      <w:pPr>
        <w:spacing w:line="360" w:lineRule="auto"/>
        <w:ind w:firstLineChars="200" w:firstLine="480"/>
        <w:rPr>
          <w:sz w:val="24"/>
        </w:rPr>
      </w:pPr>
      <w:r>
        <w:rPr>
          <w:sz w:val="24"/>
        </w:rPr>
        <w:t>1</w:t>
      </w:r>
      <w:r>
        <w:rPr>
          <w:sz w:val="24"/>
        </w:rPr>
        <w:t>、生产废水经过隔油沉淀后用于绿化、洒水降尘等；生活污水经过区域内已有污水处理设施处理；试压废水排放采用罐车拉运至污水处理厂进行处理；</w:t>
      </w:r>
    </w:p>
    <w:p w14:paraId="3A141EF9" w14:textId="77777777" w:rsidR="007D1E74" w:rsidRDefault="00A95641">
      <w:pPr>
        <w:spacing w:line="360" w:lineRule="auto"/>
        <w:ind w:firstLineChars="200" w:firstLine="480"/>
        <w:rPr>
          <w:sz w:val="24"/>
        </w:rPr>
      </w:pPr>
      <w:r>
        <w:rPr>
          <w:sz w:val="24"/>
        </w:rPr>
        <w:t>2</w:t>
      </w:r>
      <w:r>
        <w:rPr>
          <w:sz w:val="24"/>
        </w:rPr>
        <w:t>、项目穿越小通江时，采用定向钻穿越的方式，施工泥浆经罐车运至填埋场；</w:t>
      </w:r>
    </w:p>
    <w:p w14:paraId="30F50A14" w14:textId="77777777" w:rsidR="007D1E74" w:rsidRDefault="00A95641">
      <w:pPr>
        <w:spacing w:line="360" w:lineRule="auto"/>
        <w:ind w:firstLineChars="200" w:firstLine="480"/>
        <w:rPr>
          <w:sz w:val="24"/>
        </w:rPr>
      </w:pPr>
      <w:r>
        <w:rPr>
          <w:sz w:val="24"/>
        </w:rPr>
        <w:t>3</w:t>
      </w:r>
      <w:r>
        <w:rPr>
          <w:sz w:val="24"/>
        </w:rPr>
        <w:t>、大开挖穿越沟渠、冲沟时选择枯水期进行，施工时采用围堰导流开挖方式施工；尽量缩短施工时间，减少基坑积水外排疏干水量，尽量减少对地下水水位下降的影响。</w:t>
      </w:r>
    </w:p>
    <w:p w14:paraId="43907004" w14:textId="77777777" w:rsidR="007D1E74" w:rsidRDefault="00A95641">
      <w:pPr>
        <w:spacing w:line="360" w:lineRule="auto"/>
        <w:ind w:firstLineChars="200" w:firstLine="480"/>
        <w:rPr>
          <w:sz w:val="24"/>
        </w:rPr>
      </w:pPr>
      <w:r>
        <w:rPr>
          <w:sz w:val="24"/>
        </w:rPr>
        <w:t>4</w:t>
      </w:r>
      <w:r>
        <w:rPr>
          <w:sz w:val="24"/>
        </w:rPr>
        <w:t>、禁止在开挖管沟内给施工机械加油、存放油品储罐、清洗施工机械和排放污水，防止漏油、生活污水污染土壤和地下水；</w:t>
      </w:r>
    </w:p>
    <w:p w14:paraId="17261FA0" w14:textId="77777777" w:rsidR="007D1E74" w:rsidRDefault="00A95641">
      <w:pPr>
        <w:spacing w:line="360" w:lineRule="auto"/>
        <w:ind w:firstLineChars="200" w:firstLine="480"/>
        <w:rPr>
          <w:sz w:val="24"/>
        </w:rPr>
      </w:pPr>
      <w:r>
        <w:rPr>
          <w:sz w:val="24"/>
        </w:rPr>
        <w:t>5</w:t>
      </w:r>
      <w:r>
        <w:rPr>
          <w:sz w:val="24"/>
        </w:rPr>
        <w:t>、管道试压用水采用无腐蚀性的清洁水，试压废水经沉淀过滤后回用于管道试压及场地施工降尘用水；</w:t>
      </w:r>
    </w:p>
    <w:p w14:paraId="2C97EC42" w14:textId="77777777" w:rsidR="007D1E74" w:rsidRDefault="00A95641">
      <w:pPr>
        <w:spacing w:line="360" w:lineRule="auto"/>
        <w:ind w:firstLineChars="200" w:firstLine="480"/>
        <w:rPr>
          <w:sz w:val="24"/>
        </w:rPr>
      </w:pPr>
      <w:r>
        <w:rPr>
          <w:sz w:val="24"/>
        </w:rPr>
        <w:t>6</w:t>
      </w:r>
      <w:r>
        <w:rPr>
          <w:sz w:val="24"/>
        </w:rPr>
        <w:t>、施工材料堆放选择远离水体、水井区域，施工废弃物及时清理外运处置；施工物料、废弃物临时堆放时需在场地上方铺设防渗膜，雨季加盖防雨布；施工人员生活垃圾集中收集，定期清运；</w:t>
      </w:r>
    </w:p>
    <w:p w14:paraId="5B4F5D1E" w14:textId="77777777" w:rsidR="007D1E74" w:rsidRDefault="00A95641">
      <w:pPr>
        <w:spacing w:line="360" w:lineRule="auto"/>
        <w:ind w:firstLineChars="200" w:firstLine="480"/>
        <w:rPr>
          <w:sz w:val="24"/>
        </w:rPr>
      </w:pPr>
      <w:r>
        <w:rPr>
          <w:sz w:val="24"/>
        </w:rPr>
        <w:t>7</w:t>
      </w:r>
      <w:r>
        <w:rPr>
          <w:sz w:val="24"/>
        </w:rPr>
        <w:t>、做好管线沿线村庄地下水水位、水量和水质监控工作，发现影响居民生活和生产用水时应予及时解决；</w:t>
      </w:r>
    </w:p>
    <w:p w14:paraId="0EB42A22" w14:textId="77777777" w:rsidR="007D1E74" w:rsidRDefault="00A95641">
      <w:pPr>
        <w:spacing w:line="360" w:lineRule="auto"/>
        <w:ind w:firstLineChars="200" w:firstLine="480"/>
        <w:rPr>
          <w:sz w:val="24"/>
        </w:rPr>
      </w:pPr>
      <w:r>
        <w:rPr>
          <w:sz w:val="24"/>
        </w:rPr>
        <w:t>8</w:t>
      </w:r>
      <w:r>
        <w:rPr>
          <w:sz w:val="24"/>
        </w:rPr>
        <w:t>、管道敷设完毕后尽量采用原状土进行回填，施工结束后要尽快恢复原貌，使地下水环境能尽快得到恢复；</w:t>
      </w:r>
    </w:p>
    <w:p w14:paraId="30C112D9" w14:textId="77777777" w:rsidR="007D1E74" w:rsidRDefault="00A95641">
      <w:pPr>
        <w:spacing w:line="360" w:lineRule="auto"/>
        <w:ind w:firstLineChars="200" w:firstLine="480"/>
        <w:rPr>
          <w:sz w:val="24"/>
        </w:rPr>
      </w:pPr>
      <w:r>
        <w:rPr>
          <w:sz w:val="24"/>
        </w:rPr>
        <w:t>9</w:t>
      </w:r>
      <w:r>
        <w:rPr>
          <w:sz w:val="24"/>
        </w:rPr>
        <w:t>、合理选择施工场地，禁止将污水、废料和其它施工机械的废油等污染物抛入水</w:t>
      </w:r>
      <w:r>
        <w:rPr>
          <w:sz w:val="24"/>
        </w:rPr>
        <w:lastRenderedPageBreak/>
        <w:t>体，应收集后和工地上的污染物一并处理；</w:t>
      </w:r>
    </w:p>
    <w:p w14:paraId="79FCE705" w14:textId="77777777" w:rsidR="007D1E74" w:rsidRDefault="00A95641">
      <w:pPr>
        <w:spacing w:line="360" w:lineRule="auto"/>
        <w:ind w:firstLineChars="200" w:firstLine="480"/>
        <w:rPr>
          <w:sz w:val="24"/>
        </w:rPr>
      </w:pPr>
      <w:r>
        <w:rPr>
          <w:sz w:val="24"/>
        </w:rPr>
        <w:t>10</w:t>
      </w:r>
      <w:r>
        <w:rPr>
          <w:sz w:val="24"/>
        </w:rPr>
        <w:t>、施工要避开雨季，尽量缩短施工期，使土壤暴露时间缩短，并快速回填。并进行生态恢复。</w:t>
      </w:r>
    </w:p>
    <w:p w14:paraId="7637A300" w14:textId="77777777" w:rsidR="007D1E74" w:rsidRDefault="00A95641">
      <w:pPr>
        <w:spacing w:line="360" w:lineRule="auto"/>
        <w:outlineLvl w:val="2"/>
        <w:rPr>
          <w:b/>
          <w:sz w:val="28"/>
        </w:rPr>
      </w:pPr>
      <w:r>
        <w:rPr>
          <w:b/>
          <w:sz w:val="28"/>
        </w:rPr>
        <w:t>8.2.4</w:t>
      </w:r>
      <w:r>
        <w:rPr>
          <w:b/>
          <w:sz w:val="28"/>
        </w:rPr>
        <w:t>大气环境影响减缓措施</w:t>
      </w:r>
    </w:p>
    <w:p w14:paraId="4F751E53" w14:textId="77777777" w:rsidR="007D1E74" w:rsidRDefault="00A95641">
      <w:pPr>
        <w:spacing w:line="360" w:lineRule="auto"/>
        <w:ind w:firstLineChars="200" w:firstLine="480"/>
        <w:rPr>
          <w:sz w:val="24"/>
        </w:rPr>
      </w:pPr>
      <w:r>
        <w:rPr>
          <w:sz w:val="24"/>
        </w:rPr>
        <w:t>为减少项目施工对沿线大气环境的影响，本次评价提出以下减缓措施：</w:t>
      </w:r>
    </w:p>
    <w:p w14:paraId="5B194292" w14:textId="77777777" w:rsidR="007D1E74" w:rsidRDefault="00A95641">
      <w:pPr>
        <w:numPr>
          <w:ilvl w:val="0"/>
          <w:numId w:val="56"/>
        </w:numPr>
        <w:spacing w:line="360" w:lineRule="auto"/>
        <w:ind w:firstLineChars="200" w:firstLine="480"/>
        <w:rPr>
          <w:sz w:val="24"/>
        </w:rPr>
      </w:pPr>
      <w:r>
        <w:rPr>
          <w:sz w:val="24"/>
        </w:rPr>
        <w:t>按照</w:t>
      </w:r>
      <w:r>
        <w:rPr>
          <w:sz w:val="24"/>
        </w:rPr>
        <w:t>“</w:t>
      </w:r>
      <w:r>
        <w:rPr>
          <w:sz w:val="24"/>
        </w:rPr>
        <w:t>六必须、六不准</w:t>
      </w:r>
      <w:r>
        <w:rPr>
          <w:sz w:val="24"/>
        </w:rPr>
        <w:t>”</w:t>
      </w:r>
      <w:r>
        <w:rPr>
          <w:sz w:val="24"/>
        </w:rPr>
        <w:t>要求进行施工，必须打围作业、必须硬化道路、必须设置冲洗设施、必须湿法作业、必须配齐保洁人员、必须定时清扫施工现场；不准车辆带泥出门，不准运渣车辆冒顶装载、不准高空抛撒建渣、不准现场搅拌混凝土、不准场地积水、不准现场焚烧废弃物；</w:t>
      </w:r>
      <w:r>
        <w:rPr>
          <w:sz w:val="24"/>
        </w:rPr>
        <w:t xml:space="preserve"> </w:t>
      </w:r>
    </w:p>
    <w:p w14:paraId="731BD4DF" w14:textId="77777777" w:rsidR="007D1E74" w:rsidRDefault="00A95641">
      <w:pPr>
        <w:spacing w:line="360" w:lineRule="auto"/>
        <w:ind w:firstLineChars="200" w:firstLine="480"/>
        <w:rPr>
          <w:sz w:val="24"/>
        </w:rPr>
      </w:pPr>
      <w:r>
        <w:rPr>
          <w:sz w:val="24"/>
        </w:rPr>
        <w:t>2</w:t>
      </w:r>
      <w:r>
        <w:rPr>
          <w:sz w:val="24"/>
        </w:rPr>
        <w:t>、采取湿法作业，施工场地在非雨天场地干燥时适量洒水，保持施工区土壤水分，洒水区域包括正在施工的路段、主要运输道路等。洒水频次由现场监理人员根据实际情况而定，在施工场地清理阶段，做到先洒水，后清扫，防止扬尘产生；</w:t>
      </w:r>
    </w:p>
    <w:p w14:paraId="0DC25631" w14:textId="77777777" w:rsidR="007D1E74" w:rsidRDefault="00A95641">
      <w:pPr>
        <w:spacing w:line="360" w:lineRule="auto"/>
        <w:ind w:firstLineChars="200" w:firstLine="480"/>
        <w:rPr>
          <w:sz w:val="24"/>
        </w:rPr>
      </w:pPr>
      <w:r>
        <w:rPr>
          <w:sz w:val="24"/>
        </w:rPr>
        <w:t>3</w:t>
      </w:r>
      <w:r>
        <w:rPr>
          <w:sz w:val="24"/>
        </w:rPr>
        <w:t>、风速四级以上易产生扬尘时暂停土方开挖，采取覆盖堆料、湿润等措施，有效减少扬尘污染；及时清运施工废弃物，暂时不能清运的应采取覆盖等措施，运输沙、石、水泥、土方等易产尘物质的车辆必须封盖严密，严禁洒漏；</w:t>
      </w:r>
    </w:p>
    <w:p w14:paraId="73714DEB" w14:textId="77777777" w:rsidR="007D1E74" w:rsidRDefault="00A95641">
      <w:pPr>
        <w:spacing w:line="360" w:lineRule="auto"/>
        <w:ind w:firstLineChars="200" w:firstLine="480"/>
        <w:rPr>
          <w:sz w:val="24"/>
        </w:rPr>
      </w:pPr>
      <w:r>
        <w:rPr>
          <w:sz w:val="24"/>
        </w:rPr>
        <w:t>4</w:t>
      </w:r>
      <w:r>
        <w:rPr>
          <w:sz w:val="24"/>
        </w:rPr>
        <w:t>、禁止散装运输水泥等粉状物料，严禁运输途中扬尘散落，储存时应堆入库房。必要时设围栏并用篷布覆盖，定时洒水防止飞扬；土、砂、石料运输禁止超载，装高不得超过车厢板，并盖篷布，严禁沿途撒落；</w:t>
      </w:r>
    </w:p>
    <w:p w14:paraId="5CC73272" w14:textId="77777777" w:rsidR="007D1E74" w:rsidRDefault="00A95641">
      <w:pPr>
        <w:spacing w:line="360" w:lineRule="auto"/>
        <w:ind w:firstLineChars="200" w:firstLine="480"/>
        <w:rPr>
          <w:sz w:val="24"/>
        </w:rPr>
      </w:pPr>
      <w:r>
        <w:rPr>
          <w:sz w:val="24"/>
        </w:rPr>
        <w:t>5</w:t>
      </w:r>
      <w:r>
        <w:rPr>
          <w:sz w:val="24"/>
        </w:rPr>
        <w:t>、开挖施工过程中产生的扬尘，采用洒水车定期对作业面和土堆洒水，使其保持一定湿度，降低施工期的粉尘散发量；在施工现场进行合理化管理，统一堆放材料，设置专门库房堆放水泥，尽量减少搬运环节，搬运时轻举轻放，防止包装袋破裂；施工现场设置围栏或部分围栏，缩小施工扬尘的扩散范围；</w:t>
      </w:r>
    </w:p>
    <w:p w14:paraId="60E725D7" w14:textId="77777777" w:rsidR="007D1E74" w:rsidRDefault="00A95641">
      <w:pPr>
        <w:spacing w:line="360" w:lineRule="auto"/>
        <w:ind w:firstLineChars="200" w:firstLine="480"/>
        <w:rPr>
          <w:sz w:val="24"/>
        </w:rPr>
      </w:pPr>
      <w:r>
        <w:rPr>
          <w:sz w:val="24"/>
        </w:rPr>
        <w:t>6</w:t>
      </w:r>
      <w:r>
        <w:rPr>
          <w:sz w:val="24"/>
        </w:rPr>
        <w:t>、保持运输车辆完好，不过满装载，尽量采取遮盖、密闭措施，减少沿程抛洒，及时清扫散落在路面上的泥土和建筑材料，冲洗轮胎，定时洒水压尘，减少运输过程中的扬尘；施工扬尘量随管理手段的提高而降低，如果管理措施得当，扬尘量将降低</w:t>
      </w:r>
      <w:r>
        <w:rPr>
          <w:sz w:val="24"/>
        </w:rPr>
        <w:t>50</w:t>
      </w:r>
      <w:r>
        <w:rPr>
          <w:sz w:val="24"/>
        </w:rPr>
        <w:t>～</w:t>
      </w:r>
      <w:r>
        <w:rPr>
          <w:sz w:val="24"/>
        </w:rPr>
        <w:t>70%</w:t>
      </w:r>
      <w:r>
        <w:rPr>
          <w:sz w:val="24"/>
        </w:rPr>
        <w:t>，大大减少对环境的影响。合理科学制定运输车辆运行班次，减少行驶动力扬尘起尘量；</w:t>
      </w:r>
    </w:p>
    <w:p w14:paraId="1EA38E90" w14:textId="77777777" w:rsidR="007D1E74" w:rsidRDefault="00A95641">
      <w:pPr>
        <w:spacing w:line="360" w:lineRule="auto"/>
        <w:ind w:firstLineChars="200" w:firstLine="480"/>
        <w:rPr>
          <w:sz w:val="24"/>
        </w:rPr>
      </w:pPr>
      <w:r>
        <w:rPr>
          <w:sz w:val="24"/>
        </w:rPr>
        <w:t>7</w:t>
      </w:r>
      <w:r>
        <w:rPr>
          <w:sz w:val="24"/>
        </w:rPr>
        <w:t>、对运输渣土的机动车辆定期清洗车轮和车体、用帆布覆盖易起扬尘的物料以防在运输过程中发生渣土撒漏，污染国道、省道或其他城乡道路，减少扬尘的产生。在运</w:t>
      </w:r>
      <w:r>
        <w:rPr>
          <w:sz w:val="24"/>
        </w:rPr>
        <w:lastRenderedPageBreak/>
        <w:t>输车辆通过乡村土路时，减速行驶，减少扬尘对周围农田、水体、村庄等的污染；</w:t>
      </w:r>
    </w:p>
    <w:p w14:paraId="03A0DB8B" w14:textId="77777777" w:rsidR="007D1E74" w:rsidRDefault="00A95641">
      <w:pPr>
        <w:spacing w:line="360" w:lineRule="auto"/>
        <w:ind w:firstLineChars="200" w:firstLine="480"/>
        <w:rPr>
          <w:sz w:val="24"/>
        </w:rPr>
      </w:pPr>
      <w:r>
        <w:rPr>
          <w:sz w:val="24"/>
        </w:rPr>
        <w:t>8</w:t>
      </w:r>
      <w:r>
        <w:rPr>
          <w:sz w:val="24"/>
        </w:rPr>
        <w:t>、施工结束时及时清理施工场地，及时对敷管施工占用场地恢复植被，减少地面裸露的时间。对施工场地、堆料场等，除及时进行清理外，恢复临时占地原有使用功能；</w:t>
      </w:r>
      <w:r>
        <w:rPr>
          <w:sz w:val="24"/>
        </w:rPr>
        <w:t xml:space="preserve"> </w:t>
      </w:r>
    </w:p>
    <w:p w14:paraId="4D1323EF" w14:textId="77777777" w:rsidR="007D1E74" w:rsidRDefault="00A95641">
      <w:pPr>
        <w:spacing w:line="360" w:lineRule="auto"/>
        <w:ind w:firstLineChars="200" w:firstLine="480"/>
        <w:rPr>
          <w:sz w:val="24"/>
        </w:rPr>
      </w:pPr>
      <w:r>
        <w:rPr>
          <w:sz w:val="24"/>
        </w:rPr>
        <w:t>9</w:t>
      </w:r>
      <w:r>
        <w:rPr>
          <w:sz w:val="24"/>
        </w:rPr>
        <w:t>、本项目在施工过程中，加强对施工队伍的管理，如建立施工规章制度，找通过</w:t>
      </w:r>
      <w:r>
        <w:rPr>
          <w:sz w:val="24"/>
        </w:rPr>
        <w:t>ISO14000</w:t>
      </w:r>
      <w:r>
        <w:rPr>
          <w:sz w:val="24"/>
        </w:rPr>
        <w:t>认证的施工单位等。对施工人员实行劳动保护，在必要时佩戴口罩等防尘用品。</w:t>
      </w:r>
    </w:p>
    <w:p w14:paraId="725669C1" w14:textId="77777777" w:rsidR="007D1E74" w:rsidRDefault="00A95641">
      <w:pPr>
        <w:spacing w:line="360" w:lineRule="auto"/>
        <w:outlineLvl w:val="2"/>
        <w:rPr>
          <w:b/>
          <w:sz w:val="28"/>
        </w:rPr>
      </w:pPr>
      <w:r>
        <w:rPr>
          <w:b/>
          <w:sz w:val="28"/>
        </w:rPr>
        <w:t>8.2.5</w:t>
      </w:r>
      <w:r>
        <w:rPr>
          <w:b/>
          <w:sz w:val="28"/>
        </w:rPr>
        <w:t>声环境影响减缓措施</w:t>
      </w:r>
    </w:p>
    <w:p w14:paraId="7823FA76" w14:textId="77777777" w:rsidR="007D1E74" w:rsidRDefault="00A95641">
      <w:pPr>
        <w:numPr>
          <w:ilvl w:val="0"/>
          <w:numId w:val="57"/>
        </w:numPr>
        <w:spacing w:line="360" w:lineRule="auto"/>
        <w:ind w:firstLineChars="200" w:firstLine="480"/>
        <w:rPr>
          <w:sz w:val="24"/>
        </w:rPr>
      </w:pPr>
      <w:r>
        <w:rPr>
          <w:sz w:val="24"/>
        </w:rPr>
        <w:t>施工单位必须选用符合国家有关标准的施工机具和运输车辆，尽量选用低噪声的施工机械和工艺，振动较大的固定机械设备应加装减振机座，同时加强各类施工设备的维护和保养，保持其良好的工况，以便从根本上降低噪声源强；</w:t>
      </w:r>
    </w:p>
    <w:p w14:paraId="174C69B2" w14:textId="77777777" w:rsidR="007D1E74" w:rsidRDefault="00A95641">
      <w:pPr>
        <w:numPr>
          <w:ilvl w:val="0"/>
          <w:numId w:val="57"/>
        </w:numPr>
        <w:spacing w:line="360" w:lineRule="auto"/>
        <w:ind w:firstLineChars="200" w:firstLine="480"/>
        <w:rPr>
          <w:sz w:val="24"/>
        </w:rPr>
      </w:pPr>
      <w:r>
        <w:rPr>
          <w:sz w:val="24"/>
        </w:rPr>
        <w:t>在居民区附近施工时严格执行当地政府控制规定，特别是居民区，严禁在夜间（晚上</w:t>
      </w:r>
      <w:r>
        <w:rPr>
          <w:sz w:val="24"/>
        </w:rPr>
        <w:t>10</w:t>
      </w:r>
      <w:r>
        <w:rPr>
          <w:sz w:val="24"/>
        </w:rPr>
        <w:t>时至次日</w:t>
      </w:r>
      <w:r>
        <w:rPr>
          <w:sz w:val="24"/>
        </w:rPr>
        <w:t>6</w:t>
      </w:r>
      <w:r>
        <w:rPr>
          <w:sz w:val="24"/>
        </w:rPr>
        <w:t>时）、午休时间、中高考期间进行高噪声施工。若必须在夜间施工需向环保部门申请，批准后才能根据规定施工；</w:t>
      </w:r>
    </w:p>
    <w:p w14:paraId="697F89A2" w14:textId="77777777" w:rsidR="007D1E74" w:rsidRDefault="00A95641">
      <w:pPr>
        <w:spacing w:line="360" w:lineRule="auto"/>
        <w:ind w:firstLineChars="200" w:firstLine="480"/>
        <w:rPr>
          <w:sz w:val="24"/>
        </w:rPr>
      </w:pPr>
      <w:r>
        <w:rPr>
          <w:sz w:val="24"/>
        </w:rPr>
        <w:t>3</w:t>
      </w:r>
      <w:r>
        <w:rPr>
          <w:sz w:val="24"/>
        </w:rPr>
        <w:t>、在施工中严格控制作业时间，根据具体情况，合理安排施工时间，提高操作水平与周围居民做好沟通工作，减少对敏感地点的影响，防止发生噪声扰民现象；</w:t>
      </w:r>
    </w:p>
    <w:p w14:paraId="5CCFFFFD" w14:textId="77777777" w:rsidR="007D1E74" w:rsidRDefault="00A95641">
      <w:pPr>
        <w:spacing w:line="360" w:lineRule="auto"/>
        <w:ind w:firstLineChars="200" w:firstLine="480"/>
        <w:rPr>
          <w:sz w:val="24"/>
        </w:rPr>
      </w:pPr>
      <w:r>
        <w:rPr>
          <w:sz w:val="24"/>
        </w:rPr>
        <w:t>4</w:t>
      </w:r>
      <w:r>
        <w:rPr>
          <w:sz w:val="24"/>
        </w:rPr>
        <w:t>、运输车辆应尽可能减少鸣笛，尤其是在晚间和午休时间；</w:t>
      </w:r>
    </w:p>
    <w:p w14:paraId="329C7B95" w14:textId="77777777" w:rsidR="007D1E74" w:rsidRDefault="00A95641">
      <w:pPr>
        <w:spacing w:line="360" w:lineRule="auto"/>
        <w:ind w:firstLineChars="200" w:firstLine="480"/>
        <w:rPr>
          <w:sz w:val="24"/>
        </w:rPr>
      </w:pPr>
      <w:r>
        <w:rPr>
          <w:sz w:val="24"/>
        </w:rPr>
        <w:t>5</w:t>
      </w:r>
      <w:r>
        <w:rPr>
          <w:sz w:val="24"/>
        </w:rPr>
        <w:t>、合理布局施工现场，避免在同一地点安排大量动力机械设备，以免局部声级过高；</w:t>
      </w:r>
    </w:p>
    <w:p w14:paraId="383DC178" w14:textId="77777777" w:rsidR="007D1E74" w:rsidRDefault="00A95641">
      <w:pPr>
        <w:spacing w:line="360" w:lineRule="auto"/>
        <w:ind w:firstLineChars="200" w:firstLine="480"/>
        <w:rPr>
          <w:sz w:val="24"/>
        </w:rPr>
      </w:pPr>
      <w:r>
        <w:rPr>
          <w:sz w:val="24"/>
        </w:rPr>
        <w:t>6</w:t>
      </w:r>
      <w:r>
        <w:rPr>
          <w:sz w:val="24"/>
        </w:rPr>
        <w:t>、建立临时声障，在施工过程中可根据情况适当建立单面声障；</w:t>
      </w:r>
    </w:p>
    <w:p w14:paraId="3433F73B" w14:textId="77777777" w:rsidR="007D1E74" w:rsidRDefault="00A95641">
      <w:pPr>
        <w:spacing w:line="360" w:lineRule="auto"/>
        <w:ind w:firstLineChars="200" w:firstLine="480"/>
        <w:rPr>
          <w:sz w:val="24"/>
        </w:rPr>
      </w:pPr>
      <w:r>
        <w:rPr>
          <w:sz w:val="24"/>
        </w:rPr>
        <w:t>7</w:t>
      </w:r>
      <w:r>
        <w:rPr>
          <w:sz w:val="24"/>
        </w:rPr>
        <w:t>、根据《关于宣传贯彻《中华人民共和国噪声污染防治法》的通知》</w:t>
      </w:r>
      <w:r>
        <w:rPr>
          <w:sz w:val="24"/>
        </w:rPr>
        <w:t xml:space="preserve"> (</w:t>
      </w:r>
      <w:r>
        <w:rPr>
          <w:sz w:val="24"/>
        </w:rPr>
        <w:t>环法规</w:t>
      </w:r>
      <w:r>
        <w:rPr>
          <w:sz w:val="24"/>
        </w:rPr>
        <w:t>[2022]13</w:t>
      </w:r>
      <w:r>
        <w:rPr>
          <w:sz w:val="24"/>
        </w:rPr>
        <w:t>号</w:t>
      </w:r>
      <w:r>
        <w:rPr>
          <w:sz w:val="24"/>
        </w:rPr>
        <w:t>)</w:t>
      </w:r>
      <w:r>
        <w:rPr>
          <w:sz w:val="24"/>
        </w:rPr>
        <w:t>的规定，对建筑施工噪声，要求在噪声敏感建筑集中区域施工的优先使用低噪声施工工艺和设备，并实施噪声自动监测。加强施工期的监测和施工期管理，管道开挖点距离居民点较近时，高噪声机械作业时间应避开中午和夜间施工，并尽可能缩短工期，避免影响居民的正常休息。</w:t>
      </w:r>
    </w:p>
    <w:p w14:paraId="48A055B8" w14:textId="77777777" w:rsidR="007D1E74" w:rsidRDefault="00A95641">
      <w:pPr>
        <w:spacing w:line="360" w:lineRule="auto"/>
        <w:outlineLvl w:val="2"/>
        <w:rPr>
          <w:b/>
          <w:sz w:val="28"/>
        </w:rPr>
      </w:pPr>
      <w:r>
        <w:rPr>
          <w:b/>
          <w:sz w:val="28"/>
        </w:rPr>
        <w:t>8.2.6</w:t>
      </w:r>
      <w:r>
        <w:rPr>
          <w:b/>
          <w:sz w:val="28"/>
        </w:rPr>
        <w:t>固体废弃物减缓措施</w:t>
      </w:r>
    </w:p>
    <w:p w14:paraId="4A055207" w14:textId="77777777" w:rsidR="007D1E74" w:rsidRDefault="00A95641">
      <w:pPr>
        <w:spacing w:line="360" w:lineRule="auto"/>
        <w:ind w:firstLineChars="200" w:firstLine="480"/>
        <w:rPr>
          <w:sz w:val="24"/>
        </w:rPr>
      </w:pPr>
      <w:r>
        <w:rPr>
          <w:sz w:val="24"/>
        </w:rPr>
        <w:t>施工期产生的固体废物主要为生活垃圾、工程废弃土石方、施工废料等。</w:t>
      </w:r>
    </w:p>
    <w:p w14:paraId="4928BCBF" w14:textId="77777777" w:rsidR="007D1E74" w:rsidRDefault="00A95641">
      <w:pPr>
        <w:spacing w:line="360" w:lineRule="auto"/>
        <w:ind w:firstLineChars="200" w:firstLine="480"/>
        <w:rPr>
          <w:sz w:val="24"/>
        </w:rPr>
      </w:pPr>
      <w:r>
        <w:rPr>
          <w:sz w:val="24"/>
        </w:rPr>
        <w:t>1</w:t>
      </w:r>
      <w:r>
        <w:rPr>
          <w:sz w:val="24"/>
        </w:rPr>
        <w:t>、工程施工过程中，施工人员就近租用当地民房，而且项目分段施工，生活垃圾产生量很小，产生的生活垃圾依托当地环卫部门处置，纳入城市垃圾清运系统，不会对周围环境产生明显不利影响。</w:t>
      </w:r>
    </w:p>
    <w:p w14:paraId="3ADDBBEF" w14:textId="77777777" w:rsidR="007D1E74" w:rsidRDefault="00A95641">
      <w:pPr>
        <w:spacing w:line="360" w:lineRule="auto"/>
        <w:ind w:firstLineChars="200" w:firstLine="480"/>
        <w:rPr>
          <w:sz w:val="24"/>
        </w:rPr>
      </w:pPr>
      <w:r>
        <w:rPr>
          <w:sz w:val="24"/>
        </w:rPr>
        <w:lastRenderedPageBreak/>
        <w:t>2</w:t>
      </w:r>
      <w:r>
        <w:rPr>
          <w:sz w:val="24"/>
        </w:rPr>
        <w:t>、工程废弃土石方</w:t>
      </w:r>
    </w:p>
    <w:p w14:paraId="677FA3C7" w14:textId="77777777" w:rsidR="007D1E74" w:rsidRDefault="00A95641">
      <w:pPr>
        <w:spacing w:line="360" w:lineRule="auto"/>
        <w:ind w:firstLineChars="200" w:firstLine="480"/>
        <w:rPr>
          <w:sz w:val="24"/>
        </w:rPr>
      </w:pPr>
      <w:r>
        <w:rPr>
          <w:sz w:val="24"/>
        </w:rPr>
        <w:t>施工过程中产生的废弃土石方主要为管沟开挖时产生的多余泥土和碎石。在不同地段采取不同的措施，将该部分土石方全部利用。</w:t>
      </w:r>
    </w:p>
    <w:p w14:paraId="26BAEEF9" w14:textId="77777777" w:rsidR="007D1E74" w:rsidRDefault="00A95641">
      <w:pPr>
        <w:spacing w:line="360" w:lineRule="auto"/>
        <w:ind w:firstLineChars="200" w:firstLine="480"/>
        <w:rPr>
          <w:sz w:val="24"/>
        </w:rPr>
      </w:pPr>
      <w:r>
        <w:rPr>
          <w:sz w:val="24"/>
        </w:rPr>
        <w:t>（</w:t>
      </w:r>
      <w:r>
        <w:rPr>
          <w:sz w:val="24"/>
        </w:rPr>
        <w:t>1</w:t>
      </w:r>
      <w:r>
        <w:rPr>
          <w:sz w:val="24"/>
        </w:rPr>
        <w:t>）在耕作区开挖时，熟土（表层耕作土）和生土（下层土）土分开堆放，管沟回填按生、熟土顺序填放，保护耕作层。回填后管沟上方留有自然沉降余量（高出地面</w:t>
      </w:r>
      <w:r>
        <w:rPr>
          <w:sz w:val="24"/>
        </w:rPr>
        <w:t xml:space="preserve"> 0.3</w:t>
      </w:r>
      <w:r>
        <w:rPr>
          <w:sz w:val="24"/>
        </w:rPr>
        <w:t>～</w:t>
      </w:r>
      <w:r>
        <w:rPr>
          <w:sz w:val="24"/>
        </w:rPr>
        <w:t>0.5m</w:t>
      </w:r>
      <w:r>
        <w:rPr>
          <w:sz w:val="24"/>
        </w:rPr>
        <w:t>），多余土方就近平整。</w:t>
      </w:r>
    </w:p>
    <w:p w14:paraId="6C6E8C96" w14:textId="77777777" w:rsidR="007D1E74" w:rsidRDefault="00A95641">
      <w:pPr>
        <w:spacing w:line="360" w:lineRule="auto"/>
        <w:ind w:firstLineChars="200" w:firstLine="480"/>
        <w:rPr>
          <w:sz w:val="24"/>
        </w:rPr>
      </w:pPr>
      <w:r>
        <w:rPr>
          <w:sz w:val="24"/>
        </w:rPr>
        <w:t>（</w:t>
      </w:r>
      <w:r>
        <w:rPr>
          <w:sz w:val="24"/>
        </w:rPr>
        <w:t>2</w:t>
      </w:r>
      <w:r>
        <w:rPr>
          <w:sz w:val="24"/>
        </w:rPr>
        <w:t>）在穿越乡村道路时，大开挖产生的多余泥土和碎石用于地方乡道建设填料、或道路护坡。</w:t>
      </w:r>
    </w:p>
    <w:p w14:paraId="6814574B" w14:textId="77777777" w:rsidR="007D1E74" w:rsidRDefault="00A95641">
      <w:pPr>
        <w:spacing w:line="360" w:lineRule="auto"/>
        <w:ind w:firstLineChars="200" w:firstLine="480"/>
        <w:rPr>
          <w:sz w:val="24"/>
        </w:rPr>
      </w:pPr>
      <w:r>
        <w:rPr>
          <w:sz w:val="24"/>
        </w:rPr>
        <w:t>项目土石方在各个功能区内进行调配，可以做到土石方挖填平衡，不设置弃渣场。项目将开挖的土石方进行分层堆放，分层回填，管沟上方覆土一般高于地面</w:t>
      </w:r>
      <w:r>
        <w:rPr>
          <w:sz w:val="24"/>
        </w:rPr>
        <w:t>20-30cm</w:t>
      </w:r>
      <w:r>
        <w:rPr>
          <w:sz w:val="24"/>
        </w:rPr>
        <w:t>。</w:t>
      </w:r>
      <w:r>
        <w:rPr>
          <w:sz w:val="24"/>
        </w:rPr>
        <w:t xml:space="preserve"> </w:t>
      </w:r>
    </w:p>
    <w:p w14:paraId="6F65BB60" w14:textId="77777777" w:rsidR="007D1E74" w:rsidRDefault="00A95641">
      <w:pPr>
        <w:spacing w:line="360" w:lineRule="auto"/>
        <w:ind w:firstLineChars="200" w:firstLine="480"/>
        <w:rPr>
          <w:sz w:val="24"/>
        </w:rPr>
      </w:pPr>
      <w:r>
        <w:rPr>
          <w:sz w:val="24"/>
        </w:rPr>
        <w:t>3</w:t>
      </w:r>
      <w:r>
        <w:rPr>
          <w:sz w:val="24"/>
        </w:rPr>
        <w:t>、施工废料主要包括焊接作业中产生废焊条、防腐作业中产生的废防腐材料及施工过程及公路穿越过程中产生的废混凝土等。施工废料部分可回收利用，可回收的部分全部由废品收购方回收处理，剩余废料依托当地环卫部门有偿清运，纳入城市垃圾清运系统，不会对周围环境产生明显不利影响。</w:t>
      </w:r>
    </w:p>
    <w:p w14:paraId="2CD237A1" w14:textId="77777777" w:rsidR="007D1E74" w:rsidRDefault="00A95641">
      <w:pPr>
        <w:spacing w:line="360" w:lineRule="auto"/>
        <w:outlineLvl w:val="2"/>
        <w:rPr>
          <w:b/>
          <w:sz w:val="28"/>
        </w:rPr>
      </w:pPr>
      <w:r>
        <w:rPr>
          <w:b/>
          <w:sz w:val="28"/>
        </w:rPr>
        <w:t>8.2.7</w:t>
      </w:r>
      <w:r>
        <w:rPr>
          <w:b/>
          <w:sz w:val="28"/>
        </w:rPr>
        <w:t>对道路交通影响的防治对策</w:t>
      </w:r>
    </w:p>
    <w:p w14:paraId="17ACE8BE" w14:textId="77777777" w:rsidR="007D1E74" w:rsidRDefault="00A95641">
      <w:pPr>
        <w:spacing w:line="360" w:lineRule="auto"/>
        <w:ind w:firstLineChars="200" w:firstLine="480"/>
        <w:rPr>
          <w:sz w:val="24"/>
        </w:rPr>
      </w:pPr>
      <w:r>
        <w:rPr>
          <w:sz w:val="24"/>
        </w:rPr>
        <w:t>1</w:t>
      </w:r>
      <w:r>
        <w:rPr>
          <w:sz w:val="24"/>
        </w:rPr>
        <w:t>、对于乡村道路，采用开挖方式穿越的道路，建设单位应与施工单位共同制定施工方案，方案中需要考虑到在交通敏感的道路附近设计临时便道，并做到在尽可能短的时间内完成道路开挖、管道埋设、泥土回填等工作。</w:t>
      </w:r>
    </w:p>
    <w:p w14:paraId="5F697EEA" w14:textId="77777777" w:rsidR="007D1E74" w:rsidRDefault="00A95641">
      <w:pPr>
        <w:spacing w:line="360" w:lineRule="auto"/>
        <w:ind w:firstLineChars="200" w:firstLine="480"/>
        <w:rPr>
          <w:sz w:val="24"/>
        </w:rPr>
      </w:pPr>
      <w:r>
        <w:rPr>
          <w:sz w:val="24"/>
        </w:rPr>
        <w:t>2</w:t>
      </w:r>
      <w:r>
        <w:rPr>
          <w:sz w:val="24"/>
        </w:rPr>
        <w:t>、施工时，挖出的泥土除回填以外，应及时清运，以免泥土堆积占用道路、影响交通，保证开挖道路的交通运行。</w:t>
      </w:r>
    </w:p>
    <w:p w14:paraId="6D36B231" w14:textId="77777777" w:rsidR="007D1E74" w:rsidRDefault="00A95641">
      <w:pPr>
        <w:spacing w:line="360" w:lineRule="auto"/>
        <w:ind w:firstLineChars="200" w:firstLine="480"/>
        <w:rPr>
          <w:sz w:val="24"/>
        </w:rPr>
      </w:pPr>
      <w:r>
        <w:rPr>
          <w:sz w:val="24"/>
        </w:rPr>
        <w:t>3</w:t>
      </w:r>
      <w:r>
        <w:rPr>
          <w:sz w:val="24"/>
        </w:rPr>
        <w:t>、在当地的交通高峰时间，应停止或减少施工运输车辆，以减少拥挤度，防止发生交通事故。</w:t>
      </w:r>
    </w:p>
    <w:p w14:paraId="665F042D" w14:textId="77777777" w:rsidR="007D1E74" w:rsidRDefault="00A95641">
      <w:pPr>
        <w:spacing w:line="360" w:lineRule="auto"/>
        <w:ind w:firstLineChars="200" w:firstLine="480"/>
        <w:rPr>
          <w:sz w:val="24"/>
        </w:rPr>
      </w:pPr>
      <w:r>
        <w:rPr>
          <w:sz w:val="24"/>
        </w:rPr>
        <w:t>4</w:t>
      </w:r>
      <w:r>
        <w:rPr>
          <w:sz w:val="24"/>
        </w:rPr>
        <w:t>、施工路段应设交通标识符，夜间设醒目的交通标志灯。各施工路段还应设安全监督员，防止行人及交通工具误落开挖的沟内。</w:t>
      </w:r>
    </w:p>
    <w:p w14:paraId="66300E48" w14:textId="77777777" w:rsidR="007D1E74" w:rsidRDefault="00A95641">
      <w:pPr>
        <w:spacing w:line="360" w:lineRule="auto"/>
        <w:ind w:firstLineChars="200" w:firstLine="480"/>
        <w:rPr>
          <w:sz w:val="24"/>
        </w:rPr>
      </w:pPr>
      <w:r>
        <w:rPr>
          <w:sz w:val="24"/>
        </w:rPr>
        <w:t>5</w:t>
      </w:r>
      <w:r>
        <w:rPr>
          <w:sz w:val="24"/>
        </w:rPr>
        <w:t>、凡造成道路和通道数目减少的地方，应用交通灯或由交通管理人员进行疏导。</w:t>
      </w:r>
    </w:p>
    <w:p w14:paraId="5CA0DB7D" w14:textId="77777777" w:rsidR="007D1E74" w:rsidRDefault="00A95641">
      <w:pPr>
        <w:spacing w:line="360" w:lineRule="auto"/>
        <w:outlineLvl w:val="2"/>
        <w:rPr>
          <w:b/>
          <w:sz w:val="28"/>
        </w:rPr>
      </w:pPr>
      <w:r>
        <w:rPr>
          <w:b/>
          <w:sz w:val="28"/>
        </w:rPr>
        <w:t>8.2.8</w:t>
      </w:r>
      <w:r>
        <w:rPr>
          <w:b/>
          <w:sz w:val="28"/>
        </w:rPr>
        <w:t>施工期生态环境保护措施</w:t>
      </w:r>
    </w:p>
    <w:p w14:paraId="22112381" w14:textId="77777777" w:rsidR="007D1E74" w:rsidRDefault="00A95641">
      <w:pPr>
        <w:spacing w:line="360" w:lineRule="auto"/>
        <w:outlineLvl w:val="2"/>
        <w:rPr>
          <w:b/>
          <w:sz w:val="24"/>
        </w:rPr>
      </w:pPr>
      <w:r>
        <w:rPr>
          <w:b/>
          <w:sz w:val="24"/>
        </w:rPr>
        <w:t>8.2.8.1</w:t>
      </w:r>
      <w:r>
        <w:rPr>
          <w:b/>
          <w:sz w:val="24"/>
        </w:rPr>
        <w:t>土地利用格局的保护和恢复措施</w:t>
      </w:r>
    </w:p>
    <w:p w14:paraId="068BBE38"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）严格控制施工占用土地</w:t>
      </w:r>
    </w:p>
    <w:p w14:paraId="3A0D2038" w14:textId="77777777" w:rsidR="007D1E74" w:rsidRDefault="00A95641">
      <w:pPr>
        <w:pStyle w:val="affffff6"/>
        <w:ind w:firstLine="480"/>
        <w:rPr>
          <w:rFonts w:ascii="Times New Roman" w:hAnsi="Times New Roman" w:cs="Times New Roman"/>
        </w:rPr>
      </w:pPr>
      <w:r>
        <w:rPr>
          <w:rFonts w:ascii="宋体" w:eastAsia="宋体" w:hAnsi="宋体" w:cs="宋体" w:hint="eastAsia"/>
        </w:rPr>
        <w:t>①</w:t>
      </w:r>
      <w:r>
        <w:rPr>
          <w:rFonts w:ascii="Times New Roman" w:hAnsi="Times New Roman" w:cs="Times New Roman"/>
        </w:rPr>
        <w:t>合理规划管线占地区，严格控制施工作业带宽度，不得在施工作业带范围以外从</w:t>
      </w:r>
      <w:r>
        <w:rPr>
          <w:rFonts w:ascii="Times New Roman" w:hAnsi="Times New Roman" w:cs="Times New Roman"/>
        </w:rPr>
        <w:lastRenderedPageBreak/>
        <w:t>事施工活动。</w:t>
      </w:r>
    </w:p>
    <w:p w14:paraId="2499CED3" w14:textId="77777777" w:rsidR="007D1E74" w:rsidRDefault="00A95641">
      <w:pPr>
        <w:pStyle w:val="affffff6"/>
        <w:ind w:firstLine="480"/>
        <w:rPr>
          <w:rFonts w:ascii="Times New Roman" w:hAnsi="Times New Roman" w:cs="Times New Roman"/>
        </w:rPr>
      </w:pPr>
      <w:r>
        <w:rPr>
          <w:rFonts w:ascii="宋体" w:eastAsia="宋体" w:hAnsi="宋体" w:cs="宋体" w:hint="eastAsia"/>
        </w:rPr>
        <w:t>②</w:t>
      </w:r>
      <w:r>
        <w:rPr>
          <w:rFonts w:ascii="Times New Roman" w:hAnsi="Times New Roman" w:cs="Times New Roman"/>
        </w:rPr>
        <w:t>按设计标准规定，严格控制施工作业带面积，不得超过作业标准规定，对管线敷设施工宽度控制在设计标准范围内，并尽量沿道路纵向平行布设，以减少土壤扰动和地表植被破坏，减少裸地和土方暴露面积。</w:t>
      </w:r>
    </w:p>
    <w:p w14:paraId="3BA03D42" w14:textId="77777777" w:rsidR="007D1E74" w:rsidRDefault="00A95641">
      <w:pPr>
        <w:pStyle w:val="affffff6"/>
        <w:ind w:firstLine="480"/>
        <w:rPr>
          <w:rFonts w:ascii="Times New Roman" w:hAnsi="Times New Roman" w:cs="Times New Roman"/>
        </w:rPr>
      </w:pPr>
      <w:r>
        <w:rPr>
          <w:rFonts w:ascii="宋体" w:eastAsia="宋体" w:hAnsi="宋体" w:cs="宋体" w:hint="eastAsia"/>
        </w:rPr>
        <w:t>③</w:t>
      </w:r>
      <w:r>
        <w:rPr>
          <w:rFonts w:ascii="Times New Roman" w:hAnsi="Times New Roman" w:cs="Times New Roman"/>
        </w:rPr>
        <w:t>施工作业尽量利用原有公路，沿己有车辙行驶，若无原有公路，则要执行先修道路，后设点作业的原则进行。杜绝车辆乱碾乱轧的情况发生，不随意开设便道。管线尽量沿公路侧平行布置，便于施工及运营期检修维护，避免修筑专门施工便道。</w:t>
      </w:r>
    </w:p>
    <w:p w14:paraId="0D5AE732" w14:textId="77777777" w:rsidR="007D1E74" w:rsidRDefault="00A95641">
      <w:pPr>
        <w:pStyle w:val="affffff6"/>
        <w:ind w:firstLine="480"/>
        <w:rPr>
          <w:rFonts w:ascii="Times New Roman" w:hAnsi="Times New Roman" w:cs="Times New Roman"/>
        </w:rPr>
      </w:pPr>
      <w:r>
        <w:rPr>
          <w:rFonts w:ascii="宋体" w:eastAsia="宋体" w:hAnsi="宋体" w:cs="宋体" w:hint="eastAsia"/>
        </w:rPr>
        <w:t>④</w:t>
      </w:r>
      <w:r>
        <w:rPr>
          <w:rFonts w:ascii="Times New Roman" w:hAnsi="Times New Roman" w:cs="Times New Roman"/>
        </w:rPr>
        <w:t>严禁施工材料乱堆乱放，划定适合的堆料场，以防对植物的破坏范围扩大。</w:t>
      </w:r>
    </w:p>
    <w:p w14:paraId="736410F3" w14:textId="77777777" w:rsidR="007D1E74" w:rsidRDefault="00A95641">
      <w:pPr>
        <w:pStyle w:val="affffff6"/>
        <w:ind w:firstLine="480"/>
        <w:rPr>
          <w:rFonts w:ascii="Times New Roman" w:hAnsi="Times New Roman" w:cs="Times New Roman"/>
        </w:rPr>
      </w:pPr>
      <w:r>
        <w:rPr>
          <w:rFonts w:ascii="宋体" w:eastAsia="宋体" w:hAnsi="宋体" w:cs="宋体" w:hint="eastAsia"/>
        </w:rPr>
        <w:t>⑤</w:t>
      </w:r>
      <w:r>
        <w:rPr>
          <w:rFonts w:ascii="Times New Roman" w:hAnsi="Times New Roman" w:cs="Times New Roman"/>
        </w:rPr>
        <w:t>现场施工作业机械应严格管理，不得在施工作业带范围以外的地方行驶和作业，保持路外植被不被破坏。</w:t>
      </w:r>
    </w:p>
    <w:p w14:paraId="60EB256C"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）恢复原有土地利用格局</w:t>
      </w:r>
    </w:p>
    <w:p w14:paraId="380796D9" w14:textId="77777777" w:rsidR="007D1E74" w:rsidRDefault="00A95641">
      <w:pPr>
        <w:pStyle w:val="affffff6"/>
        <w:ind w:firstLine="480"/>
        <w:rPr>
          <w:rFonts w:ascii="Times New Roman" w:hAnsi="Times New Roman" w:cs="Times New Roman"/>
        </w:rPr>
      </w:pPr>
      <w:r>
        <w:rPr>
          <w:rFonts w:ascii="宋体" w:eastAsia="宋体" w:hAnsi="宋体" w:cs="宋体" w:hint="eastAsia"/>
        </w:rPr>
        <w:t>①</w:t>
      </w:r>
      <w:r>
        <w:rPr>
          <w:rFonts w:ascii="Times New Roman" w:hAnsi="Times New Roman" w:cs="Times New Roman"/>
        </w:rPr>
        <w:t>施工结束后，应尽量恢复地貌原状。施工时，对管沟开挖的土壤做分层开挖、分层堆放，分层回填压实，以保护植被生长层所需的熟土，降低对土壤养分的影响，尽快使土壤恢复生产力。</w:t>
      </w:r>
    </w:p>
    <w:p w14:paraId="1632CAEA" w14:textId="77777777" w:rsidR="007D1E74" w:rsidRDefault="00A95641">
      <w:pPr>
        <w:pStyle w:val="affffff6"/>
        <w:ind w:firstLine="480"/>
        <w:rPr>
          <w:rFonts w:ascii="Times New Roman" w:hAnsi="Times New Roman" w:cs="Times New Roman"/>
        </w:rPr>
      </w:pPr>
      <w:r>
        <w:rPr>
          <w:rFonts w:ascii="宋体" w:eastAsia="宋体" w:hAnsi="宋体" w:cs="宋体" w:hint="eastAsia"/>
        </w:rPr>
        <w:t>②</w:t>
      </w:r>
      <w:r>
        <w:rPr>
          <w:rFonts w:ascii="Times New Roman" w:hAnsi="Times New Roman" w:cs="Times New Roman"/>
        </w:rPr>
        <w:t>对管沟回填后多余的土方，应均匀分散在管道中心两侧，并使管沟与周围自然地表形成平滑过度，不得形成汇水环境，防止水土流失；当管道所经地段的原始地表存在局部凹地时，若有集水的可能，需采用管沟多余土或借土填高以防地表水汇集；当管道敷设在较平坦地段时，应在地貌恢复后使管沟与附近地表自然过渡，回填土与周围地表坡向保持一致，严禁管沟两侧有集水环境存在。</w:t>
      </w:r>
    </w:p>
    <w:p w14:paraId="359F42CF" w14:textId="77777777" w:rsidR="007D1E74" w:rsidRDefault="00A95641">
      <w:pPr>
        <w:pStyle w:val="affffff6"/>
        <w:ind w:firstLine="480"/>
        <w:rPr>
          <w:rFonts w:ascii="Times New Roman" w:hAnsi="Times New Roman" w:cs="Times New Roman"/>
        </w:rPr>
      </w:pPr>
      <w:r>
        <w:rPr>
          <w:rFonts w:ascii="宋体" w:eastAsia="宋体" w:hAnsi="宋体" w:cs="宋体" w:hint="eastAsia"/>
        </w:rPr>
        <w:t>③</w:t>
      </w:r>
      <w:r>
        <w:rPr>
          <w:rFonts w:ascii="Times New Roman" w:hAnsi="Times New Roman" w:cs="Times New Roman"/>
        </w:rPr>
        <w:t>道路施工中挖填方尽量实现自身平衡。对管线修筑过程中产生的弃土区及取土、取砂砾料区，都要平整，然后洒上一次水，再让其自然恢复。各站场地面设施施工过程中产生的挖填方亦应尽量自身平衡，若有弃土或取土，也要对其区域进行平整及地面绿化或铺上一层砾石。</w:t>
      </w:r>
    </w:p>
    <w:p w14:paraId="39D2C3D6" w14:textId="77777777" w:rsidR="007D1E74" w:rsidRDefault="00A95641">
      <w:pPr>
        <w:pStyle w:val="affffff6"/>
        <w:ind w:firstLine="480"/>
        <w:rPr>
          <w:rFonts w:ascii="Times New Roman" w:hAnsi="Times New Roman" w:cs="Times New Roman"/>
        </w:rPr>
      </w:pPr>
      <w:r>
        <w:rPr>
          <w:rFonts w:ascii="宋体" w:eastAsia="宋体" w:hAnsi="宋体" w:cs="宋体" w:hint="eastAsia"/>
        </w:rPr>
        <w:t>④</w:t>
      </w:r>
      <w:r>
        <w:rPr>
          <w:rFonts w:ascii="Times New Roman" w:hAnsi="Times New Roman" w:cs="Times New Roman"/>
        </w:rPr>
        <w:t>挖掘管沟时，应执行分层开挖的操作制度，尤其是在农田和草地，即表层耕作土（一般</w:t>
      </w:r>
      <w:r>
        <w:rPr>
          <w:rFonts w:ascii="Times New Roman" w:hAnsi="Times New Roman" w:cs="Times New Roman"/>
        </w:rPr>
        <w:t>30cm</w:t>
      </w:r>
      <w:r>
        <w:rPr>
          <w:rFonts w:ascii="Times New Roman" w:hAnsi="Times New Roman" w:cs="Times New Roman"/>
        </w:rPr>
        <w:t>）与底层耕作土分开堆放；管沟填埋时，也应分层回填，即底土回填在下，表土回填在上。尽可能保持作物原有的生活环境。回填时，还应留足适宜的堆积层，防止因降水、径流造成地表下陷和水土流失。回填后多余的土应平铺在田间或作为田埂、渠埂，不得随意丢弃。</w:t>
      </w:r>
    </w:p>
    <w:p w14:paraId="65AFAAE7" w14:textId="77777777" w:rsidR="007D1E74" w:rsidRDefault="00A95641">
      <w:pPr>
        <w:spacing w:line="360" w:lineRule="auto"/>
        <w:outlineLvl w:val="2"/>
        <w:rPr>
          <w:b/>
          <w:sz w:val="24"/>
        </w:rPr>
      </w:pPr>
      <w:r>
        <w:rPr>
          <w:b/>
          <w:sz w:val="24"/>
        </w:rPr>
        <w:t>8.2.8.2</w:t>
      </w:r>
      <w:r>
        <w:rPr>
          <w:b/>
          <w:sz w:val="24"/>
        </w:rPr>
        <w:t>生物多样性的保护措施</w:t>
      </w:r>
    </w:p>
    <w:p w14:paraId="1F3C48AC" w14:textId="77777777" w:rsidR="007D1E74" w:rsidRDefault="00A95641">
      <w:pPr>
        <w:pStyle w:val="affffff6"/>
        <w:ind w:firstLine="480"/>
        <w:rPr>
          <w:rFonts w:ascii="Times New Roman" w:hAnsi="Times New Roman" w:cs="Times New Roman"/>
        </w:rPr>
      </w:pPr>
      <w:r>
        <w:rPr>
          <w:rFonts w:ascii="Times New Roman" w:hAnsi="Times New Roman" w:cs="Times New Roman"/>
        </w:rPr>
        <w:lastRenderedPageBreak/>
        <w:t>（</w:t>
      </w:r>
      <w:r>
        <w:rPr>
          <w:rFonts w:ascii="Times New Roman" w:hAnsi="Times New Roman" w:cs="Times New Roman"/>
        </w:rPr>
        <w:t>1</w:t>
      </w:r>
      <w:r>
        <w:rPr>
          <w:rFonts w:ascii="Times New Roman" w:hAnsi="Times New Roman" w:cs="Times New Roman"/>
        </w:rPr>
        <w:t>）在施工过程中，应加强施工人员的管理，杜绝因施工人员对野生植物的滥砍滥伐（尤其要高度重视自然保护区段）而造成沿线地区的生态环境破坏。</w:t>
      </w:r>
    </w:p>
    <w:p w14:paraId="66BC9F69"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）加大对保护野生动物（重点为保护动物）的宣传力度，大力宣传两栖、爬行动物、鸟类对农林卫生业的作用，禁止施工人员对野生动物滥捕滥杀，做好野生动物的保护工作。</w:t>
      </w:r>
    </w:p>
    <w:p w14:paraId="6D3C706F"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）对水生生物的一般保护措施为：切实加强对水环境的保护，避免沿线局部水域发生污染或富营养化，把对水生生物栖息环境的影响减少到最低程度。具体如下：</w:t>
      </w:r>
    </w:p>
    <w:p w14:paraId="42B244BD" w14:textId="77777777" w:rsidR="007D1E74" w:rsidRDefault="00A95641">
      <w:pPr>
        <w:pStyle w:val="affffff6"/>
        <w:ind w:firstLine="480"/>
        <w:rPr>
          <w:rFonts w:ascii="Times New Roman" w:hAnsi="Times New Roman" w:cs="Times New Roman"/>
        </w:rPr>
      </w:pPr>
      <w:r>
        <w:rPr>
          <w:rFonts w:ascii="宋体" w:eastAsia="宋体" w:hAnsi="宋体" w:cs="宋体" w:hint="eastAsia"/>
        </w:rPr>
        <w:t>①</w:t>
      </w:r>
      <w:r>
        <w:rPr>
          <w:rFonts w:ascii="Times New Roman" w:hAnsi="Times New Roman" w:cs="Times New Roman"/>
        </w:rPr>
        <w:t>在采用大开挖穿越河流的施工时，应合理安排施工进度，尽量选择枯水期，避开雨季和汛期，以减少洪水的侵蚀。此外，在施工中还要做到分段施工，随挖、随运、随铺、随压，不留疏松地面，防止水土流失。</w:t>
      </w:r>
    </w:p>
    <w:p w14:paraId="4C03EE96" w14:textId="77777777" w:rsidR="007D1E74" w:rsidRDefault="00A95641">
      <w:pPr>
        <w:pStyle w:val="affffff6"/>
        <w:ind w:firstLine="480"/>
        <w:rPr>
          <w:rFonts w:ascii="Times New Roman" w:hAnsi="Times New Roman" w:cs="Times New Roman"/>
        </w:rPr>
      </w:pPr>
      <w:r>
        <w:rPr>
          <w:rFonts w:ascii="宋体" w:eastAsia="宋体" w:hAnsi="宋体" w:cs="宋体" w:hint="eastAsia"/>
        </w:rPr>
        <w:t>②</w:t>
      </w:r>
      <w:r>
        <w:rPr>
          <w:rFonts w:ascii="Times New Roman" w:hAnsi="Times New Roman" w:cs="Times New Roman"/>
        </w:rPr>
        <w:t>在管道穿越河流处应做好水土保护措施。对于原本有砼护砌的河渠，应采取与原来护砌相同的方式恢复原貌。对于土体不稳的河岸，应采取浆砌石护砌措施。对于粘性土河岸，可以只采取分层夯实回填土措施。管道通过泄洪道处，均需采取砼护底护岸砌措施，爬堤的迎水一侧管堤应采取浆砌石保护。施工完毕后，要恢复河道原状，并及时运走废弃的施工材料和多余土石方，避免阻塞沟渠、河道。</w:t>
      </w:r>
    </w:p>
    <w:p w14:paraId="4DE4C7DC" w14:textId="77777777" w:rsidR="007D1E74" w:rsidRDefault="00A95641">
      <w:pPr>
        <w:pStyle w:val="affffff6"/>
        <w:ind w:firstLine="480"/>
        <w:rPr>
          <w:rFonts w:ascii="Times New Roman" w:hAnsi="Times New Roman" w:cs="Times New Roman"/>
        </w:rPr>
      </w:pPr>
      <w:r>
        <w:rPr>
          <w:rFonts w:ascii="宋体" w:eastAsia="宋体" w:hAnsi="宋体" w:cs="宋体" w:hint="eastAsia"/>
        </w:rPr>
        <w:t>③</w:t>
      </w:r>
      <w:r>
        <w:rPr>
          <w:rFonts w:ascii="Times New Roman" w:hAnsi="Times New Roman" w:cs="Times New Roman"/>
        </w:rPr>
        <w:t xml:space="preserve"> </w:t>
      </w:r>
      <w:r>
        <w:rPr>
          <w:rFonts w:ascii="Times New Roman" w:hAnsi="Times New Roman" w:cs="Times New Roman"/>
        </w:rPr>
        <w:t>施工用料的堆放应远离水体，以及暴雨径流难以冲刷的地方，防止被暴雨径流带入水体，影响水质，各类材料应备有防雨遮雨设施。泥浆池的设立应符合环保要求，池底及四周采取防渗措施。</w:t>
      </w:r>
    </w:p>
    <w:p w14:paraId="5CD414D1" w14:textId="77777777" w:rsidR="007D1E74" w:rsidRDefault="00A95641">
      <w:pPr>
        <w:pStyle w:val="affffff6"/>
        <w:ind w:firstLine="480"/>
        <w:rPr>
          <w:rFonts w:ascii="Times New Roman" w:hAnsi="Times New Roman" w:cs="Times New Roman"/>
        </w:rPr>
      </w:pPr>
      <w:r>
        <w:rPr>
          <w:rFonts w:ascii="宋体" w:eastAsia="宋体" w:hAnsi="宋体" w:cs="宋体" w:hint="eastAsia"/>
        </w:rPr>
        <w:t>④</w:t>
      </w:r>
      <w:r>
        <w:rPr>
          <w:rFonts w:ascii="Times New Roman" w:hAnsi="Times New Roman" w:cs="Times New Roman"/>
        </w:rPr>
        <w:t>在穿越河流施工时，禁止将污水、垃圾和其它施工机械的废油等污染物抛入水体，应收集后和工地上的污染物一并处理。施工挖出的淤泥、渣土等不得抛入河流和其他水体。</w:t>
      </w:r>
    </w:p>
    <w:p w14:paraId="4F2F8438" w14:textId="77777777" w:rsidR="007D1E74" w:rsidRDefault="00A95641">
      <w:pPr>
        <w:spacing w:line="360" w:lineRule="auto"/>
        <w:outlineLvl w:val="2"/>
        <w:rPr>
          <w:b/>
          <w:sz w:val="24"/>
        </w:rPr>
      </w:pPr>
      <w:r>
        <w:rPr>
          <w:b/>
          <w:sz w:val="24"/>
        </w:rPr>
        <w:t>8.2.8.3</w:t>
      </w:r>
      <w:r>
        <w:rPr>
          <w:b/>
          <w:sz w:val="24"/>
        </w:rPr>
        <w:t>农业生态系统保护措施</w:t>
      </w:r>
    </w:p>
    <w:p w14:paraId="6CF04091"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）管道通过农业区时，尤其是占用耕地、果园、菜地、粮棉油地等经济农业</w:t>
      </w:r>
    </w:p>
    <w:p w14:paraId="57E9EDEA" w14:textId="77777777" w:rsidR="007D1E74" w:rsidRDefault="00A95641">
      <w:pPr>
        <w:pStyle w:val="affffff6"/>
        <w:ind w:firstLine="480"/>
        <w:rPr>
          <w:rFonts w:ascii="Times New Roman" w:hAnsi="Times New Roman" w:cs="Times New Roman"/>
        </w:rPr>
      </w:pPr>
      <w:r>
        <w:rPr>
          <w:rFonts w:ascii="Times New Roman" w:hAnsi="Times New Roman" w:cs="Times New Roman"/>
        </w:rPr>
        <w:t>区时，施工作业带宽度应尽量缩窄，宜采用沟下组焊方式减小施工作业带宽度，降低工程对农业生态环境的干扰和破坏，并将农业损失纳入到工程预算中。</w:t>
      </w:r>
    </w:p>
    <w:p w14:paraId="445911EF"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）项目占地应按有关土地管理办法的要求，逐级上报有审批权的政府部门批准。对于永久占地，应纳入地方土地利用规划中，并按有关土地管理部门要求认真执行。</w:t>
      </w:r>
    </w:p>
    <w:p w14:paraId="2811D531"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）对于临时占地，除在施工中采取措施减少对基本农田的破坏外，在施工结束后，还应做好基本农田的恢复工作。</w:t>
      </w:r>
    </w:p>
    <w:p w14:paraId="4F2C8AB2" w14:textId="77777777" w:rsidR="007D1E74" w:rsidRDefault="00A95641">
      <w:pPr>
        <w:pStyle w:val="affffff6"/>
        <w:ind w:firstLine="480"/>
        <w:rPr>
          <w:rFonts w:ascii="Times New Roman" w:hAnsi="Times New Roman" w:cs="Times New Roman"/>
        </w:rPr>
      </w:pPr>
      <w:r>
        <w:rPr>
          <w:rFonts w:ascii="Times New Roman" w:hAnsi="Times New Roman" w:cs="Times New Roman"/>
        </w:rPr>
        <w:lastRenderedPageBreak/>
        <w:t>（</w:t>
      </w:r>
      <w:r>
        <w:rPr>
          <w:rFonts w:ascii="Times New Roman" w:hAnsi="Times New Roman" w:cs="Times New Roman"/>
        </w:rPr>
        <w:t>4</w:t>
      </w:r>
      <w:r>
        <w:rPr>
          <w:rFonts w:ascii="Times New Roman" w:hAnsi="Times New Roman" w:cs="Times New Roman"/>
        </w:rPr>
        <w:t>）根据《基本农田保护条例》，非农业建设经批准占用基本农田的，按照保持耕地面积动态平衡，应</w:t>
      </w:r>
      <w:r>
        <w:rPr>
          <w:rFonts w:ascii="Times New Roman" w:hAnsi="Times New Roman" w:cs="Times New Roman"/>
        </w:rPr>
        <w:t>“</w:t>
      </w:r>
      <w:r>
        <w:rPr>
          <w:rFonts w:ascii="Times New Roman" w:hAnsi="Times New Roman" w:cs="Times New Roman"/>
        </w:rPr>
        <w:t>占多少、垦多少</w:t>
      </w:r>
      <w:r>
        <w:rPr>
          <w:rFonts w:ascii="Times New Roman" w:hAnsi="Times New Roman" w:cs="Times New Roman"/>
        </w:rPr>
        <w:t>”</w:t>
      </w:r>
      <w:r>
        <w:rPr>
          <w:rFonts w:ascii="Times New Roman" w:hAnsi="Times New Roman" w:cs="Times New Roman"/>
        </w:rPr>
        <w:t>，没有条件开垦或开垦耕地不符合要求的应按规定缴纳耕地开垦费，专款用于开垦新耕地。</w:t>
      </w:r>
    </w:p>
    <w:p w14:paraId="7AD1BCF5"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5</w:t>
      </w:r>
      <w:r>
        <w:rPr>
          <w:rFonts w:ascii="Times New Roman" w:hAnsi="Times New Roman" w:cs="Times New Roman"/>
        </w:rPr>
        <w:t>）管线占用基本农田的，根据《基本农田保护条例》的相关规定，地方各级</w:t>
      </w:r>
    </w:p>
    <w:p w14:paraId="5B4AEB3A" w14:textId="77777777" w:rsidR="007D1E74" w:rsidRDefault="00A95641">
      <w:pPr>
        <w:pStyle w:val="affffff6"/>
        <w:ind w:firstLineChars="0" w:firstLine="0"/>
        <w:rPr>
          <w:rFonts w:ascii="Times New Roman" w:hAnsi="Times New Roman" w:cs="Times New Roman"/>
        </w:rPr>
      </w:pPr>
      <w:r>
        <w:rPr>
          <w:rFonts w:ascii="Times New Roman" w:hAnsi="Times New Roman" w:cs="Times New Roman"/>
        </w:rPr>
        <w:t>人民政府应当采取措施，确保土地利用总体规划确定的本行政区域内基本农田的数量不减少。此外，应做好所占耕地的耕作层保护工作，用于新开垦耕地、劣质地或其他耕地的土壤改良。</w:t>
      </w:r>
    </w:p>
    <w:p w14:paraId="642F0362"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6</w:t>
      </w:r>
      <w:r>
        <w:rPr>
          <w:rFonts w:ascii="Times New Roman" w:hAnsi="Times New Roman" w:cs="Times New Roman"/>
        </w:rPr>
        <w:t>）根据当地农业活动特点，因地制宜地选择施工季节，尽量避开农作物的生长期和收获期，以减少农业当季损失。</w:t>
      </w:r>
    </w:p>
    <w:p w14:paraId="7AA1B558"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7</w:t>
      </w:r>
      <w:r>
        <w:rPr>
          <w:rFonts w:ascii="Times New Roman" w:hAnsi="Times New Roman" w:cs="Times New Roman"/>
        </w:rPr>
        <w:t>）提高施工效率，缩短施工时间，同时采取边铺设管道边分层覆土的措施，减少裸地的暴露时间，保持耕作层肥力，缩短农业生产季节的损失。</w:t>
      </w:r>
    </w:p>
    <w:p w14:paraId="28B6DCA4"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8</w:t>
      </w:r>
      <w:r>
        <w:rPr>
          <w:rFonts w:ascii="Times New Roman" w:hAnsi="Times New Roman" w:cs="Times New Roman"/>
        </w:rPr>
        <w:t>）管道施工中要采取保护土壤措施，对农业熟化土壤要分层开挖，分别堆放，分层回填，减少因施工造成生土上翻、耕层养分损失、农作物减产的后果，回填时还应留足适宜的堆积层，防止因降水、径流造成地表下陷和水土流失。</w:t>
      </w:r>
    </w:p>
    <w:p w14:paraId="0A3B5A2C"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9</w:t>
      </w:r>
      <w:r>
        <w:rPr>
          <w:rFonts w:ascii="Times New Roman" w:hAnsi="Times New Roman" w:cs="Times New Roman"/>
        </w:rPr>
        <w:t>）在施工中应尽量减少对农田防护树木的砍伐，完工后根据不同的地区特点采取植被恢复措施，种植速生树木和耐贫瘠的先锋灌木草本植物，在农地可种植绿肥作物，加速农业土壤肥力的恢复。</w:t>
      </w:r>
    </w:p>
    <w:p w14:paraId="21FEEE40"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10</w:t>
      </w:r>
      <w:r>
        <w:rPr>
          <w:rFonts w:ascii="Times New Roman" w:hAnsi="Times New Roman" w:cs="Times New Roman"/>
        </w:rPr>
        <w:t>）施工完成后做好现场清理及恢复工作，尽可能降低施工对农田生态系统带来的不利影响。</w:t>
      </w:r>
    </w:p>
    <w:p w14:paraId="4C06E3CB"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11</w:t>
      </w:r>
      <w:r>
        <w:rPr>
          <w:rFonts w:ascii="Times New Roman" w:hAnsi="Times New Roman" w:cs="Times New Roman"/>
        </w:rPr>
        <w:t>）处理好管道与农田水利工程的关系，尽可能减少对排灌渠道的破坏，管道经过坡地时要增设护坡堤，防止坍塌造成的滑坡等，并结合修筑梯田，植树种植绿化，加速生态环境的恢复。</w:t>
      </w:r>
    </w:p>
    <w:p w14:paraId="3F5DB4B8"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12</w:t>
      </w:r>
      <w:r>
        <w:rPr>
          <w:rFonts w:ascii="Times New Roman" w:hAnsi="Times New Roman" w:cs="Times New Roman"/>
        </w:rPr>
        <w:t>）在施工时，应避免农田基础设施受碾压而失去正常使用功能，导致灌溉区受益范围内农作物生长受影响。</w:t>
      </w:r>
    </w:p>
    <w:p w14:paraId="08EAC5BF" w14:textId="77777777" w:rsidR="007D1E74" w:rsidRDefault="00A95641">
      <w:pPr>
        <w:spacing w:line="360" w:lineRule="auto"/>
        <w:outlineLvl w:val="2"/>
        <w:rPr>
          <w:b/>
          <w:sz w:val="24"/>
        </w:rPr>
      </w:pPr>
      <w:r>
        <w:rPr>
          <w:b/>
          <w:sz w:val="24"/>
        </w:rPr>
        <w:t>8.2.8.4</w:t>
      </w:r>
      <w:r>
        <w:rPr>
          <w:b/>
          <w:sz w:val="24"/>
        </w:rPr>
        <w:t>林地恢复措施</w:t>
      </w:r>
    </w:p>
    <w:p w14:paraId="31B0EE21" w14:textId="77777777" w:rsidR="007D1E74" w:rsidRDefault="00A95641">
      <w:pPr>
        <w:pStyle w:val="affffff6"/>
        <w:ind w:firstLine="480"/>
        <w:rPr>
          <w:rFonts w:ascii="Times New Roman" w:hAnsi="Times New Roman" w:cs="Times New Roman"/>
        </w:rPr>
      </w:pPr>
      <w:r>
        <w:rPr>
          <w:rFonts w:ascii="Times New Roman" w:hAnsi="Times New Roman" w:cs="Times New Roman"/>
        </w:rPr>
        <w:t>管道途经地区有林地资源，因此，工程应重点从以下几个方面对林地进行恢复：</w:t>
      </w:r>
    </w:p>
    <w:p w14:paraId="6BAC353D"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）加强对施工人员及施工活动的管理</w:t>
      </w:r>
    </w:p>
    <w:p w14:paraId="4883496A" w14:textId="77777777" w:rsidR="007D1E74" w:rsidRDefault="00A95641">
      <w:pPr>
        <w:pStyle w:val="affffff6"/>
        <w:ind w:firstLine="480"/>
        <w:rPr>
          <w:rFonts w:ascii="Times New Roman" w:hAnsi="Times New Roman" w:cs="Times New Roman"/>
        </w:rPr>
      </w:pPr>
      <w:r>
        <w:rPr>
          <w:rFonts w:ascii="宋体" w:eastAsia="宋体" w:hAnsi="宋体" w:cs="宋体" w:hint="eastAsia"/>
        </w:rPr>
        <w:t>①</w:t>
      </w:r>
      <w:r>
        <w:rPr>
          <w:rFonts w:ascii="Times New Roman" w:hAnsi="Times New Roman" w:cs="Times New Roman"/>
        </w:rPr>
        <w:t>施工过程中，加强对施工人员的管理，禁止施工人员对植被滥砍滥伐，严格限制人员的施工活动范围。</w:t>
      </w:r>
    </w:p>
    <w:p w14:paraId="6FA442D8" w14:textId="77777777" w:rsidR="007D1E74" w:rsidRDefault="00A95641">
      <w:pPr>
        <w:pStyle w:val="affffff6"/>
        <w:ind w:firstLine="480"/>
        <w:rPr>
          <w:rFonts w:ascii="Times New Roman" w:hAnsi="Times New Roman" w:cs="Times New Roman"/>
        </w:rPr>
      </w:pPr>
      <w:r>
        <w:rPr>
          <w:rFonts w:ascii="宋体" w:eastAsia="宋体" w:hAnsi="宋体" w:cs="宋体" w:hint="eastAsia"/>
        </w:rPr>
        <w:lastRenderedPageBreak/>
        <w:t>②</w:t>
      </w:r>
      <w:r>
        <w:rPr>
          <w:rFonts w:ascii="Times New Roman" w:hAnsi="Times New Roman" w:cs="Times New Roman"/>
        </w:rPr>
        <w:t>管道通过生态林区段时，工程施工将占用林地和砍伐树木，应事先向林业主管部门申报，并进行合理的赔偿。</w:t>
      </w:r>
    </w:p>
    <w:p w14:paraId="0BA5426C" w14:textId="77777777" w:rsidR="007D1E74" w:rsidRDefault="00A95641">
      <w:pPr>
        <w:pStyle w:val="affffff6"/>
        <w:ind w:firstLine="480"/>
        <w:rPr>
          <w:rFonts w:ascii="Times New Roman" w:hAnsi="Times New Roman" w:cs="Times New Roman"/>
        </w:rPr>
      </w:pPr>
      <w:r>
        <w:rPr>
          <w:rFonts w:ascii="宋体" w:eastAsia="宋体" w:hAnsi="宋体" w:cs="宋体" w:hint="eastAsia"/>
        </w:rPr>
        <w:t>③</w:t>
      </w:r>
      <w:r>
        <w:rPr>
          <w:rFonts w:ascii="Times New Roman" w:hAnsi="Times New Roman" w:cs="Times New Roman"/>
        </w:rPr>
        <w:t>施工便道选择尽量避开林带，以林带空隙地为主，尽可能不破坏原有地形、地貌。</w:t>
      </w:r>
    </w:p>
    <w:p w14:paraId="5DF1D6B7"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）施工后的植被恢复</w:t>
      </w:r>
    </w:p>
    <w:p w14:paraId="21C70E23" w14:textId="77777777" w:rsidR="007D1E74" w:rsidRDefault="00A95641">
      <w:pPr>
        <w:pStyle w:val="affffff6"/>
        <w:ind w:firstLine="480"/>
        <w:rPr>
          <w:rFonts w:ascii="Times New Roman" w:hAnsi="Times New Roman" w:cs="Times New Roman"/>
        </w:rPr>
      </w:pPr>
      <w:r>
        <w:rPr>
          <w:rFonts w:ascii="宋体" w:eastAsia="宋体" w:hAnsi="宋体" w:cs="宋体" w:hint="eastAsia"/>
        </w:rPr>
        <w:t>①</w:t>
      </w:r>
      <w:r>
        <w:rPr>
          <w:rFonts w:ascii="Times New Roman" w:hAnsi="Times New Roman" w:cs="Times New Roman"/>
        </w:rPr>
        <w:t>根据《中华人民共和国石油天然气管道保护法》的规定：在管道线路中心线</w:t>
      </w:r>
    </w:p>
    <w:p w14:paraId="6C761E84" w14:textId="77777777" w:rsidR="007D1E74" w:rsidRDefault="00A95641">
      <w:pPr>
        <w:pStyle w:val="affffff6"/>
        <w:ind w:firstLineChars="0" w:firstLine="0"/>
        <w:rPr>
          <w:rFonts w:ascii="Times New Roman" w:hAnsi="Times New Roman" w:cs="Times New Roman"/>
        </w:rPr>
      </w:pPr>
      <w:r>
        <w:rPr>
          <w:rFonts w:ascii="Times New Roman" w:hAnsi="Times New Roman" w:cs="Times New Roman"/>
        </w:rPr>
        <w:t>两侧各</w:t>
      </w:r>
      <w:r>
        <w:rPr>
          <w:rFonts w:ascii="Times New Roman" w:hAnsi="Times New Roman" w:cs="Times New Roman"/>
        </w:rPr>
        <w:t>5m</w:t>
      </w:r>
      <w:r>
        <w:rPr>
          <w:rFonts w:ascii="Times New Roman" w:hAnsi="Times New Roman" w:cs="Times New Roman"/>
        </w:rPr>
        <w:t>地域范围内，禁止种植乔木、灌木、藤类、芦苇、竹子或者其他根系深达管道埋设部位可能损坏管道防腐层的深根植物。因此，施工结束后，在管道覆土上采取播撒草籽、栽植花、草等措施恢复植被。</w:t>
      </w:r>
    </w:p>
    <w:p w14:paraId="0A7DAAF0" w14:textId="77777777" w:rsidR="007D1E74" w:rsidRDefault="00A95641">
      <w:pPr>
        <w:pStyle w:val="affffff6"/>
        <w:ind w:firstLine="480"/>
        <w:rPr>
          <w:rFonts w:ascii="Times New Roman" w:hAnsi="Times New Roman" w:cs="Times New Roman"/>
        </w:rPr>
      </w:pPr>
      <w:r>
        <w:rPr>
          <w:rFonts w:ascii="宋体" w:eastAsia="宋体" w:hAnsi="宋体" w:cs="宋体" w:hint="eastAsia"/>
        </w:rPr>
        <w:t>②</w:t>
      </w:r>
      <w:r>
        <w:rPr>
          <w:rFonts w:ascii="Times New Roman" w:hAnsi="Times New Roman" w:cs="Times New Roman"/>
        </w:rPr>
        <w:t>施工结束后，施工便道两侧裸露的地面，采取播撒草籽、栽植花、草、种植灌木等措施恢复植被。</w:t>
      </w:r>
    </w:p>
    <w:p w14:paraId="12136BC4" w14:textId="77777777" w:rsidR="007D1E74" w:rsidRDefault="00A95641">
      <w:pPr>
        <w:spacing w:line="360" w:lineRule="auto"/>
        <w:outlineLvl w:val="2"/>
        <w:rPr>
          <w:b/>
          <w:sz w:val="24"/>
        </w:rPr>
      </w:pPr>
      <w:r>
        <w:rPr>
          <w:b/>
          <w:sz w:val="24"/>
        </w:rPr>
        <w:t>8.2.8.5</w:t>
      </w:r>
      <w:r>
        <w:rPr>
          <w:b/>
          <w:sz w:val="24"/>
        </w:rPr>
        <w:t>水土保持措施</w:t>
      </w:r>
    </w:p>
    <w:p w14:paraId="0E1A08FC"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水土流失空间分布与地形地貌密切关联，整个工程区域内的水土流失分布是不均衡的，甚至变化极大，挖、填土石方量大的地段、暴雨集中的地方、地形地貌复杂的地方，水土流失强度往往较大，因此，在主体工程施工过程中应加强临时防护措施，并与主体工程同步施工。由于主体工程施工进度较快，水土流失防治措施一旦没有与主体工程同时施工，施工队伍撤离后就难以回过头来重新施工，所以水土保持的治理工作必须与主体工程同步进行施工，并经当地水行政主管部门进行阶段验收签字后方可撤离施工队伍。</w:t>
      </w:r>
    </w:p>
    <w:p w14:paraId="17D769AA"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）沿线站场等生产区和生活区，选用适合当地土壤、气候等自然环境、水土保持效果好的树种进行绿化，使其产生良好的生态效益。</w:t>
      </w:r>
    </w:p>
    <w:p w14:paraId="3DFD687D"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对于大开挖穿越河流、沟渠时，尽可能选择枯水期、避开雨季施工，开挖的土石不允许在河道内长期堆放，应将回填的土石方临时堆放在河道外，多余的土石方直接用于加固堤坝。为防止堆土流失，在土石堆的外侧采用填土编织袋进行临时拦挡；修建临时排水沟，并在沟尾建沉沙池；施工结束后，编织袋应集中销毁或深埋，对挖方临时堆放地进行平整，并采用草灌结合的方式进行植被恢复。</w:t>
      </w:r>
    </w:p>
    <w:p w14:paraId="3D9E530F"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4</w:t>
      </w:r>
      <w:r>
        <w:rPr>
          <w:rFonts w:ascii="Times New Roman" w:hAnsi="Times New Roman" w:cs="Times New Roman"/>
        </w:rPr>
        <w:t>）严格按照水土保持方案要求落实各项水土保持措施，各类施工活动要严格限定在用地范围内，严禁随意占压、扰动和破坏地表植被。做好表土的剥离和弃渣综合利用，施工过程中产生的弃渣要及时运至方案确定的填方区域并进行防护。根据方案要求合理</w:t>
      </w:r>
      <w:r>
        <w:rPr>
          <w:rFonts w:ascii="Times New Roman" w:hAnsi="Times New Roman" w:cs="Times New Roman"/>
        </w:rPr>
        <w:t xml:space="preserve"> </w:t>
      </w:r>
      <w:r>
        <w:rPr>
          <w:rFonts w:ascii="Times New Roman" w:hAnsi="Times New Roman" w:cs="Times New Roman"/>
        </w:rPr>
        <w:t>安排施工时序和水土保持措施实施进度，做好临时防护措施，严格控制施工期间</w:t>
      </w:r>
      <w:r>
        <w:rPr>
          <w:rFonts w:ascii="Times New Roman" w:hAnsi="Times New Roman" w:cs="Times New Roman"/>
        </w:rPr>
        <w:lastRenderedPageBreak/>
        <w:t>可能造成的水土流失。</w:t>
      </w:r>
    </w:p>
    <w:p w14:paraId="7DE54382" w14:textId="77777777" w:rsidR="007D1E74" w:rsidRDefault="00A95641">
      <w:pPr>
        <w:spacing w:line="360" w:lineRule="auto"/>
        <w:outlineLvl w:val="2"/>
        <w:rPr>
          <w:b/>
          <w:sz w:val="24"/>
        </w:rPr>
      </w:pPr>
      <w:r>
        <w:rPr>
          <w:b/>
          <w:sz w:val="24"/>
        </w:rPr>
        <w:t>8.2.8.6</w:t>
      </w:r>
      <w:r>
        <w:rPr>
          <w:b/>
          <w:sz w:val="24"/>
        </w:rPr>
        <w:t>基本农田段环境保护措施</w:t>
      </w:r>
    </w:p>
    <w:p w14:paraId="5F5BC2FE"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1</w:t>
      </w:r>
      <w:r>
        <w:rPr>
          <w:rFonts w:ascii="Times New Roman" w:hAnsi="Times New Roman" w:cs="Times New Roman"/>
        </w:rPr>
        <w:t>）划定施工范围，尽可能少的占用耕地。</w:t>
      </w:r>
    </w:p>
    <w:p w14:paraId="5E547259"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2</w:t>
      </w:r>
      <w:r>
        <w:rPr>
          <w:rFonts w:ascii="Times New Roman" w:hAnsi="Times New Roman" w:cs="Times New Roman"/>
        </w:rPr>
        <w:t>）挖掘管沟时，应分层开挖、分层堆放；填埋时，也应分层回填，即底土回填在下，表土回填在上。分层回填前应清理留在土壤中的固体废物，还应留足适宜的堆积层，防止因降水、径流造成地表下陷和水土流失。回填后多余的土应平铺在田间或作为田埂、渠埂，不得随意丢弃。</w:t>
      </w:r>
    </w:p>
    <w:p w14:paraId="68B3A5A2"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3</w:t>
      </w:r>
      <w:r>
        <w:rPr>
          <w:rFonts w:ascii="Times New Roman" w:hAnsi="Times New Roman" w:cs="Times New Roman"/>
        </w:rPr>
        <w:t>）施工时，应避免农田受施工设备、设施碾压，而失去正常使用功能。例如：机井、灌渠、灌溉暗管（一般埋藏较浅）等水利设施的损坏，会导致灌溉区受益范围内农作物生长受影响。</w:t>
      </w:r>
    </w:p>
    <w:p w14:paraId="4EE627DE"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4</w:t>
      </w:r>
      <w:r>
        <w:rPr>
          <w:rFonts w:ascii="Times New Roman" w:hAnsi="Times New Roman" w:cs="Times New Roman"/>
        </w:rPr>
        <w:t>）施工期应尽量避开作物生长季节，减少农业生产损失。</w:t>
      </w:r>
    </w:p>
    <w:p w14:paraId="6E945EB1" w14:textId="77777777" w:rsidR="007D1E74" w:rsidRDefault="00A95641">
      <w:pPr>
        <w:pStyle w:val="affffff6"/>
        <w:ind w:firstLine="480"/>
        <w:rPr>
          <w:rFonts w:ascii="Times New Roman" w:hAnsi="Times New Roman" w:cs="Times New Roman"/>
        </w:rPr>
      </w:pPr>
      <w:r>
        <w:rPr>
          <w:rFonts w:ascii="Times New Roman" w:hAnsi="Times New Roman" w:cs="Times New Roman"/>
        </w:rPr>
        <w:t>（</w:t>
      </w:r>
      <w:r>
        <w:rPr>
          <w:rFonts w:ascii="Times New Roman" w:hAnsi="Times New Roman" w:cs="Times New Roman"/>
        </w:rPr>
        <w:t>5</w:t>
      </w:r>
      <w:r>
        <w:rPr>
          <w:rFonts w:ascii="Times New Roman" w:hAnsi="Times New Roman" w:cs="Times New Roman"/>
        </w:rPr>
        <w:t>）施工结束后做好农田的恢复工作。凡受到施工车辆、机械破坏的地方，都要及时修整，恢复原貌，植被（包括自然的和人工的）破坏应在施工结束后的当年或来年予以恢复。</w:t>
      </w:r>
    </w:p>
    <w:p w14:paraId="4D018D7B" w14:textId="77777777" w:rsidR="007D1E74" w:rsidRDefault="00A95641">
      <w:pPr>
        <w:spacing w:line="360" w:lineRule="auto"/>
        <w:outlineLvl w:val="1"/>
        <w:rPr>
          <w:b/>
          <w:sz w:val="30"/>
          <w:szCs w:val="30"/>
        </w:rPr>
      </w:pPr>
      <w:bookmarkStart w:id="73" w:name="_Toc3934"/>
      <w:r>
        <w:rPr>
          <w:b/>
          <w:sz w:val="30"/>
          <w:szCs w:val="30"/>
        </w:rPr>
        <w:t>8.3</w:t>
      </w:r>
      <w:r>
        <w:rPr>
          <w:b/>
          <w:sz w:val="30"/>
          <w:szCs w:val="30"/>
        </w:rPr>
        <w:t>运营期环境保护措施及其可行性论证</w:t>
      </w:r>
      <w:bookmarkEnd w:id="73"/>
    </w:p>
    <w:p w14:paraId="4F9D9826" w14:textId="77777777" w:rsidR="007D1E74" w:rsidRDefault="00A95641">
      <w:pPr>
        <w:spacing w:line="360" w:lineRule="auto"/>
        <w:outlineLvl w:val="1"/>
        <w:rPr>
          <w:b/>
          <w:sz w:val="28"/>
          <w:szCs w:val="28"/>
        </w:rPr>
      </w:pPr>
      <w:r>
        <w:rPr>
          <w:b/>
          <w:sz w:val="28"/>
          <w:szCs w:val="28"/>
        </w:rPr>
        <w:t>8.3.1</w:t>
      </w:r>
      <w:r>
        <w:rPr>
          <w:b/>
          <w:sz w:val="28"/>
          <w:szCs w:val="28"/>
        </w:rPr>
        <w:t>运营期环境空气污染防治措施</w:t>
      </w:r>
    </w:p>
    <w:p w14:paraId="6BE2DC4B" w14:textId="77777777" w:rsidR="007D1E74" w:rsidRDefault="00A95641">
      <w:pPr>
        <w:spacing w:line="360" w:lineRule="auto"/>
        <w:ind w:firstLineChars="200" w:firstLine="480"/>
        <w:rPr>
          <w:sz w:val="24"/>
        </w:rPr>
      </w:pPr>
      <w:r>
        <w:rPr>
          <w:sz w:val="24"/>
        </w:rPr>
        <w:t>根据工程分析，本项目管道运行期正常工况下废气主要为站场清管作业时排放的天然气；非正常工况下废气主要为</w:t>
      </w:r>
      <w:r>
        <w:rPr>
          <w:sz w:val="24"/>
        </w:rPr>
        <w:t>1#</w:t>
      </w:r>
      <w:r>
        <w:rPr>
          <w:sz w:val="24"/>
        </w:rPr>
        <w:t>阀室系统超压时产生的少量天然气，经放空装置直接排入大气。</w:t>
      </w:r>
    </w:p>
    <w:p w14:paraId="792A1810" w14:textId="77777777" w:rsidR="007D1E74" w:rsidRDefault="00A95641">
      <w:pPr>
        <w:spacing w:line="360" w:lineRule="auto"/>
        <w:ind w:firstLineChars="200" w:firstLine="480"/>
        <w:rPr>
          <w:sz w:val="24"/>
        </w:rPr>
      </w:pPr>
      <w:r>
        <w:rPr>
          <w:sz w:val="24"/>
        </w:rPr>
        <w:t>主要治理措施：</w:t>
      </w:r>
    </w:p>
    <w:p w14:paraId="5EEA1087" w14:textId="77777777" w:rsidR="007D1E74" w:rsidRDefault="00A95641">
      <w:pPr>
        <w:spacing w:line="360" w:lineRule="auto"/>
        <w:ind w:firstLineChars="200" w:firstLine="480"/>
        <w:rPr>
          <w:sz w:val="24"/>
        </w:rPr>
      </w:pPr>
      <w:r>
        <w:rPr>
          <w:sz w:val="24"/>
        </w:rPr>
        <w:t>（</w:t>
      </w:r>
      <w:r>
        <w:rPr>
          <w:sz w:val="24"/>
        </w:rPr>
        <w:t>1</w:t>
      </w:r>
      <w:r>
        <w:rPr>
          <w:sz w:val="24"/>
        </w:rPr>
        <w:t>）采用合理的输气工艺，选用优质材料，再设计时，管道及其附属设施应充分考虑抗震，保证正常生产无泄漏。</w:t>
      </w:r>
    </w:p>
    <w:p w14:paraId="5488E87A" w14:textId="77777777" w:rsidR="007D1E74" w:rsidRDefault="00A95641">
      <w:pPr>
        <w:spacing w:line="360" w:lineRule="auto"/>
        <w:ind w:firstLineChars="200" w:firstLine="480"/>
        <w:rPr>
          <w:sz w:val="24"/>
        </w:rPr>
      </w:pPr>
      <w:r>
        <w:rPr>
          <w:sz w:val="24"/>
        </w:rPr>
        <w:t>（</w:t>
      </w:r>
      <w:r>
        <w:rPr>
          <w:sz w:val="24"/>
        </w:rPr>
        <w:t>2</w:t>
      </w:r>
      <w:r>
        <w:rPr>
          <w:sz w:val="24"/>
        </w:rPr>
        <w:t>）加强管理，减少放空和泄漏，站场设置放空系统，大量天然气放空通过放空管排放，利用高空疏散，减少天然气排放的安全危害和环境污染。</w:t>
      </w:r>
    </w:p>
    <w:p w14:paraId="234B7D91" w14:textId="77777777" w:rsidR="007D1E74" w:rsidRDefault="00A95641">
      <w:pPr>
        <w:spacing w:line="360" w:lineRule="auto"/>
        <w:ind w:firstLineChars="200" w:firstLine="480"/>
        <w:rPr>
          <w:sz w:val="24"/>
        </w:rPr>
      </w:pPr>
      <w:r>
        <w:rPr>
          <w:sz w:val="24"/>
        </w:rPr>
        <w:t>（</w:t>
      </w:r>
      <w:r>
        <w:rPr>
          <w:sz w:val="24"/>
        </w:rPr>
        <w:t>3</w:t>
      </w:r>
      <w:r>
        <w:rPr>
          <w:sz w:val="24"/>
        </w:rPr>
        <w:t>）排放放空气采用冷排放，项目气质不含</w:t>
      </w:r>
      <w:r>
        <w:rPr>
          <w:sz w:val="24"/>
        </w:rPr>
        <w:t>H</w:t>
      </w:r>
      <w:r>
        <w:rPr>
          <w:sz w:val="24"/>
          <w:vertAlign w:val="subscript"/>
        </w:rPr>
        <w:t>2</w:t>
      </w:r>
      <w:r>
        <w:rPr>
          <w:sz w:val="24"/>
        </w:rPr>
        <w:t>S</w:t>
      </w:r>
      <w:r>
        <w:rPr>
          <w:sz w:val="24"/>
        </w:rPr>
        <w:t>，且排放量小，在冷排放的情况下，其对周围环境影响较小。</w:t>
      </w:r>
    </w:p>
    <w:p w14:paraId="221CF713" w14:textId="77777777" w:rsidR="007D1E74" w:rsidRDefault="00A95641">
      <w:pPr>
        <w:spacing w:line="360" w:lineRule="auto"/>
        <w:ind w:firstLineChars="200" w:firstLine="480"/>
        <w:rPr>
          <w:sz w:val="24"/>
        </w:rPr>
      </w:pPr>
      <w:r>
        <w:rPr>
          <w:sz w:val="24"/>
        </w:rPr>
        <w:t>根据管道在运行期对环境空气的影响评价，其影响在可接范围内，所采取的环境空气防治措施基本可行。</w:t>
      </w:r>
    </w:p>
    <w:p w14:paraId="4C3F4DBF" w14:textId="77777777" w:rsidR="007D1E74" w:rsidRDefault="00A95641">
      <w:pPr>
        <w:spacing w:line="360" w:lineRule="auto"/>
        <w:outlineLvl w:val="1"/>
        <w:rPr>
          <w:b/>
          <w:sz w:val="28"/>
          <w:szCs w:val="28"/>
        </w:rPr>
      </w:pPr>
      <w:r>
        <w:rPr>
          <w:b/>
          <w:sz w:val="28"/>
          <w:szCs w:val="28"/>
        </w:rPr>
        <w:t>8.3.2</w:t>
      </w:r>
      <w:r>
        <w:rPr>
          <w:b/>
          <w:sz w:val="28"/>
          <w:szCs w:val="28"/>
        </w:rPr>
        <w:t>营运期水污染防治措施</w:t>
      </w:r>
    </w:p>
    <w:p w14:paraId="33967AEB" w14:textId="77777777" w:rsidR="007D1E74" w:rsidRDefault="00A95641">
      <w:pPr>
        <w:spacing w:line="360" w:lineRule="auto"/>
        <w:ind w:firstLineChars="200" w:firstLine="480"/>
        <w:rPr>
          <w:sz w:val="24"/>
        </w:rPr>
      </w:pPr>
      <w:r>
        <w:rPr>
          <w:sz w:val="24"/>
        </w:rPr>
        <w:lastRenderedPageBreak/>
        <w:t>项目主要为天然气输送管道，集输管线埋地敷设，密闭输送，运营期正常情况下不会产生的废水；</w:t>
      </w:r>
      <w:r>
        <w:rPr>
          <w:sz w:val="24"/>
        </w:rPr>
        <w:t>1#</w:t>
      </w:r>
      <w:r>
        <w:rPr>
          <w:sz w:val="24"/>
        </w:rPr>
        <w:t>阀室分离废水经污水收集罐暂存后由罐车定期转运至污水处理厂处理，不外排。</w:t>
      </w:r>
    </w:p>
    <w:p w14:paraId="2EF65DBE" w14:textId="77777777" w:rsidR="007D1E74" w:rsidRDefault="00A95641">
      <w:pPr>
        <w:spacing w:line="360" w:lineRule="auto"/>
        <w:ind w:firstLineChars="200" w:firstLine="480"/>
        <w:rPr>
          <w:sz w:val="24"/>
        </w:rPr>
      </w:pPr>
      <w:r>
        <w:rPr>
          <w:sz w:val="24"/>
        </w:rPr>
        <w:t>采取以上措施后本项目污水对区域水环境影响较小，所采取的水污染防治措施基本可行</w:t>
      </w:r>
    </w:p>
    <w:p w14:paraId="3C7709BB" w14:textId="77777777" w:rsidR="007D1E74" w:rsidRDefault="00A95641">
      <w:pPr>
        <w:spacing w:line="360" w:lineRule="auto"/>
        <w:outlineLvl w:val="1"/>
        <w:rPr>
          <w:b/>
          <w:sz w:val="28"/>
          <w:szCs w:val="28"/>
        </w:rPr>
      </w:pPr>
      <w:r>
        <w:rPr>
          <w:b/>
          <w:sz w:val="28"/>
          <w:szCs w:val="28"/>
        </w:rPr>
        <w:t>8.3.3</w:t>
      </w:r>
      <w:r>
        <w:rPr>
          <w:b/>
          <w:sz w:val="28"/>
          <w:szCs w:val="28"/>
        </w:rPr>
        <w:t>运营期地下水环境污染防治措施</w:t>
      </w:r>
    </w:p>
    <w:p w14:paraId="3DBD1E41" w14:textId="77777777" w:rsidR="007D1E74" w:rsidRDefault="00A95641">
      <w:pPr>
        <w:spacing w:line="360" w:lineRule="auto"/>
        <w:ind w:firstLineChars="200" w:firstLine="480"/>
        <w:rPr>
          <w:sz w:val="24"/>
        </w:rPr>
      </w:pPr>
      <w:r>
        <w:rPr>
          <w:sz w:val="24"/>
        </w:rPr>
        <w:t>管道沿线地下水保护应坚持</w:t>
      </w:r>
      <w:r>
        <w:rPr>
          <w:sz w:val="24"/>
        </w:rPr>
        <w:t>“</w:t>
      </w:r>
      <w:r>
        <w:rPr>
          <w:sz w:val="24"/>
        </w:rPr>
        <w:t>注重源头控制、强化监控手段、污水集中处理、完善应急响应系统建设</w:t>
      </w:r>
      <w:r>
        <w:rPr>
          <w:sz w:val="24"/>
        </w:rPr>
        <w:t>”</w:t>
      </w:r>
      <w:r>
        <w:rPr>
          <w:sz w:val="24"/>
        </w:rPr>
        <w:t>的原则，其宗旨是采取主动控制，避免泄漏事故发生</w:t>
      </w:r>
    </w:p>
    <w:p w14:paraId="1B3E7CDB" w14:textId="77777777" w:rsidR="007D1E74" w:rsidRDefault="00A95641">
      <w:pPr>
        <w:spacing w:line="360" w:lineRule="auto"/>
        <w:ind w:firstLineChars="200" w:firstLine="480"/>
        <w:rPr>
          <w:sz w:val="24"/>
        </w:rPr>
      </w:pPr>
      <w:r>
        <w:rPr>
          <w:sz w:val="24"/>
        </w:rPr>
        <w:t>（</w:t>
      </w:r>
      <w:r>
        <w:rPr>
          <w:sz w:val="24"/>
        </w:rPr>
        <w:t>1</w:t>
      </w:r>
      <w:r>
        <w:rPr>
          <w:sz w:val="24"/>
        </w:rPr>
        <w:t>）做好</w:t>
      </w:r>
      <w:r>
        <w:rPr>
          <w:sz w:val="24"/>
        </w:rPr>
        <w:t>1#</w:t>
      </w:r>
      <w:r>
        <w:rPr>
          <w:sz w:val="24"/>
        </w:rPr>
        <w:t>阀室采出水罐、重力分离器撬、放空分液储存集成装置间等处的防渗措施。其中，排污罐为金属材料制造，架空在地面上放置，罐体下方除按要求设置防渗措施外，还应在罐体附近设置围堰</w:t>
      </w:r>
      <w:r>
        <w:rPr>
          <w:sz w:val="24"/>
        </w:rPr>
        <w:t>+</w:t>
      </w:r>
      <w:r>
        <w:rPr>
          <w:sz w:val="24"/>
        </w:rPr>
        <w:t>收集槽，出现泄漏情况能及时收集废水至事故池。</w:t>
      </w:r>
    </w:p>
    <w:p w14:paraId="47489DD9" w14:textId="77777777" w:rsidR="007D1E74" w:rsidRDefault="00A95641">
      <w:pPr>
        <w:spacing w:line="360" w:lineRule="auto"/>
        <w:ind w:firstLineChars="200" w:firstLine="480"/>
        <w:rPr>
          <w:sz w:val="24"/>
        </w:rPr>
      </w:pPr>
      <w:r>
        <w:rPr>
          <w:sz w:val="24"/>
        </w:rPr>
        <w:t>（</w:t>
      </w:r>
      <w:r>
        <w:rPr>
          <w:sz w:val="24"/>
        </w:rPr>
        <w:t>2</w:t>
      </w:r>
      <w:r>
        <w:rPr>
          <w:sz w:val="24"/>
        </w:rPr>
        <w:t>）运行期内须注意废水的收集和处理工作，对污水处理装置、排污罐进行定期检查，应杜绝生产和生活废水泄漏现象，防止对周围地下水造成污染。</w:t>
      </w:r>
    </w:p>
    <w:p w14:paraId="47DC61D4" w14:textId="77777777" w:rsidR="007D1E74" w:rsidRDefault="00A95641">
      <w:pPr>
        <w:spacing w:line="360" w:lineRule="auto"/>
        <w:ind w:firstLineChars="200" w:firstLine="480"/>
        <w:rPr>
          <w:sz w:val="24"/>
        </w:rPr>
      </w:pPr>
      <w:r>
        <w:rPr>
          <w:sz w:val="24"/>
        </w:rPr>
        <w:t>（</w:t>
      </w:r>
      <w:r>
        <w:rPr>
          <w:sz w:val="24"/>
        </w:rPr>
        <w:t>3</w:t>
      </w:r>
      <w:r>
        <w:rPr>
          <w:sz w:val="24"/>
        </w:rPr>
        <w:t>）针对应急工作需要，参照相关技术导则，结合地下水污染治理的技术特点，建设单位应编制《突发环境事件应急预案》并向当地生态环境主管部门备案，理清各部门在应急事件的职责，一旦发生地下水污染事故，立即启动应急预案，查明并切断污染源，探明地下水污染程度、范围和污染深度。</w:t>
      </w:r>
    </w:p>
    <w:p w14:paraId="6CA1CD3E" w14:textId="77777777" w:rsidR="007D1E74" w:rsidRDefault="00A95641">
      <w:pPr>
        <w:spacing w:line="360" w:lineRule="auto"/>
        <w:outlineLvl w:val="1"/>
        <w:rPr>
          <w:b/>
          <w:sz w:val="28"/>
          <w:szCs w:val="28"/>
        </w:rPr>
      </w:pPr>
      <w:r>
        <w:rPr>
          <w:b/>
          <w:sz w:val="28"/>
          <w:szCs w:val="28"/>
        </w:rPr>
        <w:t>8.3.4</w:t>
      </w:r>
      <w:r>
        <w:rPr>
          <w:b/>
          <w:sz w:val="28"/>
          <w:szCs w:val="28"/>
        </w:rPr>
        <w:t>运营期噪声污染防治措施</w:t>
      </w:r>
    </w:p>
    <w:p w14:paraId="164BAB74" w14:textId="77777777" w:rsidR="007D1E74" w:rsidRDefault="00A95641">
      <w:pPr>
        <w:spacing w:line="360" w:lineRule="auto"/>
        <w:ind w:firstLineChars="200" w:firstLine="480"/>
        <w:rPr>
          <w:sz w:val="24"/>
        </w:rPr>
      </w:pPr>
      <w:r>
        <w:rPr>
          <w:sz w:val="24"/>
        </w:rPr>
        <w:t>运行期各工艺站场的主要噪声源是各站场的空冷系统、分离器、调压设备、放空系统等，放空系统噪声只有在紧急事故状态下才会产生。针对工程中噪声的来源及运行期噪声预测评价结果，主要采取的降噪措施分析如下：</w:t>
      </w:r>
    </w:p>
    <w:p w14:paraId="6FFD3237" w14:textId="77777777" w:rsidR="007D1E74" w:rsidRDefault="00A95641">
      <w:pPr>
        <w:spacing w:line="360" w:lineRule="auto"/>
        <w:ind w:firstLineChars="200" w:firstLine="480"/>
        <w:rPr>
          <w:sz w:val="24"/>
        </w:rPr>
      </w:pPr>
      <w:r>
        <w:rPr>
          <w:sz w:val="24"/>
        </w:rPr>
        <w:t>（</w:t>
      </w:r>
      <w:r>
        <w:rPr>
          <w:sz w:val="24"/>
        </w:rPr>
        <w:t>1</w:t>
      </w:r>
      <w:r>
        <w:rPr>
          <w:sz w:val="24"/>
        </w:rPr>
        <w:t>）选用低噪声设备，阀室的噪声源采取安装消音设备或隔音等措施；</w:t>
      </w:r>
    </w:p>
    <w:p w14:paraId="5F7C6735" w14:textId="77777777" w:rsidR="007D1E74" w:rsidRDefault="00A95641">
      <w:pPr>
        <w:spacing w:line="360" w:lineRule="auto"/>
        <w:ind w:firstLineChars="200" w:firstLine="480"/>
        <w:rPr>
          <w:sz w:val="24"/>
        </w:rPr>
      </w:pPr>
      <w:r>
        <w:rPr>
          <w:sz w:val="24"/>
        </w:rPr>
        <w:t>（</w:t>
      </w:r>
      <w:r>
        <w:rPr>
          <w:sz w:val="24"/>
        </w:rPr>
        <w:t>2</w:t>
      </w:r>
      <w:r>
        <w:rPr>
          <w:sz w:val="24"/>
        </w:rPr>
        <w:t>）在阀组、管道工艺设计中，尽量减少弯头、三通等管件，在满足工艺的前提下，控制气流速度，降低站场气流噪声。</w:t>
      </w:r>
    </w:p>
    <w:p w14:paraId="42904694" w14:textId="77777777" w:rsidR="007D1E74" w:rsidRDefault="00A95641">
      <w:pPr>
        <w:spacing w:line="360" w:lineRule="auto"/>
        <w:ind w:firstLineChars="200" w:firstLine="480"/>
        <w:rPr>
          <w:sz w:val="24"/>
        </w:rPr>
      </w:pPr>
      <w:r>
        <w:rPr>
          <w:sz w:val="24"/>
        </w:rPr>
        <w:t>在采取了以上措施后，经过噪声预测，噪声对周围声环境的影响是可以接受的。</w:t>
      </w:r>
    </w:p>
    <w:p w14:paraId="33F06BF1" w14:textId="77777777" w:rsidR="007D1E74" w:rsidRDefault="00A95641">
      <w:pPr>
        <w:spacing w:line="360" w:lineRule="auto"/>
        <w:outlineLvl w:val="1"/>
        <w:rPr>
          <w:b/>
          <w:sz w:val="28"/>
          <w:szCs w:val="28"/>
        </w:rPr>
      </w:pPr>
      <w:r>
        <w:rPr>
          <w:b/>
          <w:sz w:val="28"/>
          <w:szCs w:val="28"/>
        </w:rPr>
        <w:t>8.3.5</w:t>
      </w:r>
      <w:r>
        <w:rPr>
          <w:b/>
          <w:sz w:val="28"/>
          <w:szCs w:val="28"/>
        </w:rPr>
        <w:t>运营期</w:t>
      </w:r>
      <w:r>
        <w:rPr>
          <w:rFonts w:hint="eastAsia"/>
          <w:b/>
          <w:sz w:val="28"/>
          <w:szCs w:val="28"/>
        </w:rPr>
        <w:t>固废</w:t>
      </w:r>
      <w:r>
        <w:rPr>
          <w:b/>
          <w:sz w:val="28"/>
          <w:szCs w:val="28"/>
        </w:rPr>
        <w:t>污染防治措施</w:t>
      </w:r>
    </w:p>
    <w:p w14:paraId="2969BDAA" w14:textId="77777777" w:rsidR="007D1E74" w:rsidRDefault="00A95641">
      <w:pPr>
        <w:pStyle w:val="affffff6"/>
        <w:ind w:firstLine="480"/>
        <w:rPr>
          <w:rFonts w:ascii="Times New Roman" w:eastAsia="宋体" w:hAnsi="Times New Roman" w:cs="Times New Roman"/>
          <w:szCs w:val="24"/>
        </w:rPr>
      </w:pPr>
      <w:r>
        <w:rPr>
          <w:rFonts w:ascii="Times New Roman" w:eastAsia="宋体" w:hAnsi="Times New Roman" w:cs="Times New Roman" w:hint="eastAsia"/>
          <w:szCs w:val="24"/>
        </w:rPr>
        <w:t>过滤废渣、清管废渣定期交由环卫部门清运，不会对周围环境造成影响。</w:t>
      </w:r>
    </w:p>
    <w:p w14:paraId="589DF6AD" w14:textId="77777777" w:rsidR="007D1E74" w:rsidRDefault="00A95641">
      <w:pPr>
        <w:spacing w:line="360" w:lineRule="auto"/>
        <w:outlineLvl w:val="1"/>
        <w:rPr>
          <w:b/>
          <w:sz w:val="30"/>
          <w:szCs w:val="30"/>
        </w:rPr>
      </w:pPr>
      <w:bookmarkStart w:id="74" w:name="_Toc6443"/>
      <w:r>
        <w:rPr>
          <w:b/>
          <w:sz w:val="30"/>
          <w:szCs w:val="30"/>
        </w:rPr>
        <w:t>8.4</w:t>
      </w:r>
      <w:r>
        <w:rPr>
          <w:b/>
          <w:sz w:val="30"/>
          <w:szCs w:val="30"/>
        </w:rPr>
        <w:t>环保治理措施与投资</w:t>
      </w:r>
      <w:bookmarkEnd w:id="74"/>
    </w:p>
    <w:p w14:paraId="3F0D3579" w14:textId="77777777" w:rsidR="007D1E74" w:rsidRDefault="00A95641">
      <w:pPr>
        <w:spacing w:line="360" w:lineRule="auto"/>
        <w:ind w:firstLineChars="200" w:firstLine="480"/>
        <w:rPr>
          <w:sz w:val="24"/>
        </w:rPr>
      </w:pPr>
      <w:r>
        <w:rPr>
          <w:sz w:val="24"/>
        </w:rPr>
        <w:lastRenderedPageBreak/>
        <w:t>项目总投资</w:t>
      </w:r>
      <w:r>
        <w:rPr>
          <w:sz w:val="24"/>
        </w:rPr>
        <w:t>13907</w:t>
      </w:r>
      <w:r>
        <w:rPr>
          <w:sz w:val="24"/>
        </w:rPr>
        <w:t>万元，环境保护投资</w:t>
      </w:r>
      <w:r>
        <w:rPr>
          <w:sz w:val="24"/>
        </w:rPr>
        <w:t>352</w:t>
      </w:r>
      <w:r>
        <w:rPr>
          <w:sz w:val="24"/>
        </w:rPr>
        <w:t>万元，占项目总投资的</w:t>
      </w:r>
      <w:r>
        <w:rPr>
          <w:sz w:val="24"/>
        </w:rPr>
        <w:t>2.53%</w:t>
      </w:r>
      <w:r>
        <w:rPr>
          <w:sz w:val="24"/>
        </w:rPr>
        <w:t>，主要用于植被恢复、环境监理、废水处理等措施，可满足项目环境保护及污染防治的需要。项目环境保护措施及投资清单见下表。</w:t>
      </w:r>
    </w:p>
    <w:p w14:paraId="78C928A3" w14:textId="77777777" w:rsidR="007D1E74" w:rsidRDefault="007D1E74">
      <w:pPr>
        <w:pStyle w:val="affffff6"/>
        <w:ind w:firstLine="480"/>
      </w:pPr>
    </w:p>
    <w:p w14:paraId="5828F292" w14:textId="77777777" w:rsidR="007D1E74" w:rsidRDefault="00A95641">
      <w:pPr>
        <w:jc w:val="center"/>
        <w:rPr>
          <w:b/>
        </w:rPr>
      </w:pPr>
      <w:r>
        <w:rPr>
          <w:b/>
        </w:rPr>
        <w:t>表</w:t>
      </w:r>
      <w:r>
        <w:rPr>
          <w:b/>
          <w:spacing w:val="1"/>
        </w:rPr>
        <w:t>8.4-1</w:t>
      </w:r>
      <w:r>
        <w:rPr>
          <w:b/>
        </w:rPr>
        <w:tab/>
      </w:r>
      <w:r>
        <w:rPr>
          <w:b/>
        </w:rPr>
        <w:t>本工程环保投资估算一览表</w:t>
      </w:r>
    </w:p>
    <w:tbl>
      <w:tblPr>
        <w:tblStyle w:val="affffc"/>
        <w:tblW w:w="0" w:type="auto"/>
        <w:tblLook w:val="04A0" w:firstRow="1" w:lastRow="0" w:firstColumn="1" w:lastColumn="0" w:noHBand="0" w:noVBand="1"/>
      </w:tblPr>
      <w:tblGrid>
        <w:gridCol w:w="1055"/>
        <w:gridCol w:w="1685"/>
        <w:gridCol w:w="1067"/>
        <w:gridCol w:w="4393"/>
        <w:gridCol w:w="816"/>
      </w:tblGrid>
      <w:tr w:rsidR="007D1E74" w14:paraId="68496942" w14:textId="77777777">
        <w:trPr>
          <w:trHeight w:val="397"/>
        </w:trPr>
        <w:tc>
          <w:tcPr>
            <w:tcW w:w="1060" w:type="dxa"/>
            <w:vAlign w:val="center"/>
          </w:tcPr>
          <w:p w14:paraId="35EEA088" w14:textId="77777777" w:rsidR="007D1E74" w:rsidRDefault="00A95641">
            <w:pPr>
              <w:jc w:val="center"/>
              <w:rPr>
                <w:b/>
                <w:bCs/>
                <w:szCs w:val="21"/>
              </w:rPr>
            </w:pPr>
            <w:r>
              <w:rPr>
                <w:b/>
                <w:bCs/>
                <w:szCs w:val="21"/>
              </w:rPr>
              <w:t>项目</w:t>
            </w:r>
          </w:p>
        </w:tc>
        <w:tc>
          <w:tcPr>
            <w:tcW w:w="1693" w:type="dxa"/>
            <w:vAlign w:val="center"/>
          </w:tcPr>
          <w:p w14:paraId="1E9164EA" w14:textId="77777777" w:rsidR="007D1E74" w:rsidRDefault="00A95641">
            <w:pPr>
              <w:jc w:val="center"/>
              <w:rPr>
                <w:b/>
                <w:bCs/>
                <w:szCs w:val="21"/>
              </w:rPr>
            </w:pPr>
            <w:r>
              <w:rPr>
                <w:b/>
                <w:bCs/>
                <w:szCs w:val="21"/>
              </w:rPr>
              <w:t>措施类型</w:t>
            </w:r>
          </w:p>
        </w:tc>
        <w:tc>
          <w:tcPr>
            <w:tcW w:w="1070" w:type="dxa"/>
            <w:vAlign w:val="center"/>
          </w:tcPr>
          <w:p w14:paraId="4AD920E0" w14:textId="77777777" w:rsidR="007D1E74" w:rsidRDefault="00A95641">
            <w:pPr>
              <w:jc w:val="center"/>
              <w:rPr>
                <w:b/>
                <w:bCs/>
                <w:szCs w:val="21"/>
              </w:rPr>
            </w:pPr>
            <w:r>
              <w:rPr>
                <w:b/>
                <w:bCs/>
                <w:szCs w:val="21"/>
              </w:rPr>
              <w:t>投资</w:t>
            </w:r>
          </w:p>
          <w:p w14:paraId="06CF103D" w14:textId="77777777" w:rsidR="007D1E74" w:rsidRDefault="00A95641">
            <w:pPr>
              <w:jc w:val="center"/>
              <w:rPr>
                <w:b/>
                <w:bCs/>
                <w:szCs w:val="21"/>
              </w:rPr>
            </w:pPr>
            <w:r>
              <w:rPr>
                <w:b/>
                <w:bCs/>
                <w:szCs w:val="21"/>
              </w:rPr>
              <w:t>（万元）</w:t>
            </w:r>
          </w:p>
        </w:tc>
        <w:tc>
          <w:tcPr>
            <w:tcW w:w="4418" w:type="dxa"/>
            <w:vAlign w:val="center"/>
          </w:tcPr>
          <w:p w14:paraId="50AEA5FD" w14:textId="77777777" w:rsidR="007D1E74" w:rsidRDefault="00A95641">
            <w:pPr>
              <w:jc w:val="center"/>
              <w:rPr>
                <w:b/>
                <w:bCs/>
                <w:szCs w:val="21"/>
              </w:rPr>
            </w:pPr>
            <w:r>
              <w:rPr>
                <w:b/>
                <w:bCs/>
                <w:szCs w:val="21"/>
              </w:rPr>
              <w:t>说明</w:t>
            </w:r>
          </w:p>
        </w:tc>
        <w:tc>
          <w:tcPr>
            <w:tcW w:w="819" w:type="dxa"/>
            <w:vAlign w:val="center"/>
          </w:tcPr>
          <w:p w14:paraId="5722ACBB" w14:textId="77777777" w:rsidR="007D1E74" w:rsidRDefault="00A95641">
            <w:pPr>
              <w:jc w:val="center"/>
              <w:rPr>
                <w:b/>
                <w:bCs/>
                <w:szCs w:val="21"/>
              </w:rPr>
            </w:pPr>
            <w:r>
              <w:rPr>
                <w:b/>
                <w:bCs/>
                <w:szCs w:val="21"/>
              </w:rPr>
              <w:t>备注</w:t>
            </w:r>
          </w:p>
        </w:tc>
      </w:tr>
      <w:tr w:rsidR="007D1E74" w14:paraId="5992CEB2" w14:textId="77777777">
        <w:trPr>
          <w:trHeight w:val="397"/>
        </w:trPr>
        <w:tc>
          <w:tcPr>
            <w:tcW w:w="1060" w:type="dxa"/>
            <w:vMerge w:val="restart"/>
            <w:vAlign w:val="center"/>
          </w:tcPr>
          <w:p w14:paraId="6357F552" w14:textId="77777777" w:rsidR="007D1E74" w:rsidRDefault="00A95641">
            <w:pPr>
              <w:jc w:val="center"/>
              <w:rPr>
                <w:szCs w:val="21"/>
              </w:rPr>
            </w:pPr>
            <w:r>
              <w:rPr>
                <w:szCs w:val="21"/>
              </w:rPr>
              <w:t>生态保护措施</w:t>
            </w:r>
          </w:p>
        </w:tc>
        <w:tc>
          <w:tcPr>
            <w:tcW w:w="1693" w:type="dxa"/>
            <w:vAlign w:val="center"/>
          </w:tcPr>
          <w:p w14:paraId="406B3DA8" w14:textId="77777777" w:rsidR="007D1E74" w:rsidRDefault="00A95641">
            <w:pPr>
              <w:jc w:val="center"/>
              <w:rPr>
                <w:szCs w:val="21"/>
              </w:rPr>
            </w:pPr>
            <w:r>
              <w:rPr>
                <w:szCs w:val="21"/>
              </w:rPr>
              <w:t>生态保护工程</w:t>
            </w:r>
          </w:p>
          <w:p w14:paraId="6D291AF6" w14:textId="77777777" w:rsidR="007D1E74" w:rsidRDefault="00A95641">
            <w:pPr>
              <w:jc w:val="center"/>
              <w:rPr>
                <w:szCs w:val="21"/>
              </w:rPr>
            </w:pPr>
            <w:r>
              <w:rPr>
                <w:szCs w:val="21"/>
              </w:rPr>
              <w:t>措施</w:t>
            </w:r>
          </w:p>
        </w:tc>
        <w:tc>
          <w:tcPr>
            <w:tcW w:w="1070" w:type="dxa"/>
            <w:vAlign w:val="center"/>
          </w:tcPr>
          <w:p w14:paraId="5CFC53C4" w14:textId="77777777" w:rsidR="007D1E74" w:rsidRDefault="00A95641">
            <w:pPr>
              <w:jc w:val="center"/>
              <w:rPr>
                <w:szCs w:val="21"/>
              </w:rPr>
            </w:pPr>
            <w:r>
              <w:rPr>
                <w:szCs w:val="21"/>
              </w:rPr>
              <w:t>150</w:t>
            </w:r>
          </w:p>
        </w:tc>
        <w:tc>
          <w:tcPr>
            <w:tcW w:w="4418" w:type="dxa"/>
            <w:vAlign w:val="center"/>
          </w:tcPr>
          <w:p w14:paraId="57265E8B" w14:textId="77777777" w:rsidR="007D1E74" w:rsidRDefault="00A95641">
            <w:pPr>
              <w:rPr>
                <w:szCs w:val="21"/>
              </w:rPr>
            </w:pPr>
            <w:r>
              <w:rPr>
                <w:szCs w:val="21"/>
              </w:rPr>
              <w:t>用于施工期管道区域、临时材料堆场等临时占地的剥离表土、土地整治、复耕等，以及用于、挡墙建设、安装排水沟等建设</w:t>
            </w:r>
          </w:p>
        </w:tc>
        <w:tc>
          <w:tcPr>
            <w:tcW w:w="819" w:type="dxa"/>
            <w:vAlign w:val="center"/>
          </w:tcPr>
          <w:p w14:paraId="7605DA40" w14:textId="77777777" w:rsidR="007D1E74" w:rsidRDefault="00A95641">
            <w:pPr>
              <w:jc w:val="center"/>
              <w:rPr>
                <w:szCs w:val="21"/>
              </w:rPr>
            </w:pPr>
            <w:r>
              <w:rPr>
                <w:szCs w:val="21"/>
              </w:rPr>
              <w:t>计入主体</w:t>
            </w:r>
          </w:p>
        </w:tc>
      </w:tr>
      <w:tr w:rsidR="007D1E74" w14:paraId="4E866890" w14:textId="77777777">
        <w:trPr>
          <w:trHeight w:val="397"/>
        </w:trPr>
        <w:tc>
          <w:tcPr>
            <w:tcW w:w="1060" w:type="dxa"/>
            <w:vMerge/>
            <w:vAlign w:val="center"/>
          </w:tcPr>
          <w:p w14:paraId="70106FD5" w14:textId="77777777" w:rsidR="007D1E74" w:rsidRDefault="007D1E74">
            <w:pPr>
              <w:jc w:val="center"/>
              <w:rPr>
                <w:szCs w:val="21"/>
              </w:rPr>
            </w:pPr>
          </w:p>
        </w:tc>
        <w:tc>
          <w:tcPr>
            <w:tcW w:w="1693" w:type="dxa"/>
            <w:vAlign w:val="center"/>
          </w:tcPr>
          <w:p w14:paraId="419F312B" w14:textId="77777777" w:rsidR="007D1E74" w:rsidRDefault="00A95641">
            <w:pPr>
              <w:jc w:val="center"/>
              <w:rPr>
                <w:szCs w:val="21"/>
              </w:rPr>
            </w:pPr>
            <w:r>
              <w:rPr>
                <w:szCs w:val="21"/>
              </w:rPr>
              <w:t>生态保护植物</w:t>
            </w:r>
          </w:p>
          <w:p w14:paraId="132E22F4" w14:textId="77777777" w:rsidR="007D1E74" w:rsidRDefault="00A95641">
            <w:pPr>
              <w:jc w:val="center"/>
              <w:rPr>
                <w:szCs w:val="21"/>
              </w:rPr>
            </w:pPr>
            <w:r>
              <w:rPr>
                <w:szCs w:val="21"/>
              </w:rPr>
              <w:t>措施</w:t>
            </w:r>
          </w:p>
        </w:tc>
        <w:tc>
          <w:tcPr>
            <w:tcW w:w="1070" w:type="dxa"/>
            <w:vAlign w:val="center"/>
          </w:tcPr>
          <w:p w14:paraId="6BFFA66E" w14:textId="77777777" w:rsidR="007D1E74" w:rsidRDefault="00A95641">
            <w:pPr>
              <w:jc w:val="center"/>
              <w:rPr>
                <w:szCs w:val="21"/>
              </w:rPr>
            </w:pPr>
            <w:r>
              <w:rPr>
                <w:szCs w:val="21"/>
              </w:rPr>
              <w:t>25</w:t>
            </w:r>
          </w:p>
        </w:tc>
        <w:tc>
          <w:tcPr>
            <w:tcW w:w="4418" w:type="dxa"/>
            <w:vAlign w:val="center"/>
          </w:tcPr>
          <w:p w14:paraId="49A0C837" w14:textId="77777777" w:rsidR="007D1E74" w:rsidRDefault="00A95641">
            <w:pPr>
              <w:jc w:val="center"/>
              <w:rPr>
                <w:szCs w:val="21"/>
              </w:rPr>
            </w:pPr>
            <w:r>
              <w:rPr>
                <w:szCs w:val="21"/>
              </w:rPr>
              <w:t>管道沿线植被恢复、绿化等植物措施</w:t>
            </w:r>
          </w:p>
        </w:tc>
        <w:tc>
          <w:tcPr>
            <w:tcW w:w="819" w:type="dxa"/>
            <w:vAlign w:val="center"/>
          </w:tcPr>
          <w:p w14:paraId="382DC25E" w14:textId="77777777" w:rsidR="007D1E74" w:rsidRDefault="007D1E74">
            <w:pPr>
              <w:jc w:val="center"/>
              <w:rPr>
                <w:szCs w:val="21"/>
              </w:rPr>
            </w:pPr>
          </w:p>
        </w:tc>
      </w:tr>
      <w:tr w:rsidR="007D1E74" w14:paraId="16F7AF05" w14:textId="77777777">
        <w:trPr>
          <w:trHeight w:val="397"/>
        </w:trPr>
        <w:tc>
          <w:tcPr>
            <w:tcW w:w="1060" w:type="dxa"/>
            <w:vMerge/>
            <w:vAlign w:val="center"/>
          </w:tcPr>
          <w:p w14:paraId="1566430B" w14:textId="77777777" w:rsidR="007D1E74" w:rsidRDefault="007D1E74">
            <w:pPr>
              <w:jc w:val="center"/>
              <w:rPr>
                <w:szCs w:val="21"/>
              </w:rPr>
            </w:pPr>
          </w:p>
        </w:tc>
        <w:tc>
          <w:tcPr>
            <w:tcW w:w="1693" w:type="dxa"/>
            <w:vAlign w:val="center"/>
          </w:tcPr>
          <w:p w14:paraId="0F26B199" w14:textId="77777777" w:rsidR="007D1E74" w:rsidRDefault="00A95641">
            <w:pPr>
              <w:jc w:val="center"/>
              <w:rPr>
                <w:szCs w:val="21"/>
              </w:rPr>
            </w:pPr>
            <w:r>
              <w:rPr>
                <w:szCs w:val="21"/>
              </w:rPr>
              <w:t>水土保持措施</w:t>
            </w:r>
          </w:p>
        </w:tc>
        <w:tc>
          <w:tcPr>
            <w:tcW w:w="1070" w:type="dxa"/>
            <w:vAlign w:val="center"/>
          </w:tcPr>
          <w:p w14:paraId="5A7801B0" w14:textId="77777777" w:rsidR="007D1E74" w:rsidRDefault="00A95641">
            <w:pPr>
              <w:jc w:val="center"/>
              <w:rPr>
                <w:szCs w:val="21"/>
              </w:rPr>
            </w:pPr>
            <w:r>
              <w:rPr>
                <w:szCs w:val="21"/>
              </w:rPr>
              <w:t>/</w:t>
            </w:r>
          </w:p>
        </w:tc>
        <w:tc>
          <w:tcPr>
            <w:tcW w:w="4418" w:type="dxa"/>
            <w:vAlign w:val="center"/>
          </w:tcPr>
          <w:p w14:paraId="48E5A53D" w14:textId="77777777" w:rsidR="007D1E74" w:rsidRDefault="00A95641">
            <w:pPr>
              <w:jc w:val="center"/>
              <w:rPr>
                <w:szCs w:val="21"/>
              </w:rPr>
            </w:pPr>
            <w:r>
              <w:rPr>
                <w:szCs w:val="21"/>
              </w:rPr>
              <w:t>设置土质排水沟、临时沉砂凼、土袋挡土墙等措施</w:t>
            </w:r>
          </w:p>
        </w:tc>
        <w:tc>
          <w:tcPr>
            <w:tcW w:w="819" w:type="dxa"/>
            <w:vAlign w:val="center"/>
          </w:tcPr>
          <w:p w14:paraId="2D00E902" w14:textId="77777777" w:rsidR="007D1E74" w:rsidRDefault="00A95641">
            <w:pPr>
              <w:jc w:val="center"/>
              <w:rPr>
                <w:szCs w:val="21"/>
              </w:rPr>
            </w:pPr>
            <w:r>
              <w:rPr>
                <w:szCs w:val="21"/>
              </w:rPr>
              <w:t>计入主体</w:t>
            </w:r>
          </w:p>
        </w:tc>
      </w:tr>
      <w:tr w:rsidR="007D1E74" w14:paraId="5FDEBE8E" w14:textId="77777777">
        <w:trPr>
          <w:trHeight w:val="397"/>
        </w:trPr>
        <w:tc>
          <w:tcPr>
            <w:tcW w:w="1060" w:type="dxa"/>
            <w:vMerge w:val="restart"/>
            <w:vAlign w:val="center"/>
          </w:tcPr>
          <w:p w14:paraId="37021C9F" w14:textId="77777777" w:rsidR="007D1E74" w:rsidRDefault="00A95641">
            <w:pPr>
              <w:jc w:val="center"/>
              <w:rPr>
                <w:szCs w:val="21"/>
              </w:rPr>
            </w:pPr>
            <w:r>
              <w:rPr>
                <w:szCs w:val="21"/>
              </w:rPr>
              <w:t>大气保护措施</w:t>
            </w:r>
          </w:p>
        </w:tc>
        <w:tc>
          <w:tcPr>
            <w:tcW w:w="1693" w:type="dxa"/>
            <w:vAlign w:val="center"/>
          </w:tcPr>
          <w:p w14:paraId="6710D660" w14:textId="77777777" w:rsidR="007D1E74" w:rsidRDefault="00A95641">
            <w:pPr>
              <w:jc w:val="center"/>
              <w:rPr>
                <w:szCs w:val="21"/>
              </w:rPr>
            </w:pPr>
            <w:r>
              <w:rPr>
                <w:szCs w:val="21"/>
              </w:rPr>
              <w:t>扬尘防护措施</w:t>
            </w:r>
          </w:p>
        </w:tc>
        <w:tc>
          <w:tcPr>
            <w:tcW w:w="1070" w:type="dxa"/>
            <w:vAlign w:val="center"/>
          </w:tcPr>
          <w:p w14:paraId="0BFD202F" w14:textId="77777777" w:rsidR="007D1E74" w:rsidRDefault="00A95641">
            <w:pPr>
              <w:jc w:val="center"/>
              <w:rPr>
                <w:szCs w:val="21"/>
              </w:rPr>
            </w:pPr>
            <w:r>
              <w:rPr>
                <w:szCs w:val="21"/>
              </w:rPr>
              <w:t>28</w:t>
            </w:r>
          </w:p>
        </w:tc>
        <w:tc>
          <w:tcPr>
            <w:tcW w:w="4418" w:type="dxa"/>
            <w:vAlign w:val="center"/>
          </w:tcPr>
          <w:p w14:paraId="08C84F7E" w14:textId="77777777" w:rsidR="007D1E74" w:rsidRDefault="00A95641">
            <w:pPr>
              <w:rPr>
                <w:szCs w:val="21"/>
              </w:rPr>
            </w:pPr>
            <w:r>
              <w:rPr>
                <w:szCs w:val="21"/>
              </w:rPr>
              <w:t>施工期购置洒水设备进行洒水作业，对临时堆放表土采用防雨布覆盖；进行道面清扫，对轮胎进行清洗；用于施工期间物料运输车辆的覆盖，粉料采用粉料车运输，防止物料散落和灰尘飘散</w:t>
            </w:r>
          </w:p>
        </w:tc>
        <w:tc>
          <w:tcPr>
            <w:tcW w:w="819" w:type="dxa"/>
            <w:vAlign w:val="center"/>
          </w:tcPr>
          <w:p w14:paraId="079E52E5" w14:textId="77777777" w:rsidR="007D1E74" w:rsidRDefault="00A95641">
            <w:pPr>
              <w:jc w:val="center"/>
              <w:rPr>
                <w:szCs w:val="21"/>
              </w:rPr>
            </w:pPr>
            <w:r>
              <w:rPr>
                <w:szCs w:val="21"/>
              </w:rPr>
              <w:t>/</w:t>
            </w:r>
          </w:p>
        </w:tc>
      </w:tr>
      <w:tr w:rsidR="007D1E74" w14:paraId="5B826624" w14:textId="77777777">
        <w:trPr>
          <w:trHeight w:val="397"/>
        </w:trPr>
        <w:tc>
          <w:tcPr>
            <w:tcW w:w="1060" w:type="dxa"/>
            <w:vMerge/>
            <w:vAlign w:val="center"/>
          </w:tcPr>
          <w:p w14:paraId="7F414398" w14:textId="77777777" w:rsidR="007D1E74" w:rsidRDefault="007D1E74">
            <w:pPr>
              <w:jc w:val="center"/>
              <w:rPr>
                <w:szCs w:val="21"/>
              </w:rPr>
            </w:pPr>
          </w:p>
        </w:tc>
        <w:tc>
          <w:tcPr>
            <w:tcW w:w="1693" w:type="dxa"/>
            <w:vAlign w:val="center"/>
          </w:tcPr>
          <w:p w14:paraId="05CB21A6" w14:textId="77777777" w:rsidR="007D1E74" w:rsidRDefault="00A95641">
            <w:pPr>
              <w:jc w:val="center"/>
              <w:rPr>
                <w:szCs w:val="21"/>
              </w:rPr>
            </w:pPr>
            <w:r>
              <w:rPr>
                <w:szCs w:val="21"/>
              </w:rPr>
              <w:t>放空废气</w:t>
            </w:r>
          </w:p>
        </w:tc>
        <w:tc>
          <w:tcPr>
            <w:tcW w:w="1070" w:type="dxa"/>
            <w:vAlign w:val="center"/>
          </w:tcPr>
          <w:p w14:paraId="5CD6817E" w14:textId="77777777" w:rsidR="007D1E74" w:rsidRDefault="00A95641">
            <w:pPr>
              <w:jc w:val="center"/>
              <w:rPr>
                <w:szCs w:val="21"/>
              </w:rPr>
            </w:pPr>
            <w:r>
              <w:rPr>
                <w:szCs w:val="21"/>
              </w:rPr>
              <w:t>6</w:t>
            </w:r>
          </w:p>
        </w:tc>
        <w:tc>
          <w:tcPr>
            <w:tcW w:w="4418" w:type="dxa"/>
            <w:vAlign w:val="center"/>
          </w:tcPr>
          <w:p w14:paraId="2C32B4B6" w14:textId="77777777" w:rsidR="007D1E74" w:rsidRDefault="00A95641">
            <w:pPr>
              <w:jc w:val="center"/>
              <w:rPr>
                <w:szCs w:val="21"/>
              </w:rPr>
            </w:pPr>
            <w:r>
              <w:rPr>
                <w:szCs w:val="21"/>
              </w:rPr>
              <w:t>通过放空立管（</w:t>
            </w:r>
            <w:r>
              <w:rPr>
                <w:szCs w:val="21"/>
              </w:rPr>
              <w:t>15m</w:t>
            </w:r>
            <w:r>
              <w:rPr>
                <w:szCs w:val="21"/>
              </w:rPr>
              <w:t>）排放</w:t>
            </w:r>
          </w:p>
        </w:tc>
        <w:tc>
          <w:tcPr>
            <w:tcW w:w="819" w:type="dxa"/>
            <w:vAlign w:val="center"/>
          </w:tcPr>
          <w:p w14:paraId="304B8036" w14:textId="77777777" w:rsidR="007D1E74" w:rsidRDefault="00A95641">
            <w:pPr>
              <w:jc w:val="center"/>
              <w:rPr>
                <w:szCs w:val="21"/>
              </w:rPr>
            </w:pPr>
            <w:r>
              <w:rPr>
                <w:szCs w:val="21"/>
              </w:rPr>
              <w:t>/</w:t>
            </w:r>
          </w:p>
        </w:tc>
      </w:tr>
      <w:tr w:rsidR="007D1E74" w14:paraId="2C4AD55A" w14:textId="77777777">
        <w:trPr>
          <w:trHeight w:val="397"/>
        </w:trPr>
        <w:tc>
          <w:tcPr>
            <w:tcW w:w="1060" w:type="dxa"/>
            <w:vMerge w:val="restart"/>
            <w:vAlign w:val="center"/>
          </w:tcPr>
          <w:p w14:paraId="34955AB4" w14:textId="77777777" w:rsidR="007D1E74" w:rsidRDefault="00A95641">
            <w:pPr>
              <w:jc w:val="center"/>
              <w:rPr>
                <w:szCs w:val="21"/>
              </w:rPr>
            </w:pPr>
            <w:r>
              <w:rPr>
                <w:szCs w:val="21"/>
              </w:rPr>
              <w:t>水环境保护措施</w:t>
            </w:r>
          </w:p>
        </w:tc>
        <w:tc>
          <w:tcPr>
            <w:tcW w:w="1693" w:type="dxa"/>
            <w:vAlign w:val="center"/>
          </w:tcPr>
          <w:p w14:paraId="60C58D3F" w14:textId="77777777" w:rsidR="007D1E74" w:rsidRDefault="00A95641">
            <w:pPr>
              <w:jc w:val="center"/>
              <w:rPr>
                <w:szCs w:val="21"/>
              </w:rPr>
            </w:pPr>
            <w:r>
              <w:rPr>
                <w:szCs w:val="21"/>
              </w:rPr>
              <w:t>试压废水</w:t>
            </w:r>
          </w:p>
        </w:tc>
        <w:tc>
          <w:tcPr>
            <w:tcW w:w="1070" w:type="dxa"/>
            <w:vAlign w:val="center"/>
          </w:tcPr>
          <w:p w14:paraId="15C88C45" w14:textId="77777777" w:rsidR="007D1E74" w:rsidRDefault="00A95641">
            <w:pPr>
              <w:jc w:val="center"/>
              <w:rPr>
                <w:szCs w:val="21"/>
              </w:rPr>
            </w:pPr>
            <w:r>
              <w:rPr>
                <w:szCs w:val="21"/>
              </w:rPr>
              <w:t>4</w:t>
            </w:r>
          </w:p>
        </w:tc>
        <w:tc>
          <w:tcPr>
            <w:tcW w:w="4418" w:type="dxa"/>
            <w:vAlign w:val="center"/>
          </w:tcPr>
          <w:p w14:paraId="49B9F980" w14:textId="77777777" w:rsidR="007D1E74" w:rsidRDefault="00A95641">
            <w:pPr>
              <w:jc w:val="center"/>
              <w:rPr>
                <w:szCs w:val="21"/>
              </w:rPr>
            </w:pPr>
            <w:r>
              <w:rPr>
                <w:szCs w:val="21"/>
              </w:rPr>
              <w:t>转运至污水处理站</w:t>
            </w:r>
          </w:p>
        </w:tc>
        <w:tc>
          <w:tcPr>
            <w:tcW w:w="819" w:type="dxa"/>
            <w:vAlign w:val="center"/>
          </w:tcPr>
          <w:p w14:paraId="7EA57372" w14:textId="77777777" w:rsidR="007D1E74" w:rsidRDefault="00A95641">
            <w:pPr>
              <w:jc w:val="center"/>
              <w:rPr>
                <w:szCs w:val="21"/>
              </w:rPr>
            </w:pPr>
            <w:r>
              <w:rPr>
                <w:szCs w:val="21"/>
              </w:rPr>
              <w:t>/</w:t>
            </w:r>
          </w:p>
        </w:tc>
      </w:tr>
      <w:tr w:rsidR="007D1E74" w14:paraId="4668AA81" w14:textId="77777777">
        <w:trPr>
          <w:trHeight w:val="397"/>
        </w:trPr>
        <w:tc>
          <w:tcPr>
            <w:tcW w:w="1060" w:type="dxa"/>
            <w:vMerge/>
            <w:vAlign w:val="center"/>
          </w:tcPr>
          <w:p w14:paraId="4DE797C4" w14:textId="77777777" w:rsidR="007D1E74" w:rsidRDefault="007D1E74">
            <w:pPr>
              <w:jc w:val="center"/>
              <w:rPr>
                <w:szCs w:val="21"/>
              </w:rPr>
            </w:pPr>
          </w:p>
        </w:tc>
        <w:tc>
          <w:tcPr>
            <w:tcW w:w="1693" w:type="dxa"/>
            <w:vAlign w:val="center"/>
          </w:tcPr>
          <w:p w14:paraId="48B60B46" w14:textId="77777777" w:rsidR="007D1E74" w:rsidRDefault="00A95641">
            <w:pPr>
              <w:jc w:val="center"/>
              <w:rPr>
                <w:szCs w:val="21"/>
              </w:rPr>
            </w:pPr>
            <w:r>
              <w:rPr>
                <w:szCs w:val="21"/>
              </w:rPr>
              <w:t>临时隔油沉淀池</w:t>
            </w:r>
          </w:p>
        </w:tc>
        <w:tc>
          <w:tcPr>
            <w:tcW w:w="1070" w:type="dxa"/>
            <w:vAlign w:val="center"/>
          </w:tcPr>
          <w:p w14:paraId="0ADB6ACD" w14:textId="77777777" w:rsidR="007D1E74" w:rsidRDefault="00A95641">
            <w:pPr>
              <w:jc w:val="center"/>
              <w:rPr>
                <w:szCs w:val="21"/>
              </w:rPr>
            </w:pPr>
            <w:r>
              <w:rPr>
                <w:szCs w:val="21"/>
              </w:rPr>
              <w:t>9</w:t>
            </w:r>
          </w:p>
        </w:tc>
        <w:tc>
          <w:tcPr>
            <w:tcW w:w="4418" w:type="dxa"/>
            <w:vAlign w:val="center"/>
          </w:tcPr>
          <w:p w14:paraId="1E9D034E" w14:textId="77777777" w:rsidR="007D1E74" w:rsidRDefault="00A95641">
            <w:pPr>
              <w:jc w:val="center"/>
              <w:rPr>
                <w:szCs w:val="21"/>
              </w:rPr>
            </w:pPr>
            <w:r>
              <w:rPr>
                <w:szCs w:val="21"/>
              </w:rPr>
              <w:t>生产废水隔油沉淀处理</w:t>
            </w:r>
          </w:p>
        </w:tc>
        <w:tc>
          <w:tcPr>
            <w:tcW w:w="819" w:type="dxa"/>
            <w:vAlign w:val="center"/>
          </w:tcPr>
          <w:p w14:paraId="08949018" w14:textId="77777777" w:rsidR="007D1E74" w:rsidRDefault="007D1E74">
            <w:pPr>
              <w:jc w:val="center"/>
              <w:rPr>
                <w:szCs w:val="21"/>
              </w:rPr>
            </w:pPr>
          </w:p>
        </w:tc>
      </w:tr>
      <w:tr w:rsidR="007D1E74" w14:paraId="5D6E0672" w14:textId="77777777">
        <w:trPr>
          <w:trHeight w:val="397"/>
        </w:trPr>
        <w:tc>
          <w:tcPr>
            <w:tcW w:w="1060" w:type="dxa"/>
            <w:vMerge/>
            <w:vAlign w:val="center"/>
          </w:tcPr>
          <w:p w14:paraId="38620323" w14:textId="77777777" w:rsidR="007D1E74" w:rsidRDefault="007D1E74">
            <w:pPr>
              <w:jc w:val="center"/>
              <w:rPr>
                <w:szCs w:val="21"/>
              </w:rPr>
            </w:pPr>
          </w:p>
        </w:tc>
        <w:tc>
          <w:tcPr>
            <w:tcW w:w="1693" w:type="dxa"/>
            <w:vAlign w:val="center"/>
          </w:tcPr>
          <w:p w14:paraId="231F1B40" w14:textId="77777777" w:rsidR="007D1E74" w:rsidRDefault="00A95641">
            <w:pPr>
              <w:jc w:val="center"/>
              <w:rPr>
                <w:szCs w:val="21"/>
              </w:rPr>
            </w:pPr>
            <w:r>
              <w:rPr>
                <w:szCs w:val="21"/>
              </w:rPr>
              <w:t>泥浆池</w:t>
            </w:r>
          </w:p>
        </w:tc>
        <w:tc>
          <w:tcPr>
            <w:tcW w:w="1070" w:type="dxa"/>
            <w:vAlign w:val="center"/>
          </w:tcPr>
          <w:p w14:paraId="7B652F4D" w14:textId="77777777" w:rsidR="007D1E74" w:rsidRDefault="00A95641">
            <w:pPr>
              <w:jc w:val="center"/>
              <w:rPr>
                <w:szCs w:val="21"/>
              </w:rPr>
            </w:pPr>
            <w:r>
              <w:rPr>
                <w:szCs w:val="21"/>
              </w:rPr>
              <w:t>10</w:t>
            </w:r>
          </w:p>
        </w:tc>
        <w:tc>
          <w:tcPr>
            <w:tcW w:w="4418" w:type="dxa"/>
            <w:vAlign w:val="center"/>
          </w:tcPr>
          <w:p w14:paraId="73D4A0FE" w14:textId="77777777" w:rsidR="007D1E74" w:rsidRDefault="00A95641">
            <w:pPr>
              <w:jc w:val="center"/>
              <w:rPr>
                <w:szCs w:val="21"/>
              </w:rPr>
            </w:pPr>
            <w:r>
              <w:rPr>
                <w:szCs w:val="21"/>
              </w:rPr>
              <w:t>定向钻泥浆回用</w:t>
            </w:r>
          </w:p>
        </w:tc>
        <w:tc>
          <w:tcPr>
            <w:tcW w:w="819" w:type="dxa"/>
            <w:vAlign w:val="center"/>
          </w:tcPr>
          <w:p w14:paraId="3F313293" w14:textId="77777777" w:rsidR="007D1E74" w:rsidRDefault="007D1E74">
            <w:pPr>
              <w:jc w:val="center"/>
              <w:rPr>
                <w:szCs w:val="21"/>
              </w:rPr>
            </w:pPr>
          </w:p>
        </w:tc>
      </w:tr>
      <w:tr w:rsidR="007D1E74" w14:paraId="2EBD5749" w14:textId="77777777">
        <w:trPr>
          <w:trHeight w:val="397"/>
        </w:trPr>
        <w:tc>
          <w:tcPr>
            <w:tcW w:w="1060" w:type="dxa"/>
            <w:vMerge/>
            <w:vAlign w:val="center"/>
          </w:tcPr>
          <w:p w14:paraId="60FA2378" w14:textId="77777777" w:rsidR="007D1E74" w:rsidRDefault="007D1E74">
            <w:pPr>
              <w:jc w:val="center"/>
              <w:rPr>
                <w:szCs w:val="21"/>
              </w:rPr>
            </w:pPr>
          </w:p>
        </w:tc>
        <w:tc>
          <w:tcPr>
            <w:tcW w:w="1693" w:type="dxa"/>
            <w:vAlign w:val="center"/>
          </w:tcPr>
          <w:p w14:paraId="772FAD8C" w14:textId="77777777" w:rsidR="007D1E74" w:rsidRDefault="00A95641">
            <w:pPr>
              <w:jc w:val="center"/>
              <w:rPr>
                <w:szCs w:val="21"/>
              </w:rPr>
            </w:pPr>
            <w:r>
              <w:rPr>
                <w:szCs w:val="21"/>
              </w:rPr>
              <w:t>泥浆循环池</w:t>
            </w:r>
          </w:p>
        </w:tc>
        <w:tc>
          <w:tcPr>
            <w:tcW w:w="1070" w:type="dxa"/>
            <w:vAlign w:val="center"/>
          </w:tcPr>
          <w:p w14:paraId="7B21D6D5" w14:textId="77777777" w:rsidR="007D1E74" w:rsidRDefault="00A95641">
            <w:pPr>
              <w:jc w:val="center"/>
              <w:rPr>
                <w:szCs w:val="21"/>
              </w:rPr>
            </w:pPr>
            <w:r>
              <w:rPr>
                <w:szCs w:val="21"/>
              </w:rPr>
              <w:t>10</w:t>
            </w:r>
          </w:p>
        </w:tc>
        <w:tc>
          <w:tcPr>
            <w:tcW w:w="4418" w:type="dxa"/>
            <w:vAlign w:val="center"/>
          </w:tcPr>
          <w:p w14:paraId="5C3B96B3" w14:textId="77777777" w:rsidR="007D1E74" w:rsidRDefault="00A95641">
            <w:pPr>
              <w:jc w:val="center"/>
              <w:rPr>
                <w:szCs w:val="21"/>
              </w:rPr>
            </w:pPr>
            <w:r>
              <w:rPr>
                <w:szCs w:val="21"/>
              </w:rPr>
              <w:t>定向钻泥浆回用</w:t>
            </w:r>
          </w:p>
        </w:tc>
        <w:tc>
          <w:tcPr>
            <w:tcW w:w="819" w:type="dxa"/>
            <w:vAlign w:val="center"/>
          </w:tcPr>
          <w:p w14:paraId="75112B76" w14:textId="77777777" w:rsidR="007D1E74" w:rsidRDefault="007D1E74">
            <w:pPr>
              <w:jc w:val="center"/>
              <w:rPr>
                <w:szCs w:val="21"/>
              </w:rPr>
            </w:pPr>
          </w:p>
        </w:tc>
      </w:tr>
      <w:tr w:rsidR="007D1E74" w14:paraId="26DD20D1" w14:textId="77777777">
        <w:trPr>
          <w:trHeight w:val="397"/>
        </w:trPr>
        <w:tc>
          <w:tcPr>
            <w:tcW w:w="1060" w:type="dxa"/>
            <w:vMerge/>
            <w:vAlign w:val="center"/>
          </w:tcPr>
          <w:p w14:paraId="30CA6A74" w14:textId="77777777" w:rsidR="007D1E74" w:rsidRDefault="007D1E74">
            <w:pPr>
              <w:jc w:val="center"/>
              <w:rPr>
                <w:szCs w:val="21"/>
              </w:rPr>
            </w:pPr>
          </w:p>
        </w:tc>
        <w:tc>
          <w:tcPr>
            <w:tcW w:w="1693" w:type="dxa"/>
            <w:vAlign w:val="center"/>
          </w:tcPr>
          <w:p w14:paraId="6062C34C" w14:textId="77777777" w:rsidR="007D1E74" w:rsidRDefault="00A95641">
            <w:pPr>
              <w:jc w:val="center"/>
              <w:rPr>
                <w:szCs w:val="21"/>
              </w:rPr>
            </w:pPr>
            <w:r>
              <w:rPr>
                <w:szCs w:val="21"/>
              </w:rPr>
              <w:t>生活废水处理</w:t>
            </w:r>
          </w:p>
        </w:tc>
        <w:tc>
          <w:tcPr>
            <w:tcW w:w="1070" w:type="dxa"/>
            <w:vAlign w:val="center"/>
          </w:tcPr>
          <w:p w14:paraId="47EB2EAC" w14:textId="77777777" w:rsidR="007D1E74" w:rsidRDefault="00A95641">
            <w:pPr>
              <w:jc w:val="center"/>
              <w:rPr>
                <w:szCs w:val="21"/>
              </w:rPr>
            </w:pPr>
            <w:r>
              <w:rPr>
                <w:szCs w:val="21"/>
              </w:rPr>
              <w:t>3</w:t>
            </w:r>
          </w:p>
        </w:tc>
        <w:tc>
          <w:tcPr>
            <w:tcW w:w="4418" w:type="dxa"/>
            <w:vAlign w:val="center"/>
          </w:tcPr>
          <w:p w14:paraId="246A6430" w14:textId="77777777" w:rsidR="007D1E74" w:rsidRDefault="00A95641">
            <w:pPr>
              <w:jc w:val="center"/>
              <w:rPr>
                <w:szCs w:val="21"/>
              </w:rPr>
            </w:pPr>
            <w:r>
              <w:rPr>
                <w:szCs w:val="21"/>
              </w:rPr>
              <w:t>依托周围居民已有设施</w:t>
            </w:r>
          </w:p>
        </w:tc>
        <w:tc>
          <w:tcPr>
            <w:tcW w:w="819" w:type="dxa"/>
            <w:vAlign w:val="center"/>
          </w:tcPr>
          <w:p w14:paraId="209247E7" w14:textId="77777777" w:rsidR="007D1E74" w:rsidRDefault="00A95641">
            <w:pPr>
              <w:jc w:val="center"/>
              <w:rPr>
                <w:szCs w:val="21"/>
              </w:rPr>
            </w:pPr>
            <w:r>
              <w:rPr>
                <w:szCs w:val="21"/>
              </w:rPr>
              <w:t>/</w:t>
            </w:r>
          </w:p>
        </w:tc>
      </w:tr>
      <w:tr w:rsidR="007D1E74" w14:paraId="38BE2739" w14:textId="77777777">
        <w:trPr>
          <w:trHeight w:val="397"/>
        </w:trPr>
        <w:tc>
          <w:tcPr>
            <w:tcW w:w="1060" w:type="dxa"/>
            <w:vMerge/>
            <w:vAlign w:val="center"/>
          </w:tcPr>
          <w:p w14:paraId="0C40B8BD" w14:textId="77777777" w:rsidR="007D1E74" w:rsidRDefault="007D1E74">
            <w:pPr>
              <w:jc w:val="center"/>
              <w:rPr>
                <w:szCs w:val="21"/>
              </w:rPr>
            </w:pPr>
          </w:p>
        </w:tc>
        <w:tc>
          <w:tcPr>
            <w:tcW w:w="1693" w:type="dxa"/>
            <w:vAlign w:val="center"/>
          </w:tcPr>
          <w:p w14:paraId="29FBD0BA" w14:textId="77777777" w:rsidR="007D1E74" w:rsidRDefault="00A95641">
            <w:pPr>
              <w:jc w:val="center"/>
              <w:rPr>
                <w:szCs w:val="21"/>
              </w:rPr>
            </w:pPr>
            <w:r>
              <w:rPr>
                <w:szCs w:val="21"/>
              </w:rPr>
              <w:t>分离废水</w:t>
            </w:r>
          </w:p>
        </w:tc>
        <w:tc>
          <w:tcPr>
            <w:tcW w:w="1070" w:type="dxa"/>
            <w:vAlign w:val="center"/>
          </w:tcPr>
          <w:p w14:paraId="3C832D89" w14:textId="77777777" w:rsidR="007D1E74" w:rsidRDefault="00A95641">
            <w:pPr>
              <w:jc w:val="center"/>
              <w:rPr>
                <w:szCs w:val="21"/>
              </w:rPr>
            </w:pPr>
            <w:r>
              <w:rPr>
                <w:szCs w:val="21"/>
              </w:rPr>
              <w:t>3.5</w:t>
            </w:r>
          </w:p>
        </w:tc>
        <w:tc>
          <w:tcPr>
            <w:tcW w:w="4418" w:type="dxa"/>
            <w:vAlign w:val="center"/>
          </w:tcPr>
          <w:p w14:paraId="0F76C2EE" w14:textId="77777777" w:rsidR="007D1E74" w:rsidRDefault="00A95641">
            <w:pPr>
              <w:jc w:val="center"/>
              <w:rPr>
                <w:szCs w:val="21"/>
              </w:rPr>
            </w:pPr>
            <w:r>
              <w:rPr>
                <w:szCs w:val="21"/>
              </w:rPr>
              <w:t>转运至污水处理站</w:t>
            </w:r>
          </w:p>
        </w:tc>
        <w:tc>
          <w:tcPr>
            <w:tcW w:w="819" w:type="dxa"/>
            <w:vAlign w:val="center"/>
          </w:tcPr>
          <w:p w14:paraId="5A20D5FD" w14:textId="77777777" w:rsidR="007D1E74" w:rsidRDefault="007D1E74">
            <w:pPr>
              <w:jc w:val="center"/>
              <w:rPr>
                <w:szCs w:val="21"/>
              </w:rPr>
            </w:pPr>
          </w:p>
        </w:tc>
      </w:tr>
      <w:tr w:rsidR="007D1E74" w14:paraId="30460480" w14:textId="77777777">
        <w:trPr>
          <w:trHeight w:val="397"/>
        </w:trPr>
        <w:tc>
          <w:tcPr>
            <w:tcW w:w="1060" w:type="dxa"/>
            <w:vAlign w:val="center"/>
          </w:tcPr>
          <w:p w14:paraId="71F38727" w14:textId="77777777" w:rsidR="007D1E74" w:rsidRDefault="00A95641">
            <w:pPr>
              <w:jc w:val="center"/>
              <w:rPr>
                <w:szCs w:val="21"/>
              </w:rPr>
            </w:pPr>
            <w:r>
              <w:rPr>
                <w:szCs w:val="21"/>
              </w:rPr>
              <w:t>噪声防治措施</w:t>
            </w:r>
          </w:p>
        </w:tc>
        <w:tc>
          <w:tcPr>
            <w:tcW w:w="1693" w:type="dxa"/>
            <w:vAlign w:val="center"/>
          </w:tcPr>
          <w:p w14:paraId="2694CE05" w14:textId="77777777" w:rsidR="007D1E74" w:rsidRDefault="00A95641">
            <w:pPr>
              <w:jc w:val="center"/>
              <w:rPr>
                <w:szCs w:val="21"/>
              </w:rPr>
            </w:pPr>
            <w:r>
              <w:rPr>
                <w:szCs w:val="21"/>
              </w:rPr>
              <w:t>隔声降噪措施</w:t>
            </w:r>
          </w:p>
        </w:tc>
        <w:tc>
          <w:tcPr>
            <w:tcW w:w="1070" w:type="dxa"/>
            <w:vAlign w:val="center"/>
          </w:tcPr>
          <w:p w14:paraId="35B04A31" w14:textId="77777777" w:rsidR="007D1E74" w:rsidRDefault="00A95641">
            <w:pPr>
              <w:jc w:val="center"/>
              <w:rPr>
                <w:szCs w:val="21"/>
              </w:rPr>
            </w:pPr>
            <w:r>
              <w:rPr>
                <w:szCs w:val="21"/>
              </w:rPr>
              <w:t>24</w:t>
            </w:r>
          </w:p>
        </w:tc>
        <w:tc>
          <w:tcPr>
            <w:tcW w:w="4418" w:type="dxa"/>
            <w:vAlign w:val="center"/>
          </w:tcPr>
          <w:p w14:paraId="471B125E" w14:textId="77777777" w:rsidR="007D1E74" w:rsidRDefault="00A95641">
            <w:pPr>
              <w:rPr>
                <w:szCs w:val="21"/>
              </w:rPr>
            </w:pPr>
            <w:r>
              <w:rPr>
                <w:szCs w:val="21"/>
              </w:rPr>
              <w:t>合理安排施工作业时间，合理布局施工现场，禁止夜间施工；在施工沿线居民集中点设挡声板</w:t>
            </w:r>
          </w:p>
        </w:tc>
        <w:tc>
          <w:tcPr>
            <w:tcW w:w="819" w:type="dxa"/>
            <w:vAlign w:val="center"/>
          </w:tcPr>
          <w:p w14:paraId="749C6E72" w14:textId="77777777" w:rsidR="007D1E74" w:rsidRDefault="00A95641">
            <w:pPr>
              <w:jc w:val="center"/>
              <w:rPr>
                <w:szCs w:val="21"/>
              </w:rPr>
            </w:pPr>
            <w:r>
              <w:rPr>
                <w:szCs w:val="21"/>
              </w:rPr>
              <w:t>/</w:t>
            </w:r>
          </w:p>
        </w:tc>
      </w:tr>
      <w:tr w:rsidR="007D1E74" w14:paraId="107D3C01" w14:textId="77777777">
        <w:trPr>
          <w:trHeight w:val="397"/>
        </w:trPr>
        <w:tc>
          <w:tcPr>
            <w:tcW w:w="1060" w:type="dxa"/>
            <w:vMerge w:val="restart"/>
            <w:vAlign w:val="center"/>
          </w:tcPr>
          <w:p w14:paraId="09276A5C" w14:textId="77777777" w:rsidR="007D1E74" w:rsidRDefault="00A95641">
            <w:pPr>
              <w:jc w:val="center"/>
              <w:rPr>
                <w:szCs w:val="21"/>
              </w:rPr>
            </w:pPr>
            <w:r>
              <w:rPr>
                <w:szCs w:val="21"/>
              </w:rPr>
              <w:t>固废处理措施</w:t>
            </w:r>
          </w:p>
        </w:tc>
        <w:tc>
          <w:tcPr>
            <w:tcW w:w="1693" w:type="dxa"/>
            <w:vAlign w:val="center"/>
          </w:tcPr>
          <w:p w14:paraId="48280651" w14:textId="77777777" w:rsidR="007D1E74" w:rsidRDefault="00A95641">
            <w:pPr>
              <w:jc w:val="center"/>
              <w:rPr>
                <w:szCs w:val="21"/>
              </w:rPr>
            </w:pPr>
            <w:r>
              <w:rPr>
                <w:szCs w:val="21"/>
              </w:rPr>
              <w:t>生活垃圾处理</w:t>
            </w:r>
          </w:p>
        </w:tc>
        <w:tc>
          <w:tcPr>
            <w:tcW w:w="1070" w:type="dxa"/>
            <w:vAlign w:val="center"/>
          </w:tcPr>
          <w:p w14:paraId="4287226C" w14:textId="77777777" w:rsidR="007D1E74" w:rsidRDefault="00A95641">
            <w:pPr>
              <w:jc w:val="center"/>
              <w:rPr>
                <w:szCs w:val="21"/>
              </w:rPr>
            </w:pPr>
            <w:r>
              <w:rPr>
                <w:szCs w:val="21"/>
              </w:rPr>
              <w:t>1.5</w:t>
            </w:r>
          </w:p>
        </w:tc>
        <w:tc>
          <w:tcPr>
            <w:tcW w:w="4418" w:type="dxa"/>
            <w:vAlign w:val="center"/>
          </w:tcPr>
          <w:p w14:paraId="554070A2" w14:textId="77777777" w:rsidR="007D1E74" w:rsidRDefault="00A95641">
            <w:pPr>
              <w:rPr>
                <w:szCs w:val="21"/>
              </w:rPr>
            </w:pPr>
            <w:r>
              <w:rPr>
                <w:szCs w:val="21"/>
              </w:rPr>
              <w:t>施工期设置垃圾桶和转运设置，将施工过程中产生的生活垃圾收集后运至周边垃圾填埋场进行处理</w:t>
            </w:r>
          </w:p>
        </w:tc>
        <w:tc>
          <w:tcPr>
            <w:tcW w:w="819" w:type="dxa"/>
            <w:vAlign w:val="center"/>
          </w:tcPr>
          <w:p w14:paraId="242DEA2B" w14:textId="77777777" w:rsidR="007D1E74" w:rsidRDefault="00A95641">
            <w:pPr>
              <w:jc w:val="center"/>
              <w:rPr>
                <w:szCs w:val="21"/>
              </w:rPr>
            </w:pPr>
            <w:r>
              <w:rPr>
                <w:szCs w:val="21"/>
              </w:rPr>
              <w:t>/</w:t>
            </w:r>
          </w:p>
        </w:tc>
      </w:tr>
      <w:tr w:rsidR="007D1E74" w14:paraId="57705498" w14:textId="77777777">
        <w:trPr>
          <w:trHeight w:val="397"/>
        </w:trPr>
        <w:tc>
          <w:tcPr>
            <w:tcW w:w="1060" w:type="dxa"/>
            <w:vMerge/>
            <w:vAlign w:val="center"/>
          </w:tcPr>
          <w:p w14:paraId="2F73B7AC" w14:textId="77777777" w:rsidR="007D1E74" w:rsidRDefault="007D1E74">
            <w:pPr>
              <w:jc w:val="center"/>
              <w:rPr>
                <w:szCs w:val="21"/>
              </w:rPr>
            </w:pPr>
          </w:p>
        </w:tc>
        <w:tc>
          <w:tcPr>
            <w:tcW w:w="1693" w:type="dxa"/>
            <w:vAlign w:val="center"/>
          </w:tcPr>
          <w:p w14:paraId="055A1C00" w14:textId="77777777" w:rsidR="007D1E74" w:rsidRDefault="00A95641">
            <w:pPr>
              <w:jc w:val="center"/>
              <w:rPr>
                <w:szCs w:val="21"/>
              </w:rPr>
            </w:pPr>
            <w:r>
              <w:rPr>
                <w:szCs w:val="21"/>
              </w:rPr>
              <w:t>定向钻泥浆</w:t>
            </w:r>
          </w:p>
        </w:tc>
        <w:tc>
          <w:tcPr>
            <w:tcW w:w="1070" w:type="dxa"/>
            <w:vAlign w:val="center"/>
          </w:tcPr>
          <w:p w14:paraId="6CF0EFA8" w14:textId="77777777" w:rsidR="007D1E74" w:rsidRDefault="00A95641">
            <w:pPr>
              <w:jc w:val="center"/>
              <w:rPr>
                <w:szCs w:val="21"/>
              </w:rPr>
            </w:pPr>
            <w:r>
              <w:rPr>
                <w:szCs w:val="21"/>
              </w:rPr>
              <w:t>5</w:t>
            </w:r>
          </w:p>
        </w:tc>
        <w:tc>
          <w:tcPr>
            <w:tcW w:w="4418" w:type="dxa"/>
            <w:vAlign w:val="center"/>
          </w:tcPr>
          <w:p w14:paraId="7227010E" w14:textId="77777777" w:rsidR="007D1E74" w:rsidRDefault="00A95641">
            <w:pPr>
              <w:rPr>
                <w:szCs w:val="21"/>
              </w:rPr>
            </w:pPr>
            <w:r>
              <w:rPr>
                <w:szCs w:val="21"/>
              </w:rPr>
              <w:t>转运至填埋场处理</w:t>
            </w:r>
          </w:p>
        </w:tc>
        <w:tc>
          <w:tcPr>
            <w:tcW w:w="819" w:type="dxa"/>
            <w:vAlign w:val="center"/>
          </w:tcPr>
          <w:p w14:paraId="5D606E32" w14:textId="77777777" w:rsidR="007D1E74" w:rsidRDefault="007D1E74">
            <w:pPr>
              <w:jc w:val="center"/>
              <w:rPr>
                <w:szCs w:val="21"/>
              </w:rPr>
            </w:pPr>
          </w:p>
        </w:tc>
      </w:tr>
      <w:tr w:rsidR="007D1E74" w14:paraId="251C53CC" w14:textId="77777777">
        <w:trPr>
          <w:trHeight w:val="397"/>
        </w:trPr>
        <w:tc>
          <w:tcPr>
            <w:tcW w:w="1060" w:type="dxa"/>
            <w:vMerge w:val="restart"/>
            <w:vAlign w:val="center"/>
          </w:tcPr>
          <w:p w14:paraId="0B6A42A8" w14:textId="77777777" w:rsidR="007D1E74" w:rsidRDefault="00A95641">
            <w:pPr>
              <w:jc w:val="center"/>
              <w:rPr>
                <w:szCs w:val="21"/>
              </w:rPr>
            </w:pPr>
            <w:r>
              <w:rPr>
                <w:szCs w:val="21"/>
              </w:rPr>
              <w:t>环境风险措施</w:t>
            </w:r>
          </w:p>
        </w:tc>
        <w:tc>
          <w:tcPr>
            <w:tcW w:w="1693" w:type="dxa"/>
            <w:vAlign w:val="center"/>
          </w:tcPr>
          <w:p w14:paraId="068BEF0B" w14:textId="77777777" w:rsidR="007D1E74" w:rsidRDefault="00A95641">
            <w:pPr>
              <w:jc w:val="center"/>
              <w:rPr>
                <w:szCs w:val="21"/>
              </w:rPr>
            </w:pPr>
            <w:r>
              <w:rPr>
                <w:szCs w:val="21"/>
              </w:rPr>
              <w:t>管道施工防护</w:t>
            </w:r>
          </w:p>
          <w:p w14:paraId="415E1B77" w14:textId="77777777" w:rsidR="007D1E74" w:rsidRDefault="00A95641">
            <w:pPr>
              <w:jc w:val="center"/>
              <w:rPr>
                <w:szCs w:val="21"/>
              </w:rPr>
            </w:pPr>
            <w:r>
              <w:rPr>
                <w:szCs w:val="21"/>
              </w:rPr>
              <w:t>措施</w:t>
            </w:r>
          </w:p>
        </w:tc>
        <w:tc>
          <w:tcPr>
            <w:tcW w:w="1070" w:type="dxa"/>
            <w:vAlign w:val="center"/>
          </w:tcPr>
          <w:p w14:paraId="52506CFC" w14:textId="77777777" w:rsidR="007D1E74" w:rsidRDefault="00A95641">
            <w:pPr>
              <w:jc w:val="center"/>
              <w:rPr>
                <w:szCs w:val="21"/>
              </w:rPr>
            </w:pPr>
            <w:r>
              <w:rPr>
                <w:szCs w:val="21"/>
              </w:rPr>
              <w:t>/</w:t>
            </w:r>
          </w:p>
        </w:tc>
        <w:tc>
          <w:tcPr>
            <w:tcW w:w="4418" w:type="dxa"/>
            <w:vAlign w:val="center"/>
          </w:tcPr>
          <w:p w14:paraId="7271E7B2" w14:textId="77777777" w:rsidR="007D1E74" w:rsidRDefault="00A95641">
            <w:pPr>
              <w:jc w:val="center"/>
              <w:rPr>
                <w:szCs w:val="21"/>
              </w:rPr>
            </w:pPr>
            <w:r>
              <w:rPr>
                <w:szCs w:val="21"/>
              </w:rPr>
              <w:t>做好管道防护加固措施、防腐工程等措施</w:t>
            </w:r>
          </w:p>
        </w:tc>
        <w:tc>
          <w:tcPr>
            <w:tcW w:w="819" w:type="dxa"/>
            <w:vAlign w:val="center"/>
          </w:tcPr>
          <w:p w14:paraId="16D283F0" w14:textId="77777777" w:rsidR="007D1E74" w:rsidRDefault="00A95641">
            <w:pPr>
              <w:jc w:val="center"/>
              <w:rPr>
                <w:szCs w:val="21"/>
              </w:rPr>
            </w:pPr>
            <w:r>
              <w:rPr>
                <w:szCs w:val="21"/>
              </w:rPr>
              <w:t>计入主体工程</w:t>
            </w:r>
          </w:p>
        </w:tc>
      </w:tr>
      <w:tr w:rsidR="007D1E74" w14:paraId="2FDF373A" w14:textId="77777777">
        <w:trPr>
          <w:trHeight w:val="397"/>
        </w:trPr>
        <w:tc>
          <w:tcPr>
            <w:tcW w:w="1060" w:type="dxa"/>
            <w:vMerge/>
            <w:vAlign w:val="center"/>
          </w:tcPr>
          <w:p w14:paraId="4AC78922" w14:textId="77777777" w:rsidR="007D1E74" w:rsidRDefault="007D1E74">
            <w:pPr>
              <w:jc w:val="center"/>
              <w:rPr>
                <w:szCs w:val="21"/>
              </w:rPr>
            </w:pPr>
          </w:p>
        </w:tc>
        <w:tc>
          <w:tcPr>
            <w:tcW w:w="1693" w:type="dxa"/>
            <w:vAlign w:val="center"/>
          </w:tcPr>
          <w:p w14:paraId="63E4B6E4" w14:textId="77777777" w:rsidR="007D1E74" w:rsidRDefault="00A95641">
            <w:pPr>
              <w:jc w:val="center"/>
              <w:rPr>
                <w:szCs w:val="21"/>
              </w:rPr>
            </w:pPr>
            <w:r>
              <w:rPr>
                <w:szCs w:val="21"/>
              </w:rPr>
              <w:t>环境应急预案</w:t>
            </w:r>
          </w:p>
        </w:tc>
        <w:tc>
          <w:tcPr>
            <w:tcW w:w="1070" w:type="dxa"/>
            <w:vAlign w:val="center"/>
          </w:tcPr>
          <w:p w14:paraId="584924FD" w14:textId="77777777" w:rsidR="007D1E74" w:rsidRDefault="00A95641">
            <w:pPr>
              <w:jc w:val="center"/>
              <w:rPr>
                <w:szCs w:val="21"/>
              </w:rPr>
            </w:pPr>
            <w:r>
              <w:rPr>
                <w:szCs w:val="21"/>
              </w:rPr>
              <w:t>50</w:t>
            </w:r>
          </w:p>
        </w:tc>
        <w:tc>
          <w:tcPr>
            <w:tcW w:w="4418" w:type="dxa"/>
            <w:vAlign w:val="center"/>
          </w:tcPr>
          <w:p w14:paraId="091CE7CA" w14:textId="77777777" w:rsidR="007D1E74" w:rsidRDefault="00A95641">
            <w:pPr>
              <w:rPr>
                <w:szCs w:val="21"/>
              </w:rPr>
            </w:pPr>
            <w:r>
              <w:rPr>
                <w:szCs w:val="21"/>
              </w:rPr>
              <w:t>制订环境风险应急预案，建立环境风险事故报警系统体系</w:t>
            </w:r>
          </w:p>
        </w:tc>
        <w:tc>
          <w:tcPr>
            <w:tcW w:w="819" w:type="dxa"/>
            <w:vAlign w:val="center"/>
          </w:tcPr>
          <w:p w14:paraId="34F4D6BF" w14:textId="77777777" w:rsidR="007D1E74" w:rsidRDefault="00A95641">
            <w:pPr>
              <w:jc w:val="center"/>
              <w:rPr>
                <w:szCs w:val="21"/>
              </w:rPr>
            </w:pPr>
            <w:r>
              <w:rPr>
                <w:szCs w:val="21"/>
              </w:rPr>
              <w:t>/</w:t>
            </w:r>
          </w:p>
        </w:tc>
      </w:tr>
      <w:tr w:rsidR="007D1E74" w14:paraId="1EA08D10" w14:textId="77777777">
        <w:trPr>
          <w:trHeight w:val="397"/>
        </w:trPr>
        <w:tc>
          <w:tcPr>
            <w:tcW w:w="1060" w:type="dxa"/>
            <w:vMerge w:val="restart"/>
            <w:vAlign w:val="center"/>
          </w:tcPr>
          <w:p w14:paraId="21567DBF" w14:textId="77777777" w:rsidR="007D1E74" w:rsidRDefault="00A95641">
            <w:pPr>
              <w:jc w:val="center"/>
              <w:rPr>
                <w:szCs w:val="21"/>
              </w:rPr>
            </w:pPr>
            <w:r>
              <w:rPr>
                <w:szCs w:val="21"/>
              </w:rPr>
              <w:lastRenderedPageBreak/>
              <w:t>环境管理</w:t>
            </w:r>
          </w:p>
        </w:tc>
        <w:tc>
          <w:tcPr>
            <w:tcW w:w="1693" w:type="dxa"/>
            <w:vAlign w:val="center"/>
          </w:tcPr>
          <w:p w14:paraId="0E22BB6B" w14:textId="77777777" w:rsidR="007D1E74" w:rsidRDefault="00A95641">
            <w:pPr>
              <w:jc w:val="center"/>
              <w:rPr>
                <w:szCs w:val="21"/>
              </w:rPr>
            </w:pPr>
            <w:r>
              <w:rPr>
                <w:szCs w:val="21"/>
              </w:rPr>
              <w:t>环境监理、监测</w:t>
            </w:r>
          </w:p>
        </w:tc>
        <w:tc>
          <w:tcPr>
            <w:tcW w:w="1070" w:type="dxa"/>
            <w:vAlign w:val="center"/>
          </w:tcPr>
          <w:p w14:paraId="657C9FBB" w14:textId="77777777" w:rsidR="007D1E74" w:rsidRDefault="00A95641">
            <w:pPr>
              <w:jc w:val="center"/>
              <w:rPr>
                <w:szCs w:val="21"/>
              </w:rPr>
            </w:pPr>
            <w:r>
              <w:rPr>
                <w:szCs w:val="21"/>
              </w:rPr>
              <w:t>15</w:t>
            </w:r>
          </w:p>
        </w:tc>
        <w:tc>
          <w:tcPr>
            <w:tcW w:w="4418" w:type="dxa"/>
            <w:vAlign w:val="center"/>
          </w:tcPr>
          <w:p w14:paraId="7908BB0C" w14:textId="77777777" w:rsidR="007D1E74" w:rsidRDefault="00A95641">
            <w:pPr>
              <w:jc w:val="center"/>
              <w:rPr>
                <w:szCs w:val="21"/>
              </w:rPr>
            </w:pPr>
            <w:r>
              <w:rPr>
                <w:szCs w:val="21"/>
              </w:rPr>
              <w:t>开展施工期环境监理、监测工作</w:t>
            </w:r>
          </w:p>
        </w:tc>
        <w:tc>
          <w:tcPr>
            <w:tcW w:w="819" w:type="dxa"/>
            <w:vAlign w:val="center"/>
          </w:tcPr>
          <w:p w14:paraId="5EFCADB3" w14:textId="77777777" w:rsidR="007D1E74" w:rsidRDefault="00A95641">
            <w:pPr>
              <w:jc w:val="center"/>
              <w:rPr>
                <w:szCs w:val="21"/>
              </w:rPr>
            </w:pPr>
            <w:r>
              <w:rPr>
                <w:szCs w:val="21"/>
              </w:rPr>
              <w:t>/</w:t>
            </w:r>
          </w:p>
        </w:tc>
      </w:tr>
      <w:tr w:rsidR="007D1E74" w14:paraId="326289C1" w14:textId="77777777">
        <w:trPr>
          <w:trHeight w:val="397"/>
        </w:trPr>
        <w:tc>
          <w:tcPr>
            <w:tcW w:w="1060" w:type="dxa"/>
            <w:vMerge/>
            <w:vAlign w:val="center"/>
          </w:tcPr>
          <w:p w14:paraId="10505AE9" w14:textId="77777777" w:rsidR="007D1E74" w:rsidRDefault="007D1E74">
            <w:pPr>
              <w:jc w:val="center"/>
              <w:rPr>
                <w:szCs w:val="21"/>
              </w:rPr>
            </w:pPr>
          </w:p>
        </w:tc>
        <w:tc>
          <w:tcPr>
            <w:tcW w:w="1693" w:type="dxa"/>
            <w:vAlign w:val="center"/>
          </w:tcPr>
          <w:p w14:paraId="75BC43AE" w14:textId="77777777" w:rsidR="007D1E74" w:rsidRDefault="00A95641">
            <w:pPr>
              <w:jc w:val="center"/>
              <w:rPr>
                <w:szCs w:val="21"/>
              </w:rPr>
            </w:pPr>
            <w:r>
              <w:rPr>
                <w:szCs w:val="21"/>
              </w:rPr>
              <w:t>环境宣传、保护</w:t>
            </w:r>
          </w:p>
        </w:tc>
        <w:tc>
          <w:tcPr>
            <w:tcW w:w="1070" w:type="dxa"/>
            <w:vAlign w:val="center"/>
          </w:tcPr>
          <w:p w14:paraId="527D5C67" w14:textId="77777777" w:rsidR="007D1E74" w:rsidRDefault="00A95641">
            <w:pPr>
              <w:jc w:val="center"/>
              <w:rPr>
                <w:szCs w:val="21"/>
              </w:rPr>
            </w:pPr>
            <w:r>
              <w:rPr>
                <w:szCs w:val="21"/>
              </w:rPr>
              <w:t>3</w:t>
            </w:r>
          </w:p>
        </w:tc>
        <w:tc>
          <w:tcPr>
            <w:tcW w:w="4418" w:type="dxa"/>
            <w:vAlign w:val="center"/>
          </w:tcPr>
          <w:p w14:paraId="2E4EAE5D" w14:textId="77777777" w:rsidR="007D1E74" w:rsidRDefault="00A95641">
            <w:pPr>
              <w:rPr>
                <w:szCs w:val="21"/>
              </w:rPr>
            </w:pPr>
            <w:r>
              <w:rPr>
                <w:szCs w:val="21"/>
              </w:rPr>
              <w:t>开展环保知识培训；宣传环境保护法律、法规；建设并设施环保</w:t>
            </w:r>
            <w:r>
              <w:rPr>
                <w:szCs w:val="21"/>
              </w:rPr>
              <w:t>“</w:t>
            </w:r>
            <w:r>
              <w:rPr>
                <w:szCs w:val="21"/>
              </w:rPr>
              <w:t>三同时</w:t>
            </w:r>
            <w:r>
              <w:rPr>
                <w:szCs w:val="21"/>
              </w:rPr>
              <w:t>”</w:t>
            </w:r>
            <w:r>
              <w:rPr>
                <w:szCs w:val="21"/>
              </w:rPr>
              <w:t>制度</w:t>
            </w:r>
          </w:p>
        </w:tc>
        <w:tc>
          <w:tcPr>
            <w:tcW w:w="819" w:type="dxa"/>
            <w:vAlign w:val="center"/>
          </w:tcPr>
          <w:p w14:paraId="1B84028D" w14:textId="77777777" w:rsidR="007D1E74" w:rsidRDefault="00A95641">
            <w:pPr>
              <w:jc w:val="center"/>
              <w:rPr>
                <w:szCs w:val="21"/>
              </w:rPr>
            </w:pPr>
            <w:r>
              <w:rPr>
                <w:szCs w:val="21"/>
              </w:rPr>
              <w:t>/</w:t>
            </w:r>
          </w:p>
        </w:tc>
      </w:tr>
      <w:tr w:rsidR="007D1E74" w14:paraId="370CBD67" w14:textId="77777777">
        <w:trPr>
          <w:trHeight w:val="397"/>
        </w:trPr>
        <w:tc>
          <w:tcPr>
            <w:tcW w:w="1060" w:type="dxa"/>
            <w:vMerge/>
            <w:vAlign w:val="center"/>
          </w:tcPr>
          <w:p w14:paraId="094B833D" w14:textId="77777777" w:rsidR="007D1E74" w:rsidRDefault="007D1E74">
            <w:pPr>
              <w:jc w:val="center"/>
              <w:rPr>
                <w:szCs w:val="21"/>
              </w:rPr>
            </w:pPr>
          </w:p>
        </w:tc>
        <w:tc>
          <w:tcPr>
            <w:tcW w:w="1693" w:type="dxa"/>
            <w:vAlign w:val="center"/>
          </w:tcPr>
          <w:p w14:paraId="30F671A2" w14:textId="77777777" w:rsidR="007D1E74" w:rsidRDefault="00A95641">
            <w:pPr>
              <w:jc w:val="center"/>
              <w:rPr>
                <w:szCs w:val="21"/>
              </w:rPr>
            </w:pPr>
            <w:r>
              <w:rPr>
                <w:szCs w:val="21"/>
              </w:rPr>
              <w:t>竣工验收</w:t>
            </w:r>
          </w:p>
        </w:tc>
        <w:tc>
          <w:tcPr>
            <w:tcW w:w="1070" w:type="dxa"/>
            <w:vAlign w:val="center"/>
          </w:tcPr>
          <w:p w14:paraId="79722FB6" w14:textId="77777777" w:rsidR="007D1E74" w:rsidRDefault="00A95641">
            <w:pPr>
              <w:jc w:val="center"/>
              <w:rPr>
                <w:szCs w:val="21"/>
              </w:rPr>
            </w:pPr>
            <w:r>
              <w:rPr>
                <w:szCs w:val="21"/>
              </w:rPr>
              <w:t>5</w:t>
            </w:r>
          </w:p>
        </w:tc>
        <w:tc>
          <w:tcPr>
            <w:tcW w:w="4418" w:type="dxa"/>
            <w:vAlign w:val="center"/>
          </w:tcPr>
          <w:p w14:paraId="2C9D4D7B" w14:textId="77777777" w:rsidR="007D1E74" w:rsidRDefault="00A95641">
            <w:pPr>
              <w:jc w:val="center"/>
              <w:rPr>
                <w:szCs w:val="21"/>
              </w:rPr>
            </w:pPr>
            <w:r>
              <w:rPr>
                <w:szCs w:val="21"/>
              </w:rPr>
              <w:t>开展环保竣工验收工作</w:t>
            </w:r>
          </w:p>
        </w:tc>
        <w:tc>
          <w:tcPr>
            <w:tcW w:w="819" w:type="dxa"/>
            <w:vAlign w:val="center"/>
          </w:tcPr>
          <w:p w14:paraId="29B244F9" w14:textId="77777777" w:rsidR="007D1E74" w:rsidRDefault="00A95641">
            <w:pPr>
              <w:jc w:val="center"/>
              <w:rPr>
                <w:szCs w:val="21"/>
              </w:rPr>
            </w:pPr>
            <w:r>
              <w:rPr>
                <w:szCs w:val="21"/>
              </w:rPr>
              <w:t>/</w:t>
            </w:r>
          </w:p>
        </w:tc>
      </w:tr>
      <w:tr w:rsidR="007D1E74" w14:paraId="17DF6A39" w14:textId="77777777">
        <w:trPr>
          <w:trHeight w:val="397"/>
        </w:trPr>
        <w:tc>
          <w:tcPr>
            <w:tcW w:w="2753" w:type="dxa"/>
            <w:gridSpan w:val="2"/>
            <w:vAlign w:val="center"/>
          </w:tcPr>
          <w:p w14:paraId="7ECAF40D" w14:textId="77777777" w:rsidR="007D1E74" w:rsidRDefault="00A95641">
            <w:pPr>
              <w:jc w:val="center"/>
              <w:rPr>
                <w:szCs w:val="21"/>
              </w:rPr>
            </w:pPr>
            <w:r>
              <w:rPr>
                <w:szCs w:val="21"/>
              </w:rPr>
              <w:t>合计</w:t>
            </w:r>
          </w:p>
        </w:tc>
        <w:tc>
          <w:tcPr>
            <w:tcW w:w="6307" w:type="dxa"/>
            <w:gridSpan w:val="3"/>
            <w:vAlign w:val="center"/>
          </w:tcPr>
          <w:p w14:paraId="4B019C8B" w14:textId="77777777" w:rsidR="007D1E74" w:rsidRDefault="00A95641">
            <w:pPr>
              <w:jc w:val="center"/>
              <w:rPr>
                <w:szCs w:val="21"/>
              </w:rPr>
            </w:pPr>
            <w:r>
              <w:rPr>
                <w:szCs w:val="21"/>
              </w:rPr>
              <w:t>352</w:t>
            </w:r>
            <w:r>
              <w:rPr>
                <w:szCs w:val="21"/>
              </w:rPr>
              <w:t>万元</w:t>
            </w:r>
          </w:p>
        </w:tc>
      </w:tr>
    </w:tbl>
    <w:p w14:paraId="70FACB7F" w14:textId="77777777" w:rsidR="007D1E74" w:rsidRDefault="00A95641">
      <w:pPr>
        <w:rPr>
          <w:rFonts w:cs="Times New Roman"/>
        </w:rPr>
      </w:pPr>
      <w:r>
        <w:rPr>
          <w:rFonts w:cs="Times New Roman" w:hint="eastAsia"/>
        </w:rPr>
        <w:br w:type="page"/>
      </w:r>
    </w:p>
    <w:p w14:paraId="605DA937" w14:textId="77777777" w:rsidR="007D1E74" w:rsidRDefault="00A95641">
      <w:pPr>
        <w:pStyle w:val="a7"/>
      </w:pPr>
      <w:r>
        <w:rPr>
          <w:rFonts w:hint="eastAsia"/>
        </w:rPr>
        <w:lastRenderedPageBreak/>
        <w:t>环境影响经济损益分析</w:t>
      </w:r>
    </w:p>
    <w:p w14:paraId="04319A58" w14:textId="77777777" w:rsidR="007D1E74" w:rsidRDefault="00A95641">
      <w:pPr>
        <w:spacing w:line="360" w:lineRule="auto"/>
        <w:ind w:firstLineChars="200" w:firstLine="480"/>
        <w:rPr>
          <w:sz w:val="24"/>
          <w:szCs w:val="24"/>
        </w:rPr>
      </w:pPr>
      <w:r>
        <w:rPr>
          <w:rFonts w:hint="eastAsia"/>
          <w:sz w:val="24"/>
          <w:szCs w:val="24"/>
        </w:rPr>
        <w:t>本工程的建设对管道沿线的环境和经济发展产生一定影响。在进行工程的效益分析时，不仅要考虑工程对自然环境造成的影响，同时，也要从提高社会经济效益为出发点，分析对社会和经济的影响。</w:t>
      </w:r>
    </w:p>
    <w:p w14:paraId="7DFAE301" w14:textId="77777777" w:rsidR="007D1E74" w:rsidRDefault="00A95641">
      <w:pPr>
        <w:spacing w:line="360" w:lineRule="auto"/>
        <w:ind w:firstLineChars="200" w:firstLine="480"/>
        <w:rPr>
          <w:sz w:val="24"/>
        </w:rPr>
      </w:pPr>
      <w:r>
        <w:rPr>
          <w:rFonts w:cs="Times New Roman"/>
          <w:sz w:val="24"/>
        </w:rPr>
        <w:t>本章选择工程、环境、生态资源和社会经济等有代表性的指标，从经济效益、社会效益和环境效益等三方面，进行环境经济损益分析。</w:t>
      </w:r>
    </w:p>
    <w:p w14:paraId="1CE390AE" w14:textId="77777777" w:rsidR="007D1E74" w:rsidRDefault="00A95641">
      <w:pPr>
        <w:pStyle w:val="a8"/>
      </w:pPr>
      <w:r>
        <w:rPr>
          <w:rFonts w:hint="eastAsia"/>
        </w:rPr>
        <w:t>经济效益分析</w:t>
      </w:r>
    </w:p>
    <w:p w14:paraId="61322BAA" w14:textId="77777777" w:rsidR="007D1E74" w:rsidRDefault="00A95641">
      <w:pPr>
        <w:spacing w:line="360" w:lineRule="auto"/>
        <w:ind w:firstLineChars="200" w:firstLine="480"/>
        <w:rPr>
          <w:sz w:val="24"/>
        </w:rPr>
      </w:pPr>
      <w:r>
        <w:rPr>
          <w:rFonts w:cs="Times New Roman"/>
          <w:sz w:val="24"/>
        </w:rPr>
        <w:t>本工程总投资</w:t>
      </w:r>
      <w:r>
        <w:rPr>
          <w:rFonts w:cs="Times New Roman" w:hint="eastAsia"/>
          <w:sz w:val="24"/>
        </w:rPr>
        <w:t>13907</w:t>
      </w:r>
      <w:r>
        <w:rPr>
          <w:rFonts w:cs="Times New Roman"/>
          <w:sz w:val="24"/>
        </w:rPr>
        <w:t>万元，从目前对市场销售量的预测来看，盈利能力、偿还能力和抗风险能力不是很理想。本工程内部收益率</w:t>
      </w:r>
      <w:r>
        <w:rPr>
          <w:rFonts w:cs="Times New Roman"/>
          <w:sz w:val="24"/>
        </w:rPr>
        <w:t>8.00%</w:t>
      </w:r>
      <w:r>
        <w:rPr>
          <w:rFonts w:cs="Times New Roman"/>
          <w:sz w:val="24"/>
        </w:rPr>
        <w:t>与基准收益率</w:t>
      </w:r>
      <w:r>
        <w:rPr>
          <w:rFonts w:cs="Times New Roman"/>
          <w:sz w:val="24"/>
        </w:rPr>
        <w:t>8%</w:t>
      </w:r>
      <w:r>
        <w:rPr>
          <w:rFonts w:cs="Times New Roman"/>
          <w:sz w:val="24"/>
        </w:rPr>
        <w:t>持平，净现值等于零。本工程从经济效益角度上来看，可行性一般，但社会效益显著。</w:t>
      </w:r>
    </w:p>
    <w:p w14:paraId="5CC20B66" w14:textId="77777777" w:rsidR="007D1E74" w:rsidRDefault="00A95641">
      <w:pPr>
        <w:spacing w:line="360" w:lineRule="auto"/>
        <w:ind w:firstLineChars="200" w:firstLine="480"/>
        <w:rPr>
          <w:rFonts w:cs="Times New Roman"/>
          <w:sz w:val="24"/>
        </w:rPr>
      </w:pPr>
      <w:r>
        <w:rPr>
          <w:rFonts w:cs="Times New Roman"/>
          <w:sz w:val="24"/>
        </w:rPr>
        <w:t>本项目的建成后，可以加强巴中市通江县周边区域天然气供应，还具有一定的间接经济效益，例如使用天然气发电与燃煤电厂比可大大节约投资投入，减少运营成本，主要为煤炭的运费等，同时还可以缓解铁路与公路运输压力，提高居民生活质量等。</w:t>
      </w:r>
    </w:p>
    <w:p w14:paraId="1B3C1E73" w14:textId="77777777" w:rsidR="007D1E74" w:rsidRDefault="00A95641">
      <w:pPr>
        <w:pStyle w:val="a8"/>
      </w:pPr>
      <w:r>
        <w:rPr>
          <w:rFonts w:hint="eastAsia"/>
        </w:rPr>
        <w:t>社会效益分析</w:t>
      </w:r>
    </w:p>
    <w:p w14:paraId="6C68E5CF" w14:textId="77777777" w:rsidR="007D1E74" w:rsidRDefault="00A95641">
      <w:pPr>
        <w:spacing w:line="360" w:lineRule="auto"/>
        <w:ind w:firstLineChars="200" w:firstLine="480"/>
        <w:rPr>
          <w:sz w:val="24"/>
        </w:rPr>
      </w:pPr>
      <w:r>
        <w:rPr>
          <w:rFonts w:cs="Times New Roman"/>
          <w:sz w:val="24"/>
        </w:rPr>
        <w:t>本工程的建设有利于拉动国民经济的增长，扩大内需。通过实施本工程，可以扩大内需，增加就业机会，促进经济发展。还有利于提高沿途地区人民的生活质量，改善生活环境，注入新的能源。本工程建设需要一定数量的人力，除施工单位外，还需在当地招募民工，因而可给当地居民和农民增加收入。另外，管道工程建设需要大批钢材、建材及配套设备，可带动机械、电力、化工、冶金、建材等相关工业的发展。</w:t>
      </w:r>
    </w:p>
    <w:p w14:paraId="0F4533B5" w14:textId="77777777" w:rsidR="007D1E74" w:rsidRDefault="00A95641">
      <w:pPr>
        <w:spacing w:line="360" w:lineRule="auto"/>
        <w:ind w:firstLineChars="200" w:firstLine="480"/>
        <w:rPr>
          <w:sz w:val="24"/>
        </w:rPr>
      </w:pPr>
      <w:r>
        <w:rPr>
          <w:rFonts w:cs="Times New Roman"/>
          <w:sz w:val="24"/>
        </w:rPr>
        <w:t>该工程的建设，是促进巴中市通江县周边区域清洁能源使用的重大举措，对于缓解巴中周边区域天然气供需矛盾，优化能源结构，建设环境友好型社会，具有重要意义，项目的建设符合国家产业政策，将使国内的能源配置更趋于合理，使得全国经济的效益在总体上大大提高，体现出中国能源供需的协调发展战略。</w:t>
      </w:r>
    </w:p>
    <w:p w14:paraId="6CDD63D1" w14:textId="77777777" w:rsidR="007D1E74" w:rsidRDefault="00A95641">
      <w:pPr>
        <w:spacing w:line="360" w:lineRule="auto"/>
        <w:ind w:firstLineChars="200" w:firstLine="480"/>
        <w:rPr>
          <w:sz w:val="24"/>
        </w:rPr>
      </w:pPr>
      <w:r>
        <w:rPr>
          <w:rFonts w:cs="Times New Roman"/>
          <w:sz w:val="24"/>
        </w:rPr>
        <w:t>因此，本工程是造福沿线人民的幸福工程，在实施西部大开发战略、加快西部地区经济发展、拉动国民经济增长、调整我国能源结构和充分利用天然气资源等方面不但有重要的经济意义，而且有深远的政治意义。项目具有良好的社会效益。</w:t>
      </w:r>
    </w:p>
    <w:p w14:paraId="044B4A8E" w14:textId="77777777" w:rsidR="007D1E74" w:rsidRDefault="00A95641">
      <w:pPr>
        <w:pStyle w:val="a8"/>
      </w:pPr>
      <w:r>
        <w:rPr>
          <w:rFonts w:hint="eastAsia"/>
        </w:rPr>
        <w:t>环境经济损益分析</w:t>
      </w:r>
    </w:p>
    <w:p w14:paraId="5777E65A" w14:textId="77777777" w:rsidR="007D1E74" w:rsidRDefault="00A95641">
      <w:pPr>
        <w:pStyle w:val="a9"/>
      </w:pPr>
      <w:r>
        <w:rPr>
          <w:rFonts w:hint="eastAsia"/>
        </w:rPr>
        <w:t>环境正效益分析</w:t>
      </w:r>
    </w:p>
    <w:p w14:paraId="2DCCF073" w14:textId="77777777" w:rsidR="007D1E74" w:rsidRDefault="00A95641">
      <w:pPr>
        <w:spacing w:line="360" w:lineRule="auto"/>
        <w:ind w:firstLineChars="200" w:firstLine="480"/>
        <w:rPr>
          <w:rFonts w:cs="Times New Roman"/>
          <w:sz w:val="24"/>
        </w:rPr>
      </w:pPr>
      <w:r>
        <w:rPr>
          <w:rFonts w:cs="Times New Roman" w:hint="eastAsia"/>
          <w:sz w:val="24"/>
        </w:rPr>
        <w:lastRenderedPageBreak/>
        <w:t>本工程的实施，将为巴中通江片区提供清洁的天然气能源，与燃料油和燃煤等能源相比在减轻大气环境影响方面效益显著。</w:t>
      </w:r>
    </w:p>
    <w:p w14:paraId="2A3138E1" w14:textId="77777777" w:rsidR="007D1E74" w:rsidRDefault="00A95641">
      <w:pPr>
        <w:pStyle w:val="aa"/>
      </w:pPr>
      <w:r>
        <w:rPr>
          <w:rFonts w:hint="eastAsia"/>
        </w:rPr>
        <w:t>减少环境空气污染物的排放量</w:t>
      </w:r>
    </w:p>
    <w:p w14:paraId="3D5FE60E" w14:textId="77777777" w:rsidR="007D1E74" w:rsidRDefault="00A95641">
      <w:pPr>
        <w:spacing w:line="360" w:lineRule="auto"/>
        <w:ind w:firstLineChars="200" w:firstLine="480"/>
        <w:rPr>
          <w:rFonts w:cs="Times New Roman"/>
          <w:sz w:val="24"/>
        </w:rPr>
      </w:pPr>
      <w:r>
        <w:rPr>
          <w:rFonts w:cs="Times New Roman" w:hint="eastAsia"/>
          <w:sz w:val="24"/>
        </w:rPr>
        <w:t>天然气作为清洁能源，可以减少大气污染物产生量，改善环境空气质量，与燃料油和燃煤等能源相比在减轻大气环境影响方面效益显著。燃烧天然气与燃油和燃煤相比，年产生</w:t>
      </w:r>
      <w:r>
        <w:rPr>
          <w:rFonts w:cs="Times New Roman" w:hint="eastAsia"/>
          <w:sz w:val="24"/>
        </w:rPr>
        <w:t>SO</w:t>
      </w:r>
      <w:r>
        <w:rPr>
          <w:rFonts w:cs="Times New Roman" w:hint="eastAsia"/>
          <w:sz w:val="24"/>
          <w:vertAlign w:val="subscript"/>
        </w:rPr>
        <w:t>2</w:t>
      </w:r>
      <w:r>
        <w:rPr>
          <w:rFonts w:cs="Times New Roman" w:hint="eastAsia"/>
          <w:sz w:val="24"/>
        </w:rPr>
        <w:t>、烟尘量和</w:t>
      </w:r>
      <w:r>
        <w:rPr>
          <w:rFonts w:cs="Times New Roman" w:hint="eastAsia"/>
          <w:sz w:val="24"/>
        </w:rPr>
        <w:t>NOx</w:t>
      </w:r>
      <w:r>
        <w:rPr>
          <w:rFonts w:cs="Times New Roman" w:hint="eastAsia"/>
          <w:sz w:val="24"/>
        </w:rPr>
        <w:t>量将大大降低，有助于项目市场调整区域能源结构、普及清洁能源使用、改善大气环境质量。</w:t>
      </w:r>
    </w:p>
    <w:p w14:paraId="23098A85" w14:textId="77777777" w:rsidR="007D1E74" w:rsidRDefault="00A95641">
      <w:pPr>
        <w:pStyle w:val="aa"/>
      </w:pPr>
      <w:r>
        <w:rPr>
          <w:rFonts w:hint="eastAsia"/>
        </w:rPr>
        <w:t>减少污染处理费用</w:t>
      </w:r>
    </w:p>
    <w:p w14:paraId="4013C537" w14:textId="77777777" w:rsidR="007D1E74" w:rsidRDefault="00A95641">
      <w:pPr>
        <w:spacing w:line="360" w:lineRule="auto"/>
        <w:ind w:firstLineChars="200" w:firstLine="480"/>
        <w:rPr>
          <w:rFonts w:cs="Times New Roman"/>
          <w:sz w:val="24"/>
        </w:rPr>
      </w:pPr>
      <w:r>
        <w:rPr>
          <w:rFonts w:cs="Times New Roman" w:hint="eastAsia"/>
          <w:sz w:val="24"/>
        </w:rPr>
        <w:t>据全国统计数据结果，处理</w:t>
      </w:r>
      <w:r>
        <w:rPr>
          <w:rFonts w:cs="Times New Roman" w:hint="eastAsia"/>
          <w:sz w:val="24"/>
        </w:rPr>
        <w:t>SO</w:t>
      </w:r>
      <w:r>
        <w:rPr>
          <w:rFonts w:cs="Times New Roman" w:hint="eastAsia"/>
          <w:sz w:val="24"/>
          <w:vertAlign w:val="subscript"/>
        </w:rPr>
        <w:t>2</w:t>
      </w:r>
      <w:r>
        <w:rPr>
          <w:rFonts w:cs="Times New Roman" w:hint="eastAsia"/>
          <w:sz w:val="24"/>
        </w:rPr>
        <w:t>所需费用为</w:t>
      </w:r>
      <w:r>
        <w:rPr>
          <w:rFonts w:cs="Times New Roman" w:hint="eastAsia"/>
          <w:sz w:val="24"/>
        </w:rPr>
        <w:t>1.0</w:t>
      </w:r>
      <w:r>
        <w:rPr>
          <w:rFonts w:cs="Times New Roman" w:hint="eastAsia"/>
          <w:sz w:val="24"/>
        </w:rPr>
        <w:t>元</w:t>
      </w:r>
      <w:r>
        <w:rPr>
          <w:rFonts w:cs="Times New Roman" w:hint="eastAsia"/>
          <w:sz w:val="24"/>
        </w:rPr>
        <w:t>/kg</w:t>
      </w:r>
      <w:r>
        <w:rPr>
          <w:rFonts w:cs="Times New Roman" w:hint="eastAsia"/>
          <w:sz w:val="24"/>
        </w:rPr>
        <w:t>，用天然气替代燃油或者燃煤，每年可节约处理</w:t>
      </w:r>
      <w:r>
        <w:rPr>
          <w:rFonts w:cs="Times New Roman" w:hint="eastAsia"/>
          <w:sz w:val="24"/>
        </w:rPr>
        <w:t>SO</w:t>
      </w:r>
      <w:r>
        <w:rPr>
          <w:rFonts w:cs="Times New Roman" w:hint="eastAsia"/>
          <w:sz w:val="24"/>
          <w:vertAlign w:val="subscript"/>
        </w:rPr>
        <w:t>2</w:t>
      </w:r>
      <w:r>
        <w:rPr>
          <w:rFonts w:cs="Times New Roman" w:hint="eastAsia"/>
          <w:sz w:val="24"/>
        </w:rPr>
        <w:t>的资金费用。</w:t>
      </w:r>
    </w:p>
    <w:p w14:paraId="5181B1F6" w14:textId="77777777" w:rsidR="007D1E74" w:rsidRDefault="00A95641">
      <w:pPr>
        <w:pStyle w:val="aa"/>
      </w:pPr>
      <w:r>
        <w:rPr>
          <w:rFonts w:hint="eastAsia"/>
        </w:rPr>
        <w:t>减少运输带来的环境污染</w:t>
      </w:r>
    </w:p>
    <w:p w14:paraId="7795022E" w14:textId="77777777" w:rsidR="007D1E74" w:rsidRDefault="00A95641">
      <w:pPr>
        <w:spacing w:line="360" w:lineRule="auto"/>
        <w:ind w:firstLineChars="200" w:firstLine="480"/>
        <w:rPr>
          <w:rFonts w:cs="Times New Roman"/>
          <w:sz w:val="24"/>
        </w:rPr>
      </w:pPr>
      <w:r>
        <w:rPr>
          <w:rFonts w:cs="Times New Roman" w:hint="eastAsia"/>
          <w:sz w:val="24"/>
        </w:rPr>
        <w:t>管道运输是一种安全、稳定、高效的运送方式，由于天然气采用管道密闭运输的方式，正常运行不会对环境造成污染，如果采用车、船运输，其运输消耗远大于管道运输，同时运输中会产生一定量的大气污染物，如汽车尾气、二次扬尘等。利用管道运输天然气避免了运输对大气环境的污染问题，保护了生态环境，具有较好的环境效益。</w:t>
      </w:r>
    </w:p>
    <w:p w14:paraId="2A819A6B" w14:textId="77777777" w:rsidR="007D1E74" w:rsidRDefault="00A95641">
      <w:pPr>
        <w:pStyle w:val="a9"/>
      </w:pPr>
      <w:r>
        <w:rPr>
          <w:rFonts w:hint="eastAsia"/>
        </w:rPr>
        <w:t>经济正效益分析</w:t>
      </w:r>
    </w:p>
    <w:p w14:paraId="490DD084" w14:textId="77777777" w:rsidR="007D1E74" w:rsidRDefault="00A95641">
      <w:pPr>
        <w:spacing w:line="360" w:lineRule="auto"/>
        <w:ind w:firstLineChars="200" w:firstLine="480"/>
        <w:rPr>
          <w:rFonts w:cs="Times New Roman"/>
          <w:sz w:val="24"/>
        </w:rPr>
      </w:pPr>
      <w:r>
        <w:rPr>
          <w:rFonts w:cs="Times New Roman" w:hint="eastAsia"/>
          <w:sz w:val="24"/>
        </w:rPr>
        <w:t>本工程为天然气集输工程建设项目，根据其施工方案及营运方案，本工程的主要在施工期对生态环境产生影响，从而造成环境损失。针对这些环境损失，结合现有的研究基础，采用一定的模型，同时根据本工程施工期采用的各类环保措施、国家相关的法律法规界定及地方政府的相关要求对本工程施工期环境损失进行货币化衡量。</w:t>
      </w:r>
    </w:p>
    <w:p w14:paraId="32052308" w14:textId="77777777" w:rsidR="007D1E74" w:rsidRDefault="00A95641">
      <w:pPr>
        <w:spacing w:line="360" w:lineRule="auto"/>
        <w:ind w:firstLineChars="200" w:firstLine="480"/>
        <w:rPr>
          <w:rFonts w:cs="Times New Roman"/>
          <w:sz w:val="24"/>
        </w:rPr>
      </w:pPr>
      <w:r>
        <w:rPr>
          <w:rFonts w:cs="Times New Roman" w:hint="eastAsia"/>
          <w:sz w:val="24"/>
        </w:rPr>
        <w:t>本工程生态环境经济损失突出表现为：占地经济损失、植被生态损失、景观环境损失等几个方面。</w:t>
      </w:r>
    </w:p>
    <w:p w14:paraId="0A1DC3E6" w14:textId="77777777" w:rsidR="007D1E74" w:rsidRDefault="00A95641">
      <w:pPr>
        <w:pStyle w:val="aa"/>
      </w:pPr>
      <w:r>
        <w:rPr>
          <w:rFonts w:hint="eastAsia"/>
        </w:rPr>
        <w:t>占地经济损失</w:t>
      </w:r>
    </w:p>
    <w:p w14:paraId="32F107CD" w14:textId="77777777" w:rsidR="007D1E74" w:rsidRDefault="00A95641">
      <w:pPr>
        <w:spacing w:line="360" w:lineRule="auto"/>
        <w:ind w:firstLineChars="200" w:firstLine="480"/>
        <w:rPr>
          <w:rFonts w:cs="Times New Roman"/>
          <w:sz w:val="24"/>
        </w:rPr>
      </w:pPr>
      <w:r>
        <w:rPr>
          <w:rFonts w:cs="Times New Roman" w:hint="eastAsia"/>
          <w:sz w:val="24"/>
        </w:rPr>
        <w:t>综合考虑占用土地类型及对地上附着物（建筑和植物）的各种补偿费用，临时占地一般线路临时占地按</w:t>
      </w:r>
      <w:r>
        <w:rPr>
          <w:rFonts w:cs="Times New Roman" w:hint="eastAsia"/>
          <w:sz w:val="24"/>
        </w:rPr>
        <w:t>1</w:t>
      </w:r>
      <w:r>
        <w:rPr>
          <w:rFonts w:cs="Times New Roman" w:hint="eastAsia"/>
          <w:sz w:val="24"/>
        </w:rPr>
        <w:t>万元</w:t>
      </w:r>
      <w:r>
        <w:rPr>
          <w:rFonts w:cs="Times New Roman" w:hint="eastAsia"/>
          <w:sz w:val="24"/>
        </w:rPr>
        <w:t>/</w:t>
      </w:r>
      <w:r>
        <w:rPr>
          <w:rFonts w:cs="Times New Roman" w:hint="eastAsia"/>
          <w:sz w:val="24"/>
        </w:rPr>
        <w:t>亩。</w:t>
      </w:r>
    </w:p>
    <w:p w14:paraId="63C5149E" w14:textId="77777777" w:rsidR="007D1E74" w:rsidRDefault="00A95641">
      <w:pPr>
        <w:pStyle w:val="aa"/>
        <w:rPr>
          <w:rFonts w:cs="Times New Roman"/>
        </w:rPr>
      </w:pPr>
      <w:r>
        <w:rPr>
          <w:rFonts w:cs="Times New Roman" w:hint="eastAsia"/>
        </w:rPr>
        <w:t>大气环境经济损失分析</w:t>
      </w:r>
    </w:p>
    <w:p w14:paraId="1AB4E6BD" w14:textId="77777777" w:rsidR="007D1E74" w:rsidRDefault="00A95641">
      <w:pPr>
        <w:spacing w:line="360" w:lineRule="auto"/>
        <w:ind w:firstLineChars="200" w:firstLine="480"/>
        <w:rPr>
          <w:rFonts w:cs="Times New Roman"/>
          <w:sz w:val="24"/>
        </w:rPr>
      </w:pPr>
      <w:r>
        <w:rPr>
          <w:rFonts w:cs="Times New Roman" w:hint="eastAsia"/>
          <w:sz w:val="24"/>
        </w:rPr>
        <w:t>施工期大气环境影响主要表现为施工占地的扬尘、油烟气等方面的影响，在本报告书提出的环保措施得到落实的情况下，工程施工期对大气环境的影响较弱。</w:t>
      </w:r>
    </w:p>
    <w:p w14:paraId="2904A55F" w14:textId="77777777" w:rsidR="007D1E74" w:rsidRDefault="00A95641">
      <w:pPr>
        <w:pStyle w:val="aa"/>
        <w:rPr>
          <w:rFonts w:cs="Times New Roman"/>
        </w:rPr>
      </w:pPr>
      <w:r>
        <w:rPr>
          <w:rFonts w:cs="Times New Roman" w:hint="eastAsia"/>
        </w:rPr>
        <w:t>声环境经济损失分析</w:t>
      </w:r>
    </w:p>
    <w:p w14:paraId="3248F6A5" w14:textId="77777777" w:rsidR="007D1E74" w:rsidRDefault="00A95641">
      <w:pPr>
        <w:spacing w:line="360" w:lineRule="auto"/>
        <w:ind w:firstLineChars="200" w:firstLine="480"/>
        <w:rPr>
          <w:rFonts w:cs="Times New Roman"/>
          <w:sz w:val="24"/>
        </w:rPr>
      </w:pPr>
      <w:r>
        <w:rPr>
          <w:rFonts w:cs="Times New Roman" w:hint="eastAsia"/>
          <w:sz w:val="24"/>
        </w:rPr>
        <w:lastRenderedPageBreak/>
        <w:t>施工期声环境影响主要表现为挖掘机、吊管机、电焊机、推土机等机械设备使用产生的噪声，在本报告书提出的环保措施得到落实的情况下，工程施工期对声环境的影响较弱。</w:t>
      </w:r>
    </w:p>
    <w:p w14:paraId="342AD635" w14:textId="77777777" w:rsidR="007D1E74" w:rsidRDefault="00A95641">
      <w:pPr>
        <w:pStyle w:val="aa"/>
        <w:rPr>
          <w:rFonts w:cs="Times New Roman"/>
        </w:rPr>
      </w:pPr>
      <w:r>
        <w:rPr>
          <w:rFonts w:cs="Times New Roman" w:hint="eastAsia"/>
        </w:rPr>
        <w:t>水环境经济损失分析</w:t>
      </w:r>
    </w:p>
    <w:p w14:paraId="6A6886EB" w14:textId="77777777" w:rsidR="007D1E74" w:rsidRDefault="00A95641">
      <w:pPr>
        <w:spacing w:line="360" w:lineRule="auto"/>
        <w:ind w:firstLineChars="200" w:firstLine="480"/>
        <w:rPr>
          <w:rFonts w:cs="Times New Roman"/>
          <w:sz w:val="24"/>
        </w:rPr>
      </w:pPr>
      <w:r>
        <w:rPr>
          <w:rFonts w:cs="Times New Roman" w:hint="eastAsia"/>
          <w:sz w:val="24"/>
        </w:rPr>
        <w:t>施工期水环境影响主要表现为施工场地的生活废水、施工废水等方面的影响，在本报告书提出的环保措施得到落实的情况下，工程施工期对水环境的影响较弱。</w:t>
      </w:r>
    </w:p>
    <w:p w14:paraId="470CD324" w14:textId="77777777" w:rsidR="007D1E74" w:rsidRDefault="00A95641">
      <w:pPr>
        <w:pStyle w:val="aa"/>
        <w:rPr>
          <w:rFonts w:cs="Times New Roman"/>
        </w:rPr>
      </w:pPr>
      <w:r>
        <w:rPr>
          <w:rFonts w:cs="Times New Roman" w:hint="eastAsia"/>
        </w:rPr>
        <w:t>固体废弃物环境经济损失分析</w:t>
      </w:r>
    </w:p>
    <w:p w14:paraId="520CE9E3" w14:textId="77777777" w:rsidR="007D1E74" w:rsidRDefault="00A95641">
      <w:pPr>
        <w:spacing w:line="360" w:lineRule="auto"/>
        <w:ind w:firstLineChars="200" w:firstLine="480"/>
        <w:rPr>
          <w:rFonts w:cs="Times New Roman"/>
          <w:sz w:val="24"/>
        </w:rPr>
      </w:pPr>
      <w:r>
        <w:rPr>
          <w:rFonts w:cs="Times New Roman" w:hint="eastAsia"/>
          <w:sz w:val="24"/>
        </w:rPr>
        <w:t>施工期固废环境影响主要表现为施工废气土石方、生活垃圾、建筑垃圾等方面的影响，在本报告书提出的环保措施得到落实的情况下，工程施工期对固废环境的影响较弱。</w:t>
      </w:r>
    </w:p>
    <w:p w14:paraId="54759330" w14:textId="77777777" w:rsidR="007D1E74" w:rsidRDefault="00A95641">
      <w:pPr>
        <w:spacing w:line="360" w:lineRule="auto"/>
        <w:ind w:firstLineChars="200" w:firstLine="480"/>
        <w:rPr>
          <w:rFonts w:cs="Times New Roman"/>
          <w:sz w:val="24"/>
        </w:rPr>
      </w:pPr>
      <w:r>
        <w:rPr>
          <w:rFonts w:cs="Times New Roman" w:hint="eastAsia"/>
          <w:sz w:val="24"/>
        </w:rPr>
        <w:t>营运期固废环境影响主要表现为清管废渣，在本报告书提出的环保措施得到落实的情况下，工程营运期对固废环境的影响较弱。</w:t>
      </w:r>
    </w:p>
    <w:p w14:paraId="3D9C7D97" w14:textId="77777777" w:rsidR="007D1E74" w:rsidRDefault="00A95641">
      <w:pPr>
        <w:pStyle w:val="a8"/>
      </w:pPr>
      <w:r>
        <w:rPr>
          <w:rFonts w:hint="eastAsia"/>
        </w:rPr>
        <w:t>小结</w:t>
      </w:r>
    </w:p>
    <w:p w14:paraId="378AEBF0" w14:textId="77777777" w:rsidR="007D1E74" w:rsidRDefault="00A95641">
      <w:pPr>
        <w:spacing w:line="360" w:lineRule="auto"/>
        <w:ind w:firstLineChars="200" w:firstLine="480"/>
        <w:rPr>
          <w:rFonts w:cs="Times New Roman"/>
          <w:sz w:val="24"/>
        </w:rPr>
      </w:pPr>
      <w:r>
        <w:rPr>
          <w:rFonts w:cs="Times New Roman" w:hint="eastAsia"/>
          <w:sz w:val="24"/>
        </w:rPr>
        <w:t>项目作为一项能源基础设施建设项目，能有效改善沿线城市及农村天然气供应和储配系统，减少燃煤量和污染物排放量，有利于沿线城市能源结构的改善和节能减排目标的实现。项目建成后将形成省内新的天然气管道输送配置系统，不仅能产生较大的经济效益，还具有节能减耗增效、环境安全等优势。本工程对环境的影响，从长远角度考虑，有利于环境质量改善，正面影响大于负面影响；天然气的应用，对提高人民生活质量、加快国民经济的发展产生积极作用，同时会为社会上缴大量税金，社会效益明显。因此本工程从环境经济损益分析考虑利大于弊，项目可行。</w:t>
      </w:r>
    </w:p>
    <w:p w14:paraId="678A271C" w14:textId="77777777" w:rsidR="007D1E74" w:rsidRDefault="007D1E74">
      <w:pPr>
        <w:spacing w:line="360" w:lineRule="auto"/>
        <w:rPr>
          <w:sz w:val="24"/>
          <w:szCs w:val="24"/>
        </w:rPr>
      </w:pPr>
    </w:p>
    <w:p w14:paraId="3A0B3D9B" w14:textId="77777777" w:rsidR="007D1E74" w:rsidRDefault="007D1E74">
      <w:pPr>
        <w:spacing w:line="360" w:lineRule="auto"/>
        <w:rPr>
          <w:sz w:val="24"/>
          <w:szCs w:val="24"/>
        </w:rPr>
      </w:pPr>
    </w:p>
    <w:p w14:paraId="5C473461" w14:textId="77777777" w:rsidR="007D1E74" w:rsidRDefault="00A95641">
      <w:pPr>
        <w:rPr>
          <w:sz w:val="24"/>
          <w:szCs w:val="24"/>
        </w:rPr>
      </w:pPr>
      <w:r>
        <w:rPr>
          <w:rFonts w:hint="eastAsia"/>
          <w:sz w:val="24"/>
          <w:szCs w:val="24"/>
        </w:rPr>
        <w:br w:type="page"/>
      </w:r>
    </w:p>
    <w:p w14:paraId="32B15B9C" w14:textId="77777777" w:rsidR="007D1E74" w:rsidRDefault="00A95641">
      <w:pPr>
        <w:pStyle w:val="a7"/>
      </w:pPr>
      <w:r>
        <w:lastRenderedPageBreak/>
        <w:t>环境管理与环境监测计划</w:t>
      </w:r>
    </w:p>
    <w:p w14:paraId="59143880" w14:textId="77777777" w:rsidR="007D1E74" w:rsidRDefault="00A95641">
      <w:pPr>
        <w:spacing w:line="360" w:lineRule="auto"/>
        <w:ind w:firstLineChars="200" w:firstLine="480"/>
        <w:rPr>
          <w:sz w:val="24"/>
        </w:rPr>
      </w:pPr>
      <w:r>
        <w:rPr>
          <w:rFonts w:cs="Times New Roman"/>
          <w:sz w:val="24"/>
        </w:rPr>
        <w:t>环境管理是企业管理的一项重要内容，加强环境监督管理力度，尽可能的减少</w:t>
      </w:r>
      <w:r>
        <w:rPr>
          <w:rFonts w:cs="Times New Roman"/>
          <w:sz w:val="24"/>
        </w:rPr>
        <w:t>“</w:t>
      </w:r>
      <w:r>
        <w:rPr>
          <w:rFonts w:cs="Times New Roman"/>
          <w:sz w:val="24"/>
        </w:rPr>
        <w:t>三废</w:t>
      </w:r>
      <w:r>
        <w:rPr>
          <w:rFonts w:cs="Times New Roman"/>
          <w:sz w:val="24"/>
        </w:rPr>
        <w:t>”</w:t>
      </w:r>
      <w:r>
        <w:rPr>
          <w:rFonts w:cs="Times New Roman"/>
          <w:sz w:val="24"/>
        </w:rPr>
        <w:t>排放数量及提高资源的合理利用率，把对环境的不良影响减小到最低限度。环境监测是环境管理的重要组成部分，加强环境监测是了解和掌握项目排污特征，研究污染发展趋势及防治对策的重要依据与途径。</w:t>
      </w:r>
    </w:p>
    <w:p w14:paraId="77C8759E" w14:textId="77777777" w:rsidR="007D1E74" w:rsidRDefault="00A95641">
      <w:pPr>
        <w:spacing w:line="360" w:lineRule="auto"/>
        <w:ind w:firstLineChars="200" w:firstLine="480"/>
        <w:rPr>
          <w:sz w:val="24"/>
        </w:rPr>
      </w:pPr>
      <w:r>
        <w:rPr>
          <w:rFonts w:cs="Times New Roman"/>
          <w:sz w:val="24"/>
        </w:rPr>
        <w:t>本管道工程线路较短，对环境的影响主要来自施工期的各种作业活动及运行期的风险事故。无论是施工期的各种作业活动还是运行期的事故，都将会给生态环境带来较大的影响。为最大限度地减轻施工作业对生态环境的影响，减少事故的发生，确保管道安全运行，建立科学有效的环境管理体制，落实各项环保和安全措施尤为重要。</w:t>
      </w:r>
    </w:p>
    <w:p w14:paraId="6055168C" w14:textId="77777777" w:rsidR="007D1E74" w:rsidRDefault="00A95641">
      <w:pPr>
        <w:spacing w:line="360" w:lineRule="auto"/>
        <w:ind w:firstLineChars="200" w:firstLine="480"/>
        <w:rPr>
          <w:sz w:val="24"/>
        </w:rPr>
      </w:pPr>
      <w:r>
        <w:rPr>
          <w:rFonts w:cs="Times New Roman"/>
          <w:sz w:val="24"/>
        </w:rPr>
        <w:t>因此，做好环境管理与环境监测工作具有非常重要的意义。</w:t>
      </w:r>
    </w:p>
    <w:p w14:paraId="3B4EE548" w14:textId="77777777" w:rsidR="007D1E74" w:rsidRDefault="00A95641">
      <w:pPr>
        <w:pStyle w:val="a8"/>
      </w:pPr>
      <w:r>
        <w:rPr>
          <w:rFonts w:hint="eastAsia"/>
        </w:rPr>
        <w:t>环境管理</w:t>
      </w:r>
    </w:p>
    <w:p w14:paraId="5CBECEA0" w14:textId="77777777" w:rsidR="007D1E74" w:rsidRDefault="00A95641">
      <w:pPr>
        <w:pStyle w:val="a9"/>
      </w:pPr>
      <w:r>
        <w:rPr>
          <w:rFonts w:hint="eastAsia"/>
        </w:rPr>
        <w:t>环境管理机构</w:t>
      </w:r>
    </w:p>
    <w:p w14:paraId="1F09B74E" w14:textId="77777777" w:rsidR="007D1E74" w:rsidRDefault="00A95641">
      <w:pPr>
        <w:spacing w:line="360" w:lineRule="auto"/>
        <w:ind w:firstLineChars="200" w:firstLine="480"/>
        <w:rPr>
          <w:sz w:val="24"/>
        </w:rPr>
      </w:pPr>
      <w:r>
        <w:rPr>
          <w:rFonts w:cs="Times New Roman"/>
          <w:sz w:val="24"/>
        </w:rPr>
        <w:t>本工程由中国石油化工股份有限公司中原油田普光分公司直接进行管理，负责本工程天然气管道的生产和管理。管道公司下设各输气管理处，负责本管道的生产运营、日常维护等工作。</w:t>
      </w:r>
    </w:p>
    <w:p w14:paraId="52C9E362" w14:textId="77777777" w:rsidR="007D1E74" w:rsidRDefault="00A95641">
      <w:pPr>
        <w:spacing w:line="360" w:lineRule="auto"/>
        <w:ind w:firstLineChars="200" w:firstLine="480"/>
        <w:rPr>
          <w:rFonts w:cs="Times New Roman"/>
          <w:sz w:val="24"/>
        </w:rPr>
      </w:pPr>
      <w:r>
        <w:rPr>
          <w:rFonts w:cs="Times New Roman"/>
          <w:sz w:val="24"/>
        </w:rPr>
        <w:t>为做好环境管理工作，应设置环境管理机构，建立</w:t>
      </w:r>
      <w:r>
        <w:rPr>
          <w:rFonts w:cs="Times New Roman"/>
          <w:sz w:val="24"/>
        </w:rPr>
        <w:t>HSE</w:t>
      </w:r>
      <w:r>
        <w:rPr>
          <w:rFonts w:cs="Times New Roman"/>
          <w:sz w:val="24"/>
        </w:rPr>
        <w:t>管理体系，成立</w:t>
      </w:r>
      <w:r>
        <w:rPr>
          <w:rFonts w:cs="Times New Roman"/>
          <w:sz w:val="24"/>
        </w:rPr>
        <w:t>HSE</w:t>
      </w:r>
      <w:r>
        <w:rPr>
          <w:rFonts w:cs="Times New Roman"/>
          <w:sz w:val="24"/>
        </w:rPr>
        <w:t>管理办公室，负责监督和管理工程施期与运行期的环境保护措施的制定、落实及环境工程的施工监督、检查与验收，负责运行期的环境监测、事故防范和环境保护管理。</w:t>
      </w:r>
    </w:p>
    <w:p w14:paraId="2624FB59" w14:textId="77777777" w:rsidR="007D1E74" w:rsidRDefault="00A95641">
      <w:pPr>
        <w:pStyle w:val="a9"/>
      </w:pPr>
      <w:r>
        <w:rPr>
          <w:rFonts w:hint="eastAsia"/>
        </w:rPr>
        <w:t>HSE</w:t>
      </w:r>
      <w:r>
        <w:rPr>
          <w:rFonts w:hint="eastAsia"/>
        </w:rPr>
        <w:t>管理体系</w:t>
      </w:r>
    </w:p>
    <w:p w14:paraId="73CB4984" w14:textId="77777777" w:rsidR="007D1E74" w:rsidRDefault="00A95641">
      <w:pPr>
        <w:spacing w:line="360" w:lineRule="auto"/>
        <w:ind w:firstLineChars="200" w:firstLine="480"/>
        <w:rPr>
          <w:sz w:val="24"/>
        </w:rPr>
      </w:pPr>
      <w:r>
        <w:rPr>
          <w:rFonts w:cs="Times New Roman"/>
          <w:sz w:val="24"/>
        </w:rPr>
        <w:t>HSE</w:t>
      </w:r>
      <w:r>
        <w:rPr>
          <w:rFonts w:cs="Times New Roman"/>
          <w:sz w:val="24"/>
        </w:rPr>
        <w:t>管理体系是国际石油石化企业通用的一种管理模式，具有系统化、科学化、规模化的特点，被国外大石油公司广泛采用。本工程应建立施工期和运营期的</w:t>
      </w:r>
      <w:r>
        <w:rPr>
          <w:rFonts w:cs="Times New Roman"/>
          <w:sz w:val="24"/>
        </w:rPr>
        <w:t>HSE</w:t>
      </w:r>
      <w:r>
        <w:rPr>
          <w:rFonts w:cs="Times New Roman"/>
          <w:sz w:val="24"/>
        </w:rPr>
        <w:t>管理程序框架和运行方案，对生产管理人员和施工人员、操作人员进行</w:t>
      </w:r>
      <w:r>
        <w:rPr>
          <w:rFonts w:cs="Times New Roman"/>
          <w:sz w:val="24"/>
        </w:rPr>
        <w:t>HSE</w:t>
      </w:r>
      <w:r>
        <w:rPr>
          <w:rFonts w:cs="Times New Roman"/>
          <w:sz w:val="24"/>
        </w:rPr>
        <w:t>培训，将使各种施工作业活动中施工人员的健康、安全得到保证，对环境的破坏和影响降低到最小程度。</w:t>
      </w:r>
    </w:p>
    <w:p w14:paraId="58D03208" w14:textId="77777777" w:rsidR="007D1E74" w:rsidRDefault="00A95641">
      <w:pPr>
        <w:pStyle w:val="aa"/>
      </w:pPr>
      <w:r>
        <w:rPr>
          <w:rFonts w:hint="eastAsia"/>
        </w:rPr>
        <w:t>组织机构建立</w:t>
      </w:r>
    </w:p>
    <w:p w14:paraId="461C3818" w14:textId="77777777" w:rsidR="007D1E74" w:rsidRDefault="00A95641">
      <w:pPr>
        <w:spacing w:line="360" w:lineRule="auto"/>
        <w:ind w:firstLineChars="200" w:firstLine="480"/>
        <w:rPr>
          <w:sz w:val="24"/>
        </w:rPr>
      </w:pPr>
      <w:r>
        <w:rPr>
          <w:rFonts w:cs="Times New Roman"/>
          <w:sz w:val="24"/>
        </w:rPr>
        <w:t>成立</w:t>
      </w:r>
      <w:r>
        <w:rPr>
          <w:rFonts w:cs="Times New Roman"/>
          <w:sz w:val="24"/>
        </w:rPr>
        <w:t>HSE</w:t>
      </w:r>
      <w:r>
        <w:rPr>
          <w:rFonts w:cs="Times New Roman"/>
          <w:sz w:val="24"/>
        </w:rPr>
        <w:t>管理办公室，由公司经理、主管</w:t>
      </w:r>
      <w:r>
        <w:rPr>
          <w:rFonts w:cs="Times New Roman"/>
          <w:sz w:val="24"/>
        </w:rPr>
        <w:t>HSE</w:t>
      </w:r>
      <w:r>
        <w:rPr>
          <w:rFonts w:cs="Times New Roman"/>
          <w:sz w:val="24"/>
        </w:rPr>
        <w:t>副经理、</w:t>
      </w:r>
      <w:r>
        <w:rPr>
          <w:rFonts w:cs="Times New Roman"/>
          <w:sz w:val="24"/>
        </w:rPr>
        <w:t>HSE</w:t>
      </w:r>
      <w:r>
        <w:rPr>
          <w:rFonts w:cs="Times New Roman"/>
          <w:sz w:val="24"/>
        </w:rPr>
        <w:t>专职人员和各主要部门负责人组成。公司经理主要负责制定环境方针和环境目标，为环境管理方案的执行提供必要的支持和物质保障等；主管</w:t>
      </w:r>
      <w:r>
        <w:rPr>
          <w:rFonts w:cs="Times New Roman"/>
          <w:sz w:val="24"/>
        </w:rPr>
        <w:t>HSE</w:t>
      </w:r>
      <w:r>
        <w:rPr>
          <w:rFonts w:cs="Times New Roman"/>
          <w:sz w:val="24"/>
        </w:rPr>
        <w:t>工作的副经理，在环境管理中代表项目经理行</w:t>
      </w:r>
      <w:r>
        <w:rPr>
          <w:rFonts w:cs="Times New Roman"/>
          <w:sz w:val="24"/>
        </w:rPr>
        <w:lastRenderedPageBreak/>
        <w:t>使职权，监督体系的建立和实施等；公司</w:t>
      </w:r>
      <w:r>
        <w:rPr>
          <w:rFonts w:cs="Times New Roman"/>
          <w:sz w:val="24"/>
        </w:rPr>
        <w:t>HSE</w:t>
      </w:r>
      <w:r>
        <w:rPr>
          <w:rFonts w:cs="Times New Roman"/>
          <w:sz w:val="24"/>
        </w:rPr>
        <w:t>人员，负责监督</w:t>
      </w:r>
      <w:r>
        <w:rPr>
          <w:rFonts w:cs="Times New Roman"/>
          <w:sz w:val="24"/>
        </w:rPr>
        <w:t>HSE</w:t>
      </w:r>
      <w:r>
        <w:rPr>
          <w:rFonts w:cs="Times New Roman"/>
          <w:sz w:val="24"/>
        </w:rPr>
        <w:t>相关标准的贯彻实施，确保所有有关</w:t>
      </w:r>
      <w:r>
        <w:rPr>
          <w:rFonts w:cs="Times New Roman"/>
          <w:sz w:val="24"/>
        </w:rPr>
        <w:t>HSE</w:t>
      </w:r>
      <w:r>
        <w:rPr>
          <w:rFonts w:cs="Times New Roman"/>
          <w:sz w:val="24"/>
        </w:rPr>
        <w:t>方面的要求能正确、完全的执行等。</w:t>
      </w:r>
    </w:p>
    <w:p w14:paraId="43A0CCBB" w14:textId="77777777" w:rsidR="007D1E74" w:rsidRDefault="00A95641">
      <w:pPr>
        <w:pStyle w:val="aa"/>
      </w:pPr>
      <w:r>
        <w:rPr>
          <w:rFonts w:hint="eastAsia"/>
        </w:rPr>
        <w:t>HSE</w:t>
      </w:r>
      <w:r>
        <w:rPr>
          <w:rFonts w:hint="eastAsia"/>
        </w:rPr>
        <w:t>文件编写及控制</w:t>
      </w:r>
    </w:p>
    <w:p w14:paraId="0ADAFDE0" w14:textId="77777777" w:rsidR="007D1E74" w:rsidRDefault="00A95641">
      <w:pPr>
        <w:spacing w:line="360" w:lineRule="auto"/>
        <w:ind w:firstLineChars="200" w:firstLine="480"/>
        <w:rPr>
          <w:sz w:val="24"/>
        </w:rPr>
      </w:pPr>
      <w:r>
        <w:rPr>
          <w:rFonts w:cs="Times New Roman"/>
          <w:sz w:val="24"/>
        </w:rPr>
        <w:t>本工程建立</w:t>
      </w:r>
      <w:r>
        <w:rPr>
          <w:rFonts w:cs="Times New Roman"/>
          <w:sz w:val="24"/>
        </w:rPr>
        <w:t>HSE</w:t>
      </w:r>
      <w:r>
        <w:rPr>
          <w:rFonts w:cs="Times New Roman"/>
          <w:sz w:val="24"/>
        </w:rPr>
        <w:t>管理体系时，应编制</w:t>
      </w:r>
      <w:r>
        <w:rPr>
          <w:rFonts w:cs="Times New Roman"/>
          <w:sz w:val="24"/>
        </w:rPr>
        <w:t>HSE</w:t>
      </w:r>
      <w:r>
        <w:rPr>
          <w:rFonts w:cs="Times New Roman"/>
          <w:sz w:val="24"/>
        </w:rPr>
        <w:t>管理手册、各种程序管理文件、管理作业文件和各类操作规程。本工程施工期和投入运行后，</w:t>
      </w:r>
      <w:r>
        <w:rPr>
          <w:rFonts w:cs="Times New Roman"/>
          <w:sz w:val="24"/>
        </w:rPr>
        <w:t>HSE</w:t>
      </w:r>
      <w:r>
        <w:rPr>
          <w:rFonts w:cs="Times New Roman"/>
          <w:sz w:val="24"/>
        </w:rPr>
        <w:t>管理小组应在管理体系框架下为本工程的</w:t>
      </w:r>
      <w:r>
        <w:rPr>
          <w:rFonts w:cs="Times New Roman"/>
          <w:sz w:val="24"/>
        </w:rPr>
        <w:t>HSE</w:t>
      </w:r>
      <w:r>
        <w:rPr>
          <w:rFonts w:cs="Times New Roman"/>
          <w:sz w:val="24"/>
        </w:rPr>
        <w:t>管理和安全操作选定必要的规章制度和操作规程。其主要包括：</w:t>
      </w:r>
      <w:r>
        <w:rPr>
          <w:rFonts w:cs="Times New Roman"/>
          <w:sz w:val="24"/>
        </w:rPr>
        <w:t>①</w:t>
      </w:r>
      <w:r>
        <w:rPr>
          <w:rFonts w:cs="Times New Roman"/>
          <w:sz w:val="24"/>
        </w:rPr>
        <w:t>施工期的安全操作规程；</w:t>
      </w:r>
      <w:r>
        <w:rPr>
          <w:rFonts w:cs="Times New Roman"/>
          <w:sz w:val="24"/>
        </w:rPr>
        <w:t>②</w:t>
      </w:r>
      <w:r>
        <w:rPr>
          <w:rFonts w:cs="Times New Roman"/>
          <w:sz w:val="24"/>
        </w:rPr>
        <w:t>清管试压过程安全操作规程；</w:t>
      </w:r>
      <w:r>
        <w:rPr>
          <w:rFonts w:cs="Times New Roman"/>
          <w:sz w:val="24"/>
        </w:rPr>
        <w:t>③</w:t>
      </w:r>
      <w:r>
        <w:rPr>
          <w:rFonts w:cs="Times New Roman"/>
          <w:sz w:val="24"/>
        </w:rPr>
        <w:t>生产过程安全操作规程；</w:t>
      </w:r>
      <w:r>
        <w:rPr>
          <w:rFonts w:cs="Times New Roman"/>
          <w:sz w:val="24"/>
        </w:rPr>
        <w:t>④</w:t>
      </w:r>
      <w:r>
        <w:rPr>
          <w:rFonts w:cs="Times New Roman"/>
          <w:sz w:val="24"/>
        </w:rPr>
        <w:t>设备检修过程安全操作规程；</w:t>
      </w:r>
      <w:r>
        <w:rPr>
          <w:rFonts w:cs="Times New Roman"/>
          <w:sz w:val="24"/>
        </w:rPr>
        <w:t>⑤</w:t>
      </w:r>
      <w:r>
        <w:rPr>
          <w:rFonts w:cs="Times New Roman"/>
          <w:sz w:val="24"/>
        </w:rPr>
        <w:t>正常运行过程安全操作规程；</w:t>
      </w:r>
      <w:r>
        <w:rPr>
          <w:rFonts w:cs="Times New Roman"/>
          <w:sz w:val="24"/>
        </w:rPr>
        <w:t>⑥</w:t>
      </w:r>
      <w:r>
        <w:rPr>
          <w:rFonts w:cs="Times New Roman"/>
          <w:sz w:val="24"/>
        </w:rPr>
        <w:t>非正常运行过程安全操作规程；</w:t>
      </w:r>
      <w:r>
        <w:rPr>
          <w:rFonts w:cs="Times New Roman"/>
          <w:sz w:val="24"/>
        </w:rPr>
        <w:t>⑦</w:t>
      </w:r>
      <w:r>
        <w:rPr>
          <w:rFonts w:cs="Times New Roman"/>
          <w:sz w:val="24"/>
        </w:rPr>
        <w:t>应急处理故障、事故过程安全操作规程；</w:t>
      </w:r>
      <w:r>
        <w:rPr>
          <w:rFonts w:cs="Times New Roman"/>
          <w:sz w:val="24"/>
        </w:rPr>
        <w:t>⑧</w:t>
      </w:r>
      <w:r>
        <w:rPr>
          <w:rFonts w:cs="Times New Roman"/>
          <w:sz w:val="24"/>
        </w:rPr>
        <w:t>各种特殊作业（吊管起重、动土、危险区域用火、进入设备场地）的安全操作规程；施工期、运行期的环境保护管理规程。</w:t>
      </w:r>
    </w:p>
    <w:p w14:paraId="0E4A28FC" w14:textId="77777777" w:rsidR="007D1E74" w:rsidRDefault="00A95641">
      <w:pPr>
        <w:spacing w:line="360" w:lineRule="auto"/>
        <w:ind w:firstLineChars="200" w:firstLine="480"/>
        <w:rPr>
          <w:sz w:val="24"/>
        </w:rPr>
      </w:pPr>
      <w:r>
        <w:rPr>
          <w:rFonts w:cs="Times New Roman"/>
          <w:sz w:val="24"/>
        </w:rPr>
        <w:t>同时，要做好文件的控制和管理，包括所有文件都必须报公司</w:t>
      </w:r>
      <w:r>
        <w:rPr>
          <w:rFonts w:cs="Times New Roman"/>
          <w:sz w:val="24"/>
        </w:rPr>
        <w:t>HSE</w:t>
      </w:r>
      <w:r>
        <w:rPr>
          <w:rFonts w:cs="Times New Roman"/>
          <w:sz w:val="24"/>
        </w:rPr>
        <w:t>管理部门审查，由相关责任人签发；经批准的文件应及时下发给各有关岗位，要求他们按照文件执行；由专人负责进行保管，有一定的存放位置，并能迅速查找；根据需要，定期对文件进行审核和修改，确保现存文件的适宜性；现行的相关文件在需要它的操作地点应易于得到；凡对管理体系的有效运行具有关键作用的岗位，都能得到有关文件的现行版本；失效的文件如不能及时销毁，应立即从所有曾经发放和使用的场所收回，避免继续使用。</w:t>
      </w:r>
    </w:p>
    <w:p w14:paraId="4E12FE46" w14:textId="77777777" w:rsidR="007D1E74" w:rsidRDefault="00A95641">
      <w:pPr>
        <w:pStyle w:val="aa"/>
      </w:pPr>
      <w:r>
        <w:rPr>
          <w:rFonts w:hint="eastAsia"/>
        </w:rPr>
        <w:t>人员的培训及能力评估</w:t>
      </w:r>
    </w:p>
    <w:p w14:paraId="49B19C25" w14:textId="77777777" w:rsidR="007D1E74" w:rsidRDefault="00A95641">
      <w:pPr>
        <w:spacing w:line="360" w:lineRule="auto"/>
        <w:ind w:firstLineChars="200" w:firstLine="480"/>
        <w:rPr>
          <w:sz w:val="24"/>
        </w:rPr>
      </w:pPr>
      <w:r>
        <w:rPr>
          <w:rFonts w:cs="Times New Roman"/>
          <w:sz w:val="24"/>
        </w:rPr>
        <w:t>应确保从事本工程关键性健康、安全与环境工作和任务的人员具有良好的个人素质及通过实践提高其技能和不断更新知识的能力。为确保企业员工具备称职资格，应建立相应的培训保证体系，并对员工完成任务的能力进行定期评审和评价。</w:t>
      </w:r>
    </w:p>
    <w:p w14:paraId="3DC013AE" w14:textId="77777777" w:rsidR="007D1E74" w:rsidRDefault="00A95641">
      <w:pPr>
        <w:spacing w:line="360" w:lineRule="auto"/>
        <w:ind w:firstLineChars="200" w:firstLine="480"/>
        <w:rPr>
          <w:sz w:val="24"/>
        </w:rPr>
      </w:pPr>
      <w:r>
        <w:rPr>
          <w:rFonts w:cs="Times New Roman"/>
          <w:sz w:val="24"/>
        </w:rPr>
        <w:t>（</w:t>
      </w:r>
      <w:r>
        <w:rPr>
          <w:rFonts w:cs="Times New Roman"/>
          <w:sz w:val="24"/>
        </w:rPr>
        <w:t>1</w:t>
      </w:r>
      <w:r>
        <w:rPr>
          <w:rFonts w:cs="Times New Roman"/>
          <w:sz w:val="24"/>
        </w:rPr>
        <w:t>）员工培训</w:t>
      </w:r>
    </w:p>
    <w:p w14:paraId="0CBFC4B1" w14:textId="77777777" w:rsidR="007D1E74" w:rsidRDefault="00A95641">
      <w:pPr>
        <w:spacing w:line="360" w:lineRule="auto"/>
        <w:ind w:firstLineChars="200" w:firstLine="480"/>
        <w:rPr>
          <w:sz w:val="24"/>
        </w:rPr>
      </w:pPr>
      <w:r>
        <w:rPr>
          <w:rFonts w:cs="Times New Roman"/>
          <w:sz w:val="24"/>
        </w:rPr>
        <w:t>培训工作包括上岗前的</w:t>
      </w:r>
      <w:r>
        <w:rPr>
          <w:rFonts w:cs="Times New Roman"/>
          <w:sz w:val="24"/>
        </w:rPr>
        <w:t xml:space="preserve"> HSE </w:t>
      </w:r>
      <w:r>
        <w:rPr>
          <w:rFonts w:cs="Times New Roman"/>
          <w:sz w:val="24"/>
        </w:rPr>
        <w:t>培训及上岗后的定期</w:t>
      </w:r>
      <w:r>
        <w:rPr>
          <w:rFonts w:cs="Times New Roman"/>
          <w:sz w:val="24"/>
        </w:rPr>
        <w:t xml:space="preserve"> HSE </w:t>
      </w:r>
      <w:r>
        <w:rPr>
          <w:rFonts w:cs="Times New Roman"/>
          <w:sz w:val="24"/>
        </w:rPr>
        <w:t>培训。培训的方式可采取理论培训和现场演练两种方式。培训的内容包括基础培训、技能培训和应急培训三部分。</w:t>
      </w:r>
    </w:p>
    <w:p w14:paraId="33E982E8" w14:textId="77777777" w:rsidR="007D1E74" w:rsidRDefault="00A95641">
      <w:pPr>
        <w:spacing w:line="360" w:lineRule="auto"/>
        <w:ind w:firstLineChars="200" w:firstLine="480"/>
        <w:rPr>
          <w:sz w:val="24"/>
        </w:rPr>
      </w:pPr>
      <w:r>
        <w:rPr>
          <w:rFonts w:cs="Times New Roman"/>
          <w:sz w:val="24"/>
        </w:rPr>
        <w:t>（</w:t>
      </w:r>
      <w:r>
        <w:rPr>
          <w:rFonts w:cs="Times New Roman"/>
          <w:sz w:val="24"/>
        </w:rPr>
        <w:t>2</w:t>
      </w:r>
      <w:r>
        <w:rPr>
          <w:rFonts w:cs="Times New Roman"/>
          <w:sz w:val="24"/>
        </w:rPr>
        <w:t>）能力评估</w:t>
      </w:r>
    </w:p>
    <w:p w14:paraId="204FD87F" w14:textId="77777777" w:rsidR="007D1E74" w:rsidRDefault="00A95641">
      <w:pPr>
        <w:spacing w:line="360" w:lineRule="auto"/>
        <w:ind w:firstLineChars="200" w:firstLine="480"/>
        <w:rPr>
          <w:sz w:val="24"/>
        </w:rPr>
      </w:pPr>
      <w:r>
        <w:rPr>
          <w:rFonts w:cs="Times New Roman"/>
          <w:sz w:val="24"/>
        </w:rPr>
        <w:t>应通过正规程序对员工的能力进行定期评估，并形成文件。公司应建立针对不同职责人员的评估程序。程序内容主要包括资历、工作表现、理论考核和操作考核等。评估合格者，发给上岗证书，上岗操作。评估不合格者，或调离本工作岗位，或安排进一步的培训使其达到上岗要求。评审应每二年一次。</w:t>
      </w:r>
    </w:p>
    <w:p w14:paraId="32314E4A" w14:textId="77777777" w:rsidR="007D1E74" w:rsidRDefault="00A95641">
      <w:pPr>
        <w:pStyle w:val="aa"/>
      </w:pPr>
      <w:r>
        <w:rPr>
          <w:rFonts w:hint="eastAsia"/>
        </w:rPr>
        <w:t>人员的培训及能力评估</w:t>
      </w:r>
    </w:p>
    <w:p w14:paraId="289531AB" w14:textId="77777777" w:rsidR="007D1E74" w:rsidRDefault="00A95641">
      <w:pPr>
        <w:spacing w:line="360" w:lineRule="auto"/>
        <w:ind w:firstLineChars="200" w:firstLine="480"/>
        <w:rPr>
          <w:sz w:val="24"/>
        </w:rPr>
      </w:pPr>
      <w:r>
        <w:rPr>
          <w:rFonts w:cs="Times New Roman"/>
          <w:sz w:val="24"/>
        </w:rPr>
        <w:lastRenderedPageBreak/>
        <w:t>应结合本工程环评识别的施工期和运营期工艺流程、污染和风险源项、危害和影响程度识别以及评价的结果，结合本工程安全评价、职业卫生评价篇章的成果，侧重在以下方面开展工作：</w:t>
      </w:r>
      <w:r>
        <w:rPr>
          <w:rFonts w:cs="Times New Roman"/>
          <w:sz w:val="24"/>
        </w:rPr>
        <w:t>①</w:t>
      </w:r>
      <w:r>
        <w:rPr>
          <w:rFonts w:cs="Times New Roman"/>
          <w:sz w:val="24"/>
        </w:rPr>
        <w:t>工艺流程分析；</w:t>
      </w:r>
      <w:r>
        <w:rPr>
          <w:rFonts w:cs="Times New Roman"/>
          <w:sz w:val="24"/>
        </w:rPr>
        <w:t>②</w:t>
      </w:r>
      <w:r>
        <w:rPr>
          <w:rFonts w:cs="Times New Roman"/>
          <w:sz w:val="24"/>
        </w:rPr>
        <w:t>污染生态危害和影响分析；</w:t>
      </w:r>
      <w:r>
        <w:rPr>
          <w:rFonts w:cs="Times New Roman"/>
          <w:sz w:val="24"/>
        </w:rPr>
        <w:t>③</w:t>
      </w:r>
      <w:r>
        <w:rPr>
          <w:rFonts w:cs="Times New Roman"/>
          <w:sz w:val="24"/>
        </w:rPr>
        <w:t>泄漏事故危害和风险影响分析；</w:t>
      </w:r>
      <w:r>
        <w:rPr>
          <w:rFonts w:cs="Times New Roman"/>
          <w:sz w:val="24"/>
        </w:rPr>
        <w:t>④</w:t>
      </w:r>
      <w:r>
        <w:rPr>
          <w:rFonts w:cs="Times New Roman"/>
          <w:sz w:val="24"/>
        </w:rPr>
        <w:t>建立预防危害的防范措施；</w:t>
      </w:r>
      <w:r>
        <w:rPr>
          <w:rFonts w:cs="Times New Roman"/>
          <w:sz w:val="24"/>
        </w:rPr>
        <w:t>⑤</w:t>
      </w:r>
      <w:r>
        <w:rPr>
          <w:rFonts w:cs="Times New Roman"/>
          <w:sz w:val="24"/>
        </w:rPr>
        <w:t>制定环境保护措施；</w:t>
      </w:r>
      <w:r>
        <w:rPr>
          <w:rFonts w:cs="Times New Roman"/>
          <w:sz w:val="24"/>
        </w:rPr>
        <w:t>⑥</w:t>
      </w:r>
      <w:r>
        <w:rPr>
          <w:rFonts w:cs="Times New Roman"/>
          <w:sz w:val="24"/>
        </w:rPr>
        <w:t>建立准许作业手册和应急预案。</w:t>
      </w:r>
    </w:p>
    <w:p w14:paraId="7E9F3D37" w14:textId="77777777" w:rsidR="007D1E74" w:rsidRDefault="00A95641">
      <w:pPr>
        <w:pStyle w:val="a9"/>
      </w:pPr>
      <w:r>
        <w:t>环境保护管理计划</w:t>
      </w:r>
    </w:p>
    <w:p w14:paraId="3DFC6DDA" w14:textId="77777777" w:rsidR="007D1E74" w:rsidRDefault="00A95641">
      <w:pPr>
        <w:spacing w:line="360" w:lineRule="auto"/>
        <w:ind w:firstLineChars="200" w:firstLine="480"/>
        <w:rPr>
          <w:sz w:val="24"/>
        </w:rPr>
      </w:pPr>
      <w:r>
        <w:rPr>
          <w:rFonts w:cs="Times New Roman"/>
          <w:sz w:val="24"/>
        </w:rPr>
        <w:t>为了最大限度地减轻施工期作业活动对管道沿线生态环境的不利影响，减少运行期事故的发生，确保管道安全运行，建立科学有效的环境管理体制，落实各项环保和安全措施显得尤为重要。根据中国石化企业</w:t>
      </w:r>
      <w:r>
        <w:rPr>
          <w:rFonts w:cs="Times New Roman"/>
          <w:sz w:val="24"/>
        </w:rPr>
        <w:t>HSE</w:t>
      </w:r>
      <w:r>
        <w:rPr>
          <w:rFonts w:cs="Times New Roman"/>
          <w:sz w:val="24"/>
        </w:rPr>
        <w:t>管理体系及清洁生产的要求，结合沿线区域环境特征，分施工期和运行期提出本工程的环境管理计划。</w:t>
      </w:r>
    </w:p>
    <w:p w14:paraId="180F1C3D" w14:textId="77777777" w:rsidR="007D1E74" w:rsidRDefault="00A95641">
      <w:pPr>
        <w:pStyle w:val="aa"/>
      </w:pPr>
      <w:r>
        <w:t>1</w:t>
      </w:r>
      <w:r>
        <w:t>施工期环境管理</w:t>
      </w:r>
    </w:p>
    <w:p w14:paraId="16BB140C" w14:textId="77777777" w:rsidR="007D1E74" w:rsidRDefault="00A95641">
      <w:pPr>
        <w:spacing w:line="360" w:lineRule="auto"/>
        <w:ind w:firstLineChars="200" w:firstLine="480"/>
        <w:rPr>
          <w:sz w:val="24"/>
        </w:rPr>
      </w:pPr>
      <w:r>
        <w:rPr>
          <w:rFonts w:cs="Times New Roman"/>
          <w:sz w:val="24"/>
        </w:rPr>
        <w:t>在项目建设期，业主单位设立项目</w:t>
      </w:r>
      <w:r>
        <w:rPr>
          <w:rFonts w:cs="Times New Roman"/>
          <w:sz w:val="24"/>
        </w:rPr>
        <w:t>HSE</w:t>
      </w:r>
      <w:r>
        <w:rPr>
          <w:rFonts w:cs="Times New Roman"/>
          <w:sz w:val="24"/>
        </w:rPr>
        <w:t>管理机构，配备</w:t>
      </w:r>
      <w:r>
        <w:rPr>
          <w:rFonts w:cs="Times New Roman"/>
          <w:sz w:val="24"/>
        </w:rPr>
        <w:t>1-2</w:t>
      </w:r>
      <w:r>
        <w:rPr>
          <w:rFonts w:cs="Times New Roman"/>
          <w:sz w:val="24"/>
        </w:rPr>
        <w:t>名环境管理工程师。</w:t>
      </w:r>
    </w:p>
    <w:p w14:paraId="21FCD991" w14:textId="77777777" w:rsidR="007D1E74" w:rsidRDefault="00A95641">
      <w:pPr>
        <w:spacing w:line="360" w:lineRule="auto"/>
        <w:ind w:firstLineChars="200" w:firstLine="480"/>
        <w:rPr>
          <w:sz w:val="24"/>
        </w:rPr>
      </w:pPr>
      <w:r>
        <w:rPr>
          <w:rFonts w:cs="Times New Roman"/>
          <w:sz w:val="24"/>
        </w:rPr>
        <w:t>（</w:t>
      </w:r>
      <w:r>
        <w:rPr>
          <w:rFonts w:cs="Times New Roman"/>
          <w:sz w:val="24"/>
        </w:rPr>
        <w:t>1</w:t>
      </w:r>
      <w:r>
        <w:rPr>
          <w:rFonts w:cs="Times New Roman"/>
          <w:sz w:val="24"/>
        </w:rPr>
        <w:t>）</w:t>
      </w:r>
      <w:r>
        <w:rPr>
          <w:rFonts w:cs="Times New Roman"/>
          <w:sz w:val="24"/>
        </w:rPr>
        <w:t>HSE</w:t>
      </w:r>
      <w:r>
        <w:rPr>
          <w:rFonts w:cs="Times New Roman"/>
          <w:sz w:val="24"/>
        </w:rPr>
        <w:t>机构在施工期环境管理的主要职责</w:t>
      </w:r>
    </w:p>
    <w:p w14:paraId="7C3354E8" w14:textId="77777777" w:rsidR="007D1E74" w:rsidRDefault="00A95641">
      <w:pPr>
        <w:spacing w:line="360" w:lineRule="auto"/>
        <w:ind w:firstLineChars="200" w:firstLine="480"/>
        <w:rPr>
          <w:sz w:val="24"/>
        </w:rPr>
      </w:pPr>
      <w:r>
        <w:rPr>
          <w:rFonts w:cs="Times New Roman"/>
          <w:sz w:val="24"/>
        </w:rPr>
        <w:t>施工期环境管理机构的主要职责为：贯彻执行国家环境保护的方针、政策、法律和法规；组织制订建设期环境保护的规章制度和标准，并督促检查其执行；审定、落实并督促实施生态恢复和污染治理方案，监督生态恢复、污染治理资金和物资的使用；监督检查生态环境保护设施和污染防治设施与项目主体工程同时设计、同时施工、同时投入使用的执行情况；收集归档相关环境保护文件及环境保护工程的技术资料；协调处理项目建设过程中与地方政府、部门、群众等在环境保护方面的问题，批准对外的环境保护合同、协议，调查处理建设中的环境破坏和污染事故；组织开展环境保护的科研、宣传教育和培训工作。</w:t>
      </w:r>
    </w:p>
    <w:p w14:paraId="584D4230" w14:textId="77777777" w:rsidR="007D1E74" w:rsidRDefault="00A95641">
      <w:pPr>
        <w:spacing w:line="360" w:lineRule="auto"/>
        <w:ind w:firstLineChars="200" w:firstLine="480"/>
        <w:rPr>
          <w:sz w:val="24"/>
        </w:rPr>
      </w:pPr>
      <w:r>
        <w:rPr>
          <w:rFonts w:cs="Times New Roman"/>
          <w:sz w:val="24"/>
        </w:rPr>
        <w:t>（</w:t>
      </w:r>
      <w:r>
        <w:rPr>
          <w:rFonts w:cs="Times New Roman"/>
          <w:sz w:val="24"/>
        </w:rPr>
        <w:t>2</w:t>
      </w:r>
      <w:r>
        <w:rPr>
          <w:rFonts w:cs="Times New Roman"/>
          <w:sz w:val="24"/>
        </w:rPr>
        <w:t>）强化施工前的</w:t>
      </w:r>
      <w:r>
        <w:rPr>
          <w:rFonts w:cs="Times New Roman"/>
          <w:sz w:val="24"/>
        </w:rPr>
        <w:t>HSE</w:t>
      </w:r>
      <w:r>
        <w:rPr>
          <w:rFonts w:cs="Times New Roman"/>
          <w:sz w:val="24"/>
        </w:rPr>
        <w:t>培训</w:t>
      </w:r>
    </w:p>
    <w:p w14:paraId="26F119A9" w14:textId="77777777" w:rsidR="007D1E74" w:rsidRDefault="00A95641">
      <w:pPr>
        <w:spacing w:line="360" w:lineRule="auto"/>
        <w:ind w:firstLineChars="200" w:firstLine="480"/>
        <w:rPr>
          <w:sz w:val="24"/>
        </w:rPr>
      </w:pPr>
      <w:r>
        <w:rPr>
          <w:rFonts w:cs="Times New Roman"/>
          <w:sz w:val="24"/>
        </w:rPr>
        <w:t>在施工作业前必须对全体施工人员进行</w:t>
      </w:r>
      <w:r>
        <w:rPr>
          <w:rFonts w:cs="Times New Roman"/>
          <w:sz w:val="24"/>
        </w:rPr>
        <w:t>HSE</w:t>
      </w:r>
      <w:r>
        <w:rPr>
          <w:rFonts w:cs="Times New Roman"/>
          <w:sz w:val="24"/>
        </w:rPr>
        <w:t>培训，以提高施工人员的环保知识、环保意识和处理跟环境有关的突发事件的能力。培训内容包括：</w:t>
      </w:r>
      <w:r>
        <w:rPr>
          <w:rFonts w:cs="Times New Roman"/>
          <w:sz w:val="24"/>
        </w:rPr>
        <w:t>①</w:t>
      </w:r>
      <w:r>
        <w:rPr>
          <w:rFonts w:cs="Times New Roman"/>
          <w:sz w:val="24"/>
        </w:rPr>
        <w:t>国家和地方有关环境方面的法律、法规和标准；</w:t>
      </w:r>
      <w:r>
        <w:rPr>
          <w:rFonts w:cs="Times New Roman"/>
          <w:sz w:val="24"/>
        </w:rPr>
        <w:t>②</w:t>
      </w:r>
      <w:r>
        <w:rPr>
          <w:rFonts w:cs="Times New Roman"/>
          <w:sz w:val="24"/>
        </w:rPr>
        <w:t>施工段的主要环境保护目标和要求；</w:t>
      </w:r>
      <w:r>
        <w:rPr>
          <w:rFonts w:cs="Times New Roman"/>
          <w:sz w:val="24"/>
        </w:rPr>
        <w:t>③</w:t>
      </w:r>
      <w:r>
        <w:rPr>
          <w:rFonts w:cs="Times New Roman"/>
          <w:sz w:val="24"/>
        </w:rPr>
        <w:t>认识遵守有关环境管理规定的重要性，以及违反规定带来的后果的严重性；</w:t>
      </w:r>
      <w:r>
        <w:rPr>
          <w:rFonts w:cs="Times New Roman"/>
          <w:sz w:val="24"/>
        </w:rPr>
        <w:t>④</w:t>
      </w:r>
      <w:r>
        <w:rPr>
          <w:rFonts w:cs="Times New Roman"/>
          <w:sz w:val="24"/>
        </w:rPr>
        <w:t>保护动植物、地下水及地表水水源的方法；</w:t>
      </w:r>
      <w:r>
        <w:rPr>
          <w:rFonts w:cs="Times New Roman"/>
          <w:sz w:val="24"/>
        </w:rPr>
        <w:t>⑤</w:t>
      </w:r>
      <w:r>
        <w:rPr>
          <w:rFonts w:cs="Times New Roman"/>
          <w:sz w:val="24"/>
        </w:rPr>
        <w:t>收集、处理固体废物的方法；</w:t>
      </w:r>
      <w:r>
        <w:rPr>
          <w:rFonts w:cs="Times New Roman"/>
          <w:sz w:val="24"/>
        </w:rPr>
        <w:t>⑥</w:t>
      </w:r>
      <w:r>
        <w:rPr>
          <w:rFonts w:cs="Times New Roman"/>
          <w:sz w:val="24"/>
        </w:rPr>
        <w:t>管理、存放及处理危险物品的方法；</w:t>
      </w:r>
      <w:r>
        <w:rPr>
          <w:rFonts w:cs="Times New Roman"/>
          <w:sz w:val="24"/>
        </w:rPr>
        <w:t>⑦</w:t>
      </w:r>
      <w:r>
        <w:rPr>
          <w:rFonts w:cs="Times New Roman"/>
          <w:sz w:val="24"/>
        </w:rPr>
        <w:t>对施工作业中发现的文物古迹的处理方法等。</w:t>
      </w:r>
    </w:p>
    <w:p w14:paraId="0A72234B" w14:textId="77777777" w:rsidR="007D1E74" w:rsidRDefault="00A95641">
      <w:pPr>
        <w:spacing w:line="360" w:lineRule="auto"/>
        <w:ind w:firstLineChars="200" w:firstLine="480"/>
        <w:rPr>
          <w:sz w:val="24"/>
        </w:rPr>
      </w:pPr>
      <w:r>
        <w:rPr>
          <w:rFonts w:cs="Times New Roman"/>
          <w:sz w:val="24"/>
        </w:rPr>
        <w:t>（</w:t>
      </w:r>
      <w:r>
        <w:rPr>
          <w:rFonts w:cs="Times New Roman"/>
          <w:sz w:val="24"/>
        </w:rPr>
        <w:t>3</w:t>
      </w:r>
      <w:r>
        <w:rPr>
          <w:rFonts w:cs="Times New Roman"/>
          <w:sz w:val="24"/>
        </w:rPr>
        <w:t>）加强施工承包方的管理</w:t>
      </w:r>
    </w:p>
    <w:p w14:paraId="57C09EE1" w14:textId="77777777" w:rsidR="007D1E74" w:rsidRDefault="00A95641">
      <w:pPr>
        <w:spacing w:line="360" w:lineRule="auto"/>
        <w:ind w:firstLineChars="200" w:firstLine="480"/>
        <w:rPr>
          <w:sz w:val="24"/>
        </w:rPr>
      </w:pPr>
      <w:r>
        <w:rPr>
          <w:rFonts w:cs="Times New Roman"/>
          <w:sz w:val="24"/>
        </w:rPr>
        <w:lastRenderedPageBreak/>
        <w:t>施工承包方是施工作业的直接参与者。他们的管理水平直接关系到环境管理的好坏。因此，在施工单位的选择与管理上提出如下要求：</w:t>
      </w:r>
    </w:p>
    <w:p w14:paraId="139C0524" w14:textId="77777777" w:rsidR="007D1E74" w:rsidRDefault="00A95641">
      <w:pPr>
        <w:spacing w:line="360" w:lineRule="auto"/>
        <w:ind w:firstLineChars="200" w:firstLine="480"/>
        <w:rPr>
          <w:sz w:val="24"/>
        </w:rPr>
      </w:pPr>
      <w:r>
        <w:rPr>
          <w:rFonts w:cs="Times New Roman"/>
          <w:sz w:val="24"/>
        </w:rPr>
        <w:t>①</w:t>
      </w:r>
      <w:r>
        <w:rPr>
          <w:rFonts w:cs="Times New Roman"/>
          <w:sz w:val="24"/>
        </w:rPr>
        <w:t>在工程招标过程中，对施工承包方的选择，除要考虑实力、人员素质和技术装备外，还要考虑其</w:t>
      </w:r>
      <w:r>
        <w:rPr>
          <w:rFonts w:cs="Times New Roman"/>
          <w:sz w:val="24"/>
        </w:rPr>
        <w:t>HSE</w:t>
      </w:r>
      <w:r>
        <w:rPr>
          <w:rFonts w:cs="Times New Roman"/>
          <w:sz w:val="24"/>
        </w:rPr>
        <w:t>的业绩，优先选择那些</w:t>
      </w:r>
      <w:r>
        <w:rPr>
          <w:rFonts w:cs="Times New Roman"/>
          <w:sz w:val="24"/>
        </w:rPr>
        <w:t>HSE</w:t>
      </w:r>
      <w:r>
        <w:rPr>
          <w:rFonts w:cs="Times New Roman"/>
          <w:sz w:val="24"/>
        </w:rPr>
        <w:t>管理水平高、环保业绩好的队伍。</w:t>
      </w:r>
    </w:p>
    <w:p w14:paraId="637E0307" w14:textId="77777777" w:rsidR="007D1E74" w:rsidRDefault="00A95641">
      <w:pPr>
        <w:spacing w:line="360" w:lineRule="auto"/>
        <w:ind w:firstLineChars="200" w:firstLine="480"/>
        <w:rPr>
          <w:sz w:val="24"/>
        </w:rPr>
      </w:pPr>
      <w:r>
        <w:rPr>
          <w:rFonts w:cs="Times New Roman"/>
          <w:sz w:val="24"/>
        </w:rPr>
        <w:t>②</w:t>
      </w:r>
      <w:r>
        <w:rPr>
          <w:rFonts w:cs="Times New Roman"/>
          <w:sz w:val="24"/>
        </w:rPr>
        <w:t>在承包合同中应明确承包方的环保责任和义务，将有关环境保护条款，如环境保护目标、采取的水、气、声、生态保护及水土保持措施等，列入合同当中，并将环保工作的好坏作为工程验收的标准之一。</w:t>
      </w:r>
    </w:p>
    <w:p w14:paraId="74471249" w14:textId="77777777" w:rsidR="007D1E74" w:rsidRDefault="00A95641">
      <w:pPr>
        <w:spacing w:line="360" w:lineRule="auto"/>
        <w:ind w:firstLineChars="200" w:firstLine="480"/>
        <w:rPr>
          <w:sz w:val="24"/>
        </w:rPr>
      </w:pPr>
      <w:r>
        <w:rPr>
          <w:rFonts w:cs="Times New Roman"/>
          <w:sz w:val="24"/>
        </w:rPr>
        <w:t>③</w:t>
      </w:r>
      <w:r>
        <w:rPr>
          <w:rFonts w:cs="Times New Roman"/>
          <w:sz w:val="24"/>
        </w:rPr>
        <w:t>施工承包方应按中国石油化工股份有限公司中原油田普光分公司的要求建立相应</w:t>
      </w:r>
      <w:r>
        <w:rPr>
          <w:rFonts w:cs="Times New Roman"/>
          <w:sz w:val="24"/>
        </w:rPr>
        <w:t>HSE</w:t>
      </w:r>
      <w:r>
        <w:rPr>
          <w:rFonts w:cs="Times New Roman"/>
          <w:sz w:val="24"/>
        </w:rPr>
        <w:t>管理机构，明确管理人员及其相应的职责等。在施工作业前，编制详细的环境管理方案，连同施工计划一起呈报中国石油化工股份有限公司中原油田普光分公司</w:t>
      </w:r>
      <w:r>
        <w:rPr>
          <w:rFonts w:cs="Times New Roman"/>
          <w:sz w:val="24"/>
        </w:rPr>
        <w:t>HSE</w:t>
      </w:r>
      <w:r>
        <w:rPr>
          <w:rFonts w:cs="Times New Roman"/>
          <w:sz w:val="24"/>
        </w:rPr>
        <w:t>办公室及其它相关环保部门，批准后方可开工；</w:t>
      </w:r>
    </w:p>
    <w:p w14:paraId="65956631" w14:textId="77777777" w:rsidR="007D1E74" w:rsidRDefault="00A95641">
      <w:pPr>
        <w:spacing w:line="360" w:lineRule="auto"/>
        <w:ind w:firstLineChars="200" w:firstLine="480"/>
        <w:rPr>
          <w:sz w:val="24"/>
        </w:rPr>
      </w:pPr>
      <w:r>
        <w:rPr>
          <w:rFonts w:cs="Times New Roman"/>
          <w:sz w:val="24"/>
        </w:rPr>
        <w:t>环境管理方案应包括以下措施：减少施工扬尘、粉尘、施工机械及车辆废气排放等大气污染防治措施；降低施工机械及车辆噪声、施工噪声，以及在噪声敏感区设置隔声设施等防治噪声污染的措施；减少施工废水、生活污水排放，并加以妥善处理，防止污染地表水环境的措施；施工废渣、生活垃圾等处理处置措施；限定施工活动范围、减少施工作业对土壤和植被的扰动和破坏、保护动植物等生态保护措施。</w:t>
      </w:r>
    </w:p>
    <w:p w14:paraId="2F7E4064" w14:textId="77777777" w:rsidR="007D1E74" w:rsidRDefault="00A95641">
      <w:pPr>
        <w:spacing w:line="360" w:lineRule="auto"/>
        <w:ind w:firstLineChars="200" w:firstLine="480"/>
        <w:rPr>
          <w:sz w:val="24"/>
        </w:rPr>
      </w:pPr>
      <w:r>
        <w:rPr>
          <w:rFonts w:cs="Times New Roman"/>
          <w:sz w:val="24"/>
        </w:rPr>
        <w:t>（</w:t>
      </w:r>
      <w:r>
        <w:rPr>
          <w:rFonts w:cs="Times New Roman"/>
          <w:sz w:val="24"/>
        </w:rPr>
        <w:t>4</w:t>
      </w:r>
      <w:r>
        <w:rPr>
          <w:rFonts w:cs="Times New Roman"/>
          <w:sz w:val="24"/>
        </w:rPr>
        <w:t>）施工人员环境保护守则</w:t>
      </w:r>
    </w:p>
    <w:p w14:paraId="197906F6" w14:textId="77777777" w:rsidR="007D1E74" w:rsidRDefault="00A95641">
      <w:pPr>
        <w:spacing w:line="360" w:lineRule="auto"/>
        <w:ind w:firstLineChars="200" w:firstLine="480"/>
        <w:rPr>
          <w:sz w:val="24"/>
        </w:rPr>
      </w:pPr>
      <w:r>
        <w:rPr>
          <w:rFonts w:cs="Times New Roman"/>
          <w:sz w:val="24"/>
        </w:rPr>
        <w:t>①</w:t>
      </w:r>
      <w:r>
        <w:rPr>
          <w:rFonts w:cs="Times New Roman"/>
          <w:sz w:val="24"/>
        </w:rPr>
        <w:t>组织施工人员参加环境保护相关的法律法规和基本知识培训；</w:t>
      </w:r>
    </w:p>
    <w:p w14:paraId="530CBB8C" w14:textId="77777777" w:rsidR="007D1E74" w:rsidRDefault="00A95641">
      <w:pPr>
        <w:spacing w:line="360" w:lineRule="auto"/>
        <w:ind w:firstLineChars="200" w:firstLine="480"/>
        <w:rPr>
          <w:sz w:val="24"/>
        </w:rPr>
      </w:pPr>
      <w:r>
        <w:rPr>
          <w:rFonts w:cs="Times New Roman"/>
          <w:sz w:val="24"/>
        </w:rPr>
        <w:t>②</w:t>
      </w:r>
      <w:r>
        <w:rPr>
          <w:rFonts w:cs="Times New Roman"/>
          <w:sz w:val="24"/>
        </w:rPr>
        <w:t>施工机械及车辆应在施工便道和施工划定的范围内作业，不得随意开辟施工便道、破坏植被。严禁施工人员猎捕野生动物，特别是严禁捕猎野生动物，保护野生动物生活区域；</w:t>
      </w:r>
    </w:p>
    <w:p w14:paraId="2A83BBD5" w14:textId="77777777" w:rsidR="007D1E74" w:rsidRDefault="00A95641">
      <w:pPr>
        <w:spacing w:line="360" w:lineRule="auto"/>
        <w:ind w:firstLineChars="200" w:firstLine="480"/>
        <w:rPr>
          <w:sz w:val="24"/>
        </w:rPr>
      </w:pPr>
      <w:r>
        <w:rPr>
          <w:rFonts w:cs="Times New Roman"/>
          <w:sz w:val="24"/>
        </w:rPr>
        <w:t>③</w:t>
      </w:r>
      <w:r>
        <w:rPr>
          <w:rFonts w:cs="Times New Roman"/>
          <w:sz w:val="24"/>
        </w:rPr>
        <w:t>施工单位要严格执行施工期的各项环保规定，落实各项环保措施，按要求选择适宜的施工时间、尽量缩小施工范围、生活垃圾、废弃土石方、建筑垃圾等按规定进行处置、施工结束后做到工完料净、按规定对土地进行恢复；</w:t>
      </w:r>
    </w:p>
    <w:p w14:paraId="1AC9A948" w14:textId="77777777" w:rsidR="007D1E74" w:rsidRDefault="00A95641">
      <w:pPr>
        <w:spacing w:line="360" w:lineRule="auto"/>
        <w:ind w:firstLineChars="200" w:firstLine="480"/>
        <w:rPr>
          <w:sz w:val="24"/>
        </w:rPr>
      </w:pPr>
      <w:r>
        <w:rPr>
          <w:rFonts w:cs="Times New Roman"/>
          <w:sz w:val="24"/>
        </w:rPr>
        <w:t>④</w:t>
      </w:r>
      <w:r>
        <w:rPr>
          <w:rFonts w:cs="Times New Roman"/>
          <w:sz w:val="24"/>
        </w:rPr>
        <w:t>应按《文物保护法》规定及地方文物保护部门的要求施工。在施工过程中，一旦发现文物，应立即停工，上报当地文物保护主管部门，在文物保护主管部门保护性发掘完成后，才能重新开工；</w:t>
      </w:r>
    </w:p>
    <w:p w14:paraId="456FECE6" w14:textId="77777777" w:rsidR="007D1E74" w:rsidRDefault="00A95641">
      <w:pPr>
        <w:spacing w:line="360" w:lineRule="auto"/>
        <w:ind w:firstLineChars="200" w:firstLine="480"/>
        <w:rPr>
          <w:sz w:val="24"/>
        </w:rPr>
      </w:pPr>
      <w:r>
        <w:rPr>
          <w:rFonts w:cs="Times New Roman"/>
          <w:sz w:val="24"/>
        </w:rPr>
        <w:t>⑤</w:t>
      </w:r>
      <w:r>
        <w:rPr>
          <w:rFonts w:cs="Times New Roman"/>
          <w:sz w:val="24"/>
        </w:rPr>
        <w:t>建设单位的环境监管人员，应不定时对施工现场的环保设施、作业环境、以及环保措施的落实执行情况进行认真的检查，并做好记录；</w:t>
      </w:r>
    </w:p>
    <w:p w14:paraId="71E000CE" w14:textId="77777777" w:rsidR="007D1E74" w:rsidRDefault="00A95641">
      <w:pPr>
        <w:spacing w:line="360" w:lineRule="auto"/>
        <w:ind w:firstLineChars="200" w:firstLine="480"/>
        <w:rPr>
          <w:sz w:val="24"/>
        </w:rPr>
      </w:pPr>
      <w:r>
        <w:rPr>
          <w:rFonts w:cs="Times New Roman"/>
          <w:sz w:val="24"/>
        </w:rPr>
        <w:lastRenderedPageBreak/>
        <w:t>⑥</w:t>
      </w:r>
      <w:r>
        <w:rPr>
          <w:rFonts w:cs="Times New Roman"/>
          <w:sz w:val="24"/>
        </w:rPr>
        <w:t>制定施工营地管理条例，明确施工人员作业区域，应在施工作业带两侧树立明显标志，严禁跨区域施工，还应包括对人员活动范围、生活垃圾及其它废物的管理；</w:t>
      </w:r>
    </w:p>
    <w:p w14:paraId="398BC317" w14:textId="77777777" w:rsidR="007D1E74" w:rsidRDefault="00A95641">
      <w:pPr>
        <w:spacing w:line="360" w:lineRule="auto"/>
        <w:ind w:firstLineChars="200" w:firstLine="480"/>
        <w:rPr>
          <w:sz w:val="24"/>
        </w:rPr>
      </w:pPr>
      <w:r>
        <w:rPr>
          <w:rFonts w:cs="Times New Roman"/>
          <w:sz w:val="24"/>
        </w:rPr>
        <w:t>⑦</w:t>
      </w:r>
      <w:r>
        <w:rPr>
          <w:rFonts w:cs="Times New Roman"/>
          <w:sz w:val="24"/>
        </w:rPr>
        <w:t>施工单位必须建立环境监控台帐，及时准确地记录不同施工阶段环境保护、水土保持措施的落实情况和各项生态环境保护要求的贯彻情况，并配合必要的图片证据（例如，施工前后的地表植被及周围环境照片）；</w:t>
      </w:r>
    </w:p>
    <w:p w14:paraId="41C824B1" w14:textId="77777777" w:rsidR="007D1E74" w:rsidRDefault="00A95641">
      <w:pPr>
        <w:spacing w:line="360" w:lineRule="auto"/>
        <w:ind w:firstLineChars="200" w:firstLine="480"/>
        <w:rPr>
          <w:sz w:val="24"/>
        </w:rPr>
      </w:pPr>
      <w:r>
        <w:rPr>
          <w:rFonts w:cs="Times New Roman"/>
          <w:sz w:val="24"/>
        </w:rPr>
        <w:t>⑧</w:t>
      </w:r>
      <w:r>
        <w:rPr>
          <w:rFonts w:cs="Times New Roman"/>
          <w:sz w:val="24"/>
        </w:rPr>
        <w:t>物料运输施工便道根据施工季节采取适当的洒水抑制扬尘措施。渣、土等散装货物装载应拍平压实，不准超载，必要时覆盖毡布，以减少遗洒，减小运输扬尘。在产生扬尘较大处，采取湿法作业，以降低扬尘对大气环境的污染。在车辆运输材料及土石方运输时，采取加盖篷布密封及洒水等湿法运输，以减轻在运输过程中对城镇居民及沿线农作物的影响。</w:t>
      </w:r>
    </w:p>
    <w:p w14:paraId="36348440" w14:textId="77777777" w:rsidR="007D1E74" w:rsidRDefault="00A95641">
      <w:pPr>
        <w:spacing w:line="360" w:lineRule="auto"/>
        <w:ind w:firstLineChars="200" w:firstLine="480"/>
        <w:rPr>
          <w:sz w:val="24"/>
        </w:rPr>
      </w:pPr>
      <w:r>
        <w:rPr>
          <w:rFonts w:cs="Times New Roman"/>
          <w:sz w:val="24"/>
        </w:rPr>
        <w:t>（</w:t>
      </w:r>
      <w:r>
        <w:rPr>
          <w:rFonts w:cs="Times New Roman"/>
          <w:sz w:val="24"/>
        </w:rPr>
        <w:t>5</w:t>
      </w:r>
      <w:r>
        <w:rPr>
          <w:rFonts w:cs="Times New Roman"/>
          <w:sz w:val="24"/>
        </w:rPr>
        <w:t>）做好环境恢复的管理工作</w:t>
      </w:r>
    </w:p>
    <w:p w14:paraId="17C25EF3" w14:textId="77777777" w:rsidR="007D1E74" w:rsidRDefault="00A95641">
      <w:pPr>
        <w:spacing w:line="360" w:lineRule="auto"/>
        <w:ind w:firstLineChars="200" w:firstLine="480"/>
        <w:rPr>
          <w:sz w:val="24"/>
        </w:rPr>
      </w:pPr>
      <w:r>
        <w:rPr>
          <w:rFonts w:cs="Times New Roman"/>
          <w:sz w:val="24"/>
        </w:rPr>
        <w:t>工程建设不可避免地会对环境造成破坏，因此必须做好工程完成后的环境恢复工作。目前的生态恢复措施随机性很大，完全取决于参与者的专业技术水平和偏好。因此，除要求施工单位按规定实施生态恢复外，还应聘请专业的生态专家来指导生态恢复工作，或配置专门的技术监理人员监督检查生态恢复质量。</w:t>
      </w:r>
    </w:p>
    <w:p w14:paraId="16C13FA3" w14:textId="77777777" w:rsidR="007D1E74" w:rsidRDefault="00A95641">
      <w:pPr>
        <w:pStyle w:val="aa"/>
      </w:pPr>
      <w:r>
        <w:t>运营期环境管理</w:t>
      </w:r>
    </w:p>
    <w:p w14:paraId="0EB2FBE7" w14:textId="77777777" w:rsidR="007D1E74" w:rsidRDefault="00A95641">
      <w:pPr>
        <w:spacing w:line="360" w:lineRule="auto"/>
        <w:ind w:firstLineChars="200" w:firstLine="480"/>
        <w:rPr>
          <w:sz w:val="24"/>
        </w:rPr>
      </w:pPr>
      <w:r>
        <w:rPr>
          <w:rFonts w:cs="Times New Roman"/>
          <w:sz w:val="24"/>
        </w:rPr>
        <w:t>运营期环境管理依托沿线站场。运营期环境管理的主要内容是：</w:t>
      </w:r>
      <w:r>
        <w:rPr>
          <w:rFonts w:cs="Times New Roman"/>
          <w:sz w:val="24"/>
        </w:rPr>
        <w:t>①</w:t>
      </w:r>
      <w:r>
        <w:rPr>
          <w:rFonts w:cs="Times New Roman"/>
          <w:sz w:val="24"/>
        </w:rPr>
        <w:t>定期进行环保安全检查和召开有关会议；</w:t>
      </w:r>
      <w:r>
        <w:rPr>
          <w:rFonts w:cs="Times New Roman"/>
          <w:sz w:val="24"/>
        </w:rPr>
        <w:t>②</w:t>
      </w:r>
      <w:r>
        <w:rPr>
          <w:rFonts w:cs="Times New Roman"/>
          <w:sz w:val="24"/>
        </w:rPr>
        <w:t>对领导和职工特别是兼职环保人员进行环保安全方面的培训；</w:t>
      </w:r>
      <w:r>
        <w:rPr>
          <w:rFonts w:cs="Times New Roman"/>
          <w:sz w:val="24"/>
        </w:rPr>
        <w:t>③</w:t>
      </w:r>
      <w:r>
        <w:rPr>
          <w:rFonts w:cs="Times New Roman"/>
          <w:sz w:val="24"/>
        </w:rPr>
        <w:t>制订完备的岗位责任制，明确规定各类人员的职责，有关环保职责及安全、事故预防措施应纳入岗位责任制中；</w:t>
      </w:r>
      <w:r>
        <w:rPr>
          <w:rFonts w:cs="Times New Roman"/>
          <w:sz w:val="24"/>
        </w:rPr>
        <w:t>④</w:t>
      </w:r>
      <w:r>
        <w:rPr>
          <w:rFonts w:cs="Times New Roman"/>
          <w:sz w:val="24"/>
        </w:rPr>
        <w:t>制定各种可能发生事故的应急计划，定期进行演练；配备各种必要的维护、抢修器材和设备，保证在发生事故时能及时到位；</w:t>
      </w:r>
      <w:r>
        <w:rPr>
          <w:rFonts w:cs="Times New Roman"/>
          <w:sz w:val="24"/>
        </w:rPr>
        <w:t>⑤</w:t>
      </w:r>
      <w:r>
        <w:rPr>
          <w:rFonts w:cs="Times New Roman"/>
          <w:sz w:val="24"/>
        </w:rPr>
        <w:t>主管环保的人员应参加生产调度和管理工作会议，针对生产运行中存在的环境污染问题，向主管领导和生产部门提出建议和技术处理措施。</w:t>
      </w:r>
    </w:p>
    <w:p w14:paraId="03767C6D" w14:textId="77777777" w:rsidR="007D1E74" w:rsidRDefault="00A95641">
      <w:pPr>
        <w:spacing w:line="360" w:lineRule="auto"/>
        <w:ind w:firstLineChars="200" w:firstLine="480"/>
        <w:rPr>
          <w:sz w:val="24"/>
        </w:rPr>
      </w:pPr>
      <w:r>
        <w:rPr>
          <w:rFonts w:cs="Times New Roman"/>
          <w:sz w:val="24"/>
        </w:rPr>
        <w:t>环境管理工作重点是：除抓好日常各项环保设施的运行和维护工作之外，重点针对管道破裂、天然气泄漏着火爆炸、事故排放、着火爆炸等重大事故的预防和处理。重大环境污染事故不同于一般的环境污染，它没有固定的排放方式和排放途径，具有发生突然、危害严重等特点。为此，必须制订相应的应急预案。</w:t>
      </w:r>
    </w:p>
    <w:p w14:paraId="73901B37" w14:textId="77777777" w:rsidR="007D1E74" w:rsidRDefault="00A95641">
      <w:pPr>
        <w:spacing w:line="360" w:lineRule="auto"/>
        <w:ind w:firstLineChars="200" w:firstLine="480"/>
        <w:rPr>
          <w:sz w:val="24"/>
        </w:rPr>
      </w:pPr>
      <w:r>
        <w:rPr>
          <w:rFonts w:cs="Times New Roman"/>
          <w:sz w:val="24"/>
        </w:rPr>
        <w:t>（</w:t>
      </w:r>
      <w:r>
        <w:rPr>
          <w:rFonts w:cs="Times New Roman"/>
          <w:sz w:val="24"/>
        </w:rPr>
        <w:t>1</w:t>
      </w:r>
      <w:r>
        <w:rPr>
          <w:rFonts w:cs="Times New Roman"/>
          <w:sz w:val="24"/>
        </w:rPr>
        <w:t>）环境管理机构</w:t>
      </w:r>
    </w:p>
    <w:p w14:paraId="7A7100F7" w14:textId="77777777" w:rsidR="007D1E74" w:rsidRDefault="00A95641">
      <w:pPr>
        <w:spacing w:line="360" w:lineRule="auto"/>
        <w:ind w:firstLineChars="200" w:firstLine="480"/>
        <w:rPr>
          <w:sz w:val="24"/>
        </w:rPr>
      </w:pPr>
      <w:r>
        <w:rPr>
          <w:rFonts w:cs="Times New Roman"/>
          <w:sz w:val="24"/>
        </w:rPr>
        <w:t>在项目运营期，应建立和运行公司</w:t>
      </w:r>
      <w:r>
        <w:rPr>
          <w:rFonts w:cs="Times New Roman"/>
          <w:sz w:val="24"/>
        </w:rPr>
        <w:t xml:space="preserve"> HSE </w:t>
      </w:r>
      <w:r>
        <w:rPr>
          <w:rFonts w:cs="Times New Roman"/>
          <w:sz w:val="24"/>
        </w:rPr>
        <w:t>管理体系，在企业管理部门设置环境管理</w:t>
      </w:r>
      <w:r>
        <w:rPr>
          <w:rFonts w:cs="Times New Roman"/>
          <w:sz w:val="24"/>
        </w:rPr>
        <w:lastRenderedPageBreak/>
        <w:t>机构，配备</w:t>
      </w:r>
      <w:r>
        <w:rPr>
          <w:rFonts w:cs="Times New Roman"/>
          <w:sz w:val="24"/>
        </w:rPr>
        <w:t xml:space="preserve"> 1</w:t>
      </w:r>
      <w:r>
        <w:rPr>
          <w:rFonts w:cs="Times New Roman"/>
          <w:sz w:val="24"/>
        </w:rPr>
        <w:t>～</w:t>
      </w:r>
      <w:r>
        <w:rPr>
          <w:rFonts w:cs="Times New Roman"/>
          <w:sz w:val="24"/>
        </w:rPr>
        <w:t xml:space="preserve">2 </w:t>
      </w:r>
      <w:r>
        <w:rPr>
          <w:rFonts w:cs="Times New Roman"/>
          <w:sz w:val="24"/>
        </w:rPr>
        <w:t>名环境管理工程师，设环保兼职人员，负责具体的环境监督管理。环境管理机构的基本任务是负责组织、落实、监督本企业的环保工作，其主要职责如下：</w:t>
      </w:r>
      <w:r>
        <w:rPr>
          <w:rFonts w:cs="Times New Roman"/>
          <w:sz w:val="24"/>
        </w:rPr>
        <w:t>①</w:t>
      </w:r>
      <w:r>
        <w:rPr>
          <w:rFonts w:cs="Times New Roman"/>
          <w:sz w:val="24"/>
        </w:rPr>
        <w:t>贯彻执行国家环境保护的方针、政策、法律和法规；</w:t>
      </w:r>
      <w:r>
        <w:rPr>
          <w:rFonts w:cs="Times New Roman"/>
          <w:sz w:val="24"/>
        </w:rPr>
        <w:t>②</w:t>
      </w:r>
      <w:r>
        <w:rPr>
          <w:rFonts w:cs="Times New Roman"/>
          <w:sz w:val="24"/>
        </w:rPr>
        <w:t>组织制订企业的环境保护规章制度和标准并督促检查执行，根据企业特点制定污染控制及改善环境质量计划；</w:t>
      </w:r>
      <w:r>
        <w:rPr>
          <w:rFonts w:cs="Times New Roman"/>
          <w:sz w:val="24"/>
        </w:rPr>
        <w:t>③</w:t>
      </w:r>
      <w:r>
        <w:rPr>
          <w:rFonts w:cs="Times New Roman"/>
          <w:sz w:val="24"/>
        </w:rPr>
        <w:t>负责组织环境监测、事故防范以及外部协调工作，负责组织突发事故的应急处理和善后事宜；</w:t>
      </w:r>
      <w:r>
        <w:rPr>
          <w:rFonts w:cs="Times New Roman"/>
          <w:sz w:val="24"/>
        </w:rPr>
        <w:t>④</w:t>
      </w:r>
      <w:r>
        <w:rPr>
          <w:rFonts w:cs="Times New Roman"/>
          <w:sz w:val="24"/>
        </w:rPr>
        <w:t>组织开展环境保护的科研、宣传教育和技术培训工作；</w:t>
      </w:r>
      <w:r>
        <w:rPr>
          <w:rFonts w:cs="Times New Roman"/>
          <w:sz w:val="24"/>
        </w:rPr>
        <w:t>⑤</w:t>
      </w:r>
      <w:r>
        <w:rPr>
          <w:rFonts w:cs="Times New Roman"/>
          <w:sz w:val="24"/>
        </w:rPr>
        <w:t>监督</w:t>
      </w:r>
      <w:r>
        <w:rPr>
          <w:rFonts w:cs="Times New Roman"/>
          <w:sz w:val="24"/>
        </w:rPr>
        <w:t>“</w:t>
      </w:r>
      <w:r>
        <w:rPr>
          <w:rFonts w:cs="Times New Roman"/>
          <w:sz w:val="24"/>
        </w:rPr>
        <w:t>三同时</w:t>
      </w:r>
      <w:r>
        <w:rPr>
          <w:rFonts w:cs="Times New Roman"/>
          <w:sz w:val="24"/>
        </w:rPr>
        <w:t>”</w:t>
      </w:r>
      <w:r>
        <w:rPr>
          <w:rFonts w:cs="Times New Roman"/>
          <w:sz w:val="24"/>
        </w:rPr>
        <w:t>规定的执行情况，确保环境保护设施与主体工程同时设计、同时施工、同时运行，有效控制污染；</w:t>
      </w:r>
      <w:r>
        <w:rPr>
          <w:rFonts w:cs="Times New Roman"/>
          <w:sz w:val="24"/>
        </w:rPr>
        <w:t>⑥</w:t>
      </w:r>
      <w:r>
        <w:rPr>
          <w:rFonts w:cs="Times New Roman"/>
          <w:sz w:val="24"/>
        </w:rPr>
        <w:t>检查本单位环境保护设施的运行情况。</w:t>
      </w:r>
    </w:p>
    <w:p w14:paraId="5C3F0AD3" w14:textId="77777777" w:rsidR="007D1E74" w:rsidRDefault="00A95641">
      <w:pPr>
        <w:spacing w:line="360" w:lineRule="auto"/>
        <w:ind w:firstLineChars="200" w:firstLine="480"/>
        <w:rPr>
          <w:sz w:val="24"/>
        </w:rPr>
      </w:pPr>
      <w:r>
        <w:rPr>
          <w:rFonts w:cs="Times New Roman"/>
          <w:sz w:val="24"/>
        </w:rPr>
        <w:t>（</w:t>
      </w:r>
      <w:r>
        <w:rPr>
          <w:rFonts w:cs="Times New Roman"/>
          <w:sz w:val="24"/>
        </w:rPr>
        <w:t>2</w:t>
      </w:r>
      <w:r>
        <w:rPr>
          <w:rFonts w:cs="Times New Roman"/>
          <w:sz w:val="24"/>
        </w:rPr>
        <w:t>）日常环境管理</w:t>
      </w:r>
    </w:p>
    <w:p w14:paraId="798F2DAB" w14:textId="77777777" w:rsidR="007D1E74" w:rsidRDefault="00A95641">
      <w:pPr>
        <w:spacing w:line="360" w:lineRule="auto"/>
        <w:ind w:firstLineChars="200" w:firstLine="480"/>
        <w:rPr>
          <w:sz w:val="24"/>
        </w:rPr>
      </w:pPr>
      <w:r>
        <w:rPr>
          <w:rFonts w:cs="Times New Roman"/>
          <w:sz w:val="24"/>
        </w:rPr>
        <w:t>①</w:t>
      </w:r>
      <w:r>
        <w:rPr>
          <w:rFonts w:cs="Times New Roman"/>
          <w:sz w:val="24"/>
        </w:rPr>
        <w:t>建立环保指标考核管理制度，并严格落实各项管理制度，定期对相关部门进行考核，以推动环保工作的开展；</w:t>
      </w:r>
      <w:r>
        <w:rPr>
          <w:rFonts w:cs="Times New Roman"/>
          <w:sz w:val="24"/>
        </w:rPr>
        <w:t>②</w:t>
      </w:r>
      <w:r>
        <w:rPr>
          <w:rFonts w:cs="Times New Roman"/>
          <w:sz w:val="24"/>
        </w:rPr>
        <w:t>定期进行环保工作检查，及时发现问题、处理问题，确保环保设施的正常运转，保证达标排放；</w:t>
      </w:r>
      <w:r>
        <w:rPr>
          <w:rFonts w:cs="Times New Roman"/>
          <w:sz w:val="24"/>
        </w:rPr>
        <w:t>③</w:t>
      </w:r>
      <w:r>
        <w:rPr>
          <w:rFonts w:cs="Times New Roman"/>
          <w:sz w:val="24"/>
        </w:rPr>
        <w:t>对专、兼职环境管理人员进行环保业务知识的培训，并在全公司范围内进行环保知识的宣传和教育，树立全员的环保意识；</w:t>
      </w:r>
      <w:r>
        <w:rPr>
          <w:rFonts w:cs="Times New Roman"/>
          <w:sz w:val="24"/>
        </w:rPr>
        <w:t>④</w:t>
      </w:r>
      <w:r>
        <w:rPr>
          <w:rFonts w:cs="Times New Roman"/>
          <w:sz w:val="24"/>
        </w:rPr>
        <w:t>定期组织召开环保工作例会，针对生产中存在的环保问题进行讨论，制定处理措施和改进方案，并报上级主管部门；</w:t>
      </w:r>
      <w:r>
        <w:rPr>
          <w:rFonts w:cs="Times New Roman"/>
          <w:sz w:val="24"/>
        </w:rPr>
        <w:t>⑤</w:t>
      </w:r>
      <w:r>
        <w:rPr>
          <w:rFonts w:cs="Times New Roman"/>
          <w:sz w:val="24"/>
        </w:rPr>
        <w:t>制定日常及事故时环境监测计划，以及对重大环境因素的监测计划和方案，以便及时掌握环境状况的第一手资料，促进环境管理的深入和污染治理的落实，消除发生污染事故的隐患；</w:t>
      </w:r>
      <w:r>
        <w:rPr>
          <w:rFonts w:cs="Times New Roman"/>
          <w:sz w:val="24"/>
        </w:rPr>
        <w:t>⑥</w:t>
      </w:r>
      <w:r>
        <w:rPr>
          <w:rFonts w:cs="Times New Roman"/>
          <w:sz w:val="24"/>
        </w:rPr>
        <w:t>建立环境管理台账，制定重大环境因素的整改方案和计划，并检查其落实情况；建立环保设备台帐，制定主要环保设备的操作规程及安排专门操作人员，建立重点处理设备的</w:t>
      </w:r>
      <w:r>
        <w:rPr>
          <w:rFonts w:cs="Times New Roman"/>
          <w:sz w:val="24"/>
        </w:rPr>
        <w:t>“</w:t>
      </w:r>
      <w:r>
        <w:rPr>
          <w:rFonts w:cs="Times New Roman"/>
          <w:sz w:val="24"/>
        </w:rPr>
        <w:t>环保运行记录</w:t>
      </w:r>
      <w:r>
        <w:rPr>
          <w:rFonts w:cs="Times New Roman"/>
          <w:sz w:val="24"/>
        </w:rPr>
        <w:t>”</w:t>
      </w:r>
      <w:r>
        <w:rPr>
          <w:rFonts w:cs="Times New Roman"/>
          <w:sz w:val="24"/>
        </w:rPr>
        <w:t>等；</w:t>
      </w:r>
      <w:r>
        <w:rPr>
          <w:rFonts w:cs="Times New Roman"/>
          <w:sz w:val="24"/>
        </w:rPr>
        <w:t>⑦</w:t>
      </w:r>
      <w:r>
        <w:rPr>
          <w:rFonts w:cs="Times New Roman"/>
          <w:sz w:val="24"/>
        </w:rPr>
        <w:t>协助有关环保部门进行环境保护设施的竣工验收工作；</w:t>
      </w:r>
      <w:r>
        <w:rPr>
          <w:rFonts w:cs="Times New Roman"/>
          <w:sz w:val="24"/>
        </w:rPr>
        <w:t>⑧</w:t>
      </w:r>
      <w:r>
        <w:rPr>
          <w:rFonts w:cs="Times New Roman"/>
          <w:sz w:val="24"/>
        </w:rPr>
        <w:t>主管环保人员应参加生产调度和管理工作会议，针对生产运行中存在的环境污染问题，向公司领导和生产部门提出建议和技术处理措施；</w:t>
      </w:r>
      <w:r>
        <w:rPr>
          <w:rFonts w:cs="Times New Roman"/>
          <w:sz w:val="24"/>
        </w:rPr>
        <w:t>⑨</w:t>
      </w:r>
      <w:r>
        <w:rPr>
          <w:rFonts w:cs="Times New Roman"/>
          <w:sz w:val="24"/>
        </w:rPr>
        <w:t>制定各种可能发生的环境事故的应急计划，定期进行演练。</w:t>
      </w:r>
    </w:p>
    <w:p w14:paraId="04D80458" w14:textId="77777777" w:rsidR="007D1E74" w:rsidRDefault="00A95641">
      <w:pPr>
        <w:spacing w:line="360" w:lineRule="auto"/>
        <w:ind w:firstLineChars="200" w:firstLine="480"/>
        <w:rPr>
          <w:sz w:val="24"/>
        </w:rPr>
      </w:pPr>
      <w:r>
        <w:rPr>
          <w:rFonts w:cs="Times New Roman"/>
          <w:sz w:val="24"/>
        </w:rPr>
        <w:t>（</w:t>
      </w:r>
      <w:r>
        <w:rPr>
          <w:rFonts w:cs="Times New Roman"/>
          <w:sz w:val="24"/>
        </w:rPr>
        <w:t>3</w:t>
      </w:r>
      <w:r>
        <w:rPr>
          <w:rFonts w:cs="Times New Roman"/>
          <w:sz w:val="24"/>
        </w:rPr>
        <w:t>）应急管理</w:t>
      </w:r>
    </w:p>
    <w:p w14:paraId="6E2B43F6" w14:textId="77777777" w:rsidR="007D1E74" w:rsidRDefault="00A95641">
      <w:pPr>
        <w:spacing w:line="360" w:lineRule="auto"/>
        <w:ind w:firstLineChars="200" w:firstLine="480"/>
        <w:rPr>
          <w:sz w:val="24"/>
        </w:rPr>
      </w:pPr>
      <w:r>
        <w:rPr>
          <w:rFonts w:cs="Times New Roman"/>
          <w:sz w:val="24"/>
        </w:rPr>
        <w:t>本工程输送介质天然气为可燃物质，火灾危险性大，生产过程中均存在发生重大危险事故的可能性，如天然气泄漏事故、火灾爆炸事故、管道断裂或悬空等，因此本工程除在方案选择、工程设计、生产运营中采取工程技术和管理防范措施外，还应制定应急计划和建立应急机构，减轻或消除事故危害后果。</w:t>
      </w:r>
    </w:p>
    <w:p w14:paraId="0CDB23B7" w14:textId="77777777" w:rsidR="007D1E74" w:rsidRDefault="00A95641">
      <w:pPr>
        <w:spacing w:line="360" w:lineRule="auto"/>
        <w:ind w:firstLineChars="200" w:firstLine="480"/>
        <w:rPr>
          <w:sz w:val="24"/>
        </w:rPr>
      </w:pPr>
      <w:r>
        <w:rPr>
          <w:rFonts w:cs="Times New Roman"/>
          <w:sz w:val="24"/>
        </w:rPr>
        <w:t>①</w:t>
      </w:r>
      <w:r>
        <w:rPr>
          <w:rFonts w:cs="Times New Roman"/>
          <w:sz w:val="24"/>
        </w:rPr>
        <w:t>应急机构和职责</w:t>
      </w:r>
    </w:p>
    <w:p w14:paraId="4DF5D3F5" w14:textId="77777777" w:rsidR="007D1E74" w:rsidRDefault="00A95641">
      <w:pPr>
        <w:spacing w:line="360" w:lineRule="auto"/>
        <w:ind w:firstLineChars="200" w:firstLine="480"/>
        <w:rPr>
          <w:sz w:val="24"/>
        </w:rPr>
      </w:pPr>
      <w:r>
        <w:rPr>
          <w:rFonts w:cs="Times New Roman"/>
          <w:sz w:val="24"/>
        </w:rPr>
        <w:t>企业应建立以总经理或副总经理为总指挥的应急中心。应急中心主要职责：组织制</w:t>
      </w:r>
      <w:r>
        <w:rPr>
          <w:rFonts w:cs="Times New Roman"/>
          <w:sz w:val="24"/>
        </w:rPr>
        <w:lastRenderedPageBreak/>
        <w:t>定本企业预防灾害事故的管理制度和技术措施，制定灾害事故应急救援预案；组织本企业开展灾害事故预防和应急救援的培训和演练；组织本企业的灾害事故自救和协调社会救援工作。应急中心应设值班人员，负责联络通知应急指挥人员及应急反应人员。</w:t>
      </w:r>
    </w:p>
    <w:p w14:paraId="6AD14BD9" w14:textId="77777777" w:rsidR="007D1E74" w:rsidRDefault="00A95641">
      <w:pPr>
        <w:spacing w:line="360" w:lineRule="auto"/>
        <w:ind w:firstLineChars="200" w:firstLine="480"/>
        <w:rPr>
          <w:sz w:val="24"/>
        </w:rPr>
      </w:pPr>
      <w:r>
        <w:rPr>
          <w:rFonts w:cs="Times New Roman"/>
          <w:sz w:val="24"/>
        </w:rPr>
        <w:t>应急中心应下设若干应急反应专业部门，负责完成各自专业救援工作：</w:t>
      </w:r>
    </w:p>
    <w:p w14:paraId="7A57A89B" w14:textId="77777777" w:rsidR="007D1E74" w:rsidRDefault="00A95641">
      <w:pPr>
        <w:spacing w:line="360" w:lineRule="auto"/>
        <w:ind w:firstLineChars="200" w:firstLine="480"/>
        <w:rPr>
          <w:sz w:val="24"/>
        </w:rPr>
      </w:pPr>
      <w:r>
        <w:rPr>
          <w:rFonts w:cs="Times New Roman"/>
          <w:sz w:val="24"/>
        </w:rPr>
        <w:t>安全管理部门负责组织制定预防灾害事故的管理制度和技术措施，编制应急救援计划方案，组织灾害事故预防和应急救援教育和演练，组织实施企业灾害事故的自救与社会应急救援，组织事故分析及上报等；</w:t>
      </w:r>
    </w:p>
    <w:p w14:paraId="0FEC4E5A" w14:textId="77777777" w:rsidR="007D1E74" w:rsidRDefault="00A95641">
      <w:pPr>
        <w:spacing w:line="360" w:lineRule="auto"/>
        <w:ind w:firstLineChars="200" w:firstLine="480"/>
        <w:rPr>
          <w:sz w:val="24"/>
        </w:rPr>
      </w:pPr>
      <w:r>
        <w:rPr>
          <w:rFonts w:cs="Times New Roman"/>
          <w:sz w:val="24"/>
        </w:rPr>
        <w:t>环境保护部门负责组织制定应急监测计划，组织对灾害的现场监测和环境监测，测定事故的危害区域，预测事故危害程度，指导控制污染措施的实施，事故现场善后污染清除等；</w:t>
      </w:r>
    </w:p>
    <w:p w14:paraId="778698E6" w14:textId="77777777" w:rsidR="007D1E74" w:rsidRDefault="00A95641">
      <w:pPr>
        <w:spacing w:line="360" w:lineRule="auto"/>
        <w:ind w:firstLineChars="200" w:firstLine="480"/>
        <w:rPr>
          <w:sz w:val="24"/>
        </w:rPr>
      </w:pPr>
      <w:r>
        <w:rPr>
          <w:rFonts w:cs="Times New Roman"/>
          <w:sz w:val="24"/>
        </w:rPr>
        <w:t>工业卫生、医疗部门负责组织事故现场防毒和医疗救护，测定事故毒物对工作人员危害程度，指导现场人员救护和防护等；</w:t>
      </w:r>
    </w:p>
    <w:p w14:paraId="01A4B754" w14:textId="77777777" w:rsidR="007D1E74" w:rsidRDefault="00A95641">
      <w:pPr>
        <w:spacing w:line="360" w:lineRule="auto"/>
        <w:ind w:firstLineChars="200" w:firstLine="480"/>
        <w:rPr>
          <w:sz w:val="24"/>
        </w:rPr>
      </w:pPr>
      <w:r>
        <w:rPr>
          <w:rFonts w:cs="Times New Roman"/>
          <w:sz w:val="24"/>
        </w:rPr>
        <w:t>专业消防队负责组织控制危害源、营救受害人员和洗消工作等；</w:t>
      </w:r>
    </w:p>
    <w:p w14:paraId="2719CA17" w14:textId="77777777" w:rsidR="007D1E74" w:rsidRDefault="00A95641">
      <w:pPr>
        <w:spacing w:line="360" w:lineRule="auto"/>
        <w:ind w:firstLineChars="200" w:firstLine="480"/>
        <w:rPr>
          <w:sz w:val="24"/>
        </w:rPr>
      </w:pPr>
      <w:r>
        <w:rPr>
          <w:rFonts w:cs="Times New Roman"/>
          <w:sz w:val="24"/>
        </w:rPr>
        <w:t>信息部门负责组织应急通讯队伍，保证救援通讯的畅通等；</w:t>
      </w:r>
    </w:p>
    <w:p w14:paraId="236A8D28" w14:textId="77777777" w:rsidR="007D1E74" w:rsidRDefault="00A95641">
      <w:pPr>
        <w:spacing w:line="360" w:lineRule="auto"/>
        <w:ind w:firstLineChars="200" w:firstLine="480"/>
        <w:rPr>
          <w:sz w:val="24"/>
        </w:rPr>
      </w:pPr>
      <w:r>
        <w:rPr>
          <w:rFonts w:cs="Times New Roman"/>
          <w:sz w:val="24"/>
        </w:rPr>
        <w:t>物资部门负责保障供应救援设施、器具，物资运输，撤离和运送受伤人员等；</w:t>
      </w:r>
    </w:p>
    <w:p w14:paraId="49B5EA5F" w14:textId="77777777" w:rsidR="007D1E74" w:rsidRDefault="00A95641">
      <w:pPr>
        <w:spacing w:line="360" w:lineRule="auto"/>
        <w:ind w:firstLineChars="200" w:firstLine="480"/>
        <w:rPr>
          <w:sz w:val="24"/>
        </w:rPr>
      </w:pPr>
      <w:r>
        <w:rPr>
          <w:rFonts w:cs="Times New Roman"/>
          <w:sz w:val="24"/>
        </w:rPr>
        <w:t>保卫部门负责组织快速应急救援队伍，协助公安和消防部门营救受害人员和治安保卫及撤离任务；</w:t>
      </w:r>
    </w:p>
    <w:p w14:paraId="62ED0E7F" w14:textId="77777777" w:rsidR="007D1E74" w:rsidRDefault="00A95641">
      <w:pPr>
        <w:spacing w:line="360" w:lineRule="auto"/>
        <w:ind w:firstLineChars="200" w:firstLine="480"/>
        <w:rPr>
          <w:sz w:val="24"/>
        </w:rPr>
      </w:pPr>
      <w:r>
        <w:rPr>
          <w:rFonts w:cs="Times New Roman"/>
          <w:sz w:val="24"/>
        </w:rPr>
        <w:t>维修部门负责善后机电仪器设备及建筑物的抢修任务。</w:t>
      </w:r>
    </w:p>
    <w:p w14:paraId="3B520756" w14:textId="77777777" w:rsidR="007D1E74" w:rsidRDefault="00A95641">
      <w:pPr>
        <w:spacing w:line="360" w:lineRule="auto"/>
        <w:ind w:firstLineChars="200" w:firstLine="480"/>
        <w:rPr>
          <w:sz w:val="24"/>
        </w:rPr>
      </w:pPr>
      <w:r>
        <w:rPr>
          <w:rFonts w:cs="Times New Roman"/>
          <w:sz w:val="24"/>
        </w:rPr>
        <w:t>应急中心还应设事故应急专家委员会，由事故应急专家、天然气贮存及输送工艺专家及安全专家、地方安全生产、环保、消防、卫生、气象等主管部门人员等组成，为应急预案制定、事故应急决策提供技术咨询、技术方案及建议。</w:t>
      </w:r>
    </w:p>
    <w:p w14:paraId="54F048FB" w14:textId="77777777" w:rsidR="007D1E74" w:rsidRDefault="00A95641">
      <w:pPr>
        <w:spacing w:line="360" w:lineRule="auto"/>
        <w:ind w:firstLineChars="200" w:firstLine="480"/>
        <w:rPr>
          <w:sz w:val="24"/>
        </w:rPr>
      </w:pPr>
      <w:r>
        <w:rPr>
          <w:rFonts w:cs="Times New Roman"/>
          <w:sz w:val="24"/>
        </w:rPr>
        <w:t>②</w:t>
      </w:r>
      <w:r>
        <w:rPr>
          <w:rFonts w:cs="Times New Roman"/>
          <w:sz w:val="24"/>
        </w:rPr>
        <w:t>应急计划的实施</w:t>
      </w:r>
    </w:p>
    <w:p w14:paraId="212C9DC0" w14:textId="77777777" w:rsidR="007D1E74" w:rsidRDefault="00A95641">
      <w:pPr>
        <w:spacing w:line="360" w:lineRule="auto"/>
        <w:ind w:firstLineChars="200" w:firstLine="480"/>
        <w:rPr>
          <w:sz w:val="24"/>
        </w:rPr>
      </w:pPr>
      <w:r>
        <w:rPr>
          <w:rFonts w:cs="Times New Roman"/>
          <w:sz w:val="24"/>
        </w:rPr>
        <w:t>当发生灾害事故时，事故发生单位应迅速准确地向企业应急中心报警，同时组织专兼职人员开展自救，采取措施控制危害源，以确保初期灾害的扑救，不延误时间、不扩大事故、不失掉救援良机；企业应急中心接报后，迅速启动应急反应计划，通知联络有关应急反应人员，启动应急指挥系统，对事故进行分析、判断和决策，确定应急对策和事故预案，联络各应急反应专业部门和队伍赴现场各司其职，实施救援计划。如需实施社会救援，应及时向社会救援中心报告，由社会救援中心派专业队伍参战。</w:t>
      </w:r>
    </w:p>
    <w:p w14:paraId="47AC9D0D" w14:textId="77777777" w:rsidR="007D1E74" w:rsidRDefault="00A95641">
      <w:pPr>
        <w:spacing w:line="360" w:lineRule="auto"/>
        <w:ind w:firstLineChars="200" w:firstLine="480"/>
        <w:rPr>
          <w:sz w:val="24"/>
        </w:rPr>
      </w:pPr>
      <w:r>
        <w:rPr>
          <w:rFonts w:cs="Times New Roman"/>
          <w:sz w:val="24"/>
        </w:rPr>
        <w:t>③</w:t>
      </w:r>
      <w:r>
        <w:rPr>
          <w:rFonts w:cs="Times New Roman"/>
          <w:sz w:val="24"/>
        </w:rPr>
        <w:t>应急状态的终止和善后处理</w:t>
      </w:r>
    </w:p>
    <w:p w14:paraId="4411CE72" w14:textId="77777777" w:rsidR="007D1E74" w:rsidRDefault="00A95641">
      <w:pPr>
        <w:spacing w:line="360" w:lineRule="auto"/>
        <w:ind w:firstLineChars="200" w:firstLine="480"/>
        <w:rPr>
          <w:sz w:val="24"/>
        </w:rPr>
      </w:pPr>
      <w:r>
        <w:rPr>
          <w:rFonts w:cs="Times New Roman"/>
          <w:sz w:val="24"/>
        </w:rPr>
        <w:lastRenderedPageBreak/>
        <w:t>由应急中心根据现场指挥部和事故应急专家委员会意见决定，并发布应急状的终止。事故现场及受其影响区域应采取有效的善后措施，包括清理现场、清除污染、恢复生产等现场工作；对事故中受伤人员的医治；事故损失的估算，事故原因分析和防止事故再发生的防范措施等；总结经验教训，写出事故报告，报有关主管部门等。</w:t>
      </w:r>
    </w:p>
    <w:p w14:paraId="7A29B344" w14:textId="77777777" w:rsidR="007D1E74" w:rsidRDefault="00A95641">
      <w:pPr>
        <w:tabs>
          <w:tab w:val="left" w:pos="964"/>
        </w:tabs>
        <w:spacing w:before="78" w:after="21"/>
        <w:ind w:right="153"/>
        <w:jc w:val="center"/>
        <w:rPr>
          <w:rFonts w:eastAsia="黑体" w:cs="Times New Roman"/>
        </w:rPr>
      </w:pPr>
      <w:r>
        <w:rPr>
          <w:rFonts w:eastAsia="黑体" w:cs="Times New Roman"/>
        </w:rPr>
        <w:t>表</w:t>
      </w:r>
      <w:r>
        <w:rPr>
          <w:rFonts w:eastAsia="黑体" w:cs="Times New Roman"/>
          <w:spacing w:val="1"/>
        </w:rPr>
        <w:t>10.1-1</w:t>
      </w:r>
      <w:r>
        <w:rPr>
          <w:rFonts w:eastAsia="黑体" w:cs="Times New Roman"/>
        </w:rPr>
        <w:tab/>
      </w:r>
      <w:r>
        <w:rPr>
          <w:rFonts w:eastAsia="黑体" w:cs="Times New Roman"/>
        </w:rPr>
        <w:t>本工程环境管理计划表</w:t>
      </w:r>
    </w:p>
    <w:tbl>
      <w:tblPr>
        <w:tblStyle w:val="affffc"/>
        <w:tblW w:w="0" w:type="auto"/>
        <w:tblLook w:val="04A0" w:firstRow="1" w:lastRow="0" w:firstColumn="1" w:lastColumn="0" w:noHBand="0" w:noVBand="1"/>
      </w:tblPr>
      <w:tblGrid>
        <w:gridCol w:w="723"/>
        <w:gridCol w:w="2636"/>
        <w:gridCol w:w="3260"/>
        <w:gridCol w:w="2397"/>
      </w:tblGrid>
      <w:tr w:rsidR="007D1E74" w14:paraId="5CCB350A" w14:textId="77777777">
        <w:trPr>
          <w:trHeight w:val="397"/>
        </w:trPr>
        <w:tc>
          <w:tcPr>
            <w:tcW w:w="735" w:type="dxa"/>
            <w:vAlign w:val="center"/>
          </w:tcPr>
          <w:p w14:paraId="2CCF3F53" w14:textId="77777777" w:rsidR="007D1E74" w:rsidRDefault="00A95641">
            <w:pPr>
              <w:jc w:val="center"/>
              <w:rPr>
                <w:bCs/>
                <w:szCs w:val="21"/>
              </w:rPr>
            </w:pPr>
            <w:r>
              <w:rPr>
                <w:rFonts w:cs="Times New Roman"/>
                <w:bCs/>
                <w:szCs w:val="21"/>
              </w:rPr>
              <w:t>阶段</w:t>
            </w:r>
          </w:p>
        </w:tc>
        <w:tc>
          <w:tcPr>
            <w:tcW w:w="2717" w:type="dxa"/>
            <w:vAlign w:val="center"/>
          </w:tcPr>
          <w:p w14:paraId="25BD244D" w14:textId="77777777" w:rsidR="007D1E74" w:rsidRDefault="00A95641">
            <w:pPr>
              <w:jc w:val="center"/>
              <w:rPr>
                <w:bCs/>
                <w:szCs w:val="21"/>
              </w:rPr>
            </w:pPr>
            <w:r>
              <w:rPr>
                <w:rFonts w:cs="Times New Roman"/>
                <w:bCs/>
                <w:szCs w:val="21"/>
              </w:rPr>
              <w:t>环境因素</w:t>
            </w:r>
          </w:p>
        </w:tc>
        <w:tc>
          <w:tcPr>
            <w:tcW w:w="3366" w:type="dxa"/>
            <w:vAlign w:val="center"/>
          </w:tcPr>
          <w:p w14:paraId="64266CF2" w14:textId="77777777" w:rsidR="007D1E74" w:rsidRDefault="00A95641">
            <w:pPr>
              <w:jc w:val="center"/>
              <w:rPr>
                <w:bCs/>
                <w:szCs w:val="21"/>
              </w:rPr>
            </w:pPr>
            <w:r>
              <w:rPr>
                <w:rFonts w:cs="Times New Roman"/>
                <w:bCs/>
                <w:szCs w:val="21"/>
              </w:rPr>
              <w:t>防治措施</w:t>
            </w:r>
          </w:p>
        </w:tc>
        <w:tc>
          <w:tcPr>
            <w:tcW w:w="2468" w:type="dxa"/>
            <w:vAlign w:val="center"/>
          </w:tcPr>
          <w:p w14:paraId="312E6AFD" w14:textId="77777777" w:rsidR="007D1E74" w:rsidRDefault="00A95641">
            <w:pPr>
              <w:jc w:val="center"/>
              <w:rPr>
                <w:bCs/>
                <w:szCs w:val="21"/>
              </w:rPr>
            </w:pPr>
            <w:r>
              <w:rPr>
                <w:rFonts w:cs="Times New Roman"/>
                <w:bCs/>
                <w:szCs w:val="21"/>
              </w:rPr>
              <w:t>实施机构</w:t>
            </w:r>
          </w:p>
        </w:tc>
      </w:tr>
      <w:tr w:rsidR="007D1E74" w14:paraId="0789B1B1" w14:textId="77777777">
        <w:trPr>
          <w:trHeight w:val="397"/>
        </w:trPr>
        <w:tc>
          <w:tcPr>
            <w:tcW w:w="735" w:type="dxa"/>
            <w:vMerge w:val="restart"/>
            <w:vAlign w:val="center"/>
          </w:tcPr>
          <w:p w14:paraId="7ABEA542" w14:textId="77777777" w:rsidR="007D1E74" w:rsidRDefault="00A95641">
            <w:pPr>
              <w:jc w:val="center"/>
              <w:rPr>
                <w:szCs w:val="21"/>
              </w:rPr>
            </w:pPr>
            <w:r>
              <w:rPr>
                <w:rFonts w:cs="Times New Roman"/>
                <w:szCs w:val="21"/>
              </w:rPr>
              <w:t>施</w:t>
            </w:r>
          </w:p>
          <w:p w14:paraId="7ED6D301" w14:textId="77777777" w:rsidR="007D1E74" w:rsidRDefault="00A95641">
            <w:pPr>
              <w:jc w:val="center"/>
              <w:rPr>
                <w:szCs w:val="21"/>
              </w:rPr>
            </w:pPr>
            <w:r>
              <w:rPr>
                <w:rFonts w:cs="Times New Roman"/>
                <w:szCs w:val="21"/>
              </w:rPr>
              <w:t>工</w:t>
            </w:r>
          </w:p>
          <w:p w14:paraId="1269BB49" w14:textId="77777777" w:rsidR="007D1E74" w:rsidRDefault="00A95641">
            <w:pPr>
              <w:jc w:val="center"/>
              <w:rPr>
                <w:szCs w:val="21"/>
              </w:rPr>
            </w:pPr>
            <w:r>
              <w:rPr>
                <w:rFonts w:cs="Times New Roman"/>
                <w:szCs w:val="21"/>
              </w:rPr>
              <w:t>期</w:t>
            </w:r>
          </w:p>
        </w:tc>
        <w:tc>
          <w:tcPr>
            <w:tcW w:w="2717" w:type="dxa"/>
            <w:vAlign w:val="center"/>
          </w:tcPr>
          <w:p w14:paraId="7D42A4FA" w14:textId="77777777" w:rsidR="007D1E74" w:rsidRDefault="00A95641">
            <w:pPr>
              <w:jc w:val="center"/>
              <w:rPr>
                <w:szCs w:val="21"/>
              </w:rPr>
            </w:pPr>
            <w:r>
              <w:rPr>
                <w:rFonts w:cs="Times New Roman"/>
                <w:szCs w:val="21"/>
              </w:rPr>
              <w:t>管道施工期间占用耕地，减少农作物产量</w:t>
            </w:r>
          </w:p>
        </w:tc>
        <w:tc>
          <w:tcPr>
            <w:tcW w:w="3366" w:type="dxa"/>
            <w:vAlign w:val="center"/>
          </w:tcPr>
          <w:p w14:paraId="00BFF346" w14:textId="77777777" w:rsidR="007D1E74" w:rsidRDefault="00A95641">
            <w:pPr>
              <w:jc w:val="center"/>
              <w:rPr>
                <w:szCs w:val="21"/>
              </w:rPr>
            </w:pPr>
            <w:r>
              <w:rPr>
                <w:rFonts w:cs="Times New Roman"/>
                <w:szCs w:val="21"/>
              </w:rPr>
              <w:t>尽量减少征地面积、减少占地时间，尽快恢复原有功能。</w:t>
            </w:r>
          </w:p>
        </w:tc>
        <w:tc>
          <w:tcPr>
            <w:tcW w:w="2468" w:type="dxa"/>
            <w:vAlign w:val="center"/>
          </w:tcPr>
          <w:p w14:paraId="5EE47FFF" w14:textId="77777777" w:rsidR="007D1E74" w:rsidRDefault="00A95641">
            <w:pPr>
              <w:jc w:val="center"/>
              <w:rPr>
                <w:szCs w:val="21"/>
              </w:rPr>
            </w:pPr>
            <w:r>
              <w:rPr>
                <w:rFonts w:cs="Times New Roman"/>
                <w:szCs w:val="21"/>
              </w:rPr>
              <w:t>施工单位、监理单位、</w:t>
            </w:r>
          </w:p>
          <w:p w14:paraId="7F0F42FC" w14:textId="77777777" w:rsidR="007D1E74" w:rsidRDefault="00A95641">
            <w:pPr>
              <w:jc w:val="center"/>
              <w:rPr>
                <w:szCs w:val="21"/>
              </w:rPr>
            </w:pPr>
            <w:r>
              <w:rPr>
                <w:rFonts w:cs="Times New Roman"/>
                <w:szCs w:val="21"/>
              </w:rPr>
              <w:t>业主</w:t>
            </w:r>
          </w:p>
        </w:tc>
      </w:tr>
      <w:tr w:rsidR="007D1E74" w14:paraId="0FF23CF2" w14:textId="77777777">
        <w:trPr>
          <w:trHeight w:val="397"/>
        </w:trPr>
        <w:tc>
          <w:tcPr>
            <w:tcW w:w="735" w:type="dxa"/>
            <w:vMerge/>
            <w:vAlign w:val="center"/>
          </w:tcPr>
          <w:p w14:paraId="48727565" w14:textId="77777777" w:rsidR="007D1E74" w:rsidRDefault="007D1E74">
            <w:pPr>
              <w:jc w:val="center"/>
              <w:rPr>
                <w:szCs w:val="21"/>
              </w:rPr>
            </w:pPr>
          </w:p>
        </w:tc>
        <w:tc>
          <w:tcPr>
            <w:tcW w:w="2717" w:type="dxa"/>
            <w:vAlign w:val="center"/>
          </w:tcPr>
          <w:p w14:paraId="6A0E6FF7" w14:textId="77777777" w:rsidR="007D1E74" w:rsidRDefault="00A95641">
            <w:pPr>
              <w:jc w:val="center"/>
              <w:rPr>
                <w:szCs w:val="21"/>
              </w:rPr>
            </w:pPr>
            <w:r>
              <w:rPr>
                <w:rFonts w:cs="Times New Roman"/>
                <w:szCs w:val="21"/>
              </w:rPr>
              <w:t>施工现场的扬尘和噪声</w:t>
            </w:r>
          </w:p>
        </w:tc>
        <w:tc>
          <w:tcPr>
            <w:tcW w:w="3366" w:type="dxa"/>
            <w:vAlign w:val="center"/>
          </w:tcPr>
          <w:p w14:paraId="46EA537C" w14:textId="77777777" w:rsidR="007D1E74" w:rsidRDefault="00A95641">
            <w:pPr>
              <w:jc w:val="center"/>
              <w:rPr>
                <w:szCs w:val="21"/>
              </w:rPr>
            </w:pPr>
            <w:r>
              <w:rPr>
                <w:rFonts w:cs="Times New Roman"/>
                <w:szCs w:val="21"/>
              </w:rPr>
              <w:t>洒水降尘，选用低噪声设备或加消声设施。</w:t>
            </w:r>
          </w:p>
        </w:tc>
        <w:tc>
          <w:tcPr>
            <w:tcW w:w="2468" w:type="dxa"/>
            <w:vAlign w:val="center"/>
          </w:tcPr>
          <w:p w14:paraId="2691A672" w14:textId="77777777" w:rsidR="007D1E74" w:rsidRDefault="00A95641">
            <w:pPr>
              <w:jc w:val="center"/>
              <w:rPr>
                <w:szCs w:val="21"/>
              </w:rPr>
            </w:pPr>
            <w:r>
              <w:rPr>
                <w:rFonts w:cs="Times New Roman"/>
                <w:szCs w:val="21"/>
              </w:rPr>
              <w:t>施工单位、监理单位、</w:t>
            </w:r>
          </w:p>
          <w:p w14:paraId="3CAB3A8E" w14:textId="77777777" w:rsidR="007D1E74" w:rsidRDefault="00A95641">
            <w:pPr>
              <w:jc w:val="center"/>
              <w:rPr>
                <w:szCs w:val="21"/>
              </w:rPr>
            </w:pPr>
            <w:r>
              <w:rPr>
                <w:rFonts w:cs="Times New Roman"/>
                <w:szCs w:val="21"/>
              </w:rPr>
              <w:t>业主</w:t>
            </w:r>
          </w:p>
        </w:tc>
      </w:tr>
      <w:tr w:rsidR="007D1E74" w14:paraId="0A2ACE30" w14:textId="77777777">
        <w:trPr>
          <w:trHeight w:val="397"/>
        </w:trPr>
        <w:tc>
          <w:tcPr>
            <w:tcW w:w="735" w:type="dxa"/>
            <w:vMerge/>
            <w:vAlign w:val="center"/>
          </w:tcPr>
          <w:p w14:paraId="5B18BDD8" w14:textId="77777777" w:rsidR="007D1E74" w:rsidRDefault="007D1E74">
            <w:pPr>
              <w:jc w:val="center"/>
              <w:rPr>
                <w:szCs w:val="21"/>
              </w:rPr>
            </w:pPr>
          </w:p>
        </w:tc>
        <w:tc>
          <w:tcPr>
            <w:tcW w:w="2717" w:type="dxa"/>
            <w:vAlign w:val="center"/>
          </w:tcPr>
          <w:p w14:paraId="5F37EE92" w14:textId="77777777" w:rsidR="007D1E74" w:rsidRDefault="00A95641">
            <w:pPr>
              <w:jc w:val="center"/>
              <w:rPr>
                <w:szCs w:val="21"/>
              </w:rPr>
            </w:pPr>
            <w:r>
              <w:rPr>
                <w:rFonts w:cs="Times New Roman"/>
                <w:szCs w:val="21"/>
              </w:rPr>
              <w:t>影响周围原有交通</w:t>
            </w:r>
          </w:p>
        </w:tc>
        <w:tc>
          <w:tcPr>
            <w:tcW w:w="3366" w:type="dxa"/>
            <w:vAlign w:val="center"/>
          </w:tcPr>
          <w:p w14:paraId="7FC82E7A" w14:textId="77777777" w:rsidR="007D1E74" w:rsidRDefault="00A95641">
            <w:pPr>
              <w:jc w:val="center"/>
              <w:rPr>
                <w:szCs w:val="21"/>
              </w:rPr>
            </w:pPr>
            <w:r>
              <w:rPr>
                <w:rFonts w:cs="Times New Roman"/>
                <w:szCs w:val="21"/>
              </w:rPr>
              <w:t>与管理部门协商、加强管理</w:t>
            </w:r>
          </w:p>
        </w:tc>
        <w:tc>
          <w:tcPr>
            <w:tcW w:w="2468" w:type="dxa"/>
            <w:vAlign w:val="center"/>
          </w:tcPr>
          <w:p w14:paraId="3DABFD8D" w14:textId="77777777" w:rsidR="007D1E74" w:rsidRDefault="00A95641">
            <w:pPr>
              <w:jc w:val="center"/>
              <w:rPr>
                <w:szCs w:val="21"/>
              </w:rPr>
            </w:pPr>
            <w:r>
              <w:rPr>
                <w:rFonts w:cs="Times New Roman"/>
                <w:szCs w:val="21"/>
              </w:rPr>
              <w:t>公路管理部门、施工单位和业主、监理单位</w:t>
            </w:r>
          </w:p>
        </w:tc>
      </w:tr>
      <w:tr w:rsidR="007D1E74" w14:paraId="5BF52C35" w14:textId="77777777">
        <w:trPr>
          <w:trHeight w:val="397"/>
        </w:trPr>
        <w:tc>
          <w:tcPr>
            <w:tcW w:w="735" w:type="dxa"/>
            <w:vMerge/>
            <w:vAlign w:val="center"/>
          </w:tcPr>
          <w:p w14:paraId="2734B140" w14:textId="77777777" w:rsidR="007D1E74" w:rsidRDefault="007D1E74">
            <w:pPr>
              <w:jc w:val="center"/>
              <w:rPr>
                <w:szCs w:val="21"/>
              </w:rPr>
            </w:pPr>
          </w:p>
        </w:tc>
        <w:tc>
          <w:tcPr>
            <w:tcW w:w="2717" w:type="dxa"/>
            <w:vAlign w:val="center"/>
          </w:tcPr>
          <w:p w14:paraId="2B80A55D" w14:textId="77777777" w:rsidR="007D1E74" w:rsidRDefault="00A95641">
            <w:pPr>
              <w:jc w:val="center"/>
              <w:rPr>
                <w:szCs w:val="21"/>
              </w:rPr>
            </w:pPr>
            <w:r>
              <w:rPr>
                <w:rFonts w:cs="Times New Roman"/>
                <w:szCs w:val="21"/>
              </w:rPr>
              <w:t>施工人员的生活污水、垃圾等对环境的影响</w:t>
            </w:r>
          </w:p>
        </w:tc>
        <w:tc>
          <w:tcPr>
            <w:tcW w:w="3366" w:type="dxa"/>
            <w:vAlign w:val="center"/>
          </w:tcPr>
          <w:p w14:paraId="0154B4B6" w14:textId="77777777" w:rsidR="007D1E74" w:rsidRDefault="00A95641">
            <w:pPr>
              <w:jc w:val="center"/>
              <w:rPr>
                <w:szCs w:val="21"/>
              </w:rPr>
            </w:pPr>
            <w:r>
              <w:rPr>
                <w:rFonts w:cs="Times New Roman"/>
                <w:szCs w:val="21"/>
              </w:rPr>
              <w:t>垃圾设置收集设施，禁止随意丢弃和倾倒。</w:t>
            </w:r>
          </w:p>
        </w:tc>
        <w:tc>
          <w:tcPr>
            <w:tcW w:w="2468" w:type="dxa"/>
            <w:vAlign w:val="center"/>
          </w:tcPr>
          <w:p w14:paraId="29A54804" w14:textId="77777777" w:rsidR="007D1E74" w:rsidRDefault="00A95641">
            <w:pPr>
              <w:jc w:val="center"/>
              <w:rPr>
                <w:szCs w:val="21"/>
              </w:rPr>
            </w:pPr>
            <w:r>
              <w:rPr>
                <w:rFonts w:cs="Times New Roman"/>
                <w:szCs w:val="21"/>
              </w:rPr>
              <w:t>施工单位、监理单位及</w:t>
            </w:r>
          </w:p>
          <w:p w14:paraId="44C88723" w14:textId="77777777" w:rsidR="007D1E74" w:rsidRDefault="00A95641">
            <w:pPr>
              <w:jc w:val="center"/>
              <w:rPr>
                <w:szCs w:val="21"/>
              </w:rPr>
            </w:pPr>
            <w:r>
              <w:rPr>
                <w:rFonts w:cs="Times New Roman"/>
                <w:szCs w:val="21"/>
              </w:rPr>
              <w:t>业主</w:t>
            </w:r>
          </w:p>
        </w:tc>
      </w:tr>
      <w:tr w:rsidR="007D1E74" w14:paraId="207CB468" w14:textId="77777777">
        <w:trPr>
          <w:trHeight w:val="397"/>
        </w:trPr>
        <w:tc>
          <w:tcPr>
            <w:tcW w:w="735" w:type="dxa"/>
            <w:vMerge/>
            <w:vAlign w:val="center"/>
          </w:tcPr>
          <w:p w14:paraId="67ADD15B" w14:textId="77777777" w:rsidR="007D1E74" w:rsidRDefault="007D1E74">
            <w:pPr>
              <w:jc w:val="center"/>
              <w:rPr>
                <w:szCs w:val="21"/>
              </w:rPr>
            </w:pPr>
          </w:p>
        </w:tc>
        <w:tc>
          <w:tcPr>
            <w:tcW w:w="2717" w:type="dxa"/>
            <w:vAlign w:val="center"/>
          </w:tcPr>
          <w:p w14:paraId="124583AD" w14:textId="77777777" w:rsidR="007D1E74" w:rsidRDefault="00A95641">
            <w:pPr>
              <w:jc w:val="center"/>
              <w:rPr>
                <w:szCs w:val="21"/>
              </w:rPr>
            </w:pPr>
            <w:r>
              <w:rPr>
                <w:rFonts w:cs="Times New Roman"/>
                <w:szCs w:val="21"/>
              </w:rPr>
              <w:t>水体、沟渠</w:t>
            </w:r>
          </w:p>
        </w:tc>
        <w:tc>
          <w:tcPr>
            <w:tcW w:w="3366" w:type="dxa"/>
            <w:vAlign w:val="center"/>
          </w:tcPr>
          <w:p w14:paraId="0FD941BE" w14:textId="77777777" w:rsidR="007D1E74" w:rsidRDefault="00A95641">
            <w:pPr>
              <w:jc w:val="center"/>
              <w:rPr>
                <w:szCs w:val="21"/>
              </w:rPr>
            </w:pPr>
            <w:r>
              <w:rPr>
                <w:rFonts w:cs="Times New Roman"/>
                <w:szCs w:val="21"/>
              </w:rPr>
              <w:t>按照环评提出的相关措施进行监督、监理</w:t>
            </w:r>
          </w:p>
        </w:tc>
        <w:tc>
          <w:tcPr>
            <w:tcW w:w="2468" w:type="dxa"/>
            <w:vAlign w:val="center"/>
          </w:tcPr>
          <w:p w14:paraId="1CBBCADA" w14:textId="77777777" w:rsidR="007D1E74" w:rsidRDefault="00A95641">
            <w:pPr>
              <w:jc w:val="center"/>
              <w:rPr>
                <w:szCs w:val="21"/>
              </w:rPr>
            </w:pPr>
            <w:r>
              <w:rPr>
                <w:rFonts w:cs="Times New Roman"/>
                <w:szCs w:val="21"/>
              </w:rPr>
              <w:t>施工单位、监理单位及</w:t>
            </w:r>
          </w:p>
          <w:p w14:paraId="6B61C2D7" w14:textId="77777777" w:rsidR="007D1E74" w:rsidRDefault="00A95641">
            <w:pPr>
              <w:jc w:val="center"/>
              <w:rPr>
                <w:szCs w:val="21"/>
              </w:rPr>
            </w:pPr>
            <w:r>
              <w:rPr>
                <w:rFonts w:cs="Times New Roman"/>
                <w:szCs w:val="21"/>
              </w:rPr>
              <w:t>业主</w:t>
            </w:r>
          </w:p>
        </w:tc>
      </w:tr>
      <w:tr w:rsidR="007D1E74" w14:paraId="0BBE87A1" w14:textId="77777777">
        <w:trPr>
          <w:trHeight w:val="397"/>
        </w:trPr>
        <w:tc>
          <w:tcPr>
            <w:tcW w:w="735" w:type="dxa"/>
            <w:vAlign w:val="center"/>
          </w:tcPr>
          <w:p w14:paraId="6B21CED3" w14:textId="77777777" w:rsidR="007D1E74" w:rsidRDefault="00A95641">
            <w:pPr>
              <w:jc w:val="center"/>
              <w:rPr>
                <w:szCs w:val="21"/>
              </w:rPr>
            </w:pPr>
            <w:r>
              <w:rPr>
                <w:rFonts w:cs="Times New Roman"/>
                <w:szCs w:val="21"/>
              </w:rPr>
              <w:t>运</w:t>
            </w:r>
          </w:p>
          <w:p w14:paraId="0B0854B7" w14:textId="77777777" w:rsidR="007D1E74" w:rsidRDefault="00A95641">
            <w:pPr>
              <w:jc w:val="center"/>
              <w:rPr>
                <w:szCs w:val="21"/>
              </w:rPr>
            </w:pPr>
            <w:r>
              <w:rPr>
                <w:rFonts w:cs="Times New Roman"/>
                <w:szCs w:val="21"/>
              </w:rPr>
              <w:t>营</w:t>
            </w:r>
          </w:p>
          <w:p w14:paraId="59A69EDC" w14:textId="77777777" w:rsidR="007D1E74" w:rsidRDefault="00A95641">
            <w:pPr>
              <w:jc w:val="center"/>
              <w:rPr>
                <w:szCs w:val="21"/>
              </w:rPr>
            </w:pPr>
            <w:r>
              <w:rPr>
                <w:rFonts w:cs="Times New Roman"/>
                <w:szCs w:val="21"/>
              </w:rPr>
              <w:t>期</w:t>
            </w:r>
          </w:p>
        </w:tc>
        <w:tc>
          <w:tcPr>
            <w:tcW w:w="2717" w:type="dxa"/>
            <w:vAlign w:val="center"/>
          </w:tcPr>
          <w:p w14:paraId="68294878" w14:textId="77777777" w:rsidR="007D1E74" w:rsidRDefault="00A95641">
            <w:pPr>
              <w:jc w:val="center"/>
              <w:rPr>
                <w:szCs w:val="21"/>
              </w:rPr>
            </w:pPr>
            <w:r>
              <w:rPr>
                <w:rFonts w:cs="Times New Roman"/>
                <w:szCs w:val="21"/>
              </w:rPr>
              <w:t>外界存在的对管道安全运营造成威胁的环境因素</w:t>
            </w:r>
          </w:p>
        </w:tc>
        <w:tc>
          <w:tcPr>
            <w:tcW w:w="3366" w:type="dxa"/>
            <w:vAlign w:val="center"/>
          </w:tcPr>
          <w:p w14:paraId="12CE08AD" w14:textId="77777777" w:rsidR="007D1E74" w:rsidRDefault="00A95641">
            <w:pPr>
              <w:jc w:val="center"/>
              <w:rPr>
                <w:szCs w:val="21"/>
              </w:rPr>
            </w:pPr>
            <w:r>
              <w:rPr>
                <w:rFonts w:cs="Times New Roman"/>
                <w:szCs w:val="21"/>
              </w:rPr>
              <w:t>制定日常巡线计划，及时消除对管道正常运营造成危险的一切因素</w:t>
            </w:r>
          </w:p>
        </w:tc>
        <w:tc>
          <w:tcPr>
            <w:tcW w:w="2468" w:type="dxa"/>
            <w:vAlign w:val="center"/>
          </w:tcPr>
          <w:p w14:paraId="052F899A" w14:textId="77777777" w:rsidR="007D1E74" w:rsidRDefault="00A95641">
            <w:pPr>
              <w:jc w:val="center"/>
              <w:rPr>
                <w:szCs w:val="21"/>
              </w:rPr>
            </w:pPr>
            <w:r>
              <w:rPr>
                <w:rFonts w:cs="Times New Roman"/>
                <w:szCs w:val="21"/>
              </w:rPr>
              <w:t>中国石油化工股份有限公司中原油田普光分公司的环境管理机构</w:t>
            </w:r>
          </w:p>
        </w:tc>
      </w:tr>
    </w:tbl>
    <w:p w14:paraId="2765E52F" w14:textId="77777777" w:rsidR="007D1E74" w:rsidRDefault="00A95641">
      <w:pPr>
        <w:pStyle w:val="a8"/>
      </w:pPr>
      <w:bookmarkStart w:id="75" w:name="_Toc28706"/>
      <w:r>
        <w:t>施工期环境监理</w:t>
      </w:r>
      <w:bookmarkEnd w:id="75"/>
    </w:p>
    <w:p w14:paraId="0B1610AC" w14:textId="77777777" w:rsidR="007D1E74" w:rsidRDefault="00A95641">
      <w:pPr>
        <w:spacing w:line="360" w:lineRule="auto"/>
        <w:ind w:firstLineChars="200" w:firstLine="480"/>
        <w:rPr>
          <w:sz w:val="24"/>
        </w:rPr>
      </w:pPr>
      <w:r>
        <w:rPr>
          <w:rFonts w:cs="Times New Roman"/>
          <w:sz w:val="24"/>
        </w:rPr>
        <w:t>本工程施工期应委托有资质环境监理单位开展作。环境监理是业主和承包商之外的经济独立的第三方，它严格按照合同条款和相关法律、法规，公正、独立地开展工作。</w:t>
      </w:r>
    </w:p>
    <w:p w14:paraId="688A4CBB" w14:textId="77777777" w:rsidR="007D1E74" w:rsidRDefault="00A95641">
      <w:pPr>
        <w:spacing w:line="360" w:lineRule="auto"/>
        <w:ind w:firstLineChars="200" w:firstLine="480"/>
        <w:rPr>
          <w:sz w:val="24"/>
        </w:rPr>
      </w:pPr>
      <w:r>
        <w:rPr>
          <w:rFonts w:cs="Times New Roman"/>
          <w:sz w:val="24"/>
        </w:rPr>
        <w:t>（</w:t>
      </w:r>
      <w:r>
        <w:rPr>
          <w:rFonts w:cs="Times New Roman"/>
          <w:sz w:val="24"/>
        </w:rPr>
        <w:t>1</w:t>
      </w:r>
      <w:r>
        <w:rPr>
          <w:rFonts w:cs="Times New Roman"/>
          <w:sz w:val="24"/>
        </w:rPr>
        <w:t>）环境监理职责</w:t>
      </w:r>
    </w:p>
    <w:p w14:paraId="1CAE8F42" w14:textId="77777777" w:rsidR="007D1E74" w:rsidRDefault="00A95641">
      <w:pPr>
        <w:spacing w:line="360" w:lineRule="auto"/>
        <w:ind w:firstLineChars="200" w:firstLine="480"/>
        <w:rPr>
          <w:sz w:val="24"/>
        </w:rPr>
      </w:pPr>
      <w:r>
        <w:rPr>
          <w:rFonts w:cs="Times New Roman"/>
          <w:sz w:val="24"/>
        </w:rPr>
        <w:t>①</w:t>
      </w:r>
      <w:r>
        <w:rPr>
          <w:rFonts w:cs="Times New Roman"/>
          <w:sz w:val="24"/>
        </w:rPr>
        <w:t>贯彻执行国家和省、市、县环保部门制定的有关法规、政策、条例、协调建设过程中的环境保护问题，指导施工过程中环境保护方案及措施的制定。</w:t>
      </w:r>
    </w:p>
    <w:p w14:paraId="6FBA8AF9" w14:textId="77777777" w:rsidR="007D1E74" w:rsidRDefault="00A95641">
      <w:pPr>
        <w:spacing w:line="360" w:lineRule="auto"/>
        <w:ind w:firstLineChars="200" w:firstLine="480"/>
        <w:rPr>
          <w:sz w:val="24"/>
        </w:rPr>
      </w:pPr>
      <w:r>
        <w:rPr>
          <w:rFonts w:cs="Times New Roman"/>
          <w:sz w:val="24"/>
        </w:rPr>
        <w:t>②</w:t>
      </w:r>
      <w:r>
        <w:rPr>
          <w:rFonts w:cs="Times New Roman"/>
          <w:sz w:val="24"/>
        </w:rPr>
        <w:t>加强对拟建工程施工期间的环保监督管理，协助处理环境污染问题的群众投诉，主要加强水上施工等的监督管理。</w:t>
      </w:r>
    </w:p>
    <w:p w14:paraId="627274E8" w14:textId="77777777" w:rsidR="007D1E74" w:rsidRDefault="00A95641">
      <w:pPr>
        <w:spacing w:line="360" w:lineRule="auto"/>
        <w:ind w:firstLineChars="200" w:firstLine="480"/>
        <w:rPr>
          <w:sz w:val="24"/>
        </w:rPr>
      </w:pPr>
      <w:r>
        <w:rPr>
          <w:rFonts w:cs="Times New Roman"/>
          <w:sz w:val="24"/>
        </w:rPr>
        <w:t>③</w:t>
      </w:r>
      <w:r>
        <w:rPr>
          <w:rFonts w:cs="Times New Roman"/>
          <w:sz w:val="24"/>
        </w:rPr>
        <w:t>配合上级主管部门监督、检查工程配套建设的污染治理措施的落实情况。</w:t>
      </w:r>
    </w:p>
    <w:p w14:paraId="5BFBCB43" w14:textId="77777777" w:rsidR="007D1E74" w:rsidRDefault="00A95641">
      <w:pPr>
        <w:spacing w:line="360" w:lineRule="auto"/>
        <w:ind w:firstLineChars="200" w:firstLine="480"/>
        <w:rPr>
          <w:sz w:val="24"/>
        </w:rPr>
      </w:pPr>
      <w:r>
        <w:rPr>
          <w:rFonts w:cs="Times New Roman"/>
          <w:sz w:val="24"/>
        </w:rPr>
        <w:t>④</w:t>
      </w:r>
      <w:r>
        <w:rPr>
          <w:rFonts w:cs="Times New Roman"/>
          <w:sz w:val="24"/>
        </w:rPr>
        <w:t>掌握项目建设中污染治理设施的运行情况、治理能力、处理效果及有待改进的问题，积累相关治理经验为建设项目不断完善治理设施的工艺设计、选型等提供技术基础。</w:t>
      </w:r>
    </w:p>
    <w:p w14:paraId="65B1A127" w14:textId="77777777" w:rsidR="007D1E74" w:rsidRDefault="00A95641">
      <w:pPr>
        <w:spacing w:line="360" w:lineRule="auto"/>
        <w:ind w:firstLineChars="200" w:firstLine="480"/>
        <w:rPr>
          <w:sz w:val="24"/>
        </w:rPr>
      </w:pPr>
      <w:r>
        <w:rPr>
          <w:rFonts w:cs="Times New Roman"/>
          <w:sz w:val="24"/>
        </w:rPr>
        <w:t>⑤</w:t>
      </w:r>
      <w:r>
        <w:rPr>
          <w:rFonts w:cs="Times New Roman"/>
          <w:sz w:val="24"/>
        </w:rPr>
        <w:t>按要求对建设项目所在区域的环境质量进行日常监测和污染事故的临时监测。</w:t>
      </w:r>
    </w:p>
    <w:p w14:paraId="6A8050DF" w14:textId="77777777" w:rsidR="007D1E74" w:rsidRDefault="00A95641">
      <w:pPr>
        <w:spacing w:line="360" w:lineRule="auto"/>
        <w:ind w:firstLineChars="200" w:firstLine="480"/>
        <w:rPr>
          <w:sz w:val="24"/>
        </w:rPr>
      </w:pPr>
      <w:r>
        <w:rPr>
          <w:rFonts w:cs="Times New Roman"/>
          <w:sz w:val="24"/>
        </w:rPr>
        <w:t>（</w:t>
      </w:r>
      <w:r>
        <w:rPr>
          <w:rFonts w:cs="Times New Roman"/>
          <w:sz w:val="24"/>
        </w:rPr>
        <w:t>2</w:t>
      </w:r>
      <w:r>
        <w:rPr>
          <w:rFonts w:cs="Times New Roman"/>
          <w:sz w:val="24"/>
        </w:rPr>
        <w:t>）环境监理范围</w:t>
      </w:r>
    </w:p>
    <w:p w14:paraId="57AB76F1" w14:textId="77777777" w:rsidR="007D1E74" w:rsidRDefault="00A95641">
      <w:pPr>
        <w:spacing w:line="360" w:lineRule="auto"/>
        <w:ind w:firstLineChars="200" w:firstLine="480"/>
        <w:rPr>
          <w:sz w:val="24"/>
        </w:rPr>
      </w:pPr>
      <w:r>
        <w:rPr>
          <w:rFonts w:cs="Times New Roman"/>
          <w:sz w:val="24"/>
        </w:rPr>
        <w:t>本工程施工期环境监理范围为可能因本工程施工而受到环境污染的区域。</w:t>
      </w:r>
    </w:p>
    <w:p w14:paraId="67FEE606" w14:textId="77777777" w:rsidR="007D1E74" w:rsidRDefault="00A95641">
      <w:pPr>
        <w:spacing w:line="360" w:lineRule="auto"/>
        <w:ind w:firstLineChars="200" w:firstLine="480"/>
        <w:rPr>
          <w:sz w:val="24"/>
        </w:rPr>
      </w:pPr>
      <w:r>
        <w:rPr>
          <w:rFonts w:cs="Times New Roman"/>
          <w:sz w:val="24"/>
        </w:rPr>
        <w:t>（</w:t>
      </w:r>
      <w:r>
        <w:rPr>
          <w:rFonts w:cs="Times New Roman"/>
          <w:sz w:val="24"/>
        </w:rPr>
        <w:t>3</w:t>
      </w:r>
      <w:r>
        <w:rPr>
          <w:rFonts w:cs="Times New Roman"/>
          <w:sz w:val="24"/>
        </w:rPr>
        <w:t>）环境监理工作主要内容</w:t>
      </w:r>
    </w:p>
    <w:p w14:paraId="38CB524A" w14:textId="77777777" w:rsidR="007D1E74" w:rsidRDefault="00A95641">
      <w:pPr>
        <w:spacing w:line="360" w:lineRule="auto"/>
        <w:ind w:firstLineChars="200" w:firstLine="480"/>
        <w:rPr>
          <w:sz w:val="24"/>
        </w:rPr>
      </w:pPr>
      <w:r>
        <w:rPr>
          <w:rFonts w:cs="Times New Roman"/>
          <w:sz w:val="24"/>
        </w:rPr>
        <w:lastRenderedPageBreak/>
        <w:t>建立环境监理制度，启动环境监理机制，把施工期的环境保护工作制度化。建设单位应委托具有相应资质的环境监理部门，同专职环境保护监理工程监督施工单位落实施工期应采取的各项环境保护措施。环境监理主要内容包括：</w:t>
      </w:r>
    </w:p>
    <w:p w14:paraId="6B20C01D" w14:textId="77777777" w:rsidR="007D1E74" w:rsidRDefault="00A95641">
      <w:pPr>
        <w:spacing w:line="360" w:lineRule="auto"/>
        <w:ind w:firstLineChars="200" w:firstLine="480"/>
        <w:rPr>
          <w:sz w:val="24"/>
        </w:rPr>
      </w:pPr>
      <w:r>
        <w:rPr>
          <w:rFonts w:cs="Times New Roman"/>
          <w:sz w:val="24"/>
        </w:rPr>
        <w:t>①</w:t>
      </w:r>
      <w:r>
        <w:rPr>
          <w:rFonts w:cs="Times New Roman"/>
          <w:sz w:val="24"/>
        </w:rPr>
        <w:t>审查工程设计方案、施工图设计中环境保护措施是否正确落实了经批准的环境影响报告书提出的环境保护措施，监督并协助施工单位建立施工环境保护制度。</w:t>
      </w:r>
    </w:p>
    <w:p w14:paraId="62771391" w14:textId="77777777" w:rsidR="007D1E74" w:rsidRDefault="00A95641">
      <w:pPr>
        <w:spacing w:line="360" w:lineRule="auto"/>
        <w:ind w:firstLineChars="200" w:firstLine="480"/>
        <w:rPr>
          <w:sz w:val="24"/>
        </w:rPr>
      </w:pPr>
      <w:r>
        <w:rPr>
          <w:rFonts w:cs="Times New Roman"/>
          <w:sz w:val="24"/>
        </w:rPr>
        <w:t>②</w:t>
      </w:r>
      <w:r>
        <w:rPr>
          <w:rFonts w:cs="Times New Roman"/>
          <w:sz w:val="24"/>
        </w:rPr>
        <w:t>环境监理人员对重点污染源和污染防治设施的现场监理每月不少于</w:t>
      </w:r>
      <w:r>
        <w:rPr>
          <w:rFonts w:cs="Times New Roman"/>
          <w:sz w:val="24"/>
        </w:rPr>
        <w:t>1</w:t>
      </w:r>
      <w:r>
        <w:rPr>
          <w:rFonts w:cs="Times New Roman"/>
          <w:sz w:val="24"/>
        </w:rPr>
        <w:t>次；对一般污染源及其污染防治设施的现场监理每季不少于</w:t>
      </w:r>
      <w:r>
        <w:rPr>
          <w:rFonts w:cs="Times New Roman"/>
          <w:sz w:val="24"/>
        </w:rPr>
        <w:t>1</w:t>
      </w:r>
      <w:r>
        <w:rPr>
          <w:rFonts w:cs="Times New Roman"/>
          <w:sz w:val="24"/>
        </w:rPr>
        <w:t>次；对建设项目现场监理每月不少于</w:t>
      </w:r>
      <w:r>
        <w:rPr>
          <w:rFonts w:cs="Times New Roman"/>
          <w:sz w:val="24"/>
        </w:rPr>
        <w:t>1</w:t>
      </w:r>
      <w:r>
        <w:rPr>
          <w:rFonts w:cs="Times New Roman"/>
          <w:sz w:val="24"/>
        </w:rPr>
        <w:t>次。环境监理人员在进行现场检查时，要填写现场监理单，必要时采样取证并按规定采取相应处理措施。</w:t>
      </w:r>
    </w:p>
    <w:p w14:paraId="0D368569" w14:textId="77777777" w:rsidR="007D1E74" w:rsidRDefault="00A95641">
      <w:pPr>
        <w:spacing w:line="360" w:lineRule="auto"/>
        <w:ind w:firstLineChars="200" w:firstLine="480"/>
        <w:rPr>
          <w:sz w:val="24"/>
        </w:rPr>
      </w:pPr>
      <w:r>
        <w:rPr>
          <w:rFonts w:cs="Times New Roman"/>
          <w:sz w:val="24"/>
        </w:rPr>
        <w:t>③</w:t>
      </w:r>
      <w:r>
        <w:rPr>
          <w:rFonts w:cs="Times New Roman"/>
          <w:sz w:val="24"/>
        </w:rPr>
        <w:t>对施工过程中水、声、气、固体废物环境的影响，提出减少工程环境影响的措施。监督检查施工单位在施工各个环节落实治理环境保护措施，纠正可能造成环境污染的施工操作，防范于未然。</w:t>
      </w:r>
    </w:p>
    <w:p w14:paraId="7FA8B78D" w14:textId="77777777" w:rsidR="007D1E74" w:rsidRDefault="00A95641">
      <w:pPr>
        <w:spacing w:line="360" w:lineRule="auto"/>
        <w:ind w:firstLineChars="200" w:firstLine="480"/>
        <w:rPr>
          <w:sz w:val="24"/>
        </w:rPr>
      </w:pPr>
      <w:r>
        <w:rPr>
          <w:rFonts w:cs="Times New Roman"/>
          <w:sz w:val="24"/>
        </w:rPr>
        <w:t>④</w:t>
      </w:r>
      <w:r>
        <w:rPr>
          <w:rFonts w:cs="Times New Roman"/>
          <w:sz w:val="24"/>
        </w:rPr>
        <w:t>记录工程施工环境影响情况，环境保护措施的效果，环境保护工作建设情况。</w:t>
      </w:r>
    </w:p>
    <w:p w14:paraId="06969516" w14:textId="77777777" w:rsidR="007D1E74" w:rsidRDefault="00A95641">
      <w:pPr>
        <w:spacing w:line="360" w:lineRule="auto"/>
        <w:ind w:firstLineChars="200" w:firstLine="480"/>
        <w:rPr>
          <w:sz w:val="24"/>
        </w:rPr>
      </w:pPr>
      <w:r>
        <w:rPr>
          <w:rFonts w:cs="Times New Roman"/>
          <w:sz w:val="24"/>
        </w:rPr>
        <w:t>⑤</w:t>
      </w:r>
      <w:r>
        <w:rPr>
          <w:rFonts w:cs="Times New Roman"/>
          <w:sz w:val="24"/>
        </w:rPr>
        <w:t>及时向工程监理反映有关环境保护措施和施工中出现的问题，配合环境保护主管部门处理和原因造成的环境污染事故。</w:t>
      </w:r>
    </w:p>
    <w:p w14:paraId="59E22004" w14:textId="77777777" w:rsidR="007D1E74" w:rsidRDefault="00A95641">
      <w:pPr>
        <w:spacing w:line="360" w:lineRule="auto"/>
        <w:ind w:firstLineChars="200" w:firstLine="480"/>
        <w:rPr>
          <w:sz w:val="24"/>
        </w:rPr>
      </w:pPr>
      <w:r>
        <w:rPr>
          <w:rFonts w:cs="Times New Roman"/>
          <w:sz w:val="24"/>
        </w:rPr>
        <w:t>（</w:t>
      </w:r>
      <w:r>
        <w:rPr>
          <w:rFonts w:cs="Times New Roman"/>
          <w:sz w:val="24"/>
        </w:rPr>
        <w:t>4</w:t>
      </w:r>
      <w:r>
        <w:rPr>
          <w:rFonts w:cs="Times New Roman"/>
          <w:sz w:val="24"/>
        </w:rPr>
        <w:t>）施工期环境监理具体内容</w:t>
      </w:r>
    </w:p>
    <w:p w14:paraId="52F32E0A" w14:textId="77777777" w:rsidR="007D1E74" w:rsidRDefault="00A95641">
      <w:pPr>
        <w:spacing w:line="360" w:lineRule="auto"/>
        <w:ind w:firstLineChars="200" w:firstLine="480"/>
        <w:rPr>
          <w:sz w:val="24"/>
        </w:rPr>
      </w:pPr>
      <w:r>
        <w:rPr>
          <w:rFonts w:cs="Times New Roman"/>
          <w:sz w:val="24"/>
        </w:rPr>
        <w:t>本工程施工期环境监理有关内容见下表。</w:t>
      </w:r>
    </w:p>
    <w:p w14:paraId="563A27BF" w14:textId="77777777" w:rsidR="007D1E74" w:rsidRDefault="00A95641">
      <w:pPr>
        <w:tabs>
          <w:tab w:val="left" w:pos="964"/>
        </w:tabs>
        <w:spacing w:before="78" w:after="21"/>
        <w:ind w:right="153"/>
        <w:jc w:val="center"/>
        <w:rPr>
          <w:rFonts w:eastAsia="黑体" w:cs="Times New Roman"/>
        </w:rPr>
      </w:pPr>
      <w:r>
        <w:rPr>
          <w:rFonts w:eastAsia="黑体" w:cs="Times New Roman"/>
        </w:rPr>
        <w:t>表</w:t>
      </w:r>
      <w:r>
        <w:rPr>
          <w:rFonts w:eastAsia="黑体" w:cs="Times New Roman"/>
        </w:rPr>
        <w:t>10.2-1</w:t>
      </w:r>
      <w:r>
        <w:rPr>
          <w:rFonts w:eastAsia="黑体" w:cs="Times New Roman"/>
        </w:rPr>
        <w:tab/>
      </w:r>
      <w:r>
        <w:rPr>
          <w:rFonts w:eastAsia="黑体" w:cs="Times New Roman"/>
        </w:rPr>
        <w:t>施工期环境监理重点监控内容</w:t>
      </w:r>
    </w:p>
    <w:tbl>
      <w:tblPr>
        <w:tblStyle w:val="affffc"/>
        <w:tblW w:w="0" w:type="auto"/>
        <w:tblLook w:val="04A0" w:firstRow="1" w:lastRow="0" w:firstColumn="1" w:lastColumn="0" w:noHBand="0" w:noVBand="1"/>
      </w:tblPr>
      <w:tblGrid>
        <w:gridCol w:w="961"/>
        <w:gridCol w:w="1216"/>
        <w:gridCol w:w="5789"/>
        <w:gridCol w:w="1050"/>
      </w:tblGrid>
      <w:tr w:rsidR="007D1E74" w14:paraId="3323D1C9" w14:textId="77777777">
        <w:trPr>
          <w:trHeight w:val="397"/>
        </w:trPr>
        <w:tc>
          <w:tcPr>
            <w:tcW w:w="985" w:type="dxa"/>
            <w:vAlign w:val="center"/>
          </w:tcPr>
          <w:p w14:paraId="1013BCBB" w14:textId="77777777" w:rsidR="007D1E74" w:rsidRDefault="00A95641">
            <w:pPr>
              <w:jc w:val="center"/>
              <w:rPr>
                <w:bCs/>
                <w:szCs w:val="21"/>
              </w:rPr>
            </w:pPr>
            <w:r>
              <w:rPr>
                <w:rFonts w:cs="Times New Roman"/>
                <w:bCs/>
                <w:szCs w:val="21"/>
              </w:rPr>
              <w:t>施工段</w:t>
            </w:r>
          </w:p>
        </w:tc>
        <w:tc>
          <w:tcPr>
            <w:tcW w:w="1250" w:type="dxa"/>
            <w:vAlign w:val="center"/>
          </w:tcPr>
          <w:p w14:paraId="603C0C73" w14:textId="77777777" w:rsidR="007D1E74" w:rsidRDefault="00A95641">
            <w:pPr>
              <w:jc w:val="center"/>
              <w:rPr>
                <w:bCs/>
                <w:szCs w:val="21"/>
              </w:rPr>
            </w:pPr>
            <w:r>
              <w:rPr>
                <w:rFonts w:cs="Times New Roman"/>
                <w:bCs/>
                <w:szCs w:val="21"/>
              </w:rPr>
              <w:t>施工活动</w:t>
            </w:r>
          </w:p>
        </w:tc>
        <w:tc>
          <w:tcPr>
            <w:tcW w:w="5983" w:type="dxa"/>
            <w:vAlign w:val="center"/>
          </w:tcPr>
          <w:p w14:paraId="7AB692A8" w14:textId="77777777" w:rsidR="007D1E74" w:rsidRDefault="00A95641">
            <w:pPr>
              <w:jc w:val="center"/>
              <w:rPr>
                <w:bCs/>
                <w:szCs w:val="21"/>
              </w:rPr>
            </w:pPr>
            <w:r>
              <w:rPr>
                <w:rFonts w:cs="Times New Roman"/>
                <w:bCs/>
                <w:szCs w:val="21"/>
              </w:rPr>
              <w:t>监理要点</w:t>
            </w:r>
          </w:p>
        </w:tc>
        <w:tc>
          <w:tcPr>
            <w:tcW w:w="1068" w:type="dxa"/>
            <w:vAlign w:val="center"/>
          </w:tcPr>
          <w:p w14:paraId="4925330A" w14:textId="77777777" w:rsidR="007D1E74" w:rsidRDefault="00A95641">
            <w:pPr>
              <w:jc w:val="center"/>
              <w:rPr>
                <w:bCs/>
                <w:szCs w:val="21"/>
              </w:rPr>
            </w:pPr>
            <w:r>
              <w:rPr>
                <w:rFonts w:cs="Times New Roman"/>
                <w:bCs/>
                <w:szCs w:val="21"/>
              </w:rPr>
              <w:t>监理方法</w:t>
            </w:r>
          </w:p>
        </w:tc>
      </w:tr>
      <w:tr w:rsidR="007D1E74" w14:paraId="547F90CB" w14:textId="77777777">
        <w:trPr>
          <w:trHeight w:val="397"/>
        </w:trPr>
        <w:tc>
          <w:tcPr>
            <w:tcW w:w="985" w:type="dxa"/>
            <w:vMerge w:val="restart"/>
            <w:vAlign w:val="center"/>
          </w:tcPr>
          <w:p w14:paraId="0033ECFB" w14:textId="77777777" w:rsidR="007D1E74" w:rsidRDefault="00A95641">
            <w:pPr>
              <w:jc w:val="center"/>
              <w:rPr>
                <w:szCs w:val="21"/>
              </w:rPr>
            </w:pPr>
            <w:r>
              <w:rPr>
                <w:rFonts w:cs="Times New Roman"/>
                <w:szCs w:val="21"/>
              </w:rPr>
              <w:t>管道施</w:t>
            </w:r>
          </w:p>
          <w:p w14:paraId="63170E4E" w14:textId="77777777" w:rsidR="007D1E74" w:rsidRDefault="00A95641">
            <w:pPr>
              <w:jc w:val="center"/>
              <w:rPr>
                <w:szCs w:val="21"/>
              </w:rPr>
            </w:pPr>
            <w:r>
              <w:rPr>
                <w:rFonts w:cs="Times New Roman"/>
                <w:szCs w:val="21"/>
              </w:rPr>
              <w:t>工阶段</w:t>
            </w:r>
          </w:p>
        </w:tc>
        <w:tc>
          <w:tcPr>
            <w:tcW w:w="1250" w:type="dxa"/>
            <w:vMerge w:val="restart"/>
            <w:vAlign w:val="center"/>
          </w:tcPr>
          <w:p w14:paraId="068CBE3A" w14:textId="77777777" w:rsidR="007D1E74" w:rsidRDefault="00A95641">
            <w:pPr>
              <w:jc w:val="center"/>
              <w:rPr>
                <w:szCs w:val="21"/>
              </w:rPr>
            </w:pPr>
            <w:r>
              <w:rPr>
                <w:rFonts w:cs="Times New Roman"/>
                <w:szCs w:val="21"/>
              </w:rPr>
              <w:t>准备</w:t>
            </w:r>
          </w:p>
        </w:tc>
        <w:tc>
          <w:tcPr>
            <w:tcW w:w="5983" w:type="dxa"/>
            <w:vAlign w:val="center"/>
          </w:tcPr>
          <w:p w14:paraId="606A6A8B" w14:textId="77777777" w:rsidR="007D1E74" w:rsidRDefault="00A95641">
            <w:pPr>
              <w:rPr>
                <w:szCs w:val="21"/>
              </w:rPr>
            </w:pPr>
            <w:r>
              <w:rPr>
                <w:rFonts w:cs="Times New Roman"/>
                <w:szCs w:val="21"/>
              </w:rPr>
              <w:t>1.</w:t>
            </w:r>
            <w:r>
              <w:rPr>
                <w:rFonts w:cs="Times New Roman"/>
                <w:szCs w:val="21"/>
              </w:rPr>
              <w:t>审查承包商的管道工程开工实施性施工组织设计中的环境保护内容；</w:t>
            </w:r>
          </w:p>
        </w:tc>
        <w:tc>
          <w:tcPr>
            <w:tcW w:w="1068" w:type="dxa"/>
            <w:vAlign w:val="center"/>
          </w:tcPr>
          <w:p w14:paraId="6D864E87" w14:textId="77777777" w:rsidR="007D1E74" w:rsidRDefault="00A95641">
            <w:pPr>
              <w:jc w:val="center"/>
              <w:rPr>
                <w:szCs w:val="21"/>
              </w:rPr>
            </w:pPr>
            <w:r>
              <w:rPr>
                <w:rFonts w:cs="Times New Roman"/>
                <w:szCs w:val="21"/>
              </w:rPr>
              <w:t>审查</w:t>
            </w:r>
          </w:p>
        </w:tc>
      </w:tr>
      <w:tr w:rsidR="007D1E74" w14:paraId="522CF642" w14:textId="77777777">
        <w:trPr>
          <w:trHeight w:val="397"/>
        </w:trPr>
        <w:tc>
          <w:tcPr>
            <w:tcW w:w="985" w:type="dxa"/>
            <w:vMerge/>
            <w:vAlign w:val="center"/>
          </w:tcPr>
          <w:p w14:paraId="3CE2B069" w14:textId="77777777" w:rsidR="007D1E74" w:rsidRDefault="007D1E74">
            <w:pPr>
              <w:jc w:val="center"/>
              <w:rPr>
                <w:szCs w:val="21"/>
              </w:rPr>
            </w:pPr>
          </w:p>
        </w:tc>
        <w:tc>
          <w:tcPr>
            <w:tcW w:w="1250" w:type="dxa"/>
            <w:vMerge/>
            <w:vAlign w:val="center"/>
          </w:tcPr>
          <w:p w14:paraId="5F967EDD" w14:textId="77777777" w:rsidR="007D1E74" w:rsidRDefault="007D1E74">
            <w:pPr>
              <w:jc w:val="center"/>
              <w:rPr>
                <w:szCs w:val="21"/>
              </w:rPr>
            </w:pPr>
          </w:p>
        </w:tc>
        <w:tc>
          <w:tcPr>
            <w:tcW w:w="5983" w:type="dxa"/>
            <w:vAlign w:val="center"/>
          </w:tcPr>
          <w:p w14:paraId="2B8DD282" w14:textId="77777777" w:rsidR="007D1E74" w:rsidRDefault="00A95641">
            <w:pPr>
              <w:rPr>
                <w:szCs w:val="21"/>
              </w:rPr>
            </w:pPr>
            <w:r>
              <w:rPr>
                <w:rFonts w:cs="Times New Roman"/>
                <w:szCs w:val="21"/>
              </w:rPr>
              <w:t>2.</w:t>
            </w:r>
            <w:r>
              <w:rPr>
                <w:rFonts w:cs="Times New Roman"/>
                <w:szCs w:val="21"/>
              </w:rPr>
              <w:t>检查施工测量控制线，设置明显的管道施工作业范围界桩；</w:t>
            </w:r>
          </w:p>
        </w:tc>
        <w:tc>
          <w:tcPr>
            <w:tcW w:w="1068" w:type="dxa"/>
            <w:vAlign w:val="center"/>
          </w:tcPr>
          <w:p w14:paraId="7AD1801E" w14:textId="77777777" w:rsidR="007D1E74" w:rsidRDefault="00A95641">
            <w:pPr>
              <w:jc w:val="center"/>
              <w:rPr>
                <w:szCs w:val="21"/>
              </w:rPr>
            </w:pPr>
            <w:r>
              <w:rPr>
                <w:rFonts w:cs="Times New Roman"/>
                <w:szCs w:val="21"/>
              </w:rPr>
              <w:t>巡回检查</w:t>
            </w:r>
          </w:p>
        </w:tc>
      </w:tr>
      <w:tr w:rsidR="007D1E74" w14:paraId="218538A3" w14:textId="77777777">
        <w:trPr>
          <w:trHeight w:val="397"/>
        </w:trPr>
        <w:tc>
          <w:tcPr>
            <w:tcW w:w="985" w:type="dxa"/>
            <w:vMerge/>
            <w:vAlign w:val="center"/>
          </w:tcPr>
          <w:p w14:paraId="21F02974" w14:textId="77777777" w:rsidR="007D1E74" w:rsidRDefault="007D1E74">
            <w:pPr>
              <w:jc w:val="center"/>
              <w:rPr>
                <w:szCs w:val="21"/>
              </w:rPr>
            </w:pPr>
          </w:p>
        </w:tc>
        <w:tc>
          <w:tcPr>
            <w:tcW w:w="1250" w:type="dxa"/>
            <w:vMerge/>
            <w:vAlign w:val="center"/>
          </w:tcPr>
          <w:p w14:paraId="15731B10" w14:textId="77777777" w:rsidR="007D1E74" w:rsidRDefault="007D1E74">
            <w:pPr>
              <w:jc w:val="center"/>
              <w:rPr>
                <w:szCs w:val="21"/>
              </w:rPr>
            </w:pPr>
          </w:p>
        </w:tc>
        <w:tc>
          <w:tcPr>
            <w:tcW w:w="5983" w:type="dxa"/>
            <w:vAlign w:val="center"/>
          </w:tcPr>
          <w:p w14:paraId="7BE1F912" w14:textId="77777777" w:rsidR="007D1E74" w:rsidRDefault="00A95641">
            <w:pPr>
              <w:rPr>
                <w:szCs w:val="21"/>
              </w:rPr>
            </w:pPr>
            <w:r>
              <w:rPr>
                <w:rFonts w:cs="Times New Roman"/>
                <w:szCs w:val="21"/>
              </w:rPr>
              <w:t>3.</w:t>
            </w:r>
            <w:r>
              <w:rPr>
                <w:rFonts w:cs="Times New Roman"/>
                <w:szCs w:val="21"/>
              </w:rPr>
              <w:t>审查承包商的新增临时用地计划，监督其办理相关征地手续。</w:t>
            </w:r>
          </w:p>
        </w:tc>
        <w:tc>
          <w:tcPr>
            <w:tcW w:w="1068" w:type="dxa"/>
            <w:vAlign w:val="center"/>
          </w:tcPr>
          <w:p w14:paraId="271D1396" w14:textId="77777777" w:rsidR="007D1E74" w:rsidRDefault="00A95641">
            <w:pPr>
              <w:jc w:val="center"/>
              <w:rPr>
                <w:szCs w:val="21"/>
              </w:rPr>
            </w:pPr>
            <w:r>
              <w:rPr>
                <w:rFonts w:cs="Times New Roman"/>
                <w:szCs w:val="21"/>
              </w:rPr>
              <w:t>审查</w:t>
            </w:r>
          </w:p>
        </w:tc>
      </w:tr>
      <w:tr w:rsidR="007D1E74" w14:paraId="77AAE610" w14:textId="77777777">
        <w:trPr>
          <w:trHeight w:val="397"/>
        </w:trPr>
        <w:tc>
          <w:tcPr>
            <w:tcW w:w="985" w:type="dxa"/>
            <w:vMerge/>
            <w:vAlign w:val="center"/>
          </w:tcPr>
          <w:p w14:paraId="0EDA8236" w14:textId="77777777" w:rsidR="007D1E74" w:rsidRDefault="007D1E74">
            <w:pPr>
              <w:jc w:val="center"/>
              <w:rPr>
                <w:szCs w:val="21"/>
              </w:rPr>
            </w:pPr>
          </w:p>
        </w:tc>
        <w:tc>
          <w:tcPr>
            <w:tcW w:w="1250" w:type="dxa"/>
            <w:vMerge w:val="restart"/>
            <w:vAlign w:val="center"/>
          </w:tcPr>
          <w:p w14:paraId="6FC1FF8C" w14:textId="77777777" w:rsidR="007D1E74" w:rsidRDefault="00A95641">
            <w:pPr>
              <w:jc w:val="center"/>
              <w:rPr>
                <w:szCs w:val="21"/>
              </w:rPr>
            </w:pPr>
            <w:r>
              <w:rPr>
                <w:rFonts w:cs="Times New Roman"/>
                <w:szCs w:val="21"/>
              </w:rPr>
              <w:t>施工便道</w:t>
            </w:r>
          </w:p>
        </w:tc>
        <w:tc>
          <w:tcPr>
            <w:tcW w:w="5983" w:type="dxa"/>
            <w:vAlign w:val="center"/>
          </w:tcPr>
          <w:p w14:paraId="007584F7" w14:textId="77777777" w:rsidR="007D1E74" w:rsidRDefault="00A95641">
            <w:pPr>
              <w:rPr>
                <w:szCs w:val="21"/>
              </w:rPr>
            </w:pPr>
            <w:r>
              <w:rPr>
                <w:rFonts w:cs="Times New Roman"/>
                <w:szCs w:val="21"/>
              </w:rPr>
              <w:t>1.</w:t>
            </w:r>
            <w:r>
              <w:rPr>
                <w:rFonts w:cs="Times New Roman"/>
                <w:szCs w:val="21"/>
              </w:rPr>
              <w:t>检查清理现场工作界线，确定需要保留的植物和构造物；</w:t>
            </w:r>
          </w:p>
        </w:tc>
        <w:tc>
          <w:tcPr>
            <w:tcW w:w="1068" w:type="dxa"/>
            <w:vAlign w:val="center"/>
          </w:tcPr>
          <w:p w14:paraId="377AA8CF" w14:textId="77777777" w:rsidR="007D1E74" w:rsidRDefault="00A95641">
            <w:pPr>
              <w:jc w:val="center"/>
              <w:rPr>
                <w:szCs w:val="21"/>
              </w:rPr>
            </w:pPr>
            <w:r>
              <w:rPr>
                <w:rFonts w:cs="Times New Roman"/>
                <w:szCs w:val="21"/>
              </w:rPr>
              <w:t>巡回检查</w:t>
            </w:r>
          </w:p>
        </w:tc>
      </w:tr>
      <w:tr w:rsidR="007D1E74" w14:paraId="78DC6D19" w14:textId="77777777">
        <w:trPr>
          <w:trHeight w:val="397"/>
        </w:trPr>
        <w:tc>
          <w:tcPr>
            <w:tcW w:w="985" w:type="dxa"/>
            <w:vMerge/>
            <w:vAlign w:val="center"/>
          </w:tcPr>
          <w:p w14:paraId="7248E972" w14:textId="77777777" w:rsidR="007D1E74" w:rsidRDefault="007D1E74">
            <w:pPr>
              <w:jc w:val="center"/>
              <w:rPr>
                <w:szCs w:val="21"/>
              </w:rPr>
            </w:pPr>
          </w:p>
        </w:tc>
        <w:tc>
          <w:tcPr>
            <w:tcW w:w="1250" w:type="dxa"/>
            <w:vMerge/>
            <w:vAlign w:val="center"/>
          </w:tcPr>
          <w:p w14:paraId="7230C182" w14:textId="77777777" w:rsidR="007D1E74" w:rsidRDefault="007D1E74">
            <w:pPr>
              <w:jc w:val="center"/>
              <w:rPr>
                <w:szCs w:val="21"/>
              </w:rPr>
            </w:pPr>
          </w:p>
        </w:tc>
        <w:tc>
          <w:tcPr>
            <w:tcW w:w="5983" w:type="dxa"/>
            <w:vAlign w:val="center"/>
          </w:tcPr>
          <w:p w14:paraId="537C853F" w14:textId="77777777" w:rsidR="007D1E74" w:rsidRDefault="00A95641">
            <w:pPr>
              <w:rPr>
                <w:szCs w:val="21"/>
              </w:rPr>
            </w:pPr>
            <w:r>
              <w:rPr>
                <w:rFonts w:cs="Times New Roman"/>
                <w:szCs w:val="21"/>
              </w:rPr>
              <w:t>2.</w:t>
            </w:r>
            <w:r>
              <w:rPr>
                <w:rFonts w:cs="Times New Roman"/>
                <w:szCs w:val="21"/>
              </w:rPr>
              <w:t>检查地表清理作业情况，禁止跨越施工作业带作业；</w:t>
            </w:r>
          </w:p>
        </w:tc>
        <w:tc>
          <w:tcPr>
            <w:tcW w:w="1068" w:type="dxa"/>
            <w:vAlign w:val="center"/>
          </w:tcPr>
          <w:p w14:paraId="6B10A6D0" w14:textId="77777777" w:rsidR="007D1E74" w:rsidRDefault="00A95641">
            <w:pPr>
              <w:jc w:val="center"/>
              <w:rPr>
                <w:szCs w:val="21"/>
              </w:rPr>
            </w:pPr>
            <w:r>
              <w:rPr>
                <w:rFonts w:cs="Times New Roman"/>
                <w:szCs w:val="21"/>
              </w:rPr>
              <w:t>旁站</w:t>
            </w:r>
          </w:p>
        </w:tc>
      </w:tr>
      <w:tr w:rsidR="007D1E74" w14:paraId="77287335" w14:textId="77777777">
        <w:trPr>
          <w:trHeight w:val="397"/>
        </w:trPr>
        <w:tc>
          <w:tcPr>
            <w:tcW w:w="985" w:type="dxa"/>
            <w:vMerge/>
            <w:vAlign w:val="center"/>
          </w:tcPr>
          <w:p w14:paraId="3B525BE2" w14:textId="77777777" w:rsidR="007D1E74" w:rsidRDefault="007D1E74">
            <w:pPr>
              <w:jc w:val="center"/>
              <w:rPr>
                <w:szCs w:val="21"/>
              </w:rPr>
            </w:pPr>
          </w:p>
        </w:tc>
        <w:tc>
          <w:tcPr>
            <w:tcW w:w="1250" w:type="dxa"/>
            <w:vMerge/>
            <w:vAlign w:val="center"/>
          </w:tcPr>
          <w:p w14:paraId="619BB40F" w14:textId="77777777" w:rsidR="007D1E74" w:rsidRDefault="007D1E74">
            <w:pPr>
              <w:jc w:val="center"/>
              <w:rPr>
                <w:szCs w:val="21"/>
              </w:rPr>
            </w:pPr>
          </w:p>
        </w:tc>
        <w:tc>
          <w:tcPr>
            <w:tcW w:w="5983" w:type="dxa"/>
            <w:vAlign w:val="center"/>
          </w:tcPr>
          <w:p w14:paraId="2D577DD0" w14:textId="77777777" w:rsidR="007D1E74" w:rsidRDefault="00A95641">
            <w:pPr>
              <w:rPr>
                <w:szCs w:val="21"/>
              </w:rPr>
            </w:pPr>
            <w:r>
              <w:rPr>
                <w:rFonts w:cs="Times New Roman"/>
                <w:szCs w:val="21"/>
              </w:rPr>
              <w:t>3.</w:t>
            </w:r>
            <w:r>
              <w:rPr>
                <w:rFonts w:cs="Times New Roman"/>
                <w:szCs w:val="21"/>
              </w:rPr>
              <w:t>检查剥离表层土层是否堆放于开挖面一侧底部予以保存；</w:t>
            </w:r>
          </w:p>
        </w:tc>
        <w:tc>
          <w:tcPr>
            <w:tcW w:w="1068" w:type="dxa"/>
            <w:vAlign w:val="center"/>
          </w:tcPr>
          <w:p w14:paraId="108270A7" w14:textId="77777777" w:rsidR="007D1E74" w:rsidRDefault="00A95641">
            <w:pPr>
              <w:jc w:val="center"/>
              <w:rPr>
                <w:szCs w:val="21"/>
              </w:rPr>
            </w:pPr>
            <w:r>
              <w:rPr>
                <w:rFonts w:cs="Times New Roman"/>
                <w:szCs w:val="21"/>
              </w:rPr>
              <w:t>巡回检查</w:t>
            </w:r>
          </w:p>
        </w:tc>
      </w:tr>
      <w:tr w:rsidR="007D1E74" w14:paraId="21815525" w14:textId="77777777">
        <w:trPr>
          <w:trHeight w:val="397"/>
        </w:trPr>
        <w:tc>
          <w:tcPr>
            <w:tcW w:w="985" w:type="dxa"/>
            <w:vMerge/>
            <w:vAlign w:val="center"/>
          </w:tcPr>
          <w:p w14:paraId="65D8AF76" w14:textId="77777777" w:rsidR="007D1E74" w:rsidRDefault="007D1E74">
            <w:pPr>
              <w:jc w:val="center"/>
              <w:rPr>
                <w:szCs w:val="21"/>
              </w:rPr>
            </w:pPr>
          </w:p>
        </w:tc>
        <w:tc>
          <w:tcPr>
            <w:tcW w:w="1250" w:type="dxa"/>
            <w:vMerge/>
            <w:vAlign w:val="center"/>
          </w:tcPr>
          <w:p w14:paraId="44D041C5" w14:textId="77777777" w:rsidR="007D1E74" w:rsidRDefault="007D1E74">
            <w:pPr>
              <w:jc w:val="center"/>
              <w:rPr>
                <w:szCs w:val="21"/>
              </w:rPr>
            </w:pPr>
          </w:p>
        </w:tc>
        <w:tc>
          <w:tcPr>
            <w:tcW w:w="5983" w:type="dxa"/>
            <w:vAlign w:val="center"/>
          </w:tcPr>
          <w:p w14:paraId="0477FEBB" w14:textId="77777777" w:rsidR="007D1E74" w:rsidRDefault="00A95641">
            <w:pPr>
              <w:rPr>
                <w:szCs w:val="21"/>
              </w:rPr>
            </w:pPr>
            <w:r>
              <w:rPr>
                <w:rFonts w:cs="Times New Roman"/>
                <w:szCs w:val="21"/>
              </w:rPr>
              <w:t>4.</w:t>
            </w:r>
            <w:r>
              <w:rPr>
                <w:rFonts w:cs="Times New Roman"/>
                <w:szCs w:val="21"/>
              </w:rPr>
              <w:t>监督承包商在拆除旧通行及排水结构物前做好新通道和排水设施，确保通行和排水。</w:t>
            </w:r>
          </w:p>
        </w:tc>
        <w:tc>
          <w:tcPr>
            <w:tcW w:w="1068" w:type="dxa"/>
            <w:vAlign w:val="center"/>
          </w:tcPr>
          <w:p w14:paraId="0A740F73" w14:textId="77777777" w:rsidR="007D1E74" w:rsidRDefault="00A95641">
            <w:pPr>
              <w:jc w:val="center"/>
              <w:rPr>
                <w:szCs w:val="21"/>
              </w:rPr>
            </w:pPr>
            <w:r>
              <w:rPr>
                <w:rFonts w:cs="Times New Roman"/>
                <w:szCs w:val="21"/>
              </w:rPr>
              <w:t>巡回检查</w:t>
            </w:r>
          </w:p>
        </w:tc>
      </w:tr>
      <w:tr w:rsidR="007D1E74" w14:paraId="0E1EBE57" w14:textId="77777777">
        <w:trPr>
          <w:trHeight w:val="397"/>
        </w:trPr>
        <w:tc>
          <w:tcPr>
            <w:tcW w:w="985" w:type="dxa"/>
            <w:vMerge/>
            <w:vAlign w:val="center"/>
          </w:tcPr>
          <w:p w14:paraId="79AC1FEA" w14:textId="77777777" w:rsidR="007D1E74" w:rsidRDefault="007D1E74">
            <w:pPr>
              <w:jc w:val="center"/>
              <w:rPr>
                <w:szCs w:val="21"/>
              </w:rPr>
            </w:pPr>
          </w:p>
        </w:tc>
        <w:tc>
          <w:tcPr>
            <w:tcW w:w="1250" w:type="dxa"/>
            <w:vMerge w:val="restart"/>
            <w:vAlign w:val="center"/>
          </w:tcPr>
          <w:p w14:paraId="5B514C0B" w14:textId="77777777" w:rsidR="007D1E74" w:rsidRDefault="00A95641">
            <w:pPr>
              <w:jc w:val="center"/>
              <w:rPr>
                <w:szCs w:val="21"/>
              </w:rPr>
            </w:pPr>
            <w:r>
              <w:rPr>
                <w:rFonts w:cs="Times New Roman"/>
                <w:szCs w:val="21"/>
              </w:rPr>
              <w:t>管沟开挖</w:t>
            </w:r>
          </w:p>
        </w:tc>
        <w:tc>
          <w:tcPr>
            <w:tcW w:w="5983" w:type="dxa"/>
            <w:vAlign w:val="center"/>
          </w:tcPr>
          <w:p w14:paraId="58DF1B89" w14:textId="77777777" w:rsidR="007D1E74" w:rsidRDefault="00A95641">
            <w:pPr>
              <w:rPr>
                <w:szCs w:val="21"/>
              </w:rPr>
            </w:pPr>
            <w:r>
              <w:rPr>
                <w:rFonts w:cs="Times New Roman"/>
                <w:szCs w:val="21"/>
              </w:rPr>
              <w:t>1.</w:t>
            </w:r>
            <w:r>
              <w:rPr>
                <w:rFonts w:cs="Times New Roman"/>
                <w:szCs w:val="21"/>
              </w:rPr>
              <w:t>沿河路段管沟开挖严禁超出征地范围；</w:t>
            </w:r>
          </w:p>
        </w:tc>
        <w:tc>
          <w:tcPr>
            <w:tcW w:w="1068" w:type="dxa"/>
            <w:vAlign w:val="center"/>
          </w:tcPr>
          <w:p w14:paraId="023032EF" w14:textId="77777777" w:rsidR="007D1E74" w:rsidRDefault="00A95641">
            <w:pPr>
              <w:jc w:val="center"/>
              <w:rPr>
                <w:szCs w:val="21"/>
              </w:rPr>
            </w:pPr>
            <w:r>
              <w:rPr>
                <w:rFonts w:cs="Times New Roman"/>
                <w:szCs w:val="21"/>
              </w:rPr>
              <w:t>巡回检查</w:t>
            </w:r>
          </w:p>
        </w:tc>
      </w:tr>
      <w:tr w:rsidR="007D1E74" w14:paraId="7719FA84" w14:textId="77777777">
        <w:trPr>
          <w:trHeight w:val="397"/>
        </w:trPr>
        <w:tc>
          <w:tcPr>
            <w:tcW w:w="985" w:type="dxa"/>
            <w:vMerge/>
            <w:vAlign w:val="center"/>
          </w:tcPr>
          <w:p w14:paraId="4C78B5F8" w14:textId="77777777" w:rsidR="007D1E74" w:rsidRDefault="007D1E74">
            <w:pPr>
              <w:jc w:val="center"/>
              <w:rPr>
                <w:szCs w:val="21"/>
              </w:rPr>
            </w:pPr>
          </w:p>
        </w:tc>
        <w:tc>
          <w:tcPr>
            <w:tcW w:w="1250" w:type="dxa"/>
            <w:vMerge/>
            <w:vAlign w:val="center"/>
          </w:tcPr>
          <w:p w14:paraId="4DE9DBEF" w14:textId="77777777" w:rsidR="007D1E74" w:rsidRDefault="007D1E74">
            <w:pPr>
              <w:jc w:val="center"/>
              <w:rPr>
                <w:szCs w:val="21"/>
              </w:rPr>
            </w:pPr>
          </w:p>
        </w:tc>
        <w:tc>
          <w:tcPr>
            <w:tcW w:w="5983" w:type="dxa"/>
            <w:vAlign w:val="center"/>
          </w:tcPr>
          <w:p w14:paraId="1FA74ECC" w14:textId="77777777" w:rsidR="007D1E74" w:rsidRDefault="00A95641">
            <w:pPr>
              <w:rPr>
                <w:szCs w:val="21"/>
              </w:rPr>
            </w:pPr>
            <w:r>
              <w:rPr>
                <w:rFonts w:cs="Times New Roman"/>
                <w:szCs w:val="21"/>
              </w:rPr>
              <w:t>2.</w:t>
            </w:r>
            <w:r>
              <w:rPr>
                <w:rFonts w:cs="Times New Roman"/>
                <w:szCs w:val="21"/>
              </w:rPr>
              <w:t>监督开挖产生的土石方，检查是否有乱弃现象；</w:t>
            </w:r>
          </w:p>
        </w:tc>
        <w:tc>
          <w:tcPr>
            <w:tcW w:w="1068" w:type="dxa"/>
            <w:vAlign w:val="center"/>
          </w:tcPr>
          <w:p w14:paraId="70869BF5" w14:textId="77777777" w:rsidR="007D1E74" w:rsidRDefault="00A95641">
            <w:pPr>
              <w:jc w:val="center"/>
              <w:rPr>
                <w:szCs w:val="21"/>
              </w:rPr>
            </w:pPr>
            <w:r>
              <w:rPr>
                <w:rFonts w:cs="Times New Roman"/>
                <w:szCs w:val="21"/>
              </w:rPr>
              <w:t>旁站</w:t>
            </w:r>
          </w:p>
        </w:tc>
      </w:tr>
      <w:tr w:rsidR="007D1E74" w14:paraId="3653B59A" w14:textId="77777777">
        <w:trPr>
          <w:trHeight w:val="397"/>
        </w:trPr>
        <w:tc>
          <w:tcPr>
            <w:tcW w:w="985" w:type="dxa"/>
            <w:vMerge/>
            <w:vAlign w:val="center"/>
          </w:tcPr>
          <w:p w14:paraId="3AAC852D" w14:textId="77777777" w:rsidR="007D1E74" w:rsidRDefault="007D1E74">
            <w:pPr>
              <w:jc w:val="center"/>
              <w:rPr>
                <w:szCs w:val="21"/>
              </w:rPr>
            </w:pPr>
          </w:p>
        </w:tc>
        <w:tc>
          <w:tcPr>
            <w:tcW w:w="1250" w:type="dxa"/>
            <w:vMerge/>
            <w:vAlign w:val="center"/>
          </w:tcPr>
          <w:p w14:paraId="077DE67E" w14:textId="77777777" w:rsidR="007D1E74" w:rsidRDefault="007D1E74">
            <w:pPr>
              <w:jc w:val="center"/>
              <w:rPr>
                <w:szCs w:val="21"/>
              </w:rPr>
            </w:pPr>
          </w:p>
        </w:tc>
        <w:tc>
          <w:tcPr>
            <w:tcW w:w="5983" w:type="dxa"/>
            <w:vAlign w:val="center"/>
          </w:tcPr>
          <w:p w14:paraId="04002CC5" w14:textId="77777777" w:rsidR="007D1E74" w:rsidRDefault="00A95641">
            <w:pPr>
              <w:rPr>
                <w:szCs w:val="21"/>
              </w:rPr>
            </w:pPr>
            <w:r>
              <w:rPr>
                <w:rFonts w:cs="Times New Roman"/>
                <w:szCs w:val="21"/>
              </w:rPr>
              <w:t>3.</w:t>
            </w:r>
            <w:r>
              <w:rPr>
                <w:rFonts w:cs="Times New Roman"/>
                <w:szCs w:val="21"/>
              </w:rPr>
              <w:t>监督承包商在施工时是否每天即时洒水，检查路线沿线环境空气质量是否达到大气环境质量执行《环境空气质量标准》</w:t>
            </w:r>
            <w:r>
              <w:rPr>
                <w:rFonts w:cs="Times New Roman"/>
                <w:szCs w:val="21"/>
              </w:rPr>
              <w:t>(GB3095-2012)</w:t>
            </w:r>
            <w:r>
              <w:rPr>
                <w:rFonts w:cs="Times New Roman"/>
                <w:szCs w:val="21"/>
              </w:rPr>
              <w:t>二级标准；</w:t>
            </w:r>
          </w:p>
        </w:tc>
        <w:tc>
          <w:tcPr>
            <w:tcW w:w="1068" w:type="dxa"/>
            <w:vAlign w:val="center"/>
          </w:tcPr>
          <w:p w14:paraId="15C22F80" w14:textId="77777777" w:rsidR="007D1E74" w:rsidRDefault="00A95641">
            <w:pPr>
              <w:jc w:val="center"/>
              <w:rPr>
                <w:szCs w:val="21"/>
              </w:rPr>
            </w:pPr>
            <w:r>
              <w:rPr>
                <w:rFonts w:cs="Times New Roman"/>
                <w:szCs w:val="21"/>
              </w:rPr>
              <w:t>监测</w:t>
            </w:r>
          </w:p>
          <w:p w14:paraId="55A5023D" w14:textId="77777777" w:rsidR="007D1E74" w:rsidRDefault="00A95641">
            <w:pPr>
              <w:jc w:val="center"/>
              <w:rPr>
                <w:szCs w:val="21"/>
              </w:rPr>
            </w:pPr>
            <w:r>
              <w:rPr>
                <w:rFonts w:cs="Times New Roman"/>
                <w:szCs w:val="21"/>
              </w:rPr>
              <w:t>旁站</w:t>
            </w:r>
          </w:p>
        </w:tc>
      </w:tr>
      <w:tr w:rsidR="007D1E74" w14:paraId="34E7FB4E" w14:textId="77777777">
        <w:trPr>
          <w:trHeight w:val="397"/>
        </w:trPr>
        <w:tc>
          <w:tcPr>
            <w:tcW w:w="985" w:type="dxa"/>
            <w:vMerge/>
            <w:vAlign w:val="center"/>
          </w:tcPr>
          <w:p w14:paraId="446AADCF" w14:textId="77777777" w:rsidR="007D1E74" w:rsidRDefault="007D1E74">
            <w:pPr>
              <w:jc w:val="center"/>
              <w:rPr>
                <w:szCs w:val="21"/>
              </w:rPr>
            </w:pPr>
          </w:p>
        </w:tc>
        <w:tc>
          <w:tcPr>
            <w:tcW w:w="1250" w:type="dxa"/>
            <w:vMerge/>
            <w:vAlign w:val="center"/>
          </w:tcPr>
          <w:p w14:paraId="4B9AC85F" w14:textId="77777777" w:rsidR="007D1E74" w:rsidRDefault="007D1E74">
            <w:pPr>
              <w:jc w:val="center"/>
              <w:rPr>
                <w:szCs w:val="21"/>
              </w:rPr>
            </w:pPr>
          </w:p>
        </w:tc>
        <w:tc>
          <w:tcPr>
            <w:tcW w:w="5983" w:type="dxa"/>
            <w:vAlign w:val="center"/>
          </w:tcPr>
          <w:p w14:paraId="0C05CD1D" w14:textId="77777777" w:rsidR="007D1E74" w:rsidRDefault="00A95641">
            <w:pPr>
              <w:rPr>
                <w:szCs w:val="21"/>
              </w:rPr>
            </w:pPr>
            <w:r>
              <w:rPr>
                <w:rFonts w:cs="Times New Roman"/>
                <w:szCs w:val="21"/>
              </w:rPr>
              <w:t>4.</w:t>
            </w:r>
            <w:r>
              <w:rPr>
                <w:rFonts w:cs="Times New Roman"/>
                <w:szCs w:val="21"/>
              </w:rPr>
              <w:t>监督承包商夜间不得在声环境保护目标附近路段施工，监督沿</w:t>
            </w:r>
          </w:p>
          <w:p w14:paraId="559A9AE4" w14:textId="77777777" w:rsidR="007D1E74" w:rsidRDefault="00A95641">
            <w:pPr>
              <w:rPr>
                <w:szCs w:val="21"/>
              </w:rPr>
            </w:pPr>
            <w:r>
              <w:rPr>
                <w:rFonts w:cs="Times New Roman"/>
                <w:szCs w:val="21"/>
              </w:rPr>
              <w:t>线敏感点处是否设置声屏障；</w:t>
            </w:r>
          </w:p>
        </w:tc>
        <w:tc>
          <w:tcPr>
            <w:tcW w:w="1068" w:type="dxa"/>
            <w:vAlign w:val="center"/>
          </w:tcPr>
          <w:p w14:paraId="2734F000" w14:textId="77777777" w:rsidR="007D1E74" w:rsidRDefault="00A95641">
            <w:pPr>
              <w:jc w:val="center"/>
              <w:rPr>
                <w:szCs w:val="21"/>
              </w:rPr>
            </w:pPr>
            <w:r>
              <w:rPr>
                <w:rFonts w:cs="Times New Roman"/>
                <w:szCs w:val="21"/>
              </w:rPr>
              <w:t>巡回检查</w:t>
            </w:r>
          </w:p>
        </w:tc>
      </w:tr>
      <w:tr w:rsidR="007D1E74" w14:paraId="290A4133" w14:textId="77777777">
        <w:trPr>
          <w:trHeight w:val="397"/>
        </w:trPr>
        <w:tc>
          <w:tcPr>
            <w:tcW w:w="985" w:type="dxa"/>
            <w:vMerge/>
            <w:vAlign w:val="center"/>
          </w:tcPr>
          <w:p w14:paraId="42A0A7DE" w14:textId="77777777" w:rsidR="007D1E74" w:rsidRDefault="007D1E74">
            <w:pPr>
              <w:jc w:val="center"/>
              <w:rPr>
                <w:szCs w:val="21"/>
              </w:rPr>
            </w:pPr>
          </w:p>
        </w:tc>
        <w:tc>
          <w:tcPr>
            <w:tcW w:w="1250" w:type="dxa"/>
            <w:vMerge/>
            <w:vAlign w:val="center"/>
          </w:tcPr>
          <w:p w14:paraId="2854C2E5" w14:textId="77777777" w:rsidR="007D1E74" w:rsidRDefault="007D1E74">
            <w:pPr>
              <w:jc w:val="center"/>
              <w:rPr>
                <w:szCs w:val="21"/>
              </w:rPr>
            </w:pPr>
          </w:p>
        </w:tc>
        <w:tc>
          <w:tcPr>
            <w:tcW w:w="5983" w:type="dxa"/>
            <w:vAlign w:val="center"/>
          </w:tcPr>
          <w:p w14:paraId="56C59D76" w14:textId="77777777" w:rsidR="007D1E74" w:rsidRDefault="00A95641">
            <w:pPr>
              <w:rPr>
                <w:szCs w:val="21"/>
              </w:rPr>
            </w:pPr>
            <w:r>
              <w:rPr>
                <w:rFonts w:cs="Times New Roman"/>
                <w:szCs w:val="21"/>
              </w:rPr>
              <w:t>5.</w:t>
            </w:r>
            <w:r>
              <w:rPr>
                <w:rFonts w:cs="Times New Roman"/>
                <w:szCs w:val="21"/>
              </w:rPr>
              <w:t>检查是否在施工带外侧布置临时拦挡措施；</w:t>
            </w:r>
          </w:p>
        </w:tc>
        <w:tc>
          <w:tcPr>
            <w:tcW w:w="1068" w:type="dxa"/>
            <w:vAlign w:val="center"/>
          </w:tcPr>
          <w:p w14:paraId="7636A2A3" w14:textId="77777777" w:rsidR="007D1E74" w:rsidRDefault="00A95641">
            <w:pPr>
              <w:jc w:val="center"/>
              <w:rPr>
                <w:szCs w:val="21"/>
              </w:rPr>
            </w:pPr>
            <w:r>
              <w:rPr>
                <w:rFonts w:cs="Times New Roman"/>
                <w:szCs w:val="21"/>
              </w:rPr>
              <w:t>巡回检查</w:t>
            </w:r>
          </w:p>
        </w:tc>
      </w:tr>
      <w:tr w:rsidR="007D1E74" w14:paraId="24E4F5D5" w14:textId="77777777">
        <w:trPr>
          <w:trHeight w:val="397"/>
        </w:trPr>
        <w:tc>
          <w:tcPr>
            <w:tcW w:w="985" w:type="dxa"/>
            <w:vMerge/>
            <w:vAlign w:val="center"/>
          </w:tcPr>
          <w:p w14:paraId="09741048" w14:textId="77777777" w:rsidR="007D1E74" w:rsidRDefault="007D1E74">
            <w:pPr>
              <w:jc w:val="center"/>
              <w:rPr>
                <w:szCs w:val="21"/>
              </w:rPr>
            </w:pPr>
          </w:p>
        </w:tc>
        <w:tc>
          <w:tcPr>
            <w:tcW w:w="1250" w:type="dxa"/>
            <w:vMerge/>
            <w:vAlign w:val="center"/>
          </w:tcPr>
          <w:p w14:paraId="44A149F6" w14:textId="77777777" w:rsidR="007D1E74" w:rsidRDefault="007D1E74">
            <w:pPr>
              <w:jc w:val="center"/>
              <w:rPr>
                <w:szCs w:val="21"/>
              </w:rPr>
            </w:pPr>
          </w:p>
        </w:tc>
        <w:tc>
          <w:tcPr>
            <w:tcW w:w="5983" w:type="dxa"/>
            <w:vAlign w:val="center"/>
          </w:tcPr>
          <w:p w14:paraId="7A9F37DB" w14:textId="77777777" w:rsidR="007D1E74" w:rsidRDefault="00A95641">
            <w:pPr>
              <w:rPr>
                <w:szCs w:val="21"/>
              </w:rPr>
            </w:pPr>
            <w:r>
              <w:rPr>
                <w:rFonts w:cs="Times New Roman"/>
                <w:szCs w:val="21"/>
              </w:rPr>
              <w:t>6.</w:t>
            </w:r>
            <w:r>
              <w:rPr>
                <w:rFonts w:cs="Times New Roman"/>
                <w:szCs w:val="21"/>
              </w:rPr>
              <w:t>监督承包人严格控制开挖面，检查管沟开挖中的临时水土保持措施情况；</w:t>
            </w:r>
          </w:p>
        </w:tc>
        <w:tc>
          <w:tcPr>
            <w:tcW w:w="1068" w:type="dxa"/>
            <w:vAlign w:val="center"/>
          </w:tcPr>
          <w:p w14:paraId="492ED66D" w14:textId="77777777" w:rsidR="007D1E74" w:rsidRDefault="00A95641">
            <w:pPr>
              <w:jc w:val="center"/>
              <w:rPr>
                <w:szCs w:val="21"/>
              </w:rPr>
            </w:pPr>
            <w:r>
              <w:rPr>
                <w:rFonts w:cs="Times New Roman"/>
                <w:szCs w:val="21"/>
              </w:rPr>
              <w:t>旁站</w:t>
            </w:r>
          </w:p>
        </w:tc>
      </w:tr>
      <w:tr w:rsidR="007D1E74" w14:paraId="10CDB51B" w14:textId="77777777">
        <w:trPr>
          <w:trHeight w:val="397"/>
        </w:trPr>
        <w:tc>
          <w:tcPr>
            <w:tcW w:w="985" w:type="dxa"/>
            <w:vMerge/>
            <w:vAlign w:val="center"/>
          </w:tcPr>
          <w:p w14:paraId="7EB7A4DF" w14:textId="77777777" w:rsidR="007D1E74" w:rsidRDefault="007D1E74">
            <w:pPr>
              <w:jc w:val="center"/>
              <w:rPr>
                <w:szCs w:val="21"/>
              </w:rPr>
            </w:pPr>
          </w:p>
        </w:tc>
        <w:tc>
          <w:tcPr>
            <w:tcW w:w="1250" w:type="dxa"/>
            <w:vMerge/>
            <w:vAlign w:val="center"/>
          </w:tcPr>
          <w:p w14:paraId="663CFD90" w14:textId="77777777" w:rsidR="007D1E74" w:rsidRDefault="007D1E74">
            <w:pPr>
              <w:jc w:val="center"/>
              <w:rPr>
                <w:szCs w:val="21"/>
              </w:rPr>
            </w:pPr>
          </w:p>
        </w:tc>
        <w:tc>
          <w:tcPr>
            <w:tcW w:w="5983" w:type="dxa"/>
            <w:vAlign w:val="center"/>
          </w:tcPr>
          <w:p w14:paraId="4CD87592" w14:textId="77777777" w:rsidR="007D1E74" w:rsidRDefault="00A95641">
            <w:pPr>
              <w:rPr>
                <w:szCs w:val="21"/>
              </w:rPr>
            </w:pPr>
            <w:r>
              <w:rPr>
                <w:rFonts w:cs="Times New Roman"/>
                <w:szCs w:val="21"/>
              </w:rPr>
              <w:t>7.</w:t>
            </w:r>
            <w:r>
              <w:rPr>
                <w:rFonts w:cs="Times New Roman"/>
                <w:szCs w:val="21"/>
              </w:rPr>
              <w:t>检查穿越沟渠时采用大开挖穿越工程中的环境保护措施；</w:t>
            </w:r>
          </w:p>
        </w:tc>
        <w:tc>
          <w:tcPr>
            <w:tcW w:w="1068" w:type="dxa"/>
            <w:vAlign w:val="center"/>
          </w:tcPr>
          <w:p w14:paraId="27235056" w14:textId="77777777" w:rsidR="007D1E74" w:rsidRDefault="00A95641">
            <w:pPr>
              <w:jc w:val="center"/>
              <w:rPr>
                <w:szCs w:val="21"/>
              </w:rPr>
            </w:pPr>
            <w:r>
              <w:rPr>
                <w:rFonts w:cs="Times New Roman"/>
                <w:szCs w:val="21"/>
              </w:rPr>
              <w:t>旁站</w:t>
            </w:r>
          </w:p>
        </w:tc>
      </w:tr>
      <w:tr w:rsidR="007D1E74" w14:paraId="7485EDDF" w14:textId="77777777">
        <w:trPr>
          <w:trHeight w:val="397"/>
        </w:trPr>
        <w:tc>
          <w:tcPr>
            <w:tcW w:w="985" w:type="dxa"/>
            <w:vMerge/>
            <w:vAlign w:val="center"/>
          </w:tcPr>
          <w:p w14:paraId="3EA999AF" w14:textId="77777777" w:rsidR="007D1E74" w:rsidRDefault="007D1E74">
            <w:pPr>
              <w:jc w:val="center"/>
              <w:rPr>
                <w:szCs w:val="21"/>
              </w:rPr>
            </w:pPr>
          </w:p>
        </w:tc>
        <w:tc>
          <w:tcPr>
            <w:tcW w:w="1250" w:type="dxa"/>
            <w:vMerge w:val="restart"/>
            <w:vAlign w:val="center"/>
          </w:tcPr>
          <w:p w14:paraId="0B79B65A" w14:textId="77777777" w:rsidR="007D1E74" w:rsidRDefault="00A95641">
            <w:pPr>
              <w:jc w:val="center"/>
              <w:rPr>
                <w:szCs w:val="21"/>
              </w:rPr>
            </w:pPr>
            <w:r>
              <w:rPr>
                <w:rFonts w:cs="Times New Roman"/>
                <w:szCs w:val="21"/>
              </w:rPr>
              <w:t>管沟回填</w:t>
            </w:r>
          </w:p>
        </w:tc>
        <w:tc>
          <w:tcPr>
            <w:tcW w:w="5983" w:type="dxa"/>
            <w:vAlign w:val="center"/>
          </w:tcPr>
          <w:p w14:paraId="57556420" w14:textId="77777777" w:rsidR="007D1E74" w:rsidRDefault="00A95641">
            <w:pPr>
              <w:rPr>
                <w:szCs w:val="21"/>
              </w:rPr>
            </w:pPr>
            <w:r>
              <w:rPr>
                <w:rFonts w:cs="Times New Roman"/>
                <w:szCs w:val="21"/>
              </w:rPr>
              <w:t>1.</w:t>
            </w:r>
            <w:r>
              <w:rPr>
                <w:rFonts w:cs="Times New Roman"/>
                <w:szCs w:val="21"/>
              </w:rPr>
              <w:t>检查场界噪声是否达到《建筑施工场界环境噪声排放限值》（</w:t>
            </w:r>
            <w:r>
              <w:rPr>
                <w:rFonts w:cs="Times New Roman"/>
                <w:szCs w:val="21"/>
              </w:rPr>
              <w:t>GB12523-2011</w:t>
            </w:r>
            <w:r>
              <w:rPr>
                <w:rFonts w:cs="Times New Roman"/>
                <w:szCs w:val="21"/>
              </w:rPr>
              <w:t>）标准，监督承包商夜间不得在声环境保护目</w:t>
            </w:r>
          </w:p>
          <w:p w14:paraId="01EEF9C5" w14:textId="77777777" w:rsidR="007D1E74" w:rsidRDefault="00A95641">
            <w:pPr>
              <w:rPr>
                <w:szCs w:val="21"/>
              </w:rPr>
            </w:pPr>
            <w:r>
              <w:rPr>
                <w:rFonts w:cs="Times New Roman"/>
                <w:szCs w:val="21"/>
              </w:rPr>
              <w:t>标附近路段施工；</w:t>
            </w:r>
          </w:p>
        </w:tc>
        <w:tc>
          <w:tcPr>
            <w:tcW w:w="1068" w:type="dxa"/>
            <w:vAlign w:val="center"/>
          </w:tcPr>
          <w:p w14:paraId="47F09B63" w14:textId="77777777" w:rsidR="007D1E74" w:rsidRDefault="00A95641">
            <w:pPr>
              <w:jc w:val="center"/>
              <w:rPr>
                <w:szCs w:val="21"/>
              </w:rPr>
            </w:pPr>
            <w:r>
              <w:rPr>
                <w:rFonts w:cs="Times New Roman"/>
                <w:szCs w:val="21"/>
              </w:rPr>
              <w:t>监测</w:t>
            </w:r>
          </w:p>
        </w:tc>
      </w:tr>
      <w:tr w:rsidR="007D1E74" w14:paraId="25E7BB1B" w14:textId="77777777">
        <w:trPr>
          <w:trHeight w:val="397"/>
        </w:trPr>
        <w:tc>
          <w:tcPr>
            <w:tcW w:w="985" w:type="dxa"/>
            <w:vMerge/>
            <w:vAlign w:val="center"/>
          </w:tcPr>
          <w:p w14:paraId="51036ABD" w14:textId="77777777" w:rsidR="007D1E74" w:rsidRDefault="007D1E74">
            <w:pPr>
              <w:jc w:val="center"/>
              <w:rPr>
                <w:szCs w:val="21"/>
              </w:rPr>
            </w:pPr>
          </w:p>
        </w:tc>
        <w:tc>
          <w:tcPr>
            <w:tcW w:w="1250" w:type="dxa"/>
            <w:vMerge/>
            <w:vAlign w:val="center"/>
          </w:tcPr>
          <w:p w14:paraId="0B22AFB4" w14:textId="77777777" w:rsidR="007D1E74" w:rsidRDefault="007D1E74">
            <w:pPr>
              <w:jc w:val="center"/>
              <w:rPr>
                <w:szCs w:val="21"/>
              </w:rPr>
            </w:pPr>
          </w:p>
        </w:tc>
        <w:tc>
          <w:tcPr>
            <w:tcW w:w="5983" w:type="dxa"/>
            <w:vAlign w:val="center"/>
          </w:tcPr>
          <w:p w14:paraId="4CBB341A" w14:textId="77777777" w:rsidR="007D1E74" w:rsidRDefault="00A95641">
            <w:pPr>
              <w:rPr>
                <w:szCs w:val="21"/>
              </w:rPr>
            </w:pPr>
            <w:r>
              <w:rPr>
                <w:rFonts w:cs="Times New Roman"/>
                <w:szCs w:val="21"/>
              </w:rPr>
              <w:t>2.</w:t>
            </w:r>
            <w:r>
              <w:rPr>
                <w:rFonts w:cs="Times New Roman"/>
                <w:szCs w:val="21"/>
              </w:rPr>
              <w:t>检查路线沿线环境空气质量是否达到《环境空气质量标准》</w:t>
            </w:r>
            <w:r>
              <w:rPr>
                <w:rFonts w:cs="Times New Roman"/>
                <w:szCs w:val="21"/>
              </w:rPr>
              <w:t>(GB3095-2012)</w:t>
            </w:r>
            <w:r>
              <w:rPr>
                <w:rFonts w:cs="Times New Roman"/>
                <w:szCs w:val="21"/>
              </w:rPr>
              <w:t>二级标准，监督承包商是否对已回填完成管道适</w:t>
            </w:r>
          </w:p>
          <w:p w14:paraId="44CAADA0" w14:textId="77777777" w:rsidR="007D1E74" w:rsidRDefault="00A95641">
            <w:pPr>
              <w:rPr>
                <w:szCs w:val="21"/>
              </w:rPr>
            </w:pPr>
            <w:r>
              <w:rPr>
                <w:rFonts w:cs="Times New Roman"/>
                <w:szCs w:val="21"/>
              </w:rPr>
              <w:t>时洒水，减轻扬尘污染；</w:t>
            </w:r>
          </w:p>
        </w:tc>
        <w:tc>
          <w:tcPr>
            <w:tcW w:w="1068" w:type="dxa"/>
            <w:vAlign w:val="center"/>
          </w:tcPr>
          <w:p w14:paraId="2E73A759" w14:textId="77777777" w:rsidR="007D1E74" w:rsidRDefault="00A95641">
            <w:pPr>
              <w:jc w:val="center"/>
              <w:rPr>
                <w:szCs w:val="21"/>
              </w:rPr>
            </w:pPr>
            <w:r>
              <w:rPr>
                <w:rFonts w:cs="Times New Roman"/>
                <w:szCs w:val="21"/>
              </w:rPr>
              <w:t>监测、巡回检查</w:t>
            </w:r>
          </w:p>
        </w:tc>
      </w:tr>
      <w:tr w:rsidR="007D1E74" w14:paraId="68B5ED6F" w14:textId="77777777">
        <w:trPr>
          <w:trHeight w:val="397"/>
        </w:trPr>
        <w:tc>
          <w:tcPr>
            <w:tcW w:w="985" w:type="dxa"/>
            <w:vMerge/>
            <w:vAlign w:val="center"/>
          </w:tcPr>
          <w:p w14:paraId="4601B002" w14:textId="77777777" w:rsidR="007D1E74" w:rsidRDefault="007D1E74">
            <w:pPr>
              <w:jc w:val="center"/>
              <w:rPr>
                <w:szCs w:val="21"/>
              </w:rPr>
            </w:pPr>
          </w:p>
        </w:tc>
        <w:tc>
          <w:tcPr>
            <w:tcW w:w="1250" w:type="dxa"/>
            <w:vMerge/>
            <w:vAlign w:val="center"/>
          </w:tcPr>
          <w:p w14:paraId="49CA1537" w14:textId="77777777" w:rsidR="007D1E74" w:rsidRDefault="007D1E74">
            <w:pPr>
              <w:jc w:val="center"/>
              <w:rPr>
                <w:szCs w:val="21"/>
              </w:rPr>
            </w:pPr>
          </w:p>
        </w:tc>
        <w:tc>
          <w:tcPr>
            <w:tcW w:w="5983" w:type="dxa"/>
            <w:vAlign w:val="center"/>
          </w:tcPr>
          <w:p w14:paraId="689CCCAC" w14:textId="77777777" w:rsidR="007D1E74" w:rsidRDefault="00A95641">
            <w:pPr>
              <w:rPr>
                <w:szCs w:val="21"/>
              </w:rPr>
            </w:pPr>
            <w:r>
              <w:rPr>
                <w:rFonts w:cs="Times New Roman"/>
                <w:szCs w:val="21"/>
              </w:rPr>
              <w:t>3.</w:t>
            </w:r>
            <w:r>
              <w:rPr>
                <w:rFonts w:cs="Times New Roman"/>
                <w:szCs w:val="21"/>
              </w:rPr>
              <w:t>检查承包商雨季施工时，是否及时掌握气象预报资料，按降雨</w:t>
            </w:r>
          </w:p>
          <w:p w14:paraId="6264DFB0" w14:textId="77777777" w:rsidR="007D1E74" w:rsidRDefault="00A95641">
            <w:pPr>
              <w:rPr>
                <w:szCs w:val="21"/>
              </w:rPr>
            </w:pPr>
            <w:r>
              <w:rPr>
                <w:rFonts w:cs="Times New Roman"/>
                <w:szCs w:val="21"/>
              </w:rPr>
              <w:t>时间和特点实施雨前填铺的松土压实等防护措施，减少水土流失；</w:t>
            </w:r>
          </w:p>
        </w:tc>
        <w:tc>
          <w:tcPr>
            <w:tcW w:w="1068" w:type="dxa"/>
            <w:vAlign w:val="center"/>
          </w:tcPr>
          <w:p w14:paraId="52E650C8" w14:textId="77777777" w:rsidR="007D1E74" w:rsidRDefault="00A95641">
            <w:pPr>
              <w:jc w:val="center"/>
              <w:rPr>
                <w:szCs w:val="21"/>
              </w:rPr>
            </w:pPr>
            <w:r>
              <w:rPr>
                <w:rFonts w:cs="Times New Roman"/>
                <w:szCs w:val="21"/>
              </w:rPr>
              <w:t>巡回检查</w:t>
            </w:r>
          </w:p>
        </w:tc>
      </w:tr>
      <w:tr w:rsidR="007D1E74" w14:paraId="3F70CD12" w14:textId="77777777">
        <w:trPr>
          <w:trHeight w:val="397"/>
        </w:trPr>
        <w:tc>
          <w:tcPr>
            <w:tcW w:w="985" w:type="dxa"/>
            <w:vMerge/>
            <w:vAlign w:val="center"/>
          </w:tcPr>
          <w:p w14:paraId="2662A0EE" w14:textId="77777777" w:rsidR="007D1E74" w:rsidRDefault="007D1E74">
            <w:pPr>
              <w:jc w:val="center"/>
              <w:rPr>
                <w:szCs w:val="21"/>
              </w:rPr>
            </w:pPr>
          </w:p>
        </w:tc>
        <w:tc>
          <w:tcPr>
            <w:tcW w:w="1250" w:type="dxa"/>
            <w:vMerge/>
            <w:vAlign w:val="center"/>
          </w:tcPr>
          <w:p w14:paraId="30C489A0" w14:textId="77777777" w:rsidR="007D1E74" w:rsidRDefault="007D1E74">
            <w:pPr>
              <w:jc w:val="center"/>
              <w:rPr>
                <w:szCs w:val="21"/>
              </w:rPr>
            </w:pPr>
          </w:p>
        </w:tc>
        <w:tc>
          <w:tcPr>
            <w:tcW w:w="5983" w:type="dxa"/>
            <w:vAlign w:val="center"/>
          </w:tcPr>
          <w:p w14:paraId="7EE09DAE" w14:textId="77777777" w:rsidR="007D1E74" w:rsidRDefault="00A95641">
            <w:pPr>
              <w:rPr>
                <w:szCs w:val="21"/>
              </w:rPr>
            </w:pPr>
            <w:r>
              <w:rPr>
                <w:rFonts w:cs="Times New Roman"/>
                <w:szCs w:val="21"/>
              </w:rPr>
              <w:t>4.</w:t>
            </w:r>
            <w:r>
              <w:rPr>
                <w:rFonts w:cs="Times New Roman"/>
                <w:szCs w:val="21"/>
              </w:rPr>
              <w:t>检查清管试压废水处理是否全部回用；</w:t>
            </w:r>
          </w:p>
        </w:tc>
        <w:tc>
          <w:tcPr>
            <w:tcW w:w="1068" w:type="dxa"/>
            <w:vAlign w:val="center"/>
          </w:tcPr>
          <w:p w14:paraId="0A0E2542" w14:textId="77777777" w:rsidR="007D1E74" w:rsidRDefault="00A95641">
            <w:pPr>
              <w:jc w:val="center"/>
              <w:rPr>
                <w:szCs w:val="21"/>
              </w:rPr>
            </w:pPr>
            <w:r>
              <w:rPr>
                <w:rFonts w:cs="Times New Roman"/>
                <w:szCs w:val="21"/>
              </w:rPr>
              <w:t>监测</w:t>
            </w:r>
          </w:p>
          <w:p w14:paraId="5BB810FE" w14:textId="77777777" w:rsidR="007D1E74" w:rsidRDefault="00A95641">
            <w:pPr>
              <w:jc w:val="center"/>
              <w:rPr>
                <w:szCs w:val="21"/>
              </w:rPr>
            </w:pPr>
            <w:r>
              <w:rPr>
                <w:rFonts w:cs="Times New Roman"/>
                <w:szCs w:val="21"/>
              </w:rPr>
              <w:t>旁站</w:t>
            </w:r>
          </w:p>
        </w:tc>
      </w:tr>
      <w:tr w:rsidR="007D1E74" w14:paraId="4B2BAD2E" w14:textId="77777777">
        <w:trPr>
          <w:trHeight w:val="397"/>
        </w:trPr>
        <w:tc>
          <w:tcPr>
            <w:tcW w:w="985" w:type="dxa"/>
            <w:vMerge/>
            <w:vAlign w:val="center"/>
          </w:tcPr>
          <w:p w14:paraId="6577FB7C" w14:textId="77777777" w:rsidR="007D1E74" w:rsidRDefault="007D1E74">
            <w:pPr>
              <w:jc w:val="center"/>
              <w:rPr>
                <w:szCs w:val="21"/>
              </w:rPr>
            </w:pPr>
          </w:p>
        </w:tc>
        <w:tc>
          <w:tcPr>
            <w:tcW w:w="1250" w:type="dxa"/>
            <w:vMerge/>
            <w:vAlign w:val="center"/>
          </w:tcPr>
          <w:p w14:paraId="46F7BCFB" w14:textId="77777777" w:rsidR="007D1E74" w:rsidRDefault="007D1E74">
            <w:pPr>
              <w:jc w:val="center"/>
              <w:rPr>
                <w:szCs w:val="21"/>
              </w:rPr>
            </w:pPr>
          </w:p>
        </w:tc>
        <w:tc>
          <w:tcPr>
            <w:tcW w:w="5983" w:type="dxa"/>
            <w:vAlign w:val="center"/>
          </w:tcPr>
          <w:p w14:paraId="2919C978" w14:textId="77777777" w:rsidR="007D1E74" w:rsidRDefault="00A95641">
            <w:pPr>
              <w:rPr>
                <w:szCs w:val="21"/>
              </w:rPr>
            </w:pPr>
            <w:r>
              <w:rPr>
                <w:rFonts w:cs="Times New Roman"/>
                <w:szCs w:val="21"/>
              </w:rPr>
              <w:t>5.</w:t>
            </w:r>
            <w:r>
              <w:rPr>
                <w:rFonts w:cs="Times New Roman"/>
                <w:szCs w:val="21"/>
              </w:rPr>
              <w:t>管沟回填工程完成后，检查承包商是否及时清理地表和开展植物防护工程施工。</w:t>
            </w:r>
          </w:p>
        </w:tc>
        <w:tc>
          <w:tcPr>
            <w:tcW w:w="1068" w:type="dxa"/>
            <w:vAlign w:val="center"/>
          </w:tcPr>
          <w:p w14:paraId="5D52C3BA" w14:textId="77777777" w:rsidR="007D1E74" w:rsidRDefault="00A95641">
            <w:pPr>
              <w:jc w:val="center"/>
              <w:rPr>
                <w:szCs w:val="21"/>
              </w:rPr>
            </w:pPr>
            <w:r>
              <w:rPr>
                <w:rFonts w:cs="Times New Roman"/>
                <w:szCs w:val="21"/>
              </w:rPr>
              <w:t>巡回检查</w:t>
            </w:r>
          </w:p>
        </w:tc>
      </w:tr>
    </w:tbl>
    <w:p w14:paraId="659FAC27" w14:textId="77777777" w:rsidR="007D1E74" w:rsidRDefault="00A95641">
      <w:pPr>
        <w:pStyle w:val="a8"/>
      </w:pPr>
      <w:bookmarkStart w:id="76" w:name="_Toc20829"/>
      <w:r>
        <w:t>环境监测计划</w:t>
      </w:r>
      <w:bookmarkEnd w:id="76"/>
    </w:p>
    <w:p w14:paraId="399C4A55" w14:textId="77777777" w:rsidR="007D1E74" w:rsidRDefault="00A95641">
      <w:pPr>
        <w:spacing w:line="360" w:lineRule="auto"/>
        <w:ind w:firstLineChars="200" w:firstLine="480"/>
        <w:rPr>
          <w:sz w:val="24"/>
        </w:rPr>
      </w:pPr>
      <w:r>
        <w:rPr>
          <w:rFonts w:cs="Times New Roman"/>
          <w:sz w:val="24"/>
        </w:rPr>
        <w:t>环境监测是指在工程的建设期、运行期对工程主要污染源及主要污染对象进行环境样品的采集、化验、数据处理与编制报告等的活动。</w:t>
      </w:r>
    </w:p>
    <w:p w14:paraId="3BDC6384" w14:textId="77777777" w:rsidR="007D1E74" w:rsidRDefault="00A95641">
      <w:pPr>
        <w:spacing w:line="360" w:lineRule="auto"/>
        <w:ind w:firstLineChars="200" w:firstLine="480"/>
        <w:rPr>
          <w:sz w:val="24"/>
        </w:rPr>
      </w:pPr>
      <w:r>
        <w:rPr>
          <w:rFonts w:cs="Times New Roman"/>
          <w:sz w:val="24"/>
        </w:rPr>
        <w:t>制定环境监测计划的目的，在于通过短期或长期的监测，了解项目可能产生的主要环境影响，并分析在环评阶段可能末被识别，而在建设、运行期间逐渐暴露出的潜在影响，以便及时修订环境保护行动计划，将不利影响减少到最低程度。</w:t>
      </w:r>
    </w:p>
    <w:p w14:paraId="10E2811E" w14:textId="77777777" w:rsidR="007D1E74" w:rsidRDefault="00A95641">
      <w:pPr>
        <w:spacing w:line="360" w:lineRule="auto"/>
        <w:ind w:firstLineChars="200" w:firstLine="480"/>
        <w:rPr>
          <w:sz w:val="24"/>
        </w:rPr>
      </w:pPr>
      <w:r>
        <w:rPr>
          <w:rFonts w:cs="Times New Roman"/>
          <w:sz w:val="24"/>
        </w:rPr>
        <w:t>环境监测计划应包括项目的建设期施工期、运营期所必需的环境监测有关内容。监测计划的内容要根据现行的环境保护法规、标准和项目对环境产生的主要环境影响和经济条件而定，一般包括下列几个方面：选择合适的监测对象和环境要素；确定监测范围；选择监测方法；经费预算及实施机构等。</w:t>
      </w:r>
    </w:p>
    <w:p w14:paraId="5C801E49" w14:textId="77777777" w:rsidR="007D1E74" w:rsidRDefault="00A95641">
      <w:pPr>
        <w:spacing w:line="360" w:lineRule="auto"/>
        <w:ind w:firstLineChars="200" w:firstLine="480"/>
        <w:rPr>
          <w:sz w:val="24"/>
        </w:rPr>
      </w:pPr>
      <w:r>
        <w:rPr>
          <w:rFonts w:cs="Times New Roman"/>
          <w:sz w:val="24"/>
        </w:rPr>
        <w:t>本工程环境监测计划主要分为施工期和运营期两部分。</w:t>
      </w:r>
    </w:p>
    <w:p w14:paraId="3A16ADD0" w14:textId="77777777" w:rsidR="007D1E74" w:rsidRDefault="00A95641">
      <w:pPr>
        <w:pStyle w:val="a9"/>
      </w:pPr>
      <w:r>
        <w:lastRenderedPageBreak/>
        <w:t>施工期环境监测计划</w:t>
      </w:r>
    </w:p>
    <w:p w14:paraId="1316CF7E" w14:textId="77777777" w:rsidR="007D1E74" w:rsidRDefault="00A95641">
      <w:pPr>
        <w:spacing w:line="360" w:lineRule="auto"/>
        <w:ind w:firstLineChars="200" w:firstLine="480"/>
        <w:rPr>
          <w:sz w:val="24"/>
        </w:rPr>
      </w:pPr>
      <w:r>
        <w:rPr>
          <w:rFonts w:cs="Times New Roman"/>
          <w:sz w:val="24"/>
        </w:rPr>
        <w:t>施工期的环境监测主要是对作业场所的控制监测，主要监测对象有土壤、植被、施工作业废气、废水和噪声等。对作业场所的控制监测可视当地具体情况、当地环保部门要求等情况而定；对事故监测可根据事故性质、事故影响的大小等，视具体情况监测气、土壤、水等；生态环境监测主要监测内容为项目建设所涉及的生态环境要素、生态环境问题、生态环保措施的落实情况。具体施工期环境监控计划见下表。</w:t>
      </w:r>
    </w:p>
    <w:p w14:paraId="6D22E0D3" w14:textId="77777777" w:rsidR="007D1E74" w:rsidRDefault="007D1E74">
      <w:pPr>
        <w:spacing w:line="360" w:lineRule="auto"/>
        <w:ind w:firstLineChars="200" w:firstLine="480"/>
        <w:rPr>
          <w:sz w:val="24"/>
        </w:rPr>
      </w:pPr>
    </w:p>
    <w:p w14:paraId="6E17E680" w14:textId="77777777" w:rsidR="007D1E74" w:rsidRDefault="00A95641">
      <w:pPr>
        <w:tabs>
          <w:tab w:val="left" w:pos="964"/>
        </w:tabs>
        <w:spacing w:before="78" w:after="21"/>
        <w:ind w:right="153"/>
        <w:jc w:val="center"/>
        <w:rPr>
          <w:rFonts w:eastAsia="黑体" w:cs="Times New Roman"/>
        </w:rPr>
      </w:pPr>
      <w:r>
        <w:rPr>
          <w:rFonts w:eastAsia="黑体" w:cs="Times New Roman"/>
        </w:rPr>
        <w:t>表</w:t>
      </w:r>
      <w:r>
        <w:rPr>
          <w:rFonts w:eastAsia="黑体" w:cs="Times New Roman"/>
        </w:rPr>
        <w:t>10.3-1</w:t>
      </w:r>
      <w:r>
        <w:rPr>
          <w:rFonts w:eastAsia="黑体" w:cs="Times New Roman"/>
        </w:rPr>
        <w:tab/>
      </w:r>
      <w:r>
        <w:rPr>
          <w:rFonts w:eastAsia="黑体" w:cs="Times New Roman"/>
        </w:rPr>
        <w:t>施工期环境监测、监控计划</w:t>
      </w:r>
    </w:p>
    <w:tbl>
      <w:tblPr>
        <w:tblW w:w="9130" w:type="dxa"/>
        <w:tblInd w:w="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05"/>
        <w:gridCol w:w="4679"/>
        <w:gridCol w:w="1510"/>
        <w:gridCol w:w="1436"/>
      </w:tblGrid>
      <w:tr w:rsidR="007D1E74" w14:paraId="635687D6" w14:textId="77777777">
        <w:trPr>
          <w:trHeight w:val="258"/>
        </w:trPr>
        <w:tc>
          <w:tcPr>
            <w:tcW w:w="1505" w:type="dxa"/>
            <w:vAlign w:val="center"/>
          </w:tcPr>
          <w:p w14:paraId="25F2B36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监测项目</w:t>
            </w:r>
          </w:p>
        </w:tc>
        <w:tc>
          <w:tcPr>
            <w:tcW w:w="4679" w:type="dxa"/>
            <w:vAlign w:val="center"/>
          </w:tcPr>
          <w:p w14:paraId="6AD9A72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监测、监控内容</w:t>
            </w:r>
          </w:p>
        </w:tc>
        <w:tc>
          <w:tcPr>
            <w:tcW w:w="1510" w:type="dxa"/>
            <w:vAlign w:val="center"/>
          </w:tcPr>
          <w:p w14:paraId="3AEF2FA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报告制度</w:t>
            </w:r>
          </w:p>
        </w:tc>
        <w:tc>
          <w:tcPr>
            <w:tcW w:w="1436" w:type="dxa"/>
            <w:vAlign w:val="center"/>
          </w:tcPr>
          <w:p w14:paraId="05031C0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实施单位</w:t>
            </w:r>
          </w:p>
        </w:tc>
      </w:tr>
      <w:tr w:rsidR="007D1E74" w14:paraId="1D88F6A1" w14:textId="77777777">
        <w:trPr>
          <w:trHeight w:val="189"/>
        </w:trPr>
        <w:tc>
          <w:tcPr>
            <w:tcW w:w="1505" w:type="dxa"/>
            <w:vAlign w:val="center"/>
          </w:tcPr>
          <w:p w14:paraId="09A61A6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施工现场清理</w:t>
            </w:r>
          </w:p>
        </w:tc>
        <w:tc>
          <w:tcPr>
            <w:tcW w:w="4679" w:type="dxa"/>
            <w:vAlign w:val="center"/>
          </w:tcPr>
          <w:p w14:paraId="444F85F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施工结束后，施工现场的废弃土石方、建筑垃圾、生活垃圾和生态环境恢复情况；</w:t>
            </w:r>
          </w:p>
          <w:p w14:paraId="39D3E09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监督频率：施工结束后</w:t>
            </w:r>
            <w:r>
              <w:rPr>
                <w:rFonts w:ascii="Times New Roman" w:hAnsi="Times New Roman"/>
                <w:sz w:val="21"/>
                <w:szCs w:val="21"/>
              </w:rPr>
              <w:t>1</w:t>
            </w:r>
            <w:r>
              <w:rPr>
                <w:rFonts w:ascii="Times New Roman" w:hAnsi="Times New Roman"/>
                <w:sz w:val="21"/>
                <w:szCs w:val="21"/>
              </w:rPr>
              <w:t>次；</w:t>
            </w:r>
          </w:p>
          <w:p w14:paraId="105C357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监督点：各施工区段</w:t>
            </w:r>
          </w:p>
        </w:tc>
        <w:tc>
          <w:tcPr>
            <w:tcW w:w="1510" w:type="dxa"/>
            <w:vAlign w:val="center"/>
          </w:tcPr>
          <w:p w14:paraId="3C7AB3B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报业主</w:t>
            </w:r>
          </w:p>
        </w:tc>
        <w:tc>
          <w:tcPr>
            <w:tcW w:w="1436" w:type="dxa"/>
            <w:vAlign w:val="center"/>
          </w:tcPr>
          <w:p w14:paraId="4A4D963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建设单位委托的环境监理单位</w:t>
            </w:r>
          </w:p>
        </w:tc>
      </w:tr>
      <w:tr w:rsidR="007D1E74" w14:paraId="4A82BE06" w14:textId="77777777">
        <w:trPr>
          <w:trHeight w:val="1038"/>
        </w:trPr>
        <w:tc>
          <w:tcPr>
            <w:tcW w:w="1505" w:type="dxa"/>
            <w:vAlign w:val="center"/>
          </w:tcPr>
          <w:p w14:paraId="2A6A43E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施工噪声</w:t>
            </w:r>
          </w:p>
        </w:tc>
        <w:tc>
          <w:tcPr>
            <w:tcW w:w="4679" w:type="dxa"/>
            <w:vAlign w:val="center"/>
          </w:tcPr>
          <w:p w14:paraId="49BAA37E"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监测频率：根据施工计划视情况而定，每个季度不少于</w:t>
            </w:r>
            <w:r>
              <w:rPr>
                <w:rFonts w:ascii="Times New Roman" w:hAnsi="Times New Roman"/>
                <w:sz w:val="21"/>
                <w:szCs w:val="21"/>
              </w:rPr>
              <w:t>1</w:t>
            </w:r>
            <w:r>
              <w:rPr>
                <w:rFonts w:ascii="Times New Roman" w:hAnsi="Times New Roman"/>
                <w:sz w:val="21"/>
                <w:szCs w:val="21"/>
              </w:rPr>
              <w:t>次；</w:t>
            </w:r>
          </w:p>
          <w:p w14:paraId="181EFEAE"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监测点：居民相对密集区域；</w:t>
            </w:r>
          </w:p>
          <w:p w14:paraId="781D0DE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监测因子：等效连续</w:t>
            </w:r>
            <w:r>
              <w:rPr>
                <w:rFonts w:ascii="Times New Roman" w:hAnsi="Times New Roman"/>
                <w:sz w:val="21"/>
                <w:szCs w:val="21"/>
              </w:rPr>
              <w:t>A</w:t>
            </w:r>
            <w:r>
              <w:rPr>
                <w:rFonts w:ascii="Times New Roman" w:hAnsi="Times New Roman"/>
                <w:sz w:val="21"/>
                <w:szCs w:val="21"/>
              </w:rPr>
              <w:t>声级</w:t>
            </w:r>
          </w:p>
        </w:tc>
        <w:tc>
          <w:tcPr>
            <w:tcW w:w="1510" w:type="dxa"/>
            <w:vAlign w:val="center"/>
          </w:tcPr>
          <w:p w14:paraId="0DAA8B8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报建设单位和省（市、县）环保部门</w:t>
            </w:r>
          </w:p>
        </w:tc>
        <w:tc>
          <w:tcPr>
            <w:tcW w:w="1436" w:type="dxa"/>
            <w:vAlign w:val="center"/>
          </w:tcPr>
          <w:p w14:paraId="62B8117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委托具有相应资质的监测单位</w:t>
            </w:r>
          </w:p>
        </w:tc>
      </w:tr>
      <w:tr w:rsidR="007D1E74" w14:paraId="300ACA97" w14:textId="77777777">
        <w:trPr>
          <w:trHeight w:val="1297"/>
        </w:trPr>
        <w:tc>
          <w:tcPr>
            <w:tcW w:w="1505" w:type="dxa"/>
            <w:vAlign w:val="center"/>
          </w:tcPr>
          <w:p w14:paraId="14C0C413"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施工废气</w:t>
            </w:r>
          </w:p>
        </w:tc>
        <w:tc>
          <w:tcPr>
            <w:tcW w:w="4679" w:type="dxa"/>
            <w:vAlign w:val="center"/>
          </w:tcPr>
          <w:p w14:paraId="422EC2D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监测频率：根据施工计划视情况而定，每个季度不少于</w:t>
            </w:r>
            <w:r>
              <w:rPr>
                <w:rFonts w:ascii="Times New Roman" w:hAnsi="Times New Roman"/>
                <w:sz w:val="21"/>
                <w:szCs w:val="21"/>
              </w:rPr>
              <w:t>1</w:t>
            </w:r>
            <w:r>
              <w:rPr>
                <w:rFonts w:ascii="Times New Roman" w:hAnsi="Times New Roman"/>
                <w:sz w:val="21"/>
                <w:szCs w:val="21"/>
              </w:rPr>
              <w:t>次；</w:t>
            </w:r>
          </w:p>
          <w:p w14:paraId="16F5F6A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监测点：居民相对密集区域；</w:t>
            </w:r>
          </w:p>
          <w:p w14:paraId="7503DC6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监测因子：</w:t>
            </w:r>
            <w:r>
              <w:rPr>
                <w:rFonts w:ascii="Times New Roman" w:hAnsi="Times New Roman"/>
                <w:sz w:val="21"/>
                <w:szCs w:val="21"/>
              </w:rPr>
              <w:t>TSP</w:t>
            </w:r>
          </w:p>
        </w:tc>
        <w:tc>
          <w:tcPr>
            <w:tcW w:w="1510" w:type="dxa"/>
            <w:vAlign w:val="center"/>
          </w:tcPr>
          <w:p w14:paraId="302C1C3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报建设单位和省（市、县）环保部门</w:t>
            </w:r>
          </w:p>
        </w:tc>
        <w:tc>
          <w:tcPr>
            <w:tcW w:w="1436" w:type="dxa"/>
            <w:vAlign w:val="center"/>
          </w:tcPr>
          <w:p w14:paraId="2742282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委托具有相应资质的监测单位</w:t>
            </w:r>
          </w:p>
        </w:tc>
      </w:tr>
      <w:tr w:rsidR="007D1E74" w14:paraId="14B51D11" w14:textId="77777777">
        <w:trPr>
          <w:trHeight w:val="761"/>
        </w:trPr>
        <w:tc>
          <w:tcPr>
            <w:tcW w:w="1505" w:type="dxa"/>
            <w:vAlign w:val="center"/>
          </w:tcPr>
          <w:p w14:paraId="290AD0B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固体废弃物</w:t>
            </w:r>
          </w:p>
        </w:tc>
        <w:tc>
          <w:tcPr>
            <w:tcW w:w="4679" w:type="dxa"/>
            <w:vAlign w:val="center"/>
          </w:tcPr>
          <w:p w14:paraId="1EF57F0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对施工作业场地内产生的生活垃圾、建筑垃圾进行随检机查</w:t>
            </w:r>
          </w:p>
        </w:tc>
        <w:tc>
          <w:tcPr>
            <w:tcW w:w="1510" w:type="dxa"/>
            <w:vAlign w:val="center"/>
          </w:tcPr>
          <w:p w14:paraId="4B17102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报建设单位和</w:t>
            </w:r>
          </w:p>
          <w:p w14:paraId="4ED27AA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省（市、县）</w:t>
            </w:r>
            <w:r>
              <w:rPr>
                <w:rFonts w:ascii="Times New Roman" w:hAnsi="Times New Roman"/>
                <w:sz w:val="21"/>
                <w:szCs w:val="21"/>
              </w:rPr>
              <w:t xml:space="preserve"> </w:t>
            </w:r>
            <w:r>
              <w:rPr>
                <w:rFonts w:ascii="Times New Roman" w:hAnsi="Times New Roman"/>
                <w:sz w:val="21"/>
                <w:szCs w:val="21"/>
              </w:rPr>
              <w:t>环保部门</w:t>
            </w:r>
          </w:p>
        </w:tc>
        <w:tc>
          <w:tcPr>
            <w:tcW w:w="1436" w:type="dxa"/>
            <w:vAlign w:val="center"/>
          </w:tcPr>
          <w:p w14:paraId="7BB77EF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建设单位委</w:t>
            </w:r>
          </w:p>
          <w:p w14:paraId="498F2CC3"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托的环境监理单位</w:t>
            </w:r>
          </w:p>
        </w:tc>
      </w:tr>
      <w:tr w:rsidR="007D1E74" w14:paraId="23DBB112" w14:textId="77777777">
        <w:trPr>
          <w:trHeight w:val="779"/>
        </w:trPr>
        <w:tc>
          <w:tcPr>
            <w:tcW w:w="1505" w:type="dxa"/>
            <w:vAlign w:val="center"/>
          </w:tcPr>
          <w:p w14:paraId="0328E20E"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事故监测</w:t>
            </w:r>
          </w:p>
        </w:tc>
        <w:tc>
          <w:tcPr>
            <w:tcW w:w="4679" w:type="dxa"/>
            <w:vAlign w:val="center"/>
          </w:tcPr>
          <w:p w14:paraId="5274F47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根据事故性质、事故影响的大小，视具体情况监测大气、土壤、水等</w:t>
            </w:r>
          </w:p>
        </w:tc>
        <w:tc>
          <w:tcPr>
            <w:tcW w:w="1510" w:type="dxa"/>
            <w:vAlign w:val="center"/>
          </w:tcPr>
          <w:p w14:paraId="6BD49BEE"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报建设单位和</w:t>
            </w:r>
          </w:p>
          <w:p w14:paraId="566EEA9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省（市、县）</w:t>
            </w:r>
            <w:r>
              <w:rPr>
                <w:rFonts w:ascii="Times New Roman" w:hAnsi="Times New Roman"/>
                <w:sz w:val="21"/>
                <w:szCs w:val="21"/>
              </w:rPr>
              <w:t xml:space="preserve"> </w:t>
            </w:r>
            <w:r>
              <w:rPr>
                <w:rFonts w:ascii="Times New Roman" w:hAnsi="Times New Roman"/>
                <w:sz w:val="21"/>
                <w:szCs w:val="21"/>
              </w:rPr>
              <w:t>环保部门</w:t>
            </w:r>
          </w:p>
        </w:tc>
        <w:tc>
          <w:tcPr>
            <w:tcW w:w="1436" w:type="dxa"/>
            <w:vAlign w:val="center"/>
          </w:tcPr>
          <w:p w14:paraId="782AFA9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当地环境监测站</w:t>
            </w:r>
          </w:p>
        </w:tc>
      </w:tr>
    </w:tbl>
    <w:p w14:paraId="3E24C719" w14:textId="77777777" w:rsidR="007D1E74" w:rsidRDefault="00A95641">
      <w:pPr>
        <w:pStyle w:val="a9"/>
      </w:pPr>
      <w:r>
        <w:t>运营期环境监测计划</w:t>
      </w:r>
    </w:p>
    <w:p w14:paraId="23F6CF78" w14:textId="59A4A2B6" w:rsidR="007D1E74" w:rsidRDefault="00A95641">
      <w:pPr>
        <w:spacing w:line="360" w:lineRule="auto"/>
        <w:ind w:firstLineChars="200" w:firstLine="480"/>
        <w:rPr>
          <w:sz w:val="24"/>
        </w:rPr>
      </w:pPr>
      <w:r>
        <w:rPr>
          <w:rFonts w:cs="Times New Roman"/>
          <w:sz w:val="24"/>
        </w:rPr>
        <w:t>根据本工程运行期的环境污染特点，环境监测主要包括对噪声、生态恢复进行定期监测，以及管道发生</w:t>
      </w:r>
      <w:r w:rsidR="00803514">
        <w:rPr>
          <w:rFonts w:cs="Times New Roman" w:hint="eastAsia"/>
          <w:sz w:val="24"/>
        </w:rPr>
        <w:t>泄漏</w:t>
      </w:r>
      <w:r>
        <w:rPr>
          <w:rFonts w:cs="Times New Roman"/>
          <w:sz w:val="24"/>
        </w:rPr>
        <w:t>时的事故监测。其中事故监测要根据发生事故的类型、事故影响的大小以及周围的环境情况等，视具体情况进行监测。具体见下表。</w:t>
      </w:r>
    </w:p>
    <w:p w14:paraId="4E81E9B6" w14:textId="77777777" w:rsidR="007D1E74" w:rsidRDefault="00A95641">
      <w:pPr>
        <w:tabs>
          <w:tab w:val="left" w:pos="964"/>
        </w:tabs>
        <w:spacing w:before="78" w:after="21"/>
        <w:ind w:right="153"/>
        <w:jc w:val="center"/>
        <w:rPr>
          <w:rFonts w:eastAsia="黑体" w:cs="Times New Roman"/>
        </w:rPr>
      </w:pPr>
      <w:r>
        <w:rPr>
          <w:rFonts w:eastAsia="黑体" w:cs="Times New Roman"/>
        </w:rPr>
        <w:t>表</w:t>
      </w:r>
      <w:r>
        <w:rPr>
          <w:rFonts w:eastAsia="黑体" w:cs="Times New Roman"/>
        </w:rPr>
        <w:t>10.3-2</w:t>
      </w:r>
      <w:r>
        <w:rPr>
          <w:rFonts w:eastAsia="黑体" w:cs="Times New Roman"/>
        </w:rPr>
        <w:tab/>
      </w:r>
      <w:r>
        <w:rPr>
          <w:rFonts w:eastAsia="黑体" w:cs="Times New Roman"/>
        </w:rPr>
        <w:t>运行期环境监测计划</w:t>
      </w:r>
    </w:p>
    <w:tbl>
      <w:tblPr>
        <w:tblW w:w="9126" w:type="dxa"/>
        <w:tblInd w:w="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1"/>
        <w:gridCol w:w="2425"/>
        <w:gridCol w:w="1948"/>
        <w:gridCol w:w="1735"/>
        <w:gridCol w:w="1667"/>
      </w:tblGrid>
      <w:tr w:rsidR="007D1E74" w14:paraId="33CF4BC2" w14:textId="77777777">
        <w:trPr>
          <w:trHeight w:val="260"/>
        </w:trPr>
        <w:tc>
          <w:tcPr>
            <w:tcW w:w="1351" w:type="dxa"/>
            <w:vAlign w:val="center"/>
          </w:tcPr>
          <w:p w14:paraId="68EFD10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监测项目</w:t>
            </w:r>
          </w:p>
        </w:tc>
        <w:tc>
          <w:tcPr>
            <w:tcW w:w="2425" w:type="dxa"/>
            <w:vAlign w:val="center"/>
          </w:tcPr>
          <w:p w14:paraId="533287D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监测点位</w:t>
            </w:r>
          </w:p>
        </w:tc>
        <w:tc>
          <w:tcPr>
            <w:tcW w:w="1948" w:type="dxa"/>
            <w:vAlign w:val="center"/>
          </w:tcPr>
          <w:p w14:paraId="5492AAA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监测因子</w:t>
            </w:r>
          </w:p>
        </w:tc>
        <w:tc>
          <w:tcPr>
            <w:tcW w:w="1735" w:type="dxa"/>
            <w:vAlign w:val="center"/>
          </w:tcPr>
          <w:p w14:paraId="19A8ED0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监测频率</w:t>
            </w:r>
          </w:p>
        </w:tc>
        <w:tc>
          <w:tcPr>
            <w:tcW w:w="1667" w:type="dxa"/>
            <w:vAlign w:val="center"/>
          </w:tcPr>
          <w:p w14:paraId="009A202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控制目标</w:t>
            </w:r>
          </w:p>
        </w:tc>
      </w:tr>
      <w:tr w:rsidR="007D1E74" w14:paraId="23B04CE6" w14:textId="77777777">
        <w:trPr>
          <w:trHeight w:val="258"/>
        </w:trPr>
        <w:tc>
          <w:tcPr>
            <w:tcW w:w="1351" w:type="dxa"/>
            <w:vAlign w:val="center"/>
          </w:tcPr>
          <w:p w14:paraId="329A2D0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生态</w:t>
            </w:r>
          </w:p>
        </w:tc>
        <w:tc>
          <w:tcPr>
            <w:tcW w:w="2425" w:type="dxa"/>
            <w:vAlign w:val="center"/>
          </w:tcPr>
          <w:p w14:paraId="5FBEBC9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管道沿线的非农业区</w:t>
            </w:r>
          </w:p>
        </w:tc>
        <w:tc>
          <w:tcPr>
            <w:tcW w:w="1948" w:type="dxa"/>
            <w:vAlign w:val="center"/>
          </w:tcPr>
          <w:p w14:paraId="33571C1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植被恢复</w:t>
            </w:r>
          </w:p>
        </w:tc>
        <w:tc>
          <w:tcPr>
            <w:tcW w:w="1735" w:type="dxa"/>
            <w:vAlign w:val="center"/>
          </w:tcPr>
          <w:p w14:paraId="2FDE0F0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运行后头</w:t>
            </w:r>
            <w:r>
              <w:rPr>
                <w:rFonts w:ascii="Times New Roman" w:hAnsi="Times New Roman"/>
                <w:sz w:val="21"/>
                <w:szCs w:val="21"/>
              </w:rPr>
              <w:t>3</w:t>
            </w:r>
            <w:r>
              <w:rPr>
                <w:rFonts w:ascii="Times New Roman" w:hAnsi="Times New Roman"/>
                <w:sz w:val="21"/>
                <w:szCs w:val="21"/>
              </w:rPr>
              <w:t>年，</w:t>
            </w:r>
          </w:p>
          <w:p w14:paraId="74F3438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 xml:space="preserve">1 </w:t>
            </w:r>
            <w:r>
              <w:rPr>
                <w:rFonts w:ascii="Times New Roman" w:hAnsi="Times New Roman"/>
                <w:sz w:val="21"/>
                <w:szCs w:val="21"/>
              </w:rPr>
              <w:t>次</w:t>
            </w:r>
            <w:r>
              <w:rPr>
                <w:rFonts w:ascii="Times New Roman" w:hAnsi="Times New Roman"/>
                <w:sz w:val="21"/>
                <w:szCs w:val="21"/>
              </w:rPr>
              <w:t>/</w:t>
            </w:r>
            <w:r>
              <w:rPr>
                <w:rFonts w:ascii="Times New Roman" w:hAnsi="Times New Roman"/>
                <w:sz w:val="21"/>
                <w:szCs w:val="21"/>
              </w:rPr>
              <w:t>年</w:t>
            </w:r>
          </w:p>
        </w:tc>
        <w:tc>
          <w:tcPr>
            <w:tcW w:w="1667" w:type="dxa"/>
            <w:vAlign w:val="center"/>
          </w:tcPr>
          <w:p w14:paraId="33717C0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植被得到有效恢复</w:t>
            </w:r>
          </w:p>
        </w:tc>
      </w:tr>
      <w:tr w:rsidR="007D1E74" w14:paraId="6BC8EE45" w14:textId="77777777">
        <w:trPr>
          <w:trHeight w:val="260"/>
        </w:trPr>
        <w:tc>
          <w:tcPr>
            <w:tcW w:w="1351" w:type="dxa"/>
            <w:vAlign w:val="center"/>
          </w:tcPr>
          <w:p w14:paraId="3D82CF0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事故监测</w:t>
            </w:r>
            <w:r>
              <w:rPr>
                <w:rFonts w:ascii="Times New Roman" w:hAnsi="Times New Roman"/>
                <w:sz w:val="21"/>
                <w:szCs w:val="21"/>
              </w:rPr>
              <w:t>*</w:t>
            </w:r>
          </w:p>
        </w:tc>
        <w:tc>
          <w:tcPr>
            <w:tcW w:w="2425" w:type="dxa"/>
            <w:vAlign w:val="center"/>
          </w:tcPr>
          <w:p w14:paraId="5E4DE1B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事故地段</w:t>
            </w:r>
          </w:p>
        </w:tc>
        <w:tc>
          <w:tcPr>
            <w:tcW w:w="1948" w:type="dxa"/>
            <w:vAlign w:val="center"/>
          </w:tcPr>
          <w:p w14:paraId="6CD9FC7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甲烷、</w:t>
            </w:r>
            <w:r>
              <w:rPr>
                <w:rFonts w:ascii="Times New Roman" w:hAnsi="Times New Roman"/>
                <w:sz w:val="21"/>
                <w:szCs w:val="21"/>
              </w:rPr>
              <w:t>NO</w:t>
            </w:r>
            <w:r>
              <w:rPr>
                <w:rFonts w:ascii="Times New Roman" w:hAnsi="Times New Roman"/>
                <w:sz w:val="21"/>
                <w:szCs w:val="21"/>
                <w:vertAlign w:val="subscript"/>
              </w:rPr>
              <w:t>X</w:t>
            </w:r>
          </w:p>
        </w:tc>
        <w:tc>
          <w:tcPr>
            <w:tcW w:w="1735" w:type="dxa"/>
            <w:vAlign w:val="center"/>
          </w:tcPr>
          <w:p w14:paraId="01B6E47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立即进行</w:t>
            </w:r>
          </w:p>
        </w:tc>
        <w:tc>
          <w:tcPr>
            <w:tcW w:w="1667" w:type="dxa"/>
            <w:vAlign w:val="center"/>
          </w:tcPr>
          <w:p w14:paraId="606708C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及时提供数据</w:t>
            </w:r>
          </w:p>
        </w:tc>
      </w:tr>
    </w:tbl>
    <w:p w14:paraId="1669C973" w14:textId="77777777" w:rsidR="007D1E74" w:rsidRDefault="00A95641">
      <w:pPr>
        <w:spacing w:line="360" w:lineRule="auto"/>
        <w:ind w:firstLineChars="200" w:firstLine="480"/>
        <w:rPr>
          <w:sz w:val="24"/>
        </w:rPr>
      </w:pPr>
      <w:r>
        <w:rPr>
          <w:rFonts w:cs="Times New Roman"/>
          <w:sz w:val="24"/>
        </w:rPr>
        <w:lastRenderedPageBreak/>
        <w:t>生态调查主要是对管道沿线的植被恢复情况进行调查和统计，以便能及时采取一些补救措施。</w:t>
      </w:r>
    </w:p>
    <w:p w14:paraId="73620855" w14:textId="77777777" w:rsidR="007D1E74" w:rsidRDefault="00A95641">
      <w:pPr>
        <w:spacing w:line="360" w:lineRule="auto"/>
        <w:ind w:firstLineChars="200" w:firstLine="480"/>
        <w:rPr>
          <w:sz w:val="24"/>
        </w:rPr>
      </w:pPr>
      <w:r>
        <w:rPr>
          <w:rFonts w:cs="Times New Roman"/>
          <w:sz w:val="24"/>
        </w:rPr>
        <w:t>事故监测要根据发生事故的类型、事故的影响大小及周围的环境情况等，视具体情况进行大气监测，同时对事故发生的原因、天然气泄漏量、污染的程度以及采取的处理措施、处理效果等进行统计、建档，并及时上报有关环保主管部门。</w:t>
      </w:r>
    </w:p>
    <w:p w14:paraId="12E690A1" w14:textId="77777777" w:rsidR="007D1E74" w:rsidRDefault="00A95641">
      <w:pPr>
        <w:pStyle w:val="a8"/>
      </w:pPr>
      <w:bookmarkStart w:id="77" w:name="_Toc21143"/>
      <w:r>
        <w:t>环保竣工验收</w:t>
      </w:r>
      <w:r>
        <w:t>“</w:t>
      </w:r>
      <w:r>
        <w:t>三同时</w:t>
      </w:r>
      <w:r>
        <w:t>”</w:t>
      </w:r>
      <w:r>
        <w:t>制度</w:t>
      </w:r>
      <w:bookmarkEnd w:id="77"/>
    </w:p>
    <w:p w14:paraId="32472BC2" w14:textId="77777777" w:rsidR="007D1E74" w:rsidRDefault="00A95641">
      <w:pPr>
        <w:spacing w:line="360" w:lineRule="auto"/>
        <w:ind w:firstLineChars="200" w:firstLine="480"/>
        <w:rPr>
          <w:sz w:val="24"/>
        </w:rPr>
      </w:pPr>
      <w:r>
        <w:rPr>
          <w:rFonts w:cs="Times New Roman"/>
          <w:sz w:val="24"/>
        </w:rPr>
        <w:t>工程竣工后，建设单位应委托有资质的单位对工程采取的环境保护措施和工程投入运行后造成的新的环境影响问题进行调查，并编制竣工环境保护验收调查报告。</w:t>
      </w:r>
    </w:p>
    <w:p w14:paraId="6F667EF3" w14:textId="77777777" w:rsidR="007D1E74" w:rsidRDefault="00A95641">
      <w:pPr>
        <w:spacing w:line="360" w:lineRule="auto"/>
        <w:ind w:firstLineChars="200" w:firstLine="480"/>
        <w:rPr>
          <w:sz w:val="24"/>
        </w:rPr>
      </w:pPr>
      <w:r>
        <w:rPr>
          <w:rFonts w:cs="Times New Roman"/>
          <w:sz w:val="24"/>
        </w:rPr>
        <w:t>项目环保竣工验收</w:t>
      </w:r>
      <w:r>
        <w:rPr>
          <w:rFonts w:cs="Times New Roman"/>
          <w:sz w:val="24"/>
        </w:rPr>
        <w:t>“</w:t>
      </w:r>
      <w:r>
        <w:rPr>
          <w:rFonts w:cs="Times New Roman"/>
          <w:sz w:val="24"/>
        </w:rPr>
        <w:t>三同时</w:t>
      </w:r>
      <w:r>
        <w:rPr>
          <w:rFonts w:cs="Times New Roman"/>
          <w:sz w:val="24"/>
        </w:rPr>
        <w:t>”</w:t>
      </w:r>
      <w:r>
        <w:rPr>
          <w:rFonts w:cs="Times New Roman"/>
          <w:sz w:val="24"/>
        </w:rPr>
        <w:t>一览表见下表。</w:t>
      </w:r>
    </w:p>
    <w:p w14:paraId="4A212970" w14:textId="77777777" w:rsidR="007D1E74" w:rsidRDefault="00A95641">
      <w:pPr>
        <w:tabs>
          <w:tab w:val="left" w:pos="964"/>
        </w:tabs>
        <w:spacing w:before="78" w:after="21"/>
        <w:ind w:right="153"/>
        <w:jc w:val="center"/>
        <w:rPr>
          <w:rFonts w:eastAsia="黑体" w:cs="Times New Roman"/>
        </w:rPr>
      </w:pPr>
      <w:r>
        <w:rPr>
          <w:rFonts w:eastAsia="黑体" w:cs="Times New Roman"/>
        </w:rPr>
        <w:t>表</w:t>
      </w:r>
      <w:r>
        <w:rPr>
          <w:rFonts w:eastAsia="黑体" w:cs="Times New Roman"/>
        </w:rPr>
        <w:t>10.4-1</w:t>
      </w:r>
      <w:r>
        <w:rPr>
          <w:rFonts w:eastAsia="黑体" w:cs="Times New Roman"/>
        </w:rPr>
        <w:tab/>
      </w:r>
      <w:r>
        <w:rPr>
          <w:rFonts w:eastAsia="黑体" w:cs="Times New Roman"/>
        </w:rPr>
        <w:t>项目环保竣工验收</w:t>
      </w:r>
      <w:r>
        <w:rPr>
          <w:rFonts w:eastAsia="黑体" w:cs="Times New Roman"/>
        </w:rPr>
        <w:t>“</w:t>
      </w:r>
      <w:r>
        <w:rPr>
          <w:rFonts w:eastAsia="黑体" w:cs="Times New Roman"/>
        </w:rPr>
        <w:t>三同时</w:t>
      </w:r>
      <w:r>
        <w:rPr>
          <w:rFonts w:eastAsia="黑体" w:cs="Times New Roman"/>
        </w:rPr>
        <w:t>”</w:t>
      </w:r>
      <w:r>
        <w:rPr>
          <w:rFonts w:eastAsia="黑体" w:cs="Times New Roman"/>
        </w:rPr>
        <w:t>一览表</w:t>
      </w:r>
    </w:p>
    <w:tbl>
      <w:tblPr>
        <w:tblW w:w="9127" w:type="dxa"/>
        <w:tblInd w:w="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00"/>
        <w:gridCol w:w="1658"/>
        <w:gridCol w:w="4527"/>
        <w:gridCol w:w="2042"/>
      </w:tblGrid>
      <w:tr w:rsidR="007D1E74" w14:paraId="7D5E7109" w14:textId="77777777">
        <w:trPr>
          <w:trHeight w:val="261"/>
        </w:trPr>
        <w:tc>
          <w:tcPr>
            <w:tcW w:w="900" w:type="dxa"/>
            <w:vAlign w:val="center"/>
          </w:tcPr>
          <w:p w14:paraId="753F7C9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环境</w:t>
            </w:r>
          </w:p>
        </w:tc>
        <w:tc>
          <w:tcPr>
            <w:tcW w:w="1658" w:type="dxa"/>
            <w:vAlign w:val="center"/>
          </w:tcPr>
          <w:p w14:paraId="1F9B6A9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污染源</w:t>
            </w:r>
          </w:p>
        </w:tc>
        <w:tc>
          <w:tcPr>
            <w:tcW w:w="4527" w:type="dxa"/>
            <w:vAlign w:val="center"/>
          </w:tcPr>
          <w:p w14:paraId="28553CD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治理措施</w:t>
            </w:r>
          </w:p>
        </w:tc>
        <w:tc>
          <w:tcPr>
            <w:tcW w:w="2042" w:type="dxa"/>
            <w:vAlign w:val="center"/>
          </w:tcPr>
          <w:p w14:paraId="690B9BA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验收要求</w:t>
            </w:r>
          </w:p>
        </w:tc>
      </w:tr>
      <w:tr w:rsidR="007D1E74" w14:paraId="6EBD8319" w14:textId="77777777">
        <w:trPr>
          <w:trHeight w:val="1816"/>
        </w:trPr>
        <w:tc>
          <w:tcPr>
            <w:tcW w:w="900" w:type="dxa"/>
            <w:vAlign w:val="center"/>
          </w:tcPr>
          <w:p w14:paraId="2B2368A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生态</w:t>
            </w:r>
          </w:p>
        </w:tc>
        <w:tc>
          <w:tcPr>
            <w:tcW w:w="1658" w:type="dxa"/>
            <w:vAlign w:val="center"/>
          </w:tcPr>
          <w:p w14:paraId="08725DE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临时占地</w:t>
            </w:r>
          </w:p>
        </w:tc>
        <w:tc>
          <w:tcPr>
            <w:tcW w:w="4527" w:type="dxa"/>
            <w:vAlign w:val="center"/>
          </w:tcPr>
          <w:p w14:paraId="268855B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w:t>
            </w:r>
            <w:r>
              <w:rPr>
                <w:rFonts w:ascii="Times New Roman" w:hAnsi="Times New Roman"/>
                <w:sz w:val="21"/>
                <w:szCs w:val="21"/>
              </w:rPr>
              <w:t>、施工前，应先剥离有肥力表层土，并妥善保护好，待施工结束后及时回填，促使植被自然恢</w:t>
            </w:r>
            <w:r>
              <w:rPr>
                <w:rFonts w:ascii="Times New Roman" w:hAnsi="Times New Roman"/>
                <w:sz w:val="21"/>
                <w:szCs w:val="21"/>
              </w:rPr>
              <w:t xml:space="preserve"> </w:t>
            </w:r>
            <w:r>
              <w:rPr>
                <w:rFonts w:ascii="Times New Roman" w:hAnsi="Times New Roman"/>
                <w:sz w:val="21"/>
                <w:szCs w:val="21"/>
              </w:rPr>
              <w:t>复；</w:t>
            </w:r>
          </w:p>
          <w:p w14:paraId="574CD9D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2</w:t>
            </w:r>
            <w:r>
              <w:rPr>
                <w:rFonts w:ascii="Times New Roman" w:hAnsi="Times New Roman"/>
                <w:sz w:val="21"/>
                <w:szCs w:val="21"/>
              </w:rPr>
              <w:t>、施工期间，对施工人员进行必要的环境保护教育，严禁追赶、猎杀野生动物；</w:t>
            </w:r>
          </w:p>
          <w:p w14:paraId="3A4E0C2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3</w:t>
            </w:r>
            <w:r>
              <w:rPr>
                <w:rFonts w:ascii="Times New Roman" w:hAnsi="Times New Roman"/>
                <w:sz w:val="21"/>
                <w:szCs w:val="21"/>
              </w:rPr>
              <w:t>、工程结束后营立即对各临时占地进行生态恢复，并保证土壤肥力</w:t>
            </w:r>
          </w:p>
        </w:tc>
        <w:tc>
          <w:tcPr>
            <w:tcW w:w="2042" w:type="dxa"/>
            <w:vAlign w:val="center"/>
          </w:tcPr>
          <w:p w14:paraId="5F36434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w:t>
            </w:r>
            <w:r>
              <w:rPr>
                <w:rFonts w:ascii="Times New Roman" w:hAnsi="Times New Roman"/>
                <w:sz w:val="21"/>
                <w:szCs w:val="21"/>
              </w:rPr>
              <w:t>、临时占地平整、复耕或植树种草恢复；</w:t>
            </w:r>
          </w:p>
          <w:p w14:paraId="3FC11E8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2</w:t>
            </w:r>
            <w:r>
              <w:rPr>
                <w:rFonts w:ascii="Times New Roman" w:hAnsi="Times New Roman"/>
                <w:sz w:val="21"/>
                <w:szCs w:val="21"/>
              </w:rPr>
              <w:t>、临时材料堆场、施工场地等位置变更应向生态环境主管部门备案</w:t>
            </w:r>
          </w:p>
        </w:tc>
      </w:tr>
      <w:tr w:rsidR="007D1E74" w14:paraId="6636AE13" w14:textId="77777777">
        <w:trPr>
          <w:trHeight w:val="1555"/>
        </w:trPr>
        <w:tc>
          <w:tcPr>
            <w:tcW w:w="900" w:type="dxa"/>
            <w:vAlign w:val="center"/>
          </w:tcPr>
          <w:p w14:paraId="775B56A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水环境</w:t>
            </w:r>
          </w:p>
        </w:tc>
        <w:tc>
          <w:tcPr>
            <w:tcW w:w="1658" w:type="dxa"/>
            <w:vAlign w:val="center"/>
          </w:tcPr>
          <w:p w14:paraId="06185F8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w:t>
            </w:r>
            <w:r>
              <w:rPr>
                <w:rFonts w:ascii="Times New Roman" w:hAnsi="Times New Roman"/>
                <w:sz w:val="21"/>
                <w:szCs w:val="21"/>
              </w:rPr>
              <w:t>、生活污水；</w:t>
            </w:r>
          </w:p>
          <w:p w14:paraId="701642B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2</w:t>
            </w:r>
            <w:r>
              <w:rPr>
                <w:rFonts w:ascii="Times New Roman" w:hAnsi="Times New Roman"/>
                <w:sz w:val="21"/>
                <w:szCs w:val="21"/>
              </w:rPr>
              <w:t>、含油污水；</w:t>
            </w:r>
          </w:p>
          <w:p w14:paraId="210A63E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3</w:t>
            </w:r>
            <w:r>
              <w:rPr>
                <w:rFonts w:ascii="Times New Roman" w:hAnsi="Times New Roman"/>
                <w:sz w:val="21"/>
                <w:szCs w:val="21"/>
              </w:rPr>
              <w:t>、施工场地生产废水</w:t>
            </w:r>
          </w:p>
          <w:p w14:paraId="26A7BE2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4</w:t>
            </w:r>
            <w:r>
              <w:rPr>
                <w:rFonts w:ascii="Times New Roman" w:hAnsi="Times New Roman"/>
                <w:sz w:val="21"/>
                <w:szCs w:val="21"/>
              </w:rPr>
              <w:t>、生活污水</w:t>
            </w:r>
          </w:p>
        </w:tc>
        <w:tc>
          <w:tcPr>
            <w:tcW w:w="4527" w:type="dxa"/>
            <w:vAlign w:val="center"/>
          </w:tcPr>
          <w:p w14:paraId="0C37D111"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w:t>
            </w:r>
            <w:r>
              <w:rPr>
                <w:rFonts w:ascii="Times New Roman" w:hAnsi="Times New Roman"/>
                <w:sz w:val="21"/>
                <w:szCs w:val="21"/>
              </w:rPr>
              <w:t>、生活污水依托当地已有的处理设施；</w:t>
            </w:r>
          </w:p>
          <w:p w14:paraId="545C314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2</w:t>
            </w:r>
            <w:r>
              <w:rPr>
                <w:rFonts w:ascii="Times New Roman" w:hAnsi="Times New Roman"/>
                <w:sz w:val="21"/>
                <w:szCs w:val="21"/>
              </w:rPr>
              <w:t>、含油污水经隔油沉淀后循环使用；</w:t>
            </w:r>
          </w:p>
          <w:p w14:paraId="6FDC0C5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3</w:t>
            </w:r>
            <w:r>
              <w:rPr>
                <w:rFonts w:ascii="Times New Roman" w:hAnsi="Times New Roman"/>
                <w:sz w:val="21"/>
                <w:szCs w:val="21"/>
              </w:rPr>
              <w:t>、施工场地生产废水经沉淀后循环使用；</w:t>
            </w:r>
          </w:p>
          <w:p w14:paraId="67D18C3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4</w:t>
            </w:r>
            <w:r>
              <w:rPr>
                <w:rFonts w:ascii="Times New Roman" w:hAnsi="Times New Roman"/>
                <w:sz w:val="21"/>
                <w:szCs w:val="21"/>
              </w:rPr>
              <w:t>、试压废水经沉淀后洒水降尘；</w:t>
            </w:r>
          </w:p>
          <w:p w14:paraId="6CFCFF8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5</w:t>
            </w:r>
            <w:r>
              <w:rPr>
                <w:rFonts w:ascii="Times New Roman" w:hAnsi="Times New Roman"/>
                <w:sz w:val="21"/>
                <w:szCs w:val="21"/>
              </w:rPr>
              <w:t>、禁止将沿线服务设施生活污水直接排入沿线河流</w:t>
            </w:r>
          </w:p>
        </w:tc>
        <w:tc>
          <w:tcPr>
            <w:tcW w:w="2042" w:type="dxa"/>
            <w:vAlign w:val="center"/>
          </w:tcPr>
          <w:p w14:paraId="40E2FCC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w:t>
            </w:r>
            <w:r>
              <w:rPr>
                <w:rFonts w:ascii="Times New Roman" w:hAnsi="Times New Roman"/>
                <w:sz w:val="21"/>
                <w:szCs w:val="21"/>
              </w:rPr>
              <w:t>、施工场地依托；</w:t>
            </w:r>
          </w:p>
          <w:p w14:paraId="5F088DD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2</w:t>
            </w:r>
            <w:r>
              <w:rPr>
                <w:rFonts w:ascii="Times New Roman" w:hAnsi="Times New Roman"/>
                <w:sz w:val="21"/>
                <w:szCs w:val="21"/>
              </w:rPr>
              <w:t>、修建隔油池、沉淀池</w:t>
            </w:r>
          </w:p>
        </w:tc>
      </w:tr>
      <w:tr w:rsidR="007D1E74" w14:paraId="2287AA86" w14:textId="77777777">
        <w:trPr>
          <w:trHeight w:val="1297"/>
        </w:trPr>
        <w:tc>
          <w:tcPr>
            <w:tcW w:w="900" w:type="dxa"/>
            <w:vAlign w:val="center"/>
          </w:tcPr>
          <w:p w14:paraId="5AC0EC7D"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声环境</w:t>
            </w:r>
          </w:p>
        </w:tc>
        <w:tc>
          <w:tcPr>
            <w:tcW w:w="1658" w:type="dxa"/>
            <w:vAlign w:val="center"/>
          </w:tcPr>
          <w:p w14:paraId="363D4C3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w:t>
            </w:r>
            <w:r>
              <w:rPr>
                <w:rFonts w:ascii="Times New Roman" w:hAnsi="Times New Roman"/>
                <w:sz w:val="21"/>
                <w:szCs w:val="21"/>
              </w:rPr>
              <w:t>、施工噪声</w:t>
            </w:r>
          </w:p>
        </w:tc>
        <w:tc>
          <w:tcPr>
            <w:tcW w:w="4527" w:type="dxa"/>
            <w:vAlign w:val="center"/>
          </w:tcPr>
          <w:p w14:paraId="68A23E9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w:t>
            </w:r>
            <w:r>
              <w:rPr>
                <w:rFonts w:ascii="Times New Roman" w:hAnsi="Times New Roman"/>
                <w:sz w:val="21"/>
                <w:szCs w:val="21"/>
              </w:rPr>
              <w:t>、采用低噪声机械；</w:t>
            </w:r>
          </w:p>
          <w:p w14:paraId="3347E173"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2</w:t>
            </w:r>
            <w:r>
              <w:rPr>
                <w:rFonts w:ascii="Times New Roman" w:hAnsi="Times New Roman"/>
                <w:sz w:val="21"/>
                <w:szCs w:val="21"/>
              </w:rPr>
              <w:t>、合理布局施工现场，在居民点附近施工时采取临时的消声围护结构或临时隔声屏障</w:t>
            </w:r>
            <w:r>
              <w:rPr>
                <w:rFonts w:ascii="Times New Roman" w:hAnsi="Times New Roman" w:hint="eastAsia"/>
                <w:sz w:val="21"/>
                <w:szCs w:val="21"/>
              </w:rPr>
              <w:t>；</w:t>
            </w:r>
          </w:p>
          <w:p w14:paraId="67A0D443"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3</w:t>
            </w:r>
            <w:r>
              <w:rPr>
                <w:rFonts w:ascii="Times New Roman" w:hAnsi="Times New Roman"/>
                <w:sz w:val="21"/>
                <w:szCs w:val="21"/>
              </w:rPr>
              <w:t>、避免在夜间在居民点附近施工</w:t>
            </w:r>
          </w:p>
        </w:tc>
        <w:tc>
          <w:tcPr>
            <w:tcW w:w="2042" w:type="dxa"/>
            <w:vAlign w:val="center"/>
          </w:tcPr>
          <w:p w14:paraId="1FFC063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施工噪声达到《建筑施工场界环境噪声排放标准》</w:t>
            </w:r>
            <w:r>
              <w:rPr>
                <w:rFonts w:ascii="Times New Roman" w:hAnsi="Times New Roman"/>
                <w:sz w:val="21"/>
                <w:szCs w:val="21"/>
              </w:rPr>
              <w:t>(GB12523-2011)</w:t>
            </w:r>
            <w:r>
              <w:rPr>
                <w:rFonts w:ascii="Times New Roman" w:hAnsi="Times New Roman"/>
                <w:sz w:val="21"/>
                <w:szCs w:val="21"/>
              </w:rPr>
              <w:t>中的相关标准</w:t>
            </w:r>
          </w:p>
        </w:tc>
      </w:tr>
      <w:tr w:rsidR="007D1E74" w14:paraId="0B800B14" w14:textId="77777777">
        <w:trPr>
          <w:trHeight w:val="1557"/>
        </w:trPr>
        <w:tc>
          <w:tcPr>
            <w:tcW w:w="900" w:type="dxa"/>
            <w:vAlign w:val="center"/>
          </w:tcPr>
          <w:p w14:paraId="49A5AD2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环境空气</w:t>
            </w:r>
          </w:p>
        </w:tc>
        <w:tc>
          <w:tcPr>
            <w:tcW w:w="1658" w:type="dxa"/>
            <w:vAlign w:val="center"/>
          </w:tcPr>
          <w:p w14:paraId="73F055CE"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w:t>
            </w:r>
            <w:r>
              <w:rPr>
                <w:rFonts w:ascii="Times New Roman" w:hAnsi="Times New Roman"/>
                <w:sz w:val="21"/>
                <w:szCs w:val="21"/>
              </w:rPr>
              <w:t>、施工车辆扬尘；</w:t>
            </w:r>
          </w:p>
          <w:p w14:paraId="6618B93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2</w:t>
            </w:r>
            <w:r>
              <w:rPr>
                <w:rFonts w:ascii="Times New Roman" w:hAnsi="Times New Roman"/>
                <w:sz w:val="21"/>
                <w:szCs w:val="21"/>
              </w:rPr>
              <w:t>、开挖粉尘</w:t>
            </w:r>
          </w:p>
        </w:tc>
        <w:tc>
          <w:tcPr>
            <w:tcW w:w="4527" w:type="dxa"/>
            <w:vAlign w:val="center"/>
          </w:tcPr>
          <w:p w14:paraId="5D867D12"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w:t>
            </w:r>
            <w:r>
              <w:rPr>
                <w:rFonts w:ascii="Times New Roman" w:hAnsi="Times New Roman"/>
                <w:sz w:val="21"/>
                <w:szCs w:val="21"/>
              </w:rPr>
              <w:t>、定时洒水降尘；</w:t>
            </w:r>
          </w:p>
          <w:p w14:paraId="0B7912AE"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2</w:t>
            </w:r>
            <w:r>
              <w:rPr>
                <w:rFonts w:ascii="Times New Roman" w:hAnsi="Times New Roman"/>
                <w:sz w:val="21"/>
                <w:szCs w:val="21"/>
              </w:rPr>
              <w:t>、</w:t>
            </w:r>
            <w:r>
              <w:rPr>
                <w:rFonts w:ascii="Times New Roman" w:hAnsi="Times New Roman"/>
                <w:sz w:val="21"/>
                <w:szCs w:val="21"/>
              </w:rPr>
              <w:t>“</w:t>
            </w:r>
            <w:r>
              <w:rPr>
                <w:rFonts w:ascii="Times New Roman" w:hAnsi="Times New Roman"/>
                <w:sz w:val="21"/>
                <w:szCs w:val="21"/>
              </w:rPr>
              <w:t>六必须，六不准</w:t>
            </w:r>
            <w:r>
              <w:rPr>
                <w:rFonts w:ascii="Times New Roman" w:hAnsi="Times New Roman"/>
                <w:sz w:val="21"/>
                <w:szCs w:val="21"/>
              </w:rPr>
              <w:t>”</w:t>
            </w:r>
            <w:r>
              <w:rPr>
                <w:rFonts w:ascii="Times New Roman" w:hAnsi="Times New Roman" w:hint="eastAsia"/>
                <w:sz w:val="21"/>
                <w:szCs w:val="21"/>
              </w:rPr>
              <w:t>；</w:t>
            </w:r>
          </w:p>
          <w:p w14:paraId="3ECE495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3</w:t>
            </w:r>
            <w:r>
              <w:rPr>
                <w:rFonts w:ascii="Times New Roman" w:hAnsi="Times New Roman"/>
                <w:sz w:val="21"/>
                <w:szCs w:val="21"/>
              </w:rPr>
              <w:t>、湿法作业；</w:t>
            </w:r>
          </w:p>
          <w:p w14:paraId="0AE08E4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4</w:t>
            </w:r>
            <w:r>
              <w:rPr>
                <w:rFonts w:ascii="Times New Roman" w:hAnsi="Times New Roman"/>
                <w:sz w:val="21"/>
                <w:szCs w:val="21"/>
              </w:rPr>
              <w:t>、大风天气暂停土方开挖，易起尘物料遮盖；</w:t>
            </w:r>
          </w:p>
          <w:p w14:paraId="63BF4DC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5</w:t>
            </w:r>
            <w:r>
              <w:rPr>
                <w:rFonts w:ascii="Times New Roman" w:hAnsi="Times New Roman"/>
                <w:sz w:val="21"/>
                <w:szCs w:val="21"/>
              </w:rPr>
              <w:t>、物料运送篷布覆盖；</w:t>
            </w:r>
          </w:p>
          <w:p w14:paraId="3D179B2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6</w:t>
            </w:r>
            <w:r>
              <w:rPr>
                <w:rFonts w:ascii="Times New Roman" w:hAnsi="Times New Roman"/>
                <w:sz w:val="21"/>
                <w:szCs w:val="21"/>
              </w:rPr>
              <w:t>、运送渣土车辆定期冲洗轮胎及车身</w:t>
            </w:r>
          </w:p>
        </w:tc>
        <w:tc>
          <w:tcPr>
            <w:tcW w:w="2042" w:type="dxa"/>
            <w:vAlign w:val="center"/>
          </w:tcPr>
          <w:p w14:paraId="4DA88C3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w:t>
            </w:r>
            <w:r>
              <w:rPr>
                <w:rFonts w:ascii="Times New Roman" w:hAnsi="Times New Roman"/>
                <w:sz w:val="21"/>
                <w:szCs w:val="21"/>
              </w:rPr>
              <w:t>、设置必要的洒水设备；</w:t>
            </w:r>
          </w:p>
          <w:p w14:paraId="56184B1C"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2</w:t>
            </w:r>
            <w:r>
              <w:rPr>
                <w:rFonts w:ascii="Times New Roman" w:hAnsi="Times New Roman"/>
                <w:sz w:val="21"/>
                <w:szCs w:val="21"/>
              </w:rPr>
              <w:t>、设置洗车平台；</w:t>
            </w:r>
          </w:p>
          <w:p w14:paraId="7D065A4B"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3</w:t>
            </w:r>
            <w:r>
              <w:rPr>
                <w:rFonts w:ascii="Times New Roman" w:hAnsi="Times New Roman"/>
                <w:sz w:val="21"/>
                <w:szCs w:val="21"/>
              </w:rPr>
              <w:t>、设置围挡；</w:t>
            </w:r>
          </w:p>
          <w:p w14:paraId="77C2E960"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4</w:t>
            </w:r>
            <w:r>
              <w:rPr>
                <w:rFonts w:ascii="Times New Roman" w:hAnsi="Times New Roman"/>
                <w:sz w:val="21"/>
                <w:szCs w:val="21"/>
              </w:rPr>
              <w:t>、设置篷布遮盖物料</w:t>
            </w:r>
          </w:p>
        </w:tc>
      </w:tr>
      <w:tr w:rsidR="007D1E74" w14:paraId="219DFB03" w14:textId="77777777">
        <w:trPr>
          <w:trHeight w:val="1036"/>
        </w:trPr>
        <w:tc>
          <w:tcPr>
            <w:tcW w:w="900" w:type="dxa"/>
            <w:vAlign w:val="center"/>
          </w:tcPr>
          <w:p w14:paraId="4A35B3D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固体废弃物</w:t>
            </w:r>
          </w:p>
        </w:tc>
        <w:tc>
          <w:tcPr>
            <w:tcW w:w="1658" w:type="dxa"/>
            <w:vAlign w:val="center"/>
          </w:tcPr>
          <w:p w14:paraId="09411414"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w:t>
            </w:r>
            <w:r>
              <w:rPr>
                <w:rFonts w:ascii="Times New Roman" w:hAnsi="Times New Roman"/>
                <w:sz w:val="21"/>
                <w:szCs w:val="21"/>
              </w:rPr>
              <w:t>、生活垃圾；</w:t>
            </w:r>
          </w:p>
          <w:p w14:paraId="20ABF5F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2</w:t>
            </w:r>
            <w:r>
              <w:rPr>
                <w:rFonts w:ascii="Times New Roman" w:hAnsi="Times New Roman"/>
                <w:sz w:val="21"/>
                <w:szCs w:val="21"/>
              </w:rPr>
              <w:t>、生产废料；</w:t>
            </w:r>
          </w:p>
          <w:p w14:paraId="0008E9FE"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3</w:t>
            </w:r>
            <w:r>
              <w:rPr>
                <w:rFonts w:ascii="Times New Roman" w:hAnsi="Times New Roman"/>
                <w:sz w:val="21"/>
                <w:szCs w:val="21"/>
              </w:rPr>
              <w:t>、废弃土石方</w:t>
            </w:r>
          </w:p>
        </w:tc>
        <w:tc>
          <w:tcPr>
            <w:tcW w:w="4527" w:type="dxa"/>
            <w:vAlign w:val="center"/>
          </w:tcPr>
          <w:p w14:paraId="71056B2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w:t>
            </w:r>
            <w:r>
              <w:rPr>
                <w:rFonts w:ascii="Times New Roman" w:hAnsi="Times New Roman"/>
                <w:sz w:val="21"/>
                <w:szCs w:val="21"/>
              </w:rPr>
              <w:t>、施工生活垃圾集中收集后运至沿线乡镇生活垃圾填埋场处理；</w:t>
            </w:r>
          </w:p>
          <w:p w14:paraId="77EC5B48"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2</w:t>
            </w:r>
            <w:r>
              <w:rPr>
                <w:rFonts w:ascii="Times New Roman" w:hAnsi="Times New Roman"/>
                <w:sz w:val="21"/>
                <w:szCs w:val="21"/>
              </w:rPr>
              <w:t>、生产废料依托当地职能部门有偿清运；</w:t>
            </w:r>
          </w:p>
          <w:p w14:paraId="4176D5E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3</w:t>
            </w:r>
            <w:r>
              <w:rPr>
                <w:rFonts w:ascii="Times New Roman" w:hAnsi="Times New Roman"/>
                <w:sz w:val="21"/>
                <w:szCs w:val="21"/>
              </w:rPr>
              <w:t>、废弃土石方全部用于土地平整，不设置弃渣场</w:t>
            </w:r>
          </w:p>
        </w:tc>
        <w:tc>
          <w:tcPr>
            <w:tcW w:w="2042" w:type="dxa"/>
            <w:vAlign w:val="center"/>
          </w:tcPr>
          <w:p w14:paraId="06F9361F"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与环卫部门签订接收协议</w:t>
            </w:r>
          </w:p>
        </w:tc>
      </w:tr>
      <w:tr w:rsidR="007D1E74" w14:paraId="71F693C3" w14:textId="77777777">
        <w:trPr>
          <w:trHeight w:val="520"/>
        </w:trPr>
        <w:tc>
          <w:tcPr>
            <w:tcW w:w="900" w:type="dxa"/>
            <w:vAlign w:val="center"/>
          </w:tcPr>
          <w:p w14:paraId="44B35AF6"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lastRenderedPageBreak/>
              <w:t>环境风</w:t>
            </w:r>
          </w:p>
          <w:p w14:paraId="2FB5640A"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险</w:t>
            </w:r>
          </w:p>
        </w:tc>
        <w:tc>
          <w:tcPr>
            <w:tcW w:w="1658" w:type="dxa"/>
            <w:vAlign w:val="center"/>
          </w:tcPr>
          <w:p w14:paraId="5CCB90D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w:t>
            </w:r>
            <w:r>
              <w:rPr>
                <w:rFonts w:ascii="Times New Roman" w:hAnsi="Times New Roman"/>
                <w:sz w:val="21"/>
                <w:szCs w:val="21"/>
              </w:rPr>
              <w:t>、天然气</w:t>
            </w:r>
          </w:p>
        </w:tc>
        <w:tc>
          <w:tcPr>
            <w:tcW w:w="4527" w:type="dxa"/>
            <w:vAlign w:val="center"/>
          </w:tcPr>
          <w:p w14:paraId="0880BE09"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1</w:t>
            </w:r>
            <w:r>
              <w:rPr>
                <w:rFonts w:ascii="Times New Roman" w:hAnsi="Times New Roman"/>
                <w:sz w:val="21"/>
                <w:szCs w:val="21"/>
              </w:rPr>
              <w:t>、加强施工期运营期环境风险防范措施；</w:t>
            </w:r>
          </w:p>
          <w:p w14:paraId="4E0713A5"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2</w:t>
            </w:r>
            <w:r>
              <w:rPr>
                <w:rFonts w:ascii="Times New Roman" w:hAnsi="Times New Roman"/>
                <w:sz w:val="21"/>
                <w:szCs w:val="21"/>
              </w:rPr>
              <w:t>、编制环境风险应急预案</w:t>
            </w:r>
          </w:p>
        </w:tc>
        <w:tc>
          <w:tcPr>
            <w:tcW w:w="2042" w:type="dxa"/>
            <w:vAlign w:val="center"/>
          </w:tcPr>
          <w:p w14:paraId="00897983"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编制环境风险应急</w:t>
            </w:r>
          </w:p>
          <w:p w14:paraId="35073E87" w14:textId="77777777" w:rsidR="007D1E74" w:rsidRDefault="00A95641">
            <w:pPr>
              <w:pStyle w:val="TableParagraph"/>
              <w:adjustRightInd/>
              <w:jc w:val="center"/>
              <w:rPr>
                <w:rFonts w:ascii="Times New Roman" w:hAnsi="Times New Roman"/>
                <w:sz w:val="21"/>
                <w:szCs w:val="21"/>
              </w:rPr>
            </w:pPr>
            <w:r>
              <w:rPr>
                <w:rFonts w:ascii="Times New Roman" w:hAnsi="Times New Roman"/>
                <w:sz w:val="21"/>
                <w:szCs w:val="21"/>
              </w:rPr>
              <w:t>预案</w:t>
            </w:r>
          </w:p>
        </w:tc>
      </w:tr>
    </w:tbl>
    <w:p w14:paraId="1B8F9990" w14:textId="77777777" w:rsidR="007D1E74" w:rsidRDefault="007D1E74">
      <w:pPr>
        <w:spacing w:line="360" w:lineRule="auto"/>
        <w:ind w:firstLineChars="200" w:firstLine="480"/>
        <w:rPr>
          <w:rFonts w:cs="Times New Roman"/>
          <w:sz w:val="24"/>
        </w:rPr>
      </w:pPr>
    </w:p>
    <w:p w14:paraId="6F02F2F7" w14:textId="77777777" w:rsidR="007D1E74" w:rsidRDefault="00A95641">
      <w:pPr>
        <w:rPr>
          <w:sz w:val="24"/>
        </w:rPr>
      </w:pPr>
      <w:r>
        <w:rPr>
          <w:rFonts w:hint="eastAsia"/>
          <w:sz w:val="24"/>
        </w:rPr>
        <w:br w:type="page"/>
      </w:r>
    </w:p>
    <w:p w14:paraId="5F2FDCC6" w14:textId="77777777" w:rsidR="007D1E74" w:rsidRDefault="00A95641">
      <w:pPr>
        <w:pStyle w:val="a7"/>
        <w:spacing w:beforeLines="100" w:before="312" w:afterLines="100" w:after="312"/>
        <w:rPr>
          <w:rFonts w:cs="Times New Roman"/>
        </w:rPr>
      </w:pPr>
      <w:bookmarkStart w:id="78" w:name="_Toc9354"/>
      <w:bookmarkStart w:id="79" w:name="_Toc5220"/>
      <w:r>
        <w:rPr>
          <w:rFonts w:cs="Times New Roman"/>
        </w:rPr>
        <w:lastRenderedPageBreak/>
        <w:t xml:space="preserve">11  </w:t>
      </w:r>
      <w:r>
        <w:rPr>
          <w:rFonts w:cs="Times New Roman"/>
        </w:rPr>
        <w:t>结论及建议</w:t>
      </w:r>
      <w:bookmarkEnd w:id="78"/>
      <w:bookmarkEnd w:id="79"/>
    </w:p>
    <w:p w14:paraId="4A357943" w14:textId="77777777" w:rsidR="007D1E74" w:rsidRDefault="00A95641">
      <w:pPr>
        <w:spacing w:line="360" w:lineRule="auto"/>
        <w:outlineLvl w:val="1"/>
        <w:rPr>
          <w:sz w:val="24"/>
        </w:rPr>
      </w:pPr>
      <w:bookmarkStart w:id="80" w:name="_Toc12904"/>
      <w:r>
        <w:rPr>
          <w:b/>
          <w:sz w:val="28"/>
          <w:szCs w:val="28"/>
        </w:rPr>
        <w:t>11.1</w:t>
      </w:r>
      <w:r>
        <w:rPr>
          <w:b/>
          <w:sz w:val="28"/>
          <w:szCs w:val="28"/>
        </w:rPr>
        <w:t>工程建设内容</w:t>
      </w:r>
      <w:bookmarkEnd w:id="80"/>
    </w:p>
    <w:p w14:paraId="0079D74F" w14:textId="77777777" w:rsidR="007D1E74" w:rsidRDefault="00A95641">
      <w:pPr>
        <w:adjustRightInd w:val="0"/>
        <w:snapToGrid w:val="0"/>
        <w:spacing w:line="360" w:lineRule="auto"/>
        <w:ind w:firstLineChars="200" w:firstLine="482"/>
        <w:contextualSpacing/>
        <w:rPr>
          <w:sz w:val="24"/>
        </w:rPr>
      </w:pPr>
      <w:r>
        <w:rPr>
          <w:b/>
          <w:sz w:val="24"/>
        </w:rPr>
        <w:t>（</w:t>
      </w:r>
      <w:r>
        <w:rPr>
          <w:b/>
          <w:sz w:val="24"/>
        </w:rPr>
        <w:t>1</w:t>
      </w:r>
      <w:r>
        <w:rPr>
          <w:b/>
          <w:sz w:val="24"/>
        </w:rPr>
        <w:t>）线路工程：</w:t>
      </w:r>
      <w:r>
        <w:rPr>
          <w:sz w:val="24"/>
        </w:rPr>
        <w:t>在设计路线优化后，新建集气干线</w:t>
      </w:r>
      <w:r>
        <w:rPr>
          <w:sz w:val="24"/>
        </w:rPr>
        <w:t>29.8km</w:t>
      </w:r>
      <w:r>
        <w:rPr>
          <w:sz w:val="24"/>
        </w:rPr>
        <w:t>，集气支线</w:t>
      </w:r>
      <w:r>
        <w:rPr>
          <w:sz w:val="24"/>
        </w:rPr>
        <w:t>8.0km</w:t>
      </w:r>
      <w:r>
        <w:rPr>
          <w:sz w:val="24"/>
        </w:rPr>
        <w:t>。其中新建</w:t>
      </w:r>
      <w:r>
        <w:rPr>
          <w:sz w:val="24"/>
        </w:rPr>
        <w:t>DN300</w:t>
      </w:r>
      <w:r>
        <w:rPr>
          <w:sz w:val="24"/>
        </w:rPr>
        <w:t>集气干线</w:t>
      </w:r>
      <w:r>
        <w:rPr>
          <w:sz w:val="24"/>
        </w:rPr>
        <w:t>15.5</w:t>
      </w:r>
      <w:r>
        <w:rPr>
          <w:sz w:val="24"/>
        </w:rPr>
        <w:t>千米，</w:t>
      </w:r>
      <w:r>
        <w:rPr>
          <w:sz w:val="24"/>
        </w:rPr>
        <w:t>DN350</w:t>
      </w:r>
      <w:r>
        <w:rPr>
          <w:sz w:val="24"/>
        </w:rPr>
        <w:t>集气干线</w:t>
      </w:r>
      <w:r>
        <w:rPr>
          <w:sz w:val="24"/>
        </w:rPr>
        <w:t>14.3</w:t>
      </w:r>
      <w:r>
        <w:rPr>
          <w:sz w:val="24"/>
        </w:rPr>
        <w:t>千米；新建</w:t>
      </w:r>
      <w:r>
        <w:rPr>
          <w:sz w:val="24"/>
        </w:rPr>
        <w:t>DN100</w:t>
      </w:r>
      <w:r>
        <w:rPr>
          <w:sz w:val="24"/>
        </w:rPr>
        <w:t>集气支线</w:t>
      </w:r>
      <w:r>
        <w:rPr>
          <w:sz w:val="24"/>
        </w:rPr>
        <w:t>6.4</w:t>
      </w:r>
      <w:r>
        <w:rPr>
          <w:sz w:val="24"/>
        </w:rPr>
        <w:t>千米，</w:t>
      </w:r>
      <w:r>
        <w:rPr>
          <w:sz w:val="24"/>
        </w:rPr>
        <w:t>DN300</w:t>
      </w:r>
      <w:r>
        <w:rPr>
          <w:sz w:val="24"/>
        </w:rPr>
        <w:t>集气支线</w:t>
      </w:r>
      <w:r>
        <w:rPr>
          <w:sz w:val="24"/>
        </w:rPr>
        <w:t>1.6</w:t>
      </w:r>
      <w:r>
        <w:rPr>
          <w:sz w:val="24"/>
        </w:rPr>
        <w:t>千米。</w:t>
      </w:r>
    </w:p>
    <w:p w14:paraId="5D45AE9D" w14:textId="77777777" w:rsidR="007D1E74" w:rsidRDefault="00A95641">
      <w:pPr>
        <w:adjustRightInd w:val="0"/>
        <w:snapToGrid w:val="0"/>
        <w:spacing w:line="360" w:lineRule="auto"/>
        <w:ind w:firstLineChars="200" w:firstLine="482"/>
        <w:contextualSpacing/>
        <w:rPr>
          <w:sz w:val="24"/>
        </w:rPr>
      </w:pPr>
      <w:r>
        <w:rPr>
          <w:b/>
          <w:bCs/>
          <w:sz w:val="24"/>
        </w:rPr>
        <w:t>（</w:t>
      </w:r>
      <w:r>
        <w:rPr>
          <w:b/>
          <w:bCs/>
          <w:sz w:val="24"/>
        </w:rPr>
        <w:t>2</w:t>
      </w:r>
      <w:r>
        <w:rPr>
          <w:b/>
          <w:bCs/>
          <w:sz w:val="24"/>
        </w:rPr>
        <w:t>）阀室</w:t>
      </w:r>
      <w:r>
        <w:rPr>
          <w:sz w:val="24"/>
        </w:rPr>
        <w:t>：新建</w:t>
      </w:r>
      <w:r>
        <w:rPr>
          <w:sz w:val="24"/>
        </w:rPr>
        <w:t>1#</w:t>
      </w:r>
      <w:r>
        <w:rPr>
          <w:sz w:val="24"/>
        </w:rPr>
        <w:t>阀室，阀室内新建重力分离器撬（</w:t>
      </w:r>
      <w:r>
        <w:rPr>
          <w:sz w:val="24"/>
        </w:rPr>
        <w:t>1.8m×6m</w:t>
      </w:r>
      <w:r>
        <w:rPr>
          <w:sz w:val="24"/>
        </w:rPr>
        <w:t>）、放空分液储存集成装置（</w:t>
      </w:r>
      <w:r>
        <w:rPr>
          <w:sz w:val="24"/>
        </w:rPr>
        <w:t>3m×8m</w:t>
      </w:r>
      <w:r>
        <w:rPr>
          <w:sz w:val="24"/>
        </w:rPr>
        <w:t>）各</w:t>
      </w:r>
      <w:r>
        <w:rPr>
          <w:sz w:val="24"/>
        </w:rPr>
        <w:t xml:space="preserve"> 1 </w:t>
      </w:r>
      <w:r>
        <w:rPr>
          <w:sz w:val="24"/>
        </w:rPr>
        <w:t>座，天然气阀组、放空立管及相应管线连接。</w:t>
      </w:r>
    </w:p>
    <w:p w14:paraId="5548B0BA" w14:textId="77777777" w:rsidR="007D1E74" w:rsidRDefault="00A95641">
      <w:pPr>
        <w:adjustRightInd w:val="0"/>
        <w:snapToGrid w:val="0"/>
        <w:spacing w:line="360" w:lineRule="auto"/>
        <w:ind w:firstLineChars="200" w:firstLine="482"/>
        <w:contextualSpacing/>
        <w:rPr>
          <w:sz w:val="24"/>
        </w:rPr>
      </w:pPr>
      <w:r>
        <w:rPr>
          <w:b/>
          <w:bCs/>
          <w:sz w:val="24"/>
        </w:rPr>
        <w:t>（</w:t>
      </w:r>
      <w:r>
        <w:rPr>
          <w:b/>
          <w:bCs/>
          <w:sz w:val="24"/>
        </w:rPr>
        <w:t>3</w:t>
      </w:r>
      <w:r>
        <w:rPr>
          <w:b/>
          <w:bCs/>
          <w:sz w:val="24"/>
        </w:rPr>
        <w:t>）阀组：</w:t>
      </w:r>
      <w:r>
        <w:rPr>
          <w:sz w:val="24"/>
        </w:rPr>
        <w:t>新建</w:t>
      </w:r>
      <w:r>
        <w:rPr>
          <w:sz w:val="24"/>
        </w:rPr>
        <w:t>2#</w:t>
      </w:r>
      <w:r>
        <w:rPr>
          <w:sz w:val="24"/>
        </w:rPr>
        <w:t>、</w:t>
      </w:r>
      <w:r>
        <w:rPr>
          <w:sz w:val="24"/>
        </w:rPr>
        <w:t>3#</w:t>
      </w:r>
      <w:r>
        <w:rPr>
          <w:sz w:val="24"/>
        </w:rPr>
        <w:t>插输阀组、</w:t>
      </w:r>
      <w:r>
        <w:rPr>
          <w:sz w:val="24"/>
        </w:rPr>
        <w:t>4#</w:t>
      </w:r>
      <w:r>
        <w:rPr>
          <w:sz w:val="24"/>
        </w:rPr>
        <w:t>清管阀组。</w:t>
      </w:r>
    </w:p>
    <w:p w14:paraId="60B09FE4" w14:textId="77777777" w:rsidR="007D1E74" w:rsidRDefault="00A95641">
      <w:pPr>
        <w:adjustRightInd w:val="0"/>
        <w:snapToGrid w:val="0"/>
        <w:spacing w:line="360" w:lineRule="auto"/>
        <w:ind w:firstLineChars="200" w:firstLine="482"/>
        <w:contextualSpacing/>
        <w:rPr>
          <w:sz w:val="24"/>
        </w:rPr>
      </w:pPr>
      <w:r>
        <w:rPr>
          <w:b/>
          <w:sz w:val="24"/>
        </w:rPr>
        <w:t>（</w:t>
      </w:r>
      <w:r>
        <w:rPr>
          <w:b/>
          <w:sz w:val="24"/>
        </w:rPr>
        <w:t>4</w:t>
      </w:r>
      <w:r>
        <w:rPr>
          <w:b/>
          <w:sz w:val="24"/>
        </w:rPr>
        <w:t>）线路穿越：</w:t>
      </w:r>
      <w:r>
        <w:rPr>
          <w:sz w:val="24"/>
        </w:rPr>
        <w:t>工程管道穿越小型沟渠</w:t>
      </w:r>
      <w:r>
        <w:rPr>
          <w:sz w:val="24"/>
        </w:rPr>
        <w:t>115m/9</w:t>
      </w:r>
      <w:r>
        <w:rPr>
          <w:sz w:val="24"/>
        </w:rPr>
        <w:t>次，穿越村道</w:t>
      </w:r>
      <w:r>
        <w:rPr>
          <w:sz w:val="24"/>
        </w:rPr>
        <w:t>335.4m/41</w:t>
      </w:r>
      <w:r>
        <w:rPr>
          <w:sz w:val="24"/>
        </w:rPr>
        <w:t>次，穿越</w:t>
      </w:r>
      <w:r>
        <w:rPr>
          <w:sz w:val="24"/>
        </w:rPr>
        <w:t>S204</w:t>
      </w:r>
      <w:r>
        <w:rPr>
          <w:sz w:val="24"/>
        </w:rPr>
        <w:t>快速路</w:t>
      </w:r>
      <w:r>
        <w:rPr>
          <w:sz w:val="24"/>
        </w:rPr>
        <w:t>166.4m/4</w:t>
      </w:r>
      <w:r>
        <w:rPr>
          <w:sz w:val="24"/>
        </w:rPr>
        <w:t>次，穿越</w:t>
      </w:r>
      <w:r>
        <w:rPr>
          <w:sz w:val="24"/>
        </w:rPr>
        <w:t>S201</w:t>
      </w:r>
      <w:r>
        <w:rPr>
          <w:sz w:val="24"/>
        </w:rPr>
        <w:t>省道</w:t>
      </w:r>
      <w:r>
        <w:rPr>
          <w:sz w:val="24"/>
        </w:rPr>
        <w:t>30m/2</w:t>
      </w:r>
      <w:r>
        <w:rPr>
          <w:sz w:val="24"/>
        </w:rPr>
        <w:t>次，穿越四川诺水河珍稀水生动物自然保护区小通江</w:t>
      </w:r>
      <w:r>
        <w:rPr>
          <w:sz w:val="24"/>
        </w:rPr>
        <w:t>1000.4m/3</w:t>
      </w:r>
      <w:r>
        <w:rPr>
          <w:sz w:val="24"/>
        </w:rPr>
        <w:t>次，穿越新场镇</w:t>
      </w:r>
      <w:r>
        <w:rPr>
          <w:rFonts w:hint="eastAsia"/>
          <w:sz w:val="24"/>
        </w:rPr>
        <w:t>沙湾里</w:t>
      </w:r>
      <w:r>
        <w:rPr>
          <w:sz w:val="24"/>
        </w:rPr>
        <w:t>饮用水源保护区二级保护区（陆域）</w:t>
      </w:r>
      <w:r>
        <w:rPr>
          <w:sz w:val="24"/>
        </w:rPr>
        <w:t>4219m/2</w:t>
      </w:r>
      <w:r>
        <w:rPr>
          <w:sz w:val="24"/>
        </w:rPr>
        <w:t>次，涪阳镇</w:t>
      </w:r>
      <w:r>
        <w:rPr>
          <w:rFonts w:hint="eastAsia"/>
          <w:sz w:val="24"/>
        </w:rPr>
        <w:t>酒厂沟</w:t>
      </w:r>
      <w:r>
        <w:rPr>
          <w:sz w:val="24"/>
        </w:rPr>
        <w:t>饮用水源保护区二级保护区（陆域）</w:t>
      </w:r>
      <w:r>
        <w:rPr>
          <w:sz w:val="24"/>
        </w:rPr>
        <w:t>2680m/1</w:t>
      </w:r>
      <w:r>
        <w:rPr>
          <w:sz w:val="24"/>
        </w:rPr>
        <w:t>次。</w:t>
      </w:r>
    </w:p>
    <w:p w14:paraId="72F2E33D" w14:textId="77777777" w:rsidR="007D1E74" w:rsidRDefault="00A95641">
      <w:pPr>
        <w:spacing w:line="360" w:lineRule="auto"/>
        <w:outlineLvl w:val="1"/>
        <w:rPr>
          <w:sz w:val="24"/>
        </w:rPr>
      </w:pPr>
      <w:bookmarkStart w:id="81" w:name="_Toc1557"/>
      <w:r>
        <w:rPr>
          <w:b/>
          <w:sz w:val="28"/>
          <w:szCs w:val="28"/>
        </w:rPr>
        <w:t>11.2</w:t>
      </w:r>
      <w:r>
        <w:rPr>
          <w:b/>
          <w:sz w:val="28"/>
          <w:szCs w:val="28"/>
        </w:rPr>
        <w:t>工程与相关政策、规划的符合性分析</w:t>
      </w:r>
      <w:bookmarkEnd w:id="81"/>
    </w:p>
    <w:p w14:paraId="6B048D33" w14:textId="77777777" w:rsidR="007D1E74" w:rsidRDefault="00A95641">
      <w:pPr>
        <w:spacing w:line="360" w:lineRule="auto"/>
        <w:outlineLvl w:val="2"/>
        <w:rPr>
          <w:b/>
          <w:sz w:val="24"/>
        </w:rPr>
      </w:pPr>
      <w:r>
        <w:rPr>
          <w:b/>
          <w:sz w:val="24"/>
        </w:rPr>
        <w:t>11.2.1</w:t>
      </w:r>
      <w:r>
        <w:rPr>
          <w:b/>
          <w:sz w:val="24"/>
        </w:rPr>
        <w:t>产业政策符合性</w:t>
      </w:r>
    </w:p>
    <w:p w14:paraId="28A9C90D" w14:textId="77777777" w:rsidR="007D1E74" w:rsidRDefault="00A95641">
      <w:pPr>
        <w:spacing w:line="360" w:lineRule="auto"/>
        <w:ind w:firstLineChars="200" w:firstLine="480"/>
        <w:rPr>
          <w:sz w:val="24"/>
        </w:rPr>
      </w:pPr>
      <w:r>
        <w:rPr>
          <w:sz w:val="24"/>
        </w:rPr>
        <w:t>本项目属于《产业结构调整指导目录</w:t>
      </w:r>
      <w:r>
        <w:rPr>
          <w:sz w:val="24"/>
        </w:rPr>
        <w:t>(2019</w:t>
      </w:r>
      <w:r>
        <w:rPr>
          <w:sz w:val="24"/>
        </w:rPr>
        <w:t>年本）》（</w:t>
      </w:r>
      <w:r>
        <w:rPr>
          <w:rFonts w:hint="eastAsia"/>
          <w:sz w:val="24"/>
        </w:rPr>
        <w:t>中华人民共和国国家发展和改革委员会</w:t>
      </w:r>
      <w:r>
        <w:rPr>
          <w:sz w:val="24"/>
        </w:rPr>
        <w:t>令第</w:t>
      </w:r>
      <w:r>
        <w:rPr>
          <w:sz w:val="24"/>
        </w:rPr>
        <w:t>29</w:t>
      </w:r>
      <w:r>
        <w:rPr>
          <w:sz w:val="24"/>
        </w:rPr>
        <w:t>号）中</w:t>
      </w:r>
      <w:r>
        <w:rPr>
          <w:sz w:val="24"/>
        </w:rPr>
        <w:t>“</w:t>
      </w:r>
      <w:r>
        <w:rPr>
          <w:sz w:val="24"/>
        </w:rPr>
        <w:t>七、石油、天然气</w:t>
      </w:r>
      <w:r>
        <w:rPr>
          <w:sz w:val="24"/>
        </w:rPr>
        <w:t>”</w:t>
      </w:r>
      <w:r>
        <w:rPr>
          <w:rFonts w:hint="eastAsia"/>
          <w:sz w:val="24"/>
        </w:rPr>
        <w:t>、</w:t>
      </w:r>
      <w:r>
        <w:rPr>
          <w:sz w:val="24"/>
        </w:rPr>
        <w:t>“3</w:t>
      </w:r>
      <w:r>
        <w:rPr>
          <w:sz w:val="24"/>
        </w:rPr>
        <w:t>、常规石油、天然气勘探与开采</w:t>
      </w:r>
      <w:r>
        <w:rPr>
          <w:sz w:val="24"/>
        </w:rPr>
        <w:t>”</w:t>
      </w:r>
      <w:r>
        <w:rPr>
          <w:sz w:val="24"/>
        </w:rPr>
        <w:t>类项目，为国家</w:t>
      </w:r>
      <w:r>
        <w:rPr>
          <w:sz w:val="24"/>
        </w:rPr>
        <w:t>“</w:t>
      </w:r>
      <w:r>
        <w:rPr>
          <w:sz w:val="24"/>
        </w:rPr>
        <w:t>鼓励类</w:t>
      </w:r>
      <w:r>
        <w:rPr>
          <w:sz w:val="24"/>
        </w:rPr>
        <w:t>”</w:t>
      </w:r>
      <w:r>
        <w:rPr>
          <w:sz w:val="24"/>
        </w:rPr>
        <w:t>项目。</w:t>
      </w:r>
    </w:p>
    <w:p w14:paraId="1492C461" w14:textId="77777777" w:rsidR="007D1E74" w:rsidRDefault="00A95641">
      <w:pPr>
        <w:spacing w:line="360" w:lineRule="auto"/>
        <w:outlineLvl w:val="2"/>
        <w:rPr>
          <w:b/>
          <w:sz w:val="24"/>
        </w:rPr>
      </w:pPr>
      <w:r>
        <w:rPr>
          <w:b/>
          <w:sz w:val="24"/>
        </w:rPr>
        <w:t>11.2.2</w:t>
      </w:r>
      <w:r>
        <w:rPr>
          <w:b/>
          <w:bCs/>
          <w:sz w:val="24"/>
        </w:rPr>
        <w:t>与城镇规划发展的相容性分析</w:t>
      </w:r>
    </w:p>
    <w:p w14:paraId="5D8469BF" w14:textId="77777777" w:rsidR="007D1E74" w:rsidRDefault="00A95641">
      <w:pPr>
        <w:spacing w:line="360" w:lineRule="auto"/>
        <w:ind w:firstLineChars="200" w:firstLine="480"/>
        <w:rPr>
          <w:bCs/>
          <w:sz w:val="24"/>
        </w:rPr>
      </w:pPr>
      <w:r>
        <w:rPr>
          <w:bCs/>
          <w:sz w:val="24"/>
        </w:rPr>
        <w:t>本工程为天然气管道工程，均分布于巴中市通江县青峪镇、新场镇、涪阳镇，根据调查了解，管道选址不会制约城镇的发展。项目开工前需取得当地人民政府、自然资源局的同意。</w:t>
      </w:r>
    </w:p>
    <w:p w14:paraId="3BD99A2E" w14:textId="77777777" w:rsidR="007D1E74" w:rsidRDefault="00A95641">
      <w:pPr>
        <w:spacing w:line="360" w:lineRule="auto"/>
        <w:ind w:firstLineChars="200" w:firstLine="480"/>
        <w:rPr>
          <w:sz w:val="24"/>
        </w:rPr>
      </w:pPr>
      <w:r>
        <w:rPr>
          <w:bCs/>
          <w:sz w:val="24"/>
        </w:rPr>
        <w:t>因此，项目建设与城镇规划发展相容。</w:t>
      </w:r>
    </w:p>
    <w:p w14:paraId="25FCAFBA" w14:textId="77777777" w:rsidR="007D1E74" w:rsidRDefault="00A95641">
      <w:pPr>
        <w:spacing w:line="360" w:lineRule="auto"/>
        <w:outlineLvl w:val="2"/>
        <w:rPr>
          <w:b/>
          <w:bCs/>
          <w:sz w:val="24"/>
        </w:rPr>
      </w:pPr>
      <w:r>
        <w:rPr>
          <w:b/>
          <w:sz w:val="24"/>
        </w:rPr>
        <w:t>11.2.3</w:t>
      </w:r>
      <w:r>
        <w:rPr>
          <w:b/>
          <w:bCs/>
          <w:sz w:val="24"/>
        </w:rPr>
        <w:t>与</w:t>
      </w:r>
      <w:r>
        <w:rPr>
          <w:b/>
          <w:bCs/>
          <w:sz w:val="24"/>
        </w:rPr>
        <w:t>“</w:t>
      </w:r>
      <w:r>
        <w:rPr>
          <w:b/>
          <w:bCs/>
          <w:sz w:val="24"/>
        </w:rPr>
        <w:t>三线一单</w:t>
      </w:r>
      <w:r>
        <w:rPr>
          <w:b/>
          <w:bCs/>
          <w:sz w:val="24"/>
        </w:rPr>
        <w:t>”</w:t>
      </w:r>
      <w:r>
        <w:rPr>
          <w:b/>
          <w:bCs/>
          <w:sz w:val="24"/>
        </w:rPr>
        <w:t>符合性分析</w:t>
      </w:r>
    </w:p>
    <w:p w14:paraId="69EE4451" w14:textId="77777777" w:rsidR="007D1E74" w:rsidRDefault="00A95641">
      <w:pPr>
        <w:spacing w:line="360" w:lineRule="auto"/>
        <w:ind w:firstLineChars="200" w:firstLine="480"/>
        <w:rPr>
          <w:b/>
          <w:sz w:val="24"/>
        </w:rPr>
      </w:pPr>
      <w:r>
        <w:rPr>
          <w:kern w:val="0"/>
          <w:sz w:val="24"/>
          <w:lang w:bidi="ar"/>
        </w:rPr>
        <w:t>根据巴中市人民政府《关于实施</w:t>
      </w:r>
      <w:r>
        <w:rPr>
          <w:kern w:val="0"/>
          <w:sz w:val="24"/>
          <w:lang w:bidi="ar"/>
        </w:rPr>
        <w:t>“</w:t>
      </w:r>
      <w:r>
        <w:rPr>
          <w:kern w:val="0"/>
          <w:sz w:val="24"/>
          <w:lang w:bidi="ar"/>
        </w:rPr>
        <w:t>三线一单</w:t>
      </w:r>
      <w:r>
        <w:rPr>
          <w:kern w:val="0"/>
          <w:sz w:val="24"/>
          <w:lang w:bidi="ar"/>
        </w:rPr>
        <w:t>”</w:t>
      </w:r>
      <w:r>
        <w:rPr>
          <w:kern w:val="0"/>
          <w:sz w:val="24"/>
          <w:lang w:bidi="ar"/>
        </w:rPr>
        <w:t>生态环境分区管控的通知》（巴府发</w:t>
      </w:r>
      <w:r>
        <w:rPr>
          <w:kern w:val="0"/>
          <w:sz w:val="24"/>
          <w:lang w:bidi="ar"/>
        </w:rPr>
        <w:t>[2021]5</w:t>
      </w:r>
      <w:r>
        <w:rPr>
          <w:kern w:val="0"/>
          <w:sz w:val="24"/>
          <w:lang w:bidi="ar"/>
        </w:rPr>
        <w:t>号），项目位于巴中市通江县青峪镇</w:t>
      </w:r>
      <w:r>
        <w:rPr>
          <w:rFonts w:hint="eastAsia"/>
          <w:kern w:val="0"/>
          <w:sz w:val="24"/>
          <w:lang w:bidi="ar"/>
        </w:rPr>
        <w:t>、新场镇、涪阳镇</w:t>
      </w:r>
      <w:r>
        <w:rPr>
          <w:kern w:val="0"/>
          <w:sz w:val="24"/>
          <w:lang w:bidi="ar"/>
        </w:rPr>
        <w:t>，位于</w:t>
      </w:r>
      <w:r>
        <w:rPr>
          <w:kern w:val="0"/>
          <w:sz w:val="24"/>
          <w:lang w:bidi="ar"/>
        </w:rPr>
        <w:t>“</w:t>
      </w:r>
      <w:r>
        <w:rPr>
          <w:kern w:val="0"/>
          <w:sz w:val="24"/>
          <w:lang w:bidi="ar"/>
        </w:rPr>
        <w:t>一般管控单元</w:t>
      </w:r>
      <w:r>
        <w:rPr>
          <w:kern w:val="0"/>
          <w:sz w:val="24"/>
          <w:lang w:bidi="ar"/>
        </w:rPr>
        <w:t>”</w:t>
      </w:r>
      <w:r>
        <w:rPr>
          <w:kern w:val="0"/>
          <w:sz w:val="24"/>
          <w:lang w:bidi="ar"/>
        </w:rPr>
        <w:t>，根据与</w:t>
      </w:r>
      <w:r>
        <w:rPr>
          <w:kern w:val="0"/>
          <w:sz w:val="24"/>
          <w:lang w:bidi="ar"/>
        </w:rPr>
        <w:t>“</w:t>
      </w:r>
      <w:r>
        <w:rPr>
          <w:kern w:val="0"/>
          <w:sz w:val="24"/>
          <w:lang w:bidi="ar"/>
        </w:rPr>
        <w:t>一般管控单元</w:t>
      </w:r>
      <w:r>
        <w:rPr>
          <w:kern w:val="0"/>
          <w:sz w:val="24"/>
          <w:lang w:bidi="ar"/>
        </w:rPr>
        <w:t>”</w:t>
      </w:r>
      <w:r>
        <w:rPr>
          <w:kern w:val="0"/>
          <w:sz w:val="24"/>
          <w:lang w:bidi="ar"/>
        </w:rPr>
        <w:t>的具体管控要求对比分析，项目满足巴中市</w:t>
      </w:r>
      <w:r>
        <w:rPr>
          <w:kern w:val="0"/>
          <w:sz w:val="24"/>
          <w:lang w:bidi="ar"/>
        </w:rPr>
        <w:t>“</w:t>
      </w:r>
      <w:r>
        <w:rPr>
          <w:kern w:val="0"/>
          <w:sz w:val="24"/>
          <w:lang w:bidi="ar"/>
        </w:rPr>
        <w:t>三线一单</w:t>
      </w:r>
      <w:r>
        <w:rPr>
          <w:kern w:val="0"/>
          <w:sz w:val="24"/>
          <w:lang w:bidi="ar"/>
        </w:rPr>
        <w:t>”</w:t>
      </w:r>
      <w:r>
        <w:rPr>
          <w:kern w:val="0"/>
          <w:sz w:val="24"/>
          <w:lang w:bidi="ar"/>
        </w:rPr>
        <w:t>管控要求。</w:t>
      </w:r>
    </w:p>
    <w:p w14:paraId="74BFB7C8" w14:textId="77777777" w:rsidR="007D1E74" w:rsidRDefault="00A95641">
      <w:pPr>
        <w:spacing w:line="360" w:lineRule="auto"/>
        <w:outlineLvl w:val="1"/>
        <w:rPr>
          <w:sz w:val="24"/>
        </w:rPr>
      </w:pPr>
      <w:bookmarkStart w:id="82" w:name="_Toc14358"/>
      <w:r>
        <w:rPr>
          <w:b/>
          <w:sz w:val="28"/>
          <w:szCs w:val="28"/>
        </w:rPr>
        <w:t>11.3</w:t>
      </w:r>
      <w:r>
        <w:rPr>
          <w:b/>
          <w:sz w:val="28"/>
          <w:szCs w:val="28"/>
        </w:rPr>
        <w:t>环境现状及影响评价结论</w:t>
      </w:r>
      <w:bookmarkEnd w:id="82"/>
    </w:p>
    <w:p w14:paraId="79FA641F" w14:textId="77777777" w:rsidR="007D1E74" w:rsidRDefault="00A95641">
      <w:pPr>
        <w:spacing w:line="360" w:lineRule="auto"/>
        <w:outlineLvl w:val="2"/>
        <w:rPr>
          <w:b/>
          <w:sz w:val="24"/>
        </w:rPr>
      </w:pPr>
      <w:r>
        <w:rPr>
          <w:b/>
          <w:sz w:val="24"/>
        </w:rPr>
        <w:t>11.3.1</w:t>
      </w:r>
      <w:r>
        <w:rPr>
          <w:b/>
          <w:sz w:val="24"/>
        </w:rPr>
        <w:t>环境空气现状及影响评价</w:t>
      </w:r>
    </w:p>
    <w:p w14:paraId="15DFEBD4" w14:textId="77777777" w:rsidR="007D1E74" w:rsidRDefault="00A95641">
      <w:pPr>
        <w:pStyle w:val="affffff1"/>
        <w:adjustRightInd/>
        <w:spacing w:line="360" w:lineRule="auto"/>
        <w:ind w:left="0" w:right="0" w:firstLine="0"/>
        <w:contextualSpacing/>
        <w:jc w:val="both"/>
        <w:rPr>
          <w:rFonts w:ascii="Times New Roman" w:eastAsia="宋体" w:hAnsi="Times New Roman" w:cs="Times New Roman"/>
        </w:rPr>
      </w:pPr>
      <w:r>
        <w:rPr>
          <w:rFonts w:ascii="Times New Roman" w:eastAsia="宋体" w:hAnsi="Times New Roman" w:cs="Times New Roman"/>
          <w:b/>
          <w:bCs/>
          <w:szCs w:val="24"/>
        </w:rPr>
        <w:lastRenderedPageBreak/>
        <w:t>11.3.1.1</w:t>
      </w:r>
      <w:r>
        <w:rPr>
          <w:rFonts w:ascii="Times New Roman" w:eastAsia="宋体" w:hAnsi="Times New Roman" w:cs="Times New Roman"/>
          <w:b/>
          <w:bCs/>
          <w:szCs w:val="24"/>
        </w:rPr>
        <w:t>环境空气质量现状评价</w:t>
      </w:r>
    </w:p>
    <w:p w14:paraId="4A66F384" w14:textId="77777777" w:rsidR="007D1E74" w:rsidRDefault="00A95641">
      <w:pPr>
        <w:spacing w:line="360" w:lineRule="auto"/>
        <w:ind w:firstLineChars="200" w:firstLine="480"/>
        <w:rPr>
          <w:sz w:val="24"/>
        </w:rPr>
      </w:pPr>
      <w:r>
        <w:rPr>
          <w:sz w:val="24"/>
        </w:rPr>
        <w:t>通江县区域</w:t>
      </w:r>
      <w:r>
        <w:rPr>
          <w:sz w:val="24"/>
        </w:rPr>
        <w:t xml:space="preserve"> SO</w:t>
      </w:r>
      <w:r>
        <w:rPr>
          <w:sz w:val="24"/>
          <w:vertAlign w:val="subscript"/>
        </w:rPr>
        <w:t>2</w:t>
      </w:r>
      <w:r>
        <w:rPr>
          <w:sz w:val="24"/>
        </w:rPr>
        <w:t>、</w:t>
      </w:r>
      <w:r>
        <w:rPr>
          <w:sz w:val="24"/>
        </w:rPr>
        <w:t>NO</w:t>
      </w:r>
      <w:r>
        <w:rPr>
          <w:sz w:val="24"/>
          <w:vertAlign w:val="subscript"/>
        </w:rPr>
        <w:t>2</w:t>
      </w:r>
      <w:r>
        <w:rPr>
          <w:sz w:val="24"/>
        </w:rPr>
        <w:t>、</w:t>
      </w:r>
      <w:r>
        <w:rPr>
          <w:sz w:val="24"/>
        </w:rPr>
        <w:t>PM</w:t>
      </w:r>
      <w:r>
        <w:rPr>
          <w:sz w:val="24"/>
          <w:vertAlign w:val="subscript"/>
        </w:rPr>
        <w:t>2.5</w:t>
      </w:r>
      <w:r>
        <w:rPr>
          <w:sz w:val="24"/>
        </w:rPr>
        <w:t>、</w:t>
      </w:r>
      <w:r>
        <w:rPr>
          <w:sz w:val="24"/>
        </w:rPr>
        <w:t>PM</w:t>
      </w:r>
      <w:r>
        <w:rPr>
          <w:sz w:val="24"/>
          <w:vertAlign w:val="subscript"/>
        </w:rPr>
        <w:t>10</w:t>
      </w:r>
      <w:r>
        <w:rPr>
          <w:sz w:val="24"/>
        </w:rPr>
        <w:t>年均浓度值及</w:t>
      </w:r>
      <w:r>
        <w:rPr>
          <w:sz w:val="24"/>
        </w:rPr>
        <w:t>CO</w:t>
      </w:r>
      <w:r>
        <w:rPr>
          <w:sz w:val="24"/>
        </w:rPr>
        <w:t>日平均质量浓度、</w:t>
      </w:r>
      <w:r>
        <w:rPr>
          <w:sz w:val="24"/>
        </w:rPr>
        <w:t>O</w:t>
      </w:r>
      <w:r>
        <w:rPr>
          <w:sz w:val="24"/>
          <w:vertAlign w:val="subscript"/>
        </w:rPr>
        <w:t>3</w:t>
      </w:r>
      <w:r>
        <w:rPr>
          <w:sz w:val="24"/>
        </w:rPr>
        <w:t>日最</w:t>
      </w:r>
      <w:r>
        <w:rPr>
          <w:sz w:val="24"/>
        </w:rPr>
        <w:t xml:space="preserve"> </w:t>
      </w:r>
      <w:r>
        <w:rPr>
          <w:sz w:val="24"/>
        </w:rPr>
        <w:t>大</w:t>
      </w:r>
      <w:r>
        <w:rPr>
          <w:sz w:val="24"/>
        </w:rPr>
        <w:t>8</w:t>
      </w:r>
      <w:r>
        <w:rPr>
          <w:sz w:val="24"/>
        </w:rPr>
        <w:t>小时平均浓度值均满足《环境空气质量标准》（</w:t>
      </w:r>
      <w:r>
        <w:rPr>
          <w:sz w:val="24"/>
        </w:rPr>
        <w:t>GB3095-2012</w:t>
      </w:r>
      <w:r>
        <w:rPr>
          <w:sz w:val="24"/>
        </w:rPr>
        <w:t>）的二级标准要求，属于达标区，项目区环境空气质量良好。</w:t>
      </w:r>
    </w:p>
    <w:p w14:paraId="6A98DE13" w14:textId="77777777" w:rsidR="007D1E74" w:rsidRDefault="00A95641">
      <w:pPr>
        <w:pStyle w:val="affffff1"/>
        <w:adjustRightInd/>
        <w:spacing w:line="360" w:lineRule="auto"/>
        <w:ind w:left="0" w:right="0" w:firstLine="0"/>
        <w:contextualSpacing/>
        <w:jc w:val="both"/>
        <w:rPr>
          <w:rFonts w:ascii="Times New Roman" w:eastAsia="宋体" w:hAnsi="Times New Roman" w:cs="Times New Roman"/>
        </w:rPr>
      </w:pPr>
      <w:r>
        <w:rPr>
          <w:rFonts w:ascii="Times New Roman" w:eastAsia="宋体" w:hAnsi="Times New Roman" w:cs="Times New Roman"/>
          <w:b/>
          <w:bCs/>
          <w:szCs w:val="24"/>
        </w:rPr>
        <w:t>11.3.1.2</w:t>
      </w:r>
      <w:r>
        <w:rPr>
          <w:rFonts w:ascii="Times New Roman" w:eastAsia="宋体" w:hAnsi="Times New Roman" w:cs="Times New Roman"/>
          <w:b/>
          <w:bCs/>
          <w:szCs w:val="24"/>
        </w:rPr>
        <w:t>大气环境影响分析</w:t>
      </w:r>
    </w:p>
    <w:p w14:paraId="058C77EA" w14:textId="77777777" w:rsidR="007D1E74" w:rsidRDefault="00A95641">
      <w:pPr>
        <w:spacing w:line="360" w:lineRule="auto"/>
        <w:ind w:firstLineChars="200" w:firstLine="480"/>
        <w:rPr>
          <w:sz w:val="24"/>
        </w:rPr>
      </w:pPr>
      <w:r>
        <w:rPr>
          <w:sz w:val="24"/>
        </w:rPr>
        <w:t>施工期：项目管道的大气污染物主要是施工扬尘以及各类施工机械和运输车辆所排放的废气。扬尘所形成的环境空气影响为主要因素。由于施工期时间不长，施工期大气污染属于短期行为。项目施工过程严格按照环评提出的扬尘防治措施，并作好与当地村民的沟通工作争取得到沿线居民的理解和支持后，不会对环境造成明显影响。</w:t>
      </w:r>
    </w:p>
    <w:p w14:paraId="78E10CE4" w14:textId="77777777" w:rsidR="007D1E74" w:rsidRDefault="00A95641">
      <w:pPr>
        <w:spacing w:line="360" w:lineRule="auto"/>
        <w:ind w:firstLineChars="200" w:firstLine="480"/>
        <w:rPr>
          <w:sz w:val="24"/>
        </w:rPr>
      </w:pPr>
      <w:r>
        <w:rPr>
          <w:sz w:val="24"/>
        </w:rPr>
        <w:t>运营期：项目管道输送的介质为经过净化后的天然气，不含硫，全线采用密闭输送，在正常工况下，无废气排放。仅在清管作业时会排放少量的天然气，主要成分为甲烷，还有极少量的非甲烷总烃，对环境影响较小。</w:t>
      </w:r>
    </w:p>
    <w:p w14:paraId="6CB89291" w14:textId="77777777" w:rsidR="007D1E74" w:rsidRDefault="00A95641">
      <w:pPr>
        <w:spacing w:line="360" w:lineRule="auto"/>
        <w:ind w:firstLineChars="200" w:firstLine="480"/>
        <w:rPr>
          <w:sz w:val="24"/>
        </w:rPr>
      </w:pPr>
      <w:r>
        <w:rPr>
          <w:sz w:val="24"/>
        </w:rPr>
        <w:t>非正常工况事故放空废气经过放空立管排放，排放时间短，频率低，加之扩散条件好，放空废气不会对当地大气环境造成明显影响。</w:t>
      </w:r>
    </w:p>
    <w:p w14:paraId="7FDBBBBC" w14:textId="77777777" w:rsidR="007D1E74" w:rsidRDefault="00A95641">
      <w:pPr>
        <w:spacing w:line="360" w:lineRule="auto"/>
        <w:outlineLvl w:val="2"/>
        <w:rPr>
          <w:b/>
          <w:sz w:val="24"/>
        </w:rPr>
      </w:pPr>
      <w:r>
        <w:rPr>
          <w:b/>
          <w:sz w:val="24"/>
        </w:rPr>
        <w:t>11.3.2</w:t>
      </w:r>
      <w:r>
        <w:rPr>
          <w:b/>
          <w:sz w:val="24"/>
        </w:rPr>
        <w:t>地表水环境现状及影响评价</w:t>
      </w:r>
    </w:p>
    <w:p w14:paraId="2BBE0D44" w14:textId="77777777" w:rsidR="007D1E74" w:rsidRDefault="00A95641">
      <w:pPr>
        <w:pStyle w:val="affffff1"/>
        <w:adjustRightInd/>
        <w:spacing w:line="360" w:lineRule="auto"/>
        <w:ind w:left="0" w:right="0" w:firstLine="0"/>
        <w:contextualSpacing/>
        <w:jc w:val="both"/>
        <w:rPr>
          <w:rFonts w:ascii="Times New Roman" w:eastAsia="宋体" w:hAnsi="Times New Roman" w:cs="Times New Roman"/>
        </w:rPr>
      </w:pPr>
      <w:r>
        <w:rPr>
          <w:rFonts w:ascii="Times New Roman" w:eastAsia="宋体" w:hAnsi="Times New Roman" w:cs="Times New Roman"/>
          <w:b/>
          <w:bCs/>
          <w:szCs w:val="24"/>
        </w:rPr>
        <w:t>11.3.2.1</w:t>
      </w:r>
      <w:r>
        <w:rPr>
          <w:rFonts w:ascii="Times New Roman" w:eastAsia="宋体" w:hAnsi="Times New Roman" w:cs="Times New Roman"/>
          <w:b/>
          <w:bCs/>
          <w:szCs w:val="24"/>
        </w:rPr>
        <w:t>地表水环境质量现状评价</w:t>
      </w:r>
    </w:p>
    <w:p w14:paraId="350FA7D2" w14:textId="77777777" w:rsidR="007D1E74" w:rsidRDefault="00A95641">
      <w:pPr>
        <w:spacing w:line="360" w:lineRule="auto"/>
        <w:ind w:firstLineChars="200" w:firstLine="480"/>
        <w:rPr>
          <w:sz w:val="24"/>
        </w:rPr>
      </w:pPr>
      <w:r>
        <w:rPr>
          <w:sz w:val="24"/>
        </w:rPr>
        <w:t>根据监测结果可知，项目所在区域地表水环境质量各指标均能达到《地表水环境质</w:t>
      </w:r>
      <w:r>
        <w:rPr>
          <w:sz w:val="24"/>
        </w:rPr>
        <w:t xml:space="preserve"> </w:t>
      </w:r>
      <w:r>
        <w:rPr>
          <w:sz w:val="24"/>
        </w:rPr>
        <w:t>量标准》（</w:t>
      </w:r>
      <w:r>
        <w:rPr>
          <w:sz w:val="24"/>
        </w:rPr>
        <w:t>GB 3838-2002</w:t>
      </w:r>
      <w:r>
        <w:rPr>
          <w:sz w:val="24"/>
        </w:rPr>
        <w:t>）中的</w:t>
      </w:r>
      <w:r>
        <w:rPr>
          <w:sz w:val="24"/>
        </w:rPr>
        <w:t>Ⅲ</w:t>
      </w:r>
      <w:r>
        <w:rPr>
          <w:sz w:val="24"/>
        </w:rPr>
        <w:t>类水质标准要求。</w:t>
      </w:r>
    </w:p>
    <w:p w14:paraId="34A5ED05" w14:textId="77777777" w:rsidR="007D1E74" w:rsidRDefault="00A95641">
      <w:pPr>
        <w:pStyle w:val="affffff1"/>
        <w:adjustRightInd/>
        <w:spacing w:line="360" w:lineRule="auto"/>
        <w:ind w:left="0" w:right="0" w:firstLine="0"/>
        <w:contextualSpacing/>
        <w:jc w:val="both"/>
        <w:rPr>
          <w:rFonts w:ascii="Times New Roman" w:eastAsia="宋体" w:hAnsi="Times New Roman" w:cs="Times New Roman"/>
        </w:rPr>
      </w:pPr>
      <w:r>
        <w:rPr>
          <w:rFonts w:ascii="Times New Roman" w:eastAsia="宋体" w:hAnsi="Times New Roman" w:cs="Times New Roman"/>
          <w:b/>
          <w:bCs/>
          <w:szCs w:val="24"/>
        </w:rPr>
        <w:t>11.3.2.2</w:t>
      </w:r>
      <w:r>
        <w:rPr>
          <w:rFonts w:ascii="Times New Roman" w:eastAsia="宋体" w:hAnsi="Times New Roman" w:cs="Times New Roman"/>
          <w:b/>
          <w:bCs/>
          <w:szCs w:val="24"/>
        </w:rPr>
        <w:t>地表水环境影响分析</w:t>
      </w:r>
    </w:p>
    <w:p w14:paraId="5C82A877" w14:textId="77777777" w:rsidR="007D1E74" w:rsidRDefault="00A95641">
      <w:pPr>
        <w:spacing w:line="360" w:lineRule="auto"/>
        <w:ind w:firstLineChars="200" w:firstLine="480"/>
        <w:rPr>
          <w:sz w:val="24"/>
        </w:rPr>
      </w:pPr>
      <w:r>
        <w:rPr>
          <w:sz w:val="24"/>
        </w:rPr>
        <w:t>本工程施工期对水环境的影响主要是管道施工、施工人员在施工作业中产生的生活污水、管道安装完后清管试压的生产污水等排放对水环境的影响等。</w:t>
      </w:r>
    </w:p>
    <w:p w14:paraId="1B85BA4B" w14:textId="77777777" w:rsidR="007D1E74" w:rsidRDefault="00A95641">
      <w:pPr>
        <w:spacing w:line="360" w:lineRule="auto"/>
        <w:ind w:firstLineChars="200" w:firstLine="480"/>
        <w:rPr>
          <w:sz w:val="24"/>
        </w:rPr>
      </w:pPr>
      <w:r>
        <w:rPr>
          <w:sz w:val="24"/>
        </w:rPr>
        <w:t>管沟开挖作业会对沟渠造成暂时性破坏，待施工完成后，经覆土复原，采用沟渠和鱼塘稳固措施后，不会对水体环境产生影响。在围堰开挖过程中，会产生一定量的泥沙，将在短期内短距离影响水质。同时定向钻施工穿越小通江不会影响水质。</w:t>
      </w:r>
    </w:p>
    <w:p w14:paraId="744899A6" w14:textId="77777777" w:rsidR="007D1E74" w:rsidRDefault="00A95641">
      <w:pPr>
        <w:spacing w:line="360" w:lineRule="auto"/>
        <w:ind w:firstLineChars="200" w:firstLine="480"/>
        <w:rPr>
          <w:sz w:val="24"/>
        </w:rPr>
      </w:pPr>
      <w:r>
        <w:rPr>
          <w:sz w:val="24"/>
        </w:rPr>
        <w:t>项目在同一地点产生生活污水较少，生活污水不直接进入地表水体，施工期生活污水对地表水环境的影响很小。项目拟在各施工场地设置临时隔油沉淀池，施工废水经隔油沉淀池处理后循环使用或回用于施工场地的洒水抑尘等，不外排。本项目管道试压使用洁净水，且采取分段试压的方式进行，产生量约为</w:t>
      </w:r>
      <w:r>
        <w:rPr>
          <w:sz w:val="24"/>
        </w:rPr>
        <w:t>185m</w:t>
      </w:r>
      <w:r>
        <w:rPr>
          <w:sz w:val="24"/>
          <w:vertAlign w:val="superscript"/>
        </w:rPr>
        <w:t>3</w:t>
      </w:r>
      <w:r>
        <w:rPr>
          <w:sz w:val="24"/>
        </w:rPr>
        <w:t>，污水排放采用罐车拉运至污水处理厂进行处理。施工期生活污水对地表水环境的影响很小。</w:t>
      </w:r>
    </w:p>
    <w:p w14:paraId="203B5D4F" w14:textId="77777777" w:rsidR="007D1E74" w:rsidRDefault="00A95641">
      <w:pPr>
        <w:spacing w:line="360" w:lineRule="auto"/>
        <w:ind w:firstLineChars="200" w:firstLine="480"/>
        <w:rPr>
          <w:sz w:val="24"/>
        </w:rPr>
      </w:pPr>
      <w:r>
        <w:rPr>
          <w:sz w:val="24"/>
        </w:rPr>
        <w:lastRenderedPageBreak/>
        <w:t>试压废水排入沉淀池中，过滤后可用于施工场地、施工便道及临时材料堆场洒水降尘。</w:t>
      </w:r>
    </w:p>
    <w:p w14:paraId="207757AC" w14:textId="77777777" w:rsidR="007D1E74" w:rsidRDefault="00A95641">
      <w:pPr>
        <w:spacing w:line="360" w:lineRule="auto"/>
        <w:ind w:firstLineChars="200" w:firstLine="480"/>
        <w:rPr>
          <w:sz w:val="24"/>
        </w:rPr>
      </w:pPr>
      <w:r>
        <w:rPr>
          <w:sz w:val="24"/>
        </w:rPr>
        <w:t>项目主要为天然气输送管道，集输管线埋地敷设，密闭输送，运营期正常情况下不会产生的废水；</w:t>
      </w:r>
      <w:r>
        <w:rPr>
          <w:sz w:val="24"/>
        </w:rPr>
        <w:t>1#</w:t>
      </w:r>
      <w:r>
        <w:rPr>
          <w:sz w:val="24"/>
        </w:rPr>
        <w:t>阀室分离废水经污水收集罐暂存后由罐车定期转运至污水处理厂处理，不外排，对地表水环境无影响。</w:t>
      </w:r>
    </w:p>
    <w:p w14:paraId="1D6B2F43" w14:textId="77777777" w:rsidR="007D1E74" w:rsidRDefault="00A95641">
      <w:pPr>
        <w:spacing w:line="360" w:lineRule="auto"/>
        <w:outlineLvl w:val="2"/>
        <w:rPr>
          <w:b/>
          <w:sz w:val="24"/>
        </w:rPr>
      </w:pPr>
      <w:r>
        <w:rPr>
          <w:b/>
          <w:sz w:val="24"/>
        </w:rPr>
        <w:t>11.3.3</w:t>
      </w:r>
      <w:r>
        <w:rPr>
          <w:b/>
          <w:sz w:val="24"/>
        </w:rPr>
        <w:t>地下水环境现状及影响评价</w:t>
      </w:r>
    </w:p>
    <w:p w14:paraId="3400E5A6" w14:textId="77777777" w:rsidR="007D1E74" w:rsidRDefault="00A95641">
      <w:pPr>
        <w:pStyle w:val="affffff1"/>
        <w:adjustRightInd/>
        <w:spacing w:line="360" w:lineRule="auto"/>
        <w:ind w:left="0" w:right="0" w:firstLine="0"/>
        <w:contextualSpacing/>
        <w:jc w:val="both"/>
        <w:rPr>
          <w:rFonts w:ascii="Times New Roman" w:eastAsia="宋体" w:hAnsi="Times New Roman" w:cs="Times New Roman"/>
        </w:rPr>
      </w:pPr>
      <w:r>
        <w:rPr>
          <w:rFonts w:ascii="Times New Roman" w:eastAsia="宋体" w:hAnsi="Times New Roman" w:cs="Times New Roman"/>
          <w:b/>
          <w:bCs/>
          <w:szCs w:val="24"/>
        </w:rPr>
        <w:t>11.3.3.1</w:t>
      </w:r>
      <w:r>
        <w:rPr>
          <w:rFonts w:ascii="Times New Roman" w:eastAsia="宋体" w:hAnsi="Times New Roman" w:cs="Times New Roman"/>
          <w:b/>
          <w:bCs/>
          <w:szCs w:val="24"/>
        </w:rPr>
        <w:t>地下水环境质量现状评价</w:t>
      </w:r>
    </w:p>
    <w:p w14:paraId="2176CFA6" w14:textId="77777777" w:rsidR="007D1E74" w:rsidRDefault="00A95641">
      <w:pPr>
        <w:spacing w:line="360" w:lineRule="auto"/>
        <w:ind w:firstLineChars="200" w:firstLine="480"/>
        <w:rPr>
          <w:sz w:val="24"/>
        </w:rPr>
      </w:pPr>
      <w:r>
        <w:rPr>
          <w:sz w:val="24"/>
        </w:rPr>
        <w:t>根据对项目区域地下水现状监测结果表明，本项目所在地地下水化学类型基本为</w:t>
      </w:r>
      <w:r>
        <w:rPr>
          <w:sz w:val="24"/>
        </w:rPr>
        <w:t>HCO</w:t>
      </w:r>
      <w:r>
        <w:rPr>
          <w:sz w:val="24"/>
          <w:vertAlign w:val="subscript"/>
        </w:rPr>
        <w:t>3</w:t>
      </w:r>
      <w:r>
        <w:rPr>
          <w:sz w:val="24"/>
        </w:rPr>
        <w:t>-Ca</w:t>
      </w:r>
      <w:r>
        <w:rPr>
          <w:sz w:val="24"/>
        </w:rPr>
        <w:t>型，地下水各监测点的各项指标均满足《地下水质量标准》（</w:t>
      </w:r>
      <w:r>
        <w:rPr>
          <w:sz w:val="24"/>
        </w:rPr>
        <w:t>GB/T14848-2017</w:t>
      </w:r>
      <w:r>
        <w:rPr>
          <w:sz w:val="24"/>
        </w:rPr>
        <w:t>）中</w:t>
      </w:r>
      <w:r>
        <w:rPr>
          <w:sz w:val="24"/>
        </w:rPr>
        <w:t>Ⅲ</w:t>
      </w:r>
      <w:r>
        <w:rPr>
          <w:sz w:val="24"/>
        </w:rPr>
        <w:t>类标准。</w:t>
      </w:r>
    </w:p>
    <w:p w14:paraId="6608CB93" w14:textId="77777777" w:rsidR="007D1E74" w:rsidRDefault="00A95641">
      <w:pPr>
        <w:pStyle w:val="affffff1"/>
        <w:adjustRightInd/>
        <w:spacing w:line="360" w:lineRule="auto"/>
        <w:ind w:left="0" w:right="0" w:firstLine="0"/>
        <w:contextualSpacing/>
        <w:jc w:val="both"/>
        <w:rPr>
          <w:rFonts w:ascii="Times New Roman" w:eastAsia="宋体" w:hAnsi="Times New Roman" w:cs="Times New Roman"/>
        </w:rPr>
      </w:pPr>
      <w:r>
        <w:rPr>
          <w:rFonts w:ascii="Times New Roman" w:eastAsia="宋体" w:hAnsi="Times New Roman" w:cs="Times New Roman"/>
          <w:b/>
          <w:bCs/>
          <w:szCs w:val="24"/>
        </w:rPr>
        <w:t>11.3.3.2</w:t>
      </w:r>
      <w:r>
        <w:rPr>
          <w:rFonts w:ascii="Times New Roman" w:eastAsia="宋体" w:hAnsi="Times New Roman" w:cs="Times New Roman"/>
          <w:b/>
          <w:bCs/>
          <w:szCs w:val="24"/>
        </w:rPr>
        <w:t>地下水环境影响分析</w:t>
      </w:r>
    </w:p>
    <w:p w14:paraId="7A76B00C" w14:textId="77777777" w:rsidR="007D1E74" w:rsidRDefault="00A95641">
      <w:pPr>
        <w:spacing w:line="360" w:lineRule="auto"/>
        <w:ind w:firstLineChars="200" w:firstLine="480"/>
        <w:rPr>
          <w:sz w:val="24"/>
        </w:rPr>
      </w:pPr>
      <w:r>
        <w:rPr>
          <w:sz w:val="24"/>
        </w:rPr>
        <w:t>项目不涉及集中式地下水饮用水源保护区，在管道铺设建设过程中，废水产生量较小，且对施工过程中的辅料、废料等加强管理，及时清运，不会对地下水水质造成明显影响。</w:t>
      </w:r>
    </w:p>
    <w:p w14:paraId="364CC0E9" w14:textId="77777777" w:rsidR="007D1E74" w:rsidRDefault="00A95641">
      <w:pPr>
        <w:spacing w:line="360" w:lineRule="auto"/>
        <w:ind w:firstLineChars="200" w:firstLine="480"/>
        <w:rPr>
          <w:sz w:val="24"/>
        </w:rPr>
      </w:pPr>
      <w:r>
        <w:rPr>
          <w:sz w:val="24"/>
        </w:rPr>
        <w:t>营运期，正常工况下，由于集输管线是全封闭系统，采用外防腐层和强制电流阴极保护联合方式，如不发生泄漏事故，对地下水不会造成影响。当管道发生破裂事故，其泄漏的天然气主要成分为甲烷，为气态，不溶于水，直接进入空气中，气体不会进入地下水，外管道防腐设，计严格按照相关规定，对地下水基本不会造成影响。</w:t>
      </w:r>
      <w:r>
        <w:rPr>
          <w:sz w:val="24"/>
        </w:rPr>
        <w:t>1#</w:t>
      </w:r>
      <w:r>
        <w:rPr>
          <w:sz w:val="24"/>
        </w:rPr>
        <w:t>阀室采出水罐石油类第</w:t>
      </w:r>
      <w:r>
        <w:rPr>
          <w:sz w:val="24"/>
        </w:rPr>
        <w:t>100d</w:t>
      </w:r>
      <w:r>
        <w:rPr>
          <w:sz w:val="24"/>
        </w:rPr>
        <w:t>浓度出现了超标现象（参照《地表水环境质量标准》（</w:t>
      </w:r>
      <w:r>
        <w:rPr>
          <w:sz w:val="24"/>
        </w:rPr>
        <w:t>GB3838-2002</w:t>
      </w:r>
      <w:r>
        <w:rPr>
          <w:sz w:val="24"/>
        </w:rPr>
        <w:t>）</w:t>
      </w:r>
      <w:r>
        <w:rPr>
          <w:sz w:val="24"/>
        </w:rPr>
        <w:t>III</w:t>
      </w:r>
      <w:r>
        <w:rPr>
          <w:sz w:val="24"/>
        </w:rPr>
        <w:t>类标准），通过加强采出水罐的检查检修，杜绝非正常工况的发生，同时制定非正常工况风险事故防范和应急措施，发生非正常工况风险事故后，通过及时处理，可有效控制污染影响。</w:t>
      </w:r>
    </w:p>
    <w:p w14:paraId="39916A8F" w14:textId="77777777" w:rsidR="007D1E74" w:rsidRDefault="00A95641">
      <w:pPr>
        <w:spacing w:line="360" w:lineRule="auto"/>
        <w:outlineLvl w:val="2"/>
        <w:rPr>
          <w:b/>
          <w:sz w:val="24"/>
        </w:rPr>
      </w:pPr>
      <w:r>
        <w:rPr>
          <w:b/>
          <w:sz w:val="24"/>
        </w:rPr>
        <w:t>11.3.4</w:t>
      </w:r>
      <w:r>
        <w:rPr>
          <w:b/>
          <w:sz w:val="24"/>
        </w:rPr>
        <w:t>声环境现状及影响评价</w:t>
      </w:r>
    </w:p>
    <w:p w14:paraId="1AB1C778" w14:textId="77777777" w:rsidR="007D1E74" w:rsidRDefault="00A95641">
      <w:pPr>
        <w:pStyle w:val="affffff1"/>
        <w:adjustRightInd/>
        <w:spacing w:line="360" w:lineRule="auto"/>
        <w:ind w:left="0" w:right="0" w:firstLine="0"/>
        <w:contextualSpacing/>
        <w:jc w:val="both"/>
        <w:rPr>
          <w:rFonts w:ascii="Times New Roman" w:eastAsia="宋体" w:hAnsi="Times New Roman" w:cs="Times New Roman"/>
        </w:rPr>
      </w:pPr>
      <w:r>
        <w:rPr>
          <w:rFonts w:ascii="Times New Roman" w:eastAsia="宋体" w:hAnsi="Times New Roman" w:cs="Times New Roman"/>
          <w:b/>
          <w:bCs/>
          <w:szCs w:val="24"/>
        </w:rPr>
        <w:t>11.3.4.1</w:t>
      </w:r>
      <w:r>
        <w:rPr>
          <w:rFonts w:ascii="Times New Roman" w:eastAsia="宋体" w:hAnsi="Times New Roman" w:cs="Times New Roman"/>
          <w:b/>
          <w:bCs/>
          <w:szCs w:val="24"/>
        </w:rPr>
        <w:t>声环境质量现状评价</w:t>
      </w:r>
    </w:p>
    <w:p w14:paraId="313E0011" w14:textId="77777777" w:rsidR="007D1E74" w:rsidRDefault="00A95641">
      <w:pPr>
        <w:spacing w:line="360" w:lineRule="auto"/>
        <w:ind w:firstLineChars="200" w:firstLine="480"/>
        <w:rPr>
          <w:sz w:val="24"/>
        </w:rPr>
      </w:pPr>
      <w:r>
        <w:rPr>
          <w:sz w:val="24"/>
        </w:rPr>
        <w:t>项目所在区域主要为农村环境，根据声环境质量现状监测，管道经过区域各监测点的昼、夜间噪声均满足《声环境质量标准》（</w:t>
      </w:r>
      <w:r>
        <w:rPr>
          <w:sz w:val="24"/>
        </w:rPr>
        <w:t>GB3096-2008</w:t>
      </w:r>
      <w:r>
        <w:rPr>
          <w:sz w:val="24"/>
        </w:rPr>
        <w:t>）中</w:t>
      </w:r>
      <w:r>
        <w:rPr>
          <w:sz w:val="24"/>
        </w:rPr>
        <w:t>2</w:t>
      </w:r>
      <w:r>
        <w:rPr>
          <w:sz w:val="24"/>
        </w:rPr>
        <w:t>类标准。</w:t>
      </w:r>
    </w:p>
    <w:p w14:paraId="32954BDE" w14:textId="77777777" w:rsidR="007D1E74" w:rsidRDefault="00A95641">
      <w:pPr>
        <w:pStyle w:val="affffff1"/>
        <w:adjustRightInd/>
        <w:spacing w:line="360" w:lineRule="auto"/>
        <w:ind w:left="0" w:right="0" w:firstLine="0"/>
        <w:contextualSpacing/>
        <w:jc w:val="both"/>
        <w:rPr>
          <w:rFonts w:ascii="Times New Roman" w:eastAsia="宋体" w:hAnsi="Times New Roman" w:cs="Times New Roman"/>
        </w:rPr>
      </w:pPr>
      <w:r>
        <w:rPr>
          <w:rFonts w:ascii="Times New Roman" w:eastAsia="宋体" w:hAnsi="Times New Roman" w:cs="Times New Roman"/>
          <w:b/>
          <w:bCs/>
          <w:szCs w:val="24"/>
        </w:rPr>
        <w:t>11.3.4.2</w:t>
      </w:r>
      <w:r>
        <w:rPr>
          <w:rFonts w:ascii="Times New Roman" w:eastAsia="宋体" w:hAnsi="Times New Roman" w:cs="Times New Roman"/>
          <w:b/>
          <w:bCs/>
          <w:szCs w:val="24"/>
        </w:rPr>
        <w:t>声环境影响分析</w:t>
      </w:r>
    </w:p>
    <w:p w14:paraId="248C4643" w14:textId="77777777" w:rsidR="007D1E74" w:rsidRDefault="00A95641">
      <w:pPr>
        <w:spacing w:line="360" w:lineRule="auto"/>
        <w:ind w:firstLineChars="200" w:firstLine="480"/>
        <w:rPr>
          <w:sz w:val="24"/>
        </w:rPr>
      </w:pPr>
      <w:r>
        <w:rPr>
          <w:sz w:val="24"/>
        </w:rPr>
        <w:t>项目施工期噪声主要由挖掘机、吊管机、电焊机等产生，在同一区域施工时间较短，主要机械在</w:t>
      </w:r>
      <w:r>
        <w:rPr>
          <w:sz w:val="24"/>
        </w:rPr>
        <w:t>40m</w:t>
      </w:r>
      <w:r>
        <w:rPr>
          <w:sz w:val="24"/>
        </w:rPr>
        <w:t>以外噪声值不超过建筑物施工场界昼间噪声限值</w:t>
      </w:r>
      <w:r>
        <w:rPr>
          <w:sz w:val="24"/>
        </w:rPr>
        <w:t>75dB(A)</w:t>
      </w:r>
      <w:r>
        <w:rPr>
          <w:sz w:val="24"/>
        </w:rPr>
        <w:t>要求。且随</w:t>
      </w:r>
      <w:r>
        <w:rPr>
          <w:sz w:val="24"/>
        </w:rPr>
        <w:lastRenderedPageBreak/>
        <w:t>着施工期的结束，影响也随之结束。只要严格按照本次评价提出的措施后，项目施工期噪声不会对线路外环境造成明显影响。</w:t>
      </w:r>
    </w:p>
    <w:p w14:paraId="34703E2D" w14:textId="77777777" w:rsidR="007D1E74" w:rsidRDefault="00A95641">
      <w:pPr>
        <w:spacing w:line="360" w:lineRule="auto"/>
        <w:ind w:firstLineChars="200" w:firstLine="480"/>
        <w:rPr>
          <w:sz w:val="24"/>
        </w:rPr>
      </w:pPr>
      <w:r>
        <w:rPr>
          <w:sz w:val="24"/>
        </w:rPr>
        <w:t>本工程集输管线为埋地敷设，正常运营过程中对声环境影响较小；管线产生气流摩擦噪声，通过优化选线，选用低噪声设备等措施后，能达标，对声环境影响较小。</w:t>
      </w:r>
    </w:p>
    <w:p w14:paraId="510E02E9" w14:textId="77777777" w:rsidR="007D1E74" w:rsidRDefault="00A95641">
      <w:pPr>
        <w:spacing w:line="360" w:lineRule="auto"/>
        <w:outlineLvl w:val="2"/>
        <w:rPr>
          <w:b/>
          <w:sz w:val="24"/>
        </w:rPr>
      </w:pPr>
      <w:r>
        <w:rPr>
          <w:b/>
          <w:sz w:val="24"/>
        </w:rPr>
        <w:t>11.3.5</w:t>
      </w:r>
      <w:r>
        <w:rPr>
          <w:b/>
          <w:sz w:val="24"/>
        </w:rPr>
        <w:t>固体废物影响</w:t>
      </w:r>
    </w:p>
    <w:p w14:paraId="21929830" w14:textId="77777777" w:rsidR="007D1E74" w:rsidRDefault="00A95641">
      <w:pPr>
        <w:spacing w:line="360" w:lineRule="auto"/>
        <w:ind w:firstLineChars="200" w:firstLine="480"/>
        <w:rPr>
          <w:sz w:val="24"/>
        </w:rPr>
      </w:pPr>
      <w:r>
        <w:rPr>
          <w:sz w:val="24"/>
        </w:rPr>
        <w:t>施工期的固体废物来源：施工人员产生的生活垃圾、工程施工产生的废弃土石方、施工废料等。营运期采用密闭输气工艺，正常情况不会产生固体废物。本项目施工期和营运期的固废均得到了有效的处理、处置，对环境影响较小。</w:t>
      </w:r>
    </w:p>
    <w:p w14:paraId="0FE5205D" w14:textId="77777777" w:rsidR="007D1E74" w:rsidRDefault="00A95641">
      <w:pPr>
        <w:spacing w:line="360" w:lineRule="auto"/>
        <w:outlineLvl w:val="2"/>
        <w:rPr>
          <w:b/>
          <w:sz w:val="24"/>
        </w:rPr>
      </w:pPr>
      <w:r>
        <w:rPr>
          <w:b/>
          <w:sz w:val="24"/>
        </w:rPr>
        <w:t>11.3.6</w:t>
      </w:r>
      <w:r>
        <w:rPr>
          <w:b/>
          <w:sz w:val="24"/>
        </w:rPr>
        <w:t>社会环境影响</w:t>
      </w:r>
    </w:p>
    <w:p w14:paraId="641748BB" w14:textId="77777777" w:rsidR="007D1E74" w:rsidRDefault="00A95641">
      <w:pPr>
        <w:spacing w:line="360" w:lineRule="auto"/>
        <w:ind w:firstLineChars="200" w:firstLine="480"/>
        <w:rPr>
          <w:sz w:val="24"/>
        </w:rPr>
      </w:pPr>
      <w:r>
        <w:rPr>
          <w:sz w:val="24"/>
        </w:rPr>
        <w:t>本工程建设过程中将投入大量建设资金，为当地居民提供了就业渠道和增加收入的来源。施工人员排放的生活垃圾、生活污水、粪便，如不妥善处置，容易引起鼠、蚊、蝇的孳生，造成工区环境卫生质量下降和疾病传播，危害施工人员身体健康，进而影响工程进度。另外施工中产生的三废对现场作业人员身体健康也有一定的影响，需采取防治的对策措施。</w:t>
      </w:r>
    </w:p>
    <w:p w14:paraId="6C4E0992" w14:textId="77777777" w:rsidR="007D1E74" w:rsidRDefault="00A95641">
      <w:pPr>
        <w:spacing w:line="360" w:lineRule="auto"/>
        <w:ind w:firstLineChars="200" w:firstLine="480"/>
        <w:rPr>
          <w:sz w:val="24"/>
        </w:rPr>
      </w:pPr>
      <w:r>
        <w:rPr>
          <w:sz w:val="24"/>
        </w:rPr>
        <w:t>同时项目建设征地会对居民的农业生产及经济生活带来一定不利影响。如施工期临时占用导致耕地、林地面积减少，影响其原有生活水平。工程已考虑补偿、生产设施调配等方案，在具体操作过程中要尽量使受影响村民生活水平不低于原有水平。</w:t>
      </w:r>
    </w:p>
    <w:p w14:paraId="08D20580" w14:textId="77777777" w:rsidR="007D1E74" w:rsidRDefault="00A95641">
      <w:pPr>
        <w:spacing w:line="360" w:lineRule="auto"/>
        <w:ind w:firstLineChars="200" w:firstLine="480"/>
        <w:rPr>
          <w:sz w:val="24"/>
        </w:rPr>
      </w:pPr>
      <w:r>
        <w:rPr>
          <w:sz w:val="24"/>
        </w:rPr>
        <w:t>项目建成后，有利于加快沿线的经济建设步伐，全面促进当地经济的发展，项目建设对社会环境影响较小。</w:t>
      </w:r>
    </w:p>
    <w:p w14:paraId="7C29C2DB" w14:textId="77777777" w:rsidR="007D1E74" w:rsidRDefault="00A95641">
      <w:pPr>
        <w:spacing w:line="360" w:lineRule="auto"/>
        <w:outlineLvl w:val="2"/>
        <w:rPr>
          <w:b/>
          <w:sz w:val="24"/>
        </w:rPr>
      </w:pPr>
      <w:r>
        <w:rPr>
          <w:b/>
          <w:sz w:val="24"/>
        </w:rPr>
        <w:t>11.3.7</w:t>
      </w:r>
      <w:r>
        <w:rPr>
          <w:b/>
          <w:sz w:val="24"/>
        </w:rPr>
        <w:t>生态环境影响</w:t>
      </w:r>
    </w:p>
    <w:p w14:paraId="69255713" w14:textId="77777777" w:rsidR="007D1E74" w:rsidRDefault="00A95641">
      <w:pPr>
        <w:spacing w:line="360" w:lineRule="auto"/>
        <w:ind w:firstLineChars="200" w:firstLine="480"/>
        <w:rPr>
          <w:sz w:val="24"/>
        </w:rPr>
      </w:pPr>
      <w:r>
        <w:rPr>
          <w:sz w:val="24"/>
        </w:rPr>
        <w:t>施工期施工单位和运营期业主方必须加强管理，与主管部门充分沟通合作，严格按照相关法律法规程序办事，在项目施工和运营阶段落实本报告中提出的各项保护和监测措施，从而将工程建设对生态环境的影响降至最低，使项目建设和运营给四周带来的不利影响得到有效控制、削弱或消除。</w:t>
      </w:r>
    </w:p>
    <w:p w14:paraId="588A5622" w14:textId="77777777" w:rsidR="007D1E74" w:rsidRDefault="00A95641">
      <w:pPr>
        <w:spacing w:line="360" w:lineRule="auto"/>
        <w:outlineLvl w:val="1"/>
        <w:rPr>
          <w:sz w:val="24"/>
        </w:rPr>
      </w:pPr>
      <w:bookmarkStart w:id="83" w:name="_Toc14440"/>
      <w:r>
        <w:rPr>
          <w:b/>
          <w:sz w:val="28"/>
          <w:szCs w:val="28"/>
        </w:rPr>
        <w:t>11.4</w:t>
      </w:r>
      <w:r>
        <w:rPr>
          <w:b/>
          <w:sz w:val="28"/>
          <w:szCs w:val="28"/>
        </w:rPr>
        <w:t>风险评价结论</w:t>
      </w:r>
      <w:bookmarkEnd w:id="83"/>
    </w:p>
    <w:p w14:paraId="4E173536" w14:textId="77777777" w:rsidR="007D1E74" w:rsidRDefault="00A95641">
      <w:pPr>
        <w:spacing w:line="360" w:lineRule="auto"/>
        <w:ind w:firstLineChars="200" w:firstLine="480"/>
        <w:rPr>
          <w:sz w:val="24"/>
        </w:rPr>
      </w:pPr>
      <w:r>
        <w:rPr>
          <w:sz w:val="24"/>
        </w:rPr>
        <w:t>本项目事故风险水平低于同类项目事故的总体水平，在进一步采取安全防范措施和事故应急预案，落实各项环保措施和采取本报告书提出建议，确保各项目安全设施实际与执行完整的前提下，基本满足国家相关环境保护和安全法规、标准的要求，在发生不大于本报告设定的最大可信事故的情况下，建设项目环境风险是可防控的，企业仍应加</w:t>
      </w:r>
      <w:r>
        <w:rPr>
          <w:sz w:val="24"/>
        </w:rPr>
        <w:lastRenderedPageBreak/>
        <w:t>强风险管理水平和强化风险防范措施。</w:t>
      </w:r>
    </w:p>
    <w:p w14:paraId="6B6130CE" w14:textId="77777777" w:rsidR="007D1E74" w:rsidRDefault="00A95641">
      <w:pPr>
        <w:spacing w:line="360" w:lineRule="auto"/>
        <w:outlineLvl w:val="1"/>
        <w:rPr>
          <w:sz w:val="24"/>
        </w:rPr>
      </w:pPr>
      <w:bookmarkStart w:id="84" w:name="_Toc23584"/>
      <w:r>
        <w:rPr>
          <w:b/>
          <w:sz w:val="28"/>
          <w:szCs w:val="28"/>
        </w:rPr>
        <w:t>11.5</w:t>
      </w:r>
      <w:r>
        <w:rPr>
          <w:b/>
          <w:sz w:val="28"/>
          <w:szCs w:val="28"/>
        </w:rPr>
        <w:t>污染物总量控制</w:t>
      </w:r>
      <w:bookmarkEnd w:id="84"/>
    </w:p>
    <w:p w14:paraId="0A9A4706" w14:textId="77777777" w:rsidR="007D1E74" w:rsidRDefault="00A95641">
      <w:pPr>
        <w:spacing w:line="360" w:lineRule="auto"/>
        <w:ind w:firstLineChars="200" w:firstLine="480"/>
        <w:rPr>
          <w:sz w:val="24"/>
        </w:rPr>
      </w:pPr>
      <w:r>
        <w:rPr>
          <w:sz w:val="24"/>
        </w:rPr>
        <w:t>本工程为天然气输送项目，在项目正常运行过程中不产生废水及废气，因此，本工程不设置总量控制指标。</w:t>
      </w:r>
    </w:p>
    <w:p w14:paraId="5BA37224" w14:textId="77777777" w:rsidR="007D1E74" w:rsidRDefault="00A95641">
      <w:pPr>
        <w:spacing w:line="360" w:lineRule="auto"/>
        <w:outlineLvl w:val="1"/>
        <w:rPr>
          <w:sz w:val="24"/>
        </w:rPr>
      </w:pPr>
      <w:bookmarkStart w:id="85" w:name="_Toc3040"/>
      <w:r>
        <w:rPr>
          <w:b/>
          <w:sz w:val="28"/>
          <w:szCs w:val="28"/>
        </w:rPr>
        <w:t>11.6</w:t>
      </w:r>
      <w:r>
        <w:rPr>
          <w:b/>
          <w:sz w:val="28"/>
          <w:szCs w:val="28"/>
        </w:rPr>
        <w:t>公众参与</w:t>
      </w:r>
      <w:bookmarkEnd w:id="85"/>
    </w:p>
    <w:p w14:paraId="285EBB6D" w14:textId="77777777" w:rsidR="007D1E74" w:rsidRDefault="00A95641">
      <w:pPr>
        <w:spacing w:line="360" w:lineRule="auto"/>
        <w:ind w:firstLineChars="200" w:firstLine="480"/>
        <w:rPr>
          <w:sz w:val="24"/>
        </w:rPr>
      </w:pPr>
      <w:r>
        <w:rPr>
          <w:sz w:val="24"/>
        </w:rPr>
        <w:t>根据建设单位提供的公众参与调查报告可知，本次环评公众参与采取网上公示（两次公示）、报纸公示相结合的方式进行，公示期间未收到任何单位和个人的反馈意见和建议。根据该项目</w:t>
      </w:r>
      <w:r>
        <w:rPr>
          <w:rFonts w:hint="eastAsia"/>
          <w:sz w:val="24"/>
        </w:rPr>
        <w:t>环境影响评价公众参与说明</w:t>
      </w:r>
      <w:r>
        <w:rPr>
          <w:sz w:val="24"/>
        </w:rPr>
        <w:t>结论，调查期间示无人反对本项目建设。</w:t>
      </w:r>
    </w:p>
    <w:p w14:paraId="55491119" w14:textId="77777777" w:rsidR="007D1E74" w:rsidRDefault="00A95641">
      <w:pPr>
        <w:spacing w:line="360" w:lineRule="auto"/>
        <w:outlineLvl w:val="1"/>
        <w:rPr>
          <w:sz w:val="24"/>
        </w:rPr>
      </w:pPr>
      <w:bookmarkStart w:id="86" w:name="_Toc20760"/>
      <w:r>
        <w:rPr>
          <w:b/>
          <w:sz w:val="28"/>
          <w:szCs w:val="28"/>
        </w:rPr>
        <w:t>11.7</w:t>
      </w:r>
      <w:r>
        <w:rPr>
          <w:b/>
          <w:sz w:val="28"/>
          <w:szCs w:val="28"/>
        </w:rPr>
        <w:t>评价结论</w:t>
      </w:r>
      <w:bookmarkEnd w:id="86"/>
    </w:p>
    <w:p w14:paraId="6F21D760" w14:textId="77777777" w:rsidR="007D1E74" w:rsidRDefault="00A95641">
      <w:pPr>
        <w:spacing w:line="360" w:lineRule="auto"/>
        <w:ind w:firstLineChars="200" w:firstLine="480"/>
        <w:rPr>
          <w:sz w:val="24"/>
        </w:rPr>
      </w:pPr>
      <w:r>
        <w:rPr>
          <w:sz w:val="24"/>
        </w:rPr>
        <w:t>本项目符合国家现行产业政策、国家及地方发展规划、乡镇总体规划。项目仅为内部集输管线项目，占地多为临时占用，线路临时占用四川诺水河珍稀水生动物自然保护区、永久基本农田、其他耕地、穿越</w:t>
      </w:r>
      <w:r>
        <w:rPr>
          <w:rFonts w:hint="eastAsia"/>
          <w:sz w:val="24"/>
        </w:rPr>
        <w:t>沟渠</w:t>
      </w:r>
      <w:r>
        <w:rPr>
          <w:sz w:val="24"/>
        </w:rPr>
        <w:t>及道路等，均在施工结束后采取生态恢复措施，尽量恢复相应的原有功能。项目生态影响多属临时、可恢复的，并提出了相应的生态恢复和补偿措施，采取措施后对生态环境的影响较小。</w:t>
      </w:r>
    </w:p>
    <w:p w14:paraId="00508247" w14:textId="77777777" w:rsidR="007D1E74" w:rsidRDefault="00A95641">
      <w:pPr>
        <w:spacing w:line="360" w:lineRule="auto"/>
        <w:ind w:firstLineChars="200" w:firstLine="480"/>
        <w:rPr>
          <w:sz w:val="24"/>
        </w:rPr>
      </w:pPr>
      <w:r>
        <w:rPr>
          <w:sz w:val="24"/>
        </w:rPr>
        <w:t>项目施工期产生的废水、废气、固废、噪声等污染通过采取相应的环保措施，对环境的影响较小；运行期正常情况下不产生废水、废气及固废等，非正常情况下产生的废气和气流噪声经处理后，对环境影响较小；环境风险在可控和可接受程度内。因此，在落实各项污染防治、生态保护措施及风险防范措施和应急预案后，从环境保护角度，本项目的建设是可行的。</w:t>
      </w:r>
    </w:p>
    <w:p w14:paraId="2BA28FC6" w14:textId="77777777" w:rsidR="007D1E74" w:rsidRDefault="00A95641">
      <w:pPr>
        <w:rPr>
          <w:sz w:val="24"/>
        </w:rPr>
      </w:pPr>
      <w:r>
        <w:rPr>
          <w:sz w:val="24"/>
        </w:rPr>
        <w:br w:type="page"/>
      </w:r>
    </w:p>
    <w:p w14:paraId="16725854" w14:textId="77777777" w:rsidR="007D1E74" w:rsidRDefault="00A95641">
      <w:pPr>
        <w:rPr>
          <w:rFonts w:eastAsia="黑体" w:cs="Times New Roman"/>
          <w:sz w:val="26"/>
          <w:szCs w:val="26"/>
        </w:rPr>
      </w:pPr>
      <w:r>
        <w:rPr>
          <w:rFonts w:eastAsia="黑体" w:cs="Times New Roman"/>
          <w:sz w:val="26"/>
          <w:szCs w:val="26"/>
        </w:rPr>
        <w:lastRenderedPageBreak/>
        <w:t>附</w:t>
      </w:r>
      <w:r>
        <w:rPr>
          <w:rFonts w:eastAsia="黑体" w:cs="Times New Roman" w:hint="eastAsia"/>
          <w:sz w:val="26"/>
          <w:szCs w:val="26"/>
        </w:rPr>
        <w:t>表</w:t>
      </w:r>
      <w:r>
        <w:rPr>
          <w:rFonts w:eastAsia="黑体" w:cs="Times New Roman" w:hint="eastAsia"/>
          <w:sz w:val="26"/>
          <w:szCs w:val="26"/>
        </w:rPr>
        <w:t>A</w:t>
      </w:r>
      <w:r>
        <w:rPr>
          <w:rFonts w:eastAsia="黑体" w:cs="Times New Roman"/>
          <w:sz w:val="26"/>
          <w:szCs w:val="26"/>
        </w:rPr>
        <w:t xml:space="preserve"> </w:t>
      </w:r>
      <w:r>
        <w:rPr>
          <w:rFonts w:eastAsia="黑体" w:cs="Times New Roman" w:hint="eastAsia"/>
          <w:sz w:val="26"/>
          <w:szCs w:val="26"/>
        </w:rPr>
        <w:t>调查</w:t>
      </w:r>
      <w:r>
        <w:rPr>
          <w:rFonts w:eastAsia="黑体" w:cs="Times New Roman"/>
          <w:sz w:val="26"/>
          <w:szCs w:val="26"/>
        </w:rPr>
        <w:t>样方表</w:t>
      </w:r>
    </w:p>
    <w:p w14:paraId="3BB355A0" w14:textId="77777777" w:rsidR="007D1E74" w:rsidRDefault="00A95641">
      <w:pPr>
        <w:rPr>
          <w:rFonts w:eastAsia="黑体" w:cs="Times New Roman"/>
          <w:sz w:val="26"/>
          <w:szCs w:val="26"/>
        </w:rPr>
      </w:pPr>
      <w:r>
        <w:rPr>
          <w:rFonts w:eastAsia="黑体" w:cs="Times New Roman"/>
          <w:sz w:val="26"/>
          <w:szCs w:val="26"/>
        </w:rPr>
        <w:t>附</w:t>
      </w:r>
      <w:r>
        <w:rPr>
          <w:rFonts w:eastAsia="黑体" w:cs="Times New Roman" w:hint="eastAsia"/>
          <w:sz w:val="26"/>
          <w:szCs w:val="26"/>
        </w:rPr>
        <w:t>表</w:t>
      </w:r>
      <w:r>
        <w:rPr>
          <w:rFonts w:eastAsia="黑体" w:cs="Times New Roman" w:hint="eastAsia"/>
          <w:sz w:val="26"/>
          <w:szCs w:val="26"/>
        </w:rPr>
        <w:t>A</w:t>
      </w:r>
      <w:r>
        <w:rPr>
          <w:rFonts w:eastAsia="黑体" w:cs="Times New Roman"/>
          <w:sz w:val="26"/>
          <w:szCs w:val="26"/>
        </w:rPr>
        <w:t xml:space="preserve">.1 </w:t>
      </w:r>
      <w:r>
        <w:rPr>
          <w:rFonts w:eastAsia="黑体" w:cs="Times New Roman" w:hint="eastAsia"/>
          <w:sz w:val="26"/>
          <w:szCs w:val="26"/>
        </w:rPr>
        <w:t>调查</w:t>
      </w:r>
      <w:r>
        <w:rPr>
          <w:rFonts w:eastAsia="黑体" w:cs="Times New Roman"/>
          <w:sz w:val="26"/>
          <w:szCs w:val="26"/>
        </w:rPr>
        <w:t>样线样方总表</w:t>
      </w: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85"/>
        <w:gridCol w:w="2092"/>
        <w:gridCol w:w="1177"/>
        <w:gridCol w:w="1502"/>
        <w:gridCol w:w="1370"/>
        <w:gridCol w:w="2090"/>
      </w:tblGrid>
      <w:tr w:rsidR="007D1E74" w14:paraId="100CF319" w14:textId="77777777">
        <w:trPr>
          <w:trHeight w:hRule="exact" w:val="336"/>
        </w:trPr>
        <w:tc>
          <w:tcPr>
            <w:tcW w:w="435" w:type="pct"/>
          </w:tcPr>
          <w:p w14:paraId="69E89D0F" w14:textId="77777777" w:rsidR="007D1E74" w:rsidRDefault="00A95641">
            <w:pPr>
              <w:pStyle w:val="TableParagraph"/>
              <w:spacing w:line="273" w:lineRule="exact"/>
              <w:ind w:left="116" w:right="114"/>
              <w:rPr>
                <w:rFonts w:ascii="宋体"/>
                <w:sz w:val="21"/>
                <w:szCs w:val="21"/>
              </w:rPr>
            </w:pPr>
            <w:r>
              <w:rPr>
                <w:rFonts w:ascii="宋体" w:hint="eastAsia"/>
                <w:sz w:val="21"/>
                <w:szCs w:val="21"/>
              </w:rPr>
              <w:t>序号</w:t>
            </w:r>
          </w:p>
        </w:tc>
        <w:tc>
          <w:tcPr>
            <w:tcW w:w="1160" w:type="pct"/>
          </w:tcPr>
          <w:p w14:paraId="1BDE42A9" w14:textId="77777777" w:rsidR="007D1E74" w:rsidRDefault="00A95641">
            <w:pPr>
              <w:pStyle w:val="TableParagraph"/>
              <w:spacing w:line="273" w:lineRule="exact"/>
              <w:ind w:left="516"/>
              <w:rPr>
                <w:rFonts w:ascii="宋体"/>
                <w:sz w:val="21"/>
                <w:szCs w:val="21"/>
              </w:rPr>
            </w:pPr>
            <w:r>
              <w:rPr>
                <w:rFonts w:ascii="宋体" w:hint="eastAsia"/>
                <w:sz w:val="21"/>
                <w:szCs w:val="21"/>
              </w:rPr>
              <w:t>植被类型</w:t>
            </w:r>
          </w:p>
        </w:tc>
        <w:tc>
          <w:tcPr>
            <w:tcW w:w="653" w:type="pct"/>
          </w:tcPr>
          <w:p w14:paraId="38B00AB0" w14:textId="77777777" w:rsidR="007D1E74" w:rsidRDefault="00A95641">
            <w:pPr>
              <w:pStyle w:val="TableParagraph"/>
              <w:spacing w:line="290" w:lineRule="exact"/>
              <w:ind w:left="116" w:right="116"/>
              <w:rPr>
                <w:sz w:val="21"/>
                <w:szCs w:val="21"/>
              </w:rPr>
            </w:pPr>
            <w:r>
              <w:rPr>
                <w:rFonts w:ascii="宋体" w:hint="eastAsia"/>
                <w:sz w:val="21"/>
                <w:szCs w:val="21"/>
              </w:rPr>
              <w:t>海拔</w:t>
            </w:r>
            <w:r>
              <w:rPr>
                <w:sz w:val="21"/>
                <w:szCs w:val="21"/>
              </w:rPr>
              <w:t>(m)</w:t>
            </w:r>
          </w:p>
        </w:tc>
        <w:tc>
          <w:tcPr>
            <w:tcW w:w="833" w:type="pct"/>
          </w:tcPr>
          <w:p w14:paraId="5496CBBE" w14:textId="77777777" w:rsidR="007D1E74" w:rsidRDefault="00A95641">
            <w:pPr>
              <w:pStyle w:val="TableParagraph"/>
              <w:spacing w:line="290" w:lineRule="exact"/>
              <w:ind w:left="143" w:right="140"/>
              <w:rPr>
                <w:sz w:val="21"/>
                <w:szCs w:val="21"/>
              </w:rPr>
            </w:pPr>
            <w:r>
              <w:rPr>
                <w:rFonts w:ascii="宋体" w:hAnsi="宋体" w:hint="eastAsia"/>
                <w:sz w:val="21"/>
                <w:szCs w:val="21"/>
              </w:rPr>
              <w:t>东经</w:t>
            </w:r>
            <w:r>
              <w:rPr>
                <w:sz w:val="21"/>
                <w:szCs w:val="21"/>
              </w:rPr>
              <w:t>(º)</w:t>
            </w:r>
          </w:p>
        </w:tc>
        <w:tc>
          <w:tcPr>
            <w:tcW w:w="760" w:type="pct"/>
          </w:tcPr>
          <w:p w14:paraId="38130EA4" w14:textId="77777777" w:rsidR="007D1E74" w:rsidRDefault="00A95641">
            <w:pPr>
              <w:pStyle w:val="TableParagraph"/>
              <w:spacing w:line="290" w:lineRule="exact"/>
              <w:ind w:left="106" w:right="106"/>
              <w:rPr>
                <w:sz w:val="21"/>
                <w:szCs w:val="21"/>
              </w:rPr>
            </w:pPr>
            <w:r>
              <w:rPr>
                <w:rFonts w:ascii="宋体" w:hAnsi="宋体" w:hint="eastAsia"/>
                <w:sz w:val="21"/>
                <w:szCs w:val="21"/>
              </w:rPr>
              <w:t>北纬</w:t>
            </w:r>
            <w:r>
              <w:rPr>
                <w:sz w:val="21"/>
                <w:szCs w:val="21"/>
              </w:rPr>
              <w:t>(º)</w:t>
            </w:r>
          </w:p>
        </w:tc>
        <w:tc>
          <w:tcPr>
            <w:tcW w:w="1159" w:type="pct"/>
          </w:tcPr>
          <w:p w14:paraId="4E258284" w14:textId="77777777" w:rsidR="007D1E74" w:rsidRDefault="00A95641">
            <w:pPr>
              <w:pStyle w:val="TableParagraph"/>
              <w:spacing w:line="273" w:lineRule="exact"/>
              <w:ind w:left="517"/>
              <w:rPr>
                <w:rFonts w:ascii="宋体"/>
                <w:sz w:val="21"/>
                <w:szCs w:val="21"/>
              </w:rPr>
            </w:pPr>
            <w:r>
              <w:rPr>
                <w:rFonts w:ascii="宋体" w:hint="eastAsia"/>
                <w:sz w:val="21"/>
                <w:szCs w:val="21"/>
              </w:rPr>
              <w:t>行政区域</w:t>
            </w:r>
          </w:p>
        </w:tc>
      </w:tr>
      <w:tr w:rsidR="007D1E74" w14:paraId="3B5CED25" w14:textId="77777777">
        <w:trPr>
          <w:trHeight w:hRule="exact" w:val="336"/>
        </w:trPr>
        <w:tc>
          <w:tcPr>
            <w:tcW w:w="435" w:type="pct"/>
          </w:tcPr>
          <w:p w14:paraId="5BD6C432" w14:textId="77777777" w:rsidR="007D1E74" w:rsidRDefault="00A95641">
            <w:pPr>
              <w:pStyle w:val="TableParagraph"/>
              <w:spacing w:before="37"/>
              <w:ind w:left="114" w:right="114"/>
              <w:rPr>
                <w:sz w:val="21"/>
                <w:szCs w:val="21"/>
              </w:rPr>
            </w:pPr>
            <w:r>
              <w:rPr>
                <w:sz w:val="21"/>
                <w:szCs w:val="21"/>
              </w:rPr>
              <w:t>1-1</w:t>
            </w:r>
          </w:p>
        </w:tc>
        <w:tc>
          <w:tcPr>
            <w:tcW w:w="1160" w:type="pct"/>
          </w:tcPr>
          <w:p w14:paraId="5931A241" w14:textId="77777777" w:rsidR="007D1E74" w:rsidRDefault="00A95641">
            <w:pPr>
              <w:pStyle w:val="TableParagraph"/>
              <w:spacing w:line="273" w:lineRule="exact"/>
              <w:ind w:left="103"/>
              <w:rPr>
                <w:rFonts w:ascii="宋体"/>
                <w:sz w:val="21"/>
                <w:szCs w:val="21"/>
              </w:rPr>
            </w:pPr>
            <w:r>
              <w:rPr>
                <w:rFonts w:ascii="宋体" w:hint="eastAsia"/>
                <w:sz w:val="21"/>
                <w:szCs w:val="21"/>
              </w:rPr>
              <w:t>耕地</w:t>
            </w:r>
          </w:p>
        </w:tc>
        <w:tc>
          <w:tcPr>
            <w:tcW w:w="653" w:type="pct"/>
          </w:tcPr>
          <w:p w14:paraId="602A8DA0" w14:textId="77777777" w:rsidR="007D1E74" w:rsidRDefault="00A95641">
            <w:pPr>
              <w:pStyle w:val="TableParagraph"/>
              <w:spacing w:before="37"/>
              <w:ind w:left="116" w:right="115"/>
              <w:rPr>
                <w:sz w:val="21"/>
                <w:szCs w:val="21"/>
              </w:rPr>
            </w:pPr>
            <w:r>
              <w:rPr>
                <w:sz w:val="21"/>
                <w:szCs w:val="21"/>
              </w:rPr>
              <w:t>424</w:t>
            </w:r>
          </w:p>
        </w:tc>
        <w:tc>
          <w:tcPr>
            <w:tcW w:w="833" w:type="pct"/>
          </w:tcPr>
          <w:p w14:paraId="5B88102F" w14:textId="77777777" w:rsidR="007D1E74" w:rsidRDefault="00A95641">
            <w:pPr>
              <w:pStyle w:val="TableParagraph"/>
              <w:spacing w:before="37"/>
              <w:ind w:left="143" w:right="143"/>
              <w:rPr>
                <w:sz w:val="21"/>
                <w:szCs w:val="21"/>
              </w:rPr>
            </w:pPr>
            <w:r>
              <w:rPr>
                <w:sz w:val="21"/>
                <w:szCs w:val="21"/>
              </w:rPr>
              <w:t>107.138787</w:t>
            </w:r>
          </w:p>
        </w:tc>
        <w:tc>
          <w:tcPr>
            <w:tcW w:w="760" w:type="pct"/>
          </w:tcPr>
          <w:p w14:paraId="0DE1CBD8" w14:textId="77777777" w:rsidR="007D1E74" w:rsidRDefault="00A95641">
            <w:pPr>
              <w:pStyle w:val="TableParagraph"/>
              <w:spacing w:before="37"/>
              <w:ind w:left="106" w:right="105"/>
              <w:rPr>
                <w:sz w:val="21"/>
                <w:szCs w:val="21"/>
              </w:rPr>
            </w:pPr>
            <w:r>
              <w:rPr>
                <w:sz w:val="21"/>
                <w:szCs w:val="21"/>
              </w:rPr>
              <w:t>31.997472</w:t>
            </w:r>
          </w:p>
        </w:tc>
        <w:tc>
          <w:tcPr>
            <w:tcW w:w="1159" w:type="pct"/>
          </w:tcPr>
          <w:p w14:paraId="2A55DF1C" w14:textId="77777777" w:rsidR="007D1E74" w:rsidRDefault="00A95641">
            <w:pPr>
              <w:pStyle w:val="TableParagraph"/>
              <w:spacing w:line="273" w:lineRule="exact"/>
              <w:ind w:left="102"/>
              <w:rPr>
                <w:rFonts w:ascii="宋体"/>
                <w:sz w:val="21"/>
                <w:szCs w:val="21"/>
              </w:rPr>
            </w:pPr>
            <w:r>
              <w:rPr>
                <w:rFonts w:ascii="宋体" w:hint="eastAsia"/>
                <w:sz w:val="21"/>
                <w:szCs w:val="21"/>
              </w:rPr>
              <w:t>涪阳镇活水沟村</w:t>
            </w:r>
          </w:p>
        </w:tc>
      </w:tr>
      <w:tr w:rsidR="007D1E74" w14:paraId="6BAABBA6" w14:textId="77777777">
        <w:trPr>
          <w:trHeight w:hRule="exact" w:val="336"/>
        </w:trPr>
        <w:tc>
          <w:tcPr>
            <w:tcW w:w="435" w:type="pct"/>
          </w:tcPr>
          <w:p w14:paraId="77027237" w14:textId="77777777" w:rsidR="007D1E74" w:rsidRDefault="00A95641">
            <w:pPr>
              <w:pStyle w:val="TableParagraph"/>
              <w:spacing w:before="37"/>
              <w:ind w:left="114" w:right="114"/>
              <w:rPr>
                <w:sz w:val="21"/>
                <w:szCs w:val="21"/>
              </w:rPr>
            </w:pPr>
            <w:r>
              <w:rPr>
                <w:sz w:val="21"/>
                <w:szCs w:val="21"/>
              </w:rPr>
              <w:t>1-2</w:t>
            </w:r>
          </w:p>
        </w:tc>
        <w:tc>
          <w:tcPr>
            <w:tcW w:w="1160" w:type="pct"/>
          </w:tcPr>
          <w:p w14:paraId="33E496A7" w14:textId="77777777" w:rsidR="007D1E74" w:rsidRDefault="00A95641">
            <w:pPr>
              <w:pStyle w:val="TableParagraph"/>
              <w:spacing w:line="273" w:lineRule="exact"/>
              <w:ind w:left="103"/>
              <w:rPr>
                <w:rFonts w:ascii="宋体"/>
                <w:sz w:val="21"/>
                <w:szCs w:val="21"/>
              </w:rPr>
            </w:pPr>
            <w:r>
              <w:rPr>
                <w:rFonts w:ascii="宋体" w:hint="eastAsia"/>
                <w:sz w:val="21"/>
                <w:szCs w:val="21"/>
              </w:rPr>
              <w:t>马桑黄荆灌丛</w:t>
            </w:r>
          </w:p>
        </w:tc>
        <w:tc>
          <w:tcPr>
            <w:tcW w:w="653" w:type="pct"/>
          </w:tcPr>
          <w:p w14:paraId="63744315" w14:textId="77777777" w:rsidR="007D1E74" w:rsidRDefault="00A95641">
            <w:pPr>
              <w:pStyle w:val="TableParagraph"/>
              <w:spacing w:before="37"/>
              <w:ind w:left="116" w:right="115"/>
              <w:rPr>
                <w:sz w:val="21"/>
                <w:szCs w:val="21"/>
              </w:rPr>
            </w:pPr>
            <w:r>
              <w:rPr>
                <w:sz w:val="21"/>
                <w:szCs w:val="21"/>
              </w:rPr>
              <w:t>480</w:t>
            </w:r>
          </w:p>
        </w:tc>
        <w:tc>
          <w:tcPr>
            <w:tcW w:w="833" w:type="pct"/>
          </w:tcPr>
          <w:p w14:paraId="7E3E623A" w14:textId="77777777" w:rsidR="007D1E74" w:rsidRDefault="00A95641">
            <w:pPr>
              <w:pStyle w:val="TableParagraph"/>
              <w:spacing w:before="37"/>
              <w:ind w:left="143" w:right="143"/>
              <w:rPr>
                <w:sz w:val="21"/>
                <w:szCs w:val="21"/>
              </w:rPr>
            </w:pPr>
            <w:r>
              <w:rPr>
                <w:sz w:val="21"/>
                <w:szCs w:val="21"/>
              </w:rPr>
              <w:t>107.135901</w:t>
            </w:r>
          </w:p>
        </w:tc>
        <w:tc>
          <w:tcPr>
            <w:tcW w:w="760" w:type="pct"/>
          </w:tcPr>
          <w:p w14:paraId="3A4B56F6" w14:textId="77777777" w:rsidR="007D1E74" w:rsidRDefault="00A95641">
            <w:pPr>
              <w:pStyle w:val="TableParagraph"/>
              <w:spacing w:before="37"/>
              <w:ind w:left="106" w:right="105"/>
              <w:rPr>
                <w:sz w:val="21"/>
                <w:szCs w:val="21"/>
              </w:rPr>
            </w:pPr>
            <w:r>
              <w:rPr>
                <w:sz w:val="21"/>
                <w:szCs w:val="21"/>
              </w:rPr>
              <w:t>32.001511</w:t>
            </w:r>
          </w:p>
        </w:tc>
        <w:tc>
          <w:tcPr>
            <w:tcW w:w="1159" w:type="pct"/>
          </w:tcPr>
          <w:p w14:paraId="7753FA00" w14:textId="77777777" w:rsidR="007D1E74" w:rsidRDefault="00A95641">
            <w:pPr>
              <w:pStyle w:val="TableParagraph"/>
              <w:spacing w:line="273" w:lineRule="exact"/>
              <w:ind w:left="102"/>
              <w:rPr>
                <w:rFonts w:ascii="宋体"/>
                <w:sz w:val="21"/>
                <w:szCs w:val="21"/>
              </w:rPr>
            </w:pPr>
            <w:r>
              <w:rPr>
                <w:rFonts w:ascii="宋体" w:hint="eastAsia"/>
                <w:sz w:val="21"/>
                <w:szCs w:val="21"/>
              </w:rPr>
              <w:t>涪阳镇活水沟村</w:t>
            </w:r>
          </w:p>
        </w:tc>
      </w:tr>
      <w:tr w:rsidR="007D1E74" w14:paraId="50F2E908" w14:textId="77777777">
        <w:trPr>
          <w:trHeight w:hRule="exact" w:val="336"/>
        </w:trPr>
        <w:tc>
          <w:tcPr>
            <w:tcW w:w="435" w:type="pct"/>
          </w:tcPr>
          <w:p w14:paraId="0FEDADA5" w14:textId="77777777" w:rsidR="007D1E74" w:rsidRDefault="00A95641">
            <w:pPr>
              <w:pStyle w:val="TableParagraph"/>
              <w:spacing w:before="37"/>
              <w:ind w:left="114" w:right="114"/>
              <w:rPr>
                <w:sz w:val="21"/>
                <w:szCs w:val="21"/>
              </w:rPr>
            </w:pPr>
            <w:r>
              <w:rPr>
                <w:sz w:val="21"/>
                <w:szCs w:val="21"/>
              </w:rPr>
              <w:t>1-3</w:t>
            </w:r>
          </w:p>
        </w:tc>
        <w:tc>
          <w:tcPr>
            <w:tcW w:w="1160" w:type="pct"/>
          </w:tcPr>
          <w:p w14:paraId="2C2B3A6E" w14:textId="77777777" w:rsidR="007D1E74" w:rsidRDefault="00A95641">
            <w:pPr>
              <w:pStyle w:val="TableParagraph"/>
              <w:spacing w:line="273" w:lineRule="exact"/>
              <w:ind w:left="103"/>
              <w:rPr>
                <w:rFonts w:ascii="宋体"/>
                <w:sz w:val="21"/>
                <w:szCs w:val="21"/>
              </w:rPr>
            </w:pPr>
            <w:r>
              <w:rPr>
                <w:rFonts w:ascii="宋体" w:hint="eastAsia"/>
                <w:sz w:val="21"/>
                <w:szCs w:val="21"/>
              </w:rPr>
              <w:t>柏木林</w:t>
            </w:r>
          </w:p>
        </w:tc>
        <w:tc>
          <w:tcPr>
            <w:tcW w:w="653" w:type="pct"/>
          </w:tcPr>
          <w:p w14:paraId="116D5D3D" w14:textId="77777777" w:rsidR="007D1E74" w:rsidRDefault="00A95641">
            <w:pPr>
              <w:pStyle w:val="TableParagraph"/>
              <w:spacing w:before="37"/>
              <w:ind w:left="116" w:right="115"/>
              <w:rPr>
                <w:sz w:val="21"/>
                <w:szCs w:val="21"/>
              </w:rPr>
            </w:pPr>
            <w:r>
              <w:rPr>
                <w:sz w:val="21"/>
                <w:szCs w:val="21"/>
              </w:rPr>
              <w:t>796</w:t>
            </w:r>
          </w:p>
        </w:tc>
        <w:tc>
          <w:tcPr>
            <w:tcW w:w="833" w:type="pct"/>
          </w:tcPr>
          <w:p w14:paraId="2B9EA762" w14:textId="77777777" w:rsidR="007D1E74" w:rsidRDefault="00A95641">
            <w:pPr>
              <w:pStyle w:val="TableParagraph"/>
              <w:spacing w:before="37"/>
              <w:ind w:left="143" w:right="143"/>
              <w:rPr>
                <w:sz w:val="21"/>
                <w:szCs w:val="21"/>
              </w:rPr>
            </w:pPr>
            <w:r>
              <w:rPr>
                <w:sz w:val="21"/>
                <w:szCs w:val="21"/>
              </w:rPr>
              <w:t>107.126577</w:t>
            </w:r>
          </w:p>
        </w:tc>
        <w:tc>
          <w:tcPr>
            <w:tcW w:w="760" w:type="pct"/>
          </w:tcPr>
          <w:p w14:paraId="00881340" w14:textId="77777777" w:rsidR="007D1E74" w:rsidRDefault="00A95641">
            <w:pPr>
              <w:pStyle w:val="TableParagraph"/>
              <w:spacing w:before="37"/>
              <w:ind w:left="106" w:right="105"/>
              <w:rPr>
                <w:sz w:val="21"/>
                <w:szCs w:val="21"/>
              </w:rPr>
            </w:pPr>
            <w:r>
              <w:rPr>
                <w:sz w:val="21"/>
                <w:szCs w:val="21"/>
              </w:rPr>
              <w:t>32.007208</w:t>
            </w:r>
          </w:p>
        </w:tc>
        <w:tc>
          <w:tcPr>
            <w:tcW w:w="1159" w:type="pct"/>
          </w:tcPr>
          <w:p w14:paraId="7F573E03" w14:textId="77777777" w:rsidR="007D1E74" w:rsidRDefault="00A95641">
            <w:pPr>
              <w:pStyle w:val="TableParagraph"/>
              <w:spacing w:line="273" w:lineRule="exact"/>
              <w:ind w:left="102"/>
              <w:rPr>
                <w:rFonts w:ascii="宋体"/>
                <w:sz w:val="21"/>
                <w:szCs w:val="21"/>
              </w:rPr>
            </w:pPr>
            <w:r>
              <w:rPr>
                <w:rFonts w:ascii="宋体" w:hint="eastAsia"/>
                <w:sz w:val="21"/>
                <w:szCs w:val="21"/>
              </w:rPr>
              <w:t>涪阳镇活水沟村</w:t>
            </w:r>
          </w:p>
        </w:tc>
      </w:tr>
      <w:tr w:rsidR="007D1E74" w14:paraId="0B7EC909" w14:textId="77777777">
        <w:trPr>
          <w:trHeight w:hRule="exact" w:val="336"/>
        </w:trPr>
        <w:tc>
          <w:tcPr>
            <w:tcW w:w="435" w:type="pct"/>
          </w:tcPr>
          <w:p w14:paraId="11E2CB86" w14:textId="77777777" w:rsidR="007D1E74" w:rsidRDefault="00A95641">
            <w:pPr>
              <w:pStyle w:val="TableParagraph"/>
              <w:spacing w:before="37"/>
              <w:ind w:left="114" w:right="114"/>
              <w:rPr>
                <w:sz w:val="21"/>
                <w:szCs w:val="21"/>
              </w:rPr>
            </w:pPr>
            <w:r>
              <w:rPr>
                <w:sz w:val="21"/>
                <w:szCs w:val="21"/>
              </w:rPr>
              <w:t>1-4</w:t>
            </w:r>
          </w:p>
        </w:tc>
        <w:tc>
          <w:tcPr>
            <w:tcW w:w="1160" w:type="pct"/>
          </w:tcPr>
          <w:p w14:paraId="44A69192" w14:textId="77777777" w:rsidR="007D1E74" w:rsidRDefault="00A95641">
            <w:pPr>
              <w:pStyle w:val="TableParagraph"/>
              <w:spacing w:line="273" w:lineRule="exact"/>
              <w:ind w:left="103"/>
              <w:rPr>
                <w:rFonts w:ascii="宋体"/>
                <w:sz w:val="21"/>
                <w:szCs w:val="21"/>
              </w:rPr>
            </w:pPr>
            <w:r>
              <w:rPr>
                <w:rFonts w:ascii="宋体" w:hint="eastAsia"/>
                <w:sz w:val="21"/>
                <w:szCs w:val="21"/>
              </w:rPr>
              <w:t>马尾松林</w:t>
            </w:r>
          </w:p>
        </w:tc>
        <w:tc>
          <w:tcPr>
            <w:tcW w:w="653" w:type="pct"/>
          </w:tcPr>
          <w:p w14:paraId="452B693A" w14:textId="77777777" w:rsidR="007D1E74" w:rsidRDefault="00A95641">
            <w:pPr>
              <w:pStyle w:val="TableParagraph"/>
              <w:spacing w:before="37"/>
              <w:ind w:left="116" w:right="115"/>
              <w:rPr>
                <w:sz w:val="21"/>
                <w:szCs w:val="21"/>
              </w:rPr>
            </w:pPr>
            <w:r>
              <w:rPr>
                <w:sz w:val="21"/>
                <w:szCs w:val="21"/>
              </w:rPr>
              <w:t>516</w:t>
            </w:r>
          </w:p>
        </w:tc>
        <w:tc>
          <w:tcPr>
            <w:tcW w:w="833" w:type="pct"/>
          </w:tcPr>
          <w:p w14:paraId="2D70B215" w14:textId="77777777" w:rsidR="007D1E74" w:rsidRDefault="00A95641">
            <w:pPr>
              <w:pStyle w:val="TableParagraph"/>
              <w:spacing w:before="37"/>
              <w:ind w:left="143" w:right="143"/>
              <w:rPr>
                <w:sz w:val="21"/>
                <w:szCs w:val="21"/>
              </w:rPr>
            </w:pPr>
            <w:r>
              <w:rPr>
                <w:sz w:val="21"/>
                <w:szCs w:val="21"/>
              </w:rPr>
              <w:t>107.142499</w:t>
            </w:r>
          </w:p>
        </w:tc>
        <w:tc>
          <w:tcPr>
            <w:tcW w:w="760" w:type="pct"/>
          </w:tcPr>
          <w:p w14:paraId="576CAB91" w14:textId="77777777" w:rsidR="007D1E74" w:rsidRDefault="00A95641">
            <w:pPr>
              <w:pStyle w:val="TableParagraph"/>
              <w:spacing w:before="37"/>
              <w:ind w:left="106" w:right="105"/>
              <w:rPr>
                <w:sz w:val="21"/>
                <w:szCs w:val="21"/>
              </w:rPr>
            </w:pPr>
            <w:r>
              <w:rPr>
                <w:sz w:val="21"/>
                <w:szCs w:val="21"/>
              </w:rPr>
              <w:t>32.010255</w:t>
            </w:r>
          </w:p>
        </w:tc>
        <w:tc>
          <w:tcPr>
            <w:tcW w:w="1159" w:type="pct"/>
          </w:tcPr>
          <w:p w14:paraId="7EFEAEA4" w14:textId="77777777" w:rsidR="007D1E74" w:rsidRDefault="00A95641">
            <w:pPr>
              <w:pStyle w:val="TableParagraph"/>
              <w:spacing w:line="273" w:lineRule="exact"/>
              <w:ind w:left="102"/>
              <w:rPr>
                <w:rFonts w:ascii="宋体"/>
                <w:sz w:val="21"/>
                <w:szCs w:val="21"/>
              </w:rPr>
            </w:pPr>
            <w:r>
              <w:rPr>
                <w:rFonts w:ascii="宋体" w:hint="eastAsia"/>
                <w:sz w:val="21"/>
                <w:szCs w:val="21"/>
              </w:rPr>
              <w:t>涪阳镇活水沟村</w:t>
            </w:r>
          </w:p>
        </w:tc>
      </w:tr>
      <w:tr w:rsidR="007D1E74" w14:paraId="641371BC" w14:textId="77777777">
        <w:trPr>
          <w:trHeight w:hRule="exact" w:val="336"/>
        </w:trPr>
        <w:tc>
          <w:tcPr>
            <w:tcW w:w="435" w:type="pct"/>
          </w:tcPr>
          <w:p w14:paraId="19F310B3" w14:textId="77777777" w:rsidR="007D1E74" w:rsidRDefault="00A95641">
            <w:pPr>
              <w:pStyle w:val="TableParagraph"/>
              <w:spacing w:before="37"/>
              <w:ind w:left="114" w:right="114"/>
              <w:rPr>
                <w:sz w:val="21"/>
                <w:szCs w:val="21"/>
              </w:rPr>
            </w:pPr>
            <w:r>
              <w:rPr>
                <w:sz w:val="21"/>
                <w:szCs w:val="21"/>
              </w:rPr>
              <w:t>1-5</w:t>
            </w:r>
          </w:p>
        </w:tc>
        <w:tc>
          <w:tcPr>
            <w:tcW w:w="1160" w:type="pct"/>
          </w:tcPr>
          <w:p w14:paraId="1CD45FDF" w14:textId="77777777" w:rsidR="007D1E74" w:rsidRDefault="00A95641">
            <w:pPr>
              <w:pStyle w:val="TableParagraph"/>
              <w:spacing w:line="273" w:lineRule="exact"/>
              <w:ind w:left="103"/>
              <w:rPr>
                <w:rFonts w:ascii="宋体"/>
                <w:sz w:val="21"/>
                <w:szCs w:val="21"/>
              </w:rPr>
            </w:pPr>
            <w:r>
              <w:rPr>
                <w:rFonts w:ascii="宋体" w:hint="eastAsia"/>
                <w:sz w:val="21"/>
                <w:szCs w:val="21"/>
              </w:rPr>
              <w:t>枫杨林</w:t>
            </w:r>
          </w:p>
        </w:tc>
        <w:tc>
          <w:tcPr>
            <w:tcW w:w="653" w:type="pct"/>
          </w:tcPr>
          <w:p w14:paraId="1A6EB45F" w14:textId="77777777" w:rsidR="007D1E74" w:rsidRDefault="00A95641">
            <w:pPr>
              <w:pStyle w:val="TableParagraph"/>
              <w:spacing w:before="37"/>
              <w:ind w:left="116" w:right="115"/>
              <w:rPr>
                <w:sz w:val="21"/>
                <w:szCs w:val="21"/>
              </w:rPr>
            </w:pPr>
            <w:r>
              <w:rPr>
                <w:sz w:val="21"/>
                <w:szCs w:val="21"/>
              </w:rPr>
              <w:t>400</w:t>
            </w:r>
          </w:p>
        </w:tc>
        <w:tc>
          <w:tcPr>
            <w:tcW w:w="833" w:type="pct"/>
          </w:tcPr>
          <w:p w14:paraId="240A697E" w14:textId="77777777" w:rsidR="007D1E74" w:rsidRDefault="00A95641">
            <w:pPr>
              <w:pStyle w:val="TableParagraph"/>
              <w:spacing w:before="37"/>
              <w:ind w:left="143" w:right="143"/>
              <w:rPr>
                <w:sz w:val="21"/>
                <w:szCs w:val="21"/>
              </w:rPr>
            </w:pPr>
            <w:r>
              <w:rPr>
                <w:sz w:val="21"/>
                <w:szCs w:val="21"/>
              </w:rPr>
              <w:t>107.138647</w:t>
            </w:r>
          </w:p>
        </w:tc>
        <w:tc>
          <w:tcPr>
            <w:tcW w:w="760" w:type="pct"/>
          </w:tcPr>
          <w:p w14:paraId="3E7DDD77" w14:textId="77777777" w:rsidR="007D1E74" w:rsidRDefault="00A95641">
            <w:pPr>
              <w:pStyle w:val="TableParagraph"/>
              <w:spacing w:before="37"/>
              <w:ind w:left="106" w:right="105"/>
              <w:rPr>
                <w:sz w:val="21"/>
                <w:szCs w:val="21"/>
              </w:rPr>
            </w:pPr>
            <w:r>
              <w:rPr>
                <w:sz w:val="21"/>
                <w:szCs w:val="21"/>
              </w:rPr>
              <w:t>32.011929</w:t>
            </w:r>
          </w:p>
        </w:tc>
        <w:tc>
          <w:tcPr>
            <w:tcW w:w="1159" w:type="pct"/>
          </w:tcPr>
          <w:p w14:paraId="7DA5FE23" w14:textId="77777777" w:rsidR="007D1E74" w:rsidRDefault="00A95641">
            <w:pPr>
              <w:pStyle w:val="TableParagraph"/>
              <w:spacing w:line="273" w:lineRule="exact"/>
              <w:ind w:left="102"/>
              <w:rPr>
                <w:rFonts w:ascii="宋体"/>
                <w:sz w:val="21"/>
                <w:szCs w:val="21"/>
              </w:rPr>
            </w:pPr>
            <w:r>
              <w:rPr>
                <w:rFonts w:ascii="宋体" w:hint="eastAsia"/>
                <w:sz w:val="21"/>
                <w:szCs w:val="21"/>
              </w:rPr>
              <w:t>涪阳镇活水沟村</w:t>
            </w:r>
          </w:p>
        </w:tc>
      </w:tr>
      <w:tr w:rsidR="007D1E74" w14:paraId="19766DAD" w14:textId="77777777">
        <w:trPr>
          <w:trHeight w:hRule="exact" w:val="336"/>
        </w:trPr>
        <w:tc>
          <w:tcPr>
            <w:tcW w:w="435" w:type="pct"/>
          </w:tcPr>
          <w:p w14:paraId="58FF1E39" w14:textId="77777777" w:rsidR="007D1E74" w:rsidRDefault="00A95641">
            <w:pPr>
              <w:pStyle w:val="TableParagraph"/>
              <w:spacing w:before="37"/>
              <w:ind w:left="114" w:right="114"/>
              <w:rPr>
                <w:sz w:val="21"/>
                <w:szCs w:val="21"/>
              </w:rPr>
            </w:pPr>
            <w:r>
              <w:rPr>
                <w:sz w:val="21"/>
                <w:szCs w:val="21"/>
              </w:rPr>
              <w:t>1-6</w:t>
            </w:r>
          </w:p>
        </w:tc>
        <w:tc>
          <w:tcPr>
            <w:tcW w:w="1160" w:type="pct"/>
          </w:tcPr>
          <w:p w14:paraId="4E37643F" w14:textId="77777777" w:rsidR="007D1E74" w:rsidRDefault="00A95641">
            <w:pPr>
              <w:pStyle w:val="TableParagraph"/>
              <w:spacing w:line="273" w:lineRule="exact"/>
              <w:ind w:left="103"/>
              <w:rPr>
                <w:rFonts w:ascii="宋体"/>
                <w:sz w:val="21"/>
                <w:szCs w:val="21"/>
              </w:rPr>
            </w:pPr>
            <w:r>
              <w:rPr>
                <w:rFonts w:ascii="宋体" w:hint="eastAsia"/>
                <w:sz w:val="21"/>
                <w:szCs w:val="21"/>
              </w:rPr>
              <w:t>耕地</w:t>
            </w:r>
          </w:p>
        </w:tc>
        <w:tc>
          <w:tcPr>
            <w:tcW w:w="653" w:type="pct"/>
          </w:tcPr>
          <w:p w14:paraId="3E0DA22C" w14:textId="77777777" w:rsidR="007D1E74" w:rsidRDefault="00A95641">
            <w:pPr>
              <w:pStyle w:val="TableParagraph"/>
              <w:spacing w:before="37"/>
              <w:ind w:left="116" w:right="115"/>
              <w:rPr>
                <w:sz w:val="21"/>
                <w:szCs w:val="21"/>
              </w:rPr>
            </w:pPr>
            <w:r>
              <w:rPr>
                <w:sz w:val="21"/>
                <w:szCs w:val="21"/>
              </w:rPr>
              <w:t>623</w:t>
            </w:r>
          </w:p>
        </w:tc>
        <w:tc>
          <w:tcPr>
            <w:tcW w:w="833" w:type="pct"/>
          </w:tcPr>
          <w:p w14:paraId="2C13514B" w14:textId="77777777" w:rsidR="007D1E74" w:rsidRDefault="00A95641">
            <w:pPr>
              <w:pStyle w:val="TableParagraph"/>
              <w:spacing w:before="37"/>
              <w:ind w:left="143" w:right="143"/>
              <w:rPr>
                <w:sz w:val="21"/>
                <w:szCs w:val="21"/>
              </w:rPr>
            </w:pPr>
            <w:r>
              <w:rPr>
                <w:sz w:val="21"/>
                <w:szCs w:val="21"/>
              </w:rPr>
              <w:t>107.130118</w:t>
            </w:r>
          </w:p>
        </w:tc>
        <w:tc>
          <w:tcPr>
            <w:tcW w:w="760" w:type="pct"/>
          </w:tcPr>
          <w:p w14:paraId="7C2285E1" w14:textId="77777777" w:rsidR="007D1E74" w:rsidRDefault="00A95641">
            <w:pPr>
              <w:pStyle w:val="TableParagraph"/>
              <w:spacing w:before="37"/>
              <w:ind w:left="106" w:right="105"/>
              <w:rPr>
                <w:sz w:val="21"/>
                <w:szCs w:val="21"/>
              </w:rPr>
            </w:pPr>
            <w:r>
              <w:rPr>
                <w:sz w:val="21"/>
                <w:szCs w:val="21"/>
              </w:rPr>
              <w:t>32.027250</w:t>
            </w:r>
          </w:p>
        </w:tc>
        <w:tc>
          <w:tcPr>
            <w:tcW w:w="1159" w:type="pct"/>
          </w:tcPr>
          <w:p w14:paraId="53770E8F" w14:textId="77777777" w:rsidR="007D1E74" w:rsidRDefault="00A95641">
            <w:pPr>
              <w:pStyle w:val="TableParagraph"/>
              <w:spacing w:line="273" w:lineRule="exact"/>
              <w:ind w:left="102"/>
              <w:rPr>
                <w:rFonts w:ascii="宋体"/>
                <w:sz w:val="21"/>
                <w:szCs w:val="21"/>
              </w:rPr>
            </w:pPr>
            <w:r>
              <w:rPr>
                <w:rFonts w:ascii="宋体" w:hint="eastAsia"/>
                <w:sz w:val="21"/>
                <w:szCs w:val="21"/>
              </w:rPr>
              <w:t>涪阳镇武学堂村</w:t>
            </w:r>
          </w:p>
        </w:tc>
      </w:tr>
      <w:tr w:rsidR="007D1E74" w14:paraId="697F903E" w14:textId="77777777">
        <w:trPr>
          <w:trHeight w:hRule="exact" w:val="336"/>
        </w:trPr>
        <w:tc>
          <w:tcPr>
            <w:tcW w:w="435" w:type="pct"/>
          </w:tcPr>
          <w:p w14:paraId="6F5A44A3" w14:textId="77777777" w:rsidR="007D1E74" w:rsidRDefault="00A95641">
            <w:pPr>
              <w:pStyle w:val="TableParagraph"/>
              <w:spacing w:before="37"/>
              <w:ind w:left="114" w:right="114"/>
              <w:rPr>
                <w:sz w:val="21"/>
                <w:szCs w:val="21"/>
              </w:rPr>
            </w:pPr>
            <w:r>
              <w:rPr>
                <w:sz w:val="21"/>
                <w:szCs w:val="21"/>
              </w:rPr>
              <w:t>1-7</w:t>
            </w:r>
          </w:p>
        </w:tc>
        <w:tc>
          <w:tcPr>
            <w:tcW w:w="1160" w:type="pct"/>
          </w:tcPr>
          <w:p w14:paraId="7508034B" w14:textId="77777777" w:rsidR="007D1E74" w:rsidRDefault="00A95641">
            <w:pPr>
              <w:pStyle w:val="TableParagraph"/>
              <w:spacing w:line="273" w:lineRule="exact"/>
              <w:ind w:left="103"/>
              <w:rPr>
                <w:rFonts w:ascii="宋体"/>
                <w:sz w:val="21"/>
                <w:szCs w:val="21"/>
              </w:rPr>
            </w:pPr>
            <w:r>
              <w:rPr>
                <w:rFonts w:ascii="宋体" w:hint="eastAsia"/>
                <w:sz w:val="21"/>
                <w:szCs w:val="21"/>
              </w:rPr>
              <w:t>麻栎林</w:t>
            </w:r>
          </w:p>
        </w:tc>
        <w:tc>
          <w:tcPr>
            <w:tcW w:w="653" w:type="pct"/>
          </w:tcPr>
          <w:p w14:paraId="4F734B9B" w14:textId="77777777" w:rsidR="007D1E74" w:rsidRDefault="00A95641">
            <w:pPr>
              <w:pStyle w:val="TableParagraph"/>
              <w:spacing w:before="37"/>
              <w:ind w:left="116" w:right="115"/>
              <w:rPr>
                <w:sz w:val="21"/>
                <w:szCs w:val="21"/>
              </w:rPr>
            </w:pPr>
            <w:r>
              <w:rPr>
                <w:sz w:val="21"/>
                <w:szCs w:val="21"/>
              </w:rPr>
              <w:t>890</w:t>
            </w:r>
          </w:p>
        </w:tc>
        <w:tc>
          <w:tcPr>
            <w:tcW w:w="833" w:type="pct"/>
          </w:tcPr>
          <w:p w14:paraId="152860CA" w14:textId="77777777" w:rsidR="007D1E74" w:rsidRDefault="00A95641">
            <w:pPr>
              <w:pStyle w:val="TableParagraph"/>
              <w:spacing w:before="37"/>
              <w:ind w:left="143" w:right="143"/>
              <w:rPr>
                <w:sz w:val="21"/>
                <w:szCs w:val="21"/>
              </w:rPr>
            </w:pPr>
            <w:r>
              <w:rPr>
                <w:sz w:val="21"/>
                <w:szCs w:val="21"/>
              </w:rPr>
              <w:t>107.134806</w:t>
            </w:r>
          </w:p>
        </w:tc>
        <w:tc>
          <w:tcPr>
            <w:tcW w:w="760" w:type="pct"/>
          </w:tcPr>
          <w:p w14:paraId="4915D2F0" w14:textId="77777777" w:rsidR="007D1E74" w:rsidRDefault="00A95641">
            <w:pPr>
              <w:pStyle w:val="TableParagraph"/>
              <w:spacing w:before="37"/>
              <w:ind w:left="106" w:right="105"/>
              <w:rPr>
                <w:sz w:val="21"/>
                <w:szCs w:val="21"/>
              </w:rPr>
            </w:pPr>
            <w:r>
              <w:rPr>
                <w:sz w:val="21"/>
                <w:szCs w:val="21"/>
              </w:rPr>
              <w:t>32.037056</w:t>
            </w:r>
          </w:p>
        </w:tc>
        <w:tc>
          <w:tcPr>
            <w:tcW w:w="1159" w:type="pct"/>
          </w:tcPr>
          <w:p w14:paraId="654A2BCF" w14:textId="77777777" w:rsidR="007D1E74" w:rsidRDefault="00A95641">
            <w:pPr>
              <w:pStyle w:val="TableParagraph"/>
              <w:spacing w:line="273" w:lineRule="exact"/>
              <w:ind w:left="102"/>
              <w:rPr>
                <w:rFonts w:ascii="宋体"/>
                <w:sz w:val="21"/>
                <w:szCs w:val="21"/>
              </w:rPr>
            </w:pPr>
            <w:r>
              <w:rPr>
                <w:rFonts w:ascii="宋体" w:hint="eastAsia"/>
                <w:sz w:val="21"/>
                <w:szCs w:val="21"/>
              </w:rPr>
              <w:t>涪阳镇武学堂村</w:t>
            </w:r>
          </w:p>
        </w:tc>
      </w:tr>
      <w:tr w:rsidR="007D1E74" w14:paraId="14B89253" w14:textId="77777777">
        <w:trPr>
          <w:trHeight w:hRule="exact" w:val="336"/>
        </w:trPr>
        <w:tc>
          <w:tcPr>
            <w:tcW w:w="435" w:type="pct"/>
          </w:tcPr>
          <w:p w14:paraId="5DCD97E1" w14:textId="77777777" w:rsidR="007D1E74" w:rsidRDefault="00A95641">
            <w:pPr>
              <w:pStyle w:val="TableParagraph"/>
              <w:spacing w:before="37"/>
              <w:ind w:left="114" w:right="114"/>
              <w:rPr>
                <w:sz w:val="21"/>
                <w:szCs w:val="21"/>
              </w:rPr>
            </w:pPr>
            <w:r>
              <w:rPr>
                <w:sz w:val="21"/>
                <w:szCs w:val="21"/>
              </w:rPr>
              <w:t>1-8</w:t>
            </w:r>
          </w:p>
        </w:tc>
        <w:tc>
          <w:tcPr>
            <w:tcW w:w="1160" w:type="pct"/>
          </w:tcPr>
          <w:p w14:paraId="33486828" w14:textId="77777777" w:rsidR="007D1E74" w:rsidRDefault="00A95641">
            <w:pPr>
              <w:pStyle w:val="TableParagraph"/>
              <w:spacing w:line="273" w:lineRule="exact"/>
              <w:ind w:left="103"/>
              <w:rPr>
                <w:rFonts w:ascii="宋体"/>
                <w:sz w:val="21"/>
                <w:szCs w:val="21"/>
              </w:rPr>
            </w:pPr>
            <w:r>
              <w:rPr>
                <w:rFonts w:ascii="宋体" w:hint="eastAsia"/>
                <w:sz w:val="21"/>
                <w:szCs w:val="21"/>
              </w:rPr>
              <w:t>杉木林</w:t>
            </w:r>
          </w:p>
        </w:tc>
        <w:tc>
          <w:tcPr>
            <w:tcW w:w="653" w:type="pct"/>
          </w:tcPr>
          <w:p w14:paraId="7BD0A310" w14:textId="77777777" w:rsidR="007D1E74" w:rsidRDefault="00A95641">
            <w:pPr>
              <w:pStyle w:val="TableParagraph"/>
              <w:spacing w:before="37"/>
              <w:ind w:left="116" w:right="115"/>
              <w:rPr>
                <w:sz w:val="21"/>
                <w:szCs w:val="21"/>
              </w:rPr>
            </w:pPr>
            <w:r>
              <w:rPr>
                <w:sz w:val="21"/>
                <w:szCs w:val="21"/>
              </w:rPr>
              <w:t>1078</w:t>
            </w:r>
          </w:p>
        </w:tc>
        <w:tc>
          <w:tcPr>
            <w:tcW w:w="833" w:type="pct"/>
          </w:tcPr>
          <w:p w14:paraId="0E0CA988" w14:textId="77777777" w:rsidR="007D1E74" w:rsidRDefault="00A95641">
            <w:pPr>
              <w:pStyle w:val="TableParagraph"/>
              <w:spacing w:before="37"/>
              <w:ind w:left="143" w:right="143"/>
              <w:rPr>
                <w:sz w:val="21"/>
                <w:szCs w:val="21"/>
              </w:rPr>
            </w:pPr>
            <w:r>
              <w:rPr>
                <w:sz w:val="21"/>
                <w:szCs w:val="21"/>
              </w:rPr>
              <w:t>107.123423</w:t>
            </w:r>
          </w:p>
        </w:tc>
        <w:tc>
          <w:tcPr>
            <w:tcW w:w="760" w:type="pct"/>
          </w:tcPr>
          <w:p w14:paraId="16D07EAE" w14:textId="77777777" w:rsidR="007D1E74" w:rsidRDefault="00A95641">
            <w:pPr>
              <w:pStyle w:val="TableParagraph"/>
              <w:spacing w:before="37"/>
              <w:ind w:left="106" w:right="105"/>
              <w:rPr>
                <w:sz w:val="21"/>
                <w:szCs w:val="21"/>
              </w:rPr>
            </w:pPr>
            <w:r>
              <w:rPr>
                <w:sz w:val="21"/>
                <w:szCs w:val="21"/>
              </w:rPr>
              <w:t>32.042157</w:t>
            </w:r>
          </w:p>
        </w:tc>
        <w:tc>
          <w:tcPr>
            <w:tcW w:w="1159" w:type="pct"/>
          </w:tcPr>
          <w:p w14:paraId="57989C7F" w14:textId="77777777" w:rsidR="007D1E74" w:rsidRDefault="00A95641">
            <w:pPr>
              <w:pStyle w:val="TableParagraph"/>
              <w:spacing w:line="273" w:lineRule="exact"/>
              <w:ind w:left="102"/>
              <w:rPr>
                <w:rFonts w:ascii="宋体"/>
                <w:sz w:val="21"/>
                <w:szCs w:val="21"/>
              </w:rPr>
            </w:pPr>
            <w:r>
              <w:rPr>
                <w:rFonts w:ascii="宋体" w:hint="eastAsia"/>
                <w:sz w:val="21"/>
                <w:szCs w:val="21"/>
              </w:rPr>
              <w:t>涪阳镇武学堂村</w:t>
            </w:r>
          </w:p>
        </w:tc>
      </w:tr>
      <w:tr w:rsidR="007D1E74" w14:paraId="09712688" w14:textId="77777777">
        <w:trPr>
          <w:trHeight w:hRule="exact" w:val="336"/>
        </w:trPr>
        <w:tc>
          <w:tcPr>
            <w:tcW w:w="435" w:type="pct"/>
          </w:tcPr>
          <w:p w14:paraId="07D239FF" w14:textId="77777777" w:rsidR="007D1E74" w:rsidRDefault="00A95641">
            <w:pPr>
              <w:pStyle w:val="TableParagraph"/>
              <w:spacing w:before="37"/>
              <w:ind w:left="114" w:right="114"/>
              <w:rPr>
                <w:sz w:val="21"/>
                <w:szCs w:val="21"/>
              </w:rPr>
            </w:pPr>
            <w:r>
              <w:rPr>
                <w:sz w:val="21"/>
                <w:szCs w:val="21"/>
              </w:rPr>
              <w:t>2-1</w:t>
            </w:r>
          </w:p>
        </w:tc>
        <w:tc>
          <w:tcPr>
            <w:tcW w:w="1160" w:type="pct"/>
          </w:tcPr>
          <w:p w14:paraId="270795D3" w14:textId="77777777" w:rsidR="007D1E74" w:rsidRDefault="00A95641">
            <w:pPr>
              <w:pStyle w:val="TableParagraph"/>
              <w:spacing w:line="273" w:lineRule="exact"/>
              <w:ind w:left="103"/>
              <w:rPr>
                <w:rFonts w:ascii="宋体"/>
                <w:sz w:val="21"/>
                <w:szCs w:val="21"/>
              </w:rPr>
            </w:pPr>
            <w:r>
              <w:rPr>
                <w:rFonts w:ascii="宋体" w:hint="eastAsia"/>
                <w:sz w:val="21"/>
                <w:szCs w:val="21"/>
              </w:rPr>
              <w:t>麻栎林</w:t>
            </w:r>
          </w:p>
        </w:tc>
        <w:tc>
          <w:tcPr>
            <w:tcW w:w="653" w:type="pct"/>
          </w:tcPr>
          <w:p w14:paraId="690B7D3E" w14:textId="77777777" w:rsidR="007D1E74" w:rsidRDefault="00A95641">
            <w:pPr>
              <w:pStyle w:val="TableParagraph"/>
              <w:spacing w:before="37"/>
              <w:ind w:left="116" w:right="115"/>
              <w:rPr>
                <w:sz w:val="21"/>
                <w:szCs w:val="21"/>
              </w:rPr>
            </w:pPr>
            <w:r>
              <w:rPr>
                <w:sz w:val="21"/>
                <w:szCs w:val="21"/>
              </w:rPr>
              <w:t>1007</w:t>
            </w:r>
          </w:p>
        </w:tc>
        <w:tc>
          <w:tcPr>
            <w:tcW w:w="833" w:type="pct"/>
          </w:tcPr>
          <w:p w14:paraId="78D09933" w14:textId="77777777" w:rsidR="007D1E74" w:rsidRDefault="00A95641">
            <w:pPr>
              <w:pStyle w:val="TableParagraph"/>
              <w:spacing w:before="37"/>
              <w:ind w:left="143" w:right="143"/>
              <w:rPr>
                <w:sz w:val="21"/>
                <w:szCs w:val="21"/>
              </w:rPr>
            </w:pPr>
            <w:r>
              <w:rPr>
                <w:sz w:val="21"/>
                <w:szCs w:val="21"/>
              </w:rPr>
              <w:t>107.143094</w:t>
            </w:r>
          </w:p>
        </w:tc>
        <w:tc>
          <w:tcPr>
            <w:tcW w:w="760" w:type="pct"/>
          </w:tcPr>
          <w:p w14:paraId="75922605" w14:textId="77777777" w:rsidR="007D1E74" w:rsidRDefault="00A95641">
            <w:pPr>
              <w:pStyle w:val="TableParagraph"/>
              <w:spacing w:before="37"/>
              <w:ind w:left="106" w:right="105"/>
              <w:rPr>
                <w:sz w:val="21"/>
                <w:szCs w:val="21"/>
              </w:rPr>
            </w:pPr>
            <w:r>
              <w:rPr>
                <w:sz w:val="21"/>
                <w:szCs w:val="21"/>
              </w:rPr>
              <w:t>32.047484</w:t>
            </w:r>
          </w:p>
        </w:tc>
        <w:tc>
          <w:tcPr>
            <w:tcW w:w="1159" w:type="pct"/>
          </w:tcPr>
          <w:p w14:paraId="02C98E9F" w14:textId="77777777" w:rsidR="007D1E74" w:rsidRDefault="00A95641">
            <w:pPr>
              <w:pStyle w:val="TableParagraph"/>
              <w:spacing w:line="273" w:lineRule="exact"/>
              <w:ind w:left="102"/>
              <w:rPr>
                <w:rFonts w:ascii="宋体"/>
                <w:sz w:val="21"/>
                <w:szCs w:val="21"/>
              </w:rPr>
            </w:pPr>
            <w:r>
              <w:rPr>
                <w:rFonts w:ascii="宋体" w:hint="eastAsia"/>
                <w:sz w:val="21"/>
                <w:szCs w:val="21"/>
              </w:rPr>
              <w:t>涪阳镇下江口村</w:t>
            </w:r>
          </w:p>
        </w:tc>
      </w:tr>
      <w:tr w:rsidR="007D1E74" w14:paraId="2AFB1FCF" w14:textId="77777777">
        <w:trPr>
          <w:trHeight w:hRule="exact" w:val="336"/>
        </w:trPr>
        <w:tc>
          <w:tcPr>
            <w:tcW w:w="435" w:type="pct"/>
          </w:tcPr>
          <w:p w14:paraId="54DFEECC" w14:textId="77777777" w:rsidR="007D1E74" w:rsidRDefault="00A95641">
            <w:pPr>
              <w:pStyle w:val="TableParagraph"/>
              <w:spacing w:before="37"/>
              <w:ind w:left="114" w:right="114"/>
              <w:rPr>
                <w:sz w:val="21"/>
                <w:szCs w:val="21"/>
              </w:rPr>
            </w:pPr>
            <w:r>
              <w:rPr>
                <w:sz w:val="21"/>
                <w:szCs w:val="21"/>
              </w:rPr>
              <w:t>2-2</w:t>
            </w:r>
          </w:p>
        </w:tc>
        <w:tc>
          <w:tcPr>
            <w:tcW w:w="1160" w:type="pct"/>
          </w:tcPr>
          <w:p w14:paraId="2DD8EC35" w14:textId="77777777" w:rsidR="007D1E74" w:rsidRDefault="00A95641">
            <w:pPr>
              <w:pStyle w:val="TableParagraph"/>
              <w:spacing w:line="273" w:lineRule="exact"/>
              <w:ind w:left="103"/>
              <w:rPr>
                <w:rFonts w:ascii="宋体"/>
                <w:sz w:val="21"/>
                <w:szCs w:val="21"/>
              </w:rPr>
            </w:pPr>
            <w:r>
              <w:rPr>
                <w:rFonts w:ascii="宋体" w:hint="eastAsia"/>
                <w:sz w:val="21"/>
                <w:szCs w:val="21"/>
              </w:rPr>
              <w:t>柏木林</w:t>
            </w:r>
          </w:p>
        </w:tc>
        <w:tc>
          <w:tcPr>
            <w:tcW w:w="653" w:type="pct"/>
          </w:tcPr>
          <w:p w14:paraId="75EA6B37" w14:textId="77777777" w:rsidR="007D1E74" w:rsidRDefault="00A95641">
            <w:pPr>
              <w:pStyle w:val="TableParagraph"/>
              <w:spacing w:before="37"/>
              <w:ind w:left="116" w:right="115"/>
              <w:rPr>
                <w:sz w:val="21"/>
                <w:szCs w:val="21"/>
              </w:rPr>
            </w:pPr>
            <w:r>
              <w:rPr>
                <w:sz w:val="21"/>
                <w:szCs w:val="21"/>
              </w:rPr>
              <w:t>430</w:t>
            </w:r>
          </w:p>
        </w:tc>
        <w:tc>
          <w:tcPr>
            <w:tcW w:w="833" w:type="pct"/>
          </w:tcPr>
          <w:p w14:paraId="3D202580" w14:textId="77777777" w:rsidR="007D1E74" w:rsidRDefault="00A95641">
            <w:pPr>
              <w:pStyle w:val="TableParagraph"/>
              <w:spacing w:before="37"/>
              <w:ind w:left="143" w:right="143"/>
              <w:rPr>
                <w:sz w:val="21"/>
                <w:szCs w:val="21"/>
              </w:rPr>
            </w:pPr>
            <w:r>
              <w:rPr>
                <w:sz w:val="21"/>
                <w:szCs w:val="21"/>
              </w:rPr>
              <w:t>107.149757</w:t>
            </w:r>
          </w:p>
        </w:tc>
        <w:tc>
          <w:tcPr>
            <w:tcW w:w="760" w:type="pct"/>
          </w:tcPr>
          <w:p w14:paraId="154B778B" w14:textId="77777777" w:rsidR="007D1E74" w:rsidRDefault="00A95641">
            <w:pPr>
              <w:pStyle w:val="TableParagraph"/>
              <w:spacing w:before="37"/>
              <w:ind w:left="106" w:right="105"/>
              <w:rPr>
                <w:sz w:val="21"/>
                <w:szCs w:val="21"/>
              </w:rPr>
            </w:pPr>
            <w:r>
              <w:rPr>
                <w:sz w:val="21"/>
                <w:szCs w:val="21"/>
              </w:rPr>
              <w:t>32.064693</w:t>
            </w:r>
          </w:p>
        </w:tc>
        <w:tc>
          <w:tcPr>
            <w:tcW w:w="1159" w:type="pct"/>
          </w:tcPr>
          <w:p w14:paraId="0B35D362" w14:textId="77777777" w:rsidR="007D1E74" w:rsidRDefault="00A95641">
            <w:pPr>
              <w:pStyle w:val="TableParagraph"/>
              <w:spacing w:line="273" w:lineRule="exact"/>
              <w:ind w:left="102"/>
              <w:rPr>
                <w:rFonts w:ascii="宋体"/>
                <w:sz w:val="21"/>
                <w:szCs w:val="21"/>
              </w:rPr>
            </w:pPr>
            <w:r>
              <w:rPr>
                <w:rFonts w:ascii="宋体" w:hint="eastAsia"/>
                <w:sz w:val="21"/>
                <w:szCs w:val="21"/>
              </w:rPr>
              <w:t>涪阳镇红江村</w:t>
            </w:r>
          </w:p>
        </w:tc>
      </w:tr>
      <w:tr w:rsidR="007D1E74" w14:paraId="2506E81E" w14:textId="77777777">
        <w:trPr>
          <w:trHeight w:hRule="exact" w:val="336"/>
        </w:trPr>
        <w:tc>
          <w:tcPr>
            <w:tcW w:w="435" w:type="pct"/>
          </w:tcPr>
          <w:p w14:paraId="7F000D6E" w14:textId="77777777" w:rsidR="007D1E74" w:rsidRDefault="00A95641">
            <w:pPr>
              <w:pStyle w:val="TableParagraph"/>
              <w:spacing w:before="37"/>
              <w:ind w:left="114" w:right="114"/>
              <w:rPr>
                <w:sz w:val="21"/>
                <w:szCs w:val="21"/>
              </w:rPr>
            </w:pPr>
            <w:r>
              <w:rPr>
                <w:sz w:val="21"/>
                <w:szCs w:val="21"/>
              </w:rPr>
              <w:t>2-3</w:t>
            </w:r>
          </w:p>
        </w:tc>
        <w:tc>
          <w:tcPr>
            <w:tcW w:w="1160" w:type="pct"/>
          </w:tcPr>
          <w:p w14:paraId="40102EDF" w14:textId="77777777" w:rsidR="007D1E74" w:rsidRDefault="00A95641">
            <w:pPr>
              <w:pStyle w:val="TableParagraph"/>
              <w:spacing w:line="273" w:lineRule="exact"/>
              <w:ind w:left="103"/>
              <w:rPr>
                <w:rFonts w:ascii="宋体"/>
                <w:sz w:val="21"/>
                <w:szCs w:val="21"/>
              </w:rPr>
            </w:pPr>
            <w:r>
              <w:rPr>
                <w:rFonts w:ascii="宋体" w:hint="eastAsia"/>
                <w:sz w:val="21"/>
                <w:szCs w:val="21"/>
              </w:rPr>
              <w:t>锐齿槲栎灌丛</w:t>
            </w:r>
          </w:p>
        </w:tc>
        <w:tc>
          <w:tcPr>
            <w:tcW w:w="653" w:type="pct"/>
          </w:tcPr>
          <w:p w14:paraId="47E2E8DE" w14:textId="77777777" w:rsidR="007D1E74" w:rsidRDefault="00A95641">
            <w:pPr>
              <w:pStyle w:val="TableParagraph"/>
              <w:spacing w:before="37"/>
              <w:ind w:left="116" w:right="115"/>
              <w:rPr>
                <w:sz w:val="21"/>
                <w:szCs w:val="21"/>
              </w:rPr>
            </w:pPr>
            <w:r>
              <w:rPr>
                <w:sz w:val="21"/>
                <w:szCs w:val="21"/>
              </w:rPr>
              <w:t>501</w:t>
            </w:r>
          </w:p>
        </w:tc>
        <w:tc>
          <w:tcPr>
            <w:tcW w:w="833" w:type="pct"/>
          </w:tcPr>
          <w:p w14:paraId="670C6DE7" w14:textId="77777777" w:rsidR="007D1E74" w:rsidRDefault="00A95641">
            <w:pPr>
              <w:pStyle w:val="TableParagraph"/>
              <w:spacing w:before="37"/>
              <w:ind w:left="143" w:right="143"/>
              <w:rPr>
                <w:sz w:val="21"/>
                <w:szCs w:val="21"/>
              </w:rPr>
            </w:pPr>
            <w:r>
              <w:rPr>
                <w:sz w:val="21"/>
                <w:szCs w:val="21"/>
              </w:rPr>
              <w:t>107.158082</w:t>
            </w:r>
          </w:p>
        </w:tc>
        <w:tc>
          <w:tcPr>
            <w:tcW w:w="760" w:type="pct"/>
          </w:tcPr>
          <w:p w14:paraId="62E12E47" w14:textId="77777777" w:rsidR="007D1E74" w:rsidRDefault="00A95641">
            <w:pPr>
              <w:pStyle w:val="TableParagraph"/>
              <w:spacing w:before="37"/>
              <w:ind w:left="106" w:right="105"/>
              <w:rPr>
                <w:sz w:val="21"/>
                <w:szCs w:val="21"/>
              </w:rPr>
            </w:pPr>
            <w:r>
              <w:rPr>
                <w:sz w:val="21"/>
                <w:szCs w:val="21"/>
              </w:rPr>
              <w:t>32.079027</w:t>
            </w:r>
          </w:p>
        </w:tc>
        <w:tc>
          <w:tcPr>
            <w:tcW w:w="1159" w:type="pct"/>
          </w:tcPr>
          <w:p w14:paraId="73B94131" w14:textId="77777777" w:rsidR="007D1E74" w:rsidRDefault="00A95641">
            <w:pPr>
              <w:pStyle w:val="TableParagraph"/>
              <w:spacing w:line="273" w:lineRule="exact"/>
              <w:ind w:left="102"/>
              <w:rPr>
                <w:rFonts w:ascii="宋体"/>
                <w:sz w:val="21"/>
                <w:szCs w:val="21"/>
              </w:rPr>
            </w:pPr>
            <w:r>
              <w:rPr>
                <w:rFonts w:ascii="宋体" w:hint="eastAsia"/>
                <w:sz w:val="21"/>
                <w:szCs w:val="21"/>
              </w:rPr>
              <w:t>涪阳镇火石岭村</w:t>
            </w:r>
          </w:p>
        </w:tc>
      </w:tr>
      <w:tr w:rsidR="007D1E74" w14:paraId="3F2D06BD" w14:textId="77777777">
        <w:trPr>
          <w:trHeight w:hRule="exact" w:val="336"/>
        </w:trPr>
        <w:tc>
          <w:tcPr>
            <w:tcW w:w="435" w:type="pct"/>
          </w:tcPr>
          <w:p w14:paraId="15038F5B" w14:textId="77777777" w:rsidR="007D1E74" w:rsidRDefault="00A95641">
            <w:pPr>
              <w:pStyle w:val="TableParagraph"/>
              <w:spacing w:before="37"/>
              <w:ind w:left="114" w:right="114"/>
              <w:rPr>
                <w:sz w:val="21"/>
                <w:szCs w:val="21"/>
              </w:rPr>
            </w:pPr>
            <w:r>
              <w:rPr>
                <w:sz w:val="21"/>
                <w:szCs w:val="21"/>
              </w:rPr>
              <w:t>2-4</w:t>
            </w:r>
          </w:p>
        </w:tc>
        <w:tc>
          <w:tcPr>
            <w:tcW w:w="1160" w:type="pct"/>
          </w:tcPr>
          <w:p w14:paraId="449F6256" w14:textId="77777777" w:rsidR="007D1E74" w:rsidRDefault="00A95641">
            <w:pPr>
              <w:pStyle w:val="TableParagraph"/>
              <w:spacing w:line="273" w:lineRule="exact"/>
              <w:ind w:left="103"/>
              <w:rPr>
                <w:rFonts w:ascii="宋体"/>
                <w:sz w:val="21"/>
                <w:szCs w:val="21"/>
              </w:rPr>
            </w:pPr>
            <w:r>
              <w:rPr>
                <w:rFonts w:ascii="宋体" w:hint="eastAsia"/>
                <w:sz w:val="21"/>
                <w:szCs w:val="21"/>
              </w:rPr>
              <w:t>柏木林</w:t>
            </w:r>
          </w:p>
        </w:tc>
        <w:tc>
          <w:tcPr>
            <w:tcW w:w="653" w:type="pct"/>
          </w:tcPr>
          <w:p w14:paraId="318C53A3" w14:textId="77777777" w:rsidR="007D1E74" w:rsidRDefault="00A95641">
            <w:pPr>
              <w:pStyle w:val="TableParagraph"/>
              <w:spacing w:before="37"/>
              <w:ind w:left="116" w:right="115"/>
              <w:rPr>
                <w:sz w:val="21"/>
                <w:szCs w:val="21"/>
              </w:rPr>
            </w:pPr>
            <w:r>
              <w:rPr>
                <w:sz w:val="21"/>
                <w:szCs w:val="21"/>
              </w:rPr>
              <w:t>600</w:t>
            </w:r>
          </w:p>
        </w:tc>
        <w:tc>
          <w:tcPr>
            <w:tcW w:w="833" w:type="pct"/>
          </w:tcPr>
          <w:p w14:paraId="6F71583F" w14:textId="77777777" w:rsidR="007D1E74" w:rsidRDefault="00A95641">
            <w:pPr>
              <w:pStyle w:val="TableParagraph"/>
              <w:spacing w:before="37"/>
              <w:ind w:left="143" w:right="143"/>
              <w:rPr>
                <w:sz w:val="21"/>
                <w:szCs w:val="21"/>
              </w:rPr>
            </w:pPr>
            <w:r>
              <w:rPr>
                <w:sz w:val="21"/>
                <w:szCs w:val="21"/>
              </w:rPr>
              <w:t>107.175624</w:t>
            </w:r>
          </w:p>
        </w:tc>
        <w:tc>
          <w:tcPr>
            <w:tcW w:w="760" w:type="pct"/>
          </w:tcPr>
          <w:p w14:paraId="6A536664" w14:textId="77777777" w:rsidR="007D1E74" w:rsidRDefault="00A95641">
            <w:pPr>
              <w:pStyle w:val="TableParagraph"/>
              <w:spacing w:before="37"/>
              <w:ind w:left="106" w:right="105"/>
              <w:rPr>
                <w:sz w:val="21"/>
                <w:szCs w:val="21"/>
              </w:rPr>
            </w:pPr>
            <w:r>
              <w:rPr>
                <w:sz w:val="21"/>
                <w:szCs w:val="21"/>
              </w:rPr>
              <w:t>32.079714</w:t>
            </w:r>
          </w:p>
        </w:tc>
        <w:tc>
          <w:tcPr>
            <w:tcW w:w="1159" w:type="pct"/>
          </w:tcPr>
          <w:p w14:paraId="1C8BEDC3" w14:textId="77777777" w:rsidR="007D1E74" w:rsidRDefault="00A95641">
            <w:pPr>
              <w:pStyle w:val="TableParagraph"/>
              <w:spacing w:line="273" w:lineRule="exact"/>
              <w:ind w:left="102"/>
              <w:rPr>
                <w:rFonts w:ascii="宋体"/>
                <w:sz w:val="21"/>
                <w:szCs w:val="21"/>
              </w:rPr>
            </w:pPr>
            <w:r>
              <w:rPr>
                <w:rFonts w:ascii="宋体" w:hint="eastAsia"/>
                <w:sz w:val="21"/>
                <w:szCs w:val="21"/>
              </w:rPr>
              <w:t>涪阳镇火石岭村</w:t>
            </w:r>
          </w:p>
        </w:tc>
      </w:tr>
      <w:tr w:rsidR="007D1E74" w14:paraId="20EF7197" w14:textId="77777777">
        <w:trPr>
          <w:trHeight w:hRule="exact" w:val="336"/>
        </w:trPr>
        <w:tc>
          <w:tcPr>
            <w:tcW w:w="435" w:type="pct"/>
          </w:tcPr>
          <w:p w14:paraId="3D6863A4" w14:textId="77777777" w:rsidR="007D1E74" w:rsidRDefault="00A95641">
            <w:pPr>
              <w:pStyle w:val="TableParagraph"/>
              <w:spacing w:before="37"/>
              <w:ind w:left="114" w:right="114"/>
              <w:rPr>
                <w:sz w:val="21"/>
                <w:szCs w:val="21"/>
              </w:rPr>
            </w:pPr>
            <w:r>
              <w:rPr>
                <w:sz w:val="21"/>
                <w:szCs w:val="21"/>
              </w:rPr>
              <w:t>3-1</w:t>
            </w:r>
          </w:p>
        </w:tc>
        <w:tc>
          <w:tcPr>
            <w:tcW w:w="1160" w:type="pct"/>
          </w:tcPr>
          <w:p w14:paraId="68C36264" w14:textId="77777777" w:rsidR="007D1E74" w:rsidRDefault="00A95641">
            <w:pPr>
              <w:pStyle w:val="TableParagraph"/>
              <w:spacing w:line="273" w:lineRule="exact"/>
              <w:ind w:left="103"/>
              <w:rPr>
                <w:rFonts w:ascii="宋体"/>
                <w:sz w:val="21"/>
                <w:szCs w:val="21"/>
              </w:rPr>
            </w:pPr>
            <w:r>
              <w:rPr>
                <w:rFonts w:ascii="宋体" w:hint="eastAsia"/>
                <w:sz w:val="21"/>
                <w:szCs w:val="21"/>
              </w:rPr>
              <w:t>桤木林</w:t>
            </w:r>
          </w:p>
        </w:tc>
        <w:tc>
          <w:tcPr>
            <w:tcW w:w="653" w:type="pct"/>
          </w:tcPr>
          <w:p w14:paraId="2AA29209" w14:textId="77777777" w:rsidR="007D1E74" w:rsidRDefault="00A95641">
            <w:pPr>
              <w:pStyle w:val="TableParagraph"/>
              <w:spacing w:before="37"/>
              <w:ind w:left="116" w:right="115"/>
              <w:rPr>
                <w:sz w:val="21"/>
                <w:szCs w:val="21"/>
              </w:rPr>
            </w:pPr>
            <w:r>
              <w:rPr>
                <w:sz w:val="21"/>
                <w:szCs w:val="21"/>
              </w:rPr>
              <w:t>507</w:t>
            </w:r>
          </w:p>
        </w:tc>
        <w:tc>
          <w:tcPr>
            <w:tcW w:w="833" w:type="pct"/>
          </w:tcPr>
          <w:p w14:paraId="39C938D7" w14:textId="77777777" w:rsidR="007D1E74" w:rsidRDefault="00A95641">
            <w:pPr>
              <w:pStyle w:val="TableParagraph"/>
              <w:spacing w:before="37"/>
              <w:ind w:left="143" w:right="143"/>
              <w:rPr>
                <w:sz w:val="21"/>
                <w:szCs w:val="21"/>
              </w:rPr>
            </w:pPr>
            <w:r>
              <w:rPr>
                <w:sz w:val="21"/>
                <w:szCs w:val="21"/>
              </w:rPr>
              <w:t>107.178424</w:t>
            </w:r>
          </w:p>
        </w:tc>
        <w:tc>
          <w:tcPr>
            <w:tcW w:w="760" w:type="pct"/>
          </w:tcPr>
          <w:p w14:paraId="77965436" w14:textId="77777777" w:rsidR="007D1E74" w:rsidRDefault="00A95641">
            <w:pPr>
              <w:pStyle w:val="TableParagraph"/>
              <w:spacing w:before="37"/>
              <w:ind w:left="106" w:right="105"/>
              <w:rPr>
                <w:sz w:val="21"/>
                <w:szCs w:val="21"/>
              </w:rPr>
            </w:pPr>
            <w:r>
              <w:rPr>
                <w:sz w:val="21"/>
                <w:szCs w:val="21"/>
              </w:rPr>
              <w:t>32.087042</w:t>
            </w:r>
          </w:p>
        </w:tc>
        <w:tc>
          <w:tcPr>
            <w:tcW w:w="1159" w:type="pct"/>
          </w:tcPr>
          <w:p w14:paraId="5D29A017" w14:textId="77777777" w:rsidR="007D1E74" w:rsidRDefault="00A95641">
            <w:pPr>
              <w:pStyle w:val="TableParagraph"/>
              <w:spacing w:line="273" w:lineRule="exact"/>
              <w:ind w:left="102"/>
              <w:rPr>
                <w:rFonts w:ascii="宋体"/>
                <w:sz w:val="21"/>
                <w:szCs w:val="21"/>
              </w:rPr>
            </w:pPr>
            <w:r>
              <w:rPr>
                <w:rFonts w:ascii="宋体" w:hint="eastAsia"/>
                <w:sz w:val="21"/>
                <w:szCs w:val="21"/>
              </w:rPr>
              <w:t>新场镇金家坪村</w:t>
            </w:r>
          </w:p>
        </w:tc>
      </w:tr>
      <w:tr w:rsidR="007D1E74" w14:paraId="15A687DD" w14:textId="77777777">
        <w:trPr>
          <w:trHeight w:hRule="exact" w:val="336"/>
        </w:trPr>
        <w:tc>
          <w:tcPr>
            <w:tcW w:w="435" w:type="pct"/>
          </w:tcPr>
          <w:p w14:paraId="1CE58287" w14:textId="77777777" w:rsidR="007D1E74" w:rsidRDefault="00A95641">
            <w:pPr>
              <w:pStyle w:val="TableParagraph"/>
              <w:spacing w:before="37"/>
              <w:ind w:left="114" w:right="114"/>
              <w:rPr>
                <w:sz w:val="21"/>
                <w:szCs w:val="21"/>
              </w:rPr>
            </w:pPr>
            <w:r>
              <w:rPr>
                <w:sz w:val="21"/>
                <w:szCs w:val="21"/>
              </w:rPr>
              <w:t>3-2</w:t>
            </w:r>
          </w:p>
        </w:tc>
        <w:tc>
          <w:tcPr>
            <w:tcW w:w="1160" w:type="pct"/>
          </w:tcPr>
          <w:p w14:paraId="2BCD3243" w14:textId="77777777" w:rsidR="007D1E74" w:rsidRDefault="00A95641">
            <w:pPr>
              <w:pStyle w:val="TableParagraph"/>
              <w:spacing w:line="273" w:lineRule="exact"/>
              <w:ind w:left="103"/>
              <w:rPr>
                <w:rFonts w:ascii="宋体"/>
                <w:sz w:val="21"/>
                <w:szCs w:val="21"/>
              </w:rPr>
            </w:pPr>
            <w:r>
              <w:rPr>
                <w:rFonts w:ascii="宋体" w:hint="eastAsia"/>
                <w:sz w:val="21"/>
                <w:szCs w:val="21"/>
              </w:rPr>
              <w:t>耕地</w:t>
            </w:r>
          </w:p>
        </w:tc>
        <w:tc>
          <w:tcPr>
            <w:tcW w:w="653" w:type="pct"/>
          </w:tcPr>
          <w:p w14:paraId="7A0DF72C" w14:textId="77777777" w:rsidR="007D1E74" w:rsidRDefault="00A95641">
            <w:pPr>
              <w:pStyle w:val="TableParagraph"/>
              <w:spacing w:before="37"/>
              <w:ind w:left="116" w:right="115"/>
              <w:rPr>
                <w:sz w:val="21"/>
                <w:szCs w:val="21"/>
              </w:rPr>
            </w:pPr>
            <w:r>
              <w:rPr>
                <w:sz w:val="21"/>
                <w:szCs w:val="21"/>
              </w:rPr>
              <w:t>553</w:t>
            </w:r>
          </w:p>
        </w:tc>
        <w:tc>
          <w:tcPr>
            <w:tcW w:w="833" w:type="pct"/>
          </w:tcPr>
          <w:p w14:paraId="04D05417" w14:textId="77777777" w:rsidR="007D1E74" w:rsidRDefault="00A95641">
            <w:pPr>
              <w:pStyle w:val="TableParagraph"/>
              <w:spacing w:before="37"/>
              <w:ind w:left="143" w:right="143"/>
              <w:rPr>
                <w:sz w:val="21"/>
                <w:szCs w:val="21"/>
              </w:rPr>
            </w:pPr>
            <w:r>
              <w:rPr>
                <w:sz w:val="21"/>
                <w:szCs w:val="21"/>
              </w:rPr>
              <w:t>107.182040</w:t>
            </w:r>
          </w:p>
        </w:tc>
        <w:tc>
          <w:tcPr>
            <w:tcW w:w="760" w:type="pct"/>
          </w:tcPr>
          <w:p w14:paraId="4736A8A2" w14:textId="77777777" w:rsidR="007D1E74" w:rsidRDefault="00A95641">
            <w:pPr>
              <w:pStyle w:val="TableParagraph"/>
              <w:spacing w:before="37"/>
              <w:ind w:left="106" w:right="105"/>
              <w:rPr>
                <w:sz w:val="21"/>
                <w:szCs w:val="21"/>
              </w:rPr>
            </w:pPr>
            <w:r>
              <w:rPr>
                <w:sz w:val="21"/>
                <w:szCs w:val="21"/>
              </w:rPr>
              <w:t>32.115435</w:t>
            </w:r>
          </w:p>
        </w:tc>
        <w:tc>
          <w:tcPr>
            <w:tcW w:w="1159" w:type="pct"/>
          </w:tcPr>
          <w:p w14:paraId="16F0241F" w14:textId="77777777" w:rsidR="007D1E74" w:rsidRDefault="00A95641">
            <w:pPr>
              <w:pStyle w:val="TableParagraph"/>
              <w:spacing w:line="273" w:lineRule="exact"/>
              <w:ind w:left="102"/>
              <w:rPr>
                <w:rFonts w:ascii="宋体"/>
                <w:sz w:val="21"/>
                <w:szCs w:val="21"/>
              </w:rPr>
            </w:pPr>
            <w:r>
              <w:rPr>
                <w:rFonts w:ascii="宋体" w:hint="eastAsia"/>
                <w:sz w:val="21"/>
                <w:szCs w:val="21"/>
              </w:rPr>
              <w:t>新场镇巴州沟村</w:t>
            </w:r>
          </w:p>
        </w:tc>
      </w:tr>
      <w:tr w:rsidR="007D1E74" w14:paraId="38AEFC5F" w14:textId="77777777">
        <w:trPr>
          <w:trHeight w:hRule="exact" w:val="336"/>
        </w:trPr>
        <w:tc>
          <w:tcPr>
            <w:tcW w:w="435" w:type="pct"/>
          </w:tcPr>
          <w:p w14:paraId="30B6F184" w14:textId="77777777" w:rsidR="007D1E74" w:rsidRDefault="00A95641">
            <w:pPr>
              <w:pStyle w:val="TableParagraph"/>
              <w:spacing w:before="37"/>
              <w:ind w:left="114" w:right="114"/>
              <w:rPr>
                <w:sz w:val="21"/>
                <w:szCs w:val="21"/>
              </w:rPr>
            </w:pPr>
            <w:r>
              <w:rPr>
                <w:sz w:val="21"/>
                <w:szCs w:val="21"/>
              </w:rPr>
              <w:t>3-3</w:t>
            </w:r>
          </w:p>
        </w:tc>
        <w:tc>
          <w:tcPr>
            <w:tcW w:w="1160" w:type="pct"/>
          </w:tcPr>
          <w:p w14:paraId="755C32AF" w14:textId="77777777" w:rsidR="007D1E74" w:rsidRDefault="00A95641">
            <w:pPr>
              <w:pStyle w:val="TableParagraph"/>
              <w:spacing w:line="273" w:lineRule="exact"/>
              <w:ind w:left="103"/>
              <w:rPr>
                <w:rFonts w:ascii="宋体"/>
                <w:sz w:val="21"/>
                <w:szCs w:val="21"/>
              </w:rPr>
            </w:pPr>
            <w:r>
              <w:rPr>
                <w:rFonts w:ascii="宋体" w:hint="eastAsia"/>
                <w:sz w:val="21"/>
                <w:szCs w:val="21"/>
              </w:rPr>
              <w:t>白茅灌草丛</w:t>
            </w:r>
          </w:p>
        </w:tc>
        <w:tc>
          <w:tcPr>
            <w:tcW w:w="653" w:type="pct"/>
          </w:tcPr>
          <w:p w14:paraId="6D116CB1" w14:textId="77777777" w:rsidR="007D1E74" w:rsidRDefault="00A95641">
            <w:pPr>
              <w:pStyle w:val="TableParagraph"/>
              <w:spacing w:before="37"/>
              <w:ind w:left="116" w:right="115"/>
              <w:rPr>
                <w:sz w:val="21"/>
                <w:szCs w:val="21"/>
              </w:rPr>
            </w:pPr>
            <w:r>
              <w:rPr>
                <w:sz w:val="21"/>
                <w:szCs w:val="21"/>
              </w:rPr>
              <w:t>517</w:t>
            </w:r>
          </w:p>
        </w:tc>
        <w:tc>
          <w:tcPr>
            <w:tcW w:w="833" w:type="pct"/>
          </w:tcPr>
          <w:p w14:paraId="5083ABB9" w14:textId="77777777" w:rsidR="007D1E74" w:rsidRDefault="00A95641">
            <w:pPr>
              <w:pStyle w:val="TableParagraph"/>
              <w:spacing w:before="37"/>
              <w:ind w:left="143" w:right="143"/>
              <w:rPr>
                <w:sz w:val="21"/>
                <w:szCs w:val="21"/>
              </w:rPr>
            </w:pPr>
            <w:r>
              <w:rPr>
                <w:sz w:val="21"/>
                <w:szCs w:val="21"/>
              </w:rPr>
              <w:t>107.169957</w:t>
            </w:r>
          </w:p>
        </w:tc>
        <w:tc>
          <w:tcPr>
            <w:tcW w:w="760" w:type="pct"/>
          </w:tcPr>
          <w:p w14:paraId="665FC7EC" w14:textId="77777777" w:rsidR="007D1E74" w:rsidRDefault="00A95641">
            <w:pPr>
              <w:pStyle w:val="TableParagraph"/>
              <w:spacing w:before="37"/>
              <w:ind w:left="106" w:right="105"/>
              <w:rPr>
                <w:sz w:val="21"/>
                <w:szCs w:val="21"/>
              </w:rPr>
            </w:pPr>
            <w:r>
              <w:rPr>
                <w:sz w:val="21"/>
                <w:szCs w:val="21"/>
              </w:rPr>
              <w:t>32.119510</w:t>
            </w:r>
          </w:p>
        </w:tc>
        <w:tc>
          <w:tcPr>
            <w:tcW w:w="1159" w:type="pct"/>
          </w:tcPr>
          <w:p w14:paraId="0385A246" w14:textId="77777777" w:rsidR="007D1E74" w:rsidRDefault="00A95641">
            <w:pPr>
              <w:pStyle w:val="TableParagraph"/>
              <w:spacing w:line="273" w:lineRule="exact"/>
              <w:ind w:left="102"/>
              <w:rPr>
                <w:rFonts w:ascii="宋体"/>
                <w:sz w:val="21"/>
                <w:szCs w:val="21"/>
              </w:rPr>
            </w:pPr>
            <w:r>
              <w:rPr>
                <w:rFonts w:ascii="宋体" w:hint="eastAsia"/>
                <w:sz w:val="21"/>
                <w:szCs w:val="21"/>
              </w:rPr>
              <w:t>新场镇清江村</w:t>
            </w:r>
          </w:p>
        </w:tc>
      </w:tr>
      <w:tr w:rsidR="007D1E74" w14:paraId="3EC89F5B" w14:textId="77777777">
        <w:trPr>
          <w:trHeight w:hRule="exact" w:val="336"/>
        </w:trPr>
        <w:tc>
          <w:tcPr>
            <w:tcW w:w="435" w:type="pct"/>
          </w:tcPr>
          <w:p w14:paraId="2C14910B" w14:textId="77777777" w:rsidR="007D1E74" w:rsidRDefault="00A95641">
            <w:pPr>
              <w:pStyle w:val="TableParagraph"/>
              <w:spacing w:before="37"/>
              <w:ind w:left="114" w:right="114"/>
              <w:rPr>
                <w:sz w:val="21"/>
                <w:szCs w:val="21"/>
              </w:rPr>
            </w:pPr>
            <w:r>
              <w:rPr>
                <w:sz w:val="21"/>
                <w:szCs w:val="21"/>
              </w:rPr>
              <w:t>3-4</w:t>
            </w:r>
          </w:p>
        </w:tc>
        <w:tc>
          <w:tcPr>
            <w:tcW w:w="1160" w:type="pct"/>
          </w:tcPr>
          <w:p w14:paraId="2C0D263E" w14:textId="77777777" w:rsidR="007D1E74" w:rsidRDefault="00A95641">
            <w:pPr>
              <w:pStyle w:val="TableParagraph"/>
              <w:spacing w:line="273" w:lineRule="exact"/>
              <w:ind w:left="103"/>
              <w:rPr>
                <w:rFonts w:ascii="宋体"/>
                <w:sz w:val="21"/>
                <w:szCs w:val="21"/>
              </w:rPr>
            </w:pPr>
            <w:r>
              <w:rPr>
                <w:rFonts w:ascii="宋体" w:hint="eastAsia"/>
                <w:sz w:val="21"/>
                <w:szCs w:val="21"/>
              </w:rPr>
              <w:t>麻栎林</w:t>
            </w:r>
          </w:p>
        </w:tc>
        <w:tc>
          <w:tcPr>
            <w:tcW w:w="653" w:type="pct"/>
          </w:tcPr>
          <w:p w14:paraId="0F80EACC" w14:textId="77777777" w:rsidR="007D1E74" w:rsidRDefault="00A95641">
            <w:pPr>
              <w:pStyle w:val="TableParagraph"/>
              <w:spacing w:before="37"/>
              <w:ind w:left="116" w:right="115"/>
              <w:rPr>
                <w:sz w:val="21"/>
                <w:szCs w:val="21"/>
              </w:rPr>
            </w:pPr>
            <w:r>
              <w:rPr>
                <w:sz w:val="21"/>
                <w:szCs w:val="21"/>
              </w:rPr>
              <w:t>580</w:t>
            </w:r>
          </w:p>
        </w:tc>
        <w:tc>
          <w:tcPr>
            <w:tcW w:w="833" w:type="pct"/>
          </w:tcPr>
          <w:p w14:paraId="5FBC5884" w14:textId="77777777" w:rsidR="007D1E74" w:rsidRDefault="00A95641">
            <w:pPr>
              <w:pStyle w:val="TableParagraph"/>
              <w:spacing w:before="37"/>
              <w:ind w:left="143" w:right="143"/>
              <w:rPr>
                <w:sz w:val="21"/>
                <w:szCs w:val="21"/>
              </w:rPr>
            </w:pPr>
            <w:r>
              <w:rPr>
                <w:sz w:val="21"/>
                <w:szCs w:val="21"/>
              </w:rPr>
              <w:t>107.162894</w:t>
            </w:r>
          </w:p>
        </w:tc>
        <w:tc>
          <w:tcPr>
            <w:tcW w:w="760" w:type="pct"/>
          </w:tcPr>
          <w:p w14:paraId="579CB9EF" w14:textId="77777777" w:rsidR="007D1E74" w:rsidRDefault="00A95641">
            <w:pPr>
              <w:pStyle w:val="TableParagraph"/>
              <w:spacing w:before="37"/>
              <w:ind w:left="106" w:right="105"/>
              <w:rPr>
                <w:sz w:val="21"/>
                <w:szCs w:val="21"/>
              </w:rPr>
            </w:pPr>
            <w:r>
              <w:rPr>
                <w:sz w:val="21"/>
                <w:szCs w:val="21"/>
              </w:rPr>
              <w:t>32.147035</w:t>
            </w:r>
          </w:p>
        </w:tc>
        <w:tc>
          <w:tcPr>
            <w:tcW w:w="1159" w:type="pct"/>
          </w:tcPr>
          <w:p w14:paraId="3295FAF0" w14:textId="77777777" w:rsidR="007D1E74" w:rsidRDefault="00A95641">
            <w:pPr>
              <w:pStyle w:val="TableParagraph"/>
              <w:spacing w:line="273" w:lineRule="exact"/>
              <w:ind w:left="102"/>
              <w:rPr>
                <w:rFonts w:ascii="宋体"/>
                <w:sz w:val="21"/>
                <w:szCs w:val="21"/>
              </w:rPr>
            </w:pPr>
            <w:r>
              <w:rPr>
                <w:rFonts w:ascii="宋体" w:hint="eastAsia"/>
                <w:sz w:val="21"/>
                <w:szCs w:val="21"/>
              </w:rPr>
              <w:t>新场镇清江村</w:t>
            </w:r>
          </w:p>
        </w:tc>
      </w:tr>
      <w:tr w:rsidR="007D1E74" w14:paraId="3280ECF4" w14:textId="77777777">
        <w:trPr>
          <w:trHeight w:hRule="exact" w:val="336"/>
        </w:trPr>
        <w:tc>
          <w:tcPr>
            <w:tcW w:w="435" w:type="pct"/>
          </w:tcPr>
          <w:p w14:paraId="31963B8E" w14:textId="77777777" w:rsidR="007D1E74" w:rsidRDefault="00A95641">
            <w:pPr>
              <w:pStyle w:val="TableParagraph"/>
              <w:spacing w:before="37"/>
              <w:ind w:left="114" w:right="114"/>
              <w:rPr>
                <w:sz w:val="21"/>
                <w:szCs w:val="21"/>
              </w:rPr>
            </w:pPr>
            <w:r>
              <w:rPr>
                <w:sz w:val="21"/>
                <w:szCs w:val="21"/>
              </w:rPr>
              <w:t>3-5</w:t>
            </w:r>
          </w:p>
        </w:tc>
        <w:tc>
          <w:tcPr>
            <w:tcW w:w="1160" w:type="pct"/>
          </w:tcPr>
          <w:p w14:paraId="6B7773BA" w14:textId="77777777" w:rsidR="007D1E74" w:rsidRDefault="00A95641">
            <w:pPr>
              <w:pStyle w:val="TableParagraph"/>
              <w:spacing w:line="273" w:lineRule="exact"/>
              <w:ind w:left="103"/>
              <w:rPr>
                <w:rFonts w:ascii="宋体"/>
                <w:sz w:val="21"/>
                <w:szCs w:val="21"/>
              </w:rPr>
            </w:pPr>
            <w:r>
              <w:rPr>
                <w:rFonts w:ascii="宋体" w:hint="eastAsia"/>
                <w:sz w:val="21"/>
                <w:szCs w:val="21"/>
              </w:rPr>
              <w:t>蒿灌草丛</w:t>
            </w:r>
          </w:p>
        </w:tc>
        <w:tc>
          <w:tcPr>
            <w:tcW w:w="653" w:type="pct"/>
          </w:tcPr>
          <w:p w14:paraId="609F88CD" w14:textId="77777777" w:rsidR="007D1E74" w:rsidRDefault="00A95641">
            <w:pPr>
              <w:pStyle w:val="TableParagraph"/>
              <w:spacing w:before="37"/>
              <w:ind w:left="116" w:right="115"/>
              <w:rPr>
                <w:sz w:val="21"/>
                <w:szCs w:val="21"/>
              </w:rPr>
            </w:pPr>
            <w:r>
              <w:rPr>
                <w:sz w:val="21"/>
                <w:szCs w:val="21"/>
              </w:rPr>
              <w:t>710</w:t>
            </w:r>
          </w:p>
        </w:tc>
        <w:tc>
          <w:tcPr>
            <w:tcW w:w="833" w:type="pct"/>
          </w:tcPr>
          <w:p w14:paraId="634FFF68" w14:textId="77777777" w:rsidR="007D1E74" w:rsidRDefault="00A95641">
            <w:pPr>
              <w:pStyle w:val="TableParagraph"/>
              <w:spacing w:before="37"/>
              <w:ind w:left="143" w:right="143"/>
              <w:rPr>
                <w:sz w:val="21"/>
                <w:szCs w:val="21"/>
              </w:rPr>
            </w:pPr>
            <w:r>
              <w:rPr>
                <w:sz w:val="21"/>
                <w:szCs w:val="21"/>
              </w:rPr>
              <w:t>107.183687</w:t>
            </w:r>
          </w:p>
        </w:tc>
        <w:tc>
          <w:tcPr>
            <w:tcW w:w="760" w:type="pct"/>
          </w:tcPr>
          <w:p w14:paraId="0F0617F2" w14:textId="77777777" w:rsidR="007D1E74" w:rsidRDefault="00A95641">
            <w:pPr>
              <w:pStyle w:val="TableParagraph"/>
              <w:spacing w:before="37"/>
              <w:ind w:left="106" w:right="105"/>
              <w:rPr>
                <w:sz w:val="21"/>
                <w:szCs w:val="21"/>
              </w:rPr>
            </w:pPr>
            <w:r>
              <w:rPr>
                <w:sz w:val="21"/>
                <w:szCs w:val="21"/>
              </w:rPr>
              <w:t>32.151154</w:t>
            </w:r>
          </w:p>
        </w:tc>
        <w:tc>
          <w:tcPr>
            <w:tcW w:w="1159" w:type="pct"/>
          </w:tcPr>
          <w:p w14:paraId="77D14640" w14:textId="77777777" w:rsidR="007D1E74" w:rsidRDefault="00A95641">
            <w:pPr>
              <w:pStyle w:val="TableParagraph"/>
              <w:spacing w:line="273" w:lineRule="exact"/>
              <w:ind w:left="102"/>
              <w:rPr>
                <w:rFonts w:ascii="宋体"/>
                <w:sz w:val="21"/>
                <w:szCs w:val="21"/>
              </w:rPr>
            </w:pPr>
            <w:r>
              <w:rPr>
                <w:rFonts w:ascii="宋体" w:hint="eastAsia"/>
                <w:sz w:val="21"/>
                <w:szCs w:val="21"/>
              </w:rPr>
              <w:t>新场镇红岩村</w:t>
            </w:r>
          </w:p>
        </w:tc>
      </w:tr>
      <w:tr w:rsidR="007D1E74" w14:paraId="3C2E8A11" w14:textId="77777777">
        <w:trPr>
          <w:trHeight w:hRule="exact" w:val="336"/>
        </w:trPr>
        <w:tc>
          <w:tcPr>
            <w:tcW w:w="435" w:type="pct"/>
          </w:tcPr>
          <w:p w14:paraId="170F0F1B" w14:textId="77777777" w:rsidR="007D1E74" w:rsidRDefault="00A95641">
            <w:pPr>
              <w:pStyle w:val="TableParagraph"/>
              <w:spacing w:before="37"/>
              <w:ind w:left="114" w:right="114"/>
              <w:rPr>
                <w:sz w:val="21"/>
                <w:szCs w:val="21"/>
              </w:rPr>
            </w:pPr>
            <w:r>
              <w:rPr>
                <w:sz w:val="21"/>
                <w:szCs w:val="21"/>
              </w:rPr>
              <w:t>4-1</w:t>
            </w:r>
          </w:p>
        </w:tc>
        <w:tc>
          <w:tcPr>
            <w:tcW w:w="1160" w:type="pct"/>
          </w:tcPr>
          <w:p w14:paraId="37C336B5" w14:textId="77777777" w:rsidR="007D1E74" w:rsidRDefault="00A95641">
            <w:pPr>
              <w:pStyle w:val="TableParagraph"/>
              <w:spacing w:line="273" w:lineRule="exact"/>
              <w:ind w:left="103"/>
              <w:rPr>
                <w:rFonts w:ascii="宋体"/>
                <w:sz w:val="21"/>
                <w:szCs w:val="21"/>
              </w:rPr>
            </w:pPr>
            <w:r>
              <w:rPr>
                <w:rFonts w:ascii="宋体" w:hint="eastAsia"/>
                <w:sz w:val="21"/>
                <w:szCs w:val="21"/>
              </w:rPr>
              <w:t>柏木林</w:t>
            </w:r>
          </w:p>
        </w:tc>
        <w:tc>
          <w:tcPr>
            <w:tcW w:w="653" w:type="pct"/>
          </w:tcPr>
          <w:p w14:paraId="5716848F" w14:textId="77777777" w:rsidR="007D1E74" w:rsidRDefault="00A95641">
            <w:pPr>
              <w:pStyle w:val="TableParagraph"/>
              <w:spacing w:before="37"/>
              <w:ind w:left="116" w:right="115"/>
              <w:rPr>
                <w:sz w:val="21"/>
                <w:szCs w:val="21"/>
              </w:rPr>
            </w:pPr>
            <w:r>
              <w:rPr>
                <w:sz w:val="21"/>
                <w:szCs w:val="21"/>
              </w:rPr>
              <w:t>474</w:t>
            </w:r>
          </w:p>
        </w:tc>
        <w:tc>
          <w:tcPr>
            <w:tcW w:w="833" w:type="pct"/>
          </w:tcPr>
          <w:p w14:paraId="15E854BE" w14:textId="77777777" w:rsidR="007D1E74" w:rsidRDefault="00A95641">
            <w:pPr>
              <w:pStyle w:val="TableParagraph"/>
              <w:spacing w:before="37"/>
              <w:ind w:left="143" w:right="143"/>
              <w:rPr>
                <w:sz w:val="21"/>
                <w:szCs w:val="21"/>
              </w:rPr>
            </w:pPr>
            <w:r>
              <w:rPr>
                <w:sz w:val="21"/>
                <w:szCs w:val="21"/>
              </w:rPr>
              <w:t>107.172464</w:t>
            </w:r>
          </w:p>
        </w:tc>
        <w:tc>
          <w:tcPr>
            <w:tcW w:w="760" w:type="pct"/>
          </w:tcPr>
          <w:p w14:paraId="0D07BAFE" w14:textId="77777777" w:rsidR="007D1E74" w:rsidRDefault="00A95641">
            <w:pPr>
              <w:pStyle w:val="TableParagraph"/>
              <w:spacing w:before="37"/>
              <w:ind w:left="106" w:right="105"/>
              <w:rPr>
                <w:sz w:val="21"/>
                <w:szCs w:val="21"/>
              </w:rPr>
            </w:pPr>
            <w:r>
              <w:rPr>
                <w:sz w:val="21"/>
                <w:szCs w:val="21"/>
              </w:rPr>
              <w:t>32.175788</w:t>
            </w:r>
          </w:p>
        </w:tc>
        <w:tc>
          <w:tcPr>
            <w:tcW w:w="1159" w:type="pct"/>
          </w:tcPr>
          <w:p w14:paraId="7C9D5E10" w14:textId="77777777" w:rsidR="007D1E74" w:rsidRDefault="00A95641">
            <w:pPr>
              <w:pStyle w:val="TableParagraph"/>
              <w:spacing w:line="273" w:lineRule="exact"/>
              <w:ind w:left="102"/>
              <w:rPr>
                <w:rFonts w:ascii="宋体"/>
                <w:sz w:val="21"/>
                <w:szCs w:val="21"/>
              </w:rPr>
            </w:pPr>
            <w:r>
              <w:rPr>
                <w:rFonts w:ascii="宋体" w:hint="eastAsia"/>
                <w:sz w:val="21"/>
                <w:szCs w:val="21"/>
              </w:rPr>
              <w:t>青峪镇窄口村</w:t>
            </w:r>
          </w:p>
        </w:tc>
      </w:tr>
      <w:tr w:rsidR="007D1E74" w14:paraId="287415E4" w14:textId="77777777">
        <w:trPr>
          <w:trHeight w:hRule="exact" w:val="336"/>
        </w:trPr>
        <w:tc>
          <w:tcPr>
            <w:tcW w:w="435" w:type="pct"/>
          </w:tcPr>
          <w:p w14:paraId="60738A90" w14:textId="77777777" w:rsidR="007D1E74" w:rsidRDefault="00A95641">
            <w:pPr>
              <w:pStyle w:val="TableParagraph"/>
              <w:spacing w:before="37"/>
              <w:ind w:left="114" w:right="114"/>
              <w:rPr>
                <w:sz w:val="21"/>
                <w:szCs w:val="21"/>
              </w:rPr>
            </w:pPr>
            <w:r>
              <w:rPr>
                <w:sz w:val="21"/>
                <w:szCs w:val="21"/>
              </w:rPr>
              <w:t>4-2</w:t>
            </w:r>
          </w:p>
        </w:tc>
        <w:tc>
          <w:tcPr>
            <w:tcW w:w="1160" w:type="pct"/>
          </w:tcPr>
          <w:p w14:paraId="4B978EBA" w14:textId="77777777" w:rsidR="007D1E74" w:rsidRDefault="00A95641">
            <w:pPr>
              <w:pStyle w:val="TableParagraph"/>
              <w:spacing w:line="273" w:lineRule="exact"/>
              <w:ind w:left="103"/>
              <w:rPr>
                <w:rFonts w:ascii="宋体"/>
                <w:sz w:val="21"/>
                <w:szCs w:val="21"/>
              </w:rPr>
            </w:pPr>
            <w:r>
              <w:rPr>
                <w:rFonts w:ascii="宋体" w:hint="eastAsia"/>
                <w:sz w:val="21"/>
                <w:szCs w:val="21"/>
              </w:rPr>
              <w:t>马桑黄荆灌丛</w:t>
            </w:r>
          </w:p>
        </w:tc>
        <w:tc>
          <w:tcPr>
            <w:tcW w:w="653" w:type="pct"/>
          </w:tcPr>
          <w:p w14:paraId="104B5C4D" w14:textId="77777777" w:rsidR="007D1E74" w:rsidRDefault="00A95641">
            <w:pPr>
              <w:pStyle w:val="TableParagraph"/>
              <w:spacing w:before="37"/>
              <w:ind w:left="116" w:right="115"/>
              <w:rPr>
                <w:sz w:val="21"/>
                <w:szCs w:val="21"/>
              </w:rPr>
            </w:pPr>
            <w:r>
              <w:rPr>
                <w:sz w:val="21"/>
                <w:szCs w:val="21"/>
              </w:rPr>
              <w:t>501</w:t>
            </w:r>
          </w:p>
        </w:tc>
        <w:tc>
          <w:tcPr>
            <w:tcW w:w="833" w:type="pct"/>
          </w:tcPr>
          <w:p w14:paraId="3620AA93" w14:textId="77777777" w:rsidR="007D1E74" w:rsidRDefault="00A95641">
            <w:pPr>
              <w:pStyle w:val="TableParagraph"/>
              <w:spacing w:before="37"/>
              <w:ind w:left="143" w:right="143"/>
              <w:rPr>
                <w:sz w:val="21"/>
                <w:szCs w:val="21"/>
              </w:rPr>
            </w:pPr>
            <w:r>
              <w:rPr>
                <w:sz w:val="21"/>
                <w:szCs w:val="21"/>
              </w:rPr>
              <w:t>107.183858</w:t>
            </w:r>
          </w:p>
        </w:tc>
        <w:tc>
          <w:tcPr>
            <w:tcW w:w="760" w:type="pct"/>
          </w:tcPr>
          <w:p w14:paraId="1E3C9083" w14:textId="77777777" w:rsidR="007D1E74" w:rsidRDefault="00A95641">
            <w:pPr>
              <w:pStyle w:val="TableParagraph"/>
              <w:spacing w:before="37"/>
              <w:ind w:left="106" w:right="105"/>
              <w:rPr>
                <w:sz w:val="21"/>
                <w:szCs w:val="21"/>
              </w:rPr>
            </w:pPr>
            <w:r>
              <w:rPr>
                <w:sz w:val="21"/>
                <w:szCs w:val="21"/>
              </w:rPr>
              <w:t>32.211214</w:t>
            </w:r>
          </w:p>
        </w:tc>
        <w:tc>
          <w:tcPr>
            <w:tcW w:w="1159" w:type="pct"/>
          </w:tcPr>
          <w:p w14:paraId="1480B388" w14:textId="77777777" w:rsidR="007D1E74" w:rsidRDefault="00A95641">
            <w:pPr>
              <w:pStyle w:val="TableParagraph"/>
              <w:spacing w:line="273" w:lineRule="exact"/>
              <w:ind w:left="102"/>
              <w:rPr>
                <w:rFonts w:ascii="宋体"/>
                <w:sz w:val="21"/>
                <w:szCs w:val="21"/>
              </w:rPr>
            </w:pPr>
            <w:r>
              <w:rPr>
                <w:rFonts w:ascii="宋体" w:hint="eastAsia"/>
                <w:sz w:val="21"/>
                <w:szCs w:val="21"/>
              </w:rPr>
              <w:t>青峪镇闫家坝村</w:t>
            </w:r>
          </w:p>
        </w:tc>
      </w:tr>
      <w:tr w:rsidR="007D1E74" w14:paraId="2E2B2B19" w14:textId="77777777">
        <w:trPr>
          <w:trHeight w:hRule="exact" w:val="336"/>
        </w:trPr>
        <w:tc>
          <w:tcPr>
            <w:tcW w:w="435" w:type="pct"/>
          </w:tcPr>
          <w:p w14:paraId="08788920" w14:textId="77777777" w:rsidR="007D1E74" w:rsidRDefault="00A95641">
            <w:pPr>
              <w:pStyle w:val="TableParagraph"/>
              <w:spacing w:before="37"/>
              <w:ind w:left="114" w:right="114"/>
              <w:rPr>
                <w:sz w:val="21"/>
                <w:szCs w:val="21"/>
              </w:rPr>
            </w:pPr>
            <w:r>
              <w:rPr>
                <w:sz w:val="21"/>
                <w:szCs w:val="21"/>
              </w:rPr>
              <w:t>4-3</w:t>
            </w:r>
          </w:p>
        </w:tc>
        <w:tc>
          <w:tcPr>
            <w:tcW w:w="1160" w:type="pct"/>
          </w:tcPr>
          <w:p w14:paraId="13313412" w14:textId="77777777" w:rsidR="007D1E74" w:rsidRDefault="00A95641">
            <w:pPr>
              <w:pStyle w:val="TableParagraph"/>
              <w:spacing w:line="273" w:lineRule="exact"/>
              <w:ind w:left="103"/>
              <w:rPr>
                <w:rFonts w:ascii="宋体"/>
                <w:sz w:val="21"/>
                <w:szCs w:val="21"/>
              </w:rPr>
            </w:pPr>
            <w:r>
              <w:rPr>
                <w:rFonts w:ascii="宋体" w:hint="eastAsia"/>
                <w:sz w:val="21"/>
                <w:szCs w:val="21"/>
              </w:rPr>
              <w:t>柏木林</w:t>
            </w:r>
          </w:p>
        </w:tc>
        <w:tc>
          <w:tcPr>
            <w:tcW w:w="653" w:type="pct"/>
          </w:tcPr>
          <w:p w14:paraId="61A746CB" w14:textId="77777777" w:rsidR="007D1E74" w:rsidRDefault="00A95641">
            <w:pPr>
              <w:pStyle w:val="TableParagraph"/>
              <w:spacing w:before="37"/>
              <w:ind w:left="116" w:right="115"/>
              <w:rPr>
                <w:sz w:val="21"/>
                <w:szCs w:val="21"/>
              </w:rPr>
            </w:pPr>
            <w:r>
              <w:rPr>
                <w:sz w:val="21"/>
                <w:szCs w:val="21"/>
              </w:rPr>
              <w:t>646</w:t>
            </w:r>
          </w:p>
        </w:tc>
        <w:tc>
          <w:tcPr>
            <w:tcW w:w="833" w:type="pct"/>
          </w:tcPr>
          <w:p w14:paraId="6953B2AF" w14:textId="77777777" w:rsidR="007D1E74" w:rsidRDefault="00A95641">
            <w:pPr>
              <w:pStyle w:val="TableParagraph"/>
              <w:spacing w:before="37"/>
              <w:ind w:left="143" w:right="143"/>
              <w:rPr>
                <w:sz w:val="21"/>
                <w:szCs w:val="21"/>
              </w:rPr>
            </w:pPr>
            <w:r>
              <w:rPr>
                <w:sz w:val="21"/>
                <w:szCs w:val="21"/>
              </w:rPr>
              <w:t>107.204216</w:t>
            </w:r>
          </w:p>
        </w:tc>
        <w:tc>
          <w:tcPr>
            <w:tcW w:w="760" w:type="pct"/>
          </w:tcPr>
          <w:p w14:paraId="4AFAD4B7" w14:textId="77777777" w:rsidR="007D1E74" w:rsidRDefault="00A95641">
            <w:pPr>
              <w:pStyle w:val="TableParagraph"/>
              <w:spacing w:before="37"/>
              <w:ind w:left="106" w:right="105"/>
              <w:rPr>
                <w:sz w:val="21"/>
                <w:szCs w:val="21"/>
              </w:rPr>
            </w:pPr>
            <w:r>
              <w:rPr>
                <w:sz w:val="21"/>
                <w:szCs w:val="21"/>
              </w:rPr>
              <w:t>32.214809</w:t>
            </w:r>
          </w:p>
        </w:tc>
        <w:tc>
          <w:tcPr>
            <w:tcW w:w="1159" w:type="pct"/>
          </w:tcPr>
          <w:p w14:paraId="13BF54F6" w14:textId="77777777" w:rsidR="007D1E74" w:rsidRDefault="00A95641">
            <w:pPr>
              <w:pStyle w:val="TableParagraph"/>
              <w:spacing w:line="273" w:lineRule="exact"/>
              <w:ind w:left="102"/>
              <w:rPr>
                <w:rFonts w:ascii="宋体"/>
                <w:sz w:val="21"/>
                <w:szCs w:val="21"/>
              </w:rPr>
            </w:pPr>
            <w:r>
              <w:rPr>
                <w:rFonts w:ascii="宋体" w:hint="eastAsia"/>
                <w:sz w:val="21"/>
                <w:szCs w:val="21"/>
              </w:rPr>
              <w:t>青峪镇闫家坝村</w:t>
            </w:r>
          </w:p>
        </w:tc>
      </w:tr>
      <w:tr w:rsidR="007D1E74" w14:paraId="0817294A" w14:textId="77777777">
        <w:trPr>
          <w:trHeight w:hRule="exact" w:val="336"/>
        </w:trPr>
        <w:tc>
          <w:tcPr>
            <w:tcW w:w="435" w:type="pct"/>
          </w:tcPr>
          <w:p w14:paraId="49212DBB" w14:textId="77777777" w:rsidR="007D1E74" w:rsidRDefault="00A95641">
            <w:pPr>
              <w:pStyle w:val="TableParagraph"/>
              <w:spacing w:before="37"/>
              <w:ind w:left="114" w:right="114"/>
              <w:rPr>
                <w:sz w:val="21"/>
                <w:szCs w:val="21"/>
              </w:rPr>
            </w:pPr>
            <w:r>
              <w:rPr>
                <w:sz w:val="21"/>
                <w:szCs w:val="21"/>
              </w:rPr>
              <w:t>4-4</w:t>
            </w:r>
          </w:p>
        </w:tc>
        <w:tc>
          <w:tcPr>
            <w:tcW w:w="1160" w:type="pct"/>
          </w:tcPr>
          <w:p w14:paraId="18E43BFF" w14:textId="77777777" w:rsidR="007D1E74" w:rsidRDefault="00A95641">
            <w:pPr>
              <w:pStyle w:val="TableParagraph"/>
              <w:spacing w:line="273" w:lineRule="exact"/>
              <w:ind w:left="103"/>
              <w:rPr>
                <w:rFonts w:ascii="宋体"/>
                <w:sz w:val="21"/>
                <w:szCs w:val="21"/>
              </w:rPr>
            </w:pPr>
            <w:r>
              <w:rPr>
                <w:rFonts w:ascii="宋体" w:hint="eastAsia"/>
                <w:sz w:val="21"/>
                <w:szCs w:val="21"/>
              </w:rPr>
              <w:t>马尾松林</w:t>
            </w:r>
          </w:p>
        </w:tc>
        <w:tc>
          <w:tcPr>
            <w:tcW w:w="653" w:type="pct"/>
          </w:tcPr>
          <w:p w14:paraId="06DE700B" w14:textId="77777777" w:rsidR="007D1E74" w:rsidRDefault="00A95641">
            <w:pPr>
              <w:pStyle w:val="TableParagraph"/>
              <w:spacing w:before="37"/>
              <w:ind w:left="116" w:right="115"/>
              <w:rPr>
                <w:sz w:val="21"/>
                <w:szCs w:val="21"/>
              </w:rPr>
            </w:pPr>
            <w:r>
              <w:rPr>
                <w:sz w:val="21"/>
                <w:szCs w:val="21"/>
              </w:rPr>
              <w:t>700</w:t>
            </w:r>
          </w:p>
        </w:tc>
        <w:tc>
          <w:tcPr>
            <w:tcW w:w="833" w:type="pct"/>
          </w:tcPr>
          <w:p w14:paraId="1E7D17A3" w14:textId="77777777" w:rsidR="007D1E74" w:rsidRDefault="00A95641">
            <w:pPr>
              <w:pStyle w:val="TableParagraph"/>
              <w:spacing w:before="37"/>
              <w:ind w:left="143" w:right="143"/>
              <w:rPr>
                <w:sz w:val="21"/>
                <w:szCs w:val="21"/>
              </w:rPr>
            </w:pPr>
            <w:r>
              <w:rPr>
                <w:sz w:val="21"/>
                <w:szCs w:val="21"/>
              </w:rPr>
              <w:t>107.220280</w:t>
            </w:r>
          </w:p>
        </w:tc>
        <w:tc>
          <w:tcPr>
            <w:tcW w:w="760" w:type="pct"/>
          </w:tcPr>
          <w:p w14:paraId="40008030" w14:textId="77777777" w:rsidR="007D1E74" w:rsidRDefault="00A95641">
            <w:pPr>
              <w:pStyle w:val="TableParagraph"/>
              <w:spacing w:before="37"/>
              <w:ind w:left="106" w:right="105"/>
              <w:rPr>
                <w:sz w:val="21"/>
                <w:szCs w:val="21"/>
              </w:rPr>
            </w:pPr>
            <w:r>
              <w:rPr>
                <w:sz w:val="21"/>
                <w:szCs w:val="21"/>
              </w:rPr>
              <w:t>32.217421</w:t>
            </w:r>
          </w:p>
        </w:tc>
        <w:tc>
          <w:tcPr>
            <w:tcW w:w="1159" w:type="pct"/>
          </w:tcPr>
          <w:p w14:paraId="6E427F36" w14:textId="77777777" w:rsidR="007D1E74" w:rsidRDefault="00A95641">
            <w:pPr>
              <w:pStyle w:val="TableParagraph"/>
              <w:spacing w:line="273" w:lineRule="exact"/>
              <w:ind w:left="102"/>
              <w:rPr>
                <w:rFonts w:ascii="宋体"/>
                <w:sz w:val="21"/>
                <w:szCs w:val="21"/>
              </w:rPr>
            </w:pPr>
            <w:r>
              <w:rPr>
                <w:rFonts w:ascii="宋体" w:hint="eastAsia"/>
                <w:sz w:val="21"/>
                <w:szCs w:val="21"/>
              </w:rPr>
              <w:t>青峪镇张家坡村</w:t>
            </w:r>
          </w:p>
        </w:tc>
      </w:tr>
      <w:tr w:rsidR="007D1E74" w14:paraId="18C25EA7" w14:textId="77777777">
        <w:trPr>
          <w:trHeight w:hRule="exact" w:val="336"/>
        </w:trPr>
        <w:tc>
          <w:tcPr>
            <w:tcW w:w="435" w:type="pct"/>
          </w:tcPr>
          <w:p w14:paraId="7B97BA4B" w14:textId="77777777" w:rsidR="007D1E74" w:rsidRDefault="00A95641">
            <w:pPr>
              <w:pStyle w:val="TableParagraph"/>
              <w:spacing w:before="37"/>
              <w:ind w:left="114" w:right="114"/>
              <w:rPr>
                <w:sz w:val="21"/>
                <w:szCs w:val="21"/>
              </w:rPr>
            </w:pPr>
            <w:r>
              <w:rPr>
                <w:sz w:val="21"/>
                <w:szCs w:val="21"/>
              </w:rPr>
              <w:t>4-5</w:t>
            </w:r>
          </w:p>
        </w:tc>
        <w:tc>
          <w:tcPr>
            <w:tcW w:w="1160" w:type="pct"/>
          </w:tcPr>
          <w:p w14:paraId="06D2DB37" w14:textId="77777777" w:rsidR="007D1E74" w:rsidRDefault="00A95641">
            <w:pPr>
              <w:pStyle w:val="TableParagraph"/>
              <w:spacing w:line="273" w:lineRule="exact"/>
              <w:ind w:left="103"/>
              <w:rPr>
                <w:rFonts w:ascii="宋体"/>
                <w:sz w:val="21"/>
                <w:szCs w:val="21"/>
              </w:rPr>
            </w:pPr>
            <w:r>
              <w:rPr>
                <w:rFonts w:ascii="宋体" w:hint="eastAsia"/>
                <w:sz w:val="21"/>
                <w:szCs w:val="21"/>
              </w:rPr>
              <w:t>果园</w:t>
            </w:r>
          </w:p>
        </w:tc>
        <w:tc>
          <w:tcPr>
            <w:tcW w:w="653" w:type="pct"/>
          </w:tcPr>
          <w:p w14:paraId="62308C25" w14:textId="77777777" w:rsidR="007D1E74" w:rsidRDefault="00A95641">
            <w:pPr>
              <w:pStyle w:val="TableParagraph"/>
              <w:spacing w:before="37"/>
              <w:ind w:left="116" w:right="115"/>
              <w:rPr>
                <w:sz w:val="21"/>
                <w:szCs w:val="21"/>
              </w:rPr>
            </w:pPr>
            <w:r>
              <w:rPr>
                <w:sz w:val="21"/>
                <w:szCs w:val="21"/>
              </w:rPr>
              <w:t>630</w:t>
            </w:r>
          </w:p>
        </w:tc>
        <w:tc>
          <w:tcPr>
            <w:tcW w:w="833" w:type="pct"/>
          </w:tcPr>
          <w:p w14:paraId="7B7D45FF" w14:textId="77777777" w:rsidR="007D1E74" w:rsidRDefault="00A95641">
            <w:pPr>
              <w:pStyle w:val="TableParagraph"/>
              <w:spacing w:before="37"/>
              <w:ind w:left="143" w:right="143"/>
              <w:rPr>
                <w:sz w:val="21"/>
                <w:szCs w:val="21"/>
              </w:rPr>
            </w:pPr>
            <w:r>
              <w:rPr>
                <w:sz w:val="21"/>
                <w:szCs w:val="21"/>
              </w:rPr>
              <w:t>107.233809</w:t>
            </w:r>
          </w:p>
        </w:tc>
        <w:tc>
          <w:tcPr>
            <w:tcW w:w="760" w:type="pct"/>
          </w:tcPr>
          <w:p w14:paraId="0FF350AF" w14:textId="77777777" w:rsidR="007D1E74" w:rsidRDefault="00A95641">
            <w:pPr>
              <w:pStyle w:val="TableParagraph"/>
              <w:spacing w:before="37"/>
              <w:ind w:left="106" w:right="105"/>
              <w:rPr>
                <w:sz w:val="21"/>
                <w:szCs w:val="21"/>
              </w:rPr>
            </w:pPr>
            <w:r>
              <w:rPr>
                <w:sz w:val="21"/>
                <w:szCs w:val="21"/>
              </w:rPr>
              <w:t>32.220731</w:t>
            </w:r>
          </w:p>
        </w:tc>
        <w:tc>
          <w:tcPr>
            <w:tcW w:w="1159" w:type="pct"/>
          </w:tcPr>
          <w:p w14:paraId="046B0599" w14:textId="77777777" w:rsidR="007D1E74" w:rsidRDefault="00A95641">
            <w:pPr>
              <w:pStyle w:val="TableParagraph"/>
              <w:spacing w:line="273" w:lineRule="exact"/>
              <w:ind w:left="102"/>
              <w:rPr>
                <w:rFonts w:ascii="宋体"/>
                <w:sz w:val="21"/>
                <w:szCs w:val="21"/>
              </w:rPr>
            </w:pPr>
            <w:r>
              <w:rPr>
                <w:rFonts w:ascii="宋体" w:hint="eastAsia"/>
                <w:sz w:val="21"/>
                <w:szCs w:val="21"/>
              </w:rPr>
              <w:t>青峪镇姜家坝村</w:t>
            </w:r>
          </w:p>
        </w:tc>
      </w:tr>
      <w:tr w:rsidR="007D1E74" w14:paraId="6DFBE54A" w14:textId="77777777">
        <w:trPr>
          <w:trHeight w:hRule="exact" w:val="336"/>
        </w:trPr>
        <w:tc>
          <w:tcPr>
            <w:tcW w:w="435" w:type="pct"/>
          </w:tcPr>
          <w:p w14:paraId="73B5FC9D" w14:textId="77777777" w:rsidR="007D1E74" w:rsidRDefault="00A95641">
            <w:pPr>
              <w:pStyle w:val="TableParagraph"/>
              <w:spacing w:before="37"/>
              <w:ind w:left="114" w:right="114"/>
              <w:rPr>
                <w:sz w:val="21"/>
                <w:szCs w:val="21"/>
              </w:rPr>
            </w:pPr>
            <w:r>
              <w:rPr>
                <w:sz w:val="21"/>
                <w:szCs w:val="21"/>
              </w:rPr>
              <w:t>4-6</w:t>
            </w:r>
          </w:p>
        </w:tc>
        <w:tc>
          <w:tcPr>
            <w:tcW w:w="1160" w:type="pct"/>
          </w:tcPr>
          <w:p w14:paraId="27A90BF9" w14:textId="77777777" w:rsidR="007D1E74" w:rsidRDefault="00A95641">
            <w:pPr>
              <w:pStyle w:val="TableParagraph"/>
              <w:spacing w:line="273" w:lineRule="exact"/>
              <w:ind w:left="103"/>
              <w:rPr>
                <w:rFonts w:ascii="宋体"/>
                <w:sz w:val="21"/>
                <w:szCs w:val="21"/>
              </w:rPr>
            </w:pPr>
            <w:r>
              <w:rPr>
                <w:rFonts w:ascii="宋体" w:hint="eastAsia"/>
                <w:sz w:val="21"/>
                <w:szCs w:val="21"/>
              </w:rPr>
              <w:t>耕地、芒灌草丛</w:t>
            </w:r>
          </w:p>
        </w:tc>
        <w:tc>
          <w:tcPr>
            <w:tcW w:w="653" w:type="pct"/>
          </w:tcPr>
          <w:p w14:paraId="1B3D0987" w14:textId="77777777" w:rsidR="007D1E74" w:rsidRDefault="00A95641">
            <w:pPr>
              <w:pStyle w:val="TableParagraph"/>
              <w:spacing w:before="37"/>
              <w:ind w:left="116" w:right="115"/>
              <w:rPr>
                <w:sz w:val="21"/>
                <w:szCs w:val="21"/>
              </w:rPr>
            </w:pPr>
            <w:r>
              <w:rPr>
                <w:sz w:val="21"/>
                <w:szCs w:val="21"/>
              </w:rPr>
              <w:t>612</w:t>
            </w:r>
          </w:p>
        </w:tc>
        <w:tc>
          <w:tcPr>
            <w:tcW w:w="833" w:type="pct"/>
          </w:tcPr>
          <w:p w14:paraId="0FA3511E" w14:textId="77777777" w:rsidR="007D1E74" w:rsidRDefault="00A95641">
            <w:pPr>
              <w:pStyle w:val="TableParagraph"/>
              <w:spacing w:before="37"/>
              <w:ind w:left="143" w:right="143"/>
              <w:rPr>
                <w:sz w:val="21"/>
                <w:szCs w:val="21"/>
              </w:rPr>
            </w:pPr>
            <w:r>
              <w:rPr>
                <w:sz w:val="21"/>
                <w:szCs w:val="21"/>
              </w:rPr>
              <w:t>107.239670</w:t>
            </w:r>
          </w:p>
        </w:tc>
        <w:tc>
          <w:tcPr>
            <w:tcW w:w="760" w:type="pct"/>
          </w:tcPr>
          <w:p w14:paraId="076BB3E9" w14:textId="77777777" w:rsidR="007D1E74" w:rsidRDefault="00A95641">
            <w:pPr>
              <w:pStyle w:val="TableParagraph"/>
              <w:spacing w:before="37"/>
              <w:ind w:left="106" w:right="105"/>
              <w:rPr>
                <w:sz w:val="21"/>
                <w:szCs w:val="21"/>
              </w:rPr>
            </w:pPr>
            <w:r>
              <w:rPr>
                <w:sz w:val="21"/>
                <w:szCs w:val="21"/>
              </w:rPr>
              <w:t>32.230679</w:t>
            </w:r>
          </w:p>
        </w:tc>
        <w:tc>
          <w:tcPr>
            <w:tcW w:w="1159" w:type="pct"/>
          </w:tcPr>
          <w:p w14:paraId="49E1941C" w14:textId="77777777" w:rsidR="007D1E74" w:rsidRDefault="00A95641">
            <w:pPr>
              <w:pStyle w:val="TableParagraph"/>
              <w:spacing w:line="273" w:lineRule="exact"/>
              <w:ind w:left="102"/>
              <w:rPr>
                <w:rFonts w:ascii="宋体"/>
                <w:sz w:val="21"/>
                <w:szCs w:val="21"/>
              </w:rPr>
            </w:pPr>
            <w:r>
              <w:rPr>
                <w:rFonts w:ascii="宋体" w:hint="eastAsia"/>
                <w:sz w:val="21"/>
                <w:szCs w:val="21"/>
              </w:rPr>
              <w:t>青峪镇姜家坝村</w:t>
            </w:r>
          </w:p>
        </w:tc>
      </w:tr>
      <w:tr w:rsidR="007D1E74" w14:paraId="4AA731C7" w14:textId="77777777">
        <w:trPr>
          <w:trHeight w:hRule="exact" w:val="336"/>
        </w:trPr>
        <w:tc>
          <w:tcPr>
            <w:tcW w:w="435" w:type="pct"/>
          </w:tcPr>
          <w:p w14:paraId="73983008" w14:textId="77777777" w:rsidR="007D1E74" w:rsidRDefault="00A95641">
            <w:pPr>
              <w:pStyle w:val="TableParagraph"/>
              <w:spacing w:before="37"/>
              <w:ind w:left="114" w:right="114"/>
              <w:rPr>
                <w:sz w:val="21"/>
                <w:szCs w:val="21"/>
              </w:rPr>
            </w:pPr>
            <w:r>
              <w:rPr>
                <w:sz w:val="21"/>
                <w:szCs w:val="21"/>
              </w:rPr>
              <w:t>4-7</w:t>
            </w:r>
          </w:p>
        </w:tc>
        <w:tc>
          <w:tcPr>
            <w:tcW w:w="1160" w:type="pct"/>
          </w:tcPr>
          <w:p w14:paraId="30778F54" w14:textId="77777777" w:rsidR="007D1E74" w:rsidRDefault="00A95641">
            <w:pPr>
              <w:pStyle w:val="TableParagraph"/>
              <w:spacing w:line="273" w:lineRule="exact"/>
              <w:ind w:left="103"/>
              <w:rPr>
                <w:rFonts w:ascii="宋体"/>
                <w:sz w:val="21"/>
                <w:szCs w:val="21"/>
              </w:rPr>
            </w:pPr>
            <w:r>
              <w:rPr>
                <w:rFonts w:ascii="宋体" w:hint="eastAsia"/>
                <w:sz w:val="21"/>
                <w:szCs w:val="21"/>
              </w:rPr>
              <w:t>麻栎林</w:t>
            </w:r>
          </w:p>
        </w:tc>
        <w:tc>
          <w:tcPr>
            <w:tcW w:w="653" w:type="pct"/>
          </w:tcPr>
          <w:p w14:paraId="75C25D0F" w14:textId="77777777" w:rsidR="007D1E74" w:rsidRDefault="00A95641">
            <w:pPr>
              <w:pStyle w:val="TableParagraph"/>
              <w:spacing w:before="37"/>
              <w:ind w:left="116" w:right="115"/>
              <w:rPr>
                <w:sz w:val="21"/>
                <w:szCs w:val="21"/>
              </w:rPr>
            </w:pPr>
            <w:r>
              <w:rPr>
                <w:sz w:val="21"/>
                <w:szCs w:val="21"/>
              </w:rPr>
              <w:t>1220</w:t>
            </w:r>
          </w:p>
        </w:tc>
        <w:tc>
          <w:tcPr>
            <w:tcW w:w="833" w:type="pct"/>
          </w:tcPr>
          <w:p w14:paraId="3C78F698" w14:textId="77777777" w:rsidR="007D1E74" w:rsidRDefault="00A95641">
            <w:pPr>
              <w:pStyle w:val="TableParagraph"/>
              <w:spacing w:before="37"/>
              <w:ind w:left="143" w:right="143"/>
              <w:rPr>
                <w:sz w:val="21"/>
                <w:szCs w:val="21"/>
              </w:rPr>
            </w:pPr>
            <w:r>
              <w:rPr>
                <w:sz w:val="21"/>
                <w:szCs w:val="21"/>
              </w:rPr>
              <w:t>107.245769</w:t>
            </w:r>
          </w:p>
        </w:tc>
        <w:tc>
          <w:tcPr>
            <w:tcW w:w="760" w:type="pct"/>
          </w:tcPr>
          <w:p w14:paraId="0798FFA9" w14:textId="77777777" w:rsidR="007D1E74" w:rsidRDefault="00A95641">
            <w:pPr>
              <w:pStyle w:val="TableParagraph"/>
              <w:spacing w:before="37"/>
              <w:ind w:left="106" w:right="105"/>
              <w:rPr>
                <w:sz w:val="21"/>
                <w:szCs w:val="21"/>
              </w:rPr>
            </w:pPr>
            <w:r>
              <w:rPr>
                <w:sz w:val="21"/>
                <w:szCs w:val="21"/>
              </w:rPr>
              <w:t>32.249256</w:t>
            </w:r>
          </w:p>
        </w:tc>
        <w:tc>
          <w:tcPr>
            <w:tcW w:w="1159" w:type="pct"/>
          </w:tcPr>
          <w:p w14:paraId="1394B317" w14:textId="77777777" w:rsidR="007D1E74" w:rsidRDefault="00A95641">
            <w:pPr>
              <w:pStyle w:val="TableParagraph"/>
              <w:spacing w:line="273" w:lineRule="exact"/>
              <w:ind w:left="102"/>
              <w:rPr>
                <w:rFonts w:ascii="宋体"/>
                <w:sz w:val="21"/>
                <w:szCs w:val="21"/>
              </w:rPr>
            </w:pPr>
            <w:r>
              <w:rPr>
                <w:rFonts w:ascii="宋体" w:hint="eastAsia"/>
                <w:sz w:val="21"/>
                <w:szCs w:val="21"/>
              </w:rPr>
              <w:t>青峪镇蔡黄沟村</w:t>
            </w:r>
          </w:p>
        </w:tc>
      </w:tr>
    </w:tbl>
    <w:p w14:paraId="0B2D7085" w14:textId="77777777" w:rsidR="007D1E74" w:rsidRDefault="007D1E74">
      <w:pPr>
        <w:spacing w:line="360" w:lineRule="auto"/>
        <w:rPr>
          <w:rFonts w:eastAsia="黑体" w:cs="Times New Roman"/>
          <w:sz w:val="24"/>
          <w:szCs w:val="24"/>
        </w:rPr>
      </w:pPr>
    </w:p>
    <w:p w14:paraId="69424DE5" w14:textId="77777777" w:rsidR="007D1E74" w:rsidRDefault="007D1E74">
      <w:pPr>
        <w:spacing w:line="360" w:lineRule="auto"/>
        <w:rPr>
          <w:rFonts w:eastAsia="黑体" w:cs="Times New Roman"/>
          <w:sz w:val="24"/>
          <w:szCs w:val="24"/>
        </w:rPr>
        <w:sectPr w:rsidR="007D1E74">
          <w:pgSz w:w="11906" w:h="16838"/>
          <w:pgMar w:top="1440" w:right="1440" w:bottom="1440" w:left="1440" w:header="851" w:footer="992" w:gutter="0"/>
          <w:cols w:space="425"/>
          <w:docGrid w:type="lines" w:linePitch="312"/>
        </w:sectPr>
      </w:pPr>
    </w:p>
    <w:p w14:paraId="2FB33125" w14:textId="77777777" w:rsidR="007D1E74" w:rsidRDefault="00A95641">
      <w:pPr>
        <w:rPr>
          <w:rFonts w:eastAsia="黑体" w:cs="Times New Roman"/>
          <w:sz w:val="26"/>
          <w:szCs w:val="26"/>
        </w:rPr>
      </w:pPr>
      <w:r>
        <w:rPr>
          <w:rFonts w:eastAsia="黑体" w:cs="Times New Roman"/>
          <w:sz w:val="26"/>
          <w:szCs w:val="26"/>
        </w:rPr>
        <w:lastRenderedPageBreak/>
        <w:t>附</w:t>
      </w:r>
      <w:r>
        <w:rPr>
          <w:rFonts w:eastAsia="黑体" w:cs="Times New Roman" w:hint="eastAsia"/>
          <w:sz w:val="26"/>
          <w:szCs w:val="26"/>
        </w:rPr>
        <w:t>表</w:t>
      </w:r>
      <w:r>
        <w:rPr>
          <w:rFonts w:eastAsia="黑体" w:cs="Times New Roman" w:hint="eastAsia"/>
          <w:sz w:val="26"/>
          <w:szCs w:val="26"/>
        </w:rPr>
        <w:t>A</w:t>
      </w:r>
      <w:r>
        <w:rPr>
          <w:rFonts w:eastAsia="黑体" w:cs="Times New Roman"/>
          <w:sz w:val="26"/>
          <w:szCs w:val="26"/>
        </w:rPr>
        <w:t xml:space="preserve">.2 </w:t>
      </w:r>
      <w:r>
        <w:rPr>
          <w:rFonts w:eastAsia="黑体" w:cs="Times New Roman" w:hint="eastAsia"/>
          <w:sz w:val="26"/>
          <w:szCs w:val="26"/>
        </w:rPr>
        <w:t>调查</w:t>
      </w:r>
      <w:r>
        <w:rPr>
          <w:rFonts w:eastAsia="黑体" w:cs="Times New Roman"/>
          <w:sz w:val="26"/>
          <w:szCs w:val="26"/>
        </w:rPr>
        <w:t>样方表</w:t>
      </w:r>
    </w:p>
    <w:p w14:paraId="087121F3" w14:textId="77777777" w:rsidR="007D1E74" w:rsidRDefault="00A95641">
      <w:pPr>
        <w:spacing w:line="360" w:lineRule="auto"/>
        <w:jc w:val="center"/>
        <w:rPr>
          <w:rFonts w:eastAsia="黑体" w:cs="Times New Roman"/>
          <w:szCs w:val="21"/>
        </w:rPr>
      </w:pPr>
      <w:r>
        <w:rPr>
          <w:rFonts w:eastAsia="黑体" w:cs="Times New Roman"/>
          <w:szCs w:val="21"/>
        </w:rPr>
        <w:t>表</w:t>
      </w:r>
      <w:r>
        <w:rPr>
          <w:rFonts w:eastAsia="黑体" w:cs="Times New Roman"/>
          <w:szCs w:val="21"/>
        </w:rPr>
        <w:t xml:space="preserve">A.2.1-1  </w:t>
      </w:r>
      <w:r>
        <w:rPr>
          <w:rFonts w:eastAsia="黑体" w:cs="Times New Roman" w:hint="eastAsia"/>
          <w:szCs w:val="21"/>
        </w:rPr>
        <w:t>植物实测样方表</w:t>
      </w:r>
    </w:p>
    <w:tbl>
      <w:tblPr>
        <w:tblStyle w:val="affffc"/>
        <w:tblW w:w="0" w:type="auto"/>
        <w:tblBorders>
          <w:left w:val="none" w:sz="0" w:space="0" w:color="auto"/>
          <w:right w:val="none" w:sz="0" w:space="0" w:color="auto"/>
        </w:tblBorders>
        <w:tblLook w:val="04A0" w:firstRow="1" w:lastRow="0" w:firstColumn="1" w:lastColumn="0" w:noHBand="0" w:noVBand="1"/>
      </w:tblPr>
      <w:tblGrid>
        <w:gridCol w:w="9016"/>
      </w:tblGrid>
      <w:tr w:rsidR="007D1E74" w14:paraId="0C96033E" w14:textId="77777777">
        <w:tc>
          <w:tcPr>
            <w:tcW w:w="9016" w:type="dxa"/>
          </w:tcPr>
          <w:p w14:paraId="77302205" w14:textId="77777777" w:rsidR="007D1E74" w:rsidRDefault="00A95641">
            <w:pPr>
              <w:spacing w:line="360" w:lineRule="auto"/>
              <w:rPr>
                <w:rFonts w:eastAsiaTheme="minorEastAsia" w:cs="Times New Roman"/>
                <w:szCs w:val="21"/>
              </w:rPr>
            </w:pPr>
            <w:r>
              <w:rPr>
                <w:rFonts w:eastAsiaTheme="minorEastAsia" w:cs="Times New Roman"/>
                <w:szCs w:val="21"/>
              </w:rPr>
              <w:t>群落名称：马桑黄荆灌丛</w:t>
            </w:r>
            <w:r>
              <w:rPr>
                <w:rFonts w:eastAsiaTheme="minorEastAsia" w:cs="Times New Roman"/>
                <w:szCs w:val="21"/>
              </w:rPr>
              <w:tab/>
            </w:r>
            <w:r>
              <w:rPr>
                <w:rFonts w:eastAsiaTheme="minorEastAsia" w:cs="Times New Roman"/>
                <w:szCs w:val="21"/>
              </w:rPr>
              <w:t>地点：涪阳镇草池乡活水沟村</w:t>
            </w:r>
            <w:r>
              <w:rPr>
                <w:rFonts w:eastAsiaTheme="minorEastAsia" w:cs="Times New Roman"/>
                <w:szCs w:val="21"/>
              </w:rPr>
              <w:tab/>
            </w:r>
            <w:r>
              <w:rPr>
                <w:rFonts w:eastAsiaTheme="minorEastAsia" w:cs="Times New Roman"/>
                <w:szCs w:val="21"/>
              </w:rPr>
              <w:t>样方面积：</w:t>
            </w:r>
            <w:r>
              <w:rPr>
                <w:rFonts w:eastAsiaTheme="minorEastAsia" w:cs="Times New Roman"/>
                <w:szCs w:val="21"/>
              </w:rPr>
              <w:t>5m×5m</w:t>
            </w:r>
          </w:p>
        </w:tc>
      </w:tr>
      <w:tr w:rsidR="007D1E74" w14:paraId="1804CCE9" w14:textId="77777777">
        <w:tc>
          <w:tcPr>
            <w:tcW w:w="9016" w:type="dxa"/>
          </w:tcPr>
          <w:p w14:paraId="72072AE0" w14:textId="77777777" w:rsidR="007D1E74" w:rsidRDefault="00A95641">
            <w:pPr>
              <w:spacing w:line="360" w:lineRule="auto"/>
              <w:rPr>
                <w:rFonts w:eastAsiaTheme="minorEastAsia" w:cs="Times New Roman"/>
                <w:szCs w:val="21"/>
              </w:rPr>
            </w:pPr>
            <w:r>
              <w:rPr>
                <w:rFonts w:eastAsiaTheme="minorEastAsia" w:cs="Times New Roman" w:hint="eastAsia"/>
                <w:szCs w:val="21"/>
              </w:rPr>
              <w:t>经度：</w:t>
            </w:r>
            <w:r>
              <w:rPr>
                <w:rFonts w:eastAsiaTheme="minorEastAsia" w:cs="Times New Roman" w:hint="eastAsia"/>
                <w:szCs w:val="21"/>
              </w:rPr>
              <w:t xml:space="preserve">107.135901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纬度：</w:t>
            </w:r>
            <w:r>
              <w:rPr>
                <w:rFonts w:eastAsiaTheme="minorEastAsia" w:cs="Times New Roman" w:hint="eastAsia"/>
                <w:szCs w:val="21"/>
              </w:rPr>
              <w:t xml:space="preserve">32.001511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海拔（</w:t>
            </w:r>
            <w:r>
              <w:rPr>
                <w:rFonts w:eastAsiaTheme="minorEastAsia" w:cs="Times New Roman" w:hint="eastAsia"/>
                <w:szCs w:val="21"/>
              </w:rPr>
              <w:t>m</w:t>
            </w:r>
            <w:r>
              <w:rPr>
                <w:rFonts w:eastAsiaTheme="minorEastAsia" w:cs="Times New Roman" w:hint="eastAsia"/>
                <w:szCs w:val="21"/>
              </w:rPr>
              <w:t>）</w:t>
            </w:r>
            <w:r>
              <w:rPr>
                <w:rFonts w:eastAsiaTheme="minorEastAsia" w:cs="Times New Roman" w:hint="eastAsia"/>
                <w:szCs w:val="21"/>
              </w:rPr>
              <w:t>480</w:t>
            </w:r>
          </w:p>
        </w:tc>
      </w:tr>
      <w:tr w:rsidR="007D1E74" w14:paraId="2AC9DF8D" w14:textId="77777777">
        <w:tc>
          <w:tcPr>
            <w:tcW w:w="9016" w:type="dxa"/>
          </w:tcPr>
          <w:p w14:paraId="0B35D21A" w14:textId="77777777" w:rsidR="007D1E74" w:rsidRDefault="00A95641">
            <w:pPr>
              <w:spacing w:line="360" w:lineRule="auto"/>
              <w:rPr>
                <w:rFonts w:eastAsiaTheme="minorEastAsia" w:cs="Times New Roman"/>
                <w:szCs w:val="21"/>
              </w:rPr>
            </w:pPr>
            <w:r>
              <w:rPr>
                <w:rFonts w:eastAsiaTheme="minorEastAsia" w:cs="Times New Roman" w:hint="eastAsia"/>
                <w:szCs w:val="21"/>
              </w:rPr>
              <w:t>调查人：黄文军、李秦</w:t>
            </w:r>
            <w:r>
              <w:rPr>
                <w:rFonts w:eastAsiaTheme="minorEastAsia" w:cs="Times New Roman" w:hint="eastAsia"/>
                <w:szCs w:val="21"/>
              </w:rPr>
              <w:tab/>
            </w:r>
            <w:r>
              <w:rPr>
                <w:rFonts w:eastAsiaTheme="minorEastAsia" w:cs="Times New Roman" w:hint="eastAsia"/>
                <w:szCs w:val="21"/>
              </w:rPr>
              <w:t>调查日期：</w:t>
            </w:r>
            <w:r>
              <w:rPr>
                <w:rFonts w:eastAsiaTheme="minorEastAsia" w:cs="Times New Roman" w:hint="eastAsia"/>
                <w:szCs w:val="21"/>
              </w:rPr>
              <w:t>2021-08-17</w:t>
            </w:r>
          </w:p>
        </w:tc>
      </w:tr>
    </w:tbl>
    <w:p w14:paraId="1D91EF3A" w14:textId="77777777" w:rsidR="007D1E74" w:rsidRDefault="007D1E74">
      <w:pPr>
        <w:spacing w:line="360" w:lineRule="auto"/>
        <w:rPr>
          <w:rFonts w:eastAsia="黑体" w:cs="Times New Roman"/>
          <w:sz w:val="24"/>
          <w:szCs w:val="24"/>
        </w:rPr>
      </w:pP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3"/>
        <w:gridCol w:w="1637"/>
        <w:gridCol w:w="1369"/>
        <w:gridCol w:w="1367"/>
        <w:gridCol w:w="911"/>
        <w:gridCol w:w="1765"/>
        <w:gridCol w:w="1174"/>
      </w:tblGrid>
      <w:tr w:rsidR="007D1E74" w14:paraId="13D196E0" w14:textId="77777777">
        <w:trPr>
          <w:trHeight w:hRule="exact" w:val="351"/>
        </w:trPr>
        <w:tc>
          <w:tcPr>
            <w:tcW w:w="440" w:type="pct"/>
          </w:tcPr>
          <w:p w14:paraId="02935718" w14:textId="77777777" w:rsidR="007D1E74" w:rsidRDefault="00A95641">
            <w:pPr>
              <w:pStyle w:val="TableParagraph"/>
              <w:ind w:left="109" w:right="105"/>
              <w:rPr>
                <w:rFonts w:ascii="宋体"/>
                <w:sz w:val="21"/>
                <w:szCs w:val="21"/>
              </w:rPr>
            </w:pPr>
            <w:r>
              <w:rPr>
                <w:rFonts w:ascii="宋体" w:hint="eastAsia"/>
                <w:sz w:val="21"/>
                <w:szCs w:val="21"/>
              </w:rPr>
              <w:t>种号</w:t>
            </w:r>
          </w:p>
        </w:tc>
        <w:tc>
          <w:tcPr>
            <w:tcW w:w="908" w:type="pct"/>
          </w:tcPr>
          <w:p w14:paraId="6980F115" w14:textId="77777777" w:rsidR="007D1E74" w:rsidRDefault="00A95641">
            <w:pPr>
              <w:pStyle w:val="TableParagraph"/>
              <w:ind w:left="400"/>
              <w:rPr>
                <w:rFonts w:ascii="宋体"/>
                <w:sz w:val="21"/>
                <w:szCs w:val="21"/>
              </w:rPr>
            </w:pPr>
            <w:r>
              <w:rPr>
                <w:rFonts w:ascii="宋体" w:hint="eastAsia"/>
                <w:sz w:val="21"/>
                <w:szCs w:val="21"/>
              </w:rPr>
              <w:t>物种名</w:t>
            </w:r>
          </w:p>
        </w:tc>
        <w:tc>
          <w:tcPr>
            <w:tcW w:w="759" w:type="pct"/>
          </w:tcPr>
          <w:p w14:paraId="12ADA9C5" w14:textId="77777777" w:rsidR="007D1E74" w:rsidRDefault="00A95641">
            <w:pPr>
              <w:pStyle w:val="TableParagraph"/>
              <w:ind w:left="273"/>
              <w:rPr>
                <w:rFonts w:ascii="宋体"/>
                <w:sz w:val="21"/>
                <w:szCs w:val="21"/>
              </w:rPr>
            </w:pPr>
            <w:r>
              <w:rPr>
                <w:rFonts w:ascii="宋体" w:hint="eastAsia"/>
                <w:sz w:val="21"/>
                <w:szCs w:val="21"/>
              </w:rPr>
              <w:t>物候期</w:t>
            </w:r>
          </w:p>
        </w:tc>
        <w:tc>
          <w:tcPr>
            <w:tcW w:w="758" w:type="pct"/>
          </w:tcPr>
          <w:p w14:paraId="2B56ADB4" w14:textId="77777777" w:rsidR="007D1E74" w:rsidRDefault="00A95641">
            <w:pPr>
              <w:pStyle w:val="TableParagraph"/>
              <w:ind w:left="172" w:right="172"/>
              <w:rPr>
                <w:rFonts w:ascii="宋体"/>
                <w:sz w:val="21"/>
                <w:szCs w:val="21"/>
              </w:rPr>
            </w:pPr>
            <w:r>
              <w:rPr>
                <w:rFonts w:ascii="宋体" w:hint="eastAsia"/>
                <w:sz w:val="21"/>
                <w:szCs w:val="21"/>
              </w:rPr>
              <w:t>株</w:t>
            </w:r>
            <w:r>
              <w:rPr>
                <w:sz w:val="21"/>
                <w:szCs w:val="21"/>
              </w:rPr>
              <w:t>(</w:t>
            </w:r>
            <w:r>
              <w:rPr>
                <w:rFonts w:ascii="宋体" w:hint="eastAsia"/>
                <w:sz w:val="21"/>
                <w:szCs w:val="21"/>
              </w:rPr>
              <w:t>丛</w:t>
            </w:r>
            <w:r>
              <w:rPr>
                <w:sz w:val="21"/>
                <w:szCs w:val="21"/>
              </w:rPr>
              <w:t>)</w:t>
            </w:r>
            <w:r>
              <w:rPr>
                <w:rFonts w:ascii="宋体" w:hint="eastAsia"/>
                <w:sz w:val="21"/>
                <w:szCs w:val="21"/>
              </w:rPr>
              <w:t>数</w:t>
            </w:r>
          </w:p>
        </w:tc>
        <w:tc>
          <w:tcPr>
            <w:tcW w:w="505" w:type="pct"/>
          </w:tcPr>
          <w:p w14:paraId="3752A2A4" w14:textId="77777777" w:rsidR="007D1E74" w:rsidRDefault="00A95641">
            <w:pPr>
              <w:pStyle w:val="TableParagraph"/>
              <w:ind w:left="158" w:right="160"/>
              <w:rPr>
                <w:rFonts w:ascii="宋体"/>
                <w:sz w:val="21"/>
                <w:szCs w:val="21"/>
              </w:rPr>
            </w:pPr>
            <w:r>
              <w:rPr>
                <w:rFonts w:ascii="宋体" w:hint="eastAsia"/>
                <w:sz w:val="21"/>
                <w:szCs w:val="21"/>
              </w:rPr>
              <w:t>多度</w:t>
            </w:r>
          </w:p>
        </w:tc>
        <w:tc>
          <w:tcPr>
            <w:tcW w:w="979" w:type="pct"/>
          </w:tcPr>
          <w:p w14:paraId="783635A8" w14:textId="77777777" w:rsidR="007D1E74" w:rsidRDefault="00A95641">
            <w:pPr>
              <w:pStyle w:val="TableParagraph"/>
              <w:ind w:left="172" w:right="172"/>
              <w:rPr>
                <w:sz w:val="21"/>
                <w:szCs w:val="21"/>
              </w:rPr>
            </w:pPr>
            <w:r>
              <w:rPr>
                <w:rFonts w:ascii="宋体" w:hint="eastAsia"/>
                <w:w w:val="95"/>
                <w:sz w:val="21"/>
                <w:szCs w:val="21"/>
              </w:rPr>
              <w:t>平均高度</w:t>
            </w:r>
            <w:r>
              <w:rPr>
                <w:w w:val="95"/>
                <w:sz w:val="21"/>
                <w:szCs w:val="21"/>
              </w:rPr>
              <w:t>/cm</w:t>
            </w:r>
          </w:p>
        </w:tc>
        <w:tc>
          <w:tcPr>
            <w:tcW w:w="651" w:type="pct"/>
          </w:tcPr>
          <w:p w14:paraId="52B56431" w14:textId="77777777" w:rsidR="007D1E74" w:rsidRDefault="00A95641">
            <w:pPr>
              <w:pStyle w:val="TableParagraph"/>
              <w:ind w:left="117" w:right="224"/>
              <w:rPr>
                <w:sz w:val="21"/>
                <w:szCs w:val="21"/>
              </w:rPr>
            </w:pPr>
            <w:r>
              <w:rPr>
                <w:rFonts w:ascii="宋体" w:hint="eastAsia"/>
                <w:w w:val="95"/>
                <w:sz w:val="21"/>
                <w:szCs w:val="21"/>
              </w:rPr>
              <w:t>盖度</w:t>
            </w:r>
            <w:r>
              <w:rPr>
                <w:w w:val="95"/>
                <w:sz w:val="21"/>
                <w:szCs w:val="21"/>
              </w:rPr>
              <w:t>/%</w:t>
            </w:r>
          </w:p>
        </w:tc>
      </w:tr>
      <w:tr w:rsidR="007D1E74" w14:paraId="630CA610" w14:textId="77777777">
        <w:trPr>
          <w:trHeight w:hRule="exact" w:val="336"/>
        </w:trPr>
        <w:tc>
          <w:tcPr>
            <w:tcW w:w="440" w:type="pct"/>
          </w:tcPr>
          <w:p w14:paraId="6A95D881" w14:textId="77777777" w:rsidR="007D1E74" w:rsidRDefault="00A95641">
            <w:pPr>
              <w:pStyle w:val="TableParagraph"/>
              <w:spacing w:before="25"/>
              <w:ind w:left="4"/>
              <w:rPr>
                <w:sz w:val="21"/>
                <w:szCs w:val="21"/>
              </w:rPr>
            </w:pPr>
            <w:r>
              <w:rPr>
                <w:sz w:val="21"/>
                <w:szCs w:val="21"/>
              </w:rPr>
              <w:t>1</w:t>
            </w:r>
          </w:p>
        </w:tc>
        <w:tc>
          <w:tcPr>
            <w:tcW w:w="908" w:type="pct"/>
          </w:tcPr>
          <w:p w14:paraId="119FB17F" w14:textId="77777777" w:rsidR="007D1E74" w:rsidRDefault="00A95641">
            <w:pPr>
              <w:pStyle w:val="TableParagraph"/>
              <w:ind w:left="102"/>
              <w:rPr>
                <w:rFonts w:ascii="宋体"/>
                <w:sz w:val="21"/>
                <w:szCs w:val="21"/>
              </w:rPr>
            </w:pPr>
            <w:r>
              <w:rPr>
                <w:rFonts w:ascii="宋体" w:hint="eastAsia"/>
                <w:sz w:val="21"/>
                <w:szCs w:val="21"/>
              </w:rPr>
              <w:t>马桑</w:t>
            </w:r>
          </w:p>
        </w:tc>
        <w:tc>
          <w:tcPr>
            <w:tcW w:w="759" w:type="pct"/>
          </w:tcPr>
          <w:p w14:paraId="36690671" w14:textId="77777777" w:rsidR="007D1E74" w:rsidRDefault="00A95641">
            <w:pPr>
              <w:pStyle w:val="TableParagraph"/>
              <w:ind w:left="103"/>
              <w:rPr>
                <w:rFonts w:ascii="宋体"/>
                <w:sz w:val="21"/>
                <w:szCs w:val="21"/>
              </w:rPr>
            </w:pPr>
            <w:r>
              <w:rPr>
                <w:rFonts w:ascii="宋体" w:hint="eastAsia"/>
                <w:sz w:val="21"/>
                <w:szCs w:val="21"/>
              </w:rPr>
              <w:t>果期</w:t>
            </w:r>
          </w:p>
        </w:tc>
        <w:tc>
          <w:tcPr>
            <w:tcW w:w="758" w:type="pct"/>
          </w:tcPr>
          <w:p w14:paraId="7628E474" w14:textId="77777777" w:rsidR="007D1E74" w:rsidRDefault="00A95641">
            <w:pPr>
              <w:pStyle w:val="TableParagraph"/>
              <w:spacing w:before="25"/>
              <w:rPr>
                <w:sz w:val="21"/>
                <w:szCs w:val="21"/>
              </w:rPr>
            </w:pPr>
            <w:r>
              <w:rPr>
                <w:sz w:val="21"/>
                <w:szCs w:val="21"/>
              </w:rPr>
              <w:t>5</w:t>
            </w:r>
          </w:p>
        </w:tc>
        <w:tc>
          <w:tcPr>
            <w:tcW w:w="505" w:type="pct"/>
          </w:tcPr>
          <w:p w14:paraId="19D13A51" w14:textId="77777777" w:rsidR="007D1E74" w:rsidRDefault="00A95641">
            <w:pPr>
              <w:pStyle w:val="TableParagraph"/>
              <w:spacing w:before="24"/>
              <w:ind w:left="158" w:right="158"/>
              <w:rPr>
                <w:sz w:val="21"/>
                <w:szCs w:val="21"/>
              </w:rPr>
            </w:pPr>
            <w:r>
              <w:rPr>
                <w:position w:val="2"/>
                <w:sz w:val="21"/>
                <w:szCs w:val="21"/>
              </w:rPr>
              <w:t>Cop</w:t>
            </w:r>
            <w:r>
              <w:rPr>
                <w:sz w:val="21"/>
                <w:szCs w:val="21"/>
              </w:rPr>
              <w:t>1</w:t>
            </w:r>
          </w:p>
        </w:tc>
        <w:tc>
          <w:tcPr>
            <w:tcW w:w="979" w:type="pct"/>
          </w:tcPr>
          <w:p w14:paraId="0AB6F8CA" w14:textId="77777777" w:rsidR="007D1E74" w:rsidRDefault="00A95641">
            <w:pPr>
              <w:pStyle w:val="TableParagraph"/>
              <w:spacing w:before="25"/>
              <w:ind w:left="171" w:right="172"/>
              <w:rPr>
                <w:sz w:val="21"/>
                <w:szCs w:val="21"/>
              </w:rPr>
            </w:pPr>
            <w:r>
              <w:rPr>
                <w:sz w:val="21"/>
                <w:szCs w:val="21"/>
              </w:rPr>
              <w:t>3.1</w:t>
            </w:r>
          </w:p>
        </w:tc>
        <w:tc>
          <w:tcPr>
            <w:tcW w:w="651" w:type="pct"/>
          </w:tcPr>
          <w:p w14:paraId="28731C2D" w14:textId="77777777" w:rsidR="007D1E74" w:rsidRDefault="00A95641">
            <w:pPr>
              <w:pStyle w:val="TableParagraph"/>
              <w:spacing w:before="25"/>
              <w:ind w:left="114" w:right="224"/>
              <w:rPr>
                <w:sz w:val="21"/>
                <w:szCs w:val="21"/>
              </w:rPr>
            </w:pPr>
            <w:r>
              <w:rPr>
                <w:sz w:val="21"/>
                <w:szCs w:val="21"/>
              </w:rPr>
              <w:t>55</w:t>
            </w:r>
          </w:p>
        </w:tc>
      </w:tr>
      <w:tr w:rsidR="007D1E74" w14:paraId="09D00ECB" w14:textId="77777777">
        <w:trPr>
          <w:trHeight w:hRule="exact" w:val="336"/>
        </w:trPr>
        <w:tc>
          <w:tcPr>
            <w:tcW w:w="440" w:type="pct"/>
          </w:tcPr>
          <w:p w14:paraId="774BAB18" w14:textId="77777777" w:rsidR="007D1E74" w:rsidRDefault="00A95641">
            <w:pPr>
              <w:pStyle w:val="TableParagraph"/>
              <w:spacing w:before="25"/>
              <w:ind w:left="4"/>
              <w:rPr>
                <w:sz w:val="21"/>
                <w:szCs w:val="21"/>
              </w:rPr>
            </w:pPr>
            <w:r>
              <w:rPr>
                <w:sz w:val="21"/>
                <w:szCs w:val="21"/>
              </w:rPr>
              <w:t>2</w:t>
            </w:r>
          </w:p>
        </w:tc>
        <w:tc>
          <w:tcPr>
            <w:tcW w:w="908" w:type="pct"/>
          </w:tcPr>
          <w:p w14:paraId="2CEFBE84" w14:textId="77777777" w:rsidR="007D1E74" w:rsidRDefault="00A95641">
            <w:pPr>
              <w:pStyle w:val="TableParagraph"/>
              <w:ind w:left="102"/>
              <w:rPr>
                <w:rFonts w:ascii="宋体"/>
                <w:sz w:val="21"/>
                <w:szCs w:val="21"/>
              </w:rPr>
            </w:pPr>
            <w:r>
              <w:rPr>
                <w:rFonts w:ascii="宋体" w:hint="eastAsia"/>
                <w:sz w:val="21"/>
                <w:szCs w:val="21"/>
              </w:rPr>
              <w:t>黄荆</w:t>
            </w:r>
          </w:p>
        </w:tc>
        <w:tc>
          <w:tcPr>
            <w:tcW w:w="759" w:type="pct"/>
          </w:tcPr>
          <w:p w14:paraId="046C9F1B" w14:textId="77777777" w:rsidR="007D1E74" w:rsidRDefault="00A95641">
            <w:pPr>
              <w:pStyle w:val="TableParagraph"/>
              <w:ind w:left="103"/>
              <w:rPr>
                <w:rFonts w:ascii="宋体"/>
                <w:sz w:val="21"/>
                <w:szCs w:val="21"/>
              </w:rPr>
            </w:pPr>
            <w:r>
              <w:rPr>
                <w:rFonts w:ascii="宋体" w:hint="eastAsia"/>
                <w:sz w:val="21"/>
                <w:szCs w:val="21"/>
              </w:rPr>
              <w:t>果期</w:t>
            </w:r>
          </w:p>
        </w:tc>
        <w:tc>
          <w:tcPr>
            <w:tcW w:w="758" w:type="pct"/>
          </w:tcPr>
          <w:p w14:paraId="5620776B" w14:textId="77777777" w:rsidR="007D1E74" w:rsidRDefault="00A95641">
            <w:pPr>
              <w:pStyle w:val="TableParagraph"/>
              <w:spacing w:before="25"/>
              <w:rPr>
                <w:sz w:val="21"/>
                <w:szCs w:val="21"/>
              </w:rPr>
            </w:pPr>
            <w:r>
              <w:rPr>
                <w:sz w:val="21"/>
                <w:szCs w:val="21"/>
              </w:rPr>
              <w:t>2</w:t>
            </w:r>
          </w:p>
        </w:tc>
        <w:tc>
          <w:tcPr>
            <w:tcW w:w="505" w:type="pct"/>
          </w:tcPr>
          <w:p w14:paraId="36922EF2" w14:textId="77777777" w:rsidR="007D1E74" w:rsidRDefault="00A95641">
            <w:pPr>
              <w:pStyle w:val="TableParagraph"/>
              <w:spacing w:before="25"/>
              <w:ind w:left="158" w:right="158"/>
              <w:rPr>
                <w:sz w:val="21"/>
                <w:szCs w:val="21"/>
              </w:rPr>
            </w:pPr>
            <w:r>
              <w:rPr>
                <w:sz w:val="21"/>
                <w:szCs w:val="21"/>
              </w:rPr>
              <w:t>Sp.</w:t>
            </w:r>
          </w:p>
        </w:tc>
        <w:tc>
          <w:tcPr>
            <w:tcW w:w="979" w:type="pct"/>
          </w:tcPr>
          <w:p w14:paraId="211FC30C" w14:textId="77777777" w:rsidR="007D1E74" w:rsidRDefault="00A95641">
            <w:pPr>
              <w:pStyle w:val="TableParagraph"/>
              <w:spacing w:before="25"/>
              <w:ind w:left="171" w:right="172"/>
              <w:rPr>
                <w:sz w:val="21"/>
                <w:szCs w:val="21"/>
              </w:rPr>
            </w:pPr>
            <w:r>
              <w:rPr>
                <w:sz w:val="21"/>
                <w:szCs w:val="21"/>
              </w:rPr>
              <w:t>1.8</w:t>
            </w:r>
          </w:p>
        </w:tc>
        <w:tc>
          <w:tcPr>
            <w:tcW w:w="651" w:type="pct"/>
          </w:tcPr>
          <w:p w14:paraId="5A8A61A0" w14:textId="77777777" w:rsidR="007D1E74" w:rsidRDefault="00A95641">
            <w:pPr>
              <w:pStyle w:val="TableParagraph"/>
              <w:spacing w:before="25"/>
              <w:ind w:left="114" w:right="224"/>
              <w:rPr>
                <w:sz w:val="21"/>
                <w:szCs w:val="21"/>
              </w:rPr>
            </w:pPr>
            <w:r>
              <w:rPr>
                <w:sz w:val="21"/>
                <w:szCs w:val="21"/>
              </w:rPr>
              <w:t>10</w:t>
            </w:r>
          </w:p>
        </w:tc>
      </w:tr>
      <w:tr w:rsidR="007D1E74" w14:paraId="348ECFA1" w14:textId="77777777">
        <w:trPr>
          <w:trHeight w:hRule="exact" w:val="336"/>
        </w:trPr>
        <w:tc>
          <w:tcPr>
            <w:tcW w:w="440" w:type="pct"/>
          </w:tcPr>
          <w:p w14:paraId="0DD44928" w14:textId="77777777" w:rsidR="007D1E74" w:rsidRDefault="00A95641">
            <w:pPr>
              <w:pStyle w:val="TableParagraph"/>
              <w:spacing w:before="25"/>
              <w:ind w:left="4"/>
              <w:rPr>
                <w:sz w:val="21"/>
                <w:szCs w:val="21"/>
              </w:rPr>
            </w:pPr>
            <w:r>
              <w:rPr>
                <w:sz w:val="21"/>
                <w:szCs w:val="21"/>
              </w:rPr>
              <w:t>3</w:t>
            </w:r>
          </w:p>
        </w:tc>
        <w:tc>
          <w:tcPr>
            <w:tcW w:w="908" w:type="pct"/>
          </w:tcPr>
          <w:p w14:paraId="24073AFB" w14:textId="77777777" w:rsidR="007D1E74" w:rsidRDefault="00A95641">
            <w:pPr>
              <w:pStyle w:val="TableParagraph"/>
              <w:ind w:left="102"/>
              <w:rPr>
                <w:rFonts w:ascii="宋体"/>
                <w:sz w:val="21"/>
                <w:szCs w:val="21"/>
              </w:rPr>
            </w:pPr>
            <w:r>
              <w:rPr>
                <w:rFonts w:ascii="宋体" w:hint="eastAsia"/>
                <w:sz w:val="21"/>
                <w:szCs w:val="21"/>
              </w:rPr>
              <w:t>火棘</w:t>
            </w:r>
          </w:p>
        </w:tc>
        <w:tc>
          <w:tcPr>
            <w:tcW w:w="759" w:type="pct"/>
          </w:tcPr>
          <w:p w14:paraId="446E728B" w14:textId="77777777" w:rsidR="007D1E74" w:rsidRDefault="00A95641">
            <w:pPr>
              <w:pStyle w:val="TableParagraph"/>
              <w:ind w:left="103"/>
              <w:rPr>
                <w:rFonts w:ascii="宋体"/>
                <w:sz w:val="21"/>
                <w:szCs w:val="21"/>
              </w:rPr>
            </w:pPr>
            <w:r>
              <w:rPr>
                <w:rFonts w:ascii="宋体" w:hint="eastAsia"/>
                <w:sz w:val="21"/>
                <w:szCs w:val="21"/>
              </w:rPr>
              <w:t>果期</w:t>
            </w:r>
          </w:p>
        </w:tc>
        <w:tc>
          <w:tcPr>
            <w:tcW w:w="758" w:type="pct"/>
          </w:tcPr>
          <w:p w14:paraId="5C2D23A6" w14:textId="77777777" w:rsidR="007D1E74" w:rsidRDefault="00A95641">
            <w:pPr>
              <w:pStyle w:val="TableParagraph"/>
              <w:spacing w:before="25"/>
              <w:rPr>
                <w:sz w:val="21"/>
                <w:szCs w:val="21"/>
              </w:rPr>
            </w:pPr>
            <w:r>
              <w:rPr>
                <w:sz w:val="21"/>
                <w:szCs w:val="21"/>
              </w:rPr>
              <w:t>2</w:t>
            </w:r>
          </w:p>
        </w:tc>
        <w:tc>
          <w:tcPr>
            <w:tcW w:w="505" w:type="pct"/>
          </w:tcPr>
          <w:p w14:paraId="4ABD7963" w14:textId="77777777" w:rsidR="007D1E74" w:rsidRDefault="00A95641">
            <w:pPr>
              <w:pStyle w:val="TableParagraph"/>
              <w:spacing w:before="25"/>
              <w:ind w:left="158" w:right="158"/>
              <w:rPr>
                <w:sz w:val="21"/>
                <w:szCs w:val="21"/>
              </w:rPr>
            </w:pPr>
            <w:r>
              <w:rPr>
                <w:sz w:val="21"/>
                <w:szCs w:val="21"/>
              </w:rPr>
              <w:t>Sp.</w:t>
            </w:r>
          </w:p>
        </w:tc>
        <w:tc>
          <w:tcPr>
            <w:tcW w:w="979" w:type="pct"/>
          </w:tcPr>
          <w:p w14:paraId="61E69BE3" w14:textId="77777777" w:rsidR="007D1E74" w:rsidRDefault="00A95641">
            <w:pPr>
              <w:pStyle w:val="TableParagraph"/>
              <w:spacing w:before="25"/>
              <w:ind w:left="171" w:right="172"/>
              <w:rPr>
                <w:sz w:val="21"/>
                <w:szCs w:val="21"/>
              </w:rPr>
            </w:pPr>
            <w:r>
              <w:rPr>
                <w:sz w:val="21"/>
                <w:szCs w:val="21"/>
              </w:rPr>
              <w:t>1.8</w:t>
            </w:r>
          </w:p>
        </w:tc>
        <w:tc>
          <w:tcPr>
            <w:tcW w:w="651" w:type="pct"/>
          </w:tcPr>
          <w:p w14:paraId="66F733E5" w14:textId="77777777" w:rsidR="007D1E74" w:rsidRDefault="00A95641">
            <w:pPr>
              <w:pStyle w:val="TableParagraph"/>
              <w:spacing w:before="25"/>
              <w:ind w:right="110"/>
              <w:rPr>
                <w:sz w:val="21"/>
                <w:szCs w:val="21"/>
              </w:rPr>
            </w:pPr>
            <w:r>
              <w:rPr>
                <w:sz w:val="21"/>
                <w:szCs w:val="21"/>
              </w:rPr>
              <w:t>6</w:t>
            </w:r>
          </w:p>
        </w:tc>
      </w:tr>
      <w:tr w:rsidR="007D1E74" w14:paraId="561E0D99" w14:textId="77777777">
        <w:trPr>
          <w:trHeight w:hRule="exact" w:val="336"/>
        </w:trPr>
        <w:tc>
          <w:tcPr>
            <w:tcW w:w="440" w:type="pct"/>
          </w:tcPr>
          <w:p w14:paraId="65C01B7E" w14:textId="77777777" w:rsidR="007D1E74" w:rsidRDefault="00A95641">
            <w:pPr>
              <w:pStyle w:val="TableParagraph"/>
              <w:spacing w:before="25"/>
              <w:ind w:left="4"/>
              <w:rPr>
                <w:sz w:val="21"/>
                <w:szCs w:val="21"/>
              </w:rPr>
            </w:pPr>
            <w:r>
              <w:rPr>
                <w:sz w:val="21"/>
                <w:szCs w:val="21"/>
              </w:rPr>
              <w:t>4</w:t>
            </w:r>
          </w:p>
        </w:tc>
        <w:tc>
          <w:tcPr>
            <w:tcW w:w="908" w:type="pct"/>
          </w:tcPr>
          <w:p w14:paraId="15EB9FF8" w14:textId="77777777" w:rsidR="007D1E74" w:rsidRDefault="00A95641">
            <w:pPr>
              <w:pStyle w:val="TableParagraph"/>
              <w:ind w:left="102"/>
              <w:rPr>
                <w:rFonts w:ascii="宋体"/>
                <w:sz w:val="21"/>
                <w:szCs w:val="21"/>
              </w:rPr>
            </w:pPr>
            <w:r>
              <w:rPr>
                <w:rFonts w:ascii="宋体" w:hint="eastAsia"/>
                <w:sz w:val="21"/>
                <w:szCs w:val="21"/>
              </w:rPr>
              <w:t>盐肤木</w:t>
            </w:r>
          </w:p>
        </w:tc>
        <w:tc>
          <w:tcPr>
            <w:tcW w:w="759" w:type="pct"/>
          </w:tcPr>
          <w:p w14:paraId="0B64B5DA" w14:textId="77777777" w:rsidR="007D1E74" w:rsidRDefault="00A95641">
            <w:pPr>
              <w:pStyle w:val="TableParagraph"/>
              <w:ind w:left="103"/>
              <w:rPr>
                <w:rFonts w:ascii="宋体"/>
                <w:sz w:val="21"/>
                <w:szCs w:val="21"/>
              </w:rPr>
            </w:pPr>
            <w:r>
              <w:rPr>
                <w:rFonts w:ascii="宋体" w:hint="eastAsia"/>
                <w:sz w:val="21"/>
                <w:szCs w:val="21"/>
              </w:rPr>
              <w:t>果期</w:t>
            </w:r>
          </w:p>
        </w:tc>
        <w:tc>
          <w:tcPr>
            <w:tcW w:w="758" w:type="pct"/>
          </w:tcPr>
          <w:p w14:paraId="31A12DFC" w14:textId="77777777" w:rsidR="007D1E74" w:rsidRDefault="00A95641">
            <w:pPr>
              <w:pStyle w:val="TableParagraph"/>
              <w:spacing w:before="25"/>
              <w:rPr>
                <w:sz w:val="21"/>
                <w:szCs w:val="21"/>
              </w:rPr>
            </w:pPr>
            <w:r>
              <w:rPr>
                <w:sz w:val="21"/>
                <w:szCs w:val="21"/>
              </w:rPr>
              <w:t>1</w:t>
            </w:r>
          </w:p>
        </w:tc>
        <w:tc>
          <w:tcPr>
            <w:tcW w:w="505" w:type="pct"/>
          </w:tcPr>
          <w:p w14:paraId="0F6DE275" w14:textId="77777777" w:rsidR="007D1E74" w:rsidRDefault="00A95641">
            <w:pPr>
              <w:pStyle w:val="TableParagraph"/>
              <w:spacing w:before="25"/>
              <w:ind w:left="158" w:right="158"/>
              <w:rPr>
                <w:sz w:val="21"/>
                <w:szCs w:val="21"/>
              </w:rPr>
            </w:pPr>
            <w:r>
              <w:rPr>
                <w:sz w:val="21"/>
                <w:szCs w:val="21"/>
              </w:rPr>
              <w:t>Ol.</w:t>
            </w:r>
          </w:p>
        </w:tc>
        <w:tc>
          <w:tcPr>
            <w:tcW w:w="979" w:type="pct"/>
          </w:tcPr>
          <w:p w14:paraId="0595680B" w14:textId="77777777" w:rsidR="007D1E74" w:rsidRDefault="00A95641">
            <w:pPr>
              <w:pStyle w:val="TableParagraph"/>
              <w:spacing w:before="25"/>
              <w:ind w:left="171" w:right="172"/>
              <w:rPr>
                <w:sz w:val="21"/>
                <w:szCs w:val="21"/>
              </w:rPr>
            </w:pPr>
            <w:r>
              <w:rPr>
                <w:sz w:val="21"/>
                <w:szCs w:val="21"/>
              </w:rPr>
              <w:t>2.5</w:t>
            </w:r>
          </w:p>
        </w:tc>
        <w:tc>
          <w:tcPr>
            <w:tcW w:w="651" w:type="pct"/>
          </w:tcPr>
          <w:p w14:paraId="4FC510B0" w14:textId="77777777" w:rsidR="007D1E74" w:rsidRDefault="00A95641">
            <w:pPr>
              <w:pStyle w:val="TableParagraph"/>
              <w:spacing w:before="25"/>
              <w:ind w:right="110"/>
              <w:rPr>
                <w:sz w:val="21"/>
                <w:szCs w:val="21"/>
              </w:rPr>
            </w:pPr>
            <w:r>
              <w:rPr>
                <w:sz w:val="21"/>
                <w:szCs w:val="21"/>
              </w:rPr>
              <w:t>5</w:t>
            </w:r>
          </w:p>
        </w:tc>
      </w:tr>
      <w:tr w:rsidR="007D1E74" w14:paraId="48DF9A44" w14:textId="77777777">
        <w:trPr>
          <w:trHeight w:hRule="exact" w:val="336"/>
        </w:trPr>
        <w:tc>
          <w:tcPr>
            <w:tcW w:w="440" w:type="pct"/>
          </w:tcPr>
          <w:p w14:paraId="59FC825E" w14:textId="77777777" w:rsidR="007D1E74" w:rsidRDefault="00A95641">
            <w:pPr>
              <w:pStyle w:val="TableParagraph"/>
              <w:spacing w:before="25"/>
              <w:ind w:left="4"/>
              <w:rPr>
                <w:sz w:val="21"/>
                <w:szCs w:val="21"/>
              </w:rPr>
            </w:pPr>
            <w:r>
              <w:rPr>
                <w:sz w:val="21"/>
                <w:szCs w:val="21"/>
              </w:rPr>
              <w:t>5</w:t>
            </w:r>
          </w:p>
        </w:tc>
        <w:tc>
          <w:tcPr>
            <w:tcW w:w="908" w:type="pct"/>
          </w:tcPr>
          <w:p w14:paraId="47223D8B" w14:textId="77777777" w:rsidR="007D1E74" w:rsidRDefault="00A95641">
            <w:pPr>
              <w:pStyle w:val="TableParagraph"/>
              <w:ind w:left="102"/>
              <w:rPr>
                <w:rFonts w:ascii="宋体"/>
                <w:sz w:val="21"/>
                <w:szCs w:val="21"/>
              </w:rPr>
            </w:pPr>
            <w:r>
              <w:rPr>
                <w:rFonts w:ascii="宋体" w:hint="eastAsia"/>
                <w:sz w:val="21"/>
                <w:szCs w:val="21"/>
              </w:rPr>
              <w:t>截叶铁扫帚</w:t>
            </w:r>
          </w:p>
        </w:tc>
        <w:tc>
          <w:tcPr>
            <w:tcW w:w="759" w:type="pct"/>
          </w:tcPr>
          <w:p w14:paraId="079FDED5" w14:textId="77777777" w:rsidR="007D1E74" w:rsidRDefault="00A95641">
            <w:pPr>
              <w:pStyle w:val="TableParagraph"/>
              <w:ind w:left="103"/>
              <w:rPr>
                <w:rFonts w:ascii="宋体"/>
                <w:sz w:val="21"/>
                <w:szCs w:val="21"/>
              </w:rPr>
            </w:pPr>
            <w:r>
              <w:rPr>
                <w:rFonts w:ascii="宋体" w:hint="eastAsia"/>
                <w:sz w:val="21"/>
                <w:szCs w:val="21"/>
              </w:rPr>
              <w:t>营养期</w:t>
            </w:r>
          </w:p>
        </w:tc>
        <w:tc>
          <w:tcPr>
            <w:tcW w:w="758" w:type="pct"/>
          </w:tcPr>
          <w:p w14:paraId="1B3442FC" w14:textId="77777777" w:rsidR="007D1E74" w:rsidRDefault="00A95641">
            <w:pPr>
              <w:pStyle w:val="TableParagraph"/>
              <w:spacing w:before="25"/>
              <w:rPr>
                <w:sz w:val="21"/>
                <w:szCs w:val="21"/>
              </w:rPr>
            </w:pPr>
            <w:r>
              <w:rPr>
                <w:sz w:val="21"/>
                <w:szCs w:val="21"/>
              </w:rPr>
              <w:t>4</w:t>
            </w:r>
          </w:p>
        </w:tc>
        <w:tc>
          <w:tcPr>
            <w:tcW w:w="505" w:type="pct"/>
          </w:tcPr>
          <w:p w14:paraId="3EFA7A77" w14:textId="77777777" w:rsidR="007D1E74" w:rsidRDefault="00A95641">
            <w:pPr>
              <w:pStyle w:val="TableParagraph"/>
              <w:spacing w:before="25"/>
              <w:ind w:left="158" w:right="158"/>
              <w:rPr>
                <w:sz w:val="21"/>
                <w:szCs w:val="21"/>
              </w:rPr>
            </w:pPr>
            <w:r>
              <w:rPr>
                <w:sz w:val="21"/>
                <w:szCs w:val="21"/>
              </w:rPr>
              <w:t>Sp.</w:t>
            </w:r>
          </w:p>
        </w:tc>
        <w:tc>
          <w:tcPr>
            <w:tcW w:w="979" w:type="pct"/>
          </w:tcPr>
          <w:p w14:paraId="2A38F48F" w14:textId="77777777" w:rsidR="007D1E74" w:rsidRDefault="00A95641">
            <w:pPr>
              <w:pStyle w:val="TableParagraph"/>
              <w:spacing w:before="25"/>
              <w:ind w:left="171" w:right="172"/>
              <w:rPr>
                <w:sz w:val="21"/>
                <w:szCs w:val="21"/>
              </w:rPr>
            </w:pPr>
            <w:r>
              <w:rPr>
                <w:sz w:val="21"/>
                <w:szCs w:val="21"/>
              </w:rPr>
              <w:t>1.2</w:t>
            </w:r>
          </w:p>
        </w:tc>
        <w:tc>
          <w:tcPr>
            <w:tcW w:w="651" w:type="pct"/>
          </w:tcPr>
          <w:p w14:paraId="660AD6CE" w14:textId="77777777" w:rsidR="007D1E74" w:rsidRDefault="00A95641">
            <w:pPr>
              <w:pStyle w:val="TableParagraph"/>
              <w:spacing w:before="25"/>
              <w:ind w:right="110"/>
              <w:rPr>
                <w:sz w:val="21"/>
                <w:szCs w:val="21"/>
              </w:rPr>
            </w:pPr>
            <w:r>
              <w:rPr>
                <w:sz w:val="21"/>
                <w:szCs w:val="21"/>
              </w:rPr>
              <w:t>4</w:t>
            </w:r>
          </w:p>
        </w:tc>
      </w:tr>
      <w:tr w:rsidR="007D1E74" w14:paraId="3839C132" w14:textId="77777777">
        <w:trPr>
          <w:trHeight w:hRule="exact" w:val="336"/>
        </w:trPr>
        <w:tc>
          <w:tcPr>
            <w:tcW w:w="440" w:type="pct"/>
          </w:tcPr>
          <w:p w14:paraId="452DFF17" w14:textId="77777777" w:rsidR="007D1E74" w:rsidRDefault="00A95641">
            <w:pPr>
              <w:pStyle w:val="TableParagraph"/>
              <w:spacing w:before="25"/>
              <w:ind w:left="4"/>
              <w:rPr>
                <w:sz w:val="21"/>
                <w:szCs w:val="21"/>
              </w:rPr>
            </w:pPr>
            <w:r>
              <w:rPr>
                <w:sz w:val="21"/>
                <w:szCs w:val="21"/>
              </w:rPr>
              <w:t>6</w:t>
            </w:r>
          </w:p>
        </w:tc>
        <w:tc>
          <w:tcPr>
            <w:tcW w:w="908" w:type="pct"/>
          </w:tcPr>
          <w:p w14:paraId="109FEDC6" w14:textId="77777777" w:rsidR="007D1E74" w:rsidRDefault="00A95641">
            <w:pPr>
              <w:pStyle w:val="TableParagraph"/>
              <w:ind w:left="102"/>
              <w:rPr>
                <w:rFonts w:ascii="宋体"/>
                <w:sz w:val="21"/>
                <w:szCs w:val="21"/>
              </w:rPr>
            </w:pPr>
            <w:r>
              <w:rPr>
                <w:rFonts w:ascii="宋体" w:hint="eastAsia"/>
                <w:sz w:val="21"/>
                <w:szCs w:val="21"/>
              </w:rPr>
              <w:t>水麻</w:t>
            </w:r>
          </w:p>
        </w:tc>
        <w:tc>
          <w:tcPr>
            <w:tcW w:w="759" w:type="pct"/>
          </w:tcPr>
          <w:p w14:paraId="6271854B" w14:textId="77777777" w:rsidR="007D1E74" w:rsidRDefault="00A95641">
            <w:pPr>
              <w:pStyle w:val="TableParagraph"/>
              <w:ind w:left="103"/>
              <w:rPr>
                <w:rFonts w:ascii="宋体"/>
                <w:sz w:val="21"/>
                <w:szCs w:val="21"/>
              </w:rPr>
            </w:pPr>
            <w:r>
              <w:rPr>
                <w:rFonts w:ascii="宋体" w:hint="eastAsia"/>
                <w:sz w:val="21"/>
                <w:szCs w:val="21"/>
              </w:rPr>
              <w:t>果期</w:t>
            </w:r>
          </w:p>
        </w:tc>
        <w:tc>
          <w:tcPr>
            <w:tcW w:w="758" w:type="pct"/>
          </w:tcPr>
          <w:p w14:paraId="38136936" w14:textId="77777777" w:rsidR="007D1E74" w:rsidRDefault="00A95641">
            <w:pPr>
              <w:pStyle w:val="TableParagraph"/>
              <w:spacing w:before="25"/>
              <w:rPr>
                <w:sz w:val="21"/>
                <w:szCs w:val="21"/>
              </w:rPr>
            </w:pPr>
            <w:r>
              <w:rPr>
                <w:sz w:val="21"/>
                <w:szCs w:val="21"/>
              </w:rPr>
              <w:t>1</w:t>
            </w:r>
          </w:p>
        </w:tc>
        <w:tc>
          <w:tcPr>
            <w:tcW w:w="505" w:type="pct"/>
          </w:tcPr>
          <w:p w14:paraId="5BB803B9" w14:textId="77777777" w:rsidR="007D1E74" w:rsidRDefault="00A95641">
            <w:pPr>
              <w:pStyle w:val="TableParagraph"/>
              <w:spacing w:before="25"/>
              <w:ind w:left="158" w:right="158"/>
              <w:rPr>
                <w:sz w:val="21"/>
                <w:szCs w:val="21"/>
              </w:rPr>
            </w:pPr>
            <w:r>
              <w:rPr>
                <w:sz w:val="21"/>
                <w:szCs w:val="21"/>
              </w:rPr>
              <w:t>Ol.</w:t>
            </w:r>
          </w:p>
        </w:tc>
        <w:tc>
          <w:tcPr>
            <w:tcW w:w="979" w:type="pct"/>
          </w:tcPr>
          <w:p w14:paraId="3D73B882" w14:textId="77777777" w:rsidR="007D1E74" w:rsidRDefault="00A95641">
            <w:pPr>
              <w:pStyle w:val="TableParagraph"/>
              <w:spacing w:before="25"/>
              <w:ind w:left="171" w:right="172"/>
              <w:rPr>
                <w:sz w:val="21"/>
                <w:szCs w:val="21"/>
              </w:rPr>
            </w:pPr>
            <w:r>
              <w:rPr>
                <w:sz w:val="21"/>
                <w:szCs w:val="21"/>
              </w:rPr>
              <w:t>1.0</w:t>
            </w:r>
          </w:p>
        </w:tc>
        <w:tc>
          <w:tcPr>
            <w:tcW w:w="651" w:type="pct"/>
          </w:tcPr>
          <w:p w14:paraId="1B7A2713" w14:textId="77777777" w:rsidR="007D1E74" w:rsidRDefault="00A95641">
            <w:pPr>
              <w:pStyle w:val="TableParagraph"/>
              <w:spacing w:before="25"/>
              <w:ind w:right="110"/>
              <w:rPr>
                <w:sz w:val="21"/>
                <w:szCs w:val="21"/>
              </w:rPr>
            </w:pPr>
            <w:r>
              <w:rPr>
                <w:sz w:val="21"/>
                <w:szCs w:val="21"/>
              </w:rPr>
              <w:t>1</w:t>
            </w:r>
          </w:p>
        </w:tc>
      </w:tr>
      <w:tr w:rsidR="007D1E74" w14:paraId="745387F1" w14:textId="77777777">
        <w:trPr>
          <w:trHeight w:hRule="exact" w:val="336"/>
        </w:trPr>
        <w:tc>
          <w:tcPr>
            <w:tcW w:w="440" w:type="pct"/>
          </w:tcPr>
          <w:p w14:paraId="1AB564F9" w14:textId="77777777" w:rsidR="007D1E74" w:rsidRDefault="00A95641">
            <w:pPr>
              <w:pStyle w:val="TableParagraph"/>
              <w:spacing w:before="25"/>
              <w:ind w:left="4"/>
              <w:rPr>
                <w:sz w:val="21"/>
                <w:szCs w:val="21"/>
              </w:rPr>
            </w:pPr>
            <w:r>
              <w:rPr>
                <w:sz w:val="21"/>
                <w:szCs w:val="21"/>
              </w:rPr>
              <w:t>7</w:t>
            </w:r>
          </w:p>
        </w:tc>
        <w:tc>
          <w:tcPr>
            <w:tcW w:w="908" w:type="pct"/>
          </w:tcPr>
          <w:p w14:paraId="3BEF54B6" w14:textId="77777777" w:rsidR="007D1E74" w:rsidRDefault="00A95641">
            <w:pPr>
              <w:pStyle w:val="TableParagraph"/>
              <w:ind w:left="102"/>
              <w:rPr>
                <w:rFonts w:ascii="宋体"/>
                <w:sz w:val="21"/>
                <w:szCs w:val="21"/>
              </w:rPr>
            </w:pPr>
            <w:r>
              <w:rPr>
                <w:rFonts w:ascii="宋体" w:hint="eastAsia"/>
                <w:sz w:val="21"/>
                <w:szCs w:val="21"/>
              </w:rPr>
              <w:t>白茅</w:t>
            </w:r>
          </w:p>
        </w:tc>
        <w:tc>
          <w:tcPr>
            <w:tcW w:w="759" w:type="pct"/>
          </w:tcPr>
          <w:p w14:paraId="6791A30E" w14:textId="77777777" w:rsidR="007D1E74" w:rsidRDefault="00A95641">
            <w:pPr>
              <w:pStyle w:val="TableParagraph"/>
              <w:ind w:left="103"/>
              <w:rPr>
                <w:rFonts w:ascii="宋体"/>
                <w:sz w:val="21"/>
                <w:szCs w:val="21"/>
              </w:rPr>
            </w:pPr>
            <w:r>
              <w:rPr>
                <w:rFonts w:ascii="宋体" w:hint="eastAsia"/>
                <w:sz w:val="21"/>
                <w:szCs w:val="21"/>
              </w:rPr>
              <w:t>营养期</w:t>
            </w:r>
          </w:p>
        </w:tc>
        <w:tc>
          <w:tcPr>
            <w:tcW w:w="758" w:type="pct"/>
          </w:tcPr>
          <w:p w14:paraId="5929413A" w14:textId="77777777" w:rsidR="007D1E74" w:rsidRDefault="00A95641">
            <w:pPr>
              <w:pStyle w:val="TableParagraph"/>
              <w:spacing w:before="25"/>
              <w:rPr>
                <w:sz w:val="21"/>
                <w:szCs w:val="21"/>
              </w:rPr>
            </w:pPr>
            <w:r>
              <w:rPr>
                <w:sz w:val="21"/>
                <w:szCs w:val="21"/>
              </w:rPr>
              <w:t>1</w:t>
            </w:r>
          </w:p>
        </w:tc>
        <w:tc>
          <w:tcPr>
            <w:tcW w:w="505" w:type="pct"/>
          </w:tcPr>
          <w:p w14:paraId="1EB8328D" w14:textId="77777777" w:rsidR="007D1E74" w:rsidRDefault="00A95641">
            <w:pPr>
              <w:pStyle w:val="TableParagraph"/>
              <w:spacing w:before="24"/>
              <w:ind w:left="158" w:right="158"/>
              <w:rPr>
                <w:sz w:val="21"/>
                <w:szCs w:val="21"/>
              </w:rPr>
            </w:pPr>
            <w:r>
              <w:rPr>
                <w:position w:val="2"/>
                <w:sz w:val="21"/>
                <w:szCs w:val="21"/>
              </w:rPr>
              <w:t>Cop</w:t>
            </w:r>
            <w:r>
              <w:rPr>
                <w:sz w:val="21"/>
                <w:szCs w:val="21"/>
              </w:rPr>
              <w:t>1</w:t>
            </w:r>
          </w:p>
        </w:tc>
        <w:tc>
          <w:tcPr>
            <w:tcW w:w="979" w:type="pct"/>
          </w:tcPr>
          <w:p w14:paraId="1B7814F4" w14:textId="77777777" w:rsidR="007D1E74" w:rsidRDefault="00A95641">
            <w:pPr>
              <w:pStyle w:val="TableParagraph"/>
              <w:spacing w:before="25"/>
              <w:ind w:left="171" w:right="172"/>
              <w:rPr>
                <w:sz w:val="21"/>
                <w:szCs w:val="21"/>
              </w:rPr>
            </w:pPr>
            <w:r>
              <w:rPr>
                <w:sz w:val="21"/>
                <w:szCs w:val="21"/>
              </w:rPr>
              <w:t>0.6</w:t>
            </w:r>
          </w:p>
        </w:tc>
        <w:tc>
          <w:tcPr>
            <w:tcW w:w="651" w:type="pct"/>
          </w:tcPr>
          <w:p w14:paraId="68C8A44A" w14:textId="77777777" w:rsidR="007D1E74" w:rsidRDefault="00A95641">
            <w:pPr>
              <w:pStyle w:val="TableParagraph"/>
              <w:spacing w:before="25"/>
              <w:ind w:left="114" w:right="224"/>
              <w:rPr>
                <w:sz w:val="21"/>
                <w:szCs w:val="21"/>
              </w:rPr>
            </w:pPr>
            <w:r>
              <w:rPr>
                <w:sz w:val="21"/>
                <w:szCs w:val="21"/>
              </w:rPr>
              <w:t>20</w:t>
            </w:r>
          </w:p>
        </w:tc>
      </w:tr>
      <w:tr w:rsidR="007D1E74" w14:paraId="2FD9FE83" w14:textId="77777777">
        <w:trPr>
          <w:trHeight w:hRule="exact" w:val="336"/>
        </w:trPr>
        <w:tc>
          <w:tcPr>
            <w:tcW w:w="440" w:type="pct"/>
          </w:tcPr>
          <w:p w14:paraId="43931951" w14:textId="77777777" w:rsidR="007D1E74" w:rsidRDefault="00A95641">
            <w:pPr>
              <w:pStyle w:val="TableParagraph"/>
              <w:spacing w:before="25"/>
              <w:ind w:left="4"/>
              <w:rPr>
                <w:sz w:val="21"/>
                <w:szCs w:val="21"/>
              </w:rPr>
            </w:pPr>
            <w:r>
              <w:rPr>
                <w:sz w:val="21"/>
                <w:szCs w:val="21"/>
              </w:rPr>
              <w:t>8</w:t>
            </w:r>
          </w:p>
        </w:tc>
        <w:tc>
          <w:tcPr>
            <w:tcW w:w="908" w:type="pct"/>
          </w:tcPr>
          <w:p w14:paraId="7D3F207F" w14:textId="77777777" w:rsidR="007D1E74" w:rsidRDefault="00A95641">
            <w:pPr>
              <w:pStyle w:val="TableParagraph"/>
              <w:ind w:left="102"/>
              <w:rPr>
                <w:rFonts w:ascii="宋体"/>
                <w:sz w:val="21"/>
                <w:szCs w:val="21"/>
              </w:rPr>
            </w:pPr>
            <w:r>
              <w:rPr>
                <w:rFonts w:ascii="宋体" w:hint="eastAsia"/>
                <w:sz w:val="21"/>
                <w:szCs w:val="21"/>
              </w:rPr>
              <w:t>矛叶荩草</w:t>
            </w:r>
          </w:p>
        </w:tc>
        <w:tc>
          <w:tcPr>
            <w:tcW w:w="759" w:type="pct"/>
          </w:tcPr>
          <w:p w14:paraId="79CEB3CD" w14:textId="77777777" w:rsidR="007D1E74" w:rsidRDefault="00A95641">
            <w:pPr>
              <w:pStyle w:val="TableParagraph"/>
              <w:ind w:left="103"/>
              <w:rPr>
                <w:rFonts w:ascii="宋体"/>
                <w:sz w:val="21"/>
                <w:szCs w:val="21"/>
              </w:rPr>
            </w:pPr>
            <w:r>
              <w:rPr>
                <w:rFonts w:ascii="宋体" w:hint="eastAsia"/>
                <w:sz w:val="21"/>
                <w:szCs w:val="21"/>
              </w:rPr>
              <w:t>营养期</w:t>
            </w:r>
          </w:p>
        </w:tc>
        <w:tc>
          <w:tcPr>
            <w:tcW w:w="758" w:type="pct"/>
          </w:tcPr>
          <w:p w14:paraId="09D4AF7E" w14:textId="77777777" w:rsidR="007D1E74" w:rsidRDefault="00A95641">
            <w:pPr>
              <w:pStyle w:val="TableParagraph"/>
              <w:spacing w:before="25"/>
              <w:rPr>
                <w:sz w:val="21"/>
                <w:szCs w:val="21"/>
              </w:rPr>
            </w:pPr>
            <w:r>
              <w:rPr>
                <w:sz w:val="21"/>
                <w:szCs w:val="21"/>
              </w:rPr>
              <w:t>1</w:t>
            </w:r>
          </w:p>
        </w:tc>
        <w:tc>
          <w:tcPr>
            <w:tcW w:w="505" w:type="pct"/>
          </w:tcPr>
          <w:p w14:paraId="3F5D3D87" w14:textId="77777777" w:rsidR="007D1E74" w:rsidRDefault="00A95641">
            <w:pPr>
              <w:pStyle w:val="TableParagraph"/>
              <w:spacing w:before="25"/>
              <w:ind w:left="158" w:right="158"/>
              <w:rPr>
                <w:sz w:val="21"/>
                <w:szCs w:val="21"/>
              </w:rPr>
            </w:pPr>
            <w:r>
              <w:rPr>
                <w:sz w:val="21"/>
                <w:szCs w:val="21"/>
              </w:rPr>
              <w:t>Sp.</w:t>
            </w:r>
          </w:p>
        </w:tc>
        <w:tc>
          <w:tcPr>
            <w:tcW w:w="979" w:type="pct"/>
          </w:tcPr>
          <w:p w14:paraId="770E4C31" w14:textId="77777777" w:rsidR="007D1E74" w:rsidRDefault="00A95641">
            <w:pPr>
              <w:pStyle w:val="TableParagraph"/>
              <w:spacing w:before="25"/>
              <w:ind w:left="171" w:right="172"/>
              <w:rPr>
                <w:sz w:val="21"/>
                <w:szCs w:val="21"/>
              </w:rPr>
            </w:pPr>
            <w:r>
              <w:rPr>
                <w:sz w:val="21"/>
                <w:szCs w:val="21"/>
              </w:rPr>
              <w:t>0.3</w:t>
            </w:r>
          </w:p>
        </w:tc>
        <w:tc>
          <w:tcPr>
            <w:tcW w:w="651" w:type="pct"/>
          </w:tcPr>
          <w:p w14:paraId="7A8DE012" w14:textId="77777777" w:rsidR="007D1E74" w:rsidRDefault="00A95641">
            <w:pPr>
              <w:pStyle w:val="TableParagraph"/>
              <w:spacing w:before="25"/>
              <w:ind w:right="110"/>
              <w:rPr>
                <w:sz w:val="21"/>
                <w:szCs w:val="21"/>
              </w:rPr>
            </w:pPr>
            <w:r>
              <w:rPr>
                <w:sz w:val="21"/>
                <w:szCs w:val="21"/>
              </w:rPr>
              <w:t>2</w:t>
            </w:r>
          </w:p>
        </w:tc>
      </w:tr>
      <w:tr w:rsidR="007D1E74" w14:paraId="1A061798" w14:textId="77777777">
        <w:trPr>
          <w:trHeight w:hRule="exact" w:val="336"/>
        </w:trPr>
        <w:tc>
          <w:tcPr>
            <w:tcW w:w="440" w:type="pct"/>
          </w:tcPr>
          <w:p w14:paraId="5905B7B0" w14:textId="77777777" w:rsidR="007D1E74" w:rsidRDefault="00A95641">
            <w:pPr>
              <w:pStyle w:val="TableParagraph"/>
              <w:spacing w:before="25"/>
              <w:ind w:left="4"/>
              <w:rPr>
                <w:sz w:val="21"/>
                <w:szCs w:val="21"/>
              </w:rPr>
            </w:pPr>
            <w:r>
              <w:rPr>
                <w:sz w:val="21"/>
                <w:szCs w:val="21"/>
              </w:rPr>
              <w:t>9</w:t>
            </w:r>
          </w:p>
        </w:tc>
        <w:tc>
          <w:tcPr>
            <w:tcW w:w="908" w:type="pct"/>
          </w:tcPr>
          <w:p w14:paraId="4B64BB72" w14:textId="77777777" w:rsidR="007D1E74" w:rsidRDefault="00A95641">
            <w:pPr>
              <w:pStyle w:val="TableParagraph"/>
              <w:ind w:left="102"/>
              <w:rPr>
                <w:rFonts w:ascii="宋体"/>
                <w:sz w:val="21"/>
                <w:szCs w:val="21"/>
              </w:rPr>
            </w:pPr>
            <w:r>
              <w:rPr>
                <w:rFonts w:ascii="宋体" w:hint="eastAsia"/>
                <w:sz w:val="21"/>
                <w:szCs w:val="21"/>
              </w:rPr>
              <w:t>蒿</w:t>
            </w:r>
          </w:p>
        </w:tc>
        <w:tc>
          <w:tcPr>
            <w:tcW w:w="759" w:type="pct"/>
          </w:tcPr>
          <w:p w14:paraId="7277DC74" w14:textId="77777777" w:rsidR="007D1E74" w:rsidRDefault="00A95641">
            <w:pPr>
              <w:pStyle w:val="TableParagraph"/>
              <w:ind w:left="103"/>
              <w:rPr>
                <w:rFonts w:ascii="宋体"/>
                <w:sz w:val="21"/>
                <w:szCs w:val="21"/>
              </w:rPr>
            </w:pPr>
            <w:r>
              <w:rPr>
                <w:rFonts w:ascii="宋体" w:hint="eastAsia"/>
                <w:sz w:val="21"/>
                <w:szCs w:val="21"/>
              </w:rPr>
              <w:t>营养期</w:t>
            </w:r>
          </w:p>
        </w:tc>
        <w:tc>
          <w:tcPr>
            <w:tcW w:w="758" w:type="pct"/>
          </w:tcPr>
          <w:p w14:paraId="7B513863" w14:textId="77777777" w:rsidR="007D1E74" w:rsidRDefault="00A95641">
            <w:pPr>
              <w:pStyle w:val="TableParagraph"/>
              <w:spacing w:before="25"/>
              <w:rPr>
                <w:sz w:val="21"/>
                <w:szCs w:val="21"/>
              </w:rPr>
            </w:pPr>
            <w:r>
              <w:rPr>
                <w:sz w:val="21"/>
                <w:szCs w:val="21"/>
              </w:rPr>
              <w:t>2</w:t>
            </w:r>
          </w:p>
        </w:tc>
        <w:tc>
          <w:tcPr>
            <w:tcW w:w="505" w:type="pct"/>
          </w:tcPr>
          <w:p w14:paraId="75ED1DAE" w14:textId="77777777" w:rsidR="007D1E74" w:rsidRDefault="00A95641">
            <w:pPr>
              <w:pStyle w:val="TableParagraph"/>
              <w:spacing w:before="25"/>
              <w:ind w:left="158" w:right="158"/>
              <w:rPr>
                <w:sz w:val="21"/>
                <w:szCs w:val="21"/>
              </w:rPr>
            </w:pPr>
            <w:r>
              <w:rPr>
                <w:sz w:val="21"/>
                <w:szCs w:val="21"/>
              </w:rPr>
              <w:t>Ol.</w:t>
            </w:r>
          </w:p>
        </w:tc>
        <w:tc>
          <w:tcPr>
            <w:tcW w:w="979" w:type="pct"/>
          </w:tcPr>
          <w:p w14:paraId="249895D2" w14:textId="77777777" w:rsidR="007D1E74" w:rsidRDefault="00A95641">
            <w:pPr>
              <w:pStyle w:val="TableParagraph"/>
              <w:spacing w:before="25"/>
              <w:ind w:left="171" w:right="172"/>
              <w:rPr>
                <w:sz w:val="21"/>
                <w:szCs w:val="21"/>
              </w:rPr>
            </w:pPr>
            <w:r>
              <w:rPr>
                <w:sz w:val="21"/>
                <w:szCs w:val="21"/>
              </w:rPr>
              <w:t>0.3</w:t>
            </w:r>
          </w:p>
        </w:tc>
        <w:tc>
          <w:tcPr>
            <w:tcW w:w="651" w:type="pct"/>
          </w:tcPr>
          <w:p w14:paraId="0CB86BA4" w14:textId="77777777" w:rsidR="007D1E74" w:rsidRDefault="00A95641">
            <w:pPr>
              <w:pStyle w:val="TableParagraph"/>
              <w:spacing w:before="25"/>
              <w:ind w:right="110"/>
              <w:rPr>
                <w:sz w:val="21"/>
                <w:szCs w:val="21"/>
              </w:rPr>
            </w:pPr>
            <w:r>
              <w:rPr>
                <w:sz w:val="21"/>
                <w:szCs w:val="21"/>
              </w:rPr>
              <w:t>1</w:t>
            </w:r>
          </w:p>
        </w:tc>
      </w:tr>
      <w:tr w:rsidR="007D1E74" w14:paraId="791FAE23" w14:textId="77777777">
        <w:trPr>
          <w:trHeight w:hRule="exact" w:val="336"/>
        </w:trPr>
        <w:tc>
          <w:tcPr>
            <w:tcW w:w="440" w:type="pct"/>
          </w:tcPr>
          <w:p w14:paraId="76C3F1B7" w14:textId="77777777" w:rsidR="007D1E74" w:rsidRDefault="00A95641">
            <w:pPr>
              <w:pStyle w:val="TableParagraph"/>
              <w:spacing w:before="25"/>
              <w:ind w:left="109" w:right="105"/>
              <w:rPr>
                <w:sz w:val="21"/>
                <w:szCs w:val="21"/>
              </w:rPr>
            </w:pPr>
            <w:r>
              <w:rPr>
                <w:sz w:val="21"/>
                <w:szCs w:val="21"/>
              </w:rPr>
              <w:t>10</w:t>
            </w:r>
          </w:p>
        </w:tc>
        <w:tc>
          <w:tcPr>
            <w:tcW w:w="908" w:type="pct"/>
          </w:tcPr>
          <w:p w14:paraId="561CEEF8" w14:textId="77777777" w:rsidR="007D1E74" w:rsidRDefault="00A95641">
            <w:pPr>
              <w:pStyle w:val="TableParagraph"/>
              <w:ind w:left="102"/>
              <w:rPr>
                <w:rFonts w:ascii="宋体"/>
                <w:sz w:val="21"/>
                <w:szCs w:val="21"/>
              </w:rPr>
            </w:pPr>
            <w:r>
              <w:rPr>
                <w:rFonts w:ascii="宋体" w:hint="eastAsia"/>
                <w:sz w:val="21"/>
                <w:szCs w:val="21"/>
              </w:rPr>
              <w:t>蕨</w:t>
            </w:r>
          </w:p>
        </w:tc>
        <w:tc>
          <w:tcPr>
            <w:tcW w:w="759" w:type="pct"/>
          </w:tcPr>
          <w:p w14:paraId="2F0872BE" w14:textId="77777777" w:rsidR="007D1E74" w:rsidRDefault="00A95641">
            <w:pPr>
              <w:pStyle w:val="TableParagraph"/>
              <w:ind w:left="103"/>
              <w:rPr>
                <w:rFonts w:ascii="宋体"/>
                <w:sz w:val="21"/>
                <w:szCs w:val="21"/>
              </w:rPr>
            </w:pPr>
            <w:r>
              <w:rPr>
                <w:rFonts w:ascii="宋体" w:hint="eastAsia"/>
                <w:sz w:val="21"/>
                <w:szCs w:val="21"/>
              </w:rPr>
              <w:t>营养期</w:t>
            </w:r>
          </w:p>
        </w:tc>
        <w:tc>
          <w:tcPr>
            <w:tcW w:w="758" w:type="pct"/>
          </w:tcPr>
          <w:p w14:paraId="7226A3E9" w14:textId="77777777" w:rsidR="007D1E74" w:rsidRDefault="00A95641">
            <w:pPr>
              <w:pStyle w:val="TableParagraph"/>
              <w:spacing w:before="25"/>
              <w:rPr>
                <w:sz w:val="21"/>
                <w:szCs w:val="21"/>
              </w:rPr>
            </w:pPr>
            <w:r>
              <w:rPr>
                <w:sz w:val="21"/>
                <w:szCs w:val="21"/>
              </w:rPr>
              <w:t>1</w:t>
            </w:r>
          </w:p>
        </w:tc>
        <w:tc>
          <w:tcPr>
            <w:tcW w:w="505" w:type="pct"/>
          </w:tcPr>
          <w:p w14:paraId="4F6B0706" w14:textId="77777777" w:rsidR="007D1E74" w:rsidRDefault="00A95641">
            <w:pPr>
              <w:pStyle w:val="TableParagraph"/>
              <w:spacing w:before="25"/>
              <w:ind w:left="158" w:right="158"/>
              <w:rPr>
                <w:sz w:val="21"/>
                <w:szCs w:val="21"/>
              </w:rPr>
            </w:pPr>
            <w:r>
              <w:rPr>
                <w:sz w:val="21"/>
                <w:szCs w:val="21"/>
              </w:rPr>
              <w:t>Ol.</w:t>
            </w:r>
          </w:p>
        </w:tc>
        <w:tc>
          <w:tcPr>
            <w:tcW w:w="979" w:type="pct"/>
          </w:tcPr>
          <w:p w14:paraId="57F941E0" w14:textId="77777777" w:rsidR="007D1E74" w:rsidRDefault="00A95641">
            <w:pPr>
              <w:pStyle w:val="TableParagraph"/>
              <w:spacing w:before="25"/>
              <w:ind w:left="171" w:right="172"/>
              <w:rPr>
                <w:sz w:val="21"/>
                <w:szCs w:val="21"/>
              </w:rPr>
            </w:pPr>
            <w:r>
              <w:rPr>
                <w:sz w:val="21"/>
                <w:szCs w:val="21"/>
              </w:rPr>
              <w:t>0.4</w:t>
            </w:r>
          </w:p>
        </w:tc>
        <w:tc>
          <w:tcPr>
            <w:tcW w:w="651" w:type="pct"/>
          </w:tcPr>
          <w:p w14:paraId="10612045" w14:textId="77777777" w:rsidR="007D1E74" w:rsidRDefault="00A95641">
            <w:pPr>
              <w:pStyle w:val="TableParagraph"/>
              <w:spacing w:before="25"/>
              <w:ind w:right="110"/>
              <w:rPr>
                <w:sz w:val="21"/>
                <w:szCs w:val="21"/>
              </w:rPr>
            </w:pPr>
            <w:r>
              <w:rPr>
                <w:sz w:val="21"/>
                <w:szCs w:val="21"/>
              </w:rPr>
              <w:t>1</w:t>
            </w:r>
          </w:p>
        </w:tc>
      </w:tr>
    </w:tbl>
    <w:p w14:paraId="4F6861F6" w14:textId="77777777" w:rsidR="007D1E74" w:rsidRDefault="00A95641">
      <w:pPr>
        <w:spacing w:line="360" w:lineRule="auto"/>
        <w:ind w:firstLineChars="200" w:firstLine="420"/>
        <w:rPr>
          <w:rFonts w:cs="Times New Roman"/>
          <w:szCs w:val="21"/>
        </w:rPr>
      </w:pPr>
      <w:r>
        <w:rPr>
          <w:rFonts w:cs="Times New Roman"/>
          <w:szCs w:val="21"/>
        </w:rPr>
        <w:t>注</w:t>
      </w:r>
      <w:r>
        <w:rPr>
          <w:rFonts w:cs="Times New Roman"/>
          <w:szCs w:val="21"/>
        </w:rPr>
        <w:t xml:space="preserve">:  </w:t>
      </w:r>
      <w:r>
        <w:rPr>
          <w:rFonts w:cs="Times New Roman"/>
          <w:szCs w:val="21"/>
        </w:rPr>
        <w:t>多度按七级制计量，分别为：</w:t>
      </w:r>
      <w:r>
        <w:rPr>
          <w:rFonts w:cs="Times New Roman"/>
          <w:szCs w:val="21"/>
        </w:rPr>
        <w:t>Soc.</w:t>
      </w:r>
      <w:r>
        <w:rPr>
          <w:rFonts w:cs="Times New Roman"/>
          <w:szCs w:val="21"/>
        </w:rPr>
        <w:t>极多；</w:t>
      </w:r>
      <w:r>
        <w:rPr>
          <w:rFonts w:cs="Times New Roman"/>
          <w:szCs w:val="21"/>
        </w:rPr>
        <w:t>Cop3.</w:t>
      </w:r>
      <w:r>
        <w:rPr>
          <w:rFonts w:cs="Times New Roman"/>
          <w:szCs w:val="21"/>
        </w:rPr>
        <w:t>很多；</w:t>
      </w:r>
      <w:r>
        <w:rPr>
          <w:rFonts w:cs="Times New Roman"/>
          <w:szCs w:val="21"/>
        </w:rPr>
        <w:t>Cop2.</w:t>
      </w:r>
      <w:r>
        <w:rPr>
          <w:rFonts w:cs="Times New Roman"/>
          <w:szCs w:val="21"/>
        </w:rPr>
        <w:t>多；</w:t>
      </w:r>
      <w:r>
        <w:rPr>
          <w:rFonts w:cs="Times New Roman"/>
          <w:szCs w:val="21"/>
        </w:rPr>
        <w:t>Cop1.</w:t>
      </w:r>
      <w:r>
        <w:rPr>
          <w:rFonts w:cs="Times New Roman"/>
          <w:szCs w:val="21"/>
        </w:rPr>
        <w:t>尚多；</w:t>
      </w:r>
      <w:r>
        <w:rPr>
          <w:rFonts w:cs="Times New Roman"/>
          <w:szCs w:val="21"/>
        </w:rPr>
        <w:t>Sp.</w:t>
      </w:r>
      <w:r>
        <w:rPr>
          <w:rFonts w:cs="Times New Roman"/>
          <w:szCs w:val="21"/>
        </w:rPr>
        <w:t>不多且分散；</w:t>
      </w:r>
      <w:r>
        <w:rPr>
          <w:rFonts w:cs="Times New Roman"/>
          <w:szCs w:val="21"/>
        </w:rPr>
        <w:t>Ol.</w:t>
      </w:r>
      <w:r>
        <w:rPr>
          <w:rFonts w:cs="Times New Roman"/>
          <w:szCs w:val="21"/>
        </w:rPr>
        <w:t>很少而稀疏；</w:t>
      </w:r>
      <w:r>
        <w:rPr>
          <w:rFonts w:cs="Times New Roman"/>
          <w:szCs w:val="21"/>
        </w:rPr>
        <w:t>Un.</w:t>
      </w:r>
      <w:r>
        <w:rPr>
          <w:rFonts w:cs="Times New Roman"/>
          <w:szCs w:val="21"/>
        </w:rPr>
        <w:t>个别或单株。以下同</w:t>
      </w:r>
    </w:p>
    <w:p w14:paraId="7282EDE9" w14:textId="77777777" w:rsidR="007D1E74" w:rsidRDefault="007D1E74">
      <w:pPr>
        <w:spacing w:line="360" w:lineRule="auto"/>
        <w:ind w:firstLineChars="200" w:firstLine="420"/>
        <w:rPr>
          <w:rFonts w:cs="Times New Roman"/>
          <w:szCs w:val="21"/>
        </w:rPr>
      </w:pPr>
    </w:p>
    <w:p w14:paraId="23EDF1CB" w14:textId="77777777" w:rsidR="007D1E74" w:rsidRDefault="00A95641">
      <w:pPr>
        <w:spacing w:line="360" w:lineRule="auto"/>
        <w:jc w:val="center"/>
        <w:rPr>
          <w:rFonts w:eastAsia="黑体" w:cs="Times New Roman"/>
          <w:szCs w:val="21"/>
        </w:rPr>
      </w:pPr>
      <w:r>
        <w:rPr>
          <w:rFonts w:eastAsia="黑体" w:cs="Times New Roman"/>
          <w:szCs w:val="21"/>
        </w:rPr>
        <w:t>表</w:t>
      </w:r>
      <w:r>
        <w:rPr>
          <w:rFonts w:eastAsia="黑体" w:cs="Times New Roman"/>
          <w:szCs w:val="21"/>
        </w:rPr>
        <w:t xml:space="preserve">A.2.1-2  </w:t>
      </w:r>
      <w:r>
        <w:rPr>
          <w:rFonts w:eastAsia="黑体" w:cs="Times New Roman" w:hint="eastAsia"/>
          <w:szCs w:val="21"/>
        </w:rPr>
        <w:t>植物实测样方表</w:t>
      </w:r>
    </w:p>
    <w:tbl>
      <w:tblPr>
        <w:tblStyle w:val="affffc"/>
        <w:tblW w:w="0" w:type="auto"/>
        <w:tblBorders>
          <w:left w:val="none" w:sz="0" w:space="0" w:color="auto"/>
          <w:right w:val="none" w:sz="0" w:space="0" w:color="auto"/>
        </w:tblBorders>
        <w:tblLook w:val="04A0" w:firstRow="1" w:lastRow="0" w:firstColumn="1" w:lastColumn="0" w:noHBand="0" w:noVBand="1"/>
      </w:tblPr>
      <w:tblGrid>
        <w:gridCol w:w="9016"/>
      </w:tblGrid>
      <w:tr w:rsidR="007D1E74" w14:paraId="102FD759" w14:textId="77777777">
        <w:tc>
          <w:tcPr>
            <w:tcW w:w="9016" w:type="dxa"/>
          </w:tcPr>
          <w:p w14:paraId="7A61ACD1" w14:textId="77777777" w:rsidR="007D1E74" w:rsidRDefault="00A95641">
            <w:pPr>
              <w:spacing w:line="360" w:lineRule="auto"/>
              <w:rPr>
                <w:rFonts w:eastAsiaTheme="minorEastAsia" w:cs="Times New Roman"/>
                <w:szCs w:val="21"/>
              </w:rPr>
            </w:pPr>
            <w:r>
              <w:rPr>
                <w:rFonts w:eastAsiaTheme="minorEastAsia" w:cs="Times New Roman" w:hint="eastAsia"/>
                <w:szCs w:val="21"/>
              </w:rPr>
              <w:t>群落名称：柏木林</w:t>
            </w:r>
            <w:r>
              <w:rPr>
                <w:rFonts w:eastAsiaTheme="minorEastAsia" w:cs="Times New Roman" w:hint="eastAsia"/>
                <w:szCs w:val="21"/>
              </w:rPr>
              <w:tab/>
            </w:r>
            <w:r>
              <w:rPr>
                <w:rFonts w:eastAsiaTheme="minorEastAsia" w:cs="Times New Roman" w:hint="eastAsia"/>
                <w:szCs w:val="21"/>
              </w:rPr>
              <w:tab/>
            </w:r>
            <w:r>
              <w:rPr>
                <w:rFonts w:eastAsiaTheme="minorEastAsia" w:cs="Times New Roman" w:hint="eastAsia"/>
                <w:szCs w:val="21"/>
              </w:rPr>
              <w:t>地点：涪阳镇草池乡活水沟村</w:t>
            </w:r>
            <w:r>
              <w:rPr>
                <w:rFonts w:eastAsiaTheme="minorEastAsia" w:cs="Times New Roman" w:hint="eastAsia"/>
                <w:szCs w:val="21"/>
              </w:rPr>
              <w:tab/>
            </w:r>
            <w:r>
              <w:rPr>
                <w:rFonts w:eastAsiaTheme="minorEastAsia" w:cs="Times New Roman" w:hint="eastAsia"/>
                <w:szCs w:val="21"/>
              </w:rPr>
              <w:t>样方面积：</w:t>
            </w:r>
            <w:r>
              <w:rPr>
                <w:rFonts w:eastAsiaTheme="minorEastAsia" w:cs="Times New Roman" w:hint="eastAsia"/>
                <w:szCs w:val="21"/>
              </w:rPr>
              <w:t>10m</w:t>
            </w:r>
            <w:r>
              <w:rPr>
                <w:rFonts w:eastAsiaTheme="minorEastAsia" w:cs="Times New Roman" w:hint="eastAsia"/>
                <w:szCs w:val="21"/>
              </w:rPr>
              <w:t>×</w:t>
            </w:r>
            <w:r>
              <w:rPr>
                <w:rFonts w:eastAsiaTheme="minorEastAsia" w:cs="Times New Roman" w:hint="eastAsia"/>
                <w:szCs w:val="21"/>
              </w:rPr>
              <w:t>10m</w:t>
            </w:r>
          </w:p>
        </w:tc>
      </w:tr>
      <w:tr w:rsidR="007D1E74" w14:paraId="42056214" w14:textId="77777777">
        <w:tc>
          <w:tcPr>
            <w:tcW w:w="9016" w:type="dxa"/>
          </w:tcPr>
          <w:p w14:paraId="166529E8" w14:textId="77777777" w:rsidR="007D1E74" w:rsidRDefault="00A95641">
            <w:pPr>
              <w:spacing w:line="360" w:lineRule="auto"/>
              <w:rPr>
                <w:rFonts w:eastAsiaTheme="minorEastAsia" w:cs="Times New Roman"/>
                <w:szCs w:val="21"/>
              </w:rPr>
            </w:pPr>
            <w:r>
              <w:rPr>
                <w:rFonts w:eastAsiaTheme="minorEastAsia" w:cs="Times New Roman" w:hint="eastAsia"/>
                <w:szCs w:val="21"/>
              </w:rPr>
              <w:t>经度：</w:t>
            </w:r>
            <w:r>
              <w:rPr>
                <w:rFonts w:eastAsiaTheme="minorEastAsia" w:cs="Times New Roman" w:hint="eastAsia"/>
                <w:szCs w:val="21"/>
              </w:rPr>
              <w:t xml:space="preserve">107.126577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纬度：</w:t>
            </w:r>
            <w:r>
              <w:rPr>
                <w:rFonts w:eastAsiaTheme="minorEastAsia" w:cs="Times New Roman" w:hint="eastAsia"/>
                <w:szCs w:val="21"/>
              </w:rPr>
              <w:t xml:space="preserve">32.007208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海拔（</w:t>
            </w:r>
            <w:r>
              <w:rPr>
                <w:rFonts w:eastAsiaTheme="minorEastAsia" w:cs="Times New Roman" w:hint="eastAsia"/>
                <w:szCs w:val="21"/>
              </w:rPr>
              <w:t>m</w:t>
            </w:r>
            <w:r>
              <w:rPr>
                <w:rFonts w:eastAsiaTheme="minorEastAsia" w:cs="Times New Roman" w:hint="eastAsia"/>
                <w:szCs w:val="21"/>
              </w:rPr>
              <w:t>）</w:t>
            </w:r>
            <w:r>
              <w:rPr>
                <w:rFonts w:eastAsiaTheme="minorEastAsia" w:cs="Times New Roman" w:hint="eastAsia"/>
                <w:szCs w:val="21"/>
              </w:rPr>
              <w:t>796</w:t>
            </w:r>
          </w:p>
        </w:tc>
      </w:tr>
      <w:tr w:rsidR="007D1E74" w14:paraId="35CAF96F" w14:textId="77777777">
        <w:tc>
          <w:tcPr>
            <w:tcW w:w="9016" w:type="dxa"/>
          </w:tcPr>
          <w:p w14:paraId="639066F7" w14:textId="77777777" w:rsidR="007D1E74" w:rsidRDefault="00A95641">
            <w:pPr>
              <w:spacing w:line="360" w:lineRule="auto"/>
              <w:rPr>
                <w:rFonts w:eastAsiaTheme="minorEastAsia" w:cs="Times New Roman"/>
                <w:szCs w:val="21"/>
              </w:rPr>
            </w:pPr>
            <w:r>
              <w:rPr>
                <w:rFonts w:eastAsiaTheme="minorEastAsia" w:cs="Times New Roman" w:hint="eastAsia"/>
                <w:szCs w:val="21"/>
              </w:rPr>
              <w:t>调查人：黄文军、李秦</w:t>
            </w:r>
            <w:r>
              <w:rPr>
                <w:rFonts w:eastAsiaTheme="minorEastAsia" w:cs="Times New Roman" w:hint="eastAsia"/>
                <w:szCs w:val="21"/>
              </w:rPr>
              <w:tab/>
            </w:r>
            <w:r>
              <w:rPr>
                <w:rFonts w:eastAsiaTheme="minorEastAsia" w:cs="Times New Roman" w:hint="eastAsia"/>
                <w:szCs w:val="21"/>
              </w:rPr>
              <w:t>调查日期：</w:t>
            </w:r>
            <w:r>
              <w:rPr>
                <w:rFonts w:eastAsiaTheme="minorEastAsia" w:cs="Times New Roman" w:hint="eastAsia"/>
                <w:szCs w:val="21"/>
              </w:rPr>
              <w:t>2021-08-17</w:t>
            </w:r>
          </w:p>
        </w:tc>
      </w:tr>
    </w:tbl>
    <w:p w14:paraId="46CFD9C9" w14:textId="77777777" w:rsidR="007D1E74" w:rsidRDefault="007D1E74">
      <w:pPr>
        <w:spacing w:line="360" w:lineRule="auto"/>
        <w:rPr>
          <w:rFonts w:eastAsia="黑体" w:cs="Times New Roman"/>
          <w:sz w:val="24"/>
          <w:szCs w:val="24"/>
        </w:rPr>
      </w:pP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4"/>
        <w:gridCol w:w="1637"/>
        <w:gridCol w:w="1369"/>
        <w:gridCol w:w="1214"/>
        <w:gridCol w:w="1062"/>
        <w:gridCol w:w="1764"/>
        <w:gridCol w:w="1176"/>
      </w:tblGrid>
      <w:tr w:rsidR="007D1E74" w14:paraId="26B1AECA" w14:textId="77777777">
        <w:tc>
          <w:tcPr>
            <w:tcW w:w="440" w:type="pct"/>
          </w:tcPr>
          <w:p w14:paraId="2EE2D248" w14:textId="77777777" w:rsidR="007D1E74" w:rsidRDefault="00A95641">
            <w:pPr>
              <w:pStyle w:val="TableParagraph"/>
              <w:ind w:left="109" w:right="105"/>
              <w:rPr>
                <w:rFonts w:ascii="宋体"/>
                <w:sz w:val="21"/>
                <w:szCs w:val="21"/>
              </w:rPr>
            </w:pPr>
            <w:r>
              <w:rPr>
                <w:rFonts w:ascii="宋体" w:hint="eastAsia"/>
                <w:sz w:val="21"/>
                <w:szCs w:val="21"/>
              </w:rPr>
              <w:t>种号</w:t>
            </w:r>
          </w:p>
        </w:tc>
        <w:tc>
          <w:tcPr>
            <w:tcW w:w="908" w:type="pct"/>
          </w:tcPr>
          <w:p w14:paraId="4EA9DAF7" w14:textId="77777777" w:rsidR="007D1E74" w:rsidRDefault="00A95641">
            <w:pPr>
              <w:pStyle w:val="TableParagraph"/>
              <w:ind w:left="400"/>
              <w:rPr>
                <w:rFonts w:ascii="宋体"/>
                <w:sz w:val="21"/>
                <w:szCs w:val="21"/>
              </w:rPr>
            </w:pPr>
            <w:r>
              <w:rPr>
                <w:rFonts w:ascii="宋体" w:hint="eastAsia"/>
                <w:sz w:val="21"/>
                <w:szCs w:val="21"/>
              </w:rPr>
              <w:t>物种名</w:t>
            </w:r>
          </w:p>
        </w:tc>
        <w:tc>
          <w:tcPr>
            <w:tcW w:w="759" w:type="pct"/>
          </w:tcPr>
          <w:p w14:paraId="65420228" w14:textId="77777777" w:rsidR="007D1E74" w:rsidRDefault="00A95641">
            <w:pPr>
              <w:pStyle w:val="TableParagraph"/>
              <w:ind w:left="273"/>
              <w:rPr>
                <w:rFonts w:ascii="宋体"/>
                <w:sz w:val="21"/>
                <w:szCs w:val="21"/>
              </w:rPr>
            </w:pPr>
            <w:r>
              <w:rPr>
                <w:rFonts w:ascii="宋体" w:hint="eastAsia"/>
                <w:sz w:val="21"/>
                <w:szCs w:val="21"/>
              </w:rPr>
              <w:t>物候期</w:t>
            </w:r>
          </w:p>
        </w:tc>
        <w:tc>
          <w:tcPr>
            <w:tcW w:w="673" w:type="pct"/>
          </w:tcPr>
          <w:p w14:paraId="30599CDD" w14:textId="77777777" w:rsidR="007D1E74" w:rsidRDefault="00A95641">
            <w:pPr>
              <w:pStyle w:val="TableParagraph"/>
              <w:ind w:left="101" w:right="101"/>
              <w:rPr>
                <w:rFonts w:ascii="宋体"/>
                <w:sz w:val="21"/>
                <w:szCs w:val="21"/>
              </w:rPr>
            </w:pPr>
            <w:r>
              <w:rPr>
                <w:rFonts w:ascii="宋体" w:hint="eastAsia"/>
                <w:sz w:val="21"/>
                <w:szCs w:val="21"/>
              </w:rPr>
              <w:t>株</w:t>
            </w:r>
            <w:r>
              <w:rPr>
                <w:sz w:val="21"/>
                <w:szCs w:val="21"/>
              </w:rPr>
              <w:t>(</w:t>
            </w:r>
            <w:r>
              <w:rPr>
                <w:rFonts w:ascii="宋体" w:hint="eastAsia"/>
                <w:sz w:val="21"/>
                <w:szCs w:val="21"/>
              </w:rPr>
              <w:t>丛</w:t>
            </w:r>
            <w:r>
              <w:rPr>
                <w:sz w:val="21"/>
                <w:szCs w:val="21"/>
              </w:rPr>
              <w:t>)</w:t>
            </w:r>
            <w:r>
              <w:rPr>
                <w:rFonts w:ascii="宋体" w:hint="eastAsia"/>
                <w:sz w:val="21"/>
                <w:szCs w:val="21"/>
              </w:rPr>
              <w:t>数</w:t>
            </w:r>
          </w:p>
        </w:tc>
        <w:tc>
          <w:tcPr>
            <w:tcW w:w="589" w:type="pct"/>
          </w:tcPr>
          <w:p w14:paraId="78E38613" w14:textId="77777777" w:rsidR="007D1E74" w:rsidRDefault="00A95641">
            <w:pPr>
              <w:pStyle w:val="TableParagraph"/>
              <w:ind w:left="231" w:right="231"/>
              <w:rPr>
                <w:rFonts w:ascii="宋体"/>
                <w:sz w:val="21"/>
                <w:szCs w:val="21"/>
              </w:rPr>
            </w:pPr>
            <w:r>
              <w:rPr>
                <w:rFonts w:ascii="宋体" w:hint="eastAsia"/>
                <w:sz w:val="21"/>
                <w:szCs w:val="21"/>
              </w:rPr>
              <w:t>多度</w:t>
            </w:r>
          </w:p>
        </w:tc>
        <w:tc>
          <w:tcPr>
            <w:tcW w:w="978" w:type="pct"/>
          </w:tcPr>
          <w:p w14:paraId="4B9B8528" w14:textId="77777777" w:rsidR="007D1E74" w:rsidRDefault="00A95641">
            <w:pPr>
              <w:pStyle w:val="TableParagraph"/>
              <w:ind w:left="172" w:right="170"/>
              <w:rPr>
                <w:sz w:val="21"/>
                <w:szCs w:val="21"/>
              </w:rPr>
            </w:pPr>
            <w:r>
              <w:rPr>
                <w:rFonts w:ascii="宋体" w:hint="eastAsia"/>
                <w:w w:val="95"/>
                <w:sz w:val="21"/>
                <w:szCs w:val="21"/>
              </w:rPr>
              <w:t>平均高度</w:t>
            </w:r>
            <w:r>
              <w:rPr>
                <w:w w:val="95"/>
                <w:sz w:val="21"/>
                <w:szCs w:val="21"/>
              </w:rPr>
              <w:t>/cm</w:t>
            </w:r>
          </w:p>
        </w:tc>
        <w:tc>
          <w:tcPr>
            <w:tcW w:w="652" w:type="pct"/>
          </w:tcPr>
          <w:p w14:paraId="28502BEB" w14:textId="77777777" w:rsidR="007D1E74" w:rsidRDefault="00A95641">
            <w:pPr>
              <w:pStyle w:val="TableParagraph"/>
              <w:ind w:left="116" w:right="226"/>
              <w:rPr>
                <w:sz w:val="21"/>
                <w:szCs w:val="21"/>
              </w:rPr>
            </w:pPr>
            <w:r>
              <w:rPr>
                <w:rFonts w:ascii="宋体" w:hint="eastAsia"/>
                <w:w w:val="95"/>
                <w:sz w:val="21"/>
                <w:szCs w:val="21"/>
              </w:rPr>
              <w:t>盖度</w:t>
            </w:r>
            <w:r>
              <w:rPr>
                <w:w w:val="95"/>
                <w:sz w:val="21"/>
                <w:szCs w:val="21"/>
              </w:rPr>
              <w:t>/%</w:t>
            </w:r>
          </w:p>
        </w:tc>
      </w:tr>
      <w:tr w:rsidR="007D1E74" w14:paraId="2E59183A" w14:textId="77777777">
        <w:tc>
          <w:tcPr>
            <w:tcW w:w="440" w:type="pct"/>
          </w:tcPr>
          <w:p w14:paraId="098B3BC0" w14:textId="77777777" w:rsidR="007D1E74" w:rsidRDefault="00A95641">
            <w:pPr>
              <w:pStyle w:val="TableParagraph"/>
              <w:spacing w:before="25"/>
              <w:ind w:left="4"/>
              <w:rPr>
                <w:sz w:val="21"/>
                <w:szCs w:val="21"/>
              </w:rPr>
            </w:pPr>
            <w:r>
              <w:rPr>
                <w:sz w:val="21"/>
                <w:szCs w:val="21"/>
              </w:rPr>
              <w:t>1</w:t>
            </w:r>
          </w:p>
        </w:tc>
        <w:tc>
          <w:tcPr>
            <w:tcW w:w="908" w:type="pct"/>
          </w:tcPr>
          <w:p w14:paraId="3D7FE95A" w14:textId="77777777" w:rsidR="007D1E74" w:rsidRDefault="00A95641">
            <w:pPr>
              <w:pStyle w:val="TableParagraph"/>
              <w:ind w:left="102"/>
              <w:rPr>
                <w:rFonts w:ascii="宋体"/>
                <w:sz w:val="21"/>
                <w:szCs w:val="21"/>
              </w:rPr>
            </w:pPr>
            <w:r>
              <w:rPr>
                <w:rFonts w:ascii="宋体" w:hint="eastAsia"/>
                <w:sz w:val="21"/>
                <w:szCs w:val="21"/>
              </w:rPr>
              <w:t>柏木</w:t>
            </w:r>
          </w:p>
        </w:tc>
        <w:tc>
          <w:tcPr>
            <w:tcW w:w="759" w:type="pct"/>
          </w:tcPr>
          <w:p w14:paraId="6F27E8CD" w14:textId="77777777" w:rsidR="007D1E74" w:rsidRDefault="00A95641">
            <w:pPr>
              <w:pStyle w:val="TableParagraph"/>
              <w:ind w:left="103"/>
              <w:rPr>
                <w:rFonts w:ascii="宋体"/>
                <w:sz w:val="21"/>
                <w:szCs w:val="21"/>
              </w:rPr>
            </w:pPr>
            <w:r>
              <w:rPr>
                <w:rFonts w:ascii="宋体" w:hint="eastAsia"/>
                <w:sz w:val="21"/>
                <w:szCs w:val="21"/>
              </w:rPr>
              <w:t>果期</w:t>
            </w:r>
          </w:p>
        </w:tc>
        <w:tc>
          <w:tcPr>
            <w:tcW w:w="673" w:type="pct"/>
          </w:tcPr>
          <w:p w14:paraId="691AE8C5" w14:textId="77777777" w:rsidR="007D1E74" w:rsidRDefault="00A95641">
            <w:pPr>
              <w:pStyle w:val="TableParagraph"/>
              <w:spacing w:before="25"/>
              <w:ind w:left="101" w:right="101"/>
              <w:rPr>
                <w:sz w:val="21"/>
                <w:szCs w:val="21"/>
              </w:rPr>
            </w:pPr>
            <w:r>
              <w:rPr>
                <w:sz w:val="21"/>
                <w:szCs w:val="21"/>
              </w:rPr>
              <w:t>16</w:t>
            </w:r>
          </w:p>
        </w:tc>
        <w:tc>
          <w:tcPr>
            <w:tcW w:w="589" w:type="pct"/>
          </w:tcPr>
          <w:p w14:paraId="4860C7C6" w14:textId="77777777" w:rsidR="007D1E74" w:rsidRDefault="00A95641">
            <w:pPr>
              <w:pStyle w:val="TableParagraph"/>
              <w:spacing w:before="22"/>
              <w:ind w:left="231" w:right="231"/>
              <w:rPr>
                <w:sz w:val="21"/>
                <w:szCs w:val="21"/>
              </w:rPr>
            </w:pPr>
            <w:r>
              <w:rPr>
                <w:position w:val="2"/>
                <w:sz w:val="21"/>
                <w:szCs w:val="21"/>
              </w:rPr>
              <w:t>Cop</w:t>
            </w:r>
            <w:r>
              <w:rPr>
                <w:sz w:val="21"/>
                <w:szCs w:val="21"/>
              </w:rPr>
              <w:t>2</w:t>
            </w:r>
          </w:p>
        </w:tc>
        <w:tc>
          <w:tcPr>
            <w:tcW w:w="978" w:type="pct"/>
          </w:tcPr>
          <w:p w14:paraId="43DCDA96" w14:textId="77777777" w:rsidR="007D1E74" w:rsidRDefault="00A95641">
            <w:pPr>
              <w:pStyle w:val="TableParagraph"/>
              <w:spacing w:before="25"/>
              <w:ind w:left="169" w:right="170"/>
              <w:rPr>
                <w:sz w:val="21"/>
                <w:szCs w:val="21"/>
              </w:rPr>
            </w:pPr>
            <w:r>
              <w:rPr>
                <w:sz w:val="21"/>
                <w:szCs w:val="21"/>
              </w:rPr>
              <w:t>12</w:t>
            </w:r>
          </w:p>
        </w:tc>
        <w:tc>
          <w:tcPr>
            <w:tcW w:w="652" w:type="pct"/>
          </w:tcPr>
          <w:p w14:paraId="0ABA764D" w14:textId="77777777" w:rsidR="007D1E74" w:rsidRDefault="00A95641">
            <w:pPr>
              <w:pStyle w:val="TableParagraph"/>
              <w:spacing w:before="25"/>
              <w:ind w:left="116" w:right="224"/>
              <w:rPr>
                <w:sz w:val="21"/>
                <w:szCs w:val="21"/>
              </w:rPr>
            </w:pPr>
            <w:r>
              <w:rPr>
                <w:sz w:val="21"/>
                <w:szCs w:val="21"/>
              </w:rPr>
              <w:t>65</w:t>
            </w:r>
          </w:p>
        </w:tc>
      </w:tr>
      <w:tr w:rsidR="007D1E74" w14:paraId="239E7672" w14:textId="77777777">
        <w:tc>
          <w:tcPr>
            <w:tcW w:w="440" w:type="pct"/>
          </w:tcPr>
          <w:p w14:paraId="2B034203" w14:textId="77777777" w:rsidR="007D1E74" w:rsidRDefault="00A95641">
            <w:pPr>
              <w:pStyle w:val="TableParagraph"/>
              <w:spacing w:before="25"/>
              <w:ind w:left="4"/>
              <w:rPr>
                <w:sz w:val="21"/>
                <w:szCs w:val="21"/>
              </w:rPr>
            </w:pPr>
            <w:r>
              <w:rPr>
                <w:sz w:val="21"/>
                <w:szCs w:val="21"/>
              </w:rPr>
              <w:t>2</w:t>
            </w:r>
          </w:p>
        </w:tc>
        <w:tc>
          <w:tcPr>
            <w:tcW w:w="908" w:type="pct"/>
          </w:tcPr>
          <w:p w14:paraId="370837DF" w14:textId="77777777" w:rsidR="007D1E74" w:rsidRDefault="00A95641">
            <w:pPr>
              <w:pStyle w:val="TableParagraph"/>
              <w:ind w:left="102"/>
              <w:rPr>
                <w:rFonts w:ascii="宋体"/>
                <w:sz w:val="21"/>
                <w:szCs w:val="21"/>
              </w:rPr>
            </w:pPr>
            <w:r>
              <w:rPr>
                <w:rFonts w:ascii="宋体" w:hint="eastAsia"/>
                <w:sz w:val="21"/>
                <w:szCs w:val="21"/>
              </w:rPr>
              <w:t>栓皮栎</w:t>
            </w:r>
          </w:p>
        </w:tc>
        <w:tc>
          <w:tcPr>
            <w:tcW w:w="759" w:type="pct"/>
          </w:tcPr>
          <w:p w14:paraId="51542420" w14:textId="77777777" w:rsidR="007D1E74" w:rsidRDefault="00A95641">
            <w:pPr>
              <w:pStyle w:val="TableParagraph"/>
              <w:ind w:left="103"/>
              <w:rPr>
                <w:rFonts w:ascii="宋体"/>
                <w:sz w:val="21"/>
                <w:szCs w:val="21"/>
              </w:rPr>
            </w:pPr>
            <w:r>
              <w:rPr>
                <w:rFonts w:ascii="宋体" w:hint="eastAsia"/>
                <w:sz w:val="21"/>
                <w:szCs w:val="21"/>
              </w:rPr>
              <w:t>果期</w:t>
            </w:r>
          </w:p>
        </w:tc>
        <w:tc>
          <w:tcPr>
            <w:tcW w:w="673" w:type="pct"/>
          </w:tcPr>
          <w:p w14:paraId="23FACFB8" w14:textId="77777777" w:rsidR="007D1E74" w:rsidRDefault="00A95641">
            <w:pPr>
              <w:pStyle w:val="TableParagraph"/>
              <w:spacing w:before="25"/>
              <w:rPr>
                <w:sz w:val="21"/>
                <w:szCs w:val="21"/>
              </w:rPr>
            </w:pPr>
            <w:r>
              <w:rPr>
                <w:sz w:val="21"/>
                <w:szCs w:val="21"/>
              </w:rPr>
              <w:t>4</w:t>
            </w:r>
          </w:p>
        </w:tc>
        <w:tc>
          <w:tcPr>
            <w:tcW w:w="589" w:type="pct"/>
          </w:tcPr>
          <w:p w14:paraId="67FF957E" w14:textId="77777777" w:rsidR="007D1E74" w:rsidRDefault="00A95641">
            <w:pPr>
              <w:pStyle w:val="TableParagraph"/>
              <w:spacing w:before="22"/>
              <w:ind w:left="231" w:right="231"/>
              <w:rPr>
                <w:sz w:val="21"/>
                <w:szCs w:val="21"/>
              </w:rPr>
            </w:pPr>
            <w:r>
              <w:rPr>
                <w:position w:val="2"/>
                <w:sz w:val="21"/>
                <w:szCs w:val="21"/>
              </w:rPr>
              <w:t>Cop</w:t>
            </w:r>
            <w:r>
              <w:rPr>
                <w:sz w:val="21"/>
                <w:szCs w:val="21"/>
              </w:rPr>
              <w:t>1</w:t>
            </w:r>
          </w:p>
        </w:tc>
        <w:tc>
          <w:tcPr>
            <w:tcW w:w="978" w:type="pct"/>
          </w:tcPr>
          <w:p w14:paraId="5316DFD5" w14:textId="77777777" w:rsidR="007D1E74" w:rsidRDefault="00A95641">
            <w:pPr>
              <w:pStyle w:val="TableParagraph"/>
              <w:spacing w:before="25"/>
              <w:ind w:left="169" w:right="170"/>
              <w:rPr>
                <w:sz w:val="21"/>
                <w:szCs w:val="21"/>
              </w:rPr>
            </w:pPr>
            <w:r>
              <w:rPr>
                <w:sz w:val="21"/>
                <w:szCs w:val="21"/>
              </w:rPr>
              <w:t>13</w:t>
            </w:r>
          </w:p>
        </w:tc>
        <w:tc>
          <w:tcPr>
            <w:tcW w:w="652" w:type="pct"/>
          </w:tcPr>
          <w:p w14:paraId="2F95DF26" w14:textId="77777777" w:rsidR="007D1E74" w:rsidRDefault="00A95641">
            <w:pPr>
              <w:pStyle w:val="TableParagraph"/>
              <w:spacing w:before="25"/>
              <w:ind w:left="116" w:right="224"/>
              <w:rPr>
                <w:sz w:val="21"/>
                <w:szCs w:val="21"/>
              </w:rPr>
            </w:pPr>
            <w:r>
              <w:rPr>
                <w:sz w:val="21"/>
                <w:szCs w:val="21"/>
              </w:rPr>
              <w:t>10</w:t>
            </w:r>
          </w:p>
        </w:tc>
      </w:tr>
      <w:tr w:rsidR="007D1E74" w14:paraId="7244C17E" w14:textId="77777777">
        <w:tc>
          <w:tcPr>
            <w:tcW w:w="440" w:type="pct"/>
          </w:tcPr>
          <w:p w14:paraId="1132AB64" w14:textId="77777777" w:rsidR="007D1E74" w:rsidRDefault="00A95641">
            <w:pPr>
              <w:pStyle w:val="TableParagraph"/>
              <w:spacing w:before="25"/>
              <w:ind w:left="4"/>
              <w:rPr>
                <w:sz w:val="21"/>
                <w:szCs w:val="21"/>
              </w:rPr>
            </w:pPr>
            <w:r>
              <w:rPr>
                <w:sz w:val="21"/>
                <w:szCs w:val="21"/>
              </w:rPr>
              <w:t>3</w:t>
            </w:r>
          </w:p>
        </w:tc>
        <w:tc>
          <w:tcPr>
            <w:tcW w:w="908" w:type="pct"/>
          </w:tcPr>
          <w:p w14:paraId="5FE5C2BD" w14:textId="77777777" w:rsidR="007D1E74" w:rsidRDefault="00A95641">
            <w:pPr>
              <w:pStyle w:val="TableParagraph"/>
              <w:ind w:left="102"/>
              <w:rPr>
                <w:rFonts w:ascii="宋体"/>
                <w:sz w:val="21"/>
                <w:szCs w:val="21"/>
              </w:rPr>
            </w:pPr>
            <w:r>
              <w:rPr>
                <w:rFonts w:ascii="宋体" w:hint="eastAsia"/>
                <w:sz w:val="21"/>
                <w:szCs w:val="21"/>
              </w:rPr>
              <w:t>桤木</w:t>
            </w:r>
          </w:p>
        </w:tc>
        <w:tc>
          <w:tcPr>
            <w:tcW w:w="759" w:type="pct"/>
          </w:tcPr>
          <w:p w14:paraId="0C6CBB55" w14:textId="77777777" w:rsidR="007D1E74" w:rsidRDefault="00A95641">
            <w:pPr>
              <w:pStyle w:val="TableParagraph"/>
              <w:ind w:left="103"/>
              <w:rPr>
                <w:rFonts w:ascii="宋体"/>
                <w:sz w:val="21"/>
                <w:szCs w:val="21"/>
              </w:rPr>
            </w:pPr>
            <w:r>
              <w:rPr>
                <w:rFonts w:ascii="宋体" w:hint="eastAsia"/>
                <w:sz w:val="21"/>
                <w:szCs w:val="21"/>
              </w:rPr>
              <w:t>果期</w:t>
            </w:r>
          </w:p>
        </w:tc>
        <w:tc>
          <w:tcPr>
            <w:tcW w:w="673" w:type="pct"/>
          </w:tcPr>
          <w:p w14:paraId="425B6A38" w14:textId="77777777" w:rsidR="007D1E74" w:rsidRDefault="00A95641">
            <w:pPr>
              <w:pStyle w:val="TableParagraph"/>
              <w:spacing w:before="25"/>
              <w:rPr>
                <w:sz w:val="21"/>
                <w:szCs w:val="21"/>
              </w:rPr>
            </w:pPr>
            <w:r>
              <w:rPr>
                <w:sz w:val="21"/>
                <w:szCs w:val="21"/>
              </w:rPr>
              <w:t>3</w:t>
            </w:r>
          </w:p>
        </w:tc>
        <w:tc>
          <w:tcPr>
            <w:tcW w:w="589" w:type="pct"/>
          </w:tcPr>
          <w:p w14:paraId="4806C4FA" w14:textId="77777777" w:rsidR="007D1E74" w:rsidRDefault="00A95641">
            <w:pPr>
              <w:pStyle w:val="TableParagraph"/>
              <w:spacing w:before="22"/>
              <w:ind w:left="231" w:right="231"/>
              <w:rPr>
                <w:sz w:val="21"/>
                <w:szCs w:val="21"/>
              </w:rPr>
            </w:pPr>
            <w:r>
              <w:rPr>
                <w:position w:val="2"/>
                <w:sz w:val="21"/>
                <w:szCs w:val="21"/>
              </w:rPr>
              <w:t>Cop</w:t>
            </w:r>
            <w:r>
              <w:rPr>
                <w:sz w:val="21"/>
                <w:szCs w:val="21"/>
              </w:rPr>
              <w:t>1</w:t>
            </w:r>
          </w:p>
        </w:tc>
        <w:tc>
          <w:tcPr>
            <w:tcW w:w="978" w:type="pct"/>
          </w:tcPr>
          <w:p w14:paraId="46BF9478" w14:textId="77777777" w:rsidR="007D1E74" w:rsidRDefault="00A95641">
            <w:pPr>
              <w:pStyle w:val="TableParagraph"/>
              <w:spacing w:before="25"/>
              <w:ind w:left="169" w:right="170"/>
              <w:rPr>
                <w:sz w:val="21"/>
                <w:szCs w:val="21"/>
              </w:rPr>
            </w:pPr>
            <w:r>
              <w:rPr>
                <w:sz w:val="21"/>
                <w:szCs w:val="21"/>
              </w:rPr>
              <w:t>12</w:t>
            </w:r>
          </w:p>
        </w:tc>
        <w:tc>
          <w:tcPr>
            <w:tcW w:w="652" w:type="pct"/>
          </w:tcPr>
          <w:p w14:paraId="3EAF9DC7" w14:textId="77777777" w:rsidR="007D1E74" w:rsidRDefault="00A95641">
            <w:pPr>
              <w:pStyle w:val="TableParagraph"/>
              <w:spacing w:before="25"/>
              <w:ind w:right="108"/>
              <w:rPr>
                <w:sz w:val="21"/>
                <w:szCs w:val="21"/>
              </w:rPr>
            </w:pPr>
            <w:r>
              <w:rPr>
                <w:sz w:val="21"/>
                <w:szCs w:val="21"/>
              </w:rPr>
              <w:t>6</w:t>
            </w:r>
          </w:p>
        </w:tc>
      </w:tr>
      <w:tr w:rsidR="007D1E74" w14:paraId="09DC3B9B" w14:textId="77777777">
        <w:tc>
          <w:tcPr>
            <w:tcW w:w="440" w:type="pct"/>
          </w:tcPr>
          <w:p w14:paraId="52BFF5AF" w14:textId="77777777" w:rsidR="007D1E74" w:rsidRDefault="00A95641">
            <w:pPr>
              <w:pStyle w:val="TableParagraph"/>
              <w:spacing w:before="25"/>
              <w:ind w:left="4"/>
              <w:rPr>
                <w:sz w:val="21"/>
                <w:szCs w:val="21"/>
              </w:rPr>
            </w:pPr>
            <w:r>
              <w:rPr>
                <w:sz w:val="21"/>
                <w:szCs w:val="21"/>
              </w:rPr>
              <w:t>4</w:t>
            </w:r>
          </w:p>
        </w:tc>
        <w:tc>
          <w:tcPr>
            <w:tcW w:w="908" w:type="pct"/>
          </w:tcPr>
          <w:p w14:paraId="29411E9B" w14:textId="77777777" w:rsidR="007D1E74" w:rsidRDefault="00A95641">
            <w:pPr>
              <w:pStyle w:val="TableParagraph"/>
              <w:ind w:left="102"/>
              <w:rPr>
                <w:rFonts w:ascii="宋体"/>
                <w:sz w:val="21"/>
                <w:szCs w:val="21"/>
              </w:rPr>
            </w:pPr>
            <w:r>
              <w:rPr>
                <w:rFonts w:ascii="宋体" w:hint="eastAsia"/>
                <w:sz w:val="21"/>
                <w:szCs w:val="21"/>
              </w:rPr>
              <w:t>女贞</w:t>
            </w:r>
          </w:p>
        </w:tc>
        <w:tc>
          <w:tcPr>
            <w:tcW w:w="759" w:type="pct"/>
          </w:tcPr>
          <w:p w14:paraId="423FE697" w14:textId="77777777" w:rsidR="007D1E74" w:rsidRDefault="00A95641">
            <w:pPr>
              <w:pStyle w:val="TableParagraph"/>
              <w:ind w:left="103"/>
              <w:rPr>
                <w:rFonts w:ascii="宋体"/>
                <w:sz w:val="21"/>
                <w:szCs w:val="21"/>
              </w:rPr>
            </w:pPr>
            <w:r>
              <w:rPr>
                <w:rFonts w:ascii="宋体" w:hint="eastAsia"/>
                <w:sz w:val="21"/>
                <w:szCs w:val="21"/>
              </w:rPr>
              <w:t>果期</w:t>
            </w:r>
          </w:p>
        </w:tc>
        <w:tc>
          <w:tcPr>
            <w:tcW w:w="673" w:type="pct"/>
          </w:tcPr>
          <w:p w14:paraId="287E173B" w14:textId="77777777" w:rsidR="007D1E74" w:rsidRDefault="00A95641">
            <w:pPr>
              <w:pStyle w:val="TableParagraph"/>
              <w:spacing w:before="25"/>
              <w:rPr>
                <w:sz w:val="21"/>
                <w:szCs w:val="21"/>
              </w:rPr>
            </w:pPr>
            <w:r>
              <w:rPr>
                <w:sz w:val="21"/>
                <w:szCs w:val="21"/>
              </w:rPr>
              <w:t>1</w:t>
            </w:r>
          </w:p>
        </w:tc>
        <w:tc>
          <w:tcPr>
            <w:tcW w:w="589" w:type="pct"/>
          </w:tcPr>
          <w:p w14:paraId="084E0D40" w14:textId="77777777" w:rsidR="007D1E74" w:rsidRDefault="00A95641">
            <w:pPr>
              <w:pStyle w:val="TableParagraph"/>
              <w:spacing w:before="25"/>
              <w:ind w:left="231" w:right="231"/>
              <w:rPr>
                <w:sz w:val="21"/>
                <w:szCs w:val="21"/>
              </w:rPr>
            </w:pPr>
            <w:r>
              <w:rPr>
                <w:sz w:val="21"/>
                <w:szCs w:val="21"/>
              </w:rPr>
              <w:t>Sp</w:t>
            </w:r>
          </w:p>
        </w:tc>
        <w:tc>
          <w:tcPr>
            <w:tcW w:w="978" w:type="pct"/>
          </w:tcPr>
          <w:p w14:paraId="355F096C" w14:textId="77777777" w:rsidR="007D1E74" w:rsidRDefault="00A95641">
            <w:pPr>
              <w:pStyle w:val="TableParagraph"/>
              <w:spacing w:before="25"/>
              <w:ind w:right="1"/>
              <w:rPr>
                <w:sz w:val="21"/>
                <w:szCs w:val="21"/>
              </w:rPr>
            </w:pPr>
            <w:r>
              <w:rPr>
                <w:sz w:val="21"/>
                <w:szCs w:val="21"/>
              </w:rPr>
              <w:t>7</w:t>
            </w:r>
          </w:p>
        </w:tc>
        <w:tc>
          <w:tcPr>
            <w:tcW w:w="652" w:type="pct"/>
          </w:tcPr>
          <w:p w14:paraId="19F93E6B" w14:textId="77777777" w:rsidR="007D1E74" w:rsidRDefault="00A95641">
            <w:pPr>
              <w:pStyle w:val="TableParagraph"/>
              <w:spacing w:before="25"/>
              <w:ind w:right="108"/>
              <w:rPr>
                <w:sz w:val="21"/>
                <w:szCs w:val="21"/>
              </w:rPr>
            </w:pPr>
            <w:r>
              <w:rPr>
                <w:sz w:val="21"/>
                <w:szCs w:val="21"/>
              </w:rPr>
              <w:t>3</w:t>
            </w:r>
          </w:p>
        </w:tc>
      </w:tr>
      <w:tr w:rsidR="007D1E74" w14:paraId="40D6AC77" w14:textId="77777777">
        <w:tc>
          <w:tcPr>
            <w:tcW w:w="440" w:type="pct"/>
          </w:tcPr>
          <w:p w14:paraId="60E76DA4" w14:textId="77777777" w:rsidR="007D1E74" w:rsidRDefault="00A95641">
            <w:pPr>
              <w:pStyle w:val="TableParagraph"/>
              <w:spacing w:before="25"/>
              <w:ind w:left="4"/>
              <w:rPr>
                <w:sz w:val="21"/>
                <w:szCs w:val="21"/>
              </w:rPr>
            </w:pPr>
            <w:r>
              <w:rPr>
                <w:sz w:val="21"/>
                <w:szCs w:val="21"/>
              </w:rPr>
              <w:t>5</w:t>
            </w:r>
          </w:p>
        </w:tc>
        <w:tc>
          <w:tcPr>
            <w:tcW w:w="908" w:type="pct"/>
          </w:tcPr>
          <w:p w14:paraId="29661F98" w14:textId="77777777" w:rsidR="007D1E74" w:rsidRDefault="00A95641">
            <w:pPr>
              <w:pStyle w:val="TableParagraph"/>
              <w:ind w:left="102"/>
              <w:rPr>
                <w:rFonts w:ascii="宋体"/>
                <w:sz w:val="21"/>
                <w:szCs w:val="21"/>
              </w:rPr>
            </w:pPr>
            <w:r>
              <w:rPr>
                <w:rFonts w:ascii="宋体" w:hint="eastAsia"/>
                <w:sz w:val="21"/>
                <w:szCs w:val="21"/>
              </w:rPr>
              <w:t>楝</w:t>
            </w:r>
          </w:p>
        </w:tc>
        <w:tc>
          <w:tcPr>
            <w:tcW w:w="759" w:type="pct"/>
          </w:tcPr>
          <w:p w14:paraId="4DD6DD17" w14:textId="77777777" w:rsidR="007D1E74" w:rsidRDefault="00A95641">
            <w:pPr>
              <w:pStyle w:val="TableParagraph"/>
              <w:ind w:left="103"/>
              <w:rPr>
                <w:rFonts w:ascii="宋体"/>
                <w:sz w:val="21"/>
                <w:szCs w:val="21"/>
              </w:rPr>
            </w:pPr>
            <w:r>
              <w:rPr>
                <w:rFonts w:ascii="宋体" w:hint="eastAsia"/>
                <w:sz w:val="21"/>
                <w:szCs w:val="21"/>
              </w:rPr>
              <w:t>果期</w:t>
            </w:r>
          </w:p>
        </w:tc>
        <w:tc>
          <w:tcPr>
            <w:tcW w:w="673" w:type="pct"/>
          </w:tcPr>
          <w:p w14:paraId="46EC9126" w14:textId="77777777" w:rsidR="007D1E74" w:rsidRDefault="00A95641">
            <w:pPr>
              <w:pStyle w:val="TableParagraph"/>
              <w:spacing w:before="25"/>
              <w:rPr>
                <w:sz w:val="21"/>
                <w:szCs w:val="21"/>
              </w:rPr>
            </w:pPr>
            <w:r>
              <w:rPr>
                <w:sz w:val="21"/>
                <w:szCs w:val="21"/>
              </w:rPr>
              <w:t>1</w:t>
            </w:r>
          </w:p>
        </w:tc>
        <w:tc>
          <w:tcPr>
            <w:tcW w:w="589" w:type="pct"/>
          </w:tcPr>
          <w:p w14:paraId="7C8937D1" w14:textId="77777777" w:rsidR="007D1E74" w:rsidRDefault="00A95641">
            <w:pPr>
              <w:pStyle w:val="TableParagraph"/>
              <w:spacing w:before="25"/>
              <w:ind w:left="231" w:right="231"/>
              <w:rPr>
                <w:sz w:val="21"/>
                <w:szCs w:val="21"/>
              </w:rPr>
            </w:pPr>
            <w:r>
              <w:rPr>
                <w:sz w:val="21"/>
                <w:szCs w:val="21"/>
              </w:rPr>
              <w:t>Sp</w:t>
            </w:r>
          </w:p>
        </w:tc>
        <w:tc>
          <w:tcPr>
            <w:tcW w:w="978" w:type="pct"/>
          </w:tcPr>
          <w:p w14:paraId="372F4509" w14:textId="77777777" w:rsidR="007D1E74" w:rsidRDefault="00A95641">
            <w:pPr>
              <w:pStyle w:val="TableParagraph"/>
              <w:spacing w:before="25"/>
              <w:ind w:right="1"/>
              <w:rPr>
                <w:sz w:val="21"/>
                <w:szCs w:val="21"/>
              </w:rPr>
            </w:pPr>
            <w:r>
              <w:rPr>
                <w:sz w:val="21"/>
                <w:szCs w:val="21"/>
              </w:rPr>
              <w:t>8</w:t>
            </w:r>
          </w:p>
        </w:tc>
        <w:tc>
          <w:tcPr>
            <w:tcW w:w="652" w:type="pct"/>
          </w:tcPr>
          <w:p w14:paraId="2B784AB4" w14:textId="77777777" w:rsidR="007D1E74" w:rsidRDefault="00A95641">
            <w:pPr>
              <w:pStyle w:val="TableParagraph"/>
              <w:spacing w:before="25"/>
              <w:ind w:right="108"/>
              <w:rPr>
                <w:sz w:val="21"/>
                <w:szCs w:val="21"/>
              </w:rPr>
            </w:pPr>
            <w:r>
              <w:rPr>
                <w:sz w:val="21"/>
                <w:szCs w:val="21"/>
              </w:rPr>
              <w:t>3</w:t>
            </w:r>
          </w:p>
        </w:tc>
      </w:tr>
      <w:tr w:rsidR="007D1E74" w14:paraId="68A32096" w14:textId="77777777">
        <w:tc>
          <w:tcPr>
            <w:tcW w:w="440" w:type="pct"/>
          </w:tcPr>
          <w:p w14:paraId="06A3193E" w14:textId="77777777" w:rsidR="007D1E74" w:rsidRDefault="00A95641">
            <w:pPr>
              <w:pStyle w:val="TableParagraph"/>
              <w:spacing w:before="25"/>
              <w:ind w:left="4"/>
              <w:rPr>
                <w:sz w:val="21"/>
                <w:szCs w:val="21"/>
              </w:rPr>
            </w:pPr>
            <w:r>
              <w:rPr>
                <w:sz w:val="21"/>
                <w:szCs w:val="21"/>
              </w:rPr>
              <w:t>6</w:t>
            </w:r>
          </w:p>
        </w:tc>
        <w:tc>
          <w:tcPr>
            <w:tcW w:w="908" w:type="pct"/>
          </w:tcPr>
          <w:p w14:paraId="3A0C01FE" w14:textId="77777777" w:rsidR="007D1E74" w:rsidRDefault="00A95641">
            <w:pPr>
              <w:pStyle w:val="TableParagraph"/>
              <w:ind w:left="102"/>
              <w:rPr>
                <w:rFonts w:ascii="宋体"/>
                <w:sz w:val="21"/>
                <w:szCs w:val="21"/>
              </w:rPr>
            </w:pPr>
            <w:r>
              <w:rPr>
                <w:rFonts w:ascii="宋体" w:hint="eastAsia"/>
                <w:sz w:val="21"/>
                <w:szCs w:val="21"/>
              </w:rPr>
              <w:t>臭椿</w:t>
            </w:r>
          </w:p>
        </w:tc>
        <w:tc>
          <w:tcPr>
            <w:tcW w:w="759" w:type="pct"/>
          </w:tcPr>
          <w:p w14:paraId="79B53607" w14:textId="77777777" w:rsidR="007D1E74" w:rsidRDefault="00A95641">
            <w:pPr>
              <w:pStyle w:val="TableParagraph"/>
              <w:ind w:left="103"/>
              <w:rPr>
                <w:rFonts w:ascii="宋体"/>
                <w:sz w:val="21"/>
                <w:szCs w:val="21"/>
              </w:rPr>
            </w:pPr>
            <w:r>
              <w:rPr>
                <w:rFonts w:ascii="宋体" w:hint="eastAsia"/>
                <w:sz w:val="21"/>
                <w:szCs w:val="21"/>
              </w:rPr>
              <w:t>营养期</w:t>
            </w:r>
          </w:p>
        </w:tc>
        <w:tc>
          <w:tcPr>
            <w:tcW w:w="673" w:type="pct"/>
          </w:tcPr>
          <w:p w14:paraId="37E692B2" w14:textId="77777777" w:rsidR="007D1E74" w:rsidRDefault="00A95641">
            <w:pPr>
              <w:pStyle w:val="TableParagraph"/>
              <w:spacing w:before="25"/>
              <w:rPr>
                <w:sz w:val="21"/>
                <w:szCs w:val="21"/>
              </w:rPr>
            </w:pPr>
            <w:r>
              <w:rPr>
                <w:sz w:val="21"/>
                <w:szCs w:val="21"/>
              </w:rPr>
              <w:t>1</w:t>
            </w:r>
          </w:p>
        </w:tc>
        <w:tc>
          <w:tcPr>
            <w:tcW w:w="589" w:type="pct"/>
          </w:tcPr>
          <w:p w14:paraId="23967CB9" w14:textId="77777777" w:rsidR="007D1E74" w:rsidRDefault="00A95641">
            <w:pPr>
              <w:pStyle w:val="TableParagraph"/>
              <w:spacing w:before="25"/>
              <w:ind w:left="231" w:right="231"/>
              <w:rPr>
                <w:sz w:val="21"/>
                <w:szCs w:val="21"/>
              </w:rPr>
            </w:pPr>
            <w:r>
              <w:rPr>
                <w:sz w:val="21"/>
                <w:szCs w:val="21"/>
              </w:rPr>
              <w:t>Sp</w:t>
            </w:r>
          </w:p>
        </w:tc>
        <w:tc>
          <w:tcPr>
            <w:tcW w:w="978" w:type="pct"/>
          </w:tcPr>
          <w:p w14:paraId="5F3B98AD" w14:textId="77777777" w:rsidR="007D1E74" w:rsidRDefault="00A95641">
            <w:pPr>
              <w:pStyle w:val="TableParagraph"/>
              <w:spacing w:before="25"/>
              <w:ind w:left="169" w:right="170"/>
              <w:rPr>
                <w:sz w:val="21"/>
                <w:szCs w:val="21"/>
              </w:rPr>
            </w:pPr>
            <w:r>
              <w:rPr>
                <w:sz w:val="21"/>
                <w:szCs w:val="21"/>
              </w:rPr>
              <w:t>14</w:t>
            </w:r>
          </w:p>
        </w:tc>
        <w:tc>
          <w:tcPr>
            <w:tcW w:w="652" w:type="pct"/>
          </w:tcPr>
          <w:p w14:paraId="0C5D0C07" w14:textId="77777777" w:rsidR="007D1E74" w:rsidRDefault="00A95641">
            <w:pPr>
              <w:pStyle w:val="TableParagraph"/>
              <w:spacing w:before="25"/>
              <w:ind w:right="108"/>
              <w:rPr>
                <w:sz w:val="21"/>
                <w:szCs w:val="21"/>
              </w:rPr>
            </w:pPr>
            <w:r>
              <w:rPr>
                <w:sz w:val="21"/>
                <w:szCs w:val="21"/>
              </w:rPr>
              <w:t>2</w:t>
            </w:r>
          </w:p>
        </w:tc>
      </w:tr>
      <w:tr w:rsidR="007D1E74" w14:paraId="03235D3E" w14:textId="77777777">
        <w:tc>
          <w:tcPr>
            <w:tcW w:w="440" w:type="pct"/>
          </w:tcPr>
          <w:p w14:paraId="55261599" w14:textId="77777777" w:rsidR="007D1E74" w:rsidRDefault="00A95641">
            <w:pPr>
              <w:pStyle w:val="TableParagraph"/>
              <w:spacing w:before="25"/>
              <w:ind w:left="4"/>
              <w:rPr>
                <w:sz w:val="21"/>
                <w:szCs w:val="21"/>
              </w:rPr>
            </w:pPr>
            <w:r>
              <w:rPr>
                <w:sz w:val="21"/>
                <w:szCs w:val="21"/>
              </w:rPr>
              <w:t>7</w:t>
            </w:r>
          </w:p>
        </w:tc>
        <w:tc>
          <w:tcPr>
            <w:tcW w:w="908" w:type="pct"/>
          </w:tcPr>
          <w:p w14:paraId="31177922" w14:textId="77777777" w:rsidR="007D1E74" w:rsidRDefault="00A95641">
            <w:pPr>
              <w:pStyle w:val="TableParagraph"/>
              <w:ind w:left="102"/>
              <w:rPr>
                <w:rFonts w:ascii="宋体"/>
                <w:sz w:val="21"/>
                <w:szCs w:val="21"/>
              </w:rPr>
            </w:pPr>
            <w:r>
              <w:rPr>
                <w:rFonts w:ascii="宋体" w:hint="eastAsia"/>
                <w:sz w:val="21"/>
                <w:szCs w:val="21"/>
              </w:rPr>
              <w:t>八角枫</w:t>
            </w:r>
          </w:p>
        </w:tc>
        <w:tc>
          <w:tcPr>
            <w:tcW w:w="759" w:type="pct"/>
          </w:tcPr>
          <w:p w14:paraId="6C8ECC10" w14:textId="77777777" w:rsidR="007D1E74" w:rsidRDefault="00A95641">
            <w:pPr>
              <w:pStyle w:val="TableParagraph"/>
              <w:ind w:left="103"/>
              <w:rPr>
                <w:rFonts w:ascii="宋体"/>
                <w:sz w:val="21"/>
                <w:szCs w:val="21"/>
              </w:rPr>
            </w:pPr>
            <w:r>
              <w:rPr>
                <w:rFonts w:ascii="宋体" w:hint="eastAsia"/>
                <w:sz w:val="21"/>
                <w:szCs w:val="21"/>
              </w:rPr>
              <w:t>营养期</w:t>
            </w:r>
          </w:p>
        </w:tc>
        <w:tc>
          <w:tcPr>
            <w:tcW w:w="673" w:type="pct"/>
          </w:tcPr>
          <w:p w14:paraId="3D37834A" w14:textId="77777777" w:rsidR="007D1E74" w:rsidRDefault="00A95641">
            <w:pPr>
              <w:pStyle w:val="TableParagraph"/>
              <w:spacing w:before="25"/>
              <w:rPr>
                <w:sz w:val="21"/>
                <w:szCs w:val="21"/>
              </w:rPr>
            </w:pPr>
            <w:r>
              <w:rPr>
                <w:sz w:val="21"/>
                <w:szCs w:val="21"/>
              </w:rPr>
              <w:t>1</w:t>
            </w:r>
          </w:p>
        </w:tc>
        <w:tc>
          <w:tcPr>
            <w:tcW w:w="589" w:type="pct"/>
          </w:tcPr>
          <w:p w14:paraId="15B482EE" w14:textId="77777777" w:rsidR="007D1E74" w:rsidRDefault="00A95641">
            <w:pPr>
              <w:pStyle w:val="TableParagraph"/>
              <w:spacing w:before="25"/>
              <w:ind w:left="231" w:right="231"/>
              <w:rPr>
                <w:sz w:val="21"/>
                <w:szCs w:val="21"/>
              </w:rPr>
            </w:pPr>
            <w:r>
              <w:rPr>
                <w:sz w:val="21"/>
                <w:szCs w:val="21"/>
              </w:rPr>
              <w:t>Ol</w:t>
            </w:r>
          </w:p>
        </w:tc>
        <w:tc>
          <w:tcPr>
            <w:tcW w:w="978" w:type="pct"/>
          </w:tcPr>
          <w:p w14:paraId="490F9E28" w14:textId="77777777" w:rsidR="007D1E74" w:rsidRDefault="00A95641">
            <w:pPr>
              <w:pStyle w:val="TableParagraph"/>
              <w:spacing w:before="25"/>
              <w:ind w:right="1"/>
              <w:rPr>
                <w:sz w:val="21"/>
                <w:szCs w:val="21"/>
              </w:rPr>
            </w:pPr>
            <w:r>
              <w:rPr>
                <w:sz w:val="21"/>
                <w:szCs w:val="21"/>
              </w:rPr>
              <w:t>5</w:t>
            </w:r>
          </w:p>
        </w:tc>
        <w:tc>
          <w:tcPr>
            <w:tcW w:w="652" w:type="pct"/>
          </w:tcPr>
          <w:p w14:paraId="7733391F" w14:textId="77777777" w:rsidR="007D1E74" w:rsidRDefault="00A95641">
            <w:pPr>
              <w:pStyle w:val="TableParagraph"/>
              <w:spacing w:before="25"/>
              <w:ind w:right="108"/>
              <w:rPr>
                <w:sz w:val="21"/>
                <w:szCs w:val="21"/>
              </w:rPr>
            </w:pPr>
            <w:r>
              <w:rPr>
                <w:sz w:val="21"/>
                <w:szCs w:val="21"/>
              </w:rPr>
              <w:t>1</w:t>
            </w:r>
          </w:p>
        </w:tc>
      </w:tr>
      <w:tr w:rsidR="007D1E74" w14:paraId="386FC6F8" w14:textId="77777777">
        <w:tc>
          <w:tcPr>
            <w:tcW w:w="440" w:type="pct"/>
          </w:tcPr>
          <w:p w14:paraId="7EBCB41D" w14:textId="77777777" w:rsidR="007D1E74" w:rsidRDefault="00A95641">
            <w:pPr>
              <w:pStyle w:val="TableParagraph"/>
              <w:spacing w:before="25"/>
              <w:ind w:left="4"/>
              <w:rPr>
                <w:sz w:val="21"/>
                <w:szCs w:val="21"/>
              </w:rPr>
            </w:pPr>
            <w:r>
              <w:rPr>
                <w:sz w:val="21"/>
                <w:szCs w:val="21"/>
              </w:rPr>
              <w:t>8</w:t>
            </w:r>
          </w:p>
        </w:tc>
        <w:tc>
          <w:tcPr>
            <w:tcW w:w="908" w:type="pct"/>
          </w:tcPr>
          <w:p w14:paraId="2856BD44" w14:textId="77777777" w:rsidR="007D1E74" w:rsidRDefault="00A95641">
            <w:pPr>
              <w:pStyle w:val="TableParagraph"/>
              <w:ind w:left="102"/>
              <w:rPr>
                <w:rFonts w:ascii="宋体"/>
                <w:sz w:val="21"/>
                <w:szCs w:val="21"/>
              </w:rPr>
            </w:pPr>
            <w:r>
              <w:rPr>
                <w:rFonts w:ascii="宋体" w:hint="eastAsia"/>
                <w:sz w:val="21"/>
                <w:szCs w:val="21"/>
              </w:rPr>
              <w:t>黄荆</w:t>
            </w:r>
          </w:p>
        </w:tc>
        <w:tc>
          <w:tcPr>
            <w:tcW w:w="759" w:type="pct"/>
          </w:tcPr>
          <w:p w14:paraId="22A7A682" w14:textId="77777777" w:rsidR="007D1E74" w:rsidRDefault="00A95641">
            <w:pPr>
              <w:pStyle w:val="TableParagraph"/>
              <w:ind w:left="103"/>
              <w:rPr>
                <w:rFonts w:ascii="宋体"/>
                <w:sz w:val="21"/>
                <w:szCs w:val="21"/>
              </w:rPr>
            </w:pPr>
            <w:r>
              <w:rPr>
                <w:rFonts w:ascii="宋体" w:hint="eastAsia"/>
                <w:sz w:val="21"/>
                <w:szCs w:val="21"/>
              </w:rPr>
              <w:t>果期</w:t>
            </w:r>
          </w:p>
        </w:tc>
        <w:tc>
          <w:tcPr>
            <w:tcW w:w="673" w:type="pct"/>
          </w:tcPr>
          <w:p w14:paraId="14AB83AC" w14:textId="77777777" w:rsidR="007D1E74" w:rsidRDefault="00A95641">
            <w:pPr>
              <w:pStyle w:val="TableParagraph"/>
              <w:ind w:left="99" w:right="101"/>
              <w:rPr>
                <w:rFonts w:ascii="宋体"/>
                <w:sz w:val="21"/>
                <w:szCs w:val="21"/>
              </w:rPr>
            </w:pPr>
            <w:r>
              <w:rPr>
                <w:sz w:val="21"/>
                <w:szCs w:val="21"/>
              </w:rPr>
              <w:t xml:space="preserve">5 </w:t>
            </w:r>
            <w:r>
              <w:rPr>
                <w:rFonts w:ascii="宋体" w:hint="eastAsia"/>
                <w:sz w:val="21"/>
                <w:szCs w:val="21"/>
              </w:rPr>
              <w:t>丛</w:t>
            </w:r>
          </w:p>
        </w:tc>
        <w:tc>
          <w:tcPr>
            <w:tcW w:w="589" w:type="pct"/>
          </w:tcPr>
          <w:p w14:paraId="12E72B0A" w14:textId="77777777" w:rsidR="007D1E74" w:rsidRDefault="00A95641">
            <w:pPr>
              <w:pStyle w:val="TableParagraph"/>
              <w:spacing w:before="22"/>
              <w:ind w:left="231" w:right="231"/>
              <w:rPr>
                <w:sz w:val="21"/>
                <w:szCs w:val="21"/>
              </w:rPr>
            </w:pPr>
            <w:r>
              <w:rPr>
                <w:position w:val="2"/>
                <w:sz w:val="21"/>
                <w:szCs w:val="21"/>
              </w:rPr>
              <w:t>Cop</w:t>
            </w:r>
            <w:r>
              <w:rPr>
                <w:sz w:val="21"/>
                <w:szCs w:val="21"/>
              </w:rPr>
              <w:t>1</w:t>
            </w:r>
          </w:p>
        </w:tc>
        <w:tc>
          <w:tcPr>
            <w:tcW w:w="978" w:type="pct"/>
          </w:tcPr>
          <w:p w14:paraId="496AD209" w14:textId="77777777" w:rsidR="007D1E74" w:rsidRDefault="00A95641">
            <w:pPr>
              <w:pStyle w:val="TableParagraph"/>
              <w:spacing w:before="25"/>
              <w:ind w:left="170" w:right="170"/>
              <w:rPr>
                <w:sz w:val="21"/>
                <w:szCs w:val="21"/>
              </w:rPr>
            </w:pPr>
            <w:r>
              <w:rPr>
                <w:sz w:val="21"/>
                <w:szCs w:val="21"/>
              </w:rPr>
              <w:t>1.4</w:t>
            </w:r>
          </w:p>
        </w:tc>
        <w:tc>
          <w:tcPr>
            <w:tcW w:w="652" w:type="pct"/>
          </w:tcPr>
          <w:p w14:paraId="22086DFA" w14:textId="77777777" w:rsidR="007D1E74" w:rsidRDefault="00A95641">
            <w:pPr>
              <w:pStyle w:val="TableParagraph"/>
              <w:spacing w:before="25"/>
              <w:ind w:left="116" w:right="224"/>
              <w:rPr>
                <w:sz w:val="21"/>
                <w:szCs w:val="21"/>
              </w:rPr>
            </w:pPr>
            <w:r>
              <w:rPr>
                <w:sz w:val="21"/>
                <w:szCs w:val="21"/>
              </w:rPr>
              <w:t>12</w:t>
            </w:r>
          </w:p>
        </w:tc>
      </w:tr>
      <w:tr w:rsidR="007D1E74" w14:paraId="02F18AB0" w14:textId="77777777">
        <w:tc>
          <w:tcPr>
            <w:tcW w:w="440" w:type="pct"/>
          </w:tcPr>
          <w:p w14:paraId="3330E5F2" w14:textId="77777777" w:rsidR="007D1E74" w:rsidRDefault="00A95641">
            <w:pPr>
              <w:pStyle w:val="TableParagraph"/>
              <w:spacing w:before="25"/>
              <w:ind w:left="4"/>
              <w:rPr>
                <w:sz w:val="21"/>
                <w:szCs w:val="21"/>
              </w:rPr>
            </w:pPr>
            <w:r>
              <w:rPr>
                <w:sz w:val="21"/>
                <w:szCs w:val="21"/>
              </w:rPr>
              <w:lastRenderedPageBreak/>
              <w:t>9</w:t>
            </w:r>
          </w:p>
        </w:tc>
        <w:tc>
          <w:tcPr>
            <w:tcW w:w="908" w:type="pct"/>
          </w:tcPr>
          <w:p w14:paraId="75F2442F" w14:textId="77777777" w:rsidR="007D1E74" w:rsidRDefault="00A95641">
            <w:pPr>
              <w:pStyle w:val="TableParagraph"/>
              <w:ind w:left="102"/>
              <w:rPr>
                <w:rFonts w:ascii="宋体"/>
                <w:sz w:val="21"/>
                <w:szCs w:val="21"/>
              </w:rPr>
            </w:pPr>
            <w:r>
              <w:rPr>
                <w:rFonts w:ascii="宋体" w:hint="eastAsia"/>
                <w:sz w:val="21"/>
                <w:szCs w:val="21"/>
              </w:rPr>
              <w:t>火棘</w:t>
            </w:r>
          </w:p>
        </w:tc>
        <w:tc>
          <w:tcPr>
            <w:tcW w:w="759" w:type="pct"/>
          </w:tcPr>
          <w:p w14:paraId="6A2EC605" w14:textId="77777777" w:rsidR="007D1E74" w:rsidRDefault="00A95641">
            <w:pPr>
              <w:pStyle w:val="TableParagraph"/>
              <w:ind w:left="103"/>
              <w:rPr>
                <w:rFonts w:ascii="宋体"/>
                <w:sz w:val="21"/>
                <w:szCs w:val="21"/>
              </w:rPr>
            </w:pPr>
            <w:r>
              <w:rPr>
                <w:rFonts w:ascii="宋体" w:hint="eastAsia"/>
                <w:sz w:val="21"/>
                <w:szCs w:val="21"/>
              </w:rPr>
              <w:t>果期</w:t>
            </w:r>
          </w:p>
        </w:tc>
        <w:tc>
          <w:tcPr>
            <w:tcW w:w="673" w:type="pct"/>
          </w:tcPr>
          <w:p w14:paraId="1F6F8CE7" w14:textId="77777777" w:rsidR="007D1E74" w:rsidRDefault="00A95641">
            <w:pPr>
              <w:pStyle w:val="TableParagraph"/>
              <w:spacing w:before="25"/>
              <w:ind w:left="101" w:right="101"/>
              <w:rPr>
                <w:sz w:val="21"/>
                <w:szCs w:val="21"/>
              </w:rPr>
            </w:pPr>
            <w:r>
              <w:rPr>
                <w:sz w:val="21"/>
                <w:szCs w:val="21"/>
              </w:rPr>
              <w:t>23</w:t>
            </w:r>
          </w:p>
        </w:tc>
        <w:tc>
          <w:tcPr>
            <w:tcW w:w="589" w:type="pct"/>
          </w:tcPr>
          <w:p w14:paraId="157D40A7" w14:textId="77777777" w:rsidR="007D1E74" w:rsidRDefault="00A95641">
            <w:pPr>
              <w:pStyle w:val="TableParagraph"/>
              <w:spacing w:before="22"/>
              <w:ind w:left="231" w:right="231"/>
              <w:rPr>
                <w:sz w:val="21"/>
                <w:szCs w:val="21"/>
              </w:rPr>
            </w:pPr>
            <w:r>
              <w:rPr>
                <w:position w:val="2"/>
                <w:sz w:val="21"/>
                <w:szCs w:val="21"/>
              </w:rPr>
              <w:t>Cop</w:t>
            </w:r>
            <w:r>
              <w:rPr>
                <w:sz w:val="21"/>
                <w:szCs w:val="21"/>
              </w:rPr>
              <w:t>1</w:t>
            </w:r>
          </w:p>
        </w:tc>
        <w:tc>
          <w:tcPr>
            <w:tcW w:w="978" w:type="pct"/>
          </w:tcPr>
          <w:p w14:paraId="01260C21" w14:textId="77777777" w:rsidR="007D1E74" w:rsidRDefault="00A95641">
            <w:pPr>
              <w:pStyle w:val="TableParagraph"/>
              <w:spacing w:before="25"/>
              <w:ind w:right="1"/>
              <w:rPr>
                <w:sz w:val="21"/>
                <w:szCs w:val="21"/>
              </w:rPr>
            </w:pPr>
            <w:r>
              <w:rPr>
                <w:sz w:val="21"/>
                <w:szCs w:val="21"/>
              </w:rPr>
              <w:t>2</w:t>
            </w:r>
          </w:p>
        </w:tc>
        <w:tc>
          <w:tcPr>
            <w:tcW w:w="652" w:type="pct"/>
          </w:tcPr>
          <w:p w14:paraId="2BAC1014" w14:textId="77777777" w:rsidR="007D1E74" w:rsidRDefault="00A95641">
            <w:pPr>
              <w:pStyle w:val="TableParagraph"/>
              <w:spacing w:before="25"/>
              <w:ind w:left="116" w:right="224"/>
              <w:rPr>
                <w:sz w:val="21"/>
                <w:szCs w:val="21"/>
              </w:rPr>
            </w:pPr>
            <w:r>
              <w:rPr>
                <w:sz w:val="21"/>
                <w:szCs w:val="21"/>
              </w:rPr>
              <w:t>12</w:t>
            </w:r>
          </w:p>
        </w:tc>
      </w:tr>
      <w:tr w:rsidR="007D1E74" w14:paraId="67133304" w14:textId="77777777">
        <w:tc>
          <w:tcPr>
            <w:tcW w:w="440" w:type="pct"/>
          </w:tcPr>
          <w:p w14:paraId="0762427E" w14:textId="77777777" w:rsidR="007D1E74" w:rsidRDefault="00A95641">
            <w:pPr>
              <w:pStyle w:val="TableParagraph"/>
              <w:spacing w:before="25"/>
              <w:ind w:left="109" w:right="105"/>
              <w:rPr>
                <w:sz w:val="21"/>
                <w:szCs w:val="21"/>
              </w:rPr>
            </w:pPr>
            <w:r>
              <w:rPr>
                <w:sz w:val="21"/>
                <w:szCs w:val="21"/>
              </w:rPr>
              <w:t>10</w:t>
            </w:r>
          </w:p>
        </w:tc>
        <w:tc>
          <w:tcPr>
            <w:tcW w:w="908" w:type="pct"/>
          </w:tcPr>
          <w:p w14:paraId="5F9D8E9D" w14:textId="77777777" w:rsidR="007D1E74" w:rsidRDefault="00A95641">
            <w:pPr>
              <w:pStyle w:val="TableParagraph"/>
              <w:ind w:left="102"/>
              <w:rPr>
                <w:rFonts w:ascii="宋体"/>
                <w:sz w:val="21"/>
                <w:szCs w:val="21"/>
              </w:rPr>
            </w:pPr>
            <w:r>
              <w:rPr>
                <w:rFonts w:ascii="宋体" w:hint="eastAsia"/>
                <w:sz w:val="21"/>
                <w:szCs w:val="21"/>
              </w:rPr>
              <w:t>高粱泡</w:t>
            </w:r>
          </w:p>
        </w:tc>
        <w:tc>
          <w:tcPr>
            <w:tcW w:w="759" w:type="pct"/>
          </w:tcPr>
          <w:p w14:paraId="3A750404" w14:textId="77777777" w:rsidR="007D1E74" w:rsidRDefault="00A95641">
            <w:pPr>
              <w:pStyle w:val="TableParagraph"/>
              <w:ind w:left="103"/>
              <w:rPr>
                <w:rFonts w:ascii="宋体"/>
                <w:sz w:val="21"/>
                <w:szCs w:val="21"/>
              </w:rPr>
            </w:pPr>
            <w:r>
              <w:rPr>
                <w:rFonts w:ascii="宋体" w:hint="eastAsia"/>
                <w:sz w:val="21"/>
                <w:szCs w:val="21"/>
              </w:rPr>
              <w:t>果期</w:t>
            </w:r>
          </w:p>
        </w:tc>
        <w:tc>
          <w:tcPr>
            <w:tcW w:w="673" w:type="pct"/>
          </w:tcPr>
          <w:p w14:paraId="3627DE60" w14:textId="77777777" w:rsidR="007D1E74" w:rsidRDefault="00A95641">
            <w:pPr>
              <w:pStyle w:val="TableParagraph"/>
              <w:ind w:left="99" w:right="101"/>
              <w:rPr>
                <w:rFonts w:ascii="宋体"/>
                <w:sz w:val="21"/>
                <w:szCs w:val="21"/>
              </w:rPr>
            </w:pPr>
            <w:r>
              <w:rPr>
                <w:sz w:val="21"/>
                <w:szCs w:val="21"/>
              </w:rPr>
              <w:t xml:space="preserve">3 </w:t>
            </w:r>
            <w:r>
              <w:rPr>
                <w:rFonts w:ascii="宋体" w:hint="eastAsia"/>
                <w:sz w:val="21"/>
                <w:szCs w:val="21"/>
              </w:rPr>
              <w:t>丛</w:t>
            </w:r>
          </w:p>
        </w:tc>
        <w:tc>
          <w:tcPr>
            <w:tcW w:w="589" w:type="pct"/>
          </w:tcPr>
          <w:p w14:paraId="328AE94F" w14:textId="77777777" w:rsidR="007D1E74" w:rsidRDefault="00A95641">
            <w:pPr>
              <w:pStyle w:val="TableParagraph"/>
              <w:spacing w:before="25"/>
              <w:ind w:left="231" w:right="231"/>
              <w:rPr>
                <w:sz w:val="21"/>
                <w:szCs w:val="21"/>
              </w:rPr>
            </w:pPr>
            <w:r>
              <w:rPr>
                <w:sz w:val="21"/>
                <w:szCs w:val="21"/>
              </w:rPr>
              <w:t>Sp</w:t>
            </w:r>
          </w:p>
        </w:tc>
        <w:tc>
          <w:tcPr>
            <w:tcW w:w="978" w:type="pct"/>
          </w:tcPr>
          <w:p w14:paraId="16254CC6" w14:textId="77777777" w:rsidR="007D1E74" w:rsidRDefault="00A95641">
            <w:pPr>
              <w:pStyle w:val="TableParagraph"/>
              <w:spacing w:before="25"/>
              <w:ind w:left="170" w:right="170"/>
              <w:rPr>
                <w:sz w:val="21"/>
                <w:szCs w:val="21"/>
              </w:rPr>
            </w:pPr>
            <w:r>
              <w:rPr>
                <w:sz w:val="21"/>
                <w:szCs w:val="21"/>
              </w:rPr>
              <w:t>1.4</w:t>
            </w:r>
          </w:p>
        </w:tc>
        <w:tc>
          <w:tcPr>
            <w:tcW w:w="652" w:type="pct"/>
          </w:tcPr>
          <w:p w14:paraId="2FFF0FF0" w14:textId="77777777" w:rsidR="007D1E74" w:rsidRDefault="00A95641">
            <w:pPr>
              <w:pStyle w:val="TableParagraph"/>
              <w:spacing w:before="25"/>
              <w:ind w:right="108"/>
              <w:rPr>
                <w:sz w:val="21"/>
                <w:szCs w:val="21"/>
              </w:rPr>
            </w:pPr>
            <w:r>
              <w:rPr>
                <w:sz w:val="21"/>
                <w:szCs w:val="21"/>
              </w:rPr>
              <w:t>5</w:t>
            </w:r>
          </w:p>
        </w:tc>
      </w:tr>
      <w:tr w:rsidR="007D1E74" w14:paraId="679DB0B8" w14:textId="77777777">
        <w:tc>
          <w:tcPr>
            <w:tcW w:w="440" w:type="pct"/>
          </w:tcPr>
          <w:p w14:paraId="66990F92" w14:textId="77777777" w:rsidR="007D1E74" w:rsidRDefault="00A95641">
            <w:pPr>
              <w:pStyle w:val="TableParagraph"/>
              <w:spacing w:before="26"/>
              <w:ind w:left="109" w:right="105"/>
              <w:rPr>
                <w:sz w:val="21"/>
                <w:szCs w:val="21"/>
              </w:rPr>
            </w:pPr>
            <w:r>
              <w:rPr>
                <w:sz w:val="21"/>
                <w:szCs w:val="21"/>
              </w:rPr>
              <w:t>11</w:t>
            </w:r>
          </w:p>
        </w:tc>
        <w:tc>
          <w:tcPr>
            <w:tcW w:w="908" w:type="pct"/>
          </w:tcPr>
          <w:p w14:paraId="18F73C31" w14:textId="77777777" w:rsidR="007D1E74" w:rsidRDefault="00A95641">
            <w:pPr>
              <w:pStyle w:val="TableParagraph"/>
              <w:spacing w:line="284" w:lineRule="exact"/>
              <w:ind w:left="102"/>
              <w:rPr>
                <w:rFonts w:ascii="宋体"/>
                <w:sz w:val="21"/>
                <w:szCs w:val="21"/>
              </w:rPr>
            </w:pPr>
            <w:r>
              <w:rPr>
                <w:rFonts w:ascii="宋体" w:hint="eastAsia"/>
                <w:sz w:val="21"/>
                <w:szCs w:val="21"/>
              </w:rPr>
              <w:t>铁仔</w:t>
            </w:r>
          </w:p>
        </w:tc>
        <w:tc>
          <w:tcPr>
            <w:tcW w:w="759" w:type="pct"/>
          </w:tcPr>
          <w:p w14:paraId="5FCCE9B5"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3" w:type="pct"/>
          </w:tcPr>
          <w:p w14:paraId="532EB0A6" w14:textId="77777777" w:rsidR="007D1E74" w:rsidRDefault="00A95641">
            <w:pPr>
              <w:pStyle w:val="TableParagraph"/>
              <w:spacing w:before="26"/>
              <w:ind w:left="101" w:right="101"/>
              <w:rPr>
                <w:sz w:val="21"/>
                <w:szCs w:val="21"/>
              </w:rPr>
            </w:pPr>
            <w:r>
              <w:rPr>
                <w:sz w:val="21"/>
                <w:szCs w:val="21"/>
              </w:rPr>
              <w:t>15</w:t>
            </w:r>
          </w:p>
        </w:tc>
        <w:tc>
          <w:tcPr>
            <w:tcW w:w="589" w:type="pct"/>
          </w:tcPr>
          <w:p w14:paraId="413BBFB9" w14:textId="77777777" w:rsidR="007D1E74" w:rsidRDefault="00A95641">
            <w:pPr>
              <w:pStyle w:val="TableParagraph"/>
              <w:spacing w:before="26"/>
              <w:ind w:left="231" w:right="231"/>
              <w:rPr>
                <w:sz w:val="21"/>
                <w:szCs w:val="21"/>
              </w:rPr>
            </w:pPr>
            <w:r>
              <w:rPr>
                <w:sz w:val="21"/>
                <w:szCs w:val="21"/>
              </w:rPr>
              <w:t>Sp</w:t>
            </w:r>
          </w:p>
        </w:tc>
        <w:tc>
          <w:tcPr>
            <w:tcW w:w="978" w:type="pct"/>
          </w:tcPr>
          <w:p w14:paraId="2C36F9DE" w14:textId="77777777" w:rsidR="007D1E74" w:rsidRDefault="00A95641">
            <w:pPr>
              <w:pStyle w:val="TableParagraph"/>
              <w:spacing w:before="26"/>
              <w:ind w:left="668"/>
              <w:rPr>
                <w:sz w:val="21"/>
                <w:szCs w:val="21"/>
              </w:rPr>
            </w:pPr>
            <w:r>
              <w:rPr>
                <w:sz w:val="21"/>
                <w:szCs w:val="21"/>
              </w:rPr>
              <w:t>1.1</w:t>
            </w:r>
          </w:p>
        </w:tc>
        <w:tc>
          <w:tcPr>
            <w:tcW w:w="652" w:type="pct"/>
          </w:tcPr>
          <w:p w14:paraId="541C956F" w14:textId="77777777" w:rsidR="007D1E74" w:rsidRDefault="00A95641">
            <w:pPr>
              <w:pStyle w:val="TableParagraph"/>
              <w:spacing w:before="26"/>
              <w:ind w:right="433"/>
              <w:jc w:val="right"/>
              <w:rPr>
                <w:sz w:val="21"/>
                <w:szCs w:val="21"/>
              </w:rPr>
            </w:pPr>
            <w:r>
              <w:rPr>
                <w:sz w:val="21"/>
                <w:szCs w:val="21"/>
              </w:rPr>
              <w:t>5</w:t>
            </w:r>
          </w:p>
        </w:tc>
      </w:tr>
      <w:tr w:rsidR="007D1E74" w14:paraId="25165526" w14:textId="77777777">
        <w:tc>
          <w:tcPr>
            <w:tcW w:w="440" w:type="pct"/>
          </w:tcPr>
          <w:p w14:paraId="2791642D" w14:textId="77777777" w:rsidR="007D1E74" w:rsidRDefault="00A95641">
            <w:pPr>
              <w:pStyle w:val="TableParagraph"/>
              <w:spacing w:before="25"/>
              <w:ind w:left="109" w:right="105"/>
              <w:rPr>
                <w:sz w:val="21"/>
                <w:szCs w:val="21"/>
              </w:rPr>
            </w:pPr>
            <w:r>
              <w:rPr>
                <w:sz w:val="21"/>
                <w:szCs w:val="21"/>
              </w:rPr>
              <w:t>12</w:t>
            </w:r>
          </w:p>
        </w:tc>
        <w:tc>
          <w:tcPr>
            <w:tcW w:w="908" w:type="pct"/>
          </w:tcPr>
          <w:p w14:paraId="0FBCEA51" w14:textId="77777777" w:rsidR="007D1E74" w:rsidRDefault="00A95641">
            <w:pPr>
              <w:pStyle w:val="TableParagraph"/>
              <w:spacing w:line="284" w:lineRule="exact"/>
              <w:ind w:left="102"/>
              <w:rPr>
                <w:rFonts w:ascii="宋体"/>
                <w:sz w:val="21"/>
                <w:szCs w:val="21"/>
              </w:rPr>
            </w:pPr>
            <w:r>
              <w:rPr>
                <w:rFonts w:ascii="宋体" w:hint="eastAsia"/>
                <w:sz w:val="21"/>
                <w:szCs w:val="21"/>
              </w:rPr>
              <w:t>野青茅</w:t>
            </w:r>
          </w:p>
        </w:tc>
        <w:tc>
          <w:tcPr>
            <w:tcW w:w="759" w:type="pct"/>
          </w:tcPr>
          <w:p w14:paraId="5D75E257"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3" w:type="pct"/>
          </w:tcPr>
          <w:p w14:paraId="0E79174C" w14:textId="77777777" w:rsidR="007D1E74" w:rsidRDefault="00A95641">
            <w:pPr>
              <w:pStyle w:val="TableParagraph"/>
              <w:spacing w:line="302" w:lineRule="exact"/>
              <w:ind w:left="99" w:right="101"/>
              <w:rPr>
                <w:rFonts w:ascii="宋体"/>
                <w:sz w:val="21"/>
                <w:szCs w:val="21"/>
              </w:rPr>
            </w:pPr>
            <w:r>
              <w:rPr>
                <w:sz w:val="21"/>
                <w:szCs w:val="21"/>
              </w:rPr>
              <w:t xml:space="preserve">6 </w:t>
            </w:r>
            <w:r>
              <w:rPr>
                <w:rFonts w:ascii="宋体" w:hint="eastAsia"/>
                <w:sz w:val="21"/>
                <w:szCs w:val="21"/>
              </w:rPr>
              <w:t>丛</w:t>
            </w:r>
          </w:p>
        </w:tc>
        <w:tc>
          <w:tcPr>
            <w:tcW w:w="589" w:type="pct"/>
          </w:tcPr>
          <w:p w14:paraId="567F8378" w14:textId="77777777" w:rsidR="007D1E74" w:rsidRDefault="00A95641">
            <w:pPr>
              <w:pStyle w:val="TableParagraph"/>
              <w:spacing w:before="22"/>
              <w:ind w:left="231" w:right="231"/>
              <w:rPr>
                <w:sz w:val="21"/>
                <w:szCs w:val="21"/>
              </w:rPr>
            </w:pPr>
            <w:r>
              <w:rPr>
                <w:position w:val="2"/>
                <w:sz w:val="21"/>
                <w:szCs w:val="21"/>
              </w:rPr>
              <w:t>Cop</w:t>
            </w:r>
            <w:r>
              <w:rPr>
                <w:sz w:val="21"/>
                <w:szCs w:val="21"/>
              </w:rPr>
              <w:t>1</w:t>
            </w:r>
          </w:p>
        </w:tc>
        <w:tc>
          <w:tcPr>
            <w:tcW w:w="978" w:type="pct"/>
          </w:tcPr>
          <w:p w14:paraId="74E369A8" w14:textId="77777777" w:rsidR="007D1E74" w:rsidRDefault="00A95641">
            <w:pPr>
              <w:pStyle w:val="TableParagraph"/>
              <w:spacing w:before="25"/>
              <w:ind w:left="608"/>
              <w:rPr>
                <w:sz w:val="21"/>
                <w:szCs w:val="21"/>
              </w:rPr>
            </w:pPr>
            <w:r>
              <w:rPr>
                <w:sz w:val="21"/>
                <w:szCs w:val="21"/>
              </w:rPr>
              <w:t>0.55</w:t>
            </w:r>
          </w:p>
        </w:tc>
        <w:tc>
          <w:tcPr>
            <w:tcW w:w="652" w:type="pct"/>
          </w:tcPr>
          <w:p w14:paraId="535954C8" w14:textId="77777777" w:rsidR="007D1E74" w:rsidRDefault="00A95641">
            <w:pPr>
              <w:pStyle w:val="TableParagraph"/>
              <w:spacing w:before="25"/>
              <w:ind w:right="373"/>
              <w:jc w:val="right"/>
              <w:rPr>
                <w:sz w:val="21"/>
                <w:szCs w:val="21"/>
              </w:rPr>
            </w:pPr>
            <w:r>
              <w:rPr>
                <w:sz w:val="21"/>
                <w:szCs w:val="21"/>
              </w:rPr>
              <w:t>12</w:t>
            </w:r>
          </w:p>
        </w:tc>
      </w:tr>
      <w:tr w:rsidR="007D1E74" w14:paraId="56B12A15" w14:textId="77777777">
        <w:tc>
          <w:tcPr>
            <w:tcW w:w="440" w:type="pct"/>
          </w:tcPr>
          <w:p w14:paraId="64CD5A22" w14:textId="77777777" w:rsidR="007D1E74" w:rsidRDefault="00A95641">
            <w:pPr>
              <w:pStyle w:val="TableParagraph"/>
              <w:spacing w:before="25"/>
              <w:ind w:left="109" w:right="105"/>
              <w:rPr>
                <w:sz w:val="21"/>
                <w:szCs w:val="21"/>
              </w:rPr>
            </w:pPr>
            <w:r>
              <w:rPr>
                <w:sz w:val="21"/>
                <w:szCs w:val="21"/>
              </w:rPr>
              <w:t>13</w:t>
            </w:r>
          </w:p>
        </w:tc>
        <w:tc>
          <w:tcPr>
            <w:tcW w:w="908" w:type="pct"/>
          </w:tcPr>
          <w:p w14:paraId="3507C78F" w14:textId="77777777" w:rsidR="007D1E74" w:rsidRDefault="00A95641">
            <w:pPr>
              <w:pStyle w:val="TableParagraph"/>
              <w:spacing w:line="284" w:lineRule="exact"/>
              <w:ind w:left="102"/>
              <w:rPr>
                <w:rFonts w:ascii="宋体"/>
                <w:sz w:val="21"/>
                <w:szCs w:val="21"/>
              </w:rPr>
            </w:pPr>
            <w:r>
              <w:rPr>
                <w:rFonts w:ascii="宋体" w:hint="eastAsia"/>
                <w:sz w:val="21"/>
                <w:szCs w:val="21"/>
              </w:rPr>
              <w:t>褐果苔草</w:t>
            </w:r>
          </w:p>
        </w:tc>
        <w:tc>
          <w:tcPr>
            <w:tcW w:w="759" w:type="pct"/>
          </w:tcPr>
          <w:p w14:paraId="067F806F"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3" w:type="pct"/>
          </w:tcPr>
          <w:p w14:paraId="646EE0BD" w14:textId="77777777" w:rsidR="007D1E74" w:rsidRDefault="00A95641">
            <w:pPr>
              <w:pStyle w:val="TableParagraph"/>
              <w:spacing w:before="25"/>
              <w:ind w:left="101" w:right="101"/>
              <w:rPr>
                <w:sz w:val="21"/>
                <w:szCs w:val="21"/>
              </w:rPr>
            </w:pPr>
            <w:r>
              <w:rPr>
                <w:sz w:val="21"/>
                <w:szCs w:val="21"/>
              </w:rPr>
              <w:t>15</w:t>
            </w:r>
          </w:p>
        </w:tc>
        <w:tc>
          <w:tcPr>
            <w:tcW w:w="589" w:type="pct"/>
          </w:tcPr>
          <w:p w14:paraId="0CB09844" w14:textId="77777777" w:rsidR="007D1E74" w:rsidRDefault="00A95641">
            <w:pPr>
              <w:pStyle w:val="TableParagraph"/>
              <w:spacing w:before="25"/>
              <w:ind w:left="231" w:right="231"/>
              <w:rPr>
                <w:sz w:val="21"/>
                <w:szCs w:val="21"/>
              </w:rPr>
            </w:pPr>
            <w:r>
              <w:rPr>
                <w:sz w:val="21"/>
                <w:szCs w:val="21"/>
              </w:rPr>
              <w:t>Sp</w:t>
            </w:r>
          </w:p>
        </w:tc>
        <w:tc>
          <w:tcPr>
            <w:tcW w:w="978" w:type="pct"/>
          </w:tcPr>
          <w:p w14:paraId="6DCE27DD" w14:textId="77777777" w:rsidR="007D1E74" w:rsidRDefault="00A95641">
            <w:pPr>
              <w:pStyle w:val="TableParagraph"/>
              <w:spacing w:before="25"/>
              <w:ind w:left="668"/>
              <w:rPr>
                <w:sz w:val="21"/>
                <w:szCs w:val="21"/>
              </w:rPr>
            </w:pPr>
            <w:r>
              <w:rPr>
                <w:sz w:val="21"/>
                <w:szCs w:val="21"/>
              </w:rPr>
              <w:t>0.4</w:t>
            </w:r>
          </w:p>
        </w:tc>
        <w:tc>
          <w:tcPr>
            <w:tcW w:w="652" w:type="pct"/>
          </w:tcPr>
          <w:p w14:paraId="18DC4E36" w14:textId="77777777" w:rsidR="007D1E74" w:rsidRDefault="00A95641">
            <w:pPr>
              <w:pStyle w:val="TableParagraph"/>
              <w:spacing w:before="25"/>
              <w:ind w:right="433"/>
              <w:jc w:val="right"/>
              <w:rPr>
                <w:sz w:val="21"/>
                <w:szCs w:val="21"/>
              </w:rPr>
            </w:pPr>
            <w:r>
              <w:rPr>
                <w:sz w:val="21"/>
                <w:szCs w:val="21"/>
              </w:rPr>
              <w:t>5</w:t>
            </w:r>
          </w:p>
        </w:tc>
      </w:tr>
      <w:tr w:rsidR="007D1E74" w14:paraId="3C408C42" w14:textId="77777777">
        <w:tc>
          <w:tcPr>
            <w:tcW w:w="440" w:type="pct"/>
          </w:tcPr>
          <w:p w14:paraId="65A857DF" w14:textId="77777777" w:rsidR="007D1E74" w:rsidRDefault="00A95641">
            <w:pPr>
              <w:pStyle w:val="TableParagraph"/>
              <w:spacing w:before="25"/>
              <w:ind w:left="109" w:right="105"/>
              <w:rPr>
                <w:sz w:val="21"/>
                <w:szCs w:val="21"/>
              </w:rPr>
            </w:pPr>
            <w:r>
              <w:rPr>
                <w:sz w:val="21"/>
                <w:szCs w:val="21"/>
              </w:rPr>
              <w:t>14</w:t>
            </w:r>
          </w:p>
        </w:tc>
        <w:tc>
          <w:tcPr>
            <w:tcW w:w="908" w:type="pct"/>
          </w:tcPr>
          <w:p w14:paraId="063FE39A" w14:textId="77777777" w:rsidR="007D1E74" w:rsidRDefault="00A95641">
            <w:pPr>
              <w:pStyle w:val="TableParagraph"/>
              <w:spacing w:line="284" w:lineRule="exact"/>
              <w:ind w:left="102"/>
              <w:rPr>
                <w:rFonts w:ascii="宋体"/>
                <w:sz w:val="21"/>
                <w:szCs w:val="21"/>
              </w:rPr>
            </w:pPr>
            <w:r>
              <w:rPr>
                <w:rFonts w:ascii="宋体" w:hint="eastAsia"/>
                <w:sz w:val="21"/>
                <w:szCs w:val="21"/>
              </w:rPr>
              <w:t>棕叶狗尾草</w:t>
            </w:r>
          </w:p>
        </w:tc>
        <w:tc>
          <w:tcPr>
            <w:tcW w:w="759" w:type="pct"/>
          </w:tcPr>
          <w:p w14:paraId="5C0B3966"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3" w:type="pct"/>
          </w:tcPr>
          <w:p w14:paraId="35A5EF92" w14:textId="77777777" w:rsidR="007D1E74" w:rsidRDefault="00A95641">
            <w:pPr>
              <w:pStyle w:val="TableParagraph"/>
              <w:spacing w:before="25"/>
              <w:rPr>
                <w:sz w:val="21"/>
                <w:szCs w:val="21"/>
              </w:rPr>
            </w:pPr>
            <w:r>
              <w:rPr>
                <w:sz w:val="21"/>
                <w:szCs w:val="21"/>
              </w:rPr>
              <w:t>6</w:t>
            </w:r>
          </w:p>
        </w:tc>
        <w:tc>
          <w:tcPr>
            <w:tcW w:w="589" w:type="pct"/>
          </w:tcPr>
          <w:p w14:paraId="39E494FF" w14:textId="77777777" w:rsidR="007D1E74" w:rsidRDefault="00A95641">
            <w:pPr>
              <w:pStyle w:val="TableParagraph"/>
              <w:spacing w:before="25"/>
              <w:ind w:left="231" w:right="231"/>
              <w:rPr>
                <w:sz w:val="21"/>
                <w:szCs w:val="21"/>
              </w:rPr>
            </w:pPr>
            <w:r>
              <w:rPr>
                <w:sz w:val="21"/>
                <w:szCs w:val="21"/>
              </w:rPr>
              <w:t>Sp</w:t>
            </w:r>
          </w:p>
        </w:tc>
        <w:tc>
          <w:tcPr>
            <w:tcW w:w="978" w:type="pct"/>
          </w:tcPr>
          <w:p w14:paraId="1134D621" w14:textId="77777777" w:rsidR="007D1E74" w:rsidRDefault="00A95641">
            <w:pPr>
              <w:pStyle w:val="TableParagraph"/>
              <w:spacing w:before="25"/>
              <w:ind w:left="668"/>
              <w:rPr>
                <w:sz w:val="21"/>
                <w:szCs w:val="21"/>
              </w:rPr>
            </w:pPr>
            <w:r>
              <w:rPr>
                <w:sz w:val="21"/>
                <w:szCs w:val="21"/>
              </w:rPr>
              <w:t>1.4</w:t>
            </w:r>
          </w:p>
        </w:tc>
        <w:tc>
          <w:tcPr>
            <w:tcW w:w="652" w:type="pct"/>
          </w:tcPr>
          <w:p w14:paraId="33075B26" w14:textId="77777777" w:rsidR="007D1E74" w:rsidRDefault="00A95641">
            <w:pPr>
              <w:pStyle w:val="TableParagraph"/>
              <w:spacing w:before="25"/>
              <w:ind w:right="433"/>
              <w:jc w:val="right"/>
              <w:rPr>
                <w:sz w:val="21"/>
                <w:szCs w:val="21"/>
              </w:rPr>
            </w:pPr>
            <w:r>
              <w:rPr>
                <w:sz w:val="21"/>
                <w:szCs w:val="21"/>
              </w:rPr>
              <w:t>5</w:t>
            </w:r>
          </w:p>
        </w:tc>
      </w:tr>
      <w:tr w:rsidR="007D1E74" w14:paraId="2A64B8CB" w14:textId="77777777">
        <w:tc>
          <w:tcPr>
            <w:tcW w:w="440" w:type="pct"/>
          </w:tcPr>
          <w:p w14:paraId="13519672" w14:textId="77777777" w:rsidR="007D1E74" w:rsidRDefault="00A95641">
            <w:pPr>
              <w:pStyle w:val="TableParagraph"/>
              <w:spacing w:before="25"/>
              <w:ind w:left="109" w:right="105"/>
              <w:rPr>
                <w:sz w:val="21"/>
                <w:szCs w:val="21"/>
              </w:rPr>
            </w:pPr>
            <w:r>
              <w:rPr>
                <w:sz w:val="21"/>
                <w:szCs w:val="21"/>
              </w:rPr>
              <w:t>15</w:t>
            </w:r>
          </w:p>
        </w:tc>
        <w:tc>
          <w:tcPr>
            <w:tcW w:w="908" w:type="pct"/>
          </w:tcPr>
          <w:p w14:paraId="3C055E6B" w14:textId="77777777" w:rsidR="007D1E74" w:rsidRDefault="00A95641">
            <w:pPr>
              <w:pStyle w:val="TableParagraph"/>
              <w:spacing w:line="284" w:lineRule="exact"/>
              <w:ind w:left="102"/>
              <w:rPr>
                <w:rFonts w:ascii="宋体"/>
                <w:sz w:val="21"/>
                <w:szCs w:val="21"/>
              </w:rPr>
            </w:pPr>
            <w:r>
              <w:rPr>
                <w:rFonts w:ascii="宋体" w:hint="eastAsia"/>
                <w:sz w:val="21"/>
                <w:szCs w:val="21"/>
              </w:rPr>
              <w:t>顶芽狗脊</w:t>
            </w:r>
          </w:p>
        </w:tc>
        <w:tc>
          <w:tcPr>
            <w:tcW w:w="759" w:type="pct"/>
          </w:tcPr>
          <w:p w14:paraId="350401E5"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3" w:type="pct"/>
          </w:tcPr>
          <w:p w14:paraId="75C96B8E" w14:textId="77777777" w:rsidR="007D1E74" w:rsidRDefault="00A95641">
            <w:pPr>
              <w:pStyle w:val="TableParagraph"/>
              <w:spacing w:line="302" w:lineRule="exact"/>
              <w:ind w:left="99" w:right="101"/>
              <w:rPr>
                <w:rFonts w:ascii="宋体"/>
                <w:sz w:val="21"/>
                <w:szCs w:val="21"/>
              </w:rPr>
            </w:pPr>
            <w:r>
              <w:rPr>
                <w:sz w:val="21"/>
                <w:szCs w:val="21"/>
              </w:rPr>
              <w:t xml:space="preserve">2 </w:t>
            </w:r>
            <w:r>
              <w:rPr>
                <w:rFonts w:ascii="宋体" w:hint="eastAsia"/>
                <w:sz w:val="21"/>
                <w:szCs w:val="21"/>
              </w:rPr>
              <w:t>丛</w:t>
            </w:r>
          </w:p>
        </w:tc>
        <w:tc>
          <w:tcPr>
            <w:tcW w:w="589" w:type="pct"/>
          </w:tcPr>
          <w:p w14:paraId="4B301DB9" w14:textId="77777777" w:rsidR="007D1E74" w:rsidRDefault="00A95641">
            <w:pPr>
              <w:pStyle w:val="TableParagraph"/>
              <w:spacing w:before="25"/>
              <w:ind w:left="231" w:right="231"/>
              <w:rPr>
                <w:sz w:val="21"/>
                <w:szCs w:val="21"/>
              </w:rPr>
            </w:pPr>
            <w:r>
              <w:rPr>
                <w:sz w:val="21"/>
                <w:szCs w:val="21"/>
              </w:rPr>
              <w:t>Ol</w:t>
            </w:r>
          </w:p>
        </w:tc>
        <w:tc>
          <w:tcPr>
            <w:tcW w:w="978" w:type="pct"/>
          </w:tcPr>
          <w:p w14:paraId="0FF114DB" w14:textId="77777777" w:rsidR="007D1E74" w:rsidRDefault="00A95641">
            <w:pPr>
              <w:pStyle w:val="TableParagraph"/>
              <w:spacing w:before="25"/>
              <w:ind w:left="608"/>
              <w:rPr>
                <w:sz w:val="21"/>
                <w:szCs w:val="21"/>
              </w:rPr>
            </w:pPr>
            <w:r>
              <w:rPr>
                <w:sz w:val="21"/>
                <w:szCs w:val="21"/>
              </w:rPr>
              <w:t>0.85</w:t>
            </w:r>
          </w:p>
        </w:tc>
        <w:tc>
          <w:tcPr>
            <w:tcW w:w="652" w:type="pct"/>
          </w:tcPr>
          <w:p w14:paraId="2EB9D673" w14:textId="77777777" w:rsidR="007D1E74" w:rsidRDefault="00A95641">
            <w:pPr>
              <w:pStyle w:val="TableParagraph"/>
              <w:spacing w:before="25"/>
              <w:ind w:right="433"/>
              <w:jc w:val="right"/>
              <w:rPr>
                <w:sz w:val="21"/>
                <w:szCs w:val="21"/>
              </w:rPr>
            </w:pPr>
            <w:r>
              <w:rPr>
                <w:sz w:val="21"/>
                <w:szCs w:val="21"/>
              </w:rPr>
              <w:t>5</w:t>
            </w:r>
          </w:p>
        </w:tc>
      </w:tr>
      <w:tr w:rsidR="007D1E74" w14:paraId="146C1227" w14:textId="77777777">
        <w:tc>
          <w:tcPr>
            <w:tcW w:w="440" w:type="pct"/>
          </w:tcPr>
          <w:p w14:paraId="7512145E" w14:textId="77777777" w:rsidR="007D1E74" w:rsidRDefault="00A95641">
            <w:pPr>
              <w:pStyle w:val="TableParagraph"/>
              <w:spacing w:before="25"/>
              <w:ind w:left="109" w:right="105"/>
              <w:rPr>
                <w:sz w:val="21"/>
                <w:szCs w:val="21"/>
              </w:rPr>
            </w:pPr>
            <w:r>
              <w:rPr>
                <w:sz w:val="21"/>
                <w:szCs w:val="21"/>
              </w:rPr>
              <w:t>16</w:t>
            </w:r>
          </w:p>
        </w:tc>
        <w:tc>
          <w:tcPr>
            <w:tcW w:w="908" w:type="pct"/>
          </w:tcPr>
          <w:p w14:paraId="51A44512" w14:textId="77777777" w:rsidR="007D1E74" w:rsidRDefault="00A95641">
            <w:pPr>
              <w:pStyle w:val="TableParagraph"/>
              <w:spacing w:line="284" w:lineRule="exact"/>
              <w:ind w:left="102"/>
              <w:rPr>
                <w:rFonts w:ascii="宋体"/>
                <w:sz w:val="21"/>
                <w:szCs w:val="21"/>
              </w:rPr>
            </w:pPr>
            <w:r>
              <w:rPr>
                <w:rFonts w:ascii="宋体" w:hint="eastAsia"/>
                <w:sz w:val="21"/>
                <w:szCs w:val="21"/>
              </w:rPr>
              <w:t>狗牙根</w:t>
            </w:r>
          </w:p>
        </w:tc>
        <w:tc>
          <w:tcPr>
            <w:tcW w:w="759" w:type="pct"/>
          </w:tcPr>
          <w:p w14:paraId="25FAA52C"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3" w:type="pct"/>
          </w:tcPr>
          <w:p w14:paraId="1B9F5676" w14:textId="77777777" w:rsidR="007D1E74" w:rsidRDefault="00A95641">
            <w:pPr>
              <w:pStyle w:val="TableParagraph"/>
              <w:spacing w:line="302" w:lineRule="exact"/>
              <w:ind w:left="99" w:right="101"/>
              <w:rPr>
                <w:rFonts w:ascii="宋体"/>
                <w:sz w:val="21"/>
                <w:szCs w:val="21"/>
              </w:rPr>
            </w:pPr>
            <w:r>
              <w:rPr>
                <w:sz w:val="21"/>
                <w:szCs w:val="21"/>
              </w:rPr>
              <w:t xml:space="preserve">4 </w:t>
            </w:r>
            <w:r>
              <w:rPr>
                <w:rFonts w:ascii="宋体" w:hint="eastAsia"/>
                <w:sz w:val="21"/>
                <w:szCs w:val="21"/>
              </w:rPr>
              <w:t>丛</w:t>
            </w:r>
          </w:p>
        </w:tc>
        <w:tc>
          <w:tcPr>
            <w:tcW w:w="589" w:type="pct"/>
          </w:tcPr>
          <w:p w14:paraId="4AC4BFAA" w14:textId="77777777" w:rsidR="007D1E74" w:rsidRDefault="00A95641">
            <w:pPr>
              <w:pStyle w:val="TableParagraph"/>
              <w:spacing w:before="25"/>
              <w:ind w:left="231" w:right="231"/>
              <w:rPr>
                <w:sz w:val="21"/>
                <w:szCs w:val="21"/>
              </w:rPr>
            </w:pPr>
            <w:r>
              <w:rPr>
                <w:sz w:val="21"/>
                <w:szCs w:val="21"/>
              </w:rPr>
              <w:t>Ol</w:t>
            </w:r>
          </w:p>
        </w:tc>
        <w:tc>
          <w:tcPr>
            <w:tcW w:w="978" w:type="pct"/>
          </w:tcPr>
          <w:p w14:paraId="78F9AB94" w14:textId="77777777" w:rsidR="007D1E74" w:rsidRDefault="00A95641">
            <w:pPr>
              <w:pStyle w:val="TableParagraph"/>
              <w:spacing w:before="25"/>
              <w:ind w:left="668"/>
              <w:rPr>
                <w:sz w:val="21"/>
                <w:szCs w:val="21"/>
              </w:rPr>
            </w:pPr>
            <w:r>
              <w:rPr>
                <w:sz w:val="21"/>
                <w:szCs w:val="21"/>
              </w:rPr>
              <w:t>0.1</w:t>
            </w:r>
          </w:p>
        </w:tc>
        <w:tc>
          <w:tcPr>
            <w:tcW w:w="652" w:type="pct"/>
          </w:tcPr>
          <w:p w14:paraId="1D385044" w14:textId="77777777" w:rsidR="007D1E74" w:rsidRDefault="00A95641">
            <w:pPr>
              <w:pStyle w:val="TableParagraph"/>
              <w:spacing w:before="25"/>
              <w:ind w:right="433"/>
              <w:jc w:val="right"/>
              <w:rPr>
                <w:sz w:val="21"/>
                <w:szCs w:val="21"/>
              </w:rPr>
            </w:pPr>
            <w:r>
              <w:rPr>
                <w:sz w:val="21"/>
                <w:szCs w:val="21"/>
              </w:rPr>
              <w:t>4</w:t>
            </w:r>
          </w:p>
        </w:tc>
      </w:tr>
      <w:tr w:rsidR="007D1E74" w14:paraId="631B347C" w14:textId="77777777">
        <w:tc>
          <w:tcPr>
            <w:tcW w:w="440" w:type="pct"/>
          </w:tcPr>
          <w:p w14:paraId="110126A8" w14:textId="77777777" w:rsidR="007D1E74" w:rsidRDefault="00A95641">
            <w:pPr>
              <w:pStyle w:val="TableParagraph"/>
              <w:spacing w:before="25"/>
              <w:ind w:left="109" w:right="105"/>
              <w:rPr>
                <w:sz w:val="21"/>
                <w:szCs w:val="21"/>
              </w:rPr>
            </w:pPr>
            <w:r>
              <w:rPr>
                <w:sz w:val="21"/>
                <w:szCs w:val="21"/>
              </w:rPr>
              <w:t>17</w:t>
            </w:r>
          </w:p>
        </w:tc>
        <w:tc>
          <w:tcPr>
            <w:tcW w:w="908" w:type="pct"/>
          </w:tcPr>
          <w:p w14:paraId="7434AF41" w14:textId="77777777" w:rsidR="007D1E74" w:rsidRDefault="00A95641">
            <w:pPr>
              <w:pStyle w:val="TableParagraph"/>
              <w:spacing w:line="284" w:lineRule="exact"/>
              <w:ind w:left="102"/>
              <w:rPr>
                <w:rFonts w:ascii="宋体"/>
                <w:sz w:val="21"/>
                <w:szCs w:val="21"/>
              </w:rPr>
            </w:pPr>
            <w:r>
              <w:rPr>
                <w:rFonts w:ascii="宋体" w:hint="eastAsia"/>
                <w:sz w:val="21"/>
                <w:szCs w:val="21"/>
              </w:rPr>
              <w:t>蜈蚣草</w:t>
            </w:r>
          </w:p>
        </w:tc>
        <w:tc>
          <w:tcPr>
            <w:tcW w:w="759" w:type="pct"/>
          </w:tcPr>
          <w:p w14:paraId="2434419B"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3" w:type="pct"/>
          </w:tcPr>
          <w:p w14:paraId="03C5ADDB" w14:textId="77777777" w:rsidR="007D1E74" w:rsidRDefault="00A95641">
            <w:pPr>
              <w:pStyle w:val="TableParagraph"/>
              <w:spacing w:before="25"/>
              <w:ind w:left="101" w:right="101"/>
              <w:rPr>
                <w:sz w:val="21"/>
                <w:szCs w:val="21"/>
              </w:rPr>
            </w:pPr>
            <w:r>
              <w:rPr>
                <w:sz w:val="21"/>
                <w:szCs w:val="21"/>
              </w:rPr>
              <w:t>16</w:t>
            </w:r>
          </w:p>
        </w:tc>
        <w:tc>
          <w:tcPr>
            <w:tcW w:w="589" w:type="pct"/>
          </w:tcPr>
          <w:p w14:paraId="51AB562B" w14:textId="77777777" w:rsidR="007D1E74" w:rsidRDefault="00A95641">
            <w:pPr>
              <w:pStyle w:val="TableParagraph"/>
              <w:spacing w:before="25"/>
              <w:ind w:left="231" w:right="231"/>
              <w:rPr>
                <w:sz w:val="21"/>
                <w:szCs w:val="21"/>
              </w:rPr>
            </w:pPr>
            <w:r>
              <w:rPr>
                <w:sz w:val="21"/>
                <w:szCs w:val="21"/>
              </w:rPr>
              <w:t>Sp</w:t>
            </w:r>
          </w:p>
        </w:tc>
        <w:tc>
          <w:tcPr>
            <w:tcW w:w="978" w:type="pct"/>
          </w:tcPr>
          <w:p w14:paraId="35157E86" w14:textId="77777777" w:rsidR="007D1E74" w:rsidRDefault="00A95641">
            <w:pPr>
              <w:pStyle w:val="TableParagraph"/>
              <w:spacing w:before="25"/>
              <w:ind w:left="668"/>
              <w:rPr>
                <w:sz w:val="21"/>
                <w:szCs w:val="21"/>
              </w:rPr>
            </w:pPr>
            <w:r>
              <w:rPr>
                <w:sz w:val="21"/>
                <w:szCs w:val="21"/>
              </w:rPr>
              <w:t>0.5</w:t>
            </w:r>
          </w:p>
        </w:tc>
        <w:tc>
          <w:tcPr>
            <w:tcW w:w="652" w:type="pct"/>
          </w:tcPr>
          <w:p w14:paraId="14A3986C" w14:textId="77777777" w:rsidR="007D1E74" w:rsidRDefault="00A95641">
            <w:pPr>
              <w:pStyle w:val="TableParagraph"/>
              <w:spacing w:before="25"/>
              <w:ind w:right="433"/>
              <w:jc w:val="right"/>
              <w:rPr>
                <w:sz w:val="21"/>
                <w:szCs w:val="21"/>
              </w:rPr>
            </w:pPr>
            <w:r>
              <w:rPr>
                <w:sz w:val="21"/>
                <w:szCs w:val="21"/>
              </w:rPr>
              <w:t>5</w:t>
            </w:r>
          </w:p>
        </w:tc>
      </w:tr>
      <w:tr w:rsidR="007D1E74" w14:paraId="34073B8B" w14:textId="77777777">
        <w:tc>
          <w:tcPr>
            <w:tcW w:w="440" w:type="pct"/>
          </w:tcPr>
          <w:p w14:paraId="25B95D4E" w14:textId="77777777" w:rsidR="007D1E74" w:rsidRDefault="00A95641">
            <w:pPr>
              <w:pStyle w:val="TableParagraph"/>
              <w:spacing w:before="25"/>
              <w:ind w:left="109" w:right="105"/>
              <w:rPr>
                <w:sz w:val="21"/>
                <w:szCs w:val="21"/>
              </w:rPr>
            </w:pPr>
            <w:r>
              <w:rPr>
                <w:sz w:val="21"/>
                <w:szCs w:val="21"/>
              </w:rPr>
              <w:t>18</w:t>
            </w:r>
          </w:p>
        </w:tc>
        <w:tc>
          <w:tcPr>
            <w:tcW w:w="908" w:type="pct"/>
          </w:tcPr>
          <w:p w14:paraId="533D2E29" w14:textId="77777777" w:rsidR="007D1E74" w:rsidRDefault="00A95641">
            <w:pPr>
              <w:pStyle w:val="TableParagraph"/>
              <w:spacing w:line="284" w:lineRule="exact"/>
              <w:ind w:left="102"/>
              <w:rPr>
                <w:rFonts w:ascii="宋体"/>
                <w:sz w:val="21"/>
                <w:szCs w:val="21"/>
              </w:rPr>
            </w:pPr>
            <w:r>
              <w:rPr>
                <w:rFonts w:ascii="宋体" w:hint="eastAsia"/>
                <w:sz w:val="21"/>
                <w:szCs w:val="21"/>
              </w:rPr>
              <w:t>毛茛</w:t>
            </w:r>
          </w:p>
        </w:tc>
        <w:tc>
          <w:tcPr>
            <w:tcW w:w="759" w:type="pct"/>
          </w:tcPr>
          <w:p w14:paraId="6D20B6E7" w14:textId="77777777" w:rsidR="007D1E74" w:rsidRDefault="00A95641">
            <w:pPr>
              <w:pStyle w:val="TableParagraph"/>
              <w:spacing w:line="284" w:lineRule="exact"/>
              <w:ind w:left="103"/>
              <w:rPr>
                <w:rFonts w:ascii="宋体"/>
                <w:sz w:val="21"/>
                <w:szCs w:val="21"/>
              </w:rPr>
            </w:pPr>
            <w:r>
              <w:rPr>
                <w:rFonts w:ascii="宋体" w:hint="eastAsia"/>
                <w:sz w:val="21"/>
                <w:szCs w:val="21"/>
              </w:rPr>
              <w:t>花期</w:t>
            </w:r>
          </w:p>
        </w:tc>
        <w:tc>
          <w:tcPr>
            <w:tcW w:w="673" w:type="pct"/>
          </w:tcPr>
          <w:p w14:paraId="1B15BE39" w14:textId="77777777" w:rsidR="007D1E74" w:rsidRDefault="00A95641">
            <w:pPr>
              <w:pStyle w:val="TableParagraph"/>
              <w:spacing w:before="25"/>
              <w:ind w:left="101" w:right="101"/>
              <w:rPr>
                <w:sz w:val="21"/>
                <w:szCs w:val="21"/>
              </w:rPr>
            </w:pPr>
            <w:r>
              <w:rPr>
                <w:sz w:val="21"/>
                <w:szCs w:val="21"/>
              </w:rPr>
              <w:t>22</w:t>
            </w:r>
          </w:p>
        </w:tc>
        <w:tc>
          <w:tcPr>
            <w:tcW w:w="589" w:type="pct"/>
          </w:tcPr>
          <w:p w14:paraId="2C2F3F64" w14:textId="77777777" w:rsidR="007D1E74" w:rsidRDefault="00A95641">
            <w:pPr>
              <w:pStyle w:val="TableParagraph"/>
              <w:spacing w:before="25"/>
              <w:ind w:left="231" w:right="231"/>
              <w:rPr>
                <w:sz w:val="21"/>
                <w:szCs w:val="21"/>
              </w:rPr>
            </w:pPr>
            <w:r>
              <w:rPr>
                <w:sz w:val="21"/>
                <w:szCs w:val="21"/>
              </w:rPr>
              <w:t>Ol</w:t>
            </w:r>
          </w:p>
        </w:tc>
        <w:tc>
          <w:tcPr>
            <w:tcW w:w="978" w:type="pct"/>
          </w:tcPr>
          <w:p w14:paraId="2B9F9906" w14:textId="77777777" w:rsidR="007D1E74" w:rsidRDefault="00A95641">
            <w:pPr>
              <w:pStyle w:val="TableParagraph"/>
              <w:spacing w:before="25"/>
              <w:ind w:left="668"/>
              <w:rPr>
                <w:sz w:val="21"/>
                <w:szCs w:val="21"/>
              </w:rPr>
            </w:pPr>
            <w:r>
              <w:rPr>
                <w:sz w:val="21"/>
                <w:szCs w:val="21"/>
              </w:rPr>
              <w:t>0.7</w:t>
            </w:r>
          </w:p>
        </w:tc>
        <w:tc>
          <w:tcPr>
            <w:tcW w:w="652" w:type="pct"/>
          </w:tcPr>
          <w:p w14:paraId="24BE4FC7" w14:textId="77777777" w:rsidR="007D1E74" w:rsidRDefault="00A95641">
            <w:pPr>
              <w:pStyle w:val="TableParagraph"/>
              <w:spacing w:before="25"/>
              <w:ind w:right="433"/>
              <w:jc w:val="right"/>
              <w:rPr>
                <w:sz w:val="21"/>
                <w:szCs w:val="21"/>
              </w:rPr>
            </w:pPr>
            <w:r>
              <w:rPr>
                <w:sz w:val="21"/>
                <w:szCs w:val="21"/>
              </w:rPr>
              <w:t>2</w:t>
            </w:r>
          </w:p>
        </w:tc>
      </w:tr>
    </w:tbl>
    <w:p w14:paraId="14840A75" w14:textId="77777777" w:rsidR="007D1E74" w:rsidRDefault="007D1E74">
      <w:pPr>
        <w:spacing w:line="360" w:lineRule="auto"/>
        <w:rPr>
          <w:rFonts w:cs="Times New Roman"/>
          <w:szCs w:val="21"/>
        </w:rPr>
      </w:pPr>
    </w:p>
    <w:p w14:paraId="2891DE82" w14:textId="77777777" w:rsidR="007D1E74" w:rsidRDefault="00A95641">
      <w:pPr>
        <w:spacing w:line="360" w:lineRule="auto"/>
        <w:jc w:val="center"/>
        <w:rPr>
          <w:rFonts w:eastAsia="黑体" w:cs="Times New Roman"/>
          <w:szCs w:val="21"/>
        </w:rPr>
      </w:pPr>
      <w:r>
        <w:rPr>
          <w:rFonts w:eastAsia="黑体" w:cs="Times New Roman"/>
          <w:szCs w:val="21"/>
        </w:rPr>
        <w:t>表</w:t>
      </w:r>
      <w:r>
        <w:rPr>
          <w:rFonts w:eastAsia="黑体" w:cs="Times New Roman"/>
          <w:szCs w:val="21"/>
        </w:rPr>
        <w:t xml:space="preserve">A.2.1-3  </w:t>
      </w:r>
      <w:r>
        <w:rPr>
          <w:rFonts w:eastAsia="黑体" w:cs="Times New Roman" w:hint="eastAsia"/>
          <w:szCs w:val="21"/>
        </w:rPr>
        <w:t>植物实测样方表</w:t>
      </w:r>
    </w:p>
    <w:tbl>
      <w:tblPr>
        <w:tblStyle w:val="affffc"/>
        <w:tblW w:w="0" w:type="auto"/>
        <w:tblBorders>
          <w:left w:val="none" w:sz="0" w:space="0" w:color="auto"/>
          <w:right w:val="none" w:sz="0" w:space="0" w:color="auto"/>
        </w:tblBorders>
        <w:tblLook w:val="04A0" w:firstRow="1" w:lastRow="0" w:firstColumn="1" w:lastColumn="0" w:noHBand="0" w:noVBand="1"/>
      </w:tblPr>
      <w:tblGrid>
        <w:gridCol w:w="9016"/>
      </w:tblGrid>
      <w:tr w:rsidR="007D1E74" w14:paraId="6A700B2E" w14:textId="77777777">
        <w:tc>
          <w:tcPr>
            <w:tcW w:w="9016" w:type="dxa"/>
          </w:tcPr>
          <w:p w14:paraId="7F11D6F2" w14:textId="77777777" w:rsidR="007D1E74" w:rsidRDefault="00A95641">
            <w:pPr>
              <w:spacing w:line="360" w:lineRule="auto"/>
              <w:rPr>
                <w:rFonts w:eastAsiaTheme="minorEastAsia" w:cs="Times New Roman"/>
                <w:szCs w:val="21"/>
              </w:rPr>
            </w:pPr>
            <w:r>
              <w:rPr>
                <w:rFonts w:eastAsiaTheme="minorEastAsia" w:cs="Times New Roman" w:hint="eastAsia"/>
                <w:szCs w:val="21"/>
              </w:rPr>
              <w:t>群落名称：马尾松林</w:t>
            </w:r>
            <w:r>
              <w:rPr>
                <w:rFonts w:eastAsiaTheme="minorEastAsia" w:cs="Times New Roman" w:hint="eastAsia"/>
                <w:szCs w:val="21"/>
              </w:rPr>
              <w:tab/>
            </w:r>
            <w:r>
              <w:rPr>
                <w:rFonts w:eastAsiaTheme="minorEastAsia" w:cs="Times New Roman" w:hint="eastAsia"/>
                <w:szCs w:val="21"/>
              </w:rPr>
              <w:tab/>
            </w:r>
            <w:r>
              <w:rPr>
                <w:rFonts w:eastAsiaTheme="minorEastAsia" w:cs="Times New Roman" w:hint="eastAsia"/>
                <w:szCs w:val="21"/>
              </w:rPr>
              <w:t>地点：涪阳镇草池乡活水沟村</w:t>
            </w:r>
            <w:r>
              <w:rPr>
                <w:rFonts w:eastAsiaTheme="minorEastAsia" w:cs="Times New Roman" w:hint="eastAsia"/>
                <w:szCs w:val="21"/>
              </w:rPr>
              <w:tab/>
            </w:r>
            <w:r>
              <w:rPr>
                <w:rFonts w:eastAsiaTheme="minorEastAsia" w:cs="Times New Roman" w:hint="eastAsia"/>
                <w:szCs w:val="21"/>
              </w:rPr>
              <w:t>样方面积：</w:t>
            </w:r>
            <w:r>
              <w:rPr>
                <w:rFonts w:eastAsiaTheme="minorEastAsia" w:cs="Times New Roman" w:hint="eastAsia"/>
                <w:szCs w:val="21"/>
              </w:rPr>
              <w:t>10m</w:t>
            </w:r>
            <w:r>
              <w:rPr>
                <w:rFonts w:eastAsiaTheme="minorEastAsia" w:cs="Times New Roman" w:hint="eastAsia"/>
                <w:szCs w:val="21"/>
              </w:rPr>
              <w:t>×</w:t>
            </w:r>
            <w:r>
              <w:rPr>
                <w:rFonts w:eastAsiaTheme="minorEastAsia" w:cs="Times New Roman" w:hint="eastAsia"/>
                <w:szCs w:val="21"/>
              </w:rPr>
              <w:t>10m</w:t>
            </w:r>
          </w:p>
        </w:tc>
      </w:tr>
      <w:tr w:rsidR="007D1E74" w14:paraId="63006932" w14:textId="77777777">
        <w:tc>
          <w:tcPr>
            <w:tcW w:w="9016" w:type="dxa"/>
          </w:tcPr>
          <w:p w14:paraId="6769DAEB" w14:textId="77777777" w:rsidR="007D1E74" w:rsidRDefault="00A95641">
            <w:pPr>
              <w:spacing w:line="360" w:lineRule="auto"/>
              <w:rPr>
                <w:rFonts w:eastAsiaTheme="minorEastAsia" w:cs="Times New Roman"/>
                <w:szCs w:val="21"/>
              </w:rPr>
            </w:pPr>
            <w:r>
              <w:rPr>
                <w:rFonts w:eastAsiaTheme="minorEastAsia" w:cs="Times New Roman" w:hint="eastAsia"/>
                <w:szCs w:val="21"/>
              </w:rPr>
              <w:t>经度：</w:t>
            </w:r>
            <w:r>
              <w:rPr>
                <w:rFonts w:eastAsiaTheme="minorEastAsia" w:cs="Times New Roman" w:hint="eastAsia"/>
                <w:szCs w:val="21"/>
              </w:rPr>
              <w:t xml:space="preserve">107.142499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纬度：</w:t>
            </w:r>
            <w:r>
              <w:rPr>
                <w:rFonts w:eastAsiaTheme="minorEastAsia" w:cs="Times New Roman" w:hint="eastAsia"/>
                <w:szCs w:val="21"/>
              </w:rPr>
              <w:t xml:space="preserve">32.010255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海拔（</w:t>
            </w:r>
            <w:r>
              <w:rPr>
                <w:rFonts w:eastAsiaTheme="minorEastAsia" w:cs="Times New Roman" w:hint="eastAsia"/>
                <w:szCs w:val="21"/>
              </w:rPr>
              <w:t>m</w:t>
            </w:r>
            <w:r>
              <w:rPr>
                <w:rFonts w:eastAsiaTheme="minorEastAsia" w:cs="Times New Roman" w:hint="eastAsia"/>
                <w:szCs w:val="21"/>
              </w:rPr>
              <w:t>）</w:t>
            </w:r>
            <w:r>
              <w:rPr>
                <w:rFonts w:eastAsiaTheme="minorEastAsia" w:cs="Times New Roman" w:hint="eastAsia"/>
                <w:szCs w:val="21"/>
              </w:rPr>
              <w:t>516</w:t>
            </w:r>
          </w:p>
        </w:tc>
      </w:tr>
      <w:tr w:rsidR="007D1E74" w14:paraId="5B65E6D6" w14:textId="77777777">
        <w:tc>
          <w:tcPr>
            <w:tcW w:w="9016" w:type="dxa"/>
          </w:tcPr>
          <w:p w14:paraId="21D09EB9" w14:textId="77777777" w:rsidR="007D1E74" w:rsidRDefault="00A95641">
            <w:pPr>
              <w:spacing w:line="360" w:lineRule="auto"/>
              <w:rPr>
                <w:rFonts w:eastAsiaTheme="minorEastAsia" w:cs="Times New Roman"/>
                <w:szCs w:val="21"/>
              </w:rPr>
            </w:pPr>
            <w:r>
              <w:rPr>
                <w:rFonts w:eastAsiaTheme="minorEastAsia" w:cs="Times New Roman" w:hint="eastAsia"/>
                <w:szCs w:val="21"/>
              </w:rPr>
              <w:t>调查人：黄文军、李秦</w:t>
            </w:r>
            <w:r>
              <w:rPr>
                <w:rFonts w:eastAsiaTheme="minorEastAsia" w:cs="Times New Roman" w:hint="eastAsia"/>
                <w:szCs w:val="21"/>
              </w:rPr>
              <w:tab/>
            </w:r>
            <w:r>
              <w:rPr>
                <w:rFonts w:eastAsiaTheme="minorEastAsia" w:cs="Times New Roman" w:hint="eastAsia"/>
                <w:szCs w:val="21"/>
              </w:rPr>
              <w:t>调查日期：</w:t>
            </w:r>
            <w:r>
              <w:rPr>
                <w:rFonts w:eastAsiaTheme="minorEastAsia" w:cs="Times New Roman" w:hint="eastAsia"/>
                <w:szCs w:val="21"/>
              </w:rPr>
              <w:t>2021-08-17</w:t>
            </w:r>
          </w:p>
        </w:tc>
      </w:tr>
    </w:tbl>
    <w:p w14:paraId="6F559274" w14:textId="77777777" w:rsidR="007D1E74" w:rsidRDefault="007D1E74">
      <w:pPr>
        <w:spacing w:line="360" w:lineRule="auto"/>
        <w:rPr>
          <w:rFonts w:eastAsia="黑体" w:cs="Times New Roman"/>
          <w:sz w:val="24"/>
          <w:szCs w:val="24"/>
        </w:rPr>
      </w:pP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3"/>
        <w:gridCol w:w="1942"/>
        <w:gridCol w:w="1232"/>
        <w:gridCol w:w="1197"/>
        <w:gridCol w:w="912"/>
        <w:gridCol w:w="1764"/>
        <w:gridCol w:w="1176"/>
      </w:tblGrid>
      <w:tr w:rsidR="007D1E74" w14:paraId="7D14270E" w14:textId="77777777">
        <w:trPr>
          <w:trHeight w:hRule="exact" w:val="351"/>
        </w:trPr>
        <w:tc>
          <w:tcPr>
            <w:tcW w:w="440" w:type="pct"/>
          </w:tcPr>
          <w:p w14:paraId="40E06FDD" w14:textId="77777777" w:rsidR="007D1E74" w:rsidRDefault="00A95641">
            <w:pPr>
              <w:pStyle w:val="TableParagraph"/>
              <w:spacing w:line="285" w:lineRule="exact"/>
              <w:ind w:left="109" w:right="104"/>
              <w:rPr>
                <w:rFonts w:eastAsiaTheme="minorEastAsia"/>
                <w:sz w:val="21"/>
                <w:szCs w:val="21"/>
              </w:rPr>
            </w:pPr>
            <w:r>
              <w:rPr>
                <w:rFonts w:eastAsiaTheme="minorEastAsia"/>
                <w:sz w:val="21"/>
                <w:szCs w:val="21"/>
              </w:rPr>
              <w:t>种号</w:t>
            </w:r>
          </w:p>
        </w:tc>
        <w:tc>
          <w:tcPr>
            <w:tcW w:w="1077" w:type="pct"/>
          </w:tcPr>
          <w:p w14:paraId="7D3057B5" w14:textId="77777777" w:rsidR="007D1E74" w:rsidRDefault="00A95641">
            <w:pPr>
              <w:pStyle w:val="TableParagraph"/>
              <w:spacing w:line="285" w:lineRule="exact"/>
              <w:ind w:left="540"/>
              <w:rPr>
                <w:rFonts w:eastAsiaTheme="minorEastAsia"/>
                <w:sz w:val="21"/>
                <w:szCs w:val="21"/>
              </w:rPr>
            </w:pPr>
            <w:r>
              <w:rPr>
                <w:rFonts w:eastAsiaTheme="minorEastAsia"/>
                <w:sz w:val="21"/>
                <w:szCs w:val="21"/>
              </w:rPr>
              <w:t>物种名</w:t>
            </w:r>
          </w:p>
        </w:tc>
        <w:tc>
          <w:tcPr>
            <w:tcW w:w="683" w:type="pct"/>
          </w:tcPr>
          <w:p w14:paraId="42A1C692" w14:textId="77777777" w:rsidR="007D1E74" w:rsidRDefault="00A95641">
            <w:pPr>
              <w:pStyle w:val="TableParagraph"/>
              <w:spacing w:line="285" w:lineRule="exact"/>
              <w:ind w:left="208"/>
              <w:rPr>
                <w:rFonts w:eastAsiaTheme="minorEastAsia"/>
                <w:sz w:val="21"/>
                <w:szCs w:val="21"/>
              </w:rPr>
            </w:pPr>
            <w:r>
              <w:rPr>
                <w:rFonts w:eastAsiaTheme="minorEastAsia"/>
                <w:sz w:val="21"/>
                <w:szCs w:val="21"/>
              </w:rPr>
              <w:t>物候期</w:t>
            </w:r>
          </w:p>
        </w:tc>
        <w:tc>
          <w:tcPr>
            <w:tcW w:w="664" w:type="pct"/>
          </w:tcPr>
          <w:p w14:paraId="534BA6C7" w14:textId="77777777" w:rsidR="007D1E74" w:rsidRDefault="00A95641">
            <w:pPr>
              <w:pStyle w:val="TableParagraph"/>
              <w:spacing w:line="303" w:lineRule="exact"/>
              <w:ind w:left="94" w:right="94"/>
              <w:rPr>
                <w:rFonts w:eastAsiaTheme="minorEastAsia"/>
                <w:sz w:val="21"/>
                <w:szCs w:val="21"/>
              </w:rPr>
            </w:pPr>
            <w:r>
              <w:rPr>
                <w:rFonts w:eastAsiaTheme="minorEastAsia"/>
                <w:sz w:val="21"/>
                <w:szCs w:val="21"/>
              </w:rPr>
              <w:t>株</w:t>
            </w:r>
            <w:r>
              <w:rPr>
                <w:rFonts w:eastAsiaTheme="minorEastAsia"/>
                <w:sz w:val="21"/>
                <w:szCs w:val="21"/>
              </w:rPr>
              <w:t>(</w:t>
            </w:r>
            <w:r>
              <w:rPr>
                <w:rFonts w:eastAsiaTheme="minorEastAsia"/>
                <w:sz w:val="21"/>
                <w:szCs w:val="21"/>
              </w:rPr>
              <w:t>丛</w:t>
            </w:r>
            <w:r>
              <w:rPr>
                <w:rFonts w:eastAsiaTheme="minorEastAsia"/>
                <w:sz w:val="21"/>
                <w:szCs w:val="21"/>
              </w:rPr>
              <w:t>)</w:t>
            </w:r>
            <w:r>
              <w:rPr>
                <w:rFonts w:eastAsiaTheme="minorEastAsia"/>
                <w:sz w:val="21"/>
                <w:szCs w:val="21"/>
              </w:rPr>
              <w:t>数</w:t>
            </w:r>
          </w:p>
        </w:tc>
        <w:tc>
          <w:tcPr>
            <w:tcW w:w="506" w:type="pct"/>
          </w:tcPr>
          <w:p w14:paraId="184A1509" w14:textId="77777777" w:rsidR="007D1E74" w:rsidRDefault="00A95641">
            <w:pPr>
              <w:pStyle w:val="TableParagraph"/>
              <w:spacing w:line="285" w:lineRule="exact"/>
              <w:ind w:left="160" w:right="160"/>
              <w:rPr>
                <w:rFonts w:eastAsiaTheme="minorEastAsia"/>
                <w:sz w:val="21"/>
                <w:szCs w:val="21"/>
              </w:rPr>
            </w:pPr>
            <w:r>
              <w:rPr>
                <w:rFonts w:eastAsiaTheme="minorEastAsia"/>
                <w:sz w:val="21"/>
                <w:szCs w:val="21"/>
              </w:rPr>
              <w:t>多度</w:t>
            </w:r>
          </w:p>
        </w:tc>
        <w:tc>
          <w:tcPr>
            <w:tcW w:w="978" w:type="pct"/>
          </w:tcPr>
          <w:p w14:paraId="6D15AD98" w14:textId="77777777" w:rsidR="007D1E74" w:rsidRDefault="00A95641">
            <w:pPr>
              <w:pStyle w:val="TableParagraph"/>
              <w:spacing w:line="303" w:lineRule="exact"/>
              <w:ind w:left="172" w:right="170"/>
              <w:rPr>
                <w:rFonts w:eastAsiaTheme="minorEastAsia"/>
                <w:sz w:val="21"/>
                <w:szCs w:val="21"/>
              </w:rPr>
            </w:pPr>
            <w:r>
              <w:rPr>
                <w:rFonts w:eastAsiaTheme="minorEastAsia"/>
                <w:w w:val="95"/>
                <w:sz w:val="21"/>
                <w:szCs w:val="21"/>
              </w:rPr>
              <w:t>平均高度</w:t>
            </w:r>
            <w:r>
              <w:rPr>
                <w:rFonts w:eastAsiaTheme="minorEastAsia"/>
                <w:w w:val="95"/>
                <w:sz w:val="21"/>
                <w:szCs w:val="21"/>
              </w:rPr>
              <w:t>/cm</w:t>
            </w:r>
          </w:p>
        </w:tc>
        <w:tc>
          <w:tcPr>
            <w:tcW w:w="652" w:type="pct"/>
          </w:tcPr>
          <w:p w14:paraId="73B18A50" w14:textId="77777777" w:rsidR="007D1E74" w:rsidRDefault="00A95641">
            <w:pPr>
              <w:pStyle w:val="TableParagraph"/>
              <w:spacing w:line="303" w:lineRule="exact"/>
              <w:ind w:left="116" w:right="226"/>
              <w:rPr>
                <w:rFonts w:eastAsiaTheme="minorEastAsia"/>
                <w:sz w:val="21"/>
                <w:szCs w:val="21"/>
              </w:rPr>
            </w:pPr>
            <w:r>
              <w:rPr>
                <w:rFonts w:eastAsiaTheme="minorEastAsia"/>
                <w:w w:val="95"/>
                <w:sz w:val="21"/>
                <w:szCs w:val="21"/>
              </w:rPr>
              <w:t>盖度</w:t>
            </w:r>
            <w:r>
              <w:rPr>
                <w:rFonts w:eastAsiaTheme="minorEastAsia"/>
                <w:w w:val="95"/>
                <w:sz w:val="21"/>
                <w:szCs w:val="21"/>
              </w:rPr>
              <w:t>/%</w:t>
            </w:r>
          </w:p>
        </w:tc>
      </w:tr>
      <w:tr w:rsidR="007D1E74" w14:paraId="58999664" w14:textId="77777777">
        <w:trPr>
          <w:trHeight w:hRule="exact" w:val="336"/>
        </w:trPr>
        <w:tc>
          <w:tcPr>
            <w:tcW w:w="440" w:type="pct"/>
          </w:tcPr>
          <w:p w14:paraId="092B3801" w14:textId="77777777" w:rsidR="007D1E74" w:rsidRDefault="00A95641">
            <w:pPr>
              <w:pStyle w:val="TableParagraph"/>
              <w:spacing w:before="24"/>
              <w:ind w:left="5"/>
              <w:rPr>
                <w:rFonts w:eastAsiaTheme="minorEastAsia"/>
                <w:sz w:val="21"/>
                <w:szCs w:val="21"/>
              </w:rPr>
            </w:pPr>
            <w:r>
              <w:rPr>
                <w:rFonts w:eastAsiaTheme="minorEastAsia"/>
                <w:sz w:val="21"/>
                <w:szCs w:val="21"/>
              </w:rPr>
              <w:t>1</w:t>
            </w:r>
          </w:p>
        </w:tc>
        <w:tc>
          <w:tcPr>
            <w:tcW w:w="1077" w:type="pct"/>
          </w:tcPr>
          <w:p w14:paraId="5A1031D6"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马尾松</w:t>
            </w:r>
          </w:p>
        </w:tc>
        <w:tc>
          <w:tcPr>
            <w:tcW w:w="683" w:type="pct"/>
          </w:tcPr>
          <w:p w14:paraId="3A54D6C7"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果期</w:t>
            </w:r>
          </w:p>
        </w:tc>
        <w:tc>
          <w:tcPr>
            <w:tcW w:w="664" w:type="pct"/>
          </w:tcPr>
          <w:p w14:paraId="63C069AE" w14:textId="77777777" w:rsidR="007D1E74" w:rsidRDefault="00A95641">
            <w:pPr>
              <w:pStyle w:val="TableParagraph"/>
              <w:spacing w:before="24"/>
              <w:rPr>
                <w:rFonts w:eastAsiaTheme="minorEastAsia"/>
                <w:sz w:val="21"/>
                <w:szCs w:val="21"/>
              </w:rPr>
            </w:pPr>
            <w:r>
              <w:rPr>
                <w:rFonts w:eastAsiaTheme="minorEastAsia"/>
                <w:sz w:val="21"/>
                <w:szCs w:val="21"/>
              </w:rPr>
              <w:t>7</w:t>
            </w:r>
          </w:p>
        </w:tc>
        <w:tc>
          <w:tcPr>
            <w:tcW w:w="506" w:type="pct"/>
          </w:tcPr>
          <w:p w14:paraId="67A32CCC" w14:textId="77777777" w:rsidR="007D1E74" w:rsidRDefault="00A95641">
            <w:pPr>
              <w:pStyle w:val="TableParagraph"/>
              <w:spacing w:before="23"/>
              <w:ind w:left="160" w:right="160"/>
              <w:rPr>
                <w:rFonts w:eastAsiaTheme="minorEastAsia"/>
                <w:sz w:val="21"/>
                <w:szCs w:val="21"/>
              </w:rPr>
            </w:pPr>
            <w:r>
              <w:rPr>
                <w:rFonts w:eastAsiaTheme="minorEastAsia"/>
                <w:position w:val="2"/>
                <w:sz w:val="21"/>
                <w:szCs w:val="21"/>
              </w:rPr>
              <w:t>Cop</w:t>
            </w:r>
            <w:r>
              <w:rPr>
                <w:rFonts w:eastAsiaTheme="minorEastAsia"/>
                <w:sz w:val="21"/>
                <w:szCs w:val="21"/>
              </w:rPr>
              <w:t>2</w:t>
            </w:r>
          </w:p>
        </w:tc>
        <w:tc>
          <w:tcPr>
            <w:tcW w:w="978" w:type="pct"/>
          </w:tcPr>
          <w:p w14:paraId="79FA8039" w14:textId="77777777" w:rsidR="007D1E74" w:rsidRDefault="00A95641">
            <w:pPr>
              <w:pStyle w:val="TableParagraph"/>
              <w:spacing w:before="24"/>
              <w:ind w:left="169" w:right="170"/>
              <w:rPr>
                <w:rFonts w:eastAsiaTheme="minorEastAsia"/>
                <w:sz w:val="21"/>
                <w:szCs w:val="21"/>
              </w:rPr>
            </w:pPr>
            <w:r>
              <w:rPr>
                <w:rFonts w:eastAsiaTheme="minorEastAsia"/>
                <w:sz w:val="21"/>
                <w:szCs w:val="21"/>
              </w:rPr>
              <w:t>15</w:t>
            </w:r>
          </w:p>
        </w:tc>
        <w:tc>
          <w:tcPr>
            <w:tcW w:w="652" w:type="pct"/>
          </w:tcPr>
          <w:p w14:paraId="1A15FD0D" w14:textId="77777777" w:rsidR="007D1E74" w:rsidRDefault="00A95641">
            <w:pPr>
              <w:pStyle w:val="TableParagraph"/>
              <w:spacing w:before="24"/>
              <w:ind w:left="116" w:right="224"/>
              <w:rPr>
                <w:rFonts w:eastAsiaTheme="minorEastAsia"/>
                <w:sz w:val="21"/>
                <w:szCs w:val="21"/>
              </w:rPr>
            </w:pPr>
            <w:r>
              <w:rPr>
                <w:rFonts w:eastAsiaTheme="minorEastAsia"/>
                <w:sz w:val="21"/>
                <w:szCs w:val="21"/>
              </w:rPr>
              <w:t>65</w:t>
            </w:r>
          </w:p>
        </w:tc>
      </w:tr>
      <w:tr w:rsidR="007D1E74" w14:paraId="53748063" w14:textId="77777777">
        <w:trPr>
          <w:trHeight w:hRule="exact" w:val="336"/>
        </w:trPr>
        <w:tc>
          <w:tcPr>
            <w:tcW w:w="440" w:type="pct"/>
          </w:tcPr>
          <w:p w14:paraId="172B5CC9" w14:textId="77777777" w:rsidR="007D1E74" w:rsidRDefault="00A95641">
            <w:pPr>
              <w:pStyle w:val="TableParagraph"/>
              <w:spacing w:before="24"/>
              <w:ind w:left="5"/>
              <w:rPr>
                <w:rFonts w:eastAsiaTheme="minorEastAsia"/>
                <w:sz w:val="21"/>
                <w:szCs w:val="21"/>
              </w:rPr>
            </w:pPr>
            <w:r>
              <w:rPr>
                <w:rFonts w:eastAsiaTheme="minorEastAsia"/>
                <w:sz w:val="21"/>
                <w:szCs w:val="21"/>
              </w:rPr>
              <w:t>2</w:t>
            </w:r>
          </w:p>
        </w:tc>
        <w:tc>
          <w:tcPr>
            <w:tcW w:w="1077" w:type="pct"/>
          </w:tcPr>
          <w:p w14:paraId="7593586B"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柏木</w:t>
            </w:r>
          </w:p>
        </w:tc>
        <w:tc>
          <w:tcPr>
            <w:tcW w:w="683" w:type="pct"/>
          </w:tcPr>
          <w:p w14:paraId="30B3F310"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果期</w:t>
            </w:r>
          </w:p>
        </w:tc>
        <w:tc>
          <w:tcPr>
            <w:tcW w:w="664" w:type="pct"/>
          </w:tcPr>
          <w:p w14:paraId="02807FC3" w14:textId="77777777" w:rsidR="007D1E74" w:rsidRDefault="00A95641">
            <w:pPr>
              <w:pStyle w:val="TableParagraph"/>
              <w:spacing w:before="24"/>
              <w:rPr>
                <w:rFonts w:eastAsiaTheme="minorEastAsia"/>
                <w:sz w:val="21"/>
                <w:szCs w:val="21"/>
              </w:rPr>
            </w:pPr>
            <w:r>
              <w:rPr>
                <w:rFonts w:eastAsiaTheme="minorEastAsia"/>
                <w:sz w:val="21"/>
                <w:szCs w:val="21"/>
              </w:rPr>
              <w:t>3</w:t>
            </w:r>
          </w:p>
        </w:tc>
        <w:tc>
          <w:tcPr>
            <w:tcW w:w="506" w:type="pct"/>
          </w:tcPr>
          <w:p w14:paraId="16B2123E" w14:textId="77777777" w:rsidR="007D1E74" w:rsidRDefault="00A95641">
            <w:pPr>
              <w:pStyle w:val="TableParagraph"/>
              <w:spacing w:before="23"/>
              <w:ind w:left="160" w:right="160"/>
              <w:rPr>
                <w:rFonts w:eastAsiaTheme="minorEastAsia"/>
                <w:sz w:val="21"/>
                <w:szCs w:val="21"/>
              </w:rPr>
            </w:pPr>
            <w:r>
              <w:rPr>
                <w:rFonts w:eastAsiaTheme="minorEastAsia"/>
                <w:position w:val="2"/>
                <w:sz w:val="21"/>
                <w:szCs w:val="21"/>
              </w:rPr>
              <w:t>Cop</w:t>
            </w:r>
            <w:r>
              <w:rPr>
                <w:rFonts w:eastAsiaTheme="minorEastAsia"/>
                <w:sz w:val="21"/>
                <w:szCs w:val="21"/>
              </w:rPr>
              <w:t>1</w:t>
            </w:r>
          </w:p>
        </w:tc>
        <w:tc>
          <w:tcPr>
            <w:tcW w:w="978" w:type="pct"/>
          </w:tcPr>
          <w:p w14:paraId="4872830E" w14:textId="77777777" w:rsidR="007D1E74" w:rsidRDefault="00A95641">
            <w:pPr>
              <w:pStyle w:val="TableParagraph"/>
              <w:spacing w:before="24"/>
              <w:ind w:left="169" w:right="170"/>
              <w:rPr>
                <w:rFonts w:eastAsiaTheme="minorEastAsia"/>
                <w:sz w:val="21"/>
                <w:szCs w:val="21"/>
              </w:rPr>
            </w:pPr>
            <w:r>
              <w:rPr>
                <w:rFonts w:eastAsiaTheme="minorEastAsia"/>
                <w:sz w:val="21"/>
                <w:szCs w:val="21"/>
              </w:rPr>
              <w:t>12</w:t>
            </w:r>
          </w:p>
        </w:tc>
        <w:tc>
          <w:tcPr>
            <w:tcW w:w="652" w:type="pct"/>
          </w:tcPr>
          <w:p w14:paraId="6C1A9935" w14:textId="77777777" w:rsidR="007D1E74" w:rsidRDefault="00A95641">
            <w:pPr>
              <w:pStyle w:val="TableParagraph"/>
              <w:spacing w:before="24"/>
              <w:ind w:left="116" w:right="224"/>
              <w:rPr>
                <w:rFonts w:eastAsiaTheme="minorEastAsia"/>
                <w:sz w:val="21"/>
                <w:szCs w:val="21"/>
              </w:rPr>
            </w:pPr>
            <w:r>
              <w:rPr>
                <w:rFonts w:eastAsiaTheme="minorEastAsia"/>
                <w:sz w:val="21"/>
                <w:szCs w:val="21"/>
              </w:rPr>
              <w:t>15</w:t>
            </w:r>
          </w:p>
        </w:tc>
      </w:tr>
      <w:tr w:rsidR="007D1E74" w14:paraId="06336FF9" w14:textId="77777777">
        <w:trPr>
          <w:trHeight w:hRule="exact" w:val="336"/>
        </w:trPr>
        <w:tc>
          <w:tcPr>
            <w:tcW w:w="440" w:type="pct"/>
          </w:tcPr>
          <w:p w14:paraId="376E32CD" w14:textId="77777777" w:rsidR="007D1E74" w:rsidRDefault="00A95641">
            <w:pPr>
              <w:pStyle w:val="TableParagraph"/>
              <w:spacing w:before="24"/>
              <w:ind w:left="5"/>
              <w:rPr>
                <w:rFonts w:eastAsiaTheme="minorEastAsia"/>
                <w:sz w:val="21"/>
                <w:szCs w:val="21"/>
              </w:rPr>
            </w:pPr>
            <w:r>
              <w:rPr>
                <w:rFonts w:eastAsiaTheme="minorEastAsia"/>
                <w:sz w:val="21"/>
                <w:szCs w:val="21"/>
              </w:rPr>
              <w:t>3</w:t>
            </w:r>
          </w:p>
        </w:tc>
        <w:tc>
          <w:tcPr>
            <w:tcW w:w="1077" w:type="pct"/>
          </w:tcPr>
          <w:p w14:paraId="199FBE56"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桤木</w:t>
            </w:r>
          </w:p>
        </w:tc>
        <w:tc>
          <w:tcPr>
            <w:tcW w:w="683" w:type="pct"/>
          </w:tcPr>
          <w:p w14:paraId="2055B73F"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果期</w:t>
            </w:r>
          </w:p>
        </w:tc>
        <w:tc>
          <w:tcPr>
            <w:tcW w:w="664" w:type="pct"/>
          </w:tcPr>
          <w:p w14:paraId="1363A2BD" w14:textId="77777777" w:rsidR="007D1E74" w:rsidRDefault="00A95641">
            <w:pPr>
              <w:pStyle w:val="TableParagraph"/>
              <w:spacing w:before="24"/>
              <w:rPr>
                <w:rFonts w:eastAsiaTheme="minorEastAsia"/>
                <w:sz w:val="21"/>
                <w:szCs w:val="21"/>
              </w:rPr>
            </w:pPr>
            <w:r>
              <w:rPr>
                <w:rFonts w:eastAsiaTheme="minorEastAsia"/>
                <w:sz w:val="21"/>
                <w:szCs w:val="21"/>
              </w:rPr>
              <w:t>2</w:t>
            </w:r>
          </w:p>
        </w:tc>
        <w:tc>
          <w:tcPr>
            <w:tcW w:w="506" w:type="pct"/>
          </w:tcPr>
          <w:p w14:paraId="7066DEA2" w14:textId="77777777" w:rsidR="007D1E74" w:rsidRDefault="00A95641">
            <w:pPr>
              <w:pStyle w:val="TableParagraph"/>
              <w:spacing w:before="24"/>
              <w:ind w:left="159" w:right="160"/>
              <w:rPr>
                <w:rFonts w:eastAsiaTheme="minorEastAsia"/>
                <w:sz w:val="21"/>
                <w:szCs w:val="21"/>
              </w:rPr>
            </w:pPr>
            <w:r>
              <w:rPr>
                <w:rFonts w:eastAsiaTheme="minorEastAsia"/>
                <w:sz w:val="21"/>
                <w:szCs w:val="21"/>
              </w:rPr>
              <w:t>Sp</w:t>
            </w:r>
          </w:p>
        </w:tc>
        <w:tc>
          <w:tcPr>
            <w:tcW w:w="978" w:type="pct"/>
          </w:tcPr>
          <w:p w14:paraId="3577F2F9" w14:textId="77777777" w:rsidR="007D1E74" w:rsidRDefault="00A95641">
            <w:pPr>
              <w:pStyle w:val="TableParagraph"/>
              <w:spacing w:before="24"/>
              <w:ind w:left="169" w:right="170"/>
              <w:rPr>
                <w:rFonts w:eastAsiaTheme="minorEastAsia"/>
                <w:sz w:val="21"/>
                <w:szCs w:val="21"/>
              </w:rPr>
            </w:pPr>
            <w:r>
              <w:rPr>
                <w:rFonts w:eastAsiaTheme="minorEastAsia"/>
                <w:sz w:val="21"/>
                <w:szCs w:val="21"/>
              </w:rPr>
              <w:t>14</w:t>
            </w:r>
          </w:p>
        </w:tc>
        <w:tc>
          <w:tcPr>
            <w:tcW w:w="652" w:type="pct"/>
          </w:tcPr>
          <w:p w14:paraId="55B119B1" w14:textId="77777777" w:rsidR="007D1E74" w:rsidRDefault="00A95641">
            <w:pPr>
              <w:pStyle w:val="TableParagraph"/>
              <w:spacing w:before="24"/>
              <w:ind w:right="108"/>
              <w:rPr>
                <w:rFonts w:eastAsiaTheme="minorEastAsia"/>
                <w:sz w:val="21"/>
                <w:szCs w:val="21"/>
              </w:rPr>
            </w:pPr>
            <w:r>
              <w:rPr>
                <w:rFonts w:eastAsiaTheme="minorEastAsia"/>
                <w:sz w:val="21"/>
                <w:szCs w:val="21"/>
              </w:rPr>
              <w:t>5</w:t>
            </w:r>
          </w:p>
        </w:tc>
      </w:tr>
      <w:tr w:rsidR="007D1E74" w14:paraId="0228DC9A" w14:textId="77777777">
        <w:trPr>
          <w:trHeight w:hRule="exact" w:val="336"/>
        </w:trPr>
        <w:tc>
          <w:tcPr>
            <w:tcW w:w="440" w:type="pct"/>
          </w:tcPr>
          <w:p w14:paraId="7E5B60AC" w14:textId="77777777" w:rsidR="007D1E74" w:rsidRDefault="00A95641">
            <w:pPr>
              <w:pStyle w:val="TableParagraph"/>
              <w:spacing w:before="24"/>
              <w:ind w:left="5"/>
              <w:rPr>
                <w:rFonts w:eastAsiaTheme="minorEastAsia"/>
                <w:sz w:val="21"/>
                <w:szCs w:val="21"/>
              </w:rPr>
            </w:pPr>
            <w:r>
              <w:rPr>
                <w:rFonts w:eastAsiaTheme="minorEastAsia"/>
                <w:sz w:val="21"/>
                <w:szCs w:val="21"/>
              </w:rPr>
              <w:t>4</w:t>
            </w:r>
          </w:p>
        </w:tc>
        <w:tc>
          <w:tcPr>
            <w:tcW w:w="1077" w:type="pct"/>
          </w:tcPr>
          <w:p w14:paraId="12988FB0"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麻栎</w:t>
            </w:r>
          </w:p>
        </w:tc>
        <w:tc>
          <w:tcPr>
            <w:tcW w:w="683" w:type="pct"/>
          </w:tcPr>
          <w:p w14:paraId="01CD0751"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果期</w:t>
            </w:r>
          </w:p>
        </w:tc>
        <w:tc>
          <w:tcPr>
            <w:tcW w:w="664" w:type="pct"/>
          </w:tcPr>
          <w:p w14:paraId="319E60A1" w14:textId="77777777" w:rsidR="007D1E74" w:rsidRDefault="00A95641">
            <w:pPr>
              <w:pStyle w:val="TableParagraph"/>
              <w:spacing w:before="24"/>
              <w:rPr>
                <w:rFonts w:eastAsiaTheme="minorEastAsia"/>
                <w:sz w:val="21"/>
                <w:szCs w:val="21"/>
              </w:rPr>
            </w:pPr>
            <w:r>
              <w:rPr>
                <w:rFonts w:eastAsiaTheme="minorEastAsia"/>
                <w:sz w:val="21"/>
                <w:szCs w:val="21"/>
              </w:rPr>
              <w:t>2</w:t>
            </w:r>
          </w:p>
        </w:tc>
        <w:tc>
          <w:tcPr>
            <w:tcW w:w="506" w:type="pct"/>
          </w:tcPr>
          <w:p w14:paraId="23EDCECB" w14:textId="77777777" w:rsidR="007D1E74" w:rsidRDefault="00A95641">
            <w:pPr>
              <w:pStyle w:val="TableParagraph"/>
              <w:spacing w:before="24"/>
              <w:ind w:left="159" w:right="160"/>
              <w:rPr>
                <w:rFonts w:eastAsiaTheme="minorEastAsia"/>
                <w:sz w:val="21"/>
                <w:szCs w:val="21"/>
              </w:rPr>
            </w:pPr>
            <w:r>
              <w:rPr>
                <w:rFonts w:eastAsiaTheme="minorEastAsia"/>
                <w:sz w:val="21"/>
                <w:szCs w:val="21"/>
              </w:rPr>
              <w:t>Sp</w:t>
            </w:r>
          </w:p>
        </w:tc>
        <w:tc>
          <w:tcPr>
            <w:tcW w:w="978" w:type="pct"/>
          </w:tcPr>
          <w:p w14:paraId="7523051B" w14:textId="77777777" w:rsidR="007D1E74" w:rsidRDefault="00A95641">
            <w:pPr>
              <w:pStyle w:val="TableParagraph"/>
              <w:spacing w:before="24"/>
              <w:ind w:left="169" w:right="170"/>
              <w:rPr>
                <w:rFonts w:eastAsiaTheme="minorEastAsia"/>
                <w:sz w:val="21"/>
                <w:szCs w:val="21"/>
              </w:rPr>
            </w:pPr>
            <w:r>
              <w:rPr>
                <w:rFonts w:eastAsiaTheme="minorEastAsia"/>
                <w:sz w:val="21"/>
                <w:szCs w:val="21"/>
              </w:rPr>
              <w:t>13</w:t>
            </w:r>
          </w:p>
        </w:tc>
        <w:tc>
          <w:tcPr>
            <w:tcW w:w="652" w:type="pct"/>
          </w:tcPr>
          <w:p w14:paraId="5B87C1F6" w14:textId="77777777" w:rsidR="007D1E74" w:rsidRDefault="00A95641">
            <w:pPr>
              <w:pStyle w:val="TableParagraph"/>
              <w:spacing w:before="24"/>
              <w:ind w:right="108"/>
              <w:rPr>
                <w:rFonts w:eastAsiaTheme="minorEastAsia"/>
                <w:sz w:val="21"/>
                <w:szCs w:val="21"/>
              </w:rPr>
            </w:pPr>
            <w:r>
              <w:rPr>
                <w:rFonts w:eastAsiaTheme="minorEastAsia"/>
                <w:sz w:val="21"/>
                <w:szCs w:val="21"/>
              </w:rPr>
              <w:t>5</w:t>
            </w:r>
          </w:p>
        </w:tc>
      </w:tr>
      <w:tr w:rsidR="007D1E74" w14:paraId="6978B763" w14:textId="77777777">
        <w:trPr>
          <w:trHeight w:hRule="exact" w:val="336"/>
        </w:trPr>
        <w:tc>
          <w:tcPr>
            <w:tcW w:w="440" w:type="pct"/>
          </w:tcPr>
          <w:p w14:paraId="74A3B870" w14:textId="77777777" w:rsidR="007D1E74" w:rsidRDefault="00A95641">
            <w:pPr>
              <w:pStyle w:val="TableParagraph"/>
              <w:spacing w:before="24"/>
              <w:ind w:left="5"/>
              <w:rPr>
                <w:rFonts w:eastAsiaTheme="minorEastAsia"/>
                <w:sz w:val="21"/>
                <w:szCs w:val="21"/>
              </w:rPr>
            </w:pPr>
            <w:r>
              <w:rPr>
                <w:rFonts w:eastAsiaTheme="minorEastAsia"/>
                <w:sz w:val="21"/>
                <w:szCs w:val="21"/>
              </w:rPr>
              <w:t>5</w:t>
            </w:r>
          </w:p>
        </w:tc>
        <w:tc>
          <w:tcPr>
            <w:tcW w:w="1077" w:type="pct"/>
          </w:tcPr>
          <w:p w14:paraId="47E79F3E"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灯台树</w:t>
            </w:r>
          </w:p>
        </w:tc>
        <w:tc>
          <w:tcPr>
            <w:tcW w:w="683" w:type="pct"/>
          </w:tcPr>
          <w:p w14:paraId="1BD4F65A"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果期</w:t>
            </w:r>
          </w:p>
        </w:tc>
        <w:tc>
          <w:tcPr>
            <w:tcW w:w="664" w:type="pct"/>
          </w:tcPr>
          <w:p w14:paraId="53FB9297" w14:textId="77777777" w:rsidR="007D1E74" w:rsidRDefault="00A95641">
            <w:pPr>
              <w:pStyle w:val="TableParagraph"/>
              <w:spacing w:before="24"/>
              <w:rPr>
                <w:rFonts w:eastAsiaTheme="minorEastAsia"/>
                <w:sz w:val="21"/>
                <w:szCs w:val="21"/>
              </w:rPr>
            </w:pPr>
            <w:r>
              <w:rPr>
                <w:rFonts w:eastAsiaTheme="minorEastAsia"/>
                <w:sz w:val="21"/>
                <w:szCs w:val="21"/>
              </w:rPr>
              <w:t>2</w:t>
            </w:r>
          </w:p>
        </w:tc>
        <w:tc>
          <w:tcPr>
            <w:tcW w:w="506" w:type="pct"/>
          </w:tcPr>
          <w:p w14:paraId="75339806" w14:textId="77777777" w:rsidR="007D1E74" w:rsidRDefault="00A95641">
            <w:pPr>
              <w:pStyle w:val="TableParagraph"/>
              <w:spacing w:before="24"/>
              <w:ind w:left="159" w:right="160"/>
              <w:rPr>
                <w:rFonts w:eastAsiaTheme="minorEastAsia"/>
                <w:sz w:val="21"/>
                <w:szCs w:val="21"/>
              </w:rPr>
            </w:pPr>
            <w:r>
              <w:rPr>
                <w:rFonts w:eastAsiaTheme="minorEastAsia"/>
                <w:sz w:val="21"/>
                <w:szCs w:val="21"/>
              </w:rPr>
              <w:t>Sp</w:t>
            </w:r>
          </w:p>
        </w:tc>
        <w:tc>
          <w:tcPr>
            <w:tcW w:w="978" w:type="pct"/>
          </w:tcPr>
          <w:p w14:paraId="575C10F8" w14:textId="77777777" w:rsidR="007D1E74" w:rsidRDefault="00A95641">
            <w:pPr>
              <w:pStyle w:val="TableParagraph"/>
              <w:spacing w:before="24"/>
              <w:ind w:left="169" w:right="170"/>
              <w:rPr>
                <w:rFonts w:eastAsiaTheme="minorEastAsia"/>
                <w:sz w:val="21"/>
                <w:szCs w:val="21"/>
              </w:rPr>
            </w:pPr>
            <w:r>
              <w:rPr>
                <w:rFonts w:eastAsiaTheme="minorEastAsia"/>
                <w:sz w:val="21"/>
                <w:szCs w:val="21"/>
              </w:rPr>
              <w:t>13</w:t>
            </w:r>
          </w:p>
        </w:tc>
        <w:tc>
          <w:tcPr>
            <w:tcW w:w="652" w:type="pct"/>
          </w:tcPr>
          <w:p w14:paraId="0203DE6D" w14:textId="77777777" w:rsidR="007D1E74" w:rsidRDefault="00A95641">
            <w:pPr>
              <w:pStyle w:val="TableParagraph"/>
              <w:spacing w:before="24"/>
              <w:ind w:right="108"/>
              <w:rPr>
                <w:rFonts w:eastAsiaTheme="minorEastAsia"/>
                <w:sz w:val="21"/>
                <w:szCs w:val="21"/>
              </w:rPr>
            </w:pPr>
            <w:r>
              <w:rPr>
                <w:rFonts w:eastAsiaTheme="minorEastAsia"/>
                <w:sz w:val="21"/>
                <w:szCs w:val="21"/>
              </w:rPr>
              <w:t>4</w:t>
            </w:r>
          </w:p>
        </w:tc>
      </w:tr>
      <w:tr w:rsidR="007D1E74" w14:paraId="6B6DFA80" w14:textId="77777777">
        <w:trPr>
          <w:trHeight w:hRule="exact" w:val="336"/>
        </w:trPr>
        <w:tc>
          <w:tcPr>
            <w:tcW w:w="440" w:type="pct"/>
          </w:tcPr>
          <w:p w14:paraId="57204F38" w14:textId="77777777" w:rsidR="007D1E74" w:rsidRDefault="00A95641">
            <w:pPr>
              <w:pStyle w:val="TableParagraph"/>
              <w:spacing w:before="24"/>
              <w:ind w:left="5"/>
              <w:rPr>
                <w:rFonts w:eastAsiaTheme="minorEastAsia"/>
                <w:sz w:val="21"/>
                <w:szCs w:val="21"/>
              </w:rPr>
            </w:pPr>
            <w:r>
              <w:rPr>
                <w:rFonts w:eastAsiaTheme="minorEastAsia"/>
                <w:sz w:val="21"/>
                <w:szCs w:val="21"/>
              </w:rPr>
              <w:t>6</w:t>
            </w:r>
          </w:p>
        </w:tc>
        <w:tc>
          <w:tcPr>
            <w:tcW w:w="1077" w:type="pct"/>
          </w:tcPr>
          <w:p w14:paraId="0D8C0AA9"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楝</w:t>
            </w:r>
          </w:p>
        </w:tc>
        <w:tc>
          <w:tcPr>
            <w:tcW w:w="683" w:type="pct"/>
          </w:tcPr>
          <w:p w14:paraId="5081BDC6"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果期</w:t>
            </w:r>
          </w:p>
        </w:tc>
        <w:tc>
          <w:tcPr>
            <w:tcW w:w="664" w:type="pct"/>
          </w:tcPr>
          <w:p w14:paraId="1C5A409B" w14:textId="77777777" w:rsidR="007D1E74" w:rsidRDefault="00A95641">
            <w:pPr>
              <w:pStyle w:val="TableParagraph"/>
              <w:spacing w:before="24"/>
              <w:rPr>
                <w:rFonts w:eastAsiaTheme="minorEastAsia"/>
                <w:sz w:val="21"/>
                <w:szCs w:val="21"/>
              </w:rPr>
            </w:pPr>
            <w:r>
              <w:rPr>
                <w:rFonts w:eastAsiaTheme="minorEastAsia"/>
                <w:sz w:val="21"/>
                <w:szCs w:val="21"/>
              </w:rPr>
              <w:t>1</w:t>
            </w:r>
          </w:p>
        </w:tc>
        <w:tc>
          <w:tcPr>
            <w:tcW w:w="506" w:type="pct"/>
          </w:tcPr>
          <w:p w14:paraId="4D6D2E75" w14:textId="77777777" w:rsidR="007D1E74" w:rsidRDefault="00A95641">
            <w:pPr>
              <w:pStyle w:val="TableParagraph"/>
              <w:spacing w:before="24"/>
              <w:ind w:left="159" w:right="160"/>
              <w:rPr>
                <w:rFonts w:eastAsiaTheme="minorEastAsia"/>
                <w:sz w:val="21"/>
                <w:szCs w:val="21"/>
              </w:rPr>
            </w:pPr>
            <w:r>
              <w:rPr>
                <w:rFonts w:eastAsiaTheme="minorEastAsia"/>
                <w:sz w:val="21"/>
                <w:szCs w:val="21"/>
              </w:rPr>
              <w:t>Sp</w:t>
            </w:r>
          </w:p>
        </w:tc>
        <w:tc>
          <w:tcPr>
            <w:tcW w:w="978" w:type="pct"/>
          </w:tcPr>
          <w:p w14:paraId="709C2886" w14:textId="77777777" w:rsidR="007D1E74" w:rsidRDefault="00A95641">
            <w:pPr>
              <w:pStyle w:val="TableParagraph"/>
              <w:spacing w:before="24"/>
              <w:ind w:right="1"/>
              <w:rPr>
                <w:rFonts w:eastAsiaTheme="minorEastAsia"/>
                <w:sz w:val="21"/>
                <w:szCs w:val="21"/>
              </w:rPr>
            </w:pPr>
            <w:r>
              <w:rPr>
                <w:rFonts w:eastAsiaTheme="minorEastAsia"/>
                <w:sz w:val="21"/>
                <w:szCs w:val="21"/>
              </w:rPr>
              <w:t>8</w:t>
            </w:r>
          </w:p>
        </w:tc>
        <w:tc>
          <w:tcPr>
            <w:tcW w:w="652" w:type="pct"/>
          </w:tcPr>
          <w:p w14:paraId="31CB9DB5" w14:textId="77777777" w:rsidR="007D1E74" w:rsidRDefault="00A95641">
            <w:pPr>
              <w:pStyle w:val="TableParagraph"/>
              <w:spacing w:before="24"/>
              <w:ind w:right="108"/>
              <w:rPr>
                <w:rFonts w:eastAsiaTheme="minorEastAsia"/>
                <w:sz w:val="21"/>
                <w:szCs w:val="21"/>
              </w:rPr>
            </w:pPr>
            <w:r>
              <w:rPr>
                <w:rFonts w:eastAsiaTheme="minorEastAsia"/>
                <w:sz w:val="21"/>
                <w:szCs w:val="21"/>
              </w:rPr>
              <w:t>3</w:t>
            </w:r>
          </w:p>
        </w:tc>
      </w:tr>
      <w:tr w:rsidR="007D1E74" w14:paraId="16A17712" w14:textId="77777777">
        <w:trPr>
          <w:trHeight w:hRule="exact" w:val="336"/>
        </w:trPr>
        <w:tc>
          <w:tcPr>
            <w:tcW w:w="440" w:type="pct"/>
          </w:tcPr>
          <w:p w14:paraId="752FE0DB" w14:textId="77777777" w:rsidR="007D1E74" w:rsidRDefault="00A95641">
            <w:pPr>
              <w:pStyle w:val="TableParagraph"/>
              <w:spacing w:before="24"/>
              <w:ind w:left="5"/>
              <w:rPr>
                <w:rFonts w:eastAsiaTheme="minorEastAsia"/>
                <w:sz w:val="21"/>
                <w:szCs w:val="21"/>
              </w:rPr>
            </w:pPr>
            <w:r>
              <w:rPr>
                <w:rFonts w:eastAsiaTheme="minorEastAsia"/>
                <w:sz w:val="21"/>
                <w:szCs w:val="21"/>
              </w:rPr>
              <w:t>7</w:t>
            </w:r>
          </w:p>
        </w:tc>
        <w:tc>
          <w:tcPr>
            <w:tcW w:w="1077" w:type="pct"/>
          </w:tcPr>
          <w:p w14:paraId="48D2222D"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臭椿</w:t>
            </w:r>
          </w:p>
        </w:tc>
        <w:tc>
          <w:tcPr>
            <w:tcW w:w="683" w:type="pct"/>
          </w:tcPr>
          <w:p w14:paraId="4075F27D"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营养期</w:t>
            </w:r>
          </w:p>
        </w:tc>
        <w:tc>
          <w:tcPr>
            <w:tcW w:w="664" w:type="pct"/>
          </w:tcPr>
          <w:p w14:paraId="07E46C99" w14:textId="77777777" w:rsidR="007D1E74" w:rsidRDefault="00A95641">
            <w:pPr>
              <w:pStyle w:val="TableParagraph"/>
              <w:spacing w:before="24"/>
              <w:rPr>
                <w:rFonts w:eastAsiaTheme="minorEastAsia"/>
                <w:sz w:val="21"/>
                <w:szCs w:val="21"/>
              </w:rPr>
            </w:pPr>
            <w:r>
              <w:rPr>
                <w:rFonts w:eastAsiaTheme="minorEastAsia"/>
                <w:sz w:val="21"/>
                <w:szCs w:val="21"/>
              </w:rPr>
              <w:t>1</w:t>
            </w:r>
          </w:p>
        </w:tc>
        <w:tc>
          <w:tcPr>
            <w:tcW w:w="506" w:type="pct"/>
          </w:tcPr>
          <w:p w14:paraId="6126CC1F" w14:textId="77777777" w:rsidR="007D1E74" w:rsidRDefault="00A95641">
            <w:pPr>
              <w:pStyle w:val="TableParagraph"/>
              <w:spacing w:before="24"/>
              <w:ind w:left="159" w:right="160"/>
              <w:rPr>
                <w:rFonts w:eastAsiaTheme="minorEastAsia"/>
                <w:sz w:val="21"/>
                <w:szCs w:val="21"/>
              </w:rPr>
            </w:pPr>
            <w:r>
              <w:rPr>
                <w:rFonts w:eastAsiaTheme="minorEastAsia"/>
                <w:sz w:val="21"/>
                <w:szCs w:val="21"/>
              </w:rPr>
              <w:t>Sp</w:t>
            </w:r>
          </w:p>
        </w:tc>
        <w:tc>
          <w:tcPr>
            <w:tcW w:w="978" w:type="pct"/>
          </w:tcPr>
          <w:p w14:paraId="2871B75A" w14:textId="77777777" w:rsidR="007D1E74" w:rsidRDefault="00A95641">
            <w:pPr>
              <w:pStyle w:val="TableParagraph"/>
              <w:spacing w:before="24"/>
              <w:ind w:left="169" w:right="170"/>
              <w:rPr>
                <w:rFonts w:eastAsiaTheme="minorEastAsia"/>
                <w:sz w:val="21"/>
                <w:szCs w:val="21"/>
              </w:rPr>
            </w:pPr>
            <w:r>
              <w:rPr>
                <w:rFonts w:eastAsiaTheme="minorEastAsia"/>
                <w:sz w:val="21"/>
                <w:szCs w:val="21"/>
              </w:rPr>
              <w:t>14</w:t>
            </w:r>
          </w:p>
        </w:tc>
        <w:tc>
          <w:tcPr>
            <w:tcW w:w="652" w:type="pct"/>
          </w:tcPr>
          <w:p w14:paraId="2D93B55D" w14:textId="77777777" w:rsidR="007D1E74" w:rsidRDefault="00A95641">
            <w:pPr>
              <w:pStyle w:val="TableParagraph"/>
              <w:spacing w:before="24"/>
              <w:ind w:right="108"/>
              <w:rPr>
                <w:rFonts w:eastAsiaTheme="minorEastAsia"/>
                <w:sz w:val="21"/>
                <w:szCs w:val="21"/>
              </w:rPr>
            </w:pPr>
            <w:r>
              <w:rPr>
                <w:rFonts w:eastAsiaTheme="minorEastAsia"/>
                <w:sz w:val="21"/>
                <w:szCs w:val="21"/>
              </w:rPr>
              <w:t>2</w:t>
            </w:r>
          </w:p>
        </w:tc>
      </w:tr>
      <w:tr w:rsidR="007D1E74" w14:paraId="14B434D7" w14:textId="77777777">
        <w:trPr>
          <w:trHeight w:hRule="exact" w:val="336"/>
        </w:trPr>
        <w:tc>
          <w:tcPr>
            <w:tcW w:w="440" w:type="pct"/>
          </w:tcPr>
          <w:p w14:paraId="4B61AF8D" w14:textId="77777777" w:rsidR="007D1E74" w:rsidRDefault="00A95641">
            <w:pPr>
              <w:pStyle w:val="TableParagraph"/>
              <w:spacing w:before="24"/>
              <w:ind w:left="5"/>
              <w:rPr>
                <w:rFonts w:eastAsiaTheme="minorEastAsia"/>
                <w:sz w:val="21"/>
                <w:szCs w:val="21"/>
              </w:rPr>
            </w:pPr>
            <w:r>
              <w:rPr>
                <w:rFonts w:eastAsiaTheme="minorEastAsia"/>
                <w:sz w:val="21"/>
                <w:szCs w:val="21"/>
              </w:rPr>
              <w:t>8</w:t>
            </w:r>
          </w:p>
        </w:tc>
        <w:tc>
          <w:tcPr>
            <w:tcW w:w="1077" w:type="pct"/>
          </w:tcPr>
          <w:p w14:paraId="7D988F08"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八角枫</w:t>
            </w:r>
          </w:p>
        </w:tc>
        <w:tc>
          <w:tcPr>
            <w:tcW w:w="683" w:type="pct"/>
          </w:tcPr>
          <w:p w14:paraId="60B42BCD"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营养期</w:t>
            </w:r>
          </w:p>
        </w:tc>
        <w:tc>
          <w:tcPr>
            <w:tcW w:w="664" w:type="pct"/>
          </w:tcPr>
          <w:p w14:paraId="7B014816" w14:textId="77777777" w:rsidR="007D1E74" w:rsidRDefault="00A95641">
            <w:pPr>
              <w:pStyle w:val="TableParagraph"/>
              <w:spacing w:before="24"/>
              <w:rPr>
                <w:rFonts w:eastAsiaTheme="minorEastAsia"/>
                <w:sz w:val="21"/>
                <w:szCs w:val="21"/>
              </w:rPr>
            </w:pPr>
            <w:r>
              <w:rPr>
                <w:rFonts w:eastAsiaTheme="minorEastAsia"/>
                <w:sz w:val="21"/>
                <w:szCs w:val="21"/>
              </w:rPr>
              <w:t>1</w:t>
            </w:r>
          </w:p>
        </w:tc>
        <w:tc>
          <w:tcPr>
            <w:tcW w:w="506" w:type="pct"/>
          </w:tcPr>
          <w:p w14:paraId="7B37746A" w14:textId="77777777" w:rsidR="007D1E74" w:rsidRDefault="00A95641">
            <w:pPr>
              <w:pStyle w:val="TableParagraph"/>
              <w:spacing w:before="24"/>
              <w:ind w:left="159" w:right="160"/>
              <w:rPr>
                <w:rFonts w:eastAsiaTheme="minorEastAsia"/>
                <w:sz w:val="21"/>
                <w:szCs w:val="21"/>
              </w:rPr>
            </w:pPr>
            <w:r>
              <w:rPr>
                <w:rFonts w:eastAsiaTheme="minorEastAsia"/>
                <w:sz w:val="21"/>
                <w:szCs w:val="21"/>
              </w:rPr>
              <w:t>Ol</w:t>
            </w:r>
          </w:p>
        </w:tc>
        <w:tc>
          <w:tcPr>
            <w:tcW w:w="978" w:type="pct"/>
          </w:tcPr>
          <w:p w14:paraId="197A139A" w14:textId="77777777" w:rsidR="007D1E74" w:rsidRDefault="00A95641">
            <w:pPr>
              <w:pStyle w:val="TableParagraph"/>
              <w:spacing w:before="24"/>
              <w:ind w:right="1"/>
              <w:rPr>
                <w:rFonts w:eastAsiaTheme="minorEastAsia"/>
                <w:sz w:val="21"/>
                <w:szCs w:val="21"/>
              </w:rPr>
            </w:pPr>
            <w:r>
              <w:rPr>
                <w:rFonts w:eastAsiaTheme="minorEastAsia"/>
                <w:sz w:val="21"/>
                <w:szCs w:val="21"/>
              </w:rPr>
              <w:t>5</w:t>
            </w:r>
          </w:p>
        </w:tc>
        <w:tc>
          <w:tcPr>
            <w:tcW w:w="652" w:type="pct"/>
          </w:tcPr>
          <w:p w14:paraId="7B4EAF9E" w14:textId="77777777" w:rsidR="007D1E74" w:rsidRDefault="00A95641">
            <w:pPr>
              <w:pStyle w:val="TableParagraph"/>
              <w:spacing w:before="24"/>
              <w:ind w:right="108"/>
              <w:rPr>
                <w:rFonts w:eastAsiaTheme="minorEastAsia"/>
                <w:sz w:val="21"/>
                <w:szCs w:val="21"/>
              </w:rPr>
            </w:pPr>
            <w:r>
              <w:rPr>
                <w:rFonts w:eastAsiaTheme="minorEastAsia"/>
                <w:sz w:val="21"/>
                <w:szCs w:val="21"/>
              </w:rPr>
              <w:t>1</w:t>
            </w:r>
          </w:p>
        </w:tc>
      </w:tr>
      <w:tr w:rsidR="007D1E74" w14:paraId="4A99C0DD" w14:textId="77777777">
        <w:trPr>
          <w:trHeight w:hRule="exact" w:val="336"/>
        </w:trPr>
        <w:tc>
          <w:tcPr>
            <w:tcW w:w="440" w:type="pct"/>
          </w:tcPr>
          <w:p w14:paraId="605BDA12" w14:textId="77777777" w:rsidR="007D1E74" w:rsidRDefault="00A95641">
            <w:pPr>
              <w:pStyle w:val="TableParagraph"/>
              <w:spacing w:before="24"/>
              <w:ind w:left="5"/>
              <w:rPr>
                <w:rFonts w:eastAsiaTheme="minorEastAsia"/>
                <w:sz w:val="21"/>
                <w:szCs w:val="21"/>
              </w:rPr>
            </w:pPr>
            <w:r>
              <w:rPr>
                <w:rFonts w:eastAsiaTheme="minorEastAsia"/>
                <w:sz w:val="21"/>
                <w:szCs w:val="21"/>
              </w:rPr>
              <w:t>9</w:t>
            </w:r>
          </w:p>
        </w:tc>
        <w:tc>
          <w:tcPr>
            <w:tcW w:w="1077" w:type="pct"/>
          </w:tcPr>
          <w:p w14:paraId="3EC9C6B2"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黄荆</w:t>
            </w:r>
          </w:p>
        </w:tc>
        <w:tc>
          <w:tcPr>
            <w:tcW w:w="683" w:type="pct"/>
          </w:tcPr>
          <w:p w14:paraId="5DD8728E"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果期</w:t>
            </w:r>
          </w:p>
        </w:tc>
        <w:tc>
          <w:tcPr>
            <w:tcW w:w="664" w:type="pct"/>
          </w:tcPr>
          <w:p w14:paraId="53AF8DE6" w14:textId="77777777" w:rsidR="007D1E74" w:rsidRDefault="00A95641">
            <w:pPr>
              <w:pStyle w:val="TableParagraph"/>
              <w:spacing w:line="302" w:lineRule="exact"/>
              <w:ind w:left="94" w:right="94"/>
              <w:rPr>
                <w:rFonts w:eastAsiaTheme="minorEastAsia"/>
                <w:sz w:val="21"/>
                <w:szCs w:val="21"/>
              </w:rPr>
            </w:pPr>
            <w:r>
              <w:rPr>
                <w:rFonts w:eastAsiaTheme="minorEastAsia"/>
                <w:sz w:val="21"/>
                <w:szCs w:val="21"/>
              </w:rPr>
              <w:t xml:space="preserve">5 </w:t>
            </w:r>
            <w:r>
              <w:rPr>
                <w:rFonts w:eastAsiaTheme="minorEastAsia"/>
                <w:sz w:val="21"/>
                <w:szCs w:val="21"/>
              </w:rPr>
              <w:t>丛</w:t>
            </w:r>
          </w:p>
        </w:tc>
        <w:tc>
          <w:tcPr>
            <w:tcW w:w="506" w:type="pct"/>
          </w:tcPr>
          <w:p w14:paraId="10E38201" w14:textId="77777777" w:rsidR="007D1E74" w:rsidRDefault="00A95641">
            <w:pPr>
              <w:pStyle w:val="TableParagraph"/>
              <w:spacing w:before="23"/>
              <w:ind w:left="160" w:right="160"/>
              <w:rPr>
                <w:rFonts w:eastAsiaTheme="minorEastAsia"/>
                <w:sz w:val="21"/>
                <w:szCs w:val="21"/>
              </w:rPr>
            </w:pPr>
            <w:r>
              <w:rPr>
                <w:rFonts w:eastAsiaTheme="minorEastAsia"/>
                <w:position w:val="2"/>
                <w:sz w:val="21"/>
                <w:szCs w:val="21"/>
              </w:rPr>
              <w:t>Cop</w:t>
            </w:r>
            <w:r>
              <w:rPr>
                <w:rFonts w:eastAsiaTheme="minorEastAsia"/>
                <w:sz w:val="21"/>
                <w:szCs w:val="21"/>
              </w:rPr>
              <w:t>1</w:t>
            </w:r>
          </w:p>
        </w:tc>
        <w:tc>
          <w:tcPr>
            <w:tcW w:w="978" w:type="pct"/>
          </w:tcPr>
          <w:p w14:paraId="02FF24DA" w14:textId="77777777" w:rsidR="007D1E74" w:rsidRDefault="00A95641">
            <w:pPr>
              <w:pStyle w:val="TableParagraph"/>
              <w:spacing w:before="24"/>
              <w:ind w:left="170" w:right="170"/>
              <w:rPr>
                <w:rFonts w:eastAsiaTheme="minorEastAsia"/>
                <w:sz w:val="21"/>
                <w:szCs w:val="21"/>
              </w:rPr>
            </w:pPr>
            <w:r>
              <w:rPr>
                <w:rFonts w:eastAsiaTheme="minorEastAsia"/>
                <w:sz w:val="21"/>
                <w:szCs w:val="21"/>
              </w:rPr>
              <w:t>1.8</w:t>
            </w:r>
          </w:p>
        </w:tc>
        <w:tc>
          <w:tcPr>
            <w:tcW w:w="652" w:type="pct"/>
          </w:tcPr>
          <w:p w14:paraId="1135736C" w14:textId="77777777" w:rsidR="007D1E74" w:rsidRDefault="00A95641">
            <w:pPr>
              <w:pStyle w:val="TableParagraph"/>
              <w:spacing w:before="24"/>
              <w:ind w:left="116" w:right="224"/>
              <w:rPr>
                <w:rFonts w:eastAsiaTheme="minorEastAsia"/>
                <w:sz w:val="21"/>
                <w:szCs w:val="21"/>
              </w:rPr>
            </w:pPr>
            <w:r>
              <w:rPr>
                <w:rFonts w:eastAsiaTheme="minorEastAsia"/>
                <w:sz w:val="21"/>
                <w:szCs w:val="21"/>
              </w:rPr>
              <w:t>10</w:t>
            </w:r>
          </w:p>
        </w:tc>
      </w:tr>
      <w:tr w:rsidR="007D1E74" w14:paraId="67A688E6" w14:textId="77777777">
        <w:trPr>
          <w:trHeight w:hRule="exact" w:val="336"/>
        </w:trPr>
        <w:tc>
          <w:tcPr>
            <w:tcW w:w="440" w:type="pct"/>
          </w:tcPr>
          <w:p w14:paraId="0788CBD6" w14:textId="77777777" w:rsidR="007D1E74" w:rsidRDefault="00A95641">
            <w:pPr>
              <w:pStyle w:val="TableParagraph"/>
              <w:spacing w:before="24"/>
              <w:ind w:left="109" w:right="104"/>
              <w:rPr>
                <w:rFonts w:eastAsiaTheme="minorEastAsia"/>
                <w:sz w:val="21"/>
                <w:szCs w:val="21"/>
              </w:rPr>
            </w:pPr>
            <w:r>
              <w:rPr>
                <w:rFonts w:eastAsiaTheme="minorEastAsia"/>
                <w:sz w:val="21"/>
                <w:szCs w:val="21"/>
              </w:rPr>
              <w:t>10</w:t>
            </w:r>
          </w:p>
        </w:tc>
        <w:tc>
          <w:tcPr>
            <w:tcW w:w="1077" w:type="pct"/>
          </w:tcPr>
          <w:p w14:paraId="26007349"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火棘</w:t>
            </w:r>
          </w:p>
        </w:tc>
        <w:tc>
          <w:tcPr>
            <w:tcW w:w="683" w:type="pct"/>
          </w:tcPr>
          <w:p w14:paraId="7A53873D"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果期</w:t>
            </w:r>
          </w:p>
        </w:tc>
        <w:tc>
          <w:tcPr>
            <w:tcW w:w="664" w:type="pct"/>
          </w:tcPr>
          <w:p w14:paraId="7178398D" w14:textId="77777777" w:rsidR="007D1E74" w:rsidRDefault="00A95641">
            <w:pPr>
              <w:pStyle w:val="TableParagraph"/>
              <w:spacing w:before="24"/>
              <w:ind w:left="94" w:right="94"/>
              <w:rPr>
                <w:rFonts w:eastAsiaTheme="minorEastAsia"/>
                <w:sz w:val="21"/>
                <w:szCs w:val="21"/>
              </w:rPr>
            </w:pPr>
            <w:r>
              <w:rPr>
                <w:rFonts w:eastAsiaTheme="minorEastAsia"/>
                <w:sz w:val="21"/>
                <w:szCs w:val="21"/>
              </w:rPr>
              <w:t>20</w:t>
            </w:r>
          </w:p>
        </w:tc>
        <w:tc>
          <w:tcPr>
            <w:tcW w:w="506" w:type="pct"/>
          </w:tcPr>
          <w:p w14:paraId="2C44C2F2" w14:textId="77777777" w:rsidR="007D1E74" w:rsidRDefault="00A95641">
            <w:pPr>
              <w:pStyle w:val="TableParagraph"/>
              <w:spacing w:before="23"/>
              <w:ind w:left="160" w:right="160"/>
              <w:rPr>
                <w:rFonts w:eastAsiaTheme="minorEastAsia"/>
                <w:sz w:val="21"/>
                <w:szCs w:val="21"/>
              </w:rPr>
            </w:pPr>
            <w:r>
              <w:rPr>
                <w:rFonts w:eastAsiaTheme="minorEastAsia"/>
                <w:position w:val="2"/>
                <w:sz w:val="21"/>
                <w:szCs w:val="21"/>
              </w:rPr>
              <w:t>Cop</w:t>
            </w:r>
            <w:r>
              <w:rPr>
                <w:rFonts w:eastAsiaTheme="minorEastAsia"/>
                <w:sz w:val="21"/>
                <w:szCs w:val="21"/>
              </w:rPr>
              <w:t>1</w:t>
            </w:r>
          </w:p>
        </w:tc>
        <w:tc>
          <w:tcPr>
            <w:tcW w:w="978" w:type="pct"/>
          </w:tcPr>
          <w:p w14:paraId="64F786F8" w14:textId="77777777" w:rsidR="007D1E74" w:rsidRDefault="00A95641">
            <w:pPr>
              <w:pStyle w:val="TableParagraph"/>
              <w:spacing w:before="24"/>
              <w:ind w:right="1"/>
              <w:rPr>
                <w:rFonts w:eastAsiaTheme="minorEastAsia"/>
                <w:sz w:val="21"/>
                <w:szCs w:val="21"/>
              </w:rPr>
            </w:pPr>
            <w:r>
              <w:rPr>
                <w:rFonts w:eastAsiaTheme="minorEastAsia"/>
                <w:sz w:val="21"/>
                <w:szCs w:val="21"/>
              </w:rPr>
              <w:t>2</w:t>
            </w:r>
          </w:p>
        </w:tc>
        <w:tc>
          <w:tcPr>
            <w:tcW w:w="652" w:type="pct"/>
          </w:tcPr>
          <w:p w14:paraId="0701B5C2" w14:textId="77777777" w:rsidR="007D1E74" w:rsidRDefault="00A95641">
            <w:pPr>
              <w:pStyle w:val="TableParagraph"/>
              <w:spacing w:before="24"/>
              <w:ind w:left="116" w:right="224"/>
              <w:rPr>
                <w:rFonts w:eastAsiaTheme="minorEastAsia"/>
                <w:sz w:val="21"/>
                <w:szCs w:val="21"/>
              </w:rPr>
            </w:pPr>
            <w:r>
              <w:rPr>
                <w:rFonts w:eastAsiaTheme="minorEastAsia"/>
                <w:sz w:val="21"/>
                <w:szCs w:val="21"/>
              </w:rPr>
              <w:t>10</w:t>
            </w:r>
          </w:p>
        </w:tc>
      </w:tr>
      <w:tr w:rsidR="007D1E74" w14:paraId="5EE5BDEE" w14:textId="77777777">
        <w:trPr>
          <w:trHeight w:hRule="exact" w:val="336"/>
        </w:trPr>
        <w:tc>
          <w:tcPr>
            <w:tcW w:w="440" w:type="pct"/>
          </w:tcPr>
          <w:p w14:paraId="7ADECCF2" w14:textId="77777777" w:rsidR="007D1E74" w:rsidRDefault="00A95641">
            <w:pPr>
              <w:pStyle w:val="TableParagraph"/>
              <w:spacing w:before="24"/>
              <w:ind w:left="109" w:right="104"/>
              <w:rPr>
                <w:rFonts w:eastAsiaTheme="minorEastAsia"/>
                <w:sz w:val="21"/>
                <w:szCs w:val="21"/>
              </w:rPr>
            </w:pPr>
            <w:r>
              <w:rPr>
                <w:rFonts w:eastAsiaTheme="minorEastAsia"/>
                <w:sz w:val="21"/>
                <w:szCs w:val="21"/>
              </w:rPr>
              <w:t>11</w:t>
            </w:r>
          </w:p>
        </w:tc>
        <w:tc>
          <w:tcPr>
            <w:tcW w:w="1077" w:type="pct"/>
          </w:tcPr>
          <w:p w14:paraId="5069679C"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高粱泡</w:t>
            </w:r>
          </w:p>
        </w:tc>
        <w:tc>
          <w:tcPr>
            <w:tcW w:w="683" w:type="pct"/>
          </w:tcPr>
          <w:p w14:paraId="76B8A3B6"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果期</w:t>
            </w:r>
          </w:p>
        </w:tc>
        <w:tc>
          <w:tcPr>
            <w:tcW w:w="664" w:type="pct"/>
          </w:tcPr>
          <w:p w14:paraId="246D675E" w14:textId="77777777" w:rsidR="007D1E74" w:rsidRDefault="00A95641">
            <w:pPr>
              <w:pStyle w:val="TableParagraph"/>
              <w:spacing w:line="302" w:lineRule="exact"/>
              <w:ind w:left="94" w:right="94"/>
              <w:rPr>
                <w:rFonts w:eastAsiaTheme="minorEastAsia"/>
                <w:sz w:val="21"/>
                <w:szCs w:val="21"/>
              </w:rPr>
            </w:pPr>
            <w:r>
              <w:rPr>
                <w:rFonts w:eastAsiaTheme="minorEastAsia"/>
                <w:sz w:val="21"/>
                <w:szCs w:val="21"/>
              </w:rPr>
              <w:t xml:space="preserve">3 </w:t>
            </w:r>
            <w:r>
              <w:rPr>
                <w:rFonts w:eastAsiaTheme="minorEastAsia"/>
                <w:sz w:val="21"/>
                <w:szCs w:val="21"/>
              </w:rPr>
              <w:t>丛</w:t>
            </w:r>
          </w:p>
        </w:tc>
        <w:tc>
          <w:tcPr>
            <w:tcW w:w="506" w:type="pct"/>
          </w:tcPr>
          <w:p w14:paraId="14234A82" w14:textId="77777777" w:rsidR="007D1E74" w:rsidRDefault="00A95641">
            <w:pPr>
              <w:pStyle w:val="TableParagraph"/>
              <w:spacing w:before="24"/>
              <w:ind w:left="159" w:right="160"/>
              <w:rPr>
                <w:rFonts w:eastAsiaTheme="minorEastAsia"/>
                <w:sz w:val="21"/>
                <w:szCs w:val="21"/>
              </w:rPr>
            </w:pPr>
            <w:r>
              <w:rPr>
                <w:rFonts w:eastAsiaTheme="minorEastAsia"/>
                <w:sz w:val="21"/>
                <w:szCs w:val="21"/>
              </w:rPr>
              <w:t>Sp</w:t>
            </w:r>
          </w:p>
        </w:tc>
        <w:tc>
          <w:tcPr>
            <w:tcW w:w="978" w:type="pct"/>
          </w:tcPr>
          <w:p w14:paraId="28EE0A09" w14:textId="77777777" w:rsidR="007D1E74" w:rsidRDefault="00A95641">
            <w:pPr>
              <w:pStyle w:val="TableParagraph"/>
              <w:spacing w:before="24"/>
              <w:ind w:left="170" w:right="170"/>
              <w:rPr>
                <w:rFonts w:eastAsiaTheme="minorEastAsia"/>
                <w:sz w:val="21"/>
                <w:szCs w:val="21"/>
              </w:rPr>
            </w:pPr>
            <w:r>
              <w:rPr>
                <w:rFonts w:eastAsiaTheme="minorEastAsia"/>
                <w:sz w:val="21"/>
                <w:szCs w:val="21"/>
              </w:rPr>
              <w:t>1.4</w:t>
            </w:r>
          </w:p>
        </w:tc>
        <w:tc>
          <w:tcPr>
            <w:tcW w:w="652" w:type="pct"/>
          </w:tcPr>
          <w:p w14:paraId="4F03C692" w14:textId="77777777" w:rsidR="007D1E74" w:rsidRDefault="00A95641">
            <w:pPr>
              <w:pStyle w:val="TableParagraph"/>
              <w:spacing w:before="24"/>
              <w:ind w:right="108"/>
              <w:rPr>
                <w:rFonts w:eastAsiaTheme="minorEastAsia"/>
                <w:sz w:val="21"/>
                <w:szCs w:val="21"/>
              </w:rPr>
            </w:pPr>
            <w:r>
              <w:rPr>
                <w:rFonts w:eastAsiaTheme="minorEastAsia"/>
                <w:sz w:val="21"/>
                <w:szCs w:val="21"/>
              </w:rPr>
              <w:t>5</w:t>
            </w:r>
          </w:p>
        </w:tc>
      </w:tr>
      <w:tr w:rsidR="007D1E74" w14:paraId="046F7903" w14:textId="77777777">
        <w:trPr>
          <w:trHeight w:hRule="exact" w:val="336"/>
        </w:trPr>
        <w:tc>
          <w:tcPr>
            <w:tcW w:w="440" w:type="pct"/>
          </w:tcPr>
          <w:p w14:paraId="2EB44D12" w14:textId="77777777" w:rsidR="007D1E74" w:rsidRDefault="00A95641">
            <w:pPr>
              <w:pStyle w:val="TableParagraph"/>
              <w:spacing w:before="24"/>
              <w:ind w:left="109" w:right="104"/>
              <w:rPr>
                <w:rFonts w:eastAsiaTheme="minorEastAsia"/>
                <w:sz w:val="21"/>
                <w:szCs w:val="21"/>
              </w:rPr>
            </w:pPr>
            <w:r>
              <w:rPr>
                <w:rFonts w:eastAsiaTheme="minorEastAsia"/>
                <w:sz w:val="21"/>
                <w:szCs w:val="21"/>
              </w:rPr>
              <w:t>12</w:t>
            </w:r>
          </w:p>
        </w:tc>
        <w:tc>
          <w:tcPr>
            <w:tcW w:w="1077" w:type="pct"/>
          </w:tcPr>
          <w:p w14:paraId="55FD7DCF"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铁仔</w:t>
            </w:r>
          </w:p>
        </w:tc>
        <w:tc>
          <w:tcPr>
            <w:tcW w:w="683" w:type="pct"/>
          </w:tcPr>
          <w:p w14:paraId="78D058F8"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果期</w:t>
            </w:r>
          </w:p>
        </w:tc>
        <w:tc>
          <w:tcPr>
            <w:tcW w:w="664" w:type="pct"/>
          </w:tcPr>
          <w:p w14:paraId="6BF21C13" w14:textId="77777777" w:rsidR="007D1E74" w:rsidRDefault="00A95641">
            <w:pPr>
              <w:pStyle w:val="TableParagraph"/>
              <w:spacing w:before="24"/>
              <w:ind w:left="94" w:right="94"/>
              <w:rPr>
                <w:rFonts w:eastAsiaTheme="minorEastAsia"/>
                <w:sz w:val="21"/>
                <w:szCs w:val="21"/>
              </w:rPr>
            </w:pPr>
            <w:r>
              <w:rPr>
                <w:rFonts w:eastAsiaTheme="minorEastAsia"/>
                <w:sz w:val="21"/>
                <w:szCs w:val="21"/>
              </w:rPr>
              <w:t>15</w:t>
            </w:r>
          </w:p>
        </w:tc>
        <w:tc>
          <w:tcPr>
            <w:tcW w:w="506" w:type="pct"/>
          </w:tcPr>
          <w:p w14:paraId="422BFA04" w14:textId="77777777" w:rsidR="007D1E74" w:rsidRDefault="00A95641">
            <w:pPr>
              <w:pStyle w:val="TableParagraph"/>
              <w:spacing w:before="24"/>
              <w:ind w:left="159" w:right="160"/>
              <w:rPr>
                <w:rFonts w:eastAsiaTheme="minorEastAsia"/>
                <w:sz w:val="21"/>
                <w:szCs w:val="21"/>
              </w:rPr>
            </w:pPr>
            <w:r>
              <w:rPr>
                <w:rFonts w:eastAsiaTheme="minorEastAsia"/>
                <w:sz w:val="21"/>
                <w:szCs w:val="21"/>
              </w:rPr>
              <w:t>Sp</w:t>
            </w:r>
          </w:p>
        </w:tc>
        <w:tc>
          <w:tcPr>
            <w:tcW w:w="978" w:type="pct"/>
          </w:tcPr>
          <w:p w14:paraId="2C2341B2" w14:textId="77777777" w:rsidR="007D1E74" w:rsidRDefault="00A95641">
            <w:pPr>
              <w:pStyle w:val="TableParagraph"/>
              <w:spacing w:before="24"/>
              <w:ind w:left="170" w:right="170"/>
              <w:rPr>
                <w:rFonts w:eastAsiaTheme="minorEastAsia"/>
                <w:sz w:val="21"/>
                <w:szCs w:val="21"/>
              </w:rPr>
            </w:pPr>
            <w:r>
              <w:rPr>
                <w:rFonts w:eastAsiaTheme="minorEastAsia"/>
                <w:sz w:val="21"/>
                <w:szCs w:val="21"/>
              </w:rPr>
              <w:t>1.1</w:t>
            </w:r>
          </w:p>
        </w:tc>
        <w:tc>
          <w:tcPr>
            <w:tcW w:w="652" w:type="pct"/>
          </w:tcPr>
          <w:p w14:paraId="5F9C2620" w14:textId="77777777" w:rsidR="007D1E74" w:rsidRDefault="00A95641">
            <w:pPr>
              <w:pStyle w:val="TableParagraph"/>
              <w:spacing w:before="24"/>
              <w:ind w:right="108"/>
              <w:rPr>
                <w:rFonts w:eastAsiaTheme="minorEastAsia"/>
                <w:sz w:val="21"/>
                <w:szCs w:val="21"/>
              </w:rPr>
            </w:pPr>
            <w:r>
              <w:rPr>
                <w:rFonts w:eastAsiaTheme="minorEastAsia"/>
                <w:sz w:val="21"/>
                <w:szCs w:val="21"/>
              </w:rPr>
              <w:t>5</w:t>
            </w:r>
          </w:p>
        </w:tc>
      </w:tr>
      <w:tr w:rsidR="007D1E74" w14:paraId="670CC5E9" w14:textId="77777777">
        <w:trPr>
          <w:trHeight w:hRule="exact" w:val="336"/>
        </w:trPr>
        <w:tc>
          <w:tcPr>
            <w:tcW w:w="440" w:type="pct"/>
          </w:tcPr>
          <w:p w14:paraId="43822455" w14:textId="77777777" w:rsidR="007D1E74" w:rsidRDefault="00A95641">
            <w:pPr>
              <w:pStyle w:val="TableParagraph"/>
              <w:spacing w:before="24"/>
              <w:ind w:left="109" w:right="104"/>
              <w:rPr>
                <w:rFonts w:eastAsiaTheme="minorEastAsia"/>
                <w:sz w:val="21"/>
                <w:szCs w:val="21"/>
              </w:rPr>
            </w:pPr>
            <w:r>
              <w:rPr>
                <w:rFonts w:eastAsiaTheme="minorEastAsia"/>
                <w:sz w:val="21"/>
                <w:szCs w:val="21"/>
              </w:rPr>
              <w:t>13</w:t>
            </w:r>
          </w:p>
        </w:tc>
        <w:tc>
          <w:tcPr>
            <w:tcW w:w="1077" w:type="pct"/>
          </w:tcPr>
          <w:p w14:paraId="72B8AC37"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野青茅</w:t>
            </w:r>
          </w:p>
        </w:tc>
        <w:tc>
          <w:tcPr>
            <w:tcW w:w="683" w:type="pct"/>
          </w:tcPr>
          <w:p w14:paraId="31B3A3EE"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营养期</w:t>
            </w:r>
          </w:p>
        </w:tc>
        <w:tc>
          <w:tcPr>
            <w:tcW w:w="664" w:type="pct"/>
          </w:tcPr>
          <w:p w14:paraId="53A4B54E" w14:textId="77777777" w:rsidR="007D1E74" w:rsidRDefault="00A95641">
            <w:pPr>
              <w:pStyle w:val="TableParagraph"/>
              <w:spacing w:line="302" w:lineRule="exact"/>
              <w:ind w:left="94" w:right="94"/>
              <w:rPr>
                <w:rFonts w:eastAsiaTheme="minorEastAsia"/>
                <w:sz w:val="21"/>
                <w:szCs w:val="21"/>
              </w:rPr>
            </w:pPr>
            <w:r>
              <w:rPr>
                <w:rFonts w:eastAsiaTheme="minorEastAsia"/>
                <w:sz w:val="21"/>
                <w:szCs w:val="21"/>
              </w:rPr>
              <w:t xml:space="preserve">6 </w:t>
            </w:r>
            <w:r>
              <w:rPr>
                <w:rFonts w:eastAsiaTheme="minorEastAsia"/>
                <w:sz w:val="21"/>
                <w:szCs w:val="21"/>
              </w:rPr>
              <w:t>丛</w:t>
            </w:r>
          </w:p>
        </w:tc>
        <w:tc>
          <w:tcPr>
            <w:tcW w:w="506" w:type="pct"/>
          </w:tcPr>
          <w:p w14:paraId="70CC54FD" w14:textId="77777777" w:rsidR="007D1E74" w:rsidRDefault="00A95641">
            <w:pPr>
              <w:pStyle w:val="TableParagraph"/>
              <w:spacing w:before="23"/>
              <w:ind w:left="160" w:right="160"/>
              <w:rPr>
                <w:rFonts w:eastAsiaTheme="minorEastAsia"/>
                <w:sz w:val="21"/>
                <w:szCs w:val="21"/>
              </w:rPr>
            </w:pPr>
            <w:r>
              <w:rPr>
                <w:rFonts w:eastAsiaTheme="minorEastAsia"/>
                <w:position w:val="2"/>
                <w:sz w:val="21"/>
                <w:szCs w:val="21"/>
              </w:rPr>
              <w:t>Cop</w:t>
            </w:r>
            <w:r>
              <w:rPr>
                <w:rFonts w:eastAsiaTheme="minorEastAsia"/>
                <w:sz w:val="21"/>
                <w:szCs w:val="21"/>
              </w:rPr>
              <w:t>1</w:t>
            </w:r>
          </w:p>
        </w:tc>
        <w:tc>
          <w:tcPr>
            <w:tcW w:w="978" w:type="pct"/>
          </w:tcPr>
          <w:p w14:paraId="69E55E13" w14:textId="77777777" w:rsidR="007D1E74" w:rsidRDefault="00A95641">
            <w:pPr>
              <w:pStyle w:val="TableParagraph"/>
              <w:spacing w:before="24"/>
              <w:ind w:left="170" w:right="170"/>
              <w:rPr>
                <w:rFonts w:eastAsiaTheme="minorEastAsia"/>
                <w:sz w:val="21"/>
                <w:szCs w:val="21"/>
              </w:rPr>
            </w:pPr>
            <w:r>
              <w:rPr>
                <w:rFonts w:eastAsiaTheme="minorEastAsia"/>
                <w:sz w:val="21"/>
                <w:szCs w:val="21"/>
              </w:rPr>
              <w:t>0.55</w:t>
            </w:r>
          </w:p>
        </w:tc>
        <w:tc>
          <w:tcPr>
            <w:tcW w:w="652" w:type="pct"/>
          </w:tcPr>
          <w:p w14:paraId="1F56FBF6" w14:textId="77777777" w:rsidR="007D1E74" w:rsidRDefault="00A95641">
            <w:pPr>
              <w:pStyle w:val="TableParagraph"/>
              <w:spacing w:before="24"/>
              <w:ind w:left="116" w:right="224"/>
              <w:rPr>
                <w:rFonts w:eastAsiaTheme="minorEastAsia"/>
                <w:sz w:val="21"/>
                <w:szCs w:val="21"/>
              </w:rPr>
            </w:pPr>
            <w:r>
              <w:rPr>
                <w:rFonts w:eastAsiaTheme="minorEastAsia"/>
                <w:sz w:val="21"/>
                <w:szCs w:val="21"/>
              </w:rPr>
              <w:t>12</w:t>
            </w:r>
          </w:p>
        </w:tc>
      </w:tr>
      <w:tr w:rsidR="007D1E74" w14:paraId="1F36E6B5" w14:textId="77777777">
        <w:trPr>
          <w:trHeight w:hRule="exact" w:val="336"/>
        </w:trPr>
        <w:tc>
          <w:tcPr>
            <w:tcW w:w="440" w:type="pct"/>
          </w:tcPr>
          <w:p w14:paraId="701168AA" w14:textId="77777777" w:rsidR="007D1E74" w:rsidRDefault="00A95641">
            <w:pPr>
              <w:pStyle w:val="TableParagraph"/>
              <w:spacing w:before="24"/>
              <w:ind w:left="109" w:right="104"/>
              <w:rPr>
                <w:rFonts w:eastAsiaTheme="minorEastAsia"/>
                <w:sz w:val="21"/>
                <w:szCs w:val="21"/>
              </w:rPr>
            </w:pPr>
            <w:r>
              <w:rPr>
                <w:rFonts w:eastAsiaTheme="minorEastAsia"/>
                <w:sz w:val="21"/>
                <w:szCs w:val="21"/>
              </w:rPr>
              <w:t>14</w:t>
            </w:r>
          </w:p>
        </w:tc>
        <w:tc>
          <w:tcPr>
            <w:tcW w:w="1077" w:type="pct"/>
          </w:tcPr>
          <w:p w14:paraId="66E9269C"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丛毛羊胡子草</w:t>
            </w:r>
          </w:p>
        </w:tc>
        <w:tc>
          <w:tcPr>
            <w:tcW w:w="683" w:type="pct"/>
          </w:tcPr>
          <w:p w14:paraId="197B1B65"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营养期</w:t>
            </w:r>
          </w:p>
        </w:tc>
        <w:tc>
          <w:tcPr>
            <w:tcW w:w="664" w:type="pct"/>
          </w:tcPr>
          <w:p w14:paraId="22D6BAAC" w14:textId="77777777" w:rsidR="007D1E74" w:rsidRDefault="00A95641">
            <w:pPr>
              <w:pStyle w:val="TableParagraph"/>
              <w:spacing w:before="24"/>
              <w:ind w:left="94" w:right="94"/>
              <w:rPr>
                <w:rFonts w:eastAsiaTheme="minorEastAsia"/>
                <w:sz w:val="21"/>
                <w:szCs w:val="21"/>
              </w:rPr>
            </w:pPr>
            <w:r>
              <w:rPr>
                <w:rFonts w:eastAsiaTheme="minorEastAsia"/>
                <w:sz w:val="21"/>
                <w:szCs w:val="21"/>
              </w:rPr>
              <w:t>15</w:t>
            </w:r>
          </w:p>
        </w:tc>
        <w:tc>
          <w:tcPr>
            <w:tcW w:w="506" w:type="pct"/>
          </w:tcPr>
          <w:p w14:paraId="22C42F2E" w14:textId="77777777" w:rsidR="007D1E74" w:rsidRDefault="00A95641">
            <w:pPr>
              <w:pStyle w:val="TableParagraph"/>
              <w:spacing w:before="24"/>
              <w:ind w:left="159" w:right="160"/>
              <w:rPr>
                <w:rFonts w:eastAsiaTheme="minorEastAsia"/>
                <w:sz w:val="21"/>
                <w:szCs w:val="21"/>
              </w:rPr>
            </w:pPr>
            <w:r>
              <w:rPr>
                <w:rFonts w:eastAsiaTheme="minorEastAsia"/>
                <w:sz w:val="21"/>
                <w:szCs w:val="21"/>
              </w:rPr>
              <w:t>Sp</w:t>
            </w:r>
          </w:p>
        </w:tc>
        <w:tc>
          <w:tcPr>
            <w:tcW w:w="978" w:type="pct"/>
          </w:tcPr>
          <w:p w14:paraId="5B52B141" w14:textId="77777777" w:rsidR="007D1E74" w:rsidRDefault="00A95641">
            <w:pPr>
              <w:pStyle w:val="TableParagraph"/>
              <w:spacing w:before="24"/>
              <w:ind w:left="170" w:right="170"/>
              <w:rPr>
                <w:rFonts w:eastAsiaTheme="minorEastAsia"/>
                <w:sz w:val="21"/>
                <w:szCs w:val="21"/>
              </w:rPr>
            </w:pPr>
            <w:r>
              <w:rPr>
                <w:rFonts w:eastAsiaTheme="minorEastAsia"/>
                <w:sz w:val="21"/>
                <w:szCs w:val="21"/>
              </w:rPr>
              <w:t>0.5</w:t>
            </w:r>
          </w:p>
        </w:tc>
        <w:tc>
          <w:tcPr>
            <w:tcW w:w="652" w:type="pct"/>
          </w:tcPr>
          <w:p w14:paraId="0E66F7A3" w14:textId="77777777" w:rsidR="007D1E74" w:rsidRDefault="00A95641">
            <w:pPr>
              <w:pStyle w:val="TableParagraph"/>
              <w:spacing w:before="24"/>
              <w:ind w:right="108"/>
              <w:rPr>
                <w:rFonts w:eastAsiaTheme="minorEastAsia"/>
                <w:sz w:val="21"/>
                <w:szCs w:val="21"/>
              </w:rPr>
            </w:pPr>
            <w:r>
              <w:rPr>
                <w:rFonts w:eastAsiaTheme="minorEastAsia"/>
                <w:sz w:val="21"/>
                <w:szCs w:val="21"/>
              </w:rPr>
              <w:t>6</w:t>
            </w:r>
          </w:p>
        </w:tc>
      </w:tr>
      <w:tr w:rsidR="007D1E74" w14:paraId="25C93B06" w14:textId="77777777">
        <w:trPr>
          <w:trHeight w:hRule="exact" w:val="336"/>
        </w:trPr>
        <w:tc>
          <w:tcPr>
            <w:tcW w:w="440" w:type="pct"/>
          </w:tcPr>
          <w:p w14:paraId="183D73F7" w14:textId="77777777" w:rsidR="007D1E74" w:rsidRDefault="00A95641">
            <w:pPr>
              <w:pStyle w:val="TableParagraph"/>
              <w:spacing w:before="24"/>
              <w:ind w:left="109" w:right="104"/>
              <w:rPr>
                <w:rFonts w:eastAsiaTheme="minorEastAsia"/>
                <w:sz w:val="21"/>
                <w:szCs w:val="21"/>
              </w:rPr>
            </w:pPr>
            <w:r>
              <w:rPr>
                <w:rFonts w:eastAsiaTheme="minorEastAsia"/>
                <w:sz w:val="21"/>
                <w:szCs w:val="21"/>
              </w:rPr>
              <w:t>15</w:t>
            </w:r>
          </w:p>
        </w:tc>
        <w:tc>
          <w:tcPr>
            <w:tcW w:w="1077" w:type="pct"/>
          </w:tcPr>
          <w:p w14:paraId="089685C7"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褐果苔草等</w:t>
            </w:r>
          </w:p>
        </w:tc>
        <w:tc>
          <w:tcPr>
            <w:tcW w:w="683" w:type="pct"/>
          </w:tcPr>
          <w:p w14:paraId="1196DBDE"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营养期</w:t>
            </w:r>
          </w:p>
        </w:tc>
        <w:tc>
          <w:tcPr>
            <w:tcW w:w="664" w:type="pct"/>
          </w:tcPr>
          <w:p w14:paraId="637D8C71" w14:textId="77777777" w:rsidR="007D1E74" w:rsidRDefault="00A95641">
            <w:pPr>
              <w:pStyle w:val="TableParagraph"/>
              <w:spacing w:before="24"/>
              <w:ind w:left="94" w:right="94"/>
              <w:rPr>
                <w:rFonts w:eastAsiaTheme="minorEastAsia"/>
                <w:sz w:val="21"/>
                <w:szCs w:val="21"/>
              </w:rPr>
            </w:pPr>
            <w:r>
              <w:rPr>
                <w:rFonts w:eastAsiaTheme="minorEastAsia"/>
                <w:sz w:val="21"/>
                <w:szCs w:val="21"/>
              </w:rPr>
              <w:t>15</w:t>
            </w:r>
          </w:p>
        </w:tc>
        <w:tc>
          <w:tcPr>
            <w:tcW w:w="506" w:type="pct"/>
          </w:tcPr>
          <w:p w14:paraId="6281BF1D" w14:textId="77777777" w:rsidR="007D1E74" w:rsidRDefault="00A95641">
            <w:pPr>
              <w:pStyle w:val="TableParagraph"/>
              <w:spacing w:before="24"/>
              <w:ind w:left="159" w:right="160"/>
              <w:rPr>
                <w:rFonts w:eastAsiaTheme="minorEastAsia"/>
                <w:sz w:val="21"/>
                <w:szCs w:val="21"/>
              </w:rPr>
            </w:pPr>
            <w:r>
              <w:rPr>
                <w:rFonts w:eastAsiaTheme="minorEastAsia"/>
                <w:sz w:val="21"/>
                <w:szCs w:val="21"/>
              </w:rPr>
              <w:t>Sp</w:t>
            </w:r>
          </w:p>
        </w:tc>
        <w:tc>
          <w:tcPr>
            <w:tcW w:w="978" w:type="pct"/>
          </w:tcPr>
          <w:p w14:paraId="268DA33D" w14:textId="77777777" w:rsidR="007D1E74" w:rsidRDefault="00A95641">
            <w:pPr>
              <w:pStyle w:val="TableParagraph"/>
              <w:spacing w:before="24"/>
              <w:ind w:left="170" w:right="170"/>
              <w:rPr>
                <w:rFonts w:eastAsiaTheme="minorEastAsia"/>
                <w:sz w:val="21"/>
                <w:szCs w:val="21"/>
              </w:rPr>
            </w:pPr>
            <w:r>
              <w:rPr>
                <w:rFonts w:eastAsiaTheme="minorEastAsia"/>
                <w:sz w:val="21"/>
                <w:szCs w:val="21"/>
              </w:rPr>
              <w:t>0.4</w:t>
            </w:r>
          </w:p>
        </w:tc>
        <w:tc>
          <w:tcPr>
            <w:tcW w:w="652" w:type="pct"/>
          </w:tcPr>
          <w:p w14:paraId="22BC1DA0" w14:textId="77777777" w:rsidR="007D1E74" w:rsidRDefault="00A95641">
            <w:pPr>
              <w:pStyle w:val="TableParagraph"/>
              <w:spacing w:before="24"/>
              <w:ind w:right="108"/>
              <w:rPr>
                <w:rFonts w:eastAsiaTheme="minorEastAsia"/>
                <w:sz w:val="21"/>
                <w:szCs w:val="21"/>
              </w:rPr>
            </w:pPr>
            <w:r>
              <w:rPr>
                <w:rFonts w:eastAsiaTheme="minorEastAsia"/>
                <w:sz w:val="21"/>
                <w:szCs w:val="21"/>
              </w:rPr>
              <w:t>5</w:t>
            </w:r>
          </w:p>
        </w:tc>
      </w:tr>
      <w:tr w:rsidR="007D1E74" w14:paraId="369B185A" w14:textId="77777777">
        <w:trPr>
          <w:trHeight w:hRule="exact" w:val="336"/>
        </w:trPr>
        <w:tc>
          <w:tcPr>
            <w:tcW w:w="440" w:type="pct"/>
          </w:tcPr>
          <w:p w14:paraId="33EA1BFD" w14:textId="77777777" w:rsidR="007D1E74" w:rsidRDefault="00A95641">
            <w:pPr>
              <w:pStyle w:val="TableParagraph"/>
              <w:spacing w:before="24"/>
              <w:ind w:left="109" w:right="104"/>
              <w:rPr>
                <w:rFonts w:eastAsiaTheme="minorEastAsia"/>
                <w:sz w:val="21"/>
                <w:szCs w:val="21"/>
              </w:rPr>
            </w:pPr>
            <w:r>
              <w:rPr>
                <w:rFonts w:eastAsiaTheme="minorEastAsia"/>
                <w:sz w:val="21"/>
                <w:szCs w:val="21"/>
              </w:rPr>
              <w:t>16</w:t>
            </w:r>
          </w:p>
        </w:tc>
        <w:tc>
          <w:tcPr>
            <w:tcW w:w="1077" w:type="pct"/>
          </w:tcPr>
          <w:p w14:paraId="37408556"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棕叶狗尾草</w:t>
            </w:r>
          </w:p>
        </w:tc>
        <w:tc>
          <w:tcPr>
            <w:tcW w:w="683" w:type="pct"/>
          </w:tcPr>
          <w:p w14:paraId="41481892"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营养期</w:t>
            </w:r>
          </w:p>
        </w:tc>
        <w:tc>
          <w:tcPr>
            <w:tcW w:w="664" w:type="pct"/>
          </w:tcPr>
          <w:p w14:paraId="05E37B33" w14:textId="77777777" w:rsidR="007D1E74" w:rsidRDefault="00A95641">
            <w:pPr>
              <w:pStyle w:val="TableParagraph"/>
              <w:spacing w:before="24"/>
              <w:rPr>
                <w:rFonts w:eastAsiaTheme="minorEastAsia"/>
                <w:sz w:val="21"/>
                <w:szCs w:val="21"/>
              </w:rPr>
            </w:pPr>
            <w:r>
              <w:rPr>
                <w:rFonts w:eastAsiaTheme="minorEastAsia"/>
                <w:sz w:val="21"/>
                <w:szCs w:val="21"/>
              </w:rPr>
              <w:t>6</w:t>
            </w:r>
          </w:p>
        </w:tc>
        <w:tc>
          <w:tcPr>
            <w:tcW w:w="506" w:type="pct"/>
          </w:tcPr>
          <w:p w14:paraId="02FA050F" w14:textId="77777777" w:rsidR="007D1E74" w:rsidRDefault="00A95641">
            <w:pPr>
              <w:pStyle w:val="TableParagraph"/>
              <w:spacing w:before="24"/>
              <w:ind w:left="159" w:right="160"/>
              <w:rPr>
                <w:rFonts w:eastAsiaTheme="minorEastAsia"/>
                <w:sz w:val="21"/>
                <w:szCs w:val="21"/>
              </w:rPr>
            </w:pPr>
            <w:r>
              <w:rPr>
                <w:rFonts w:eastAsiaTheme="minorEastAsia"/>
                <w:sz w:val="21"/>
                <w:szCs w:val="21"/>
              </w:rPr>
              <w:t>Sp</w:t>
            </w:r>
          </w:p>
        </w:tc>
        <w:tc>
          <w:tcPr>
            <w:tcW w:w="978" w:type="pct"/>
          </w:tcPr>
          <w:p w14:paraId="4CA0C666" w14:textId="77777777" w:rsidR="007D1E74" w:rsidRDefault="00A95641">
            <w:pPr>
              <w:pStyle w:val="TableParagraph"/>
              <w:spacing w:before="24"/>
              <w:ind w:left="170" w:right="170"/>
              <w:rPr>
                <w:rFonts w:eastAsiaTheme="minorEastAsia"/>
                <w:sz w:val="21"/>
                <w:szCs w:val="21"/>
              </w:rPr>
            </w:pPr>
            <w:r>
              <w:rPr>
                <w:rFonts w:eastAsiaTheme="minorEastAsia"/>
                <w:sz w:val="21"/>
                <w:szCs w:val="21"/>
              </w:rPr>
              <w:t>1.4</w:t>
            </w:r>
          </w:p>
        </w:tc>
        <w:tc>
          <w:tcPr>
            <w:tcW w:w="652" w:type="pct"/>
          </w:tcPr>
          <w:p w14:paraId="4EE80881" w14:textId="77777777" w:rsidR="007D1E74" w:rsidRDefault="00A95641">
            <w:pPr>
              <w:pStyle w:val="TableParagraph"/>
              <w:spacing w:before="24"/>
              <w:ind w:right="108"/>
              <w:rPr>
                <w:rFonts w:eastAsiaTheme="minorEastAsia"/>
                <w:sz w:val="21"/>
                <w:szCs w:val="21"/>
              </w:rPr>
            </w:pPr>
            <w:r>
              <w:rPr>
                <w:rFonts w:eastAsiaTheme="minorEastAsia"/>
                <w:sz w:val="21"/>
                <w:szCs w:val="21"/>
              </w:rPr>
              <w:t>5</w:t>
            </w:r>
          </w:p>
        </w:tc>
      </w:tr>
      <w:tr w:rsidR="007D1E74" w14:paraId="384A8E7E" w14:textId="77777777">
        <w:trPr>
          <w:trHeight w:hRule="exact" w:val="336"/>
        </w:trPr>
        <w:tc>
          <w:tcPr>
            <w:tcW w:w="440" w:type="pct"/>
          </w:tcPr>
          <w:p w14:paraId="77020637" w14:textId="77777777" w:rsidR="007D1E74" w:rsidRDefault="00A95641">
            <w:pPr>
              <w:pStyle w:val="TableParagraph"/>
              <w:spacing w:before="24"/>
              <w:ind w:left="109" w:right="104"/>
              <w:rPr>
                <w:rFonts w:eastAsiaTheme="minorEastAsia"/>
                <w:sz w:val="21"/>
                <w:szCs w:val="21"/>
              </w:rPr>
            </w:pPr>
            <w:r>
              <w:rPr>
                <w:rFonts w:eastAsiaTheme="minorEastAsia"/>
                <w:sz w:val="21"/>
                <w:szCs w:val="21"/>
              </w:rPr>
              <w:t>17</w:t>
            </w:r>
          </w:p>
        </w:tc>
        <w:tc>
          <w:tcPr>
            <w:tcW w:w="1077" w:type="pct"/>
          </w:tcPr>
          <w:p w14:paraId="23B55DCC"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蜈蚣草</w:t>
            </w:r>
          </w:p>
        </w:tc>
        <w:tc>
          <w:tcPr>
            <w:tcW w:w="683" w:type="pct"/>
          </w:tcPr>
          <w:p w14:paraId="7FDC31A6"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营养期</w:t>
            </w:r>
          </w:p>
        </w:tc>
        <w:tc>
          <w:tcPr>
            <w:tcW w:w="664" w:type="pct"/>
          </w:tcPr>
          <w:p w14:paraId="3D69A5A4" w14:textId="77777777" w:rsidR="007D1E74" w:rsidRDefault="00A95641">
            <w:pPr>
              <w:pStyle w:val="TableParagraph"/>
              <w:spacing w:before="24"/>
              <w:ind w:left="94" w:right="94"/>
              <w:rPr>
                <w:rFonts w:eastAsiaTheme="minorEastAsia"/>
                <w:sz w:val="21"/>
                <w:szCs w:val="21"/>
              </w:rPr>
            </w:pPr>
            <w:r>
              <w:rPr>
                <w:rFonts w:eastAsiaTheme="minorEastAsia"/>
                <w:sz w:val="21"/>
                <w:szCs w:val="21"/>
              </w:rPr>
              <w:t>13</w:t>
            </w:r>
          </w:p>
        </w:tc>
        <w:tc>
          <w:tcPr>
            <w:tcW w:w="506" w:type="pct"/>
          </w:tcPr>
          <w:p w14:paraId="190453A1" w14:textId="77777777" w:rsidR="007D1E74" w:rsidRDefault="00A95641">
            <w:pPr>
              <w:pStyle w:val="TableParagraph"/>
              <w:spacing w:before="24"/>
              <w:ind w:left="159" w:right="160"/>
              <w:rPr>
                <w:rFonts w:eastAsiaTheme="minorEastAsia"/>
                <w:sz w:val="21"/>
                <w:szCs w:val="21"/>
              </w:rPr>
            </w:pPr>
            <w:r>
              <w:rPr>
                <w:rFonts w:eastAsiaTheme="minorEastAsia"/>
                <w:sz w:val="21"/>
                <w:szCs w:val="21"/>
              </w:rPr>
              <w:t>Sp</w:t>
            </w:r>
          </w:p>
        </w:tc>
        <w:tc>
          <w:tcPr>
            <w:tcW w:w="978" w:type="pct"/>
          </w:tcPr>
          <w:p w14:paraId="5609132A" w14:textId="77777777" w:rsidR="007D1E74" w:rsidRDefault="00A95641">
            <w:pPr>
              <w:pStyle w:val="TableParagraph"/>
              <w:spacing w:before="24"/>
              <w:ind w:left="170" w:right="170"/>
              <w:rPr>
                <w:rFonts w:eastAsiaTheme="minorEastAsia"/>
                <w:sz w:val="21"/>
                <w:szCs w:val="21"/>
              </w:rPr>
            </w:pPr>
            <w:r>
              <w:rPr>
                <w:rFonts w:eastAsiaTheme="minorEastAsia"/>
                <w:sz w:val="21"/>
                <w:szCs w:val="21"/>
              </w:rPr>
              <w:t>0.5</w:t>
            </w:r>
          </w:p>
        </w:tc>
        <w:tc>
          <w:tcPr>
            <w:tcW w:w="652" w:type="pct"/>
          </w:tcPr>
          <w:p w14:paraId="35311DA2" w14:textId="77777777" w:rsidR="007D1E74" w:rsidRDefault="00A95641">
            <w:pPr>
              <w:pStyle w:val="TableParagraph"/>
              <w:spacing w:before="24"/>
              <w:ind w:right="108"/>
              <w:rPr>
                <w:rFonts w:eastAsiaTheme="minorEastAsia"/>
                <w:sz w:val="21"/>
                <w:szCs w:val="21"/>
              </w:rPr>
            </w:pPr>
            <w:r>
              <w:rPr>
                <w:rFonts w:eastAsiaTheme="minorEastAsia"/>
                <w:sz w:val="21"/>
                <w:szCs w:val="21"/>
              </w:rPr>
              <w:t>4</w:t>
            </w:r>
          </w:p>
        </w:tc>
      </w:tr>
      <w:tr w:rsidR="007D1E74" w14:paraId="3601BBDF" w14:textId="77777777">
        <w:trPr>
          <w:trHeight w:hRule="exact" w:val="336"/>
        </w:trPr>
        <w:tc>
          <w:tcPr>
            <w:tcW w:w="440" w:type="pct"/>
          </w:tcPr>
          <w:p w14:paraId="1F494BEC" w14:textId="77777777" w:rsidR="007D1E74" w:rsidRDefault="00A95641">
            <w:pPr>
              <w:pStyle w:val="TableParagraph"/>
              <w:spacing w:before="24"/>
              <w:ind w:left="109" w:right="104"/>
              <w:rPr>
                <w:rFonts w:eastAsiaTheme="minorEastAsia"/>
                <w:sz w:val="21"/>
                <w:szCs w:val="21"/>
              </w:rPr>
            </w:pPr>
            <w:r>
              <w:rPr>
                <w:rFonts w:eastAsiaTheme="minorEastAsia"/>
                <w:sz w:val="21"/>
                <w:szCs w:val="21"/>
              </w:rPr>
              <w:t>18</w:t>
            </w:r>
          </w:p>
        </w:tc>
        <w:tc>
          <w:tcPr>
            <w:tcW w:w="1077" w:type="pct"/>
          </w:tcPr>
          <w:p w14:paraId="59F24F89"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顶芽狗脊</w:t>
            </w:r>
          </w:p>
        </w:tc>
        <w:tc>
          <w:tcPr>
            <w:tcW w:w="683" w:type="pct"/>
          </w:tcPr>
          <w:p w14:paraId="3FE21A74"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营养期</w:t>
            </w:r>
          </w:p>
        </w:tc>
        <w:tc>
          <w:tcPr>
            <w:tcW w:w="664" w:type="pct"/>
          </w:tcPr>
          <w:p w14:paraId="601DAC41" w14:textId="77777777" w:rsidR="007D1E74" w:rsidRDefault="00A95641">
            <w:pPr>
              <w:pStyle w:val="TableParagraph"/>
              <w:spacing w:line="302" w:lineRule="exact"/>
              <w:ind w:left="94" w:right="94"/>
              <w:rPr>
                <w:rFonts w:eastAsiaTheme="minorEastAsia"/>
                <w:sz w:val="21"/>
                <w:szCs w:val="21"/>
              </w:rPr>
            </w:pPr>
            <w:r>
              <w:rPr>
                <w:rFonts w:eastAsiaTheme="minorEastAsia"/>
                <w:sz w:val="21"/>
                <w:szCs w:val="21"/>
              </w:rPr>
              <w:t xml:space="preserve">2 </w:t>
            </w:r>
            <w:r>
              <w:rPr>
                <w:rFonts w:eastAsiaTheme="minorEastAsia"/>
                <w:sz w:val="21"/>
                <w:szCs w:val="21"/>
              </w:rPr>
              <w:t>丛</w:t>
            </w:r>
          </w:p>
        </w:tc>
        <w:tc>
          <w:tcPr>
            <w:tcW w:w="506" w:type="pct"/>
          </w:tcPr>
          <w:p w14:paraId="6D662AD4" w14:textId="77777777" w:rsidR="007D1E74" w:rsidRDefault="00A95641">
            <w:pPr>
              <w:pStyle w:val="TableParagraph"/>
              <w:spacing w:before="24"/>
              <w:ind w:left="159" w:right="160"/>
              <w:rPr>
                <w:rFonts w:eastAsiaTheme="minorEastAsia"/>
                <w:sz w:val="21"/>
                <w:szCs w:val="21"/>
              </w:rPr>
            </w:pPr>
            <w:r>
              <w:rPr>
                <w:rFonts w:eastAsiaTheme="minorEastAsia"/>
                <w:sz w:val="21"/>
                <w:szCs w:val="21"/>
              </w:rPr>
              <w:t>Ol</w:t>
            </w:r>
          </w:p>
        </w:tc>
        <w:tc>
          <w:tcPr>
            <w:tcW w:w="978" w:type="pct"/>
          </w:tcPr>
          <w:p w14:paraId="0385F278" w14:textId="77777777" w:rsidR="007D1E74" w:rsidRDefault="00A95641">
            <w:pPr>
              <w:pStyle w:val="TableParagraph"/>
              <w:spacing w:before="24"/>
              <w:ind w:left="170" w:right="170"/>
              <w:rPr>
                <w:rFonts w:eastAsiaTheme="minorEastAsia"/>
                <w:sz w:val="21"/>
                <w:szCs w:val="21"/>
              </w:rPr>
            </w:pPr>
            <w:r>
              <w:rPr>
                <w:rFonts w:eastAsiaTheme="minorEastAsia"/>
                <w:sz w:val="21"/>
                <w:szCs w:val="21"/>
              </w:rPr>
              <w:t>0.85</w:t>
            </w:r>
          </w:p>
        </w:tc>
        <w:tc>
          <w:tcPr>
            <w:tcW w:w="652" w:type="pct"/>
          </w:tcPr>
          <w:p w14:paraId="44B384FD" w14:textId="77777777" w:rsidR="007D1E74" w:rsidRDefault="00A95641">
            <w:pPr>
              <w:pStyle w:val="TableParagraph"/>
              <w:spacing w:before="24"/>
              <w:ind w:right="108"/>
              <w:rPr>
                <w:rFonts w:eastAsiaTheme="minorEastAsia"/>
                <w:sz w:val="21"/>
                <w:szCs w:val="21"/>
              </w:rPr>
            </w:pPr>
            <w:r>
              <w:rPr>
                <w:rFonts w:eastAsiaTheme="minorEastAsia"/>
                <w:sz w:val="21"/>
                <w:szCs w:val="21"/>
              </w:rPr>
              <w:t>4</w:t>
            </w:r>
          </w:p>
        </w:tc>
      </w:tr>
      <w:tr w:rsidR="007D1E74" w14:paraId="35DEB30E" w14:textId="77777777">
        <w:trPr>
          <w:trHeight w:hRule="exact" w:val="336"/>
        </w:trPr>
        <w:tc>
          <w:tcPr>
            <w:tcW w:w="440" w:type="pct"/>
          </w:tcPr>
          <w:p w14:paraId="7B912B4E" w14:textId="77777777" w:rsidR="007D1E74" w:rsidRDefault="00A95641">
            <w:pPr>
              <w:pStyle w:val="TableParagraph"/>
              <w:spacing w:before="24"/>
              <w:ind w:left="109" w:right="104"/>
              <w:rPr>
                <w:rFonts w:eastAsiaTheme="minorEastAsia"/>
                <w:sz w:val="21"/>
                <w:szCs w:val="21"/>
              </w:rPr>
            </w:pPr>
            <w:r>
              <w:rPr>
                <w:rFonts w:eastAsiaTheme="minorEastAsia"/>
                <w:sz w:val="21"/>
                <w:szCs w:val="21"/>
              </w:rPr>
              <w:t>19</w:t>
            </w:r>
          </w:p>
        </w:tc>
        <w:tc>
          <w:tcPr>
            <w:tcW w:w="1077" w:type="pct"/>
          </w:tcPr>
          <w:p w14:paraId="0B37529D"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芒</w:t>
            </w:r>
          </w:p>
        </w:tc>
        <w:tc>
          <w:tcPr>
            <w:tcW w:w="683" w:type="pct"/>
          </w:tcPr>
          <w:p w14:paraId="64690D80"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营养期</w:t>
            </w:r>
          </w:p>
        </w:tc>
        <w:tc>
          <w:tcPr>
            <w:tcW w:w="664" w:type="pct"/>
          </w:tcPr>
          <w:p w14:paraId="2D37D7BE" w14:textId="77777777" w:rsidR="007D1E74" w:rsidRDefault="00A95641">
            <w:pPr>
              <w:pStyle w:val="TableParagraph"/>
              <w:spacing w:before="24"/>
              <w:rPr>
                <w:rFonts w:eastAsiaTheme="minorEastAsia"/>
                <w:sz w:val="21"/>
                <w:szCs w:val="21"/>
              </w:rPr>
            </w:pPr>
            <w:r>
              <w:rPr>
                <w:rFonts w:eastAsiaTheme="minorEastAsia"/>
                <w:sz w:val="21"/>
                <w:szCs w:val="21"/>
              </w:rPr>
              <w:t>5</w:t>
            </w:r>
          </w:p>
        </w:tc>
        <w:tc>
          <w:tcPr>
            <w:tcW w:w="506" w:type="pct"/>
          </w:tcPr>
          <w:p w14:paraId="525C719C" w14:textId="77777777" w:rsidR="007D1E74" w:rsidRDefault="00A95641">
            <w:pPr>
              <w:pStyle w:val="TableParagraph"/>
              <w:spacing w:before="24"/>
              <w:ind w:left="159" w:right="160"/>
              <w:rPr>
                <w:rFonts w:eastAsiaTheme="minorEastAsia"/>
                <w:sz w:val="21"/>
                <w:szCs w:val="21"/>
              </w:rPr>
            </w:pPr>
            <w:r>
              <w:rPr>
                <w:rFonts w:eastAsiaTheme="minorEastAsia"/>
                <w:sz w:val="21"/>
                <w:szCs w:val="21"/>
              </w:rPr>
              <w:t>Ol</w:t>
            </w:r>
          </w:p>
        </w:tc>
        <w:tc>
          <w:tcPr>
            <w:tcW w:w="978" w:type="pct"/>
          </w:tcPr>
          <w:p w14:paraId="3F7F427E" w14:textId="77777777" w:rsidR="007D1E74" w:rsidRDefault="00A95641">
            <w:pPr>
              <w:pStyle w:val="TableParagraph"/>
              <w:spacing w:before="24"/>
              <w:ind w:left="170" w:right="170"/>
              <w:rPr>
                <w:rFonts w:eastAsiaTheme="minorEastAsia"/>
                <w:sz w:val="21"/>
                <w:szCs w:val="21"/>
              </w:rPr>
            </w:pPr>
            <w:r>
              <w:rPr>
                <w:rFonts w:eastAsiaTheme="minorEastAsia"/>
                <w:sz w:val="21"/>
                <w:szCs w:val="21"/>
              </w:rPr>
              <w:t>1.5</w:t>
            </w:r>
          </w:p>
        </w:tc>
        <w:tc>
          <w:tcPr>
            <w:tcW w:w="652" w:type="pct"/>
          </w:tcPr>
          <w:p w14:paraId="1026A6EE" w14:textId="77777777" w:rsidR="007D1E74" w:rsidRDefault="00A95641">
            <w:pPr>
              <w:pStyle w:val="TableParagraph"/>
              <w:spacing w:before="24"/>
              <w:ind w:right="108"/>
              <w:rPr>
                <w:rFonts w:eastAsiaTheme="minorEastAsia"/>
                <w:sz w:val="21"/>
                <w:szCs w:val="21"/>
              </w:rPr>
            </w:pPr>
            <w:r>
              <w:rPr>
                <w:rFonts w:eastAsiaTheme="minorEastAsia"/>
                <w:sz w:val="21"/>
                <w:szCs w:val="21"/>
              </w:rPr>
              <w:t>3</w:t>
            </w:r>
          </w:p>
        </w:tc>
      </w:tr>
      <w:tr w:rsidR="007D1E74" w14:paraId="17B46466" w14:textId="77777777">
        <w:trPr>
          <w:trHeight w:hRule="exact" w:val="336"/>
        </w:trPr>
        <w:tc>
          <w:tcPr>
            <w:tcW w:w="440" w:type="pct"/>
          </w:tcPr>
          <w:p w14:paraId="3B87FB93" w14:textId="77777777" w:rsidR="007D1E74" w:rsidRDefault="00A95641">
            <w:pPr>
              <w:pStyle w:val="TableParagraph"/>
              <w:spacing w:before="24"/>
              <w:ind w:left="109" w:right="104"/>
              <w:rPr>
                <w:rFonts w:eastAsiaTheme="minorEastAsia"/>
                <w:sz w:val="21"/>
                <w:szCs w:val="21"/>
              </w:rPr>
            </w:pPr>
            <w:r>
              <w:rPr>
                <w:rFonts w:eastAsiaTheme="minorEastAsia"/>
                <w:sz w:val="21"/>
                <w:szCs w:val="21"/>
              </w:rPr>
              <w:t>20</w:t>
            </w:r>
          </w:p>
        </w:tc>
        <w:tc>
          <w:tcPr>
            <w:tcW w:w="1077" w:type="pct"/>
          </w:tcPr>
          <w:p w14:paraId="6ACB07EC"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野菊</w:t>
            </w:r>
          </w:p>
        </w:tc>
        <w:tc>
          <w:tcPr>
            <w:tcW w:w="683" w:type="pct"/>
          </w:tcPr>
          <w:p w14:paraId="09FBDA8E" w14:textId="77777777" w:rsidR="007D1E74" w:rsidRDefault="00A95641">
            <w:pPr>
              <w:pStyle w:val="TableParagraph"/>
              <w:spacing w:line="284" w:lineRule="exact"/>
              <w:ind w:left="103"/>
              <w:rPr>
                <w:rFonts w:eastAsiaTheme="minorEastAsia"/>
                <w:sz w:val="21"/>
                <w:szCs w:val="21"/>
              </w:rPr>
            </w:pPr>
            <w:r>
              <w:rPr>
                <w:rFonts w:eastAsiaTheme="minorEastAsia"/>
                <w:sz w:val="21"/>
                <w:szCs w:val="21"/>
              </w:rPr>
              <w:t>花期</w:t>
            </w:r>
          </w:p>
        </w:tc>
        <w:tc>
          <w:tcPr>
            <w:tcW w:w="664" w:type="pct"/>
          </w:tcPr>
          <w:p w14:paraId="1DFC29C4" w14:textId="77777777" w:rsidR="007D1E74" w:rsidRDefault="00A95641">
            <w:pPr>
              <w:pStyle w:val="TableParagraph"/>
              <w:spacing w:before="24"/>
              <w:rPr>
                <w:rFonts w:eastAsiaTheme="minorEastAsia"/>
                <w:sz w:val="21"/>
                <w:szCs w:val="21"/>
              </w:rPr>
            </w:pPr>
            <w:r>
              <w:rPr>
                <w:rFonts w:eastAsiaTheme="minorEastAsia"/>
                <w:sz w:val="21"/>
                <w:szCs w:val="21"/>
              </w:rPr>
              <w:t>7</w:t>
            </w:r>
          </w:p>
        </w:tc>
        <w:tc>
          <w:tcPr>
            <w:tcW w:w="506" w:type="pct"/>
          </w:tcPr>
          <w:p w14:paraId="6DDB162C" w14:textId="77777777" w:rsidR="007D1E74" w:rsidRDefault="00A95641">
            <w:pPr>
              <w:pStyle w:val="TableParagraph"/>
              <w:spacing w:before="24"/>
              <w:ind w:left="159" w:right="160"/>
              <w:rPr>
                <w:rFonts w:eastAsiaTheme="minorEastAsia"/>
                <w:sz w:val="21"/>
                <w:szCs w:val="21"/>
              </w:rPr>
            </w:pPr>
            <w:r>
              <w:rPr>
                <w:rFonts w:eastAsiaTheme="minorEastAsia"/>
                <w:sz w:val="21"/>
                <w:szCs w:val="21"/>
              </w:rPr>
              <w:t>Ol</w:t>
            </w:r>
          </w:p>
        </w:tc>
        <w:tc>
          <w:tcPr>
            <w:tcW w:w="978" w:type="pct"/>
          </w:tcPr>
          <w:p w14:paraId="08EE8B40" w14:textId="77777777" w:rsidR="007D1E74" w:rsidRDefault="00A95641">
            <w:pPr>
              <w:pStyle w:val="TableParagraph"/>
              <w:spacing w:before="24"/>
              <w:ind w:left="170" w:right="170"/>
              <w:rPr>
                <w:rFonts w:eastAsiaTheme="minorEastAsia"/>
                <w:sz w:val="21"/>
                <w:szCs w:val="21"/>
              </w:rPr>
            </w:pPr>
            <w:r>
              <w:rPr>
                <w:rFonts w:eastAsiaTheme="minorEastAsia"/>
                <w:sz w:val="21"/>
                <w:szCs w:val="21"/>
              </w:rPr>
              <w:t>2.2</w:t>
            </w:r>
          </w:p>
        </w:tc>
        <w:tc>
          <w:tcPr>
            <w:tcW w:w="652" w:type="pct"/>
          </w:tcPr>
          <w:p w14:paraId="4260D411" w14:textId="77777777" w:rsidR="007D1E74" w:rsidRDefault="00A95641">
            <w:pPr>
              <w:pStyle w:val="TableParagraph"/>
              <w:spacing w:before="24"/>
              <w:ind w:right="108"/>
              <w:rPr>
                <w:rFonts w:eastAsiaTheme="minorEastAsia"/>
                <w:sz w:val="21"/>
                <w:szCs w:val="21"/>
              </w:rPr>
            </w:pPr>
            <w:r>
              <w:rPr>
                <w:rFonts w:eastAsiaTheme="minorEastAsia"/>
                <w:sz w:val="21"/>
                <w:szCs w:val="21"/>
              </w:rPr>
              <w:t>2</w:t>
            </w:r>
          </w:p>
        </w:tc>
      </w:tr>
    </w:tbl>
    <w:p w14:paraId="7E7C56D2" w14:textId="77777777" w:rsidR="007D1E74" w:rsidRDefault="007D1E74">
      <w:pPr>
        <w:spacing w:line="360" w:lineRule="auto"/>
        <w:rPr>
          <w:rFonts w:cs="Times New Roman"/>
          <w:szCs w:val="21"/>
        </w:rPr>
      </w:pPr>
    </w:p>
    <w:p w14:paraId="031BB838" w14:textId="77777777" w:rsidR="007D1E74" w:rsidRDefault="00A95641">
      <w:pPr>
        <w:spacing w:line="360" w:lineRule="auto"/>
        <w:jc w:val="center"/>
        <w:rPr>
          <w:rFonts w:eastAsia="黑体" w:cs="Times New Roman"/>
          <w:szCs w:val="21"/>
        </w:rPr>
      </w:pPr>
      <w:r>
        <w:rPr>
          <w:rFonts w:eastAsia="黑体" w:cs="Times New Roman"/>
          <w:szCs w:val="21"/>
        </w:rPr>
        <w:lastRenderedPageBreak/>
        <w:t>表</w:t>
      </w:r>
      <w:r>
        <w:rPr>
          <w:rFonts w:eastAsia="黑体" w:cs="Times New Roman"/>
          <w:szCs w:val="21"/>
        </w:rPr>
        <w:t xml:space="preserve">A.2.1-4  </w:t>
      </w:r>
      <w:r>
        <w:rPr>
          <w:rFonts w:eastAsia="黑体" w:cs="Times New Roman" w:hint="eastAsia"/>
          <w:szCs w:val="21"/>
        </w:rPr>
        <w:t>植物实测样方表</w:t>
      </w:r>
    </w:p>
    <w:tbl>
      <w:tblPr>
        <w:tblStyle w:val="affffc"/>
        <w:tblW w:w="0" w:type="auto"/>
        <w:tblBorders>
          <w:left w:val="none" w:sz="0" w:space="0" w:color="auto"/>
          <w:right w:val="none" w:sz="0" w:space="0" w:color="auto"/>
        </w:tblBorders>
        <w:tblLook w:val="04A0" w:firstRow="1" w:lastRow="0" w:firstColumn="1" w:lastColumn="0" w:noHBand="0" w:noVBand="1"/>
      </w:tblPr>
      <w:tblGrid>
        <w:gridCol w:w="9016"/>
      </w:tblGrid>
      <w:tr w:rsidR="007D1E74" w14:paraId="42AD1F08" w14:textId="77777777">
        <w:tc>
          <w:tcPr>
            <w:tcW w:w="9016" w:type="dxa"/>
          </w:tcPr>
          <w:p w14:paraId="5976EE9F" w14:textId="77777777" w:rsidR="007D1E74" w:rsidRDefault="00A95641">
            <w:pPr>
              <w:spacing w:line="360" w:lineRule="auto"/>
              <w:rPr>
                <w:rFonts w:eastAsiaTheme="minorEastAsia" w:cs="Times New Roman"/>
                <w:szCs w:val="21"/>
              </w:rPr>
            </w:pPr>
            <w:r>
              <w:rPr>
                <w:rFonts w:eastAsiaTheme="minorEastAsia" w:cs="Times New Roman" w:hint="eastAsia"/>
                <w:szCs w:val="21"/>
              </w:rPr>
              <w:t>群落名称：枫杨林</w:t>
            </w:r>
            <w:r>
              <w:rPr>
                <w:rFonts w:eastAsiaTheme="minorEastAsia" w:cs="Times New Roman" w:hint="eastAsia"/>
                <w:szCs w:val="21"/>
              </w:rPr>
              <w:tab/>
            </w:r>
            <w:r>
              <w:rPr>
                <w:rFonts w:eastAsiaTheme="minorEastAsia" w:cs="Times New Roman" w:hint="eastAsia"/>
                <w:szCs w:val="21"/>
              </w:rPr>
              <w:t>地点：涪阳镇草池乡活水沟村</w:t>
            </w:r>
            <w:r>
              <w:rPr>
                <w:rFonts w:eastAsiaTheme="minorEastAsia" w:cs="Times New Roman" w:hint="eastAsia"/>
                <w:szCs w:val="21"/>
              </w:rPr>
              <w:tab/>
            </w:r>
            <w:r>
              <w:rPr>
                <w:rFonts w:eastAsiaTheme="minorEastAsia" w:cs="Times New Roman" w:hint="eastAsia"/>
                <w:szCs w:val="21"/>
              </w:rPr>
              <w:t>样方面积：</w:t>
            </w:r>
            <w:r>
              <w:rPr>
                <w:rFonts w:eastAsiaTheme="minorEastAsia" w:cs="Times New Roman" w:hint="eastAsia"/>
                <w:szCs w:val="21"/>
              </w:rPr>
              <w:t>10m</w:t>
            </w:r>
            <w:r>
              <w:rPr>
                <w:rFonts w:eastAsiaTheme="minorEastAsia" w:cs="Times New Roman" w:hint="eastAsia"/>
                <w:szCs w:val="21"/>
              </w:rPr>
              <w:t>×</w:t>
            </w:r>
            <w:r>
              <w:rPr>
                <w:rFonts w:eastAsiaTheme="minorEastAsia" w:cs="Times New Roman" w:hint="eastAsia"/>
                <w:szCs w:val="21"/>
              </w:rPr>
              <w:t>10m</w:t>
            </w:r>
          </w:p>
        </w:tc>
      </w:tr>
      <w:tr w:rsidR="007D1E74" w14:paraId="519F6FC1" w14:textId="77777777">
        <w:tc>
          <w:tcPr>
            <w:tcW w:w="9016" w:type="dxa"/>
          </w:tcPr>
          <w:p w14:paraId="068C5B83" w14:textId="77777777" w:rsidR="007D1E74" w:rsidRDefault="00A95641">
            <w:pPr>
              <w:spacing w:line="360" w:lineRule="auto"/>
              <w:rPr>
                <w:rFonts w:eastAsiaTheme="minorEastAsia" w:cs="Times New Roman"/>
                <w:szCs w:val="21"/>
              </w:rPr>
            </w:pPr>
            <w:r>
              <w:rPr>
                <w:rFonts w:eastAsiaTheme="minorEastAsia" w:cs="Times New Roman" w:hint="eastAsia"/>
                <w:szCs w:val="21"/>
              </w:rPr>
              <w:t>经度：</w:t>
            </w:r>
            <w:r>
              <w:rPr>
                <w:rFonts w:eastAsiaTheme="minorEastAsia" w:cs="Times New Roman" w:hint="eastAsia"/>
                <w:szCs w:val="21"/>
              </w:rPr>
              <w:t xml:space="preserve">107.138647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纬度：</w:t>
            </w:r>
            <w:r>
              <w:rPr>
                <w:rFonts w:eastAsiaTheme="minorEastAsia" w:cs="Times New Roman" w:hint="eastAsia"/>
                <w:szCs w:val="21"/>
              </w:rPr>
              <w:t xml:space="preserve">32.011929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海拔（</w:t>
            </w:r>
            <w:r>
              <w:rPr>
                <w:rFonts w:eastAsiaTheme="minorEastAsia" w:cs="Times New Roman" w:hint="eastAsia"/>
                <w:szCs w:val="21"/>
              </w:rPr>
              <w:t>m</w:t>
            </w:r>
            <w:r>
              <w:rPr>
                <w:rFonts w:eastAsiaTheme="minorEastAsia" w:cs="Times New Roman" w:hint="eastAsia"/>
                <w:szCs w:val="21"/>
              </w:rPr>
              <w:t>）</w:t>
            </w:r>
            <w:r>
              <w:rPr>
                <w:rFonts w:eastAsiaTheme="minorEastAsia" w:cs="Times New Roman" w:hint="eastAsia"/>
                <w:szCs w:val="21"/>
              </w:rPr>
              <w:t xml:space="preserve">400  </w:t>
            </w:r>
          </w:p>
        </w:tc>
      </w:tr>
      <w:tr w:rsidR="007D1E74" w14:paraId="4972322A" w14:textId="77777777">
        <w:tc>
          <w:tcPr>
            <w:tcW w:w="9016" w:type="dxa"/>
          </w:tcPr>
          <w:p w14:paraId="6C8F1DAC" w14:textId="77777777" w:rsidR="007D1E74" w:rsidRDefault="00A95641">
            <w:pPr>
              <w:spacing w:line="360" w:lineRule="auto"/>
              <w:rPr>
                <w:rFonts w:eastAsiaTheme="minorEastAsia" w:cs="Times New Roman"/>
                <w:szCs w:val="21"/>
              </w:rPr>
            </w:pPr>
            <w:r>
              <w:rPr>
                <w:rFonts w:eastAsiaTheme="minorEastAsia" w:cs="Times New Roman" w:hint="eastAsia"/>
                <w:szCs w:val="21"/>
              </w:rPr>
              <w:t>调查人：黄文军、李秦</w:t>
            </w:r>
            <w:r>
              <w:rPr>
                <w:rFonts w:eastAsiaTheme="minorEastAsia" w:cs="Times New Roman" w:hint="eastAsia"/>
                <w:szCs w:val="21"/>
              </w:rPr>
              <w:tab/>
            </w:r>
            <w:r>
              <w:rPr>
                <w:rFonts w:eastAsiaTheme="minorEastAsia" w:cs="Times New Roman" w:hint="eastAsia"/>
                <w:szCs w:val="21"/>
              </w:rPr>
              <w:t>调查日期：</w:t>
            </w:r>
            <w:r>
              <w:rPr>
                <w:rFonts w:eastAsiaTheme="minorEastAsia" w:cs="Times New Roman" w:hint="eastAsia"/>
                <w:szCs w:val="21"/>
              </w:rPr>
              <w:t>2021-08-17</w:t>
            </w:r>
          </w:p>
        </w:tc>
      </w:tr>
    </w:tbl>
    <w:p w14:paraId="3CFB57A4" w14:textId="77777777" w:rsidR="007D1E74" w:rsidRDefault="007D1E74">
      <w:pPr>
        <w:spacing w:line="360" w:lineRule="auto"/>
        <w:rPr>
          <w:rFonts w:eastAsia="黑体" w:cs="Times New Roman"/>
          <w:sz w:val="24"/>
          <w:szCs w:val="24"/>
        </w:rPr>
      </w:pP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2"/>
        <w:gridCol w:w="1486"/>
        <w:gridCol w:w="1522"/>
        <w:gridCol w:w="1214"/>
        <w:gridCol w:w="1062"/>
        <w:gridCol w:w="1764"/>
        <w:gridCol w:w="1176"/>
      </w:tblGrid>
      <w:tr w:rsidR="007D1E74" w14:paraId="32E3F01A" w14:textId="77777777">
        <w:trPr>
          <w:trHeight w:hRule="exact" w:val="351"/>
        </w:trPr>
        <w:tc>
          <w:tcPr>
            <w:tcW w:w="440" w:type="pct"/>
          </w:tcPr>
          <w:p w14:paraId="115DF504" w14:textId="77777777" w:rsidR="007D1E74" w:rsidRDefault="00A95641">
            <w:pPr>
              <w:pStyle w:val="TableParagraph"/>
              <w:ind w:left="109" w:right="106"/>
              <w:rPr>
                <w:rFonts w:ascii="宋体"/>
                <w:sz w:val="21"/>
                <w:szCs w:val="21"/>
              </w:rPr>
            </w:pPr>
            <w:r>
              <w:rPr>
                <w:rFonts w:ascii="宋体" w:hint="eastAsia"/>
                <w:sz w:val="21"/>
                <w:szCs w:val="21"/>
              </w:rPr>
              <w:t>种号</w:t>
            </w:r>
          </w:p>
        </w:tc>
        <w:tc>
          <w:tcPr>
            <w:tcW w:w="824" w:type="pct"/>
          </w:tcPr>
          <w:p w14:paraId="5C8D4409" w14:textId="77777777" w:rsidR="007D1E74" w:rsidRDefault="00A95641">
            <w:pPr>
              <w:pStyle w:val="TableParagraph"/>
              <w:ind w:left="327"/>
              <w:rPr>
                <w:rFonts w:ascii="宋体"/>
                <w:sz w:val="21"/>
                <w:szCs w:val="21"/>
              </w:rPr>
            </w:pPr>
            <w:r>
              <w:rPr>
                <w:rFonts w:ascii="宋体" w:hint="eastAsia"/>
                <w:sz w:val="21"/>
                <w:szCs w:val="21"/>
              </w:rPr>
              <w:t>物种名</w:t>
            </w:r>
          </w:p>
        </w:tc>
        <w:tc>
          <w:tcPr>
            <w:tcW w:w="844" w:type="pct"/>
          </w:tcPr>
          <w:p w14:paraId="32780634" w14:textId="77777777" w:rsidR="007D1E74" w:rsidRDefault="00A95641">
            <w:pPr>
              <w:pStyle w:val="TableParagraph"/>
              <w:ind w:left="343"/>
              <w:rPr>
                <w:rFonts w:ascii="宋体"/>
                <w:sz w:val="21"/>
                <w:szCs w:val="21"/>
              </w:rPr>
            </w:pPr>
            <w:r>
              <w:rPr>
                <w:rFonts w:ascii="宋体" w:hint="eastAsia"/>
                <w:sz w:val="21"/>
                <w:szCs w:val="21"/>
              </w:rPr>
              <w:t>物候期</w:t>
            </w:r>
          </w:p>
        </w:tc>
        <w:tc>
          <w:tcPr>
            <w:tcW w:w="673" w:type="pct"/>
          </w:tcPr>
          <w:p w14:paraId="4192D92C" w14:textId="77777777" w:rsidR="007D1E74" w:rsidRDefault="00A95641">
            <w:pPr>
              <w:pStyle w:val="TableParagraph"/>
              <w:ind w:left="101" w:right="101"/>
              <w:rPr>
                <w:rFonts w:ascii="宋体"/>
                <w:sz w:val="21"/>
                <w:szCs w:val="21"/>
              </w:rPr>
            </w:pPr>
            <w:r>
              <w:rPr>
                <w:rFonts w:ascii="宋体" w:hint="eastAsia"/>
                <w:sz w:val="21"/>
                <w:szCs w:val="21"/>
              </w:rPr>
              <w:t>株</w:t>
            </w:r>
            <w:r>
              <w:rPr>
                <w:sz w:val="21"/>
                <w:szCs w:val="21"/>
              </w:rPr>
              <w:t>(</w:t>
            </w:r>
            <w:r>
              <w:rPr>
                <w:rFonts w:ascii="宋体" w:hint="eastAsia"/>
                <w:sz w:val="21"/>
                <w:szCs w:val="21"/>
              </w:rPr>
              <w:t>丛</w:t>
            </w:r>
            <w:r>
              <w:rPr>
                <w:sz w:val="21"/>
                <w:szCs w:val="21"/>
              </w:rPr>
              <w:t>)</w:t>
            </w:r>
            <w:r>
              <w:rPr>
                <w:rFonts w:ascii="宋体" w:hint="eastAsia"/>
                <w:sz w:val="21"/>
                <w:szCs w:val="21"/>
              </w:rPr>
              <w:t>数</w:t>
            </w:r>
          </w:p>
        </w:tc>
        <w:tc>
          <w:tcPr>
            <w:tcW w:w="589" w:type="pct"/>
          </w:tcPr>
          <w:p w14:paraId="39A2567C" w14:textId="77777777" w:rsidR="007D1E74" w:rsidRDefault="00A95641">
            <w:pPr>
              <w:pStyle w:val="TableParagraph"/>
              <w:ind w:left="231" w:right="231"/>
              <w:rPr>
                <w:rFonts w:ascii="宋体"/>
                <w:sz w:val="21"/>
                <w:szCs w:val="21"/>
              </w:rPr>
            </w:pPr>
            <w:r>
              <w:rPr>
                <w:rFonts w:ascii="宋体" w:hint="eastAsia"/>
                <w:sz w:val="21"/>
                <w:szCs w:val="21"/>
              </w:rPr>
              <w:t>多度</w:t>
            </w:r>
          </w:p>
        </w:tc>
        <w:tc>
          <w:tcPr>
            <w:tcW w:w="978" w:type="pct"/>
          </w:tcPr>
          <w:p w14:paraId="23DCA34C" w14:textId="77777777" w:rsidR="007D1E74" w:rsidRDefault="00A95641">
            <w:pPr>
              <w:pStyle w:val="TableParagraph"/>
              <w:ind w:left="172" w:right="170"/>
              <w:rPr>
                <w:sz w:val="21"/>
                <w:szCs w:val="21"/>
              </w:rPr>
            </w:pPr>
            <w:r>
              <w:rPr>
                <w:rFonts w:ascii="宋体" w:hint="eastAsia"/>
                <w:w w:val="95"/>
                <w:sz w:val="21"/>
                <w:szCs w:val="21"/>
              </w:rPr>
              <w:t>平均高度</w:t>
            </w:r>
            <w:r>
              <w:rPr>
                <w:w w:val="95"/>
                <w:sz w:val="21"/>
                <w:szCs w:val="21"/>
              </w:rPr>
              <w:t>/cm</w:t>
            </w:r>
          </w:p>
        </w:tc>
        <w:tc>
          <w:tcPr>
            <w:tcW w:w="652" w:type="pct"/>
          </w:tcPr>
          <w:p w14:paraId="627162B0" w14:textId="77777777" w:rsidR="007D1E74" w:rsidRDefault="00A95641">
            <w:pPr>
              <w:pStyle w:val="TableParagraph"/>
              <w:ind w:left="116" w:right="226"/>
              <w:rPr>
                <w:sz w:val="21"/>
                <w:szCs w:val="21"/>
              </w:rPr>
            </w:pPr>
            <w:r>
              <w:rPr>
                <w:rFonts w:ascii="宋体" w:hint="eastAsia"/>
                <w:w w:val="95"/>
                <w:sz w:val="21"/>
                <w:szCs w:val="21"/>
              </w:rPr>
              <w:t>盖度</w:t>
            </w:r>
            <w:r>
              <w:rPr>
                <w:w w:val="95"/>
                <w:sz w:val="21"/>
                <w:szCs w:val="21"/>
              </w:rPr>
              <w:t>/%</w:t>
            </w:r>
          </w:p>
        </w:tc>
      </w:tr>
      <w:tr w:rsidR="007D1E74" w14:paraId="24C36F10" w14:textId="77777777">
        <w:trPr>
          <w:trHeight w:hRule="exact" w:val="336"/>
        </w:trPr>
        <w:tc>
          <w:tcPr>
            <w:tcW w:w="440" w:type="pct"/>
          </w:tcPr>
          <w:p w14:paraId="6D7EDA14" w14:textId="77777777" w:rsidR="007D1E74" w:rsidRDefault="007D1E74">
            <w:pPr>
              <w:autoSpaceDE w:val="0"/>
              <w:autoSpaceDN w:val="0"/>
              <w:rPr>
                <w:szCs w:val="21"/>
              </w:rPr>
            </w:pPr>
          </w:p>
        </w:tc>
        <w:tc>
          <w:tcPr>
            <w:tcW w:w="824" w:type="pct"/>
          </w:tcPr>
          <w:p w14:paraId="368119CB" w14:textId="77777777" w:rsidR="007D1E74" w:rsidRDefault="00A95641">
            <w:pPr>
              <w:pStyle w:val="TableParagraph"/>
              <w:ind w:left="103"/>
              <w:rPr>
                <w:rFonts w:ascii="宋体"/>
                <w:sz w:val="21"/>
                <w:szCs w:val="21"/>
              </w:rPr>
            </w:pPr>
            <w:r>
              <w:rPr>
                <w:rFonts w:ascii="宋体" w:hint="eastAsia"/>
                <w:sz w:val="21"/>
                <w:szCs w:val="21"/>
              </w:rPr>
              <w:t>枫杨</w:t>
            </w:r>
          </w:p>
        </w:tc>
        <w:tc>
          <w:tcPr>
            <w:tcW w:w="844" w:type="pct"/>
          </w:tcPr>
          <w:p w14:paraId="11C74336" w14:textId="77777777" w:rsidR="007D1E74" w:rsidRDefault="00A95641">
            <w:pPr>
              <w:pStyle w:val="TableParagraph"/>
              <w:ind w:left="103"/>
              <w:rPr>
                <w:rFonts w:ascii="宋体"/>
                <w:sz w:val="21"/>
                <w:szCs w:val="21"/>
              </w:rPr>
            </w:pPr>
            <w:r>
              <w:rPr>
                <w:rFonts w:ascii="宋体" w:hint="eastAsia"/>
                <w:sz w:val="21"/>
                <w:szCs w:val="21"/>
              </w:rPr>
              <w:t>果期</w:t>
            </w:r>
          </w:p>
        </w:tc>
        <w:tc>
          <w:tcPr>
            <w:tcW w:w="673" w:type="pct"/>
          </w:tcPr>
          <w:p w14:paraId="246A2684" w14:textId="77777777" w:rsidR="007D1E74" w:rsidRDefault="00A95641">
            <w:pPr>
              <w:pStyle w:val="TableParagraph"/>
              <w:spacing w:before="25"/>
              <w:rPr>
                <w:sz w:val="21"/>
                <w:szCs w:val="21"/>
              </w:rPr>
            </w:pPr>
            <w:r>
              <w:rPr>
                <w:sz w:val="21"/>
                <w:szCs w:val="21"/>
              </w:rPr>
              <w:t>4</w:t>
            </w:r>
          </w:p>
        </w:tc>
        <w:tc>
          <w:tcPr>
            <w:tcW w:w="589" w:type="pct"/>
          </w:tcPr>
          <w:p w14:paraId="17545CC3" w14:textId="77777777" w:rsidR="007D1E74" w:rsidRDefault="00A95641">
            <w:pPr>
              <w:pStyle w:val="TableParagraph"/>
              <w:spacing w:before="22"/>
              <w:ind w:left="231" w:right="231"/>
              <w:rPr>
                <w:sz w:val="21"/>
                <w:szCs w:val="21"/>
              </w:rPr>
            </w:pPr>
            <w:r>
              <w:rPr>
                <w:position w:val="2"/>
                <w:sz w:val="21"/>
                <w:szCs w:val="21"/>
              </w:rPr>
              <w:t>Cop</w:t>
            </w:r>
            <w:r>
              <w:rPr>
                <w:sz w:val="21"/>
                <w:szCs w:val="21"/>
              </w:rPr>
              <w:t>1</w:t>
            </w:r>
          </w:p>
        </w:tc>
        <w:tc>
          <w:tcPr>
            <w:tcW w:w="978" w:type="pct"/>
          </w:tcPr>
          <w:p w14:paraId="1A777145" w14:textId="77777777" w:rsidR="007D1E74" w:rsidRDefault="00A95641">
            <w:pPr>
              <w:pStyle w:val="TableParagraph"/>
              <w:spacing w:before="25"/>
              <w:ind w:left="169" w:right="170"/>
              <w:rPr>
                <w:sz w:val="21"/>
                <w:szCs w:val="21"/>
              </w:rPr>
            </w:pPr>
            <w:r>
              <w:rPr>
                <w:sz w:val="21"/>
                <w:szCs w:val="21"/>
              </w:rPr>
              <w:t>16</w:t>
            </w:r>
          </w:p>
        </w:tc>
        <w:tc>
          <w:tcPr>
            <w:tcW w:w="652" w:type="pct"/>
          </w:tcPr>
          <w:p w14:paraId="73412208" w14:textId="77777777" w:rsidR="007D1E74" w:rsidRDefault="00A95641">
            <w:pPr>
              <w:pStyle w:val="TableParagraph"/>
              <w:spacing w:before="25"/>
              <w:ind w:left="116" w:right="224"/>
              <w:rPr>
                <w:sz w:val="21"/>
                <w:szCs w:val="21"/>
              </w:rPr>
            </w:pPr>
            <w:r>
              <w:rPr>
                <w:sz w:val="21"/>
                <w:szCs w:val="21"/>
              </w:rPr>
              <w:t>70</w:t>
            </w:r>
          </w:p>
        </w:tc>
      </w:tr>
      <w:tr w:rsidR="007D1E74" w14:paraId="7C3A0DC3" w14:textId="77777777">
        <w:trPr>
          <w:trHeight w:hRule="exact" w:val="336"/>
        </w:trPr>
        <w:tc>
          <w:tcPr>
            <w:tcW w:w="440" w:type="pct"/>
          </w:tcPr>
          <w:p w14:paraId="788890DA" w14:textId="77777777" w:rsidR="007D1E74" w:rsidRDefault="00A95641">
            <w:pPr>
              <w:pStyle w:val="TableParagraph"/>
              <w:spacing w:before="25"/>
              <w:ind w:left="3"/>
              <w:rPr>
                <w:sz w:val="21"/>
                <w:szCs w:val="21"/>
              </w:rPr>
            </w:pPr>
            <w:r>
              <w:rPr>
                <w:sz w:val="21"/>
                <w:szCs w:val="21"/>
              </w:rPr>
              <w:t>1</w:t>
            </w:r>
          </w:p>
        </w:tc>
        <w:tc>
          <w:tcPr>
            <w:tcW w:w="824" w:type="pct"/>
          </w:tcPr>
          <w:p w14:paraId="2A29E572" w14:textId="77777777" w:rsidR="007D1E74" w:rsidRDefault="00A95641">
            <w:pPr>
              <w:pStyle w:val="TableParagraph"/>
              <w:ind w:left="103"/>
              <w:rPr>
                <w:rFonts w:ascii="宋体"/>
                <w:sz w:val="21"/>
                <w:szCs w:val="21"/>
              </w:rPr>
            </w:pPr>
            <w:r>
              <w:rPr>
                <w:rFonts w:ascii="宋体" w:hint="eastAsia"/>
                <w:sz w:val="21"/>
                <w:szCs w:val="21"/>
              </w:rPr>
              <w:t>桤木</w:t>
            </w:r>
          </w:p>
        </w:tc>
        <w:tc>
          <w:tcPr>
            <w:tcW w:w="844" w:type="pct"/>
          </w:tcPr>
          <w:p w14:paraId="24540FC5" w14:textId="77777777" w:rsidR="007D1E74" w:rsidRDefault="00A95641">
            <w:pPr>
              <w:pStyle w:val="TableParagraph"/>
              <w:ind w:left="103"/>
              <w:rPr>
                <w:rFonts w:ascii="宋体"/>
                <w:sz w:val="21"/>
                <w:szCs w:val="21"/>
              </w:rPr>
            </w:pPr>
            <w:r>
              <w:rPr>
                <w:rFonts w:ascii="宋体" w:hint="eastAsia"/>
                <w:sz w:val="21"/>
                <w:szCs w:val="21"/>
              </w:rPr>
              <w:t>果期</w:t>
            </w:r>
          </w:p>
        </w:tc>
        <w:tc>
          <w:tcPr>
            <w:tcW w:w="673" w:type="pct"/>
          </w:tcPr>
          <w:p w14:paraId="47EDCBBD" w14:textId="77777777" w:rsidR="007D1E74" w:rsidRDefault="00A95641">
            <w:pPr>
              <w:pStyle w:val="TableParagraph"/>
              <w:spacing w:before="25"/>
              <w:rPr>
                <w:sz w:val="21"/>
                <w:szCs w:val="21"/>
              </w:rPr>
            </w:pPr>
            <w:r>
              <w:rPr>
                <w:sz w:val="21"/>
                <w:szCs w:val="21"/>
              </w:rPr>
              <w:t>2</w:t>
            </w:r>
          </w:p>
        </w:tc>
        <w:tc>
          <w:tcPr>
            <w:tcW w:w="589" w:type="pct"/>
          </w:tcPr>
          <w:p w14:paraId="08ADDCF7" w14:textId="77777777" w:rsidR="007D1E74" w:rsidRDefault="00A95641">
            <w:pPr>
              <w:pStyle w:val="TableParagraph"/>
              <w:spacing w:before="25"/>
              <w:ind w:left="231" w:right="231"/>
              <w:rPr>
                <w:sz w:val="21"/>
                <w:szCs w:val="21"/>
              </w:rPr>
            </w:pPr>
            <w:r>
              <w:rPr>
                <w:sz w:val="21"/>
                <w:szCs w:val="21"/>
              </w:rPr>
              <w:t>Sp</w:t>
            </w:r>
          </w:p>
        </w:tc>
        <w:tc>
          <w:tcPr>
            <w:tcW w:w="978" w:type="pct"/>
          </w:tcPr>
          <w:p w14:paraId="1102B844" w14:textId="77777777" w:rsidR="007D1E74" w:rsidRDefault="00A95641">
            <w:pPr>
              <w:pStyle w:val="TableParagraph"/>
              <w:spacing w:before="25"/>
              <w:ind w:left="169" w:right="170"/>
              <w:rPr>
                <w:sz w:val="21"/>
                <w:szCs w:val="21"/>
              </w:rPr>
            </w:pPr>
            <w:r>
              <w:rPr>
                <w:sz w:val="21"/>
                <w:szCs w:val="21"/>
              </w:rPr>
              <w:t>14</w:t>
            </w:r>
          </w:p>
        </w:tc>
        <w:tc>
          <w:tcPr>
            <w:tcW w:w="652" w:type="pct"/>
          </w:tcPr>
          <w:p w14:paraId="3063B596" w14:textId="77777777" w:rsidR="007D1E74" w:rsidRDefault="00A95641">
            <w:pPr>
              <w:pStyle w:val="TableParagraph"/>
              <w:spacing w:before="25"/>
              <w:ind w:left="116" w:right="224"/>
              <w:rPr>
                <w:sz w:val="21"/>
                <w:szCs w:val="21"/>
              </w:rPr>
            </w:pPr>
            <w:r>
              <w:rPr>
                <w:sz w:val="21"/>
                <w:szCs w:val="21"/>
              </w:rPr>
              <w:t>15</w:t>
            </w:r>
          </w:p>
        </w:tc>
      </w:tr>
      <w:tr w:rsidR="007D1E74" w14:paraId="248CFD75" w14:textId="77777777">
        <w:trPr>
          <w:trHeight w:hRule="exact" w:val="336"/>
        </w:trPr>
        <w:tc>
          <w:tcPr>
            <w:tcW w:w="440" w:type="pct"/>
          </w:tcPr>
          <w:p w14:paraId="5A2EDC9D" w14:textId="77777777" w:rsidR="007D1E74" w:rsidRDefault="00A95641">
            <w:pPr>
              <w:pStyle w:val="TableParagraph"/>
              <w:spacing w:before="25"/>
              <w:ind w:left="3"/>
              <w:rPr>
                <w:sz w:val="21"/>
                <w:szCs w:val="21"/>
              </w:rPr>
            </w:pPr>
            <w:r>
              <w:rPr>
                <w:sz w:val="21"/>
                <w:szCs w:val="21"/>
              </w:rPr>
              <w:t>2</w:t>
            </w:r>
          </w:p>
        </w:tc>
        <w:tc>
          <w:tcPr>
            <w:tcW w:w="824" w:type="pct"/>
          </w:tcPr>
          <w:p w14:paraId="52D246BB" w14:textId="77777777" w:rsidR="007D1E74" w:rsidRDefault="00A95641">
            <w:pPr>
              <w:pStyle w:val="TableParagraph"/>
              <w:ind w:left="103"/>
              <w:rPr>
                <w:rFonts w:ascii="宋体"/>
                <w:sz w:val="21"/>
                <w:szCs w:val="21"/>
              </w:rPr>
            </w:pPr>
            <w:r>
              <w:rPr>
                <w:rFonts w:ascii="宋体" w:hint="eastAsia"/>
                <w:sz w:val="21"/>
                <w:szCs w:val="21"/>
              </w:rPr>
              <w:t>喜树</w:t>
            </w:r>
          </w:p>
        </w:tc>
        <w:tc>
          <w:tcPr>
            <w:tcW w:w="844" w:type="pct"/>
          </w:tcPr>
          <w:p w14:paraId="67F049A6" w14:textId="77777777" w:rsidR="007D1E74" w:rsidRDefault="00A95641">
            <w:pPr>
              <w:pStyle w:val="TableParagraph"/>
              <w:ind w:left="103"/>
              <w:rPr>
                <w:rFonts w:ascii="宋体"/>
                <w:sz w:val="21"/>
                <w:szCs w:val="21"/>
              </w:rPr>
            </w:pPr>
            <w:r>
              <w:rPr>
                <w:rFonts w:ascii="宋体" w:hint="eastAsia"/>
                <w:sz w:val="21"/>
                <w:szCs w:val="21"/>
              </w:rPr>
              <w:t>果期</w:t>
            </w:r>
          </w:p>
        </w:tc>
        <w:tc>
          <w:tcPr>
            <w:tcW w:w="673" w:type="pct"/>
          </w:tcPr>
          <w:p w14:paraId="08465DB8" w14:textId="77777777" w:rsidR="007D1E74" w:rsidRDefault="00A95641">
            <w:pPr>
              <w:pStyle w:val="TableParagraph"/>
              <w:spacing w:before="25"/>
              <w:rPr>
                <w:sz w:val="21"/>
                <w:szCs w:val="21"/>
              </w:rPr>
            </w:pPr>
            <w:r>
              <w:rPr>
                <w:sz w:val="21"/>
                <w:szCs w:val="21"/>
              </w:rPr>
              <w:t>1</w:t>
            </w:r>
          </w:p>
        </w:tc>
        <w:tc>
          <w:tcPr>
            <w:tcW w:w="589" w:type="pct"/>
          </w:tcPr>
          <w:p w14:paraId="0E860B5A" w14:textId="77777777" w:rsidR="007D1E74" w:rsidRDefault="00A95641">
            <w:pPr>
              <w:pStyle w:val="TableParagraph"/>
              <w:spacing w:before="25"/>
              <w:ind w:left="231" w:right="231"/>
              <w:rPr>
                <w:sz w:val="21"/>
                <w:szCs w:val="21"/>
              </w:rPr>
            </w:pPr>
            <w:r>
              <w:rPr>
                <w:sz w:val="21"/>
                <w:szCs w:val="21"/>
              </w:rPr>
              <w:t>Sp</w:t>
            </w:r>
          </w:p>
        </w:tc>
        <w:tc>
          <w:tcPr>
            <w:tcW w:w="978" w:type="pct"/>
          </w:tcPr>
          <w:p w14:paraId="476E3551" w14:textId="77777777" w:rsidR="007D1E74" w:rsidRDefault="00A95641">
            <w:pPr>
              <w:pStyle w:val="TableParagraph"/>
              <w:spacing w:before="25"/>
              <w:ind w:left="169" w:right="170"/>
              <w:rPr>
                <w:sz w:val="21"/>
                <w:szCs w:val="21"/>
              </w:rPr>
            </w:pPr>
            <w:r>
              <w:rPr>
                <w:sz w:val="21"/>
                <w:szCs w:val="21"/>
              </w:rPr>
              <w:t>15</w:t>
            </w:r>
          </w:p>
        </w:tc>
        <w:tc>
          <w:tcPr>
            <w:tcW w:w="652" w:type="pct"/>
          </w:tcPr>
          <w:p w14:paraId="6A00320D" w14:textId="77777777" w:rsidR="007D1E74" w:rsidRDefault="00A95641">
            <w:pPr>
              <w:pStyle w:val="TableParagraph"/>
              <w:spacing w:before="25"/>
              <w:ind w:right="108"/>
              <w:rPr>
                <w:sz w:val="21"/>
                <w:szCs w:val="21"/>
              </w:rPr>
            </w:pPr>
            <w:r>
              <w:rPr>
                <w:sz w:val="21"/>
                <w:szCs w:val="21"/>
              </w:rPr>
              <w:t>5</w:t>
            </w:r>
          </w:p>
        </w:tc>
      </w:tr>
      <w:tr w:rsidR="007D1E74" w14:paraId="3CC9D969" w14:textId="77777777">
        <w:trPr>
          <w:trHeight w:hRule="exact" w:val="336"/>
        </w:trPr>
        <w:tc>
          <w:tcPr>
            <w:tcW w:w="440" w:type="pct"/>
          </w:tcPr>
          <w:p w14:paraId="4FE43816" w14:textId="77777777" w:rsidR="007D1E74" w:rsidRDefault="00A95641">
            <w:pPr>
              <w:pStyle w:val="TableParagraph"/>
              <w:spacing w:before="25"/>
              <w:ind w:left="3"/>
              <w:rPr>
                <w:sz w:val="21"/>
                <w:szCs w:val="21"/>
              </w:rPr>
            </w:pPr>
            <w:r>
              <w:rPr>
                <w:sz w:val="21"/>
                <w:szCs w:val="21"/>
              </w:rPr>
              <w:t>3</w:t>
            </w:r>
          </w:p>
        </w:tc>
        <w:tc>
          <w:tcPr>
            <w:tcW w:w="824" w:type="pct"/>
          </w:tcPr>
          <w:p w14:paraId="014881E2" w14:textId="77777777" w:rsidR="007D1E74" w:rsidRDefault="00A95641">
            <w:pPr>
              <w:pStyle w:val="TableParagraph"/>
              <w:ind w:left="103"/>
              <w:rPr>
                <w:rFonts w:ascii="宋体"/>
                <w:sz w:val="21"/>
                <w:szCs w:val="21"/>
              </w:rPr>
            </w:pPr>
            <w:r>
              <w:rPr>
                <w:rFonts w:ascii="宋体" w:hint="eastAsia"/>
                <w:sz w:val="21"/>
                <w:szCs w:val="21"/>
              </w:rPr>
              <w:t>楝</w:t>
            </w:r>
          </w:p>
        </w:tc>
        <w:tc>
          <w:tcPr>
            <w:tcW w:w="844" w:type="pct"/>
          </w:tcPr>
          <w:p w14:paraId="55AB5F11" w14:textId="77777777" w:rsidR="007D1E74" w:rsidRDefault="00A95641">
            <w:pPr>
              <w:pStyle w:val="TableParagraph"/>
              <w:ind w:left="103"/>
              <w:rPr>
                <w:rFonts w:ascii="宋体"/>
                <w:sz w:val="21"/>
                <w:szCs w:val="21"/>
              </w:rPr>
            </w:pPr>
            <w:r>
              <w:rPr>
                <w:rFonts w:ascii="宋体" w:hint="eastAsia"/>
                <w:sz w:val="21"/>
                <w:szCs w:val="21"/>
              </w:rPr>
              <w:t>花期</w:t>
            </w:r>
          </w:p>
        </w:tc>
        <w:tc>
          <w:tcPr>
            <w:tcW w:w="673" w:type="pct"/>
          </w:tcPr>
          <w:p w14:paraId="2A6AF036" w14:textId="77777777" w:rsidR="007D1E74" w:rsidRDefault="00A95641">
            <w:pPr>
              <w:pStyle w:val="TableParagraph"/>
              <w:spacing w:before="25"/>
              <w:rPr>
                <w:sz w:val="21"/>
                <w:szCs w:val="21"/>
              </w:rPr>
            </w:pPr>
            <w:r>
              <w:rPr>
                <w:sz w:val="21"/>
                <w:szCs w:val="21"/>
              </w:rPr>
              <w:t>1</w:t>
            </w:r>
          </w:p>
        </w:tc>
        <w:tc>
          <w:tcPr>
            <w:tcW w:w="589" w:type="pct"/>
          </w:tcPr>
          <w:p w14:paraId="638E0F2C" w14:textId="77777777" w:rsidR="007D1E74" w:rsidRDefault="00A95641">
            <w:pPr>
              <w:pStyle w:val="TableParagraph"/>
              <w:spacing w:before="25"/>
              <w:ind w:left="231" w:right="231"/>
              <w:rPr>
                <w:sz w:val="21"/>
                <w:szCs w:val="21"/>
              </w:rPr>
            </w:pPr>
            <w:r>
              <w:rPr>
                <w:sz w:val="21"/>
                <w:szCs w:val="21"/>
              </w:rPr>
              <w:t>Sp</w:t>
            </w:r>
          </w:p>
        </w:tc>
        <w:tc>
          <w:tcPr>
            <w:tcW w:w="978" w:type="pct"/>
          </w:tcPr>
          <w:p w14:paraId="5BE8F6BB" w14:textId="77777777" w:rsidR="007D1E74" w:rsidRDefault="00A95641">
            <w:pPr>
              <w:pStyle w:val="TableParagraph"/>
              <w:spacing w:before="25"/>
              <w:ind w:right="1"/>
              <w:rPr>
                <w:sz w:val="21"/>
                <w:szCs w:val="21"/>
              </w:rPr>
            </w:pPr>
            <w:r>
              <w:rPr>
                <w:sz w:val="21"/>
                <w:szCs w:val="21"/>
              </w:rPr>
              <w:t>7</w:t>
            </w:r>
          </w:p>
        </w:tc>
        <w:tc>
          <w:tcPr>
            <w:tcW w:w="652" w:type="pct"/>
          </w:tcPr>
          <w:p w14:paraId="134E456B" w14:textId="77777777" w:rsidR="007D1E74" w:rsidRDefault="00A95641">
            <w:pPr>
              <w:pStyle w:val="TableParagraph"/>
              <w:spacing w:before="25"/>
              <w:ind w:right="108"/>
              <w:rPr>
                <w:sz w:val="21"/>
                <w:szCs w:val="21"/>
              </w:rPr>
            </w:pPr>
            <w:r>
              <w:rPr>
                <w:sz w:val="21"/>
                <w:szCs w:val="21"/>
              </w:rPr>
              <w:t>3</w:t>
            </w:r>
          </w:p>
        </w:tc>
      </w:tr>
      <w:tr w:rsidR="007D1E74" w14:paraId="6B9586D8" w14:textId="77777777">
        <w:trPr>
          <w:trHeight w:hRule="exact" w:val="336"/>
        </w:trPr>
        <w:tc>
          <w:tcPr>
            <w:tcW w:w="440" w:type="pct"/>
          </w:tcPr>
          <w:p w14:paraId="26A66C2F" w14:textId="77777777" w:rsidR="007D1E74" w:rsidRDefault="00A95641">
            <w:pPr>
              <w:pStyle w:val="TableParagraph"/>
              <w:spacing w:before="25"/>
              <w:ind w:left="3"/>
              <w:rPr>
                <w:sz w:val="21"/>
                <w:szCs w:val="21"/>
              </w:rPr>
            </w:pPr>
            <w:r>
              <w:rPr>
                <w:sz w:val="21"/>
                <w:szCs w:val="21"/>
              </w:rPr>
              <w:t>4</w:t>
            </w:r>
          </w:p>
        </w:tc>
        <w:tc>
          <w:tcPr>
            <w:tcW w:w="824" w:type="pct"/>
          </w:tcPr>
          <w:p w14:paraId="59911526" w14:textId="77777777" w:rsidR="007D1E74" w:rsidRDefault="00A95641">
            <w:pPr>
              <w:pStyle w:val="TableParagraph"/>
              <w:ind w:left="103"/>
              <w:rPr>
                <w:rFonts w:ascii="宋体"/>
                <w:sz w:val="21"/>
                <w:szCs w:val="21"/>
              </w:rPr>
            </w:pPr>
            <w:r>
              <w:rPr>
                <w:rFonts w:ascii="宋体" w:hint="eastAsia"/>
                <w:sz w:val="21"/>
                <w:szCs w:val="21"/>
              </w:rPr>
              <w:t>构树</w:t>
            </w:r>
          </w:p>
        </w:tc>
        <w:tc>
          <w:tcPr>
            <w:tcW w:w="844" w:type="pct"/>
          </w:tcPr>
          <w:p w14:paraId="2DE536FC" w14:textId="77777777" w:rsidR="007D1E74" w:rsidRDefault="00A95641">
            <w:pPr>
              <w:pStyle w:val="TableParagraph"/>
              <w:ind w:left="103"/>
              <w:rPr>
                <w:rFonts w:ascii="宋体"/>
                <w:sz w:val="21"/>
                <w:szCs w:val="21"/>
              </w:rPr>
            </w:pPr>
            <w:r>
              <w:rPr>
                <w:rFonts w:ascii="宋体" w:hint="eastAsia"/>
                <w:sz w:val="21"/>
                <w:szCs w:val="21"/>
              </w:rPr>
              <w:t>果期</w:t>
            </w:r>
          </w:p>
        </w:tc>
        <w:tc>
          <w:tcPr>
            <w:tcW w:w="673" w:type="pct"/>
          </w:tcPr>
          <w:p w14:paraId="4D7B35C4" w14:textId="77777777" w:rsidR="007D1E74" w:rsidRDefault="00A95641">
            <w:pPr>
              <w:pStyle w:val="TableParagraph"/>
              <w:spacing w:before="25"/>
              <w:rPr>
                <w:sz w:val="21"/>
                <w:szCs w:val="21"/>
              </w:rPr>
            </w:pPr>
            <w:r>
              <w:rPr>
                <w:sz w:val="21"/>
                <w:szCs w:val="21"/>
              </w:rPr>
              <w:t>1</w:t>
            </w:r>
          </w:p>
        </w:tc>
        <w:tc>
          <w:tcPr>
            <w:tcW w:w="589" w:type="pct"/>
          </w:tcPr>
          <w:p w14:paraId="0ACA8057" w14:textId="77777777" w:rsidR="007D1E74" w:rsidRDefault="00A95641">
            <w:pPr>
              <w:pStyle w:val="TableParagraph"/>
              <w:spacing w:before="25"/>
              <w:ind w:left="231" w:right="231"/>
              <w:rPr>
                <w:sz w:val="21"/>
                <w:szCs w:val="21"/>
              </w:rPr>
            </w:pPr>
            <w:r>
              <w:rPr>
                <w:sz w:val="21"/>
                <w:szCs w:val="21"/>
              </w:rPr>
              <w:t>Sp</w:t>
            </w:r>
          </w:p>
        </w:tc>
        <w:tc>
          <w:tcPr>
            <w:tcW w:w="978" w:type="pct"/>
          </w:tcPr>
          <w:p w14:paraId="15AA3ECF" w14:textId="77777777" w:rsidR="007D1E74" w:rsidRDefault="00A95641">
            <w:pPr>
              <w:pStyle w:val="TableParagraph"/>
              <w:spacing w:before="25"/>
              <w:ind w:right="1"/>
              <w:rPr>
                <w:sz w:val="21"/>
                <w:szCs w:val="21"/>
              </w:rPr>
            </w:pPr>
            <w:r>
              <w:rPr>
                <w:sz w:val="21"/>
                <w:szCs w:val="21"/>
              </w:rPr>
              <w:t>6</w:t>
            </w:r>
          </w:p>
        </w:tc>
        <w:tc>
          <w:tcPr>
            <w:tcW w:w="652" w:type="pct"/>
          </w:tcPr>
          <w:p w14:paraId="3F383D54" w14:textId="77777777" w:rsidR="007D1E74" w:rsidRDefault="00A95641">
            <w:pPr>
              <w:pStyle w:val="TableParagraph"/>
              <w:spacing w:before="25"/>
              <w:ind w:right="108"/>
              <w:rPr>
                <w:sz w:val="21"/>
                <w:szCs w:val="21"/>
              </w:rPr>
            </w:pPr>
            <w:r>
              <w:rPr>
                <w:sz w:val="21"/>
                <w:szCs w:val="21"/>
              </w:rPr>
              <w:t>2</w:t>
            </w:r>
          </w:p>
        </w:tc>
      </w:tr>
      <w:tr w:rsidR="007D1E74" w14:paraId="1F9B06BF" w14:textId="77777777">
        <w:trPr>
          <w:trHeight w:hRule="exact" w:val="336"/>
        </w:trPr>
        <w:tc>
          <w:tcPr>
            <w:tcW w:w="440" w:type="pct"/>
          </w:tcPr>
          <w:p w14:paraId="626309AC" w14:textId="77777777" w:rsidR="007D1E74" w:rsidRDefault="00A95641">
            <w:pPr>
              <w:pStyle w:val="TableParagraph"/>
              <w:spacing w:before="25"/>
              <w:ind w:left="3"/>
              <w:rPr>
                <w:sz w:val="21"/>
                <w:szCs w:val="21"/>
              </w:rPr>
            </w:pPr>
            <w:r>
              <w:rPr>
                <w:sz w:val="21"/>
                <w:szCs w:val="21"/>
              </w:rPr>
              <w:t>5</w:t>
            </w:r>
          </w:p>
        </w:tc>
        <w:tc>
          <w:tcPr>
            <w:tcW w:w="824" w:type="pct"/>
          </w:tcPr>
          <w:p w14:paraId="0C76F968" w14:textId="77777777" w:rsidR="007D1E74" w:rsidRDefault="00A95641">
            <w:pPr>
              <w:pStyle w:val="TableParagraph"/>
              <w:ind w:left="103"/>
              <w:rPr>
                <w:rFonts w:ascii="宋体"/>
                <w:sz w:val="21"/>
                <w:szCs w:val="21"/>
              </w:rPr>
            </w:pPr>
            <w:r>
              <w:rPr>
                <w:rFonts w:ascii="宋体" w:hint="eastAsia"/>
                <w:sz w:val="21"/>
                <w:szCs w:val="21"/>
              </w:rPr>
              <w:t>八角枫</w:t>
            </w:r>
          </w:p>
        </w:tc>
        <w:tc>
          <w:tcPr>
            <w:tcW w:w="844" w:type="pct"/>
          </w:tcPr>
          <w:p w14:paraId="4B4AD02A" w14:textId="77777777" w:rsidR="007D1E74" w:rsidRDefault="00A95641">
            <w:pPr>
              <w:pStyle w:val="TableParagraph"/>
              <w:ind w:left="103"/>
              <w:rPr>
                <w:rFonts w:ascii="宋体"/>
                <w:sz w:val="21"/>
                <w:szCs w:val="21"/>
              </w:rPr>
            </w:pPr>
            <w:r>
              <w:rPr>
                <w:rFonts w:ascii="宋体" w:hint="eastAsia"/>
                <w:sz w:val="21"/>
                <w:szCs w:val="21"/>
              </w:rPr>
              <w:t>营养期</w:t>
            </w:r>
          </w:p>
        </w:tc>
        <w:tc>
          <w:tcPr>
            <w:tcW w:w="673" w:type="pct"/>
          </w:tcPr>
          <w:p w14:paraId="1020BCBE" w14:textId="77777777" w:rsidR="007D1E74" w:rsidRDefault="00A95641">
            <w:pPr>
              <w:pStyle w:val="TableParagraph"/>
              <w:spacing w:before="25"/>
              <w:rPr>
                <w:sz w:val="21"/>
                <w:szCs w:val="21"/>
              </w:rPr>
            </w:pPr>
            <w:r>
              <w:rPr>
                <w:sz w:val="21"/>
                <w:szCs w:val="21"/>
              </w:rPr>
              <w:t>1</w:t>
            </w:r>
          </w:p>
        </w:tc>
        <w:tc>
          <w:tcPr>
            <w:tcW w:w="589" w:type="pct"/>
          </w:tcPr>
          <w:p w14:paraId="52F58490" w14:textId="77777777" w:rsidR="007D1E74" w:rsidRDefault="00A95641">
            <w:pPr>
              <w:pStyle w:val="TableParagraph"/>
              <w:spacing w:before="25"/>
              <w:ind w:left="231" w:right="231"/>
              <w:rPr>
                <w:sz w:val="21"/>
                <w:szCs w:val="21"/>
              </w:rPr>
            </w:pPr>
            <w:r>
              <w:rPr>
                <w:sz w:val="21"/>
                <w:szCs w:val="21"/>
              </w:rPr>
              <w:t>Sp</w:t>
            </w:r>
          </w:p>
        </w:tc>
        <w:tc>
          <w:tcPr>
            <w:tcW w:w="978" w:type="pct"/>
          </w:tcPr>
          <w:p w14:paraId="2FEB635A" w14:textId="77777777" w:rsidR="007D1E74" w:rsidRDefault="00A95641">
            <w:pPr>
              <w:pStyle w:val="TableParagraph"/>
              <w:spacing w:before="25"/>
              <w:ind w:right="1"/>
              <w:rPr>
                <w:sz w:val="21"/>
                <w:szCs w:val="21"/>
              </w:rPr>
            </w:pPr>
            <w:r>
              <w:rPr>
                <w:sz w:val="21"/>
                <w:szCs w:val="21"/>
              </w:rPr>
              <w:t>7</w:t>
            </w:r>
          </w:p>
        </w:tc>
        <w:tc>
          <w:tcPr>
            <w:tcW w:w="652" w:type="pct"/>
          </w:tcPr>
          <w:p w14:paraId="744F41C5" w14:textId="77777777" w:rsidR="007D1E74" w:rsidRDefault="00A95641">
            <w:pPr>
              <w:pStyle w:val="TableParagraph"/>
              <w:spacing w:before="25"/>
              <w:ind w:right="108"/>
              <w:rPr>
                <w:sz w:val="21"/>
                <w:szCs w:val="21"/>
              </w:rPr>
            </w:pPr>
            <w:r>
              <w:rPr>
                <w:sz w:val="21"/>
                <w:szCs w:val="21"/>
              </w:rPr>
              <w:t>2</w:t>
            </w:r>
          </w:p>
        </w:tc>
      </w:tr>
      <w:tr w:rsidR="007D1E74" w14:paraId="58C6CEDA" w14:textId="77777777">
        <w:trPr>
          <w:trHeight w:hRule="exact" w:val="336"/>
        </w:trPr>
        <w:tc>
          <w:tcPr>
            <w:tcW w:w="440" w:type="pct"/>
          </w:tcPr>
          <w:p w14:paraId="195EA1AF" w14:textId="77777777" w:rsidR="007D1E74" w:rsidRDefault="00A95641">
            <w:pPr>
              <w:pStyle w:val="TableParagraph"/>
              <w:spacing w:before="25"/>
              <w:ind w:left="3"/>
              <w:rPr>
                <w:sz w:val="21"/>
                <w:szCs w:val="21"/>
              </w:rPr>
            </w:pPr>
            <w:r>
              <w:rPr>
                <w:sz w:val="21"/>
                <w:szCs w:val="21"/>
              </w:rPr>
              <w:t>6</w:t>
            </w:r>
          </w:p>
        </w:tc>
        <w:tc>
          <w:tcPr>
            <w:tcW w:w="824" w:type="pct"/>
          </w:tcPr>
          <w:p w14:paraId="5E6D7750" w14:textId="77777777" w:rsidR="007D1E74" w:rsidRDefault="00A95641">
            <w:pPr>
              <w:pStyle w:val="TableParagraph"/>
              <w:ind w:left="103"/>
              <w:rPr>
                <w:rFonts w:ascii="宋体"/>
                <w:sz w:val="21"/>
                <w:szCs w:val="21"/>
              </w:rPr>
            </w:pPr>
            <w:r>
              <w:rPr>
                <w:rFonts w:ascii="宋体" w:hint="eastAsia"/>
                <w:sz w:val="21"/>
                <w:szCs w:val="21"/>
              </w:rPr>
              <w:t>高粱泡</w:t>
            </w:r>
          </w:p>
        </w:tc>
        <w:tc>
          <w:tcPr>
            <w:tcW w:w="844" w:type="pct"/>
          </w:tcPr>
          <w:p w14:paraId="28870F81" w14:textId="77777777" w:rsidR="007D1E74" w:rsidRDefault="00A95641">
            <w:pPr>
              <w:pStyle w:val="TableParagraph"/>
              <w:ind w:left="103"/>
              <w:rPr>
                <w:rFonts w:ascii="宋体"/>
                <w:sz w:val="21"/>
                <w:szCs w:val="21"/>
              </w:rPr>
            </w:pPr>
            <w:r>
              <w:rPr>
                <w:rFonts w:ascii="宋体" w:hint="eastAsia"/>
                <w:sz w:val="21"/>
                <w:szCs w:val="21"/>
              </w:rPr>
              <w:t>果期</w:t>
            </w:r>
          </w:p>
        </w:tc>
        <w:tc>
          <w:tcPr>
            <w:tcW w:w="673" w:type="pct"/>
          </w:tcPr>
          <w:p w14:paraId="606AA0BA" w14:textId="77777777" w:rsidR="007D1E74" w:rsidRDefault="00A95641">
            <w:pPr>
              <w:pStyle w:val="TableParagraph"/>
              <w:spacing w:before="25"/>
              <w:rPr>
                <w:sz w:val="21"/>
                <w:szCs w:val="21"/>
              </w:rPr>
            </w:pPr>
            <w:r>
              <w:rPr>
                <w:sz w:val="21"/>
                <w:szCs w:val="21"/>
              </w:rPr>
              <w:t>2</w:t>
            </w:r>
          </w:p>
        </w:tc>
        <w:tc>
          <w:tcPr>
            <w:tcW w:w="589" w:type="pct"/>
          </w:tcPr>
          <w:p w14:paraId="75A4E9BE" w14:textId="77777777" w:rsidR="007D1E74" w:rsidRDefault="00A95641">
            <w:pPr>
              <w:pStyle w:val="TableParagraph"/>
              <w:spacing w:before="22"/>
              <w:ind w:left="231" w:right="231"/>
              <w:rPr>
                <w:sz w:val="21"/>
                <w:szCs w:val="21"/>
              </w:rPr>
            </w:pPr>
            <w:r>
              <w:rPr>
                <w:position w:val="2"/>
                <w:sz w:val="21"/>
                <w:szCs w:val="21"/>
              </w:rPr>
              <w:t>Cop</w:t>
            </w:r>
            <w:r>
              <w:rPr>
                <w:sz w:val="21"/>
                <w:szCs w:val="21"/>
              </w:rPr>
              <w:t>1</w:t>
            </w:r>
          </w:p>
        </w:tc>
        <w:tc>
          <w:tcPr>
            <w:tcW w:w="978" w:type="pct"/>
          </w:tcPr>
          <w:p w14:paraId="52A8069F" w14:textId="77777777" w:rsidR="007D1E74" w:rsidRDefault="00A95641">
            <w:pPr>
              <w:pStyle w:val="TableParagraph"/>
              <w:spacing w:before="25"/>
              <w:ind w:left="170" w:right="170"/>
              <w:rPr>
                <w:sz w:val="21"/>
                <w:szCs w:val="21"/>
              </w:rPr>
            </w:pPr>
            <w:r>
              <w:rPr>
                <w:sz w:val="21"/>
                <w:szCs w:val="21"/>
              </w:rPr>
              <w:t>1.5</w:t>
            </w:r>
          </w:p>
        </w:tc>
        <w:tc>
          <w:tcPr>
            <w:tcW w:w="652" w:type="pct"/>
          </w:tcPr>
          <w:p w14:paraId="1312F17C" w14:textId="77777777" w:rsidR="007D1E74" w:rsidRDefault="00A95641">
            <w:pPr>
              <w:pStyle w:val="TableParagraph"/>
              <w:spacing w:before="25"/>
              <w:ind w:left="116" w:right="224"/>
              <w:rPr>
                <w:sz w:val="21"/>
                <w:szCs w:val="21"/>
              </w:rPr>
            </w:pPr>
            <w:r>
              <w:rPr>
                <w:sz w:val="21"/>
                <w:szCs w:val="21"/>
              </w:rPr>
              <w:t>15</w:t>
            </w:r>
          </w:p>
        </w:tc>
      </w:tr>
      <w:tr w:rsidR="007D1E74" w14:paraId="0B2B1110" w14:textId="77777777">
        <w:trPr>
          <w:trHeight w:hRule="exact" w:val="336"/>
        </w:trPr>
        <w:tc>
          <w:tcPr>
            <w:tcW w:w="440" w:type="pct"/>
          </w:tcPr>
          <w:p w14:paraId="5DFA72DC" w14:textId="77777777" w:rsidR="007D1E74" w:rsidRDefault="00A95641">
            <w:pPr>
              <w:pStyle w:val="TableParagraph"/>
              <w:spacing w:before="25"/>
              <w:ind w:left="3"/>
              <w:rPr>
                <w:sz w:val="21"/>
                <w:szCs w:val="21"/>
              </w:rPr>
            </w:pPr>
            <w:r>
              <w:rPr>
                <w:sz w:val="21"/>
                <w:szCs w:val="21"/>
              </w:rPr>
              <w:t>7</w:t>
            </w:r>
          </w:p>
        </w:tc>
        <w:tc>
          <w:tcPr>
            <w:tcW w:w="824" w:type="pct"/>
          </w:tcPr>
          <w:p w14:paraId="6C1550D0" w14:textId="77777777" w:rsidR="007D1E74" w:rsidRDefault="00A95641">
            <w:pPr>
              <w:pStyle w:val="TableParagraph"/>
              <w:ind w:left="103"/>
              <w:rPr>
                <w:rFonts w:ascii="宋体"/>
                <w:sz w:val="21"/>
                <w:szCs w:val="21"/>
              </w:rPr>
            </w:pPr>
            <w:r>
              <w:rPr>
                <w:rFonts w:ascii="宋体" w:hint="eastAsia"/>
                <w:sz w:val="21"/>
                <w:szCs w:val="21"/>
              </w:rPr>
              <w:t>火棘</w:t>
            </w:r>
          </w:p>
        </w:tc>
        <w:tc>
          <w:tcPr>
            <w:tcW w:w="844" w:type="pct"/>
          </w:tcPr>
          <w:p w14:paraId="08CA352D" w14:textId="77777777" w:rsidR="007D1E74" w:rsidRDefault="00A95641">
            <w:pPr>
              <w:pStyle w:val="TableParagraph"/>
              <w:ind w:left="103"/>
              <w:rPr>
                <w:rFonts w:ascii="宋体"/>
                <w:sz w:val="21"/>
                <w:szCs w:val="21"/>
              </w:rPr>
            </w:pPr>
            <w:r>
              <w:rPr>
                <w:rFonts w:ascii="宋体" w:hint="eastAsia"/>
                <w:sz w:val="21"/>
                <w:szCs w:val="21"/>
              </w:rPr>
              <w:t>果期</w:t>
            </w:r>
          </w:p>
        </w:tc>
        <w:tc>
          <w:tcPr>
            <w:tcW w:w="673" w:type="pct"/>
          </w:tcPr>
          <w:p w14:paraId="5066AB54" w14:textId="77777777" w:rsidR="007D1E74" w:rsidRDefault="00A95641">
            <w:pPr>
              <w:pStyle w:val="TableParagraph"/>
              <w:spacing w:before="25"/>
              <w:rPr>
                <w:sz w:val="21"/>
                <w:szCs w:val="21"/>
              </w:rPr>
            </w:pPr>
            <w:r>
              <w:rPr>
                <w:sz w:val="21"/>
                <w:szCs w:val="21"/>
              </w:rPr>
              <w:t>6</w:t>
            </w:r>
          </w:p>
        </w:tc>
        <w:tc>
          <w:tcPr>
            <w:tcW w:w="589" w:type="pct"/>
          </w:tcPr>
          <w:p w14:paraId="0DC7A743" w14:textId="77777777" w:rsidR="007D1E74" w:rsidRDefault="00A95641">
            <w:pPr>
              <w:pStyle w:val="TableParagraph"/>
              <w:spacing w:before="25"/>
              <w:ind w:left="231" w:right="231"/>
              <w:rPr>
                <w:sz w:val="21"/>
                <w:szCs w:val="21"/>
              </w:rPr>
            </w:pPr>
            <w:r>
              <w:rPr>
                <w:sz w:val="21"/>
                <w:szCs w:val="21"/>
              </w:rPr>
              <w:t>Sp</w:t>
            </w:r>
          </w:p>
        </w:tc>
        <w:tc>
          <w:tcPr>
            <w:tcW w:w="978" w:type="pct"/>
          </w:tcPr>
          <w:p w14:paraId="3F685E7A" w14:textId="77777777" w:rsidR="007D1E74" w:rsidRDefault="00A95641">
            <w:pPr>
              <w:pStyle w:val="TableParagraph"/>
              <w:spacing w:before="25"/>
              <w:ind w:left="170" w:right="170"/>
              <w:rPr>
                <w:sz w:val="21"/>
                <w:szCs w:val="21"/>
              </w:rPr>
            </w:pPr>
            <w:r>
              <w:rPr>
                <w:sz w:val="21"/>
                <w:szCs w:val="21"/>
              </w:rPr>
              <w:t>1.7</w:t>
            </w:r>
          </w:p>
        </w:tc>
        <w:tc>
          <w:tcPr>
            <w:tcW w:w="652" w:type="pct"/>
          </w:tcPr>
          <w:p w14:paraId="21FD3D72" w14:textId="77777777" w:rsidR="007D1E74" w:rsidRDefault="00A95641">
            <w:pPr>
              <w:pStyle w:val="TableParagraph"/>
              <w:spacing w:before="25"/>
              <w:ind w:right="108"/>
              <w:rPr>
                <w:sz w:val="21"/>
                <w:szCs w:val="21"/>
              </w:rPr>
            </w:pPr>
            <w:r>
              <w:rPr>
                <w:sz w:val="21"/>
                <w:szCs w:val="21"/>
              </w:rPr>
              <w:t>6</w:t>
            </w:r>
          </w:p>
        </w:tc>
      </w:tr>
      <w:tr w:rsidR="007D1E74" w14:paraId="7B5EB0B5" w14:textId="77777777">
        <w:trPr>
          <w:trHeight w:hRule="exact" w:val="336"/>
        </w:trPr>
        <w:tc>
          <w:tcPr>
            <w:tcW w:w="440" w:type="pct"/>
          </w:tcPr>
          <w:p w14:paraId="0E3A53B4" w14:textId="77777777" w:rsidR="007D1E74" w:rsidRDefault="00A95641">
            <w:pPr>
              <w:pStyle w:val="TableParagraph"/>
              <w:spacing w:before="25"/>
              <w:ind w:left="3"/>
              <w:rPr>
                <w:sz w:val="21"/>
                <w:szCs w:val="21"/>
              </w:rPr>
            </w:pPr>
            <w:r>
              <w:rPr>
                <w:sz w:val="21"/>
                <w:szCs w:val="21"/>
              </w:rPr>
              <w:t>8</w:t>
            </w:r>
          </w:p>
        </w:tc>
        <w:tc>
          <w:tcPr>
            <w:tcW w:w="824" w:type="pct"/>
          </w:tcPr>
          <w:p w14:paraId="6EA9DF67" w14:textId="77777777" w:rsidR="007D1E74" w:rsidRDefault="00A95641">
            <w:pPr>
              <w:pStyle w:val="TableParagraph"/>
              <w:ind w:left="103"/>
              <w:rPr>
                <w:rFonts w:ascii="宋体"/>
                <w:sz w:val="21"/>
                <w:szCs w:val="21"/>
              </w:rPr>
            </w:pPr>
            <w:r>
              <w:rPr>
                <w:rFonts w:ascii="宋体" w:hint="eastAsia"/>
                <w:sz w:val="21"/>
                <w:szCs w:val="21"/>
              </w:rPr>
              <w:t>白茅</w:t>
            </w:r>
          </w:p>
        </w:tc>
        <w:tc>
          <w:tcPr>
            <w:tcW w:w="844" w:type="pct"/>
          </w:tcPr>
          <w:p w14:paraId="05EC6968" w14:textId="77777777" w:rsidR="007D1E74" w:rsidRDefault="00A95641">
            <w:pPr>
              <w:pStyle w:val="TableParagraph"/>
              <w:ind w:left="103"/>
              <w:rPr>
                <w:rFonts w:ascii="宋体"/>
                <w:sz w:val="21"/>
                <w:szCs w:val="21"/>
              </w:rPr>
            </w:pPr>
            <w:r>
              <w:rPr>
                <w:rFonts w:ascii="宋体" w:hint="eastAsia"/>
                <w:sz w:val="21"/>
                <w:szCs w:val="21"/>
              </w:rPr>
              <w:t>营养期</w:t>
            </w:r>
          </w:p>
        </w:tc>
        <w:tc>
          <w:tcPr>
            <w:tcW w:w="673" w:type="pct"/>
          </w:tcPr>
          <w:p w14:paraId="59947F57" w14:textId="77777777" w:rsidR="007D1E74" w:rsidRDefault="00A95641">
            <w:pPr>
              <w:pStyle w:val="TableParagraph"/>
              <w:spacing w:before="25"/>
              <w:rPr>
                <w:sz w:val="21"/>
                <w:szCs w:val="21"/>
              </w:rPr>
            </w:pPr>
            <w:r>
              <w:rPr>
                <w:sz w:val="21"/>
                <w:szCs w:val="21"/>
              </w:rPr>
              <w:t>2</w:t>
            </w:r>
          </w:p>
        </w:tc>
        <w:tc>
          <w:tcPr>
            <w:tcW w:w="589" w:type="pct"/>
          </w:tcPr>
          <w:p w14:paraId="30E60E2A" w14:textId="77777777" w:rsidR="007D1E74" w:rsidRDefault="00A95641">
            <w:pPr>
              <w:pStyle w:val="TableParagraph"/>
              <w:spacing w:before="22"/>
              <w:ind w:left="231" w:right="231"/>
              <w:rPr>
                <w:sz w:val="21"/>
                <w:szCs w:val="21"/>
              </w:rPr>
            </w:pPr>
            <w:r>
              <w:rPr>
                <w:position w:val="2"/>
                <w:sz w:val="21"/>
                <w:szCs w:val="21"/>
              </w:rPr>
              <w:t>Cop</w:t>
            </w:r>
            <w:r>
              <w:rPr>
                <w:sz w:val="21"/>
                <w:szCs w:val="21"/>
              </w:rPr>
              <w:t>1</w:t>
            </w:r>
          </w:p>
        </w:tc>
        <w:tc>
          <w:tcPr>
            <w:tcW w:w="978" w:type="pct"/>
          </w:tcPr>
          <w:p w14:paraId="04BA27C5" w14:textId="77777777" w:rsidR="007D1E74" w:rsidRDefault="00A95641">
            <w:pPr>
              <w:pStyle w:val="TableParagraph"/>
              <w:spacing w:before="25"/>
              <w:ind w:left="170" w:right="170"/>
              <w:rPr>
                <w:sz w:val="21"/>
                <w:szCs w:val="21"/>
              </w:rPr>
            </w:pPr>
            <w:r>
              <w:rPr>
                <w:sz w:val="21"/>
                <w:szCs w:val="21"/>
              </w:rPr>
              <w:t>0.9</w:t>
            </w:r>
          </w:p>
        </w:tc>
        <w:tc>
          <w:tcPr>
            <w:tcW w:w="652" w:type="pct"/>
          </w:tcPr>
          <w:p w14:paraId="7494611E" w14:textId="77777777" w:rsidR="007D1E74" w:rsidRDefault="00A95641">
            <w:pPr>
              <w:pStyle w:val="TableParagraph"/>
              <w:spacing w:before="25"/>
              <w:ind w:left="116" w:right="224"/>
              <w:rPr>
                <w:sz w:val="21"/>
                <w:szCs w:val="21"/>
              </w:rPr>
            </w:pPr>
            <w:r>
              <w:rPr>
                <w:sz w:val="21"/>
                <w:szCs w:val="21"/>
              </w:rPr>
              <w:t>15</w:t>
            </w:r>
          </w:p>
        </w:tc>
      </w:tr>
      <w:tr w:rsidR="007D1E74" w14:paraId="0AA049CA" w14:textId="77777777">
        <w:trPr>
          <w:trHeight w:hRule="exact" w:val="336"/>
        </w:trPr>
        <w:tc>
          <w:tcPr>
            <w:tcW w:w="440" w:type="pct"/>
          </w:tcPr>
          <w:p w14:paraId="7AAE16D9" w14:textId="77777777" w:rsidR="007D1E74" w:rsidRDefault="00A95641">
            <w:pPr>
              <w:pStyle w:val="TableParagraph"/>
              <w:spacing w:before="25"/>
              <w:ind w:left="3"/>
              <w:rPr>
                <w:sz w:val="21"/>
                <w:szCs w:val="21"/>
              </w:rPr>
            </w:pPr>
            <w:r>
              <w:rPr>
                <w:sz w:val="21"/>
                <w:szCs w:val="21"/>
              </w:rPr>
              <w:t>9</w:t>
            </w:r>
          </w:p>
        </w:tc>
        <w:tc>
          <w:tcPr>
            <w:tcW w:w="824" w:type="pct"/>
          </w:tcPr>
          <w:p w14:paraId="03AF6FDB" w14:textId="77777777" w:rsidR="007D1E74" w:rsidRDefault="00A95641">
            <w:pPr>
              <w:pStyle w:val="TableParagraph"/>
              <w:ind w:left="103"/>
              <w:rPr>
                <w:rFonts w:ascii="宋体"/>
                <w:sz w:val="21"/>
                <w:szCs w:val="21"/>
              </w:rPr>
            </w:pPr>
            <w:r>
              <w:rPr>
                <w:rFonts w:ascii="宋体" w:hint="eastAsia"/>
                <w:sz w:val="21"/>
                <w:szCs w:val="21"/>
              </w:rPr>
              <w:t>矛叶荩草</w:t>
            </w:r>
          </w:p>
        </w:tc>
        <w:tc>
          <w:tcPr>
            <w:tcW w:w="844" w:type="pct"/>
          </w:tcPr>
          <w:p w14:paraId="7C62E31F" w14:textId="77777777" w:rsidR="007D1E74" w:rsidRDefault="00A95641">
            <w:pPr>
              <w:pStyle w:val="TableParagraph"/>
              <w:ind w:left="103"/>
              <w:rPr>
                <w:rFonts w:ascii="宋体"/>
                <w:sz w:val="21"/>
                <w:szCs w:val="21"/>
              </w:rPr>
            </w:pPr>
            <w:r>
              <w:rPr>
                <w:rFonts w:ascii="宋体" w:hint="eastAsia"/>
                <w:sz w:val="21"/>
                <w:szCs w:val="21"/>
              </w:rPr>
              <w:t>营养期</w:t>
            </w:r>
          </w:p>
        </w:tc>
        <w:tc>
          <w:tcPr>
            <w:tcW w:w="673" w:type="pct"/>
          </w:tcPr>
          <w:p w14:paraId="78B00FCC" w14:textId="77777777" w:rsidR="007D1E74" w:rsidRDefault="00A95641">
            <w:pPr>
              <w:pStyle w:val="TableParagraph"/>
              <w:spacing w:before="25"/>
              <w:rPr>
                <w:sz w:val="21"/>
                <w:szCs w:val="21"/>
              </w:rPr>
            </w:pPr>
            <w:r>
              <w:rPr>
                <w:sz w:val="21"/>
                <w:szCs w:val="21"/>
              </w:rPr>
              <w:t>3</w:t>
            </w:r>
          </w:p>
        </w:tc>
        <w:tc>
          <w:tcPr>
            <w:tcW w:w="589" w:type="pct"/>
          </w:tcPr>
          <w:p w14:paraId="155B08E9" w14:textId="77777777" w:rsidR="007D1E74" w:rsidRDefault="00A95641">
            <w:pPr>
              <w:pStyle w:val="TableParagraph"/>
              <w:spacing w:before="22"/>
              <w:ind w:left="231" w:right="231"/>
              <w:rPr>
                <w:sz w:val="21"/>
                <w:szCs w:val="21"/>
              </w:rPr>
            </w:pPr>
            <w:r>
              <w:rPr>
                <w:position w:val="2"/>
                <w:sz w:val="21"/>
                <w:szCs w:val="21"/>
              </w:rPr>
              <w:t>Cop</w:t>
            </w:r>
            <w:r>
              <w:rPr>
                <w:sz w:val="21"/>
                <w:szCs w:val="21"/>
              </w:rPr>
              <w:t>1</w:t>
            </w:r>
          </w:p>
        </w:tc>
        <w:tc>
          <w:tcPr>
            <w:tcW w:w="978" w:type="pct"/>
          </w:tcPr>
          <w:p w14:paraId="6071999A" w14:textId="77777777" w:rsidR="007D1E74" w:rsidRDefault="00A95641">
            <w:pPr>
              <w:pStyle w:val="TableParagraph"/>
              <w:spacing w:before="25"/>
              <w:ind w:left="170" w:right="170"/>
              <w:rPr>
                <w:sz w:val="21"/>
                <w:szCs w:val="21"/>
              </w:rPr>
            </w:pPr>
            <w:r>
              <w:rPr>
                <w:sz w:val="21"/>
                <w:szCs w:val="21"/>
              </w:rPr>
              <w:t>0.3</w:t>
            </w:r>
          </w:p>
        </w:tc>
        <w:tc>
          <w:tcPr>
            <w:tcW w:w="652" w:type="pct"/>
          </w:tcPr>
          <w:p w14:paraId="011E8350" w14:textId="77777777" w:rsidR="007D1E74" w:rsidRDefault="00A95641">
            <w:pPr>
              <w:pStyle w:val="TableParagraph"/>
              <w:spacing w:before="25"/>
              <w:ind w:left="116" w:right="224"/>
              <w:rPr>
                <w:sz w:val="21"/>
                <w:szCs w:val="21"/>
              </w:rPr>
            </w:pPr>
            <w:r>
              <w:rPr>
                <w:sz w:val="21"/>
                <w:szCs w:val="21"/>
              </w:rPr>
              <w:t>12</w:t>
            </w:r>
          </w:p>
        </w:tc>
      </w:tr>
      <w:tr w:rsidR="007D1E74" w14:paraId="3D5A1B3B" w14:textId="77777777">
        <w:trPr>
          <w:trHeight w:hRule="exact" w:val="336"/>
        </w:trPr>
        <w:tc>
          <w:tcPr>
            <w:tcW w:w="440" w:type="pct"/>
          </w:tcPr>
          <w:p w14:paraId="423B86ED" w14:textId="77777777" w:rsidR="007D1E74" w:rsidRDefault="00A95641">
            <w:pPr>
              <w:pStyle w:val="TableParagraph"/>
              <w:spacing w:before="25"/>
              <w:ind w:left="109" w:right="106"/>
              <w:rPr>
                <w:sz w:val="21"/>
                <w:szCs w:val="21"/>
              </w:rPr>
            </w:pPr>
            <w:r>
              <w:rPr>
                <w:sz w:val="21"/>
                <w:szCs w:val="21"/>
              </w:rPr>
              <w:t>10</w:t>
            </w:r>
          </w:p>
        </w:tc>
        <w:tc>
          <w:tcPr>
            <w:tcW w:w="824" w:type="pct"/>
          </w:tcPr>
          <w:p w14:paraId="00B40E73" w14:textId="77777777" w:rsidR="007D1E74" w:rsidRDefault="00A95641">
            <w:pPr>
              <w:pStyle w:val="TableParagraph"/>
              <w:ind w:left="103"/>
              <w:rPr>
                <w:rFonts w:ascii="宋体"/>
                <w:sz w:val="21"/>
                <w:szCs w:val="21"/>
              </w:rPr>
            </w:pPr>
            <w:r>
              <w:rPr>
                <w:rFonts w:ascii="宋体" w:hint="eastAsia"/>
                <w:sz w:val="21"/>
                <w:szCs w:val="21"/>
              </w:rPr>
              <w:t>白苞蒿</w:t>
            </w:r>
          </w:p>
        </w:tc>
        <w:tc>
          <w:tcPr>
            <w:tcW w:w="844" w:type="pct"/>
          </w:tcPr>
          <w:p w14:paraId="169B1391" w14:textId="77777777" w:rsidR="007D1E74" w:rsidRDefault="00A95641">
            <w:pPr>
              <w:pStyle w:val="TableParagraph"/>
              <w:ind w:left="103"/>
              <w:rPr>
                <w:rFonts w:ascii="宋体"/>
                <w:sz w:val="21"/>
                <w:szCs w:val="21"/>
              </w:rPr>
            </w:pPr>
            <w:r>
              <w:rPr>
                <w:rFonts w:ascii="宋体" w:hint="eastAsia"/>
                <w:sz w:val="21"/>
                <w:szCs w:val="21"/>
              </w:rPr>
              <w:t>营养期</w:t>
            </w:r>
          </w:p>
        </w:tc>
        <w:tc>
          <w:tcPr>
            <w:tcW w:w="673" w:type="pct"/>
          </w:tcPr>
          <w:p w14:paraId="564A6796" w14:textId="77777777" w:rsidR="007D1E74" w:rsidRDefault="00A95641">
            <w:pPr>
              <w:pStyle w:val="TableParagraph"/>
              <w:spacing w:before="25"/>
              <w:ind w:left="101" w:right="101"/>
              <w:rPr>
                <w:sz w:val="21"/>
                <w:szCs w:val="21"/>
              </w:rPr>
            </w:pPr>
            <w:r>
              <w:rPr>
                <w:sz w:val="21"/>
                <w:szCs w:val="21"/>
              </w:rPr>
              <w:t>60</w:t>
            </w:r>
          </w:p>
        </w:tc>
        <w:tc>
          <w:tcPr>
            <w:tcW w:w="589" w:type="pct"/>
          </w:tcPr>
          <w:p w14:paraId="7F74B686" w14:textId="77777777" w:rsidR="007D1E74" w:rsidRDefault="00A95641">
            <w:pPr>
              <w:pStyle w:val="TableParagraph"/>
              <w:spacing w:before="25"/>
              <w:ind w:left="231" w:right="231"/>
              <w:rPr>
                <w:sz w:val="21"/>
                <w:szCs w:val="21"/>
              </w:rPr>
            </w:pPr>
            <w:r>
              <w:rPr>
                <w:sz w:val="21"/>
                <w:szCs w:val="21"/>
              </w:rPr>
              <w:t>Sp</w:t>
            </w:r>
          </w:p>
        </w:tc>
        <w:tc>
          <w:tcPr>
            <w:tcW w:w="978" w:type="pct"/>
          </w:tcPr>
          <w:p w14:paraId="3B8B30B6" w14:textId="77777777" w:rsidR="007D1E74" w:rsidRDefault="00A95641">
            <w:pPr>
              <w:pStyle w:val="TableParagraph"/>
              <w:spacing w:before="25"/>
              <w:ind w:left="170" w:right="170"/>
              <w:rPr>
                <w:sz w:val="21"/>
                <w:szCs w:val="21"/>
              </w:rPr>
            </w:pPr>
            <w:r>
              <w:rPr>
                <w:sz w:val="21"/>
                <w:szCs w:val="21"/>
              </w:rPr>
              <w:t>0.8</w:t>
            </w:r>
          </w:p>
        </w:tc>
        <w:tc>
          <w:tcPr>
            <w:tcW w:w="652" w:type="pct"/>
          </w:tcPr>
          <w:p w14:paraId="65D87DAC" w14:textId="77777777" w:rsidR="007D1E74" w:rsidRDefault="00A95641">
            <w:pPr>
              <w:pStyle w:val="TableParagraph"/>
              <w:spacing w:before="25"/>
              <w:ind w:right="108"/>
              <w:rPr>
                <w:sz w:val="21"/>
                <w:szCs w:val="21"/>
              </w:rPr>
            </w:pPr>
            <w:r>
              <w:rPr>
                <w:sz w:val="21"/>
                <w:szCs w:val="21"/>
              </w:rPr>
              <w:t>5</w:t>
            </w:r>
          </w:p>
        </w:tc>
      </w:tr>
      <w:tr w:rsidR="007D1E74" w14:paraId="7FDE6FD1" w14:textId="77777777">
        <w:trPr>
          <w:trHeight w:hRule="exact" w:val="336"/>
        </w:trPr>
        <w:tc>
          <w:tcPr>
            <w:tcW w:w="440" w:type="pct"/>
          </w:tcPr>
          <w:p w14:paraId="44D387EA" w14:textId="77777777" w:rsidR="007D1E74" w:rsidRDefault="00A95641">
            <w:pPr>
              <w:pStyle w:val="TableParagraph"/>
              <w:spacing w:before="25"/>
              <w:ind w:left="109" w:right="106"/>
              <w:rPr>
                <w:sz w:val="21"/>
                <w:szCs w:val="21"/>
              </w:rPr>
            </w:pPr>
            <w:r>
              <w:rPr>
                <w:sz w:val="21"/>
                <w:szCs w:val="21"/>
              </w:rPr>
              <w:t>11</w:t>
            </w:r>
          </w:p>
        </w:tc>
        <w:tc>
          <w:tcPr>
            <w:tcW w:w="824" w:type="pct"/>
          </w:tcPr>
          <w:p w14:paraId="021201EA" w14:textId="77777777" w:rsidR="007D1E74" w:rsidRDefault="00A95641">
            <w:pPr>
              <w:pStyle w:val="TableParagraph"/>
              <w:ind w:left="103"/>
              <w:rPr>
                <w:rFonts w:ascii="宋体"/>
                <w:sz w:val="21"/>
                <w:szCs w:val="21"/>
              </w:rPr>
            </w:pPr>
            <w:r>
              <w:rPr>
                <w:rFonts w:ascii="宋体" w:hint="eastAsia"/>
                <w:sz w:val="21"/>
                <w:szCs w:val="21"/>
              </w:rPr>
              <w:t>狗牙根</w:t>
            </w:r>
          </w:p>
        </w:tc>
        <w:tc>
          <w:tcPr>
            <w:tcW w:w="844" w:type="pct"/>
          </w:tcPr>
          <w:p w14:paraId="07E022B0" w14:textId="77777777" w:rsidR="007D1E74" w:rsidRDefault="00A95641">
            <w:pPr>
              <w:pStyle w:val="TableParagraph"/>
              <w:ind w:left="103"/>
              <w:rPr>
                <w:rFonts w:ascii="宋体"/>
                <w:sz w:val="21"/>
                <w:szCs w:val="21"/>
              </w:rPr>
            </w:pPr>
            <w:r>
              <w:rPr>
                <w:rFonts w:ascii="宋体" w:hint="eastAsia"/>
                <w:sz w:val="21"/>
                <w:szCs w:val="21"/>
              </w:rPr>
              <w:t>营养期</w:t>
            </w:r>
          </w:p>
        </w:tc>
        <w:tc>
          <w:tcPr>
            <w:tcW w:w="673" w:type="pct"/>
          </w:tcPr>
          <w:p w14:paraId="3C9F61A7" w14:textId="77777777" w:rsidR="007D1E74" w:rsidRDefault="00A95641">
            <w:pPr>
              <w:pStyle w:val="TableParagraph"/>
              <w:spacing w:before="25"/>
              <w:rPr>
                <w:sz w:val="21"/>
                <w:szCs w:val="21"/>
              </w:rPr>
            </w:pPr>
            <w:r>
              <w:rPr>
                <w:sz w:val="21"/>
                <w:szCs w:val="21"/>
              </w:rPr>
              <w:t>6</w:t>
            </w:r>
          </w:p>
        </w:tc>
        <w:tc>
          <w:tcPr>
            <w:tcW w:w="589" w:type="pct"/>
          </w:tcPr>
          <w:p w14:paraId="4972187A" w14:textId="77777777" w:rsidR="007D1E74" w:rsidRDefault="00A95641">
            <w:pPr>
              <w:pStyle w:val="TableParagraph"/>
              <w:spacing w:before="25"/>
              <w:ind w:left="231" w:right="231"/>
              <w:rPr>
                <w:sz w:val="21"/>
                <w:szCs w:val="21"/>
              </w:rPr>
            </w:pPr>
            <w:r>
              <w:rPr>
                <w:sz w:val="21"/>
                <w:szCs w:val="21"/>
              </w:rPr>
              <w:t>Sp</w:t>
            </w:r>
          </w:p>
        </w:tc>
        <w:tc>
          <w:tcPr>
            <w:tcW w:w="978" w:type="pct"/>
          </w:tcPr>
          <w:p w14:paraId="3921E28D" w14:textId="77777777" w:rsidR="007D1E74" w:rsidRDefault="00A95641">
            <w:pPr>
              <w:pStyle w:val="TableParagraph"/>
              <w:spacing w:before="25"/>
              <w:ind w:left="170" w:right="170"/>
              <w:rPr>
                <w:sz w:val="21"/>
                <w:szCs w:val="21"/>
              </w:rPr>
            </w:pPr>
            <w:r>
              <w:rPr>
                <w:sz w:val="21"/>
                <w:szCs w:val="21"/>
              </w:rPr>
              <w:t>0.1</w:t>
            </w:r>
          </w:p>
        </w:tc>
        <w:tc>
          <w:tcPr>
            <w:tcW w:w="652" w:type="pct"/>
          </w:tcPr>
          <w:p w14:paraId="63FD1A14" w14:textId="77777777" w:rsidR="007D1E74" w:rsidRDefault="00A95641">
            <w:pPr>
              <w:pStyle w:val="TableParagraph"/>
              <w:spacing w:before="25"/>
              <w:ind w:right="108"/>
              <w:rPr>
                <w:sz w:val="21"/>
                <w:szCs w:val="21"/>
              </w:rPr>
            </w:pPr>
            <w:r>
              <w:rPr>
                <w:sz w:val="21"/>
                <w:szCs w:val="21"/>
              </w:rPr>
              <w:t>3</w:t>
            </w:r>
          </w:p>
        </w:tc>
      </w:tr>
    </w:tbl>
    <w:p w14:paraId="13749D1D" w14:textId="77777777" w:rsidR="007D1E74" w:rsidRDefault="007D1E74">
      <w:pPr>
        <w:spacing w:line="360" w:lineRule="auto"/>
        <w:rPr>
          <w:rFonts w:cs="Times New Roman"/>
          <w:szCs w:val="21"/>
        </w:rPr>
      </w:pPr>
    </w:p>
    <w:p w14:paraId="7BBC227F" w14:textId="77777777" w:rsidR="007D1E74" w:rsidRDefault="00A95641">
      <w:pPr>
        <w:spacing w:line="360" w:lineRule="auto"/>
        <w:jc w:val="center"/>
        <w:rPr>
          <w:rFonts w:eastAsia="黑体" w:cs="Times New Roman"/>
          <w:szCs w:val="21"/>
        </w:rPr>
      </w:pPr>
      <w:r>
        <w:rPr>
          <w:rFonts w:eastAsia="黑体" w:cs="Times New Roman"/>
          <w:szCs w:val="21"/>
        </w:rPr>
        <w:t>表</w:t>
      </w:r>
      <w:r>
        <w:rPr>
          <w:rFonts w:eastAsia="黑体" w:cs="Times New Roman"/>
          <w:szCs w:val="21"/>
        </w:rPr>
        <w:t xml:space="preserve">A.2.1-5  </w:t>
      </w:r>
      <w:r>
        <w:rPr>
          <w:rFonts w:eastAsia="黑体" w:cs="Times New Roman" w:hint="eastAsia"/>
          <w:szCs w:val="21"/>
        </w:rPr>
        <w:t>植物实测样方表</w:t>
      </w:r>
    </w:p>
    <w:tbl>
      <w:tblPr>
        <w:tblStyle w:val="affffc"/>
        <w:tblW w:w="0" w:type="auto"/>
        <w:tblBorders>
          <w:left w:val="none" w:sz="0" w:space="0" w:color="auto"/>
          <w:right w:val="none" w:sz="0" w:space="0" w:color="auto"/>
        </w:tblBorders>
        <w:tblLook w:val="04A0" w:firstRow="1" w:lastRow="0" w:firstColumn="1" w:lastColumn="0" w:noHBand="0" w:noVBand="1"/>
      </w:tblPr>
      <w:tblGrid>
        <w:gridCol w:w="9016"/>
      </w:tblGrid>
      <w:tr w:rsidR="007D1E74" w14:paraId="1DC3B7B3" w14:textId="77777777">
        <w:tc>
          <w:tcPr>
            <w:tcW w:w="9016" w:type="dxa"/>
          </w:tcPr>
          <w:p w14:paraId="7B844E7B" w14:textId="77777777" w:rsidR="007D1E74" w:rsidRDefault="00A95641">
            <w:pPr>
              <w:spacing w:line="360" w:lineRule="auto"/>
              <w:rPr>
                <w:rFonts w:eastAsiaTheme="minorEastAsia" w:cs="Times New Roman"/>
                <w:szCs w:val="21"/>
              </w:rPr>
            </w:pPr>
            <w:r>
              <w:rPr>
                <w:rFonts w:eastAsiaTheme="minorEastAsia" w:cs="Times New Roman" w:hint="eastAsia"/>
                <w:szCs w:val="21"/>
              </w:rPr>
              <w:t>群落名称：麻栎林</w:t>
            </w:r>
            <w:r>
              <w:rPr>
                <w:rFonts w:eastAsiaTheme="minorEastAsia" w:cs="Times New Roman" w:hint="eastAsia"/>
                <w:szCs w:val="21"/>
              </w:rPr>
              <w:tab/>
            </w:r>
            <w:r>
              <w:rPr>
                <w:rFonts w:eastAsiaTheme="minorEastAsia" w:cs="Times New Roman" w:hint="eastAsia"/>
                <w:szCs w:val="21"/>
              </w:rPr>
              <w:t>地点：涪阳镇草池乡武学堂村</w:t>
            </w:r>
            <w:r>
              <w:rPr>
                <w:rFonts w:eastAsiaTheme="minorEastAsia" w:cs="Times New Roman" w:hint="eastAsia"/>
                <w:szCs w:val="21"/>
              </w:rPr>
              <w:tab/>
            </w:r>
            <w:r>
              <w:rPr>
                <w:rFonts w:eastAsiaTheme="minorEastAsia" w:cs="Times New Roman" w:hint="eastAsia"/>
                <w:szCs w:val="21"/>
              </w:rPr>
              <w:t>样方面积：</w:t>
            </w:r>
            <w:r>
              <w:rPr>
                <w:rFonts w:eastAsiaTheme="minorEastAsia" w:cs="Times New Roman" w:hint="eastAsia"/>
                <w:szCs w:val="21"/>
              </w:rPr>
              <w:t>10m</w:t>
            </w:r>
            <w:r>
              <w:rPr>
                <w:rFonts w:eastAsiaTheme="minorEastAsia" w:cs="Times New Roman" w:hint="eastAsia"/>
                <w:szCs w:val="21"/>
              </w:rPr>
              <w:t>×</w:t>
            </w:r>
            <w:r>
              <w:rPr>
                <w:rFonts w:eastAsiaTheme="minorEastAsia" w:cs="Times New Roman" w:hint="eastAsia"/>
                <w:szCs w:val="21"/>
              </w:rPr>
              <w:t>10m</w:t>
            </w:r>
          </w:p>
        </w:tc>
      </w:tr>
      <w:tr w:rsidR="007D1E74" w14:paraId="40DCCD38" w14:textId="77777777">
        <w:tc>
          <w:tcPr>
            <w:tcW w:w="9016" w:type="dxa"/>
          </w:tcPr>
          <w:p w14:paraId="786B20F8" w14:textId="77777777" w:rsidR="007D1E74" w:rsidRDefault="00A95641">
            <w:pPr>
              <w:spacing w:line="360" w:lineRule="auto"/>
              <w:rPr>
                <w:rFonts w:eastAsiaTheme="minorEastAsia" w:cs="Times New Roman"/>
                <w:szCs w:val="21"/>
              </w:rPr>
            </w:pPr>
            <w:r>
              <w:rPr>
                <w:rFonts w:eastAsiaTheme="minorEastAsia" w:cs="Times New Roman" w:hint="eastAsia"/>
                <w:szCs w:val="21"/>
              </w:rPr>
              <w:t>经度：</w:t>
            </w:r>
            <w:r>
              <w:rPr>
                <w:rFonts w:eastAsiaTheme="minorEastAsia" w:cs="Times New Roman" w:hint="eastAsia"/>
                <w:szCs w:val="21"/>
              </w:rPr>
              <w:t xml:space="preserve">107.134806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ab/>
            </w:r>
            <w:r>
              <w:rPr>
                <w:rFonts w:eastAsiaTheme="minorEastAsia" w:cs="Times New Roman" w:hint="eastAsia"/>
                <w:szCs w:val="21"/>
              </w:rPr>
              <w:t>纬度：</w:t>
            </w:r>
            <w:r>
              <w:rPr>
                <w:rFonts w:eastAsiaTheme="minorEastAsia" w:cs="Times New Roman" w:hint="eastAsia"/>
                <w:szCs w:val="21"/>
              </w:rPr>
              <w:t xml:space="preserve">32.037056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海拔（</w:t>
            </w:r>
            <w:r>
              <w:rPr>
                <w:rFonts w:eastAsiaTheme="minorEastAsia" w:cs="Times New Roman" w:hint="eastAsia"/>
                <w:szCs w:val="21"/>
              </w:rPr>
              <w:t>m</w:t>
            </w:r>
            <w:r>
              <w:rPr>
                <w:rFonts w:eastAsiaTheme="minorEastAsia" w:cs="Times New Roman" w:hint="eastAsia"/>
                <w:szCs w:val="21"/>
              </w:rPr>
              <w:t>）</w:t>
            </w:r>
            <w:r>
              <w:rPr>
                <w:rFonts w:eastAsiaTheme="minorEastAsia" w:cs="Times New Roman" w:hint="eastAsia"/>
                <w:szCs w:val="21"/>
              </w:rPr>
              <w:t>890</w:t>
            </w:r>
          </w:p>
        </w:tc>
      </w:tr>
      <w:tr w:rsidR="007D1E74" w14:paraId="7BFD6005" w14:textId="77777777">
        <w:tc>
          <w:tcPr>
            <w:tcW w:w="9016" w:type="dxa"/>
          </w:tcPr>
          <w:p w14:paraId="71B9B262" w14:textId="77777777" w:rsidR="007D1E74" w:rsidRDefault="00A95641">
            <w:pPr>
              <w:spacing w:line="360" w:lineRule="auto"/>
              <w:rPr>
                <w:rFonts w:eastAsiaTheme="minorEastAsia" w:cs="Times New Roman"/>
                <w:szCs w:val="21"/>
              </w:rPr>
            </w:pPr>
            <w:r>
              <w:rPr>
                <w:rFonts w:eastAsiaTheme="minorEastAsia" w:cs="Times New Roman" w:hint="eastAsia"/>
                <w:szCs w:val="21"/>
              </w:rPr>
              <w:t>调查人：黄文军、李秦</w:t>
            </w:r>
            <w:r>
              <w:rPr>
                <w:rFonts w:eastAsiaTheme="minorEastAsia" w:cs="Times New Roman" w:hint="eastAsia"/>
                <w:szCs w:val="21"/>
              </w:rPr>
              <w:tab/>
            </w:r>
            <w:r>
              <w:rPr>
                <w:rFonts w:eastAsiaTheme="minorEastAsia" w:cs="Times New Roman" w:hint="eastAsia"/>
                <w:szCs w:val="21"/>
              </w:rPr>
              <w:t>调查日期：</w:t>
            </w:r>
            <w:r>
              <w:rPr>
                <w:rFonts w:eastAsiaTheme="minorEastAsia" w:cs="Times New Roman" w:hint="eastAsia"/>
                <w:szCs w:val="21"/>
              </w:rPr>
              <w:t>2021-08-17</w:t>
            </w:r>
          </w:p>
        </w:tc>
      </w:tr>
    </w:tbl>
    <w:p w14:paraId="42599AEC" w14:textId="77777777" w:rsidR="007D1E74" w:rsidRDefault="007D1E74">
      <w:pPr>
        <w:spacing w:line="360" w:lineRule="auto"/>
        <w:rPr>
          <w:rFonts w:eastAsia="黑体" w:cs="Times New Roman"/>
          <w:sz w:val="24"/>
          <w:szCs w:val="24"/>
        </w:rPr>
      </w:pP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4"/>
        <w:gridCol w:w="1637"/>
        <w:gridCol w:w="1369"/>
        <w:gridCol w:w="1214"/>
        <w:gridCol w:w="1062"/>
        <w:gridCol w:w="1764"/>
        <w:gridCol w:w="1176"/>
      </w:tblGrid>
      <w:tr w:rsidR="007D1E74" w14:paraId="49716877" w14:textId="77777777">
        <w:trPr>
          <w:trHeight w:hRule="exact" w:val="351"/>
        </w:trPr>
        <w:tc>
          <w:tcPr>
            <w:tcW w:w="440" w:type="pct"/>
          </w:tcPr>
          <w:p w14:paraId="02993A5D" w14:textId="77777777" w:rsidR="007D1E74" w:rsidRDefault="00A95641">
            <w:pPr>
              <w:pStyle w:val="TableParagraph"/>
              <w:spacing w:line="285" w:lineRule="exact"/>
              <w:ind w:left="109" w:right="105"/>
              <w:rPr>
                <w:rFonts w:ascii="宋体"/>
                <w:sz w:val="21"/>
                <w:szCs w:val="21"/>
              </w:rPr>
            </w:pPr>
            <w:r>
              <w:rPr>
                <w:rFonts w:ascii="宋体" w:hint="eastAsia"/>
                <w:sz w:val="21"/>
                <w:szCs w:val="21"/>
              </w:rPr>
              <w:t>种号</w:t>
            </w:r>
          </w:p>
        </w:tc>
        <w:tc>
          <w:tcPr>
            <w:tcW w:w="908" w:type="pct"/>
          </w:tcPr>
          <w:p w14:paraId="4B60A11B" w14:textId="77777777" w:rsidR="007D1E74" w:rsidRDefault="00A95641">
            <w:pPr>
              <w:pStyle w:val="TableParagraph"/>
              <w:spacing w:line="285" w:lineRule="exact"/>
              <w:ind w:left="400"/>
              <w:rPr>
                <w:rFonts w:ascii="宋体"/>
                <w:sz w:val="21"/>
                <w:szCs w:val="21"/>
              </w:rPr>
            </w:pPr>
            <w:r>
              <w:rPr>
                <w:rFonts w:ascii="宋体" w:hint="eastAsia"/>
                <w:sz w:val="21"/>
                <w:szCs w:val="21"/>
              </w:rPr>
              <w:t>物种名</w:t>
            </w:r>
          </w:p>
        </w:tc>
        <w:tc>
          <w:tcPr>
            <w:tcW w:w="759" w:type="pct"/>
          </w:tcPr>
          <w:p w14:paraId="55115FCD" w14:textId="77777777" w:rsidR="007D1E74" w:rsidRDefault="00A95641">
            <w:pPr>
              <w:pStyle w:val="TableParagraph"/>
              <w:spacing w:line="285" w:lineRule="exact"/>
              <w:ind w:left="273"/>
              <w:rPr>
                <w:rFonts w:ascii="宋体"/>
                <w:sz w:val="21"/>
                <w:szCs w:val="21"/>
              </w:rPr>
            </w:pPr>
            <w:r>
              <w:rPr>
                <w:rFonts w:ascii="宋体" w:hint="eastAsia"/>
                <w:sz w:val="21"/>
                <w:szCs w:val="21"/>
              </w:rPr>
              <w:t>物候期</w:t>
            </w:r>
          </w:p>
        </w:tc>
        <w:tc>
          <w:tcPr>
            <w:tcW w:w="673" w:type="pct"/>
          </w:tcPr>
          <w:p w14:paraId="169527E6" w14:textId="77777777" w:rsidR="007D1E74" w:rsidRDefault="00A95641">
            <w:pPr>
              <w:pStyle w:val="TableParagraph"/>
              <w:spacing w:line="303" w:lineRule="exact"/>
              <w:ind w:left="101" w:right="101"/>
              <w:rPr>
                <w:rFonts w:ascii="宋体"/>
                <w:sz w:val="21"/>
                <w:szCs w:val="21"/>
              </w:rPr>
            </w:pPr>
            <w:r>
              <w:rPr>
                <w:rFonts w:ascii="宋体" w:hint="eastAsia"/>
                <w:sz w:val="21"/>
                <w:szCs w:val="21"/>
              </w:rPr>
              <w:t>株</w:t>
            </w:r>
            <w:r>
              <w:rPr>
                <w:sz w:val="21"/>
                <w:szCs w:val="21"/>
              </w:rPr>
              <w:t>(</w:t>
            </w:r>
            <w:r>
              <w:rPr>
                <w:rFonts w:ascii="宋体" w:hint="eastAsia"/>
                <w:sz w:val="21"/>
                <w:szCs w:val="21"/>
              </w:rPr>
              <w:t>丛</w:t>
            </w:r>
            <w:r>
              <w:rPr>
                <w:sz w:val="21"/>
                <w:szCs w:val="21"/>
              </w:rPr>
              <w:t>)</w:t>
            </w:r>
            <w:r>
              <w:rPr>
                <w:rFonts w:ascii="宋体" w:hint="eastAsia"/>
                <w:sz w:val="21"/>
                <w:szCs w:val="21"/>
              </w:rPr>
              <w:t>数</w:t>
            </w:r>
          </w:p>
        </w:tc>
        <w:tc>
          <w:tcPr>
            <w:tcW w:w="589" w:type="pct"/>
          </w:tcPr>
          <w:p w14:paraId="73284FA9" w14:textId="77777777" w:rsidR="007D1E74" w:rsidRDefault="00A95641">
            <w:pPr>
              <w:pStyle w:val="TableParagraph"/>
              <w:spacing w:line="285" w:lineRule="exact"/>
              <w:ind w:left="231" w:right="231"/>
              <w:rPr>
                <w:rFonts w:ascii="宋体"/>
                <w:sz w:val="21"/>
                <w:szCs w:val="21"/>
              </w:rPr>
            </w:pPr>
            <w:r>
              <w:rPr>
                <w:rFonts w:ascii="宋体" w:hint="eastAsia"/>
                <w:sz w:val="21"/>
                <w:szCs w:val="21"/>
              </w:rPr>
              <w:t>多度</w:t>
            </w:r>
          </w:p>
        </w:tc>
        <w:tc>
          <w:tcPr>
            <w:tcW w:w="978" w:type="pct"/>
          </w:tcPr>
          <w:p w14:paraId="6C84ED92" w14:textId="77777777" w:rsidR="007D1E74" w:rsidRDefault="00A95641">
            <w:pPr>
              <w:pStyle w:val="TableParagraph"/>
              <w:spacing w:line="303" w:lineRule="exact"/>
              <w:ind w:left="172" w:right="170"/>
              <w:rPr>
                <w:sz w:val="21"/>
                <w:szCs w:val="21"/>
              </w:rPr>
            </w:pPr>
            <w:r>
              <w:rPr>
                <w:rFonts w:ascii="宋体" w:hint="eastAsia"/>
                <w:w w:val="95"/>
                <w:sz w:val="21"/>
                <w:szCs w:val="21"/>
              </w:rPr>
              <w:t>平均高度</w:t>
            </w:r>
            <w:r>
              <w:rPr>
                <w:w w:val="95"/>
                <w:sz w:val="21"/>
                <w:szCs w:val="21"/>
              </w:rPr>
              <w:t>/cm</w:t>
            </w:r>
          </w:p>
        </w:tc>
        <w:tc>
          <w:tcPr>
            <w:tcW w:w="652" w:type="pct"/>
          </w:tcPr>
          <w:p w14:paraId="429AD886" w14:textId="77777777" w:rsidR="007D1E74" w:rsidRDefault="00A95641">
            <w:pPr>
              <w:pStyle w:val="TableParagraph"/>
              <w:spacing w:line="303" w:lineRule="exact"/>
              <w:ind w:left="116" w:right="226"/>
              <w:rPr>
                <w:sz w:val="21"/>
                <w:szCs w:val="21"/>
              </w:rPr>
            </w:pPr>
            <w:r>
              <w:rPr>
                <w:rFonts w:ascii="宋体" w:hint="eastAsia"/>
                <w:w w:val="95"/>
                <w:sz w:val="21"/>
                <w:szCs w:val="21"/>
              </w:rPr>
              <w:t>盖度</w:t>
            </w:r>
            <w:r>
              <w:rPr>
                <w:w w:val="95"/>
                <w:sz w:val="21"/>
                <w:szCs w:val="21"/>
              </w:rPr>
              <w:t>/%</w:t>
            </w:r>
          </w:p>
        </w:tc>
      </w:tr>
      <w:tr w:rsidR="007D1E74" w14:paraId="685644D2" w14:textId="77777777">
        <w:trPr>
          <w:trHeight w:hRule="exact" w:val="336"/>
        </w:trPr>
        <w:tc>
          <w:tcPr>
            <w:tcW w:w="440" w:type="pct"/>
          </w:tcPr>
          <w:p w14:paraId="1EC18AA1" w14:textId="77777777" w:rsidR="007D1E74" w:rsidRDefault="00A95641">
            <w:pPr>
              <w:pStyle w:val="TableParagraph"/>
              <w:spacing w:before="24"/>
              <w:ind w:left="4"/>
              <w:rPr>
                <w:sz w:val="21"/>
                <w:szCs w:val="21"/>
              </w:rPr>
            </w:pPr>
            <w:r>
              <w:rPr>
                <w:sz w:val="21"/>
                <w:szCs w:val="21"/>
              </w:rPr>
              <w:t>1</w:t>
            </w:r>
          </w:p>
        </w:tc>
        <w:tc>
          <w:tcPr>
            <w:tcW w:w="908" w:type="pct"/>
          </w:tcPr>
          <w:p w14:paraId="01EFFD76" w14:textId="77777777" w:rsidR="007D1E74" w:rsidRDefault="00A95641">
            <w:pPr>
              <w:pStyle w:val="TableParagraph"/>
              <w:spacing w:line="284" w:lineRule="exact"/>
              <w:ind w:left="102"/>
              <w:rPr>
                <w:rFonts w:ascii="宋体"/>
                <w:sz w:val="21"/>
                <w:szCs w:val="21"/>
              </w:rPr>
            </w:pPr>
            <w:r>
              <w:rPr>
                <w:rFonts w:ascii="宋体" w:hint="eastAsia"/>
                <w:sz w:val="21"/>
                <w:szCs w:val="21"/>
              </w:rPr>
              <w:t>麻栎</w:t>
            </w:r>
          </w:p>
        </w:tc>
        <w:tc>
          <w:tcPr>
            <w:tcW w:w="759" w:type="pct"/>
          </w:tcPr>
          <w:p w14:paraId="6EDB4978"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3" w:type="pct"/>
          </w:tcPr>
          <w:p w14:paraId="6D9E63E0" w14:textId="77777777" w:rsidR="007D1E74" w:rsidRDefault="00A95641">
            <w:pPr>
              <w:pStyle w:val="TableParagraph"/>
              <w:spacing w:before="24"/>
              <w:rPr>
                <w:sz w:val="21"/>
                <w:szCs w:val="21"/>
              </w:rPr>
            </w:pPr>
            <w:r>
              <w:rPr>
                <w:sz w:val="21"/>
                <w:szCs w:val="21"/>
              </w:rPr>
              <w:t>6</w:t>
            </w:r>
          </w:p>
        </w:tc>
        <w:tc>
          <w:tcPr>
            <w:tcW w:w="589" w:type="pct"/>
          </w:tcPr>
          <w:p w14:paraId="706A6CB4" w14:textId="77777777" w:rsidR="007D1E74" w:rsidRDefault="00A95641">
            <w:pPr>
              <w:pStyle w:val="TableParagraph"/>
              <w:spacing w:before="23"/>
              <w:ind w:left="231" w:right="231"/>
              <w:rPr>
                <w:sz w:val="21"/>
                <w:szCs w:val="21"/>
              </w:rPr>
            </w:pPr>
            <w:r>
              <w:rPr>
                <w:position w:val="2"/>
                <w:sz w:val="21"/>
                <w:szCs w:val="21"/>
              </w:rPr>
              <w:t>Cop</w:t>
            </w:r>
            <w:r>
              <w:rPr>
                <w:sz w:val="21"/>
                <w:szCs w:val="21"/>
              </w:rPr>
              <w:t>1</w:t>
            </w:r>
          </w:p>
        </w:tc>
        <w:tc>
          <w:tcPr>
            <w:tcW w:w="978" w:type="pct"/>
          </w:tcPr>
          <w:p w14:paraId="3DD9179F" w14:textId="77777777" w:rsidR="007D1E74" w:rsidRDefault="00A95641">
            <w:pPr>
              <w:pStyle w:val="TableParagraph"/>
              <w:spacing w:before="24"/>
              <w:ind w:left="169" w:right="170"/>
              <w:rPr>
                <w:sz w:val="21"/>
                <w:szCs w:val="21"/>
              </w:rPr>
            </w:pPr>
            <w:r>
              <w:rPr>
                <w:sz w:val="21"/>
                <w:szCs w:val="21"/>
              </w:rPr>
              <w:t>13</w:t>
            </w:r>
          </w:p>
        </w:tc>
        <w:tc>
          <w:tcPr>
            <w:tcW w:w="652" w:type="pct"/>
          </w:tcPr>
          <w:p w14:paraId="4C6C0DB2" w14:textId="77777777" w:rsidR="007D1E74" w:rsidRDefault="00A95641">
            <w:pPr>
              <w:pStyle w:val="TableParagraph"/>
              <w:spacing w:before="24"/>
              <w:ind w:left="116" w:right="224"/>
              <w:rPr>
                <w:sz w:val="21"/>
                <w:szCs w:val="21"/>
              </w:rPr>
            </w:pPr>
            <w:r>
              <w:rPr>
                <w:sz w:val="21"/>
                <w:szCs w:val="21"/>
              </w:rPr>
              <w:t>35</w:t>
            </w:r>
          </w:p>
        </w:tc>
      </w:tr>
      <w:tr w:rsidR="007D1E74" w14:paraId="467A4833" w14:textId="77777777">
        <w:trPr>
          <w:trHeight w:hRule="exact" w:val="336"/>
        </w:trPr>
        <w:tc>
          <w:tcPr>
            <w:tcW w:w="440" w:type="pct"/>
          </w:tcPr>
          <w:p w14:paraId="509B205A" w14:textId="77777777" w:rsidR="007D1E74" w:rsidRDefault="00A95641">
            <w:pPr>
              <w:pStyle w:val="TableParagraph"/>
              <w:spacing w:before="24"/>
              <w:ind w:left="4"/>
              <w:rPr>
                <w:sz w:val="21"/>
                <w:szCs w:val="21"/>
              </w:rPr>
            </w:pPr>
            <w:r>
              <w:rPr>
                <w:sz w:val="21"/>
                <w:szCs w:val="21"/>
              </w:rPr>
              <w:t>2</w:t>
            </w:r>
          </w:p>
        </w:tc>
        <w:tc>
          <w:tcPr>
            <w:tcW w:w="908" w:type="pct"/>
          </w:tcPr>
          <w:p w14:paraId="6A350465" w14:textId="77777777" w:rsidR="007D1E74" w:rsidRDefault="00A95641">
            <w:pPr>
              <w:pStyle w:val="TableParagraph"/>
              <w:spacing w:line="284" w:lineRule="exact"/>
              <w:ind w:left="102"/>
              <w:rPr>
                <w:rFonts w:ascii="宋体"/>
                <w:sz w:val="21"/>
                <w:szCs w:val="21"/>
              </w:rPr>
            </w:pPr>
            <w:r>
              <w:rPr>
                <w:rFonts w:ascii="宋体" w:hint="eastAsia"/>
                <w:sz w:val="21"/>
                <w:szCs w:val="21"/>
              </w:rPr>
              <w:t>栓皮栎</w:t>
            </w:r>
          </w:p>
        </w:tc>
        <w:tc>
          <w:tcPr>
            <w:tcW w:w="759" w:type="pct"/>
          </w:tcPr>
          <w:p w14:paraId="0EF67F85"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3" w:type="pct"/>
          </w:tcPr>
          <w:p w14:paraId="2186C937" w14:textId="77777777" w:rsidR="007D1E74" w:rsidRDefault="00A95641">
            <w:pPr>
              <w:pStyle w:val="TableParagraph"/>
              <w:spacing w:before="24"/>
              <w:rPr>
                <w:sz w:val="21"/>
                <w:szCs w:val="21"/>
              </w:rPr>
            </w:pPr>
            <w:r>
              <w:rPr>
                <w:sz w:val="21"/>
                <w:szCs w:val="21"/>
              </w:rPr>
              <w:t>5</w:t>
            </w:r>
          </w:p>
        </w:tc>
        <w:tc>
          <w:tcPr>
            <w:tcW w:w="589" w:type="pct"/>
          </w:tcPr>
          <w:p w14:paraId="4AE209CA" w14:textId="77777777" w:rsidR="007D1E74" w:rsidRDefault="00A95641">
            <w:pPr>
              <w:pStyle w:val="TableParagraph"/>
              <w:spacing w:before="23"/>
              <w:ind w:left="231" w:right="231"/>
              <w:rPr>
                <w:sz w:val="21"/>
                <w:szCs w:val="21"/>
              </w:rPr>
            </w:pPr>
            <w:r>
              <w:rPr>
                <w:position w:val="2"/>
                <w:sz w:val="21"/>
                <w:szCs w:val="21"/>
              </w:rPr>
              <w:t>Cop</w:t>
            </w:r>
            <w:r>
              <w:rPr>
                <w:sz w:val="21"/>
                <w:szCs w:val="21"/>
              </w:rPr>
              <w:t>1</w:t>
            </w:r>
          </w:p>
        </w:tc>
        <w:tc>
          <w:tcPr>
            <w:tcW w:w="978" w:type="pct"/>
          </w:tcPr>
          <w:p w14:paraId="5C9E56CF" w14:textId="77777777" w:rsidR="007D1E74" w:rsidRDefault="00A95641">
            <w:pPr>
              <w:pStyle w:val="TableParagraph"/>
              <w:spacing w:before="24"/>
              <w:ind w:left="169" w:right="170"/>
              <w:rPr>
                <w:sz w:val="21"/>
                <w:szCs w:val="21"/>
              </w:rPr>
            </w:pPr>
            <w:r>
              <w:rPr>
                <w:sz w:val="21"/>
                <w:szCs w:val="21"/>
              </w:rPr>
              <w:t>12</w:t>
            </w:r>
          </w:p>
        </w:tc>
        <w:tc>
          <w:tcPr>
            <w:tcW w:w="652" w:type="pct"/>
          </w:tcPr>
          <w:p w14:paraId="41752787" w14:textId="77777777" w:rsidR="007D1E74" w:rsidRDefault="00A95641">
            <w:pPr>
              <w:pStyle w:val="TableParagraph"/>
              <w:spacing w:before="24"/>
              <w:ind w:left="116" w:right="224"/>
              <w:rPr>
                <w:sz w:val="21"/>
                <w:szCs w:val="21"/>
              </w:rPr>
            </w:pPr>
            <w:r>
              <w:rPr>
                <w:sz w:val="21"/>
                <w:szCs w:val="21"/>
              </w:rPr>
              <w:t>30</w:t>
            </w:r>
          </w:p>
        </w:tc>
      </w:tr>
      <w:tr w:rsidR="007D1E74" w14:paraId="0AAD451F" w14:textId="77777777">
        <w:trPr>
          <w:trHeight w:hRule="exact" w:val="336"/>
        </w:trPr>
        <w:tc>
          <w:tcPr>
            <w:tcW w:w="440" w:type="pct"/>
          </w:tcPr>
          <w:p w14:paraId="5C30A46B" w14:textId="77777777" w:rsidR="007D1E74" w:rsidRDefault="00A95641">
            <w:pPr>
              <w:pStyle w:val="TableParagraph"/>
              <w:spacing w:before="24"/>
              <w:ind w:left="4"/>
              <w:rPr>
                <w:sz w:val="21"/>
                <w:szCs w:val="21"/>
              </w:rPr>
            </w:pPr>
            <w:r>
              <w:rPr>
                <w:sz w:val="21"/>
                <w:szCs w:val="21"/>
              </w:rPr>
              <w:t>3</w:t>
            </w:r>
          </w:p>
        </w:tc>
        <w:tc>
          <w:tcPr>
            <w:tcW w:w="908" w:type="pct"/>
          </w:tcPr>
          <w:p w14:paraId="5120792F" w14:textId="77777777" w:rsidR="007D1E74" w:rsidRDefault="00A95641">
            <w:pPr>
              <w:pStyle w:val="TableParagraph"/>
              <w:spacing w:line="284" w:lineRule="exact"/>
              <w:ind w:left="102"/>
              <w:rPr>
                <w:rFonts w:ascii="宋体"/>
                <w:sz w:val="21"/>
                <w:szCs w:val="21"/>
              </w:rPr>
            </w:pPr>
            <w:r>
              <w:rPr>
                <w:rFonts w:ascii="宋体" w:hint="eastAsia"/>
                <w:sz w:val="21"/>
                <w:szCs w:val="21"/>
              </w:rPr>
              <w:t>枫杨</w:t>
            </w:r>
          </w:p>
        </w:tc>
        <w:tc>
          <w:tcPr>
            <w:tcW w:w="759" w:type="pct"/>
          </w:tcPr>
          <w:p w14:paraId="65D5D185"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3" w:type="pct"/>
          </w:tcPr>
          <w:p w14:paraId="56D3C62A" w14:textId="77777777" w:rsidR="007D1E74" w:rsidRDefault="00A95641">
            <w:pPr>
              <w:pStyle w:val="TableParagraph"/>
              <w:spacing w:before="24"/>
              <w:rPr>
                <w:sz w:val="21"/>
                <w:szCs w:val="21"/>
              </w:rPr>
            </w:pPr>
            <w:r>
              <w:rPr>
                <w:sz w:val="21"/>
                <w:szCs w:val="21"/>
              </w:rPr>
              <w:t>1</w:t>
            </w:r>
          </w:p>
        </w:tc>
        <w:tc>
          <w:tcPr>
            <w:tcW w:w="589" w:type="pct"/>
          </w:tcPr>
          <w:p w14:paraId="156613D9" w14:textId="77777777" w:rsidR="007D1E74" w:rsidRDefault="00A95641">
            <w:pPr>
              <w:pStyle w:val="TableParagraph"/>
              <w:spacing w:before="24"/>
              <w:ind w:left="231" w:right="231"/>
              <w:rPr>
                <w:sz w:val="21"/>
                <w:szCs w:val="21"/>
              </w:rPr>
            </w:pPr>
            <w:r>
              <w:rPr>
                <w:sz w:val="21"/>
                <w:szCs w:val="21"/>
              </w:rPr>
              <w:t>Sp</w:t>
            </w:r>
          </w:p>
        </w:tc>
        <w:tc>
          <w:tcPr>
            <w:tcW w:w="978" w:type="pct"/>
          </w:tcPr>
          <w:p w14:paraId="08143677" w14:textId="77777777" w:rsidR="007D1E74" w:rsidRDefault="00A95641">
            <w:pPr>
              <w:pStyle w:val="TableParagraph"/>
              <w:spacing w:before="24"/>
              <w:ind w:left="169" w:right="170"/>
              <w:rPr>
                <w:sz w:val="21"/>
                <w:szCs w:val="21"/>
              </w:rPr>
            </w:pPr>
            <w:r>
              <w:rPr>
                <w:sz w:val="21"/>
                <w:szCs w:val="21"/>
              </w:rPr>
              <w:t>16</w:t>
            </w:r>
          </w:p>
        </w:tc>
        <w:tc>
          <w:tcPr>
            <w:tcW w:w="652" w:type="pct"/>
          </w:tcPr>
          <w:p w14:paraId="0A7A236A" w14:textId="77777777" w:rsidR="007D1E74" w:rsidRDefault="00A95641">
            <w:pPr>
              <w:pStyle w:val="TableParagraph"/>
              <w:spacing w:before="24"/>
              <w:ind w:left="116" w:right="224"/>
              <w:rPr>
                <w:sz w:val="21"/>
                <w:szCs w:val="21"/>
              </w:rPr>
            </w:pPr>
            <w:r>
              <w:rPr>
                <w:sz w:val="21"/>
                <w:szCs w:val="21"/>
              </w:rPr>
              <w:t>10</w:t>
            </w:r>
          </w:p>
        </w:tc>
      </w:tr>
      <w:tr w:rsidR="007D1E74" w14:paraId="277E8E23" w14:textId="77777777">
        <w:trPr>
          <w:trHeight w:hRule="exact" w:val="336"/>
        </w:trPr>
        <w:tc>
          <w:tcPr>
            <w:tcW w:w="440" w:type="pct"/>
          </w:tcPr>
          <w:p w14:paraId="34415ECD" w14:textId="77777777" w:rsidR="007D1E74" w:rsidRDefault="00A95641">
            <w:pPr>
              <w:pStyle w:val="TableParagraph"/>
              <w:spacing w:before="24"/>
              <w:ind w:left="4"/>
              <w:rPr>
                <w:sz w:val="21"/>
                <w:szCs w:val="21"/>
              </w:rPr>
            </w:pPr>
            <w:r>
              <w:rPr>
                <w:sz w:val="21"/>
                <w:szCs w:val="21"/>
              </w:rPr>
              <w:t>4</w:t>
            </w:r>
          </w:p>
        </w:tc>
        <w:tc>
          <w:tcPr>
            <w:tcW w:w="908" w:type="pct"/>
          </w:tcPr>
          <w:p w14:paraId="4ADE9C37" w14:textId="77777777" w:rsidR="007D1E74" w:rsidRDefault="00A95641">
            <w:pPr>
              <w:pStyle w:val="TableParagraph"/>
              <w:spacing w:line="284" w:lineRule="exact"/>
              <w:ind w:left="102"/>
              <w:rPr>
                <w:rFonts w:ascii="宋体"/>
                <w:sz w:val="21"/>
                <w:szCs w:val="21"/>
              </w:rPr>
            </w:pPr>
            <w:r>
              <w:rPr>
                <w:rFonts w:ascii="宋体" w:hint="eastAsia"/>
                <w:sz w:val="21"/>
                <w:szCs w:val="21"/>
              </w:rPr>
              <w:t>桤木</w:t>
            </w:r>
          </w:p>
        </w:tc>
        <w:tc>
          <w:tcPr>
            <w:tcW w:w="759" w:type="pct"/>
          </w:tcPr>
          <w:p w14:paraId="591BB73B"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3" w:type="pct"/>
          </w:tcPr>
          <w:p w14:paraId="175136B1" w14:textId="77777777" w:rsidR="007D1E74" w:rsidRDefault="00A95641">
            <w:pPr>
              <w:pStyle w:val="TableParagraph"/>
              <w:spacing w:before="24"/>
              <w:rPr>
                <w:sz w:val="21"/>
                <w:szCs w:val="21"/>
              </w:rPr>
            </w:pPr>
            <w:r>
              <w:rPr>
                <w:sz w:val="21"/>
                <w:szCs w:val="21"/>
              </w:rPr>
              <w:t>3</w:t>
            </w:r>
          </w:p>
        </w:tc>
        <w:tc>
          <w:tcPr>
            <w:tcW w:w="589" w:type="pct"/>
          </w:tcPr>
          <w:p w14:paraId="21ABD921" w14:textId="77777777" w:rsidR="007D1E74" w:rsidRDefault="00A95641">
            <w:pPr>
              <w:pStyle w:val="TableParagraph"/>
              <w:spacing w:before="23"/>
              <w:ind w:left="231" w:right="231"/>
              <w:rPr>
                <w:sz w:val="21"/>
                <w:szCs w:val="21"/>
              </w:rPr>
            </w:pPr>
            <w:r>
              <w:rPr>
                <w:position w:val="2"/>
                <w:sz w:val="21"/>
                <w:szCs w:val="21"/>
              </w:rPr>
              <w:t>Cop</w:t>
            </w:r>
            <w:r>
              <w:rPr>
                <w:sz w:val="21"/>
                <w:szCs w:val="21"/>
              </w:rPr>
              <w:t>1</w:t>
            </w:r>
          </w:p>
        </w:tc>
        <w:tc>
          <w:tcPr>
            <w:tcW w:w="978" w:type="pct"/>
          </w:tcPr>
          <w:p w14:paraId="58B57CA3" w14:textId="77777777" w:rsidR="007D1E74" w:rsidRDefault="00A95641">
            <w:pPr>
              <w:pStyle w:val="TableParagraph"/>
              <w:spacing w:before="24"/>
              <w:ind w:left="169" w:right="170"/>
              <w:rPr>
                <w:sz w:val="21"/>
                <w:szCs w:val="21"/>
              </w:rPr>
            </w:pPr>
            <w:r>
              <w:rPr>
                <w:sz w:val="21"/>
                <w:szCs w:val="21"/>
              </w:rPr>
              <w:t>14</w:t>
            </w:r>
          </w:p>
        </w:tc>
        <w:tc>
          <w:tcPr>
            <w:tcW w:w="652" w:type="pct"/>
          </w:tcPr>
          <w:p w14:paraId="457B5527" w14:textId="77777777" w:rsidR="007D1E74" w:rsidRDefault="00A95641">
            <w:pPr>
              <w:pStyle w:val="TableParagraph"/>
              <w:spacing w:before="24"/>
              <w:ind w:left="116" w:right="224"/>
              <w:rPr>
                <w:sz w:val="21"/>
                <w:szCs w:val="21"/>
              </w:rPr>
            </w:pPr>
            <w:r>
              <w:rPr>
                <w:sz w:val="21"/>
                <w:szCs w:val="21"/>
              </w:rPr>
              <w:t>15</w:t>
            </w:r>
          </w:p>
        </w:tc>
      </w:tr>
      <w:tr w:rsidR="007D1E74" w14:paraId="4168EFF8" w14:textId="77777777">
        <w:trPr>
          <w:trHeight w:hRule="exact" w:val="336"/>
        </w:trPr>
        <w:tc>
          <w:tcPr>
            <w:tcW w:w="440" w:type="pct"/>
          </w:tcPr>
          <w:p w14:paraId="3D1FADCE" w14:textId="77777777" w:rsidR="007D1E74" w:rsidRDefault="00A95641">
            <w:pPr>
              <w:pStyle w:val="TableParagraph"/>
              <w:spacing w:before="24"/>
              <w:ind w:left="4"/>
              <w:rPr>
                <w:sz w:val="21"/>
                <w:szCs w:val="21"/>
              </w:rPr>
            </w:pPr>
            <w:r>
              <w:rPr>
                <w:sz w:val="21"/>
                <w:szCs w:val="21"/>
              </w:rPr>
              <w:t>5</w:t>
            </w:r>
          </w:p>
        </w:tc>
        <w:tc>
          <w:tcPr>
            <w:tcW w:w="908" w:type="pct"/>
          </w:tcPr>
          <w:p w14:paraId="035B908E" w14:textId="77777777" w:rsidR="007D1E74" w:rsidRDefault="00A95641">
            <w:pPr>
              <w:pStyle w:val="TableParagraph"/>
              <w:spacing w:line="284" w:lineRule="exact"/>
              <w:ind w:left="102"/>
              <w:rPr>
                <w:rFonts w:ascii="宋体"/>
                <w:sz w:val="21"/>
                <w:szCs w:val="21"/>
              </w:rPr>
            </w:pPr>
            <w:r>
              <w:rPr>
                <w:rFonts w:ascii="宋体" w:hint="eastAsia"/>
                <w:sz w:val="21"/>
                <w:szCs w:val="21"/>
              </w:rPr>
              <w:t>喜树</w:t>
            </w:r>
          </w:p>
        </w:tc>
        <w:tc>
          <w:tcPr>
            <w:tcW w:w="759" w:type="pct"/>
          </w:tcPr>
          <w:p w14:paraId="6AC54D75"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3" w:type="pct"/>
          </w:tcPr>
          <w:p w14:paraId="2E397259" w14:textId="77777777" w:rsidR="007D1E74" w:rsidRDefault="00A95641">
            <w:pPr>
              <w:pStyle w:val="TableParagraph"/>
              <w:spacing w:before="24"/>
              <w:rPr>
                <w:sz w:val="21"/>
                <w:szCs w:val="21"/>
              </w:rPr>
            </w:pPr>
            <w:r>
              <w:rPr>
                <w:sz w:val="21"/>
                <w:szCs w:val="21"/>
              </w:rPr>
              <w:t>1</w:t>
            </w:r>
          </w:p>
        </w:tc>
        <w:tc>
          <w:tcPr>
            <w:tcW w:w="589" w:type="pct"/>
          </w:tcPr>
          <w:p w14:paraId="6CE48916" w14:textId="77777777" w:rsidR="007D1E74" w:rsidRDefault="00A95641">
            <w:pPr>
              <w:pStyle w:val="TableParagraph"/>
              <w:spacing w:before="24"/>
              <w:ind w:left="231" w:right="231"/>
              <w:rPr>
                <w:sz w:val="21"/>
                <w:szCs w:val="21"/>
              </w:rPr>
            </w:pPr>
            <w:r>
              <w:rPr>
                <w:sz w:val="21"/>
                <w:szCs w:val="21"/>
              </w:rPr>
              <w:t>Sp</w:t>
            </w:r>
          </w:p>
        </w:tc>
        <w:tc>
          <w:tcPr>
            <w:tcW w:w="978" w:type="pct"/>
          </w:tcPr>
          <w:p w14:paraId="166BF925" w14:textId="77777777" w:rsidR="007D1E74" w:rsidRDefault="00A95641">
            <w:pPr>
              <w:pStyle w:val="TableParagraph"/>
              <w:spacing w:before="24"/>
              <w:ind w:left="169" w:right="170"/>
              <w:rPr>
                <w:sz w:val="21"/>
                <w:szCs w:val="21"/>
              </w:rPr>
            </w:pPr>
            <w:r>
              <w:rPr>
                <w:sz w:val="21"/>
                <w:szCs w:val="21"/>
              </w:rPr>
              <w:t>15</w:t>
            </w:r>
          </w:p>
        </w:tc>
        <w:tc>
          <w:tcPr>
            <w:tcW w:w="652" w:type="pct"/>
          </w:tcPr>
          <w:p w14:paraId="4741C680" w14:textId="77777777" w:rsidR="007D1E74" w:rsidRDefault="00A95641">
            <w:pPr>
              <w:pStyle w:val="TableParagraph"/>
              <w:spacing w:before="24"/>
              <w:ind w:right="108"/>
              <w:rPr>
                <w:sz w:val="21"/>
                <w:szCs w:val="21"/>
              </w:rPr>
            </w:pPr>
            <w:r>
              <w:rPr>
                <w:sz w:val="21"/>
                <w:szCs w:val="21"/>
              </w:rPr>
              <w:t>5</w:t>
            </w:r>
          </w:p>
        </w:tc>
      </w:tr>
      <w:tr w:rsidR="007D1E74" w14:paraId="374DCC53" w14:textId="77777777">
        <w:trPr>
          <w:trHeight w:hRule="exact" w:val="336"/>
        </w:trPr>
        <w:tc>
          <w:tcPr>
            <w:tcW w:w="440" w:type="pct"/>
          </w:tcPr>
          <w:p w14:paraId="71CAE444" w14:textId="77777777" w:rsidR="007D1E74" w:rsidRDefault="00A95641">
            <w:pPr>
              <w:pStyle w:val="TableParagraph"/>
              <w:spacing w:before="24"/>
              <w:ind w:left="4"/>
              <w:rPr>
                <w:sz w:val="21"/>
                <w:szCs w:val="21"/>
              </w:rPr>
            </w:pPr>
            <w:r>
              <w:rPr>
                <w:sz w:val="21"/>
                <w:szCs w:val="21"/>
              </w:rPr>
              <w:t>6</w:t>
            </w:r>
          </w:p>
        </w:tc>
        <w:tc>
          <w:tcPr>
            <w:tcW w:w="908" w:type="pct"/>
          </w:tcPr>
          <w:p w14:paraId="0FA4097B" w14:textId="77777777" w:rsidR="007D1E74" w:rsidRDefault="00A95641">
            <w:pPr>
              <w:pStyle w:val="TableParagraph"/>
              <w:spacing w:line="284" w:lineRule="exact"/>
              <w:ind w:left="102"/>
              <w:rPr>
                <w:rFonts w:ascii="宋体"/>
                <w:sz w:val="21"/>
                <w:szCs w:val="21"/>
              </w:rPr>
            </w:pPr>
            <w:r>
              <w:rPr>
                <w:rFonts w:ascii="宋体" w:hint="eastAsia"/>
                <w:sz w:val="21"/>
                <w:szCs w:val="21"/>
              </w:rPr>
              <w:t>楝</w:t>
            </w:r>
          </w:p>
        </w:tc>
        <w:tc>
          <w:tcPr>
            <w:tcW w:w="759" w:type="pct"/>
          </w:tcPr>
          <w:p w14:paraId="230C6211"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3" w:type="pct"/>
          </w:tcPr>
          <w:p w14:paraId="2D1AEA5D" w14:textId="77777777" w:rsidR="007D1E74" w:rsidRDefault="00A95641">
            <w:pPr>
              <w:pStyle w:val="TableParagraph"/>
              <w:spacing w:before="24"/>
              <w:rPr>
                <w:sz w:val="21"/>
                <w:szCs w:val="21"/>
              </w:rPr>
            </w:pPr>
            <w:r>
              <w:rPr>
                <w:sz w:val="21"/>
                <w:szCs w:val="21"/>
              </w:rPr>
              <w:t>1</w:t>
            </w:r>
          </w:p>
        </w:tc>
        <w:tc>
          <w:tcPr>
            <w:tcW w:w="589" w:type="pct"/>
          </w:tcPr>
          <w:p w14:paraId="7C9DB07F" w14:textId="77777777" w:rsidR="007D1E74" w:rsidRDefault="00A95641">
            <w:pPr>
              <w:pStyle w:val="TableParagraph"/>
              <w:spacing w:before="24"/>
              <w:ind w:left="231" w:right="231"/>
              <w:rPr>
                <w:sz w:val="21"/>
                <w:szCs w:val="21"/>
              </w:rPr>
            </w:pPr>
            <w:r>
              <w:rPr>
                <w:sz w:val="21"/>
                <w:szCs w:val="21"/>
              </w:rPr>
              <w:t>Sp</w:t>
            </w:r>
          </w:p>
        </w:tc>
        <w:tc>
          <w:tcPr>
            <w:tcW w:w="978" w:type="pct"/>
          </w:tcPr>
          <w:p w14:paraId="4888F99D" w14:textId="77777777" w:rsidR="007D1E74" w:rsidRDefault="00A95641">
            <w:pPr>
              <w:pStyle w:val="TableParagraph"/>
              <w:spacing w:before="24"/>
              <w:ind w:right="1"/>
              <w:rPr>
                <w:sz w:val="21"/>
                <w:szCs w:val="21"/>
              </w:rPr>
            </w:pPr>
            <w:r>
              <w:rPr>
                <w:sz w:val="21"/>
                <w:szCs w:val="21"/>
              </w:rPr>
              <w:t>7</w:t>
            </w:r>
          </w:p>
        </w:tc>
        <w:tc>
          <w:tcPr>
            <w:tcW w:w="652" w:type="pct"/>
          </w:tcPr>
          <w:p w14:paraId="49DCD114" w14:textId="77777777" w:rsidR="007D1E74" w:rsidRDefault="00A95641">
            <w:pPr>
              <w:pStyle w:val="TableParagraph"/>
              <w:spacing w:before="24"/>
              <w:ind w:right="108"/>
              <w:rPr>
                <w:sz w:val="21"/>
                <w:szCs w:val="21"/>
              </w:rPr>
            </w:pPr>
            <w:r>
              <w:rPr>
                <w:sz w:val="21"/>
                <w:szCs w:val="21"/>
              </w:rPr>
              <w:t>3</w:t>
            </w:r>
          </w:p>
        </w:tc>
      </w:tr>
      <w:tr w:rsidR="007D1E74" w14:paraId="5F9CA49F" w14:textId="77777777">
        <w:trPr>
          <w:trHeight w:hRule="exact" w:val="336"/>
        </w:trPr>
        <w:tc>
          <w:tcPr>
            <w:tcW w:w="440" w:type="pct"/>
          </w:tcPr>
          <w:p w14:paraId="3EA460BF" w14:textId="77777777" w:rsidR="007D1E74" w:rsidRDefault="00A95641">
            <w:pPr>
              <w:pStyle w:val="TableParagraph"/>
              <w:spacing w:before="24"/>
              <w:ind w:left="4"/>
              <w:rPr>
                <w:sz w:val="21"/>
                <w:szCs w:val="21"/>
              </w:rPr>
            </w:pPr>
            <w:r>
              <w:rPr>
                <w:sz w:val="21"/>
                <w:szCs w:val="21"/>
              </w:rPr>
              <w:t>7</w:t>
            </w:r>
          </w:p>
        </w:tc>
        <w:tc>
          <w:tcPr>
            <w:tcW w:w="908" w:type="pct"/>
          </w:tcPr>
          <w:p w14:paraId="43205C00" w14:textId="77777777" w:rsidR="007D1E74" w:rsidRDefault="00A95641">
            <w:pPr>
              <w:pStyle w:val="TableParagraph"/>
              <w:spacing w:line="284" w:lineRule="exact"/>
              <w:ind w:left="102"/>
              <w:rPr>
                <w:rFonts w:ascii="宋体"/>
                <w:sz w:val="21"/>
                <w:szCs w:val="21"/>
              </w:rPr>
            </w:pPr>
            <w:r>
              <w:rPr>
                <w:rFonts w:ascii="宋体" w:hint="eastAsia"/>
                <w:sz w:val="21"/>
                <w:szCs w:val="21"/>
              </w:rPr>
              <w:t>八角枫</w:t>
            </w:r>
          </w:p>
        </w:tc>
        <w:tc>
          <w:tcPr>
            <w:tcW w:w="759" w:type="pct"/>
          </w:tcPr>
          <w:p w14:paraId="4B7632F5"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3" w:type="pct"/>
          </w:tcPr>
          <w:p w14:paraId="108DBB5F" w14:textId="77777777" w:rsidR="007D1E74" w:rsidRDefault="00A95641">
            <w:pPr>
              <w:pStyle w:val="TableParagraph"/>
              <w:spacing w:before="24"/>
              <w:rPr>
                <w:sz w:val="21"/>
                <w:szCs w:val="21"/>
              </w:rPr>
            </w:pPr>
            <w:r>
              <w:rPr>
                <w:sz w:val="21"/>
                <w:szCs w:val="21"/>
              </w:rPr>
              <w:t>1</w:t>
            </w:r>
          </w:p>
        </w:tc>
        <w:tc>
          <w:tcPr>
            <w:tcW w:w="589" w:type="pct"/>
          </w:tcPr>
          <w:p w14:paraId="2859E13D" w14:textId="77777777" w:rsidR="007D1E74" w:rsidRDefault="00A95641">
            <w:pPr>
              <w:pStyle w:val="TableParagraph"/>
              <w:spacing w:before="24"/>
              <w:ind w:left="231" w:right="231"/>
              <w:rPr>
                <w:sz w:val="21"/>
                <w:szCs w:val="21"/>
              </w:rPr>
            </w:pPr>
            <w:r>
              <w:rPr>
                <w:sz w:val="21"/>
                <w:szCs w:val="21"/>
              </w:rPr>
              <w:t>Sp</w:t>
            </w:r>
          </w:p>
        </w:tc>
        <w:tc>
          <w:tcPr>
            <w:tcW w:w="978" w:type="pct"/>
          </w:tcPr>
          <w:p w14:paraId="1B229DB4" w14:textId="77777777" w:rsidR="007D1E74" w:rsidRDefault="00A95641">
            <w:pPr>
              <w:pStyle w:val="TableParagraph"/>
              <w:spacing w:before="24"/>
              <w:ind w:right="1"/>
              <w:rPr>
                <w:sz w:val="21"/>
                <w:szCs w:val="21"/>
              </w:rPr>
            </w:pPr>
            <w:r>
              <w:rPr>
                <w:sz w:val="21"/>
                <w:szCs w:val="21"/>
              </w:rPr>
              <w:t>7</w:t>
            </w:r>
          </w:p>
        </w:tc>
        <w:tc>
          <w:tcPr>
            <w:tcW w:w="652" w:type="pct"/>
          </w:tcPr>
          <w:p w14:paraId="1A08D33E" w14:textId="77777777" w:rsidR="007D1E74" w:rsidRDefault="00A95641">
            <w:pPr>
              <w:pStyle w:val="TableParagraph"/>
              <w:spacing w:before="24"/>
              <w:ind w:right="108"/>
              <w:rPr>
                <w:sz w:val="21"/>
                <w:szCs w:val="21"/>
              </w:rPr>
            </w:pPr>
            <w:r>
              <w:rPr>
                <w:sz w:val="21"/>
                <w:szCs w:val="21"/>
              </w:rPr>
              <w:t>2</w:t>
            </w:r>
          </w:p>
        </w:tc>
      </w:tr>
      <w:tr w:rsidR="007D1E74" w14:paraId="5B562AB1" w14:textId="77777777">
        <w:trPr>
          <w:trHeight w:hRule="exact" w:val="336"/>
        </w:trPr>
        <w:tc>
          <w:tcPr>
            <w:tcW w:w="440" w:type="pct"/>
          </w:tcPr>
          <w:p w14:paraId="17646352" w14:textId="77777777" w:rsidR="007D1E74" w:rsidRDefault="00A95641">
            <w:pPr>
              <w:pStyle w:val="TableParagraph"/>
              <w:spacing w:before="24"/>
              <w:ind w:left="4"/>
              <w:rPr>
                <w:sz w:val="21"/>
                <w:szCs w:val="21"/>
              </w:rPr>
            </w:pPr>
            <w:r>
              <w:rPr>
                <w:sz w:val="21"/>
                <w:szCs w:val="21"/>
              </w:rPr>
              <w:t>8</w:t>
            </w:r>
          </w:p>
        </w:tc>
        <w:tc>
          <w:tcPr>
            <w:tcW w:w="908" w:type="pct"/>
          </w:tcPr>
          <w:p w14:paraId="0143086D" w14:textId="77777777" w:rsidR="007D1E74" w:rsidRDefault="00A95641">
            <w:pPr>
              <w:pStyle w:val="TableParagraph"/>
              <w:spacing w:line="284" w:lineRule="exact"/>
              <w:ind w:left="102"/>
              <w:rPr>
                <w:rFonts w:ascii="宋体"/>
                <w:sz w:val="21"/>
                <w:szCs w:val="21"/>
              </w:rPr>
            </w:pPr>
            <w:r>
              <w:rPr>
                <w:rFonts w:ascii="宋体" w:hint="eastAsia"/>
                <w:sz w:val="21"/>
                <w:szCs w:val="21"/>
              </w:rPr>
              <w:t>朴树</w:t>
            </w:r>
          </w:p>
        </w:tc>
        <w:tc>
          <w:tcPr>
            <w:tcW w:w="759" w:type="pct"/>
          </w:tcPr>
          <w:p w14:paraId="03A6E397"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3" w:type="pct"/>
          </w:tcPr>
          <w:p w14:paraId="3475CEDB" w14:textId="77777777" w:rsidR="007D1E74" w:rsidRDefault="00A95641">
            <w:pPr>
              <w:pStyle w:val="TableParagraph"/>
              <w:spacing w:before="24"/>
              <w:rPr>
                <w:sz w:val="21"/>
                <w:szCs w:val="21"/>
              </w:rPr>
            </w:pPr>
            <w:r>
              <w:rPr>
                <w:sz w:val="21"/>
                <w:szCs w:val="21"/>
              </w:rPr>
              <w:t>1</w:t>
            </w:r>
          </w:p>
        </w:tc>
        <w:tc>
          <w:tcPr>
            <w:tcW w:w="589" w:type="pct"/>
          </w:tcPr>
          <w:p w14:paraId="268D72F9" w14:textId="77777777" w:rsidR="007D1E74" w:rsidRDefault="00A95641">
            <w:pPr>
              <w:pStyle w:val="TableParagraph"/>
              <w:spacing w:before="24"/>
              <w:ind w:left="231" w:right="231"/>
              <w:rPr>
                <w:sz w:val="21"/>
                <w:szCs w:val="21"/>
              </w:rPr>
            </w:pPr>
            <w:r>
              <w:rPr>
                <w:sz w:val="21"/>
                <w:szCs w:val="21"/>
              </w:rPr>
              <w:t>Ol</w:t>
            </w:r>
          </w:p>
        </w:tc>
        <w:tc>
          <w:tcPr>
            <w:tcW w:w="978" w:type="pct"/>
          </w:tcPr>
          <w:p w14:paraId="1B80729E" w14:textId="77777777" w:rsidR="007D1E74" w:rsidRDefault="00A95641">
            <w:pPr>
              <w:pStyle w:val="TableParagraph"/>
              <w:spacing w:before="24"/>
              <w:ind w:right="1"/>
              <w:rPr>
                <w:sz w:val="21"/>
                <w:szCs w:val="21"/>
              </w:rPr>
            </w:pPr>
            <w:r>
              <w:rPr>
                <w:sz w:val="21"/>
                <w:szCs w:val="21"/>
              </w:rPr>
              <w:t>7</w:t>
            </w:r>
          </w:p>
        </w:tc>
        <w:tc>
          <w:tcPr>
            <w:tcW w:w="652" w:type="pct"/>
          </w:tcPr>
          <w:p w14:paraId="29B9E36A" w14:textId="77777777" w:rsidR="007D1E74" w:rsidRDefault="00A95641">
            <w:pPr>
              <w:pStyle w:val="TableParagraph"/>
              <w:spacing w:before="24"/>
              <w:ind w:right="108"/>
              <w:rPr>
                <w:sz w:val="21"/>
                <w:szCs w:val="21"/>
              </w:rPr>
            </w:pPr>
            <w:r>
              <w:rPr>
                <w:sz w:val="21"/>
                <w:szCs w:val="21"/>
              </w:rPr>
              <w:t>1</w:t>
            </w:r>
          </w:p>
        </w:tc>
      </w:tr>
      <w:tr w:rsidR="007D1E74" w14:paraId="01C6B133" w14:textId="77777777">
        <w:trPr>
          <w:trHeight w:hRule="exact" w:val="336"/>
        </w:trPr>
        <w:tc>
          <w:tcPr>
            <w:tcW w:w="440" w:type="pct"/>
          </w:tcPr>
          <w:p w14:paraId="13B0ADF2" w14:textId="77777777" w:rsidR="007D1E74" w:rsidRDefault="00A95641">
            <w:pPr>
              <w:pStyle w:val="TableParagraph"/>
              <w:spacing w:before="24"/>
              <w:ind w:left="4"/>
              <w:rPr>
                <w:sz w:val="21"/>
                <w:szCs w:val="21"/>
              </w:rPr>
            </w:pPr>
            <w:r>
              <w:rPr>
                <w:sz w:val="21"/>
                <w:szCs w:val="21"/>
              </w:rPr>
              <w:t>9</w:t>
            </w:r>
          </w:p>
        </w:tc>
        <w:tc>
          <w:tcPr>
            <w:tcW w:w="908" w:type="pct"/>
          </w:tcPr>
          <w:p w14:paraId="7C0DCC6A" w14:textId="77777777" w:rsidR="007D1E74" w:rsidRDefault="00A95641">
            <w:pPr>
              <w:pStyle w:val="TableParagraph"/>
              <w:spacing w:line="284" w:lineRule="exact"/>
              <w:ind w:left="102"/>
              <w:rPr>
                <w:rFonts w:ascii="宋体"/>
                <w:sz w:val="21"/>
                <w:szCs w:val="21"/>
              </w:rPr>
            </w:pPr>
            <w:r>
              <w:rPr>
                <w:rFonts w:ascii="宋体" w:hint="eastAsia"/>
                <w:sz w:val="21"/>
                <w:szCs w:val="21"/>
              </w:rPr>
              <w:t>女贞</w:t>
            </w:r>
          </w:p>
        </w:tc>
        <w:tc>
          <w:tcPr>
            <w:tcW w:w="759" w:type="pct"/>
          </w:tcPr>
          <w:p w14:paraId="386804DB"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3" w:type="pct"/>
          </w:tcPr>
          <w:p w14:paraId="098F1343" w14:textId="77777777" w:rsidR="007D1E74" w:rsidRDefault="00A95641">
            <w:pPr>
              <w:pStyle w:val="TableParagraph"/>
              <w:spacing w:before="24"/>
              <w:rPr>
                <w:sz w:val="21"/>
                <w:szCs w:val="21"/>
              </w:rPr>
            </w:pPr>
            <w:r>
              <w:rPr>
                <w:sz w:val="21"/>
                <w:szCs w:val="21"/>
              </w:rPr>
              <w:t>1</w:t>
            </w:r>
          </w:p>
        </w:tc>
        <w:tc>
          <w:tcPr>
            <w:tcW w:w="589" w:type="pct"/>
          </w:tcPr>
          <w:p w14:paraId="50E2B2AD" w14:textId="77777777" w:rsidR="007D1E74" w:rsidRDefault="00A95641">
            <w:pPr>
              <w:pStyle w:val="TableParagraph"/>
              <w:spacing w:before="24"/>
              <w:ind w:left="231" w:right="231"/>
              <w:rPr>
                <w:sz w:val="21"/>
                <w:szCs w:val="21"/>
              </w:rPr>
            </w:pPr>
            <w:r>
              <w:rPr>
                <w:sz w:val="21"/>
                <w:szCs w:val="21"/>
              </w:rPr>
              <w:t>Ol</w:t>
            </w:r>
          </w:p>
        </w:tc>
        <w:tc>
          <w:tcPr>
            <w:tcW w:w="978" w:type="pct"/>
          </w:tcPr>
          <w:p w14:paraId="23ED7FAD" w14:textId="77777777" w:rsidR="007D1E74" w:rsidRDefault="00A95641">
            <w:pPr>
              <w:pStyle w:val="TableParagraph"/>
              <w:spacing w:before="24"/>
              <w:ind w:right="1"/>
              <w:rPr>
                <w:sz w:val="21"/>
                <w:szCs w:val="21"/>
              </w:rPr>
            </w:pPr>
            <w:r>
              <w:rPr>
                <w:sz w:val="21"/>
                <w:szCs w:val="21"/>
              </w:rPr>
              <w:t>5</w:t>
            </w:r>
          </w:p>
        </w:tc>
        <w:tc>
          <w:tcPr>
            <w:tcW w:w="652" w:type="pct"/>
          </w:tcPr>
          <w:p w14:paraId="6947C7BE" w14:textId="77777777" w:rsidR="007D1E74" w:rsidRDefault="00A95641">
            <w:pPr>
              <w:pStyle w:val="TableParagraph"/>
              <w:spacing w:before="24"/>
              <w:ind w:right="108"/>
              <w:rPr>
                <w:sz w:val="21"/>
                <w:szCs w:val="21"/>
              </w:rPr>
            </w:pPr>
            <w:r>
              <w:rPr>
                <w:sz w:val="21"/>
                <w:szCs w:val="21"/>
              </w:rPr>
              <w:t>1</w:t>
            </w:r>
          </w:p>
        </w:tc>
      </w:tr>
      <w:tr w:rsidR="007D1E74" w14:paraId="26431846" w14:textId="77777777">
        <w:trPr>
          <w:trHeight w:hRule="exact" w:val="336"/>
        </w:trPr>
        <w:tc>
          <w:tcPr>
            <w:tcW w:w="440" w:type="pct"/>
          </w:tcPr>
          <w:p w14:paraId="3E889797" w14:textId="77777777" w:rsidR="007D1E74" w:rsidRDefault="00A95641">
            <w:pPr>
              <w:pStyle w:val="TableParagraph"/>
              <w:spacing w:before="24"/>
              <w:ind w:left="109" w:right="105"/>
              <w:rPr>
                <w:sz w:val="21"/>
                <w:szCs w:val="21"/>
              </w:rPr>
            </w:pPr>
            <w:r>
              <w:rPr>
                <w:sz w:val="21"/>
                <w:szCs w:val="21"/>
              </w:rPr>
              <w:t>10</w:t>
            </w:r>
          </w:p>
        </w:tc>
        <w:tc>
          <w:tcPr>
            <w:tcW w:w="908" w:type="pct"/>
          </w:tcPr>
          <w:p w14:paraId="192C6031" w14:textId="77777777" w:rsidR="007D1E74" w:rsidRDefault="00A95641">
            <w:pPr>
              <w:pStyle w:val="TableParagraph"/>
              <w:spacing w:line="284" w:lineRule="exact"/>
              <w:ind w:left="102"/>
              <w:rPr>
                <w:rFonts w:ascii="宋体"/>
                <w:sz w:val="21"/>
                <w:szCs w:val="21"/>
              </w:rPr>
            </w:pPr>
            <w:r>
              <w:rPr>
                <w:rFonts w:ascii="宋体" w:hint="eastAsia"/>
                <w:sz w:val="21"/>
                <w:szCs w:val="21"/>
              </w:rPr>
              <w:t>悬钩子</w:t>
            </w:r>
          </w:p>
        </w:tc>
        <w:tc>
          <w:tcPr>
            <w:tcW w:w="759" w:type="pct"/>
          </w:tcPr>
          <w:p w14:paraId="5672E43B"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3" w:type="pct"/>
          </w:tcPr>
          <w:p w14:paraId="10AAA0A0" w14:textId="77777777" w:rsidR="007D1E74" w:rsidRDefault="00A95641">
            <w:pPr>
              <w:pStyle w:val="TableParagraph"/>
              <w:spacing w:before="24"/>
              <w:rPr>
                <w:sz w:val="21"/>
                <w:szCs w:val="21"/>
              </w:rPr>
            </w:pPr>
            <w:r>
              <w:rPr>
                <w:sz w:val="21"/>
                <w:szCs w:val="21"/>
              </w:rPr>
              <w:t>2</w:t>
            </w:r>
          </w:p>
        </w:tc>
        <w:tc>
          <w:tcPr>
            <w:tcW w:w="589" w:type="pct"/>
          </w:tcPr>
          <w:p w14:paraId="7CE0D0E5" w14:textId="77777777" w:rsidR="007D1E74" w:rsidRDefault="00A95641">
            <w:pPr>
              <w:pStyle w:val="TableParagraph"/>
              <w:spacing w:before="23"/>
              <w:ind w:left="231" w:right="231"/>
              <w:rPr>
                <w:sz w:val="21"/>
                <w:szCs w:val="21"/>
              </w:rPr>
            </w:pPr>
            <w:r>
              <w:rPr>
                <w:position w:val="2"/>
                <w:sz w:val="21"/>
                <w:szCs w:val="21"/>
              </w:rPr>
              <w:t>Cop</w:t>
            </w:r>
            <w:r>
              <w:rPr>
                <w:sz w:val="21"/>
                <w:szCs w:val="21"/>
              </w:rPr>
              <w:t>1</w:t>
            </w:r>
          </w:p>
        </w:tc>
        <w:tc>
          <w:tcPr>
            <w:tcW w:w="978" w:type="pct"/>
          </w:tcPr>
          <w:p w14:paraId="57BAD8ED" w14:textId="77777777" w:rsidR="007D1E74" w:rsidRDefault="00A95641">
            <w:pPr>
              <w:pStyle w:val="TableParagraph"/>
              <w:spacing w:before="24"/>
              <w:ind w:left="170" w:right="170"/>
              <w:rPr>
                <w:sz w:val="21"/>
                <w:szCs w:val="21"/>
              </w:rPr>
            </w:pPr>
            <w:r>
              <w:rPr>
                <w:sz w:val="21"/>
                <w:szCs w:val="21"/>
              </w:rPr>
              <w:t>1.5</w:t>
            </w:r>
          </w:p>
        </w:tc>
        <w:tc>
          <w:tcPr>
            <w:tcW w:w="652" w:type="pct"/>
          </w:tcPr>
          <w:p w14:paraId="3620E021" w14:textId="77777777" w:rsidR="007D1E74" w:rsidRDefault="00A95641">
            <w:pPr>
              <w:pStyle w:val="TableParagraph"/>
              <w:spacing w:before="24"/>
              <w:ind w:left="116" w:right="224"/>
              <w:rPr>
                <w:sz w:val="21"/>
                <w:szCs w:val="21"/>
              </w:rPr>
            </w:pPr>
            <w:r>
              <w:rPr>
                <w:sz w:val="21"/>
                <w:szCs w:val="21"/>
              </w:rPr>
              <w:t>20</w:t>
            </w:r>
          </w:p>
        </w:tc>
      </w:tr>
      <w:tr w:rsidR="007D1E74" w14:paraId="3D41EB85" w14:textId="77777777">
        <w:trPr>
          <w:trHeight w:hRule="exact" w:val="336"/>
        </w:trPr>
        <w:tc>
          <w:tcPr>
            <w:tcW w:w="440" w:type="pct"/>
          </w:tcPr>
          <w:p w14:paraId="7706F770" w14:textId="77777777" w:rsidR="007D1E74" w:rsidRDefault="00A95641">
            <w:pPr>
              <w:pStyle w:val="TableParagraph"/>
              <w:spacing w:before="24"/>
              <w:ind w:left="109" w:right="105"/>
              <w:rPr>
                <w:sz w:val="21"/>
                <w:szCs w:val="21"/>
              </w:rPr>
            </w:pPr>
            <w:r>
              <w:rPr>
                <w:sz w:val="21"/>
                <w:szCs w:val="21"/>
              </w:rPr>
              <w:t>11</w:t>
            </w:r>
          </w:p>
        </w:tc>
        <w:tc>
          <w:tcPr>
            <w:tcW w:w="908" w:type="pct"/>
          </w:tcPr>
          <w:p w14:paraId="614F84DD" w14:textId="77777777" w:rsidR="007D1E74" w:rsidRDefault="00A95641">
            <w:pPr>
              <w:pStyle w:val="TableParagraph"/>
              <w:spacing w:line="284" w:lineRule="exact"/>
              <w:ind w:left="102"/>
              <w:rPr>
                <w:rFonts w:ascii="宋体"/>
                <w:sz w:val="21"/>
                <w:szCs w:val="21"/>
              </w:rPr>
            </w:pPr>
            <w:r>
              <w:rPr>
                <w:rFonts w:ascii="宋体" w:hint="eastAsia"/>
                <w:sz w:val="21"/>
                <w:szCs w:val="21"/>
              </w:rPr>
              <w:t>火棘</w:t>
            </w:r>
          </w:p>
        </w:tc>
        <w:tc>
          <w:tcPr>
            <w:tcW w:w="759" w:type="pct"/>
          </w:tcPr>
          <w:p w14:paraId="42A8F1D2"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3" w:type="pct"/>
          </w:tcPr>
          <w:p w14:paraId="6651CF77" w14:textId="77777777" w:rsidR="007D1E74" w:rsidRDefault="00A95641">
            <w:pPr>
              <w:pStyle w:val="TableParagraph"/>
              <w:spacing w:before="24"/>
              <w:rPr>
                <w:sz w:val="21"/>
                <w:szCs w:val="21"/>
              </w:rPr>
            </w:pPr>
            <w:r>
              <w:rPr>
                <w:sz w:val="21"/>
                <w:szCs w:val="21"/>
              </w:rPr>
              <w:t>6</w:t>
            </w:r>
          </w:p>
        </w:tc>
        <w:tc>
          <w:tcPr>
            <w:tcW w:w="589" w:type="pct"/>
          </w:tcPr>
          <w:p w14:paraId="6B9101B0" w14:textId="77777777" w:rsidR="007D1E74" w:rsidRDefault="00A95641">
            <w:pPr>
              <w:pStyle w:val="TableParagraph"/>
              <w:spacing w:before="23"/>
              <w:ind w:left="231" w:right="231"/>
              <w:rPr>
                <w:sz w:val="21"/>
                <w:szCs w:val="21"/>
              </w:rPr>
            </w:pPr>
            <w:r>
              <w:rPr>
                <w:position w:val="2"/>
                <w:sz w:val="21"/>
                <w:szCs w:val="21"/>
              </w:rPr>
              <w:t>Cop</w:t>
            </w:r>
            <w:r>
              <w:rPr>
                <w:sz w:val="21"/>
                <w:szCs w:val="21"/>
              </w:rPr>
              <w:t>1</w:t>
            </w:r>
          </w:p>
        </w:tc>
        <w:tc>
          <w:tcPr>
            <w:tcW w:w="978" w:type="pct"/>
          </w:tcPr>
          <w:p w14:paraId="34FAA7A3" w14:textId="77777777" w:rsidR="007D1E74" w:rsidRDefault="00A95641">
            <w:pPr>
              <w:pStyle w:val="TableParagraph"/>
              <w:spacing w:before="24"/>
              <w:ind w:left="170" w:right="170"/>
              <w:rPr>
                <w:sz w:val="21"/>
                <w:szCs w:val="21"/>
              </w:rPr>
            </w:pPr>
            <w:r>
              <w:rPr>
                <w:sz w:val="21"/>
                <w:szCs w:val="21"/>
              </w:rPr>
              <w:t>1.7</w:t>
            </w:r>
          </w:p>
        </w:tc>
        <w:tc>
          <w:tcPr>
            <w:tcW w:w="652" w:type="pct"/>
          </w:tcPr>
          <w:p w14:paraId="0EFDE4DF" w14:textId="77777777" w:rsidR="007D1E74" w:rsidRDefault="00A95641">
            <w:pPr>
              <w:pStyle w:val="TableParagraph"/>
              <w:spacing w:before="24"/>
              <w:ind w:left="116" w:right="224"/>
              <w:rPr>
                <w:sz w:val="21"/>
                <w:szCs w:val="21"/>
              </w:rPr>
            </w:pPr>
            <w:r>
              <w:rPr>
                <w:sz w:val="21"/>
                <w:szCs w:val="21"/>
              </w:rPr>
              <w:t>15</w:t>
            </w:r>
          </w:p>
        </w:tc>
      </w:tr>
      <w:tr w:rsidR="007D1E74" w14:paraId="36741936" w14:textId="77777777">
        <w:trPr>
          <w:trHeight w:hRule="exact" w:val="336"/>
        </w:trPr>
        <w:tc>
          <w:tcPr>
            <w:tcW w:w="440" w:type="pct"/>
          </w:tcPr>
          <w:p w14:paraId="24F5231C" w14:textId="77777777" w:rsidR="007D1E74" w:rsidRDefault="00A95641">
            <w:pPr>
              <w:pStyle w:val="TableParagraph"/>
              <w:spacing w:before="24"/>
              <w:ind w:left="109" w:right="105"/>
              <w:rPr>
                <w:sz w:val="21"/>
                <w:szCs w:val="21"/>
              </w:rPr>
            </w:pPr>
            <w:r>
              <w:rPr>
                <w:sz w:val="21"/>
                <w:szCs w:val="21"/>
              </w:rPr>
              <w:lastRenderedPageBreak/>
              <w:t>12</w:t>
            </w:r>
          </w:p>
        </w:tc>
        <w:tc>
          <w:tcPr>
            <w:tcW w:w="908" w:type="pct"/>
          </w:tcPr>
          <w:p w14:paraId="6B50C22F" w14:textId="77777777" w:rsidR="007D1E74" w:rsidRDefault="00A95641">
            <w:pPr>
              <w:pStyle w:val="TableParagraph"/>
              <w:spacing w:line="284" w:lineRule="exact"/>
              <w:ind w:left="102"/>
              <w:rPr>
                <w:rFonts w:ascii="宋体"/>
                <w:sz w:val="21"/>
                <w:szCs w:val="21"/>
              </w:rPr>
            </w:pPr>
            <w:r>
              <w:rPr>
                <w:rFonts w:ascii="宋体" w:hint="eastAsia"/>
                <w:sz w:val="21"/>
                <w:szCs w:val="21"/>
              </w:rPr>
              <w:t>黄荆</w:t>
            </w:r>
          </w:p>
        </w:tc>
        <w:tc>
          <w:tcPr>
            <w:tcW w:w="759" w:type="pct"/>
          </w:tcPr>
          <w:p w14:paraId="14367D30"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3" w:type="pct"/>
          </w:tcPr>
          <w:p w14:paraId="096D5483" w14:textId="77777777" w:rsidR="007D1E74" w:rsidRDefault="00A95641">
            <w:pPr>
              <w:pStyle w:val="TableParagraph"/>
              <w:spacing w:before="24"/>
              <w:ind w:left="101" w:right="101"/>
              <w:rPr>
                <w:sz w:val="21"/>
                <w:szCs w:val="21"/>
              </w:rPr>
            </w:pPr>
            <w:r>
              <w:rPr>
                <w:sz w:val="21"/>
                <w:szCs w:val="21"/>
              </w:rPr>
              <w:t>11</w:t>
            </w:r>
          </w:p>
        </w:tc>
        <w:tc>
          <w:tcPr>
            <w:tcW w:w="589" w:type="pct"/>
          </w:tcPr>
          <w:p w14:paraId="424FD04D" w14:textId="77777777" w:rsidR="007D1E74" w:rsidRDefault="00A95641">
            <w:pPr>
              <w:pStyle w:val="TableParagraph"/>
              <w:spacing w:before="24"/>
              <w:ind w:left="231" w:right="231"/>
              <w:rPr>
                <w:sz w:val="21"/>
                <w:szCs w:val="21"/>
              </w:rPr>
            </w:pPr>
            <w:r>
              <w:rPr>
                <w:sz w:val="21"/>
                <w:szCs w:val="21"/>
              </w:rPr>
              <w:t>Sp</w:t>
            </w:r>
          </w:p>
        </w:tc>
        <w:tc>
          <w:tcPr>
            <w:tcW w:w="978" w:type="pct"/>
          </w:tcPr>
          <w:p w14:paraId="0AF6E1FB" w14:textId="77777777" w:rsidR="007D1E74" w:rsidRDefault="00A95641">
            <w:pPr>
              <w:pStyle w:val="TableParagraph"/>
              <w:spacing w:before="24"/>
              <w:ind w:left="170" w:right="170"/>
              <w:rPr>
                <w:sz w:val="21"/>
                <w:szCs w:val="21"/>
              </w:rPr>
            </w:pPr>
            <w:r>
              <w:rPr>
                <w:sz w:val="21"/>
                <w:szCs w:val="21"/>
              </w:rPr>
              <w:t>2.6</w:t>
            </w:r>
          </w:p>
        </w:tc>
        <w:tc>
          <w:tcPr>
            <w:tcW w:w="652" w:type="pct"/>
          </w:tcPr>
          <w:p w14:paraId="3C482304" w14:textId="77777777" w:rsidR="007D1E74" w:rsidRDefault="00A95641">
            <w:pPr>
              <w:pStyle w:val="TableParagraph"/>
              <w:spacing w:before="24"/>
              <w:ind w:right="108"/>
              <w:rPr>
                <w:sz w:val="21"/>
                <w:szCs w:val="21"/>
              </w:rPr>
            </w:pPr>
            <w:r>
              <w:rPr>
                <w:sz w:val="21"/>
                <w:szCs w:val="21"/>
              </w:rPr>
              <w:t>5</w:t>
            </w:r>
          </w:p>
        </w:tc>
      </w:tr>
      <w:tr w:rsidR="007D1E74" w14:paraId="471EFBB0" w14:textId="77777777">
        <w:trPr>
          <w:trHeight w:hRule="exact" w:val="336"/>
        </w:trPr>
        <w:tc>
          <w:tcPr>
            <w:tcW w:w="440" w:type="pct"/>
          </w:tcPr>
          <w:p w14:paraId="1EF7EE68" w14:textId="77777777" w:rsidR="007D1E74" w:rsidRDefault="00A95641">
            <w:pPr>
              <w:pStyle w:val="TableParagraph"/>
              <w:spacing w:before="24"/>
              <w:ind w:left="109" w:right="105"/>
              <w:rPr>
                <w:sz w:val="21"/>
                <w:szCs w:val="21"/>
              </w:rPr>
            </w:pPr>
            <w:r>
              <w:rPr>
                <w:sz w:val="21"/>
                <w:szCs w:val="21"/>
              </w:rPr>
              <w:t>13</w:t>
            </w:r>
          </w:p>
        </w:tc>
        <w:tc>
          <w:tcPr>
            <w:tcW w:w="908" w:type="pct"/>
          </w:tcPr>
          <w:p w14:paraId="2881D1B1" w14:textId="77777777" w:rsidR="007D1E74" w:rsidRDefault="00A95641">
            <w:pPr>
              <w:pStyle w:val="TableParagraph"/>
              <w:spacing w:line="284" w:lineRule="exact"/>
              <w:ind w:left="102"/>
              <w:rPr>
                <w:rFonts w:ascii="宋体"/>
                <w:sz w:val="21"/>
                <w:szCs w:val="21"/>
              </w:rPr>
            </w:pPr>
            <w:r>
              <w:rPr>
                <w:rFonts w:ascii="宋体" w:hint="eastAsia"/>
                <w:sz w:val="21"/>
                <w:szCs w:val="21"/>
              </w:rPr>
              <w:t>铁仔</w:t>
            </w:r>
          </w:p>
        </w:tc>
        <w:tc>
          <w:tcPr>
            <w:tcW w:w="759" w:type="pct"/>
          </w:tcPr>
          <w:p w14:paraId="175638D6"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3" w:type="pct"/>
          </w:tcPr>
          <w:p w14:paraId="61CF32CC" w14:textId="77777777" w:rsidR="007D1E74" w:rsidRDefault="00A95641">
            <w:pPr>
              <w:pStyle w:val="TableParagraph"/>
              <w:spacing w:before="24"/>
              <w:rPr>
                <w:sz w:val="21"/>
                <w:szCs w:val="21"/>
              </w:rPr>
            </w:pPr>
            <w:r>
              <w:rPr>
                <w:sz w:val="21"/>
                <w:szCs w:val="21"/>
              </w:rPr>
              <w:t>3</w:t>
            </w:r>
          </w:p>
        </w:tc>
        <w:tc>
          <w:tcPr>
            <w:tcW w:w="589" w:type="pct"/>
          </w:tcPr>
          <w:p w14:paraId="64DC99C5" w14:textId="77777777" w:rsidR="007D1E74" w:rsidRDefault="00A95641">
            <w:pPr>
              <w:pStyle w:val="TableParagraph"/>
              <w:spacing w:before="24"/>
              <w:ind w:left="231" w:right="231"/>
              <w:rPr>
                <w:sz w:val="21"/>
                <w:szCs w:val="21"/>
              </w:rPr>
            </w:pPr>
            <w:r>
              <w:rPr>
                <w:sz w:val="21"/>
                <w:szCs w:val="21"/>
              </w:rPr>
              <w:t>Sp</w:t>
            </w:r>
          </w:p>
        </w:tc>
        <w:tc>
          <w:tcPr>
            <w:tcW w:w="978" w:type="pct"/>
          </w:tcPr>
          <w:p w14:paraId="7E03F65A" w14:textId="77777777" w:rsidR="007D1E74" w:rsidRDefault="00A95641">
            <w:pPr>
              <w:pStyle w:val="TableParagraph"/>
              <w:spacing w:before="24"/>
              <w:ind w:left="170" w:right="170"/>
              <w:rPr>
                <w:sz w:val="21"/>
                <w:szCs w:val="21"/>
              </w:rPr>
            </w:pPr>
            <w:r>
              <w:rPr>
                <w:sz w:val="21"/>
                <w:szCs w:val="21"/>
              </w:rPr>
              <w:t>1.3</w:t>
            </w:r>
          </w:p>
        </w:tc>
        <w:tc>
          <w:tcPr>
            <w:tcW w:w="652" w:type="pct"/>
          </w:tcPr>
          <w:p w14:paraId="790EC816" w14:textId="77777777" w:rsidR="007D1E74" w:rsidRDefault="00A95641">
            <w:pPr>
              <w:pStyle w:val="TableParagraph"/>
              <w:spacing w:before="24"/>
              <w:ind w:right="108"/>
              <w:rPr>
                <w:sz w:val="21"/>
                <w:szCs w:val="21"/>
              </w:rPr>
            </w:pPr>
            <w:r>
              <w:rPr>
                <w:sz w:val="21"/>
                <w:szCs w:val="21"/>
              </w:rPr>
              <w:t>5</w:t>
            </w:r>
          </w:p>
        </w:tc>
      </w:tr>
      <w:tr w:rsidR="007D1E74" w14:paraId="094DB852" w14:textId="77777777">
        <w:trPr>
          <w:trHeight w:hRule="exact" w:val="336"/>
        </w:trPr>
        <w:tc>
          <w:tcPr>
            <w:tcW w:w="440" w:type="pct"/>
          </w:tcPr>
          <w:p w14:paraId="0AAA66FB" w14:textId="77777777" w:rsidR="007D1E74" w:rsidRDefault="00A95641">
            <w:pPr>
              <w:pStyle w:val="TableParagraph"/>
              <w:spacing w:before="24"/>
              <w:ind w:left="109" w:right="105"/>
              <w:rPr>
                <w:sz w:val="21"/>
                <w:szCs w:val="21"/>
              </w:rPr>
            </w:pPr>
            <w:r>
              <w:rPr>
                <w:sz w:val="21"/>
                <w:szCs w:val="21"/>
              </w:rPr>
              <w:t>14</w:t>
            </w:r>
          </w:p>
        </w:tc>
        <w:tc>
          <w:tcPr>
            <w:tcW w:w="908" w:type="pct"/>
          </w:tcPr>
          <w:p w14:paraId="463D6F12" w14:textId="77777777" w:rsidR="007D1E74" w:rsidRDefault="00A95641">
            <w:pPr>
              <w:pStyle w:val="TableParagraph"/>
              <w:spacing w:line="284" w:lineRule="exact"/>
              <w:ind w:left="102"/>
              <w:rPr>
                <w:rFonts w:ascii="宋体"/>
                <w:sz w:val="21"/>
                <w:szCs w:val="21"/>
              </w:rPr>
            </w:pPr>
            <w:r>
              <w:rPr>
                <w:rFonts w:ascii="宋体" w:hint="eastAsia"/>
                <w:sz w:val="21"/>
                <w:szCs w:val="21"/>
              </w:rPr>
              <w:t>蒿</w:t>
            </w:r>
          </w:p>
        </w:tc>
        <w:tc>
          <w:tcPr>
            <w:tcW w:w="759" w:type="pct"/>
          </w:tcPr>
          <w:p w14:paraId="3DDACEBF"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3" w:type="pct"/>
          </w:tcPr>
          <w:p w14:paraId="0E3A3AA0" w14:textId="77777777" w:rsidR="007D1E74" w:rsidRDefault="00A95641">
            <w:pPr>
              <w:pStyle w:val="TableParagraph"/>
              <w:spacing w:before="24"/>
              <w:ind w:left="101" w:right="101"/>
              <w:rPr>
                <w:sz w:val="21"/>
                <w:szCs w:val="21"/>
              </w:rPr>
            </w:pPr>
            <w:r>
              <w:rPr>
                <w:sz w:val="21"/>
                <w:szCs w:val="21"/>
              </w:rPr>
              <w:t>60</w:t>
            </w:r>
          </w:p>
        </w:tc>
        <w:tc>
          <w:tcPr>
            <w:tcW w:w="589" w:type="pct"/>
          </w:tcPr>
          <w:p w14:paraId="6AE7B94E" w14:textId="77777777" w:rsidR="007D1E74" w:rsidRDefault="00A95641">
            <w:pPr>
              <w:pStyle w:val="TableParagraph"/>
              <w:spacing w:before="24"/>
              <w:ind w:left="231" w:right="231"/>
              <w:rPr>
                <w:sz w:val="21"/>
                <w:szCs w:val="21"/>
              </w:rPr>
            </w:pPr>
            <w:r>
              <w:rPr>
                <w:sz w:val="21"/>
                <w:szCs w:val="21"/>
              </w:rPr>
              <w:t>Sp</w:t>
            </w:r>
          </w:p>
        </w:tc>
        <w:tc>
          <w:tcPr>
            <w:tcW w:w="978" w:type="pct"/>
          </w:tcPr>
          <w:p w14:paraId="56BCD37B" w14:textId="77777777" w:rsidR="007D1E74" w:rsidRDefault="00A95641">
            <w:pPr>
              <w:pStyle w:val="TableParagraph"/>
              <w:spacing w:before="24"/>
              <w:ind w:left="170" w:right="170"/>
              <w:rPr>
                <w:sz w:val="21"/>
                <w:szCs w:val="21"/>
              </w:rPr>
            </w:pPr>
            <w:r>
              <w:rPr>
                <w:sz w:val="21"/>
                <w:szCs w:val="21"/>
              </w:rPr>
              <w:t>0.8</w:t>
            </w:r>
          </w:p>
        </w:tc>
        <w:tc>
          <w:tcPr>
            <w:tcW w:w="652" w:type="pct"/>
          </w:tcPr>
          <w:p w14:paraId="2509F020" w14:textId="77777777" w:rsidR="007D1E74" w:rsidRDefault="00A95641">
            <w:pPr>
              <w:pStyle w:val="TableParagraph"/>
              <w:spacing w:before="24"/>
              <w:ind w:right="108"/>
              <w:rPr>
                <w:sz w:val="21"/>
                <w:szCs w:val="21"/>
              </w:rPr>
            </w:pPr>
            <w:r>
              <w:rPr>
                <w:sz w:val="21"/>
                <w:szCs w:val="21"/>
              </w:rPr>
              <w:t>5</w:t>
            </w:r>
          </w:p>
        </w:tc>
      </w:tr>
      <w:tr w:rsidR="007D1E74" w14:paraId="0E503CEA" w14:textId="77777777">
        <w:trPr>
          <w:trHeight w:hRule="exact" w:val="344"/>
        </w:trPr>
        <w:tc>
          <w:tcPr>
            <w:tcW w:w="440" w:type="pct"/>
          </w:tcPr>
          <w:p w14:paraId="05A4DA37" w14:textId="77777777" w:rsidR="007D1E74" w:rsidRDefault="00A95641">
            <w:pPr>
              <w:pStyle w:val="TableParagraph"/>
              <w:spacing w:before="24"/>
              <w:ind w:left="109" w:right="105"/>
              <w:rPr>
                <w:sz w:val="21"/>
                <w:szCs w:val="21"/>
              </w:rPr>
            </w:pPr>
            <w:r>
              <w:rPr>
                <w:sz w:val="21"/>
                <w:szCs w:val="21"/>
              </w:rPr>
              <w:t>15</w:t>
            </w:r>
          </w:p>
        </w:tc>
        <w:tc>
          <w:tcPr>
            <w:tcW w:w="908" w:type="pct"/>
          </w:tcPr>
          <w:p w14:paraId="20541AD7" w14:textId="77777777" w:rsidR="007D1E74" w:rsidRDefault="00A95641">
            <w:pPr>
              <w:pStyle w:val="TableParagraph"/>
              <w:spacing w:line="284" w:lineRule="exact"/>
              <w:ind w:left="102"/>
              <w:rPr>
                <w:rFonts w:ascii="宋体"/>
                <w:sz w:val="21"/>
                <w:szCs w:val="21"/>
              </w:rPr>
            </w:pPr>
            <w:r>
              <w:rPr>
                <w:rFonts w:ascii="宋体" w:hint="eastAsia"/>
                <w:sz w:val="21"/>
                <w:szCs w:val="21"/>
              </w:rPr>
              <w:t>苔草</w:t>
            </w:r>
          </w:p>
        </w:tc>
        <w:tc>
          <w:tcPr>
            <w:tcW w:w="759" w:type="pct"/>
          </w:tcPr>
          <w:p w14:paraId="5596800C"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3" w:type="pct"/>
          </w:tcPr>
          <w:p w14:paraId="09BB3351" w14:textId="77777777" w:rsidR="007D1E74" w:rsidRDefault="00A95641">
            <w:pPr>
              <w:pStyle w:val="TableParagraph"/>
              <w:spacing w:before="24"/>
              <w:ind w:left="101" w:right="101"/>
              <w:rPr>
                <w:sz w:val="21"/>
                <w:szCs w:val="21"/>
              </w:rPr>
            </w:pPr>
            <w:r>
              <w:rPr>
                <w:sz w:val="21"/>
                <w:szCs w:val="21"/>
              </w:rPr>
              <w:t>45</w:t>
            </w:r>
          </w:p>
        </w:tc>
        <w:tc>
          <w:tcPr>
            <w:tcW w:w="589" w:type="pct"/>
          </w:tcPr>
          <w:p w14:paraId="6DAC4D91" w14:textId="77777777" w:rsidR="007D1E74" w:rsidRDefault="00A95641">
            <w:pPr>
              <w:pStyle w:val="TableParagraph"/>
              <w:spacing w:before="24"/>
              <w:ind w:left="231" w:right="231"/>
              <w:rPr>
                <w:sz w:val="21"/>
                <w:szCs w:val="21"/>
              </w:rPr>
            </w:pPr>
            <w:r>
              <w:rPr>
                <w:sz w:val="21"/>
                <w:szCs w:val="21"/>
              </w:rPr>
              <w:t>Sp</w:t>
            </w:r>
          </w:p>
        </w:tc>
        <w:tc>
          <w:tcPr>
            <w:tcW w:w="978" w:type="pct"/>
          </w:tcPr>
          <w:p w14:paraId="062894C9" w14:textId="77777777" w:rsidR="007D1E74" w:rsidRDefault="00A95641">
            <w:pPr>
              <w:pStyle w:val="TableParagraph"/>
              <w:spacing w:before="24"/>
              <w:ind w:left="170" w:right="170"/>
              <w:rPr>
                <w:sz w:val="21"/>
                <w:szCs w:val="21"/>
              </w:rPr>
            </w:pPr>
            <w:r>
              <w:rPr>
                <w:sz w:val="21"/>
                <w:szCs w:val="21"/>
              </w:rPr>
              <w:t>0.4</w:t>
            </w:r>
          </w:p>
        </w:tc>
        <w:tc>
          <w:tcPr>
            <w:tcW w:w="652" w:type="pct"/>
          </w:tcPr>
          <w:p w14:paraId="5DE0A614" w14:textId="77777777" w:rsidR="007D1E74" w:rsidRDefault="00A95641">
            <w:pPr>
              <w:pStyle w:val="TableParagraph"/>
              <w:spacing w:before="24"/>
              <w:ind w:right="108"/>
              <w:rPr>
                <w:sz w:val="21"/>
                <w:szCs w:val="21"/>
              </w:rPr>
            </w:pPr>
            <w:r>
              <w:rPr>
                <w:sz w:val="21"/>
                <w:szCs w:val="21"/>
              </w:rPr>
              <w:t>6</w:t>
            </w:r>
          </w:p>
        </w:tc>
      </w:tr>
      <w:tr w:rsidR="007D1E74" w14:paraId="2506FC0E" w14:textId="77777777">
        <w:trPr>
          <w:trHeight w:hRule="exact" w:val="344"/>
        </w:trPr>
        <w:tc>
          <w:tcPr>
            <w:tcW w:w="440" w:type="pct"/>
          </w:tcPr>
          <w:p w14:paraId="373D82D9" w14:textId="77777777" w:rsidR="007D1E74" w:rsidRDefault="00A95641">
            <w:pPr>
              <w:pStyle w:val="TableParagraph"/>
              <w:spacing w:before="26"/>
              <w:ind w:left="109" w:right="105"/>
              <w:rPr>
                <w:sz w:val="21"/>
                <w:szCs w:val="21"/>
              </w:rPr>
            </w:pPr>
            <w:r>
              <w:rPr>
                <w:sz w:val="21"/>
                <w:szCs w:val="21"/>
              </w:rPr>
              <w:t>16</w:t>
            </w:r>
          </w:p>
        </w:tc>
        <w:tc>
          <w:tcPr>
            <w:tcW w:w="908" w:type="pct"/>
          </w:tcPr>
          <w:p w14:paraId="4DD18E41" w14:textId="77777777" w:rsidR="007D1E74" w:rsidRDefault="00A95641">
            <w:pPr>
              <w:pStyle w:val="TableParagraph"/>
              <w:spacing w:line="284" w:lineRule="exact"/>
              <w:ind w:left="102"/>
              <w:rPr>
                <w:rFonts w:ascii="宋体"/>
                <w:sz w:val="21"/>
                <w:szCs w:val="21"/>
              </w:rPr>
            </w:pPr>
            <w:r>
              <w:rPr>
                <w:rFonts w:ascii="宋体" w:hint="eastAsia"/>
                <w:sz w:val="21"/>
                <w:szCs w:val="21"/>
              </w:rPr>
              <w:t>矛叶荩草</w:t>
            </w:r>
          </w:p>
        </w:tc>
        <w:tc>
          <w:tcPr>
            <w:tcW w:w="759" w:type="pct"/>
          </w:tcPr>
          <w:p w14:paraId="7B4B4221"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3" w:type="pct"/>
          </w:tcPr>
          <w:p w14:paraId="1134E91F" w14:textId="77777777" w:rsidR="007D1E74" w:rsidRDefault="00A95641">
            <w:pPr>
              <w:pStyle w:val="TableParagraph"/>
              <w:spacing w:before="26"/>
              <w:rPr>
                <w:sz w:val="21"/>
                <w:szCs w:val="21"/>
              </w:rPr>
            </w:pPr>
            <w:r>
              <w:rPr>
                <w:sz w:val="21"/>
                <w:szCs w:val="21"/>
              </w:rPr>
              <w:t>3</w:t>
            </w:r>
          </w:p>
        </w:tc>
        <w:tc>
          <w:tcPr>
            <w:tcW w:w="589" w:type="pct"/>
          </w:tcPr>
          <w:p w14:paraId="35E00AED" w14:textId="77777777" w:rsidR="007D1E74" w:rsidRDefault="00A95641">
            <w:pPr>
              <w:pStyle w:val="TableParagraph"/>
              <w:spacing w:before="23"/>
              <w:ind w:left="231" w:right="231"/>
              <w:rPr>
                <w:sz w:val="21"/>
                <w:szCs w:val="21"/>
              </w:rPr>
            </w:pPr>
            <w:r>
              <w:rPr>
                <w:position w:val="2"/>
                <w:sz w:val="21"/>
                <w:szCs w:val="21"/>
              </w:rPr>
              <w:t>Cop</w:t>
            </w:r>
            <w:r>
              <w:rPr>
                <w:sz w:val="21"/>
                <w:szCs w:val="21"/>
              </w:rPr>
              <w:t>1</w:t>
            </w:r>
          </w:p>
        </w:tc>
        <w:tc>
          <w:tcPr>
            <w:tcW w:w="978" w:type="pct"/>
          </w:tcPr>
          <w:p w14:paraId="6F0FF691" w14:textId="77777777" w:rsidR="007D1E74" w:rsidRDefault="00A95641">
            <w:pPr>
              <w:pStyle w:val="TableParagraph"/>
              <w:spacing w:before="26"/>
              <w:ind w:left="668"/>
              <w:rPr>
                <w:sz w:val="21"/>
                <w:szCs w:val="21"/>
              </w:rPr>
            </w:pPr>
            <w:r>
              <w:rPr>
                <w:sz w:val="21"/>
                <w:szCs w:val="21"/>
              </w:rPr>
              <w:t>0.3</w:t>
            </w:r>
          </w:p>
        </w:tc>
        <w:tc>
          <w:tcPr>
            <w:tcW w:w="652" w:type="pct"/>
          </w:tcPr>
          <w:p w14:paraId="52731C06" w14:textId="77777777" w:rsidR="007D1E74" w:rsidRDefault="00A95641">
            <w:pPr>
              <w:pStyle w:val="TableParagraph"/>
              <w:spacing w:before="26"/>
              <w:ind w:right="373"/>
              <w:jc w:val="right"/>
              <w:rPr>
                <w:sz w:val="21"/>
                <w:szCs w:val="21"/>
              </w:rPr>
            </w:pPr>
            <w:r>
              <w:rPr>
                <w:sz w:val="21"/>
                <w:szCs w:val="21"/>
              </w:rPr>
              <w:t>12</w:t>
            </w:r>
          </w:p>
        </w:tc>
      </w:tr>
      <w:tr w:rsidR="007D1E74" w14:paraId="183AD482" w14:textId="77777777">
        <w:trPr>
          <w:trHeight w:hRule="exact" w:val="344"/>
        </w:trPr>
        <w:tc>
          <w:tcPr>
            <w:tcW w:w="440" w:type="pct"/>
          </w:tcPr>
          <w:p w14:paraId="180071D1" w14:textId="77777777" w:rsidR="007D1E74" w:rsidRDefault="00A95641">
            <w:pPr>
              <w:pStyle w:val="TableParagraph"/>
              <w:spacing w:before="25"/>
              <w:ind w:left="109" w:right="105"/>
              <w:rPr>
                <w:sz w:val="21"/>
                <w:szCs w:val="21"/>
              </w:rPr>
            </w:pPr>
            <w:r>
              <w:rPr>
                <w:sz w:val="21"/>
                <w:szCs w:val="21"/>
              </w:rPr>
              <w:t>17</w:t>
            </w:r>
          </w:p>
        </w:tc>
        <w:tc>
          <w:tcPr>
            <w:tcW w:w="908" w:type="pct"/>
          </w:tcPr>
          <w:p w14:paraId="641B1266" w14:textId="77777777" w:rsidR="007D1E74" w:rsidRDefault="00A95641">
            <w:pPr>
              <w:pStyle w:val="TableParagraph"/>
              <w:spacing w:line="284" w:lineRule="exact"/>
              <w:ind w:left="102"/>
              <w:rPr>
                <w:rFonts w:ascii="宋体"/>
                <w:sz w:val="21"/>
                <w:szCs w:val="21"/>
              </w:rPr>
            </w:pPr>
            <w:r>
              <w:rPr>
                <w:rFonts w:ascii="宋体" w:hint="eastAsia"/>
                <w:sz w:val="21"/>
                <w:szCs w:val="21"/>
              </w:rPr>
              <w:t>白茅</w:t>
            </w:r>
          </w:p>
        </w:tc>
        <w:tc>
          <w:tcPr>
            <w:tcW w:w="759" w:type="pct"/>
          </w:tcPr>
          <w:p w14:paraId="7D9DCB16"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3" w:type="pct"/>
          </w:tcPr>
          <w:p w14:paraId="29850ABF" w14:textId="77777777" w:rsidR="007D1E74" w:rsidRDefault="00A95641">
            <w:pPr>
              <w:pStyle w:val="TableParagraph"/>
              <w:spacing w:before="25"/>
              <w:rPr>
                <w:sz w:val="21"/>
                <w:szCs w:val="21"/>
              </w:rPr>
            </w:pPr>
            <w:r>
              <w:rPr>
                <w:sz w:val="21"/>
                <w:szCs w:val="21"/>
              </w:rPr>
              <w:t>2</w:t>
            </w:r>
          </w:p>
        </w:tc>
        <w:tc>
          <w:tcPr>
            <w:tcW w:w="589" w:type="pct"/>
          </w:tcPr>
          <w:p w14:paraId="6FFA0FAF" w14:textId="77777777" w:rsidR="007D1E74" w:rsidRDefault="00A95641">
            <w:pPr>
              <w:pStyle w:val="TableParagraph"/>
              <w:spacing w:before="22"/>
              <w:ind w:left="231" w:right="231"/>
              <w:rPr>
                <w:sz w:val="21"/>
                <w:szCs w:val="21"/>
              </w:rPr>
            </w:pPr>
            <w:r>
              <w:rPr>
                <w:position w:val="2"/>
                <w:sz w:val="21"/>
                <w:szCs w:val="21"/>
              </w:rPr>
              <w:t>Cop</w:t>
            </w:r>
            <w:r>
              <w:rPr>
                <w:sz w:val="21"/>
                <w:szCs w:val="21"/>
              </w:rPr>
              <w:t>1</w:t>
            </w:r>
          </w:p>
        </w:tc>
        <w:tc>
          <w:tcPr>
            <w:tcW w:w="978" w:type="pct"/>
          </w:tcPr>
          <w:p w14:paraId="6738A5A8" w14:textId="77777777" w:rsidR="007D1E74" w:rsidRDefault="00A95641">
            <w:pPr>
              <w:pStyle w:val="TableParagraph"/>
              <w:spacing w:before="25"/>
              <w:ind w:left="668"/>
              <w:rPr>
                <w:sz w:val="21"/>
                <w:szCs w:val="21"/>
              </w:rPr>
            </w:pPr>
            <w:r>
              <w:rPr>
                <w:sz w:val="21"/>
                <w:szCs w:val="21"/>
              </w:rPr>
              <w:t>0.9</w:t>
            </w:r>
          </w:p>
        </w:tc>
        <w:tc>
          <w:tcPr>
            <w:tcW w:w="652" w:type="pct"/>
          </w:tcPr>
          <w:p w14:paraId="03380C41" w14:textId="77777777" w:rsidR="007D1E74" w:rsidRDefault="00A95641">
            <w:pPr>
              <w:pStyle w:val="TableParagraph"/>
              <w:spacing w:before="25"/>
              <w:ind w:right="373"/>
              <w:jc w:val="right"/>
              <w:rPr>
                <w:sz w:val="21"/>
                <w:szCs w:val="21"/>
              </w:rPr>
            </w:pPr>
            <w:r>
              <w:rPr>
                <w:sz w:val="21"/>
                <w:szCs w:val="21"/>
              </w:rPr>
              <w:t>15</w:t>
            </w:r>
          </w:p>
        </w:tc>
      </w:tr>
      <w:tr w:rsidR="007D1E74" w14:paraId="63DF754A" w14:textId="77777777">
        <w:trPr>
          <w:trHeight w:hRule="exact" w:val="344"/>
        </w:trPr>
        <w:tc>
          <w:tcPr>
            <w:tcW w:w="440" w:type="pct"/>
          </w:tcPr>
          <w:p w14:paraId="23F7503A" w14:textId="77777777" w:rsidR="007D1E74" w:rsidRDefault="00A95641">
            <w:pPr>
              <w:pStyle w:val="TableParagraph"/>
              <w:spacing w:before="25"/>
              <w:ind w:left="109" w:right="105"/>
              <w:rPr>
                <w:sz w:val="21"/>
                <w:szCs w:val="21"/>
              </w:rPr>
            </w:pPr>
            <w:r>
              <w:rPr>
                <w:sz w:val="21"/>
                <w:szCs w:val="21"/>
              </w:rPr>
              <w:t>18</w:t>
            </w:r>
          </w:p>
        </w:tc>
        <w:tc>
          <w:tcPr>
            <w:tcW w:w="908" w:type="pct"/>
          </w:tcPr>
          <w:p w14:paraId="61CD991C" w14:textId="77777777" w:rsidR="007D1E74" w:rsidRDefault="00A95641">
            <w:pPr>
              <w:pStyle w:val="TableParagraph"/>
              <w:spacing w:line="284" w:lineRule="exact"/>
              <w:ind w:left="102"/>
              <w:rPr>
                <w:rFonts w:ascii="宋体"/>
                <w:sz w:val="21"/>
                <w:szCs w:val="21"/>
              </w:rPr>
            </w:pPr>
            <w:r>
              <w:rPr>
                <w:rFonts w:ascii="宋体" w:hint="eastAsia"/>
                <w:sz w:val="21"/>
                <w:szCs w:val="21"/>
              </w:rPr>
              <w:t>狗牙根</w:t>
            </w:r>
          </w:p>
        </w:tc>
        <w:tc>
          <w:tcPr>
            <w:tcW w:w="759" w:type="pct"/>
          </w:tcPr>
          <w:p w14:paraId="2777B16C"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3" w:type="pct"/>
          </w:tcPr>
          <w:p w14:paraId="35DE4571" w14:textId="77777777" w:rsidR="007D1E74" w:rsidRDefault="00A95641">
            <w:pPr>
              <w:pStyle w:val="TableParagraph"/>
              <w:spacing w:before="25"/>
              <w:rPr>
                <w:sz w:val="21"/>
                <w:szCs w:val="21"/>
              </w:rPr>
            </w:pPr>
            <w:r>
              <w:rPr>
                <w:sz w:val="21"/>
                <w:szCs w:val="21"/>
              </w:rPr>
              <w:t>6</w:t>
            </w:r>
          </w:p>
        </w:tc>
        <w:tc>
          <w:tcPr>
            <w:tcW w:w="589" w:type="pct"/>
          </w:tcPr>
          <w:p w14:paraId="2B1AC549" w14:textId="77777777" w:rsidR="007D1E74" w:rsidRDefault="00A95641">
            <w:pPr>
              <w:pStyle w:val="TableParagraph"/>
              <w:spacing w:before="25"/>
              <w:ind w:left="231" w:right="231"/>
              <w:rPr>
                <w:sz w:val="21"/>
                <w:szCs w:val="21"/>
              </w:rPr>
            </w:pPr>
            <w:r>
              <w:rPr>
                <w:sz w:val="21"/>
                <w:szCs w:val="21"/>
              </w:rPr>
              <w:t>Sp</w:t>
            </w:r>
          </w:p>
        </w:tc>
        <w:tc>
          <w:tcPr>
            <w:tcW w:w="978" w:type="pct"/>
          </w:tcPr>
          <w:p w14:paraId="3D0F5511" w14:textId="77777777" w:rsidR="007D1E74" w:rsidRDefault="00A95641">
            <w:pPr>
              <w:pStyle w:val="TableParagraph"/>
              <w:spacing w:before="25"/>
              <w:ind w:left="668"/>
              <w:rPr>
                <w:sz w:val="21"/>
                <w:szCs w:val="21"/>
              </w:rPr>
            </w:pPr>
            <w:r>
              <w:rPr>
                <w:sz w:val="21"/>
                <w:szCs w:val="21"/>
              </w:rPr>
              <w:t>0.1</w:t>
            </w:r>
          </w:p>
        </w:tc>
        <w:tc>
          <w:tcPr>
            <w:tcW w:w="652" w:type="pct"/>
          </w:tcPr>
          <w:p w14:paraId="103F34F6" w14:textId="77777777" w:rsidR="007D1E74" w:rsidRDefault="00A95641">
            <w:pPr>
              <w:pStyle w:val="TableParagraph"/>
              <w:spacing w:before="25"/>
              <w:ind w:right="433"/>
              <w:jc w:val="right"/>
              <w:rPr>
                <w:sz w:val="21"/>
                <w:szCs w:val="21"/>
              </w:rPr>
            </w:pPr>
            <w:r>
              <w:rPr>
                <w:sz w:val="21"/>
                <w:szCs w:val="21"/>
              </w:rPr>
              <w:t>3</w:t>
            </w:r>
          </w:p>
        </w:tc>
      </w:tr>
      <w:tr w:rsidR="007D1E74" w14:paraId="2326AF45" w14:textId="77777777">
        <w:trPr>
          <w:trHeight w:hRule="exact" w:val="344"/>
        </w:trPr>
        <w:tc>
          <w:tcPr>
            <w:tcW w:w="440" w:type="pct"/>
          </w:tcPr>
          <w:p w14:paraId="0EA3935E" w14:textId="77777777" w:rsidR="007D1E74" w:rsidRDefault="00A95641">
            <w:pPr>
              <w:pStyle w:val="TableParagraph"/>
              <w:spacing w:before="25"/>
              <w:ind w:left="109" w:right="105"/>
              <w:rPr>
                <w:sz w:val="21"/>
                <w:szCs w:val="21"/>
              </w:rPr>
            </w:pPr>
            <w:r>
              <w:rPr>
                <w:sz w:val="21"/>
                <w:szCs w:val="21"/>
              </w:rPr>
              <w:t>19</w:t>
            </w:r>
          </w:p>
        </w:tc>
        <w:tc>
          <w:tcPr>
            <w:tcW w:w="908" w:type="pct"/>
          </w:tcPr>
          <w:p w14:paraId="34593DD0" w14:textId="77777777" w:rsidR="007D1E74" w:rsidRDefault="00A95641">
            <w:pPr>
              <w:pStyle w:val="TableParagraph"/>
              <w:spacing w:line="284" w:lineRule="exact"/>
              <w:ind w:left="102"/>
              <w:rPr>
                <w:rFonts w:ascii="宋体"/>
                <w:sz w:val="21"/>
                <w:szCs w:val="21"/>
              </w:rPr>
            </w:pPr>
            <w:r>
              <w:rPr>
                <w:rFonts w:ascii="宋体" w:hint="eastAsia"/>
                <w:sz w:val="21"/>
                <w:szCs w:val="21"/>
              </w:rPr>
              <w:t>顶芽狗脊</w:t>
            </w:r>
          </w:p>
        </w:tc>
        <w:tc>
          <w:tcPr>
            <w:tcW w:w="759" w:type="pct"/>
          </w:tcPr>
          <w:p w14:paraId="5EA52509"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3" w:type="pct"/>
          </w:tcPr>
          <w:p w14:paraId="008AA742" w14:textId="77777777" w:rsidR="007D1E74" w:rsidRDefault="00A95641">
            <w:pPr>
              <w:pStyle w:val="TableParagraph"/>
              <w:spacing w:before="25"/>
              <w:rPr>
                <w:sz w:val="21"/>
                <w:szCs w:val="21"/>
              </w:rPr>
            </w:pPr>
            <w:r>
              <w:rPr>
                <w:sz w:val="21"/>
                <w:szCs w:val="21"/>
              </w:rPr>
              <w:t>2</w:t>
            </w:r>
          </w:p>
        </w:tc>
        <w:tc>
          <w:tcPr>
            <w:tcW w:w="589" w:type="pct"/>
          </w:tcPr>
          <w:p w14:paraId="623F5269" w14:textId="77777777" w:rsidR="007D1E74" w:rsidRDefault="00A95641">
            <w:pPr>
              <w:pStyle w:val="TableParagraph"/>
              <w:spacing w:before="22"/>
              <w:ind w:left="231" w:right="231"/>
              <w:rPr>
                <w:sz w:val="21"/>
                <w:szCs w:val="21"/>
              </w:rPr>
            </w:pPr>
            <w:r>
              <w:rPr>
                <w:position w:val="2"/>
                <w:sz w:val="21"/>
                <w:szCs w:val="21"/>
              </w:rPr>
              <w:t>Cop</w:t>
            </w:r>
            <w:r>
              <w:rPr>
                <w:sz w:val="21"/>
                <w:szCs w:val="21"/>
              </w:rPr>
              <w:t>1</w:t>
            </w:r>
          </w:p>
        </w:tc>
        <w:tc>
          <w:tcPr>
            <w:tcW w:w="978" w:type="pct"/>
          </w:tcPr>
          <w:p w14:paraId="32497245" w14:textId="77777777" w:rsidR="007D1E74" w:rsidRDefault="00A95641">
            <w:pPr>
              <w:pStyle w:val="TableParagraph"/>
              <w:spacing w:before="25"/>
              <w:ind w:left="668"/>
              <w:rPr>
                <w:sz w:val="21"/>
                <w:szCs w:val="21"/>
              </w:rPr>
            </w:pPr>
            <w:r>
              <w:rPr>
                <w:sz w:val="21"/>
                <w:szCs w:val="21"/>
              </w:rPr>
              <w:t>1.4</w:t>
            </w:r>
          </w:p>
        </w:tc>
        <w:tc>
          <w:tcPr>
            <w:tcW w:w="652" w:type="pct"/>
          </w:tcPr>
          <w:p w14:paraId="46B18421" w14:textId="77777777" w:rsidR="007D1E74" w:rsidRDefault="00A95641">
            <w:pPr>
              <w:pStyle w:val="TableParagraph"/>
              <w:spacing w:before="25"/>
              <w:ind w:right="373"/>
              <w:jc w:val="right"/>
              <w:rPr>
                <w:sz w:val="21"/>
                <w:szCs w:val="21"/>
              </w:rPr>
            </w:pPr>
            <w:r>
              <w:rPr>
                <w:sz w:val="21"/>
                <w:szCs w:val="21"/>
              </w:rPr>
              <w:t>12</w:t>
            </w:r>
          </w:p>
        </w:tc>
      </w:tr>
    </w:tbl>
    <w:p w14:paraId="1E1EB645" w14:textId="77777777" w:rsidR="007D1E74" w:rsidRDefault="007D1E74">
      <w:pPr>
        <w:spacing w:line="360" w:lineRule="auto"/>
        <w:rPr>
          <w:rFonts w:cs="Times New Roman"/>
          <w:szCs w:val="21"/>
        </w:rPr>
      </w:pPr>
    </w:p>
    <w:p w14:paraId="1B43447E" w14:textId="77777777" w:rsidR="007D1E74" w:rsidRDefault="00A95641">
      <w:pPr>
        <w:spacing w:line="360" w:lineRule="auto"/>
        <w:jc w:val="center"/>
        <w:rPr>
          <w:rFonts w:eastAsia="黑体" w:cs="Times New Roman"/>
          <w:szCs w:val="21"/>
        </w:rPr>
      </w:pPr>
      <w:r>
        <w:rPr>
          <w:rFonts w:eastAsia="黑体" w:cs="Times New Roman"/>
          <w:szCs w:val="21"/>
        </w:rPr>
        <w:t>表</w:t>
      </w:r>
      <w:r>
        <w:rPr>
          <w:rFonts w:eastAsia="黑体" w:cs="Times New Roman"/>
          <w:szCs w:val="21"/>
        </w:rPr>
        <w:t xml:space="preserve">A.2.1-6  </w:t>
      </w:r>
      <w:r>
        <w:rPr>
          <w:rFonts w:eastAsia="黑体" w:cs="Times New Roman" w:hint="eastAsia"/>
          <w:szCs w:val="21"/>
        </w:rPr>
        <w:t>植物实测样方表</w:t>
      </w:r>
    </w:p>
    <w:tbl>
      <w:tblPr>
        <w:tblStyle w:val="affffc"/>
        <w:tblW w:w="0" w:type="auto"/>
        <w:tblBorders>
          <w:left w:val="none" w:sz="0" w:space="0" w:color="auto"/>
          <w:right w:val="none" w:sz="0" w:space="0" w:color="auto"/>
        </w:tblBorders>
        <w:tblLook w:val="04A0" w:firstRow="1" w:lastRow="0" w:firstColumn="1" w:lastColumn="0" w:noHBand="0" w:noVBand="1"/>
      </w:tblPr>
      <w:tblGrid>
        <w:gridCol w:w="9016"/>
      </w:tblGrid>
      <w:tr w:rsidR="007D1E74" w14:paraId="75CB4A3A" w14:textId="77777777">
        <w:tc>
          <w:tcPr>
            <w:tcW w:w="9016" w:type="dxa"/>
          </w:tcPr>
          <w:p w14:paraId="7EA75DED" w14:textId="77777777" w:rsidR="007D1E74" w:rsidRDefault="00A95641">
            <w:pPr>
              <w:spacing w:line="360" w:lineRule="auto"/>
              <w:rPr>
                <w:rFonts w:eastAsiaTheme="minorEastAsia" w:cs="Times New Roman"/>
                <w:szCs w:val="21"/>
              </w:rPr>
            </w:pPr>
            <w:r>
              <w:rPr>
                <w:rFonts w:eastAsiaTheme="minorEastAsia" w:cs="Times New Roman" w:hint="eastAsia"/>
                <w:szCs w:val="21"/>
              </w:rPr>
              <w:t>群落名称：杉木林</w:t>
            </w:r>
            <w:r>
              <w:rPr>
                <w:rFonts w:eastAsiaTheme="minorEastAsia" w:cs="Times New Roman" w:hint="eastAsia"/>
                <w:szCs w:val="21"/>
              </w:rPr>
              <w:tab/>
            </w:r>
            <w:r>
              <w:rPr>
                <w:rFonts w:eastAsiaTheme="minorEastAsia" w:cs="Times New Roman" w:hint="eastAsia"/>
                <w:szCs w:val="21"/>
              </w:rPr>
              <w:tab/>
            </w:r>
            <w:r>
              <w:rPr>
                <w:rFonts w:eastAsiaTheme="minorEastAsia" w:cs="Times New Roman" w:hint="eastAsia"/>
                <w:szCs w:val="21"/>
              </w:rPr>
              <w:t>地点：涪阳镇草池乡武学堂村</w:t>
            </w:r>
            <w:r>
              <w:rPr>
                <w:rFonts w:eastAsiaTheme="minorEastAsia" w:cs="Times New Roman" w:hint="eastAsia"/>
                <w:szCs w:val="21"/>
              </w:rPr>
              <w:tab/>
            </w:r>
            <w:r>
              <w:rPr>
                <w:rFonts w:eastAsiaTheme="minorEastAsia" w:cs="Times New Roman" w:hint="eastAsia"/>
                <w:szCs w:val="21"/>
              </w:rPr>
              <w:t>样方面积：</w:t>
            </w:r>
            <w:r>
              <w:rPr>
                <w:rFonts w:eastAsiaTheme="minorEastAsia" w:cs="Times New Roman" w:hint="eastAsia"/>
                <w:szCs w:val="21"/>
              </w:rPr>
              <w:t>10m</w:t>
            </w:r>
            <w:r>
              <w:rPr>
                <w:rFonts w:eastAsiaTheme="minorEastAsia" w:cs="Times New Roman" w:hint="eastAsia"/>
                <w:szCs w:val="21"/>
              </w:rPr>
              <w:t>×</w:t>
            </w:r>
            <w:r>
              <w:rPr>
                <w:rFonts w:eastAsiaTheme="minorEastAsia" w:cs="Times New Roman" w:hint="eastAsia"/>
                <w:szCs w:val="21"/>
              </w:rPr>
              <w:t>10m</w:t>
            </w:r>
          </w:p>
        </w:tc>
      </w:tr>
      <w:tr w:rsidR="007D1E74" w14:paraId="6EB7E1A1" w14:textId="77777777">
        <w:tc>
          <w:tcPr>
            <w:tcW w:w="9016" w:type="dxa"/>
          </w:tcPr>
          <w:p w14:paraId="12EB7A1A" w14:textId="77777777" w:rsidR="007D1E74" w:rsidRDefault="00A95641">
            <w:pPr>
              <w:spacing w:line="360" w:lineRule="auto"/>
              <w:rPr>
                <w:rFonts w:eastAsiaTheme="minorEastAsia" w:cs="Times New Roman"/>
                <w:szCs w:val="21"/>
              </w:rPr>
            </w:pPr>
            <w:r>
              <w:rPr>
                <w:rFonts w:eastAsiaTheme="minorEastAsia" w:cs="Times New Roman" w:hint="eastAsia"/>
                <w:szCs w:val="21"/>
              </w:rPr>
              <w:t>经度：</w:t>
            </w:r>
            <w:r>
              <w:rPr>
                <w:rFonts w:eastAsiaTheme="minorEastAsia" w:cs="Times New Roman" w:hint="eastAsia"/>
                <w:szCs w:val="21"/>
              </w:rPr>
              <w:t xml:space="preserve">107.123423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纬度：</w:t>
            </w:r>
            <w:r>
              <w:rPr>
                <w:rFonts w:eastAsiaTheme="minorEastAsia" w:cs="Times New Roman" w:hint="eastAsia"/>
                <w:szCs w:val="21"/>
              </w:rPr>
              <w:t xml:space="preserve">32.042157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海拔（</w:t>
            </w:r>
            <w:r>
              <w:rPr>
                <w:rFonts w:eastAsiaTheme="minorEastAsia" w:cs="Times New Roman" w:hint="eastAsia"/>
                <w:szCs w:val="21"/>
              </w:rPr>
              <w:t>m</w:t>
            </w:r>
            <w:r>
              <w:rPr>
                <w:rFonts w:eastAsiaTheme="minorEastAsia" w:cs="Times New Roman" w:hint="eastAsia"/>
                <w:szCs w:val="21"/>
              </w:rPr>
              <w:t>）</w:t>
            </w:r>
            <w:r>
              <w:rPr>
                <w:rFonts w:eastAsiaTheme="minorEastAsia" w:cs="Times New Roman" w:hint="eastAsia"/>
                <w:szCs w:val="21"/>
              </w:rPr>
              <w:t>1078</w:t>
            </w:r>
          </w:p>
        </w:tc>
      </w:tr>
      <w:tr w:rsidR="007D1E74" w14:paraId="04A4F1E2" w14:textId="77777777">
        <w:tc>
          <w:tcPr>
            <w:tcW w:w="9016" w:type="dxa"/>
          </w:tcPr>
          <w:p w14:paraId="1F57C172" w14:textId="77777777" w:rsidR="007D1E74" w:rsidRDefault="00A95641">
            <w:pPr>
              <w:spacing w:line="360" w:lineRule="auto"/>
              <w:rPr>
                <w:rFonts w:eastAsiaTheme="minorEastAsia" w:cs="Times New Roman"/>
                <w:szCs w:val="21"/>
              </w:rPr>
            </w:pPr>
            <w:r>
              <w:rPr>
                <w:rFonts w:eastAsiaTheme="minorEastAsia" w:cs="Times New Roman" w:hint="eastAsia"/>
                <w:szCs w:val="21"/>
              </w:rPr>
              <w:t>调查人：黄文军、李秦</w:t>
            </w:r>
            <w:r>
              <w:rPr>
                <w:rFonts w:eastAsiaTheme="minorEastAsia" w:cs="Times New Roman" w:hint="eastAsia"/>
                <w:szCs w:val="21"/>
              </w:rPr>
              <w:tab/>
            </w:r>
            <w:r>
              <w:rPr>
                <w:rFonts w:eastAsiaTheme="minorEastAsia" w:cs="Times New Roman" w:hint="eastAsia"/>
                <w:szCs w:val="21"/>
              </w:rPr>
              <w:t>调查日期：</w:t>
            </w:r>
            <w:r>
              <w:rPr>
                <w:rFonts w:eastAsiaTheme="minorEastAsia" w:cs="Times New Roman" w:hint="eastAsia"/>
                <w:szCs w:val="21"/>
              </w:rPr>
              <w:t>2021-08-17</w:t>
            </w:r>
          </w:p>
        </w:tc>
      </w:tr>
    </w:tbl>
    <w:p w14:paraId="46E018CF" w14:textId="77777777" w:rsidR="007D1E74" w:rsidRDefault="007D1E74">
      <w:pPr>
        <w:spacing w:line="360" w:lineRule="auto"/>
        <w:rPr>
          <w:rFonts w:eastAsia="黑体" w:cs="Times New Roman"/>
          <w:sz w:val="24"/>
          <w:szCs w:val="24"/>
        </w:rPr>
      </w:pP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4"/>
        <w:gridCol w:w="1790"/>
        <w:gridCol w:w="1216"/>
        <w:gridCol w:w="1214"/>
        <w:gridCol w:w="1062"/>
        <w:gridCol w:w="1764"/>
        <w:gridCol w:w="1176"/>
      </w:tblGrid>
      <w:tr w:rsidR="007D1E74" w14:paraId="5E3AE8B7" w14:textId="77777777">
        <w:trPr>
          <w:trHeight w:hRule="exact" w:val="351"/>
        </w:trPr>
        <w:tc>
          <w:tcPr>
            <w:tcW w:w="440" w:type="pct"/>
          </w:tcPr>
          <w:p w14:paraId="1E248F66" w14:textId="77777777" w:rsidR="007D1E74" w:rsidRDefault="00A95641">
            <w:pPr>
              <w:pStyle w:val="TableParagraph"/>
              <w:spacing w:line="284" w:lineRule="exact"/>
              <w:ind w:left="109" w:right="105"/>
              <w:rPr>
                <w:rFonts w:ascii="宋体"/>
                <w:sz w:val="21"/>
                <w:szCs w:val="21"/>
              </w:rPr>
            </w:pPr>
            <w:r>
              <w:rPr>
                <w:rFonts w:ascii="宋体" w:hint="eastAsia"/>
                <w:sz w:val="21"/>
                <w:szCs w:val="21"/>
              </w:rPr>
              <w:t>种号</w:t>
            </w:r>
          </w:p>
        </w:tc>
        <w:tc>
          <w:tcPr>
            <w:tcW w:w="992" w:type="pct"/>
          </w:tcPr>
          <w:p w14:paraId="7B9DF97E" w14:textId="77777777" w:rsidR="007D1E74" w:rsidRDefault="00A95641">
            <w:pPr>
              <w:pStyle w:val="TableParagraph"/>
              <w:spacing w:line="284" w:lineRule="exact"/>
              <w:ind w:left="469"/>
              <w:rPr>
                <w:rFonts w:ascii="宋体"/>
                <w:sz w:val="21"/>
                <w:szCs w:val="21"/>
              </w:rPr>
            </w:pPr>
            <w:r>
              <w:rPr>
                <w:rFonts w:ascii="宋体" w:hint="eastAsia"/>
                <w:sz w:val="21"/>
                <w:szCs w:val="21"/>
              </w:rPr>
              <w:t>物种名</w:t>
            </w:r>
          </w:p>
        </w:tc>
        <w:tc>
          <w:tcPr>
            <w:tcW w:w="674" w:type="pct"/>
          </w:tcPr>
          <w:p w14:paraId="767954E0" w14:textId="77777777" w:rsidR="007D1E74" w:rsidRDefault="00A95641">
            <w:pPr>
              <w:pStyle w:val="TableParagraph"/>
              <w:spacing w:line="284" w:lineRule="exact"/>
              <w:ind w:left="201"/>
              <w:rPr>
                <w:rFonts w:ascii="宋体"/>
                <w:sz w:val="21"/>
                <w:szCs w:val="21"/>
              </w:rPr>
            </w:pPr>
            <w:r>
              <w:rPr>
                <w:rFonts w:ascii="宋体" w:hint="eastAsia"/>
                <w:sz w:val="21"/>
                <w:szCs w:val="21"/>
              </w:rPr>
              <w:t>物候期</w:t>
            </w:r>
          </w:p>
        </w:tc>
        <w:tc>
          <w:tcPr>
            <w:tcW w:w="673" w:type="pct"/>
          </w:tcPr>
          <w:p w14:paraId="27BA0A31" w14:textId="77777777" w:rsidR="007D1E74" w:rsidRDefault="00A95641">
            <w:pPr>
              <w:pStyle w:val="TableParagraph"/>
              <w:spacing w:line="303" w:lineRule="exact"/>
              <w:ind w:left="101" w:right="101"/>
              <w:rPr>
                <w:rFonts w:ascii="宋体"/>
                <w:sz w:val="21"/>
                <w:szCs w:val="21"/>
              </w:rPr>
            </w:pPr>
            <w:r>
              <w:rPr>
                <w:rFonts w:ascii="宋体" w:hint="eastAsia"/>
                <w:sz w:val="21"/>
                <w:szCs w:val="21"/>
              </w:rPr>
              <w:t>株</w:t>
            </w:r>
            <w:r>
              <w:rPr>
                <w:sz w:val="21"/>
                <w:szCs w:val="21"/>
              </w:rPr>
              <w:t>(</w:t>
            </w:r>
            <w:r>
              <w:rPr>
                <w:rFonts w:ascii="宋体" w:hint="eastAsia"/>
                <w:sz w:val="21"/>
                <w:szCs w:val="21"/>
              </w:rPr>
              <w:t>丛</w:t>
            </w:r>
            <w:r>
              <w:rPr>
                <w:sz w:val="21"/>
                <w:szCs w:val="21"/>
              </w:rPr>
              <w:t>)</w:t>
            </w:r>
            <w:r>
              <w:rPr>
                <w:rFonts w:ascii="宋体" w:hint="eastAsia"/>
                <w:sz w:val="21"/>
                <w:szCs w:val="21"/>
              </w:rPr>
              <w:t>数</w:t>
            </w:r>
          </w:p>
        </w:tc>
        <w:tc>
          <w:tcPr>
            <w:tcW w:w="589" w:type="pct"/>
          </w:tcPr>
          <w:p w14:paraId="2725B42C" w14:textId="77777777" w:rsidR="007D1E74" w:rsidRDefault="00A95641">
            <w:pPr>
              <w:pStyle w:val="TableParagraph"/>
              <w:spacing w:line="284" w:lineRule="exact"/>
              <w:ind w:left="231" w:right="231"/>
              <w:rPr>
                <w:rFonts w:ascii="宋体"/>
                <w:sz w:val="21"/>
                <w:szCs w:val="21"/>
              </w:rPr>
            </w:pPr>
            <w:r>
              <w:rPr>
                <w:rFonts w:ascii="宋体" w:hint="eastAsia"/>
                <w:sz w:val="21"/>
                <w:szCs w:val="21"/>
              </w:rPr>
              <w:t>多度</w:t>
            </w:r>
          </w:p>
        </w:tc>
        <w:tc>
          <w:tcPr>
            <w:tcW w:w="978" w:type="pct"/>
          </w:tcPr>
          <w:p w14:paraId="6C7DC290" w14:textId="77777777" w:rsidR="007D1E74" w:rsidRDefault="00A95641">
            <w:pPr>
              <w:pStyle w:val="TableParagraph"/>
              <w:spacing w:line="303" w:lineRule="exact"/>
              <w:ind w:left="172" w:right="170"/>
              <w:rPr>
                <w:sz w:val="21"/>
                <w:szCs w:val="21"/>
              </w:rPr>
            </w:pPr>
            <w:r>
              <w:rPr>
                <w:rFonts w:ascii="宋体" w:hint="eastAsia"/>
                <w:w w:val="95"/>
                <w:sz w:val="21"/>
                <w:szCs w:val="21"/>
              </w:rPr>
              <w:t>平均高度</w:t>
            </w:r>
            <w:r>
              <w:rPr>
                <w:w w:val="95"/>
                <w:sz w:val="21"/>
                <w:szCs w:val="21"/>
              </w:rPr>
              <w:t>/cm</w:t>
            </w:r>
          </w:p>
        </w:tc>
        <w:tc>
          <w:tcPr>
            <w:tcW w:w="652" w:type="pct"/>
          </w:tcPr>
          <w:p w14:paraId="2F9E1290" w14:textId="77777777" w:rsidR="007D1E74" w:rsidRDefault="00A95641">
            <w:pPr>
              <w:pStyle w:val="TableParagraph"/>
              <w:spacing w:line="303" w:lineRule="exact"/>
              <w:ind w:left="116" w:right="226"/>
              <w:rPr>
                <w:sz w:val="21"/>
                <w:szCs w:val="21"/>
              </w:rPr>
            </w:pPr>
            <w:r>
              <w:rPr>
                <w:rFonts w:ascii="宋体" w:hint="eastAsia"/>
                <w:w w:val="95"/>
                <w:sz w:val="21"/>
                <w:szCs w:val="21"/>
              </w:rPr>
              <w:t>盖度</w:t>
            </w:r>
            <w:r>
              <w:rPr>
                <w:w w:val="95"/>
                <w:sz w:val="21"/>
                <w:szCs w:val="21"/>
              </w:rPr>
              <w:t>/%</w:t>
            </w:r>
          </w:p>
        </w:tc>
      </w:tr>
      <w:tr w:rsidR="007D1E74" w14:paraId="599C22CD" w14:textId="77777777">
        <w:trPr>
          <w:trHeight w:hRule="exact" w:val="336"/>
        </w:trPr>
        <w:tc>
          <w:tcPr>
            <w:tcW w:w="440" w:type="pct"/>
          </w:tcPr>
          <w:p w14:paraId="14FE9C7C" w14:textId="77777777" w:rsidR="007D1E74" w:rsidRDefault="00A95641">
            <w:pPr>
              <w:pStyle w:val="TableParagraph"/>
              <w:spacing w:before="25"/>
              <w:ind w:left="4"/>
              <w:rPr>
                <w:sz w:val="21"/>
                <w:szCs w:val="21"/>
              </w:rPr>
            </w:pPr>
            <w:r>
              <w:rPr>
                <w:sz w:val="21"/>
                <w:szCs w:val="21"/>
              </w:rPr>
              <w:t>1</w:t>
            </w:r>
          </w:p>
        </w:tc>
        <w:tc>
          <w:tcPr>
            <w:tcW w:w="992" w:type="pct"/>
          </w:tcPr>
          <w:p w14:paraId="06C5F906" w14:textId="77777777" w:rsidR="007D1E74" w:rsidRDefault="00A95641">
            <w:pPr>
              <w:pStyle w:val="TableParagraph"/>
              <w:spacing w:line="284" w:lineRule="exact"/>
              <w:ind w:left="102"/>
              <w:rPr>
                <w:rFonts w:ascii="宋体"/>
                <w:sz w:val="21"/>
                <w:szCs w:val="21"/>
              </w:rPr>
            </w:pPr>
            <w:r>
              <w:rPr>
                <w:rFonts w:ascii="宋体" w:hint="eastAsia"/>
                <w:sz w:val="21"/>
                <w:szCs w:val="21"/>
              </w:rPr>
              <w:t>杉木</w:t>
            </w:r>
          </w:p>
        </w:tc>
        <w:tc>
          <w:tcPr>
            <w:tcW w:w="674" w:type="pct"/>
          </w:tcPr>
          <w:p w14:paraId="73EF0297" w14:textId="77777777" w:rsidR="007D1E74" w:rsidRDefault="00A95641">
            <w:pPr>
              <w:pStyle w:val="TableParagraph"/>
              <w:spacing w:line="284" w:lineRule="exact"/>
              <w:ind w:left="102"/>
              <w:rPr>
                <w:rFonts w:ascii="宋体"/>
                <w:sz w:val="21"/>
                <w:szCs w:val="21"/>
              </w:rPr>
            </w:pPr>
            <w:r>
              <w:rPr>
                <w:rFonts w:ascii="宋体" w:hint="eastAsia"/>
                <w:sz w:val="21"/>
                <w:szCs w:val="21"/>
              </w:rPr>
              <w:t>果期</w:t>
            </w:r>
          </w:p>
        </w:tc>
        <w:tc>
          <w:tcPr>
            <w:tcW w:w="673" w:type="pct"/>
          </w:tcPr>
          <w:p w14:paraId="33434987" w14:textId="77777777" w:rsidR="007D1E74" w:rsidRDefault="00A95641">
            <w:pPr>
              <w:pStyle w:val="TableParagraph"/>
              <w:spacing w:before="25"/>
              <w:ind w:left="101" w:right="101"/>
              <w:rPr>
                <w:sz w:val="21"/>
                <w:szCs w:val="21"/>
              </w:rPr>
            </w:pPr>
            <w:r>
              <w:rPr>
                <w:sz w:val="21"/>
                <w:szCs w:val="21"/>
              </w:rPr>
              <w:t>16</w:t>
            </w:r>
          </w:p>
        </w:tc>
        <w:tc>
          <w:tcPr>
            <w:tcW w:w="589" w:type="pct"/>
          </w:tcPr>
          <w:p w14:paraId="37687E76" w14:textId="77777777" w:rsidR="007D1E74" w:rsidRDefault="00A95641">
            <w:pPr>
              <w:pStyle w:val="TableParagraph"/>
              <w:spacing w:before="22"/>
              <w:ind w:left="231" w:right="231"/>
              <w:rPr>
                <w:sz w:val="21"/>
                <w:szCs w:val="21"/>
              </w:rPr>
            </w:pPr>
            <w:r>
              <w:rPr>
                <w:position w:val="2"/>
                <w:sz w:val="21"/>
                <w:szCs w:val="21"/>
              </w:rPr>
              <w:t>Cop</w:t>
            </w:r>
            <w:r>
              <w:rPr>
                <w:sz w:val="21"/>
                <w:szCs w:val="21"/>
              </w:rPr>
              <w:t>2</w:t>
            </w:r>
          </w:p>
        </w:tc>
        <w:tc>
          <w:tcPr>
            <w:tcW w:w="978" w:type="pct"/>
          </w:tcPr>
          <w:p w14:paraId="3EC8341B" w14:textId="77777777" w:rsidR="007D1E74" w:rsidRDefault="00A95641">
            <w:pPr>
              <w:pStyle w:val="TableParagraph"/>
              <w:spacing w:before="25"/>
              <w:ind w:left="169" w:right="170"/>
              <w:rPr>
                <w:sz w:val="21"/>
                <w:szCs w:val="21"/>
              </w:rPr>
            </w:pPr>
            <w:r>
              <w:rPr>
                <w:sz w:val="21"/>
                <w:szCs w:val="21"/>
              </w:rPr>
              <w:t>17</w:t>
            </w:r>
          </w:p>
        </w:tc>
        <w:tc>
          <w:tcPr>
            <w:tcW w:w="652" w:type="pct"/>
          </w:tcPr>
          <w:p w14:paraId="2183D557" w14:textId="77777777" w:rsidR="007D1E74" w:rsidRDefault="00A95641">
            <w:pPr>
              <w:pStyle w:val="TableParagraph"/>
              <w:spacing w:before="25"/>
              <w:ind w:left="116" w:right="224"/>
              <w:rPr>
                <w:sz w:val="21"/>
                <w:szCs w:val="21"/>
              </w:rPr>
            </w:pPr>
            <w:r>
              <w:rPr>
                <w:sz w:val="21"/>
                <w:szCs w:val="21"/>
              </w:rPr>
              <w:t>85</w:t>
            </w:r>
          </w:p>
        </w:tc>
      </w:tr>
      <w:tr w:rsidR="007D1E74" w14:paraId="64F2A00B" w14:textId="77777777">
        <w:trPr>
          <w:trHeight w:hRule="exact" w:val="336"/>
        </w:trPr>
        <w:tc>
          <w:tcPr>
            <w:tcW w:w="440" w:type="pct"/>
          </w:tcPr>
          <w:p w14:paraId="55EFF527" w14:textId="77777777" w:rsidR="007D1E74" w:rsidRDefault="00A95641">
            <w:pPr>
              <w:pStyle w:val="TableParagraph"/>
              <w:spacing w:before="25"/>
              <w:ind w:left="4"/>
              <w:rPr>
                <w:sz w:val="21"/>
                <w:szCs w:val="21"/>
              </w:rPr>
            </w:pPr>
            <w:r>
              <w:rPr>
                <w:sz w:val="21"/>
                <w:szCs w:val="21"/>
              </w:rPr>
              <w:t>2</w:t>
            </w:r>
          </w:p>
        </w:tc>
        <w:tc>
          <w:tcPr>
            <w:tcW w:w="992" w:type="pct"/>
          </w:tcPr>
          <w:p w14:paraId="719CBB79" w14:textId="77777777" w:rsidR="007D1E74" w:rsidRDefault="00A95641">
            <w:pPr>
              <w:pStyle w:val="TableParagraph"/>
              <w:spacing w:line="284" w:lineRule="exact"/>
              <w:ind w:left="102"/>
              <w:rPr>
                <w:rFonts w:ascii="宋体"/>
                <w:sz w:val="21"/>
                <w:szCs w:val="21"/>
              </w:rPr>
            </w:pPr>
            <w:r>
              <w:rPr>
                <w:rFonts w:ascii="宋体" w:hint="eastAsia"/>
                <w:sz w:val="21"/>
                <w:szCs w:val="21"/>
              </w:rPr>
              <w:t>柳杉</w:t>
            </w:r>
          </w:p>
        </w:tc>
        <w:tc>
          <w:tcPr>
            <w:tcW w:w="674" w:type="pct"/>
          </w:tcPr>
          <w:p w14:paraId="24D0F6C9" w14:textId="77777777" w:rsidR="007D1E74" w:rsidRDefault="00A95641">
            <w:pPr>
              <w:pStyle w:val="TableParagraph"/>
              <w:spacing w:line="284" w:lineRule="exact"/>
              <w:ind w:left="102"/>
              <w:rPr>
                <w:rFonts w:ascii="宋体"/>
                <w:sz w:val="21"/>
                <w:szCs w:val="21"/>
              </w:rPr>
            </w:pPr>
            <w:r>
              <w:rPr>
                <w:rFonts w:ascii="宋体" w:hint="eastAsia"/>
                <w:sz w:val="21"/>
                <w:szCs w:val="21"/>
              </w:rPr>
              <w:t>果期</w:t>
            </w:r>
          </w:p>
        </w:tc>
        <w:tc>
          <w:tcPr>
            <w:tcW w:w="673" w:type="pct"/>
          </w:tcPr>
          <w:p w14:paraId="7F985129" w14:textId="77777777" w:rsidR="007D1E74" w:rsidRDefault="00A95641">
            <w:pPr>
              <w:pStyle w:val="TableParagraph"/>
              <w:spacing w:before="25"/>
              <w:rPr>
                <w:sz w:val="21"/>
                <w:szCs w:val="21"/>
              </w:rPr>
            </w:pPr>
            <w:r>
              <w:rPr>
                <w:sz w:val="21"/>
                <w:szCs w:val="21"/>
              </w:rPr>
              <w:t>4</w:t>
            </w:r>
          </w:p>
        </w:tc>
        <w:tc>
          <w:tcPr>
            <w:tcW w:w="589" w:type="pct"/>
          </w:tcPr>
          <w:p w14:paraId="116E916D" w14:textId="77777777" w:rsidR="007D1E74" w:rsidRDefault="00A95641">
            <w:pPr>
              <w:pStyle w:val="TableParagraph"/>
              <w:spacing w:before="22"/>
              <w:ind w:left="231" w:right="231"/>
              <w:rPr>
                <w:sz w:val="21"/>
                <w:szCs w:val="21"/>
              </w:rPr>
            </w:pPr>
            <w:r>
              <w:rPr>
                <w:position w:val="2"/>
                <w:sz w:val="21"/>
                <w:szCs w:val="21"/>
              </w:rPr>
              <w:t>Cop</w:t>
            </w:r>
            <w:r>
              <w:rPr>
                <w:sz w:val="21"/>
                <w:szCs w:val="21"/>
              </w:rPr>
              <w:t>1</w:t>
            </w:r>
          </w:p>
        </w:tc>
        <w:tc>
          <w:tcPr>
            <w:tcW w:w="978" w:type="pct"/>
          </w:tcPr>
          <w:p w14:paraId="59CDBC11" w14:textId="77777777" w:rsidR="007D1E74" w:rsidRDefault="00A95641">
            <w:pPr>
              <w:pStyle w:val="TableParagraph"/>
              <w:spacing w:before="25"/>
              <w:ind w:left="169" w:right="170"/>
              <w:rPr>
                <w:sz w:val="21"/>
                <w:szCs w:val="21"/>
              </w:rPr>
            </w:pPr>
            <w:r>
              <w:rPr>
                <w:sz w:val="21"/>
                <w:szCs w:val="21"/>
              </w:rPr>
              <w:t>18</w:t>
            </w:r>
          </w:p>
        </w:tc>
        <w:tc>
          <w:tcPr>
            <w:tcW w:w="652" w:type="pct"/>
          </w:tcPr>
          <w:p w14:paraId="44B4BE3A" w14:textId="77777777" w:rsidR="007D1E74" w:rsidRDefault="00A95641">
            <w:pPr>
              <w:pStyle w:val="TableParagraph"/>
              <w:spacing w:before="25"/>
              <w:ind w:left="116" w:right="224"/>
              <w:rPr>
                <w:sz w:val="21"/>
                <w:szCs w:val="21"/>
              </w:rPr>
            </w:pPr>
            <w:r>
              <w:rPr>
                <w:sz w:val="21"/>
                <w:szCs w:val="21"/>
              </w:rPr>
              <w:t>10</w:t>
            </w:r>
          </w:p>
        </w:tc>
      </w:tr>
      <w:tr w:rsidR="007D1E74" w14:paraId="662AD21E" w14:textId="77777777">
        <w:trPr>
          <w:trHeight w:hRule="exact" w:val="336"/>
        </w:trPr>
        <w:tc>
          <w:tcPr>
            <w:tcW w:w="440" w:type="pct"/>
          </w:tcPr>
          <w:p w14:paraId="4AF2B231" w14:textId="77777777" w:rsidR="007D1E74" w:rsidRDefault="00A95641">
            <w:pPr>
              <w:pStyle w:val="TableParagraph"/>
              <w:spacing w:before="25"/>
              <w:ind w:left="4"/>
              <w:rPr>
                <w:sz w:val="21"/>
                <w:szCs w:val="21"/>
              </w:rPr>
            </w:pPr>
            <w:r>
              <w:rPr>
                <w:sz w:val="21"/>
                <w:szCs w:val="21"/>
              </w:rPr>
              <w:t>3</w:t>
            </w:r>
          </w:p>
        </w:tc>
        <w:tc>
          <w:tcPr>
            <w:tcW w:w="992" w:type="pct"/>
          </w:tcPr>
          <w:p w14:paraId="5BAAE6BA" w14:textId="77777777" w:rsidR="007D1E74" w:rsidRDefault="00A95641">
            <w:pPr>
              <w:pStyle w:val="TableParagraph"/>
              <w:spacing w:line="284" w:lineRule="exact"/>
              <w:ind w:left="102"/>
              <w:rPr>
                <w:rFonts w:ascii="宋体"/>
                <w:sz w:val="21"/>
                <w:szCs w:val="21"/>
              </w:rPr>
            </w:pPr>
            <w:r>
              <w:rPr>
                <w:rFonts w:ascii="宋体" w:hint="eastAsia"/>
                <w:sz w:val="21"/>
                <w:szCs w:val="21"/>
              </w:rPr>
              <w:t>高粱泡</w:t>
            </w:r>
          </w:p>
        </w:tc>
        <w:tc>
          <w:tcPr>
            <w:tcW w:w="674" w:type="pct"/>
          </w:tcPr>
          <w:p w14:paraId="4662611C" w14:textId="77777777" w:rsidR="007D1E74" w:rsidRDefault="00A95641">
            <w:pPr>
              <w:pStyle w:val="TableParagraph"/>
              <w:spacing w:line="284" w:lineRule="exact"/>
              <w:ind w:left="102"/>
              <w:rPr>
                <w:rFonts w:ascii="宋体"/>
                <w:sz w:val="21"/>
                <w:szCs w:val="21"/>
              </w:rPr>
            </w:pPr>
            <w:r>
              <w:rPr>
                <w:rFonts w:ascii="宋体" w:hint="eastAsia"/>
                <w:sz w:val="21"/>
                <w:szCs w:val="21"/>
              </w:rPr>
              <w:t>果期</w:t>
            </w:r>
          </w:p>
        </w:tc>
        <w:tc>
          <w:tcPr>
            <w:tcW w:w="673" w:type="pct"/>
          </w:tcPr>
          <w:p w14:paraId="47344C75" w14:textId="77777777" w:rsidR="007D1E74" w:rsidRDefault="00A95641">
            <w:pPr>
              <w:pStyle w:val="TableParagraph"/>
              <w:spacing w:line="302" w:lineRule="exact"/>
              <w:ind w:left="99" w:right="101"/>
              <w:rPr>
                <w:rFonts w:ascii="宋体"/>
                <w:sz w:val="21"/>
                <w:szCs w:val="21"/>
              </w:rPr>
            </w:pPr>
            <w:r>
              <w:rPr>
                <w:sz w:val="21"/>
                <w:szCs w:val="21"/>
              </w:rPr>
              <w:t xml:space="preserve">3 </w:t>
            </w:r>
            <w:r>
              <w:rPr>
                <w:rFonts w:ascii="宋体" w:hint="eastAsia"/>
                <w:sz w:val="21"/>
                <w:szCs w:val="21"/>
              </w:rPr>
              <w:t>丛</w:t>
            </w:r>
          </w:p>
        </w:tc>
        <w:tc>
          <w:tcPr>
            <w:tcW w:w="589" w:type="pct"/>
          </w:tcPr>
          <w:p w14:paraId="3C6603D0" w14:textId="77777777" w:rsidR="007D1E74" w:rsidRDefault="00A95641">
            <w:pPr>
              <w:pStyle w:val="TableParagraph"/>
              <w:spacing w:before="25"/>
              <w:ind w:left="231" w:right="231"/>
              <w:rPr>
                <w:sz w:val="21"/>
                <w:szCs w:val="21"/>
              </w:rPr>
            </w:pPr>
            <w:r>
              <w:rPr>
                <w:sz w:val="21"/>
                <w:szCs w:val="21"/>
              </w:rPr>
              <w:t>Sp</w:t>
            </w:r>
          </w:p>
        </w:tc>
        <w:tc>
          <w:tcPr>
            <w:tcW w:w="978" w:type="pct"/>
          </w:tcPr>
          <w:p w14:paraId="30AD1E33" w14:textId="77777777" w:rsidR="007D1E74" w:rsidRDefault="00A95641">
            <w:pPr>
              <w:pStyle w:val="TableParagraph"/>
              <w:spacing w:before="25"/>
              <w:ind w:left="170" w:right="170"/>
              <w:rPr>
                <w:sz w:val="21"/>
                <w:szCs w:val="21"/>
              </w:rPr>
            </w:pPr>
            <w:r>
              <w:rPr>
                <w:sz w:val="21"/>
                <w:szCs w:val="21"/>
              </w:rPr>
              <w:t>1.4</w:t>
            </w:r>
          </w:p>
        </w:tc>
        <w:tc>
          <w:tcPr>
            <w:tcW w:w="652" w:type="pct"/>
          </w:tcPr>
          <w:p w14:paraId="7C6C69FC" w14:textId="77777777" w:rsidR="007D1E74" w:rsidRDefault="00A95641">
            <w:pPr>
              <w:pStyle w:val="TableParagraph"/>
              <w:spacing w:before="25"/>
              <w:ind w:right="108"/>
              <w:rPr>
                <w:sz w:val="21"/>
                <w:szCs w:val="21"/>
              </w:rPr>
            </w:pPr>
            <w:r>
              <w:rPr>
                <w:sz w:val="21"/>
                <w:szCs w:val="21"/>
              </w:rPr>
              <w:t>5</w:t>
            </w:r>
          </w:p>
        </w:tc>
      </w:tr>
      <w:tr w:rsidR="007D1E74" w14:paraId="09E8250C" w14:textId="77777777">
        <w:trPr>
          <w:trHeight w:hRule="exact" w:val="336"/>
        </w:trPr>
        <w:tc>
          <w:tcPr>
            <w:tcW w:w="440" w:type="pct"/>
          </w:tcPr>
          <w:p w14:paraId="13CBC68E" w14:textId="77777777" w:rsidR="007D1E74" w:rsidRDefault="00A95641">
            <w:pPr>
              <w:pStyle w:val="TableParagraph"/>
              <w:spacing w:before="25"/>
              <w:ind w:left="4"/>
              <w:rPr>
                <w:sz w:val="21"/>
                <w:szCs w:val="21"/>
              </w:rPr>
            </w:pPr>
            <w:r>
              <w:rPr>
                <w:sz w:val="21"/>
                <w:szCs w:val="21"/>
              </w:rPr>
              <w:t>4</w:t>
            </w:r>
          </w:p>
        </w:tc>
        <w:tc>
          <w:tcPr>
            <w:tcW w:w="992" w:type="pct"/>
          </w:tcPr>
          <w:p w14:paraId="0B8D0085" w14:textId="77777777" w:rsidR="007D1E74" w:rsidRDefault="00A95641">
            <w:pPr>
              <w:pStyle w:val="TableParagraph"/>
              <w:spacing w:line="284" w:lineRule="exact"/>
              <w:ind w:left="102"/>
              <w:rPr>
                <w:rFonts w:ascii="宋体"/>
                <w:sz w:val="21"/>
                <w:szCs w:val="21"/>
              </w:rPr>
            </w:pPr>
            <w:r>
              <w:rPr>
                <w:rFonts w:ascii="宋体" w:hint="eastAsia"/>
                <w:sz w:val="21"/>
                <w:szCs w:val="21"/>
              </w:rPr>
              <w:t>野青茅</w:t>
            </w:r>
          </w:p>
        </w:tc>
        <w:tc>
          <w:tcPr>
            <w:tcW w:w="674" w:type="pct"/>
          </w:tcPr>
          <w:p w14:paraId="3B599402" w14:textId="77777777" w:rsidR="007D1E74" w:rsidRDefault="00A95641">
            <w:pPr>
              <w:pStyle w:val="TableParagraph"/>
              <w:spacing w:line="284" w:lineRule="exact"/>
              <w:ind w:left="102"/>
              <w:rPr>
                <w:rFonts w:ascii="宋体"/>
                <w:sz w:val="21"/>
                <w:szCs w:val="21"/>
              </w:rPr>
            </w:pPr>
            <w:r>
              <w:rPr>
                <w:rFonts w:ascii="宋体" w:hint="eastAsia"/>
                <w:sz w:val="21"/>
                <w:szCs w:val="21"/>
              </w:rPr>
              <w:t>营养期</w:t>
            </w:r>
          </w:p>
        </w:tc>
        <w:tc>
          <w:tcPr>
            <w:tcW w:w="673" w:type="pct"/>
          </w:tcPr>
          <w:p w14:paraId="768FD236" w14:textId="77777777" w:rsidR="007D1E74" w:rsidRDefault="00A95641">
            <w:pPr>
              <w:pStyle w:val="TableParagraph"/>
              <w:spacing w:line="302" w:lineRule="exact"/>
              <w:ind w:left="99" w:right="101"/>
              <w:rPr>
                <w:rFonts w:ascii="宋体"/>
                <w:sz w:val="21"/>
                <w:szCs w:val="21"/>
              </w:rPr>
            </w:pPr>
            <w:r>
              <w:rPr>
                <w:sz w:val="21"/>
                <w:szCs w:val="21"/>
              </w:rPr>
              <w:t xml:space="preserve">6 </w:t>
            </w:r>
            <w:r>
              <w:rPr>
                <w:rFonts w:ascii="宋体" w:hint="eastAsia"/>
                <w:sz w:val="21"/>
                <w:szCs w:val="21"/>
              </w:rPr>
              <w:t>丛</w:t>
            </w:r>
          </w:p>
        </w:tc>
        <w:tc>
          <w:tcPr>
            <w:tcW w:w="589" w:type="pct"/>
          </w:tcPr>
          <w:p w14:paraId="06805862" w14:textId="77777777" w:rsidR="007D1E74" w:rsidRDefault="00A95641">
            <w:pPr>
              <w:pStyle w:val="TableParagraph"/>
              <w:spacing w:before="22"/>
              <w:ind w:left="231" w:right="231"/>
              <w:rPr>
                <w:sz w:val="21"/>
                <w:szCs w:val="21"/>
              </w:rPr>
            </w:pPr>
            <w:r>
              <w:rPr>
                <w:position w:val="2"/>
                <w:sz w:val="21"/>
                <w:szCs w:val="21"/>
              </w:rPr>
              <w:t>Cop</w:t>
            </w:r>
            <w:r>
              <w:rPr>
                <w:sz w:val="21"/>
                <w:szCs w:val="21"/>
              </w:rPr>
              <w:t>1</w:t>
            </w:r>
          </w:p>
        </w:tc>
        <w:tc>
          <w:tcPr>
            <w:tcW w:w="978" w:type="pct"/>
          </w:tcPr>
          <w:p w14:paraId="04CB5756" w14:textId="77777777" w:rsidR="007D1E74" w:rsidRDefault="00A95641">
            <w:pPr>
              <w:pStyle w:val="TableParagraph"/>
              <w:spacing w:before="25"/>
              <w:ind w:left="170" w:right="170"/>
              <w:rPr>
                <w:sz w:val="21"/>
                <w:szCs w:val="21"/>
              </w:rPr>
            </w:pPr>
            <w:r>
              <w:rPr>
                <w:sz w:val="21"/>
                <w:szCs w:val="21"/>
              </w:rPr>
              <w:t>0.55</w:t>
            </w:r>
          </w:p>
        </w:tc>
        <w:tc>
          <w:tcPr>
            <w:tcW w:w="652" w:type="pct"/>
          </w:tcPr>
          <w:p w14:paraId="07E22668" w14:textId="77777777" w:rsidR="007D1E74" w:rsidRDefault="00A95641">
            <w:pPr>
              <w:pStyle w:val="TableParagraph"/>
              <w:spacing w:before="25"/>
              <w:ind w:left="116" w:right="224"/>
              <w:rPr>
                <w:sz w:val="21"/>
                <w:szCs w:val="21"/>
              </w:rPr>
            </w:pPr>
            <w:r>
              <w:rPr>
                <w:sz w:val="21"/>
                <w:szCs w:val="21"/>
              </w:rPr>
              <w:t>12</w:t>
            </w:r>
          </w:p>
        </w:tc>
      </w:tr>
      <w:tr w:rsidR="007D1E74" w14:paraId="16A48FF0" w14:textId="77777777">
        <w:trPr>
          <w:trHeight w:hRule="exact" w:val="336"/>
        </w:trPr>
        <w:tc>
          <w:tcPr>
            <w:tcW w:w="440" w:type="pct"/>
          </w:tcPr>
          <w:p w14:paraId="29E1F8DB" w14:textId="77777777" w:rsidR="007D1E74" w:rsidRDefault="00A95641">
            <w:pPr>
              <w:pStyle w:val="TableParagraph"/>
              <w:spacing w:before="25"/>
              <w:ind w:left="4"/>
              <w:rPr>
                <w:sz w:val="21"/>
                <w:szCs w:val="21"/>
              </w:rPr>
            </w:pPr>
            <w:r>
              <w:rPr>
                <w:sz w:val="21"/>
                <w:szCs w:val="21"/>
              </w:rPr>
              <w:t>5</w:t>
            </w:r>
          </w:p>
        </w:tc>
        <w:tc>
          <w:tcPr>
            <w:tcW w:w="992" w:type="pct"/>
          </w:tcPr>
          <w:p w14:paraId="5D14A593" w14:textId="77777777" w:rsidR="007D1E74" w:rsidRDefault="00A95641">
            <w:pPr>
              <w:pStyle w:val="TableParagraph"/>
              <w:spacing w:line="284" w:lineRule="exact"/>
              <w:ind w:left="102"/>
              <w:rPr>
                <w:rFonts w:ascii="宋体"/>
                <w:sz w:val="21"/>
                <w:szCs w:val="21"/>
              </w:rPr>
            </w:pPr>
            <w:r>
              <w:rPr>
                <w:rFonts w:ascii="宋体" w:hint="eastAsia"/>
                <w:sz w:val="21"/>
                <w:szCs w:val="21"/>
              </w:rPr>
              <w:t>蜈蚣草</w:t>
            </w:r>
          </w:p>
        </w:tc>
        <w:tc>
          <w:tcPr>
            <w:tcW w:w="674" w:type="pct"/>
          </w:tcPr>
          <w:p w14:paraId="7C20E532" w14:textId="77777777" w:rsidR="007D1E74" w:rsidRDefault="00A95641">
            <w:pPr>
              <w:pStyle w:val="TableParagraph"/>
              <w:spacing w:line="284" w:lineRule="exact"/>
              <w:ind w:left="102"/>
              <w:rPr>
                <w:rFonts w:ascii="宋体"/>
                <w:sz w:val="21"/>
                <w:szCs w:val="21"/>
              </w:rPr>
            </w:pPr>
            <w:r>
              <w:rPr>
                <w:rFonts w:ascii="宋体" w:hint="eastAsia"/>
                <w:sz w:val="21"/>
                <w:szCs w:val="21"/>
              </w:rPr>
              <w:t>营养期</w:t>
            </w:r>
          </w:p>
        </w:tc>
        <w:tc>
          <w:tcPr>
            <w:tcW w:w="673" w:type="pct"/>
          </w:tcPr>
          <w:p w14:paraId="1505A57B" w14:textId="77777777" w:rsidR="007D1E74" w:rsidRDefault="00A95641">
            <w:pPr>
              <w:pStyle w:val="TableParagraph"/>
              <w:spacing w:before="25"/>
              <w:ind w:left="101" w:right="101"/>
              <w:rPr>
                <w:sz w:val="21"/>
                <w:szCs w:val="21"/>
              </w:rPr>
            </w:pPr>
            <w:r>
              <w:rPr>
                <w:sz w:val="21"/>
                <w:szCs w:val="21"/>
              </w:rPr>
              <w:t>16</w:t>
            </w:r>
          </w:p>
        </w:tc>
        <w:tc>
          <w:tcPr>
            <w:tcW w:w="589" w:type="pct"/>
          </w:tcPr>
          <w:p w14:paraId="14AA0BF8" w14:textId="77777777" w:rsidR="007D1E74" w:rsidRDefault="00A95641">
            <w:pPr>
              <w:pStyle w:val="TableParagraph"/>
              <w:spacing w:before="25"/>
              <w:ind w:left="231" w:right="231"/>
              <w:rPr>
                <w:sz w:val="21"/>
                <w:szCs w:val="21"/>
              </w:rPr>
            </w:pPr>
            <w:r>
              <w:rPr>
                <w:sz w:val="21"/>
                <w:szCs w:val="21"/>
              </w:rPr>
              <w:t>Sp</w:t>
            </w:r>
          </w:p>
        </w:tc>
        <w:tc>
          <w:tcPr>
            <w:tcW w:w="978" w:type="pct"/>
          </w:tcPr>
          <w:p w14:paraId="5A99E9FB" w14:textId="77777777" w:rsidR="007D1E74" w:rsidRDefault="00A95641">
            <w:pPr>
              <w:pStyle w:val="TableParagraph"/>
              <w:spacing w:before="25"/>
              <w:ind w:left="170" w:right="170"/>
              <w:rPr>
                <w:sz w:val="21"/>
                <w:szCs w:val="21"/>
              </w:rPr>
            </w:pPr>
            <w:r>
              <w:rPr>
                <w:sz w:val="21"/>
                <w:szCs w:val="21"/>
              </w:rPr>
              <w:t>0.5</w:t>
            </w:r>
          </w:p>
        </w:tc>
        <w:tc>
          <w:tcPr>
            <w:tcW w:w="652" w:type="pct"/>
          </w:tcPr>
          <w:p w14:paraId="5DB2278F" w14:textId="77777777" w:rsidR="007D1E74" w:rsidRDefault="00A95641">
            <w:pPr>
              <w:pStyle w:val="TableParagraph"/>
              <w:spacing w:before="25"/>
              <w:ind w:right="108"/>
              <w:rPr>
                <w:sz w:val="21"/>
                <w:szCs w:val="21"/>
              </w:rPr>
            </w:pPr>
            <w:r>
              <w:rPr>
                <w:sz w:val="21"/>
                <w:szCs w:val="21"/>
              </w:rPr>
              <w:t>5</w:t>
            </w:r>
          </w:p>
        </w:tc>
      </w:tr>
      <w:tr w:rsidR="007D1E74" w14:paraId="4FB494D1" w14:textId="77777777">
        <w:trPr>
          <w:trHeight w:hRule="exact" w:val="336"/>
        </w:trPr>
        <w:tc>
          <w:tcPr>
            <w:tcW w:w="440" w:type="pct"/>
          </w:tcPr>
          <w:p w14:paraId="4232AEBF" w14:textId="77777777" w:rsidR="007D1E74" w:rsidRDefault="00A95641">
            <w:pPr>
              <w:pStyle w:val="TableParagraph"/>
              <w:spacing w:before="25"/>
              <w:ind w:left="4"/>
              <w:rPr>
                <w:sz w:val="21"/>
                <w:szCs w:val="21"/>
              </w:rPr>
            </w:pPr>
            <w:r>
              <w:rPr>
                <w:sz w:val="21"/>
                <w:szCs w:val="21"/>
              </w:rPr>
              <w:t>6</w:t>
            </w:r>
          </w:p>
        </w:tc>
        <w:tc>
          <w:tcPr>
            <w:tcW w:w="992" w:type="pct"/>
          </w:tcPr>
          <w:p w14:paraId="2D66B6F2" w14:textId="77777777" w:rsidR="007D1E74" w:rsidRDefault="00A95641">
            <w:pPr>
              <w:pStyle w:val="TableParagraph"/>
              <w:spacing w:line="284" w:lineRule="exact"/>
              <w:ind w:left="102"/>
              <w:rPr>
                <w:rFonts w:ascii="宋体"/>
                <w:sz w:val="21"/>
                <w:szCs w:val="21"/>
              </w:rPr>
            </w:pPr>
            <w:r>
              <w:rPr>
                <w:rFonts w:ascii="宋体" w:hint="eastAsia"/>
                <w:sz w:val="21"/>
                <w:szCs w:val="21"/>
              </w:rPr>
              <w:t>毛茛</w:t>
            </w:r>
          </w:p>
        </w:tc>
        <w:tc>
          <w:tcPr>
            <w:tcW w:w="674" w:type="pct"/>
          </w:tcPr>
          <w:p w14:paraId="5885286C" w14:textId="77777777" w:rsidR="007D1E74" w:rsidRDefault="00A95641">
            <w:pPr>
              <w:pStyle w:val="TableParagraph"/>
              <w:spacing w:line="284" w:lineRule="exact"/>
              <w:ind w:left="102"/>
              <w:rPr>
                <w:rFonts w:ascii="宋体"/>
                <w:sz w:val="21"/>
                <w:szCs w:val="21"/>
              </w:rPr>
            </w:pPr>
            <w:r>
              <w:rPr>
                <w:rFonts w:ascii="宋体" w:hint="eastAsia"/>
                <w:sz w:val="21"/>
                <w:szCs w:val="21"/>
              </w:rPr>
              <w:t>花果期</w:t>
            </w:r>
          </w:p>
        </w:tc>
        <w:tc>
          <w:tcPr>
            <w:tcW w:w="673" w:type="pct"/>
          </w:tcPr>
          <w:p w14:paraId="076C8E28" w14:textId="77777777" w:rsidR="007D1E74" w:rsidRDefault="00A95641">
            <w:pPr>
              <w:pStyle w:val="TableParagraph"/>
              <w:spacing w:before="25"/>
              <w:ind w:left="101" w:right="101"/>
              <w:rPr>
                <w:sz w:val="21"/>
                <w:szCs w:val="21"/>
              </w:rPr>
            </w:pPr>
            <w:r>
              <w:rPr>
                <w:sz w:val="21"/>
                <w:szCs w:val="21"/>
              </w:rPr>
              <w:t>22</w:t>
            </w:r>
          </w:p>
        </w:tc>
        <w:tc>
          <w:tcPr>
            <w:tcW w:w="589" w:type="pct"/>
          </w:tcPr>
          <w:p w14:paraId="6A963C9E" w14:textId="77777777" w:rsidR="007D1E74" w:rsidRDefault="00A95641">
            <w:pPr>
              <w:pStyle w:val="TableParagraph"/>
              <w:spacing w:before="25"/>
              <w:ind w:left="231" w:right="231"/>
              <w:rPr>
                <w:sz w:val="21"/>
                <w:szCs w:val="21"/>
              </w:rPr>
            </w:pPr>
            <w:r>
              <w:rPr>
                <w:sz w:val="21"/>
                <w:szCs w:val="21"/>
              </w:rPr>
              <w:t>Ol</w:t>
            </w:r>
          </w:p>
        </w:tc>
        <w:tc>
          <w:tcPr>
            <w:tcW w:w="978" w:type="pct"/>
          </w:tcPr>
          <w:p w14:paraId="20A05A0F" w14:textId="77777777" w:rsidR="007D1E74" w:rsidRDefault="00A95641">
            <w:pPr>
              <w:pStyle w:val="TableParagraph"/>
              <w:spacing w:before="25"/>
              <w:ind w:left="170" w:right="170"/>
              <w:rPr>
                <w:sz w:val="21"/>
                <w:szCs w:val="21"/>
              </w:rPr>
            </w:pPr>
            <w:r>
              <w:rPr>
                <w:sz w:val="21"/>
                <w:szCs w:val="21"/>
              </w:rPr>
              <w:t>0.7</w:t>
            </w:r>
          </w:p>
        </w:tc>
        <w:tc>
          <w:tcPr>
            <w:tcW w:w="652" w:type="pct"/>
          </w:tcPr>
          <w:p w14:paraId="42ABB110" w14:textId="77777777" w:rsidR="007D1E74" w:rsidRDefault="00A95641">
            <w:pPr>
              <w:pStyle w:val="TableParagraph"/>
              <w:spacing w:before="25"/>
              <w:ind w:right="108"/>
              <w:rPr>
                <w:sz w:val="21"/>
                <w:szCs w:val="21"/>
              </w:rPr>
            </w:pPr>
            <w:r>
              <w:rPr>
                <w:sz w:val="21"/>
                <w:szCs w:val="21"/>
              </w:rPr>
              <w:t>5</w:t>
            </w:r>
          </w:p>
        </w:tc>
      </w:tr>
      <w:tr w:rsidR="007D1E74" w14:paraId="63E0F96A" w14:textId="77777777">
        <w:trPr>
          <w:trHeight w:hRule="exact" w:val="336"/>
        </w:trPr>
        <w:tc>
          <w:tcPr>
            <w:tcW w:w="440" w:type="pct"/>
          </w:tcPr>
          <w:p w14:paraId="5DBE063E" w14:textId="77777777" w:rsidR="007D1E74" w:rsidRDefault="00A95641">
            <w:pPr>
              <w:pStyle w:val="TableParagraph"/>
              <w:spacing w:before="25"/>
              <w:ind w:left="4"/>
              <w:rPr>
                <w:sz w:val="21"/>
                <w:szCs w:val="21"/>
              </w:rPr>
            </w:pPr>
            <w:r>
              <w:rPr>
                <w:sz w:val="21"/>
                <w:szCs w:val="21"/>
              </w:rPr>
              <w:t>7</w:t>
            </w:r>
          </w:p>
        </w:tc>
        <w:tc>
          <w:tcPr>
            <w:tcW w:w="992" w:type="pct"/>
          </w:tcPr>
          <w:p w14:paraId="5E025D13" w14:textId="77777777" w:rsidR="007D1E74" w:rsidRDefault="00A95641">
            <w:pPr>
              <w:pStyle w:val="TableParagraph"/>
              <w:spacing w:line="284" w:lineRule="exact"/>
              <w:ind w:left="102"/>
              <w:rPr>
                <w:rFonts w:ascii="宋体"/>
                <w:sz w:val="21"/>
                <w:szCs w:val="21"/>
              </w:rPr>
            </w:pPr>
            <w:r>
              <w:rPr>
                <w:rFonts w:ascii="宋体" w:hint="eastAsia"/>
                <w:sz w:val="21"/>
                <w:szCs w:val="21"/>
              </w:rPr>
              <w:t>顶芽狗脊</w:t>
            </w:r>
          </w:p>
        </w:tc>
        <w:tc>
          <w:tcPr>
            <w:tcW w:w="674" w:type="pct"/>
          </w:tcPr>
          <w:p w14:paraId="1BB998F7" w14:textId="77777777" w:rsidR="007D1E74" w:rsidRDefault="00A95641">
            <w:pPr>
              <w:pStyle w:val="TableParagraph"/>
              <w:spacing w:line="284" w:lineRule="exact"/>
              <w:ind w:left="102"/>
              <w:rPr>
                <w:rFonts w:ascii="宋体"/>
                <w:sz w:val="21"/>
                <w:szCs w:val="21"/>
              </w:rPr>
            </w:pPr>
            <w:r>
              <w:rPr>
                <w:rFonts w:ascii="宋体" w:hint="eastAsia"/>
                <w:sz w:val="21"/>
                <w:szCs w:val="21"/>
              </w:rPr>
              <w:t>营养期</w:t>
            </w:r>
          </w:p>
        </w:tc>
        <w:tc>
          <w:tcPr>
            <w:tcW w:w="673" w:type="pct"/>
          </w:tcPr>
          <w:p w14:paraId="3A2E0742" w14:textId="77777777" w:rsidR="007D1E74" w:rsidRDefault="00A95641">
            <w:pPr>
              <w:pStyle w:val="TableParagraph"/>
              <w:spacing w:line="302" w:lineRule="exact"/>
              <w:ind w:left="99" w:right="101"/>
              <w:rPr>
                <w:rFonts w:ascii="宋体"/>
                <w:sz w:val="21"/>
                <w:szCs w:val="21"/>
              </w:rPr>
            </w:pPr>
            <w:r>
              <w:rPr>
                <w:sz w:val="21"/>
                <w:szCs w:val="21"/>
              </w:rPr>
              <w:t xml:space="preserve">2 </w:t>
            </w:r>
            <w:r>
              <w:rPr>
                <w:rFonts w:ascii="宋体" w:hint="eastAsia"/>
                <w:sz w:val="21"/>
                <w:szCs w:val="21"/>
              </w:rPr>
              <w:t>丛</w:t>
            </w:r>
          </w:p>
        </w:tc>
        <w:tc>
          <w:tcPr>
            <w:tcW w:w="589" w:type="pct"/>
          </w:tcPr>
          <w:p w14:paraId="12D94C6A" w14:textId="77777777" w:rsidR="007D1E74" w:rsidRDefault="00A95641">
            <w:pPr>
              <w:pStyle w:val="TableParagraph"/>
              <w:spacing w:before="25"/>
              <w:ind w:left="231" w:right="231"/>
              <w:rPr>
                <w:sz w:val="21"/>
                <w:szCs w:val="21"/>
              </w:rPr>
            </w:pPr>
            <w:r>
              <w:rPr>
                <w:sz w:val="21"/>
                <w:szCs w:val="21"/>
              </w:rPr>
              <w:t>Ol</w:t>
            </w:r>
          </w:p>
        </w:tc>
        <w:tc>
          <w:tcPr>
            <w:tcW w:w="978" w:type="pct"/>
          </w:tcPr>
          <w:p w14:paraId="35554564" w14:textId="77777777" w:rsidR="007D1E74" w:rsidRDefault="00A95641">
            <w:pPr>
              <w:pStyle w:val="TableParagraph"/>
              <w:spacing w:before="25"/>
              <w:ind w:left="170" w:right="170"/>
              <w:rPr>
                <w:sz w:val="21"/>
                <w:szCs w:val="21"/>
              </w:rPr>
            </w:pPr>
            <w:r>
              <w:rPr>
                <w:sz w:val="21"/>
                <w:szCs w:val="21"/>
              </w:rPr>
              <w:t>0.85</w:t>
            </w:r>
          </w:p>
        </w:tc>
        <w:tc>
          <w:tcPr>
            <w:tcW w:w="652" w:type="pct"/>
          </w:tcPr>
          <w:p w14:paraId="2353E0BA" w14:textId="77777777" w:rsidR="007D1E74" w:rsidRDefault="00A95641">
            <w:pPr>
              <w:pStyle w:val="TableParagraph"/>
              <w:spacing w:before="25"/>
              <w:ind w:right="108"/>
              <w:rPr>
                <w:sz w:val="21"/>
                <w:szCs w:val="21"/>
              </w:rPr>
            </w:pPr>
            <w:r>
              <w:rPr>
                <w:sz w:val="21"/>
                <w:szCs w:val="21"/>
              </w:rPr>
              <w:t>5</w:t>
            </w:r>
          </w:p>
        </w:tc>
      </w:tr>
      <w:tr w:rsidR="007D1E74" w14:paraId="540B0838" w14:textId="77777777">
        <w:trPr>
          <w:trHeight w:hRule="exact" w:val="336"/>
        </w:trPr>
        <w:tc>
          <w:tcPr>
            <w:tcW w:w="440" w:type="pct"/>
          </w:tcPr>
          <w:p w14:paraId="48CD3A0A" w14:textId="77777777" w:rsidR="007D1E74" w:rsidRDefault="00A95641">
            <w:pPr>
              <w:pStyle w:val="TableParagraph"/>
              <w:spacing w:before="25"/>
              <w:ind w:left="4"/>
              <w:rPr>
                <w:sz w:val="21"/>
                <w:szCs w:val="21"/>
              </w:rPr>
            </w:pPr>
            <w:r>
              <w:rPr>
                <w:sz w:val="21"/>
                <w:szCs w:val="21"/>
              </w:rPr>
              <w:t>8</w:t>
            </w:r>
          </w:p>
        </w:tc>
        <w:tc>
          <w:tcPr>
            <w:tcW w:w="992" w:type="pct"/>
          </w:tcPr>
          <w:p w14:paraId="04386602" w14:textId="77777777" w:rsidR="007D1E74" w:rsidRDefault="00A95641">
            <w:pPr>
              <w:pStyle w:val="TableParagraph"/>
              <w:spacing w:line="284" w:lineRule="exact"/>
              <w:ind w:left="102"/>
              <w:rPr>
                <w:rFonts w:ascii="宋体"/>
                <w:sz w:val="21"/>
                <w:szCs w:val="21"/>
              </w:rPr>
            </w:pPr>
            <w:r>
              <w:rPr>
                <w:rFonts w:ascii="宋体" w:hint="eastAsia"/>
                <w:sz w:val="21"/>
                <w:szCs w:val="21"/>
              </w:rPr>
              <w:t>棕叶狗尾草</w:t>
            </w:r>
          </w:p>
        </w:tc>
        <w:tc>
          <w:tcPr>
            <w:tcW w:w="674" w:type="pct"/>
          </w:tcPr>
          <w:p w14:paraId="02ADFC13" w14:textId="77777777" w:rsidR="007D1E74" w:rsidRDefault="00A95641">
            <w:pPr>
              <w:pStyle w:val="TableParagraph"/>
              <w:spacing w:line="284" w:lineRule="exact"/>
              <w:ind w:left="102"/>
              <w:rPr>
                <w:rFonts w:ascii="宋体"/>
                <w:sz w:val="21"/>
                <w:szCs w:val="21"/>
              </w:rPr>
            </w:pPr>
            <w:r>
              <w:rPr>
                <w:rFonts w:ascii="宋体" w:hint="eastAsia"/>
                <w:sz w:val="21"/>
                <w:szCs w:val="21"/>
              </w:rPr>
              <w:t>营养期</w:t>
            </w:r>
          </w:p>
        </w:tc>
        <w:tc>
          <w:tcPr>
            <w:tcW w:w="673" w:type="pct"/>
          </w:tcPr>
          <w:p w14:paraId="67AC11DB" w14:textId="77777777" w:rsidR="007D1E74" w:rsidRDefault="00A95641">
            <w:pPr>
              <w:pStyle w:val="TableParagraph"/>
              <w:spacing w:before="25"/>
              <w:rPr>
                <w:sz w:val="21"/>
                <w:szCs w:val="21"/>
              </w:rPr>
            </w:pPr>
            <w:r>
              <w:rPr>
                <w:sz w:val="21"/>
                <w:szCs w:val="21"/>
              </w:rPr>
              <w:t>6</w:t>
            </w:r>
          </w:p>
        </w:tc>
        <w:tc>
          <w:tcPr>
            <w:tcW w:w="589" w:type="pct"/>
          </w:tcPr>
          <w:p w14:paraId="4F35FE2A" w14:textId="77777777" w:rsidR="007D1E74" w:rsidRDefault="00A95641">
            <w:pPr>
              <w:pStyle w:val="TableParagraph"/>
              <w:spacing w:before="25"/>
              <w:ind w:left="231" w:right="231"/>
              <w:rPr>
                <w:sz w:val="21"/>
                <w:szCs w:val="21"/>
              </w:rPr>
            </w:pPr>
            <w:r>
              <w:rPr>
                <w:sz w:val="21"/>
                <w:szCs w:val="21"/>
              </w:rPr>
              <w:t>Sp</w:t>
            </w:r>
          </w:p>
        </w:tc>
        <w:tc>
          <w:tcPr>
            <w:tcW w:w="978" w:type="pct"/>
          </w:tcPr>
          <w:p w14:paraId="6564688C" w14:textId="77777777" w:rsidR="007D1E74" w:rsidRDefault="00A95641">
            <w:pPr>
              <w:pStyle w:val="TableParagraph"/>
              <w:spacing w:before="25"/>
              <w:ind w:left="170" w:right="170"/>
              <w:rPr>
                <w:sz w:val="21"/>
                <w:szCs w:val="21"/>
              </w:rPr>
            </w:pPr>
            <w:r>
              <w:rPr>
                <w:sz w:val="21"/>
                <w:szCs w:val="21"/>
              </w:rPr>
              <w:t>1.4</w:t>
            </w:r>
          </w:p>
        </w:tc>
        <w:tc>
          <w:tcPr>
            <w:tcW w:w="652" w:type="pct"/>
          </w:tcPr>
          <w:p w14:paraId="580BB426" w14:textId="77777777" w:rsidR="007D1E74" w:rsidRDefault="00A95641">
            <w:pPr>
              <w:pStyle w:val="TableParagraph"/>
              <w:spacing w:before="25"/>
              <w:ind w:right="108"/>
              <w:rPr>
                <w:sz w:val="21"/>
                <w:szCs w:val="21"/>
              </w:rPr>
            </w:pPr>
            <w:r>
              <w:rPr>
                <w:sz w:val="21"/>
                <w:szCs w:val="21"/>
              </w:rPr>
              <w:t>5</w:t>
            </w:r>
          </w:p>
        </w:tc>
      </w:tr>
    </w:tbl>
    <w:p w14:paraId="46473432" w14:textId="77777777" w:rsidR="007D1E74" w:rsidRDefault="007D1E74">
      <w:pPr>
        <w:spacing w:line="360" w:lineRule="auto"/>
        <w:rPr>
          <w:rFonts w:cs="Times New Roman"/>
          <w:szCs w:val="21"/>
        </w:rPr>
      </w:pPr>
    </w:p>
    <w:p w14:paraId="34AA3290" w14:textId="77777777" w:rsidR="007D1E74" w:rsidRDefault="00A95641">
      <w:pPr>
        <w:spacing w:line="360" w:lineRule="auto"/>
        <w:jc w:val="center"/>
        <w:rPr>
          <w:rFonts w:eastAsia="黑体" w:cs="Times New Roman"/>
          <w:szCs w:val="21"/>
        </w:rPr>
      </w:pPr>
      <w:r>
        <w:rPr>
          <w:rFonts w:eastAsia="黑体" w:cs="Times New Roman"/>
          <w:szCs w:val="21"/>
        </w:rPr>
        <w:t>表</w:t>
      </w:r>
      <w:r>
        <w:rPr>
          <w:rFonts w:eastAsia="黑体" w:cs="Times New Roman"/>
          <w:szCs w:val="21"/>
        </w:rPr>
        <w:t xml:space="preserve">A.2.2-1  </w:t>
      </w:r>
      <w:r>
        <w:rPr>
          <w:rFonts w:eastAsia="黑体" w:cs="Times New Roman" w:hint="eastAsia"/>
          <w:szCs w:val="21"/>
        </w:rPr>
        <w:t>植物实测样方表</w:t>
      </w:r>
    </w:p>
    <w:tbl>
      <w:tblPr>
        <w:tblStyle w:val="affffc"/>
        <w:tblW w:w="0" w:type="auto"/>
        <w:tblBorders>
          <w:left w:val="none" w:sz="0" w:space="0" w:color="auto"/>
          <w:right w:val="none" w:sz="0" w:space="0" w:color="auto"/>
        </w:tblBorders>
        <w:tblLook w:val="04A0" w:firstRow="1" w:lastRow="0" w:firstColumn="1" w:lastColumn="0" w:noHBand="0" w:noVBand="1"/>
      </w:tblPr>
      <w:tblGrid>
        <w:gridCol w:w="9016"/>
      </w:tblGrid>
      <w:tr w:rsidR="007D1E74" w14:paraId="60E1486F" w14:textId="77777777">
        <w:tc>
          <w:tcPr>
            <w:tcW w:w="9016" w:type="dxa"/>
          </w:tcPr>
          <w:p w14:paraId="00629456" w14:textId="77777777" w:rsidR="007D1E74" w:rsidRDefault="00A95641">
            <w:pPr>
              <w:spacing w:line="360" w:lineRule="auto"/>
              <w:rPr>
                <w:rFonts w:eastAsiaTheme="minorEastAsia" w:cs="Times New Roman"/>
                <w:szCs w:val="21"/>
              </w:rPr>
            </w:pPr>
            <w:r>
              <w:rPr>
                <w:rFonts w:eastAsiaTheme="minorEastAsia" w:cs="Times New Roman" w:hint="eastAsia"/>
                <w:szCs w:val="21"/>
              </w:rPr>
              <w:t>群落名称：麻栎林</w:t>
            </w:r>
            <w:r>
              <w:rPr>
                <w:rFonts w:eastAsiaTheme="minorEastAsia" w:cs="Times New Roman" w:hint="eastAsia"/>
                <w:szCs w:val="21"/>
              </w:rPr>
              <w:tab/>
            </w:r>
            <w:r>
              <w:rPr>
                <w:rFonts w:eastAsiaTheme="minorEastAsia" w:cs="Times New Roman" w:hint="eastAsia"/>
                <w:szCs w:val="21"/>
              </w:rPr>
              <w:tab/>
            </w:r>
            <w:r>
              <w:rPr>
                <w:rFonts w:eastAsiaTheme="minorEastAsia" w:cs="Times New Roman" w:hint="eastAsia"/>
                <w:szCs w:val="21"/>
              </w:rPr>
              <w:t>地点：涪阳镇下江口村</w:t>
            </w:r>
            <w:r>
              <w:rPr>
                <w:rFonts w:eastAsiaTheme="minorEastAsia" w:cs="Times New Roman" w:hint="eastAsia"/>
                <w:szCs w:val="21"/>
              </w:rPr>
              <w:tab/>
            </w:r>
            <w:r>
              <w:rPr>
                <w:rFonts w:eastAsiaTheme="minorEastAsia" w:cs="Times New Roman" w:hint="eastAsia"/>
                <w:szCs w:val="21"/>
              </w:rPr>
              <w:tab/>
            </w:r>
            <w:r>
              <w:rPr>
                <w:rFonts w:eastAsiaTheme="minorEastAsia" w:cs="Times New Roman" w:hint="eastAsia"/>
                <w:szCs w:val="21"/>
              </w:rPr>
              <w:t>样方面积：</w:t>
            </w:r>
            <w:r>
              <w:rPr>
                <w:rFonts w:eastAsiaTheme="minorEastAsia" w:cs="Times New Roman" w:hint="eastAsia"/>
                <w:szCs w:val="21"/>
              </w:rPr>
              <w:t>10m</w:t>
            </w:r>
            <w:r>
              <w:rPr>
                <w:rFonts w:eastAsiaTheme="minorEastAsia" w:cs="Times New Roman" w:hint="eastAsia"/>
                <w:szCs w:val="21"/>
              </w:rPr>
              <w:t>×</w:t>
            </w:r>
            <w:r>
              <w:rPr>
                <w:rFonts w:eastAsiaTheme="minorEastAsia" w:cs="Times New Roman" w:hint="eastAsia"/>
                <w:szCs w:val="21"/>
              </w:rPr>
              <w:t>10m</w:t>
            </w:r>
          </w:p>
        </w:tc>
      </w:tr>
      <w:tr w:rsidR="007D1E74" w14:paraId="72E9C067" w14:textId="77777777">
        <w:tc>
          <w:tcPr>
            <w:tcW w:w="9016" w:type="dxa"/>
          </w:tcPr>
          <w:p w14:paraId="3DA4B613" w14:textId="77777777" w:rsidR="007D1E74" w:rsidRDefault="00A95641">
            <w:pPr>
              <w:spacing w:line="360" w:lineRule="auto"/>
              <w:rPr>
                <w:rFonts w:eastAsiaTheme="minorEastAsia" w:cs="Times New Roman"/>
                <w:szCs w:val="21"/>
              </w:rPr>
            </w:pPr>
            <w:r>
              <w:rPr>
                <w:rFonts w:eastAsiaTheme="minorEastAsia" w:cs="Times New Roman" w:hint="eastAsia"/>
                <w:szCs w:val="21"/>
              </w:rPr>
              <w:t>经度：</w:t>
            </w:r>
            <w:r>
              <w:rPr>
                <w:rFonts w:eastAsiaTheme="minorEastAsia" w:cs="Times New Roman" w:hint="eastAsia"/>
                <w:szCs w:val="21"/>
              </w:rPr>
              <w:t xml:space="preserve">107.143094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纬度：</w:t>
            </w:r>
            <w:r>
              <w:rPr>
                <w:rFonts w:eastAsiaTheme="minorEastAsia" w:cs="Times New Roman" w:hint="eastAsia"/>
                <w:szCs w:val="21"/>
              </w:rPr>
              <w:t xml:space="preserve">32.047484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海拔（</w:t>
            </w:r>
            <w:r>
              <w:rPr>
                <w:rFonts w:eastAsiaTheme="minorEastAsia" w:cs="Times New Roman" w:hint="eastAsia"/>
                <w:szCs w:val="21"/>
              </w:rPr>
              <w:t>m</w:t>
            </w:r>
            <w:r>
              <w:rPr>
                <w:rFonts w:eastAsiaTheme="minorEastAsia" w:cs="Times New Roman" w:hint="eastAsia"/>
                <w:szCs w:val="21"/>
              </w:rPr>
              <w:t>）</w:t>
            </w:r>
            <w:r>
              <w:rPr>
                <w:rFonts w:eastAsiaTheme="minorEastAsia" w:cs="Times New Roman" w:hint="eastAsia"/>
                <w:szCs w:val="21"/>
              </w:rPr>
              <w:t>1007</w:t>
            </w:r>
          </w:p>
        </w:tc>
      </w:tr>
      <w:tr w:rsidR="007D1E74" w14:paraId="3A518BE4" w14:textId="77777777">
        <w:tc>
          <w:tcPr>
            <w:tcW w:w="9016" w:type="dxa"/>
          </w:tcPr>
          <w:p w14:paraId="0C8736E4" w14:textId="77777777" w:rsidR="007D1E74" w:rsidRDefault="00A95641">
            <w:pPr>
              <w:spacing w:line="360" w:lineRule="auto"/>
              <w:rPr>
                <w:rFonts w:eastAsiaTheme="minorEastAsia" w:cs="Times New Roman"/>
                <w:szCs w:val="21"/>
              </w:rPr>
            </w:pPr>
            <w:r>
              <w:rPr>
                <w:rFonts w:eastAsiaTheme="minorEastAsia" w:cs="Times New Roman" w:hint="eastAsia"/>
                <w:szCs w:val="21"/>
              </w:rPr>
              <w:t>调查人：黄文军、李秦</w:t>
            </w:r>
            <w:r>
              <w:rPr>
                <w:rFonts w:eastAsiaTheme="minorEastAsia" w:cs="Times New Roman" w:hint="eastAsia"/>
                <w:szCs w:val="21"/>
              </w:rPr>
              <w:tab/>
            </w:r>
            <w:r>
              <w:rPr>
                <w:rFonts w:eastAsiaTheme="minorEastAsia" w:cs="Times New Roman" w:hint="eastAsia"/>
                <w:szCs w:val="21"/>
              </w:rPr>
              <w:t>调查日期：</w:t>
            </w:r>
            <w:r>
              <w:rPr>
                <w:rFonts w:eastAsiaTheme="minorEastAsia" w:cs="Times New Roman" w:hint="eastAsia"/>
                <w:szCs w:val="21"/>
              </w:rPr>
              <w:t>2021-08-18</w:t>
            </w:r>
          </w:p>
        </w:tc>
      </w:tr>
    </w:tbl>
    <w:p w14:paraId="6570731B" w14:textId="77777777" w:rsidR="007D1E74" w:rsidRDefault="007D1E74">
      <w:pPr>
        <w:spacing w:line="360" w:lineRule="auto"/>
        <w:rPr>
          <w:rFonts w:eastAsia="黑体" w:cs="Times New Roman"/>
          <w:sz w:val="24"/>
          <w:szCs w:val="24"/>
        </w:rPr>
      </w:pP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4"/>
        <w:gridCol w:w="1487"/>
        <w:gridCol w:w="1215"/>
        <w:gridCol w:w="1215"/>
        <w:gridCol w:w="1214"/>
        <w:gridCol w:w="1917"/>
        <w:gridCol w:w="1174"/>
      </w:tblGrid>
      <w:tr w:rsidR="007D1E74" w14:paraId="22C75105" w14:textId="77777777">
        <w:trPr>
          <w:trHeight w:hRule="exact" w:val="351"/>
        </w:trPr>
        <w:tc>
          <w:tcPr>
            <w:tcW w:w="440" w:type="pct"/>
          </w:tcPr>
          <w:p w14:paraId="25FCC560" w14:textId="77777777" w:rsidR="007D1E74" w:rsidRDefault="00A95641">
            <w:pPr>
              <w:pStyle w:val="TableParagraph"/>
              <w:spacing w:line="284" w:lineRule="exact"/>
              <w:ind w:left="109" w:right="106"/>
              <w:rPr>
                <w:rFonts w:ascii="宋体"/>
                <w:sz w:val="21"/>
                <w:szCs w:val="21"/>
              </w:rPr>
            </w:pPr>
            <w:r>
              <w:rPr>
                <w:rFonts w:ascii="宋体" w:hint="eastAsia"/>
                <w:sz w:val="21"/>
                <w:szCs w:val="21"/>
              </w:rPr>
              <w:t>种号</w:t>
            </w:r>
          </w:p>
        </w:tc>
        <w:tc>
          <w:tcPr>
            <w:tcW w:w="824" w:type="pct"/>
          </w:tcPr>
          <w:p w14:paraId="6D2CC34C" w14:textId="77777777" w:rsidR="007D1E74" w:rsidRDefault="00A95641">
            <w:pPr>
              <w:pStyle w:val="TableParagraph"/>
              <w:spacing w:line="284" w:lineRule="exact"/>
              <w:ind w:left="327"/>
              <w:rPr>
                <w:rFonts w:ascii="宋体"/>
                <w:sz w:val="21"/>
                <w:szCs w:val="21"/>
              </w:rPr>
            </w:pPr>
            <w:r>
              <w:rPr>
                <w:rFonts w:ascii="宋体" w:hint="eastAsia"/>
                <w:sz w:val="21"/>
                <w:szCs w:val="21"/>
              </w:rPr>
              <w:t>物种名</w:t>
            </w:r>
          </w:p>
        </w:tc>
        <w:tc>
          <w:tcPr>
            <w:tcW w:w="674" w:type="pct"/>
          </w:tcPr>
          <w:p w14:paraId="694D2920" w14:textId="77777777" w:rsidR="007D1E74" w:rsidRDefault="00A95641">
            <w:pPr>
              <w:pStyle w:val="TableParagraph"/>
              <w:spacing w:line="284" w:lineRule="exact"/>
              <w:ind w:left="201"/>
              <w:rPr>
                <w:rFonts w:ascii="宋体"/>
                <w:sz w:val="21"/>
                <w:szCs w:val="21"/>
              </w:rPr>
            </w:pPr>
            <w:r>
              <w:rPr>
                <w:rFonts w:ascii="宋体" w:hint="eastAsia"/>
                <w:sz w:val="21"/>
                <w:szCs w:val="21"/>
              </w:rPr>
              <w:t>物候期</w:t>
            </w:r>
          </w:p>
        </w:tc>
        <w:tc>
          <w:tcPr>
            <w:tcW w:w="674" w:type="pct"/>
          </w:tcPr>
          <w:p w14:paraId="502FADD4" w14:textId="77777777" w:rsidR="007D1E74" w:rsidRDefault="00A95641">
            <w:pPr>
              <w:pStyle w:val="TableParagraph"/>
              <w:spacing w:line="302" w:lineRule="exact"/>
              <w:ind w:left="101" w:right="102"/>
              <w:rPr>
                <w:rFonts w:ascii="宋体"/>
                <w:sz w:val="21"/>
                <w:szCs w:val="21"/>
              </w:rPr>
            </w:pPr>
            <w:r>
              <w:rPr>
                <w:rFonts w:ascii="宋体" w:hint="eastAsia"/>
                <w:sz w:val="21"/>
                <w:szCs w:val="21"/>
              </w:rPr>
              <w:t>株</w:t>
            </w:r>
            <w:r>
              <w:rPr>
                <w:sz w:val="21"/>
                <w:szCs w:val="21"/>
              </w:rPr>
              <w:t>(</w:t>
            </w:r>
            <w:r>
              <w:rPr>
                <w:rFonts w:ascii="宋体" w:hint="eastAsia"/>
                <w:sz w:val="21"/>
                <w:szCs w:val="21"/>
              </w:rPr>
              <w:t>丛</w:t>
            </w:r>
            <w:r>
              <w:rPr>
                <w:sz w:val="21"/>
                <w:szCs w:val="21"/>
              </w:rPr>
              <w:t>)</w:t>
            </w:r>
            <w:r>
              <w:rPr>
                <w:rFonts w:ascii="宋体" w:hint="eastAsia"/>
                <w:sz w:val="21"/>
                <w:szCs w:val="21"/>
              </w:rPr>
              <w:t>数</w:t>
            </w:r>
          </w:p>
        </w:tc>
        <w:tc>
          <w:tcPr>
            <w:tcW w:w="673" w:type="pct"/>
          </w:tcPr>
          <w:p w14:paraId="502C8BDC" w14:textId="77777777" w:rsidR="007D1E74" w:rsidRDefault="00A95641">
            <w:pPr>
              <w:pStyle w:val="TableParagraph"/>
              <w:spacing w:line="284" w:lineRule="exact"/>
              <w:ind w:left="100" w:right="101"/>
              <w:rPr>
                <w:rFonts w:ascii="宋体"/>
                <w:sz w:val="21"/>
                <w:szCs w:val="21"/>
              </w:rPr>
            </w:pPr>
            <w:r>
              <w:rPr>
                <w:rFonts w:ascii="宋体" w:hint="eastAsia"/>
                <w:sz w:val="21"/>
                <w:szCs w:val="21"/>
              </w:rPr>
              <w:t>多度</w:t>
            </w:r>
          </w:p>
        </w:tc>
        <w:tc>
          <w:tcPr>
            <w:tcW w:w="1063" w:type="pct"/>
          </w:tcPr>
          <w:p w14:paraId="57FE5BB3" w14:textId="77777777" w:rsidR="007D1E74" w:rsidRDefault="00A95641">
            <w:pPr>
              <w:pStyle w:val="TableParagraph"/>
              <w:spacing w:line="302" w:lineRule="exact"/>
              <w:ind w:left="243" w:right="242"/>
              <w:rPr>
                <w:sz w:val="21"/>
                <w:szCs w:val="21"/>
              </w:rPr>
            </w:pPr>
            <w:r>
              <w:rPr>
                <w:rFonts w:ascii="宋体" w:hint="eastAsia"/>
                <w:w w:val="95"/>
                <w:sz w:val="21"/>
                <w:szCs w:val="21"/>
              </w:rPr>
              <w:t>平均高度</w:t>
            </w:r>
            <w:r>
              <w:rPr>
                <w:w w:val="95"/>
                <w:sz w:val="21"/>
                <w:szCs w:val="21"/>
              </w:rPr>
              <w:t>/cm</w:t>
            </w:r>
          </w:p>
        </w:tc>
        <w:tc>
          <w:tcPr>
            <w:tcW w:w="651" w:type="pct"/>
          </w:tcPr>
          <w:p w14:paraId="5410C7A1" w14:textId="77777777" w:rsidR="007D1E74" w:rsidRDefault="00A95641">
            <w:pPr>
              <w:pStyle w:val="TableParagraph"/>
              <w:spacing w:line="302" w:lineRule="exact"/>
              <w:ind w:left="117" w:right="224"/>
              <w:rPr>
                <w:sz w:val="21"/>
                <w:szCs w:val="21"/>
              </w:rPr>
            </w:pPr>
            <w:r>
              <w:rPr>
                <w:rFonts w:ascii="宋体" w:hint="eastAsia"/>
                <w:w w:val="95"/>
                <w:sz w:val="21"/>
                <w:szCs w:val="21"/>
              </w:rPr>
              <w:t>盖度</w:t>
            </w:r>
            <w:r>
              <w:rPr>
                <w:w w:val="95"/>
                <w:sz w:val="21"/>
                <w:szCs w:val="21"/>
              </w:rPr>
              <w:t>/%</w:t>
            </w:r>
          </w:p>
        </w:tc>
      </w:tr>
      <w:tr w:rsidR="007D1E74" w14:paraId="6B3BFA70" w14:textId="77777777">
        <w:trPr>
          <w:trHeight w:hRule="exact" w:val="336"/>
        </w:trPr>
        <w:tc>
          <w:tcPr>
            <w:tcW w:w="440" w:type="pct"/>
          </w:tcPr>
          <w:p w14:paraId="537BE503" w14:textId="77777777" w:rsidR="007D1E74" w:rsidRDefault="00A95641">
            <w:pPr>
              <w:pStyle w:val="TableParagraph"/>
              <w:spacing w:before="25"/>
              <w:ind w:left="3"/>
              <w:rPr>
                <w:sz w:val="21"/>
                <w:szCs w:val="21"/>
              </w:rPr>
            </w:pPr>
            <w:r>
              <w:rPr>
                <w:sz w:val="21"/>
                <w:szCs w:val="21"/>
              </w:rPr>
              <w:t>1</w:t>
            </w:r>
          </w:p>
        </w:tc>
        <w:tc>
          <w:tcPr>
            <w:tcW w:w="824" w:type="pct"/>
          </w:tcPr>
          <w:p w14:paraId="530D86C5" w14:textId="77777777" w:rsidR="007D1E74" w:rsidRDefault="00A95641">
            <w:pPr>
              <w:pStyle w:val="TableParagraph"/>
              <w:spacing w:line="284" w:lineRule="exact"/>
              <w:ind w:left="103"/>
              <w:rPr>
                <w:rFonts w:ascii="宋体"/>
                <w:sz w:val="21"/>
                <w:szCs w:val="21"/>
              </w:rPr>
            </w:pPr>
            <w:r>
              <w:rPr>
                <w:rFonts w:ascii="宋体" w:hint="eastAsia"/>
                <w:sz w:val="21"/>
                <w:szCs w:val="21"/>
              </w:rPr>
              <w:t>麻栎</w:t>
            </w:r>
          </w:p>
        </w:tc>
        <w:tc>
          <w:tcPr>
            <w:tcW w:w="674" w:type="pct"/>
          </w:tcPr>
          <w:p w14:paraId="48F815DF"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706BF1D6" w14:textId="77777777" w:rsidR="007D1E74" w:rsidRDefault="00A95641">
            <w:pPr>
              <w:pStyle w:val="TableParagraph"/>
              <w:spacing w:before="25"/>
              <w:rPr>
                <w:sz w:val="21"/>
                <w:szCs w:val="21"/>
              </w:rPr>
            </w:pPr>
            <w:r>
              <w:rPr>
                <w:sz w:val="21"/>
                <w:szCs w:val="21"/>
              </w:rPr>
              <w:t>6</w:t>
            </w:r>
          </w:p>
        </w:tc>
        <w:tc>
          <w:tcPr>
            <w:tcW w:w="673" w:type="pct"/>
          </w:tcPr>
          <w:p w14:paraId="7829992C" w14:textId="77777777" w:rsidR="007D1E74" w:rsidRDefault="00A95641">
            <w:pPr>
              <w:pStyle w:val="TableParagraph"/>
              <w:spacing w:before="22"/>
              <w:ind w:left="101" w:right="101"/>
              <w:rPr>
                <w:sz w:val="21"/>
                <w:szCs w:val="21"/>
              </w:rPr>
            </w:pPr>
            <w:r>
              <w:rPr>
                <w:position w:val="2"/>
                <w:sz w:val="21"/>
                <w:szCs w:val="21"/>
              </w:rPr>
              <w:t>Cop</w:t>
            </w:r>
            <w:r>
              <w:rPr>
                <w:sz w:val="21"/>
                <w:szCs w:val="21"/>
              </w:rPr>
              <w:t>1</w:t>
            </w:r>
          </w:p>
        </w:tc>
        <w:tc>
          <w:tcPr>
            <w:tcW w:w="1063" w:type="pct"/>
          </w:tcPr>
          <w:p w14:paraId="6EE625B1" w14:textId="77777777" w:rsidR="007D1E74" w:rsidRDefault="00A95641">
            <w:pPr>
              <w:pStyle w:val="TableParagraph"/>
              <w:spacing w:before="25"/>
              <w:ind w:left="242" w:right="242"/>
              <w:rPr>
                <w:sz w:val="21"/>
                <w:szCs w:val="21"/>
              </w:rPr>
            </w:pPr>
            <w:r>
              <w:rPr>
                <w:sz w:val="21"/>
                <w:szCs w:val="21"/>
              </w:rPr>
              <w:t>14</w:t>
            </w:r>
          </w:p>
        </w:tc>
        <w:tc>
          <w:tcPr>
            <w:tcW w:w="651" w:type="pct"/>
          </w:tcPr>
          <w:p w14:paraId="0E40E91F" w14:textId="77777777" w:rsidR="007D1E74" w:rsidRDefault="00A95641">
            <w:pPr>
              <w:pStyle w:val="TableParagraph"/>
              <w:spacing w:before="25"/>
              <w:ind w:left="114" w:right="224"/>
              <w:rPr>
                <w:sz w:val="21"/>
                <w:szCs w:val="21"/>
              </w:rPr>
            </w:pPr>
            <w:r>
              <w:rPr>
                <w:sz w:val="21"/>
                <w:szCs w:val="21"/>
              </w:rPr>
              <w:t>35</w:t>
            </w:r>
          </w:p>
        </w:tc>
      </w:tr>
      <w:tr w:rsidR="007D1E74" w14:paraId="252A1467" w14:textId="77777777">
        <w:trPr>
          <w:trHeight w:hRule="exact" w:val="336"/>
        </w:trPr>
        <w:tc>
          <w:tcPr>
            <w:tcW w:w="440" w:type="pct"/>
          </w:tcPr>
          <w:p w14:paraId="77039305" w14:textId="77777777" w:rsidR="007D1E74" w:rsidRDefault="00A95641">
            <w:pPr>
              <w:pStyle w:val="TableParagraph"/>
              <w:spacing w:before="25"/>
              <w:ind w:left="3"/>
              <w:rPr>
                <w:sz w:val="21"/>
                <w:szCs w:val="21"/>
              </w:rPr>
            </w:pPr>
            <w:r>
              <w:rPr>
                <w:sz w:val="21"/>
                <w:szCs w:val="21"/>
              </w:rPr>
              <w:t>2</w:t>
            </w:r>
          </w:p>
        </w:tc>
        <w:tc>
          <w:tcPr>
            <w:tcW w:w="824" w:type="pct"/>
          </w:tcPr>
          <w:p w14:paraId="5F2C1C3A" w14:textId="77777777" w:rsidR="007D1E74" w:rsidRDefault="00A95641">
            <w:pPr>
              <w:pStyle w:val="TableParagraph"/>
              <w:spacing w:line="284" w:lineRule="exact"/>
              <w:ind w:left="103"/>
              <w:rPr>
                <w:rFonts w:ascii="宋体"/>
                <w:sz w:val="21"/>
                <w:szCs w:val="21"/>
              </w:rPr>
            </w:pPr>
            <w:r>
              <w:rPr>
                <w:rFonts w:ascii="宋体" w:hint="eastAsia"/>
                <w:sz w:val="21"/>
                <w:szCs w:val="21"/>
              </w:rPr>
              <w:t>栓皮栎</w:t>
            </w:r>
          </w:p>
        </w:tc>
        <w:tc>
          <w:tcPr>
            <w:tcW w:w="674" w:type="pct"/>
          </w:tcPr>
          <w:p w14:paraId="3A43CF30"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5670306A" w14:textId="77777777" w:rsidR="007D1E74" w:rsidRDefault="00A95641">
            <w:pPr>
              <w:pStyle w:val="TableParagraph"/>
              <w:spacing w:before="25"/>
              <w:rPr>
                <w:sz w:val="21"/>
                <w:szCs w:val="21"/>
              </w:rPr>
            </w:pPr>
            <w:r>
              <w:rPr>
                <w:sz w:val="21"/>
                <w:szCs w:val="21"/>
              </w:rPr>
              <w:t>5</w:t>
            </w:r>
          </w:p>
        </w:tc>
        <w:tc>
          <w:tcPr>
            <w:tcW w:w="673" w:type="pct"/>
          </w:tcPr>
          <w:p w14:paraId="28FE3364" w14:textId="77777777" w:rsidR="007D1E74" w:rsidRDefault="00A95641">
            <w:pPr>
              <w:pStyle w:val="TableParagraph"/>
              <w:spacing w:before="22"/>
              <w:ind w:left="101" w:right="101"/>
              <w:rPr>
                <w:sz w:val="21"/>
                <w:szCs w:val="21"/>
              </w:rPr>
            </w:pPr>
            <w:r>
              <w:rPr>
                <w:position w:val="2"/>
                <w:sz w:val="21"/>
                <w:szCs w:val="21"/>
              </w:rPr>
              <w:t>Cop</w:t>
            </w:r>
            <w:r>
              <w:rPr>
                <w:sz w:val="21"/>
                <w:szCs w:val="21"/>
              </w:rPr>
              <w:t>1</w:t>
            </w:r>
          </w:p>
        </w:tc>
        <w:tc>
          <w:tcPr>
            <w:tcW w:w="1063" w:type="pct"/>
          </w:tcPr>
          <w:p w14:paraId="3B0657D9" w14:textId="77777777" w:rsidR="007D1E74" w:rsidRDefault="00A95641">
            <w:pPr>
              <w:pStyle w:val="TableParagraph"/>
              <w:spacing w:before="25"/>
              <w:ind w:left="242" w:right="242"/>
              <w:rPr>
                <w:sz w:val="21"/>
                <w:szCs w:val="21"/>
              </w:rPr>
            </w:pPr>
            <w:r>
              <w:rPr>
                <w:sz w:val="21"/>
                <w:szCs w:val="21"/>
              </w:rPr>
              <w:t>13</w:t>
            </w:r>
          </w:p>
        </w:tc>
        <w:tc>
          <w:tcPr>
            <w:tcW w:w="651" w:type="pct"/>
          </w:tcPr>
          <w:p w14:paraId="7D64F579" w14:textId="77777777" w:rsidR="007D1E74" w:rsidRDefault="00A95641">
            <w:pPr>
              <w:pStyle w:val="TableParagraph"/>
              <w:spacing w:before="25"/>
              <w:ind w:left="114" w:right="224"/>
              <w:rPr>
                <w:sz w:val="21"/>
                <w:szCs w:val="21"/>
              </w:rPr>
            </w:pPr>
            <w:r>
              <w:rPr>
                <w:sz w:val="21"/>
                <w:szCs w:val="21"/>
              </w:rPr>
              <w:t>35</w:t>
            </w:r>
          </w:p>
        </w:tc>
      </w:tr>
      <w:tr w:rsidR="007D1E74" w14:paraId="6218FCE2" w14:textId="77777777">
        <w:trPr>
          <w:trHeight w:hRule="exact" w:val="336"/>
        </w:trPr>
        <w:tc>
          <w:tcPr>
            <w:tcW w:w="440" w:type="pct"/>
          </w:tcPr>
          <w:p w14:paraId="5A5D6731" w14:textId="77777777" w:rsidR="007D1E74" w:rsidRDefault="00A95641">
            <w:pPr>
              <w:pStyle w:val="TableParagraph"/>
              <w:spacing w:before="25"/>
              <w:ind w:left="3"/>
              <w:rPr>
                <w:sz w:val="21"/>
                <w:szCs w:val="21"/>
              </w:rPr>
            </w:pPr>
            <w:r>
              <w:rPr>
                <w:sz w:val="21"/>
                <w:szCs w:val="21"/>
              </w:rPr>
              <w:t>3</w:t>
            </w:r>
          </w:p>
        </w:tc>
        <w:tc>
          <w:tcPr>
            <w:tcW w:w="824" w:type="pct"/>
          </w:tcPr>
          <w:p w14:paraId="4C4CB058" w14:textId="77777777" w:rsidR="007D1E74" w:rsidRDefault="00A95641">
            <w:pPr>
              <w:pStyle w:val="TableParagraph"/>
              <w:spacing w:line="284" w:lineRule="exact"/>
              <w:ind w:left="103"/>
              <w:rPr>
                <w:rFonts w:ascii="宋体"/>
                <w:sz w:val="21"/>
                <w:szCs w:val="21"/>
              </w:rPr>
            </w:pPr>
            <w:r>
              <w:rPr>
                <w:rFonts w:ascii="宋体" w:hint="eastAsia"/>
                <w:sz w:val="21"/>
                <w:szCs w:val="21"/>
              </w:rPr>
              <w:t>桤木</w:t>
            </w:r>
          </w:p>
        </w:tc>
        <w:tc>
          <w:tcPr>
            <w:tcW w:w="674" w:type="pct"/>
          </w:tcPr>
          <w:p w14:paraId="35160F3D"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2A5366E3" w14:textId="77777777" w:rsidR="007D1E74" w:rsidRDefault="00A95641">
            <w:pPr>
              <w:pStyle w:val="TableParagraph"/>
              <w:spacing w:before="25"/>
              <w:rPr>
                <w:sz w:val="21"/>
                <w:szCs w:val="21"/>
              </w:rPr>
            </w:pPr>
            <w:r>
              <w:rPr>
                <w:sz w:val="21"/>
                <w:szCs w:val="21"/>
              </w:rPr>
              <w:t>3</w:t>
            </w:r>
          </w:p>
        </w:tc>
        <w:tc>
          <w:tcPr>
            <w:tcW w:w="673" w:type="pct"/>
          </w:tcPr>
          <w:p w14:paraId="5C9ED021" w14:textId="77777777" w:rsidR="007D1E74" w:rsidRDefault="00A95641">
            <w:pPr>
              <w:pStyle w:val="TableParagraph"/>
              <w:spacing w:before="22"/>
              <w:ind w:left="101" w:right="101"/>
              <w:rPr>
                <w:sz w:val="21"/>
                <w:szCs w:val="21"/>
              </w:rPr>
            </w:pPr>
            <w:r>
              <w:rPr>
                <w:position w:val="2"/>
                <w:sz w:val="21"/>
                <w:szCs w:val="21"/>
              </w:rPr>
              <w:t>Cop</w:t>
            </w:r>
            <w:r>
              <w:rPr>
                <w:sz w:val="21"/>
                <w:szCs w:val="21"/>
              </w:rPr>
              <w:t>1</w:t>
            </w:r>
          </w:p>
        </w:tc>
        <w:tc>
          <w:tcPr>
            <w:tcW w:w="1063" w:type="pct"/>
          </w:tcPr>
          <w:p w14:paraId="53A36EA2" w14:textId="77777777" w:rsidR="007D1E74" w:rsidRDefault="00A95641">
            <w:pPr>
              <w:pStyle w:val="TableParagraph"/>
              <w:spacing w:before="25"/>
              <w:ind w:left="242" w:right="242"/>
              <w:rPr>
                <w:sz w:val="21"/>
                <w:szCs w:val="21"/>
              </w:rPr>
            </w:pPr>
            <w:r>
              <w:rPr>
                <w:sz w:val="21"/>
                <w:szCs w:val="21"/>
              </w:rPr>
              <w:t>14</w:t>
            </w:r>
          </w:p>
        </w:tc>
        <w:tc>
          <w:tcPr>
            <w:tcW w:w="651" w:type="pct"/>
          </w:tcPr>
          <w:p w14:paraId="3FD8253A" w14:textId="77777777" w:rsidR="007D1E74" w:rsidRDefault="00A95641">
            <w:pPr>
              <w:pStyle w:val="TableParagraph"/>
              <w:spacing w:before="25"/>
              <w:ind w:left="114" w:right="224"/>
              <w:rPr>
                <w:sz w:val="21"/>
                <w:szCs w:val="21"/>
              </w:rPr>
            </w:pPr>
            <w:r>
              <w:rPr>
                <w:sz w:val="21"/>
                <w:szCs w:val="21"/>
              </w:rPr>
              <w:t>15</w:t>
            </w:r>
          </w:p>
        </w:tc>
      </w:tr>
      <w:tr w:rsidR="007D1E74" w14:paraId="53715B4A" w14:textId="77777777">
        <w:trPr>
          <w:trHeight w:hRule="exact" w:val="336"/>
        </w:trPr>
        <w:tc>
          <w:tcPr>
            <w:tcW w:w="440" w:type="pct"/>
          </w:tcPr>
          <w:p w14:paraId="73AA49A2" w14:textId="77777777" w:rsidR="007D1E74" w:rsidRDefault="00A95641">
            <w:pPr>
              <w:pStyle w:val="TableParagraph"/>
              <w:spacing w:before="25"/>
              <w:ind w:left="3"/>
              <w:rPr>
                <w:sz w:val="21"/>
                <w:szCs w:val="21"/>
              </w:rPr>
            </w:pPr>
            <w:r>
              <w:rPr>
                <w:sz w:val="21"/>
                <w:szCs w:val="21"/>
              </w:rPr>
              <w:t>4</w:t>
            </w:r>
          </w:p>
        </w:tc>
        <w:tc>
          <w:tcPr>
            <w:tcW w:w="824" w:type="pct"/>
          </w:tcPr>
          <w:p w14:paraId="66D7BC64" w14:textId="77777777" w:rsidR="007D1E74" w:rsidRDefault="00A95641">
            <w:pPr>
              <w:pStyle w:val="TableParagraph"/>
              <w:spacing w:line="284" w:lineRule="exact"/>
              <w:ind w:left="103"/>
              <w:rPr>
                <w:rFonts w:ascii="宋体"/>
                <w:sz w:val="21"/>
                <w:szCs w:val="21"/>
              </w:rPr>
            </w:pPr>
            <w:r>
              <w:rPr>
                <w:rFonts w:ascii="宋体" w:hint="eastAsia"/>
                <w:sz w:val="21"/>
                <w:szCs w:val="21"/>
              </w:rPr>
              <w:t>喜树</w:t>
            </w:r>
          </w:p>
        </w:tc>
        <w:tc>
          <w:tcPr>
            <w:tcW w:w="674" w:type="pct"/>
          </w:tcPr>
          <w:p w14:paraId="7D6341EF"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63E56675" w14:textId="77777777" w:rsidR="007D1E74" w:rsidRDefault="00A95641">
            <w:pPr>
              <w:pStyle w:val="TableParagraph"/>
              <w:spacing w:before="25"/>
              <w:rPr>
                <w:sz w:val="21"/>
                <w:szCs w:val="21"/>
              </w:rPr>
            </w:pPr>
            <w:r>
              <w:rPr>
                <w:sz w:val="21"/>
                <w:szCs w:val="21"/>
              </w:rPr>
              <w:t>1</w:t>
            </w:r>
          </w:p>
        </w:tc>
        <w:tc>
          <w:tcPr>
            <w:tcW w:w="673" w:type="pct"/>
          </w:tcPr>
          <w:p w14:paraId="7298816C" w14:textId="77777777" w:rsidR="007D1E74" w:rsidRDefault="00A95641">
            <w:pPr>
              <w:pStyle w:val="TableParagraph"/>
              <w:spacing w:before="25"/>
              <w:ind w:left="101" w:right="100"/>
              <w:rPr>
                <w:sz w:val="21"/>
                <w:szCs w:val="21"/>
              </w:rPr>
            </w:pPr>
            <w:r>
              <w:rPr>
                <w:sz w:val="21"/>
                <w:szCs w:val="21"/>
              </w:rPr>
              <w:t>Sp</w:t>
            </w:r>
          </w:p>
        </w:tc>
        <w:tc>
          <w:tcPr>
            <w:tcW w:w="1063" w:type="pct"/>
          </w:tcPr>
          <w:p w14:paraId="5FAA1427" w14:textId="77777777" w:rsidR="007D1E74" w:rsidRDefault="00A95641">
            <w:pPr>
              <w:pStyle w:val="TableParagraph"/>
              <w:spacing w:before="25"/>
              <w:ind w:left="242" w:right="242"/>
              <w:rPr>
                <w:sz w:val="21"/>
                <w:szCs w:val="21"/>
              </w:rPr>
            </w:pPr>
            <w:r>
              <w:rPr>
                <w:sz w:val="21"/>
                <w:szCs w:val="21"/>
              </w:rPr>
              <w:t>15</w:t>
            </w:r>
          </w:p>
        </w:tc>
        <w:tc>
          <w:tcPr>
            <w:tcW w:w="651" w:type="pct"/>
          </w:tcPr>
          <w:p w14:paraId="1AD40931" w14:textId="77777777" w:rsidR="007D1E74" w:rsidRDefault="00A95641">
            <w:pPr>
              <w:pStyle w:val="TableParagraph"/>
              <w:spacing w:before="25"/>
              <w:ind w:right="110"/>
              <w:rPr>
                <w:sz w:val="21"/>
                <w:szCs w:val="21"/>
              </w:rPr>
            </w:pPr>
            <w:r>
              <w:rPr>
                <w:sz w:val="21"/>
                <w:szCs w:val="21"/>
              </w:rPr>
              <w:t>5</w:t>
            </w:r>
          </w:p>
        </w:tc>
      </w:tr>
      <w:tr w:rsidR="007D1E74" w14:paraId="715A671E" w14:textId="77777777">
        <w:trPr>
          <w:trHeight w:hRule="exact" w:val="336"/>
        </w:trPr>
        <w:tc>
          <w:tcPr>
            <w:tcW w:w="440" w:type="pct"/>
          </w:tcPr>
          <w:p w14:paraId="3EC81274" w14:textId="77777777" w:rsidR="007D1E74" w:rsidRDefault="00A95641">
            <w:pPr>
              <w:pStyle w:val="TableParagraph"/>
              <w:spacing w:before="25"/>
              <w:ind w:left="3"/>
              <w:rPr>
                <w:sz w:val="21"/>
                <w:szCs w:val="21"/>
              </w:rPr>
            </w:pPr>
            <w:r>
              <w:rPr>
                <w:sz w:val="21"/>
                <w:szCs w:val="21"/>
              </w:rPr>
              <w:t>5</w:t>
            </w:r>
          </w:p>
        </w:tc>
        <w:tc>
          <w:tcPr>
            <w:tcW w:w="824" w:type="pct"/>
          </w:tcPr>
          <w:p w14:paraId="1C78CD8D" w14:textId="77777777" w:rsidR="007D1E74" w:rsidRDefault="00A95641">
            <w:pPr>
              <w:pStyle w:val="TableParagraph"/>
              <w:spacing w:line="284" w:lineRule="exact"/>
              <w:ind w:left="103"/>
              <w:rPr>
                <w:rFonts w:ascii="宋体"/>
                <w:sz w:val="21"/>
                <w:szCs w:val="21"/>
              </w:rPr>
            </w:pPr>
            <w:r>
              <w:rPr>
                <w:rFonts w:ascii="宋体" w:hint="eastAsia"/>
                <w:sz w:val="21"/>
                <w:szCs w:val="21"/>
              </w:rPr>
              <w:t>楝</w:t>
            </w:r>
          </w:p>
        </w:tc>
        <w:tc>
          <w:tcPr>
            <w:tcW w:w="674" w:type="pct"/>
          </w:tcPr>
          <w:p w14:paraId="617252CB"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79DF14E7" w14:textId="77777777" w:rsidR="007D1E74" w:rsidRDefault="00A95641">
            <w:pPr>
              <w:pStyle w:val="TableParagraph"/>
              <w:spacing w:before="25"/>
              <w:rPr>
                <w:sz w:val="21"/>
                <w:szCs w:val="21"/>
              </w:rPr>
            </w:pPr>
            <w:r>
              <w:rPr>
                <w:sz w:val="21"/>
                <w:szCs w:val="21"/>
              </w:rPr>
              <w:t>1</w:t>
            </w:r>
          </w:p>
        </w:tc>
        <w:tc>
          <w:tcPr>
            <w:tcW w:w="673" w:type="pct"/>
          </w:tcPr>
          <w:p w14:paraId="7E31D5FA" w14:textId="77777777" w:rsidR="007D1E74" w:rsidRDefault="00A95641">
            <w:pPr>
              <w:pStyle w:val="TableParagraph"/>
              <w:spacing w:before="25"/>
              <w:ind w:left="101" w:right="100"/>
              <w:rPr>
                <w:sz w:val="21"/>
                <w:szCs w:val="21"/>
              </w:rPr>
            </w:pPr>
            <w:r>
              <w:rPr>
                <w:sz w:val="21"/>
                <w:szCs w:val="21"/>
              </w:rPr>
              <w:t>Sp</w:t>
            </w:r>
          </w:p>
        </w:tc>
        <w:tc>
          <w:tcPr>
            <w:tcW w:w="1063" w:type="pct"/>
          </w:tcPr>
          <w:p w14:paraId="58EAE5F5" w14:textId="77777777" w:rsidR="007D1E74" w:rsidRDefault="00A95641">
            <w:pPr>
              <w:pStyle w:val="TableParagraph"/>
              <w:spacing w:before="25"/>
              <w:rPr>
                <w:sz w:val="21"/>
                <w:szCs w:val="21"/>
              </w:rPr>
            </w:pPr>
            <w:r>
              <w:rPr>
                <w:sz w:val="21"/>
                <w:szCs w:val="21"/>
              </w:rPr>
              <w:t>7</w:t>
            </w:r>
          </w:p>
        </w:tc>
        <w:tc>
          <w:tcPr>
            <w:tcW w:w="651" w:type="pct"/>
          </w:tcPr>
          <w:p w14:paraId="4684D7DF" w14:textId="77777777" w:rsidR="007D1E74" w:rsidRDefault="00A95641">
            <w:pPr>
              <w:pStyle w:val="TableParagraph"/>
              <w:spacing w:before="25"/>
              <w:ind w:right="110"/>
              <w:rPr>
                <w:sz w:val="21"/>
                <w:szCs w:val="21"/>
              </w:rPr>
            </w:pPr>
            <w:r>
              <w:rPr>
                <w:sz w:val="21"/>
                <w:szCs w:val="21"/>
              </w:rPr>
              <w:t>3</w:t>
            </w:r>
          </w:p>
        </w:tc>
      </w:tr>
      <w:tr w:rsidR="007D1E74" w14:paraId="67D2CF11" w14:textId="77777777">
        <w:trPr>
          <w:trHeight w:hRule="exact" w:val="336"/>
        </w:trPr>
        <w:tc>
          <w:tcPr>
            <w:tcW w:w="440" w:type="pct"/>
          </w:tcPr>
          <w:p w14:paraId="3432D353" w14:textId="77777777" w:rsidR="007D1E74" w:rsidRDefault="00A95641">
            <w:pPr>
              <w:pStyle w:val="TableParagraph"/>
              <w:spacing w:before="25"/>
              <w:ind w:left="3"/>
              <w:rPr>
                <w:sz w:val="21"/>
                <w:szCs w:val="21"/>
              </w:rPr>
            </w:pPr>
            <w:r>
              <w:rPr>
                <w:sz w:val="21"/>
                <w:szCs w:val="21"/>
              </w:rPr>
              <w:t>6</w:t>
            </w:r>
          </w:p>
        </w:tc>
        <w:tc>
          <w:tcPr>
            <w:tcW w:w="824" w:type="pct"/>
          </w:tcPr>
          <w:p w14:paraId="1CE1E082" w14:textId="77777777" w:rsidR="007D1E74" w:rsidRDefault="00A95641">
            <w:pPr>
              <w:pStyle w:val="TableParagraph"/>
              <w:spacing w:line="284" w:lineRule="exact"/>
              <w:ind w:left="103"/>
              <w:rPr>
                <w:rFonts w:ascii="宋体"/>
                <w:sz w:val="21"/>
                <w:szCs w:val="21"/>
              </w:rPr>
            </w:pPr>
            <w:r>
              <w:rPr>
                <w:rFonts w:ascii="宋体" w:hint="eastAsia"/>
                <w:sz w:val="21"/>
                <w:szCs w:val="21"/>
              </w:rPr>
              <w:t>朴树</w:t>
            </w:r>
          </w:p>
        </w:tc>
        <w:tc>
          <w:tcPr>
            <w:tcW w:w="674" w:type="pct"/>
          </w:tcPr>
          <w:p w14:paraId="206EAE66"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51254A5B" w14:textId="77777777" w:rsidR="007D1E74" w:rsidRDefault="00A95641">
            <w:pPr>
              <w:pStyle w:val="TableParagraph"/>
              <w:spacing w:before="25"/>
              <w:rPr>
                <w:sz w:val="21"/>
                <w:szCs w:val="21"/>
              </w:rPr>
            </w:pPr>
            <w:r>
              <w:rPr>
                <w:sz w:val="21"/>
                <w:szCs w:val="21"/>
              </w:rPr>
              <w:t>1</w:t>
            </w:r>
          </w:p>
        </w:tc>
        <w:tc>
          <w:tcPr>
            <w:tcW w:w="673" w:type="pct"/>
          </w:tcPr>
          <w:p w14:paraId="1EA273F4" w14:textId="77777777" w:rsidR="007D1E74" w:rsidRDefault="00A95641">
            <w:pPr>
              <w:pStyle w:val="TableParagraph"/>
              <w:spacing w:before="25"/>
              <w:ind w:left="101" w:right="101"/>
              <w:rPr>
                <w:sz w:val="21"/>
                <w:szCs w:val="21"/>
              </w:rPr>
            </w:pPr>
            <w:r>
              <w:rPr>
                <w:sz w:val="21"/>
                <w:szCs w:val="21"/>
              </w:rPr>
              <w:t>Ol</w:t>
            </w:r>
          </w:p>
        </w:tc>
        <w:tc>
          <w:tcPr>
            <w:tcW w:w="1063" w:type="pct"/>
          </w:tcPr>
          <w:p w14:paraId="59472AE2" w14:textId="77777777" w:rsidR="007D1E74" w:rsidRDefault="00A95641">
            <w:pPr>
              <w:pStyle w:val="TableParagraph"/>
              <w:spacing w:before="25"/>
              <w:rPr>
                <w:sz w:val="21"/>
                <w:szCs w:val="21"/>
              </w:rPr>
            </w:pPr>
            <w:r>
              <w:rPr>
                <w:sz w:val="21"/>
                <w:szCs w:val="21"/>
              </w:rPr>
              <w:t>7</w:t>
            </w:r>
          </w:p>
        </w:tc>
        <w:tc>
          <w:tcPr>
            <w:tcW w:w="651" w:type="pct"/>
          </w:tcPr>
          <w:p w14:paraId="1A4518BD" w14:textId="77777777" w:rsidR="007D1E74" w:rsidRDefault="00A95641">
            <w:pPr>
              <w:pStyle w:val="TableParagraph"/>
              <w:spacing w:before="25"/>
              <w:ind w:right="110"/>
              <w:rPr>
                <w:sz w:val="21"/>
                <w:szCs w:val="21"/>
              </w:rPr>
            </w:pPr>
            <w:r>
              <w:rPr>
                <w:sz w:val="21"/>
                <w:szCs w:val="21"/>
              </w:rPr>
              <w:t>2</w:t>
            </w:r>
          </w:p>
        </w:tc>
      </w:tr>
      <w:tr w:rsidR="007D1E74" w14:paraId="632FBEBE" w14:textId="77777777">
        <w:trPr>
          <w:trHeight w:hRule="exact" w:val="336"/>
        </w:trPr>
        <w:tc>
          <w:tcPr>
            <w:tcW w:w="440" w:type="pct"/>
          </w:tcPr>
          <w:p w14:paraId="1D5EB929" w14:textId="77777777" w:rsidR="007D1E74" w:rsidRDefault="00A95641">
            <w:pPr>
              <w:pStyle w:val="TableParagraph"/>
              <w:spacing w:before="25"/>
              <w:ind w:left="3"/>
              <w:rPr>
                <w:sz w:val="21"/>
                <w:szCs w:val="21"/>
              </w:rPr>
            </w:pPr>
            <w:r>
              <w:rPr>
                <w:sz w:val="21"/>
                <w:szCs w:val="21"/>
              </w:rPr>
              <w:lastRenderedPageBreak/>
              <w:t>7</w:t>
            </w:r>
          </w:p>
        </w:tc>
        <w:tc>
          <w:tcPr>
            <w:tcW w:w="824" w:type="pct"/>
          </w:tcPr>
          <w:p w14:paraId="55F228A5" w14:textId="77777777" w:rsidR="007D1E74" w:rsidRDefault="00A95641">
            <w:pPr>
              <w:pStyle w:val="TableParagraph"/>
              <w:spacing w:line="284" w:lineRule="exact"/>
              <w:ind w:left="103"/>
              <w:rPr>
                <w:rFonts w:ascii="宋体"/>
                <w:sz w:val="21"/>
                <w:szCs w:val="21"/>
              </w:rPr>
            </w:pPr>
            <w:r>
              <w:rPr>
                <w:rFonts w:ascii="宋体" w:hint="eastAsia"/>
                <w:sz w:val="21"/>
                <w:szCs w:val="21"/>
              </w:rPr>
              <w:t>女贞</w:t>
            </w:r>
          </w:p>
        </w:tc>
        <w:tc>
          <w:tcPr>
            <w:tcW w:w="674" w:type="pct"/>
          </w:tcPr>
          <w:p w14:paraId="460E181C"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25BFBFAB" w14:textId="77777777" w:rsidR="007D1E74" w:rsidRDefault="00A95641">
            <w:pPr>
              <w:pStyle w:val="TableParagraph"/>
              <w:spacing w:before="25"/>
              <w:rPr>
                <w:sz w:val="21"/>
                <w:szCs w:val="21"/>
              </w:rPr>
            </w:pPr>
            <w:r>
              <w:rPr>
                <w:sz w:val="21"/>
                <w:szCs w:val="21"/>
              </w:rPr>
              <w:t>1</w:t>
            </w:r>
          </w:p>
        </w:tc>
        <w:tc>
          <w:tcPr>
            <w:tcW w:w="673" w:type="pct"/>
          </w:tcPr>
          <w:p w14:paraId="4828C043" w14:textId="77777777" w:rsidR="007D1E74" w:rsidRDefault="00A95641">
            <w:pPr>
              <w:pStyle w:val="TableParagraph"/>
              <w:spacing w:before="25"/>
              <w:ind w:left="101" w:right="101"/>
              <w:rPr>
                <w:sz w:val="21"/>
                <w:szCs w:val="21"/>
              </w:rPr>
            </w:pPr>
            <w:r>
              <w:rPr>
                <w:sz w:val="21"/>
                <w:szCs w:val="21"/>
              </w:rPr>
              <w:t>Ol</w:t>
            </w:r>
          </w:p>
        </w:tc>
        <w:tc>
          <w:tcPr>
            <w:tcW w:w="1063" w:type="pct"/>
          </w:tcPr>
          <w:p w14:paraId="5E64AC92" w14:textId="77777777" w:rsidR="007D1E74" w:rsidRDefault="00A95641">
            <w:pPr>
              <w:pStyle w:val="TableParagraph"/>
              <w:spacing w:before="25"/>
              <w:rPr>
                <w:sz w:val="21"/>
                <w:szCs w:val="21"/>
              </w:rPr>
            </w:pPr>
            <w:r>
              <w:rPr>
                <w:sz w:val="21"/>
                <w:szCs w:val="21"/>
              </w:rPr>
              <w:t>5</w:t>
            </w:r>
          </w:p>
        </w:tc>
        <w:tc>
          <w:tcPr>
            <w:tcW w:w="651" w:type="pct"/>
          </w:tcPr>
          <w:p w14:paraId="573D3BE6" w14:textId="77777777" w:rsidR="007D1E74" w:rsidRDefault="00A95641">
            <w:pPr>
              <w:pStyle w:val="TableParagraph"/>
              <w:spacing w:before="25"/>
              <w:ind w:right="110"/>
              <w:rPr>
                <w:sz w:val="21"/>
                <w:szCs w:val="21"/>
              </w:rPr>
            </w:pPr>
            <w:r>
              <w:rPr>
                <w:sz w:val="21"/>
                <w:szCs w:val="21"/>
              </w:rPr>
              <w:t>1</w:t>
            </w:r>
          </w:p>
        </w:tc>
      </w:tr>
      <w:tr w:rsidR="007D1E74" w14:paraId="0256B468" w14:textId="77777777">
        <w:trPr>
          <w:trHeight w:hRule="exact" w:val="336"/>
        </w:trPr>
        <w:tc>
          <w:tcPr>
            <w:tcW w:w="440" w:type="pct"/>
          </w:tcPr>
          <w:p w14:paraId="39B57736" w14:textId="77777777" w:rsidR="007D1E74" w:rsidRDefault="00A95641">
            <w:pPr>
              <w:pStyle w:val="TableParagraph"/>
              <w:spacing w:before="25"/>
              <w:ind w:left="3"/>
              <w:rPr>
                <w:sz w:val="21"/>
                <w:szCs w:val="21"/>
              </w:rPr>
            </w:pPr>
            <w:r>
              <w:rPr>
                <w:sz w:val="21"/>
                <w:szCs w:val="21"/>
              </w:rPr>
              <w:t>8</w:t>
            </w:r>
          </w:p>
        </w:tc>
        <w:tc>
          <w:tcPr>
            <w:tcW w:w="824" w:type="pct"/>
          </w:tcPr>
          <w:p w14:paraId="01AB1396" w14:textId="77777777" w:rsidR="007D1E74" w:rsidRDefault="00A95641">
            <w:pPr>
              <w:pStyle w:val="TableParagraph"/>
              <w:spacing w:line="284" w:lineRule="exact"/>
              <w:ind w:left="103"/>
              <w:rPr>
                <w:rFonts w:ascii="宋体"/>
                <w:sz w:val="21"/>
                <w:szCs w:val="21"/>
              </w:rPr>
            </w:pPr>
            <w:r>
              <w:rPr>
                <w:rFonts w:ascii="宋体" w:hint="eastAsia"/>
                <w:sz w:val="21"/>
                <w:szCs w:val="21"/>
              </w:rPr>
              <w:t>乌泡子</w:t>
            </w:r>
          </w:p>
        </w:tc>
        <w:tc>
          <w:tcPr>
            <w:tcW w:w="674" w:type="pct"/>
          </w:tcPr>
          <w:p w14:paraId="1B1B011D"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76068209" w14:textId="77777777" w:rsidR="007D1E74" w:rsidRDefault="00A95641">
            <w:pPr>
              <w:pStyle w:val="TableParagraph"/>
              <w:spacing w:before="25"/>
              <w:rPr>
                <w:sz w:val="21"/>
                <w:szCs w:val="21"/>
              </w:rPr>
            </w:pPr>
            <w:r>
              <w:rPr>
                <w:sz w:val="21"/>
                <w:szCs w:val="21"/>
              </w:rPr>
              <w:t>2</w:t>
            </w:r>
          </w:p>
        </w:tc>
        <w:tc>
          <w:tcPr>
            <w:tcW w:w="673" w:type="pct"/>
          </w:tcPr>
          <w:p w14:paraId="72B79591" w14:textId="77777777" w:rsidR="007D1E74" w:rsidRDefault="00A95641">
            <w:pPr>
              <w:pStyle w:val="TableParagraph"/>
              <w:spacing w:before="22"/>
              <w:ind w:left="101" w:right="101"/>
              <w:rPr>
                <w:sz w:val="21"/>
                <w:szCs w:val="21"/>
              </w:rPr>
            </w:pPr>
            <w:r>
              <w:rPr>
                <w:position w:val="2"/>
                <w:sz w:val="21"/>
                <w:szCs w:val="21"/>
              </w:rPr>
              <w:t>Cop</w:t>
            </w:r>
            <w:r>
              <w:rPr>
                <w:sz w:val="21"/>
                <w:szCs w:val="21"/>
              </w:rPr>
              <w:t>1</w:t>
            </w:r>
          </w:p>
        </w:tc>
        <w:tc>
          <w:tcPr>
            <w:tcW w:w="1063" w:type="pct"/>
          </w:tcPr>
          <w:p w14:paraId="07F1D716" w14:textId="77777777" w:rsidR="007D1E74" w:rsidRDefault="00A95641">
            <w:pPr>
              <w:pStyle w:val="TableParagraph"/>
              <w:spacing w:before="25"/>
              <w:ind w:left="242" w:right="242"/>
              <w:rPr>
                <w:sz w:val="21"/>
                <w:szCs w:val="21"/>
              </w:rPr>
            </w:pPr>
            <w:r>
              <w:rPr>
                <w:sz w:val="21"/>
                <w:szCs w:val="21"/>
              </w:rPr>
              <w:t>1.5</w:t>
            </w:r>
          </w:p>
        </w:tc>
        <w:tc>
          <w:tcPr>
            <w:tcW w:w="651" w:type="pct"/>
          </w:tcPr>
          <w:p w14:paraId="63D520C3" w14:textId="77777777" w:rsidR="007D1E74" w:rsidRDefault="00A95641">
            <w:pPr>
              <w:pStyle w:val="TableParagraph"/>
              <w:spacing w:before="25"/>
              <w:ind w:left="114" w:right="224"/>
              <w:rPr>
                <w:sz w:val="21"/>
                <w:szCs w:val="21"/>
              </w:rPr>
            </w:pPr>
            <w:r>
              <w:rPr>
                <w:sz w:val="21"/>
                <w:szCs w:val="21"/>
              </w:rPr>
              <w:t>20</w:t>
            </w:r>
          </w:p>
        </w:tc>
      </w:tr>
      <w:tr w:rsidR="007D1E74" w14:paraId="40CCD57B" w14:textId="77777777">
        <w:trPr>
          <w:trHeight w:hRule="exact" w:val="336"/>
        </w:trPr>
        <w:tc>
          <w:tcPr>
            <w:tcW w:w="440" w:type="pct"/>
          </w:tcPr>
          <w:p w14:paraId="5353ABE8" w14:textId="77777777" w:rsidR="007D1E74" w:rsidRDefault="00A95641">
            <w:pPr>
              <w:pStyle w:val="TableParagraph"/>
              <w:spacing w:before="25"/>
              <w:ind w:left="3"/>
              <w:rPr>
                <w:sz w:val="21"/>
                <w:szCs w:val="21"/>
              </w:rPr>
            </w:pPr>
            <w:r>
              <w:rPr>
                <w:sz w:val="21"/>
                <w:szCs w:val="21"/>
              </w:rPr>
              <w:t>9</w:t>
            </w:r>
          </w:p>
        </w:tc>
        <w:tc>
          <w:tcPr>
            <w:tcW w:w="824" w:type="pct"/>
          </w:tcPr>
          <w:p w14:paraId="4BF6D0FA" w14:textId="77777777" w:rsidR="007D1E74" w:rsidRDefault="00A95641">
            <w:pPr>
              <w:pStyle w:val="TableParagraph"/>
              <w:spacing w:line="284" w:lineRule="exact"/>
              <w:ind w:left="103"/>
              <w:rPr>
                <w:rFonts w:ascii="宋体"/>
                <w:sz w:val="21"/>
                <w:szCs w:val="21"/>
              </w:rPr>
            </w:pPr>
            <w:r>
              <w:rPr>
                <w:rFonts w:ascii="宋体" w:hint="eastAsia"/>
                <w:sz w:val="21"/>
                <w:szCs w:val="21"/>
              </w:rPr>
              <w:t>火棘</w:t>
            </w:r>
          </w:p>
        </w:tc>
        <w:tc>
          <w:tcPr>
            <w:tcW w:w="674" w:type="pct"/>
          </w:tcPr>
          <w:p w14:paraId="56BBF4AA"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03A6028A" w14:textId="77777777" w:rsidR="007D1E74" w:rsidRDefault="00A95641">
            <w:pPr>
              <w:pStyle w:val="TableParagraph"/>
              <w:spacing w:before="25"/>
              <w:rPr>
                <w:sz w:val="21"/>
                <w:szCs w:val="21"/>
              </w:rPr>
            </w:pPr>
            <w:r>
              <w:rPr>
                <w:sz w:val="21"/>
                <w:szCs w:val="21"/>
              </w:rPr>
              <w:t>6</w:t>
            </w:r>
          </w:p>
        </w:tc>
        <w:tc>
          <w:tcPr>
            <w:tcW w:w="673" w:type="pct"/>
          </w:tcPr>
          <w:p w14:paraId="12BC2760" w14:textId="77777777" w:rsidR="007D1E74" w:rsidRDefault="00A95641">
            <w:pPr>
              <w:pStyle w:val="TableParagraph"/>
              <w:spacing w:before="22"/>
              <w:ind w:left="101" w:right="101"/>
              <w:rPr>
                <w:sz w:val="21"/>
                <w:szCs w:val="21"/>
              </w:rPr>
            </w:pPr>
            <w:r>
              <w:rPr>
                <w:position w:val="2"/>
                <w:sz w:val="21"/>
                <w:szCs w:val="21"/>
              </w:rPr>
              <w:t>Cop</w:t>
            </w:r>
            <w:r>
              <w:rPr>
                <w:sz w:val="21"/>
                <w:szCs w:val="21"/>
              </w:rPr>
              <w:t>1</w:t>
            </w:r>
          </w:p>
        </w:tc>
        <w:tc>
          <w:tcPr>
            <w:tcW w:w="1063" w:type="pct"/>
          </w:tcPr>
          <w:p w14:paraId="573F4D0A" w14:textId="77777777" w:rsidR="007D1E74" w:rsidRDefault="00A95641">
            <w:pPr>
              <w:pStyle w:val="TableParagraph"/>
              <w:spacing w:before="25"/>
              <w:ind w:left="242" w:right="242"/>
              <w:rPr>
                <w:sz w:val="21"/>
                <w:szCs w:val="21"/>
              </w:rPr>
            </w:pPr>
            <w:r>
              <w:rPr>
                <w:sz w:val="21"/>
                <w:szCs w:val="21"/>
              </w:rPr>
              <w:t>1.8</w:t>
            </w:r>
          </w:p>
        </w:tc>
        <w:tc>
          <w:tcPr>
            <w:tcW w:w="651" w:type="pct"/>
          </w:tcPr>
          <w:p w14:paraId="327B5732" w14:textId="77777777" w:rsidR="007D1E74" w:rsidRDefault="00A95641">
            <w:pPr>
              <w:pStyle w:val="TableParagraph"/>
              <w:spacing w:before="25"/>
              <w:ind w:left="114" w:right="224"/>
              <w:rPr>
                <w:sz w:val="21"/>
                <w:szCs w:val="21"/>
              </w:rPr>
            </w:pPr>
            <w:r>
              <w:rPr>
                <w:sz w:val="21"/>
                <w:szCs w:val="21"/>
              </w:rPr>
              <w:t>10</w:t>
            </w:r>
          </w:p>
        </w:tc>
      </w:tr>
      <w:tr w:rsidR="007D1E74" w14:paraId="3AA413EA" w14:textId="77777777">
        <w:trPr>
          <w:trHeight w:hRule="exact" w:val="336"/>
        </w:trPr>
        <w:tc>
          <w:tcPr>
            <w:tcW w:w="440" w:type="pct"/>
          </w:tcPr>
          <w:p w14:paraId="0D26B1FE" w14:textId="77777777" w:rsidR="007D1E74" w:rsidRDefault="00A95641">
            <w:pPr>
              <w:pStyle w:val="TableParagraph"/>
              <w:spacing w:before="25"/>
              <w:ind w:left="109" w:right="106"/>
              <w:rPr>
                <w:sz w:val="21"/>
                <w:szCs w:val="21"/>
              </w:rPr>
            </w:pPr>
            <w:r>
              <w:rPr>
                <w:sz w:val="21"/>
                <w:szCs w:val="21"/>
              </w:rPr>
              <w:t>10</w:t>
            </w:r>
          </w:p>
        </w:tc>
        <w:tc>
          <w:tcPr>
            <w:tcW w:w="824" w:type="pct"/>
          </w:tcPr>
          <w:p w14:paraId="20871CBD" w14:textId="77777777" w:rsidR="007D1E74" w:rsidRDefault="00A95641">
            <w:pPr>
              <w:pStyle w:val="TableParagraph"/>
              <w:spacing w:line="284" w:lineRule="exact"/>
              <w:ind w:left="103"/>
              <w:rPr>
                <w:rFonts w:ascii="宋体"/>
                <w:sz w:val="21"/>
                <w:szCs w:val="21"/>
              </w:rPr>
            </w:pPr>
            <w:r>
              <w:rPr>
                <w:rFonts w:ascii="宋体" w:hint="eastAsia"/>
                <w:sz w:val="21"/>
                <w:szCs w:val="21"/>
              </w:rPr>
              <w:t>铁仔</w:t>
            </w:r>
          </w:p>
        </w:tc>
        <w:tc>
          <w:tcPr>
            <w:tcW w:w="674" w:type="pct"/>
          </w:tcPr>
          <w:p w14:paraId="7A6652BA"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4280A221" w14:textId="77777777" w:rsidR="007D1E74" w:rsidRDefault="00A95641">
            <w:pPr>
              <w:pStyle w:val="TableParagraph"/>
              <w:spacing w:before="25"/>
              <w:rPr>
                <w:sz w:val="21"/>
                <w:szCs w:val="21"/>
              </w:rPr>
            </w:pPr>
            <w:r>
              <w:rPr>
                <w:sz w:val="21"/>
                <w:szCs w:val="21"/>
              </w:rPr>
              <w:t>3</w:t>
            </w:r>
          </w:p>
        </w:tc>
        <w:tc>
          <w:tcPr>
            <w:tcW w:w="673" w:type="pct"/>
          </w:tcPr>
          <w:p w14:paraId="5BD8AFDE" w14:textId="77777777" w:rsidR="007D1E74" w:rsidRDefault="00A95641">
            <w:pPr>
              <w:pStyle w:val="TableParagraph"/>
              <w:spacing w:before="25"/>
              <w:ind w:left="101" w:right="100"/>
              <w:rPr>
                <w:sz w:val="21"/>
                <w:szCs w:val="21"/>
              </w:rPr>
            </w:pPr>
            <w:r>
              <w:rPr>
                <w:sz w:val="21"/>
                <w:szCs w:val="21"/>
              </w:rPr>
              <w:t>Sp</w:t>
            </w:r>
          </w:p>
        </w:tc>
        <w:tc>
          <w:tcPr>
            <w:tcW w:w="1063" w:type="pct"/>
          </w:tcPr>
          <w:p w14:paraId="22DFB65C" w14:textId="77777777" w:rsidR="007D1E74" w:rsidRDefault="00A95641">
            <w:pPr>
              <w:pStyle w:val="TableParagraph"/>
              <w:spacing w:before="25"/>
              <w:ind w:left="242" w:right="242"/>
              <w:rPr>
                <w:sz w:val="21"/>
                <w:szCs w:val="21"/>
              </w:rPr>
            </w:pPr>
            <w:r>
              <w:rPr>
                <w:sz w:val="21"/>
                <w:szCs w:val="21"/>
              </w:rPr>
              <w:t>1.3</w:t>
            </w:r>
          </w:p>
        </w:tc>
        <w:tc>
          <w:tcPr>
            <w:tcW w:w="651" w:type="pct"/>
          </w:tcPr>
          <w:p w14:paraId="7B63B1AC" w14:textId="77777777" w:rsidR="007D1E74" w:rsidRDefault="00A95641">
            <w:pPr>
              <w:pStyle w:val="TableParagraph"/>
              <w:spacing w:before="25"/>
              <w:ind w:right="110"/>
              <w:rPr>
                <w:sz w:val="21"/>
                <w:szCs w:val="21"/>
              </w:rPr>
            </w:pPr>
            <w:r>
              <w:rPr>
                <w:sz w:val="21"/>
                <w:szCs w:val="21"/>
              </w:rPr>
              <w:t>5</w:t>
            </w:r>
          </w:p>
        </w:tc>
      </w:tr>
      <w:tr w:rsidR="007D1E74" w14:paraId="4DDE88B8" w14:textId="77777777">
        <w:trPr>
          <w:trHeight w:hRule="exact" w:val="336"/>
        </w:trPr>
        <w:tc>
          <w:tcPr>
            <w:tcW w:w="440" w:type="pct"/>
          </w:tcPr>
          <w:p w14:paraId="439CB85F" w14:textId="77777777" w:rsidR="007D1E74" w:rsidRDefault="00A95641">
            <w:pPr>
              <w:pStyle w:val="TableParagraph"/>
              <w:spacing w:before="25"/>
              <w:ind w:left="109" w:right="106"/>
              <w:rPr>
                <w:sz w:val="21"/>
                <w:szCs w:val="21"/>
              </w:rPr>
            </w:pPr>
            <w:r>
              <w:rPr>
                <w:sz w:val="21"/>
                <w:szCs w:val="21"/>
              </w:rPr>
              <w:t>11</w:t>
            </w:r>
          </w:p>
        </w:tc>
        <w:tc>
          <w:tcPr>
            <w:tcW w:w="824" w:type="pct"/>
          </w:tcPr>
          <w:p w14:paraId="6E59EF79" w14:textId="77777777" w:rsidR="007D1E74" w:rsidRDefault="00A95641">
            <w:pPr>
              <w:pStyle w:val="TableParagraph"/>
              <w:spacing w:line="284" w:lineRule="exact"/>
              <w:ind w:left="103"/>
              <w:rPr>
                <w:rFonts w:ascii="宋体"/>
                <w:sz w:val="21"/>
                <w:szCs w:val="21"/>
              </w:rPr>
            </w:pPr>
            <w:r>
              <w:rPr>
                <w:rFonts w:ascii="宋体" w:hint="eastAsia"/>
                <w:sz w:val="21"/>
                <w:szCs w:val="21"/>
              </w:rPr>
              <w:t>矛叶荩草</w:t>
            </w:r>
          </w:p>
        </w:tc>
        <w:tc>
          <w:tcPr>
            <w:tcW w:w="674" w:type="pct"/>
          </w:tcPr>
          <w:p w14:paraId="0B44E26E"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6CAF57F8" w14:textId="77777777" w:rsidR="007D1E74" w:rsidRDefault="00A95641">
            <w:pPr>
              <w:pStyle w:val="TableParagraph"/>
              <w:spacing w:before="25"/>
              <w:rPr>
                <w:sz w:val="21"/>
                <w:szCs w:val="21"/>
              </w:rPr>
            </w:pPr>
            <w:r>
              <w:rPr>
                <w:sz w:val="21"/>
                <w:szCs w:val="21"/>
              </w:rPr>
              <w:t>3</w:t>
            </w:r>
          </w:p>
        </w:tc>
        <w:tc>
          <w:tcPr>
            <w:tcW w:w="673" w:type="pct"/>
          </w:tcPr>
          <w:p w14:paraId="1DCEC646" w14:textId="77777777" w:rsidR="007D1E74" w:rsidRDefault="00A95641">
            <w:pPr>
              <w:pStyle w:val="TableParagraph"/>
              <w:spacing w:before="22"/>
              <w:ind w:left="101" w:right="101"/>
              <w:rPr>
                <w:sz w:val="21"/>
                <w:szCs w:val="21"/>
              </w:rPr>
            </w:pPr>
            <w:r>
              <w:rPr>
                <w:position w:val="2"/>
                <w:sz w:val="21"/>
                <w:szCs w:val="21"/>
              </w:rPr>
              <w:t>Cop</w:t>
            </w:r>
            <w:r>
              <w:rPr>
                <w:sz w:val="21"/>
                <w:szCs w:val="21"/>
              </w:rPr>
              <w:t>1</w:t>
            </w:r>
          </w:p>
        </w:tc>
        <w:tc>
          <w:tcPr>
            <w:tcW w:w="1063" w:type="pct"/>
          </w:tcPr>
          <w:p w14:paraId="2099249A" w14:textId="77777777" w:rsidR="007D1E74" w:rsidRDefault="00A95641">
            <w:pPr>
              <w:pStyle w:val="TableParagraph"/>
              <w:spacing w:before="25"/>
              <w:ind w:left="242" w:right="242"/>
              <w:rPr>
                <w:sz w:val="21"/>
                <w:szCs w:val="21"/>
              </w:rPr>
            </w:pPr>
            <w:r>
              <w:rPr>
                <w:sz w:val="21"/>
                <w:szCs w:val="21"/>
              </w:rPr>
              <w:t>0.3</w:t>
            </w:r>
          </w:p>
        </w:tc>
        <w:tc>
          <w:tcPr>
            <w:tcW w:w="651" w:type="pct"/>
          </w:tcPr>
          <w:p w14:paraId="2E1DF220" w14:textId="77777777" w:rsidR="007D1E74" w:rsidRDefault="00A95641">
            <w:pPr>
              <w:pStyle w:val="TableParagraph"/>
              <w:spacing w:before="25"/>
              <w:ind w:left="114" w:right="224"/>
              <w:rPr>
                <w:sz w:val="21"/>
                <w:szCs w:val="21"/>
              </w:rPr>
            </w:pPr>
            <w:r>
              <w:rPr>
                <w:sz w:val="21"/>
                <w:szCs w:val="21"/>
              </w:rPr>
              <w:t>15</w:t>
            </w:r>
          </w:p>
        </w:tc>
      </w:tr>
      <w:tr w:rsidR="007D1E74" w14:paraId="312BDF5E" w14:textId="77777777">
        <w:trPr>
          <w:trHeight w:hRule="exact" w:val="336"/>
        </w:trPr>
        <w:tc>
          <w:tcPr>
            <w:tcW w:w="440" w:type="pct"/>
          </w:tcPr>
          <w:p w14:paraId="6D2FE58A" w14:textId="77777777" w:rsidR="007D1E74" w:rsidRDefault="00A95641">
            <w:pPr>
              <w:pStyle w:val="TableParagraph"/>
              <w:spacing w:before="25"/>
              <w:ind w:left="109" w:right="106"/>
              <w:rPr>
                <w:sz w:val="21"/>
                <w:szCs w:val="21"/>
              </w:rPr>
            </w:pPr>
            <w:r>
              <w:rPr>
                <w:sz w:val="21"/>
                <w:szCs w:val="21"/>
              </w:rPr>
              <w:t>12</w:t>
            </w:r>
          </w:p>
        </w:tc>
        <w:tc>
          <w:tcPr>
            <w:tcW w:w="824" w:type="pct"/>
          </w:tcPr>
          <w:p w14:paraId="6185D225" w14:textId="77777777" w:rsidR="007D1E74" w:rsidRDefault="00A95641">
            <w:pPr>
              <w:pStyle w:val="TableParagraph"/>
              <w:spacing w:line="284" w:lineRule="exact"/>
              <w:ind w:left="103"/>
              <w:rPr>
                <w:rFonts w:ascii="宋体"/>
                <w:sz w:val="21"/>
                <w:szCs w:val="21"/>
              </w:rPr>
            </w:pPr>
            <w:r>
              <w:rPr>
                <w:rFonts w:ascii="宋体" w:hint="eastAsia"/>
                <w:sz w:val="21"/>
                <w:szCs w:val="21"/>
              </w:rPr>
              <w:t>白茅</w:t>
            </w:r>
          </w:p>
        </w:tc>
        <w:tc>
          <w:tcPr>
            <w:tcW w:w="674" w:type="pct"/>
          </w:tcPr>
          <w:p w14:paraId="65DBCEC0"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3C977883" w14:textId="77777777" w:rsidR="007D1E74" w:rsidRDefault="00A95641">
            <w:pPr>
              <w:pStyle w:val="TableParagraph"/>
              <w:spacing w:before="25"/>
              <w:rPr>
                <w:sz w:val="21"/>
                <w:szCs w:val="21"/>
              </w:rPr>
            </w:pPr>
            <w:r>
              <w:rPr>
                <w:sz w:val="21"/>
                <w:szCs w:val="21"/>
              </w:rPr>
              <w:t>2</w:t>
            </w:r>
          </w:p>
        </w:tc>
        <w:tc>
          <w:tcPr>
            <w:tcW w:w="673" w:type="pct"/>
          </w:tcPr>
          <w:p w14:paraId="19F70E7C" w14:textId="77777777" w:rsidR="007D1E74" w:rsidRDefault="00A95641">
            <w:pPr>
              <w:pStyle w:val="TableParagraph"/>
              <w:spacing w:before="22"/>
              <w:ind w:left="101" w:right="101"/>
              <w:rPr>
                <w:sz w:val="21"/>
                <w:szCs w:val="21"/>
              </w:rPr>
            </w:pPr>
            <w:r>
              <w:rPr>
                <w:position w:val="2"/>
                <w:sz w:val="21"/>
                <w:szCs w:val="21"/>
              </w:rPr>
              <w:t>Cop</w:t>
            </w:r>
            <w:r>
              <w:rPr>
                <w:sz w:val="21"/>
                <w:szCs w:val="21"/>
              </w:rPr>
              <w:t>1</w:t>
            </w:r>
          </w:p>
        </w:tc>
        <w:tc>
          <w:tcPr>
            <w:tcW w:w="1063" w:type="pct"/>
          </w:tcPr>
          <w:p w14:paraId="35F37D2B" w14:textId="77777777" w:rsidR="007D1E74" w:rsidRDefault="00A95641">
            <w:pPr>
              <w:pStyle w:val="TableParagraph"/>
              <w:spacing w:before="25"/>
              <w:ind w:left="242" w:right="242"/>
              <w:rPr>
                <w:sz w:val="21"/>
                <w:szCs w:val="21"/>
              </w:rPr>
            </w:pPr>
            <w:r>
              <w:rPr>
                <w:sz w:val="21"/>
                <w:szCs w:val="21"/>
              </w:rPr>
              <w:t>0.9</w:t>
            </w:r>
          </w:p>
        </w:tc>
        <w:tc>
          <w:tcPr>
            <w:tcW w:w="651" w:type="pct"/>
          </w:tcPr>
          <w:p w14:paraId="5915B775" w14:textId="77777777" w:rsidR="007D1E74" w:rsidRDefault="00A95641">
            <w:pPr>
              <w:pStyle w:val="TableParagraph"/>
              <w:spacing w:before="25"/>
              <w:ind w:left="114" w:right="224"/>
              <w:rPr>
                <w:sz w:val="21"/>
                <w:szCs w:val="21"/>
              </w:rPr>
            </w:pPr>
            <w:r>
              <w:rPr>
                <w:sz w:val="21"/>
                <w:szCs w:val="21"/>
              </w:rPr>
              <w:t>15</w:t>
            </w:r>
          </w:p>
        </w:tc>
      </w:tr>
      <w:tr w:rsidR="007D1E74" w14:paraId="116015B8" w14:textId="77777777">
        <w:trPr>
          <w:trHeight w:hRule="exact" w:val="336"/>
        </w:trPr>
        <w:tc>
          <w:tcPr>
            <w:tcW w:w="440" w:type="pct"/>
          </w:tcPr>
          <w:p w14:paraId="7B24E725" w14:textId="77777777" w:rsidR="007D1E74" w:rsidRDefault="00A95641">
            <w:pPr>
              <w:pStyle w:val="TableParagraph"/>
              <w:spacing w:before="25"/>
              <w:ind w:left="109" w:right="106"/>
              <w:rPr>
                <w:sz w:val="21"/>
                <w:szCs w:val="21"/>
              </w:rPr>
            </w:pPr>
            <w:r>
              <w:rPr>
                <w:sz w:val="21"/>
                <w:szCs w:val="21"/>
              </w:rPr>
              <w:t>13</w:t>
            </w:r>
          </w:p>
        </w:tc>
        <w:tc>
          <w:tcPr>
            <w:tcW w:w="824" w:type="pct"/>
          </w:tcPr>
          <w:p w14:paraId="51C47A04" w14:textId="77777777" w:rsidR="007D1E74" w:rsidRDefault="00A95641">
            <w:pPr>
              <w:pStyle w:val="TableParagraph"/>
              <w:spacing w:line="284" w:lineRule="exact"/>
              <w:ind w:left="103"/>
              <w:rPr>
                <w:rFonts w:ascii="宋体"/>
                <w:sz w:val="21"/>
                <w:szCs w:val="21"/>
              </w:rPr>
            </w:pPr>
            <w:r>
              <w:rPr>
                <w:rFonts w:ascii="宋体" w:hint="eastAsia"/>
                <w:sz w:val="21"/>
                <w:szCs w:val="21"/>
              </w:rPr>
              <w:t>苔草</w:t>
            </w:r>
          </w:p>
        </w:tc>
        <w:tc>
          <w:tcPr>
            <w:tcW w:w="674" w:type="pct"/>
          </w:tcPr>
          <w:p w14:paraId="7989C3CA"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35292281" w14:textId="77777777" w:rsidR="007D1E74" w:rsidRDefault="00A95641">
            <w:pPr>
              <w:pStyle w:val="TableParagraph"/>
              <w:spacing w:before="25"/>
              <w:ind w:left="102" w:right="102"/>
              <w:rPr>
                <w:sz w:val="21"/>
                <w:szCs w:val="21"/>
              </w:rPr>
            </w:pPr>
            <w:r>
              <w:rPr>
                <w:sz w:val="21"/>
                <w:szCs w:val="21"/>
              </w:rPr>
              <w:t>45</w:t>
            </w:r>
          </w:p>
        </w:tc>
        <w:tc>
          <w:tcPr>
            <w:tcW w:w="673" w:type="pct"/>
          </w:tcPr>
          <w:p w14:paraId="061D8E1A" w14:textId="77777777" w:rsidR="007D1E74" w:rsidRDefault="00A95641">
            <w:pPr>
              <w:pStyle w:val="TableParagraph"/>
              <w:spacing w:before="25"/>
              <w:ind w:left="101" w:right="100"/>
              <w:rPr>
                <w:sz w:val="21"/>
                <w:szCs w:val="21"/>
              </w:rPr>
            </w:pPr>
            <w:r>
              <w:rPr>
                <w:sz w:val="21"/>
                <w:szCs w:val="21"/>
              </w:rPr>
              <w:t>Sp</w:t>
            </w:r>
          </w:p>
        </w:tc>
        <w:tc>
          <w:tcPr>
            <w:tcW w:w="1063" w:type="pct"/>
          </w:tcPr>
          <w:p w14:paraId="36E129C0" w14:textId="77777777" w:rsidR="007D1E74" w:rsidRDefault="00A95641">
            <w:pPr>
              <w:pStyle w:val="TableParagraph"/>
              <w:spacing w:before="25"/>
              <w:ind w:left="242" w:right="242"/>
              <w:rPr>
                <w:sz w:val="21"/>
                <w:szCs w:val="21"/>
              </w:rPr>
            </w:pPr>
            <w:r>
              <w:rPr>
                <w:sz w:val="21"/>
                <w:szCs w:val="21"/>
              </w:rPr>
              <w:t>0.4</w:t>
            </w:r>
          </w:p>
        </w:tc>
        <w:tc>
          <w:tcPr>
            <w:tcW w:w="651" w:type="pct"/>
          </w:tcPr>
          <w:p w14:paraId="770B8E54" w14:textId="77777777" w:rsidR="007D1E74" w:rsidRDefault="00A95641">
            <w:pPr>
              <w:pStyle w:val="TableParagraph"/>
              <w:spacing w:before="25"/>
              <w:ind w:right="110"/>
              <w:rPr>
                <w:sz w:val="21"/>
                <w:szCs w:val="21"/>
              </w:rPr>
            </w:pPr>
            <w:r>
              <w:rPr>
                <w:sz w:val="21"/>
                <w:szCs w:val="21"/>
              </w:rPr>
              <w:t>6</w:t>
            </w:r>
          </w:p>
        </w:tc>
      </w:tr>
      <w:tr w:rsidR="007D1E74" w14:paraId="1DD29036" w14:textId="77777777">
        <w:trPr>
          <w:trHeight w:hRule="exact" w:val="344"/>
        </w:trPr>
        <w:tc>
          <w:tcPr>
            <w:tcW w:w="440" w:type="pct"/>
          </w:tcPr>
          <w:p w14:paraId="2E2DE838" w14:textId="77777777" w:rsidR="007D1E74" w:rsidRDefault="00A95641">
            <w:pPr>
              <w:pStyle w:val="TableParagraph"/>
              <w:spacing w:before="25"/>
              <w:ind w:left="109" w:right="106"/>
              <w:rPr>
                <w:sz w:val="21"/>
                <w:szCs w:val="21"/>
              </w:rPr>
            </w:pPr>
            <w:r>
              <w:rPr>
                <w:sz w:val="21"/>
                <w:szCs w:val="21"/>
              </w:rPr>
              <w:t>14</w:t>
            </w:r>
          </w:p>
        </w:tc>
        <w:tc>
          <w:tcPr>
            <w:tcW w:w="824" w:type="pct"/>
          </w:tcPr>
          <w:p w14:paraId="323284E9" w14:textId="77777777" w:rsidR="007D1E74" w:rsidRDefault="00A95641">
            <w:pPr>
              <w:pStyle w:val="TableParagraph"/>
              <w:spacing w:line="284" w:lineRule="exact"/>
              <w:ind w:left="103"/>
              <w:rPr>
                <w:rFonts w:ascii="宋体"/>
                <w:sz w:val="21"/>
                <w:szCs w:val="21"/>
              </w:rPr>
            </w:pPr>
            <w:r>
              <w:rPr>
                <w:rFonts w:ascii="宋体" w:hint="eastAsia"/>
                <w:sz w:val="21"/>
                <w:szCs w:val="21"/>
              </w:rPr>
              <w:t>蒿</w:t>
            </w:r>
          </w:p>
        </w:tc>
        <w:tc>
          <w:tcPr>
            <w:tcW w:w="674" w:type="pct"/>
          </w:tcPr>
          <w:p w14:paraId="5721ACF2"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41F492A3" w14:textId="77777777" w:rsidR="007D1E74" w:rsidRDefault="00A95641">
            <w:pPr>
              <w:pStyle w:val="TableParagraph"/>
              <w:spacing w:before="25"/>
              <w:ind w:left="102" w:right="102"/>
              <w:rPr>
                <w:sz w:val="21"/>
                <w:szCs w:val="21"/>
              </w:rPr>
            </w:pPr>
            <w:r>
              <w:rPr>
                <w:sz w:val="21"/>
                <w:szCs w:val="21"/>
              </w:rPr>
              <w:t>40</w:t>
            </w:r>
          </w:p>
        </w:tc>
        <w:tc>
          <w:tcPr>
            <w:tcW w:w="673" w:type="pct"/>
          </w:tcPr>
          <w:p w14:paraId="5EAA3F12" w14:textId="77777777" w:rsidR="007D1E74" w:rsidRDefault="00A95641">
            <w:pPr>
              <w:pStyle w:val="TableParagraph"/>
              <w:spacing w:before="25"/>
              <w:ind w:left="101" w:right="100"/>
              <w:rPr>
                <w:sz w:val="21"/>
                <w:szCs w:val="21"/>
              </w:rPr>
            </w:pPr>
            <w:r>
              <w:rPr>
                <w:sz w:val="21"/>
                <w:szCs w:val="21"/>
              </w:rPr>
              <w:t>Sp</w:t>
            </w:r>
          </w:p>
        </w:tc>
        <w:tc>
          <w:tcPr>
            <w:tcW w:w="1063" w:type="pct"/>
          </w:tcPr>
          <w:p w14:paraId="444276CC" w14:textId="77777777" w:rsidR="007D1E74" w:rsidRDefault="00A95641">
            <w:pPr>
              <w:pStyle w:val="TableParagraph"/>
              <w:spacing w:before="25"/>
              <w:ind w:left="242" w:right="242"/>
              <w:rPr>
                <w:sz w:val="21"/>
                <w:szCs w:val="21"/>
              </w:rPr>
            </w:pPr>
            <w:r>
              <w:rPr>
                <w:sz w:val="21"/>
                <w:szCs w:val="21"/>
              </w:rPr>
              <w:t>0.8</w:t>
            </w:r>
          </w:p>
        </w:tc>
        <w:tc>
          <w:tcPr>
            <w:tcW w:w="651" w:type="pct"/>
          </w:tcPr>
          <w:p w14:paraId="44D4411B" w14:textId="77777777" w:rsidR="007D1E74" w:rsidRDefault="00A95641">
            <w:pPr>
              <w:pStyle w:val="TableParagraph"/>
              <w:spacing w:before="25"/>
              <w:ind w:right="110"/>
              <w:rPr>
                <w:sz w:val="21"/>
                <w:szCs w:val="21"/>
              </w:rPr>
            </w:pPr>
            <w:r>
              <w:rPr>
                <w:sz w:val="21"/>
                <w:szCs w:val="21"/>
              </w:rPr>
              <w:t>4</w:t>
            </w:r>
          </w:p>
        </w:tc>
      </w:tr>
      <w:tr w:rsidR="007D1E74" w14:paraId="0D0F783C" w14:textId="77777777">
        <w:trPr>
          <w:trHeight w:hRule="exact" w:val="344"/>
        </w:trPr>
        <w:tc>
          <w:tcPr>
            <w:tcW w:w="440" w:type="pct"/>
          </w:tcPr>
          <w:p w14:paraId="31F33492" w14:textId="77777777" w:rsidR="007D1E74" w:rsidRDefault="00A95641">
            <w:pPr>
              <w:pStyle w:val="TableParagraph"/>
              <w:spacing w:before="26"/>
              <w:ind w:left="109" w:right="106"/>
              <w:rPr>
                <w:sz w:val="21"/>
                <w:szCs w:val="21"/>
              </w:rPr>
            </w:pPr>
            <w:r>
              <w:rPr>
                <w:sz w:val="21"/>
                <w:szCs w:val="21"/>
              </w:rPr>
              <w:t>15</w:t>
            </w:r>
          </w:p>
        </w:tc>
        <w:tc>
          <w:tcPr>
            <w:tcW w:w="824" w:type="pct"/>
          </w:tcPr>
          <w:p w14:paraId="5A348D6B" w14:textId="77777777" w:rsidR="007D1E74" w:rsidRDefault="00A95641">
            <w:pPr>
              <w:pStyle w:val="TableParagraph"/>
              <w:spacing w:line="284" w:lineRule="exact"/>
              <w:ind w:left="103"/>
              <w:rPr>
                <w:rFonts w:ascii="宋体"/>
                <w:sz w:val="21"/>
                <w:szCs w:val="21"/>
              </w:rPr>
            </w:pPr>
            <w:r>
              <w:rPr>
                <w:rFonts w:ascii="宋体" w:hint="eastAsia"/>
                <w:sz w:val="21"/>
                <w:szCs w:val="21"/>
              </w:rPr>
              <w:t>顶芽狗脊</w:t>
            </w:r>
          </w:p>
        </w:tc>
        <w:tc>
          <w:tcPr>
            <w:tcW w:w="674" w:type="pct"/>
          </w:tcPr>
          <w:p w14:paraId="2D222D8B"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133A0803" w14:textId="77777777" w:rsidR="007D1E74" w:rsidRDefault="00A95641">
            <w:pPr>
              <w:pStyle w:val="TableParagraph"/>
              <w:spacing w:before="26"/>
              <w:rPr>
                <w:sz w:val="21"/>
                <w:szCs w:val="21"/>
              </w:rPr>
            </w:pPr>
            <w:r>
              <w:rPr>
                <w:sz w:val="21"/>
                <w:szCs w:val="21"/>
              </w:rPr>
              <w:t>2</w:t>
            </w:r>
          </w:p>
        </w:tc>
        <w:tc>
          <w:tcPr>
            <w:tcW w:w="673" w:type="pct"/>
          </w:tcPr>
          <w:p w14:paraId="34521EC0" w14:textId="77777777" w:rsidR="007D1E74" w:rsidRDefault="00A95641">
            <w:pPr>
              <w:pStyle w:val="TableParagraph"/>
              <w:spacing w:before="23"/>
              <w:ind w:left="322"/>
              <w:rPr>
                <w:sz w:val="21"/>
                <w:szCs w:val="21"/>
              </w:rPr>
            </w:pPr>
            <w:r>
              <w:rPr>
                <w:position w:val="2"/>
                <w:sz w:val="21"/>
                <w:szCs w:val="21"/>
              </w:rPr>
              <w:t>Cop</w:t>
            </w:r>
            <w:r>
              <w:rPr>
                <w:sz w:val="21"/>
                <w:szCs w:val="21"/>
              </w:rPr>
              <w:t>1</w:t>
            </w:r>
          </w:p>
        </w:tc>
        <w:tc>
          <w:tcPr>
            <w:tcW w:w="1063" w:type="pct"/>
          </w:tcPr>
          <w:p w14:paraId="4D72866A" w14:textId="77777777" w:rsidR="007D1E74" w:rsidRDefault="00A95641">
            <w:pPr>
              <w:pStyle w:val="TableParagraph"/>
              <w:spacing w:before="26"/>
              <w:ind w:left="242" w:right="242"/>
              <w:rPr>
                <w:sz w:val="21"/>
                <w:szCs w:val="21"/>
              </w:rPr>
            </w:pPr>
            <w:r>
              <w:rPr>
                <w:sz w:val="21"/>
                <w:szCs w:val="21"/>
              </w:rPr>
              <w:t>1.4</w:t>
            </w:r>
          </w:p>
        </w:tc>
        <w:tc>
          <w:tcPr>
            <w:tcW w:w="651" w:type="pct"/>
          </w:tcPr>
          <w:p w14:paraId="3D9B621B" w14:textId="77777777" w:rsidR="007D1E74" w:rsidRDefault="00A95641">
            <w:pPr>
              <w:pStyle w:val="TableParagraph"/>
              <w:spacing w:before="26"/>
              <w:ind w:left="350" w:right="352"/>
              <w:rPr>
                <w:sz w:val="21"/>
                <w:szCs w:val="21"/>
              </w:rPr>
            </w:pPr>
            <w:r>
              <w:rPr>
                <w:sz w:val="21"/>
                <w:szCs w:val="21"/>
              </w:rPr>
              <w:t>12</w:t>
            </w:r>
          </w:p>
        </w:tc>
      </w:tr>
    </w:tbl>
    <w:p w14:paraId="258441C8" w14:textId="77777777" w:rsidR="007D1E74" w:rsidRDefault="007D1E74">
      <w:pPr>
        <w:spacing w:line="360" w:lineRule="auto"/>
        <w:rPr>
          <w:rFonts w:cs="Times New Roman"/>
          <w:szCs w:val="21"/>
        </w:rPr>
      </w:pPr>
    </w:p>
    <w:p w14:paraId="5DDC6108" w14:textId="77777777" w:rsidR="007D1E74" w:rsidRDefault="00A95641">
      <w:pPr>
        <w:spacing w:line="360" w:lineRule="auto"/>
        <w:jc w:val="center"/>
        <w:rPr>
          <w:rFonts w:eastAsia="黑体" w:cs="Times New Roman"/>
          <w:szCs w:val="21"/>
        </w:rPr>
      </w:pPr>
      <w:r>
        <w:rPr>
          <w:rFonts w:eastAsia="黑体" w:cs="Times New Roman"/>
          <w:szCs w:val="21"/>
        </w:rPr>
        <w:t>表</w:t>
      </w:r>
      <w:r>
        <w:rPr>
          <w:rFonts w:eastAsia="黑体" w:cs="Times New Roman"/>
          <w:szCs w:val="21"/>
        </w:rPr>
        <w:t xml:space="preserve">A.2.2-2  </w:t>
      </w:r>
      <w:r>
        <w:rPr>
          <w:rFonts w:eastAsia="黑体" w:cs="Times New Roman" w:hint="eastAsia"/>
          <w:szCs w:val="21"/>
        </w:rPr>
        <w:t>植物实测样方表</w:t>
      </w:r>
    </w:p>
    <w:tbl>
      <w:tblPr>
        <w:tblStyle w:val="affffc"/>
        <w:tblW w:w="0" w:type="auto"/>
        <w:tblBorders>
          <w:left w:val="none" w:sz="0" w:space="0" w:color="auto"/>
          <w:right w:val="none" w:sz="0" w:space="0" w:color="auto"/>
        </w:tblBorders>
        <w:tblLook w:val="04A0" w:firstRow="1" w:lastRow="0" w:firstColumn="1" w:lastColumn="0" w:noHBand="0" w:noVBand="1"/>
      </w:tblPr>
      <w:tblGrid>
        <w:gridCol w:w="9016"/>
      </w:tblGrid>
      <w:tr w:rsidR="007D1E74" w14:paraId="4DE405B1" w14:textId="77777777">
        <w:tc>
          <w:tcPr>
            <w:tcW w:w="9016" w:type="dxa"/>
          </w:tcPr>
          <w:p w14:paraId="6A8365C4" w14:textId="77777777" w:rsidR="007D1E74" w:rsidRDefault="00A95641">
            <w:pPr>
              <w:spacing w:line="360" w:lineRule="auto"/>
              <w:rPr>
                <w:rFonts w:eastAsiaTheme="minorEastAsia" w:cs="Times New Roman"/>
                <w:szCs w:val="21"/>
              </w:rPr>
            </w:pPr>
            <w:r>
              <w:rPr>
                <w:rFonts w:eastAsiaTheme="minorEastAsia" w:cs="Times New Roman" w:hint="eastAsia"/>
                <w:szCs w:val="21"/>
              </w:rPr>
              <w:t>群落名称：柏木林</w:t>
            </w:r>
            <w:r>
              <w:rPr>
                <w:rFonts w:eastAsiaTheme="minorEastAsia" w:cs="Times New Roman" w:hint="eastAsia"/>
                <w:szCs w:val="21"/>
              </w:rPr>
              <w:tab/>
            </w:r>
            <w:r>
              <w:rPr>
                <w:rFonts w:eastAsiaTheme="minorEastAsia" w:cs="Times New Roman" w:hint="eastAsia"/>
                <w:szCs w:val="21"/>
              </w:rPr>
              <w:tab/>
            </w:r>
            <w:r>
              <w:rPr>
                <w:rFonts w:eastAsiaTheme="minorEastAsia" w:cs="Times New Roman" w:hint="eastAsia"/>
                <w:szCs w:val="21"/>
              </w:rPr>
              <w:t>地点：涪阳镇红江村</w:t>
            </w:r>
            <w:r>
              <w:rPr>
                <w:rFonts w:eastAsiaTheme="minorEastAsia" w:cs="Times New Roman" w:hint="eastAsia"/>
                <w:szCs w:val="21"/>
              </w:rPr>
              <w:tab/>
            </w:r>
            <w:r>
              <w:rPr>
                <w:rFonts w:eastAsiaTheme="minorEastAsia" w:cs="Times New Roman" w:hint="eastAsia"/>
                <w:szCs w:val="21"/>
              </w:rPr>
              <w:tab/>
            </w:r>
            <w:r>
              <w:rPr>
                <w:rFonts w:eastAsiaTheme="minorEastAsia" w:cs="Times New Roman" w:hint="eastAsia"/>
                <w:szCs w:val="21"/>
              </w:rPr>
              <w:t>样方面积：</w:t>
            </w:r>
            <w:r>
              <w:rPr>
                <w:rFonts w:eastAsiaTheme="minorEastAsia" w:cs="Times New Roman" w:hint="eastAsia"/>
                <w:szCs w:val="21"/>
              </w:rPr>
              <w:t>10m</w:t>
            </w:r>
            <w:r>
              <w:rPr>
                <w:rFonts w:eastAsiaTheme="minorEastAsia" w:cs="Times New Roman" w:hint="eastAsia"/>
                <w:szCs w:val="21"/>
              </w:rPr>
              <w:t>×</w:t>
            </w:r>
            <w:r>
              <w:rPr>
                <w:rFonts w:eastAsiaTheme="minorEastAsia" w:cs="Times New Roman" w:hint="eastAsia"/>
                <w:szCs w:val="21"/>
              </w:rPr>
              <w:t>10m</w:t>
            </w:r>
          </w:p>
        </w:tc>
      </w:tr>
      <w:tr w:rsidR="007D1E74" w14:paraId="0A45102B" w14:textId="77777777">
        <w:tc>
          <w:tcPr>
            <w:tcW w:w="9016" w:type="dxa"/>
          </w:tcPr>
          <w:p w14:paraId="3FBB29F2" w14:textId="77777777" w:rsidR="007D1E74" w:rsidRDefault="00A95641">
            <w:pPr>
              <w:spacing w:line="360" w:lineRule="auto"/>
              <w:rPr>
                <w:rFonts w:eastAsiaTheme="minorEastAsia" w:cs="Times New Roman"/>
                <w:szCs w:val="21"/>
              </w:rPr>
            </w:pPr>
            <w:r>
              <w:rPr>
                <w:rFonts w:eastAsiaTheme="minorEastAsia" w:cs="Times New Roman" w:hint="eastAsia"/>
                <w:szCs w:val="21"/>
              </w:rPr>
              <w:t>经度：</w:t>
            </w:r>
            <w:r>
              <w:rPr>
                <w:rFonts w:eastAsiaTheme="minorEastAsia" w:cs="Times New Roman" w:hint="eastAsia"/>
                <w:szCs w:val="21"/>
              </w:rPr>
              <w:t xml:space="preserve">107.149757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纬度：</w:t>
            </w:r>
            <w:r>
              <w:rPr>
                <w:rFonts w:eastAsiaTheme="minorEastAsia" w:cs="Times New Roman" w:hint="eastAsia"/>
                <w:szCs w:val="21"/>
              </w:rPr>
              <w:t xml:space="preserve">32.064693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海拔（</w:t>
            </w:r>
            <w:r>
              <w:rPr>
                <w:rFonts w:eastAsiaTheme="minorEastAsia" w:cs="Times New Roman" w:hint="eastAsia"/>
                <w:szCs w:val="21"/>
              </w:rPr>
              <w:t>m</w:t>
            </w:r>
            <w:r>
              <w:rPr>
                <w:rFonts w:eastAsiaTheme="minorEastAsia" w:cs="Times New Roman" w:hint="eastAsia"/>
                <w:szCs w:val="21"/>
              </w:rPr>
              <w:t>）</w:t>
            </w:r>
            <w:r>
              <w:rPr>
                <w:rFonts w:eastAsiaTheme="minorEastAsia" w:cs="Times New Roman" w:hint="eastAsia"/>
                <w:szCs w:val="21"/>
              </w:rPr>
              <w:t>430</w:t>
            </w:r>
          </w:p>
        </w:tc>
      </w:tr>
      <w:tr w:rsidR="007D1E74" w14:paraId="47473DD6" w14:textId="77777777">
        <w:tc>
          <w:tcPr>
            <w:tcW w:w="9016" w:type="dxa"/>
          </w:tcPr>
          <w:p w14:paraId="168A00A3" w14:textId="77777777" w:rsidR="007D1E74" w:rsidRDefault="00A95641">
            <w:pPr>
              <w:spacing w:line="360" w:lineRule="auto"/>
              <w:rPr>
                <w:rFonts w:eastAsiaTheme="minorEastAsia" w:cs="Times New Roman"/>
                <w:szCs w:val="21"/>
              </w:rPr>
            </w:pPr>
            <w:r>
              <w:rPr>
                <w:rFonts w:eastAsiaTheme="minorEastAsia" w:cs="Times New Roman" w:hint="eastAsia"/>
                <w:szCs w:val="21"/>
              </w:rPr>
              <w:t>调查人：黄文军、李秦</w:t>
            </w:r>
            <w:r>
              <w:rPr>
                <w:rFonts w:eastAsiaTheme="minorEastAsia" w:cs="Times New Roman" w:hint="eastAsia"/>
                <w:szCs w:val="21"/>
              </w:rPr>
              <w:tab/>
            </w:r>
            <w:r>
              <w:rPr>
                <w:rFonts w:eastAsiaTheme="minorEastAsia" w:cs="Times New Roman" w:hint="eastAsia"/>
                <w:szCs w:val="21"/>
              </w:rPr>
              <w:t>调查日期：</w:t>
            </w:r>
            <w:r>
              <w:rPr>
                <w:rFonts w:eastAsiaTheme="minorEastAsia" w:cs="Times New Roman" w:hint="eastAsia"/>
                <w:szCs w:val="21"/>
              </w:rPr>
              <w:t>2021-08-18</w:t>
            </w:r>
          </w:p>
        </w:tc>
      </w:tr>
    </w:tbl>
    <w:p w14:paraId="131C25AB" w14:textId="77777777" w:rsidR="007D1E74" w:rsidRDefault="007D1E74">
      <w:pPr>
        <w:spacing w:line="360" w:lineRule="auto"/>
        <w:rPr>
          <w:rFonts w:eastAsia="黑体" w:cs="Times New Roman"/>
          <w:sz w:val="24"/>
          <w:szCs w:val="24"/>
        </w:rPr>
      </w:pP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4"/>
        <w:gridCol w:w="1637"/>
        <w:gridCol w:w="1215"/>
        <w:gridCol w:w="1215"/>
        <w:gridCol w:w="1215"/>
        <w:gridCol w:w="1764"/>
        <w:gridCol w:w="1176"/>
      </w:tblGrid>
      <w:tr w:rsidR="007D1E74" w14:paraId="099DF7E9" w14:textId="77777777">
        <w:trPr>
          <w:trHeight w:hRule="exact" w:val="351"/>
        </w:trPr>
        <w:tc>
          <w:tcPr>
            <w:tcW w:w="440" w:type="pct"/>
          </w:tcPr>
          <w:p w14:paraId="39DDCC51" w14:textId="77777777" w:rsidR="007D1E74" w:rsidRDefault="00A95641">
            <w:pPr>
              <w:pStyle w:val="TableParagraph"/>
              <w:spacing w:line="284" w:lineRule="exact"/>
              <w:ind w:left="109" w:right="103"/>
              <w:rPr>
                <w:rFonts w:ascii="宋体"/>
                <w:sz w:val="21"/>
                <w:szCs w:val="21"/>
              </w:rPr>
            </w:pPr>
            <w:r>
              <w:rPr>
                <w:rFonts w:ascii="宋体" w:hint="eastAsia"/>
                <w:sz w:val="21"/>
                <w:szCs w:val="21"/>
              </w:rPr>
              <w:t>种号</w:t>
            </w:r>
          </w:p>
        </w:tc>
        <w:tc>
          <w:tcPr>
            <w:tcW w:w="908" w:type="pct"/>
          </w:tcPr>
          <w:p w14:paraId="0CF405F0" w14:textId="77777777" w:rsidR="007D1E74" w:rsidRDefault="00A95641">
            <w:pPr>
              <w:pStyle w:val="TableParagraph"/>
              <w:spacing w:line="284" w:lineRule="exact"/>
              <w:ind w:left="397"/>
              <w:rPr>
                <w:rFonts w:ascii="宋体"/>
                <w:sz w:val="21"/>
                <w:szCs w:val="21"/>
              </w:rPr>
            </w:pPr>
            <w:r>
              <w:rPr>
                <w:rFonts w:ascii="宋体" w:hint="eastAsia"/>
                <w:sz w:val="21"/>
                <w:szCs w:val="21"/>
              </w:rPr>
              <w:t>物种名</w:t>
            </w:r>
          </w:p>
        </w:tc>
        <w:tc>
          <w:tcPr>
            <w:tcW w:w="674" w:type="pct"/>
          </w:tcPr>
          <w:p w14:paraId="089478BF" w14:textId="77777777" w:rsidR="007D1E74" w:rsidRDefault="00A95641">
            <w:pPr>
              <w:pStyle w:val="TableParagraph"/>
              <w:spacing w:line="284" w:lineRule="exact"/>
              <w:ind w:left="202"/>
              <w:rPr>
                <w:rFonts w:ascii="宋体"/>
                <w:sz w:val="21"/>
                <w:szCs w:val="21"/>
              </w:rPr>
            </w:pPr>
            <w:r>
              <w:rPr>
                <w:rFonts w:ascii="宋体" w:hint="eastAsia"/>
                <w:sz w:val="21"/>
                <w:szCs w:val="21"/>
              </w:rPr>
              <w:t>物候期</w:t>
            </w:r>
          </w:p>
        </w:tc>
        <w:tc>
          <w:tcPr>
            <w:tcW w:w="674" w:type="pct"/>
          </w:tcPr>
          <w:p w14:paraId="42E8DF79" w14:textId="77777777" w:rsidR="007D1E74" w:rsidRDefault="00A95641">
            <w:pPr>
              <w:pStyle w:val="TableParagraph"/>
              <w:spacing w:line="303" w:lineRule="exact"/>
              <w:ind w:left="102" w:right="102"/>
              <w:rPr>
                <w:rFonts w:ascii="宋体"/>
                <w:sz w:val="21"/>
                <w:szCs w:val="21"/>
              </w:rPr>
            </w:pPr>
            <w:r>
              <w:rPr>
                <w:rFonts w:ascii="宋体" w:hint="eastAsia"/>
                <w:sz w:val="21"/>
                <w:szCs w:val="21"/>
              </w:rPr>
              <w:t>株</w:t>
            </w:r>
            <w:r>
              <w:rPr>
                <w:sz w:val="21"/>
                <w:szCs w:val="21"/>
              </w:rPr>
              <w:t>(</w:t>
            </w:r>
            <w:r>
              <w:rPr>
                <w:rFonts w:ascii="宋体" w:hint="eastAsia"/>
                <w:sz w:val="21"/>
                <w:szCs w:val="21"/>
              </w:rPr>
              <w:t>丛</w:t>
            </w:r>
            <w:r>
              <w:rPr>
                <w:sz w:val="21"/>
                <w:szCs w:val="21"/>
              </w:rPr>
              <w:t>)</w:t>
            </w:r>
            <w:r>
              <w:rPr>
                <w:rFonts w:ascii="宋体" w:hint="eastAsia"/>
                <w:sz w:val="21"/>
                <w:szCs w:val="21"/>
              </w:rPr>
              <w:t>数</w:t>
            </w:r>
          </w:p>
        </w:tc>
        <w:tc>
          <w:tcPr>
            <w:tcW w:w="674" w:type="pct"/>
          </w:tcPr>
          <w:p w14:paraId="7AD2059C" w14:textId="77777777" w:rsidR="007D1E74" w:rsidRDefault="00A95641">
            <w:pPr>
              <w:pStyle w:val="TableParagraph"/>
              <w:spacing w:line="284" w:lineRule="exact"/>
              <w:ind w:left="102" w:right="102"/>
              <w:rPr>
                <w:rFonts w:ascii="宋体"/>
                <w:sz w:val="21"/>
                <w:szCs w:val="21"/>
              </w:rPr>
            </w:pPr>
            <w:r>
              <w:rPr>
                <w:rFonts w:ascii="宋体" w:hint="eastAsia"/>
                <w:sz w:val="21"/>
                <w:szCs w:val="21"/>
              </w:rPr>
              <w:t>多度</w:t>
            </w:r>
          </w:p>
        </w:tc>
        <w:tc>
          <w:tcPr>
            <w:tcW w:w="978" w:type="pct"/>
          </w:tcPr>
          <w:p w14:paraId="662E3E03" w14:textId="77777777" w:rsidR="007D1E74" w:rsidRDefault="00A95641">
            <w:pPr>
              <w:pStyle w:val="TableParagraph"/>
              <w:spacing w:line="303" w:lineRule="exact"/>
              <w:ind w:left="172" w:right="170"/>
              <w:rPr>
                <w:sz w:val="21"/>
                <w:szCs w:val="21"/>
              </w:rPr>
            </w:pPr>
            <w:r>
              <w:rPr>
                <w:rFonts w:ascii="宋体" w:hint="eastAsia"/>
                <w:w w:val="95"/>
                <w:sz w:val="21"/>
                <w:szCs w:val="21"/>
              </w:rPr>
              <w:t>平均高度</w:t>
            </w:r>
            <w:r>
              <w:rPr>
                <w:w w:val="95"/>
                <w:sz w:val="21"/>
                <w:szCs w:val="21"/>
              </w:rPr>
              <w:t>/cm</w:t>
            </w:r>
          </w:p>
        </w:tc>
        <w:tc>
          <w:tcPr>
            <w:tcW w:w="652" w:type="pct"/>
          </w:tcPr>
          <w:p w14:paraId="170DDB2C" w14:textId="77777777" w:rsidR="007D1E74" w:rsidRDefault="00A95641">
            <w:pPr>
              <w:pStyle w:val="TableParagraph"/>
              <w:spacing w:line="303" w:lineRule="exact"/>
              <w:ind w:left="116" w:right="226"/>
              <w:rPr>
                <w:sz w:val="21"/>
                <w:szCs w:val="21"/>
              </w:rPr>
            </w:pPr>
            <w:r>
              <w:rPr>
                <w:rFonts w:ascii="宋体" w:hint="eastAsia"/>
                <w:w w:val="95"/>
                <w:sz w:val="21"/>
                <w:szCs w:val="21"/>
              </w:rPr>
              <w:t>盖度</w:t>
            </w:r>
            <w:r>
              <w:rPr>
                <w:w w:val="95"/>
                <w:sz w:val="21"/>
                <w:szCs w:val="21"/>
              </w:rPr>
              <w:t>/%</w:t>
            </w:r>
          </w:p>
        </w:tc>
      </w:tr>
      <w:tr w:rsidR="007D1E74" w14:paraId="3C482323" w14:textId="77777777">
        <w:trPr>
          <w:trHeight w:hRule="exact" w:val="336"/>
        </w:trPr>
        <w:tc>
          <w:tcPr>
            <w:tcW w:w="440" w:type="pct"/>
          </w:tcPr>
          <w:p w14:paraId="0C3C5FB8" w14:textId="77777777" w:rsidR="007D1E74" w:rsidRDefault="00A95641">
            <w:pPr>
              <w:pStyle w:val="TableParagraph"/>
              <w:spacing w:before="25"/>
              <w:ind w:left="6"/>
              <w:rPr>
                <w:sz w:val="21"/>
                <w:szCs w:val="21"/>
              </w:rPr>
            </w:pPr>
            <w:r>
              <w:rPr>
                <w:sz w:val="21"/>
                <w:szCs w:val="21"/>
              </w:rPr>
              <w:t>1</w:t>
            </w:r>
          </w:p>
        </w:tc>
        <w:tc>
          <w:tcPr>
            <w:tcW w:w="908" w:type="pct"/>
          </w:tcPr>
          <w:p w14:paraId="0330C08F" w14:textId="77777777" w:rsidR="007D1E74" w:rsidRDefault="00A95641">
            <w:pPr>
              <w:pStyle w:val="TableParagraph"/>
              <w:spacing w:line="284" w:lineRule="exact"/>
              <w:ind w:left="102"/>
              <w:rPr>
                <w:rFonts w:ascii="宋体"/>
                <w:sz w:val="21"/>
                <w:szCs w:val="21"/>
              </w:rPr>
            </w:pPr>
            <w:r>
              <w:rPr>
                <w:rFonts w:ascii="宋体" w:hint="eastAsia"/>
                <w:sz w:val="21"/>
                <w:szCs w:val="21"/>
              </w:rPr>
              <w:t>柏木</w:t>
            </w:r>
          </w:p>
        </w:tc>
        <w:tc>
          <w:tcPr>
            <w:tcW w:w="674" w:type="pct"/>
          </w:tcPr>
          <w:p w14:paraId="0057CF99"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43C3C30D" w14:textId="77777777" w:rsidR="007D1E74" w:rsidRDefault="00A95641">
            <w:pPr>
              <w:pStyle w:val="TableParagraph"/>
              <w:spacing w:before="25"/>
              <w:ind w:left="102" w:right="102"/>
              <w:rPr>
                <w:sz w:val="21"/>
                <w:szCs w:val="21"/>
              </w:rPr>
            </w:pPr>
            <w:r>
              <w:rPr>
                <w:sz w:val="21"/>
                <w:szCs w:val="21"/>
              </w:rPr>
              <w:t>16</w:t>
            </w:r>
          </w:p>
        </w:tc>
        <w:tc>
          <w:tcPr>
            <w:tcW w:w="674" w:type="pct"/>
          </w:tcPr>
          <w:p w14:paraId="481EA97A" w14:textId="77777777" w:rsidR="007D1E74" w:rsidRDefault="00A95641">
            <w:pPr>
              <w:pStyle w:val="TableParagraph"/>
              <w:spacing w:before="22"/>
              <w:ind w:left="102" w:right="102"/>
              <w:rPr>
                <w:sz w:val="21"/>
                <w:szCs w:val="21"/>
              </w:rPr>
            </w:pPr>
            <w:r>
              <w:rPr>
                <w:position w:val="2"/>
                <w:sz w:val="21"/>
                <w:szCs w:val="21"/>
              </w:rPr>
              <w:t>Cop</w:t>
            </w:r>
            <w:r>
              <w:rPr>
                <w:sz w:val="21"/>
                <w:szCs w:val="21"/>
              </w:rPr>
              <w:t>2</w:t>
            </w:r>
          </w:p>
        </w:tc>
        <w:tc>
          <w:tcPr>
            <w:tcW w:w="978" w:type="pct"/>
          </w:tcPr>
          <w:p w14:paraId="5B587C25" w14:textId="77777777" w:rsidR="007D1E74" w:rsidRDefault="00A95641">
            <w:pPr>
              <w:pStyle w:val="TableParagraph"/>
              <w:spacing w:before="25"/>
              <w:ind w:left="169" w:right="170"/>
              <w:rPr>
                <w:sz w:val="21"/>
                <w:szCs w:val="21"/>
              </w:rPr>
            </w:pPr>
            <w:r>
              <w:rPr>
                <w:sz w:val="21"/>
                <w:szCs w:val="21"/>
              </w:rPr>
              <w:t>15</w:t>
            </w:r>
          </w:p>
        </w:tc>
        <w:tc>
          <w:tcPr>
            <w:tcW w:w="652" w:type="pct"/>
          </w:tcPr>
          <w:p w14:paraId="6C9F7493" w14:textId="77777777" w:rsidR="007D1E74" w:rsidRDefault="00A95641">
            <w:pPr>
              <w:pStyle w:val="TableParagraph"/>
              <w:spacing w:before="25"/>
              <w:ind w:left="116" w:right="224"/>
              <w:rPr>
                <w:sz w:val="21"/>
                <w:szCs w:val="21"/>
              </w:rPr>
            </w:pPr>
            <w:r>
              <w:rPr>
                <w:sz w:val="21"/>
                <w:szCs w:val="21"/>
              </w:rPr>
              <w:t>65</w:t>
            </w:r>
          </w:p>
        </w:tc>
      </w:tr>
      <w:tr w:rsidR="007D1E74" w14:paraId="3DAAE008" w14:textId="77777777">
        <w:trPr>
          <w:trHeight w:hRule="exact" w:val="336"/>
        </w:trPr>
        <w:tc>
          <w:tcPr>
            <w:tcW w:w="440" w:type="pct"/>
          </w:tcPr>
          <w:p w14:paraId="3678D9BF" w14:textId="77777777" w:rsidR="007D1E74" w:rsidRDefault="00A95641">
            <w:pPr>
              <w:pStyle w:val="TableParagraph"/>
              <w:spacing w:before="25"/>
              <w:ind w:left="6"/>
              <w:rPr>
                <w:sz w:val="21"/>
                <w:szCs w:val="21"/>
              </w:rPr>
            </w:pPr>
            <w:r>
              <w:rPr>
                <w:sz w:val="21"/>
                <w:szCs w:val="21"/>
              </w:rPr>
              <w:t>2</w:t>
            </w:r>
          </w:p>
        </w:tc>
        <w:tc>
          <w:tcPr>
            <w:tcW w:w="908" w:type="pct"/>
          </w:tcPr>
          <w:p w14:paraId="55463AAB" w14:textId="77777777" w:rsidR="007D1E74" w:rsidRDefault="00A95641">
            <w:pPr>
              <w:pStyle w:val="TableParagraph"/>
              <w:spacing w:line="284" w:lineRule="exact"/>
              <w:ind w:left="102"/>
              <w:rPr>
                <w:rFonts w:ascii="宋体"/>
                <w:sz w:val="21"/>
                <w:szCs w:val="21"/>
              </w:rPr>
            </w:pPr>
            <w:r>
              <w:rPr>
                <w:rFonts w:ascii="宋体" w:hint="eastAsia"/>
                <w:sz w:val="21"/>
                <w:szCs w:val="21"/>
              </w:rPr>
              <w:t>麻栎</w:t>
            </w:r>
          </w:p>
        </w:tc>
        <w:tc>
          <w:tcPr>
            <w:tcW w:w="674" w:type="pct"/>
          </w:tcPr>
          <w:p w14:paraId="02459A80"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4344D4F3" w14:textId="77777777" w:rsidR="007D1E74" w:rsidRDefault="00A95641">
            <w:pPr>
              <w:pStyle w:val="TableParagraph"/>
              <w:spacing w:before="25"/>
              <w:rPr>
                <w:sz w:val="21"/>
                <w:szCs w:val="21"/>
              </w:rPr>
            </w:pPr>
            <w:r>
              <w:rPr>
                <w:sz w:val="21"/>
                <w:szCs w:val="21"/>
              </w:rPr>
              <w:t>4</w:t>
            </w:r>
          </w:p>
        </w:tc>
        <w:tc>
          <w:tcPr>
            <w:tcW w:w="674" w:type="pct"/>
          </w:tcPr>
          <w:p w14:paraId="42AA4DD0" w14:textId="77777777" w:rsidR="007D1E74" w:rsidRDefault="00A95641">
            <w:pPr>
              <w:pStyle w:val="TableParagraph"/>
              <w:spacing w:before="22"/>
              <w:ind w:left="102" w:right="102"/>
              <w:rPr>
                <w:sz w:val="21"/>
                <w:szCs w:val="21"/>
              </w:rPr>
            </w:pPr>
            <w:r>
              <w:rPr>
                <w:position w:val="2"/>
                <w:sz w:val="21"/>
                <w:szCs w:val="21"/>
              </w:rPr>
              <w:t>Cop</w:t>
            </w:r>
            <w:r>
              <w:rPr>
                <w:sz w:val="21"/>
                <w:szCs w:val="21"/>
              </w:rPr>
              <w:t>1</w:t>
            </w:r>
          </w:p>
        </w:tc>
        <w:tc>
          <w:tcPr>
            <w:tcW w:w="978" w:type="pct"/>
          </w:tcPr>
          <w:p w14:paraId="1A7805BF" w14:textId="77777777" w:rsidR="007D1E74" w:rsidRDefault="00A95641">
            <w:pPr>
              <w:pStyle w:val="TableParagraph"/>
              <w:spacing w:before="25"/>
              <w:ind w:left="169" w:right="170"/>
              <w:rPr>
                <w:sz w:val="21"/>
                <w:szCs w:val="21"/>
              </w:rPr>
            </w:pPr>
            <w:r>
              <w:rPr>
                <w:sz w:val="21"/>
                <w:szCs w:val="21"/>
              </w:rPr>
              <w:t>13</w:t>
            </w:r>
          </w:p>
        </w:tc>
        <w:tc>
          <w:tcPr>
            <w:tcW w:w="652" w:type="pct"/>
          </w:tcPr>
          <w:p w14:paraId="09813A6B" w14:textId="77777777" w:rsidR="007D1E74" w:rsidRDefault="00A95641">
            <w:pPr>
              <w:pStyle w:val="TableParagraph"/>
              <w:spacing w:before="25"/>
              <w:ind w:left="116" w:right="224"/>
              <w:rPr>
                <w:sz w:val="21"/>
                <w:szCs w:val="21"/>
              </w:rPr>
            </w:pPr>
            <w:r>
              <w:rPr>
                <w:sz w:val="21"/>
                <w:szCs w:val="21"/>
              </w:rPr>
              <w:t>10</w:t>
            </w:r>
          </w:p>
        </w:tc>
      </w:tr>
      <w:tr w:rsidR="007D1E74" w14:paraId="4E295A8E" w14:textId="77777777">
        <w:trPr>
          <w:trHeight w:hRule="exact" w:val="336"/>
        </w:trPr>
        <w:tc>
          <w:tcPr>
            <w:tcW w:w="440" w:type="pct"/>
          </w:tcPr>
          <w:p w14:paraId="5F615F7B" w14:textId="77777777" w:rsidR="007D1E74" w:rsidRDefault="00A95641">
            <w:pPr>
              <w:pStyle w:val="TableParagraph"/>
              <w:spacing w:before="25"/>
              <w:ind w:left="6"/>
              <w:rPr>
                <w:sz w:val="21"/>
                <w:szCs w:val="21"/>
              </w:rPr>
            </w:pPr>
            <w:r>
              <w:rPr>
                <w:sz w:val="21"/>
                <w:szCs w:val="21"/>
              </w:rPr>
              <w:t>3</w:t>
            </w:r>
          </w:p>
        </w:tc>
        <w:tc>
          <w:tcPr>
            <w:tcW w:w="908" w:type="pct"/>
          </w:tcPr>
          <w:p w14:paraId="3598E3F3" w14:textId="77777777" w:rsidR="007D1E74" w:rsidRDefault="00A95641">
            <w:pPr>
              <w:pStyle w:val="TableParagraph"/>
              <w:spacing w:line="284" w:lineRule="exact"/>
              <w:ind w:left="102"/>
              <w:rPr>
                <w:rFonts w:ascii="宋体"/>
                <w:sz w:val="21"/>
                <w:szCs w:val="21"/>
              </w:rPr>
            </w:pPr>
            <w:r>
              <w:rPr>
                <w:rFonts w:ascii="宋体" w:hint="eastAsia"/>
                <w:sz w:val="21"/>
                <w:szCs w:val="21"/>
              </w:rPr>
              <w:t>栓皮栎</w:t>
            </w:r>
          </w:p>
        </w:tc>
        <w:tc>
          <w:tcPr>
            <w:tcW w:w="674" w:type="pct"/>
          </w:tcPr>
          <w:p w14:paraId="456DBB31"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1DB31F72" w14:textId="77777777" w:rsidR="007D1E74" w:rsidRDefault="00A95641">
            <w:pPr>
              <w:pStyle w:val="TableParagraph"/>
              <w:spacing w:before="25"/>
              <w:rPr>
                <w:sz w:val="21"/>
                <w:szCs w:val="21"/>
              </w:rPr>
            </w:pPr>
            <w:r>
              <w:rPr>
                <w:sz w:val="21"/>
                <w:szCs w:val="21"/>
              </w:rPr>
              <w:t>5</w:t>
            </w:r>
          </w:p>
        </w:tc>
        <w:tc>
          <w:tcPr>
            <w:tcW w:w="674" w:type="pct"/>
          </w:tcPr>
          <w:p w14:paraId="7BCA0751" w14:textId="77777777" w:rsidR="007D1E74" w:rsidRDefault="00A95641">
            <w:pPr>
              <w:pStyle w:val="TableParagraph"/>
              <w:spacing w:before="22"/>
              <w:ind w:left="102" w:right="102"/>
              <w:rPr>
                <w:sz w:val="21"/>
                <w:szCs w:val="21"/>
              </w:rPr>
            </w:pPr>
            <w:r>
              <w:rPr>
                <w:position w:val="2"/>
                <w:sz w:val="21"/>
                <w:szCs w:val="21"/>
              </w:rPr>
              <w:t>Cop</w:t>
            </w:r>
            <w:r>
              <w:rPr>
                <w:sz w:val="21"/>
                <w:szCs w:val="21"/>
              </w:rPr>
              <w:t>1</w:t>
            </w:r>
          </w:p>
        </w:tc>
        <w:tc>
          <w:tcPr>
            <w:tcW w:w="978" w:type="pct"/>
          </w:tcPr>
          <w:p w14:paraId="1087A364" w14:textId="77777777" w:rsidR="007D1E74" w:rsidRDefault="00A95641">
            <w:pPr>
              <w:pStyle w:val="TableParagraph"/>
              <w:spacing w:before="25"/>
              <w:ind w:left="169" w:right="170"/>
              <w:rPr>
                <w:sz w:val="21"/>
                <w:szCs w:val="21"/>
              </w:rPr>
            </w:pPr>
            <w:r>
              <w:rPr>
                <w:sz w:val="21"/>
                <w:szCs w:val="21"/>
              </w:rPr>
              <w:t>12</w:t>
            </w:r>
          </w:p>
        </w:tc>
        <w:tc>
          <w:tcPr>
            <w:tcW w:w="652" w:type="pct"/>
          </w:tcPr>
          <w:p w14:paraId="3E93FBA2" w14:textId="77777777" w:rsidR="007D1E74" w:rsidRDefault="00A95641">
            <w:pPr>
              <w:pStyle w:val="TableParagraph"/>
              <w:spacing w:before="25"/>
              <w:ind w:left="116" w:right="224"/>
              <w:rPr>
                <w:sz w:val="21"/>
                <w:szCs w:val="21"/>
              </w:rPr>
            </w:pPr>
            <w:r>
              <w:rPr>
                <w:sz w:val="21"/>
                <w:szCs w:val="21"/>
              </w:rPr>
              <w:t>10</w:t>
            </w:r>
          </w:p>
        </w:tc>
      </w:tr>
      <w:tr w:rsidR="007D1E74" w14:paraId="616A636D" w14:textId="77777777">
        <w:trPr>
          <w:trHeight w:hRule="exact" w:val="336"/>
        </w:trPr>
        <w:tc>
          <w:tcPr>
            <w:tcW w:w="440" w:type="pct"/>
          </w:tcPr>
          <w:p w14:paraId="2383D839" w14:textId="77777777" w:rsidR="007D1E74" w:rsidRDefault="00A95641">
            <w:pPr>
              <w:pStyle w:val="TableParagraph"/>
              <w:spacing w:before="25"/>
              <w:ind w:left="6"/>
              <w:rPr>
                <w:sz w:val="21"/>
                <w:szCs w:val="21"/>
              </w:rPr>
            </w:pPr>
            <w:r>
              <w:rPr>
                <w:sz w:val="21"/>
                <w:szCs w:val="21"/>
              </w:rPr>
              <w:t>4</w:t>
            </w:r>
          </w:p>
        </w:tc>
        <w:tc>
          <w:tcPr>
            <w:tcW w:w="908" w:type="pct"/>
          </w:tcPr>
          <w:p w14:paraId="140AC5FF" w14:textId="77777777" w:rsidR="007D1E74" w:rsidRDefault="00A95641">
            <w:pPr>
              <w:pStyle w:val="TableParagraph"/>
              <w:spacing w:line="284" w:lineRule="exact"/>
              <w:ind w:left="102"/>
              <w:rPr>
                <w:rFonts w:ascii="宋体"/>
                <w:sz w:val="21"/>
                <w:szCs w:val="21"/>
              </w:rPr>
            </w:pPr>
            <w:r>
              <w:rPr>
                <w:rFonts w:ascii="宋体" w:hint="eastAsia"/>
                <w:sz w:val="21"/>
                <w:szCs w:val="21"/>
              </w:rPr>
              <w:t>桤木</w:t>
            </w:r>
          </w:p>
        </w:tc>
        <w:tc>
          <w:tcPr>
            <w:tcW w:w="674" w:type="pct"/>
          </w:tcPr>
          <w:p w14:paraId="7C5A7F74"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36D891B5" w14:textId="77777777" w:rsidR="007D1E74" w:rsidRDefault="00A95641">
            <w:pPr>
              <w:pStyle w:val="TableParagraph"/>
              <w:spacing w:before="25"/>
              <w:rPr>
                <w:sz w:val="21"/>
                <w:szCs w:val="21"/>
              </w:rPr>
            </w:pPr>
            <w:r>
              <w:rPr>
                <w:sz w:val="21"/>
                <w:szCs w:val="21"/>
              </w:rPr>
              <w:t>3</w:t>
            </w:r>
          </w:p>
        </w:tc>
        <w:tc>
          <w:tcPr>
            <w:tcW w:w="674" w:type="pct"/>
          </w:tcPr>
          <w:p w14:paraId="2D5A9D4E" w14:textId="77777777" w:rsidR="007D1E74" w:rsidRDefault="00A95641">
            <w:pPr>
              <w:pStyle w:val="TableParagraph"/>
              <w:spacing w:before="22"/>
              <w:ind w:left="102" w:right="102"/>
              <w:rPr>
                <w:sz w:val="21"/>
                <w:szCs w:val="21"/>
              </w:rPr>
            </w:pPr>
            <w:r>
              <w:rPr>
                <w:position w:val="2"/>
                <w:sz w:val="21"/>
                <w:szCs w:val="21"/>
              </w:rPr>
              <w:t>Cop</w:t>
            </w:r>
            <w:r>
              <w:rPr>
                <w:sz w:val="21"/>
                <w:szCs w:val="21"/>
              </w:rPr>
              <w:t>1</w:t>
            </w:r>
          </w:p>
        </w:tc>
        <w:tc>
          <w:tcPr>
            <w:tcW w:w="978" w:type="pct"/>
          </w:tcPr>
          <w:p w14:paraId="085176EE" w14:textId="77777777" w:rsidR="007D1E74" w:rsidRDefault="00A95641">
            <w:pPr>
              <w:pStyle w:val="TableParagraph"/>
              <w:spacing w:before="25"/>
              <w:ind w:left="169" w:right="170"/>
              <w:rPr>
                <w:sz w:val="21"/>
                <w:szCs w:val="21"/>
              </w:rPr>
            </w:pPr>
            <w:r>
              <w:rPr>
                <w:sz w:val="21"/>
                <w:szCs w:val="21"/>
              </w:rPr>
              <w:t>12</w:t>
            </w:r>
          </w:p>
        </w:tc>
        <w:tc>
          <w:tcPr>
            <w:tcW w:w="652" w:type="pct"/>
          </w:tcPr>
          <w:p w14:paraId="384C47C7" w14:textId="77777777" w:rsidR="007D1E74" w:rsidRDefault="00A95641">
            <w:pPr>
              <w:pStyle w:val="TableParagraph"/>
              <w:spacing w:before="25"/>
              <w:ind w:right="108"/>
              <w:rPr>
                <w:sz w:val="21"/>
                <w:szCs w:val="21"/>
              </w:rPr>
            </w:pPr>
            <w:r>
              <w:rPr>
                <w:sz w:val="21"/>
                <w:szCs w:val="21"/>
              </w:rPr>
              <w:t>6</w:t>
            </w:r>
          </w:p>
        </w:tc>
      </w:tr>
      <w:tr w:rsidR="007D1E74" w14:paraId="07EC0BB9" w14:textId="77777777">
        <w:trPr>
          <w:trHeight w:hRule="exact" w:val="336"/>
        </w:trPr>
        <w:tc>
          <w:tcPr>
            <w:tcW w:w="440" w:type="pct"/>
          </w:tcPr>
          <w:p w14:paraId="49752709" w14:textId="77777777" w:rsidR="007D1E74" w:rsidRDefault="00A95641">
            <w:pPr>
              <w:pStyle w:val="TableParagraph"/>
              <w:spacing w:before="25"/>
              <w:ind w:left="6"/>
              <w:rPr>
                <w:sz w:val="21"/>
                <w:szCs w:val="21"/>
              </w:rPr>
            </w:pPr>
            <w:r>
              <w:rPr>
                <w:sz w:val="21"/>
                <w:szCs w:val="21"/>
              </w:rPr>
              <w:t>5</w:t>
            </w:r>
          </w:p>
        </w:tc>
        <w:tc>
          <w:tcPr>
            <w:tcW w:w="908" w:type="pct"/>
          </w:tcPr>
          <w:p w14:paraId="2E676753" w14:textId="77777777" w:rsidR="007D1E74" w:rsidRDefault="00A95641">
            <w:pPr>
              <w:pStyle w:val="TableParagraph"/>
              <w:spacing w:line="284" w:lineRule="exact"/>
              <w:ind w:left="102"/>
              <w:rPr>
                <w:rFonts w:ascii="宋体"/>
                <w:sz w:val="21"/>
                <w:szCs w:val="21"/>
              </w:rPr>
            </w:pPr>
            <w:r>
              <w:rPr>
                <w:rFonts w:ascii="宋体" w:hint="eastAsia"/>
                <w:sz w:val="21"/>
                <w:szCs w:val="21"/>
              </w:rPr>
              <w:t>女贞</w:t>
            </w:r>
          </w:p>
        </w:tc>
        <w:tc>
          <w:tcPr>
            <w:tcW w:w="674" w:type="pct"/>
          </w:tcPr>
          <w:p w14:paraId="4FF3B9F0"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5430FD69" w14:textId="77777777" w:rsidR="007D1E74" w:rsidRDefault="00A95641">
            <w:pPr>
              <w:pStyle w:val="TableParagraph"/>
              <w:spacing w:before="25"/>
              <w:rPr>
                <w:sz w:val="21"/>
                <w:szCs w:val="21"/>
              </w:rPr>
            </w:pPr>
            <w:r>
              <w:rPr>
                <w:sz w:val="21"/>
                <w:szCs w:val="21"/>
              </w:rPr>
              <w:t>1</w:t>
            </w:r>
          </w:p>
        </w:tc>
        <w:tc>
          <w:tcPr>
            <w:tcW w:w="674" w:type="pct"/>
          </w:tcPr>
          <w:p w14:paraId="76767B16" w14:textId="77777777" w:rsidR="007D1E74" w:rsidRDefault="00A95641">
            <w:pPr>
              <w:pStyle w:val="TableParagraph"/>
              <w:spacing w:before="25"/>
              <w:ind w:left="102" w:right="102"/>
              <w:rPr>
                <w:sz w:val="21"/>
                <w:szCs w:val="21"/>
              </w:rPr>
            </w:pPr>
            <w:r>
              <w:rPr>
                <w:sz w:val="21"/>
                <w:szCs w:val="21"/>
              </w:rPr>
              <w:t>Sp</w:t>
            </w:r>
          </w:p>
        </w:tc>
        <w:tc>
          <w:tcPr>
            <w:tcW w:w="978" w:type="pct"/>
          </w:tcPr>
          <w:p w14:paraId="3A5CE1F2" w14:textId="77777777" w:rsidR="007D1E74" w:rsidRDefault="00A95641">
            <w:pPr>
              <w:pStyle w:val="TableParagraph"/>
              <w:spacing w:before="25"/>
              <w:ind w:right="1"/>
              <w:rPr>
                <w:sz w:val="21"/>
                <w:szCs w:val="21"/>
              </w:rPr>
            </w:pPr>
            <w:r>
              <w:rPr>
                <w:sz w:val="21"/>
                <w:szCs w:val="21"/>
              </w:rPr>
              <w:t>7</w:t>
            </w:r>
          </w:p>
        </w:tc>
        <w:tc>
          <w:tcPr>
            <w:tcW w:w="652" w:type="pct"/>
          </w:tcPr>
          <w:p w14:paraId="1854CA92" w14:textId="77777777" w:rsidR="007D1E74" w:rsidRDefault="00A95641">
            <w:pPr>
              <w:pStyle w:val="TableParagraph"/>
              <w:spacing w:before="25"/>
              <w:ind w:right="108"/>
              <w:rPr>
                <w:sz w:val="21"/>
                <w:szCs w:val="21"/>
              </w:rPr>
            </w:pPr>
            <w:r>
              <w:rPr>
                <w:sz w:val="21"/>
                <w:szCs w:val="21"/>
              </w:rPr>
              <w:t>3</w:t>
            </w:r>
          </w:p>
        </w:tc>
      </w:tr>
      <w:tr w:rsidR="007D1E74" w14:paraId="2006364D" w14:textId="77777777">
        <w:trPr>
          <w:trHeight w:hRule="exact" w:val="336"/>
        </w:trPr>
        <w:tc>
          <w:tcPr>
            <w:tcW w:w="440" w:type="pct"/>
          </w:tcPr>
          <w:p w14:paraId="058A7308" w14:textId="77777777" w:rsidR="007D1E74" w:rsidRDefault="00A95641">
            <w:pPr>
              <w:pStyle w:val="TableParagraph"/>
              <w:spacing w:before="25"/>
              <w:ind w:left="6"/>
              <w:rPr>
                <w:sz w:val="21"/>
                <w:szCs w:val="21"/>
              </w:rPr>
            </w:pPr>
            <w:r>
              <w:rPr>
                <w:sz w:val="21"/>
                <w:szCs w:val="21"/>
              </w:rPr>
              <w:t>6</w:t>
            </w:r>
          </w:p>
        </w:tc>
        <w:tc>
          <w:tcPr>
            <w:tcW w:w="908" w:type="pct"/>
          </w:tcPr>
          <w:p w14:paraId="2B6B9D93" w14:textId="77777777" w:rsidR="007D1E74" w:rsidRDefault="00A95641">
            <w:pPr>
              <w:pStyle w:val="TableParagraph"/>
              <w:spacing w:line="284" w:lineRule="exact"/>
              <w:ind w:left="102"/>
              <w:rPr>
                <w:rFonts w:ascii="宋体"/>
                <w:sz w:val="21"/>
                <w:szCs w:val="21"/>
              </w:rPr>
            </w:pPr>
            <w:r>
              <w:rPr>
                <w:rFonts w:ascii="宋体" w:hint="eastAsia"/>
                <w:sz w:val="21"/>
                <w:szCs w:val="21"/>
              </w:rPr>
              <w:t>八角枫</w:t>
            </w:r>
          </w:p>
        </w:tc>
        <w:tc>
          <w:tcPr>
            <w:tcW w:w="674" w:type="pct"/>
          </w:tcPr>
          <w:p w14:paraId="5A88D58F"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4E75C1E3" w14:textId="77777777" w:rsidR="007D1E74" w:rsidRDefault="00A95641">
            <w:pPr>
              <w:pStyle w:val="TableParagraph"/>
              <w:spacing w:before="25"/>
              <w:rPr>
                <w:sz w:val="21"/>
                <w:szCs w:val="21"/>
              </w:rPr>
            </w:pPr>
            <w:r>
              <w:rPr>
                <w:sz w:val="21"/>
                <w:szCs w:val="21"/>
              </w:rPr>
              <w:t>1</w:t>
            </w:r>
          </w:p>
        </w:tc>
        <w:tc>
          <w:tcPr>
            <w:tcW w:w="674" w:type="pct"/>
          </w:tcPr>
          <w:p w14:paraId="169C13BC" w14:textId="77777777" w:rsidR="007D1E74" w:rsidRDefault="00A95641">
            <w:pPr>
              <w:pStyle w:val="TableParagraph"/>
              <w:spacing w:before="25"/>
              <w:ind w:left="102" w:right="102"/>
              <w:rPr>
                <w:sz w:val="21"/>
                <w:szCs w:val="21"/>
              </w:rPr>
            </w:pPr>
            <w:r>
              <w:rPr>
                <w:sz w:val="21"/>
                <w:szCs w:val="21"/>
              </w:rPr>
              <w:t>Ol</w:t>
            </w:r>
          </w:p>
        </w:tc>
        <w:tc>
          <w:tcPr>
            <w:tcW w:w="978" w:type="pct"/>
          </w:tcPr>
          <w:p w14:paraId="7CADC6D8" w14:textId="77777777" w:rsidR="007D1E74" w:rsidRDefault="00A95641">
            <w:pPr>
              <w:pStyle w:val="TableParagraph"/>
              <w:spacing w:before="25"/>
              <w:ind w:right="1"/>
              <w:rPr>
                <w:sz w:val="21"/>
                <w:szCs w:val="21"/>
              </w:rPr>
            </w:pPr>
            <w:r>
              <w:rPr>
                <w:sz w:val="21"/>
                <w:szCs w:val="21"/>
              </w:rPr>
              <w:t>5</w:t>
            </w:r>
          </w:p>
        </w:tc>
        <w:tc>
          <w:tcPr>
            <w:tcW w:w="652" w:type="pct"/>
          </w:tcPr>
          <w:p w14:paraId="31B24B79" w14:textId="77777777" w:rsidR="007D1E74" w:rsidRDefault="00A95641">
            <w:pPr>
              <w:pStyle w:val="TableParagraph"/>
              <w:spacing w:before="25"/>
              <w:ind w:right="108"/>
              <w:rPr>
                <w:sz w:val="21"/>
                <w:szCs w:val="21"/>
              </w:rPr>
            </w:pPr>
            <w:r>
              <w:rPr>
                <w:sz w:val="21"/>
                <w:szCs w:val="21"/>
              </w:rPr>
              <w:t>1</w:t>
            </w:r>
          </w:p>
        </w:tc>
      </w:tr>
      <w:tr w:rsidR="007D1E74" w14:paraId="42B802DA" w14:textId="77777777">
        <w:trPr>
          <w:trHeight w:hRule="exact" w:val="336"/>
        </w:trPr>
        <w:tc>
          <w:tcPr>
            <w:tcW w:w="440" w:type="pct"/>
          </w:tcPr>
          <w:p w14:paraId="295DFD8B" w14:textId="77777777" w:rsidR="007D1E74" w:rsidRDefault="00A95641">
            <w:pPr>
              <w:pStyle w:val="TableParagraph"/>
              <w:spacing w:before="25"/>
              <w:ind w:left="6"/>
              <w:rPr>
                <w:sz w:val="21"/>
                <w:szCs w:val="21"/>
              </w:rPr>
            </w:pPr>
            <w:r>
              <w:rPr>
                <w:sz w:val="21"/>
                <w:szCs w:val="21"/>
              </w:rPr>
              <w:t>7</w:t>
            </w:r>
          </w:p>
        </w:tc>
        <w:tc>
          <w:tcPr>
            <w:tcW w:w="908" w:type="pct"/>
          </w:tcPr>
          <w:p w14:paraId="15D4819C" w14:textId="77777777" w:rsidR="007D1E74" w:rsidRDefault="00A95641">
            <w:pPr>
              <w:pStyle w:val="TableParagraph"/>
              <w:spacing w:line="284" w:lineRule="exact"/>
              <w:ind w:left="102"/>
              <w:rPr>
                <w:rFonts w:ascii="宋体"/>
                <w:sz w:val="21"/>
                <w:szCs w:val="21"/>
              </w:rPr>
            </w:pPr>
            <w:r>
              <w:rPr>
                <w:rFonts w:ascii="宋体" w:hint="eastAsia"/>
                <w:sz w:val="21"/>
                <w:szCs w:val="21"/>
              </w:rPr>
              <w:t>高粱泡</w:t>
            </w:r>
          </w:p>
        </w:tc>
        <w:tc>
          <w:tcPr>
            <w:tcW w:w="674" w:type="pct"/>
          </w:tcPr>
          <w:p w14:paraId="147CF56C"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18DFE91C" w14:textId="77777777" w:rsidR="007D1E74" w:rsidRDefault="00A95641">
            <w:pPr>
              <w:pStyle w:val="TableParagraph"/>
              <w:spacing w:line="302" w:lineRule="exact"/>
              <w:ind w:left="100" w:right="102"/>
              <w:rPr>
                <w:rFonts w:ascii="宋体"/>
                <w:sz w:val="21"/>
                <w:szCs w:val="21"/>
              </w:rPr>
            </w:pPr>
            <w:r>
              <w:rPr>
                <w:sz w:val="21"/>
                <w:szCs w:val="21"/>
              </w:rPr>
              <w:t xml:space="preserve">6 </w:t>
            </w:r>
            <w:r>
              <w:rPr>
                <w:rFonts w:ascii="宋体" w:hint="eastAsia"/>
                <w:sz w:val="21"/>
                <w:szCs w:val="21"/>
              </w:rPr>
              <w:t>丛</w:t>
            </w:r>
          </w:p>
        </w:tc>
        <w:tc>
          <w:tcPr>
            <w:tcW w:w="674" w:type="pct"/>
          </w:tcPr>
          <w:p w14:paraId="60FE857A" w14:textId="77777777" w:rsidR="007D1E74" w:rsidRDefault="00A95641">
            <w:pPr>
              <w:pStyle w:val="TableParagraph"/>
              <w:spacing w:before="22"/>
              <w:ind w:left="102" w:right="102"/>
              <w:rPr>
                <w:sz w:val="21"/>
                <w:szCs w:val="21"/>
              </w:rPr>
            </w:pPr>
            <w:r>
              <w:rPr>
                <w:position w:val="2"/>
                <w:sz w:val="21"/>
                <w:szCs w:val="21"/>
              </w:rPr>
              <w:t>Cop</w:t>
            </w:r>
            <w:r>
              <w:rPr>
                <w:sz w:val="21"/>
                <w:szCs w:val="21"/>
              </w:rPr>
              <w:t>1</w:t>
            </w:r>
          </w:p>
        </w:tc>
        <w:tc>
          <w:tcPr>
            <w:tcW w:w="978" w:type="pct"/>
          </w:tcPr>
          <w:p w14:paraId="1F537CE7" w14:textId="77777777" w:rsidR="007D1E74" w:rsidRDefault="00A95641">
            <w:pPr>
              <w:pStyle w:val="TableParagraph"/>
              <w:spacing w:before="25"/>
              <w:ind w:left="170" w:right="170"/>
              <w:rPr>
                <w:sz w:val="21"/>
                <w:szCs w:val="21"/>
              </w:rPr>
            </w:pPr>
            <w:r>
              <w:rPr>
                <w:sz w:val="21"/>
                <w:szCs w:val="21"/>
              </w:rPr>
              <w:t>1.4</w:t>
            </w:r>
          </w:p>
        </w:tc>
        <w:tc>
          <w:tcPr>
            <w:tcW w:w="652" w:type="pct"/>
          </w:tcPr>
          <w:p w14:paraId="60EB6CC1" w14:textId="77777777" w:rsidR="007D1E74" w:rsidRDefault="00A95641">
            <w:pPr>
              <w:pStyle w:val="TableParagraph"/>
              <w:spacing w:before="25"/>
              <w:ind w:left="116" w:right="224"/>
              <w:rPr>
                <w:sz w:val="21"/>
                <w:szCs w:val="21"/>
              </w:rPr>
            </w:pPr>
            <w:r>
              <w:rPr>
                <w:sz w:val="21"/>
                <w:szCs w:val="21"/>
              </w:rPr>
              <w:t>15</w:t>
            </w:r>
          </w:p>
        </w:tc>
      </w:tr>
      <w:tr w:rsidR="007D1E74" w14:paraId="039B8453" w14:textId="77777777">
        <w:trPr>
          <w:trHeight w:hRule="exact" w:val="336"/>
        </w:trPr>
        <w:tc>
          <w:tcPr>
            <w:tcW w:w="440" w:type="pct"/>
          </w:tcPr>
          <w:p w14:paraId="28523DC3" w14:textId="77777777" w:rsidR="007D1E74" w:rsidRDefault="00A95641">
            <w:pPr>
              <w:pStyle w:val="TableParagraph"/>
              <w:spacing w:before="25"/>
              <w:ind w:left="6"/>
              <w:rPr>
                <w:sz w:val="21"/>
                <w:szCs w:val="21"/>
              </w:rPr>
            </w:pPr>
            <w:r>
              <w:rPr>
                <w:sz w:val="21"/>
                <w:szCs w:val="21"/>
              </w:rPr>
              <w:t>8</w:t>
            </w:r>
          </w:p>
        </w:tc>
        <w:tc>
          <w:tcPr>
            <w:tcW w:w="908" w:type="pct"/>
          </w:tcPr>
          <w:p w14:paraId="76183023" w14:textId="77777777" w:rsidR="007D1E74" w:rsidRDefault="00A95641">
            <w:pPr>
              <w:pStyle w:val="TableParagraph"/>
              <w:spacing w:line="284" w:lineRule="exact"/>
              <w:ind w:left="102"/>
              <w:rPr>
                <w:rFonts w:ascii="宋体"/>
                <w:sz w:val="21"/>
                <w:szCs w:val="21"/>
              </w:rPr>
            </w:pPr>
            <w:r>
              <w:rPr>
                <w:rFonts w:ascii="宋体" w:hint="eastAsia"/>
                <w:sz w:val="21"/>
                <w:szCs w:val="21"/>
              </w:rPr>
              <w:t>火棘</w:t>
            </w:r>
          </w:p>
        </w:tc>
        <w:tc>
          <w:tcPr>
            <w:tcW w:w="674" w:type="pct"/>
          </w:tcPr>
          <w:p w14:paraId="18FBA7CD"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09612B55" w14:textId="77777777" w:rsidR="007D1E74" w:rsidRDefault="00A95641">
            <w:pPr>
              <w:pStyle w:val="TableParagraph"/>
              <w:spacing w:before="25"/>
              <w:ind w:left="102" w:right="102"/>
              <w:rPr>
                <w:sz w:val="21"/>
                <w:szCs w:val="21"/>
              </w:rPr>
            </w:pPr>
            <w:r>
              <w:rPr>
                <w:sz w:val="21"/>
                <w:szCs w:val="21"/>
              </w:rPr>
              <w:t>23</w:t>
            </w:r>
          </w:p>
        </w:tc>
        <w:tc>
          <w:tcPr>
            <w:tcW w:w="674" w:type="pct"/>
          </w:tcPr>
          <w:p w14:paraId="6FC816C5" w14:textId="77777777" w:rsidR="007D1E74" w:rsidRDefault="00A95641">
            <w:pPr>
              <w:pStyle w:val="TableParagraph"/>
              <w:spacing w:before="22"/>
              <w:ind w:left="102" w:right="102"/>
              <w:rPr>
                <w:sz w:val="21"/>
                <w:szCs w:val="21"/>
              </w:rPr>
            </w:pPr>
            <w:r>
              <w:rPr>
                <w:position w:val="2"/>
                <w:sz w:val="21"/>
                <w:szCs w:val="21"/>
              </w:rPr>
              <w:t>Cop</w:t>
            </w:r>
            <w:r>
              <w:rPr>
                <w:sz w:val="21"/>
                <w:szCs w:val="21"/>
              </w:rPr>
              <w:t>1</w:t>
            </w:r>
          </w:p>
        </w:tc>
        <w:tc>
          <w:tcPr>
            <w:tcW w:w="978" w:type="pct"/>
          </w:tcPr>
          <w:p w14:paraId="6A1E7AED" w14:textId="77777777" w:rsidR="007D1E74" w:rsidRDefault="00A95641">
            <w:pPr>
              <w:pStyle w:val="TableParagraph"/>
              <w:spacing w:before="25"/>
              <w:ind w:right="1"/>
              <w:rPr>
                <w:sz w:val="21"/>
                <w:szCs w:val="21"/>
              </w:rPr>
            </w:pPr>
            <w:r>
              <w:rPr>
                <w:sz w:val="21"/>
                <w:szCs w:val="21"/>
              </w:rPr>
              <w:t>2</w:t>
            </w:r>
          </w:p>
        </w:tc>
        <w:tc>
          <w:tcPr>
            <w:tcW w:w="652" w:type="pct"/>
          </w:tcPr>
          <w:p w14:paraId="2E5EBD93" w14:textId="77777777" w:rsidR="007D1E74" w:rsidRDefault="00A95641">
            <w:pPr>
              <w:pStyle w:val="TableParagraph"/>
              <w:spacing w:before="25"/>
              <w:ind w:left="116" w:right="224"/>
              <w:rPr>
                <w:sz w:val="21"/>
                <w:szCs w:val="21"/>
              </w:rPr>
            </w:pPr>
            <w:r>
              <w:rPr>
                <w:sz w:val="21"/>
                <w:szCs w:val="21"/>
              </w:rPr>
              <w:t>10</w:t>
            </w:r>
          </w:p>
        </w:tc>
      </w:tr>
      <w:tr w:rsidR="007D1E74" w14:paraId="7505A23B" w14:textId="77777777">
        <w:trPr>
          <w:trHeight w:hRule="exact" w:val="336"/>
        </w:trPr>
        <w:tc>
          <w:tcPr>
            <w:tcW w:w="440" w:type="pct"/>
          </w:tcPr>
          <w:p w14:paraId="0030286B" w14:textId="77777777" w:rsidR="007D1E74" w:rsidRDefault="00A95641">
            <w:pPr>
              <w:pStyle w:val="TableParagraph"/>
              <w:spacing w:before="25"/>
              <w:ind w:left="6"/>
              <w:rPr>
                <w:sz w:val="21"/>
                <w:szCs w:val="21"/>
              </w:rPr>
            </w:pPr>
            <w:r>
              <w:rPr>
                <w:sz w:val="21"/>
                <w:szCs w:val="21"/>
              </w:rPr>
              <w:t>9</w:t>
            </w:r>
          </w:p>
        </w:tc>
        <w:tc>
          <w:tcPr>
            <w:tcW w:w="908" w:type="pct"/>
          </w:tcPr>
          <w:p w14:paraId="528B3031" w14:textId="77777777" w:rsidR="007D1E74" w:rsidRDefault="00A95641">
            <w:pPr>
              <w:pStyle w:val="TableParagraph"/>
              <w:spacing w:line="284" w:lineRule="exact"/>
              <w:ind w:left="102"/>
              <w:rPr>
                <w:rFonts w:ascii="宋体"/>
                <w:sz w:val="21"/>
                <w:szCs w:val="21"/>
              </w:rPr>
            </w:pPr>
            <w:r>
              <w:rPr>
                <w:rFonts w:ascii="宋体" w:hint="eastAsia"/>
                <w:sz w:val="21"/>
                <w:szCs w:val="21"/>
              </w:rPr>
              <w:t>铁仔</w:t>
            </w:r>
          </w:p>
        </w:tc>
        <w:tc>
          <w:tcPr>
            <w:tcW w:w="674" w:type="pct"/>
          </w:tcPr>
          <w:p w14:paraId="40C49ECB"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520CB58D" w14:textId="77777777" w:rsidR="007D1E74" w:rsidRDefault="00A95641">
            <w:pPr>
              <w:pStyle w:val="TableParagraph"/>
              <w:spacing w:before="25"/>
              <w:ind w:left="102" w:right="102"/>
              <w:rPr>
                <w:sz w:val="21"/>
                <w:szCs w:val="21"/>
              </w:rPr>
            </w:pPr>
            <w:r>
              <w:rPr>
                <w:sz w:val="21"/>
                <w:szCs w:val="21"/>
              </w:rPr>
              <w:t>15</w:t>
            </w:r>
          </w:p>
        </w:tc>
        <w:tc>
          <w:tcPr>
            <w:tcW w:w="674" w:type="pct"/>
          </w:tcPr>
          <w:p w14:paraId="4C9DB9F7" w14:textId="77777777" w:rsidR="007D1E74" w:rsidRDefault="00A95641">
            <w:pPr>
              <w:pStyle w:val="TableParagraph"/>
              <w:spacing w:before="25"/>
              <w:ind w:left="102" w:right="102"/>
              <w:rPr>
                <w:sz w:val="21"/>
                <w:szCs w:val="21"/>
              </w:rPr>
            </w:pPr>
            <w:r>
              <w:rPr>
                <w:sz w:val="21"/>
                <w:szCs w:val="21"/>
              </w:rPr>
              <w:t>Sp</w:t>
            </w:r>
          </w:p>
        </w:tc>
        <w:tc>
          <w:tcPr>
            <w:tcW w:w="978" w:type="pct"/>
          </w:tcPr>
          <w:p w14:paraId="59F4071B" w14:textId="77777777" w:rsidR="007D1E74" w:rsidRDefault="00A95641">
            <w:pPr>
              <w:pStyle w:val="TableParagraph"/>
              <w:spacing w:before="25"/>
              <w:ind w:left="170" w:right="170"/>
              <w:rPr>
                <w:sz w:val="21"/>
                <w:szCs w:val="21"/>
              </w:rPr>
            </w:pPr>
            <w:r>
              <w:rPr>
                <w:sz w:val="21"/>
                <w:szCs w:val="21"/>
              </w:rPr>
              <w:t>1.1</w:t>
            </w:r>
          </w:p>
        </w:tc>
        <w:tc>
          <w:tcPr>
            <w:tcW w:w="652" w:type="pct"/>
          </w:tcPr>
          <w:p w14:paraId="01C17080" w14:textId="77777777" w:rsidR="007D1E74" w:rsidRDefault="00A95641">
            <w:pPr>
              <w:pStyle w:val="TableParagraph"/>
              <w:spacing w:before="25"/>
              <w:ind w:right="108"/>
              <w:rPr>
                <w:sz w:val="21"/>
                <w:szCs w:val="21"/>
              </w:rPr>
            </w:pPr>
            <w:r>
              <w:rPr>
                <w:sz w:val="21"/>
                <w:szCs w:val="21"/>
              </w:rPr>
              <w:t>5</w:t>
            </w:r>
          </w:p>
        </w:tc>
      </w:tr>
      <w:tr w:rsidR="007D1E74" w14:paraId="36EE6925" w14:textId="77777777">
        <w:trPr>
          <w:trHeight w:hRule="exact" w:val="336"/>
        </w:trPr>
        <w:tc>
          <w:tcPr>
            <w:tcW w:w="440" w:type="pct"/>
          </w:tcPr>
          <w:p w14:paraId="742DB96E" w14:textId="77777777" w:rsidR="007D1E74" w:rsidRDefault="00A95641">
            <w:pPr>
              <w:pStyle w:val="TableParagraph"/>
              <w:spacing w:before="25"/>
              <w:ind w:left="109" w:right="103"/>
              <w:rPr>
                <w:sz w:val="21"/>
                <w:szCs w:val="21"/>
              </w:rPr>
            </w:pPr>
            <w:r>
              <w:rPr>
                <w:sz w:val="21"/>
                <w:szCs w:val="21"/>
              </w:rPr>
              <w:t>10</w:t>
            </w:r>
          </w:p>
        </w:tc>
        <w:tc>
          <w:tcPr>
            <w:tcW w:w="908" w:type="pct"/>
          </w:tcPr>
          <w:p w14:paraId="192F9571" w14:textId="77777777" w:rsidR="007D1E74" w:rsidRDefault="00A95641">
            <w:pPr>
              <w:pStyle w:val="TableParagraph"/>
              <w:spacing w:line="284" w:lineRule="exact"/>
              <w:ind w:left="102"/>
              <w:rPr>
                <w:rFonts w:ascii="宋体"/>
                <w:sz w:val="21"/>
                <w:szCs w:val="21"/>
              </w:rPr>
            </w:pPr>
            <w:r>
              <w:rPr>
                <w:rFonts w:ascii="宋体" w:hint="eastAsia"/>
                <w:sz w:val="21"/>
                <w:szCs w:val="21"/>
              </w:rPr>
              <w:t>野青茅</w:t>
            </w:r>
          </w:p>
        </w:tc>
        <w:tc>
          <w:tcPr>
            <w:tcW w:w="674" w:type="pct"/>
          </w:tcPr>
          <w:p w14:paraId="5184D9DB"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70A67D2C" w14:textId="77777777" w:rsidR="007D1E74" w:rsidRDefault="00A95641">
            <w:pPr>
              <w:pStyle w:val="TableParagraph"/>
              <w:spacing w:line="302" w:lineRule="exact"/>
              <w:ind w:left="100" w:right="102"/>
              <w:rPr>
                <w:rFonts w:ascii="宋体"/>
                <w:sz w:val="21"/>
                <w:szCs w:val="21"/>
              </w:rPr>
            </w:pPr>
            <w:r>
              <w:rPr>
                <w:sz w:val="21"/>
                <w:szCs w:val="21"/>
              </w:rPr>
              <w:t xml:space="preserve">6 </w:t>
            </w:r>
            <w:r>
              <w:rPr>
                <w:rFonts w:ascii="宋体" w:hint="eastAsia"/>
                <w:sz w:val="21"/>
                <w:szCs w:val="21"/>
              </w:rPr>
              <w:t>丛</w:t>
            </w:r>
          </w:p>
        </w:tc>
        <w:tc>
          <w:tcPr>
            <w:tcW w:w="674" w:type="pct"/>
          </w:tcPr>
          <w:p w14:paraId="3E1D004A" w14:textId="77777777" w:rsidR="007D1E74" w:rsidRDefault="00A95641">
            <w:pPr>
              <w:pStyle w:val="TableParagraph"/>
              <w:spacing w:before="22"/>
              <w:ind w:left="102" w:right="102"/>
              <w:rPr>
                <w:sz w:val="21"/>
                <w:szCs w:val="21"/>
              </w:rPr>
            </w:pPr>
            <w:r>
              <w:rPr>
                <w:position w:val="2"/>
                <w:sz w:val="21"/>
                <w:szCs w:val="21"/>
              </w:rPr>
              <w:t>Cop</w:t>
            </w:r>
            <w:r>
              <w:rPr>
                <w:sz w:val="21"/>
                <w:szCs w:val="21"/>
              </w:rPr>
              <w:t>1</w:t>
            </w:r>
          </w:p>
        </w:tc>
        <w:tc>
          <w:tcPr>
            <w:tcW w:w="978" w:type="pct"/>
          </w:tcPr>
          <w:p w14:paraId="79A0E1BC" w14:textId="77777777" w:rsidR="007D1E74" w:rsidRDefault="00A95641">
            <w:pPr>
              <w:pStyle w:val="TableParagraph"/>
              <w:spacing w:before="25"/>
              <w:ind w:left="170" w:right="170"/>
              <w:rPr>
                <w:sz w:val="21"/>
                <w:szCs w:val="21"/>
              </w:rPr>
            </w:pPr>
            <w:r>
              <w:rPr>
                <w:sz w:val="21"/>
                <w:szCs w:val="21"/>
              </w:rPr>
              <w:t>0.55</w:t>
            </w:r>
          </w:p>
        </w:tc>
        <w:tc>
          <w:tcPr>
            <w:tcW w:w="652" w:type="pct"/>
          </w:tcPr>
          <w:p w14:paraId="2C00D4BF" w14:textId="77777777" w:rsidR="007D1E74" w:rsidRDefault="00A95641">
            <w:pPr>
              <w:pStyle w:val="TableParagraph"/>
              <w:spacing w:before="25"/>
              <w:ind w:left="116" w:right="224"/>
              <w:rPr>
                <w:sz w:val="21"/>
                <w:szCs w:val="21"/>
              </w:rPr>
            </w:pPr>
            <w:r>
              <w:rPr>
                <w:sz w:val="21"/>
                <w:szCs w:val="21"/>
              </w:rPr>
              <w:t>12</w:t>
            </w:r>
          </w:p>
        </w:tc>
      </w:tr>
      <w:tr w:rsidR="007D1E74" w14:paraId="0A0026FE" w14:textId="77777777">
        <w:trPr>
          <w:trHeight w:hRule="exact" w:val="336"/>
        </w:trPr>
        <w:tc>
          <w:tcPr>
            <w:tcW w:w="440" w:type="pct"/>
          </w:tcPr>
          <w:p w14:paraId="73448E66" w14:textId="77777777" w:rsidR="007D1E74" w:rsidRDefault="00A95641">
            <w:pPr>
              <w:pStyle w:val="TableParagraph"/>
              <w:spacing w:before="25"/>
              <w:ind w:left="109" w:right="103"/>
              <w:rPr>
                <w:sz w:val="21"/>
                <w:szCs w:val="21"/>
              </w:rPr>
            </w:pPr>
            <w:r>
              <w:rPr>
                <w:sz w:val="21"/>
                <w:szCs w:val="21"/>
              </w:rPr>
              <w:t>11</w:t>
            </w:r>
          </w:p>
        </w:tc>
        <w:tc>
          <w:tcPr>
            <w:tcW w:w="908" w:type="pct"/>
          </w:tcPr>
          <w:p w14:paraId="2817D6B8" w14:textId="77777777" w:rsidR="007D1E74" w:rsidRDefault="00A95641">
            <w:pPr>
              <w:pStyle w:val="TableParagraph"/>
              <w:spacing w:line="284" w:lineRule="exact"/>
              <w:ind w:left="102"/>
              <w:rPr>
                <w:rFonts w:ascii="宋体"/>
                <w:sz w:val="21"/>
                <w:szCs w:val="21"/>
              </w:rPr>
            </w:pPr>
            <w:r>
              <w:rPr>
                <w:rFonts w:ascii="宋体" w:hint="eastAsia"/>
                <w:sz w:val="21"/>
                <w:szCs w:val="21"/>
              </w:rPr>
              <w:t>褐果苔草</w:t>
            </w:r>
          </w:p>
        </w:tc>
        <w:tc>
          <w:tcPr>
            <w:tcW w:w="674" w:type="pct"/>
          </w:tcPr>
          <w:p w14:paraId="35950778"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314C4A08" w14:textId="77777777" w:rsidR="007D1E74" w:rsidRDefault="00A95641">
            <w:pPr>
              <w:pStyle w:val="TableParagraph"/>
              <w:spacing w:before="25"/>
              <w:ind w:left="102" w:right="102"/>
              <w:rPr>
                <w:sz w:val="21"/>
                <w:szCs w:val="21"/>
              </w:rPr>
            </w:pPr>
            <w:r>
              <w:rPr>
                <w:sz w:val="21"/>
                <w:szCs w:val="21"/>
              </w:rPr>
              <w:t>15</w:t>
            </w:r>
          </w:p>
        </w:tc>
        <w:tc>
          <w:tcPr>
            <w:tcW w:w="674" w:type="pct"/>
          </w:tcPr>
          <w:p w14:paraId="56C0DAAA" w14:textId="77777777" w:rsidR="007D1E74" w:rsidRDefault="00A95641">
            <w:pPr>
              <w:pStyle w:val="TableParagraph"/>
              <w:spacing w:before="25"/>
              <w:ind w:left="102" w:right="102"/>
              <w:rPr>
                <w:sz w:val="21"/>
                <w:szCs w:val="21"/>
              </w:rPr>
            </w:pPr>
            <w:r>
              <w:rPr>
                <w:sz w:val="21"/>
                <w:szCs w:val="21"/>
              </w:rPr>
              <w:t>Sp</w:t>
            </w:r>
          </w:p>
        </w:tc>
        <w:tc>
          <w:tcPr>
            <w:tcW w:w="978" w:type="pct"/>
          </w:tcPr>
          <w:p w14:paraId="3F9189B8" w14:textId="77777777" w:rsidR="007D1E74" w:rsidRDefault="00A95641">
            <w:pPr>
              <w:pStyle w:val="TableParagraph"/>
              <w:spacing w:before="25"/>
              <w:ind w:left="170" w:right="170"/>
              <w:rPr>
                <w:sz w:val="21"/>
                <w:szCs w:val="21"/>
              </w:rPr>
            </w:pPr>
            <w:r>
              <w:rPr>
                <w:sz w:val="21"/>
                <w:szCs w:val="21"/>
              </w:rPr>
              <w:t>0.4</w:t>
            </w:r>
          </w:p>
        </w:tc>
        <w:tc>
          <w:tcPr>
            <w:tcW w:w="652" w:type="pct"/>
          </w:tcPr>
          <w:p w14:paraId="4D5D2924" w14:textId="77777777" w:rsidR="007D1E74" w:rsidRDefault="00A95641">
            <w:pPr>
              <w:pStyle w:val="TableParagraph"/>
              <w:spacing w:before="25"/>
              <w:ind w:right="108"/>
              <w:rPr>
                <w:sz w:val="21"/>
                <w:szCs w:val="21"/>
              </w:rPr>
            </w:pPr>
            <w:r>
              <w:rPr>
                <w:sz w:val="21"/>
                <w:szCs w:val="21"/>
              </w:rPr>
              <w:t>5</w:t>
            </w:r>
          </w:p>
        </w:tc>
      </w:tr>
      <w:tr w:rsidR="007D1E74" w14:paraId="2F0370EE" w14:textId="77777777">
        <w:trPr>
          <w:trHeight w:hRule="exact" w:val="336"/>
        </w:trPr>
        <w:tc>
          <w:tcPr>
            <w:tcW w:w="440" w:type="pct"/>
          </w:tcPr>
          <w:p w14:paraId="42E49ABE" w14:textId="77777777" w:rsidR="007D1E74" w:rsidRDefault="00A95641">
            <w:pPr>
              <w:pStyle w:val="TableParagraph"/>
              <w:spacing w:before="25"/>
              <w:ind w:left="109" w:right="103"/>
              <w:rPr>
                <w:sz w:val="21"/>
                <w:szCs w:val="21"/>
              </w:rPr>
            </w:pPr>
            <w:r>
              <w:rPr>
                <w:sz w:val="21"/>
                <w:szCs w:val="21"/>
              </w:rPr>
              <w:t>12</w:t>
            </w:r>
          </w:p>
        </w:tc>
        <w:tc>
          <w:tcPr>
            <w:tcW w:w="908" w:type="pct"/>
          </w:tcPr>
          <w:p w14:paraId="571134E7" w14:textId="77777777" w:rsidR="007D1E74" w:rsidRDefault="00A95641">
            <w:pPr>
              <w:pStyle w:val="TableParagraph"/>
              <w:spacing w:line="284" w:lineRule="exact"/>
              <w:ind w:left="102"/>
              <w:rPr>
                <w:rFonts w:ascii="宋体"/>
                <w:sz w:val="21"/>
                <w:szCs w:val="21"/>
              </w:rPr>
            </w:pPr>
            <w:r>
              <w:rPr>
                <w:rFonts w:ascii="宋体" w:hint="eastAsia"/>
                <w:sz w:val="21"/>
                <w:szCs w:val="21"/>
              </w:rPr>
              <w:t>棕叶狗尾草</w:t>
            </w:r>
          </w:p>
        </w:tc>
        <w:tc>
          <w:tcPr>
            <w:tcW w:w="674" w:type="pct"/>
          </w:tcPr>
          <w:p w14:paraId="4A275F81"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6387ACAE" w14:textId="77777777" w:rsidR="007D1E74" w:rsidRDefault="00A95641">
            <w:pPr>
              <w:pStyle w:val="TableParagraph"/>
              <w:spacing w:before="25"/>
              <w:rPr>
                <w:sz w:val="21"/>
                <w:szCs w:val="21"/>
              </w:rPr>
            </w:pPr>
            <w:r>
              <w:rPr>
                <w:sz w:val="21"/>
                <w:szCs w:val="21"/>
              </w:rPr>
              <w:t>6</w:t>
            </w:r>
          </w:p>
        </w:tc>
        <w:tc>
          <w:tcPr>
            <w:tcW w:w="674" w:type="pct"/>
          </w:tcPr>
          <w:p w14:paraId="66F880BA" w14:textId="77777777" w:rsidR="007D1E74" w:rsidRDefault="00A95641">
            <w:pPr>
              <w:pStyle w:val="TableParagraph"/>
              <w:spacing w:before="25"/>
              <w:ind w:left="102" w:right="102"/>
              <w:rPr>
                <w:sz w:val="21"/>
                <w:szCs w:val="21"/>
              </w:rPr>
            </w:pPr>
            <w:r>
              <w:rPr>
                <w:sz w:val="21"/>
                <w:szCs w:val="21"/>
              </w:rPr>
              <w:t>Sp</w:t>
            </w:r>
          </w:p>
        </w:tc>
        <w:tc>
          <w:tcPr>
            <w:tcW w:w="978" w:type="pct"/>
          </w:tcPr>
          <w:p w14:paraId="666F4087" w14:textId="77777777" w:rsidR="007D1E74" w:rsidRDefault="00A95641">
            <w:pPr>
              <w:pStyle w:val="TableParagraph"/>
              <w:spacing w:before="25"/>
              <w:ind w:left="170" w:right="170"/>
              <w:rPr>
                <w:sz w:val="21"/>
                <w:szCs w:val="21"/>
              </w:rPr>
            </w:pPr>
            <w:r>
              <w:rPr>
                <w:sz w:val="21"/>
                <w:szCs w:val="21"/>
              </w:rPr>
              <w:t>1.4</w:t>
            </w:r>
          </w:p>
        </w:tc>
        <w:tc>
          <w:tcPr>
            <w:tcW w:w="652" w:type="pct"/>
          </w:tcPr>
          <w:p w14:paraId="550B5688" w14:textId="77777777" w:rsidR="007D1E74" w:rsidRDefault="00A95641">
            <w:pPr>
              <w:pStyle w:val="TableParagraph"/>
              <w:spacing w:before="25"/>
              <w:ind w:right="108"/>
              <w:rPr>
                <w:sz w:val="21"/>
                <w:szCs w:val="21"/>
              </w:rPr>
            </w:pPr>
            <w:r>
              <w:rPr>
                <w:sz w:val="21"/>
                <w:szCs w:val="21"/>
              </w:rPr>
              <w:t>5</w:t>
            </w:r>
          </w:p>
        </w:tc>
      </w:tr>
      <w:tr w:rsidR="007D1E74" w14:paraId="252C493B" w14:textId="77777777">
        <w:trPr>
          <w:trHeight w:hRule="exact" w:val="336"/>
        </w:trPr>
        <w:tc>
          <w:tcPr>
            <w:tcW w:w="440" w:type="pct"/>
          </w:tcPr>
          <w:p w14:paraId="321025EA" w14:textId="77777777" w:rsidR="007D1E74" w:rsidRDefault="00A95641">
            <w:pPr>
              <w:pStyle w:val="TableParagraph"/>
              <w:spacing w:before="25"/>
              <w:ind w:left="109" w:right="103"/>
              <w:rPr>
                <w:sz w:val="21"/>
                <w:szCs w:val="21"/>
              </w:rPr>
            </w:pPr>
            <w:r>
              <w:rPr>
                <w:sz w:val="21"/>
                <w:szCs w:val="21"/>
              </w:rPr>
              <w:t>13</w:t>
            </w:r>
          </w:p>
        </w:tc>
        <w:tc>
          <w:tcPr>
            <w:tcW w:w="908" w:type="pct"/>
          </w:tcPr>
          <w:p w14:paraId="308B587A" w14:textId="77777777" w:rsidR="007D1E74" w:rsidRDefault="00A95641">
            <w:pPr>
              <w:pStyle w:val="TableParagraph"/>
              <w:spacing w:line="284" w:lineRule="exact"/>
              <w:ind w:left="102"/>
              <w:rPr>
                <w:rFonts w:ascii="宋体"/>
                <w:sz w:val="21"/>
                <w:szCs w:val="21"/>
              </w:rPr>
            </w:pPr>
            <w:r>
              <w:rPr>
                <w:rFonts w:ascii="宋体" w:hint="eastAsia"/>
                <w:sz w:val="21"/>
                <w:szCs w:val="21"/>
              </w:rPr>
              <w:t>蜈蚣草</w:t>
            </w:r>
          </w:p>
        </w:tc>
        <w:tc>
          <w:tcPr>
            <w:tcW w:w="674" w:type="pct"/>
          </w:tcPr>
          <w:p w14:paraId="6CCE0B52"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3795422C" w14:textId="77777777" w:rsidR="007D1E74" w:rsidRDefault="00A95641">
            <w:pPr>
              <w:pStyle w:val="TableParagraph"/>
              <w:spacing w:before="25"/>
              <w:ind w:left="102" w:right="102"/>
              <w:rPr>
                <w:sz w:val="21"/>
                <w:szCs w:val="21"/>
              </w:rPr>
            </w:pPr>
            <w:r>
              <w:rPr>
                <w:sz w:val="21"/>
                <w:szCs w:val="21"/>
              </w:rPr>
              <w:t>16</w:t>
            </w:r>
          </w:p>
        </w:tc>
        <w:tc>
          <w:tcPr>
            <w:tcW w:w="674" w:type="pct"/>
          </w:tcPr>
          <w:p w14:paraId="741875B6" w14:textId="77777777" w:rsidR="007D1E74" w:rsidRDefault="00A95641">
            <w:pPr>
              <w:pStyle w:val="TableParagraph"/>
              <w:spacing w:before="25"/>
              <w:ind w:left="102" w:right="102"/>
              <w:rPr>
                <w:sz w:val="21"/>
                <w:szCs w:val="21"/>
              </w:rPr>
            </w:pPr>
            <w:r>
              <w:rPr>
                <w:sz w:val="21"/>
                <w:szCs w:val="21"/>
              </w:rPr>
              <w:t>Sp</w:t>
            </w:r>
          </w:p>
        </w:tc>
        <w:tc>
          <w:tcPr>
            <w:tcW w:w="978" w:type="pct"/>
          </w:tcPr>
          <w:p w14:paraId="6968BE40" w14:textId="77777777" w:rsidR="007D1E74" w:rsidRDefault="00A95641">
            <w:pPr>
              <w:pStyle w:val="TableParagraph"/>
              <w:spacing w:before="25"/>
              <w:ind w:left="170" w:right="170"/>
              <w:rPr>
                <w:sz w:val="21"/>
                <w:szCs w:val="21"/>
              </w:rPr>
            </w:pPr>
            <w:r>
              <w:rPr>
                <w:sz w:val="21"/>
                <w:szCs w:val="21"/>
              </w:rPr>
              <w:t>0.5</w:t>
            </w:r>
          </w:p>
        </w:tc>
        <w:tc>
          <w:tcPr>
            <w:tcW w:w="652" w:type="pct"/>
          </w:tcPr>
          <w:p w14:paraId="72579642" w14:textId="77777777" w:rsidR="007D1E74" w:rsidRDefault="00A95641">
            <w:pPr>
              <w:pStyle w:val="TableParagraph"/>
              <w:spacing w:before="25"/>
              <w:ind w:right="108"/>
              <w:rPr>
                <w:sz w:val="21"/>
                <w:szCs w:val="21"/>
              </w:rPr>
            </w:pPr>
            <w:r>
              <w:rPr>
                <w:sz w:val="21"/>
                <w:szCs w:val="21"/>
              </w:rPr>
              <w:t>5</w:t>
            </w:r>
          </w:p>
        </w:tc>
      </w:tr>
      <w:tr w:rsidR="007D1E74" w14:paraId="61B29A0A" w14:textId="77777777">
        <w:trPr>
          <w:trHeight w:hRule="exact" w:val="336"/>
        </w:trPr>
        <w:tc>
          <w:tcPr>
            <w:tcW w:w="440" w:type="pct"/>
          </w:tcPr>
          <w:p w14:paraId="2F021B99" w14:textId="77777777" w:rsidR="007D1E74" w:rsidRDefault="00A95641">
            <w:pPr>
              <w:pStyle w:val="TableParagraph"/>
              <w:spacing w:before="25"/>
              <w:ind w:left="109" w:right="103"/>
              <w:rPr>
                <w:sz w:val="21"/>
                <w:szCs w:val="21"/>
              </w:rPr>
            </w:pPr>
            <w:r>
              <w:rPr>
                <w:sz w:val="21"/>
                <w:szCs w:val="21"/>
              </w:rPr>
              <w:t>14</w:t>
            </w:r>
          </w:p>
        </w:tc>
        <w:tc>
          <w:tcPr>
            <w:tcW w:w="908" w:type="pct"/>
          </w:tcPr>
          <w:p w14:paraId="7EE99B23" w14:textId="77777777" w:rsidR="007D1E74" w:rsidRDefault="00A95641">
            <w:pPr>
              <w:pStyle w:val="TableParagraph"/>
              <w:spacing w:line="284" w:lineRule="exact"/>
              <w:ind w:left="102"/>
              <w:rPr>
                <w:rFonts w:ascii="宋体"/>
                <w:sz w:val="21"/>
                <w:szCs w:val="21"/>
              </w:rPr>
            </w:pPr>
            <w:r>
              <w:rPr>
                <w:rFonts w:ascii="宋体" w:hint="eastAsia"/>
                <w:sz w:val="21"/>
                <w:szCs w:val="21"/>
              </w:rPr>
              <w:t>狗牙根</w:t>
            </w:r>
          </w:p>
        </w:tc>
        <w:tc>
          <w:tcPr>
            <w:tcW w:w="674" w:type="pct"/>
          </w:tcPr>
          <w:p w14:paraId="62F196C2"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693172DB" w14:textId="77777777" w:rsidR="007D1E74" w:rsidRDefault="00A95641">
            <w:pPr>
              <w:pStyle w:val="TableParagraph"/>
              <w:spacing w:line="302" w:lineRule="exact"/>
              <w:ind w:left="100" w:right="102"/>
              <w:rPr>
                <w:rFonts w:ascii="宋体"/>
                <w:sz w:val="21"/>
                <w:szCs w:val="21"/>
              </w:rPr>
            </w:pPr>
            <w:r>
              <w:rPr>
                <w:sz w:val="21"/>
                <w:szCs w:val="21"/>
              </w:rPr>
              <w:t xml:space="preserve">4 </w:t>
            </w:r>
            <w:r>
              <w:rPr>
                <w:rFonts w:ascii="宋体" w:hint="eastAsia"/>
                <w:sz w:val="21"/>
                <w:szCs w:val="21"/>
              </w:rPr>
              <w:t>丛</w:t>
            </w:r>
          </w:p>
        </w:tc>
        <w:tc>
          <w:tcPr>
            <w:tcW w:w="674" w:type="pct"/>
          </w:tcPr>
          <w:p w14:paraId="2910285B" w14:textId="77777777" w:rsidR="007D1E74" w:rsidRDefault="00A95641">
            <w:pPr>
              <w:pStyle w:val="TableParagraph"/>
              <w:spacing w:before="25"/>
              <w:ind w:left="102" w:right="102"/>
              <w:rPr>
                <w:sz w:val="21"/>
                <w:szCs w:val="21"/>
              </w:rPr>
            </w:pPr>
            <w:r>
              <w:rPr>
                <w:sz w:val="21"/>
                <w:szCs w:val="21"/>
              </w:rPr>
              <w:t>Ol</w:t>
            </w:r>
          </w:p>
        </w:tc>
        <w:tc>
          <w:tcPr>
            <w:tcW w:w="978" w:type="pct"/>
          </w:tcPr>
          <w:p w14:paraId="6BE8FB01" w14:textId="77777777" w:rsidR="007D1E74" w:rsidRDefault="00A95641">
            <w:pPr>
              <w:pStyle w:val="TableParagraph"/>
              <w:spacing w:before="25"/>
              <w:ind w:left="170" w:right="170"/>
              <w:rPr>
                <w:sz w:val="21"/>
                <w:szCs w:val="21"/>
              </w:rPr>
            </w:pPr>
            <w:r>
              <w:rPr>
                <w:sz w:val="21"/>
                <w:szCs w:val="21"/>
              </w:rPr>
              <w:t>0.1</w:t>
            </w:r>
          </w:p>
        </w:tc>
        <w:tc>
          <w:tcPr>
            <w:tcW w:w="652" w:type="pct"/>
          </w:tcPr>
          <w:p w14:paraId="63F24E4C" w14:textId="77777777" w:rsidR="007D1E74" w:rsidRDefault="00A95641">
            <w:pPr>
              <w:pStyle w:val="TableParagraph"/>
              <w:spacing w:before="25"/>
              <w:ind w:right="108"/>
              <w:rPr>
                <w:sz w:val="21"/>
                <w:szCs w:val="21"/>
              </w:rPr>
            </w:pPr>
            <w:r>
              <w:rPr>
                <w:sz w:val="21"/>
                <w:szCs w:val="21"/>
              </w:rPr>
              <w:t>4</w:t>
            </w:r>
          </w:p>
        </w:tc>
      </w:tr>
      <w:tr w:rsidR="007D1E74" w14:paraId="783959BC" w14:textId="77777777">
        <w:trPr>
          <w:trHeight w:hRule="exact" w:val="336"/>
        </w:trPr>
        <w:tc>
          <w:tcPr>
            <w:tcW w:w="440" w:type="pct"/>
          </w:tcPr>
          <w:p w14:paraId="1BCC6912" w14:textId="77777777" w:rsidR="007D1E74" w:rsidRDefault="00A95641">
            <w:pPr>
              <w:pStyle w:val="TableParagraph"/>
              <w:spacing w:before="25"/>
              <w:ind w:left="109" w:right="103"/>
              <w:rPr>
                <w:sz w:val="21"/>
                <w:szCs w:val="21"/>
              </w:rPr>
            </w:pPr>
            <w:r>
              <w:rPr>
                <w:sz w:val="21"/>
                <w:szCs w:val="21"/>
              </w:rPr>
              <w:t>15</w:t>
            </w:r>
          </w:p>
        </w:tc>
        <w:tc>
          <w:tcPr>
            <w:tcW w:w="908" w:type="pct"/>
          </w:tcPr>
          <w:p w14:paraId="0BE79F8C" w14:textId="77777777" w:rsidR="007D1E74" w:rsidRDefault="00A95641">
            <w:pPr>
              <w:pStyle w:val="TableParagraph"/>
              <w:spacing w:line="284" w:lineRule="exact"/>
              <w:ind w:left="102"/>
              <w:rPr>
                <w:rFonts w:ascii="宋体"/>
                <w:sz w:val="21"/>
                <w:szCs w:val="21"/>
              </w:rPr>
            </w:pPr>
            <w:r>
              <w:rPr>
                <w:rFonts w:ascii="宋体" w:hint="eastAsia"/>
                <w:sz w:val="21"/>
                <w:szCs w:val="21"/>
              </w:rPr>
              <w:t>毛茛</w:t>
            </w:r>
          </w:p>
        </w:tc>
        <w:tc>
          <w:tcPr>
            <w:tcW w:w="674" w:type="pct"/>
          </w:tcPr>
          <w:p w14:paraId="4FE086B0" w14:textId="77777777" w:rsidR="007D1E74" w:rsidRDefault="00A95641">
            <w:pPr>
              <w:pStyle w:val="TableParagraph"/>
              <w:spacing w:line="284" w:lineRule="exact"/>
              <w:ind w:left="103"/>
              <w:rPr>
                <w:rFonts w:ascii="宋体"/>
                <w:sz w:val="21"/>
                <w:szCs w:val="21"/>
              </w:rPr>
            </w:pPr>
            <w:r>
              <w:rPr>
                <w:rFonts w:ascii="宋体" w:hint="eastAsia"/>
                <w:sz w:val="21"/>
                <w:szCs w:val="21"/>
              </w:rPr>
              <w:t>花期</w:t>
            </w:r>
          </w:p>
        </w:tc>
        <w:tc>
          <w:tcPr>
            <w:tcW w:w="674" w:type="pct"/>
          </w:tcPr>
          <w:p w14:paraId="739BFD0E" w14:textId="77777777" w:rsidR="007D1E74" w:rsidRDefault="00A95641">
            <w:pPr>
              <w:pStyle w:val="TableParagraph"/>
              <w:spacing w:before="25"/>
              <w:ind w:left="102" w:right="102"/>
              <w:rPr>
                <w:sz w:val="21"/>
                <w:szCs w:val="21"/>
              </w:rPr>
            </w:pPr>
            <w:r>
              <w:rPr>
                <w:sz w:val="21"/>
                <w:szCs w:val="21"/>
              </w:rPr>
              <w:t>22</w:t>
            </w:r>
          </w:p>
        </w:tc>
        <w:tc>
          <w:tcPr>
            <w:tcW w:w="674" w:type="pct"/>
          </w:tcPr>
          <w:p w14:paraId="4247EA3D" w14:textId="77777777" w:rsidR="007D1E74" w:rsidRDefault="00A95641">
            <w:pPr>
              <w:pStyle w:val="TableParagraph"/>
              <w:spacing w:before="25"/>
              <w:ind w:left="102" w:right="102"/>
              <w:rPr>
                <w:sz w:val="21"/>
                <w:szCs w:val="21"/>
              </w:rPr>
            </w:pPr>
            <w:r>
              <w:rPr>
                <w:sz w:val="21"/>
                <w:szCs w:val="21"/>
              </w:rPr>
              <w:t>Ol</w:t>
            </w:r>
          </w:p>
        </w:tc>
        <w:tc>
          <w:tcPr>
            <w:tcW w:w="978" w:type="pct"/>
          </w:tcPr>
          <w:p w14:paraId="5BF1EC37" w14:textId="77777777" w:rsidR="007D1E74" w:rsidRDefault="00A95641">
            <w:pPr>
              <w:pStyle w:val="TableParagraph"/>
              <w:spacing w:before="25"/>
              <w:ind w:left="170" w:right="170"/>
              <w:rPr>
                <w:sz w:val="21"/>
                <w:szCs w:val="21"/>
              </w:rPr>
            </w:pPr>
            <w:r>
              <w:rPr>
                <w:sz w:val="21"/>
                <w:szCs w:val="21"/>
              </w:rPr>
              <w:t>0.7</w:t>
            </w:r>
          </w:p>
        </w:tc>
        <w:tc>
          <w:tcPr>
            <w:tcW w:w="652" w:type="pct"/>
          </w:tcPr>
          <w:p w14:paraId="6AFFF3D0" w14:textId="77777777" w:rsidR="007D1E74" w:rsidRDefault="00A95641">
            <w:pPr>
              <w:pStyle w:val="TableParagraph"/>
              <w:spacing w:before="25"/>
              <w:ind w:right="108"/>
              <w:rPr>
                <w:sz w:val="21"/>
                <w:szCs w:val="21"/>
              </w:rPr>
            </w:pPr>
            <w:r>
              <w:rPr>
                <w:sz w:val="21"/>
                <w:szCs w:val="21"/>
              </w:rPr>
              <w:t>2</w:t>
            </w:r>
          </w:p>
        </w:tc>
      </w:tr>
      <w:tr w:rsidR="007D1E74" w14:paraId="25623E7F" w14:textId="77777777">
        <w:trPr>
          <w:trHeight w:hRule="exact" w:val="336"/>
        </w:trPr>
        <w:tc>
          <w:tcPr>
            <w:tcW w:w="440" w:type="pct"/>
          </w:tcPr>
          <w:p w14:paraId="4B348625" w14:textId="77777777" w:rsidR="007D1E74" w:rsidRDefault="00A95641">
            <w:pPr>
              <w:pStyle w:val="TableParagraph"/>
              <w:spacing w:before="25"/>
              <w:ind w:left="109" w:right="103"/>
              <w:rPr>
                <w:sz w:val="21"/>
                <w:szCs w:val="21"/>
              </w:rPr>
            </w:pPr>
            <w:r>
              <w:rPr>
                <w:sz w:val="21"/>
                <w:szCs w:val="21"/>
              </w:rPr>
              <w:t>16</w:t>
            </w:r>
          </w:p>
        </w:tc>
        <w:tc>
          <w:tcPr>
            <w:tcW w:w="908" w:type="pct"/>
          </w:tcPr>
          <w:p w14:paraId="390B153B" w14:textId="77777777" w:rsidR="007D1E74" w:rsidRDefault="00A95641">
            <w:pPr>
              <w:pStyle w:val="TableParagraph"/>
              <w:spacing w:line="284" w:lineRule="exact"/>
              <w:ind w:left="102"/>
              <w:rPr>
                <w:rFonts w:ascii="宋体"/>
                <w:sz w:val="21"/>
                <w:szCs w:val="21"/>
              </w:rPr>
            </w:pPr>
            <w:r>
              <w:rPr>
                <w:rFonts w:ascii="宋体" w:hint="eastAsia"/>
                <w:sz w:val="21"/>
                <w:szCs w:val="21"/>
              </w:rPr>
              <w:t>顶芽狗脊</w:t>
            </w:r>
          </w:p>
        </w:tc>
        <w:tc>
          <w:tcPr>
            <w:tcW w:w="674" w:type="pct"/>
          </w:tcPr>
          <w:p w14:paraId="793A3F76"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4AA19990" w14:textId="77777777" w:rsidR="007D1E74" w:rsidRDefault="00A95641">
            <w:pPr>
              <w:pStyle w:val="TableParagraph"/>
              <w:spacing w:line="302" w:lineRule="exact"/>
              <w:ind w:left="100" w:right="102"/>
              <w:rPr>
                <w:rFonts w:ascii="宋体"/>
                <w:sz w:val="21"/>
                <w:szCs w:val="21"/>
              </w:rPr>
            </w:pPr>
            <w:r>
              <w:rPr>
                <w:sz w:val="21"/>
                <w:szCs w:val="21"/>
              </w:rPr>
              <w:t xml:space="preserve">2 </w:t>
            </w:r>
            <w:r>
              <w:rPr>
                <w:rFonts w:ascii="宋体" w:hint="eastAsia"/>
                <w:sz w:val="21"/>
                <w:szCs w:val="21"/>
              </w:rPr>
              <w:t>丛</w:t>
            </w:r>
          </w:p>
        </w:tc>
        <w:tc>
          <w:tcPr>
            <w:tcW w:w="674" w:type="pct"/>
          </w:tcPr>
          <w:p w14:paraId="348D015B" w14:textId="77777777" w:rsidR="007D1E74" w:rsidRDefault="00A95641">
            <w:pPr>
              <w:pStyle w:val="TableParagraph"/>
              <w:spacing w:before="25"/>
              <w:ind w:left="102" w:right="102"/>
              <w:rPr>
                <w:sz w:val="21"/>
                <w:szCs w:val="21"/>
              </w:rPr>
            </w:pPr>
            <w:r>
              <w:rPr>
                <w:sz w:val="21"/>
                <w:szCs w:val="21"/>
              </w:rPr>
              <w:t>Ol</w:t>
            </w:r>
          </w:p>
        </w:tc>
        <w:tc>
          <w:tcPr>
            <w:tcW w:w="978" w:type="pct"/>
          </w:tcPr>
          <w:p w14:paraId="2079C3F2" w14:textId="77777777" w:rsidR="007D1E74" w:rsidRDefault="00A95641">
            <w:pPr>
              <w:pStyle w:val="TableParagraph"/>
              <w:spacing w:before="25"/>
              <w:ind w:left="170" w:right="170"/>
              <w:rPr>
                <w:sz w:val="21"/>
                <w:szCs w:val="21"/>
              </w:rPr>
            </w:pPr>
            <w:r>
              <w:rPr>
                <w:sz w:val="21"/>
                <w:szCs w:val="21"/>
              </w:rPr>
              <w:t>0.85</w:t>
            </w:r>
          </w:p>
        </w:tc>
        <w:tc>
          <w:tcPr>
            <w:tcW w:w="652" w:type="pct"/>
          </w:tcPr>
          <w:p w14:paraId="7A5EE41E" w14:textId="77777777" w:rsidR="007D1E74" w:rsidRDefault="00A95641">
            <w:pPr>
              <w:pStyle w:val="TableParagraph"/>
              <w:spacing w:before="25"/>
              <w:ind w:right="108"/>
              <w:rPr>
                <w:sz w:val="21"/>
                <w:szCs w:val="21"/>
              </w:rPr>
            </w:pPr>
            <w:r>
              <w:rPr>
                <w:sz w:val="21"/>
                <w:szCs w:val="21"/>
              </w:rPr>
              <w:t>5</w:t>
            </w:r>
          </w:p>
        </w:tc>
      </w:tr>
    </w:tbl>
    <w:p w14:paraId="450461AF" w14:textId="77777777" w:rsidR="007D1E74" w:rsidRDefault="007D1E74">
      <w:pPr>
        <w:spacing w:line="360" w:lineRule="auto"/>
        <w:rPr>
          <w:rFonts w:cs="Times New Roman"/>
          <w:szCs w:val="21"/>
        </w:rPr>
      </w:pPr>
    </w:p>
    <w:p w14:paraId="54243E5B" w14:textId="77777777" w:rsidR="007D1E74" w:rsidRDefault="007D1E74">
      <w:pPr>
        <w:spacing w:line="360" w:lineRule="auto"/>
        <w:rPr>
          <w:rFonts w:cs="Times New Roman"/>
          <w:szCs w:val="21"/>
        </w:rPr>
      </w:pPr>
    </w:p>
    <w:p w14:paraId="0D79035A" w14:textId="77777777" w:rsidR="007D1E74" w:rsidRDefault="007D1E74">
      <w:pPr>
        <w:spacing w:line="360" w:lineRule="auto"/>
        <w:rPr>
          <w:rFonts w:cs="Times New Roman"/>
          <w:szCs w:val="21"/>
        </w:rPr>
      </w:pPr>
    </w:p>
    <w:p w14:paraId="76824273" w14:textId="77777777" w:rsidR="007D1E74" w:rsidRDefault="007D1E74">
      <w:pPr>
        <w:spacing w:line="360" w:lineRule="auto"/>
        <w:rPr>
          <w:rFonts w:cs="Times New Roman"/>
          <w:szCs w:val="21"/>
        </w:rPr>
      </w:pPr>
    </w:p>
    <w:p w14:paraId="7E3C1CCD" w14:textId="77777777" w:rsidR="007D1E74" w:rsidRDefault="007D1E74">
      <w:pPr>
        <w:spacing w:line="360" w:lineRule="auto"/>
        <w:rPr>
          <w:rFonts w:cs="Times New Roman"/>
          <w:szCs w:val="21"/>
        </w:rPr>
      </w:pPr>
    </w:p>
    <w:p w14:paraId="6329DB62" w14:textId="77777777" w:rsidR="007D1E74" w:rsidRDefault="00A95641">
      <w:pPr>
        <w:spacing w:line="360" w:lineRule="auto"/>
        <w:jc w:val="center"/>
        <w:rPr>
          <w:rFonts w:eastAsia="黑体" w:cs="Times New Roman"/>
          <w:szCs w:val="21"/>
        </w:rPr>
      </w:pPr>
      <w:r>
        <w:rPr>
          <w:rFonts w:eastAsia="黑体" w:cs="Times New Roman"/>
          <w:szCs w:val="21"/>
        </w:rPr>
        <w:lastRenderedPageBreak/>
        <w:t>表</w:t>
      </w:r>
      <w:r>
        <w:rPr>
          <w:rFonts w:eastAsia="黑体" w:cs="Times New Roman"/>
          <w:szCs w:val="21"/>
        </w:rPr>
        <w:t xml:space="preserve">A.2.2-3  </w:t>
      </w:r>
      <w:r>
        <w:rPr>
          <w:rFonts w:eastAsia="黑体" w:cs="Times New Roman" w:hint="eastAsia"/>
          <w:szCs w:val="21"/>
        </w:rPr>
        <w:t>植物实测样方表</w:t>
      </w:r>
    </w:p>
    <w:tbl>
      <w:tblPr>
        <w:tblStyle w:val="affffc"/>
        <w:tblW w:w="0" w:type="auto"/>
        <w:tblBorders>
          <w:left w:val="none" w:sz="0" w:space="0" w:color="auto"/>
          <w:right w:val="none" w:sz="0" w:space="0" w:color="auto"/>
        </w:tblBorders>
        <w:tblLook w:val="04A0" w:firstRow="1" w:lastRow="0" w:firstColumn="1" w:lastColumn="0" w:noHBand="0" w:noVBand="1"/>
      </w:tblPr>
      <w:tblGrid>
        <w:gridCol w:w="9016"/>
      </w:tblGrid>
      <w:tr w:rsidR="007D1E74" w14:paraId="33876723" w14:textId="77777777">
        <w:tc>
          <w:tcPr>
            <w:tcW w:w="9016" w:type="dxa"/>
          </w:tcPr>
          <w:p w14:paraId="57D222A1" w14:textId="77777777" w:rsidR="007D1E74" w:rsidRDefault="00A95641">
            <w:pPr>
              <w:spacing w:line="360" w:lineRule="auto"/>
              <w:rPr>
                <w:rFonts w:eastAsiaTheme="minorEastAsia" w:cs="Times New Roman"/>
                <w:szCs w:val="21"/>
              </w:rPr>
            </w:pPr>
            <w:r>
              <w:rPr>
                <w:rFonts w:eastAsiaTheme="minorEastAsia" w:cs="Times New Roman" w:hint="eastAsia"/>
                <w:szCs w:val="21"/>
              </w:rPr>
              <w:t>群落名称：锐齿槲栎灌丛</w:t>
            </w:r>
            <w:r>
              <w:rPr>
                <w:rFonts w:eastAsiaTheme="minorEastAsia" w:cs="Times New Roman" w:hint="eastAsia"/>
                <w:szCs w:val="21"/>
              </w:rPr>
              <w:tab/>
            </w:r>
            <w:r>
              <w:rPr>
                <w:rFonts w:eastAsiaTheme="minorEastAsia" w:cs="Times New Roman" w:hint="eastAsia"/>
                <w:szCs w:val="21"/>
              </w:rPr>
              <w:t>地点：涪阳镇火石岭村</w:t>
            </w:r>
            <w:r>
              <w:rPr>
                <w:rFonts w:eastAsiaTheme="minorEastAsia" w:cs="Times New Roman" w:hint="eastAsia"/>
                <w:szCs w:val="21"/>
              </w:rPr>
              <w:tab/>
            </w:r>
            <w:r>
              <w:rPr>
                <w:rFonts w:eastAsiaTheme="minorEastAsia" w:cs="Times New Roman" w:hint="eastAsia"/>
                <w:szCs w:val="21"/>
              </w:rPr>
              <w:t>样方面积：</w:t>
            </w:r>
            <w:r>
              <w:rPr>
                <w:rFonts w:eastAsiaTheme="minorEastAsia" w:cs="Times New Roman" w:hint="eastAsia"/>
                <w:szCs w:val="21"/>
              </w:rPr>
              <w:t>5m</w:t>
            </w:r>
            <w:r>
              <w:rPr>
                <w:rFonts w:eastAsiaTheme="minorEastAsia" w:cs="Times New Roman" w:hint="eastAsia"/>
                <w:szCs w:val="21"/>
              </w:rPr>
              <w:t>×</w:t>
            </w:r>
            <w:r>
              <w:rPr>
                <w:rFonts w:eastAsiaTheme="minorEastAsia" w:cs="Times New Roman" w:hint="eastAsia"/>
                <w:szCs w:val="21"/>
              </w:rPr>
              <w:t>5m</w:t>
            </w:r>
          </w:p>
        </w:tc>
      </w:tr>
      <w:tr w:rsidR="007D1E74" w14:paraId="620D9962" w14:textId="77777777">
        <w:tc>
          <w:tcPr>
            <w:tcW w:w="9016" w:type="dxa"/>
          </w:tcPr>
          <w:p w14:paraId="6C8C6BB9" w14:textId="77777777" w:rsidR="007D1E74" w:rsidRDefault="00A95641">
            <w:pPr>
              <w:spacing w:line="360" w:lineRule="auto"/>
              <w:rPr>
                <w:rFonts w:eastAsiaTheme="minorEastAsia" w:cs="Times New Roman"/>
                <w:szCs w:val="21"/>
              </w:rPr>
            </w:pPr>
            <w:r>
              <w:rPr>
                <w:rFonts w:eastAsiaTheme="minorEastAsia" w:cs="Times New Roman" w:hint="eastAsia"/>
                <w:szCs w:val="21"/>
              </w:rPr>
              <w:t>经度：</w:t>
            </w:r>
            <w:r>
              <w:rPr>
                <w:rFonts w:eastAsiaTheme="minorEastAsia" w:cs="Times New Roman" w:hint="eastAsia"/>
                <w:szCs w:val="21"/>
              </w:rPr>
              <w:t xml:space="preserve">107.158082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纬度：</w:t>
            </w:r>
            <w:r>
              <w:rPr>
                <w:rFonts w:eastAsiaTheme="minorEastAsia" w:cs="Times New Roman" w:hint="eastAsia"/>
                <w:szCs w:val="21"/>
              </w:rPr>
              <w:t xml:space="preserve">32.079027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海拔（</w:t>
            </w:r>
            <w:r>
              <w:rPr>
                <w:rFonts w:eastAsiaTheme="minorEastAsia" w:cs="Times New Roman" w:hint="eastAsia"/>
                <w:szCs w:val="21"/>
              </w:rPr>
              <w:t>m</w:t>
            </w:r>
            <w:r>
              <w:rPr>
                <w:rFonts w:eastAsiaTheme="minorEastAsia" w:cs="Times New Roman" w:hint="eastAsia"/>
                <w:szCs w:val="21"/>
              </w:rPr>
              <w:t>）</w:t>
            </w:r>
            <w:r>
              <w:rPr>
                <w:rFonts w:eastAsiaTheme="minorEastAsia" w:cs="Times New Roman" w:hint="eastAsia"/>
                <w:szCs w:val="21"/>
              </w:rPr>
              <w:t>501</w:t>
            </w:r>
          </w:p>
        </w:tc>
      </w:tr>
      <w:tr w:rsidR="007D1E74" w14:paraId="38F11CE5" w14:textId="77777777">
        <w:tc>
          <w:tcPr>
            <w:tcW w:w="9016" w:type="dxa"/>
          </w:tcPr>
          <w:p w14:paraId="3EC22423" w14:textId="77777777" w:rsidR="007D1E74" w:rsidRDefault="00A95641">
            <w:pPr>
              <w:spacing w:line="360" w:lineRule="auto"/>
              <w:rPr>
                <w:rFonts w:eastAsiaTheme="minorEastAsia" w:cs="Times New Roman"/>
                <w:szCs w:val="21"/>
              </w:rPr>
            </w:pPr>
            <w:r>
              <w:rPr>
                <w:rFonts w:eastAsiaTheme="minorEastAsia" w:cs="Times New Roman" w:hint="eastAsia"/>
                <w:szCs w:val="21"/>
              </w:rPr>
              <w:t>调查人：黄文军、李秦</w:t>
            </w:r>
            <w:r>
              <w:rPr>
                <w:rFonts w:eastAsiaTheme="minorEastAsia" w:cs="Times New Roman" w:hint="eastAsia"/>
                <w:szCs w:val="21"/>
              </w:rPr>
              <w:tab/>
            </w:r>
            <w:r>
              <w:rPr>
                <w:rFonts w:eastAsiaTheme="minorEastAsia" w:cs="Times New Roman" w:hint="eastAsia"/>
                <w:szCs w:val="21"/>
              </w:rPr>
              <w:t>调查日期：</w:t>
            </w:r>
            <w:r>
              <w:rPr>
                <w:rFonts w:eastAsiaTheme="minorEastAsia" w:cs="Times New Roman" w:hint="eastAsia"/>
                <w:szCs w:val="21"/>
              </w:rPr>
              <w:t>2021-08-18</w:t>
            </w:r>
          </w:p>
        </w:tc>
      </w:tr>
    </w:tbl>
    <w:p w14:paraId="14EE504A" w14:textId="77777777" w:rsidR="007D1E74" w:rsidRDefault="007D1E74">
      <w:pPr>
        <w:spacing w:line="360" w:lineRule="auto"/>
        <w:rPr>
          <w:rFonts w:eastAsia="黑体" w:cs="Times New Roman"/>
          <w:sz w:val="24"/>
          <w:szCs w:val="24"/>
        </w:rPr>
      </w:pP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4"/>
        <w:gridCol w:w="1637"/>
        <w:gridCol w:w="1215"/>
        <w:gridCol w:w="1215"/>
        <w:gridCol w:w="1215"/>
        <w:gridCol w:w="1764"/>
        <w:gridCol w:w="1176"/>
      </w:tblGrid>
      <w:tr w:rsidR="007D1E74" w14:paraId="5A7D8227" w14:textId="77777777">
        <w:trPr>
          <w:trHeight w:hRule="exact" w:val="351"/>
        </w:trPr>
        <w:tc>
          <w:tcPr>
            <w:tcW w:w="440" w:type="pct"/>
          </w:tcPr>
          <w:p w14:paraId="158AEB38" w14:textId="77777777" w:rsidR="007D1E74" w:rsidRDefault="00A95641">
            <w:pPr>
              <w:pStyle w:val="TableParagraph"/>
              <w:spacing w:line="284" w:lineRule="exact"/>
              <w:ind w:left="109" w:right="103"/>
              <w:rPr>
                <w:rFonts w:ascii="宋体"/>
                <w:sz w:val="21"/>
                <w:szCs w:val="21"/>
              </w:rPr>
            </w:pPr>
            <w:r>
              <w:rPr>
                <w:rFonts w:ascii="宋体" w:hint="eastAsia"/>
                <w:sz w:val="21"/>
                <w:szCs w:val="21"/>
              </w:rPr>
              <w:t>种号</w:t>
            </w:r>
          </w:p>
        </w:tc>
        <w:tc>
          <w:tcPr>
            <w:tcW w:w="908" w:type="pct"/>
          </w:tcPr>
          <w:p w14:paraId="0D6E9000" w14:textId="77777777" w:rsidR="007D1E74" w:rsidRDefault="00A95641">
            <w:pPr>
              <w:pStyle w:val="TableParagraph"/>
              <w:spacing w:line="284" w:lineRule="exact"/>
              <w:ind w:left="397"/>
              <w:rPr>
                <w:rFonts w:ascii="宋体"/>
                <w:sz w:val="21"/>
                <w:szCs w:val="21"/>
              </w:rPr>
            </w:pPr>
            <w:r>
              <w:rPr>
                <w:rFonts w:ascii="宋体" w:hint="eastAsia"/>
                <w:sz w:val="21"/>
                <w:szCs w:val="21"/>
              </w:rPr>
              <w:t>物种名</w:t>
            </w:r>
          </w:p>
        </w:tc>
        <w:tc>
          <w:tcPr>
            <w:tcW w:w="674" w:type="pct"/>
          </w:tcPr>
          <w:p w14:paraId="6596FC81" w14:textId="77777777" w:rsidR="007D1E74" w:rsidRDefault="00A95641">
            <w:pPr>
              <w:pStyle w:val="TableParagraph"/>
              <w:spacing w:line="284" w:lineRule="exact"/>
              <w:ind w:left="202"/>
              <w:rPr>
                <w:rFonts w:ascii="宋体"/>
                <w:sz w:val="21"/>
                <w:szCs w:val="21"/>
              </w:rPr>
            </w:pPr>
            <w:r>
              <w:rPr>
                <w:rFonts w:ascii="宋体" w:hint="eastAsia"/>
                <w:sz w:val="21"/>
                <w:szCs w:val="21"/>
              </w:rPr>
              <w:t>物候期</w:t>
            </w:r>
          </w:p>
        </w:tc>
        <w:tc>
          <w:tcPr>
            <w:tcW w:w="674" w:type="pct"/>
          </w:tcPr>
          <w:p w14:paraId="6C61DD04" w14:textId="77777777" w:rsidR="007D1E74" w:rsidRDefault="00A95641">
            <w:pPr>
              <w:pStyle w:val="TableParagraph"/>
              <w:spacing w:line="302" w:lineRule="exact"/>
              <w:ind w:left="102" w:right="102"/>
              <w:rPr>
                <w:rFonts w:ascii="宋体"/>
                <w:sz w:val="21"/>
                <w:szCs w:val="21"/>
              </w:rPr>
            </w:pPr>
            <w:r>
              <w:rPr>
                <w:rFonts w:ascii="宋体" w:hint="eastAsia"/>
                <w:sz w:val="21"/>
                <w:szCs w:val="21"/>
              </w:rPr>
              <w:t>株</w:t>
            </w:r>
            <w:r>
              <w:rPr>
                <w:sz w:val="21"/>
                <w:szCs w:val="21"/>
              </w:rPr>
              <w:t>(</w:t>
            </w:r>
            <w:r>
              <w:rPr>
                <w:rFonts w:ascii="宋体" w:hint="eastAsia"/>
                <w:sz w:val="21"/>
                <w:szCs w:val="21"/>
              </w:rPr>
              <w:t>丛</w:t>
            </w:r>
            <w:r>
              <w:rPr>
                <w:sz w:val="21"/>
                <w:szCs w:val="21"/>
              </w:rPr>
              <w:t>)</w:t>
            </w:r>
            <w:r>
              <w:rPr>
                <w:rFonts w:ascii="宋体" w:hint="eastAsia"/>
                <w:sz w:val="21"/>
                <w:szCs w:val="21"/>
              </w:rPr>
              <w:t>数</w:t>
            </w:r>
          </w:p>
        </w:tc>
        <w:tc>
          <w:tcPr>
            <w:tcW w:w="674" w:type="pct"/>
          </w:tcPr>
          <w:p w14:paraId="0168E1D6" w14:textId="77777777" w:rsidR="007D1E74" w:rsidRDefault="00A95641">
            <w:pPr>
              <w:pStyle w:val="TableParagraph"/>
              <w:spacing w:line="284" w:lineRule="exact"/>
              <w:ind w:left="102" w:right="102"/>
              <w:rPr>
                <w:rFonts w:ascii="宋体"/>
                <w:sz w:val="21"/>
                <w:szCs w:val="21"/>
              </w:rPr>
            </w:pPr>
            <w:r>
              <w:rPr>
                <w:rFonts w:ascii="宋体" w:hint="eastAsia"/>
                <w:sz w:val="21"/>
                <w:szCs w:val="21"/>
              </w:rPr>
              <w:t>多度</w:t>
            </w:r>
          </w:p>
        </w:tc>
        <w:tc>
          <w:tcPr>
            <w:tcW w:w="978" w:type="pct"/>
          </w:tcPr>
          <w:p w14:paraId="2FAC7A21" w14:textId="77777777" w:rsidR="007D1E74" w:rsidRDefault="00A95641">
            <w:pPr>
              <w:pStyle w:val="TableParagraph"/>
              <w:spacing w:line="302" w:lineRule="exact"/>
              <w:ind w:left="172" w:right="170"/>
              <w:rPr>
                <w:sz w:val="21"/>
                <w:szCs w:val="21"/>
              </w:rPr>
            </w:pPr>
            <w:r>
              <w:rPr>
                <w:rFonts w:ascii="宋体" w:hint="eastAsia"/>
                <w:w w:val="95"/>
                <w:sz w:val="21"/>
                <w:szCs w:val="21"/>
              </w:rPr>
              <w:t>平均高度</w:t>
            </w:r>
            <w:r>
              <w:rPr>
                <w:w w:val="95"/>
                <w:sz w:val="21"/>
                <w:szCs w:val="21"/>
              </w:rPr>
              <w:t>/cm</w:t>
            </w:r>
          </w:p>
        </w:tc>
        <w:tc>
          <w:tcPr>
            <w:tcW w:w="652" w:type="pct"/>
          </w:tcPr>
          <w:p w14:paraId="06D5FDFD" w14:textId="77777777" w:rsidR="007D1E74" w:rsidRDefault="00A95641">
            <w:pPr>
              <w:pStyle w:val="TableParagraph"/>
              <w:spacing w:line="302" w:lineRule="exact"/>
              <w:ind w:left="116" w:right="226"/>
              <w:rPr>
                <w:sz w:val="21"/>
                <w:szCs w:val="21"/>
              </w:rPr>
            </w:pPr>
            <w:r>
              <w:rPr>
                <w:rFonts w:ascii="宋体" w:hint="eastAsia"/>
                <w:w w:val="95"/>
                <w:sz w:val="21"/>
                <w:szCs w:val="21"/>
              </w:rPr>
              <w:t>盖度</w:t>
            </w:r>
            <w:r>
              <w:rPr>
                <w:w w:val="95"/>
                <w:sz w:val="21"/>
                <w:szCs w:val="21"/>
              </w:rPr>
              <w:t>/%</w:t>
            </w:r>
          </w:p>
        </w:tc>
      </w:tr>
      <w:tr w:rsidR="007D1E74" w14:paraId="5E609066" w14:textId="77777777">
        <w:trPr>
          <w:trHeight w:hRule="exact" w:val="336"/>
        </w:trPr>
        <w:tc>
          <w:tcPr>
            <w:tcW w:w="440" w:type="pct"/>
          </w:tcPr>
          <w:p w14:paraId="1BF6ECF2" w14:textId="77777777" w:rsidR="007D1E74" w:rsidRDefault="00A95641">
            <w:pPr>
              <w:pStyle w:val="TableParagraph"/>
              <w:spacing w:before="25"/>
              <w:ind w:left="6"/>
              <w:rPr>
                <w:sz w:val="21"/>
                <w:szCs w:val="21"/>
              </w:rPr>
            </w:pPr>
            <w:r>
              <w:rPr>
                <w:sz w:val="21"/>
                <w:szCs w:val="21"/>
              </w:rPr>
              <w:t>1</w:t>
            </w:r>
          </w:p>
        </w:tc>
        <w:tc>
          <w:tcPr>
            <w:tcW w:w="908" w:type="pct"/>
          </w:tcPr>
          <w:p w14:paraId="6AECC8BE" w14:textId="77777777" w:rsidR="007D1E74" w:rsidRDefault="00A95641">
            <w:pPr>
              <w:pStyle w:val="TableParagraph"/>
              <w:spacing w:line="284" w:lineRule="exact"/>
              <w:ind w:left="102"/>
              <w:rPr>
                <w:rFonts w:ascii="宋体"/>
                <w:sz w:val="21"/>
                <w:szCs w:val="21"/>
              </w:rPr>
            </w:pPr>
            <w:r>
              <w:rPr>
                <w:rFonts w:ascii="宋体" w:hint="eastAsia"/>
                <w:sz w:val="21"/>
                <w:szCs w:val="21"/>
              </w:rPr>
              <w:t>锐齿槲栎</w:t>
            </w:r>
          </w:p>
        </w:tc>
        <w:tc>
          <w:tcPr>
            <w:tcW w:w="674" w:type="pct"/>
          </w:tcPr>
          <w:p w14:paraId="18DE1025"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1A1E1D4E" w14:textId="77777777" w:rsidR="007D1E74" w:rsidRDefault="00A95641">
            <w:pPr>
              <w:pStyle w:val="TableParagraph"/>
              <w:spacing w:before="25"/>
              <w:rPr>
                <w:sz w:val="21"/>
                <w:szCs w:val="21"/>
              </w:rPr>
            </w:pPr>
            <w:r>
              <w:rPr>
                <w:sz w:val="21"/>
                <w:szCs w:val="21"/>
              </w:rPr>
              <w:t>5</w:t>
            </w:r>
          </w:p>
        </w:tc>
        <w:tc>
          <w:tcPr>
            <w:tcW w:w="674" w:type="pct"/>
          </w:tcPr>
          <w:p w14:paraId="10570637" w14:textId="77777777" w:rsidR="007D1E74" w:rsidRDefault="00A95641">
            <w:pPr>
              <w:pStyle w:val="TableParagraph"/>
              <w:spacing w:before="22"/>
              <w:ind w:left="102" w:right="102"/>
              <w:rPr>
                <w:sz w:val="21"/>
                <w:szCs w:val="21"/>
              </w:rPr>
            </w:pPr>
            <w:r>
              <w:rPr>
                <w:position w:val="2"/>
                <w:sz w:val="21"/>
                <w:szCs w:val="21"/>
              </w:rPr>
              <w:t>Cop</w:t>
            </w:r>
            <w:r>
              <w:rPr>
                <w:sz w:val="21"/>
                <w:szCs w:val="21"/>
              </w:rPr>
              <w:t>1</w:t>
            </w:r>
          </w:p>
        </w:tc>
        <w:tc>
          <w:tcPr>
            <w:tcW w:w="978" w:type="pct"/>
          </w:tcPr>
          <w:p w14:paraId="75962D64" w14:textId="77777777" w:rsidR="007D1E74" w:rsidRDefault="00A95641">
            <w:pPr>
              <w:pStyle w:val="TableParagraph"/>
              <w:spacing w:before="25"/>
              <w:ind w:left="170" w:right="170"/>
              <w:rPr>
                <w:sz w:val="21"/>
                <w:szCs w:val="21"/>
              </w:rPr>
            </w:pPr>
            <w:r>
              <w:rPr>
                <w:sz w:val="21"/>
                <w:szCs w:val="21"/>
              </w:rPr>
              <w:t>2.6</w:t>
            </w:r>
          </w:p>
        </w:tc>
        <w:tc>
          <w:tcPr>
            <w:tcW w:w="652" w:type="pct"/>
          </w:tcPr>
          <w:p w14:paraId="1D584520" w14:textId="77777777" w:rsidR="007D1E74" w:rsidRDefault="00A95641">
            <w:pPr>
              <w:pStyle w:val="TableParagraph"/>
              <w:spacing w:before="25"/>
              <w:ind w:left="116" w:right="224"/>
              <w:rPr>
                <w:sz w:val="21"/>
                <w:szCs w:val="21"/>
              </w:rPr>
            </w:pPr>
            <w:r>
              <w:rPr>
                <w:sz w:val="21"/>
                <w:szCs w:val="21"/>
              </w:rPr>
              <w:t>80</w:t>
            </w:r>
          </w:p>
        </w:tc>
      </w:tr>
      <w:tr w:rsidR="007D1E74" w14:paraId="62D8EBF7" w14:textId="77777777">
        <w:trPr>
          <w:trHeight w:hRule="exact" w:val="336"/>
        </w:trPr>
        <w:tc>
          <w:tcPr>
            <w:tcW w:w="440" w:type="pct"/>
          </w:tcPr>
          <w:p w14:paraId="3990869A" w14:textId="77777777" w:rsidR="007D1E74" w:rsidRDefault="00A95641">
            <w:pPr>
              <w:pStyle w:val="TableParagraph"/>
              <w:spacing w:before="25"/>
              <w:ind w:left="6"/>
              <w:rPr>
                <w:sz w:val="21"/>
                <w:szCs w:val="21"/>
              </w:rPr>
            </w:pPr>
            <w:r>
              <w:rPr>
                <w:sz w:val="21"/>
                <w:szCs w:val="21"/>
              </w:rPr>
              <w:t>2</w:t>
            </w:r>
          </w:p>
        </w:tc>
        <w:tc>
          <w:tcPr>
            <w:tcW w:w="908" w:type="pct"/>
          </w:tcPr>
          <w:p w14:paraId="78888AD9" w14:textId="77777777" w:rsidR="007D1E74" w:rsidRDefault="00A95641">
            <w:pPr>
              <w:pStyle w:val="TableParagraph"/>
              <w:spacing w:line="284" w:lineRule="exact"/>
              <w:ind w:left="102"/>
              <w:rPr>
                <w:rFonts w:ascii="宋体"/>
                <w:sz w:val="21"/>
                <w:szCs w:val="21"/>
              </w:rPr>
            </w:pPr>
            <w:r>
              <w:rPr>
                <w:rFonts w:ascii="宋体" w:hint="eastAsia"/>
                <w:sz w:val="21"/>
                <w:szCs w:val="21"/>
              </w:rPr>
              <w:t>马桑</w:t>
            </w:r>
          </w:p>
        </w:tc>
        <w:tc>
          <w:tcPr>
            <w:tcW w:w="674" w:type="pct"/>
          </w:tcPr>
          <w:p w14:paraId="29439CEC"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21E7C767" w14:textId="77777777" w:rsidR="007D1E74" w:rsidRDefault="00A95641">
            <w:pPr>
              <w:pStyle w:val="TableParagraph"/>
              <w:spacing w:before="25"/>
              <w:rPr>
                <w:sz w:val="21"/>
                <w:szCs w:val="21"/>
              </w:rPr>
            </w:pPr>
            <w:r>
              <w:rPr>
                <w:sz w:val="21"/>
                <w:szCs w:val="21"/>
              </w:rPr>
              <w:t>1</w:t>
            </w:r>
          </w:p>
        </w:tc>
        <w:tc>
          <w:tcPr>
            <w:tcW w:w="674" w:type="pct"/>
          </w:tcPr>
          <w:p w14:paraId="53D980B3" w14:textId="77777777" w:rsidR="007D1E74" w:rsidRDefault="00A95641">
            <w:pPr>
              <w:pStyle w:val="TableParagraph"/>
              <w:spacing w:before="25"/>
              <w:ind w:left="102" w:right="100"/>
              <w:rPr>
                <w:sz w:val="21"/>
                <w:szCs w:val="21"/>
              </w:rPr>
            </w:pPr>
            <w:r>
              <w:rPr>
                <w:sz w:val="21"/>
                <w:szCs w:val="21"/>
              </w:rPr>
              <w:t>Sp.</w:t>
            </w:r>
          </w:p>
        </w:tc>
        <w:tc>
          <w:tcPr>
            <w:tcW w:w="978" w:type="pct"/>
          </w:tcPr>
          <w:p w14:paraId="5A2B3B67" w14:textId="77777777" w:rsidR="007D1E74" w:rsidRDefault="00A95641">
            <w:pPr>
              <w:pStyle w:val="TableParagraph"/>
              <w:spacing w:before="25"/>
              <w:ind w:left="170" w:right="170"/>
              <w:rPr>
                <w:sz w:val="21"/>
                <w:szCs w:val="21"/>
              </w:rPr>
            </w:pPr>
            <w:r>
              <w:rPr>
                <w:sz w:val="21"/>
                <w:szCs w:val="21"/>
              </w:rPr>
              <w:t>2.5</w:t>
            </w:r>
          </w:p>
        </w:tc>
        <w:tc>
          <w:tcPr>
            <w:tcW w:w="652" w:type="pct"/>
          </w:tcPr>
          <w:p w14:paraId="4792B93B" w14:textId="77777777" w:rsidR="007D1E74" w:rsidRDefault="00A95641">
            <w:pPr>
              <w:pStyle w:val="TableParagraph"/>
              <w:spacing w:before="25"/>
              <w:ind w:right="108"/>
              <w:rPr>
                <w:sz w:val="21"/>
                <w:szCs w:val="21"/>
              </w:rPr>
            </w:pPr>
            <w:r>
              <w:rPr>
                <w:sz w:val="21"/>
                <w:szCs w:val="21"/>
              </w:rPr>
              <w:t>5</w:t>
            </w:r>
          </w:p>
        </w:tc>
      </w:tr>
      <w:tr w:rsidR="007D1E74" w14:paraId="5EABBEF4" w14:textId="77777777">
        <w:trPr>
          <w:trHeight w:hRule="exact" w:val="336"/>
        </w:trPr>
        <w:tc>
          <w:tcPr>
            <w:tcW w:w="440" w:type="pct"/>
          </w:tcPr>
          <w:p w14:paraId="36E15346" w14:textId="77777777" w:rsidR="007D1E74" w:rsidRDefault="00A95641">
            <w:pPr>
              <w:pStyle w:val="TableParagraph"/>
              <w:spacing w:before="25"/>
              <w:ind w:left="6"/>
              <w:rPr>
                <w:sz w:val="21"/>
                <w:szCs w:val="21"/>
              </w:rPr>
            </w:pPr>
            <w:r>
              <w:rPr>
                <w:sz w:val="21"/>
                <w:szCs w:val="21"/>
              </w:rPr>
              <w:t>3</w:t>
            </w:r>
          </w:p>
        </w:tc>
        <w:tc>
          <w:tcPr>
            <w:tcW w:w="908" w:type="pct"/>
          </w:tcPr>
          <w:p w14:paraId="7D447786" w14:textId="77777777" w:rsidR="007D1E74" w:rsidRDefault="00A95641">
            <w:pPr>
              <w:pStyle w:val="TableParagraph"/>
              <w:spacing w:line="284" w:lineRule="exact"/>
              <w:ind w:left="102"/>
              <w:rPr>
                <w:rFonts w:ascii="宋体"/>
                <w:sz w:val="21"/>
                <w:szCs w:val="21"/>
              </w:rPr>
            </w:pPr>
            <w:r>
              <w:rPr>
                <w:rFonts w:ascii="宋体" w:hint="eastAsia"/>
                <w:sz w:val="21"/>
                <w:szCs w:val="21"/>
              </w:rPr>
              <w:t>火棘</w:t>
            </w:r>
          </w:p>
        </w:tc>
        <w:tc>
          <w:tcPr>
            <w:tcW w:w="674" w:type="pct"/>
          </w:tcPr>
          <w:p w14:paraId="46AA3A61"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0B8E67E5" w14:textId="77777777" w:rsidR="007D1E74" w:rsidRDefault="00A95641">
            <w:pPr>
              <w:pStyle w:val="TableParagraph"/>
              <w:spacing w:before="25"/>
              <w:rPr>
                <w:sz w:val="21"/>
                <w:szCs w:val="21"/>
              </w:rPr>
            </w:pPr>
            <w:r>
              <w:rPr>
                <w:sz w:val="21"/>
                <w:szCs w:val="21"/>
              </w:rPr>
              <w:t>1</w:t>
            </w:r>
          </w:p>
        </w:tc>
        <w:tc>
          <w:tcPr>
            <w:tcW w:w="674" w:type="pct"/>
          </w:tcPr>
          <w:p w14:paraId="713468B2" w14:textId="77777777" w:rsidR="007D1E74" w:rsidRDefault="00A95641">
            <w:pPr>
              <w:pStyle w:val="TableParagraph"/>
              <w:spacing w:before="25"/>
              <w:ind w:left="102" w:right="100"/>
              <w:rPr>
                <w:sz w:val="21"/>
                <w:szCs w:val="21"/>
              </w:rPr>
            </w:pPr>
            <w:r>
              <w:rPr>
                <w:sz w:val="21"/>
                <w:szCs w:val="21"/>
              </w:rPr>
              <w:t>Sp.</w:t>
            </w:r>
          </w:p>
        </w:tc>
        <w:tc>
          <w:tcPr>
            <w:tcW w:w="978" w:type="pct"/>
          </w:tcPr>
          <w:p w14:paraId="02A170D3" w14:textId="77777777" w:rsidR="007D1E74" w:rsidRDefault="00A95641">
            <w:pPr>
              <w:pStyle w:val="TableParagraph"/>
              <w:spacing w:before="25"/>
              <w:ind w:left="170" w:right="170"/>
              <w:rPr>
                <w:sz w:val="21"/>
                <w:szCs w:val="21"/>
              </w:rPr>
            </w:pPr>
            <w:r>
              <w:rPr>
                <w:sz w:val="21"/>
                <w:szCs w:val="21"/>
              </w:rPr>
              <w:t>1.4</w:t>
            </w:r>
          </w:p>
        </w:tc>
        <w:tc>
          <w:tcPr>
            <w:tcW w:w="652" w:type="pct"/>
          </w:tcPr>
          <w:p w14:paraId="06720162" w14:textId="77777777" w:rsidR="007D1E74" w:rsidRDefault="00A95641">
            <w:pPr>
              <w:pStyle w:val="TableParagraph"/>
              <w:spacing w:before="25"/>
              <w:ind w:right="108"/>
              <w:rPr>
                <w:sz w:val="21"/>
                <w:szCs w:val="21"/>
              </w:rPr>
            </w:pPr>
            <w:r>
              <w:rPr>
                <w:sz w:val="21"/>
                <w:szCs w:val="21"/>
              </w:rPr>
              <w:t>5</w:t>
            </w:r>
          </w:p>
        </w:tc>
      </w:tr>
      <w:tr w:rsidR="007D1E74" w14:paraId="0C4ADEAA" w14:textId="77777777">
        <w:trPr>
          <w:trHeight w:hRule="exact" w:val="336"/>
        </w:trPr>
        <w:tc>
          <w:tcPr>
            <w:tcW w:w="440" w:type="pct"/>
          </w:tcPr>
          <w:p w14:paraId="7DC989DE" w14:textId="77777777" w:rsidR="007D1E74" w:rsidRDefault="00A95641">
            <w:pPr>
              <w:pStyle w:val="TableParagraph"/>
              <w:spacing w:before="25"/>
              <w:ind w:left="6"/>
              <w:rPr>
                <w:sz w:val="21"/>
                <w:szCs w:val="21"/>
              </w:rPr>
            </w:pPr>
            <w:r>
              <w:rPr>
                <w:sz w:val="21"/>
                <w:szCs w:val="21"/>
              </w:rPr>
              <w:t>4</w:t>
            </w:r>
          </w:p>
        </w:tc>
        <w:tc>
          <w:tcPr>
            <w:tcW w:w="908" w:type="pct"/>
          </w:tcPr>
          <w:p w14:paraId="37BB0881" w14:textId="77777777" w:rsidR="007D1E74" w:rsidRDefault="00A95641">
            <w:pPr>
              <w:pStyle w:val="TableParagraph"/>
              <w:spacing w:line="284" w:lineRule="exact"/>
              <w:ind w:left="102"/>
              <w:rPr>
                <w:rFonts w:ascii="宋体"/>
                <w:sz w:val="21"/>
                <w:szCs w:val="21"/>
              </w:rPr>
            </w:pPr>
            <w:r>
              <w:rPr>
                <w:rFonts w:ascii="宋体" w:hint="eastAsia"/>
                <w:sz w:val="21"/>
                <w:szCs w:val="21"/>
              </w:rPr>
              <w:t>截叶铁扫帚</w:t>
            </w:r>
          </w:p>
        </w:tc>
        <w:tc>
          <w:tcPr>
            <w:tcW w:w="674" w:type="pct"/>
          </w:tcPr>
          <w:p w14:paraId="1D420446"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08AAA8E1" w14:textId="77777777" w:rsidR="007D1E74" w:rsidRDefault="00A95641">
            <w:pPr>
              <w:pStyle w:val="TableParagraph"/>
              <w:spacing w:before="25"/>
              <w:rPr>
                <w:sz w:val="21"/>
                <w:szCs w:val="21"/>
              </w:rPr>
            </w:pPr>
            <w:r>
              <w:rPr>
                <w:sz w:val="21"/>
                <w:szCs w:val="21"/>
              </w:rPr>
              <w:t>4</w:t>
            </w:r>
          </w:p>
        </w:tc>
        <w:tc>
          <w:tcPr>
            <w:tcW w:w="674" w:type="pct"/>
          </w:tcPr>
          <w:p w14:paraId="161D831A" w14:textId="77777777" w:rsidR="007D1E74" w:rsidRDefault="00A95641">
            <w:pPr>
              <w:pStyle w:val="TableParagraph"/>
              <w:spacing w:before="25"/>
              <w:ind w:left="102" w:right="100"/>
              <w:rPr>
                <w:sz w:val="21"/>
                <w:szCs w:val="21"/>
              </w:rPr>
            </w:pPr>
            <w:r>
              <w:rPr>
                <w:sz w:val="21"/>
                <w:szCs w:val="21"/>
              </w:rPr>
              <w:t>Sp.</w:t>
            </w:r>
          </w:p>
        </w:tc>
        <w:tc>
          <w:tcPr>
            <w:tcW w:w="978" w:type="pct"/>
          </w:tcPr>
          <w:p w14:paraId="053B3B3D" w14:textId="77777777" w:rsidR="007D1E74" w:rsidRDefault="00A95641">
            <w:pPr>
              <w:pStyle w:val="TableParagraph"/>
              <w:spacing w:before="25"/>
              <w:ind w:left="170" w:right="170"/>
              <w:rPr>
                <w:sz w:val="21"/>
                <w:szCs w:val="21"/>
              </w:rPr>
            </w:pPr>
            <w:r>
              <w:rPr>
                <w:sz w:val="21"/>
                <w:szCs w:val="21"/>
              </w:rPr>
              <w:t>1.2</w:t>
            </w:r>
          </w:p>
        </w:tc>
        <w:tc>
          <w:tcPr>
            <w:tcW w:w="652" w:type="pct"/>
          </w:tcPr>
          <w:p w14:paraId="4C5C4EE1" w14:textId="77777777" w:rsidR="007D1E74" w:rsidRDefault="00A95641">
            <w:pPr>
              <w:pStyle w:val="TableParagraph"/>
              <w:spacing w:before="25"/>
              <w:ind w:right="108"/>
              <w:rPr>
                <w:sz w:val="21"/>
                <w:szCs w:val="21"/>
              </w:rPr>
            </w:pPr>
            <w:r>
              <w:rPr>
                <w:sz w:val="21"/>
                <w:szCs w:val="21"/>
              </w:rPr>
              <w:t>5</w:t>
            </w:r>
          </w:p>
        </w:tc>
      </w:tr>
      <w:tr w:rsidR="007D1E74" w14:paraId="77D0768F" w14:textId="77777777">
        <w:trPr>
          <w:trHeight w:hRule="exact" w:val="336"/>
        </w:trPr>
        <w:tc>
          <w:tcPr>
            <w:tcW w:w="440" w:type="pct"/>
          </w:tcPr>
          <w:p w14:paraId="2F4CD9D4" w14:textId="77777777" w:rsidR="007D1E74" w:rsidRDefault="00A95641">
            <w:pPr>
              <w:pStyle w:val="TableParagraph"/>
              <w:spacing w:before="25"/>
              <w:ind w:left="6"/>
              <w:rPr>
                <w:sz w:val="21"/>
                <w:szCs w:val="21"/>
              </w:rPr>
            </w:pPr>
            <w:r>
              <w:rPr>
                <w:sz w:val="21"/>
                <w:szCs w:val="21"/>
              </w:rPr>
              <w:t>5</w:t>
            </w:r>
          </w:p>
        </w:tc>
        <w:tc>
          <w:tcPr>
            <w:tcW w:w="908" w:type="pct"/>
          </w:tcPr>
          <w:p w14:paraId="324D6B17" w14:textId="77777777" w:rsidR="007D1E74" w:rsidRDefault="00A95641">
            <w:pPr>
              <w:pStyle w:val="TableParagraph"/>
              <w:spacing w:line="284" w:lineRule="exact"/>
              <w:ind w:left="102"/>
              <w:rPr>
                <w:rFonts w:ascii="宋体"/>
                <w:sz w:val="21"/>
                <w:szCs w:val="21"/>
              </w:rPr>
            </w:pPr>
            <w:r>
              <w:rPr>
                <w:rFonts w:ascii="宋体" w:hint="eastAsia"/>
                <w:sz w:val="21"/>
                <w:szCs w:val="21"/>
              </w:rPr>
              <w:t>矛叶荩草</w:t>
            </w:r>
          </w:p>
        </w:tc>
        <w:tc>
          <w:tcPr>
            <w:tcW w:w="674" w:type="pct"/>
          </w:tcPr>
          <w:p w14:paraId="5F12195C"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5463CD9D" w14:textId="77777777" w:rsidR="007D1E74" w:rsidRDefault="00A95641">
            <w:pPr>
              <w:pStyle w:val="TableParagraph"/>
              <w:spacing w:before="25"/>
              <w:rPr>
                <w:sz w:val="21"/>
                <w:szCs w:val="21"/>
              </w:rPr>
            </w:pPr>
            <w:r>
              <w:rPr>
                <w:sz w:val="21"/>
                <w:szCs w:val="21"/>
              </w:rPr>
              <w:t>1</w:t>
            </w:r>
          </w:p>
        </w:tc>
        <w:tc>
          <w:tcPr>
            <w:tcW w:w="674" w:type="pct"/>
          </w:tcPr>
          <w:p w14:paraId="13D3EF28" w14:textId="77777777" w:rsidR="007D1E74" w:rsidRDefault="00A95641">
            <w:pPr>
              <w:pStyle w:val="TableParagraph"/>
              <w:spacing w:before="22"/>
              <w:ind w:left="102" w:right="102"/>
              <w:rPr>
                <w:sz w:val="21"/>
                <w:szCs w:val="21"/>
              </w:rPr>
            </w:pPr>
            <w:r>
              <w:rPr>
                <w:position w:val="2"/>
                <w:sz w:val="21"/>
                <w:szCs w:val="21"/>
              </w:rPr>
              <w:t>Cop</w:t>
            </w:r>
            <w:r>
              <w:rPr>
                <w:sz w:val="21"/>
                <w:szCs w:val="21"/>
              </w:rPr>
              <w:t>1</w:t>
            </w:r>
          </w:p>
        </w:tc>
        <w:tc>
          <w:tcPr>
            <w:tcW w:w="978" w:type="pct"/>
          </w:tcPr>
          <w:p w14:paraId="448A9351" w14:textId="77777777" w:rsidR="007D1E74" w:rsidRDefault="00A95641">
            <w:pPr>
              <w:pStyle w:val="TableParagraph"/>
              <w:spacing w:before="25"/>
              <w:ind w:left="170" w:right="170"/>
              <w:rPr>
                <w:sz w:val="21"/>
                <w:szCs w:val="21"/>
              </w:rPr>
            </w:pPr>
            <w:r>
              <w:rPr>
                <w:sz w:val="21"/>
                <w:szCs w:val="21"/>
              </w:rPr>
              <w:t>0.3</w:t>
            </w:r>
          </w:p>
        </w:tc>
        <w:tc>
          <w:tcPr>
            <w:tcW w:w="652" w:type="pct"/>
          </w:tcPr>
          <w:p w14:paraId="134276B3" w14:textId="77777777" w:rsidR="007D1E74" w:rsidRDefault="00A95641">
            <w:pPr>
              <w:pStyle w:val="TableParagraph"/>
              <w:spacing w:before="25"/>
              <w:ind w:left="116" w:right="224"/>
              <w:rPr>
                <w:sz w:val="21"/>
                <w:szCs w:val="21"/>
              </w:rPr>
            </w:pPr>
            <w:r>
              <w:rPr>
                <w:sz w:val="21"/>
                <w:szCs w:val="21"/>
              </w:rPr>
              <w:t>12</w:t>
            </w:r>
          </w:p>
        </w:tc>
      </w:tr>
      <w:tr w:rsidR="007D1E74" w14:paraId="1A953731" w14:textId="77777777">
        <w:trPr>
          <w:trHeight w:hRule="exact" w:val="336"/>
        </w:trPr>
        <w:tc>
          <w:tcPr>
            <w:tcW w:w="440" w:type="pct"/>
          </w:tcPr>
          <w:p w14:paraId="13613B5F" w14:textId="77777777" w:rsidR="007D1E74" w:rsidRDefault="00A95641">
            <w:pPr>
              <w:pStyle w:val="TableParagraph"/>
              <w:spacing w:before="25"/>
              <w:ind w:left="6"/>
              <w:rPr>
                <w:sz w:val="21"/>
                <w:szCs w:val="21"/>
              </w:rPr>
            </w:pPr>
            <w:r>
              <w:rPr>
                <w:sz w:val="21"/>
                <w:szCs w:val="21"/>
              </w:rPr>
              <w:t>6</w:t>
            </w:r>
          </w:p>
        </w:tc>
        <w:tc>
          <w:tcPr>
            <w:tcW w:w="908" w:type="pct"/>
          </w:tcPr>
          <w:p w14:paraId="142F62E3" w14:textId="77777777" w:rsidR="007D1E74" w:rsidRDefault="00A95641">
            <w:pPr>
              <w:pStyle w:val="TableParagraph"/>
              <w:spacing w:line="284" w:lineRule="exact"/>
              <w:ind w:left="102"/>
              <w:rPr>
                <w:rFonts w:ascii="宋体"/>
                <w:sz w:val="21"/>
                <w:szCs w:val="21"/>
              </w:rPr>
            </w:pPr>
            <w:r>
              <w:rPr>
                <w:rFonts w:ascii="宋体" w:hint="eastAsia"/>
                <w:sz w:val="21"/>
                <w:szCs w:val="21"/>
              </w:rPr>
              <w:t>白茅</w:t>
            </w:r>
          </w:p>
        </w:tc>
        <w:tc>
          <w:tcPr>
            <w:tcW w:w="674" w:type="pct"/>
          </w:tcPr>
          <w:p w14:paraId="78F15ADB"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5E376CD5" w14:textId="77777777" w:rsidR="007D1E74" w:rsidRDefault="00A95641">
            <w:pPr>
              <w:pStyle w:val="TableParagraph"/>
              <w:spacing w:before="25"/>
              <w:rPr>
                <w:sz w:val="21"/>
                <w:szCs w:val="21"/>
              </w:rPr>
            </w:pPr>
            <w:r>
              <w:rPr>
                <w:sz w:val="21"/>
                <w:szCs w:val="21"/>
              </w:rPr>
              <w:t>1</w:t>
            </w:r>
          </w:p>
        </w:tc>
        <w:tc>
          <w:tcPr>
            <w:tcW w:w="674" w:type="pct"/>
          </w:tcPr>
          <w:p w14:paraId="0F57092A" w14:textId="77777777" w:rsidR="007D1E74" w:rsidRDefault="00A95641">
            <w:pPr>
              <w:pStyle w:val="TableParagraph"/>
              <w:spacing w:before="22"/>
              <w:ind w:left="102" w:right="102"/>
              <w:rPr>
                <w:sz w:val="21"/>
                <w:szCs w:val="21"/>
              </w:rPr>
            </w:pPr>
            <w:r>
              <w:rPr>
                <w:position w:val="2"/>
                <w:sz w:val="21"/>
                <w:szCs w:val="21"/>
              </w:rPr>
              <w:t>Cop</w:t>
            </w:r>
            <w:r>
              <w:rPr>
                <w:sz w:val="21"/>
                <w:szCs w:val="21"/>
              </w:rPr>
              <w:t>1</w:t>
            </w:r>
          </w:p>
        </w:tc>
        <w:tc>
          <w:tcPr>
            <w:tcW w:w="978" w:type="pct"/>
          </w:tcPr>
          <w:p w14:paraId="1907454F" w14:textId="77777777" w:rsidR="007D1E74" w:rsidRDefault="00A95641">
            <w:pPr>
              <w:pStyle w:val="TableParagraph"/>
              <w:spacing w:before="25"/>
              <w:ind w:left="170" w:right="170"/>
              <w:rPr>
                <w:sz w:val="21"/>
                <w:szCs w:val="21"/>
              </w:rPr>
            </w:pPr>
            <w:r>
              <w:rPr>
                <w:sz w:val="21"/>
                <w:szCs w:val="21"/>
              </w:rPr>
              <w:t>0.6</w:t>
            </w:r>
          </w:p>
        </w:tc>
        <w:tc>
          <w:tcPr>
            <w:tcW w:w="652" w:type="pct"/>
          </w:tcPr>
          <w:p w14:paraId="46FAB241" w14:textId="77777777" w:rsidR="007D1E74" w:rsidRDefault="00A95641">
            <w:pPr>
              <w:pStyle w:val="TableParagraph"/>
              <w:spacing w:before="25"/>
              <w:ind w:left="116" w:right="224"/>
              <w:rPr>
                <w:sz w:val="21"/>
                <w:szCs w:val="21"/>
              </w:rPr>
            </w:pPr>
            <w:r>
              <w:rPr>
                <w:sz w:val="21"/>
                <w:szCs w:val="21"/>
              </w:rPr>
              <w:t>10</w:t>
            </w:r>
          </w:p>
        </w:tc>
      </w:tr>
      <w:tr w:rsidR="007D1E74" w14:paraId="5F60AB71" w14:textId="77777777">
        <w:trPr>
          <w:trHeight w:hRule="exact" w:val="336"/>
        </w:trPr>
        <w:tc>
          <w:tcPr>
            <w:tcW w:w="440" w:type="pct"/>
          </w:tcPr>
          <w:p w14:paraId="69730287" w14:textId="77777777" w:rsidR="007D1E74" w:rsidRDefault="00A95641">
            <w:pPr>
              <w:pStyle w:val="TableParagraph"/>
              <w:spacing w:before="25"/>
              <w:ind w:left="6"/>
              <w:rPr>
                <w:sz w:val="21"/>
                <w:szCs w:val="21"/>
              </w:rPr>
            </w:pPr>
            <w:r>
              <w:rPr>
                <w:sz w:val="21"/>
                <w:szCs w:val="21"/>
              </w:rPr>
              <w:t>7</w:t>
            </w:r>
          </w:p>
        </w:tc>
        <w:tc>
          <w:tcPr>
            <w:tcW w:w="908" w:type="pct"/>
          </w:tcPr>
          <w:p w14:paraId="7C34E9EE" w14:textId="77777777" w:rsidR="007D1E74" w:rsidRDefault="00A95641">
            <w:pPr>
              <w:pStyle w:val="TableParagraph"/>
              <w:spacing w:line="284" w:lineRule="exact"/>
              <w:ind w:left="102"/>
              <w:rPr>
                <w:rFonts w:ascii="宋体"/>
                <w:sz w:val="21"/>
                <w:szCs w:val="21"/>
              </w:rPr>
            </w:pPr>
            <w:r>
              <w:rPr>
                <w:rFonts w:ascii="宋体" w:hint="eastAsia"/>
                <w:sz w:val="21"/>
                <w:szCs w:val="21"/>
              </w:rPr>
              <w:t>蒿</w:t>
            </w:r>
          </w:p>
        </w:tc>
        <w:tc>
          <w:tcPr>
            <w:tcW w:w="674" w:type="pct"/>
          </w:tcPr>
          <w:p w14:paraId="14FF3717"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1DF128ED" w14:textId="77777777" w:rsidR="007D1E74" w:rsidRDefault="00A95641">
            <w:pPr>
              <w:pStyle w:val="TableParagraph"/>
              <w:spacing w:before="25"/>
              <w:rPr>
                <w:sz w:val="21"/>
                <w:szCs w:val="21"/>
              </w:rPr>
            </w:pPr>
            <w:r>
              <w:rPr>
                <w:sz w:val="21"/>
                <w:szCs w:val="21"/>
              </w:rPr>
              <w:t>2</w:t>
            </w:r>
          </w:p>
        </w:tc>
        <w:tc>
          <w:tcPr>
            <w:tcW w:w="674" w:type="pct"/>
          </w:tcPr>
          <w:p w14:paraId="47BBCF15" w14:textId="77777777" w:rsidR="007D1E74" w:rsidRDefault="00A95641">
            <w:pPr>
              <w:pStyle w:val="TableParagraph"/>
              <w:spacing w:before="25"/>
              <w:ind w:left="102" w:right="100"/>
              <w:rPr>
                <w:sz w:val="21"/>
                <w:szCs w:val="21"/>
              </w:rPr>
            </w:pPr>
            <w:r>
              <w:rPr>
                <w:sz w:val="21"/>
                <w:szCs w:val="21"/>
              </w:rPr>
              <w:t>Sp.</w:t>
            </w:r>
          </w:p>
        </w:tc>
        <w:tc>
          <w:tcPr>
            <w:tcW w:w="978" w:type="pct"/>
          </w:tcPr>
          <w:p w14:paraId="0B04414F" w14:textId="77777777" w:rsidR="007D1E74" w:rsidRDefault="00A95641">
            <w:pPr>
              <w:pStyle w:val="TableParagraph"/>
              <w:spacing w:before="25"/>
              <w:ind w:left="170" w:right="170"/>
              <w:rPr>
                <w:sz w:val="21"/>
                <w:szCs w:val="21"/>
              </w:rPr>
            </w:pPr>
            <w:r>
              <w:rPr>
                <w:sz w:val="21"/>
                <w:szCs w:val="21"/>
              </w:rPr>
              <w:t>0.3</w:t>
            </w:r>
          </w:p>
        </w:tc>
        <w:tc>
          <w:tcPr>
            <w:tcW w:w="652" w:type="pct"/>
          </w:tcPr>
          <w:p w14:paraId="3D4A1DA9" w14:textId="77777777" w:rsidR="007D1E74" w:rsidRDefault="00A95641">
            <w:pPr>
              <w:pStyle w:val="TableParagraph"/>
              <w:spacing w:before="25"/>
              <w:ind w:right="108"/>
              <w:rPr>
                <w:sz w:val="21"/>
                <w:szCs w:val="21"/>
              </w:rPr>
            </w:pPr>
            <w:r>
              <w:rPr>
                <w:sz w:val="21"/>
                <w:szCs w:val="21"/>
              </w:rPr>
              <w:t>5</w:t>
            </w:r>
          </w:p>
        </w:tc>
      </w:tr>
      <w:tr w:rsidR="007D1E74" w14:paraId="6E3ABD45" w14:textId="77777777">
        <w:trPr>
          <w:trHeight w:hRule="exact" w:val="336"/>
        </w:trPr>
        <w:tc>
          <w:tcPr>
            <w:tcW w:w="440" w:type="pct"/>
          </w:tcPr>
          <w:p w14:paraId="1A9E0018" w14:textId="77777777" w:rsidR="007D1E74" w:rsidRDefault="00A95641">
            <w:pPr>
              <w:pStyle w:val="TableParagraph"/>
              <w:spacing w:before="25"/>
              <w:ind w:left="6"/>
              <w:rPr>
                <w:sz w:val="21"/>
                <w:szCs w:val="21"/>
              </w:rPr>
            </w:pPr>
            <w:r>
              <w:rPr>
                <w:sz w:val="21"/>
                <w:szCs w:val="21"/>
              </w:rPr>
              <w:t>8</w:t>
            </w:r>
          </w:p>
        </w:tc>
        <w:tc>
          <w:tcPr>
            <w:tcW w:w="908" w:type="pct"/>
          </w:tcPr>
          <w:p w14:paraId="3A765DBA" w14:textId="77777777" w:rsidR="007D1E74" w:rsidRDefault="00A95641">
            <w:pPr>
              <w:pStyle w:val="TableParagraph"/>
              <w:spacing w:line="284" w:lineRule="exact"/>
              <w:ind w:left="102"/>
              <w:rPr>
                <w:rFonts w:ascii="宋体"/>
                <w:sz w:val="21"/>
                <w:szCs w:val="21"/>
              </w:rPr>
            </w:pPr>
            <w:r>
              <w:rPr>
                <w:rFonts w:ascii="宋体" w:hint="eastAsia"/>
                <w:sz w:val="21"/>
                <w:szCs w:val="21"/>
              </w:rPr>
              <w:t>车前</w:t>
            </w:r>
          </w:p>
        </w:tc>
        <w:tc>
          <w:tcPr>
            <w:tcW w:w="674" w:type="pct"/>
          </w:tcPr>
          <w:p w14:paraId="69F68D92"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32A2148C" w14:textId="77777777" w:rsidR="007D1E74" w:rsidRDefault="00A95641">
            <w:pPr>
              <w:pStyle w:val="TableParagraph"/>
              <w:spacing w:before="25"/>
              <w:ind w:left="102" w:right="102"/>
              <w:rPr>
                <w:sz w:val="21"/>
                <w:szCs w:val="21"/>
              </w:rPr>
            </w:pPr>
            <w:r>
              <w:rPr>
                <w:sz w:val="21"/>
                <w:szCs w:val="21"/>
              </w:rPr>
              <w:t>15</w:t>
            </w:r>
          </w:p>
        </w:tc>
        <w:tc>
          <w:tcPr>
            <w:tcW w:w="674" w:type="pct"/>
          </w:tcPr>
          <w:p w14:paraId="0EFB1807" w14:textId="77777777" w:rsidR="007D1E74" w:rsidRDefault="00A95641">
            <w:pPr>
              <w:pStyle w:val="TableParagraph"/>
              <w:spacing w:before="25"/>
              <w:ind w:left="102" w:right="100"/>
              <w:rPr>
                <w:sz w:val="21"/>
                <w:szCs w:val="21"/>
              </w:rPr>
            </w:pPr>
            <w:r>
              <w:rPr>
                <w:sz w:val="21"/>
                <w:szCs w:val="21"/>
              </w:rPr>
              <w:t>Sp.</w:t>
            </w:r>
          </w:p>
        </w:tc>
        <w:tc>
          <w:tcPr>
            <w:tcW w:w="978" w:type="pct"/>
          </w:tcPr>
          <w:p w14:paraId="51D57DDD" w14:textId="77777777" w:rsidR="007D1E74" w:rsidRDefault="00A95641">
            <w:pPr>
              <w:pStyle w:val="TableParagraph"/>
              <w:spacing w:before="25"/>
              <w:ind w:left="170" w:right="170"/>
              <w:rPr>
                <w:sz w:val="21"/>
                <w:szCs w:val="21"/>
              </w:rPr>
            </w:pPr>
            <w:r>
              <w:rPr>
                <w:sz w:val="21"/>
                <w:szCs w:val="21"/>
              </w:rPr>
              <w:t>0.1</w:t>
            </w:r>
          </w:p>
        </w:tc>
        <w:tc>
          <w:tcPr>
            <w:tcW w:w="652" w:type="pct"/>
          </w:tcPr>
          <w:p w14:paraId="064A5F68" w14:textId="77777777" w:rsidR="007D1E74" w:rsidRDefault="00A95641">
            <w:pPr>
              <w:pStyle w:val="TableParagraph"/>
              <w:spacing w:before="25"/>
              <w:ind w:right="108"/>
              <w:rPr>
                <w:sz w:val="21"/>
                <w:szCs w:val="21"/>
              </w:rPr>
            </w:pPr>
            <w:r>
              <w:rPr>
                <w:sz w:val="21"/>
                <w:szCs w:val="21"/>
              </w:rPr>
              <w:t>3</w:t>
            </w:r>
          </w:p>
        </w:tc>
      </w:tr>
      <w:tr w:rsidR="007D1E74" w14:paraId="4BE4E2AD" w14:textId="77777777">
        <w:trPr>
          <w:trHeight w:hRule="exact" w:val="336"/>
        </w:trPr>
        <w:tc>
          <w:tcPr>
            <w:tcW w:w="440" w:type="pct"/>
          </w:tcPr>
          <w:p w14:paraId="5E7BEB83" w14:textId="77777777" w:rsidR="007D1E74" w:rsidRDefault="00A95641">
            <w:pPr>
              <w:pStyle w:val="TableParagraph"/>
              <w:spacing w:before="25"/>
              <w:ind w:left="6"/>
              <w:rPr>
                <w:sz w:val="21"/>
                <w:szCs w:val="21"/>
              </w:rPr>
            </w:pPr>
            <w:r>
              <w:rPr>
                <w:sz w:val="21"/>
                <w:szCs w:val="21"/>
              </w:rPr>
              <w:t>9</w:t>
            </w:r>
          </w:p>
        </w:tc>
        <w:tc>
          <w:tcPr>
            <w:tcW w:w="908" w:type="pct"/>
          </w:tcPr>
          <w:p w14:paraId="5306ECB6" w14:textId="77777777" w:rsidR="007D1E74" w:rsidRDefault="00A95641">
            <w:pPr>
              <w:pStyle w:val="TableParagraph"/>
              <w:spacing w:line="284" w:lineRule="exact"/>
              <w:ind w:left="102"/>
              <w:rPr>
                <w:rFonts w:ascii="宋体"/>
                <w:sz w:val="21"/>
                <w:szCs w:val="21"/>
              </w:rPr>
            </w:pPr>
            <w:r>
              <w:rPr>
                <w:rFonts w:ascii="宋体" w:hint="eastAsia"/>
                <w:sz w:val="21"/>
                <w:szCs w:val="21"/>
              </w:rPr>
              <w:t>夏枯草</w:t>
            </w:r>
          </w:p>
        </w:tc>
        <w:tc>
          <w:tcPr>
            <w:tcW w:w="674" w:type="pct"/>
          </w:tcPr>
          <w:p w14:paraId="4BB3E014" w14:textId="77777777" w:rsidR="007D1E74" w:rsidRDefault="00A95641">
            <w:pPr>
              <w:pStyle w:val="TableParagraph"/>
              <w:spacing w:line="284" w:lineRule="exact"/>
              <w:ind w:left="103"/>
              <w:rPr>
                <w:rFonts w:ascii="宋体"/>
                <w:sz w:val="21"/>
                <w:szCs w:val="21"/>
              </w:rPr>
            </w:pPr>
            <w:r>
              <w:rPr>
                <w:rFonts w:ascii="宋体" w:hint="eastAsia"/>
                <w:sz w:val="21"/>
                <w:szCs w:val="21"/>
              </w:rPr>
              <w:t>花果期</w:t>
            </w:r>
          </w:p>
        </w:tc>
        <w:tc>
          <w:tcPr>
            <w:tcW w:w="674" w:type="pct"/>
          </w:tcPr>
          <w:p w14:paraId="4EA83090" w14:textId="77777777" w:rsidR="007D1E74" w:rsidRDefault="00A95641">
            <w:pPr>
              <w:pStyle w:val="TableParagraph"/>
              <w:spacing w:line="302" w:lineRule="exact"/>
              <w:ind w:left="100" w:right="102"/>
              <w:rPr>
                <w:rFonts w:ascii="宋体"/>
                <w:sz w:val="21"/>
                <w:szCs w:val="21"/>
              </w:rPr>
            </w:pPr>
            <w:r>
              <w:rPr>
                <w:sz w:val="21"/>
                <w:szCs w:val="21"/>
              </w:rPr>
              <w:t xml:space="preserve">2 </w:t>
            </w:r>
            <w:r>
              <w:rPr>
                <w:rFonts w:ascii="宋体" w:hint="eastAsia"/>
                <w:sz w:val="21"/>
                <w:szCs w:val="21"/>
              </w:rPr>
              <w:t>丛</w:t>
            </w:r>
          </w:p>
        </w:tc>
        <w:tc>
          <w:tcPr>
            <w:tcW w:w="674" w:type="pct"/>
          </w:tcPr>
          <w:p w14:paraId="255BE13A" w14:textId="77777777" w:rsidR="007D1E74" w:rsidRDefault="00A95641">
            <w:pPr>
              <w:pStyle w:val="TableParagraph"/>
              <w:spacing w:before="25"/>
              <w:ind w:left="102" w:right="100"/>
              <w:rPr>
                <w:sz w:val="21"/>
                <w:szCs w:val="21"/>
              </w:rPr>
            </w:pPr>
            <w:r>
              <w:rPr>
                <w:sz w:val="21"/>
                <w:szCs w:val="21"/>
              </w:rPr>
              <w:t>Sp.</w:t>
            </w:r>
          </w:p>
        </w:tc>
        <w:tc>
          <w:tcPr>
            <w:tcW w:w="978" w:type="pct"/>
          </w:tcPr>
          <w:p w14:paraId="50DC2A89" w14:textId="77777777" w:rsidR="007D1E74" w:rsidRDefault="00A95641">
            <w:pPr>
              <w:pStyle w:val="TableParagraph"/>
              <w:spacing w:before="25"/>
              <w:ind w:left="170" w:right="170"/>
              <w:rPr>
                <w:sz w:val="21"/>
                <w:szCs w:val="21"/>
              </w:rPr>
            </w:pPr>
            <w:r>
              <w:rPr>
                <w:sz w:val="21"/>
                <w:szCs w:val="21"/>
              </w:rPr>
              <w:t>0.15</w:t>
            </w:r>
          </w:p>
        </w:tc>
        <w:tc>
          <w:tcPr>
            <w:tcW w:w="652" w:type="pct"/>
          </w:tcPr>
          <w:p w14:paraId="2958BA04" w14:textId="77777777" w:rsidR="007D1E74" w:rsidRDefault="00A95641">
            <w:pPr>
              <w:pStyle w:val="TableParagraph"/>
              <w:spacing w:before="25"/>
              <w:ind w:right="108"/>
              <w:rPr>
                <w:sz w:val="21"/>
                <w:szCs w:val="21"/>
              </w:rPr>
            </w:pPr>
            <w:r>
              <w:rPr>
                <w:sz w:val="21"/>
                <w:szCs w:val="21"/>
              </w:rPr>
              <w:t>2</w:t>
            </w:r>
          </w:p>
        </w:tc>
      </w:tr>
    </w:tbl>
    <w:p w14:paraId="26D8DBAB" w14:textId="77777777" w:rsidR="007D1E74" w:rsidRDefault="007D1E74">
      <w:pPr>
        <w:spacing w:line="360" w:lineRule="auto"/>
        <w:rPr>
          <w:rFonts w:cs="Times New Roman"/>
          <w:szCs w:val="21"/>
        </w:rPr>
      </w:pPr>
    </w:p>
    <w:p w14:paraId="686FFA46" w14:textId="77777777" w:rsidR="007D1E74" w:rsidRDefault="00A95641">
      <w:pPr>
        <w:spacing w:line="360" w:lineRule="auto"/>
        <w:jc w:val="center"/>
        <w:rPr>
          <w:rFonts w:eastAsia="黑体" w:cs="Times New Roman"/>
          <w:szCs w:val="21"/>
        </w:rPr>
      </w:pPr>
      <w:r>
        <w:rPr>
          <w:rFonts w:eastAsia="黑体" w:cs="Times New Roman"/>
          <w:szCs w:val="21"/>
        </w:rPr>
        <w:t>表</w:t>
      </w:r>
      <w:r>
        <w:rPr>
          <w:rFonts w:eastAsia="黑体" w:cs="Times New Roman"/>
          <w:szCs w:val="21"/>
        </w:rPr>
        <w:t xml:space="preserve">A.2.2-4  </w:t>
      </w:r>
      <w:r>
        <w:rPr>
          <w:rFonts w:eastAsia="黑体" w:cs="Times New Roman" w:hint="eastAsia"/>
          <w:szCs w:val="21"/>
        </w:rPr>
        <w:t>植物实测样方表</w:t>
      </w:r>
    </w:p>
    <w:tbl>
      <w:tblPr>
        <w:tblStyle w:val="affffc"/>
        <w:tblW w:w="0" w:type="auto"/>
        <w:tblBorders>
          <w:left w:val="none" w:sz="0" w:space="0" w:color="auto"/>
          <w:right w:val="none" w:sz="0" w:space="0" w:color="auto"/>
        </w:tblBorders>
        <w:tblLook w:val="04A0" w:firstRow="1" w:lastRow="0" w:firstColumn="1" w:lastColumn="0" w:noHBand="0" w:noVBand="1"/>
      </w:tblPr>
      <w:tblGrid>
        <w:gridCol w:w="9016"/>
      </w:tblGrid>
      <w:tr w:rsidR="007D1E74" w14:paraId="1C0A2174" w14:textId="77777777">
        <w:tc>
          <w:tcPr>
            <w:tcW w:w="9016" w:type="dxa"/>
          </w:tcPr>
          <w:p w14:paraId="2AE13063" w14:textId="77777777" w:rsidR="007D1E74" w:rsidRDefault="00A95641">
            <w:pPr>
              <w:spacing w:line="360" w:lineRule="auto"/>
              <w:rPr>
                <w:rFonts w:eastAsiaTheme="minorEastAsia" w:cs="Times New Roman"/>
                <w:szCs w:val="21"/>
              </w:rPr>
            </w:pPr>
            <w:r>
              <w:rPr>
                <w:rFonts w:eastAsiaTheme="minorEastAsia" w:cs="Times New Roman" w:hint="eastAsia"/>
                <w:szCs w:val="21"/>
              </w:rPr>
              <w:t>群落名称：柏木林</w:t>
            </w:r>
            <w:r>
              <w:rPr>
                <w:rFonts w:eastAsiaTheme="minorEastAsia" w:cs="Times New Roman" w:hint="eastAsia"/>
                <w:szCs w:val="21"/>
              </w:rPr>
              <w:tab/>
            </w:r>
            <w:r>
              <w:rPr>
                <w:rFonts w:eastAsiaTheme="minorEastAsia" w:cs="Times New Roman" w:hint="eastAsia"/>
                <w:szCs w:val="21"/>
              </w:rPr>
              <w:tab/>
            </w:r>
            <w:r>
              <w:rPr>
                <w:rFonts w:eastAsiaTheme="minorEastAsia" w:cs="Times New Roman" w:hint="eastAsia"/>
                <w:szCs w:val="21"/>
              </w:rPr>
              <w:t>地点：涪阳镇火石岭村</w:t>
            </w:r>
            <w:r>
              <w:rPr>
                <w:rFonts w:eastAsiaTheme="minorEastAsia" w:cs="Times New Roman" w:hint="eastAsia"/>
                <w:szCs w:val="21"/>
              </w:rPr>
              <w:tab/>
            </w:r>
            <w:r>
              <w:rPr>
                <w:rFonts w:eastAsiaTheme="minorEastAsia" w:cs="Times New Roman" w:hint="eastAsia"/>
                <w:szCs w:val="21"/>
              </w:rPr>
              <w:tab/>
            </w:r>
            <w:r>
              <w:rPr>
                <w:rFonts w:eastAsiaTheme="minorEastAsia" w:cs="Times New Roman" w:hint="eastAsia"/>
                <w:szCs w:val="21"/>
              </w:rPr>
              <w:t>样方面积：</w:t>
            </w:r>
            <w:r>
              <w:rPr>
                <w:rFonts w:eastAsiaTheme="minorEastAsia" w:cs="Times New Roman" w:hint="eastAsia"/>
                <w:szCs w:val="21"/>
              </w:rPr>
              <w:t>10m</w:t>
            </w:r>
            <w:r>
              <w:rPr>
                <w:rFonts w:eastAsiaTheme="minorEastAsia" w:cs="Times New Roman" w:hint="eastAsia"/>
                <w:szCs w:val="21"/>
              </w:rPr>
              <w:t>×</w:t>
            </w:r>
            <w:r>
              <w:rPr>
                <w:rFonts w:eastAsiaTheme="minorEastAsia" w:cs="Times New Roman" w:hint="eastAsia"/>
                <w:szCs w:val="21"/>
              </w:rPr>
              <w:t>10m</w:t>
            </w:r>
          </w:p>
        </w:tc>
      </w:tr>
      <w:tr w:rsidR="007D1E74" w14:paraId="0E01B537" w14:textId="77777777">
        <w:tc>
          <w:tcPr>
            <w:tcW w:w="9016" w:type="dxa"/>
          </w:tcPr>
          <w:p w14:paraId="4BB230AA" w14:textId="77777777" w:rsidR="007D1E74" w:rsidRDefault="00A95641">
            <w:pPr>
              <w:spacing w:line="360" w:lineRule="auto"/>
              <w:rPr>
                <w:rFonts w:eastAsiaTheme="minorEastAsia" w:cs="Times New Roman"/>
                <w:szCs w:val="21"/>
              </w:rPr>
            </w:pPr>
            <w:r>
              <w:rPr>
                <w:rFonts w:eastAsiaTheme="minorEastAsia" w:cs="Times New Roman" w:hint="eastAsia"/>
                <w:szCs w:val="21"/>
              </w:rPr>
              <w:t>经度：</w:t>
            </w:r>
            <w:r>
              <w:rPr>
                <w:rFonts w:eastAsiaTheme="minorEastAsia" w:cs="Times New Roman" w:hint="eastAsia"/>
                <w:szCs w:val="21"/>
              </w:rPr>
              <w:t xml:space="preserve">107.175624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纬度：</w:t>
            </w:r>
            <w:r>
              <w:rPr>
                <w:rFonts w:eastAsiaTheme="minorEastAsia" w:cs="Times New Roman" w:hint="eastAsia"/>
                <w:szCs w:val="21"/>
              </w:rPr>
              <w:t xml:space="preserve">32.079714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海拔（</w:t>
            </w:r>
            <w:r>
              <w:rPr>
                <w:rFonts w:eastAsiaTheme="minorEastAsia" w:cs="Times New Roman" w:hint="eastAsia"/>
                <w:szCs w:val="21"/>
              </w:rPr>
              <w:t>m</w:t>
            </w:r>
            <w:r>
              <w:rPr>
                <w:rFonts w:eastAsiaTheme="minorEastAsia" w:cs="Times New Roman" w:hint="eastAsia"/>
                <w:szCs w:val="21"/>
              </w:rPr>
              <w:t>）</w:t>
            </w:r>
            <w:r>
              <w:rPr>
                <w:rFonts w:eastAsiaTheme="minorEastAsia" w:cs="Times New Roman" w:hint="eastAsia"/>
                <w:szCs w:val="21"/>
              </w:rPr>
              <w:t>600</w:t>
            </w:r>
          </w:p>
        </w:tc>
      </w:tr>
      <w:tr w:rsidR="007D1E74" w14:paraId="59F6A9FF" w14:textId="77777777">
        <w:tc>
          <w:tcPr>
            <w:tcW w:w="9016" w:type="dxa"/>
          </w:tcPr>
          <w:p w14:paraId="7291AF15" w14:textId="77777777" w:rsidR="007D1E74" w:rsidRDefault="00A95641">
            <w:pPr>
              <w:spacing w:line="360" w:lineRule="auto"/>
              <w:rPr>
                <w:rFonts w:eastAsiaTheme="minorEastAsia" w:cs="Times New Roman"/>
                <w:szCs w:val="21"/>
              </w:rPr>
            </w:pPr>
            <w:r>
              <w:rPr>
                <w:rFonts w:eastAsiaTheme="minorEastAsia" w:cs="Times New Roman" w:hint="eastAsia"/>
                <w:szCs w:val="21"/>
              </w:rPr>
              <w:t>调查人：黄文军、李秦</w:t>
            </w:r>
            <w:r>
              <w:rPr>
                <w:rFonts w:eastAsiaTheme="minorEastAsia" w:cs="Times New Roman" w:hint="eastAsia"/>
                <w:szCs w:val="21"/>
              </w:rPr>
              <w:tab/>
            </w:r>
            <w:r>
              <w:rPr>
                <w:rFonts w:eastAsiaTheme="minorEastAsia" w:cs="Times New Roman" w:hint="eastAsia"/>
                <w:szCs w:val="21"/>
              </w:rPr>
              <w:t>调查日期：</w:t>
            </w:r>
            <w:r>
              <w:rPr>
                <w:rFonts w:eastAsiaTheme="minorEastAsia" w:cs="Times New Roman" w:hint="eastAsia"/>
                <w:szCs w:val="21"/>
              </w:rPr>
              <w:t>2021-08-18</w:t>
            </w:r>
          </w:p>
        </w:tc>
      </w:tr>
    </w:tbl>
    <w:p w14:paraId="66E46EBB" w14:textId="77777777" w:rsidR="007D1E74" w:rsidRDefault="007D1E74">
      <w:pPr>
        <w:spacing w:line="360" w:lineRule="auto"/>
        <w:rPr>
          <w:rFonts w:eastAsia="黑体" w:cs="Times New Roman"/>
          <w:sz w:val="24"/>
          <w:szCs w:val="24"/>
        </w:rPr>
      </w:pP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4"/>
        <w:gridCol w:w="1637"/>
        <w:gridCol w:w="1215"/>
        <w:gridCol w:w="1215"/>
        <w:gridCol w:w="1215"/>
        <w:gridCol w:w="1764"/>
        <w:gridCol w:w="1176"/>
      </w:tblGrid>
      <w:tr w:rsidR="007D1E74" w14:paraId="7398CC58" w14:textId="77777777">
        <w:trPr>
          <w:trHeight w:hRule="exact" w:val="351"/>
        </w:trPr>
        <w:tc>
          <w:tcPr>
            <w:tcW w:w="440" w:type="pct"/>
          </w:tcPr>
          <w:p w14:paraId="6478E6A1" w14:textId="77777777" w:rsidR="007D1E74" w:rsidRDefault="00A95641">
            <w:pPr>
              <w:pStyle w:val="TableParagraph"/>
              <w:spacing w:line="284" w:lineRule="exact"/>
              <w:ind w:left="109" w:right="103"/>
              <w:rPr>
                <w:rFonts w:ascii="宋体"/>
                <w:sz w:val="21"/>
                <w:szCs w:val="21"/>
              </w:rPr>
            </w:pPr>
            <w:r>
              <w:rPr>
                <w:rFonts w:ascii="宋体" w:hint="eastAsia"/>
                <w:sz w:val="21"/>
                <w:szCs w:val="21"/>
              </w:rPr>
              <w:t>种号</w:t>
            </w:r>
          </w:p>
        </w:tc>
        <w:tc>
          <w:tcPr>
            <w:tcW w:w="908" w:type="pct"/>
          </w:tcPr>
          <w:p w14:paraId="0D34A182" w14:textId="77777777" w:rsidR="007D1E74" w:rsidRDefault="00A95641">
            <w:pPr>
              <w:pStyle w:val="TableParagraph"/>
              <w:spacing w:line="284" w:lineRule="exact"/>
              <w:ind w:left="397"/>
              <w:rPr>
                <w:rFonts w:ascii="宋体"/>
                <w:sz w:val="21"/>
                <w:szCs w:val="21"/>
              </w:rPr>
            </w:pPr>
            <w:r>
              <w:rPr>
                <w:rFonts w:ascii="宋体" w:hint="eastAsia"/>
                <w:sz w:val="21"/>
                <w:szCs w:val="21"/>
              </w:rPr>
              <w:t>物种名</w:t>
            </w:r>
          </w:p>
        </w:tc>
        <w:tc>
          <w:tcPr>
            <w:tcW w:w="674" w:type="pct"/>
          </w:tcPr>
          <w:p w14:paraId="3724A4BC" w14:textId="77777777" w:rsidR="007D1E74" w:rsidRDefault="00A95641">
            <w:pPr>
              <w:pStyle w:val="TableParagraph"/>
              <w:spacing w:line="284" w:lineRule="exact"/>
              <w:ind w:left="202"/>
              <w:rPr>
                <w:rFonts w:ascii="宋体"/>
                <w:sz w:val="21"/>
                <w:szCs w:val="21"/>
              </w:rPr>
            </w:pPr>
            <w:r>
              <w:rPr>
                <w:rFonts w:ascii="宋体" w:hint="eastAsia"/>
                <w:sz w:val="21"/>
                <w:szCs w:val="21"/>
              </w:rPr>
              <w:t>物候期</w:t>
            </w:r>
          </w:p>
        </w:tc>
        <w:tc>
          <w:tcPr>
            <w:tcW w:w="674" w:type="pct"/>
          </w:tcPr>
          <w:p w14:paraId="13D09618" w14:textId="77777777" w:rsidR="007D1E74" w:rsidRDefault="00A95641">
            <w:pPr>
              <w:pStyle w:val="TableParagraph"/>
              <w:spacing w:line="302" w:lineRule="exact"/>
              <w:ind w:left="102" w:right="102"/>
              <w:rPr>
                <w:rFonts w:ascii="宋体"/>
                <w:sz w:val="21"/>
                <w:szCs w:val="21"/>
              </w:rPr>
            </w:pPr>
            <w:r>
              <w:rPr>
                <w:rFonts w:ascii="宋体" w:hint="eastAsia"/>
                <w:sz w:val="21"/>
                <w:szCs w:val="21"/>
              </w:rPr>
              <w:t>株</w:t>
            </w:r>
            <w:r>
              <w:rPr>
                <w:sz w:val="21"/>
                <w:szCs w:val="21"/>
              </w:rPr>
              <w:t>(</w:t>
            </w:r>
            <w:r>
              <w:rPr>
                <w:rFonts w:ascii="宋体" w:hint="eastAsia"/>
                <w:sz w:val="21"/>
                <w:szCs w:val="21"/>
              </w:rPr>
              <w:t>丛</w:t>
            </w:r>
            <w:r>
              <w:rPr>
                <w:sz w:val="21"/>
                <w:szCs w:val="21"/>
              </w:rPr>
              <w:t>)</w:t>
            </w:r>
            <w:r>
              <w:rPr>
                <w:rFonts w:ascii="宋体" w:hint="eastAsia"/>
                <w:sz w:val="21"/>
                <w:szCs w:val="21"/>
              </w:rPr>
              <w:t>数</w:t>
            </w:r>
          </w:p>
        </w:tc>
        <w:tc>
          <w:tcPr>
            <w:tcW w:w="674" w:type="pct"/>
          </w:tcPr>
          <w:p w14:paraId="441AC95F" w14:textId="77777777" w:rsidR="007D1E74" w:rsidRDefault="00A95641">
            <w:pPr>
              <w:pStyle w:val="TableParagraph"/>
              <w:spacing w:line="284" w:lineRule="exact"/>
              <w:ind w:left="102" w:right="102"/>
              <w:rPr>
                <w:rFonts w:ascii="宋体"/>
                <w:sz w:val="21"/>
                <w:szCs w:val="21"/>
              </w:rPr>
            </w:pPr>
            <w:r>
              <w:rPr>
                <w:rFonts w:ascii="宋体" w:hint="eastAsia"/>
                <w:sz w:val="21"/>
                <w:szCs w:val="21"/>
              </w:rPr>
              <w:t>多度</w:t>
            </w:r>
          </w:p>
        </w:tc>
        <w:tc>
          <w:tcPr>
            <w:tcW w:w="978" w:type="pct"/>
          </w:tcPr>
          <w:p w14:paraId="52AC1342" w14:textId="77777777" w:rsidR="007D1E74" w:rsidRDefault="00A95641">
            <w:pPr>
              <w:pStyle w:val="TableParagraph"/>
              <w:spacing w:line="302" w:lineRule="exact"/>
              <w:ind w:left="172" w:right="170"/>
              <w:rPr>
                <w:sz w:val="21"/>
                <w:szCs w:val="21"/>
              </w:rPr>
            </w:pPr>
            <w:r>
              <w:rPr>
                <w:rFonts w:ascii="宋体" w:hint="eastAsia"/>
                <w:w w:val="95"/>
                <w:sz w:val="21"/>
                <w:szCs w:val="21"/>
              </w:rPr>
              <w:t>平均高度</w:t>
            </w:r>
            <w:r>
              <w:rPr>
                <w:w w:val="95"/>
                <w:sz w:val="21"/>
                <w:szCs w:val="21"/>
              </w:rPr>
              <w:t>/cm</w:t>
            </w:r>
          </w:p>
        </w:tc>
        <w:tc>
          <w:tcPr>
            <w:tcW w:w="652" w:type="pct"/>
          </w:tcPr>
          <w:p w14:paraId="2E6BAB56" w14:textId="77777777" w:rsidR="007D1E74" w:rsidRDefault="00A95641">
            <w:pPr>
              <w:pStyle w:val="TableParagraph"/>
              <w:spacing w:line="302" w:lineRule="exact"/>
              <w:ind w:left="116" w:right="226"/>
              <w:rPr>
                <w:sz w:val="21"/>
                <w:szCs w:val="21"/>
              </w:rPr>
            </w:pPr>
            <w:r>
              <w:rPr>
                <w:rFonts w:ascii="宋体" w:hint="eastAsia"/>
                <w:w w:val="95"/>
                <w:sz w:val="21"/>
                <w:szCs w:val="21"/>
              </w:rPr>
              <w:t>盖度</w:t>
            </w:r>
            <w:r>
              <w:rPr>
                <w:w w:val="95"/>
                <w:sz w:val="21"/>
                <w:szCs w:val="21"/>
              </w:rPr>
              <w:t>/%</w:t>
            </w:r>
          </w:p>
        </w:tc>
      </w:tr>
      <w:tr w:rsidR="007D1E74" w14:paraId="2CF76417" w14:textId="77777777">
        <w:trPr>
          <w:trHeight w:hRule="exact" w:val="336"/>
        </w:trPr>
        <w:tc>
          <w:tcPr>
            <w:tcW w:w="440" w:type="pct"/>
          </w:tcPr>
          <w:p w14:paraId="47E43E76" w14:textId="77777777" w:rsidR="007D1E74" w:rsidRDefault="00A95641">
            <w:pPr>
              <w:pStyle w:val="TableParagraph"/>
              <w:spacing w:before="25"/>
              <w:ind w:left="3"/>
              <w:rPr>
                <w:sz w:val="21"/>
                <w:szCs w:val="21"/>
              </w:rPr>
            </w:pPr>
            <w:r>
              <w:rPr>
                <w:sz w:val="21"/>
                <w:szCs w:val="21"/>
              </w:rPr>
              <w:t>1</w:t>
            </w:r>
          </w:p>
        </w:tc>
        <w:tc>
          <w:tcPr>
            <w:tcW w:w="908" w:type="pct"/>
          </w:tcPr>
          <w:p w14:paraId="1A3CFD53" w14:textId="77777777" w:rsidR="007D1E74" w:rsidRDefault="00A95641">
            <w:pPr>
              <w:pStyle w:val="TableParagraph"/>
              <w:spacing w:line="284" w:lineRule="exact"/>
              <w:ind w:left="103"/>
              <w:rPr>
                <w:rFonts w:ascii="宋体"/>
                <w:sz w:val="21"/>
                <w:szCs w:val="21"/>
              </w:rPr>
            </w:pPr>
            <w:r>
              <w:rPr>
                <w:rFonts w:ascii="宋体" w:hint="eastAsia"/>
                <w:sz w:val="21"/>
                <w:szCs w:val="21"/>
              </w:rPr>
              <w:t>柏木</w:t>
            </w:r>
          </w:p>
        </w:tc>
        <w:tc>
          <w:tcPr>
            <w:tcW w:w="674" w:type="pct"/>
          </w:tcPr>
          <w:p w14:paraId="30CF256E"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15DBC35B" w14:textId="77777777" w:rsidR="007D1E74" w:rsidRDefault="00A95641">
            <w:pPr>
              <w:pStyle w:val="TableParagraph"/>
              <w:spacing w:before="25"/>
              <w:ind w:left="173" w:right="171"/>
              <w:rPr>
                <w:sz w:val="21"/>
                <w:szCs w:val="21"/>
              </w:rPr>
            </w:pPr>
            <w:r>
              <w:rPr>
                <w:sz w:val="21"/>
                <w:szCs w:val="21"/>
              </w:rPr>
              <w:t>16</w:t>
            </w:r>
          </w:p>
        </w:tc>
        <w:tc>
          <w:tcPr>
            <w:tcW w:w="674" w:type="pct"/>
          </w:tcPr>
          <w:p w14:paraId="2AE23E18" w14:textId="77777777" w:rsidR="007D1E74" w:rsidRDefault="00A95641">
            <w:pPr>
              <w:pStyle w:val="TableParagraph"/>
              <w:spacing w:before="22"/>
              <w:ind w:left="101" w:right="100"/>
              <w:rPr>
                <w:sz w:val="21"/>
                <w:szCs w:val="21"/>
              </w:rPr>
            </w:pPr>
            <w:r>
              <w:rPr>
                <w:position w:val="2"/>
                <w:sz w:val="21"/>
                <w:szCs w:val="21"/>
              </w:rPr>
              <w:t>Cop</w:t>
            </w:r>
            <w:r>
              <w:rPr>
                <w:sz w:val="21"/>
                <w:szCs w:val="21"/>
              </w:rPr>
              <w:t>2</w:t>
            </w:r>
          </w:p>
        </w:tc>
        <w:tc>
          <w:tcPr>
            <w:tcW w:w="978" w:type="pct"/>
          </w:tcPr>
          <w:p w14:paraId="4474F5DC" w14:textId="77777777" w:rsidR="007D1E74" w:rsidRDefault="00A95641">
            <w:pPr>
              <w:pStyle w:val="TableParagraph"/>
              <w:spacing w:before="25"/>
              <w:ind w:left="172" w:right="172"/>
              <w:rPr>
                <w:sz w:val="21"/>
                <w:szCs w:val="21"/>
              </w:rPr>
            </w:pPr>
            <w:r>
              <w:rPr>
                <w:sz w:val="21"/>
                <w:szCs w:val="21"/>
              </w:rPr>
              <w:t>15</w:t>
            </w:r>
          </w:p>
        </w:tc>
        <w:tc>
          <w:tcPr>
            <w:tcW w:w="652" w:type="pct"/>
          </w:tcPr>
          <w:p w14:paraId="5608DC47" w14:textId="77777777" w:rsidR="007D1E74" w:rsidRDefault="00A95641">
            <w:pPr>
              <w:pStyle w:val="TableParagraph"/>
              <w:spacing w:before="25"/>
              <w:ind w:left="114" w:right="224"/>
              <w:rPr>
                <w:sz w:val="21"/>
                <w:szCs w:val="21"/>
              </w:rPr>
            </w:pPr>
            <w:r>
              <w:rPr>
                <w:sz w:val="21"/>
                <w:szCs w:val="21"/>
              </w:rPr>
              <w:t>75</w:t>
            </w:r>
          </w:p>
        </w:tc>
      </w:tr>
      <w:tr w:rsidR="007D1E74" w14:paraId="433C766B" w14:textId="77777777">
        <w:trPr>
          <w:trHeight w:hRule="exact" w:val="336"/>
        </w:trPr>
        <w:tc>
          <w:tcPr>
            <w:tcW w:w="440" w:type="pct"/>
          </w:tcPr>
          <w:p w14:paraId="29C78718" w14:textId="77777777" w:rsidR="007D1E74" w:rsidRDefault="00A95641">
            <w:pPr>
              <w:pStyle w:val="TableParagraph"/>
              <w:spacing w:before="25"/>
              <w:ind w:left="3"/>
              <w:rPr>
                <w:sz w:val="21"/>
                <w:szCs w:val="21"/>
              </w:rPr>
            </w:pPr>
            <w:r>
              <w:rPr>
                <w:sz w:val="21"/>
                <w:szCs w:val="21"/>
              </w:rPr>
              <w:t>2</w:t>
            </w:r>
          </w:p>
        </w:tc>
        <w:tc>
          <w:tcPr>
            <w:tcW w:w="908" w:type="pct"/>
          </w:tcPr>
          <w:p w14:paraId="66967B28" w14:textId="77777777" w:rsidR="007D1E74" w:rsidRDefault="00A95641">
            <w:pPr>
              <w:pStyle w:val="TableParagraph"/>
              <w:spacing w:line="284" w:lineRule="exact"/>
              <w:ind w:left="103"/>
              <w:rPr>
                <w:rFonts w:ascii="宋体"/>
                <w:sz w:val="21"/>
                <w:szCs w:val="21"/>
              </w:rPr>
            </w:pPr>
            <w:r>
              <w:rPr>
                <w:rFonts w:ascii="宋体" w:hint="eastAsia"/>
                <w:sz w:val="21"/>
                <w:szCs w:val="21"/>
              </w:rPr>
              <w:t>麻栎</w:t>
            </w:r>
          </w:p>
        </w:tc>
        <w:tc>
          <w:tcPr>
            <w:tcW w:w="674" w:type="pct"/>
          </w:tcPr>
          <w:p w14:paraId="35FFACC3"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2C9378A7" w14:textId="77777777" w:rsidR="007D1E74" w:rsidRDefault="00A95641">
            <w:pPr>
              <w:pStyle w:val="TableParagraph"/>
              <w:spacing w:before="25"/>
              <w:ind w:left="2"/>
              <w:rPr>
                <w:sz w:val="21"/>
                <w:szCs w:val="21"/>
              </w:rPr>
            </w:pPr>
            <w:r>
              <w:rPr>
                <w:sz w:val="21"/>
                <w:szCs w:val="21"/>
              </w:rPr>
              <w:t>4</w:t>
            </w:r>
          </w:p>
        </w:tc>
        <w:tc>
          <w:tcPr>
            <w:tcW w:w="674" w:type="pct"/>
          </w:tcPr>
          <w:p w14:paraId="308860E8" w14:textId="77777777" w:rsidR="007D1E74" w:rsidRDefault="00A95641">
            <w:pPr>
              <w:pStyle w:val="TableParagraph"/>
              <w:spacing w:before="22"/>
              <w:ind w:left="101" w:right="100"/>
              <w:rPr>
                <w:sz w:val="21"/>
                <w:szCs w:val="21"/>
              </w:rPr>
            </w:pPr>
            <w:r>
              <w:rPr>
                <w:position w:val="2"/>
                <w:sz w:val="21"/>
                <w:szCs w:val="21"/>
              </w:rPr>
              <w:t>Cop</w:t>
            </w:r>
            <w:r>
              <w:rPr>
                <w:sz w:val="21"/>
                <w:szCs w:val="21"/>
              </w:rPr>
              <w:t>1</w:t>
            </w:r>
          </w:p>
        </w:tc>
        <w:tc>
          <w:tcPr>
            <w:tcW w:w="978" w:type="pct"/>
          </w:tcPr>
          <w:p w14:paraId="7AFA6DA2" w14:textId="77777777" w:rsidR="007D1E74" w:rsidRDefault="00A95641">
            <w:pPr>
              <w:pStyle w:val="TableParagraph"/>
              <w:spacing w:before="25"/>
              <w:ind w:left="172" w:right="172"/>
              <w:rPr>
                <w:sz w:val="21"/>
                <w:szCs w:val="21"/>
              </w:rPr>
            </w:pPr>
            <w:r>
              <w:rPr>
                <w:sz w:val="21"/>
                <w:szCs w:val="21"/>
              </w:rPr>
              <w:t>13</w:t>
            </w:r>
          </w:p>
        </w:tc>
        <w:tc>
          <w:tcPr>
            <w:tcW w:w="652" w:type="pct"/>
          </w:tcPr>
          <w:p w14:paraId="744CD962" w14:textId="77777777" w:rsidR="007D1E74" w:rsidRDefault="00A95641">
            <w:pPr>
              <w:pStyle w:val="TableParagraph"/>
              <w:spacing w:before="25"/>
              <w:ind w:left="114" w:right="224"/>
              <w:rPr>
                <w:sz w:val="21"/>
                <w:szCs w:val="21"/>
              </w:rPr>
            </w:pPr>
            <w:r>
              <w:rPr>
                <w:sz w:val="21"/>
                <w:szCs w:val="21"/>
              </w:rPr>
              <w:t>10</w:t>
            </w:r>
          </w:p>
        </w:tc>
      </w:tr>
      <w:tr w:rsidR="007D1E74" w14:paraId="02D30F15" w14:textId="77777777">
        <w:trPr>
          <w:trHeight w:hRule="exact" w:val="336"/>
        </w:trPr>
        <w:tc>
          <w:tcPr>
            <w:tcW w:w="440" w:type="pct"/>
          </w:tcPr>
          <w:p w14:paraId="0197BD6B" w14:textId="77777777" w:rsidR="007D1E74" w:rsidRDefault="00A95641">
            <w:pPr>
              <w:pStyle w:val="TableParagraph"/>
              <w:spacing w:before="25"/>
              <w:ind w:left="3"/>
              <w:rPr>
                <w:sz w:val="21"/>
                <w:szCs w:val="21"/>
              </w:rPr>
            </w:pPr>
            <w:r>
              <w:rPr>
                <w:sz w:val="21"/>
                <w:szCs w:val="21"/>
              </w:rPr>
              <w:t>3</w:t>
            </w:r>
          </w:p>
        </w:tc>
        <w:tc>
          <w:tcPr>
            <w:tcW w:w="908" w:type="pct"/>
          </w:tcPr>
          <w:p w14:paraId="354A5D7B" w14:textId="77777777" w:rsidR="007D1E74" w:rsidRDefault="00A95641">
            <w:pPr>
              <w:pStyle w:val="TableParagraph"/>
              <w:spacing w:line="284" w:lineRule="exact"/>
              <w:ind w:left="103"/>
              <w:rPr>
                <w:rFonts w:ascii="宋体"/>
                <w:sz w:val="21"/>
                <w:szCs w:val="21"/>
              </w:rPr>
            </w:pPr>
            <w:r>
              <w:rPr>
                <w:rFonts w:ascii="宋体" w:hint="eastAsia"/>
                <w:sz w:val="21"/>
                <w:szCs w:val="21"/>
              </w:rPr>
              <w:t>桤木</w:t>
            </w:r>
          </w:p>
        </w:tc>
        <w:tc>
          <w:tcPr>
            <w:tcW w:w="674" w:type="pct"/>
          </w:tcPr>
          <w:p w14:paraId="00F10697"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399671BC" w14:textId="77777777" w:rsidR="007D1E74" w:rsidRDefault="00A95641">
            <w:pPr>
              <w:pStyle w:val="TableParagraph"/>
              <w:spacing w:before="25"/>
              <w:ind w:left="2"/>
              <w:rPr>
                <w:sz w:val="21"/>
                <w:szCs w:val="21"/>
              </w:rPr>
            </w:pPr>
            <w:r>
              <w:rPr>
                <w:sz w:val="21"/>
                <w:szCs w:val="21"/>
              </w:rPr>
              <w:t>3</w:t>
            </w:r>
          </w:p>
        </w:tc>
        <w:tc>
          <w:tcPr>
            <w:tcW w:w="674" w:type="pct"/>
          </w:tcPr>
          <w:p w14:paraId="5B961532" w14:textId="77777777" w:rsidR="007D1E74" w:rsidRDefault="00A95641">
            <w:pPr>
              <w:pStyle w:val="TableParagraph"/>
              <w:spacing w:before="22"/>
              <w:ind w:left="101" w:right="100"/>
              <w:rPr>
                <w:sz w:val="21"/>
                <w:szCs w:val="21"/>
              </w:rPr>
            </w:pPr>
            <w:r>
              <w:rPr>
                <w:position w:val="2"/>
                <w:sz w:val="21"/>
                <w:szCs w:val="21"/>
              </w:rPr>
              <w:t>Cop</w:t>
            </w:r>
            <w:r>
              <w:rPr>
                <w:sz w:val="21"/>
                <w:szCs w:val="21"/>
              </w:rPr>
              <w:t>1</w:t>
            </w:r>
          </w:p>
        </w:tc>
        <w:tc>
          <w:tcPr>
            <w:tcW w:w="978" w:type="pct"/>
          </w:tcPr>
          <w:p w14:paraId="27B80F55" w14:textId="77777777" w:rsidR="007D1E74" w:rsidRDefault="00A95641">
            <w:pPr>
              <w:pStyle w:val="TableParagraph"/>
              <w:spacing w:before="25"/>
              <w:ind w:left="172" w:right="172"/>
              <w:rPr>
                <w:sz w:val="21"/>
                <w:szCs w:val="21"/>
              </w:rPr>
            </w:pPr>
            <w:r>
              <w:rPr>
                <w:sz w:val="21"/>
                <w:szCs w:val="21"/>
              </w:rPr>
              <w:t>12</w:t>
            </w:r>
          </w:p>
        </w:tc>
        <w:tc>
          <w:tcPr>
            <w:tcW w:w="652" w:type="pct"/>
          </w:tcPr>
          <w:p w14:paraId="5B31067F" w14:textId="77777777" w:rsidR="007D1E74" w:rsidRDefault="00A95641">
            <w:pPr>
              <w:pStyle w:val="TableParagraph"/>
              <w:spacing w:before="25"/>
              <w:ind w:left="114" w:right="224"/>
              <w:rPr>
                <w:sz w:val="21"/>
                <w:szCs w:val="21"/>
              </w:rPr>
            </w:pPr>
            <w:r>
              <w:rPr>
                <w:sz w:val="21"/>
                <w:szCs w:val="21"/>
              </w:rPr>
              <w:t>10</w:t>
            </w:r>
          </w:p>
        </w:tc>
      </w:tr>
      <w:tr w:rsidR="007D1E74" w14:paraId="23C147A7" w14:textId="77777777">
        <w:trPr>
          <w:trHeight w:hRule="exact" w:val="336"/>
        </w:trPr>
        <w:tc>
          <w:tcPr>
            <w:tcW w:w="440" w:type="pct"/>
          </w:tcPr>
          <w:p w14:paraId="75F63D0B" w14:textId="77777777" w:rsidR="007D1E74" w:rsidRDefault="00A95641">
            <w:pPr>
              <w:pStyle w:val="TableParagraph"/>
              <w:spacing w:before="25"/>
              <w:ind w:left="3"/>
              <w:rPr>
                <w:sz w:val="21"/>
                <w:szCs w:val="21"/>
              </w:rPr>
            </w:pPr>
            <w:r>
              <w:rPr>
                <w:sz w:val="21"/>
                <w:szCs w:val="21"/>
              </w:rPr>
              <w:t>4</w:t>
            </w:r>
          </w:p>
        </w:tc>
        <w:tc>
          <w:tcPr>
            <w:tcW w:w="908" w:type="pct"/>
          </w:tcPr>
          <w:p w14:paraId="0290B37B" w14:textId="77777777" w:rsidR="007D1E74" w:rsidRDefault="00A95641">
            <w:pPr>
              <w:pStyle w:val="TableParagraph"/>
              <w:spacing w:line="284" w:lineRule="exact"/>
              <w:ind w:left="103"/>
              <w:rPr>
                <w:rFonts w:ascii="宋体"/>
                <w:sz w:val="21"/>
                <w:szCs w:val="21"/>
              </w:rPr>
            </w:pPr>
            <w:r>
              <w:rPr>
                <w:rFonts w:ascii="宋体" w:hint="eastAsia"/>
                <w:sz w:val="21"/>
                <w:szCs w:val="21"/>
              </w:rPr>
              <w:t>女贞</w:t>
            </w:r>
          </w:p>
        </w:tc>
        <w:tc>
          <w:tcPr>
            <w:tcW w:w="674" w:type="pct"/>
          </w:tcPr>
          <w:p w14:paraId="0442300F"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7A3A4FAB" w14:textId="77777777" w:rsidR="007D1E74" w:rsidRDefault="00A95641">
            <w:pPr>
              <w:pStyle w:val="TableParagraph"/>
              <w:spacing w:before="25"/>
              <w:ind w:left="2"/>
              <w:rPr>
                <w:sz w:val="21"/>
                <w:szCs w:val="21"/>
              </w:rPr>
            </w:pPr>
            <w:r>
              <w:rPr>
                <w:sz w:val="21"/>
                <w:szCs w:val="21"/>
              </w:rPr>
              <w:t>1</w:t>
            </w:r>
          </w:p>
        </w:tc>
        <w:tc>
          <w:tcPr>
            <w:tcW w:w="674" w:type="pct"/>
          </w:tcPr>
          <w:p w14:paraId="2A0F4800" w14:textId="77777777" w:rsidR="007D1E74" w:rsidRDefault="00A95641">
            <w:pPr>
              <w:pStyle w:val="TableParagraph"/>
              <w:spacing w:before="25"/>
              <w:ind w:left="101" w:right="99"/>
              <w:rPr>
                <w:sz w:val="21"/>
                <w:szCs w:val="21"/>
              </w:rPr>
            </w:pPr>
            <w:r>
              <w:rPr>
                <w:sz w:val="21"/>
                <w:szCs w:val="21"/>
              </w:rPr>
              <w:t>Sp</w:t>
            </w:r>
          </w:p>
        </w:tc>
        <w:tc>
          <w:tcPr>
            <w:tcW w:w="978" w:type="pct"/>
          </w:tcPr>
          <w:p w14:paraId="274A007E" w14:textId="77777777" w:rsidR="007D1E74" w:rsidRDefault="00A95641">
            <w:pPr>
              <w:pStyle w:val="TableParagraph"/>
              <w:spacing w:before="25"/>
              <w:rPr>
                <w:sz w:val="21"/>
                <w:szCs w:val="21"/>
              </w:rPr>
            </w:pPr>
            <w:r>
              <w:rPr>
                <w:sz w:val="21"/>
                <w:szCs w:val="21"/>
              </w:rPr>
              <w:t>7</w:t>
            </w:r>
          </w:p>
        </w:tc>
        <w:tc>
          <w:tcPr>
            <w:tcW w:w="652" w:type="pct"/>
          </w:tcPr>
          <w:p w14:paraId="5D01A91B" w14:textId="77777777" w:rsidR="007D1E74" w:rsidRDefault="00A95641">
            <w:pPr>
              <w:pStyle w:val="TableParagraph"/>
              <w:spacing w:before="25"/>
              <w:ind w:right="110"/>
              <w:rPr>
                <w:sz w:val="21"/>
                <w:szCs w:val="21"/>
              </w:rPr>
            </w:pPr>
            <w:r>
              <w:rPr>
                <w:sz w:val="21"/>
                <w:szCs w:val="21"/>
              </w:rPr>
              <w:t>5</w:t>
            </w:r>
          </w:p>
        </w:tc>
      </w:tr>
      <w:tr w:rsidR="007D1E74" w14:paraId="40CBBEC8" w14:textId="77777777">
        <w:trPr>
          <w:trHeight w:hRule="exact" w:val="336"/>
        </w:trPr>
        <w:tc>
          <w:tcPr>
            <w:tcW w:w="440" w:type="pct"/>
          </w:tcPr>
          <w:p w14:paraId="48E69926" w14:textId="77777777" w:rsidR="007D1E74" w:rsidRDefault="00A95641">
            <w:pPr>
              <w:pStyle w:val="TableParagraph"/>
              <w:spacing w:before="25"/>
              <w:ind w:left="3"/>
              <w:rPr>
                <w:sz w:val="21"/>
                <w:szCs w:val="21"/>
              </w:rPr>
            </w:pPr>
            <w:r>
              <w:rPr>
                <w:sz w:val="21"/>
                <w:szCs w:val="21"/>
              </w:rPr>
              <w:t>5</w:t>
            </w:r>
          </w:p>
        </w:tc>
        <w:tc>
          <w:tcPr>
            <w:tcW w:w="908" w:type="pct"/>
          </w:tcPr>
          <w:p w14:paraId="518E2B95" w14:textId="77777777" w:rsidR="007D1E74" w:rsidRDefault="00A95641">
            <w:pPr>
              <w:pStyle w:val="TableParagraph"/>
              <w:spacing w:line="284" w:lineRule="exact"/>
              <w:ind w:left="103"/>
              <w:rPr>
                <w:rFonts w:ascii="宋体"/>
                <w:sz w:val="21"/>
                <w:szCs w:val="21"/>
              </w:rPr>
            </w:pPr>
            <w:r>
              <w:rPr>
                <w:rFonts w:ascii="宋体" w:hint="eastAsia"/>
                <w:sz w:val="21"/>
                <w:szCs w:val="21"/>
              </w:rPr>
              <w:t>八角枫</w:t>
            </w:r>
          </w:p>
        </w:tc>
        <w:tc>
          <w:tcPr>
            <w:tcW w:w="674" w:type="pct"/>
          </w:tcPr>
          <w:p w14:paraId="562AD8BB"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44C96376" w14:textId="77777777" w:rsidR="007D1E74" w:rsidRDefault="00A95641">
            <w:pPr>
              <w:pStyle w:val="TableParagraph"/>
              <w:spacing w:before="25"/>
              <w:ind w:left="2"/>
              <w:rPr>
                <w:sz w:val="21"/>
                <w:szCs w:val="21"/>
              </w:rPr>
            </w:pPr>
            <w:r>
              <w:rPr>
                <w:sz w:val="21"/>
                <w:szCs w:val="21"/>
              </w:rPr>
              <w:t>1</w:t>
            </w:r>
          </w:p>
        </w:tc>
        <w:tc>
          <w:tcPr>
            <w:tcW w:w="674" w:type="pct"/>
          </w:tcPr>
          <w:p w14:paraId="7CF9846C" w14:textId="77777777" w:rsidR="007D1E74" w:rsidRDefault="00A95641">
            <w:pPr>
              <w:pStyle w:val="TableParagraph"/>
              <w:spacing w:before="25"/>
              <w:ind w:left="101" w:right="100"/>
              <w:rPr>
                <w:sz w:val="21"/>
                <w:szCs w:val="21"/>
              </w:rPr>
            </w:pPr>
            <w:r>
              <w:rPr>
                <w:sz w:val="21"/>
                <w:szCs w:val="21"/>
              </w:rPr>
              <w:t>Ol</w:t>
            </w:r>
          </w:p>
        </w:tc>
        <w:tc>
          <w:tcPr>
            <w:tcW w:w="978" w:type="pct"/>
          </w:tcPr>
          <w:p w14:paraId="0B5A2C48" w14:textId="77777777" w:rsidR="007D1E74" w:rsidRDefault="00A95641">
            <w:pPr>
              <w:pStyle w:val="TableParagraph"/>
              <w:spacing w:before="25"/>
              <w:rPr>
                <w:sz w:val="21"/>
                <w:szCs w:val="21"/>
              </w:rPr>
            </w:pPr>
            <w:r>
              <w:rPr>
                <w:sz w:val="21"/>
                <w:szCs w:val="21"/>
              </w:rPr>
              <w:t>5</w:t>
            </w:r>
          </w:p>
        </w:tc>
        <w:tc>
          <w:tcPr>
            <w:tcW w:w="652" w:type="pct"/>
          </w:tcPr>
          <w:p w14:paraId="1D61822D" w14:textId="77777777" w:rsidR="007D1E74" w:rsidRDefault="00A95641">
            <w:pPr>
              <w:pStyle w:val="TableParagraph"/>
              <w:spacing w:before="25"/>
              <w:ind w:right="110"/>
              <w:rPr>
                <w:sz w:val="21"/>
                <w:szCs w:val="21"/>
              </w:rPr>
            </w:pPr>
            <w:r>
              <w:rPr>
                <w:sz w:val="21"/>
                <w:szCs w:val="21"/>
              </w:rPr>
              <w:t>3</w:t>
            </w:r>
          </w:p>
        </w:tc>
      </w:tr>
      <w:tr w:rsidR="007D1E74" w14:paraId="6445F6F9" w14:textId="77777777">
        <w:trPr>
          <w:trHeight w:hRule="exact" w:val="336"/>
        </w:trPr>
        <w:tc>
          <w:tcPr>
            <w:tcW w:w="440" w:type="pct"/>
          </w:tcPr>
          <w:p w14:paraId="6362CE9A" w14:textId="77777777" w:rsidR="007D1E74" w:rsidRDefault="00A95641">
            <w:pPr>
              <w:pStyle w:val="TableParagraph"/>
              <w:spacing w:before="25"/>
              <w:ind w:left="3"/>
              <w:rPr>
                <w:sz w:val="21"/>
                <w:szCs w:val="21"/>
              </w:rPr>
            </w:pPr>
            <w:r>
              <w:rPr>
                <w:sz w:val="21"/>
                <w:szCs w:val="21"/>
              </w:rPr>
              <w:t>6</w:t>
            </w:r>
          </w:p>
        </w:tc>
        <w:tc>
          <w:tcPr>
            <w:tcW w:w="908" w:type="pct"/>
          </w:tcPr>
          <w:p w14:paraId="609CE2E1" w14:textId="77777777" w:rsidR="007D1E74" w:rsidRDefault="00A95641">
            <w:pPr>
              <w:pStyle w:val="TableParagraph"/>
              <w:spacing w:line="284" w:lineRule="exact"/>
              <w:ind w:left="103"/>
              <w:rPr>
                <w:rFonts w:ascii="宋体"/>
                <w:sz w:val="21"/>
                <w:szCs w:val="21"/>
              </w:rPr>
            </w:pPr>
            <w:r>
              <w:rPr>
                <w:rFonts w:ascii="宋体" w:hint="eastAsia"/>
                <w:sz w:val="21"/>
                <w:szCs w:val="21"/>
              </w:rPr>
              <w:t>乌泡子</w:t>
            </w:r>
          </w:p>
        </w:tc>
        <w:tc>
          <w:tcPr>
            <w:tcW w:w="674" w:type="pct"/>
          </w:tcPr>
          <w:p w14:paraId="7DB8B205"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31925351" w14:textId="77777777" w:rsidR="007D1E74" w:rsidRDefault="00A95641">
            <w:pPr>
              <w:pStyle w:val="TableParagraph"/>
              <w:spacing w:line="302" w:lineRule="exact"/>
              <w:ind w:left="172" w:right="172"/>
              <w:rPr>
                <w:rFonts w:ascii="宋体"/>
                <w:sz w:val="21"/>
                <w:szCs w:val="21"/>
              </w:rPr>
            </w:pPr>
            <w:r>
              <w:rPr>
                <w:sz w:val="21"/>
                <w:szCs w:val="21"/>
              </w:rPr>
              <w:t xml:space="preserve">6 </w:t>
            </w:r>
            <w:r>
              <w:rPr>
                <w:rFonts w:ascii="宋体" w:hint="eastAsia"/>
                <w:sz w:val="21"/>
                <w:szCs w:val="21"/>
              </w:rPr>
              <w:t>丛</w:t>
            </w:r>
          </w:p>
        </w:tc>
        <w:tc>
          <w:tcPr>
            <w:tcW w:w="674" w:type="pct"/>
          </w:tcPr>
          <w:p w14:paraId="55931AAC" w14:textId="77777777" w:rsidR="007D1E74" w:rsidRDefault="00A95641">
            <w:pPr>
              <w:pStyle w:val="TableParagraph"/>
              <w:spacing w:before="22"/>
              <w:ind w:left="101" w:right="100"/>
              <w:rPr>
                <w:sz w:val="21"/>
                <w:szCs w:val="21"/>
              </w:rPr>
            </w:pPr>
            <w:r>
              <w:rPr>
                <w:position w:val="2"/>
                <w:sz w:val="21"/>
                <w:szCs w:val="21"/>
              </w:rPr>
              <w:t>Cop</w:t>
            </w:r>
            <w:r>
              <w:rPr>
                <w:sz w:val="21"/>
                <w:szCs w:val="21"/>
              </w:rPr>
              <w:t>1</w:t>
            </w:r>
          </w:p>
        </w:tc>
        <w:tc>
          <w:tcPr>
            <w:tcW w:w="978" w:type="pct"/>
          </w:tcPr>
          <w:p w14:paraId="077326EF" w14:textId="77777777" w:rsidR="007D1E74" w:rsidRDefault="00A95641">
            <w:pPr>
              <w:pStyle w:val="TableParagraph"/>
              <w:spacing w:before="25"/>
              <w:ind w:left="171" w:right="172"/>
              <w:rPr>
                <w:sz w:val="21"/>
                <w:szCs w:val="21"/>
              </w:rPr>
            </w:pPr>
            <w:r>
              <w:rPr>
                <w:sz w:val="21"/>
                <w:szCs w:val="21"/>
              </w:rPr>
              <w:t>1.4</w:t>
            </w:r>
          </w:p>
        </w:tc>
        <w:tc>
          <w:tcPr>
            <w:tcW w:w="652" w:type="pct"/>
          </w:tcPr>
          <w:p w14:paraId="67A94842" w14:textId="77777777" w:rsidR="007D1E74" w:rsidRDefault="00A95641">
            <w:pPr>
              <w:pStyle w:val="TableParagraph"/>
              <w:spacing w:before="25"/>
              <w:ind w:left="114" w:right="224"/>
              <w:rPr>
                <w:sz w:val="21"/>
                <w:szCs w:val="21"/>
              </w:rPr>
            </w:pPr>
            <w:r>
              <w:rPr>
                <w:sz w:val="21"/>
                <w:szCs w:val="21"/>
              </w:rPr>
              <w:t>15</w:t>
            </w:r>
          </w:p>
        </w:tc>
      </w:tr>
      <w:tr w:rsidR="007D1E74" w14:paraId="0877BA63" w14:textId="77777777">
        <w:trPr>
          <w:trHeight w:hRule="exact" w:val="336"/>
        </w:trPr>
        <w:tc>
          <w:tcPr>
            <w:tcW w:w="440" w:type="pct"/>
          </w:tcPr>
          <w:p w14:paraId="6B2096FB" w14:textId="77777777" w:rsidR="007D1E74" w:rsidRDefault="00A95641">
            <w:pPr>
              <w:pStyle w:val="TableParagraph"/>
              <w:spacing w:before="25"/>
              <w:ind w:left="3"/>
              <w:rPr>
                <w:sz w:val="21"/>
                <w:szCs w:val="21"/>
              </w:rPr>
            </w:pPr>
            <w:r>
              <w:rPr>
                <w:sz w:val="21"/>
                <w:szCs w:val="21"/>
              </w:rPr>
              <w:t>7</w:t>
            </w:r>
          </w:p>
        </w:tc>
        <w:tc>
          <w:tcPr>
            <w:tcW w:w="908" w:type="pct"/>
          </w:tcPr>
          <w:p w14:paraId="5C4D03EF" w14:textId="77777777" w:rsidR="007D1E74" w:rsidRDefault="00A95641">
            <w:pPr>
              <w:pStyle w:val="TableParagraph"/>
              <w:spacing w:line="284" w:lineRule="exact"/>
              <w:ind w:left="103"/>
              <w:rPr>
                <w:rFonts w:ascii="宋体"/>
                <w:sz w:val="21"/>
                <w:szCs w:val="21"/>
              </w:rPr>
            </w:pPr>
            <w:r>
              <w:rPr>
                <w:rFonts w:ascii="宋体" w:hint="eastAsia"/>
                <w:sz w:val="21"/>
                <w:szCs w:val="21"/>
              </w:rPr>
              <w:t>火棘</w:t>
            </w:r>
          </w:p>
        </w:tc>
        <w:tc>
          <w:tcPr>
            <w:tcW w:w="674" w:type="pct"/>
          </w:tcPr>
          <w:p w14:paraId="119CBF45"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45626C91" w14:textId="77777777" w:rsidR="007D1E74" w:rsidRDefault="00A95641">
            <w:pPr>
              <w:pStyle w:val="TableParagraph"/>
              <w:spacing w:before="25"/>
              <w:ind w:left="173" w:right="171"/>
              <w:rPr>
                <w:sz w:val="21"/>
                <w:szCs w:val="21"/>
              </w:rPr>
            </w:pPr>
            <w:r>
              <w:rPr>
                <w:sz w:val="21"/>
                <w:szCs w:val="21"/>
              </w:rPr>
              <w:t>23</w:t>
            </w:r>
          </w:p>
        </w:tc>
        <w:tc>
          <w:tcPr>
            <w:tcW w:w="674" w:type="pct"/>
          </w:tcPr>
          <w:p w14:paraId="6BEBE0D9" w14:textId="77777777" w:rsidR="007D1E74" w:rsidRDefault="00A95641">
            <w:pPr>
              <w:pStyle w:val="TableParagraph"/>
              <w:spacing w:before="22"/>
              <w:ind w:left="101" w:right="100"/>
              <w:rPr>
                <w:sz w:val="21"/>
                <w:szCs w:val="21"/>
              </w:rPr>
            </w:pPr>
            <w:r>
              <w:rPr>
                <w:position w:val="2"/>
                <w:sz w:val="21"/>
                <w:szCs w:val="21"/>
              </w:rPr>
              <w:t>Cop</w:t>
            </w:r>
            <w:r>
              <w:rPr>
                <w:sz w:val="21"/>
                <w:szCs w:val="21"/>
              </w:rPr>
              <w:t>1</w:t>
            </w:r>
          </w:p>
        </w:tc>
        <w:tc>
          <w:tcPr>
            <w:tcW w:w="978" w:type="pct"/>
          </w:tcPr>
          <w:p w14:paraId="531DCD6E" w14:textId="77777777" w:rsidR="007D1E74" w:rsidRDefault="00A95641">
            <w:pPr>
              <w:pStyle w:val="TableParagraph"/>
              <w:spacing w:before="25"/>
              <w:rPr>
                <w:sz w:val="21"/>
                <w:szCs w:val="21"/>
              </w:rPr>
            </w:pPr>
            <w:r>
              <w:rPr>
                <w:sz w:val="21"/>
                <w:szCs w:val="21"/>
              </w:rPr>
              <w:t>2</w:t>
            </w:r>
          </w:p>
        </w:tc>
        <w:tc>
          <w:tcPr>
            <w:tcW w:w="652" w:type="pct"/>
          </w:tcPr>
          <w:p w14:paraId="395EE4AE" w14:textId="77777777" w:rsidR="007D1E74" w:rsidRDefault="00A95641">
            <w:pPr>
              <w:pStyle w:val="TableParagraph"/>
              <w:spacing w:before="25"/>
              <w:ind w:left="114" w:right="224"/>
              <w:rPr>
                <w:sz w:val="21"/>
                <w:szCs w:val="21"/>
              </w:rPr>
            </w:pPr>
            <w:r>
              <w:rPr>
                <w:sz w:val="21"/>
                <w:szCs w:val="21"/>
              </w:rPr>
              <w:t>10</w:t>
            </w:r>
          </w:p>
        </w:tc>
      </w:tr>
      <w:tr w:rsidR="007D1E74" w14:paraId="04774199" w14:textId="77777777">
        <w:trPr>
          <w:trHeight w:hRule="exact" w:val="336"/>
        </w:trPr>
        <w:tc>
          <w:tcPr>
            <w:tcW w:w="440" w:type="pct"/>
          </w:tcPr>
          <w:p w14:paraId="74360CE7" w14:textId="77777777" w:rsidR="007D1E74" w:rsidRDefault="00A95641">
            <w:pPr>
              <w:pStyle w:val="TableParagraph"/>
              <w:spacing w:before="25"/>
              <w:ind w:left="3"/>
              <w:rPr>
                <w:sz w:val="21"/>
                <w:szCs w:val="21"/>
              </w:rPr>
            </w:pPr>
            <w:r>
              <w:rPr>
                <w:sz w:val="21"/>
                <w:szCs w:val="21"/>
              </w:rPr>
              <w:t>8</w:t>
            </w:r>
          </w:p>
        </w:tc>
        <w:tc>
          <w:tcPr>
            <w:tcW w:w="908" w:type="pct"/>
          </w:tcPr>
          <w:p w14:paraId="5899E8D0" w14:textId="77777777" w:rsidR="007D1E74" w:rsidRDefault="00A95641">
            <w:pPr>
              <w:pStyle w:val="TableParagraph"/>
              <w:spacing w:line="284" w:lineRule="exact"/>
              <w:ind w:left="103"/>
              <w:rPr>
                <w:rFonts w:ascii="宋体"/>
                <w:sz w:val="21"/>
                <w:szCs w:val="21"/>
              </w:rPr>
            </w:pPr>
            <w:r>
              <w:rPr>
                <w:rFonts w:ascii="宋体" w:hint="eastAsia"/>
                <w:sz w:val="21"/>
                <w:szCs w:val="21"/>
              </w:rPr>
              <w:t>铁仔</w:t>
            </w:r>
          </w:p>
        </w:tc>
        <w:tc>
          <w:tcPr>
            <w:tcW w:w="674" w:type="pct"/>
          </w:tcPr>
          <w:p w14:paraId="238546CF"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4AFA4578" w14:textId="77777777" w:rsidR="007D1E74" w:rsidRDefault="00A95641">
            <w:pPr>
              <w:pStyle w:val="TableParagraph"/>
              <w:spacing w:before="25"/>
              <w:ind w:left="173" w:right="171"/>
              <w:rPr>
                <w:sz w:val="21"/>
                <w:szCs w:val="21"/>
              </w:rPr>
            </w:pPr>
            <w:r>
              <w:rPr>
                <w:sz w:val="21"/>
                <w:szCs w:val="21"/>
              </w:rPr>
              <w:t>15</w:t>
            </w:r>
          </w:p>
        </w:tc>
        <w:tc>
          <w:tcPr>
            <w:tcW w:w="674" w:type="pct"/>
          </w:tcPr>
          <w:p w14:paraId="7E47F75D" w14:textId="77777777" w:rsidR="007D1E74" w:rsidRDefault="00A95641">
            <w:pPr>
              <w:pStyle w:val="TableParagraph"/>
              <w:spacing w:before="25"/>
              <w:ind w:left="101" w:right="99"/>
              <w:rPr>
                <w:sz w:val="21"/>
                <w:szCs w:val="21"/>
              </w:rPr>
            </w:pPr>
            <w:r>
              <w:rPr>
                <w:sz w:val="21"/>
                <w:szCs w:val="21"/>
              </w:rPr>
              <w:t>Sp</w:t>
            </w:r>
          </w:p>
        </w:tc>
        <w:tc>
          <w:tcPr>
            <w:tcW w:w="978" w:type="pct"/>
          </w:tcPr>
          <w:p w14:paraId="29E9A4C5" w14:textId="77777777" w:rsidR="007D1E74" w:rsidRDefault="00A95641">
            <w:pPr>
              <w:pStyle w:val="TableParagraph"/>
              <w:spacing w:before="25"/>
              <w:ind w:left="171" w:right="172"/>
              <w:rPr>
                <w:sz w:val="21"/>
                <w:szCs w:val="21"/>
              </w:rPr>
            </w:pPr>
            <w:r>
              <w:rPr>
                <w:sz w:val="21"/>
                <w:szCs w:val="21"/>
              </w:rPr>
              <w:t>1.1</w:t>
            </w:r>
          </w:p>
        </w:tc>
        <w:tc>
          <w:tcPr>
            <w:tcW w:w="652" w:type="pct"/>
          </w:tcPr>
          <w:p w14:paraId="0362E852" w14:textId="77777777" w:rsidR="007D1E74" w:rsidRDefault="00A95641">
            <w:pPr>
              <w:pStyle w:val="TableParagraph"/>
              <w:spacing w:before="25"/>
              <w:ind w:right="110"/>
              <w:rPr>
                <w:sz w:val="21"/>
                <w:szCs w:val="21"/>
              </w:rPr>
            </w:pPr>
            <w:r>
              <w:rPr>
                <w:sz w:val="21"/>
                <w:szCs w:val="21"/>
              </w:rPr>
              <w:t>5</w:t>
            </w:r>
          </w:p>
        </w:tc>
      </w:tr>
      <w:tr w:rsidR="007D1E74" w14:paraId="065AB81A" w14:textId="77777777">
        <w:trPr>
          <w:trHeight w:hRule="exact" w:val="336"/>
        </w:trPr>
        <w:tc>
          <w:tcPr>
            <w:tcW w:w="440" w:type="pct"/>
          </w:tcPr>
          <w:p w14:paraId="6E1C39B6" w14:textId="77777777" w:rsidR="007D1E74" w:rsidRDefault="00A95641">
            <w:pPr>
              <w:pStyle w:val="TableParagraph"/>
              <w:spacing w:before="25"/>
              <w:ind w:left="3"/>
              <w:rPr>
                <w:sz w:val="21"/>
                <w:szCs w:val="21"/>
              </w:rPr>
            </w:pPr>
            <w:r>
              <w:rPr>
                <w:sz w:val="21"/>
                <w:szCs w:val="21"/>
              </w:rPr>
              <w:t>9</w:t>
            </w:r>
          </w:p>
        </w:tc>
        <w:tc>
          <w:tcPr>
            <w:tcW w:w="908" w:type="pct"/>
          </w:tcPr>
          <w:p w14:paraId="4BDEDE9F" w14:textId="77777777" w:rsidR="007D1E74" w:rsidRDefault="00A95641">
            <w:pPr>
              <w:pStyle w:val="TableParagraph"/>
              <w:spacing w:line="284" w:lineRule="exact"/>
              <w:ind w:left="103"/>
              <w:rPr>
                <w:rFonts w:ascii="宋体"/>
                <w:sz w:val="21"/>
                <w:szCs w:val="21"/>
              </w:rPr>
            </w:pPr>
            <w:r>
              <w:rPr>
                <w:rFonts w:ascii="宋体" w:hint="eastAsia"/>
                <w:sz w:val="21"/>
                <w:szCs w:val="21"/>
              </w:rPr>
              <w:t>野青茅</w:t>
            </w:r>
          </w:p>
        </w:tc>
        <w:tc>
          <w:tcPr>
            <w:tcW w:w="674" w:type="pct"/>
          </w:tcPr>
          <w:p w14:paraId="400F5BFE"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2848FE22" w14:textId="77777777" w:rsidR="007D1E74" w:rsidRDefault="00A95641">
            <w:pPr>
              <w:pStyle w:val="TableParagraph"/>
              <w:spacing w:line="302" w:lineRule="exact"/>
              <w:ind w:left="172" w:right="172"/>
              <w:rPr>
                <w:rFonts w:ascii="宋体"/>
                <w:sz w:val="21"/>
                <w:szCs w:val="21"/>
              </w:rPr>
            </w:pPr>
            <w:r>
              <w:rPr>
                <w:sz w:val="21"/>
                <w:szCs w:val="21"/>
              </w:rPr>
              <w:t xml:space="preserve">6 </w:t>
            </w:r>
            <w:r>
              <w:rPr>
                <w:rFonts w:ascii="宋体" w:hint="eastAsia"/>
                <w:sz w:val="21"/>
                <w:szCs w:val="21"/>
              </w:rPr>
              <w:t>丛</w:t>
            </w:r>
          </w:p>
        </w:tc>
        <w:tc>
          <w:tcPr>
            <w:tcW w:w="674" w:type="pct"/>
          </w:tcPr>
          <w:p w14:paraId="134A368C" w14:textId="77777777" w:rsidR="007D1E74" w:rsidRDefault="00A95641">
            <w:pPr>
              <w:pStyle w:val="TableParagraph"/>
              <w:spacing w:before="22"/>
              <w:ind w:left="101" w:right="100"/>
              <w:rPr>
                <w:sz w:val="21"/>
                <w:szCs w:val="21"/>
              </w:rPr>
            </w:pPr>
            <w:r>
              <w:rPr>
                <w:position w:val="2"/>
                <w:sz w:val="21"/>
                <w:szCs w:val="21"/>
              </w:rPr>
              <w:t>Cop</w:t>
            </w:r>
            <w:r>
              <w:rPr>
                <w:sz w:val="21"/>
                <w:szCs w:val="21"/>
              </w:rPr>
              <w:t>1</w:t>
            </w:r>
          </w:p>
        </w:tc>
        <w:tc>
          <w:tcPr>
            <w:tcW w:w="978" w:type="pct"/>
          </w:tcPr>
          <w:p w14:paraId="211B4452" w14:textId="77777777" w:rsidR="007D1E74" w:rsidRDefault="00A95641">
            <w:pPr>
              <w:pStyle w:val="TableParagraph"/>
              <w:spacing w:before="25"/>
              <w:ind w:left="171" w:right="172"/>
              <w:rPr>
                <w:sz w:val="21"/>
                <w:szCs w:val="21"/>
              </w:rPr>
            </w:pPr>
            <w:r>
              <w:rPr>
                <w:sz w:val="21"/>
                <w:szCs w:val="21"/>
              </w:rPr>
              <w:t>0.55</w:t>
            </w:r>
          </w:p>
        </w:tc>
        <w:tc>
          <w:tcPr>
            <w:tcW w:w="652" w:type="pct"/>
          </w:tcPr>
          <w:p w14:paraId="2E18BEC1" w14:textId="77777777" w:rsidR="007D1E74" w:rsidRDefault="00A95641">
            <w:pPr>
              <w:pStyle w:val="TableParagraph"/>
              <w:spacing w:before="25"/>
              <w:ind w:left="114" w:right="224"/>
              <w:rPr>
                <w:sz w:val="21"/>
                <w:szCs w:val="21"/>
              </w:rPr>
            </w:pPr>
            <w:r>
              <w:rPr>
                <w:sz w:val="21"/>
                <w:szCs w:val="21"/>
              </w:rPr>
              <w:t>12</w:t>
            </w:r>
          </w:p>
        </w:tc>
      </w:tr>
      <w:tr w:rsidR="007D1E74" w14:paraId="44E50874" w14:textId="77777777">
        <w:trPr>
          <w:trHeight w:hRule="exact" w:val="336"/>
        </w:trPr>
        <w:tc>
          <w:tcPr>
            <w:tcW w:w="440" w:type="pct"/>
          </w:tcPr>
          <w:p w14:paraId="61556395" w14:textId="77777777" w:rsidR="007D1E74" w:rsidRDefault="00A95641">
            <w:pPr>
              <w:pStyle w:val="TableParagraph"/>
              <w:spacing w:before="25"/>
              <w:ind w:left="109" w:right="106"/>
              <w:rPr>
                <w:sz w:val="21"/>
                <w:szCs w:val="21"/>
              </w:rPr>
            </w:pPr>
            <w:r>
              <w:rPr>
                <w:sz w:val="21"/>
                <w:szCs w:val="21"/>
              </w:rPr>
              <w:t>10</w:t>
            </w:r>
          </w:p>
        </w:tc>
        <w:tc>
          <w:tcPr>
            <w:tcW w:w="908" w:type="pct"/>
          </w:tcPr>
          <w:p w14:paraId="23DA366E" w14:textId="77777777" w:rsidR="007D1E74" w:rsidRDefault="00A95641">
            <w:pPr>
              <w:pStyle w:val="TableParagraph"/>
              <w:spacing w:line="284" w:lineRule="exact"/>
              <w:ind w:left="103"/>
              <w:rPr>
                <w:rFonts w:ascii="宋体"/>
                <w:sz w:val="21"/>
                <w:szCs w:val="21"/>
              </w:rPr>
            </w:pPr>
            <w:r>
              <w:rPr>
                <w:rFonts w:ascii="宋体" w:hint="eastAsia"/>
                <w:sz w:val="21"/>
                <w:szCs w:val="21"/>
              </w:rPr>
              <w:t>褐果苔草</w:t>
            </w:r>
          </w:p>
        </w:tc>
        <w:tc>
          <w:tcPr>
            <w:tcW w:w="674" w:type="pct"/>
          </w:tcPr>
          <w:p w14:paraId="0566D1A3"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54850C1E" w14:textId="77777777" w:rsidR="007D1E74" w:rsidRDefault="00A95641">
            <w:pPr>
              <w:pStyle w:val="TableParagraph"/>
              <w:spacing w:before="25"/>
              <w:ind w:left="173" w:right="171"/>
              <w:rPr>
                <w:sz w:val="21"/>
                <w:szCs w:val="21"/>
              </w:rPr>
            </w:pPr>
            <w:r>
              <w:rPr>
                <w:sz w:val="21"/>
                <w:szCs w:val="21"/>
              </w:rPr>
              <w:t>15</w:t>
            </w:r>
          </w:p>
        </w:tc>
        <w:tc>
          <w:tcPr>
            <w:tcW w:w="674" w:type="pct"/>
          </w:tcPr>
          <w:p w14:paraId="0F2EB3B1" w14:textId="77777777" w:rsidR="007D1E74" w:rsidRDefault="00A95641">
            <w:pPr>
              <w:pStyle w:val="TableParagraph"/>
              <w:spacing w:before="25"/>
              <w:ind w:left="101" w:right="99"/>
              <w:rPr>
                <w:sz w:val="21"/>
                <w:szCs w:val="21"/>
              </w:rPr>
            </w:pPr>
            <w:r>
              <w:rPr>
                <w:sz w:val="21"/>
                <w:szCs w:val="21"/>
              </w:rPr>
              <w:t>Sp</w:t>
            </w:r>
          </w:p>
        </w:tc>
        <w:tc>
          <w:tcPr>
            <w:tcW w:w="978" w:type="pct"/>
          </w:tcPr>
          <w:p w14:paraId="0DB04A25" w14:textId="77777777" w:rsidR="007D1E74" w:rsidRDefault="00A95641">
            <w:pPr>
              <w:pStyle w:val="TableParagraph"/>
              <w:spacing w:before="25"/>
              <w:ind w:left="171" w:right="172"/>
              <w:rPr>
                <w:sz w:val="21"/>
                <w:szCs w:val="21"/>
              </w:rPr>
            </w:pPr>
            <w:r>
              <w:rPr>
                <w:sz w:val="21"/>
                <w:szCs w:val="21"/>
              </w:rPr>
              <w:t>0.4</w:t>
            </w:r>
          </w:p>
        </w:tc>
        <w:tc>
          <w:tcPr>
            <w:tcW w:w="652" w:type="pct"/>
          </w:tcPr>
          <w:p w14:paraId="3F1933CD" w14:textId="77777777" w:rsidR="007D1E74" w:rsidRDefault="00A95641">
            <w:pPr>
              <w:pStyle w:val="TableParagraph"/>
              <w:spacing w:before="25"/>
              <w:ind w:right="110"/>
              <w:rPr>
                <w:sz w:val="21"/>
                <w:szCs w:val="21"/>
              </w:rPr>
            </w:pPr>
            <w:r>
              <w:rPr>
                <w:sz w:val="21"/>
                <w:szCs w:val="21"/>
              </w:rPr>
              <w:t>5</w:t>
            </w:r>
          </w:p>
        </w:tc>
      </w:tr>
      <w:tr w:rsidR="007D1E74" w14:paraId="22A5373A" w14:textId="77777777">
        <w:trPr>
          <w:trHeight w:hRule="exact" w:val="336"/>
        </w:trPr>
        <w:tc>
          <w:tcPr>
            <w:tcW w:w="440" w:type="pct"/>
          </w:tcPr>
          <w:p w14:paraId="218220D6" w14:textId="77777777" w:rsidR="007D1E74" w:rsidRDefault="00A95641">
            <w:pPr>
              <w:pStyle w:val="TableParagraph"/>
              <w:spacing w:before="25"/>
              <w:ind w:left="109" w:right="106"/>
              <w:rPr>
                <w:sz w:val="21"/>
                <w:szCs w:val="21"/>
              </w:rPr>
            </w:pPr>
            <w:r>
              <w:rPr>
                <w:sz w:val="21"/>
                <w:szCs w:val="21"/>
              </w:rPr>
              <w:t>11</w:t>
            </w:r>
          </w:p>
        </w:tc>
        <w:tc>
          <w:tcPr>
            <w:tcW w:w="908" w:type="pct"/>
          </w:tcPr>
          <w:p w14:paraId="18326B4A" w14:textId="77777777" w:rsidR="007D1E74" w:rsidRDefault="00A95641">
            <w:pPr>
              <w:pStyle w:val="TableParagraph"/>
              <w:spacing w:line="284" w:lineRule="exact"/>
              <w:ind w:left="103"/>
              <w:rPr>
                <w:rFonts w:ascii="宋体"/>
                <w:sz w:val="21"/>
                <w:szCs w:val="21"/>
              </w:rPr>
            </w:pPr>
            <w:r>
              <w:rPr>
                <w:rFonts w:ascii="宋体" w:hint="eastAsia"/>
                <w:sz w:val="21"/>
                <w:szCs w:val="21"/>
              </w:rPr>
              <w:t>狗尾草</w:t>
            </w:r>
          </w:p>
        </w:tc>
        <w:tc>
          <w:tcPr>
            <w:tcW w:w="674" w:type="pct"/>
          </w:tcPr>
          <w:p w14:paraId="614ABC8A"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0B2FDEFD" w14:textId="77777777" w:rsidR="007D1E74" w:rsidRDefault="00A95641">
            <w:pPr>
              <w:pStyle w:val="TableParagraph"/>
              <w:spacing w:before="25"/>
              <w:ind w:left="2"/>
              <w:rPr>
                <w:sz w:val="21"/>
                <w:szCs w:val="21"/>
              </w:rPr>
            </w:pPr>
            <w:r>
              <w:rPr>
                <w:sz w:val="21"/>
                <w:szCs w:val="21"/>
              </w:rPr>
              <w:t>6</w:t>
            </w:r>
          </w:p>
        </w:tc>
        <w:tc>
          <w:tcPr>
            <w:tcW w:w="674" w:type="pct"/>
          </w:tcPr>
          <w:p w14:paraId="468A561E" w14:textId="77777777" w:rsidR="007D1E74" w:rsidRDefault="00A95641">
            <w:pPr>
              <w:pStyle w:val="TableParagraph"/>
              <w:spacing w:before="25"/>
              <w:ind w:left="101" w:right="99"/>
              <w:rPr>
                <w:sz w:val="21"/>
                <w:szCs w:val="21"/>
              </w:rPr>
            </w:pPr>
            <w:r>
              <w:rPr>
                <w:sz w:val="21"/>
                <w:szCs w:val="21"/>
              </w:rPr>
              <w:t>Sp</w:t>
            </w:r>
          </w:p>
        </w:tc>
        <w:tc>
          <w:tcPr>
            <w:tcW w:w="978" w:type="pct"/>
          </w:tcPr>
          <w:p w14:paraId="44169E4E" w14:textId="77777777" w:rsidR="007D1E74" w:rsidRDefault="00A95641">
            <w:pPr>
              <w:pStyle w:val="TableParagraph"/>
              <w:spacing w:before="25"/>
              <w:ind w:left="171" w:right="172"/>
              <w:rPr>
                <w:sz w:val="21"/>
                <w:szCs w:val="21"/>
              </w:rPr>
            </w:pPr>
            <w:r>
              <w:rPr>
                <w:sz w:val="21"/>
                <w:szCs w:val="21"/>
              </w:rPr>
              <w:t>1.4</w:t>
            </w:r>
          </w:p>
        </w:tc>
        <w:tc>
          <w:tcPr>
            <w:tcW w:w="652" w:type="pct"/>
          </w:tcPr>
          <w:p w14:paraId="32C3F545" w14:textId="77777777" w:rsidR="007D1E74" w:rsidRDefault="00A95641">
            <w:pPr>
              <w:pStyle w:val="TableParagraph"/>
              <w:spacing w:before="25"/>
              <w:ind w:right="110"/>
              <w:rPr>
                <w:sz w:val="21"/>
                <w:szCs w:val="21"/>
              </w:rPr>
            </w:pPr>
            <w:r>
              <w:rPr>
                <w:sz w:val="21"/>
                <w:szCs w:val="21"/>
              </w:rPr>
              <w:t>5</w:t>
            </w:r>
          </w:p>
        </w:tc>
      </w:tr>
      <w:tr w:rsidR="007D1E74" w14:paraId="540F4362" w14:textId="77777777">
        <w:trPr>
          <w:trHeight w:hRule="exact" w:val="336"/>
        </w:trPr>
        <w:tc>
          <w:tcPr>
            <w:tcW w:w="440" w:type="pct"/>
          </w:tcPr>
          <w:p w14:paraId="374479C6" w14:textId="77777777" w:rsidR="007D1E74" w:rsidRDefault="00A95641">
            <w:pPr>
              <w:pStyle w:val="TableParagraph"/>
              <w:spacing w:before="25"/>
              <w:ind w:left="109" w:right="106"/>
              <w:rPr>
                <w:sz w:val="21"/>
                <w:szCs w:val="21"/>
              </w:rPr>
            </w:pPr>
            <w:r>
              <w:rPr>
                <w:sz w:val="21"/>
                <w:szCs w:val="21"/>
              </w:rPr>
              <w:t>12</w:t>
            </w:r>
          </w:p>
        </w:tc>
        <w:tc>
          <w:tcPr>
            <w:tcW w:w="908" w:type="pct"/>
          </w:tcPr>
          <w:p w14:paraId="59006244" w14:textId="77777777" w:rsidR="007D1E74" w:rsidRDefault="00A95641">
            <w:pPr>
              <w:pStyle w:val="TableParagraph"/>
              <w:spacing w:line="284" w:lineRule="exact"/>
              <w:ind w:left="103"/>
              <w:rPr>
                <w:rFonts w:ascii="宋体"/>
                <w:sz w:val="21"/>
                <w:szCs w:val="21"/>
              </w:rPr>
            </w:pPr>
            <w:r>
              <w:rPr>
                <w:rFonts w:ascii="宋体" w:hint="eastAsia"/>
                <w:sz w:val="21"/>
                <w:szCs w:val="21"/>
              </w:rPr>
              <w:t>凤尾草</w:t>
            </w:r>
          </w:p>
        </w:tc>
        <w:tc>
          <w:tcPr>
            <w:tcW w:w="674" w:type="pct"/>
          </w:tcPr>
          <w:p w14:paraId="7EC6B386"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27E2204E" w14:textId="77777777" w:rsidR="007D1E74" w:rsidRDefault="00A95641">
            <w:pPr>
              <w:pStyle w:val="TableParagraph"/>
              <w:spacing w:before="25"/>
              <w:ind w:left="173" w:right="171"/>
              <w:rPr>
                <w:sz w:val="21"/>
                <w:szCs w:val="21"/>
              </w:rPr>
            </w:pPr>
            <w:r>
              <w:rPr>
                <w:sz w:val="21"/>
                <w:szCs w:val="21"/>
              </w:rPr>
              <w:t>16</w:t>
            </w:r>
          </w:p>
        </w:tc>
        <w:tc>
          <w:tcPr>
            <w:tcW w:w="674" w:type="pct"/>
          </w:tcPr>
          <w:p w14:paraId="28FE174B" w14:textId="77777777" w:rsidR="007D1E74" w:rsidRDefault="00A95641">
            <w:pPr>
              <w:pStyle w:val="TableParagraph"/>
              <w:spacing w:before="25"/>
              <w:ind w:left="101" w:right="99"/>
              <w:rPr>
                <w:sz w:val="21"/>
                <w:szCs w:val="21"/>
              </w:rPr>
            </w:pPr>
            <w:r>
              <w:rPr>
                <w:sz w:val="21"/>
                <w:szCs w:val="21"/>
              </w:rPr>
              <w:t>Sp</w:t>
            </w:r>
          </w:p>
        </w:tc>
        <w:tc>
          <w:tcPr>
            <w:tcW w:w="978" w:type="pct"/>
          </w:tcPr>
          <w:p w14:paraId="36D0729C" w14:textId="77777777" w:rsidR="007D1E74" w:rsidRDefault="00A95641">
            <w:pPr>
              <w:pStyle w:val="TableParagraph"/>
              <w:spacing w:before="25"/>
              <w:ind w:left="171" w:right="172"/>
              <w:rPr>
                <w:sz w:val="21"/>
                <w:szCs w:val="21"/>
              </w:rPr>
            </w:pPr>
            <w:r>
              <w:rPr>
                <w:sz w:val="21"/>
                <w:szCs w:val="21"/>
              </w:rPr>
              <w:t>0.5</w:t>
            </w:r>
          </w:p>
        </w:tc>
        <w:tc>
          <w:tcPr>
            <w:tcW w:w="652" w:type="pct"/>
          </w:tcPr>
          <w:p w14:paraId="75C9A6C1" w14:textId="77777777" w:rsidR="007D1E74" w:rsidRDefault="00A95641">
            <w:pPr>
              <w:pStyle w:val="TableParagraph"/>
              <w:spacing w:before="25"/>
              <w:ind w:right="110"/>
              <w:rPr>
                <w:sz w:val="21"/>
                <w:szCs w:val="21"/>
              </w:rPr>
            </w:pPr>
            <w:r>
              <w:rPr>
                <w:sz w:val="21"/>
                <w:szCs w:val="21"/>
              </w:rPr>
              <w:t>5</w:t>
            </w:r>
          </w:p>
        </w:tc>
      </w:tr>
      <w:tr w:rsidR="007D1E74" w14:paraId="3DE466E7" w14:textId="77777777">
        <w:trPr>
          <w:trHeight w:hRule="exact" w:val="336"/>
        </w:trPr>
        <w:tc>
          <w:tcPr>
            <w:tcW w:w="440" w:type="pct"/>
          </w:tcPr>
          <w:p w14:paraId="6898D772" w14:textId="77777777" w:rsidR="007D1E74" w:rsidRDefault="00A95641">
            <w:pPr>
              <w:pStyle w:val="TableParagraph"/>
              <w:spacing w:before="25"/>
              <w:ind w:left="109" w:right="106"/>
              <w:rPr>
                <w:sz w:val="21"/>
                <w:szCs w:val="21"/>
              </w:rPr>
            </w:pPr>
            <w:r>
              <w:rPr>
                <w:sz w:val="21"/>
                <w:szCs w:val="21"/>
              </w:rPr>
              <w:t>13</w:t>
            </w:r>
          </w:p>
        </w:tc>
        <w:tc>
          <w:tcPr>
            <w:tcW w:w="908" w:type="pct"/>
          </w:tcPr>
          <w:p w14:paraId="4A8E303E" w14:textId="77777777" w:rsidR="007D1E74" w:rsidRDefault="00A95641">
            <w:pPr>
              <w:pStyle w:val="TableParagraph"/>
              <w:spacing w:line="284" w:lineRule="exact"/>
              <w:ind w:left="103"/>
              <w:rPr>
                <w:rFonts w:ascii="宋体"/>
                <w:sz w:val="21"/>
                <w:szCs w:val="21"/>
              </w:rPr>
            </w:pPr>
            <w:r>
              <w:rPr>
                <w:rFonts w:ascii="宋体" w:hint="eastAsia"/>
                <w:sz w:val="21"/>
                <w:szCs w:val="21"/>
              </w:rPr>
              <w:t>毛茛</w:t>
            </w:r>
          </w:p>
        </w:tc>
        <w:tc>
          <w:tcPr>
            <w:tcW w:w="674" w:type="pct"/>
          </w:tcPr>
          <w:p w14:paraId="4BDD8FB7" w14:textId="77777777" w:rsidR="007D1E74" w:rsidRDefault="00A95641">
            <w:pPr>
              <w:pStyle w:val="TableParagraph"/>
              <w:spacing w:line="284" w:lineRule="exact"/>
              <w:ind w:left="103"/>
              <w:rPr>
                <w:rFonts w:ascii="宋体"/>
                <w:sz w:val="21"/>
                <w:szCs w:val="21"/>
              </w:rPr>
            </w:pPr>
            <w:r>
              <w:rPr>
                <w:rFonts w:ascii="宋体" w:hint="eastAsia"/>
                <w:sz w:val="21"/>
                <w:szCs w:val="21"/>
              </w:rPr>
              <w:t>花期</w:t>
            </w:r>
          </w:p>
        </w:tc>
        <w:tc>
          <w:tcPr>
            <w:tcW w:w="674" w:type="pct"/>
          </w:tcPr>
          <w:p w14:paraId="0DDF4D7B" w14:textId="77777777" w:rsidR="007D1E74" w:rsidRDefault="00A95641">
            <w:pPr>
              <w:pStyle w:val="TableParagraph"/>
              <w:spacing w:before="25"/>
              <w:ind w:left="173" w:right="171"/>
              <w:rPr>
                <w:sz w:val="21"/>
                <w:szCs w:val="21"/>
              </w:rPr>
            </w:pPr>
            <w:r>
              <w:rPr>
                <w:sz w:val="21"/>
                <w:szCs w:val="21"/>
              </w:rPr>
              <w:t>22</w:t>
            </w:r>
          </w:p>
        </w:tc>
        <w:tc>
          <w:tcPr>
            <w:tcW w:w="674" w:type="pct"/>
          </w:tcPr>
          <w:p w14:paraId="4AAC0DAC" w14:textId="77777777" w:rsidR="007D1E74" w:rsidRDefault="00A95641">
            <w:pPr>
              <w:pStyle w:val="TableParagraph"/>
              <w:spacing w:before="25"/>
              <w:ind w:left="101" w:right="100"/>
              <w:rPr>
                <w:sz w:val="21"/>
                <w:szCs w:val="21"/>
              </w:rPr>
            </w:pPr>
            <w:r>
              <w:rPr>
                <w:sz w:val="21"/>
                <w:szCs w:val="21"/>
              </w:rPr>
              <w:t>Ol</w:t>
            </w:r>
          </w:p>
        </w:tc>
        <w:tc>
          <w:tcPr>
            <w:tcW w:w="978" w:type="pct"/>
          </w:tcPr>
          <w:p w14:paraId="45955CD8" w14:textId="77777777" w:rsidR="007D1E74" w:rsidRDefault="00A95641">
            <w:pPr>
              <w:pStyle w:val="TableParagraph"/>
              <w:spacing w:before="25"/>
              <w:ind w:left="171" w:right="172"/>
              <w:rPr>
                <w:sz w:val="21"/>
                <w:szCs w:val="21"/>
              </w:rPr>
            </w:pPr>
            <w:r>
              <w:rPr>
                <w:sz w:val="21"/>
                <w:szCs w:val="21"/>
              </w:rPr>
              <w:t>0.7</w:t>
            </w:r>
          </w:p>
        </w:tc>
        <w:tc>
          <w:tcPr>
            <w:tcW w:w="652" w:type="pct"/>
          </w:tcPr>
          <w:p w14:paraId="0E17B0C0" w14:textId="77777777" w:rsidR="007D1E74" w:rsidRDefault="00A95641">
            <w:pPr>
              <w:pStyle w:val="TableParagraph"/>
              <w:spacing w:before="25"/>
              <w:ind w:right="110"/>
              <w:rPr>
                <w:sz w:val="21"/>
                <w:szCs w:val="21"/>
              </w:rPr>
            </w:pPr>
            <w:r>
              <w:rPr>
                <w:sz w:val="21"/>
                <w:szCs w:val="21"/>
              </w:rPr>
              <w:t>2</w:t>
            </w:r>
          </w:p>
        </w:tc>
      </w:tr>
      <w:tr w:rsidR="007D1E74" w14:paraId="3A76FDDF" w14:textId="77777777">
        <w:trPr>
          <w:trHeight w:hRule="exact" w:val="336"/>
        </w:trPr>
        <w:tc>
          <w:tcPr>
            <w:tcW w:w="440" w:type="pct"/>
          </w:tcPr>
          <w:p w14:paraId="7E4C8BBF" w14:textId="77777777" w:rsidR="007D1E74" w:rsidRDefault="00A95641">
            <w:pPr>
              <w:pStyle w:val="TableParagraph"/>
              <w:spacing w:before="25"/>
              <w:ind w:left="109" w:right="106"/>
              <w:rPr>
                <w:sz w:val="21"/>
                <w:szCs w:val="21"/>
              </w:rPr>
            </w:pPr>
            <w:r>
              <w:rPr>
                <w:sz w:val="21"/>
                <w:szCs w:val="21"/>
              </w:rPr>
              <w:t>14</w:t>
            </w:r>
          </w:p>
        </w:tc>
        <w:tc>
          <w:tcPr>
            <w:tcW w:w="908" w:type="pct"/>
          </w:tcPr>
          <w:p w14:paraId="599A2ACD" w14:textId="77777777" w:rsidR="007D1E74" w:rsidRDefault="00A95641">
            <w:pPr>
              <w:pStyle w:val="TableParagraph"/>
              <w:spacing w:line="284" w:lineRule="exact"/>
              <w:ind w:left="103"/>
              <w:rPr>
                <w:rFonts w:ascii="宋体"/>
                <w:sz w:val="21"/>
                <w:szCs w:val="21"/>
              </w:rPr>
            </w:pPr>
            <w:r>
              <w:rPr>
                <w:rFonts w:ascii="宋体" w:hint="eastAsia"/>
                <w:sz w:val="21"/>
                <w:szCs w:val="21"/>
              </w:rPr>
              <w:t>顶芽狗脊</w:t>
            </w:r>
          </w:p>
        </w:tc>
        <w:tc>
          <w:tcPr>
            <w:tcW w:w="674" w:type="pct"/>
          </w:tcPr>
          <w:p w14:paraId="0A68E39A"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74F03859" w14:textId="77777777" w:rsidR="007D1E74" w:rsidRDefault="00A95641">
            <w:pPr>
              <w:pStyle w:val="TableParagraph"/>
              <w:spacing w:line="302" w:lineRule="exact"/>
              <w:ind w:left="172" w:right="172"/>
              <w:rPr>
                <w:rFonts w:ascii="宋体"/>
                <w:sz w:val="21"/>
                <w:szCs w:val="21"/>
              </w:rPr>
            </w:pPr>
            <w:r>
              <w:rPr>
                <w:sz w:val="21"/>
                <w:szCs w:val="21"/>
              </w:rPr>
              <w:t xml:space="preserve">2 </w:t>
            </w:r>
            <w:r>
              <w:rPr>
                <w:rFonts w:ascii="宋体" w:hint="eastAsia"/>
                <w:sz w:val="21"/>
                <w:szCs w:val="21"/>
              </w:rPr>
              <w:t>丛</w:t>
            </w:r>
          </w:p>
        </w:tc>
        <w:tc>
          <w:tcPr>
            <w:tcW w:w="674" w:type="pct"/>
          </w:tcPr>
          <w:p w14:paraId="3EAEB162" w14:textId="77777777" w:rsidR="007D1E74" w:rsidRDefault="00A95641">
            <w:pPr>
              <w:pStyle w:val="TableParagraph"/>
              <w:spacing w:before="25"/>
              <w:ind w:left="101" w:right="100"/>
              <w:rPr>
                <w:sz w:val="21"/>
                <w:szCs w:val="21"/>
              </w:rPr>
            </w:pPr>
            <w:r>
              <w:rPr>
                <w:sz w:val="21"/>
                <w:szCs w:val="21"/>
              </w:rPr>
              <w:t>Ol</w:t>
            </w:r>
          </w:p>
        </w:tc>
        <w:tc>
          <w:tcPr>
            <w:tcW w:w="978" w:type="pct"/>
          </w:tcPr>
          <w:p w14:paraId="4ED7CA9A" w14:textId="77777777" w:rsidR="007D1E74" w:rsidRDefault="00A95641">
            <w:pPr>
              <w:pStyle w:val="TableParagraph"/>
              <w:spacing w:before="25"/>
              <w:ind w:left="171" w:right="172"/>
              <w:rPr>
                <w:sz w:val="21"/>
                <w:szCs w:val="21"/>
              </w:rPr>
            </w:pPr>
            <w:r>
              <w:rPr>
                <w:sz w:val="21"/>
                <w:szCs w:val="21"/>
              </w:rPr>
              <w:t>0.85</w:t>
            </w:r>
          </w:p>
        </w:tc>
        <w:tc>
          <w:tcPr>
            <w:tcW w:w="652" w:type="pct"/>
          </w:tcPr>
          <w:p w14:paraId="47845328" w14:textId="77777777" w:rsidR="007D1E74" w:rsidRDefault="00A95641">
            <w:pPr>
              <w:pStyle w:val="TableParagraph"/>
              <w:spacing w:before="25"/>
              <w:ind w:right="110"/>
              <w:rPr>
                <w:sz w:val="21"/>
                <w:szCs w:val="21"/>
              </w:rPr>
            </w:pPr>
            <w:r>
              <w:rPr>
                <w:sz w:val="21"/>
                <w:szCs w:val="21"/>
              </w:rPr>
              <w:t>5</w:t>
            </w:r>
          </w:p>
        </w:tc>
      </w:tr>
    </w:tbl>
    <w:p w14:paraId="01F633C6" w14:textId="77777777" w:rsidR="007D1E74" w:rsidRDefault="00A95641">
      <w:pPr>
        <w:spacing w:line="360" w:lineRule="auto"/>
        <w:jc w:val="center"/>
        <w:rPr>
          <w:rFonts w:eastAsia="黑体" w:cs="Times New Roman"/>
          <w:szCs w:val="21"/>
        </w:rPr>
      </w:pPr>
      <w:r>
        <w:rPr>
          <w:rFonts w:eastAsia="黑体" w:cs="Times New Roman"/>
          <w:szCs w:val="21"/>
        </w:rPr>
        <w:lastRenderedPageBreak/>
        <w:t>表</w:t>
      </w:r>
      <w:r>
        <w:rPr>
          <w:rFonts w:eastAsia="黑体" w:cs="Times New Roman"/>
          <w:szCs w:val="21"/>
        </w:rPr>
        <w:t xml:space="preserve">A.2.3-1  </w:t>
      </w:r>
      <w:r>
        <w:rPr>
          <w:rFonts w:eastAsia="黑体" w:cs="Times New Roman" w:hint="eastAsia"/>
          <w:szCs w:val="21"/>
        </w:rPr>
        <w:t>植物实测样方表</w:t>
      </w:r>
    </w:p>
    <w:tbl>
      <w:tblPr>
        <w:tblStyle w:val="affffc"/>
        <w:tblW w:w="0" w:type="auto"/>
        <w:tblBorders>
          <w:left w:val="none" w:sz="0" w:space="0" w:color="auto"/>
          <w:right w:val="none" w:sz="0" w:space="0" w:color="auto"/>
        </w:tblBorders>
        <w:tblLook w:val="04A0" w:firstRow="1" w:lastRow="0" w:firstColumn="1" w:lastColumn="0" w:noHBand="0" w:noVBand="1"/>
      </w:tblPr>
      <w:tblGrid>
        <w:gridCol w:w="9016"/>
      </w:tblGrid>
      <w:tr w:rsidR="007D1E74" w14:paraId="1F592C68" w14:textId="77777777">
        <w:tc>
          <w:tcPr>
            <w:tcW w:w="9016" w:type="dxa"/>
          </w:tcPr>
          <w:p w14:paraId="5D2CEBA6" w14:textId="77777777" w:rsidR="007D1E74" w:rsidRDefault="00A95641">
            <w:pPr>
              <w:spacing w:line="360" w:lineRule="auto"/>
              <w:rPr>
                <w:rFonts w:eastAsiaTheme="minorEastAsia" w:cs="Times New Roman"/>
                <w:szCs w:val="21"/>
              </w:rPr>
            </w:pPr>
            <w:r>
              <w:rPr>
                <w:rFonts w:eastAsiaTheme="minorEastAsia" w:cs="Times New Roman" w:hint="eastAsia"/>
                <w:szCs w:val="21"/>
              </w:rPr>
              <w:t>群落名称：桤木林</w:t>
            </w:r>
            <w:r>
              <w:rPr>
                <w:rFonts w:eastAsiaTheme="minorEastAsia" w:cs="Times New Roman" w:hint="eastAsia"/>
                <w:szCs w:val="21"/>
              </w:rPr>
              <w:tab/>
            </w:r>
            <w:r>
              <w:rPr>
                <w:rFonts w:eastAsiaTheme="minorEastAsia" w:cs="Times New Roman" w:hint="eastAsia"/>
                <w:szCs w:val="21"/>
              </w:rPr>
              <w:tab/>
            </w:r>
            <w:r>
              <w:rPr>
                <w:rFonts w:eastAsiaTheme="minorEastAsia" w:cs="Times New Roman" w:hint="eastAsia"/>
                <w:szCs w:val="21"/>
              </w:rPr>
              <w:t>地点：新场镇金家坪村</w:t>
            </w:r>
            <w:r>
              <w:rPr>
                <w:rFonts w:eastAsiaTheme="minorEastAsia" w:cs="Times New Roman" w:hint="eastAsia"/>
                <w:szCs w:val="21"/>
              </w:rPr>
              <w:tab/>
            </w:r>
            <w:r>
              <w:rPr>
                <w:rFonts w:eastAsiaTheme="minorEastAsia" w:cs="Times New Roman" w:hint="eastAsia"/>
                <w:szCs w:val="21"/>
              </w:rPr>
              <w:tab/>
            </w:r>
            <w:r>
              <w:rPr>
                <w:rFonts w:eastAsiaTheme="minorEastAsia" w:cs="Times New Roman" w:hint="eastAsia"/>
                <w:szCs w:val="21"/>
              </w:rPr>
              <w:t>样方面积：</w:t>
            </w:r>
            <w:r>
              <w:rPr>
                <w:rFonts w:eastAsiaTheme="minorEastAsia" w:cs="Times New Roman" w:hint="eastAsia"/>
                <w:szCs w:val="21"/>
              </w:rPr>
              <w:t>10m</w:t>
            </w:r>
            <w:r>
              <w:rPr>
                <w:rFonts w:eastAsiaTheme="minorEastAsia" w:cs="Times New Roman" w:hint="eastAsia"/>
                <w:szCs w:val="21"/>
              </w:rPr>
              <w:t>×</w:t>
            </w:r>
            <w:r>
              <w:rPr>
                <w:rFonts w:eastAsiaTheme="minorEastAsia" w:cs="Times New Roman" w:hint="eastAsia"/>
                <w:szCs w:val="21"/>
              </w:rPr>
              <w:t>10m</w:t>
            </w:r>
          </w:p>
        </w:tc>
      </w:tr>
      <w:tr w:rsidR="007D1E74" w14:paraId="6E17621F" w14:textId="77777777">
        <w:tc>
          <w:tcPr>
            <w:tcW w:w="9016" w:type="dxa"/>
          </w:tcPr>
          <w:p w14:paraId="3B0947E1" w14:textId="77777777" w:rsidR="007D1E74" w:rsidRDefault="00A95641">
            <w:pPr>
              <w:spacing w:line="360" w:lineRule="auto"/>
              <w:rPr>
                <w:rFonts w:eastAsiaTheme="minorEastAsia" w:cs="Times New Roman"/>
                <w:szCs w:val="21"/>
              </w:rPr>
            </w:pPr>
            <w:r>
              <w:rPr>
                <w:rFonts w:eastAsiaTheme="minorEastAsia" w:cs="Times New Roman" w:hint="eastAsia"/>
                <w:szCs w:val="21"/>
              </w:rPr>
              <w:t>经度：</w:t>
            </w:r>
            <w:r>
              <w:rPr>
                <w:rFonts w:eastAsiaTheme="minorEastAsia" w:cs="Times New Roman" w:hint="eastAsia"/>
                <w:szCs w:val="21"/>
              </w:rPr>
              <w:t xml:space="preserve">107.178424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纬度：</w:t>
            </w:r>
            <w:r>
              <w:rPr>
                <w:rFonts w:eastAsiaTheme="minorEastAsia" w:cs="Times New Roman" w:hint="eastAsia"/>
                <w:szCs w:val="21"/>
              </w:rPr>
              <w:t xml:space="preserve">32. 087042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海拔（</w:t>
            </w:r>
            <w:r>
              <w:rPr>
                <w:rFonts w:eastAsiaTheme="minorEastAsia" w:cs="Times New Roman" w:hint="eastAsia"/>
                <w:szCs w:val="21"/>
              </w:rPr>
              <w:t>m</w:t>
            </w:r>
            <w:r>
              <w:rPr>
                <w:rFonts w:eastAsiaTheme="minorEastAsia" w:cs="Times New Roman" w:hint="eastAsia"/>
                <w:szCs w:val="21"/>
              </w:rPr>
              <w:t>）</w:t>
            </w:r>
            <w:r>
              <w:rPr>
                <w:rFonts w:eastAsiaTheme="minorEastAsia" w:cs="Times New Roman" w:hint="eastAsia"/>
                <w:szCs w:val="21"/>
              </w:rPr>
              <w:t>507</w:t>
            </w:r>
          </w:p>
        </w:tc>
      </w:tr>
      <w:tr w:rsidR="007D1E74" w14:paraId="5C4C1CFC" w14:textId="77777777">
        <w:tc>
          <w:tcPr>
            <w:tcW w:w="9016" w:type="dxa"/>
          </w:tcPr>
          <w:p w14:paraId="121C21DF" w14:textId="77777777" w:rsidR="007D1E74" w:rsidRDefault="00A95641">
            <w:pPr>
              <w:spacing w:line="360" w:lineRule="auto"/>
              <w:rPr>
                <w:rFonts w:eastAsiaTheme="minorEastAsia" w:cs="Times New Roman"/>
                <w:szCs w:val="21"/>
              </w:rPr>
            </w:pPr>
            <w:r>
              <w:rPr>
                <w:rFonts w:eastAsiaTheme="minorEastAsia" w:cs="Times New Roman" w:hint="eastAsia"/>
                <w:szCs w:val="21"/>
              </w:rPr>
              <w:t>调查人：黄文军、李秦</w:t>
            </w:r>
            <w:r>
              <w:rPr>
                <w:rFonts w:eastAsiaTheme="minorEastAsia" w:cs="Times New Roman" w:hint="eastAsia"/>
                <w:szCs w:val="21"/>
              </w:rPr>
              <w:tab/>
            </w:r>
            <w:r>
              <w:rPr>
                <w:rFonts w:eastAsiaTheme="minorEastAsia" w:cs="Times New Roman" w:hint="eastAsia"/>
                <w:szCs w:val="21"/>
              </w:rPr>
              <w:t>调查日期：</w:t>
            </w:r>
            <w:r>
              <w:rPr>
                <w:rFonts w:eastAsiaTheme="minorEastAsia" w:cs="Times New Roman" w:hint="eastAsia"/>
                <w:szCs w:val="21"/>
              </w:rPr>
              <w:t>2021-08-19</w:t>
            </w:r>
          </w:p>
        </w:tc>
      </w:tr>
    </w:tbl>
    <w:p w14:paraId="6F00D97E" w14:textId="77777777" w:rsidR="007D1E74" w:rsidRDefault="007D1E74">
      <w:pPr>
        <w:spacing w:line="360" w:lineRule="auto"/>
        <w:rPr>
          <w:rFonts w:eastAsia="黑体" w:cs="Times New Roman"/>
          <w:sz w:val="24"/>
          <w:szCs w:val="24"/>
        </w:rPr>
      </w:pP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4"/>
        <w:gridCol w:w="1637"/>
        <w:gridCol w:w="1215"/>
        <w:gridCol w:w="1215"/>
        <w:gridCol w:w="1215"/>
        <w:gridCol w:w="1764"/>
        <w:gridCol w:w="1176"/>
      </w:tblGrid>
      <w:tr w:rsidR="007D1E74" w14:paraId="58F9B25F" w14:textId="77777777">
        <w:trPr>
          <w:trHeight w:hRule="exact" w:val="351"/>
        </w:trPr>
        <w:tc>
          <w:tcPr>
            <w:tcW w:w="440" w:type="pct"/>
          </w:tcPr>
          <w:p w14:paraId="0EA4B0D6" w14:textId="77777777" w:rsidR="007D1E74" w:rsidRDefault="00A95641">
            <w:pPr>
              <w:pStyle w:val="TableParagraph"/>
              <w:spacing w:line="284" w:lineRule="exact"/>
              <w:ind w:left="109" w:right="103"/>
              <w:rPr>
                <w:rFonts w:ascii="宋体"/>
                <w:sz w:val="21"/>
                <w:szCs w:val="21"/>
              </w:rPr>
            </w:pPr>
            <w:r>
              <w:rPr>
                <w:rFonts w:ascii="宋体" w:hint="eastAsia"/>
                <w:sz w:val="21"/>
                <w:szCs w:val="21"/>
              </w:rPr>
              <w:t>种号</w:t>
            </w:r>
          </w:p>
        </w:tc>
        <w:tc>
          <w:tcPr>
            <w:tcW w:w="908" w:type="pct"/>
          </w:tcPr>
          <w:p w14:paraId="5F20B12C" w14:textId="77777777" w:rsidR="007D1E74" w:rsidRDefault="00A95641">
            <w:pPr>
              <w:pStyle w:val="TableParagraph"/>
              <w:spacing w:line="284" w:lineRule="exact"/>
              <w:ind w:left="397"/>
              <w:rPr>
                <w:rFonts w:ascii="宋体"/>
                <w:sz w:val="21"/>
                <w:szCs w:val="21"/>
              </w:rPr>
            </w:pPr>
            <w:r>
              <w:rPr>
                <w:rFonts w:ascii="宋体" w:hint="eastAsia"/>
                <w:sz w:val="21"/>
                <w:szCs w:val="21"/>
              </w:rPr>
              <w:t>物种名</w:t>
            </w:r>
          </w:p>
        </w:tc>
        <w:tc>
          <w:tcPr>
            <w:tcW w:w="674" w:type="pct"/>
          </w:tcPr>
          <w:p w14:paraId="0439BE01" w14:textId="77777777" w:rsidR="007D1E74" w:rsidRDefault="00A95641">
            <w:pPr>
              <w:pStyle w:val="TableParagraph"/>
              <w:spacing w:line="284" w:lineRule="exact"/>
              <w:ind w:left="202"/>
              <w:rPr>
                <w:rFonts w:ascii="宋体"/>
                <w:sz w:val="21"/>
                <w:szCs w:val="21"/>
              </w:rPr>
            </w:pPr>
            <w:r>
              <w:rPr>
                <w:rFonts w:ascii="宋体" w:hint="eastAsia"/>
                <w:sz w:val="21"/>
                <w:szCs w:val="21"/>
              </w:rPr>
              <w:t>物候期</w:t>
            </w:r>
          </w:p>
        </w:tc>
        <w:tc>
          <w:tcPr>
            <w:tcW w:w="674" w:type="pct"/>
          </w:tcPr>
          <w:p w14:paraId="363AD7BF" w14:textId="77777777" w:rsidR="007D1E74" w:rsidRDefault="00A95641">
            <w:pPr>
              <w:pStyle w:val="TableParagraph"/>
              <w:spacing w:line="302" w:lineRule="exact"/>
              <w:ind w:left="102" w:right="102"/>
              <w:rPr>
                <w:rFonts w:ascii="宋体"/>
                <w:sz w:val="21"/>
                <w:szCs w:val="21"/>
              </w:rPr>
            </w:pPr>
            <w:r>
              <w:rPr>
                <w:rFonts w:ascii="宋体" w:hint="eastAsia"/>
                <w:sz w:val="21"/>
                <w:szCs w:val="21"/>
              </w:rPr>
              <w:t>株</w:t>
            </w:r>
            <w:r>
              <w:rPr>
                <w:sz w:val="21"/>
                <w:szCs w:val="21"/>
              </w:rPr>
              <w:t>(</w:t>
            </w:r>
            <w:r>
              <w:rPr>
                <w:rFonts w:ascii="宋体" w:hint="eastAsia"/>
                <w:sz w:val="21"/>
                <w:szCs w:val="21"/>
              </w:rPr>
              <w:t>丛</w:t>
            </w:r>
            <w:r>
              <w:rPr>
                <w:sz w:val="21"/>
                <w:szCs w:val="21"/>
              </w:rPr>
              <w:t>)</w:t>
            </w:r>
            <w:r>
              <w:rPr>
                <w:rFonts w:ascii="宋体" w:hint="eastAsia"/>
                <w:sz w:val="21"/>
                <w:szCs w:val="21"/>
              </w:rPr>
              <w:t>数</w:t>
            </w:r>
          </w:p>
        </w:tc>
        <w:tc>
          <w:tcPr>
            <w:tcW w:w="674" w:type="pct"/>
          </w:tcPr>
          <w:p w14:paraId="0A739AC0" w14:textId="77777777" w:rsidR="007D1E74" w:rsidRDefault="00A95641">
            <w:pPr>
              <w:pStyle w:val="TableParagraph"/>
              <w:spacing w:line="284" w:lineRule="exact"/>
              <w:ind w:left="102" w:right="102"/>
              <w:rPr>
                <w:rFonts w:ascii="宋体"/>
                <w:sz w:val="21"/>
                <w:szCs w:val="21"/>
              </w:rPr>
            </w:pPr>
            <w:r>
              <w:rPr>
                <w:rFonts w:ascii="宋体" w:hint="eastAsia"/>
                <w:sz w:val="21"/>
                <w:szCs w:val="21"/>
              </w:rPr>
              <w:t>多度</w:t>
            </w:r>
          </w:p>
        </w:tc>
        <w:tc>
          <w:tcPr>
            <w:tcW w:w="978" w:type="pct"/>
          </w:tcPr>
          <w:p w14:paraId="10045B7E" w14:textId="77777777" w:rsidR="007D1E74" w:rsidRDefault="00A95641">
            <w:pPr>
              <w:pStyle w:val="TableParagraph"/>
              <w:spacing w:line="302" w:lineRule="exact"/>
              <w:ind w:left="172" w:right="170"/>
              <w:rPr>
                <w:sz w:val="21"/>
                <w:szCs w:val="21"/>
              </w:rPr>
            </w:pPr>
            <w:r>
              <w:rPr>
                <w:rFonts w:ascii="宋体" w:hint="eastAsia"/>
                <w:w w:val="95"/>
                <w:sz w:val="21"/>
                <w:szCs w:val="21"/>
              </w:rPr>
              <w:t>平均高度</w:t>
            </w:r>
            <w:r>
              <w:rPr>
                <w:w w:val="95"/>
                <w:sz w:val="21"/>
                <w:szCs w:val="21"/>
              </w:rPr>
              <w:t>/cm</w:t>
            </w:r>
          </w:p>
        </w:tc>
        <w:tc>
          <w:tcPr>
            <w:tcW w:w="652" w:type="pct"/>
          </w:tcPr>
          <w:p w14:paraId="1236BCE7" w14:textId="77777777" w:rsidR="007D1E74" w:rsidRDefault="00A95641">
            <w:pPr>
              <w:pStyle w:val="TableParagraph"/>
              <w:spacing w:line="302" w:lineRule="exact"/>
              <w:ind w:left="116" w:right="226"/>
              <w:rPr>
                <w:sz w:val="21"/>
                <w:szCs w:val="21"/>
              </w:rPr>
            </w:pPr>
            <w:r>
              <w:rPr>
                <w:rFonts w:ascii="宋体" w:hint="eastAsia"/>
                <w:w w:val="95"/>
                <w:sz w:val="21"/>
                <w:szCs w:val="21"/>
              </w:rPr>
              <w:t>盖度</w:t>
            </w:r>
            <w:r>
              <w:rPr>
                <w:w w:val="95"/>
                <w:sz w:val="21"/>
                <w:szCs w:val="21"/>
              </w:rPr>
              <w:t>/%</w:t>
            </w:r>
          </w:p>
        </w:tc>
      </w:tr>
      <w:tr w:rsidR="007D1E74" w14:paraId="67936AC2" w14:textId="77777777">
        <w:trPr>
          <w:trHeight w:hRule="exact" w:val="336"/>
        </w:trPr>
        <w:tc>
          <w:tcPr>
            <w:tcW w:w="440" w:type="pct"/>
          </w:tcPr>
          <w:p w14:paraId="7E3CD926" w14:textId="77777777" w:rsidR="007D1E74" w:rsidRDefault="00A95641">
            <w:pPr>
              <w:pStyle w:val="TableParagraph"/>
              <w:spacing w:before="25"/>
              <w:ind w:left="5"/>
              <w:rPr>
                <w:sz w:val="21"/>
                <w:szCs w:val="21"/>
              </w:rPr>
            </w:pPr>
            <w:r>
              <w:rPr>
                <w:sz w:val="21"/>
                <w:szCs w:val="21"/>
              </w:rPr>
              <w:t>1</w:t>
            </w:r>
          </w:p>
        </w:tc>
        <w:tc>
          <w:tcPr>
            <w:tcW w:w="908" w:type="pct"/>
          </w:tcPr>
          <w:p w14:paraId="7F63838F" w14:textId="77777777" w:rsidR="007D1E74" w:rsidRDefault="00A95641">
            <w:pPr>
              <w:pStyle w:val="TableParagraph"/>
              <w:spacing w:line="284" w:lineRule="exact"/>
              <w:ind w:left="103"/>
              <w:rPr>
                <w:rFonts w:ascii="宋体"/>
                <w:sz w:val="21"/>
                <w:szCs w:val="21"/>
              </w:rPr>
            </w:pPr>
            <w:r>
              <w:rPr>
                <w:rFonts w:ascii="宋体" w:hint="eastAsia"/>
                <w:sz w:val="21"/>
                <w:szCs w:val="21"/>
              </w:rPr>
              <w:t>桤木</w:t>
            </w:r>
          </w:p>
        </w:tc>
        <w:tc>
          <w:tcPr>
            <w:tcW w:w="674" w:type="pct"/>
          </w:tcPr>
          <w:p w14:paraId="27BAEF6D"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497FE06B" w14:textId="77777777" w:rsidR="007D1E74" w:rsidRDefault="00A95641">
            <w:pPr>
              <w:pStyle w:val="TableParagraph"/>
              <w:spacing w:before="25"/>
              <w:rPr>
                <w:sz w:val="21"/>
                <w:szCs w:val="21"/>
              </w:rPr>
            </w:pPr>
            <w:r>
              <w:rPr>
                <w:sz w:val="21"/>
                <w:szCs w:val="21"/>
              </w:rPr>
              <w:t>6</w:t>
            </w:r>
          </w:p>
        </w:tc>
        <w:tc>
          <w:tcPr>
            <w:tcW w:w="674" w:type="pct"/>
          </w:tcPr>
          <w:p w14:paraId="49D14F13" w14:textId="77777777" w:rsidR="007D1E74" w:rsidRDefault="00A95641">
            <w:pPr>
              <w:pStyle w:val="TableParagraph"/>
              <w:spacing w:before="22"/>
              <w:ind w:left="231" w:right="231"/>
              <w:rPr>
                <w:sz w:val="21"/>
                <w:szCs w:val="21"/>
              </w:rPr>
            </w:pPr>
            <w:r>
              <w:rPr>
                <w:position w:val="2"/>
                <w:sz w:val="21"/>
                <w:szCs w:val="21"/>
              </w:rPr>
              <w:t>Cop</w:t>
            </w:r>
            <w:r>
              <w:rPr>
                <w:sz w:val="21"/>
                <w:szCs w:val="21"/>
              </w:rPr>
              <w:t>2</w:t>
            </w:r>
          </w:p>
        </w:tc>
        <w:tc>
          <w:tcPr>
            <w:tcW w:w="978" w:type="pct"/>
          </w:tcPr>
          <w:p w14:paraId="7DD35C72" w14:textId="77777777" w:rsidR="007D1E74" w:rsidRDefault="00A95641">
            <w:pPr>
              <w:pStyle w:val="TableParagraph"/>
              <w:spacing w:before="25"/>
              <w:ind w:left="241" w:right="241"/>
              <w:rPr>
                <w:sz w:val="21"/>
                <w:szCs w:val="21"/>
              </w:rPr>
            </w:pPr>
            <w:r>
              <w:rPr>
                <w:sz w:val="21"/>
                <w:szCs w:val="21"/>
              </w:rPr>
              <w:t>15</w:t>
            </w:r>
          </w:p>
        </w:tc>
        <w:tc>
          <w:tcPr>
            <w:tcW w:w="652" w:type="pct"/>
          </w:tcPr>
          <w:p w14:paraId="308E8BBC" w14:textId="77777777" w:rsidR="007D1E74" w:rsidRDefault="00A95641">
            <w:pPr>
              <w:pStyle w:val="TableParagraph"/>
              <w:spacing w:before="25"/>
              <w:ind w:left="116" w:right="224"/>
              <w:rPr>
                <w:sz w:val="21"/>
                <w:szCs w:val="21"/>
              </w:rPr>
            </w:pPr>
            <w:r>
              <w:rPr>
                <w:sz w:val="21"/>
                <w:szCs w:val="21"/>
              </w:rPr>
              <w:t>60</w:t>
            </w:r>
          </w:p>
        </w:tc>
      </w:tr>
      <w:tr w:rsidR="007D1E74" w14:paraId="022BA8A5" w14:textId="77777777">
        <w:trPr>
          <w:trHeight w:hRule="exact" w:val="336"/>
        </w:trPr>
        <w:tc>
          <w:tcPr>
            <w:tcW w:w="440" w:type="pct"/>
          </w:tcPr>
          <w:p w14:paraId="1D738EE9" w14:textId="77777777" w:rsidR="007D1E74" w:rsidRDefault="00A95641">
            <w:pPr>
              <w:pStyle w:val="TableParagraph"/>
              <w:spacing w:before="25"/>
              <w:ind w:left="5"/>
              <w:rPr>
                <w:sz w:val="21"/>
                <w:szCs w:val="21"/>
              </w:rPr>
            </w:pPr>
            <w:r>
              <w:rPr>
                <w:sz w:val="21"/>
                <w:szCs w:val="21"/>
              </w:rPr>
              <w:t>2</w:t>
            </w:r>
          </w:p>
        </w:tc>
        <w:tc>
          <w:tcPr>
            <w:tcW w:w="908" w:type="pct"/>
          </w:tcPr>
          <w:p w14:paraId="753E52D7" w14:textId="77777777" w:rsidR="007D1E74" w:rsidRDefault="00A95641">
            <w:pPr>
              <w:pStyle w:val="TableParagraph"/>
              <w:spacing w:line="284" w:lineRule="exact"/>
              <w:ind w:left="103"/>
              <w:rPr>
                <w:rFonts w:ascii="宋体"/>
                <w:sz w:val="21"/>
                <w:szCs w:val="21"/>
              </w:rPr>
            </w:pPr>
            <w:r>
              <w:rPr>
                <w:rFonts w:ascii="宋体" w:hint="eastAsia"/>
                <w:sz w:val="21"/>
                <w:szCs w:val="21"/>
              </w:rPr>
              <w:t>柏木</w:t>
            </w:r>
          </w:p>
        </w:tc>
        <w:tc>
          <w:tcPr>
            <w:tcW w:w="674" w:type="pct"/>
          </w:tcPr>
          <w:p w14:paraId="72FCE5E8"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6B0CF362" w14:textId="77777777" w:rsidR="007D1E74" w:rsidRDefault="00A95641">
            <w:pPr>
              <w:pStyle w:val="TableParagraph"/>
              <w:spacing w:before="25"/>
              <w:rPr>
                <w:sz w:val="21"/>
                <w:szCs w:val="21"/>
              </w:rPr>
            </w:pPr>
            <w:r>
              <w:rPr>
                <w:sz w:val="21"/>
                <w:szCs w:val="21"/>
              </w:rPr>
              <w:t>4</w:t>
            </w:r>
          </w:p>
        </w:tc>
        <w:tc>
          <w:tcPr>
            <w:tcW w:w="674" w:type="pct"/>
          </w:tcPr>
          <w:p w14:paraId="6AE1EB6A" w14:textId="77777777" w:rsidR="007D1E74" w:rsidRDefault="00A95641">
            <w:pPr>
              <w:pStyle w:val="TableParagraph"/>
              <w:spacing w:before="22"/>
              <w:ind w:left="231" w:right="231"/>
              <w:rPr>
                <w:sz w:val="21"/>
                <w:szCs w:val="21"/>
              </w:rPr>
            </w:pPr>
            <w:r>
              <w:rPr>
                <w:position w:val="2"/>
                <w:sz w:val="21"/>
                <w:szCs w:val="21"/>
              </w:rPr>
              <w:t>Cop</w:t>
            </w:r>
            <w:r>
              <w:rPr>
                <w:sz w:val="21"/>
                <w:szCs w:val="21"/>
              </w:rPr>
              <w:t>1</w:t>
            </w:r>
          </w:p>
        </w:tc>
        <w:tc>
          <w:tcPr>
            <w:tcW w:w="978" w:type="pct"/>
          </w:tcPr>
          <w:p w14:paraId="7811223D" w14:textId="77777777" w:rsidR="007D1E74" w:rsidRDefault="00A95641">
            <w:pPr>
              <w:pStyle w:val="TableParagraph"/>
              <w:spacing w:before="25"/>
              <w:ind w:left="241" w:right="241"/>
              <w:rPr>
                <w:sz w:val="21"/>
                <w:szCs w:val="21"/>
              </w:rPr>
            </w:pPr>
            <w:r>
              <w:rPr>
                <w:sz w:val="21"/>
                <w:szCs w:val="21"/>
              </w:rPr>
              <w:t>12</w:t>
            </w:r>
          </w:p>
        </w:tc>
        <w:tc>
          <w:tcPr>
            <w:tcW w:w="652" w:type="pct"/>
          </w:tcPr>
          <w:p w14:paraId="445B6B2E" w14:textId="77777777" w:rsidR="007D1E74" w:rsidRDefault="00A95641">
            <w:pPr>
              <w:pStyle w:val="TableParagraph"/>
              <w:spacing w:before="25"/>
              <w:ind w:left="116" w:right="224"/>
              <w:rPr>
                <w:sz w:val="21"/>
                <w:szCs w:val="21"/>
              </w:rPr>
            </w:pPr>
            <w:r>
              <w:rPr>
                <w:sz w:val="21"/>
                <w:szCs w:val="21"/>
              </w:rPr>
              <w:t>15</w:t>
            </w:r>
          </w:p>
        </w:tc>
      </w:tr>
      <w:tr w:rsidR="007D1E74" w14:paraId="480A5259" w14:textId="77777777">
        <w:trPr>
          <w:trHeight w:hRule="exact" w:val="336"/>
        </w:trPr>
        <w:tc>
          <w:tcPr>
            <w:tcW w:w="440" w:type="pct"/>
          </w:tcPr>
          <w:p w14:paraId="5FF168C1" w14:textId="77777777" w:rsidR="007D1E74" w:rsidRDefault="00A95641">
            <w:pPr>
              <w:pStyle w:val="TableParagraph"/>
              <w:spacing w:before="25"/>
              <w:ind w:left="5"/>
              <w:rPr>
                <w:sz w:val="21"/>
                <w:szCs w:val="21"/>
              </w:rPr>
            </w:pPr>
            <w:r>
              <w:rPr>
                <w:sz w:val="21"/>
                <w:szCs w:val="21"/>
              </w:rPr>
              <w:t>3</w:t>
            </w:r>
          </w:p>
        </w:tc>
        <w:tc>
          <w:tcPr>
            <w:tcW w:w="908" w:type="pct"/>
          </w:tcPr>
          <w:p w14:paraId="4B4C9167" w14:textId="77777777" w:rsidR="007D1E74" w:rsidRDefault="00A95641">
            <w:pPr>
              <w:pStyle w:val="TableParagraph"/>
              <w:spacing w:line="284" w:lineRule="exact"/>
              <w:ind w:left="103"/>
              <w:rPr>
                <w:rFonts w:ascii="宋体"/>
                <w:sz w:val="21"/>
                <w:szCs w:val="21"/>
              </w:rPr>
            </w:pPr>
            <w:r>
              <w:rPr>
                <w:rFonts w:ascii="宋体" w:hint="eastAsia"/>
                <w:sz w:val="21"/>
                <w:szCs w:val="21"/>
              </w:rPr>
              <w:t>栓皮栎、麻栎</w:t>
            </w:r>
          </w:p>
        </w:tc>
        <w:tc>
          <w:tcPr>
            <w:tcW w:w="674" w:type="pct"/>
          </w:tcPr>
          <w:p w14:paraId="5372EC5E"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7AE2A4B7" w14:textId="77777777" w:rsidR="007D1E74" w:rsidRDefault="00A95641">
            <w:pPr>
              <w:pStyle w:val="TableParagraph"/>
              <w:spacing w:before="25"/>
              <w:rPr>
                <w:sz w:val="21"/>
                <w:szCs w:val="21"/>
              </w:rPr>
            </w:pPr>
            <w:r>
              <w:rPr>
                <w:sz w:val="21"/>
                <w:szCs w:val="21"/>
              </w:rPr>
              <w:t>4</w:t>
            </w:r>
          </w:p>
        </w:tc>
        <w:tc>
          <w:tcPr>
            <w:tcW w:w="674" w:type="pct"/>
          </w:tcPr>
          <w:p w14:paraId="63D60720" w14:textId="77777777" w:rsidR="007D1E74" w:rsidRDefault="00A95641">
            <w:pPr>
              <w:pStyle w:val="TableParagraph"/>
              <w:spacing w:before="22"/>
              <w:ind w:left="231" w:right="231"/>
              <w:rPr>
                <w:sz w:val="21"/>
                <w:szCs w:val="21"/>
              </w:rPr>
            </w:pPr>
            <w:r>
              <w:rPr>
                <w:position w:val="2"/>
                <w:sz w:val="21"/>
                <w:szCs w:val="21"/>
              </w:rPr>
              <w:t>Cop</w:t>
            </w:r>
            <w:r>
              <w:rPr>
                <w:sz w:val="21"/>
                <w:szCs w:val="21"/>
              </w:rPr>
              <w:t>1</w:t>
            </w:r>
          </w:p>
        </w:tc>
        <w:tc>
          <w:tcPr>
            <w:tcW w:w="978" w:type="pct"/>
          </w:tcPr>
          <w:p w14:paraId="24DC4033" w14:textId="77777777" w:rsidR="007D1E74" w:rsidRDefault="00A95641">
            <w:pPr>
              <w:pStyle w:val="TableParagraph"/>
              <w:spacing w:before="25"/>
              <w:ind w:left="241" w:right="241"/>
              <w:rPr>
                <w:sz w:val="21"/>
                <w:szCs w:val="21"/>
              </w:rPr>
            </w:pPr>
            <w:r>
              <w:rPr>
                <w:sz w:val="21"/>
                <w:szCs w:val="21"/>
              </w:rPr>
              <w:t>13</w:t>
            </w:r>
          </w:p>
        </w:tc>
        <w:tc>
          <w:tcPr>
            <w:tcW w:w="652" w:type="pct"/>
          </w:tcPr>
          <w:p w14:paraId="3097BBBF" w14:textId="77777777" w:rsidR="007D1E74" w:rsidRDefault="00A95641">
            <w:pPr>
              <w:pStyle w:val="TableParagraph"/>
              <w:spacing w:before="25"/>
              <w:ind w:left="116" w:right="224"/>
              <w:rPr>
                <w:sz w:val="21"/>
                <w:szCs w:val="21"/>
              </w:rPr>
            </w:pPr>
            <w:r>
              <w:rPr>
                <w:sz w:val="21"/>
                <w:szCs w:val="21"/>
              </w:rPr>
              <w:t>10</w:t>
            </w:r>
          </w:p>
        </w:tc>
      </w:tr>
      <w:tr w:rsidR="007D1E74" w14:paraId="7CBB23EE" w14:textId="77777777">
        <w:trPr>
          <w:trHeight w:hRule="exact" w:val="336"/>
        </w:trPr>
        <w:tc>
          <w:tcPr>
            <w:tcW w:w="440" w:type="pct"/>
          </w:tcPr>
          <w:p w14:paraId="4F05F081" w14:textId="77777777" w:rsidR="007D1E74" w:rsidRDefault="00A95641">
            <w:pPr>
              <w:pStyle w:val="TableParagraph"/>
              <w:spacing w:before="25"/>
              <w:ind w:left="5"/>
              <w:rPr>
                <w:sz w:val="21"/>
                <w:szCs w:val="21"/>
              </w:rPr>
            </w:pPr>
            <w:r>
              <w:rPr>
                <w:sz w:val="21"/>
                <w:szCs w:val="21"/>
              </w:rPr>
              <w:t>4</w:t>
            </w:r>
          </w:p>
        </w:tc>
        <w:tc>
          <w:tcPr>
            <w:tcW w:w="908" w:type="pct"/>
          </w:tcPr>
          <w:p w14:paraId="31E86C57" w14:textId="77777777" w:rsidR="007D1E74" w:rsidRDefault="00A95641">
            <w:pPr>
              <w:pStyle w:val="TableParagraph"/>
              <w:spacing w:line="284" w:lineRule="exact"/>
              <w:ind w:left="103"/>
              <w:rPr>
                <w:rFonts w:ascii="宋体"/>
                <w:sz w:val="21"/>
                <w:szCs w:val="21"/>
              </w:rPr>
            </w:pPr>
            <w:r>
              <w:rPr>
                <w:rFonts w:ascii="宋体" w:hint="eastAsia"/>
                <w:sz w:val="21"/>
                <w:szCs w:val="21"/>
              </w:rPr>
              <w:t>灯台树</w:t>
            </w:r>
          </w:p>
        </w:tc>
        <w:tc>
          <w:tcPr>
            <w:tcW w:w="674" w:type="pct"/>
          </w:tcPr>
          <w:p w14:paraId="3C911987"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258D144E" w14:textId="77777777" w:rsidR="007D1E74" w:rsidRDefault="00A95641">
            <w:pPr>
              <w:pStyle w:val="TableParagraph"/>
              <w:spacing w:before="25"/>
              <w:rPr>
                <w:sz w:val="21"/>
                <w:szCs w:val="21"/>
              </w:rPr>
            </w:pPr>
            <w:r>
              <w:rPr>
                <w:sz w:val="21"/>
                <w:szCs w:val="21"/>
              </w:rPr>
              <w:t>2</w:t>
            </w:r>
          </w:p>
        </w:tc>
        <w:tc>
          <w:tcPr>
            <w:tcW w:w="674" w:type="pct"/>
          </w:tcPr>
          <w:p w14:paraId="3050BA05" w14:textId="77777777" w:rsidR="007D1E74" w:rsidRDefault="00A95641">
            <w:pPr>
              <w:pStyle w:val="TableParagraph"/>
              <w:spacing w:before="25"/>
              <w:ind w:left="231" w:right="231"/>
              <w:rPr>
                <w:sz w:val="21"/>
                <w:szCs w:val="21"/>
              </w:rPr>
            </w:pPr>
            <w:r>
              <w:rPr>
                <w:sz w:val="21"/>
                <w:szCs w:val="21"/>
              </w:rPr>
              <w:t>Sp</w:t>
            </w:r>
          </w:p>
        </w:tc>
        <w:tc>
          <w:tcPr>
            <w:tcW w:w="978" w:type="pct"/>
          </w:tcPr>
          <w:p w14:paraId="23FD28CF" w14:textId="77777777" w:rsidR="007D1E74" w:rsidRDefault="00A95641">
            <w:pPr>
              <w:pStyle w:val="TableParagraph"/>
              <w:spacing w:before="25"/>
              <w:ind w:left="241" w:right="241"/>
              <w:rPr>
                <w:sz w:val="21"/>
                <w:szCs w:val="21"/>
              </w:rPr>
            </w:pPr>
            <w:r>
              <w:rPr>
                <w:sz w:val="21"/>
                <w:szCs w:val="21"/>
              </w:rPr>
              <w:t>12</w:t>
            </w:r>
          </w:p>
        </w:tc>
        <w:tc>
          <w:tcPr>
            <w:tcW w:w="652" w:type="pct"/>
          </w:tcPr>
          <w:p w14:paraId="4213629E" w14:textId="77777777" w:rsidR="007D1E74" w:rsidRDefault="00A95641">
            <w:pPr>
              <w:pStyle w:val="TableParagraph"/>
              <w:spacing w:before="25"/>
              <w:ind w:right="108"/>
              <w:rPr>
                <w:sz w:val="21"/>
                <w:szCs w:val="21"/>
              </w:rPr>
            </w:pPr>
            <w:r>
              <w:rPr>
                <w:sz w:val="21"/>
                <w:szCs w:val="21"/>
              </w:rPr>
              <w:t>5</w:t>
            </w:r>
          </w:p>
        </w:tc>
      </w:tr>
      <w:tr w:rsidR="007D1E74" w14:paraId="2576A38F" w14:textId="77777777">
        <w:trPr>
          <w:trHeight w:hRule="exact" w:val="336"/>
        </w:trPr>
        <w:tc>
          <w:tcPr>
            <w:tcW w:w="440" w:type="pct"/>
          </w:tcPr>
          <w:p w14:paraId="325E6E2D" w14:textId="77777777" w:rsidR="007D1E74" w:rsidRDefault="00A95641">
            <w:pPr>
              <w:pStyle w:val="TableParagraph"/>
              <w:spacing w:before="25"/>
              <w:ind w:left="5"/>
              <w:rPr>
                <w:sz w:val="21"/>
                <w:szCs w:val="21"/>
              </w:rPr>
            </w:pPr>
            <w:r>
              <w:rPr>
                <w:sz w:val="21"/>
                <w:szCs w:val="21"/>
              </w:rPr>
              <w:t>5</w:t>
            </w:r>
          </w:p>
        </w:tc>
        <w:tc>
          <w:tcPr>
            <w:tcW w:w="908" w:type="pct"/>
          </w:tcPr>
          <w:p w14:paraId="6BB592FB" w14:textId="77777777" w:rsidR="007D1E74" w:rsidRDefault="00A95641">
            <w:pPr>
              <w:pStyle w:val="TableParagraph"/>
              <w:spacing w:line="284" w:lineRule="exact"/>
              <w:ind w:left="103"/>
              <w:rPr>
                <w:rFonts w:ascii="宋体"/>
                <w:sz w:val="21"/>
                <w:szCs w:val="21"/>
              </w:rPr>
            </w:pPr>
            <w:r>
              <w:rPr>
                <w:rFonts w:ascii="宋体" w:hint="eastAsia"/>
                <w:sz w:val="21"/>
                <w:szCs w:val="21"/>
              </w:rPr>
              <w:t>楝</w:t>
            </w:r>
          </w:p>
        </w:tc>
        <w:tc>
          <w:tcPr>
            <w:tcW w:w="674" w:type="pct"/>
          </w:tcPr>
          <w:p w14:paraId="2FD490D5"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08C519B8" w14:textId="77777777" w:rsidR="007D1E74" w:rsidRDefault="00A95641">
            <w:pPr>
              <w:pStyle w:val="TableParagraph"/>
              <w:spacing w:before="25"/>
              <w:rPr>
                <w:sz w:val="21"/>
                <w:szCs w:val="21"/>
              </w:rPr>
            </w:pPr>
            <w:r>
              <w:rPr>
                <w:sz w:val="21"/>
                <w:szCs w:val="21"/>
              </w:rPr>
              <w:t>1</w:t>
            </w:r>
          </w:p>
        </w:tc>
        <w:tc>
          <w:tcPr>
            <w:tcW w:w="674" w:type="pct"/>
          </w:tcPr>
          <w:p w14:paraId="0C784F42" w14:textId="77777777" w:rsidR="007D1E74" w:rsidRDefault="00A95641">
            <w:pPr>
              <w:pStyle w:val="TableParagraph"/>
              <w:spacing w:before="25"/>
              <w:ind w:left="231" w:right="231"/>
              <w:rPr>
                <w:sz w:val="21"/>
                <w:szCs w:val="21"/>
              </w:rPr>
            </w:pPr>
            <w:r>
              <w:rPr>
                <w:sz w:val="21"/>
                <w:szCs w:val="21"/>
              </w:rPr>
              <w:t>Sp</w:t>
            </w:r>
          </w:p>
        </w:tc>
        <w:tc>
          <w:tcPr>
            <w:tcW w:w="978" w:type="pct"/>
          </w:tcPr>
          <w:p w14:paraId="7E855F47" w14:textId="77777777" w:rsidR="007D1E74" w:rsidRDefault="00A95641">
            <w:pPr>
              <w:pStyle w:val="TableParagraph"/>
              <w:spacing w:before="25"/>
              <w:rPr>
                <w:sz w:val="21"/>
                <w:szCs w:val="21"/>
              </w:rPr>
            </w:pPr>
            <w:r>
              <w:rPr>
                <w:sz w:val="21"/>
                <w:szCs w:val="21"/>
              </w:rPr>
              <w:t>8</w:t>
            </w:r>
          </w:p>
        </w:tc>
        <w:tc>
          <w:tcPr>
            <w:tcW w:w="652" w:type="pct"/>
          </w:tcPr>
          <w:p w14:paraId="5DA531DC" w14:textId="77777777" w:rsidR="007D1E74" w:rsidRDefault="00A95641">
            <w:pPr>
              <w:pStyle w:val="TableParagraph"/>
              <w:spacing w:before="25"/>
              <w:ind w:right="108"/>
              <w:rPr>
                <w:sz w:val="21"/>
                <w:szCs w:val="21"/>
              </w:rPr>
            </w:pPr>
            <w:r>
              <w:rPr>
                <w:sz w:val="21"/>
                <w:szCs w:val="21"/>
              </w:rPr>
              <w:t>3</w:t>
            </w:r>
          </w:p>
        </w:tc>
      </w:tr>
      <w:tr w:rsidR="007D1E74" w14:paraId="799D981E" w14:textId="77777777">
        <w:trPr>
          <w:trHeight w:hRule="exact" w:val="336"/>
        </w:trPr>
        <w:tc>
          <w:tcPr>
            <w:tcW w:w="440" w:type="pct"/>
          </w:tcPr>
          <w:p w14:paraId="536D683C" w14:textId="77777777" w:rsidR="007D1E74" w:rsidRDefault="00A95641">
            <w:pPr>
              <w:pStyle w:val="TableParagraph"/>
              <w:spacing w:before="25"/>
              <w:ind w:left="5"/>
              <w:rPr>
                <w:sz w:val="21"/>
                <w:szCs w:val="21"/>
              </w:rPr>
            </w:pPr>
            <w:r>
              <w:rPr>
                <w:sz w:val="21"/>
                <w:szCs w:val="21"/>
              </w:rPr>
              <w:t>6</w:t>
            </w:r>
          </w:p>
        </w:tc>
        <w:tc>
          <w:tcPr>
            <w:tcW w:w="908" w:type="pct"/>
          </w:tcPr>
          <w:p w14:paraId="2744A3FC" w14:textId="77777777" w:rsidR="007D1E74" w:rsidRDefault="00A95641">
            <w:pPr>
              <w:pStyle w:val="TableParagraph"/>
              <w:spacing w:line="284" w:lineRule="exact"/>
              <w:ind w:left="103"/>
              <w:rPr>
                <w:rFonts w:ascii="宋体"/>
                <w:sz w:val="21"/>
                <w:szCs w:val="21"/>
              </w:rPr>
            </w:pPr>
            <w:r>
              <w:rPr>
                <w:rFonts w:ascii="宋体" w:hint="eastAsia"/>
                <w:sz w:val="21"/>
                <w:szCs w:val="21"/>
              </w:rPr>
              <w:t>女贞</w:t>
            </w:r>
          </w:p>
        </w:tc>
        <w:tc>
          <w:tcPr>
            <w:tcW w:w="674" w:type="pct"/>
          </w:tcPr>
          <w:p w14:paraId="0F53BA64"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1A223884" w14:textId="77777777" w:rsidR="007D1E74" w:rsidRDefault="00A95641">
            <w:pPr>
              <w:pStyle w:val="TableParagraph"/>
              <w:spacing w:before="25"/>
              <w:rPr>
                <w:sz w:val="21"/>
                <w:szCs w:val="21"/>
              </w:rPr>
            </w:pPr>
            <w:r>
              <w:rPr>
                <w:sz w:val="21"/>
                <w:szCs w:val="21"/>
              </w:rPr>
              <w:t>1</w:t>
            </w:r>
          </w:p>
        </w:tc>
        <w:tc>
          <w:tcPr>
            <w:tcW w:w="674" w:type="pct"/>
          </w:tcPr>
          <w:p w14:paraId="2DDEDD8C" w14:textId="77777777" w:rsidR="007D1E74" w:rsidRDefault="00A95641">
            <w:pPr>
              <w:pStyle w:val="TableParagraph"/>
              <w:spacing w:before="25"/>
              <w:ind w:left="231" w:right="231"/>
              <w:rPr>
                <w:sz w:val="21"/>
                <w:szCs w:val="21"/>
              </w:rPr>
            </w:pPr>
            <w:r>
              <w:rPr>
                <w:sz w:val="21"/>
                <w:szCs w:val="21"/>
              </w:rPr>
              <w:t>Sp</w:t>
            </w:r>
          </w:p>
        </w:tc>
        <w:tc>
          <w:tcPr>
            <w:tcW w:w="978" w:type="pct"/>
          </w:tcPr>
          <w:p w14:paraId="59E6032C" w14:textId="77777777" w:rsidR="007D1E74" w:rsidRDefault="00A95641">
            <w:pPr>
              <w:pStyle w:val="TableParagraph"/>
              <w:spacing w:before="25"/>
              <w:rPr>
                <w:sz w:val="21"/>
                <w:szCs w:val="21"/>
              </w:rPr>
            </w:pPr>
            <w:r>
              <w:rPr>
                <w:sz w:val="21"/>
                <w:szCs w:val="21"/>
              </w:rPr>
              <w:t>7</w:t>
            </w:r>
          </w:p>
        </w:tc>
        <w:tc>
          <w:tcPr>
            <w:tcW w:w="652" w:type="pct"/>
          </w:tcPr>
          <w:p w14:paraId="68149B7A" w14:textId="77777777" w:rsidR="007D1E74" w:rsidRDefault="00A95641">
            <w:pPr>
              <w:pStyle w:val="TableParagraph"/>
              <w:spacing w:before="25"/>
              <w:ind w:right="108"/>
              <w:rPr>
                <w:sz w:val="21"/>
                <w:szCs w:val="21"/>
              </w:rPr>
            </w:pPr>
            <w:r>
              <w:rPr>
                <w:sz w:val="21"/>
                <w:szCs w:val="21"/>
              </w:rPr>
              <w:t>3</w:t>
            </w:r>
          </w:p>
        </w:tc>
      </w:tr>
      <w:tr w:rsidR="007D1E74" w14:paraId="02A9AE57" w14:textId="77777777">
        <w:trPr>
          <w:trHeight w:hRule="exact" w:val="336"/>
        </w:trPr>
        <w:tc>
          <w:tcPr>
            <w:tcW w:w="440" w:type="pct"/>
          </w:tcPr>
          <w:p w14:paraId="2DE1C052" w14:textId="77777777" w:rsidR="007D1E74" w:rsidRDefault="00A95641">
            <w:pPr>
              <w:pStyle w:val="TableParagraph"/>
              <w:spacing w:before="25"/>
              <w:ind w:left="5"/>
              <w:rPr>
                <w:sz w:val="21"/>
                <w:szCs w:val="21"/>
              </w:rPr>
            </w:pPr>
            <w:r>
              <w:rPr>
                <w:sz w:val="21"/>
                <w:szCs w:val="21"/>
              </w:rPr>
              <w:t>7</w:t>
            </w:r>
          </w:p>
        </w:tc>
        <w:tc>
          <w:tcPr>
            <w:tcW w:w="908" w:type="pct"/>
          </w:tcPr>
          <w:p w14:paraId="489BC25C" w14:textId="77777777" w:rsidR="007D1E74" w:rsidRDefault="00A95641">
            <w:pPr>
              <w:pStyle w:val="TableParagraph"/>
              <w:spacing w:line="284" w:lineRule="exact"/>
              <w:ind w:left="103"/>
              <w:rPr>
                <w:rFonts w:ascii="宋体"/>
                <w:sz w:val="21"/>
                <w:szCs w:val="21"/>
              </w:rPr>
            </w:pPr>
            <w:r>
              <w:rPr>
                <w:rFonts w:ascii="宋体" w:hint="eastAsia"/>
                <w:sz w:val="21"/>
                <w:szCs w:val="21"/>
              </w:rPr>
              <w:t>八角枫</w:t>
            </w:r>
          </w:p>
        </w:tc>
        <w:tc>
          <w:tcPr>
            <w:tcW w:w="674" w:type="pct"/>
          </w:tcPr>
          <w:p w14:paraId="1A7C2295"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27477BD5" w14:textId="77777777" w:rsidR="007D1E74" w:rsidRDefault="00A95641">
            <w:pPr>
              <w:pStyle w:val="TableParagraph"/>
              <w:spacing w:before="25"/>
              <w:rPr>
                <w:sz w:val="21"/>
                <w:szCs w:val="21"/>
              </w:rPr>
            </w:pPr>
            <w:r>
              <w:rPr>
                <w:sz w:val="21"/>
                <w:szCs w:val="21"/>
              </w:rPr>
              <w:t>1</w:t>
            </w:r>
          </w:p>
        </w:tc>
        <w:tc>
          <w:tcPr>
            <w:tcW w:w="674" w:type="pct"/>
          </w:tcPr>
          <w:p w14:paraId="7C665BB7" w14:textId="77777777" w:rsidR="007D1E74" w:rsidRDefault="00A95641">
            <w:pPr>
              <w:pStyle w:val="TableParagraph"/>
              <w:spacing w:before="25"/>
              <w:ind w:left="231" w:right="231"/>
              <w:rPr>
                <w:sz w:val="21"/>
                <w:szCs w:val="21"/>
              </w:rPr>
            </w:pPr>
            <w:r>
              <w:rPr>
                <w:sz w:val="21"/>
                <w:szCs w:val="21"/>
              </w:rPr>
              <w:t>Ol</w:t>
            </w:r>
          </w:p>
        </w:tc>
        <w:tc>
          <w:tcPr>
            <w:tcW w:w="978" w:type="pct"/>
          </w:tcPr>
          <w:p w14:paraId="7DD9644D" w14:textId="77777777" w:rsidR="007D1E74" w:rsidRDefault="00A95641">
            <w:pPr>
              <w:pStyle w:val="TableParagraph"/>
              <w:spacing w:before="25"/>
              <w:rPr>
                <w:sz w:val="21"/>
                <w:szCs w:val="21"/>
              </w:rPr>
            </w:pPr>
            <w:r>
              <w:rPr>
                <w:sz w:val="21"/>
                <w:szCs w:val="21"/>
              </w:rPr>
              <w:t>5</w:t>
            </w:r>
          </w:p>
        </w:tc>
        <w:tc>
          <w:tcPr>
            <w:tcW w:w="652" w:type="pct"/>
          </w:tcPr>
          <w:p w14:paraId="17E9E2AC" w14:textId="77777777" w:rsidR="007D1E74" w:rsidRDefault="00A95641">
            <w:pPr>
              <w:pStyle w:val="TableParagraph"/>
              <w:spacing w:before="25"/>
              <w:ind w:right="108"/>
              <w:rPr>
                <w:sz w:val="21"/>
                <w:szCs w:val="21"/>
              </w:rPr>
            </w:pPr>
            <w:r>
              <w:rPr>
                <w:sz w:val="21"/>
                <w:szCs w:val="21"/>
              </w:rPr>
              <w:t>2</w:t>
            </w:r>
          </w:p>
        </w:tc>
      </w:tr>
      <w:tr w:rsidR="007D1E74" w14:paraId="430D6E9E" w14:textId="77777777">
        <w:trPr>
          <w:trHeight w:hRule="exact" w:val="336"/>
        </w:trPr>
        <w:tc>
          <w:tcPr>
            <w:tcW w:w="440" w:type="pct"/>
          </w:tcPr>
          <w:p w14:paraId="4291E884" w14:textId="77777777" w:rsidR="007D1E74" w:rsidRDefault="00A95641">
            <w:pPr>
              <w:pStyle w:val="TableParagraph"/>
              <w:spacing w:before="25"/>
              <w:ind w:left="5"/>
              <w:rPr>
                <w:sz w:val="21"/>
                <w:szCs w:val="21"/>
              </w:rPr>
            </w:pPr>
            <w:r>
              <w:rPr>
                <w:sz w:val="21"/>
                <w:szCs w:val="21"/>
              </w:rPr>
              <w:t>8</w:t>
            </w:r>
          </w:p>
        </w:tc>
        <w:tc>
          <w:tcPr>
            <w:tcW w:w="908" w:type="pct"/>
          </w:tcPr>
          <w:p w14:paraId="7291F089" w14:textId="77777777" w:rsidR="007D1E74" w:rsidRDefault="00A95641">
            <w:pPr>
              <w:pStyle w:val="TableParagraph"/>
              <w:spacing w:line="284" w:lineRule="exact"/>
              <w:ind w:left="103"/>
              <w:rPr>
                <w:rFonts w:ascii="宋体"/>
                <w:sz w:val="21"/>
                <w:szCs w:val="21"/>
              </w:rPr>
            </w:pPr>
            <w:r>
              <w:rPr>
                <w:rFonts w:ascii="宋体" w:hint="eastAsia"/>
                <w:sz w:val="21"/>
                <w:szCs w:val="21"/>
              </w:rPr>
              <w:t>火棘</w:t>
            </w:r>
          </w:p>
        </w:tc>
        <w:tc>
          <w:tcPr>
            <w:tcW w:w="674" w:type="pct"/>
          </w:tcPr>
          <w:p w14:paraId="63C5ADC8"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31A8AECB" w14:textId="77777777" w:rsidR="007D1E74" w:rsidRDefault="00A95641">
            <w:pPr>
              <w:pStyle w:val="TableParagraph"/>
              <w:spacing w:before="25"/>
              <w:ind w:left="102" w:right="102"/>
              <w:rPr>
                <w:sz w:val="21"/>
                <w:szCs w:val="21"/>
              </w:rPr>
            </w:pPr>
            <w:r>
              <w:rPr>
                <w:sz w:val="21"/>
                <w:szCs w:val="21"/>
              </w:rPr>
              <w:t>23</w:t>
            </w:r>
          </w:p>
        </w:tc>
        <w:tc>
          <w:tcPr>
            <w:tcW w:w="674" w:type="pct"/>
          </w:tcPr>
          <w:p w14:paraId="2F46731F" w14:textId="77777777" w:rsidR="007D1E74" w:rsidRDefault="00A95641">
            <w:pPr>
              <w:pStyle w:val="TableParagraph"/>
              <w:spacing w:before="22"/>
              <w:ind w:left="231" w:right="231"/>
              <w:rPr>
                <w:sz w:val="21"/>
                <w:szCs w:val="21"/>
              </w:rPr>
            </w:pPr>
            <w:r>
              <w:rPr>
                <w:position w:val="2"/>
                <w:sz w:val="21"/>
                <w:szCs w:val="21"/>
              </w:rPr>
              <w:t>Cop</w:t>
            </w:r>
            <w:r>
              <w:rPr>
                <w:sz w:val="21"/>
                <w:szCs w:val="21"/>
              </w:rPr>
              <w:t>1</w:t>
            </w:r>
          </w:p>
        </w:tc>
        <w:tc>
          <w:tcPr>
            <w:tcW w:w="978" w:type="pct"/>
          </w:tcPr>
          <w:p w14:paraId="3CBB29C7" w14:textId="77777777" w:rsidR="007D1E74" w:rsidRDefault="00A95641">
            <w:pPr>
              <w:pStyle w:val="TableParagraph"/>
              <w:spacing w:before="25"/>
              <w:rPr>
                <w:sz w:val="21"/>
                <w:szCs w:val="21"/>
              </w:rPr>
            </w:pPr>
            <w:r>
              <w:rPr>
                <w:sz w:val="21"/>
                <w:szCs w:val="21"/>
              </w:rPr>
              <w:t>2</w:t>
            </w:r>
          </w:p>
        </w:tc>
        <w:tc>
          <w:tcPr>
            <w:tcW w:w="652" w:type="pct"/>
          </w:tcPr>
          <w:p w14:paraId="733E9600" w14:textId="77777777" w:rsidR="007D1E74" w:rsidRDefault="00A95641">
            <w:pPr>
              <w:pStyle w:val="TableParagraph"/>
              <w:spacing w:before="25"/>
              <w:ind w:left="116" w:right="224"/>
              <w:rPr>
                <w:sz w:val="21"/>
                <w:szCs w:val="21"/>
              </w:rPr>
            </w:pPr>
            <w:r>
              <w:rPr>
                <w:sz w:val="21"/>
                <w:szCs w:val="21"/>
              </w:rPr>
              <w:t>12</w:t>
            </w:r>
          </w:p>
        </w:tc>
      </w:tr>
      <w:tr w:rsidR="007D1E74" w14:paraId="38787FFE" w14:textId="77777777">
        <w:trPr>
          <w:trHeight w:hRule="exact" w:val="336"/>
        </w:trPr>
        <w:tc>
          <w:tcPr>
            <w:tcW w:w="440" w:type="pct"/>
          </w:tcPr>
          <w:p w14:paraId="75597D89" w14:textId="77777777" w:rsidR="007D1E74" w:rsidRDefault="00A95641">
            <w:pPr>
              <w:pStyle w:val="TableParagraph"/>
              <w:spacing w:before="25"/>
              <w:ind w:left="5"/>
              <w:rPr>
                <w:sz w:val="21"/>
                <w:szCs w:val="21"/>
              </w:rPr>
            </w:pPr>
            <w:r>
              <w:rPr>
                <w:sz w:val="21"/>
                <w:szCs w:val="21"/>
              </w:rPr>
              <w:t>9</w:t>
            </w:r>
          </w:p>
        </w:tc>
        <w:tc>
          <w:tcPr>
            <w:tcW w:w="908" w:type="pct"/>
          </w:tcPr>
          <w:p w14:paraId="0531DE52" w14:textId="77777777" w:rsidR="007D1E74" w:rsidRDefault="00A95641">
            <w:pPr>
              <w:pStyle w:val="TableParagraph"/>
              <w:spacing w:line="284" w:lineRule="exact"/>
              <w:ind w:left="103"/>
              <w:rPr>
                <w:rFonts w:ascii="宋体"/>
                <w:sz w:val="21"/>
                <w:szCs w:val="21"/>
              </w:rPr>
            </w:pPr>
            <w:r>
              <w:rPr>
                <w:rFonts w:ascii="宋体" w:hint="eastAsia"/>
                <w:sz w:val="21"/>
                <w:szCs w:val="21"/>
              </w:rPr>
              <w:t>高粱泡</w:t>
            </w:r>
          </w:p>
        </w:tc>
        <w:tc>
          <w:tcPr>
            <w:tcW w:w="674" w:type="pct"/>
          </w:tcPr>
          <w:p w14:paraId="652A927B"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2D425658" w14:textId="77777777" w:rsidR="007D1E74" w:rsidRDefault="00A95641">
            <w:pPr>
              <w:pStyle w:val="TableParagraph"/>
              <w:spacing w:line="302" w:lineRule="exact"/>
              <w:ind w:left="102" w:right="102"/>
              <w:rPr>
                <w:rFonts w:ascii="宋体"/>
                <w:sz w:val="21"/>
                <w:szCs w:val="21"/>
              </w:rPr>
            </w:pPr>
            <w:r>
              <w:rPr>
                <w:sz w:val="21"/>
                <w:szCs w:val="21"/>
              </w:rPr>
              <w:t xml:space="preserve">3 </w:t>
            </w:r>
            <w:r>
              <w:rPr>
                <w:rFonts w:ascii="宋体" w:hint="eastAsia"/>
                <w:sz w:val="21"/>
                <w:szCs w:val="21"/>
              </w:rPr>
              <w:t>丛</w:t>
            </w:r>
          </w:p>
        </w:tc>
        <w:tc>
          <w:tcPr>
            <w:tcW w:w="674" w:type="pct"/>
          </w:tcPr>
          <w:p w14:paraId="64F749C1" w14:textId="77777777" w:rsidR="007D1E74" w:rsidRDefault="00A95641">
            <w:pPr>
              <w:pStyle w:val="TableParagraph"/>
              <w:spacing w:before="22"/>
              <w:ind w:left="231" w:right="231"/>
              <w:rPr>
                <w:sz w:val="21"/>
                <w:szCs w:val="21"/>
              </w:rPr>
            </w:pPr>
            <w:r>
              <w:rPr>
                <w:position w:val="2"/>
                <w:sz w:val="21"/>
                <w:szCs w:val="21"/>
              </w:rPr>
              <w:t>Cop</w:t>
            </w:r>
            <w:r>
              <w:rPr>
                <w:sz w:val="21"/>
                <w:szCs w:val="21"/>
              </w:rPr>
              <w:t>1</w:t>
            </w:r>
          </w:p>
        </w:tc>
        <w:tc>
          <w:tcPr>
            <w:tcW w:w="978" w:type="pct"/>
          </w:tcPr>
          <w:p w14:paraId="7DD55E81" w14:textId="77777777" w:rsidR="007D1E74" w:rsidRDefault="00A95641">
            <w:pPr>
              <w:pStyle w:val="TableParagraph"/>
              <w:spacing w:before="25"/>
              <w:ind w:left="241" w:right="241"/>
              <w:rPr>
                <w:sz w:val="21"/>
                <w:szCs w:val="21"/>
              </w:rPr>
            </w:pPr>
            <w:r>
              <w:rPr>
                <w:sz w:val="21"/>
                <w:szCs w:val="21"/>
              </w:rPr>
              <w:t>1.4</w:t>
            </w:r>
          </w:p>
        </w:tc>
        <w:tc>
          <w:tcPr>
            <w:tcW w:w="652" w:type="pct"/>
          </w:tcPr>
          <w:p w14:paraId="7D97828E" w14:textId="77777777" w:rsidR="007D1E74" w:rsidRDefault="00A95641">
            <w:pPr>
              <w:pStyle w:val="TableParagraph"/>
              <w:spacing w:before="25"/>
              <w:ind w:left="116" w:right="224"/>
              <w:rPr>
                <w:sz w:val="21"/>
                <w:szCs w:val="21"/>
              </w:rPr>
            </w:pPr>
            <w:r>
              <w:rPr>
                <w:sz w:val="21"/>
                <w:szCs w:val="21"/>
              </w:rPr>
              <w:t>12</w:t>
            </w:r>
          </w:p>
        </w:tc>
      </w:tr>
      <w:tr w:rsidR="007D1E74" w14:paraId="29CD3C86" w14:textId="77777777">
        <w:trPr>
          <w:trHeight w:hRule="exact" w:val="336"/>
        </w:trPr>
        <w:tc>
          <w:tcPr>
            <w:tcW w:w="440" w:type="pct"/>
          </w:tcPr>
          <w:p w14:paraId="01D2F73D" w14:textId="77777777" w:rsidR="007D1E74" w:rsidRDefault="00A95641">
            <w:pPr>
              <w:pStyle w:val="TableParagraph"/>
              <w:spacing w:before="25"/>
              <w:ind w:left="109" w:right="104"/>
              <w:rPr>
                <w:sz w:val="21"/>
                <w:szCs w:val="21"/>
              </w:rPr>
            </w:pPr>
            <w:r>
              <w:rPr>
                <w:sz w:val="21"/>
                <w:szCs w:val="21"/>
              </w:rPr>
              <w:t>10</w:t>
            </w:r>
          </w:p>
        </w:tc>
        <w:tc>
          <w:tcPr>
            <w:tcW w:w="908" w:type="pct"/>
          </w:tcPr>
          <w:p w14:paraId="156388F9" w14:textId="77777777" w:rsidR="007D1E74" w:rsidRDefault="00A95641">
            <w:pPr>
              <w:pStyle w:val="TableParagraph"/>
              <w:spacing w:line="284" w:lineRule="exact"/>
              <w:ind w:left="103"/>
              <w:rPr>
                <w:rFonts w:ascii="宋体"/>
                <w:sz w:val="21"/>
                <w:szCs w:val="21"/>
              </w:rPr>
            </w:pPr>
            <w:r>
              <w:rPr>
                <w:rFonts w:ascii="宋体" w:hint="eastAsia"/>
                <w:sz w:val="21"/>
                <w:szCs w:val="21"/>
              </w:rPr>
              <w:t>黄荆</w:t>
            </w:r>
          </w:p>
        </w:tc>
        <w:tc>
          <w:tcPr>
            <w:tcW w:w="674" w:type="pct"/>
          </w:tcPr>
          <w:p w14:paraId="268A7993"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2966C0F7" w14:textId="77777777" w:rsidR="007D1E74" w:rsidRDefault="00A95641">
            <w:pPr>
              <w:pStyle w:val="TableParagraph"/>
              <w:spacing w:before="25"/>
              <w:rPr>
                <w:sz w:val="21"/>
                <w:szCs w:val="21"/>
              </w:rPr>
            </w:pPr>
            <w:r>
              <w:rPr>
                <w:sz w:val="21"/>
                <w:szCs w:val="21"/>
              </w:rPr>
              <w:t>5</w:t>
            </w:r>
          </w:p>
        </w:tc>
        <w:tc>
          <w:tcPr>
            <w:tcW w:w="674" w:type="pct"/>
          </w:tcPr>
          <w:p w14:paraId="66057EEC" w14:textId="77777777" w:rsidR="007D1E74" w:rsidRDefault="00A95641">
            <w:pPr>
              <w:pStyle w:val="TableParagraph"/>
              <w:spacing w:before="25"/>
              <w:ind w:left="231" w:right="231"/>
              <w:rPr>
                <w:sz w:val="21"/>
                <w:szCs w:val="21"/>
              </w:rPr>
            </w:pPr>
            <w:r>
              <w:rPr>
                <w:sz w:val="21"/>
                <w:szCs w:val="21"/>
              </w:rPr>
              <w:t>Sp</w:t>
            </w:r>
          </w:p>
        </w:tc>
        <w:tc>
          <w:tcPr>
            <w:tcW w:w="978" w:type="pct"/>
          </w:tcPr>
          <w:p w14:paraId="7BE3109A" w14:textId="77777777" w:rsidR="007D1E74" w:rsidRDefault="00A95641">
            <w:pPr>
              <w:pStyle w:val="TableParagraph"/>
              <w:spacing w:before="25"/>
              <w:ind w:left="241" w:right="241"/>
              <w:rPr>
                <w:sz w:val="21"/>
                <w:szCs w:val="21"/>
              </w:rPr>
            </w:pPr>
            <w:r>
              <w:rPr>
                <w:sz w:val="21"/>
                <w:szCs w:val="21"/>
              </w:rPr>
              <w:t>1.4</w:t>
            </w:r>
          </w:p>
        </w:tc>
        <w:tc>
          <w:tcPr>
            <w:tcW w:w="652" w:type="pct"/>
          </w:tcPr>
          <w:p w14:paraId="5100E13A" w14:textId="77777777" w:rsidR="007D1E74" w:rsidRDefault="00A95641">
            <w:pPr>
              <w:pStyle w:val="TableParagraph"/>
              <w:spacing w:before="25"/>
              <w:ind w:right="108"/>
              <w:rPr>
                <w:sz w:val="21"/>
                <w:szCs w:val="21"/>
              </w:rPr>
            </w:pPr>
            <w:r>
              <w:rPr>
                <w:sz w:val="21"/>
                <w:szCs w:val="21"/>
              </w:rPr>
              <w:t>5</w:t>
            </w:r>
          </w:p>
        </w:tc>
      </w:tr>
      <w:tr w:rsidR="007D1E74" w14:paraId="2CAA24B1" w14:textId="77777777">
        <w:trPr>
          <w:trHeight w:hRule="exact" w:val="336"/>
        </w:trPr>
        <w:tc>
          <w:tcPr>
            <w:tcW w:w="440" w:type="pct"/>
          </w:tcPr>
          <w:p w14:paraId="41979AF9" w14:textId="77777777" w:rsidR="007D1E74" w:rsidRDefault="00A95641">
            <w:pPr>
              <w:pStyle w:val="TableParagraph"/>
              <w:spacing w:before="25"/>
              <w:ind w:left="109" w:right="104"/>
              <w:rPr>
                <w:sz w:val="21"/>
                <w:szCs w:val="21"/>
              </w:rPr>
            </w:pPr>
            <w:r>
              <w:rPr>
                <w:sz w:val="21"/>
                <w:szCs w:val="21"/>
              </w:rPr>
              <w:t>11</w:t>
            </w:r>
          </w:p>
        </w:tc>
        <w:tc>
          <w:tcPr>
            <w:tcW w:w="908" w:type="pct"/>
          </w:tcPr>
          <w:p w14:paraId="7021286F" w14:textId="77777777" w:rsidR="007D1E74" w:rsidRDefault="00A95641">
            <w:pPr>
              <w:pStyle w:val="TableParagraph"/>
              <w:spacing w:line="284" w:lineRule="exact"/>
              <w:ind w:left="103"/>
              <w:rPr>
                <w:rFonts w:ascii="宋体"/>
                <w:sz w:val="21"/>
                <w:szCs w:val="21"/>
              </w:rPr>
            </w:pPr>
            <w:r>
              <w:rPr>
                <w:rFonts w:ascii="宋体" w:hint="eastAsia"/>
                <w:sz w:val="21"/>
                <w:szCs w:val="21"/>
              </w:rPr>
              <w:t>铁仔</w:t>
            </w:r>
          </w:p>
        </w:tc>
        <w:tc>
          <w:tcPr>
            <w:tcW w:w="674" w:type="pct"/>
          </w:tcPr>
          <w:p w14:paraId="43190C55"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32FAE2D6" w14:textId="77777777" w:rsidR="007D1E74" w:rsidRDefault="00A95641">
            <w:pPr>
              <w:pStyle w:val="TableParagraph"/>
              <w:spacing w:before="25"/>
              <w:ind w:left="102" w:right="102"/>
              <w:rPr>
                <w:sz w:val="21"/>
                <w:szCs w:val="21"/>
              </w:rPr>
            </w:pPr>
            <w:r>
              <w:rPr>
                <w:sz w:val="21"/>
                <w:szCs w:val="21"/>
              </w:rPr>
              <w:t>15</w:t>
            </w:r>
          </w:p>
        </w:tc>
        <w:tc>
          <w:tcPr>
            <w:tcW w:w="674" w:type="pct"/>
          </w:tcPr>
          <w:p w14:paraId="5DDCE9EE" w14:textId="77777777" w:rsidR="007D1E74" w:rsidRDefault="00A95641">
            <w:pPr>
              <w:pStyle w:val="TableParagraph"/>
              <w:spacing w:before="25"/>
              <w:ind w:left="231" w:right="231"/>
              <w:rPr>
                <w:sz w:val="21"/>
                <w:szCs w:val="21"/>
              </w:rPr>
            </w:pPr>
            <w:r>
              <w:rPr>
                <w:sz w:val="21"/>
                <w:szCs w:val="21"/>
              </w:rPr>
              <w:t>Sp</w:t>
            </w:r>
          </w:p>
        </w:tc>
        <w:tc>
          <w:tcPr>
            <w:tcW w:w="978" w:type="pct"/>
          </w:tcPr>
          <w:p w14:paraId="7F074685" w14:textId="77777777" w:rsidR="007D1E74" w:rsidRDefault="00A95641">
            <w:pPr>
              <w:pStyle w:val="TableParagraph"/>
              <w:spacing w:before="25"/>
              <w:ind w:left="241" w:right="241"/>
              <w:rPr>
                <w:sz w:val="21"/>
                <w:szCs w:val="21"/>
              </w:rPr>
            </w:pPr>
            <w:r>
              <w:rPr>
                <w:sz w:val="21"/>
                <w:szCs w:val="21"/>
              </w:rPr>
              <w:t>1.1</w:t>
            </w:r>
          </w:p>
        </w:tc>
        <w:tc>
          <w:tcPr>
            <w:tcW w:w="652" w:type="pct"/>
          </w:tcPr>
          <w:p w14:paraId="55294E35" w14:textId="77777777" w:rsidR="007D1E74" w:rsidRDefault="00A95641">
            <w:pPr>
              <w:pStyle w:val="TableParagraph"/>
              <w:spacing w:before="25"/>
              <w:ind w:right="108"/>
              <w:rPr>
                <w:sz w:val="21"/>
                <w:szCs w:val="21"/>
              </w:rPr>
            </w:pPr>
            <w:r>
              <w:rPr>
                <w:sz w:val="21"/>
                <w:szCs w:val="21"/>
              </w:rPr>
              <w:t>5</w:t>
            </w:r>
          </w:p>
        </w:tc>
      </w:tr>
      <w:tr w:rsidR="007D1E74" w14:paraId="0BB8EAD1" w14:textId="77777777">
        <w:trPr>
          <w:trHeight w:hRule="exact" w:val="336"/>
        </w:trPr>
        <w:tc>
          <w:tcPr>
            <w:tcW w:w="440" w:type="pct"/>
          </w:tcPr>
          <w:p w14:paraId="164E6130" w14:textId="77777777" w:rsidR="007D1E74" w:rsidRDefault="00A95641">
            <w:pPr>
              <w:pStyle w:val="TableParagraph"/>
              <w:spacing w:before="25"/>
              <w:ind w:left="109" w:right="104"/>
              <w:rPr>
                <w:sz w:val="21"/>
                <w:szCs w:val="21"/>
              </w:rPr>
            </w:pPr>
            <w:r>
              <w:rPr>
                <w:sz w:val="21"/>
                <w:szCs w:val="21"/>
              </w:rPr>
              <w:t>12</w:t>
            </w:r>
          </w:p>
        </w:tc>
        <w:tc>
          <w:tcPr>
            <w:tcW w:w="908" w:type="pct"/>
          </w:tcPr>
          <w:p w14:paraId="57F31B78" w14:textId="77777777" w:rsidR="007D1E74" w:rsidRDefault="00A95641">
            <w:pPr>
              <w:pStyle w:val="TableParagraph"/>
              <w:spacing w:line="284" w:lineRule="exact"/>
              <w:ind w:left="103"/>
              <w:rPr>
                <w:rFonts w:ascii="宋体"/>
                <w:sz w:val="21"/>
                <w:szCs w:val="21"/>
              </w:rPr>
            </w:pPr>
            <w:r>
              <w:rPr>
                <w:rFonts w:ascii="宋体" w:hint="eastAsia"/>
                <w:sz w:val="21"/>
                <w:szCs w:val="21"/>
              </w:rPr>
              <w:t>野青茅</w:t>
            </w:r>
          </w:p>
        </w:tc>
        <w:tc>
          <w:tcPr>
            <w:tcW w:w="674" w:type="pct"/>
          </w:tcPr>
          <w:p w14:paraId="2471AACE"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37B25D01" w14:textId="77777777" w:rsidR="007D1E74" w:rsidRDefault="00A95641">
            <w:pPr>
              <w:pStyle w:val="TableParagraph"/>
              <w:spacing w:line="302" w:lineRule="exact"/>
              <w:ind w:left="102" w:right="102"/>
              <w:rPr>
                <w:rFonts w:ascii="宋体"/>
                <w:sz w:val="21"/>
                <w:szCs w:val="21"/>
              </w:rPr>
            </w:pPr>
            <w:r>
              <w:rPr>
                <w:sz w:val="21"/>
                <w:szCs w:val="21"/>
              </w:rPr>
              <w:t xml:space="preserve">6 </w:t>
            </w:r>
            <w:r>
              <w:rPr>
                <w:rFonts w:ascii="宋体" w:hint="eastAsia"/>
                <w:sz w:val="21"/>
                <w:szCs w:val="21"/>
              </w:rPr>
              <w:t>丛</w:t>
            </w:r>
          </w:p>
        </w:tc>
        <w:tc>
          <w:tcPr>
            <w:tcW w:w="674" w:type="pct"/>
          </w:tcPr>
          <w:p w14:paraId="50A6C3BB" w14:textId="77777777" w:rsidR="007D1E74" w:rsidRDefault="00A95641">
            <w:pPr>
              <w:pStyle w:val="TableParagraph"/>
              <w:spacing w:before="22"/>
              <w:ind w:left="231" w:right="231"/>
              <w:rPr>
                <w:sz w:val="21"/>
                <w:szCs w:val="21"/>
              </w:rPr>
            </w:pPr>
            <w:r>
              <w:rPr>
                <w:position w:val="2"/>
                <w:sz w:val="21"/>
                <w:szCs w:val="21"/>
              </w:rPr>
              <w:t>Cop</w:t>
            </w:r>
            <w:r>
              <w:rPr>
                <w:sz w:val="21"/>
                <w:szCs w:val="21"/>
              </w:rPr>
              <w:t>1</w:t>
            </w:r>
          </w:p>
        </w:tc>
        <w:tc>
          <w:tcPr>
            <w:tcW w:w="978" w:type="pct"/>
          </w:tcPr>
          <w:p w14:paraId="28AFCB01" w14:textId="77777777" w:rsidR="007D1E74" w:rsidRDefault="00A95641">
            <w:pPr>
              <w:pStyle w:val="TableParagraph"/>
              <w:spacing w:before="25"/>
              <w:ind w:left="241" w:right="241"/>
              <w:rPr>
                <w:sz w:val="21"/>
                <w:szCs w:val="21"/>
              </w:rPr>
            </w:pPr>
            <w:r>
              <w:rPr>
                <w:sz w:val="21"/>
                <w:szCs w:val="21"/>
              </w:rPr>
              <w:t>0.55</w:t>
            </w:r>
          </w:p>
        </w:tc>
        <w:tc>
          <w:tcPr>
            <w:tcW w:w="652" w:type="pct"/>
          </w:tcPr>
          <w:p w14:paraId="7B0BB8AE" w14:textId="77777777" w:rsidR="007D1E74" w:rsidRDefault="00A95641">
            <w:pPr>
              <w:pStyle w:val="TableParagraph"/>
              <w:spacing w:before="25"/>
              <w:ind w:left="116" w:right="224"/>
              <w:rPr>
                <w:sz w:val="21"/>
                <w:szCs w:val="21"/>
              </w:rPr>
            </w:pPr>
            <w:r>
              <w:rPr>
                <w:sz w:val="21"/>
                <w:szCs w:val="21"/>
              </w:rPr>
              <w:t>12</w:t>
            </w:r>
          </w:p>
        </w:tc>
      </w:tr>
      <w:tr w:rsidR="007D1E74" w14:paraId="78412A84" w14:textId="77777777">
        <w:trPr>
          <w:trHeight w:hRule="exact" w:val="336"/>
        </w:trPr>
        <w:tc>
          <w:tcPr>
            <w:tcW w:w="440" w:type="pct"/>
          </w:tcPr>
          <w:p w14:paraId="5015144A" w14:textId="77777777" w:rsidR="007D1E74" w:rsidRDefault="00A95641">
            <w:pPr>
              <w:pStyle w:val="TableParagraph"/>
              <w:spacing w:before="26"/>
              <w:ind w:left="109" w:right="104"/>
              <w:rPr>
                <w:sz w:val="21"/>
                <w:szCs w:val="21"/>
              </w:rPr>
            </w:pPr>
            <w:r>
              <w:rPr>
                <w:sz w:val="21"/>
                <w:szCs w:val="21"/>
              </w:rPr>
              <w:t>13</w:t>
            </w:r>
          </w:p>
        </w:tc>
        <w:tc>
          <w:tcPr>
            <w:tcW w:w="908" w:type="pct"/>
          </w:tcPr>
          <w:p w14:paraId="53B835D8" w14:textId="77777777" w:rsidR="007D1E74" w:rsidRDefault="00A95641">
            <w:pPr>
              <w:pStyle w:val="TableParagraph"/>
              <w:spacing w:line="284" w:lineRule="exact"/>
              <w:ind w:left="103"/>
              <w:rPr>
                <w:rFonts w:ascii="宋体"/>
                <w:sz w:val="21"/>
                <w:szCs w:val="21"/>
              </w:rPr>
            </w:pPr>
            <w:r>
              <w:rPr>
                <w:rFonts w:ascii="宋体" w:hint="eastAsia"/>
                <w:sz w:val="21"/>
                <w:szCs w:val="21"/>
              </w:rPr>
              <w:t>褐果苔草等</w:t>
            </w:r>
          </w:p>
        </w:tc>
        <w:tc>
          <w:tcPr>
            <w:tcW w:w="674" w:type="pct"/>
          </w:tcPr>
          <w:p w14:paraId="5CF68CF0"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7989BB7C" w14:textId="77777777" w:rsidR="007D1E74" w:rsidRDefault="00A95641">
            <w:pPr>
              <w:pStyle w:val="TableParagraph"/>
              <w:spacing w:before="26"/>
              <w:ind w:left="102" w:right="102"/>
              <w:rPr>
                <w:sz w:val="21"/>
                <w:szCs w:val="21"/>
              </w:rPr>
            </w:pPr>
            <w:r>
              <w:rPr>
                <w:sz w:val="21"/>
                <w:szCs w:val="21"/>
              </w:rPr>
              <w:t>15</w:t>
            </w:r>
          </w:p>
        </w:tc>
        <w:tc>
          <w:tcPr>
            <w:tcW w:w="674" w:type="pct"/>
          </w:tcPr>
          <w:p w14:paraId="33EA7E42" w14:textId="77777777" w:rsidR="007D1E74" w:rsidRDefault="00A95641">
            <w:pPr>
              <w:pStyle w:val="TableParagraph"/>
              <w:spacing w:before="26"/>
              <w:ind w:left="231" w:right="231"/>
              <w:rPr>
                <w:sz w:val="21"/>
                <w:szCs w:val="21"/>
              </w:rPr>
            </w:pPr>
            <w:r>
              <w:rPr>
                <w:sz w:val="21"/>
                <w:szCs w:val="21"/>
              </w:rPr>
              <w:t>Sp</w:t>
            </w:r>
          </w:p>
        </w:tc>
        <w:tc>
          <w:tcPr>
            <w:tcW w:w="978" w:type="pct"/>
          </w:tcPr>
          <w:p w14:paraId="45FA6758" w14:textId="77777777" w:rsidR="007D1E74" w:rsidRDefault="00A95641">
            <w:pPr>
              <w:pStyle w:val="TableParagraph"/>
              <w:spacing w:before="26"/>
              <w:ind w:left="241" w:right="241"/>
              <w:rPr>
                <w:sz w:val="21"/>
                <w:szCs w:val="21"/>
              </w:rPr>
            </w:pPr>
            <w:r>
              <w:rPr>
                <w:sz w:val="21"/>
                <w:szCs w:val="21"/>
              </w:rPr>
              <w:t>0.4</w:t>
            </w:r>
          </w:p>
        </w:tc>
        <w:tc>
          <w:tcPr>
            <w:tcW w:w="652" w:type="pct"/>
          </w:tcPr>
          <w:p w14:paraId="325B6BBE" w14:textId="77777777" w:rsidR="007D1E74" w:rsidRDefault="00A95641">
            <w:pPr>
              <w:pStyle w:val="TableParagraph"/>
              <w:spacing w:before="26"/>
              <w:rPr>
                <w:sz w:val="21"/>
                <w:szCs w:val="21"/>
              </w:rPr>
            </w:pPr>
            <w:r>
              <w:rPr>
                <w:sz w:val="21"/>
                <w:szCs w:val="21"/>
              </w:rPr>
              <w:t>5</w:t>
            </w:r>
          </w:p>
        </w:tc>
      </w:tr>
      <w:tr w:rsidR="007D1E74" w14:paraId="1EC8E322" w14:textId="77777777">
        <w:trPr>
          <w:trHeight w:hRule="exact" w:val="336"/>
        </w:trPr>
        <w:tc>
          <w:tcPr>
            <w:tcW w:w="440" w:type="pct"/>
          </w:tcPr>
          <w:p w14:paraId="770909A1" w14:textId="77777777" w:rsidR="007D1E74" w:rsidRDefault="00A95641">
            <w:pPr>
              <w:pStyle w:val="TableParagraph"/>
              <w:spacing w:before="25"/>
              <w:ind w:left="109" w:right="104"/>
              <w:rPr>
                <w:sz w:val="21"/>
                <w:szCs w:val="21"/>
              </w:rPr>
            </w:pPr>
            <w:r>
              <w:rPr>
                <w:sz w:val="21"/>
                <w:szCs w:val="21"/>
              </w:rPr>
              <w:t>14</w:t>
            </w:r>
          </w:p>
        </w:tc>
        <w:tc>
          <w:tcPr>
            <w:tcW w:w="908" w:type="pct"/>
          </w:tcPr>
          <w:p w14:paraId="30C3531C" w14:textId="77777777" w:rsidR="007D1E74" w:rsidRDefault="00A95641">
            <w:pPr>
              <w:pStyle w:val="TableParagraph"/>
              <w:spacing w:line="284" w:lineRule="exact"/>
              <w:ind w:left="103"/>
              <w:rPr>
                <w:rFonts w:ascii="宋体"/>
                <w:sz w:val="21"/>
                <w:szCs w:val="21"/>
              </w:rPr>
            </w:pPr>
            <w:r>
              <w:rPr>
                <w:rFonts w:ascii="宋体" w:hint="eastAsia"/>
                <w:sz w:val="21"/>
                <w:szCs w:val="21"/>
              </w:rPr>
              <w:t>棕叶狗尾草</w:t>
            </w:r>
          </w:p>
        </w:tc>
        <w:tc>
          <w:tcPr>
            <w:tcW w:w="674" w:type="pct"/>
          </w:tcPr>
          <w:p w14:paraId="5058291F"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612E5CD5" w14:textId="77777777" w:rsidR="007D1E74" w:rsidRDefault="00A95641">
            <w:pPr>
              <w:pStyle w:val="TableParagraph"/>
              <w:spacing w:before="25"/>
              <w:rPr>
                <w:sz w:val="21"/>
                <w:szCs w:val="21"/>
              </w:rPr>
            </w:pPr>
            <w:r>
              <w:rPr>
                <w:sz w:val="21"/>
                <w:szCs w:val="21"/>
              </w:rPr>
              <w:t>6</w:t>
            </w:r>
          </w:p>
        </w:tc>
        <w:tc>
          <w:tcPr>
            <w:tcW w:w="674" w:type="pct"/>
          </w:tcPr>
          <w:p w14:paraId="4AAC37A9" w14:textId="77777777" w:rsidR="007D1E74" w:rsidRDefault="00A95641">
            <w:pPr>
              <w:pStyle w:val="TableParagraph"/>
              <w:spacing w:before="25"/>
              <w:ind w:left="231" w:right="231"/>
              <w:rPr>
                <w:sz w:val="21"/>
                <w:szCs w:val="21"/>
              </w:rPr>
            </w:pPr>
            <w:r>
              <w:rPr>
                <w:sz w:val="21"/>
                <w:szCs w:val="21"/>
              </w:rPr>
              <w:t>Sp</w:t>
            </w:r>
          </w:p>
        </w:tc>
        <w:tc>
          <w:tcPr>
            <w:tcW w:w="978" w:type="pct"/>
          </w:tcPr>
          <w:p w14:paraId="4BE037E5" w14:textId="77777777" w:rsidR="007D1E74" w:rsidRDefault="00A95641">
            <w:pPr>
              <w:pStyle w:val="TableParagraph"/>
              <w:spacing w:before="25"/>
              <w:ind w:left="241" w:right="241"/>
              <w:rPr>
                <w:sz w:val="21"/>
                <w:szCs w:val="21"/>
              </w:rPr>
            </w:pPr>
            <w:r>
              <w:rPr>
                <w:sz w:val="21"/>
                <w:szCs w:val="21"/>
              </w:rPr>
              <w:t>1.4</w:t>
            </w:r>
          </w:p>
        </w:tc>
        <w:tc>
          <w:tcPr>
            <w:tcW w:w="652" w:type="pct"/>
          </w:tcPr>
          <w:p w14:paraId="73CD1C70" w14:textId="77777777" w:rsidR="007D1E74" w:rsidRDefault="00A95641">
            <w:pPr>
              <w:pStyle w:val="TableParagraph"/>
              <w:spacing w:before="25"/>
              <w:rPr>
                <w:sz w:val="21"/>
                <w:szCs w:val="21"/>
              </w:rPr>
            </w:pPr>
            <w:r>
              <w:rPr>
                <w:sz w:val="21"/>
                <w:szCs w:val="21"/>
              </w:rPr>
              <w:t>5</w:t>
            </w:r>
          </w:p>
        </w:tc>
      </w:tr>
      <w:tr w:rsidR="007D1E74" w14:paraId="27109B19" w14:textId="77777777">
        <w:trPr>
          <w:trHeight w:hRule="exact" w:val="336"/>
        </w:trPr>
        <w:tc>
          <w:tcPr>
            <w:tcW w:w="440" w:type="pct"/>
          </w:tcPr>
          <w:p w14:paraId="1BBE5F4D" w14:textId="77777777" w:rsidR="007D1E74" w:rsidRDefault="00A95641">
            <w:pPr>
              <w:pStyle w:val="TableParagraph"/>
              <w:spacing w:before="25"/>
              <w:ind w:left="109" w:right="104"/>
              <w:rPr>
                <w:sz w:val="21"/>
                <w:szCs w:val="21"/>
              </w:rPr>
            </w:pPr>
            <w:r>
              <w:rPr>
                <w:sz w:val="21"/>
                <w:szCs w:val="21"/>
              </w:rPr>
              <w:t>15</w:t>
            </w:r>
          </w:p>
        </w:tc>
        <w:tc>
          <w:tcPr>
            <w:tcW w:w="908" w:type="pct"/>
          </w:tcPr>
          <w:p w14:paraId="715ADF8A" w14:textId="77777777" w:rsidR="007D1E74" w:rsidRDefault="00A95641">
            <w:pPr>
              <w:pStyle w:val="TableParagraph"/>
              <w:spacing w:line="284" w:lineRule="exact"/>
              <w:ind w:left="103"/>
              <w:rPr>
                <w:rFonts w:ascii="宋体"/>
                <w:sz w:val="21"/>
                <w:szCs w:val="21"/>
              </w:rPr>
            </w:pPr>
            <w:r>
              <w:rPr>
                <w:rFonts w:ascii="宋体" w:hint="eastAsia"/>
                <w:sz w:val="21"/>
                <w:szCs w:val="21"/>
              </w:rPr>
              <w:t>芒</w:t>
            </w:r>
          </w:p>
        </w:tc>
        <w:tc>
          <w:tcPr>
            <w:tcW w:w="674" w:type="pct"/>
          </w:tcPr>
          <w:p w14:paraId="463EB7C7"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6F1D36DD" w14:textId="77777777" w:rsidR="007D1E74" w:rsidRDefault="00A95641">
            <w:pPr>
              <w:pStyle w:val="TableParagraph"/>
              <w:spacing w:before="25"/>
              <w:rPr>
                <w:sz w:val="21"/>
                <w:szCs w:val="21"/>
              </w:rPr>
            </w:pPr>
            <w:r>
              <w:rPr>
                <w:sz w:val="21"/>
                <w:szCs w:val="21"/>
              </w:rPr>
              <w:t>6</w:t>
            </w:r>
          </w:p>
        </w:tc>
        <w:tc>
          <w:tcPr>
            <w:tcW w:w="674" w:type="pct"/>
          </w:tcPr>
          <w:p w14:paraId="4ECEB9DD" w14:textId="77777777" w:rsidR="007D1E74" w:rsidRDefault="00A95641">
            <w:pPr>
              <w:pStyle w:val="TableParagraph"/>
              <w:spacing w:before="25"/>
              <w:ind w:left="231" w:right="231"/>
              <w:rPr>
                <w:sz w:val="21"/>
                <w:szCs w:val="21"/>
              </w:rPr>
            </w:pPr>
            <w:r>
              <w:rPr>
                <w:sz w:val="21"/>
                <w:szCs w:val="21"/>
              </w:rPr>
              <w:t>Ol</w:t>
            </w:r>
          </w:p>
        </w:tc>
        <w:tc>
          <w:tcPr>
            <w:tcW w:w="978" w:type="pct"/>
          </w:tcPr>
          <w:p w14:paraId="6BBD3D9B" w14:textId="77777777" w:rsidR="007D1E74" w:rsidRDefault="00A95641">
            <w:pPr>
              <w:pStyle w:val="TableParagraph"/>
              <w:spacing w:before="25"/>
              <w:ind w:left="241" w:right="241"/>
              <w:rPr>
                <w:sz w:val="21"/>
                <w:szCs w:val="21"/>
              </w:rPr>
            </w:pPr>
            <w:r>
              <w:rPr>
                <w:sz w:val="21"/>
                <w:szCs w:val="21"/>
              </w:rPr>
              <w:t>2.2</w:t>
            </w:r>
          </w:p>
        </w:tc>
        <w:tc>
          <w:tcPr>
            <w:tcW w:w="652" w:type="pct"/>
          </w:tcPr>
          <w:p w14:paraId="55F159D8" w14:textId="77777777" w:rsidR="007D1E74" w:rsidRDefault="00A95641">
            <w:pPr>
              <w:pStyle w:val="TableParagraph"/>
              <w:spacing w:before="25"/>
              <w:rPr>
                <w:sz w:val="21"/>
                <w:szCs w:val="21"/>
              </w:rPr>
            </w:pPr>
            <w:r>
              <w:rPr>
                <w:sz w:val="21"/>
                <w:szCs w:val="21"/>
              </w:rPr>
              <w:t>4</w:t>
            </w:r>
          </w:p>
        </w:tc>
      </w:tr>
      <w:tr w:rsidR="007D1E74" w14:paraId="2AEA75E9" w14:textId="77777777">
        <w:trPr>
          <w:trHeight w:hRule="exact" w:val="336"/>
        </w:trPr>
        <w:tc>
          <w:tcPr>
            <w:tcW w:w="440" w:type="pct"/>
          </w:tcPr>
          <w:p w14:paraId="431AC993" w14:textId="77777777" w:rsidR="007D1E74" w:rsidRDefault="00A95641">
            <w:pPr>
              <w:pStyle w:val="TableParagraph"/>
              <w:spacing w:before="25"/>
              <w:ind w:left="109" w:right="104"/>
              <w:rPr>
                <w:sz w:val="21"/>
                <w:szCs w:val="21"/>
              </w:rPr>
            </w:pPr>
            <w:r>
              <w:rPr>
                <w:sz w:val="21"/>
                <w:szCs w:val="21"/>
              </w:rPr>
              <w:t>16</w:t>
            </w:r>
          </w:p>
        </w:tc>
        <w:tc>
          <w:tcPr>
            <w:tcW w:w="908" w:type="pct"/>
          </w:tcPr>
          <w:p w14:paraId="75B3EEC8" w14:textId="77777777" w:rsidR="007D1E74" w:rsidRDefault="00A95641">
            <w:pPr>
              <w:pStyle w:val="TableParagraph"/>
              <w:spacing w:line="284" w:lineRule="exact"/>
              <w:ind w:left="103"/>
              <w:rPr>
                <w:rFonts w:ascii="宋体"/>
                <w:sz w:val="21"/>
                <w:szCs w:val="21"/>
              </w:rPr>
            </w:pPr>
            <w:r>
              <w:rPr>
                <w:rFonts w:ascii="宋体" w:hint="eastAsia"/>
                <w:sz w:val="21"/>
                <w:szCs w:val="21"/>
              </w:rPr>
              <w:t>毛茛</w:t>
            </w:r>
          </w:p>
        </w:tc>
        <w:tc>
          <w:tcPr>
            <w:tcW w:w="674" w:type="pct"/>
          </w:tcPr>
          <w:p w14:paraId="12DC5B75" w14:textId="77777777" w:rsidR="007D1E74" w:rsidRDefault="00A95641">
            <w:pPr>
              <w:pStyle w:val="TableParagraph"/>
              <w:spacing w:line="284" w:lineRule="exact"/>
              <w:ind w:left="103"/>
              <w:rPr>
                <w:rFonts w:ascii="宋体"/>
                <w:sz w:val="21"/>
                <w:szCs w:val="21"/>
              </w:rPr>
            </w:pPr>
            <w:r>
              <w:rPr>
                <w:rFonts w:ascii="宋体" w:hint="eastAsia"/>
                <w:sz w:val="21"/>
                <w:szCs w:val="21"/>
              </w:rPr>
              <w:t>花期</w:t>
            </w:r>
          </w:p>
        </w:tc>
        <w:tc>
          <w:tcPr>
            <w:tcW w:w="674" w:type="pct"/>
          </w:tcPr>
          <w:p w14:paraId="2AAD4117" w14:textId="77777777" w:rsidR="007D1E74" w:rsidRDefault="00A95641">
            <w:pPr>
              <w:pStyle w:val="TableParagraph"/>
              <w:spacing w:before="25"/>
              <w:ind w:left="102" w:right="102"/>
              <w:rPr>
                <w:sz w:val="21"/>
                <w:szCs w:val="21"/>
              </w:rPr>
            </w:pPr>
            <w:r>
              <w:rPr>
                <w:sz w:val="21"/>
                <w:szCs w:val="21"/>
              </w:rPr>
              <w:t>22</w:t>
            </w:r>
          </w:p>
        </w:tc>
        <w:tc>
          <w:tcPr>
            <w:tcW w:w="674" w:type="pct"/>
          </w:tcPr>
          <w:p w14:paraId="53A6E1ED" w14:textId="77777777" w:rsidR="007D1E74" w:rsidRDefault="00A95641">
            <w:pPr>
              <w:pStyle w:val="TableParagraph"/>
              <w:spacing w:before="25"/>
              <w:ind w:left="231" w:right="231"/>
              <w:rPr>
                <w:sz w:val="21"/>
                <w:szCs w:val="21"/>
              </w:rPr>
            </w:pPr>
            <w:r>
              <w:rPr>
                <w:sz w:val="21"/>
                <w:szCs w:val="21"/>
              </w:rPr>
              <w:t>Ol</w:t>
            </w:r>
          </w:p>
        </w:tc>
        <w:tc>
          <w:tcPr>
            <w:tcW w:w="978" w:type="pct"/>
          </w:tcPr>
          <w:p w14:paraId="44362161" w14:textId="77777777" w:rsidR="007D1E74" w:rsidRDefault="00A95641">
            <w:pPr>
              <w:pStyle w:val="TableParagraph"/>
              <w:spacing w:before="25"/>
              <w:ind w:left="241" w:right="241"/>
              <w:rPr>
                <w:sz w:val="21"/>
                <w:szCs w:val="21"/>
              </w:rPr>
            </w:pPr>
            <w:r>
              <w:rPr>
                <w:sz w:val="21"/>
                <w:szCs w:val="21"/>
              </w:rPr>
              <w:t>0.7</w:t>
            </w:r>
          </w:p>
        </w:tc>
        <w:tc>
          <w:tcPr>
            <w:tcW w:w="652" w:type="pct"/>
          </w:tcPr>
          <w:p w14:paraId="6BAB6FBC" w14:textId="77777777" w:rsidR="007D1E74" w:rsidRDefault="00A95641">
            <w:pPr>
              <w:pStyle w:val="TableParagraph"/>
              <w:spacing w:before="25"/>
              <w:rPr>
                <w:sz w:val="21"/>
                <w:szCs w:val="21"/>
              </w:rPr>
            </w:pPr>
            <w:r>
              <w:rPr>
                <w:sz w:val="21"/>
                <w:szCs w:val="21"/>
              </w:rPr>
              <w:t>2</w:t>
            </w:r>
          </w:p>
        </w:tc>
      </w:tr>
      <w:tr w:rsidR="007D1E74" w14:paraId="4802408A" w14:textId="77777777">
        <w:trPr>
          <w:trHeight w:hRule="exact" w:val="336"/>
        </w:trPr>
        <w:tc>
          <w:tcPr>
            <w:tcW w:w="440" w:type="pct"/>
          </w:tcPr>
          <w:p w14:paraId="7FBA33CC" w14:textId="77777777" w:rsidR="007D1E74" w:rsidRDefault="00A95641">
            <w:pPr>
              <w:pStyle w:val="TableParagraph"/>
              <w:spacing w:before="25"/>
              <w:ind w:left="109" w:right="104"/>
              <w:rPr>
                <w:sz w:val="21"/>
                <w:szCs w:val="21"/>
              </w:rPr>
            </w:pPr>
            <w:r>
              <w:rPr>
                <w:sz w:val="21"/>
                <w:szCs w:val="21"/>
              </w:rPr>
              <w:t>17</w:t>
            </w:r>
          </w:p>
        </w:tc>
        <w:tc>
          <w:tcPr>
            <w:tcW w:w="908" w:type="pct"/>
          </w:tcPr>
          <w:p w14:paraId="2562163E" w14:textId="77777777" w:rsidR="007D1E74" w:rsidRDefault="00A95641">
            <w:pPr>
              <w:pStyle w:val="TableParagraph"/>
              <w:spacing w:line="284" w:lineRule="exact"/>
              <w:ind w:left="103"/>
              <w:rPr>
                <w:rFonts w:ascii="宋体"/>
                <w:sz w:val="21"/>
                <w:szCs w:val="21"/>
              </w:rPr>
            </w:pPr>
            <w:r>
              <w:rPr>
                <w:rFonts w:ascii="宋体" w:hint="eastAsia"/>
                <w:sz w:val="21"/>
                <w:szCs w:val="21"/>
              </w:rPr>
              <w:t>野菊</w:t>
            </w:r>
          </w:p>
        </w:tc>
        <w:tc>
          <w:tcPr>
            <w:tcW w:w="674" w:type="pct"/>
          </w:tcPr>
          <w:p w14:paraId="3EFC0930" w14:textId="77777777" w:rsidR="007D1E74" w:rsidRDefault="00A95641">
            <w:pPr>
              <w:pStyle w:val="TableParagraph"/>
              <w:spacing w:line="284" w:lineRule="exact"/>
              <w:ind w:left="103"/>
              <w:rPr>
                <w:rFonts w:ascii="宋体"/>
                <w:sz w:val="21"/>
                <w:szCs w:val="21"/>
              </w:rPr>
            </w:pPr>
            <w:r>
              <w:rPr>
                <w:rFonts w:ascii="宋体" w:hint="eastAsia"/>
                <w:sz w:val="21"/>
                <w:szCs w:val="21"/>
              </w:rPr>
              <w:t>花期</w:t>
            </w:r>
          </w:p>
        </w:tc>
        <w:tc>
          <w:tcPr>
            <w:tcW w:w="674" w:type="pct"/>
          </w:tcPr>
          <w:p w14:paraId="65F946E9" w14:textId="77777777" w:rsidR="007D1E74" w:rsidRDefault="00A95641">
            <w:pPr>
              <w:pStyle w:val="TableParagraph"/>
              <w:spacing w:before="25"/>
              <w:rPr>
                <w:sz w:val="21"/>
                <w:szCs w:val="21"/>
              </w:rPr>
            </w:pPr>
            <w:r>
              <w:rPr>
                <w:sz w:val="21"/>
                <w:szCs w:val="21"/>
              </w:rPr>
              <w:t>7</w:t>
            </w:r>
          </w:p>
        </w:tc>
        <w:tc>
          <w:tcPr>
            <w:tcW w:w="674" w:type="pct"/>
          </w:tcPr>
          <w:p w14:paraId="272235A2" w14:textId="77777777" w:rsidR="007D1E74" w:rsidRDefault="00A95641">
            <w:pPr>
              <w:pStyle w:val="TableParagraph"/>
              <w:spacing w:before="25"/>
              <w:ind w:left="231" w:right="231"/>
              <w:rPr>
                <w:sz w:val="21"/>
                <w:szCs w:val="21"/>
              </w:rPr>
            </w:pPr>
            <w:r>
              <w:rPr>
                <w:sz w:val="21"/>
                <w:szCs w:val="21"/>
              </w:rPr>
              <w:t>Ol</w:t>
            </w:r>
          </w:p>
        </w:tc>
        <w:tc>
          <w:tcPr>
            <w:tcW w:w="978" w:type="pct"/>
          </w:tcPr>
          <w:p w14:paraId="66704B49" w14:textId="77777777" w:rsidR="007D1E74" w:rsidRDefault="00A95641">
            <w:pPr>
              <w:pStyle w:val="TableParagraph"/>
              <w:spacing w:before="25"/>
              <w:ind w:left="241" w:right="241"/>
              <w:rPr>
                <w:sz w:val="21"/>
                <w:szCs w:val="21"/>
              </w:rPr>
            </w:pPr>
            <w:r>
              <w:rPr>
                <w:sz w:val="21"/>
                <w:szCs w:val="21"/>
              </w:rPr>
              <w:t>2.2</w:t>
            </w:r>
          </w:p>
        </w:tc>
        <w:tc>
          <w:tcPr>
            <w:tcW w:w="652" w:type="pct"/>
          </w:tcPr>
          <w:p w14:paraId="7D051BA3" w14:textId="77777777" w:rsidR="007D1E74" w:rsidRDefault="00A95641">
            <w:pPr>
              <w:pStyle w:val="TableParagraph"/>
              <w:spacing w:before="25"/>
              <w:rPr>
                <w:sz w:val="21"/>
                <w:szCs w:val="21"/>
              </w:rPr>
            </w:pPr>
            <w:r>
              <w:rPr>
                <w:sz w:val="21"/>
                <w:szCs w:val="21"/>
              </w:rPr>
              <w:t>2</w:t>
            </w:r>
          </w:p>
        </w:tc>
      </w:tr>
      <w:tr w:rsidR="007D1E74" w14:paraId="62B4DB72" w14:textId="77777777">
        <w:trPr>
          <w:trHeight w:hRule="exact" w:val="336"/>
        </w:trPr>
        <w:tc>
          <w:tcPr>
            <w:tcW w:w="440" w:type="pct"/>
          </w:tcPr>
          <w:p w14:paraId="1972BF95" w14:textId="77777777" w:rsidR="007D1E74" w:rsidRDefault="00A95641">
            <w:pPr>
              <w:pStyle w:val="TableParagraph"/>
              <w:spacing w:before="25"/>
              <w:ind w:left="109" w:right="104"/>
              <w:rPr>
                <w:sz w:val="21"/>
                <w:szCs w:val="21"/>
              </w:rPr>
            </w:pPr>
            <w:r>
              <w:rPr>
                <w:sz w:val="21"/>
                <w:szCs w:val="21"/>
              </w:rPr>
              <w:t>18</w:t>
            </w:r>
          </w:p>
        </w:tc>
        <w:tc>
          <w:tcPr>
            <w:tcW w:w="908" w:type="pct"/>
          </w:tcPr>
          <w:p w14:paraId="622C7B9D" w14:textId="77777777" w:rsidR="007D1E74" w:rsidRDefault="00A95641">
            <w:pPr>
              <w:pStyle w:val="TableParagraph"/>
              <w:spacing w:line="284" w:lineRule="exact"/>
              <w:ind w:left="103"/>
              <w:rPr>
                <w:rFonts w:ascii="宋体"/>
                <w:sz w:val="21"/>
                <w:szCs w:val="21"/>
              </w:rPr>
            </w:pPr>
            <w:r>
              <w:rPr>
                <w:rFonts w:ascii="宋体" w:hint="eastAsia"/>
                <w:sz w:val="21"/>
                <w:szCs w:val="21"/>
              </w:rPr>
              <w:t>顶芽狗脊</w:t>
            </w:r>
          </w:p>
        </w:tc>
        <w:tc>
          <w:tcPr>
            <w:tcW w:w="674" w:type="pct"/>
          </w:tcPr>
          <w:p w14:paraId="5F8F109F"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0E7D94C2" w14:textId="77777777" w:rsidR="007D1E74" w:rsidRDefault="00A95641">
            <w:pPr>
              <w:pStyle w:val="TableParagraph"/>
              <w:spacing w:line="302" w:lineRule="exact"/>
              <w:ind w:left="102" w:right="102"/>
              <w:rPr>
                <w:rFonts w:ascii="宋体"/>
                <w:sz w:val="21"/>
                <w:szCs w:val="21"/>
              </w:rPr>
            </w:pPr>
            <w:r>
              <w:rPr>
                <w:sz w:val="21"/>
                <w:szCs w:val="21"/>
              </w:rPr>
              <w:t xml:space="preserve">2 </w:t>
            </w:r>
            <w:r>
              <w:rPr>
                <w:rFonts w:ascii="宋体" w:hint="eastAsia"/>
                <w:sz w:val="21"/>
                <w:szCs w:val="21"/>
              </w:rPr>
              <w:t>丛</w:t>
            </w:r>
          </w:p>
        </w:tc>
        <w:tc>
          <w:tcPr>
            <w:tcW w:w="674" w:type="pct"/>
          </w:tcPr>
          <w:p w14:paraId="02C086A9" w14:textId="77777777" w:rsidR="007D1E74" w:rsidRDefault="00A95641">
            <w:pPr>
              <w:pStyle w:val="TableParagraph"/>
              <w:spacing w:before="25"/>
              <w:ind w:left="231" w:right="231"/>
              <w:rPr>
                <w:sz w:val="21"/>
                <w:szCs w:val="21"/>
              </w:rPr>
            </w:pPr>
            <w:r>
              <w:rPr>
                <w:sz w:val="21"/>
                <w:szCs w:val="21"/>
              </w:rPr>
              <w:t>Sp</w:t>
            </w:r>
          </w:p>
        </w:tc>
        <w:tc>
          <w:tcPr>
            <w:tcW w:w="978" w:type="pct"/>
          </w:tcPr>
          <w:p w14:paraId="2EFAAD01" w14:textId="77777777" w:rsidR="007D1E74" w:rsidRDefault="00A95641">
            <w:pPr>
              <w:pStyle w:val="TableParagraph"/>
              <w:spacing w:before="25"/>
              <w:ind w:left="241" w:right="241"/>
              <w:rPr>
                <w:sz w:val="21"/>
                <w:szCs w:val="21"/>
              </w:rPr>
            </w:pPr>
            <w:r>
              <w:rPr>
                <w:sz w:val="21"/>
                <w:szCs w:val="21"/>
              </w:rPr>
              <w:t>0.85</w:t>
            </w:r>
          </w:p>
        </w:tc>
        <w:tc>
          <w:tcPr>
            <w:tcW w:w="652" w:type="pct"/>
          </w:tcPr>
          <w:p w14:paraId="61CBCE43" w14:textId="77777777" w:rsidR="007D1E74" w:rsidRDefault="00A95641">
            <w:pPr>
              <w:pStyle w:val="TableParagraph"/>
              <w:spacing w:before="25"/>
              <w:rPr>
                <w:sz w:val="21"/>
                <w:szCs w:val="21"/>
              </w:rPr>
            </w:pPr>
            <w:r>
              <w:rPr>
                <w:sz w:val="21"/>
                <w:szCs w:val="21"/>
              </w:rPr>
              <w:t>5</w:t>
            </w:r>
          </w:p>
        </w:tc>
      </w:tr>
      <w:tr w:rsidR="007D1E74" w14:paraId="0BE73998" w14:textId="77777777">
        <w:trPr>
          <w:trHeight w:hRule="exact" w:val="336"/>
        </w:trPr>
        <w:tc>
          <w:tcPr>
            <w:tcW w:w="440" w:type="pct"/>
          </w:tcPr>
          <w:p w14:paraId="4F538EF6" w14:textId="77777777" w:rsidR="007D1E74" w:rsidRDefault="00A95641">
            <w:pPr>
              <w:pStyle w:val="TableParagraph"/>
              <w:spacing w:before="25"/>
              <w:ind w:left="109" w:right="104"/>
              <w:rPr>
                <w:sz w:val="21"/>
                <w:szCs w:val="21"/>
              </w:rPr>
            </w:pPr>
            <w:r>
              <w:rPr>
                <w:sz w:val="21"/>
                <w:szCs w:val="21"/>
              </w:rPr>
              <w:t>19</w:t>
            </w:r>
          </w:p>
        </w:tc>
        <w:tc>
          <w:tcPr>
            <w:tcW w:w="908" w:type="pct"/>
          </w:tcPr>
          <w:p w14:paraId="53A05872" w14:textId="77777777" w:rsidR="007D1E74" w:rsidRDefault="00A95641">
            <w:pPr>
              <w:pStyle w:val="TableParagraph"/>
              <w:spacing w:line="284" w:lineRule="exact"/>
              <w:ind w:left="103"/>
              <w:rPr>
                <w:rFonts w:ascii="宋体"/>
                <w:sz w:val="21"/>
                <w:szCs w:val="21"/>
              </w:rPr>
            </w:pPr>
            <w:r>
              <w:rPr>
                <w:rFonts w:ascii="宋体" w:hint="eastAsia"/>
                <w:sz w:val="21"/>
                <w:szCs w:val="21"/>
              </w:rPr>
              <w:t>凤尾草</w:t>
            </w:r>
          </w:p>
        </w:tc>
        <w:tc>
          <w:tcPr>
            <w:tcW w:w="674" w:type="pct"/>
          </w:tcPr>
          <w:p w14:paraId="496DE887"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187E5817" w14:textId="77777777" w:rsidR="007D1E74" w:rsidRDefault="00A95641">
            <w:pPr>
              <w:pStyle w:val="TableParagraph"/>
              <w:spacing w:before="25"/>
              <w:ind w:left="102" w:right="102"/>
              <w:rPr>
                <w:sz w:val="21"/>
                <w:szCs w:val="21"/>
              </w:rPr>
            </w:pPr>
            <w:r>
              <w:rPr>
                <w:sz w:val="21"/>
                <w:szCs w:val="21"/>
              </w:rPr>
              <w:t>16</w:t>
            </w:r>
          </w:p>
        </w:tc>
        <w:tc>
          <w:tcPr>
            <w:tcW w:w="674" w:type="pct"/>
          </w:tcPr>
          <w:p w14:paraId="4206240D" w14:textId="77777777" w:rsidR="007D1E74" w:rsidRDefault="00A95641">
            <w:pPr>
              <w:pStyle w:val="TableParagraph"/>
              <w:spacing w:before="25"/>
              <w:ind w:left="231" w:right="231"/>
              <w:rPr>
                <w:sz w:val="21"/>
                <w:szCs w:val="21"/>
              </w:rPr>
            </w:pPr>
            <w:r>
              <w:rPr>
                <w:sz w:val="21"/>
                <w:szCs w:val="21"/>
              </w:rPr>
              <w:t>Sp</w:t>
            </w:r>
          </w:p>
        </w:tc>
        <w:tc>
          <w:tcPr>
            <w:tcW w:w="978" w:type="pct"/>
          </w:tcPr>
          <w:p w14:paraId="00A1DB52" w14:textId="77777777" w:rsidR="007D1E74" w:rsidRDefault="00A95641">
            <w:pPr>
              <w:pStyle w:val="TableParagraph"/>
              <w:spacing w:before="25"/>
              <w:ind w:left="241" w:right="241"/>
              <w:rPr>
                <w:sz w:val="21"/>
                <w:szCs w:val="21"/>
              </w:rPr>
            </w:pPr>
            <w:r>
              <w:rPr>
                <w:sz w:val="21"/>
                <w:szCs w:val="21"/>
              </w:rPr>
              <w:t>0.5</w:t>
            </w:r>
          </w:p>
        </w:tc>
        <w:tc>
          <w:tcPr>
            <w:tcW w:w="652" w:type="pct"/>
          </w:tcPr>
          <w:p w14:paraId="5C678F09" w14:textId="77777777" w:rsidR="007D1E74" w:rsidRDefault="00A95641">
            <w:pPr>
              <w:pStyle w:val="TableParagraph"/>
              <w:spacing w:before="25"/>
              <w:rPr>
                <w:sz w:val="21"/>
                <w:szCs w:val="21"/>
              </w:rPr>
            </w:pPr>
            <w:r>
              <w:rPr>
                <w:sz w:val="21"/>
                <w:szCs w:val="21"/>
              </w:rPr>
              <w:t>5</w:t>
            </w:r>
          </w:p>
        </w:tc>
      </w:tr>
    </w:tbl>
    <w:p w14:paraId="40993BAF" w14:textId="77777777" w:rsidR="007D1E74" w:rsidRDefault="007D1E74">
      <w:pPr>
        <w:spacing w:line="360" w:lineRule="auto"/>
        <w:rPr>
          <w:rFonts w:cs="Times New Roman"/>
          <w:szCs w:val="21"/>
        </w:rPr>
      </w:pPr>
    </w:p>
    <w:p w14:paraId="51937CA5" w14:textId="77777777" w:rsidR="007D1E74" w:rsidRDefault="00A95641">
      <w:pPr>
        <w:spacing w:line="360" w:lineRule="auto"/>
        <w:jc w:val="center"/>
        <w:rPr>
          <w:rFonts w:eastAsia="黑体" w:cs="Times New Roman"/>
          <w:szCs w:val="21"/>
        </w:rPr>
      </w:pPr>
      <w:r>
        <w:rPr>
          <w:rFonts w:eastAsia="黑体" w:cs="Times New Roman"/>
          <w:szCs w:val="21"/>
        </w:rPr>
        <w:t>表</w:t>
      </w:r>
      <w:r>
        <w:rPr>
          <w:rFonts w:eastAsia="黑体" w:cs="Times New Roman"/>
          <w:szCs w:val="21"/>
        </w:rPr>
        <w:t xml:space="preserve">A.2.3-2  </w:t>
      </w:r>
      <w:r>
        <w:rPr>
          <w:rFonts w:eastAsia="黑体" w:cs="Times New Roman" w:hint="eastAsia"/>
          <w:szCs w:val="21"/>
        </w:rPr>
        <w:t>植物实测样方表</w:t>
      </w:r>
    </w:p>
    <w:tbl>
      <w:tblPr>
        <w:tblStyle w:val="affffc"/>
        <w:tblW w:w="0" w:type="auto"/>
        <w:tblBorders>
          <w:left w:val="none" w:sz="0" w:space="0" w:color="auto"/>
          <w:right w:val="none" w:sz="0" w:space="0" w:color="auto"/>
        </w:tblBorders>
        <w:tblLook w:val="04A0" w:firstRow="1" w:lastRow="0" w:firstColumn="1" w:lastColumn="0" w:noHBand="0" w:noVBand="1"/>
      </w:tblPr>
      <w:tblGrid>
        <w:gridCol w:w="9016"/>
      </w:tblGrid>
      <w:tr w:rsidR="007D1E74" w14:paraId="7DD65A84" w14:textId="77777777">
        <w:tc>
          <w:tcPr>
            <w:tcW w:w="9016" w:type="dxa"/>
          </w:tcPr>
          <w:p w14:paraId="22219824" w14:textId="77777777" w:rsidR="007D1E74" w:rsidRDefault="00A95641">
            <w:pPr>
              <w:spacing w:line="360" w:lineRule="auto"/>
              <w:rPr>
                <w:rFonts w:eastAsiaTheme="minorEastAsia" w:cs="Times New Roman"/>
                <w:szCs w:val="21"/>
              </w:rPr>
            </w:pPr>
            <w:r>
              <w:rPr>
                <w:rFonts w:eastAsiaTheme="minorEastAsia" w:cs="Times New Roman" w:hint="eastAsia"/>
                <w:szCs w:val="21"/>
              </w:rPr>
              <w:t>群落名称：白茅灌草丛</w:t>
            </w:r>
            <w:r>
              <w:rPr>
                <w:rFonts w:eastAsiaTheme="minorEastAsia" w:cs="Times New Roman" w:hint="eastAsia"/>
                <w:szCs w:val="21"/>
              </w:rPr>
              <w:tab/>
            </w:r>
            <w:r>
              <w:rPr>
                <w:rFonts w:eastAsiaTheme="minorEastAsia" w:cs="Times New Roman" w:hint="eastAsia"/>
                <w:szCs w:val="21"/>
              </w:rPr>
              <w:t>地点：新场镇清江村</w:t>
            </w:r>
            <w:r>
              <w:rPr>
                <w:rFonts w:eastAsiaTheme="minorEastAsia" w:cs="Times New Roman" w:hint="eastAsia"/>
                <w:szCs w:val="21"/>
              </w:rPr>
              <w:tab/>
            </w:r>
            <w:r>
              <w:rPr>
                <w:rFonts w:eastAsiaTheme="minorEastAsia" w:cs="Times New Roman" w:hint="eastAsia"/>
                <w:szCs w:val="21"/>
              </w:rPr>
              <w:tab/>
            </w:r>
            <w:r>
              <w:rPr>
                <w:rFonts w:eastAsiaTheme="minorEastAsia" w:cs="Times New Roman" w:hint="eastAsia"/>
                <w:szCs w:val="21"/>
              </w:rPr>
              <w:t>样方面积：</w:t>
            </w:r>
            <w:r>
              <w:rPr>
                <w:rFonts w:eastAsiaTheme="minorEastAsia" w:cs="Times New Roman" w:hint="eastAsia"/>
                <w:szCs w:val="21"/>
              </w:rPr>
              <w:t>1m</w:t>
            </w:r>
            <w:r>
              <w:rPr>
                <w:rFonts w:eastAsiaTheme="minorEastAsia" w:cs="Times New Roman" w:hint="eastAsia"/>
                <w:szCs w:val="21"/>
              </w:rPr>
              <w:t>×</w:t>
            </w:r>
            <w:r>
              <w:rPr>
                <w:rFonts w:eastAsiaTheme="minorEastAsia" w:cs="Times New Roman" w:hint="eastAsia"/>
                <w:szCs w:val="21"/>
              </w:rPr>
              <w:t xml:space="preserve">1m  </w:t>
            </w:r>
          </w:p>
        </w:tc>
      </w:tr>
      <w:tr w:rsidR="007D1E74" w14:paraId="0719A5E7" w14:textId="77777777">
        <w:tc>
          <w:tcPr>
            <w:tcW w:w="9016" w:type="dxa"/>
          </w:tcPr>
          <w:p w14:paraId="235B780F" w14:textId="77777777" w:rsidR="007D1E74" w:rsidRDefault="00A95641">
            <w:pPr>
              <w:spacing w:line="360" w:lineRule="auto"/>
              <w:rPr>
                <w:rFonts w:eastAsiaTheme="minorEastAsia" w:cs="Times New Roman"/>
                <w:szCs w:val="21"/>
              </w:rPr>
            </w:pPr>
            <w:r>
              <w:rPr>
                <w:rFonts w:eastAsiaTheme="minorEastAsia" w:cs="Times New Roman" w:hint="eastAsia"/>
                <w:szCs w:val="21"/>
              </w:rPr>
              <w:t>经度：</w:t>
            </w:r>
            <w:r>
              <w:rPr>
                <w:rFonts w:eastAsiaTheme="minorEastAsia" w:cs="Times New Roman" w:hint="eastAsia"/>
                <w:szCs w:val="21"/>
              </w:rPr>
              <w:t xml:space="preserve">107.169957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纬度：</w:t>
            </w:r>
            <w:r>
              <w:rPr>
                <w:rFonts w:eastAsiaTheme="minorEastAsia" w:cs="Times New Roman" w:hint="eastAsia"/>
                <w:szCs w:val="21"/>
              </w:rPr>
              <w:t xml:space="preserve">32. 119510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海拔（</w:t>
            </w:r>
            <w:r>
              <w:rPr>
                <w:rFonts w:eastAsiaTheme="minorEastAsia" w:cs="Times New Roman" w:hint="eastAsia"/>
                <w:szCs w:val="21"/>
              </w:rPr>
              <w:t>m</w:t>
            </w:r>
            <w:r>
              <w:rPr>
                <w:rFonts w:eastAsiaTheme="minorEastAsia" w:cs="Times New Roman" w:hint="eastAsia"/>
                <w:szCs w:val="21"/>
              </w:rPr>
              <w:t>）</w:t>
            </w:r>
            <w:r>
              <w:rPr>
                <w:rFonts w:eastAsiaTheme="minorEastAsia" w:cs="Times New Roman" w:hint="eastAsia"/>
                <w:szCs w:val="21"/>
              </w:rPr>
              <w:t>517</w:t>
            </w:r>
          </w:p>
        </w:tc>
      </w:tr>
      <w:tr w:rsidR="007D1E74" w14:paraId="1F4B8299" w14:textId="77777777">
        <w:tc>
          <w:tcPr>
            <w:tcW w:w="9016" w:type="dxa"/>
          </w:tcPr>
          <w:p w14:paraId="7DFE4935" w14:textId="77777777" w:rsidR="007D1E74" w:rsidRDefault="00A95641">
            <w:pPr>
              <w:spacing w:line="360" w:lineRule="auto"/>
              <w:rPr>
                <w:rFonts w:eastAsiaTheme="minorEastAsia" w:cs="Times New Roman"/>
                <w:szCs w:val="21"/>
              </w:rPr>
            </w:pPr>
            <w:r>
              <w:rPr>
                <w:rFonts w:eastAsiaTheme="minorEastAsia" w:cs="Times New Roman" w:hint="eastAsia"/>
                <w:szCs w:val="21"/>
              </w:rPr>
              <w:t>调查人：黄文军、李秦</w:t>
            </w:r>
            <w:r>
              <w:rPr>
                <w:rFonts w:eastAsiaTheme="minorEastAsia" w:cs="Times New Roman" w:hint="eastAsia"/>
                <w:szCs w:val="21"/>
              </w:rPr>
              <w:tab/>
            </w:r>
            <w:r>
              <w:rPr>
                <w:rFonts w:eastAsiaTheme="minorEastAsia" w:cs="Times New Roman" w:hint="eastAsia"/>
                <w:szCs w:val="21"/>
              </w:rPr>
              <w:t>调查日期：</w:t>
            </w:r>
            <w:r>
              <w:rPr>
                <w:rFonts w:eastAsiaTheme="minorEastAsia" w:cs="Times New Roman" w:hint="eastAsia"/>
                <w:szCs w:val="21"/>
              </w:rPr>
              <w:t>2021-08-19</w:t>
            </w:r>
          </w:p>
        </w:tc>
      </w:tr>
    </w:tbl>
    <w:p w14:paraId="2EDDE34D" w14:textId="77777777" w:rsidR="007D1E74" w:rsidRDefault="007D1E74">
      <w:pPr>
        <w:spacing w:line="360" w:lineRule="auto"/>
        <w:rPr>
          <w:rFonts w:eastAsia="黑体" w:cs="Times New Roman"/>
          <w:sz w:val="24"/>
          <w:szCs w:val="24"/>
        </w:rPr>
      </w:pP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4"/>
        <w:gridCol w:w="1637"/>
        <w:gridCol w:w="1215"/>
        <w:gridCol w:w="1215"/>
        <w:gridCol w:w="1215"/>
        <w:gridCol w:w="1764"/>
        <w:gridCol w:w="1176"/>
      </w:tblGrid>
      <w:tr w:rsidR="007D1E74" w14:paraId="098ACE7E" w14:textId="77777777">
        <w:trPr>
          <w:trHeight w:hRule="exact" w:val="351"/>
        </w:trPr>
        <w:tc>
          <w:tcPr>
            <w:tcW w:w="440" w:type="pct"/>
          </w:tcPr>
          <w:p w14:paraId="1165D1E6" w14:textId="77777777" w:rsidR="007D1E74" w:rsidRDefault="00A95641">
            <w:pPr>
              <w:pStyle w:val="TableParagraph"/>
              <w:spacing w:line="284" w:lineRule="exact"/>
              <w:ind w:left="109" w:right="103"/>
              <w:rPr>
                <w:rFonts w:ascii="宋体"/>
                <w:sz w:val="21"/>
                <w:szCs w:val="21"/>
              </w:rPr>
            </w:pPr>
            <w:r>
              <w:rPr>
                <w:rFonts w:ascii="宋体" w:hint="eastAsia"/>
                <w:sz w:val="21"/>
                <w:szCs w:val="21"/>
              </w:rPr>
              <w:t>种号</w:t>
            </w:r>
          </w:p>
        </w:tc>
        <w:tc>
          <w:tcPr>
            <w:tcW w:w="908" w:type="pct"/>
          </w:tcPr>
          <w:p w14:paraId="0A321EA1" w14:textId="77777777" w:rsidR="007D1E74" w:rsidRDefault="00A95641">
            <w:pPr>
              <w:pStyle w:val="TableParagraph"/>
              <w:spacing w:line="284" w:lineRule="exact"/>
              <w:ind w:left="397"/>
              <w:rPr>
                <w:rFonts w:ascii="宋体"/>
                <w:sz w:val="21"/>
                <w:szCs w:val="21"/>
              </w:rPr>
            </w:pPr>
            <w:r>
              <w:rPr>
                <w:rFonts w:ascii="宋体" w:hint="eastAsia"/>
                <w:sz w:val="21"/>
                <w:szCs w:val="21"/>
              </w:rPr>
              <w:t>物种名</w:t>
            </w:r>
          </w:p>
        </w:tc>
        <w:tc>
          <w:tcPr>
            <w:tcW w:w="674" w:type="pct"/>
          </w:tcPr>
          <w:p w14:paraId="3FCDB133" w14:textId="77777777" w:rsidR="007D1E74" w:rsidRDefault="00A95641">
            <w:pPr>
              <w:pStyle w:val="TableParagraph"/>
              <w:spacing w:line="284" w:lineRule="exact"/>
              <w:ind w:left="202"/>
              <w:rPr>
                <w:rFonts w:ascii="宋体"/>
                <w:sz w:val="21"/>
                <w:szCs w:val="21"/>
              </w:rPr>
            </w:pPr>
            <w:r>
              <w:rPr>
                <w:rFonts w:ascii="宋体" w:hint="eastAsia"/>
                <w:sz w:val="21"/>
                <w:szCs w:val="21"/>
              </w:rPr>
              <w:t>物候期</w:t>
            </w:r>
          </w:p>
        </w:tc>
        <w:tc>
          <w:tcPr>
            <w:tcW w:w="674" w:type="pct"/>
          </w:tcPr>
          <w:p w14:paraId="5113B988" w14:textId="77777777" w:rsidR="007D1E74" w:rsidRDefault="00A95641">
            <w:pPr>
              <w:pStyle w:val="TableParagraph"/>
              <w:spacing w:line="302" w:lineRule="exact"/>
              <w:ind w:left="102" w:right="102"/>
              <w:rPr>
                <w:rFonts w:ascii="宋体"/>
                <w:sz w:val="21"/>
                <w:szCs w:val="21"/>
              </w:rPr>
            </w:pPr>
            <w:r>
              <w:rPr>
                <w:rFonts w:ascii="宋体" w:hint="eastAsia"/>
                <w:sz w:val="21"/>
                <w:szCs w:val="21"/>
              </w:rPr>
              <w:t>株</w:t>
            </w:r>
            <w:r>
              <w:rPr>
                <w:sz w:val="21"/>
                <w:szCs w:val="21"/>
              </w:rPr>
              <w:t>(</w:t>
            </w:r>
            <w:r>
              <w:rPr>
                <w:rFonts w:ascii="宋体" w:hint="eastAsia"/>
                <w:sz w:val="21"/>
                <w:szCs w:val="21"/>
              </w:rPr>
              <w:t>丛</w:t>
            </w:r>
            <w:r>
              <w:rPr>
                <w:sz w:val="21"/>
                <w:szCs w:val="21"/>
              </w:rPr>
              <w:t>)</w:t>
            </w:r>
            <w:r>
              <w:rPr>
                <w:rFonts w:ascii="宋体" w:hint="eastAsia"/>
                <w:sz w:val="21"/>
                <w:szCs w:val="21"/>
              </w:rPr>
              <w:t>数</w:t>
            </w:r>
          </w:p>
        </w:tc>
        <w:tc>
          <w:tcPr>
            <w:tcW w:w="674" w:type="pct"/>
          </w:tcPr>
          <w:p w14:paraId="7CC18599" w14:textId="77777777" w:rsidR="007D1E74" w:rsidRDefault="00A95641">
            <w:pPr>
              <w:pStyle w:val="TableParagraph"/>
              <w:spacing w:line="284" w:lineRule="exact"/>
              <w:ind w:left="102" w:right="102"/>
              <w:rPr>
                <w:rFonts w:ascii="宋体"/>
                <w:sz w:val="21"/>
                <w:szCs w:val="21"/>
              </w:rPr>
            </w:pPr>
            <w:r>
              <w:rPr>
                <w:rFonts w:ascii="宋体" w:hint="eastAsia"/>
                <w:sz w:val="21"/>
                <w:szCs w:val="21"/>
              </w:rPr>
              <w:t>多度</w:t>
            </w:r>
          </w:p>
        </w:tc>
        <w:tc>
          <w:tcPr>
            <w:tcW w:w="978" w:type="pct"/>
          </w:tcPr>
          <w:p w14:paraId="272F2DB4" w14:textId="77777777" w:rsidR="007D1E74" w:rsidRDefault="00A95641">
            <w:pPr>
              <w:pStyle w:val="TableParagraph"/>
              <w:spacing w:line="302" w:lineRule="exact"/>
              <w:ind w:left="172" w:right="170"/>
              <w:rPr>
                <w:sz w:val="21"/>
                <w:szCs w:val="21"/>
              </w:rPr>
            </w:pPr>
            <w:r>
              <w:rPr>
                <w:rFonts w:ascii="宋体" w:hint="eastAsia"/>
                <w:w w:val="95"/>
                <w:sz w:val="21"/>
                <w:szCs w:val="21"/>
              </w:rPr>
              <w:t>平均高度</w:t>
            </w:r>
            <w:r>
              <w:rPr>
                <w:w w:val="95"/>
                <w:sz w:val="21"/>
                <w:szCs w:val="21"/>
              </w:rPr>
              <w:t>/cm</w:t>
            </w:r>
          </w:p>
        </w:tc>
        <w:tc>
          <w:tcPr>
            <w:tcW w:w="652" w:type="pct"/>
          </w:tcPr>
          <w:p w14:paraId="57F91440" w14:textId="77777777" w:rsidR="007D1E74" w:rsidRDefault="00A95641">
            <w:pPr>
              <w:pStyle w:val="TableParagraph"/>
              <w:spacing w:line="302" w:lineRule="exact"/>
              <w:ind w:left="116" w:right="226"/>
              <w:rPr>
                <w:sz w:val="21"/>
                <w:szCs w:val="21"/>
              </w:rPr>
            </w:pPr>
            <w:r>
              <w:rPr>
                <w:rFonts w:ascii="宋体" w:hint="eastAsia"/>
                <w:w w:val="95"/>
                <w:sz w:val="21"/>
                <w:szCs w:val="21"/>
              </w:rPr>
              <w:t>盖度</w:t>
            </w:r>
            <w:r>
              <w:rPr>
                <w:w w:val="95"/>
                <w:sz w:val="21"/>
                <w:szCs w:val="21"/>
              </w:rPr>
              <w:t>/%</w:t>
            </w:r>
          </w:p>
        </w:tc>
      </w:tr>
      <w:tr w:rsidR="007D1E74" w14:paraId="78155D5A" w14:textId="77777777">
        <w:trPr>
          <w:trHeight w:hRule="exact" w:val="336"/>
        </w:trPr>
        <w:tc>
          <w:tcPr>
            <w:tcW w:w="440" w:type="pct"/>
          </w:tcPr>
          <w:p w14:paraId="2D207930" w14:textId="77777777" w:rsidR="007D1E74" w:rsidRDefault="00A95641">
            <w:pPr>
              <w:pStyle w:val="TableParagraph"/>
              <w:spacing w:before="25"/>
              <w:ind w:left="4"/>
              <w:rPr>
                <w:sz w:val="21"/>
                <w:szCs w:val="21"/>
              </w:rPr>
            </w:pPr>
            <w:r>
              <w:rPr>
                <w:sz w:val="21"/>
                <w:szCs w:val="21"/>
              </w:rPr>
              <w:t>1</w:t>
            </w:r>
          </w:p>
        </w:tc>
        <w:tc>
          <w:tcPr>
            <w:tcW w:w="908" w:type="pct"/>
          </w:tcPr>
          <w:p w14:paraId="51D5EFDE" w14:textId="77777777" w:rsidR="007D1E74" w:rsidRDefault="00A95641">
            <w:pPr>
              <w:pStyle w:val="TableParagraph"/>
              <w:spacing w:line="283" w:lineRule="exact"/>
              <w:ind w:left="102"/>
              <w:rPr>
                <w:rFonts w:ascii="宋体"/>
                <w:sz w:val="21"/>
                <w:szCs w:val="21"/>
              </w:rPr>
            </w:pPr>
            <w:r>
              <w:rPr>
                <w:rFonts w:ascii="宋体" w:hint="eastAsia"/>
                <w:sz w:val="21"/>
                <w:szCs w:val="21"/>
              </w:rPr>
              <w:t>白茅</w:t>
            </w:r>
          </w:p>
        </w:tc>
        <w:tc>
          <w:tcPr>
            <w:tcW w:w="674" w:type="pct"/>
          </w:tcPr>
          <w:p w14:paraId="175FF1CA" w14:textId="77777777" w:rsidR="007D1E74" w:rsidRDefault="00A95641">
            <w:pPr>
              <w:pStyle w:val="TableParagraph"/>
              <w:spacing w:line="283" w:lineRule="exact"/>
              <w:ind w:left="104"/>
              <w:rPr>
                <w:rFonts w:ascii="宋体"/>
                <w:sz w:val="21"/>
                <w:szCs w:val="21"/>
              </w:rPr>
            </w:pPr>
            <w:r>
              <w:rPr>
                <w:rFonts w:ascii="宋体" w:hint="eastAsia"/>
                <w:sz w:val="21"/>
                <w:szCs w:val="21"/>
              </w:rPr>
              <w:t>营养期</w:t>
            </w:r>
          </w:p>
        </w:tc>
        <w:tc>
          <w:tcPr>
            <w:tcW w:w="674" w:type="pct"/>
          </w:tcPr>
          <w:p w14:paraId="56CB9990" w14:textId="77777777" w:rsidR="007D1E74" w:rsidRDefault="00A95641">
            <w:pPr>
              <w:pStyle w:val="TableParagraph"/>
              <w:spacing w:line="301" w:lineRule="exact"/>
              <w:ind w:left="172" w:right="172"/>
              <w:rPr>
                <w:rFonts w:ascii="宋体"/>
                <w:sz w:val="21"/>
                <w:szCs w:val="21"/>
              </w:rPr>
            </w:pPr>
            <w:r>
              <w:rPr>
                <w:sz w:val="21"/>
                <w:szCs w:val="21"/>
              </w:rPr>
              <w:t xml:space="preserve">1 </w:t>
            </w:r>
            <w:r>
              <w:rPr>
                <w:rFonts w:ascii="宋体" w:hint="eastAsia"/>
                <w:sz w:val="21"/>
                <w:szCs w:val="21"/>
              </w:rPr>
              <w:t>丛</w:t>
            </w:r>
          </w:p>
        </w:tc>
        <w:tc>
          <w:tcPr>
            <w:tcW w:w="674" w:type="pct"/>
          </w:tcPr>
          <w:p w14:paraId="5BCF1894" w14:textId="77777777" w:rsidR="007D1E74" w:rsidRDefault="00A95641">
            <w:pPr>
              <w:pStyle w:val="TableParagraph"/>
              <w:spacing w:before="24"/>
              <w:ind w:left="231" w:right="231"/>
              <w:rPr>
                <w:sz w:val="21"/>
                <w:szCs w:val="21"/>
              </w:rPr>
            </w:pPr>
            <w:r>
              <w:rPr>
                <w:position w:val="2"/>
                <w:sz w:val="21"/>
                <w:szCs w:val="21"/>
              </w:rPr>
              <w:t>Cop</w:t>
            </w:r>
            <w:r>
              <w:rPr>
                <w:sz w:val="21"/>
                <w:szCs w:val="21"/>
              </w:rPr>
              <w:t>3</w:t>
            </w:r>
          </w:p>
        </w:tc>
        <w:tc>
          <w:tcPr>
            <w:tcW w:w="978" w:type="pct"/>
          </w:tcPr>
          <w:p w14:paraId="32EEDBDB" w14:textId="77777777" w:rsidR="007D1E74" w:rsidRDefault="00A95641">
            <w:pPr>
              <w:pStyle w:val="TableParagraph"/>
              <w:spacing w:before="25"/>
              <w:ind w:left="170" w:right="170"/>
              <w:rPr>
                <w:sz w:val="21"/>
                <w:szCs w:val="21"/>
              </w:rPr>
            </w:pPr>
            <w:r>
              <w:rPr>
                <w:sz w:val="21"/>
                <w:szCs w:val="21"/>
              </w:rPr>
              <w:t>1.1</w:t>
            </w:r>
          </w:p>
        </w:tc>
        <w:tc>
          <w:tcPr>
            <w:tcW w:w="652" w:type="pct"/>
          </w:tcPr>
          <w:p w14:paraId="10751E3A" w14:textId="77777777" w:rsidR="007D1E74" w:rsidRDefault="00A95641">
            <w:pPr>
              <w:pStyle w:val="TableParagraph"/>
              <w:spacing w:before="25"/>
              <w:ind w:left="116" w:right="224"/>
              <w:rPr>
                <w:sz w:val="21"/>
                <w:szCs w:val="21"/>
              </w:rPr>
            </w:pPr>
            <w:r>
              <w:rPr>
                <w:sz w:val="21"/>
                <w:szCs w:val="21"/>
              </w:rPr>
              <w:t>95</w:t>
            </w:r>
          </w:p>
        </w:tc>
      </w:tr>
      <w:tr w:rsidR="007D1E74" w14:paraId="272AD5E2" w14:textId="77777777">
        <w:trPr>
          <w:trHeight w:hRule="exact" w:val="336"/>
        </w:trPr>
        <w:tc>
          <w:tcPr>
            <w:tcW w:w="440" w:type="pct"/>
          </w:tcPr>
          <w:p w14:paraId="66AB2E12" w14:textId="77777777" w:rsidR="007D1E74" w:rsidRDefault="00A95641">
            <w:pPr>
              <w:pStyle w:val="TableParagraph"/>
              <w:spacing w:before="25"/>
              <w:ind w:left="4"/>
              <w:rPr>
                <w:sz w:val="21"/>
                <w:szCs w:val="21"/>
              </w:rPr>
            </w:pPr>
            <w:r>
              <w:rPr>
                <w:sz w:val="21"/>
                <w:szCs w:val="21"/>
              </w:rPr>
              <w:t>2</w:t>
            </w:r>
          </w:p>
        </w:tc>
        <w:tc>
          <w:tcPr>
            <w:tcW w:w="908" w:type="pct"/>
          </w:tcPr>
          <w:p w14:paraId="5013436D" w14:textId="77777777" w:rsidR="007D1E74" w:rsidRDefault="00A95641">
            <w:pPr>
              <w:pStyle w:val="TableParagraph"/>
              <w:spacing w:line="283" w:lineRule="exact"/>
              <w:ind w:left="102"/>
              <w:rPr>
                <w:rFonts w:ascii="宋体"/>
                <w:sz w:val="21"/>
                <w:szCs w:val="21"/>
              </w:rPr>
            </w:pPr>
            <w:r>
              <w:rPr>
                <w:rFonts w:ascii="宋体" w:hint="eastAsia"/>
                <w:sz w:val="21"/>
                <w:szCs w:val="21"/>
              </w:rPr>
              <w:t>小蓬草</w:t>
            </w:r>
          </w:p>
        </w:tc>
        <w:tc>
          <w:tcPr>
            <w:tcW w:w="674" w:type="pct"/>
          </w:tcPr>
          <w:p w14:paraId="0E0E931A" w14:textId="77777777" w:rsidR="007D1E74" w:rsidRDefault="00A95641">
            <w:pPr>
              <w:pStyle w:val="TableParagraph"/>
              <w:spacing w:line="283" w:lineRule="exact"/>
              <w:ind w:left="104"/>
              <w:rPr>
                <w:rFonts w:ascii="宋体"/>
                <w:sz w:val="21"/>
                <w:szCs w:val="21"/>
              </w:rPr>
            </w:pPr>
            <w:r>
              <w:rPr>
                <w:rFonts w:ascii="宋体" w:hint="eastAsia"/>
                <w:sz w:val="21"/>
                <w:szCs w:val="21"/>
              </w:rPr>
              <w:t>营养期</w:t>
            </w:r>
          </w:p>
        </w:tc>
        <w:tc>
          <w:tcPr>
            <w:tcW w:w="674" w:type="pct"/>
          </w:tcPr>
          <w:p w14:paraId="602E1280" w14:textId="77777777" w:rsidR="007D1E74" w:rsidRDefault="00A95641">
            <w:pPr>
              <w:pStyle w:val="TableParagraph"/>
              <w:spacing w:before="25"/>
              <w:ind w:right="1"/>
              <w:rPr>
                <w:sz w:val="21"/>
                <w:szCs w:val="21"/>
              </w:rPr>
            </w:pPr>
            <w:r>
              <w:rPr>
                <w:sz w:val="21"/>
                <w:szCs w:val="21"/>
              </w:rPr>
              <w:t>4</w:t>
            </w:r>
          </w:p>
        </w:tc>
        <w:tc>
          <w:tcPr>
            <w:tcW w:w="674" w:type="pct"/>
          </w:tcPr>
          <w:p w14:paraId="6288B255" w14:textId="77777777" w:rsidR="007D1E74" w:rsidRDefault="00A95641">
            <w:pPr>
              <w:pStyle w:val="TableParagraph"/>
              <w:spacing w:before="25"/>
              <w:ind w:left="231" w:right="231"/>
              <w:rPr>
                <w:sz w:val="21"/>
                <w:szCs w:val="21"/>
              </w:rPr>
            </w:pPr>
            <w:r>
              <w:rPr>
                <w:sz w:val="21"/>
                <w:szCs w:val="21"/>
              </w:rPr>
              <w:t>Ol</w:t>
            </w:r>
          </w:p>
        </w:tc>
        <w:tc>
          <w:tcPr>
            <w:tcW w:w="978" w:type="pct"/>
          </w:tcPr>
          <w:p w14:paraId="312E4E0E" w14:textId="77777777" w:rsidR="007D1E74" w:rsidRDefault="00A95641">
            <w:pPr>
              <w:pStyle w:val="TableParagraph"/>
              <w:spacing w:before="25"/>
              <w:ind w:left="170" w:right="170"/>
              <w:rPr>
                <w:sz w:val="21"/>
                <w:szCs w:val="21"/>
              </w:rPr>
            </w:pPr>
            <w:r>
              <w:rPr>
                <w:sz w:val="21"/>
                <w:szCs w:val="21"/>
              </w:rPr>
              <w:t>0.7</w:t>
            </w:r>
          </w:p>
        </w:tc>
        <w:tc>
          <w:tcPr>
            <w:tcW w:w="652" w:type="pct"/>
          </w:tcPr>
          <w:p w14:paraId="58754D7F" w14:textId="77777777" w:rsidR="007D1E74" w:rsidRDefault="00A95641">
            <w:pPr>
              <w:pStyle w:val="TableParagraph"/>
              <w:spacing w:before="25"/>
              <w:ind w:left="115" w:right="226"/>
              <w:rPr>
                <w:sz w:val="21"/>
                <w:szCs w:val="21"/>
              </w:rPr>
            </w:pPr>
            <w:r>
              <w:rPr>
                <w:sz w:val="21"/>
                <w:szCs w:val="21"/>
              </w:rPr>
              <w:t>0.5</w:t>
            </w:r>
          </w:p>
        </w:tc>
      </w:tr>
      <w:tr w:rsidR="007D1E74" w14:paraId="26FE6166" w14:textId="77777777">
        <w:trPr>
          <w:trHeight w:hRule="exact" w:val="336"/>
        </w:trPr>
        <w:tc>
          <w:tcPr>
            <w:tcW w:w="440" w:type="pct"/>
          </w:tcPr>
          <w:p w14:paraId="315C034A" w14:textId="77777777" w:rsidR="007D1E74" w:rsidRDefault="00A95641">
            <w:pPr>
              <w:pStyle w:val="TableParagraph"/>
              <w:spacing w:before="25"/>
              <w:ind w:left="4"/>
              <w:rPr>
                <w:sz w:val="21"/>
                <w:szCs w:val="21"/>
              </w:rPr>
            </w:pPr>
            <w:r>
              <w:rPr>
                <w:sz w:val="21"/>
                <w:szCs w:val="21"/>
              </w:rPr>
              <w:t>3</w:t>
            </w:r>
          </w:p>
        </w:tc>
        <w:tc>
          <w:tcPr>
            <w:tcW w:w="908" w:type="pct"/>
          </w:tcPr>
          <w:p w14:paraId="31F6EC99" w14:textId="77777777" w:rsidR="007D1E74" w:rsidRDefault="00A95641">
            <w:pPr>
              <w:pStyle w:val="TableParagraph"/>
              <w:spacing w:line="283" w:lineRule="exact"/>
              <w:ind w:left="102"/>
              <w:rPr>
                <w:rFonts w:ascii="宋体"/>
                <w:sz w:val="21"/>
                <w:szCs w:val="21"/>
              </w:rPr>
            </w:pPr>
            <w:r>
              <w:rPr>
                <w:rFonts w:ascii="宋体" w:hint="eastAsia"/>
                <w:sz w:val="21"/>
                <w:szCs w:val="21"/>
              </w:rPr>
              <w:t>白花鬼针草</w:t>
            </w:r>
          </w:p>
        </w:tc>
        <w:tc>
          <w:tcPr>
            <w:tcW w:w="674" w:type="pct"/>
          </w:tcPr>
          <w:p w14:paraId="68DF84B1" w14:textId="77777777" w:rsidR="007D1E74" w:rsidRDefault="00A95641">
            <w:pPr>
              <w:pStyle w:val="TableParagraph"/>
              <w:spacing w:line="283" w:lineRule="exact"/>
              <w:ind w:left="104"/>
              <w:rPr>
                <w:rFonts w:ascii="宋体"/>
                <w:sz w:val="21"/>
                <w:szCs w:val="21"/>
              </w:rPr>
            </w:pPr>
            <w:r>
              <w:rPr>
                <w:rFonts w:ascii="宋体" w:hint="eastAsia"/>
                <w:sz w:val="21"/>
                <w:szCs w:val="21"/>
              </w:rPr>
              <w:t>花期</w:t>
            </w:r>
          </w:p>
        </w:tc>
        <w:tc>
          <w:tcPr>
            <w:tcW w:w="674" w:type="pct"/>
          </w:tcPr>
          <w:p w14:paraId="61F275B5" w14:textId="77777777" w:rsidR="007D1E74" w:rsidRDefault="00A95641">
            <w:pPr>
              <w:pStyle w:val="TableParagraph"/>
              <w:spacing w:before="25"/>
              <w:ind w:right="1"/>
              <w:rPr>
                <w:sz w:val="21"/>
                <w:szCs w:val="21"/>
              </w:rPr>
            </w:pPr>
            <w:r>
              <w:rPr>
                <w:sz w:val="21"/>
                <w:szCs w:val="21"/>
              </w:rPr>
              <w:t>3</w:t>
            </w:r>
          </w:p>
        </w:tc>
        <w:tc>
          <w:tcPr>
            <w:tcW w:w="674" w:type="pct"/>
          </w:tcPr>
          <w:p w14:paraId="2D9A80D0" w14:textId="77777777" w:rsidR="007D1E74" w:rsidRDefault="00A95641">
            <w:pPr>
              <w:pStyle w:val="TableParagraph"/>
              <w:spacing w:before="25"/>
              <w:ind w:left="231" w:right="231"/>
              <w:rPr>
                <w:sz w:val="21"/>
                <w:szCs w:val="21"/>
              </w:rPr>
            </w:pPr>
            <w:r>
              <w:rPr>
                <w:sz w:val="21"/>
                <w:szCs w:val="21"/>
              </w:rPr>
              <w:t>Ol</w:t>
            </w:r>
          </w:p>
        </w:tc>
        <w:tc>
          <w:tcPr>
            <w:tcW w:w="978" w:type="pct"/>
          </w:tcPr>
          <w:p w14:paraId="1B4C8029" w14:textId="77777777" w:rsidR="007D1E74" w:rsidRDefault="00A95641">
            <w:pPr>
              <w:pStyle w:val="TableParagraph"/>
              <w:spacing w:before="25"/>
              <w:ind w:left="170" w:right="170"/>
              <w:rPr>
                <w:sz w:val="21"/>
                <w:szCs w:val="21"/>
              </w:rPr>
            </w:pPr>
            <w:r>
              <w:rPr>
                <w:sz w:val="21"/>
                <w:szCs w:val="21"/>
              </w:rPr>
              <w:t>1.3</w:t>
            </w:r>
          </w:p>
        </w:tc>
        <w:tc>
          <w:tcPr>
            <w:tcW w:w="652" w:type="pct"/>
          </w:tcPr>
          <w:p w14:paraId="60DD5B24" w14:textId="77777777" w:rsidR="007D1E74" w:rsidRDefault="00A95641">
            <w:pPr>
              <w:pStyle w:val="TableParagraph"/>
              <w:spacing w:before="25"/>
              <w:ind w:right="108"/>
              <w:rPr>
                <w:sz w:val="21"/>
                <w:szCs w:val="21"/>
              </w:rPr>
            </w:pPr>
            <w:r>
              <w:rPr>
                <w:sz w:val="21"/>
                <w:szCs w:val="21"/>
              </w:rPr>
              <w:t>1</w:t>
            </w:r>
          </w:p>
        </w:tc>
      </w:tr>
      <w:tr w:rsidR="007D1E74" w14:paraId="4FC470A7" w14:textId="77777777">
        <w:trPr>
          <w:trHeight w:hRule="exact" w:val="336"/>
        </w:trPr>
        <w:tc>
          <w:tcPr>
            <w:tcW w:w="440" w:type="pct"/>
          </w:tcPr>
          <w:p w14:paraId="07EB606C" w14:textId="77777777" w:rsidR="007D1E74" w:rsidRDefault="00A95641">
            <w:pPr>
              <w:pStyle w:val="TableParagraph"/>
              <w:spacing w:before="25"/>
              <w:ind w:left="4"/>
              <w:rPr>
                <w:sz w:val="21"/>
                <w:szCs w:val="21"/>
              </w:rPr>
            </w:pPr>
            <w:r>
              <w:rPr>
                <w:sz w:val="21"/>
                <w:szCs w:val="21"/>
              </w:rPr>
              <w:t>4</w:t>
            </w:r>
          </w:p>
        </w:tc>
        <w:tc>
          <w:tcPr>
            <w:tcW w:w="908" w:type="pct"/>
          </w:tcPr>
          <w:p w14:paraId="6BDEC4F5" w14:textId="77777777" w:rsidR="007D1E74" w:rsidRDefault="00A95641">
            <w:pPr>
              <w:pStyle w:val="TableParagraph"/>
              <w:spacing w:line="283" w:lineRule="exact"/>
              <w:ind w:left="102"/>
              <w:rPr>
                <w:rFonts w:ascii="宋体"/>
                <w:sz w:val="21"/>
                <w:szCs w:val="21"/>
              </w:rPr>
            </w:pPr>
            <w:r>
              <w:rPr>
                <w:rFonts w:ascii="宋体" w:hint="eastAsia"/>
                <w:sz w:val="21"/>
                <w:szCs w:val="21"/>
              </w:rPr>
              <w:t>芒</w:t>
            </w:r>
          </w:p>
        </w:tc>
        <w:tc>
          <w:tcPr>
            <w:tcW w:w="674" w:type="pct"/>
          </w:tcPr>
          <w:p w14:paraId="5C36CDE8" w14:textId="77777777" w:rsidR="007D1E74" w:rsidRDefault="00A95641">
            <w:pPr>
              <w:pStyle w:val="TableParagraph"/>
              <w:spacing w:line="283" w:lineRule="exact"/>
              <w:ind w:left="104"/>
              <w:rPr>
                <w:rFonts w:ascii="宋体"/>
                <w:sz w:val="21"/>
                <w:szCs w:val="21"/>
              </w:rPr>
            </w:pPr>
            <w:r>
              <w:rPr>
                <w:rFonts w:ascii="宋体" w:hint="eastAsia"/>
                <w:sz w:val="21"/>
                <w:szCs w:val="21"/>
              </w:rPr>
              <w:t>营养期</w:t>
            </w:r>
          </w:p>
        </w:tc>
        <w:tc>
          <w:tcPr>
            <w:tcW w:w="674" w:type="pct"/>
          </w:tcPr>
          <w:p w14:paraId="3D86347E" w14:textId="77777777" w:rsidR="007D1E74" w:rsidRDefault="00A95641">
            <w:pPr>
              <w:pStyle w:val="TableParagraph"/>
              <w:spacing w:before="25"/>
              <w:ind w:right="1"/>
              <w:rPr>
                <w:sz w:val="21"/>
                <w:szCs w:val="21"/>
              </w:rPr>
            </w:pPr>
            <w:r>
              <w:rPr>
                <w:sz w:val="21"/>
                <w:szCs w:val="21"/>
              </w:rPr>
              <w:t>1</w:t>
            </w:r>
          </w:p>
        </w:tc>
        <w:tc>
          <w:tcPr>
            <w:tcW w:w="674" w:type="pct"/>
          </w:tcPr>
          <w:p w14:paraId="60989F3C" w14:textId="77777777" w:rsidR="007D1E74" w:rsidRDefault="00A95641">
            <w:pPr>
              <w:pStyle w:val="TableParagraph"/>
              <w:spacing w:before="25"/>
              <w:ind w:left="231" w:right="231"/>
              <w:rPr>
                <w:sz w:val="21"/>
                <w:szCs w:val="21"/>
              </w:rPr>
            </w:pPr>
            <w:r>
              <w:rPr>
                <w:sz w:val="21"/>
                <w:szCs w:val="21"/>
              </w:rPr>
              <w:t>Ol</w:t>
            </w:r>
          </w:p>
        </w:tc>
        <w:tc>
          <w:tcPr>
            <w:tcW w:w="978" w:type="pct"/>
          </w:tcPr>
          <w:p w14:paraId="5A21BC5A" w14:textId="77777777" w:rsidR="007D1E74" w:rsidRDefault="00A95641">
            <w:pPr>
              <w:pStyle w:val="TableParagraph"/>
              <w:spacing w:before="25"/>
              <w:ind w:left="170" w:right="170"/>
              <w:rPr>
                <w:sz w:val="21"/>
                <w:szCs w:val="21"/>
              </w:rPr>
            </w:pPr>
            <w:r>
              <w:rPr>
                <w:sz w:val="21"/>
                <w:szCs w:val="21"/>
              </w:rPr>
              <w:t>2.3</w:t>
            </w:r>
          </w:p>
        </w:tc>
        <w:tc>
          <w:tcPr>
            <w:tcW w:w="652" w:type="pct"/>
          </w:tcPr>
          <w:p w14:paraId="5B43B6B0" w14:textId="77777777" w:rsidR="007D1E74" w:rsidRDefault="00A95641">
            <w:pPr>
              <w:pStyle w:val="TableParagraph"/>
              <w:spacing w:before="25"/>
              <w:ind w:right="108"/>
              <w:rPr>
                <w:sz w:val="21"/>
                <w:szCs w:val="21"/>
              </w:rPr>
            </w:pPr>
            <w:r>
              <w:rPr>
                <w:sz w:val="21"/>
                <w:szCs w:val="21"/>
              </w:rPr>
              <w:t>2</w:t>
            </w:r>
          </w:p>
        </w:tc>
      </w:tr>
      <w:tr w:rsidR="007D1E74" w14:paraId="7841C553" w14:textId="77777777">
        <w:trPr>
          <w:trHeight w:hRule="exact" w:val="336"/>
        </w:trPr>
        <w:tc>
          <w:tcPr>
            <w:tcW w:w="440" w:type="pct"/>
          </w:tcPr>
          <w:p w14:paraId="3E229407" w14:textId="77777777" w:rsidR="007D1E74" w:rsidRDefault="00A95641">
            <w:pPr>
              <w:pStyle w:val="TableParagraph"/>
              <w:spacing w:before="25"/>
              <w:ind w:left="4"/>
              <w:rPr>
                <w:sz w:val="21"/>
                <w:szCs w:val="21"/>
              </w:rPr>
            </w:pPr>
            <w:r>
              <w:rPr>
                <w:sz w:val="21"/>
                <w:szCs w:val="21"/>
              </w:rPr>
              <w:lastRenderedPageBreak/>
              <w:t>5</w:t>
            </w:r>
          </w:p>
        </w:tc>
        <w:tc>
          <w:tcPr>
            <w:tcW w:w="908" w:type="pct"/>
          </w:tcPr>
          <w:p w14:paraId="4F95B6D2" w14:textId="77777777" w:rsidR="007D1E74" w:rsidRDefault="00A95641">
            <w:pPr>
              <w:pStyle w:val="TableParagraph"/>
              <w:spacing w:line="283" w:lineRule="exact"/>
              <w:ind w:left="102"/>
              <w:rPr>
                <w:rFonts w:ascii="宋体"/>
                <w:sz w:val="21"/>
                <w:szCs w:val="21"/>
              </w:rPr>
            </w:pPr>
            <w:r>
              <w:rPr>
                <w:rFonts w:ascii="宋体" w:hint="eastAsia"/>
                <w:sz w:val="21"/>
                <w:szCs w:val="21"/>
              </w:rPr>
              <w:t>狗牙根</w:t>
            </w:r>
          </w:p>
        </w:tc>
        <w:tc>
          <w:tcPr>
            <w:tcW w:w="674" w:type="pct"/>
          </w:tcPr>
          <w:p w14:paraId="3D936DCE" w14:textId="77777777" w:rsidR="007D1E74" w:rsidRDefault="00A95641">
            <w:pPr>
              <w:pStyle w:val="TableParagraph"/>
              <w:spacing w:line="283" w:lineRule="exact"/>
              <w:ind w:left="104"/>
              <w:rPr>
                <w:rFonts w:ascii="宋体"/>
                <w:sz w:val="21"/>
                <w:szCs w:val="21"/>
              </w:rPr>
            </w:pPr>
            <w:r>
              <w:rPr>
                <w:rFonts w:ascii="宋体" w:hint="eastAsia"/>
                <w:sz w:val="21"/>
                <w:szCs w:val="21"/>
              </w:rPr>
              <w:t>营养期</w:t>
            </w:r>
          </w:p>
        </w:tc>
        <w:tc>
          <w:tcPr>
            <w:tcW w:w="674" w:type="pct"/>
          </w:tcPr>
          <w:p w14:paraId="5BE857AB" w14:textId="77777777" w:rsidR="007D1E74" w:rsidRDefault="00A95641">
            <w:pPr>
              <w:pStyle w:val="TableParagraph"/>
              <w:spacing w:line="301" w:lineRule="exact"/>
              <w:ind w:left="172" w:right="172"/>
              <w:rPr>
                <w:rFonts w:ascii="宋体"/>
                <w:sz w:val="21"/>
                <w:szCs w:val="21"/>
              </w:rPr>
            </w:pPr>
            <w:r>
              <w:rPr>
                <w:sz w:val="21"/>
                <w:szCs w:val="21"/>
              </w:rPr>
              <w:t xml:space="preserve">1 </w:t>
            </w:r>
            <w:r>
              <w:rPr>
                <w:rFonts w:ascii="宋体" w:hint="eastAsia"/>
                <w:sz w:val="21"/>
                <w:szCs w:val="21"/>
              </w:rPr>
              <w:t>丛</w:t>
            </w:r>
          </w:p>
        </w:tc>
        <w:tc>
          <w:tcPr>
            <w:tcW w:w="674" w:type="pct"/>
          </w:tcPr>
          <w:p w14:paraId="7B78212C" w14:textId="77777777" w:rsidR="007D1E74" w:rsidRDefault="00A95641">
            <w:pPr>
              <w:pStyle w:val="TableParagraph"/>
              <w:spacing w:before="25"/>
              <w:ind w:left="231" w:right="231"/>
              <w:rPr>
                <w:sz w:val="21"/>
                <w:szCs w:val="21"/>
              </w:rPr>
            </w:pPr>
            <w:r>
              <w:rPr>
                <w:sz w:val="21"/>
                <w:szCs w:val="21"/>
              </w:rPr>
              <w:t>Ol</w:t>
            </w:r>
          </w:p>
        </w:tc>
        <w:tc>
          <w:tcPr>
            <w:tcW w:w="978" w:type="pct"/>
          </w:tcPr>
          <w:p w14:paraId="4A9D7DF5" w14:textId="77777777" w:rsidR="007D1E74" w:rsidRDefault="00A95641">
            <w:pPr>
              <w:pStyle w:val="TableParagraph"/>
              <w:spacing w:before="25"/>
              <w:ind w:left="170" w:right="170"/>
              <w:rPr>
                <w:sz w:val="21"/>
                <w:szCs w:val="21"/>
              </w:rPr>
            </w:pPr>
            <w:r>
              <w:rPr>
                <w:sz w:val="21"/>
                <w:szCs w:val="21"/>
              </w:rPr>
              <w:t>0.1</w:t>
            </w:r>
          </w:p>
        </w:tc>
        <w:tc>
          <w:tcPr>
            <w:tcW w:w="652" w:type="pct"/>
          </w:tcPr>
          <w:p w14:paraId="16F60C47" w14:textId="77777777" w:rsidR="007D1E74" w:rsidRDefault="00A95641">
            <w:pPr>
              <w:pStyle w:val="TableParagraph"/>
              <w:spacing w:before="25"/>
              <w:ind w:left="115" w:right="226"/>
              <w:rPr>
                <w:sz w:val="21"/>
                <w:szCs w:val="21"/>
              </w:rPr>
            </w:pPr>
            <w:r>
              <w:rPr>
                <w:sz w:val="21"/>
                <w:szCs w:val="21"/>
              </w:rPr>
              <w:t>0.2</w:t>
            </w:r>
          </w:p>
        </w:tc>
      </w:tr>
      <w:tr w:rsidR="007D1E74" w14:paraId="1727B020" w14:textId="77777777">
        <w:trPr>
          <w:trHeight w:hRule="exact" w:val="336"/>
        </w:trPr>
        <w:tc>
          <w:tcPr>
            <w:tcW w:w="440" w:type="pct"/>
          </w:tcPr>
          <w:p w14:paraId="0E3BF093" w14:textId="77777777" w:rsidR="007D1E74" w:rsidRDefault="00A95641">
            <w:pPr>
              <w:pStyle w:val="TableParagraph"/>
              <w:spacing w:before="25"/>
              <w:ind w:left="4"/>
              <w:rPr>
                <w:sz w:val="21"/>
                <w:szCs w:val="21"/>
              </w:rPr>
            </w:pPr>
            <w:r>
              <w:rPr>
                <w:sz w:val="21"/>
                <w:szCs w:val="21"/>
              </w:rPr>
              <w:t>6</w:t>
            </w:r>
          </w:p>
        </w:tc>
        <w:tc>
          <w:tcPr>
            <w:tcW w:w="908" w:type="pct"/>
          </w:tcPr>
          <w:p w14:paraId="2C88EEC7" w14:textId="77777777" w:rsidR="007D1E74" w:rsidRDefault="00A95641">
            <w:pPr>
              <w:pStyle w:val="TableParagraph"/>
              <w:spacing w:line="283" w:lineRule="exact"/>
              <w:ind w:left="102"/>
              <w:rPr>
                <w:rFonts w:ascii="宋体"/>
                <w:sz w:val="21"/>
                <w:szCs w:val="21"/>
              </w:rPr>
            </w:pPr>
            <w:r>
              <w:rPr>
                <w:rFonts w:ascii="宋体" w:hint="eastAsia"/>
                <w:sz w:val="21"/>
                <w:szCs w:val="21"/>
              </w:rPr>
              <w:t>芒萁</w:t>
            </w:r>
          </w:p>
        </w:tc>
        <w:tc>
          <w:tcPr>
            <w:tcW w:w="674" w:type="pct"/>
          </w:tcPr>
          <w:p w14:paraId="1C3D04B0" w14:textId="77777777" w:rsidR="007D1E74" w:rsidRDefault="00A95641">
            <w:pPr>
              <w:pStyle w:val="TableParagraph"/>
              <w:spacing w:line="283" w:lineRule="exact"/>
              <w:ind w:left="104"/>
              <w:rPr>
                <w:rFonts w:ascii="宋体"/>
                <w:sz w:val="21"/>
                <w:szCs w:val="21"/>
              </w:rPr>
            </w:pPr>
            <w:r>
              <w:rPr>
                <w:rFonts w:ascii="宋体" w:hint="eastAsia"/>
                <w:sz w:val="21"/>
                <w:szCs w:val="21"/>
              </w:rPr>
              <w:t>营养期</w:t>
            </w:r>
          </w:p>
        </w:tc>
        <w:tc>
          <w:tcPr>
            <w:tcW w:w="674" w:type="pct"/>
          </w:tcPr>
          <w:p w14:paraId="6BE996D9" w14:textId="77777777" w:rsidR="007D1E74" w:rsidRDefault="00A95641">
            <w:pPr>
              <w:pStyle w:val="TableParagraph"/>
              <w:spacing w:line="301" w:lineRule="exact"/>
              <w:ind w:left="172" w:right="172"/>
              <w:rPr>
                <w:rFonts w:ascii="宋体"/>
                <w:sz w:val="21"/>
                <w:szCs w:val="21"/>
              </w:rPr>
            </w:pPr>
            <w:r>
              <w:rPr>
                <w:sz w:val="21"/>
                <w:szCs w:val="21"/>
              </w:rPr>
              <w:t xml:space="preserve">1 </w:t>
            </w:r>
            <w:r>
              <w:rPr>
                <w:rFonts w:ascii="宋体" w:hint="eastAsia"/>
                <w:sz w:val="21"/>
                <w:szCs w:val="21"/>
              </w:rPr>
              <w:t>丛</w:t>
            </w:r>
          </w:p>
        </w:tc>
        <w:tc>
          <w:tcPr>
            <w:tcW w:w="674" w:type="pct"/>
          </w:tcPr>
          <w:p w14:paraId="7B4CE489" w14:textId="77777777" w:rsidR="007D1E74" w:rsidRDefault="00A95641">
            <w:pPr>
              <w:pStyle w:val="TableParagraph"/>
              <w:spacing w:before="25"/>
              <w:ind w:left="231" w:right="231"/>
              <w:rPr>
                <w:sz w:val="21"/>
                <w:szCs w:val="21"/>
              </w:rPr>
            </w:pPr>
            <w:r>
              <w:rPr>
                <w:sz w:val="21"/>
                <w:szCs w:val="21"/>
              </w:rPr>
              <w:t>Ol</w:t>
            </w:r>
          </w:p>
        </w:tc>
        <w:tc>
          <w:tcPr>
            <w:tcW w:w="978" w:type="pct"/>
          </w:tcPr>
          <w:p w14:paraId="4FE85694" w14:textId="77777777" w:rsidR="007D1E74" w:rsidRDefault="00A95641">
            <w:pPr>
              <w:pStyle w:val="TableParagraph"/>
              <w:spacing w:before="25"/>
              <w:ind w:left="170" w:right="170"/>
              <w:rPr>
                <w:sz w:val="21"/>
                <w:szCs w:val="21"/>
              </w:rPr>
            </w:pPr>
            <w:r>
              <w:rPr>
                <w:sz w:val="21"/>
                <w:szCs w:val="21"/>
              </w:rPr>
              <w:t>0.25</w:t>
            </w:r>
          </w:p>
        </w:tc>
        <w:tc>
          <w:tcPr>
            <w:tcW w:w="652" w:type="pct"/>
          </w:tcPr>
          <w:p w14:paraId="1F4E3A85" w14:textId="77777777" w:rsidR="007D1E74" w:rsidRDefault="00A95641">
            <w:pPr>
              <w:pStyle w:val="TableParagraph"/>
              <w:spacing w:before="25"/>
              <w:ind w:left="115" w:right="226"/>
              <w:rPr>
                <w:sz w:val="21"/>
                <w:szCs w:val="21"/>
              </w:rPr>
            </w:pPr>
            <w:r>
              <w:rPr>
                <w:sz w:val="21"/>
                <w:szCs w:val="21"/>
              </w:rPr>
              <w:t>0.5</w:t>
            </w:r>
          </w:p>
        </w:tc>
      </w:tr>
      <w:tr w:rsidR="007D1E74" w14:paraId="6A8122FF" w14:textId="77777777">
        <w:trPr>
          <w:trHeight w:hRule="exact" w:val="336"/>
        </w:trPr>
        <w:tc>
          <w:tcPr>
            <w:tcW w:w="440" w:type="pct"/>
          </w:tcPr>
          <w:p w14:paraId="689C6AC1" w14:textId="77777777" w:rsidR="007D1E74" w:rsidRDefault="00A95641">
            <w:pPr>
              <w:pStyle w:val="TableParagraph"/>
              <w:spacing w:before="25"/>
              <w:ind w:left="4"/>
              <w:rPr>
                <w:sz w:val="21"/>
                <w:szCs w:val="21"/>
              </w:rPr>
            </w:pPr>
            <w:r>
              <w:rPr>
                <w:sz w:val="21"/>
                <w:szCs w:val="21"/>
              </w:rPr>
              <w:t>7</w:t>
            </w:r>
          </w:p>
        </w:tc>
        <w:tc>
          <w:tcPr>
            <w:tcW w:w="908" w:type="pct"/>
          </w:tcPr>
          <w:p w14:paraId="53B8519E" w14:textId="77777777" w:rsidR="007D1E74" w:rsidRDefault="00A95641">
            <w:pPr>
              <w:pStyle w:val="TableParagraph"/>
              <w:spacing w:line="283" w:lineRule="exact"/>
              <w:ind w:left="102"/>
              <w:rPr>
                <w:rFonts w:ascii="宋体"/>
                <w:sz w:val="21"/>
                <w:szCs w:val="21"/>
              </w:rPr>
            </w:pPr>
            <w:r>
              <w:rPr>
                <w:rFonts w:ascii="宋体" w:hint="eastAsia"/>
                <w:sz w:val="21"/>
                <w:szCs w:val="21"/>
              </w:rPr>
              <w:t>海金沙</w:t>
            </w:r>
          </w:p>
        </w:tc>
        <w:tc>
          <w:tcPr>
            <w:tcW w:w="674" w:type="pct"/>
          </w:tcPr>
          <w:p w14:paraId="611FFCA1" w14:textId="77777777" w:rsidR="007D1E74" w:rsidRDefault="00A95641">
            <w:pPr>
              <w:pStyle w:val="TableParagraph"/>
              <w:spacing w:line="283" w:lineRule="exact"/>
              <w:ind w:left="104"/>
              <w:rPr>
                <w:rFonts w:ascii="宋体"/>
                <w:sz w:val="21"/>
                <w:szCs w:val="21"/>
              </w:rPr>
            </w:pPr>
            <w:r>
              <w:rPr>
                <w:rFonts w:ascii="宋体" w:hint="eastAsia"/>
                <w:sz w:val="21"/>
                <w:szCs w:val="21"/>
              </w:rPr>
              <w:t>营养期</w:t>
            </w:r>
          </w:p>
        </w:tc>
        <w:tc>
          <w:tcPr>
            <w:tcW w:w="674" w:type="pct"/>
          </w:tcPr>
          <w:p w14:paraId="232B8B59" w14:textId="77777777" w:rsidR="007D1E74" w:rsidRDefault="00A95641">
            <w:pPr>
              <w:pStyle w:val="TableParagraph"/>
              <w:spacing w:before="25"/>
              <w:ind w:right="1"/>
              <w:rPr>
                <w:sz w:val="21"/>
                <w:szCs w:val="21"/>
              </w:rPr>
            </w:pPr>
            <w:r>
              <w:rPr>
                <w:sz w:val="21"/>
                <w:szCs w:val="21"/>
              </w:rPr>
              <w:t>3</w:t>
            </w:r>
          </w:p>
        </w:tc>
        <w:tc>
          <w:tcPr>
            <w:tcW w:w="674" w:type="pct"/>
          </w:tcPr>
          <w:p w14:paraId="588DAD85" w14:textId="77777777" w:rsidR="007D1E74" w:rsidRDefault="00A95641">
            <w:pPr>
              <w:pStyle w:val="TableParagraph"/>
              <w:spacing w:before="25"/>
              <w:ind w:left="231" w:right="231"/>
              <w:rPr>
                <w:sz w:val="21"/>
                <w:szCs w:val="21"/>
              </w:rPr>
            </w:pPr>
            <w:r>
              <w:rPr>
                <w:sz w:val="21"/>
                <w:szCs w:val="21"/>
              </w:rPr>
              <w:t>Ol</w:t>
            </w:r>
          </w:p>
        </w:tc>
        <w:tc>
          <w:tcPr>
            <w:tcW w:w="978" w:type="pct"/>
          </w:tcPr>
          <w:p w14:paraId="4E46BF80" w14:textId="77777777" w:rsidR="007D1E74" w:rsidRDefault="00A95641">
            <w:pPr>
              <w:pStyle w:val="TableParagraph"/>
              <w:spacing w:before="25"/>
              <w:ind w:left="170" w:right="170"/>
              <w:rPr>
                <w:sz w:val="21"/>
                <w:szCs w:val="21"/>
              </w:rPr>
            </w:pPr>
            <w:r>
              <w:rPr>
                <w:sz w:val="21"/>
                <w:szCs w:val="21"/>
              </w:rPr>
              <w:t>1.0</w:t>
            </w:r>
          </w:p>
        </w:tc>
        <w:tc>
          <w:tcPr>
            <w:tcW w:w="652" w:type="pct"/>
          </w:tcPr>
          <w:p w14:paraId="0B2D78D4" w14:textId="77777777" w:rsidR="007D1E74" w:rsidRDefault="00A95641">
            <w:pPr>
              <w:pStyle w:val="TableParagraph"/>
              <w:spacing w:before="25"/>
              <w:ind w:left="115" w:right="226"/>
              <w:rPr>
                <w:sz w:val="21"/>
                <w:szCs w:val="21"/>
              </w:rPr>
            </w:pPr>
            <w:r>
              <w:rPr>
                <w:sz w:val="21"/>
                <w:szCs w:val="21"/>
              </w:rPr>
              <w:t>0.1</w:t>
            </w:r>
          </w:p>
        </w:tc>
      </w:tr>
    </w:tbl>
    <w:p w14:paraId="77288380" w14:textId="77777777" w:rsidR="007D1E74" w:rsidRDefault="007D1E74">
      <w:pPr>
        <w:spacing w:line="360" w:lineRule="auto"/>
        <w:rPr>
          <w:rFonts w:cs="Times New Roman"/>
          <w:szCs w:val="21"/>
        </w:rPr>
      </w:pPr>
    </w:p>
    <w:p w14:paraId="6849B0CC" w14:textId="77777777" w:rsidR="007D1E74" w:rsidRDefault="00A95641">
      <w:pPr>
        <w:spacing w:line="360" w:lineRule="auto"/>
        <w:jc w:val="center"/>
        <w:rPr>
          <w:rFonts w:eastAsia="黑体" w:cs="Times New Roman"/>
          <w:szCs w:val="21"/>
        </w:rPr>
      </w:pPr>
      <w:r>
        <w:rPr>
          <w:rFonts w:eastAsia="黑体" w:cs="Times New Roman"/>
          <w:szCs w:val="21"/>
        </w:rPr>
        <w:t>表</w:t>
      </w:r>
      <w:r>
        <w:rPr>
          <w:rFonts w:eastAsia="黑体" w:cs="Times New Roman"/>
          <w:szCs w:val="21"/>
        </w:rPr>
        <w:t xml:space="preserve">A.2.3-3  </w:t>
      </w:r>
      <w:r>
        <w:rPr>
          <w:rFonts w:eastAsia="黑体" w:cs="Times New Roman" w:hint="eastAsia"/>
          <w:szCs w:val="21"/>
        </w:rPr>
        <w:t>植物实测样方表</w:t>
      </w:r>
    </w:p>
    <w:tbl>
      <w:tblPr>
        <w:tblStyle w:val="affffc"/>
        <w:tblW w:w="0" w:type="auto"/>
        <w:tblBorders>
          <w:left w:val="none" w:sz="0" w:space="0" w:color="auto"/>
          <w:right w:val="none" w:sz="0" w:space="0" w:color="auto"/>
        </w:tblBorders>
        <w:tblLook w:val="04A0" w:firstRow="1" w:lastRow="0" w:firstColumn="1" w:lastColumn="0" w:noHBand="0" w:noVBand="1"/>
      </w:tblPr>
      <w:tblGrid>
        <w:gridCol w:w="9016"/>
      </w:tblGrid>
      <w:tr w:rsidR="007D1E74" w14:paraId="054543B6" w14:textId="77777777">
        <w:tc>
          <w:tcPr>
            <w:tcW w:w="9016" w:type="dxa"/>
          </w:tcPr>
          <w:p w14:paraId="6E106024" w14:textId="77777777" w:rsidR="007D1E74" w:rsidRDefault="00A95641">
            <w:pPr>
              <w:spacing w:line="360" w:lineRule="auto"/>
              <w:rPr>
                <w:rFonts w:eastAsiaTheme="minorEastAsia" w:cs="Times New Roman"/>
                <w:szCs w:val="21"/>
              </w:rPr>
            </w:pPr>
            <w:r>
              <w:rPr>
                <w:rFonts w:eastAsiaTheme="minorEastAsia" w:cs="Times New Roman" w:hint="eastAsia"/>
                <w:szCs w:val="21"/>
              </w:rPr>
              <w:t>群落名称：麻栎林</w:t>
            </w:r>
            <w:r>
              <w:rPr>
                <w:rFonts w:eastAsiaTheme="minorEastAsia" w:cs="Times New Roman" w:hint="eastAsia"/>
                <w:szCs w:val="21"/>
              </w:rPr>
              <w:tab/>
            </w:r>
            <w:r>
              <w:rPr>
                <w:rFonts w:eastAsiaTheme="minorEastAsia" w:cs="Times New Roman" w:hint="eastAsia"/>
                <w:szCs w:val="21"/>
              </w:rPr>
              <w:tab/>
            </w:r>
            <w:r>
              <w:rPr>
                <w:rFonts w:eastAsiaTheme="minorEastAsia" w:cs="Times New Roman" w:hint="eastAsia"/>
                <w:szCs w:val="21"/>
              </w:rPr>
              <w:t>地点：涪阳镇清江村</w:t>
            </w:r>
            <w:r>
              <w:rPr>
                <w:rFonts w:eastAsiaTheme="minorEastAsia" w:cs="Times New Roman" w:hint="eastAsia"/>
                <w:szCs w:val="21"/>
              </w:rPr>
              <w:tab/>
            </w:r>
            <w:r>
              <w:rPr>
                <w:rFonts w:eastAsiaTheme="minorEastAsia" w:cs="Times New Roman" w:hint="eastAsia"/>
                <w:szCs w:val="21"/>
              </w:rPr>
              <w:tab/>
            </w:r>
            <w:r>
              <w:rPr>
                <w:rFonts w:eastAsiaTheme="minorEastAsia" w:cs="Times New Roman" w:hint="eastAsia"/>
                <w:szCs w:val="21"/>
              </w:rPr>
              <w:t>样方面积：</w:t>
            </w:r>
            <w:r>
              <w:rPr>
                <w:rFonts w:eastAsiaTheme="minorEastAsia" w:cs="Times New Roman" w:hint="eastAsia"/>
                <w:szCs w:val="21"/>
              </w:rPr>
              <w:t>10m</w:t>
            </w:r>
            <w:r>
              <w:rPr>
                <w:rFonts w:eastAsiaTheme="minorEastAsia" w:cs="Times New Roman" w:hint="eastAsia"/>
                <w:szCs w:val="21"/>
              </w:rPr>
              <w:t>×</w:t>
            </w:r>
            <w:r>
              <w:rPr>
                <w:rFonts w:eastAsiaTheme="minorEastAsia" w:cs="Times New Roman" w:hint="eastAsia"/>
                <w:szCs w:val="21"/>
              </w:rPr>
              <w:t>10m</w:t>
            </w:r>
          </w:p>
        </w:tc>
      </w:tr>
      <w:tr w:rsidR="007D1E74" w14:paraId="2A552A72" w14:textId="77777777">
        <w:tc>
          <w:tcPr>
            <w:tcW w:w="9016" w:type="dxa"/>
          </w:tcPr>
          <w:p w14:paraId="4D434FB1" w14:textId="77777777" w:rsidR="007D1E74" w:rsidRDefault="00A95641">
            <w:pPr>
              <w:spacing w:line="360" w:lineRule="auto"/>
              <w:rPr>
                <w:rFonts w:eastAsiaTheme="minorEastAsia" w:cs="Times New Roman"/>
                <w:szCs w:val="21"/>
              </w:rPr>
            </w:pPr>
            <w:r>
              <w:rPr>
                <w:rFonts w:eastAsiaTheme="minorEastAsia" w:cs="Times New Roman" w:hint="eastAsia"/>
                <w:szCs w:val="21"/>
              </w:rPr>
              <w:t>经度：</w:t>
            </w:r>
            <w:r>
              <w:rPr>
                <w:rFonts w:eastAsiaTheme="minorEastAsia" w:cs="Times New Roman" w:hint="eastAsia"/>
                <w:szCs w:val="21"/>
              </w:rPr>
              <w:t xml:space="preserve">107.162894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纬度：</w:t>
            </w:r>
            <w:r>
              <w:rPr>
                <w:rFonts w:eastAsiaTheme="minorEastAsia" w:cs="Times New Roman" w:hint="eastAsia"/>
                <w:szCs w:val="21"/>
              </w:rPr>
              <w:t xml:space="preserve">32.147035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海拔（</w:t>
            </w:r>
            <w:r>
              <w:rPr>
                <w:rFonts w:eastAsiaTheme="minorEastAsia" w:cs="Times New Roman" w:hint="eastAsia"/>
                <w:szCs w:val="21"/>
              </w:rPr>
              <w:t>m</w:t>
            </w:r>
            <w:r>
              <w:rPr>
                <w:rFonts w:eastAsiaTheme="minorEastAsia" w:cs="Times New Roman" w:hint="eastAsia"/>
                <w:szCs w:val="21"/>
              </w:rPr>
              <w:t>）</w:t>
            </w:r>
            <w:r>
              <w:rPr>
                <w:rFonts w:eastAsiaTheme="minorEastAsia" w:cs="Times New Roman" w:hint="eastAsia"/>
                <w:szCs w:val="21"/>
              </w:rPr>
              <w:t>580</w:t>
            </w:r>
          </w:p>
        </w:tc>
      </w:tr>
      <w:tr w:rsidR="007D1E74" w14:paraId="5528CC22" w14:textId="77777777">
        <w:tc>
          <w:tcPr>
            <w:tcW w:w="9016" w:type="dxa"/>
          </w:tcPr>
          <w:p w14:paraId="204A1588" w14:textId="77777777" w:rsidR="007D1E74" w:rsidRDefault="00A95641">
            <w:pPr>
              <w:spacing w:line="360" w:lineRule="auto"/>
              <w:rPr>
                <w:rFonts w:eastAsiaTheme="minorEastAsia" w:cs="Times New Roman"/>
                <w:szCs w:val="21"/>
              </w:rPr>
            </w:pPr>
            <w:r>
              <w:rPr>
                <w:rFonts w:eastAsiaTheme="minorEastAsia" w:cs="Times New Roman" w:hint="eastAsia"/>
                <w:szCs w:val="21"/>
              </w:rPr>
              <w:t>调查人：黄文军、李秦</w:t>
            </w:r>
            <w:r>
              <w:rPr>
                <w:rFonts w:eastAsiaTheme="minorEastAsia" w:cs="Times New Roman" w:hint="eastAsia"/>
                <w:szCs w:val="21"/>
              </w:rPr>
              <w:tab/>
            </w:r>
            <w:r>
              <w:rPr>
                <w:rFonts w:eastAsiaTheme="minorEastAsia" w:cs="Times New Roman" w:hint="eastAsia"/>
                <w:szCs w:val="21"/>
              </w:rPr>
              <w:t>调查日期：</w:t>
            </w:r>
            <w:r>
              <w:rPr>
                <w:rFonts w:eastAsiaTheme="minorEastAsia" w:cs="Times New Roman" w:hint="eastAsia"/>
                <w:szCs w:val="21"/>
              </w:rPr>
              <w:t>2021-08-19</w:t>
            </w:r>
          </w:p>
        </w:tc>
      </w:tr>
    </w:tbl>
    <w:p w14:paraId="192C2A5E" w14:textId="77777777" w:rsidR="007D1E74" w:rsidRDefault="007D1E74">
      <w:pPr>
        <w:spacing w:line="360" w:lineRule="auto"/>
        <w:rPr>
          <w:rFonts w:eastAsia="黑体" w:cs="Times New Roman"/>
          <w:sz w:val="24"/>
          <w:szCs w:val="24"/>
        </w:rPr>
      </w:pP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4"/>
        <w:gridCol w:w="1637"/>
        <w:gridCol w:w="1215"/>
        <w:gridCol w:w="1215"/>
        <w:gridCol w:w="1215"/>
        <w:gridCol w:w="1764"/>
        <w:gridCol w:w="1176"/>
      </w:tblGrid>
      <w:tr w:rsidR="007D1E74" w14:paraId="15366D19" w14:textId="77777777">
        <w:trPr>
          <w:trHeight w:hRule="exact" w:val="351"/>
        </w:trPr>
        <w:tc>
          <w:tcPr>
            <w:tcW w:w="440" w:type="pct"/>
          </w:tcPr>
          <w:p w14:paraId="4E620ED8" w14:textId="77777777" w:rsidR="007D1E74" w:rsidRDefault="00A95641">
            <w:pPr>
              <w:pStyle w:val="TableParagraph"/>
              <w:spacing w:line="284" w:lineRule="exact"/>
              <w:ind w:left="109" w:right="103"/>
              <w:rPr>
                <w:rFonts w:ascii="宋体"/>
                <w:sz w:val="21"/>
                <w:szCs w:val="21"/>
              </w:rPr>
            </w:pPr>
            <w:r>
              <w:rPr>
                <w:rFonts w:ascii="宋体" w:hint="eastAsia"/>
                <w:sz w:val="21"/>
                <w:szCs w:val="21"/>
              </w:rPr>
              <w:t>种号</w:t>
            </w:r>
          </w:p>
        </w:tc>
        <w:tc>
          <w:tcPr>
            <w:tcW w:w="908" w:type="pct"/>
          </w:tcPr>
          <w:p w14:paraId="22E0653D" w14:textId="77777777" w:rsidR="007D1E74" w:rsidRDefault="00A95641">
            <w:pPr>
              <w:pStyle w:val="TableParagraph"/>
              <w:spacing w:line="284" w:lineRule="exact"/>
              <w:ind w:left="397"/>
              <w:rPr>
                <w:rFonts w:ascii="宋体"/>
                <w:sz w:val="21"/>
                <w:szCs w:val="21"/>
              </w:rPr>
            </w:pPr>
            <w:r>
              <w:rPr>
                <w:rFonts w:ascii="宋体" w:hint="eastAsia"/>
                <w:sz w:val="21"/>
                <w:szCs w:val="21"/>
              </w:rPr>
              <w:t>物种名</w:t>
            </w:r>
          </w:p>
        </w:tc>
        <w:tc>
          <w:tcPr>
            <w:tcW w:w="674" w:type="pct"/>
          </w:tcPr>
          <w:p w14:paraId="159896CD" w14:textId="77777777" w:rsidR="007D1E74" w:rsidRDefault="00A95641">
            <w:pPr>
              <w:pStyle w:val="TableParagraph"/>
              <w:spacing w:line="284" w:lineRule="exact"/>
              <w:ind w:left="202"/>
              <w:rPr>
                <w:rFonts w:ascii="宋体"/>
                <w:sz w:val="21"/>
                <w:szCs w:val="21"/>
              </w:rPr>
            </w:pPr>
            <w:r>
              <w:rPr>
                <w:rFonts w:ascii="宋体" w:hint="eastAsia"/>
                <w:sz w:val="21"/>
                <w:szCs w:val="21"/>
              </w:rPr>
              <w:t>物候期</w:t>
            </w:r>
          </w:p>
        </w:tc>
        <w:tc>
          <w:tcPr>
            <w:tcW w:w="674" w:type="pct"/>
          </w:tcPr>
          <w:p w14:paraId="19DDEE72" w14:textId="77777777" w:rsidR="007D1E74" w:rsidRDefault="00A95641">
            <w:pPr>
              <w:pStyle w:val="TableParagraph"/>
              <w:spacing w:line="302" w:lineRule="exact"/>
              <w:ind w:left="102" w:right="102"/>
              <w:rPr>
                <w:rFonts w:ascii="宋体"/>
                <w:sz w:val="21"/>
                <w:szCs w:val="21"/>
              </w:rPr>
            </w:pPr>
            <w:r>
              <w:rPr>
                <w:rFonts w:ascii="宋体" w:hint="eastAsia"/>
                <w:sz w:val="21"/>
                <w:szCs w:val="21"/>
              </w:rPr>
              <w:t>株</w:t>
            </w:r>
            <w:r>
              <w:rPr>
                <w:sz w:val="21"/>
                <w:szCs w:val="21"/>
              </w:rPr>
              <w:t>(</w:t>
            </w:r>
            <w:r>
              <w:rPr>
                <w:rFonts w:ascii="宋体" w:hint="eastAsia"/>
                <w:sz w:val="21"/>
                <w:szCs w:val="21"/>
              </w:rPr>
              <w:t>丛</w:t>
            </w:r>
            <w:r>
              <w:rPr>
                <w:sz w:val="21"/>
                <w:szCs w:val="21"/>
              </w:rPr>
              <w:t>)</w:t>
            </w:r>
            <w:r>
              <w:rPr>
                <w:rFonts w:ascii="宋体" w:hint="eastAsia"/>
                <w:sz w:val="21"/>
                <w:szCs w:val="21"/>
              </w:rPr>
              <w:t>数</w:t>
            </w:r>
          </w:p>
        </w:tc>
        <w:tc>
          <w:tcPr>
            <w:tcW w:w="674" w:type="pct"/>
          </w:tcPr>
          <w:p w14:paraId="72115930" w14:textId="77777777" w:rsidR="007D1E74" w:rsidRDefault="00A95641">
            <w:pPr>
              <w:pStyle w:val="TableParagraph"/>
              <w:spacing w:line="284" w:lineRule="exact"/>
              <w:ind w:left="102" w:right="102"/>
              <w:rPr>
                <w:rFonts w:ascii="宋体"/>
                <w:sz w:val="21"/>
                <w:szCs w:val="21"/>
              </w:rPr>
            </w:pPr>
            <w:r>
              <w:rPr>
                <w:rFonts w:ascii="宋体" w:hint="eastAsia"/>
                <w:sz w:val="21"/>
                <w:szCs w:val="21"/>
              </w:rPr>
              <w:t>多度</w:t>
            </w:r>
          </w:p>
        </w:tc>
        <w:tc>
          <w:tcPr>
            <w:tcW w:w="978" w:type="pct"/>
          </w:tcPr>
          <w:p w14:paraId="1E97751C" w14:textId="77777777" w:rsidR="007D1E74" w:rsidRDefault="00A95641">
            <w:pPr>
              <w:pStyle w:val="TableParagraph"/>
              <w:spacing w:line="302" w:lineRule="exact"/>
              <w:ind w:left="172" w:right="170"/>
              <w:rPr>
                <w:sz w:val="21"/>
                <w:szCs w:val="21"/>
              </w:rPr>
            </w:pPr>
            <w:r>
              <w:rPr>
                <w:rFonts w:ascii="宋体" w:hint="eastAsia"/>
                <w:w w:val="95"/>
                <w:sz w:val="21"/>
                <w:szCs w:val="21"/>
              </w:rPr>
              <w:t>平均高度</w:t>
            </w:r>
            <w:r>
              <w:rPr>
                <w:w w:val="95"/>
                <w:sz w:val="21"/>
                <w:szCs w:val="21"/>
              </w:rPr>
              <w:t>/cm</w:t>
            </w:r>
          </w:p>
        </w:tc>
        <w:tc>
          <w:tcPr>
            <w:tcW w:w="652" w:type="pct"/>
          </w:tcPr>
          <w:p w14:paraId="33747197" w14:textId="77777777" w:rsidR="007D1E74" w:rsidRDefault="00A95641">
            <w:pPr>
              <w:pStyle w:val="TableParagraph"/>
              <w:spacing w:line="302" w:lineRule="exact"/>
              <w:ind w:left="116" w:right="226"/>
              <w:rPr>
                <w:sz w:val="21"/>
                <w:szCs w:val="21"/>
              </w:rPr>
            </w:pPr>
            <w:r>
              <w:rPr>
                <w:rFonts w:ascii="宋体" w:hint="eastAsia"/>
                <w:w w:val="95"/>
                <w:sz w:val="21"/>
                <w:szCs w:val="21"/>
              </w:rPr>
              <w:t>盖度</w:t>
            </w:r>
            <w:r>
              <w:rPr>
                <w:w w:val="95"/>
                <w:sz w:val="21"/>
                <w:szCs w:val="21"/>
              </w:rPr>
              <w:t>/%</w:t>
            </w:r>
          </w:p>
        </w:tc>
      </w:tr>
      <w:tr w:rsidR="007D1E74" w14:paraId="39E3A124" w14:textId="77777777">
        <w:trPr>
          <w:trHeight w:hRule="exact" w:val="336"/>
        </w:trPr>
        <w:tc>
          <w:tcPr>
            <w:tcW w:w="440" w:type="pct"/>
          </w:tcPr>
          <w:p w14:paraId="6404173F" w14:textId="77777777" w:rsidR="007D1E74" w:rsidRDefault="00A95641">
            <w:pPr>
              <w:pStyle w:val="TableParagraph"/>
              <w:spacing w:before="25"/>
              <w:ind w:left="4"/>
              <w:rPr>
                <w:sz w:val="21"/>
                <w:szCs w:val="21"/>
              </w:rPr>
            </w:pPr>
            <w:r>
              <w:rPr>
                <w:sz w:val="21"/>
                <w:szCs w:val="21"/>
              </w:rPr>
              <w:t>1</w:t>
            </w:r>
          </w:p>
        </w:tc>
        <w:tc>
          <w:tcPr>
            <w:tcW w:w="908" w:type="pct"/>
          </w:tcPr>
          <w:p w14:paraId="0BFCAA73" w14:textId="77777777" w:rsidR="007D1E74" w:rsidRDefault="00A95641">
            <w:pPr>
              <w:pStyle w:val="TableParagraph"/>
              <w:spacing w:line="283" w:lineRule="exact"/>
              <w:ind w:left="102"/>
              <w:rPr>
                <w:rFonts w:ascii="宋体"/>
                <w:sz w:val="21"/>
                <w:szCs w:val="21"/>
              </w:rPr>
            </w:pPr>
            <w:r>
              <w:rPr>
                <w:rFonts w:ascii="宋体" w:hint="eastAsia"/>
                <w:sz w:val="21"/>
                <w:szCs w:val="21"/>
              </w:rPr>
              <w:t>麻栎</w:t>
            </w:r>
          </w:p>
        </w:tc>
        <w:tc>
          <w:tcPr>
            <w:tcW w:w="674" w:type="pct"/>
          </w:tcPr>
          <w:p w14:paraId="7723BA17" w14:textId="77777777" w:rsidR="007D1E74" w:rsidRDefault="00A95641">
            <w:pPr>
              <w:pStyle w:val="TableParagraph"/>
              <w:spacing w:line="283" w:lineRule="exact"/>
              <w:ind w:left="103"/>
              <w:rPr>
                <w:rFonts w:ascii="宋体"/>
                <w:sz w:val="21"/>
                <w:szCs w:val="21"/>
              </w:rPr>
            </w:pPr>
            <w:r>
              <w:rPr>
                <w:rFonts w:ascii="宋体" w:hint="eastAsia"/>
                <w:sz w:val="21"/>
                <w:szCs w:val="21"/>
              </w:rPr>
              <w:t>果期</w:t>
            </w:r>
          </w:p>
        </w:tc>
        <w:tc>
          <w:tcPr>
            <w:tcW w:w="674" w:type="pct"/>
          </w:tcPr>
          <w:p w14:paraId="30A70D07" w14:textId="77777777" w:rsidR="007D1E74" w:rsidRDefault="00A95641">
            <w:pPr>
              <w:pStyle w:val="TableParagraph"/>
              <w:spacing w:before="25"/>
              <w:rPr>
                <w:sz w:val="21"/>
                <w:szCs w:val="21"/>
              </w:rPr>
            </w:pPr>
            <w:r>
              <w:rPr>
                <w:sz w:val="21"/>
                <w:szCs w:val="21"/>
              </w:rPr>
              <w:t>6</w:t>
            </w:r>
          </w:p>
        </w:tc>
        <w:tc>
          <w:tcPr>
            <w:tcW w:w="674" w:type="pct"/>
          </w:tcPr>
          <w:p w14:paraId="13AB8503" w14:textId="77777777" w:rsidR="007D1E74" w:rsidRDefault="00A95641">
            <w:pPr>
              <w:pStyle w:val="TableParagraph"/>
              <w:spacing w:before="24"/>
              <w:ind w:left="101" w:right="101"/>
              <w:rPr>
                <w:sz w:val="21"/>
                <w:szCs w:val="21"/>
              </w:rPr>
            </w:pPr>
            <w:r>
              <w:rPr>
                <w:position w:val="2"/>
                <w:sz w:val="21"/>
                <w:szCs w:val="21"/>
              </w:rPr>
              <w:t>Cop</w:t>
            </w:r>
            <w:r>
              <w:rPr>
                <w:sz w:val="21"/>
                <w:szCs w:val="21"/>
              </w:rPr>
              <w:t>2</w:t>
            </w:r>
          </w:p>
        </w:tc>
        <w:tc>
          <w:tcPr>
            <w:tcW w:w="978" w:type="pct"/>
          </w:tcPr>
          <w:p w14:paraId="361A71CC" w14:textId="77777777" w:rsidR="007D1E74" w:rsidRDefault="00A95641">
            <w:pPr>
              <w:pStyle w:val="TableParagraph"/>
              <w:spacing w:before="25"/>
              <w:ind w:left="241" w:right="241"/>
              <w:rPr>
                <w:sz w:val="21"/>
                <w:szCs w:val="21"/>
              </w:rPr>
            </w:pPr>
            <w:r>
              <w:rPr>
                <w:sz w:val="21"/>
                <w:szCs w:val="21"/>
              </w:rPr>
              <w:t>14</w:t>
            </w:r>
          </w:p>
        </w:tc>
        <w:tc>
          <w:tcPr>
            <w:tcW w:w="652" w:type="pct"/>
          </w:tcPr>
          <w:p w14:paraId="2F8C714F" w14:textId="77777777" w:rsidR="007D1E74" w:rsidRDefault="00A95641">
            <w:pPr>
              <w:pStyle w:val="TableParagraph"/>
              <w:spacing w:before="25"/>
              <w:ind w:left="116" w:right="224"/>
              <w:rPr>
                <w:sz w:val="21"/>
                <w:szCs w:val="21"/>
              </w:rPr>
            </w:pPr>
            <w:r>
              <w:rPr>
                <w:sz w:val="21"/>
                <w:szCs w:val="21"/>
              </w:rPr>
              <w:t>50</w:t>
            </w:r>
          </w:p>
        </w:tc>
      </w:tr>
      <w:tr w:rsidR="007D1E74" w14:paraId="186FB8A7" w14:textId="77777777">
        <w:trPr>
          <w:trHeight w:hRule="exact" w:val="336"/>
        </w:trPr>
        <w:tc>
          <w:tcPr>
            <w:tcW w:w="440" w:type="pct"/>
          </w:tcPr>
          <w:p w14:paraId="6CA9B9D1" w14:textId="77777777" w:rsidR="007D1E74" w:rsidRDefault="00A95641">
            <w:pPr>
              <w:pStyle w:val="TableParagraph"/>
              <w:spacing w:before="25"/>
              <w:ind w:left="4"/>
              <w:rPr>
                <w:sz w:val="21"/>
                <w:szCs w:val="21"/>
              </w:rPr>
            </w:pPr>
            <w:r>
              <w:rPr>
                <w:sz w:val="21"/>
                <w:szCs w:val="21"/>
              </w:rPr>
              <w:t>2</w:t>
            </w:r>
          </w:p>
        </w:tc>
        <w:tc>
          <w:tcPr>
            <w:tcW w:w="908" w:type="pct"/>
          </w:tcPr>
          <w:p w14:paraId="464A7BAA" w14:textId="77777777" w:rsidR="007D1E74" w:rsidRDefault="00A95641">
            <w:pPr>
              <w:pStyle w:val="TableParagraph"/>
              <w:spacing w:line="283" w:lineRule="exact"/>
              <w:ind w:left="102"/>
              <w:rPr>
                <w:rFonts w:ascii="宋体"/>
                <w:sz w:val="21"/>
                <w:szCs w:val="21"/>
              </w:rPr>
            </w:pPr>
            <w:r>
              <w:rPr>
                <w:rFonts w:ascii="宋体" w:hint="eastAsia"/>
                <w:sz w:val="21"/>
                <w:szCs w:val="21"/>
              </w:rPr>
              <w:t>栓皮栎</w:t>
            </w:r>
          </w:p>
        </w:tc>
        <w:tc>
          <w:tcPr>
            <w:tcW w:w="674" w:type="pct"/>
          </w:tcPr>
          <w:p w14:paraId="32770299" w14:textId="77777777" w:rsidR="007D1E74" w:rsidRDefault="00A95641">
            <w:pPr>
              <w:pStyle w:val="TableParagraph"/>
              <w:spacing w:line="283" w:lineRule="exact"/>
              <w:ind w:left="103"/>
              <w:rPr>
                <w:rFonts w:ascii="宋体"/>
                <w:sz w:val="21"/>
                <w:szCs w:val="21"/>
              </w:rPr>
            </w:pPr>
            <w:r>
              <w:rPr>
                <w:rFonts w:ascii="宋体" w:hint="eastAsia"/>
                <w:sz w:val="21"/>
                <w:szCs w:val="21"/>
              </w:rPr>
              <w:t>果期</w:t>
            </w:r>
          </w:p>
        </w:tc>
        <w:tc>
          <w:tcPr>
            <w:tcW w:w="674" w:type="pct"/>
          </w:tcPr>
          <w:p w14:paraId="1AAB7942" w14:textId="77777777" w:rsidR="007D1E74" w:rsidRDefault="00A95641">
            <w:pPr>
              <w:pStyle w:val="TableParagraph"/>
              <w:spacing w:before="25"/>
              <w:rPr>
                <w:sz w:val="21"/>
                <w:szCs w:val="21"/>
              </w:rPr>
            </w:pPr>
            <w:r>
              <w:rPr>
                <w:sz w:val="21"/>
                <w:szCs w:val="21"/>
              </w:rPr>
              <w:t>5</w:t>
            </w:r>
          </w:p>
        </w:tc>
        <w:tc>
          <w:tcPr>
            <w:tcW w:w="674" w:type="pct"/>
          </w:tcPr>
          <w:p w14:paraId="3F578C01" w14:textId="77777777" w:rsidR="007D1E74" w:rsidRDefault="00A95641">
            <w:pPr>
              <w:pStyle w:val="TableParagraph"/>
              <w:spacing w:before="24"/>
              <w:ind w:left="101" w:right="101"/>
              <w:rPr>
                <w:sz w:val="21"/>
                <w:szCs w:val="21"/>
              </w:rPr>
            </w:pPr>
            <w:r>
              <w:rPr>
                <w:position w:val="2"/>
                <w:sz w:val="21"/>
                <w:szCs w:val="21"/>
              </w:rPr>
              <w:t>Cop</w:t>
            </w:r>
            <w:r>
              <w:rPr>
                <w:sz w:val="21"/>
                <w:szCs w:val="21"/>
              </w:rPr>
              <w:t>1</w:t>
            </w:r>
          </w:p>
        </w:tc>
        <w:tc>
          <w:tcPr>
            <w:tcW w:w="978" w:type="pct"/>
          </w:tcPr>
          <w:p w14:paraId="1CA2D097" w14:textId="77777777" w:rsidR="007D1E74" w:rsidRDefault="00A95641">
            <w:pPr>
              <w:pStyle w:val="TableParagraph"/>
              <w:spacing w:before="25"/>
              <w:ind w:left="241" w:right="241"/>
              <w:rPr>
                <w:sz w:val="21"/>
                <w:szCs w:val="21"/>
              </w:rPr>
            </w:pPr>
            <w:r>
              <w:rPr>
                <w:sz w:val="21"/>
                <w:szCs w:val="21"/>
              </w:rPr>
              <w:t>13</w:t>
            </w:r>
          </w:p>
        </w:tc>
        <w:tc>
          <w:tcPr>
            <w:tcW w:w="652" w:type="pct"/>
          </w:tcPr>
          <w:p w14:paraId="2D28FC9C" w14:textId="77777777" w:rsidR="007D1E74" w:rsidRDefault="00A95641">
            <w:pPr>
              <w:pStyle w:val="TableParagraph"/>
              <w:spacing w:before="25"/>
              <w:ind w:left="116" w:right="224"/>
              <w:rPr>
                <w:sz w:val="21"/>
                <w:szCs w:val="21"/>
              </w:rPr>
            </w:pPr>
            <w:r>
              <w:rPr>
                <w:sz w:val="21"/>
                <w:szCs w:val="21"/>
              </w:rPr>
              <w:t>25</w:t>
            </w:r>
          </w:p>
        </w:tc>
      </w:tr>
      <w:tr w:rsidR="007D1E74" w14:paraId="1FB1F098" w14:textId="77777777">
        <w:trPr>
          <w:trHeight w:hRule="exact" w:val="336"/>
        </w:trPr>
        <w:tc>
          <w:tcPr>
            <w:tcW w:w="440" w:type="pct"/>
          </w:tcPr>
          <w:p w14:paraId="110B9931" w14:textId="77777777" w:rsidR="007D1E74" w:rsidRDefault="00A95641">
            <w:pPr>
              <w:pStyle w:val="TableParagraph"/>
              <w:spacing w:before="25"/>
              <w:ind w:left="4"/>
              <w:rPr>
                <w:sz w:val="21"/>
                <w:szCs w:val="21"/>
              </w:rPr>
            </w:pPr>
            <w:r>
              <w:rPr>
                <w:sz w:val="21"/>
                <w:szCs w:val="21"/>
              </w:rPr>
              <w:t>3</w:t>
            </w:r>
          </w:p>
        </w:tc>
        <w:tc>
          <w:tcPr>
            <w:tcW w:w="908" w:type="pct"/>
          </w:tcPr>
          <w:p w14:paraId="05009AF6" w14:textId="77777777" w:rsidR="007D1E74" w:rsidRDefault="00A95641">
            <w:pPr>
              <w:pStyle w:val="TableParagraph"/>
              <w:spacing w:line="283" w:lineRule="exact"/>
              <w:ind w:left="102"/>
              <w:rPr>
                <w:rFonts w:ascii="宋体"/>
                <w:sz w:val="21"/>
                <w:szCs w:val="21"/>
              </w:rPr>
            </w:pPr>
            <w:r>
              <w:rPr>
                <w:rFonts w:ascii="宋体" w:hint="eastAsia"/>
                <w:sz w:val="21"/>
                <w:szCs w:val="21"/>
              </w:rPr>
              <w:t>桤木</w:t>
            </w:r>
          </w:p>
        </w:tc>
        <w:tc>
          <w:tcPr>
            <w:tcW w:w="674" w:type="pct"/>
          </w:tcPr>
          <w:p w14:paraId="03457EA7" w14:textId="77777777" w:rsidR="007D1E74" w:rsidRDefault="00A95641">
            <w:pPr>
              <w:pStyle w:val="TableParagraph"/>
              <w:spacing w:line="283" w:lineRule="exact"/>
              <w:ind w:left="103"/>
              <w:rPr>
                <w:rFonts w:ascii="宋体"/>
                <w:sz w:val="21"/>
                <w:szCs w:val="21"/>
              </w:rPr>
            </w:pPr>
            <w:r>
              <w:rPr>
                <w:rFonts w:ascii="宋体" w:hint="eastAsia"/>
                <w:sz w:val="21"/>
                <w:szCs w:val="21"/>
              </w:rPr>
              <w:t>果期</w:t>
            </w:r>
          </w:p>
        </w:tc>
        <w:tc>
          <w:tcPr>
            <w:tcW w:w="674" w:type="pct"/>
          </w:tcPr>
          <w:p w14:paraId="1C187163" w14:textId="77777777" w:rsidR="007D1E74" w:rsidRDefault="00A95641">
            <w:pPr>
              <w:pStyle w:val="TableParagraph"/>
              <w:spacing w:before="25"/>
              <w:rPr>
                <w:sz w:val="21"/>
                <w:szCs w:val="21"/>
              </w:rPr>
            </w:pPr>
            <w:r>
              <w:rPr>
                <w:sz w:val="21"/>
                <w:szCs w:val="21"/>
              </w:rPr>
              <w:t>3</w:t>
            </w:r>
          </w:p>
        </w:tc>
        <w:tc>
          <w:tcPr>
            <w:tcW w:w="674" w:type="pct"/>
          </w:tcPr>
          <w:p w14:paraId="70C29697" w14:textId="77777777" w:rsidR="007D1E74" w:rsidRDefault="00A95641">
            <w:pPr>
              <w:pStyle w:val="TableParagraph"/>
              <w:spacing w:before="24"/>
              <w:ind w:left="101" w:right="101"/>
              <w:rPr>
                <w:sz w:val="21"/>
                <w:szCs w:val="21"/>
              </w:rPr>
            </w:pPr>
            <w:r>
              <w:rPr>
                <w:position w:val="2"/>
                <w:sz w:val="21"/>
                <w:szCs w:val="21"/>
              </w:rPr>
              <w:t>Cop</w:t>
            </w:r>
            <w:r>
              <w:rPr>
                <w:sz w:val="21"/>
                <w:szCs w:val="21"/>
              </w:rPr>
              <w:t>1</w:t>
            </w:r>
          </w:p>
        </w:tc>
        <w:tc>
          <w:tcPr>
            <w:tcW w:w="978" w:type="pct"/>
          </w:tcPr>
          <w:p w14:paraId="74181577" w14:textId="77777777" w:rsidR="007D1E74" w:rsidRDefault="00A95641">
            <w:pPr>
              <w:pStyle w:val="TableParagraph"/>
              <w:spacing w:before="25"/>
              <w:ind w:left="241" w:right="241"/>
              <w:rPr>
                <w:sz w:val="21"/>
                <w:szCs w:val="21"/>
              </w:rPr>
            </w:pPr>
            <w:r>
              <w:rPr>
                <w:sz w:val="21"/>
                <w:szCs w:val="21"/>
              </w:rPr>
              <w:t>14</w:t>
            </w:r>
          </w:p>
        </w:tc>
        <w:tc>
          <w:tcPr>
            <w:tcW w:w="652" w:type="pct"/>
          </w:tcPr>
          <w:p w14:paraId="5AFC64C0" w14:textId="77777777" w:rsidR="007D1E74" w:rsidRDefault="00A95641">
            <w:pPr>
              <w:pStyle w:val="TableParagraph"/>
              <w:spacing w:before="25"/>
              <w:ind w:left="116" w:right="224"/>
              <w:rPr>
                <w:sz w:val="21"/>
                <w:szCs w:val="21"/>
              </w:rPr>
            </w:pPr>
            <w:r>
              <w:rPr>
                <w:sz w:val="21"/>
                <w:szCs w:val="21"/>
              </w:rPr>
              <w:t>10</w:t>
            </w:r>
          </w:p>
        </w:tc>
      </w:tr>
      <w:tr w:rsidR="007D1E74" w14:paraId="09072A22" w14:textId="77777777">
        <w:trPr>
          <w:trHeight w:hRule="exact" w:val="336"/>
        </w:trPr>
        <w:tc>
          <w:tcPr>
            <w:tcW w:w="440" w:type="pct"/>
          </w:tcPr>
          <w:p w14:paraId="0867BEB4" w14:textId="77777777" w:rsidR="007D1E74" w:rsidRDefault="00A95641">
            <w:pPr>
              <w:pStyle w:val="TableParagraph"/>
              <w:spacing w:before="25"/>
              <w:ind w:left="4"/>
              <w:rPr>
                <w:sz w:val="21"/>
                <w:szCs w:val="21"/>
              </w:rPr>
            </w:pPr>
            <w:r>
              <w:rPr>
                <w:sz w:val="21"/>
                <w:szCs w:val="21"/>
              </w:rPr>
              <w:t>4</w:t>
            </w:r>
          </w:p>
        </w:tc>
        <w:tc>
          <w:tcPr>
            <w:tcW w:w="908" w:type="pct"/>
          </w:tcPr>
          <w:p w14:paraId="0F0BBDCF" w14:textId="77777777" w:rsidR="007D1E74" w:rsidRDefault="00A95641">
            <w:pPr>
              <w:pStyle w:val="TableParagraph"/>
              <w:spacing w:line="283" w:lineRule="exact"/>
              <w:ind w:left="102"/>
              <w:rPr>
                <w:rFonts w:ascii="宋体"/>
                <w:sz w:val="21"/>
                <w:szCs w:val="21"/>
              </w:rPr>
            </w:pPr>
            <w:r>
              <w:rPr>
                <w:rFonts w:ascii="宋体" w:hint="eastAsia"/>
                <w:sz w:val="21"/>
                <w:szCs w:val="21"/>
              </w:rPr>
              <w:t>喜树</w:t>
            </w:r>
          </w:p>
        </w:tc>
        <w:tc>
          <w:tcPr>
            <w:tcW w:w="674" w:type="pct"/>
          </w:tcPr>
          <w:p w14:paraId="507D6D70" w14:textId="77777777" w:rsidR="007D1E74" w:rsidRDefault="00A95641">
            <w:pPr>
              <w:pStyle w:val="TableParagraph"/>
              <w:spacing w:line="283" w:lineRule="exact"/>
              <w:ind w:left="103"/>
              <w:rPr>
                <w:rFonts w:ascii="宋体"/>
                <w:sz w:val="21"/>
                <w:szCs w:val="21"/>
              </w:rPr>
            </w:pPr>
            <w:r>
              <w:rPr>
                <w:rFonts w:ascii="宋体" w:hint="eastAsia"/>
                <w:sz w:val="21"/>
                <w:szCs w:val="21"/>
              </w:rPr>
              <w:t>果期</w:t>
            </w:r>
          </w:p>
        </w:tc>
        <w:tc>
          <w:tcPr>
            <w:tcW w:w="674" w:type="pct"/>
          </w:tcPr>
          <w:p w14:paraId="76DC4736" w14:textId="77777777" w:rsidR="007D1E74" w:rsidRDefault="00A95641">
            <w:pPr>
              <w:pStyle w:val="TableParagraph"/>
              <w:spacing w:before="25"/>
              <w:rPr>
                <w:sz w:val="21"/>
                <w:szCs w:val="21"/>
              </w:rPr>
            </w:pPr>
            <w:r>
              <w:rPr>
                <w:sz w:val="21"/>
                <w:szCs w:val="21"/>
              </w:rPr>
              <w:t>1</w:t>
            </w:r>
          </w:p>
        </w:tc>
        <w:tc>
          <w:tcPr>
            <w:tcW w:w="674" w:type="pct"/>
          </w:tcPr>
          <w:p w14:paraId="7BA4E789" w14:textId="77777777" w:rsidR="007D1E74" w:rsidRDefault="00A95641">
            <w:pPr>
              <w:pStyle w:val="TableParagraph"/>
              <w:spacing w:before="25"/>
              <w:ind w:left="101" w:right="100"/>
              <w:rPr>
                <w:sz w:val="21"/>
                <w:szCs w:val="21"/>
              </w:rPr>
            </w:pPr>
            <w:r>
              <w:rPr>
                <w:sz w:val="21"/>
                <w:szCs w:val="21"/>
              </w:rPr>
              <w:t>Sp</w:t>
            </w:r>
          </w:p>
        </w:tc>
        <w:tc>
          <w:tcPr>
            <w:tcW w:w="978" w:type="pct"/>
          </w:tcPr>
          <w:p w14:paraId="00537BF8" w14:textId="77777777" w:rsidR="007D1E74" w:rsidRDefault="00A95641">
            <w:pPr>
              <w:pStyle w:val="TableParagraph"/>
              <w:spacing w:before="25"/>
              <w:ind w:left="241" w:right="241"/>
              <w:rPr>
                <w:sz w:val="21"/>
                <w:szCs w:val="21"/>
              </w:rPr>
            </w:pPr>
            <w:r>
              <w:rPr>
                <w:sz w:val="21"/>
                <w:szCs w:val="21"/>
              </w:rPr>
              <w:t>15</w:t>
            </w:r>
          </w:p>
        </w:tc>
        <w:tc>
          <w:tcPr>
            <w:tcW w:w="652" w:type="pct"/>
          </w:tcPr>
          <w:p w14:paraId="1DC77CB0" w14:textId="77777777" w:rsidR="007D1E74" w:rsidRDefault="00A95641">
            <w:pPr>
              <w:pStyle w:val="TableParagraph"/>
              <w:spacing w:before="25"/>
              <w:ind w:right="108"/>
              <w:rPr>
                <w:sz w:val="21"/>
                <w:szCs w:val="21"/>
              </w:rPr>
            </w:pPr>
            <w:r>
              <w:rPr>
                <w:sz w:val="21"/>
                <w:szCs w:val="21"/>
              </w:rPr>
              <w:t>5</w:t>
            </w:r>
          </w:p>
        </w:tc>
      </w:tr>
      <w:tr w:rsidR="007D1E74" w14:paraId="4E1FA4D2" w14:textId="77777777">
        <w:trPr>
          <w:trHeight w:hRule="exact" w:val="336"/>
        </w:trPr>
        <w:tc>
          <w:tcPr>
            <w:tcW w:w="440" w:type="pct"/>
          </w:tcPr>
          <w:p w14:paraId="72E81312" w14:textId="77777777" w:rsidR="007D1E74" w:rsidRDefault="00A95641">
            <w:pPr>
              <w:pStyle w:val="TableParagraph"/>
              <w:spacing w:before="25"/>
              <w:ind w:left="4"/>
              <w:rPr>
                <w:sz w:val="21"/>
                <w:szCs w:val="21"/>
              </w:rPr>
            </w:pPr>
            <w:r>
              <w:rPr>
                <w:sz w:val="21"/>
                <w:szCs w:val="21"/>
              </w:rPr>
              <w:t>5</w:t>
            </w:r>
          </w:p>
        </w:tc>
        <w:tc>
          <w:tcPr>
            <w:tcW w:w="908" w:type="pct"/>
          </w:tcPr>
          <w:p w14:paraId="4C3086A2" w14:textId="77777777" w:rsidR="007D1E74" w:rsidRDefault="00A95641">
            <w:pPr>
              <w:pStyle w:val="TableParagraph"/>
              <w:spacing w:line="283" w:lineRule="exact"/>
              <w:ind w:left="102"/>
              <w:rPr>
                <w:rFonts w:ascii="宋体"/>
                <w:sz w:val="21"/>
                <w:szCs w:val="21"/>
              </w:rPr>
            </w:pPr>
            <w:r>
              <w:rPr>
                <w:rFonts w:ascii="宋体" w:hint="eastAsia"/>
                <w:sz w:val="21"/>
                <w:szCs w:val="21"/>
              </w:rPr>
              <w:t>楝</w:t>
            </w:r>
          </w:p>
        </w:tc>
        <w:tc>
          <w:tcPr>
            <w:tcW w:w="674" w:type="pct"/>
          </w:tcPr>
          <w:p w14:paraId="7CA9E0AC" w14:textId="77777777" w:rsidR="007D1E74" w:rsidRDefault="00A95641">
            <w:pPr>
              <w:pStyle w:val="TableParagraph"/>
              <w:spacing w:line="283" w:lineRule="exact"/>
              <w:ind w:left="103"/>
              <w:rPr>
                <w:rFonts w:ascii="宋体"/>
                <w:sz w:val="21"/>
                <w:szCs w:val="21"/>
              </w:rPr>
            </w:pPr>
            <w:r>
              <w:rPr>
                <w:rFonts w:ascii="宋体" w:hint="eastAsia"/>
                <w:sz w:val="21"/>
                <w:szCs w:val="21"/>
              </w:rPr>
              <w:t>果期</w:t>
            </w:r>
          </w:p>
        </w:tc>
        <w:tc>
          <w:tcPr>
            <w:tcW w:w="674" w:type="pct"/>
          </w:tcPr>
          <w:p w14:paraId="1C1D0EF0" w14:textId="77777777" w:rsidR="007D1E74" w:rsidRDefault="00A95641">
            <w:pPr>
              <w:pStyle w:val="TableParagraph"/>
              <w:spacing w:before="25"/>
              <w:rPr>
                <w:sz w:val="21"/>
                <w:szCs w:val="21"/>
              </w:rPr>
            </w:pPr>
            <w:r>
              <w:rPr>
                <w:sz w:val="21"/>
                <w:szCs w:val="21"/>
              </w:rPr>
              <w:t>1</w:t>
            </w:r>
          </w:p>
        </w:tc>
        <w:tc>
          <w:tcPr>
            <w:tcW w:w="674" w:type="pct"/>
          </w:tcPr>
          <w:p w14:paraId="21D2C8C2" w14:textId="77777777" w:rsidR="007D1E74" w:rsidRDefault="00A95641">
            <w:pPr>
              <w:pStyle w:val="TableParagraph"/>
              <w:spacing w:before="25"/>
              <w:ind w:left="101" w:right="100"/>
              <w:rPr>
                <w:sz w:val="21"/>
                <w:szCs w:val="21"/>
              </w:rPr>
            </w:pPr>
            <w:r>
              <w:rPr>
                <w:sz w:val="21"/>
                <w:szCs w:val="21"/>
              </w:rPr>
              <w:t>Sp</w:t>
            </w:r>
          </w:p>
        </w:tc>
        <w:tc>
          <w:tcPr>
            <w:tcW w:w="978" w:type="pct"/>
          </w:tcPr>
          <w:p w14:paraId="2E6C7D77" w14:textId="77777777" w:rsidR="007D1E74" w:rsidRDefault="00A95641">
            <w:pPr>
              <w:pStyle w:val="TableParagraph"/>
              <w:spacing w:before="25"/>
              <w:rPr>
                <w:sz w:val="21"/>
                <w:szCs w:val="21"/>
              </w:rPr>
            </w:pPr>
            <w:r>
              <w:rPr>
                <w:sz w:val="21"/>
                <w:szCs w:val="21"/>
              </w:rPr>
              <w:t>7</w:t>
            </w:r>
          </w:p>
        </w:tc>
        <w:tc>
          <w:tcPr>
            <w:tcW w:w="652" w:type="pct"/>
          </w:tcPr>
          <w:p w14:paraId="1316008C" w14:textId="77777777" w:rsidR="007D1E74" w:rsidRDefault="00A95641">
            <w:pPr>
              <w:pStyle w:val="TableParagraph"/>
              <w:spacing w:before="25"/>
              <w:ind w:right="108"/>
              <w:rPr>
                <w:sz w:val="21"/>
                <w:szCs w:val="21"/>
              </w:rPr>
            </w:pPr>
            <w:r>
              <w:rPr>
                <w:sz w:val="21"/>
                <w:szCs w:val="21"/>
              </w:rPr>
              <w:t>3</w:t>
            </w:r>
          </w:p>
        </w:tc>
      </w:tr>
      <w:tr w:rsidR="007D1E74" w14:paraId="3ADFF830" w14:textId="77777777">
        <w:trPr>
          <w:trHeight w:hRule="exact" w:val="336"/>
        </w:trPr>
        <w:tc>
          <w:tcPr>
            <w:tcW w:w="440" w:type="pct"/>
          </w:tcPr>
          <w:p w14:paraId="2F02DB57" w14:textId="77777777" w:rsidR="007D1E74" w:rsidRDefault="00A95641">
            <w:pPr>
              <w:pStyle w:val="TableParagraph"/>
              <w:spacing w:before="25"/>
              <w:ind w:left="4"/>
              <w:rPr>
                <w:sz w:val="21"/>
                <w:szCs w:val="21"/>
              </w:rPr>
            </w:pPr>
            <w:r>
              <w:rPr>
                <w:sz w:val="21"/>
                <w:szCs w:val="21"/>
              </w:rPr>
              <w:t>6</w:t>
            </w:r>
          </w:p>
        </w:tc>
        <w:tc>
          <w:tcPr>
            <w:tcW w:w="908" w:type="pct"/>
          </w:tcPr>
          <w:p w14:paraId="1BA56449" w14:textId="77777777" w:rsidR="007D1E74" w:rsidRDefault="00A95641">
            <w:pPr>
              <w:pStyle w:val="TableParagraph"/>
              <w:spacing w:line="283" w:lineRule="exact"/>
              <w:ind w:left="102"/>
              <w:rPr>
                <w:rFonts w:ascii="宋体"/>
                <w:sz w:val="21"/>
                <w:szCs w:val="21"/>
              </w:rPr>
            </w:pPr>
            <w:r>
              <w:rPr>
                <w:rFonts w:ascii="宋体" w:hint="eastAsia"/>
                <w:sz w:val="21"/>
                <w:szCs w:val="21"/>
              </w:rPr>
              <w:t>朴树</w:t>
            </w:r>
          </w:p>
        </w:tc>
        <w:tc>
          <w:tcPr>
            <w:tcW w:w="674" w:type="pct"/>
          </w:tcPr>
          <w:p w14:paraId="33050988" w14:textId="77777777" w:rsidR="007D1E74" w:rsidRDefault="00A95641">
            <w:pPr>
              <w:pStyle w:val="TableParagraph"/>
              <w:spacing w:line="283" w:lineRule="exact"/>
              <w:ind w:left="103"/>
              <w:rPr>
                <w:rFonts w:ascii="宋体"/>
                <w:sz w:val="21"/>
                <w:szCs w:val="21"/>
              </w:rPr>
            </w:pPr>
            <w:r>
              <w:rPr>
                <w:rFonts w:ascii="宋体" w:hint="eastAsia"/>
                <w:sz w:val="21"/>
                <w:szCs w:val="21"/>
              </w:rPr>
              <w:t>营养期</w:t>
            </w:r>
          </w:p>
        </w:tc>
        <w:tc>
          <w:tcPr>
            <w:tcW w:w="674" w:type="pct"/>
          </w:tcPr>
          <w:p w14:paraId="634B650B" w14:textId="77777777" w:rsidR="007D1E74" w:rsidRDefault="00A95641">
            <w:pPr>
              <w:pStyle w:val="TableParagraph"/>
              <w:spacing w:before="25"/>
              <w:rPr>
                <w:sz w:val="21"/>
                <w:szCs w:val="21"/>
              </w:rPr>
            </w:pPr>
            <w:r>
              <w:rPr>
                <w:sz w:val="21"/>
                <w:szCs w:val="21"/>
              </w:rPr>
              <w:t>1</w:t>
            </w:r>
          </w:p>
        </w:tc>
        <w:tc>
          <w:tcPr>
            <w:tcW w:w="674" w:type="pct"/>
          </w:tcPr>
          <w:p w14:paraId="5E705181" w14:textId="77777777" w:rsidR="007D1E74" w:rsidRDefault="00A95641">
            <w:pPr>
              <w:pStyle w:val="TableParagraph"/>
              <w:spacing w:before="25"/>
              <w:ind w:left="101" w:right="101"/>
              <w:rPr>
                <w:sz w:val="21"/>
                <w:szCs w:val="21"/>
              </w:rPr>
            </w:pPr>
            <w:r>
              <w:rPr>
                <w:sz w:val="21"/>
                <w:szCs w:val="21"/>
              </w:rPr>
              <w:t>Ol</w:t>
            </w:r>
          </w:p>
        </w:tc>
        <w:tc>
          <w:tcPr>
            <w:tcW w:w="978" w:type="pct"/>
          </w:tcPr>
          <w:p w14:paraId="15F39B08" w14:textId="77777777" w:rsidR="007D1E74" w:rsidRDefault="00A95641">
            <w:pPr>
              <w:pStyle w:val="TableParagraph"/>
              <w:spacing w:before="25"/>
              <w:rPr>
                <w:sz w:val="21"/>
                <w:szCs w:val="21"/>
              </w:rPr>
            </w:pPr>
            <w:r>
              <w:rPr>
                <w:sz w:val="21"/>
                <w:szCs w:val="21"/>
              </w:rPr>
              <w:t>7</w:t>
            </w:r>
          </w:p>
        </w:tc>
        <w:tc>
          <w:tcPr>
            <w:tcW w:w="652" w:type="pct"/>
          </w:tcPr>
          <w:p w14:paraId="3D8F3B3A" w14:textId="77777777" w:rsidR="007D1E74" w:rsidRDefault="00A95641">
            <w:pPr>
              <w:pStyle w:val="TableParagraph"/>
              <w:spacing w:before="25"/>
              <w:ind w:right="108"/>
              <w:rPr>
                <w:sz w:val="21"/>
                <w:szCs w:val="21"/>
              </w:rPr>
            </w:pPr>
            <w:r>
              <w:rPr>
                <w:sz w:val="21"/>
                <w:szCs w:val="21"/>
              </w:rPr>
              <w:t>2</w:t>
            </w:r>
          </w:p>
        </w:tc>
      </w:tr>
      <w:tr w:rsidR="007D1E74" w14:paraId="586BE29C" w14:textId="77777777">
        <w:trPr>
          <w:trHeight w:hRule="exact" w:val="336"/>
        </w:trPr>
        <w:tc>
          <w:tcPr>
            <w:tcW w:w="440" w:type="pct"/>
          </w:tcPr>
          <w:p w14:paraId="3D41144B" w14:textId="77777777" w:rsidR="007D1E74" w:rsidRDefault="00A95641">
            <w:pPr>
              <w:pStyle w:val="TableParagraph"/>
              <w:spacing w:before="25"/>
              <w:ind w:left="4"/>
              <w:rPr>
                <w:sz w:val="21"/>
                <w:szCs w:val="21"/>
              </w:rPr>
            </w:pPr>
            <w:r>
              <w:rPr>
                <w:sz w:val="21"/>
                <w:szCs w:val="21"/>
              </w:rPr>
              <w:t>7</w:t>
            </w:r>
          </w:p>
        </w:tc>
        <w:tc>
          <w:tcPr>
            <w:tcW w:w="908" w:type="pct"/>
          </w:tcPr>
          <w:p w14:paraId="04B44655" w14:textId="77777777" w:rsidR="007D1E74" w:rsidRDefault="00A95641">
            <w:pPr>
              <w:pStyle w:val="TableParagraph"/>
              <w:spacing w:line="283" w:lineRule="exact"/>
              <w:ind w:left="102"/>
              <w:rPr>
                <w:rFonts w:ascii="宋体"/>
                <w:sz w:val="21"/>
                <w:szCs w:val="21"/>
              </w:rPr>
            </w:pPr>
            <w:r>
              <w:rPr>
                <w:rFonts w:ascii="宋体" w:hint="eastAsia"/>
                <w:sz w:val="21"/>
                <w:szCs w:val="21"/>
              </w:rPr>
              <w:t>女贞</w:t>
            </w:r>
          </w:p>
        </w:tc>
        <w:tc>
          <w:tcPr>
            <w:tcW w:w="674" w:type="pct"/>
          </w:tcPr>
          <w:p w14:paraId="12FAF07E" w14:textId="77777777" w:rsidR="007D1E74" w:rsidRDefault="00A95641">
            <w:pPr>
              <w:pStyle w:val="TableParagraph"/>
              <w:spacing w:line="283" w:lineRule="exact"/>
              <w:ind w:left="103"/>
              <w:rPr>
                <w:rFonts w:ascii="宋体"/>
                <w:sz w:val="21"/>
                <w:szCs w:val="21"/>
              </w:rPr>
            </w:pPr>
            <w:r>
              <w:rPr>
                <w:rFonts w:ascii="宋体" w:hint="eastAsia"/>
                <w:sz w:val="21"/>
                <w:szCs w:val="21"/>
              </w:rPr>
              <w:t>果期</w:t>
            </w:r>
          </w:p>
        </w:tc>
        <w:tc>
          <w:tcPr>
            <w:tcW w:w="674" w:type="pct"/>
          </w:tcPr>
          <w:p w14:paraId="3FE8BB6F" w14:textId="77777777" w:rsidR="007D1E74" w:rsidRDefault="00A95641">
            <w:pPr>
              <w:pStyle w:val="TableParagraph"/>
              <w:spacing w:before="25"/>
              <w:rPr>
                <w:sz w:val="21"/>
                <w:szCs w:val="21"/>
              </w:rPr>
            </w:pPr>
            <w:r>
              <w:rPr>
                <w:sz w:val="21"/>
                <w:szCs w:val="21"/>
              </w:rPr>
              <w:t>1</w:t>
            </w:r>
          </w:p>
        </w:tc>
        <w:tc>
          <w:tcPr>
            <w:tcW w:w="674" w:type="pct"/>
          </w:tcPr>
          <w:p w14:paraId="5E6B6ADD" w14:textId="77777777" w:rsidR="007D1E74" w:rsidRDefault="00A95641">
            <w:pPr>
              <w:pStyle w:val="TableParagraph"/>
              <w:spacing w:before="25"/>
              <w:ind w:left="101" w:right="101"/>
              <w:rPr>
                <w:sz w:val="21"/>
                <w:szCs w:val="21"/>
              </w:rPr>
            </w:pPr>
            <w:r>
              <w:rPr>
                <w:sz w:val="21"/>
                <w:szCs w:val="21"/>
              </w:rPr>
              <w:t>Ol</w:t>
            </w:r>
          </w:p>
        </w:tc>
        <w:tc>
          <w:tcPr>
            <w:tcW w:w="978" w:type="pct"/>
          </w:tcPr>
          <w:p w14:paraId="59EF7C72" w14:textId="77777777" w:rsidR="007D1E74" w:rsidRDefault="00A95641">
            <w:pPr>
              <w:pStyle w:val="TableParagraph"/>
              <w:spacing w:before="25"/>
              <w:rPr>
                <w:sz w:val="21"/>
                <w:szCs w:val="21"/>
              </w:rPr>
            </w:pPr>
            <w:r>
              <w:rPr>
                <w:sz w:val="21"/>
                <w:szCs w:val="21"/>
              </w:rPr>
              <w:t>5</w:t>
            </w:r>
          </w:p>
        </w:tc>
        <w:tc>
          <w:tcPr>
            <w:tcW w:w="652" w:type="pct"/>
          </w:tcPr>
          <w:p w14:paraId="53860B49" w14:textId="77777777" w:rsidR="007D1E74" w:rsidRDefault="00A95641">
            <w:pPr>
              <w:pStyle w:val="TableParagraph"/>
              <w:spacing w:before="25"/>
              <w:ind w:right="108"/>
              <w:rPr>
                <w:sz w:val="21"/>
                <w:szCs w:val="21"/>
              </w:rPr>
            </w:pPr>
            <w:r>
              <w:rPr>
                <w:sz w:val="21"/>
                <w:szCs w:val="21"/>
              </w:rPr>
              <w:t>1</w:t>
            </w:r>
          </w:p>
        </w:tc>
      </w:tr>
      <w:tr w:rsidR="007D1E74" w14:paraId="33008927" w14:textId="77777777">
        <w:trPr>
          <w:trHeight w:hRule="exact" w:val="336"/>
        </w:trPr>
        <w:tc>
          <w:tcPr>
            <w:tcW w:w="440" w:type="pct"/>
          </w:tcPr>
          <w:p w14:paraId="3DE15483" w14:textId="77777777" w:rsidR="007D1E74" w:rsidRDefault="00A95641">
            <w:pPr>
              <w:pStyle w:val="TableParagraph"/>
              <w:spacing w:before="25"/>
              <w:ind w:left="4"/>
              <w:rPr>
                <w:sz w:val="21"/>
                <w:szCs w:val="21"/>
              </w:rPr>
            </w:pPr>
            <w:r>
              <w:rPr>
                <w:sz w:val="21"/>
                <w:szCs w:val="21"/>
              </w:rPr>
              <w:t>8</w:t>
            </w:r>
          </w:p>
        </w:tc>
        <w:tc>
          <w:tcPr>
            <w:tcW w:w="908" w:type="pct"/>
          </w:tcPr>
          <w:p w14:paraId="0873F744" w14:textId="77777777" w:rsidR="007D1E74" w:rsidRDefault="00A95641">
            <w:pPr>
              <w:pStyle w:val="TableParagraph"/>
              <w:spacing w:line="283" w:lineRule="exact"/>
              <w:ind w:left="102"/>
              <w:rPr>
                <w:rFonts w:ascii="宋体"/>
                <w:sz w:val="21"/>
                <w:szCs w:val="21"/>
              </w:rPr>
            </w:pPr>
            <w:r>
              <w:rPr>
                <w:rFonts w:ascii="宋体" w:hint="eastAsia"/>
                <w:sz w:val="21"/>
                <w:szCs w:val="21"/>
              </w:rPr>
              <w:t>高粱泡</w:t>
            </w:r>
          </w:p>
        </w:tc>
        <w:tc>
          <w:tcPr>
            <w:tcW w:w="674" w:type="pct"/>
          </w:tcPr>
          <w:p w14:paraId="63E19EBA" w14:textId="77777777" w:rsidR="007D1E74" w:rsidRDefault="00A95641">
            <w:pPr>
              <w:pStyle w:val="TableParagraph"/>
              <w:spacing w:line="283" w:lineRule="exact"/>
              <w:ind w:left="103"/>
              <w:rPr>
                <w:rFonts w:ascii="宋体"/>
                <w:sz w:val="21"/>
                <w:szCs w:val="21"/>
              </w:rPr>
            </w:pPr>
            <w:r>
              <w:rPr>
                <w:rFonts w:ascii="宋体" w:hint="eastAsia"/>
                <w:sz w:val="21"/>
                <w:szCs w:val="21"/>
              </w:rPr>
              <w:t>营养期</w:t>
            </w:r>
          </w:p>
        </w:tc>
        <w:tc>
          <w:tcPr>
            <w:tcW w:w="674" w:type="pct"/>
          </w:tcPr>
          <w:p w14:paraId="61933A28" w14:textId="77777777" w:rsidR="007D1E74" w:rsidRDefault="00A95641">
            <w:pPr>
              <w:pStyle w:val="TableParagraph"/>
              <w:spacing w:before="25"/>
              <w:rPr>
                <w:sz w:val="21"/>
                <w:szCs w:val="21"/>
              </w:rPr>
            </w:pPr>
            <w:r>
              <w:rPr>
                <w:sz w:val="21"/>
                <w:szCs w:val="21"/>
              </w:rPr>
              <w:t>2</w:t>
            </w:r>
          </w:p>
        </w:tc>
        <w:tc>
          <w:tcPr>
            <w:tcW w:w="674" w:type="pct"/>
          </w:tcPr>
          <w:p w14:paraId="682B02A5" w14:textId="77777777" w:rsidR="007D1E74" w:rsidRDefault="00A95641">
            <w:pPr>
              <w:pStyle w:val="TableParagraph"/>
              <w:spacing w:before="24"/>
              <w:ind w:left="101" w:right="101"/>
              <w:rPr>
                <w:sz w:val="21"/>
                <w:szCs w:val="21"/>
              </w:rPr>
            </w:pPr>
            <w:r>
              <w:rPr>
                <w:position w:val="2"/>
                <w:sz w:val="21"/>
                <w:szCs w:val="21"/>
              </w:rPr>
              <w:t>Cop</w:t>
            </w:r>
            <w:r>
              <w:rPr>
                <w:sz w:val="21"/>
                <w:szCs w:val="21"/>
              </w:rPr>
              <w:t>1</w:t>
            </w:r>
          </w:p>
        </w:tc>
        <w:tc>
          <w:tcPr>
            <w:tcW w:w="978" w:type="pct"/>
          </w:tcPr>
          <w:p w14:paraId="55116648" w14:textId="77777777" w:rsidR="007D1E74" w:rsidRDefault="00A95641">
            <w:pPr>
              <w:pStyle w:val="TableParagraph"/>
              <w:spacing w:before="25"/>
              <w:ind w:left="241" w:right="241"/>
              <w:rPr>
                <w:sz w:val="21"/>
                <w:szCs w:val="21"/>
              </w:rPr>
            </w:pPr>
            <w:r>
              <w:rPr>
                <w:sz w:val="21"/>
                <w:szCs w:val="21"/>
              </w:rPr>
              <w:t>1.5</w:t>
            </w:r>
          </w:p>
        </w:tc>
        <w:tc>
          <w:tcPr>
            <w:tcW w:w="652" w:type="pct"/>
          </w:tcPr>
          <w:p w14:paraId="178DB90B" w14:textId="77777777" w:rsidR="007D1E74" w:rsidRDefault="00A95641">
            <w:pPr>
              <w:pStyle w:val="TableParagraph"/>
              <w:spacing w:before="25"/>
              <w:ind w:left="116" w:right="224"/>
              <w:rPr>
                <w:sz w:val="21"/>
                <w:szCs w:val="21"/>
              </w:rPr>
            </w:pPr>
            <w:r>
              <w:rPr>
                <w:sz w:val="21"/>
                <w:szCs w:val="21"/>
              </w:rPr>
              <w:t>20</w:t>
            </w:r>
          </w:p>
        </w:tc>
      </w:tr>
      <w:tr w:rsidR="007D1E74" w14:paraId="66ED7A9E" w14:textId="77777777">
        <w:trPr>
          <w:trHeight w:hRule="exact" w:val="336"/>
        </w:trPr>
        <w:tc>
          <w:tcPr>
            <w:tcW w:w="440" w:type="pct"/>
          </w:tcPr>
          <w:p w14:paraId="369A72D0" w14:textId="77777777" w:rsidR="007D1E74" w:rsidRDefault="00A95641">
            <w:pPr>
              <w:pStyle w:val="TableParagraph"/>
              <w:spacing w:before="26"/>
              <w:ind w:left="4"/>
              <w:rPr>
                <w:sz w:val="21"/>
                <w:szCs w:val="21"/>
              </w:rPr>
            </w:pPr>
            <w:r>
              <w:rPr>
                <w:sz w:val="21"/>
                <w:szCs w:val="21"/>
              </w:rPr>
              <w:t>9</w:t>
            </w:r>
          </w:p>
        </w:tc>
        <w:tc>
          <w:tcPr>
            <w:tcW w:w="908" w:type="pct"/>
          </w:tcPr>
          <w:p w14:paraId="5E3360A4" w14:textId="77777777" w:rsidR="007D1E74" w:rsidRDefault="00A95641">
            <w:pPr>
              <w:pStyle w:val="TableParagraph"/>
              <w:spacing w:line="284" w:lineRule="exact"/>
              <w:ind w:left="102"/>
              <w:rPr>
                <w:rFonts w:ascii="宋体"/>
                <w:sz w:val="21"/>
                <w:szCs w:val="21"/>
              </w:rPr>
            </w:pPr>
            <w:r>
              <w:rPr>
                <w:rFonts w:ascii="宋体" w:hint="eastAsia"/>
                <w:sz w:val="21"/>
                <w:szCs w:val="21"/>
              </w:rPr>
              <w:t>火棘</w:t>
            </w:r>
          </w:p>
        </w:tc>
        <w:tc>
          <w:tcPr>
            <w:tcW w:w="674" w:type="pct"/>
          </w:tcPr>
          <w:p w14:paraId="740F4D90"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0A1F934A" w14:textId="77777777" w:rsidR="007D1E74" w:rsidRDefault="00A95641">
            <w:pPr>
              <w:pStyle w:val="TableParagraph"/>
              <w:spacing w:before="26"/>
              <w:ind w:left="573"/>
              <w:rPr>
                <w:sz w:val="21"/>
                <w:szCs w:val="21"/>
              </w:rPr>
            </w:pPr>
            <w:r>
              <w:rPr>
                <w:sz w:val="21"/>
                <w:szCs w:val="21"/>
              </w:rPr>
              <w:t>6</w:t>
            </w:r>
          </w:p>
        </w:tc>
        <w:tc>
          <w:tcPr>
            <w:tcW w:w="674" w:type="pct"/>
          </w:tcPr>
          <w:p w14:paraId="786228AA" w14:textId="77777777" w:rsidR="007D1E74" w:rsidRDefault="00A95641">
            <w:pPr>
              <w:pStyle w:val="TableParagraph"/>
              <w:spacing w:before="23"/>
              <w:ind w:left="101" w:right="101"/>
              <w:rPr>
                <w:sz w:val="21"/>
                <w:szCs w:val="21"/>
              </w:rPr>
            </w:pPr>
            <w:r>
              <w:rPr>
                <w:position w:val="2"/>
                <w:sz w:val="21"/>
                <w:szCs w:val="21"/>
              </w:rPr>
              <w:t>Cop</w:t>
            </w:r>
            <w:r>
              <w:rPr>
                <w:sz w:val="21"/>
                <w:szCs w:val="21"/>
              </w:rPr>
              <w:t>1</w:t>
            </w:r>
          </w:p>
        </w:tc>
        <w:tc>
          <w:tcPr>
            <w:tcW w:w="978" w:type="pct"/>
          </w:tcPr>
          <w:p w14:paraId="68BEF718" w14:textId="77777777" w:rsidR="007D1E74" w:rsidRDefault="00A95641">
            <w:pPr>
              <w:pStyle w:val="TableParagraph"/>
              <w:spacing w:before="26"/>
              <w:ind w:left="241" w:right="241"/>
              <w:rPr>
                <w:sz w:val="21"/>
                <w:szCs w:val="21"/>
              </w:rPr>
            </w:pPr>
            <w:r>
              <w:rPr>
                <w:sz w:val="21"/>
                <w:szCs w:val="21"/>
              </w:rPr>
              <w:t>1.8</w:t>
            </w:r>
          </w:p>
        </w:tc>
        <w:tc>
          <w:tcPr>
            <w:tcW w:w="652" w:type="pct"/>
          </w:tcPr>
          <w:p w14:paraId="011A3EF2" w14:textId="77777777" w:rsidR="007D1E74" w:rsidRDefault="00A95641">
            <w:pPr>
              <w:pStyle w:val="TableParagraph"/>
              <w:spacing w:before="26"/>
              <w:ind w:right="373"/>
              <w:jc w:val="right"/>
              <w:rPr>
                <w:sz w:val="21"/>
                <w:szCs w:val="21"/>
              </w:rPr>
            </w:pPr>
            <w:r>
              <w:rPr>
                <w:sz w:val="21"/>
                <w:szCs w:val="21"/>
              </w:rPr>
              <w:t>10</w:t>
            </w:r>
          </w:p>
        </w:tc>
      </w:tr>
      <w:tr w:rsidR="007D1E74" w14:paraId="4C3CF1A1" w14:textId="77777777">
        <w:trPr>
          <w:trHeight w:hRule="exact" w:val="336"/>
        </w:trPr>
        <w:tc>
          <w:tcPr>
            <w:tcW w:w="440" w:type="pct"/>
          </w:tcPr>
          <w:p w14:paraId="3F85DBC9" w14:textId="77777777" w:rsidR="007D1E74" w:rsidRDefault="00A95641">
            <w:pPr>
              <w:pStyle w:val="TableParagraph"/>
              <w:spacing w:before="25"/>
              <w:ind w:left="109" w:right="105"/>
              <w:rPr>
                <w:sz w:val="21"/>
                <w:szCs w:val="21"/>
              </w:rPr>
            </w:pPr>
            <w:r>
              <w:rPr>
                <w:sz w:val="21"/>
                <w:szCs w:val="21"/>
              </w:rPr>
              <w:t>10</w:t>
            </w:r>
          </w:p>
        </w:tc>
        <w:tc>
          <w:tcPr>
            <w:tcW w:w="908" w:type="pct"/>
          </w:tcPr>
          <w:p w14:paraId="0D4D91E7" w14:textId="77777777" w:rsidR="007D1E74" w:rsidRDefault="00A95641">
            <w:pPr>
              <w:pStyle w:val="TableParagraph"/>
              <w:spacing w:line="284" w:lineRule="exact"/>
              <w:ind w:left="102"/>
              <w:rPr>
                <w:rFonts w:ascii="宋体"/>
                <w:sz w:val="21"/>
                <w:szCs w:val="21"/>
              </w:rPr>
            </w:pPr>
            <w:r>
              <w:rPr>
                <w:rFonts w:ascii="宋体" w:hint="eastAsia"/>
                <w:sz w:val="21"/>
                <w:szCs w:val="21"/>
              </w:rPr>
              <w:t>铁仔</w:t>
            </w:r>
          </w:p>
        </w:tc>
        <w:tc>
          <w:tcPr>
            <w:tcW w:w="674" w:type="pct"/>
          </w:tcPr>
          <w:p w14:paraId="73E30343"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670111F4" w14:textId="77777777" w:rsidR="007D1E74" w:rsidRDefault="00A95641">
            <w:pPr>
              <w:pStyle w:val="TableParagraph"/>
              <w:spacing w:before="25"/>
              <w:ind w:left="573"/>
              <w:rPr>
                <w:sz w:val="21"/>
                <w:szCs w:val="21"/>
              </w:rPr>
            </w:pPr>
            <w:r>
              <w:rPr>
                <w:sz w:val="21"/>
                <w:szCs w:val="21"/>
              </w:rPr>
              <w:t>3</w:t>
            </w:r>
          </w:p>
        </w:tc>
        <w:tc>
          <w:tcPr>
            <w:tcW w:w="674" w:type="pct"/>
          </w:tcPr>
          <w:p w14:paraId="2F1ABE25" w14:textId="77777777" w:rsidR="007D1E74" w:rsidRDefault="00A95641">
            <w:pPr>
              <w:pStyle w:val="TableParagraph"/>
              <w:spacing w:before="25"/>
              <w:ind w:left="101" w:right="100"/>
              <w:rPr>
                <w:sz w:val="21"/>
                <w:szCs w:val="21"/>
              </w:rPr>
            </w:pPr>
            <w:r>
              <w:rPr>
                <w:sz w:val="21"/>
                <w:szCs w:val="21"/>
              </w:rPr>
              <w:t>Sp</w:t>
            </w:r>
          </w:p>
        </w:tc>
        <w:tc>
          <w:tcPr>
            <w:tcW w:w="978" w:type="pct"/>
          </w:tcPr>
          <w:p w14:paraId="2FFD58A0" w14:textId="77777777" w:rsidR="007D1E74" w:rsidRDefault="00A95641">
            <w:pPr>
              <w:pStyle w:val="TableParagraph"/>
              <w:spacing w:before="25"/>
              <w:ind w:left="241" w:right="241"/>
              <w:rPr>
                <w:sz w:val="21"/>
                <w:szCs w:val="21"/>
              </w:rPr>
            </w:pPr>
            <w:r>
              <w:rPr>
                <w:sz w:val="21"/>
                <w:szCs w:val="21"/>
              </w:rPr>
              <w:t>1.3</w:t>
            </w:r>
          </w:p>
        </w:tc>
        <w:tc>
          <w:tcPr>
            <w:tcW w:w="652" w:type="pct"/>
          </w:tcPr>
          <w:p w14:paraId="253DBB08" w14:textId="77777777" w:rsidR="007D1E74" w:rsidRDefault="00A95641">
            <w:pPr>
              <w:pStyle w:val="TableParagraph"/>
              <w:spacing w:before="25"/>
              <w:ind w:right="433"/>
              <w:jc w:val="right"/>
              <w:rPr>
                <w:sz w:val="21"/>
                <w:szCs w:val="21"/>
              </w:rPr>
            </w:pPr>
            <w:r>
              <w:rPr>
                <w:sz w:val="21"/>
                <w:szCs w:val="21"/>
              </w:rPr>
              <w:t>5</w:t>
            </w:r>
          </w:p>
        </w:tc>
      </w:tr>
      <w:tr w:rsidR="007D1E74" w14:paraId="223810D7" w14:textId="77777777">
        <w:trPr>
          <w:trHeight w:hRule="exact" w:val="336"/>
        </w:trPr>
        <w:tc>
          <w:tcPr>
            <w:tcW w:w="440" w:type="pct"/>
          </w:tcPr>
          <w:p w14:paraId="590E9184" w14:textId="77777777" w:rsidR="007D1E74" w:rsidRDefault="00A95641">
            <w:pPr>
              <w:pStyle w:val="TableParagraph"/>
              <w:spacing w:before="25"/>
              <w:ind w:left="109" w:right="105"/>
              <w:rPr>
                <w:sz w:val="21"/>
                <w:szCs w:val="21"/>
              </w:rPr>
            </w:pPr>
            <w:r>
              <w:rPr>
                <w:sz w:val="21"/>
                <w:szCs w:val="21"/>
              </w:rPr>
              <w:t>11</w:t>
            </w:r>
          </w:p>
        </w:tc>
        <w:tc>
          <w:tcPr>
            <w:tcW w:w="908" w:type="pct"/>
          </w:tcPr>
          <w:p w14:paraId="1EF1619A" w14:textId="77777777" w:rsidR="007D1E74" w:rsidRDefault="00A95641">
            <w:pPr>
              <w:pStyle w:val="TableParagraph"/>
              <w:spacing w:line="284" w:lineRule="exact"/>
              <w:ind w:left="102"/>
              <w:rPr>
                <w:rFonts w:ascii="宋体"/>
                <w:sz w:val="21"/>
                <w:szCs w:val="21"/>
              </w:rPr>
            </w:pPr>
            <w:r>
              <w:rPr>
                <w:rFonts w:ascii="宋体" w:hint="eastAsia"/>
                <w:sz w:val="21"/>
                <w:szCs w:val="21"/>
              </w:rPr>
              <w:t>矛叶荩草</w:t>
            </w:r>
          </w:p>
        </w:tc>
        <w:tc>
          <w:tcPr>
            <w:tcW w:w="674" w:type="pct"/>
          </w:tcPr>
          <w:p w14:paraId="2D3A12F5"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27F61BD2" w14:textId="77777777" w:rsidR="007D1E74" w:rsidRDefault="00A95641">
            <w:pPr>
              <w:pStyle w:val="TableParagraph"/>
              <w:spacing w:before="25"/>
              <w:ind w:left="573"/>
              <w:rPr>
                <w:sz w:val="21"/>
                <w:szCs w:val="21"/>
              </w:rPr>
            </w:pPr>
            <w:r>
              <w:rPr>
                <w:sz w:val="21"/>
                <w:szCs w:val="21"/>
              </w:rPr>
              <w:t>3</w:t>
            </w:r>
          </w:p>
        </w:tc>
        <w:tc>
          <w:tcPr>
            <w:tcW w:w="674" w:type="pct"/>
          </w:tcPr>
          <w:p w14:paraId="27960076" w14:textId="77777777" w:rsidR="007D1E74" w:rsidRDefault="00A95641">
            <w:pPr>
              <w:pStyle w:val="TableParagraph"/>
              <w:spacing w:before="22"/>
              <w:ind w:left="101" w:right="101"/>
              <w:rPr>
                <w:sz w:val="21"/>
                <w:szCs w:val="21"/>
              </w:rPr>
            </w:pPr>
            <w:r>
              <w:rPr>
                <w:position w:val="2"/>
                <w:sz w:val="21"/>
                <w:szCs w:val="21"/>
              </w:rPr>
              <w:t>Cop</w:t>
            </w:r>
            <w:r>
              <w:rPr>
                <w:sz w:val="21"/>
                <w:szCs w:val="21"/>
              </w:rPr>
              <w:t>1</w:t>
            </w:r>
          </w:p>
        </w:tc>
        <w:tc>
          <w:tcPr>
            <w:tcW w:w="978" w:type="pct"/>
          </w:tcPr>
          <w:p w14:paraId="409C790C" w14:textId="77777777" w:rsidR="007D1E74" w:rsidRDefault="00A95641">
            <w:pPr>
              <w:pStyle w:val="TableParagraph"/>
              <w:spacing w:before="25"/>
              <w:ind w:left="241" w:right="241"/>
              <w:rPr>
                <w:sz w:val="21"/>
                <w:szCs w:val="21"/>
              </w:rPr>
            </w:pPr>
            <w:r>
              <w:rPr>
                <w:sz w:val="21"/>
                <w:szCs w:val="21"/>
              </w:rPr>
              <w:t>0.3</w:t>
            </w:r>
          </w:p>
        </w:tc>
        <w:tc>
          <w:tcPr>
            <w:tcW w:w="652" w:type="pct"/>
          </w:tcPr>
          <w:p w14:paraId="4DDC9474" w14:textId="77777777" w:rsidR="007D1E74" w:rsidRDefault="00A95641">
            <w:pPr>
              <w:pStyle w:val="TableParagraph"/>
              <w:spacing w:before="25"/>
              <w:ind w:right="373"/>
              <w:jc w:val="right"/>
              <w:rPr>
                <w:sz w:val="21"/>
                <w:szCs w:val="21"/>
              </w:rPr>
            </w:pPr>
            <w:r>
              <w:rPr>
                <w:sz w:val="21"/>
                <w:szCs w:val="21"/>
              </w:rPr>
              <w:t>15</w:t>
            </w:r>
          </w:p>
        </w:tc>
      </w:tr>
      <w:tr w:rsidR="007D1E74" w14:paraId="6E6DEBAE" w14:textId="77777777">
        <w:trPr>
          <w:trHeight w:hRule="exact" w:val="336"/>
        </w:trPr>
        <w:tc>
          <w:tcPr>
            <w:tcW w:w="440" w:type="pct"/>
          </w:tcPr>
          <w:p w14:paraId="5BEAD4C1" w14:textId="77777777" w:rsidR="007D1E74" w:rsidRDefault="00A95641">
            <w:pPr>
              <w:pStyle w:val="TableParagraph"/>
              <w:spacing w:before="25"/>
              <w:ind w:left="109" w:right="105"/>
              <w:rPr>
                <w:sz w:val="21"/>
                <w:szCs w:val="21"/>
              </w:rPr>
            </w:pPr>
            <w:r>
              <w:rPr>
                <w:sz w:val="21"/>
                <w:szCs w:val="21"/>
              </w:rPr>
              <w:t>12</w:t>
            </w:r>
          </w:p>
        </w:tc>
        <w:tc>
          <w:tcPr>
            <w:tcW w:w="908" w:type="pct"/>
          </w:tcPr>
          <w:p w14:paraId="5AF0E959" w14:textId="77777777" w:rsidR="007D1E74" w:rsidRDefault="00A95641">
            <w:pPr>
              <w:pStyle w:val="TableParagraph"/>
              <w:spacing w:line="284" w:lineRule="exact"/>
              <w:ind w:left="102"/>
              <w:rPr>
                <w:rFonts w:ascii="宋体"/>
                <w:sz w:val="21"/>
                <w:szCs w:val="21"/>
              </w:rPr>
            </w:pPr>
            <w:r>
              <w:rPr>
                <w:rFonts w:ascii="宋体" w:hint="eastAsia"/>
                <w:sz w:val="21"/>
                <w:szCs w:val="21"/>
              </w:rPr>
              <w:t>白茅</w:t>
            </w:r>
          </w:p>
        </w:tc>
        <w:tc>
          <w:tcPr>
            <w:tcW w:w="674" w:type="pct"/>
          </w:tcPr>
          <w:p w14:paraId="6734D11F"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704791A3" w14:textId="77777777" w:rsidR="007D1E74" w:rsidRDefault="00A95641">
            <w:pPr>
              <w:pStyle w:val="TableParagraph"/>
              <w:spacing w:before="25"/>
              <w:ind w:left="573"/>
              <w:rPr>
                <w:sz w:val="21"/>
                <w:szCs w:val="21"/>
              </w:rPr>
            </w:pPr>
            <w:r>
              <w:rPr>
                <w:sz w:val="21"/>
                <w:szCs w:val="21"/>
              </w:rPr>
              <w:t>2</w:t>
            </w:r>
          </w:p>
        </w:tc>
        <w:tc>
          <w:tcPr>
            <w:tcW w:w="674" w:type="pct"/>
          </w:tcPr>
          <w:p w14:paraId="04AB1254" w14:textId="77777777" w:rsidR="007D1E74" w:rsidRDefault="00A95641">
            <w:pPr>
              <w:pStyle w:val="TableParagraph"/>
              <w:spacing w:before="22"/>
              <w:ind w:left="101" w:right="101"/>
              <w:rPr>
                <w:sz w:val="21"/>
                <w:szCs w:val="21"/>
              </w:rPr>
            </w:pPr>
            <w:r>
              <w:rPr>
                <w:position w:val="2"/>
                <w:sz w:val="21"/>
                <w:szCs w:val="21"/>
              </w:rPr>
              <w:t>Cop</w:t>
            </w:r>
            <w:r>
              <w:rPr>
                <w:sz w:val="21"/>
                <w:szCs w:val="21"/>
              </w:rPr>
              <w:t>1</w:t>
            </w:r>
          </w:p>
        </w:tc>
        <w:tc>
          <w:tcPr>
            <w:tcW w:w="978" w:type="pct"/>
          </w:tcPr>
          <w:p w14:paraId="31EADA96" w14:textId="77777777" w:rsidR="007D1E74" w:rsidRDefault="00A95641">
            <w:pPr>
              <w:pStyle w:val="TableParagraph"/>
              <w:spacing w:before="25"/>
              <w:ind w:left="241" w:right="241"/>
              <w:rPr>
                <w:sz w:val="21"/>
                <w:szCs w:val="21"/>
              </w:rPr>
            </w:pPr>
            <w:r>
              <w:rPr>
                <w:sz w:val="21"/>
                <w:szCs w:val="21"/>
              </w:rPr>
              <w:t>0.9</w:t>
            </w:r>
          </w:p>
        </w:tc>
        <w:tc>
          <w:tcPr>
            <w:tcW w:w="652" w:type="pct"/>
          </w:tcPr>
          <w:p w14:paraId="19D07D91" w14:textId="77777777" w:rsidR="007D1E74" w:rsidRDefault="00A95641">
            <w:pPr>
              <w:pStyle w:val="TableParagraph"/>
              <w:spacing w:before="25"/>
              <w:ind w:right="373"/>
              <w:jc w:val="right"/>
              <w:rPr>
                <w:sz w:val="21"/>
                <w:szCs w:val="21"/>
              </w:rPr>
            </w:pPr>
            <w:r>
              <w:rPr>
                <w:sz w:val="21"/>
                <w:szCs w:val="21"/>
              </w:rPr>
              <w:t>10</w:t>
            </w:r>
          </w:p>
        </w:tc>
      </w:tr>
      <w:tr w:rsidR="007D1E74" w14:paraId="3832EF80" w14:textId="77777777">
        <w:trPr>
          <w:trHeight w:hRule="exact" w:val="336"/>
        </w:trPr>
        <w:tc>
          <w:tcPr>
            <w:tcW w:w="440" w:type="pct"/>
          </w:tcPr>
          <w:p w14:paraId="09F76168" w14:textId="77777777" w:rsidR="007D1E74" w:rsidRDefault="00A95641">
            <w:pPr>
              <w:pStyle w:val="TableParagraph"/>
              <w:spacing w:before="25"/>
              <w:ind w:left="109" w:right="105"/>
              <w:rPr>
                <w:sz w:val="21"/>
                <w:szCs w:val="21"/>
              </w:rPr>
            </w:pPr>
            <w:r>
              <w:rPr>
                <w:sz w:val="21"/>
                <w:szCs w:val="21"/>
              </w:rPr>
              <w:t>13</w:t>
            </w:r>
          </w:p>
        </w:tc>
        <w:tc>
          <w:tcPr>
            <w:tcW w:w="908" w:type="pct"/>
          </w:tcPr>
          <w:p w14:paraId="72609B89" w14:textId="77777777" w:rsidR="007D1E74" w:rsidRDefault="00A95641">
            <w:pPr>
              <w:pStyle w:val="TableParagraph"/>
              <w:spacing w:line="284" w:lineRule="exact"/>
              <w:ind w:left="102"/>
              <w:rPr>
                <w:rFonts w:ascii="宋体"/>
                <w:sz w:val="21"/>
                <w:szCs w:val="21"/>
              </w:rPr>
            </w:pPr>
            <w:r>
              <w:rPr>
                <w:rFonts w:ascii="宋体" w:hint="eastAsia"/>
                <w:sz w:val="21"/>
                <w:szCs w:val="21"/>
              </w:rPr>
              <w:t>苔草</w:t>
            </w:r>
          </w:p>
        </w:tc>
        <w:tc>
          <w:tcPr>
            <w:tcW w:w="674" w:type="pct"/>
          </w:tcPr>
          <w:p w14:paraId="7F3BBEEB"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321829CB" w14:textId="77777777" w:rsidR="007D1E74" w:rsidRDefault="00A95641">
            <w:pPr>
              <w:pStyle w:val="TableParagraph"/>
              <w:spacing w:before="25"/>
              <w:ind w:left="513"/>
              <w:rPr>
                <w:sz w:val="21"/>
                <w:szCs w:val="21"/>
              </w:rPr>
            </w:pPr>
            <w:r>
              <w:rPr>
                <w:sz w:val="21"/>
                <w:szCs w:val="21"/>
              </w:rPr>
              <w:t>45</w:t>
            </w:r>
          </w:p>
        </w:tc>
        <w:tc>
          <w:tcPr>
            <w:tcW w:w="674" w:type="pct"/>
          </w:tcPr>
          <w:p w14:paraId="6408244A" w14:textId="77777777" w:rsidR="007D1E74" w:rsidRDefault="00A95641">
            <w:pPr>
              <w:pStyle w:val="TableParagraph"/>
              <w:spacing w:before="25"/>
              <w:ind w:left="101" w:right="100"/>
              <w:rPr>
                <w:sz w:val="21"/>
                <w:szCs w:val="21"/>
              </w:rPr>
            </w:pPr>
            <w:r>
              <w:rPr>
                <w:sz w:val="21"/>
                <w:szCs w:val="21"/>
              </w:rPr>
              <w:t>Sp</w:t>
            </w:r>
          </w:p>
        </w:tc>
        <w:tc>
          <w:tcPr>
            <w:tcW w:w="978" w:type="pct"/>
          </w:tcPr>
          <w:p w14:paraId="27651907" w14:textId="77777777" w:rsidR="007D1E74" w:rsidRDefault="00A95641">
            <w:pPr>
              <w:pStyle w:val="TableParagraph"/>
              <w:spacing w:before="25"/>
              <w:ind w:left="241" w:right="241"/>
              <w:rPr>
                <w:sz w:val="21"/>
                <w:szCs w:val="21"/>
              </w:rPr>
            </w:pPr>
            <w:r>
              <w:rPr>
                <w:sz w:val="21"/>
                <w:szCs w:val="21"/>
              </w:rPr>
              <w:t>0.4</w:t>
            </w:r>
          </w:p>
        </w:tc>
        <w:tc>
          <w:tcPr>
            <w:tcW w:w="652" w:type="pct"/>
          </w:tcPr>
          <w:p w14:paraId="6C7DFBD4" w14:textId="77777777" w:rsidR="007D1E74" w:rsidRDefault="00A95641">
            <w:pPr>
              <w:pStyle w:val="TableParagraph"/>
              <w:spacing w:before="25"/>
              <w:ind w:right="433"/>
              <w:jc w:val="right"/>
              <w:rPr>
                <w:sz w:val="21"/>
                <w:szCs w:val="21"/>
              </w:rPr>
            </w:pPr>
            <w:r>
              <w:rPr>
                <w:sz w:val="21"/>
                <w:szCs w:val="21"/>
              </w:rPr>
              <w:t>6</w:t>
            </w:r>
          </w:p>
        </w:tc>
      </w:tr>
      <w:tr w:rsidR="007D1E74" w14:paraId="74C10E60" w14:textId="77777777">
        <w:trPr>
          <w:trHeight w:hRule="exact" w:val="336"/>
        </w:trPr>
        <w:tc>
          <w:tcPr>
            <w:tcW w:w="440" w:type="pct"/>
          </w:tcPr>
          <w:p w14:paraId="151AC22B" w14:textId="77777777" w:rsidR="007D1E74" w:rsidRDefault="00A95641">
            <w:pPr>
              <w:pStyle w:val="TableParagraph"/>
              <w:spacing w:before="25"/>
              <w:ind w:left="109" w:right="105"/>
              <w:rPr>
                <w:sz w:val="21"/>
                <w:szCs w:val="21"/>
              </w:rPr>
            </w:pPr>
            <w:r>
              <w:rPr>
                <w:sz w:val="21"/>
                <w:szCs w:val="21"/>
              </w:rPr>
              <w:t>14</w:t>
            </w:r>
          </w:p>
        </w:tc>
        <w:tc>
          <w:tcPr>
            <w:tcW w:w="908" w:type="pct"/>
          </w:tcPr>
          <w:p w14:paraId="3E9795BB" w14:textId="77777777" w:rsidR="007D1E74" w:rsidRDefault="00A95641">
            <w:pPr>
              <w:pStyle w:val="TableParagraph"/>
              <w:spacing w:line="284" w:lineRule="exact"/>
              <w:ind w:left="102"/>
              <w:rPr>
                <w:rFonts w:ascii="宋体"/>
                <w:sz w:val="21"/>
                <w:szCs w:val="21"/>
              </w:rPr>
            </w:pPr>
            <w:r>
              <w:rPr>
                <w:rFonts w:ascii="宋体" w:hint="eastAsia"/>
                <w:sz w:val="21"/>
                <w:szCs w:val="21"/>
              </w:rPr>
              <w:t>蒿</w:t>
            </w:r>
          </w:p>
        </w:tc>
        <w:tc>
          <w:tcPr>
            <w:tcW w:w="674" w:type="pct"/>
          </w:tcPr>
          <w:p w14:paraId="585803EB"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439B382C" w14:textId="77777777" w:rsidR="007D1E74" w:rsidRDefault="00A95641">
            <w:pPr>
              <w:pStyle w:val="TableParagraph"/>
              <w:spacing w:before="25"/>
              <w:ind w:left="513"/>
              <w:rPr>
                <w:sz w:val="21"/>
                <w:szCs w:val="21"/>
              </w:rPr>
            </w:pPr>
            <w:r>
              <w:rPr>
                <w:sz w:val="21"/>
                <w:szCs w:val="21"/>
              </w:rPr>
              <w:t>40</w:t>
            </w:r>
          </w:p>
        </w:tc>
        <w:tc>
          <w:tcPr>
            <w:tcW w:w="674" w:type="pct"/>
          </w:tcPr>
          <w:p w14:paraId="34C6B5BE" w14:textId="77777777" w:rsidR="007D1E74" w:rsidRDefault="00A95641">
            <w:pPr>
              <w:pStyle w:val="TableParagraph"/>
              <w:spacing w:before="25"/>
              <w:ind w:left="101" w:right="100"/>
              <w:rPr>
                <w:sz w:val="21"/>
                <w:szCs w:val="21"/>
              </w:rPr>
            </w:pPr>
            <w:r>
              <w:rPr>
                <w:sz w:val="21"/>
                <w:szCs w:val="21"/>
              </w:rPr>
              <w:t>Sp</w:t>
            </w:r>
          </w:p>
        </w:tc>
        <w:tc>
          <w:tcPr>
            <w:tcW w:w="978" w:type="pct"/>
          </w:tcPr>
          <w:p w14:paraId="463717FC" w14:textId="77777777" w:rsidR="007D1E74" w:rsidRDefault="00A95641">
            <w:pPr>
              <w:pStyle w:val="TableParagraph"/>
              <w:spacing w:before="25"/>
              <w:ind w:left="241" w:right="241"/>
              <w:rPr>
                <w:sz w:val="21"/>
                <w:szCs w:val="21"/>
              </w:rPr>
            </w:pPr>
            <w:r>
              <w:rPr>
                <w:sz w:val="21"/>
                <w:szCs w:val="21"/>
              </w:rPr>
              <w:t>0.8</w:t>
            </w:r>
          </w:p>
        </w:tc>
        <w:tc>
          <w:tcPr>
            <w:tcW w:w="652" w:type="pct"/>
          </w:tcPr>
          <w:p w14:paraId="4A9FEFD8" w14:textId="77777777" w:rsidR="007D1E74" w:rsidRDefault="00A95641">
            <w:pPr>
              <w:pStyle w:val="TableParagraph"/>
              <w:spacing w:before="25"/>
              <w:ind w:right="433"/>
              <w:jc w:val="right"/>
              <w:rPr>
                <w:sz w:val="21"/>
                <w:szCs w:val="21"/>
              </w:rPr>
            </w:pPr>
            <w:r>
              <w:rPr>
                <w:sz w:val="21"/>
                <w:szCs w:val="21"/>
              </w:rPr>
              <w:t>4</w:t>
            </w:r>
          </w:p>
        </w:tc>
      </w:tr>
      <w:tr w:rsidR="007D1E74" w14:paraId="21B66741" w14:textId="77777777">
        <w:trPr>
          <w:trHeight w:hRule="exact" w:val="336"/>
        </w:trPr>
        <w:tc>
          <w:tcPr>
            <w:tcW w:w="440" w:type="pct"/>
          </w:tcPr>
          <w:p w14:paraId="2D518212" w14:textId="77777777" w:rsidR="007D1E74" w:rsidRDefault="00A95641">
            <w:pPr>
              <w:pStyle w:val="TableParagraph"/>
              <w:spacing w:before="25"/>
              <w:ind w:left="109" w:right="105"/>
              <w:rPr>
                <w:sz w:val="21"/>
                <w:szCs w:val="21"/>
              </w:rPr>
            </w:pPr>
            <w:r>
              <w:rPr>
                <w:sz w:val="21"/>
                <w:szCs w:val="21"/>
              </w:rPr>
              <w:t>15</w:t>
            </w:r>
          </w:p>
        </w:tc>
        <w:tc>
          <w:tcPr>
            <w:tcW w:w="908" w:type="pct"/>
          </w:tcPr>
          <w:p w14:paraId="2AF7B67F" w14:textId="77777777" w:rsidR="007D1E74" w:rsidRDefault="00A95641">
            <w:pPr>
              <w:pStyle w:val="TableParagraph"/>
              <w:spacing w:line="284" w:lineRule="exact"/>
              <w:ind w:left="102"/>
              <w:rPr>
                <w:rFonts w:ascii="宋体"/>
                <w:sz w:val="21"/>
                <w:szCs w:val="21"/>
              </w:rPr>
            </w:pPr>
            <w:r>
              <w:rPr>
                <w:rFonts w:ascii="宋体" w:hint="eastAsia"/>
                <w:sz w:val="21"/>
                <w:szCs w:val="21"/>
              </w:rPr>
              <w:t>顶芽狗脊</w:t>
            </w:r>
          </w:p>
        </w:tc>
        <w:tc>
          <w:tcPr>
            <w:tcW w:w="674" w:type="pct"/>
          </w:tcPr>
          <w:p w14:paraId="7C20E453"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14E43B37" w14:textId="77777777" w:rsidR="007D1E74" w:rsidRDefault="00A95641">
            <w:pPr>
              <w:pStyle w:val="TableParagraph"/>
              <w:spacing w:before="25"/>
              <w:ind w:left="573"/>
              <w:rPr>
                <w:sz w:val="21"/>
                <w:szCs w:val="21"/>
              </w:rPr>
            </w:pPr>
            <w:r>
              <w:rPr>
                <w:sz w:val="21"/>
                <w:szCs w:val="21"/>
              </w:rPr>
              <w:t>2</w:t>
            </w:r>
          </w:p>
        </w:tc>
        <w:tc>
          <w:tcPr>
            <w:tcW w:w="674" w:type="pct"/>
          </w:tcPr>
          <w:p w14:paraId="12C07896" w14:textId="77777777" w:rsidR="007D1E74" w:rsidRDefault="00A95641">
            <w:pPr>
              <w:pStyle w:val="TableParagraph"/>
              <w:spacing w:before="22"/>
              <w:ind w:left="101" w:right="101"/>
              <w:rPr>
                <w:sz w:val="21"/>
                <w:szCs w:val="21"/>
              </w:rPr>
            </w:pPr>
            <w:r>
              <w:rPr>
                <w:position w:val="2"/>
                <w:sz w:val="21"/>
                <w:szCs w:val="21"/>
              </w:rPr>
              <w:t>Cop</w:t>
            </w:r>
            <w:r>
              <w:rPr>
                <w:sz w:val="21"/>
                <w:szCs w:val="21"/>
              </w:rPr>
              <w:t>1</w:t>
            </w:r>
          </w:p>
        </w:tc>
        <w:tc>
          <w:tcPr>
            <w:tcW w:w="978" w:type="pct"/>
          </w:tcPr>
          <w:p w14:paraId="7CDED088" w14:textId="77777777" w:rsidR="007D1E74" w:rsidRDefault="00A95641">
            <w:pPr>
              <w:pStyle w:val="TableParagraph"/>
              <w:spacing w:before="25"/>
              <w:ind w:left="241" w:right="241"/>
              <w:rPr>
                <w:sz w:val="21"/>
                <w:szCs w:val="21"/>
              </w:rPr>
            </w:pPr>
            <w:r>
              <w:rPr>
                <w:sz w:val="21"/>
                <w:szCs w:val="21"/>
              </w:rPr>
              <w:t>1.4</w:t>
            </w:r>
          </w:p>
        </w:tc>
        <w:tc>
          <w:tcPr>
            <w:tcW w:w="652" w:type="pct"/>
          </w:tcPr>
          <w:p w14:paraId="0AF2DA89" w14:textId="77777777" w:rsidR="007D1E74" w:rsidRDefault="00A95641">
            <w:pPr>
              <w:pStyle w:val="TableParagraph"/>
              <w:spacing w:before="25"/>
              <w:ind w:right="373"/>
              <w:jc w:val="right"/>
              <w:rPr>
                <w:sz w:val="21"/>
                <w:szCs w:val="21"/>
              </w:rPr>
            </w:pPr>
            <w:r>
              <w:rPr>
                <w:sz w:val="21"/>
                <w:szCs w:val="21"/>
              </w:rPr>
              <w:t>25</w:t>
            </w:r>
          </w:p>
        </w:tc>
      </w:tr>
    </w:tbl>
    <w:p w14:paraId="6DA3E5E7" w14:textId="77777777" w:rsidR="007D1E74" w:rsidRDefault="007D1E74">
      <w:pPr>
        <w:spacing w:line="360" w:lineRule="auto"/>
        <w:rPr>
          <w:rFonts w:cs="Times New Roman"/>
          <w:szCs w:val="21"/>
        </w:rPr>
      </w:pPr>
    </w:p>
    <w:p w14:paraId="43B7BF16" w14:textId="77777777" w:rsidR="007D1E74" w:rsidRDefault="00A95641">
      <w:pPr>
        <w:spacing w:line="360" w:lineRule="auto"/>
        <w:jc w:val="center"/>
        <w:rPr>
          <w:rFonts w:eastAsia="黑体" w:cs="Times New Roman"/>
          <w:szCs w:val="21"/>
        </w:rPr>
      </w:pPr>
      <w:r>
        <w:rPr>
          <w:rFonts w:eastAsia="黑体" w:cs="Times New Roman"/>
          <w:szCs w:val="21"/>
        </w:rPr>
        <w:t>表</w:t>
      </w:r>
      <w:r>
        <w:rPr>
          <w:rFonts w:eastAsia="黑体" w:cs="Times New Roman"/>
          <w:szCs w:val="21"/>
        </w:rPr>
        <w:t xml:space="preserve">A.2.3-4  </w:t>
      </w:r>
      <w:r>
        <w:rPr>
          <w:rFonts w:eastAsia="黑体" w:cs="Times New Roman" w:hint="eastAsia"/>
          <w:szCs w:val="21"/>
        </w:rPr>
        <w:t>植物实测样方表</w:t>
      </w:r>
    </w:p>
    <w:tbl>
      <w:tblPr>
        <w:tblStyle w:val="affffc"/>
        <w:tblW w:w="0" w:type="auto"/>
        <w:tblBorders>
          <w:left w:val="none" w:sz="0" w:space="0" w:color="auto"/>
          <w:right w:val="none" w:sz="0" w:space="0" w:color="auto"/>
        </w:tblBorders>
        <w:tblLook w:val="04A0" w:firstRow="1" w:lastRow="0" w:firstColumn="1" w:lastColumn="0" w:noHBand="0" w:noVBand="1"/>
      </w:tblPr>
      <w:tblGrid>
        <w:gridCol w:w="9016"/>
      </w:tblGrid>
      <w:tr w:rsidR="007D1E74" w14:paraId="29576A7C" w14:textId="77777777">
        <w:tc>
          <w:tcPr>
            <w:tcW w:w="9016" w:type="dxa"/>
          </w:tcPr>
          <w:p w14:paraId="7B2A85AE" w14:textId="77777777" w:rsidR="007D1E74" w:rsidRDefault="00A95641">
            <w:pPr>
              <w:spacing w:line="360" w:lineRule="auto"/>
              <w:rPr>
                <w:rFonts w:eastAsiaTheme="minorEastAsia" w:cs="Times New Roman"/>
                <w:szCs w:val="21"/>
              </w:rPr>
            </w:pPr>
            <w:r>
              <w:rPr>
                <w:rFonts w:eastAsiaTheme="minorEastAsia" w:cs="Times New Roman" w:hint="eastAsia"/>
                <w:szCs w:val="21"/>
              </w:rPr>
              <w:t>群落名称：蒿灌草丛</w:t>
            </w:r>
            <w:r>
              <w:rPr>
                <w:rFonts w:eastAsiaTheme="minorEastAsia" w:cs="Times New Roman" w:hint="eastAsia"/>
                <w:szCs w:val="21"/>
              </w:rPr>
              <w:tab/>
            </w:r>
            <w:r>
              <w:rPr>
                <w:rFonts w:eastAsiaTheme="minorEastAsia" w:cs="Times New Roman" w:hint="eastAsia"/>
                <w:szCs w:val="21"/>
              </w:rPr>
              <w:tab/>
            </w:r>
            <w:r>
              <w:rPr>
                <w:rFonts w:eastAsiaTheme="minorEastAsia" w:cs="Times New Roman" w:hint="eastAsia"/>
                <w:szCs w:val="21"/>
              </w:rPr>
              <w:t>地点：新场镇红岩村</w:t>
            </w:r>
            <w:r>
              <w:rPr>
                <w:rFonts w:eastAsiaTheme="minorEastAsia" w:cs="Times New Roman" w:hint="eastAsia"/>
                <w:szCs w:val="21"/>
              </w:rPr>
              <w:tab/>
            </w:r>
            <w:r>
              <w:rPr>
                <w:rFonts w:eastAsiaTheme="minorEastAsia" w:cs="Times New Roman" w:hint="eastAsia"/>
                <w:szCs w:val="21"/>
              </w:rPr>
              <w:tab/>
            </w:r>
            <w:r>
              <w:rPr>
                <w:rFonts w:eastAsiaTheme="minorEastAsia" w:cs="Times New Roman" w:hint="eastAsia"/>
                <w:szCs w:val="21"/>
              </w:rPr>
              <w:t>样方面积：</w:t>
            </w:r>
            <w:r>
              <w:rPr>
                <w:rFonts w:eastAsiaTheme="minorEastAsia" w:cs="Times New Roman" w:hint="eastAsia"/>
                <w:szCs w:val="21"/>
              </w:rPr>
              <w:t>1m</w:t>
            </w:r>
            <w:r>
              <w:rPr>
                <w:rFonts w:eastAsiaTheme="minorEastAsia" w:cs="Times New Roman" w:hint="eastAsia"/>
                <w:szCs w:val="21"/>
              </w:rPr>
              <w:t>×</w:t>
            </w:r>
            <w:r>
              <w:rPr>
                <w:rFonts w:eastAsiaTheme="minorEastAsia" w:cs="Times New Roman" w:hint="eastAsia"/>
                <w:szCs w:val="21"/>
              </w:rPr>
              <w:t xml:space="preserve">1m  </w:t>
            </w:r>
          </w:p>
        </w:tc>
      </w:tr>
      <w:tr w:rsidR="007D1E74" w14:paraId="31F2273F" w14:textId="77777777">
        <w:tc>
          <w:tcPr>
            <w:tcW w:w="9016" w:type="dxa"/>
          </w:tcPr>
          <w:p w14:paraId="199CDDB5" w14:textId="77777777" w:rsidR="007D1E74" w:rsidRDefault="00A95641">
            <w:pPr>
              <w:spacing w:line="360" w:lineRule="auto"/>
              <w:rPr>
                <w:rFonts w:eastAsiaTheme="minorEastAsia" w:cs="Times New Roman"/>
                <w:szCs w:val="21"/>
              </w:rPr>
            </w:pPr>
            <w:r>
              <w:rPr>
                <w:rFonts w:eastAsiaTheme="minorEastAsia" w:cs="Times New Roman" w:hint="eastAsia"/>
                <w:szCs w:val="21"/>
              </w:rPr>
              <w:t>经度：</w:t>
            </w:r>
            <w:r>
              <w:rPr>
                <w:rFonts w:eastAsiaTheme="minorEastAsia" w:cs="Times New Roman" w:hint="eastAsia"/>
                <w:szCs w:val="21"/>
              </w:rPr>
              <w:t xml:space="preserve">107.183687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纬度：</w:t>
            </w:r>
            <w:r>
              <w:rPr>
                <w:rFonts w:eastAsiaTheme="minorEastAsia" w:cs="Times New Roman" w:hint="eastAsia"/>
                <w:szCs w:val="21"/>
              </w:rPr>
              <w:t xml:space="preserve">32. 151154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海拔（</w:t>
            </w:r>
            <w:r>
              <w:rPr>
                <w:rFonts w:eastAsiaTheme="minorEastAsia" w:cs="Times New Roman" w:hint="eastAsia"/>
                <w:szCs w:val="21"/>
              </w:rPr>
              <w:t>m</w:t>
            </w:r>
            <w:r>
              <w:rPr>
                <w:rFonts w:eastAsiaTheme="minorEastAsia" w:cs="Times New Roman" w:hint="eastAsia"/>
                <w:szCs w:val="21"/>
              </w:rPr>
              <w:t>）</w:t>
            </w:r>
            <w:r>
              <w:rPr>
                <w:rFonts w:eastAsiaTheme="minorEastAsia" w:cs="Times New Roman" w:hint="eastAsia"/>
                <w:szCs w:val="21"/>
              </w:rPr>
              <w:t>710</w:t>
            </w:r>
          </w:p>
        </w:tc>
      </w:tr>
      <w:tr w:rsidR="007D1E74" w14:paraId="55381420" w14:textId="77777777">
        <w:tc>
          <w:tcPr>
            <w:tcW w:w="9016" w:type="dxa"/>
          </w:tcPr>
          <w:p w14:paraId="31D86219" w14:textId="77777777" w:rsidR="007D1E74" w:rsidRDefault="00A95641">
            <w:pPr>
              <w:spacing w:line="360" w:lineRule="auto"/>
              <w:rPr>
                <w:rFonts w:eastAsiaTheme="minorEastAsia" w:cs="Times New Roman"/>
                <w:szCs w:val="21"/>
              </w:rPr>
            </w:pPr>
            <w:r>
              <w:rPr>
                <w:rFonts w:eastAsiaTheme="minorEastAsia" w:cs="Times New Roman" w:hint="eastAsia"/>
                <w:szCs w:val="21"/>
              </w:rPr>
              <w:t>调查人：黄文军、李秦</w:t>
            </w:r>
            <w:r>
              <w:rPr>
                <w:rFonts w:eastAsiaTheme="minorEastAsia" w:cs="Times New Roman" w:hint="eastAsia"/>
                <w:szCs w:val="21"/>
              </w:rPr>
              <w:tab/>
            </w:r>
            <w:r>
              <w:rPr>
                <w:rFonts w:eastAsiaTheme="minorEastAsia" w:cs="Times New Roman" w:hint="eastAsia"/>
                <w:szCs w:val="21"/>
              </w:rPr>
              <w:t>调查日期：</w:t>
            </w:r>
            <w:r>
              <w:rPr>
                <w:rFonts w:eastAsiaTheme="minorEastAsia" w:cs="Times New Roman" w:hint="eastAsia"/>
                <w:szCs w:val="21"/>
              </w:rPr>
              <w:t>2021-08-19</w:t>
            </w:r>
          </w:p>
        </w:tc>
      </w:tr>
    </w:tbl>
    <w:p w14:paraId="6368EE8F" w14:textId="77777777" w:rsidR="007D1E74" w:rsidRDefault="007D1E74">
      <w:pPr>
        <w:spacing w:line="360" w:lineRule="auto"/>
        <w:rPr>
          <w:rFonts w:eastAsia="黑体" w:cs="Times New Roman"/>
          <w:sz w:val="24"/>
          <w:szCs w:val="24"/>
        </w:rPr>
      </w:pP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4"/>
        <w:gridCol w:w="1637"/>
        <w:gridCol w:w="1215"/>
        <w:gridCol w:w="1215"/>
        <w:gridCol w:w="1215"/>
        <w:gridCol w:w="1764"/>
        <w:gridCol w:w="1176"/>
      </w:tblGrid>
      <w:tr w:rsidR="007D1E74" w14:paraId="040E0A85" w14:textId="77777777">
        <w:trPr>
          <w:trHeight w:hRule="exact" w:val="351"/>
        </w:trPr>
        <w:tc>
          <w:tcPr>
            <w:tcW w:w="440" w:type="pct"/>
          </w:tcPr>
          <w:p w14:paraId="4B94C31C" w14:textId="77777777" w:rsidR="007D1E74" w:rsidRDefault="00A95641">
            <w:pPr>
              <w:pStyle w:val="TableParagraph"/>
              <w:spacing w:line="284" w:lineRule="exact"/>
              <w:ind w:left="109" w:right="103"/>
              <w:rPr>
                <w:rFonts w:ascii="宋体"/>
                <w:sz w:val="21"/>
                <w:szCs w:val="21"/>
              </w:rPr>
            </w:pPr>
            <w:r>
              <w:rPr>
                <w:rFonts w:ascii="宋体" w:hint="eastAsia"/>
                <w:sz w:val="21"/>
                <w:szCs w:val="21"/>
              </w:rPr>
              <w:t>种号</w:t>
            </w:r>
          </w:p>
        </w:tc>
        <w:tc>
          <w:tcPr>
            <w:tcW w:w="908" w:type="pct"/>
          </w:tcPr>
          <w:p w14:paraId="250DD6E0" w14:textId="77777777" w:rsidR="007D1E74" w:rsidRDefault="00A95641">
            <w:pPr>
              <w:pStyle w:val="TableParagraph"/>
              <w:spacing w:line="284" w:lineRule="exact"/>
              <w:ind w:left="397"/>
              <w:rPr>
                <w:rFonts w:ascii="宋体"/>
                <w:sz w:val="21"/>
                <w:szCs w:val="21"/>
              </w:rPr>
            </w:pPr>
            <w:r>
              <w:rPr>
                <w:rFonts w:ascii="宋体" w:hint="eastAsia"/>
                <w:sz w:val="21"/>
                <w:szCs w:val="21"/>
              </w:rPr>
              <w:t>物种名</w:t>
            </w:r>
          </w:p>
        </w:tc>
        <w:tc>
          <w:tcPr>
            <w:tcW w:w="674" w:type="pct"/>
          </w:tcPr>
          <w:p w14:paraId="1EF910B7" w14:textId="77777777" w:rsidR="007D1E74" w:rsidRDefault="00A95641">
            <w:pPr>
              <w:pStyle w:val="TableParagraph"/>
              <w:spacing w:line="284" w:lineRule="exact"/>
              <w:ind w:left="202"/>
              <w:rPr>
                <w:rFonts w:ascii="宋体"/>
                <w:sz w:val="21"/>
                <w:szCs w:val="21"/>
              </w:rPr>
            </w:pPr>
            <w:r>
              <w:rPr>
                <w:rFonts w:ascii="宋体" w:hint="eastAsia"/>
                <w:sz w:val="21"/>
                <w:szCs w:val="21"/>
              </w:rPr>
              <w:t>物候期</w:t>
            </w:r>
          </w:p>
        </w:tc>
        <w:tc>
          <w:tcPr>
            <w:tcW w:w="674" w:type="pct"/>
          </w:tcPr>
          <w:p w14:paraId="5402FEF1" w14:textId="77777777" w:rsidR="007D1E74" w:rsidRDefault="00A95641">
            <w:pPr>
              <w:pStyle w:val="TableParagraph"/>
              <w:spacing w:line="302" w:lineRule="exact"/>
              <w:ind w:left="102" w:right="102"/>
              <w:rPr>
                <w:rFonts w:ascii="宋体"/>
                <w:sz w:val="21"/>
                <w:szCs w:val="21"/>
              </w:rPr>
            </w:pPr>
            <w:r>
              <w:rPr>
                <w:rFonts w:ascii="宋体" w:hint="eastAsia"/>
                <w:sz w:val="21"/>
                <w:szCs w:val="21"/>
              </w:rPr>
              <w:t>株</w:t>
            </w:r>
            <w:r>
              <w:rPr>
                <w:sz w:val="21"/>
                <w:szCs w:val="21"/>
              </w:rPr>
              <w:t>(</w:t>
            </w:r>
            <w:r>
              <w:rPr>
                <w:rFonts w:ascii="宋体" w:hint="eastAsia"/>
                <w:sz w:val="21"/>
                <w:szCs w:val="21"/>
              </w:rPr>
              <w:t>丛</w:t>
            </w:r>
            <w:r>
              <w:rPr>
                <w:sz w:val="21"/>
                <w:szCs w:val="21"/>
              </w:rPr>
              <w:t>)</w:t>
            </w:r>
            <w:r>
              <w:rPr>
                <w:rFonts w:ascii="宋体" w:hint="eastAsia"/>
                <w:sz w:val="21"/>
                <w:szCs w:val="21"/>
              </w:rPr>
              <w:t>数</w:t>
            </w:r>
          </w:p>
        </w:tc>
        <w:tc>
          <w:tcPr>
            <w:tcW w:w="674" w:type="pct"/>
          </w:tcPr>
          <w:p w14:paraId="11FB41D0" w14:textId="77777777" w:rsidR="007D1E74" w:rsidRDefault="00A95641">
            <w:pPr>
              <w:pStyle w:val="TableParagraph"/>
              <w:spacing w:line="284" w:lineRule="exact"/>
              <w:ind w:left="102" w:right="102"/>
              <w:rPr>
                <w:rFonts w:ascii="宋体"/>
                <w:sz w:val="21"/>
                <w:szCs w:val="21"/>
              </w:rPr>
            </w:pPr>
            <w:r>
              <w:rPr>
                <w:rFonts w:ascii="宋体" w:hint="eastAsia"/>
                <w:sz w:val="21"/>
                <w:szCs w:val="21"/>
              </w:rPr>
              <w:t>多度</w:t>
            </w:r>
          </w:p>
        </w:tc>
        <w:tc>
          <w:tcPr>
            <w:tcW w:w="978" w:type="pct"/>
          </w:tcPr>
          <w:p w14:paraId="6F188F5E" w14:textId="77777777" w:rsidR="007D1E74" w:rsidRDefault="00A95641">
            <w:pPr>
              <w:pStyle w:val="TableParagraph"/>
              <w:spacing w:line="302" w:lineRule="exact"/>
              <w:ind w:left="172" w:right="170"/>
              <w:rPr>
                <w:sz w:val="21"/>
                <w:szCs w:val="21"/>
              </w:rPr>
            </w:pPr>
            <w:r>
              <w:rPr>
                <w:rFonts w:ascii="宋体" w:hint="eastAsia"/>
                <w:w w:val="95"/>
                <w:sz w:val="21"/>
                <w:szCs w:val="21"/>
              </w:rPr>
              <w:t>平均高度</w:t>
            </w:r>
            <w:r>
              <w:rPr>
                <w:w w:val="95"/>
                <w:sz w:val="21"/>
                <w:szCs w:val="21"/>
              </w:rPr>
              <w:t>/cm</w:t>
            </w:r>
          </w:p>
        </w:tc>
        <w:tc>
          <w:tcPr>
            <w:tcW w:w="652" w:type="pct"/>
          </w:tcPr>
          <w:p w14:paraId="1C40FBF1" w14:textId="77777777" w:rsidR="007D1E74" w:rsidRDefault="00A95641">
            <w:pPr>
              <w:pStyle w:val="TableParagraph"/>
              <w:spacing w:line="302" w:lineRule="exact"/>
              <w:ind w:left="116" w:right="226"/>
              <w:rPr>
                <w:sz w:val="21"/>
                <w:szCs w:val="21"/>
              </w:rPr>
            </w:pPr>
            <w:r>
              <w:rPr>
                <w:rFonts w:ascii="宋体" w:hint="eastAsia"/>
                <w:w w:val="95"/>
                <w:sz w:val="21"/>
                <w:szCs w:val="21"/>
              </w:rPr>
              <w:t>盖度</w:t>
            </w:r>
            <w:r>
              <w:rPr>
                <w:w w:val="95"/>
                <w:sz w:val="21"/>
                <w:szCs w:val="21"/>
              </w:rPr>
              <w:t>/%</w:t>
            </w:r>
          </w:p>
        </w:tc>
      </w:tr>
      <w:tr w:rsidR="007D1E74" w14:paraId="378C58F5" w14:textId="77777777">
        <w:trPr>
          <w:trHeight w:hRule="exact" w:val="336"/>
        </w:trPr>
        <w:tc>
          <w:tcPr>
            <w:tcW w:w="440" w:type="pct"/>
          </w:tcPr>
          <w:p w14:paraId="29B64C1C" w14:textId="77777777" w:rsidR="007D1E74" w:rsidRDefault="00A95641">
            <w:pPr>
              <w:pStyle w:val="TableParagraph"/>
              <w:spacing w:before="25"/>
              <w:ind w:left="4"/>
              <w:rPr>
                <w:sz w:val="21"/>
                <w:szCs w:val="21"/>
              </w:rPr>
            </w:pPr>
            <w:r>
              <w:rPr>
                <w:sz w:val="21"/>
                <w:szCs w:val="21"/>
              </w:rPr>
              <w:t>1</w:t>
            </w:r>
          </w:p>
        </w:tc>
        <w:tc>
          <w:tcPr>
            <w:tcW w:w="908" w:type="pct"/>
          </w:tcPr>
          <w:p w14:paraId="5192A610" w14:textId="77777777" w:rsidR="007D1E74" w:rsidRDefault="00A95641">
            <w:pPr>
              <w:pStyle w:val="TableParagraph"/>
              <w:spacing w:line="284" w:lineRule="exact"/>
              <w:ind w:left="102"/>
              <w:rPr>
                <w:rFonts w:ascii="宋体"/>
                <w:sz w:val="21"/>
                <w:szCs w:val="21"/>
              </w:rPr>
            </w:pPr>
            <w:r>
              <w:rPr>
                <w:rFonts w:ascii="宋体" w:hint="eastAsia"/>
                <w:sz w:val="21"/>
                <w:szCs w:val="21"/>
              </w:rPr>
              <w:t>魁蒿</w:t>
            </w:r>
          </w:p>
        </w:tc>
        <w:tc>
          <w:tcPr>
            <w:tcW w:w="674" w:type="pct"/>
          </w:tcPr>
          <w:p w14:paraId="01F99021"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5E1AED12" w14:textId="77777777" w:rsidR="007D1E74" w:rsidRDefault="00A95641">
            <w:pPr>
              <w:pStyle w:val="TableParagraph"/>
              <w:spacing w:line="302" w:lineRule="exact"/>
              <w:ind w:left="101" w:right="102"/>
              <w:rPr>
                <w:rFonts w:ascii="宋体"/>
                <w:sz w:val="21"/>
                <w:szCs w:val="21"/>
              </w:rPr>
            </w:pPr>
            <w:r>
              <w:rPr>
                <w:sz w:val="21"/>
                <w:szCs w:val="21"/>
              </w:rPr>
              <w:t xml:space="preserve">1 </w:t>
            </w:r>
            <w:r>
              <w:rPr>
                <w:rFonts w:ascii="宋体" w:hint="eastAsia"/>
                <w:sz w:val="21"/>
                <w:szCs w:val="21"/>
              </w:rPr>
              <w:t>丛</w:t>
            </w:r>
          </w:p>
        </w:tc>
        <w:tc>
          <w:tcPr>
            <w:tcW w:w="674" w:type="pct"/>
          </w:tcPr>
          <w:p w14:paraId="4A05B664" w14:textId="77777777" w:rsidR="007D1E74" w:rsidRDefault="00A95641">
            <w:pPr>
              <w:pStyle w:val="TableParagraph"/>
              <w:spacing w:before="22"/>
              <w:ind w:left="101" w:right="101"/>
              <w:rPr>
                <w:sz w:val="21"/>
                <w:szCs w:val="21"/>
              </w:rPr>
            </w:pPr>
            <w:r>
              <w:rPr>
                <w:position w:val="2"/>
                <w:sz w:val="21"/>
                <w:szCs w:val="21"/>
              </w:rPr>
              <w:t>Cop</w:t>
            </w:r>
            <w:r>
              <w:rPr>
                <w:sz w:val="21"/>
                <w:szCs w:val="21"/>
              </w:rPr>
              <w:t>3</w:t>
            </w:r>
          </w:p>
        </w:tc>
        <w:tc>
          <w:tcPr>
            <w:tcW w:w="978" w:type="pct"/>
          </w:tcPr>
          <w:p w14:paraId="5832E58E" w14:textId="77777777" w:rsidR="007D1E74" w:rsidRDefault="00A95641">
            <w:pPr>
              <w:pStyle w:val="TableParagraph"/>
              <w:spacing w:before="25"/>
              <w:ind w:left="241" w:right="241"/>
              <w:rPr>
                <w:sz w:val="21"/>
                <w:szCs w:val="21"/>
              </w:rPr>
            </w:pPr>
            <w:r>
              <w:rPr>
                <w:sz w:val="21"/>
                <w:szCs w:val="21"/>
              </w:rPr>
              <w:t>1.1</w:t>
            </w:r>
          </w:p>
        </w:tc>
        <w:tc>
          <w:tcPr>
            <w:tcW w:w="652" w:type="pct"/>
          </w:tcPr>
          <w:p w14:paraId="339D6083" w14:textId="77777777" w:rsidR="007D1E74" w:rsidRDefault="00A95641">
            <w:pPr>
              <w:pStyle w:val="TableParagraph"/>
              <w:spacing w:before="25"/>
              <w:ind w:left="116" w:right="224"/>
              <w:rPr>
                <w:sz w:val="21"/>
                <w:szCs w:val="21"/>
              </w:rPr>
            </w:pPr>
            <w:r>
              <w:rPr>
                <w:sz w:val="21"/>
                <w:szCs w:val="21"/>
              </w:rPr>
              <w:t>85</w:t>
            </w:r>
          </w:p>
        </w:tc>
      </w:tr>
      <w:tr w:rsidR="007D1E74" w14:paraId="41B9755A" w14:textId="77777777">
        <w:trPr>
          <w:trHeight w:hRule="exact" w:val="336"/>
        </w:trPr>
        <w:tc>
          <w:tcPr>
            <w:tcW w:w="440" w:type="pct"/>
          </w:tcPr>
          <w:p w14:paraId="1E3D80E7" w14:textId="77777777" w:rsidR="007D1E74" w:rsidRDefault="00A95641">
            <w:pPr>
              <w:pStyle w:val="TableParagraph"/>
              <w:spacing w:before="25"/>
              <w:ind w:left="4"/>
              <w:rPr>
                <w:sz w:val="21"/>
                <w:szCs w:val="21"/>
              </w:rPr>
            </w:pPr>
            <w:r>
              <w:rPr>
                <w:sz w:val="21"/>
                <w:szCs w:val="21"/>
              </w:rPr>
              <w:t>2</w:t>
            </w:r>
          </w:p>
        </w:tc>
        <w:tc>
          <w:tcPr>
            <w:tcW w:w="908" w:type="pct"/>
          </w:tcPr>
          <w:p w14:paraId="3886E5DA" w14:textId="77777777" w:rsidR="007D1E74" w:rsidRDefault="00A95641">
            <w:pPr>
              <w:pStyle w:val="TableParagraph"/>
              <w:spacing w:line="284" w:lineRule="exact"/>
              <w:ind w:left="102"/>
              <w:rPr>
                <w:rFonts w:ascii="宋体"/>
                <w:sz w:val="21"/>
                <w:szCs w:val="21"/>
              </w:rPr>
            </w:pPr>
            <w:r>
              <w:rPr>
                <w:rFonts w:ascii="宋体" w:hint="eastAsia"/>
                <w:sz w:val="21"/>
                <w:szCs w:val="21"/>
              </w:rPr>
              <w:t>小蓬草</w:t>
            </w:r>
          </w:p>
        </w:tc>
        <w:tc>
          <w:tcPr>
            <w:tcW w:w="674" w:type="pct"/>
          </w:tcPr>
          <w:p w14:paraId="2A2C9E0F"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0CB87254" w14:textId="77777777" w:rsidR="007D1E74" w:rsidRDefault="00A95641">
            <w:pPr>
              <w:pStyle w:val="TableParagraph"/>
              <w:spacing w:before="25"/>
              <w:rPr>
                <w:sz w:val="21"/>
                <w:szCs w:val="21"/>
              </w:rPr>
            </w:pPr>
            <w:r>
              <w:rPr>
                <w:sz w:val="21"/>
                <w:szCs w:val="21"/>
              </w:rPr>
              <w:t>4</w:t>
            </w:r>
          </w:p>
        </w:tc>
        <w:tc>
          <w:tcPr>
            <w:tcW w:w="674" w:type="pct"/>
          </w:tcPr>
          <w:p w14:paraId="1B06C1EE" w14:textId="77777777" w:rsidR="007D1E74" w:rsidRDefault="00A95641">
            <w:pPr>
              <w:pStyle w:val="TableParagraph"/>
              <w:spacing w:before="22"/>
              <w:ind w:left="101" w:right="101"/>
              <w:rPr>
                <w:sz w:val="21"/>
                <w:szCs w:val="21"/>
              </w:rPr>
            </w:pPr>
            <w:r>
              <w:rPr>
                <w:position w:val="2"/>
                <w:sz w:val="21"/>
                <w:szCs w:val="21"/>
              </w:rPr>
              <w:t>Cop</w:t>
            </w:r>
            <w:r>
              <w:rPr>
                <w:sz w:val="21"/>
                <w:szCs w:val="21"/>
              </w:rPr>
              <w:t>1</w:t>
            </w:r>
          </w:p>
        </w:tc>
        <w:tc>
          <w:tcPr>
            <w:tcW w:w="978" w:type="pct"/>
          </w:tcPr>
          <w:p w14:paraId="6D4A90E3" w14:textId="77777777" w:rsidR="007D1E74" w:rsidRDefault="00A95641">
            <w:pPr>
              <w:pStyle w:val="TableParagraph"/>
              <w:spacing w:before="25"/>
              <w:ind w:left="241" w:right="241"/>
              <w:rPr>
                <w:sz w:val="21"/>
                <w:szCs w:val="21"/>
              </w:rPr>
            </w:pPr>
            <w:r>
              <w:rPr>
                <w:sz w:val="21"/>
                <w:szCs w:val="21"/>
              </w:rPr>
              <w:t>1.5</w:t>
            </w:r>
          </w:p>
        </w:tc>
        <w:tc>
          <w:tcPr>
            <w:tcW w:w="652" w:type="pct"/>
          </w:tcPr>
          <w:p w14:paraId="60A554F7" w14:textId="77777777" w:rsidR="007D1E74" w:rsidRDefault="00A95641">
            <w:pPr>
              <w:pStyle w:val="TableParagraph"/>
              <w:spacing w:before="25"/>
              <w:ind w:left="116" w:right="224"/>
              <w:rPr>
                <w:sz w:val="21"/>
                <w:szCs w:val="21"/>
              </w:rPr>
            </w:pPr>
            <w:r>
              <w:rPr>
                <w:sz w:val="21"/>
                <w:szCs w:val="21"/>
              </w:rPr>
              <w:t>12</w:t>
            </w:r>
          </w:p>
        </w:tc>
      </w:tr>
      <w:tr w:rsidR="007D1E74" w14:paraId="5A65923A" w14:textId="77777777">
        <w:trPr>
          <w:trHeight w:hRule="exact" w:val="336"/>
        </w:trPr>
        <w:tc>
          <w:tcPr>
            <w:tcW w:w="440" w:type="pct"/>
          </w:tcPr>
          <w:p w14:paraId="02D7CD93" w14:textId="77777777" w:rsidR="007D1E74" w:rsidRDefault="00A95641">
            <w:pPr>
              <w:pStyle w:val="TableParagraph"/>
              <w:spacing w:before="25"/>
              <w:ind w:left="4"/>
              <w:rPr>
                <w:sz w:val="21"/>
                <w:szCs w:val="21"/>
              </w:rPr>
            </w:pPr>
            <w:r>
              <w:rPr>
                <w:sz w:val="21"/>
                <w:szCs w:val="21"/>
              </w:rPr>
              <w:t>3</w:t>
            </w:r>
          </w:p>
        </w:tc>
        <w:tc>
          <w:tcPr>
            <w:tcW w:w="908" w:type="pct"/>
          </w:tcPr>
          <w:p w14:paraId="2BF625A5" w14:textId="77777777" w:rsidR="007D1E74" w:rsidRDefault="00A95641">
            <w:pPr>
              <w:pStyle w:val="TableParagraph"/>
              <w:spacing w:line="284" w:lineRule="exact"/>
              <w:ind w:left="102"/>
              <w:rPr>
                <w:rFonts w:ascii="宋体"/>
                <w:sz w:val="21"/>
                <w:szCs w:val="21"/>
              </w:rPr>
            </w:pPr>
            <w:r>
              <w:rPr>
                <w:rFonts w:ascii="宋体" w:hint="eastAsia"/>
                <w:sz w:val="21"/>
                <w:szCs w:val="21"/>
              </w:rPr>
              <w:t>白花鬼针草</w:t>
            </w:r>
          </w:p>
        </w:tc>
        <w:tc>
          <w:tcPr>
            <w:tcW w:w="674" w:type="pct"/>
          </w:tcPr>
          <w:p w14:paraId="1D0EE8FD" w14:textId="77777777" w:rsidR="007D1E74" w:rsidRDefault="00A95641">
            <w:pPr>
              <w:pStyle w:val="TableParagraph"/>
              <w:spacing w:line="284" w:lineRule="exact"/>
              <w:ind w:left="103"/>
              <w:rPr>
                <w:rFonts w:ascii="宋体"/>
                <w:sz w:val="21"/>
                <w:szCs w:val="21"/>
              </w:rPr>
            </w:pPr>
            <w:r>
              <w:rPr>
                <w:rFonts w:ascii="宋体" w:hint="eastAsia"/>
                <w:sz w:val="21"/>
                <w:szCs w:val="21"/>
              </w:rPr>
              <w:t>花期</w:t>
            </w:r>
          </w:p>
        </w:tc>
        <w:tc>
          <w:tcPr>
            <w:tcW w:w="674" w:type="pct"/>
          </w:tcPr>
          <w:p w14:paraId="600CE54F" w14:textId="77777777" w:rsidR="007D1E74" w:rsidRDefault="00A95641">
            <w:pPr>
              <w:pStyle w:val="TableParagraph"/>
              <w:spacing w:before="25"/>
              <w:rPr>
                <w:sz w:val="21"/>
                <w:szCs w:val="21"/>
              </w:rPr>
            </w:pPr>
            <w:r>
              <w:rPr>
                <w:sz w:val="21"/>
                <w:szCs w:val="21"/>
              </w:rPr>
              <w:t>3</w:t>
            </w:r>
          </w:p>
        </w:tc>
        <w:tc>
          <w:tcPr>
            <w:tcW w:w="674" w:type="pct"/>
          </w:tcPr>
          <w:p w14:paraId="69C5F8C4" w14:textId="77777777" w:rsidR="007D1E74" w:rsidRDefault="00A95641">
            <w:pPr>
              <w:pStyle w:val="TableParagraph"/>
              <w:spacing w:before="25"/>
              <w:ind w:left="101" w:right="101"/>
              <w:rPr>
                <w:sz w:val="21"/>
                <w:szCs w:val="21"/>
              </w:rPr>
            </w:pPr>
            <w:r>
              <w:rPr>
                <w:sz w:val="21"/>
                <w:szCs w:val="21"/>
              </w:rPr>
              <w:t>Ol</w:t>
            </w:r>
          </w:p>
        </w:tc>
        <w:tc>
          <w:tcPr>
            <w:tcW w:w="978" w:type="pct"/>
          </w:tcPr>
          <w:p w14:paraId="6AE554B6" w14:textId="77777777" w:rsidR="007D1E74" w:rsidRDefault="00A95641">
            <w:pPr>
              <w:pStyle w:val="TableParagraph"/>
              <w:spacing w:before="25"/>
              <w:ind w:left="241" w:right="241"/>
              <w:rPr>
                <w:sz w:val="21"/>
                <w:szCs w:val="21"/>
              </w:rPr>
            </w:pPr>
            <w:r>
              <w:rPr>
                <w:sz w:val="21"/>
                <w:szCs w:val="21"/>
              </w:rPr>
              <w:t>1.3</w:t>
            </w:r>
          </w:p>
        </w:tc>
        <w:tc>
          <w:tcPr>
            <w:tcW w:w="652" w:type="pct"/>
          </w:tcPr>
          <w:p w14:paraId="7AEFBE54" w14:textId="77777777" w:rsidR="007D1E74" w:rsidRDefault="00A95641">
            <w:pPr>
              <w:pStyle w:val="TableParagraph"/>
              <w:spacing w:before="25"/>
              <w:ind w:right="108"/>
              <w:rPr>
                <w:sz w:val="21"/>
                <w:szCs w:val="21"/>
              </w:rPr>
            </w:pPr>
            <w:r>
              <w:rPr>
                <w:sz w:val="21"/>
                <w:szCs w:val="21"/>
              </w:rPr>
              <w:t>3</w:t>
            </w:r>
          </w:p>
        </w:tc>
      </w:tr>
      <w:tr w:rsidR="007D1E74" w14:paraId="4067955F" w14:textId="77777777">
        <w:trPr>
          <w:trHeight w:hRule="exact" w:val="336"/>
        </w:trPr>
        <w:tc>
          <w:tcPr>
            <w:tcW w:w="440" w:type="pct"/>
          </w:tcPr>
          <w:p w14:paraId="05A7A2B3" w14:textId="77777777" w:rsidR="007D1E74" w:rsidRDefault="00A95641">
            <w:pPr>
              <w:pStyle w:val="TableParagraph"/>
              <w:spacing w:before="25"/>
              <w:ind w:left="4"/>
              <w:rPr>
                <w:sz w:val="21"/>
                <w:szCs w:val="21"/>
              </w:rPr>
            </w:pPr>
            <w:r>
              <w:rPr>
                <w:sz w:val="21"/>
                <w:szCs w:val="21"/>
              </w:rPr>
              <w:t>4</w:t>
            </w:r>
          </w:p>
        </w:tc>
        <w:tc>
          <w:tcPr>
            <w:tcW w:w="908" w:type="pct"/>
          </w:tcPr>
          <w:p w14:paraId="0B196886" w14:textId="77777777" w:rsidR="007D1E74" w:rsidRDefault="00A95641">
            <w:pPr>
              <w:pStyle w:val="TableParagraph"/>
              <w:spacing w:line="284" w:lineRule="exact"/>
              <w:ind w:left="102"/>
              <w:rPr>
                <w:rFonts w:ascii="宋体"/>
                <w:sz w:val="21"/>
                <w:szCs w:val="21"/>
              </w:rPr>
            </w:pPr>
            <w:r>
              <w:rPr>
                <w:rFonts w:ascii="宋体" w:hint="eastAsia"/>
                <w:sz w:val="21"/>
                <w:szCs w:val="21"/>
              </w:rPr>
              <w:t>芒</w:t>
            </w:r>
          </w:p>
        </w:tc>
        <w:tc>
          <w:tcPr>
            <w:tcW w:w="674" w:type="pct"/>
          </w:tcPr>
          <w:p w14:paraId="68CB98B2"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65ADD175" w14:textId="77777777" w:rsidR="007D1E74" w:rsidRDefault="00A95641">
            <w:pPr>
              <w:pStyle w:val="TableParagraph"/>
              <w:spacing w:before="25"/>
              <w:rPr>
                <w:sz w:val="21"/>
                <w:szCs w:val="21"/>
              </w:rPr>
            </w:pPr>
            <w:r>
              <w:rPr>
                <w:sz w:val="21"/>
                <w:szCs w:val="21"/>
              </w:rPr>
              <w:t>1</w:t>
            </w:r>
          </w:p>
        </w:tc>
        <w:tc>
          <w:tcPr>
            <w:tcW w:w="674" w:type="pct"/>
          </w:tcPr>
          <w:p w14:paraId="58496BD1" w14:textId="77777777" w:rsidR="007D1E74" w:rsidRDefault="00A95641">
            <w:pPr>
              <w:pStyle w:val="TableParagraph"/>
              <w:spacing w:before="25"/>
              <w:ind w:left="101" w:right="101"/>
              <w:rPr>
                <w:sz w:val="21"/>
                <w:szCs w:val="21"/>
              </w:rPr>
            </w:pPr>
            <w:r>
              <w:rPr>
                <w:sz w:val="21"/>
                <w:szCs w:val="21"/>
              </w:rPr>
              <w:t>Ol</w:t>
            </w:r>
          </w:p>
        </w:tc>
        <w:tc>
          <w:tcPr>
            <w:tcW w:w="978" w:type="pct"/>
          </w:tcPr>
          <w:p w14:paraId="13BA0380" w14:textId="77777777" w:rsidR="007D1E74" w:rsidRDefault="00A95641">
            <w:pPr>
              <w:pStyle w:val="TableParagraph"/>
              <w:spacing w:before="25"/>
              <w:ind w:left="241" w:right="241"/>
              <w:rPr>
                <w:sz w:val="21"/>
                <w:szCs w:val="21"/>
              </w:rPr>
            </w:pPr>
            <w:r>
              <w:rPr>
                <w:sz w:val="21"/>
                <w:szCs w:val="21"/>
              </w:rPr>
              <w:t>2.3</w:t>
            </w:r>
          </w:p>
        </w:tc>
        <w:tc>
          <w:tcPr>
            <w:tcW w:w="652" w:type="pct"/>
          </w:tcPr>
          <w:p w14:paraId="6224FF6B" w14:textId="77777777" w:rsidR="007D1E74" w:rsidRDefault="00A95641">
            <w:pPr>
              <w:pStyle w:val="TableParagraph"/>
              <w:spacing w:before="25"/>
              <w:ind w:right="108"/>
              <w:rPr>
                <w:sz w:val="21"/>
                <w:szCs w:val="21"/>
              </w:rPr>
            </w:pPr>
            <w:r>
              <w:rPr>
                <w:sz w:val="21"/>
                <w:szCs w:val="21"/>
              </w:rPr>
              <w:t>2</w:t>
            </w:r>
          </w:p>
        </w:tc>
      </w:tr>
      <w:tr w:rsidR="007D1E74" w14:paraId="321507A2" w14:textId="77777777">
        <w:trPr>
          <w:trHeight w:hRule="exact" w:val="336"/>
        </w:trPr>
        <w:tc>
          <w:tcPr>
            <w:tcW w:w="440" w:type="pct"/>
          </w:tcPr>
          <w:p w14:paraId="60DA2DC2" w14:textId="77777777" w:rsidR="007D1E74" w:rsidRDefault="00A95641">
            <w:pPr>
              <w:pStyle w:val="TableParagraph"/>
              <w:spacing w:before="25"/>
              <w:ind w:left="4"/>
              <w:rPr>
                <w:sz w:val="21"/>
                <w:szCs w:val="21"/>
              </w:rPr>
            </w:pPr>
            <w:r>
              <w:rPr>
                <w:sz w:val="21"/>
                <w:szCs w:val="21"/>
              </w:rPr>
              <w:lastRenderedPageBreak/>
              <w:t>5</w:t>
            </w:r>
          </w:p>
        </w:tc>
        <w:tc>
          <w:tcPr>
            <w:tcW w:w="908" w:type="pct"/>
          </w:tcPr>
          <w:p w14:paraId="2D1A59EC" w14:textId="77777777" w:rsidR="007D1E74" w:rsidRDefault="00A95641">
            <w:pPr>
              <w:pStyle w:val="TableParagraph"/>
              <w:spacing w:line="284" w:lineRule="exact"/>
              <w:ind w:left="102"/>
              <w:rPr>
                <w:rFonts w:ascii="宋体"/>
                <w:sz w:val="21"/>
                <w:szCs w:val="21"/>
              </w:rPr>
            </w:pPr>
            <w:r>
              <w:rPr>
                <w:rFonts w:ascii="宋体" w:hint="eastAsia"/>
                <w:sz w:val="21"/>
                <w:szCs w:val="21"/>
              </w:rPr>
              <w:t>芒萁</w:t>
            </w:r>
          </w:p>
        </w:tc>
        <w:tc>
          <w:tcPr>
            <w:tcW w:w="674" w:type="pct"/>
          </w:tcPr>
          <w:p w14:paraId="66F88288"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66B48667" w14:textId="77777777" w:rsidR="007D1E74" w:rsidRDefault="00A95641">
            <w:pPr>
              <w:pStyle w:val="TableParagraph"/>
              <w:spacing w:line="302" w:lineRule="exact"/>
              <w:ind w:left="101" w:right="102"/>
              <w:rPr>
                <w:rFonts w:ascii="宋体"/>
                <w:sz w:val="21"/>
                <w:szCs w:val="21"/>
              </w:rPr>
            </w:pPr>
            <w:r>
              <w:rPr>
                <w:sz w:val="21"/>
                <w:szCs w:val="21"/>
              </w:rPr>
              <w:t xml:space="preserve">1 </w:t>
            </w:r>
            <w:r>
              <w:rPr>
                <w:rFonts w:ascii="宋体" w:hint="eastAsia"/>
                <w:sz w:val="21"/>
                <w:szCs w:val="21"/>
              </w:rPr>
              <w:t>丛</w:t>
            </w:r>
          </w:p>
        </w:tc>
        <w:tc>
          <w:tcPr>
            <w:tcW w:w="674" w:type="pct"/>
          </w:tcPr>
          <w:p w14:paraId="369505F2" w14:textId="77777777" w:rsidR="007D1E74" w:rsidRDefault="00A95641">
            <w:pPr>
              <w:pStyle w:val="TableParagraph"/>
              <w:spacing w:before="25"/>
              <w:ind w:left="101" w:right="101"/>
              <w:rPr>
                <w:sz w:val="21"/>
                <w:szCs w:val="21"/>
              </w:rPr>
            </w:pPr>
            <w:r>
              <w:rPr>
                <w:sz w:val="21"/>
                <w:szCs w:val="21"/>
              </w:rPr>
              <w:t>Ol</w:t>
            </w:r>
          </w:p>
        </w:tc>
        <w:tc>
          <w:tcPr>
            <w:tcW w:w="978" w:type="pct"/>
          </w:tcPr>
          <w:p w14:paraId="0E11D74E" w14:textId="77777777" w:rsidR="007D1E74" w:rsidRDefault="00A95641">
            <w:pPr>
              <w:pStyle w:val="TableParagraph"/>
              <w:spacing w:before="25"/>
              <w:ind w:left="241" w:right="241"/>
              <w:rPr>
                <w:sz w:val="21"/>
                <w:szCs w:val="21"/>
              </w:rPr>
            </w:pPr>
            <w:r>
              <w:rPr>
                <w:sz w:val="21"/>
                <w:szCs w:val="21"/>
              </w:rPr>
              <w:t>0.25</w:t>
            </w:r>
          </w:p>
        </w:tc>
        <w:tc>
          <w:tcPr>
            <w:tcW w:w="652" w:type="pct"/>
          </w:tcPr>
          <w:p w14:paraId="5D7D7C43" w14:textId="77777777" w:rsidR="007D1E74" w:rsidRDefault="00A95641">
            <w:pPr>
              <w:pStyle w:val="TableParagraph"/>
              <w:spacing w:before="25"/>
              <w:ind w:left="115" w:right="226"/>
              <w:rPr>
                <w:sz w:val="21"/>
                <w:szCs w:val="21"/>
              </w:rPr>
            </w:pPr>
            <w:r>
              <w:rPr>
                <w:sz w:val="21"/>
                <w:szCs w:val="21"/>
              </w:rPr>
              <w:t>0.5</w:t>
            </w:r>
          </w:p>
        </w:tc>
      </w:tr>
      <w:tr w:rsidR="007D1E74" w14:paraId="728287C6" w14:textId="77777777">
        <w:trPr>
          <w:trHeight w:hRule="exact" w:val="336"/>
        </w:trPr>
        <w:tc>
          <w:tcPr>
            <w:tcW w:w="440" w:type="pct"/>
          </w:tcPr>
          <w:p w14:paraId="6BD29DE7" w14:textId="77777777" w:rsidR="007D1E74" w:rsidRDefault="00A95641">
            <w:pPr>
              <w:pStyle w:val="TableParagraph"/>
              <w:spacing w:before="25"/>
              <w:ind w:left="4"/>
              <w:rPr>
                <w:sz w:val="21"/>
                <w:szCs w:val="21"/>
              </w:rPr>
            </w:pPr>
            <w:r>
              <w:rPr>
                <w:sz w:val="21"/>
                <w:szCs w:val="21"/>
              </w:rPr>
              <w:t>6</w:t>
            </w:r>
          </w:p>
        </w:tc>
        <w:tc>
          <w:tcPr>
            <w:tcW w:w="908" w:type="pct"/>
          </w:tcPr>
          <w:p w14:paraId="0A008EC6" w14:textId="77777777" w:rsidR="007D1E74" w:rsidRDefault="00A95641">
            <w:pPr>
              <w:pStyle w:val="TableParagraph"/>
              <w:spacing w:line="284" w:lineRule="exact"/>
              <w:ind w:left="102"/>
              <w:rPr>
                <w:rFonts w:ascii="宋体"/>
                <w:sz w:val="21"/>
                <w:szCs w:val="21"/>
              </w:rPr>
            </w:pPr>
            <w:r>
              <w:rPr>
                <w:rFonts w:ascii="宋体" w:hint="eastAsia"/>
                <w:sz w:val="21"/>
                <w:szCs w:val="21"/>
              </w:rPr>
              <w:t>海金沙</w:t>
            </w:r>
          </w:p>
        </w:tc>
        <w:tc>
          <w:tcPr>
            <w:tcW w:w="674" w:type="pct"/>
          </w:tcPr>
          <w:p w14:paraId="5271EC1D"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777BF87D" w14:textId="77777777" w:rsidR="007D1E74" w:rsidRDefault="00A95641">
            <w:pPr>
              <w:pStyle w:val="TableParagraph"/>
              <w:spacing w:before="25"/>
              <w:rPr>
                <w:sz w:val="21"/>
                <w:szCs w:val="21"/>
              </w:rPr>
            </w:pPr>
            <w:r>
              <w:rPr>
                <w:sz w:val="21"/>
                <w:szCs w:val="21"/>
              </w:rPr>
              <w:t>3</w:t>
            </w:r>
          </w:p>
        </w:tc>
        <w:tc>
          <w:tcPr>
            <w:tcW w:w="674" w:type="pct"/>
          </w:tcPr>
          <w:p w14:paraId="69F8B916" w14:textId="77777777" w:rsidR="007D1E74" w:rsidRDefault="00A95641">
            <w:pPr>
              <w:pStyle w:val="TableParagraph"/>
              <w:spacing w:before="25"/>
              <w:ind w:left="101" w:right="101"/>
              <w:rPr>
                <w:sz w:val="21"/>
                <w:szCs w:val="21"/>
              </w:rPr>
            </w:pPr>
            <w:r>
              <w:rPr>
                <w:sz w:val="21"/>
                <w:szCs w:val="21"/>
              </w:rPr>
              <w:t>Ol</w:t>
            </w:r>
          </w:p>
        </w:tc>
        <w:tc>
          <w:tcPr>
            <w:tcW w:w="978" w:type="pct"/>
          </w:tcPr>
          <w:p w14:paraId="05E16D91" w14:textId="77777777" w:rsidR="007D1E74" w:rsidRDefault="00A95641">
            <w:pPr>
              <w:pStyle w:val="TableParagraph"/>
              <w:spacing w:before="25"/>
              <w:ind w:left="241" w:right="241"/>
              <w:rPr>
                <w:sz w:val="21"/>
                <w:szCs w:val="21"/>
              </w:rPr>
            </w:pPr>
            <w:r>
              <w:rPr>
                <w:sz w:val="21"/>
                <w:szCs w:val="21"/>
              </w:rPr>
              <w:t>1.0</w:t>
            </w:r>
          </w:p>
        </w:tc>
        <w:tc>
          <w:tcPr>
            <w:tcW w:w="652" w:type="pct"/>
          </w:tcPr>
          <w:p w14:paraId="34350EB8" w14:textId="77777777" w:rsidR="007D1E74" w:rsidRDefault="00A95641">
            <w:pPr>
              <w:pStyle w:val="TableParagraph"/>
              <w:spacing w:before="25"/>
              <w:ind w:left="115" w:right="226"/>
              <w:rPr>
                <w:sz w:val="21"/>
                <w:szCs w:val="21"/>
              </w:rPr>
            </w:pPr>
            <w:r>
              <w:rPr>
                <w:sz w:val="21"/>
                <w:szCs w:val="21"/>
              </w:rPr>
              <w:t>0.1</w:t>
            </w:r>
          </w:p>
        </w:tc>
      </w:tr>
    </w:tbl>
    <w:p w14:paraId="149FBC74" w14:textId="77777777" w:rsidR="007D1E74" w:rsidRDefault="007D1E74">
      <w:pPr>
        <w:spacing w:line="360" w:lineRule="auto"/>
        <w:rPr>
          <w:rFonts w:cs="Times New Roman"/>
          <w:szCs w:val="21"/>
        </w:rPr>
      </w:pPr>
    </w:p>
    <w:p w14:paraId="4F0D7BFE" w14:textId="77777777" w:rsidR="007D1E74" w:rsidRDefault="00A95641">
      <w:pPr>
        <w:spacing w:line="360" w:lineRule="auto"/>
        <w:jc w:val="center"/>
        <w:rPr>
          <w:rFonts w:eastAsia="黑体" w:cs="Times New Roman"/>
          <w:szCs w:val="21"/>
        </w:rPr>
      </w:pPr>
      <w:r>
        <w:rPr>
          <w:rFonts w:eastAsia="黑体" w:cs="Times New Roman"/>
          <w:szCs w:val="21"/>
        </w:rPr>
        <w:t>表</w:t>
      </w:r>
      <w:r>
        <w:rPr>
          <w:rFonts w:eastAsia="黑体" w:cs="Times New Roman"/>
          <w:szCs w:val="21"/>
        </w:rPr>
        <w:t xml:space="preserve">A.2.4-1  </w:t>
      </w:r>
      <w:r>
        <w:rPr>
          <w:rFonts w:eastAsia="黑体" w:cs="Times New Roman" w:hint="eastAsia"/>
          <w:szCs w:val="21"/>
        </w:rPr>
        <w:t>植物实测样方表</w:t>
      </w:r>
    </w:p>
    <w:tbl>
      <w:tblPr>
        <w:tblStyle w:val="affffc"/>
        <w:tblW w:w="0" w:type="auto"/>
        <w:tblBorders>
          <w:left w:val="none" w:sz="0" w:space="0" w:color="auto"/>
          <w:right w:val="none" w:sz="0" w:space="0" w:color="auto"/>
        </w:tblBorders>
        <w:tblLook w:val="04A0" w:firstRow="1" w:lastRow="0" w:firstColumn="1" w:lastColumn="0" w:noHBand="0" w:noVBand="1"/>
      </w:tblPr>
      <w:tblGrid>
        <w:gridCol w:w="9016"/>
      </w:tblGrid>
      <w:tr w:rsidR="007D1E74" w14:paraId="541B7171" w14:textId="77777777">
        <w:tc>
          <w:tcPr>
            <w:tcW w:w="9016" w:type="dxa"/>
          </w:tcPr>
          <w:p w14:paraId="535A8E8C" w14:textId="77777777" w:rsidR="007D1E74" w:rsidRDefault="00A95641">
            <w:pPr>
              <w:spacing w:line="360" w:lineRule="auto"/>
              <w:rPr>
                <w:rFonts w:eastAsiaTheme="minorEastAsia" w:cs="Times New Roman"/>
                <w:szCs w:val="21"/>
              </w:rPr>
            </w:pPr>
            <w:r>
              <w:rPr>
                <w:rFonts w:eastAsiaTheme="minorEastAsia" w:cs="Times New Roman" w:hint="eastAsia"/>
                <w:szCs w:val="21"/>
              </w:rPr>
              <w:t>群落名称：柏木林</w:t>
            </w:r>
            <w:r>
              <w:rPr>
                <w:rFonts w:eastAsiaTheme="minorEastAsia" w:cs="Times New Roman" w:hint="eastAsia"/>
                <w:szCs w:val="21"/>
              </w:rPr>
              <w:tab/>
            </w:r>
            <w:r>
              <w:rPr>
                <w:rFonts w:eastAsiaTheme="minorEastAsia" w:cs="Times New Roman" w:hint="eastAsia"/>
                <w:szCs w:val="21"/>
              </w:rPr>
              <w:tab/>
            </w:r>
            <w:r>
              <w:rPr>
                <w:rFonts w:eastAsiaTheme="minorEastAsia" w:cs="Times New Roman" w:hint="eastAsia"/>
                <w:szCs w:val="21"/>
              </w:rPr>
              <w:t>地点：青峪镇窄口村</w:t>
            </w:r>
            <w:r>
              <w:rPr>
                <w:rFonts w:eastAsiaTheme="minorEastAsia" w:cs="Times New Roman" w:hint="eastAsia"/>
                <w:szCs w:val="21"/>
              </w:rPr>
              <w:tab/>
            </w:r>
            <w:r>
              <w:rPr>
                <w:rFonts w:eastAsiaTheme="minorEastAsia" w:cs="Times New Roman" w:hint="eastAsia"/>
                <w:szCs w:val="21"/>
              </w:rPr>
              <w:tab/>
            </w:r>
            <w:r>
              <w:rPr>
                <w:rFonts w:eastAsiaTheme="minorEastAsia" w:cs="Times New Roman" w:hint="eastAsia"/>
                <w:szCs w:val="21"/>
              </w:rPr>
              <w:t>样方面积：</w:t>
            </w:r>
            <w:r>
              <w:rPr>
                <w:rFonts w:eastAsiaTheme="minorEastAsia" w:cs="Times New Roman" w:hint="eastAsia"/>
                <w:szCs w:val="21"/>
              </w:rPr>
              <w:t>10m</w:t>
            </w:r>
            <w:r>
              <w:rPr>
                <w:rFonts w:eastAsiaTheme="minorEastAsia" w:cs="Times New Roman" w:hint="eastAsia"/>
                <w:szCs w:val="21"/>
              </w:rPr>
              <w:t>×</w:t>
            </w:r>
            <w:r>
              <w:rPr>
                <w:rFonts w:eastAsiaTheme="minorEastAsia" w:cs="Times New Roman" w:hint="eastAsia"/>
                <w:szCs w:val="21"/>
              </w:rPr>
              <w:t>10m</w:t>
            </w:r>
          </w:p>
        </w:tc>
      </w:tr>
      <w:tr w:rsidR="007D1E74" w14:paraId="7C6FB493" w14:textId="77777777">
        <w:tc>
          <w:tcPr>
            <w:tcW w:w="9016" w:type="dxa"/>
          </w:tcPr>
          <w:p w14:paraId="3BDBDB0F" w14:textId="77777777" w:rsidR="007D1E74" w:rsidRDefault="00A95641">
            <w:pPr>
              <w:spacing w:line="360" w:lineRule="auto"/>
              <w:rPr>
                <w:rFonts w:eastAsiaTheme="minorEastAsia" w:cs="Times New Roman"/>
                <w:szCs w:val="21"/>
              </w:rPr>
            </w:pPr>
            <w:r>
              <w:rPr>
                <w:rFonts w:eastAsiaTheme="minorEastAsia" w:cs="Times New Roman" w:hint="eastAsia"/>
                <w:szCs w:val="21"/>
              </w:rPr>
              <w:t>经度：</w:t>
            </w:r>
            <w:r>
              <w:rPr>
                <w:rFonts w:eastAsiaTheme="minorEastAsia" w:cs="Times New Roman" w:hint="eastAsia"/>
                <w:szCs w:val="21"/>
              </w:rPr>
              <w:t xml:space="preserve">107.172464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纬度：</w:t>
            </w:r>
            <w:r>
              <w:rPr>
                <w:rFonts w:eastAsiaTheme="minorEastAsia" w:cs="Times New Roman" w:hint="eastAsia"/>
                <w:szCs w:val="21"/>
              </w:rPr>
              <w:t xml:space="preserve">32.175788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海拔（</w:t>
            </w:r>
            <w:r>
              <w:rPr>
                <w:rFonts w:eastAsiaTheme="minorEastAsia" w:cs="Times New Roman" w:hint="eastAsia"/>
                <w:szCs w:val="21"/>
              </w:rPr>
              <w:t>m</w:t>
            </w:r>
            <w:r>
              <w:rPr>
                <w:rFonts w:eastAsiaTheme="minorEastAsia" w:cs="Times New Roman" w:hint="eastAsia"/>
                <w:szCs w:val="21"/>
              </w:rPr>
              <w:t>）</w:t>
            </w:r>
            <w:r>
              <w:rPr>
                <w:rFonts w:eastAsiaTheme="minorEastAsia" w:cs="Times New Roman" w:hint="eastAsia"/>
                <w:szCs w:val="21"/>
              </w:rPr>
              <w:t>474</w:t>
            </w:r>
          </w:p>
        </w:tc>
      </w:tr>
      <w:tr w:rsidR="007D1E74" w14:paraId="1F102732" w14:textId="77777777">
        <w:tc>
          <w:tcPr>
            <w:tcW w:w="9016" w:type="dxa"/>
          </w:tcPr>
          <w:p w14:paraId="646F5B58" w14:textId="77777777" w:rsidR="007D1E74" w:rsidRDefault="00A95641">
            <w:pPr>
              <w:spacing w:line="360" w:lineRule="auto"/>
              <w:rPr>
                <w:rFonts w:eastAsiaTheme="minorEastAsia" w:cs="Times New Roman"/>
                <w:szCs w:val="21"/>
              </w:rPr>
            </w:pPr>
            <w:r>
              <w:rPr>
                <w:rFonts w:eastAsiaTheme="minorEastAsia" w:cs="Times New Roman" w:hint="eastAsia"/>
                <w:szCs w:val="21"/>
              </w:rPr>
              <w:t>调查人：黄文军、李秦</w:t>
            </w:r>
            <w:r>
              <w:rPr>
                <w:rFonts w:eastAsiaTheme="minorEastAsia" w:cs="Times New Roman" w:hint="eastAsia"/>
                <w:szCs w:val="21"/>
              </w:rPr>
              <w:tab/>
            </w:r>
            <w:r>
              <w:rPr>
                <w:rFonts w:eastAsiaTheme="minorEastAsia" w:cs="Times New Roman" w:hint="eastAsia"/>
                <w:szCs w:val="21"/>
              </w:rPr>
              <w:t>调查日期：</w:t>
            </w:r>
            <w:r>
              <w:rPr>
                <w:rFonts w:eastAsiaTheme="minorEastAsia" w:cs="Times New Roman" w:hint="eastAsia"/>
                <w:szCs w:val="21"/>
              </w:rPr>
              <w:t>2021-08-20</w:t>
            </w:r>
          </w:p>
        </w:tc>
      </w:tr>
    </w:tbl>
    <w:p w14:paraId="49BC760A" w14:textId="77777777" w:rsidR="007D1E74" w:rsidRDefault="007D1E74">
      <w:pPr>
        <w:spacing w:line="360" w:lineRule="auto"/>
        <w:rPr>
          <w:rFonts w:eastAsia="黑体" w:cs="Times New Roman"/>
          <w:sz w:val="24"/>
          <w:szCs w:val="24"/>
        </w:rPr>
      </w:pP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4"/>
        <w:gridCol w:w="1637"/>
        <w:gridCol w:w="1215"/>
        <w:gridCol w:w="1215"/>
        <w:gridCol w:w="1215"/>
        <w:gridCol w:w="1764"/>
        <w:gridCol w:w="1176"/>
      </w:tblGrid>
      <w:tr w:rsidR="007D1E74" w14:paraId="0FB3B508" w14:textId="77777777">
        <w:trPr>
          <w:trHeight w:hRule="exact" w:val="351"/>
        </w:trPr>
        <w:tc>
          <w:tcPr>
            <w:tcW w:w="440" w:type="pct"/>
          </w:tcPr>
          <w:p w14:paraId="5E094568" w14:textId="77777777" w:rsidR="007D1E74" w:rsidRDefault="00A95641">
            <w:pPr>
              <w:pStyle w:val="TableParagraph"/>
              <w:spacing w:line="284" w:lineRule="exact"/>
              <w:ind w:left="109" w:right="103"/>
              <w:rPr>
                <w:rFonts w:ascii="宋体"/>
                <w:sz w:val="21"/>
                <w:szCs w:val="21"/>
              </w:rPr>
            </w:pPr>
            <w:r>
              <w:rPr>
                <w:rFonts w:ascii="宋体" w:hint="eastAsia"/>
                <w:sz w:val="21"/>
                <w:szCs w:val="21"/>
              </w:rPr>
              <w:t>种号</w:t>
            </w:r>
          </w:p>
        </w:tc>
        <w:tc>
          <w:tcPr>
            <w:tcW w:w="908" w:type="pct"/>
          </w:tcPr>
          <w:p w14:paraId="24B89694" w14:textId="77777777" w:rsidR="007D1E74" w:rsidRDefault="00A95641">
            <w:pPr>
              <w:pStyle w:val="TableParagraph"/>
              <w:spacing w:line="284" w:lineRule="exact"/>
              <w:ind w:left="397"/>
              <w:rPr>
                <w:rFonts w:ascii="宋体"/>
                <w:sz w:val="21"/>
                <w:szCs w:val="21"/>
              </w:rPr>
            </w:pPr>
            <w:r>
              <w:rPr>
                <w:rFonts w:ascii="宋体" w:hint="eastAsia"/>
                <w:sz w:val="21"/>
                <w:szCs w:val="21"/>
              </w:rPr>
              <w:t>物种名</w:t>
            </w:r>
          </w:p>
        </w:tc>
        <w:tc>
          <w:tcPr>
            <w:tcW w:w="674" w:type="pct"/>
          </w:tcPr>
          <w:p w14:paraId="58755F8A" w14:textId="77777777" w:rsidR="007D1E74" w:rsidRDefault="00A95641">
            <w:pPr>
              <w:pStyle w:val="TableParagraph"/>
              <w:spacing w:line="284" w:lineRule="exact"/>
              <w:ind w:left="202"/>
              <w:rPr>
                <w:rFonts w:ascii="宋体"/>
                <w:sz w:val="21"/>
                <w:szCs w:val="21"/>
              </w:rPr>
            </w:pPr>
            <w:r>
              <w:rPr>
                <w:rFonts w:ascii="宋体" w:hint="eastAsia"/>
                <w:sz w:val="21"/>
                <w:szCs w:val="21"/>
              </w:rPr>
              <w:t>物候期</w:t>
            </w:r>
          </w:p>
        </w:tc>
        <w:tc>
          <w:tcPr>
            <w:tcW w:w="674" w:type="pct"/>
          </w:tcPr>
          <w:p w14:paraId="29DF1EAE" w14:textId="77777777" w:rsidR="007D1E74" w:rsidRDefault="00A95641">
            <w:pPr>
              <w:pStyle w:val="TableParagraph"/>
              <w:spacing w:line="302" w:lineRule="exact"/>
              <w:ind w:left="102" w:right="102"/>
              <w:rPr>
                <w:rFonts w:ascii="宋体"/>
                <w:sz w:val="21"/>
                <w:szCs w:val="21"/>
              </w:rPr>
            </w:pPr>
            <w:r>
              <w:rPr>
                <w:rFonts w:ascii="宋体" w:hint="eastAsia"/>
                <w:sz w:val="21"/>
                <w:szCs w:val="21"/>
              </w:rPr>
              <w:t>株</w:t>
            </w:r>
            <w:r>
              <w:rPr>
                <w:sz w:val="21"/>
                <w:szCs w:val="21"/>
              </w:rPr>
              <w:t>(</w:t>
            </w:r>
            <w:r>
              <w:rPr>
                <w:rFonts w:ascii="宋体" w:hint="eastAsia"/>
                <w:sz w:val="21"/>
                <w:szCs w:val="21"/>
              </w:rPr>
              <w:t>丛</w:t>
            </w:r>
            <w:r>
              <w:rPr>
                <w:sz w:val="21"/>
                <w:szCs w:val="21"/>
              </w:rPr>
              <w:t>)</w:t>
            </w:r>
            <w:r>
              <w:rPr>
                <w:rFonts w:ascii="宋体" w:hint="eastAsia"/>
                <w:sz w:val="21"/>
                <w:szCs w:val="21"/>
              </w:rPr>
              <w:t>数</w:t>
            </w:r>
          </w:p>
        </w:tc>
        <w:tc>
          <w:tcPr>
            <w:tcW w:w="674" w:type="pct"/>
          </w:tcPr>
          <w:p w14:paraId="6FA8C21D" w14:textId="77777777" w:rsidR="007D1E74" w:rsidRDefault="00A95641">
            <w:pPr>
              <w:pStyle w:val="TableParagraph"/>
              <w:spacing w:line="284" w:lineRule="exact"/>
              <w:ind w:left="102" w:right="102"/>
              <w:rPr>
                <w:rFonts w:ascii="宋体"/>
                <w:sz w:val="21"/>
                <w:szCs w:val="21"/>
              </w:rPr>
            </w:pPr>
            <w:r>
              <w:rPr>
                <w:rFonts w:ascii="宋体" w:hint="eastAsia"/>
                <w:sz w:val="21"/>
                <w:szCs w:val="21"/>
              </w:rPr>
              <w:t>多度</w:t>
            </w:r>
          </w:p>
        </w:tc>
        <w:tc>
          <w:tcPr>
            <w:tcW w:w="978" w:type="pct"/>
          </w:tcPr>
          <w:p w14:paraId="382BC89F" w14:textId="77777777" w:rsidR="007D1E74" w:rsidRDefault="00A95641">
            <w:pPr>
              <w:pStyle w:val="TableParagraph"/>
              <w:spacing w:line="302" w:lineRule="exact"/>
              <w:ind w:left="172" w:right="170"/>
              <w:rPr>
                <w:sz w:val="21"/>
                <w:szCs w:val="21"/>
              </w:rPr>
            </w:pPr>
            <w:r>
              <w:rPr>
                <w:rFonts w:ascii="宋体" w:hint="eastAsia"/>
                <w:w w:val="95"/>
                <w:sz w:val="21"/>
                <w:szCs w:val="21"/>
              </w:rPr>
              <w:t>平均高度</w:t>
            </w:r>
            <w:r>
              <w:rPr>
                <w:w w:val="95"/>
                <w:sz w:val="21"/>
                <w:szCs w:val="21"/>
              </w:rPr>
              <w:t>/cm</w:t>
            </w:r>
          </w:p>
        </w:tc>
        <w:tc>
          <w:tcPr>
            <w:tcW w:w="652" w:type="pct"/>
          </w:tcPr>
          <w:p w14:paraId="02BC5FCC" w14:textId="77777777" w:rsidR="007D1E74" w:rsidRDefault="00A95641">
            <w:pPr>
              <w:pStyle w:val="TableParagraph"/>
              <w:spacing w:line="302" w:lineRule="exact"/>
              <w:ind w:left="116" w:right="226"/>
              <w:rPr>
                <w:sz w:val="21"/>
                <w:szCs w:val="21"/>
              </w:rPr>
            </w:pPr>
            <w:r>
              <w:rPr>
                <w:rFonts w:ascii="宋体" w:hint="eastAsia"/>
                <w:w w:val="95"/>
                <w:sz w:val="21"/>
                <w:szCs w:val="21"/>
              </w:rPr>
              <w:t>盖度</w:t>
            </w:r>
            <w:r>
              <w:rPr>
                <w:w w:val="95"/>
                <w:sz w:val="21"/>
                <w:szCs w:val="21"/>
              </w:rPr>
              <w:t>/%</w:t>
            </w:r>
          </w:p>
        </w:tc>
      </w:tr>
      <w:tr w:rsidR="007D1E74" w14:paraId="7112E3ED" w14:textId="77777777">
        <w:trPr>
          <w:trHeight w:hRule="exact" w:val="336"/>
        </w:trPr>
        <w:tc>
          <w:tcPr>
            <w:tcW w:w="440" w:type="pct"/>
          </w:tcPr>
          <w:p w14:paraId="7C34B5EB" w14:textId="77777777" w:rsidR="007D1E74" w:rsidRDefault="00A95641">
            <w:pPr>
              <w:pStyle w:val="TableParagraph"/>
              <w:spacing w:before="25"/>
              <w:ind w:left="6"/>
              <w:rPr>
                <w:sz w:val="21"/>
                <w:szCs w:val="21"/>
              </w:rPr>
            </w:pPr>
            <w:r>
              <w:rPr>
                <w:sz w:val="21"/>
                <w:szCs w:val="21"/>
              </w:rPr>
              <w:t>1</w:t>
            </w:r>
          </w:p>
        </w:tc>
        <w:tc>
          <w:tcPr>
            <w:tcW w:w="908" w:type="pct"/>
          </w:tcPr>
          <w:p w14:paraId="0D33EA31" w14:textId="77777777" w:rsidR="007D1E74" w:rsidRDefault="00A95641">
            <w:pPr>
              <w:pStyle w:val="TableParagraph"/>
              <w:spacing w:line="284" w:lineRule="exact"/>
              <w:ind w:left="102"/>
              <w:rPr>
                <w:rFonts w:ascii="宋体"/>
                <w:sz w:val="21"/>
                <w:szCs w:val="21"/>
              </w:rPr>
            </w:pPr>
            <w:r>
              <w:rPr>
                <w:rFonts w:ascii="宋体" w:hint="eastAsia"/>
                <w:sz w:val="21"/>
                <w:szCs w:val="21"/>
              </w:rPr>
              <w:t>柏木</w:t>
            </w:r>
          </w:p>
        </w:tc>
        <w:tc>
          <w:tcPr>
            <w:tcW w:w="674" w:type="pct"/>
          </w:tcPr>
          <w:p w14:paraId="1BAC09FB"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3207B428" w14:textId="77777777" w:rsidR="007D1E74" w:rsidRDefault="00A95641">
            <w:pPr>
              <w:pStyle w:val="TableParagraph"/>
              <w:spacing w:before="25"/>
              <w:ind w:left="95" w:right="93"/>
              <w:rPr>
                <w:sz w:val="21"/>
                <w:szCs w:val="21"/>
              </w:rPr>
            </w:pPr>
            <w:r>
              <w:rPr>
                <w:sz w:val="21"/>
                <w:szCs w:val="21"/>
              </w:rPr>
              <w:t>17</w:t>
            </w:r>
          </w:p>
        </w:tc>
        <w:tc>
          <w:tcPr>
            <w:tcW w:w="674" w:type="pct"/>
          </w:tcPr>
          <w:p w14:paraId="6C97316E" w14:textId="77777777" w:rsidR="007D1E74" w:rsidRDefault="00A95641">
            <w:pPr>
              <w:pStyle w:val="TableParagraph"/>
              <w:spacing w:before="22"/>
              <w:ind w:left="160" w:right="160"/>
              <w:rPr>
                <w:sz w:val="21"/>
                <w:szCs w:val="21"/>
              </w:rPr>
            </w:pPr>
            <w:r>
              <w:rPr>
                <w:position w:val="2"/>
                <w:sz w:val="21"/>
                <w:szCs w:val="21"/>
              </w:rPr>
              <w:t>Cop</w:t>
            </w:r>
            <w:r>
              <w:rPr>
                <w:sz w:val="21"/>
                <w:szCs w:val="21"/>
              </w:rPr>
              <w:t>2</w:t>
            </w:r>
          </w:p>
        </w:tc>
        <w:tc>
          <w:tcPr>
            <w:tcW w:w="978" w:type="pct"/>
          </w:tcPr>
          <w:p w14:paraId="7F502D10" w14:textId="77777777" w:rsidR="007D1E74" w:rsidRDefault="00A95641">
            <w:pPr>
              <w:pStyle w:val="TableParagraph"/>
              <w:spacing w:before="25"/>
              <w:ind w:left="169" w:right="170"/>
              <w:rPr>
                <w:sz w:val="21"/>
                <w:szCs w:val="21"/>
              </w:rPr>
            </w:pPr>
            <w:r>
              <w:rPr>
                <w:sz w:val="21"/>
                <w:szCs w:val="21"/>
              </w:rPr>
              <w:t>12</w:t>
            </w:r>
          </w:p>
        </w:tc>
        <w:tc>
          <w:tcPr>
            <w:tcW w:w="652" w:type="pct"/>
          </w:tcPr>
          <w:p w14:paraId="41DDB26D" w14:textId="77777777" w:rsidR="007D1E74" w:rsidRDefault="00A95641">
            <w:pPr>
              <w:pStyle w:val="TableParagraph"/>
              <w:spacing w:before="25"/>
              <w:ind w:left="116" w:right="224"/>
              <w:rPr>
                <w:sz w:val="21"/>
                <w:szCs w:val="21"/>
              </w:rPr>
            </w:pPr>
            <w:r>
              <w:rPr>
                <w:sz w:val="21"/>
                <w:szCs w:val="21"/>
              </w:rPr>
              <w:t>70</w:t>
            </w:r>
          </w:p>
        </w:tc>
      </w:tr>
      <w:tr w:rsidR="007D1E74" w14:paraId="2BA972C6" w14:textId="77777777">
        <w:trPr>
          <w:trHeight w:hRule="exact" w:val="336"/>
        </w:trPr>
        <w:tc>
          <w:tcPr>
            <w:tcW w:w="440" w:type="pct"/>
          </w:tcPr>
          <w:p w14:paraId="7CBEDD40" w14:textId="77777777" w:rsidR="007D1E74" w:rsidRDefault="00A95641">
            <w:pPr>
              <w:pStyle w:val="TableParagraph"/>
              <w:spacing w:before="25"/>
              <w:ind w:left="6"/>
              <w:rPr>
                <w:sz w:val="21"/>
                <w:szCs w:val="21"/>
              </w:rPr>
            </w:pPr>
            <w:r>
              <w:rPr>
                <w:sz w:val="21"/>
                <w:szCs w:val="21"/>
              </w:rPr>
              <w:t>2</w:t>
            </w:r>
          </w:p>
        </w:tc>
        <w:tc>
          <w:tcPr>
            <w:tcW w:w="908" w:type="pct"/>
          </w:tcPr>
          <w:p w14:paraId="413ADEA7" w14:textId="77777777" w:rsidR="007D1E74" w:rsidRDefault="00A95641">
            <w:pPr>
              <w:pStyle w:val="TableParagraph"/>
              <w:spacing w:line="284" w:lineRule="exact"/>
              <w:ind w:left="102"/>
              <w:rPr>
                <w:rFonts w:ascii="宋体"/>
                <w:sz w:val="21"/>
                <w:szCs w:val="21"/>
              </w:rPr>
            </w:pPr>
            <w:r>
              <w:rPr>
                <w:rFonts w:ascii="宋体" w:hint="eastAsia"/>
                <w:sz w:val="21"/>
                <w:szCs w:val="21"/>
              </w:rPr>
              <w:t>麻栎</w:t>
            </w:r>
          </w:p>
        </w:tc>
        <w:tc>
          <w:tcPr>
            <w:tcW w:w="674" w:type="pct"/>
          </w:tcPr>
          <w:p w14:paraId="0A7C96FF"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68B95E72" w14:textId="77777777" w:rsidR="007D1E74" w:rsidRDefault="00A95641">
            <w:pPr>
              <w:pStyle w:val="TableParagraph"/>
              <w:spacing w:before="25"/>
              <w:ind w:left="2"/>
              <w:rPr>
                <w:sz w:val="21"/>
                <w:szCs w:val="21"/>
              </w:rPr>
            </w:pPr>
            <w:r>
              <w:rPr>
                <w:sz w:val="21"/>
                <w:szCs w:val="21"/>
              </w:rPr>
              <w:t>5</w:t>
            </w:r>
          </w:p>
        </w:tc>
        <w:tc>
          <w:tcPr>
            <w:tcW w:w="674" w:type="pct"/>
          </w:tcPr>
          <w:p w14:paraId="2A6922E4" w14:textId="77777777" w:rsidR="007D1E74" w:rsidRDefault="00A95641">
            <w:pPr>
              <w:pStyle w:val="TableParagraph"/>
              <w:spacing w:before="22"/>
              <w:ind w:left="160" w:right="160"/>
              <w:rPr>
                <w:sz w:val="21"/>
                <w:szCs w:val="21"/>
              </w:rPr>
            </w:pPr>
            <w:r>
              <w:rPr>
                <w:position w:val="2"/>
                <w:sz w:val="21"/>
                <w:szCs w:val="21"/>
              </w:rPr>
              <w:t>Cop</w:t>
            </w:r>
            <w:r>
              <w:rPr>
                <w:sz w:val="21"/>
                <w:szCs w:val="21"/>
              </w:rPr>
              <w:t>1</w:t>
            </w:r>
          </w:p>
        </w:tc>
        <w:tc>
          <w:tcPr>
            <w:tcW w:w="978" w:type="pct"/>
          </w:tcPr>
          <w:p w14:paraId="1E6C58C0" w14:textId="77777777" w:rsidR="007D1E74" w:rsidRDefault="00A95641">
            <w:pPr>
              <w:pStyle w:val="TableParagraph"/>
              <w:spacing w:before="25"/>
              <w:ind w:left="169" w:right="170"/>
              <w:rPr>
                <w:sz w:val="21"/>
                <w:szCs w:val="21"/>
              </w:rPr>
            </w:pPr>
            <w:r>
              <w:rPr>
                <w:sz w:val="21"/>
                <w:szCs w:val="21"/>
              </w:rPr>
              <w:t>13</w:t>
            </w:r>
          </w:p>
        </w:tc>
        <w:tc>
          <w:tcPr>
            <w:tcW w:w="652" w:type="pct"/>
          </w:tcPr>
          <w:p w14:paraId="3D958203" w14:textId="77777777" w:rsidR="007D1E74" w:rsidRDefault="00A95641">
            <w:pPr>
              <w:pStyle w:val="TableParagraph"/>
              <w:spacing w:before="25"/>
              <w:ind w:left="116" w:right="224"/>
              <w:rPr>
                <w:sz w:val="21"/>
                <w:szCs w:val="21"/>
              </w:rPr>
            </w:pPr>
            <w:r>
              <w:rPr>
                <w:sz w:val="21"/>
                <w:szCs w:val="21"/>
              </w:rPr>
              <w:t>15</w:t>
            </w:r>
          </w:p>
        </w:tc>
      </w:tr>
      <w:tr w:rsidR="007D1E74" w14:paraId="0EA1F87E" w14:textId="77777777">
        <w:trPr>
          <w:trHeight w:hRule="exact" w:val="336"/>
        </w:trPr>
        <w:tc>
          <w:tcPr>
            <w:tcW w:w="440" w:type="pct"/>
          </w:tcPr>
          <w:p w14:paraId="1EA4ECEC" w14:textId="77777777" w:rsidR="007D1E74" w:rsidRDefault="00A95641">
            <w:pPr>
              <w:pStyle w:val="TableParagraph"/>
              <w:spacing w:before="25"/>
              <w:ind w:left="6"/>
              <w:rPr>
                <w:sz w:val="21"/>
                <w:szCs w:val="21"/>
              </w:rPr>
            </w:pPr>
            <w:r>
              <w:rPr>
                <w:sz w:val="21"/>
                <w:szCs w:val="21"/>
              </w:rPr>
              <w:t>3</w:t>
            </w:r>
          </w:p>
        </w:tc>
        <w:tc>
          <w:tcPr>
            <w:tcW w:w="908" w:type="pct"/>
          </w:tcPr>
          <w:p w14:paraId="3821EF27" w14:textId="77777777" w:rsidR="007D1E74" w:rsidRDefault="00A95641">
            <w:pPr>
              <w:pStyle w:val="TableParagraph"/>
              <w:spacing w:line="284" w:lineRule="exact"/>
              <w:ind w:left="102"/>
              <w:rPr>
                <w:rFonts w:ascii="宋体"/>
                <w:sz w:val="21"/>
                <w:szCs w:val="21"/>
              </w:rPr>
            </w:pPr>
            <w:r>
              <w:rPr>
                <w:rFonts w:ascii="宋体" w:hint="eastAsia"/>
                <w:sz w:val="21"/>
                <w:szCs w:val="21"/>
              </w:rPr>
              <w:t>桤木</w:t>
            </w:r>
          </w:p>
        </w:tc>
        <w:tc>
          <w:tcPr>
            <w:tcW w:w="674" w:type="pct"/>
          </w:tcPr>
          <w:p w14:paraId="08E087B5"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28C2EABF" w14:textId="77777777" w:rsidR="007D1E74" w:rsidRDefault="00A95641">
            <w:pPr>
              <w:pStyle w:val="TableParagraph"/>
              <w:spacing w:before="25"/>
              <w:ind w:left="2"/>
              <w:rPr>
                <w:sz w:val="21"/>
                <w:szCs w:val="21"/>
              </w:rPr>
            </w:pPr>
            <w:r>
              <w:rPr>
                <w:sz w:val="21"/>
                <w:szCs w:val="21"/>
              </w:rPr>
              <w:t>3</w:t>
            </w:r>
          </w:p>
        </w:tc>
        <w:tc>
          <w:tcPr>
            <w:tcW w:w="674" w:type="pct"/>
          </w:tcPr>
          <w:p w14:paraId="58B45982" w14:textId="77777777" w:rsidR="007D1E74" w:rsidRDefault="00A95641">
            <w:pPr>
              <w:pStyle w:val="TableParagraph"/>
              <w:spacing w:before="22"/>
              <w:ind w:left="160" w:right="160"/>
              <w:rPr>
                <w:sz w:val="21"/>
                <w:szCs w:val="21"/>
              </w:rPr>
            </w:pPr>
            <w:r>
              <w:rPr>
                <w:position w:val="2"/>
                <w:sz w:val="21"/>
                <w:szCs w:val="21"/>
              </w:rPr>
              <w:t>Cop</w:t>
            </w:r>
            <w:r>
              <w:rPr>
                <w:sz w:val="21"/>
                <w:szCs w:val="21"/>
              </w:rPr>
              <w:t>1</w:t>
            </w:r>
          </w:p>
        </w:tc>
        <w:tc>
          <w:tcPr>
            <w:tcW w:w="978" w:type="pct"/>
          </w:tcPr>
          <w:p w14:paraId="19DAABF1" w14:textId="77777777" w:rsidR="007D1E74" w:rsidRDefault="00A95641">
            <w:pPr>
              <w:pStyle w:val="TableParagraph"/>
              <w:spacing w:before="25"/>
              <w:ind w:left="169" w:right="170"/>
              <w:rPr>
                <w:sz w:val="21"/>
                <w:szCs w:val="21"/>
              </w:rPr>
            </w:pPr>
            <w:r>
              <w:rPr>
                <w:sz w:val="21"/>
                <w:szCs w:val="21"/>
              </w:rPr>
              <w:t>12</w:t>
            </w:r>
          </w:p>
        </w:tc>
        <w:tc>
          <w:tcPr>
            <w:tcW w:w="652" w:type="pct"/>
          </w:tcPr>
          <w:p w14:paraId="7502FC9D" w14:textId="77777777" w:rsidR="007D1E74" w:rsidRDefault="00A95641">
            <w:pPr>
              <w:pStyle w:val="TableParagraph"/>
              <w:spacing w:before="25"/>
              <w:ind w:right="108"/>
              <w:rPr>
                <w:sz w:val="21"/>
                <w:szCs w:val="21"/>
              </w:rPr>
            </w:pPr>
            <w:r>
              <w:rPr>
                <w:sz w:val="21"/>
                <w:szCs w:val="21"/>
              </w:rPr>
              <w:t>6</w:t>
            </w:r>
          </w:p>
        </w:tc>
      </w:tr>
      <w:tr w:rsidR="007D1E74" w14:paraId="22C8BFA0" w14:textId="77777777">
        <w:trPr>
          <w:trHeight w:hRule="exact" w:val="336"/>
        </w:trPr>
        <w:tc>
          <w:tcPr>
            <w:tcW w:w="440" w:type="pct"/>
          </w:tcPr>
          <w:p w14:paraId="76C6AB26" w14:textId="77777777" w:rsidR="007D1E74" w:rsidRDefault="00A95641">
            <w:pPr>
              <w:pStyle w:val="TableParagraph"/>
              <w:spacing w:before="25"/>
              <w:ind w:left="6"/>
              <w:rPr>
                <w:sz w:val="21"/>
                <w:szCs w:val="21"/>
              </w:rPr>
            </w:pPr>
            <w:r>
              <w:rPr>
                <w:sz w:val="21"/>
                <w:szCs w:val="21"/>
              </w:rPr>
              <w:t>4</w:t>
            </w:r>
          </w:p>
        </w:tc>
        <w:tc>
          <w:tcPr>
            <w:tcW w:w="908" w:type="pct"/>
          </w:tcPr>
          <w:p w14:paraId="3EA0C58B" w14:textId="77777777" w:rsidR="007D1E74" w:rsidRDefault="00A95641">
            <w:pPr>
              <w:pStyle w:val="TableParagraph"/>
              <w:spacing w:line="284" w:lineRule="exact"/>
              <w:ind w:left="102"/>
              <w:rPr>
                <w:rFonts w:ascii="宋体"/>
                <w:sz w:val="21"/>
                <w:szCs w:val="21"/>
              </w:rPr>
            </w:pPr>
            <w:r>
              <w:rPr>
                <w:rFonts w:ascii="宋体" w:hint="eastAsia"/>
                <w:sz w:val="21"/>
                <w:szCs w:val="21"/>
              </w:rPr>
              <w:t>女贞</w:t>
            </w:r>
          </w:p>
        </w:tc>
        <w:tc>
          <w:tcPr>
            <w:tcW w:w="674" w:type="pct"/>
          </w:tcPr>
          <w:p w14:paraId="38C73F56"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4ED597EA" w14:textId="77777777" w:rsidR="007D1E74" w:rsidRDefault="00A95641">
            <w:pPr>
              <w:pStyle w:val="TableParagraph"/>
              <w:spacing w:before="25"/>
              <w:ind w:left="2"/>
              <w:rPr>
                <w:sz w:val="21"/>
                <w:szCs w:val="21"/>
              </w:rPr>
            </w:pPr>
            <w:r>
              <w:rPr>
                <w:sz w:val="21"/>
                <w:szCs w:val="21"/>
              </w:rPr>
              <w:t>1</w:t>
            </w:r>
          </w:p>
        </w:tc>
        <w:tc>
          <w:tcPr>
            <w:tcW w:w="674" w:type="pct"/>
          </w:tcPr>
          <w:p w14:paraId="7331C565" w14:textId="77777777" w:rsidR="007D1E74" w:rsidRDefault="00A95641">
            <w:pPr>
              <w:pStyle w:val="TableParagraph"/>
              <w:spacing w:before="25"/>
              <w:ind w:left="159" w:right="160"/>
              <w:rPr>
                <w:sz w:val="21"/>
                <w:szCs w:val="21"/>
              </w:rPr>
            </w:pPr>
            <w:r>
              <w:rPr>
                <w:sz w:val="21"/>
                <w:szCs w:val="21"/>
              </w:rPr>
              <w:t>Sp</w:t>
            </w:r>
          </w:p>
        </w:tc>
        <w:tc>
          <w:tcPr>
            <w:tcW w:w="978" w:type="pct"/>
          </w:tcPr>
          <w:p w14:paraId="576EA847" w14:textId="77777777" w:rsidR="007D1E74" w:rsidRDefault="00A95641">
            <w:pPr>
              <w:pStyle w:val="TableParagraph"/>
              <w:spacing w:before="25"/>
              <w:ind w:right="1"/>
              <w:rPr>
                <w:sz w:val="21"/>
                <w:szCs w:val="21"/>
              </w:rPr>
            </w:pPr>
            <w:r>
              <w:rPr>
                <w:sz w:val="21"/>
                <w:szCs w:val="21"/>
              </w:rPr>
              <w:t>7</w:t>
            </w:r>
          </w:p>
        </w:tc>
        <w:tc>
          <w:tcPr>
            <w:tcW w:w="652" w:type="pct"/>
          </w:tcPr>
          <w:p w14:paraId="4B3A9DE9" w14:textId="77777777" w:rsidR="007D1E74" w:rsidRDefault="00A95641">
            <w:pPr>
              <w:pStyle w:val="TableParagraph"/>
              <w:spacing w:before="25"/>
              <w:ind w:right="108"/>
              <w:rPr>
                <w:sz w:val="21"/>
                <w:szCs w:val="21"/>
              </w:rPr>
            </w:pPr>
            <w:r>
              <w:rPr>
                <w:sz w:val="21"/>
                <w:szCs w:val="21"/>
              </w:rPr>
              <w:t>3</w:t>
            </w:r>
          </w:p>
        </w:tc>
      </w:tr>
      <w:tr w:rsidR="007D1E74" w14:paraId="1B4F662F" w14:textId="77777777">
        <w:trPr>
          <w:trHeight w:hRule="exact" w:val="336"/>
        </w:trPr>
        <w:tc>
          <w:tcPr>
            <w:tcW w:w="440" w:type="pct"/>
          </w:tcPr>
          <w:p w14:paraId="0A6C17A6" w14:textId="77777777" w:rsidR="007D1E74" w:rsidRDefault="00A95641">
            <w:pPr>
              <w:pStyle w:val="TableParagraph"/>
              <w:spacing w:before="25"/>
              <w:ind w:left="6"/>
              <w:rPr>
                <w:sz w:val="21"/>
                <w:szCs w:val="21"/>
              </w:rPr>
            </w:pPr>
            <w:r>
              <w:rPr>
                <w:sz w:val="21"/>
                <w:szCs w:val="21"/>
              </w:rPr>
              <w:t>5</w:t>
            </w:r>
          </w:p>
        </w:tc>
        <w:tc>
          <w:tcPr>
            <w:tcW w:w="908" w:type="pct"/>
          </w:tcPr>
          <w:p w14:paraId="6FD3E975" w14:textId="77777777" w:rsidR="007D1E74" w:rsidRDefault="00A95641">
            <w:pPr>
              <w:pStyle w:val="TableParagraph"/>
              <w:spacing w:line="284" w:lineRule="exact"/>
              <w:ind w:left="102"/>
              <w:rPr>
                <w:rFonts w:ascii="宋体"/>
                <w:sz w:val="21"/>
                <w:szCs w:val="21"/>
              </w:rPr>
            </w:pPr>
            <w:r>
              <w:rPr>
                <w:rFonts w:ascii="宋体" w:hint="eastAsia"/>
                <w:sz w:val="21"/>
                <w:szCs w:val="21"/>
              </w:rPr>
              <w:t>楝</w:t>
            </w:r>
          </w:p>
        </w:tc>
        <w:tc>
          <w:tcPr>
            <w:tcW w:w="674" w:type="pct"/>
          </w:tcPr>
          <w:p w14:paraId="2FB02983"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143551BF" w14:textId="77777777" w:rsidR="007D1E74" w:rsidRDefault="00A95641">
            <w:pPr>
              <w:pStyle w:val="TableParagraph"/>
              <w:spacing w:before="25"/>
              <w:ind w:left="2"/>
              <w:rPr>
                <w:sz w:val="21"/>
                <w:szCs w:val="21"/>
              </w:rPr>
            </w:pPr>
            <w:r>
              <w:rPr>
                <w:sz w:val="21"/>
                <w:szCs w:val="21"/>
              </w:rPr>
              <w:t>1</w:t>
            </w:r>
          </w:p>
        </w:tc>
        <w:tc>
          <w:tcPr>
            <w:tcW w:w="674" w:type="pct"/>
          </w:tcPr>
          <w:p w14:paraId="5C8DC6FB" w14:textId="77777777" w:rsidR="007D1E74" w:rsidRDefault="00A95641">
            <w:pPr>
              <w:pStyle w:val="TableParagraph"/>
              <w:spacing w:before="25"/>
              <w:ind w:left="159" w:right="160"/>
              <w:rPr>
                <w:sz w:val="21"/>
                <w:szCs w:val="21"/>
              </w:rPr>
            </w:pPr>
            <w:r>
              <w:rPr>
                <w:sz w:val="21"/>
                <w:szCs w:val="21"/>
              </w:rPr>
              <w:t>Sp</w:t>
            </w:r>
          </w:p>
        </w:tc>
        <w:tc>
          <w:tcPr>
            <w:tcW w:w="978" w:type="pct"/>
          </w:tcPr>
          <w:p w14:paraId="461766AC" w14:textId="77777777" w:rsidR="007D1E74" w:rsidRDefault="00A95641">
            <w:pPr>
              <w:pStyle w:val="TableParagraph"/>
              <w:spacing w:before="25"/>
              <w:ind w:right="1"/>
              <w:rPr>
                <w:sz w:val="21"/>
                <w:szCs w:val="21"/>
              </w:rPr>
            </w:pPr>
            <w:r>
              <w:rPr>
                <w:sz w:val="21"/>
                <w:szCs w:val="21"/>
              </w:rPr>
              <w:t>8</w:t>
            </w:r>
          </w:p>
        </w:tc>
        <w:tc>
          <w:tcPr>
            <w:tcW w:w="652" w:type="pct"/>
          </w:tcPr>
          <w:p w14:paraId="0ACAA603" w14:textId="77777777" w:rsidR="007D1E74" w:rsidRDefault="00A95641">
            <w:pPr>
              <w:pStyle w:val="TableParagraph"/>
              <w:spacing w:before="25"/>
              <w:ind w:right="108"/>
              <w:rPr>
                <w:sz w:val="21"/>
                <w:szCs w:val="21"/>
              </w:rPr>
            </w:pPr>
            <w:r>
              <w:rPr>
                <w:sz w:val="21"/>
                <w:szCs w:val="21"/>
              </w:rPr>
              <w:t>3</w:t>
            </w:r>
          </w:p>
        </w:tc>
      </w:tr>
      <w:tr w:rsidR="007D1E74" w14:paraId="751A126E" w14:textId="77777777">
        <w:trPr>
          <w:trHeight w:hRule="exact" w:val="336"/>
        </w:trPr>
        <w:tc>
          <w:tcPr>
            <w:tcW w:w="440" w:type="pct"/>
          </w:tcPr>
          <w:p w14:paraId="500FC92D" w14:textId="77777777" w:rsidR="007D1E74" w:rsidRDefault="00A95641">
            <w:pPr>
              <w:pStyle w:val="TableParagraph"/>
              <w:spacing w:before="25"/>
              <w:ind w:left="6"/>
              <w:rPr>
                <w:sz w:val="21"/>
                <w:szCs w:val="21"/>
              </w:rPr>
            </w:pPr>
            <w:r>
              <w:rPr>
                <w:sz w:val="21"/>
                <w:szCs w:val="21"/>
              </w:rPr>
              <w:t>6</w:t>
            </w:r>
          </w:p>
        </w:tc>
        <w:tc>
          <w:tcPr>
            <w:tcW w:w="908" w:type="pct"/>
          </w:tcPr>
          <w:p w14:paraId="08A5B4B8" w14:textId="77777777" w:rsidR="007D1E74" w:rsidRDefault="00A95641">
            <w:pPr>
              <w:pStyle w:val="TableParagraph"/>
              <w:spacing w:line="284" w:lineRule="exact"/>
              <w:ind w:left="102"/>
              <w:rPr>
                <w:rFonts w:ascii="宋体"/>
                <w:sz w:val="21"/>
                <w:szCs w:val="21"/>
              </w:rPr>
            </w:pPr>
            <w:r>
              <w:rPr>
                <w:rFonts w:ascii="宋体" w:hint="eastAsia"/>
                <w:sz w:val="21"/>
                <w:szCs w:val="21"/>
              </w:rPr>
              <w:t>高粱泡</w:t>
            </w:r>
          </w:p>
        </w:tc>
        <w:tc>
          <w:tcPr>
            <w:tcW w:w="674" w:type="pct"/>
          </w:tcPr>
          <w:p w14:paraId="5812A380"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5E17493A" w14:textId="77777777" w:rsidR="007D1E74" w:rsidRDefault="00A95641">
            <w:pPr>
              <w:pStyle w:val="TableParagraph"/>
              <w:spacing w:line="302" w:lineRule="exact"/>
              <w:ind w:left="94" w:right="94"/>
              <w:rPr>
                <w:rFonts w:ascii="宋体"/>
                <w:sz w:val="21"/>
                <w:szCs w:val="21"/>
              </w:rPr>
            </w:pPr>
            <w:r>
              <w:rPr>
                <w:sz w:val="21"/>
                <w:szCs w:val="21"/>
              </w:rPr>
              <w:t xml:space="preserve">3 </w:t>
            </w:r>
            <w:r>
              <w:rPr>
                <w:rFonts w:ascii="宋体" w:hint="eastAsia"/>
                <w:sz w:val="21"/>
                <w:szCs w:val="21"/>
              </w:rPr>
              <w:t>丛</w:t>
            </w:r>
          </w:p>
        </w:tc>
        <w:tc>
          <w:tcPr>
            <w:tcW w:w="674" w:type="pct"/>
          </w:tcPr>
          <w:p w14:paraId="3E612D35" w14:textId="77777777" w:rsidR="007D1E74" w:rsidRDefault="00A95641">
            <w:pPr>
              <w:pStyle w:val="TableParagraph"/>
              <w:spacing w:before="22"/>
              <w:ind w:left="160" w:right="160"/>
              <w:rPr>
                <w:sz w:val="21"/>
                <w:szCs w:val="21"/>
              </w:rPr>
            </w:pPr>
            <w:r>
              <w:rPr>
                <w:position w:val="2"/>
                <w:sz w:val="21"/>
                <w:szCs w:val="21"/>
              </w:rPr>
              <w:t>Cop</w:t>
            </w:r>
            <w:r>
              <w:rPr>
                <w:sz w:val="21"/>
                <w:szCs w:val="21"/>
              </w:rPr>
              <w:t>1</w:t>
            </w:r>
          </w:p>
        </w:tc>
        <w:tc>
          <w:tcPr>
            <w:tcW w:w="978" w:type="pct"/>
          </w:tcPr>
          <w:p w14:paraId="31101CC0" w14:textId="77777777" w:rsidR="007D1E74" w:rsidRDefault="00A95641">
            <w:pPr>
              <w:pStyle w:val="TableParagraph"/>
              <w:spacing w:before="25"/>
              <w:ind w:left="170" w:right="170"/>
              <w:rPr>
                <w:sz w:val="21"/>
                <w:szCs w:val="21"/>
              </w:rPr>
            </w:pPr>
            <w:r>
              <w:rPr>
                <w:sz w:val="21"/>
                <w:szCs w:val="21"/>
              </w:rPr>
              <w:t>1.4</w:t>
            </w:r>
          </w:p>
        </w:tc>
        <w:tc>
          <w:tcPr>
            <w:tcW w:w="652" w:type="pct"/>
          </w:tcPr>
          <w:p w14:paraId="522BCB10" w14:textId="77777777" w:rsidR="007D1E74" w:rsidRDefault="00A95641">
            <w:pPr>
              <w:pStyle w:val="TableParagraph"/>
              <w:spacing w:before="25"/>
              <w:ind w:left="116" w:right="224"/>
              <w:rPr>
                <w:sz w:val="21"/>
                <w:szCs w:val="21"/>
              </w:rPr>
            </w:pPr>
            <w:r>
              <w:rPr>
                <w:sz w:val="21"/>
                <w:szCs w:val="21"/>
              </w:rPr>
              <w:t>15</w:t>
            </w:r>
          </w:p>
        </w:tc>
      </w:tr>
      <w:tr w:rsidR="007D1E74" w14:paraId="6687FD20" w14:textId="77777777">
        <w:trPr>
          <w:trHeight w:hRule="exact" w:val="336"/>
        </w:trPr>
        <w:tc>
          <w:tcPr>
            <w:tcW w:w="440" w:type="pct"/>
          </w:tcPr>
          <w:p w14:paraId="0441FC34" w14:textId="77777777" w:rsidR="007D1E74" w:rsidRDefault="00A95641">
            <w:pPr>
              <w:pStyle w:val="TableParagraph"/>
              <w:spacing w:before="25"/>
              <w:ind w:left="6"/>
              <w:rPr>
                <w:sz w:val="21"/>
                <w:szCs w:val="21"/>
              </w:rPr>
            </w:pPr>
            <w:r>
              <w:rPr>
                <w:sz w:val="21"/>
                <w:szCs w:val="21"/>
              </w:rPr>
              <w:t>7</w:t>
            </w:r>
          </w:p>
        </w:tc>
        <w:tc>
          <w:tcPr>
            <w:tcW w:w="908" w:type="pct"/>
          </w:tcPr>
          <w:p w14:paraId="7274FC47" w14:textId="77777777" w:rsidR="007D1E74" w:rsidRDefault="00A95641">
            <w:pPr>
              <w:pStyle w:val="TableParagraph"/>
              <w:spacing w:line="284" w:lineRule="exact"/>
              <w:ind w:left="102"/>
              <w:rPr>
                <w:rFonts w:ascii="宋体"/>
                <w:sz w:val="21"/>
                <w:szCs w:val="21"/>
              </w:rPr>
            </w:pPr>
            <w:r>
              <w:rPr>
                <w:rFonts w:ascii="宋体" w:hint="eastAsia"/>
                <w:sz w:val="21"/>
                <w:szCs w:val="21"/>
              </w:rPr>
              <w:t>火棘</w:t>
            </w:r>
          </w:p>
        </w:tc>
        <w:tc>
          <w:tcPr>
            <w:tcW w:w="674" w:type="pct"/>
          </w:tcPr>
          <w:p w14:paraId="0CFF2223"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32CD5363" w14:textId="77777777" w:rsidR="007D1E74" w:rsidRDefault="00A95641">
            <w:pPr>
              <w:pStyle w:val="TableParagraph"/>
              <w:spacing w:before="25"/>
              <w:ind w:left="95" w:right="93"/>
              <w:rPr>
                <w:sz w:val="21"/>
                <w:szCs w:val="21"/>
              </w:rPr>
            </w:pPr>
            <w:r>
              <w:rPr>
                <w:sz w:val="21"/>
                <w:szCs w:val="21"/>
              </w:rPr>
              <w:t>13</w:t>
            </w:r>
          </w:p>
        </w:tc>
        <w:tc>
          <w:tcPr>
            <w:tcW w:w="674" w:type="pct"/>
          </w:tcPr>
          <w:p w14:paraId="0A04B910" w14:textId="77777777" w:rsidR="007D1E74" w:rsidRDefault="00A95641">
            <w:pPr>
              <w:pStyle w:val="TableParagraph"/>
              <w:spacing w:before="22"/>
              <w:ind w:left="160" w:right="160"/>
              <w:rPr>
                <w:sz w:val="21"/>
                <w:szCs w:val="21"/>
              </w:rPr>
            </w:pPr>
            <w:r>
              <w:rPr>
                <w:position w:val="2"/>
                <w:sz w:val="21"/>
                <w:szCs w:val="21"/>
              </w:rPr>
              <w:t>Cop</w:t>
            </w:r>
            <w:r>
              <w:rPr>
                <w:sz w:val="21"/>
                <w:szCs w:val="21"/>
              </w:rPr>
              <w:t>1</w:t>
            </w:r>
          </w:p>
        </w:tc>
        <w:tc>
          <w:tcPr>
            <w:tcW w:w="978" w:type="pct"/>
          </w:tcPr>
          <w:p w14:paraId="723C41D9" w14:textId="77777777" w:rsidR="007D1E74" w:rsidRDefault="00A95641">
            <w:pPr>
              <w:pStyle w:val="TableParagraph"/>
              <w:spacing w:before="25"/>
              <w:ind w:right="1"/>
              <w:rPr>
                <w:sz w:val="21"/>
                <w:szCs w:val="21"/>
              </w:rPr>
            </w:pPr>
            <w:r>
              <w:rPr>
                <w:sz w:val="21"/>
                <w:szCs w:val="21"/>
              </w:rPr>
              <w:t>2</w:t>
            </w:r>
          </w:p>
        </w:tc>
        <w:tc>
          <w:tcPr>
            <w:tcW w:w="652" w:type="pct"/>
          </w:tcPr>
          <w:p w14:paraId="0CB71407" w14:textId="77777777" w:rsidR="007D1E74" w:rsidRDefault="00A95641">
            <w:pPr>
              <w:pStyle w:val="TableParagraph"/>
              <w:spacing w:before="25"/>
              <w:ind w:left="116" w:right="224"/>
              <w:rPr>
                <w:sz w:val="21"/>
                <w:szCs w:val="21"/>
              </w:rPr>
            </w:pPr>
            <w:r>
              <w:rPr>
                <w:sz w:val="21"/>
                <w:szCs w:val="21"/>
              </w:rPr>
              <w:t>12</w:t>
            </w:r>
          </w:p>
        </w:tc>
      </w:tr>
      <w:tr w:rsidR="007D1E74" w14:paraId="6FA03E5E" w14:textId="77777777">
        <w:trPr>
          <w:trHeight w:hRule="exact" w:val="336"/>
        </w:trPr>
        <w:tc>
          <w:tcPr>
            <w:tcW w:w="440" w:type="pct"/>
          </w:tcPr>
          <w:p w14:paraId="0A069164" w14:textId="77777777" w:rsidR="007D1E74" w:rsidRDefault="00A95641">
            <w:pPr>
              <w:pStyle w:val="TableParagraph"/>
              <w:spacing w:before="25"/>
              <w:ind w:left="6"/>
              <w:rPr>
                <w:sz w:val="21"/>
                <w:szCs w:val="21"/>
              </w:rPr>
            </w:pPr>
            <w:r>
              <w:rPr>
                <w:sz w:val="21"/>
                <w:szCs w:val="21"/>
              </w:rPr>
              <w:t>8</w:t>
            </w:r>
          </w:p>
        </w:tc>
        <w:tc>
          <w:tcPr>
            <w:tcW w:w="908" w:type="pct"/>
          </w:tcPr>
          <w:p w14:paraId="390457DC" w14:textId="77777777" w:rsidR="007D1E74" w:rsidRDefault="00A95641">
            <w:pPr>
              <w:pStyle w:val="TableParagraph"/>
              <w:spacing w:line="284" w:lineRule="exact"/>
              <w:ind w:left="102"/>
              <w:rPr>
                <w:rFonts w:ascii="宋体"/>
                <w:sz w:val="21"/>
                <w:szCs w:val="21"/>
              </w:rPr>
            </w:pPr>
            <w:r>
              <w:rPr>
                <w:rFonts w:ascii="宋体" w:hint="eastAsia"/>
                <w:sz w:val="21"/>
                <w:szCs w:val="21"/>
              </w:rPr>
              <w:t>铁仔</w:t>
            </w:r>
          </w:p>
        </w:tc>
        <w:tc>
          <w:tcPr>
            <w:tcW w:w="674" w:type="pct"/>
          </w:tcPr>
          <w:p w14:paraId="76AB650A"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285033D6" w14:textId="77777777" w:rsidR="007D1E74" w:rsidRDefault="00A95641">
            <w:pPr>
              <w:pStyle w:val="TableParagraph"/>
              <w:spacing w:before="25"/>
              <w:ind w:left="95" w:right="93"/>
              <w:rPr>
                <w:sz w:val="21"/>
                <w:szCs w:val="21"/>
              </w:rPr>
            </w:pPr>
            <w:r>
              <w:rPr>
                <w:sz w:val="21"/>
                <w:szCs w:val="21"/>
              </w:rPr>
              <w:t>15</w:t>
            </w:r>
          </w:p>
        </w:tc>
        <w:tc>
          <w:tcPr>
            <w:tcW w:w="674" w:type="pct"/>
          </w:tcPr>
          <w:p w14:paraId="27E14E51" w14:textId="77777777" w:rsidR="007D1E74" w:rsidRDefault="00A95641">
            <w:pPr>
              <w:pStyle w:val="TableParagraph"/>
              <w:spacing w:before="25"/>
              <w:ind w:left="159" w:right="160"/>
              <w:rPr>
                <w:sz w:val="21"/>
                <w:szCs w:val="21"/>
              </w:rPr>
            </w:pPr>
            <w:r>
              <w:rPr>
                <w:sz w:val="21"/>
                <w:szCs w:val="21"/>
              </w:rPr>
              <w:t>Sp</w:t>
            </w:r>
          </w:p>
        </w:tc>
        <w:tc>
          <w:tcPr>
            <w:tcW w:w="978" w:type="pct"/>
          </w:tcPr>
          <w:p w14:paraId="09864E66" w14:textId="77777777" w:rsidR="007D1E74" w:rsidRDefault="00A95641">
            <w:pPr>
              <w:pStyle w:val="TableParagraph"/>
              <w:spacing w:before="25"/>
              <w:ind w:left="170" w:right="170"/>
              <w:rPr>
                <w:sz w:val="21"/>
                <w:szCs w:val="21"/>
              </w:rPr>
            </w:pPr>
            <w:r>
              <w:rPr>
                <w:sz w:val="21"/>
                <w:szCs w:val="21"/>
              </w:rPr>
              <w:t>1.1</w:t>
            </w:r>
          </w:p>
        </w:tc>
        <w:tc>
          <w:tcPr>
            <w:tcW w:w="652" w:type="pct"/>
          </w:tcPr>
          <w:p w14:paraId="007A51C9" w14:textId="77777777" w:rsidR="007D1E74" w:rsidRDefault="00A95641">
            <w:pPr>
              <w:pStyle w:val="TableParagraph"/>
              <w:spacing w:before="25"/>
              <w:ind w:right="108"/>
              <w:rPr>
                <w:sz w:val="21"/>
                <w:szCs w:val="21"/>
              </w:rPr>
            </w:pPr>
            <w:r>
              <w:rPr>
                <w:sz w:val="21"/>
                <w:szCs w:val="21"/>
              </w:rPr>
              <w:t>5</w:t>
            </w:r>
          </w:p>
        </w:tc>
      </w:tr>
      <w:tr w:rsidR="007D1E74" w14:paraId="2C17BEEB" w14:textId="77777777">
        <w:trPr>
          <w:trHeight w:hRule="exact" w:val="336"/>
        </w:trPr>
        <w:tc>
          <w:tcPr>
            <w:tcW w:w="440" w:type="pct"/>
          </w:tcPr>
          <w:p w14:paraId="71859EBF" w14:textId="77777777" w:rsidR="007D1E74" w:rsidRDefault="00A95641">
            <w:pPr>
              <w:pStyle w:val="TableParagraph"/>
              <w:spacing w:before="25"/>
              <w:ind w:left="6"/>
              <w:rPr>
                <w:sz w:val="21"/>
                <w:szCs w:val="21"/>
              </w:rPr>
            </w:pPr>
            <w:r>
              <w:rPr>
                <w:sz w:val="21"/>
                <w:szCs w:val="21"/>
              </w:rPr>
              <w:t>9</w:t>
            </w:r>
          </w:p>
        </w:tc>
        <w:tc>
          <w:tcPr>
            <w:tcW w:w="908" w:type="pct"/>
          </w:tcPr>
          <w:p w14:paraId="2E2801D8" w14:textId="77777777" w:rsidR="007D1E74" w:rsidRDefault="00A95641">
            <w:pPr>
              <w:pStyle w:val="TableParagraph"/>
              <w:spacing w:line="284" w:lineRule="exact"/>
              <w:ind w:left="102"/>
              <w:rPr>
                <w:rFonts w:ascii="宋体"/>
                <w:sz w:val="21"/>
                <w:szCs w:val="21"/>
              </w:rPr>
            </w:pPr>
            <w:r>
              <w:rPr>
                <w:rFonts w:ascii="宋体" w:hint="eastAsia"/>
                <w:sz w:val="21"/>
                <w:szCs w:val="21"/>
              </w:rPr>
              <w:t>野青茅</w:t>
            </w:r>
          </w:p>
        </w:tc>
        <w:tc>
          <w:tcPr>
            <w:tcW w:w="674" w:type="pct"/>
          </w:tcPr>
          <w:p w14:paraId="4FDB8A11"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344C9CC5" w14:textId="77777777" w:rsidR="007D1E74" w:rsidRDefault="00A95641">
            <w:pPr>
              <w:pStyle w:val="TableParagraph"/>
              <w:spacing w:line="302" w:lineRule="exact"/>
              <w:ind w:left="94" w:right="94"/>
              <w:rPr>
                <w:rFonts w:ascii="宋体"/>
                <w:sz w:val="21"/>
                <w:szCs w:val="21"/>
              </w:rPr>
            </w:pPr>
            <w:r>
              <w:rPr>
                <w:sz w:val="21"/>
                <w:szCs w:val="21"/>
              </w:rPr>
              <w:t xml:space="preserve">6 </w:t>
            </w:r>
            <w:r>
              <w:rPr>
                <w:rFonts w:ascii="宋体" w:hint="eastAsia"/>
                <w:sz w:val="21"/>
                <w:szCs w:val="21"/>
              </w:rPr>
              <w:t>丛</w:t>
            </w:r>
          </w:p>
        </w:tc>
        <w:tc>
          <w:tcPr>
            <w:tcW w:w="674" w:type="pct"/>
          </w:tcPr>
          <w:p w14:paraId="7A270F4C" w14:textId="77777777" w:rsidR="007D1E74" w:rsidRDefault="00A95641">
            <w:pPr>
              <w:pStyle w:val="TableParagraph"/>
              <w:spacing w:before="22"/>
              <w:ind w:left="160" w:right="160"/>
              <w:rPr>
                <w:sz w:val="21"/>
                <w:szCs w:val="21"/>
              </w:rPr>
            </w:pPr>
            <w:r>
              <w:rPr>
                <w:position w:val="2"/>
                <w:sz w:val="21"/>
                <w:szCs w:val="21"/>
              </w:rPr>
              <w:t>Cop</w:t>
            </w:r>
            <w:r>
              <w:rPr>
                <w:sz w:val="21"/>
                <w:szCs w:val="21"/>
              </w:rPr>
              <w:t>1</w:t>
            </w:r>
          </w:p>
        </w:tc>
        <w:tc>
          <w:tcPr>
            <w:tcW w:w="978" w:type="pct"/>
          </w:tcPr>
          <w:p w14:paraId="4782DFBA" w14:textId="77777777" w:rsidR="007D1E74" w:rsidRDefault="00A95641">
            <w:pPr>
              <w:pStyle w:val="TableParagraph"/>
              <w:spacing w:before="25"/>
              <w:ind w:left="170" w:right="170"/>
              <w:rPr>
                <w:sz w:val="21"/>
                <w:szCs w:val="21"/>
              </w:rPr>
            </w:pPr>
            <w:r>
              <w:rPr>
                <w:sz w:val="21"/>
                <w:szCs w:val="21"/>
              </w:rPr>
              <w:t>0.55</w:t>
            </w:r>
          </w:p>
        </w:tc>
        <w:tc>
          <w:tcPr>
            <w:tcW w:w="652" w:type="pct"/>
          </w:tcPr>
          <w:p w14:paraId="02CDCC00" w14:textId="77777777" w:rsidR="007D1E74" w:rsidRDefault="00A95641">
            <w:pPr>
              <w:pStyle w:val="TableParagraph"/>
              <w:spacing w:before="25"/>
              <w:ind w:left="116" w:right="224"/>
              <w:rPr>
                <w:sz w:val="21"/>
                <w:szCs w:val="21"/>
              </w:rPr>
            </w:pPr>
            <w:r>
              <w:rPr>
                <w:sz w:val="21"/>
                <w:szCs w:val="21"/>
              </w:rPr>
              <w:t>15</w:t>
            </w:r>
          </w:p>
        </w:tc>
      </w:tr>
      <w:tr w:rsidR="007D1E74" w14:paraId="392D3E40" w14:textId="77777777">
        <w:trPr>
          <w:trHeight w:hRule="exact" w:val="336"/>
        </w:trPr>
        <w:tc>
          <w:tcPr>
            <w:tcW w:w="440" w:type="pct"/>
          </w:tcPr>
          <w:p w14:paraId="26040994" w14:textId="77777777" w:rsidR="007D1E74" w:rsidRDefault="00A95641">
            <w:pPr>
              <w:pStyle w:val="TableParagraph"/>
              <w:spacing w:before="25"/>
              <w:ind w:left="109" w:right="103"/>
              <w:rPr>
                <w:sz w:val="21"/>
                <w:szCs w:val="21"/>
              </w:rPr>
            </w:pPr>
            <w:r>
              <w:rPr>
                <w:sz w:val="21"/>
                <w:szCs w:val="21"/>
              </w:rPr>
              <w:t>10</w:t>
            </w:r>
          </w:p>
        </w:tc>
        <w:tc>
          <w:tcPr>
            <w:tcW w:w="908" w:type="pct"/>
          </w:tcPr>
          <w:p w14:paraId="03F032D5" w14:textId="77777777" w:rsidR="007D1E74" w:rsidRDefault="00A95641">
            <w:pPr>
              <w:pStyle w:val="TableParagraph"/>
              <w:spacing w:line="284" w:lineRule="exact"/>
              <w:ind w:left="102"/>
              <w:rPr>
                <w:rFonts w:ascii="宋体"/>
                <w:sz w:val="21"/>
                <w:szCs w:val="21"/>
              </w:rPr>
            </w:pPr>
            <w:r>
              <w:rPr>
                <w:rFonts w:ascii="宋体" w:hint="eastAsia"/>
                <w:sz w:val="21"/>
                <w:szCs w:val="21"/>
              </w:rPr>
              <w:t>褐果苔草等苔草</w:t>
            </w:r>
          </w:p>
        </w:tc>
        <w:tc>
          <w:tcPr>
            <w:tcW w:w="674" w:type="pct"/>
          </w:tcPr>
          <w:p w14:paraId="30DAD478"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5615D72F" w14:textId="77777777" w:rsidR="007D1E74" w:rsidRDefault="00A95641">
            <w:pPr>
              <w:pStyle w:val="TableParagraph"/>
              <w:spacing w:before="25"/>
              <w:ind w:left="95" w:right="93"/>
              <w:rPr>
                <w:sz w:val="21"/>
                <w:szCs w:val="21"/>
              </w:rPr>
            </w:pPr>
            <w:r>
              <w:rPr>
                <w:sz w:val="21"/>
                <w:szCs w:val="21"/>
              </w:rPr>
              <w:t>15</w:t>
            </w:r>
          </w:p>
        </w:tc>
        <w:tc>
          <w:tcPr>
            <w:tcW w:w="674" w:type="pct"/>
          </w:tcPr>
          <w:p w14:paraId="1EED0CE1" w14:textId="77777777" w:rsidR="007D1E74" w:rsidRDefault="00A95641">
            <w:pPr>
              <w:pStyle w:val="TableParagraph"/>
              <w:spacing w:before="25"/>
              <w:ind w:left="159" w:right="160"/>
              <w:rPr>
                <w:sz w:val="21"/>
                <w:szCs w:val="21"/>
              </w:rPr>
            </w:pPr>
            <w:r>
              <w:rPr>
                <w:sz w:val="21"/>
                <w:szCs w:val="21"/>
              </w:rPr>
              <w:t>Sp</w:t>
            </w:r>
          </w:p>
        </w:tc>
        <w:tc>
          <w:tcPr>
            <w:tcW w:w="978" w:type="pct"/>
          </w:tcPr>
          <w:p w14:paraId="0713CF4F" w14:textId="77777777" w:rsidR="007D1E74" w:rsidRDefault="00A95641">
            <w:pPr>
              <w:pStyle w:val="TableParagraph"/>
              <w:spacing w:before="25"/>
              <w:ind w:left="170" w:right="170"/>
              <w:rPr>
                <w:sz w:val="21"/>
                <w:szCs w:val="21"/>
              </w:rPr>
            </w:pPr>
            <w:r>
              <w:rPr>
                <w:sz w:val="21"/>
                <w:szCs w:val="21"/>
              </w:rPr>
              <w:t>0.4</w:t>
            </w:r>
          </w:p>
        </w:tc>
        <w:tc>
          <w:tcPr>
            <w:tcW w:w="652" w:type="pct"/>
          </w:tcPr>
          <w:p w14:paraId="1E04CCB0" w14:textId="77777777" w:rsidR="007D1E74" w:rsidRDefault="00A95641">
            <w:pPr>
              <w:pStyle w:val="TableParagraph"/>
              <w:spacing w:before="25"/>
              <w:ind w:right="108"/>
              <w:rPr>
                <w:sz w:val="21"/>
                <w:szCs w:val="21"/>
              </w:rPr>
            </w:pPr>
            <w:r>
              <w:rPr>
                <w:sz w:val="21"/>
                <w:szCs w:val="21"/>
              </w:rPr>
              <w:t>5</w:t>
            </w:r>
          </w:p>
        </w:tc>
      </w:tr>
      <w:tr w:rsidR="007D1E74" w14:paraId="2D2AC20F" w14:textId="77777777">
        <w:trPr>
          <w:trHeight w:hRule="exact" w:val="336"/>
        </w:trPr>
        <w:tc>
          <w:tcPr>
            <w:tcW w:w="440" w:type="pct"/>
          </w:tcPr>
          <w:p w14:paraId="17B9ED93" w14:textId="77777777" w:rsidR="007D1E74" w:rsidRDefault="00A95641">
            <w:pPr>
              <w:pStyle w:val="TableParagraph"/>
              <w:spacing w:before="25"/>
              <w:ind w:left="109" w:right="103"/>
              <w:rPr>
                <w:sz w:val="21"/>
                <w:szCs w:val="21"/>
              </w:rPr>
            </w:pPr>
            <w:r>
              <w:rPr>
                <w:sz w:val="21"/>
                <w:szCs w:val="21"/>
              </w:rPr>
              <w:t>11</w:t>
            </w:r>
          </w:p>
        </w:tc>
        <w:tc>
          <w:tcPr>
            <w:tcW w:w="908" w:type="pct"/>
          </w:tcPr>
          <w:p w14:paraId="52DBEF73" w14:textId="77777777" w:rsidR="007D1E74" w:rsidRDefault="00A95641">
            <w:pPr>
              <w:pStyle w:val="TableParagraph"/>
              <w:spacing w:line="284" w:lineRule="exact"/>
              <w:ind w:left="102"/>
              <w:rPr>
                <w:rFonts w:ascii="宋体"/>
                <w:sz w:val="21"/>
                <w:szCs w:val="21"/>
              </w:rPr>
            </w:pPr>
            <w:r>
              <w:rPr>
                <w:rFonts w:ascii="宋体" w:hint="eastAsia"/>
                <w:sz w:val="21"/>
                <w:szCs w:val="21"/>
              </w:rPr>
              <w:t>狗尾草</w:t>
            </w:r>
          </w:p>
        </w:tc>
        <w:tc>
          <w:tcPr>
            <w:tcW w:w="674" w:type="pct"/>
          </w:tcPr>
          <w:p w14:paraId="5A7E00D1"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2EF23D4D" w14:textId="77777777" w:rsidR="007D1E74" w:rsidRDefault="00A95641">
            <w:pPr>
              <w:pStyle w:val="TableParagraph"/>
              <w:spacing w:before="25"/>
              <w:ind w:left="2"/>
              <w:rPr>
                <w:sz w:val="21"/>
                <w:szCs w:val="21"/>
              </w:rPr>
            </w:pPr>
            <w:r>
              <w:rPr>
                <w:sz w:val="21"/>
                <w:szCs w:val="21"/>
              </w:rPr>
              <w:t>6</w:t>
            </w:r>
          </w:p>
        </w:tc>
        <w:tc>
          <w:tcPr>
            <w:tcW w:w="674" w:type="pct"/>
          </w:tcPr>
          <w:p w14:paraId="1E26719D" w14:textId="77777777" w:rsidR="007D1E74" w:rsidRDefault="00A95641">
            <w:pPr>
              <w:pStyle w:val="TableParagraph"/>
              <w:spacing w:before="25"/>
              <w:ind w:left="159" w:right="160"/>
              <w:rPr>
                <w:sz w:val="21"/>
                <w:szCs w:val="21"/>
              </w:rPr>
            </w:pPr>
            <w:r>
              <w:rPr>
                <w:sz w:val="21"/>
                <w:szCs w:val="21"/>
              </w:rPr>
              <w:t>Sp</w:t>
            </w:r>
          </w:p>
        </w:tc>
        <w:tc>
          <w:tcPr>
            <w:tcW w:w="978" w:type="pct"/>
          </w:tcPr>
          <w:p w14:paraId="43E1682E" w14:textId="77777777" w:rsidR="007D1E74" w:rsidRDefault="00A95641">
            <w:pPr>
              <w:pStyle w:val="TableParagraph"/>
              <w:spacing w:before="25"/>
              <w:ind w:left="170" w:right="170"/>
              <w:rPr>
                <w:sz w:val="21"/>
                <w:szCs w:val="21"/>
              </w:rPr>
            </w:pPr>
            <w:r>
              <w:rPr>
                <w:sz w:val="21"/>
                <w:szCs w:val="21"/>
              </w:rPr>
              <w:t>1.4</w:t>
            </w:r>
          </w:p>
        </w:tc>
        <w:tc>
          <w:tcPr>
            <w:tcW w:w="652" w:type="pct"/>
          </w:tcPr>
          <w:p w14:paraId="396685E0" w14:textId="77777777" w:rsidR="007D1E74" w:rsidRDefault="00A95641">
            <w:pPr>
              <w:pStyle w:val="TableParagraph"/>
              <w:spacing w:before="25"/>
              <w:ind w:right="108"/>
              <w:rPr>
                <w:sz w:val="21"/>
                <w:szCs w:val="21"/>
              </w:rPr>
            </w:pPr>
            <w:r>
              <w:rPr>
                <w:sz w:val="21"/>
                <w:szCs w:val="21"/>
              </w:rPr>
              <w:t>5</w:t>
            </w:r>
          </w:p>
        </w:tc>
      </w:tr>
      <w:tr w:rsidR="007D1E74" w14:paraId="78214C29" w14:textId="77777777">
        <w:trPr>
          <w:trHeight w:hRule="exact" w:val="336"/>
        </w:trPr>
        <w:tc>
          <w:tcPr>
            <w:tcW w:w="440" w:type="pct"/>
          </w:tcPr>
          <w:p w14:paraId="5C639190" w14:textId="77777777" w:rsidR="007D1E74" w:rsidRDefault="00A95641">
            <w:pPr>
              <w:pStyle w:val="TableParagraph"/>
              <w:spacing w:before="25"/>
              <w:ind w:left="109" w:right="103"/>
              <w:rPr>
                <w:sz w:val="21"/>
                <w:szCs w:val="21"/>
              </w:rPr>
            </w:pPr>
            <w:r>
              <w:rPr>
                <w:sz w:val="21"/>
                <w:szCs w:val="21"/>
              </w:rPr>
              <w:t>12</w:t>
            </w:r>
          </w:p>
        </w:tc>
        <w:tc>
          <w:tcPr>
            <w:tcW w:w="908" w:type="pct"/>
          </w:tcPr>
          <w:p w14:paraId="72D43287" w14:textId="77777777" w:rsidR="007D1E74" w:rsidRDefault="00A95641">
            <w:pPr>
              <w:pStyle w:val="TableParagraph"/>
              <w:spacing w:line="284" w:lineRule="exact"/>
              <w:ind w:left="102"/>
              <w:rPr>
                <w:rFonts w:ascii="宋体"/>
                <w:sz w:val="21"/>
                <w:szCs w:val="21"/>
              </w:rPr>
            </w:pPr>
            <w:r>
              <w:rPr>
                <w:rFonts w:ascii="宋体" w:hint="eastAsia"/>
                <w:sz w:val="21"/>
                <w:szCs w:val="21"/>
              </w:rPr>
              <w:t>毛茛</w:t>
            </w:r>
          </w:p>
        </w:tc>
        <w:tc>
          <w:tcPr>
            <w:tcW w:w="674" w:type="pct"/>
          </w:tcPr>
          <w:p w14:paraId="51A3507D" w14:textId="77777777" w:rsidR="007D1E74" w:rsidRDefault="00A95641">
            <w:pPr>
              <w:pStyle w:val="TableParagraph"/>
              <w:spacing w:line="284" w:lineRule="exact"/>
              <w:ind w:left="103"/>
              <w:rPr>
                <w:rFonts w:ascii="宋体"/>
                <w:sz w:val="21"/>
                <w:szCs w:val="21"/>
              </w:rPr>
            </w:pPr>
            <w:r>
              <w:rPr>
                <w:rFonts w:ascii="宋体" w:hint="eastAsia"/>
                <w:sz w:val="21"/>
                <w:szCs w:val="21"/>
              </w:rPr>
              <w:t>花期</w:t>
            </w:r>
          </w:p>
        </w:tc>
        <w:tc>
          <w:tcPr>
            <w:tcW w:w="674" w:type="pct"/>
          </w:tcPr>
          <w:p w14:paraId="0153B789" w14:textId="77777777" w:rsidR="007D1E74" w:rsidRDefault="00A95641">
            <w:pPr>
              <w:pStyle w:val="TableParagraph"/>
              <w:spacing w:before="25"/>
              <w:ind w:left="95" w:right="93"/>
              <w:rPr>
                <w:sz w:val="21"/>
                <w:szCs w:val="21"/>
              </w:rPr>
            </w:pPr>
            <w:r>
              <w:rPr>
                <w:sz w:val="21"/>
                <w:szCs w:val="21"/>
              </w:rPr>
              <w:t>22</w:t>
            </w:r>
          </w:p>
        </w:tc>
        <w:tc>
          <w:tcPr>
            <w:tcW w:w="674" w:type="pct"/>
          </w:tcPr>
          <w:p w14:paraId="03B4BA5F" w14:textId="77777777" w:rsidR="007D1E74" w:rsidRDefault="00A95641">
            <w:pPr>
              <w:pStyle w:val="TableParagraph"/>
              <w:spacing w:before="25"/>
              <w:ind w:left="159" w:right="160"/>
              <w:rPr>
                <w:sz w:val="21"/>
                <w:szCs w:val="21"/>
              </w:rPr>
            </w:pPr>
            <w:r>
              <w:rPr>
                <w:sz w:val="21"/>
                <w:szCs w:val="21"/>
              </w:rPr>
              <w:t>Ol</w:t>
            </w:r>
          </w:p>
        </w:tc>
        <w:tc>
          <w:tcPr>
            <w:tcW w:w="978" w:type="pct"/>
          </w:tcPr>
          <w:p w14:paraId="475E7972" w14:textId="77777777" w:rsidR="007D1E74" w:rsidRDefault="00A95641">
            <w:pPr>
              <w:pStyle w:val="TableParagraph"/>
              <w:spacing w:before="25"/>
              <w:ind w:left="170" w:right="170"/>
              <w:rPr>
                <w:sz w:val="21"/>
                <w:szCs w:val="21"/>
              </w:rPr>
            </w:pPr>
            <w:r>
              <w:rPr>
                <w:sz w:val="21"/>
                <w:szCs w:val="21"/>
              </w:rPr>
              <w:t>0.7</w:t>
            </w:r>
          </w:p>
        </w:tc>
        <w:tc>
          <w:tcPr>
            <w:tcW w:w="652" w:type="pct"/>
          </w:tcPr>
          <w:p w14:paraId="0E65F2D3" w14:textId="77777777" w:rsidR="007D1E74" w:rsidRDefault="00A95641">
            <w:pPr>
              <w:pStyle w:val="TableParagraph"/>
              <w:spacing w:before="25"/>
              <w:ind w:right="108"/>
              <w:rPr>
                <w:sz w:val="21"/>
                <w:szCs w:val="21"/>
              </w:rPr>
            </w:pPr>
            <w:r>
              <w:rPr>
                <w:sz w:val="21"/>
                <w:szCs w:val="21"/>
              </w:rPr>
              <w:t>2</w:t>
            </w:r>
          </w:p>
        </w:tc>
      </w:tr>
      <w:tr w:rsidR="007D1E74" w14:paraId="083F825A" w14:textId="77777777">
        <w:trPr>
          <w:trHeight w:hRule="exact" w:val="336"/>
        </w:trPr>
        <w:tc>
          <w:tcPr>
            <w:tcW w:w="440" w:type="pct"/>
          </w:tcPr>
          <w:p w14:paraId="3073B3FC" w14:textId="77777777" w:rsidR="007D1E74" w:rsidRDefault="00A95641">
            <w:pPr>
              <w:pStyle w:val="TableParagraph"/>
              <w:spacing w:before="25"/>
              <w:ind w:left="109" w:right="103"/>
              <w:rPr>
                <w:sz w:val="21"/>
                <w:szCs w:val="21"/>
              </w:rPr>
            </w:pPr>
            <w:r>
              <w:rPr>
                <w:sz w:val="21"/>
                <w:szCs w:val="21"/>
              </w:rPr>
              <w:t>13</w:t>
            </w:r>
          </w:p>
        </w:tc>
        <w:tc>
          <w:tcPr>
            <w:tcW w:w="908" w:type="pct"/>
          </w:tcPr>
          <w:p w14:paraId="61CCA462" w14:textId="77777777" w:rsidR="007D1E74" w:rsidRDefault="00A95641">
            <w:pPr>
              <w:pStyle w:val="TableParagraph"/>
              <w:spacing w:line="284" w:lineRule="exact"/>
              <w:ind w:left="102"/>
              <w:rPr>
                <w:rFonts w:ascii="宋体"/>
                <w:sz w:val="21"/>
                <w:szCs w:val="21"/>
              </w:rPr>
            </w:pPr>
            <w:r>
              <w:rPr>
                <w:rFonts w:ascii="宋体" w:hint="eastAsia"/>
                <w:sz w:val="21"/>
                <w:szCs w:val="21"/>
              </w:rPr>
              <w:t>顶芽狗脊</w:t>
            </w:r>
          </w:p>
        </w:tc>
        <w:tc>
          <w:tcPr>
            <w:tcW w:w="674" w:type="pct"/>
          </w:tcPr>
          <w:p w14:paraId="02CB3BA4"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49BBB59B" w14:textId="77777777" w:rsidR="007D1E74" w:rsidRDefault="00A95641">
            <w:pPr>
              <w:pStyle w:val="TableParagraph"/>
              <w:spacing w:line="302" w:lineRule="exact"/>
              <w:ind w:left="94" w:right="94"/>
              <w:rPr>
                <w:rFonts w:ascii="宋体"/>
                <w:sz w:val="21"/>
                <w:szCs w:val="21"/>
              </w:rPr>
            </w:pPr>
            <w:r>
              <w:rPr>
                <w:sz w:val="21"/>
                <w:szCs w:val="21"/>
              </w:rPr>
              <w:t xml:space="preserve">2 </w:t>
            </w:r>
            <w:r>
              <w:rPr>
                <w:rFonts w:ascii="宋体" w:hint="eastAsia"/>
                <w:sz w:val="21"/>
                <w:szCs w:val="21"/>
              </w:rPr>
              <w:t>丛</w:t>
            </w:r>
          </w:p>
        </w:tc>
        <w:tc>
          <w:tcPr>
            <w:tcW w:w="674" w:type="pct"/>
          </w:tcPr>
          <w:p w14:paraId="4132C989" w14:textId="77777777" w:rsidR="007D1E74" w:rsidRDefault="00A95641">
            <w:pPr>
              <w:pStyle w:val="TableParagraph"/>
              <w:spacing w:before="25"/>
              <w:ind w:left="159" w:right="160"/>
              <w:rPr>
                <w:sz w:val="21"/>
                <w:szCs w:val="21"/>
              </w:rPr>
            </w:pPr>
            <w:r>
              <w:rPr>
                <w:sz w:val="21"/>
                <w:szCs w:val="21"/>
              </w:rPr>
              <w:t>Sp</w:t>
            </w:r>
          </w:p>
        </w:tc>
        <w:tc>
          <w:tcPr>
            <w:tcW w:w="978" w:type="pct"/>
          </w:tcPr>
          <w:p w14:paraId="546A6F86" w14:textId="77777777" w:rsidR="007D1E74" w:rsidRDefault="00A95641">
            <w:pPr>
              <w:pStyle w:val="TableParagraph"/>
              <w:spacing w:before="25"/>
              <w:ind w:left="170" w:right="170"/>
              <w:rPr>
                <w:sz w:val="21"/>
                <w:szCs w:val="21"/>
              </w:rPr>
            </w:pPr>
            <w:r>
              <w:rPr>
                <w:sz w:val="21"/>
                <w:szCs w:val="21"/>
              </w:rPr>
              <w:t>0.85</w:t>
            </w:r>
          </w:p>
        </w:tc>
        <w:tc>
          <w:tcPr>
            <w:tcW w:w="652" w:type="pct"/>
          </w:tcPr>
          <w:p w14:paraId="124550F5" w14:textId="77777777" w:rsidR="007D1E74" w:rsidRDefault="00A95641">
            <w:pPr>
              <w:pStyle w:val="TableParagraph"/>
              <w:spacing w:before="25"/>
              <w:ind w:right="108"/>
              <w:rPr>
                <w:sz w:val="21"/>
                <w:szCs w:val="21"/>
              </w:rPr>
            </w:pPr>
            <w:r>
              <w:rPr>
                <w:sz w:val="21"/>
                <w:szCs w:val="21"/>
              </w:rPr>
              <w:t>5</w:t>
            </w:r>
          </w:p>
        </w:tc>
      </w:tr>
      <w:tr w:rsidR="007D1E74" w14:paraId="252BD48E" w14:textId="77777777">
        <w:trPr>
          <w:trHeight w:hRule="exact" w:val="336"/>
        </w:trPr>
        <w:tc>
          <w:tcPr>
            <w:tcW w:w="440" w:type="pct"/>
          </w:tcPr>
          <w:p w14:paraId="077864C8" w14:textId="77777777" w:rsidR="007D1E74" w:rsidRDefault="00A95641">
            <w:pPr>
              <w:pStyle w:val="TableParagraph"/>
              <w:spacing w:before="26"/>
              <w:ind w:left="249"/>
              <w:rPr>
                <w:sz w:val="21"/>
                <w:szCs w:val="21"/>
              </w:rPr>
            </w:pPr>
            <w:r>
              <w:rPr>
                <w:sz w:val="21"/>
                <w:szCs w:val="21"/>
              </w:rPr>
              <w:t>14</w:t>
            </w:r>
          </w:p>
        </w:tc>
        <w:tc>
          <w:tcPr>
            <w:tcW w:w="908" w:type="pct"/>
          </w:tcPr>
          <w:p w14:paraId="30BEF4F8" w14:textId="77777777" w:rsidR="007D1E74" w:rsidRDefault="00A95641">
            <w:pPr>
              <w:pStyle w:val="TableParagraph"/>
              <w:spacing w:line="284" w:lineRule="exact"/>
              <w:ind w:left="102"/>
              <w:rPr>
                <w:rFonts w:ascii="宋体"/>
                <w:sz w:val="21"/>
                <w:szCs w:val="21"/>
              </w:rPr>
            </w:pPr>
            <w:r>
              <w:rPr>
                <w:rFonts w:ascii="宋体" w:hint="eastAsia"/>
                <w:sz w:val="21"/>
                <w:szCs w:val="21"/>
              </w:rPr>
              <w:t>蜈蚣草</w:t>
            </w:r>
          </w:p>
        </w:tc>
        <w:tc>
          <w:tcPr>
            <w:tcW w:w="674" w:type="pct"/>
          </w:tcPr>
          <w:p w14:paraId="28C89D4B"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33471FDD" w14:textId="77777777" w:rsidR="007D1E74" w:rsidRDefault="00A95641">
            <w:pPr>
              <w:pStyle w:val="TableParagraph"/>
              <w:spacing w:before="26"/>
              <w:ind w:left="95" w:right="93"/>
              <w:rPr>
                <w:sz w:val="21"/>
                <w:szCs w:val="21"/>
              </w:rPr>
            </w:pPr>
            <w:r>
              <w:rPr>
                <w:sz w:val="21"/>
                <w:szCs w:val="21"/>
              </w:rPr>
              <w:t>16</w:t>
            </w:r>
          </w:p>
        </w:tc>
        <w:tc>
          <w:tcPr>
            <w:tcW w:w="674" w:type="pct"/>
          </w:tcPr>
          <w:p w14:paraId="4A9E1E0D" w14:textId="77777777" w:rsidR="007D1E74" w:rsidRDefault="00A95641">
            <w:pPr>
              <w:pStyle w:val="TableParagraph"/>
              <w:spacing w:before="26"/>
              <w:ind w:left="159" w:right="160"/>
              <w:rPr>
                <w:sz w:val="21"/>
                <w:szCs w:val="21"/>
              </w:rPr>
            </w:pPr>
            <w:r>
              <w:rPr>
                <w:sz w:val="21"/>
                <w:szCs w:val="21"/>
              </w:rPr>
              <w:t>Sp</w:t>
            </w:r>
          </w:p>
        </w:tc>
        <w:tc>
          <w:tcPr>
            <w:tcW w:w="978" w:type="pct"/>
          </w:tcPr>
          <w:p w14:paraId="2EF3BE7A" w14:textId="77777777" w:rsidR="007D1E74" w:rsidRDefault="00A95641">
            <w:pPr>
              <w:pStyle w:val="TableParagraph"/>
              <w:spacing w:before="26"/>
              <w:ind w:left="170" w:right="170"/>
              <w:rPr>
                <w:sz w:val="21"/>
                <w:szCs w:val="21"/>
              </w:rPr>
            </w:pPr>
            <w:r>
              <w:rPr>
                <w:sz w:val="21"/>
                <w:szCs w:val="21"/>
              </w:rPr>
              <w:t>0.5</w:t>
            </w:r>
          </w:p>
        </w:tc>
        <w:tc>
          <w:tcPr>
            <w:tcW w:w="652" w:type="pct"/>
          </w:tcPr>
          <w:p w14:paraId="57DF1B6C" w14:textId="77777777" w:rsidR="007D1E74" w:rsidRDefault="00A95641">
            <w:pPr>
              <w:pStyle w:val="TableParagraph"/>
              <w:spacing w:before="26"/>
              <w:rPr>
                <w:sz w:val="21"/>
                <w:szCs w:val="21"/>
              </w:rPr>
            </w:pPr>
            <w:r>
              <w:rPr>
                <w:sz w:val="21"/>
                <w:szCs w:val="21"/>
              </w:rPr>
              <w:t>5</w:t>
            </w:r>
          </w:p>
        </w:tc>
      </w:tr>
    </w:tbl>
    <w:p w14:paraId="1D8608A8" w14:textId="77777777" w:rsidR="007D1E74" w:rsidRDefault="007D1E74">
      <w:pPr>
        <w:spacing w:line="360" w:lineRule="auto"/>
        <w:rPr>
          <w:rFonts w:cs="Times New Roman"/>
          <w:szCs w:val="21"/>
        </w:rPr>
      </w:pPr>
    </w:p>
    <w:p w14:paraId="3A06C9EE" w14:textId="77777777" w:rsidR="007D1E74" w:rsidRDefault="00A95641">
      <w:pPr>
        <w:spacing w:line="360" w:lineRule="auto"/>
        <w:jc w:val="center"/>
        <w:rPr>
          <w:rFonts w:eastAsia="黑体" w:cs="Times New Roman"/>
          <w:szCs w:val="21"/>
        </w:rPr>
      </w:pPr>
      <w:r>
        <w:rPr>
          <w:rFonts w:eastAsia="黑体" w:cs="Times New Roman"/>
          <w:szCs w:val="21"/>
        </w:rPr>
        <w:t>表</w:t>
      </w:r>
      <w:r>
        <w:rPr>
          <w:rFonts w:eastAsia="黑体" w:cs="Times New Roman"/>
          <w:szCs w:val="21"/>
        </w:rPr>
        <w:t xml:space="preserve">A.2.4-2  </w:t>
      </w:r>
      <w:r>
        <w:rPr>
          <w:rFonts w:eastAsia="黑体" w:cs="Times New Roman" w:hint="eastAsia"/>
          <w:szCs w:val="21"/>
        </w:rPr>
        <w:t>植物实测样方表</w:t>
      </w:r>
    </w:p>
    <w:tbl>
      <w:tblPr>
        <w:tblStyle w:val="affffc"/>
        <w:tblW w:w="0" w:type="auto"/>
        <w:tblBorders>
          <w:left w:val="none" w:sz="0" w:space="0" w:color="auto"/>
          <w:right w:val="none" w:sz="0" w:space="0" w:color="auto"/>
        </w:tblBorders>
        <w:tblLook w:val="04A0" w:firstRow="1" w:lastRow="0" w:firstColumn="1" w:lastColumn="0" w:noHBand="0" w:noVBand="1"/>
      </w:tblPr>
      <w:tblGrid>
        <w:gridCol w:w="9016"/>
      </w:tblGrid>
      <w:tr w:rsidR="007D1E74" w14:paraId="3967D0DE" w14:textId="77777777">
        <w:tc>
          <w:tcPr>
            <w:tcW w:w="9016" w:type="dxa"/>
          </w:tcPr>
          <w:p w14:paraId="317D9271" w14:textId="77777777" w:rsidR="007D1E74" w:rsidRDefault="00A95641">
            <w:pPr>
              <w:spacing w:line="360" w:lineRule="auto"/>
              <w:rPr>
                <w:rFonts w:eastAsiaTheme="minorEastAsia" w:cs="Times New Roman"/>
                <w:szCs w:val="21"/>
              </w:rPr>
            </w:pPr>
            <w:r>
              <w:rPr>
                <w:rFonts w:eastAsiaTheme="minorEastAsia" w:cs="Times New Roman" w:hint="eastAsia"/>
                <w:szCs w:val="21"/>
              </w:rPr>
              <w:t>群落名称：马桑黄荆灌丛</w:t>
            </w:r>
            <w:r>
              <w:rPr>
                <w:rFonts w:eastAsiaTheme="minorEastAsia" w:cs="Times New Roman" w:hint="eastAsia"/>
                <w:szCs w:val="21"/>
              </w:rPr>
              <w:tab/>
            </w:r>
            <w:r>
              <w:rPr>
                <w:rFonts w:eastAsiaTheme="minorEastAsia" w:cs="Times New Roman" w:hint="eastAsia"/>
                <w:szCs w:val="21"/>
              </w:rPr>
              <w:t>地点：青峪镇闫家坝村</w:t>
            </w:r>
            <w:r>
              <w:rPr>
                <w:rFonts w:eastAsiaTheme="minorEastAsia" w:cs="Times New Roman" w:hint="eastAsia"/>
                <w:szCs w:val="21"/>
              </w:rPr>
              <w:tab/>
            </w:r>
            <w:r>
              <w:rPr>
                <w:rFonts w:eastAsiaTheme="minorEastAsia" w:cs="Times New Roman" w:hint="eastAsia"/>
                <w:szCs w:val="21"/>
              </w:rPr>
              <w:t>样方面积：</w:t>
            </w:r>
            <w:r>
              <w:rPr>
                <w:rFonts w:eastAsiaTheme="minorEastAsia" w:cs="Times New Roman" w:hint="eastAsia"/>
                <w:szCs w:val="21"/>
              </w:rPr>
              <w:t>5m</w:t>
            </w:r>
            <w:r>
              <w:rPr>
                <w:rFonts w:eastAsiaTheme="minorEastAsia" w:cs="Times New Roman" w:hint="eastAsia"/>
                <w:szCs w:val="21"/>
              </w:rPr>
              <w:t>×</w:t>
            </w:r>
            <w:r>
              <w:rPr>
                <w:rFonts w:eastAsiaTheme="minorEastAsia" w:cs="Times New Roman" w:hint="eastAsia"/>
                <w:szCs w:val="21"/>
              </w:rPr>
              <w:t>5m</w:t>
            </w:r>
          </w:p>
        </w:tc>
      </w:tr>
      <w:tr w:rsidR="007D1E74" w14:paraId="39BA4AD8" w14:textId="77777777">
        <w:tc>
          <w:tcPr>
            <w:tcW w:w="9016" w:type="dxa"/>
          </w:tcPr>
          <w:p w14:paraId="5EC4A9FD" w14:textId="77777777" w:rsidR="007D1E74" w:rsidRDefault="00A95641">
            <w:pPr>
              <w:spacing w:line="360" w:lineRule="auto"/>
              <w:rPr>
                <w:rFonts w:eastAsiaTheme="minorEastAsia" w:cs="Times New Roman"/>
                <w:szCs w:val="21"/>
              </w:rPr>
            </w:pPr>
            <w:r>
              <w:rPr>
                <w:rFonts w:eastAsiaTheme="minorEastAsia" w:cs="Times New Roman" w:hint="eastAsia"/>
                <w:szCs w:val="21"/>
              </w:rPr>
              <w:t>经度：</w:t>
            </w:r>
            <w:r>
              <w:rPr>
                <w:rFonts w:eastAsiaTheme="minorEastAsia" w:cs="Times New Roman" w:hint="eastAsia"/>
                <w:szCs w:val="21"/>
              </w:rPr>
              <w:t xml:space="preserve">107.183858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纬度：</w:t>
            </w:r>
            <w:r>
              <w:rPr>
                <w:rFonts w:eastAsiaTheme="minorEastAsia" w:cs="Times New Roman" w:hint="eastAsia"/>
                <w:szCs w:val="21"/>
              </w:rPr>
              <w:t xml:space="preserve">32.211214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海拔（</w:t>
            </w:r>
            <w:r>
              <w:rPr>
                <w:rFonts w:eastAsiaTheme="minorEastAsia" w:cs="Times New Roman" w:hint="eastAsia"/>
                <w:szCs w:val="21"/>
              </w:rPr>
              <w:t>m</w:t>
            </w:r>
            <w:r>
              <w:rPr>
                <w:rFonts w:eastAsiaTheme="minorEastAsia" w:cs="Times New Roman" w:hint="eastAsia"/>
                <w:szCs w:val="21"/>
              </w:rPr>
              <w:t>）</w:t>
            </w:r>
            <w:r>
              <w:rPr>
                <w:rFonts w:eastAsiaTheme="minorEastAsia" w:cs="Times New Roman" w:hint="eastAsia"/>
                <w:szCs w:val="21"/>
              </w:rPr>
              <w:t>501</w:t>
            </w:r>
          </w:p>
        </w:tc>
      </w:tr>
      <w:tr w:rsidR="007D1E74" w14:paraId="3F7A7FE0" w14:textId="77777777">
        <w:tc>
          <w:tcPr>
            <w:tcW w:w="9016" w:type="dxa"/>
          </w:tcPr>
          <w:p w14:paraId="3AD60494" w14:textId="77777777" w:rsidR="007D1E74" w:rsidRDefault="00A95641">
            <w:pPr>
              <w:spacing w:line="360" w:lineRule="auto"/>
              <w:rPr>
                <w:rFonts w:eastAsiaTheme="minorEastAsia" w:cs="Times New Roman"/>
                <w:szCs w:val="21"/>
              </w:rPr>
            </w:pPr>
            <w:r>
              <w:rPr>
                <w:rFonts w:eastAsiaTheme="minorEastAsia" w:cs="Times New Roman" w:hint="eastAsia"/>
                <w:szCs w:val="21"/>
              </w:rPr>
              <w:t>调查人：黄文军、李秦</w:t>
            </w:r>
            <w:r>
              <w:rPr>
                <w:rFonts w:eastAsiaTheme="minorEastAsia" w:cs="Times New Roman" w:hint="eastAsia"/>
                <w:szCs w:val="21"/>
              </w:rPr>
              <w:tab/>
            </w:r>
            <w:r>
              <w:rPr>
                <w:rFonts w:eastAsiaTheme="minorEastAsia" w:cs="Times New Roman" w:hint="eastAsia"/>
                <w:szCs w:val="21"/>
              </w:rPr>
              <w:t>调查日期：</w:t>
            </w:r>
            <w:r>
              <w:rPr>
                <w:rFonts w:eastAsiaTheme="minorEastAsia" w:cs="Times New Roman" w:hint="eastAsia"/>
                <w:szCs w:val="21"/>
              </w:rPr>
              <w:t>2021-08-20</w:t>
            </w:r>
          </w:p>
        </w:tc>
      </w:tr>
    </w:tbl>
    <w:p w14:paraId="5988939C" w14:textId="77777777" w:rsidR="007D1E74" w:rsidRDefault="007D1E74">
      <w:pPr>
        <w:spacing w:line="360" w:lineRule="auto"/>
        <w:rPr>
          <w:rFonts w:eastAsia="黑体" w:cs="Times New Roman"/>
          <w:sz w:val="24"/>
          <w:szCs w:val="24"/>
        </w:rPr>
      </w:pP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4"/>
        <w:gridCol w:w="1637"/>
        <w:gridCol w:w="1215"/>
        <w:gridCol w:w="1215"/>
        <w:gridCol w:w="1215"/>
        <w:gridCol w:w="1764"/>
        <w:gridCol w:w="1176"/>
      </w:tblGrid>
      <w:tr w:rsidR="007D1E74" w14:paraId="6C768EA8" w14:textId="77777777">
        <w:trPr>
          <w:trHeight w:hRule="exact" w:val="351"/>
        </w:trPr>
        <w:tc>
          <w:tcPr>
            <w:tcW w:w="440" w:type="pct"/>
          </w:tcPr>
          <w:p w14:paraId="67939C57" w14:textId="77777777" w:rsidR="007D1E74" w:rsidRDefault="00A95641">
            <w:pPr>
              <w:pStyle w:val="TableParagraph"/>
              <w:spacing w:line="284" w:lineRule="exact"/>
              <w:ind w:left="109" w:right="103"/>
              <w:rPr>
                <w:rFonts w:ascii="宋体"/>
                <w:sz w:val="21"/>
                <w:szCs w:val="21"/>
              </w:rPr>
            </w:pPr>
            <w:r>
              <w:rPr>
                <w:rFonts w:ascii="宋体" w:hint="eastAsia"/>
                <w:sz w:val="21"/>
                <w:szCs w:val="21"/>
              </w:rPr>
              <w:t>种号</w:t>
            </w:r>
          </w:p>
        </w:tc>
        <w:tc>
          <w:tcPr>
            <w:tcW w:w="908" w:type="pct"/>
          </w:tcPr>
          <w:p w14:paraId="24E19930" w14:textId="77777777" w:rsidR="007D1E74" w:rsidRDefault="00A95641">
            <w:pPr>
              <w:pStyle w:val="TableParagraph"/>
              <w:spacing w:line="284" w:lineRule="exact"/>
              <w:ind w:left="397"/>
              <w:rPr>
                <w:rFonts w:ascii="宋体"/>
                <w:sz w:val="21"/>
                <w:szCs w:val="21"/>
              </w:rPr>
            </w:pPr>
            <w:r>
              <w:rPr>
                <w:rFonts w:ascii="宋体" w:hint="eastAsia"/>
                <w:sz w:val="21"/>
                <w:szCs w:val="21"/>
              </w:rPr>
              <w:t>物种名</w:t>
            </w:r>
          </w:p>
        </w:tc>
        <w:tc>
          <w:tcPr>
            <w:tcW w:w="674" w:type="pct"/>
          </w:tcPr>
          <w:p w14:paraId="7DBE8945" w14:textId="77777777" w:rsidR="007D1E74" w:rsidRDefault="00A95641">
            <w:pPr>
              <w:pStyle w:val="TableParagraph"/>
              <w:spacing w:line="284" w:lineRule="exact"/>
              <w:ind w:left="202"/>
              <w:rPr>
                <w:rFonts w:ascii="宋体"/>
                <w:sz w:val="21"/>
                <w:szCs w:val="21"/>
              </w:rPr>
            </w:pPr>
            <w:r>
              <w:rPr>
                <w:rFonts w:ascii="宋体" w:hint="eastAsia"/>
                <w:sz w:val="21"/>
                <w:szCs w:val="21"/>
              </w:rPr>
              <w:t>物候期</w:t>
            </w:r>
          </w:p>
        </w:tc>
        <w:tc>
          <w:tcPr>
            <w:tcW w:w="674" w:type="pct"/>
          </w:tcPr>
          <w:p w14:paraId="11A51D2C" w14:textId="77777777" w:rsidR="007D1E74" w:rsidRDefault="00A95641">
            <w:pPr>
              <w:pStyle w:val="TableParagraph"/>
              <w:spacing w:line="302" w:lineRule="exact"/>
              <w:ind w:left="102" w:right="102"/>
              <w:rPr>
                <w:rFonts w:ascii="宋体"/>
                <w:sz w:val="21"/>
                <w:szCs w:val="21"/>
              </w:rPr>
            </w:pPr>
            <w:r>
              <w:rPr>
                <w:rFonts w:ascii="宋体" w:hint="eastAsia"/>
                <w:sz w:val="21"/>
                <w:szCs w:val="21"/>
              </w:rPr>
              <w:t>株</w:t>
            </w:r>
            <w:r>
              <w:rPr>
                <w:sz w:val="21"/>
                <w:szCs w:val="21"/>
              </w:rPr>
              <w:t>(</w:t>
            </w:r>
            <w:r>
              <w:rPr>
                <w:rFonts w:ascii="宋体" w:hint="eastAsia"/>
                <w:sz w:val="21"/>
                <w:szCs w:val="21"/>
              </w:rPr>
              <w:t>丛</w:t>
            </w:r>
            <w:r>
              <w:rPr>
                <w:sz w:val="21"/>
                <w:szCs w:val="21"/>
              </w:rPr>
              <w:t>)</w:t>
            </w:r>
            <w:r>
              <w:rPr>
                <w:rFonts w:ascii="宋体" w:hint="eastAsia"/>
                <w:sz w:val="21"/>
                <w:szCs w:val="21"/>
              </w:rPr>
              <w:t>数</w:t>
            </w:r>
          </w:p>
        </w:tc>
        <w:tc>
          <w:tcPr>
            <w:tcW w:w="674" w:type="pct"/>
          </w:tcPr>
          <w:p w14:paraId="065CD344" w14:textId="77777777" w:rsidR="007D1E74" w:rsidRDefault="00A95641">
            <w:pPr>
              <w:pStyle w:val="TableParagraph"/>
              <w:spacing w:line="284" w:lineRule="exact"/>
              <w:ind w:left="102" w:right="102"/>
              <w:rPr>
                <w:rFonts w:ascii="宋体"/>
                <w:sz w:val="21"/>
                <w:szCs w:val="21"/>
              </w:rPr>
            </w:pPr>
            <w:r>
              <w:rPr>
                <w:rFonts w:ascii="宋体" w:hint="eastAsia"/>
                <w:sz w:val="21"/>
                <w:szCs w:val="21"/>
              </w:rPr>
              <w:t>多度</w:t>
            </w:r>
          </w:p>
        </w:tc>
        <w:tc>
          <w:tcPr>
            <w:tcW w:w="978" w:type="pct"/>
          </w:tcPr>
          <w:p w14:paraId="3221869C" w14:textId="77777777" w:rsidR="007D1E74" w:rsidRDefault="00A95641">
            <w:pPr>
              <w:pStyle w:val="TableParagraph"/>
              <w:spacing w:line="302" w:lineRule="exact"/>
              <w:ind w:left="172" w:right="170"/>
              <w:rPr>
                <w:sz w:val="21"/>
                <w:szCs w:val="21"/>
              </w:rPr>
            </w:pPr>
            <w:r>
              <w:rPr>
                <w:rFonts w:ascii="宋体" w:hint="eastAsia"/>
                <w:w w:val="95"/>
                <w:sz w:val="21"/>
                <w:szCs w:val="21"/>
              </w:rPr>
              <w:t>平均高度</w:t>
            </w:r>
            <w:r>
              <w:rPr>
                <w:w w:val="95"/>
                <w:sz w:val="21"/>
                <w:szCs w:val="21"/>
              </w:rPr>
              <w:t>/cm</w:t>
            </w:r>
          </w:p>
        </w:tc>
        <w:tc>
          <w:tcPr>
            <w:tcW w:w="652" w:type="pct"/>
          </w:tcPr>
          <w:p w14:paraId="4B35DD45" w14:textId="77777777" w:rsidR="007D1E74" w:rsidRDefault="00A95641">
            <w:pPr>
              <w:pStyle w:val="TableParagraph"/>
              <w:spacing w:line="302" w:lineRule="exact"/>
              <w:ind w:left="116" w:right="226"/>
              <w:rPr>
                <w:sz w:val="21"/>
                <w:szCs w:val="21"/>
              </w:rPr>
            </w:pPr>
            <w:r>
              <w:rPr>
                <w:rFonts w:ascii="宋体" w:hint="eastAsia"/>
                <w:w w:val="95"/>
                <w:sz w:val="21"/>
                <w:szCs w:val="21"/>
              </w:rPr>
              <w:t>盖度</w:t>
            </w:r>
            <w:r>
              <w:rPr>
                <w:w w:val="95"/>
                <w:sz w:val="21"/>
                <w:szCs w:val="21"/>
              </w:rPr>
              <w:t>/%</w:t>
            </w:r>
          </w:p>
        </w:tc>
      </w:tr>
      <w:tr w:rsidR="007D1E74" w14:paraId="6FF6E5C2" w14:textId="77777777">
        <w:trPr>
          <w:trHeight w:hRule="exact" w:val="336"/>
        </w:trPr>
        <w:tc>
          <w:tcPr>
            <w:tcW w:w="440" w:type="pct"/>
          </w:tcPr>
          <w:p w14:paraId="1B4BC722" w14:textId="77777777" w:rsidR="007D1E74" w:rsidRDefault="00A95641">
            <w:pPr>
              <w:pStyle w:val="TableParagraph"/>
              <w:spacing w:before="26"/>
              <w:ind w:left="4"/>
              <w:rPr>
                <w:sz w:val="21"/>
                <w:szCs w:val="21"/>
              </w:rPr>
            </w:pPr>
            <w:r>
              <w:rPr>
                <w:sz w:val="21"/>
                <w:szCs w:val="21"/>
              </w:rPr>
              <w:t>1</w:t>
            </w:r>
          </w:p>
        </w:tc>
        <w:tc>
          <w:tcPr>
            <w:tcW w:w="908" w:type="pct"/>
          </w:tcPr>
          <w:p w14:paraId="45231FD2" w14:textId="77777777" w:rsidR="007D1E74" w:rsidRDefault="00A95641">
            <w:pPr>
              <w:pStyle w:val="TableParagraph"/>
              <w:spacing w:line="284" w:lineRule="exact"/>
              <w:ind w:left="102"/>
              <w:rPr>
                <w:rFonts w:ascii="宋体"/>
                <w:sz w:val="21"/>
                <w:szCs w:val="21"/>
              </w:rPr>
            </w:pPr>
            <w:r>
              <w:rPr>
                <w:rFonts w:ascii="宋体" w:hint="eastAsia"/>
                <w:sz w:val="21"/>
                <w:szCs w:val="21"/>
              </w:rPr>
              <w:t>马桑</w:t>
            </w:r>
          </w:p>
        </w:tc>
        <w:tc>
          <w:tcPr>
            <w:tcW w:w="674" w:type="pct"/>
          </w:tcPr>
          <w:p w14:paraId="6F88852A" w14:textId="77777777" w:rsidR="007D1E74" w:rsidRDefault="00A95641">
            <w:pPr>
              <w:pStyle w:val="TableParagraph"/>
              <w:spacing w:line="284" w:lineRule="exact"/>
              <w:ind w:left="104"/>
              <w:rPr>
                <w:rFonts w:ascii="宋体"/>
                <w:sz w:val="21"/>
                <w:szCs w:val="21"/>
              </w:rPr>
            </w:pPr>
            <w:r>
              <w:rPr>
                <w:rFonts w:ascii="宋体" w:hint="eastAsia"/>
                <w:sz w:val="21"/>
                <w:szCs w:val="21"/>
              </w:rPr>
              <w:t>果期</w:t>
            </w:r>
          </w:p>
        </w:tc>
        <w:tc>
          <w:tcPr>
            <w:tcW w:w="674" w:type="pct"/>
          </w:tcPr>
          <w:p w14:paraId="6369A034" w14:textId="77777777" w:rsidR="007D1E74" w:rsidRDefault="00A95641">
            <w:pPr>
              <w:pStyle w:val="TableParagraph"/>
              <w:spacing w:before="26"/>
              <w:ind w:right="1"/>
              <w:rPr>
                <w:sz w:val="21"/>
                <w:szCs w:val="21"/>
              </w:rPr>
            </w:pPr>
            <w:r>
              <w:rPr>
                <w:sz w:val="21"/>
                <w:szCs w:val="21"/>
              </w:rPr>
              <w:t>5</w:t>
            </w:r>
          </w:p>
        </w:tc>
        <w:tc>
          <w:tcPr>
            <w:tcW w:w="674" w:type="pct"/>
          </w:tcPr>
          <w:p w14:paraId="6633E625" w14:textId="77777777" w:rsidR="007D1E74" w:rsidRDefault="00A95641">
            <w:pPr>
              <w:pStyle w:val="TableParagraph"/>
              <w:spacing w:before="23"/>
              <w:ind w:left="231" w:right="231"/>
              <w:rPr>
                <w:sz w:val="21"/>
                <w:szCs w:val="21"/>
              </w:rPr>
            </w:pPr>
            <w:r>
              <w:rPr>
                <w:position w:val="2"/>
                <w:sz w:val="21"/>
                <w:szCs w:val="21"/>
              </w:rPr>
              <w:t>Cop</w:t>
            </w:r>
            <w:r>
              <w:rPr>
                <w:sz w:val="21"/>
                <w:szCs w:val="21"/>
              </w:rPr>
              <w:t>2</w:t>
            </w:r>
          </w:p>
        </w:tc>
        <w:tc>
          <w:tcPr>
            <w:tcW w:w="978" w:type="pct"/>
          </w:tcPr>
          <w:p w14:paraId="701111EC" w14:textId="77777777" w:rsidR="007D1E74" w:rsidRDefault="00A95641">
            <w:pPr>
              <w:pStyle w:val="TableParagraph"/>
              <w:spacing w:before="26"/>
              <w:ind w:left="170" w:right="170"/>
              <w:rPr>
                <w:sz w:val="21"/>
                <w:szCs w:val="21"/>
              </w:rPr>
            </w:pPr>
            <w:r>
              <w:rPr>
                <w:sz w:val="21"/>
                <w:szCs w:val="21"/>
              </w:rPr>
              <w:t>3.1</w:t>
            </w:r>
          </w:p>
        </w:tc>
        <w:tc>
          <w:tcPr>
            <w:tcW w:w="652" w:type="pct"/>
          </w:tcPr>
          <w:p w14:paraId="59E98DEF" w14:textId="77777777" w:rsidR="007D1E74" w:rsidRDefault="00A95641">
            <w:pPr>
              <w:pStyle w:val="TableParagraph"/>
              <w:spacing w:before="26"/>
              <w:ind w:left="116" w:right="224"/>
              <w:rPr>
                <w:sz w:val="21"/>
                <w:szCs w:val="21"/>
              </w:rPr>
            </w:pPr>
            <w:r>
              <w:rPr>
                <w:sz w:val="21"/>
                <w:szCs w:val="21"/>
              </w:rPr>
              <w:t>55</w:t>
            </w:r>
          </w:p>
        </w:tc>
      </w:tr>
      <w:tr w:rsidR="007D1E74" w14:paraId="4D3A47F8" w14:textId="77777777">
        <w:trPr>
          <w:trHeight w:hRule="exact" w:val="336"/>
        </w:trPr>
        <w:tc>
          <w:tcPr>
            <w:tcW w:w="440" w:type="pct"/>
          </w:tcPr>
          <w:p w14:paraId="6DD93ECE" w14:textId="77777777" w:rsidR="007D1E74" w:rsidRDefault="00A95641">
            <w:pPr>
              <w:pStyle w:val="TableParagraph"/>
              <w:spacing w:before="26"/>
              <w:ind w:left="4"/>
              <w:rPr>
                <w:sz w:val="21"/>
                <w:szCs w:val="21"/>
              </w:rPr>
            </w:pPr>
            <w:r>
              <w:rPr>
                <w:sz w:val="21"/>
                <w:szCs w:val="21"/>
              </w:rPr>
              <w:t>2</w:t>
            </w:r>
          </w:p>
        </w:tc>
        <w:tc>
          <w:tcPr>
            <w:tcW w:w="908" w:type="pct"/>
          </w:tcPr>
          <w:p w14:paraId="424B6470" w14:textId="77777777" w:rsidR="007D1E74" w:rsidRDefault="00A95641">
            <w:pPr>
              <w:pStyle w:val="TableParagraph"/>
              <w:spacing w:line="284" w:lineRule="exact"/>
              <w:ind w:left="102"/>
              <w:rPr>
                <w:rFonts w:ascii="宋体"/>
                <w:sz w:val="21"/>
                <w:szCs w:val="21"/>
              </w:rPr>
            </w:pPr>
            <w:r>
              <w:rPr>
                <w:rFonts w:ascii="宋体" w:hint="eastAsia"/>
                <w:sz w:val="21"/>
                <w:szCs w:val="21"/>
              </w:rPr>
              <w:t>黄荆</w:t>
            </w:r>
          </w:p>
        </w:tc>
        <w:tc>
          <w:tcPr>
            <w:tcW w:w="674" w:type="pct"/>
          </w:tcPr>
          <w:p w14:paraId="6159036A" w14:textId="77777777" w:rsidR="007D1E74" w:rsidRDefault="00A95641">
            <w:pPr>
              <w:pStyle w:val="TableParagraph"/>
              <w:spacing w:line="284" w:lineRule="exact"/>
              <w:ind w:left="104"/>
              <w:rPr>
                <w:rFonts w:ascii="宋体"/>
                <w:sz w:val="21"/>
                <w:szCs w:val="21"/>
              </w:rPr>
            </w:pPr>
            <w:r>
              <w:rPr>
                <w:rFonts w:ascii="宋体" w:hint="eastAsia"/>
                <w:sz w:val="21"/>
                <w:szCs w:val="21"/>
              </w:rPr>
              <w:t>果期</w:t>
            </w:r>
          </w:p>
        </w:tc>
        <w:tc>
          <w:tcPr>
            <w:tcW w:w="674" w:type="pct"/>
          </w:tcPr>
          <w:p w14:paraId="2EE4D479" w14:textId="77777777" w:rsidR="007D1E74" w:rsidRDefault="00A95641">
            <w:pPr>
              <w:pStyle w:val="TableParagraph"/>
              <w:spacing w:before="26"/>
              <w:ind w:right="1"/>
              <w:rPr>
                <w:sz w:val="21"/>
                <w:szCs w:val="21"/>
              </w:rPr>
            </w:pPr>
            <w:r>
              <w:rPr>
                <w:sz w:val="21"/>
                <w:szCs w:val="21"/>
              </w:rPr>
              <w:t>3</w:t>
            </w:r>
          </w:p>
        </w:tc>
        <w:tc>
          <w:tcPr>
            <w:tcW w:w="674" w:type="pct"/>
          </w:tcPr>
          <w:p w14:paraId="1BB7ED11" w14:textId="77777777" w:rsidR="007D1E74" w:rsidRDefault="00A95641">
            <w:pPr>
              <w:pStyle w:val="TableParagraph"/>
              <w:spacing w:before="23"/>
              <w:ind w:left="231" w:right="231"/>
              <w:rPr>
                <w:sz w:val="21"/>
                <w:szCs w:val="21"/>
              </w:rPr>
            </w:pPr>
            <w:r>
              <w:rPr>
                <w:position w:val="2"/>
                <w:sz w:val="21"/>
                <w:szCs w:val="21"/>
              </w:rPr>
              <w:t>Cop</w:t>
            </w:r>
            <w:r>
              <w:rPr>
                <w:sz w:val="21"/>
                <w:szCs w:val="21"/>
              </w:rPr>
              <w:t>1</w:t>
            </w:r>
          </w:p>
        </w:tc>
        <w:tc>
          <w:tcPr>
            <w:tcW w:w="978" w:type="pct"/>
          </w:tcPr>
          <w:p w14:paraId="7A0E671C" w14:textId="77777777" w:rsidR="007D1E74" w:rsidRDefault="00A95641">
            <w:pPr>
              <w:pStyle w:val="TableParagraph"/>
              <w:spacing w:before="26"/>
              <w:ind w:left="170" w:right="170"/>
              <w:rPr>
                <w:sz w:val="21"/>
                <w:szCs w:val="21"/>
              </w:rPr>
            </w:pPr>
            <w:r>
              <w:rPr>
                <w:sz w:val="21"/>
                <w:szCs w:val="21"/>
              </w:rPr>
              <w:t>1.8</w:t>
            </w:r>
          </w:p>
        </w:tc>
        <w:tc>
          <w:tcPr>
            <w:tcW w:w="652" w:type="pct"/>
          </w:tcPr>
          <w:p w14:paraId="15969762" w14:textId="77777777" w:rsidR="007D1E74" w:rsidRDefault="00A95641">
            <w:pPr>
              <w:pStyle w:val="TableParagraph"/>
              <w:spacing w:before="26"/>
              <w:ind w:left="116" w:right="224"/>
              <w:rPr>
                <w:sz w:val="21"/>
                <w:szCs w:val="21"/>
              </w:rPr>
            </w:pPr>
            <w:r>
              <w:rPr>
                <w:sz w:val="21"/>
                <w:szCs w:val="21"/>
              </w:rPr>
              <w:t>15</w:t>
            </w:r>
          </w:p>
        </w:tc>
      </w:tr>
      <w:tr w:rsidR="007D1E74" w14:paraId="34E72C51" w14:textId="77777777">
        <w:trPr>
          <w:trHeight w:hRule="exact" w:val="336"/>
        </w:trPr>
        <w:tc>
          <w:tcPr>
            <w:tcW w:w="440" w:type="pct"/>
          </w:tcPr>
          <w:p w14:paraId="4FE7C5DE" w14:textId="77777777" w:rsidR="007D1E74" w:rsidRDefault="00A95641">
            <w:pPr>
              <w:pStyle w:val="TableParagraph"/>
              <w:spacing w:before="26"/>
              <w:ind w:left="4"/>
              <w:rPr>
                <w:sz w:val="21"/>
                <w:szCs w:val="21"/>
              </w:rPr>
            </w:pPr>
            <w:r>
              <w:rPr>
                <w:sz w:val="21"/>
                <w:szCs w:val="21"/>
              </w:rPr>
              <w:t>3</w:t>
            </w:r>
          </w:p>
        </w:tc>
        <w:tc>
          <w:tcPr>
            <w:tcW w:w="908" w:type="pct"/>
          </w:tcPr>
          <w:p w14:paraId="099EA826" w14:textId="77777777" w:rsidR="007D1E74" w:rsidRDefault="00A95641">
            <w:pPr>
              <w:pStyle w:val="TableParagraph"/>
              <w:spacing w:line="284" w:lineRule="exact"/>
              <w:ind w:left="102"/>
              <w:rPr>
                <w:rFonts w:ascii="宋体"/>
                <w:sz w:val="21"/>
                <w:szCs w:val="21"/>
              </w:rPr>
            </w:pPr>
            <w:r>
              <w:rPr>
                <w:rFonts w:ascii="宋体" w:hint="eastAsia"/>
                <w:sz w:val="21"/>
                <w:szCs w:val="21"/>
              </w:rPr>
              <w:t>火棘</w:t>
            </w:r>
          </w:p>
        </w:tc>
        <w:tc>
          <w:tcPr>
            <w:tcW w:w="674" w:type="pct"/>
          </w:tcPr>
          <w:p w14:paraId="26A56CC2" w14:textId="77777777" w:rsidR="007D1E74" w:rsidRDefault="00A95641">
            <w:pPr>
              <w:pStyle w:val="TableParagraph"/>
              <w:spacing w:line="284" w:lineRule="exact"/>
              <w:ind w:left="104"/>
              <w:rPr>
                <w:rFonts w:ascii="宋体"/>
                <w:sz w:val="21"/>
                <w:szCs w:val="21"/>
              </w:rPr>
            </w:pPr>
            <w:r>
              <w:rPr>
                <w:rFonts w:ascii="宋体" w:hint="eastAsia"/>
                <w:sz w:val="21"/>
                <w:szCs w:val="21"/>
              </w:rPr>
              <w:t>果期</w:t>
            </w:r>
          </w:p>
        </w:tc>
        <w:tc>
          <w:tcPr>
            <w:tcW w:w="674" w:type="pct"/>
          </w:tcPr>
          <w:p w14:paraId="334A15BC" w14:textId="77777777" w:rsidR="007D1E74" w:rsidRDefault="00A95641">
            <w:pPr>
              <w:pStyle w:val="TableParagraph"/>
              <w:spacing w:before="26"/>
              <w:ind w:right="1"/>
              <w:rPr>
                <w:sz w:val="21"/>
                <w:szCs w:val="21"/>
              </w:rPr>
            </w:pPr>
            <w:r>
              <w:rPr>
                <w:sz w:val="21"/>
                <w:szCs w:val="21"/>
              </w:rPr>
              <w:t>2</w:t>
            </w:r>
          </w:p>
        </w:tc>
        <w:tc>
          <w:tcPr>
            <w:tcW w:w="674" w:type="pct"/>
          </w:tcPr>
          <w:p w14:paraId="3C309D2C" w14:textId="77777777" w:rsidR="007D1E74" w:rsidRDefault="00A95641">
            <w:pPr>
              <w:pStyle w:val="TableParagraph"/>
              <w:spacing w:before="26"/>
              <w:ind w:left="230" w:right="231"/>
              <w:rPr>
                <w:sz w:val="21"/>
                <w:szCs w:val="21"/>
              </w:rPr>
            </w:pPr>
            <w:r>
              <w:rPr>
                <w:sz w:val="21"/>
                <w:szCs w:val="21"/>
              </w:rPr>
              <w:t>Sp.</w:t>
            </w:r>
          </w:p>
        </w:tc>
        <w:tc>
          <w:tcPr>
            <w:tcW w:w="978" w:type="pct"/>
          </w:tcPr>
          <w:p w14:paraId="300A6C97" w14:textId="77777777" w:rsidR="007D1E74" w:rsidRDefault="00A95641">
            <w:pPr>
              <w:pStyle w:val="TableParagraph"/>
              <w:spacing w:before="26"/>
              <w:ind w:left="170" w:right="170"/>
              <w:rPr>
                <w:sz w:val="21"/>
                <w:szCs w:val="21"/>
              </w:rPr>
            </w:pPr>
            <w:r>
              <w:rPr>
                <w:sz w:val="21"/>
                <w:szCs w:val="21"/>
              </w:rPr>
              <w:t>1.8</w:t>
            </w:r>
          </w:p>
        </w:tc>
        <w:tc>
          <w:tcPr>
            <w:tcW w:w="652" w:type="pct"/>
          </w:tcPr>
          <w:p w14:paraId="1AF49AE6" w14:textId="77777777" w:rsidR="007D1E74" w:rsidRDefault="00A95641">
            <w:pPr>
              <w:pStyle w:val="TableParagraph"/>
              <w:spacing w:before="26"/>
              <w:ind w:right="108"/>
              <w:rPr>
                <w:sz w:val="21"/>
                <w:szCs w:val="21"/>
              </w:rPr>
            </w:pPr>
            <w:r>
              <w:rPr>
                <w:sz w:val="21"/>
                <w:szCs w:val="21"/>
              </w:rPr>
              <w:t>6</w:t>
            </w:r>
          </w:p>
        </w:tc>
      </w:tr>
      <w:tr w:rsidR="007D1E74" w14:paraId="0A3EB8FF" w14:textId="77777777">
        <w:trPr>
          <w:trHeight w:hRule="exact" w:val="336"/>
        </w:trPr>
        <w:tc>
          <w:tcPr>
            <w:tcW w:w="440" w:type="pct"/>
          </w:tcPr>
          <w:p w14:paraId="239BF333" w14:textId="77777777" w:rsidR="007D1E74" w:rsidRDefault="00A95641">
            <w:pPr>
              <w:pStyle w:val="TableParagraph"/>
              <w:spacing w:before="26"/>
              <w:ind w:left="4"/>
              <w:rPr>
                <w:sz w:val="21"/>
                <w:szCs w:val="21"/>
              </w:rPr>
            </w:pPr>
            <w:r>
              <w:rPr>
                <w:sz w:val="21"/>
                <w:szCs w:val="21"/>
              </w:rPr>
              <w:t>4</w:t>
            </w:r>
          </w:p>
        </w:tc>
        <w:tc>
          <w:tcPr>
            <w:tcW w:w="908" w:type="pct"/>
          </w:tcPr>
          <w:p w14:paraId="30CDA1DA" w14:textId="77777777" w:rsidR="007D1E74" w:rsidRDefault="00A95641">
            <w:pPr>
              <w:pStyle w:val="TableParagraph"/>
              <w:spacing w:line="284" w:lineRule="exact"/>
              <w:ind w:left="102"/>
              <w:rPr>
                <w:rFonts w:ascii="宋体"/>
                <w:sz w:val="21"/>
                <w:szCs w:val="21"/>
              </w:rPr>
            </w:pPr>
            <w:r>
              <w:rPr>
                <w:rFonts w:ascii="宋体" w:hint="eastAsia"/>
                <w:sz w:val="21"/>
                <w:szCs w:val="21"/>
              </w:rPr>
              <w:t>截叶铁扫帚</w:t>
            </w:r>
          </w:p>
        </w:tc>
        <w:tc>
          <w:tcPr>
            <w:tcW w:w="674" w:type="pct"/>
          </w:tcPr>
          <w:p w14:paraId="5BC6F61F" w14:textId="77777777" w:rsidR="007D1E74" w:rsidRDefault="00A95641">
            <w:pPr>
              <w:pStyle w:val="TableParagraph"/>
              <w:spacing w:line="284" w:lineRule="exact"/>
              <w:ind w:left="104"/>
              <w:rPr>
                <w:rFonts w:ascii="宋体"/>
                <w:sz w:val="21"/>
                <w:szCs w:val="21"/>
              </w:rPr>
            </w:pPr>
            <w:r>
              <w:rPr>
                <w:rFonts w:ascii="宋体" w:hint="eastAsia"/>
                <w:sz w:val="21"/>
                <w:szCs w:val="21"/>
              </w:rPr>
              <w:t>营养期</w:t>
            </w:r>
          </w:p>
        </w:tc>
        <w:tc>
          <w:tcPr>
            <w:tcW w:w="674" w:type="pct"/>
          </w:tcPr>
          <w:p w14:paraId="7ADCD980" w14:textId="77777777" w:rsidR="007D1E74" w:rsidRDefault="00A95641">
            <w:pPr>
              <w:pStyle w:val="TableParagraph"/>
              <w:spacing w:before="26"/>
              <w:ind w:right="1"/>
              <w:rPr>
                <w:sz w:val="21"/>
                <w:szCs w:val="21"/>
              </w:rPr>
            </w:pPr>
            <w:r>
              <w:rPr>
                <w:sz w:val="21"/>
                <w:szCs w:val="21"/>
              </w:rPr>
              <w:t>4</w:t>
            </w:r>
          </w:p>
        </w:tc>
        <w:tc>
          <w:tcPr>
            <w:tcW w:w="674" w:type="pct"/>
          </w:tcPr>
          <w:p w14:paraId="05910654" w14:textId="77777777" w:rsidR="007D1E74" w:rsidRDefault="00A95641">
            <w:pPr>
              <w:pStyle w:val="TableParagraph"/>
              <w:spacing w:before="26"/>
              <w:ind w:left="230" w:right="231"/>
              <w:rPr>
                <w:sz w:val="21"/>
                <w:szCs w:val="21"/>
              </w:rPr>
            </w:pPr>
            <w:r>
              <w:rPr>
                <w:sz w:val="21"/>
                <w:szCs w:val="21"/>
              </w:rPr>
              <w:t>Sp.</w:t>
            </w:r>
          </w:p>
        </w:tc>
        <w:tc>
          <w:tcPr>
            <w:tcW w:w="978" w:type="pct"/>
          </w:tcPr>
          <w:p w14:paraId="27AC7DB0" w14:textId="77777777" w:rsidR="007D1E74" w:rsidRDefault="00A95641">
            <w:pPr>
              <w:pStyle w:val="TableParagraph"/>
              <w:spacing w:before="26"/>
              <w:ind w:left="170" w:right="170"/>
              <w:rPr>
                <w:sz w:val="21"/>
                <w:szCs w:val="21"/>
              </w:rPr>
            </w:pPr>
            <w:r>
              <w:rPr>
                <w:sz w:val="21"/>
                <w:szCs w:val="21"/>
              </w:rPr>
              <w:t>1.2</w:t>
            </w:r>
          </w:p>
        </w:tc>
        <w:tc>
          <w:tcPr>
            <w:tcW w:w="652" w:type="pct"/>
          </w:tcPr>
          <w:p w14:paraId="1F5E931E" w14:textId="77777777" w:rsidR="007D1E74" w:rsidRDefault="00A95641">
            <w:pPr>
              <w:pStyle w:val="TableParagraph"/>
              <w:spacing w:before="26"/>
              <w:ind w:right="108"/>
              <w:rPr>
                <w:sz w:val="21"/>
                <w:szCs w:val="21"/>
              </w:rPr>
            </w:pPr>
            <w:r>
              <w:rPr>
                <w:sz w:val="21"/>
                <w:szCs w:val="21"/>
              </w:rPr>
              <w:t>4</w:t>
            </w:r>
          </w:p>
        </w:tc>
      </w:tr>
      <w:tr w:rsidR="007D1E74" w14:paraId="4C55087C" w14:textId="77777777">
        <w:trPr>
          <w:trHeight w:hRule="exact" w:val="336"/>
        </w:trPr>
        <w:tc>
          <w:tcPr>
            <w:tcW w:w="440" w:type="pct"/>
          </w:tcPr>
          <w:p w14:paraId="234BD2F9" w14:textId="77777777" w:rsidR="007D1E74" w:rsidRDefault="00A95641">
            <w:pPr>
              <w:pStyle w:val="TableParagraph"/>
              <w:spacing w:before="26"/>
              <w:ind w:left="4"/>
              <w:rPr>
                <w:sz w:val="21"/>
                <w:szCs w:val="21"/>
              </w:rPr>
            </w:pPr>
            <w:r>
              <w:rPr>
                <w:sz w:val="21"/>
                <w:szCs w:val="21"/>
              </w:rPr>
              <w:t>5</w:t>
            </w:r>
          </w:p>
        </w:tc>
        <w:tc>
          <w:tcPr>
            <w:tcW w:w="908" w:type="pct"/>
          </w:tcPr>
          <w:p w14:paraId="2EE9671C" w14:textId="77777777" w:rsidR="007D1E74" w:rsidRDefault="00A95641">
            <w:pPr>
              <w:pStyle w:val="TableParagraph"/>
              <w:spacing w:line="284" w:lineRule="exact"/>
              <w:ind w:left="102"/>
              <w:rPr>
                <w:rFonts w:ascii="宋体"/>
                <w:sz w:val="21"/>
                <w:szCs w:val="21"/>
              </w:rPr>
            </w:pPr>
            <w:r>
              <w:rPr>
                <w:rFonts w:ascii="宋体" w:hint="eastAsia"/>
                <w:sz w:val="21"/>
                <w:szCs w:val="21"/>
              </w:rPr>
              <w:t>白茅</w:t>
            </w:r>
          </w:p>
        </w:tc>
        <w:tc>
          <w:tcPr>
            <w:tcW w:w="674" w:type="pct"/>
          </w:tcPr>
          <w:p w14:paraId="4B25700B" w14:textId="77777777" w:rsidR="007D1E74" w:rsidRDefault="00A95641">
            <w:pPr>
              <w:pStyle w:val="TableParagraph"/>
              <w:spacing w:line="284" w:lineRule="exact"/>
              <w:ind w:left="104"/>
              <w:rPr>
                <w:rFonts w:ascii="宋体"/>
                <w:sz w:val="21"/>
                <w:szCs w:val="21"/>
              </w:rPr>
            </w:pPr>
            <w:r>
              <w:rPr>
                <w:rFonts w:ascii="宋体" w:hint="eastAsia"/>
                <w:sz w:val="21"/>
                <w:szCs w:val="21"/>
              </w:rPr>
              <w:t>营养期</w:t>
            </w:r>
          </w:p>
        </w:tc>
        <w:tc>
          <w:tcPr>
            <w:tcW w:w="674" w:type="pct"/>
          </w:tcPr>
          <w:p w14:paraId="76482BC9" w14:textId="77777777" w:rsidR="007D1E74" w:rsidRDefault="00A95641">
            <w:pPr>
              <w:pStyle w:val="TableParagraph"/>
              <w:spacing w:line="302" w:lineRule="exact"/>
              <w:ind w:left="172" w:right="172"/>
              <w:rPr>
                <w:rFonts w:ascii="宋体"/>
                <w:sz w:val="21"/>
                <w:szCs w:val="21"/>
              </w:rPr>
            </w:pPr>
            <w:r>
              <w:rPr>
                <w:sz w:val="21"/>
                <w:szCs w:val="21"/>
              </w:rPr>
              <w:t xml:space="preserve">1 </w:t>
            </w:r>
            <w:r>
              <w:rPr>
                <w:rFonts w:ascii="宋体" w:hint="eastAsia"/>
                <w:sz w:val="21"/>
                <w:szCs w:val="21"/>
              </w:rPr>
              <w:t>丛</w:t>
            </w:r>
          </w:p>
        </w:tc>
        <w:tc>
          <w:tcPr>
            <w:tcW w:w="674" w:type="pct"/>
          </w:tcPr>
          <w:p w14:paraId="49C4BD66" w14:textId="77777777" w:rsidR="007D1E74" w:rsidRDefault="00A95641">
            <w:pPr>
              <w:pStyle w:val="TableParagraph"/>
              <w:spacing w:before="23"/>
              <w:ind w:left="231" w:right="231"/>
              <w:rPr>
                <w:sz w:val="21"/>
                <w:szCs w:val="21"/>
              </w:rPr>
            </w:pPr>
            <w:r>
              <w:rPr>
                <w:position w:val="2"/>
                <w:sz w:val="21"/>
                <w:szCs w:val="21"/>
              </w:rPr>
              <w:t>Cop</w:t>
            </w:r>
            <w:r>
              <w:rPr>
                <w:sz w:val="21"/>
                <w:szCs w:val="21"/>
              </w:rPr>
              <w:t>1</w:t>
            </w:r>
          </w:p>
        </w:tc>
        <w:tc>
          <w:tcPr>
            <w:tcW w:w="978" w:type="pct"/>
          </w:tcPr>
          <w:p w14:paraId="1BA2C3CE" w14:textId="77777777" w:rsidR="007D1E74" w:rsidRDefault="00A95641">
            <w:pPr>
              <w:pStyle w:val="TableParagraph"/>
              <w:spacing w:before="26"/>
              <w:ind w:left="170" w:right="170"/>
              <w:rPr>
                <w:sz w:val="21"/>
                <w:szCs w:val="21"/>
              </w:rPr>
            </w:pPr>
            <w:r>
              <w:rPr>
                <w:sz w:val="21"/>
                <w:szCs w:val="21"/>
              </w:rPr>
              <w:t>0.6</w:t>
            </w:r>
          </w:p>
        </w:tc>
        <w:tc>
          <w:tcPr>
            <w:tcW w:w="652" w:type="pct"/>
          </w:tcPr>
          <w:p w14:paraId="4E3E6FD4" w14:textId="77777777" w:rsidR="007D1E74" w:rsidRDefault="00A95641">
            <w:pPr>
              <w:pStyle w:val="TableParagraph"/>
              <w:spacing w:before="26"/>
              <w:ind w:left="116" w:right="224"/>
              <w:rPr>
                <w:sz w:val="21"/>
                <w:szCs w:val="21"/>
              </w:rPr>
            </w:pPr>
            <w:r>
              <w:rPr>
                <w:sz w:val="21"/>
                <w:szCs w:val="21"/>
              </w:rPr>
              <w:t>20</w:t>
            </w:r>
          </w:p>
        </w:tc>
      </w:tr>
      <w:tr w:rsidR="007D1E74" w14:paraId="3BA80102" w14:textId="77777777">
        <w:trPr>
          <w:trHeight w:hRule="exact" w:val="336"/>
        </w:trPr>
        <w:tc>
          <w:tcPr>
            <w:tcW w:w="440" w:type="pct"/>
          </w:tcPr>
          <w:p w14:paraId="7533492C" w14:textId="77777777" w:rsidR="007D1E74" w:rsidRDefault="00A95641">
            <w:pPr>
              <w:pStyle w:val="TableParagraph"/>
              <w:spacing w:before="26"/>
              <w:ind w:left="4"/>
              <w:rPr>
                <w:sz w:val="21"/>
                <w:szCs w:val="21"/>
              </w:rPr>
            </w:pPr>
            <w:r>
              <w:rPr>
                <w:sz w:val="21"/>
                <w:szCs w:val="21"/>
              </w:rPr>
              <w:t>6</w:t>
            </w:r>
          </w:p>
        </w:tc>
        <w:tc>
          <w:tcPr>
            <w:tcW w:w="908" w:type="pct"/>
          </w:tcPr>
          <w:p w14:paraId="4B8B0BCE" w14:textId="77777777" w:rsidR="007D1E74" w:rsidRDefault="00A95641">
            <w:pPr>
              <w:pStyle w:val="TableParagraph"/>
              <w:spacing w:line="284" w:lineRule="exact"/>
              <w:ind w:left="102"/>
              <w:rPr>
                <w:rFonts w:ascii="宋体"/>
                <w:sz w:val="21"/>
                <w:szCs w:val="21"/>
              </w:rPr>
            </w:pPr>
            <w:r>
              <w:rPr>
                <w:rFonts w:ascii="宋体" w:hint="eastAsia"/>
                <w:sz w:val="21"/>
                <w:szCs w:val="21"/>
              </w:rPr>
              <w:t>野青茅</w:t>
            </w:r>
          </w:p>
        </w:tc>
        <w:tc>
          <w:tcPr>
            <w:tcW w:w="674" w:type="pct"/>
          </w:tcPr>
          <w:p w14:paraId="3050AA30" w14:textId="77777777" w:rsidR="007D1E74" w:rsidRDefault="00A95641">
            <w:pPr>
              <w:pStyle w:val="TableParagraph"/>
              <w:spacing w:line="284" w:lineRule="exact"/>
              <w:ind w:left="104"/>
              <w:rPr>
                <w:rFonts w:ascii="宋体"/>
                <w:sz w:val="21"/>
                <w:szCs w:val="21"/>
              </w:rPr>
            </w:pPr>
            <w:r>
              <w:rPr>
                <w:rFonts w:ascii="宋体" w:hint="eastAsia"/>
                <w:sz w:val="21"/>
                <w:szCs w:val="21"/>
              </w:rPr>
              <w:t>营养期</w:t>
            </w:r>
          </w:p>
        </w:tc>
        <w:tc>
          <w:tcPr>
            <w:tcW w:w="674" w:type="pct"/>
          </w:tcPr>
          <w:p w14:paraId="219DD0CD" w14:textId="77777777" w:rsidR="007D1E74" w:rsidRDefault="00A95641">
            <w:pPr>
              <w:pStyle w:val="TableParagraph"/>
              <w:spacing w:line="302" w:lineRule="exact"/>
              <w:ind w:left="172" w:right="172"/>
              <w:rPr>
                <w:rFonts w:ascii="宋体"/>
                <w:sz w:val="21"/>
                <w:szCs w:val="21"/>
              </w:rPr>
            </w:pPr>
            <w:r>
              <w:rPr>
                <w:sz w:val="21"/>
                <w:szCs w:val="21"/>
              </w:rPr>
              <w:t xml:space="preserve">3 </w:t>
            </w:r>
            <w:r>
              <w:rPr>
                <w:rFonts w:ascii="宋体" w:hint="eastAsia"/>
                <w:sz w:val="21"/>
                <w:szCs w:val="21"/>
              </w:rPr>
              <w:t>丛</w:t>
            </w:r>
          </w:p>
        </w:tc>
        <w:tc>
          <w:tcPr>
            <w:tcW w:w="674" w:type="pct"/>
          </w:tcPr>
          <w:p w14:paraId="3E600863" w14:textId="77777777" w:rsidR="007D1E74" w:rsidRDefault="00A95641">
            <w:pPr>
              <w:pStyle w:val="TableParagraph"/>
              <w:spacing w:before="23"/>
              <w:ind w:left="231" w:right="231"/>
              <w:rPr>
                <w:sz w:val="21"/>
                <w:szCs w:val="21"/>
              </w:rPr>
            </w:pPr>
            <w:r>
              <w:rPr>
                <w:position w:val="2"/>
                <w:sz w:val="21"/>
                <w:szCs w:val="21"/>
              </w:rPr>
              <w:t>Cop</w:t>
            </w:r>
            <w:r>
              <w:rPr>
                <w:sz w:val="21"/>
                <w:szCs w:val="21"/>
              </w:rPr>
              <w:t>1</w:t>
            </w:r>
          </w:p>
        </w:tc>
        <w:tc>
          <w:tcPr>
            <w:tcW w:w="978" w:type="pct"/>
          </w:tcPr>
          <w:p w14:paraId="052E957C" w14:textId="77777777" w:rsidR="007D1E74" w:rsidRDefault="00A95641">
            <w:pPr>
              <w:pStyle w:val="TableParagraph"/>
              <w:spacing w:before="26"/>
              <w:ind w:left="170" w:right="170"/>
              <w:rPr>
                <w:sz w:val="21"/>
                <w:szCs w:val="21"/>
              </w:rPr>
            </w:pPr>
            <w:r>
              <w:rPr>
                <w:sz w:val="21"/>
                <w:szCs w:val="21"/>
              </w:rPr>
              <w:t>0.6</w:t>
            </w:r>
          </w:p>
        </w:tc>
        <w:tc>
          <w:tcPr>
            <w:tcW w:w="652" w:type="pct"/>
          </w:tcPr>
          <w:p w14:paraId="67296F84" w14:textId="77777777" w:rsidR="007D1E74" w:rsidRDefault="00A95641">
            <w:pPr>
              <w:pStyle w:val="TableParagraph"/>
              <w:spacing w:before="26"/>
              <w:ind w:left="116" w:right="224"/>
              <w:rPr>
                <w:sz w:val="21"/>
                <w:szCs w:val="21"/>
              </w:rPr>
            </w:pPr>
            <w:r>
              <w:rPr>
                <w:sz w:val="21"/>
                <w:szCs w:val="21"/>
              </w:rPr>
              <w:t>10</w:t>
            </w:r>
          </w:p>
        </w:tc>
      </w:tr>
      <w:tr w:rsidR="007D1E74" w14:paraId="62940860" w14:textId="77777777">
        <w:trPr>
          <w:trHeight w:hRule="exact" w:val="336"/>
        </w:trPr>
        <w:tc>
          <w:tcPr>
            <w:tcW w:w="440" w:type="pct"/>
          </w:tcPr>
          <w:p w14:paraId="373B6C57" w14:textId="77777777" w:rsidR="007D1E74" w:rsidRDefault="00A95641">
            <w:pPr>
              <w:pStyle w:val="TableParagraph"/>
              <w:spacing w:before="26"/>
              <w:ind w:left="4"/>
              <w:rPr>
                <w:sz w:val="21"/>
                <w:szCs w:val="21"/>
              </w:rPr>
            </w:pPr>
            <w:r>
              <w:rPr>
                <w:sz w:val="21"/>
                <w:szCs w:val="21"/>
              </w:rPr>
              <w:lastRenderedPageBreak/>
              <w:t>7</w:t>
            </w:r>
          </w:p>
        </w:tc>
        <w:tc>
          <w:tcPr>
            <w:tcW w:w="908" w:type="pct"/>
          </w:tcPr>
          <w:p w14:paraId="7DB80B6F" w14:textId="77777777" w:rsidR="007D1E74" w:rsidRDefault="00A95641">
            <w:pPr>
              <w:pStyle w:val="TableParagraph"/>
              <w:spacing w:line="284" w:lineRule="exact"/>
              <w:ind w:left="102"/>
              <w:rPr>
                <w:rFonts w:ascii="宋体"/>
                <w:sz w:val="21"/>
                <w:szCs w:val="21"/>
              </w:rPr>
            </w:pPr>
            <w:r>
              <w:rPr>
                <w:rFonts w:ascii="宋体" w:hint="eastAsia"/>
                <w:sz w:val="21"/>
                <w:szCs w:val="21"/>
              </w:rPr>
              <w:t>矛叶荩草</w:t>
            </w:r>
          </w:p>
        </w:tc>
        <w:tc>
          <w:tcPr>
            <w:tcW w:w="674" w:type="pct"/>
          </w:tcPr>
          <w:p w14:paraId="189BAC9E" w14:textId="77777777" w:rsidR="007D1E74" w:rsidRDefault="00A95641">
            <w:pPr>
              <w:pStyle w:val="TableParagraph"/>
              <w:spacing w:line="284" w:lineRule="exact"/>
              <w:ind w:left="104"/>
              <w:rPr>
                <w:rFonts w:ascii="宋体"/>
                <w:sz w:val="21"/>
                <w:szCs w:val="21"/>
              </w:rPr>
            </w:pPr>
            <w:r>
              <w:rPr>
                <w:rFonts w:ascii="宋体" w:hint="eastAsia"/>
                <w:sz w:val="21"/>
                <w:szCs w:val="21"/>
              </w:rPr>
              <w:t>营养期</w:t>
            </w:r>
          </w:p>
        </w:tc>
        <w:tc>
          <w:tcPr>
            <w:tcW w:w="674" w:type="pct"/>
          </w:tcPr>
          <w:p w14:paraId="2739F6A7" w14:textId="77777777" w:rsidR="007D1E74" w:rsidRDefault="00A95641">
            <w:pPr>
              <w:pStyle w:val="TableParagraph"/>
              <w:spacing w:before="26"/>
              <w:ind w:right="1"/>
              <w:rPr>
                <w:sz w:val="21"/>
                <w:szCs w:val="21"/>
              </w:rPr>
            </w:pPr>
            <w:r>
              <w:rPr>
                <w:sz w:val="21"/>
                <w:szCs w:val="21"/>
              </w:rPr>
              <w:t>1</w:t>
            </w:r>
          </w:p>
        </w:tc>
        <w:tc>
          <w:tcPr>
            <w:tcW w:w="674" w:type="pct"/>
          </w:tcPr>
          <w:p w14:paraId="75B8228E" w14:textId="77777777" w:rsidR="007D1E74" w:rsidRDefault="00A95641">
            <w:pPr>
              <w:pStyle w:val="TableParagraph"/>
              <w:spacing w:before="26"/>
              <w:ind w:left="230" w:right="231"/>
              <w:rPr>
                <w:sz w:val="21"/>
                <w:szCs w:val="21"/>
              </w:rPr>
            </w:pPr>
            <w:r>
              <w:rPr>
                <w:sz w:val="21"/>
                <w:szCs w:val="21"/>
              </w:rPr>
              <w:t>Sp.</w:t>
            </w:r>
          </w:p>
        </w:tc>
        <w:tc>
          <w:tcPr>
            <w:tcW w:w="978" w:type="pct"/>
          </w:tcPr>
          <w:p w14:paraId="3412A323" w14:textId="77777777" w:rsidR="007D1E74" w:rsidRDefault="00A95641">
            <w:pPr>
              <w:pStyle w:val="TableParagraph"/>
              <w:spacing w:before="26"/>
              <w:ind w:left="170" w:right="170"/>
              <w:rPr>
                <w:sz w:val="21"/>
                <w:szCs w:val="21"/>
              </w:rPr>
            </w:pPr>
            <w:r>
              <w:rPr>
                <w:sz w:val="21"/>
                <w:szCs w:val="21"/>
              </w:rPr>
              <w:t>0.3</w:t>
            </w:r>
          </w:p>
        </w:tc>
        <w:tc>
          <w:tcPr>
            <w:tcW w:w="652" w:type="pct"/>
          </w:tcPr>
          <w:p w14:paraId="4A0951CD" w14:textId="77777777" w:rsidR="007D1E74" w:rsidRDefault="00A95641">
            <w:pPr>
              <w:pStyle w:val="TableParagraph"/>
              <w:spacing w:before="26"/>
              <w:ind w:right="108"/>
              <w:rPr>
                <w:sz w:val="21"/>
                <w:szCs w:val="21"/>
              </w:rPr>
            </w:pPr>
            <w:r>
              <w:rPr>
                <w:sz w:val="21"/>
                <w:szCs w:val="21"/>
              </w:rPr>
              <w:t>2</w:t>
            </w:r>
          </w:p>
        </w:tc>
      </w:tr>
      <w:tr w:rsidR="007D1E74" w14:paraId="43427346" w14:textId="77777777">
        <w:trPr>
          <w:trHeight w:hRule="exact" w:val="336"/>
        </w:trPr>
        <w:tc>
          <w:tcPr>
            <w:tcW w:w="440" w:type="pct"/>
          </w:tcPr>
          <w:p w14:paraId="64124216" w14:textId="77777777" w:rsidR="007D1E74" w:rsidRDefault="00A95641">
            <w:pPr>
              <w:pStyle w:val="TableParagraph"/>
              <w:spacing w:before="26"/>
              <w:ind w:left="4"/>
              <w:rPr>
                <w:sz w:val="21"/>
                <w:szCs w:val="21"/>
              </w:rPr>
            </w:pPr>
            <w:r>
              <w:rPr>
                <w:sz w:val="21"/>
                <w:szCs w:val="21"/>
              </w:rPr>
              <w:t>8</w:t>
            </w:r>
          </w:p>
        </w:tc>
        <w:tc>
          <w:tcPr>
            <w:tcW w:w="908" w:type="pct"/>
          </w:tcPr>
          <w:p w14:paraId="2B7E1F75" w14:textId="77777777" w:rsidR="007D1E74" w:rsidRDefault="00A95641">
            <w:pPr>
              <w:pStyle w:val="TableParagraph"/>
              <w:spacing w:line="284" w:lineRule="exact"/>
              <w:ind w:left="102"/>
              <w:rPr>
                <w:rFonts w:ascii="宋体"/>
                <w:sz w:val="21"/>
                <w:szCs w:val="21"/>
              </w:rPr>
            </w:pPr>
            <w:r>
              <w:rPr>
                <w:rFonts w:ascii="宋体" w:hint="eastAsia"/>
                <w:sz w:val="21"/>
                <w:szCs w:val="21"/>
              </w:rPr>
              <w:t>蒿</w:t>
            </w:r>
          </w:p>
        </w:tc>
        <w:tc>
          <w:tcPr>
            <w:tcW w:w="674" w:type="pct"/>
          </w:tcPr>
          <w:p w14:paraId="2089A0B3" w14:textId="77777777" w:rsidR="007D1E74" w:rsidRDefault="00A95641">
            <w:pPr>
              <w:pStyle w:val="TableParagraph"/>
              <w:spacing w:line="284" w:lineRule="exact"/>
              <w:ind w:left="104"/>
              <w:rPr>
                <w:rFonts w:ascii="宋体"/>
                <w:sz w:val="21"/>
                <w:szCs w:val="21"/>
              </w:rPr>
            </w:pPr>
            <w:r>
              <w:rPr>
                <w:rFonts w:ascii="宋体" w:hint="eastAsia"/>
                <w:sz w:val="21"/>
                <w:szCs w:val="21"/>
              </w:rPr>
              <w:t>营养期</w:t>
            </w:r>
          </w:p>
        </w:tc>
        <w:tc>
          <w:tcPr>
            <w:tcW w:w="674" w:type="pct"/>
          </w:tcPr>
          <w:p w14:paraId="5AE6BAA8" w14:textId="77777777" w:rsidR="007D1E74" w:rsidRDefault="00A95641">
            <w:pPr>
              <w:pStyle w:val="TableParagraph"/>
              <w:spacing w:before="26"/>
              <w:ind w:right="1"/>
              <w:rPr>
                <w:sz w:val="21"/>
                <w:szCs w:val="21"/>
              </w:rPr>
            </w:pPr>
            <w:r>
              <w:rPr>
                <w:sz w:val="21"/>
                <w:szCs w:val="21"/>
              </w:rPr>
              <w:t>2</w:t>
            </w:r>
          </w:p>
        </w:tc>
        <w:tc>
          <w:tcPr>
            <w:tcW w:w="674" w:type="pct"/>
          </w:tcPr>
          <w:p w14:paraId="6093B1BF" w14:textId="77777777" w:rsidR="007D1E74" w:rsidRDefault="00A95641">
            <w:pPr>
              <w:pStyle w:val="TableParagraph"/>
              <w:spacing w:before="26"/>
              <w:ind w:left="230" w:right="231"/>
              <w:rPr>
                <w:sz w:val="21"/>
                <w:szCs w:val="21"/>
              </w:rPr>
            </w:pPr>
            <w:r>
              <w:rPr>
                <w:sz w:val="21"/>
                <w:szCs w:val="21"/>
              </w:rPr>
              <w:t>Ol.</w:t>
            </w:r>
          </w:p>
        </w:tc>
        <w:tc>
          <w:tcPr>
            <w:tcW w:w="978" w:type="pct"/>
          </w:tcPr>
          <w:p w14:paraId="1D16C9C0" w14:textId="77777777" w:rsidR="007D1E74" w:rsidRDefault="00A95641">
            <w:pPr>
              <w:pStyle w:val="TableParagraph"/>
              <w:spacing w:before="26"/>
              <w:ind w:left="170" w:right="170"/>
              <w:rPr>
                <w:sz w:val="21"/>
                <w:szCs w:val="21"/>
              </w:rPr>
            </w:pPr>
            <w:r>
              <w:rPr>
                <w:sz w:val="21"/>
                <w:szCs w:val="21"/>
              </w:rPr>
              <w:t>0.3</w:t>
            </w:r>
          </w:p>
        </w:tc>
        <w:tc>
          <w:tcPr>
            <w:tcW w:w="652" w:type="pct"/>
          </w:tcPr>
          <w:p w14:paraId="0E468AAB" w14:textId="77777777" w:rsidR="007D1E74" w:rsidRDefault="00A95641">
            <w:pPr>
              <w:pStyle w:val="TableParagraph"/>
              <w:spacing w:before="26"/>
              <w:ind w:right="108"/>
              <w:rPr>
                <w:sz w:val="21"/>
                <w:szCs w:val="21"/>
              </w:rPr>
            </w:pPr>
            <w:r>
              <w:rPr>
                <w:sz w:val="21"/>
                <w:szCs w:val="21"/>
              </w:rPr>
              <w:t>1</w:t>
            </w:r>
          </w:p>
        </w:tc>
      </w:tr>
      <w:tr w:rsidR="007D1E74" w14:paraId="4406BDA8" w14:textId="77777777">
        <w:trPr>
          <w:trHeight w:hRule="exact" w:val="336"/>
        </w:trPr>
        <w:tc>
          <w:tcPr>
            <w:tcW w:w="440" w:type="pct"/>
          </w:tcPr>
          <w:p w14:paraId="674D2443" w14:textId="77777777" w:rsidR="007D1E74" w:rsidRDefault="00A95641">
            <w:pPr>
              <w:pStyle w:val="TableParagraph"/>
              <w:spacing w:before="26"/>
              <w:ind w:left="4"/>
              <w:rPr>
                <w:sz w:val="21"/>
                <w:szCs w:val="21"/>
              </w:rPr>
            </w:pPr>
            <w:r>
              <w:rPr>
                <w:sz w:val="21"/>
                <w:szCs w:val="21"/>
              </w:rPr>
              <w:t>9</w:t>
            </w:r>
          </w:p>
        </w:tc>
        <w:tc>
          <w:tcPr>
            <w:tcW w:w="908" w:type="pct"/>
          </w:tcPr>
          <w:p w14:paraId="15750465" w14:textId="77777777" w:rsidR="007D1E74" w:rsidRDefault="00A95641">
            <w:pPr>
              <w:pStyle w:val="TableParagraph"/>
              <w:spacing w:line="284" w:lineRule="exact"/>
              <w:ind w:left="102"/>
              <w:rPr>
                <w:rFonts w:ascii="宋体"/>
                <w:sz w:val="21"/>
                <w:szCs w:val="21"/>
              </w:rPr>
            </w:pPr>
            <w:r>
              <w:rPr>
                <w:rFonts w:ascii="宋体" w:hint="eastAsia"/>
                <w:sz w:val="21"/>
                <w:szCs w:val="21"/>
              </w:rPr>
              <w:t>蕨</w:t>
            </w:r>
          </w:p>
        </w:tc>
        <w:tc>
          <w:tcPr>
            <w:tcW w:w="674" w:type="pct"/>
          </w:tcPr>
          <w:p w14:paraId="4536594D" w14:textId="77777777" w:rsidR="007D1E74" w:rsidRDefault="00A95641">
            <w:pPr>
              <w:pStyle w:val="TableParagraph"/>
              <w:spacing w:line="284" w:lineRule="exact"/>
              <w:ind w:left="104"/>
              <w:rPr>
                <w:rFonts w:ascii="宋体"/>
                <w:sz w:val="21"/>
                <w:szCs w:val="21"/>
              </w:rPr>
            </w:pPr>
            <w:r>
              <w:rPr>
                <w:rFonts w:ascii="宋体" w:hint="eastAsia"/>
                <w:sz w:val="21"/>
                <w:szCs w:val="21"/>
              </w:rPr>
              <w:t>营养期</w:t>
            </w:r>
          </w:p>
        </w:tc>
        <w:tc>
          <w:tcPr>
            <w:tcW w:w="674" w:type="pct"/>
          </w:tcPr>
          <w:p w14:paraId="510CCB2B" w14:textId="77777777" w:rsidR="007D1E74" w:rsidRDefault="00A95641">
            <w:pPr>
              <w:pStyle w:val="TableParagraph"/>
              <w:spacing w:before="26"/>
              <w:ind w:right="1"/>
              <w:rPr>
                <w:sz w:val="21"/>
                <w:szCs w:val="21"/>
              </w:rPr>
            </w:pPr>
            <w:r>
              <w:rPr>
                <w:sz w:val="21"/>
                <w:szCs w:val="21"/>
              </w:rPr>
              <w:t>1</w:t>
            </w:r>
          </w:p>
        </w:tc>
        <w:tc>
          <w:tcPr>
            <w:tcW w:w="674" w:type="pct"/>
          </w:tcPr>
          <w:p w14:paraId="72DB158C" w14:textId="77777777" w:rsidR="007D1E74" w:rsidRDefault="00A95641">
            <w:pPr>
              <w:pStyle w:val="TableParagraph"/>
              <w:spacing w:before="26"/>
              <w:ind w:left="230" w:right="231"/>
              <w:rPr>
                <w:sz w:val="21"/>
                <w:szCs w:val="21"/>
              </w:rPr>
            </w:pPr>
            <w:r>
              <w:rPr>
                <w:sz w:val="21"/>
                <w:szCs w:val="21"/>
              </w:rPr>
              <w:t>Ol.</w:t>
            </w:r>
          </w:p>
        </w:tc>
        <w:tc>
          <w:tcPr>
            <w:tcW w:w="978" w:type="pct"/>
          </w:tcPr>
          <w:p w14:paraId="59D68F66" w14:textId="77777777" w:rsidR="007D1E74" w:rsidRDefault="00A95641">
            <w:pPr>
              <w:pStyle w:val="TableParagraph"/>
              <w:spacing w:before="26"/>
              <w:ind w:left="170" w:right="170"/>
              <w:rPr>
                <w:sz w:val="21"/>
                <w:szCs w:val="21"/>
              </w:rPr>
            </w:pPr>
            <w:r>
              <w:rPr>
                <w:sz w:val="21"/>
                <w:szCs w:val="21"/>
              </w:rPr>
              <w:t>0.4</w:t>
            </w:r>
          </w:p>
        </w:tc>
        <w:tc>
          <w:tcPr>
            <w:tcW w:w="652" w:type="pct"/>
          </w:tcPr>
          <w:p w14:paraId="1748197E" w14:textId="77777777" w:rsidR="007D1E74" w:rsidRDefault="00A95641">
            <w:pPr>
              <w:pStyle w:val="TableParagraph"/>
              <w:spacing w:before="26"/>
              <w:ind w:right="108"/>
              <w:rPr>
                <w:sz w:val="21"/>
                <w:szCs w:val="21"/>
              </w:rPr>
            </w:pPr>
            <w:r>
              <w:rPr>
                <w:sz w:val="21"/>
                <w:szCs w:val="21"/>
              </w:rPr>
              <w:t>1</w:t>
            </w:r>
          </w:p>
        </w:tc>
      </w:tr>
    </w:tbl>
    <w:p w14:paraId="51A6A96D" w14:textId="77777777" w:rsidR="007D1E74" w:rsidRDefault="007D1E74">
      <w:pPr>
        <w:spacing w:line="360" w:lineRule="auto"/>
        <w:rPr>
          <w:rFonts w:cs="Times New Roman"/>
          <w:szCs w:val="21"/>
        </w:rPr>
      </w:pPr>
    </w:p>
    <w:p w14:paraId="01BE9ACF" w14:textId="77777777" w:rsidR="007D1E74" w:rsidRDefault="00A95641">
      <w:pPr>
        <w:spacing w:line="360" w:lineRule="auto"/>
        <w:jc w:val="center"/>
        <w:rPr>
          <w:rFonts w:eastAsia="黑体" w:cs="Times New Roman"/>
          <w:szCs w:val="21"/>
        </w:rPr>
      </w:pPr>
      <w:r>
        <w:rPr>
          <w:rFonts w:eastAsia="黑体" w:cs="Times New Roman"/>
          <w:szCs w:val="21"/>
        </w:rPr>
        <w:t>表</w:t>
      </w:r>
      <w:r>
        <w:rPr>
          <w:rFonts w:eastAsia="黑体" w:cs="Times New Roman"/>
          <w:szCs w:val="21"/>
        </w:rPr>
        <w:t xml:space="preserve">A.2.4-3  </w:t>
      </w:r>
      <w:r>
        <w:rPr>
          <w:rFonts w:eastAsia="黑体" w:cs="Times New Roman" w:hint="eastAsia"/>
          <w:szCs w:val="21"/>
        </w:rPr>
        <w:t>植物实测样方表</w:t>
      </w:r>
    </w:p>
    <w:tbl>
      <w:tblPr>
        <w:tblStyle w:val="affffc"/>
        <w:tblW w:w="0" w:type="auto"/>
        <w:tblBorders>
          <w:left w:val="none" w:sz="0" w:space="0" w:color="auto"/>
          <w:right w:val="none" w:sz="0" w:space="0" w:color="auto"/>
        </w:tblBorders>
        <w:tblLook w:val="04A0" w:firstRow="1" w:lastRow="0" w:firstColumn="1" w:lastColumn="0" w:noHBand="0" w:noVBand="1"/>
      </w:tblPr>
      <w:tblGrid>
        <w:gridCol w:w="9016"/>
      </w:tblGrid>
      <w:tr w:rsidR="007D1E74" w14:paraId="74FEF184" w14:textId="77777777">
        <w:tc>
          <w:tcPr>
            <w:tcW w:w="9016" w:type="dxa"/>
          </w:tcPr>
          <w:p w14:paraId="0845B35F" w14:textId="77777777" w:rsidR="007D1E74" w:rsidRDefault="00A95641">
            <w:pPr>
              <w:spacing w:line="360" w:lineRule="auto"/>
              <w:rPr>
                <w:rFonts w:eastAsiaTheme="minorEastAsia" w:cs="Times New Roman"/>
                <w:szCs w:val="21"/>
              </w:rPr>
            </w:pPr>
            <w:r>
              <w:rPr>
                <w:rFonts w:eastAsiaTheme="minorEastAsia" w:cs="Times New Roman" w:hint="eastAsia"/>
                <w:szCs w:val="21"/>
              </w:rPr>
              <w:t>群落名称：柏木林</w:t>
            </w:r>
            <w:r>
              <w:rPr>
                <w:rFonts w:eastAsiaTheme="minorEastAsia" w:cs="Times New Roman" w:hint="eastAsia"/>
                <w:szCs w:val="21"/>
              </w:rPr>
              <w:tab/>
            </w:r>
            <w:r>
              <w:rPr>
                <w:rFonts w:eastAsiaTheme="minorEastAsia" w:cs="Times New Roman" w:hint="eastAsia"/>
                <w:szCs w:val="21"/>
              </w:rPr>
              <w:tab/>
            </w:r>
            <w:r>
              <w:rPr>
                <w:rFonts w:eastAsiaTheme="minorEastAsia" w:cs="Times New Roman" w:hint="eastAsia"/>
                <w:szCs w:val="21"/>
              </w:rPr>
              <w:t>地点：青峪镇闫家坝村</w:t>
            </w:r>
            <w:r>
              <w:rPr>
                <w:rFonts w:eastAsiaTheme="minorEastAsia" w:cs="Times New Roman" w:hint="eastAsia"/>
                <w:szCs w:val="21"/>
              </w:rPr>
              <w:tab/>
            </w:r>
            <w:r>
              <w:rPr>
                <w:rFonts w:eastAsiaTheme="minorEastAsia" w:cs="Times New Roman" w:hint="eastAsia"/>
                <w:szCs w:val="21"/>
              </w:rPr>
              <w:tab/>
            </w:r>
            <w:r>
              <w:rPr>
                <w:rFonts w:eastAsiaTheme="minorEastAsia" w:cs="Times New Roman" w:hint="eastAsia"/>
                <w:szCs w:val="21"/>
              </w:rPr>
              <w:t>样方面积：</w:t>
            </w:r>
            <w:r>
              <w:rPr>
                <w:rFonts w:eastAsiaTheme="minorEastAsia" w:cs="Times New Roman" w:hint="eastAsia"/>
                <w:szCs w:val="21"/>
              </w:rPr>
              <w:t>10m</w:t>
            </w:r>
            <w:r>
              <w:rPr>
                <w:rFonts w:eastAsiaTheme="minorEastAsia" w:cs="Times New Roman" w:hint="eastAsia"/>
                <w:szCs w:val="21"/>
              </w:rPr>
              <w:t>×</w:t>
            </w:r>
            <w:r>
              <w:rPr>
                <w:rFonts w:eastAsiaTheme="minorEastAsia" w:cs="Times New Roman" w:hint="eastAsia"/>
                <w:szCs w:val="21"/>
              </w:rPr>
              <w:t>10m</w:t>
            </w:r>
          </w:p>
        </w:tc>
      </w:tr>
      <w:tr w:rsidR="007D1E74" w14:paraId="377E2CF0" w14:textId="77777777">
        <w:tc>
          <w:tcPr>
            <w:tcW w:w="9016" w:type="dxa"/>
          </w:tcPr>
          <w:p w14:paraId="73845A03" w14:textId="77777777" w:rsidR="007D1E74" w:rsidRDefault="00A95641">
            <w:pPr>
              <w:spacing w:line="360" w:lineRule="auto"/>
              <w:rPr>
                <w:rFonts w:eastAsiaTheme="minorEastAsia" w:cs="Times New Roman"/>
                <w:szCs w:val="21"/>
              </w:rPr>
            </w:pPr>
            <w:r>
              <w:rPr>
                <w:rFonts w:eastAsiaTheme="minorEastAsia" w:cs="Times New Roman" w:hint="eastAsia"/>
                <w:szCs w:val="21"/>
              </w:rPr>
              <w:t>经度：</w:t>
            </w:r>
            <w:r>
              <w:rPr>
                <w:rFonts w:eastAsiaTheme="minorEastAsia" w:cs="Times New Roman" w:hint="eastAsia"/>
                <w:szCs w:val="21"/>
              </w:rPr>
              <w:t xml:space="preserve">107.204216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纬度：</w:t>
            </w:r>
            <w:r>
              <w:rPr>
                <w:rFonts w:eastAsiaTheme="minorEastAsia" w:cs="Times New Roman" w:hint="eastAsia"/>
                <w:szCs w:val="21"/>
              </w:rPr>
              <w:t xml:space="preserve">32.214809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海拔（</w:t>
            </w:r>
            <w:r>
              <w:rPr>
                <w:rFonts w:eastAsiaTheme="minorEastAsia" w:cs="Times New Roman" w:hint="eastAsia"/>
                <w:szCs w:val="21"/>
              </w:rPr>
              <w:t>m</w:t>
            </w:r>
            <w:r>
              <w:rPr>
                <w:rFonts w:eastAsiaTheme="minorEastAsia" w:cs="Times New Roman" w:hint="eastAsia"/>
                <w:szCs w:val="21"/>
              </w:rPr>
              <w:t>）</w:t>
            </w:r>
            <w:r>
              <w:rPr>
                <w:rFonts w:eastAsiaTheme="minorEastAsia" w:cs="Times New Roman" w:hint="eastAsia"/>
                <w:szCs w:val="21"/>
              </w:rPr>
              <w:t>646</w:t>
            </w:r>
          </w:p>
        </w:tc>
      </w:tr>
      <w:tr w:rsidR="007D1E74" w14:paraId="436E447B" w14:textId="77777777">
        <w:tc>
          <w:tcPr>
            <w:tcW w:w="9016" w:type="dxa"/>
          </w:tcPr>
          <w:p w14:paraId="7E8EB2CC" w14:textId="77777777" w:rsidR="007D1E74" w:rsidRDefault="00A95641">
            <w:pPr>
              <w:spacing w:line="360" w:lineRule="auto"/>
              <w:rPr>
                <w:rFonts w:eastAsiaTheme="minorEastAsia" w:cs="Times New Roman"/>
                <w:szCs w:val="21"/>
              </w:rPr>
            </w:pPr>
            <w:r>
              <w:rPr>
                <w:rFonts w:eastAsiaTheme="minorEastAsia" w:cs="Times New Roman" w:hint="eastAsia"/>
                <w:szCs w:val="21"/>
              </w:rPr>
              <w:t>调查人：黄文军、李秦</w:t>
            </w:r>
            <w:r>
              <w:rPr>
                <w:rFonts w:eastAsiaTheme="minorEastAsia" w:cs="Times New Roman" w:hint="eastAsia"/>
                <w:szCs w:val="21"/>
              </w:rPr>
              <w:tab/>
            </w:r>
            <w:r>
              <w:rPr>
                <w:rFonts w:eastAsiaTheme="minorEastAsia" w:cs="Times New Roman" w:hint="eastAsia"/>
                <w:szCs w:val="21"/>
              </w:rPr>
              <w:t>调查日期：</w:t>
            </w:r>
            <w:r>
              <w:rPr>
                <w:rFonts w:eastAsiaTheme="minorEastAsia" w:cs="Times New Roman" w:hint="eastAsia"/>
                <w:szCs w:val="21"/>
              </w:rPr>
              <w:t>2021-08-20</w:t>
            </w:r>
          </w:p>
        </w:tc>
      </w:tr>
    </w:tbl>
    <w:p w14:paraId="7845ECA2" w14:textId="77777777" w:rsidR="007D1E74" w:rsidRDefault="007D1E74">
      <w:pPr>
        <w:spacing w:line="360" w:lineRule="auto"/>
        <w:rPr>
          <w:rFonts w:eastAsia="黑体" w:cs="Times New Roman"/>
          <w:sz w:val="24"/>
          <w:szCs w:val="24"/>
        </w:rPr>
      </w:pP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4"/>
        <w:gridCol w:w="1637"/>
        <w:gridCol w:w="1215"/>
        <w:gridCol w:w="1215"/>
        <w:gridCol w:w="1215"/>
        <w:gridCol w:w="1764"/>
        <w:gridCol w:w="1176"/>
      </w:tblGrid>
      <w:tr w:rsidR="007D1E74" w14:paraId="6CF0D7DD" w14:textId="77777777">
        <w:trPr>
          <w:trHeight w:hRule="exact" w:val="351"/>
        </w:trPr>
        <w:tc>
          <w:tcPr>
            <w:tcW w:w="440" w:type="pct"/>
          </w:tcPr>
          <w:p w14:paraId="2D940DC5" w14:textId="77777777" w:rsidR="007D1E74" w:rsidRDefault="00A95641">
            <w:pPr>
              <w:pStyle w:val="TableParagraph"/>
              <w:spacing w:line="284" w:lineRule="exact"/>
              <w:ind w:left="109" w:right="103"/>
              <w:rPr>
                <w:rFonts w:ascii="宋体"/>
                <w:sz w:val="21"/>
                <w:szCs w:val="21"/>
              </w:rPr>
            </w:pPr>
            <w:r>
              <w:rPr>
                <w:rFonts w:ascii="宋体" w:hint="eastAsia"/>
                <w:sz w:val="21"/>
                <w:szCs w:val="21"/>
              </w:rPr>
              <w:t>种号</w:t>
            </w:r>
          </w:p>
        </w:tc>
        <w:tc>
          <w:tcPr>
            <w:tcW w:w="908" w:type="pct"/>
          </w:tcPr>
          <w:p w14:paraId="23E10F6B" w14:textId="77777777" w:rsidR="007D1E74" w:rsidRDefault="00A95641">
            <w:pPr>
              <w:pStyle w:val="TableParagraph"/>
              <w:spacing w:line="284" w:lineRule="exact"/>
              <w:ind w:left="397"/>
              <w:rPr>
                <w:rFonts w:ascii="宋体"/>
                <w:sz w:val="21"/>
                <w:szCs w:val="21"/>
              </w:rPr>
            </w:pPr>
            <w:r>
              <w:rPr>
                <w:rFonts w:ascii="宋体" w:hint="eastAsia"/>
                <w:sz w:val="21"/>
                <w:szCs w:val="21"/>
              </w:rPr>
              <w:t>物种名</w:t>
            </w:r>
          </w:p>
        </w:tc>
        <w:tc>
          <w:tcPr>
            <w:tcW w:w="674" w:type="pct"/>
          </w:tcPr>
          <w:p w14:paraId="0C192EFA" w14:textId="77777777" w:rsidR="007D1E74" w:rsidRDefault="00A95641">
            <w:pPr>
              <w:pStyle w:val="TableParagraph"/>
              <w:spacing w:line="284" w:lineRule="exact"/>
              <w:ind w:left="202"/>
              <w:rPr>
                <w:rFonts w:ascii="宋体"/>
                <w:sz w:val="21"/>
                <w:szCs w:val="21"/>
              </w:rPr>
            </w:pPr>
            <w:r>
              <w:rPr>
                <w:rFonts w:ascii="宋体" w:hint="eastAsia"/>
                <w:sz w:val="21"/>
                <w:szCs w:val="21"/>
              </w:rPr>
              <w:t>物候期</w:t>
            </w:r>
          </w:p>
        </w:tc>
        <w:tc>
          <w:tcPr>
            <w:tcW w:w="674" w:type="pct"/>
          </w:tcPr>
          <w:p w14:paraId="3D2BDBA7" w14:textId="77777777" w:rsidR="007D1E74" w:rsidRDefault="00A95641">
            <w:pPr>
              <w:pStyle w:val="TableParagraph"/>
              <w:spacing w:line="302" w:lineRule="exact"/>
              <w:ind w:left="102" w:right="102"/>
              <w:rPr>
                <w:rFonts w:ascii="宋体"/>
                <w:sz w:val="21"/>
                <w:szCs w:val="21"/>
              </w:rPr>
            </w:pPr>
            <w:r>
              <w:rPr>
                <w:rFonts w:ascii="宋体" w:hint="eastAsia"/>
                <w:sz w:val="21"/>
                <w:szCs w:val="21"/>
              </w:rPr>
              <w:t>株</w:t>
            </w:r>
            <w:r>
              <w:rPr>
                <w:sz w:val="21"/>
                <w:szCs w:val="21"/>
              </w:rPr>
              <w:t>(</w:t>
            </w:r>
            <w:r>
              <w:rPr>
                <w:rFonts w:ascii="宋体" w:hint="eastAsia"/>
                <w:sz w:val="21"/>
                <w:szCs w:val="21"/>
              </w:rPr>
              <w:t>丛</w:t>
            </w:r>
            <w:r>
              <w:rPr>
                <w:sz w:val="21"/>
                <w:szCs w:val="21"/>
              </w:rPr>
              <w:t>)</w:t>
            </w:r>
            <w:r>
              <w:rPr>
                <w:rFonts w:ascii="宋体" w:hint="eastAsia"/>
                <w:sz w:val="21"/>
                <w:szCs w:val="21"/>
              </w:rPr>
              <w:t>数</w:t>
            </w:r>
          </w:p>
        </w:tc>
        <w:tc>
          <w:tcPr>
            <w:tcW w:w="674" w:type="pct"/>
          </w:tcPr>
          <w:p w14:paraId="56965D4C" w14:textId="77777777" w:rsidR="007D1E74" w:rsidRDefault="00A95641">
            <w:pPr>
              <w:pStyle w:val="TableParagraph"/>
              <w:spacing w:line="284" w:lineRule="exact"/>
              <w:ind w:left="102" w:right="102"/>
              <w:rPr>
                <w:rFonts w:ascii="宋体"/>
                <w:sz w:val="21"/>
                <w:szCs w:val="21"/>
              </w:rPr>
            </w:pPr>
            <w:r>
              <w:rPr>
                <w:rFonts w:ascii="宋体" w:hint="eastAsia"/>
                <w:sz w:val="21"/>
                <w:szCs w:val="21"/>
              </w:rPr>
              <w:t>多度</w:t>
            </w:r>
          </w:p>
        </w:tc>
        <w:tc>
          <w:tcPr>
            <w:tcW w:w="978" w:type="pct"/>
          </w:tcPr>
          <w:p w14:paraId="61861F53" w14:textId="77777777" w:rsidR="007D1E74" w:rsidRDefault="00A95641">
            <w:pPr>
              <w:pStyle w:val="TableParagraph"/>
              <w:spacing w:line="302" w:lineRule="exact"/>
              <w:ind w:left="172" w:right="170"/>
              <w:rPr>
                <w:sz w:val="21"/>
                <w:szCs w:val="21"/>
              </w:rPr>
            </w:pPr>
            <w:r>
              <w:rPr>
                <w:rFonts w:ascii="宋体" w:hint="eastAsia"/>
                <w:w w:val="95"/>
                <w:sz w:val="21"/>
                <w:szCs w:val="21"/>
              </w:rPr>
              <w:t>平均高度</w:t>
            </w:r>
            <w:r>
              <w:rPr>
                <w:w w:val="95"/>
                <w:sz w:val="21"/>
                <w:szCs w:val="21"/>
              </w:rPr>
              <w:t>/cm</w:t>
            </w:r>
          </w:p>
        </w:tc>
        <w:tc>
          <w:tcPr>
            <w:tcW w:w="652" w:type="pct"/>
          </w:tcPr>
          <w:p w14:paraId="716C9083" w14:textId="77777777" w:rsidR="007D1E74" w:rsidRDefault="00A95641">
            <w:pPr>
              <w:pStyle w:val="TableParagraph"/>
              <w:spacing w:line="302" w:lineRule="exact"/>
              <w:ind w:left="116" w:right="226"/>
              <w:rPr>
                <w:sz w:val="21"/>
                <w:szCs w:val="21"/>
              </w:rPr>
            </w:pPr>
            <w:r>
              <w:rPr>
                <w:rFonts w:ascii="宋体" w:hint="eastAsia"/>
                <w:w w:val="95"/>
                <w:sz w:val="21"/>
                <w:szCs w:val="21"/>
              </w:rPr>
              <w:t>盖度</w:t>
            </w:r>
            <w:r>
              <w:rPr>
                <w:w w:val="95"/>
                <w:sz w:val="21"/>
                <w:szCs w:val="21"/>
              </w:rPr>
              <w:t>/%</w:t>
            </w:r>
          </w:p>
        </w:tc>
      </w:tr>
      <w:tr w:rsidR="007D1E74" w14:paraId="0325371B" w14:textId="77777777">
        <w:trPr>
          <w:trHeight w:hRule="exact" w:val="336"/>
        </w:trPr>
        <w:tc>
          <w:tcPr>
            <w:tcW w:w="440" w:type="pct"/>
          </w:tcPr>
          <w:p w14:paraId="6E96373D" w14:textId="77777777" w:rsidR="007D1E74" w:rsidRDefault="00A95641">
            <w:pPr>
              <w:pStyle w:val="TableParagraph"/>
              <w:spacing w:before="26"/>
              <w:ind w:left="6"/>
              <w:rPr>
                <w:sz w:val="21"/>
                <w:szCs w:val="21"/>
              </w:rPr>
            </w:pPr>
            <w:r>
              <w:rPr>
                <w:sz w:val="21"/>
                <w:szCs w:val="21"/>
              </w:rPr>
              <w:t>1</w:t>
            </w:r>
          </w:p>
        </w:tc>
        <w:tc>
          <w:tcPr>
            <w:tcW w:w="908" w:type="pct"/>
          </w:tcPr>
          <w:p w14:paraId="13D2060A" w14:textId="77777777" w:rsidR="007D1E74" w:rsidRDefault="00A95641">
            <w:pPr>
              <w:pStyle w:val="TableParagraph"/>
              <w:spacing w:line="284" w:lineRule="exact"/>
              <w:ind w:left="102"/>
              <w:rPr>
                <w:rFonts w:ascii="宋体"/>
                <w:sz w:val="21"/>
                <w:szCs w:val="21"/>
              </w:rPr>
            </w:pPr>
            <w:r>
              <w:rPr>
                <w:rFonts w:ascii="宋体" w:hint="eastAsia"/>
                <w:sz w:val="21"/>
                <w:szCs w:val="21"/>
              </w:rPr>
              <w:t>柏木</w:t>
            </w:r>
          </w:p>
        </w:tc>
        <w:tc>
          <w:tcPr>
            <w:tcW w:w="674" w:type="pct"/>
          </w:tcPr>
          <w:p w14:paraId="7B3E703E"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2564E6B9" w14:textId="77777777" w:rsidR="007D1E74" w:rsidRDefault="00A95641">
            <w:pPr>
              <w:pStyle w:val="TableParagraph"/>
              <w:spacing w:before="26"/>
              <w:ind w:left="95" w:right="93"/>
              <w:rPr>
                <w:sz w:val="21"/>
                <w:szCs w:val="21"/>
              </w:rPr>
            </w:pPr>
            <w:r>
              <w:rPr>
                <w:sz w:val="21"/>
                <w:szCs w:val="21"/>
              </w:rPr>
              <w:t>14</w:t>
            </w:r>
          </w:p>
        </w:tc>
        <w:tc>
          <w:tcPr>
            <w:tcW w:w="674" w:type="pct"/>
          </w:tcPr>
          <w:p w14:paraId="2AF405C6" w14:textId="77777777" w:rsidR="007D1E74" w:rsidRDefault="00A95641">
            <w:pPr>
              <w:pStyle w:val="TableParagraph"/>
              <w:spacing w:before="23"/>
              <w:ind w:left="160" w:right="160"/>
              <w:rPr>
                <w:sz w:val="21"/>
                <w:szCs w:val="21"/>
              </w:rPr>
            </w:pPr>
            <w:r>
              <w:rPr>
                <w:position w:val="2"/>
                <w:sz w:val="21"/>
                <w:szCs w:val="21"/>
              </w:rPr>
              <w:t>Cop</w:t>
            </w:r>
            <w:r>
              <w:rPr>
                <w:sz w:val="21"/>
                <w:szCs w:val="21"/>
              </w:rPr>
              <w:t>2</w:t>
            </w:r>
          </w:p>
        </w:tc>
        <w:tc>
          <w:tcPr>
            <w:tcW w:w="978" w:type="pct"/>
          </w:tcPr>
          <w:p w14:paraId="6E8E4A1A" w14:textId="77777777" w:rsidR="007D1E74" w:rsidRDefault="00A95641">
            <w:pPr>
              <w:pStyle w:val="TableParagraph"/>
              <w:spacing w:before="26"/>
              <w:ind w:left="169" w:right="170"/>
              <w:rPr>
                <w:sz w:val="21"/>
                <w:szCs w:val="21"/>
              </w:rPr>
            </w:pPr>
            <w:r>
              <w:rPr>
                <w:sz w:val="21"/>
                <w:szCs w:val="21"/>
              </w:rPr>
              <w:t>12</w:t>
            </w:r>
          </w:p>
        </w:tc>
        <w:tc>
          <w:tcPr>
            <w:tcW w:w="652" w:type="pct"/>
          </w:tcPr>
          <w:p w14:paraId="63BDCB18" w14:textId="77777777" w:rsidR="007D1E74" w:rsidRDefault="00A95641">
            <w:pPr>
              <w:pStyle w:val="TableParagraph"/>
              <w:spacing w:before="26"/>
              <w:ind w:left="116" w:right="224"/>
              <w:rPr>
                <w:sz w:val="21"/>
                <w:szCs w:val="21"/>
              </w:rPr>
            </w:pPr>
            <w:r>
              <w:rPr>
                <w:sz w:val="21"/>
                <w:szCs w:val="21"/>
              </w:rPr>
              <w:t>70</w:t>
            </w:r>
          </w:p>
        </w:tc>
      </w:tr>
      <w:tr w:rsidR="007D1E74" w14:paraId="21B9AAB8" w14:textId="77777777">
        <w:trPr>
          <w:trHeight w:hRule="exact" w:val="336"/>
        </w:trPr>
        <w:tc>
          <w:tcPr>
            <w:tcW w:w="440" w:type="pct"/>
          </w:tcPr>
          <w:p w14:paraId="45BFC30D" w14:textId="77777777" w:rsidR="007D1E74" w:rsidRDefault="00A95641">
            <w:pPr>
              <w:pStyle w:val="TableParagraph"/>
              <w:spacing w:before="26"/>
              <w:ind w:left="6"/>
              <w:rPr>
                <w:sz w:val="21"/>
                <w:szCs w:val="21"/>
              </w:rPr>
            </w:pPr>
            <w:r>
              <w:rPr>
                <w:sz w:val="21"/>
                <w:szCs w:val="21"/>
              </w:rPr>
              <w:t>2</w:t>
            </w:r>
          </w:p>
        </w:tc>
        <w:tc>
          <w:tcPr>
            <w:tcW w:w="908" w:type="pct"/>
          </w:tcPr>
          <w:p w14:paraId="68AAA50F" w14:textId="77777777" w:rsidR="007D1E74" w:rsidRDefault="00A95641">
            <w:pPr>
              <w:pStyle w:val="TableParagraph"/>
              <w:spacing w:line="284" w:lineRule="exact"/>
              <w:ind w:left="102"/>
              <w:rPr>
                <w:rFonts w:ascii="宋体"/>
                <w:sz w:val="21"/>
                <w:szCs w:val="21"/>
              </w:rPr>
            </w:pPr>
            <w:r>
              <w:rPr>
                <w:rFonts w:ascii="宋体" w:hint="eastAsia"/>
                <w:sz w:val="21"/>
                <w:szCs w:val="21"/>
              </w:rPr>
              <w:t>麻栎</w:t>
            </w:r>
          </w:p>
        </w:tc>
        <w:tc>
          <w:tcPr>
            <w:tcW w:w="674" w:type="pct"/>
          </w:tcPr>
          <w:p w14:paraId="758B3166"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77F3070B" w14:textId="77777777" w:rsidR="007D1E74" w:rsidRDefault="00A95641">
            <w:pPr>
              <w:pStyle w:val="TableParagraph"/>
              <w:spacing w:before="26"/>
              <w:ind w:left="2"/>
              <w:rPr>
                <w:sz w:val="21"/>
                <w:szCs w:val="21"/>
              </w:rPr>
            </w:pPr>
            <w:r>
              <w:rPr>
                <w:sz w:val="21"/>
                <w:szCs w:val="21"/>
              </w:rPr>
              <w:t>5</w:t>
            </w:r>
          </w:p>
        </w:tc>
        <w:tc>
          <w:tcPr>
            <w:tcW w:w="674" w:type="pct"/>
          </w:tcPr>
          <w:p w14:paraId="41622DE7" w14:textId="77777777" w:rsidR="007D1E74" w:rsidRDefault="00A95641">
            <w:pPr>
              <w:pStyle w:val="TableParagraph"/>
              <w:spacing w:before="23"/>
              <w:ind w:left="160" w:right="160"/>
              <w:rPr>
                <w:sz w:val="21"/>
                <w:szCs w:val="21"/>
              </w:rPr>
            </w:pPr>
            <w:r>
              <w:rPr>
                <w:position w:val="2"/>
                <w:sz w:val="21"/>
                <w:szCs w:val="21"/>
              </w:rPr>
              <w:t>Cop</w:t>
            </w:r>
            <w:r>
              <w:rPr>
                <w:sz w:val="21"/>
                <w:szCs w:val="21"/>
              </w:rPr>
              <w:t>1</w:t>
            </w:r>
          </w:p>
        </w:tc>
        <w:tc>
          <w:tcPr>
            <w:tcW w:w="978" w:type="pct"/>
          </w:tcPr>
          <w:p w14:paraId="6E87C8F6" w14:textId="77777777" w:rsidR="007D1E74" w:rsidRDefault="00A95641">
            <w:pPr>
              <w:pStyle w:val="TableParagraph"/>
              <w:spacing w:before="26"/>
              <w:ind w:left="169" w:right="170"/>
              <w:rPr>
                <w:sz w:val="21"/>
                <w:szCs w:val="21"/>
              </w:rPr>
            </w:pPr>
            <w:r>
              <w:rPr>
                <w:sz w:val="21"/>
                <w:szCs w:val="21"/>
              </w:rPr>
              <w:t>13</w:t>
            </w:r>
          </w:p>
        </w:tc>
        <w:tc>
          <w:tcPr>
            <w:tcW w:w="652" w:type="pct"/>
          </w:tcPr>
          <w:p w14:paraId="6A358199" w14:textId="77777777" w:rsidR="007D1E74" w:rsidRDefault="00A95641">
            <w:pPr>
              <w:pStyle w:val="TableParagraph"/>
              <w:spacing w:before="26"/>
              <w:ind w:left="116" w:right="224"/>
              <w:rPr>
                <w:sz w:val="21"/>
                <w:szCs w:val="21"/>
              </w:rPr>
            </w:pPr>
            <w:r>
              <w:rPr>
                <w:sz w:val="21"/>
                <w:szCs w:val="21"/>
              </w:rPr>
              <w:t>15</w:t>
            </w:r>
          </w:p>
        </w:tc>
      </w:tr>
      <w:tr w:rsidR="007D1E74" w14:paraId="4AF3F645" w14:textId="77777777">
        <w:trPr>
          <w:trHeight w:hRule="exact" w:val="336"/>
        </w:trPr>
        <w:tc>
          <w:tcPr>
            <w:tcW w:w="440" w:type="pct"/>
          </w:tcPr>
          <w:p w14:paraId="6AD70A0A" w14:textId="77777777" w:rsidR="007D1E74" w:rsidRDefault="00A95641">
            <w:pPr>
              <w:pStyle w:val="TableParagraph"/>
              <w:spacing w:before="26"/>
              <w:ind w:left="6"/>
              <w:rPr>
                <w:sz w:val="21"/>
                <w:szCs w:val="21"/>
              </w:rPr>
            </w:pPr>
            <w:r>
              <w:rPr>
                <w:sz w:val="21"/>
                <w:szCs w:val="21"/>
              </w:rPr>
              <w:t>3</w:t>
            </w:r>
          </w:p>
        </w:tc>
        <w:tc>
          <w:tcPr>
            <w:tcW w:w="908" w:type="pct"/>
          </w:tcPr>
          <w:p w14:paraId="56A9207C" w14:textId="77777777" w:rsidR="007D1E74" w:rsidRDefault="00A95641">
            <w:pPr>
              <w:pStyle w:val="TableParagraph"/>
              <w:spacing w:line="284" w:lineRule="exact"/>
              <w:ind w:left="102"/>
              <w:rPr>
                <w:rFonts w:ascii="宋体"/>
                <w:sz w:val="21"/>
                <w:szCs w:val="21"/>
              </w:rPr>
            </w:pPr>
            <w:r>
              <w:rPr>
                <w:rFonts w:ascii="宋体" w:hint="eastAsia"/>
                <w:sz w:val="21"/>
                <w:szCs w:val="21"/>
              </w:rPr>
              <w:t>桤木</w:t>
            </w:r>
          </w:p>
        </w:tc>
        <w:tc>
          <w:tcPr>
            <w:tcW w:w="674" w:type="pct"/>
          </w:tcPr>
          <w:p w14:paraId="315022D1"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6A5489BC" w14:textId="77777777" w:rsidR="007D1E74" w:rsidRDefault="00A95641">
            <w:pPr>
              <w:pStyle w:val="TableParagraph"/>
              <w:spacing w:before="26"/>
              <w:ind w:left="2"/>
              <w:rPr>
                <w:sz w:val="21"/>
                <w:szCs w:val="21"/>
              </w:rPr>
            </w:pPr>
            <w:r>
              <w:rPr>
                <w:sz w:val="21"/>
                <w:szCs w:val="21"/>
              </w:rPr>
              <w:t>3</w:t>
            </w:r>
          </w:p>
        </w:tc>
        <w:tc>
          <w:tcPr>
            <w:tcW w:w="674" w:type="pct"/>
          </w:tcPr>
          <w:p w14:paraId="4834DB05" w14:textId="77777777" w:rsidR="007D1E74" w:rsidRDefault="00A95641">
            <w:pPr>
              <w:pStyle w:val="TableParagraph"/>
              <w:spacing w:before="23"/>
              <w:ind w:left="160" w:right="160"/>
              <w:rPr>
                <w:sz w:val="21"/>
                <w:szCs w:val="21"/>
              </w:rPr>
            </w:pPr>
            <w:r>
              <w:rPr>
                <w:position w:val="2"/>
                <w:sz w:val="21"/>
                <w:szCs w:val="21"/>
              </w:rPr>
              <w:t>Cop</w:t>
            </w:r>
            <w:r>
              <w:rPr>
                <w:sz w:val="21"/>
                <w:szCs w:val="21"/>
              </w:rPr>
              <w:t>1</w:t>
            </w:r>
          </w:p>
        </w:tc>
        <w:tc>
          <w:tcPr>
            <w:tcW w:w="978" w:type="pct"/>
          </w:tcPr>
          <w:p w14:paraId="2EC333F9" w14:textId="77777777" w:rsidR="007D1E74" w:rsidRDefault="00A95641">
            <w:pPr>
              <w:pStyle w:val="TableParagraph"/>
              <w:spacing w:before="26"/>
              <w:ind w:left="169" w:right="170"/>
              <w:rPr>
                <w:sz w:val="21"/>
                <w:szCs w:val="21"/>
              </w:rPr>
            </w:pPr>
            <w:r>
              <w:rPr>
                <w:sz w:val="21"/>
                <w:szCs w:val="21"/>
              </w:rPr>
              <w:t>12</w:t>
            </w:r>
          </w:p>
        </w:tc>
        <w:tc>
          <w:tcPr>
            <w:tcW w:w="652" w:type="pct"/>
          </w:tcPr>
          <w:p w14:paraId="11AD932E" w14:textId="77777777" w:rsidR="007D1E74" w:rsidRDefault="00A95641">
            <w:pPr>
              <w:pStyle w:val="TableParagraph"/>
              <w:spacing w:before="26"/>
              <w:ind w:right="108"/>
              <w:rPr>
                <w:sz w:val="21"/>
                <w:szCs w:val="21"/>
              </w:rPr>
            </w:pPr>
            <w:r>
              <w:rPr>
                <w:sz w:val="21"/>
                <w:szCs w:val="21"/>
              </w:rPr>
              <w:t>6</w:t>
            </w:r>
          </w:p>
        </w:tc>
      </w:tr>
      <w:tr w:rsidR="007D1E74" w14:paraId="2555AF6A" w14:textId="77777777">
        <w:trPr>
          <w:trHeight w:hRule="exact" w:val="336"/>
        </w:trPr>
        <w:tc>
          <w:tcPr>
            <w:tcW w:w="440" w:type="pct"/>
          </w:tcPr>
          <w:p w14:paraId="0C3B9581" w14:textId="77777777" w:rsidR="007D1E74" w:rsidRDefault="00A95641">
            <w:pPr>
              <w:pStyle w:val="TableParagraph"/>
              <w:spacing w:before="26"/>
              <w:ind w:left="6"/>
              <w:rPr>
                <w:sz w:val="21"/>
                <w:szCs w:val="21"/>
              </w:rPr>
            </w:pPr>
            <w:r>
              <w:rPr>
                <w:sz w:val="21"/>
                <w:szCs w:val="21"/>
              </w:rPr>
              <w:t>4</w:t>
            </w:r>
          </w:p>
        </w:tc>
        <w:tc>
          <w:tcPr>
            <w:tcW w:w="908" w:type="pct"/>
          </w:tcPr>
          <w:p w14:paraId="64E32092" w14:textId="77777777" w:rsidR="007D1E74" w:rsidRDefault="00A95641">
            <w:pPr>
              <w:pStyle w:val="TableParagraph"/>
              <w:spacing w:line="284" w:lineRule="exact"/>
              <w:ind w:left="102"/>
              <w:rPr>
                <w:rFonts w:ascii="宋体"/>
                <w:sz w:val="21"/>
                <w:szCs w:val="21"/>
              </w:rPr>
            </w:pPr>
            <w:r>
              <w:rPr>
                <w:rFonts w:ascii="宋体" w:hint="eastAsia"/>
                <w:sz w:val="21"/>
                <w:szCs w:val="21"/>
              </w:rPr>
              <w:t>女贞</w:t>
            </w:r>
          </w:p>
        </w:tc>
        <w:tc>
          <w:tcPr>
            <w:tcW w:w="674" w:type="pct"/>
          </w:tcPr>
          <w:p w14:paraId="78656F68"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666FD7F9" w14:textId="77777777" w:rsidR="007D1E74" w:rsidRDefault="00A95641">
            <w:pPr>
              <w:pStyle w:val="TableParagraph"/>
              <w:spacing w:before="26"/>
              <w:ind w:left="2"/>
              <w:rPr>
                <w:sz w:val="21"/>
                <w:szCs w:val="21"/>
              </w:rPr>
            </w:pPr>
            <w:r>
              <w:rPr>
                <w:sz w:val="21"/>
                <w:szCs w:val="21"/>
              </w:rPr>
              <w:t>1</w:t>
            </w:r>
          </w:p>
        </w:tc>
        <w:tc>
          <w:tcPr>
            <w:tcW w:w="674" w:type="pct"/>
          </w:tcPr>
          <w:p w14:paraId="6BBD5A93" w14:textId="77777777" w:rsidR="007D1E74" w:rsidRDefault="00A95641">
            <w:pPr>
              <w:pStyle w:val="TableParagraph"/>
              <w:spacing w:before="26"/>
              <w:ind w:left="159" w:right="160"/>
              <w:rPr>
                <w:sz w:val="21"/>
                <w:szCs w:val="21"/>
              </w:rPr>
            </w:pPr>
            <w:r>
              <w:rPr>
                <w:sz w:val="21"/>
                <w:szCs w:val="21"/>
              </w:rPr>
              <w:t>Sp</w:t>
            </w:r>
          </w:p>
        </w:tc>
        <w:tc>
          <w:tcPr>
            <w:tcW w:w="978" w:type="pct"/>
          </w:tcPr>
          <w:p w14:paraId="5A48A18D" w14:textId="77777777" w:rsidR="007D1E74" w:rsidRDefault="00A95641">
            <w:pPr>
              <w:pStyle w:val="TableParagraph"/>
              <w:spacing w:before="26"/>
              <w:ind w:right="1"/>
              <w:rPr>
                <w:sz w:val="21"/>
                <w:szCs w:val="21"/>
              </w:rPr>
            </w:pPr>
            <w:r>
              <w:rPr>
                <w:sz w:val="21"/>
                <w:szCs w:val="21"/>
              </w:rPr>
              <w:t>7</w:t>
            </w:r>
          </w:p>
        </w:tc>
        <w:tc>
          <w:tcPr>
            <w:tcW w:w="652" w:type="pct"/>
          </w:tcPr>
          <w:p w14:paraId="2F6A8AA5" w14:textId="77777777" w:rsidR="007D1E74" w:rsidRDefault="00A95641">
            <w:pPr>
              <w:pStyle w:val="TableParagraph"/>
              <w:spacing w:before="26"/>
              <w:ind w:right="108"/>
              <w:rPr>
                <w:sz w:val="21"/>
                <w:szCs w:val="21"/>
              </w:rPr>
            </w:pPr>
            <w:r>
              <w:rPr>
                <w:sz w:val="21"/>
                <w:szCs w:val="21"/>
              </w:rPr>
              <w:t>3</w:t>
            </w:r>
          </w:p>
        </w:tc>
      </w:tr>
      <w:tr w:rsidR="007D1E74" w14:paraId="0E028A65" w14:textId="77777777">
        <w:trPr>
          <w:trHeight w:hRule="exact" w:val="336"/>
        </w:trPr>
        <w:tc>
          <w:tcPr>
            <w:tcW w:w="440" w:type="pct"/>
          </w:tcPr>
          <w:p w14:paraId="63373652" w14:textId="77777777" w:rsidR="007D1E74" w:rsidRDefault="00A95641">
            <w:pPr>
              <w:pStyle w:val="TableParagraph"/>
              <w:spacing w:before="26"/>
              <w:ind w:left="6"/>
              <w:rPr>
                <w:sz w:val="21"/>
                <w:szCs w:val="21"/>
              </w:rPr>
            </w:pPr>
            <w:r>
              <w:rPr>
                <w:sz w:val="21"/>
                <w:szCs w:val="21"/>
              </w:rPr>
              <w:t>5</w:t>
            </w:r>
          </w:p>
        </w:tc>
        <w:tc>
          <w:tcPr>
            <w:tcW w:w="908" w:type="pct"/>
          </w:tcPr>
          <w:p w14:paraId="582BC633" w14:textId="77777777" w:rsidR="007D1E74" w:rsidRDefault="00A95641">
            <w:pPr>
              <w:pStyle w:val="TableParagraph"/>
              <w:spacing w:line="284" w:lineRule="exact"/>
              <w:ind w:left="102"/>
              <w:rPr>
                <w:rFonts w:ascii="宋体"/>
                <w:sz w:val="21"/>
                <w:szCs w:val="21"/>
              </w:rPr>
            </w:pPr>
            <w:r>
              <w:rPr>
                <w:rFonts w:ascii="宋体" w:hint="eastAsia"/>
                <w:sz w:val="21"/>
                <w:szCs w:val="21"/>
              </w:rPr>
              <w:t>楝</w:t>
            </w:r>
          </w:p>
        </w:tc>
        <w:tc>
          <w:tcPr>
            <w:tcW w:w="674" w:type="pct"/>
          </w:tcPr>
          <w:p w14:paraId="225F6746"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4109AC9D" w14:textId="77777777" w:rsidR="007D1E74" w:rsidRDefault="00A95641">
            <w:pPr>
              <w:pStyle w:val="TableParagraph"/>
              <w:spacing w:before="26"/>
              <w:ind w:left="2"/>
              <w:rPr>
                <w:sz w:val="21"/>
                <w:szCs w:val="21"/>
              </w:rPr>
            </w:pPr>
            <w:r>
              <w:rPr>
                <w:sz w:val="21"/>
                <w:szCs w:val="21"/>
              </w:rPr>
              <w:t>1</w:t>
            </w:r>
          </w:p>
        </w:tc>
        <w:tc>
          <w:tcPr>
            <w:tcW w:w="674" w:type="pct"/>
          </w:tcPr>
          <w:p w14:paraId="2B2FE81D" w14:textId="77777777" w:rsidR="007D1E74" w:rsidRDefault="00A95641">
            <w:pPr>
              <w:pStyle w:val="TableParagraph"/>
              <w:spacing w:before="26"/>
              <w:ind w:left="159" w:right="160"/>
              <w:rPr>
                <w:sz w:val="21"/>
                <w:szCs w:val="21"/>
              </w:rPr>
            </w:pPr>
            <w:r>
              <w:rPr>
                <w:sz w:val="21"/>
                <w:szCs w:val="21"/>
              </w:rPr>
              <w:t>Sp</w:t>
            </w:r>
          </w:p>
        </w:tc>
        <w:tc>
          <w:tcPr>
            <w:tcW w:w="978" w:type="pct"/>
          </w:tcPr>
          <w:p w14:paraId="67E87BA5" w14:textId="77777777" w:rsidR="007D1E74" w:rsidRDefault="00A95641">
            <w:pPr>
              <w:pStyle w:val="TableParagraph"/>
              <w:spacing w:before="26"/>
              <w:ind w:right="1"/>
              <w:rPr>
                <w:sz w:val="21"/>
                <w:szCs w:val="21"/>
              </w:rPr>
            </w:pPr>
            <w:r>
              <w:rPr>
                <w:sz w:val="21"/>
                <w:szCs w:val="21"/>
              </w:rPr>
              <w:t>8</w:t>
            </w:r>
          </w:p>
        </w:tc>
        <w:tc>
          <w:tcPr>
            <w:tcW w:w="652" w:type="pct"/>
          </w:tcPr>
          <w:p w14:paraId="5CDC6459" w14:textId="77777777" w:rsidR="007D1E74" w:rsidRDefault="00A95641">
            <w:pPr>
              <w:pStyle w:val="TableParagraph"/>
              <w:spacing w:before="26"/>
              <w:ind w:right="108"/>
              <w:rPr>
                <w:sz w:val="21"/>
                <w:szCs w:val="21"/>
              </w:rPr>
            </w:pPr>
            <w:r>
              <w:rPr>
                <w:sz w:val="21"/>
                <w:szCs w:val="21"/>
              </w:rPr>
              <w:t>3</w:t>
            </w:r>
          </w:p>
        </w:tc>
      </w:tr>
      <w:tr w:rsidR="007D1E74" w14:paraId="6DBD3077" w14:textId="77777777">
        <w:trPr>
          <w:trHeight w:hRule="exact" w:val="336"/>
        </w:trPr>
        <w:tc>
          <w:tcPr>
            <w:tcW w:w="440" w:type="pct"/>
          </w:tcPr>
          <w:p w14:paraId="1283F2ED" w14:textId="77777777" w:rsidR="007D1E74" w:rsidRDefault="00A95641">
            <w:pPr>
              <w:pStyle w:val="TableParagraph"/>
              <w:spacing w:before="26"/>
              <w:ind w:left="6"/>
              <w:rPr>
                <w:sz w:val="21"/>
                <w:szCs w:val="21"/>
              </w:rPr>
            </w:pPr>
            <w:r>
              <w:rPr>
                <w:sz w:val="21"/>
                <w:szCs w:val="21"/>
              </w:rPr>
              <w:t>6</w:t>
            </w:r>
          </w:p>
        </w:tc>
        <w:tc>
          <w:tcPr>
            <w:tcW w:w="908" w:type="pct"/>
          </w:tcPr>
          <w:p w14:paraId="6B0B2458" w14:textId="77777777" w:rsidR="007D1E74" w:rsidRDefault="00A95641">
            <w:pPr>
              <w:pStyle w:val="TableParagraph"/>
              <w:spacing w:line="284" w:lineRule="exact"/>
              <w:ind w:left="102"/>
              <w:rPr>
                <w:rFonts w:ascii="宋体"/>
                <w:sz w:val="21"/>
                <w:szCs w:val="21"/>
              </w:rPr>
            </w:pPr>
            <w:r>
              <w:rPr>
                <w:rFonts w:ascii="宋体" w:hint="eastAsia"/>
                <w:sz w:val="21"/>
                <w:szCs w:val="21"/>
              </w:rPr>
              <w:t>插田泡</w:t>
            </w:r>
          </w:p>
        </w:tc>
        <w:tc>
          <w:tcPr>
            <w:tcW w:w="674" w:type="pct"/>
          </w:tcPr>
          <w:p w14:paraId="257E314B"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7535BE51" w14:textId="77777777" w:rsidR="007D1E74" w:rsidRDefault="00A95641">
            <w:pPr>
              <w:pStyle w:val="TableParagraph"/>
              <w:spacing w:line="302" w:lineRule="exact"/>
              <w:ind w:left="94" w:right="94"/>
              <w:rPr>
                <w:rFonts w:ascii="宋体"/>
                <w:sz w:val="21"/>
                <w:szCs w:val="21"/>
              </w:rPr>
            </w:pPr>
            <w:r>
              <w:rPr>
                <w:sz w:val="21"/>
                <w:szCs w:val="21"/>
              </w:rPr>
              <w:t xml:space="preserve">3 </w:t>
            </w:r>
            <w:r>
              <w:rPr>
                <w:rFonts w:ascii="宋体" w:hint="eastAsia"/>
                <w:sz w:val="21"/>
                <w:szCs w:val="21"/>
              </w:rPr>
              <w:t>丛</w:t>
            </w:r>
          </w:p>
        </w:tc>
        <w:tc>
          <w:tcPr>
            <w:tcW w:w="674" w:type="pct"/>
          </w:tcPr>
          <w:p w14:paraId="29D332D9" w14:textId="77777777" w:rsidR="007D1E74" w:rsidRDefault="00A95641">
            <w:pPr>
              <w:pStyle w:val="TableParagraph"/>
              <w:spacing w:before="23"/>
              <w:ind w:left="160" w:right="160"/>
              <w:rPr>
                <w:sz w:val="21"/>
                <w:szCs w:val="21"/>
              </w:rPr>
            </w:pPr>
            <w:r>
              <w:rPr>
                <w:position w:val="2"/>
                <w:sz w:val="21"/>
                <w:szCs w:val="21"/>
              </w:rPr>
              <w:t>Cop</w:t>
            </w:r>
            <w:r>
              <w:rPr>
                <w:sz w:val="21"/>
                <w:szCs w:val="21"/>
              </w:rPr>
              <w:t>1</w:t>
            </w:r>
          </w:p>
        </w:tc>
        <w:tc>
          <w:tcPr>
            <w:tcW w:w="978" w:type="pct"/>
          </w:tcPr>
          <w:p w14:paraId="26526768" w14:textId="77777777" w:rsidR="007D1E74" w:rsidRDefault="00A95641">
            <w:pPr>
              <w:pStyle w:val="TableParagraph"/>
              <w:spacing w:before="26"/>
              <w:ind w:left="170" w:right="170"/>
              <w:rPr>
                <w:sz w:val="21"/>
                <w:szCs w:val="21"/>
              </w:rPr>
            </w:pPr>
            <w:r>
              <w:rPr>
                <w:sz w:val="21"/>
                <w:szCs w:val="21"/>
              </w:rPr>
              <w:t>1.4</w:t>
            </w:r>
          </w:p>
        </w:tc>
        <w:tc>
          <w:tcPr>
            <w:tcW w:w="652" w:type="pct"/>
          </w:tcPr>
          <w:p w14:paraId="4255B994" w14:textId="77777777" w:rsidR="007D1E74" w:rsidRDefault="00A95641">
            <w:pPr>
              <w:pStyle w:val="TableParagraph"/>
              <w:spacing w:before="26"/>
              <w:ind w:left="116" w:right="224"/>
              <w:rPr>
                <w:sz w:val="21"/>
                <w:szCs w:val="21"/>
              </w:rPr>
            </w:pPr>
            <w:r>
              <w:rPr>
                <w:sz w:val="21"/>
                <w:szCs w:val="21"/>
              </w:rPr>
              <w:t>15</w:t>
            </w:r>
          </w:p>
        </w:tc>
      </w:tr>
      <w:tr w:rsidR="007D1E74" w14:paraId="0C968EDD" w14:textId="77777777">
        <w:trPr>
          <w:trHeight w:hRule="exact" w:val="336"/>
        </w:trPr>
        <w:tc>
          <w:tcPr>
            <w:tcW w:w="440" w:type="pct"/>
          </w:tcPr>
          <w:p w14:paraId="0DF92CEF" w14:textId="77777777" w:rsidR="007D1E74" w:rsidRDefault="00A95641">
            <w:pPr>
              <w:pStyle w:val="TableParagraph"/>
              <w:spacing w:before="26"/>
              <w:ind w:left="6"/>
              <w:rPr>
                <w:sz w:val="21"/>
                <w:szCs w:val="21"/>
              </w:rPr>
            </w:pPr>
            <w:r>
              <w:rPr>
                <w:sz w:val="21"/>
                <w:szCs w:val="21"/>
              </w:rPr>
              <w:t>7</w:t>
            </w:r>
          </w:p>
        </w:tc>
        <w:tc>
          <w:tcPr>
            <w:tcW w:w="908" w:type="pct"/>
          </w:tcPr>
          <w:p w14:paraId="2B3D8F4A" w14:textId="77777777" w:rsidR="007D1E74" w:rsidRDefault="00A95641">
            <w:pPr>
              <w:pStyle w:val="TableParagraph"/>
              <w:spacing w:line="284" w:lineRule="exact"/>
              <w:ind w:left="102"/>
              <w:rPr>
                <w:rFonts w:ascii="宋体"/>
                <w:sz w:val="21"/>
                <w:szCs w:val="21"/>
              </w:rPr>
            </w:pPr>
            <w:r>
              <w:rPr>
                <w:rFonts w:ascii="宋体" w:hint="eastAsia"/>
                <w:sz w:val="21"/>
                <w:szCs w:val="21"/>
              </w:rPr>
              <w:t>火棘</w:t>
            </w:r>
          </w:p>
        </w:tc>
        <w:tc>
          <w:tcPr>
            <w:tcW w:w="674" w:type="pct"/>
          </w:tcPr>
          <w:p w14:paraId="73AEC1C7"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124CDC77" w14:textId="77777777" w:rsidR="007D1E74" w:rsidRDefault="00A95641">
            <w:pPr>
              <w:pStyle w:val="TableParagraph"/>
              <w:spacing w:before="26"/>
              <w:ind w:left="95" w:right="93"/>
              <w:rPr>
                <w:sz w:val="21"/>
                <w:szCs w:val="21"/>
              </w:rPr>
            </w:pPr>
            <w:r>
              <w:rPr>
                <w:sz w:val="21"/>
                <w:szCs w:val="21"/>
              </w:rPr>
              <w:t>11</w:t>
            </w:r>
          </w:p>
        </w:tc>
        <w:tc>
          <w:tcPr>
            <w:tcW w:w="674" w:type="pct"/>
          </w:tcPr>
          <w:p w14:paraId="29B28DBC" w14:textId="77777777" w:rsidR="007D1E74" w:rsidRDefault="00A95641">
            <w:pPr>
              <w:pStyle w:val="TableParagraph"/>
              <w:spacing w:before="23"/>
              <w:ind w:left="160" w:right="160"/>
              <w:rPr>
                <w:sz w:val="21"/>
                <w:szCs w:val="21"/>
              </w:rPr>
            </w:pPr>
            <w:r>
              <w:rPr>
                <w:position w:val="2"/>
                <w:sz w:val="21"/>
                <w:szCs w:val="21"/>
              </w:rPr>
              <w:t>Cop</w:t>
            </w:r>
            <w:r>
              <w:rPr>
                <w:sz w:val="21"/>
                <w:szCs w:val="21"/>
              </w:rPr>
              <w:t>1</w:t>
            </w:r>
          </w:p>
        </w:tc>
        <w:tc>
          <w:tcPr>
            <w:tcW w:w="978" w:type="pct"/>
          </w:tcPr>
          <w:p w14:paraId="41F42A3B" w14:textId="77777777" w:rsidR="007D1E74" w:rsidRDefault="00A95641">
            <w:pPr>
              <w:pStyle w:val="TableParagraph"/>
              <w:spacing w:before="26"/>
              <w:ind w:right="1"/>
              <w:rPr>
                <w:sz w:val="21"/>
                <w:szCs w:val="21"/>
              </w:rPr>
            </w:pPr>
            <w:r>
              <w:rPr>
                <w:sz w:val="21"/>
                <w:szCs w:val="21"/>
              </w:rPr>
              <w:t>2</w:t>
            </w:r>
          </w:p>
        </w:tc>
        <w:tc>
          <w:tcPr>
            <w:tcW w:w="652" w:type="pct"/>
          </w:tcPr>
          <w:p w14:paraId="4F04F778" w14:textId="77777777" w:rsidR="007D1E74" w:rsidRDefault="00A95641">
            <w:pPr>
              <w:pStyle w:val="TableParagraph"/>
              <w:spacing w:before="26"/>
              <w:ind w:left="116" w:right="224"/>
              <w:rPr>
                <w:sz w:val="21"/>
                <w:szCs w:val="21"/>
              </w:rPr>
            </w:pPr>
            <w:r>
              <w:rPr>
                <w:sz w:val="21"/>
                <w:szCs w:val="21"/>
              </w:rPr>
              <w:t>12</w:t>
            </w:r>
          </w:p>
        </w:tc>
      </w:tr>
      <w:tr w:rsidR="007D1E74" w14:paraId="0A9173FC" w14:textId="77777777">
        <w:trPr>
          <w:trHeight w:hRule="exact" w:val="336"/>
        </w:trPr>
        <w:tc>
          <w:tcPr>
            <w:tcW w:w="440" w:type="pct"/>
          </w:tcPr>
          <w:p w14:paraId="06F366B7" w14:textId="77777777" w:rsidR="007D1E74" w:rsidRDefault="00A95641">
            <w:pPr>
              <w:pStyle w:val="TableParagraph"/>
              <w:spacing w:before="26"/>
              <w:ind w:left="6"/>
              <w:rPr>
                <w:sz w:val="21"/>
                <w:szCs w:val="21"/>
              </w:rPr>
            </w:pPr>
            <w:r>
              <w:rPr>
                <w:sz w:val="21"/>
                <w:szCs w:val="21"/>
              </w:rPr>
              <w:t>8</w:t>
            </w:r>
          </w:p>
        </w:tc>
        <w:tc>
          <w:tcPr>
            <w:tcW w:w="908" w:type="pct"/>
          </w:tcPr>
          <w:p w14:paraId="42B83753" w14:textId="77777777" w:rsidR="007D1E74" w:rsidRDefault="00A95641">
            <w:pPr>
              <w:pStyle w:val="TableParagraph"/>
              <w:spacing w:line="284" w:lineRule="exact"/>
              <w:ind w:left="102"/>
              <w:rPr>
                <w:rFonts w:ascii="宋体"/>
                <w:sz w:val="21"/>
                <w:szCs w:val="21"/>
              </w:rPr>
            </w:pPr>
            <w:r>
              <w:rPr>
                <w:rFonts w:ascii="宋体" w:hint="eastAsia"/>
                <w:sz w:val="21"/>
                <w:szCs w:val="21"/>
              </w:rPr>
              <w:t>铁仔</w:t>
            </w:r>
          </w:p>
        </w:tc>
        <w:tc>
          <w:tcPr>
            <w:tcW w:w="674" w:type="pct"/>
          </w:tcPr>
          <w:p w14:paraId="302F3183"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1D8B3793" w14:textId="77777777" w:rsidR="007D1E74" w:rsidRDefault="00A95641">
            <w:pPr>
              <w:pStyle w:val="TableParagraph"/>
              <w:spacing w:before="26"/>
              <w:ind w:left="95" w:right="93"/>
              <w:rPr>
                <w:sz w:val="21"/>
                <w:szCs w:val="21"/>
              </w:rPr>
            </w:pPr>
            <w:r>
              <w:rPr>
                <w:sz w:val="21"/>
                <w:szCs w:val="21"/>
              </w:rPr>
              <w:t>10</w:t>
            </w:r>
          </w:p>
        </w:tc>
        <w:tc>
          <w:tcPr>
            <w:tcW w:w="674" w:type="pct"/>
          </w:tcPr>
          <w:p w14:paraId="00DFB2BC" w14:textId="77777777" w:rsidR="007D1E74" w:rsidRDefault="00A95641">
            <w:pPr>
              <w:pStyle w:val="TableParagraph"/>
              <w:spacing w:before="26"/>
              <w:ind w:left="159" w:right="160"/>
              <w:rPr>
                <w:sz w:val="21"/>
                <w:szCs w:val="21"/>
              </w:rPr>
            </w:pPr>
            <w:r>
              <w:rPr>
                <w:sz w:val="21"/>
                <w:szCs w:val="21"/>
              </w:rPr>
              <w:t>Sp</w:t>
            </w:r>
          </w:p>
        </w:tc>
        <w:tc>
          <w:tcPr>
            <w:tcW w:w="978" w:type="pct"/>
          </w:tcPr>
          <w:p w14:paraId="20D88FD8" w14:textId="77777777" w:rsidR="007D1E74" w:rsidRDefault="00A95641">
            <w:pPr>
              <w:pStyle w:val="TableParagraph"/>
              <w:spacing w:before="26"/>
              <w:ind w:left="170" w:right="170"/>
              <w:rPr>
                <w:sz w:val="21"/>
                <w:szCs w:val="21"/>
              </w:rPr>
            </w:pPr>
            <w:r>
              <w:rPr>
                <w:sz w:val="21"/>
                <w:szCs w:val="21"/>
              </w:rPr>
              <w:t>1.1</w:t>
            </w:r>
          </w:p>
        </w:tc>
        <w:tc>
          <w:tcPr>
            <w:tcW w:w="652" w:type="pct"/>
          </w:tcPr>
          <w:p w14:paraId="2F131821" w14:textId="77777777" w:rsidR="007D1E74" w:rsidRDefault="00A95641">
            <w:pPr>
              <w:pStyle w:val="TableParagraph"/>
              <w:spacing w:before="26"/>
              <w:ind w:right="108"/>
              <w:rPr>
                <w:sz w:val="21"/>
                <w:szCs w:val="21"/>
              </w:rPr>
            </w:pPr>
            <w:r>
              <w:rPr>
                <w:sz w:val="21"/>
                <w:szCs w:val="21"/>
              </w:rPr>
              <w:t>5</w:t>
            </w:r>
          </w:p>
        </w:tc>
      </w:tr>
      <w:tr w:rsidR="007D1E74" w14:paraId="44AEF591" w14:textId="77777777">
        <w:trPr>
          <w:trHeight w:hRule="exact" w:val="336"/>
        </w:trPr>
        <w:tc>
          <w:tcPr>
            <w:tcW w:w="440" w:type="pct"/>
          </w:tcPr>
          <w:p w14:paraId="091B390B" w14:textId="77777777" w:rsidR="007D1E74" w:rsidRDefault="00A95641">
            <w:pPr>
              <w:pStyle w:val="TableParagraph"/>
              <w:spacing w:before="26"/>
              <w:ind w:left="6"/>
              <w:rPr>
                <w:sz w:val="21"/>
                <w:szCs w:val="21"/>
              </w:rPr>
            </w:pPr>
            <w:r>
              <w:rPr>
                <w:sz w:val="21"/>
                <w:szCs w:val="21"/>
              </w:rPr>
              <w:t>9</w:t>
            </w:r>
          </w:p>
        </w:tc>
        <w:tc>
          <w:tcPr>
            <w:tcW w:w="908" w:type="pct"/>
          </w:tcPr>
          <w:p w14:paraId="74681673" w14:textId="77777777" w:rsidR="007D1E74" w:rsidRDefault="00A95641">
            <w:pPr>
              <w:pStyle w:val="TableParagraph"/>
              <w:spacing w:line="284" w:lineRule="exact"/>
              <w:ind w:left="102"/>
              <w:rPr>
                <w:rFonts w:ascii="宋体"/>
                <w:sz w:val="21"/>
                <w:szCs w:val="21"/>
              </w:rPr>
            </w:pPr>
            <w:r>
              <w:rPr>
                <w:rFonts w:ascii="宋体" w:hint="eastAsia"/>
                <w:sz w:val="21"/>
                <w:szCs w:val="21"/>
              </w:rPr>
              <w:t>野青茅</w:t>
            </w:r>
          </w:p>
        </w:tc>
        <w:tc>
          <w:tcPr>
            <w:tcW w:w="674" w:type="pct"/>
          </w:tcPr>
          <w:p w14:paraId="58322BDB"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17C94C59" w14:textId="77777777" w:rsidR="007D1E74" w:rsidRDefault="00A95641">
            <w:pPr>
              <w:pStyle w:val="TableParagraph"/>
              <w:spacing w:line="302" w:lineRule="exact"/>
              <w:ind w:left="94" w:right="94"/>
              <w:rPr>
                <w:rFonts w:ascii="宋体"/>
                <w:sz w:val="21"/>
                <w:szCs w:val="21"/>
              </w:rPr>
            </w:pPr>
            <w:r>
              <w:rPr>
                <w:sz w:val="21"/>
                <w:szCs w:val="21"/>
              </w:rPr>
              <w:t xml:space="preserve">6 </w:t>
            </w:r>
            <w:r>
              <w:rPr>
                <w:rFonts w:ascii="宋体" w:hint="eastAsia"/>
                <w:sz w:val="21"/>
                <w:szCs w:val="21"/>
              </w:rPr>
              <w:t>丛</w:t>
            </w:r>
          </w:p>
        </w:tc>
        <w:tc>
          <w:tcPr>
            <w:tcW w:w="674" w:type="pct"/>
          </w:tcPr>
          <w:p w14:paraId="2082B95E" w14:textId="77777777" w:rsidR="007D1E74" w:rsidRDefault="00A95641">
            <w:pPr>
              <w:pStyle w:val="TableParagraph"/>
              <w:spacing w:before="23"/>
              <w:ind w:left="160" w:right="160"/>
              <w:rPr>
                <w:sz w:val="21"/>
                <w:szCs w:val="21"/>
              </w:rPr>
            </w:pPr>
            <w:r>
              <w:rPr>
                <w:position w:val="2"/>
                <w:sz w:val="21"/>
                <w:szCs w:val="21"/>
              </w:rPr>
              <w:t>Cop</w:t>
            </w:r>
            <w:r>
              <w:rPr>
                <w:sz w:val="21"/>
                <w:szCs w:val="21"/>
              </w:rPr>
              <w:t>1</w:t>
            </w:r>
          </w:p>
        </w:tc>
        <w:tc>
          <w:tcPr>
            <w:tcW w:w="978" w:type="pct"/>
          </w:tcPr>
          <w:p w14:paraId="520E061E" w14:textId="77777777" w:rsidR="007D1E74" w:rsidRDefault="00A95641">
            <w:pPr>
              <w:pStyle w:val="TableParagraph"/>
              <w:spacing w:before="26"/>
              <w:ind w:left="170" w:right="170"/>
              <w:rPr>
                <w:sz w:val="21"/>
                <w:szCs w:val="21"/>
              </w:rPr>
            </w:pPr>
            <w:r>
              <w:rPr>
                <w:sz w:val="21"/>
                <w:szCs w:val="21"/>
              </w:rPr>
              <w:t>0.55</w:t>
            </w:r>
          </w:p>
        </w:tc>
        <w:tc>
          <w:tcPr>
            <w:tcW w:w="652" w:type="pct"/>
          </w:tcPr>
          <w:p w14:paraId="7F0D84DC" w14:textId="77777777" w:rsidR="007D1E74" w:rsidRDefault="00A95641">
            <w:pPr>
              <w:pStyle w:val="TableParagraph"/>
              <w:spacing w:before="26"/>
              <w:ind w:left="116" w:right="224"/>
              <w:rPr>
                <w:sz w:val="21"/>
                <w:szCs w:val="21"/>
              </w:rPr>
            </w:pPr>
            <w:r>
              <w:rPr>
                <w:sz w:val="21"/>
                <w:szCs w:val="21"/>
              </w:rPr>
              <w:t>15</w:t>
            </w:r>
          </w:p>
        </w:tc>
      </w:tr>
      <w:tr w:rsidR="007D1E74" w14:paraId="2A8949B2" w14:textId="77777777">
        <w:trPr>
          <w:trHeight w:hRule="exact" w:val="336"/>
        </w:trPr>
        <w:tc>
          <w:tcPr>
            <w:tcW w:w="440" w:type="pct"/>
          </w:tcPr>
          <w:p w14:paraId="070F8915" w14:textId="77777777" w:rsidR="007D1E74" w:rsidRDefault="00A95641">
            <w:pPr>
              <w:pStyle w:val="TableParagraph"/>
              <w:spacing w:before="26"/>
              <w:ind w:left="109" w:right="103"/>
              <w:rPr>
                <w:sz w:val="21"/>
                <w:szCs w:val="21"/>
              </w:rPr>
            </w:pPr>
            <w:r>
              <w:rPr>
                <w:sz w:val="21"/>
                <w:szCs w:val="21"/>
              </w:rPr>
              <w:t>10</w:t>
            </w:r>
          </w:p>
        </w:tc>
        <w:tc>
          <w:tcPr>
            <w:tcW w:w="908" w:type="pct"/>
          </w:tcPr>
          <w:p w14:paraId="7A0A9017" w14:textId="77777777" w:rsidR="007D1E74" w:rsidRDefault="00A95641">
            <w:pPr>
              <w:pStyle w:val="TableParagraph"/>
              <w:spacing w:line="284" w:lineRule="exact"/>
              <w:ind w:left="102"/>
              <w:rPr>
                <w:rFonts w:ascii="宋体"/>
                <w:sz w:val="21"/>
                <w:szCs w:val="21"/>
              </w:rPr>
            </w:pPr>
            <w:r>
              <w:rPr>
                <w:rFonts w:ascii="宋体" w:hint="eastAsia"/>
                <w:sz w:val="21"/>
                <w:szCs w:val="21"/>
              </w:rPr>
              <w:t>褐果苔草等苔草</w:t>
            </w:r>
          </w:p>
        </w:tc>
        <w:tc>
          <w:tcPr>
            <w:tcW w:w="674" w:type="pct"/>
          </w:tcPr>
          <w:p w14:paraId="0246BBAB"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6E9A4597" w14:textId="77777777" w:rsidR="007D1E74" w:rsidRDefault="00A95641">
            <w:pPr>
              <w:pStyle w:val="TableParagraph"/>
              <w:spacing w:before="26"/>
              <w:ind w:left="95" w:right="93"/>
              <w:rPr>
                <w:sz w:val="21"/>
                <w:szCs w:val="21"/>
              </w:rPr>
            </w:pPr>
            <w:r>
              <w:rPr>
                <w:sz w:val="21"/>
                <w:szCs w:val="21"/>
              </w:rPr>
              <w:t>15</w:t>
            </w:r>
          </w:p>
        </w:tc>
        <w:tc>
          <w:tcPr>
            <w:tcW w:w="674" w:type="pct"/>
          </w:tcPr>
          <w:p w14:paraId="2F6CB416" w14:textId="77777777" w:rsidR="007D1E74" w:rsidRDefault="00A95641">
            <w:pPr>
              <w:pStyle w:val="TableParagraph"/>
              <w:spacing w:before="26"/>
              <w:ind w:left="159" w:right="160"/>
              <w:rPr>
                <w:sz w:val="21"/>
                <w:szCs w:val="21"/>
              </w:rPr>
            </w:pPr>
            <w:r>
              <w:rPr>
                <w:sz w:val="21"/>
                <w:szCs w:val="21"/>
              </w:rPr>
              <w:t>Sp</w:t>
            </w:r>
          </w:p>
        </w:tc>
        <w:tc>
          <w:tcPr>
            <w:tcW w:w="978" w:type="pct"/>
          </w:tcPr>
          <w:p w14:paraId="78456EB4" w14:textId="77777777" w:rsidR="007D1E74" w:rsidRDefault="00A95641">
            <w:pPr>
              <w:pStyle w:val="TableParagraph"/>
              <w:spacing w:before="26"/>
              <w:ind w:left="170" w:right="170"/>
              <w:rPr>
                <w:sz w:val="21"/>
                <w:szCs w:val="21"/>
              </w:rPr>
            </w:pPr>
            <w:r>
              <w:rPr>
                <w:sz w:val="21"/>
                <w:szCs w:val="21"/>
              </w:rPr>
              <w:t>0.4</w:t>
            </w:r>
          </w:p>
        </w:tc>
        <w:tc>
          <w:tcPr>
            <w:tcW w:w="652" w:type="pct"/>
          </w:tcPr>
          <w:p w14:paraId="1AB4F0DF" w14:textId="77777777" w:rsidR="007D1E74" w:rsidRDefault="00A95641">
            <w:pPr>
              <w:pStyle w:val="TableParagraph"/>
              <w:spacing w:before="26"/>
              <w:ind w:right="108"/>
              <w:rPr>
                <w:sz w:val="21"/>
                <w:szCs w:val="21"/>
              </w:rPr>
            </w:pPr>
            <w:r>
              <w:rPr>
                <w:sz w:val="21"/>
                <w:szCs w:val="21"/>
              </w:rPr>
              <w:t>5</w:t>
            </w:r>
          </w:p>
        </w:tc>
      </w:tr>
      <w:tr w:rsidR="007D1E74" w14:paraId="264628A0" w14:textId="77777777">
        <w:trPr>
          <w:trHeight w:hRule="exact" w:val="336"/>
        </w:trPr>
        <w:tc>
          <w:tcPr>
            <w:tcW w:w="440" w:type="pct"/>
          </w:tcPr>
          <w:p w14:paraId="6FDCEB5B" w14:textId="77777777" w:rsidR="007D1E74" w:rsidRDefault="00A95641">
            <w:pPr>
              <w:pStyle w:val="TableParagraph"/>
              <w:spacing w:before="26"/>
              <w:ind w:left="109" w:right="103"/>
              <w:rPr>
                <w:sz w:val="21"/>
                <w:szCs w:val="21"/>
              </w:rPr>
            </w:pPr>
            <w:r>
              <w:rPr>
                <w:sz w:val="21"/>
                <w:szCs w:val="21"/>
              </w:rPr>
              <w:t>11</w:t>
            </w:r>
          </w:p>
        </w:tc>
        <w:tc>
          <w:tcPr>
            <w:tcW w:w="908" w:type="pct"/>
          </w:tcPr>
          <w:p w14:paraId="093DFD05" w14:textId="77777777" w:rsidR="007D1E74" w:rsidRDefault="00A95641">
            <w:pPr>
              <w:pStyle w:val="TableParagraph"/>
              <w:spacing w:line="284" w:lineRule="exact"/>
              <w:ind w:left="102"/>
              <w:rPr>
                <w:rFonts w:ascii="宋体"/>
                <w:sz w:val="21"/>
                <w:szCs w:val="21"/>
              </w:rPr>
            </w:pPr>
            <w:r>
              <w:rPr>
                <w:rFonts w:ascii="宋体" w:hint="eastAsia"/>
                <w:sz w:val="21"/>
                <w:szCs w:val="21"/>
              </w:rPr>
              <w:t>狗尾草</w:t>
            </w:r>
          </w:p>
        </w:tc>
        <w:tc>
          <w:tcPr>
            <w:tcW w:w="674" w:type="pct"/>
          </w:tcPr>
          <w:p w14:paraId="2A205F24"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36EEB601" w14:textId="77777777" w:rsidR="007D1E74" w:rsidRDefault="00A95641">
            <w:pPr>
              <w:pStyle w:val="TableParagraph"/>
              <w:spacing w:before="26"/>
              <w:ind w:left="2"/>
              <w:rPr>
                <w:sz w:val="21"/>
                <w:szCs w:val="21"/>
              </w:rPr>
            </w:pPr>
            <w:r>
              <w:rPr>
                <w:sz w:val="21"/>
                <w:szCs w:val="21"/>
              </w:rPr>
              <w:t>6</w:t>
            </w:r>
          </w:p>
        </w:tc>
        <w:tc>
          <w:tcPr>
            <w:tcW w:w="674" w:type="pct"/>
          </w:tcPr>
          <w:p w14:paraId="7EC91A9A" w14:textId="77777777" w:rsidR="007D1E74" w:rsidRDefault="00A95641">
            <w:pPr>
              <w:pStyle w:val="TableParagraph"/>
              <w:spacing w:before="26"/>
              <w:ind w:left="159" w:right="160"/>
              <w:rPr>
                <w:sz w:val="21"/>
                <w:szCs w:val="21"/>
              </w:rPr>
            </w:pPr>
            <w:r>
              <w:rPr>
                <w:sz w:val="21"/>
                <w:szCs w:val="21"/>
              </w:rPr>
              <w:t>Sp</w:t>
            </w:r>
          </w:p>
        </w:tc>
        <w:tc>
          <w:tcPr>
            <w:tcW w:w="978" w:type="pct"/>
          </w:tcPr>
          <w:p w14:paraId="040E88C6" w14:textId="77777777" w:rsidR="007D1E74" w:rsidRDefault="00A95641">
            <w:pPr>
              <w:pStyle w:val="TableParagraph"/>
              <w:spacing w:before="26"/>
              <w:ind w:left="170" w:right="170"/>
              <w:rPr>
                <w:sz w:val="21"/>
                <w:szCs w:val="21"/>
              </w:rPr>
            </w:pPr>
            <w:r>
              <w:rPr>
                <w:sz w:val="21"/>
                <w:szCs w:val="21"/>
              </w:rPr>
              <w:t>1.4</w:t>
            </w:r>
          </w:p>
        </w:tc>
        <w:tc>
          <w:tcPr>
            <w:tcW w:w="652" w:type="pct"/>
          </w:tcPr>
          <w:p w14:paraId="3CA1CD1A" w14:textId="77777777" w:rsidR="007D1E74" w:rsidRDefault="00A95641">
            <w:pPr>
              <w:pStyle w:val="TableParagraph"/>
              <w:spacing w:before="26"/>
              <w:ind w:right="108"/>
              <w:rPr>
                <w:sz w:val="21"/>
                <w:szCs w:val="21"/>
              </w:rPr>
            </w:pPr>
            <w:r>
              <w:rPr>
                <w:sz w:val="21"/>
                <w:szCs w:val="21"/>
              </w:rPr>
              <w:t>5</w:t>
            </w:r>
          </w:p>
        </w:tc>
      </w:tr>
      <w:tr w:rsidR="007D1E74" w14:paraId="443B2697" w14:textId="77777777">
        <w:trPr>
          <w:trHeight w:hRule="exact" w:val="336"/>
        </w:trPr>
        <w:tc>
          <w:tcPr>
            <w:tcW w:w="440" w:type="pct"/>
          </w:tcPr>
          <w:p w14:paraId="6C915538" w14:textId="77777777" w:rsidR="007D1E74" w:rsidRDefault="00A95641">
            <w:pPr>
              <w:pStyle w:val="TableParagraph"/>
              <w:spacing w:before="26"/>
              <w:ind w:left="109" w:right="103"/>
              <w:rPr>
                <w:sz w:val="21"/>
                <w:szCs w:val="21"/>
              </w:rPr>
            </w:pPr>
            <w:r>
              <w:rPr>
                <w:sz w:val="21"/>
                <w:szCs w:val="21"/>
              </w:rPr>
              <w:t>12</w:t>
            </w:r>
          </w:p>
        </w:tc>
        <w:tc>
          <w:tcPr>
            <w:tcW w:w="908" w:type="pct"/>
          </w:tcPr>
          <w:p w14:paraId="1E7F300B" w14:textId="77777777" w:rsidR="007D1E74" w:rsidRDefault="00A95641">
            <w:pPr>
              <w:pStyle w:val="TableParagraph"/>
              <w:spacing w:line="284" w:lineRule="exact"/>
              <w:ind w:left="102"/>
              <w:rPr>
                <w:rFonts w:ascii="宋体"/>
                <w:sz w:val="21"/>
                <w:szCs w:val="21"/>
              </w:rPr>
            </w:pPr>
            <w:r>
              <w:rPr>
                <w:rFonts w:ascii="宋体" w:hint="eastAsia"/>
                <w:sz w:val="21"/>
                <w:szCs w:val="21"/>
              </w:rPr>
              <w:t>毛茛</w:t>
            </w:r>
          </w:p>
        </w:tc>
        <w:tc>
          <w:tcPr>
            <w:tcW w:w="674" w:type="pct"/>
          </w:tcPr>
          <w:p w14:paraId="1062E2A7" w14:textId="77777777" w:rsidR="007D1E74" w:rsidRDefault="00A95641">
            <w:pPr>
              <w:pStyle w:val="TableParagraph"/>
              <w:spacing w:line="284" w:lineRule="exact"/>
              <w:ind w:left="103"/>
              <w:rPr>
                <w:rFonts w:ascii="宋体"/>
                <w:sz w:val="21"/>
                <w:szCs w:val="21"/>
              </w:rPr>
            </w:pPr>
            <w:r>
              <w:rPr>
                <w:rFonts w:ascii="宋体" w:hint="eastAsia"/>
                <w:sz w:val="21"/>
                <w:szCs w:val="21"/>
              </w:rPr>
              <w:t>花期</w:t>
            </w:r>
          </w:p>
        </w:tc>
        <w:tc>
          <w:tcPr>
            <w:tcW w:w="674" w:type="pct"/>
          </w:tcPr>
          <w:p w14:paraId="3C9DCD2D" w14:textId="77777777" w:rsidR="007D1E74" w:rsidRDefault="00A95641">
            <w:pPr>
              <w:pStyle w:val="TableParagraph"/>
              <w:spacing w:before="26"/>
              <w:ind w:left="95" w:right="93"/>
              <w:rPr>
                <w:sz w:val="21"/>
                <w:szCs w:val="21"/>
              </w:rPr>
            </w:pPr>
            <w:r>
              <w:rPr>
                <w:sz w:val="21"/>
                <w:szCs w:val="21"/>
              </w:rPr>
              <w:t>22</w:t>
            </w:r>
          </w:p>
        </w:tc>
        <w:tc>
          <w:tcPr>
            <w:tcW w:w="674" w:type="pct"/>
          </w:tcPr>
          <w:p w14:paraId="0CD50D25" w14:textId="77777777" w:rsidR="007D1E74" w:rsidRDefault="00A95641">
            <w:pPr>
              <w:pStyle w:val="TableParagraph"/>
              <w:spacing w:before="26"/>
              <w:ind w:left="159" w:right="160"/>
              <w:rPr>
                <w:sz w:val="21"/>
                <w:szCs w:val="21"/>
              </w:rPr>
            </w:pPr>
            <w:r>
              <w:rPr>
                <w:sz w:val="21"/>
                <w:szCs w:val="21"/>
              </w:rPr>
              <w:t>Ol</w:t>
            </w:r>
          </w:p>
        </w:tc>
        <w:tc>
          <w:tcPr>
            <w:tcW w:w="978" w:type="pct"/>
          </w:tcPr>
          <w:p w14:paraId="6465F717" w14:textId="77777777" w:rsidR="007D1E74" w:rsidRDefault="00A95641">
            <w:pPr>
              <w:pStyle w:val="TableParagraph"/>
              <w:spacing w:before="26"/>
              <w:ind w:left="170" w:right="170"/>
              <w:rPr>
                <w:sz w:val="21"/>
                <w:szCs w:val="21"/>
              </w:rPr>
            </w:pPr>
            <w:r>
              <w:rPr>
                <w:sz w:val="21"/>
                <w:szCs w:val="21"/>
              </w:rPr>
              <w:t>0.7</w:t>
            </w:r>
          </w:p>
        </w:tc>
        <w:tc>
          <w:tcPr>
            <w:tcW w:w="652" w:type="pct"/>
          </w:tcPr>
          <w:p w14:paraId="36C52577" w14:textId="77777777" w:rsidR="007D1E74" w:rsidRDefault="00A95641">
            <w:pPr>
              <w:pStyle w:val="TableParagraph"/>
              <w:spacing w:before="26"/>
              <w:ind w:right="108"/>
              <w:rPr>
                <w:sz w:val="21"/>
                <w:szCs w:val="21"/>
              </w:rPr>
            </w:pPr>
            <w:r>
              <w:rPr>
                <w:sz w:val="21"/>
                <w:szCs w:val="21"/>
              </w:rPr>
              <w:t>2</w:t>
            </w:r>
          </w:p>
        </w:tc>
      </w:tr>
      <w:tr w:rsidR="007D1E74" w14:paraId="561D3828" w14:textId="77777777">
        <w:trPr>
          <w:trHeight w:hRule="exact" w:val="336"/>
        </w:trPr>
        <w:tc>
          <w:tcPr>
            <w:tcW w:w="440" w:type="pct"/>
          </w:tcPr>
          <w:p w14:paraId="2C4438F6" w14:textId="77777777" w:rsidR="007D1E74" w:rsidRDefault="00A95641">
            <w:pPr>
              <w:pStyle w:val="TableParagraph"/>
              <w:spacing w:before="26"/>
              <w:ind w:left="109" w:right="103"/>
              <w:rPr>
                <w:sz w:val="21"/>
                <w:szCs w:val="21"/>
              </w:rPr>
            </w:pPr>
            <w:r>
              <w:rPr>
                <w:sz w:val="21"/>
                <w:szCs w:val="21"/>
              </w:rPr>
              <w:t>13</w:t>
            </w:r>
          </w:p>
        </w:tc>
        <w:tc>
          <w:tcPr>
            <w:tcW w:w="908" w:type="pct"/>
          </w:tcPr>
          <w:p w14:paraId="504A017E" w14:textId="77777777" w:rsidR="007D1E74" w:rsidRDefault="00A95641">
            <w:pPr>
              <w:pStyle w:val="TableParagraph"/>
              <w:spacing w:line="284" w:lineRule="exact"/>
              <w:ind w:left="102"/>
              <w:rPr>
                <w:rFonts w:ascii="宋体"/>
                <w:sz w:val="21"/>
                <w:szCs w:val="21"/>
              </w:rPr>
            </w:pPr>
            <w:r>
              <w:rPr>
                <w:rFonts w:ascii="宋体" w:hint="eastAsia"/>
                <w:sz w:val="21"/>
                <w:szCs w:val="21"/>
              </w:rPr>
              <w:t>顶芽狗脊</w:t>
            </w:r>
          </w:p>
        </w:tc>
        <w:tc>
          <w:tcPr>
            <w:tcW w:w="674" w:type="pct"/>
          </w:tcPr>
          <w:p w14:paraId="42282D98"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1A69EC80" w14:textId="77777777" w:rsidR="007D1E74" w:rsidRDefault="00A95641">
            <w:pPr>
              <w:pStyle w:val="TableParagraph"/>
              <w:spacing w:line="302" w:lineRule="exact"/>
              <w:ind w:left="94" w:right="94"/>
              <w:rPr>
                <w:rFonts w:ascii="宋体"/>
                <w:sz w:val="21"/>
                <w:szCs w:val="21"/>
              </w:rPr>
            </w:pPr>
            <w:r>
              <w:rPr>
                <w:sz w:val="21"/>
                <w:szCs w:val="21"/>
              </w:rPr>
              <w:t xml:space="preserve">2 </w:t>
            </w:r>
            <w:r>
              <w:rPr>
                <w:rFonts w:ascii="宋体" w:hint="eastAsia"/>
                <w:sz w:val="21"/>
                <w:szCs w:val="21"/>
              </w:rPr>
              <w:t>丛</w:t>
            </w:r>
          </w:p>
        </w:tc>
        <w:tc>
          <w:tcPr>
            <w:tcW w:w="674" w:type="pct"/>
          </w:tcPr>
          <w:p w14:paraId="6CA29A87" w14:textId="77777777" w:rsidR="007D1E74" w:rsidRDefault="00A95641">
            <w:pPr>
              <w:pStyle w:val="TableParagraph"/>
              <w:spacing w:before="26"/>
              <w:ind w:left="159" w:right="160"/>
              <w:rPr>
                <w:sz w:val="21"/>
                <w:szCs w:val="21"/>
              </w:rPr>
            </w:pPr>
            <w:r>
              <w:rPr>
                <w:sz w:val="21"/>
                <w:szCs w:val="21"/>
              </w:rPr>
              <w:t>Sp</w:t>
            </w:r>
          </w:p>
        </w:tc>
        <w:tc>
          <w:tcPr>
            <w:tcW w:w="978" w:type="pct"/>
          </w:tcPr>
          <w:p w14:paraId="350F1771" w14:textId="77777777" w:rsidR="007D1E74" w:rsidRDefault="00A95641">
            <w:pPr>
              <w:pStyle w:val="TableParagraph"/>
              <w:spacing w:before="26"/>
              <w:ind w:left="170" w:right="170"/>
              <w:rPr>
                <w:sz w:val="21"/>
                <w:szCs w:val="21"/>
              </w:rPr>
            </w:pPr>
            <w:r>
              <w:rPr>
                <w:sz w:val="21"/>
                <w:szCs w:val="21"/>
              </w:rPr>
              <w:t>0.85</w:t>
            </w:r>
          </w:p>
        </w:tc>
        <w:tc>
          <w:tcPr>
            <w:tcW w:w="652" w:type="pct"/>
          </w:tcPr>
          <w:p w14:paraId="1F032132" w14:textId="77777777" w:rsidR="007D1E74" w:rsidRDefault="00A95641">
            <w:pPr>
              <w:pStyle w:val="TableParagraph"/>
              <w:spacing w:before="26"/>
              <w:ind w:right="108"/>
              <w:rPr>
                <w:sz w:val="21"/>
                <w:szCs w:val="21"/>
              </w:rPr>
            </w:pPr>
            <w:r>
              <w:rPr>
                <w:sz w:val="21"/>
                <w:szCs w:val="21"/>
              </w:rPr>
              <w:t>5</w:t>
            </w:r>
          </w:p>
        </w:tc>
      </w:tr>
      <w:tr w:rsidR="007D1E74" w14:paraId="4D1FE3C8" w14:textId="77777777">
        <w:trPr>
          <w:trHeight w:hRule="exact" w:val="336"/>
        </w:trPr>
        <w:tc>
          <w:tcPr>
            <w:tcW w:w="440" w:type="pct"/>
          </w:tcPr>
          <w:p w14:paraId="3A002AD4" w14:textId="77777777" w:rsidR="007D1E74" w:rsidRDefault="00A95641">
            <w:pPr>
              <w:pStyle w:val="TableParagraph"/>
              <w:spacing w:before="26"/>
              <w:ind w:left="109" w:right="103"/>
              <w:rPr>
                <w:sz w:val="21"/>
                <w:szCs w:val="21"/>
              </w:rPr>
            </w:pPr>
            <w:r>
              <w:rPr>
                <w:sz w:val="21"/>
                <w:szCs w:val="21"/>
              </w:rPr>
              <w:t>14</w:t>
            </w:r>
          </w:p>
        </w:tc>
        <w:tc>
          <w:tcPr>
            <w:tcW w:w="908" w:type="pct"/>
          </w:tcPr>
          <w:p w14:paraId="3377C7C1" w14:textId="77777777" w:rsidR="007D1E74" w:rsidRDefault="00A95641">
            <w:pPr>
              <w:pStyle w:val="TableParagraph"/>
              <w:spacing w:line="284" w:lineRule="exact"/>
              <w:ind w:left="102"/>
              <w:rPr>
                <w:rFonts w:ascii="宋体"/>
                <w:sz w:val="21"/>
                <w:szCs w:val="21"/>
              </w:rPr>
            </w:pPr>
            <w:r>
              <w:rPr>
                <w:rFonts w:ascii="宋体" w:hint="eastAsia"/>
                <w:sz w:val="21"/>
                <w:szCs w:val="21"/>
              </w:rPr>
              <w:t>凤尾草</w:t>
            </w:r>
          </w:p>
        </w:tc>
        <w:tc>
          <w:tcPr>
            <w:tcW w:w="674" w:type="pct"/>
          </w:tcPr>
          <w:p w14:paraId="15370E8F"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7C363673" w14:textId="77777777" w:rsidR="007D1E74" w:rsidRDefault="00A95641">
            <w:pPr>
              <w:pStyle w:val="TableParagraph"/>
              <w:spacing w:before="26"/>
              <w:ind w:left="95" w:right="93"/>
              <w:rPr>
                <w:sz w:val="21"/>
                <w:szCs w:val="21"/>
              </w:rPr>
            </w:pPr>
            <w:r>
              <w:rPr>
                <w:sz w:val="21"/>
                <w:szCs w:val="21"/>
              </w:rPr>
              <w:t>16</w:t>
            </w:r>
          </w:p>
        </w:tc>
        <w:tc>
          <w:tcPr>
            <w:tcW w:w="674" w:type="pct"/>
          </w:tcPr>
          <w:p w14:paraId="46D3C3F3" w14:textId="77777777" w:rsidR="007D1E74" w:rsidRDefault="00A95641">
            <w:pPr>
              <w:pStyle w:val="TableParagraph"/>
              <w:spacing w:before="26"/>
              <w:ind w:left="159" w:right="160"/>
              <w:rPr>
                <w:sz w:val="21"/>
                <w:szCs w:val="21"/>
              </w:rPr>
            </w:pPr>
            <w:r>
              <w:rPr>
                <w:sz w:val="21"/>
                <w:szCs w:val="21"/>
              </w:rPr>
              <w:t>Sp</w:t>
            </w:r>
          </w:p>
        </w:tc>
        <w:tc>
          <w:tcPr>
            <w:tcW w:w="978" w:type="pct"/>
          </w:tcPr>
          <w:p w14:paraId="451129F4" w14:textId="77777777" w:rsidR="007D1E74" w:rsidRDefault="00A95641">
            <w:pPr>
              <w:pStyle w:val="TableParagraph"/>
              <w:spacing w:before="26"/>
              <w:ind w:left="170" w:right="170"/>
              <w:rPr>
                <w:sz w:val="21"/>
                <w:szCs w:val="21"/>
              </w:rPr>
            </w:pPr>
            <w:r>
              <w:rPr>
                <w:sz w:val="21"/>
                <w:szCs w:val="21"/>
              </w:rPr>
              <w:t>0.5</w:t>
            </w:r>
          </w:p>
        </w:tc>
        <w:tc>
          <w:tcPr>
            <w:tcW w:w="652" w:type="pct"/>
          </w:tcPr>
          <w:p w14:paraId="3E8345F7" w14:textId="77777777" w:rsidR="007D1E74" w:rsidRDefault="00A95641">
            <w:pPr>
              <w:pStyle w:val="TableParagraph"/>
              <w:spacing w:before="26"/>
              <w:ind w:right="108"/>
              <w:rPr>
                <w:sz w:val="21"/>
                <w:szCs w:val="21"/>
              </w:rPr>
            </w:pPr>
            <w:r>
              <w:rPr>
                <w:sz w:val="21"/>
                <w:szCs w:val="21"/>
              </w:rPr>
              <w:t>5</w:t>
            </w:r>
          </w:p>
        </w:tc>
      </w:tr>
    </w:tbl>
    <w:p w14:paraId="5B723B55" w14:textId="77777777" w:rsidR="007D1E74" w:rsidRDefault="007D1E74">
      <w:pPr>
        <w:spacing w:line="360" w:lineRule="auto"/>
        <w:rPr>
          <w:rFonts w:cs="Times New Roman"/>
          <w:szCs w:val="21"/>
        </w:rPr>
      </w:pPr>
    </w:p>
    <w:p w14:paraId="485B1740" w14:textId="77777777" w:rsidR="007D1E74" w:rsidRDefault="00A95641">
      <w:pPr>
        <w:spacing w:line="360" w:lineRule="auto"/>
        <w:jc w:val="center"/>
        <w:rPr>
          <w:rFonts w:eastAsia="黑体" w:cs="Times New Roman"/>
          <w:szCs w:val="21"/>
        </w:rPr>
      </w:pPr>
      <w:r>
        <w:rPr>
          <w:rFonts w:eastAsia="黑体" w:cs="Times New Roman"/>
          <w:szCs w:val="21"/>
        </w:rPr>
        <w:t>表</w:t>
      </w:r>
      <w:r>
        <w:rPr>
          <w:rFonts w:eastAsia="黑体" w:cs="Times New Roman"/>
          <w:szCs w:val="21"/>
        </w:rPr>
        <w:t xml:space="preserve">A.2.4-4  </w:t>
      </w:r>
      <w:r>
        <w:rPr>
          <w:rFonts w:eastAsia="黑体" w:cs="Times New Roman" w:hint="eastAsia"/>
          <w:szCs w:val="21"/>
        </w:rPr>
        <w:t>植物实测样方表</w:t>
      </w:r>
    </w:p>
    <w:tbl>
      <w:tblPr>
        <w:tblStyle w:val="affffc"/>
        <w:tblW w:w="0" w:type="auto"/>
        <w:tblBorders>
          <w:left w:val="none" w:sz="0" w:space="0" w:color="auto"/>
          <w:right w:val="none" w:sz="0" w:space="0" w:color="auto"/>
        </w:tblBorders>
        <w:tblLook w:val="04A0" w:firstRow="1" w:lastRow="0" w:firstColumn="1" w:lastColumn="0" w:noHBand="0" w:noVBand="1"/>
      </w:tblPr>
      <w:tblGrid>
        <w:gridCol w:w="9016"/>
      </w:tblGrid>
      <w:tr w:rsidR="007D1E74" w14:paraId="0129ACC3" w14:textId="77777777">
        <w:tc>
          <w:tcPr>
            <w:tcW w:w="9016" w:type="dxa"/>
          </w:tcPr>
          <w:p w14:paraId="6997D740" w14:textId="77777777" w:rsidR="007D1E74" w:rsidRDefault="00A95641">
            <w:pPr>
              <w:spacing w:line="360" w:lineRule="auto"/>
              <w:rPr>
                <w:rFonts w:eastAsiaTheme="minorEastAsia" w:cs="Times New Roman"/>
                <w:szCs w:val="21"/>
              </w:rPr>
            </w:pPr>
            <w:r>
              <w:rPr>
                <w:rFonts w:eastAsiaTheme="minorEastAsia" w:cs="Times New Roman" w:hint="eastAsia"/>
                <w:szCs w:val="21"/>
              </w:rPr>
              <w:t>群落名称：马尾松林</w:t>
            </w:r>
            <w:r>
              <w:rPr>
                <w:rFonts w:eastAsiaTheme="minorEastAsia" w:cs="Times New Roman" w:hint="eastAsia"/>
                <w:szCs w:val="21"/>
              </w:rPr>
              <w:tab/>
            </w:r>
            <w:r>
              <w:rPr>
                <w:rFonts w:eastAsiaTheme="minorEastAsia" w:cs="Times New Roman" w:hint="eastAsia"/>
                <w:szCs w:val="21"/>
              </w:rPr>
              <w:tab/>
            </w:r>
            <w:r>
              <w:rPr>
                <w:rFonts w:eastAsiaTheme="minorEastAsia" w:cs="Times New Roman" w:hint="eastAsia"/>
                <w:szCs w:val="21"/>
              </w:rPr>
              <w:t>地点：青峪镇张家坡村</w:t>
            </w:r>
            <w:r>
              <w:rPr>
                <w:rFonts w:eastAsiaTheme="minorEastAsia" w:cs="Times New Roman" w:hint="eastAsia"/>
                <w:szCs w:val="21"/>
              </w:rPr>
              <w:tab/>
            </w:r>
            <w:r>
              <w:rPr>
                <w:rFonts w:eastAsiaTheme="minorEastAsia" w:cs="Times New Roman" w:hint="eastAsia"/>
                <w:szCs w:val="21"/>
              </w:rPr>
              <w:tab/>
            </w:r>
            <w:r>
              <w:rPr>
                <w:rFonts w:eastAsiaTheme="minorEastAsia" w:cs="Times New Roman" w:hint="eastAsia"/>
                <w:szCs w:val="21"/>
              </w:rPr>
              <w:t>样方面积：</w:t>
            </w:r>
            <w:r>
              <w:rPr>
                <w:rFonts w:eastAsiaTheme="minorEastAsia" w:cs="Times New Roman" w:hint="eastAsia"/>
                <w:szCs w:val="21"/>
              </w:rPr>
              <w:t>10m</w:t>
            </w:r>
            <w:r>
              <w:rPr>
                <w:rFonts w:eastAsiaTheme="minorEastAsia" w:cs="Times New Roman" w:hint="eastAsia"/>
                <w:szCs w:val="21"/>
              </w:rPr>
              <w:t>×</w:t>
            </w:r>
            <w:r>
              <w:rPr>
                <w:rFonts w:eastAsiaTheme="minorEastAsia" w:cs="Times New Roman" w:hint="eastAsia"/>
                <w:szCs w:val="21"/>
              </w:rPr>
              <w:t>10m</w:t>
            </w:r>
          </w:p>
        </w:tc>
      </w:tr>
      <w:tr w:rsidR="007D1E74" w14:paraId="33F5DE44" w14:textId="77777777">
        <w:tc>
          <w:tcPr>
            <w:tcW w:w="9016" w:type="dxa"/>
          </w:tcPr>
          <w:p w14:paraId="36D567A4" w14:textId="77777777" w:rsidR="007D1E74" w:rsidRDefault="00A95641">
            <w:pPr>
              <w:spacing w:line="360" w:lineRule="auto"/>
              <w:rPr>
                <w:rFonts w:eastAsiaTheme="minorEastAsia" w:cs="Times New Roman"/>
                <w:szCs w:val="21"/>
              </w:rPr>
            </w:pPr>
            <w:r>
              <w:rPr>
                <w:rFonts w:eastAsiaTheme="minorEastAsia" w:cs="Times New Roman" w:hint="eastAsia"/>
                <w:szCs w:val="21"/>
              </w:rPr>
              <w:t>经度：</w:t>
            </w:r>
            <w:r>
              <w:rPr>
                <w:rFonts w:eastAsiaTheme="minorEastAsia" w:cs="Times New Roman" w:hint="eastAsia"/>
                <w:szCs w:val="21"/>
              </w:rPr>
              <w:t xml:space="preserve">107.220280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纬度：</w:t>
            </w:r>
            <w:r>
              <w:rPr>
                <w:rFonts w:eastAsiaTheme="minorEastAsia" w:cs="Times New Roman" w:hint="eastAsia"/>
                <w:szCs w:val="21"/>
              </w:rPr>
              <w:t xml:space="preserve">32.217421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海拔（</w:t>
            </w:r>
            <w:r>
              <w:rPr>
                <w:rFonts w:eastAsiaTheme="minorEastAsia" w:cs="Times New Roman" w:hint="eastAsia"/>
                <w:szCs w:val="21"/>
              </w:rPr>
              <w:t>m</w:t>
            </w:r>
            <w:r>
              <w:rPr>
                <w:rFonts w:eastAsiaTheme="minorEastAsia" w:cs="Times New Roman" w:hint="eastAsia"/>
                <w:szCs w:val="21"/>
              </w:rPr>
              <w:t>）</w:t>
            </w:r>
            <w:r>
              <w:rPr>
                <w:rFonts w:eastAsiaTheme="minorEastAsia" w:cs="Times New Roman" w:hint="eastAsia"/>
                <w:szCs w:val="21"/>
              </w:rPr>
              <w:t>700</w:t>
            </w:r>
          </w:p>
        </w:tc>
      </w:tr>
      <w:tr w:rsidR="007D1E74" w14:paraId="4CA38792" w14:textId="77777777">
        <w:tc>
          <w:tcPr>
            <w:tcW w:w="9016" w:type="dxa"/>
          </w:tcPr>
          <w:p w14:paraId="7A5C93EB" w14:textId="77777777" w:rsidR="007D1E74" w:rsidRDefault="00A95641">
            <w:pPr>
              <w:spacing w:line="360" w:lineRule="auto"/>
              <w:rPr>
                <w:rFonts w:eastAsiaTheme="minorEastAsia" w:cs="Times New Roman"/>
                <w:szCs w:val="21"/>
              </w:rPr>
            </w:pPr>
            <w:r>
              <w:rPr>
                <w:rFonts w:eastAsiaTheme="minorEastAsia" w:cs="Times New Roman" w:hint="eastAsia"/>
                <w:szCs w:val="21"/>
              </w:rPr>
              <w:t>调查人：黄文军、李秦</w:t>
            </w:r>
            <w:r>
              <w:rPr>
                <w:rFonts w:eastAsiaTheme="minorEastAsia" w:cs="Times New Roman" w:hint="eastAsia"/>
                <w:szCs w:val="21"/>
              </w:rPr>
              <w:tab/>
            </w:r>
            <w:r>
              <w:rPr>
                <w:rFonts w:eastAsiaTheme="minorEastAsia" w:cs="Times New Roman" w:hint="eastAsia"/>
                <w:szCs w:val="21"/>
              </w:rPr>
              <w:t>调查日期：</w:t>
            </w:r>
            <w:r>
              <w:rPr>
                <w:rFonts w:eastAsiaTheme="minorEastAsia" w:cs="Times New Roman" w:hint="eastAsia"/>
                <w:szCs w:val="21"/>
              </w:rPr>
              <w:t>2021-08-20</w:t>
            </w:r>
          </w:p>
        </w:tc>
      </w:tr>
    </w:tbl>
    <w:p w14:paraId="3894C6C7" w14:textId="77777777" w:rsidR="007D1E74" w:rsidRDefault="007D1E74">
      <w:pPr>
        <w:spacing w:line="360" w:lineRule="auto"/>
        <w:rPr>
          <w:rFonts w:eastAsia="黑体" w:cs="Times New Roman"/>
          <w:sz w:val="24"/>
          <w:szCs w:val="24"/>
        </w:rPr>
      </w:pP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4"/>
        <w:gridCol w:w="1637"/>
        <w:gridCol w:w="1215"/>
        <w:gridCol w:w="1215"/>
        <w:gridCol w:w="1215"/>
        <w:gridCol w:w="1764"/>
        <w:gridCol w:w="1176"/>
      </w:tblGrid>
      <w:tr w:rsidR="007D1E74" w14:paraId="3C7124C8" w14:textId="77777777">
        <w:trPr>
          <w:trHeight w:hRule="exact" w:val="351"/>
        </w:trPr>
        <w:tc>
          <w:tcPr>
            <w:tcW w:w="440" w:type="pct"/>
          </w:tcPr>
          <w:p w14:paraId="3E9A98DC" w14:textId="77777777" w:rsidR="007D1E74" w:rsidRDefault="00A95641">
            <w:pPr>
              <w:pStyle w:val="TableParagraph"/>
              <w:spacing w:line="284" w:lineRule="exact"/>
              <w:ind w:left="109" w:right="103"/>
              <w:rPr>
                <w:rFonts w:ascii="宋体"/>
                <w:sz w:val="21"/>
                <w:szCs w:val="21"/>
              </w:rPr>
            </w:pPr>
            <w:r>
              <w:rPr>
                <w:rFonts w:ascii="宋体" w:hint="eastAsia"/>
                <w:sz w:val="21"/>
                <w:szCs w:val="21"/>
              </w:rPr>
              <w:t>种号</w:t>
            </w:r>
          </w:p>
        </w:tc>
        <w:tc>
          <w:tcPr>
            <w:tcW w:w="908" w:type="pct"/>
          </w:tcPr>
          <w:p w14:paraId="4BE6FE39" w14:textId="77777777" w:rsidR="007D1E74" w:rsidRDefault="00A95641">
            <w:pPr>
              <w:pStyle w:val="TableParagraph"/>
              <w:spacing w:line="284" w:lineRule="exact"/>
              <w:ind w:left="397"/>
              <w:rPr>
                <w:rFonts w:ascii="宋体"/>
                <w:sz w:val="21"/>
                <w:szCs w:val="21"/>
              </w:rPr>
            </w:pPr>
            <w:r>
              <w:rPr>
                <w:rFonts w:ascii="宋体" w:hint="eastAsia"/>
                <w:sz w:val="21"/>
                <w:szCs w:val="21"/>
              </w:rPr>
              <w:t>物种名</w:t>
            </w:r>
          </w:p>
        </w:tc>
        <w:tc>
          <w:tcPr>
            <w:tcW w:w="674" w:type="pct"/>
          </w:tcPr>
          <w:p w14:paraId="77B3A36D" w14:textId="77777777" w:rsidR="007D1E74" w:rsidRDefault="00A95641">
            <w:pPr>
              <w:pStyle w:val="TableParagraph"/>
              <w:spacing w:line="284" w:lineRule="exact"/>
              <w:ind w:left="202"/>
              <w:rPr>
                <w:rFonts w:ascii="宋体"/>
                <w:sz w:val="21"/>
                <w:szCs w:val="21"/>
              </w:rPr>
            </w:pPr>
            <w:r>
              <w:rPr>
                <w:rFonts w:ascii="宋体" w:hint="eastAsia"/>
                <w:sz w:val="21"/>
                <w:szCs w:val="21"/>
              </w:rPr>
              <w:t>物候期</w:t>
            </w:r>
          </w:p>
        </w:tc>
        <w:tc>
          <w:tcPr>
            <w:tcW w:w="674" w:type="pct"/>
          </w:tcPr>
          <w:p w14:paraId="41917AD1" w14:textId="77777777" w:rsidR="007D1E74" w:rsidRDefault="00A95641">
            <w:pPr>
              <w:pStyle w:val="TableParagraph"/>
              <w:spacing w:line="302" w:lineRule="exact"/>
              <w:ind w:left="102" w:right="102"/>
              <w:rPr>
                <w:rFonts w:ascii="宋体"/>
                <w:sz w:val="21"/>
                <w:szCs w:val="21"/>
              </w:rPr>
            </w:pPr>
            <w:r>
              <w:rPr>
                <w:rFonts w:ascii="宋体" w:hint="eastAsia"/>
                <w:sz w:val="21"/>
                <w:szCs w:val="21"/>
              </w:rPr>
              <w:t>株</w:t>
            </w:r>
            <w:r>
              <w:rPr>
                <w:sz w:val="21"/>
                <w:szCs w:val="21"/>
              </w:rPr>
              <w:t>(</w:t>
            </w:r>
            <w:r>
              <w:rPr>
                <w:rFonts w:ascii="宋体" w:hint="eastAsia"/>
                <w:sz w:val="21"/>
                <w:szCs w:val="21"/>
              </w:rPr>
              <w:t>丛</w:t>
            </w:r>
            <w:r>
              <w:rPr>
                <w:sz w:val="21"/>
                <w:szCs w:val="21"/>
              </w:rPr>
              <w:t>)</w:t>
            </w:r>
            <w:r>
              <w:rPr>
                <w:rFonts w:ascii="宋体" w:hint="eastAsia"/>
                <w:sz w:val="21"/>
                <w:szCs w:val="21"/>
              </w:rPr>
              <w:t>数</w:t>
            </w:r>
          </w:p>
        </w:tc>
        <w:tc>
          <w:tcPr>
            <w:tcW w:w="674" w:type="pct"/>
          </w:tcPr>
          <w:p w14:paraId="05218543" w14:textId="77777777" w:rsidR="007D1E74" w:rsidRDefault="00A95641">
            <w:pPr>
              <w:pStyle w:val="TableParagraph"/>
              <w:spacing w:line="284" w:lineRule="exact"/>
              <w:ind w:left="102" w:right="102"/>
              <w:rPr>
                <w:rFonts w:ascii="宋体"/>
                <w:sz w:val="21"/>
                <w:szCs w:val="21"/>
              </w:rPr>
            </w:pPr>
            <w:r>
              <w:rPr>
                <w:rFonts w:ascii="宋体" w:hint="eastAsia"/>
                <w:sz w:val="21"/>
                <w:szCs w:val="21"/>
              </w:rPr>
              <w:t>多度</w:t>
            </w:r>
          </w:p>
        </w:tc>
        <w:tc>
          <w:tcPr>
            <w:tcW w:w="978" w:type="pct"/>
          </w:tcPr>
          <w:p w14:paraId="72020CF1" w14:textId="77777777" w:rsidR="007D1E74" w:rsidRDefault="00A95641">
            <w:pPr>
              <w:pStyle w:val="TableParagraph"/>
              <w:spacing w:line="302" w:lineRule="exact"/>
              <w:ind w:left="172" w:right="170"/>
              <w:rPr>
                <w:sz w:val="21"/>
                <w:szCs w:val="21"/>
              </w:rPr>
            </w:pPr>
            <w:r>
              <w:rPr>
                <w:rFonts w:ascii="宋体" w:hint="eastAsia"/>
                <w:w w:val="95"/>
                <w:sz w:val="21"/>
                <w:szCs w:val="21"/>
              </w:rPr>
              <w:t>平均高度</w:t>
            </w:r>
            <w:r>
              <w:rPr>
                <w:w w:val="95"/>
                <w:sz w:val="21"/>
                <w:szCs w:val="21"/>
              </w:rPr>
              <w:t>/cm</w:t>
            </w:r>
          </w:p>
        </w:tc>
        <w:tc>
          <w:tcPr>
            <w:tcW w:w="652" w:type="pct"/>
          </w:tcPr>
          <w:p w14:paraId="53B75CD4" w14:textId="77777777" w:rsidR="007D1E74" w:rsidRDefault="00A95641">
            <w:pPr>
              <w:pStyle w:val="TableParagraph"/>
              <w:spacing w:line="302" w:lineRule="exact"/>
              <w:ind w:left="116" w:right="226"/>
              <w:rPr>
                <w:sz w:val="21"/>
                <w:szCs w:val="21"/>
              </w:rPr>
            </w:pPr>
            <w:r>
              <w:rPr>
                <w:rFonts w:ascii="宋体" w:hint="eastAsia"/>
                <w:w w:val="95"/>
                <w:sz w:val="21"/>
                <w:szCs w:val="21"/>
              </w:rPr>
              <w:t>盖度</w:t>
            </w:r>
            <w:r>
              <w:rPr>
                <w:w w:val="95"/>
                <w:sz w:val="21"/>
                <w:szCs w:val="21"/>
              </w:rPr>
              <w:t>/%</w:t>
            </w:r>
          </w:p>
        </w:tc>
      </w:tr>
      <w:tr w:rsidR="007D1E74" w14:paraId="73123F8C" w14:textId="77777777">
        <w:trPr>
          <w:trHeight w:hRule="exact" w:val="336"/>
        </w:trPr>
        <w:tc>
          <w:tcPr>
            <w:tcW w:w="440" w:type="pct"/>
          </w:tcPr>
          <w:p w14:paraId="5B9CD87B" w14:textId="77777777" w:rsidR="007D1E74" w:rsidRDefault="00A95641">
            <w:pPr>
              <w:pStyle w:val="TableParagraph"/>
              <w:spacing w:before="25"/>
              <w:ind w:left="4"/>
              <w:rPr>
                <w:sz w:val="21"/>
                <w:szCs w:val="21"/>
              </w:rPr>
            </w:pPr>
            <w:r>
              <w:rPr>
                <w:sz w:val="21"/>
                <w:szCs w:val="21"/>
              </w:rPr>
              <w:t>1</w:t>
            </w:r>
          </w:p>
        </w:tc>
        <w:tc>
          <w:tcPr>
            <w:tcW w:w="908" w:type="pct"/>
          </w:tcPr>
          <w:p w14:paraId="2B29DFFE" w14:textId="77777777" w:rsidR="007D1E74" w:rsidRDefault="00A95641">
            <w:pPr>
              <w:pStyle w:val="TableParagraph"/>
              <w:spacing w:line="283" w:lineRule="exact"/>
              <w:ind w:left="102"/>
              <w:rPr>
                <w:rFonts w:ascii="宋体"/>
                <w:sz w:val="21"/>
                <w:szCs w:val="21"/>
              </w:rPr>
            </w:pPr>
            <w:r>
              <w:rPr>
                <w:rFonts w:ascii="宋体" w:hint="eastAsia"/>
                <w:sz w:val="21"/>
                <w:szCs w:val="21"/>
              </w:rPr>
              <w:t>马尾松</w:t>
            </w:r>
          </w:p>
        </w:tc>
        <w:tc>
          <w:tcPr>
            <w:tcW w:w="674" w:type="pct"/>
          </w:tcPr>
          <w:p w14:paraId="0082F00A" w14:textId="77777777" w:rsidR="007D1E74" w:rsidRDefault="00A95641">
            <w:pPr>
              <w:pStyle w:val="TableParagraph"/>
              <w:spacing w:line="283" w:lineRule="exact"/>
              <w:ind w:left="102"/>
              <w:rPr>
                <w:rFonts w:ascii="宋体"/>
                <w:sz w:val="21"/>
                <w:szCs w:val="21"/>
              </w:rPr>
            </w:pPr>
            <w:r>
              <w:rPr>
                <w:rFonts w:ascii="宋体" w:hint="eastAsia"/>
                <w:sz w:val="21"/>
                <w:szCs w:val="21"/>
              </w:rPr>
              <w:t>果期</w:t>
            </w:r>
          </w:p>
        </w:tc>
        <w:tc>
          <w:tcPr>
            <w:tcW w:w="674" w:type="pct"/>
          </w:tcPr>
          <w:p w14:paraId="3A3F5E2A" w14:textId="77777777" w:rsidR="007D1E74" w:rsidRDefault="00A95641">
            <w:pPr>
              <w:pStyle w:val="TableParagraph"/>
              <w:spacing w:before="25"/>
              <w:ind w:right="1"/>
              <w:rPr>
                <w:sz w:val="21"/>
                <w:szCs w:val="21"/>
              </w:rPr>
            </w:pPr>
            <w:r>
              <w:rPr>
                <w:sz w:val="21"/>
                <w:szCs w:val="21"/>
              </w:rPr>
              <w:t>7</w:t>
            </w:r>
          </w:p>
        </w:tc>
        <w:tc>
          <w:tcPr>
            <w:tcW w:w="674" w:type="pct"/>
          </w:tcPr>
          <w:p w14:paraId="2C0C4362" w14:textId="77777777" w:rsidR="007D1E74" w:rsidRDefault="00A95641">
            <w:pPr>
              <w:pStyle w:val="TableParagraph"/>
              <w:spacing w:before="22"/>
              <w:ind w:left="231" w:right="231"/>
              <w:rPr>
                <w:sz w:val="21"/>
                <w:szCs w:val="21"/>
              </w:rPr>
            </w:pPr>
            <w:r>
              <w:rPr>
                <w:position w:val="2"/>
                <w:sz w:val="21"/>
                <w:szCs w:val="21"/>
              </w:rPr>
              <w:t>Cop</w:t>
            </w:r>
            <w:r>
              <w:rPr>
                <w:sz w:val="21"/>
                <w:szCs w:val="21"/>
              </w:rPr>
              <w:t>2</w:t>
            </w:r>
          </w:p>
        </w:tc>
        <w:tc>
          <w:tcPr>
            <w:tcW w:w="978" w:type="pct"/>
          </w:tcPr>
          <w:p w14:paraId="6D81C889" w14:textId="77777777" w:rsidR="007D1E74" w:rsidRDefault="00A95641">
            <w:pPr>
              <w:pStyle w:val="TableParagraph"/>
              <w:spacing w:before="25"/>
              <w:ind w:left="169" w:right="170"/>
              <w:rPr>
                <w:sz w:val="21"/>
                <w:szCs w:val="21"/>
              </w:rPr>
            </w:pPr>
            <w:r>
              <w:rPr>
                <w:sz w:val="21"/>
                <w:szCs w:val="21"/>
              </w:rPr>
              <w:t>15</w:t>
            </w:r>
          </w:p>
        </w:tc>
        <w:tc>
          <w:tcPr>
            <w:tcW w:w="652" w:type="pct"/>
          </w:tcPr>
          <w:p w14:paraId="26F729FB" w14:textId="77777777" w:rsidR="007D1E74" w:rsidRDefault="00A95641">
            <w:pPr>
              <w:pStyle w:val="TableParagraph"/>
              <w:spacing w:before="25"/>
              <w:ind w:left="116" w:right="224"/>
              <w:rPr>
                <w:sz w:val="21"/>
                <w:szCs w:val="21"/>
              </w:rPr>
            </w:pPr>
            <w:r>
              <w:rPr>
                <w:sz w:val="21"/>
                <w:szCs w:val="21"/>
              </w:rPr>
              <w:t>60</w:t>
            </w:r>
          </w:p>
        </w:tc>
      </w:tr>
      <w:tr w:rsidR="007D1E74" w14:paraId="4E963056" w14:textId="77777777">
        <w:trPr>
          <w:trHeight w:hRule="exact" w:val="336"/>
        </w:trPr>
        <w:tc>
          <w:tcPr>
            <w:tcW w:w="440" w:type="pct"/>
          </w:tcPr>
          <w:p w14:paraId="1E1CD4FF" w14:textId="77777777" w:rsidR="007D1E74" w:rsidRDefault="00A95641">
            <w:pPr>
              <w:pStyle w:val="TableParagraph"/>
              <w:spacing w:before="25"/>
              <w:ind w:left="4"/>
              <w:rPr>
                <w:sz w:val="21"/>
                <w:szCs w:val="21"/>
              </w:rPr>
            </w:pPr>
            <w:r>
              <w:rPr>
                <w:sz w:val="21"/>
                <w:szCs w:val="21"/>
              </w:rPr>
              <w:t>2</w:t>
            </w:r>
          </w:p>
        </w:tc>
        <w:tc>
          <w:tcPr>
            <w:tcW w:w="908" w:type="pct"/>
          </w:tcPr>
          <w:p w14:paraId="53240D48" w14:textId="77777777" w:rsidR="007D1E74" w:rsidRDefault="00A95641">
            <w:pPr>
              <w:pStyle w:val="TableParagraph"/>
              <w:spacing w:line="283" w:lineRule="exact"/>
              <w:ind w:left="102"/>
              <w:rPr>
                <w:rFonts w:ascii="宋体"/>
                <w:sz w:val="21"/>
                <w:szCs w:val="21"/>
              </w:rPr>
            </w:pPr>
            <w:r>
              <w:rPr>
                <w:rFonts w:ascii="宋体" w:hint="eastAsia"/>
                <w:sz w:val="21"/>
                <w:szCs w:val="21"/>
              </w:rPr>
              <w:t>柏木</w:t>
            </w:r>
          </w:p>
        </w:tc>
        <w:tc>
          <w:tcPr>
            <w:tcW w:w="674" w:type="pct"/>
          </w:tcPr>
          <w:p w14:paraId="291E6A69" w14:textId="77777777" w:rsidR="007D1E74" w:rsidRDefault="00A95641">
            <w:pPr>
              <w:pStyle w:val="TableParagraph"/>
              <w:spacing w:line="283" w:lineRule="exact"/>
              <w:ind w:left="102"/>
              <w:rPr>
                <w:rFonts w:ascii="宋体"/>
                <w:sz w:val="21"/>
                <w:szCs w:val="21"/>
              </w:rPr>
            </w:pPr>
            <w:r>
              <w:rPr>
                <w:rFonts w:ascii="宋体" w:hint="eastAsia"/>
                <w:sz w:val="21"/>
                <w:szCs w:val="21"/>
              </w:rPr>
              <w:t>果期</w:t>
            </w:r>
          </w:p>
        </w:tc>
        <w:tc>
          <w:tcPr>
            <w:tcW w:w="674" w:type="pct"/>
          </w:tcPr>
          <w:p w14:paraId="0EE4FD2A" w14:textId="77777777" w:rsidR="007D1E74" w:rsidRDefault="00A95641">
            <w:pPr>
              <w:pStyle w:val="TableParagraph"/>
              <w:spacing w:before="25"/>
              <w:ind w:right="1"/>
              <w:rPr>
                <w:sz w:val="21"/>
                <w:szCs w:val="21"/>
              </w:rPr>
            </w:pPr>
            <w:r>
              <w:rPr>
                <w:sz w:val="21"/>
                <w:szCs w:val="21"/>
              </w:rPr>
              <w:t>3</w:t>
            </w:r>
          </w:p>
        </w:tc>
        <w:tc>
          <w:tcPr>
            <w:tcW w:w="674" w:type="pct"/>
          </w:tcPr>
          <w:p w14:paraId="01D0DE86" w14:textId="77777777" w:rsidR="007D1E74" w:rsidRDefault="00A95641">
            <w:pPr>
              <w:pStyle w:val="TableParagraph"/>
              <w:spacing w:before="22"/>
              <w:ind w:left="231" w:right="231"/>
              <w:rPr>
                <w:sz w:val="21"/>
                <w:szCs w:val="21"/>
              </w:rPr>
            </w:pPr>
            <w:r>
              <w:rPr>
                <w:position w:val="2"/>
                <w:sz w:val="21"/>
                <w:szCs w:val="21"/>
              </w:rPr>
              <w:t>Cop</w:t>
            </w:r>
            <w:r>
              <w:rPr>
                <w:sz w:val="21"/>
                <w:szCs w:val="21"/>
              </w:rPr>
              <w:t>1</w:t>
            </w:r>
          </w:p>
        </w:tc>
        <w:tc>
          <w:tcPr>
            <w:tcW w:w="978" w:type="pct"/>
          </w:tcPr>
          <w:p w14:paraId="44F558E0" w14:textId="77777777" w:rsidR="007D1E74" w:rsidRDefault="00A95641">
            <w:pPr>
              <w:pStyle w:val="TableParagraph"/>
              <w:spacing w:before="25"/>
              <w:ind w:left="169" w:right="170"/>
              <w:rPr>
                <w:sz w:val="21"/>
                <w:szCs w:val="21"/>
              </w:rPr>
            </w:pPr>
            <w:r>
              <w:rPr>
                <w:sz w:val="21"/>
                <w:szCs w:val="21"/>
              </w:rPr>
              <w:t>12</w:t>
            </w:r>
          </w:p>
        </w:tc>
        <w:tc>
          <w:tcPr>
            <w:tcW w:w="652" w:type="pct"/>
          </w:tcPr>
          <w:p w14:paraId="135F6AF0" w14:textId="77777777" w:rsidR="007D1E74" w:rsidRDefault="00A95641">
            <w:pPr>
              <w:pStyle w:val="TableParagraph"/>
              <w:spacing w:before="25"/>
              <w:ind w:left="116" w:right="224"/>
              <w:rPr>
                <w:sz w:val="21"/>
                <w:szCs w:val="21"/>
              </w:rPr>
            </w:pPr>
            <w:r>
              <w:rPr>
                <w:sz w:val="21"/>
                <w:szCs w:val="21"/>
              </w:rPr>
              <w:t>20</w:t>
            </w:r>
          </w:p>
        </w:tc>
      </w:tr>
      <w:tr w:rsidR="007D1E74" w14:paraId="67DACD3E" w14:textId="77777777">
        <w:trPr>
          <w:trHeight w:hRule="exact" w:val="336"/>
        </w:trPr>
        <w:tc>
          <w:tcPr>
            <w:tcW w:w="440" w:type="pct"/>
          </w:tcPr>
          <w:p w14:paraId="72C92117" w14:textId="77777777" w:rsidR="007D1E74" w:rsidRDefault="00A95641">
            <w:pPr>
              <w:pStyle w:val="TableParagraph"/>
              <w:spacing w:before="25"/>
              <w:ind w:left="4"/>
              <w:rPr>
                <w:sz w:val="21"/>
                <w:szCs w:val="21"/>
              </w:rPr>
            </w:pPr>
            <w:r>
              <w:rPr>
                <w:sz w:val="21"/>
                <w:szCs w:val="21"/>
              </w:rPr>
              <w:t>3</w:t>
            </w:r>
          </w:p>
        </w:tc>
        <w:tc>
          <w:tcPr>
            <w:tcW w:w="908" w:type="pct"/>
          </w:tcPr>
          <w:p w14:paraId="290764FF" w14:textId="77777777" w:rsidR="007D1E74" w:rsidRDefault="00A95641">
            <w:pPr>
              <w:pStyle w:val="TableParagraph"/>
              <w:spacing w:line="283" w:lineRule="exact"/>
              <w:ind w:left="102"/>
              <w:rPr>
                <w:rFonts w:ascii="宋体"/>
                <w:sz w:val="21"/>
                <w:szCs w:val="21"/>
              </w:rPr>
            </w:pPr>
            <w:r>
              <w:rPr>
                <w:rFonts w:ascii="宋体" w:hint="eastAsia"/>
                <w:sz w:val="21"/>
                <w:szCs w:val="21"/>
              </w:rPr>
              <w:t>桤木</w:t>
            </w:r>
          </w:p>
        </w:tc>
        <w:tc>
          <w:tcPr>
            <w:tcW w:w="674" w:type="pct"/>
          </w:tcPr>
          <w:p w14:paraId="1BBA4502" w14:textId="77777777" w:rsidR="007D1E74" w:rsidRDefault="00A95641">
            <w:pPr>
              <w:pStyle w:val="TableParagraph"/>
              <w:spacing w:line="283" w:lineRule="exact"/>
              <w:ind w:left="102"/>
              <w:rPr>
                <w:rFonts w:ascii="宋体"/>
                <w:sz w:val="21"/>
                <w:szCs w:val="21"/>
              </w:rPr>
            </w:pPr>
            <w:r>
              <w:rPr>
                <w:rFonts w:ascii="宋体" w:hint="eastAsia"/>
                <w:sz w:val="21"/>
                <w:szCs w:val="21"/>
              </w:rPr>
              <w:t>果期</w:t>
            </w:r>
          </w:p>
        </w:tc>
        <w:tc>
          <w:tcPr>
            <w:tcW w:w="674" w:type="pct"/>
          </w:tcPr>
          <w:p w14:paraId="53F6244F" w14:textId="77777777" w:rsidR="007D1E74" w:rsidRDefault="00A95641">
            <w:pPr>
              <w:pStyle w:val="TableParagraph"/>
              <w:spacing w:before="25"/>
              <w:ind w:right="1"/>
              <w:rPr>
                <w:sz w:val="21"/>
                <w:szCs w:val="21"/>
              </w:rPr>
            </w:pPr>
            <w:r>
              <w:rPr>
                <w:sz w:val="21"/>
                <w:szCs w:val="21"/>
              </w:rPr>
              <w:t>2</w:t>
            </w:r>
          </w:p>
        </w:tc>
        <w:tc>
          <w:tcPr>
            <w:tcW w:w="674" w:type="pct"/>
          </w:tcPr>
          <w:p w14:paraId="24DBC896" w14:textId="77777777" w:rsidR="007D1E74" w:rsidRDefault="00A95641">
            <w:pPr>
              <w:pStyle w:val="TableParagraph"/>
              <w:spacing w:before="25"/>
              <w:ind w:left="231" w:right="231"/>
              <w:rPr>
                <w:sz w:val="21"/>
                <w:szCs w:val="21"/>
              </w:rPr>
            </w:pPr>
            <w:r>
              <w:rPr>
                <w:sz w:val="21"/>
                <w:szCs w:val="21"/>
              </w:rPr>
              <w:t>Sp</w:t>
            </w:r>
          </w:p>
        </w:tc>
        <w:tc>
          <w:tcPr>
            <w:tcW w:w="978" w:type="pct"/>
          </w:tcPr>
          <w:p w14:paraId="1EAAECD3" w14:textId="77777777" w:rsidR="007D1E74" w:rsidRDefault="00A95641">
            <w:pPr>
              <w:pStyle w:val="TableParagraph"/>
              <w:spacing w:before="25"/>
              <w:ind w:left="169" w:right="170"/>
              <w:rPr>
                <w:sz w:val="21"/>
                <w:szCs w:val="21"/>
              </w:rPr>
            </w:pPr>
            <w:r>
              <w:rPr>
                <w:sz w:val="21"/>
                <w:szCs w:val="21"/>
              </w:rPr>
              <w:t>14</w:t>
            </w:r>
          </w:p>
        </w:tc>
        <w:tc>
          <w:tcPr>
            <w:tcW w:w="652" w:type="pct"/>
          </w:tcPr>
          <w:p w14:paraId="1E4C1553" w14:textId="77777777" w:rsidR="007D1E74" w:rsidRDefault="00A95641">
            <w:pPr>
              <w:pStyle w:val="TableParagraph"/>
              <w:spacing w:before="25"/>
              <w:ind w:right="108"/>
              <w:rPr>
                <w:sz w:val="21"/>
                <w:szCs w:val="21"/>
              </w:rPr>
            </w:pPr>
            <w:r>
              <w:rPr>
                <w:sz w:val="21"/>
                <w:szCs w:val="21"/>
              </w:rPr>
              <w:t>5</w:t>
            </w:r>
          </w:p>
        </w:tc>
      </w:tr>
      <w:tr w:rsidR="007D1E74" w14:paraId="213C806E" w14:textId="77777777">
        <w:trPr>
          <w:trHeight w:hRule="exact" w:val="336"/>
        </w:trPr>
        <w:tc>
          <w:tcPr>
            <w:tcW w:w="440" w:type="pct"/>
          </w:tcPr>
          <w:p w14:paraId="5000B749" w14:textId="77777777" w:rsidR="007D1E74" w:rsidRDefault="00A95641">
            <w:pPr>
              <w:pStyle w:val="TableParagraph"/>
              <w:spacing w:before="25"/>
              <w:ind w:left="4"/>
              <w:rPr>
                <w:sz w:val="21"/>
                <w:szCs w:val="21"/>
              </w:rPr>
            </w:pPr>
            <w:r>
              <w:rPr>
                <w:sz w:val="21"/>
                <w:szCs w:val="21"/>
              </w:rPr>
              <w:t>4</w:t>
            </w:r>
          </w:p>
        </w:tc>
        <w:tc>
          <w:tcPr>
            <w:tcW w:w="908" w:type="pct"/>
          </w:tcPr>
          <w:p w14:paraId="46845DB6" w14:textId="77777777" w:rsidR="007D1E74" w:rsidRDefault="00A95641">
            <w:pPr>
              <w:pStyle w:val="TableParagraph"/>
              <w:spacing w:line="283" w:lineRule="exact"/>
              <w:ind w:left="102"/>
              <w:rPr>
                <w:rFonts w:ascii="宋体"/>
                <w:sz w:val="21"/>
                <w:szCs w:val="21"/>
              </w:rPr>
            </w:pPr>
            <w:r>
              <w:rPr>
                <w:rFonts w:ascii="宋体" w:hint="eastAsia"/>
                <w:sz w:val="21"/>
                <w:szCs w:val="21"/>
              </w:rPr>
              <w:t>麻栎</w:t>
            </w:r>
          </w:p>
        </w:tc>
        <w:tc>
          <w:tcPr>
            <w:tcW w:w="674" w:type="pct"/>
          </w:tcPr>
          <w:p w14:paraId="5F0BE210" w14:textId="77777777" w:rsidR="007D1E74" w:rsidRDefault="00A95641">
            <w:pPr>
              <w:pStyle w:val="TableParagraph"/>
              <w:spacing w:line="283" w:lineRule="exact"/>
              <w:ind w:left="102"/>
              <w:rPr>
                <w:rFonts w:ascii="宋体"/>
                <w:sz w:val="21"/>
                <w:szCs w:val="21"/>
              </w:rPr>
            </w:pPr>
            <w:r>
              <w:rPr>
                <w:rFonts w:ascii="宋体" w:hint="eastAsia"/>
                <w:sz w:val="21"/>
                <w:szCs w:val="21"/>
              </w:rPr>
              <w:t>果期</w:t>
            </w:r>
          </w:p>
        </w:tc>
        <w:tc>
          <w:tcPr>
            <w:tcW w:w="674" w:type="pct"/>
          </w:tcPr>
          <w:p w14:paraId="65EC5C92" w14:textId="77777777" w:rsidR="007D1E74" w:rsidRDefault="00A95641">
            <w:pPr>
              <w:pStyle w:val="TableParagraph"/>
              <w:spacing w:before="25"/>
              <w:ind w:right="1"/>
              <w:rPr>
                <w:sz w:val="21"/>
                <w:szCs w:val="21"/>
              </w:rPr>
            </w:pPr>
            <w:r>
              <w:rPr>
                <w:sz w:val="21"/>
                <w:szCs w:val="21"/>
              </w:rPr>
              <w:t>2</w:t>
            </w:r>
          </w:p>
        </w:tc>
        <w:tc>
          <w:tcPr>
            <w:tcW w:w="674" w:type="pct"/>
          </w:tcPr>
          <w:p w14:paraId="37A8484C" w14:textId="77777777" w:rsidR="007D1E74" w:rsidRDefault="00A95641">
            <w:pPr>
              <w:pStyle w:val="TableParagraph"/>
              <w:spacing w:before="25"/>
              <w:ind w:left="231" w:right="231"/>
              <w:rPr>
                <w:sz w:val="21"/>
                <w:szCs w:val="21"/>
              </w:rPr>
            </w:pPr>
            <w:r>
              <w:rPr>
                <w:sz w:val="21"/>
                <w:szCs w:val="21"/>
              </w:rPr>
              <w:t>Sp</w:t>
            </w:r>
          </w:p>
        </w:tc>
        <w:tc>
          <w:tcPr>
            <w:tcW w:w="978" w:type="pct"/>
          </w:tcPr>
          <w:p w14:paraId="4DEA5DBB" w14:textId="77777777" w:rsidR="007D1E74" w:rsidRDefault="00A95641">
            <w:pPr>
              <w:pStyle w:val="TableParagraph"/>
              <w:spacing w:before="25"/>
              <w:ind w:left="169" w:right="170"/>
              <w:rPr>
                <w:sz w:val="21"/>
                <w:szCs w:val="21"/>
              </w:rPr>
            </w:pPr>
            <w:r>
              <w:rPr>
                <w:sz w:val="21"/>
                <w:szCs w:val="21"/>
              </w:rPr>
              <w:t>13</w:t>
            </w:r>
          </w:p>
        </w:tc>
        <w:tc>
          <w:tcPr>
            <w:tcW w:w="652" w:type="pct"/>
          </w:tcPr>
          <w:p w14:paraId="331AABC5" w14:textId="77777777" w:rsidR="007D1E74" w:rsidRDefault="00A95641">
            <w:pPr>
              <w:pStyle w:val="TableParagraph"/>
              <w:spacing w:before="25"/>
              <w:ind w:right="108"/>
              <w:rPr>
                <w:sz w:val="21"/>
                <w:szCs w:val="21"/>
              </w:rPr>
            </w:pPr>
            <w:r>
              <w:rPr>
                <w:sz w:val="21"/>
                <w:szCs w:val="21"/>
              </w:rPr>
              <w:t>5</w:t>
            </w:r>
          </w:p>
        </w:tc>
      </w:tr>
      <w:tr w:rsidR="007D1E74" w14:paraId="7BB2405E" w14:textId="77777777">
        <w:trPr>
          <w:trHeight w:hRule="exact" w:val="336"/>
        </w:trPr>
        <w:tc>
          <w:tcPr>
            <w:tcW w:w="440" w:type="pct"/>
          </w:tcPr>
          <w:p w14:paraId="2917C9F7" w14:textId="77777777" w:rsidR="007D1E74" w:rsidRDefault="00A95641">
            <w:pPr>
              <w:pStyle w:val="TableParagraph"/>
              <w:spacing w:before="25"/>
              <w:ind w:left="4"/>
              <w:rPr>
                <w:sz w:val="21"/>
                <w:szCs w:val="21"/>
              </w:rPr>
            </w:pPr>
            <w:r>
              <w:rPr>
                <w:sz w:val="21"/>
                <w:szCs w:val="21"/>
              </w:rPr>
              <w:t>5</w:t>
            </w:r>
          </w:p>
        </w:tc>
        <w:tc>
          <w:tcPr>
            <w:tcW w:w="908" w:type="pct"/>
          </w:tcPr>
          <w:p w14:paraId="10ABBF95" w14:textId="77777777" w:rsidR="007D1E74" w:rsidRDefault="00A95641">
            <w:pPr>
              <w:pStyle w:val="TableParagraph"/>
              <w:spacing w:line="283" w:lineRule="exact"/>
              <w:ind w:left="102"/>
              <w:rPr>
                <w:rFonts w:ascii="宋体"/>
                <w:sz w:val="21"/>
                <w:szCs w:val="21"/>
              </w:rPr>
            </w:pPr>
            <w:r>
              <w:rPr>
                <w:rFonts w:ascii="宋体" w:hint="eastAsia"/>
                <w:sz w:val="21"/>
                <w:szCs w:val="21"/>
              </w:rPr>
              <w:t>灯台树</w:t>
            </w:r>
          </w:p>
        </w:tc>
        <w:tc>
          <w:tcPr>
            <w:tcW w:w="674" w:type="pct"/>
          </w:tcPr>
          <w:p w14:paraId="27E1691C" w14:textId="77777777" w:rsidR="007D1E74" w:rsidRDefault="00A95641">
            <w:pPr>
              <w:pStyle w:val="TableParagraph"/>
              <w:spacing w:line="283" w:lineRule="exact"/>
              <w:ind w:left="102"/>
              <w:rPr>
                <w:rFonts w:ascii="宋体"/>
                <w:sz w:val="21"/>
                <w:szCs w:val="21"/>
              </w:rPr>
            </w:pPr>
            <w:r>
              <w:rPr>
                <w:rFonts w:ascii="宋体" w:hint="eastAsia"/>
                <w:sz w:val="21"/>
                <w:szCs w:val="21"/>
              </w:rPr>
              <w:t>果期</w:t>
            </w:r>
          </w:p>
        </w:tc>
        <w:tc>
          <w:tcPr>
            <w:tcW w:w="674" w:type="pct"/>
          </w:tcPr>
          <w:p w14:paraId="0D8A1092" w14:textId="77777777" w:rsidR="007D1E74" w:rsidRDefault="00A95641">
            <w:pPr>
              <w:pStyle w:val="TableParagraph"/>
              <w:spacing w:before="25"/>
              <w:ind w:right="1"/>
              <w:rPr>
                <w:sz w:val="21"/>
                <w:szCs w:val="21"/>
              </w:rPr>
            </w:pPr>
            <w:r>
              <w:rPr>
                <w:sz w:val="21"/>
                <w:szCs w:val="21"/>
              </w:rPr>
              <w:t>2</w:t>
            </w:r>
          </w:p>
        </w:tc>
        <w:tc>
          <w:tcPr>
            <w:tcW w:w="674" w:type="pct"/>
          </w:tcPr>
          <w:p w14:paraId="04AA69C4" w14:textId="77777777" w:rsidR="007D1E74" w:rsidRDefault="00A95641">
            <w:pPr>
              <w:pStyle w:val="TableParagraph"/>
              <w:spacing w:before="25"/>
              <w:ind w:left="231" w:right="231"/>
              <w:rPr>
                <w:sz w:val="21"/>
                <w:szCs w:val="21"/>
              </w:rPr>
            </w:pPr>
            <w:r>
              <w:rPr>
                <w:sz w:val="21"/>
                <w:szCs w:val="21"/>
              </w:rPr>
              <w:t>Sp</w:t>
            </w:r>
          </w:p>
        </w:tc>
        <w:tc>
          <w:tcPr>
            <w:tcW w:w="978" w:type="pct"/>
          </w:tcPr>
          <w:p w14:paraId="18A82493" w14:textId="77777777" w:rsidR="007D1E74" w:rsidRDefault="00A95641">
            <w:pPr>
              <w:pStyle w:val="TableParagraph"/>
              <w:spacing w:before="25"/>
              <w:ind w:left="169" w:right="170"/>
              <w:rPr>
                <w:sz w:val="21"/>
                <w:szCs w:val="21"/>
              </w:rPr>
            </w:pPr>
            <w:r>
              <w:rPr>
                <w:sz w:val="21"/>
                <w:szCs w:val="21"/>
              </w:rPr>
              <w:t>13</w:t>
            </w:r>
          </w:p>
        </w:tc>
        <w:tc>
          <w:tcPr>
            <w:tcW w:w="652" w:type="pct"/>
          </w:tcPr>
          <w:p w14:paraId="058FE0DD" w14:textId="77777777" w:rsidR="007D1E74" w:rsidRDefault="00A95641">
            <w:pPr>
              <w:pStyle w:val="TableParagraph"/>
              <w:spacing w:before="25"/>
              <w:ind w:right="108"/>
              <w:rPr>
                <w:sz w:val="21"/>
                <w:szCs w:val="21"/>
              </w:rPr>
            </w:pPr>
            <w:r>
              <w:rPr>
                <w:sz w:val="21"/>
                <w:szCs w:val="21"/>
              </w:rPr>
              <w:t>4</w:t>
            </w:r>
          </w:p>
        </w:tc>
      </w:tr>
      <w:tr w:rsidR="007D1E74" w14:paraId="7F5CE9A3" w14:textId="77777777">
        <w:trPr>
          <w:trHeight w:hRule="exact" w:val="336"/>
        </w:trPr>
        <w:tc>
          <w:tcPr>
            <w:tcW w:w="440" w:type="pct"/>
          </w:tcPr>
          <w:p w14:paraId="005C5E4C" w14:textId="77777777" w:rsidR="007D1E74" w:rsidRDefault="00A95641">
            <w:pPr>
              <w:pStyle w:val="TableParagraph"/>
              <w:spacing w:before="25"/>
              <w:ind w:left="4"/>
              <w:rPr>
                <w:sz w:val="21"/>
                <w:szCs w:val="21"/>
              </w:rPr>
            </w:pPr>
            <w:r>
              <w:rPr>
                <w:sz w:val="21"/>
                <w:szCs w:val="21"/>
              </w:rPr>
              <w:lastRenderedPageBreak/>
              <w:t>6</w:t>
            </w:r>
          </w:p>
        </w:tc>
        <w:tc>
          <w:tcPr>
            <w:tcW w:w="908" w:type="pct"/>
          </w:tcPr>
          <w:p w14:paraId="729A3EBB" w14:textId="77777777" w:rsidR="007D1E74" w:rsidRDefault="00A95641">
            <w:pPr>
              <w:pStyle w:val="TableParagraph"/>
              <w:spacing w:line="283" w:lineRule="exact"/>
              <w:ind w:left="102"/>
              <w:rPr>
                <w:rFonts w:ascii="宋体"/>
                <w:sz w:val="21"/>
                <w:szCs w:val="21"/>
              </w:rPr>
            </w:pPr>
            <w:r>
              <w:rPr>
                <w:rFonts w:ascii="宋体" w:hint="eastAsia"/>
                <w:sz w:val="21"/>
                <w:szCs w:val="21"/>
              </w:rPr>
              <w:t>楝</w:t>
            </w:r>
          </w:p>
        </w:tc>
        <w:tc>
          <w:tcPr>
            <w:tcW w:w="674" w:type="pct"/>
          </w:tcPr>
          <w:p w14:paraId="226583D3" w14:textId="77777777" w:rsidR="007D1E74" w:rsidRDefault="00A95641">
            <w:pPr>
              <w:pStyle w:val="TableParagraph"/>
              <w:spacing w:line="283" w:lineRule="exact"/>
              <w:ind w:left="102"/>
              <w:rPr>
                <w:rFonts w:ascii="宋体"/>
                <w:sz w:val="21"/>
                <w:szCs w:val="21"/>
              </w:rPr>
            </w:pPr>
            <w:r>
              <w:rPr>
                <w:rFonts w:ascii="宋体" w:hint="eastAsia"/>
                <w:sz w:val="21"/>
                <w:szCs w:val="21"/>
              </w:rPr>
              <w:t>果期</w:t>
            </w:r>
          </w:p>
        </w:tc>
        <w:tc>
          <w:tcPr>
            <w:tcW w:w="674" w:type="pct"/>
          </w:tcPr>
          <w:p w14:paraId="2B7EE921" w14:textId="77777777" w:rsidR="007D1E74" w:rsidRDefault="00A95641">
            <w:pPr>
              <w:pStyle w:val="TableParagraph"/>
              <w:spacing w:before="25"/>
              <w:ind w:right="1"/>
              <w:rPr>
                <w:sz w:val="21"/>
                <w:szCs w:val="21"/>
              </w:rPr>
            </w:pPr>
            <w:r>
              <w:rPr>
                <w:sz w:val="21"/>
                <w:szCs w:val="21"/>
              </w:rPr>
              <w:t>1</w:t>
            </w:r>
          </w:p>
        </w:tc>
        <w:tc>
          <w:tcPr>
            <w:tcW w:w="674" w:type="pct"/>
          </w:tcPr>
          <w:p w14:paraId="3EC268A9" w14:textId="77777777" w:rsidR="007D1E74" w:rsidRDefault="00A95641">
            <w:pPr>
              <w:pStyle w:val="TableParagraph"/>
              <w:spacing w:before="25"/>
              <w:ind w:left="231" w:right="231"/>
              <w:rPr>
                <w:sz w:val="21"/>
                <w:szCs w:val="21"/>
              </w:rPr>
            </w:pPr>
            <w:r>
              <w:rPr>
                <w:sz w:val="21"/>
                <w:szCs w:val="21"/>
              </w:rPr>
              <w:t>Sp</w:t>
            </w:r>
          </w:p>
        </w:tc>
        <w:tc>
          <w:tcPr>
            <w:tcW w:w="978" w:type="pct"/>
          </w:tcPr>
          <w:p w14:paraId="4335F4C9" w14:textId="77777777" w:rsidR="007D1E74" w:rsidRDefault="00A95641">
            <w:pPr>
              <w:pStyle w:val="TableParagraph"/>
              <w:spacing w:before="25"/>
              <w:ind w:right="1"/>
              <w:rPr>
                <w:sz w:val="21"/>
                <w:szCs w:val="21"/>
              </w:rPr>
            </w:pPr>
            <w:r>
              <w:rPr>
                <w:sz w:val="21"/>
                <w:szCs w:val="21"/>
              </w:rPr>
              <w:t>8</w:t>
            </w:r>
          </w:p>
        </w:tc>
        <w:tc>
          <w:tcPr>
            <w:tcW w:w="652" w:type="pct"/>
          </w:tcPr>
          <w:p w14:paraId="07FC9140" w14:textId="77777777" w:rsidR="007D1E74" w:rsidRDefault="00A95641">
            <w:pPr>
              <w:pStyle w:val="TableParagraph"/>
              <w:spacing w:before="25"/>
              <w:ind w:right="108"/>
              <w:rPr>
                <w:sz w:val="21"/>
                <w:szCs w:val="21"/>
              </w:rPr>
            </w:pPr>
            <w:r>
              <w:rPr>
                <w:sz w:val="21"/>
                <w:szCs w:val="21"/>
              </w:rPr>
              <w:t>3</w:t>
            </w:r>
          </w:p>
        </w:tc>
      </w:tr>
      <w:tr w:rsidR="007D1E74" w14:paraId="40B054A9" w14:textId="77777777">
        <w:trPr>
          <w:trHeight w:hRule="exact" w:val="336"/>
        </w:trPr>
        <w:tc>
          <w:tcPr>
            <w:tcW w:w="440" w:type="pct"/>
          </w:tcPr>
          <w:p w14:paraId="2A7C048F" w14:textId="77777777" w:rsidR="007D1E74" w:rsidRDefault="00A95641">
            <w:pPr>
              <w:pStyle w:val="TableParagraph"/>
              <w:spacing w:before="25"/>
              <w:ind w:left="4"/>
              <w:rPr>
                <w:sz w:val="21"/>
                <w:szCs w:val="21"/>
              </w:rPr>
            </w:pPr>
            <w:r>
              <w:rPr>
                <w:sz w:val="21"/>
                <w:szCs w:val="21"/>
              </w:rPr>
              <w:t>7</w:t>
            </w:r>
          </w:p>
        </w:tc>
        <w:tc>
          <w:tcPr>
            <w:tcW w:w="908" w:type="pct"/>
          </w:tcPr>
          <w:p w14:paraId="72C79C9E" w14:textId="77777777" w:rsidR="007D1E74" w:rsidRDefault="00A95641">
            <w:pPr>
              <w:pStyle w:val="TableParagraph"/>
              <w:spacing w:line="283" w:lineRule="exact"/>
              <w:ind w:left="102"/>
              <w:rPr>
                <w:rFonts w:ascii="宋体"/>
                <w:sz w:val="21"/>
                <w:szCs w:val="21"/>
              </w:rPr>
            </w:pPr>
            <w:r>
              <w:rPr>
                <w:rFonts w:ascii="宋体" w:hint="eastAsia"/>
                <w:sz w:val="21"/>
                <w:szCs w:val="21"/>
              </w:rPr>
              <w:t>八角枫</w:t>
            </w:r>
          </w:p>
        </w:tc>
        <w:tc>
          <w:tcPr>
            <w:tcW w:w="674" w:type="pct"/>
          </w:tcPr>
          <w:p w14:paraId="6ED03BDA" w14:textId="77777777" w:rsidR="007D1E74" w:rsidRDefault="00A95641">
            <w:pPr>
              <w:pStyle w:val="TableParagraph"/>
              <w:spacing w:line="283" w:lineRule="exact"/>
              <w:ind w:left="102"/>
              <w:rPr>
                <w:rFonts w:ascii="宋体"/>
                <w:sz w:val="21"/>
                <w:szCs w:val="21"/>
              </w:rPr>
            </w:pPr>
            <w:r>
              <w:rPr>
                <w:rFonts w:ascii="宋体" w:hint="eastAsia"/>
                <w:sz w:val="21"/>
                <w:szCs w:val="21"/>
              </w:rPr>
              <w:t>营养期</w:t>
            </w:r>
          </w:p>
        </w:tc>
        <w:tc>
          <w:tcPr>
            <w:tcW w:w="674" w:type="pct"/>
          </w:tcPr>
          <w:p w14:paraId="45950E1C" w14:textId="77777777" w:rsidR="007D1E74" w:rsidRDefault="00A95641">
            <w:pPr>
              <w:pStyle w:val="TableParagraph"/>
              <w:spacing w:before="25"/>
              <w:ind w:right="1"/>
              <w:rPr>
                <w:sz w:val="21"/>
                <w:szCs w:val="21"/>
              </w:rPr>
            </w:pPr>
            <w:r>
              <w:rPr>
                <w:sz w:val="21"/>
                <w:szCs w:val="21"/>
              </w:rPr>
              <w:t>1</w:t>
            </w:r>
          </w:p>
        </w:tc>
        <w:tc>
          <w:tcPr>
            <w:tcW w:w="674" w:type="pct"/>
          </w:tcPr>
          <w:p w14:paraId="024B2204" w14:textId="77777777" w:rsidR="007D1E74" w:rsidRDefault="00A95641">
            <w:pPr>
              <w:pStyle w:val="TableParagraph"/>
              <w:spacing w:before="25"/>
              <w:ind w:left="231" w:right="231"/>
              <w:rPr>
                <w:sz w:val="21"/>
                <w:szCs w:val="21"/>
              </w:rPr>
            </w:pPr>
            <w:r>
              <w:rPr>
                <w:sz w:val="21"/>
                <w:szCs w:val="21"/>
              </w:rPr>
              <w:t>Sp</w:t>
            </w:r>
          </w:p>
        </w:tc>
        <w:tc>
          <w:tcPr>
            <w:tcW w:w="978" w:type="pct"/>
          </w:tcPr>
          <w:p w14:paraId="17649EC4" w14:textId="77777777" w:rsidR="007D1E74" w:rsidRDefault="00A95641">
            <w:pPr>
              <w:pStyle w:val="TableParagraph"/>
              <w:spacing w:before="25"/>
              <w:ind w:right="1"/>
              <w:rPr>
                <w:sz w:val="21"/>
                <w:szCs w:val="21"/>
              </w:rPr>
            </w:pPr>
            <w:r>
              <w:rPr>
                <w:sz w:val="21"/>
                <w:szCs w:val="21"/>
              </w:rPr>
              <w:t>5</w:t>
            </w:r>
          </w:p>
        </w:tc>
        <w:tc>
          <w:tcPr>
            <w:tcW w:w="652" w:type="pct"/>
          </w:tcPr>
          <w:p w14:paraId="0A2B783C" w14:textId="77777777" w:rsidR="007D1E74" w:rsidRDefault="00A95641">
            <w:pPr>
              <w:pStyle w:val="TableParagraph"/>
              <w:spacing w:before="25"/>
              <w:ind w:right="108"/>
              <w:rPr>
                <w:sz w:val="21"/>
                <w:szCs w:val="21"/>
              </w:rPr>
            </w:pPr>
            <w:r>
              <w:rPr>
                <w:sz w:val="21"/>
                <w:szCs w:val="21"/>
              </w:rPr>
              <w:t>3</w:t>
            </w:r>
          </w:p>
        </w:tc>
      </w:tr>
      <w:tr w:rsidR="007D1E74" w14:paraId="4886AAEC" w14:textId="77777777">
        <w:trPr>
          <w:trHeight w:hRule="exact" w:val="336"/>
        </w:trPr>
        <w:tc>
          <w:tcPr>
            <w:tcW w:w="440" w:type="pct"/>
          </w:tcPr>
          <w:p w14:paraId="47ACC072" w14:textId="77777777" w:rsidR="007D1E74" w:rsidRDefault="00A95641">
            <w:pPr>
              <w:pStyle w:val="TableParagraph"/>
              <w:spacing w:before="25"/>
              <w:ind w:left="4"/>
              <w:rPr>
                <w:sz w:val="21"/>
                <w:szCs w:val="21"/>
              </w:rPr>
            </w:pPr>
            <w:r>
              <w:rPr>
                <w:sz w:val="21"/>
                <w:szCs w:val="21"/>
              </w:rPr>
              <w:t>8</w:t>
            </w:r>
          </w:p>
        </w:tc>
        <w:tc>
          <w:tcPr>
            <w:tcW w:w="908" w:type="pct"/>
          </w:tcPr>
          <w:p w14:paraId="495FA237" w14:textId="77777777" w:rsidR="007D1E74" w:rsidRDefault="00A95641">
            <w:pPr>
              <w:pStyle w:val="TableParagraph"/>
              <w:spacing w:line="283" w:lineRule="exact"/>
              <w:ind w:left="102"/>
              <w:rPr>
                <w:rFonts w:ascii="宋体"/>
                <w:sz w:val="21"/>
                <w:szCs w:val="21"/>
              </w:rPr>
            </w:pPr>
            <w:r>
              <w:rPr>
                <w:rFonts w:ascii="宋体" w:hint="eastAsia"/>
                <w:sz w:val="21"/>
                <w:szCs w:val="21"/>
              </w:rPr>
              <w:t>火棘</w:t>
            </w:r>
          </w:p>
        </w:tc>
        <w:tc>
          <w:tcPr>
            <w:tcW w:w="674" w:type="pct"/>
          </w:tcPr>
          <w:p w14:paraId="74DEF8C9" w14:textId="77777777" w:rsidR="007D1E74" w:rsidRDefault="00A95641">
            <w:pPr>
              <w:pStyle w:val="TableParagraph"/>
              <w:spacing w:line="283" w:lineRule="exact"/>
              <w:ind w:left="102"/>
              <w:rPr>
                <w:rFonts w:ascii="宋体"/>
                <w:sz w:val="21"/>
                <w:szCs w:val="21"/>
              </w:rPr>
            </w:pPr>
            <w:r>
              <w:rPr>
                <w:rFonts w:ascii="宋体" w:hint="eastAsia"/>
                <w:sz w:val="21"/>
                <w:szCs w:val="21"/>
              </w:rPr>
              <w:t>果期</w:t>
            </w:r>
          </w:p>
        </w:tc>
        <w:tc>
          <w:tcPr>
            <w:tcW w:w="674" w:type="pct"/>
          </w:tcPr>
          <w:p w14:paraId="28FB2AEF" w14:textId="77777777" w:rsidR="007D1E74" w:rsidRDefault="00A95641">
            <w:pPr>
              <w:pStyle w:val="TableParagraph"/>
              <w:spacing w:before="25"/>
              <w:ind w:left="171" w:right="172"/>
              <w:rPr>
                <w:sz w:val="21"/>
                <w:szCs w:val="21"/>
              </w:rPr>
            </w:pPr>
            <w:r>
              <w:rPr>
                <w:sz w:val="21"/>
                <w:szCs w:val="21"/>
              </w:rPr>
              <w:t>20</w:t>
            </w:r>
          </w:p>
        </w:tc>
        <w:tc>
          <w:tcPr>
            <w:tcW w:w="674" w:type="pct"/>
          </w:tcPr>
          <w:p w14:paraId="46AAECAA" w14:textId="77777777" w:rsidR="007D1E74" w:rsidRDefault="00A95641">
            <w:pPr>
              <w:pStyle w:val="TableParagraph"/>
              <w:spacing w:before="22"/>
              <w:ind w:left="231" w:right="231"/>
              <w:rPr>
                <w:sz w:val="21"/>
                <w:szCs w:val="21"/>
              </w:rPr>
            </w:pPr>
            <w:r>
              <w:rPr>
                <w:position w:val="2"/>
                <w:sz w:val="21"/>
                <w:szCs w:val="21"/>
              </w:rPr>
              <w:t>Cop</w:t>
            </w:r>
            <w:r>
              <w:rPr>
                <w:sz w:val="21"/>
                <w:szCs w:val="21"/>
              </w:rPr>
              <w:t>1</w:t>
            </w:r>
          </w:p>
        </w:tc>
        <w:tc>
          <w:tcPr>
            <w:tcW w:w="978" w:type="pct"/>
          </w:tcPr>
          <w:p w14:paraId="2646076E" w14:textId="77777777" w:rsidR="007D1E74" w:rsidRDefault="00A95641">
            <w:pPr>
              <w:pStyle w:val="TableParagraph"/>
              <w:spacing w:before="25"/>
              <w:ind w:right="1"/>
              <w:rPr>
                <w:sz w:val="21"/>
                <w:szCs w:val="21"/>
              </w:rPr>
            </w:pPr>
            <w:r>
              <w:rPr>
                <w:sz w:val="21"/>
                <w:szCs w:val="21"/>
              </w:rPr>
              <w:t>2</w:t>
            </w:r>
          </w:p>
        </w:tc>
        <w:tc>
          <w:tcPr>
            <w:tcW w:w="652" w:type="pct"/>
          </w:tcPr>
          <w:p w14:paraId="6797E059" w14:textId="77777777" w:rsidR="007D1E74" w:rsidRDefault="00A95641">
            <w:pPr>
              <w:pStyle w:val="TableParagraph"/>
              <w:spacing w:before="25"/>
              <w:ind w:left="116" w:right="224"/>
              <w:rPr>
                <w:sz w:val="21"/>
                <w:szCs w:val="21"/>
              </w:rPr>
            </w:pPr>
            <w:r>
              <w:rPr>
                <w:sz w:val="21"/>
                <w:szCs w:val="21"/>
              </w:rPr>
              <w:t>10</w:t>
            </w:r>
          </w:p>
        </w:tc>
      </w:tr>
      <w:tr w:rsidR="007D1E74" w14:paraId="003BF5A1" w14:textId="77777777">
        <w:trPr>
          <w:trHeight w:hRule="exact" w:val="336"/>
        </w:trPr>
        <w:tc>
          <w:tcPr>
            <w:tcW w:w="440" w:type="pct"/>
          </w:tcPr>
          <w:p w14:paraId="7157EB7C" w14:textId="77777777" w:rsidR="007D1E74" w:rsidRDefault="00A95641">
            <w:pPr>
              <w:pStyle w:val="TableParagraph"/>
              <w:spacing w:before="25"/>
              <w:ind w:left="4"/>
              <w:rPr>
                <w:sz w:val="21"/>
                <w:szCs w:val="21"/>
              </w:rPr>
            </w:pPr>
            <w:r>
              <w:rPr>
                <w:sz w:val="21"/>
                <w:szCs w:val="21"/>
              </w:rPr>
              <w:t>9</w:t>
            </w:r>
          </w:p>
        </w:tc>
        <w:tc>
          <w:tcPr>
            <w:tcW w:w="908" w:type="pct"/>
          </w:tcPr>
          <w:p w14:paraId="54F1E663" w14:textId="77777777" w:rsidR="007D1E74" w:rsidRDefault="00A95641">
            <w:pPr>
              <w:pStyle w:val="TableParagraph"/>
              <w:spacing w:line="283" w:lineRule="exact"/>
              <w:ind w:left="102"/>
              <w:rPr>
                <w:rFonts w:ascii="宋体"/>
                <w:sz w:val="21"/>
                <w:szCs w:val="21"/>
              </w:rPr>
            </w:pPr>
            <w:r>
              <w:rPr>
                <w:rFonts w:ascii="宋体" w:hint="eastAsia"/>
                <w:sz w:val="21"/>
                <w:szCs w:val="21"/>
              </w:rPr>
              <w:t>高粱泡</w:t>
            </w:r>
          </w:p>
        </w:tc>
        <w:tc>
          <w:tcPr>
            <w:tcW w:w="674" w:type="pct"/>
          </w:tcPr>
          <w:p w14:paraId="5F2044FF" w14:textId="77777777" w:rsidR="007D1E74" w:rsidRDefault="00A95641">
            <w:pPr>
              <w:pStyle w:val="TableParagraph"/>
              <w:spacing w:line="283" w:lineRule="exact"/>
              <w:ind w:left="102"/>
              <w:rPr>
                <w:rFonts w:ascii="宋体"/>
                <w:sz w:val="21"/>
                <w:szCs w:val="21"/>
              </w:rPr>
            </w:pPr>
            <w:r>
              <w:rPr>
                <w:rFonts w:ascii="宋体" w:hint="eastAsia"/>
                <w:sz w:val="21"/>
                <w:szCs w:val="21"/>
              </w:rPr>
              <w:t>果期</w:t>
            </w:r>
          </w:p>
        </w:tc>
        <w:tc>
          <w:tcPr>
            <w:tcW w:w="674" w:type="pct"/>
          </w:tcPr>
          <w:p w14:paraId="7403CD17" w14:textId="77777777" w:rsidR="007D1E74" w:rsidRDefault="00A95641">
            <w:pPr>
              <w:pStyle w:val="TableParagraph"/>
              <w:spacing w:line="301" w:lineRule="exact"/>
              <w:ind w:left="172" w:right="172"/>
              <w:rPr>
                <w:rFonts w:ascii="宋体"/>
                <w:sz w:val="21"/>
                <w:szCs w:val="21"/>
              </w:rPr>
            </w:pPr>
            <w:r>
              <w:rPr>
                <w:sz w:val="21"/>
                <w:szCs w:val="21"/>
              </w:rPr>
              <w:t xml:space="preserve">3 </w:t>
            </w:r>
            <w:r>
              <w:rPr>
                <w:rFonts w:ascii="宋体" w:hint="eastAsia"/>
                <w:sz w:val="21"/>
                <w:szCs w:val="21"/>
              </w:rPr>
              <w:t>丛</w:t>
            </w:r>
          </w:p>
        </w:tc>
        <w:tc>
          <w:tcPr>
            <w:tcW w:w="674" w:type="pct"/>
          </w:tcPr>
          <w:p w14:paraId="50DFDF1E" w14:textId="77777777" w:rsidR="007D1E74" w:rsidRDefault="00A95641">
            <w:pPr>
              <w:pStyle w:val="TableParagraph"/>
              <w:spacing w:before="22"/>
              <w:ind w:left="231" w:right="231"/>
              <w:rPr>
                <w:sz w:val="21"/>
                <w:szCs w:val="21"/>
              </w:rPr>
            </w:pPr>
            <w:r>
              <w:rPr>
                <w:position w:val="2"/>
                <w:sz w:val="21"/>
                <w:szCs w:val="21"/>
              </w:rPr>
              <w:t>Cop</w:t>
            </w:r>
            <w:r>
              <w:rPr>
                <w:sz w:val="21"/>
                <w:szCs w:val="21"/>
              </w:rPr>
              <w:t>1</w:t>
            </w:r>
          </w:p>
        </w:tc>
        <w:tc>
          <w:tcPr>
            <w:tcW w:w="978" w:type="pct"/>
          </w:tcPr>
          <w:p w14:paraId="377F742A" w14:textId="77777777" w:rsidR="007D1E74" w:rsidRDefault="00A95641">
            <w:pPr>
              <w:pStyle w:val="TableParagraph"/>
              <w:spacing w:before="25"/>
              <w:ind w:left="170" w:right="170"/>
              <w:rPr>
                <w:sz w:val="21"/>
                <w:szCs w:val="21"/>
              </w:rPr>
            </w:pPr>
            <w:r>
              <w:rPr>
                <w:sz w:val="21"/>
                <w:szCs w:val="21"/>
              </w:rPr>
              <w:t>1.3</w:t>
            </w:r>
          </w:p>
        </w:tc>
        <w:tc>
          <w:tcPr>
            <w:tcW w:w="652" w:type="pct"/>
          </w:tcPr>
          <w:p w14:paraId="2F98492C" w14:textId="77777777" w:rsidR="007D1E74" w:rsidRDefault="00A95641">
            <w:pPr>
              <w:pStyle w:val="TableParagraph"/>
              <w:spacing w:before="25"/>
              <w:ind w:left="116" w:right="224"/>
              <w:rPr>
                <w:sz w:val="21"/>
                <w:szCs w:val="21"/>
              </w:rPr>
            </w:pPr>
            <w:r>
              <w:rPr>
                <w:sz w:val="21"/>
                <w:szCs w:val="21"/>
              </w:rPr>
              <w:t>10</w:t>
            </w:r>
          </w:p>
        </w:tc>
      </w:tr>
      <w:tr w:rsidR="007D1E74" w14:paraId="3ED07D83" w14:textId="77777777">
        <w:trPr>
          <w:trHeight w:hRule="exact" w:val="336"/>
        </w:trPr>
        <w:tc>
          <w:tcPr>
            <w:tcW w:w="440" w:type="pct"/>
          </w:tcPr>
          <w:p w14:paraId="174AD065" w14:textId="77777777" w:rsidR="007D1E74" w:rsidRDefault="00A95641">
            <w:pPr>
              <w:pStyle w:val="TableParagraph"/>
              <w:spacing w:before="25"/>
              <w:ind w:left="109" w:right="105"/>
              <w:rPr>
                <w:sz w:val="21"/>
                <w:szCs w:val="21"/>
              </w:rPr>
            </w:pPr>
            <w:r>
              <w:rPr>
                <w:sz w:val="21"/>
                <w:szCs w:val="21"/>
              </w:rPr>
              <w:t>10</w:t>
            </w:r>
          </w:p>
        </w:tc>
        <w:tc>
          <w:tcPr>
            <w:tcW w:w="908" w:type="pct"/>
          </w:tcPr>
          <w:p w14:paraId="2C29814B" w14:textId="77777777" w:rsidR="007D1E74" w:rsidRDefault="00A95641">
            <w:pPr>
              <w:pStyle w:val="TableParagraph"/>
              <w:spacing w:line="283" w:lineRule="exact"/>
              <w:ind w:left="102"/>
              <w:rPr>
                <w:rFonts w:ascii="宋体"/>
                <w:sz w:val="21"/>
                <w:szCs w:val="21"/>
              </w:rPr>
            </w:pPr>
            <w:r>
              <w:rPr>
                <w:rFonts w:ascii="宋体" w:hint="eastAsia"/>
                <w:sz w:val="21"/>
                <w:szCs w:val="21"/>
              </w:rPr>
              <w:t>黄荆</w:t>
            </w:r>
          </w:p>
        </w:tc>
        <w:tc>
          <w:tcPr>
            <w:tcW w:w="674" w:type="pct"/>
          </w:tcPr>
          <w:p w14:paraId="4F51F0D8" w14:textId="77777777" w:rsidR="007D1E74" w:rsidRDefault="00A95641">
            <w:pPr>
              <w:pStyle w:val="TableParagraph"/>
              <w:spacing w:line="283" w:lineRule="exact"/>
              <w:ind w:left="102"/>
              <w:rPr>
                <w:rFonts w:ascii="宋体"/>
                <w:sz w:val="21"/>
                <w:szCs w:val="21"/>
              </w:rPr>
            </w:pPr>
            <w:r>
              <w:rPr>
                <w:rFonts w:ascii="宋体" w:hint="eastAsia"/>
                <w:sz w:val="21"/>
                <w:szCs w:val="21"/>
              </w:rPr>
              <w:t>果期</w:t>
            </w:r>
          </w:p>
        </w:tc>
        <w:tc>
          <w:tcPr>
            <w:tcW w:w="674" w:type="pct"/>
          </w:tcPr>
          <w:p w14:paraId="15916F47" w14:textId="77777777" w:rsidR="007D1E74" w:rsidRDefault="00A95641">
            <w:pPr>
              <w:pStyle w:val="TableParagraph"/>
              <w:spacing w:before="25"/>
              <w:ind w:right="1"/>
              <w:rPr>
                <w:sz w:val="21"/>
                <w:szCs w:val="21"/>
              </w:rPr>
            </w:pPr>
            <w:r>
              <w:rPr>
                <w:sz w:val="21"/>
                <w:szCs w:val="21"/>
              </w:rPr>
              <w:t>3</w:t>
            </w:r>
          </w:p>
        </w:tc>
        <w:tc>
          <w:tcPr>
            <w:tcW w:w="674" w:type="pct"/>
          </w:tcPr>
          <w:p w14:paraId="0766C459" w14:textId="77777777" w:rsidR="007D1E74" w:rsidRDefault="00A95641">
            <w:pPr>
              <w:pStyle w:val="TableParagraph"/>
              <w:spacing w:before="25"/>
              <w:ind w:left="231" w:right="231"/>
              <w:rPr>
                <w:sz w:val="21"/>
                <w:szCs w:val="21"/>
              </w:rPr>
            </w:pPr>
            <w:r>
              <w:rPr>
                <w:sz w:val="21"/>
                <w:szCs w:val="21"/>
              </w:rPr>
              <w:t>Sp</w:t>
            </w:r>
          </w:p>
        </w:tc>
        <w:tc>
          <w:tcPr>
            <w:tcW w:w="978" w:type="pct"/>
          </w:tcPr>
          <w:p w14:paraId="0C873DBC" w14:textId="77777777" w:rsidR="007D1E74" w:rsidRDefault="00A95641">
            <w:pPr>
              <w:pStyle w:val="TableParagraph"/>
              <w:spacing w:before="25"/>
              <w:ind w:left="170" w:right="170"/>
              <w:rPr>
                <w:sz w:val="21"/>
                <w:szCs w:val="21"/>
              </w:rPr>
            </w:pPr>
            <w:r>
              <w:rPr>
                <w:sz w:val="21"/>
                <w:szCs w:val="21"/>
              </w:rPr>
              <w:t>1.9</w:t>
            </w:r>
          </w:p>
        </w:tc>
        <w:tc>
          <w:tcPr>
            <w:tcW w:w="652" w:type="pct"/>
          </w:tcPr>
          <w:p w14:paraId="3B582000" w14:textId="77777777" w:rsidR="007D1E74" w:rsidRDefault="00A95641">
            <w:pPr>
              <w:pStyle w:val="TableParagraph"/>
              <w:spacing w:before="25"/>
              <w:ind w:right="108"/>
              <w:rPr>
                <w:sz w:val="21"/>
                <w:szCs w:val="21"/>
              </w:rPr>
            </w:pPr>
            <w:r>
              <w:rPr>
                <w:sz w:val="21"/>
                <w:szCs w:val="21"/>
              </w:rPr>
              <w:t>5</w:t>
            </w:r>
          </w:p>
        </w:tc>
      </w:tr>
      <w:tr w:rsidR="007D1E74" w14:paraId="647BC8BB" w14:textId="77777777">
        <w:trPr>
          <w:trHeight w:hRule="exact" w:val="336"/>
        </w:trPr>
        <w:tc>
          <w:tcPr>
            <w:tcW w:w="440" w:type="pct"/>
          </w:tcPr>
          <w:p w14:paraId="5F6BD870" w14:textId="77777777" w:rsidR="007D1E74" w:rsidRDefault="00A95641">
            <w:pPr>
              <w:pStyle w:val="TableParagraph"/>
              <w:spacing w:before="25"/>
              <w:ind w:left="109" w:right="105"/>
              <w:rPr>
                <w:sz w:val="21"/>
                <w:szCs w:val="21"/>
              </w:rPr>
            </w:pPr>
            <w:r>
              <w:rPr>
                <w:sz w:val="21"/>
                <w:szCs w:val="21"/>
              </w:rPr>
              <w:t>11</w:t>
            </w:r>
          </w:p>
        </w:tc>
        <w:tc>
          <w:tcPr>
            <w:tcW w:w="908" w:type="pct"/>
          </w:tcPr>
          <w:p w14:paraId="475B3653" w14:textId="77777777" w:rsidR="007D1E74" w:rsidRDefault="00A95641">
            <w:pPr>
              <w:pStyle w:val="TableParagraph"/>
              <w:spacing w:line="283" w:lineRule="exact"/>
              <w:ind w:left="102"/>
              <w:rPr>
                <w:rFonts w:ascii="宋体"/>
                <w:sz w:val="21"/>
                <w:szCs w:val="21"/>
              </w:rPr>
            </w:pPr>
            <w:r>
              <w:rPr>
                <w:rFonts w:ascii="宋体" w:hint="eastAsia"/>
                <w:sz w:val="21"/>
                <w:szCs w:val="21"/>
              </w:rPr>
              <w:t>铁仔</w:t>
            </w:r>
          </w:p>
        </w:tc>
        <w:tc>
          <w:tcPr>
            <w:tcW w:w="674" w:type="pct"/>
          </w:tcPr>
          <w:p w14:paraId="113FEEBD" w14:textId="77777777" w:rsidR="007D1E74" w:rsidRDefault="00A95641">
            <w:pPr>
              <w:pStyle w:val="TableParagraph"/>
              <w:spacing w:line="283" w:lineRule="exact"/>
              <w:ind w:left="102"/>
              <w:rPr>
                <w:rFonts w:ascii="宋体"/>
                <w:sz w:val="21"/>
                <w:szCs w:val="21"/>
              </w:rPr>
            </w:pPr>
            <w:r>
              <w:rPr>
                <w:rFonts w:ascii="宋体" w:hint="eastAsia"/>
                <w:sz w:val="21"/>
                <w:szCs w:val="21"/>
              </w:rPr>
              <w:t>果期</w:t>
            </w:r>
          </w:p>
        </w:tc>
        <w:tc>
          <w:tcPr>
            <w:tcW w:w="674" w:type="pct"/>
          </w:tcPr>
          <w:p w14:paraId="5CB6814E" w14:textId="77777777" w:rsidR="007D1E74" w:rsidRDefault="00A95641">
            <w:pPr>
              <w:pStyle w:val="TableParagraph"/>
              <w:spacing w:before="25"/>
              <w:ind w:left="171" w:right="172"/>
              <w:rPr>
                <w:sz w:val="21"/>
                <w:szCs w:val="21"/>
              </w:rPr>
            </w:pPr>
            <w:r>
              <w:rPr>
                <w:sz w:val="21"/>
                <w:szCs w:val="21"/>
              </w:rPr>
              <w:t>15</w:t>
            </w:r>
          </w:p>
        </w:tc>
        <w:tc>
          <w:tcPr>
            <w:tcW w:w="674" w:type="pct"/>
          </w:tcPr>
          <w:p w14:paraId="608B7376" w14:textId="77777777" w:rsidR="007D1E74" w:rsidRDefault="00A95641">
            <w:pPr>
              <w:pStyle w:val="TableParagraph"/>
              <w:spacing w:before="25"/>
              <w:ind w:left="231" w:right="231"/>
              <w:rPr>
                <w:sz w:val="21"/>
                <w:szCs w:val="21"/>
              </w:rPr>
            </w:pPr>
            <w:r>
              <w:rPr>
                <w:sz w:val="21"/>
                <w:szCs w:val="21"/>
              </w:rPr>
              <w:t>Sp</w:t>
            </w:r>
          </w:p>
        </w:tc>
        <w:tc>
          <w:tcPr>
            <w:tcW w:w="978" w:type="pct"/>
          </w:tcPr>
          <w:p w14:paraId="60D965CF" w14:textId="77777777" w:rsidR="007D1E74" w:rsidRDefault="00A95641">
            <w:pPr>
              <w:pStyle w:val="TableParagraph"/>
              <w:spacing w:before="25"/>
              <w:ind w:left="170" w:right="170"/>
              <w:rPr>
                <w:sz w:val="21"/>
                <w:szCs w:val="21"/>
              </w:rPr>
            </w:pPr>
            <w:r>
              <w:rPr>
                <w:sz w:val="21"/>
                <w:szCs w:val="21"/>
              </w:rPr>
              <w:t>1.1</w:t>
            </w:r>
          </w:p>
        </w:tc>
        <w:tc>
          <w:tcPr>
            <w:tcW w:w="652" w:type="pct"/>
          </w:tcPr>
          <w:p w14:paraId="0F239E47" w14:textId="77777777" w:rsidR="007D1E74" w:rsidRDefault="00A95641">
            <w:pPr>
              <w:pStyle w:val="TableParagraph"/>
              <w:spacing w:before="25"/>
              <w:ind w:right="108"/>
              <w:rPr>
                <w:sz w:val="21"/>
                <w:szCs w:val="21"/>
              </w:rPr>
            </w:pPr>
            <w:r>
              <w:rPr>
                <w:sz w:val="21"/>
                <w:szCs w:val="21"/>
              </w:rPr>
              <w:t>5</w:t>
            </w:r>
          </w:p>
        </w:tc>
      </w:tr>
      <w:tr w:rsidR="007D1E74" w14:paraId="4FDDE1C6" w14:textId="77777777">
        <w:trPr>
          <w:trHeight w:hRule="exact" w:val="336"/>
        </w:trPr>
        <w:tc>
          <w:tcPr>
            <w:tcW w:w="440" w:type="pct"/>
          </w:tcPr>
          <w:p w14:paraId="7BD09DF3" w14:textId="77777777" w:rsidR="007D1E74" w:rsidRDefault="00A95641">
            <w:pPr>
              <w:pStyle w:val="TableParagraph"/>
              <w:spacing w:before="25"/>
              <w:ind w:left="109" w:right="105"/>
              <w:rPr>
                <w:sz w:val="21"/>
                <w:szCs w:val="21"/>
              </w:rPr>
            </w:pPr>
            <w:r>
              <w:rPr>
                <w:sz w:val="21"/>
                <w:szCs w:val="21"/>
              </w:rPr>
              <w:t>12</w:t>
            </w:r>
          </w:p>
        </w:tc>
        <w:tc>
          <w:tcPr>
            <w:tcW w:w="908" w:type="pct"/>
          </w:tcPr>
          <w:p w14:paraId="0D486253" w14:textId="77777777" w:rsidR="007D1E74" w:rsidRDefault="00A95641">
            <w:pPr>
              <w:pStyle w:val="TableParagraph"/>
              <w:spacing w:line="283" w:lineRule="exact"/>
              <w:ind w:left="102"/>
              <w:rPr>
                <w:rFonts w:ascii="宋体"/>
                <w:sz w:val="21"/>
                <w:szCs w:val="21"/>
              </w:rPr>
            </w:pPr>
            <w:r>
              <w:rPr>
                <w:rFonts w:ascii="宋体" w:hint="eastAsia"/>
                <w:sz w:val="21"/>
                <w:szCs w:val="21"/>
              </w:rPr>
              <w:t>野青茅</w:t>
            </w:r>
          </w:p>
        </w:tc>
        <w:tc>
          <w:tcPr>
            <w:tcW w:w="674" w:type="pct"/>
          </w:tcPr>
          <w:p w14:paraId="2CF0C51F" w14:textId="77777777" w:rsidR="007D1E74" w:rsidRDefault="00A95641">
            <w:pPr>
              <w:pStyle w:val="TableParagraph"/>
              <w:spacing w:line="283" w:lineRule="exact"/>
              <w:ind w:left="102"/>
              <w:rPr>
                <w:rFonts w:ascii="宋体"/>
                <w:sz w:val="21"/>
                <w:szCs w:val="21"/>
              </w:rPr>
            </w:pPr>
            <w:r>
              <w:rPr>
                <w:rFonts w:ascii="宋体" w:hint="eastAsia"/>
                <w:sz w:val="21"/>
                <w:szCs w:val="21"/>
              </w:rPr>
              <w:t>营养期</w:t>
            </w:r>
          </w:p>
        </w:tc>
        <w:tc>
          <w:tcPr>
            <w:tcW w:w="674" w:type="pct"/>
          </w:tcPr>
          <w:p w14:paraId="2BC70E3B" w14:textId="77777777" w:rsidR="007D1E74" w:rsidRDefault="00A95641">
            <w:pPr>
              <w:pStyle w:val="TableParagraph"/>
              <w:spacing w:line="301" w:lineRule="exact"/>
              <w:ind w:left="172" w:right="172"/>
              <w:rPr>
                <w:rFonts w:ascii="宋体"/>
                <w:sz w:val="21"/>
                <w:szCs w:val="21"/>
              </w:rPr>
            </w:pPr>
            <w:r>
              <w:rPr>
                <w:sz w:val="21"/>
                <w:szCs w:val="21"/>
              </w:rPr>
              <w:t xml:space="preserve">6 </w:t>
            </w:r>
            <w:r>
              <w:rPr>
                <w:rFonts w:ascii="宋体" w:hint="eastAsia"/>
                <w:sz w:val="21"/>
                <w:szCs w:val="21"/>
              </w:rPr>
              <w:t>丛</w:t>
            </w:r>
          </w:p>
        </w:tc>
        <w:tc>
          <w:tcPr>
            <w:tcW w:w="674" w:type="pct"/>
          </w:tcPr>
          <w:p w14:paraId="0E79AA5B" w14:textId="77777777" w:rsidR="007D1E74" w:rsidRDefault="00A95641">
            <w:pPr>
              <w:pStyle w:val="TableParagraph"/>
              <w:spacing w:before="22"/>
              <w:ind w:left="231" w:right="231"/>
              <w:rPr>
                <w:sz w:val="21"/>
                <w:szCs w:val="21"/>
              </w:rPr>
            </w:pPr>
            <w:r>
              <w:rPr>
                <w:position w:val="2"/>
                <w:sz w:val="21"/>
                <w:szCs w:val="21"/>
              </w:rPr>
              <w:t>Cop</w:t>
            </w:r>
            <w:r>
              <w:rPr>
                <w:sz w:val="21"/>
                <w:szCs w:val="21"/>
              </w:rPr>
              <w:t>1</w:t>
            </w:r>
          </w:p>
        </w:tc>
        <w:tc>
          <w:tcPr>
            <w:tcW w:w="978" w:type="pct"/>
          </w:tcPr>
          <w:p w14:paraId="6C890C05" w14:textId="77777777" w:rsidR="007D1E74" w:rsidRDefault="00A95641">
            <w:pPr>
              <w:pStyle w:val="TableParagraph"/>
              <w:spacing w:before="25"/>
              <w:ind w:left="170" w:right="170"/>
              <w:rPr>
                <w:sz w:val="21"/>
                <w:szCs w:val="21"/>
              </w:rPr>
            </w:pPr>
            <w:r>
              <w:rPr>
                <w:sz w:val="21"/>
                <w:szCs w:val="21"/>
              </w:rPr>
              <w:t>0.55</w:t>
            </w:r>
          </w:p>
        </w:tc>
        <w:tc>
          <w:tcPr>
            <w:tcW w:w="652" w:type="pct"/>
          </w:tcPr>
          <w:p w14:paraId="609F070A" w14:textId="77777777" w:rsidR="007D1E74" w:rsidRDefault="00A95641">
            <w:pPr>
              <w:pStyle w:val="TableParagraph"/>
              <w:spacing w:before="25"/>
              <w:ind w:left="116" w:right="224"/>
              <w:rPr>
                <w:sz w:val="21"/>
                <w:szCs w:val="21"/>
              </w:rPr>
            </w:pPr>
            <w:r>
              <w:rPr>
                <w:sz w:val="21"/>
                <w:szCs w:val="21"/>
              </w:rPr>
              <w:t>12</w:t>
            </w:r>
          </w:p>
        </w:tc>
      </w:tr>
      <w:tr w:rsidR="007D1E74" w14:paraId="095E3BCE" w14:textId="77777777">
        <w:trPr>
          <w:trHeight w:hRule="exact" w:val="336"/>
        </w:trPr>
        <w:tc>
          <w:tcPr>
            <w:tcW w:w="440" w:type="pct"/>
          </w:tcPr>
          <w:p w14:paraId="0E2B4C4A" w14:textId="77777777" w:rsidR="007D1E74" w:rsidRDefault="00A95641">
            <w:pPr>
              <w:pStyle w:val="TableParagraph"/>
              <w:spacing w:before="25"/>
              <w:ind w:left="109" w:right="105"/>
              <w:rPr>
                <w:sz w:val="21"/>
                <w:szCs w:val="21"/>
              </w:rPr>
            </w:pPr>
            <w:r>
              <w:rPr>
                <w:sz w:val="21"/>
                <w:szCs w:val="21"/>
              </w:rPr>
              <w:t>13</w:t>
            </w:r>
          </w:p>
        </w:tc>
        <w:tc>
          <w:tcPr>
            <w:tcW w:w="908" w:type="pct"/>
          </w:tcPr>
          <w:p w14:paraId="2E1A60D1" w14:textId="77777777" w:rsidR="007D1E74" w:rsidRDefault="00A95641">
            <w:pPr>
              <w:pStyle w:val="TableParagraph"/>
              <w:spacing w:line="283" w:lineRule="exact"/>
              <w:ind w:left="102"/>
              <w:rPr>
                <w:rFonts w:ascii="宋体"/>
                <w:sz w:val="21"/>
                <w:szCs w:val="21"/>
              </w:rPr>
            </w:pPr>
            <w:r>
              <w:rPr>
                <w:rFonts w:ascii="宋体" w:hint="eastAsia"/>
                <w:sz w:val="21"/>
                <w:szCs w:val="21"/>
              </w:rPr>
              <w:t>丛毛羊胡子草</w:t>
            </w:r>
          </w:p>
        </w:tc>
        <w:tc>
          <w:tcPr>
            <w:tcW w:w="674" w:type="pct"/>
          </w:tcPr>
          <w:p w14:paraId="4500F2AA" w14:textId="77777777" w:rsidR="007D1E74" w:rsidRDefault="00A95641">
            <w:pPr>
              <w:pStyle w:val="TableParagraph"/>
              <w:spacing w:line="283" w:lineRule="exact"/>
              <w:ind w:left="102"/>
              <w:rPr>
                <w:rFonts w:ascii="宋体"/>
                <w:sz w:val="21"/>
                <w:szCs w:val="21"/>
              </w:rPr>
            </w:pPr>
            <w:r>
              <w:rPr>
                <w:rFonts w:ascii="宋体" w:hint="eastAsia"/>
                <w:sz w:val="21"/>
                <w:szCs w:val="21"/>
              </w:rPr>
              <w:t>营养期</w:t>
            </w:r>
          </w:p>
        </w:tc>
        <w:tc>
          <w:tcPr>
            <w:tcW w:w="674" w:type="pct"/>
          </w:tcPr>
          <w:p w14:paraId="506A3B33" w14:textId="77777777" w:rsidR="007D1E74" w:rsidRDefault="00A95641">
            <w:pPr>
              <w:pStyle w:val="TableParagraph"/>
              <w:spacing w:before="25"/>
              <w:ind w:left="171" w:right="172"/>
              <w:rPr>
                <w:sz w:val="21"/>
                <w:szCs w:val="21"/>
              </w:rPr>
            </w:pPr>
            <w:r>
              <w:rPr>
                <w:sz w:val="21"/>
                <w:szCs w:val="21"/>
              </w:rPr>
              <w:t>15</w:t>
            </w:r>
          </w:p>
        </w:tc>
        <w:tc>
          <w:tcPr>
            <w:tcW w:w="674" w:type="pct"/>
          </w:tcPr>
          <w:p w14:paraId="166DEC65" w14:textId="77777777" w:rsidR="007D1E74" w:rsidRDefault="00A95641">
            <w:pPr>
              <w:pStyle w:val="TableParagraph"/>
              <w:spacing w:before="25"/>
              <w:ind w:left="231" w:right="231"/>
              <w:rPr>
                <w:sz w:val="21"/>
                <w:szCs w:val="21"/>
              </w:rPr>
            </w:pPr>
            <w:r>
              <w:rPr>
                <w:sz w:val="21"/>
                <w:szCs w:val="21"/>
              </w:rPr>
              <w:t>Sp</w:t>
            </w:r>
          </w:p>
        </w:tc>
        <w:tc>
          <w:tcPr>
            <w:tcW w:w="978" w:type="pct"/>
          </w:tcPr>
          <w:p w14:paraId="1212A281" w14:textId="77777777" w:rsidR="007D1E74" w:rsidRDefault="00A95641">
            <w:pPr>
              <w:pStyle w:val="TableParagraph"/>
              <w:spacing w:before="25"/>
              <w:ind w:left="170" w:right="170"/>
              <w:rPr>
                <w:sz w:val="21"/>
                <w:szCs w:val="21"/>
              </w:rPr>
            </w:pPr>
            <w:r>
              <w:rPr>
                <w:sz w:val="21"/>
                <w:szCs w:val="21"/>
              </w:rPr>
              <w:t>0.5</w:t>
            </w:r>
          </w:p>
        </w:tc>
        <w:tc>
          <w:tcPr>
            <w:tcW w:w="652" w:type="pct"/>
          </w:tcPr>
          <w:p w14:paraId="6FF0F119" w14:textId="77777777" w:rsidR="007D1E74" w:rsidRDefault="00A95641">
            <w:pPr>
              <w:pStyle w:val="TableParagraph"/>
              <w:spacing w:before="25"/>
              <w:ind w:right="108"/>
              <w:rPr>
                <w:sz w:val="21"/>
                <w:szCs w:val="21"/>
              </w:rPr>
            </w:pPr>
            <w:r>
              <w:rPr>
                <w:sz w:val="21"/>
                <w:szCs w:val="21"/>
              </w:rPr>
              <w:t>6</w:t>
            </w:r>
          </w:p>
        </w:tc>
      </w:tr>
      <w:tr w:rsidR="007D1E74" w14:paraId="2B1E0D8D" w14:textId="77777777">
        <w:trPr>
          <w:trHeight w:hRule="exact" w:val="336"/>
        </w:trPr>
        <w:tc>
          <w:tcPr>
            <w:tcW w:w="440" w:type="pct"/>
          </w:tcPr>
          <w:p w14:paraId="7F28FAB7" w14:textId="77777777" w:rsidR="007D1E74" w:rsidRDefault="00A95641">
            <w:pPr>
              <w:pStyle w:val="TableParagraph"/>
              <w:spacing w:before="25"/>
              <w:ind w:left="109" w:right="105"/>
              <w:rPr>
                <w:sz w:val="21"/>
                <w:szCs w:val="21"/>
              </w:rPr>
            </w:pPr>
            <w:r>
              <w:rPr>
                <w:sz w:val="21"/>
                <w:szCs w:val="21"/>
              </w:rPr>
              <w:t>14</w:t>
            </w:r>
          </w:p>
        </w:tc>
        <w:tc>
          <w:tcPr>
            <w:tcW w:w="908" w:type="pct"/>
          </w:tcPr>
          <w:p w14:paraId="6227371D" w14:textId="77777777" w:rsidR="007D1E74" w:rsidRDefault="00A95641">
            <w:pPr>
              <w:pStyle w:val="TableParagraph"/>
              <w:spacing w:line="283" w:lineRule="exact"/>
              <w:ind w:left="102"/>
              <w:rPr>
                <w:rFonts w:ascii="宋体"/>
                <w:sz w:val="21"/>
                <w:szCs w:val="21"/>
              </w:rPr>
            </w:pPr>
            <w:r>
              <w:rPr>
                <w:rFonts w:ascii="宋体" w:hint="eastAsia"/>
                <w:sz w:val="21"/>
                <w:szCs w:val="21"/>
              </w:rPr>
              <w:t>褐果苔草等</w:t>
            </w:r>
          </w:p>
        </w:tc>
        <w:tc>
          <w:tcPr>
            <w:tcW w:w="674" w:type="pct"/>
          </w:tcPr>
          <w:p w14:paraId="157A3E76" w14:textId="77777777" w:rsidR="007D1E74" w:rsidRDefault="00A95641">
            <w:pPr>
              <w:pStyle w:val="TableParagraph"/>
              <w:spacing w:line="283" w:lineRule="exact"/>
              <w:ind w:left="102"/>
              <w:rPr>
                <w:rFonts w:ascii="宋体"/>
                <w:sz w:val="21"/>
                <w:szCs w:val="21"/>
              </w:rPr>
            </w:pPr>
            <w:r>
              <w:rPr>
                <w:rFonts w:ascii="宋体" w:hint="eastAsia"/>
                <w:sz w:val="21"/>
                <w:szCs w:val="21"/>
              </w:rPr>
              <w:t>营养期</w:t>
            </w:r>
          </w:p>
        </w:tc>
        <w:tc>
          <w:tcPr>
            <w:tcW w:w="674" w:type="pct"/>
          </w:tcPr>
          <w:p w14:paraId="0DBAF010" w14:textId="77777777" w:rsidR="007D1E74" w:rsidRDefault="00A95641">
            <w:pPr>
              <w:pStyle w:val="TableParagraph"/>
              <w:spacing w:before="25"/>
              <w:ind w:left="171" w:right="172"/>
              <w:rPr>
                <w:sz w:val="21"/>
                <w:szCs w:val="21"/>
              </w:rPr>
            </w:pPr>
            <w:r>
              <w:rPr>
                <w:sz w:val="21"/>
                <w:szCs w:val="21"/>
              </w:rPr>
              <w:t>15</w:t>
            </w:r>
          </w:p>
        </w:tc>
        <w:tc>
          <w:tcPr>
            <w:tcW w:w="674" w:type="pct"/>
          </w:tcPr>
          <w:p w14:paraId="57985C52" w14:textId="77777777" w:rsidR="007D1E74" w:rsidRDefault="00A95641">
            <w:pPr>
              <w:pStyle w:val="TableParagraph"/>
              <w:spacing w:before="25"/>
              <w:ind w:left="231" w:right="231"/>
              <w:rPr>
                <w:sz w:val="21"/>
                <w:szCs w:val="21"/>
              </w:rPr>
            </w:pPr>
            <w:r>
              <w:rPr>
                <w:sz w:val="21"/>
                <w:szCs w:val="21"/>
              </w:rPr>
              <w:t>Sp</w:t>
            </w:r>
          </w:p>
        </w:tc>
        <w:tc>
          <w:tcPr>
            <w:tcW w:w="978" w:type="pct"/>
          </w:tcPr>
          <w:p w14:paraId="0B1A8CB6" w14:textId="77777777" w:rsidR="007D1E74" w:rsidRDefault="00A95641">
            <w:pPr>
              <w:pStyle w:val="TableParagraph"/>
              <w:spacing w:before="25"/>
              <w:ind w:left="170" w:right="170"/>
              <w:rPr>
                <w:sz w:val="21"/>
                <w:szCs w:val="21"/>
              </w:rPr>
            </w:pPr>
            <w:r>
              <w:rPr>
                <w:sz w:val="21"/>
                <w:szCs w:val="21"/>
              </w:rPr>
              <w:t>0.4</w:t>
            </w:r>
          </w:p>
        </w:tc>
        <w:tc>
          <w:tcPr>
            <w:tcW w:w="652" w:type="pct"/>
          </w:tcPr>
          <w:p w14:paraId="1494CA35" w14:textId="77777777" w:rsidR="007D1E74" w:rsidRDefault="00A95641">
            <w:pPr>
              <w:pStyle w:val="TableParagraph"/>
              <w:spacing w:before="25"/>
              <w:ind w:right="108"/>
              <w:rPr>
                <w:sz w:val="21"/>
                <w:szCs w:val="21"/>
              </w:rPr>
            </w:pPr>
            <w:r>
              <w:rPr>
                <w:sz w:val="21"/>
                <w:szCs w:val="21"/>
              </w:rPr>
              <w:t>5</w:t>
            </w:r>
          </w:p>
        </w:tc>
      </w:tr>
      <w:tr w:rsidR="007D1E74" w14:paraId="085CB3C9" w14:textId="77777777">
        <w:trPr>
          <w:trHeight w:hRule="exact" w:val="336"/>
        </w:trPr>
        <w:tc>
          <w:tcPr>
            <w:tcW w:w="440" w:type="pct"/>
          </w:tcPr>
          <w:p w14:paraId="3AFA99D6" w14:textId="77777777" w:rsidR="007D1E74" w:rsidRDefault="00A95641">
            <w:pPr>
              <w:pStyle w:val="TableParagraph"/>
              <w:spacing w:before="25"/>
              <w:ind w:left="109" w:right="105"/>
              <w:rPr>
                <w:sz w:val="21"/>
                <w:szCs w:val="21"/>
              </w:rPr>
            </w:pPr>
            <w:r>
              <w:rPr>
                <w:sz w:val="21"/>
                <w:szCs w:val="21"/>
              </w:rPr>
              <w:t>15</w:t>
            </w:r>
          </w:p>
        </w:tc>
        <w:tc>
          <w:tcPr>
            <w:tcW w:w="908" w:type="pct"/>
          </w:tcPr>
          <w:p w14:paraId="3AEC88C0" w14:textId="77777777" w:rsidR="007D1E74" w:rsidRDefault="00A95641">
            <w:pPr>
              <w:pStyle w:val="TableParagraph"/>
              <w:spacing w:line="283" w:lineRule="exact"/>
              <w:ind w:left="102"/>
              <w:rPr>
                <w:rFonts w:ascii="宋体"/>
                <w:sz w:val="21"/>
                <w:szCs w:val="21"/>
              </w:rPr>
            </w:pPr>
            <w:r>
              <w:rPr>
                <w:rFonts w:ascii="宋体" w:hint="eastAsia"/>
                <w:sz w:val="21"/>
                <w:szCs w:val="21"/>
              </w:rPr>
              <w:t>狗尾草</w:t>
            </w:r>
          </w:p>
        </w:tc>
        <w:tc>
          <w:tcPr>
            <w:tcW w:w="674" w:type="pct"/>
          </w:tcPr>
          <w:p w14:paraId="1F46F7B5" w14:textId="77777777" w:rsidR="007D1E74" w:rsidRDefault="00A95641">
            <w:pPr>
              <w:pStyle w:val="TableParagraph"/>
              <w:spacing w:line="283" w:lineRule="exact"/>
              <w:ind w:left="102"/>
              <w:rPr>
                <w:rFonts w:ascii="宋体"/>
                <w:sz w:val="21"/>
                <w:szCs w:val="21"/>
              </w:rPr>
            </w:pPr>
            <w:r>
              <w:rPr>
                <w:rFonts w:ascii="宋体" w:hint="eastAsia"/>
                <w:sz w:val="21"/>
                <w:szCs w:val="21"/>
              </w:rPr>
              <w:t>营养期</w:t>
            </w:r>
          </w:p>
        </w:tc>
        <w:tc>
          <w:tcPr>
            <w:tcW w:w="674" w:type="pct"/>
          </w:tcPr>
          <w:p w14:paraId="009998F3" w14:textId="77777777" w:rsidR="007D1E74" w:rsidRDefault="00A95641">
            <w:pPr>
              <w:pStyle w:val="TableParagraph"/>
              <w:spacing w:before="25"/>
              <w:ind w:right="1"/>
              <w:rPr>
                <w:sz w:val="21"/>
                <w:szCs w:val="21"/>
              </w:rPr>
            </w:pPr>
            <w:r>
              <w:rPr>
                <w:sz w:val="21"/>
                <w:szCs w:val="21"/>
              </w:rPr>
              <w:t>6</w:t>
            </w:r>
          </w:p>
        </w:tc>
        <w:tc>
          <w:tcPr>
            <w:tcW w:w="674" w:type="pct"/>
          </w:tcPr>
          <w:p w14:paraId="1F8D4C9D" w14:textId="77777777" w:rsidR="007D1E74" w:rsidRDefault="00A95641">
            <w:pPr>
              <w:pStyle w:val="TableParagraph"/>
              <w:spacing w:before="25"/>
              <w:ind w:left="231" w:right="231"/>
              <w:rPr>
                <w:sz w:val="21"/>
                <w:szCs w:val="21"/>
              </w:rPr>
            </w:pPr>
            <w:r>
              <w:rPr>
                <w:sz w:val="21"/>
                <w:szCs w:val="21"/>
              </w:rPr>
              <w:t>Sp</w:t>
            </w:r>
          </w:p>
        </w:tc>
        <w:tc>
          <w:tcPr>
            <w:tcW w:w="978" w:type="pct"/>
          </w:tcPr>
          <w:p w14:paraId="0AC0EE91" w14:textId="77777777" w:rsidR="007D1E74" w:rsidRDefault="00A95641">
            <w:pPr>
              <w:pStyle w:val="TableParagraph"/>
              <w:spacing w:before="25"/>
              <w:ind w:left="170" w:right="170"/>
              <w:rPr>
                <w:sz w:val="21"/>
                <w:szCs w:val="21"/>
              </w:rPr>
            </w:pPr>
            <w:r>
              <w:rPr>
                <w:sz w:val="21"/>
                <w:szCs w:val="21"/>
              </w:rPr>
              <w:t>1.4</w:t>
            </w:r>
          </w:p>
        </w:tc>
        <w:tc>
          <w:tcPr>
            <w:tcW w:w="652" w:type="pct"/>
          </w:tcPr>
          <w:p w14:paraId="268CF340" w14:textId="77777777" w:rsidR="007D1E74" w:rsidRDefault="00A95641">
            <w:pPr>
              <w:pStyle w:val="TableParagraph"/>
              <w:spacing w:before="25"/>
              <w:ind w:right="108"/>
              <w:rPr>
                <w:sz w:val="21"/>
                <w:szCs w:val="21"/>
              </w:rPr>
            </w:pPr>
            <w:r>
              <w:rPr>
                <w:sz w:val="21"/>
                <w:szCs w:val="21"/>
              </w:rPr>
              <w:t>5</w:t>
            </w:r>
          </w:p>
        </w:tc>
      </w:tr>
      <w:tr w:rsidR="007D1E74" w14:paraId="742907D7" w14:textId="77777777">
        <w:trPr>
          <w:trHeight w:hRule="exact" w:val="336"/>
        </w:trPr>
        <w:tc>
          <w:tcPr>
            <w:tcW w:w="440" w:type="pct"/>
          </w:tcPr>
          <w:p w14:paraId="6769D376" w14:textId="77777777" w:rsidR="007D1E74" w:rsidRDefault="00A95641">
            <w:pPr>
              <w:pStyle w:val="TableParagraph"/>
              <w:spacing w:before="25"/>
              <w:ind w:left="109" w:right="105"/>
              <w:rPr>
                <w:sz w:val="21"/>
                <w:szCs w:val="21"/>
              </w:rPr>
            </w:pPr>
            <w:r>
              <w:rPr>
                <w:sz w:val="21"/>
                <w:szCs w:val="21"/>
              </w:rPr>
              <w:t>16</w:t>
            </w:r>
          </w:p>
        </w:tc>
        <w:tc>
          <w:tcPr>
            <w:tcW w:w="908" w:type="pct"/>
          </w:tcPr>
          <w:p w14:paraId="61E24938" w14:textId="77777777" w:rsidR="007D1E74" w:rsidRDefault="00A95641">
            <w:pPr>
              <w:pStyle w:val="TableParagraph"/>
              <w:spacing w:line="283" w:lineRule="exact"/>
              <w:ind w:left="102"/>
              <w:rPr>
                <w:rFonts w:ascii="宋体"/>
                <w:sz w:val="21"/>
                <w:szCs w:val="21"/>
              </w:rPr>
            </w:pPr>
            <w:r>
              <w:rPr>
                <w:rFonts w:ascii="宋体" w:hint="eastAsia"/>
                <w:sz w:val="21"/>
                <w:szCs w:val="21"/>
              </w:rPr>
              <w:t>芒</w:t>
            </w:r>
          </w:p>
        </w:tc>
        <w:tc>
          <w:tcPr>
            <w:tcW w:w="674" w:type="pct"/>
          </w:tcPr>
          <w:p w14:paraId="411FC85A" w14:textId="77777777" w:rsidR="007D1E74" w:rsidRDefault="00A95641">
            <w:pPr>
              <w:pStyle w:val="TableParagraph"/>
              <w:spacing w:line="283" w:lineRule="exact"/>
              <w:ind w:left="102"/>
              <w:rPr>
                <w:rFonts w:ascii="宋体"/>
                <w:sz w:val="21"/>
                <w:szCs w:val="21"/>
              </w:rPr>
            </w:pPr>
            <w:r>
              <w:rPr>
                <w:rFonts w:ascii="宋体" w:hint="eastAsia"/>
                <w:sz w:val="21"/>
                <w:szCs w:val="21"/>
              </w:rPr>
              <w:t>营养期</w:t>
            </w:r>
          </w:p>
        </w:tc>
        <w:tc>
          <w:tcPr>
            <w:tcW w:w="674" w:type="pct"/>
          </w:tcPr>
          <w:p w14:paraId="7B560AD2" w14:textId="77777777" w:rsidR="007D1E74" w:rsidRDefault="00A95641">
            <w:pPr>
              <w:pStyle w:val="TableParagraph"/>
              <w:spacing w:before="25"/>
              <w:ind w:right="1"/>
              <w:rPr>
                <w:sz w:val="21"/>
                <w:szCs w:val="21"/>
              </w:rPr>
            </w:pPr>
            <w:r>
              <w:rPr>
                <w:sz w:val="21"/>
                <w:szCs w:val="21"/>
              </w:rPr>
              <w:t>5</w:t>
            </w:r>
          </w:p>
        </w:tc>
        <w:tc>
          <w:tcPr>
            <w:tcW w:w="674" w:type="pct"/>
          </w:tcPr>
          <w:p w14:paraId="2EEA0A3C" w14:textId="77777777" w:rsidR="007D1E74" w:rsidRDefault="00A95641">
            <w:pPr>
              <w:pStyle w:val="TableParagraph"/>
              <w:spacing w:before="25"/>
              <w:ind w:left="231" w:right="231"/>
              <w:rPr>
                <w:sz w:val="21"/>
                <w:szCs w:val="21"/>
              </w:rPr>
            </w:pPr>
            <w:r>
              <w:rPr>
                <w:sz w:val="21"/>
                <w:szCs w:val="21"/>
              </w:rPr>
              <w:t>Ol</w:t>
            </w:r>
          </w:p>
        </w:tc>
        <w:tc>
          <w:tcPr>
            <w:tcW w:w="978" w:type="pct"/>
          </w:tcPr>
          <w:p w14:paraId="639761A8" w14:textId="77777777" w:rsidR="007D1E74" w:rsidRDefault="00A95641">
            <w:pPr>
              <w:pStyle w:val="TableParagraph"/>
              <w:spacing w:before="25"/>
              <w:ind w:left="170" w:right="170"/>
              <w:rPr>
                <w:sz w:val="21"/>
                <w:szCs w:val="21"/>
              </w:rPr>
            </w:pPr>
            <w:r>
              <w:rPr>
                <w:sz w:val="21"/>
                <w:szCs w:val="21"/>
              </w:rPr>
              <w:t>1.5</w:t>
            </w:r>
          </w:p>
        </w:tc>
        <w:tc>
          <w:tcPr>
            <w:tcW w:w="652" w:type="pct"/>
          </w:tcPr>
          <w:p w14:paraId="418A5D45" w14:textId="77777777" w:rsidR="007D1E74" w:rsidRDefault="00A95641">
            <w:pPr>
              <w:pStyle w:val="TableParagraph"/>
              <w:spacing w:before="25"/>
              <w:ind w:right="108"/>
              <w:rPr>
                <w:sz w:val="21"/>
                <w:szCs w:val="21"/>
              </w:rPr>
            </w:pPr>
            <w:r>
              <w:rPr>
                <w:sz w:val="21"/>
                <w:szCs w:val="21"/>
              </w:rPr>
              <w:t>3</w:t>
            </w:r>
          </w:p>
        </w:tc>
      </w:tr>
      <w:tr w:rsidR="007D1E74" w14:paraId="3BD2A5E1" w14:textId="77777777">
        <w:trPr>
          <w:trHeight w:hRule="exact" w:val="336"/>
        </w:trPr>
        <w:tc>
          <w:tcPr>
            <w:tcW w:w="440" w:type="pct"/>
          </w:tcPr>
          <w:p w14:paraId="651EB2E6" w14:textId="77777777" w:rsidR="007D1E74" w:rsidRDefault="00A95641">
            <w:pPr>
              <w:pStyle w:val="TableParagraph"/>
              <w:spacing w:before="25"/>
              <w:ind w:left="109" w:right="105"/>
              <w:rPr>
                <w:sz w:val="21"/>
                <w:szCs w:val="21"/>
              </w:rPr>
            </w:pPr>
            <w:r>
              <w:rPr>
                <w:sz w:val="21"/>
                <w:szCs w:val="21"/>
              </w:rPr>
              <w:t>17</w:t>
            </w:r>
          </w:p>
        </w:tc>
        <w:tc>
          <w:tcPr>
            <w:tcW w:w="908" w:type="pct"/>
          </w:tcPr>
          <w:p w14:paraId="65C1FBB1" w14:textId="77777777" w:rsidR="007D1E74" w:rsidRDefault="00A95641">
            <w:pPr>
              <w:pStyle w:val="TableParagraph"/>
              <w:spacing w:line="283" w:lineRule="exact"/>
              <w:ind w:left="102"/>
              <w:rPr>
                <w:rFonts w:ascii="宋体"/>
                <w:sz w:val="21"/>
                <w:szCs w:val="21"/>
              </w:rPr>
            </w:pPr>
            <w:r>
              <w:rPr>
                <w:rFonts w:ascii="宋体" w:hint="eastAsia"/>
                <w:sz w:val="21"/>
                <w:szCs w:val="21"/>
              </w:rPr>
              <w:t>野菊</w:t>
            </w:r>
          </w:p>
        </w:tc>
        <w:tc>
          <w:tcPr>
            <w:tcW w:w="674" w:type="pct"/>
          </w:tcPr>
          <w:p w14:paraId="5DE1A2D8" w14:textId="77777777" w:rsidR="007D1E74" w:rsidRDefault="00A95641">
            <w:pPr>
              <w:pStyle w:val="TableParagraph"/>
              <w:spacing w:line="283" w:lineRule="exact"/>
              <w:ind w:left="102"/>
              <w:rPr>
                <w:rFonts w:ascii="宋体"/>
                <w:sz w:val="21"/>
                <w:szCs w:val="21"/>
              </w:rPr>
            </w:pPr>
            <w:r>
              <w:rPr>
                <w:rFonts w:ascii="宋体" w:hint="eastAsia"/>
                <w:sz w:val="21"/>
                <w:szCs w:val="21"/>
              </w:rPr>
              <w:t>花期</w:t>
            </w:r>
          </w:p>
        </w:tc>
        <w:tc>
          <w:tcPr>
            <w:tcW w:w="674" w:type="pct"/>
          </w:tcPr>
          <w:p w14:paraId="343127BD" w14:textId="77777777" w:rsidR="007D1E74" w:rsidRDefault="00A95641">
            <w:pPr>
              <w:pStyle w:val="TableParagraph"/>
              <w:spacing w:before="25"/>
              <w:ind w:right="1"/>
              <w:rPr>
                <w:sz w:val="21"/>
                <w:szCs w:val="21"/>
              </w:rPr>
            </w:pPr>
            <w:r>
              <w:rPr>
                <w:sz w:val="21"/>
                <w:szCs w:val="21"/>
              </w:rPr>
              <w:t>7</w:t>
            </w:r>
          </w:p>
        </w:tc>
        <w:tc>
          <w:tcPr>
            <w:tcW w:w="674" w:type="pct"/>
          </w:tcPr>
          <w:p w14:paraId="5CCE4D62" w14:textId="77777777" w:rsidR="007D1E74" w:rsidRDefault="00A95641">
            <w:pPr>
              <w:pStyle w:val="TableParagraph"/>
              <w:spacing w:before="25"/>
              <w:ind w:left="231" w:right="231"/>
              <w:rPr>
                <w:sz w:val="21"/>
                <w:szCs w:val="21"/>
              </w:rPr>
            </w:pPr>
            <w:r>
              <w:rPr>
                <w:sz w:val="21"/>
                <w:szCs w:val="21"/>
              </w:rPr>
              <w:t>Ol</w:t>
            </w:r>
          </w:p>
        </w:tc>
        <w:tc>
          <w:tcPr>
            <w:tcW w:w="978" w:type="pct"/>
          </w:tcPr>
          <w:p w14:paraId="717B8CA1" w14:textId="77777777" w:rsidR="007D1E74" w:rsidRDefault="00A95641">
            <w:pPr>
              <w:pStyle w:val="TableParagraph"/>
              <w:spacing w:before="25"/>
              <w:ind w:left="170" w:right="170"/>
              <w:rPr>
                <w:sz w:val="21"/>
                <w:szCs w:val="21"/>
              </w:rPr>
            </w:pPr>
            <w:r>
              <w:rPr>
                <w:sz w:val="21"/>
                <w:szCs w:val="21"/>
              </w:rPr>
              <w:t>2.2</w:t>
            </w:r>
          </w:p>
        </w:tc>
        <w:tc>
          <w:tcPr>
            <w:tcW w:w="652" w:type="pct"/>
          </w:tcPr>
          <w:p w14:paraId="2BCEE923" w14:textId="77777777" w:rsidR="007D1E74" w:rsidRDefault="00A95641">
            <w:pPr>
              <w:pStyle w:val="TableParagraph"/>
              <w:spacing w:before="25"/>
              <w:ind w:right="108"/>
              <w:rPr>
                <w:sz w:val="21"/>
                <w:szCs w:val="21"/>
              </w:rPr>
            </w:pPr>
            <w:r>
              <w:rPr>
                <w:sz w:val="21"/>
                <w:szCs w:val="21"/>
              </w:rPr>
              <w:t>2</w:t>
            </w:r>
          </w:p>
        </w:tc>
      </w:tr>
      <w:tr w:rsidR="007D1E74" w14:paraId="668272E4" w14:textId="77777777">
        <w:trPr>
          <w:trHeight w:hRule="exact" w:val="336"/>
        </w:trPr>
        <w:tc>
          <w:tcPr>
            <w:tcW w:w="440" w:type="pct"/>
          </w:tcPr>
          <w:p w14:paraId="1B326B21" w14:textId="77777777" w:rsidR="007D1E74" w:rsidRDefault="00A95641">
            <w:pPr>
              <w:pStyle w:val="TableParagraph"/>
              <w:spacing w:before="25"/>
              <w:ind w:left="109" w:right="105"/>
              <w:rPr>
                <w:sz w:val="21"/>
                <w:szCs w:val="21"/>
              </w:rPr>
            </w:pPr>
            <w:r>
              <w:rPr>
                <w:sz w:val="21"/>
                <w:szCs w:val="21"/>
              </w:rPr>
              <w:t>18</w:t>
            </w:r>
          </w:p>
        </w:tc>
        <w:tc>
          <w:tcPr>
            <w:tcW w:w="908" w:type="pct"/>
          </w:tcPr>
          <w:p w14:paraId="784481EA" w14:textId="77777777" w:rsidR="007D1E74" w:rsidRDefault="00A95641">
            <w:pPr>
              <w:pStyle w:val="TableParagraph"/>
              <w:spacing w:line="283" w:lineRule="exact"/>
              <w:ind w:left="102"/>
              <w:rPr>
                <w:rFonts w:ascii="宋体"/>
                <w:sz w:val="21"/>
                <w:szCs w:val="21"/>
              </w:rPr>
            </w:pPr>
            <w:r>
              <w:rPr>
                <w:rFonts w:ascii="宋体" w:hint="eastAsia"/>
                <w:sz w:val="21"/>
                <w:szCs w:val="21"/>
              </w:rPr>
              <w:t>顶芽狗脊</w:t>
            </w:r>
          </w:p>
        </w:tc>
        <w:tc>
          <w:tcPr>
            <w:tcW w:w="674" w:type="pct"/>
          </w:tcPr>
          <w:p w14:paraId="7738DF4C" w14:textId="77777777" w:rsidR="007D1E74" w:rsidRDefault="00A95641">
            <w:pPr>
              <w:pStyle w:val="TableParagraph"/>
              <w:spacing w:line="283" w:lineRule="exact"/>
              <w:ind w:left="102"/>
              <w:rPr>
                <w:rFonts w:ascii="宋体"/>
                <w:sz w:val="21"/>
                <w:szCs w:val="21"/>
              </w:rPr>
            </w:pPr>
            <w:r>
              <w:rPr>
                <w:rFonts w:ascii="宋体" w:hint="eastAsia"/>
                <w:sz w:val="21"/>
                <w:szCs w:val="21"/>
              </w:rPr>
              <w:t>营养期</w:t>
            </w:r>
          </w:p>
        </w:tc>
        <w:tc>
          <w:tcPr>
            <w:tcW w:w="674" w:type="pct"/>
          </w:tcPr>
          <w:p w14:paraId="5BDB5906" w14:textId="77777777" w:rsidR="007D1E74" w:rsidRDefault="00A95641">
            <w:pPr>
              <w:pStyle w:val="TableParagraph"/>
              <w:spacing w:line="301" w:lineRule="exact"/>
              <w:ind w:left="172" w:right="172"/>
              <w:rPr>
                <w:rFonts w:ascii="宋体"/>
                <w:sz w:val="21"/>
                <w:szCs w:val="21"/>
              </w:rPr>
            </w:pPr>
            <w:r>
              <w:rPr>
                <w:sz w:val="21"/>
                <w:szCs w:val="21"/>
              </w:rPr>
              <w:t xml:space="preserve">2 </w:t>
            </w:r>
            <w:r>
              <w:rPr>
                <w:rFonts w:ascii="宋体" w:hint="eastAsia"/>
                <w:sz w:val="21"/>
                <w:szCs w:val="21"/>
              </w:rPr>
              <w:t>丛</w:t>
            </w:r>
          </w:p>
        </w:tc>
        <w:tc>
          <w:tcPr>
            <w:tcW w:w="674" w:type="pct"/>
          </w:tcPr>
          <w:p w14:paraId="08F3231C" w14:textId="77777777" w:rsidR="007D1E74" w:rsidRDefault="00A95641">
            <w:pPr>
              <w:pStyle w:val="TableParagraph"/>
              <w:spacing w:before="25"/>
              <w:ind w:left="231" w:right="231"/>
              <w:rPr>
                <w:sz w:val="21"/>
                <w:szCs w:val="21"/>
              </w:rPr>
            </w:pPr>
            <w:r>
              <w:rPr>
                <w:sz w:val="21"/>
                <w:szCs w:val="21"/>
              </w:rPr>
              <w:t>Ol</w:t>
            </w:r>
          </w:p>
        </w:tc>
        <w:tc>
          <w:tcPr>
            <w:tcW w:w="978" w:type="pct"/>
          </w:tcPr>
          <w:p w14:paraId="72969A2C" w14:textId="77777777" w:rsidR="007D1E74" w:rsidRDefault="00A95641">
            <w:pPr>
              <w:pStyle w:val="TableParagraph"/>
              <w:spacing w:before="25"/>
              <w:ind w:left="170" w:right="170"/>
              <w:rPr>
                <w:sz w:val="21"/>
                <w:szCs w:val="21"/>
              </w:rPr>
            </w:pPr>
            <w:r>
              <w:rPr>
                <w:sz w:val="21"/>
                <w:szCs w:val="21"/>
              </w:rPr>
              <w:t>0.85</w:t>
            </w:r>
          </w:p>
        </w:tc>
        <w:tc>
          <w:tcPr>
            <w:tcW w:w="652" w:type="pct"/>
          </w:tcPr>
          <w:p w14:paraId="16A5823F" w14:textId="77777777" w:rsidR="007D1E74" w:rsidRDefault="00A95641">
            <w:pPr>
              <w:pStyle w:val="TableParagraph"/>
              <w:spacing w:before="25"/>
              <w:ind w:right="108"/>
              <w:rPr>
                <w:sz w:val="21"/>
                <w:szCs w:val="21"/>
              </w:rPr>
            </w:pPr>
            <w:r>
              <w:rPr>
                <w:sz w:val="21"/>
                <w:szCs w:val="21"/>
              </w:rPr>
              <w:t>4</w:t>
            </w:r>
          </w:p>
        </w:tc>
      </w:tr>
      <w:tr w:rsidR="007D1E74" w14:paraId="0A6989AC" w14:textId="77777777">
        <w:trPr>
          <w:trHeight w:hRule="exact" w:val="336"/>
        </w:trPr>
        <w:tc>
          <w:tcPr>
            <w:tcW w:w="440" w:type="pct"/>
          </w:tcPr>
          <w:p w14:paraId="357E8406" w14:textId="77777777" w:rsidR="007D1E74" w:rsidRDefault="00A95641">
            <w:pPr>
              <w:pStyle w:val="TableParagraph"/>
              <w:spacing w:before="25"/>
              <w:ind w:left="109" w:right="105"/>
              <w:rPr>
                <w:sz w:val="21"/>
                <w:szCs w:val="21"/>
              </w:rPr>
            </w:pPr>
            <w:r>
              <w:rPr>
                <w:sz w:val="21"/>
                <w:szCs w:val="21"/>
              </w:rPr>
              <w:t>19</w:t>
            </w:r>
          </w:p>
        </w:tc>
        <w:tc>
          <w:tcPr>
            <w:tcW w:w="908" w:type="pct"/>
          </w:tcPr>
          <w:p w14:paraId="519BA2EF" w14:textId="77777777" w:rsidR="007D1E74" w:rsidRDefault="00A95641">
            <w:pPr>
              <w:pStyle w:val="TableParagraph"/>
              <w:spacing w:line="283" w:lineRule="exact"/>
              <w:ind w:left="102"/>
              <w:rPr>
                <w:rFonts w:ascii="宋体"/>
                <w:sz w:val="21"/>
                <w:szCs w:val="21"/>
              </w:rPr>
            </w:pPr>
            <w:r>
              <w:rPr>
                <w:rFonts w:ascii="宋体" w:hint="eastAsia"/>
                <w:sz w:val="21"/>
                <w:szCs w:val="21"/>
              </w:rPr>
              <w:t>凤尾草</w:t>
            </w:r>
          </w:p>
        </w:tc>
        <w:tc>
          <w:tcPr>
            <w:tcW w:w="674" w:type="pct"/>
          </w:tcPr>
          <w:p w14:paraId="5AC692F9" w14:textId="77777777" w:rsidR="007D1E74" w:rsidRDefault="00A95641">
            <w:pPr>
              <w:pStyle w:val="TableParagraph"/>
              <w:spacing w:line="283" w:lineRule="exact"/>
              <w:ind w:left="102"/>
              <w:rPr>
                <w:rFonts w:ascii="宋体"/>
                <w:sz w:val="21"/>
                <w:szCs w:val="21"/>
              </w:rPr>
            </w:pPr>
            <w:r>
              <w:rPr>
                <w:rFonts w:ascii="宋体" w:hint="eastAsia"/>
                <w:sz w:val="21"/>
                <w:szCs w:val="21"/>
              </w:rPr>
              <w:t>营养期</w:t>
            </w:r>
          </w:p>
        </w:tc>
        <w:tc>
          <w:tcPr>
            <w:tcW w:w="674" w:type="pct"/>
          </w:tcPr>
          <w:p w14:paraId="0F0146BB" w14:textId="77777777" w:rsidR="007D1E74" w:rsidRDefault="00A95641">
            <w:pPr>
              <w:pStyle w:val="TableParagraph"/>
              <w:spacing w:before="25"/>
              <w:ind w:left="171" w:right="172"/>
              <w:rPr>
                <w:sz w:val="21"/>
                <w:szCs w:val="21"/>
              </w:rPr>
            </w:pPr>
            <w:r>
              <w:rPr>
                <w:sz w:val="21"/>
                <w:szCs w:val="21"/>
              </w:rPr>
              <w:t>13</w:t>
            </w:r>
          </w:p>
        </w:tc>
        <w:tc>
          <w:tcPr>
            <w:tcW w:w="674" w:type="pct"/>
          </w:tcPr>
          <w:p w14:paraId="3F033978" w14:textId="77777777" w:rsidR="007D1E74" w:rsidRDefault="00A95641">
            <w:pPr>
              <w:pStyle w:val="TableParagraph"/>
              <w:spacing w:before="25"/>
              <w:ind w:left="231" w:right="231"/>
              <w:rPr>
                <w:sz w:val="21"/>
                <w:szCs w:val="21"/>
              </w:rPr>
            </w:pPr>
            <w:r>
              <w:rPr>
                <w:sz w:val="21"/>
                <w:szCs w:val="21"/>
              </w:rPr>
              <w:t>Sp</w:t>
            </w:r>
          </w:p>
        </w:tc>
        <w:tc>
          <w:tcPr>
            <w:tcW w:w="978" w:type="pct"/>
          </w:tcPr>
          <w:p w14:paraId="79C079A5" w14:textId="77777777" w:rsidR="007D1E74" w:rsidRDefault="00A95641">
            <w:pPr>
              <w:pStyle w:val="TableParagraph"/>
              <w:spacing w:before="25"/>
              <w:ind w:left="170" w:right="170"/>
              <w:rPr>
                <w:sz w:val="21"/>
                <w:szCs w:val="21"/>
              </w:rPr>
            </w:pPr>
            <w:r>
              <w:rPr>
                <w:sz w:val="21"/>
                <w:szCs w:val="21"/>
              </w:rPr>
              <w:t>0.5</w:t>
            </w:r>
          </w:p>
        </w:tc>
        <w:tc>
          <w:tcPr>
            <w:tcW w:w="652" w:type="pct"/>
          </w:tcPr>
          <w:p w14:paraId="6807B2F7" w14:textId="77777777" w:rsidR="007D1E74" w:rsidRDefault="00A95641">
            <w:pPr>
              <w:pStyle w:val="TableParagraph"/>
              <w:spacing w:before="25"/>
              <w:ind w:right="108"/>
              <w:rPr>
                <w:sz w:val="21"/>
                <w:szCs w:val="21"/>
              </w:rPr>
            </w:pPr>
            <w:r>
              <w:rPr>
                <w:sz w:val="21"/>
                <w:szCs w:val="21"/>
              </w:rPr>
              <w:t>4</w:t>
            </w:r>
          </w:p>
        </w:tc>
      </w:tr>
    </w:tbl>
    <w:p w14:paraId="0DD33A18" w14:textId="77777777" w:rsidR="007D1E74" w:rsidRDefault="007D1E74">
      <w:pPr>
        <w:spacing w:line="360" w:lineRule="auto"/>
        <w:rPr>
          <w:rFonts w:cs="Times New Roman"/>
          <w:szCs w:val="21"/>
        </w:rPr>
      </w:pPr>
    </w:p>
    <w:p w14:paraId="7B685D71" w14:textId="77777777" w:rsidR="007D1E74" w:rsidRDefault="00A95641">
      <w:pPr>
        <w:spacing w:line="360" w:lineRule="auto"/>
        <w:jc w:val="center"/>
        <w:rPr>
          <w:rFonts w:eastAsia="黑体" w:cs="Times New Roman"/>
          <w:szCs w:val="21"/>
        </w:rPr>
      </w:pPr>
      <w:r>
        <w:rPr>
          <w:rFonts w:eastAsia="黑体" w:cs="Times New Roman"/>
          <w:szCs w:val="21"/>
        </w:rPr>
        <w:t>表</w:t>
      </w:r>
      <w:r>
        <w:rPr>
          <w:rFonts w:eastAsia="黑体" w:cs="Times New Roman"/>
          <w:szCs w:val="21"/>
        </w:rPr>
        <w:t xml:space="preserve">A.2.4-5  </w:t>
      </w:r>
      <w:r>
        <w:rPr>
          <w:rFonts w:eastAsia="黑体" w:cs="Times New Roman" w:hint="eastAsia"/>
          <w:szCs w:val="21"/>
        </w:rPr>
        <w:t>植物实测样方表</w:t>
      </w:r>
    </w:p>
    <w:tbl>
      <w:tblPr>
        <w:tblStyle w:val="affffc"/>
        <w:tblW w:w="0" w:type="auto"/>
        <w:tblBorders>
          <w:left w:val="none" w:sz="0" w:space="0" w:color="auto"/>
          <w:right w:val="none" w:sz="0" w:space="0" w:color="auto"/>
        </w:tblBorders>
        <w:tblLook w:val="04A0" w:firstRow="1" w:lastRow="0" w:firstColumn="1" w:lastColumn="0" w:noHBand="0" w:noVBand="1"/>
      </w:tblPr>
      <w:tblGrid>
        <w:gridCol w:w="9016"/>
      </w:tblGrid>
      <w:tr w:rsidR="007D1E74" w14:paraId="3ADF493A" w14:textId="77777777">
        <w:tc>
          <w:tcPr>
            <w:tcW w:w="9016" w:type="dxa"/>
          </w:tcPr>
          <w:p w14:paraId="6DD5B720" w14:textId="77777777" w:rsidR="007D1E74" w:rsidRDefault="00A95641">
            <w:pPr>
              <w:spacing w:line="360" w:lineRule="auto"/>
              <w:rPr>
                <w:rFonts w:eastAsiaTheme="minorEastAsia" w:cs="Times New Roman"/>
                <w:szCs w:val="21"/>
              </w:rPr>
            </w:pPr>
            <w:r>
              <w:rPr>
                <w:rFonts w:eastAsiaTheme="minorEastAsia" w:cs="Times New Roman" w:hint="eastAsia"/>
                <w:szCs w:val="21"/>
              </w:rPr>
              <w:t>群落名称：旱地</w:t>
            </w:r>
            <w:r>
              <w:rPr>
                <w:rFonts w:eastAsiaTheme="minorEastAsia" w:cs="Times New Roman" w:hint="eastAsia"/>
                <w:szCs w:val="21"/>
              </w:rPr>
              <w:t>*</w:t>
            </w:r>
            <w:r>
              <w:rPr>
                <w:rFonts w:eastAsiaTheme="minorEastAsia" w:cs="Times New Roman" w:hint="eastAsia"/>
                <w:szCs w:val="21"/>
              </w:rPr>
              <w:t>、芒灌草丛</w:t>
            </w:r>
            <w:r>
              <w:rPr>
                <w:rFonts w:eastAsiaTheme="minorEastAsia" w:cs="Times New Roman" w:hint="eastAsia"/>
                <w:szCs w:val="21"/>
              </w:rPr>
              <w:tab/>
            </w:r>
            <w:r>
              <w:rPr>
                <w:rFonts w:eastAsiaTheme="minorEastAsia" w:cs="Times New Roman" w:hint="eastAsia"/>
                <w:szCs w:val="21"/>
              </w:rPr>
              <w:t>地点：新场镇姜家坝村</w:t>
            </w:r>
            <w:r>
              <w:rPr>
                <w:rFonts w:eastAsiaTheme="minorEastAsia" w:cs="Times New Roman" w:hint="eastAsia"/>
                <w:szCs w:val="21"/>
              </w:rPr>
              <w:tab/>
            </w:r>
            <w:r>
              <w:rPr>
                <w:rFonts w:eastAsiaTheme="minorEastAsia" w:cs="Times New Roman" w:hint="eastAsia"/>
                <w:szCs w:val="21"/>
              </w:rPr>
              <w:t>样方面积：</w:t>
            </w:r>
            <w:r>
              <w:rPr>
                <w:rFonts w:eastAsiaTheme="minorEastAsia" w:cs="Times New Roman" w:hint="eastAsia"/>
                <w:szCs w:val="21"/>
              </w:rPr>
              <w:t>1m</w:t>
            </w:r>
            <w:r>
              <w:rPr>
                <w:rFonts w:eastAsiaTheme="minorEastAsia" w:cs="Times New Roman" w:hint="eastAsia"/>
                <w:szCs w:val="21"/>
              </w:rPr>
              <w:t>×</w:t>
            </w:r>
            <w:r>
              <w:rPr>
                <w:rFonts w:eastAsiaTheme="minorEastAsia" w:cs="Times New Roman" w:hint="eastAsia"/>
                <w:szCs w:val="21"/>
              </w:rPr>
              <w:t>1m</w:t>
            </w:r>
          </w:p>
        </w:tc>
      </w:tr>
      <w:tr w:rsidR="007D1E74" w14:paraId="2B69C9B3" w14:textId="77777777">
        <w:tc>
          <w:tcPr>
            <w:tcW w:w="9016" w:type="dxa"/>
          </w:tcPr>
          <w:p w14:paraId="230900A0" w14:textId="77777777" w:rsidR="007D1E74" w:rsidRDefault="00A95641">
            <w:pPr>
              <w:spacing w:line="360" w:lineRule="auto"/>
              <w:rPr>
                <w:rFonts w:eastAsiaTheme="minorEastAsia" w:cs="Times New Roman"/>
                <w:szCs w:val="21"/>
              </w:rPr>
            </w:pPr>
            <w:r>
              <w:rPr>
                <w:rFonts w:eastAsiaTheme="minorEastAsia" w:cs="Times New Roman" w:hint="eastAsia"/>
                <w:szCs w:val="21"/>
              </w:rPr>
              <w:t>经度：</w:t>
            </w:r>
            <w:r>
              <w:rPr>
                <w:rFonts w:eastAsiaTheme="minorEastAsia" w:cs="Times New Roman" w:hint="eastAsia"/>
                <w:szCs w:val="21"/>
              </w:rPr>
              <w:t xml:space="preserve">107.239670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纬度：</w:t>
            </w:r>
            <w:r>
              <w:rPr>
                <w:rFonts w:eastAsiaTheme="minorEastAsia" w:cs="Times New Roman" w:hint="eastAsia"/>
                <w:szCs w:val="21"/>
              </w:rPr>
              <w:t xml:space="preserve">32. 119510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海拔（</w:t>
            </w:r>
            <w:r>
              <w:rPr>
                <w:rFonts w:eastAsiaTheme="minorEastAsia" w:cs="Times New Roman" w:hint="eastAsia"/>
                <w:szCs w:val="21"/>
              </w:rPr>
              <w:t>m</w:t>
            </w:r>
            <w:r>
              <w:rPr>
                <w:rFonts w:eastAsiaTheme="minorEastAsia" w:cs="Times New Roman" w:hint="eastAsia"/>
                <w:szCs w:val="21"/>
              </w:rPr>
              <w:t>）</w:t>
            </w:r>
            <w:r>
              <w:rPr>
                <w:rFonts w:eastAsiaTheme="minorEastAsia" w:cs="Times New Roman" w:hint="eastAsia"/>
                <w:szCs w:val="21"/>
              </w:rPr>
              <w:t>612</w:t>
            </w:r>
          </w:p>
        </w:tc>
      </w:tr>
      <w:tr w:rsidR="007D1E74" w14:paraId="0203A9CA" w14:textId="77777777">
        <w:trPr>
          <w:trHeight w:val="70"/>
        </w:trPr>
        <w:tc>
          <w:tcPr>
            <w:tcW w:w="9016" w:type="dxa"/>
          </w:tcPr>
          <w:p w14:paraId="146BAE1F" w14:textId="77777777" w:rsidR="007D1E74" w:rsidRDefault="00A95641">
            <w:pPr>
              <w:spacing w:line="360" w:lineRule="auto"/>
              <w:rPr>
                <w:rFonts w:eastAsiaTheme="minorEastAsia" w:cs="Times New Roman"/>
                <w:szCs w:val="21"/>
              </w:rPr>
            </w:pPr>
            <w:r>
              <w:rPr>
                <w:rFonts w:eastAsiaTheme="minorEastAsia" w:cs="Times New Roman" w:hint="eastAsia"/>
                <w:szCs w:val="21"/>
              </w:rPr>
              <w:t>调查人：黄文军、李秦</w:t>
            </w:r>
            <w:r>
              <w:rPr>
                <w:rFonts w:eastAsiaTheme="minorEastAsia" w:cs="Times New Roman" w:hint="eastAsia"/>
                <w:szCs w:val="21"/>
              </w:rPr>
              <w:tab/>
            </w:r>
            <w:r>
              <w:rPr>
                <w:rFonts w:eastAsiaTheme="minorEastAsia" w:cs="Times New Roman" w:hint="eastAsia"/>
                <w:szCs w:val="21"/>
              </w:rPr>
              <w:t>调查日期：</w:t>
            </w:r>
            <w:r>
              <w:rPr>
                <w:rFonts w:eastAsiaTheme="minorEastAsia" w:cs="Times New Roman" w:hint="eastAsia"/>
                <w:szCs w:val="21"/>
              </w:rPr>
              <w:t>2021-08-19</w:t>
            </w:r>
          </w:p>
        </w:tc>
      </w:tr>
    </w:tbl>
    <w:p w14:paraId="61956BA5" w14:textId="77777777" w:rsidR="007D1E74" w:rsidRDefault="007D1E74">
      <w:pPr>
        <w:spacing w:line="360" w:lineRule="auto"/>
        <w:rPr>
          <w:rFonts w:eastAsia="黑体" w:cs="Times New Roman"/>
          <w:sz w:val="24"/>
          <w:szCs w:val="24"/>
        </w:rPr>
      </w:pP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4"/>
        <w:gridCol w:w="1637"/>
        <w:gridCol w:w="1215"/>
        <w:gridCol w:w="1215"/>
        <w:gridCol w:w="1215"/>
        <w:gridCol w:w="1764"/>
        <w:gridCol w:w="1176"/>
      </w:tblGrid>
      <w:tr w:rsidR="007D1E74" w14:paraId="3CE8A669" w14:textId="77777777">
        <w:trPr>
          <w:trHeight w:hRule="exact" w:val="351"/>
        </w:trPr>
        <w:tc>
          <w:tcPr>
            <w:tcW w:w="440" w:type="pct"/>
          </w:tcPr>
          <w:p w14:paraId="3C4F7ACD" w14:textId="77777777" w:rsidR="007D1E74" w:rsidRDefault="00A95641">
            <w:pPr>
              <w:pStyle w:val="TableParagraph"/>
              <w:spacing w:line="284" w:lineRule="exact"/>
              <w:ind w:left="109" w:right="103"/>
              <w:rPr>
                <w:rFonts w:ascii="宋体"/>
                <w:sz w:val="21"/>
                <w:szCs w:val="21"/>
              </w:rPr>
            </w:pPr>
            <w:r>
              <w:rPr>
                <w:rFonts w:ascii="宋体" w:hint="eastAsia"/>
                <w:sz w:val="21"/>
                <w:szCs w:val="21"/>
              </w:rPr>
              <w:t>种号</w:t>
            </w:r>
          </w:p>
        </w:tc>
        <w:tc>
          <w:tcPr>
            <w:tcW w:w="908" w:type="pct"/>
          </w:tcPr>
          <w:p w14:paraId="5026DD7E" w14:textId="77777777" w:rsidR="007D1E74" w:rsidRDefault="00A95641">
            <w:pPr>
              <w:pStyle w:val="TableParagraph"/>
              <w:spacing w:line="284" w:lineRule="exact"/>
              <w:ind w:left="397"/>
              <w:rPr>
                <w:rFonts w:ascii="宋体"/>
                <w:sz w:val="21"/>
                <w:szCs w:val="21"/>
              </w:rPr>
            </w:pPr>
            <w:r>
              <w:rPr>
                <w:rFonts w:ascii="宋体" w:hint="eastAsia"/>
                <w:sz w:val="21"/>
                <w:szCs w:val="21"/>
              </w:rPr>
              <w:t>物种名</w:t>
            </w:r>
          </w:p>
        </w:tc>
        <w:tc>
          <w:tcPr>
            <w:tcW w:w="674" w:type="pct"/>
          </w:tcPr>
          <w:p w14:paraId="7E0C0E80" w14:textId="77777777" w:rsidR="007D1E74" w:rsidRDefault="00A95641">
            <w:pPr>
              <w:pStyle w:val="TableParagraph"/>
              <w:spacing w:line="284" w:lineRule="exact"/>
              <w:ind w:left="202"/>
              <w:rPr>
                <w:rFonts w:ascii="宋体"/>
                <w:sz w:val="21"/>
                <w:szCs w:val="21"/>
              </w:rPr>
            </w:pPr>
            <w:r>
              <w:rPr>
                <w:rFonts w:ascii="宋体" w:hint="eastAsia"/>
                <w:sz w:val="21"/>
                <w:szCs w:val="21"/>
              </w:rPr>
              <w:t>物候期</w:t>
            </w:r>
          </w:p>
        </w:tc>
        <w:tc>
          <w:tcPr>
            <w:tcW w:w="674" w:type="pct"/>
          </w:tcPr>
          <w:p w14:paraId="2F953BA3" w14:textId="77777777" w:rsidR="007D1E74" w:rsidRDefault="00A95641">
            <w:pPr>
              <w:pStyle w:val="TableParagraph"/>
              <w:spacing w:line="302" w:lineRule="exact"/>
              <w:ind w:left="102" w:right="102"/>
              <w:rPr>
                <w:rFonts w:ascii="宋体"/>
                <w:sz w:val="21"/>
                <w:szCs w:val="21"/>
              </w:rPr>
            </w:pPr>
            <w:r>
              <w:rPr>
                <w:rFonts w:ascii="宋体" w:hint="eastAsia"/>
                <w:sz w:val="21"/>
                <w:szCs w:val="21"/>
              </w:rPr>
              <w:t>株</w:t>
            </w:r>
            <w:r>
              <w:rPr>
                <w:sz w:val="21"/>
                <w:szCs w:val="21"/>
              </w:rPr>
              <w:t>(</w:t>
            </w:r>
            <w:r>
              <w:rPr>
                <w:rFonts w:ascii="宋体" w:hint="eastAsia"/>
                <w:sz w:val="21"/>
                <w:szCs w:val="21"/>
              </w:rPr>
              <w:t>丛</w:t>
            </w:r>
            <w:r>
              <w:rPr>
                <w:sz w:val="21"/>
                <w:szCs w:val="21"/>
              </w:rPr>
              <w:t>)</w:t>
            </w:r>
            <w:r>
              <w:rPr>
                <w:rFonts w:ascii="宋体" w:hint="eastAsia"/>
                <w:sz w:val="21"/>
                <w:szCs w:val="21"/>
              </w:rPr>
              <w:t>数</w:t>
            </w:r>
          </w:p>
        </w:tc>
        <w:tc>
          <w:tcPr>
            <w:tcW w:w="674" w:type="pct"/>
          </w:tcPr>
          <w:p w14:paraId="0B1DAEDD" w14:textId="77777777" w:rsidR="007D1E74" w:rsidRDefault="00A95641">
            <w:pPr>
              <w:pStyle w:val="TableParagraph"/>
              <w:spacing w:line="284" w:lineRule="exact"/>
              <w:ind w:left="102" w:right="102"/>
              <w:rPr>
                <w:rFonts w:ascii="宋体"/>
                <w:sz w:val="21"/>
                <w:szCs w:val="21"/>
              </w:rPr>
            </w:pPr>
            <w:r>
              <w:rPr>
                <w:rFonts w:ascii="宋体" w:hint="eastAsia"/>
                <w:sz w:val="21"/>
                <w:szCs w:val="21"/>
              </w:rPr>
              <w:t>多度</w:t>
            </w:r>
          </w:p>
        </w:tc>
        <w:tc>
          <w:tcPr>
            <w:tcW w:w="978" w:type="pct"/>
          </w:tcPr>
          <w:p w14:paraId="0CCA152D" w14:textId="77777777" w:rsidR="007D1E74" w:rsidRDefault="00A95641">
            <w:pPr>
              <w:pStyle w:val="TableParagraph"/>
              <w:spacing w:line="302" w:lineRule="exact"/>
              <w:ind w:left="172" w:right="170"/>
              <w:rPr>
                <w:sz w:val="21"/>
                <w:szCs w:val="21"/>
              </w:rPr>
            </w:pPr>
            <w:r>
              <w:rPr>
                <w:rFonts w:ascii="宋体" w:hint="eastAsia"/>
                <w:w w:val="95"/>
                <w:sz w:val="21"/>
                <w:szCs w:val="21"/>
              </w:rPr>
              <w:t>平均高度</w:t>
            </w:r>
            <w:r>
              <w:rPr>
                <w:w w:val="95"/>
                <w:sz w:val="21"/>
                <w:szCs w:val="21"/>
              </w:rPr>
              <w:t>/cm</w:t>
            </w:r>
          </w:p>
        </w:tc>
        <w:tc>
          <w:tcPr>
            <w:tcW w:w="652" w:type="pct"/>
          </w:tcPr>
          <w:p w14:paraId="3F9B1E5D" w14:textId="77777777" w:rsidR="007D1E74" w:rsidRDefault="00A95641">
            <w:pPr>
              <w:pStyle w:val="TableParagraph"/>
              <w:spacing w:line="302" w:lineRule="exact"/>
              <w:ind w:left="116" w:right="226"/>
              <w:rPr>
                <w:sz w:val="21"/>
                <w:szCs w:val="21"/>
              </w:rPr>
            </w:pPr>
            <w:r>
              <w:rPr>
                <w:rFonts w:ascii="宋体" w:hint="eastAsia"/>
                <w:w w:val="95"/>
                <w:sz w:val="21"/>
                <w:szCs w:val="21"/>
              </w:rPr>
              <w:t>盖度</w:t>
            </w:r>
            <w:r>
              <w:rPr>
                <w:w w:val="95"/>
                <w:sz w:val="21"/>
                <w:szCs w:val="21"/>
              </w:rPr>
              <w:t>/%</w:t>
            </w:r>
          </w:p>
        </w:tc>
      </w:tr>
      <w:tr w:rsidR="007D1E74" w14:paraId="4A8DCEEB" w14:textId="77777777">
        <w:trPr>
          <w:trHeight w:hRule="exact" w:val="336"/>
        </w:trPr>
        <w:tc>
          <w:tcPr>
            <w:tcW w:w="440" w:type="pct"/>
          </w:tcPr>
          <w:p w14:paraId="4444CEB4" w14:textId="77777777" w:rsidR="007D1E74" w:rsidRDefault="00A95641">
            <w:pPr>
              <w:pStyle w:val="TableParagraph"/>
              <w:spacing w:before="24"/>
              <w:ind w:left="4"/>
              <w:rPr>
                <w:sz w:val="21"/>
                <w:szCs w:val="21"/>
              </w:rPr>
            </w:pPr>
            <w:r>
              <w:rPr>
                <w:sz w:val="21"/>
                <w:szCs w:val="21"/>
              </w:rPr>
              <w:t>1</w:t>
            </w:r>
          </w:p>
        </w:tc>
        <w:tc>
          <w:tcPr>
            <w:tcW w:w="908" w:type="pct"/>
          </w:tcPr>
          <w:p w14:paraId="1EBAB0F3" w14:textId="77777777" w:rsidR="007D1E74" w:rsidRDefault="00A95641">
            <w:pPr>
              <w:pStyle w:val="TableParagraph"/>
              <w:spacing w:line="284" w:lineRule="exact"/>
              <w:ind w:left="102"/>
              <w:rPr>
                <w:rFonts w:ascii="宋体"/>
                <w:sz w:val="21"/>
                <w:szCs w:val="21"/>
              </w:rPr>
            </w:pPr>
            <w:r>
              <w:rPr>
                <w:rFonts w:ascii="宋体" w:hint="eastAsia"/>
                <w:sz w:val="21"/>
                <w:szCs w:val="21"/>
              </w:rPr>
              <w:t>芒</w:t>
            </w:r>
          </w:p>
        </w:tc>
        <w:tc>
          <w:tcPr>
            <w:tcW w:w="674" w:type="pct"/>
          </w:tcPr>
          <w:p w14:paraId="7B2320C8"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0DAD95F1" w14:textId="77777777" w:rsidR="007D1E74" w:rsidRDefault="00A95641">
            <w:pPr>
              <w:pStyle w:val="TableParagraph"/>
              <w:spacing w:line="302" w:lineRule="exact"/>
              <w:ind w:left="101" w:right="102"/>
              <w:rPr>
                <w:rFonts w:ascii="宋体"/>
                <w:sz w:val="21"/>
                <w:szCs w:val="21"/>
              </w:rPr>
            </w:pPr>
            <w:r>
              <w:rPr>
                <w:sz w:val="21"/>
                <w:szCs w:val="21"/>
              </w:rPr>
              <w:t xml:space="preserve">2 </w:t>
            </w:r>
            <w:r>
              <w:rPr>
                <w:rFonts w:ascii="宋体" w:hint="eastAsia"/>
                <w:sz w:val="21"/>
                <w:szCs w:val="21"/>
              </w:rPr>
              <w:t>丛</w:t>
            </w:r>
          </w:p>
        </w:tc>
        <w:tc>
          <w:tcPr>
            <w:tcW w:w="674" w:type="pct"/>
          </w:tcPr>
          <w:p w14:paraId="575DE6A3" w14:textId="77777777" w:rsidR="007D1E74" w:rsidRDefault="00A95641">
            <w:pPr>
              <w:pStyle w:val="TableParagraph"/>
              <w:spacing w:before="23"/>
              <w:ind w:left="101" w:right="101"/>
              <w:rPr>
                <w:sz w:val="21"/>
                <w:szCs w:val="21"/>
              </w:rPr>
            </w:pPr>
            <w:r>
              <w:rPr>
                <w:position w:val="2"/>
                <w:sz w:val="21"/>
                <w:szCs w:val="21"/>
              </w:rPr>
              <w:t>Cop</w:t>
            </w:r>
            <w:r>
              <w:rPr>
                <w:sz w:val="21"/>
                <w:szCs w:val="21"/>
              </w:rPr>
              <w:t>2</w:t>
            </w:r>
          </w:p>
        </w:tc>
        <w:tc>
          <w:tcPr>
            <w:tcW w:w="978" w:type="pct"/>
          </w:tcPr>
          <w:p w14:paraId="4865DBDF" w14:textId="77777777" w:rsidR="007D1E74" w:rsidRDefault="00A95641">
            <w:pPr>
              <w:pStyle w:val="TableParagraph"/>
              <w:spacing w:before="24"/>
              <w:ind w:left="241" w:right="241"/>
              <w:rPr>
                <w:sz w:val="21"/>
                <w:szCs w:val="21"/>
              </w:rPr>
            </w:pPr>
            <w:r>
              <w:rPr>
                <w:sz w:val="21"/>
                <w:szCs w:val="21"/>
              </w:rPr>
              <w:t>2.2</w:t>
            </w:r>
          </w:p>
        </w:tc>
        <w:tc>
          <w:tcPr>
            <w:tcW w:w="652" w:type="pct"/>
          </w:tcPr>
          <w:p w14:paraId="06B0DFFE" w14:textId="77777777" w:rsidR="007D1E74" w:rsidRDefault="00A95641">
            <w:pPr>
              <w:pStyle w:val="TableParagraph"/>
              <w:spacing w:before="24"/>
              <w:ind w:left="116" w:right="224"/>
              <w:rPr>
                <w:sz w:val="21"/>
                <w:szCs w:val="21"/>
              </w:rPr>
            </w:pPr>
            <w:r>
              <w:rPr>
                <w:sz w:val="21"/>
                <w:szCs w:val="21"/>
              </w:rPr>
              <w:t>65</w:t>
            </w:r>
          </w:p>
        </w:tc>
      </w:tr>
      <w:tr w:rsidR="007D1E74" w14:paraId="29349B24" w14:textId="77777777">
        <w:trPr>
          <w:trHeight w:hRule="exact" w:val="336"/>
        </w:trPr>
        <w:tc>
          <w:tcPr>
            <w:tcW w:w="440" w:type="pct"/>
          </w:tcPr>
          <w:p w14:paraId="3D47D753" w14:textId="77777777" w:rsidR="007D1E74" w:rsidRDefault="00A95641">
            <w:pPr>
              <w:pStyle w:val="TableParagraph"/>
              <w:spacing w:before="24"/>
              <w:ind w:left="4"/>
              <w:rPr>
                <w:sz w:val="21"/>
                <w:szCs w:val="21"/>
              </w:rPr>
            </w:pPr>
            <w:r>
              <w:rPr>
                <w:sz w:val="21"/>
                <w:szCs w:val="21"/>
              </w:rPr>
              <w:t>2</w:t>
            </w:r>
          </w:p>
        </w:tc>
        <w:tc>
          <w:tcPr>
            <w:tcW w:w="908" w:type="pct"/>
          </w:tcPr>
          <w:p w14:paraId="081C6FB6" w14:textId="77777777" w:rsidR="007D1E74" w:rsidRDefault="00A95641">
            <w:pPr>
              <w:pStyle w:val="TableParagraph"/>
              <w:spacing w:line="284" w:lineRule="exact"/>
              <w:ind w:left="102"/>
              <w:rPr>
                <w:rFonts w:ascii="宋体"/>
                <w:sz w:val="21"/>
                <w:szCs w:val="21"/>
              </w:rPr>
            </w:pPr>
            <w:r>
              <w:rPr>
                <w:rFonts w:ascii="宋体" w:hint="eastAsia"/>
                <w:sz w:val="21"/>
                <w:szCs w:val="21"/>
              </w:rPr>
              <w:t>小蓬草</w:t>
            </w:r>
          </w:p>
        </w:tc>
        <w:tc>
          <w:tcPr>
            <w:tcW w:w="674" w:type="pct"/>
          </w:tcPr>
          <w:p w14:paraId="45F64374"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138684AC" w14:textId="77777777" w:rsidR="007D1E74" w:rsidRDefault="00A95641">
            <w:pPr>
              <w:pStyle w:val="TableParagraph"/>
              <w:spacing w:line="302" w:lineRule="exact"/>
              <w:ind w:left="101" w:right="102"/>
              <w:rPr>
                <w:rFonts w:ascii="宋体"/>
                <w:sz w:val="21"/>
                <w:szCs w:val="21"/>
              </w:rPr>
            </w:pPr>
            <w:r>
              <w:rPr>
                <w:sz w:val="21"/>
                <w:szCs w:val="21"/>
              </w:rPr>
              <w:t xml:space="preserve">3 </w:t>
            </w:r>
            <w:r>
              <w:rPr>
                <w:rFonts w:ascii="宋体" w:hint="eastAsia"/>
                <w:sz w:val="21"/>
                <w:szCs w:val="21"/>
              </w:rPr>
              <w:t>丛</w:t>
            </w:r>
          </w:p>
        </w:tc>
        <w:tc>
          <w:tcPr>
            <w:tcW w:w="674" w:type="pct"/>
          </w:tcPr>
          <w:p w14:paraId="2A9C718F" w14:textId="77777777" w:rsidR="007D1E74" w:rsidRDefault="00A95641">
            <w:pPr>
              <w:pStyle w:val="TableParagraph"/>
              <w:spacing w:before="23"/>
              <w:ind w:left="101" w:right="101"/>
              <w:rPr>
                <w:sz w:val="21"/>
                <w:szCs w:val="21"/>
              </w:rPr>
            </w:pPr>
            <w:r>
              <w:rPr>
                <w:position w:val="2"/>
                <w:sz w:val="21"/>
                <w:szCs w:val="21"/>
              </w:rPr>
              <w:t>Cop</w:t>
            </w:r>
            <w:r>
              <w:rPr>
                <w:sz w:val="21"/>
                <w:szCs w:val="21"/>
              </w:rPr>
              <w:t>1</w:t>
            </w:r>
          </w:p>
        </w:tc>
        <w:tc>
          <w:tcPr>
            <w:tcW w:w="978" w:type="pct"/>
          </w:tcPr>
          <w:p w14:paraId="4EBD41D5" w14:textId="77777777" w:rsidR="007D1E74" w:rsidRDefault="00A95641">
            <w:pPr>
              <w:pStyle w:val="TableParagraph"/>
              <w:spacing w:before="24"/>
              <w:ind w:left="241" w:right="241"/>
              <w:rPr>
                <w:sz w:val="21"/>
                <w:szCs w:val="21"/>
              </w:rPr>
            </w:pPr>
            <w:r>
              <w:rPr>
                <w:sz w:val="21"/>
                <w:szCs w:val="21"/>
              </w:rPr>
              <w:t>1.9</w:t>
            </w:r>
          </w:p>
        </w:tc>
        <w:tc>
          <w:tcPr>
            <w:tcW w:w="652" w:type="pct"/>
          </w:tcPr>
          <w:p w14:paraId="4D935BC6" w14:textId="77777777" w:rsidR="007D1E74" w:rsidRDefault="00A95641">
            <w:pPr>
              <w:pStyle w:val="TableParagraph"/>
              <w:spacing w:before="24"/>
              <w:ind w:left="116" w:right="224"/>
              <w:rPr>
                <w:sz w:val="21"/>
                <w:szCs w:val="21"/>
              </w:rPr>
            </w:pPr>
            <w:r>
              <w:rPr>
                <w:sz w:val="21"/>
                <w:szCs w:val="21"/>
              </w:rPr>
              <w:t>25</w:t>
            </w:r>
          </w:p>
        </w:tc>
      </w:tr>
      <w:tr w:rsidR="007D1E74" w14:paraId="6698B0A7" w14:textId="77777777">
        <w:trPr>
          <w:trHeight w:hRule="exact" w:val="336"/>
        </w:trPr>
        <w:tc>
          <w:tcPr>
            <w:tcW w:w="440" w:type="pct"/>
          </w:tcPr>
          <w:p w14:paraId="6230703E" w14:textId="77777777" w:rsidR="007D1E74" w:rsidRDefault="00A95641">
            <w:pPr>
              <w:pStyle w:val="TableParagraph"/>
              <w:spacing w:before="24"/>
              <w:ind w:left="4"/>
              <w:rPr>
                <w:sz w:val="21"/>
                <w:szCs w:val="21"/>
              </w:rPr>
            </w:pPr>
            <w:r>
              <w:rPr>
                <w:sz w:val="21"/>
                <w:szCs w:val="21"/>
              </w:rPr>
              <w:t>3</w:t>
            </w:r>
          </w:p>
        </w:tc>
        <w:tc>
          <w:tcPr>
            <w:tcW w:w="908" w:type="pct"/>
          </w:tcPr>
          <w:p w14:paraId="774EF541" w14:textId="77777777" w:rsidR="007D1E74" w:rsidRDefault="00A95641">
            <w:pPr>
              <w:pStyle w:val="TableParagraph"/>
              <w:spacing w:line="284" w:lineRule="exact"/>
              <w:ind w:left="102"/>
              <w:rPr>
                <w:rFonts w:ascii="宋体"/>
                <w:sz w:val="21"/>
                <w:szCs w:val="21"/>
              </w:rPr>
            </w:pPr>
            <w:r>
              <w:rPr>
                <w:rFonts w:ascii="宋体" w:hint="eastAsia"/>
                <w:sz w:val="21"/>
                <w:szCs w:val="21"/>
              </w:rPr>
              <w:t>白花鬼针草</w:t>
            </w:r>
          </w:p>
        </w:tc>
        <w:tc>
          <w:tcPr>
            <w:tcW w:w="674" w:type="pct"/>
          </w:tcPr>
          <w:p w14:paraId="2B23ACAF" w14:textId="77777777" w:rsidR="007D1E74" w:rsidRDefault="00A95641">
            <w:pPr>
              <w:pStyle w:val="TableParagraph"/>
              <w:spacing w:line="284" w:lineRule="exact"/>
              <w:ind w:left="103"/>
              <w:rPr>
                <w:rFonts w:ascii="宋体"/>
                <w:sz w:val="21"/>
                <w:szCs w:val="21"/>
              </w:rPr>
            </w:pPr>
            <w:r>
              <w:rPr>
                <w:rFonts w:ascii="宋体" w:hint="eastAsia"/>
                <w:sz w:val="21"/>
                <w:szCs w:val="21"/>
              </w:rPr>
              <w:t>花期</w:t>
            </w:r>
          </w:p>
        </w:tc>
        <w:tc>
          <w:tcPr>
            <w:tcW w:w="674" w:type="pct"/>
          </w:tcPr>
          <w:p w14:paraId="12A488F9" w14:textId="77777777" w:rsidR="007D1E74" w:rsidRDefault="00A95641">
            <w:pPr>
              <w:pStyle w:val="TableParagraph"/>
              <w:spacing w:line="302" w:lineRule="exact"/>
              <w:ind w:left="101" w:right="102"/>
              <w:rPr>
                <w:rFonts w:ascii="宋体"/>
                <w:sz w:val="21"/>
                <w:szCs w:val="21"/>
              </w:rPr>
            </w:pPr>
            <w:r>
              <w:rPr>
                <w:sz w:val="21"/>
                <w:szCs w:val="21"/>
              </w:rPr>
              <w:t xml:space="preserve">3 </w:t>
            </w:r>
            <w:r>
              <w:rPr>
                <w:rFonts w:ascii="宋体" w:hint="eastAsia"/>
                <w:sz w:val="21"/>
                <w:szCs w:val="21"/>
              </w:rPr>
              <w:t>丛</w:t>
            </w:r>
          </w:p>
        </w:tc>
        <w:tc>
          <w:tcPr>
            <w:tcW w:w="674" w:type="pct"/>
          </w:tcPr>
          <w:p w14:paraId="4D27724D" w14:textId="77777777" w:rsidR="007D1E74" w:rsidRDefault="00A95641">
            <w:pPr>
              <w:pStyle w:val="TableParagraph"/>
              <w:spacing w:before="24"/>
              <w:ind w:left="101" w:right="100"/>
              <w:rPr>
                <w:sz w:val="21"/>
                <w:szCs w:val="21"/>
              </w:rPr>
            </w:pPr>
            <w:r>
              <w:rPr>
                <w:sz w:val="21"/>
                <w:szCs w:val="21"/>
              </w:rPr>
              <w:t>Sp</w:t>
            </w:r>
          </w:p>
        </w:tc>
        <w:tc>
          <w:tcPr>
            <w:tcW w:w="978" w:type="pct"/>
          </w:tcPr>
          <w:p w14:paraId="7D58D680" w14:textId="77777777" w:rsidR="007D1E74" w:rsidRDefault="00A95641">
            <w:pPr>
              <w:pStyle w:val="TableParagraph"/>
              <w:spacing w:before="24"/>
              <w:ind w:left="241" w:right="241"/>
              <w:rPr>
                <w:sz w:val="21"/>
                <w:szCs w:val="21"/>
              </w:rPr>
            </w:pPr>
            <w:r>
              <w:rPr>
                <w:sz w:val="21"/>
                <w:szCs w:val="21"/>
              </w:rPr>
              <w:t>1.3</w:t>
            </w:r>
          </w:p>
        </w:tc>
        <w:tc>
          <w:tcPr>
            <w:tcW w:w="652" w:type="pct"/>
          </w:tcPr>
          <w:p w14:paraId="5429E73B" w14:textId="77777777" w:rsidR="007D1E74" w:rsidRDefault="00A95641">
            <w:pPr>
              <w:pStyle w:val="TableParagraph"/>
              <w:spacing w:before="24"/>
              <w:ind w:right="108"/>
              <w:rPr>
                <w:sz w:val="21"/>
                <w:szCs w:val="21"/>
              </w:rPr>
            </w:pPr>
            <w:r>
              <w:rPr>
                <w:sz w:val="21"/>
                <w:szCs w:val="21"/>
              </w:rPr>
              <w:t>5</w:t>
            </w:r>
          </w:p>
        </w:tc>
      </w:tr>
      <w:tr w:rsidR="007D1E74" w14:paraId="68EA4574" w14:textId="77777777">
        <w:trPr>
          <w:trHeight w:hRule="exact" w:val="336"/>
        </w:trPr>
        <w:tc>
          <w:tcPr>
            <w:tcW w:w="440" w:type="pct"/>
          </w:tcPr>
          <w:p w14:paraId="0ABDD7EE" w14:textId="77777777" w:rsidR="007D1E74" w:rsidRDefault="00A95641">
            <w:pPr>
              <w:pStyle w:val="TableParagraph"/>
              <w:spacing w:before="24"/>
              <w:ind w:left="4"/>
              <w:rPr>
                <w:sz w:val="21"/>
                <w:szCs w:val="21"/>
              </w:rPr>
            </w:pPr>
            <w:r>
              <w:rPr>
                <w:sz w:val="21"/>
                <w:szCs w:val="21"/>
              </w:rPr>
              <w:t>4</w:t>
            </w:r>
          </w:p>
        </w:tc>
        <w:tc>
          <w:tcPr>
            <w:tcW w:w="908" w:type="pct"/>
          </w:tcPr>
          <w:p w14:paraId="30117019" w14:textId="77777777" w:rsidR="007D1E74" w:rsidRDefault="00A95641">
            <w:pPr>
              <w:pStyle w:val="TableParagraph"/>
              <w:spacing w:line="284" w:lineRule="exact"/>
              <w:ind w:left="102"/>
              <w:rPr>
                <w:rFonts w:ascii="宋体"/>
                <w:sz w:val="21"/>
                <w:szCs w:val="21"/>
              </w:rPr>
            </w:pPr>
            <w:r>
              <w:rPr>
                <w:rFonts w:ascii="宋体" w:hint="eastAsia"/>
                <w:sz w:val="21"/>
                <w:szCs w:val="21"/>
              </w:rPr>
              <w:t>白茅</w:t>
            </w:r>
          </w:p>
        </w:tc>
        <w:tc>
          <w:tcPr>
            <w:tcW w:w="674" w:type="pct"/>
          </w:tcPr>
          <w:p w14:paraId="2806301F"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1070E237" w14:textId="77777777" w:rsidR="007D1E74" w:rsidRDefault="00A95641">
            <w:pPr>
              <w:pStyle w:val="TableParagraph"/>
              <w:spacing w:line="302" w:lineRule="exact"/>
              <w:ind w:left="101" w:right="102"/>
              <w:rPr>
                <w:rFonts w:ascii="宋体"/>
                <w:sz w:val="21"/>
                <w:szCs w:val="21"/>
              </w:rPr>
            </w:pPr>
            <w:r>
              <w:rPr>
                <w:sz w:val="21"/>
                <w:szCs w:val="21"/>
              </w:rPr>
              <w:t xml:space="preserve">1 </w:t>
            </w:r>
            <w:r>
              <w:rPr>
                <w:rFonts w:ascii="宋体" w:hint="eastAsia"/>
                <w:sz w:val="21"/>
                <w:szCs w:val="21"/>
              </w:rPr>
              <w:t>丛</w:t>
            </w:r>
          </w:p>
        </w:tc>
        <w:tc>
          <w:tcPr>
            <w:tcW w:w="674" w:type="pct"/>
          </w:tcPr>
          <w:p w14:paraId="55A3205C" w14:textId="77777777" w:rsidR="007D1E74" w:rsidRDefault="00A95641">
            <w:pPr>
              <w:pStyle w:val="TableParagraph"/>
              <w:spacing w:before="24"/>
              <w:ind w:left="101" w:right="100"/>
              <w:rPr>
                <w:sz w:val="21"/>
                <w:szCs w:val="21"/>
              </w:rPr>
            </w:pPr>
            <w:r>
              <w:rPr>
                <w:sz w:val="21"/>
                <w:szCs w:val="21"/>
              </w:rPr>
              <w:t>Sp</w:t>
            </w:r>
          </w:p>
        </w:tc>
        <w:tc>
          <w:tcPr>
            <w:tcW w:w="978" w:type="pct"/>
          </w:tcPr>
          <w:p w14:paraId="6E1D5517" w14:textId="77777777" w:rsidR="007D1E74" w:rsidRDefault="00A95641">
            <w:pPr>
              <w:pStyle w:val="TableParagraph"/>
              <w:spacing w:before="24"/>
              <w:ind w:left="241" w:right="241"/>
              <w:rPr>
                <w:sz w:val="21"/>
                <w:szCs w:val="21"/>
              </w:rPr>
            </w:pPr>
            <w:r>
              <w:rPr>
                <w:sz w:val="21"/>
                <w:szCs w:val="21"/>
              </w:rPr>
              <w:t>2.3</w:t>
            </w:r>
          </w:p>
        </w:tc>
        <w:tc>
          <w:tcPr>
            <w:tcW w:w="652" w:type="pct"/>
          </w:tcPr>
          <w:p w14:paraId="7656543B" w14:textId="77777777" w:rsidR="007D1E74" w:rsidRDefault="00A95641">
            <w:pPr>
              <w:pStyle w:val="TableParagraph"/>
              <w:spacing w:before="24"/>
              <w:ind w:right="108"/>
              <w:rPr>
                <w:sz w:val="21"/>
                <w:szCs w:val="21"/>
              </w:rPr>
            </w:pPr>
            <w:r>
              <w:rPr>
                <w:sz w:val="21"/>
                <w:szCs w:val="21"/>
              </w:rPr>
              <w:t>5</w:t>
            </w:r>
          </w:p>
        </w:tc>
      </w:tr>
      <w:tr w:rsidR="007D1E74" w14:paraId="5E26B646" w14:textId="77777777">
        <w:trPr>
          <w:trHeight w:hRule="exact" w:val="336"/>
        </w:trPr>
        <w:tc>
          <w:tcPr>
            <w:tcW w:w="440" w:type="pct"/>
          </w:tcPr>
          <w:p w14:paraId="7E77743D" w14:textId="77777777" w:rsidR="007D1E74" w:rsidRDefault="00A95641">
            <w:pPr>
              <w:pStyle w:val="TableParagraph"/>
              <w:spacing w:before="24"/>
              <w:ind w:left="4"/>
              <w:rPr>
                <w:sz w:val="21"/>
                <w:szCs w:val="21"/>
              </w:rPr>
            </w:pPr>
            <w:r>
              <w:rPr>
                <w:sz w:val="21"/>
                <w:szCs w:val="21"/>
              </w:rPr>
              <w:t>5</w:t>
            </w:r>
          </w:p>
        </w:tc>
        <w:tc>
          <w:tcPr>
            <w:tcW w:w="908" w:type="pct"/>
          </w:tcPr>
          <w:p w14:paraId="47B34717" w14:textId="77777777" w:rsidR="007D1E74" w:rsidRDefault="00A95641">
            <w:pPr>
              <w:pStyle w:val="TableParagraph"/>
              <w:spacing w:line="284" w:lineRule="exact"/>
              <w:ind w:left="102"/>
              <w:rPr>
                <w:rFonts w:ascii="宋体"/>
                <w:sz w:val="21"/>
                <w:szCs w:val="21"/>
              </w:rPr>
            </w:pPr>
            <w:r>
              <w:rPr>
                <w:rFonts w:ascii="宋体" w:hint="eastAsia"/>
                <w:sz w:val="21"/>
                <w:szCs w:val="21"/>
              </w:rPr>
              <w:t>野青茅</w:t>
            </w:r>
          </w:p>
        </w:tc>
        <w:tc>
          <w:tcPr>
            <w:tcW w:w="674" w:type="pct"/>
          </w:tcPr>
          <w:p w14:paraId="43BB0BCE"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79C0BE7D" w14:textId="77777777" w:rsidR="007D1E74" w:rsidRDefault="00A95641">
            <w:pPr>
              <w:pStyle w:val="TableParagraph"/>
              <w:spacing w:line="302" w:lineRule="exact"/>
              <w:ind w:left="101" w:right="102"/>
              <w:rPr>
                <w:rFonts w:ascii="宋体"/>
                <w:sz w:val="21"/>
                <w:szCs w:val="21"/>
              </w:rPr>
            </w:pPr>
            <w:r>
              <w:rPr>
                <w:sz w:val="21"/>
                <w:szCs w:val="21"/>
              </w:rPr>
              <w:t xml:space="preserve">1 </w:t>
            </w:r>
            <w:r>
              <w:rPr>
                <w:rFonts w:ascii="宋体" w:hint="eastAsia"/>
                <w:sz w:val="21"/>
                <w:szCs w:val="21"/>
              </w:rPr>
              <w:t>丛</w:t>
            </w:r>
          </w:p>
        </w:tc>
        <w:tc>
          <w:tcPr>
            <w:tcW w:w="674" w:type="pct"/>
          </w:tcPr>
          <w:p w14:paraId="7258CDC0" w14:textId="77777777" w:rsidR="007D1E74" w:rsidRDefault="00A95641">
            <w:pPr>
              <w:pStyle w:val="TableParagraph"/>
              <w:spacing w:before="24"/>
              <w:ind w:left="101" w:right="101"/>
              <w:rPr>
                <w:sz w:val="21"/>
                <w:szCs w:val="21"/>
              </w:rPr>
            </w:pPr>
            <w:r>
              <w:rPr>
                <w:sz w:val="21"/>
                <w:szCs w:val="21"/>
              </w:rPr>
              <w:t>Ol</w:t>
            </w:r>
          </w:p>
        </w:tc>
        <w:tc>
          <w:tcPr>
            <w:tcW w:w="978" w:type="pct"/>
          </w:tcPr>
          <w:p w14:paraId="53DA20D5" w14:textId="77777777" w:rsidR="007D1E74" w:rsidRDefault="00A95641">
            <w:pPr>
              <w:pStyle w:val="TableParagraph"/>
              <w:spacing w:before="24"/>
              <w:ind w:left="241" w:right="241"/>
              <w:rPr>
                <w:sz w:val="21"/>
                <w:szCs w:val="21"/>
              </w:rPr>
            </w:pPr>
            <w:r>
              <w:rPr>
                <w:sz w:val="21"/>
                <w:szCs w:val="21"/>
              </w:rPr>
              <w:t>0.5</w:t>
            </w:r>
          </w:p>
        </w:tc>
        <w:tc>
          <w:tcPr>
            <w:tcW w:w="652" w:type="pct"/>
          </w:tcPr>
          <w:p w14:paraId="722A5C60" w14:textId="77777777" w:rsidR="007D1E74" w:rsidRDefault="00A95641">
            <w:pPr>
              <w:pStyle w:val="TableParagraph"/>
              <w:spacing w:before="24"/>
              <w:ind w:right="108"/>
              <w:rPr>
                <w:sz w:val="21"/>
                <w:szCs w:val="21"/>
              </w:rPr>
            </w:pPr>
            <w:r>
              <w:rPr>
                <w:sz w:val="21"/>
                <w:szCs w:val="21"/>
              </w:rPr>
              <w:t>2</w:t>
            </w:r>
          </w:p>
        </w:tc>
      </w:tr>
      <w:tr w:rsidR="007D1E74" w14:paraId="4D02C0EC" w14:textId="77777777">
        <w:trPr>
          <w:trHeight w:hRule="exact" w:val="336"/>
        </w:trPr>
        <w:tc>
          <w:tcPr>
            <w:tcW w:w="440" w:type="pct"/>
          </w:tcPr>
          <w:p w14:paraId="0E2B8EBF" w14:textId="77777777" w:rsidR="007D1E74" w:rsidRDefault="00A95641">
            <w:pPr>
              <w:pStyle w:val="TableParagraph"/>
              <w:spacing w:before="26"/>
              <w:ind w:right="303"/>
              <w:jc w:val="right"/>
              <w:rPr>
                <w:sz w:val="21"/>
                <w:szCs w:val="21"/>
              </w:rPr>
            </w:pPr>
            <w:r>
              <w:rPr>
                <w:sz w:val="21"/>
                <w:szCs w:val="21"/>
              </w:rPr>
              <w:t>6</w:t>
            </w:r>
          </w:p>
        </w:tc>
        <w:tc>
          <w:tcPr>
            <w:tcW w:w="908" w:type="pct"/>
          </w:tcPr>
          <w:p w14:paraId="380FFDC5" w14:textId="77777777" w:rsidR="007D1E74" w:rsidRDefault="00A95641">
            <w:pPr>
              <w:pStyle w:val="TableParagraph"/>
              <w:spacing w:line="284" w:lineRule="exact"/>
              <w:ind w:left="102"/>
              <w:rPr>
                <w:rFonts w:ascii="宋体"/>
                <w:sz w:val="21"/>
                <w:szCs w:val="21"/>
              </w:rPr>
            </w:pPr>
            <w:r>
              <w:rPr>
                <w:rFonts w:ascii="宋体" w:hint="eastAsia"/>
                <w:sz w:val="21"/>
                <w:szCs w:val="21"/>
              </w:rPr>
              <w:t>芒萁</w:t>
            </w:r>
          </w:p>
        </w:tc>
        <w:tc>
          <w:tcPr>
            <w:tcW w:w="674" w:type="pct"/>
          </w:tcPr>
          <w:p w14:paraId="588733E0"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55DDF2E3" w14:textId="77777777" w:rsidR="007D1E74" w:rsidRDefault="00A95641">
            <w:pPr>
              <w:pStyle w:val="TableParagraph"/>
              <w:spacing w:line="303" w:lineRule="exact"/>
              <w:ind w:left="101" w:right="102"/>
              <w:rPr>
                <w:rFonts w:ascii="宋体"/>
                <w:sz w:val="21"/>
                <w:szCs w:val="21"/>
              </w:rPr>
            </w:pPr>
            <w:r>
              <w:rPr>
                <w:sz w:val="21"/>
                <w:szCs w:val="21"/>
              </w:rPr>
              <w:t xml:space="preserve">1 </w:t>
            </w:r>
            <w:r>
              <w:rPr>
                <w:rFonts w:ascii="宋体" w:hint="eastAsia"/>
                <w:sz w:val="21"/>
                <w:szCs w:val="21"/>
              </w:rPr>
              <w:t>丛</w:t>
            </w:r>
          </w:p>
        </w:tc>
        <w:tc>
          <w:tcPr>
            <w:tcW w:w="674" w:type="pct"/>
          </w:tcPr>
          <w:p w14:paraId="3EBBD87D" w14:textId="77777777" w:rsidR="007D1E74" w:rsidRDefault="00A95641">
            <w:pPr>
              <w:pStyle w:val="TableParagraph"/>
              <w:spacing w:before="26"/>
              <w:ind w:right="439"/>
              <w:jc w:val="right"/>
              <w:rPr>
                <w:sz w:val="21"/>
                <w:szCs w:val="21"/>
              </w:rPr>
            </w:pPr>
            <w:r>
              <w:rPr>
                <w:sz w:val="21"/>
                <w:szCs w:val="21"/>
              </w:rPr>
              <w:t>Ol</w:t>
            </w:r>
          </w:p>
        </w:tc>
        <w:tc>
          <w:tcPr>
            <w:tcW w:w="978" w:type="pct"/>
          </w:tcPr>
          <w:p w14:paraId="476D0E13" w14:textId="77777777" w:rsidR="007D1E74" w:rsidRDefault="00A95641">
            <w:pPr>
              <w:pStyle w:val="TableParagraph"/>
              <w:spacing w:before="26"/>
              <w:ind w:left="241" w:right="241"/>
              <w:rPr>
                <w:sz w:val="21"/>
                <w:szCs w:val="21"/>
              </w:rPr>
            </w:pPr>
            <w:r>
              <w:rPr>
                <w:sz w:val="21"/>
                <w:szCs w:val="21"/>
              </w:rPr>
              <w:t>0.25</w:t>
            </w:r>
          </w:p>
        </w:tc>
        <w:tc>
          <w:tcPr>
            <w:tcW w:w="652" w:type="pct"/>
          </w:tcPr>
          <w:p w14:paraId="3DC1C080" w14:textId="77777777" w:rsidR="007D1E74" w:rsidRDefault="00A95641">
            <w:pPr>
              <w:pStyle w:val="TableParagraph"/>
              <w:spacing w:before="26"/>
              <w:ind w:left="321" w:right="324"/>
              <w:rPr>
                <w:sz w:val="21"/>
                <w:szCs w:val="21"/>
              </w:rPr>
            </w:pPr>
            <w:r>
              <w:rPr>
                <w:sz w:val="21"/>
                <w:szCs w:val="21"/>
              </w:rPr>
              <w:t>0.5</w:t>
            </w:r>
          </w:p>
        </w:tc>
      </w:tr>
      <w:tr w:rsidR="007D1E74" w14:paraId="7ED1DD42" w14:textId="77777777">
        <w:trPr>
          <w:trHeight w:hRule="exact" w:val="336"/>
        </w:trPr>
        <w:tc>
          <w:tcPr>
            <w:tcW w:w="440" w:type="pct"/>
          </w:tcPr>
          <w:p w14:paraId="7DAFF014" w14:textId="77777777" w:rsidR="007D1E74" w:rsidRDefault="00A95641">
            <w:pPr>
              <w:pStyle w:val="TableParagraph"/>
              <w:spacing w:before="25"/>
              <w:ind w:right="303"/>
              <w:jc w:val="right"/>
              <w:rPr>
                <w:sz w:val="21"/>
                <w:szCs w:val="21"/>
              </w:rPr>
            </w:pPr>
            <w:r>
              <w:rPr>
                <w:sz w:val="21"/>
                <w:szCs w:val="21"/>
              </w:rPr>
              <w:t>7</w:t>
            </w:r>
          </w:p>
        </w:tc>
        <w:tc>
          <w:tcPr>
            <w:tcW w:w="908" w:type="pct"/>
          </w:tcPr>
          <w:p w14:paraId="619A2101" w14:textId="77777777" w:rsidR="007D1E74" w:rsidRDefault="00A95641">
            <w:pPr>
              <w:pStyle w:val="TableParagraph"/>
              <w:spacing w:line="284" w:lineRule="exact"/>
              <w:ind w:left="102"/>
              <w:rPr>
                <w:rFonts w:ascii="宋体"/>
                <w:sz w:val="21"/>
                <w:szCs w:val="21"/>
              </w:rPr>
            </w:pPr>
            <w:r>
              <w:rPr>
                <w:rFonts w:ascii="宋体" w:hint="eastAsia"/>
                <w:sz w:val="21"/>
                <w:szCs w:val="21"/>
              </w:rPr>
              <w:t>海金沙</w:t>
            </w:r>
          </w:p>
        </w:tc>
        <w:tc>
          <w:tcPr>
            <w:tcW w:w="674" w:type="pct"/>
          </w:tcPr>
          <w:p w14:paraId="70F1195F"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6C6754EF" w14:textId="77777777" w:rsidR="007D1E74" w:rsidRDefault="00A95641">
            <w:pPr>
              <w:pStyle w:val="TableParagraph"/>
              <w:spacing w:before="25"/>
              <w:rPr>
                <w:sz w:val="21"/>
                <w:szCs w:val="21"/>
              </w:rPr>
            </w:pPr>
            <w:r>
              <w:rPr>
                <w:sz w:val="21"/>
                <w:szCs w:val="21"/>
              </w:rPr>
              <w:t>3</w:t>
            </w:r>
          </w:p>
        </w:tc>
        <w:tc>
          <w:tcPr>
            <w:tcW w:w="674" w:type="pct"/>
          </w:tcPr>
          <w:p w14:paraId="533245BE" w14:textId="77777777" w:rsidR="007D1E74" w:rsidRDefault="00A95641">
            <w:pPr>
              <w:pStyle w:val="TableParagraph"/>
              <w:spacing w:before="25"/>
              <w:ind w:right="439"/>
              <w:jc w:val="right"/>
              <w:rPr>
                <w:sz w:val="21"/>
                <w:szCs w:val="21"/>
              </w:rPr>
            </w:pPr>
            <w:r>
              <w:rPr>
                <w:sz w:val="21"/>
                <w:szCs w:val="21"/>
              </w:rPr>
              <w:t>Ol</w:t>
            </w:r>
          </w:p>
        </w:tc>
        <w:tc>
          <w:tcPr>
            <w:tcW w:w="978" w:type="pct"/>
          </w:tcPr>
          <w:p w14:paraId="4AAA59AC" w14:textId="77777777" w:rsidR="007D1E74" w:rsidRDefault="00A95641">
            <w:pPr>
              <w:pStyle w:val="TableParagraph"/>
              <w:spacing w:before="25"/>
              <w:ind w:left="241" w:right="241"/>
              <w:rPr>
                <w:sz w:val="21"/>
                <w:szCs w:val="21"/>
              </w:rPr>
            </w:pPr>
            <w:r>
              <w:rPr>
                <w:sz w:val="21"/>
                <w:szCs w:val="21"/>
              </w:rPr>
              <w:t>1.0</w:t>
            </w:r>
          </w:p>
        </w:tc>
        <w:tc>
          <w:tcPr>
            <w:tcW w:w="652" w:type="pct"/>
          </w:tcPr>
          <w:p w14:paraId="043EF88D" w14:textId="77777777" w:rsidR="007D1E74" w:rsidRDefault="00A95641">
            <w:pPr>
              <w:pStyle w:val="TableParagraph"/>
              <w:spacing w:before="25"/>
              <w:ind w:left="321" w:right="324"/>
              <w:rPr>
                <w:sz w:val="21"/>
                <w:szCs w:val="21"/>
              </w:rPr>
            </w:pPr>
            <w:r>
              <w:rPr>
                <w:sz w:val="21"/>
                <w:szCs w:val="21"/>
              </w:rPr>
              <w:t>0.1</w:t>
            </w:r>
          </w:p>
        </w:tc>
      </w:tr>
    </w:tbl>
    <w:p w14:paraId="54223B57" w14:textId="77777777" w:rsidR="007D1E74" w:rsidRDefault="00A95641">
      <w:pPr>
        <w:spacing w:line="360" w:lineRule="auto"/>
        <w:ind w:firstLineChars="200" w:firstLine="420"/>
        <w:rPr>
          <w:rFonts w:cs="Times New Roman"/>
          <w:szCs w:val="21"/>
        </w:rPr>
      </w:pPr>
      <w:r>
        <w:rPr>
          <w:rFonts w:cs="Times New Roman" w:hint="eastAsia"/>
          <w:szCs w:val="21"/>
        </w:rPr>
        <w:t>*</w:t>
      </w:r>
      <w:r>
        <w:rPr>
          <w:rFonts w:cs="Times New Roman" w:hint="eastAsia"/>
          <w:szCs w:val="21"/>
        </w:rPr>
        <w:t>注：旱地植被为访问其单产量。</w:t>
      </w:r>
    </w:p>
    <w:p w14:paraId="404B56F1" w14:textId="77777777" w:rsidR="007D1E74" w:rsidRDefault="007D1E74">
      <w:pPr>
        <w:spacing w:line="360" w:lineRule="auto"/>
        <w:rPr>
          <w:rFonts w:cs="Times New Roman"/>
          <w:szCs w:val="21"/>
        </w:rPr>
      </w:pPr>
    </w:p>
    <w:p w14:paraId="25532954" w14:textId="77777777" w:rsidR="007D1E74" w:rsidRDefault="007D1E74">
      <w:pPr>
        <w:spacing w:line="360" w:lineRule="auto"/>
        <w:rPr>
          <w:rFonts w:cs="Times New Roman"/>
          <w:szCs w:val="21"/>
        </w:rPr>
      </w:pPr>
    </w:p>
    <w:p w14:paraId="026543D3" w14:textId="77777777" w:rsidR="007D1E74" w:rsidRDefault="007D1E74">
      <w:pPr>
        <w:spacing w:line="360" w:lineRule="auto"/>
        <w:rPr>
          <w:rFonts w:cs="Times New Roman"/>
          <w:szCs w:val="21"/>
        </w:rPr>
      </w:pPr>
    </w:p>
    <w:p w14:paraId="01E7B3FF" w14:textId="77777777" w:rsidR="007D1E74" w:rsidRDefault="007D1E74">
      <w:pPr>
        <w:spacing w:line="360" w:lineRule="auto"/>
        <w:rPr>
          <w:rFonts w:cs="Times New Roman"/>
          <w:szCs w:val="21"/>
        </w:rPr>
      </w:pPr>
    </w:p>
    <w:p w14:paraId="30F0F5E9" w14:textId="77777777" w:rsidR="007D1E74" w:rsidRDefault="007D1E74">
      <w:pPr>
        <w:spacing w:line="360" w:lineRule="auto"/>
        <w:rPr>
          <w:rFonts w:cs="Times New Roman"/>
          <w:szCs w:val="21"/>
        </w:rPr>
      </w:pPr>
    </w:p>
    <w:p w14:paraId="2716C5EE" w14:textId="77777777" w:rsidR="007D1E74" w:rsidRDefault="007D1E74">
      <w:pPr>
        <w:spacing w:line="360" w:lineRule="auto"/>
        <w:rPr>
          <w:rFonts w:cs="Times New Roman"/>
          <w:szCs w:val="21"/>
        </w:rPr>
      </w:pPr>
    </w:p>
    <w:p w14:paraId="2FB408F0" w14:textId="77777777" w:rsidR="007D1E74" w:rsidRDefault="007D1E74">
      <w:pPr>
        <w:spacing w:line="360" w:lineRule="auto"/>
        <w:rPr>
          <w:rFonts w:cs="Times New Roman"/>
          <w:szCs w:val="21"/>
        </w:rPr>
      </w:pPr>
    </w:p>
    <w:p w14:paraId="28C7B1FC" w14:textId="77777777" w:rsidR="007D1E74" w:rsidRDefault="00A95641">
      <w:pPr>
        <w:spacing w:line="360" w:lineRule="auto"/>
        <w:jc w:val="center"/>
        <w:rPr>
          <w:rFonts w:eastAsia="黑体" w:cs="Times New Roman"/>
          <w:szCs w:val="21"/>
        </w:rPr>
      </w:pPr>
      <w:r>
        <w:rPr>
          <w:rFonts w:eastAsia="黑体" w:cs="Times New Roman"/>
          <w:szCs w:val="21"/>
        </w:rPr>
        <w:lastRenderedPageBreak/>
        <w:t>表</w:t>
      </w:r>
      <w:r>
        <w:rPr>
          <w:rFonts w:eastAsia="黑体" w:cs="Times New Roman"/>
          <w:szCs w:val="21"/>
        </w:rPr>
        <w:t xml:space="preserve">A.2.4-6  </w:t>
      </w:r>
      <w:r>
        <w:rPr>
          <w:rFonts w:eastAsia="黑体" w:cs="Times New Roman" w:hint="eastAsia"/>
          <w:szCs w:val="21"/>
        </w:rPr>
        <w:t>植物实测样方表</w:t>
      </w:r>
    </w:p>
    <w:tbl>
      <w:tblPr>
        <w:tblStyle w:val="affffc"/>
        <w:tblW w:w="0" w:type="auto"/>
        <w:tblBorders>
          <w:left w:val="none" w:sz="0" w:space="0" w:color="auto"/>
          <w:right w:val="none" w:sz="0" w:space="0" w:color="auto"/>
        </w:tblBorders>
        <w:tblLook w:val="04A0" w:firstRow="1" w:lastRow="0" w:firstColumn="1" w:lastColumn="0" w:noHBand="0" w:noVBand="1"/>
      </w:tblPr>
      <w:tblGrid>
        <w:gridCol w:w="9016"/>
      </w:tblGrid>
      <w:tr w:rsidR="007D1E74" w14:paraId="7F9D1CA5" w14:textId="77777777">
        <w:tc>
          <w:tcPr>
            <w:tcW w:w="9016" w:type="dxa"/>
          </w:tcPr>
          <w:p w14:paraId="1003DF60" w14:textId="77777777" w:rsidR="007D1E74" w:rsidRDefault="00A95641">
            <w:pPr>
              <w:spacing w:line="360" w:lineRule="auto"/>
              <w:rPr>
                <w:rFonts w:eastAsiaTheme="minorEastAsia" w:cs="Times New Roman"/>
                <w:szCs w:val="21"/>
              </w:rPr>
            </w:pPr>
            <w:r>
              <w:rPr>
                <w:rFonts w:eastAsiaTheme="minorEastAsia" w:cs="Times New Roman" w:hint="eastAsia"/>
                <w:szCs w:val="21"/>
              </w:rPr>
              <w:t>群落名称：麻栎林</w:t>
            </w:r>
            <w:r>
              <w:rPr>
                <w:rFonts w:eastAsiaTheme="minorEastAsia" w:cs="Times New Roman" w:hint="eastAsia"/>
                <w:szCs w:val="21"/>
              </w:rPr>
              <w:tab/>
            </w:r>
            <w:r>
              <w:rPr>
                <w:rFonts w:eastAsiaTheme="minorEastAsia" w:cs="Times New Roman" w:hint="eastAsia"/>
                <w:szCs w:val="21"/>
              </w:rPr>
              <w:tab/>
            </w:r>
            <w:r>
              <w:rPr>
                <w:rFonts w:eastAsiaTheme="minorEastAsia" w:cs="Times New Roman" w:hint="eastAsia"/>
                <w:szCs w:val="21"/>
              </w:rPr>
              <w:t>地点：青峪镇蔡黄沟村</w:t>
            </w:r>
            <w:r>
              <w:rPr>
                <w:rFonts w:eastAsiaTheme="minorEastAsia" w:cs="Times New Roman" w:hint="eastAsia"/>
                <w:szCs w:val="21"/>
              </w:rPr>
              <w:tab/>
            </w:r>
            <w:r>
              <w:rPr>
                <w:rFonts w:eastAsiaTheme="minorEastAsia" w:cs="Times New Roman" w:hint="eastAsia"/>
                <w:szCs w:val="21"/>
              </w:rPr>
              <w:tab/>
            </w:r>
            <w:r>
              <w:rPr>
                <w:rFonts w:eastAsiaTheme="minorEastAsia" w:cs="Times New Roman" w:hint="eastAsia"/>
                <w:szCs w:val="21"/>
              </w:rPr>
              <w:t>样方面积：</w:t>
            </w:r>
            <w:r>
              <w:rPr>
                <w:rFonts w:eastAsiaTheme="minorEastAsia" w:cs="Times New Roman" w:hint="eastAsia"/>
                <w:szCs w:val="21"/>
              </w:rPr>
              <w:t>10m</w:t>
            </w:r>
            <w:r>
              <w:rPr>
                <w:rFonts w:eastAsiaTheme="minorEastAsia" w:cs="Times New Roman" w:hint="eastAsia"/>
                <w:szCs w:val="21"/>
              </w:rPr>
              <w:t>×</w:t>
            </w:r>
            <w:r>
              <w:rPr>
                <w:rFonts w:eastAsiaTheme="minorEastAsia" w:cs="Times New Roman" w:hint="eastAsia"/>
                <w:szCs w:val="21"/>
              </w:rPr>
              <w:t>10m</w:t>
            </w:r>
          </w:p>
        </w:tc>
      </w:tr>
      <w:tr w:rsidR="007D1E74" w14:paraId="242519E1" w14:textId="77777777">
        <w:tc>
          <w:tcPr>
            <w:tcW w:w="9016" w:type="dxa"/>
          </w:tcPr>
          <w:p w14:paraId="4960DDAD" w14:textId="77777777" w:rsidR="007D1E74" w:rsidRDefault="00A95641">
            <w:pPr>
              <w:spacing w:line="360" w:lineRule="auto"/>
              <w:rPr>
                <w:rFonts w:eastAsiaTheme="minorEastAsia" w:cs="Times New Roman"/>
                <w:szCs w:val="21"/>
              </w:rPr>
            </w:pPr>
            <w:r>
              <w:rPr>
                <w:rFonts w:eastAsiaTheme="minorEastAsia" w:cs="Times New Roman" w:hint="eastAsia"/>
                <w:szCs w:val="21"/>
              </w:rPr>
              <w:t>经度：</w:t>
            </w:r>
            <w:r>
              <w:rPr>
                <w:rFonts w:eastAsiaTheme="minorEastAsia" w:cs="Times New Roman" w:hint="eastAsia"/>
                <w:szCs w:val="21"/>
              </w:rPr>
              <w:t xml:space="preserve">107.2457690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纬度：</w:t>
            </w:r>
            <w:r>
              <w:rPr>
                <w:rFonts w:eastAsiaTheme="minorEastAsia" w:cs="Times New Roman" w:hint="eastAsia"/>
                <w:szCs w:val="21"/>
              </w:rPr>
              <w:t xml:space="preserve">32.246256 </w:t>
            </w:r>
            <w:r>
              <w:rPr>
                <w:rFonts w:eastAsiaTheme="minorEastAsia" w:cs="Times New Roman" w:hint="eastAsia"/>
                <w:szCs w:val="21"/>
              </w:rPr>
              <w:t>º</w:t>
            </w:r>
            <w:r>
              <w:rPr>
                <w:rFonts w:eastAsiaTheme="minorEastAsia" w:cs="Times New Roman" w:hint="eastAsia"/>
                <w:szCs w:val="21"/>
              </w:rPr>
              <w:tab/>
            </w:r>
            <w:r>
              <w:rPr>
                <w:rFonts w:eastAsiaTheme="minorEastAsia" w:cs="Times New Roman" w:hint="eastAsia"/>
                <w:szCs w:val="21"/>
              </w:rPr>
              <w:t>海拔（</w:t>
            </w:r>
            <w:r>
              <w:rPr>
                <w:rFonts w:eastAsiaTheme="minorEastAsia" w:cs="Times New Roman" w:hint="eastAsia"/>
                <w:szCs w:val="21"/>
              </w:rPr>
              <w:t>m</w:t>
            </w:r>
            <w:r>
              <w:rPr>
                <w:rFonts w:eastAsiaTheme="minorEastAsia" w:cs="Times New Roman" w:hint="eastAsia"/>
                <w:szCs w:val="21"/>
              </w:rPr>
              <w:t>）</w:t>
            </w:r>
            <w:r>
              <w:rPr>
                <w:rFonts w:eastAsiaTheme="minorEastAsia" w:cs="Times New Roman" w:hint="eastAsia"/>
                <w:szCs w:val="21"/>
              </w:rPr>
              <w:t>1220</w:t>
            </w:r>
          </w:p>
        </w:tc>
      </w:tr>
      <w:tr w:rsidR="007D1E74" w14:paraId="4D3B0F31" w14:textId="77777777">
        <w:trPr>
          <w:trHeight w:val="70"/>
        </w:trPr>
        <w:tc>
          <w:tcPr>
            <w:tcW w:w="9016" w:type="dxa"/>
          </w:tcPr>
          <w:p w14:paraId="3E5E9305" w14:textId="77777777" w:rsidR="007D1E74" w:rsidRDefault="00A95641">
            <w:pPr>
              <w:spacing w:line="360" w:lineRule="auto"/>
              <w:rPr>
                <w:rFonts w:eastAsiaTheme="minorEastAsia" w:cs="Times New Roman"/>
                <w:szCs w:val="21"/>
              </w:rPr>
            </w:pPr>
            <w:r>
              <w:rPr>
                <w:rFonts w:eastAsiaTheme="minorEastAsia" w:cs="Times New Roman" w:hint="eastAsia"/>
                <w:szCs w:val="21"/>
              </w:rPr>
              <w:t>调查人：黄文军、李秦</w:t>
            </w:r>
            <w:r>
              <w:rPr>
                <w:rFonts w:eastAsiaTheme="minorEastAsia" w:cs="Times New Roman" w:hint="eastAsia"/>
                <w:szCs w:val="21"/>
              </w:rPr>
              <w:tab/>
            </w:r>
            <w:r>
              <w:rPr>
                <w:rFonts w:eastAsiaTheme="minorEastAsia" w:cs="Times New Roman" w:hint="eastAsia"/>
                <w:szCs w:val="21"/>
              </w:rPr>
              <w:t>调查日期：</w:t>
            </w:r>
            <w:r>
              <w:rPr>
                <w:rFonts w:eastAsiaTheme="minorEastAsia" w:cs="Times New Roman" w:hint="eastAsia"/>
                <w:szCs w:val="21"/>
              </w:rPr>
              <w:t>2021-08-19</w:t>
            </w:r>
          </w:p>
        </w:tc>
      </w:tr>
    </w:tbl>
    <w:p w14:paraId="6DC2A59D" w14:textId="77777777" w:rsidR="007D1E74" w:rsidRDefault="007D1E74">
      <w:pPr>
        <w:spacing w:line="360" w:lineRule="auto"/>
        <w:rPr>
          <w:rFonts w:eastAsia="黑体" w:cs="Times New Roman"/>
          <w:sz w:val="24"/>
          <w:szCs w:val="24"/>
        </w:rPr>
      </w:pP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4"/>
        <w:gridCol w:w="1637"/>
        <w:gridCol w:w="1215"/>
        <w:gridCol w:w="1215"/>
        <w:gridCol w:w="1215"/>
        <w:gridCol w:w="1764"/>
        <w:gridCol w:w="1176"/>
      </w:tblGrid>
      <w:tr w:rsidR="007D1E74" w14:paraId="012F1B18" w14:textId="77777777">
        <w:trPr>
          <w:trHeight w:hRule="exact" w:val="351"/>
        </w:trPr>
        <w:tc>
          <w:tcPr>
            <w:tcW w:w="440" w:type="pct"/>
          </w:tcPr>
          <w:p w14:paraId="5F585791" w14:textId="77777777" w:rsidR="007D1E74" w:rsidRDefault="00A95641">
            <w:pPr>
              <w:pStyle w:val="TableParagraph"/>
              <w:spacing w:line="284" w:lineRule="exact"/>
              <w:ind w:left="109" w:right="103"/>
              <w:rPr>
                <w:rFonts w:ascii="宋体"/>
                <w:sz w:val="21"/>
                <w:szCs w:val="21"/>
              </w:rPr>
            </w:pPr>
            <w:r>
              <w:rPr>
                <w:rFonts w:ascii="宋体" w:hint="eastAsia"/>
                <w:sz w:val="21"/>
                <w:szCs w:val="21"/>
              </w:rPr>
              <w:t>种号</w:t>
            </w:r>
          </w:p>
        </w:tc>
        <w:tc>
          <w:tcPr>
            <w:tcW w:w="908" w:type="pct"/>
          </w:tcPr>
          <w:p w14:paraId="5B24464B" w14:textId="77777777" w:rsidR="007D1E74" w:rsidRDefault="00A95641">
            <w:pPr>
              <w:pStyle w:val="TableParagraph"/>
              <w:spacing w:line="284" w:lineRule="exact"/>
              <w:ind w:left="397"/>
              <w:rPr>
                <w:rFonts w:ascii="宋体"/>
                <w:sz w:val="21"/>
                <w:szCs w:val="21"/>
              </w:rPr>
            </w:pPr>
            <w:r>
              <w:rPr>
                <w:rFonts w:ascii="宋体" w:hint="eastAsia"/>
                <w:sz w:val="21"/>
                <w:szCs w:val="21"/>
              </w:rPr>
              <w:t>物种名</w:t>
            </w:r>
          </w:p>
        </w:tc>
        <w:tc>
          <w:tcPr>
            <w:tcW w:w="674" w:type="pct"/>
          </w:tcPr>
          <w:p w14:paraId="19A98550" w14:textId="77777777" w:rsidR="007D1E74" w:rsidRDefault="00A95641">
            <w:pPr>
              <w:pStyle w:val="TableParagraph"/>
              <w:spacing w:line="284" w:lineRule="exact"/>
              <w:ind w:left="202"/>
              <w:rPr>
                <w:rFonts w:ascii="宋体"/>
                <w:sz w:val="21"/>
                <w:szCs w:val="21"/>
              </w:rPr>
            </w:pPr>
            <w:r>
              <w:rPr>
                <w:rFonts w:ascii="宋体" w:hint="eastAsia"/>
                <w:sz w:val="21"/>
                <w:szCs w:val="21"/>
              </w:rPr>
              <w:t>物候期</w:t>
            </w:r>
          </w:p>
        </w:tc>
        <w:tc>
          <w:tcPr>
            <w:tcW w:w="674" w:type="pct"/>
          </w:tcPr>
          <w:p w14:paraId="176C0E47" w14:textId="77777777" w:rsidR="007D1E74" w:rsidRDefault="00A95641">
            <w:pPr>
              <w:pStyle w:val="TableParagraph"/>
              <w:spacing w:line="302" w:lineRule="exact"/>
              <w:ind w:left="102" w:right="102"/>
              <w:rPr>
                <w:rFonts w:ascii="宋体"/>
                <w:sz w:val="21"/>
                <w:szCs w:val="21"/>
              </w:rPr>
            </w:pPr>
            <w:r>
              <w:rPr>
                <w:rFonts w:ascii="宋体" w:hint="eastAsia"/>
                <w:sz w:val="21"/>
                <w:szCs w:val="21"/>
              </w:rPr>
              <w:t>株</w:t>
            </w:r>
            <w:r>
              <w:rPr>
                <w:sz w:val="21"/>
                <w:szCs w:val="21"/>
              </w:rPr>
              <w:t>(</w:t>
            </w:r>
            <w:r>
              <w:rPr>
                <w:rFonts w:ascii="宋体" w:hint="eastAsia"/>
                <w:sz w:val="21"/>
                <w:szCs w:val="21"/>
              </w:rPr>
              <w:t>丛</w:t>
            </w:r>
            <w:r>
              <w:rPr>
                <w:sz w:val="21"/>
                <w:szCs w:val="21"/>
              </w:rPr>
              <w:t>)</w:t>
            </w:r>
            <w:r>
              <w:rPr>
                <w:rFonts w:ascii="宋体" w:hint="eastAsia"/>
                <w:sz w:val="21"/>
                <w:szCs w:val="21"/>
              </w:rPr>
              <w:t>数</w:t>
            </w:r>
          </w:p>
        </w:tc>
        <w:tc>
          <w:tcPr>
            <w:tcW w:w="674" w:type="pct"/>
          </w:tcPr>
          <w:p w14:paraId="276C86D2" w14:textId="77777777" w:rsidR="007D1E74" w:rsidRDefault="00A95641">
            <w:pPr>
              <w:pStyle w:val="TableParagraph"/>
              <w:spacing w:line="284" w:lineRule="exact"/>
              <w:ind w:left="102" w:right="102"/>
              <w:rPr>
                <w:rFonts w:ascii="宋体"/>
                <w:sz w:val="21"/>
                <w:szCs w:val="21"/>
              </w:rPr>
            </w:pPr>
            <w:r>
              <w:rPr>
                <w:rFonts w:ascii="宋体" w:hint="eastAsia"/>
                <w:sz w:val="21"/>
                <w:szCs w:val="21"/>
              </w:rPr>
              <w:t>多度</w:t>
            </w:r>
          </w:p>
        </w:tc>
        <w:tc>
          <w:tcPr>
            <w:tcW w:w="978" w:type="pct"/>
          </w:tcPr>
          <w:p w14:paraId="097CF5A4" w14:textId="77777777" w:rsidR="007D1E74" w:rsidRDefault="00A95641">
            <w:pPr>
              <w:pStyle w:val="TableParagraph"/>
              <w:spacing w:line="302" w:lineRule="exact"/>
              <w:ind w:left="172" w:right="170"/>
              <w:rPr>
                <w:sz w:val="21"/>
                <w:szCs w:val="21"/>
              </w:rPr>
            </w:pPr>
            <w:r>
              <w:rPr>
                <w:rFonts w:ascii="宋体" w:hint="eastAsia"/>
                <w:w w:val="95"/>
                <w:sz w:val="21"/>
                <w:szCs w:val="21"/>
              </w:rPr>
              <w:t>平均高度</w:t>
            </w:r>
            <w:r>
              <w:rPr>
                <w:w w:val="95"/>
                <w:sz w:val="21"/>
                <w:szCs w:val="21"/>
              </w:rPr>
              <w:t>/cm</w:t>
            </w:r>
          </w:p>
        </w:tc>
        <w:tc>
          <w:tcPr>
            <w:tcW w:w="652" w:type="pct"/>
          </w:tcPr>
          <w:p w14:paraId="19E855C5" w14:textId="77777777" w:rsidR="007D1E74" w:rsidRDefault="00A95641">
            <w:pPr>
              <w:pStyle w:val="TableParagraph"/>
              <w:spacing w:line="302" w:lineRule="exact"/>
              <w:ind w:left="116" w:right="226"/>
              <w:rPr>
                <w:sz w:val="21"/>
                <w:szCs w:val="21"/>
              </w:rPr>
            </w:pPr>
            <w:r>
              <w:rPr>
                <w:rFonts w:ascii="宋体" w:hint="eastAsia"/>
                <w:w w:val="95"/>
                <w:sz w:val="21"/>
                <w:szCs w:val="21"/>
              </w:rPr>
              <w:t>盖度</w:t>
            </w:r>
            <w:r>
              <w:rPr>
                <w:w w:val="95"/>
                <w:sz w:val="21"/>
                <w:szCs w:val="21"/>
              </w:rPr>
              <w:t>/%</w:t>
            </w:r>
          </w:p>
        </w:tc>
      </w:tr>
      <w:tr w:rsidR="007D1E74" w14:paraId="088BB0F8" w14:textId="77777777">
        <w:trPr>
          <w:trHeight w:hRule="exact" w:val="336"/>
        </w:trPr>
        <w:tc>
          <w:tcPr>
            <w:tcW w:w="440" w:type="pct"/>
          </w:tcPr>
          <w:p w14:paraId="072F27DC" w14:textId="77777777" w:rsidR="007D1E74" w:rsidRDefault="00A95641">
            <w:pPr>
              <w:pStyle w:val="TableParagraph"/>
              <w:spacing w:before="26"/>
              <w:ind w:left="4"/>
              <w:rPr>
                <w:sz w:val="21"/>
                <w:szCs w:val="21"/>
              </w:rPr>
            </w:pPr>
            <w:r>
              <w:rPr>
                <w:sz w:val="21"/>
                <w:szCs w:val="21"/>
              </w:rPr>
              <w:t>1</w:t>
            </w:r>
          </w:p>
        </w:tc>
        <w:tc>
          <w:tcPr>
            <w:tcW w:w="908" w:type="pct"/>
          </w:tcPr>
          <w:p w14:paraId="3718E8FB" w14:textId="77777777" w:rsidR="007D1E74" w:rsidRDefault="00A95641">
            <w:pPr>
              <w:pStyle w:val="TableParagraph"/>
              <w:spacing w:line="284" w:lineRule="exact"/>
              <w:ind w:left="102"/>
              <w:rPr>
                <w:rFonts w:ascii="宋体"/>
                <w:sz w:val="21"/>
                <w:szCs w:val="21"/>
              </w:rPr>
            </w:pPr>
            <w:r>
              <w:rPr>
                <w:rFonts w:ascii="宋体" w:hint="eastAsia"/>
                <w:sz w:val="21"/>
                <w:szCs w:val="21"/>
              </w:rPr>
              <w:t>麻栎</w:t>
            </w:r>
          </w:p>
        </w:tc>
        <w:tc>
          <w:tcPr>
            <w:tcW w:w="674" w:type="pct"/>
          </w:tcPr>
          <w:p w14:paraId="51AEC428"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38A801F5" w14:textId="77777777" w:rsidR="007D1E74" w:rsidRDefault="00A95641">
            <w:pPr>
              <w:pStyle w:val="TableParagraph"/>
              <w:spacing w:before="26"/>
              <w:rPr>
                <w:sz w:val="21"/>
                <w:szCs w:val="21"/>
              </w:rPr>
            </w:pPr>
            <w:r>
              <w:rPr>
                <w:sz w:val="21"/>
                <w:szCs w:val="21"/>
              </w:rPr>
              <w:t>6</w:t>
            </w:r>
          </w:p>
        </w:tc>
        <w:tc>
          <w:tcPr>
            <w:tcW w:w="674" w:type="pct"/>
          </w:tcPr>
          <w:p w14:paraId="205FDC2A" w14:textId="77777777" w:rsidR="007D1E74" w:rsidRDefault="00A95641">
            <w:pPr>
              <w:pStyle w:val="TableParagraph"/>
              <w:spacing w:before="23"/>
              <w:ind w:left="172" w:right="172"/>
              <w:rPr>
                <w:sz w:val="21"/>
                <w:szCs w:val="21"/>
              </w:rPr>
            </w:pPr>
            <w:r>
              <w:rPr>
                <w:position w:val="2"/>
                <w:sz w:val="21"/>
                <w:szCs w:val="21"/>
              </w:rPr>
              <w:t>Cop</w:t>
            </w:r>
            <w:r>
              <w:rPr>
                <w:sz w:val="21"/>
                <w:szCs w:val="21"/>
              </w:rPr>
              <w:t>2</w:t>
            </w:r>
          </w:p>
        </w:tc>
        <w:tc>
          <w:tcPr>
            <w:tcW w:w="978" w:type="pct"/>
          </w:tcPr>
          <w:p w14:paraId="188DE7AA" w14:textId="77777777" w:rsidR="007D1E74" w:rsidRDefault="00A95641">
            <w:pPr>
              <w:pStyle w:val="TableParagraph"/>
              <w:spacing w:before="26"/>
              <w:ind w:left="312" w:right="312"/>
              <w:rPr>
                <w:sz w:val="21"/>
                <w:szCs w:val="21"/>
              </w:rPr>
            </w:pPr>
            <w:r>
              <w:rPr>
                <w:sz w:val="21"/>
                <w:szCs w:val="21"/>
              </w:rPr>
              <w:t>14</w:t>
            </w:r>
          </w:p>
        </w:tc>
        <w:tc>
          <w:tcPr>
            <w:tcW w:w="652" w:type="pct"/>
          </w:tcPr>
          <w:p w14:paraId="16FD2546" w14:textId="77777777" w:rsidR="007D1E74" w:rsidRDefault="00A95641">
            <w:pPr>
              <w:pStyle w:val="TableParagraph"/>
              <w:spacing w:before="26"/>
              <w:ind w:left="116" w:right="224"/>
              <w:rPr>
                <w:sz w:val="21"/>
                <w:szCs w:val="21"/>
              </w:rPr>
            </w:pPr>
            <w:r>
              <w:rPr>
                <w:sz w:val="21"/>
                <w:szCs w:val="21"/>
              </w:rPr>
              <w:t>60</w:t>
            </w:r>
          </w:p>
        </w:tc>
      </w:tr>
      <w:tr w:rsidR="007D1E74" w14:paraId="7681476D" w14:textId="77777777">
        <w:trPr>
          <w:trHeight w:hRule="exact" w:val="336"/>
        </w:trPr>
        <w:tc>
          <w:tcPr>
            <w:tcW w:w="440" w:type="pct"/>
          </w:tcPr>
          <w:p w14:paraId="7210D8F5" w14:textId="77777777" w:rsidR="007D1E74" w:rsidRDefault="00A95641">
            <w:pPr>
              <w:pStyle w:val="TableParagraph"/>
              <w:spacing w:before="26"/>
              <w:ind w:left="4"/>
              <w:rPr>
                <w:sz w:val="21"/>
                <w:szCs w:val="21"/>
              </w:rPr>
            </w:pPr>
            <w:r>
              <w:rPr>
                <w:sz w:val="21"/>
                <w:szCs w:val="21"/>
              </w:rPr>
              <w:t>2</w:t>
            </w:r>
          </w:p>
        </w:tc>
        <w:tc>
          <w:tcPr>
            <w:tcW w:w="908" w:type="pct"/>
          </w:tcPr>
          <w:p w14:paraId="0B60180F" w14:textId="77777777" w:rsidR="007D1E74" w:rsidRDefault="00A95641">
            <w:pPr>
              <w:pStyle w:val="TableParagraph"/>
              <w:spacing w:line="284" w:lineRule="exact"/>
              <w:ind w:left="102"/>
              <w:rPr>
                <w:rFonts w:ascii="宋体"/>
                <w:sz w:val="21"/>
                <w:szCs w:val="21"/>
              </w:rPr>
            </w:pPr>
            <w:r>
              <w:rPr>
                <w:rFonts w:ascii="宋体" w:hint="eastAsia"/>
                <w:sz w:val="21"/>
                <w:szCs w:val="21"/>
              </w:rPr>
              <w:t>栓皮栎</w:t>
            </w:r>
          </w:p>
        </w:tc>
        <w:tc>
          <w:tcPr>
            <w:tcW w:w="674" w:type="pct"/>
          </w:tcPr>
          <w:p w14:paraId="00879E0B"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6DC6AE03" w14:textId="77777777" w:rsidR="007D1E74" w:rsidRDefault="00A95641">
            <w:pPr>
              <w:pStyle w:val="TableParagraph"/>
              <w:spacing w:before="26"/>
              <w:rPr>
                <w:sz w:val="21"/>
                <w:szCs w:val="21"/>
              </w:rPr>
            </w:pPr>
            <w:r>
              <w:rPr>
                <w:sz w:val="21"/>
                <w:szCs w:val="21"/>
              </w:rPr>
              <w:t>5</w:t>
            </w:r>
          </w:p>
        </w:tc>
        <w:tc>
          <w:tcPr>
            <w:tcW w:w="674" w:type="pct"/>
          </w:tcPr>
          <w:p w14:paraId="7A0E94C2" w14:textId="77777777" w:rsidR="007D1E74" w:rsidRDefault="00A95641">
            <w:pPr>
              <w:pStyle w:val="TableParagraph"/>
              <w:spacing w:before="23"/>
              <w:ind w:left="172" w:right="172"/>
              <w:rPr>
                <w:sz w:val="21"/>
                <w:szCs w:val="21"/>
              </w:rPr>
            </w:pPr>
            <w:r>
              <w:rPr>
                <w:position w:val="2"/>
                <w:sz w:val="21"/>
                <w:szCs w:val="21"/>
              </w:rPr>
              <w:t>Cop</w:t>
            </w:r>
            <w:r>
              <w:rPr>
                <w:sz w:val="21"/>
                <w:szCs w:val="21"/>
              </w:rPr>
              <w:t>1</w:t>
            </w:r>
          </w:p>
        </w:tc>
        <w:tc>
          <w:tcPr>
            <w:tcW w:w="978" w:type="pct"/>
          </w:tcPr>
          <w:p w14:paraId="1C6DE2F8" w14:textId="77777777" w:rsidR="007D1E74" w:rsidRDefault="00A95641">
            <w:pPr>
              <w:pStyle w:val="TableParagraph"/>
              <w:spacing w:before="26"/>
              <w:ind w:left="312" w:right="312"/>
              <w:rPr>
                <w:sz w:val="21"/>
                <w:szCs w:val="21"/>
              </w:rPr>
            </w:pPr>
            <w:r>
              <w:rPr>
                <w:sz w:val="21"/>
                <w:szCs w:val="21"/>
              </w:rPr>
              <w:t>13</w:t>
            </w:r>
          </w:p>
        </w:tc>
        <w:tc>
          <w:tcPr>
            <w:tcW w:w="652" w:type="pct"/>
          </w:tcPr>
          <w:p w14:paraId="3EA90DC0" w14:textId="77777777" w:rsidR="007D1E74" w:rsidRDefault="00A95641">
            <w:pPr>
              <w:pStyle w:val="TableParagraph"/>
              <w:spacing w:before="26"/>
              <w:ind w:left="116" w:right="224"/>
              <w:rPr>
                <w:sz w:val="21"/>
                <w:szCs w:val="21"/>
              </w:rPr>
            </w:pPr>
            <w:r>
              <w:rPr>
                <w:sz w:val="21"/>
                <w:szCs w:val="21"/>
              </w:rPr>
              <w:t>20</w:t>
            </w:r>
          </w:p>
        </w:tc>
      </w:tr>
      <w:tr w:rsidR="007D1E74" w14:paraId="3A29E79F" w14:textId="77777777">
        <w:trPr>
          <w:trHeight w:hRule="exact" w:val="336"/>
        </w:trPr>
        <w:tc>
          <w:tcPr>
            <w:tcW w:w="440" w:type="pct"/>
          </w:tcPr>
          <w:p w14:paraId="589E2824" w14:textId="77777777" w:rsidR="007D1E74" w:rsidRDefault="00A95641">
            <w:pPr>
              <w:pStyle w:val="TableParagraph"/>
              <w:spacing w:before="26"/>
              <w:ind w:left="4"/>
              <w:rPr>
                <w:sz w:val="21"/>
                <w:szCs w:val="21"/>
              </w:rPr>
            </w:pPr>
            <w:r>
              <w:rPr>
                <w:sz w:val="21"/>
                <w:szCs w:val="21"/>
              </w:rPr>
              <w:t>3</w:t>
            </w:r>
          </w:p>
        </w:tc>
        <w:tc>
          <w:tcPr>
            <w:tcW w:w="908" w:type="pct"/>
          </w:tcPr>
          <w:p w14:paraId="4676DD8C" w14:textId="77777777" w:rsidR="007D1E74" w:rsidRDefault="00A95641">
            <w:pPr>
              <w:pStyle w:val="TableParagraph"/>
              <w:spacing w:line="284" w:lineRule="exact"/>
              <w:ind w:left="102"/>
              <w:rPr>
                <w:rFonts w:ascii="宋体"/>
                <w:sz w:val="21"/>
                <w:szCs w:val="21"/>
              </w:rPr>
            </w:pPr>
            <w:r>
              <w:rPr>
                <w:rFonts w:ascii="宋体" w:hint="eastAsia"/>
                <w:sz w:val="21"/>
                <w:szCs w:val="21"/>
              </w:rPr>
              <w:t>桤木</w:t>
            </w:r>
          </w:p>
        </w:tc>
        <w:tc>
          <w:tcPr>
            <w:tcW w:w="674" w:type="pct"/>
          </w:tcPr>
          <w:p w14:paraId="591E0FFC"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7158255D" w14:textId="77777777" w:rsidR="007D1E74" w:rsidRDefault="00A95641">
            <w:pPr>
              <w:pStyle w:val="TableParagraph"/>
              <w:spacing w:before="26"/>
              <w:rPr>
                <w:sz w:val="21"/>
                <w:szCs w:val="21"/>
              </w:rPr>
            </w:pPr>
            <w:r>
              <w:rPr>
                <w:sz w:val="21"/>
                <w:szCs w:val="21"/>
              </w:rPr>
              <w:t>1</w:t>
            </w:r>
          </w:p>
        </w:tc>
        <w:tc>
          <w:tcPr>
            <w:tcW w:w="674" w:type="pct"/>
          </w:tcPr>
          <w:p w14:paraId="5D9E536D" w14:textId="77777777" w:rsidR="007D1E74" w:rsidRDefault="00A95641">
            <w:pPr>
              <w:pStyle w:val="TableParagraph"/>
              <w:spacing w:before="26"/>
              <w:ind w:left="173" w:right="172"/>
              <w:rPr>
                <w:sz w:val="21"/>
                <w:szCs w:val="21"/>
              </w:rPr>
            </w:pPr>
            <w:r>
              <w:rPr>
                <w:sz w:val="21"/>
                <w:szCs w:val="21"/>
              </w:rPr>
              <w:t>Sp</w:t>
            </w:r>
          </w:p>
        </w:tc>
        <w:tc>
          <w:tcPr>
            <w:tcW w:w="978" w:type="pct"/>
          </w:tcPr>
          <w:p w14:paraId="1DF35324" w14:textId="77777777" w:rsidR="007D1E74" w:rsidRDefault="00A95641">
            <w:pPr>
              <w:pStyle w:val="TableParagraph"/>
              <w:spacing w:before="26"/>
              <w:ind w:left="312" w:right="312"/>
              <w:rPr>
                <w:sz w:val="21"/>
                <w:szCs w:val="21"/>
              </w:rPr>
            </w:pPr>
            <w:r>
              <w:rPr>
                <w:sz w:val="21"/>
                <w:szCs w:val="21"/>
              </w:rPr>
              <w:t>14</w:t>
            </w:r>
          </w:p>
        </w:tc>
        <w:tc>
          <w:tcPr>
            <w:tcW w:w="652" w:type="pct"/>
          </w:tcPr>
          <w:p w14:paraId="1AC95E0D" w14:textId="77777777" w:rsidR="007D1E74" w:rsidRDefault="00A95641">
            <w:pPr>
              <w:pStyle w:val="TableParagraph"/>
              <w:spacing w:before="26"/>
              <w:ind w:right="108"/>
              <w:rPr>
                <w:sz w:val="21"/>
                <w:szCs w:val="21"/>
              </w:rPr>
            </w:pPr>
            <w:r>
              <w:rPr>
                <w:sz w:val="21"/>
                <w:szCs w:val="21"/>
              </w:rPr>
              <w:t>5</w:t>
            </w:r>
          </w:p>
        </w:tc>
      </w:tr>
      <w:tr w:rsidR="007D1E74" w14:paraId="0E91056A" w14:textId="77777777">
        <w:trPr>
          <w:trHeight w:hRule="exact" w:val="336"/>
        </w:trPr>
        <w:tc>
          <w:tcPr>
            <w:tcW w:w="440" w:type="pct"/>
          </w:tcPr>
          <w:p w14:paraId="74A7A2DD" w14:textId="77777777" w:rsidR="007D1E74" w:rsidRDefault="00A95641">
            <w:pPr>
              <w:pStyle w:val="TableParagraph"/>
              <w:spacing w:before="26"/>
              <w:ind w:left="4"/>
              <w:rPr>
                <w:sz w:val="21"/>
                <w:szCs w:val="21"/>
              </w:rPr>
            </w:pPr>
            <w:r>
              <w:rPr>
                <w:sz w:val="21"/>
                <w:szCs w:val="21"/>
              </w:rPr>
              <w:t>4</w:t>
            </w:r>
          </w:p>
        </w:tc>
        <w:tc>
          <w:tcPr>
            <w:tcW w:w="908" w:type="pct"/>
          </w:tcPr>
          <w:p w14:paraId="5E1FEBE6" w14:textId="77777777" w:rsidR="007D1E74" w:rsidRDefault="00A95641">
            <w:pPr>
              <w:pStyle w:val="TableParagraph"/>
              <w:spacing w:line="284" w:lineRule="exact"/>
              <w:ind w:left="102"/>
              <w:rPr>
                <w:rFonts w:ascii="宋体"/>
                <w:sz w:val="21"/>
                <w:szCs w:val="21"/>
              </w:rPr>
            </w:pPr>
            <w:r>
              <w:rPr>
                <w:rFonts w:ascii="宋体" w:hint="eastAsia"/>
                <w:sz w:val="21"/>
                <w:szCs w:val="21"/>
              </w:rPr>
              <w:t>灯台树</w:t>
            </w:r>
          </w:p>
        </w:tc>
        <w:tc>
          <w:tcPr>
            <w:tcW w:w="674" w:type="pct"/>
          </w:tcPr>
          <w:p w14:paraId="09A9BAE3"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4F735242" w14:textId="77777777" w:rsidR="007D1E74" w:rsidRDefault="00A95641">
            <w:pPr>
              <w:pStyle w:val="TableParagraph"/>
              <w:spacing w:before="26"/>
              <w:rPr>
                <w:sz w:val="21"/>
                <w:szCs w:val="21"/>
              </w:rPr>
            </w:pPr>
            <w:r>
              <w:rPr>
                <w:sz w:val="21"/>
                <w:szCs w:val="21"/>
              </w:rPr>
              <w:t>1</w:t>
            </w:r>
          </w:p>
        </w:tc>
        <w:tc>
          <w:tcPr>
            <w:tcW w:w="674" w:type="pct"/>
          </w:tcPr>
          <w:p w14:paraId="162785DF" w14:textId="77777777" w:rsidR="007D1E74" w:rsidRDefault="00A95641">
            <w:pPr>
              <w:pStyle w:val="TableParagraph"/>
              <w:spacing w:before="26"/>
              <w:ind w:left="173" w:right="172"/>
              <w:rPr>
                <w:sz w:val="21"/>
                <w:szCs w:val="21"/>
              </w:rPr>
            </w:pPr>
            <w:r>
              <w:rPr>
                <w:sz w:val="21"/>
                <w:szCs w:val="21"/>
              </w:rPr>
              <w:t>Sp</w:t>
            </w:r>
          </w:p>
        </w:tc>
        <w:tc>
          <w:tcPr>
            <w:tcW w:w="978" w:type="pct"/>
          </w:tcPr>
          <w:p w14:paraId="054771F7" w14:textId="77777777" w:rsidR="007D1E74" w:rsidRDefault="00A95641">
            <w:pPr>
              <w:pStyle w:val="TableParagraph"/>
              <w:spacing w:before="26"/>
              <w:ind w:left="312" w:right="312"/>
              <w:rPr>
                <w:sz w:val="21"/>
                <w:szCs w:val="21"/>
              </w:rPr>
            </w:pPr>
            <w:r>
              <w:rPr>
                <w:sz w:val="21"/>
                <w:szCs w:val="21"/>
              </w:rPr>
              <w:t>15</w:t>
            </w:r>
          </w:p>
        </w:tc>
        <w:tc>
          <w:tcPr>
            <w:tcW w:w="652" w:type="pct"/>
          </w:tcPr>
          <w:p w14:paraId="20EBBBD1" w14:textId="77777777" w:rsidR="007D1E74" w:rsidRDefault="00A95641">
            <w:pPr>
              <w:pStyle w:val="TableParagraph"/>
              <w:spacing w:before="26"/>
              <w:ind w:right="108"/>
              <w:rPr>
                <w:sz w:val="21"/>
                <w:szCs w:val="21"/>
              </w:rPr>
            </w:pPr>
            <w:r>
              <w:rPr>
                <w:sz w:val="21"/>
                <w:szCs w:val="21"/>
              </w:rPr>
              <w:t>5</w:t>
            </w:r>
          </w:p>
        </w:tc>
      </w:tr>
      <w:tr w:rsidR="007D1E74" w14:paraId="773AFCAD" w14:textId="77777777">
        <w:trPr>
          <w:trHeight w:hRule="exact" w:val="336"/>
        </w:trPr>
        <w:tc>
          <w:tcPr>
            <w:tcW w:w="440" w:type="pct"/>
          </w:tcPr>
          <w:p w14:paraId="6C8967BB" w14:textId="77777777" w:rsidR="007D1E74" w:rsidRDefault="00A95641">
            <w:pPr>
              <w:pStyle w:val="TableParagraph"/>
              <w:spacing w:before="26"/>
              <w:ind w:left="4"/>
              <w:rPr>
                <w:sz w:val="21"/>
                <w:szCs w:val="21"/>
              </w:rPr>
            </w:pPr>
            <w:r>
              <w:rPr>
                <w:sz w:val="21"/>
                <w:szCs w:val="21"/>
              </w:rPr>
              <w:t>5</w:t>
            </w:r>
          </w:p>
        </w:tc>
        <w:tc>
          <w:tcPr>
            <w:tcW w:w="908" w:type="pct"/>
          </w:tcPr>
          <w:p w14:paraId="6E5D61EC" w14:textId="77777777" w:rsidR="007D1E74" w:rsidRDefault="00A95641">
            <w:pPr>
              <w:pStyle w:val="TableParagraph"/>
              <w:spacing w:line="284" w:lineRule="exact"/>
              <w:ind w:left="102"/>
              <w:rPr>
                <w:rFonts w:ascii="宋体"/>
                <w:sz w:val="21"/>
                <w:szCs w:val="21"/>
              </w:rPr>
            </w:pPr>
            <w:r>
              <w:rPr>
                <w:rFonts w:ascii="宋体" w:hint="eastAsia"/>
                <w:sz w:val="21"/>
                <w:szCs w:val="21"/>
              </w:rPr>
              <w:t>朴树</w:t>
            </w:r>
          </w:p>
        </w:tc>
        <w:tc>
          <w:tcPr>
            <w:tcW w:w="674" w:type="pct"/>
          </w:tcPr>
          <w:p w14:paraId="0F8297A5"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200040A0" w14:textId="77777777" w:rsidR="007D1E74" w:rsidRDefault="00A95641">
            <w:pPr>
              <w:pStyle w:val="TableParagraph"/>
              <w:spacing w:before="26"/>
              <w:rPr>
                <w:sz w:val="21"/>
                <w:szCs w:val="21"/>
              </w:rPr>
            </w:pPr>
            <w:r>
              <w:rPr>
                <w:sz w:val="21"/>
                <w:szCs w:val="21"/>
              </w:rPr>
              <w:t>1</w:t>
            </w:r>
          </w:p>
        </w:tc>
        <w:tc>
          <w:tcPr>
            <w:tcW w:w="674" w:type="pct"/>
          </w:tcPr>
          <w:p w14:paraId="44BC0FFE" w14:textId="77777777" w:rsidR="007D1E74" w:rsidRDefault="00A95641">
            <w:pPr>
              <w:pStyle w:val="TableParagraph"/>
              <w:spacing w:before="26"/>
              <w:ind w:left="172" w:right="172"/>
              <w:rPr>
                <w:sz w:val="21"/>
                <w:szCs w:val="21"/>
              </w:rPr>
            </w:pPr>
            <w:r>
              <w:rPr>
                <w:sz w:val="21"/>
                <w:szCs w:val="21"/>
              </w:rPr>
              <w:t>Ol</w:t>
            </w:r>
          </w:p>
        </w:tc>
        <w:tc>
          <w:tcPr>
            <w:tcW w:w="978" w:type="pct"/>
          </w:tcPr>
          <w:p w14:paraId="7DBE6341" w14:textId="77777777" w:rsidR="007D1E74" w:rsidRDefault="00A95641">
            <w:pPr>
              <w:pStyle w:val="TableParagraph"/>
              <w:spacing w:before="26"/>
              <w:rPr>
                <w:sz w:val="21"/>
                <w:szCs w:val="21"/>
              </w:rPr>
            </w:pPr>
            <w:r>
              <w:rPr>
                <w:sz w:val="21"/>
                <w:szCs w:val="21"/>
              </w:rPr>
              <w:t>7</w:t>
            </w:r>
          </w:p>
        </w:tc>
        <w:tc>
          <w:tcPr>
            <w:tcW w:w="652" w:type="pct"/>
          </w:tcPr>
          <w:p w14:paraId="0BF2A89B" w14:textId="77777777" w:rsidR="007D1E74" w:rsidRDefault="00A95641">
            <w:pPr>
              <w:pStyle w:val="TableParagraph"/>
              <w:spacing w:before="26"/>
              <w:ind w:right="108"/>
              <w:rPr>
                <w:sz w:val="21"/>
                <w:szCs w:val="21"/>
              </w:rPr>
            </w:pPr>
            <w:r>
              <w:rPr>
                <w:sz w:val="21"/>
                <w:szCs w:val="21"/>
              </w:rPr>
              <w:t>3</w:t>
            </w:r>
          </w:p>
        </w:tc>
      </w:tr>
      <w:tr w:rsidR="007D1E74" w14:paraId="2AEE058C" w14:textId="77777777">
        <w:trPr>
          <w:trHeight w:hRule="exact" w:val="336"/>
        </w:trPr>
        <w:tc>
          <w:tcPr>
            <w:tcW w:w="440" w:type="pct"/>
          </w:tcPr>
          <w:p w14:paraId="2CFC65CB" w14:textId="77777777" w:rsidR="007D1E74" w:rsidRDefault="00A95641">
            <w:pPr>
              <w:pStyle w:val="TableParagraph"/>
              <w:spacing w:before="26"/>
              <w:ind w:left="4"/>
              <w:rPr>
                <w:sz w:val="21"/>
                <w:szCs w:val="21"/>
              </w:rPr>
            </w:pPr>
            <w:r>
              <w:rPr>
                <w:sz w:val="21"/>
                <w:szCs w:val="21"/>
              </w:rPr>
              <w:t>6</w:t>
            </w:r>
          </w:p>
        </w:tc>
        <w:tc>
          <w:tcPr>
            <w:tcW w:w="908" w:type="pct"/>
          </w:tcPr>
          <w:p w14:paraId="69D9FAC7" w14:textId="77777777" w:rsidR="007D1E74" w:rsidRDefault="00A95641">
            <w:pPr>
              <w:pStyle w:val="TableParagraph"/>
              <w:spacing w:line="284" w:lineRule="exact"/>
              <w:ind w:left="102"/>
              <w:rPr>
                <w:rFonts w:ascii="宋体"/>
                <w:sz w:val="21"/>
                <w:szCs w:val="21"/>
              </w:rPr>
            </w:pPr>
            <w:r>
              <w:rPr>
                <w:rFonts w:ascii="宋体" w:hint="eastAsia"/>
                <w:sz w:val="21"/>
                <w:szCs w:val="21"/>
              </w:rPr>
              <w:t>铁仔</w:t>
            </w:r>
          </w:p>
        </w:tc>
        <w:tc>
          <w:tcPr>
            <w:tcW w:w="674" w:type="pct"/>
          </w:tcPr>
          <w:p w14:paraId="6A76A2EB" w14:textId="77777777" w:rsidR="007D1E74" w:rsidRDefault="00A95641">
            <w:pPr>
              <w:pStyle w:val="TableParagraph"/>
              <w:spacing w:line="284" w:lineRule="exact"/>
              <w:ind w:left="103"/>
              <w:rPr>
                <w:rFonts w:ascii="宋体"/>
                <w:sz w:val="21"/>
                <w:szCs w:val="21"/>
              </w:rPr>
            </w:pPr>
            <w:r>
              <w:rPr>
                <w:rFonts w:ascii="宋体" w:hint="eastAsia"/>
                <w:sz w:val="21"/>
                <w:szCs w:val="21"/>
              </w:rPr>
              <w:t>果期</w:t>
            </w:r>
          </w:p>
        </w:tc>
        <w:tc>
          <w:tcPr>
            <w:tcW w:w="674" w:type="pct"/>
          </w:tcPr>
          <w:p w14:paraId="64551086" w14:textId="77777777" w:rsidR="007D1E74" w:rsidRDefault="00A95641">
            <w:pPr>
              <w:pStyle w:val="TableParagraph"/>
              <w:spacing w:before="26"/>
              <w:ind w:left="102" w:right="102"/>
              <w:rPr>
                <w:sz w:val="21"/>
                <w:szCs w:val="21"/>
              </w:rPr>
            </w:pPr>
            <w:r>
              <w:rPr>
                <w:sz w:val="21"/>
                <w:szCs w:val="21"/>
              </w:rPr>
              <w:t>25</w:t>
            </w:r>
          </w:p>
        </w:tc>
        <w:tc>
          <w:tcPr>
            <w:tcW w:w="674" w:type="pct"/>
          </w:tcPr>
          <w:p w14:paraId="2E67C7E3" w14:textId="77777777" w:rsidR="007D1E74" w:rsidRDefault="00A95641">
            <w:pPr>
              <w:pStyle w:val="TableParagraph"/>
              <w:spacing w:before="23"/>
              <w:ind w:left="172" w:right="172"/>
              <w:rPr>
                <w:sz w:val="21"/>
                <w:szCs w:val="21"/>
              </w:rPr>
            </w:pPr>
            <w:r>
              <w:rPr>
                <w:position w:val="2"/>
                <w:sz w:val="21"/>
                <w:szCs w:val="21"/>
              </w:rPr>
              <w:t>Cop</w:t>
            </w:r>
            <w:r>
              <w:rPr>
                <w:sz w:val="21"/>
                <w:szCs w:val="21"/>
              </w:rPr>
              <w:t>1</w:t>
            </w:r>
          </w:p>
        </w:tc>
        <w:tc>
          <w:tcPr>
            <w:tcW w:w="978" w:type="pct"/>
          </w:tcPr>
          <w:p w14:paraId="5E6C15D2" w14:textId="77777777" w:rsidR="007D1E74" w:rsidRDefault="00A95641">
            <w:pPr>
              <w:pStyle w:val="TableParagraph"/>
              <w:spacing w:before="26"/>
              <w:ind w:left="312" w:right="312"/>
              <w:rPr>
                <w:sz w:val="21"/>
                <w:szCs w:val="21"/>
              </w:rPr>
            </w:pPr>
            <w:r>
              <w:rPr>
                <w:sz w:val="21"/>
                <w:szCs w:val="21"/>
              </w:rPr>
              <w:t>1.2</w:t>
            </w:r>
          </w:p>
        </w:tc>
        <w:tc>
          <w:tcPr>
            <w:tcW w:w="652" w:type="pct"/>
          </w:tcPr>
          <w:p w14:paraId="738E08A1" w14:textId="77777777" w:rsidR="007D1E74" w:rsidRDefault="00A95641">
            <w:pPr>
              <w:pStyle w:val="TableParagraph"/>
              <w:spacing w:before="26"/>
              <w:ind w:left="116" w:right="224"/>
              <w:rPr>
                <w:sz w:val="21"/>
                <w:szCs w:val="21"/>
              </w:rPr>
            </w:pPr>
            <w:r>
              <w:rPr>
                <w:sz w:val="21"/>
                <w:szCs w:val="21"/>
              </w:rPr>
              <w:t>20</w:t>
            </w:r>
          </w:p>
        </w:tc>
      </w:tr>
      <w:tr w:rsidR="007D1E74" w14:paraId="0C072DA4" w14:textId="77777777">
        <w:trPr>
          <w:trHeight w:hRule="exact" w:val="336"/>
        </w:trPr>
        <w:tc>
          <w:tcPr>
            <w:tcW w:w="440" w:type="pct"/>
          </w:tcPr>
          <w:p w14:paraId="0857857C" w14:textId="77777777" w:rsidR="007D1E74" w:rsidRDefault="00A95641">
            <w:pPr>
              <w:pStyle w:val="TableParagraph"/>
              <w:spacing w:before="26"/>
              <w:ind w:left="4"/>
              <w:rPr>
                <w:sz w:val="21"/>
                <w:szCs w:val="21"/>
              </w:rPr>
            </w:pPr>
            <w:r>
              <w:rPr>
                <w:sz w:val="21"/>
                <w:szCs w:val="21"/>
              </w:rPr>
              <w:t>7</w:t>
            </w:r>
          </w:p>
        </w:tc>
        <w:tc>
          <w:tcPr>
            <w:tcW w:w="908" w:type="pct"/>
          </w:tcPr>
          <w:p w14:paraId="20A88D50" w14:textId="77777777" w:rsidR="007D1E74" w:rsidRDefault="00A95641">
            <w:pPr>
              <w:pStyle w:val="TableParagraph"/>
              <w:spacing w:line="284" w:lineRule="exact"/>
              <w:ind w:left="102"/>
              <w:rPr>
                <w:rFonts w:ascii="宋体"/>
                <w:sz w:val="21"/>
                <w:szCs w:val="21"/>
              </w:rPr>
            </w:pPr>
            <w:r>
              <w:rPr>
                <w:rFonts w:ascii="宋体" w:hint="eastAsia"/>
                <w:sz w:val="21"/>
                <w:szCs w:val="21"/>
              </w:rPr>
              <w:t>寒莓</w:t>
            </w:r>
          </w:p>
        </w:tc>
        <w:tc>
          <w:tcPr>
            <w:tcW w:w="674" w:type="pct"/>
          </w:tcPr>
          <w:p w14:paraId="7D41F06E"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65B198E8" w14:textId="77777777" w:rsidR="007D1E74" w:rsidRDefault="00A95641">
            <w:pPr>
              <w:pStyle w:val="TableParagraph"/>
              <w:spacing w:line="302" w:lineRule="exact"/>
              <w:ind w:left="102" w:right="102"/>
              <w:rPr>
                <w:rFonts w:ascii="宋体"/>
                <w:sz w:val="21"/>
                <w:szCs w:val="21"/>
              </w:rPr>
            </w:pPr>
            <w:r>
              <w:rPr>
                <w:sz w:val="21"/>
                <w:szCs w:val="21"/>
              </w:rPr>
              <w:t xml:space="preserve">2 </w:t>
            </w:r>
            <w:r>
              <w:rPr>
                <w:rFonts w:ascii="宋体" w:hint="eastAsia"/>
                <w:sz w:val="21"/>
                <w:szCs w:val="21"/>
              </w:rPr>
              <w:t>丛</w:t>
            </w:r>
          </w:p>
        </w:tc>
        <w:tc>
          <w:tcPr>
            <w:tcW w:w="674" w:type="pct"/>
          </w:tcPr>
          <w:p w14:paraId="6943DA50" w14:textId="77777777" w:rsidR="007D1E74" w:rsidRDefault="00A95641">
            <w:pPr>
              <w:pStyle w:val="TableParagraph"/>
              <w:spacing w:before="23"/>
              <w:ind w:left="172" w:right="172"/>
              <w:rPr>
                <w:sz w:val="21"/>
                <w:szCs w:val="21"/>
              </w:rPr>
            </w:pPr>
            <w:r>
              <w:rPr>
                <w:position w:val="2"/>
                <w:sz w:val="21"/>
                <w:szCs w:val="21"/>
              </w:rPr>
              <w:t>Cop</w:t>
            </w:r>
            <w:r>
              <w:rPr>
                <w:sz w:val="21"/>
                <w:szCs w:val="21"/>
              </w:rPr>
              <w:t>1</w:t>
            </w:r>
          </w:p>
        </w:tc>
        <w:tc>
          <w:tcPr>
            <w:tcW w:w="978" w:type="pct"/>
          </w:tcPr>
          <w:p w14:paraId="6B1B2DB0" w14:textId="77777777" w:rsidR="007D1E74" w:rsidRDefault="00A95641">
            <w:pPr>
              <w:pStyle w:val="TableParagraph"/>
              <w:spacing w:before="26"/>
              <w:ind w:left="312" w:right="312"/>
              <w:rPr>
                <w:sz w:val="21"/>
                <w:szCs w:val="21"/>
              </w:rPr>
            </w:pPr>
            <w:r>
              <w:rPr>
                <w:sz w:val="21"/>
                <w:szCs w:val="21"/>
              </w:rPr>
              <w:t>1.3</w:t>
            </w:r>
          </w:p>
        </w:tc>
        <w:tc>
          <w:tcPr>
            <w:tcW w:w="652" w:type="pct"/>
          </w:tcPr>
          <w:p w14:paraId="0CB4B818" w14:textId="77777777" w:rsidR="007D1E74" w:rsidRDefault="00A95641">
            <w:pPr>
              <w:pStyle w:val="TableParagraph"/>
              <w:spacing w:before="26"/>
              <w:ind w:left="116" w:right="224"/>
              <w:rPr>
                <w:sz w:val="21"/>
                <w:szCs w:val="21"/>
              </w:rPr>
            </w:pPr>
            <w:r>
              <w:rPr>
                <w:sz w:val="21"/>
                <w:szCs w:val="21"/>
              </w:rPr>
              <w:t>10</w:t>
            </w:r>
          </w:p>
        </w:tc>
      </w:tr>
      <w:tr w:rsidR="007D1E74" w14:paraId="297A229A" w14:textId="77777777">
        <w:trPr>
          <w:trHeight w:hRule="exact" w:val="336"/>
        </w:trPr>
        <w:tc>
          <w:tcPr>
            <w:tcW w:w="440" w:type="pct"/>
          </w:tcPr>
          <w:p w14:paraId="0A6E938B" w14:textId="77777777" w:rsidR="007D1E74" w:rsidRDefault="00A95641">
            <w:pPr>
              <w:pStyle w:val="TableParagraph"/>
              <w:spacing w:before="26"/>
              <w:ind w:left="4"/>
              <w:rPr>
                <w:sz w:val="21"/>
                <w:szCs w:val="21"/>
              </w:rPr>
            </w:pPr>
            <w:r>
              <w:rPr>
                <w:sz w:val="21"/>
                <w:szCs w:val="21"/>
              </w:rPr>
              <w:t>8</w:t>
            </w:r>
          </w:p>
        </w:tc>
        <w:tc>
          <w:tcPr>
            <w:tcW w:w="908" w:type="pct"/>
          </w:tcPr>
          <w:p w14:paraId="4F1F005B" w14:textId="77777777" w:rsidR="007D1E74" w:rsidRDefault="00A95641">
            <w:pPr>
              <w:pStyle w:val="TableParagraph"/>
              <w:spacing w:line="284" w:lineRule="exact"/>
              <w:ind w:left="102"/>
              <w:rPr>
                <w:rFonts w:ascii="宋体"/>
                <w:sz w:val="21"/>
                <w:szCs w:val="21"/>
              </w:rPr>
            </w:pPr>
            <w:r>
              <w:rPr>
                <w:rFonts w:ascii="宋体" w:hint="eastAsia"/>
                <w:sz w:val="21"/>
                <w:szCs w:val="21"/>
              </w:rPr>
              <w:t>野蔷薇</w:t>
            </w:r>
          </w:p>
        </w:tc>
        <w:tc>
          <w:tcPr>
            <w:tcW w:w="674" w:type="pct"/>
          </w:tcPr>
          <w:p w14:paraId="735D7A1F" w14:textId="77777777" w:rsidR="007D1E74" w:rsidRDefault="00A95641">
            <w:pPr>
              <w:pStyle w:val="TableParagraph"/>
              <w:spacing w:line="284" w:lineRule="exact"/>
              <w:ind w:left="103"/>
              <w:rPr>
                <w:rFonts w:ascii="宋体"/>
                <w:sz w:val="21"/>
                <w:szCs w:val="21"/>
              </w:rPr>
            </w:pPr>
            <w:r>
              <w:rPr>
                <w:rFonts w:ascii="宋体" w:hint="eastAsia"/>
                <w:sz w:val="21"/>
                <w:szCs w:val="21"/>
              </w:rPr>
              <w:t>花果期</w:t>
            </w:r>
          </w:p>
        </w:tc>
        <w:tc>
          <w:tcPr>
            <w:tcW w:w="674" w:type="pct"/>
          </w:tcPr>
          <w:p w14:paraId="6422FA02" w14:textId="77777777" w:rsidR="007D1E74" w:rsidRDefault="00A95641">
            <w:pPr>
              <w:pStyle w:val="TableParagraph"/>
              <w:spacing w:before="26"/>
              <w:rPr>
                <w:sz w:val="21"/>
                <w:szCs w:val="21"/>
              </w:rPr>
            </w:pPr>
            <w:r>
              <w:rPr>
                <w:sz w:val="21"/>
                <w:szCs w:val="21"/>
              </w:rPr>
              <w:t>6</w:t>
            </w:r>
          </w:p>
        </w:tc>
        <w:tc>
          <w:tcPr>
            <w:tcW w:w="674" w:type="pct"/>
          </w:tcPr>
          <w:p w14:paraId="2CDE1D95" w14:textId="77777777" w:rsidR="007D1E74" w:rsidRDefault="00A95641">
            <w:pPr>
              <w:pStyle w:val="TableParagraph"/>
              <w:spacing w:before="26"/>
              <w:ind w:left="173" w:right="172"/>
              <w:rPr>
                <w:sz w:val="21"/>
                <w:szCs w:val="21"/>
              </w:rPr>
            </w:pPr>
            <w:r>
              <w:rPr>
                <w:sz w:val="21"/>
                <w:szCs w:val="21"/>
              </w:rPr>
              <w:t>Sp</w:t>
            </w:r>
          </w:p>
        </w:tc>
        <w:tc>
          <w:tcPr>
            <w:tcW w:w="978" w:type="pct"/>
          </w:tcPr>
          <w:p w14:paraId="6021A476" w14:textId="77777777" w:rsidR="007D1E74" w:rsidRDefault="00A95641">
            <w:pPr>
              <w:pStyle w:val="TableParagraph"/>
              <w:spacing w:before="26"/>
              <w:ind w:left="312" w:right="312"/>
              <w:rPr>
                <w:sz w:val="21"/>
                <w:szCs w:val="21"/>
              </w:rPr>
            </w:pPr>
            <w:r>
              <w:rPr>
                <w:sz w:val="21"/>
                <w:szCs w:val="21"/>
              </w:rPr>
              <w:t>1.8</w:t>
            </w:r>
          </w:p>
        </w:tc>
        <w:tc>
          <w:tcPr>
            <w:tcW w:w="652" w:type="pct"/>
          </w:tcPr>
          <w:p w14:paraId="05AF19B7" w14:textId="77777777" w:rsidR="007D1E74" w:rsidRDefault="00A95641">
            <w:pPr>
              <w:pStyle w:val="TableParagraph"/>
              <w:spacing w:before="26"/>
              <w:ind w:right="108"/>
              <w:rPr>
                <w:sz w:val="21"/>
                <w:szCs w:val="21"/>
              </w:rPr>
            </w:pPr>
            <w:r>
              <w:rPr>
                <w:sz w:val="21"/>
                <w:szCs w:val="21"/>
              </w:rPr>
              <w:t>5</w:t>
            </w:r>
          </w:p>
        </w:tc>
      </w:tr>
      <w:tr w:rsidR="007D1E74" w14:paraId="63D9DE1D" w14:textId="77777777">
        <w:trPr>
          <w:trHeight w:hRule="exact" w:val="336"/>
        </w:trPr>
        <w:tc>
          <w:tcPr>
            <w:tcW w:w="440" w:type="pct"/>
          </w:tcPr>
          <w:p w14:paraId="4D8E2C5C" w14:textId="77777777" w:rsidR="007D1E74" w:rsidRDefault="00A95641">
            <w:pPr>
              <w:pStyle w:val="TableParagraph"/>
              <w:spacing w:before="26"/>
              <w:ind w:left="4"/>
              <w:rPr>
                <w:sz w:val="21"/>
                <w:szCs w:val="21"/>
              </w:rPr>
            </w:pPr>
            <w:r>
              <w:rPr>
                <w:sz w:val="21"/>
                <w:szCs w:val="21"/>
              </w:rPr>
              <w:t>9</w:t>
            </w:r>
          </w:p>
        </w:tc>
        <w:tc>
          <w:tcPr>
            <w:tcW w:w="908" w:type="pct"/>
          </w:tcPr>
          <w:p w14:paraId="6248AB06" w14:textId="77777777" w:rsidR="007D1E74" w:rsidRDefault="00A95641">
            <w:pPr>
              <w:pStyle w:val="TableParagraph"/>
              <w:spacing w:line="284" w:lineRule="exact"/>
              <w:ind w:left="102"/>
              <w:rPr>
                <w:rFonts w:ascii="宋体"/>
                <w:sz w:val="21"/>
                <w:szCs w:val="21"/>
              </w:rPr>
            </w:pPr>
            <w:r>
              <w:rPr>
                <w:rFonts w:ascii="宋体" w:hint="eastAsia"/>
                <w:sz w:val="21"/>
                <w:szCs w:val="21"/>
              </w:rPr>
              <w:t>矛叶荩草</w:t>
            </w:r>
          </w:p>
        </w:tc>
        <w:tc>
          <w:tcPr>
            <w:tcW w:w="674" w:type="pct"/>
          </w:tcPr>
          <w:p w14:paraId="18D5EAB6"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619A0050" w14:textId="77777777" w:rsidR="007D1E74" w:rsidRDefault="00A95641">
            <w:pPr>
              <w:pStyle w:val="TableParagraph"/>
              <w:spacing w:before="26"/>
              <w:rPr>
                <w:sz w:val="21"/>
                <w:szCs w:val="21"/>
              </w:rPr>
            </w:pPr>
            <w:r>
              <w:rPr>
                <w:sz w:val="21"/>
                <w:szCs w:val="21"/>
              </w:rPr>
              <w:t>3</w:t>
            </w:r>
          </w:p>
        </w:tc>
        <w:tc>
          <w:tcPr>
            <w:tcW w:w="674" w:type="pct"/>
          </w:tcPr>
          <w:p w14:paraId="6C0ADFBE" w14:textId="77777777" w:rsidR="007D1E74" w:rsidRDefault="00A95641">
            <w:pPr>
              <w:pStyle w:val="TableParagraph"/>
              <w:spacing w:before="23"/>
              <w:ind w:left="172" w:right="172"/>
              <w:rPr>
                <w:sz w:val="21"/>
                <w:szCs w:val="21"/>
              </w:rPr>
            </w:pPr>
            <w:r>
              <w:rPr>
                <w:position w:val="2"/>
                <w:sz w:val="21"/>
                <w:szCs w:val="21"/>
              </w:rPr>
              <w:t>Cop</w:t>
            </w:r>
            <w:r>
              <w:rPr>
                <w:sz w:val="21"/>
                <w:szCs w:val="21"/>
              </w:rPr>
              <w:t>1</w:t>
            </w:r>
          </w:p>
        </w:tc>
        <w:tc>
          <w:tcPr>
            <w:tcW w:w="978" w:type="pct"/>
          </w:tcPr>
          <w:p w14:paraId="78365E54" w14:textId="77777777" w:rsidR="007D1E74" w:rsidRDefault="00A95641">
            <w:pPr>
              <w:pStyle w:val="TableParagraph"/>
              <w:spacing w:before="26"/>
              <w:ind w:left="312" w:right="312"/>
              <w:rPr>
                <w:sz w:val="21"/>
                <w:szCs w:val="21"/>
              </w:rPr>
            </w:pPr>
            <w:r>
              <w:rPr>
                <w:sz w:val="21"/>
                <w:szCs w:val="21"/>
              </w:rPr>
              <w:t>0.3</w:t>
            </w:r>
          </w:p>
        </w:tc>
        <w:tc>
          <w:tcPr>
            <w:tcW w:w="652" w:type="pct"/>
          </w:tcPr>
          <w:p w14:paraId="58CDA258" w14:textId="77777777" w:rsidR="007D1E74" w:rsidRDefault="00A95641">
            <w:pPr>
              <w:pStyle w:val="TableParagraph"/>
              <w:spacing w:before="26"/>
              <w:ind w:left="116" w:right="224"/>
              <w:rPr>
                <w:sz w:val="21"/>
                <w:szCs w:val="21"/>
              </w:rPr>
            </w:pPr>
            <w:r>
              <w:rPr>
                <w:sz w:val="21"/>
                <w:szCs w:val="21"/>
              </w:rPr>
              <w:t>15</w:t>
            </w:r>
          </w:p>
        </w:tc>
      </w:tr>
      <w:tr w:rsidR="007D1E74" w14:paraId="4F7BE3FB" w14:textId="77777777">
        <w:trPr>
          <w:trHeight w:hRule="exact" w:val="336"/>
        </w:trPr>
        <w:tc>
          <w:tcPr>
            <w:tcW w:w="440" w:type="pct"/>
          </w:tcPr>
          <w:p w14:paraId="382AD7B3" w14:textId="77777777" w:rsidR="007D1E74" w:rsidRDefault="00A95641">
            <w:pPr>
              <w:pStyle w:val="TableParagraph"/>
              <w:spacing w:before="26"/>
              <w:ind w:left="109" w:right="105"/>
              <w:rPr>
                <w:sz w:val="21"/>
                <w:szCs w:val="21"/>
              </w:rPr>
            </w:pPr>
            <w:r>
              <w:rPr>
                <w:sz w:val="21"/>
                <w:szCs w:val="21"/>
              </w:rPr>
              <w:t>10</w:t>
            </w:r>
          </w:p>
        </w:tc>
        <w:tc>
          <w:tcPr>
            <w:tcW w:w="908" w:type="pct"/>
          </w:tcPr>
          <w:p w14:paraId="5EA1CDB6" w14:textId="77777777" w:rsidR="007D1E74" w:rsidRDefault="00A95641">
            <w:pPr>
              <w:pStyle w:val="TableParagraph"/>
              <w:spacing w:line="284" w:lineRule="exact"/>
              <w:ind w:left="102"/>
              <w:rPr>
                <w:rFonts w:ascii="宋体"/>
                <w:sz w:val="21"/>
                <w:szCs w:val="21"/>
              </w:rPr>
            </w:pPr>
            <w:r>
              <w:rPr>
                <w:rFonts w:ascii="宋体" w:hint="eastAsia"/>
                <w:sz w:val="21"/>
                <w:szCs w:val="21"/>
              </w:rPr>
              <w:t>白茅</w:t>
            </w:r>
          </w:p>
        </w:tc>
        <w:tc>
          <w:tcPr>
            <w:tcW w:w="674" w:type="pct"/>
          </w:tcPr>
          <w:p w14:paraId="005D973D"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217FA3A7" w14:textId="77777777" w:rsidR="007D1E74" w:rsidRDefault="00A95641">
            <w:pPr>
              <w:pStyle w:val="TableParagraph"/>
              <w:spacing w:before="26"/>
              <w:rPr>
                <w:sz w:val="21"/>
                <w:szCs w:val="21"/>
              </w:rPr>
            </w:pPr>
            <w:r>
              <w:rPr>
                <w:sz w:val="21"/>
                <w:szCs w:val="21"/>
              </w:rPr>
              <w:t>2</w:t>
            </w:r>
          </w:p>
        </w:tc>
        <w:tc>
          <w:tcPr>
            <w:tcW w:w="674" w:type="pct"/>
          </w:tcPr>
          <w:p w14:paraId="38B602C1" w14:textId="77777777" w:rsidR="007D1E74" w:rsidRDefault="00A95641">
            <w:pPr>
              <w:pStyle w:val="TableParagraph"/>
              <w:spacing w:before="23"/>
              <w:ind w:left="172" w:right="172"/>
              <w:rPr>
                <w:sz w:val="21"/>
                <w:szCs w:val="21"/>
              </w:rPr>
            </w:pPr>
            <w:r>
              <w:rPr>
                <w:position w:val="2"/>
                <w:sz w:val="21"/>
                <w:szCs w:val="21"/>
              </w:rPr>
              <w:t>Cop</w:t>
            </w:r>
            <w:r>
              <w:rPr>
                <w:sz w:val="21"/>
                <w:szCs w:val="21"/>
              </w:rPr>
              <w:t>1</w:t>
            </w:r>
          </w:p>
        </w:tc>
        <w:tc>
          <w:tcPr>
            <w:tcW w:w="978" w:type="pct"/>
          </w:tcPr>
          <w:p w14:paraId="39947A1C" w14:textId="77777777" w:rsidR="007D1E74" w:rsidRDefault="00A95641">
            <w:pPr>
              <w:pStyle w:val="TableParagraph"/>
              <w:spacing w:before="26"/>
              <w:ind w:left="312" w:right="312"/>
              <w:rPr>
                <w:sz w:val="21"/>
                <w:szCs w:val="21"/>
              </w:rPr>
            </w:pPr>
            <w:r>
              <w:rPr>
                <w:sz w:val="21"/>
                <w:szCs w:val="21"/>
              </w:rPr>
              <w:t>0.9</w:t>
            </w:r>
          </w:p>
        </w:tc>
        <w:tc>
          <w:tcPr>
            <w:tcW w:w="652" w:type="pct"/>
          </w:tcPr>
          <w:p w14:paraId="101D4F67" w14:textId="77777777" w:rsidR="007D1E74" w:rsidRDefault="00A95641">
            <w:pPr>
              <w:pStyle w:val="TableParagraph"/>
              <w:spacing w:before="26"/>
              <w:ind w:left="116" w:right="224"/>
              <w:rPr>
                <w:sz w:val="21"/>
                <w:szCs w:val="21"/>
              </w:rPr>
            </w:pPr>
            <w:r>
              <w:rPr>
                <w:sz w:val="21"/>
                <w:szCs w:val="21"/>
              </w:rPr>
              <w:t>10</w:t>
            </w:r>
          </w:p>
        </w:tc>
      </w:tr>
      <w:tr w:rsidR="007D1E74" w14:paraId="633B436F" w14:textId="77777777">
        <w:trPr>
          <w:trHeight w:hRule="exact" w:val="336"/>
        </w:trPr>
        <w:tc>
          <w:tcPr>
            <w:tcW w:w="440" w:type="pct"/>
          </w:tcPr>
          <w:p w14:paraId="5EE5EB8C" w14:textId="77777777" w:rsidR="007D1E74" w:rsidRDefault="00A95641">
            <w:pPr>
              <w:pStyle w:val="TableParagraph"/>
              <w:spacing w:before="26"/>
              <w:ind w:left="109" w:right="105"/>
              <w:rPr>
                <w:sz w:val="21"/>
                <w:szCs w:val="21"/>
              </w:rPr>
            </w:pPr>
            <w:r>
              <w:rPr>
                <w:sz w:val="21"/>
                <w:szCs w:val="21"/>
              </w:rPr>
              <w:t>11</w:t>
            </w:r>
          </w:p>
        </w:tc>
        <w:tc>
          <w:tcPr>
            <w:tcW w:w="908" w:type="pct"/>
          </w:tcPr>
          <w:p w14:paraId="358A521F" w14:textId="77777777" w:rsidR="007D1E74" w:rsidRDefault="00A95641">
            <w:pPr>
              <w:pStyle w:val="TableParagraph"/>
              <w:spacing w:line="284" w:lineRule="exact"/>
              <w:ind w:left="102"/>
              <w:rPr>
                <w:rFonts w:ascii="宋体"/>
                <w:sz w:val="21"/>
                <w:szCs w:val="21"/>
              </w:rPr>
            </w:pPr>
            <w:r>
              <w:rPr>
                <w:rFonts w:ascii="宋体" w:hint="eastAsia"/>
                <w:sz w:val="21"/>
                <w:szCs w:val="21"/>
              </w:rPr>
              <w:t>画眉草</w:t>
            </w:r>
          </w:p>
        </w:tc>
        <w:tc>
          <w:tcPr>
            <w:tcW w:w="674" w:type="pct"/>
          </w:tcPr>
          <w:p w14:paraId="167D3732"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5CBB3B06" w14:textId="77777777" w:rsidR="007D1E74" w:rsidRDefault="00A95641">
            <w:pPr>
              <w:pStyle w:val="TableParagraph"/>
              <w:spacing w:before="26"/>
              <w:ind w:left="102" w:right="102"/>
              <w:rPr>
                <w:sz w:val="21"/>
                <w:szCs w:val="21"/>
              </w:rPr>
            </w:pPr>
            <w:r>
              <w:rPr>
                <w:sz w:val="21"/>
                <w:szCs w:val="21"/>
              </w:rPr>
              <w:t>45</w:t>
            </w:r>
          </w:p>
        </w:tc>
        <w:tc>
          <w:tcPr>
            <w:tcW w:w="674" w:type="pct"/>
          </w:tcPr>
          <w:p w14:paraId="15D4486C" w14:textId="77777777" w:rsidR="007D1E74" w:rsidRDefault="00A95641">
            <w:pPr>
              <w:pStyle w:val="TableParagraph"/>
              <w:spacing w:before="26"/>
              <w:ind w:left="173" w:right="172"/>
              <w:rPr>
                <w:sz w:val="21"/>
                <w:szCs w:val="21"/>
              </w:rPr>
            </w:pPr>
            <w:r>
              <w:rPr>
                <w:sz w:val="21"/>
                <w:szCs w:val="21"/>
              </w:rPr>
              <w:t>Sp</w:t>
            </w:r>
          </w:p>
        </w:tc>
        <w:tc>
          <w:tcPr>
            <w:tcW w:w="978" w:type="pct"/>
          </w:tcPr>
          <w:p w14:paraId="0BEB18A6" w14:textId="77777777" w:rsidR="007D1E74" w:rsidRDefault="00A95641">
            <w:pPr>
              <w:pStyle w:val="TableParagraph"/>
              <w:spacing w:before="26"/>
              <w:ind w:left="312" w:right="312"/>
              <w:rPr>
                <w:sz w:val="21"/>
                <w:szCs w:val="21"/>
              </w:rPr>
            </w:pPr>
            <w:r>
              <w:rPr>
                <w:sz w:val="21"/>
                <w:szCs w:val="21"/>
              </w:rPr>
              <w:t>0.4</w:t>
            </w:r>
          </w:p>
        </w:tc>
        <w:tc>
          <w:tcPr>
            <w:tcW w:w="652" w:type="pct"/>
          </w:tcPr>
          <w:p w14:paraId="551D61BC" w14:textId="77777777" w:rsidR="007D1E74" w:rsidRDefault="00A95641">
            <w:pPr>
              <w:pStyle w:val="TableParagraph"/>
              <w:spacing w:before="26"/>
              <w:ind w:right="108"/>
              <w:rPr>
                <w:sz w:val="21"/>
                <w:szCs w:val="21"/>
              </w:rPr>
            </w:pPr>
            <w:r>
              <w:rPr>
                <w:sz w:val="21"/>
                <w:szCs w:val="21"/>
              </w:rPr>
              <w:t>6</w:t>
            </w:r>
          </w:p>
        </w:tc>
      </w:tr>
      <w:tr w:rsidR="007D1E74" w14:paraId="1B9B36E8" w14:textId="77777777">
        <w:trPr>
          <w:trHeight w:hRule="exact" w:val="336"/>
        </w:trPr>
        <w:tc>
          <w:tcPr>
            <w:tcW w:w="440" w:type="pct"/>
          </w:tcPr>
          <w:p w14:paraId="7396E6DE" w14:textId="77777777" w:rsidR="007D1E74" w:rsidRDefault="00A95641">
            <w:pPr>
              <w:pStyle w:val="TableParagraph"/>
              <w:spacing w:before="26"/>
              <w:ind w:left="109" w:right="105"/>
              <w:rPr>
                <w:sz w:val="21"/>
                <w:szCs w:val="21"/>
              </w:rPr>
            </w:pPr>
            <w:r>
              <w:rPr>
                <w:sz w:val="21"/>
                <w:szCs w:val="21"/>
              </w:rPr>
              <w:t>12</w:t>
            </w:r>
          </w:p>
        </w:tc>
        <w:tc>
          <w:tcPr>
            <w:tcW w:w="908" w:type="pct"/>
          </w:tcPr>
          <w:p w14:paraId="7F23C1EA" w14:textId="77777777" w:rsidR="007D1E74" w:rsidRDefault="00A95641">
            <w:pPr>
              <w:pStyle w:val="TableParagraph"/>
              <w:spacing w:line="284" w:lineRule="exact"/>
              <w:ind w:left="102"/>
              <w:rPr>
                <w:rFonts w:ascii="宋体"/>
                <w:sz w:val="21"/>
                <w:szCs w:val="21"/>
              </w:rPr>
            </w:pPr>
            <w:r>
              <w:rPr>
                <w:rFonts w:ascii="宋体" w:hint="eastAsia"/>
                <w:sz w:val="21"/>
                <w:szCs w:val="21"/>
              </w:rPr>
              <w:t>蒿</w:t>
            </w:r>
          </w:p>
        </w:tc>
        <w:tc>
          <w:tcPr>
            <w:tcW w:w="674" w:type="pct"/>
          </w:tcPr>
          <w:p w14:paraId="19D3242C"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541F70B1" w14:textId="77777777" w:rsidR="007D1E74" w:rsidRDefault="00A95641">
            <w:pPr>
              <w:pStyle w:val="TableParagraph"/>
              <w:spacing w:before="26"/>
              <w:ind w:left="102" w:right="102"/>
              <w:rPr>
                <w:sz w:val="21"/>
                <w:szCs w:val="21"/>
              </w:rPr>
            </w:pPr>
            <w:r>
              <w:rPr>
                <w:sz w:val="21"/>
                <w:szCs w:val="21"/>
              </w:rPr>
              <w:t>40</w:t>
            </w:r>
          </w:p>
        </w:tc>
        <w:tc>
          <w:tcPr>
            <w:tcW w:w="674" w:type="pct"/>
          </w:tcPr>
          <w:p w14:paraId="553325CB" w14:textId="77777777" w:rsidR="007D1E74" w:rsidRDefault="00A95641">
            <w:pPr>
              <w:pStyle w:val="TableParagraph"/>
              <w:spacing w:before="26"/>
              <w:ind w:left="173" w:right="172"/>
              <w:rPr>
                <w:sz w:val="21"/>
                <w:szCs w:val="21"/>
              </w:rPr>
            </w:pPr>
            <w:r>
              <w:rPr>
                <w:sz w:val="21"/>
                <w:szCs w:val="21"/>
              </w:rPr>
              <w:t>Sp</w:t>
            </w:r>
          </w:p>
        </w:tc>
        <w:tc>
          <w:tcPr>
            <w:tcW w:w="978" w:type="pct"/>
          </w:tcPr>
          <w:p w14:paraId="263DC160" w14:textId="77777777" w:rsidR="007D1E74" w:rsidRDefault="00A95641">
            <w:pPr>
              <w:pStyle w:val="TableParagraph"/>
              <w:spacing w:before="26"/>
              <w:ind w:left="312" w:right="312"/>
              <w:rPr>
                <w:sz w:val="21"/>
                <w:szCs w:val="21"/>
              </w:rPr>
            </w:pPr>
            <w:r>
              <w:rPr>
                <w:sz w:val="21"/>
                <w:szCs w:val="21"/>
              </w:rPr>
              <w:t>0.8</w:t>
            </w:r>
          </w:p>
        </w:tc>
        <w:tc>
          <w:tcPr>
            <w:tcW w:w="652" w:type="pct"/>
          </w:tcPr>
          <w:p w14:paraId="2A30578B" w14:textId="77777777" w:rsidR="007D1E74" w:rsidRDefault="00A95641">
            <w:pPr>
              <w:pStyle w:val="TableParagraph"/>
              <w:spacing w:before="26"/>
              <w:ind w:right="108"/>
              <w:rPr>
                <w:sz w:val="21"/>
                <w:szCs w:val="21"/>
              </w:rPr>
            </w:pPr>
            <w:r>
              <w:rPr>
                <w:sz w:val="21"/>
                <w:szCs w:val="21"/>
              </w:rPr>
              <w:t>5</w:t>
            </w:r>
          </w:p>
        </w:tc>
      </w:tr>
      <w:tr w:rsidR="007D1E74" w14:paraId="3644E959" w14:textId="77777777">
        <w:trPr>
          <w:trHeight w:hRule="exact" w:val="336"/>
        </w:trPr>
        <w:tc>
          <w:tcPr>
            <w:tcW w:w="440" w:type="pct"/>
          </w:tcPr>
          <w:p w14:paraId="2C9619BB" w14:textId="77777777" w:rsidR="007D1E74" w:rsidRDefault="00A95641">
            <w:pPr>
              <w:pStyle w:val="TableParagraph"/>
              <w:spacing w:before="26"/>
              <w:ind w:left="109" w:right="105"/>
              <w:rPr>
                <w:sz w:val="21"/>
                <w:szCs w:val="21"/>
              </w:rPr>
            </w:pPr>
            <w:r>
              <w:rPr>
                <w:sz w:val="21"/>
                <w:szCs w:val="21"/>
              </w:rPr>
              <w:t>13</w:t>
            </w:r>
          </w:p>
        </w:tc>
        <w:tc>
          <w:tcPr>
            <w:tcW w:w="908" w:type="pct"/>
          </w:tcPr>
          <w:p w14:paraId="1565DE4C" w14:textId="77777777" w:rsidR="007D1E74" w:rsidRDefault="00A95641">
            <w:pPr>
              <w:pStyle w:val="TableParagraph"/>
              <w:spacing w:line="284" w:lineRule="exact"/>
              <w:ind w:left="102"/>
              <w:rPr>
                <w:rFonts w:ascii="宋体"/>
                <w:sz w:val="21"/>
                <w:szCs w:val="21"/>
              </w:rPr>
            </w:pPr>
            <w:r>
              <w:rPr>
                <w:rFonts w:ascii="宋体" w:hint="eastAsia"/>
                <w:sz w:val="21"/>
                <w:szCs w:val="21"/>
              </w:rPr>
              <w:t>蕨</w:t>
            </w:r>
          </w:p>
        </w:tc>
        <w:tc>
          <w:tcPr>
            <w:tcW w:w="674" w:type="pct"/>
          </w:tcPr>
          <w:p w14:paraId="000DC867" w14:textId="77777777" w:rsidR="007D1E74" w:rsidRDefault="00A95641">
            <w:pPr>
              <w:pStyle w:val="TableParagraph"/>
              <w:spacing w:line="284" w:lineRule="exact"/>
              <w:ind w:left="103"/>
              <w:rPr>
                <w:rFonts w:ascii="宋体"/>
                <w:sz w:val="21"/>
                <w:szCs w:val="21"/>
              </w:rPr>
            </w:pPr>
            <w:r>
              <w:rPr>
                <w:rFonts w:ascii="宋体" w:hint="eastAsia"/>
                <w:sz w:val="21"/>
                <w:szCs w:val="21"/>
              </w:rPr>
              <w:t>营养期</w:t>
            </w:r>
          </w:p>
        </w:tc>
        <w:tc>
          <w:tcPr>
            <w:tcW w:w="674" w:type="pct"/>
          </w:tcPr>
          <w:p w14:paraId="2BCDD323" w14:textId="77777777" w:rsidR="007D1E74" w:rsidRDefault="00A95641">
            <w:pPr>
              <w:pStyle w:val="TableParagraph"/>
              <w:spacing w:before="26"/>
              <w:rPr>
                <w:sz w:val="21"/>
                <w:szCs w:val="21"/>
              </w:rPr>
            </w:pPr>
            <w:r>
              <w:rPr>
                <w:sz w:val="21"/>
                <w:szCs w:val="21"/>
              </w:rPr>
              <w:t>2</w:t>
            </w:r>
          </w:p>
        </w:tc>
        <w:tc>
          <w:tcPr>
            <w:tcW w:w="674" w:type="pct"/>
          </w:tcPr>
          <w:p w14:paraId="1229B6A4" w14:textId="77777777" w:rsidR="007D1E74" w:rsidRDefault="00A95641">
            <w:pPr>
              <w:pStyle w:val="TableParagraph"/>
              <w:spacing w:before="26"/>
              <w:ind w:left="173" w:right="172"/>
              <w:rPr>
                <w:sz w:val="21"/>
                <w:szCs w:val="21"/>
              </w:rPr>
            </w:pPr>
            <w:r>
              <w:rPr>
                <w:sz w:val="21"/>
                <w:szCs w:val="21"/>
              </w:rPr>
              <w:t>Sp</w:t>
            </w:r>
          </w:p>
        </w:tc>
        <w:tc>
          <w:tcPr>
            <w:tcW w:w="978" w:type="pct"/>
          </w:tcPr>
          <w:p w14:paraId="65507948" w14:textId="77777777" w:rsidR="007D1E74" w:rsidRDefault="00A95641">
            <w:pPr>
              <w:pStyle w:val="TableParagraph"/>
              <w:spacing w:before="26"/>
              <w:ind w:left="312" w:right="312"/>
              <w:rPr>
                <w:sz w:val="21"/>
                <w:szCs w:val="21"/>
              </w:rPr>
            </w:pPr>
            <w:r>
              <w:rPr>
                <w:sz w:val="21"/>
                <w:szCs w:val="21"/>
              </w:rPr>
              <w:t>1.4</w:t>
            </w:r>
          </w:p>
        </w:tc>
        <w:tc>
          <w:tcPr>
            <w:tcW w:w="652" w:type="pct"/>
          </w:tcPr>
          <w:p w14:paraId="5B49B8D7" w14:textId="77777777" w:rsidR="007D1E74" w:rsidRDefault="00A95641">
            <w:pPr>
              <w:pStyle w:val="TableParagraph"/>
              <w:spacing w:before="26"/>
              <w:ind w:right="108"/>
              <w:rPr>
                <w:sz w:val="21"/>
                <w:szCs w:val="21"/>
              </w:rPr>
            </w:pPr>
            <w:r>
              <w:rPr>
                <w:sz w:val="21"/>
                <w:szCs w:val="21"/>
              </w:rPr>
              <w:t>5</w:t>
            </w:r>
          </w:p>
        </w:tc>
      </w:tr>
    </w:tbl>
    <w:p w14:paraId="0CB8BBA0" w14:textId="77777777" w:rsidR="007D1E74" w:rsidRDefault="007D1E74">
      <w:pPr>
        <w:spacing w:line="360" w:lineRule="auto"/>
        <w:rPr>
          <w:rFonts w:cs="Times New Roman"/>
          <w:szCs w:val="21"/>
        </w:rPr>
      </w:pPr>
    </w:p>
    <w:p w14:paraId="260296C2" w14:textId="77777777" w:rsidR="007D1E74" w:rsidRDefault="00A95641">
      <w:pPr>
        <w:rPr>
          <w:rFonts w:cs="Times New Roman"/>
          <w:szCs w:val="21"/>
        </w:rPr>
      </w:pPr>
      <w:r>
        <w:rPr>
          <w:rFonts w:cs="Times New Roman" w:hint="eastAsia"/>
          <w:szCs w:val="21"/>
        </w:rPr>
        <w:br w:type="page"/>
      </w:r>
    </w:p>
    <w:p w14:paraId="4C5E5BB4" w14:textId="77777777" w:rsidR="007D1E74" w:rsidRDefault="00A95641">
      <w:pPr>
        <w:rPr>
          <w:rFonts w:eastAsia="黑体" w:cs="Times New Roman"/>
          <w:sz w:val="26"/>
          <w:szCs w:val="26"/>
        </w:rPr>
      </w:pPr>
      <w:r>
        <w:rPr>
          <w:rFonts w:eastAsia="黑体" w:cs="Times New Roman"/>
          <w:sz w:val="26"/>
          <w:szCs w:val="26"/>
        </w:rPr>
        <w:lastRenderedPageBreak/>
        <w:t>附</w:t>
      </w:r>
      <w:r>
        <w:rPr>
          <w:rFonts w:eastAsia="黑体" w:cs="Times New Roman" w:hint="eastAsia"/>
          <w:sz w:val="26"/>
          <w:szCs w:val="26"/>
        </w:rPr>
        <w:t>表</w:t>
      </w:r>
      <w:r>
        <w:rPr>
          <w:rFonts w:eastAsia="黑体" w:cs="Times New Roman" w:hint="eastAsia"/>
          <w:sz w:val="26"/>
          <w:szCs w:val="26"/>
        </w:rPr>
        <w:t>B</w:t>
      </w:r>
      <w:r>
        <w:rPr>
          <w:rFonts w:eastAsia="黑体" w:cs="Times New Roman"/>
          <w:sz w:val="26"/>
          <w:szCs w:val="26"/>
        </w:rPr>
        <w:t xml:space="preserve"> </w:t>
      </w:r>
      <w:r>
        <w:rPr>
          <w:rFonts w:eastAsia="黑体" w:cs="Times New Roman" w:hint="eastAsia"/>
          <w:sz w:val="26"/>
          <w:szCs w:val="26"/>
        </w:rPr>
        <w:t>调查水域</w:t>
      </w:r>
      <w:r>
        <w:rPr>
          <w:rFonts w:eastAsia="黑体" w:cs="Times New Roman"/>
          <w:sz w:val="26"/>
          <w:szCs w:val="26"/>
        </w:rPr>
        <w:t>鱼类名录</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07"/>
        <w:gridCol w:w="3700"/>
        <w:gridCol w:w="851"/>
        <w:gridCol w:w="850"/>
        <w:gridCol w:w="1508"/>
      </w:tblGrid>
      <w:tr w:rsidR="007D1E74" w14:paraId="5EB3E7A6" w14:textId="77777777">
        <w:trPr>
          <w:trHeight w:val="312"/>
          <w:tblHeader/>
          <w:jc w:val="center"/>
        </w:trPr>
        <w:tc>
          <w:tcPr>
            <w:tcW w:w="2107" w:type="dxa"/>
            <w:shd w:val="clear" w:color="000000" w:fill="FFFFFF"/>
            <w:vAlign w:val="center"/>
          </w:tcPr>
          <w:p w14:paraId="5AF0F051" w14:textId="77777777" w:rsidR="007D1E74" w:rsidRDefault="00A95641">
            <w:pPr>
              <w:widowControl/>
              <w:jc w:val="center"/>
              <w:rPr>
                <w:rFonts w:cs="Times New Roman"/>
                <w:bCs/>
                <w:color w:val="000000"/>
                <w:kern w:val="0"/>
                <w:szCs w:val="21"/>
              </w:rPr>
            </w:pPr>
            <w:r>
              <w:rPr>
                <w:rFonts w:ascii="宋体" w:hAnsi="宋体" w:cs="Times New Roman" w:hint="eastAsia"/>
                <w:bCs/>
                <w:color w:val="000000"/>
                <w:kern w:val="0"/>
                <w:szCs w:val="21"/>
              </w:rPr>
              <w:t>目、科、属、种</w:t>
            </w:r>
          </w:p>
        </w:tc>
        <w:tc>
          <w:tcPr>
            <w:tcW w:w="3700" w:type="dxa"/>
            <w:shd w:val="clear" w:color="000000" w:fill="FFFFFF"/>
            <w:vAlign w:val="center"/>
          </w:tcPr>
          <w:p w14:paraId="68402ACA" w14:textId="77777777" w:rsidR="007D1E74" w:rsidRDefault="00A95641">
            <w:pPr>
              <w:widowControl/>
              <w:jc w:val="center"/>
              <w:rPr>
                <w:rFonts w:cs="Times New Roman"/>
                <w:bCs/>
                <w:color w:val="000000"/>
                <w:kern w:val="0"/>
                <w:szCs w:val="21"/>
              </w:rPr>
            </w:pPr>
            <w:r>
              <w:rPr>
                <w:rFonts w:ascii="宋体" w:hAnsi="宋体" w:cs="Times New Roman" w:hint="eastAsia"/>
                <w:bCs/>
                <w:color w:val="000000"/>
                <w:kern w:val="0"/>
                <w:szCs w:val="21"/>
              </w:rPr>
              <w:t>拉丁名</w:t>
            </w:r>
          </w:p>
        </w:tc>
        <w:tc>
          <w:tcPr>
            <w:tcW w:w="851" w:type="dxa"/>
            <w:shd w:val="clear" w:color="000000" w:fill="FFFFFF"/>
            <w:vAlign w:val="center"/>
          </w:tcPr>
          <w:p w14:paraId="00B67FA6" w14:textId="77777777" w:rsidR="007D1E74" w:rsidRDefault="00A95641">
            <w:pPr>
              <w:widowControl/>
              <w:jc w:val="center"/>
              <w:rPr>
                <w:rFonts w:ascii="宋体" w:hAnsi="宋体" w:cs="宋体"/>
                <w:bCs/>
                <w:color w:val="000000"/>
                <w:kern w:val="0"/>
                <w:szCs w:val="21"/>
              </w:rPr>
            </w:pPr>
            <w:r>
              <w:rPr>
                <w:rFonts w:ascii="宋体" w:hAnsi="宋体" w:cs="宋体" w:hint="eastAsia"/>
                <w:bCs/>
                <w:color w:val="000000"/>
                <w:kern w:val="0"/>
                <w:szCs w:val="21"/>
              </w:rPr>
              <w:t>国家级</w:t>
            </w:r>
          </w:p>
        </w:tc>
        <w:tc>
          <w:tcPr>
            <w:tcW w:w="850" w:type="dxa"/>
            <w:shd w:val="clear" w:color="000000" w:fill="FFFFFF"/>
            <w:vAlign w:val="center"/>
          </w:tcPr>
          <w:p w14:paraId="744BA4DF" w14:textId="77777777" w:rsidR="007D1E74" w:rsidRDefault="00A95641">
            <w:pPr>
              <w:widowControl/>
              <w:jc w:val="center"/>
              <w:rPr>
                <w:rFonts w:cs="Times New Roman"/>
                <w:bCs/>
                <w:color w:val="000000"/>
                <w:kern w:val="0"/>
                <w:szCs w:val="21"/>
              </w:rPr>
            </w:pPr>
            <w:r>
              <w:rPr>
                <w:rFonts w:ascii="宋体" w:hAnsi="宋体" w:cs="Times New Roman" w:hint="eastAsia"/>
                <w:bCs/>
                <w:color w:val="000000"/>
                <w:kern w:val="0"/>
                <w:szCs w:val="21"/>
              </w:rPr>
              <w:t>省级</w:t>
            </w:r>
          </w:p>
        </w:tc>
        <w:tc>
          <w:tcPr>
            <w:tcW w:w="1508" w:type="dxa"/>
            <w:shd w:val="clear" w:color="000000" w:fill="FFFFFF"/>
            <w:vAlign w:val="center"/>
          </w:tcPr>
          <w:p w14:paraId="1500E73E" w14:textId="77777777" w:rsidR="007D1E74" w:rsidRDefault="00A95641">
            <w:pPr>
              <w:widowControl/>
              <w:jc w:val="center"/>
              <w:rPr>
                <w:rFonts w:ascii="宋体" w:hAnsi="宋体" w:cs="宋体"/>
                <w:bCs/>
                <w:color w:val="000000"/>
                <w:kern w:val="0"/>
                <w:szCs w:val="21"/>
              </w:rPr>
            </w:pPr>
            <w:r>
              <w:rPr>
                <w:rFonts w:ascii="宋体" w:hAnsi="宋体" w:cs="宋体" w:hint="eastAsia"/>
                <w:bCs/>
                <w:color w:val="000000"/>
                <w:kern w:val="0"/>
                <w:szCs w:val="21"/>
              </w:rPr>
              <w:t>长江上游特有</w:t>
            </w:r>
          </w:p>
        </w:tc>
      </w:tr>
      <w:tr w:rsidR="007D1E74" w14:paraId="7E3F4676" w14:textId="77777777">
        <w:trPr>
          <w:jc w:val="center"/>
        </w:trPr>
        <w:tc>
          <w:tcPr>
            <w:tcW w:w="2107" w:type="dxa"/>
            <w:shd w:val="clear" w:color="auto" w:fill="auto"/>
            <w:noWrap/>
            <w:vAlign w:val="center"/>
          </w:tcPr>
          <w:p w14:paraId="36CAB900" w14:textId="77777777" w:rsidR="007D1E74" w:rsidRDefault="00A95641">
            <w:pPr>
              <w:widowControl/>
              <w:jc w:val="left"/>
              <w:rPr>
                <w:rFonts w:cs="Times New Roman"/>
                <w:color w:val="000000"/>
                <w:kern w:val="0"/>
                <w:szCs w:val="21"/>
              </w:rPr>
            </w:pPr>
            <w:r>
              <w:rPr>
                <w:rFonts w:cs="Times New Roman"/>
                <w:color w:val="000000"/>
                <w:kern w:val="0"/>
                <w:szCs w:val="21"/>
              </w:rPr>
              <w:t>A</w:t>
            </w:r>
            <w:r>
              <w:rPr>
                <w:rFonts w:ascii="宋体" w:hAnsi="宋体" w:cs="Times New Roman" w:hint="eastAsia"/>
                <w:color w:val="000000"/>
                <w:kern w:val="0"/>
                <w:szCs w:val="21"/>
              </w:rPr>
              <w:t>鲤形目</w:t>
            </w:r>
          </w:p>
        </w:tc>
        <w:tc>
          <w:tcPr>
            <w:tcW w:w="3700" w:type="dxa"/>
            <w:shd w:val="clear" w:color="auto" w:fill="auto"/>
            <w:noWrap/>
            <w:vAlign w:val="center"/>
          </w:tcPr>
          <w:p w14:paraId="1A280BD8"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0D5B24F4"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7CA5630D"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6FD5F5B0" w14:textId="77777777" w:rsidR="007D1E74" w:rsidRDefault="007D1E74">
            <w:pPr>
              <w:widowControl/>
              <w:jc w:val="center"/>
              <w:rPr>
                <w:rFonts w:cs="Times New Roman"/>
                <w:color w:val="000000"/>
                <w:kern w:val="0"/>
                <w:szCs w:val="21"/>
              </w:rPr>
            </w:pPr>
          </w:p>
        </w:tc>
      </w:tr>
      <w:tr w:rsidR="007D1E74" w14:paraId="4CD0A80D" w14:textId="77777777">
        <w:trPr>
          <w:jc w:val="center"/>
        </w:trPr>
        <w:tc>
          <w:tcPr>
            <w:tcW w:w="2107" w:type="dxa"/>
            <w:shd w:val="clear" w:color="auto" w:fill="auto"/>
            <w:noWrap/>
            <w:vAlign w:val="center"/>
          </w:tcPr>
          <w:p w14:paraId="5C7F21DD"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一、鳅科</w:t>
            </w:r>
          </w:p>
        </w:tc>
        <w:tc>
          <w:tcPr>
            <w:tcW w:w="3700" w:type="dxa"/>
            <w:shd w:val="clear" w:color="auto" w:fill="auto"/>
            <w:noWrap/>
            <w:vAlign w:val="center"/>
          </w:tcPr>
          <w:p w14:paraId="14430503"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6A2402E1"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028F53D3"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4F8F7036" w14:textId="77777777" w:rsidR="007D1E74" w:rsidRDefault="007D1E74">
            <w:pPr>
              <w:widowControl/>
              <w:jc w:val="center"/>
              <w:rPr>
                <w:rFonts w:cs="Times New Roman"/>
                <w:color w:val="000000"/>
                <w:kern w:val="0"/>
                <w:szCs w:val="21"/>
              </w:rPr>
            </w:pPr>
          </w:p>
        </w:tc>
      </w:tr>
      <w:tr w:rsidR="007D1E74" w14:paraId="6EEF268A" w14:textId="77777777">
        <w:trPr>
          <w:jc w:val="center"/>
        </w:trPr>
        <w:tc>
          <w:tcPr>
            <w:tcW w:w="2107" w:type="dxa"/>
            <w:shd w:val="clear" w:color="auto" w:fill="auto"/>
            <w:noWrap/>
            <w:vAlign w:val="center"/>
          </w:tcPr>
          <w:p w14:paraId="7BCBE2CB" w14:textId="77777777" w:rsidR="007D1E74" w:rsidRDefault="00A95641">
            <w:pPr>
              <w:widowControl/>
              <w:jc w:val="left"/>
              <w:rPr>
                <w:rFonts w:cs="Times New Roman"/>
                <w:color w:val="000000"/>
                <w:kern w:val="0"/>
                <w:szCs w:val="21"/>
              </w:rPr>
            </w:pPr>
            <w:r>
              <w:rPr>
                <w:rFonts w:cs="Times New Roman"/>
                <w:color w:val="000000"/>
                <w:kern w:val="0"/>
                <w:szCs w:val="21"/>
              </w:rPr>
              <w:t>1</w:t>
            </w:r>
            <w:r>
              <w:rPr>
                <w:rFonts w:ascii="宋体" w:hAnsi="宋体" w:cs="Times New Roman" w:hint="eastAsia"/>
                <w:color w:val="000000"/>
                <w:kern w:val="0"/>
                <w:szCs w:val="21"/>
              </w:rPr>
              <w:t>、薄鳅属</w:t>
            </w:r>
          </w:p>
        </w:tc>
        <w:tc>
          <w:tcPr>
            <w:tcW w:w="3700" w:type="dxa"/>
            <w:shd w:val="clear" w:color="auto" w:fill="auto"/>
            <w:noWrap/>
            <w:vAlign w:val="center"/>
          </w:tcPr>
          <w:p w14:paraId="57C89169"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447F592A"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648C68F0"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79A2A05E" w14:textId="77777777" w:rsidR="007D1E74" w:rsidRDefault="007D1E74">
            <w:pPr>
              <w:widowControl/>
              <w:jc w:val="center"/>
              <w:rPr>
                <w:rFonts w:cs="Times New Roman"/>
                <w:color w:val="000000"/>
                <w:kern w:val="0"/>
                <w:szCs w:val="21"/>
              </w:rPr>
            </w:pPr>
          </w:p>
        </w:tc>
      </w:tr>
      <w:tr w:rsidR="007D1E74" w14:paraId="432DC198" w14:textId="77777777">
        <w:trPr>
          <w:jc w:val="center"/>
        </w:trPr>
        <w:tc>
          <w:tcPr>
            <w:tcW w:w="2107" w:type="dxa"/>
            <w:shd w:val="clear" w:color="auto" w:fill="auto"/>
            <w:noWrap/>
            <w:vAlign w:val="center"/>
          </w:tcPr>
          <w:p w14:paraId="67A667A7"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1</w:t>
            </w:r>
            <w:r>
              <w:rPr>
                <w:rFonts w:ascii="宋体" w:hAnsi="宋体" w:cs="Times New Roman" w:hint="eastAsia"/>
                <w:color w:val="000000"/>
                <w:kern w:val="0"/>
                <w:szCs w:val="21"/>
              </w:rPr>
              <w:t>）长薄鳅</w:t>
            </w:r>
          </w:p>
        </w:tc>
        <w:tc>
          <w:tcPr>
            <w:tcW w:w="3700" w:type="dxa"/>
            <w:shd w:val="clear" w:color="auto" w:fill="auto"/>
            <w:noWrap/>
            <w:vAlign w:val="center"/>
          </w:tcPr>
          <w:p w14:paraId="75E364AE" w14:textId="77777777" w:rsidR="007D1E74" w:rsidRDefault="00A95641">
            <w:pPr>
              <w:widowControl/>
              <w:jc w:val="left"/>
              <w:rPr>
                <w:rFonts w:cs="Times New Roman"/>
                <w:color w:val="000000"/>
                <w:kern w:val="0"/>
                <w:szCs w:val="21"/>
              </w:rPr>
            </w:pPr>
            <w:r>
              <w:rPr>
                <w:rFonts w:cs="Times New Roman"/>
                <w:i/>
                <w:color w:val="000000"/>
                <w:kern w:val="0"/>
                <w:szCs w:val="21"/>
              </w:rPr>
              <w:t>Leptobotia elongata</w:t>
            </w:r>
            <w:r>
              <w:rPr>
                <w:rFonts w:cs="Times New Roman"/>
                <w:color w:val="000000"/>
                <w:kern w:val="0"/>
                <w:szCs w:val="21"/>
              </w:rPr>
              <w:t xml:space="preserve"> (Bleeker)</w:t>
            </w:r>
          </w:p>
        </w:tc>
        <w:tc>
          <w:tcPr>
            <w:tcW w:w="851" w:type="dxa"/>
            <w:shd w:val="clear" w:color="auto" w:fill="auto"/>
            <w:noWrap/>
            <w:vAlign w:val="center"/>
          </w:tcPr>
          <w:p w14:paraId="2F9A6072" w14:textId="77777777" w:rsidR="007D1E74" w:rsidRDefault="00A95641">
            <w:pPr>
              <w:widowControl/>
              <w:jc w:val="center"/>
              <w:rPr>
                <w:rFonts w:cs="Times New Roman"/>
                <w:color w:val="000000"/>
                <w:kern w:val="0"/>
                <w:szCs w:val="21"/>
              </w:rPr>
            </w:pPr>
            <w:r>
              <w:rPr>
                <w:rFonts w:ascii="Arial" w:hAnsi="Arial" w:cs="Arial"/>
                <w:szCs w:val="21"/>
              </w:rPr>
              <w:t>▲</w:t>
            </w:r>
          </w:p>
        </w:tc>
        <w:tc>
          <w:tcPr>
            <w:tcW w:w="850" w:type="dxa"/>
            <w:shd w:val="clear" w:color="auto" w:fill="auto"/>
            <w:noWrap/>
            <w:vAlign w:val="center"/>
          </w:tcPr>
          <w:p w14:paraId="5072CB5B"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5EF04902" w14:textId="77777777" w:rsidR="007D1E74" w:rsidRDefault="00A95641">
            <w:pPr>
              <w:widowControl/>
              <w:jc w:val="center"/>
              <w:rPr>
                <w:rFonts w:cs="Times New Roman"/>
                <w:color w:val="000000"/>
                <w:kern w:val="0"/>
                <w:szCs w:val="21"/>
              </w:rPr>
            </w:pPr>
            <w:r>
              <w:rPr>
                <w:rFonts w:ascii="宋体" w:hAnsi="宋体" w:cs="Times New Roman" w:hint="eastAsia"/>
                <w:color w:val="000000"/>
                <w:kern w:val="0"/>
                <w:szCs w:val="21"/>
              </w:rPr>
              <w:t>＊</w:t>
            </w:r>
          </w:p>
        </w:tc>
      </w:tr>
      <w:tr w:rsidR="007D1E74" w14:paraId="5ED846D1" w14:textId="77777777">
        <w:trPr>
          <w:jc w:val="center"/>
        </w:trPr>
        <w:tc>
          <w:tcPr>
            <w:tcW w:w="2107" w:type="dxa"/>
            <w:shd w:val="clear" w:color="auto" w:fill="auto"/>
            <w:noWrap/>
            <w:vAlign w:val="center"/>
          </w:tcPr>
          <w:p w14:paraId="4D68C553" w14:textId="77777777" w:rsidR="007D1E74" w:rsidRDefault="00A95641">
            <w:pPr>
              <w:widowControl/>
              <w:jc w:val="left"/>
              <w:rPr>
                <w:rFonts w:cs="Times New Roman"/>
                <w:color w:val="000000"/>
                <w:kern w:val="0"/>
                <w:szCs w:val="21"/>
              </w:rPr>
            </w:pPr>
            <w:r>
              <w:rPr>
                <w:rFonts w:cs="Times New Roman"/>
                <w:color w:val="000000"/>
                <w:kern w:val="0"/>
                <w:szCs w:val="21"/>
              </w:rPr>
              <w:t>2</w:t>
            </w:r>
            <w:r>
              <w:rPr>
                <w:rFonts w:ascii="宋体" w:hAnsi="宋体" w:cs="Times New Roman" w:hint="eastAsia"/>
                <w:color w:val="000000"/>
                <w:kern w:val="0"/>
                <w:szCs w:val="21"/>
              </w:rPr>
              <w:t>、沙鳅属</w:t>
            </w:r>
          </w:p>
        </w:tc>
        <w:tc>
          <w:tcPr>
            <w:tcW w:w="3700" w:type="dxa"/>
            <w:shd w:val="clear" w:color="auto" w:fill="auto"/>
            <w:noWrap/>
            <w:vAlign w:val="center"/>
          </w:tcPr>
          <w:p w14:paraId="4766EA94"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5241F90B"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47FC0D90"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2BA11CBD" w14:textId="77777777" w:rsidR="007D1E74" w:rsidRDefault="007D1E74">
            <w:pPr>
              <w:widowControl/>
              <w:jc w:val="center"/>
              <w:rPr>
                <w:rFonts w:cs="Times New Roman"/>
                <w:color w:val="000000"/>
                <w:kern w:val="0"/>
                <w:szCs w:val="21"/>
              </w:rPr>
            </w:pPr>
          </w:p>
        </w:tc>
      </w:tr>
      <w:tr w:rsidR="007D1E74" w14:paraId="3A3A884B" w14:textId="77777777">
        <w:trPr>
          <w:jc w:val="center"/>
        </w:trPr>
        <w:tc>
          <w:tcPr>
            <w:tcW w:w="2107" w:type="dxa"/>
            <w:shd w:val="clear" w:color="auto" w:fill="auto"/>
            <w:noWrap/>
            <w:vAlign w:val="center"/>
          </w:tcPr>
          <w:p w14:paraId="2A2196B2"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2</w:t>
            </w:r>
            <w:r>
              <w:rPr>
                <w:rFonts w:ascii="宋体" w:hAnsi="宋体" w:cs="Times New Roman" w:hint="eastAsia"/>
                <w:color w:val="000000"/>
                <w:kern w:val="0"/>
                <w:szCs w:val="21"/>
              </w:rPr>
              <w:t>）中华沙鳅</w:t>
            </w:r>
          </w:p>
        </w:tc>
        <w:tc>
          <w:tcPr>
            <w:tcW w:w="3700" w:type="dxa"/>
            <w:shd w:val="clear" w:color="auto" w:fill="auto"/>
            <w:noWrap/>
            <w:vAlign w:val="center"/>
          </w:tcPr>
          <w:p w14:paraId="659EEB2D" w14:textId="77777777" w:rsidR="007D1E74" w:rsidRDefault="00A95641">
            <w:pPr>
              <w:widowControl/>
              <w:jc w:val="left"/>
              <w:rPr>
                <w:rFonts w:cs="Times New Roman"/>
                <w:color w:val="000000"/>
                <w:kern w:val="0"/>
                <w:szCs w:val="21"/>
              </w:rPr>
            </w:pPr>
            <w:r>
              <w:rPr>
                <w:rFonts w:cs="Times New Roman"/>
                <w:i/>
                <w:color w:val="000000"/>
                <w:kern w:val="0"/>
                <w:szCs w:val="21"/>
              </w:rPr>
              <w:t>Botia superciliaris</w:t>
            </w:r>
            <w:r>
              <w:rPr>
                <w:rFonts w:cs="Times New Roman"/>
                <w:color w:val="000000"/>
                <w:kern w:val="0"/>
                <w:szCs w:val="21"/>
              </w:rPr>
              <w:t xml:space="preserve"> (Günther)</w:t>
            </w:r>
          </w:p>
        </w:tc>
        <w:tc>
          <w:tcPr>
            <w:tcW w:w="851" w:type="dxa"/>
            <w:shd w:val="clear" w:color="auto" w:fill="auto"/>
            <w:noWrap/>
            <w:vAlign w:val="center"/>
          </w:tcPr>
          <w:p w14:paraId="1CB10640"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4E49841D"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755E3595" w14:textId="77777777" w:rsidR="007D1E74" w:rsidRDefault="007D1E74">
            <w:pPr>
              <w:widowControl/>
              <w:jc w:val="center"/>
              <w:rPr>
                <w:rFonts w:cs="Times New Roman"/>
                <w:color w:val="000000"/>
                <w:kern w:val="0"/>
                <w:szCs w:val="21"/>
              </w:rPr>
            </w:pPr>
          </w:p>
        </w:tc>
      </w:tr>
      <w:tr w:rsidR="007D1E74" w14:paraId="549E9F56" w14:textId="77777777">
        <w:trPr>
          <w:jc w:val="center"/>
        </w:trPr>
        <w:tc>
          <w:tcPr>
            <w:tcW w:w="2107" w:type="dxa"/>
            <w:shd w:val="clear" w:color="auto" w:fill="auto"/>
            <w:noWrap/>
            <w:vAlign w:val="center"/>
          </w:tcPr>
          <w:p w14:paraId="728B8620" w14:textId="77777777" w:rsidR="007D1E74" w:rsidRDefault="00A95641">
            <w:pPr>
              <w:widowControl/>
              <w:jc w:val="left"/>
              <w:rPr>
                <w:rFonts w:cs="Times New Roman"/>
                <w:color w:val="000000"/>
                <w:kern w:val="0"/>
                <w:szCs w:val="21"/>
              </w:rPr>
            </w:pPr>
            <w:r>
              <w:rPr>
                <w:rFonts w:cs="Times New Roman"/>
                <w:color w:val="000000"/>
                <w:kern w:val="0"/>
                <w:szCs w:val="21"/>
              </w:rPr>
              <w:t>3</w:t>
            </w:r>
            <w:r>
              <w:rPr>
                <w:rFonts w:ascii="宋体" w:hAnsi="宋体" w:cs="Times New Roman" w:hint="eastAsia"/>
                <w:color w:val="000000"/>
                <w:kern w:val="0"/>
                <w:szCs w:val="21"/>
              </w:rPr>
              <w:t>、副沙鳅属</w:t>
            </w:r>
          </w:p>
        </w:tc>
        <w:tc>
          <w:tcPr>
            <w:tcW w:w="3700" w:type="dxa"/>
            <w:shd w:val="clear" w:color="auto" w:fill="auto"/>
            <w:noWrap/>
            <w:vAlign w:val="center"/>
          </w:tcPr>
          <w:p w14:paraId="6DA57481"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7F7374DE"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0B575A2B"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312ADE4B" w14:textId="77777777" w:rsidR="007D1E74" w:rsidRDefault="007D1E74">
            <w:pPr>
              <w:widowControl/>
              <w:jc w:val="center"/>
              <w:rPr>
                <w:rFonts w:cs="Times New Roman"/>
                <w:color w:val="000000"/>
                <w:kern w:val="0"/>
                <w:szCs w:val="21"/>
              </w:rPr>
            </w:pPr>
          </w:p>
        </w:tc>
      </w:tr>
      <w:tr w:rsidR="007D1E74" w14:paraId="3C7BCBF7" w14:textId="77777777">
        <w:trPr>
          <w:jc w:val="center"/>
        </w:trPr>
        <w:tc>
          <w:tcPr>
            <w:tcW w:w="2107" w:type="dxa"/>
            <w:shd w:val="clear" w:color="auto" w:fill="auto"/>
            <w:noWrap/>
            <w:vAlign w:val="center"/>
          </w:tcPr>
          <w:p w14:paraId="64539A01"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3</w:t>
            </w:r>
            <w:r>
              <w:rPr>
                <w:rFonts w:ascii="宋体" w:hAnsi="宋体" w:cs="Times New Roman" w:hint="eastAsia"/>
                <w:color w:val="000000"/>
                <w:kern w:val="0"/>
                <w:szCs w:val="21"/>
              </w:rPr>
              <w:t>）双斑副沙鳅</w:t>
            </w:r>
          </w:p>
        </w:tc>
        <w:tc>
          <w:tcPr>
            <w:tcW w:w="3700" w:type="dxa"/>
            <w:shd w:val="clear" w:color="auto" w:fill="auto"/>
            <w:noWrap/>
            <w:vAlign w:val="center"/>
          </w:tcPr>
          <w:p w14:paraId="76480A8D" w14:textId="77777777" w:rsidR="007D1E74" w:rsidRDefault="00A95641">
            <w:pPr>
              <w:widowControl/>
              <w:jc w:val="left"/>
              <w:rPr>
                <w:rFonts w:cs="Times New Roman"/>
                <w:color w:val="000000"/>
                <w:kern w:val="0"/>
                <w:szCs w:val="21"/>
              </w:rPr>
            </w:pPr>
            <w:r>
              <w:rPr>
                <w:rFonts w:cs="Times New Roman"/>
                <w:i/>
                <w:color w:val="000000"/>
                <w:kern w:val="0"/>
                <w:szCs w:val="21"/>
              </w:rPr>
              <w:t xml:space="preserve">Parabotia bimaculata </w:t>
            </w:r>
            <w:r>
              <w:rPr>
                <w:rFonts w:cs="Times New Roman"/>
                <w:color w:val="000000"/>
                <w:kern w:val="0"/>
                <w:szCs w:val="21"/>
              </w:rPr>
              <w:t>Chen</w:t>
            </w:r>
          </w:p>
        </w:tc>
        <w:tc>
          <w:tcPr>
            <w:tcW w:w="851" w:type="dxa"/>
            <w:shd w:val="clear" w:color="auto" w:fill="auto"/>
            <w:noWrap/>
            <w:vAlign w:val="center"/>
          </w:tcPr>
          <w:p w14:paraId="44C9BC88"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0A528A3F"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1B8E4863" w14:textId="77777777" w:rsidR="007D1E74" w:rsidRDefault="00A95641">
            <w:pPr>
              <w:widowControl/>
              <w:jc w:val="center"/>
              <w:rPr>
                <w:rFonts w:cs="Times New Roman"/>
                <w:color w:val="000000"/>
                <w:kern w:val="0"/>
                <w:szCs w:val="21"/>
              </w:rPr>
            </w:pPr>
            <w:r>
              <w:rPr>
                <w:rFonts w:ascii="宋体" w:hAnsi="宋体" w:cs="Times New Roman" w:hint="eastAsia"/>
                <w:color w:val="000000"/>
                <w:kern w:val="0"/>
                <w:szCs w:val="21"/>
              </w:rPr>
              <w:t>＊</w:t>
            </w:r>
          </w:p>
        </w:tc>
      </w:tr>
      <w:tr w:rsidR="007D1E74" w14:paraId="05C6333D" w14:textId="77777777">
        <w:trPr>
          <w:jc w:val="center"/>
        </w:trPr>
        <w:tc>
          <w:tcPr>
            <w:tcW w:w="2107" w:type="dxa"/>
            <w:shd w:val="clear" w:color="auto" w:fill="auto"/>
            <w:noWrap/>
            <w:vAlign w:val="center"/>
          </w:tcPr>
          <w:p w14:paraId="744C9FF0" w14:textId="77777777" w:rsidR="007D1E74" w:rsidRDefault="00A95641">
            <w:pPr>
              <w:widowControl/>
              <w:jc w:val="left"/>
              <w:rPr>
                <w:rFonts w:cs="Times New Roman"/>
                <w:color w:val="000000"/>
                <w:kern w:val="0"/>
                <w:szCs w:val="21"/>
              </w:rPr>
            </w:pPr>
            <w:r>
              <w:rPr>
                <w:rFonts w:cs="Times New Roman"/>
                <w:color w:val="000000"/>
                <w:kern w:val="0"/>
                <w:szCs w:val="21"/>
              </w:rPr>
              <w:t>4</w:t>
            </w:r>
            <w:r>
              <w:rPr>
                <w:rFonts w:ascii="宋体" w:hAnsi="宋体" w:cs="Times New Roman" w:hint="eastAsia"/>
                <w:color w:val="000000"/>
                <w:kern w:val="0"/>
                <w:szCs w:val="21"/>
              </w:rPr>
              <w:t>、花鳅属</w:t>
            </w:r>
          </w:p>
        </w:tc>
        <w:tc>
          <w:tcPr>
            <w:tcW w:w="3700" w:type="dxa"/>
            <w:shd w:val="clear" w:color="auto" w:fill="auto"/>
            <w:noWrap/>
            <w:vAlign w:val="center"/>
          </w:tcPr>
          <w:p w14:paraId="3AA0B8E4"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42E1E2A9"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6EC15372"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09AB2564" w14:textId="77777777" w:rsidR="007D1E74" w:rsidRDefault="007D1E74">
            <w:pPr>
              <w:widowControl/>
              <w:jc w:val="center"/>
              <w:rPr>
                <w:rFonts w:cs="Times New Roman"/>
                <w:color w:val="000000"/>
                <w:kern w:val="0"/>
                <w:szCs w:val="21"/>
              </w:rPr>
            </w:pPr>
          </w:p>
        </w:tc>
      </w:tr>
      <w:tr w:rsidR="007D1E74" w14:paraId="2FCA425C" w14:textId="77777777">
        <w:trPr>
          <w:jc w:val="center"/>
        </w:trPr>
        <w:tc>
          <w:tcPr>
            <w:tcW w:w="2107" w:type="dxa"/>
            <w:shd w:val="clear" w:color="auto" w:fill="auto"/>
            <w:noWrap/>
            <w:vAlign w:val="center"/>
          </w:tcPr>
          <w:p w14:paraId="1FA870B2"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4</w:t>
            </w:r>
            <w:r>
              <w:rPr>
                <w:rFonts w:ascii="宋体" w:hAnsi="宋体" w:cs="Times New Roman" w:hint="eastAsia"/>
                <w:color w:val="000000"/>
                <w:kern w:val="0"/>
                <w:szCs w:val="21"/>
              </w:rPr>
              <w:t>）中华花鳅</w:t>
            </w:r>
          </w:p>
        </w:tc>
        <w:tc>
          <w:tcPr>
            <w:tcW w:w="3700" w:type="dxa"/>
            <w:shd w:val="clear" w:color="auto" w:fill="auto"/>
            <w:noWrap/>
            <w:vAlign w:val="center"/>
          </w:tcPr>
          <w:p w14:paraId="1BF825B9" w14:textId="77777777" w:rsidR="007D1E74" w:rsidRDefault="00A95641">
            <w:pPr>
              <w:widowControl/>
              <w:jc w:val="left"/>
              <w:rPr>
                <w:rFonts w:cs="Times New Roman"/>
                <w:color w:val="000000"/>
                <w:kern w:val="0"/>
                <w:szCs w:val="21"/>
              </w:rPr>
            </w:pPr>
            <w:r>
              <w:rPr>
                <w:rFonts w:cs="Times New Roman"/>
                <w:i/>
                <w:color w:val="000000"/>
                <w:kern w:val="0"/>
                <w:szCs w:val="21"/>
              </w:rPr>
              <w:t xml:space="preserve">Cobitis sinensis Sauvage </w:t>
            </w:r>
            <w:r>
              <w:rPr>
                <w:rFonts w:cs="Times New Roman"/>
                <w:color w:val="000000"/>
                <w:kern w:val="0"/>
                <w:szCs w:val="21"/>
              </w:rPr>
              <w:t>et Dabry</w:t>
            </w:r>
          </w:p>
        </w:tc>
        <w:tc>
          <w:tcPr>
            <w:tcW w:w="851" w:type="dxa"/>
            <w:shd w:val="clear" w:color="auto" w:fill="auto"/>
            <w:noWrap/>
            <w:vAlign w:val="center"/>
          </w:tcPr>
          <w:p w14:paraId="19CBE182"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3D96EDA7"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6227E6B3" w14:textId="77777777" w:rsidR="007D1E74" w:rsidRDefault="007D1E74">
            <w:pPr>
              <w:widowControl/>
              <w:jc w:val="center"/>
              <w:rPr>
                <w:rFonts w:cs="Times New Roman"/>
                <w:color w:val="000000"/>
                <w:kern w:val="0"/>
                <w:szCs w:val="21"/>
              </w:rPr>
            </w:pPr>
          </w:p>
        </w:tc>
      </w:tr>
      <w:tr w:rsidR="007D1E74" w14:paraId="296DD156" w14:textId="77777777">
        <w:trPr>
          <w:jc w:val="center"/>
        </w:trPr>
        <w:tc>
          <w:tcPr>
            <w:tcW w:w="2107" w:type="dxa"/>
            <w:shd w:val="clear" w:color="auto" w:fill="auto"/>
            <w:noWrap/>
            <w:vAlign w:val="center"/>
          </w:tcPr>
          <w:p w14:paraId="7D609B62" w14:textId="77777777" w:rsidR="007D1E74" w:rsidRDefault="00A95641">
            <w:pPr>
              <w:widowControl/>
              <w:jc w:val="left"/>
              <w:rPr>
                <w:rFonts w:cs="Times New Roman"/>
                <w:color w:val="000000"/>
                <w:kern w:val="0"/>
                <w:szCs w:val="21"/>
              </w:rPr>
            </w:pPr>
            <w:r>
              <w:rPr>
                <w:rFonts w:cs="Times New Roman"/>
                <w:color w:val="000000"/>
                <w:kern w:val="0"/>
                <w:szCs w:val="21"/>
              </w:rPr>
              <w:t>5</w:t>
            </w:r>
            <w:r>
              <w:rPr>
                <w:rFonts w:ascii="宋体" w:hAnsi="宋体" w:cs="Times New Roman" w:hint="eastAsia"/>
                <w:color w:val="000000"/>
                <w:kern w:val="0"/>
                <w:szCs w:val="21"/>
              </w:rPr>
              <w:t>、泥鳅属</w:t>
            </w:r>
          </w:p>
        </w:tc>
        <w:tc>
          <w:tcPr>
            <w:tcW w:w="3700" w:type="dxa"/>
            <w:shd w:val="clear" w:color="auto" w:fill="auto"/>
            <w:noWrap/>
            <w:vAlign w:val="center"/>
          </w:tcPr>
          <w:p w14:paraId="7E36083E"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79E72649"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33B4B0C9"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35EEE902" w14:textId="77777777" w:rsidR="007D1E74" w:rsidRDefault="007D1E74">
            <w:pPr>
              <w:widowControl/>
              <w:jc w:val="center"/>
              <w:rPr>
                <w:rFonts w:cs="Times New Roman"/>
                <w:color w:val="000000"/>
                <w:kern w:val="0"/>
                <w:szCs w:val="21"/>
              </w:rPr>
            </w:pPr>
          </w:p>
        </w:tc>
      </w:tr>
      <w:tr w:rsidR="007D1E74" w14:paraId="4722E585" w14:textId="77777777">
        <w:trPr>
          <w:jc w:val="center"/>
        </w:trPr>
        <w:tc>
          <w:tcPr>
            <w:tcW w:w="2107" w:type="dxa"/>
            <w:shd w:val="clear" w:color="auto" w:fill="auto"/>
            <w:noWrap/>
            <w:vAlign w:val="center"/>
          </w:tcPr>
          <w:p w14:paraId="7504A163"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5</w:t>
            </w:r>
            <w:r>
              <w:rPr>
                <w:rFonts w:ascii="宋体" w:hAnsi="宋体" w:cs="Times New Roman" w:hint="eastAsia"/>
                <w:color w:val="000000"/>
                <w:kern w:val="0"/>
                <w:szCs w:val="21"/>
              </w:rPr>
              <w:t>）泥鳅</w:t>
            </w:r>
          </w:p>
        </w:tc>
        <w:tc>
          <w:tcPr>
            <w:tcW w:w="3700" w:type="dxa"/>
            <w:shd w:val="clear" w:color="auto" w:fill="auto"/>
            <w:noWrap/>
            <w:vAlign w:val="center"/>
          </w:tcPr>
          <w:p w14:paraId="4DB0484D" w14:textId="77777777" w:rsidR="007D1E74" w:rsidRDefault="00A95641">
            <w:pPr>
              <w:widowControl/>
              <w:jc w:val="left"/>
              <w:rPr>
                <w:rFonts w:cs="Times New Roman"/>
                <w:color w:val="000000"/>
                <w:kern w:val="0"/>
                <w:szCs w:val="21"/>
              </w:rPr>
            </w:pPr>
            <w:r>
              <w:rPr>
                <w:rFonts w:cs="Times New Roman"/>
                <w:i/>
                <w:color w:val="000000"/>
                <w:kern w:val="0"/>
                <w:szCs w:val="21"/>
              </w:rPr>
              <w:t xml:space="preserve">Misgurnus anguillicaudatus </w:t>
            </w:r>
            <w:r>
              <w:rPr>
                <w:rFonts w:cs="Times New Roman"/>
                <w:color w:val="000000"/>
                <w:kern w:val="0"/>
                <w:szCs w:val="21"/>
              </w:rPr>
              <w:t>(Cantor)</w:t>
            </w:r>
          </w:p>
        </w:tc>
        <w:tc>
          <w:tcPr>
            <w:tcW w:w="851" w:type="dxa"/>
            <w:shd w:val="clear" w:color="auto" w:fill="auto"/>
            <w:noWrap/>
            <w:vAlign w:val="center"/>
          </w:tcPr>
          <w:p w14:paraId="7ED29D31"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70E55E3A"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2A5CD9F9" w14:textId="77777777" w:rsidR="007D1E74" w:rsidRDefault="007D1E74">
            <w:pPr>
              <w:widowControl/>
              <w:jc w:val="center"/>
              <w:rPr>
                <w:rFonts w:cs="Times New Roman"/>
                <w:color w:val="000000"/>
                <w:kern w:val="0"/>
                <w:szCs w:val="21"/>
              </w:rPr>
            </w:pPr>
          </w:p>
        </w:tc>
      </w:tr>
      <w:tr w:rsidR="007D1E74" w14:paraId="5C458188" w14:textId="77777777">
        <w:trPr>
          <w:jc w:val="center"/>
        </w:trPr>
        <w:tc>
          <w:tcPr>
            <w:tcW w:w="2107" w:type="dxa"/>
            <w:shd w:val="clear" w:color="auto" w:fill="auto"/>
            <w:noWrap/>
            <w:vAlign w:val="center"/>
          </w:tcPr>
          <w:p w14:paraId="20CC04C6" w14:textId="77777777" w:rsidR="007D1E74" w:rsidRDefault="00A95641">
            <w:pPr>
              <w:widowControl/>
              <w:jc w:val="left"/>
              <w:rPr>
                <w:rFonts w:cs="Times New Roman"/>
                <w:color w:val="000000"/>
                <w:kern w:val="0"/>
                <w:szCs w:val="21"/>
              </w:rPr>
            </w:pPr>
            <w:r>
              <w:rPr>
                <w:rFonts w:cs="Times New Roman"/>
                <w:color w:val="000000"/>
                <w:kern w:val="0"/>
                <w:szCs w:val="21"/>
              </w:rPr>
              <w:t>6</w:t>
            </w:r>
            <w:r>
              <w:rPr>
                <w:rFonts w:ascii="宋体" w:hAnsi="宋体" w:cs="Times New Roman" w:hint="eastAsia"/>
                <w:color w:val="000000"/>
                <w:kern w:val="0"/>
                <w:szCs w:val="21"/>
              </w:rPr>
              <w:t>、副鳅属</w:t>
            </w:r>
          </w:p>
        </w:tc>
        <w:tc>
          <w:tcPr>
            <w:tcW w:w="3700" w:type="dxa"/>
            <w:shd w:val="clear" w:color="auto" w:fill="auto"/>
            <w:noWrap/>
            <w:vAlign w:val="center"/>
          </w:tcPr>
          <w:p w14:paraId="4DDFD128"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1E67D256"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0FFCE8D0"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747C368C" w14:textId="77777777" w:rsidR="007D1E74" w:rsidRDefault="007D1E74">
            <w:pPr>
              <w:widowControl/>
              <w:jc w:val="center"/>
              <w:rPr>
                <w:rFonts w:cs="Times New Roman"/>
                <w:color w:val="000000"/>
                <w:kern w:val="0"/>
                <w:szCs w:val="21"/>
              </w:rPr>
            </w:pPr>
          </w:p>
        </w:tc>
      </w:tr>
      <w:tr w:rsidR="007D1E74" w14:paraId="3F84F71C" w14:textId="77777777">
        <w:trPr>
          <w:jc w:val="center"/>
        </w:trPr>
        <w:tc>
          <w:tcPr>
            <w:tcW w:w="2107" w:type="dxa"/>
            <w:shd w:val="clear" w:color="auto" w:fill="auto"/>
            <w:noWrap/>
            <w:vAlign w:val="center"/>
          </w:tcPr>
          <w:p w14:paraId="7187352A"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6</w:t>
            </w:r>
            <w:r>
              <w:rPr>
                <w:rFonts w:ascii="宋体" w:hAnsi="宋体" w:cs="Times New Roman" w:hint="eastAsia"/>
                <w:color w:val="000000"/>
                <w:kern w:val="0"/>
                <w:szCs w:val="21"/>
              </w:rPr>
              <w:t>）红尾副鳅</w:t>
            </w:r>
          </w:p>
        </w:tc>
        <w:tc>
          <w:tcPr>
            <w:tcW w:w="3700" w:type="dxa"/>
            <w:shd w:val="clear" w:color="auto" w:fill="auto"/>
            <w:noWrap/>
            <w:vAlign w:val="center"/>
          </w:tcPr>
          <w:p w14:paraId="6B0F88A3" w14:textId="77777777" w:rsidR="007D1E74" w:rsidRDefault="00A95641">
            <w:pPr>
              <w:widowControl/>
              <w:jc w:val="left"/>
              <w:rPr>
                <w:rFonts w:cs="Times New Roman"/>
                <w:color w:val="000000"/>
                <w:kern w:val="0"/>
                <w:szCs w:val="21"/>
              </w:rPr>
            </w:pPr>
            <w:r>
              <w:rPr>
                <w:rFonts w:cs="Times New Roman"/>
                <w:i/>
                <w:color w:val="000000"/>
                <w:kern w:val="0"/>
                <w:szCs w:val="21"/>
              </w:rPr>
              <w:t>Paracobitis variegatus</w:t>
            </w:r>
            <w:r>
              <w:rPr>
                <w:rFonts w:cs="Times New Roman"/>
                <w:color w:val="000000"/>
                <w:kern w:val="0"/>
                <w:szCs w:val="21"/>
              </w:rPr>
              <w:t xml:space="preserve"> (Dabry de Thiersant)</w:t>
            </w:r>
          </w:p>
        </w:tc>
        <w:tc>
          <w:tcPr>
            <w:tcW w:w="851" w:type="dxa"/>
            <w:shd w:val="clear" w:color="auto" w:fill="auto"/>
            <w:noWrap/>
            <w:vAlign w:val="center"/>
          </w:tcPr>
          <w:p w14:paraId="4DF9C322"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01BFDB2D"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38480F6F" w14:textId="77777777" w:rsidR="007D1E74" w:rsidRDefault="007D1E74">
            <w:pPr>
              <w:widowControl/>
              <w:jc w:val="center"/>
              <w:rPr>
                <w:rFonts w:cs="Times New Roman"/>
                <w:color w:val="000000"/>
                <w:kern w:val="0"/>
                <w:szCs w:val="21"/>
              </w:rPr>
            </w:pPr>
          </w:p>
        </w:tc>
      </w:tr>
      <w:tr w:rsidR="007D1E74" w14:paraId="6AC4F066" w14:textId="77777777">
        <w:trPr>
          <w:jc w:val="center"/>
        </w:trPr>
        <w:tc>
          <w:tcPr>
            <w:tcW w:w="2107" w:type="dxa"/>
            <w:shd w:val="clear" w:color="auto" w:fill="auto"/>
            <w:noWrap/>
            <w:vAlign w:val="center"/>
          </w:tcPr>
          <w:p w14:paraId="6B08B939"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7</w:t>
            </w:r>
            <w:r>
              <w:rPr>
                <w:rFonts w:ascii="宋体" w:hAnsi="宋体" w:cs="Times New Roman" w:hint="eastAsia"/>
                <w:color w:val="000000"/>
                <w:kern w:val="0"/>
                <w:szCs w:val="21"/>
              </w:rPr>
              <w:t>）短体副鳅</w:t>
            </w:r>
          </w:p>
        </w:tc>
        <w:tc>
          <w:tcPr>
            <w:tcW w:w="3700" w:type="dxa"/>
            <w:shd w:val="clear" w:color="auto" w:fill="auto"/>
            <w:noWrap/>
            <w:vAlign w:val="center"/>
          </w:tcPr>
          <w:p w14:paraId="48B6A78F" w14:textId="77777777" w:rsidR="007D1E74" w:rsidRDefault="00A95641">
            <w:pPr>
              <w:widowControl/>
              <w:jc w:val="left"/>
              <w:rPr>
                <w:rFonts w:cs="Times New Roman"/>
                <w:i/>
                <w:iCs/>
                <w:color w:val="000000"/>
                <w:kern w:val="0"/>
                <w:szCs w:val="21"/>
              </w:rPr>
            </w:pPr>
            <w:r>
              <w:rPr>
                <w:rFonts w:cs="Times New Roman"/>
                <w:i/>
                <w:iCs/>
                <w:color w:val="000000"/>
                <w:kern w:val="0"/>
                <w:szCs w:val="21"/>
              </w:rPr>
              <w:t xml:space="preserve">Paracobitis potanini </w:t>
            </w:r>
            <w:r>
              <w:rPr>
                <w:rFonts w:cs="Times New Roman"/>
                <w:color w:val="000000"/>
                <w:kern w:val="0"/>
                <w:szCs w:val="21"/>
              </w:rPr>
              <w:t>(Günther)</w:t>
            </w:r>
          </w:p>
        </w:tc>
        <w:tc>
          <w:tcPr>
            <w:tcW w:w="851" w:type="dxa"/>
            <w:shd w:val="clear" w:color="auto" w:fill="auto"/>
            <w:noWrap/>
            <w:vAlign w:val="center"/>
          </w:tcPr>
          <w:p w14:paraId="2246E980"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15789118"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4D630508" w14:textId="77777777" w:rsidR="007D1E74" w:rsidRDefault="00A95641">
            <w:pPr>
              <w:widowControl/>
              <w:jc w:val="center"/>
              <w:rPr>
                <w:rFonts w:cs="Times New Roman"/>
                <w:color w:val="000000"/>
                <w:kern w:val="0"/>
                <w:szCs w:val="21"/>
              </w:rPr>
            </w:pPr>
            <w:r>
              <w:rPr>
                <w:rFonts w:ascii="宋体" w:hAnsi="宋体" w:cs="Times New Roman" w:hint="eastAsia"/>
                <w:color w:val="000000"/>
                <w:kern w:val="0"/>
                <w:szCs w:val="21"/>
              </w:rPr>
              <w:t>＊</w:t>
            </w:r>
          </w:p>
        </w:tc>
      </w:tr>
      <w:tr w:rsidR="007D1E74" w14:paraId="0FCF7183" w14:textId="77777777">
        <w:trPr>
          <w:jc w:val="center"/>
        </w:trPr>
        <w:tc>
          <w:tcPr>
            <w:tcW w:w="2107" w:type="dxa"/>
            <w:shd w:val="clear" w:color="auto" w:fill="auto"/>
            <w:noWrap/>
            <w:vAlign w:val="center"/>
          </w:tcPr>
          <w:p w14:paraId="204779DC" w14:textId="77777777" w:rsidR="007D1E74" w:rsidRDefault="00A95641">
            <w:pPr>
              <w:widowControl/>
              <w:jc w:val="left"/>
              <w:rPr>
                <w:rFonts w:cs="Times New Roman"/>
                <w:color w:val="000000"/>
                <w:kern w:val="0"/>
                <w:szCs w:val="21"/>
              </w:rPr>
            </w:pPr>
            <w:r>
              <w:rPr>
                <w:rFonts w:cs="Times New Roman"/>
                <w:color w:val="000000"/>
                <w:kern w:val="0"/>
                <w:szCs w:val="21"/>
              </w:rPr>
              <w:t>7</w:t>
            </w:r>
            <w:r>
              <w:rPr>
                <w:rFonts w:ascii="宋体" w:hAnsi="宋体" w:cs="Times New Roman" w:hint="eastAsia"/>
                <w:color w:val="000000"/>
                <w:kern w:val="0"/>
                <w:szCs w:val="21"/>
              </w:rPr>
              <w:t>、高原鳅属</w:t>
            </w:r>
          </w:p>
        </w:tc>
        <w:tc>
          <w:tcPr>
            <w:tcW w:w="3700" w:type="dxa"/>
            <w:shd w:val="clear" w:color="auto" w:fill="auto"/>
            <w:noWrap/>
            <w:vAlign w:val="center"/>
          </w:tcPr>
          <w:p w14:paraId="711AA9B0"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26ECAAB1"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605D158D"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6E10A679" w14:textId="77777777" w:rsidR="007D1E74" w:rsidRDefault="007D1E74">
            <w:pPr>
              <w:widowControl/>
              <w:jc w:val="center"/>
              <w:rPr>
                <w:rFonts w:cs="Times New Roman"/>
                <w:color w:val="000000"/>
                <w:kern w:val="0"/>
                <w:szCs w:val="21"/>
              </w:rPr>
            </w:pPr>
          </w:p>
        </w:tc>
      </w:tr>
      <w:tr w:rsidR="007D1E74" w14:paraId="235F1203" w14:textId="77777777">
        <w:trPr>
          <w:jc w:val="center"/>
        </w:trPr>
        <w:tc>
          <w:tcPr>
            <w:tcW w:w="2107" w:type="dxa"/>
            <w:shd w:val="clear" w:color="auto" w:fill="auto"/>
            <w:noWrap/>
            <w:vAlign w:val="center"/>
          </w:tcPr>
          <w:p w14:paraId="24426451"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8</w:t>
            </w:r>
            <w:r>
              <w:rPr>
                <w:rFonts w:ascii="宋体" w:hAnsi="宋体" w:cs="Times New Roman" w:hint="eastAsia"/>
                <w:color w:val="000000"/>
                <w:kern w:val="0"/>
                <w:szCs w:val="21"/>
              </w:rPr>
              <w:t>）贝氏高原鳅</w:t>
            </w:r>
          </w:p>
        </w:tc>
        <w:tc>
          <w:tcPr>
            <w:tcW w:w="3700" w:type="dxa"/>
            <w:shd w:val="clear" w:color="auto" w:fill="auto"/>
            <w:noWrap/>
            <w:vAlign w:val="center"/>
          </w:tcPr>
          <w:p w14:paraId="220F33F8" w14:textId="77777777" w:rsidR="007D1E74" w:rsidRDefault="00A95641">
            <w:pPr>
              <w:widowControl/>
              <w:jc w:val="left"/>
              <w:rPr>
                <w:rFonts w:cs="Times New Roman"/>
                <w:color w:val="000000"/>
                <w:kern w:val="0"/>
                <w:szCs w:val="21"/>
              </w:rPr>
            </w:pPr>
            <w:r>
              <w:rPr>
                <w:rFonts w:cs="Times New Roman"/>
                <w:i/>
                <w:color w:val="000000"/>
                <w:kern w:val="0"/>
                <w:szCs w:val="21"/>
              </w:rPr>
              <w:t>Triplophysa bleekeri</w:t>
            </w:r>
            <w:r>
              <w:rPr>
                <w:rFonts w:cs="Times New Roman"/>
                <w:color w:val="000000"/>
                <w:kern w:val="0"/>
                <w:szCs w:val="21"/>
              </w:rPr>
              <w:t xml:space="preserve"> (Sauvage et Dabry)</w:t>
            </w:r>
          </w:p>
        </w:tc>
        <w:tc>
          <w:tcPr>
            <w:tcW w:w="851" w:type="dxa"/>
            <w:shd w:val="clear" w:color="auto" w:fill="auto"/>
            <w:noWrap/>
            <w:vAlign w:val="center"/>
          </w:tcPr>
          <w:p w14:paraId="3C4981F1"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6B0AD403"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197472A6" w14:textId="77777777" w:rsidR="007D1E74" w:rsidRDefault="007D1E74">
            <w:pPr>
              <w:widowControl/>
              <w:jc w:val="center"/>
              <w:rPr>
                <w:rFonts w:cs="Times New Roman"/>
                <w:color w:val="000000"/>
                <w:kern w:val="0"/>
                <w:szCs w:val="21"/>
              </w:rPr>
            </w:pPr>
          </w:p>
        </w:tc>
      </w:tr>
      <w:tr w:rsidR="007D1E74" w14:paraId="5716FA7B" w14:textId="77777777">
        <w:trPr>
          <w:jc w:val="center"/>
        </w:trPr>
        <w:tc>
          <w:tcPr>
            <w:tcW w:w="2107" w:type="dxa"/>
            <w:shd w:val="clear" w:color="auto" w:fill="auto"/>
            <w:noWrap/>
            <w:vAlign w:val="center"/>
          </w:tcPr>
          <w:p w14:paraId="1142D06A"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二、鲤科</w:t>
            </w:r>
          </w:p>
        </w:tc>
        <w:tc>
          <w:tcPr>
            <w:tcW w:w="3700" w:type="dxa"/>
            <w:shd w:val="clear" w:color="auto" w:fill="auto"/>
            <w:noWrap/>
            <w:vAlign w:val="center"/>
          </w:tcPr>
          <w:p w14:paraId="4B422562"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43A10741"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13A01C9C"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007657E7" w14:textId="77777777" w:rsidR="007D1E74" w:rsidRDefault="007D1E74">
            <w:pPr>
              <w:widowControl/>
              <w:jc w:val="center"/>
              <w:rPr>
                <w:rFonts w:cs="Times New Roman"/>
                <w:color w:val="000000"/>
                <w:kern w:val="0"/>
                <w:szCs w:val="21"/>
              </w:rPr>
            </w:pPr>
          </w:p>
        </w:tc>
      </w:tr>
      <w:tr w:rsidR="007D1E74" w14:paraId="61424C70" w14:textId="77777777">
        <w:trPr>
          <w:jc w:val="center"/>
        </w:trPr>
        <w:tc>
          <w:tcPr>
            <w:tcW w:w="2107" w:type="dxa"/>
            <w:shd w:val="clear" w:color="auto" w:fill="auto"/>
            <w:noWrap/>
            <w:vAlign w:val="center"/>
          </w:tcPr>
          <w:p w14:paraId="2794180E" w14:textId="77777777" w:rsidR="007D1E74" w:rsidRDefault="00A95641">
            <w:pPr>
              <w:widowControl/>
              <w:jc w:val="left"/>
              <w:rPr>
                <w:rFonts w:cs="Times New Roman"/>
                <w:color w:val="000000"/>
                <w:kern w:val="0"/>
                <w:szCs w:val="21"/>
              </w:rPr>
            </w:pPr>
            <w:r>
              <w:rPr>
                <w:rFonts w:cs="Times New Roman"/>
                <w:color w:val="000000"/>
                <w:kern w:val="0"/>
                <w:szCs w:val="21"/>
              </w:rPr>
              <w:t>8</w:t>
            </w:r>
            <w:r>
              <w:rPr>
                <w:rFonts w:ascii="宋体" w:hAnsi="宋体" w:cs="Times New Roman" w:hint="eastAsia"/>
                <w:color w:val="000000"/>
                <w:kern w:val="0"/>
                <w:szCs w:val="21"/>
              </w:rPr>
              <w:t>、鱲属</w:t>
            </w:r>
          </w:p>
        </w:tc>
        <w:tc>
          <w:tcPr>
            <w:tcW w:w="3700" w:type="dxa"/>
            <w:shd w:val="clear" w:color="auto" w:fill="auto"/>
            <w:noWrap/>
            <w:vAlign w:val="center"/>
          </w:tcPr>
          <w:p w14:paraId="776B8815"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735073E7"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707B62DF"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488CEBE3" w14:textId="77777777" w:rsidR="007D1E74" w:rsidRDefault="007D1E74">
            <w:pPr>
              <w:widowControl/>
              <w:jc w:val="center"/>
              <w:rPr>
                <w:rFonts w:cs="Times New Roman"/>
                <w:color w:val="000000"/>
                <w:kern w:val="0"/>
                <w:szCs w:val="21"/>
              </w:rPr>
            </w:pPr>
          </w:p>
        </w:tc>
      </w:tr>
      <w:tr w:rsidR="007D1E74" w14:paraId="1D000411" w14:textId="77777777">
        <w:trPr>
          <w:jc w:val="center"/>
        </w:trPr>
        <w:tc>
          <w:tcPr>
            <w:tcW w:w="2107" w:type="dxa"/>
            <w:shd w:val="clear" w:color="auto" w:fill="auto"/>
            <w:noWrap/>
            <w:vAlign w:val="center"/>
          </w:tcPr>
          <w:p w14:paraId="477B50E2"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9</w:t>
            </w:r>
            <w:r>
              <w:rPr>
                <w:rFonts w:ascii="宋体" w:hAnsi="宋体" w:cs="Times New Roman" w:hint="eastAsia"/>
                <w:color w:val="000000"/>
                <w:kern w:val="0"/>
                <w:szCs w:val="21"/>
              </w:rPr>
              <w:t>）宽鳍鱲</w:t>
            </w:r>
          </w:p>
        </w:tc>
        <w:tc>
          <w:tcPr>
            <w:tcW w:w="3700" w:type="dxa"/>
            <w:shd w:val="clear" w:color="auto" w:fill="auto"/>
            <w:noWrap/>
            <w:vAlign w:val="center"/>
          </w:tcPr>
          <w:p w14:paraId="60DAD307" w14:textId="77777777" w:rsidR="007D1E74" w:rsidRDefault="00A95641">
            <w:pPr>
              <w:widowControl/>
              <w:jc w:val="left"/>
              <w:rPr>
                <w:rFonts w:cs="Times New Roman"/>
                <w:i/>
                <w:iCs/>
                <w:color w:val="000000"/>
                <w:kern w:val="0"/>
                <w:szCs w:val="21"/>
              </w:rPr>
            </w:pPr>
            <w:r>
              <w:rPr>
                <w:rFonts w:cs="Times New Roman"/>
                <w:i/>
                <w:iCs/>
                <w:color w:val="000000"/>
                <w:kern w:val="0"/>
                <w:szCs w:val="21"/>
                <w:lang w:val="nl-BE"/>
              </w:rPr>
              <w:t>Zacco platypus</w:t>
            </w:r>
            <w:r>
              <w:rPr>
                <w:rFonts w:cs="Times New Roman"/>
                <w:color w:val="000000"/>
                <w:kern w:val="0"/>
                <w:szCs w:val="21"/>
                <w:lang w:val="nl-BE"/>
              </w:rPr>
              <w:t xml:space="preserve"> (Temminck </w:t>
            </w:r>
            <w:r>
              <w:rPr>
                <w:rFonts w:cs="Times New Roman"/>
                <w:i/>
                <w:iCs/>
                <w:color w:val="000000"/>
                <w:kern w:val="0"/>
                <w:szCs w:val="21"/>
                <w:lang w:val="nl-BE"/>
              </w:rPr>
              <w:t>et</w:t>
            </w:r>
            <w:r>
              <w:rPr>
                <w:rFonts w:cs="Times New Roman"/>
                <w:color w:val="000000"/>
                <w:kern w:val="0"/>
                <w:szCs w:val="21"/>
                <w:lang w:val="nl-BE"/>
              </w:rPr>
              <w:t xml:space="preserve"> Schlegel)</w:t>
            </w:r>
          </w:p>
        </w:tc>
        <w:tc>
          <w:tcPr>
            <w:tcW w:w="851" w:type="dxa"/>
            <w:shd w:val="clear" w:color="auto" w:fill="auto"/>
            <w:noWrap/>
            <w:vAlign w:val="center"/>
          </w:tcPr>
          <w:p w14:paraId="45DEA715"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09BCADEB"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2668C952" w14:textId="77777777" w:rsidR="007D1E74" w:rsidRDefault="007D1E74">
            <w:pPr>
              <w:widowControl/>
              <w:jc w:val="center"/>
              <w:rPr>
                <w:rFonts w:cs="Times New Roman"/>
                <w:color w:val="000000"/>
                <w:kern w:val="0"/>
                <w:szCs w:val="21"/>
              </w:rPr>
            </w:pPr>
          </w:p>
        </w:tc>
      </w:tr>
      <w:tr w:rsidR="007D1E74" w14:paraId="69F08497" w14:textId="77777777">
        <w:trPr>
          <w:jc w:val="center"/>
        </w:trPr>
        <w:tc>
          <w:tcPr>
            <w:tcW w:w="2107" w:type="dxa"/>
            <w:shd w:val="clear" w:color="auto" w:fill="auto"/>
            <w:noWrap/>
            <w:vAlign w:val="center"/>
          </w:tcPr>
          <w:p w14:paraId="24A8B946" w14:textId="77777777" w:rsidR="007D1E74" w:rsidRDefault="00A95641">
            <w:pPr>
              <w:widowControl/>
              <w:jc w:val="left"/>
              <w:rPr>
                <w:rFonts w:cs="Times New Roman"/>
                <w:color w:val="000000"/>
                <w:kern w:val="0"/>
                <w:szCs w:val="21"/>
              </w:rPr>
            </w:pPr>
            <w:r>
              <w:rPr>
                <w:rFonts w:cs="Times New Roman"/>
                <w:color w:val="000000"/>
                <w:kern w:val="0"/>
                <w:szCs w:val="21"/>
              </w:rPr>
              <w:t>9</w:t>
            </w:r>
            <w:r>
              <w:rPr>
                <w:rFonts w:ascii="宋体" w:hAnsi="宋体" w:cs="Times New Roman" w:hint="eastAsia"/>
                <w:color w:val="000000"/>
                <w:kern w:val="0"/>
                <w:szCs w:val="21"/>
              </w:rPr>
              <w:t>、马口鱼属</w:t>
            </w:r>
          </w:p>
        </w:tc>
        <w:tc>
          <w:tcPr>
            <w:tcW w:w="3700" w:type="dxa"/>
            <w:shd w:val="clear" w:color="auto" w:fill="auto"/>
            <w:noWrap/>
            <w:vAlign w:val="center"/>
          </w:tcPr>
          <w:p w14:paraId="77D875A3"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4625EBCB"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37D3B512"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4FD643B6" w14:textId="77777777" w:rsidR="007D1E74" w:rsidRDefault="007D1E74">
            <w:pPr>
              <w:widowControl/>
              <w:jc w:val="center"/>
              <w:rPr>
                <w:rFonts w:cs="Times New Roman"/>
                <w:color w:val="000000"/>
                <w:kern w:val="0"/>
                <w:szCs w:val="21"/>
              </w:rPr>
            </w:pPr>
          </w:p>
        </w:tc>
      </w:tr>
      <w:tr w:rsidR="007D1E74" w14:paraId="4B8C2610" w14:textId="77777777">
        <w:trPr>
          <w:jc w:val="center"/>
        </w:trPr>
        <w:tc>
          <w:tcPr>
            <w:tcW w:w="2107" w:type="dxa"/>
            <w:shd w:val="clear" w:color="auto" w:fill="auto"/>
            <w:noWrap/>
            <w:vAlign w:val="center"/>
          </w:tcPr>
          <w:p w14:paraId="4B1B8F23"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10</w:t>
            </w:r>
            <w:r>
              <w:rPr>
                <w:rFonts w:ascii="宋体" w:hAnsi="宋体" w:cs="Times New Roman" w:hint="eastAsia"/>
                <w:color w:val="000000"/>
                <w:kern w:val="0"/>
                <w:szCs w:val="21"/>
              </w:rPr>
              <w:t>）马口鱼</w:t>
            </w:r>
          </w:p>
        </w:tc>
        <w:tc>
          <w:tcPr>
            <w:tcW w:w="3700" w:type="dxa"/>
            <w:shd w:val="clear" w:color="auto" w:fill="auto"/>
            <w:noWrap/>
            <w:vAlign w:val="center"/>
          </w:tcPr>
          <w:p w14:paraId="7B4F1C56" w14:textId="77777777" w:rsidR="007D1E74" w:rsidRDefault="00A95641">
            <w:pPr>
              <w:widowControl/>
              <w:jc w:val="left"/>
              <w:rPr>
                <w:rFonts w:cs="Times New Roman"/>
                <w:i/>
                <w:iCs/>
                <w:color w:val="000000"/>
                <w:kern w:val="0"/>
                <w:szCs w:val="21"/>
              </w:rPr>
            </w:pPr>
            <w:r>
              <w:rPr>
                <w:rFonts w:cs="Times New Roman"/>
                <w:i/>
                <w:iCs/>
                <w:color w:val="000000"/>
                <w:kern w:val="0"/>
                <w:szCs w:val="21"/>
              </w:rPr>
              <w:t>Opsariichthys bidens</w:t>
            </w:r>
            <w:r>
              <w:rPr>
                <w:rFonts w:cs="Times New Roman"/>
                <w:color w:val="000000"/>
                <w:kern w:val="0"/>
                <w:szCs w:val="21"/>
              </w:rPr>
              <w:t xml:space="preserve"> (Günther)</w:t>
            </w:r>
          </w:p>
        </w:tc>
        <w:tc>
          <w:tcPr>
            <w:tcW w:w="851" w:type="dxa"/>
            <w:shd w:val="clear" w:color="auto" w:fill="auto"/>
            <w:noWrap/>
            <w:vAlign w:val="center"/>
          </w:tcPr>
          <w:p w14:paraId="24FEFB4A"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64FB1D06"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1095528A" w14:textId="77777777" w:rsidR="007D1E74" w:rsidRDefault="007D1E74">
            <w:pPr>
              <w:widowControl/>
              <w:jc w:val="center"/>
              <w:rPr>
                <w:rFonts w:cs="Times New Roman"/>
                <w:color w:val="000000"/>
                <w:kern w:val="0"/>
                <w:szCs w:val="21"/>
              </w:rPr>
            </w:pPr>
          </w:p>
        </w:tc>
      </w:tr>
      <w:tr w:rsidR="007D1E74" w14:paraId="53FE7F0D" w14:textId="77777777">
        <w:trPr>
          <w:jc w:val="center"/>
        </w:trPr>
        <w:tc>
          <w:tcPr>
            <w:tcW w:w="2107" w:type="dxa"/>
            <w:shd w:val="clear" w:color="auto" w:fill="auto"/>
            <w:noWrap/>
            <w:vAlign w:val="center"/>
          </w:tcPr>
          <w:p w14:paraId="5A9D1AEA" w14:textId="77777777" w:rsidR="007D1E74" w:rsidRDefault="00A95641">
            <w:pPr>
              <w:widowControl/>
              <w:jc w:val="left"/>
              <w:rPr>
                <w:rFonts w:cs="Times New Roman"/>
                <w:color w:val="000000"/>
                <w:kern w:val="0"/>
                <w:szCs w:val="21"/>
              </w:rPr>
            </w:pPr>
            <w:r>
              <w:rPr>
                <w:rFonts w:cs="Times New Roman"/>
                <w:color w:val="000000"/>
                <w:kern w:val="0"/>
                <w:szCs w:val="21"/>
              </w:rPr>
              <w:t>10</w:t>
            </w:r>
            <w:r>
              <w:rPr>
                <w:rFonts w:ascii="宋体" w:hAnsi="宋体" w:cs="Times New Roman" w:hint="eastAsia"/>
                <w:color w:val="000000"/>
                <w:kern w:val="0"/>
                <w:szCs w:val="21"/>
              </w:rPr>
              <w:t>、草鱼属</w:t>
            </w:r>
          </w:p>
        </w:tc>
        <w:tc>
          <w:tcPr>
            <w:tcW w:w="3700" w:type="dxa"/>
            <w:shd w:val="clear" w:color="auto" w:fill="auto"/>
            <w:noWrap/>
            <w:vAlign w:val="center"/>
          </w:tcPr>
          <w:p w14:paraId="581E5A73"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1F80C6A5"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2A516BC1"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109F8D5A" w14:textId="77777777" w:rsidR="007D1E74" w:rsidRDefault="007D1E74">
            <w:pPr>
              <w:widowControl/>
              <w:jc w:val="center"/>
              <w:rPr>
                <w:rFonts w:cs="Times New Roman"/>
                <w:color w:val="000000"/>
                <w:kern w:val="0"/>
                <w:szCs w:val="21"/>
              </w:rPr>
            </w:pPr>
          </w:p>
        </w:tc>
      </w:tr>
      <w:tr w:rsidR="007D1E74" w14:paraId="2CA63ACC" w14:textId="77777777">
        <w:trPr>
          <w:jc w:val="center"/>
        </w:trPr>
        <w:tc>
          <w:tcPr>
            <w:tcW w:w="2107" w:type="dxa"/>
            <w:shd w:val="clear" w:color="auto" w:fill="auto"/>
            <w:noWrap/>
            <w:vAlign w:val="center"/>
          </w:tcPr>
          <w:p w14:paraId="655CE8E4"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11</w:t>
            </w:r>
            <w:r>
              <w:rPr>
                <w:rFonts w:ascii="宋体" w:hAnsi="宋体" w:cs="Times New Roman" w:hint="eastAsia"/>
                <w:color w:val="000000"/>
                <w:kern w:val="0"/>
                <w:szCs w:val="21"/>
              </w:rPr>
              <w:t>）草鱼</w:t>
            </w:r>
          </w:p>
        </w:tc>
        <w:tc>
          <w:tcPr>
            <w:tcW w:w="3700" w:type="dxa"/>
            <w:shd w:val="clear" w:color="auto" w:fill="auto"/>
            <w:noWrap/>
            <w:vAlign w:val="center"/>
          </w:tcPr>
          <w:p w14:paraId="385F647F" w14:textId="77777777" w:rsidR="007D1E74" w:rsidRDefault="00A95641">
            <w:pPr>
              <w:widowControl/>
              <w:jc w:val="left"/>
              <w:rPr>
                <w:rFonts w:cs="Times New Roman"/>
                <w:i/>
                <w:iCs/>
                <w:color w:val="000000"/>
                <w:kern w:val="0"/>
                <w:szCs w:val="21"/>
              </w:rPr>
            </w:pPr>
            <w:r>
              <w:rPr>
                <w:rFonts w:cs="Times New Roman"/>
                <w:i/>
                <w:iCs/>
                <w:color w:val="000000"/>
                <w:kern w:val="0"/>
                <w:szCs w:val="21"/>
              </w:rPr>
              <w:t>Ctenopharyngodon idellus</w:t>
            </w:r>
            <w:r>
              <w:rPr>
                <w:rFonts w:cs="Times New Roman"/>
                <w:color w:val="000000"/>
                <w:kern w:val="0"/>
                <w:szCs w:val="21"/>
              </w:rPr>
              <w:t xml:space="preserve"> (Cuvier </w:t>
            </w:r>
            <w:r>
              <w:rPr>
                <w:rFonts w:cs="Times New Roman"/>
                <w:i/>
                <w:iCs/>
                <w:color w:val="000000"/>
                <w:kern w:val="0"/>
                <w:szCs w:val="21"/>
              </w:rPr>
              <w:t>et</w:t>
            </w:r>
            <w:r>
              <w:rPr>
                <w:rFonts w:cs="Times New Roman"/>
                <w:color w:val="000000"/>
                <w:kern w:val="0"/>
                <w:szCs w:val="21"/>
              </w:rPr>
              <w:t xml:space="preserve"> Valenciennes)</w:t>
            </w:r>
          </w:p>
        </w:tc>
        <w:tc>
          <w:tcPr>
            <w:tcW w:w="851" w:type="dxa"/>
            <w:shd w:val="clear" w:color="auto" w:fill="auto"/>
            <w:noWrap/>
            <w:vAlign w:val="center"/>
          </w:tcPr>
          <w:p w14:paraId="3E9F24AB"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7A4E875D"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31ABF36C" w14:textId="77777777" w:rsidR="007D1E74" w:rsidRDefault="007D1E74">
            <w:pPr>
              <w:widowControl/>
              <w:jc w:val="center"/>
              <w:rPr>
                <w:rFonts w:cs="Times New Roman"/>
                <w:color w:val="000000"/>
                <w:kern w:val="0"/>
                <w:szCs w:val="21"/>
              </w:rPr>
            </w:pPr>
          </w:p>
        </w:tc>
      </w:tr>
      <w:tr w:rsidR="007D1E74" w14:paraId="10C98965" w14:textId="77777777">
        <w:trPr>
          <w:jc w:val="center"/>
        </w:trPr>
        <w:tc>
          <w:tcPr>
            <w:tcW w:w="2107" w:type="dxa"/>
            <w:shd w:val="clear" w:color="auto" w:fill="auto"/>
            <w:noWrap/>
            <w:vAlign w:val="center"/>
          </w:tcPr>
          <w:p w14:paraId="002A5F4F" w14:textId="77777777" w:rsidR="007D1E74" w:rsidRDefault="00A95641">
            <w:pPr>
              <w:widowControl/>
              <w:jc w:val="left"/>
              <w:rPr>
                <w:rFonts w:cs="Times New Roman"/>
                <w:color w:val="000000"/>
                <w:kern w:val="0"/>
                <w:szCs w:val="21"/>
              </w:rPr>
            </w:pPr>
            <w:r>
              <w:rPr>
                <w:rFonts w:cs="Times New Roman"/>
                <w:color w:val="000000"/>
                <w:kern w:val="0"/>
                <w:szCs w:val="21"/>
              </w:rPr>
              <w:t>11</w:t>
            </w:r>
            <w:r>
              <w:rPr>
                <w:rFonts w:ascii="宋体" w:hAnsi="宋体" w:cs="Times New Roman" w:hint="eastAsia"/>
                <w:color w:val="000000"/>
                <w:kern w:val="0"/>
                <w:szCs w:val="21"/>
              </w:rPr>
              <w:t>、鳡属</w:t>
            </w:r>
          </w:p>
        </w:tc>
        <w:tc>
          <w:tcPr>
            <w:tcW w:w="3700" w:type="dxa"/>
            <w:shd w:val="clear" w:color="auto" w:fill="auto"/>
            <w:noWrap/>
            <w:vAlign w:val="center"/>
          </w:tcPr>
          <w:p w14:paraId="7496F9D7"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5EFBAA63"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77C474CC"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46C1B856" w14:textId="77777777" w:rsidR="007D1E74" w:rsidRDefault="007D1E74">
            <w:pPr>
              <w:widowControl/>
              <w:jc w:val="center"/>
              <w:rPr>
                <w:rFonts w:cs="Times New Roman"/>
                <w:color w:val="000000"/>
                <w:kern w:val="0"/>
                <w:szCs w:val="21"/>
              </w:rPr>
            </w:pPr>
          </w:p>
        </w:tc>
      </w:tr>
      <w:tr w:rsidR="007D1E74" w14:paraId="47E79D94" w14:textId="77777777">
        <w:trPr>
          <w:jc w:val="center"/>
        </w:trPr>
        <w:tc>
          <w:tcPr>
            <w:tcW w:w="2107" w:type="dxa"/>
            <w:shd w:val="clear" w:color="auto" w:fill="auto"/>
            <w:noWrap/>
            <w:vAlign w:val="center"/>
          </w:tcPr>
          <w:p w14:paraId="1EA8AC7A"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12</w:t>
            </w:r>
            <w:r>
              <w:rPr>
                <w:rFonts w:ascii="宋体" w:hAnsi="宋体" w:cs="Times New Roman" w:hint="eastAsia"/>
                <w:color w:val="000000"/>
                <w:kern w:val="0"/>
                <w:szCs w:val="21"/>
              </w:rPr>
              <w:t>）鳡</w:t>
            </w:r>
          </w:p>
        </w:tc>
        <w:tc>
          <w:tcPr>
            <w:tcW w:w="3700" w:type="dxa"/>
            <w:shd w:val="clear" w:color="auto" w:fill="auto"/>
            <w:noWrap/>
            <w:vAlign w:val="center"/>
          </w:tcPr>
          <w:p w14:paraId="47ED946B" w14:textId="77777777" w:rsidR="007D1E74" w:rsidRDefault="00A95641">
            <w:pPr>
              <w:widowControl/>
              <w:jc w:val="left"/>
              <w:rPr>
                <w:rFonts w:cs="Times New Roman"/>
                <w:i/>
                <w:iCs/>
                <w:color w:val="000000"/>
                <w:kern w:val="0"/>
                <w:szCs w:val="21"/>
              </w:rPr>
            </w:pPr>
            <w:r>
              <w:rPr>
                <w:rFonts w:cs="Times New Roman"/>
                <w:i/>
                <w:iCs/>
                <w:color w:val="000000"/>
                <w:kern w:val="0"/>
                <w:szCs w:val="21"/>
              </w:rPr>
              <w:t>Elopichthys bambusa</w:t>
            </w:r>
            <w:r>
              <w:rPr>
                <w:rFonts w:cs="Times New Roman"/>
                <w:color w:val="000000"/>
                <w:kern w:val="0"/>
                <w:szCs w:val="21"/>
              </w:rPr>
              <w:t xml:space="preserve"> (Richardson)</w:t>
            </w:r>
          </w:p>
        </w:tc>
        <w:tc>
          <w:tcPr>
            <w:tcW w:w="851" w:type="dxa"/>
            <w:shd w:val="clear" w:color="auto" w:fill="auto"/>
            <w:noWrap/>
            <w:vAlign w:val="center"/>
          </w:tcPr>
          <w:p w14:paraId="0063AD62"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0AFF3A48" w14:textId="77777777" w:rsidR="007D1E74" w:rsidRDefault="00A95641">
            <w:pPr>
              <w:widowControl/>
              <w:jc w:val="center"/>
              <w:rPr>
                <w:rFonts w:cs="Times New Roman"/>
                <w:color w:val="000000"/>
                <w:kern w:val="0"/>
                <w:szCs w:val="21"/>
              </w:rPr>
            </w:pPr>
            <w:r>
              <w:rPr>
                <w:rFonts w:ascii="宋体" w:hAnsi="宋体" w:cs="Times New Roman" w:hint="eastAsia"/>
                <w:color w:val="000000"/>
                <w:kern w:val="0"/>
                <w:szCs w:val="21"/>
              </w:rPr>
              <w:t>☆</w:t>
            </w:r>
          </w:p>
        </w:tc>
        <w:tc>
          <w:tcPr>
            <w:tcW w:w="1508" w:type="dxa"/>
            <w:shd w:val="clear" w:color="auto" w:fill="auto"/>
            <w:noWrap/>
            <w:vAlign w:val="center"/>
          </w:tcPr>
          <w:p w14:paraId="7C6BA00A" w14:textId="77777777" w:rsidR="007D1E74" w:rsidRDefault="007D1E74">
            <w:pPr>
              <w:widowControl/>
              <w:jc w:val="center"/>
              <w:rPr>
                <w:rFonts w:cs="Times New Roman"/>
                <w:color w:val="000000"/>
                <w:kern w:val="0"/>
                <w:szCs w:val="21"/>
              </w:rPr>
            </w:pPr>
          </w:p>
        </w:tc>
      </w:tr>
      <w:tr w:rsidR="007D1E74" w14:paraId="06EC5150" w14:textId="77777777">
        <w:trPr>
          <w:jc w:val="center"/>
        </w:trPr>
        <w:tc>
          <w:tcPr>
            <w:tcW w:w="2107" w:type="dxa"/>
            <w:shd w:val="clear" w:color="auto" w:fill="auto"/>
            <w:noWrap/>
            <w:vAlign w:val="center"/>
          </w:tcPr>
          <w:p w14:paraId="1B950E5C" w14:textId="77777777" w:rsidR="007D1E74" w:rsidRDefault="00A95641">
            <w:pPr>
              <w:widowControl/>
              <w:jc w:val="left"/>
              <w:rPr>
                <w:rFonts w:cs="Times New Roman"/>
                <w:color w:val="000000"/>
                <w:kern w:val="0"/>
                <w:szCs w:val="21"/>
              </w:rPr>
            </w:pPr>
            <w:r>
              <w:rPr>
                <w:rFonts w:cs="Times New Roman"/>
                <w:color w:val="000000"/>
                <w:kern w:val="0"/>
                <w:szCs w:val="21"/>
              </w:rPr>
              <w:t>12</w:t>
            </w:r>
            <w:r>
              <w:rPr>
                <w:rFonts w:ascii="宋体" w:hAnsi="宋体" w:cs="Times New Roman" w:hint="eastAsia"/>
                <w:color w:val="000000"/>
                <w:kern w:val="0"/>
                <w:szCs w:val="21"/>
              </w:rPr>
              <w:t>、赤眼鳟属</w:t>
            </w:r>
          </w:p>
        </w:tc>
        <w:tc>
          <w:tcPr>
            <w:tcW w:w="3700" w:type="dxa"/>
            <w:shd w:val="clear" w:color="auto" w:fill="auto"/>
            <w:noWrap/>
            <w:vAlign w:val="center"/>
          </w:tcPr>
          <w:p w14:paraId="40549FDC"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09859CDB"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65DF408B"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40BBFD2C" w14:textId="77777777" w:rsidR="007D1E74" w:rsidRDefault="007D1E74">
            <w:pPr>
              <w:widowControl/>
              <w:jc w:val="center"/>
              <w:rPr>
                <w:rFonts w:cs="Times New Roman"/>
                <w:color w:val="000000"/>
                <w:kern w:val="0"/>
                <w:szCs w:val="21"/>
              </w:rPr>
            </w:pPr>
          </w:p>
        </w:tc>
      </w:tr>
      <w:tr w:rsidR="007D1E74" w14:paraId="154D6D21" w14:textId="77777777">
        <w:trPr>
          <w:jc w:val="center"/>
        </w:trPr>
        <w:tc>
          <w:tcPr>
            <w:tcW w:w="2107" w:type="dxa"/>
            <w:shd w:val="clear" w:color="auto" w:fill="auto"/>
            <w:noWrap/>
            <w:vAlign w:val="center"/>
          </w:tcPr>
          <w:p w14:paraId="32F812C0"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13</w:t>
            </w:r>
            <w:r>
              <w:rPr>
                <w:rFonts w:ascii="宋体" w:hAnsi="宋体" w:cs="Times New Roman" w:hint="eastAsia"/>
                <w:color w:val="000000"/>
                <w:kern w:val="0"/>
                <w:szCs w:val="21"/>
              </w:rPr>
              <w:t>）赤眼鳟</w:t>
            </w:r>
          </w:p>
        </w:tc>
        <w:tc>
          <w:tcPr>
            <w:tcW w:w="3700" w:type="dxa"/>
            <w:shd w:val="clear" w:color="auto" w:fill="auto"/>
            <w:noWrap/>
            <w:vAlign w:val="center"/>
          </w:tcPr>
          <w:p w14:paraId="71F41B6D" w14:textId="77777777" w:rsidR="007D1E74" w:rsidRDefault="00A95641">
            <w:pPr>
              <w:widowControl/>
              <w:jc w:val="left"/>
              <w:rPr>
                <w:rFonts w:cs="Times New Roman"/>
                <w:i/>
                <w:iCs/>
                <w:color w:val="000000"/>
                <w:kern w:val="0"/>
                <w:szCs w:val="21"/>
              </w:rPr>
            </w:pPr>
            <w:r>
              <w:rPr>
                <w:rFonts w:cs="Times New Roman"/>
                <w:i/>
                <w:iCs/>
                <w:color w:val="000000"/>
                <w:kern w:val="0"/>
                <w:szCs w:val="21"/>
              </w:rPr>
              <w:t>Squaliobarbus curriculus</w:t>
            </w:r>
            <w:r>
              <w:rPr>
                <w:rFonts w:cs="Times New Roman"/>
                <w:color w:val="000000"/>
                <w:kern w:val="0"/>
                <w:szCs w:val="21"/>
              </w:rPr>
              <w:t xml:space="preserve"> (Richardson)</w:t>
            </w:r>
          </w:p>
        </w:tc>
        <w:tc>
          <w:tcPr>
            <w:tcW w:w="851" w:type="dxa"/>
            <w:shd w:val="clear" w:color="auto" w:fill="auto"/>
            <w:noWrap/>
            <w:vAlign w:val="center"/>
          </w:tcPr>
          <w:p w14:paraId="3CCD0FF8"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21EA822D"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3C90AD19" w14:textId="77777777" w:rsidR="007D1E74" w:rsidRDefault="007D1E74">
            <w:pPr>
              <w:widowControl/>
              <w:jc w:val="center"/>
              <w:rPr>
                <w:rFonts w:cs="Times New Roman"/>
                <w:color w:val="000000"/>
                <w:kern w:val="0"/>
                <w:szCs w:val="21"/>
              </w:rPr>
            </w:pPr>
          </w:p>
        </w:tc>
      </w:tr>
      <w:tr w:rsidR="007D1E74" w14:paraId="275EDE69" w14:textId="77777777">
        <w:trPr>
          <w:jc w:val="center"/>
        </w:trPr>
        <w:tc>
          <w:tcPr>
            <w:tcW w:w="2107" w:type="dxa"/>
            <w:shd w:val="clear" w:color="auto" w:fill="auto"/>
            <w:noWrap/>
            <w:vAlign w:val="center"/>
          </w:tcPr>
          <w:p w14:paraId="566044AF" w14:textId="77777777" w:rsidR="007D1E74" w:rsidRDefault="00A95641">
            <w:pPr>
              <w:widowControl/>
              <w:jc w:val="left"/>
              <w:rPr>
                <w:rFonts w:cs="Times New Roman"/>
                <w:color w:val="000000"/>
                <w:kern w:val="0"/>
                <w:szCs w:val="21"/>
              </w:rPr>
            </w:pPr>
            <w:r>
              <w:rPr>
                <w:rFonts w:cs="Times New Roman"/>
                <w:color w:val="000000"/>
                <w:kern w:val="0"/>
                <w:szCs w:val="21"/>
              </w:rPr>
              <w:t>13</w:t>
            </w:r>
            <w:r>
              <w:rPr>
                <w:rFonts w:ascii="宋体" w:hAnsi="宋体" w:cs="Times New Roman" w:hint="eastAsia"/>
                <w:color w:val="000000"/>
                <w:kern w:val="0"/>
                <w:szCs w:val="21"/>
              </w:rPr>
              <w:t>、鯮属</w:t>
            </w:r>
          </w:p>
        </w:tc>
        <w:tc>
          <w:tcPr>
            <w:tcW w:w="3700" w:type="dxa"/>
            <w:shd w:val="clear" w:color="auto" w:fill="auto"/>
            <w:noWrap/>
            <w:vAlign w:val="center"/>
          </w:tcPr>
          <w:p w14:paraId="4637C22B"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6420C83B"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58AE6CC1"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368F027A" w14:textId="77777777" w:rsidR="007D1E74" w:rsidRDefault="007D1E74">
            <w:pPr>
              <w:widowControl/>
              <w:jc w:val="center"/>
              <w:rPr>
                <w:rFonts w:cs="Times New Roman"/>
                <w:color w:val="000000"/>
                <w:kern w:val="0"/>
                <w:szCs w:val="21"/>
              </w:rPr>
            </w:pPr>
          </w:p>
        </w:tc>
      </w:tr>
      <w:tr w:rsidR="007D1E74" w14:paraId="14056CD5" w14:textId="77777777">
        <w:trPr>
          <w:jc w:val="center"/>
        </w:trPr>
        <w:tc>
          <w:tcPr>
            <w:tcW w:w="2107" w:type="dxa"/>
            <w:shd w:val="clear" w:color="auto" w:fill="auto"/>
            <w:noWrap/>
            <w:vAlign w:val="center"/>
          </w:tcPr>
          <w:p w14:paraId="7D871EAF"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14</w:t>
            </w:r>
            <w:r>
              <w:rPr>
                <w:rFonts w:ascii="宋体" w:hAnsi="宋体" w:cs="Times New Roman" w:hint="eastAsia"/>
                <w:color w:val="000000"/>
                <w:kern w:val="0"/>
                <w:szCs w:val="21"/>
              </w:rPr>
              <w:t>）鯮</w:t>
            </w:r>
          </w:p>
        </w:tc>
        <w:tc>
          <w:tcPr>
            <w:tcW w:w="3700" w:type="dxa"/>
            <w:shd w:val="clear" w:color="auto" w:fill="auto"/>
            <w:noWrap/>
            <w:vAlign w:val="center"/>
          </w:tcPr>
          <w:p w14:paraId="43B116C9" w14:textId="77777777" w:rsidR="007D1E74" w:rsidRDefault="00A95641">
            <w:pPr>
              <w:widowControl/>
              <w:jc w:val="left"/>
              <w:rPr>
                <w:rFonts w:cs="Times New Roman"/>
                <w:color w:val="000000"/>
                <w:kern w:val="0"/>
                <w:szCs w:val="21"/>
              </w:rPr>
            </w:pPr>
            <w:r>
              <w:rPr>
                <w:rFonts w:cs="Times New Roman"/>
                <w:i/>
                <w:color w:val="000000"/>
                <w:kern w:val="0"/>
                <w:szCs w:val="21"/>
              </w:rPr>
              <w:t xml:space="preserve">Luciobrama macrocephalus </w:t>
            </w:r>
            <w:r>
              <w:rPr>
                <w:rFonts w:cs="Times New Roman"/>
                <w:color w:val="000000"/>
                <w:kern w:val="0"/>
                <w:szCs w:val="21"/>
              </w:rPr>
              <w:t>(Lacepède)</w:t>
            </w:r>
          </w:p>
        </w:tc>
        <w:tc>
          <w:tcPr>
            <w:tcW w:w="851" w:type="dxa"/>
            <w:shd w:val="clear" w:color="auto" w:fill="auto"/>
            <w:noWrap/>
            <w:vAlign w:val="center"/>
          </w:tcPr>
          <w:p w14:paraId="7BC3F68E" w14:textId="77777777" w:rsidR="007D1E74" w:rsidRDefault="00A95641">
            <w:pPr>
              <w:widowControl/>
              <w:jc w:val="center"/>
              <w:rPr>
                <w:rFonts w:cs="Times New Roman"/>
                <w:color w:val="000000"/>
                <w:kern w:val="0"/>
                <w:szCs w:val="21"/>
              </w:rPr>
            </w:pPr>
            <w:r>
              <w:rPr>
                <w:rFonts w:ascii="Arial" w:hAnsi="Arial" w:cs="Arial"/>
                <w:szCs w:val="21"/>
              </w:rPr>
              <w:t>▲</w:t>
            </w:r>
          </w:p>
        </w:tc>
        <w:tc>
          <w:tcPr>
            <w:tcW w:w="850" w:type="dxa"/>
            <w:shd w:val="clear" w:color="auto" w:fill="auto"/>
            <w:noWrap/>
            <w:vAlign w:val="center"/>
          </w:tcPr>
          <w:p w14:paraId="27D6A81D"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70FC2431" w14:textId="77777777" w:rsidR="007D1E74" w:rsidRDefault="007D1E74">
            <w:pPr>
              <w:widowControl/>
              <w:jc w:val="center"/>
              <w:rPr>
                <w:rFonts w:cs="Times New Roman"/>
                <w:color w:val="000000"/>
                <w:kern w:val="0"/>
                <w:szCs w:val="21"/>
              </w:rPr>
            </w:pPr>
          </w:p>
        </w:tc>
      </w:tr>
      <w:tr w:rsidR="007D1E74" w14:paraId="4B512BDB" w14:textId="77777777">
        <w:trPr>
          <w:jc w:val="center"/>
        </w:trPr>
        <w:tc>
          <w:tcPr>
            <w:tcW w:w="2107" w:type="dxa"/>
            <w:shd w:val="clear" w:color="auto" w:fill="auto"/>
            <w:noWrap/>
            <w:vAlign w:val="center"/>
          </w:tcPr>
          <w:p w14:paraId="2F2CD2C4" w14:textId="77777777" w:rsidR="007D1E74" w:rsidRDefault="00A95641">
            <w:pPr>
              <w:widowControl/>
              <w:jc w:val="left"/>
              <w:rPr>
                <w:rFonts w:cs="Times New Roman"/>
                <w:color w:val="000000"/>
                <w:kern w:val="0"/>
                <w:szCs w:val="21"/>
              </w:rPr>
            </w:pPr>
            <w:r>
              <w:rPr>
                <w:rFonts w:cs="Times New Roman"/>
                <w:color w:val="000000"/>
                <w:kern w:val="0"/>
                <w:szCs w:val="21"/>
              </w:rPr>
              <w:t>14</w:t>
            </w:r>
            <w:r>
              <w:rPr>
                <w:rFonts w:ascii="宋体" w:hAnsi="宋体" w:cs="Times New Roman" w:hint="eastAsia"/>
                <w:color w:val="000000"/>
                <w:kern w:val="0"/>
                <w:szCs w:val="21"/>
              </w:rPr>
              <w:t>、鱥属</w:t>
            </w:r>
          </w:p>
        </w:tc>
        <w:tc>
          <w:tcPr>
            <w:tcW w:w="3700" w:type="dxa"/>
            <w:shd w:val="clear" w:color="auto" w:fill="auto"/>
            <w:noWrap/>
            <w:vAlign w:val="center"/>
          </w:tcPr>
          <w:p w14:paraId="659E6332"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085065A3"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0F57C3FB"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35063CA4" w14:textId="77777777" w:rsidR="007D1E74" w:rsidRDefault="007D1E74">
            <w:pPr>
              <w:widowControl/>
              <w:jc w:val="center"/>
              <w:rPr>
                <w:rFonts w:cs="Times New Roman"/>
                <w:color w:val="000000"/>
                <w:kern w:val="0"/>
                <w:szCs w:val="21"/>
              </w:rPr>
            </w:pPr>
          </w:p>
        </w:tc>
      </w:tr>
      <w:tr w:rsidR="007D1E74" w14:paraId="1853B7BE" w14:textId="77777777">
        <w:trPr>
          <w:jc w:val="center"/>
        </w:trPr>
        <w:tc>
          <w:tcPr>
            <w:tcW w:w="2107" w:type="dxa"/>
            <w:shd w:val="clear" w:color="auto" w:fill="auto"/>
            <w:noWrap/>
            <w:vAlign w:val="center"/>
          </w:tcPr>
          <w:p w14:paraId="040C46F4"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15</w:t>
            </w:r>
            <w:r>
              <w:rPr>
                <w:rFonts w:ascii="宋体" w:hAnsi="宋体" w:cs="Times New Roman" w:hint="eastAsia"/>
                <w:color w:val="000000"/>
                <w:kern w:val="0"/>
                <w:szCs w:val="21"/>
              </w:rPr>
              <w:t>）洛氏鱥</w:t>
            </w:r>
          </w:p>
        </w:tc>
        <w:tc>
          <w:tcPr>
            <w:tcW w:w="3700" w:type="dxa"/>
            <w:shd w:val="clear" w:color="auto" w:fill="auto"/>
            <w:noWrap/>
            <w:vAlign w:val="center"/>
          </w:tcPr>
          <w:p w14:paraId="660AC2AC" w14:textId="77777777" w:rsidR="007D1E74" w:rsidRDefault="00A95641">
            <w:pPr>
              <w:widowControl/>
              <w:jc w:val="left"/>
              <w:rPr>
                <w:rFonts w:cs="Times New Roman"/>
                <w:i/>
                <w:iCs/>
                <w:color w:val="000000"/>
                <w:kern w:val="0"/>
                <w:szCs w:val="21"/>
              </w:rPr>
            </w:pPr>
            <w:r>
              <w:rPr>
                <w:rFonts w:cs="Times New Roman"/>
                <w:i/>
                <w:iCs/>
                <w:color w:val="000000"/>
                <w:kern w:val="0"/>
                <w:szCs w:val="21"/>
              </w:rPr>
              <w:t>Phoxinus lagowskii</w:t>
            </w:r>
            <w:r>
              <w:rPr>
                <w:rFonts w:cs="Times New Roman"/>
                <w:color w:val="000000"/>
                <w:kern w:val="0"/>
                <w:szCs w:val="21"/>
              </w:rPr>
              <w:t xml:space="preserve"> Dybowski</w:t>
            </w:r>
          </w:p>
        </w:tc>
        <w:tc>
          <w:tcPr>
            <w:tcW w:w="851" w:type="dxa"/>
            <w:shd w:val="clear" w:color="auto" w:fill="auto"/>
            <w:noWrap/>
            <w:vAlign w:val="center"/>
          </w:tcPr>
          <w:p w14:paraId="45DB3DFD"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06E5F645"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3F2562FF" w14:textId="77777777" w:rsidR="007D1E74" w:rsidRDefault="007D1E74">
            <w:pPr>
              <w:widowControl/>
              <w:jc w:val="center"/>
              <w:rPr>
                <w:rFonts w:cs="Times New Roman"/>
                <w:color w:val="000000"/>
                <w:kern w:val="0"/>
                <w:szCs w:val="21"/>
              </w:rPr>
            </w:pPr>
          </w:p>
        </w:tc>
      </w:tr>
      <w:tr w:rsidR="007D1E74" w14:paraId="693CA97F" w14:textId="77777777">
        <w:trPr>
          <w:jc w:val="center"/>
        </w:trPr>
        <w:tc>
          <w:tcPr>
            <w:tcW w:w="2107" w:type="dxa"/>
            <w:shd w:val="clear" w:color="auto" w:fill="auto"/>
            <w:noWrap/>
            <w:vAlign w:val="center"/>
          </w:tcPr>
          <w:p w14:paraId="5EBCA51A" w14:textId="77777777" w:rsidR="007D1E74" w:rsidRDefault="00A95641">
            <w:pPr>
              <w:widowControl/>
              <w:jc w:val="left"/>
              <w:rPr>
                <w:rFonts w:cs="Times New Roman"/>
                <w:color w:val="000000"/>
                <w:kern w:val="0"/>
                <w:szCs w:val="21"/>
              </w:rPr>
            </w:pPr>
            <w:r>
              <w:rPr>
                <w:rFonts w:cs="Times New Roman"/>
                <w:color w:val="000000"/>
                <w:kern w:val="0"/>
                <w:szCs w:val="21"/>
              </w:rPr>
              <w:t>15</w:t>
            </w:r>
            <w:r>
              <w:rPr>
                <w:rFonts w:ascii="宋体" w:hAnsi="宋体" w:cs="Times New Roman" w:hint="eastAsia"/>
                <w:color w:val="000000"/>
                <w:kern w:val="0"/>
                <w:szCs w:val="21"/>
              </w:rPr>
              <w:t>、鯝属</w:t>
            </w:r>
          </w:p>
        </w:tc>
        <w:tc>
          <w:tcPr>
            <w:tcW w:w="3700" w:type="dxa"/>
            <w:shd w:val="clear" w:color="auto" w:fill="auto"/>
            <w:noWrap/>
            <w:vAlign w:val="center"/>
          </w:tcPr>
          <w:p w14:paraId="0616AF50"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2F5053E0"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37AE7A9D"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3BA2A264" w14:textId="77777777" w:rsidR="007D1E74" w:rsidRDefault="007D1E74">
            <w:pPr>
              <w:widowControl/>
              <w:jc w:val="center"/>
              <w:rPr>
                <w:rFonts w:cs="Times New Roman"/>
                <w:color w:val="000000"/>
                <w:kern w:val="0"/>
                <w:szCs w:val="21"/>
              </w:rPr>
            </w:pPr>
          </w:p>
        </w:tc>
      </w:tr>
      <w:tr w:rsidR="007D1E74" w14:paraId="42035EB3" w14:textId="77777777">
        <w:trPr>
          <w:jc w:val="center"/>
        </w:trPr>
        <w:tc>
          <w:tcPr>
            <w:tcW w:w="2107" w:type="dxa"/>
            <w:shd w:val="clear" w:color="auto" w:fill="auto"/>
            <w:noWrap/>
            <w:vAlign w:val="center"/>
          </w:tcPr>
          <w:p w14:paraId="573F5ECD"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16</w:t>
            </w:r>
            <w:r>
              <w:rPr>
                <w:rFonts w:ascii="宋体" w:hAnsi="宋体" w:cs="Times New Roman" w:hint="eastAsia"/>
                <w:color w:val="000000"/>
                <w:kern w:val="0"/>
                <w:szCs w:val="21"/>
              </w:rPr>
              <w:t>）宜宾鯝</w:t>
            </w:r>
          </w:p>
        </w:tc>
        <w:tc>
          <w:tcPr>
            <w:tcW w:w="3700" w:type="dxa"/>
            <w:shd w:val="clear" w:color="auto" w:fill="auto"/>
            <w:noWrap/>
            <w:vAlign w:val="center"/>
          </w:tcPr>
          <w:p w14:paraId="3524CD5E" w14:textId="77777777" w:rsidR="007D1E74" w:rsidRDefault="00A95641">
            <w:pPr>
              <w:widowControl/>
              <w:jc w:val="left"/>
              <w:rPr>
                <w:rFonts w:cs="Times New Roman"/>
                <w:i/>
                <w:iCs/>
                <w:color w:val="000000"/>
                <w:kern w:val="0"/>
                <w:szCs w:val="21"/>
              </w:rPr>
            </w:pPr>
            <w:r>
              <w:rPr>
                <w:rFonts w:cs="Times New Roman"/>
                <w:i/>
                <w:iCs/>
                <w:color w:val="000000"/>
                <w:kern w:val="0"/>
                <w:szCs w:val="21"/>
              </w:rPr>
              <w:t xml:space="preserve">Xenocypris fangi </w:t>
            </w:r>
            <w:r>
              <w:rPr>
                <w:rFonts w:cs="Times New Roman"/>
                <w:color w:val="000000"/>
                <w:kern w:val="0"/>
                <w:szCs w:val="21"/>
              </w:rPr>
              <w:t>Tchang</w:t>
            </w:r>
          </w:p>
        </w:tc>
        <w:tc>
          <w:tcPr>
            <w:tcW w:w="851" w:type="dxa"/>
            <w:shd w:val="clear" w:color="auto" w:fill="auto"/>
            <w:noWrap/>
            <w:vAlign w:val="center"/>
          </w:tcPr>
          <w:p w14:paraId="5FE76264"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4AB68EF6"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58975E24" w14:textId="77777777" w:rsidR="007D1E74" w:rsidRDefault="00A95641">
            <w:pPr>
              <w:widowControl/>
              <w:jc w:val="center"/>
              <w:rPr>
                <w:rFonts w:cs="Times New Roman"/>
                <w:color w:val="000000"/>
                <w:kern w:val="0"/>
                <w:szCs w:val="21"/>
              </w:rPr>
            </w:pPr>
            <w:r>
              <w:rPr>
                <w:rFonts w:ascii="宋体" w:hAnsi="宋体" w:cs="Times New Roman" w:hint="eastAsia"/>
                <w:color w:val="000000"/>
                <w:kern w:val="0"/>
                <w:szCs w:val="21"/>
              </w:rPr>
              <w:t>＊</w:t>
            </w:r>
          </w:p>
        </w:tc>
      </w:tr>
      <w:tr w:rsidR="007D1E74" w14:paraId="2A838660" w14:textId="77777777">
        <w:trPr>
          <w:jc w:val="center"/>
        </w:trPr>
        <w:tc>
          <w:tcPr>
            <w:tcW w:w="2107" w:type="dxa"/>
            <w:shd w:val="clear" w:color="auto" w:fill="auto"/>
            <w:noWrap/>
            <w:vAlign w:val="center"/>
          </w:tcPr>
          <w:p w14:paraId="1654C7C8"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17</w:t>
            </w:r>
            <w:r>
              <w:rPr>
                <w:rFonts w:ascii="宋体" w:hAnsi="宋体" w:cs="Times New Roman" w:hint="eastAsia"/>
                <w:color w:val="000000"/>
                <w:kern w:val="0"/>
                <w:szCs w:val="21"/>
              </w:rPr>
              <w:t>）细鳞鲴</w:t>
            </w:r>
          </w:p>
        </w:tc>
        <w:tc>
          <w:tcPr>
            <w:tcW w:w="3700" w:type="dxa"/>
            <w:shd w:val="clear" w:color="auto" w:fill="auto"/>
            <w:noWrap/>
            <w:vAlign w:val="center"/>
          </w:tcPr>
          <w:p w14:paraId="4D80F376" w14:textId="77777777" w:rsidR="007D1E74" w:rsidRDefault="00A95641">
            <w:pPr>
              <w:widowControl/>
              <w:jc w:val="left"/>
              <w:rPr>
                <w:rFonts w:cs="Times New Roman"/>
                <w:i/>
                <w:iCs/>
                <w:color w:val="000000"/>
                <w:kern w:val="0"/>
                <w:szCs w:val="21"/>
              </w:rPr>
            </w:pPr>
            <w:r>
              <w:rPr>
                <w:rFonts w:cs="Times New Roman"/>
                <w:i/>
                <w:iCs/>
                <w:color w:val="000000"/>
                <w:kern w:val="0"/>
                <w:szCs w:val="21"/>
              </w:rPr>
              <w:t>Xenocypris microlepis</w:t>
            </w:r>
            <w:r>
              <w:rPr>
                <w:rFonts w:cs="Times New Roman"/>
                <w:color w:val="000000"/>
                <w:kern w:val="0"/>
                <w:szCs w:val="21"/>
              </w:rPr>
              <w:t xml:space="preserve"> Bleeker</w:t>
            </w:r>
          </w:p>
        </w:tc>
        <w:tc>
          <w:tcPr>
            <w:tcW w:w="851" w:type="dxa"/>
            <w:shd w:val="clear" w:color="auto" w:fill="auto"/>
            <w:noWrap/>
            <w:vAlign w:val="center"/>
          </w:tcPr>
          <w:p w14:paraId="6708CB5C"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576E6BED"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422F4554" w14:textId="77777777" w:rsidR="007D1E74" w:rsidRDefault="007D1E74">
            <w:pPr>
              <w:widowControl/>
              <w:jc w:val="center"/>
              <w:rPr>
                <w:rFonts w:cs="Times New Roman"/>
                <w:color w:val="000000"/>
                <w:kern w:val="0"/>
                <w:szCs w:val="21"/>
              </w:rPr>
            </w:pPr>
          </w:p>
        </w:tc>
      </w:tr>
      <w:tr w:rsidR="007D1E74" w14:paraId="08C04E60" w14:textId="77777777">
        <w:trPr>
          <w:jc w:val="center"/>
        </w:trPr>
        <w:tc>
          <w:tcPr>
            <w:tcW w:w="2107" w:type="dxa"/>
            <w:shd w:val="clear" w:color="auto" w:fill="auto"/>
            <w:noWrap/>
            <w:vAlign w:val="center"/>
          </w:tcPr>
          <w:p w14:paraId="12C6E912" w14:textId="77777777" w:rsidR="007D1E74" w:rsidRDefault="00A95641">
            <w:pPr>
              <w:widowControl/>
              <w:jc w:val="left"/>
              <w:rPr>
                <w:rFonts w:cs="Times New Roman"/>
                <w:color w:val="000000"/>
                <w:kern w:val="0"/>
                <w:szCs w:val="21"/>
              </w:rPr>
            </w:pPr>
            <w:r>
              <w:rPr>
                <w:rFonts w:cs="Times New Roman"/>
                <w:color w:val="000000"/>
                <w:kern w:val="0"/>
                <w:szCs w:val="21"/>
              </w:rPr>
              <w:t>16</w:t>
            </w:r>
            <w:r>
              <w:rPr>
                <w:rFonts w:ascii="宋体" w:hAnsi="宋体" w:cs="Times New Roman" w:hint="eastAsia"/>
                <w:color w:val="000000"/>
                <w:kern w:val="0"/>
                <w:szCs w:val="21"/>
              </w:rPr>
              <w:t>、似鳊属</w:t>
            </w:r>
          </w:p>
        </w:tc>
        <w:tc>
          <w:tcPr>
            <w:tcW w:w="3700" w:type="dxa"/>
            <w:shd w:val="clear" w:color="auto" w:fill="auto"/>
            <w:noWrap/>
            <w:vAlign w:val="center"/>
          </w:tcPr>
          <w:p w14:paraId="73E802FF"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26C7D7F7"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5BB4E4C9"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45B9ECDA" w14:textId="77777777" w:rsidR="007D1E74" w:rsidRDefault="007D1E74">
            <w:pPr>
              <w:widowControl/>
              <w:jc w:val="center"/>
              <w:rPr>
                <w:rFonts w:cs="Times New Roman"/>
                <w:color w:val="000000"/>
                <w:kern w:val="0"/>
                <w:szCs w:val="21"/>
              </w:rPr>
            </w:pPr>
          </w:p>
        </w:tc>
      </w:tr>
      <w:tr w:rsidR="007D1E74" w14:paraId="458B4D9E" w14:textId="77777777">
        <w:trPr>
          <w:jc w:val="center"/>
        </w:trPr>
        <w:tc>
          <w:tcPr>
            <w:tcW w:w="2107" w:type="dxa"/>
            <w:shd w:val="clear" w:color="auto" w:fill="auto"/>
            <w:noWrap/>
            <w:vAlign w:val="center"/>
          </w:tcPr>
          <w:p w14:paraId="548B70EC"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18</w:t>
            </w:r>
            <w:r>
              <w:rPr>
                <w:rFonts w:ascii="宋体" w:hAnsi="宋体" w:cs="Times New Roman" w:hint="eastAsia"/>
                <w:color w:val="000000"/>
                <w:kern w:val="0"/>
                <w:szCs w:val="21"/>
              </w:rPr>
              <w:t>）逆鱼</w:t>
            </w:r>
          </w:p>
        </w:tc>
        <w:tc>
          <w:tcPr>
            <w:tcW w:w="3700" w:type="dxa"/>
            <w:shd w:val="clear" w:color="auto" w:fill="auto"/>
            <w:noWrap/>
            <w:vAlign w:val="center"/>
          </w:tcPr>
          <w:p w14:paraId="0477E27B" w14:textId="77777777" w:rsidR="007D1E74" w:rsidRDefault="00A95641">
            <w:pPr>
              <w:widowControl/>
              <w:jc w:val="left"/>
              <w:rPr>
                <w:rFonts w:cs="Times New Roman"/>
                <w:i/>
                <w:iCs/>
                <w:color w:val="000000"/>
                <w:kern w:val="0"/>
                <w:szCs w:val="21"/>
              </w:rPr>
            </w:pPr>
            <w:r>
              <w:rPr>
                <w:rFonts w:cs="Times New Roman"/>
                <w:i/>
                <w:iCs/>
                <w:color w:val="000000"/>
                <w:kern w:val="0"/>
                <w:szCs w:val="21"/>
              </w:rPr>
              <w:t>Pseudobrama simoni</w:t>
            </w:r>
            <w:r>
              <w:rPr>
                <w:rFonts w:cs="Times New Roman"/>
                <w:color w:val="000000"/>
                <w:kern w:val="0"/>
                <w:szCs w:val="21"/>
              </w:rPr>
              <w:t xml:space="preserve"> (Bleeker)</w:t>
            </w:r>
          </w:p>
        </w:tc>
        <w:tc>
          <w:tcPr>
            <w:tcW w:w="851" w:type="dxa"/>
            <w:shd w:val="clear" w:color="auto" w:fill="auto"/>
            <w:noWrap/>
            <w:vAlign w:val="center"/>
          </w:tcPr>
          <w:p w14:paraId="06384CDF"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38E9C5BA"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7B534BAE" w14:textId="77777777" w:rsidR="007D1E74" w:rsidRDefault="007D1E74">
            <w:pPr>
              <w:widowControl/>
              <w:jc w:val="center"/>
              <w:rPr>
                <w:rFonts w:cs="Times New Roman"/>
                <w:color w:val="000000"/>
                <w:kern w:val="0"/>
                <w:szCs w:val="21"/>
              </w:rPr>
            </w:pPr>
          </w:p>
        </w:tc>
      </w:tr>
      <w:tr w:rsidR="007D1E74" w14:paraId="75AC6D9E" w14:textId="77777777">
        <w:trPr>
          <w:jc w:val="center"/>
        </w:trPr>
        <w:tc>
          <w:tcPr>
            <w:tcW w:w="2107" w:type="dxa"/>
            <w:shd w:val="clear" w:color="auto" w:fill="auto"/>
            <w:noWrap/>
            <w:vAlign w:val="center"/>
          </w:tcPr>
          <w:p w14:paraId="0C2D8689" w14:textId="77777777" w:rsidR="007D1E74" w:rsidRDefault="00A95641">
            <w:pPr>
              <w:widowControl/>
              <w:jc w:val="left"/>
              <w:rPr>
                <w:rFonts w:cs="Times New Roman"/>
                <w:color w:val="000000"/>
                <w:kern w:val="0"/>
                <w:szCs w:val="21"/>
              </w:rPr>
            </w:pPr>
            <w:r>
              <w:rPr>
                <w:rFonts w:cs="Times New Roman"/>
                <w:color w:val="000000"/>
                <w:kern w:val="0"/>
                <w:szCs w:val="21"/>
              </w:rPr>
              <w:t>17</w:t>
            </w:r>
            <w:r>
              <w:rPr>
                <w:rFonts w:ascii="宋体" w:hAnsi="宋体" w:cs="Times New Roman" w:hint="eastAsia"/>
                <w:color w:val="000000"/>
                <w:kern w:val="0"/>
                <w:szCs w:val="21"/>
              </w:rPr>
              <w:t>、鲢属</w:t>
            </w:r>
          </w:p>
        </w:tc>
        <w:tc>
          <w:tcPr>
            <w:tcW w:w="3700" w:type="dxa"/>
            <w:shd w:val="clear" w:color="auto" w:fill="auto"/>
            <w:noWrap/>
            <w:vAlign w:val="center"/>
          </w:tcPr>
          <w:p w14:paraId="498EEAF8"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0AD90496"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4291B5D3"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6AF9367E" w14:textId="77777777" w:rsidR="007D1E74" w:rsidRDefault="007D1E74">
            <w:pPr>
              <w:widowControl/>
              <w:jc w:val="center"/>
              <w:rPr>
                <w:rFonts w:cs="Times New Roman"/>
                <w:color w:val="000000"/>
                <w:kern w:val="0"/>
                <w:szCs w:val="21"/>
              </w:rPr>
            </w:pPr>
          </w:p>
        </w:tc>
      </w:tr>
      <w:tr w:rsidR="007D1E74" w14:paraId="56666F34" w14:textId="77777777">
        <w:trPr>
          <w:jc w:val="center"/>
        </w:trPr>
        <w:tc>
          <w:tcPr>
            <w:tcW w:w="2107" w:type="dxa"/>
            <w:shd w:val="clear" w:color="auto" w:fill="auto"/>
            <w:noWrap/>
            <w:vAlign w:val="center"/>
          </w:tcPr>
          <w:p w14:paraId="72F62B53"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lastRenderedPageBreak/>
              <w:t>（</w:t>
            </w:r>
            <w:r>
              <w:rPr>
                <w:rFonts w:cs="Times New Roman"/>
                <w:color w:val="000000"/>
                <w:kern w:val="0"/>
                <w:szCs w:val="21"/>
              </w:rPr>
              <w:t>19</w:t>
            </w:r>
            <w:r>
              <w:rPr>
                <w:rFonts w:ascii="宋体" w:hAnsi="宋体" w:cs="Times New Roman" w:hint="eastAsia"/>
                <w:color w:val="000000"/>
                <w:kern w:val="0"/>
                <w:szCs w:val="21"/>
              </w:rPr>
              <w:t>）鲢</w:t>
            </w:r>
          </w:p>
        </w:tc>
        <w:tc>
          <w:tcPr>
            <w:tcW w:w="3700" w:type="dxa"/>
            <w:shd w:val="clear" w:color="auto" w:fill="auto"/>
            <w:noWrap/>
            <w:vAlign w:val="center"/>
          </w:tcPr>
          <w:p w14:paraId="68E902C4" w14:textId="77777777" w:rsidR="007D1E74" w:rsidRDefault="00A95641">
            <w:pPr>
              <w:widowControl/>
              <w:jc w:val="left"/>
              <w:rPr>
                <w:rFonts w:cs="Times New Roman"/>
                <w:i/>
                <w:iCs/>
                <w:color w:val="000000"/>
                <w:kern w:val="0"/>
                <w:szCs w:val="21"/>
              </w:rPr>
            </w:pPr>
            <w:r>
              <w:rPr>
                <w:rFonts w:cs="Times New Roman"/>
                <w:i/>
                <w:iCs/>
                <w:color w:val="000000"/>
                <w:kern w:val="0"/>
                <w:szCs w:val="21"/>
              </w:rPr>
              <w:t>Hypophthalmichthys molitrix</w:t>
            </w:r>
            <w:r>
              <w:rPr>
                <w:rFonts w:cs="Times New Roman"/>
                <w:color w:val="000000"/>
                <w:kern w:val="0"/>
                <w:szCs w:val="21"/>
              </w:rPr>
              <w:t xml:space="preserve"> (Cuvier </w:t>
            </w:r>
            <w:r>
              <w:rPr>
                <w:rFonts w:cs="Times New Roman"/>
                <w:i/>
                <w:iCs/>
                <w:color w:val="000000"/>
                <w:kern w:val="0"/>
                <w:szCs w:val="21"/>
              </w:rPr>
              <w:t>et</w:t>
            </w:r>
            <w:r>
              <w:rPr>
                <w:rFonts w:cs="Times New Roman"/>
                <w:color w:val="000000"/>
                <w:kern w:val="0"/>
                <w:szCs w:val="21"/>
              </w:rPr>
              <w:t xml:space="preserve"> Valenciennes)</w:t>
            </w:r>
          </w:p>
        </w:tc>
        <w:tc>
          <w:tcPr>
            <w:tcW w:w="851" w:type="dxa"/>
            <w:shd w:val="clear" w:color="auto" w:fill="auto"/>
            <w:noWrap/>
            <w:vAlign w:val="center"/>
          </w:tcPr>
          <w:p w14:paraId="4E1BFD88"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22DA2C90"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26EC6835" w14:textId="77777777" w:rsidR="007D1E74" w:rsidRDefault="007D1E74">
            <w:pPr>
              <w:widowControl/>
              <w:jc w:val="center"/>
              <w:rPr>
                <w:rFonts w:cs="Times New Roman"/>
                <w:color w:val="000000"/>
                <w:kern w:val="0"/>
                <w:szCs w:val="21"/>
              </w:rPr>
            </w:pPr>
          </w:p>
        </w:tc>
      </w:tr>
      <w:tr w:rsidR="007D1E74" w14:paraId="32FF5B9B" w14:textId="77777777">
        <w:trPr>
          <w:jc w:val="center"/>
        </w:trPr>
        <w:tc>
          <w:tcPr>
            <w:tcW w:w="2107" w:type="dxa"/>
            <w:shd w:val="clear" w:color="auto" w:fill="auto"/>
            <w:noWrap/>
            <w:vAlign w:val="center"/>
          </w:tcPr>
          <w:p w14:paraId="32C4EF57" w14:textId="77777777" w:rsidR="007D1E74" w:rsidRDefault="00A95641">
            <w:pPr>
              <w:widowControl/>
              <w:jc w:val="left"/>
              <w:rPr>
                <w:rFonts w:cs="Times New Roman"/>
                <w:color w:val="000000"/>
                <w:kern w:val="0"/>
                <w:szCs w:val="21"/>
              </w:rPr>
            </w:pPr>
            <w:r>
              <w:rPr>
                <w:rFonts w:cs="Times New Roman"/>
                <w:color w:val="000000"/>
                <w:kern w:val="0"/>
                <w:szCs w:val="21"/>
              </w:rPr>
              <w:t>18</w:t>
            </w:r>
            <w:r>
              <w:rPr>
                <w:rFonts w:ascii="宋体" w:hAnsi="宋体" w:cs="Times New Roman" w:hint="eastAsia"/>
                <w:color w:val="000000"/>
                <w:kern w:val="0"/>
                <w:szCs w:val="21"/>
              </w:rPr>
              <w:t>、鳙属</w:t>
            </w:r>
          </w:p>
        </w:tc>
        <w:tc>
          <w:tcPr>
            <w:tcW w:w="3700" w:type="dxa"/>
            <w:shd w:val="clear" w:color="auto" w:fill="auto"/>
            <w:noWrap/>
            <w:vAlign w:val="center"/>
          </w:tcPr>
          <w:p w14:paraId="481EA117"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5A16C9F1"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374E138B"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4950920A" w14:textId="77777777" w:rsidR="007D1E74" w:rsidRDefault="007D1E74">
            <w:pPr>
              <w:widowControl/>
              <w:jc w:val="center"/>
              <w:rPr>
                <w:rFonts w:cs="Times New Roman"/>
                <w:color w:val="000000"/>
                <w:kern w:val="0"/>
                <w:szCs w:val="21"/>
              </w:rPr>
            </w:pPr>
          </w:p>
        </w:tc>
      </w:tr>
      <w:tr w:rsidR="007D1E74" w14:paraId="45F03ED8" w14:textId="77777777">
        <w:trPr>
          <w:jc w:val="center"/>
        </w:trPr>
        <w:tc>
          <w:tcPr>
            <w:tcW w:w="2107" w:type="dxa"/>
            <w:shd w:val="clear" w:color="auto" w:fill="auto"/>
            <w:noWrap/>
            <w:vAlign w:val="center"/>
          </w:tcPr>
          <w:p w14:paraId="096A1836"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20</w:t>
            </w:r>
            <w:r>
              <w:rPr>
                <w:rFonts w:ascii="宋体" w:hAnsi="宋体" w:cs="Times New Roman" w:hint="eastAsia"/>
                <w:color w:val="000000"/>
                <w:kern w:val="0"/>
                <w:szCs w:val="21"/>
              </w:rPr>
              <w:t>）鳙</w:t>
            </w:r>
          </w:p>
        </w:tc>
        <w:tc>
          <w:tcPr>
            <w:tcW w:w="3700" w:type="dxa"/>
            <w:shd w:val="clear" w:color="auto" w:fill="auto"/>
            <w:noWrap/>
            <w:vAlign w:val="center"/>
          </w:tcPr>
          <w:p w14:paraId="462F8D5C" w14:textId="77777777" w:rsidR="007D1E74" w:rsidRDefault="00A95641">
            <w:pPr>
              <w:widowControl/>
              <w:jc w:val="left"/>
              <w:rPr>
                <w:rFonts w:cs="Times New Roman"/>
                <w:i/>
                <w:iCs/>
                <w:color w:val="000000"/>
                <w:kern w:val="0"/>
                <w:szCs w:val="21"/>
              </w:rPr>
            </w:pPr>
            <w:r>
              <w:rPr>
                <w:rFonts w:cs="Times New Roman"/>
                <w:i/>
                <w:iCs/>
                <w:color w:val="000000"/>
                <w:kern w:val="0"/>
                <w:szCs w:val="21"/>
              </w:rPr>
              <w:t>Aristichthys nobilis</w:t>
            </w:r>
            <w:r>
              <w:rPr>
                <w:rFonts w:cs="Times New Roman"/>
                <w:color w:val="000000"/>
                <w:kern w:val="0"/>
                <w:szCs w:val="21"/>
              </w:rPr>
              <w:t xml:space="preserve"> (Richardson)</w:t>
            </w:r>
          </w:p>
        </w:tc>
        <w:tc>
          <w:tcPr>
            <w:tcW w:w="851" w:type="dxa"/>
            <w:shd w:val="clear" w:color="auto" w:fill="auto"/>
            <w:noWrap/>
            <w:vAlign w:val="center"/>
          </w:tcPr>
          <w:p w14:paraId="294ECFAD"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4F81DDBD"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442476D9" w14:textId="77777777" w:rsidR="007D1E74" w:rsidRDefault="007D1E74">
            <w:pPr>
              <w:widowControl/>
              <w:jc w:val="center"/>
              <w:rPr>
                <w:rFonts w:cs="Times New Roman"/>
                <w:color w:val="000000"/>
                <w:kern w:val="0"/>
                <w:szCs w:val="21"/>
              </w:rPr>
            </w:pPr>
          </w:p>
        </w:tc>
      </w:tr>
      <w:tr w:rsidR="007D1E74" w14:paraId="384A7986" w14:textId="77777777">
        <w:trPr>
          <w:jc w:val="center"/>
        </w:trPr>
        <w:tc>
          <w:tcPr>
            <w:tcW w:w="2107" w:type="dxa"/>
            <w:shd w:val="clear" w:color="auto" w:fill="auto"/>
            <w:noWrap/>
            <w:vAlign w:val="center"/>
          </w:tcPr>
          <w:p w14:paraId="2CA7C068" w14:textId="77777777" w:rsidR="007D1E74" w:rsidRDefault="00A95641">
            <w:pPr>
              <w:widowControl/>
              <w:jc w:val="left"/>
              <w:rPr>
                <w:rFonts w:cs="Times New Roman"/>
                <w:color w:val="000000"/>
                <w:kern w:val="0"/>
                <w:szCs w:val="21"/>
              </w:rPr>
            </w:pPr>
            <w:r>
              <w:rPr>
                <w:rFonts w:cs="Times New Roman"/>
                <w:color w:val="000000"/>
                <w:kern w:val="0"/>
                <w:szCs w:val="21"/>
              </w:rPr>
              <w:t>19</w:t>
            </w:r>
            <w:r>
              <w:rPr>
                <w:rFonts w:ascii="宋体" w:hAnsi="宋体" w:cs="Times New Roman" w:hint="eastAsia"/>
                <w:color w:val="000000"/>
                <w:kern w:val="0"/>
                <w:szCs w:val="21"/>
              </w:rPr>
              <w:t>、鳑鮍属</w:t>
            </w:r>
          </w:p>
        </w:tc>
        <w:tc>
          <w:tcPr>
            <w:tcW w:w="3700" w:type="dxa"/>
            <w:shd w:val="clear" w:color="auto" w:fill="auto"/>
            <w:noWrap/>
            <w:vAlign w:val="center"/>
          </w:tcPr>
          <w:p w14:paraId="3A8D2AC0"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54ADE0D7"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2D9770D2"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25D00487" w14:textId="77777777" w:rsidR="007D1E74" w:rsidRDefault="007D1E74">
            <w:pPr>
              <w:widowControl/>
              <w:jc w:val="center"/>
              <w:rPr>
                <w:rFonts w:cs="Times New Roman"/>
                <w:color w:val="000000"/>
                <w:kern w:val="0"/>
                <w:szCs w:val="21"/>
              </w:rPr>
            </w:pPr>
          </w:p>
        </w:tc>
      </w:tr>
      <w:tr w:rsidR="007D1E74" w14:paraId="6023E665" w14:textId="77777777">
        <w:trPr>
          <w:jc w:val="center"/>
        </w:trPr>
        <w:tc>
          <w:tcPr>
            <w:tcW w:w="2107" w:type="dxa"/>
            <w:shd w:val="clear" w:color="auto" w:fill="auto"/>
            <w:noWrap/>
            <w:vAlign w:val="center"/>
          </w:tcPr>
          <w:p w14:paraId="1C24D24A"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21</w:t>
            </w:r>
            <w:r>
              <w:rPr>
                <w:rFonts w:ascii="宋体" w:hAnsi="宋体" w:cs="Times New Roman" w:hint="eastAsia"/>
                <w:color w:val="000000"/>
                <w:kern w:val="0"/>
                <w:szCs w:val="21"/>
              </w:rPr>
              <w:t>）彩石鳑鮍</w:t>
            </w:r>
          </w:p>
        </w:tc>
        <w:tc>
          <w:tcPr>
            <w:tcW w:w="3700" w:type="dxa"/>
            <w:shd w:val="clear" w:color="auto" w:fill="auto"/>
            <w:noWrap/>
            <w:vAlign w:val="center"/>
          </w:tcPr>
          <w:p w14:paraId="4BA414BC" w14:textId="77777777" w:rsidR="007D1E74" w:rsidRDefault="00A95641">
            <w:pPr>
              <w:widowControl/>
              <w:jc w:val="left"/>
              <w:rPr>
                <w:rFonts w:cs="Times New Roman"/>
                <w:i/>
                <w:iCs/>
                <w:color w:val="000000"/>
                <w:kern w:val="0"/>
                <w:szCs w:val="21"/>
              </w:rPr>
            </w:pPr>
            <w:r>
              <w:rPr>
                <w:rFonts w:cs="Times New Roman"/>
                <w:i/>
                <w:iCs/>
                <w:color w:val="000000"/>
                <w:kern w:val="0"/>
                <w:szCs w:val="21"/>
              </w:rPr>
              <w:t>Rhodeus lighti</w:t>
            </w:r>
            <w:r>
              <w:rPr>
                <w:rFonts w:cs="Times New Roman"/>
                <w:color w:val="000000"/>
                <w:kern w:val="0"/>
                <w:szCs w:val="21"/>
              </w:rPr>
              <w:t xml:space="preserve"> (Wu)</w:t>
            </w:r>
          </w:p>
        </w:tc>
        <w:tc>
          <w:tcPr>
            <w:tcW w:w="851" w:type="dxa"/>
            <w:shd w:val="clear" w:color="auto" w:fill="auto"/>
            <w:noWrap/>
            <w:vAlign w:val="center"/>
          </w:tcPr>
          <w:p w14:paraId="70BC3E72"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00B48691"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289B1290" w14:textId="77777777" w:rsidR="007D1E74" w:rsidRDefault="007D1E74">
            <w:pPr>
              <w:widowControl/>
              <w:jc w:val="center"/>
              <w:rPr>
                <w:rFonts w:cs="Times New Roman"/>
                <w:color w:val="000000"/>
                <w:kern w:val="0"/>
                <w:szCs w:val="21"/>
              </w:rPr>
            </w:pPr>
          </w:p>
        </w:tc>
      </w:tr>
      <w:tr w:rsidR="007D1E74" w14:paraId="43A49945" w14:textId="77777777">
        <w:trPr>
          <w:jc w:val="center"/>
        </w:trPr>
        <w:tc>
          <w:tcPr>
            <w:tcW w:w="2107" w:type="dxa"/>
            <w:shd w:val="clear" w:color="auto" w:fill="auto"/>
            <w:noWrap/>
            <w:vAlign w:val="center"/>
          </w:tcPr>
          <w:p w14:paraId="5C4A8BFD"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22</w:t>
            </w:r>
            <w:r>
              <w:rPr>
                <w:rFonts w:ascii="宋体" w:hAnsi="宋体" w:cs="Times New Roman" w:hint="eastAsia"/>
                <w:color w:val="000000"/>
                <w:kern w:val="0"/>
                <w:szCs w:val="21"/>
              </w:rPr>
              <w:t>）高体鳑鮍</w:t>
            </w:r>
          </w:p>
        </w:tc>
        <w:tc>
          <w:tcPr>
            <w:tcW w:w="3700" w:type="dxa"/>
            <w:shd w:val="clear" w:color="auto" w:fill="auto"/>
            <w:noWrap/>
            <w:vAlign w:val="center"/>
          </w:tcPr>
          <w:p w14:paraId="32E96298" w14:textId="77777777" w:rsidR="007D1E74" w:rsidRDefault="00A95641">
            <w:pPr>
              <w:widowControl/>
              <w:jc w:val="left"/>
              <w:rPr>
                <w:rFonts w:cs="Times New Roman"/>
                <w:i/>
                <w:iCs/>
                <w:color w:val="000000"/>
                <w:kern w:val="0"/>
                <w:szCs w:val="21"/>
              </w:rPr>
            </w:pPr>
            <w:r>
              <w:rPr>
                <w:rFonts w:cs="Times New Roman"/>
                <w:i/>
                <w:iCs/>
                <w:color w:val="000000"/>
                <w:kern w:val="0"/>
                <w:szCs w:val="21"/>
              </w:rPr>
              <w:t>Rhodeus ocellatus</w:t>
            </w:r>
            <w:r>
              <w:rPr>
                <w:rFonts w:cs="Times New Roman"/>
                <w:color w:val="000000"/>
                <w:kern w:val="0"/>
                <w:szCs w:val="21"/>
              </w:rPr>
              <w:t xml:space="preserve"> (Kner)</w:t>
            </w:r>
          </w:p>
        </w:tc>
        <w:tc>
          <w:tcPr>
            <w:tcW w:w="851" w:type="dxa"/>
            <w:shd w:val="clear" w:color="auto" w:fill="auto"/>
            <w:noWrap/>
            <w:vAlign w:val="center"/>
          </w:tcPr>
          <w:p w14:paraId="3E783A75"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25678128"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0ED2AF87" w14:textId="77777777" w:rsidR="007D1E74" w:rsidRDefault="007D1E74">
            <w:pPr>
              <w:widowControl/>
              <w:jc w:val="center"/>
              <w:rPr>
                <w:rFonts w:cs="Times New Roman"/>
                <w:color w:val="000000"/>
                <w:kern w:val="0"/>
                <w:szCs w:val="21"/>
              </w:rPr>
            </w:pPr>
          </w:p>
        </w:tc>
      </w:tr>
      <w:tr w:rsidR="007D1E74" w14:paraId="1EEAAF33" w14:textId="77777777">
        <w:trPr>
          <w:jc w:val="center"/>
        </w:trPr>
        <w:tc>
          <w:tcPr>
            <w:tcW w:w="2107" w:type="dxa"/>
            <w:shd w:val="clear" w:color="auto" w:fill="auto"/>
            <w:noWrap/>
            <w:vAlign w:val="center"/>
          </w:tcPr>
          <w:p w14:paraId="1C98D3FF"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23</w:t>
            </w:r>
            <w:r>
              <w:rPr>
                <w:rFonts w:ascii="宋体" w:hAnsi="宋体" w:cs="Times New Roman" w:hint="eastAsia"/>
                <w:color w:val="000000"/>
                <w:kern w:val="0"/>
                <w:szCs w:val="21"/>
              </w:rPr>
              <w:t>）中华鳑鮍</w:t>
            </w:r>
            <w:r>
              <w:rPr>
                <w:rFonts w:cs="Times New Roman"/>
                <w:color w:val="000000"/>
                <w:kern w:val="0"/>
                <w:szCs w:val="21"/>
              </w:rPr>
              <w:t xml:space="preserve"> </w:t>
            </w:r>
          </w:p>
        </w:tc>
        <w:tc>
          <w:tcPr>
            <w:tcW w:w="3700" w:type="dxa"/>
            <w:shd w:val="clear" w:color="auto" w:fill="auto"/>
            <w:noWrap/>
            <w:vAlign w:val="center"/>
          </w:tcPr>
          <w:p w14:paraId="2E098EA4" w14:textId="77777777" w:rsidR="007D1E74" w:rsidRDefault="00A95641">
            <w:pPr>
              <w:widowControl/>
              <w:jc w:val="left"/>
              <w:rPr>
                <w:rFonts w:cs="Times New Roman"/>
                <w:color w:val="000000"/>
                <w:kern w:val="0"/>
                <w:szCs w:val="21"/>
              </w:rPr>
            </w:pPr>
            <w:r>
              <w:rPr>
                <w:rFonts w:cs="Times New Roman"/>
                <w:i/>
                <w:color w:val="000000"/>
                <w:kern w:val="0"/>
                <w:szCs w:val="21"/>
              </w:rPr>
              <w:t>Rhodeus sinensis</w:t>
            </w:r>
            <w:r>
              <w:rPr>
                <w:rFonts w:cs="Times New Roman"/>
                <w:color w:val="000000"/>
                <w:kern w:val="0"/>
                <w:szCs w:val="21"/>
              </w:rPr>
              <w:t xml:space="preserve"> (Günther)</w:t>
            </w:r>
          </w:p>
        </w:tc>
        <w:tc>
          <w:tcPr>
            <w:tcW w:w="851" w:type="dxa"/>
            <w:shd w:val="clear" w:color="auto" w:fill="auto"/>
            <w:noWrap/>
            <w:vAlign w:val="center"/>
          </w:tcPr>
          <w:p w14:paraId="3FB1FB7A"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2A093F41"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3FCC627A" w14:textId="77777777" w:rsidR="007D1E74" w:rsidRDefault="007D1E74">
            <w:pPr>
              <w:widowControl/>
              <w:jc w:val="center"/>
              <w:rPr>
                <w:rFonts w:cs="Times New Roman"/>
                <w:color w:val="000000"/>
                <w:kern w:val="0"/>
                <w:szCs w:val="21"/>
              </w:rPr>
            </w:pPr>
          </w:p>
        </w:tc>
      </w:tr>
      <w:tr w:rsidR="007D1E74" w14:paraId="29E7DD88" w14:textId="77777777">
        <w:trPr>
          <w:jc w:val="center"/>
        </w:trPr>
        <w:tc>
          <w:tcPr>
            <w:tcW w:w="2107" w:type="dxa"/>
            <w:shd w:val="clear" w:color="auto" w:fill="auto"/>
            <w:noWrap/>
            <w:vAlign w:val="center"/>
          </w:tcPr>
          <w:p w14:paraId="2C4FF8F1" w14:textId="77777777" w:rsidR="007D1E74" w:rsidRDefault="00A95641">
            <w:pPr>
              <w:widowControl/>
              <w:jc w:val="left"/>
              <w:rPr>
                <w:rFonts w:cs="Times New Roman"/>
                <w:color w:val="000000"/>
                <w:kern w:val="0"/>
                <w:szCs w:val="21"/>
              </w:rPr>
            </w:pPr>
            <w:r>
              <w:rPr>
                <w:rFonts w:cs="Times New Roman"/>
                <w:color w:val="000000"/>
                <w:kern w:val="0"/>
                <w:szCs w:val="21"/>
              </w:rPr>
              <w:t>20</w:t>
            </w:r>
            <w:r>
              <w:rPr>
                <w:rFonts w:ascii="宋体" w:hAnsi="宋体" w:cs="Times New Roman" w:hint="eastAsia"/>
                <w:color w:val="000000"/>
                <w:kern w:val="0"/>
                <w:szCs w:val="21"/>
              </w:rPr>
              <w:t>、飘鱼属</w:t>
            </w:r>
          </w:p>
        </w:tc>
        <w:tc>
          <w:tcPr>
            <w:tcW w:w="3700" w:type="dxa"/>
            <w:shd w:val="clear" w:color="auto" w:fill="auto"/>
            <w:noWrap/>
            <w:vAlign w:val="center"/>
          </w:tcPr>
          <w:p w14:paraId="130DFEFC"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1AFBBD53"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469AE056"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3E9D0C26" w14:textId="77777777" w:rsidR="007D1E74" w:rsidRDefault="007D1E74">
            <w:pPr>
              <w:widowControl/>
              <w:jc w:val="center"/>
              <w:rPr>
                <w:rFonts w:cs="Times New Roman"/>
                <w:color w:val="000000"/>
                <w:kern w:val="0"/>
                <w:szCs w:val="21"/>
              </w:rPr>
            </w:pPr>
          </w:p>
        </w:tc>
      </w:tr>
      <w:tr w:rsidR="007D1E74" w14:paraId="1C766282" w14:textId="77777777">
        <w:trPr>
          <w:jc w:val="center"/>
        </w:trPr>
        <w:tc>
          <w:tcPr>
            <w:tcW w:w="2107" w:type="dxa"/>
            <w:shd w:val="clear" w:color="auto" w:fill="auto"/>
            <w:noWrap/>
            <w:vAlign w:val="center"/>
          </w:tcPr>
          <w:p w14:paraId="3F2A6813"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24</w:t>
            </w:r>
            <w:r>
              <w:rPr>
                <w:rFonts w:ascii="宋体" w:hAnsi="宋体" w:cs="Times New Roman" w:hint="eastAsia"/>
                <w:color w:val="000000"/>
                <w:kern w:val="0"/>
                <w:szCs w:val="21"/>
              </w:rPr>
              <w:t>）银飘鱼</w:t>
            </w:r>
          </w:p>
        </w:tc>
        <w:tc>
          <w:tcPr>
            <w:tcW w:w="3700" w:type="dxa"/>
            <w:shd w:val="clear" w:color="auto" w:fill="auto"/>
            <w:noWrap/>
            <w:vAlign w:val="center"/>
          </w:tcPr>
          <w:p w14:paraId="58E7672F" w14:textId="77777777" w:rsidR="007D1E74" w:rsidRDefault="00A95641">
            <w:pPr>
              <w:widowControl/>
              <w:jc w:val="left"/>
              <w:rPr>
                <w:rFonts w:cs="Times New Roman"/>
                <w:color w:val="000000"/>
                <w:kern w:val="0"/>
                <w:szCs w:val="21"/>
              </w:rPr>
            </w:pPr>
            <w:r>
              <w:rPr>
                <w:rFonts w:cs="Times New Roman"/>
                <w:color w:val="000000"/>
                <w:kern w:val="0"/>
                <w:szCs w:val="21"/>
              </w:rPr>
              <w:t>Pseudolaubuca sinensis Bleeker</w:t>
            </w:r>
          </w:p>
        </w:tc>
        <w:tc>
          <w:tcPr>
            <w:tcW w:w="851" w:type="dxa"/>
            <w:shd w:val="clear" w:color="auto" w:fill="auto"/>
            <w:noWrap/>
            <w:vAlign w:val="center"/>
          </w:tcPr>
          <w:p w14:paraId="406E5E73"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652A3C97"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20634C64" w14:textId="77777777" w:rsidR="007D1E74" w:rsidRDefault="007D1E74">
            <w:pPr>
              <w:widowControl/>
              <w:jc w:val="center"/>
              <w:rPr>
                <w:rFonts w:cs="Times New Roman"/>
                <w:color w:val="000000"/>
                <w:kern w:val="0"/>
                <w:szCs w:val="21"/>
              </w:rPr>
            </w:pPr>
          </w:p>
        </w:tc>
      </w:tr>
      <w:tr w:rsidR="007D1E74" w14:paraId="488D3E3D" w14:textId="77777777">
        <w:trPr>
          <w:jc w:val="center"/>
        </w:trPr>
        <w:tc>
          <w:tcPr>
            <w:tcW w:w="2107" w:type="dxa"/>
            <w:shd w:val="clear" w:color="auto" w:fill="auto"/>
            <w:noWrap/>
            <w:vAlign w:val="center"/>
          </w:tcPr>
          <w:p w14:paraId="04ADE853" w14:textId="77777777" w:rsidR="007D1E74" w:rsidRDefault="00A95641">
            <w:pPr>
              <w:widowControl/>
              <w:jc w:val="left"/>
              <w:rPr>
                <w:rFonts w:cs="Times New Roman"/>
                <w:color w:val="000000"/>
                <w:kern w:val="0"/>
                <w:szCs w:val="21"/>
              </w:rPr>
            </w:pPr>
            <w:r>
              <w:rPr>
                <w:rFonts w:cs="Times New Roman"/>
                <w:color w:val="000000"/>
                <w:kern w:val="0"/>
                <w:szCs w:val="21"/>
              </w:rPr>
              <w:t>21</w:t>
            </w:r>
            <w:r>
              <w:rPr>
                <w:rFonts w:ascii="宋体" w:hAnsi="宋体" w:cs="Times New Roman" w:hint="eastAsia"/>
                <w:color w:val="000000"/>
                <w:kern w:val="0"/>
                <w:szCs w:val="21"/>
              </w:rPr>
              <w:t>、原鲌属</w:t>
            </w:r>
          </w:p>
        </w:tc>
        <w:tc>
          <w:tcPr>
            <w:tcW w:w="3700" w:type="dxa"/>
            <w:shd w:val="clear" w:color="auto" w:fill="auto"/>
            <w:noWrap/>
            <w:vAlign w:val="center"/>
          </w:tcPr>
          <w:p w14:paraId="1EB67C7D"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59D29410"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7E86FCAE"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1B989B5F" w14:textId="77777777" w:rsidR="007D1E74" w:rsidRDefault="007D1E74">
            <w:pPr>
              <w:widowControl/>
              <w:jc w:val="center"/>
              <w:rPr>
                <w:rFonts w:cs="Times New Roman"/>
                <w:color w:val="000000"/>
                <w:kern w:val="0"/>
                <w:szCs w:val="21"/>
              </w:rPr>
            </w:pPr>
          </w:p>
        </w:tc>
      </w:tr>
      <w:tr w:rsidR="007D1E74" w14:paraId="0EB98D9D" w14:textId="77777777">
        <w:trPr>
          <w:jc w:val="center"/>
        </w:trPr>
        <w:tc>
          <w:tcPr>
            <w:tcW w:w="2107" w:type="dxa"/>
            <w:shd w:val="clear" w:color="auto" w:fill="auto"/>
            <w:noWrap/>
            <w:vAlign w:val="center"/>
          </w:tcPr>
          <w:p w14:paraId="6D9982DF"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25</w:t>
            </w:r>
            <w:r>
              <w:rPr>
                <w:rFonts w:ascii="宋体" w:hAnsi="宋体" w:cs="Times New Roman" w:hint="eastAsia"/>
                <w:color w:val="000000"/>
                <w:kern w:val="0"/>
                <w:szCs w:val="21"/>
              </w:rPr>
              <w:t>）红鳍原鲌</w:t>
            </w:r>
          </w:p>
        </w:tc>
        <w:tc>
          <w:tcPr>
            <w:tcW w:w="3700" w:type="dxa"/>
            <w:shd w:val="clear" w:color="auto" w:fill="auto"/>
            <w:noWrap/>
            <w:vAlign w:val="center"/>
          </w:tcPr>
          <w:p w14:paraId="353EA79D" w14:textId="77777777" w:rsidR="007D1E74" w:rsidRDefault="00A95641">
            <w:pPr>
              <w:widowControl/>
              <w:jc w:val="left"/>
              <w:rPr>
                <w:rFonts w:cs="Times New Roman"/>
                <w:i/>
                <w:iCs/>
                <w:color w:val="000000"/>
                <w:kern w:val="0"/>
                <w:szCs w:val="21"/>
              </w:rPr>
            </w:pPr>
            <w:r>
              <w:rPr>
                <w:rFonts w:cs="Times New Roman"/>
                <w:i/>
                <w:iCs/>
                <w:color w:val="000000"/>
                <w:kern w:val="0"/>
                <w:szCs w:val="21"/>
              </w:rPr>
              <w:t xml:space="preserve">Chanodichthys erythropterus </w:t>
            </w:r>
            <w:r>
              <w:rPr>
                <w:rFonts w:cs="Times New Roman"/>
                <w:color w:val="000000"/>
                <w:kern w:val="0"/>
                <w:szCs w:val="21"/>
              </w:rPr>
              <w:t>(Basilewsky)</w:t>
            </w:r>
          </w:p>
        </w:tc>
        <w:tc>
          <w:tcPr>
            <w:tcW w:w="851" w:type="dxa"/>
            <w:shd w:val="clear" w:color="auto" w:fill="auto"/>
            <w:noWrap/>
            <w:vAlign w:val="center"/>
          </w:tcPr>
          <w:p w14:paraId="3FB0FC97"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03D6FC6F"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699EDE0D" w14:textId="77777777" w:rsidR="007D1E74" w:rsidRDefault="007D1E74">
            <w:pPr>
              <w:widowControl/>
              <w:jc w:val="center"/>
              <w:rPr>
                <w:rFonts w:cs="Times New Roman"/>
                <w:color w:val="000000"/>
                <w:kern w:val="0"/>
                <w:szCs w:val="21"/>
              </w:rPr>
            </w:pPr>
          </w:p>
        </w:tc>
      </w:tr>
      <w:tr w:rsidR="007D1E74" w14:paraId="24AFD079" w14:textId="77777777">
        <w:trPr>
          <w:jc w:val="center"/>
        </w:trPr>
        <w:tc>
          <w:tcPr>
            <w:tcW w:w="2107" w:type="dxa"/>
            <w:shd w:val="clear" w:color="auto" w:fill="auto"/>
            <w:noWrap/>
            <w:vAlign w:val="center"/>
          </w:tcPr>
          <w:p w14:paraId="7F7A814B" w14:textId="77777777" w:rsidR="007D1E74" w:rsidRDefault="00A95641">
            <w:pPr>
              <w:widowControl/>
              <w:jc w:val="left"/>
              <w:rPr>
                <w:rFonts w:cs="Times New Roman"/>
                <w:color w:val="000000"/>
                <w:kern w:val="0"/>
                <w:szCs w:val="21"/>
              </w:rPr>
            </w:pPr>
            <w:r>
              <w:rPr>
                <w:rFonts w:cs="Times New Roman"/>
                <w:color w:val="000000"/>
                <w:kern w:val="0"/>
                <w:szCs w:val="21"/>
              </w:rPr>
              <w:t>22</w:t>
            </w:r>
            <w:r>
              <w:rPr>
                <w:rFonts w:ascii="宋体" w:hAnsi="宋体" w:cs="Times New Roman" w:hint="eastAsia"/>
                <w:color w:val="000000"/>
                <w:kern w:val="0"/>
                <w:szCs w:val="21"/>
              </w:rPr>
              <w:t>、鲌属</w:t>
            </w:r>
          </w:p>
        </w:tc>
        <w:tc>
          <w:tcPr>
            <w:tcW w:w="3700" w:type="dxa"/>
            <w:shd w:val="clear" w:color="auto" w:fill="auto"/>
            <w:noWrap/>
            <w:vAlign w:val="center"/>
          </w:tcPr>
          <w:p w14:paraId="19BF2278"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549A11C3"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35A83A36"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11CDF154" w14:textId="77777777" w:rsidR="007D1E74" w:rsidRDefault="007D1E74">
            <w:pPr>
              <w:widowControl/>
              <w:jc w:val="center"/>
              <w:rPr>
                <w:rFonts w:cs="Times New Roman"/>
                <w:color w:val="000000"/>
                <w:kern w:val="0"/>
                <w:szCs w:val="21"/>
              </w:rPr>
            </w:pPr>
          </w:p>
        </w:tc>
      </w:tr>
      <w:tr w:rsidR="007D1E74" w14:paraId="6596199C" w14:textId="77777777">
        <w:trPr>
          <w:jc w:val="center"/>
        </w:trPr>
        <w:tc>
          <w:tcPr>
            <w:tcW w:w="2107" w:type="dxa"/>
            <w:shd w:val="clear" w:color="auto" w:fill="auto"/>
            <w:noWrap/>
            <w:vAlign w:val="center"/>
          </w:tcPr>
          <w:p w14:paraId="07DD8B33"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26</w:t>
            </w:r>
            <w:r>
              <w:rPr>
                <w:rFonts w:ascii="宋体" w:hAnsi="宋体" w:cs="Times New Roman" w:hint="eastAsia"/>
                <w:color w:val="000000"/>
                <w:kern w:val="0"/>
                <w:szCs w:val="21"/>
              </w:rPr>
              <w:t>）尖头原鲌</w:t>
            </w:r>
          </w:p>
        </w:tc>
        <w:tc>
          <w:tcPr>
            <w:tcW w:w="3700" w:type="dxa"/>
            <w:shd w:val="clear" w:color="auto" w:fill="auto"/>
            <w:noWrap/>
            <w:vAlign w:val="center"/>
          </w:tcPr>
          <w:p w14:paraId="5931E3D1" w14:textId="77777777" w:rsidR="007D1E74" w:rsidRDefault="00A95641">
            <w:pPr>
              <w:widowControl/>
              <w:jc w:val="left"/>
              <w:rPr>
                <w:rFonts w:cs="Times New Roman"/>
                <w:i/>
                <w:iCs/>
                <w:color w:val="000000"/>
                <w:kern w:val="0"/>
                <w:szCs w:val="21"/>
              </w:rPr>
            </w:pPr>
            <w:r>
              <w:rPr>
                <w:rFonts w:cs="Times New Roman"/>
                <w:i/>
                <w:iCs/>
                <w:color w:val="000000"/>
                <w:kern w:val="0"/>
                <w:szCs w:val="21"/>
              </w:rPr>
              <w:t>Chanodichthys oxycephalus</w:t>
            </w:r>
            <w:r>
              <w:rPr>
                <w:rFonts w:cs="Times New Roman"/>
                <w:color w:val="000000"/>
                <w:kern w:val="0"/>
                <w:szCs w:val="21"/>
              </w:rPr>
              <w:t xml:space="preserve"> (Bleeker)</w:t>
            </w:r>
          </w:p>
        </w:tc>
        <w:tc>
          <w:tcPr>
            <w:tcW w:w="851" w:type="dxa"/>
            <w:shd w:val="clear" w:color="auto" w:fill="auto"/>
            <w:noWrap/>
            <w:vAlign w:val="center"/>
          </w:tcPr>
          <w:p w14:paraId="69FD9CEB"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4179D4F6"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79EBC94A" w14:textId="77777777" w:rsidR="007D1E74" w:rsidRDefault="007D1E74">
            <w:pPr>
              <w:widowControl/>
              <w:jc w:val="center"/>
              <w:rPr>
                <w:rFonts w:cs="Times New Roman"/>
                <w:color w:val="000000"/>
                <w:kern w:val="0"/>
                <w:szCs w:val="21"/>
              </w:rPr>
            </w:pPr>
          </w:p>
        </w:tc>
      </w:tr>
      <w:tr w:rsidR="007D1E74" w14:paraId="60DB671C" w14:textId="77777777">
        <w:trPr>
          <w:jc w:val="center"/>
        </w:trPr>
        <w:tc>
          <w:tcPr>
            <w:tcW w:w="2107" w:type="dxa"/>
            <w:shd w:val="clear" w:color="000000" w:fill="FFFFFF"/>
            <w:noWrap/>
            <w:vAlign w:val="center"/>
          </w:tcPr>
          <w:p w14:paraId="4A616E15" w14:textId="77777777" w:rsidR="007D1E74" w:rsidRDefault="00A95641">
            <w:pPr>
              <w:widowControl/>
              <w:jc w:val="left"/>
              <w:rPr>
                <w:rFonts w:cs="Times New Roman"/>
                <w:color w:val="000000"/>
                <w:kern w:val="0"/>
                <w:szCs w:val="21"/>
              </w:rPr>
            </w:pPr>
            <w:r>
              <w:rPr>
                <w:rFonts w:cs="Times New Roman"/>
                <w:color w:val="000000"/>
                <w:kern w:val="0"/>
                <w:szCs w:val="21"/>
              </w:rPr>
              <w:t>23</w:t>
            </w:r>
            <w:r>
              <w:rPr>
                <w:rFonts w:ascii="宋体" w:hAnsi="宋体" w:cs="Times New Roman" w:hint="eastAsia"/>
                <w:color w:val="000000"/>
                <w:kern w:val="0"/>
                <w:szCs w:val="21"/>
              </w:rPr>
              <w:t>、䱗属</w:t>
            </w:r>
          </w:p>
        </w:tc>
        <w:tc>
          <w:tcPr>
            <w:tcW w:w="3700" w:type="dxa"/>
            <w:shd w:val="clear" w:color="auto" w:fill="auto"/>
            <w:noWrap/>
            <w:vAlign w:val="center"/>
          </w:tcPr>
          <w:p w14:paraId="16C8F180"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35E5751F"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3ECAF3E3"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0AFB2C33" w14:textId="77777777" w:rsidR="007D1E74" w:rsidRDefault="007D1E74">
            <w:pPr>
              <w:widowControl/>
              <w:jc w:val="center"/>
              <w:rPr>
                <w:rFonts w:cs="Times New Roman"/>
                <w:color w:val="000000"/>
                <w:kern w:val="0"/>
                <w:szCs w:val="21"/>
              </w:rPr>
            </w:pPr>
          </w:p>
        </w:tc>
      </w:tr>
      <w:tr w:rsidR="007D1E74" w14:paraId="5FAF73BA" w14:textId="77777777">
        <w:trPr>
          <w:jc w:val="center"/>
        </w:trPr>
        <w:tc>
          <w:tcPr>
            <w:tcW w:w="2107" w:type="dxa"/>
            <w:shd w:val="clear" w:color="000000" w:fill="FFFFFF"/>
            <w:noWrap/>
            <w:vAlign w:val="center"/>
          </w:tcPr>
          <w:p w14:paraId="5C0F7B0E"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27</w:t>
            </w:r>
            <w:r>
              <w:rPr>
                <w:rFonts w:ascii="宋体" w:hAnsi="宋体" w:cs="Times New Roman" w:hint="eastAsia"/>
                <w:color w:val="000000"/>
                <w:kern w:val="0"/>
                <w:szCs w:val="21"/>
              </w:rPr>
              <w:t>）䱗</w:t>
            </w:r>
          </w:p>
        </w:tc>
        <w:tc>
          <w:tcPr>
            <w:tcW w:w="3700" w:type="dxa"/>
            <w:shd w:val="clear" w:color="auto" w:fill="auto"/>
            <w:noWrap/>
            <w:vAlign w:val="center"/>
          </w:tcPr>
          <w:p w14:paraId="58F0B8C7" w14:textId="77777777" w:rsidR="007D1E74" w:rsidRDefault="00A95641">
            <w:pPr>
              <w:widowControl/>
              <w:jc w:val="left"/>
              <w:rPr>
                <w:rFonts w:cs="Times New Roman"/>
                <w:i/>
                <w:iCs/>
                <w:color w:val="000000"/>
                <w:kern w:val="0"/>
                <w:szCs w:val="21"/>
              </w:rPr>
            </w:pPr>
            <w:r>
              <w:rPr>
                <w:rFonts w:cs="Times New Roman"/>
                <w:i/>
                <w:iCs/>
                <w:color w:val="000000"/>
                <w:kern w:val="0"/>
                <w:szCs w:val="21"/>
              </w:rPr>
              <w:t>Hemiculter leucisculus</w:t>
            </w:r>
            <w:r>
              <w:rPr>
                <w:rFonts w:cs="Times New Roman"/>
                <w:color w:val="000000"/>
                <w:kern w:val="0"/>
                <w:szCs w:val="21"/>
              </w:rPr>
              <w:t xml:space="preserve"> (Basilewsky)</w:t>
            </w:r>
          </w:p>
        </w:tc>
        <w:tc>
          <w:tcPr>
            <w:tcW w:w="851" w:type="dxa"/>
            <w:shd w:val="clear" w:color="auto" w:fill="auto"/>
            <w:noWrap/>
            <w:vAlign w:val="center"/>
          </w:tcPr>
          <w:p w14:paraId="25ED8B54"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2506D19C"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11A41B13" w14:textId="77777777" w:rsidR="007D1E74" w:rsidRDefault="007D1E74">
            <w:pPr>
              <w:widowControl/>
              <w:jc w:val="center"/>
              <w:rPr>
                <w:rFonts w:cs="Times New Roman"/>
                <w:color w:val="000000"/>
                <w:kern w:val="0"/>
                <w:szCs w:val="21"/>
              </w:rPr>
            </w:pPr>
          </w:p>
        </w:tc>
      </w:tr>
      <w:tr w:rsidR="007D1E74" w14:paraId="733520CE" w14:textId="77777777">
        <w:trPr>
          <w:jc w:val="center"/>
        </w:trPr>
        <w:tc>
          <w:tcPr>
            <w:tcW w:w="2107" w:type="dxa"/>
            <w:vMerge w:val="restart"/>
            <w:shd w:val="clear" w:color="auto" w:fill="auto"/>
            <w:noWrap/>
            <w:vAlign w:val="center"/>
          </w:tcPr>
          <w:p w14:paraId="68F79FE1"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28</w:t>
            </w:r>
            <w:r>
              <w:rPr>
                <w:rFonts w:ascii="宋体" w:hAnsi="宋体" w:cs="Times New Roman" w:hint="eastAsia"/>
                <w:color w:val="000000"/>
                <w:kern w:val="0"/>
                <w:szCs w:val="21"/>
              </w:rPr>
              <w:t>）黑尾䱗</w:t>
            </w:r>
          </w:p>
        </w:tc>
        <w:tc>
          <w:tcPr>
            <w:tcW w:w="3700" w:type="dxa"/>
            <w:vMerge w:val="restart"/>
            <w:shd w:val="clear" w:color="auto" w:fill="auto"/>
            <w:noWrap/>
            <w:vAlign w:val="center"/>
          </w:tcPr>
          <w:p w14:paraId="7EBD577F" w14:textId="77777777" w:rsidR="007D1E74" w:rsidRDefault="00A95641">
            <w:pPr>
              <w:widowControl/>
              <w:jc w:val="left"/>
              <w:rPr>
                <w:rFonts w:cs="Times New Roman"/>
                <w:i/>
                <w:iCs/>
                <w:color w:val="000000"/>
                <w:kern w:val="0"/>
                <w:szCs w:val="21"/>
              </w:rPr>
            </w:pPr>
            <w:r>
              <w:rPr>
                <w:rFonts w:cs="Times New Roman"/>
                <w:i/>
                <w:iCs/>
                <w:color w:val="000000"/>
                <w:kern w:val="0"/>
                <w:szCs w:val="21"/>
              </w:rPr>
              <w:t xml:space="preserve">Hemiculter tchangi </w:t>
            </w:r>
            <w:r>
              <w:rPr>
                <w:rFonts w:cs="Times New Roman"/>
                <w:color w:val="000000"/>
                <w:kern w:val="0"/>
                <w:szCs w:val="21"/>
              </w:rPr>
              <w:t>Fang</w:t>
            </w:r>
          </w:p>
        </w:tc>
        <w:tc>
          <w:tcPr>
            <w:tcW w:w="851" w:type="dxa"/>
            <w:shd w:val="clear" w:color="auto" w:fill="auto"/>
            <w:noWrap/>
            <w:vAlign w:val="center"/>
          </w:tcPr>
          <w:p w14:paraId="40D29E65"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6B135AE3"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60929A45" w14:textId="77777777" w:rsidR="007D1E74" w:rsidRDefault="007D1E74">
            <w:pPr>
              <w:widowControl/>
              <w:jc w:val="center"/>
              <w:rPr>
                <w:rFonts w:cs="Times New Roman"/>
                <w:color w:val="000000"/>
                <w:kern w:val="0"/>
                <w:szCs w:val="21"/>
              </w:rPr>
            </w:pPr>
          </w:p>
        </w:tc>
      </w:tr>
      <w:tr w:rsidR="007D1E74" w14:paraId="31E49B51" w14:textId="77777777">
        <w:trPr>
          <w:jc w:val="center"/>
        </w:trPr>
        <w:tc>
          <w:tcPr>
            <w:tcW w:w="2107" w:type="dxa"/>
            <w:vMerge/>
            <w:vAlign w:val="center"/>
          </w:tcPr>
          <w:p w14:paraId="58387393" w14:textId="77777777" w:rsidR="007D1E74" w:rsidRDefault="007D1E74">
            <w:pPr>
              <w:widowControl/>
              <w:jc w:val="left"/>
              <w:rPr>
                <w:rFonts w:cs="Times New Roman"/>
                <w:color w:val="000000"/>
                <w:kern w:val="0"/>
                <w:szCs w:val="21"/>
              </w:rPr>
            </w:pPr>
          </w:p>
        </w:tc>
        <w:tc>
          <w:tcPr>
            <w:tcW w:w="3700" w:type="dxa"/>
            <w:vMerge/>
            <w:vAlign w:val="center"/>
          </w:tcPr>
          <w:p w14:paraId="08B6A83F" w14:textId="77777777" w:rsidR="007D1E74" w:rsidRDefault="007D1E74">
            <w:pPr>
              <w:widowControl/>
              <w:jc w:val="left"/>
              <w:rPr>
                <w:rFonts w:cs="Times New Roman"/>
                <w:i/>
                <w:iCs/>
                <w:color w:val="000000"/>
                <w:kern w:val="0"/>
                <w:szCs w:val="21"/>
              </w:rPr>
            </w:pPr>
          </w:p>
        </w:tc>
        <w:tc>
          <w:tcPr>
            <w:tcW w:w="851" w:type="dxa"/>
            <w:shd w:val="clear" w:color="auto" w:fill="auto"/>
            <w:noWrap/>
            <w:vAlign w:val="center"/>
          </w:tcPr>
          <w:p w14:paraId="62612432"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43B66B8E"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4848F4D0" w14:textId="77777777" w:rsidR="007D1E74" w:rsidRDefault="00A95641">
            <w:pPr>
              <w:widowControl/>
              <w:jc w:val="center"/>
              <w:rPr>
                <w:rFonts w:cs="Times New Roman"/>
                <w:color w:val="000000"/>
                <w:kern w:val="0"/>
                <w:szCs w:val="21"/>
              </w:rPr>
            </w:pPr>
            <w:r>
              <w:rPr>
                <w:rFonts w:ascii="宋体" w:hAnsi="宋体" w:cs="Times New Roman" w:hint="eastAsia"/>
                <w:color w:val="000000"/>
                <w:kern w:val="0"/>
                <w:szCs w:val="21"/>
              </w:rPr>
              <w:t>＊</w:t>
            </w:r>
          </w:p>
        </w:tc>
      </w:tr>
      <w:tr w:rsidR="007D1E74" w14:paraId="08140624" w14:textId="77777777">
        <w:trPr>
          <w:jc w:val="center"/>
        </w:trPr>
        <w:tc>
          <w:tcPr>
            <w:tcW w:w="2107" w:type="dxa"/>
            <w:shd w:val="clear" w:color="auto" w:fill="auto"/>
            <w:noWrap/>
            <w:vAlign w:val="center"/>
          </w:tcPr>
          <w:p w14:paraId="2A273E68" w14:textId="77777777" w:rsidR="007D1E74" w:rsidRDefault="00A95641">
            <w:pPr>
              <w:widowControl/>
              <w:jc w:val="left"/>
              <w:rPr>
                <w:rFonts w:cs="Times New Roman"/>
                <w:color w:val="000000"/>
                <w:kern w:val="0"/>
                <w:szCs w:val="21"/>
              </w:rPr>
            </w:pPr>
            <w:r>
              <w:rPr>
                <w:rFonts w:cs="Times New Roman"/>
                <w:color w:val="000000"/>
                <w:kern w:val="0"/>
                <w:szCs w:val="21"/>
              </w:rPr>
              <w:t>24</w:t>
            </w:r>
            <w:r>
              <w:rPr>
                <w:rFonts w:ascii="宋体" w:hAnsi="宋体" w:cs="Times New Roman" w:hint="eastAsia"/>
                <w:color w:val="000000"/>
                <w:kern w:val="0"/>
                <w:szCs w:val="21"/>
              </w:rPr>
              <w:t>、半䱗属</w:t>
            </w:r>
          </w:p>
        </w:tc>
        <w:tc>
          <w:tcPr>
            <w:tcW w:w="3700" w:type="dxa"/>
            <w:shd w:val="clear" w:color="auto" w:fill="auto"/>
            <w:noWrap/>
            <w:vAlign w:val="center"/>
          </w:tcPr>
          <w:p w14:paraId="3E91D64D"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7BD71C7D"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066CE36C"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1A5D4B07" w14:textId="77777777" w:rsidR="007D1E74" w:rsidRDefault="007D1E74">
            <w:pPr>
              <w:widowControl/>
              <w:jc w:val="center"/>
              <w:rPr>
                <w:rFonts w:cs="Times New Roman"/>
                <w:color w:val="000000"/>
                <w:kern w:val="0"/>
                <w:szCs w:val="21"/>
              </w:rPr>
            </w:pPr>
          </w:p>
        </w:tc>
      </w:tr>
      <w:tr w:rsidR="007D1E74" w14:paraId="19B84AD8" w14:textId="77777777">
        <w:trPr>
          <w:jc w:val="center"/>
        </w:trPr>
        <w:tc>
          <w:tcPr>
            <w:tcW w:w="2107" w:type="dxa"/>
            <w:shd w:val="clear" w:color="auto" w:fill="auto"/>
            <w:noWrap/>
            <w:vAlign w:val="center"/>
          </w:tcPr>
          <w:p w14:paraId="033C4835"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29</w:t>
            </w:r>
            <w:r>
              <w:rPr>
                <w:rFonts w:ascii="宋体" w:hAnsi="宋体" w:cs="Times New Roman" w:hint="eastAsia"/>
                <w:color w:val="000000"/>
                <w:kern w:val="0"/>
                <w:szCs w:val="21"/>
              </w:rPr>
              <w:t>）半䱗</w:t>
            </w:r>
          </w:p>
        </w:tc>
        <w:tc>
          <w:tcPr>
            <w:tcW w:w="3700" w:type="dxa"/>
            <w:shd w:val="clear" w:color="auto" w:fill="auto"/>
            <w:noWrap/>
            <w:vAlign w:val="center"/>
          </w:tcPr>
          <w:p w14:paraId="3AAAC46A" w14:textId="77777777" w:rsidR="007D1E74" w:rsidRDefault="00A95641">
            <w:pPr>
              <w:widowControl/>
              <w:jc w:val="left"/>
              <w:rPr>
                <w:rFonts w:cs="Times New Roman"/>
                <w:i/>
                <w:iCs/>
                <w:color w:val="000000"/>
                <w:kern w:val="0"/>
                <w:szCs w:val="21"/>
              </w:rPr>
            </w:pPr>
            <w:r>
              <w:rPr>
                <w:rFonts w:cs="Times New Roman"/>
                <w:i/>
                <w:iCs/>
                <w:color w:val="000000"/>
                <w:kern w:val="0"/>
                <w:szCs w:val="21"/>
              </w:rPr>
              <w:t>Hemiculterella sauvagei</w:t>
            </w:r>
            <w:r>
              <w:rPr>
                <w:rFonts w:cs="Times New Roman"/>
                <w:color w:val="000000"/>
                <w:kern w:val="0"/>
                <w:szCs w:val="21"/>
              </w:rPr>
              <w:t xml:space="preserve"> Warpachowsky</w:t>
            </w:r>
          </w:p>
        </w:tc>
        <w:tc>
          <w:tcPr>
            <w:tcW w:w="851" w:type="dxa"/>
            <w:shd w:val="clear" w:color="auto" w:fill="auto"/>
            <w:noWrap/>
            <w:vAlign w:val="center"/>
          </w:tcPr>
          <w:p w14:paraId="443DE1F7"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151287D7"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02F2050C" w14:textId="77777777" w:rsidR="007D1E74" w:rsidRDefault="007D1E74">
            <w:pPr>
              <w:widowControl/>
              <w:jc w:val="center"/>
              <w:rPr>
                <w:rFonts w:cs="Times New Roman"/>
                <w:color w:val="000000"/>
                <w:kern w:val="0"/>
                <w:szCs w:val="21"/>
              </w:rPr>
            </w:pPr>
          </w:p>
        </w:tc>
      </w:tr>
      <w:tr w:rsidR="007D1E74" w14:paraId="741AC6CF" w14:textId="77777777">
        <w:trPr>
          <w:jc w:val="center"/>
        </w:trPr>
        <w:tc>
          <w:tcPr>
            <w:tcW w:w="2107" w:type="dxa"/>
            <w:shd w:val="clear" w:color="auto" w:fill="auto"/>
            <w:noWrap/>
            <w:vAlign w:val="center"/>
          </w:tcPr>
          <w:p w14:paraId="4E1BFDC3" w14:textId="77777777" w:rsidR="007D1E74" w:rsidRDefault="00A95641">
            <w:pPr>
              <w:widowControl/>
              <w:jc w:val="left"/>
              <w:rPr>
                <w:rFonts w:cs="Times New Roman"/>
                <w:color w:val="000000"/>
                <w:kern w:val="0"/>
                <w:szCs w:val="21"/>
              </w:rPr>
            </w:pPr>
            <w:r>
              <w:rPr>
                <w:rFonts w:cs="Times New Roman"/>
                <w:color w:val="000000"/>
                <w:kern w:val="0"/>
                <w:szCs w:val="21"/>
              </w:rPr>
              <w:t>25</w:t>
            </w:r>
            <w:r>
              <w:rPr>
                <w:rFonts w:ascii="宋体" w:hAnsi="宋体" w:cs="Times New Roman" w:hint="eastAsia"/>
                <w:color w:val="000000"/>
                <w:kern w:val="0"/>
                <w:szCs w:val="21"/>
              </w:rPr>
              <w:t>、鲂属</w:t>
            </w:r>
          </w:p>
        </w:tc>
        <w:tc>
          <w:tcPr>
            <w:tcW w:w="3700" w:type="dxa"/>
            <w:shd w:val="clear" w:color="auto" w:fill="auto"/>
            <w:noWrap/>
            <w:vAlign w:val="center"/>
          </w:tcPr>
          <w:p w14:paraId="22E302A6"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79E967DA"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0A421654"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245F3902" w14:textId="77777777" w:rsidR="007D1E74" w:rsidRDefault="007D1E74">
            <w:pPr>
              <w:widowControl/>
              <w:jc w:val="center"/>
              <w:rPr>
                <w:rFonts w:cs="Times New Roman"/>
                <w:color w:val="000000"/>
                <w:kern w:val="0"/>
                <w:szCs w:val="21"/>
              </w:rPr>
            </w:pPr>
          </w:p>
        </w:tc>
      </w:tr>
      <w:tr w:rsidR="007D1E74" w14:paraId="4C5A35FD" w14:textId="77777777">
        <w:trPr>
          <w:jc w:val="center"/>
        </w:trPr>
        <w:tc>
          <w:tcPr>
            <w:tcW w:w="2107" w:type="dxa"/>
            <w:shd w:val="clear" w:color="auto" w:fill="auto"/>
            <w:noWrap/>
            <w:vAlign w:val="center"/>
          </w:tcPr>
          <w:p w14:paraId="4249DF2C"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30</w:t>
            </w:r>
            <w:r>
              <w:rPr>
                <w:rFonts w:ascii="宋体" w:hAnsi="宋体" w:cs="Times New Roman" w:hint="eastAsia"/>
                <w:color w:val="000000"/>
                <w:kern w:val="0"/>
                <w:szCs w:val="21"/>
              </w:rPr>
              <w:t>）厚颌鲂</w:t>
            </w:r>
          </w:p>
        </w:tc>
        <w:tc>
          <w:tcPr>
            <w:tcW w:w="3700" w:type="dxa"/>
            <w:shd w:val="clear" w:color="auto" w:fill="auto"/>
            <w:noWrap/>
            <w:vAlign w:val="center"/>
          </w:tcPr>
          <w:p w14:paraId="27036B16" w14:textId="77777777" w:rsidR="007D1E74" w:rsidRDefault="00A95641">
            <w:pPr>
              <w:widowControl/>
              <w:jc w:val="left"/>
              <w:rPr>
                <w:rFonts w:cs="Times New Roman"/>
                <w:i/>
                <w:iCs/>
                <w:color w:val="000000"/>
                <w:kern w:val="0"/>
                <w:szCs w:val="21"/>
              </w:rPr>
            </w:pPr>
            <w:r>
              <w:rPr>
                <w:rFonts w:cs="Times New Roman"/>
                <w:i/>
                <w:iCs/>
                <w:color w:val="000000"/>
                <w:kern w:val="0"/>
                <w:szCs w:val="21"/>
              </w:rPr>
              <w:t>Megalobrama pellegrini</w:t>
            </w:r>
            <w:r>
              <w:rPr>
                <w:rFonts w:cs="Times New Roman"/>
                <w:color w:val="000000"/>
                <w:kern w:val="0"/>
                <w:szCs w:val="21"/>
              </w:rPr>
              <w:t xml:space="preserve"> (Tchang)</w:t>
            </w:r>
          </w:p>
        </w:tc>
        <w:tc>
          <w:tcPr>
            <w:tcW w:w="851" w:type="dxa"/>
            <w:shd w:val="clear" w:color="auto" w:fill="auto"/>
            <w:noWrap/>
            <w:vAlign w:val="center"/>
          </w:tcPr>
          <w:p w14:paraId="492FE523"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4D7647C1"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4DABA15C" w14:textId="77777777" w:rsidR="007D1E74" w:rsidRDefault="00A95641">
            <w:pPr>
              <w:widowControl/>
              <w:jc w:val="center"/>
              <w:rPr>
                <w:rFonts w:cs="Times New Roman"/>
                <w:color w:val="000000"/>
                <w:kern w:val="0"/>
                <w:szCs w:val="21"/>
              </w:rPr>
            </w:pPr>
            <w:r>
              <w:rPr>
                <w:rFonts w:ascii="宋体" w:hAnsi="宋体" w:cs="Times New Roman" w:hint="eastAsia"/>
                <w:color w:val="000000"/>
                <w:kern w:val="0"/>
                <w:szCs w:val="21"/>
              </w:rPr>
              <w:t>＊</w:t>
            </w:r>
          </w:p>
        </w:tc>
      </w:tr>
      <w:tr w:rsidR="007D1E74" w14:paraId="6F274B94" w14:textId="77777777">
        <w:trPr>
          <w:jc w:val="center"/>
        </w:trPr>
        <w:tc>
          <w:tcPr>
            <w:tcW w:w="2107" w:type="dxa"/>
            <w:shd w:val="clear" w:color="auto" w:fill="auto"/>
            <w:noWrap/>
            <w:vAlign w:val="center"/>
          </w:tcPr>
          <w:p w14:paraId="3BD61682" w14:textId="77777777" w:rsidR="007D1E74" w:rsidRDefault="00A95641">
            <w:pPr>
              <w:widowControl/>
              <w:jc w:val="left"/>
              <w:rPr>
                <w:rFonts w:cs="Times New Roman"/>
                <w:color w:val="000000"/>
                <w:kern w:val="0"/>
                <w:szCs w:val="21"/>
              </w:rPr>
            </w:pPr>
            <w:r>
              <w:rPr>
                <w:rFonts w:cs="Times New Roman"/>
                <w:color w:val="000000"/>
                <w:kern w:val="0"/>
                <w:szCs w:val="21"/>
              </w:rPr>
              <w:t>26</w:t>
            </w:r>
            <w:r>
              <w:rPr>
                <w:rFonts w:ascii="宋体" w:hAnsi="宋体" w:cs="Times New Roman" w:hint="eastAsia"/>
                <w:color w:val="000000"/>
                <w:kern w:val="0"/>
                <w:szCs w:val="21"/>
              </w:rPr>
              <w:t>、华鳊属</w:t>
            </w:r>
          </w:p>
        </w:tc>
        <w:tc>
          <w:tcPr>
            <w:tcW w:w="3700" w:type="dxa"/>
            <w:shd w:val="clear" w:color="auto" w:fill="auto"/>
            <w:noWrap/>
            <w:vAlign w:val="center"/>
          </w:tcPr>
          <w:p w14:paraId="1F2A4CC6"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34D00FB6"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2CF79368"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30DED1E7" w14:textId="77777777" w:rsidR="007D1E74" w:rsidRDefault="007D1E74">
            <w:pPr>
              <w:widowControl/>
              <w:jc w:val="center"/>
              <w:rPr>
                <w:rFonts w:cs="Times New Roman"/>
                <w:color w:val="000000"/>
                <w:kern w:val="0"/>
                <w:szCs w:val="21"/>
              </w:rPr>
            </w:pPr>
          </w:p>
        </w:tc>
      </w:tr>
      <w:tr w:rsidR="007D1E74" w14:paraId="57E5CDD0" w14:textId="77777777">
        <w:trPr>
          <w:jc w:val="center"/>
        </w:trPr>
        <w:tc>
          <w:tcPr>
            <w:tcW w:w="2107" w:type="dxa"/>
            <w:shd w:val="clear" w:color="auto" w:fill="auto"/>
            <w:noWrap/>
            <w:vAlign w:val="center"/>
          </w:tcPr>
          <w:p w14:paraId="518B639A"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31</w:t>
            </w:r>
            <w:r>
              <w:rPr>
                <w:rFonts w:ascii="宋体" w:hAnsi="宋体" w:cs="Times New Roman" w:hint="eastAsia"/>
                <w:color w:val="000000"/>
                <w:kern w:val="0"/>
                <w:szCs w:val="21"/>
              </w:rPr>
              <w:t>）四川华鳊</w:t>
            </w:r>
          </w:p>
        </w:tc>
        <w:tc>
          <w:tcPr>
            <w:tcW w:w="3700" w:type="dxa"/>
            <w:shd w:val="clear" w:color="auto" w:fill="auto"/>
            <w:noWrap/>
            <w:vAlign w:val="center"/>
          </w:tcPr>
          <w:p w14:paraId="6B78E814" w14:textId="77777777" w:rsidR="007D1E74" w:rsidRDefault="00A95641">
            <w:pPr>
              <w:widowControl/>
              <w:jc w:val="left"/>
              <w:rPr>
                <w:rFonts w:cs="Times New Roman"/>
                <w:i/>
                <w:iCs/>
                <w:color w:val="000000"/>
                <w:kern w:val="0"/>
                <w:szCs w:val="21"/>
              </w:rPr>
            </w:pPr>
            <w:r>
              <w:rPr>
                <w:rFonts w:cs="Times New Roman"/>
                <w:i/>
                <w:iCs/>
                <w:color w:val="000000"/>
                <w:kern w:val="0"/>
                <w:szCs w:val="21"/>
              </w:rPr>
              <w:t>Sinibrama changi</w:t>
            </w:r>
            <w:r>
              <w:rPr>
                <w:rFonts w:cs="Times New Roman"/>
                <w:color w:val="000000"/>
                <w:kern w:val="0"/>
                <w:szCs w:val="21"/>
              </w:rPr>
              <w:t xml:space="preserve"> Chang</w:t>
            </w:r>
          </w:p>
        </w:tc>
        <w:tc>
          <w:tcPr>
            <w:tcW w:w="851" w:type="dxa"/>
            <w:shd w:val="clear" w:color="auto" w:fill="auto"/>
            <w:noWrap/>
            <w:vAlign w:val="center"/>
          </w:tcPr>
          <w:p w14:paraId="186C3F01"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0BB9C708"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71154430" w14:textId="77777777" w:rsidR="007D1E74" w:rsidRDefault="007D1E74">
            <w:pPr>
              <w:widowControl/>
              <w:jc w:val="center"/>
              <w:rPr>
                <w:rFonts w:cs="Times New Roman"/>
                <w:color w:val="000000"/>
                <w:kern w:val="0"/>
                <w:szCs w:val="21"/>
              </w:rPr>
            </w:pPr>
          </w:p>
        </w:tc>
      </w:tr>
      <w:tr w:rsidR="007D1E74" w14:paraId="6EB506CA" w14:textId="77777777">
        <w:trPr>
          <w:jc w:val="center"/>
        </w:trPr>
        <w:tc>
          <w:tcPr>
            <w:tcW w:w="2107" w:type="dxa"/>
            <w:shd w:val="clear" w:color="auto" w:fill="auto"/>
            <w:noWrap/>
            <w:vAlign w:val="center"/>
          </w:tcPr>
          <w:p w14:paraId="26157F74" w14:textId="77777777" w:rsidR="007D1E74" w:rsidRDefault="00A95641">
            <w:pPr>
              <w:widowControl/>
              <w:jc w:val="left"/>
              <w:rPr>
                <w:rFonts w:cs="Times New Roman"/>
                <w:color w:val="000000"/>
                <w:kern w:val="0"/>
                <w:szCs w:val="21"/>
              </w:rPr>
            </w:pPr>
            <w:r>
              <w:rPr>
                <w:rFonts w:cs="Times New Roman"/>
                <w:color w:val="000000"/>
                <w:kern w:val="0"/>
                <w:szCs w:val="21"/>
              </w:rPr>
              <w:t>27</w:t>
            </w:r>
            <w:r>
              <w:rPr>
                <w:rFonts w:ascii="宋体" w:hAnsi="宋体" w:cs="Times New Roman" w:hint="eastAsia"/>
                <w:color w:val="000000"/>
                <w:kern w:val="0"/>
                <w:szCs w:val="21"/>
              </w:rPr>
              <w:t>、䱻属</w:t>
            </w:r>
          </w:p>
        </w:tc>
        <w:tc>
          <w:tcPr>
            <w:tcW w:w="3700" w:type="dxa"/>
            <w:shd w:val="clear" w:color="auto" w:fill="auto"/>
            <w:noWrap/>
            <w:vAlign w:val="center"/>
          </w:tcPr>
          <w:p w14:paraId="21C74548"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74B9A136"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106A8E74"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62E7B91A" w14:textId="77777777" w:rsidR="007D1E74" w:rsidRDefault="007D1E74">
            <w:pPr>
              <w:widowControl/>
              <w:jc w:val="center"/>
              <w:rPr>
                <w:rFonts w:cs="Times New Roman"/>
                <w:color w:val="000000"/>
                <w:kern w:val="0"/>
                <w:szCs w:val="21"/>
              </w:rPr>
            </w:pPr>
          </w:p>
        </w:tc>
      </w:tr>
      <w:tr w:rsidR="007D1E74" w14:paraId="5F8D70E5" w14:textId="77777777">
        <w:trPr>
          <w:jc w:val="center"/>
        </w:trPr>
        <w:tc>
          <w:tcPr>
            <w:tcW w:w="2107" w:type="dxa"/>
            <w:shd w:val="clear" w:color="auto" w:fill="auto"/>
            <w:noWrap/>
            <w:vAlign w:val="center"/>
          </w:tcPr>
          <w:p w14:paraId="31D26640"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32</w:t>
            </w:r>
            <w:r>
              <w:rPr>
                <w:rFonts w:ascii="宋体" w:hAnsi="宋体" w:cs="Times New Roman" w:hint="eastAsia"/>
                <w:color w:val="000000"/>
                <w:kern w:val="0"/>
                <w:szCs w:val="21"/>
              </w:rPr>
              <w:t>）唇䱻</w:t>
            </w:r>
          </w:p>
        </w:tc>
        <w:tc>
          <w:tcPr>
            <w:tcW w:w="3700" w:type="dxa"/>
            <w:shd w:val="clear" w:color="auto" w:fill="auto"/>
            <w:noWrap/>
            <w:vAlign w:val="center"/>
          </w:tcPr>
          <w:p w14:paraId="6FA96A42" w14:textId="77777777" w:rsidR="007D1E74" w:rsidRDefault="00A95641">
            <w:pPr>
              <w:widowControl/>
              <w:jc w:val="left"/>
              <w:rPr>
                <w:rFonts w:cs="Times New Roman"/>
                <w:color w:val="000000"/>
                <w:kern w:val="0"/>
                <w:szCs w:val="21"/>
              </w:rPr>
            </w:pPr>
            <w:r>
              <w:rPr>
                <w:rFonts w:cs="Times New Roman"/>
                <w:i/>
                <w:color w:val="000000"/>
                <w:kern w:val="0"/>
                <w:szCs w:val="21"/>
              </w:rPr>
              <w:t>Hemibarbus labeo</w:t>
            </w:r>
            <w:r>
              <w:rPr>
                <w:rFonts w:cs="Times New Roman"/>
                <w:color w:val="000000"/>
                <w:kern w:val="0"/>
                <w:szCs w:val="21"/>
              </w:rPr>
              <w:t xml:space="preserve"> (Pallas)</w:t>
            </w:r>
          </w:p>
        </w:tc>
        <w:tc>
          <w:tcPr>
            <w:tcW w:w="851" w:type="dxa"/>
            <w:shd w:val="clear" w:color="auto" w:fill="auto"/>
            <w:noWrap/>
            <w:vAlign w:val="center"/>
          </w:tcPr>
          <w:p w14:paraId="515E4AFB"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296F5354"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2EDC96AF" w14:textId="77777777" w:rsidR="007D1E74" w:rsidRDefault="007D1E74">
            <w:pPr>
              <w:widowControl/>
              <w:jc w:val="center"/>
              <w:rPr>
                <w:rFonts w:cs="Times New Roman"/>
                <w:color w:val="000000"/>
                <w:kern w:val="0"/>
                <w:szCs w:val="21"/>
              </w:rPr>
            </w:pPr>
          </w:p>
        </w:tc>
      </w:tr>
      <w:tr w:rsidR="007D1E74" w14:paraId="3E3D6C58" w14:textId="77777777">
        <w:trPr>
          <w:jc w:val="center"/>
        </w:trPr>
        <w:tc>
          <w:tcPr>
            <w:tcW w:w="2107" w:type="dxa"/>
            <w:shd w:val="clear" w:color="auto" w:fill="auto"/>
            <w:noWrap/>
            <w:vAlign w:val="center"/>
          </w:tcPr>
          <w:p w14:paraId="5030D94E"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33</w:t>
            </w:r>
            <w:r>
              <w:rPr>
                <w:rFonts w:ascii="宋体" w:hAnsi="宋体" w:cs="Times New Roman" w:hint="eastAsia"/>
                <w:color w:val="000000"/>
                <w:kern w:val="0"/>
                <w:szCs w:val="21"/>
              </w:rPr>
              <w:t>）花䱻</w:t>
            </w:r>
          </w:p>
        </w:tc>
        <w:tc>
          <w:tcPr>
            <w:tcW w:w="3700" w:type="dxa"/>
            <w:shd w:val="clear" w:color="auto" w:fill="auto"/>
            <w:noWrap/>
            <w:vAlign w:val="center"/>
          </w:tcPr>
          <w:p w14:paraId="7D0D768D" w14:textId="77777777" w:rsidR="007D1E74" w:rsidRDefault="00A95641">
            <w:pPr>
              <w:widowControl/>
              <w:jc w:val="left"/>
              <w:rPr>
                <w:rFonts w:cs="Times New Roman"/>
                <w:i/>
                <w:iCs/>
                <w:color w:val="000000"/>
                <w:kern w:val="0"/>
                <w:szCs w:val="21"/>
              </w:rPr>
            </w:pPr>
            <w:r>
              <w:rPr>
                <w:rFonts w:cs="Times New Roman"/>
                <w:i/>
                <w:iCs/>
                <w:color w:val="000000"/>
                <w:kern w:val="0"/>
                <w:szCs w:val="21"/>
              </w:rPr>
              <w:t xml:space="preserve">Hemibarbus maculatus </w:t>
            </w:r>
            <w:r>
              <w:rPr>
                <w:rFonts w:cs="Times New Roman"/>
                <w:color w:val="000000"/>
                <w:kern w:val="0"/>
                <w:szCs w:val="21"/>
              </w:rPr>
              <w:t>Bleeker</w:t>
            </w:r>
          </w:p>
        </w:tc>
        <w:tc>
          <w:tcPr>
            <w:tcW w:w="851" w:type="dxa"/>
            <w:shd w:val="clear" w:color="auto" w:fill="auto"/>
            <w:noWrap/>
            <w:vAlign w:val="center"/>
          </w:tcPr>
          <w:p w14:paraId="0889EAAC"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2DFC8E3E"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4CE9BE7C" w14:textId="77777777" w:rsidR="007D1E74" w:rsidRDefault="007D1E74">
            <w:pPr>
              <w:widowControl/>
              <w:jc w:val="center"/>
              <w:rPr>
                <w:rFonts w:cs="Times New Roman"/>
                <w:color w:val="000000"/>
                <w:kern w:val="0"/>
                <w:szCs w:val="21"/>
              </w:rPr>
            </w:pPr>
          </w:p>
        </w:tc>
      </w:tr>
      <w:tr w:rsidR="007D1E74" w14:paraId="7D7D50CD" w14:textId="77777777">
        <w:trPr>
          <w:jc w:val="center"/>
        </w:trPr>
        <w:tc>
          <w:tcPr>
            <w:tcW w:w="2107" w:type="dxa"/>
            <w:shd w:val="clear" w:color="auto" w:fill="auto"/>
            <w:noWrap/>
            <w:vAlign w:val="center"/>
          </w:tcPr>
          <w:p w14:paraId="557248E1" w14:textId="77777777" w:rsidR="007D1E74" w:rsidRDefault="00A95641">
            <w:pPr>
              <w:widowControl/>
              <w:jc w:val="left"/>
              <w:rPr>
                <w:rFonts w:cs="Times New Roman"/>
                <w:color w:val="000000"/>
                <w:kern w:val="0"/>
                <w:szCs w:val="21"/>
              </w:rPr>
            </w:pPr>
            <w:r>
              <w:rPr>
                <w:rFonts w:cs="Times New Roman"/>
                <w:color w:val="000000"/>
                <w:kern w:val="0"/>
                <w:szCs w:val="21"/>
              </w:rPr>
              <w:t>28</w:t>
            </w:r>
            <w:r>
              <w:rPr>
                <w:rFonts w:ascii="宋体" w:hAnsi="宋体" w:cs="Times New Roman" w:hint="eastAsia"/>
                <w:color w:val="000000"/>
                <w:kern w:val="0"/>
                <w:szCs w:val="21"/>
              </w:rPr>
              <w:t>、麦穗鱼属</w:t>
            </w:r>
          </w:p>
        </w:tc>
        <w:tc>
          <w:tcPr>
            <w:tcW w:w="3700" w:type="dxa"/>
            <w:shd w:val="clear" w:color="auto" w:fill="auto"/>
            <w:noWrap/>
            <w:vAlign w:val="center"/>
          </w:tcPr>
          <w:p w14:paraId="1C62C292"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13CF24EC"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0CC828F6"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75D813D2" w14:textId="77777777" w:rsidR="007D1E74" w:rsidRDefault="007D1E74">
            <w:pPr>
              <w:widowControl/>
              <w:jc w:val="center"/>
              <w:rPr>
                <w:rFonts w:cs="Times New Roman"/>
                <w:color w:val="000000"/>
                <w:kern w:val="0"/>
                <w:szCs w:val="21"/>
              </w:rPr>
            </w:pPr>
          </w:p>
        </w:tc>
      </w:tr>
      <w:tr w:rsidR="007D1E74" w14:paraId="6241B78D" w14:textId="77777777">
        <w:trPr>
          <w:jc w:val="center"/>
        </w:trPr>
        <w:tc>
          <w:tcPr>
            <w:tcW w:w="2107" w:type="dxa"/>
            <w:shd w:val="clear" w:color="auto" w:fill="auto"/>
            <w:noWrap/>
            <w:vAlign w:val="center"/>
          </w:tcPr>
          <w:p w14:paraId="4B91CFDE"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34</w:t>
            </w:r>
            <w:r>
              <w:rPr>
                <w:rFonts w:ascii="宋体" w:hAnsi="宋体" w:cs="Times New Roman" w:hint="eastAsia"/>
                <w:color w:val="000000"/>
                <w:kern w:val="0"/>
                <w:szCs w:val="21"/>
              </w:rPr>
              <w:t>）麦穗鱼</w:t>
            </w:r>
          </w:p>
        </w:tc>
        <w:tc>
          <w:tcPr>
            <w:tcW w:w="3700" w:type="dxa"/>
            <w:shd w:val="clear" w:color="auto" w:fill="auto"/>
            <w:noWrap/>
            <w:vAlign w:val="center"/>
          </w:tcPr>
          <w:p w14:paraId="33E05A2E" w14:textId="77777777" w:rsidR="007D1E74" w:rsidRDefault="00A95641">
            <w:pPr>
              <w:widowControl/>
              <w:jc w:val="left"/>
              <w:rPr>
                <w:rFonts w:cs="Times New Roman"/>
                <w:i/>
                <w:iCs/>
                <w:color w:val="000000"/>
                <w:kern w:val="0"/>
                <w:szCs w:val="21"/>
              </w:rPr>
            </w:pPr>
            <w:r>
              <w:rPr>
                <w:rFonts w:cs="Times New Roman"/>
                <w:i/>
                <w:iCs/>
                <w:color w:val="000000"/>
                <w:kern w:val="0"/>
                <w:szCs w:val="21"/>
                <w:lang w:val="nl-BE"/>
              </w:rPr>
              <w:t>Pseudorasbora parva</w:t>
            </w:r>
            <w:r>
              <w:rPr>
                <w:rFonts w:cs="Times New Roman"/>
                <w:color w:val="000000"/>
                <w:kern w:val="0"/>
                <w:szCs w:val="21"/>
                <w:lang w:val="nl-BE"/>
              </w:rPr>
              <w:t xml:space="preserve"> (Temminck </w:t>
            </w:r>
            <w:r>
              <w:rPr>
                <w:rFonts w:cs="Times New Roman"/>
                <w:i/>
                <w:iCs/>
                <w:color w:val="000000"/>
                <w:kern w:val="0"/>
                <w:szCs w:val="21"/>
                <w:lang w:val="nl-BE"/>
              </w:rPr>
              <w:t>et</w:t>
            </w:r>
            <w:r>
              <w:rPr>
                <w:rFonts w:cs="Times New Roman"/>
                <w:color w:val="000000"/>
                <w:kern w:val="0"/>
                <w:szCs w:val="21"/>
                <w:lang w:val="nl-BE"/>
              </w:rPr>
              <w:t xml:space="preserve"> Schlegel)</w:t>
            </w:r>
          </w:p>
        </w:tc>
        <w:tc>
          <w:tcPr>
            <w:tcW w:w="851" w:type="dxa"/>
            <w:shd w:val="clear" w:color="auto" w:fill="auto"/>
            <w:noWrap/>
            <w:vAlign w:val="center"/>
          </w:tcPr>
          <w:p w14:paraId="40F06B15"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6248CC55"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1DD3D291" w14:textId="77777777" w:rsidR="007D1E74" w:rsidRDefault="007D1E74">
            <w:pPr>
              <w:widowControl/>
              <w:jc w:val="center"/>
              <w:rPr>
                <w:rFonts w:cs="Times New Roman"/>
                <w:color w:val="000000"/>
                <w:kern w:val="0"/>
                <w:szCs w:val="21"/>
              </w:rPr>
            </w:pPr>
          </w:p>
        </w:tc>
      </w:tr>
      <w:tr w:rsidR="007D1E74" w14:paraId="117AB2D2" w14:textId="77777777">
        <w:trPr>
          <w:jc w:val="center"/>
        </w:trPr>
        <w:tc>
          <w:tcPr>
            <w:tcW w:w="2107" w:type="dxa"/>
            <w:shd w:val="clear" w:color="auto" w:fill="auto"/>
            <w:noWrap/>
            <w:vAlign w:val="center"/>
          </w:tcPr>
          <w:p w14:paraId="0E2B82E1" w14:textId="77777777" w:rsidR="007D1E74" w:rsidRDefault="00A95641">
            <w:pPr>
              <w:widowControl/>
              <w:jc w:val="left"/>
              <w:rPr>
                <w:rFonts w:cs="Times New Roman"/>
                <w:color w:val="000000"/>
                <w:kern w:val="0"/>
                <w:szCs w:val="21"/>
              </w:rPr>
            </w:pPr>
            <w:r>
              <w:rPr>
                <w:rFonts w:cs="Times New Roman"/>
                <w:color w:val="000000"/>
                <w:kern w:val="0"/>
                <w:szCs w:val="21"/>
              </w:rPr>
              <w:t>29</w:t>
            </w:r>
            <w:r>
              <w:rPr>
                <w:rFonts w:ascii="宋体" w:hAnsi="宋体" w:cs="Times New Roman" w:hint="eastAsia"/>
                <w:color w:val="000000"/>
                <w:kern w:val="0"/>
                <w:szCs w:val="21"/>
              </w:rPr>
              <w:t>、鰁属</w:t>
            </w:r>
          </w:p>
        </w:tc>
        <w:tc>
          <w:tcPr>
            <w:tcW w:w="3700" w:type="dxa"/>
            <w:shd w:val="clear" w:color="auto" w:fill="auto"/>
            <w:noWrap/>
            <w:vAlign w:val="center"/>
          </w:tcPr>
          <w:p w14:paraId="36489F5F"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1B16CABE"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546C9C96"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65BFFDDB" w14:textId="77777777" w:rsidR="007D1E74" w:rsidRDefault="007D1E74">
            <w:pPr>
              <w:widowControl/>
              <w:jc w:val="center"/>
              <w:rPr>
                <w:rFonts w:cs="Times New Roman"/>
                <w:color w:val="000000"/>
                <w:kern w:val="0"/>
                <w:szCs w:val="21"/>
              </w:rPr>
            </w:pPr>
          </w:p>
        </w:tc>
      </w:tr>
      <w:tr w:rsidR="007D1E74" w14:paraId="0D4524EB" w14:textId="77777777">
        <w:trPr>
          <w:jc w:val="center"/>
        </w:trPr>
        <w:tc>
          <w:tcPr>
            <w:tcW w:w="2107" w:type="dxa"/>
            <w:shd w:val="clear" w:color="auto" w:fill="auto"/>
            <w:noWrap/>
            <w:vAlign w:val="center"/>
          </w:tcPr>
          <w:p w14:paraId="2B2AEA39"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35</w:t>
            </w:r>
            <w:r>
              <w:rPr>
                <w:rFonts w:ascii="宋体" w:hAnsi="宋体" w:cs="Times New Roman" w:hint="eastAsia"/>
                <w:color w:val="000000"/>
                <w:kern w:val="0"/>
                <w:szCs w:val="21"/>
              </w:rPr>
              <w:t>）黑鳍鰁</w:t>
            </w:r>
          </w:p>
        </w:tc>
        <w:tc>
          <w:tcPr>
            <w:tcW w:w="3700" w:type="dxa"/>
            <w:shd w:val="clear" w:color="auto" w:fill="auto"/>
            <w:noWrap/>
            <w:vAlign w:val="center"/>
          </w:tcPr>
          <w:p w14:paraId="28684E92" w14:textId="77777777" w:rsidR="007D1E74" w:rsidRDefault="00A95641">
            <w:pPr>
              <w:widowControl/>
              <w:jc w:val="left"/>
              <w:rPr>
                <w:rFonts w:cs="Times New Roman"/>
                <w:i/>
                <w:iCs/>
                <w:color w:val="000000"/>
                <w:kern w:val="0"/>
                <w:szCs w:val="21"/>
              </w:rPr>
            </w:pPr>
            <w:r>
              <w:rPr>
                <w:rFonts w:cs="Times New Roman"/>
                <w:i/>
                <w:iCs/>
                <w:color w:val="000000"/>
                <w:kern w:val="0"/>
                <w:szCs w:val="21"/>
                <w:lang w:val="nl-BE"/>
              </w:rPr>
              <w:t>Sarcocheilichthys nigripinnis</w:t>
            </w:r>
            <w:r>
              <w:rPr>
                <w:rFonts w:cs="Times New Roman"/>
                <w:color w:val="000000"/>
                <w:kern w:val="0"/>
                <w:szCs w:val="21"/>
                <w:lang w:val="nl-BE"/>
              </w:rPr>
              <w:t xml:space="preserve"> (Günther)</w:t>
            </w:r>
          </w:p>
        </w:tc>
        <w:tc>
          <w:tcPr>
            <w:tcW w:w="851" w:type="dxa"/>
            <w:shd w:val="clear" w:color="auto" w:fill="auto"/>
            <w:noWrap/>
            <w:vAlign w:val="center"/>
          </w:tcPr>
          <w:p w14:paraId="449B03EA"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09F20FCA"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26545B73" w14:textId="77777777" w:rsidR="007D1E74" w:rsidRDefault="007D1E74">
            <w:pPr>
              <w:widowControl/>
              <w:jc w:val="center"/>
              <w:rPr>
                <w:rFonts w:cs="Times New Roman"/>
                <w:color w:val="000000"/>
                <w:kern w:val="0"/>
                <w:szCs w:val="21"/>
              </w:rPr>
            </w:pPr>
          </w:p>
        </w:tc>
      </w:tr>
      <w:tr w:rsidR="007D1E74" w14:paraId="7FBCFC4A" w14:textId="77777777">
        <w:trPr>
          <w:jc w:val="center"/>
        </w:trPr>
        <w:tc>
          <w:tcPr>
            <w:tcW w:w="2107" w:type="dxa"/>
            <w:shd w:val="clear" w:color="auto" w:fill="auto"/>
            <w:noWrap/>
            <w:vAlign w:val="center"/>
          </w:tcPr>
          <w:p w14:paraId="30A6128E"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36</w:t>
            </w:r>
            <w:r>
              <w:rPr>
                <w:rFonts w:ascii="宋体" w:hAnsi="宋体" w:cs="Times New Roman" w:hint="eastAsia"/>
                <w:color w:val="000000"/>
                <w:kern w:val="0"/>
                <w:szCs w:val="21"/>
              </w:rPr>
              <w:t>）华鰁</w:t>
            </w:r>
          </w:p>
        </w:tc>
        <w:tc>
          <w:tcPr>
            <w:tcW w:w="3700" w:type="dxa"/>
            <w:shd w:val="clear" w:color="auto" w:fill="auto"/>
            <w:noWrap/>
            <w:vAlign w:val="center"/>
          </w:tcPr>
          <w:p w14:paraId="6E229A7D" w14:textId="77777777" w:rsidR="007D1E74" w:rsidRDefault="00A95641">
            <w:pPr>
              <w:widowControl/>
              <w:jc w:val="left"/>
              <w:rPr>
                <w:rFonts w:cs="Times New Roman"/>
                <w:i/>
                <w:iCs/>
                <w:color w:val="000000"/>
                <w:kern w:val="0"/>
                <w:szCs w:val="21"/>
              </w:rPr>
            </w:pPr>
            <w:r>
              <w:rPr>
                <w:rFonts w:cs="Times New Roman"/>
                <w:i/>
                <w:iCs/>
                <w:color w:val="000000"/>
                <w:kern w:val="0"/>
                <w:szCs w:val="21"/>
              </w:rPr>
              <w:t>Sarcocheilichthys sinensis</w:t>
            </w:r>
            <w:r>
              <w:rPr>
                <w:rFonts w:cs="Times New Roman"/>
                <w:color w:val="000000"/>
                <w:kern w:val="0"/>
                <w:szCs w:val="21"/>
              </w:rPr>
              <w:t xml:space="preserve"> Bleeker</w:t>
            </w:r>
          </w:p>
        </w:tc>
        <w:tc>
          <w:tcPr>
            <w:tcW w:w="851" w:type="dxa"/>
            <w:shd w:val="clear" w:color="auto" w:fill="auto"/>
            <w:noWrap/>
            <w:vAlign w:val="center"/>
          </w:tcPr>
          <w:p w14:paraId="408DA37F"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14C6232B"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103FEEE8" w14:textId="77777777" w:rsidR="007D1E74" w:rsidRDefault="007D1E74">
            <w:pPr>
              <w:widowControl/>
              <w:jc w:val="center"/>
              <w:rPr>
                <w:rFonts w:cs="Times New Roman"/>
                <w:color w:val="000000"/>
                <w:kern w:val="0"/>
                <w:szCs w:val="21"/>
              </w:rPr>
            </w:pPr>
          </w:p>
        </w:tc>
      </w:tr>
      <w:tr w:rsidR="007D1E74" w14:paraId="09FA5E08" w14:textId="77777777">
        <w:trPr>
          <w:jc w:val="center"/>
        </w:trPr>
        <w:tc>
          <w:tcPr>
            <w:tcW w:w="2107" w:type="dxa"/>
            <w:shd w:val="clear" w:color="auto" w:fill="auto"/>
            <w:noWrap/>
            <w:vAlign w:val="center"/>
          </w:tcPr>
          <w:p w14:paraId="1027A410" w14:textId="77777777" w:rsidR="007D1E74" w:rsidRDefault="00A95641">
            <w:pPr>
              <w:widowControl/>
              <w:jc w:val="left"/>
              <w:rPr>
                <w:rFonts w:cs="Times New Roman"/>
                <w:color w:val="000000"/>
                <w:kern w:val="0"/>
                <w:szCs w:val="21"/>
              </w:rPr>
            </w:pPr>
            <w:r>
              <w:rPr>
                <w:rFonts w:cs="Times New Roman"/>
                <w:color w:val="000000"/>
                <w:kern w:val="0"/>
                <w:szCs w:val="21"/>
              </w:rPr>
              <w:t>30</w:t>
            </w:r>
            <w:r>
              <w:rPr>
                <w:rFonts w:ascii="宋体" w:hAnsi="宋体" w:cs="Times New Roman" w:hint="eastAsia"/>
                <w:color w:val="000000"/>
                <w:kern w:val="0"/>
                <w:szCs w:val="21"/>
              </w:rPr>
              <w:t>、银鮈属</w:t>
            </w:r>
          </w:p>
        </w:tc>
        <w:tc>
          <w:tcPr>
            <w:tcW w:w="3700" w:type="dxa"/>
            <w:shd w:val="clear" w:color="auto" w:fill="auto"/>
            <w:noWrap/>
            <w:vAlign w:val="center"/>
          </w:tcPr>
          <w:p w14:paraId="5BCDB2FB"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7D5837B9"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3C5EADAB"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17393D89" w14:textId="77777777" w:rsidR="007D1E74" w:rsidRDefault="007D1E74">
            <w:pPr>
              <w:widowControl/>
              <w:jc w:val="center"/>
              <w:rPr>
                <w:rFonts w:cs="Times New Roman"/>
                <w:color w:val="000000"/>
                <w:kern w:val="0"/>
                <w:szCs w:val="21"/>
              </w:rPr>
            </w:pPr>
          </w:p>
        </w:tc>
      </w:tr>
      <w:tr w:rsidR="007D1E74" w14:paraId="77BAB5A6" w14:textId="77777777">
        <w:trPr>
          <w:jc w:val="center"/>
        </w:trPr>
        <w:tc>
          <w:tcPr>
            <w:tcW w:w="2107" w:type="dxa"/>
            <w:shd w:val="clear" w:color="auto" w:fill="auto"/>
            <w:noWrap/>
            <w:vAlign w:val="center"/>
          </w:tcPr>
          <w:p w14:paraId="64F6014A"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37</w:t>
            </w:r>
            <w:r>
              <w:rPr>
                <w:rFonts w:ascii="宋体" w:hAnsi="宋体" w:cs="Times New Roman" w:hint="eastAsia"/>
                <w:color w:val="000000"/>
                <w:kern w:val="0"/>
                <w:szCs w:val="21"/>
              </w:rPr>
              <w:t>）银鮈</w:t>
            </w:r>
          </w:p>
        </w:tc>
        <w:tc>
          <w:tcPr>
            <w:tcW w:w="3700" w:type="dxa"/>
            <w:shd w:val="clear" w:color="auto" w:fill="auto"/>
            <w:noWrap/>
            <w:vAlign w:val="center"/>
          </w:tcPr>
          <w:p w14:paraId="4C9C706A" w14:textId="77777777" w:rsidR="007D1E74" w:rsidRDefault="00A95641">
            <w:pPr>
              <w:widowControl/>
              <w:jc w:val="left"/>
              <w:rPr>
                <w:rFonts w:cs="Times New Roman"/>
                <w:i/>
                <w:iCs/>
                <w:color w:val="000000"/>
                <w:kern w:val="0"/>
                <w:szCs w:val="21"/>
              </w:rPr>
            </w:pPr>
            <w:r>
              <w:rPr>
                <w:rFonts w:cs="Times New Roman"/>
                <w:i/>
                <w:iCs/>
                <w:color w:val="000000"/>
                <w:kern w:val="0"/>
                <w:szCs w:val="21"/>
              </w:rPr>
              <w:t>Squalidus argentatus</w:t>
            </w:r>
            <w:r>
              <w:rPr>
                <w:rFonts w:cs="Times New Roman"/>
                <w:color w:val="000000"/>
                <w:kern w:val="0"/>
                <w:szCs w:val="21"/>
              </w:rPr>
              <w:t xml:space="preserve"> (Sauvage </w:t>
            </w:r>
            <w:r>
              <w:rPr>
                <w:rFonts w:cs="Times New Roman"/>
                <w:i/>
                <w:iCs/>
                <w:color w:val="000000"/>
                <w:kern w:val="0"/>
                <w:szCs w:val="21"/>
              </w:rPr>
              <w:t>et</w:t>
            </w:r>
            <w:r>
              <w:rPr>
                <w:rFonts w:cs="Times New Roman"/>
                <w:color w:val="000000"/>
                <w:kern w:val="0"/>
                <w:szCs w:val="21"/>
              </w:rPr>
              <w:t xml:space="preserve"> Dabry)</w:t>
            </w:r>
          </w:p>
        </w:tc>
        <w:tc>
          <w:tcPr>
            <w:tcW w:w="851" w:type="dxa"/>
            <w:shd w:val="clear" w:color="auto" w:fill="auto"/>
            <w:noWrap/>
            <w:vAlign w:val="center"/>
          </w:tcPr>
          <w:p w14:paraId="28916801"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6D4FAB81"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24735619" w14:textId="77777777" w:rsidR="007D1E74" w:rsidRDefault="007D1E74">
            <w:pPr>
              <w:widowControl/>
              <w:jc w:val="center"/>
              <w:rPr>
                <w:rFonts w:cs="Times New Roman"/>
                <w:color w:val="000000"/>
                <w:kern w:val="0"/>
                <w:szCs w:val="21"/>
              </w:rPr>
            </w:pPr>
          </w:p>
        </w:tc>
      </w:tr>
      <w:tr w:rsidR="007D1E74" w14:paraId="561F033B" w14:textId="77777777">
        <w:trPr>
          <w:jc w:val="center"/>
        </w:trPr>
        <w:tc>
          <w:tcPr>
            <w:tcW w:w="2107" w:type="dxa"/>
            <w:shd w:val="clear" w:color="auto" w:fill="auto"/>
            <w:noWrap/>
            <w:vAlign w:val="center"/>
          </w:tcPr>
          <w:p w14:paraId="50D7A6D4" w14:textId="77777777" w:rsidR="007D1E74" w:rsidRDefault="00A95641">
            <w:pPr>
              <w:widowControl/>
              <w:jc w:val="left"/>
              <w:rPr>
                <w:rFonts w:cs="Times New Roman"/>
                <w:color w:val="000000"/>
                <w:kern w:val="0"/>
                <w:szCs w:val="21"/>
              </w:rPr>
            </w:pPr>
            <w:r>
              <w:rPr>
                <w:rFonts w:cs="Times New Roman"/>
                <w:color w:val="000000"/>
                <w:kern w:val="0"/>
                <w:szCs w:val="21"/>
              </w:rPr>
              <w:t>31</w:t>
            </w:r>
            <w:r>
              <w:rPr>
                <w:rFonts w:ascii="宋体" w:hAnsi="宋体" w:cs="Times New Roman" w:hint="eastAsia"/>
                <w:color w:val="000000"/>
                <w:kern w:val="0"/>
                <w:szCs w:val="21"/>
              </w:rPr>
              <w:t>、颌须鮈属</w:t>
            </w:r>
          </w:p>
        </w:tc>
        <w:tc>
          <w:tcPr>
            <w:tcW w:w="3700" w:type="dxa"/>
            <w:shd w:val="clear" w:color="auto" w:fill="auto"/>
            <w:noWrap/>
            <w:vAlign w:val="center"/>
          </w:tcPr>
          <w:p w14:paraId="7C27E0DD"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20EA73ED"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5D6E0577"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60D4932D" w14:textId="77777777" w:rsidR="007D1E74" w:rsidRDefault="007D1E74">
            <w:pPr>
              <w:widowControl/>
              <w:jc w:val="center"/>
              <w:rPr>
                <w:rFonts w:cs="Times New Roman"/>
                <w:color w:val="000000"/>
                <w:kern w:val="0"/>
                <w:szCs w:val="21"/>
              </w:rPr>
            </w:pPr>
          </w:p>
        </w:tc>
      </w:tr>
      <w:tr w:rsidR="007D1E74" w14:paraId="00144D60" w14:textId="77777777">
        <w:trPr>
          <w:jc w:val="center"/>
        </w:trPr>
        <w:tc>
          <w:tcPr>
            <w:tcW w:w="2107" w:type="dxa"/>
            <w:shd w:val="clear" w:color="auto" w:fill="auto"/>
            <w:noWrap/>
            <w:vAlign w:val="center"/>
          </w:tcPr>
          <w:p w14:paraId="7ECBDF1F"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38</w:t>
            </w:r>
            <w:r>
              <w:rPr>
                <w:rFonts w:ascii="宋体" w:hAnsi="宋体" w:cs="Times New Roman" w:hint="eastAsia"/>
                <w:color w:val="000000"/>
                <w:kern w:val="0"/>
                <w:szCs w:val="21"/>
              </w:rPr>
              <w:t>）嘉陵颌须鮈</w:t>
            </w:r>
          </w:p>
        </w:tc>
        <w:tc>
          <w:tcPr>
            <w:tcW w:w="3700" w:type="dxa"/>
            <w:shd w:val="clear" w:color="auto" w:fill="auto"/>
            <w:noWrap/>
            <w:vAlign w:val="center"/>
          </w:tcPr>
          <w:p w14:paraId="6E3BAFA8" w14:textId="77777777" w:rsidR="007D1E74" w:rsidRDefault="00A95641">
            <w:pPr>
              <w:widowControl/>
              <w:jc w:val="left"/>
              <w:rPr>
                <w:rFonts w:cs="Times New Roman"/>
                <w:i/>
                <w:iCs/>
                <w:color w:val="000000"/>
                <w:kern w:val="0"/>
                <w:szCs w:val="21"/>
              </w:rPr>
            </w:pPr>
            <w:r>
              <w:rPr>
                <w:rFonts w:cs="Times New Roman"/>
                <w:i/>
                <w:iCs/>
                <w:color w:val="000000"/>
                <w:kern w:val="0"/>
                <w:szCs w:val="21"/>
                <w:lang w:val="nl-BE"/>
              </w:rPr>
              <w:t xml:space="preserve">Gnathopogon herzensteini </w:t>
            </w:r>
            <w:r>
              <w:rPr>
                <w:rFonts w:cs="Times New Roman"/>
                <w:color w:val="000000"/>
                <w:kern w:val="0"/>
                <w:szCs w:val="21"/>
                <w:lang w:val="nl-BE"/>
              </w:rPr>
              <w:t>(Günther)</w:t>
            </w:r>
          </w:p>
        </w:tc>
        <w:tc>
          <w:tcPr>
            <w:tcW w:w="851" w:type="dxa"/>
            <w:shd w:val="clear" w:color="auto" w:fill="auto"/>
            <w:noWrap/>
            <w:vAlign w:val="center"/>
          </w:tcPr>
          <w:p w14:paraId="02CEA291"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4C3F42C2"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31F0DB28" w14:textId="77777777" w:rsidR="007D1E74" w:rsidRDefault="00A95641">
            <w:pPr>
              <w:widowControl/>
              <w:jc w:val="center"/>
              <w:rPr>
                <w:rFonts w:cs="Times New Roman"/>
                <w:color w:val="000000"/>
                <w:kern w:val="0"/>
                <w:szCs w:val="21"/>
              </w:rPr>
            </w:pPr>
            <w:r>
              <w:rPr>
                <w:rFonts w:ascii="宋体" w:hAnsi="宋体" w:cs="Times New Roman" w:hint="eastAsia"/>
                <w:color w:val="000000"/>
                <w:kern w:val="0"/>
                <w:szCs w:val="21"/>
              </w:rPr>
              <w:t>＊</w:t>
            </w:r>
          </w:p>
        </w:tc>
      </w:tr>
      <w:tr w:rsidR="007D1E74" w14:paraId="1B9329AB" w14:textId="77777777">
        <w:trPr>
          <w:jc w:val="center"/>
        </w:trPr>
        <w:tc>
          <w:tcPr>
            <w:tcW w:w="2107" w:type="dxa"/>
            <w:shd w:val="clear" w:color="auto" w:fill="auto"/>
            <w:noWrap/>
            <w:vAlign w:val="center"/>
          </w:tcPr>
          <w:p w14:paraId="25E90610" w14:textId="77777777" w:rsidR="007D1E74" w:rsidRDefault="00A95641">
            <w:pPr>
              <w:widowControl/>
              <w:jc w:val="left"/>
              <w:rPr>
                <w:rFonts w:cs="Times New Roman"/>
                <w:color w:val="000000"/>
                <w:kern w:val="0"/>
                <w:szCs w:val="21"/>
              </w:rPr>
            </w:pPr>
            <w:r>
              <w:rPr>
                <w:rFonts w:cs="Times New Roman"/>
                <w:color w:val="000000"/>
                <w:kern w:val="0"/>
                <w:szCs w:val="21"/>
              </w:rPr>
              <w:t>32</w:t>
            </w:r>
            <w:r>
              <w:rPr>
                <w:rFonts w:ascii="宋体" w:hAnsi="宋体" w:cs="Times New Roman" w:hint="eastAsia"/>
                <w:color w:val="000000"/>
                <w:kern w:val="0"/>
                <w:szCs w:val="21"/>
              </w:rPr>
              <w:t>、铜鱼属</w:t>
            </w:r>
          </w:p>
        </w:tc>
        <w:tc>
          <w:tcPr>
            <w:tcW w:w="3700" w:type="dxa"/>
            <w:shd w:val="clear" w:color="auto" w:fill="auto"/>
            <w:noWrap/>
            <w:vAlign w:val="center"/>
          </w:tcPr>
          <w:p w14:paraId="779A5167"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7631CFBB"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6FFB27C0"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1130E378" w14:textId="77777777" w:rsidR="007D1E74" w:rsidRDefault="007D1E74">
            <w:pPr>
              <w:widowControl/>
              <w:jc w:val="center"/>
              <w:rPr>
                <w:rFonts w:cs="Times New Roman"/>
                <w:color w:val="000000"/>
                <w:kern w:val="0"/>
                <w:szCs w:val="21"/>
              </w:rPr>
            </w:pPr>
          </w:p>
        </w:tc>
      </w:tr>
      <w:tr w:rsidR="007D1E74" w14:paraId="22AAB79F" w14:textId="77777777">
        <w:trPr>
          <w:jc w:val="center"/>
        </w:trPr>
        <w:tc>
          <w:tcPr>
            <w:tcW w:w="2107" w:type="dxa"/>
            <w:shd w:val="clear" w:color="auto" w:fill="auto"/>
            <w:noWrap/>
            <w:vAlign w:val="center"/>
          </w:tcPr>
          <w:p w14:paraId="77B24C00"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39</w:t>
            </w:r>
            <w:r>
              <w:rPr>
                <w:rFonts w:ascii="宋体" w:hAnsi="宋体" w:cs="Times New Roman" w:hint="eastAsia"/>
                <w:color w:val="000000"/>
                <w:kern w:val="0"/>
                <w:szCs w:val="21"/>
              </w:rPr>
              <w:t>）圆口铜鱼</w:t>
            </w:r>
          </w:p>
        </w:tc>
        <w:tc>
          <w:tcPr>
            <w:tcW w:w="3700" w:type="dxa"/>
            <w:shd w:val="clear" w:color="auto" w:fill="auto"/>
            <w:noWrap/>
            <w:vAlign w:val="center"/>
          </w:tcPr>
          <w:p w14:paraId="0E1A95C3" w14:textId="77777777" w:rsidR="007D1E74" w:rsidRDefault="00A95641">
            <w:pPr>
              <w:widowControl/>
              <w:jc w:val="left"/>
              <w:rPr>
                <w:rFonts w:cs="Times New Roman"/>
                <w:i/>
                <w:iCs/>
                <w:color w:val="000000"/>
                <w:kern w:val="0"/>
                <w:szCs w:val="21"/>
              </w:rPr>
            </w:pPr>
            <w:r>
              <w:rPr>
                <w:rFonts w:cs="Times New Roman"/>
                <w:i/>
                <w:iCs/>
                <w:color w:val="000000"/>
                <w:kern w:val="0"/>
                <w:szCs w:val="21"/>
              </w:rPr>
              <w:t>Coreius guichenotl</w:t>
            </w:r>
            <w:r>
              <w:rPr>
                <w:rFonts w:cs="Times New Roman"/>
                <w:color w:val="000000"/>
                <w:kern w:val="0"/>
                <w:szCs w:val="21"/>
              </w:rPr>
              <w:t xml:space="preserve"> (Sauvage </w:t>
            </w:r>
            <w:r>
              <w:rPr>
                <w:rFonts w:cs="Times New Roman"/>
                <w:i/>
                <w:iCs/>
                <w:color w:val="000000"/>
                <w:kern w:val="0"/>
                <w:szCs w:val="21"/>
              </w:rPr>
              <w:t>et</w:t>
            </w:r>
            <w:r>
              <w:rPr>
                <w:rFonts w:cs="Times New Roman"/>
                <w:color w:val="000000"/>
                <w:kern w:val="0"/>
                <w:szCs w:val="21"/>
              </w:rPr>
              <w:t xml:space="preserve"> Dabry)</w:t>
            </w:r>
          </w:p>
        </w:tc>
        <w:tc>
          <w:tcPr>
            <w:tcW w:w="851" w:type="dxa"/>
            <w:shd w:val="clear" w:color="auto" w:fill="auto"/>
            <w:noWrap/>
            <w:vAlign w:val="center"/>
          </w:tcPr>
          <w:p w14:paraId="2CF013C3" w14:textId="77777777" w:rsidR="007D1E74" w:rsidRDefault="00A95641">
            <w:pPr>
              <w:widowControl/>
              <w:jc w:val="center"/>
              <w:rPr>
                <w:rFonts w:cs="Times New Roman"/>
                <w:color w:val="000000"/>
                <w:kern w:val="0"/>
                <w:szCs w:val="21"/>
              </w:rPr>
            </w:pPr>
            <w:r>
              <w:rPr>
                <w:rFonts w:ascii="Arial" w:hAnsi="Arial" w:cs="Arial"/>
                <w:szCs w:val="21"/>
              </w:rPr>
              <w:t>▲</w:t>
            </w:r>
          </w:p>
        </w:tc>
        <w:tc>
          <w:tcPr>
            <w:tcW w:w="850" w:type="dxa"/>
            <w:shd w:val="clear" w:color="auto" w:fill="auto"/>
            <w:noWrap/>
            <w:vAlign w:val="center"/>
          </w:tcPr>
          <w:p w14:paraId="1132E2FB"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683A6111" w14:textId="77777777" w:rsidR="007D1E74" w:rsidRDefault="00A95641">
            <w:pPr>
              <w:widowControl/>
              <w:jc w:val="center"/>
              <w:rPr>
                <w:rFonts w:cs="Times New Roman"/>
                <w:color w:val="000000"/>
                <w:kern w:val="0"/>
                <w:szCs w:val="21"/>
              </w:rPr>
            </w:pPr>
            <w:r>
              <w:rPr>
                <w:rFonts w:ascii="宋体" w:hAnsi="宋体" w:cs="Times New Roman" w:hint="eastAsia"/>
                <w:color w:val="000000"/>
                <w:kern w:val="0"/>
                <w:szCs w:val="21"/>
              </w:rPr>
              <w:t>＊</w:t>
            </w:r>
          </w:p>
        </w:tc>
      </w:tr>
      <w:tr w:rsidR="007D1E74" w14:paraId="4B4E9E30" w14:textId="77777777">
        <w:trPr>
          <w:jc w:val="center"/>
        </w:trPr>
        <w:tc>
          <w:tcPr>
            <w:tcW w:w="2107" w:type="dxa"/>
            <w:shd w:val="clear" w:color="auto" w:fill="auto"/>
            <w:noWrap/>
            <w:vAlign w:val="center"/>
          </w:tcPr>
          <w:p w14:paraId="0A531E90" w14:textId="77777777" w:rsidR="007D1E74" w:rsidRDefault="00A95641">
            <w:pPr>
              <w:widowControl/>
              <w:jc w:val="left"/>
              <w:rPr>
                <w:rFonts w:cs="Times New Roman"/>
                <w:color w:val="000000"/>
                <w:kern w:val="0"/>
                <w:szCs w:val="21"/>
              </w:rPr>
            </w:pPr>
            <w:r>
              <w:rPr>
                <w:rFonts w:cs="Times New Roman"/>
                <w:color w:val="000000"/>
                <w:kern w:val="0"/>
                <w:szCs w:val="21"/>
              </w:rPr>
              <w:t>33</w:t>
            </w:r>
            <w:r>
              <w:rPr>
                <w:rFonts w:ascii="宋体" w:hAnsi="宋体" w:cs="Times New Roman" w:hint="eastAsia"/>
                <w:color w:val="000000"/>
                <w:kern w:val="0"/>
                <w:szCs w:val="21"/>
              </w:rPr>
              <w:t>、吻鮈属</w:t>
            </w:r>
          </w:p>
        </w:tc>
        <w:tc>
          <w:tcPr>
            <w:tcW w:w="3700" w:type="dxa"/>
            <w:shd w:val="clear" w:color="auto" w:fill="auto"/>
            <w:noWrap/>
            <w:vAlign w:val="center"/>
          </w:tcPr>
          <w:p w14:paraId="31C83EF3"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6A23B270"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76815B6F"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5B9DAEFA" w14:textId="77777777" w:rsidR="007D1E74" w:rsidRDefault="007D1E74">
            <w:pPr>
              <w:widowControl/>
              <w:jc w:val="center"/>
              <w:rPr>
                <w:rFonts w:cs="Times New Roman"/>
                <w:color w:val="000000"/>
                <w:kern w:val="0"/>
                <w:szCs w:val="21"/>
              </w:rPr>
            </w:pPr>
          </w:p>
        </w:tc>
      </w:tr>
      <w:tr w:rsidR="007D1E74" w14:paraId="49B50308" w14:textId="77777777">
        <w:trPr>
          <w:jc w:val="center"/>
        </w:trPr>
        <w:tc>
          <w:tcPr>
            <w:tcW w:w="2107" w:type="dxa"/>
            <w:shd w:val="clear" w:color="auto" w:fill="auto"/>
            <w:noWrap/>
            <w:vAlign w:val="center"/>
          </w:tcPr>
          <w:p w14:paraId="22176A76"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40</w:t>
            </w:r>
            <w:r>
              <w:rPr>
                <w:rFonts w:ascii="宋体" w:hAnsi="宋体" w:cs="Times New Roman" w:hint="eastAsia"/>
                <w:color w:val="000000"/>
                <w:kern w:val="0"/>
                <w:szCs w:val="21"/>
              </w:rPr>
              <w:t>）圆筒吻鮈</w:t>
            </w:r>
          </w:p>
        </w:tc>
        <w:tc>
          <w:tcPr>
            <w:tcW w:w="3700" w:type="dxa"/>
            <w:shd w:val="clear" w:color="auto" w:fill="auto"/>
            <w:noWrap/>
            <w:vAlign w:val="center"/>
          </w:tcPr>
          <w:p w14:paraId="775BEE3B" w14:textId="77777777" w:rsidR="007D1E74" w:rsidRDefault="00A95641">
            <w:pPr>
              <w:widowControl/>
              <w:jc w:val="left"/>
              <w:rPr>
                <w:rFonts w:cs="Times New Roman"/>
                <w:i/>
                <w:iCs/>
                <w:color w:val="000000"/>
                <w:kern w:val="0"/>
                <w:szCs w:val="21"/>
              </w:rPr>
            </w:pPr>
            <w:r>
              <w:rPr>
                <w:rFonts w:cs="Times New Roman"/>
                <w:i/>
                <w:iCs/>
                <w:color w:val="000000"/>
                <w:kern w:val="0"/>
                <w:szCs w:val="21"/>
              </w:rPr>
              <w:t>Rhinogobio cylindricus</w:t>
            </w:r>
            <w:r>
              <w:rPr>
                <w:rFonts w:cs="Times New Roman"/>
                <w:color w:val="000000"/>
                <w:kern w:val="0"/>
                <w:szCs w:val="21"/>
              </w:rPr>
              <w:t xml:space="preserve"> Günther</w:t>
            </w:r>
          </w:p>
        </w:tc>
        <w:tc>
          <w:tcPr>
            <w:tcW w:w="851" w:type="dxa"/>
            <w:shd w:val="clear" w:color="auto" w:fill="auto"/>
            <w:noWrap/>
            <w:vAlign w:val="center"/>
          </w:tcPr>
          <w:p w14:paraId="1CCF4492"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568667AF"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7D448BD2" w14:textId="77777777" w:rsidR="007D1E74" w:rsidRDefault="00A95641">
            <w:pPr>
              <w:widowControl/>
              <w:jc w:val="center"/>
              <w:rPr>
                <w:rFonts w:cs="Times New Roman"/>
                <w:color w:val="000000"/>
                <w:kern w:val="0"/>
                <w:szCs w:val="21"/>
              </w:rPr>
            </w:pPr>
            <w:r>
              <w:rPr>
                <w:rFonts w:ascii="宋体" w:hAnsi="宋体" w:cs="Times New Roman" w:hint="eastAsia"/>
                <w:color w:val="000000"/>
                <w:kern w:val="0"/>
                <w:szCs w:val="21"/>
              </w:rPr>
              <w:t>＊</w:t>
            </w:r>
          </w:p>
        </w:tc>
      </w:tr>
      <w:tr w:rsidR="007D1E74" w14:paraId="36F32DFC" w14:textId="77777777">
        <w:trPr>
          <w:jc w:val="center"/>
        </w:trPr>
        <w:tc>
          <w:tcPr>
            <w:tcW w:w="2107" w:type="dxa"/>
            <w:shd w:val="clear" w:color="auto" w:fill="auto"/>
            <w:noWrap/>
            <w:vAlign w:val="center"/>
          </w:tcPr>
          <w:p w14:paraId="40421A9B" w14:textId="77777777" w:rsidR="007D1E74" w:rsidRDefault="00A95641">
            <w:pPr>
              <w:widowControl/>
              <w:jc w:val="left"/>
              <w:rPr>
                <w:rFonts w:cs="Times New Roman"/>
                <w:color w:val="000000"/>
                <w:kern w:val="0"/>
                <w:szCs w:val="21"/>
              </w:rPr>
            </w:pPr>
            <w:r>
              <w:rPr>
                <w:rFonts w:cs="Times New Roman"/>
                <w:color w:val="000000"/>
                <w:kern w:val="0"/>
                <w:szCs w:val="21"/>
              </w:rPr>
              <w:lastRenderedPageBreak/>
              <w:t>34</w:t>
            </w:r>
            <w:r>
              <w:rPr>
                <w:rFonts w:ascii="宋体" w:hAnsi="宋体" w:cs="Times New Roman" w:hint="eastAsia"/>
                <w:color w:val="000000"/>
                <w:kern w:val="0"/>
                <w:szCs w:val="21"/>
              </w:rPr>
              <w:t>、棒花鱼属</w:t>
            </w:r>
          </w:p>
        </w:tc>
        <w:tc>
          <w:tcPr>
            <w:tcW w:w="3700" w:type="dxa"/>
            <w:shd w:val="clear" w:color="auto" w:fill="auto"/>
            <w:noWrap/>
            <w:vAlign w:val="center"/>
          </w:tcPr>
          <w:p w14:paraId="430377D6"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77192A2D"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1B73ED98"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496EB3C3" w14:textId="77777777" w:rsidR="007D1E74" w:rsidRDefault="007D1E74">
            <w:pPr>
              <w:widowControl/>
              <w:jc w:val="center"/>
              <w:rPr>
                <w:rFonts w:cs="Times New Roman"/>
                <w:color w:val="000000"/>
                <w:kern w:val="0"/>
                <w:szCs w:val="21"/>
              </w:rPr>
            </w:pPr>
          </w:p>
        </w:tc>
      </w:tr>
      <w:tr w:rsidR="007D1E74" w14:paraId="58CB5418" w14:textId="77777777">
        <w:trPr>
          <w:jc w:val="center"/>
        </w:trPr>
        <w:tc>
          <w:tcPr>
            <w:tcW w:w="2107" w:type="dxa"/>
            <w:shd w:val="clear" w:color="auto" w:fill="auto"/>
            <w:noWrap/>
            <w:vAlign w:val="center"/>
          </w:tcPr>
          <w:p w14:paraId="2A37F6D6"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41</w:t>
            </w:r>
            <w:r>
              <w:rPr>
                <w:rFonts w:ascii="宋体" w:hAnsi="宋体" w:cs="Times New Roman" w:hint="eastAsia"/>
                <w:color w:val="000000"/>
                <w:kern w:val="0"/>
                <w:szCs w:val="21"/>
              </w:rPr>
              <w:t>）钝吻棒花鱼</w:t>
            </w:r>
          </w:p>
        </w:tc>
        <w:tc>
          <w:tcPr>
            <w:tcW w:w="3700" w:type="dxa"/>
            <w:shd w:val="clear" w:color="auto" w:fill="auto"/>
            <w:noWrap/>
            <w:vAlign w:val="center"/>
          </w:tcPr>
          <w:p w14:paraId="400544DC" w14:textId="77777777" w:rsidR="007D1E74" w:rsidRDefault="00A95641">
            <w:pPr>
              <w:widowControl/>
              <w:jc w:val="left"/>
              <w:rPr>
                <w:rFonts w:cs="Times New Roman"/>
                <w:i/>
                <w:iCs/>
                <w:color w:val="000000"/>
                <w:kern w:val="0"/>
                <w:szCs w:val="21"/>
              </w:rPr>
            </w:pPr>
            <w:r>
              <w:rPr>
                <w:rFonts w:cs="Times New Roman"/>
                <w:i/>
                <w:iCs/>
                <w:color w:val="000000"/>
                <w:kern w:val="0"/>
                <w:szCs w:val="21"/>
              </w:rPr>
              <w:t>Abbottina obtusirostris</w:t>
            </w:r>
            <w:r>
              <w:rPr>
                <w:rFonts w:cs="Times New Roman"/>
                <w:color w:val="000000"/>
                <w:kern w:val="0"/>
                <w:szCs w:val="21"/>
              </w:rPr>
              <w:t xml:space="preserve"> (Wu </w:t>
            </w:r>
            <w:r>
              <w:rPr>
                <w:rFonts w:cs="Times New Roman"/>
                <w:i/>
                <w:iCs/>
                <w:color w:val="000000"/>
                <w:kern w:val="0"/>
                <w:szCs w:val="21"/>
              </w:rPr>
              <w:t>et</w:t>
            </w:r>
            <w:r>
              <w:rPr>
                <w:rFonts w:cs="Times New Roman"/>
                <w:color w:val="000000"/>
                <w:kern w:val="0"/>
                <w:szCs w:val="21"/>
              </w:rPr>
              <w:t xml:space="preserve"> Wang)</w:t>
            </w:r>
          </w:p>
        </w:tc>
        <w:tc>
          <w:tcPr>
            <w:tcW w:w="851" w:type="dxa"/>
            <w:shd w:val="clear" w:color="auto" w:fill="auto"/>
            <w:noWrap/>
            <w:vAlign w:val="center"/>
          </w:tcPr>
          <w:p w14:paraId="252F92F3"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2D2544C0"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09CB56BD" w14:textId="77777777" w:rsidR="007D1E74" w:rsidRDefault="00A95641">
            <w:pPr>
              <w:widowControl/>
              <w:jc w:val="center"/>
              <w:rPr>
                <w:rFonts w:cs="Times New Roman"/>
                <w:color w:val="000000"/>
                <w:kern w:val="0"/>
                <w:szCs w:val="21"/>
              </w:rPr>
            </w:pPr>
            <w:r>
              <w:rPr>
                <w:rFonts w:ascii="宋体" w:hAnsi="宋体" w:cs="Times New Roman" w:hint="eastAsia"/>
                <w:color w:val="000000"/>
                <w:kern w:val="0"/>
                <w:szCs w:val="21"/>
              </w:rPr>
              <w:t>＊</w:t>
            </w:r>
          </w:p>
        </w:tc>
      </w:tr>
      <w:tr w:rsidR="007D1E74" w14:paraId="317C0090" w14:textId="77777777">
        <w:trPr>
          <w:jc w:val="center"/>
        </w:trPr>
        <w:tc>
          <w:tcPr>
            <w:tcW w:w="2107" w:type="dxa"/>
            <w:shd w:val="clear" w:color="auto" w:fill="auto"/>
            <w:noWrap/>
            <w:vAlign w:val="center"/>
          </w:tcPr>
          <w:p w14:paraId="0B6608D8" w14:textId="77777777" w:rsidR="007D1E74" w:rsidRDefault="00A95641">
            <w:pPr>
              <w:widowControl/>
              <w:jc w:val="left"/>
              <w:rPr>
                <w:rFonts w:cs="Times New Roman"/>
                <w:color w:val="000000"/>
                <w:kern w:val="0"/>
                <w:szCs w:val="21"/>
              </w:rPr>
            </w:pPr>
            <w:r>
              <w:rPr>
                <w:rFonts w:cs="Times New Roman"/>
                <w:color w:val="000000"/>
                <w:kern w:val="0"/>
                <w:szCs w:val="21"/>
              </w:rPr>
              <w:t>35</w:t>
            </w:r>
            <w:r>
              <w:rPr>
                <w:rFonts w:ascii="宋体" w:hAnsi="宋体" w:cs="Times New Roman" w:hint="eastAsia"/>
                <w:color w:val="000000"/>
                <w:kern w:val="0"/>
                <w:szCs w:val="21"/>
              </w:rPr>
              <w:t>、蛇鮈属</w:t>
            </w:r>
          </w:p>
        </w:tc>
        <w:tc>
          <w:tcPr>
            <w:tcW w:w="3700" w:type="dxa"/>
            <w:shd w:val="clear" w:color="auto" w:fill="auto"/>
            <w:noWrap/>
            <w:vAlign w:val="center"/>
          </w:tcPr>
          <w:p w14:paraId="646DFE10"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6AB8A378"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486435DE"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4773687B" w14:textId="77777777" w:rsidR="007D1E74" w:rsidRDefault="007D1E74">
            <w:pPr>
              <w:widowControl/>
              <w:jc w:val="center"/>
              <w:rPr>
                <w:rFonts w:cs="Times New Roman"/>
                <w:color w:val="000000"/>
                <w:kern w:val="0"/>
                <w:szCs w:val="21"/>
              </w:rPr>
            </w:pPr>
          </w:p>
        </w:tc>
      </w:tr>
      <w:tr w:rsidR="007D1E74" w14:paraId="31FE0E53" w14:textId="77777777">
        <w:trPr>
          <w:jc w:val="center"/>
        </w:trPr>
        <w:tc>
          <w:tcPr>
            <w:tcW w:w="2107" w:type="dxa"/>
            <w:shd w:val="clear" w:color="auto" w:fill="auto"/>
            <w:noWrap/>
            <w:vAlign w:val="center"/>
          </w:tcPr>
          <w:p w14:paraId="7D2E71E5"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42</w:t>
            </w:r>
            <w:r>
              <w:rPr>
                <w:rFonts w:ascii="宋体" w:hAnsi="宋体" w:cs="Times New Roman" w:hint="eastAsia"/>
                <w:color w:val="000000"/>
                <w:kern w:val="0"/>
                <w:szCs w:val="21"/>
              </w:rPr>
              <w:t>）蛇鮈</w:t>
            </w:r>
          </w:p>
        </w:tc>
        <w:tc>
          <w:tcPr>
            <w:tcW w:w="3700" w:type="dxa"/>
            <w:shd w:val="clear" w:color="auto" w:fill="auto"/>
            <w:noWrap/>
            <w:vAlign w:val="center"/>
          </w:tcPr>
          <w:p w14:paraId="79D4595F" w14:textId="77777777" w:rsidR="007D1E74" w:rsidRDefault="00A95641">
            <w:pPr>
              <w:widowControl/>
              <w:jc w:val="left"/>
              <w:rPr>
                <w:rFonts w:cs="Times New Roman"/>
                <w:i/>
                <w:iCs/>
                <w:color w:val="000000"/>
                <w:kern w:val="0"/>
                <w:szCs w:val="21"/>
              </w:rPr>
            </w:pPr>
            <w:r>
              <w:rPr>
                <w:rFonts w:cs="Times New Roman"/>
                <w:i/>
                <w:iCs/>
                <w:color w:val="000000"/>
                <w:kern w:val="0"/>
                <w:szCs w:val="21"/>
              </w:rPr>
              <w:t>Saurogobio dabryi</w:t>
            </w:r>
            <w:r>
              <w:rPr>
                <w:rFonts w:cs="Times New Roman"/>
                <w:color w:val="000000"/>
                <w:kern w:val="0"/>
                <w:szCs w:val="21"/>
              </w:rPr>
              <w:t xml:space="preserve"> Bleeker</w:t>
            </w:r>
          </w:p>
        </w:tc>
        <w:tc>
          <w:tcPr>
            <w:tcW w:w="851" w:type="dxa"/>
            <w:shd w:val="clear" w:color="auto" w:fill="auto"/>
            <w:noWrap/>
            <w:vAlign w:val="center"/>
          </w:tcPr>
          <w:p w14:paraId="62758307"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51308493"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4D5ADDDC" w14:textId="77777777" w:rsidR="007D1E74" w:rsidRDefault="007D1E74">
            <w:pPr>
              <w:widowControl/>
              <w:jc w:val="center"/>
              <w:rPr>
                <w:rFonts w:cs="Times New Roman"/>
                <w:color w:val="000000"/>
                <w:kern w:val="0"/>
                <w:szCs w:val="21"/>
              </w:rPr>
            </w:pPr>
          </w:p>
        </w:tc>
      </w:tr>
      <w:tr w:rsidR="007D1E74" w14:paraId="70CF35BD" w14:textId="77777777">
        <w:trPr>
          <w:jc w:val="center"/>
        </w:trPr>
        <w:tc>
          <w:tcPr>
            <w:tcW w:w="2107" w:type="dxa"/>
            <w:shd w:val="clear" w:color="auto" w:fill="auto"/>
            <w:noWrap/>
            <w:vAlign w:val="center"/>
          </w:tcPr>
          <w:p w14:paraId="7A7851FA" w14:textId="77777777" w:rsidR="007D1E74" w:rsidRDefault="00A95641">
            <w:pPr>
              <w:widowControl/>
              <w:jc w:val="left"/>
              <w:rPr>
                <w:rFonts w:cs="Times New Roman"/>
                <w:color w:val="000000"/>
                <w:kern w:val="0"/>
                <w:szCs w:val="21"/>
              </w:rPr>
            </w:pPr>
            <w:r>
              <w:rPr>
                <w:rFonts w:cs="Times New Roman"/>
                <w:color w:val="000000"/>
                <w:kern w:val="0"/>
                <w:szCs w:val="21"/>
              </w:rPr>
              <w:t>36</w:t>
            </w:r>
            <w:r>
              <w:rPr>
                <w:rFonts w:ascii="宋体" w:hAnsi="宋体" w:cs="Times New Roman" w:hint="eastAsia"/>
                <w:color w:val="000000"/>
                <w:kern w:val="0"/>
                <w:szCs w:val="21"/>
              </w:rPr>
              <w:t>、鳅鮀属</w:t>
            </w:r>
          </w:p>
        </w:tc>
        <w:tc>
          <w:tcPr>
            <w:tcW w:w="3700" w:type="dxa"/>
            <w:shd w:val="clear" w:color="auto" w:fill="auto"/>
            <w:noWrap/>
            <w:vAlign w:val="center"/>
          </w:tcPr>
          <w:p w14:paraId="74EDDD20"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644917D3"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6323D596"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70C5D6D2" w14:textId="77777777" w:rsidR="007D1E74" w:rsidRDefault="007D1E74">
            <w:pPr>
              <w:widowControl/>
              <w:jc w:val="center"/>
              <w:rPr>
                <w:rFonts w:cs="Times New Roman"/>
                <w:color w:val="000000"/>
                <w:kern w:val="0"/>
                <w:szCs w:val="21"/>
              </w:rPr>
            </w:pPr>
          </w:p>
        </w:tc>
      </w:tr>
      <w:tr w:rsidR="007D1E74" w14:paraId="44035348" w14:textId="77777777">
        <w:trPr>
          <w:jc w:val="center"/>
        </w:trPr>
        <w:tc>
          <w:tcPr>
            <w:tcW w:w="2107" w:type="dxa"/>
            <w:shd w:val="clear" w:color="auto" w:fill="auto"/>
            <w:noWrap/>
            <w:vAlign w:val="center"/>
          </w:tcPr>
          <w:p w14:paraId="584D92D0"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43</w:t>
            </w:r>
            <w:r>
              <w:rPr>
                <w:rFonts w:ascii="宋体" w:hAnsi="宋体" w:cs="Times New Roman" w:hint="eastAsia"/>
                <w:color w:val="000000"/>
                <w:kern w:val="0"/>
                <w:szCs w:val="21"/>
              </w:rPr>
              <w:t>）异鳔鳅鮀</w:t>
            </w:r>
          </w:p>
        </w:tc>
        <w:tc>
          <w:tcPr>
            <w:tcW w:w="3700" w:type="dxa"/>
            <w:shd w:val="clear" w:color="auto" w:fill="auto"/>
            <w:noWrap/>
            <w:vAlign w:val="center"/>
          </w:tcPr>
          <w:p w14:paraId="330618D8" w14:textId="77777777" w:rsidR="007D1E74" w:rsidRDefault="00A95641">
            <w:pPr>
              <w:widowControl/>
              <w:jc w:val="left"/>
              <w:rPr>
                <w:rFonts w:cs="Times New Roman"/>
                <w:i/>
                <w:iCs/>
                <w:color w:val="000000"/>
                <w:kern w:val="0"/>
                <w:szCs w:val="21"/>
              </w:rPr>
            </w:pPr>
            <w:r>
              <w:rPr>
                <w:rFonts w:cs="Times New Roman"/>
                <w:i/>
                <w:iCs/>
                <w:color w:val="000000"/>
                <w:kern w:val="0"/>
                <w:szCs w:val="21"/>
              </w:rPr>
              <w:t>Gobiobotia boulengeri</w:t>
            </w:r>
            <w:r>
              <w:rPr>
                <w:rFonts w:cs="Times New Roman"/>
                <w:color w:val="000000"/>
                <w:kern w:val="0"/>
                <w:szCs w:val="21"/>
              </w:rPr>
              <w:t xml:space="preserve"> Tchang</w:t>
            </w:r>
          </w:p>
        </w:tc>
        <w:tc>
          <w:tcPr>
            <w:tcW w:w="851" w:type="dxa"/>
            <w:shd w:val="clear" w:color="auto" w:fill="auto"/>
            <w:noWrap/>
            <w:vAlign w:val="center"/>
          </w:tcPr>
          <w:p w14:paraId="0BF3E3CC"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2676CDF8"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36C87A29" w14:textId="77777777" w:rsidR="007D1E74" w:rsidRDefault="00A95641">
            <w:pPr>
              <w:widowControl/>
              <w:jc w:val="center"/>
              <w:rPr>
                <w:rFonts w:cs="Times New Roman"/>
                <w:color w:val="000000"/>
                <w:kern w:val="0"/>
                <w:szCs w:val="21"/>
              </w:rPr>
            </w:pPr>
            <w:r>
              <w:rPr>
                <w:rFonts w:ascii="宋体" w:hAnsi="宋体" w:cs="Times New Roman" w:hint="eastAsia"/>
                <w:color w:val="000000"/>
                <w:kern w:val="0"/>
                <w:szCs w:val="21"/>
              </w:rPr>
              <w:t>＊</w:t>
            </w:r>
          </w:p>
        </w:tc>
      </w:tr>
      <w:tr w:rsidR="007D1E74" w14:paraId="1C2C2FDC" w14:textId="77777777">
        <w:trPr>
          <w:jc w:val="center"/>
        </w:trPr>
        <w:tc>
          <w:tcPr>
            <w:tcW w:w="2107" w:type="dxa"/>
            <w:shd w:val="clear" w:color="auto" w:fill="auto"/>
            <w:noWrap/>
            <w:vAlign w:val="center"/>
          </w:tcPr>
          <w:p w14:paraId="4E9EC992" w14:textId="77777777" w:rsidR="007D1E74" w:rsidRDefault="00A95641">
            <w:pPr>
              <w:widowControl/>
              <w:jc w:val="left"/>
              <w:rPr>
                <w:rFonts w:cs="Times New Roman"/>
                <w:color w:val="000000"/>
                <w:kern w:val="0"/>
                <w:szCs w:val="21"/>
              </w:rPr>
            </w:pPr>
            <w:r>
              <w:rPr>
                <w:rFonts w:cs="Times New Roman"/>
                <w:color w:val="000000"/>
                <w:kern w:val="0"/>
                <w:szCs w:val="21"/>
              </w:rPr>
              <w:t>37</w:t>
            </w:r>
            <w:r>
              <w:rPr>
                <w:rFonts w:ascii="宋体" w:hAnsi="宋体" w:cs="Times New Roman" w:hint="eastAsia"/>
                <w:color w:val="000000"/>
                <w:kern w:val="0"/>
                <w:szCs w:val="21"/>
              </w:rPr>
              <w:t>、倒刺鲃属</w:t>
            </w:r>
          </w:p>
        </w:tc>
        <w:tc>
          <w:tcPr>
            <w:tcW w:w="3700" w:type="dxa"/>
            <w:shd w:val="clear" w:color="auto" w:fill="auto"/>
            <w:noWrap/>
            <w:vAlign w:val="center"/>
          </w:tcPr>
          <w:p w14:paraId="3CA7CCC4"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0C67562B"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736176BA"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7D14A5DE" w14:textId="77777777" w:rsidR="007D1E74" w:rsidRDefault="007D1E74">
            <w:pPr>
              <w:widowControl/>
              <w:jc w:val="center"/>
              <w:rPr>
                <w:rFonts w:cs="Times New Roman"/>
                <w:color w:val="000000"/>
                <w:kern w:val="0"/>
                <w:szCs w:val="21"/>
              </w:rPr>
            </w:pPr>
          </w:p>
        </w:tc>
      </w:tr>
      <w:tr w:rsidR="007D1E74" w14:paraId="5C11A128" w14:textId="77777777">
        <w:trPr>
          <w:jc w:val="center"/>
        </w:trPr>
        <w:tc>
          <w:tcPr>
            <w:tcW w:w="2107" w:type="dxa"/>
            <w:shd w:val="clear" w:color="auto" w:fill="auto"/>
            <w:noWrap/>
            <w:vAlign w:val="center"/>
          </w:tcPr>
          <w:p w14:paraId="6634C849"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44</w:t>
            </w:r>
            <w:r>
              <w:rPr>
                <w:rFonts w:ascii="宋体" w:hAnsi="宋体" w:cs="Times New Roman" w:hint="eastAsia"/>
                <w:color w:val="000000"/>
                <w:kern w:val="0"/>
                <w:szCs w:val="21"/>
              </w:rPr>
              <w:t>）中华倒刺鲃</w:t>
            </w:r>
          </w:p>
        </w:tc>
        <w:tc>
          <w:tcPr>
            <w:tcW w:w="3700" w:type="dxa"/>
            <w:shd w:val="clear" w:color="auto" w:fill="auto"/>
            <w:noWrap/>
            <w:vAlign w:val="center"/>
          </w:tcPr>
          <w:p w14:paraId="11F48FA9" w14:textId="77777777" w:rsidR="007D1E74" w:rsidRDefault="00A95641">
            <w:pPr>
              <w:widowControl/>
              <w:jc w:val="left"/>
              <w:rPr>
                <w:rFonts w:cs="Times New Roman"/>
                <w:color w:val="000000"/>
                <w:kern w:val="0"/>
                <w:szCs w:val="21"/>
              </w:rPr>
            </w:pPr>
            <w:r>
              <w:rPr>
                <w:rFonts w:cs="Times New Roman"/>
                <w:color w:val="000000"/>
                <w:kern w:val="0"/>
                <w:szCs w:val="21"/>
              </w:rPr>
              <w:t>Spinibarbus sinensis (Bleeker)</w:t>
            </w:r>
          </w:p>
        </w:tc>
        <w:tc>
          <w:tcPr>
            <w:tcW w:w="851" w:type="dxa"/>
            <w:shd w:val="clear" w:color="auto" w:fill="auto"/>
            <w:noWrap/>
            <w:vAlign w:val="center"/>
          </w:tcPr>
          <w:p w14:paraId="6E37F286"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735FFE5B"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44ADD6AE" w14:textId="77777777" w:rsidR="007D1E74" w:rsidRDefault="007D1E74">
            <w:pPr>
              <w:widowControl/>
              <w:jc w:val="center"/>
              <w:rPr>
                <w:rFonts w:cs="Times New Roman"/>
                <w:color w:val="000000"/>
                <w:kern w:val="0"/>
                <w:szCs w:val="21"/>
              </w:rPr>
            </w:pPr>
          </w:p>
        </w:tc>
      </w:tr>
      <w:tr w:rsidR="007D1E74" w14:paraId="47953820" w14:textId="77777777">
        <w:trPr>
          <w:jc w:val="center"/>
        </w:trPr>
        <w:tc>
          <w:tcPr>
            <w:tcW w:w="2107" w:type="dxa"/>
            <w:shd w:val="clear" w:color="auto" w:fill="auto"/>
            <w:noWrap/>
            <w:vAlign w:val="center"/>
          </w:tcPr>
          <w:p w14:paraId="2B607478" w14:textId="77777777" w:rsidR="007D1E74" w:rsidRDefault="00A95641">
            <w:pPr>
              <w:widowControl/>
              <w:jc w:val="left"/>
              <w:rPr>
                <w:rFonts w:cs="Times New Roman"/>
                <w:color w:val="000000"/>
                <w:kern w:val="0"/>
                <w:szCs w:val="21"/>
              </w:rPr>
            </w:pPr>
            <w:r>
              <w:rPr>
                <w:rFonts w:cs="Times New Roman"/>
                <w:color w:val="000000"/>
                <w:kern w:val="0"/>
                <w:szCs w:val="21"/>
              </w:rPr>
              <w:t>38</w:t>
            </w:r>
            <w:r>
              <w:rPr>
                <w:rFonts w:ascii="宋体" w:hAnsi="宋体" w:cs="Times New Roman" w:hint="eastAsia"/>
                <w:color w:val="000000"/>
                <w:kern w:val="0"/>
                <w:szCs w:val="21"/>
              </w:rPr>
              <w:t>、光唇鱼属</w:t>
            </w:r>
          </w:p>
        </w:tc>
        <w:tc>
          <w:tcPr>
            <w:tcW w:w="3700" w:type="dxa"/>
            <w:shd w:val="clear" w:color="auto" w:fill="auto"/>
            <w:noWrap/>
            <w:vAlign w:val="center"/>
          </w:tcPr>
          <w:p w14:paraId="2E60D984"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54856017"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1BC4229B"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4E705C64" w14:textId="77777777" w:rsidR="007D1E74" w:rsidRDefault="007D1E74">
            <w:pPr>
              <w:widowControl/>
              <w:jc w:val="center"/>
              <w:rPr>
                <w:rFonts w:cs="Times New Roman"/>
                <w:color w:val="000000"/>
                <w:kern w:val="0"/>
                <w:szCs w:val="21"/>
              </w:rPr>
            </w:pPr>
          </w:p>
        </w:tc>
      </w:tr>
      <w:tr w:rsidR="007D1E74" w14:paraId="26A3D9C0" w14:textId="77777777">
        <w:trPr>
          <w:jc w:val="center"/>
        </w:trPr>
        <w:tc>
          <w:tcPr>
            <w:tcW w:w="2107" w:type="dxa"/>
            <w:shd w:val="clear" w:color="auto" w:fill="auto"/>
            <w:noWrap/>
            <w:vAlign w:val="center"/>
          </w:tcPr>
          <w:p w14:paraId="42970E9F"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45</w:t>
            </w:r>
            <w:r>
              <w:rPr>
                <w:rFonts w:ascii="宋体" w:hAnsi="宋体" w:cs="Times New Roman" w:hint="eastAsia"/>
                <w:color w:val="000000"/>
                <w:kern w:val="0"/>
                <w:szCs w:val="21"/>
              </w:rPr>
              <w:t>）宽口光唇鱼</w:t>
            </w:r>
          </w:p>
        </w:tc>
        <w:tc>
          <w:tcPr>
            <w:tcW w:w="3700" w:type="dxa"/>
            <w:shd w:val="clear" w:color="auto" w:fill="auto"/>
            <w:noWrap/>
            <w:vAlign w:val="center"/>
          </w:tcPr>
          <w:p w14:paraId="3818D24A" w14:textId="77777777" w:rsidR="007D1E74" w:rsidRDefault="00A95641">
            <w:pPr>
              <w:widowControl/>
              <w:jc w:val="left"/>
              <w:rPr>
                <w:rFonts w:cs="Times New Roman"/>
                <w:i/>
                <w:iCs/>
                <w:color w:val="000000"/>
                <w:kern w:val="0"/>
                <w:szCs w:val="21"/>
              </w:rPr>
            </w:pPr>
            <w:r>
              <w:rPr>
                <w:rFonts w:cs="Times New Roman"/>
                <w:i/>
                <w:iCs/>
                <w:color w:val="000000"/>
                <w:kern w:val="0"/>
                <w:szCs w:val="21"/>
              </w:rPr>
              <w:t>Acrossocheilus monticola</w:t>
            </w:r>
            <w:r>
              <w:rPr>
                <w:rFonts w:cs="Times New Roman"/>
                <w:color w:val="000000"/>
                <w:kern w:val="0"/>
                <w:szCs w:val="21"/>
              </w:rPr>
              <w:t xml:space="preserve"> (Günther)</w:t>
            </w:r>
          </w:p>
        </w:tc>
        <w:tc>
          <w:tcPr>
            <w:tcW w:w="851" w:type="dxa"/>
            <w:shd w:val="clear" w:color="auto" w:fill="auto"/>
            <w:noWrap/>
            <w:vAlign w:val="center"/>
          </w:tcPr>
          <w:p w14:paraId="2B482345"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097DE55D"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3DD4C55A" w14:textId="77777777" w:rsidR="007D1E74" w:rsidRDefault="00A95641">
            <w:pPr>
              <w:widowControl/>
              <w:jc w:val="center"/>
              <w:rPr>
                <w:rFonts w:cs="Times New Roman"/>
                <w:color w:val="000000"/>
                <w:kern w:val="0"/>
                <w:szCs w:val="21"/>
              </w:rPr>
            </w:pPr>
            <w:r>
              <w:rPr>
                <w:rFonts w:ascii="宋体" w:hAnsi="宋体" w:cs="Times New Roman" w:hint="eastAsia"/>
                <w:color w:val="000000"/>
                <w:kern w:val="0"/>
                <w:szCs w:val="21"/>
              </w:rPr>
              <w:t>＊</w:t>
            </w:r>
          </w:p>
        </w:tc>
      </w:tr>
      <w:tr w:rsidR="007D1E74" w14:paraId="20832869" w14:textId="77777777">
        <w:trPr>
          <w:jc w:val="center"/>
        </w:trPr>
        <w:tc>
          <w:tcPr>
            <w:tcW w:w="2107" w:type="dxa"/>
            <w:shd w:val="clear" w:color="auto" w:fill="auto"/>
            <w:noWrap/>
            <w:vAlign w:val="center"/>
          </w:tcPr>
          <w:p w14:paraId="76E55C3C" w14:textId="77777777" w:rsidR="007D1E74" w:rsidRDefault="00A95641">
            <w:pPr>
              <w:widowControl/>
              <w:jc w:val="left"/>
              <w:rPr>
                <w:rFonts w:cs="Times New Roman"/>
                <w:color w:val="000000"/>
                <w:kern w:val="0"/>
                <w:szCs w:val="21"/>
              </w:rPr>
            </w:pPr>
            <w:r>
              <w:rPr>
                <w:rFonts w:cs="Times New Roman"/>
                <w:color w:val="000000"/>
                <w:kern w:val="0"/>
                <w:szCs w:val="21"/>
              </w:rPr>
              <w:t>39</w:t>
            </w:r>
            <w:r>
              <w:rPr>
                <w:rFonts w:ascii="宋体" w:hAnsi="宋体" w:cs="Times New Roman" w:hint="eastAsia"/>
                <w:color w:val="000000"/>
                <w:kern w:val="0"/>
                <w:szCs w:val="21"/>
              </w:rPr>
              <w:t>、白甲鱼属</w:t>
            </w:r>
          </w:p>
        </w:tc>
        <w:tc>
          <w:tcPr>
            <w:tcW w:w="3700" w:type="dxa"/>
            <w:shd w:val="clear" w:color="auto" w:fill="auto"/>
            <w:noWrap/>
            <w:vAlign w:val="center"/>
          </w:tcPr>
          <w:p w14:paraId="5810608F"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0755240C"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68548885"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0E063DF2" w14:textId="77777777" w:rsidR="007D1E74" w:rsidRDefault="007D1E74">
            <w:pPr>
              <w:widowControl/>
              <w:jc w:val="center"/>
              <w:rPr>
                <w:rFonts w:cs="Times New Roman"/>
                <w:color w:val="000000"/>
                <w:kern w:val="0"/>
                <w:szCs w:val="21"/>
              </w:rPr>
            </w:pPr>
          </w:p>
        </w:tc>
      </w:tr>
      <w:tr w:rsidR="007D1E74" w14:paraId="5892C289" w14:textId="77777777">
        <w:trPr>
          <w:jc w:val="center"/>
        </w:trPr>
        <w:tc>
          <w:tcPr>
            <w:tcW w:w="2107" w:type="dxa"/>
            <w:shd w:val="clear" w:color="auto" w:fill="auto"/>
            <w:noWrap/>
            <w:vAlign w:val="center"/>
          </w:tcPr>
          <w:p w14:paraId="62B20029"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46</w:t>
            </w:r>
            <w:r>
              <w:rPr>
                <w:rFonts w:ascii="宋体" w:hAnsi="宋体" w:cs="Times New Roman" w:hint="eastAsia"/>
                <w:color w:val="000000"/>
                <w:kern w:val="0"/>
                <w:szCs w:val="21"/>
              </w:rPr>
              <w:t>）四川白甲鱼</w:t>
            </w:r>
          </w:p>
        </w:tc>
        <w:tc>
          <w:tcPr>
            <w:tcW w:w="3700" w:type="dxa"/>
            <w:shd w:val="clear" w:color="auto" w:fill="auto"/>
            <w:noWrap/>
            <w:vAlign w:val="center"/>
          </w:tcPr>
          <w:p w14:paraId="61BD11B0" w14:textId="77777777" w:rsidR="007D1E74" w:rsidRDefault="00A95641">
            <w:pPr>
              <w:widowControl/>
              <w:jc w:val="left"/>
              <w:rPr>
                <w:rFonts w:cs="Times New Roman"/>
                <w:i/>
                <w:iCs/>
                <w:color w:val="000000"/>
                <w:kern w:val="0"/>
                <w:szCs w:val="21"/>
              </w:rPr>
            </w:pPr>
            <w:r>
              <w:rPr>
                <w:rFonts w:cs="Times New Roman"/>
                <w:i/>
                <w:iCs/>
                <w:color w:val="000000"/>
                <w:kern w:val="0"/>
                <w:szCs w:val="21"/>
              </w:rPr>
              <w:t>Onychostoma angustistomata</w:t>
            </w:r>
            <w:r>
              <w:rPr>
                <w:rFonts w:cs="Times New Roman"/>
                <w:color w:val="000000"/>
                <w:kern w:val="0"/>
                <w:szCs w:val="21"/>
              </w:rPr>
              <w:t xml:space="preserve"> (Fang)</w:t>
            </w:r>
          </w:p>
        </w:tc>
        <w:tc>
          <w:tcPr>
            <w:tcW w:w="851" w:type="dxa"/>
            <w:shd w:val="clear" w:color="auto" w:fill="auto"/>
            <w:noWrap/>
            <w:vAlign w:val="center"/>
          </w:tcPr>
          <w:p w14:paraId="2D5C8340" w14:textId="77777777" w:rsidR="007D1E74" w:rsidRDefault="00A95641">
            <w:pPr>
              <w:widowControl/>
              <w:jc w:val="center"/>
              <w:rPr>
                <w:rFonts w:cs="Times New Roman"/>
                <w:color w:val="000000"/>
                <w:kern w:val="0"/>
                <w:szCs w:val="21"/>
              </w:rPr>
            </w:pPr>
            <w:r>
              <w:rPr>
                <w:rFonts w:ascii="Arial" w:hAnsi="Arial" w:cs="Arial"/>
                <w:szCs w:val="21"/>
              </w:rPr>
              <w:t>▲</w:t>
            </w:r>
          </w:p>
        </w:tc>
        <w:tc>
          <w:tcPr>
            <w:tcW w:w="850" w:type="dxa"/>
            <w:shd w:val="clear" w:color="auto" w:fill="auto"/>
            <w:noWrap/>
            <w:vAlign w:val="center"/>
          </w:tcPr>
          <w:p w14:paraId="512400D2"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6D405892" w14:textId="77777777" w:rsidR="007D1E74" w:rsidRDefault="00A95641">
            <w:pPr>
              <w:widowControl/>
              <w:jc w:val="center"/>
              <w:rPr>
                <w:rFonts w:cs="Times New Roman"/>
                <w:color w:val="000000"/>
                <w:kern w:val="0"/>
                <w:szCs w:val="21"/>
              </w:rPr>
            </w:pPr>
            <w:r>
              <w:rPr>
                <w:rFonts w:ascii="宋体" w:hAnsi="宋体" w:cs="Times New Roman" w:hint="eastAsia"/>
                <w:color w:val="000000"/>
                <w:kern w:val="0"/>
                <w:szCs w:val="21"/>
              </w:rPr>
              <w:t>＊</w:t>
            </w:r>
          </w:p>
        </w:tc>
      </w:tr>
      <w:tr w:rsidR="007D1E74" w14:paraId="3A533080" w14:textId="77777777">
        <w:trPr>
          <w:jc w:val="center"/>
        </w:trPr>
        <w:tc>
          <w:tcPr>
            <w:tcW w:w="2107" w:type="dxa"/>
            <w:shd w:val="clear" w:color="auto" w:fill="auto"/>
            <w:noWrap/>
            <w:vAlign w:val="center"/>
          </w:tcPr>
          <w:p w14:paraId="113DF862"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47</w:t>
            </w:r>
            <w:r>
              <w:rPr>
                <w:rFonts w:ascii="宋体" w:hAnsi="宋体" w:cs="Times New Roman" w:hint="eastAsia"/>
                <w:color w:val="000000"/>
                <w:kern w:val="0"/>
                <w:szCs w:val="21"/>
              </w:rPr>
              <w:t>）白甲鱼</w:t>
            </w:r>
          </w:p>
        </w:tc>
        <w:tc>
          <w:tcPr>
            <w:tcW w:w="3700" w:type="dxa"/>
            <w:shd w:val="clear" w:color="auto" w:fill="auto"/>
            <w:noWrap/>
            <w:vAlign w:val="center"/>
          </w:tcPr>
          <w:p w14:paraId="116E8FB0" w14:textId="77777777" w:rsidR="007D1E74" w:rsidRDefault="00A95641">
            <w:pPr>
              <w:widowControl/>
              <w:jc w:val="left"/>
              <w:rPr>
                <w:rFonts w:cs="Times New Roman"/>
                <w:i/>
                <w:iCs/>
                <w:color w:val="000000"/>
                <w:kern w:val="0"/>
                <w:szCs w:val="21"/>
              </w:rPr>
            </w:pPr>
            <w:r>
              <w:rPr>
                <w:rFonts w:cs="Times New Roman"/>
                <w:i/>
                <w:iCs/>
                <w:color w:val="000000"/>
                <w:kern w:val="0"/>
                <w:szCs w:val="21"/>
                <w:lang w:val="es-ES"/>
              </w:rPr>
              <w:t>Onychostoma sima</w:t>
            </w:r>
            <w:r>
              <w:rPr>
                <w:rFonts w:cs="Times New Roman"/>
                <w:color w:val="000000"/>
                <w:kern w:val="0"/>
                <w:szCs w:val="21"/>
                <w:lang w:val="es-ES"/>
              </w:rPr>
              <w:t xml:space="preserve"> (Sauvage </w:t>
            </w:r>
            <w:r>
              <w:rPr>
                <w:rFonts w:cs="Times New Roman"/>
                <w:i/>
                <w:iCs/>
                <w:color w:val="000000"/>
                <w:kern w:val="0"/>
                <w:szCs w:val="21"/>
                <w:lang w:val="es-ES"/>
              </w:rPr>
              <w:t>et</w:t>
            </w:r>
            <w:r>
              <w:rPr>
                <w:rFonts w:cs="Times New Roman"/>
                <w:color w:val="000000"/>
                <w:kern w:val="0"/>
                <w:szCs w:val="21"/>
                <w:lang w:val="es-ES"/>
              </w:rPr>
              <w:t xml:space="preserve"> Dabry)</w:t>
            </w:r>
          </w:p>
        </w:tc>
        <w:tc>
          <w:tcPr>
            <w:tcW w:w="851" w:type="dxa"/>
            <w:shd w:val="clear" w:color="auto" w:fill="auto"/>
            <w:noWrap/>
            <w:vAlign w:val="center"/>
          </w:tcPr>
          <w:p w14:paraId="598AFC5F"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4400B382"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69F36AC0" w14:textId="77777777" w:rsidR="007D1E74" w:rsidRDefault="007D1E74">
            <w:pPr>
              <w:widowControl/>
              <w:jc w:val="center"/>
              <w:rPr>
                <w:rFonts w:cs="Times New Roman"/>
                <w:color w:val="000000"/>
                <w:kern w:val="0"/>
                <w:szCs w:val="21"/>
              </w:rPr>
            </w:pPr>
          </w:p>
        </w:tc>
      </w:tr>
      <w:tr w:rsidR="007D1E74" w14:paraId="5DD05ECD" w14:textId="77777777">
        <w:trPr>
          <w:jc w:val="center"/>
        </w:trPr>
        <w:tc>
          <w:tcPr>
            <w:tcW w:w="2107" w:type="dxa"/>
            <w:shd w:val="clear" w:color="auto" w:fill="auto"/>
            <w:noWrap/>
            <w:vAlign w:val="center"/>
          </w:tcPr>
          <w:p w14:paraId="247875CB" w14:textId="77777777" w:rsidR="007D1E74" w:rsidRDefault="00A95641">
            <w:pPr>
              <w:widowControl/>
              <w:jc w:val="left"/>
              <w:rPr>
                <w:rFonts w:cs="Times New Roman"/>
                <w:color w:val="000000"/>
                <w:kern w:val="0"/>
                <w:szCs w:val="21"/>
              </w:rPr>
            </w:pPr>
            <w:r>
              <w:rPr>
                <w:rFonts w:cs="Times New Roman"/>
                <w:color w:val="000000"/>
                <w:kern w:val="0"/>
                <w:szCs w:val="21"/>
              </w:rPr>
              <w:t>40</w:t>
            </w:r>
            <w:r>
              <w:rPr>
                <w:rFonts w:ascii="宋体" w:hAnsi="宋体" w:cs="Times New Roman" w:hint="eastAsia"/>
                <w:color w:val="000000"/>
                <w:kern w:val="0"/>
                <w:szCs w:val="21"/>
              </w:rPr>
              <w:t>、结鱼属</w:t>
            </w:r>
          </w:p>
        </w:tc>
        <w:tc>
          <w:tcPr>
            <w:tcW w:w="3700" w:type="dxa"/>
            <w:shd w:val="clear" w:color="auto" w:fill="auto"/>
            <w:noWrap/>
            <w:vAlign w:val="center"/>
          </w:tcPr>
          <w:p w14:paraId="3C4BB7AD"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3FD233E6"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7E1DE667"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5C1CF42E" w14:textId="77777777" w:rsidR="007D1E74" w:rsidRDefault="007D1E74">
            <w:pPr>
              <w:widowControl/>
              <w:jc w:val="center"/>
              <w:rPr>
                <w:rFonts w:cs="Times New Roman"/>
                <w:color w:val="000000"/>
                <w:kern w:val="0"/>
                <w:szCs w:val="21"/>
              </w:rPr>
            </w:pPr>
          </w:p>
        </w:tc>
      </w:tr>
      <w:tr w:rsidR="007D1E74" w14:paraId="2A72B04B" w14:textId="77777777">
        <w:trPr>
          <w:jc w:val="center"/>
        </w:trPr>
        <w:tc>
          <w:tcPr>
            <w:tcW w:w="2107" w:type="dxa"/>
            <w:shd w:val="clear" w:color="auto" w:fill="auto"/>
            <w:noWrap/>
            <w:vAlign w:val="center"/>
          </w:tcPr>
          <w:p w14:paraId="1DD1D35D"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48</w:t>
            </w:r>
            <w:r>
              <w:rPr>
                <w:rFonts w:ascii="宋体" w:hAnsi="宋体" w:cs="Times New Roman" w:hint="eastAsia"/>
                <w:color w:val="000000"/>
                <w:kern w:val="0"/>
                <w:szCs w:val="21"/>
              </w:rPr>
              <w:t>）瓣结鱼</w:t>
            </w:r>
          </w:p>
        </w:tc>
        <w:tc>
          <w:tcPr>
            <w:tcW w:w="3700" w:type="dxa"/>
            <w:shd w:val="clear" w:color="auto" w:fill="auto"/>
            <w:noWrap/>
            <w:vAlign w:val="center"/>
          </w:tcPr>
          <w:p w14:paraId="15A6580D" w14:textId="77777777" w:rsidR="007D1E74" w:rsidRDefault="00A95641">
            <w:pPr>
              <w:widowControl/>
              <w:jc w:val="left"/>
              <w:rPr>
                <w:rFonts w:cs="Times New Roman"/>
                <w:i/>
                <w:iCs/>
                <w:color w:val="000000"/>
                <w:kern w:val="0"/>
                <w:szCs w:val="21"/>
              </w:rPr>
            </w:pPr>
            <w:r>
              <w:rPr>
                <w:rFonts w:cs="Times New Roman"/>
                <w:i/>
                <w:iCs/>
                <w:color w:val="000000"/>
                <w:kern w:val="0"/>
                <w:szCs w:val="21"/>
              </w:rPr>
              <w:t>Tor brevifilis</w:t>
            </w:r>
            <w:r>
              <w:rPr>
                <w:rFonts w:cs="Times New Roman"/>
                <w:color w:val="000000"/>
                <w:kern w:val="0"/>
                <w:szCs w:val="21"/>
              </w:rPr>
              <w:t xml:space="preserve"> (Peters)</w:t>
            </w:r>
          </w:p>
        </w:tc>
        <w:tc>
          <w:tcPr>
            <w:tcW w:w="851" w:type="dxa"/>
            <w:shd w:val="clear" w:color="auto" w:fill="auto"/>
            <w:noWrap/>
            <w:vAlign w:val="center"/>
          </w:tcPr>
          <w:p w14:paraId="298CA638"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13D16E5D"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6483AC37" w14:textId="77777777" w:rsidR="007D1E74" w:rsidRDefault="007D1E74">
            <w:pPr>
              <w:widowControl/>
              <w:jc w:val="center"/>
              <w:rPr>
                <w:rFonts w:cs="Times New Roman"/>
                <w:color w:val="000000"/>
                <w:kern w:val="0"/>
                <w:szCs w:val="21"/>
              </w:rPr>
            </w:pPr>
          </w:p>
        </w:tc>
      </w:tr>
      <w:tr w:rsidR="007D1E74" w14:paraId="40055273" w14:textId="77777777">
        <w:trPr>
          <w:jc w:val="center"/>
        </w:trPr>
        <w:tc>
          <w:tcPr>
            <w:tcW w:w="2107" w:type="dxa"/>
            <w:shd w:val="clear" w:color="auto" w:fill="auto"/>
            <w:noWrap/>
            <w:vAlign w:val="center"/>
          </w:tcPr>
          <w:p w14:paraId="0CE1FFD2" w14:textId="77777777" w:rsidR="007D1E74" w:rsidRDefault="00A95641">
            <w:pPr>
              <w:widowControl/>
              <w:jc w:val="left"/>
              <w:rPr>
                <w:rFonts w:cs="Times New Roman"/>
                <w:color w:val="000000"/>
                <w:kern w:val="0"/>
                <w:szCs w:val="21"/>
              </w:rPr>
            </w:pPr>
            <w:r>
              <w:rPr>
                <w:rFonts w:cs="Times New Roman"/>
                <w:color w:val="000000"/>
                <w:kern w:val="0"/>
                <w:szCs w:val="21"/>
              </w:rPr>
              <w:t>41</w:t>
            </w:r>
            <w:r>
              <w:rPr>
                <w:rFonts w:ascii="宋体" w:hAnsi="宋体" w:cs="Times New Roman" w:hint="eastAsia"/>
                <w:color w:val="000000"/>
                <w:kern w:val="0"/>
                <w:szCs w:val="21"/>
              </w:rPr>
              <w:t>、华鯪属</w:t>
            </w:r>
          </w:p>
        </w:tc>
        <w:tc>
          <w:tcPr>
            <w:tcW w:w="3700" w:type="dxa"/>
            <w:shd w:val="clear" w:color="auto" w:fill="auto"/>
            <w:noWrap/>
            <w:vAlign w:val="center"/>
          </w:tcPr>
          <w:p w14:paraId="551FD535"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41433BC1"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4B582B5C"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108456DF" w14:textId="77777777" w:rsidR="007D1E74" w:rsidRDefault="007D1E74">
            <w:pPr>
              <w:widowControl/>
              <w:jc w:val="center"/>
              <w:rPr>
                <w:rFonts w:cs="Times New Roman"/>
                <w:color w:val="000000"/>
                <w:kern w:val="0"/>
                <w:szCs w:val="21"/>
              </w:rPr>
            </w:pPr>
          </w:p>
        </w:tc>
      </w:tr>
      <w:tr w:rsidR="007D1E74" w14:paraId="03930BC2" w14:textId="77777777">
        <w:trPr>
          <w:jc w:val="center"/>
        </w:trPr>
        <w:tc>
          <w:tcPr>
            <w:tcW w:w="2107" w:type="dxa"/>
            <w:shd w:val="clear" w:color="auto" w:fill="auto"/>
            <w:noWrap/>
            <w:vAlign w:val="center"/>
          </w:tcPr>
          <w:p w14:paraId="2738CA6A"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49</w:t>
            </w:r>
            <w:r>
              <w:rPr>
                <w:rFonts w:ascii="宋体" w:hAnsi="宋体" w:cs="Times New Roman" w:hint="eastAsia"/>
                <w:color w:val="000000"/>
                <w:kern w:val="0"/>
                <w:szCs w:val="21"/>
              </w:rPr>
              <w:t>）华鲮</w:t>
            </w:r>
          </w:p>
        </w:tc>
        <w:tc>
          <w:tcPr>
            <w:tcW w:w="3700" w:type="dxa"/>
            <w:shd w:val="clear" w:color="auto" w:fill="auto"/>
            <w:noWrap/>
            <w:vAlign w:val="center"/>
          </w:tcPr>
          <w:p w14:paraId="48BA06AB" w14:textId="77777777" w:rsidR="007D1E74" w:rsidRDefault="00A95641">
            <w:pPr>
              <w:widowControl/>
              <w:jc w:val="left"/>
              <w:rPr>
                <w:rFonts w:cs="Times New Roman"/>
                <w:i/>
                <w:iCs/>
                <w:color w:val="000000"/>
                <w:kern w:val="0"/>
                <w:szCs w:val="21"/>
              </w:rPr>
            </w:pPr>
            <w:r>
              <w:rPr>
                <w:rFonts w:cs="Times New Roman"/>
                <w:i/>
                <w:iCs/>
                <w:color w:val="000000"/>
                <w:kern w:val="0"/>
                <w:szCs w:val="21"/>
              </w:rPr>
              <w:t>Sinilabeo rendahli</w:t>
            </w:r>
            <w:r>
              <w:rPr>
                <w:rFonts w:cs="Times New Roman"/>
                <w:color w:val="000000"/>
                <w:kern w:val="0"/>
                <w:szCs w:val="21"/>
              </w:rPr>
              <w:t xml:space="preserve"> (Kimura)</w:t>
            </w:r>
          </w:p>
        </w:tc>
        <w:tc>
          <w:tcPr>
            <w:tcW w:w="851" w:type="dxa"/>
            <w:shd w:val="clear" w:color="auto" w:fill="auto"/>
            <w:noWrap/>
            <w:vAlign w:val="center"/>
          </w:tcPr>
          <w:p w14:paraId="239EB6DF"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1ADA604E"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46AD5B44" w14:textId="77777777" w:rsidR="007D1E74" w:rsidRDefault="00A95641">
            <w:pPr>
              <w:widowControl/>
              <w:jc w:val="center"/>
              <w:rPr>
                <w:rFonts w:cs="Times New Roman"/>
                <w:color w:val="000000"/>
                <w:kern w:val="0"/>
                <w:szCs w:val="21"/>
              </w:rPr>
            </w:pPr>
            <w:r>
              <w:rPr>
                <w:rFonts w:ascii="宋体" w:hAnsi="宋体" w:cs="Times New Roman" w:hint="eastAsia"/>
                <w:color w:val="000000"/>
                <w:kern w:val="0"/>
                <w:szCs w:val="21"/>
              </w:rPr>
              <w:t>＊</w:t>
            </w:r>
          </w:p>
        </w:tc>
      </w:tr>
      <w:tr w:rsidR="007D1E74" w14:paraId="1C3E5A8D" w14:textId="77777777">
        <w:trPr>
          <w:jc w:val="center"/>
        </w:trPr>
        <w:tc>
          <w:tcPr>
            <w:tcW w:w="2107" w:type="dxa"/>
            <w:shd w:val="clear" w:color="auto" w:fill="auto"/>
            <w:noWrap/>
            <w:vAlign w:val="center"/>
          </w:tcPr>
          <w:p w14:paraId="3B36D2F7" w14:textId="77777777" w:rsidR="007D1E74" w:rsidRDefault="00A95641">
            <w:pPr>
              <w:widowControl/>
              <w:jc w:val="left"/>
              <w:rPr>
                <w:rFonts w:cs="Times New Roman"/>
                <w:color w:val="000000"/>
                <w:kern w:val="0"/>
                <w:szCs w:val="21"/>
              </w:rPr>
            </w:pPr>
            <w:r>
              <w:rPr>
                <w:rFonts w:cs="Times New Roman"/>
                <w:color w:val="000000"/>
                <w:kern w:val="0"/>
                <w:szCs w:val="21"/>
              </w:rPr>
              <w:t>42</w:t>
            </w:r>
            <w:r>
              <w:rPr>
                <w:rFonts w:ascii="宋体" w:hAnsi="宋体" w:cs="Times New Roman" w:hint="eastAsia"/>
                <w:color w:val="000000"/>
                <w:kern w:val="0"/>
                <w:szCs w:val="21"/>
              </w:rPr>
              <w:t>、原鲤属</w:t>
            </w:r>
          </w:p>
        </w:tc>
        <w:tc>
          <w:tcPr>
            <w:tcW w:w="3700" w:type="dxa"/>
            <w:shd w:val="clear" w:color="auto" w:fill="auto"/>
            <w:noWrap/>
            <w:vAlign w:val="center"/>
          </w:tcPr>
          <w:p w14:paraId="41481E21"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06B8AE03"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75F84A48"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514697E7" w14:textId="77777777" w:rsidR="007D1E74" w:rsidRDefault="007D1E74">
            <w:pPr>
              <w:widowControl/>
              <w:jc w:val="center"/>
              <w:rPr>
                <w:rFonts w:cs="Times New Roman"/>
                <w:color w:val="000000"/>
                <w:kern w:val="0"/>
                <w:szCs w:val="21"/>
              </w:rPr>
            </w:pPr>
          </w:p>
        </w:tc>
      </w:tr>
      <w:tr w:rsidR="007D1E74" w14:paraId="285ECD42" w14:textId="77777777">
        <w:trPr>
          <w:jc w:val="center"/>
        </w:trPr>
        <w:tc>
          <w:tcPr>
            <w:tcW w:w="2107" w:type="dxa"/>
            <w:shd w:val="clear" w:color="auto" w:fill="auto"/>
            <w:noWrap/>
            <w:vAlign w:val="center"/>
          </w:tcPr>
          <w:p w14:paraId="1F24A0B3"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50</w:t>
            </w:r>
            <w:r>
              <w:rPr>
                <w:rFonts w:ascii="宋体" w:hAnsi="宋体" w:cs="Times New Roman" w:hint="eastAsia"/>
                <w:color w:val="000000"/>
                <w:kern w:val="0"/>
                <w:szCs w:val="21"/>
              </w:rPr>
              <w:t>）岩原鲤</w:t>
            </w:r>
          </w:p>
        </w:tc>
        <w:tc>
          <w:tcPr>
            <w:tcW w:w="3700" w:type="dxa"/>
            <w:shd w:val="clear" w:color="auto" w:fill="auto"/>
            <w:noWrap/>
            <w:vAlign w:val="center"/>
          </w:tcPr>
          <w:p w14:paraId="5B35C5D2" w14:textId="77777777" w:rsidR="007D1E74" w:rsidRDefault="00A95641">
            <w:pPr>
              <w:widowControl/>
              <w:jc w:val="left"/>
              <w:rPr>
                <w:rFonts w:cs="Times New Roman"/>
                <w:i/>
                <w:iCs/>
                <w:color w:val="000000"/>
                <w:kern w:val="0"/>
                <w:szCs w:val="21"/>
              </w:rPr>
            </w:pPr>
            <w:r>
              <w:rPr>
                <w:rFonts w:cs="Times New Roman"/>
                <w:i/>
                <w:iCs/>
                <w:color w:val="000000"/>
                <w:kern w:val="0"/>
                <w:szCs w:val="21"/>
              </w:rPr>
              <w:t>Procypris rabaudi</w:t>
            </w:r>
            <w:r>
              <w:rPr>
                <w:rFonts w:cs="Times New Roman"/>
                <w:color w:val="000000"/>
                <w:kern w:val="0"/>
                <w:szCs w:val="21"/>
              </w:rPr>
              <w:t xml:space="preserve"> (Tchang)</w:t>
            </w:r>
          </w:p>
        </w:tc>
        <w:tc>
          <w:tcPr>
            <w:tcW w:w="851" w:type="dxa"/>
            <w:shd w:val="clear" w:color="auto" w:fill="auto"/>
            <w:noWrap/>
            <w:vAlign w:val="center"/>
          </w:tcPr>
          <w:p w14:paraId="38F2FE7A" w14:textId="77777777" w:rsidR="007D1E74" w:rsidRDefault="00A95641">
            <w:pPr>
              <w:widowControl/>
              <w:jc w:val="center"/>
              <w:rPr>
                <w:rFonts w:cs="Times New Roman"/>
                <w:color w:val="000000"/>
                <w:kern w:val="0"/>
                <w:szCs w:val="21"/>
              </w:rPr>
            </w:pPr>
            <w:r>
              <w:rPr>
                <w:rFonts w:ascii="Arial" w:hAnsi="Arial" w:cs="Arial"/>
                <w:szCs w:val="21"/>
              </w:rPr>
              <w:t>▲</w:t>
            </w:r>
          </w:p>
        </w:tc>
        <w:tc>
          <w:tcPr>
            <w:tcW w:w="850" w:type="dxa"/>
            <w:shd w:val="clear" w:color="auto" w:fill="auto"/>
            <w:noWrap/>
            <w:vAlign w:val="center"/>
          </w:tcPr>
          <w:p w14:paraId="5D196B74"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333C38E1" w14:textId="77777777" w:rsidR="007D1E74" w:rsidRDefault="00A95641">
            <w:pPr>
              <w:widowControl/>
              <w:jc w:val="center"/>
              <w:rPr>
                <w:rFonts w:cs="Times New Roman"/>
                <w:color w:val="000000"/>
                <w:kern w:val="0"/>
                <w:szCs w:val="21"/>
              </w:rPr>
            </w:pPr>
            <w:r>
              <w:rPr>
                <w:rFonts w:ascii="宋体" w:hAnsi="宋体" w:cs="Times New Roman" w:hint="eastAsia"/>
                <w:color w:val="000000"/>
                <w:kern w:val="0"/>
                <w:szCs w:val="21"/>
              </w:rPr>
              <w:t>＊</w:t>
            </w:r>
          </w:p>
        </w:tc>
      </w:tr>
      <w:tr w:rsidR="007D1E74" w14:paraId="24AD3119" w14:textId="77777777">
        <w:trPr>
          <w:jc w:val="center"/>
        </w:trPr>
        <w:tc>
          <w:tcPr>
            <w:tcW w:w="2107" w:type="dxa"/>
            <w:shd w:val="clear" w:color="auto" w:fill="auto"/>
            <w:noWrap/>
            <w:vAlign w:val="center"/>
          </w:tcPr>
          <w:p w14:paraId="57F51552" w14:textId="77777777" w:rsidR="007D1E74" w:rsidRDefault="00A95641">
            <w:pPr>
              <w:widowControl/>
              <w:jc w:val="left"/>
              <w:rPr>
                <w:rFonts w:cs="Times New Roman"/>
                <w:color w:val="000000"/>
                <w:kern w:val="0"/>
                <w:szCs w:val="21"/>
              </w:rPr>
            </w:pPr>
            <w:r>
              <w:rPr>
                <w:rFonts w:cs="Times New Roman"/>
                <w:color w:val="000000"/>
                <w:kern w:val="0"/>
                <w:szCs w:val="21"/>
              </w:rPr>
              <w:t>43</w:t>
            </w:r>
            <w:r>
              <w:rPr>
                <w:rFonts w:ascii="宋体" w:hAnsi="宋体" w:cs="Times New Roman" w:hint="eastAsia"/>
                <w:color w:val="000000"/>
                <w:kern w:val="0"/>
                <w:szCs w:val="21"/>
              </w:rPr>
              <w:t>、鲤属</w:t>
            </w:r>
          </w:p>
        </w:tc>
        <w:tc>
          <w:tcPr>
            <w:tcW w:w="3700" w:type="dxa"/>
            <w:shd w:val="clear" w:color="auto" w:fill="auto"/>
            <w:noWrap/>
            <w:vAlign w:val="center"/>
          </w:tcPr>
          <w:p w14:paraId="703FDB67"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5CD0FED8"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58CD8B32"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6061D820" w14:textId="77777777" w:rsidR="007D1E74" w:rsidRDefault="007D1E74">
            <w:pPr>
              <w:widowControl/>
              <w:jc w:val="center"/>
              <w:rPr>
                <w:rFonts w:cs="Times New Roman"/>
                <w:color w:val="000000"/>
                <w:kern w:val="0"/>
                <w:szCs w:val="21"/>
              </w:rPr>
            </w:pPr>
          </w:p>
        </w:tc>
      </w:tr>
      <w:tr w:rsidR="007D1E74" w14:paraId="02BB4157" w14:textId="77777777">
        <w:trPr>
          <w:jc w:val="center"/>
        </w:trPr>
        <w:tc>
          <w:tcPr>
            <w:tcW w:w="2107" w:type="dxa"/>
            <w:shd w:val="clear" w:color="auto" w:fill="auto"/>
            <w:noWrap/>
            <w:vAlign w:val="center"/>
          </w:tcPr>
          <w:p w14:paraId="23414E05"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51</w:t>
            </w:r>
            <w:r>
              <w:rPr>
                <w:rFonts w:ascii="宋体" w:hAnsi="宋体" w:cs="Times New Roman" w:hint="eastAsia"/>
                <w:color w:val="000000"/>
                <w:kern w:val="0"/>
                <w:szCs w:val="21"/>
              </w:rPr>
              <w:t>）鲤</w:t>
            </w:r>
          </w:p>
        </w:tc>
        <w:tc>
          <w:tcPr>
            <w:tcW w:w="3700" w:type="dxa"/>
            <w:shd w:val="clear" w:color="auto" w:fill="auto"/>
            <w:noWrap/>
            <w:vAlign w:val="center"/>
          </w:tcPr>
          <w:p w14:paraId="1B5AE9AA" w14:textId="77777777" w:rsidR="007D1E74" w:rsidRDefault="00A95641">
            <w:pPr>
              <w:widowControl/>
              <w:jc w:val="left"/>
              <w:rPr>
                <w:rFonts w:cs="Times New Roman"/>
                <w:i/>
                <w:iCs/>
                <w:color w:val="000000"/>
                <w:kern w:val="0"/>
                <w:szCs w:val="21"/>
              </w:rPr>
            </w:pPr>
            <w:r>
              <w:rPr>
                <w:rFonts w:cs="Times New Roman"/>
                <w:i/>
                <w:iCs/>
                <w:color w:val="000000"/>
                <w:kern w:val="0"/>
                <w:szCs w:val="21"/>
              </w:rPr>
              <w:t>Cyprinus carpio</w:t>
            </w:r>
            <w:r>
              <w:rPr>
                <w:rFonts w:cs="Times New Roman"/>
                <w:color w:val="000000"/>
                <w:kern w:val="0"/>
                <w:szCs w:val="21"/>
              </w:rPr>
              <w:t xml:space="preserve"> Linnaeus</w:t>
            </w:r>
          </w:p>
        </w:tc>
        <w:tc>
          <w:tcPr>
            <w:tcW w:w="851" w:type="dxa"/>
            <w:shd w:val="clear" w:color="auto" w:fill="auto"/>
            <w:noWrap/>
            <w:vAlign w:val="center"/>
          </w:tcPr>
          <w:p w14:paraId="09C2DC0E"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1380A888"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49CE19A9" w14:textId="77777777" w:rsidR="007D1E74" w:rsidRDefault="007D1E74">
            <w:pPr>
              <w:widowControl/>
              <w:jc w:val="center"/>
              <w:rPr>
                <w:rFonts w:cs="Times New Roman"/>
                <w:color w:val="000000"/>
                <w:kern w:val="0"/>
                <w:szCs w:val="21"/>
              </w:rPr>
            </w:pPr>
          </w:p>
        </w:tc>
      </w:tr>
      <w:tr w:rsidR="007D1E74" w14:paraId="7EAA2C50" w14:textId="77777777">
        <w:trPr>
          <w:jc w:val="center"/>
        </w:trPr>
        <w:tc>
          <w:tcPr>
            <w:tcW w:w="2107" w:type="dxa"/>
            <w:shd w:val="clear" w:color="auto" w:fill="auto"/>
            <w:noWrap/>
            <w:vAlign w:val="center"/>
          </w:tcPr>
          <w:p w14:paraId="64C64B05" w14:textId="77777777" w:rsidR="007D1E74" w:rsidRDefault="00A95641">
            <w:pPr>
              <w:widowControl/>
              <w:jc w:val="left"/>
              <w:rPr>
                <w:rFonts w:cs="Times New Roman"/>
                <w:color w:val="000000"/>
                <w:kern w:val="0"/>
                <w:szCs w:val="21"/>
              </w:rPr>
            </w:pPr>
            <w:r>
              <w:rPr>
                <w:rFonts w:cs="Times New Roman"/>
                <w:color w:val="000000"/>
                <w:kern w:val="0"/>
                <w:szCs w:val="21"/>
              </w:rPr>
              <w:t>44</w:t>
            </w:r>
            <w:r>
              <w:rPr>
                <w:rFonts w:ascii="宋体" w:hAnsi="宋体" w:cs="Times New Roman" w:hint="eastAsia"/>
                <w:color w:val="000000"/>
                <w:kern w:val="0"/>
                <w:szCs w:val="21"/>
              </w:rPr>
              <w:t>、鲫属</w:t>
            </w:r>
          </w:p>
        </w:tc>
        <w:tc>
          <w:tcPr>
            <w:tcW w:w="3700" w:type="dxa"/>
            <w:shd w:val="clear" w:color="auto" w:fill="auto"/>
            <w:noWrap/>
            <w:vAlign w:val="center"/>
          </w:tcPr>
          <w:p w14:paraId="2638E34D"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6F74BB57"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6C43E58D"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03CA3043" w14:textId="77777777" w:rsidR="007D1E74" w:rsidRDefault="007D1E74">
            <w:pPr>
              <w:widowControl/>
              <w:jc w:val="center"/>
              <w:rPr>
                <w:rFonts w:cs="Times New Roman"/>
                <w:color w:val="000000"/>
                <w:kern w:val="0"/>
                <w:szCs w:val="21"/>
              </w:rPr>
            </w:pPr>
          </w:p>
        </w:tc>
      </w:tr>
      <w:tr w:rsidR="007D1E74" w14:paraId="18E2FD4F" w14:textId="77777777">
        <w:trPr>
          <w:jc w:val="center"/>
        </w:trPr>
        <w:tc>
          <w:tcPr>
            <w:tcW w:w="2107" w:type="dxa"/>
            <w:shd w:val="clear" w:color="auto" w:fill="auto"/>
            <w:noWrap/>
            <w:vAlign w:val="center"/>
          </w:tcPr>
          <w:p w14:paraId="6172FF2F"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52</w:t>
            </w:r>
            <w:r>
              <w:rPr>
                <w:rFonts w:ascii="宋体" w:hAnsi="宋体" w:cs="Times New Roman" w:hint="eastAsia"/>
                <w:color w:val="000000"/>
                <w:kern w:val="0"/>
                <w:szCs w:val="21"/>
              </w:rPr>
              <w:t>）鲫</w:t>
            </w:r>
          </w:p>
        </w:tc>
        <w:tc>
          <w:tcPr>
            <w:tcW w:w="3700" w:type="dxa"/>
            <w:shd w:val="clear" w:color="auto" w:fill="auto"/>
            <w:noWrap/>
            <w:vAlign w:val="center"/>
          </w:tcPr>
          <w:p w14:paraId="13B48D50" w14:textId="77777777" w:rsidR="007D1E74" w:rsidRDefault="00A95641">
            <w:pPr>
              <w:widowControl/>
              <w:jc w:val="left"/>
              <w:rPr>
                <w:rFonts w:cs="Times New Roman"/>
                <w:i/>
                <w:iCs/>
                <w:color w:val="000000"/>
                <w:kern w:val="0"/>
                <w:szCs w:val="21"/>
              </w:rPr>
            </w:pPr>
            <w:r>
              <w:rPr>
                <w:rFonts w:cs="Times New Roman"/>
                <w:i/>
                <w:iCs/>
                <w:color w:val="000000"/>
                <w:kern w:val="0"/>
                <w:szCs w:val="21"/>
              </w:rPr>
              <w:t xml:space="preserve">Carassius auratus </w:t>
            </w:r>
            <w:r>
              <w:rPr>
                <w:rFonts w:cs="Times New Roman"/>
                <w:color w:val="000000"/>
                <w:kern w:val="0"/>
                <w:szCs w:val="21"/>
              </w:rPr>
              <w:t>(Linnaeus)</w:t>
            </w:r>
          </w:p>
        </w:tc>
        <w:tc>
          <w:tcPr>
            <w:tcW w:w="851" w:type="dxa"/>
            <w:shd w:val="clear" w:color="auto" w:fill="auto"/>
            <w:noWrap/>
            <w:vAlign w:val="center"/>
          </w:tcPr>
          <w:p w14:paraId="109DE45F"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144ECDBB"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2E3741C5" w14:textId="77777777" w:rsidR="007D1E74" w:rsidRDefault="007D1E74">
            <w:pPr>
              <w:widowControl/>
              <w:jc w:val="center"/>
              <w:rPr>
                <w:rFonts w:cs="Times New Roman"/>
                <w:color w:val="000000"/>
                <w:kern w:val="0"/>
                <w:szCs w:val="21"/>
              </w:rPr>
            </w:pPr>
          </w:p>
        </w:tc>
      </w:tr>
      <w:tr w:rsidR="007D1E74" w14:paraId="4E133041" w14:textId="77777777">
        <w:trPr>
          <w:jc w:val="center"/>
        </w:trPr>
        <w:tc>
          <w:tcPr>
            <w:tcW w:w="2107" w:type="dxa"/>
            <w:shd w:val="clear" w:color="auto" w:fill="auto"/>
            <w:noWrap/>
            <w:vAlign w:val="center"/>
          </w:tcPr>
          <w:p w14:paraId="571C71E6" w14:textId="77777777" w:rsidR="007D1E74" w:rsidRDefault="00A95641">
            <w:pPr>
              <w:widowControl/>
              <w:jc w:val="left"/>
              <w:rPr>
                <w:rFonts w:cs="Times New Roman"/>
                <w:color w:val="000000"/>
                <w:kern w:val="0"/>
                <w:szCs w:val="21"/>
              </w:rPr>
            </w:pPr>
            <w:r>
              <w:rPr>
                <w:rFonts w:cs="Times New Roman"/>
                <w:color w:val="000000"/>
                <w:kern w:val="0"/>
                <w:szCs w:val="21"/>
              </w:rPr>
              <w:t>45</w:t>
            </w:r>
            <w:r>
              <w:rPr>
                <w:rFonts w:ascii="宋体" w:hAnsi="宋体" w:cs="Times New Roman" w:hint="eastAsia"/>
                <w:color w:val="000000"/>
                <w:kern w:val="0"/>
                <w:szCs w:val="21"/>
              </w:rPr>
              <w:t>、裂腹鱼属</w:t>
            </w:r>
          </w:p>
        </w:tc>
        <w:tc>
          <w:tcPr>
            <w:tcW w:w="3700" w:type="dxa"/>
            <w:shd w:val="clear" w:color="auto" w:fill="auto"/>
            <w:noWrap/>
            <w:vAlign w:val="center"/>
          </w:tcPr>
          <w:p w14:paraId="794A7937"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39192C11"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15BC5009"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74572429" w14:textId="77777777" w:rsidR="007D1E74" w:rsidRDefault="007D1E74">
            <w:pPr>
              <w:widowControl/>
              <w:jc w:val="center"/>
              <w:rPr>
                <w:rFonts w:cs="Times New Roman"/>
                <w:color w:val="000000"/>
                <w:kern w:val="0"/>
                <w:szCs w:val="21"/>
              </w:rPr>
            </w:pPr>
          </w:p>
        </w:tc>
      </w:tr>
      <w:tr w:rsidR="007D1E74" w14:paraId="0CEA9C5F" w14:textId="77777777">
        <w:trPr>
          <w:jc w:val="center"/>
        </w:trPr>
        <w:tc>
          <w:tcPr>
            <w:tcW w:w="2107" w:type="dxa"/>
            <w:shd w:val="clear" w:color="auto" w:fill="auto"/>
            <w:noWrap/>
            <w:vAlign w:val="center"/>
          </w:tcPr>
          <w:p w14:paraId="512F1517"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53</w:t>
            </w:r>
            <w:r>
              <w:rPr>
                <w:rFonts w:ascii="宋体" w:hAnsi="宋体" w:cs="Times New Roman" w:hint="eastAsia"/>
                <w:color w:val="000000"/>
                <w:kern w:val="0"/>
                <w:szCs w:val="21"/>
              </w:rPr>
              <w:t>）中华裂腹鱼</w:t>
            </w:r>
          </w:p>
        </w:tc>
        <w:tc>
          <w:tcPr>
            <w:tcW w:w="3700" w:type="dxa"/>
            <w:shd w:val="clear" w:color="auto" w:fill="auto"/>
            <w:noWrap/>
            <w:vAlign w:val="center"/>
          </w:tcPr>
          <w:p w14:paraId="1648E747" w14:textId="77777777" w:rsidR="007D1E74" w:rsidRDefault="00A95641">
            <w:pPr>
              <w:widowControl/>
              <w:jc w:val="left"/>
              <w:rPr>
                <w:rFonts w:cs="Times New Roman"/>
                <w:i/>
                <w:iCs/>
                <w:color w:val="000000"/>
                <w:kern w:val="0"/>
                <w:szCs w:val="21"/>
              </w:rPr>
            </w:pPr>
            <w:r>
              <w:rPr>
                <w:rFonts w:cs="Times New Roman"/>
                <w:i/>
                <w:iCs/>
                <w:color w:val="000000"/>
                <w:kern w:val="0"/>
                <w:szCs w:val="21"/>
              </w:rPr>
              <w:t>Schizothorax sinensis</w:t>
            </w:r>
            <w:r>
              <w:rPr>
                <w:rFonts w:cs="Times New Roman"/>
                <w:color w:val="000000"/>
                <w:kern w:val="0"/>
                <w:szCs w:val="21"/>
              </w:rPr>
              <w:t xml:space="preserve"> Herzenstein</w:t>
            </w:r>
          </w:p>
        </w:tc>
        <w:tc>
          <w:tcPr>
            <w:tcW w:w="851" w:type="dxa"/>
            <w:shd w:val="clear" w:color="auto" w:fill="auto"/>
            <w:noWrap/>
            <w:vAlign w:val="center"/>
          </w:tcPr>
          <w:p w14:paraId="05DD530E"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16C805C6"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12922D90" w14:textId="77777777" w:rsidR="007D1E74" w:rsidRDefault="00A95641">
            <w:pPr>
              <w:widowControl/>
              <w:jc w:val="center"/>
              <w:rPr>
                <w:rFonts w:cs="Times New Roman"/>
                <w:color w:val="000000"/>
                <w:kern w:val="0"/>
                <w:szCs w:val="21"/>
              </w:rPr>
            </w:pPr>
            <w:r>
              <w:rPr>
                <w:rFonts w:ascii="宋体" w:hAnsi="宋体" w:cs="Times New Roman" w:hint="eastAsia"/>
                <w:color w:val="000000"/>
                <w:kern w:val="0"/>
                <w:szCs w:val="21"/>
              </w:rPr>
              <w:t>＊</w:t>
            </w:r>
          </w:p>
        </w:tc>
      </w:tr>
      <w:tr w:rsidR="007D1E74" w14:paraId="348A92EF" w14:textId="77777777">
        <w:trPr>
          <w:jc w:val="center"/>
        </w:trPr>
        <w:tc>
          <w:tcPr>
            <w:tcW w:w="2107" w:type="dxa"/>
            <w:shd w:val="clear" w:color="auto" w:fill="auto"/>
            <w:noWrap/>
            <w:vAlign w:val="center"/>
          </w:tcPr>
          <w:p w14:paraId="1F7D9EB0"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54</w:t>
            </w:r>
            <w:r>
              <w:rPr>
                <w:rFonts w:ascii="宋体" w:hAnsi="宋体" w:cs="Times New Roman" w:hint="eastAsia"/>
                <w:color w:val="000000"/>
                <w:kern w:val="0"/>
                <w:szCs w:val="21"/>
              </w:rPr>
              <w:t>）重口裂腹鱼</w:t>
            </w:r>
          </w:p>
        </w:tc>
        <w:tc>
          <w:tcPr>
            <w:tcW w:w="3700" w:type="dxa"/>
            <w:shd w:val="clear" w:color="auto" w:fill="auto"/>
            <w:noWrap/>
            <w:vAlign w:val="center"/>
          </w:tcPr>
          <w:p w14:paraId="313D85ED" w14:textId="77777777" w:rsidR="007D1E74" w:rsidRDefault="00A95641">
            <w:pPr>
              <w:widowControl/>
              <w:jc w:val="left"/>
              <w:rPr>
                <w:rFonts w:cs="Times New Roman"/>
                <w:color w:val="000000"/>
                <w:kern w:val="0"/>
                <w:szCs w:val="21"/>
              </w:rPr>
            </w:pPr>
            <w:r>
              <w:rPr>
                <w:rFonts w:cs="Times New Roman"/>
                <w:color w:val="000000"/>
                <w:kern w:val="0"/>
                <w:szCs w:val="21"/>
              </w:rPr>
              <w:t>Schizothorax davidi (Sauvage)</w:t>
            </w:r>
          </w:p>
        </w:tc>
        <w:tc>
          <w:tcPr>
            <w:tcW w:w="851" w:type="dxa"/>
            <w:shd w:val="clear" w:color="auto" w:fill="auto"/>
            <w:noWrap/>
            <w:vAlign w:val="center"/>
          </w:tcPr>
          <w:p w14:paraId="2047B396" w14:textId="77777777" w:rsidR="007D1E74" w:rsidRDefault="00A95641">
            <w:pPr>
              <w:widowControl/>
              <w:jc w:val="center"/>
              <w:rPr>
                <w:rFonts w:cs="Times New Roman"/>
                <w:color w:val="000000"/>
                <w:kern w:val="0"/>
                <w:szCs w:val="21"/>
              </w:rPr>
            </w:pPr>
            <w:r>
              <w:rPr>
                <w:rFonts w:ascii="Arial" w:hAnsi="Arial" w:cs="Arial"/>
                <w:szCs w:val="21"/>
              </w:rPr>
              <w:t>▲</w:t>
            </w:r>
          </w:p>
        </w:tc>
        <w:tc>
          <w:tcPr>
            <w:tcW w:w="850" w:type="dxa"/>
            <w:shd w:val="clear" w:color="auto" w:fill="auto"/>
            <w:noWrap/>
            <w:vAlign w:val="center"/>
          </w:tcPr>
          <w:p w14:paraId="79C136D7"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0461BC89" w14:textId="77777777" w:rsidR="007D1E74" w:rsidRDefault="00A95641">
            <w:pPr>
              <w:widowControl/>
              <w:jc w:val="center"/>
              <w:rPr>
                <w:rFonts w:cs="Times New Roman"/>
                <w:color w:val="000000"/>
                <w:kern w:val="0"/>
                <w:szCs w:val="21"/>
              </w:rPr>
            </w:pPr>
            <w:r>
              <w:rPr>
                <w:rFonts w:ascii="宋体" w:hAnsi="宋体" w:cs="Times New Roman" w:hint="eastAsia"/>
                <w:color w:val="000000"/>
                <w:kern w:val="0"/>
                <w:szCs w:val="21"/>
              </w:rPr>
              <w:t>＊</w:t>
            </w:r>
          </w:p>
        </w:tc>
      </w:tr>
      <w:tr w:rsidR="007D1E74" w14:paraId="539D857E" w14:textId="77777777">
        <w:trPr>
          <w:jc w:val="center"/>
        </w:trPr>
        <w:tc>
          <w:tcPr>
            <w:tcW w:w="2107" w:type="dxa"/>
            <w:shd w:val="clear" w:color="auto" w:fill="auto"/>
            <w:noWrap/>
            <w:vAlign w:val="center"/>
          </w:tcPr>
          <w:p w14:paraId="4333B962"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三、平鳍鳅科</w:t>
            </w:r>
          </w:p>
        </w:tc>
        <w:tc>
          <w:tcPr>
            <w:tcW w:w="3700" w:type="dxa"/>
            <w:shd w:val="clear" w:color="auto" w:fill="auto"/>
            <w:noWrap/>
            <w:vAlign w:val="center"/>
          </w:tcPr>
          <w:p w14:paraId="325BC749"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05F8F777"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3B3A4FB2"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471033BC" w14:textId="77777777" w:rsidR="007D1E74" w:rsidRDefault="007D1E74">
            <w:pPr>
              <w:widowControl/>
              <w:jc w:val="center"/>
              <w:rPr>
                <w:rFonts w:cs="Times New Roman"/>
                <w:color w:val="000000"/>
                <w:kern w:val="0"/>
                <w:szCs w:val="21"/>
              </w:rPr>
            </w:pPr>
          </w:p>
        </w:tc>
      </w:tr>
      <w:tr w:rsidR="007D1E74" w14:paraId="05CCB0EA" w14:textId="77777777">
        <w:trPr>
          <w:jc w:val="center"/>
        </w:trPr>
        <w:tc>
          <w:tcPr>
            <w:tcW w:w="2107" w:type="dxa"/>
            <w:shd w:val="clear" w:color="auto" w:fill="auto"/>
            <w:noWrap/>
            <w:vAlign w:val="center"/>
          </w:tcPr>
          <w:p w14:paraId="5D171694" w14:textId="77777777" w:rsidR="007D1E74" w:rsidRDefault="00A95641">
            <w:pPr>
              <w:widowControl/>
              <w:jc w:val="left"/>
              <w:rPr>
                <w:rFonts w:cs="Times New Roman"/>
                <w:color w:val="000000"/>
                <w:kern w:val="0"/>
                <w:szCs w:val="21"/>
              </w:rPr>
            </w:pPr>
            <w:r>
              <w:rPr>
                <w:rFonts w:cs="Times New Roman"/>
                <w:color w:val="000000"/>
                <w:kern w:val="0"/>
                <w:szCs w:val="21"/>
              </w:rPr>
              <w:t>46</w:t>
            </w:r>
            <w:r>
              <w:rPr>
                <w:rFonts w:ascii="宋体" w:hAnsi="宋体" w:cs="Times New Roman" w:hint="eastAsia"/>
                <w:color w:val="000000"/>
                <w:kern w:val="0"/>
                <w:szCs w:val="21"/>
              </w:rPr>
              <w:t>、间吸鳅属</w:t>
            </w:r>
          </w:p>
        </w:tc>
        <w:tc>
          <w:tcPr>
            <w:tcW w:w="3700" w:type="dxa"/>
            <w:shd w:val="clear" w:color="auto" w:fill="auto"/>
            <w:noWrap/>
            <w:vAlign w:val="center"/>
          </w:tcPr>
          <w:p w14:paraId="59CA0381"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35F5609A"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2187CDA3"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71E8A9F3" w14:textId="77777777" w:rsidR="007D1E74" w:rsidRDefault="007D1E74">
            <w:pPr>
              <w:widowControl/>
              <w:jc w:val="center"/>
              <w:rPr>
                <w:rFonts w:cs="Times New Roman"/>
                <w:color w:val="000000"/>
                <w:kern w:val="0"/>
                <w:szCs w:val="21"/>
              </w:rPr>
            </w:pPr>
          </w:p>
        </w:tc>
      </w:tr>
      <w:tr w:rsidR="007D1E74" w14:paraId="13A23F39" w14:textId="77777777">
        <w:trPr>
          <w:jc w:val="center"/>
        </w:trPr>
        <w:tc>
          <w:tcPr>
            <w:tcW w:w="2107" w:type="dxa"/>
            <w:shd w:val="clear" w:color="auto" w:fill="auto"/>
            <w:noWrap/>
            <w:vAlign w:val="center"/>
          </w:tcPr>
          <w:p w14:paraId="18ABA833"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55</w:t>
            </w:r>
            <w:r>
              <w:rPr>
                <w:rFonts w:ascii="宋体" w:hAnsi="宋体" w:cs="Times New Roman" w:hint="eastAsia"/>
                <w:color w:val="000000"/>
                <w:kern w:val="0"/>
                <w:szCs w:val="21"/>
              </w:rPr>
              <w:t>）短身间吸鳅</w:t>
            </w:r>
          </w:p>
        </w:tc>
        <w:tc>
          <w:tcPr>
            <w:tcW w:w="3700" w:type="dxa"/>
            <w:shd w:val="clear" w:color="auto" w:fill="auto"/>
            <w:noWrap/>
            <w:vAlign w:val="center"/>
          </w:tcPr>
          <w:p w14:paraId="0C605FEE" w14:textId="77777777" w:rsidR="007D1E74" w:rsidRDefault="00A95641">
            <w:pPr>
              <w:widowControl/>
              <w:jc w:val="left"/>
              <w:rPr>
                <w:rFonts w:cs="Times New Roman"/>
                <w:i/>
                <w:iCs/>
                <w:color w:val="000000"/>
                <w:kern w:val="0"/>
                <w:szCs w:val="21"/>
              </w:rPr>
            </w:pPr>
            <w:r>
              <w:rPr>
                <w:rFonts w:cs="Times New Roman"/>
                <w:i/>
                <w:iCs/>
                <w:color w:val="000000"/>
                <w:kern w:val="0"/>
                <w:szCs w:val="21"/>
                <w:lang w:val="es-ES"/>
              </w:rPr>
              <w:t>Hemimyzon abbreviata</w:t>
            </w:r>
            <w:r>
              <w:rPr>
                <w:rFonts w:cs="Times New Roman"/>
                <w:color w:val="000000"/>
                <w:kern w:val="0"/>
                <w:szCs w:val="21"/>
                <w:lang w:val="es-ES"/>
              </w:rPr>
              <w:t xml:space="preserve"> (Günther)</w:t>
            </w:r>
          </w:p>
        </w:tc>
        <w:tc>
          <w:tcPr>
            <w:tcW w:w="851" w:type="dxa"/>
            <w:shd w:val="clear" w:color="auto" w:fill="auto"/>
            <w:noWrap/>
            <w:vAlign w:val="center"/>
          </w:tcPr>
          <w:p w14:paraId="684CF82A"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6BD940C4"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0896936C" w14:textId="77777777" w:rsidR="007D1E74" w:rsidRDefault="00A95641">
            <w:pPr>
              <w:widowControl/>
              <w:jc w:val="center"/>
              <w:rPr>
                <w:rFonts w:cs="Times New Roman"/>
                <w:color w:val="000000"/>
                <w:kern w:val="0"/>
                <w:szCs w:val="21"/>
              </w:rPr>
            </w:pPr>
            <w:r>
              <w:rPr>
                <w:rFonts w:ascii="宋体" w:hAnsi="宋体" w:cs="Times New Roman" w:hint="eastAsia"/>
                <w:color w:val="000000"/>
                <w:kern w:val="0"/>
                <w:szCs w:val="21"/>
              </w:rPr>
              <w:t>＊</w:t>
            </w:r>
          </w:p>
        </w:tc>
      </w:tr>
      <w:tr w:rsidR="007D1E74" w14:paraId="76C7E556" w14:textId="77777777">
        <w:trPr>
          <w:jc w:val="center"/>
        </w:trPr>
        <w:tc>
          <w:tcPr>
            <w:tcW w:w="2107" w:type="dxa"/>
            <w:shd w:val="clear" w:color="auto" w:fill="auto"/>
            <w:noWrap/>
            <w:vAlign w:val="center"/>
          </w:tcPr>
          <w:p w14:paraId="52602EE5" w14:textId="77777777" w:rsidR="007D1E74" w:rsidRDefault="00A95641">
            <w:pPr>
              <w:widowControl/>
              <w:jc w:val="left"/>
              <w:rPr>
                <w:rFonts w:cs="Times New Roman"/>
                <w:color w:val="000000"/>
                <w:kern w:val="0"/>
                <w:szCs w:val="21"/>
              </w:rPr>
            </w:pPr>
            <w:r>
              <w:rPr>
                <w:rFonts w:cs="Times New Roman"/>
                <w:color w:val="000000"/>
                <w:kern w:val="0"/>
                <w:szCs w:val="21"/>
              </w:rPr>
              <w:t>47</w:t>
            </w:r>
            <w:r>
              <w:rPr>
                <w:rFonts w:ascii="宋体" w:hAnsi="宋体" w:cs="Times New Roman" w:hint="eastAsia"/>
                <w:color w:val="000000"/>
                <w:kern w:val="0"/>
                <w:szCs w:val="21"/>
              </w:rPr>
              <w:t>、金沙鳅属</w:t>
            </w:r>
          </w:p>
        </w:tc>
        <w:tc>
          <w:tcPr>
            <w:tcW w:w="3700" w:type="dxa"/>
            <w:shd w:val="clear" w:color="auto" w:fill="auto"/>
            <w:noWrap/>
            <w:vAlign w:val="center"/>
          </w:tcPr>
          <w:p w14:paraId="4EF3E214"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7D34FFC4"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7544EE9F"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708343AB" w14:textId="77777777" w:rsidR="007D1E74" w:rsidRDefault="007D1E74">
            <w:pPr>
              <w:widowControl/>
              <w:jc w:val="center"/>
              <w:rPr>
                <w:rFonts w:cs="Times New Roman"/>
                <w:color w:val="000000"/>
                <w:kern w:val="0"/>
                <w:szCs w:val="21"/>
              </w:rPr>
            </w:pPr>
          </w:p>
        </w:tc>
      </w:tr>
      <w:tr w:rsidR="007D1E74" w14:paraId="3D952E85" w14:textId="77777777">
        <w:trPr>
          <w:jc w:val="center"/>
        </w:trPr>
        <w:tc>
          <w:tcPr>
            <w:tcW w:w="2107" w:type="dxa"/>
            <w:shd w:val="clear" w:color="auto" w:fill="auto"/>
            <w:noWrap/>
            <w:vAlign w:val="center"/>
          </w:tcPr>
          <w:p w14:paraId="6DB61BEF"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56</w:t>
            </w:r>
            <w:r>
              <w:rPr>
                <w:rFonts w:ascii="宋体" w:hAnsi="宋体" w:cs="Times New Roman" w:hint="eastAsia"/>
                <w:color w:val="000000"/>
                <w:kern w:val="0"/>
                <w:szCs w:val="21"/>
              </w:rPr>
              <w:t>）中华金沙鳅</w:t>
            </w:r>
          </w:p>
        </w:tc>
        <w:tc>
          <w:tcPr>
            <w:tcW w:w="3700" w:type="dxa"/>
            <w:shd w:val="clear" w:color="auto" w:fill="auto"/>
            <w:noWrap/>
            <w:vAlign w:val="center"/>
          </w:tcPr>
          <w:p w14:paraId="7E5A9E3A" w14:textId="77777777" w:rsidR="007D1E74" w:rsidRDefault="00A95641">
            <w:pPr>
              <w:widowControl/>
              <w:jc w:val="left"/>
              <w:rPr>
                <w:rFonts w:cs="Times New Roman"/>
                <w:i/>
                <w:iCs/>
                <w:color w:val="000000"/>
                <w:kern w:val="0"/>
                <w:szCs w:val="21"/>
              </w:rPr>
            </w:pPr>
            <w:r>
              <w:rPr>
                <w:rFonts w:cs="Times New Roman"/>
                <w:i/>
                <w:iCs/>
                <w:color w:val="000000"/>
                <w:kern w:val="0"/>
                <w:szCs w:val="21"/>
              </w:rPr>
              <w:t>Jinshaia sinensis</w:t>
            </w:r>
            <w:r>
              <w:rPr>
                <w:rFonts w:cs="Times New Roman"/>
                <w:color w:val="000000"/>
                <w:kern w:val="0"/>
                <w:szCs w:val="21"/>
              </w:rPr>
              <w:t xml:space="preserve"> (Sauvage </w:t>
            </w:r>
            <w:r>
              <w:rPr>
                <w:rFonts w:cs="Times New Roman"/>
                <w:i/>
                <w:iCs/>
                <w:color w:val="000000"/>
                <w:kern w:val="0"/>
                <w:szCs w:val="21"/>
              </w:rPr>
              <w:t>et</w:t>
            </w:r>
            <w:r>
              <w:rPr>
                <w:rFonts w:cs="Times New Roman"/>
                <w:color w:val="000000"/>
                <w:kern w:val="0"/>
                <w:szCs w:val="21"/>
              </w:rPr>
              <w:t xml:space="preserve"> Dabry de Thiersant)</w:t>
            </w:r>
          </w:p>
        </w:tc>
        <w:tc>
          <w:tcPr>
            <w:tcW w:w="851" w:type="dxa"/>
            <w:shd w:val="clear" w:color="auto" w:fill="auto"/>
            <w:noWrap/>
            <w:vAlign w:val="center"/>
          </w:tcPr>
          <w:p w14:paraId="75750164"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24C34FF1"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73DE98B4" w14:textId="77777777" w:rsidR="007D1E74" w:rsidRDefault="00A95641">
            <w:pPr>
              <w:widowControl/>
              <w:jc w:val="center"/>
              <w:rPr>
                <w:rFonts w:cs="Times New Roman"/>
                <w:color w:val="000000"/>
                <w:kern w:val="0"/>
                <w:szCs w:val="21"/>
              </w:rPr>
            </w:pPr>
            <w:r>
              <w:rPr>
                <w:rFonts w:ascii="宋体" w:hAnsi="宋体" w:cs="Times New Roman" w:hint="eastAsia"/>
                <w:color w:val="000000"/>
                <w:kern w:val="0"/>
                <w:szCs w:val="21"/>
              </w:rPr>
              <w:t>＊</w:t>
            </w:r>
          </w:p>
        </w:tc>
      </w:tr>
      <w:tr w:rsidR="007D1E74" w14:paraId="26221F92" w14:textId="77777777">
        <w:trPr>
          <w:jc w:val="center"/>
        </w:trPr>
        <w:tc>
          <w:tcPr>
            <w:tcW w:w="2107" w:type="dxa"/>
            <w:shd w:val="clear" w:color="auto" w:fill="auto"/>
            <w:noWrap/>
            <w:vAlign w:val="center"/>
          </w:tcPr>
          <w:p w14:paraId="1F268B58" w14:textId="77777777" w:rsidR="007D1E74" w:rsidRDefault="00A95641">
            <w:pPr>
              <w:widowControl/>
              <w:jc w:val="left"/>
              <w:rPr>
                <w:rFonts w:cs="Times New Roman"/>
                <w:color w:val="000000"/>
                <w:kern w:val="0"/>
                <w:szCs w:val="21"/>
              </w:rPr>
            </w:pPr>
            <w:r>
              <w:rPr>
                <w:rFonts w:cs="Times New Roman"/>
                <w:color w:val="000000"/>
                <w:kern w:val="0"/>
                <w:szCs w:val="21"/>
              </w:rPr>
              <w:t>48</w:t>
            </w:r>
            <w:r>
              <w:rPr>
                <w:rFonts w:ascii="宋体" w:hAnsi="宋体" w:cs="Times New Roman" w:hint="eastAsia"/>
                <w:color w:val="000000"/>
                <w:kern w:val="0"/>
                <w:szCs w:val="21"/>
              </w:rPr>
              <w:t>、华吸鳅属</w:t>
            </w:r>
          </w:p>
        </w:tc>
        <w:tc>
          <w:tcPr>
            <w:tcW w:w="3700" w:type="dxa"/>
            <w:shd w:val="clear" w:color="auto" w:fill="auto"/>
            <w:noWrap/>
            <w:vAlign w:val="center"/>
          </w:tcPr>
          <w:p w14:paraId="24BC7F72"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6E71EF09"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23EC1612"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3317764C" w14:textId="77777777" w:rsidR="007D1E74" w:rsidRDefault="007D1E74">
            <w:pPr>
              <w:widowControl/>
              <w:jc w:val="center"/>
              <w:rPr>
                <w:rFonts w:cs="Times New Roman"/>
                <w:color w:val="000000"/>
                <w:kern w:val="0"/>
                <w:szCs w:val="21"/>
              </w:rPr>
            </w:pPr>
          </w:p>
        </w:tc>
      </w:tr>
      <w:tr w:rsidR="007D1E74" w14:paraId="73AF2EB6" w14:textId="77777777">
        <w:trPr>
          <w:jc w:val="center"/>
        </w:trPr>
        <w:tc>
          <w:tcPr>
            <w:tcW w:w="2107" w:type="dxa"/>
            <w:shd w:val="clear" w:color="auto" w:fill="auto"/>
            <w:noWrap/>
            <w:vAlign w:val="center"/>
          </w:tcPr>
          <w:p w14:paraId="0621F557"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57</w:t>
            </w:r>
            <w:r>
              <w:rPr>
                <w:rFonts w:ascii="宋体" w:hAnsi="宋体" w:cs="Times New Roman" w:hint="eastAsia"/>
                <w:color w:val="000000"/>
                <w:kern w:val="0"/>
                <w:szCs w:val="21"/>
              </w:rPr>
              <w:t>）四川华吸鳅</w:t>
            </w:r>
          </w:p>
        </w:tc>
        <w:tc>
          <w:tcPr>
            <w:tcW w:w="3700" w:type="dxa"/>
            <w:shd w:val="clear" w:color="auto" w:fill="auto"/>
            <w:noWrap/>
            <w:vAlign w:val="center"/>
          </w:tcPr>
          <w:p w14:paraId="5FCDC127" w14:textId="77777777" w:rsidR="007D1E74" w:rsidRDefault="00A95641">
            <w:pPr>
              <w:widowControl/>
              <w:jc w:val="left"/>
              <w:rPr>
                <w:rFonts w:cs="Times New Roman"/>
                <w:i/>
                <w:iCs/>
                <w:color w:val="000000"/>
                <w:kern w:val="0"/>
                <w:szCs w:val="21"/>
              </w:rPr>
            </w:pPr>
            <w:r>
              <w:rPr>
                <w:rFonts w:cs="Times New Roman"/>
                <w:i/>
                <w:iCs/>
                <w:color w:val="000000"/>
                <w:kern w:val="0"/>
                <w:szCs w:val="21"/>
              </w:rPr>
              <w:t>Sinogastromyzon szechuanensis</w:t>
            </w:r>
            <w:r>
              <w:rPr>
                <w:rFonts w:cs="Times New Roman"/>
                <w:color w:val="000000"/>
                <w:kern w:val="0"/>
                <w:szCs w:val="21"/>
              </w:rPr>
              <w:t xml:space="preserve"> Fang</w:t>
            </w:r>
          </w:p>
        </w:tc>
        <w:tc>
          <w:tcPr>
            <w:tcW w:w="851" w:type="dxa"/>
            <w:shd w:val="clear" w:color="auto" w:fill="auto"/>
            <w:noWrap/>
            <w:vAlign w:val="center"/>
          </w:tcPr>
          <w:p w14:paraId="7377D7FF"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57A641E1"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203A327A" w14:textId="77777777" w:rsidR="007D1E74" w:rsidRDefault="00A95641">
            <w:pPr>
              <w:widowControl/>
              <w:jc w:val="center"/>
              <w:rPr>
                <w:rFonts w:cs="Times New Roman"/>
                <w:color w:val="000000"/>
                <w:kern w:val="0"/>
                <w:szCs w:val="21"/>
              </w:rPr>
            </w:pPr>
            <w:r>
              <w:rPr>
                <w:rFonts w:ascii="宋体" w:hAnsi="宋体" w:cs="Times New Roman" w:hint="eastAsia"/>
                <w:color w:val="000000"/>
                <w:kern w:val="0"/>
                <w:szCs w:val="21"/>
              </w:rPr>
              <w:t>＊</w:t>
            </w:r>
          </w:p>
        </w:tc>
      </w:tr>
      <w:tr w:rsidR="007D1E74" w14:paraId="36E5A2EB" w14:textId="77777777">
        <w:trPr>
          <w:jc w:val="center"/>
        </w:trPr>
        <w:tc>
          <w:tcPr>
            <w:tcW w:w="2107" w:type="dxa"/>
            <w:shd w:val="clear" w:color="auto" w:fill="auto"/>
            <w:noWrap/>
            <w:vAlign w:val="center"/>
          </w:tcPr>
          <w:p w14:paraId="229FE565" w14:textId="77777777" w:rsidR="007D1E74" w:rsidRDefault="00A95641">
            <w:pPr>
              <w:widowControl/>
              <w:jc w:val="left"/>
              <w:rPr>
                <w:rFonts w:cs="Times New Roman"/>
                <w:color w:val="000000"/>
                <w:kern w:val="0"/>
                <w:szCs w:val="21"/>
              </w:rPr>
            </w:pPr>
            <w:r>
              <w:rPr>
                <w:rFonts w:cs="Times New Roman"/>
                <w:color w:val="000000"/>
                <w:kern w:val="0"/>
                <w:szCs w:val="21"/>
              </w:rPr>
              <w:t>B</w:t>
            </w:r>
            <w:r>
              <w:rPr>
                <w:rFonts w:ascii="宋体" w:hAnsi="宋体" w:cs="Times New Roman" w:hint="eastAsia"/>
                <w:color w:val="000000"/>
                <w:kern w:val="0"/>
                <w:szCs w:val="21"/>
              </w:rPr>
              <w:t>鲇形目</w:t>
            </w:r>
          </w:p>
        </w:tc>
        <w:tc>
          <w:tcPr>
            <w:tcW w:w="3700" w:type="dxa"/>
            <w:shd w:val="clear" w:color="auto" w:fill="auto"/>
            <w:noWrap/>
            <w:vAlign w:val="center"/>
          </w:tcPr>
          <w:p w14:paraId="6B300F1B" w14:textId="77777777" w:rsidR="007D1E74" w:rsidRDefault="007D1E74">
            <w:pPr>
              <w:widowControl/>
              <w:jc w:val="left"/>
              <w:rPr>
                <w:rFonts w:cs="Times New Roman"/>
                <w:i/>
                <w:iCs/>
                <w:color w:val="000000"/>
                <w:kern w:val="0"/>
                <w:szCs w:val="21"/>
              </w:rPr>
            </w:pPr>
          </w:p>
        </w:tc>
        <w:tc>
          <w:tcPr>
            <w:tcW w:w="851" w:type="dxa"/>
            <w:shd w:val="clear" w:color="auto" w:fill="auto"/>
            <w:noWrap/>
            <w:vAlign w:val="center"/>
          </w:tcPr>
          <w:p w14:paraId="2DC08096"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4D11C50C"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3DC12CEF" w14:textId="77777777" w:rsidR="007D1E74" w:rsidRDefault="007D1E74">
            <w:pPr>
              <w:widowControl/>
              <w:jc w:val="center"/>
              <w:rPr>
                <w:rFonts w:cs="Times New Roman"/>
                <w:color w:val="000000"/>
                <w:kern w:val="0"/>
                <w:szCs w:val="21"/>
              </w:rPr>
            </w:pPr>
          </w:p>
        </w:tc>
      </w:tr>
      <w:tr w:rsidR="007D1E74" w14:paraId="23EEE720" w14:textId="77777777">
        <w:trPr>
          <w:jc w:val="center"/>
        </w:trPr>
        <w:tc>
          <w:tcPr>
            <w:tcW w:w="2107" w:type="dxa"/>
            <w:shd w:val="clear" w:color="auto" w:fill="auto"/>
            <w:noWrap/>
            <w:vAlign w:val="center"/>
          </w:tcPr>
          <w:p w14:paraId="22A7DFE6"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四、鲇科</w:t>
            </w:r>
          </w:p>
        </w:tc>
        <w:tc>
          <w:tcPr>
            <w:tcW w:w="3700" w:type="dxa"/>
            <w:shd w:val="clear" w:color="auto" w:fill="auto"/>
            <w:noWrap/>
            <w:vAlign w:val="center"/>
          </w:tcPr>
          <w:p w14:paraId="1D453BD2" w14:textId="77777777" w:rsidR="007D1E74" w:rsidRDefault="007D1E74">
            <w:pPr>
              <w:widowControl/>
              <w:jc w:val="left"/>
              <w:rPr>
                <w:rFonts w:cs="Times New Roman"/>
                <w:i/>
                <w:iCs/>
                <w:color w:val="000000"/>
                <w:kern w:val="0"/>
                <w:szCs w:val="21"/>
              </w:rPr>
            </w:pPr>
          </w:p>
        </w:tc>
        <w:tc>
          <w:tcPr>
            <w:tcW w:w="851" w:type="dxa"/>
            <w:shd w:val="clear" w:color="auto" w:fill="auto"/>
            <w:noWrap/>
            <w:vAlign w:val="center"/>
          </w:tcPr>
          <w:p w14:paraId="0414A2C9"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26B5B50A"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23EF0711" w14:textId="77777777" w:rsidR="007D1E74" w:rsidRDefault="007D1E74">
            <w:pPr>
              <w:widowControl/>
              <w:jc w:val="center"/>
              <w:rPr>
                <w:rFonts w:cs="Times New Roman"/>
                <w:color w:val="000000"/>
                <w:kern w:val="0"/>
                <w:szCs w:val="21"/>
              </w:rPr>
            </w:pPr>
          </w:p>
        </w:tc>
      </w:tr>
      <w:tr w:rsidR="007D1E74" w14:paraId="425CBD3F" w14:textId="77777777">
        <w:trPr>
          <w:jc w:val="center"/>
        </w:trPr>
        <w:tc>
          <w:tcPr>
            <w:tcW w:w="2107" w:type="dxa"/>
            <w:shd w:val="clear" w:color="auto" w:fill="auto"/>
            <w:noWrap/>
            <w:vAlign w:val="center"/>
          </w:tcPr>
          <w:p w14:paraId="1F258933" w14:textId="77777777" w:rsidR="007D1E74" w:rsidRDefault="00A95641">
            <w:pPr>
              <w:widowControl/>
              <w:jc w:val="left"/>
              <w:rPr>
                <w:rFonts w:cs="Times New Roman"/>
                <w:color w:val="000000"/>
                <w:kern w:val="0"/>
                <w:szCs w:val="21"/>
              </w:rPr>
            </w:pPr>
            <w:r>
              <w:rPr>
                <w:rFonts w:cs="Times New Roman"/>
                <w:color w:val="000000"/>
                <w:kern w:val="0"/>
                <w:szCs w:val="21"/>
              </w:rPr>
              <w:t>49</w:t>
            </w:r>
            <w:r>
              <w:rPr>
                <w:rFonts w:ascii="宋体" w:hAnsi="宋体" w:cs="Times New Roman" w:hint="eastAsia"/>
                <w:color w:val="000000"/>
                <w:kern w:val="0"/>
                <w:szCs w:val="21"/>
              </w:rPr>
              <w:t>、鲇属</w:t>
            </w:r>
          </w:p>
        </w:tc>
        <w:tc>
          <w:tcPr>
            <w:tcW w:w="3700" w:type="dxa"/>
            <w:shd w:val="clear" w:color="auto" w:fill="auto"/>
            <w:noWrap/>
            <w:vAlign w:val="center"/>
          </w:tcPr>
          <w:p w14:paraId="7E0D2372"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5915B5E9"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30F0A242"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1A8D860F" w14:textId="77777777" w:rsidR="007D1E74" w:rsidRDefault="007D1E74">
            <w:pPr>
              <w:widowControl/>
              <w:jc w:val="center"/>
              <w:rPr>
                <w:rFonts w:cs="Times New Roman"/>
                <w:color w:val="000000"/>
                <w:kern w:val="0"/>
                <w:szCs w:val="21"/>
              </w:rPr>
            </w:pPr>
          </w:p>
        </w:tc>
      </w:tr>
      <w:tr w:rsidR="007D1E74" w14:paraId="20B059FB" w14:textId="77777777">
        <w:trPr>
          <w:jc w:val="center"/>
        </w:trPr>
        <w:tc>
          <w:tcPr>
            <w:tcW w:w="2107" w:type="dxa"/>
            <w:shd w:val="clear" w:color="auto" w:fill="auto"/>
            <w:noWrap/>
            <w:vAlign w:val="center"/>
          </w:tcPr>
          <w:p w14:paraId="7AD504E2"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58</w:t>
            </w:r>
            <w:r>
              <w:rPr>
                <w:rFonts w:ascii="宋体" w:hAnsi="宋体" w:cs="Times New Roman" w:hint="eastAsia"/>
                <w:color w:val="000000"/>
                <w:kern w:val="0"/>
                <w:szCs w:val="21"/>
              </w:rPr>
              <w:t>）南方鲇</w:t>
            </w:r>
          </w:p>
        </w:tc>
        <w:tc>
          <w:tcPr>
            <w:tcW w:w="3700" w:type="dxa"/>
            <w:shd w:val="clear" w:color="auto" w:fill="auto"/>
            <w:noWrap/>
            <w:vAlign w:val="center"/>
          </w:tcPr>
          <w:p w14:paraId="59293AA0" w14:textId="77777777" w:rsidR="007D1E74" w:rsidRDefault="00A95641">
            <w:pPr>
              <w:widowControl/>
              <w:jc w:val="left"/>
              <w:rPr>
                <w:rFonts w:cs="Times New Roman"/>
                <w:i/>
                <w:iCs/>
                <w:color w:val="000000"/>
                <w:kern w:val="0"/>
                <w:szCs w:val="21"/>
              </w:rPr>
            </w:pPr>
            <w:r>
              <w:rPr>
                <w:rFonts w:cs="Times New Roman"/>
                <w:i/>
                <w:iCs/>
                <w:color w:val="000000"/>
                <w:kern w:val="0"/>
                <w:szCs w:val="21"/>
              </w:rPr>
              <w:t xml:space="preserve">Silurus meridionalis </w:t>
            </w:r>
            <w:r>
              <w:rPr>
                <w:rFonts w:cs="Times New Roman"/>
                <w:color w:val="000000"/>
                <w:kern w:val="0"/>
                <w:szCs w:val="21"/>
              </w:rPr>
              <w:t>Chen</w:t>
            </w:r>
          </w:p>
        </w:tc>
        <w:tc>
          <w:tcPr>
            <w:tcW w:w="851" w:type="dxa"/>
            <w:shd w:val="clear" w:color="auto" w:fill="auto"/>
            <w:noWrap/>
            <w:vAlign w:val="center"/>
          </w:tcPr>
          <w:p w14:paraId="1DBAF4F4"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2853EC8A"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36A630F1" w14:textId="77777777" w:rsidR="007D1E74" w:rsidRDefault="007D1E74">
            <w:pPr>
              <w:widowControl/>
              <w:jc w:val="center"/>
              <w:rPr>
                <w:rFonts w:cs="Times New Roman"/>
                <w:color w:val="000000"/>
                <w:kern w:val="0"/>
                <w:szCs w:val="21"/>
              </w:rPr>
            </w:pPr>
          </w:p>
        </w:tc>
      </w:tr>
      <w:tr w:rsidR="007D1E74" w14:paraId="0880055E" w14:textId="77777777">
        <w:trPr>
          <w:jc w:val="center"/>
        </w:trPr>
        <w:tc>
          <w:tcPr>
            <w:tcW w:w="2107" w:type="dxa"/>
            <w:shd w:val="clear" w:color="auto" w:fill="auto"/>
            <w:noWrap/>
            <w:vAlign w:val="center"/>
          </w:tcPr>
          <w:p w14:paraId="2878B027"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59</w:t>
            </w:r>
            <w:r>
              <w:rPr>
                <w:rFonts w:ascii="宋体" w:hAnsi="宋体" w:cs="Times New Roman" w:hint="eastAsia"/>
                <w:color w:val="000000"/>
                <w:kern w:val="0"/>
                <w:szCs w:val="21"/>
              </w:rPr>
              <w:t>）鲇</w:t>
            </w:r>
          </w:p>
        </w:tc>
        <w:tc>
          <w:tcPr>
            <w:tcW w:w="3700" w:type="dxa"/>
            <w:shd w:val="clear" w:color="auto" w:fill="auto"/>
            <w:noWrap/>
            <w:vAlign w:val="center"/>
          </w:tcPr>
          <w:p w14:paraId="390A83F6" w14:textId="77777777" w:rsidR="007D1E74" w:rsidRDefault="00A95641">
            <w:pPr>
              <w:widowControl/>
              <w:jc w:val="left"/>
              <w:rPr>
                <w:rFonts w:cs="Times New Roman"/>
                <w:i/>
                <w:iCs/>
                <w:color w:val="000000"/>
                <w:kern w:val="0"/>
                <w:szCs w:val="21"/>
              </w:rPr>
            </w:pPr>
            <w:r>
              <w:rPr>
                <w:rFonts w:cs="Times New Roman"/>
                <w:i/>
                <w:iCs/>
                <w:color w:val="000000"/>
                <w:kern w:val="0"/>
                <w:szCs w:val="21"/>
              </w:rPr>
              <w:t>Silurus asotus</w:t>
            </w:r>
            <w:r>
              <w:rPr>
                <w:rFonts w:cs="Times New Roman"/>
                <w:color w:val="000000"/>
                <w:kern w:val="0"/>
                <w:szCs w:val="21"/>
              </w:rPr>
              <w:t xml:space="preserve"> Linnaeus</w:t>
            </w:r>
          </w:p>
        </w:tc>
        <w:tc>
          <w:tcPr>
            <w:tcW w:w="851" w:type="dxa"/>
            <w:shd w:val="clear" w:color="auto" w:fill="auto"/>
            <w:noWrap/>
            <w:vAlign w:val="center"/>
          </w:tcPr>
          <w:p w14:paraId="63754C42"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25FB5C4A"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37105455" w14:textId="77777777" w:rsidR="007D1E74" w:rsidRDefault="007D1E74">
            <w:pPr>
              <w:widowControl/>
              <w:jc w:val="center"/>
              <w:rPr>
                <w:rFonts w:cs="Times New Roman"/>
                <w:color w:val="000000"/>
                <w:kern w:val="0"/>
                <w:szCs w:val="21"/>
              </w:rPr>
            </w:pPr>
          </w:p>
        </w:tc>
      </w:tr>
      <w:tr w:rsidR="007D1E74" w14:paraId="11893832" w14:textId="77777777">
        <w:trPr>
          <w:jc w:val="center"/>
        </w:trPr>
        <w:tc>
          <w:tcPr>
            <w:tcW w:w="2107" w:type="dxa"/>
            <w:shd w:val="clear" w:color="auto" w:fill="auto"/>
            <w:noWrap/>
            <w:vAlign w:val="center"/>
          </w:tcPr>
          <w:p w14:paraId="325A9B60"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五、鲿科</w:t>
            </w:r>
          </w:p>
        </w:tc>
        <w:tc>
          <w:tcPr>
            <w:tcW w:w="3700" w:type="dxa"/>
            <w:shd w:val="clear" w:color="auto" w:fill="auto"/>
            <w:noWrap/>
            <w:vAlign w:val="center"/>
          </w:tcPr>
          <w:p w14:paraId="59077C81"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0F403769"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2D9A62C1"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16CB5504" w14:textId="77777777" w:rsidR="007D1E74" w:rsidRDefault="007D1E74">
            <w:pPr>
              <w:widowControl/>
              <w:jc w:val="center"/>
              <w:rPr>
                <w:rFonts w:cs="Times New Roman"/>
                <w:color w:val="000000"/>
                <w:kern w:val="0"/>
                <w:szCs w:val="21"/>
              </w:rPr>
            </w:pPr>
          </w:p>
        </w:tc>
      </w:tr>
      <w:tr w:rsidR="007D1E74" w14:paraId="3A4AB9A6" w14:textId="77777777">
        <w:trPr>
          <w:jc w:val="center"/>
        </w:trPr>
        <w:tc>
          <w:tcPr>
            <w:tcW w:w="2107" w:type="dxa"/>
            <w:shd w:val="clear" w:color="auto" w:fill="auto"/>
            <w:noWrap/>
            <w:vAlign w:val="center"/>
          </w:tcPr>
          <w:p w14:paraId="583DA36A" w14:textId="77777777" w:rsidR="007D1E74" w:rsidRDefault="00A95641">
            <w:pPr>
              <w:widowControl/>
              <w:jc w:val="left"/>
              <w:rPr>
                <w:rFonts w:cs="Times New Roman"/>
                <w:color w:val="000000"/>
                <w:kern w:val="0"/>
                <w:szCs w:val="21"/>
              </w:rPr>
            </w:pPr>
            <w:r>
              <w:rPr>
                <w:rFonts w:cs="Times New Roman"/>
                <w:color w:val="000000"/>
                <w:kern w:val="0"/>
                <w:szCs w:val="21"/>
              </w:rPr>
              <w:t>50</w:t>
            </w:r>
            <w:r>
              <w:rPr>
                <w:rFonts w:ascii="宋体" w:hAnsi="宋体" w:cs="Times New Roman" w:hint="eastAsia"/>
                <w:color w:val="000000"/>
                <w:kern w:val="0"/>
                <w:szCs w:val="21"/>
              </w:rPr>
              <w:t>、黄颡鱼属</w:t>
            </w:r>
          </w:p>
        </w:tc>
        <w:tc>
          <w:tcPr>
            <w:tcW w:w="3700" w:type="dxa"/>
            <w:shd w:val="clear" w:color="auto" w:fill="auto"/>
            <w:noWrap/>
            <w:vAlign w:val="center"/>
          </w:tcPr>
          <w:p w14:paraId="4FB2FDC3"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20BDFD08"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33A0D18E"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3B941086" w14:textId="77777777" w:rsidR="007D1E74" w:rsidRDefault="007D1E74">
            <w:pPr>
              <w:widowControl/>
              <w:jc w:val="center"/>
              <w:rPr>
                <w:rFonts w:cs="Times New Roman"/>
                <w:color w:val="000000"/>
                <w:kern w:val="0"/>
                <w:szCs w:val="21"/>
              </w:rPr>
            </w:pPr>
          </w:p>
        </w:tc>
      </w:tr>
      <w:tr w:rsidR="007D1E74" w14:paraId="4EBFE932" w14:textId="77777777">
        <w:trPr>
          <w:jc w:val="center"/>
        </w:trPr>
        <w:tc>
          <w:tcPr>
            <w:tcW w:w="2107" w:type="dxa"/>
            <w:shd w:val="clear" w:color="auto" w:fill="auto"/>
            <w:noWrap/>
            <w:vAlign w:val="center"/>
          </w:tcPr>
          <w:p w14:paraId="5FC0EE65"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60</w:t>
            </w:r>
            <w:r>
              <w:rPr>
                <w:rFonts w:ascii="宋体" w:hAnsi="宋体" w:cs="Times New Roman" w:hint="eastAsia"/>
                <w:color w:val="000000"/>
                <w:kern w:val="0"/>
                <w:szCs w:val="21"/>
              </w:rPr>
              <w:t>）黄颡鱼</w:t>
            </w:r>
          </w:p>
        </w:tc>
        <w:tc>
          <w:tcPr>
            <w:tcW w:w="3700" w:type="dxa"/>
            <w:shd w:val="clear" w:color="auto" w:fill="auto"/>
            <w:noWrap/>
            <w:vAlign w:val="center"/>
          </w:tcPr>
          <w:p w14:paraId="07867169" w14:textId="77777777" w:rsidR="007D1E74" w:rsidRDefault="00A95641">
            <w:pPr>
              <w:widowControl/>
              <w:jc w:val="left"/>
              <w:rPr>
                <w:rFonts w:cs="Times New Roman"/>
                <w:i/>
                <w:iCs/>
                <w:color w:val="000000"/>
                <w:kern w:val="0"/>
                <w:szCs w:val="21"/>
              </w:rPr>
            </w:pPr>
            <w:r>
              <w:rPr>
                <w:rFonts w:cs="Times New Roman"/>
                <w:i/>
                <w:iCs/>
                <w:color w:val="000000"/>
                <w:kern w:val="0"/>
                <w:szCs w:val="21"/>
              </w:rPr>
              <w:t>Pelteobagrus fulvidraco</w:t>
            </w:r>
            <w:r>
              <w:rPr>
                <w:rFonts w:cs="Times New Roman"/>
                <w:color w:val="000000"/>
                <w:kern w:val="0"/>
                <w:szCs w:val="21"/>
              </w:rPr>
              <w:t xml:space="preserve"> (Richardson)</w:t>
            </w:r>
          </w:p>
        </w:tc>
        <w:tc>
          <w:tcPr>
            <w:tcW w:w="851" w:type="dxa"/>
            <w:shd w:val="clear" w:color="auto" w:fill="auto"/>
            <w:noWrap/>
            <w:vAlign w:val="center"/>
          </w:tcPr>
          <w:p w14:paraId="4BB97F05"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264AAD4C"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19E70538" w14:textId="77777777" w:rsidR="007D1E74" w:rsidRDefault="007D1E74">
            <w:pPr>
              <w:widowControl/>
              <w:jc w:val="center"/>
              <w:rPr>
                <w:rFonts w:cs="Times New Roman"/>
                <w:color w:val="000000"/>
                <w:kern w:val="0"/>
                <w:szCs w:val="21"/>
              </w:rPr>
            </w:pPr>
          </w:p>
        </w:tc>
      </w:tr>
      <w:tr w:rsidR="007D1E74" w14:paraId="7E3D2599" w14:textId="77777777">
        <w:trPr>
          <w:jc w:val="center"/>
        </w:trPr>
        <w:tc>
          <w:tcPr>
            <w:tcW w:w="2107" w:type="dxa"/>
            <w:shd w:val="clear" w:color="auto" w:fill="auto"/>
            <w:noWrap/>
            <w:vAlign w:val="center"/>
          </w:tcPr>
          <w:p w14:paraId="3361F151"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lastRenderedPageBreak/>
              <w:t>（</w:t>
            </w:r>
            <w:r>
              <w:rPr>
                <w:rFonts w:cs="Times New Roman"/>
                <w:color w:val="000000"/>
                <w:kern w:val="0"/>
                <w:szCs w:val="21"/>
              </w:rPr>
              <w:t>61</w:t>
            </w:r>
            <w:r>
              <w:rPr>
                <w:rFonts w:ascii="宋体" w:hAnsi="宋体" w:cs="Times New Roman" w:hint="eastAsia"/>
                <w:color w:val="000000"/>
                <w:kern w:val="0"/>
                <w:szCs w:val="21"/>
              </w:rPr>
              <w:t>）瓦氏黄颡鱼</w:t>
            </w:r>
          </w:p>
        </w:tc>
        <w:tc>
          <w:tcPr>
            <w:tcW w:w="3700" w:type="dxa"/>
            <w:shd w:val="clear" w:color="auto" w:fill="auto"/>
            <w:noWrap/>
            <w:vAlign w:val="center"/>
          </w:tcPr>
          <w:p w14:paraId="4F737536" w14:textId="77777777" w:rsidR="007D1E74" w:rsidRDefault="00A95641">
            <w:pPr>
              <w:widowControl/>
              <w:jc w:val="left"/>
              <w:rPr>
                <w:rFonts w:cs="Times New Roman"/>
                <w:color w:val="000000"/>
                <w:kern w:val="0"/>
                <w:szCs w:val="21"/>
              </w:rPr>
            </w:pPr>
            <w:r>
              <w:rPr>
                <w:rFonts w:cs="Times New Roman"/>
                <w:i/>
                <w:color w:val="000000"/>
                <w:kern w:val="0"/>
                <w:szCs w:val="21"/>
              </w:rPr>
              <w:t xml:space="preserve">Pelteobagrus vachelli </w:t>
            </w:r>
            <w:r>
              <w:rPr>
                <w:rFonts w:cs="Times New Roman"/>
                <w:color w:val="000000"/>
                <w:kern w:val="0"/>
                <w:szCs w:val="21"/>
              </w:rPr>
              <w:t>(Richardson)</w:t>
            </w:r>
          </w:p>
        </w:tc>
        <w:tc>
          <w:tcPr>
            <w:tcW w:w="851" w:type="dxa"/>
            <w:shd w:val="clear" w:color="auto" w:fill="auto"/>
            <w:noWrap/>
            <w:vAlign w:val="center"/>
          </w:tcPr>
          <w:p w14:paraId="1B6468B8"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761214FC"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2EBC05F4" w14:textId="77777777" w:rsidR="007D1E74" w:rsidRDefault="007D1E74">
            <w:pPr>
              <w:widowControl/>
              <w:jc w:val="center"/>
              <w:rPr>
                <w:rFonts w:cs="Times New Roman"/>
                <w:color w:val="000000"/>
                <w:kern w:val="0"/>
                <w:szCs w:val="21"/>
              </w:rPr>
            </w:pPr>
          </w:p>
        </w:tc>
      </w:tr>
      <w:tr w:rsidR="007D1E74" w14:paraId="549F48E5" w14:textId="77777777">
        <w:trPr>
          <w:jc w:val="center"/>
        </w:trPr>
        <w:tc>
          <w:tcPr>
            <w:tcW w:w="2107" w:type="dxa"/>
            <w:shd w:val="clear" w:color="auto" w:fill="auto"/>
            <w:noWrap/>
            <w:vAlign w:val="center"/>
          </w:tcPr>
          <w:p w14:paraId="0AD8551F" w14:textId="77777777" w:rsidR="007D1E74" w:rsidRDefault="00A95641">
            <w:pPr>
              <w:widowControl/>
              <w:jc w:val="left"/>
              <w:rPr>
                <w:rFonts w:cs="Times New Roman"/>
                <w:color w:val="000000"/>
                <w:kern w:val="0"/>
                <w:szCs w:val="21"/>
              </w:rPr>
            </w:pPr>
            <w:r>
              <w:rPr>
                <w:rFonts w:cs="Times New Roman"/>
                <w:color w:val="000000"/>
                <w:kern w:val="0"/>
                <w:szCs w:val="21"/>
              </w:rPr>
              <w:t>51</w:t>
            </w:r>
            <w:r>
              <w:rPr>
                <w:rFonts w:ascii="宋体" w:hAnsi="宋体" w:cs="Times New Roman" w:hint="eastAsia"/>
                <w:color w:val="000000"/>
                <w:kern w:val="0"/>
                <w:szCs w:val="21"/>
              </w:rPr>
              <w:t>、鮠属</w:t>
            </w:r>
          </w:p>
        </w:tc>
        <w:tc>
          <w:tcPr>
            <w:tcW w:w="3700" w:type="dxa"/>
            <w:shd w:val="clear" w:color="auto" w:fill="auto"/>
            <w:noWrap/>
            <w:vAlign w:val="center"/>
          </w:tcPr>
          <w:p w14:paraId="28464787"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2B32C18A"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55378726"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4E48A99A" w14:textId="77777777" w:rsidR="007D1E74" w:rsidRDefault="007D1E74">
            <w:pPr>
              <w:widowControl/>
              <w:jc w:val="center"/>
              <w:rPr>
                <w:rFonts w:cs="Times New Roman"/>
                <w:color w:val="000000"/>
                <w:kern w:val="0"/>
                <w:szCs w:val="21"/>
              </w:rPr>
            </w:pPr>
          </w:p>
        </w:tc>
      </w:tr>
      <w:tr w:rsidR="007D1E74" w14:paraId="1DABA9C4" w14:textId="77777777">
        <w:trPr>
          <w:jc w:val="center"/>
        </w:trPr>
        <w:tc>
          <w:tcPr>
            <w:tcW w:w="2107" w:type="dxa"/>
            <w:shd w:val="clear" w:color="auto" w:fill="auto"/>
            <w:noWrap/>
            <w:vAlign w:val="center"/>
          </w:tcPr>
          <w:p w14:paraId="7DBC4BC2"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62</w:t>
            </w:r>
            <w:r>
              <w:rPr>
                <w:rFonts w:ascii="宋体" w:hAnsi="宋体" w:cs="Times New Roman" w:hint="eastAsia"/>
                <w:color w:val="000000"/>
                <w:kern w:val="0"/>
                <w:szCs w:val="21"/>
              </w:rPr>
              <w:t>）长吻鮠</w:t>
            </w:r>
          </w:p>
        </w:tc>
        <w:tc>
          <w:tcPr>
            <w:tcW w:w="3700" w:type="dxa"/>
            <w:shd w:val="clear" w:color="auto" w:fill="auto"/>
            <w:noWrap/>
            <w:vAlign w:val="center"/>
          </w:tcPr>
          <w:p w14:paraId="3BB35820" w14:textId="77777777" w:rsidR="007D1E74" w:rsidRDefault="00A95641">
            <w:pPr>
              <w:widowControl/>
              <w:jc w:val="left"/>
              <w:rPr>
                <w:rFonts w:cs="Times New Roman"/>
                <w:i/>
                <w:iCs/>
                <w:color w:val="000000"/>
                <w:kern w:val="0"/>
                <w:szCs w:val="21"/>
              </w:rPr>
            </w:pPr>
            <w:r>
              <w:rPr>
                <w:rFonts w:cs="Times New Roman"/>
                <w:i/>
                <w:iCs/>
                <w:color w:val="000000"/>
                <w:kern w:val="0"/>
                <w:szCs w:val="21"/>
              </w:rPr>
              <w:t>Leiocassis longirostris</w:t>
            </w:r>
            <w:r>
              <w:rPr>
                <w:rFonts w:cs="Times New Roman"/>
                <w:color w:val="000000"/>
                <w:kern w:val="0"/>
                <w:szCs w:val="21"/>
              </w:rPr>
              <w:t xml:space="preserve"> Günther</w:t>
            </w:r>
          </w:p>
        </w:tc>
        <w:tc>
          <w:tcPr>
            <w:tcW w:w="851" w:type="dxa"/>
            <w:shd w:val="clear" w:color="auto" w:fill="auto"/>
            <w:noWrap/>
            <w:vAlign w:val="center"/>
          </w:tcPr>
          <w:p w14:paraId="6A4886D5"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7B6996F5"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1CD11F54" w14:textId="77777777" w:rsidR="007D1E74" w:rsidRDefault="007D1E74">
            <w:pPr>
              <w:widowControl/>
              <w:jc w:val="center"/>
              <w:rPr>
                <w:rFonts w:cs="Times New Roman"/>
                <w:color w:val="000000"/>
                <w:kern w:val="0"/>
                <w:szCs w:val="21"/>
              </w:rPr>
            </w:pPr>
          </w:p>
        </w:tc>
      </w:tr>
      <w:tr w:rsidR="007D1E74" w14:paraId="3B3873D4" w14:textId="77777777">
        <w:trPr>
          <w:jc w:val="center"/>
        </w:trPr>
        <w:tc>
          <w:tcPr>
            <w:tcW w:w="2107" w:type="dxa"/>
            <w:shd w:val="clear" w:color="auto" w:fill="auto"/>
            <w:noWrap/>
            <w:vAlign w:val="center"/>
          </w:tcPr>
          <w:p w14:paraId="5D9C8C48"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63</w:t>
            </w:r>
            <w:r>
              <w:rPr>
                <w:rFonts w:ascii="宋体" w:hAnsi="宋体" w:cs="Times New Roman" w:hint="eastAsia"/>
                <w:color w:val="000000"/>
                <w:kern w:val="0"/>
                <w:szCs w:val="21"/>
              </w:rPr>
              <w:t>）粗唇鮠</w:t>
            </w:r>
          </w:p>
        </w:tc>
        <w:tc>
          <w:tcPr>
            <w:tcW w:w="3700" w:type="dxa"/>
            <w:shd w:val="clear" w:color="auto" w:fill="auto"/>
            <w:noWrap/>
            <w:vAlign w:val="center"/>
          </w:tcPr>
          <w:p w14:paraId="59BE9C51" w14:textId="77777777" w:rsidR="007D1E74" w:rsidRDefault="00A95641">
            <w:pPr>
              <w:widowControl/>
              <w:jc w:val="left"/>
              <w:rPr>
                <w:rFonts w:cs="Times New Roman"/>
                <w:i/>
                <w:iCs/>
                <w:color w:val="000000"/>
                <w:kern w:val="0"/>
                <w:szCs w:val="21"/>
              </w:rPr>
            </w:pPr>
            <w:r>
              <w:rPr>
                <w:rFonts w:cs="Times New Roman"/>
                <w:i/>
                <w:iCs/>
                <w:color w:val="000000"/>
                <w:kern w:val="0"/>
                <w:szCs w:val="21"/>
              </w:rPr>
              <w:t>Leiocassis crassilabris</w:t>
            </w:r>
            <w:r>
              <w:rPr>
                <w:rFonts w:cs="Times New Roman"/>
                <w:color w:val="000000"/>
                <w:kern w:val="0"/>
                <w:szCs w:val="21"/>
              </w:rPr>
              <w:t xml:space="preserve"> Günther</w:t>
            </w:r>
          </w:p>
        </w:tc>
        <w:tc>
          <w:tcPr>
            <w:tcW w:w="851" w:type="dxa"/>
            <w:shd w:val="clear" w:color="auto" w:fill="auto"/>
            <w:noWrap/>
            <w:vAlign w:val="center"/>
          </w:tcPr>
          <w:p w14:paraId="007FBA6D"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3F1FA9C2"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3CC0603A" w14:textId="77777777" w:rsidR="007D1E74" w:rsidRDefault="007D1E74">
            <w:pPr>
              <w:widowControl/>
              <w:jc w:val="center"/>
              <w:rPr>
                <w:rFonts w:cs="Times New Roman"/>
                <w:color w:val="000000"/>
                <w:kern w:val="0"/>
                <w:szCs w:val="21"/>
              </w:rPr>
            </w:pPr>
          </w:p>
        </w:tc>
      </w:tr>
      <w:tr w:rsidR="007D1E74" w14:paraId="38E51B75" w14:textId="77777777">
        <w:trPr>
          <w:jc w:val="center"/>
        </w:trPr>
        <w:tc>
          <w:tcPr>
            <w:tcW w:w="2107" w:type="dxa"/>
            <w:shd w:val="clear" w:color="auto" w:fill="auto"/>
            <w:noWrap/>
            <w:vAlign w:val="center"/>
          </w:tcPr>
          <w:p w14:paraId="7FC04EEC" w14:textId="77777777" w:rsidR="007D1E74" w:rsidRDefault="00A95641">
            <w:pPr>
              <w:widowControl/>
              <w:jc w:val="left"/>
              <w:rPr>
                <w:rFonts w:cs="Times New Roman"/>
                <w:color w:val="000000"/>
                <w:kern w:val="0"/>
                <w:szCs w:val="21"/>
              </w:rPr>
            </w:pPr>
            <w:r>
              <w:rPr>
                <w:rFonts w:cs="Times New Roman"/>
                <w:color w:val="000000"/>
                <w:kern w:val="0"/>
                <w:szCs w:val="21"/>
              </w:rPr>
              <w:t>52</w:t>
            </w:r>
            <w:r>
              <w:rPr>
                <w:rFonts w:ascii="宋体" w:hAnsi="宋体" w:cs="Times New Roman" w:hint="eastAsia"/>
                <w:color w:val="000000"/>
                <w:kern w:val="0"/>
                <w:szCs w:val="21"/>
              </w:rPr>
              <w:t>、拟鲿属</w:t>
            </w:r>
          </w:p>
        </w:tc>
        <w:tc>
          <w:tcPr>
            <w:tcW w:w="3700" w:type="dxa"/>
            <w:shd w:val="clear" w:color="auto" w:fill="auto"/>
            <w:noWrap/>
            <w:vAlign w:val="center"/>
          </w:tcPr>
          <w:p w14:paraId="0FA0BBCF"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2451A248"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6ACB72D4"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1A012495" w14:textId="77777777" w:rsidR="007D1E74" w:rsidRDefault="007D1E74">
            <w:pPr>
              <w:widowControl/>
              <w:jc w:val="center"/>
              <w:rPr>
                <w:rFonts w:cs="Times New Roman"/>
                <w:color w:val="000000"/>
                <w:kern w:val="0"/>
                <w:szCs w:val="21"/>
              </w:rPr>
            </w:pPr>
          </w:p>
        </w:tc>
      </w:tr>
      <w:tr w:rsidR="007D1E74" w14:paraId="46010A05" w14:textId="77777777">
        <w:trPr>
          <w:jc w:val="center"/>
        </w:trPr>
        <w:tc>
          <w:tcPr>
            <w:tcW w:w="2107" w:type="dxa"/>
            <w:shd w:val="clear" w:color="auto" w:fill="auto"/>
            <w:noWrap/>
            <w:vAlign w:val="center"/>
          </w:tcPr>
          <w:p w14:paraId="485B1B3D"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64</w:t>
            </w:r>
            <w:r>
              <w:rPr>
                <w:rFonts w:ascii="宋体" w:hAnsi="宋体" w:cs="Times New Roman" w:hint="eastAsia"/>
                <w:color w:val="000000"/>
                <w:kern w:val="0"/>
                <w:szCs w:val="21"/>
              </w:rPr>
              <w:t>）短尾拟鲿</w:t>
            </w:r>
          </w:p>
        </w:tc>
        <w:tc>
          <w:tcPr>
            <w:tcW w:w="3700" w:type="dxa"/>
            <w:shd w:val="clear" w:color="auto" w:fill="auto"/>
            <w:noWrap/>
            <w:vAlign w:val="center"/>
          </w:tcPr>
          <w:p w14:paraId="6A30D4CA" w14:textId="77777777" w:rsidR="007D1E74" w:rsidRDefault="00A95641">
            <w:pPr>
              <w:widowControl/>
              <w:jc w:val="left"/>
              <w:rPr>
                <w:rFonts w:cs="Times New Roman"/>
                <w:i/>
                <w:iCs/>
                <w:color w:val="000000"/>
                <w:kern w:val="0"/>
                <w:szCs w:val="21"/>
              </w:rPr>
            </w:pPr>
            <w:r>
              <w:rPr>
                <w:rFonts w:cs="Times New Roman"/>
                <w:i/>
                <w:iCs/>
                <w:color w:val="000000"/>
                <w:kern w:val="0"/>
                <w:szCs w:val="21"/>
              </w:rPr>
              <w:t>Pseudobagrus brevicaudatus</w:t>
            </w:r>
            <w:r>
              <w:rPr>
                <w:rFonts w:cs="Times New Roman"/>
                <w:color w:val="000000"/>
                <w:kern w:val="0"/>
                <w:szCs w:val="21"/>
              </w:rPr>
              <w:t xml:space="preserve"> (Wu)</w:t>
            </w:r>
          </w:p>
        </w:tc>
        <w:tc>
          <w:tcPr>
            <w:tcW w:w="851" w:type="dxa"/>
            <w:shd w:val="clear" w:color="auto" w:fill="auto"/>
            <w:noWrap/>
            <w:vAlign w:val="center"/>
          </w:tcPr>
          <w:p w14:paraId="6E603D38"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7D198680"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5749D1C3" w14:textId="77777777" w:rsidR="007D1E74" w:rsidRDefault="007D1E74">
            <w:pPr>
              <w:widowControl/>
              <w:jc w:val="center"/>
              <w:rPr>
                <w:rFonts w:cs="Times New Roman"/>
                <w:color w:val="000000"/>
                <w:kern w:val="0"/>
                <w:szCs w:val="21"/>
              </w:rPr>
            </w:pPr>
          </w:p>
        </w:tc>
      </w:tr>
      <w:tr w:rsidR="007D1E74" w14:paraId="283EF58E" w14:textId="77777777">
        <w:trPr>
          <w:jc w:val="center"/>
        </w:trPr>
        <w:tc>
          <w:tcPr>
            <w:tcW w:w="2107" w:type="dxa"/>
            <w:shd w:val="clear" w:color="auto" w:fill="auto"/>
            <w:noWrap/>
            <w:vAlign w:val="center"/>
          </w:tcPr>
          <w:p w14:paraId="30EA3609"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65</w:t>
            </w:r>
            <w:r>
              <w:rPr>
                <w:rFonts w:ascii="宋体" w:hAnsi="宋体" w:cs="Times New Roman" w:hint="eastAsia"/>
                <w:color w:val="000000"/>
                <w:kern w:val="0"/>
                <w:szCs w:val="21"/>
              </w:rPr>
              <w:t>）切尾拟鲿</w:t>
            </w:r>
          </w:p>
        </w:tc>
        <w:tc>
          <w:tcPr>
            <w:tcW w:w="3700" w:type="dxa"/>
            <w:shd w:val="clear" w:color="auto" w:fill="auto"/>
            <w:noWrap/>
            <w:vAlign w:val="center"/>
          </w:tcPr>
          <w:p w14:paraId="2427D768" w14:textId="77777777" w:rsidR="007D1E74" w:rsidRDefault="00A95641">
            <w:pPr>
              <w:widowControl/>
              <w:jc w:val="left"/>
              <w:rPr>
                <w:rFonts w:cs="Times New Roman"/>
                <w:i/>
                <w:iCs/>
                <w:color w:val="000000"/>
                <w:kern w:val="0"/>
                <w:szCs w:val="21"/>
              </w:rPr>
            </w:pPr>
            <w:r>
              <w:rPr>
                <w:rFonts w:cs="Times New Roman"/>
                <w:i/>
                <w:iCs/>
                <w:color w:val="000000"/>
                <w:kern w:val="0"/>
                <w:szCs w:val="21"/>
              </w:rPr>
              <w:t>Pseudobagrus truncatus</w:t>
            </w:r>
            <w:r>
              <w:rPr>
                <w:rFonts w:cs="Times New Roman"/>
                <w:color w:val="000000"/>
                <w:kern w:val="0"/>
                <w:szCs w:val="21"/>
              </w:rPr>
              <w:t xml:space="preserve"> (Regan)</w:t>
            </w:r>
          </w:p>
        </w:tc>
        <w:tc>
          <w:tcPr>
            <w:tcW w:w="851" w:type="dxa"/>
            <w:shd w:val="clear" w:color="auto" w:fill="auto"/>
            <w:noWrap/>
            <w:vAlign w:val="center"/>
          </w:tcPr>
          <w:p w14:paraId="277F65FB"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5D7826AC"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6570822D" w14:textId="77777777" w:rsidR="007D1E74" w:rsidRDefault="007D1E74">
            <w:pPr>
              <w:widowControl/>
              <w:jc w:val="center"/>
              <w:rPr>
                <w:rFonts w:cs="Times New Roman"/>
                <w:color w:val="000000"/>
                <w:kern w:val="0"/>
                <w:szCs w:val="21"/>
              </w:rPr>
            </w:pPr>
          </w:p>
        </w:tc>
      </w:tr>
      <w:tr w:rsidR="007D1E74" w14:paraId="05EED7D7" w14:textId="77777777">
        <w:trPr>
          <w:jc w:val="center"/>
        </w:trPr>
        <w:tc>
          <w:tcPr>
            <w:tcW w:w="2107" w:type="dxa"/>
            <w:shd w:val="clear" w:color="auto" w:fill="auto"/>
            <w:noWrap/>
            <w:vAlign w:val="center"/>
          </w:tcPr>
          <w:p w14:paraId="125F1012"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66</w:t>
            </w:r>
            <w:r>
              <w:rPr>
                <w:rFonts w:ascii="宋体" w:hAnsi="宋体" w:cs="Times New Roman" w:hint="eastAsia"/>
                <w:color w:val="000000"/>
                <w:kern w:val="0"/>
                <w:szCs w:val="21"/>
              </w:rPr>
              <w:t>）凹尾拟鲿</w:t>
            </w:r>
          </w:p>
        </w:tc>
        <w:tc>
          <w:tcPr>
            <w:tcW w:w="3700" w:type="dxa"/>
            <w:shd w:val="clear" w:color="auto" w:fill="auto"/>
            <w:noWrap/>
            <w:vAlign w:val="center"/>
          </w:tcPr>
          <w:p w14:paraId="63F840F4" w14:textId="77777777" w:rsidR="007D1E74" w:rsidRDefault="00A95641">
            <w:pPr>
              <w:widowControl/>
              <w:jc w:val="left"/>
              <w:rPr>
                <w:rFonts w:cs="Times New Roman"/>
                <w:i/>
                <w:iCs/>
                <w:color w:val="000000"/>
                <w:kern w:val="0"/>
                <w:szCs w:val="21"/>
              </w:rPr>
            </w:pPr>
            <w:r>
              <w:rPr>
                <w:rFonts w:cs="Times New Roman"/>
                <w:i/>
                <w:iCs/>
                <w:color w:val="000000"/>
                <w:kern w:val="0"/>
                <w:szCs w:val="21"/>
              </w:rPr>
              <w:t>Pseudobagrus emarginatus</w:t>
            </w:r>
            <w:r>
              <w:rPr>
                <w:rFonts w:cs="Times New Roman"/>
                <w:color w:val="000000"/>
                <w:kern w:val="0"/>
                <w:szCs w:val="21"/>
              </w:rPr>
              <w:t xml:space="preserve"> (Regan)</w:t>
            </w:r>
          </w:p>
        </w:tc>
        <w:tc>
          <w:tcPr>
            <w:tcW w:w="851" w:type="dxa"/>
            <w:shd w:val="clear" w:color="auto" w:fill="auto"/>
            <w:noWrap/>
            <w:vAlign w:val="center"/>
          </w:tcPr>
          <w:p w14:paraId="45E0B63E"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58BC4E0D"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4B0B2748" w14:textId="77777777" w:rsidR="007D1E74" w:rsidRDefault="007D1E74">
            <w:pPr>
              <w:widowControl/>
              <w:jc w:val="center"/>
              <w:rPr>
                <w:rFonts w:cs="Times New Roman"/>
                <w:color w:val="000000"/>
                <w:kern w:val="0"/>
                <w:szCs w:val="21"/>
              </w:rPr>
            </w:pPr>
          </w:p>
        </w:tc>
      </w:tr>
      <w:tr w:rsidR="007D1E74" w14:paraId="42600160" w14:textId="77777777">
        <w:trPr>
          <w:jc w:val="center"/>
        </w:trPr>
        <w:tc>
          <w:tcPr>
            <w:tcW w:w="2107" w:type="dxa"/>
            <w:shd w:val="clear" w:color="auto" w:fill="auto"/>
            <w:noWrap/>
            <w:vAlign w:val="center"/>
          </w:tcPr>
          <w:p w14:paraId="36DB0F0D"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67</w:t>
            </w:r>
            <w:r>
              <w:rPr>
                <w:rFonts w:ascii="宋体" w:hAnsi="宋体" w:cs="Times New Roman" w:hint="eastAsia"/>
                <w:color w:val="000000"/>
                <w:kern w:val="0"/>
                <w:szCs w:val="21"/>
              </w:rPr>
              <w:t>）细体拟鲿</w:t>
            </w:r>
          </w:p>
        </w:tc>
        <w:tc>
          <w:tcPr>
            <w:tcW w:w="3700" w:type="dxa"/>
            <w:shd w:val="clear" w:color="auto" w:fill="auto"/>
            <w:noWrap/>
            <w:vAlign w:val="center"/>
          </w:tcPr>
          <w:p w14:paraId="0CDD2531" w14:textId="77777777" w:rsidR="007D1E74" w:rsidRDefault="00A95641">
            <w:pPr>
              <w:widowControl/>
              <w:jc w:val="left"/>
              <w:rPr>
                <w:rFonts w:cs="Times New Roman"/>
                <w:i/>
                <w:iCs/>
                <w:color w:val="000000"/>
                <w:kern w:val="0"/>
                <w:szCs w:val="21"/>
              </w:rPr>
            </w:pPr>
            <w:r>
              <w:rPr>
                <w:rFonts w:cs="Times New Roman"/>
                <w:i/>
                <w:iCs/>
                <w:color w:val="000000"/>
                <w:kern w:val="0"/>
                <w:szCs w:val="21"/>
              </w:rPr>
              <w:t>Pseudobagrus pratti</w:t>
            </w:r>
            <w:r>
              <w:rPr>
                <w:rFonts w:cs="Times New Roman"/>
                <w:color w:val="000000"/>
                <w:kern w:val="0"/>
                <w:szCs w:val="21"/>
              </w:rPr>
              <w:t xml:space="preserve"> (Günther)</w:t>
            </w:r>
          </w:p>
        </w:tc>
        <w:tc>
          <w:tcPr>
            <w:tcW w:w="851" w:type="dxa"/>
            <w:shd w:val="clear" w:color="auto" w:fill="auto"/>
            <w:noWrap/>
            <w:vAlign w:val="center"/>
          </w:tcPr>
          <w:p w14:paraId="1AE87682"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63172B6C"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0AE9B20B" w14:textId="77777777" w:rsidR="007D1E74" w:rsidRDefault="007D1E74">
            <w:pPr>
              <w:widowControl/>
              <w:jc w:val="center"/>
              <w:rPr>
                <w:rFonts w:cs="Times New Roman"/>
                <w:color w:val="000000"/>
                <w:kern w:val="0"/>
                <w:szCs w:val="21"/>
              </w:rPr>
            </w:pPr>
          </w:p>
        </w:tc>
      </w:tr>
      <w:tr w:rsidR="007D1E74" w14:paraId="70E9FAF0" w14:textId="77777777">
        <w:trPr>
          <w:jc w:val="center"/>
        </w:trPr>
        <w:tc>
          <w:tcPr>
            <w:tcW w:w="2107" w:type="dxa"/>
            <w:shd w:val="clear" w:color="auto" w:fill="auto"/>
            <w:noWrap/>
            <w:vAlign w:val="center"/>
          </w:tcPr>
          <w:p w14:paraId="78218E3F" w14:textId="77777777" w:rsidR="007D1E74" w:rsidRDefault="00A95641">
            <w:pPr>
              <w:widowControl/>
              <w:jc w:val="left"/>
              <w:rPr>
                <w:rFonts w:cs="Times New Roman"/>
                <w:color w:val="000000"/>
                <w:kern w:val="0"/>
                <w:szCs w:val="21"/>
              </w:rPr>
            </w:pPr>
            <w:r>
              <w:rPr>
                <w:rFonts w:cs="Times New Roman"/>
                <w:color w:val="000000"/>
                <w:kern w:val="0"/>
                <w:szCs w:val="21"/>
              </w:rPr>
              <w:t>53</w:t>
            </w:r>
            <w:r>
              <w:rPr>
                <w:rFonts w:ascii="宋体" w:hAnsi="宋体" w:cs="Times New Roman" w:hint="eastAsia"/>
                <w:color w:val="000000"/>
                <w:kern w:val="0"/>
                <w:szCs w:val="21"/>
              </w:rPr>
              <w:t>、鱯属</w:t>
            </w:r>
          </w:p>
        </w:tc>
        <w:tc>
          <w:tcPr>
            <w:tcW w:w="3700" w:type="dxa"/>
            <w:shd w:val="clear" w:color="auto" w:fill="auto"/>
            <w:noWrap/>
            <w:vAlign w:val="center"/>
          </w:tcPr>
          <w:p w14:paraId="3A5B06F1"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51260F5C"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3C282506"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6B212088" w14:textId="77777777" w:rsidR="007D1E74" w:rsidRDefault="007D1E74">
            <w:pPr>
              <w:widowControl/>
              <w:jc w:val="center"/>
              <w:rPr>
                <w:rFonts w:cs="Times New Roman"/>
                <w:color w:val="000000"/>
                <w:kern w:val="0"/>
                <w:szCs w:val="21"/>
              </w:rPr>
            </w:pPr>
          </w:p>
        </w:tc>
      </w:tr>
      <w:tr w:rsidR="007D1E74" w14:paraId="473E7FEA" w14:textId="77777777">
        <w:trPr>
          <w:jc w:val="center"/>
        </w:trPr>
        <w:tc>
          <w:tcPr>
            <w:tcW w:w="2107" w:type="dxa"/>
            <w:shd w:val="clear" w:color="auto" w:fill="auto"/>
            <w:noWrap/>
            <w:vAlign w:val="center"/>
          </w:tcPr>
          <w:p w14:paraId="5B4CBB01"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68</w:t>
            </w:r>
            <w:r>
              <w:rPr>
                <w:rFonts w:ascii="宋体" w:hAnsi="宋体" w:cs="Times New Roman" w:hint="eastAsia"/>
                <w:color w:val="000000"/>
                <w:kern w:val="0"/>
                <w:szCs w:val="21"/>
              </w:rPr>
              <w:t>）大鳍鱯</w:t>
            </w:r>
          </w:p>
        </w:tc>
        <w:tc>
          <w:tcPr>
            <w:tcW w:w="3700" w:type="dxa"/>
            <w:shd w:val="clear" w:color="auto" w:fill="auto"/>
            <w:noWrap/>
            <w:vAlign w:val="center"/>
          </w:tcPr>
          <w:p w14:paraId="29AEEBE8" w14:textId="77777777" w:rsidR="007D1E74" w:rsidRDefault="00A95641">
            <w:pPr>
              <w:widowControl/>
              <w:jc w:val="left"/>
              <w:rPr>
                <w:rFonts w:cs="Times New Roman"/>
                <w:i/>
                <w:iCs/>
                <w:color w:val="000000"/>
                <w:kern w:val="0"/>
                <w:szCs w:val="21"/>
              </w:rPr>
            </w:pPr>
            <w:r>
              <w:rPr>
                <w:rFonts w:cs="Times New Roman"/>
                <w:i/>
                <w:iCs/>
                <w:color w:val="000000"/>
                <w:kern w:val="0"/>
                <w:szCs w:val="21"/>
              </w:rPr>
              <w:t>Hemibagrus macropterus</w:t>
            </w:r>
            <w:r>
              <w:rPr>
                <w:rFonts w:cs="Times New Roman"/>
                <w:color w:val="000000"/>
                <w:kern w:val="0"/>
                <w:szCs w:val="21"/>
              </w:rPr>
              <w:t xml:space="preserve"> (Bleeker)</w:t>
            </w:r>
          </w:p>
        </w:tc>
        <w:tc>
          <w:tcPr>
            <w:tcW w:w="851" w:type="dxa"/>
            <w:shd w:val="clear" w:color="auto" w:fill="auto"/>
            <w:noWrap/>
            <w:vAlign w:val="center"/>
          </w:tcPr>
          <w:p w14:paraId="369CF541"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3E798D83"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5836BEB1" w14:textId="77777777" w:rsidR="007D1E74" w:rsidRDefault="007D1E74">
            <w:pPr>
              <w:widowControl/>
              <w:jc w:val="center"/>
              <w:rPr>
                <w:rFonts w:cs="Times New Roman"/>
                <w:color w:val="000000"/>
                <w:kern w:val="0"/>
                <w:szCs w:val="21"/>
              </w:rPr>
            </w:pPr>
          </w:p>
        </w:tc>
      </w:tr>
      <w:tr w:rsidR="007D1E74" w14:paraId="787E76E4" w14:textId="77777777">
        <w:trPr>
          <w:jc w:val="center"/>
        </w:trPr>
        <w:tc>
          <w:tcPr>
            <w:tcW w:w="2107" w:type="dxa"/>
            <w:shd w:val="clear" w:color="auto" w:fill="auto"/>
            <w:noWrap/>
            <w:vAlign w:val="center"/>
          </w:tcPr>
          <w:p w14:paraId="43BE1843"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六、钝头鮠科</w:t>
            </w:r>
          </w:p>
        </w:tc>
        <w:tc>
          <w:tcPr>
            <w:tcW w:w="3700" w:type="dxa"/>
            <w:shd w:val="clear" w:color="auto" w:fill="auto"/>
            <w:noWrap/>
            <w:vAlign w:val="center"/>
          </w:tcPr>
          <w:p w14:paraId="6EB59D86" w14:textId="77777777" w:rsidR="007D1E74" w:rsidRDefault="007D1E74">
            <w:pPr>
              <w:widowControl/>
              <w:jc w:val="left"/>
              <w:rPr>
                <w:rFonts w:cs="Times New Roman"/>
                <w:i/>
                <w:iCs/>
                <w:color w:val="000000"/>
                <w:kern w:val="0"/>
                <w:szCs w:val="21"/>
              </w:rPr>
            </w:pPr>
          </w:p>
        </w:tc>
        <w:tc>
          <w:tcPr>
            <w:tcW w:w="851" w:type="dxa"/>
            <w:shd w:val="clear" w:color="auto" w:fill="auto"/>
            <w:noWrap/>
            <w:vAlign w:val="center"/>
          </w:tcPr>
          <w:p w14:paraId="4869200E"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03FF9507"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7F04DC25" w14:textId="77777777" w:rsidR="007D1E74" w:rsidRDefault="007D1E74">
            <w:pPr>
              <w:widowControl/>
              <w:jc w:val="center"/>
              <w:rPr>
                <w:rFonts w:cs="Times New Roman"/>
                <w:color w:val="000000"/>
                <w:kern w:val="0"/>
                <w:szCs w:val="21"/>
              </w:rPr>
            </w:pPr>
          </w:p>
        </w:tc>
      </w:tr>
      <w:tr w:rsidR="007D1E74" w14:paraId="56536017" w14:textId="77777777">
        <w:trPr>
          <w:jc w:val="center"/>
        </w:trPr>
        <w:tc>
          <w:tcPr>
            <w:tcW w:w="2107" w:type="dxa"/>
            <w:shd w:val="clear" w:color="auto" w:fill="auto"/>
            <w:noWrap/>
            <w:vAlign w:val="center"/>
          </w:tcPr>
          <w:p w14:paraId="26A407FC" w14:textId="77777777" w:rsidR="007D1E74" w:rsidRDefault="00A95641">
            <w:pPr>
              <w:widowControl/>
              <w:jc w:val="left"/>
              <w:rPr>
                <w:rFonts w:cs="Times New Roman"/>
                <w:color w:val="000000"/>
                <w:kern w:val="0"/>
                <w:szCs w:val="21"/>
              </w:rPr>
            </w:pPr>
            <w:r>
              <w:rPr>
                <w:rFonts w:cs="Times New Roman"/>
                <w:color w:val="000000"/>
                <w:kern w:val="0"/>
                <w:szCs w:val="21"/>
              </w:rPr>
              <w:t>54</w:t>
            </w:r>
            <w:r>
              <w:rPr>
                <w:rFonts w:ascii="宋体" w:hAnsi="宋体" w:cs="Times New Roman" w:hint="eastAsia"/>
                <w:color w:val="000000"/>
                <w:kern w:val="0"/>
                <w:szCs w:val="21"/>
              </w:rPr>
              <w:t>、䱀属</w:t>
            </w:r>
          </w:p>
        </w:tc>
        <w:tc>
          <w:tcPr>
            <w:tcW w:w="3700" w:type="dxa"/>
            <w:shd w:val="clear" w:color="auto" w:fill="auto"/>
            <w:noWrap/>
            <w:vAlign w:val="center"/>
          </w:tcPr>
          <w:p w14:paraId="7DD30B76"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246BA18F"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5021AFCF"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37626F44" w14:textId="77777777" w:rsidR="007D1E74" w:rsidRDefault="007D1E74">
            <w:pPr>
              <w:widowControl/>
              <w:jc w:val="center"/>
              <w:rPr>
                <w:rFonts w:cs="Times New Roman"/>
                <w:color w:val="000000"/>
                <w:kern w:val="0"/>
                <w:szCs w:val="21"/>
              </w:rPr>
            </w:pPr>
          </w:p>
        </w:tc>
      </w:tr>
      <w:tr w:rsidR="007D1E74" w14:paraId="0BF0A013" w14:textId="77777777">
        <w:trPr>
          <w:jc w:val="center"/>
        </w:trPr>
        <w:tc>
          <w:tcPr>
            <w:tcW w:w="2107" w:type="dxa"/>
            <w:shd w:val="clear" w:color="auto" w:fill="auto"/>
            <w:noWrap/>
            <w:vAlign w:val="center"/>
          </w:tcPr>
          <w:p w14:paraId="579A2AC5"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69</w:t>
            </w:r>
            <w:r>
              <w:rPr>
                <w:rFonts w:ascii="宋体" w:hAnsi="宋体" w:cs="Times New Roman" w:hint="eastAsia"/>
                <w:color w:val="000000"/>
                <w:kern w:val="0"/>
                <w:szCs w:val="21"/>
              </w:rPr>
              <w:t>）黑尾䱀</w:t>
            </w:r>
          </w:p>
        </w:tc>
        <w:tc>
          <w:tcPr>
            <w:tcW w:w="3700" w:type="dxa"/>
            <w:shd w:val="clear" w:color="auto" w:fill="auto"/>
            <w:noWrap/>
            <w:vAlign w:val="center"/>
          </w:tcPr>
          <w:p w14:paraId="5067AE4B" w14:textId="77777777" w:rsidR="007D1E74" w:rsidRDefault="00A95641">
            <w:pPr>
              <w:widowControl/>
              <w:jc w:val="left"/>
              <w:rPr>
                <w:rFonts w:cs="Times New Roman"/>
                <w:i/>
                <w:iCs/>
                <w:color w:val="000000"/>
                <w:kern w:val="0"/>
                <w:szCs w:val="21"/>
              </w:rPr>
            </w:pPr>
            <w:r>
              <w:rPr>
                <w:rFonts w:cs="Times New Roman"/>
                <w:i/>
                <w:iCs/>
                <w:color w:val="000000"/>
                <w:kern w:val="0"/>
                <w:szCs w:val="21"/>
              </w:rPr>
              <w:t>Leiobagrus nigricauda Regan</w:t>
            </w:r>
          </w:p>
        </w:tc>
        <w:tc>
          <w:tcPr>
            <w:tcW w:w="851" w:type="dxa"/>
            <w:shd w:val="clear" w:color="auto" w:fill="auto"/>
            <w:noWrap/>
            <w:vAlign w:val="center"/>
          </w:tcPr>
          <w:p w14:paraId="34964E36"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054334BA"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7E4A8581" w14:textId="77777777" w:rsidR="007D1E74" w:rsidRDefault="007D1E74">
            <w:pPr>
              <w:widowControl/>
              <w:jc w:val="center"/>
              <w:rPr>
                <w:rFonts w:cs="Times New Roman"/>
                <w:color w:val="000000"/>
                <w:kern w:val="0"/>
                <w:szCs w:val="21"/>
              </w:rPr>
            </w:pPr>
          </w:p>
        </w:tc>
      </w:tr>
      <w:tr w:rsidR="007D1E74" w14:paraId="02004676" w14:textId="77777777">
        <w:trPr>
          <w:jc w:val="center"/>
        </w:trPr>
        <w:tc>
          <w:tcPr>
            <w:tcW w:w="2107" w:type="dxa"/>
            <w:shd w:val="clear" w:color="auto" w:fill="auto"/>
            <w:noWrap/>
            <w:vAlign w:val="center"/>
          </w:tcPr>
          <w:p w14:paraId="2939B645"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70</w:t>
            </w:r>
            <w:r>
              <w:rPr>
                <w:rFonts w:ascii="宋体" w:hAnsi="宋体" w:cs="Times New Roman" w:hint="eastAsia"/>
                <w:color w:val="000000"/>
                <w:kern w:val="0"/>
                <w:szCs w:val="21"/>
              </w:rPr>
              <w:t>）白缘䱀</w:t>
            </w:r>
          </w:p>
        </w:tc>
        <w:tc>
          <w:tcPr>
            <w:tcW w:w="3700" w:type="dxa"/>
            <w:shd w:val="clear" w:color="auto" w:fill="auto"/>
            <w:noWrap/>
            <w:vAlign w:val="center"/>
          </w:tcPr>
          <w:p w14:paraId="261245D7" w14:textId="77777777" w:rsidR="007D1E74" w:rsidRDefault="00A95641">
            <w:pPr>
              <w:widowControl/>
              <w:jc w:val="left"/>
              <w:rPr>
                <w:rFonts w:cs="Times New Roman"/>
                <w:i/>
                <w:iCs/>
                <w:color w:val="000000"/>
                <w:kern w:val="0"/>
                <w:szCs w:val="21"/>
              </w:rPr>
            </w:pPr>
            <w:r>
              <w:rPr>
                <w:rFonts w:cs="Times New Roman"/>
                <w:i/>
                <w:iCs/>
                <w:color w:val="000000"/>
                <w:kern w:val="0"/>
                <w:szCs w:val="21"/>
              </w:rPr>
              <w:t xml:space="preserve">Leiobagrus marginatus </w:t>
            </w:r>
            <w:r>
              <w:rPr>
                <w:rFonts w:cs="Times New Roman"/>
                <w:color w:val="000000"/>
                <w:kern w:val="0"/>
                <w:szCs w:val="21"/>
              </w:rPr>
              <w:t>(Günther)</w:t>
            </w:r>
          </w:p>
        </w:tc>
        <w:tc>
          <w:tcPr>
            <w:tcW w:w="851" w:type="dxa"/>
            <w:shd w:val="clear" w:color="auto" w:fill="auto"/>
            <w:noWrap/>
            <w:vAlign w:val="center"/>
          </w:tcPr>
          <w:p w14:paraId="260E1B9A"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0645BC44"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3C541D99" w14:textId="77777777" w:rsidR="007D1E74" w:rsidRDefault="007D1E74">
            <w:pPr>
              <w:widowControl/>
              <w:jc w:val="center"/>
              <w:rPr>
                <w:rFonts w:cs="Times New Roman"/>
                <w:color w:val="000000"/>
                <w:kern w:val="0"/>
                <w:szCs w:val="21"/>
              </w:rPr>
            </w:pPr>
          </w:p>
        </w:tc>
      </w:tr>
      <w:tr w:rsidR="007D1E74" w14:paraId="5697D047" w14:textId="77777777">
        <w:trPr>
          <w:jc w:val="center"/>
        </w:trPr>
        <w:tc>
          <w:tcPr>
            <w:tcW w:w="2107" w:type="dxa"/>
            <w:shd w:val="clear" w:color="auto" w:fill="auto"/>
            <w:noWrap/>
            <w:vAlign w:val="center"/>
          </w:tcPr>
          <w:p w14:paraId="5F9BC21B"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七、鮡科</w:t>
            </w:r>
          </w:p>
        </w:tc>
        <w:tc>
          <w:tcPr>
            <w:tcW w:w="3700" w:type="dxa"/>
            <w:shd w:val="clear" w:color="auto" w:fill="auto"/>
            <w:noWrap/>
            <w:vAlign w:val="center"/>
          </w:tcPr>
          <w:p w14:paraId="75726A36"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416199BF"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5853FF3D"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2973B29C" w14:textId="77777777" w:rsidR="007D1E74" w:rsidRDefault="007D1E74">
            <w:pPr>
              <w:widowControl/>
              <w:jc w:val="center"/>
              <w:rPr>
                <w:rFonts w:cs="Times New Roman"/>
                <w:color w:val="000000"/>
                <w:kern w:val="0"/>
                <w:szCs w:val="21"/>
              </w:rPr>
            </w:pPr>
          </w:p>
        </w:tc>
      </w:tr>
      <w:tr w:rsidR="007D1E74" w14:paraId="567F1F56" w14:textId="77777777">
        <w:trPr>
          <w:jc w:val="center"/>
        </w:trPr>
        <w:tc>
          <w:tcPr>
            <w:tcW w:w="2107" w:type="dxa"/>
            <w:shd w:val="clear" w:color="auto" w:fill="auto"/>
            <w:noWrap/>
            <w:vAlign w:val="center"/>
          </w:tcPr>
          <w:p w14:paraId="191E2A2F" w14:textId="77777777" w:rsidR="007D1E74" w:rsidRDefault="00A95641">
            <w:pPr>
              <w:widowControl/>
              <w:jc w:val="left"/>
              <w:rPr>
                <w:rFonts w:cs="Times New Roman"/>
                <w:color w:val="000000"/>
                <w:kern w:val="0"/>
                <w:szCs w:val="21"/>
              </w:rPr>
            </w:pPr>
            <w:r>
              <w:rPr>
                <w:rFonts w:cs="Times New Roman"/>
                <w:color w:val="000000"/>
                <w:kern w:val="0"/>
                <w:szCs w:val="21"/>
              </w:rPr>
              <w:t>55</w:t>
            </w:r>
            <w:r>
              <w:rPr>
                <w:rFonts w:ascii="宋体" w:hAnsi="宋体" w:cs="Times New Roman" w:hint="eastAsia"/>
                <w:color w:val="000000"/>
                <w:kern w:val="0"/>
                <w:szCs w:val="21"/>
              </w:rPr>
              <w:t>、纹胸鮡属</w:t>
            </w:r>
          </w:p>
        </w:tc>
        <w:tc>
          <w:tcPr>
            <w:tcW w:w="3700" w:type="dxa"/>
            <w:shd w:val="clear" w:color="auto" w:fill="auto"/>
            <w:noWrap/>
            <w:vAlign w:val="center"/>
          </w:tcPr>
          <w:p w14:paraId="35450040"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3327736A"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0B836D06"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4BFA258B" w14:textId="77777777" w:rsidR="007D1E74" w:rsidRDefault="007D1E74">
            <w:pPr>
              <w:widowControl/>
              <w:jc w:val="center"/>
              <w:rPr>
                <w:rFonts w:cs="Times New Roman"/>
                <w:color w:val="000000"/>
                <w:kern w:val="0"/>
                <w:szCs w:val="21"/>
              </w:rPr>
            </w:pPr>
          </w:p>
        </w:tc>
      </w:tr>
      <w:tr w:rsidR="007D1E74" w14:paraId="3760F7A5" w14:textId="77777777">
        <w:trPr>
          <w:jc w:val="center"/>
        </w:trPr>
        <w:tc>
          <w:tcPr>
            <w:tcW w:w="2107" w:type="dxa"/>
            <w:shd w:val="clear" w:color="auto" w:fill="auto"/>
            <w:noWrap/>
            <w:vAlign w:val="center"/>
          </w:tcPr>
          <w:p w14:paraId="65E1F7E9"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71</w:t>
            </w:r>
            <w:r>
              <w:rPr>
                <w:rFonts w:ascii="宋体" w:hAnsi="宋体" w:cs="Times New Roman" w:hint="eastAsia"/>
                <w:color w:val="000000"/>
                <w:kern w:val="0"/>
                <w:szCs w:val="21"/>
              </w:rPr>
              <w:t>）中华纹胸鮡</w:t>
            </w:r>
          </w:p>
        </w:tc>
        <w:tc>
          <w:tcPr>
            <w:tcW w:w="3700" w:type="dxa"/>
            <w:shd w:val="clear" w:color="auto" w:fill="auto"/>
            <w:noWrap/>
            <w:vAlign w:val="center"/>
          </w:tcPr>
          <w:p w14:paraId="28F0A566" w14:textId="77777777" w:rsidR="007D1E74" w:rsidRDefault="00A95641">
            <w:pPr>
              <w:widowControl/>
              <w:jc w:val="left"/>
              <w:rPr>
                <w:rFonts w:cs="Times New Roman"/>
                <w:i/>
                <w:iCs/>
                <w:color w:val="000000"/>
                <w:kern w:val="0"/>
                <w:szCs w:val="21"/>
              </w:rPr>
            </w:pPr>
            <w:r>
              <w:rPr>
                <w:rFonts w:cs="Times New Roman"/>
                <w:i/>
                <w:iCs/>
                <w:color w:val="000000"/>
                <w:kern w:val="0"/>
                <w:szCs w:val="21"/>
              </w:rPr>
              <w:t>Glyptothorax sinensis</w:t>
            </w:r>
            <w:r>
              <w:rPr>
                <w:rFonts w:cs="Times New Roman"/>
                <w:color w:val="000000"/>
                <w:kern w:val="0"/>
                <w:szCs w:val="21"/>
              </w:rPr>
              <w:t xml:space="preserve"> (Regan)</w:t>
            </w:r>
          </w:p>
        </w:tc>
        <w:tc>
          <w:tcPr>
            <w:tcW w:w="851" w:type="dxa"/>
            <w:shd w:val="clear" w:color="auto" w:fill="auto"/>
            <w:noWrap/>
            <w:vAlign w:val="center"/>
          </w:tcPr>
          <w:p w14:paraId="33060848"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09787DEA"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6E831F9F" w14:textId="77777777" w:rsidR="007D1E74" w:rsidRDefault="007D1E74">
            <w:pPr>
              <w:widowControl/>
              <w:jc w:val="center"/>
              <w:rPr>
                <w:rFonts w:cs="Times New Roman"/>
                <w:color w:val="000000"/>
                <w:kern w:val="0"/>
                <w:szCs w:val="21"/>
              </w:rPr>
            </w:pPr>
          </w:p>
        </w:tc>
      </w:tr>
      <w:tr w:rsidR="007D1E74" w14:paraId="09CE78B7" w14:textId="77777777">
        <w:trPr>
          <w:jc w:val="center"/>
        </w:trPr>
        <w:tc>
          <w:tcPr>
            <w:tcW w:w="2107" w:type="dxa"/>
            <w:shd w:val="clear" w:color="auto" w:fill="auto"/>
            <w:noWrap/>
            <w:vAlign w:val="center"/>
          </w:tcPr>
          <w:p w14:paraId="1E09498A" w14:textId="77777777" w:rsidR="007D1E74" w:rsidRDefault="00A95641">
            <w:pPr>
              <w:widowControl/>
              <w:jc w:val="left"/>
              <w:rPr>
                <w:rFonts w:cs="Times New Roman"/>
                <w:color w:val="000000"/>
                <w:kern w:val="0"/>
                <w:szCs w:val="21"/>
              </w:rPr>
            </w:pPr>
            <w:r>
              <w:rPr>
                <w:rFonts w:cs="Times New Roman"/>
                <w:color w:val="000000"/>
                <w:kern w:val="0"/>
                <w:szCs w:val="21"/>
              </w:rPr>
              <w:t>56</w:t>
            </w:r>
            <w:r>
              <w:rPr>
                <w:rFonts w:ascii="宋体" w:hAnsi="宋体" w:cs="Times New Roman" w:hint="eastAsia"/>
                <w:color w:val="000000"/>
                <w:kern w:val="0"/>
                <w:szCs w:val="21"/>
              </w:rPr>
              <w:t>、石爬鮡属</w:t>
            </w:r>
          </w:p>
        </w:tc>
        <w:tc>
          <w:tcPr>
            <w:tcW w:w="3700" w:type="dxa"/>
            <w:shd w:val="clear" w:color="auto" w:fill="auto"/>
            <w:noWrap/>
            <w:vAlign w:val="center"/>
          </w:tcPr>
          <w:p w14:paraId="6556E961"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52441B8F"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19E21751"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11A53427" w14:textId="77777777" w:rsidR="007D1E74" w:rsidRDefault="007D1E74">
            <w:pPr>
              <w:widowControl/>
              <w:jc w:val="center"/>
              <w:rPr>
                <w:rFonts w:cs="Times New Roman"/>
                <w:color w:val="000000"/>
                <w:kern w:val="0"/>
                <w:szCs w:val="21"/>
              </w:rPr>
            </w:pPr>
          </w:p>
        </w:tc>
      </w:tr>
      <w:tr w:rsidR="007D1E74" w14:paraId="0539D20D" w14:textId="77777777">
        <w:trPr>
          <w:jc w:val="center"/>
        </w:trPr>
        <w:tc>
          <w:tcPr>
            <w:tcW w:w="2107" w:type="dxa"/>
            <w:shd w:val="clear" w:color="auto" w:fill="auto"/>
            <w:noWrap/>
            <w:vAlign w:val="center"/>
          </w:tcPr>
          <w:p w14:paraId="50F9AEF7"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72</w:t>
            </w:r>
            <w:r>
              <w:rPr>
                <w:rFonts w:ascii="宋体" w:hAnsi="宋体" w:cs="Times New Roman" w:hint="eastAsia"/>
                <w:color w:val="000000"/>
                <w:kern w:val="0"/>
                <w:szCs w:val="21"/>
              </w:rPr>
              <w:t>）青石爬鮡</w:t>
            </w:r>
          </w:p>
        </w:tc>
        <w:tc>
          <w:tcPr>
            <w:tcW w:w="3700" w:type="dxa"/>
            <w:shd w:val="clear" w:color="auto" w:fill="auto"/>
            <w:noWrap/>
            <w:vAlign w:val="center"/>
          </w:tcPr>
          <w:p w14:paraId="15BA1333" w14:textId="77777777" w:rsidR="007D1E74" w:rsidRDefault="00A95641">
            <w:pPr>
              <w:widowControl/>
              <w:jc w:val="left"/>
              <w:rPr>
                <w:rFonts w:cs="Times New Roman"/>
                <w:i/>
                <w:iCs/>
                <w:color w:val="000000"/>
                <w:kern w:val="0"/>
                <w:szCs w:val="21"/>
              </w:rPr>
            </w:pPr>
            <w:r>
              <w:rPr>
                <w:rFonts w:cs="Times New Roman"/>
                <w:i/>
                <w:iCs/>
                <w:color w:val="000000"/>
                <w:kern w:val="0"/>
                <w:szCs w:val="21"/>
              </w:rPr>
              <w:t>Euchiloglanis davidi</w:t>
            </w:r>
            <w:r>
              <w:rPr>
                <w:rFonts w:cs="Times New Roman"/>
                <w:color w:val="000000"/>
                <w:kern w:val="0"/>
                <w:szCs w:val="21"/>
              </w:rPr>
              <w:t xml:space="preserve"> (Sauvage)</w:t>
            </w:r>
          </w:p>
        </w:tc>
        <w:tc>
          <w:tcPr>
            <w:tcW w:w="851" w:type="dxa"/>
            <w:shd w:val="clear" w:color="auto" w:fill="auto"/>
            <w:noWrap/>
            <w:vAlign w:val="center"/>
          </w:tcPr>
          <w:p w14:paraId="1E7F3A5C" w14:textId="77777777" w:rsidR="007D1E74" w:rsidRDefault="00A95641">
            <w:pPr>
              <w:widowControl/>
              <w:jc w:val="center"/>
              <w:rPr>
                <w:rFonts w:cs="Times New Roman"/>
                <w:color w:val="000000"/>
                <w:kern w:val="0"/>
                <w:szCs w:val="21"/>
              </w:rPr>
            </w:pPr>
            <w:r>
              <w:rPr>
                <w:rFonts w:ascii="Arial" w:hAnsi="Arial" w:cs="Arial"/>
                <w:szCs w:val="21"/>
              </w:rPr>
              <w:t>▲</w:t>
            </w:r>
          </w:p>
        </w:tc>
        <w:tc>
          <w:tcPr>
            <w:tcW w:w="850" w:type="dxa"/>
            <w:shd w:val="clear" w:color="auto" w:fill="auto"/>
            <w:noWrap/>
            <w:vAlign w:val="center"/>
          </w:tcPr>
          <w:p w14:paraId="11EEA30E"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0AF21C71" w14:textId="77777777" w:rsidR="007D1E74" w:rsidRDefault="00A95641">
            <w:pPr>
              <w:widowControl/>
              <w:jc w:val="center"/>
              <w:rPr>
                <w:rFonts w:cs="Times New Roman"/>
                <w:color w:val="000000"/>
                <w:kern w:val="0"/>
                <w:szCs w:val="21"/>
              </w:rPr>
            </w:pPr>
            <w:r>
              <w:rPr>
                <w:rFonts w:ascii="宋体" w:hAnsi="宋体" w:cs="Times New Roman" w:hint="eastAsia"/>
                <w:color w:val="000000"/>
                <w:kern w:val="0"/>
                <w:szCs w:val="21"/>
              </w:rPr>
              <w:t>＊</w:t>
            </w:r>
          </w:p>
        </w:tc>
      </w:tr>
      <w:tr w:rsidR="007D1E74" w14:paraId="1F382AB1" w14:textId="77777777">
        <w:trPr>
          <w:jc w:val="center"/>
        </w:trPr>
        <w:tc>
          <w:tcPr>
            <w:tcW w:w="2107" w:type="dxa"/>
            <w:shd w:val="clear" w:color="auto" w:fill="auto"/>
            <w:noWrap/>
            <w:vAlign w:val="center"/>
          </w:tcPr>
          <w:p w14:paraId="163BFCA4"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73</w:t>
            </w:r>
            <w:r>
              <w:rPr>
                <w:rFonts w:ascii="宋体" w:hAnsi="宋体" w:cs="Times New Roman" w:hint="eastAsia"/>
                <w:color w:val="000000"/>
                <w:kern w:val="0"/>
                <w:szCs w:val="21"/>
              </w:rPr>
              <w:t>）黄石爬鮡</w:t>
            </w:r>
          </w:p>
        </w:tc>
        <w:tc>
          <w:tcPr>
            <w:tcW w:w="3700" w:type="dxa"/>
            <w:shd w:val="clear" w:color="auto" w:fill="auto"/>
            <w:noWrap/>
            <w:vAlign w:val="center"/>
          </w:tcPr>
          <w:p w14:paraId="1657D0BC" w14:textId="77777777" w:rsidR="007D1E74" w:rsidRDefault="00A95641">
            <w:pPr>
              <w:widowControl/>
              <w:jc w:val="left"/>
              <w:rPr>
                <w:rFonts w:cs="Times New Roman"/>
                <w:i/>
                <w:iCs/>
                <w:color w:val="000000"/>
                <w:kern w:val="0"/>
                <w:szCs w:val="21"/>
              </w:rPr>
            </w:pPr>
            <w:r>
              <w:rPr>
                <w:rFonts w:cs="Times New Roman"/>
                <w:i/>
                <w:iCs/>
                <w:color w:val="000000"/>
                <w:kern w:val="0"/>
                <w:szCs w:val="21"/>
              </w:rPr>
              <w:t>Euchiloglanis kishinouyei</w:t>
            </w:r>
            <w:r>
              <w:rPr>
                <w:rFonts w:cs="Times New Roman"/>
                <w:color w:val="000000"/>
                <w:kern w:val="0"/>
                <w:szCs w:val="21"/>
              </w:rPr>
              <w:t xml:space="preserve"> Kimura</w:t>
            </w:r>
          </w:p>
        </w:tc>
        <w:tc>
          <w:tcPr>
            <w:tcW w:w="851" w:type="dxa"/>
            <w:shd w:val="clear" w:color="auto" w:fill="auto"/>
            <w:noWrap/>
            <w:vAlign w:val="center"/>
          </w:tcPr>
          <w:p w14:paraId="41EF75C4"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1A85C642"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19139497" w14:textId="77777777" w:rsidR="007D1E74" w:rsidRDefault="00A95641">
            <w:pPr>
              <w:widowControl/>
              <w:jc w:val="center"/>
              <w:rPr>
                <w:rFonts w:cs="Times New Roman"/>
                <w:color w:val="000000"/>
                <w:kern w:val="0"/>
                <w:szCs w:val="21"/>
              </w:rPr>
            </w:pPr>
            <w:r>
              <w:rPr>
                <w:rFonts w:ascii="宋体" w:hAnsi="宋体" w:cs="Times New Roman" w:hint="eastAsia"/>
                <w:color w:val="000000"/>
                <w:kern w:val="0"/>
                <w:szCs w:val="21"/>
              </w:rPr>
              <w:t>＊</w:t>
            </w:r>
          </w:p>
        </w:tc>
      </w:tr>
      <w:tr w:rsidR="007D1E74" w14:paraId="77175E63" w14:textId="77777777">
        <w:trPr>
          <w:jc w:val="center"/>
        </w:trPr>
        <w:tc>
          <w:tcPr>
            <w:tcW w:w="2107" w:type="dxa"/>
            <w:shd w:val="clear" w:color="auto" w:fill="auto"/>
            <w:noWrap/>
            <w:vAlign w:val="center"/>
          </w:tcPr>
          <w:p w14:paraId="48CA86DE" w14:textId="77777777" w:rsidR="007D1E74" w:rsidRDefault="00A95641">
            <w:pPr>
              <w:widowControl/>
              <w:jc w:val="left"/>
              <w:rPr>
                <w:rFonts w:cs="Times New Roman"/>
                <w:color w:val="000000"/>
                <w:kern w:val="0"/>
                <w:szCs w:val="21"/>
              </w:rPr>
            </w:pPr>
            <w:r>
              <w:rPr>
                <w:rFonts w:cs="Times New Roman"/>
                <w:color w:val="000000"/>
                <w:kern w:val="0"/>
                <w:szCs w:val="21"/>
              </w:rPr>
              <w:t>C</w:t>
            </w:r>
            <w:r>
              <w:rPr>
                <w:rFonts w:ascii="宋体" w:hAnsi="宋体" w:cs="Times New Roman" w:hint="eastAsia"/>
                <w:color w:val="000000"/>
                <w:kern w:val="0"/>
                <w:szCs w:val="21"/>
              </w:rPr>
              <w:t>鳉形目</w:t>
            </w:r>
          </w:p>
        </w:tc>
        <w:tc>
          <w:tcPr>
            <w:tcW w:w="3700" w:type="dxa"/>
            <w:shd w:val="clear" w:color="auto" w:fill="auto"/>
            <w:noWrap/>
            <w:vAlign w:val="center"/>
          </w:tcPr>
          <w:p w14:paraId="1CA4BFD4"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775FDEEF"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33F87C7F"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5ECCEFC6" w14:textId="77777777" w:rsidR="007D1E74" w:rsidRDefault="007D1E74">
            <w:pPr>
              <w:widowControl/>
              <w:jc w:val="center"/>
              <w:rPr>
                <w:rFonts w:cs="Times New Roman"/>
                <w:color w:val="000000"/>
                <w:kern w:val="0"/>
                <w:szCs w:val="21"/>
              </w:rPr>
            </w:pPr>
          </w:p>
        </w:tc>
      </w:tr>
      <w:tr w:rsidR="007D1E74" w14:paraId="7548E66F" w14:textId="77777777">
        <w:trPr>
          <w:jc w:val="center"/>
        </w:trPr>
        <w:tc>
          <w:tcPr>
            <w:tcW w:w="2107" w:type="dxa"/>
            <w:shd w:val="clear" w:color="auto" w:fill="auto"/>
            <w:noWrap/>
            <w:vAlign w:val="center"/>
          </w:tcPr>
          <w:p w14:paraId="568CE58A"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八、青鳉科</w:t>
            </w:r>
          </w:p>
        </w:tc>
        <w:tc>
          <w:tcPr>
            <w:tcW w:w="3700" w:type="dxa"/>
            <w:shd w:val="clear" w:color="auto" w:fill="auto"/>
            <w:noWrap/>
            <w:vAlign w:val="center"/>
          </w:tcPr>
          <w:p w14:paraId="764EB66C"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44B93E87"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11A08D19"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5751B991" w14:textId="77777777" w:rsidR="007D1E74" w:rsidRDefault="007D1E74">
            <w:pPr>
              <w:widowControl/>
              <w:jc w:val="center"/>
              <w:rPr>
                <w:rFonts w:cs="Times New Roman"/>
                <w:color w:val="000000"/>
                <w:kern w:val="0"/>
                <w:szCs w:val="21"/>
              </w:rPr>
            </w:pPr>
          </w:p>
        </w:tc>
      </w:tr>
      <w:tr w:rsidR="007D1E74" w14:paraId="3A87B1C2" w14:textId="77777777">
        <w:trPr>
          <w:jc w:val="center"/>
        </w:trPr>
        <w:tc>
          <w:tcPr>
            <w:tcW w:w="2107" w:type="dxa"/>
            <w:shd w:val="clear" w:color="auto" w:fill="auto"/>
            <w:noWrap/>
            <w:vAlign w:val="center"/>
          </w:tcPr>
          <w:p w14:paraId="08BD2CB5" w14:textId="77777777" w:rsidR="007D1E74" w:rsidRDefault="00A95641">
            <w:pPr>
              <w:widowControl/>
              <w:jc w:val="left"/>
              <w:rPr>
                <w:rFonts w:cs="Times New Roman"/>
                <w:color w:val="000000"/>
                <w:kern w:val="0"/>
                <w:szCs w:val="21"/>
              </w:rPr>
            </w:pPr>
            <w:r>
              <w:rPr>
                <w:rFonts w:cs="Times New Roman"/>
                <w:color w:val="000000"/>
                <w:kern w:val="0"/>
                <w:szCs w:val="21"/>
              </w:rPr>
              <w:t>57</w:t>
            </w:r>
            <w:r>
              <w:rPr>
                <w:rFonts w:ascii="宋体" w:hAnsi="宋体" w:cs="Times New Roman" w:hint="eastAsia"/>
                <w:color w:val="000000"/>
                <w:kern w:val="0"/>
                <w:szCs w:val="21"/>
              </w:rPr>
              <w:t>、青鳉属</w:t>
            </w:r>
          </w:p>
        </w:tc>
        <w:tc>
          <w:tcPr>
            <w:tcW w:w="3700" w:type="dxa"/>
            <w:shd w:val="clear" w:color="auto" w:fill="auto"/>
            <w:noWrap/>
            <w:vAlign w:val="center"/>
          </w:tcPr>
          <w:p w14:paraId="5C68E34F"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3EE53972"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7AD9ABE4"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0BA45619" w14:textId="77777777" w:rsidR="007D1E74" w:rsidRDefault="007D1E74">
            <w:pPr>
              <w:widowControl/>
              <w:jc w:val="center"/>
              <w:rPr>
                <w:rFonts w:cs="Times New Roman"/>
                <w:color w:val="000000"/>
                <w:kern w:val="0"/>
                <w:szCs w:val="21"/>
              </w:rPr>
            </w:pPr>
          </w:p>
        </w:tc>
      </w:tr>
      <w:tr w:rsidR="007D1E74" w14:paraId="409534DB" w14:textId="77777777">
        <w:trPr>
          <w:jc w:val="center"/>
        </w:trPr>
        <w:tc>
          <w:tcPr>
            <w:tcW w:w="2107" w:type="dxa"/>
            <w:shd w:val="clear" w:color="auto" w:fill="auto"/>
            <w:noWrap/>
            <w:vAlign w:val="center"/>
          </w:tcPr>
          <w:p w14:paraId="02BB2D8E"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74</w:t>
            </w:r>
            <w:r>
              <w:rPr>
                <w:rFonts w:ascii="宋体" w:hAnsi="宋体" w:cs="Times New Roman" w:hint="eastAsia"/>
                <w:color w:val="000000"/>
                <w:kern w:val="0"/>
                <w:szCs w:val="21"/>
              </w:rPr>
              <w:t>）青鳉</w:t>
            </w:r>
          </w:p>
        </w:tc>
        <w:tc>
          <w:tcPr>
            <w:tcW w:w="3700" w:type="dxa"/>
            <w:shd w:val="clear" w:color="auto" w:fill="auto"/>
            <w:noWrap/>
            <w:vAlign w:val="center"/>
          </w:tcPr>
          <w:p w14:paraId="61CF5E66" w14:textId="77777777" w:rsidR="007D1E74" w:rsidRDefault="00A95641">
            <w:pPr>
              <w:widowControl/>
              <w:jc w:val="left"/>
              <w:rPr>
                <w:rFonts w:cs="Times New Roman"/>
                <w:i/>
                <w:iCs/>
                <w:color w:val="000000"/>
                <w:kern w:val="0"/>
                <w:szCs w:val="21"/>
              </w:rPr>
            </w:pPr>
            <w:r>
              <w:rPr>
                <w:rFonts w:cs="Times New Roman"/>
                <w:i/>
                <w:iCs/>
                <w:color w:val="000000"/>
                <w:kern w:val="0"/>
                <w:szCs w:val="21"/>
                <w:lang w:val="nl-BE"/>
              </w:rPr>
              <w:t>Oryzias latipes</w:t>
            </w:r>
            <w:r>
              <w:rPr>
                <w:rFonts w:cs="Times New Roman"/>
                <w:color w:val="000000"/>
                <w:kern w:val="0"/>
                <w:szCs w:val="21"/>
                <w:lang w:val="nl-BE"/>
              </w:rPr>
              <w:t xml:space="preserve"> (Temminck </w:t>
            </w:r>
            <w:r>
              <w:rPr>
                <w:rFonts w:cs="Times New Roman"/>
                <w:i/>
                <w:iCs/>
                <w:color w:val="000000"/>
                <w:kern w:val="0"/>
                <w:szCs w:val="21"/>
                <w:lang w:val="nl-BE"/>
              </w:rPr>
              <w:t>et</w:t>
            </w:r>
            <w:r>
              <w:rPr>
                <w:rFonts w:cs="Times New Roman"/>
                <w:color w:val="000000"/>
                <w:kern w:val="0"/>
                <w:szCs w:val="21"/>
                <w:lang w:val="nl-BE"/>
              </w:rPr>
              <w:t xml:space="preserve"> Schlegel)</w:t>
            </w:r>
          </w:p>
        </w:tc>
        <w:tc>
          <w:tcPr>
            <w:tcW w:w="851" w:type="dxa"/>
            <w:shd w:val="clear" w:color="auto" w:fill="auto"/>
            <w:noWrap/>
            <w:vAlign w:val="center"/>
          </w:tcPr>
          <w:p w14:paraId="6B6569A3"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2C92895A"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0CAC1458" w14:textId="77777777" w:rsidR="007D1E74" w:rsidRDefault="007D1E74">
            <w:pPr>
              <w:widowControl/>
              <w:jc w:val="center"/>
              <w:rPr>
                <w:rFonts w:cs="Times New Roman"/>
                <w:color w:val="000000"/>
                <w:kern w:val="0"/>
                <w:szCs w:val="21"/>
              </w:rPr>
            </w:pPr>
          </w:p>
        </w:tc>
      </w:tr>
      <w:tr w:rsidR="007D1E74" w14:paraId="7E7347EA" w14:textId="77777777">
        <w:trPr>
          <w:jc w:val="center"/>
        </w:trPr>
        <w:tc>
          <w:tcPr>
            <w:tcW w:w="2107" w:type="dxa"/>
            <w:shd w:val="clear" w:color="auto" w:fill="auto"/>
            <w:noWrap/>
            <w:vAlign w:val="center"/>
          </w:tcPr>
          <w:p w14:paraId="37199AF0" w14:textId="77777777" w:rsidR="007D1E74" w:rsidRDefault="00A95641">
            <w:pPr>
              <w:widowControl/>
              <w:jc w:val="left"/>
              <w:rPr>
                <w:rFonts w:cs="Times New Roman"/>
                <w:color w:val="000000"/>
                <w:kern w:val="0"/>
                <w:szCs w:val="21"/>
              </w:rPr>
            </w:pPr>
            <w:r>
              <w:rPr>
                <w:rFonts w:cs="Times New Roman"/>
                <w:color w:val="000000"/>
                <w:kern w:val="0"/>
                <w:szCs w:val="21"/>
              </w:rPr>
              <w:t>D</w:t>
            </w:r>
            <w:r>
              <w:rPr>
                <w:rFonts w:ascii="宋体" w:hAnsi="宋体" w:cs="Times New Roman" w:hint="eastAsia"/>
                <w:color w:val="000000"/>
                <w:kern w:val="0"/>
                <w:szCs w:val="21"/>
              </w:rPr>
              <w:t>合鳃目</w:t>
            </w:r>
          </w:p>
        </w:tc>
        <w:tc>
          <w:tcPr>
            <w:tcW w:w="3700" w:type="dxa"/>
            <w:shd w:val="clear" w:color="auto" w:fill="auto"/>
            <w:noWrap/>
            <w:vAlign w:val="center"/>
          </w:tcPr>
          <w:p w14:paraId="6C59B9CF"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493A251F"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56AEF7E4"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1168D9AC" w14:textId="77777777" w:rsidR="007D1E74" w:rsidRDefault="007D1E74">
            <w:pPr>
              <w:widowControl/>
              <w:jc w:val="center"/>
              <w:rPr>
                <w:rFonts w:cs="Times New Roman"/>
                <w:color w:val="000000"/>
                <w:kern w:val="0"/>
                <w:szCs w:val="21"/>
              </w:rPr>
            </w:pPr>
          </w:p>
        </w:tc>
      </w:tr>
      <w:tr w:rsidR="007D1E74" w14:paraId="6DF9E387" w14:textId="77777777">
        <w:trPr>
          <w:jc w:val="center"/>
        </w:trPr>
        <w:tc>
          <w:tcPr>
            <w:tcW w:w="2107" w:type="dxa"/>
            <w:shd w:val="clear" w:color="auto" w:fill="auto"/>
            <w:noWrap/>
            <w:vAlign w:val="center"/>
          </w:tcPr>
          <w:p w14:paraId="279AD133"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九、合鳃科</w:t>
            </w:r>
          </w:p>
        </w:tc>
        <w:tc>
          <w:tcPr>
            <w:tcW w:w="3700" w:type="dxa"/>
            <w:shd w:val="clear" w:color="auto" w:fill="auto"/>
            <w:noWrap/>
            <w:vAlign w:val="center"/>
          </w:tcPr>
          <w:p w14:paraId="7958484C"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4ADA8358"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3BEDAB00"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27C5E549" w14:textId="77777777" w:rsidR="007D1E74" w:rsidRDefault="007D1E74">
            <w:pPr>
              <w:widowControl/>
              <w:jc w:val="center"/>
              <w:rPr>
                <w:rFonts w:cs="Times New Roman"/>
                <w:color w:val="000000"/>
                <w:kern w:val="0"/>
                <w:szCs w:val="21"/>
              </w:rPr>
            </w:pPr>
          </w:p>
        </w:tc>
      </w:tr>
      <w:tr w:rsidR="007D1E74" w14:paraId="087CA31E" w14:textId="77777777">
        <w:trPr>
          <w:jc w:val="center"/>
        </w:trPr>
        <w:tc>
          <w:tcPr>
            <w:tcW w:w="2107" w:type="dxa"/>
            <w:shd w:val="clear" w:color="auto" w:fill="auto"/>
            <w:noWrap/>
            <w:vAlign w:val="center"/>
          </w:tcPr>
          <w:p w14:paraId="269AB339" w14:textId="77777777" w:rsidR="007D1E74" w:rsidRDefault="00A95641">
            <w:pPr>
              <w:widowControl/>
              <w:jc w:val="left"/>
              <w:rPr>
                <w:rFonts w:cs="Times New Roman"/>
                <w:color w:val="000000"/>
                <w:kern w:val="0"/>
                <w:szCs w:val="21"/>
              </w:rPr>
            </w:pPr>
            <w:r>
              <w:rPr>
                <w:rFonts w:cs="Times New Roman"/>
                <w:color w:val="000000"/>
                <w:kern w:val="0"/>
                <w:szCs w:val="21"/>
              </w:rPr>
              <w:t>58</w:t>
            </w:r>
            <w:r>
              <w:rPr>
                <w:rFonts w:ascii="宋体" w:hAnsi="宋体" w:cs="Times New Roman" w:hint="eastAsia"/>
                <w:color w:val="000000"/>
                <w:kern w:val="0"/>
                <w:szCs w:val="21"/>
              </w:rPr>
              <w:t>、黄鳝属</w:t>
            </w:r>
          </w:p>
        </w:tc>
        <w:tc>
          <w:tcPr>
            <w:tcW w:w="3700" w:type="dxa"/>
            <w:shd w:val="clear" w:color="auto" w:fill="auto"/>
            <w:noWrap/>
            <w:vAlign w:val="center"/>
          </w:tcPr>
          <w:p w14:paraId="17DA4AE1"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2C7763EB"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7B410177"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07E21CEF" w14:textId="77777777" w:rsidR="007D1E74" w:rsidRDefault="007D1E74">
            <w:pPr>
              <w:widowControl/>
              <w:jc w:val="center"/>
              <w:rPr>
                <w:rFonts w:cs="Times New Roman"/>
                <w:color w:val="000000"/>
                <w:kern w:val="0"/>
                <w:szCs w:val="21"/>
              </w:rPr>
            </w:pPr>
          </w:p>
        </w:tc>
      </w:tr>
      <w:tr w:rsidR="007D1E74" w14:paraId="24FBB495" w14:textId="77777777">
        <w:trPr>
          <w:jc w:val="center"/>
        </w:trPr>
        <w:tc>
          <w:tcPr>
            <w:tcW w:w="2107" w:type="dxa"/>
            <w:shd w:val="clear" w:color="auto" w:fill="auto"/>
            <w:noWrap/>
            <w:vAlign w:val="center"/>
          </w:tcPr>
          <w:p w14:paraId="308A6268"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75</w:t>
            </w:r>
            <w:r>
              <w:rPr>
                <w:rFonts w:ascii="宋体" w:hAnsi="宋体" w:cs="Times New Roman" w:hint="eastAsia"/>
                <w:color w:val="000000"/>
                <w:kern w:val="0"/>
                <w:szCs w:val="21"/>
              </w:rPr>
              <w:t>）黄鳝</w:t>
            </w:r>
          </w:p>
        </w:tc>
        <w:tc>
          <w:tcPr>
            <w:tcW w:w="3700" w:type="dxa"/>
            <w:shd w:val="clear" w:color="auto" w:fill="auto"/>
            <w:noWrap/>
            <w:vAlign w:val="center"/>
          </w:tcPr>
          <w:p w14:paraId="47EE0593" w14:textId="77777777" w:rsidR="007D1E74" w:rsidRDefault="00A95641">
            <w:pPr>
              <w:widowControl/>
              <w:jc w:val="left"/>
              <w:rPr>
                <w:rFonts w:cs="Times New Roman"/>
                <w:i/>
                <w:iCs/>
                <w:color w:val="000000"/>
                <w:kern w:val="0"/>
                <w:szCs w:val="21"/>
              </w:rPr>
            </w:pPr>
            <w:r>
              <w:rPr>
                <w:rFonts w:cs="Times New Roman"/>
                <w:i/>
                <w:iCs/>
                <w:color w:val="000000"/>
                <w:kern w:val="0"/>
                <w:szCs w:val="21"/>
              </w:rPr>
              <w:t>Monopterus albus</w:t>
            </w:r>
            <w:r>
              <w:rPr>
                <w:rFonts w:cs="Times New Roman"/>
                <w:color w:val="000000"/>
                <w:kern w:val="0"/>
                <w:szCs w:val="21"/>
              </w:rPr>
              <w:t xml:space="preserve"> (Zuiew)</w:t>
            </w:r>
          </w:p>
        </w:tc>
        <w:tc>
          <w:tcPr>
            <w:tcW w:w="851" w:type="dxa"/>
            <w:shd w:val="clear" w:color="auto" w:fill="auto"/>
            <w:noWrap/>
            <w:vAlign w:val="center"/>
          </w:tcPr>
          <w:p w14:paraId="1158B16C"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129B279F"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654BB8C1" w14:textId="77777777" w:rsidR="007D1E74" w:rsidRDefault="007D1E74">
            <w:pPr>
              <w:widowControl/>
              <w:jc w:val="center"/>
              <w:rPr>
                <w:rFonts w:cs="Times New Roman"/>
                <w:color w:val="000000"/>
                <w:kern w:val="0"/>
                <w:szCs w:val="21"/>
              </w:rPr>
            </w:pPr>
          </w:p>
        </w:tc>
      </w:tr>
      <w:tr w:rsidR="007D1E74" w14:paraId="6AFA63B8" w14:textId="77777777">
        <w:trPr>
          <w:jc w:val="center"/>
        </w:trPr>
        <w:tc>
          <w:tcPr>
            <w:tcW w:w="2107" w:type="dxa"/>
            <w:shd w:val="clear" w:color="auto" w:fill="auto"/>
            <w:noWrap/>
            <w:vAlign w:val="center"/>
          </w:tcPr>
          <w:p w14:paraId="674B8441" w14:textId="77777777" w:rsidR="007D1E74" w:rsidRDefault="00A95641">
            <w:pPr>
              <w:widowControl/>
              <w:jc w:val="left"/>
              <w:rPr>
                <w:rFonts w:cs="Times New Roman"/>
                <w:color w:val="000000"/>
                <w:kern w:val="0"/>
                <w:szCs w:val="21"/>
              </w:rPr>
            </w:pPr>
            <w:r>
              <w:rPr>
                <w:rFonts w:cs="Times New Roman"/>
                <w:color w:val="000000"/>
                <w:kern w:val="0"/>
                <w:szCs w:val="21"/>
              </w:rPr>
              <w:t>E</w:t>
            </w:r>
            <w:r>
              <w:rPr>
                <w:rFonts w:ascii="宋体" w:hAnsi="宋体" w:cs="Times New Roman" w:hint="eastAsia"/>
                <w:color w:val="000000"/>
                <w:kern w:val="0"/>
                <w:szCs w:val="21"/>
              </w:rPr>
              <w:t>鲈形目</w:t>
            </w:r>
          </w:p>
        </w:tc>
        <w:tc>
          <w:tcPr>
            <w:tcW w:w="3700" w:type="dxa"/>
            <w:shd w:val="clear" w:color="auto" w:fill="auto"/>
            <w:noWrap/>
            <w:vAlign w:val="center"/>
          </w:tcPr>
          <w:p w14:paraId="571DA06E"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26A08E9A"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788B8056"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1AC74DA5" w14:textId="77777777" w:rsidR="007D1E74" w:rsidRDefault="007D1E74">
            <w:pPr>
              <w:widowControl/>
              <w:jc w:val="center"/>
              <w:rPr>
                <w:rFonts w:cs="Times New Roman"/>
                <w:color w:val="000000"/>
                <w:kern w:val="0"/>
                <w:szCs w:val="21"/>
              </w:rPr>
            </w:pPr>
          </w:p>
        </w:tc>
      </w:tr>
      <w:tr w:rsidR="007D1E74" w14:paraId="496BA1DF" w14:textId="77777777">
        <w:trPr>
          <w:jc w:val="center"/>
        </w:trPr>
        <w:tc>
          <w:tcPr>
            <w:tcW w:w="2107" w:type="dxa"/>
            <w:shd w:val="clear" w:color="auto" w:fill="auto"/>
            <w:noWrap/>
            <w:vAlign w:val="center"/>
          </w:tcPr>
          <w:p w14:paraId="22D06D33"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十、鮨科</w:t>
            </w:r>
          </w:p>
        </w:tc>
        <w:tc>
          <w:tcPr>
            <w:tcW w:w="3700" w:type="dxa"/>
            <w:shd w:val="clear" w:color="auto" w:fill="auto"/>
            <w:noWrap/>
            <w:vAlign w:val="center"/>
          </w:tcPr>
          <w:p w14:paraId="30FA11F9"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04904C23"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2EC5838D"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6A5491D6" w14:textId="77777777" w:rsidR="007D1E74" w:rsidRDefault="007D1E74">
            <w:pPr>
              <w:widowControl/>
              <w:jc w:val="center"/>
              <w:rPr>
                <w:rFonts w:cs="Times New Roman"/>
                <w:color w:val="000000"/>
                <w:kern w:val="0"/>
                <w:szCs w:val="21"/>
              </w:rPr>
            </w:pPr>
          </w:p>
        </w:tc>
      </w:tr>
      <w:tr w:rsidR="007D1E74" w14:paraId="62C411F2" w14:textId="77777777">
        <w:trPr>
          <w:jc w:val="center"/>
        </w:trPr>
        <w:tc>
          <w:tcPr>
            <w:tcW w:w="2107" w:type="dxa"/>
            <w:shd w:val="clear" w:color="auto" w:fill="auto"/>
            <w:noWrap/>
            <w:vAlign w:val="center"/>
          </w:tcPr>
          <w:p w14:paraId="412DCDC4" w14:textId="77777777" w:rsidR="007D1E74" w:rsidRDefault="00A95641">
            <w:pPr>
              <w:widowControl/>
              <w:jc w:val="left"/>
              <w:rPr>
                <w:rFonts w:cs="Times New Roman"/>
                <w:color w:val="000000"/>
                <w:kern w:val="0"/>
                <w:szCs w:val="21"/>
              </w:rPr>
            </w:pPr>
            <w:r>
              <w:rPr>
                <w:rFonts w:cs="Times New Roman"/>
                <w:color w:val="000000"/>
                <w:kern w:val="0"/>
                <w:szCs w:val="21"/>
              </w:rPr>
              <w:t>59</w:t>
            </w:r>
            <w:r>
              <w:rPr>
                <w:rFonts w:ascii="宋体" w:hAnsi="宋体" w:cs="Times New Roman" w:hint="eastAsia"/>
                <w:color w:val="000000"/>
                <w:kern w:val="0"/>
                <w:szCs w:val="21"/>
              </w:rPr>
              <w:t>、鳜属</w:t>
            </w:r>
          </w:p>
        </w:tc>
        <w:tc>
          <w:tcPr>
            <w:tcW w:w="3700" w:type="dxa"/>
            <w:shd w:val="clear" w:color="auto" w:fill="auto"/>
            <w:noWrap/>
            <w:vAlign w:val="center"/>
          </w:tcPr>
          <w:p w14:paraId="153BA54F"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2C4177A8"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66982519"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75D40B57" w14:textId="77777777" w:rsidR="007D1E74" w:rsidRDefault="007D1E74">
            <w:pPr>
              <w:widowControl/>
              <w:jc w:val="center"/>
              <w:rPr>
                <w:rFonts w:cs="Times New Roman"/>
                <w:color w:val="000000"/>
                <w:kern w:val="0"/>
                <w:szCs w:val="21"/>
              </w:rPr>
            </w:pPr>
          </w:p>
        </w:tc>
      </w:tr>
      <w:tr w:rsidR="007D1E74" w14:paraId="0FF4EA37" w14:textId="77777777">
        <w:trPr>
          <w:jc w:val="center"/>
        </w:trPr>
        <w:tc>
          <w:tcPr>
            <w:tcW w:w="2107" w:type="dxa"/>
            <w:shd w:val="clear" w:color="auto" w:fill="auto"/>
            <w:noWrap/>
            <w:vAlign w:val="center"/>
          </w:tcPr>
          <w:p w14:paraId="16F16F2C"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76</w:t>
            </w:r>
            <w:r>
              <w:rPr>
                <w:rFonts w:ascii="宋体" w:hAnsi="宋体" w:cs="Times New Roman" w:hint="eastAsia"/>
                <w:color w:val="000000"/>
                <w:kern w:val="0"/>
                <w:szCs w:val="21"/>
              </w:rPr>
              <w:t>）鳜</w:t>
            </w:r>
          </w:p>
        </w:tc>
        <w:tc>
          <w:tcPr>
            <w:tcW w:w="3700" w:type="dxa"/>
            <w:shd w:val="clear" w:color="auto" w:fill="auto"/>
            <w:noWrap/>
            <w:vAlign w:val="center"/>
          </w:tcPr>
          <w:p w14:paraId="4742A0EF" w14:textId="77777777" w:rsidR="007D1E74" w:rsidRDefault="00A95641">
            <w:pPr>
              <w:widowControl/>
              <w:jc w:val="left"/>
              <w:rPr>
                <w:rFonts w:cs="Times New Roman"/>
                <w:i/>
                <w:iCs/>
                <w:color w:val="000000"/>
                <w:kern w:val="0"/>
                <w:szCs w:val="21"/>
              </w:rPr>
            </w:pPr>
            <w:r>
              <w:rPr>
                <w:rFonts w:cs="Times New Roman"/>
                <w:i/>
                <w:iCs/>
                <w:color w:val="000000"/>
                <w:kern w:val="0"/>
                <w:szCs w:val="21"/>
              </w:rPr>
              <w:t>Siniperca chuatsi</w:t>
            </w:r>
            <w:r>
              <w:rPr>
                <w:rFonts w:cs="Times New Roman"/>
                <w:color w:val="000000"/>
                <w:kern w:val="0"/>
                <w:szCs w:val="21"/>
              </w:rPr>
              <w:t xml:space="preserve"> (Basilewsky)</w:t>
            </w:r>
          </w:p>
        </w:tc>
        <w:tc>
          <w:tcPr>
            <w:tcW w:w="851" w:type="dxa"/>
            <w:shd w:val="clear" w:color="auto" w:fill="auto"/>
            <w:noWrap/>
            <w:vAlign w:val="center"/>
          </w:tcPr>
          <w:p w14:paraId="6224C245"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373DBBEA"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565EDA98" w14:textId="77777777" w:rsidR="007D1E74" w:rsidRDefault="007D1E74">
            <w:pPr>
              <w:widowControl/>
              <w:jc w:val="center"/>
              <w:rPr>
                <w:rFonts w:cs="Times New Roman"/>
                <w:color w:val="000000"/>
                <w:kern w:val="0"/>
                <w:szCs w:val="21"/>
              </w:rPr>
            </w:pPr>
          </w:p>
        </w:tc>
      </w:tr>
      <w:tr w:rsidR="007D1E74" w14:paraId="3F552E54" w14:textId="77777777">
        <w:trPr>
          <w:jc w:val="center"/>
        </w:trPr>
        <w:tc>
          <w:tcPr>
            <w:tcW w:w="2107" w:type="dxa"/>
            <w:shd w:val="clear" w:color="auto" w:fill="auto"/>
            <w:noWrap/>
            <w:vAlign w:val="center"/>
          </w:tcPr>
          <w:p w14:paraId="41C9F029"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77</w:t>
            </w:r>
            <w:r>
              <w:rPr>
                <w:rFonts w:ascii="宋体" w:hAnsi="宋体" w:cs="Times New Roman" w:hint="eastAsia"/>
                <w:color w:val="000000"/>
                <w:kern w:val="0"/>
                <w:szCs w:val="21"/>
              </w:rPr>
              <w:t>）大眼鳜</w:t>
            </w:r>
          </w:p>
        </w:tc>
        <w:tc>
          <w:tcPr>
            <w:tcW w:w="3700" w:type="dxa"/>
            <w:shd w:val="clear" w:color="auto" w:fill="auto"/>
            <w:noWrap/>
            <w:vAlign w:val="center"/>
          </w:tcPr>
          <w:p w14:paraId="7B0F26DD" w14:textId="77777777" w:rsidR="007D1E74" w:rsidRDefault="00A95641">
            <w:pPr>
              <w:widowControl/>
              <w:jc w:val="left"/>
              <w:rPr>
                <w:rFonts w:cs="Times New Roman"/>
                <w:i/>
                <w:iCs/>
                <w:color w:val="000000"/>
                <w:kern w:val="0"/>
                <w:szCs w:val="21"/>
              </w:rPr>
            </w:pPr>
            <w:r>
              <w:rPr>
                <w:rFonts w:cs="Times New Roman"/>
                <w:i/>
                <w:iCs/>
                <w:color w:val="000000"/>
                <w:kern w:val="0"/>
                <w:szCs w:val="21"/>
              </w:rPr>
              <w:t>Siniperca kneri</w:t>
            </w:r>
            <w:r>
              <w:rPr>
                <w:rFonts w:cs="Times New Roman"/>
                <w:color w:val="000000"/>
                <w:kern w:val="0"/>
                <w:szCs w:val="21"/>
              </w:rPr>
              <w:t xml:space="preserve"> Garman</w:t>
            </w:r>
          </w:p>
        </w:tc>
        <w:tc>
          <w:tcPr>
            <w:tcW w:w="851" w:type="dxa"/>
            <w:shd w:val="clear" w:color="auto" w:fill="auto"/>
            <w:noWrap/>
            <w:vAlign w:val="center"/>
          </w:tcPr>
          <w:p w14:paraId="0F52E18D"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79A39C09"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14A5FFDB" w14:textId="77777777" w:rsidR="007D1E74" w:rsidRDefault="007D1E74">
            <w:pPr>
              <w:widowControl/>
              <w:jc w:val="center"/>
              <w:rPr>
                <w:rFonts w:cs="Times New Roman"/>
                <w:color w:val="000000"/>
                <w:kern w:val="0"/>
                <w:szCs w:val="21"/>
              </w:rPr>
            </w:pPr>
          </w:p>
        </w:tc>
      </w:tr>
      <w:tr w:rsidR="007D1E74" w14:paraId="67274E19" w14:textId="77777777">
        <w:trPr>
          <w:jc w:val="center"/>
        </w:trPr>
        <w:tc>
          <w:tcPr>
            <w:tcW w:w="2107" w:type="dxa"/>
            <w:shd w:val="clear" w:color="auto" w:fill="auto"/>
            <w:noWrap/>
            <w:vAlign w:val="center"/>
          </w:tcPr>
          <w:p w14:paraId="41DF2814"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78</w:t>
            </w:r>
            <w:r>
              <w:rPr>
                <w:rFonts w:ascii="宋体" w:hAnsi="宋体" w:cs="Times New Roman" w:hint="eastAsia"/>
                <w:color w:val="000000"/>
                <w:kern w:val="0"/>
                <w:szCs w:val="21"/>
              </w:rPr>
              <w:t>）斑鳜</w:t>
            </w:r>
          </w:p>
        </w:tc>
        <w:tc>
          <w:tcPr>
            <w:tcW w:w="3700" w:type="dxa"/>
            <w:shd w:val="clear" w:color="auto" w:fill="auto"/>
            <w:noWrap/>
            <w:vAlign w:val="center"/>
          </w:tcPr>
          <w:p w14:paraId="29115FC2" w14:textId="77777777" w:rsidR="007D1E74" w:rsidRDefault="00A95641">
            <w:pPr>
              <w:widowControl/>
              <w:jc w:val="left"/>
              <w:rPr>
                <w:rFonts w:cs="Times New Roman"/>
                <w:i/>
                <w:iCs/>
                <w:color w:val="000000"/>
                <w:kern w:val="0"/>
                <w:szCs w:val="21"/>
              </w:rPr>
            </w:pPr>
            <w:r>
              <w:rPr>
                <w:rFonts w:cs="Times New Roman"/>
                <w:i/>
                <w:iCs/>
                <w:color w:val="000000"/>
                <w:kern w:val="0"/>
                <w:szCs w:val="21"/>
              </w:rPr>
              <w:t>Siniperca scherzeri</w:t>
            </w:r>
            <w:r>
              <w:rPr>
                <w:rFonts w:cs="Times New Roman"/>
                <w:color w:val="000000"/>
                <w:kern w:val="0"/>
                <w:szCs w:val="21"/>
              </w:rPr>
              <w:t xml:space="preserve"> Steindachner</w:t>
            </w:r>
          </w:p>
        </w:tc>
        <w:tc>
          <w:tcPr>
            <w:tcW w:w="851" w:type="dxa"/>
            <w:shd w:val="clear" w:color="auto" w:fill="auto"/>
            <w:noWrap/>
            <w:vAlign w:val="center"/>
          </w:tcPr>
          <w:p w14:paraId="1A935CD0"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225C480B"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4944957A" w14:textId="77777777" w:rsidR="007D1E74" w:rsidRDefault="007D1E74">
            <w:pPr>
              <w:widowControl/>
              <w:jc w:val="center"/>
              <w:rPr>
                <w:rFonts w:cs="Times New Roman"/>
                <w:color w:val="000000"/>
                <w:kern w:val="0"/>
                <w:szCs w:val="21"/>
              </w:rPr>
            </w:pPr>
          </w:p>
        </w:tc>
      </w:tr>
      <w:tr w:rsidR="007D1E74" w14:paraId="675C7DCC" w14:textId="77777777">
        <w:trPr>
          <w:jc w:val="center"/>
        </w:trPr>
        <w:tc>
          <w:tcPr>
            <w:tcW w:w="2107" w:type="dxa"/>
            <w:shd w:val="clear" w:color="auto" w:fill="auto"/>
            <w:noWrap/>
            <w:vAlign w:val="center"/>
          </w:tcPr>
          <w:p w14:paraId="69EBFAAF"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十一、塘鳢科</w:t>
            </w:r>
          </w:p>
        </w:tc>
        <w:tc>
          <w:tcPr>
            <w:tcW w:w="3700" w:type="dxa"/>
            <w:shd w:val="clear" w:color="auto" w:fill="auto"/>
            <w:noWrap/>
            <w:vAlign w:val="center"/>
          </w:tcPr>
          <w:p w14:paraId="1CFCF11B"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2EBA5102"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3CC2760B"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0B37664E" w14:textId="77777777" w:rsidR="007D1E74" w:rsidRDefault="007D1E74">
            <w:pPr>
              <w:widowControl/>
              <w:jc w:val="center"/>
              <w:rPr>
                <w:rFonts w:cs="Times New Roman"/>
                <w:color w:val="000000"/>
                <w:kern w:val="0"/>
                <w:szCs w:val="21"/>
              </w:rPr>
            </w:pPr>
          </w:p>
        </w:tc>
      </w:tr>
      <w:tr w:rsidR="007D1E74" w14:paraId="2E5B3E6C" w14:textId="77777777">
        <w:trPr>
          <w:jc w:val="center"/>
        </w:trPr>
        <w:tc>
          <w:tcPr>
            <w:tcW w:w="2107" w:type="dxa"/>
            <w:shd w:val="clear" w:color="auto" w:fill="auto"/>
            <w:noWrap/>
            <w:vAlign w:val="center"/>
          </w:tcPr>
          <w:p w14:paraId="6252F58A" w14:textId="77777777" w:rsidR="007D1E74" w:rsidRDefault="00A95641">
            <w:pPr>
              <w:widowControl/>
              <w:jc w:val="left"/>
              <w:rPr>
                <w:rFonts w:cs="Times New Roman"/>
                <w:color w:val="000000"/>
                <w:kern w:val="0"/>
                <w:szCs w:val="21"/>
              </w:rPr>
            </w:pPr>
            <w:r>
              <w:rPr>
                <w:rFonts w:cs="Times New Roman"/>
                <w:color w:val="000000"/>
                <w:kern w:val="0"/>
                <w:szCs w:val="21"/>
              </w:rPr>
              <w:t>60</w:t>
            </w:r>
            <w:r>
              <w:rPr>
                <w:rFonts w:ascii="宋体" w:hAnsi="宋体" w:cs="Times New Roman" w:hint="eastAsia"/>
                <w:color w:val="000000"/>
                <w:kern w:val="0"/>
                <w:szCs w:val="21"/>
              </w:rPr>
              <w:t>、黄䱂属</w:t>
            </w:r>
          </w:p>
        </w:tc>
        <w:tc>
          <w:tcPr>
            <w:tcW w:w="3700" w:type="dxa"/>
            <w:shd w:val="clear" w:color="auto" w:fill="auto"/>
            <w:noWrap/>
            <w:vAlign w:val="center"/>
          </w:tcPr>
          <w:p w14:paraId="23A2A7B2"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3208151B"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7B1E848C"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5CCFE399" w14:textId="77777777" w:rsidR="007D1E74" w:rsidRDefault="007D1E74">
            <w:pPr>
              <w:widowControl/>
              <w:jc w:val="center"/>
              <w:rPr>
                <w:rFonts w:cs="Times New Roman"/>
                <w:color w:val="000000"/>
                <w:kern w:val="0"/>
                <w:szCs w:val="21"/>
              </w:rPr>
            </w:pPr>
          </w:p>
        </w:tc>
      </w:tr>
      <w:tr w:rsidR="007D1E74" w14:paraId="56DC30FE" w14:textId="77777777">
        <w:trPr>
          <w:jc w:val="center"/>
        </w:trPr>
        <w:tc>
          <w:tcPr>
            <w:tcW w:w="2107" w:type="dxa"/>
            <w:shd w:val="clear" w:color="auto" w:fill="auto"/>
            <w:noWrap/>
            <w:vAlign w:val="center"/>
          </w:tcPr>
          <w:p w14:paraId="7D7686E7"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79</w:t>
            </w:r>
            <w:r>
              <w:rPr>
                <w:rFonts w:ascii="宋体" w:hAnsi="宋体" w:cs="Times New Roman" w:hint="eastAsia"/>
                <w:color w:val="000000"/>
                <w:kern w:val="0"/>
                <w:szCs w:val="21"/>
              </w:rPr>
              <w:t>）黄䱂</w:t>
            </w:r>
          </w:p>
        </w:tc>
        <w:tc>
          <w:tcPr>
            <w:tcW w:w="3700" w:type="dxa"/>
            <w:shd w:val="clear" w:color="auto" w:fill="auto"/>
            <w:noWrap/>
            <w:vAlign w:val="center"/>
          </w:tcPr>
          <w:p w14:paraId="47224BAC" w14:textId="77777777" w:rsidR="007D1E74" w:rsidRDefault="00A95641">
            <w:pPr>
              <w:widowControl/>
              <w:jc w:val="left"/>
              <w:rPr>
                <w:rFonts w:cs="Times New Roman"/>
                <w:i/>
                <w:iCs/>
                <w:color w:val="000000"/>
                <w:kern w:val="0"/>
                <w:szCs w:val="21"/>
              </w:rPr>
            </w:pPr>
            <w:r>
              <w:rPr>
                <w:rFonts w:cs="Times New Roman"/>
                <w:i/>
                <w:iCs/>
                <w:color w:val="000000"/>
                <w:kern w:val="0"/>
                <w:szCs w:val="21"/>
                <w:lang w:val="nl-BE"/>
              </w:rPr>
              <w:t>Hypseleotris swinhonis</w:t>
            </w:r>
            <w:r>
              <w:rPr>
                <w:rFonts w:cs="Times New Roman"/>
                <w:color w:val="000000"/>
                <w:kern w:val="0"/>
                <w:szCs w:val="21"/>
                <w:lang w:val="nl-BE"/>
              </w:rPr>
              <w:t xml:space="preserve"> (Günther)</w:t>
            </w:r>
          </w:p>
        </w:tc>
        <w:tc>
          <w:tcPr>
            <w:tcW w:w="851" w:type="dxa"/>
            <w:shd w:val="clear" w:color="auto" w:fill="auto"/>
            <w:noWrap/>
            <w:vAlign w:val="center"/>
          </w:tcPr>
          <w:p w14:paraId="09BDD3CA"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527298BD"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115A78E2" w14:textId="77777777" w:rsidR="007D1E74" w:rsidRDefault="007D1E74">
            <w:pPr>
              <w:widowControl/>
              <w:jc w:val="center"/>
              <w:rPr>
                <w:rFonts w:cs="Times New Roman"/>
                <w:color w:val="000000"/>
                <w:kern w:val="0"/>
                <w:szCs w:val="21"/>
              </w:rPr>
            </w:pPr>
          </w:p>
        </w:tc>
      </w:tr>
      <w:tr w:rsidR="007D1E74" w14:paraId="2C05A6FE" w14:textId="77777777">
        <w:trPr>
          <w:jc w:val="center"/>
        </w:trPr>
        <w:tc>
          <w:tcPr>
            <w:tcW w:w="2107" w:type="dxa"/>
            <w:shd w:val="clear" w:color="auto" w:fill="auto"/>
            <w:noWrap/>
            <w:vAlign w:val="center"/>
          </w:tcPr>
          <w:p w14:paraId="585077A2"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十二、鰕虎鱼科</w:t>
            </w:r>
          </w:p>
        </w:tc>
        <w:tc>
          <w:tcPr>
            <w:tcW w:w="3700" w:type="dxa"/>
            <w:shd w:val="clear" w:color="auto" w:fill="auto"/>
            <w:noWrap/>
            <w:vAlign w:val="center"/>
          </w:tcPr>
          <w:p w14:paraId="220A6941"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0474AF92"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0B80160F"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4BDB02C2" w14:textId="77777777" w:rsidR="007D1E74" w:rsidRDefault="007D1E74">
            <w:pPr>
              <w:widowControl/>
              <w:jc w:val="center"/>
              <w:rPr>
                <w:rFonts w:cs="Times New Roman"/>
                <w:color w:val="000000"/>
                <w:kern w:val="0"/>
                <w:szCs w:val="21"/>
              </w:rPr>
            </w:pPr>
          </w:p>
        </w:tc>
      </w:tr>
      <w:tr w:rsidR="007D1E74" w14:paraId="5DEA77F3" w14:textId="77777777">
        <w:trPr>
          <w:jc w:val="center"/>
        </w:trPr>
        <w:tc>
          <w:tcPr>
            <w:tcW w:w="2107" w:type="dxa"/>
            <w:shd w:val="clear" w:color="auto" w:fill="auto"/>
            <w:noWrap/>
            <w:vAlign w:val="center"/>
          </w:tcPr>
          <w:p w14:paraId="6FE421EE" w14:textId="77777777" w:rsidR="007D1E74" w:rsidRDefault="00A95641">
            <w:pPr>
              <w:widowControl/>
              <w:jc w:val="left"/>
              <w:rPr>
                <w:rFonts w:cs="Times New Roman"/>
                <w:color w:val="000000"/>
                <w:kern w:val="0"/>
                <w:szCs w:val="21"/>
              </w:rPr>
            </w:pPr>
            <w:r>
              <w:rPr>
                <w:rFonts w:cs="Times New Roman"/>
                <w:color w:val="000000"/>
                <w:kern w:val="0"/>
                <w:szCs w:val="21"/>
              </w:rPr>
              <w:t>61</w:t>
            </w:r>
            <w:r>
              <w:rPr>
                <w:rFonts w:ascii="宋体" w:hAnsi="宋体" w:cs="Times New Roman" w:hint="eastAsia"/>
                <w:color w:val="000000"/>
                <w:kern w:val="0"/>
                <w:szCs w:val="21"/>
              </w:rPr>
              <w:t>、栉鰕虎鱼属</w:t>
            </w:r>
          </w:p>
        </w:tc>
        <w:tc>
          <w:tcPr>
            <w:tcW w:w="3700" w:type="dxa"/>
            <w:shd w:val="clear" w:color="auto" w:fill="auto"/>
            <w:noWrap/>
            <w:vAlign w:val="center"/>
          </w:tcPr>
          <w:p w14:paraId="1DF6A87D"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1AAA9529"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1D28FFE4"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48ED97EF" w14:textId="77777777" w:rsidR="007D1E74" w:rsidRDefault="007D1E74">
            <w:pPr>
              <w:widowControl/>
              <w:jc w:val="center"/>
              <w:rPr>
                <w:rFonts w:cs="Times New Roman"/>
                <w:color w:val="000000"/>
                <w:kern w:val="0"/>
                <w:szCs w:val="21"/>
              </w:rPr>
            </w:pPr>
          </w:p>
        </w:tc>
      </w:tr>
      <w:tr w:rsidR="007D1E74" w14:paraId="40174379" w14:textId="77777777">
        <w:trPr>
          <w:jc w:val="center"/>
        </w:trPr>
        <w:tc>
          <w:tcPr>
            <w:tcW w:w="2107" w:type="dxa"/>
            <w:shd w:val="clear" w:color="auto" w:fill="auto"/>
            <w:noWrap/>
            <w:vAlign w:val="center"/>
          </w:tcPr>
          <w:p w14:paraId="0708941A"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80</w:t>
            </w:r>
            <w:r>
              <w:rPr>
                <w:rFonts w:ascii="宋体" w:hAnsi="宋体" w:cs="Times New Roman" w:hint="eastAsia"/>
                <w:color w:val="000000"/>
                <w:kern w:val="0"/>
                <w:szCs w:val="21"/>
              </w:rPr>
              <w:t>）子陵栉鰕虎鱼</w:t>
            </w:r>
          </w:p>
        </w:tc>
        <w:tc>
          <w:tcPr>
            <w:tcW w:w="3700" w:type="dxa"/>
            <w:shd w:val="clear" w:color="auto" w:fill="auto"/>
            <w:noWrap/>
            <w:vAlign w:val="center"/>
          </w:tcPr>
          <w:p w14:paraId="6F264F5B" w14:textId="77777777" w:rsidR="007D1E74" w:rsidRDefault="00A95641">
            <w:pPr>
              <w:widowControl/>
              <w:jc w:val="left"/>
              <w:rPr>
                <w:rFonts w:cs="Times New Roman"/>
                <w:i/>
                <w:iCs/>
                <w:color w:val="000000"/>
                <w:kern w:val="0"/>
                <w:szCs w:val="21"/>
              </w:rPr>
            </w:pPr>
            <w:r>
              <w:rPr>
                <w:rFonts w:cs="Times New Roman"/>
                <w:i/>
                <w:iCs/>
                <w:color w:val="000000"/>
                <w:kern w:val="0"/>
                <w:szCs w:val="21"/>
              </w:rPr>
              <w:t>Ctenogobius giurinus</w:t>
            </w:r>
            <w:r>
              <w:rPr>
                <w:rFonts w:cs="Times New Roman"/>
                <w:color w:val="000000"/>
                <w:kern w:val="0"/>
                <w:szCs w:val="21"/>
              </w:rPr>
              <w:t xml:space="preserve"> (Rutter)</w:t>
            </w:r>
          </w:p>
        </w:tc>
        <w:tc>
          <w:tcPr>
            <w:tcW w:w="851" w:type="dxa"/>
            <w:shd w:val="clear" w:color="auto" w:fill="auto"/>
            <w:noWrap/>
            <w:vAlign w:val="center"/>
          </w:tcPr>
          <w:p w14:paraId="2BBF52D1"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65D8E009"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4C179761" w14:textId="77777777" w:rsidR="007D1E74" w:rsidRDefault="007D1E74">
            <w:pPr>
              <w:widowControl/>
              <w:jc w:val="center"/>
              <w:rPr>
                <w:rFonts w:cs="Times New Roman"/>
                <w:color w:val="000000"/>
                <w:kern w:val="0"/>
                <w:szCs w:val="21"/>
              </w:rPr>
            </w:pPr>
          </w:p>
        </w:tc>
      </w:tr>
      <w:tr w:rsidR="007D1E74" w14:paraId="1EC26352" w14:textId="77777777">
        <w:trPr>
          <w:jc w:val="center"/>
        </w:trPr>
        <w:tc>
          <w:tcPr>
            <w:tcW w:w="2107" w:type="dxa"/>
            <w:shd w:val="clear" w:color="auto" w:fill="auto"/>
            <w:noWrap/>
            <w:vAlign w:val="center"/>
          </w:tcPr>
          <w:p w14:paraId="57844DA0"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十三、斗鱼科</w:t>
            </w:r>
          </w:p>
        </w:tc>
        <w:tc>
          <w:tcPr>
            <w:tcW w:w="3700" w:type="dxa"/>
            <w:shd w:val="clear" w:color="auto" w:fill="auto"/>
            <w:noWrap/>
            <w:vAlign w:val="center"/>
          </w:tcPr>
          <w:p w14:paraId="09A2D6B5"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4713A097"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57049B98"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66D1EEC8" w14:textId="77777777" w:rsidR="007D1E74" w:rsidRDefault="007D1E74">
            <w:pPr>
              <w:widowControl/>
              <w:jc w:val="center"/>
              <w:rPr>
                <w:rFonts w:cs="Times New Roman"/>
                <w:color w:val="000000"/>
                <w:kern w:val="0"/>
                <w:szCs w:val="21"/>
              </w:rPr>
            </w:pPr>
          </w:p>
        </w:tc>
      </w:tr>
      <w:tr w:rsidR="007D1E74" w14:paraId="04B303F3" w14:textId="77777777">
        <w:trPr>
          <w:jc w:val="center"/>
        </w:trPr>
        <w:tc>
          <w:tcPr>
            <w:tcW w:w="2107" w:type="dxa"/>
            <w:shd w:val="clear" w:color="auto" w:fill="auto"/>
            <w:noWrap/>
            <w:vAlign w:val="center"/>
          </w:tcPr>
          <w:p w14:paraId="22691383" w14:textId="77777777" w:rsidR="007D1E74" w:rsidRDefault="00A95641">
            <w:pPr>
              <w:widowControl/>
              <w:jc w:val="left"/>
              <w:rPr>
                <w:rFonts w:cs="Times New Roman"/>
                <w:color w:val="000000"/>
                <w:kern w:val="0"/>
                <w:szCs w:val="21"/>
              </w:rPr>
            </w:pPr>
            <w:r>
              <w:rPr>
                <w:rFonts w:cs="Times New Roman"/>
                <w:color w:val="000000"/>
                <w:kern w:val="0"/>
                <w:szCs w:val="21"/>
              </w:rPr>
              <w:lastRenderedPageBreak/>
              <w:t>62</w:t>
            </w:r>
            <w:r>
              <w:rPr>
                <w:rFonts w:ascii="宋体" w:hAnsi="宋体" w:cs="Times New Roman" w:hint="eastAsia"/>
                <w:color w:val="000000"/>
                <w:kern w:val="0"/>
                <w:szCs w:val="21"/>
              </w:rPr>
              <w:t>、斗鱼属</w:t>
            </w:r>
          </w:p>
        </w:tc>
        <w:tc>
          <w:tcPr>
            <w:tcW w:w="3700" w:type="dxa"/>
            <w:shd w:val="clear" w:color="auto" w:fill="auto"/>
            <w:noWrap/>
            <w:vAlign w:val="center"/>
          </w:tcPr>
          <w:p w14:paraId="341E5072"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0A0106AD"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6469C57B"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48C9E716" w14:textId="77777777" w:rsidR="007D1E74" w:rsidRDefault="007D1E74">
            <w:pPr>
              <w:widowControl/>
              <w:jc w:val="center"/>
              <w:rPr>
                <w:rFonts w:cs="Times New Roman"/>
                <w:color w:val="000000"/>
                <w:kern w:val="0"/>
                <w:szCs w:val="21"/>
              </w:rPr>
            </w:pPr>
          </w:p>
        </w:tc>
      </w:tr>
      <w:tr w:rsidR="007D1E74" w14:paraId="67B78259" w14:textId="77777777">
        <w:trPr>
          <w:jc w:val="center"/>
        </w:trPr>
        <w:tc>
          <w:tcPr>
            <w:tcW w:w="2107" w:type="dxa"/>
            <w:shd w:val="clear" w:color="auto" w:fill="auto"/>
            <w:noWrap/>
            <w:vAlign w:val="center"/>
          </w:tcPr>
          <w:p w14:paraId="62AB234B"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81</w:t>
            </w:r>
            <w:r>
              <w:rPr>
                <w:rFonts w:ascii="宋体" w:hAnsi="宋体" w:cs="Times New Roman" w:hint="eastAsia"/>
                <w:color w:val="000000"/>
                <w:kern w:val="0"/>
                <w:szCs w:val="21"/>
              </w:rPr>
              <w:t>）叉尾斗鱼</w:t>
            </w:r>
          </w:p>
        </w:tc>
        <w:tc>
          <w:tcPr>
            <w:tcW w:w="3700" w:type="dxa"/>
            <w:shd w:val="clear" w:color="auto" w:fill="auto"/>
            <w:noWrap/>
            <w:vAlign w:val="center"/>
          </w:tcPr>
          <w:p w14:paraId="5A75DFEB" w14:textId="77777777" w:rsidR="007D1E74" w:rsidRDefault="00A95641">
            <w:pPr>
              <w:widowControl/>
              <w:jc w:val="left"/>
              <w:rPr>
                <w:rFonts w:cs="Times New Roman"/>
                <w:i/>
                <w:iCs/>
                <w:color w:val="000000"/>
                <w:kern w:val="0"/>
                <w:szCs w:val="21"/>
              </w:rPr>
            </w:pPr>
            <w:r>
              <w:rPr>
                <w:rFonts w:cs="Times New Roman"/>
                <w:i/>
                <w:iCs/>
                <w:color w:val="000000"/>
                <w:kern w:val="0"/>
                <w:szCs w:val="21"/>
              </w:rPr>
              <w:t>Macropodus opercularis</w:t>
            </w:r>
            <w:r>
              <w:rPr>
                <w:rFonts w:cs="Times New Roman"/>
                <w:color w:val="000000"/>
                <w:kern w:val="0"/>
                <w:szCs w:val="21"/>
              </w:rPr>
              <w:t xml:space="preserve"> (Linnaeus)</w:t>
            </w:r>
          </w:p>
        </w:tc>
        <w:tc>
          <w:tcPr>
            <w:tcW w:w="851" w:type="dxa"/>
            <w:shd w:val="clear" w:color="auto" w:fill="auto"/>
            <w:noWrap/>
            <w:vAlign w:val="center"/>
          </w:tcPr>
          <w:p w14:paraId="771C14E2"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0B5A0C21"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1890025E" w14:textId="77777777" w:rsidR="007D1E74" w:rsidRDefault="007D1E74">
            <w:pPr>
              <w:widowControl/>
              <w:jc w:val="center"/>
              <w:rPr>
                <w:rFonts w:cs="Times New Roman"/>
                <w:color w:val="000000"/>
                <w:kern w:val="0"/>
                <w:szCs w:val="21"/>
              </w:rPr>
            </w:pPr>
          </w:p>
        </w:tc>
      </w:tr>
      <w:tr w:rsidR="007D1E74" w14:paraId="1D702EB5" w14:textId="77777777">
        <w:trPr>
          <w:jc w:val="center"/>
        </w:trPr>
        <w:tc>
          <w:tcPr>
            <w:tcW w:w="2107" w:type="dxa"/>
            <w:shd w:val="clear" w:color="auto" w:fill="auto"/>
            <w:noWrap/>
            <w:vAlign w:val="center"/>
          </w:tcPr>
          <w:p w14:paraId="06108500"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十四、鳢科</w:t>
            </w:r>
          </w:p>
        </w:tc>
        <w:tc>
          <w:tcPr>
            <w:tcW w:w="3700" w:type="dxa"/>
            <w:shd w:val="clear" w:color="auto" w:fill="auto"/>
            <w:noWrap/>
            <w:vAlign w:val="center"/>
          </w:tcPr>
          <w:p w14:paraId="42CAFD5C"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00667A48"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766DD70C"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6EDFDEB8" w14:textId="77777777" w:rsidR="007D1E74" w:rsidRDefault="007D1E74">
            <w:pPr>
              <w:widowControl/>
              <w:jc w:val="center"/>
              <w:rPr>
                <w:rFonts w:cs="Times New Roman"/>
                <w:color w:val="000000"/>
                <w:kern w:val="0"/>
                <w:szCs w:val="21"/>
              </w:rPr>
            </w:pPr>
          </w:p>
        </w:tc>
      </w:tr>
      <w:tr w:rsidR="007D1E74" w14:paraId="5C950802" w14:textId="77777777">
        <w:trPr>
          <w:jc w:val="center"/>
        </w:trPr>
        <w:tc>
          <w:tcPr>
            <w:tcW w:w="2107" w:type="dxa"/>
            <w:shd w:val="clear" w:color="auto" w:fill="auto"/>
            <w:noWrap/>
            <w:vAlign w:val="center"/>
          </w:tcPr>
          <w:p w14:paraId="73BCA4F3" w14:textId="77777777" w:rsidR="007D1E74" w:rsidRDefault="00A95641">
            <w:pPr>
              <w:widowControl/>
              <w:jc w:val="left"/>
              <w:rPr>
                <w:rFonts w:cs="Times New Roman"/>
                <w:color w:val="000000"/>
                <w:kern w:val="0"/>
                <w:szCs w:val="21"/>
              </w:rPr>
            </w:pPr>
            <w:r>
              <w:rPr>
                <w:rFonts w:cs="Times New Roman"/>
                <w:color w:val="000000"/>
                <w:kern w:val="0"/>
                <w:szCs w:val="21"/>
              </w:rPr>
              <w:t>63</w:t>
            </w:r>
            <w:r>
              <w:rPr>
                <w:rFonts w:ascii="宋体" w:hAnsi="宋体" w:cs="Times New Roman" w:hint="eastAsia"/>
                <w:color w:val="000000"/>
                <w:kern w:val="0"/>
                <w:szCs w:val="21"/>
              </w:rPr>
              <w:t>、鳢属</w:t>
            </w:r>
          </w:p>
        </w:tc>
        <w:tc>
          <w:tcPr>
            <w:tcW w:w="3700" w:type="dxa"/>
            <w:shd w:val="clear" w:color="auto" w:fill="auto"/>
            <w:noWrap/>
            <w:vAlign w:val="center"/>
          </w:tcPr>
          <w:p w14:paraId="2710FE42" w14:textId="77777777" w:rsidR="007D1E74" w:rsidRDefault="007D1E74">
            <w:pPr>
              <w:widowControl/>
              <w:jc w:val="left"/>
              <w:rPr>
                <w:rFonts w:cs="Times New Roman"/>
                <w:color w:val="000000"/>
                <w:kern w:val="0"/>
                <w:szCs w:val="21"/>
              </w:rPr>
            </w:pPr>
          </w:p>
        </w:tc>
        <w:tc>
          <w:tcPr>
            <w:tcW w:w="851" w:type="dxa"/>
            <w:shd w:val="clear" w:color="auto" w:fill="auto"/>
            <w:noWrap/>
            <w:vAlign w:val="center"/>
          </w:tcPr>
          <w:p w14:paraId="51F6E6BE"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07FEECC8"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59CE5B65" w14:textId="77777777" w:rsidR="007D1E74" w:rsidRDefault="007D1E74">
            <w:pPr>
              <w:widowControl/>
              <w:jc w:val="center"/>
              <w:rPr>
                <w:rFonts w:cs="Times New Roman"/>
                <w:color w:val="000000"/>
                <w:kern w:val="0"/>
                <w:szCs w:val="21"/>
              </w:rPr>
            </w:pPr>
          </w:p>
        </w:tc>
      </w:tr>
      <w:tr w:rsidR="007D1E74" w14:paraId="14986158" w14:textId="77777777">
        <w:trPr>
          <w:jc w:val="center"/>
        </w:trPr>
        <w:tc>
          <w:tcPr>
            <w:tcW w:w="2107" w:type="dxa"/>
            <w:shd w:val="clear" w:color="auto" w:fill="auto"/>
            <w:noWrap/>
            <w:vAlign w:val="center"/>
          </w:tcPr>
          <w:p w14:paraId="5C611828" w14:textId="77777777" w:rsidR="007D1E74" w:rsidRDefault="00A95641">
            <w:pPr>
              <w:widowControl/>
              <w:jc w:val="left"/>
              <w:rPr>
                <w:rFonts w:cs="Times New Roman"/>
                <w:color w:val="000000"/>
                <w:kern w:val="0"/>
                <w:szCs w:val="21"/>
              </w:rPr>
            </w:pPr>
            <w:r>
              <w:rPr>
                <w:rFonts w:ascii="宋体" w:hAnsi="宋体" w:cs="Times New Roman" w:hint="eastAsia"/>
                <w:color w:val="000000"/>
                <w:kern w:val="0"/>
                <w:szCs w:val="21"/>
              </w:rPr>
              <w:t>（</w:t>
            </w:r>
            <w:r>
              <w:rPr>
                <w:rFonts w:cs="Times New Roman"/>
                <w:color w:val="000000"/>
                <w:kern w:val="0"/>
                <w:szCs w:val="21"/>
              </w:rPr>
              <w:t>82</w:t>
            </w:r>
            <w:r>
              <w:rPr>
                <w:rFonts w:ascii="宋体" w:hAnsi="宋体" w:cs="Times New Roman" w:hint="eastAsia"/>
                <w:color w:val="000000"/>
                <w:kern w:val="0"/>
                <w:szCs w:val="21"/>
              </w:rPr>
              <w:t>）乌鳢</w:t>
            </w:r>
          </w:p>
        </w:tc>
        <w:tc>
          <w:tcPr>
            <w:tcW w:w="3700" w:type="dxa"/>
            <w:shd w:val="clear" w:color="auto" w:fill="auto"/>
            <w:noWrap/>
            <w:vAlign w:val="center"/>
          </w:tcPr>
          <w:p w14:paraId="13E891CC" w14:textId="77777777" w:rsidR="007D1E74" w:rsidRDefault="00A95641">
            <w:pPr>
              <w:widowControl/>
              <w:jc w:val="left"/>
              <w:rPr>
                <w:rFonts w:cs="Times New Roman"/>
                <w:i/>
                <w:iCs/>
                <w:color w:val="000000"/>
                <w:kern w:val="0"/>
                <w:szCs w:val="21"/>
              </w:rPr>
            </w:pPr>
            <w:r>
              <w:rPr>
                <w:rFonts w:cs="Times New Roman"/>
                <w:i/>
                <w:iCs/>
                <w:color w:val="000000"/>
                <w:kern w:val="0"/>
                <w:szCs w:val="21"/>
              </w:rPr>
              <w:t>Channa argus</w:t>
            </w:r>
            <w:r>
              <w:rPr>
                <w:rFonts w:cs="Times New Roman"/>
                <w:color w:val="000000"/>
                <w:kern w:val="0"/>
                <w:szCs w:val="21"/>
              </w:rPr>
              <w:t xml:space="preserve"> (Cantor)</w:t>
            </w:r>
          </w:p>
        </w:tc>
        <w:tc>
          <w:tcPr>
            <w:tcW w:w="851" w:type="dxa"/>
            <w:shd w:val="clear" w:color="auto" w:fill="auto"/>
            <w:noWrap/>
            <w:vAlign w:val="center"/>
          </w:tcPr>
          <w:p w14:paraId="5C2DFBBA" w14:textId="77777777" w:rsidR="007D1E74" w:rsidRDefault="007D1E74">
            <w:pPr>
              <w:widowControl/>
              <w:jc w:val="center"/>
              <w:rPr>
                <w:rFonts w:cs="Times New Roman"/>
                <w:color w:val="000000"/>
                <w:kern w:val="0"/>
                <w:szCs w:val="21"/>
              </w:rPr>
            </w:pPr>
          </w:p>
        </w:tc>
        <w:tc>
          <w:tcPr>
            <w:tcW w:w="850" w:type="dxa"/>
            <w:shd w:val="clear" w:color="auto" w:fill="auto"/>
            <w:noWrap/>
            <w:vAlign w:val="center"/>
          </w:tcPr>
          <w:p w14:paraId="6B1EE662" w14:textId="77777777" w:rsidR="007D1E74" w:rsidRDefault="007D1E74">
            <w:pPr>
              <w:widowControl/>
              <w:jc w:val="center"/>
              <w:rPr>
                <w:rFonts w:cs="Times New Roman"/>
                <w:color w:val="000000"/>
                <w:kern w:val="0"/>
                <w:szCs w:val="21"/>
              </w:rPr>
            </w:pPr>
          </w:p>
        </w:tc>
        <w:tc>
          <w:tcPr>
            <w:tcW w:w="1508" w:type="dxa"/>
            <w:shd w:val="clear" w:color="auto" w:fill="auto"/>
            <w:noWrap/>
            <w:vAlign w:val="center"/>
          </w:tcPr>
          <w:p w14:paraId="1B793950" w14:textId="77777777" w:rsidR="007D1E74" w:rsidRDefault="007D1E74">
            <w:pPr>
              <w:widowControl/>
              <w:jc w:val="center"/>
              <w:rPr>
                <w:rFonts w:cs="Times New Roman"/>
                <w:color w:val="000000"/>
                <w:kern w:val="0"/>
                <w:szCs w:val="21"/>
              </w:rPr>
            </w:pPr>
          </w:p>
        </w:tc>
      </w:tr>
    </w:tbl>
    <w:p w14:paraId="34DB380C" w14:textId="77777777" w:rsidR="007D1E74" w:rsidRDefault="00A95641">
      <w:pPr>
        <w:rPr>
          <w:rFonts w:cs="Times New Roman"/>
          <w:szCs w:val="21"/>
        </w:rPr>
      </w:pPr>
      <w:r>
        <w:rPr>
          <w:rFonts w:cs="Times New Roman" w:hint="eastAsia"/>
          <w:szCs w:val="21"/>
        </w:rPr>
        <w:br w:type="page"/>
      </w:r>
    </w:p>
    <w:p w14:paraId="5901FE59" w14:textId="77777777" w:rsidR="007D1E74" w:rsidRDefault="00A95641">
      <w:pPr>
        <w:jc w:val="left"/>
        <w:rPr>
          <w:rFonts w:eastAsia="黑体" w:cs="Times New Roman"/>
          <w:sz w:val="24"/>
          <w:szCs w:val="24"/>
        </w:rPr>
      </w:pPr>
      <w:r>
        <w:rPr>
          <w:rFonts w:eastAsia="黑体" w:cs="Times New Roman" w:hint="eastAsia"/>
          <w:sz w:val="24"/>
          <w:szCs w:val="24"/>
        </w:rPr>
        <w:lastRenderedPageBreak/>
        <w:t>附表</w:t>
      </w:r>
      <w:r>
        <w:rPr>
          <w:rFonts w:eastAsia="黑体" w:cs="Times New Roman" w:hint="eastAsia"/>
          <w:sz w:val="24"/>
          <w:szCs w:val="24"/>
        </w:rPr>
        <w:t>C</w:t>
      </w:r>
      <w:r>
        <w:rPr>
          <w:rFonts w:eastAsia="黑体" w:cs="Times New Roman"/>
          <w:sz w:val="24"/>
          <w:szCs w:val="24"/>
        </w:rPr>
        <w:t xml:space="preserve">  </w:t>
      </w:r>
      <w:r>
        <w:rPr>
          <w:rFonts w:eastAsia="黑体" w:cs="Times New Roman"/>
          <w:sz w:val="24"/>
          <w:szCs w:val="24"/>
        </w:rPr>
        <w:t>建设项目大气环境影响评价自查表</w:t>
      </w:r>
    </w:p>
    <w:p w14:paraId="3C877BF1" w14:textId="77777777" w:rsidR="007D1E74" w:rsidRDefault="007D1E74">
      <w:pPr>
        <w:pStyle w:val="21"/>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8"/>
        <w:gridCol w:w="986"/>
        <w:gridCol w:w="1105"/>
        <w:gridCol w:w="631"/>
        <w:gridCol w:w="214"/>
        <w:gridCol w:w="457"/>
        <w:gridCol w:w="924"/>
        <w:gridCol w:w="681"/>
        <w:gridCol w:w="674"/>
        <w:gridCol w:w="742"/>
        <w:gridCol w:w="375"/>
        <w:gridCol w:w="103"/>
        <w:gridCol w:w="435"/>
        <w:gridCol w:w="831"/>
      </w:tblGrid>
      <w:tr w:rsidR="007D1E74" w14:paraId="4D5D0A12" w14:textId="77777777">
        <w:trPr>
          <w:trHeight w:val="315"/>
          <w:jc w:val="center"/>
        </w:trPr>
        <w:tc>
          <w:tcPr>
            <w:tcW w:w="1185" w:type="pct"/>
            <w:gridSpan w:val="2"/>
            <w:shd w:val="clear" w:color="auto" w:fill="auto"/>
            <w:vAlign w:val="center"/>
          </w:tcPr>
          <w:p w14:paraId="34AA9DB3" w14:textId="77777777" w:rsidR="007D1E74" w:rsidRDefault="00A95641">
            <w:pPr>
              <w:jc w:val="center"/>
              <w:rPr>
                <w:rFonts w:cstheme="minorHAnsi"/>
                <w:sz w:val="18"/>
                <w:szCs w:val="18"/>
              </w:rPr>
            </w:pPr>
            <w:r>
              <w:rPr>
                <w:rFonts w:cstheme="minorHAnsi"/>
                <w:sz w:val="18"/>
                <w:szCs w:val="18"/>
              </w:rPr>
              <w:t>工作内容</w:t>
            </w:r>
          </w:p>
        </w:tc>
        <w:tc>
          <w:tcPr>
            <w:tcW w:w="3815" w:type="pct"/>
            <w:gridSpan w:val="12"/>
          </w:tcPr>
          <w:p w14:paraId="1070AB01" w14:textId="77777777" w:rsidR="007D1E74" w:rsidRDefault="00A95641">
            <w:pPr>
              <w:jc w:val="center"/>
              <w:rPr>
                <w:rFonts w:cstheme="minorHAnsi"/>
                <w:sz w:val="18"/>
                <w:szCs w:val="18"/>
              </w:rPr>
            </w:pPr>
            <w:r>
              <w:rPr>
                <w:rFonts w:cstheme="minorHAnsi"/>
                <w:sz w:val="18"/>
                <w:szCs w:val="18"/>
              </w:rPr>
              <w:t>自查项目</w:t>
            </w:r>
          </w:p>
        </w:tc>
      </w:tr>
      <w:tr w:rsidR="007D1E74" w14:paraId="746DA8C4" w14:textId="77777777">
        <w:trPr>
          <w:trHeight w:val="315"/>
          <w:jc w:val="center"/>
        </w:trPr>
        <w:tc>
          <w:tcPr>
            <w:tcW w:w="557" w:type="pct"/>
            <w:vMerge w:val="restart"/>
            <w:shd w:val="clear" w:color="auto" w:fill="auto"/>
            <w:vAlign w:val="center"/>
          </w:tcPr>
          <w:p w14:paraId="05584409" w14:textId="77777777" w:rsidR="007D1E74" w:rsidRDefault="00A95641">
            <w:pPr>
              <w:jc w:val="center"/>
              <w:rPr>
                <w:rFonts w:cstheme="minorHAnsi"/>
                <w:sz w:val="18"/>
                <w:szCs w:val="18"/>
              </w:rPr>
            </w:pPr>
            <w:r>
              <w:rPr>
                <w:rFonts w:cstheme="minorHAnsi"/>
                <w:sz w:val="18"/>
                <w:szCs w:val="18"/>
              </w:rPr>
              <w:t>评价等级与范围</w:t>
            </w:r>
          </w:p>
        </w:tc>
        <w:tc>
          <w:tcPr>
            <w:tcW w:w="627" w:type="pct"/>
            <w:shd w:val="clear" w:color="auto" w:fill="auto"/>
            <w:vAlign w:val="center"/>
          </w:tcPr>
          <w:p w14:paraId="2636CB89" w14:textId="77777777" w:rsidR="007D1E74" w:rsidRDefault="00A95641">
            <w:pPr>
              <w:jc w:val="center"/>
              <w:rPr>
                <w:rFonts w:cstheme="minorHAnsi"/>
                <w:sz w:val="18"/>
                <w:szCs w:val="18"/>
              </w:rPr>
            </w:pPr>
            <w:r>
              <w:rPr>
                <w:rFonts w:cstheme="minorHAnsi"/>
                <w:sz w:val="18"/>
                <w:szCs w:val="18"/>
              </w:rPr>
              <w:t>评价等级</w:t>
            </w:r>
          </w:p>
        </w:tc>
        <w:tc>
          <w:tcPr>
            <w:tcW w:w="1271" w:type="pct"/>
            <w:gridSpan w:val="4"/>
            <w:vAlign w:val="center"/>
          </w:tcPr>
          <w:p w14:paraId="1F2B1E70" w14:textId="77777777" w:rsidR="007D1E74" w:rsidRDefault="00A95641">
            <w:pPr>
              <w:jc w:val="center"/>
              <w:rPr>
                <w:rFonts w:cstheme="minorHAnsi"/>
                <w:sz w:val="18"/>
                <w:szCs w:val="18"/>
              </w:rPr>
            </w:pPr>
            <w:r>
              <w:rPr>
                <w:rFonts w:cstheme="minorHAnsi"/>
                <w:sz w:val="18"/>
                <w:szCs w:val="18"/>
              </w:rPr>
              <w:t>一级</w:t>
            </w:r>
            <w:r>
              <w:rPr>
                <w:rFonts w:cstheme="minorHAnsi"/>
                <w:sz w:val="18"/>
                <w:szCs w:val="18"/>
              </w:rPr>
              <w:t>□</w:t>
            </w:r>
          </w:p>
        </w:tc>
        <w:tc>
          <w:tcPr>
            <w:tcW w:w="1272" w:type="pct"/>
            <w:gridSpan w:val="4"/>
            <w:shd w:val="clear" w:color="auto" w:fill="auto"/>
            <w:vAlign w:val="center"/>
          </w:tcPr>
          <w:p w14:paraId="543B7618" w14:textId="77777777" w:rsidR="007D1E74" w:rsidRDefault="00A95641">
            <w:pPr>
              <w:jc w:val="center"/>
              <w:rPr>
                <w:rFonts w:cstheme="minorHAnsi"/>
                <w:sz w:val="18"/>
                <w:szCs w:val="18"/>
              </w:rPr>
            </w:pPr>
            <w:r>
              <w:rPr>
                <w:rFonts w:cstheme="minorHAnsi"/>
                <w:sz w:val="18"/>
                <w:szCs w:val="18"/>
              </w:rPr>
              <w:t>二级</w:t>
            </w:r>
            <w:r>
              <w:rPr>
                <w:rFonts w:cstheme="minorHAnsi"/>
                <w:sz w:val="18"/>
                <w:szCs w:val="18"/>
              </w:rPr>
              <w:t>□</w:t>
            </w:r>
          </w:p>
        </w:tc>
        <w:tc>
          <w:tcPr>
            <w:tcW w:w="1273" w:type="pct"/>
            <w:gridSpan w:val="4"/>
            <w:vAlign w:val="center"/>
          </w:tcPr>
          <w:p w14:paraId="082E5488" w14:textId="77777777" w:rsidR="007D1E74" w:rsidRDefault="00A95641">
            <w:pPr>
              <w:jc w:val="center"/>
              <w:rPr>
                <w:rFonts w:cstheme="minorHAnsi"/>
                <w:sz w:val="18"/>
                <w:szCs w:val="18"/>
              </w:rPr>
            </w:pPr>
            <w:r>
              <w:rPr>
                <w:rFonts w:cstheme="minorHAnsi"/>
                <w:sz w:val="18"/>
                <w:szCs w:val="18"/>
              </w:rPr>
              <w:t>三级</w:t>
            </w:r>
            <w:r>
              <w:rPr>
                <w:rFonts w:cstheme="minorHAnsi"/>
                <w:sz w:val="18"/>
                <w:szCs w:val="18"/>
              </w:rPr>
              <w:sym w:font="Wingdings 2" w:char="F052"/>
            </w:r>
          </w:p>
        </w:tc>
      </w:tr>
      <w:tr w:rsidR="007D1E74" w14:paraId="73263994" w14:textId="77777777">
        <w:trPr>
          <w:trHeight w:val="315"/>
          <w:jc w:val="center"/>
        </w:trPr>
        <w:tc>
          <w:tcPr>
            <w:tcW w:w="557" w:type="pct"/>
            <w:vMerge/>
            <w:shd w:val="clear" w:color="auto" w:fill="auto"/>
            <w:vAlign w:val="center"/>
          </w:tcPr>
          <w:p w14:paraId="2DF04C5C" w14:textId="77777777" w:rsidR="007D1E74" w:rsidRDefault="007D1E74">
            <w:pPr>
              <w:jc w:val="center"/>
              <w:rPr>
                <w:rFonts w:cstheme="minorHAnsi"/>
                <w:sz w:val="18"/>
                <w:szCs w:val="18"/>
              </w:rPr>
            </w:pPr>
          </w:p>
        </w:tc>
        <w:tc>
          <w:tcPr>
            <w:tcW w:w="627" w:type="pct"/>
            <w:shd w:val="clear" w:color="auto" w:fill="auto"/>
            <w:vAlign w:val="center"/>
          </w:tcPr>
          <w:p w14:paraId="76AE2149" w14:textId="77777777" w:rsidR="007D1E74" w:rsidRDefault="00A95641">
            <w:pPr>
              <w:jc w:val="center"/>
              <w:rPr>
                <w:rFonts w:cstheme="minorHAnsi"/>
                <w:sz w:val="18"/>
                <w:szCs w:val="18"/>
              </w:rPr>
            </w:pPr>
            <w:r>
              <w:rPr>
                <w:rFonts w:cstheme="minorHAnsi"/>
                <w:sz w:val="18"/>
                <w:szCs w:val="18"/>
              </w:rPr>
              <w:t>评价范围</w:t>
            </w:r>
          </w:p>
        </w:tc>
        <w:tc>
          <w:tcPr>
            <w:tcW w:w="1271" w:type="pct"/>
            <w:gridSpan w:val="4"/>
            <w:vAlign w:val="center"/>
          </w:tcPr>
          <w:p w14:paraId="113FF2BF" w14:textId="77777777" w:rsidR="007D1E74" w:rsidRDefault="00A95641">
            <w:pPr>
              <w:jc w:val="center"/>
              <w:rPr>
                <w:rFonts w:cstheme="minorHAnsi"/>
                <w:sz w:val="18"/>
                <w:szCs w:val="18"/>
              </w:rPr>
            </w:pPr>
            <w:r>
              <w:rPr>
                <w:rFonts w:cstheme="minorHAnsi"/>
                <w:sz w:val="18"/>
                <w:szCs w:val="18"/>
              </w:rPr>
              <w:t>边长</w:t>
            </w:r>
            <w:r>
              <w:rPr>
                <w:rFonts w:cstheme="minorHAnsi"/>
                <w:sz w:val="18"/>
                <w:szCs w:val="18"/>
              </w:rPr>
              <w:t>=50km□</w:t>
            </w:r>
          </w:p>
        </w:tc>
        <w:tc>
          <w:tcPr>
            <w:tcW w:w="1272" w:type="pct"/>
            <w:gridSpan w:val="4"/>
            <w:shd w:val="clear" w:color="auto" w:fill="auto"/>
            <w:vAlign w:val="center"/>
          </w:tcPr>
          <w:p w14:paraId="5D503B5D" w14:textId="77777777" w:rsidR="007D1E74" w:rsidRDefault="00A95641">
            <w:pPr>
              <w:jc w:val="center"/>
              <w:rPr>
                <w:rFonts w:cstheme="minorHAnsi"/>
                <w:sz w:val="18"/>
                <w:szCs w:val="18"/>
              </w:rPr>
            </w:pPr>
            <w:r>
              <w:rPr>
                <w:rFonts w:cstheme="minorHAnsi"/>
                <w:sz w:val="18"/>
                <w:szCs w:val="18"/>
              </w:rPr>
              <w:t>边长</w:t>
            </w:r>
            <w:r>
              <w:rPr>
                <w:rFonts w:cstheme="minorHAnsi"/>
                <w:sz w:val="18"/>
                <w:szCs w:val="18"/>
              </w:rPr>
              <w:t>5~50km□</w:t>
            </w:r>
          </w:p>
        </w:tc>
        <w:tc>
          <w:tcPr>
            <w:tcW w:w="1273" w:type="pct"/>
            <w:gridSpan w:val="4"/>
            <w:vAlign w:val="center"/>
          </w:tcPr>
          <w:p w14:paraId="6A023E8B" w14:textId="77777777" w:rsidR="007D1E74" w:rsidRDefault="00A95641">
            <w:pPr>
              <w:jc w:val="center"/>
              <w:rPr>
                <w:rFonts w:cstheme="minorHAnsi"/>
                <w:sz w:val="18"/>
                <w:szCs w:val="18"/>
              </w:rPr>
            </w:pPr>
            <w:r>
              <w:rPr>
                <w:rFonts w:cstheme="minorHAnsi"/>
                <w:sz w:val="18"/>
                <w:szCs w:val="18"/>
              </w:rPr>
              <w:t>边长</w:t>
            </w:r>
            <w:r>
              <w:rPr>
                <w:rFonts w:cstheme="minorHAnsi"/>
                <w:sz w:val="18"/>
                <w:szCs w:val="18"/>
              </w:rPr>
              <w:t>=5km□</w:t>
            </w:r>
          </w:p>
        </w:tc>
      </w:tr>
      <w:tr w:rsidR="007D1E74" w14:paraId="556E9AF5" w14:textId="77777777">
        <w:trPr>
          <w:trHeight w:val="315"/>
          <w:jc w:val="center"/>
        </w:trPr>
        <w:tc>
          <w:tcPr>
            <w:tcW w:w="557" w:type="pct"/>
            <w:vMerge w:val="restart"/>
            <w:shd w:val="clear" w:color="auto" w:fill="auto"/>
            <w:vAlign w:val="center"/>
          </w:tcPr>
          <w:p w14:paraId="1C7BCFDD" w14:textId="77777777" w:rsidR="007D1E74" w:rsidRDefault="00A95641">
            <w:pPr>
              <w:jc w:val="center"/>
              <w:rPr>
                <w:rFonts w:cstheme="minorHAnsi"/>
                <w:sz w:val="18"/>
                <w:szCs w:val="18"/>
              </w:rPr>
            </w:pPr>
            <w:r>
              <w:rPr>
                <w:rFonts w:cstheme="minorHAnsi"/>
                <w:sz w:val="18"/>
                <w:szCs w:val="18"/>
              </w:rPr>
              <w:t>评价因子</w:t>
            </w:r>
          </w:p>
        </w:tc>
        <w:tc>
          <w:tcPr>
            <w:tcW w:w="627" w:type="pct"/>
            <w:shd w:val="clear" w:color="auto" w:fill="auto"/>
            <w:vAlign w:val="center"/>
          </w:tcPr>
          <w:p w14:paraId="54E216BE" w14:textId="77777777" w:rsidR="007D1E74" w:rsidRDefault="00A95641">
            <w:pPr>
              <w:jc w:val="center"/>
              <w:rPr>
                <w:rFonts w:cstheme="minorHAnsi"/>
                <w:sz w:val="18"/>
                <w:szCs w:val="18"/>
              </w:rPr>
            </w:pPr>
            <w:r>
              <w:rPr>
                <w:rFonts w:cstheme="minorHAnsi"/>
                <w:sz w:val="18"/>
                <w:szCs w:val="18"/>
              </w:rPr>
              <w:t>SO</w:t>
            </w:r>
            <w:r>
              <w:rPr>
                <w:rFonts w:cstheme="minorHAnsi"/>
                <w:sz w:val="18"/>
                <w:szCs w:val="18"/>
                <w:vertAlign w:val="subscript"/>
              </w:rPr>
              <w:t>2</w:t>
            </w:r>
            <w:r>
              <w:rPr>
                <w:rFonts w:cstheme="minorHAnsi"/>
                <w:sz w:val="18"/>
                <w:szCs w:val="18"/>
              </w:rPr>
              <w:t>+NO</w:t>
            </w:r>
            <w:r>
              <w:rPr>
                <w:rFonts w:cstheme="minorHAnsi"/>
                <w:sz w:val="18"/>
                <w:szCs w:val="18"/>
                <w:vertAlign w:val="subscript"/>
              </w:rPr>
              <w:t>x</w:t>
            </w:r>
            <w:r>
              <w:rPr>
                <w:rFonts w:cstheme="minorHAnsi"/>
                <w:sz w:val="18"/>
                <w:szCs w:val="18"/>
              </w:rPr>
              <w:t>排放量</w:t>
            </w:r>
          </w:p>
        </w:tc>
        <w:tc>
          <w:tcPr>
            <w:tcW w:w="1271" w:type="pct"/>
            <w:gridSpan w:val="4"/>
            <w:vAlign w:val="center"/>
          </w:tcPr>
          <w:p w14:paraId="008F5F7A" w14:textId="77777777" w:rsidR="007D1E74" w:rsidRDefault="00A95641">
            <w:pPr>
              <w:jc w:val="center"/>
              <w:rPr>
                <w:rFonts w:cstheme="minorHAnsi"/>
                <w:sz w:val="18"/>
                <w:szCs w:val="18"/>
              </w:rPr>
            </w:pPr>
            <w:r>
              <w:rPr>
                <w:rFonts w:cstheme="minorHAnsi"/>
                <w:sz w:val="18"/>
                <w:szCs w:val="18"/>
              </w:rPr>
              <w:t>≥2000t/a□</w:t>
            </w:r>
          </w:p>
        </w:tc>
        <w:tc>
          <w:tcPr>
            <w:tcW w:w="1272" w:type="pct"/>
            <w:gridSpan w:val="4"/>
            <w:shd w:val="clear" w:color="auto" w:fill="auto"/>
            <w:vAlign w:val="center"/>
          </w:tcPr>
          <w:p w14:paraId="174E86BE" w14:textId="77777777" w:rsidR="007D1E74" w:rsidRDefault="00A95641">
            <w:pPr>
              <w:jc w:val="center"/>
              <w:rPr>
                <w:rFonts w:cstheme="minorHAnsi"/>
                <w:sz w:val="18"/>
                <w:szCs w:val="18"/>
              </w:rPr>
            </w:pPr>
            <w:r>
              <w:rPr>
                <w:rFonts w:cstheme="minorHAnsi"/>
                <w:sz w:val="18"/>
                <w:szCs w:val="18"/>
              </w:rPr>
              <w:t>500~2000t/a□</w:t>
            </w:r>
          </w:p>
        </w:tc>
        <w:tc>
          <w:tcPr>
            <w:tcW w:w="1273" w:type="pct"/>
            <w:gridSpan w:val="4"/>
            <w:vAlign w:val="center"/>
          </w:tcPr>
          <w:p w14:paraId="3A93DC13" w14:textId="77777777" w:rsidR="007D1E74" w:rsidRDefault="00A95641">
            <w:pPr>
              <w:jc w:val="center"/>
              <w:rPr>
                <w:rFonts w:cstheme="minorHAnsi"/>
                <w:sz w:val="18"/>
                <w:szCs w:val="18"/>
              </w:rPr>
            </w:pPr>
            <w:r>
              <w:rPr>
                <w:rFonts w:cstheme="minorHAnsi"/>
                <w:sz w:val="18"/>
                <w:szCs w:val="18"/>
              </w:rPr>
              <w:t>&lt;500t/a</w:t>
            </w:r>
            <w:r>
              <w:rPr>
                <w:rFonts w:cstheme="minorHAnsi"/>
                <w:sz w:val="18"/>
                <w:szCs w:val="18"/>
              </w:rPr>
              <w:sym w:font="Wingdings 2" w:char="F052"/>
            </w:r>
          </w:p>
        </w:tc>
      </w:tr>
      <w:tr w:rsidR="007D1E74" w14:paraId="69390257" w14:textId="77777777">
        <w:trPr>
          <w:trHeight w:val="315"/>
          <w:jc w:val="center"/>
        </w:trPr>
        <w:tc>
          <w:tcPr>
            <w:tcW w:w="557" w:type="pct"/>
            <w:vMerge/>
            <w:shd w:val="clear" w:color="auto" w:fill="auto"/>
            <w:vAlign w:val="center"/>
          </w:tcPr>
          <w:p w14:paraId="0F3B8744" w14:textId="77777777" w:rsidR="007D1E74" w:rsidRDefault="007D1E74">
            <w:pPr>
              <w:jc w:val="center"/>
              <w:rPr>
                <w:rFonts w:cstheme="minorHAnsi"/>
                <w:sz w:val="18"/>
                <w:szCs w:val="18"/>
              </w:rPr>
            </w:pPr>
          </w:p>
        </w:tc>
        <w:tc>
          <w:tcPr>
            <w:tcW w:w="627" w:type="pct"/>
            <w:shd w:val="clear" w:color="auto" w:fill="auto"/>
            <w:vAlign w:val="center"/>
          </w:tcPr>
          <w:p w14:paraId="79C10282" w14:textId="77777777" w:rsidR="007D1E74" w:rsidRDefault="00A95641">
            <w:pPr>
              <w:jc w:val="center"/>
              <w:rPr>
                <w:rFonts w:cstheme="minorHAnsi"/>
                <w:sz w:val="18"/>
                <w:szCs w:val="18"/>
              </w:rPr>
            </w:pPr>
            <w:r>
              <w:rPr>
                <w:rFonts w:cstheme="minorHAnsi"/>
                <w:sz w:val="18"/>
                <w:szCs w:val="18"/>
              </w:rPr>
              <w:t>评价因子</w:t>
            </w:r>
          </w:p>
        </w:tc>
        <w:tc>
          <w:tcPr>
            <w:tcW w:w="1910" w:type="pct"/>
            <w:gridSpan w:val="6"/>
            <w:vAlign w:val="center"/>
          </w:tcPr>
          <w:p w14:paraId="7C8A2803" w14:textId="77777777" w:rsidR="007D1E74" w:rsidRDefault="00A95641">
            <w:pPr>
              <w:jc w:val="center"/>
              <w:rPr>
                <w:rFonts w:cstheme="minorHAnsi"/>
                <w:sz w:val="18"/>
                <w:szCs w:val="18"/>
              </w:rPr>
            </w:pPr>
            <w:r>
              <w:rPr>
                <w:rFonts w:cstheme="minorHAnsi"/>
                <w:sz w:val="18"/>
                <w:szCs w:val="18"/>
              </w:rPr>
              <w:t>基本污染物（</w:t>
            </w:r>
            <w:r>
              <w:rPr>
                <w:rFonts w:cstheme="minorHAnsi"/>
                <w:sz w:val="18"/>
                <w:szCs w:val="18"/>
              </w:rPr>
              <w:t>SO</w:t>
            </w:r>
            <w:r>
              <w:rPr>
                <w:rFonts w:cstheme="minorHAnsi"/>
                <w:sz w:val="18"/>
                <w:szCs w:val="18"/>
                <w:vertAlign w:val="subscript"/>
              </w:rPr>
              <w:t>2</w:t>
            </w:r>
            <w:r>
              <w:rPr>
                <w:rFonts w:cstheme="minorHAnsi"/>
                <w:sz w:val="18"/>
                <w:szCs w:val="18"/>
              </w:rPr>
              <w:t>、</w:t>
            </w:r>
            <w:r>
              <w:rPr>
                <w:rFonts w:cstheme="minorHAnsi"/>
                <w:sz w:val="18"/>
                <w:szCs w:val="18"/>
              </w:rPr>
              <w:t>NO</w:t>
            </w:r>
            <w:r>
              <w:rPr>
                <w:rFonts w:cstheme="minorHAnsi"/>
                <w:sz w:val="18"/>
                <w:szCs w:val="18"/>
                <w:vertAlign w:val="subscript"/>
              </w:rPr>
              <w:t>2</w:t>
            </w:r>
            <w:r>
              <w:rPr>
                <w:rFonts w:cstheme="minorHAnsi"/>
                <w:sz w:val="18"/>
                <w:szCs w:val="18"/>
              </w:rPr>
              <w:t>、</w:t>
            </w:r>
            <w:r>
              <w:rPr>
                <w:rFonts w:cstheme="minorHAnsi"/>
                <w:sz w:val="18"/>
                <w:szCs w:val="18"/>
              </w:rPr>
              <w:t>PM</w:t>
            </w:r>
            <w:r>
              <w:rPr>
                <w:rFonts w:cstheme="minorHAnsi"/>
                <w:sz w:val="18"/>
                <w:szCs w:val="18"/>
                <w:vertAlign w:val="subscript"/>
              </w:rPr>
              <w:t>10</w:t>
            </w:r>
            <w:r>
              <w:rPr>
                <w:rFonts w:cstheme="minorHAnsi"/>
                <w:sz w:val="18"/>
                <w:szCs w:val="18"/>
              </w:rPr>
              <w:t>、</w:t>
            </w:r>
            <w:r>
              <w:rPr>
                <w:rFonts w:cstheme="minorHAnsi"/>
                <w:sz w:val="18"/>
                <w:szCs w:val="18"/>
              </w:rPr>
              <w:t>PM</w:t>
            </w:r>
            <w:r>
              <w:rPr>
                <w:rFonts w:cstheme="minorHAnsi"/>
                <w:sz w:val="18"/>
                <w:szCs w:val="18"/>
                <w:vertAlign w:val="subscript"/>
              </w:rPr>
              <w:t>2.5</w:t>
            </w:r>
            <w:r>
              <w:rPr>
                <w:rFonts w:cstheme="minorHAnsi"/>
                <w:sz w:val="18"/>
                <w:szCs w:val="18"/>
              </w:rPr>
              <w:t>、</w:t>
            </w:r>
            <w:r>
              <w:rPr>
                <w:rFonts w:cstheme="minorHAnsi"/>
                <w:sz w:val="18"/>
                <w:szCs w:val="18"/>
              </w:rPr>
              <w:t>CO</w:t>
            </w:r>
            <w:r>
              <w:rPr>
                <w:rFonts w:cstheme="minorHAnsi"/>
                <w:sz w:val="18"/>
                <w:szCs w:val="18"/>
              </w:rPr>
              <w:t>、</w:t>
            </w:r>
            <w:r>
              <w:rPr>
                <w:rFonts w:cstheme="minorHAnsi"/>
                <w:sz w:val="18"/>
                <w:szCs w:val="18"/>
              </w:rPr>
              <w:t>O</w:t>
            </w:r>
            <w:r>
              <w:rPr>
                <w:rFonts w:cstheme="minorHAnsi"/>
                <w:sz w:val="18"/>
                <w:szCs w:val="18"/>
                <w:vertAlign w:val="subscript"/>
              </w:rPr>
              <w:t>3</w:t>
            </w:r>
            <w:r>
              <w:rPr>
                <w:rFonts w:cstheme="minorHAnsi"/>
                <w:sz w:val="18"/>
                <w:szCs w:val="18"/>
              </w:rPr>
              <w:t>）</w:t>
            </w:r>
          </w:p>
          <w:p w14:paraId="5B2E05C8" w14:textId="77777777" w:rsidR="007D1E74" w:rsidRDefault="00A95641">
            <w:pPr>
              <w:jc w:val="center"/>
              <w:rPr>
                <w:rFonts w:cstheme="minorHAnsi"/>
                <w:sz w:val="18"/>
                <w:szCs w:val="18"/>
              </w:rPr>
            </w:pPr>
            <w:r>
              <w:rPr>
                <w:rFonts w:cstheme="minorHAnsi"/>
                <w:sz w:val="18"/>
                <w:szCs w:val="18"/>
              </w:rPr>
              <w:t>其他污染物（</w:t>
            </w:r>
            <w:r>
              <w:rPr>
                <w:rFonts w:cstheme="minorHAnsi" w:hint="eastAsia"/>
                <w:sz w:val="18"/>
                <w:szCs w:val="18"/>
              </w:rPr>
              <w:t>/</w:t>
            </w:r>
            <w:r>
              <w:rPr>
                <w:rFonts w:cstheme="minorHAnsi"/>
                <w:sz w:val="18"/>
                <w:szCs w:val="18"/>
              </w:rPr>
              <w:t>）</w:t>
            </w:r>
          </w:p>
        </w:tc>
        <w:tc>
          <w:tcPr>
            <w:tcW w:w="1906" w:type="pct"/>
            <w:gridSpan w:val="6"/>
            <w:shd w:val="clear" w:color="auto" w:fill="auto"/>
            <w:vAlign w:val="center"/>
          </w:tcPr>
          <w:p w14:paraId="0FA0ABE4" w14:textId="77777777" w:rsidR="007D1E74" w:rsidRDefault="00A95641">
            <w:pPr>
              <w:jc w:val="center"/>
              <w:rPr>
                <w:rFonts w:cstheme="minorHAnsi"/>
                <w:sz w:val="18"/>
                <w:szCs w:val="18"/>
              </w:rPr>
            </w:pPr>
            <w:r>
              <w:rPr>
                <w:rFonts w:cstheme="minorHAnsi"/>
                <w:sz w:val="18"/>
                <w:szCs w:val="18"/>
              </w:rPr>
              <w:t>包括二次</w:t>
            </w:r>
            <w:r>
              <w:rPr>
                <w:rFonts w:cstheme="minorHAnsi"/>
                <w:sz w:val="18"/>
                <w:szCs w:val="18"/>
              </w:rPr>
              <w:t>PM2.5□</w:t>
            </w:r>
          </w:p>
          <w:p w14:paraId="21EF0254" w14:textId="77777777" w:rsidR="007D1E74" w:rsidRDefault="00A95641">
            <w:pPr>
              <w:jc w:val="center"/>
              <w:rPr>
                <w:rFonts w:cstheme="minorHAnsi"/>
                <w:sz w:val="18"/>
                <w:szCs w:val="18"/>
              </w:rPr>
            </w:pPr>
            <w:r>
              <w:rPr>
                <w:rFonts w:cstheme="minorHAnsi"/>
                <w:sz w:val="18"/>
                <w:szCs w:val="18"/>
              </w:rPr>
              <w:t>不包括二次</w:t>
            </w:r>
            <w:r>
              <w:rPr>
                <w:rFonts w:cstheme="minorHAnsi"/>
                <w:sz w:val="18"/>
                <w:szCs w:val="18"/>
              </w:rPr>
              <w:t>PM2.5</w:t>
            </w:r>
            <w:r>
              <w:rPr>
                <w:rFonts w:cstheme="minorHAnsi"/>
                <w:sz w:val="18"/>
                <w:szCs w:val="18"/>
              </w:rPr>
              <w:sym w:font="Wingdings 2" w:char="F052"/>
            </w:r>
          </w:p>
        </w:tc>
      </w:tr>
      <w:tr w:rsidR="007D1E74" w14:paraId="0BF1035F" w14:textId="77777777">
        <w:trPr>
          <w:trHeight w:val="315"/>
          <w:jc w:val="center"/>
        </w:trPr>
        <w:tc>
          <w:tcPr>
            <w:tcW w:w="557" w:type="pct"/>
            <w:shd w:val="clear" w:color="auto" w:fill="auto"/>
            <w:vAlign w:val="center"/>
          </w:tcPr>
          <w:p w14:paraId="4B1BBBCA" w14:textId="77777777" w:rsidR="007D1E74" w:rsidRDefault="00A95641">
            <w:pPr>
              <w:jc w:val="center"/>
              <w:rPr>
                <w:rFonts w:cstheme="minorHAnsi"/>
                <w:sz w:val="18"/>
                <w:szCs w:val="18"/>
              </w:rPr>
            </w:pPr>
            <w:r>
              <w:rPr>
                <w:rFonts w:cstheme="minorHAnsi"/>
                <w:sz w:val="18"/>
                <w:szCs w:val="18"/>
              </w:rPr>
              <w:t>评价标准</w:t>
            </w:r>
          </w:p>
        </w:tc>
        <w:tc>
          <w:tcPr>
            <w:tcW w:w="627" w:type="pct"/>
            <w:shd w:val="clear" w:color="auto" w:fill="auto"/>
            <w:vAlign w:val="center"/>
          </w:tcPr>
          <w:p w14:paraId="02001BB7" w14:textId="77777777" w:rsidR="007D1E74" w:rsidRDefault="00A95641">
            <w:pPr>
              <w:jc w:val="center"/>
              <w:rPr>
                <w:rFonts w:cstheme="minorHAnsi"/>
                <w:sz w:val="18"/>
                <w:szCs w:val="18"/>
              </w:rPr>
            </w:pPr>
            <w:r>
              <w:rPr>
                <w:rFonts w:cstheme="minorHAnsi"/>
                <w:sz w:val="18"/>
                <w:szCs w:val="18"/>
              </w:rPr>
              <w:t>评价标准</w:t>
            </w:r>
          </w:p>
        </w:tc>
        <w:tc>
          <w:tcPr>
            <w:tcW w:w="953" w:type="pct"/>
            <w:gridSpan w:val="2"/>
            <w:vAlign w:val="center"/>
          </w:tcPr>
          <w:p w14:paraId="5933DB19" w14:textId="77777777" w:rsidR="007D1E74" w:rsidRDefault="00A95641">
            <w:pPr>
              <w:jc w:val="center"/>
              <w:rPr>
                <w:rFonts w:cstheme="minorHAnsi"/>
                <w:sz w:val="18"/>
                <w:szCs w:val="18"/>
              </w:rPr>
            </w:pPr>
            <w:r>
              <w:rPr>
                <w:rFonts w:cstheme="minorHAnsi"/>
                <w:sz w:val="18"/>
                <w:szCs w:val="18"/>
              </w:rPr>
              <w:t>国家标准</w:t>
            </w:r>
            <w:r>
              <w:rPr>
                <w:rFonts w:cstheme="minorHAnsi"/>
                <w:sz w:val="18"/>
                <w:szCs w:val="18"/>
              </w:rPr>
              <w:sym w:font="Wingdings 2" w:char="F052"/>
            </w:r>
          </w:p>
        </w:tc>
        <w:tc>
          <w:tcPr>
            <w:tcW w:w="957" w:type="pct"/>
            <w:gridSpan w:val="4"/>
            <w:vAlign w:val="center"/>
          </w:tcPr>
          <w:p w14:paraId="356940F3" w14:textId="77777777" w:rsidR="007D1E74" w:rsidRDefault="00A95641">
            <w:pPr>
              <w:jc w:val="center"/>
              <w:rPr>
                <w:rFonts w:cstheme="minorHAnsi"/>
                <w:sz w:val="18"/>
                <w:szCs w:val="18"/>
              </w:rPr>
            </w:pPr>
            <w:r>
              <w:rPr>
                <w:rFonts w:cstheme="minorHAnsi"/>
                <w:sz w:val="18"/>
                <w:szCs w:val="18"/>
              </w:rPr>
              <w:t>地方标准</w:t>
            </w:r>
            <w:r>
              <w:rPr>
                <w:rFonts w:cstheme="minorHAnsi"/>
                <w:sz w:val="18"/>
                <w:szCs w:val="18"/>
              </w:rPr>
              <w:t>□</w:t>
            </w:r>
          </w:p>
        </w:tc>
        <w:tc>
          <w:tcPr>
            <w:tcW w:w="958" w:type="pct"/>
            <w:gridSpan w:val="4"/>
            <w:shd w:val="clear" w:color="auto" w:fill="auto"/>
            <w:vAlign w:val="center"/>
          </w:tcPr>
          <w:p w14:paraId="21ED8637" w14:textId="77777777" w:rsidR="007D1E74" w:rsidRDefault="00A95641">
            <w:pPr>
              <w:jc w:val="center"/>
              <w:rPr>
                <w:rFonts w:cstheme="minorHAnsi"/>
                <w:sz w:val="18"/>
                <w:szCs w:val="18"/>
              </w:rPr>
            </w:pPr>
            <w:r>
              <w:rPr>
                <w:rFonts w:cstheme="minorHAnsi"/>
                <w:sz w:val="18"/>
                <w:szCs w:val="18"/>
              </w:rPr>
              <w:t>附录</w:t>
            </w:r>
            <w:r>
              <w:rPr>
                <w:rFonts w:cstheme="minorHAnsi"/>
                <w:sz w:val="18"/>
                <w:szCs w:val="18"/>
              </w:rPr>
              <w:t>D□</w:t>
            </w:r>
          </w:p>
        </w:tc>
        <w:tc>
          <w:tcPr>
            <w:tcW w:w="948" w:type="pct"/>
            <w:gridSpan w:val="2"/>
            <w:vAlign w:val="center"/>
          </w:tcPr>
          <w:p w14:paraId="3042C0F3" w14:textId="77777777" w:rsidR="007D1E74" w:rsidRDefault="00A95641">
            <w:pPr>
              <w:jc w:val="center"/>
              <w:rPr>
                <w:rFonts w:cstheme="minorHAnsi"/>
                <w:sz w:val="18"/>
                <w:szCs w:val="18"/>
              </w:rPr>
            </w:pPr>
            <w:r>
              <w:rPr>
                <w:rFonts w:cstheme="minorHAnsi"/>
                <w:sz w:val="18"/>
                <w:szCs w:val="18"/>
              </w:rPr>
              <w:t>其他标准</w:t>
            </w:r>
            <w:r>
              <w:rPr>
                <w:rFonts w:cstheme="minorHAnsi"/>
                <w:sz w:val="18"/>
                <w:szCs w:val="18"/>
              </w:rPr>
              <w:t>□</w:t>
            </w:r>
          </w:p>
        </w:tc>
      </w:tr>
      <w:tr w:rsidR="007D1E74" w14:paraId="43082190" w14:textId="77777777">
        <w:trPr>
          <w:trHeight w:val="315"/>
          <w:jc w:val="center"/>
        </w:trPr>
        <w:tc>
          <w:tcPr>
            <w:tcW w:w="557" w:type="pct"/>
            <w:vMerge w:val="restart"/>
            <w:shd w:val="clear" w:color="auto" w:fill="auto"/>
            <w:vAlign w:val="center"/>
          </w:tcPr>
          <w:p w14:paraId="381B05DD" w14:textId="77777777" w:rsidR="007D1E74" w:rsidRDefault="00A95641">
            <w:pPr>
              <w:jc w:val="center"/>
              <w:rPr>
                <w:rFonts w:cstheme="minorHAnsi"/>
                <w:sz w:val="18"/>
                <w:szCs w:val="18"/>
              </w:rPr>
            </w:pPr>
            <w:r>
              <w:rPr>
                <w:rFonts w:cstheme="minorHAnsi"/>
                <w:sz w:val="18"/>
                <w:szCs w:val="18"/>
              </w:rPr>
              <w:t>现状评价</w:t>
            </w:r>
          </w:p>
        </w:tc>
        <w:tc>
          <w:tcPr>
            <w:tcW w:w="627" w:type="pct"/>
            <w:shd w:val="clear" w:color="auto" w:fill="auto"/>
            <w:vAlign w:val="center"/>
          </w:tcPr>
          <w:p w14:paraId="7FBCCB85" w14:textId="77777777" w:rsidR="007D1E74" w:rsidRDefault="00A95641">
            <w:pPr>
              <w:jc w:val="center"/>
              <w:rPr>
                <w:rFonts w:cstheme="minorHAnsi"/>
                <w:sz w:val="18"/>
                <w:szCs w:val="18"/>
              </w:rPr>
            </w:pPr>
            <w:r>
              <w:rPr>
                <w:rFonts w:cstheme="minorHAnsi"/>
                <w:sz w:val="18"/>
                <w:szCs w:val="18"/>
              </w:rPr>
              <w:t>环境功能区</w:t>
            </w:r>
          </w:p>
        </w:tc>
        <w:tc>
          <w:tcPr>
            <w:tcW w:w="1271" w:type="pct"/>
            <w:gridSpan w:val="4"/>
            <w:vAlign w:val="center"/>
          </w:tcPr>
          <w:p w14:paraId="08D89E2A" w14:textId="77777777" w:rsidR="007D1E74" w:rsidRDefault="00A95641">
            <w:pPr>
              <w:jc w:val="center"/>
              <w:rPr>
                <w:rFonts w:cstheme="minorHAnsi"/>
                <w:sz w:val="18"/>
                <w:szCs w:val="18"/>
              </w:rPr>
            </w:pPr>
            <w:r>
              <w:rPr>
                <w:rFonts w:cstheme="minorHAnsi"/>
                <w:sz w:val="18"/>
                <w:szCs w:val="18"/>
              </w:rPr>
              <w:t>一类区</w:t>
            </w:r>
            <w:r>
              <w:rPr>
                <w:rFonts w:cstheme="minorHAnsi"/>
                <w:sz w:val="18"/>
                <w:szCs w:val="18"/>
              </w:rPr>
              <w:t>□</w:t>
            </w:r>
          </w:p>
        </w:tc>
        <w:tc>
          <w:tcPr>
            <w:tcW w:w="1272" w:type="pct"/>
            <w:gridSpan w:val="4"/>
            <w:shd w:val="clear" w:color="auto" w:fill="auto"/>
            <w:vAlign w:val="center"/>
          </w:tcPr>
          <w:p w14:paraId="793853A6" w14:textId="77777777" w:rsidR="007D1E74" w:rsidRDefault="00A95641">
            <w:pPr>
              <w:jc w:val="center"/>
              <w:rPr>
                <w:rFonts w:cstheme="minorHAnsi"/>
                <w:sz w:val="18"/>
                <w:szCs w:val="18"/>
              </w:rPr>
            </w:pPr>
            <w:r>
              <w:rPr>
                <w:rFonts w:cstheme="minorHAnsi"/>
                <w:sz w:val="18"/>
                <w:szCs w:val="18"/>
              </w:rPr>
              <w:t>二类区</w:t>
            </w:r>
            <w:r>
              <w:rPr>
                <w:rFonts w:cstheme="minorHAnsi"/>
                <w:sz w:val="18"/>
                <w:szCs w:val="18"/>
              </w:rPr>
              <w:sym w:font="Wingdings 2" w:char="F052"/>
            </w:r>
          </w:p>
        </w:tc>
        <w:tc>
          <w:tcPr>
            <w:tcW w:w="1273" w:type="pct"/>
            <w:gridSpan w:val="4"/>
            <w:vAlign w:val="center"/>
          </w:tcPr>
          <w:p w14:paraId="00EDEF76" w14:textId="77777777" w:rsidR="007D1E74" w:rsidRDefault="00A95641">
            <w:pPr>
              <w:jc w:val="center"/>
              <w:rPr>
                <w:rFonts w:cstheme="minorHAnsi"/>
                <w:sz w:val="18"/>
                <w:szCs w:val="18"/>
              </w:rPr>
            </w:pPr>
            <w:r>
              <w:rPr>
                <w:rFonts w:cstheme="minorHAnsi"/>
                <w:sz w:val="18"/>
                <w:szCs w:val="18"/>
              </w:rPr>
              <w:t>一类区和二类区</w:t>
            </w:r>
            <w:r>
              <w:rPr>
                <w:rFonts w:cstheme="minorHAnsi"/>
                <w:sz w:val="18"/>
                <w:szCs w:val="18"/>
              </w:rPr>
              <w:t>□</w:t>
            </w:r>
          </w:p>
        </w:tc>
      </w:tr>
      <w:tr w:rsidR="007D1E74" w14:paraId="50B57366" w14:textId="77777777">
        <w:trPr>
          <w:trHeight w:val="315"/>
          <w:jc w:val="center"/>
        </w:trPr>
        <w:tc>
          <w:tcPr>
            <w:tcW w:w="557" w:type="pct"/>
            <w:vMerge/>
            <w:shd w:val="clear" w:color="auto" w:fill="auto"/>
            <w:vAlign w:val="center"/>
          </w:tcPr>
          <w:p w14:paraId="29FC64C9" w14:textId="77777777" w:rsidR="007D1E74" w:rsidRDefault="007D1E74">
            <w:pPr>
              <w:jc w:val="center"/>
              <w:rPr>
                <w:rFonts w:cstheme="minorHAnsi"/>
                <w:sz w:val="18"/>
                <w:szCs w:val="18"/>
              </w:rPr>
            </w:pPr>
          </w:p>
        </w:tc>
        <w:tc>
          <w:tcPr>
            <w:tcW w:w="627" w:type="pct"/>
            <w:shd w:val="clear" w:color="auto" w:fill="auto"/>
            <w:vAlign w:val="center"/>
          </w:tcPr>
          <w:p w14:paraId="52B33F4C" w14:textId="77777777" w:rsidR="007D1E74" w:rsidRDefault="00A95641">
            <w:pPr>
              <w:jc w:val="center"/>
              <w:rPr>
                <w:rFonts w:cstheme="minorHAnsi"/>
                <w:sz w:val="18"/>
                <w:szCs w:val="18"/>
              </w:rPr>
            </w:pPr>
            <w:r>
              <w:rPr>
                <w:rFonts w:cstheme="minorHAnsi"/>
                <w:sz w:val="18"/>
                <w:szCs w:val="18"/>
              </w:rPr>
              <w:t>评价基准年</w:t>
            </w:r>
          </w:p>
        </w:tc>
        <w:tc>
          <w:tcPr>
            <w:tcW w:w="3815" w:type="pct"/>
            <w:gridSpan w:val="12"/>
          </w:tcPr>
          <w:p w14:paraId="41901D00" w14:textId="77777777" w:rsidR="007D1E74" w:rsidRDefault="00A95641">
            <w:pPr>
              <w:jc w:val="center"/>
              <w:rPr>
                <w:rFonts w:cstheme="minorHAnsi"/>
                <w:sz w:val="18"/>
                <w:szCs w:val="18"/>
              </w:rPr>
            </w:pPr>
            <w:r>
              <w:rPr>
                <w:rFonts w:cstheme="minorHAnsi"/>
                <w:sz w:val="18"/>
                <w:szCs w:val="18"/>
              </w:rPr>
              <w:t>（</w:t>
            </w:r>
            <w:r>
              <w:rPr>
                <w:rFonts w:cstheme="minorHAnsi"/>
                <w:sz w:val="18"/>
                <w:szCs w:val="18"/>
              </w:rPr>
              <w:t>2020</w:t>
            </w:r>
            <w:r>
              <w:rPr>
                <w:rFonts w:cstheme="minorHAnsi"/>
                <w:sz w:val="18"/>
                <w:szCs w:val="18"/>
              </w:rPr>
              <w:t>）年</w:t>
            </w:r>
          </w:p>
        </w:tc>
      </w:tr>
      <w:tr w:rsidR="007D1E74" w14:paraId="5C755861" w14:textId="77777777">
        <w:trPr>
          <w:trHeight w:val="482"/>
          <w:jc w:val="center"/>
        </w:trPr>
        <w:tc>
          <w:tcPr>
            <w:tcW w:w="557" w:type="pct"/>
            <w:vMerge/>
            <w:shd w:val="clear" w:color="auto" w:fill="auto"/>
            <w:vAlign w:val="center"/>
          </w:tcPr>
          <w:p w14:paraId="5C18E732" w14:textId="77777777" w:rsidR="007D1E74" w:rsidRDefault="007D1E74">
            <w:pPr>
              <w:jc w:val="center"/>
              <w:rPr>
                <w:rFonts w:cstheme="minorHAnsi"/>
                <w:sz w:val="18"/>
                <w:szCs w:val="18"/>
              </w:rPr>
            </w:pPr>
          </w:p>
        </w:tc>
        <w:tc>
          <w:tcPr>
            <w:tcW w:w="627" w:type="pct"/>
            <w:shd w:val="clear" w:color="auto" w:fill="auto"/>
            <w:vAlign w:val="center"/>
          </w:tcPr>
          <w:p w14:paraId="426A4C85" w14:textId="77777777" w:rsidR="007D1E74" w:rsidRDefault="00A95641">
            <w:pPr>
              <w:jc w:val="center"/>
              <w:rPr>
                <w:rFonts w:cstheme="minorHAnsi"/>
                <w:sz w:val="18"/>
                <w:szCs w:val="18"/>
              </w:rPr>
            </w:pPr>
            <w:r>
              <w:rPr>
                <w:rFonts w:cstheme="minorHAnsi"/>
                <w:sz w:val="18"/>
                <w:szCs w:val="18"/>
              </w:rPr>
              <w:t>环境空气质量现状调查数据来源</w:t>
            </w:r>
          </w:p>
        </w:tc>
        <w:tc>
          <w:tcPr>
            <w:tcW w:w="1271" w:type="pct"/>
            <w:gridSpan w:val="4"/>
            <w:vAlign w:val="center"/>
          </w:tcPr>
          <w:p w14:paraId="03065E9D" w14:textId="77777777" w:rsidR="007D1E74" w:rsidRDefault="00A95641">
            <w:pPr>
              <w:jc w:val="center"/>
              <w:rPr>
                <w:rFonts w:cstheme="minorHAnsi"/>
                <w:sz w:val="18"/>
                <w:szCs w:val="18"/>
              </w:rPr>
            </w:pPr>
            <w:r>
              <w:rPr>
                <w:rFonts w:cstheme="minorHAnsi"/>
                <w:sz w:val="18"/>
                <w:szCs w:val="18"/>
              </w:rPr>
              <w:t>长期例行监测数据</w:t>
            </w:r>
            <w:r>
              <w:rPr>
                <w:rFonts w:cstheme="minorHAnsi"/>
                <w:sz w:val="18"/>
                <w:szCs w:val="18"/>
              </w:rPr>
              <w:t>□</w:t>
            </w:r>
          </w:p>
        </w:tc>
        <w:tc>
          <w:tcPr>
            <w:tcW w:w="1272" w:type="pct"/>
            <w:gridSpan w:val="4"/>
            <w:shd w:val="clear" w:color="auto" w:fill="auto"/>
            <w:vAlign w:val="center"/>
          </w:tcPr>
          <w:p w14:paraId="26686DC6" w14:textId="77777777" w:rsidR="007D1E74" w:rsidRDefault="00A95641">
            <w:pPr>
              <w:jc w:val="center"/>
              <w:rPr>
                <w:rFonts w:cstheme="minorHAnsi"/>
                <w:sz w:val="18"/>
                <w:szCs w:val="18"/>
              </w:rPr>
            </w:pPr>
            <w:r>
              <w:rPr>
                <w:rFonts w:cstheme="minorHAnsi"/>
                <w:sz w:val="18"/>
                <w:szCs w:val="18"/>
              </w:rPr>
              <w:t>主管部门发布的数据</w:t>
            </w:r>
            <w:r>
              <w:rPr>
                <w:rFonts w:cstheme="minorHAnsi"/>
                <w:sz w:val="18"/>
                <w:szCs w:val="18"/>
              </w:rPr>
              <w:sym w:font="Wingdings 2" w:char="F052"/>
            </w:r>
          </w:p>
        </w:tc>
        <w:tc>
          <w:tcPr>
            <w:tcW w:w="1273" w:type="pct"/>
            <w:gridSpan w:val="4"/>
            <w:vAlign w:val="center"/>
          </w:tcPr>
          <w:p w14:paraId="0F481C60" w14:textId="77777777" w:rsidR="007D1E74" w:rsidRDefault="00A95641">
            <w:pPr>
              <w:jc w:val="center"/>
              <w:rPr>
                <w:rFonts w:cstheme="minorHAnsi"/>
                <w:sz w:val="18"/>
                <w:szCs w:val="18"/>
              </w:rPr>
            </w:pPr>
            <w:r>
              <w:rPr>
                <w:rFonts w:cstheme="minorHAnsi"/>
                <w:sz w:val="18"/>
                <w:szCs w:val="18"/>
              </w:rPr>
              <w:t>现状补充监测</w:t>
            </w:r>
            <w:r>
              <w:rPr>
                <w:rFonts w:cstheme="minorHAnsi"/>
                <w:sz w:val="18"/>
                <w:szCs w:val="18"/>
              </w:rPr>
              <w:sym w:font="Wingdings 2" w:char="F052"/>
            </w:r>
          </w:p>
        </w:tc>
      </w:tr>
      <w:tr w:rsidR="007D1E74" w14:paraId="2B4150E5" w14:textId="77777777">
        <w:trPr>
          <w:trHeight w:val="315"/>
          <w:jc w:val="center"/>
        </w:trPr>
        <w:tc>
          <w:tcPr>
            <w:tcW w:w="557" w:type="pct"/>
            <w:vMerge/>
            <w:shd w:val="clear" w:color="auto" w:fill="auto"/>
            <w:vAlign w:val="center"/>
          </w:tcPr>
          <w:p w14:paraId="1CCC6259" w14:textId="77777777" w:rsidR="007D1E74" w:rsidRDefault="007D1E74">
            <w:pPr>
              <w:jc w:val="center"/>
              <w:rPr>
                <w:rFonts w:cstheme="minorHAnsi"/>
                <w:sz w:val="18"/>
                <w:szCs w:val="18"/>
              </w:rPr>
            </w:pPr>
          </w:p>
        </w:tc>
        <w:tc>
          <w:tcPr>
            <w:tcW w:w="627" w:type="pct"/>
            <w:shd w:val="clear" w:color="auto" w:fill="auto"/>
            <w:vAlign w:val="center"/>
          </w:tcPr>
          <w:p w14:paraId="67E5B364" w14:textId="77777777" w:rsidR="007D1E74" w:rsidRDefault="00A95641">
            <w:pPr>
              <w:jc w:val="center"/>
              <w:rPr>
                <w:rFonts w:cstheme="minorHAnsi"/>
                <w:sz w:val="18"/>
                <w:szCs w:val="18"/>
              </w:rPr>
            </w:pPr>
            <w:r>
              <w:rPr>
                <w:rFonts w:cstheme="minorHAnsi"/>
                <w:sz w:val="18"/>
                <w:szCs w:val="18"/>
              </w:rPr>
              <w:t>现状评价</w:t>
            </w:r>
          </w:p>
        </w:tc>
        <w:tc>
          <w:tcPr>
            <w:tcW w:w="1910" w:type="pct"/>
            <w:gridSpan w:val="6"/>
          </w:tcPr>
          <w:p w14:paraId="721FF2F8" w14:textId="77777777" w:rsidR="007D1E74" w:rsidRDefault="00A95641">
            <w:pPr>
              <w:jc w:val="center"/>
              <w:rPr>
                <w:rFonts w:cstheme="minorHAnsi"/>
                <w:sz w:val="18"/>
                <w:szCs w:val="18"/>
              </w:rPr>
            </w:pPr>
            <w:r>
              <w:rPr>
                <w:rFonts w:cstheme="minorHAnsi"/>
                <w:sz w:val="18"/>
                <w:szCs w:val="18"/>
              </w:rPr>
              <w:t>达标区</w:t>
            </w:r>
            <w:r>
              <w:rPr>
                <w:rFonts w:cstheme="minorHAnsi"/>
                <w:sz w:val="18"/>
                <w:szCs w:val="18"/>
              </w:rPr>
              <w:sym w:font="Wingdings 2" w:char="F052"/>
            </w:r>
          </w:p>
        </w:tc>
        <w:tc>
          <w:tcPr>
            <w:tcW w:w="1906" w:type="pct"/>
            <w:gridSpan w:val="6"/>
          </w:tcPr>
          <w:p w14:paraId="4EB906A9" w14:textId="77777777" w:rsidR="007D1E74" w:rsidRDefault="00A95641">
            <w:pPr>
              <w:jc w:val="center"/>
              <w:rPr>
                <w:rFonts w:cstheme="minorHAnsi"/>
                <w:sz w:val="18"/>
                <w:szCs w:val="18"/>
              </w:rPr>
            </w:pPr>
            <w:r>
              <w:rPr>
                <w:rFonts w:cstheme="minorHAnsi"/>
                <w:sz w:val="18"/>
                <w:szCs w:val="18"/>
              </w:rPr>
              <w:t>不达标区</w:t>
            </w:r>
            <w:r>
              <w:rPr>
                <w:rFonts w:cstheme="minorHAnsi"/>
                <w:sz w:val="18"/>
                <w:szCs w:val="18"/>
              </w:rPr>
              <w:t>□</w:t>
            </w:r>
          </w:p>
        </w:tc>
      </w:tr>
      <w:tr w:rsidR="007D1E74" w14:paraId="5A63F281" w14:textId="77777777">
        <w:trPr>
          <w:trHeight w:val="315"/>
          <w:jc w:val="center"/>
        </w:trPr>
        <w:tc>
          <w:tcPr>
            <w:tcW w:w="557" w:type="pct"/>
            <w:shd w:val="clear" w:color="auto" w:fill="auto"/>
            <w:vAlign w:val="center"/>
          </w:tcPr>
          <w:p w14:paraId="03C93052" w14:textId="77777777" w:rsidR="007D1E74" w:rsidRDefault="00A95641">
            <w:pPr>
              <w:jc w:val="center"/>
              <w:rPr>
                <w:rFonts w:cstheme="minorHAnsi"/>
                <w:sz w:val="18"/>
                <w:szCs w:val="18"/>
              </w:rPr>
            </w:pPr>
            <w:r>
              <w:rPr>
                <w:rFonts w:cstheme="minorHAnsi"/>
                <w:sz w:val="18"/>
                <w:szCs w:val="18"/>
              </w:rPr>
              <w:t>污染源</w:t>
            </w:r>
          </w:p>
          <w:p w14:paraId="584F6612" w14:textId="77777777" w:rsidR="007D1E74" w:rsidRDefault="00A95641">
            <w:pPr>
              <w:jc w:val="center"/>
              <w:rPr>
                <w:rFonts w:cstheme="minorHAnsi"/>
                <w:sz w:val="18"/>
                <w:szCs w:val="18"/>
              </w:rPr>
            </w:pPr>
            <w:r>
              <w:rPr>
                <w:rFonts w:cstheme="minorHAnsi"/>
                <w:sz w:val="18"/>
                <w:szCs w:val="18"/>
              </w:rPr>
              <w:t>调查</w:t>
            </w:r>
          </w:p>
        </w:tc>
        <w:tc>
          <w:tcPr>
            <w:tcW w:w="627" w:type="pct"/>
            <w:shd w:val="clear" w:color="auto" w:fill="auto"/>
            <w:vAlign w:val="center"/>
          </w:tcPr>
          <w:p w14:paraId="790BA7C9" w14:textId="77777777" w:rsidR="007D1E74" w:rsidRDefault="00A95641">
            <w:pPr>
              <w:jc w:val="center"/>
              <w:rPr>
                <w:rFonts w:cstheme="minorHAnsi"/>
                <w:sz w:val="18"/>
                <w:szCs w:val="18"/>
              </w:rPr>
            </w:pPr>
            <w:r>
              <w:rPr>
                <w:rFonts w:cstheme="minorHAnsi"/>
                <w:sz w:val="18"/>
                <w:szCs w:val="18"/>
              </w:rPr>
              <w:t>调查内容</w:t>
            </w:r>
          </w:p>
        </w:tc>
        <w:tc>
          <w:tcPr>
            <w:tcW w:w="953" w:type="pct"/>
            <w:gridSpan w:val="2"/>
            <w:vAlign w:val="center"/>
          </w:tcPr>
          <w:p w14:paraId="4F30D5C3" w14:textId="77777777" w:rsidR="007D1E74" w:rsidRDefault="00A95641">
            <w:pPr>
              <w:jc w:val="center"/>
              <w:rPr>
                <w:rFonts w:cstheme="minorHAnsi"/>
                <w:sz w:val="18"/>
                <w:szCs w:val="18"/>
              </w:rPr>
            </w:pPr>
            <w:r>
              <w:rPr>
                <w:rFonts w:cstheme="minorHAnsi"/>
                <w:sz w:val="18"/>
                <w:szCs w:val="18"/>
              </w:rPr>
              <w:t>本项目正常排放源</w:t>
            </w:r>
            <w:r>
              <w:rPr>
                <w:rFonts w:cstheme="minorHAnsi"/>
                <w:sz w:val="18"/>
                <w:szCs w:val="18"/>
              </w:rPr>
              <w:sym w:font="Wingdings 2" w:char="F052"/>
            </w:r>
          </w:p>
          <w:p w14:paraId="1F856A8A" w14:textId="77777777" w:rsidR="007D1E74" w:rsidRDefault="00A95641">
            <w:pPr>
              <w:jc w:val="center"/>
              <w:rPr>
                <w:rFonts w:cstheme="minorHAnsi"/>
                <w:sz w:val="18"/>
                <w:szCs w:val="18"/>
              </w:rPr>
            </w:pPr>
            <w:r>
              <w:rPr>
                <w:rFonts w:cstheme="minorHAnsi"/>
                <w:sz w:val="18"/>
                <w:szCs w:val="18"/>
              </w:rPr>
              <w:t>本项目非正常排放源</w:t>
            </w:r>
            <w:r>
              <w:rPr>
                <w:rFonts w:cstheme="minorHAnsi"/>
                <w:sz w:val="18"/>
                <w:szCs w:val="18"/>
              </w:rPr>
              <w:sym w:font="Wingdings 2" w:char="F052"/>
            </w:r>
          </w:p>
          <w:p w14:paraId="5C54FBA9" w14:textId="77777777" w:rsidR="007D1E74" w:rsidRDefault="00A95641">
            <w:pPr>
              <w:jc w:val="center"/>
              <w:rPr>
                <w:rFonts w:cstheme="minorHAnsi"/>
                <w:sz w:val="18"/>
                <w:szCs w:val="18"/>
              </w:rPr>
            </w:pPr>
            <w:r>
              <w:rPr>
                <w:rFonts w:cstheme="minorHAnsi"/>
                <w:sz w:val="18"/>
                <w:szCs w:val="18"/>
              </w:rPr>
              <w:t>现有污染源</w:t>
            </w:r>
            <w:r>
              <w:rPr>
                <w:rFonts w:cstheme="minorHAnsi"/>
                <w:sz w:val="18"/>
                <w:szCs w:val="18"/>
              </w:rPr>
              <w:t>□</w:t>
            </w:r>
          </w:p>
        </w:tc>
        <w:tc>
          <w:tcPr>
            <w:tcW w:w="957" w:type="pct"/>
            <w:gridSpan w:val="4"/>
            <w:vAlign w:val="center"/>
          </w:tcPr>
          <w:p w14:paraId="43475FD5" w14:textId="77777777" w:rsidR="007D1E74" w:rsidRDefault="00A95641">
            <w:pPr>
              <w:jc w:val="center"/>
              <w:rPr>
                <w:rFonts w:cstheme="minorHAnsi"/>
                <w:sz w:val="18"/>
                <w:szCs w:val="18"/>
              </w:rPr>
            </w:pPr>
            <w:r>
              <w:rPr>
                <w:rFonts w:cstheme="minorHAnsi"/>
                <w:sz w:val="18"/>
                <w:szCs w:val="18"/>
              </w:rPr>
              <w:t>拟替代的污染源</w:t>
            </w:r>
            <w:r>
              <w:rPr>
                <w:rFonts w:cstheme="minorHAnsi"/>
                <w:sz w:val="18"/>
                <w:szCs w:val="18"/>
              </w:rPr>
              <w:t>□</w:t>
            </w:r>
          </w:p>
        </w:tc>
        <w:tc>
          <w:tcPr>
            <w:tcW w:w="958" w:type="pct"/>
            <w:gridSpan w:val="4"/>
            <w:shd w:val="clear" w:color="auto" w:fill="auto"/>
            <w:vAlign w:val="center"/>
          </w:tcPr>
          <w:p w14:paraId="24343543" w14:textId="77777777" w:rsidR="007D1E74" w:rsidRDefault="00A95641">
            <w:pPr>
              <w:jc w:val="center"/>
              <w:rPr>
                <w:rFonts w:cstheme="minorHAnsi"/>
                <w:sz w:val="18"/>
                <w:szCs w:val="18"/>
              </w:rPr>
            </w:pPr>
            <w:r>
              <w:rPr>
                <w:rFonts w:cstheme="minorHAnsi"/>
                <w:sz w:val="18"/>
                <w:szCs w:val="18"/>
              </w:rPr>
              <w:t>其他在建、拟建项目污染源</w:t>
            </w:r>
            <w:r>
              <w:rPr>
                <w:rFonts w:cstheme="minorHAnsi"/>
                <w:sz w:val="18"/>
                <w:szCs w:val="18"/>
              </w:rPr>
              <w:t>□</w:t>
            </w:r>
          </w:p>
        </w:tc>
        <w:tc>
          <w:tcPr>
            <w:tcW w:w="948" w:type="pct"/>
            <w:gridSpan w:val="2"/>
            <w:vAlign w:val="center"/>
          </w:tcPr>
          <w:p w14:paraId="01EC1EBD" w14:textId="77777777" w:rsidR="007D1E74" w:rsidRDefault="00A95641">
            <w:pPr>
              <w:jc w:val="center"/>
              <w:rPr>
                <w:rFonts w:cstheme="minorHAnsi"/>
                <w:sz w:val="18"/>
                <w:szCs w:val="18"/>
              </w:rPr>
            </w:pPr>
            <w:r>
              <w:rPr>
                <w:rFonts w:cstheme="minorHAnsi"/>
                <w:sz w:val="18"/>
                <w:szCs w:val="18"/>
              </w:rPr>
              <w:t>区域污染源</w:t>
            </w:r>
            <w:r>
              <w:rPr>
                <w:rFonts w:cstheme="minorHAnsi"/>
                <w:sz w:val="18"/>
                <w:szCs w:val="18"/>
              </w:rPr>
              <w:t>□</w:t>
            </w:r>
          </w:p>
        </w:tc>
      </w:tr>
      <w:tr w:rsidR="007D1E74" w14:paraId="4B422E63" w14:textId="77777777">
        <w:trPr>
          <w:trHeight w:val="315"/>
          <w:jc w:val="center"/>
        </w:trPr>
        <w:tc>
          <w:tcPr>
            <w:tcW w:w="557" w:type="pct"/>
            <w:vMerge w:val="restart"/>
            <w:shd w:val="clear" w:color="auto" w:fill="auto"/>
            <w:vAlign w:val="center"/>
          </w:tcPr>
          <w:p w14:paraId="475B2165" w14:textId="77777777" w:rsidR="007D1E74" w:rsidRDefault="00A95641">
            <w:pPr>
              <w:jc w:val="center"/>
              <w:rPr>
                <w:rFonts w:cstheme="minorHAnsi"/>
                <w:sz w:val="18"/>
                <w:szCs w:val="18"/>
              </w:rPr>
            </w:pPr>
            <w:r>
              <w:rPr>
                <w:rFonts w:cstheme="minorHAnsi"/>
                <w:sz w:val="18"/>
                <w:szCs w:val="18"/>
              </w:rPr>
              <w:t>大气环境影响预测与评价</w:t>
            </w:r>
          </w:p>
        </w:tc>
        <w:tc>
          <w:tcPr>
            <w:tcW w:w="627" w:type="pct"/>
            <w:shd w:val="clear" w:color="auto" w:fill="auto"/>
            <w:vAlign w:val="center"/>
          </w:tcPr>
          <w:p w14:paraId="0E1D0B11" w14:textId="77777777" w:rsidR="007D1E74" w:rsidRDefault="00A95641">
            <w:pPr>
              <w:jc w:val="center"/>
              <w:rPr>
                <w:rFonts w:cstheme="minorHAnsi"/>
                <w:sz w:val="18"/>
                <w:szCs w:val="18"/>
              </w:rPr>
            </w:pPr>
            <w:r>
              <w:rPr>
                <w:rFonts w:cstheme="minorHAnsi"/>
                <w:sz w:val="18"/>
                <w:szCs w:val="18"/>
              </w:rPr>
              <w:t>预测模型</w:t>
            </w:r>
          </w:p>
        </w:tc>
        <w:tc>
          <w:tcPr>
            <w:tcW w:w="547" w:type="pct"/>
            <w:vAlign w:val="center"/>
          </w:tcPr>
          <w:p w14:paraId="0B3E49D2" w14:textId="77777777" w:rsidR="007D1E74" w:rsidRDefault="00A95641">
            <w:pPr>
              <w:jc w:val="center"/>
              <w:rPr>
                <w:rFonts w:cstheme="minorHAnsi"/>
                <w:sz w:val="18"/>
                <w:szCs w:val="18"/>
              </w:rPr>
            </w:pPr>
            <w:r>
              <w:rPr>
                <w:rFonts w:cstheme="minorHAnsi"/>
                <w:sz w:val="18"/>
                <w:szCs w:val="18"/>
              </w:rPr>
              <w:t>AERMOD□</w:t>
            </w:r>
          </w:p>
        </w:tc>
        <w:tc>
          <w:tcPr>
            <w:tcW w:w="544" w:type="pct"/>
            <w:gridSpan w:val="2"/>
            <w:vAlign w:val="center"/>
          </w:tcPr>
          <w:p w14:paraId="6FA2AB11" w14:textId="77777777" w:rsidR="007D1E74" w:rsidRDefault="00A95641">
            <w:pPr>
              <w:jc w:val="center"/>
              <w:rPr>
                <w:rFonts w:cstheme="minorHAnsi"/>
                <w:sz w:val="18"/>
                <w:szCs w:val="18"/>
              </w:rPr>
            </w:pPr>
            <w:r>
              <w:rPr>
                <w:rFonts w:cstheme="minorHAnsi"/>
                <w:sz w:val="18"/>
                <w:szCs w:val="18"/>
              </w:rPr>
              <w:t>ADMS□</w:t>
            </w:r>
          </w:p>
        </w:tc>
        <w:tc>
          <w:tcPr>
            <w:tcW w:w="545" w:type="pct"/>
            <w:gridSpan w:val="2"/>
            <w:shd w:val="clear" w:color="auto" w:fill="auto"/>
            <w:vAlign w:val="center"/>
          </w:tcPr>
          <w:p w14:paraId="4E89AAB4" w14:textId="77777777" w:rsidR="007D1E74" w:rsidRDefault="00A95641">
            <w:pPr>
              <w:jc w:val="center"/>
              <w:rPr>
                <w:rFonts w:cstheme="minorHAnsi"/>
                <w:sz w:val="18"/>
                <w:szCs w:val="18"/>
              </w:rPr>
            </w:pPr>
            <w:r>
              <w:rPr>
                <w:rFonts w:cstheme="minorHAnsi"/>
                <w:sz w:val="18"/>
                <w:szCs w:val="18"/>
              </w:rPr>
              <w:t>AUSTAL2000□</w:t>
            </w:r>
          </w:p>
        </w:tc>
        <w:tc>
          <w:tcPr>
            <w:tcW w:w="545" w:type="pct"/>
            <w:gridSpan w:val="2"/>
            <w:shd w:val="clear" w:color="auto" w:fill="auto"/>
            <w:vAlign w:val="center"/>
          </w:tcPr>
          <w:p w14:paraId="12669B3A" w14:textId="77777777" w:rsidR="007D1E74" w:rsidRDefault="00A95641">
            <w:pPr>
              <w:jc w:val="center"/>
              <w:rPr>
                <w:rFonts w:cstheme="minorHAnsi"/>
                <w:sz w:val="18"/>
                <w:szCs w:val="18"/>
              </w:rPr>
            </w:pPr>
            <w:r>
              <w:rPr>
                <w:rFonts w:cstheme="minorHAnsi"/>
                <w:sz w:val="18"/>
                <w:szCs w:val="18"/>
              </w:rPr>
              <w:t>EDMS/AEDT□</w:t>
            </w:r>
          </w:p>
        </w:tc>
        <w:tc>
          <w:tcPr>
            <w:tcW w:w="545" w:type="pct"/>
            <w:gridSpan w:val="2"/>
            <w:vAlign w:val="center"/>
          </w:tcPr>
          <w:p w14:paraId="055DBFC3" w14:textId="77777777" w:rsidR="007D1E74" w:rsidRDefault="00A95641">
            <w:pPr>
              <w:jc w:val="center"/>
              <w:rPr>
                <w:rFonts w:cstheme="minorHAnsi"/>
                <w:sz w:val="18"/>
                <w:szCs w:val="18"/>
              </w:rPr>
            </w:pPr>
            <w:r>
              <w:rPr>
                <w:rFonts w:cstheme="minorHAnsi"/>
                <w:sz w:val="18"/>
                <w:szCs w:val="18"/>
              </w:rPr>
              <w:t>CALPUFF□</w:t>
            </w:r>
          </w:p>
        </w:tc>
        <w:tc>
          <w:tcPr>
            <w:tcW w:w="547" w:type="pct"/>
            <w:gridSpan w:val="2"/>
            <w:vAlign w:val="center"/>
          </w:tcPr>
          <w:p w14:paraId="78925E73" w14:textId="77777777" w:rsidR="007D1E74" w:rsidRDefault="00A95641">
            <w:pPr>
              <w:jc w:val="center"/>
              <w:rPr>
                <w:rFonts w:cstheme="minorHAnsi"/>
                <w:sz w:val="18"/>
                <w:szCs w:val="18"/>
              </w:rPr>
            </w:pPr>
            <w:r>
              <w:rPr>
                <w:rFonts w:cstheme="minorHAnsi"/>
                <w:sz w:val="18"/>
                <w:szCs w:val="18"/>
              </w:rPr>
              <w:t>网格模型</w:t>
            </w:r>
            <w:r>
              <w:rPr>
                <w:rFonts w:cstheme="minorHAnsi"/>
                <w:sz w:val="18"/>
                <w:szCs w:val="18"/>
              </w:rPr>
              <w:t>□</w:t>
            </w:r>
          </w:p>
        </w:tc>
        <w:tc>
          <w:tcPr>
            <w:tcW w:w="542" w:type="pct"/>
            <w:vAlign w:val="center"/>
          </w:tcPr>
          <w:p w14:paraId="223E4DFA" w14:textId="77777777" w:rsidR="007D1E74" w:rsidRDefault="00A95641">
            <w:pPr>
              <w:jc w:val="center"/>
              <w:rPr>
                <w:rFonts w:cstheme="minorHAnsi"/>
                <w:sz w:val="18"/>
                <w:szCs w:val="18"/>
              </w:rPr>
            </w:pPr>
            <w:r>
              <w:rPr>
                <w:rFonts w:cstheme="minorHAnsi"/>
                <w:sz w:val="18"/>
                <w:szCs w:val="18"/>
              </w:rPr>
              <w:t>其他</w:t>
            </w:r>
            <w:r>
              <w:rPr>
                <w:rFonts w:cstheme="minorHAnsi"/>
                <w:sz w:val="18"/>
                <w:szCs w:val="18"/>
              </w:rPr>
              <w:t>□</w:t>
            </w:r>
          </w:p>
        </w:tc>
      </w:tr>
      <w:tr w:rsidR="007D1E74" w14:paraId="50715187" w14:textId="77777777">
        <w:trPr>
          <w:trHeight w:val="315"/>
          <w:jc w:val="center"/>
        </w:trPr>
        <w:tc>
          <w:tcPr>
            <w:tcW w:w="557" w:type="pct"/>
            <w:vMerge/>
            <w:shd w:val="clear" w:color="auto" w:fill="auto"/>
            <w:vAlign w:val="center"/>
          </w:tcPr>
          <w:p w14:paraId="44FA5924" w14:textId="77777777" w:rsidR="007D1E74" w:rsidRDefault="007D1E74">
            <w:pPr>
              <w:jc w:val="center"/>
              <w:rPr>
                <w:rFonts w:cstheme="minorHAnsi"/>
                <w:sz w:val="18"/>
                <w:szCs w:val="18"/>
              </w:rPr>
            </w:pPr>
          </w:p>
        </w:tc>
        <w:tc>
          <w:tcPr>
            <w:tcW w:w="627" w:type="pct"/>
            <w:shd w:val="clear" w:color="auto" w:fill="auto"/>
            <w:vAlign w:val="center"/>
          </w:tcPr>
          <w:p w14:paraId="533A975D" w14:textId="77777777" w:rsidR="007D1E74" w:rsidRDefault="00A95641">
            <w:pPr>
              <w:jc w:val="center"/>
              <w:rPr>
                <w:rFonts w:cstheme="minorHAnsi"/>
                <w:sz w:val="18"/>
                <w:szCs w:val="18"/>
              </w:rPr>
            </w:pPr>
            <w:r>
              <w:rPr>
                <w:rFonts w:cstheme="minorHAnsi"/>
                <w:sz w:val="18"/>
                <w:szCs w:val="18"/>
              </w:rPr>
              <w:t>预测范围</w:t>
            </w:r>
          </w:p>
        </w:tc>
        <w:tc>
          <w:tcPr>
            <w:tcW w:w="1271" w:type="pct"/>
            <w:gridSpan w:val="4"/>
            <w:vAlign w:val="center"/>
          </w:tcPr>
          <w:p w14:paraId="09CDAA19" w14:textId="77777777" w:rsidR="007D1E74" w:rsidRDefault="00A95641">
            <w:pPr>
              <w:jc w:val="center"/>
              <w:rPr>
                <w:rFonts w:cstheme="minorHAnsi"/>
                <w:sz w:val="18"/>
                <w:szCs w:val="18"/>
              </w:rPr>
            </w:pPr>
            <w:r>
              <w:rPr>
                <w:rFonts w:cstheme="minorHAnsi"/>
                <w:sz w:val="18"/>
                <w:szCs w:val="18"/>
              </w:rPr>
              <w:t>边长</w:t>
            </w:r>
            <w:r>
              <w:rPr>
                <w:rFonts w:cstheme="minorHAnsi"/>
                <w:sz w:val="18"/>
                <w:szCs w:val="18"/>
              </w:rPr>
              <w:t>≥50km□</w:t>
            </w:r>
          </w:p>
        </w:tc>
        <w:tc>
          <w:tcPr>
            <w:tcW w:w="1272" w:type="pct"/>
            <w:gridSpan w:val="4"/>
            <w:shd w:val="clear" w:color="auto" w:fill="auto"/>
            <w:vAlign w:val="center"/>
          </w:tcPr>
          <w:p w14:paraId="3203365B" w14:textId="77777777" w:rsidR="007D1E74" w:rsidRDefault="00A95641">
            <w:pPr>
              <w:jc w:val="center"/>
              <w:rPr>
                <w:rFonts w:cstheme="minorHAnsi"/>
                <w:sz w:val="18"/>
                <w:szCs w:val="18"/>
              </w:rPr>
            </w:pPr>
            <w:r>
              <w:rPr>
                <w:rFonts w:cstheme="minorHAnsi"/>
                <w:sz w:val="18"/>
                <w:szCs w:val="18"/>
              </w:rPr>
              <w:t>边长</w:t>
            </w:r>
            <w:r>
              <w:rPr>
                <w:rFonts w:cstheme="minorHAnsi"/>
                <w:sz w:val="18"/>
                <w:szCs w:val="18"/>
              </w:rPr>
              <w:t>5~50km□</w:t>
            </w:r>
          </w:p>
        </w:tc>
        <w:tc>
          <w:tcPr>
            <w:tcW w:w="1273" w:type="pct"/>
            <w:gridSpan w:val="4"/>
            <w:vAlign w:val="center"/>
          </w:tcPr>
          <w:p w14:paraId="40492084" w14:textId="77777777" w:rsidR="007D1E74" w:rsidRDefault="00A95641">
            <w:pPr>
              <w:jc w:val="center"/>
              <w:rPr>
                <w:rFonts w:cstheme="minorHAnsi"/>
                <w:sz w:val="18"/>
                <w:szCs w:val="18"/>
              </w:rPr>
            </w:pPr>
            <w:r>
              <w:rPr>
                <w:rFonts w:cstheme="minorHAnsi"/>
                <w:sz w:val="18"/>
                <w:szCs w:val="18"/>
              </w:rPr>
              <w:t>边长</w:t>
            </w:r>
            <w:r>
              <w:rPr>
                <w:rFonts w:cstheme="minorHAnsi"/>
                <w:sz w:val="18"/>
                <w:szCs w:val="18"/>
              </w:rPr>
              <w:t>=5km□</w:t>
            </w:r>
          </w:p>
        </w:tc>
      </w:tr>
      <w:tr w:rsidR="007D1E74" w14:paraId="75D40581" w14:textId="77777777">
        <w:trPr>
          <w:trHeight w:val="315"/>
          <w:jc w:val="center"/>
        </w:trPr>
        <w:tc>
          <w:tcPr>
            <w:tcW w:w="557" w:type="pct"/>
            <w:vMerge/>
            <w:shd w:val="clear" w:color="auto" w:fill="auto"/>
            <w:vAlign w:val="center"/>
          </w:tcPr>
          <w:p w14:paraId="26517F43" w14:textId="77777777" w:rsidR="007D1E74" w:rsidRDefault="007D1E74">
            <w:pPr>
              <w:jc w:val="center"/>
              <w:rPr>
                <w:rFonts w:cstheme="minorHAnsi"/>
                <w:sz w:val="18"/>
                <w:szCs w:val="18"/>
              </w:rPr>
            </w:pPr>
          </w:p>
        </w:tc>
        <w:tc>
          <w:tcPr>
            <w:tcW w:w="627" w:type="pct"/>
            <w:shd w:val="clear" w:color="auto" w:fill="auto"/>
            <w:vAlign w:val="center"/>
          </w:tcPr>
          <w:p w14:paraId="1F8BF14D" w14:textId="77777777" w:rsidR="007D1E74" w:rsidRDefault="00A95641">
            <w:pPr>
              <w:jc w:val="center"/>
              <w:rPr>
                <w:rFonts w:cstheme="minorHAnsi"/>
                <w:sz w:val="18"/>
                <w:szCs w:val="18"/>
              </w:rPr>
            </w:pPr>
            <w:r>
              <w:rPr>
                <w:rFonts w:cstheme="minorHAnsi"/>
                <w:sz w:val="18"/>
                <w:szCs w:val="18"/>
              </w:rPr>
              <w:t>预测因子</w:t>
            </w:r>
          </w:p>
        </w:tc>
        <w:tc>
          <w:tcPr>
            <w:tcW w:w="1910" w:type="pct"/>
            <w:gridSpan w:val="6"/>
            <w:vAlign w:val="center"/>
          </w:tcPr>
          <w:p w14:paraId="56B4E725" w14:textId="77777777" w:rsidR="007D1E74" w:rsidRDefault="00A95641">
            <w:pPr>
              <w:jc w:val="center"/>
              <w:rPr>
                <w:rFonts w:cstheme="minorHAnsi"/>
                <w:sz w:val="18"/>
                <w:szCs w:val="18"/>
              </w:rPr>
            </w:pPr>
            <w:r>
              <w:rPr>
                <w:rFonts w:cstheme="minorHAnsi"/>
                <w:sz w:val="18"/>
                <w:szCs w:val="18"/>
              </w:rPr>
              <w:t>预测因子（</w:t>
            </w:r>
            <w:r>
              <w:rPr>
                <w:rFonts w:cstheme="minorHAnsi"/>
                <w:sz w:val="18"/>
                <w:szCs w:val="18"/>
              </w:rPr>
              <w:t xml:space="preserve">      </w:t>
            </w:r>
            <w:r>
              <w:rPr>
                <w:rFonts w:cstheme="minorHAnsi"/>
                <w:sz w:val="18"/>
                <w:szCs w:val="18"/>
              </w:rPr>
              <w:t>）</w:t>
            </w:r>
          </w:p>
        </w:tc>
        <w:tc>
          <w:tcPr>
            <w:tcW w:w="1906" w:type="pct"/>
            <w:gridSpan w:val="6"/>
          </w:tcPr>
          <w:p w14:paraId="75145DEA" w14:textId="77777777" w:rsidR="007D1E74" w:rsidRDefault="00A95641">
            <w:pPr>
              <w:jc w:val="center"/>
              <w:rPr>
                <w:rFonts w:cstheme="minorHAnsi"/>
                <w:sz w:val="18"/>
                <w:szCs w:val="18"/>
              </w:rPr>
            </w:pPr>
            <w:r>
              <w:rPr>
                <w:rFonts w:cstheme="minorHAnsi"/>
                <w:sz w:val="18"/>
                <w:szCs w:val="18"/>
              </w:rPr>
              <w:t>包括二次</w:t>
            </w:r>
            <w:r>
              <w:rPr>
                <w:rFonts w:cstheme="minorHAnsi"/>
                <w:sz w:val="18"/>
                <w:szCs w:val="18"/>
              </w:rPr>
              <w:t>PM2.5□</w:t>
            </w:r>
          </w:p>
          <w:p w14:paraId="2963D44B" w14:textId="77777777" w:rsidR="007D1E74" w:rsidRDefault="00A95641">
            <w:pPr>
              <w:jc w:val="center"/>
              <w:rPr>
                <w:rFonts w:cstheme="minorHAnsi"/>
                <w:sz w:val="18"/>
                <w:szCs w:val="18"/>
              </w:rPr>
            </w:pPr>
            <w:r>
              <w:rPr>
                <w:rFonts w:cstheme="minorHAnsi"/>
                <w:sz w:val="18"/>
                <w:szCs w:val="18"/>
              </w:rPr>
              <w:t>不包括二次</w:t>
            </w:r>
            <w:r>
              <w:rPr>
                <w:rFonts w:cstheme="minorHAnsi"/>
                <w:sz w:val="18"/>
                <w:szCs w:val="18"/>
              </w:rPr>
              <w:t>PM2.5□</w:t>
            </w:r>
          </w:p>
        </w:tc>
      </w:tr>
      <w:tr w:rsidR="007D1E74" w14:paraId="491E8BCC" w14:textId="77777777">
        <w:trPr>
          <w:trHeight w:val="315"/>
          <w:jc w:val="center"/>
        </w:trPr>
        <w:tc>
          <w:tcPr>
            <w:tcW w:w="557" w:type="pct"/>
            <w:vMerge/>
            <w:shd w:val="clear" w:color="auto" w:fill="auto"/>
            <w:vAlign w:val="center"/>
          </w:tcPr>
          <w:p w14:paraId="61E411E8" w14:textId="77777777" w:rsidR="007D1E74" w:rsidRDefault="007D1E74">
            <w:pPr>
              <w:jc w:val="center"/>
              <w:rPr>
                <w:rFonts w:cstheme="minorHAnsi"/>
                <w:sz w:val="18"/>
                <w:szCs w:val="18"/>
              </w:rPr>
            </w:pPr>
          </w:p>
        </w:tc>
        <w:tc>
          <w:tcPr>
            <w:tcW w:w="627" w:type="pct"/>
            <w:shd w:val="clear" w:color="auto" w:fill="auto"/>
            <w:vAlign w:val="center"/>
          </w:tcPr>
          <w:p w14:paraId="058FEECA" w14:textId="77777777" w:rsidR="007D1E74" w:rsidRDefault="00A95641">
            <w:pPr>
              <w:jc w:val="center"/>
              <w:rPr>
                <w:rFonts w:cstheme="minorHAnsi"/>
                <w:sz w:val="18"/>
                <w:szCs w:val="18"/>
              </w:rPr>
            </w:pPr>
            <w:r>
              <w:rPr>
                <w:rFonts w:cstheme="minorHAnsi"/>
                <w:sz w:val="18"/>
                <w:szCs w:val="18"/>
              </w:rPr>
              <w:t>正常排放短期浓度贡献值</w:t>
            </w:r>
          </w:p>
        </w:tc>
        <w:tc>
          <w:tcPr>
            <w:tcW w:w="1910" w:type="pct"/>
            <w:gridSpan w:val="6"/>
            <w:vAlign w:val="center"/>
          </w:tcPr>
          <w:p w14:paraId="7DC8785F" w14:textId="77777777" w:rsidR="007D1E74" w:rsidRDefault="00A95641">
            <w:pPr>
              <w:jc w:val="center"/>
              <w:rPr>
                <w:rFonts w:cstheme="minorHAnsi"/>
                <w:sz w:val="18"/>
                <w:szCs w:val="18"/>
              </w:rPr>
            </w:pPr>
            <w:r>
              <w:rPr>
                <w:rFonts w:cstheme="minorHAnsi"/>
                <w:i/>
                <w:sz w:val="18"/>
                <w:szCs w:val="18"/>
              </w:rPr>
              <w:t>C</w:t>
            </w:r>
            <w:r>
              <w:rPr>
                <w:rFonts w:cstheme="minorHAnsi"/>
                <w:sz w:val="18"/>
                <w:szCs w:val="18"/>
                <w:vertAlign w:val="subscript"/>
              </w:rPr>
              <w:t>本项目</w:t>
            </w:r>
            <w:r>
              <w:rPr>
                <w:rFonts w:cstheme="minorHAnsi"/>
                <w:sz w:val="18"/>
                <w:szCs w:val="18"/>
              </w:rPr>
              <w:t>最大占标率</w:t>
            </w:r>
            <w:r>
              <w:rPr>
                <w:rFonts w:cstheme="minorHAnsi"/>
                <w:sz w:val="18"/>
                <w:szCs w:val="18"/>
              </w:rPr>
              <w:t>≤100%□</w:t>
            </w:r>
          </w:p>
        </w:tc>
        <w:tc>
          <w:tcPr>
            <w:tcW w:w="1906" w:type="pct"/>
            <w:gridSpan w:val="6"/>
            <w:vAlign w:val="center"/>
          </w:tcPr>
          <w:p w14:paraId="0EBECF2C" w14:textId="77777777" w:rsidR="007D1E74" w:rsidRDefault="00A95641">
            <w:pPr>
              <w:jc w:val="center"/>
              <w:rPr>
                <w:rFonts w:cstheme="minorHAnsi"/>
                <w:sz w:val="18"/>
                <w:szCs w:val="18"/>
              </w:rPr>
            </w:pPr>
            <w:r>
              <w:rPr>
                <w:rFonts w:cstheme="minorHAnsi"/>
                <w:i/>
                <w:sz w:val="18"/>
                <w:szCs w:val="18"/>
              </w:rPr>
              <w:t>C</w:t>
            </w:r>
            <w:r>
              <w:rPr>
                <w:rFonts w:cstheme="minorHAnsi"/>
                <w:sz w:val="18"/>
                <w:szCs w:val="18"/>
                <w:vertAlign w:val="subscript"/>
              </w:rPr>
              <w:t>本项目</w:t>
            </w:r>
            <w:r>
              <w:rPr>
                <w:rFonts w:cstheme="minorHAnsi"/>
                <w:sz w:val="18"/>
                <w:szCs w:val="18"/>
              </w:rPr>
              <w:t>最大占标率</w:t>
            </w:r>
            <w:r>
              <w:rPr>
                <w:rFonts w:cstheme="minorHAnsi"/>
                <w:sz w:val="18"/>
                <w:szCs w:val="18"/>
              </w:rPr>
              <w:t>&gt;100%□</w:t>
            </w:r>
          </w:p>
        </w:tc>
      </w:tr>
      <w:tr w:rsidR="007D1E74" w14:paraId="6648DD43" w14:textId="77777777">
        <w:trPr>
          <w:trHeight w:val="315"/>
          <w:jc w:val="center"/>
        </w:trPr>
        <w:tc>
          <w:tcPr>
            <w:tcW w:w="557" w:type="pct"/>
            <w:vMerge/>
            <w:shd w:val="clear" w:color="auto" w:fill="auto"/>
            <w:vAlign w:val="center"/>
          </w:tcPr>
          <w:p w14:paraId="33E5EF85" w14:textId="77777777" w:rsidR="007D1E74" w:rsidRDefault="007D1E74">
            <w:pPr>
              <w:jc w:val="center"/>
              <w:rPr>
                <w:rFonts w:cstheme="minorHAnsi"/>
                <w:sz w:val="18"/>
                <w:szCs w:val="18"/>
              </w:rPr>
            </w:pPr>
          </w:p>
        </w:tc>
        <w:tc>
          <w:tcPr>
            <w:tcW w:w="627" w:type="pct"/>
            <w:vMerge w:val="restart"/>
            <w:shd w:val="clear" w:color="auto" w:fill="auto"/>
            <w:vAlign w:val="center"/>
          </w:tcPr>
          <w:p w14:paraId="17229610" w14:textId="77777777" w:rsidR="007D1E74" w:rsidRDefault="00A95641">
            <w:pPr>
              <w:jc w:val="center"/>
              <w:rPr>
                <w:rFonts w:cstheme="minorHAnsi"/>
                <w:sz w:val="18"/>
                <w:szCs w:val="18"/>
              </w:rPr>
            </w:pPr>
            <w:r>
              <w:rPr>
                <w:rFonts w:cstheme="minorHAnsi"/>
                <w:sz w:val="18"/>
                <w:szCs w:val="18"/>
              </w:rPr>
              <w:t>正常排放年均浓度贡献值</w:t>
            </w:r>
          </w:p>
        </w:tc>
        <w:tc>
          <w:tcPr>
            <w:tcW w:w="547" w:type="pct"/>
            <w:vAlign w:val="center"/>
          </w:tcPr>
          <w:p w14:paraId="24E3A800" w14:textId="77777777" w:rsidR="007D1E74" w:rsidRDefault="00A95641">
            <w:pPr>
              <w:jc w:val="center"/>
              <w:rPr>
                <w:rFonts w:cstheme="minorHAnsi"/>
                <w:sz w:val="18"/>
                <w:szCs w:val="18"/>
              </w:rPr>
            </w:pPr>
            <w:r>
              <w:rPr>
                <w:rFonts w:cstheme="minorHAnsi"/>
                <w:sz w:val="18"/>
                <w:szCs w:val="18"/>
              </w:rPr>
              <w:t>一类区</w:t>
            </w:r>
          </w:p>
        </w:tc>
        <w:tc>
          <w:tcPr>
            <w:tcW w:w="1363" w:type="pct"/>
            <w:gridSpan w:val="5"/>
            <w:vAlign w:val="center"/>
          </w:tcPr>
          <w:p w14:paraId="4CB0C6B7" w14:textId="77777777" w:rsidR="007D1E74" w:rsidRDefault="00A95641">
            <w:pPr>
              <w:jc w:val="center"/>
              <w:rPr>
                <w:rFonts w:cstheme="minorHAnsi"/>
                <w:sz w:val="18"/>
                <w:szCs w:val="18"/>
              </w:rPr>
            </w:pPr>
            <w:r>
              <w:rPr>
                <w:rFonts w:cstheme="minorHAnsi"/>
                <w:i/>
                <w:sz w:val="18"/>
                <w:szCs w:val="18"/>
              </w:rPr>
              <w:t>C</w:t>
            </w:r>
            <w:r>
              <w:rPr>
                <w:rFonts w:cstheme="minorHAnsi"/>
                <w:sz w:val="18"/>
                <w:szCs w:val="18"/>
                <w:vertAlign w:val="subscript"/>
              </w:rPr>
              <w:t>本项目</w:t>
            </w:r>
            <w:r>
              <w:rPr>
                <w:rFonts w:cstheme="minorHAnsi"/>
                <w:sz w:val="18"/>
                <w:szCs w:val="18"/>
              </w:rPr>
              <w:t>最大占标率</w:t>
            </w:r>
            <w:r>
              <w:rPr>
                <w:rFonts w:cstheme="minorHAnsi"/>
                <w:sz w:val="18"/>
                <w:szCs w:val="18"/>
              </w:rPr>
              <w:t>≤10%□</w:t>
            </w:r>
          </w:p>
        </w:tc>
        <w:tc>
          <w:tcPr>
            <w:tcW w:w="1906" w:type="pct"/>
            <w:gridSpan w:val="6"/>
            <w:vAlign w:val="center"/>
          </w:tcPr>
          <w:p w14:paraId="34C43598" w14:textId="77777777" w:rsidR="007D1E74" w:rsidRDefault="00A95641">
            <w:pPr>
              <w:jc w:val="center"/>
              <w:rPr>
                <w:rFonts w:cstheme="minorHAnsi"/>
                <w:sz w:val="18"/>
                <w:szCs w:val="18"/>
              </w:rPr>
            </w:pPr>
            <w:r>
              <w:rPr>
                <w:rFonts w:cstheme="minorHAnsi"/>
                <w:i/>
                <w:sz w:val="18"/>
                <w:szCs w:val="18"/>
              </w:rPr>
              <w:t>C</w:t>
            </w:r>
            <w:r>
              <w:rPr>
                <w:rFonts w:cstheme="minorHAnsi"/>
                <w:sz w:val="18"/>
                <w:szCs w:val="18"/>
                <w:vertAlign w:val="subscript"/>
              </w:rPr>
              <w:t>本项目</w:t>
            </w:r>
            <w:r>
              <w:rPr>
                <w:rFonts w:cstheme="minorHAnsi"/>
                <w:sz w:val="18"/>
                <w:szCs w:val="18"/>
              </w:rPr>
              <w:t>最大占标率</w:t>
            </w:r>
            <w:r>
              <w:rPr>
                <w:rFonts w:cstheme="minorHAnsi"/>
                <w:sz w:val="18"/>
                <w:szCs w:val="18"/>
              </w:rPr>
              <w:t>&gt;10%□</w:t>
            </w:r>
          </w:p>
        </w:tc>
      </w:tr>
      <w:tr w:rsidR="007D1E74" w14:paraId="013B21C6" w14:textId="77777777">
        <w:trPr>
          <w:trHeight w:val="315"/>
          <w:jc w:val="center"/>
        </w:trPr>
        <w:tc>
          <w:tcPr>
            <w:tcW w:w="557" w:type="pct"/>
            <w:vMerge/>
            <w:shd w:val="clear" w:color="auto" w:fill="auto"/>
            <w:vAlign w:val="center"/>
          </w:tcPr>
          <w:p w14:paraId="145D3367" w14:textId="77777777" w:rsidR="007D1E74" w:rsidRDefault="007D1E74">
            <w:pPr>
              <w:jc w:val="center"/>
              <w:rPr>
                <w:rFonts w:cstheme="minorHAnsi"/>
                <w:sz w:val="18"/>
                <w:szCs w:val="18"/>
              </w:rPr>
            </w:pPr>
          </w:p>
        </w:tc>
        <w:tc>
          <w:tcPr>
            <w:tcW w:w="627" w:type="pct"/>
            <w:vMerge/>
            <w:shd w:val="clear" w:color="auto" w:fill="auto"/>
            <w:vAlign w:val="center"/>
          </w:tcPr>
          <w:p w14:paraId="5689A4A6" w14:textId="77777777" w:rsidR="007D1E74" w:rsidRDefault="007D1E74">
            <w:pPr>
              <w:jc w:val="center"/>
              <w:rPr>
                <w:rFonts w:cstheme="minorHAnsi"/>
                <w:sz w:val="18"/>
                <w:szCs w:val="18"/>
              </w:rPr>
            </w:pPr>
          </w:p>
        </w:tc>
        <w:tc>
          <w:tcPr>
            <w:tcW w:w="547" w:type="pct"/>
            <w:vAlign w:val="center"/>
          </w:tcPr>
          <w:p w14:paraId="797E50EA" w14:textId="77777777" w:rsidR="007D1E74" w:rsidRDefault="00A95641">
            <w:pPr>
              <w:jc w:val="center"/>
              <w:rPr>
                <w:rFonts w:cstheme="minorHAnsi"/>
                <w:sz w:val="18"/>
                <w:szCs w:val="18"/>
              </w:rPr>
            </w:pPr>
            <w:r>
              <w:rPr>
                <w:rFonts w:cstheme="minorHAnsi"/>
                <w:sz w:val="18"/>
                <w:szCs w:val="18"/>
              </w:rPr>
              <w:t>二类区</w:t>
            </w:r>
          </w:p>
        </w:tc>
        <w:tc>
          <w:tcPr>
            <w:tcW w:w="1363" w:type="pct"/>
            <w:gridSpan w:val="5"/>
            <w:vAlign w:val="center"/>
          </w:tcPr>
          <w:p w14:paraId="7DF30E53" w14:textId="77777777" w:rsidR="007D1E74" w:rsidRDefault="00A95641">
            <w:pPr>
              <w:jc w:val="center"/>
              <w:rPr>
                <w:rFonts w:cstheme="minorHAnsi"/>
                <w:sz w:val="18"/>
                <w:szCs w:val="18"/>
              </w:rPr>
            </w:pPr>
            <w:r>
              <w:rPr>
                <w:rFonts w:cstheme="minorHAnsi"/>
                <w:i/>
                <w:sz w:val="18"/>
                <w:szCs w:val="18"/>
              </w:rPr>
              <w:t>C</w:t>
            </w:r>
            <w:r>
              <w:rPr>
                <w:rFonts w:cstheme="minorHAnsi"/>
                <w:sz w:val="18"/>
                <w:szCs w:val="18"/>
                <w:vertAlign w:val="subscript"/>
              </w:rPr>
              <w:t>本项目</w:t>
            </w:r>
            <w:r>
              <w:rPr>
                <w:rFonts w:cstheme="minorHAnsi"/>
                <w:sz w:val="18"/>
                <w:szCs w:val="18"/>
              </w:rPr>
              <w:t>最大占标率</w:t>
            </w:r>
            <w:r>
              <w:rPr>
                <w:rFonts w:cstheme="minorHAnsi"/>
                <w:sz w:val="18"/>
                <w:szCs w:val="18"/>
              </w:rPr>
              <w:t>≤30%□</w:t>
            </w:r>
          </w:p>
        </w:tc>
        <w:tc>
          <w:tcPr>
            <w:tcW w:w="1906" w:type="pct"/>
            <w:gridSpan w:val="6"/>
            <w:vAlign w:val="center"/>
          </w:tcPr>
          <w:p w14:paraId="707986F4" w14:textId="77777777" w:rsidR="007D1E74" w:rsidRDefault="00A95641">
            <w:pPr>
              <w:jc w:val="center"/>
              <w:rPr>
                <w:rFonts w:cstheme="minorHAnsi"/>
                <w:sz w:val="18"/>
                <w:szCs w:val="18"/>
              </w:rPr>
            </w:pPr>
            <w:r>
              <w:rPr>
                <w:rFonts w:cstheme="minorHAnsi"/>
                <w:i/>
                <w:sz w:val="18"/>
                <w:szCs w:val="18"/>
              </w:rPr>
              <w:t>C</w:t>
            </w:r>
            <w:r>
              <w:rPr>
                <w:rFonts w:cstheme="minorHAnsi"/>
                <w:sz w:val="18"/>
                <w:szCs w:val="18"/>
                <w:vertAlign w:val="subscript"/>
              </w:rPr>
              <w:t>本项目</w:t>
            </w:r>
            <w:r>
              <w:rPr>
                <w:rFonts w:cstheme="minorHAnsi"/>
                <w:sz w:val="18"/>
                <w:szCs w:val="18"/>
              </w:rPr>
              <w:t>最大占标率</w:t>
            </w:r>
            <w:r>
              <w:rPr>
                <w:rFonts w:cstheme="minorHAnsi"/>
                <w:sz w:val="18"/>
                <w:szCs w:val="18"/>
              </w:rPr>
              <w:t>&gt;30%□</w:t>
            </w:r>
          </w:p>
        </w:tc>
      </w:tr>
      <w:tr w:rsidR="007D1E74" w14:paraId="6CE4E269" w14:textId="77777777">
        <w:trPr>
          <w:trHeight w:val="315"/>
          <w:jc w:val="center"/>
        </w:trPr>
        <w:tc>
          <w:tcPr>
            <w:tcW w:w="557" w:type="pct"/>
            <w:vMerge/>
            <w:shd w:val="clear" w:color="auto" w:fill="auto"/>
            <w:vAlign w:val="center"/>
          </w:tcPr>
          <w:p w14:paraId="548B6865" w14:textId="77777777" w:rsidR="007D1E74" w:rsidRDefault="007D1E74">
            <w:pPr>
              <w:jc w:val="center"/>
              <w:rPr>
                <w:rFonts w:cstheme="minorHAnsi"/>
                <w:sz w:val="18"/>
                <w:szCs w:val="18"/>
              </w:rPr>
            </w:pPr>
          </w:p>
        </w:tc>
        <w:tc>
          <w:tcPr>
            <w:tcW w:w="627" w:type="pct"/>
            <w:shd w:val="clear" w:color="auto" w:fill="auto"/>
            <w:vAlign w:val="center"/>
          </w:tcPr>
          <w:p w14:paraId="0330BEC4" w14:textId="77777777" w:rsidR="007D1E74" w:rsidRDefault="00A95641">
            <w:pPr>
              <w:jc w:val="center"/>
              <w:rPr>
                <w:rFonts w:cstheme="minorHAnsi"/>
                <w:sz w:val="18"/>
                <w:szCs w:val="18"/>
              </w:rPr>
            </w:pPr>
            <w:r>
              <w:rPr>
                <w:rFonts w:cstheme="minorHAnsi"/>
                <w:sz w:val="18"/>
                <w:szCs w:val="18"/>
              </w:rPr>
              <w:t>非正常排放</w:t>
            </w:r>
            <w:r>
              <w:rPr>
                <w:rFonts w:cstheme="minorHAnsi"/>
                <w:sz w:val="18"/>
                <w:szCs w:val="18"/>
              </w:rPr>
              <w:t>1h</w:t>
            </w:r>
            <w:r>
              <w:rPr>
                <w:rFonts w:cstheme="minorHAnsi"/>
                <w:sz w:val="18"/>
                <w:szCs w:val="18"/>
              </w:rPr>
              <w:t>浓度贡献值</w:t>
            </w:r>
          </w:p>
        </w:tc>
        <w:tc>
          <w:tcPr>
            <w:tcW w:w="1271" w:type="pct"/>
            <w:gridSpan w:val="4"/>
            <w:vAlign w:val="center"/>
          </w:tcPr>
          <w:p w14:paraId="00131C81" w14:textId="77777777" w:rsidR="007D1E74" w:rsidRDefault="00A95641">
            <w:pPr>
              <w:jc w:val="center"/>
              <w:rPr>
                <w:rFonts w:cstheme="minorHAnsi"/>
                <w:sz w:val="18"/>
                <w:szCs w:val="18"/>
              </w:rPr>
            </w:pPr>
            <w:r>
              <w:rPr>
                <w:rFonts w:cstheme="minorHAnsi"/>
                <w:sz w:val="18"/>
                <w:szCs w:val="18"/>
              </w:rPr>
              <w:t>非正常持续时长（</w:t>
            </w:r>
            <w:r>
              <w:rPr>
                <w:rFonts w:cstheme="minorHAnsi"/>
                <w:sz w:val="18"/>
                <w:szCs w:val="18"/>
              </w:rPr>
              <w:t xml:space="preserve"> </w:t>
            </w:r>
            <w:r>
              <w:rPr>
                <w:rFonts w:cstheme="minorHAnsi"/>
                <w:sz w:val="18"/>
                <w:szCs w:val="18"/>
              </w:rPr>
              <w:t>）</w:t>
            </w:r>
            <w:r>
              <w:rPr>
                <w:rFonts w:cstheme="minorHAnsi"/>
                <w:sz w:val="18"/>
                <w:szCs w:val="18"/>
              </w:rPr>
              <w:t>h</w:t>
            </w:r>
          </w:p>
        </w:tc>
        <w:tc>
          <w:tcPr>
            <w:tcW w:w="1272" w:type="pct"/>
            <w:gridSpan w:val="4"/>
            <w:shd w:val="clear" w:color="auto" w:fill="auto"/>
            <w:vAlign w:val="center"/>
          </w:tcPr>
          <w:p w14:paraId="78393649" w14:textId="77777777" w:rsidR="007D1E74" w:rsidRDefault="00A95641">
            <w:pPr>
              <w:jc w:val="center"/>
              <w:rPr>
                <w:rFonts w:cstheme="minorHAnsi"/>
                <w:sz w:val="18"/>
                <w:szCs w:val="18"/>
              </w:rPr>
            </w:pPr>
            <w:r>
              <w:rPr>
                <w:rFonts w:cstheme="minorHAnsi"/>
                <w:i/>
                <w:sz w:val="18"/>
                <w:szCs w:val="18"/>
              </w:rPr>
              <w:t>C</w:t>
            </w:r>
            <w:r>
              <w:rPr>
                <w:rFonts w:cstheme="minorHAnsi"/>
                <w:sz w:val="18"/>
                <w:szCs w:val="18"/>
                <w:vertAlign w:val="subscript"/>
              </w:rPr>
              <w:t>非正常</w:t>
            </w:r>
            <w:r>
              <w:rPr>
                <w:rFonts w:cstheme="minorHAnsi"/>
                <w:sz w:val="18"/>
                <w:szCs w:val="18"/>
              </w:rPr>
              <w:t>占标率</w:t>
            </w:r>
            <w:r>
              <w:rPr>
                <w:rFonts w:cstheme="minorHAnsi"/>
                <w:sz w:val="18"/>
                <w:szCs w:val="18"/>
              </w:rPr>
              <w:t>≤100%□</w:t>
            </w:r>
          </w:p>
        </w:tc>
        <w:tc>
          <w:tcPr>
            <w:tcW w:w="1273" w:type="pct"/>
            <w:gridSpan w:val="4"/>
            <w:vAlign w:val="center"/>
          </w:tcPr>
          <w:p w14:paraId="45E492EA" w14:textId="77777777" w:rsidR="007D1E74" w:rsidRDefault="00A95641">
            <w:pPr>
              <w:jc w:val="center"/>
              <w:rPr>
                <w:rFonts w:cstheme="minorHAnsi"/>
                <w:sz w:val="18"/>
                <w:szCs w:val="18"/>
              </w:rPr>
            </w:pPr>
            <w:r>
              <w:rPr>
                <w:rFonts w:cstheme="minorHAnsi"/>
                <w:i/>
                <w:sz w:val="18"/>
                <w:szCs w:val="18"/>
              </w:rPr>
              <w:t>C</w:t>
            </w:r>
            <w:r>
              <w:rPr>
                <w:rFonts w:cstheme="minorHAnsi"/>
                <w:sz w:val="18"/>
                <w:szCs w:val="18"/>
                <w:vertAlign w:val="subscript"/>
              </w:rPr>
              <w:t>非正常</w:t>
            </w:r>
            <w:r>
              <w:rPr>
                <w:rFonts w:cstheme="minorHAnsi"/>
                <w:sz w:val="18"/>
                <w:szCs w:val="18"/>
              </w:rPr>
              <w:t>占标率</w:t>
            </w:r>
            <w:r>
              <w:rPr>
                <w:rFonts w:cstheme="minorHAnsi"/>
                <w:sz w:val="18"/>
                <w:szCs w:val="18"/>
              </w:rPr>
              <w:t>&gt;100%□</w:t>
            </w:r>
          </w:p>
        </w:tc>
      </w:tr>
      <w:tr w:rsidR="007D1E74" w14:paraId="435BB2EA" w14:textId="77777777">
        <w:trPr>
          <w:trHeight w:val="315"/>
          <w:jc w:val="center"/>
        </w:trPr>
        <w:tc>
          <w:tcPr>
            <w:tcW w:w="557" w:type="pct"/>
            <w:vMerge/>
            <w:shd w:val="clear" w:color="auto" w:fill="auto"/>
            <w:vAlign w:val="center"/>
          </w:tcPr>
          <w:p w14:paraId="23CEDA52" w14:textId="77777777" w:rsidR="007D1E74" w:rsidRDefault="007D1E74">
            <w:pPr>
              <w:jc w:val="center"/>
              <w:rPr>
                <w:rFonts w:cstheme="minorHAnsi"/>
                <w:sz w:val="18"/>
                <w:szCs w:val="18"/>
              </w:rPr>
            </w:pPr>
          </w:p>
        </w:tc>
        <w:tc>
          <w:tcPr>
            <w:tcW w:w="627" w:type="pct"/>
            <w:shd w:val="clear" w:color="auto" w:fill="auto"/>
            <w:vAlign w:val="center"/>
          </w:tcPr>
          <w:p w14:paraId="519A3F26" w14:textId="77777777" w:rsidR="007D1E74" w:rsidRDefault="00A95641">
            <w:pPr>
              <w:jc w:val="center"/>
              <w:rPr>
                <w:rFonts w:cstheme="minorHAnsi"/>
                <w:sz w:val="18"/>
                <w:szCs w:val="18"/>
              </w:rPr>
            </w:pPr>
            <w:r>
              <w:rPr>
                <w:rFonts w:cstheme="minorHAnsi"/>
                <w:sz w:val="18"/>
                <w:szCs w:val="18"/>
              </w:rPr>
              <w:t>保证率日平均浓度和年平均浓度叠加值</w:t>
            </w:r>
          </w:p>
        </w:tc>
        <w:tc>
          <w:tcPr>
            <w:tcW w:w="1910" w:type="pct"/>
            <w:gridSpan w:val="6"/>
            <w:vAlign w:val="center"/>
          </w:tcPr>
          <w:p w14:paraId="257579F6" w14:textId="77777777" w:rsidR="007D1E74" w:rsidRDefault="00A95641">
            <w:pPr>
              <w:jc w:val="center"/>
              <w:rPr>
                <w:rFonts w:cstheme="minorHAnsi"/>
                <w:sz w:val="18"/>
                <w:szCs w:val="18"/>
              </w:rPr>
            </w:pPr>
            <w:r>
              <w:rPr>
                <w:rFonts w:cstheme="minorHAnsi"/>
                <w:i/>
                <w:sz w:val="18"/>
                <w:szCs w:val="18"/>
              </w:rPr>
              <w:t>C</w:t>
            </w:r>
            <w:r>
              <w:rPr>
                <w:rFonts w:cstheme="minorHAnsi"/>
                <w:sz w:val="18"/>
                <w:szCs w:val="18"/>
                <w:vertAlign w:val="subscript"/>
              </w:rPr>
              <w:t>叠加</w:t>
            </w:r>
            <w:r>
              <w:rPr>
                <w:rFonts w:cstheme="minorHAnsi"/>
                <w:sz w:val="18"/>
                <w:szCs w:val="18"/>
              </w:rPr>
              <w:t>达标</w:t>
            </w:r>
            <w:r>
              <w:rPr>
                <w:rFonts w:cstheme="minorHAnsi"/>
                <w:sz w:val="18"/>
                <w:szCs w:val="18"/>
              </w:rPr>
              <w:t>□</w:t>
            </w:r>
          </w:p>
        </w:tc>
        <w:tc>
          <w:tcPr>
            <w:tcW w:w="1906" w:type="pct"/>
            <w:gridSpan w:val="6"/>
            <w:vAlign w:val="center"/>
          </w:tcPr>
          <w:p w14:paraId="26D48E16" w14:textId="77777777" w:rsidR="007D1E74" w:rsidRDefault="00A95641">
            <w:pPr>
              <w:jc w:val="center"/>
              <w:rPr>
                <w:rFonts w:cstheme="minorHAnsi"/>
                <w:sz w:val="18"/>
                <w:szCs w:val="18"/>
              </w:rPr>
            </w:pPr>
            <w:r>
              <w:rPr>
                <w:rFonts w:cstheme="minorHAnsi"/>
                <w:i/>
                <w:sz w:val="18"/>
                <w:szCs w:val="18"/>
              </w:rPr>
              <w:t>C</w:t>
            </w:r>
            <w:r>
              <w:rPr>
                <w:rFonts w:cstheme="minorHAnsi"/>
                <w:sz w:val="18"/>
                <w:szCs w:val="18"/>
                <w:vertAlign w:val="subscript"/>
              </w:rPr>
              <w:t>叠加</w:t>
            </w:r>
            <w:r>
              <w:rPr>
                <w:rFonts w:cstheme="minorHAnsi"/>
                <w:sz w:val="18"/>
                <w:szCs w:val="18"/>
              </w:rPr>
              <w:t>不达标</w:t>
            </w:r>
            <w:r>
              <w:rPr>
                <w:rFonts w:cstheme="minorHAnsi"/>
                <w:sz w:val="18"/>
                <w:szCs w:val="18"/>
              </w:rPr>
              <w:t>□</w:t>
            </w:r>
          </w:p>
        </w:tc>
      </w:tr>
      <w:tr w:rsidR="007D1E74" w14:paraId="2F790B34" w14:textId="77777777">
        <w:trPr>
          <w:trHeight w:val="315"/>
          <w:jc w:val="center"/>
        </w:trPr>
        <w:tc>
          <w:tcPr>
            <w:tcW w:w="557" w:type="pct"/>
            <w:vMerge/>
            <w:shd w:val="clear" w:color="auto" w:fill="auto"/>
            <w:vAlign w:val="center"/>
          </w:tcPr>
          <w:p w14:paraId="2FEB9B71" w14:textId="77777777" w:rsidR="007D1E74" w:rsidRDefault="007D1E74">
            <w:pPr>
              <w:jc w:val="center"/>
              <w:rPr>
                <w:rFonts w:cstheme="minorHAnsi"/>
                <w:sz w:val="18"/>
                <w:szCs w:val="18"/>
              </w:rPr>
            </w:pPr>
          </w:p>
        </w:tc>
        <w:tc>
          <w:tcPr>
            <w:tcW w:w="627" w:type="pct"/>
            <w:shd w:val="clear" w:color="auto" w:fill="auto"/>
            <w:vAlign w:val="center"/>
          </w:tcPr>
          <w:p w14:paraId="7CB70F1F" w14:textId="77777777" w:rsidR="007D1E74" w:rsidRDefault="00A95641">
            <w:pPr>
              <w:jc w:val="center"/>
              <w:rPr>
                <w:rFonts w:cstheme="minorHAnsi"/>
                <w:sz w:val="18"/>
                <w:szCs w:val="18"/>
              </w:rPr>
            </w:pPr>
            <w:r>
              <w:rPr>
                <w:rFonts w:cstheme="minorHAnsi"/>
                <w:sz w:val="18"/>
                <w:szCs w:val="18"/>
              </w:rPr>
              <w:t>区域环境质量的整体变化情况</w:t>
            </w:r>
          </w:p>
        </w:tc>
        <w:tc>
          <w:tcPr>
            <w:tcW w:w="1910" w:type="pct"/>
            <w:gridSpan w:val="6"/>
            <w:vAlign w:val="center"/>
          </w:tcPr>
          <w:p w14:paraId="15CC06A2" w14:textId="77777777" w:rsidR="007D1E74" w:rsidRDefault="00A95641">
            <w:pPr>
              <w:jc w:val="center"/>
              <w:rPr>
                <w:rFonts w:cstheme="minorHAnsi"/>
                <w:sz w:val="18"/>
                <w:szCs w:val="18"/>
              </w:rPr>
            </w:pPr>
            <w:r>
              <w:rPr>
                <w:rFonts w:cstheme="minorHAnsi"/>
                <w:i/>
                <w:sz w:val="18"/>
                <w:szCs w:val="18"/>
              </w:rPr>
              <w:t>k</w:t>
            </w:r>
            <w:r>
              <w:rPr>
                <w:rFonts w:cstheme="minorHAnsi"/>
                <w:sz w:val="18"/>
                <w:szCs w:val="18"/>
              </w:rPr>
              <w:t>≤-20%□</w:t>
            </w:r>
          </w:p>
        </w:tc>
        <w:tc>
          <w:tcPr>
            <w:tcW w:w="1906" w:type="pct"/>
            <w:gridSpan w:val="6"/>
            <w:vAlign w:val="center"/>
          </w:tcPr>
          <w:p w14:paraId="4F273DC2" w14:textId="77777777" w:rsidR="007D1E74" w:rsidRDefault="00A95641">
            <w:pPr>
              <w:jc w:val="center"/>
              <w:rPr>
                <w:rFonts w:cstheme="minorHAnsi"/>
                <w:sz w:val="18"/>
                <w:szCs w:val="18"/>
              </w:rPr>
            </w:pPr>
            <w:r>
              <w:rPr>
                <w:rFonts w:cstheme="minorHAnsi"/>
                <w:i/>
                <w:sz w:val="18"/>
                <w:szCs w:val="18"/>
              </w:rPr>
              <w:t>k</w:t>
            </w:r>
            <w:r>
              <w:rPr>
                <w:rFonts w:cstheme="minorHAnsi"/>
                <w:sz w:val="18"/>
                <w:szCs w:val="18"/>
              </w:rPr>
              <w:t>&gt;-20%□</w:t>
            </w:r>
          </w:p>
        </w:tc>
      </w:tr>
      <w:tr w:rsidR="007D1E74" w14:paraId="28AEBB6F" w14:textId="77777777">
        <w:trPr>
          <w:trHeight w:val="315"/>
          <w:jc w:val="center"/>
        </w:trPr>
        <w:tc>
          <w:tcPr>
            <w:tcW w:w="557" w:type="pct"/>
            <w:vMerge w:val="restart"/>
            <w:shd w:val="clear" w:color="auto" w:fill="auto"/>
            <w:vAlign w:val="center"/>
          </w:tcPr>
          <w:p w14:paraId="51AF878E" w14:textId="77777777" w:rsidR="007D1E74" w:rsidRDefault="00A95641">
            <w:pPr>
              <w:jc w:val="center"/>
              <w:rPr>
                <w:rFonts w:cstheme="minorHAnsi"/>
                <w:sz w:val="18"/>
                <w:szCs w:val="18"/>
              </w:rPr>
            </w:pPr>
            <w:r>
              <w:rPr>
                <w:rFonts w:cstheme="minorHAnsi"/>
                <w:sz w:val="18"/>
                <w:szCs w:val="18"/>
              </w:rPr>
              <w:t>环境监测计划</w:t>
            </w:r>
          </w:p>
        </w:tc>
        <w:tc>
          <w:tcPr>
            <w:tcW w:w="627" w:type="pct"/>
            <w:shd w:val="clear" w:color="auto" w:fill="auto"/>
            <w:vAlign w:val="center"/>
          </w:tcPr>
          <w:p w14:paraId="55F03F3B" w14:textId="77777777" w:rsidR="007D1E74" w:rsidRDefault="00A95641">
            <w:pPr>
              <w:jc w:val="center"/>
              <w:rPr>
                <w:rFonts w:cstheme="minorHAnsi"/>
                <w:sz w:val="18"/>
                <w:szCs w:val="18"/>
              </w:rPr>
            </w:pPr>
            <w:r>
              <w:rPr>
                <w:rFonts w:cstheme="minorHAnsi"/>
                <w:sz w:val="18"/>
                <w:szCs w:val="18"/>
              </w:rPr>
              <w:t>污染源监测</w:t>
            </w:r>
          </w:p>
        </w:tc>
        <w:tc>
          <w:tcPr>
            <w:tcW w:w="1271" w:type="pct"/>
            <w:gridSpan w:val="4"/>
            <w:vAlign w:val="center"/>
          </w:tcPr>
          <w:p w14:paraId="7CB6A2CE" w14:textId="77777777" w:rsidR="007D1E74" w:rsidRDefault="00A95641">
            <w:pPr>
              <w:rPr>
                <w:rFonts w:cstheme="minorHAnsi"/>
                <w:sz w:val="18"/>
                <w:szCs w:val="18"/>
              </w:rPr>
            </w:pPr>
            <w:r>
              <w:rPr>
                <w:rFonts w:cstheme="minorHAnsi"/>
                <w:sz w:val="18"/>
                <w:szCs w:val="18"/>
              </w:rPr>
              <w:t>监测因子（</w:t>
            </w:r>
            <w:r>
              <w:rPr>
                <w:rFonts w:cstheme="minorHAnsi" w:hint="eastAsia"/>
                <w:sz w:val="18"/>
                <w:szCs w:val="18"/>
              </w:rPr>
              <w:t xml:space="preserve"> </w:t>
            </w:r>
            <w:r>
              <w:rPr>
                <w:rFonts w:cstheme="minorHAnsi"/>
                <w:sz w:val="18"/>
                <w:szCs w:val="18"/>
              </w:rPr>
              <w:t>）</w:t>
            </w:r>
          </w:p>
        </w:tc>
        <w:tc>
          <w:tcPr>
            <w:tcW w:w="1272" w:type="pct"/>
            <w:gridSpan w:val="4"/>
            <w:shd w:val="clear" w:color="auto" w:fill="auto"/>
            <w:vAlign w:val="center"/>
          </w:tcPr>
          <w:p w14:paraId="0590BA04" w14:textId="77777777" w:rsidR="007D1E74" w:rsidRDefault="00A95641">
            <w:pPr>
              <w:jc w:val="center"/>
              <w:rPr>
                <w:rFonts w:cstheme="minorHAnsi"/>
                <w:sz w:val="18"/>
                <w:szCs w:val="18"/>
              </w:rPr>
            </w:pPr>
            <w:r>
              <w:rPr>
                <w:rFonts w:cstheme="minorHAnsi"/>
                <w:sz w:val="18"/>
                <w:szCs w:val="18"/>
              </w:rPr>
              <w:t>有组织废气监测</w:t>
            </w:r>
            <w:r>
              <w:rPr>
                <w:rFonts w:cstheme="minorHAnsi"/>
                <w:sz w:val="18"/>
                <w:szCs w:val="18"/>
              </w:rPr>
              <w:t>□</w:t>
            </w:r>
          </w:p>
          <w:p w14:paraId="1C3CE4A0" w14:textId="77777777" w:rsidR="007D1E74" w:rsidRDefault="00A95641">
            <w:pPr>
              <w:jc w:val="center"/>
              <w:rPr>
                <w:rFonts w:cstheme="minorHAnsi"/>
                <w:sz w:val="18"/>
                <w:szCs w:val="18"/>
              </w:rPr>
            </w:pPr>
            <w:r>
              <w:rPr>
                <w:rFonts w:cstheme="minorHAnsi"/>
                <w:sz w:val="18"/>
                <w:szCs w:val="18"/>
              </w:rPr>
              <w:t>无组织废气监测</w:t>
            </w:r>
            <w:r>
              <w:rPr>
                <w:rFonts w:cstheme="minorHAnsi"/>
                <w:sz w:val="18"/>
                <w:szCs w:val="18"/>
              </w:rPr>
              <w:t>□</w:t>
            </w:r>
          </w:p>
        </w:tc>
        <w:tc>
          <w:tcPr>
            <w:tcW w:w="1273" w:type="pct"/>
            <w:gridSpan w:val="4"/>
            <w:vAlign w:val="center"/>
          </w:tcPr>
          <w:p w14:paraId="671B984D" w14:textId="77777777" w:rsidR="007D1E74" w:rsidRDefault="00A95641">
            <w:pPr>
              <w:jc w:val="center"/>
              <w:rPr>
                <w:rFonts w:cstheme="minorHAnsi"/>
                <w:sz w:val="18"/>
                <w:szCs w:val="18"/>
              </w:rPr>
            </w:pPr>
            <w:r>
              <w:rPr>
                <w:rFonts w:cstheme="minorHAnsi"/>
                <w:sz w:val="18"/>
                <w:szCs w:val="18"/>
              </w:rPr>
              <w:t>无监测</w:t>
            </w:r>
            <w:r>
              <w:rPr>
                <w:rFonts w:cstheme="minorHAnsi"/>
                <w:sz w:val="18"/>
                <w:szCs w:val="18"/>
              </w:rPr>
              <w:sym w:font="Wingdings 2" w:char="F052"/>
            </w:r>
          </w:p>
        </w:tc>
      </w:tr>
      <w:tr w:rsidR="007D1E74" w14:paraId="1ABE00BE" w14:textId="77777777">
        <w:trPr>
          <w:trHeight w:val="315"/>
          <w:jc w:val="center"/>
        </w:trPr>
        <w:tc>
          <w:tcPr>
            <w:tcW w:w="557" w:type="pct"/>
            <w:vMerge/>
            <w:shd w:val="clear" w:color="auto" w:fill="auto"/>
            <w:vAlign w:val="center"/>
          </w:tcPr>
          <w:p w14:paraId="525955A8" w14:textId="77777777" w:rsidR="007D1E74" w:rsidRDefault="007D1E74">
            <w:pPr>
              <w:jc w:val="center"/>
              <w:rPr>
                <w:rFonts w:cstheme="minorHAnsi"/>
                <w:sz w:val="18"/>
                <w:szCs w:val="18"/>
              </w:rPr>
            </w:pPr>
          </w:p>
        </w:tc>
        <w:tc>
          <w:tcPr>
            <w:tcW w:w="627" w:type="pct"/>
            <w:shd w:val="clear" w:color="auto" w:fill="auto"/>
            <w:vAlign w:val="center"/>
          </w:tcPr>
          <w:p w14:paraId="4838010C" w14:textId="77777777" w:rsidR="007D1E74" w:rsidRDefault="00A95641">
            <w:pPr>
              <w:jc w:val="center"/>
              <w:rPr>
                <w:rFonts w:cstheme="minorHAnsi"/>
                <w:sz w:val="18"/>
                <w:szCs w:val="18"/>
              </w:rPr>
            </w:pPr>
            <w:r>
              <w:rPr>
                <w:rFonts w:cstheme="minorHAnsi"/>
                <w:sz w:val="18"/>
                <w:szCs w:val="18"/>
              </w:rPr>
              <w:t>环境质量监测</w:t>
            </w:r>
          </w:p>
        </w:tc>
        <w:tc>
          <w:tcPr>
            <w:tcW w:w="1271" w:type="pct"/>
            <w:gridSpan w:val="4"/>
            <w:vAlign w:val="center"/>
          </w:tcPr>
          <w:p w14:paraId="278CFC3B" w14:textId="77777777" w:rsidR="007D1E74" w:rsidRDefault="00A95641">
            <w:pPr>
              <w:jc w:val="center"/>
              <w:rPr>
                <w:rFonts w:cstheme="minorHAnsi"/>
                <w:sz w:val="18"/>
                <w:szCs w:val="18"/>
              </w:rPr>
            </w:pPr>
            <w:r>
              <w:rPr>
                <w:rFonts w:cstheme="minorHAnsi"/>
                <w:sz w:val="18"/>
                <w:szCs w:val="18"/>
              </w:rPr>
              <w:t>监测因子（</w:t>
            </w:r>
            <w:r>
              <w:rPr>
                <w:rFonts w:cstheme="minorHAnsi" w:hint="eastAsia"/>
                <w:sz w:val="18"/>
                <w:szCs w:val="18"/>
              </w:rPr>
              <w:t xml:space="preserve"> </w:t>
            </w:r>
            <w:r>
              <w:rPr>
                <w:rFonts w:cstheme="minorHAnsi"/>
                <w:sz w:val="18"/>
                <w:szCs w:val="18"/>
              </w:rPr>
              <w:t>）</w:t>
            </w:r>
          </w:p>
        </w:tc>
        <w:tc>
          <w:tcPr>
            <w:tcW w:w="1272" w:type="pct"/>
            <w:gridSpan w:val="4"/>
            <w:shd w:val="clear" w:color="auto" w:fill="auto"/>
            <w:vAlign w:val="center"/>
          </w:tcPr>
          <w:p w14:paraId="66B53939" w14:textId="77777777" w:rsidR="007D1E74" w:rsidRDefault="00A95641">
            <w:pPr>
              <w:jc w:val="center"/>
              <w:rPr>
                <w:rFonts w:cstheme="minorHAnsi"/>
                <w:sz w:val="18"/>
                <w:szCs w:val="18"/>
              </w:rPr>
            </w:pPr>
            <w:r>
              <w:rPr>
                <w:rFonts w:cstheme="minorHAnsi"/>
                <w:sz w:val="18"/>
                <w:szCs w:val="18"/>
              </w:rPr>
              <w:t>监测点位数（</w:t>
            </w:r>
            <w:r>
              <w:rPr>
                <w:rFonts w:cstheme="minorHAnsi" w:hint="eastAsia"/>
                <w:sz w:val="18"/>
                <w:szCs w:val="18"/>
              </w:rPr>
              <w:t xml:space="preserve"> </w:t>
            </w:r>
            <w:r>
              <w:rPr>
                <w:rFonts w:cstheme="minorHAnsi"/>
                <w:sz w:val="18"/>
                <w:szCs w:val="18"/>
              </w:rPr>
              <w:t>）</w:t>
            </w:r>
          </w:p>
        </w:tc>
        <w:tc>
          <w:tcPr>
            <w:tcW w:w="1273" w:type="pct"/>
            <w:gridSpan w:val="4"/>
            <w:vAlign w:val="center"/>
          </w:tcPr>
          <w:p w14:paraId="51613F16" w14:textId="77777777" w:rsidR="007D1E74" w:rsidRDefault="00A95641">
            <w:pPr>
              <w:jc w:val="center"/>
              <w:rPr>
                <w:rFonts w:cstheme="minorHAnsi"/>
                <w:sz w:val="18"/>
                <w:szCs w:val="18"/>
              </w:rPr>
            </w:pPr>
            <w:r>
              <w:rPr>
                <w:rFonts w:cstheme="minorHAnsi"/>
                <w:sz w:val="18"/>
                <w:szCs w:val="18"/>
              </w:rPr>
              <w:t>无监测</w:t>
            </w:r>
            <w:r>
              <w:rPr>
                <w:rFonts w:cstheme="minorHAnsi"/>
                <w:sz w:val="18"/>
                <w:szCs w:val="18"/>
              </w:rPr>
              <w:t>□</w:t>
            </w:r>
          </w:p>
        </w:tc>
      </w:tr>
      <w:tr w:rsidR="007D1E74" w14:paraId="1C4C5BBE" w14:textId="77777777">
        <w:trPr>
          <w:trHeight w:val="315"/>
          <w:jc w:val="center"/>
        </w:trPr>
        <w:tc>
          <w:tcPr>
            <w:tcW w:w="557" w:type="pct"/>
            <w:vMerge w:val="restart"/>
            <w:shd w:val="clear" w:color="auto" w:fill="auto"/>
            <w:vAlign w:val="center"/>
          </w:tcPr>
          <w:p w14:paraId="062F3306" w14:textId="77777777" w:rsidR="007D1E74" w:rsidRDefault="00A95641">
            <w:pPr>
              <w:jc w:val="center"/>
              <w:rPr>
                <w:rFonts w:cstheme="minorHAnsi"/>
                <w:sz w:val="18"/>
                <w:szCs w:val="18"/>
              </w:rPr>
            </w:pPr>
            <w:r>
              <w:rPr>
                <w:rFonts w:cstheme="minorHAnsi"/>
                <w:sz w:val="18"/>
                <w:szCs w:val="18"/>
              </w:rPr>
              <w:t>评价结论</w:t>
            </w:r>
          </w:p>
        </w:tc>
        <w:tc>
          <w:tcPr>
            <w:tcW w:w="627" w:type="pct"/>
            <w:shd w:val="clear" w:color="auto" w:fill="auto"/>
            <w:vAlign w:val="center"/>
          </w:tcPr>
          <w:p w14:paraId="5BC510EB" w14:textId="77777777" w:rsidR="007D1E74" w:rsidRDefault="00A95641">
            <w:pPr>
              <w:jc w:val="center"/>
              <w:rPr>
                <w:rFonts w:cstheme="minorHAnsi"/>
                <w:sz w:val="18"/>
                <w:szCs w:val="18"/>
              </w:rPr>
            </w:pPr>
            <w:r>
              <w:rPr>
                <w:rFonts w:cstheme="minorHAnsi"/>
                <w:sz w:val="18"/>
                <w:szCs w:val="18"/>
              </w:rPr>
              <w:t>环境影响</w:t>
            </w:r>
          </w:p>
        </w:tc>
        <w:tc>
          <w:tcPr>
            <w:tcW w:w="3815" w:type="pct"/>
            <w:gridSpan w:val="12"/>
            <w:vAlign w:val="center"/>
          </w:tcPr>
          <w:p w14:paraId="3226F9DD" w14:textId="77777777" w:rsidR="007D1E74" w:rsidRDefault="00A95641">
            <w:pPr>
              <w:jc w:val="center"/>
              <w:rPr>
                <w:rFonts w:cstheme="minorHAnsi"/>
                <w:sz w:val="18"/>
                <w:szCs w:val="18"/>
              </w:rPr>
            </w:pPr>
            <w:r>
              <w:rPr>
                <w:rFonts w:cstheme="minorHAnsi"/>
                <w:sz w:val="18"/>
                <w:szCs w:val="18"/>
              </w:rPr>
              <w:t>可以接受</w:t>
            </w:r>
            <w:r>
              <w:rPr>
                <w:rFonts w:cstheme="minorHAnsi"/>
                <w:sz w:val="18"/>
                <w:szCs w:val="18"/>
              </w:rPr>
              <w:sym w:font="Wingdings 2" w:char="F052"/>
            </w:r>
            <w:r>
              <w:rPr>
                <w:rFonts w:cstheme="minorHAnsi"/>
                <w:sz w:val="18"/>
                <w:szCs w:val="18"/>
              </w:rPr>
              <w:t xml:space="preserve">        </w:t>
            </w:r>
            <w:r>
              <w:rPr>
                <w:rFonts w:cstheme="minorHAnsi"/>
                <w:sz w:val="18"/>
                <w:szCs w:val="18"/>
              </w:rPr>
              <w:t>不可以接受</w:t>
            </w:r>
            <w:r>
              <w:rPr>
                <w:rFonts w:cstheme="minorHAnsi"/>
                <w:sz w:val="18"/>
                <w:szCs w:val="18"/>
              </w:rPr>
              <w:t>□</w:t>
            </w:r>
          </w:p>
        </w:tc>
      </w:tr>
      <w:tr w:rsidR="007D1E74" w14:paraId="2CDE1838" w14:textId="77777777">
        <w:trPr>
          <w:trHeight w:val="315"/>
          <w:jc w:val="center"/>
        </w:trPr>
        <w:tc>
          <w:tcPr>
            <w:tcW w:w="557" w:type="pct"/>
            <w:vMerge/>
            <w:shd w:val="clear" w:color="auto" w:fill="auto"/>
            <w:vAlign w:val="center"/>
          </w:tcPr>
          <w:p w14:paraId="3868544D" w14:textId="77777777" w:rsidR="007D1E74" w:rsidRDefault="007D1E74">
            <w:pPr>
              <w:jc w:val="center"/>
              <w:rPr>
                <w:rFonts w:cstheme="minorHAnsi"/>
                <w:sz w:val="18"/>
                <w:szCs w:val="18"/>
              </w:rPr>
            </w:pPr>
          </w:p>
        </w:tc>
        <w:tc>
          <w:tcPr>
            <w:tcW w:w="627" w:type="pct"/>
            <w:shd w:val="clear" w:color="auto" w:fill="auto"/>
            <w:vAlign w:val="center"/>
          </w:tcPr>
          <w:p w14:paraId="1576E45E" w14:textId="77777777" w:rsidR="007D1E74" w:rsidRDefault="00A95641">
            <w:pPr>
              <w:jc w:val="center"/>
              <w:rPr>
                <w:rFonts w:cstheme="minorHAnsi"/>
                <w:sz w:val="18"/>
                <w:szCs w:val="18"/>
              </w:rPr>
            </w:pPr>
            <w:r>
              <w:rPr>
                <w:rFonts w:cstheme="minorHAnsi"/>
                <w:sz w:val="18"/>
                <w:szCs w:val="18"/>
              </w:rPr>
              <w:t>大气环境防护距离</w:t>
            </w:r>
          </w:p>
        </w:tc>
        <w:tc>
          <w:tcPr>
            <w:tcW w:w="3815" w:type="pct"/>
            <w:gridSpan w:val="12"/>
            <w:vAlign w:val="center"/>
          </w:tcPr>
          <w:p w14:paraId="0D23AE30" w14:textId="77777777" w:rsidR="007D1E74" w:rsidRDefault="00A95641">
            <w:pPr>
              <w:jc w:val="center"/>
              <w:rPr>
                <w:rFonts w:cstheme="minorHAnsi"/>
                <w:sz w:val="18"/>
                <w:szCs w:val="18"/>
              </w:rPr>
            </w:pPr>
            <w:r>
              <w:rPr>
                <w:rFonts w:cstheme="minorHAnsi"/>
                <w:sz w:val="18"/>
                <w:szCs w:val="18"/>
              </w:rPr>
              <w:t>距（</w:t>
            </w:r>
            <w:r>
              <w:rPr>
                <w:rFonts w:cstheme="minorHAnsi"/>
                <w:sz w:val="18"/>
                <w:szCs w:val="18"/>
              </w:rPr>
              <w:t xml:space="preserve">  /  </w:t>
            </w:r>
            <w:r>
              <w:rPr>
                <w:rFonts w:cstheme="minorHAnsi"/>
                <w:sz w:val="18"/>
                <w:szCs w:val="18"/>
              </w:rPr>
              <w:t>）厂界最远（</w:t>
            </w:r>
            <w:r>
              <w:rPr>
                <w:rFonts w:cstheme="minorHAnsi"/>
                <w:sz w:val="18"/>
                <w:szCs w:val="18"/>
              </w:rPr>
              <w:t xml:space="preserve">  /  </w:t>
            </w:r>
            <w:r>
              <w:rPr>
                <w:rFonts w:cstheme="minorHAnsi"/>
                <w:sz w:val="18"/>
                <w:szCs w:val="18"/>
              </w:rPr>
              <w:t>）</w:t>
            </w:r>
            <w:r>
              <w:rPr>
                <w:rFonts w:cstheme="minorHAnsi"/>
                <w:sz w:val="18"/>
                <w:szCs w:val="18"/>
              </w:rPr>
              <w:t>m</w:t>
            </w:r>
          </w:p>
        </w:tc>
      </w:tr>
      <w:tr w:rsidR="007D1E74" w14:paraId="618B9121" w14:textId="77777777">
        <w:trPr>
          <w:trHeight w:val="315"/>
          <w:jc w:val="center"/>
        </w:trPr>
        <w:tc>
          <w:tcPr>
            <w:tcW w:w="557" w:type="pct"/>
            <w:vMerge/>
            <w:shd w:val="clear" w:color="auto" w:fill="auto"/>
            <w:vAlign w:val="center"/>
          </w:tcPr>
          <w:p w14:paraId="5F53D955" w14:textId="77777777" w:rsidR="007D1E74" w:rsidRDefault="007D1E74">
            <w:pPr>
              <w:jc w:val="center"/>
              <w:rPr>
                <w:rFonts w:cstheme="minorHAnsi"/>
                <w:sz w:val="18"/>
                <w:szCs w:val="18"/>
              </w:rPr>
            </w:pPr>
          </w:p>
        </w:tc>
        <w:tc>
          <w:tcPr>
            <w:tcW w:w="627" w:type="pct"/>
            <w:shd w:val="clear" w:color="auto" w:fill="auto"/>
            <w:vAlign w:val="center"/>
          </w:tcPr>
          <w:p w14:paraId="2EC58C8A" w14:textId="77777777" w:rsidR="007D1E74" w:rsidRDefault="00A95641">
            <w:pPr>
              <w:jc w:val="center"/>
              <w:rPr>
                <w:rFonts w:cstheme="minorHAnsi"/>
                <w:sz w:val="18"/>
                <w:szCs w:val="18"/>
              </w:rPr>
            </w:pPr>
            <w:r>
              <w:rPr>
                <w:rFonts w:cstheme="minorHAnsi"/>
                <w:sz w:val="18"/>
                <w:szCs w:val="18"/>
              </w:rPr>
              <w:t>污染源年排放量</w:t>
            </w:r>
          </w:p>
        </w:tc>
        <w:tc>
          <w:tcPr>
            <w:tcW w:w="953" w:type="pct"/>
            <w:gridSpan w:val="2"/>
            <w:vAlign w:val="center"/>
          </w:tcPr>
          <w:p w14:paraId="6BAD4ADE" w14:textId="77777777" w:rsidR="007D1E74" w:rsidRDefault="00A95641">
            <w:pPr>
              <w:jc w:val="center"/>
              <w:rPr>
                <w:rFonts w:cstheme="minorHAnsi"/>
                <w:sz w:val="18"/>
                <w:szCs w:val="18"/>
              </w:rPr>
            </w:pPr>
            <w:r>
              <w:rPr>
                <w:rFonts w:cstheme="minorHAnsi"/>
                <w:sz w:val="18"/>
                <w:szCs w:val="18"/>
              </w:rPr>
              <w:t>SO</w:t>
            </w:r>
            <w:r>
              <w:rPr>
                <w:rFonts w:cstheme="minorHAnsi"/>
                <w:sz w:val="18"/>
                <w:szCs w:val="18"/>
                <w:vertAlign w:val="subscript"/>
              </w:rPr>
              <w:t>2</w:t>
            </w:r>
            <w:r>
              <w:rPr>
                <w:rFonts w:cstheme="minorHAnsi"/>
                <w:sz w:val="18"/>
                <w:szCs w:val="18"/>
              </w:rPr>
              <w:t>（</w:t>
            </w:r>
            <w:r>
              <w:rPr>
                <w:rFonts w:cstheme="minorHAnsi" w:hint="eastAsia"/>
                <w:sz w:val="18"/>
                <w:szCs w:val="18"/>
              </w:rPr>
              <w:t xml:space="preserve"> </w:t>
            </w:r>
            <w:r>
              <w:rPr>
                <w:rFonts w:cstheme="minorHAnsi"/>
                <w:sz w:val="18"/>
                <w:szCs w:val="18"/>
              </w:rPr>
              <w:t>）</w:t>
            </w:r>
            <w:r>
              <w:rPr>
                <w:rFonts w:cstheme="minorHAnsi"/>
                <w:sz w:val="18"/>
                <w:szCs w:val="18"/>
              </w:rPr>
              <w:t>t/a</w:t>
            </w:r>
          </w:p>
        </w:tc>
        <w:tc>
          <w:tcPr>
            <w:tcW w:w="957" w:type="pct"/>
            <w:gridSpan w:val="4"/>
            <w:vAlign w:val="center"/>
          </w:tcPr>
          <w:p w14:paraId="721E2473" w14:textId="77777777" w:rsidR="007D1E74" w:rsidRDefault="00A95641">
            <w:pPr>
              <w:jc w:val="center"/>
              <w:rPr>
                <w:rFonts w:cstheme="minorHAnsi"/>
                <w:sz w:val="18"/>
                <w:szCs w:val="18"/>
              </w:rPr>
            </w:pPr>
            <w:r>
              <w:rPr>
                <w:rFonts w:cstheme="minorHAnsi"/>
                <w:sz w:val="18"/>
                <w:szCs w:val="18"/>
              </w:rPr>
              <w:t>NO</w:t>
            </w:r>
            <w:r>
              <w:rPr>
                <w:rFonts w:cstheme="minorHAnsi"/>
                <w:sz w:val="18"/>
                <w:szCs w:val="18"/>
                <w:vertAlign w:val="subscript"/>
              </w:rPr>
              <w:t>x</w:t>
            </w:r>
            <w:r>
              <w:rPr>
                <w:rFonts w:cstheme="minorHAnsi"/>
                <w:sz w:val="18"/>
                <w:szCs w:val="18"/>
              </w:rPr>
              <w:t>（</w:t>
            </w:r>
            <w:r>
              <w:rPr>
                <w:rFonts w:cstheme="minorHAnsi" w:hint="eastAsia"/>
                <w:sz w:val="18"/>
                <w:szCs w:val="18"/>
              </w:rPr>
              <w:t xml:space="preserve"> </w:t>
            </w:r>
            <w:r>
              <w:rPr>
                <w:rFonts w:cstheme="minorHAnsi"/>
                <w:sz w:val="18"/>
                <w:szCs w:val="18"/>
              </w:rPr>
              <w:t>）</w:t>
            </w:r>
            <w:r>
              <w:rPr>
                <w:rFonts w:cstheme="minorHAnsi"/>
                <w:sz w:val="18"/>
                <w:szCs w:val="18"/>
              </w:rPr>
              <w:t>t/a</w:t>
            </w:r>
          </w:p>
        </w:tc>
        <w:tc>
          <w:tcPr>
            <w:tcW w:w="953" w:type="pct"/>
            <w:gridSpan w:val="4"/>
            <w:shd w:val="clear" w:color="auto" w:fill="auto"/>
            <w:vAlign w:val="center"/>
          </w:tcPr>
          <w:p w14:paraId="09694F16" w14:textId="77777777" w:rsidR="007D1E74" w:rsidRDefault="00A95641">
            <w:pPr>
              <w:rPr>
                <w:rFonts w:cstheme="minorHAnsi"/>
                <w:sz w:val="18"/>
                <w:szCs w:val="18"/>
              </w:rPr>
            </w:pPr>
            <w:r>
              <w:rPr>
                <w:rFonts w:cstheme="minorHAnsi"/>
                <w:sz w:val="18"/>
                <w:szCs w:val="18"/>
              </w:rPr>
              <w:t>颗粒物（</w:t>
            </w:r>
            <w:r>
              <w:rPr>
                <w:rFonts w:cstheme="minorHAnsi" w:hint="eastAsia"/>
                <w:sz w:val="18"/>
                <w:szCs w:val="18"/>
              </w:rPr>
              <w:t xml:space="preserve"> </w:t>
            </w:r>
            <w:r>
              <w:rPr>
                <w:rFonts w:cstheme="minorHAnsi"/>
                <w:sz w:val="18"/>
                <w:szCs w:val="18"/>
              </w:rPr>
              <w:t>）</w:t>
            </w:r>
            <w:r>
              <w:rPr>
                <w:rFonts w:cstheme="minorHAnsi"/>
                <w:sz w:val="18"/>
                <w:szCs w:val="18"/>
              </w:rPr>
              <w:t>t/a</w:t>
            </w:r>
          </w:p>
        </w:tc>
        <w:tc>
          <w:tcPr>
            <w:tcW w:w="952" w:type="pct"/>
            <w:gridSpan w:val="2"/>
            <w:vAlign w:val="center"/>
          </w:tcPr>
          <w:p w14:paraId="280BA37C" w14:textId="77777777" w:rsidR="007D1E74" w:rsidRDefault="00A95641">
            <w:pPr>
              <w:rPr>
                <w:rFonts w:cstheme="minorHAnsi"/>
                <w:sz w:val="18"/>
                <w:szCs w:val="18"/>
              </w:rPr>
            </w:pPr>
            <w:r>
              <w:rPr>
                <w:rFonts w:cstheme="minorHAnsi"/>
                <w:sz w:val="18"/>
                <w:szCs w:val="18"/>
              </w:rPr>
              <w:t>VOCs</w:t>
            </w:r>
            <w:r>
              <w:rPr>
                <w:rFonts w:cstheme="minorHAnsi"/>
                <w:sz w:val="18"/>
                <w:szCs w:val="18"/>
              </w:rPr>
              <w:t>（</w:t>
            </w:r>
            <w:r>
              <w:rPr>
                <w:rFonts w:cstheme="minorHAnsi" w:hint="eastAsia"/>
                <w:sz w:val="18"/>
                <w:szCs w:val="18"/>
              </w:rPr>
              <w:t xml:space="preserve"> </w:t>
            </w:r>
            <w:r>
              <w:rPr>
                <w:rFonts w:cstheme="minorHAnsi"/>
                <w:sz w:val="18"/>
                <w:szCs w:val="18"/>
              </w:rPr>
              <w:t>）</w:t>
            </w:r>
            <w:r>
              <w:rPr>
                <w:rFonts w:cstheme="minorHAnsi"/>
                <w:sz w:val="18"/>
                <w:szCs w:val="18"/>
              </w:rPr>
              <w:t>t/a</w:t>
            </w:r>
          </w:p>
        </w:tc>
      </w:tr>
      <w:tr w:rsidR="007D1E74" w14:paraId="671ECF63" w14:textId="77777777">
        <w:trPr>
          <w:trHeight w:val="315"/>
          <w:jc w:val="center"/>
        </w:trPr>
        <w:tc>
          <w:tcPr>
            <w:tcW w:w="5000" w:type="pct"/>
            <w:gridSpan w:val="14"/>
            <w:shd w:val="clear" w:color="auto" w:fill="auto"/>
            <w:vAlign w:val="center"/>
          </w:tcPr>
          <w:p w14:paraId="424B8AF6" w14:textId="77777777" w:rsidR="007D1E74" w:rsidRDefault="00A95641">
            <w:pPr>
              <w:rPr>
                <w:rFonts w:cstheme="minorHAnsi"/>
                <w:sz w:val="18"/>
                <w:szCs w:val="18"/>
              </w:rPr>
            </w:pPr>
            <w:r>
              <w:rPr>
                <w:rFonts w:cstheme="minorHAnsi"/>
                <w:sz w:val="18"/>
                <w:szCs w:val="18"/>
              </w:rPr>
              <w:t>注：</w:t>
            </w:r>
            <w:r>
              <w:rPr>
                <w:rFonts w:cstheme="minorHAnsi"/>
                <w:sz w:val="18"/>
                <w:szCs w:val="18"/>
              </w:rPr>
              <w:t>“□”</w:t>
            </w:r>
            <w:r>
              <w:rPr>
                <w:rFonts w:cstheme="minorHAnsi"/>
                <w:sz w:val="18"/>
                <w:szCs w:val="18"/>
              </w:rPr>
              <w:t>为勾选项，填</w:t>
            </w:r>
            <w:r>
              <w:rPr>
                <w:rFonts w:cstheme="minorHAnsi"/>
                <w:sz w:val="18"/>
                <w:szCs w:val="18"/>
              </w:rPr>
              <w:t>“√”</w:t>
            </w:r>
            <w:r>
              <w:rPr>
                <w:rFonts w:cstheme="minorHAnsi"/>
                <w:sz w:val="18"/>
                <w:szCs w:val="18"/>
              </w:rPr>
              <w:t>；</w:t>
            </w:r>
            <w:r>
              <w:rPr>
                <w:rFonts w:cstheme="minorHAnsi"/>
                <w:sz w:val="18"/>
                <w:szCs w:val="18"/>
              </w:rPr>
              <w:t>“</w:t>
            </w:r>
            <w:r>
              <w:rPr>
                <w:rFonts w:cstheme="minorHAnsi"/>
                <w:sz w:val="18"/>
                <w:szCs w:val="18"/>
              </w:rPr>
              <w:t>（</w:t>
            </w:r>
            <w:r>
              <w:rPr>
                <w:rFonts w:cstheme="minorHAnsi"/>
                <w:sz w:val="18"/>
                <w:szCs w:val="18"/>
              </w:rPr>
              <w:t xml:space="preserve"> </w:t>
            </w:r>
            <w:r>
              <w:rPr>
                <w:rFonts w:cstheme="minorHAnsi"/>
                <w:sz w:val="18"/>
                <w:szCs w:val="18"/>
              </w:rPr>
              <w:t>）</w:t>
            </w:r>
            <w:r>
              <w:rPr>
                <w:rFonts w:cstheme="minorHAnsi"/>
                <w:sz w:val="18"/>
                <w:szCs w:val="18"/>
              </w:rPr>
              <w:t>”</w:t>
            </w:r>
            <w:r>
              <w:rPr>
                <w:rFonts w:cstheme="minorHAnsi"/>
                <w:sz w:val="18"/>
                <w:szCs w:val="18"/>
              </w:rPr>
              <w:t>为内容填写项</w:t>
            </w:r>
          </w:p>
        </w:tc>
      </w:tr>
    </w:tbl>
    <w:p w14:paraId="240708DF" w14:textId="77777777" w:rsidR="007D1E74" w:rsidRDefault="00A95641">
      <w:r>
        <w:rPr>
          <w:rFonts w:hint="eastAsia"/>
        </w:rPr>
        <w:br w:type="page"/>
      </w:r>
    </w:p>
    <w:p w14:paraId="3CEC08D0" w14:textId="77777777" w:rsidR="007D1E74" w:rsidRDefault="00A95641">
      <w:pPr>
        <w:jc w:val="left"/>
        <w:rPr>
          <w:rFonts w:eastAsia="黑体" w:cs="Times New Roman"/>
          <w:sz w:val="24"/>
          <w:szCs w:val="24"/>
        </w:rPr>
      </w:pPr>
      <w:r>
        <w:rPr>
          <w:rFonts w:eastAsia="黑体" w:cs="Times New Roman" w:hint="eastAsia"/>
          <w:sz w:val="24"/>
          <w:szCs w:val="24"/>
        </w:rPr>
        <w:lastRenderedPageBreak/>
        <w:t>附表</w:t>
      </w:r>
      <w:r>
        <w:rPr>
          <w:rFonts w:eastAsia="黑体" w:cs="Times New Roman" w:hint="eastAsia"/>
          <w:sz w:val="24"/>
          <w:szCs w:val="24"/>
        </w:rPr>
        <w:t xml:space="preserve">D  </w:t>
      </w:r>
      <w:r>
        <w:rPr>
          <w:rFonts w:eastAsia="黑体" w:cs="Times New Roman"/>
          <w:sz w:val="24"/>
          <w:szCs w:val="24"/>
        </w:rPr>
        <w:t>建设项目地表水环境影响评价自查表</w:t>
      </w:r>
    </w:p>
    <w:p w14:paraId="461AD713" w14:textId="77777777" w:rsidR="007D1E74" w:rsidRDefault="007D1E74">
      <w:pPr>
        <w:pStyle w:val="21"/>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
        <w:gridCol w:w="1554"/>
        <w:gridCol w:w="1405"/>
        <w:gridCol w:w="350"/>
        <w:gridCol w:w="586"/>
        <w:gridCol w:w="617"/>
        <w:gridCol w:w="554"/>
        <w:gridCol w:w="703"/>
        <w:gridCol w:w="467"/>
        <w:gridCol w:w="584"/>
        <w:gridCol w:w="227"/>
        <w:gridCol w:w="1527"/>
      </w:tblGrid>
      <w:tr w:rsidR="007D1E74" w14:paraId="673BFA2F" w14:textId="77777777">
        <w:trPr>
          <w:trHeight w:val="315"/>
          <w:jc w:val="center"/>
        </w:trPr>
        <w:tc>
          <w:tcPr>
            <w:tcW w:w="1107" w:type="pct"/>
            <w:gridSpan w:val="2"/>
            <w:shd w:val="clear" w:color="auto" w:fill="auto"/>
            <w:vAlign w:val="center"/>
          </w:tcPr>
          <w:p w14:paraId="0EB9C0A2" w14:textId="77777777" w:rsidR="007D1E74" w:rsidRDefault="00A95641">
            <w:pPr>
              <w:jc w:val="center"/>
              <w:rPr>
                <w:rFonts w:cstheme="minorHAnsi"/>
                <w:sz w:val="18"/>
                <w:szCs w:val="18"/>
              </w:rPr>
            </w:pPr>
            <w:r>
              <w:rPr>
                <w:rFonts w:cstheme="minorHAnsi"/>
                <w:sz w:val="18"/>
                <w:szCs w:val="18"/>
              </w:rPr>
              <w:t>工作内容</w:t>
            </w:r>
          </w:p>
        </w:tc>
        <w:tc>
          <w:tcPr>
            <w:tcW w:w="3893" w:type="pct"/>
            <w:gridSpan w:val="10"/>
          </w:tcPr>
          <w:p w14:paraId="071FBA55" w14:textId="77777777" w:rsidR="007D1E74" w:rsidRDefault="00A95641">
            <w:pPr>
              <w:jc w:val="center"/>
              <w:rPr>
                <w:rFonts w:cstheme="minorHAnsi"/>
                <w:sz w:val="18"/>
                <w:szCs w:val="18"/>
              </w:rPr>
            </w:pPr>
            <w:r>
              <w:rPr>
                <w:rFonts w:cstheme="minorHAnsi"/>
                <w:sz w:val="18"/>
                <w:szCs w:val="18"/>
              </w:rPr>
              <w:t>自查项目</w:t>
            </w:r>
          </w:p>
        </w:tc>
      </w:tr>
      <w:tr w:rsidR="007D1E74" w14:paraId="3BA93BC6" w14:textId="77777777">
        <w:trPr>
          <w:trHeight w:val="315"/>
          <w:jc w:val="center"/>
        </w:trPr>
        <w:tc>
          <w:tcPr>
            <w:tcW w:w="245" w:type="pct"/>
            <w:vMerge w:val="restart"/>
            <w:shd w:val="clear" w:color="auto" w:fill="auto"/>
            <w:vAlign w:val="center"/>
          </w:tcPr>
          <w:p w14:paraId="02F9DCD5" w14:textId="77777777" w:rsidR="007D1E74" w:rsidRDefault="00A95641">
            <w:pPr>
              <w:jc w:val="center"/>
              <w:rPr>
                <w:rFonts w:cstheme="minorHAnsi"/>
                <w:sz w:val="18"/>
                <w:szCs w:val="18"/>
              </w:rPr>
            </w:pPr>
            <w:r>
              <w:rPr>
                <w:rFonts w:cstheme="minorHAnsi"/>
                <w:sz w:val="18"/>
                <w:szCs w:val="18"/>
              </w:rPr>
              <w:t>影响识别</w:t>
            </w:r>
          </w:p>
        </w:tc>
        <w:tc>
          <w:tcPr>
            <w:tcW w:w="862" w:type="pct"/>
            <w:shd w:val="clear" w:color="auto" w:fill="auto"/>
            <w:vAlign w:val="center"/>
          </w:tcPr>
          <w:p w14:paraId="46997F3E" w14:textId="77777777" w:rsidR="007D1E74" w:rsidRDefault="00A95641">
            <w:pPr>
              <w:jc w:val="center"/>
              <w:rPr>
                <w:rFonts w:cstheme="minorHAnsi"/>
                <w:sz w:val="18"/>
                <w:szCs w:val="18"/>
              </w:rPr>
            </w:pPr>
            <w:r>
              <w:rPr>
                <w:rFonts w:cstheme="minorHAnsi"/>
                <w:sz w:val="18"/>
                <w:szCs w:val="18"/>
              </w:rPr>
              <w:t>影响类型</w:t>
            </w:r>
          </w:p>
        </w:tc>
        <w:tc>
          <w:tcPr>
            <w:tcW w:w="3893" w:type="pct"/>
            <w:gridSpan w:val="10"/>
          </w:tcPr>
          <w:p w14:paraId="09B33948" w14:textId="77777777" w:rsidR="007D1E74" w:rsidRDefault="00A95641">
            <w:pPr>
              <w:rPr>
                <w:rFonts w:cstheme="minorHAnsi"/>
                <w:sz w:val="18"/>
                <w:szCs w:val="18"/>
              </w:rPr>
            </w:pPr>
            <w:r>
              <w:rPr>
                <w:rFonts w:cstheme="minorHAnsi"/>
                <w:sz w:val="18"/>
                <w:szCs w:val="18"/>
              </w:rPr>
              <w:t>水污染影响型</w:t>
            </w:r>
            <w:r>
              <w:rPr>
                <w:rFonts w:cstheme="minorHAnsi"/>
                <w:sz w:val="18"/>
                <w:szCs w:val="18"/>
              </w:rPr>
              <w:sym w:font="Wingdings 2" w:char="F052"/>
            </w:r>
            <w:r>
              <w:rPr>
                <w:rFonts w:cstheme="minorHAnsi"/>
                <w:sz w:val="18"/>
                <w:szCs w:val="18"/>
              </w:rPr>
              <w:t>；水文要素影响型</w:t>
            </w:r>
            <w:r>
              <w:rPr>
                <w:rFonts w:cstheme="minorHAnsi"/>
                <w:sz w:val="18"/>
                <w:szCs w:val="18"/>
              </w:rPr>
              <w:t>□</w:t>
            </w:r>
          </w:p>
        </w:tc>
      </w:tr>
      <w:tr w:rsidR="007D1E74" w14:paraId="66BC75F9" w14:textId="77777777">
        <w:trPr>
          <w:trHeight w:val="315"/>
          <w:jc w:val="center"/>
        </w:trPr>
        <w:tc>
          <w:tcPr>
            <w:tcW w:w="245" w:type="pct"/>
            <w:vMerge/>
            <w:shd w:val="clear" w:color="auto" w:fill="auto"/>
            <w:vAlign w:val="center"/>
          </w:tcPr>
          <w:p w14:paraId="6666F2BE" w14:textId="77777777" w:rsidR="007D1E74" w:rsidRDefault="007D1E74">
            <w:pPr>
              <w:jc w:val="center"/>
              <w:rPr>
                <w:rFonts w:cstheme="minorHAnsi"/>
                <w:sz w:val="18"/>
                <w:szCs w:val="18"/>
              </w:rPr>
            </w:pPr>
          </w:p>
        </w:tc>
        <w:tc>
          <w:tcPr>
            <w:tcW w:w="862" w:type="pct"/>
            <w:shd w:val="clear" w:color="auto" w:fill="auto"/>
            <w:vAlign w:val="center"/>
          </w:tcPr>
          <w:p w14:paraId="167B5EBC" w14:textId="77777777" w:rsidR="007D1E74" w:rsidRDefault="00A95641">
            <w:pPr>
              <w:jc w:val="center"/>
              <w:rPr>
                <w:rFonts w:cstheme="minorHAnsi"/>
                <w:sz w:val="18"/>
                <w:szCs w:val="18"/>
              </w:rPr>
            </w:pPr>
            <w:r>
              <w:rPr>
                <w:rFonts w:cstheme="minorHAnsi"/>
                <w:sz w:val="18"/>
                <w:szCs w:val="18"/>
              </w:rPr>
              <w:t>水环境保护目标</w:t>
            </w:r>
          </w:p>
        </w:tc>
        <w:tc>
          <w:tcPr>
            <w:tcW w:w="3893" w:type="pct"/>
            <w:gridSpan w:val="10"/>
          </w:tcPr>
          <w:p w14:paraId="15EE0181" w14:textId="77777777" w:rsidR="007D1E74" w:rsidRDefault="00A95641">
            <w:pPr>
              <w:rPr>
                <w:rFonts w:cstheme="minorHAnsi"/>
                <w:sz w:val="18"/>
                <w:szCs w:val="18"/>
              </w:rPr>
            </w:pPr>
            <w:r>
              <w:rPr>
                <w:rFonts w:cstheme="minorHAnsi"/>
                <w:sz w:val="18"/>
                <w:szCs w:val="18"/>
              </w:rPr>
              <w:t>饮用水水源保护区</w:t>
            </w:r>
            <w:r>
              <w:rPr>
                <w:rFonts w:cstheme="minorHAnsi"/>
                <w:sz w:val="18"/>
                <w:szCs w:val="18"/>
              </w:rPr>
              <w:sym w:font="Wingdings 2" w:char="F052"/>
            </w:r>
            <w:r>
              <w:rPr>
                <w:rFonts w:cstheme="minorHAnsi"/>
                <w:sz w:val="18"/>
                <w:szCs w:val="18"/>
              </w:rPr>
              <w:t>；饮用水取水</w:t>
            </w:r>
            <w:r>
              <w:rPr>
                <w:rFonts w:cstheme="minorHAnsi"/>
                <w:sz w:val="18"/>
                <w:szCs w:val="18"/>
              </w:rPr>
              <w:t>□</w:t>
            </w:r>
            <w:r>
              <w:rPr>
                <w:rFonts w:cstheme="minorHAnsi"/>
                <w:sz w:val="18"/>
                <w:szCs w:val="18"/>
              </w:rPr>
              <w:t>；涉水的自然保护区</w:t>
            </w:r>
            <w:r>
              <w:rPr>
                <w:rFonts w:cstheme="minorHAnsi"/>
                <w:sz w:val="18"/>
                <w:szCs w:val="18"/>
              </w:rPr>
              <w:sym w:font="Wingdings 2" w:char="F052"/>
            </w:r>
            <w:r>
              <w:rPr>
                <w:rFonts w:cstheme="minorHAnsi"/>
                <w:sz w:val="18"/>
                <w:szCs w:val="18"/>
              </w:rPr>
              <w:t>；重要湿地</w:t>
            </w:r>
            <w:r>
              <w:rPr>
                <w:rFonts w:cstheme="minorHAnsi"/>
                <w:sz w:val="18"/>
                <w:szCs w:val="18"/>
              </w:rPr>
              <w:t>□</w:t>
            </w:r>
            <w:r>
              <w:rPr>
                <w:rFonts w:cstheme="minorHAnsi"/>
                <w:sz w:val="18"/>
                <w:szCs w:val="18"/>
              </w:rPr>
              <w:t>；重点保护与珍稀水生生物的栖息地</w:t>
            </w:r>
            <w:r>
              <w:rPr>
                <w:rFonts w:cstheme="minorHAnsi"/>
                <w:sz w:val="18"/>
                <w:szCs w:val="18"/>
              </w:rPr>
              <w:t>□</w:t>
            </w:r>
            <w:r>
              <w:rPr>
                <w:rFonts w:cstheme="minorHAnsi"/>
                <w:sz w:val="18"/>
                <w:szCs w:val="18"/>
              </w:rPr>
              <w:t>；重要水生生物的自然产卵场及索饵场、越冬场和洄游通道、天然渔场等渔业水体</w:t>
            </w:r>
            <w:r>
              <w:rPr>
                <w:rFonts w:cstheme="minorHAnsi"/>
                <w:sz w:val="18"/>
                <w:szCs w:val="18"/>
              </w:rPr>
              <w:t>□</w:t>
            </w:r>
            <w:r>
              <w:rPr>
                <w:rFonts w:cstheme="minorHAnsi"/>
                <w:sz w:val="18"/>
                <w:szCs w:val="18"/>
              </w:rPr>
              <w:t>；涉水的风景名胜区</w:t>
            </w:r>
            <w:r>
              <w:rPr>
                <w:rFonts w:cstheme="minorHAnsi"/>
                <w:sz w:val="18"/>
                <w:szCs w:val="18"/>
              </w:rPr>
              <w:t>□</w:t>
            </w:r>
            <w:r>
              <w:rPr>
                <w:rFonts w:cstheme="minorHAnsi"/>
                <w:sz w:val="18"/>
                <w:szCs w:val="18"/>
              </w:rPr>
              <w:t>；其他</w:t>
            </w:r>
            <w:r>
              <w:rPr>
                <w:rFonts w:cstheme="minorHAnsi"/>
                <w:sz w:val="18"/>
                <w:szCs w:val="18"/>
              </w:rPr>
              <w:sym w:font="Wingdings 2" w:char="F052"/>
            </w:r>
          </w:p>
        </w:tc>
      </w:tr>
      <w:tr w:rsidR="007D1E74" w14:paraId="1501AFDB" w14:textId="77777777">
        <w:trPr>
          <w:trHeight w:val="315"/>
          <w:jc w:val="center"/>
        </w:trPr>
        <w:tc>
          <w:tcPr>
            <w:tcW w:w="245" w:type="pct"/>
            <w:vMerge/>
            <w:shd w:val="clear" w:color="auto" w:fill="auto"/>
            <w:vAlign w:val="center"/>
          </w:tcPr>
          <w:p w14:paraId="6706AF91" w14:textId="77777777" w:rsidR="007D1E74" w:rsidRDefault="007D1E74">
            <w:pPr>
              <w:jc w:val="center"/>
              <w:rPr>
                <w:rFonts w:cstheme="minorHAnsi"/>
                <w:sz w:val="18"/>
                <w:szCs w:val="18"/>
              </w:rPr>
            </w:pPr>
          </w:p>
        </w:tc>
        <w:tc>
          <w:tcPr>
            <w:tcW w:w="862" w:type="pct"/>
            <w:vMerge w:val="restart"/>
            <w:shd w:val="clear" w:color="auto" w:fill="auto"/>
            <w:vAlign w:val="center"/>
          </w:tcPr>
          <w:p w14:paraId="068A2CEA" w14:textId="77777777" w:rsidR="007D1E74" w:rsidRDefault="00A95641">
            <w:pPr>
              <w:jc w:val="center"/>
              <w:rPr>
                <w:rFonts w:cstheme="minorHAnsi"/>
                <w:sz w:val="18"/>
                <w:szCs w:val="18"/>
              </w:rPr>
            </w:pPr>
            <w:r>
              <w:rPr>
                <w:rFonts w:cstheme="minorHAnsi"/>
                <w:sz w:val="18"/>
                <w:szCs w:val="18"/>
              </w:rPr>
              <w:t>影响途径</w:t>
            </w:r>
          </w:p>
        </w:tc>
        <w:tc>
          <w:tcPr>
            <w:tcW w:w="1947" w:type="pct"/>
            <w:gridSpan w:val="5"/>
          </w:tcPr>
          <w:p w14:paraId="7DE9BB4F" w14:textId="77777777" w:rsidR="007D1E74" w:rsidRDefault="00A95641">
            <w:pPr>
              <w:jc w:val="center"/>
              <w:rPr>
                <w:rFonts w:cstheme="minorHAnsi"/>
                <w:sz w:val="18"/>
                <w:szCs w:val="18"/>
              </w:rPr>
            </w:pPr>
            <w:r>
              <w:rPr>
                <w:rFonts w:cstheme="minorHAnsi"/>
                <w:sz w:val="18"/>
                <w:szCs w:val="18"/>
              </w:rPr>
              <w:t>水污染影响型</w:t>
            </w:r>
          </w:p>
        </w:tc>
        <w:tc>
          <w:tcPr>
            <w:tcW w:w="1947" w:type="pct"/>
            <w:gridSpan w:val="5"/>
          </w:tcPr>
          <w:p w14:paraId="0AC3CFA5" w14:textId="77777777" w:rsidR="007D1E74" w:rsidRDefault="00A95641">
            <w:pPr>
              <w:jc w:val="center"/>
              <w:rPr>
                <w:rFonts w:cstheme="minorHAnsi"/>
                <w:sz w:val="18"/>
                <w:szCs w:val="18"/>
              </w:rPr>
            </w:pPr>
            <w:r>
              <w:rPr>
                <w:rFonts w:cstheme="minorHAnsi"/>
                <w:sz w:val="18"/>
                <w:szCs w:val="18"/>
              </w:rPr>
              <w:t>水文要素影响型</w:t>
            </w:r>
          </w:p>
        </w:tc>
      </w:tr>
      <w:tr w:rsidR="007D1E74" w14:paraId="65F64CAE" w14:textId="77777777">
        <w:trPr>
          <w:trHeight w:val="315"/>
          <w:jc w:val="center"/>
        </w:trPr>
        <w:tc>
          <w:tcPr>
            <w:tcW w:w="245" w:type="pct"/>
            <w:vMerge/>
            <w:shd w:val="clear" w:color="auto" w:fill="auto"/>
            <w:vAlign w:val="center"/>
          </w:tcPr>
          <w:p w14:paraId="7CC41FE6" w14:textId="77777777" w:rsidR="007D1E74" w:rsidRDefault="007D1E74">
            <w:pPr>
              <w:jc w:val="center"/>
              <w:rPr>
                <w:rFonts w:cstheme="minorHAnsi"/>
                <w:sz w:val="18"/>
                <w:szCs w:val="18"/>
              </w:rPr>
            </w:pPr>
          </w:p>
        </w:tc>
        <w:tc>
          <w:tcPr>
            <w:tcW w:w="862" w:type="pct"/>
            <w:vMerge/>
            <w:shd w:val="clear" w:color="auto" w:fill="auto"/>
            <w:vAlign w:val="center"/>
          </w:tcPr>
          <w:p w14:paraId="0B08B55E" w14:textId="77777777" w:rsidR="007D1E74" w:rsidRDefault="007D1E74">
            <w:pPr>
              <w:jc w:val="center"/>
              <w:rPr>
                <w:rFonts w:cstheme="minorHAnsi"/>
                <w:sz w:val="18"/>
                <w:szCs w:val="18"/>
              </w:rPr>
            </w:pPr>
          </w:p>
        </w:tc>
        <w:tc>
          <w:tcPr>
            <w:tcW w:w="1947" w:type="pct"/>
            <w:gridSpan w:val="5"/>
          </w:tcPr>
          <w:p w14:paraId="68227F88" w14:textId="77777777" w:rsidR="007D1E74" w:rsidRDefault="00A95641">
            <w:pPr>
              <w:rPr>
                <w:rFonts w:cstheme="minorHAnsi"/>
                <w:sz w:val="18"/>
                <w:szCs w:val="18"/>
              </w:rPr>
            </w:pPr>
            <w:r>
              <w:rPr>
                <w:rFonts w:cstheme="minorHAnsi"/>
                <w:sz w:val="18"/>
                <w:szCs w:val="18"/>
              </w:rPr>
              <w:t>直接排放</w:t>
            </w:r>
            <w:r>
              <w:rPr>
                <w:rFonts w:cstheme="minorHAnsi"/>
                <w:sz w:val="18"/>
                <w:szCs w:val="18"/>
              </w:rPr>
              <w:t>□</w:t>
            </w:r>
            <w:r>
              <w:rPr>
                <w:rFonts w:cstheme="minorHAnsi"/>
                <w:sz w:val="18"/>
                <w:szCs w:val="18"/>
              </w:rPr>
              <w:t>；间接排放</w:t>
            </w:r>
            <w:r>
              <w:rPr>
                <w:rFonts w:cstheme="minorHAnsi"/>
                <w:sz w:val="18"/>
                <w:szCs w:val="18"/>
              </w:rPr>
              <w:sym w:font="Wingdings 2" w:char="F052"/>
            </w:r>
            <w:r>
              <w:rPr>
                <w:rFonts w:cstheme="minorHAnsi"/>
                <w:sz w:val="18"/>
                <w:szCs w:val="18"/>
              </w:rPr>
              <w:t>；其他</w:t>
            </w:r>
            <w:r>
              <w:rPr>
                <w:rFonts w:cstheme="minorHAnsi"/>
                <w:sz w:val="18"/>
                <w:szCs w:val="18"/>
              </w:rPr>
              <w:t>□</w:t>
            </w:r>
          </w:p>
        </w:tc>
        <w:tc>
          <w:tcPr>
            <w:tcW w:w="1947" w:type="pct"/>
            <w:gridSpan w:val="5"/>
          </w:tcPr>
          <w:p w14:paraId="0E8380F1" w14:textId="77777777" w:rsidR="007D1E74" w:rsidRDefault="00A95641">
            <w:pPr>
              <w:jc w:val="center"/>
              <w:rPr>
                <w:rFonts w:cstheme="minorHAnsi"/>
                <w:sz w:val="18"/>
                <w:szCs w:val="18"/>
              </w:rPr>
            </w:pPr>
            <w:r>
              <w:rPr>
                <w:rFonts w:cstheme="minorHAnsi"/>
                <w:sz w:val="18"/>
                <w:szCs w:val="18"/>
              </w:rPr>
              <w:t>水温</w:t>
            </w:r>
            <w:r>
              <w:rPr>
                <w:rFonts w:cstheme="minorHAnsi"/>
                <w:sz w:val="18"/>
                <w:szCs w:val="18"/>
              </w:rPr>
              <w:t>□</w:t>
            </w:r>
            <w:r>
              <w:rPr>
                <w:rFonts w:cstheme="minorHAnsi"/>
                <w:sz w:val="18"/>
                <w:szCs w:val="18"/>
              </w:rPr>
              <w:t>；径流</w:t>
            </w:r>
            <w:r>
              <w:rPr>
                <w:rFonts w:cstheme="minorHAnsi"/>
                <w:sz w:val="18"/>
                <w:szCs w:val="18"/>
              </w:rPr>
              <w:t>□</w:t>
            </w:r>
            <w:r>
              <w:rPr>
                <w:rFonts w:cstheme="minorHAnsi"/>
                <w:sz w:val="18"/>
                <w:szCs w:val="18"/>
              </w:rPr>
              <w:t>；水域面积</w:t>
            </w:r>
            <w:r>
              <w:rPr>
                <w:rFonts w:cstheme="minorHAnsi"/>
                <w:sz w:val="18"/>
                <w:szCs w:val="18"/>
              </w:rPr>
              <w:t>□</w:t>
            </w:r>
          </w:p>
        </w:tc>
      </w:tr>
      <w:tr w:rsidR="007D1E74" w14:paraId="187CF3EA" w14:textId="77777777">
        <w:trPr>
          <w:trHeight w:val="315"/>
          <w:jc w:val="center"/>
        </w:trPr>
        <w:tc>
          <w:tcPr>
            <w:tcW w:w="245" w:type="pct"/>
            <w:vMerge/>
            <w:shd w:val="clear" w:color="auto" w:fill="auto"/>
            <w:vAlign w:val="center"/>
          </w:tcPr>
          <w:p w14:paraId="34E892B7" w14:textId="77777777" w:rsidR="007D1E74" w:rsidRDefault="007D1E74">
            <w:pPr>
              <w:jc w:val="center"/>
              <w:rPr>
                <w:rFonts w:cstheme="minorHAnsi"/>
                <w:sz w:val="18"/>
                <w:szCs w:val="18"/>
              </w:rPr>
            </w:pPr>
          </w:p>
        </w:tc>
        <w:tc>
          <w:tcPr>
            <w:tcW w:w="862" w:type="pct"/>
            <w:shd w:val="clear" w:color="auto" w:fill="auto"/>
            <w:vAlign w:val="center"/>
          </w:tcPr>
          <w:p w14:paraId="595158B6" w14:textId="77777777" w:rsidR="007D1E74" w:rsidRDefault="00A95641">
            <w:pPr>
              <w:jc w:val="center"/>
              <w:rPr>
                <w:rFonts w:cstheme="minorHAnsi"/>
                <w:sz w:val="18"/>
                <w:szCs w:val="18"/>
              </w:rPr>
            </w:pPr>
            <w:r>
              <w:rPr>
                <w:rFonts w:cstheme="minorHAnsi"/>
                <w:sz w:val="18"/>
                <w:szCs w:val="18"/>
              </w:rPr>
              <w:t>影响因子</w:t>
            </w:r>
          </w:p>
        </w:tc>
        <w:tc>
          <w:tcPr>
            <w:tcW w:w="1947" w:type="pct"/>
            <w:gridSpan w:val="5"/>
          </w:tcPr>
          <w:p w14:paraId="20C51CFB" w14:textId="77777777" w:rsidR="007D1E74" w:rsidRDefault="00A95641">
            <w:pPr>
              <w:rPr>
                <w:rFonts w:cstheme="minorHAnsi"/>
                <w:sz w:val="18"/>
                <w:szCs w:val="18"/>
              </w:rPr>
            </w:pPr>
            <w:r>
              <w:rPr>
                <w:rFonts w:cstheme="minorHAnsi"/>
                <w:sz w:val="18"/>
                <w:szCs w:val="18"/>
              </w:rPr>
              <w:t>持久性污染物</w:t>
            </w:r>
            <w:r>
              <w:rPr>
                <w:rFonts w:cstheme="minorHAnsi"/>
                <w:sz w:val="18"/>
                <w:szCs w:val="18"/>
              </w:rPr>
              <w:t>□</w:t>
            </w:r>
            <w:r>
              <w:rPr>
                <w:rFonts w:cstheme="minorHAnsi"/>
                <w:sz w:val="18"/>
                <w:szCs w:val="18"/>
              </w:rPr>
              <w:t>；有毒有害污染物</w:t>
            </w:r>
            <w:r>
              <w:rPr>
                <w:rFonts w:cstheme="minorHAnsi"/>
                <w:sz w:val="18"/>
                <w:szCs w:val="18"/>
              </w:rPr>
              <w:t>□</w:t>
            </w:r>
            <w:r>
              <w:rPr>
                <w:rFonts w:cstheme="minorHAnsi"/>
                <w:sz w:val="18"/>
                <w:szCs w:val="18"/>
              </w:rPr>
              <w:t>；非持久性污染物</w:t>
            </w:r>
            <w:r>
              <w:rPr>
                <w:rFonts w:cstheme="minorHAnsi"/>
                <w:sz w:val="18"/>
                <w:szCs w:val="18"/>
              </w:rPr>
              <w:t>□</w:t>
            </w:r>
            <w:r>
              <w:rPr>
                <w:rFonts w:cstheme="minorHAnsi"/>
                <w:sz w:val="18"/>
                <w:szCs w:val="18"/>
              </w:rPr>
              <w:t>；</w:t>
            </w:r>
            <w:r>
              <w:rPr>
                <w:rFonts w:cstheme="minorHAnsi"/>
                <w:sz w:val="18"/>
                <w:szCs w:val="18"/>
              </w:rPr>
              <w:t>pH</w:t>
            </w:r>
            <w:r>
              <w:rPr>
                <w:rFonts w:cstheme="minorHAnsi"/>
                <w:sz w:val="18"/>
                <w:szCs w:val="18"/>
              </w:rPr>
              <w:t>值</w:t>
            </w:r>
            <w:r>
              <w:rPr>
                <w:rFonts w:cstheme="minorHAnsi"/>
                <w:sz w:val="18"/>
                <w:szCs w:val="18"/>
              </w:rPr>
              <w:t>□</w:t>
            </w:r>
            <w:r>
              <w:rPr>
                <w:rFonts w:cstheme="minorHAnsi"/>
                <w:sz w:val="18"/>
                <w:szCs w:val="18"/>
              </w:rPr>
              <w:t>；热污染</w:t>
            </w:r>
            <w:r>
              <w:rPr>
                <w:rFonts w:cstheme="minorHAnsi"/>
                <w:sz w:val="18"/>
                <w:szCs w:val="18"/>
              </w:rPr>
              <w:t>□</w:t>
            </w:r>
            <w:r>
              <w:rPr>
                <w:rFonts w:cstheme="minorHAnsi"/>
                <w:sz w:val="18"/>
                <w:szCs w:val="18"/>
              </w:rPr>
              <w:t>；富营养化</w:t>
            </w:r>
            <w:r>
              <w:rPr>
                <w:rFonts w:cstheme="minorHAnsi"/>
                <w:sz w:val="18"/>
                <w:szCs w:val="18"/>
              </w:rPr>
              <w:t>□</w:t>
            </w:r>
            <w:r>
              <w:rPr>
                <w:rFonts w:cstheme="minorHAnsi"/>
                <w:sz w:val="18"/>
                <w:szCs w:val="18"/>
              </w:rPr>
              <w:t>；其他</w:t>
            </w:r>
            <w:r>
              <w:rPr>
                <w:rFonts w:cstheme="minorHAnsi"/>
                <w:sz w:val="18"/>
                <w:szCs w:val="18"/>
              </w:rPr>
              <w:t>□</w:t>
            </w:r>
          </w:p>
        </w:tc>
        <w:tc>
          <w:tcPr>
            <w:tcW w:w="1947" w:type="pct"/>
            <w:gridSpan w:val="5"/>
            <w:vAlign w:val="center"/>
          </w:tcPr>
          <w:p w14:paraId="44F57B03" w14:textId="77777777" w:rsidR="007D1E74" w:rsidRDefault="00A95641">
            <w:pPr>
              <w:rPr>
                <w:rFonts w:cstheme="minorHAnsi"/>
                <w:sz w:val="18"/>
                <w:szCs w:val="18"/>
              </w:rPr>
            </w:pPr>
            <w:r>
              <w:rPr>
                <w:rFonts w:cstheme="minorHAnsi"/>
                <w:sz w:val="18"/>
                <w:szCs w:val="18"/>
              </w:rPr>
              <w:t>水温</w:t>
            </w:r>
            <w:r>
              <w:rPr>
                <w:rFonts w:cstheme="minorHAnsi"/>
                <w:sz w:val="18"/>
                <w:szCs w:val="18"/>
              </w:rPr>
              <w:t>□</w:t>
            </w:r>
            <w:r>
              <w:rPr>
                <w:rFonts w:cstheme="minorHAnsi"/>
                <w:sz w:val="18"/>
                <w:szCs w:val="18"/>
              </w:rPr>
              <w:t>；水位（水深）</w:t>
            </w:r>
            <w:r>
              <w:rPr>
                <w:rFonts w:cstheme="minorHAnsi"/>
                <w:sz w:val="18"/>
                <w:szCs w:val="18"/>
              </w:rPr>
              <w:t>□</w:t>
            </w:r>
            <w:r>
              <w:rPr>
                <w:rFonts w:cstheme="minorHAnsi"/>
                <w:sz w:val="18"/>
                <w:szCs w:val="18"/>
              </w:rPr>
              <w:t>；流速</w:t>
            </w:r>
            <w:r>
              <w:rPr>
                <w:rFonts w:cstheme="minorHAnsi"/>
                <w:sz w:val="18"/>
                <w:szCs w:val="18"/>
              </w:rPr>
              <w:t>□</w:t>
            </w:r>
            <w:r>
              <w:rPr>
                <w:rFonts w:cstheme="minorHAnsi"/>
                <w:sz w:val="18"/>
                <w:szCs w:val="18"/>
              </w:rPr>
              <w:t>；流量</w:t>
            </w:r>
            <w:r>
              <w:rPr>
                <w:rFonts w:cstheme="minorHAnsi"/>
                <w:sz w:val="18"/>
                <w:szCs w:val="18"/>
              </w:rPr>
              <w:t>□</w:t>
            </w:r>
            <w:r>
              <w:rPr>
                <w:rFonts w:cstheme="minorHAnsi"/>
                <w:sz w:val="18"/>
                <w:szCs w:val="18"/>
              </w:rPr>
              <w:t>；其他</w:t>
            </w:r>
            <w:r>
              <w:rPr>
                <w:rFonts w:cstheme="minorHAnsi"/>
                <w:sz w:val="18"/>
                <w:szCs w:val="18"/>
              </w:rPr>
              <w:t>□</w:t>
            </w:r>
          </w:p>
        </w:tc>
      </w:tr>
      <w:tr w:rsidR="007D1E74" w14:paraId="6740B985" w14:textId="77777777">
        <w:trPr>
          <w:trHeight w:val="315"/>
          <w:jc w:val="center"/>
        </w:trPr>
        <w:tc>
          <w:tcPr>
            <w:tcW w:w="1107" w:type="pct"/>
            <w:gridSpan w:val="2"/>
            <w:vMerge w:val="restart"/>
            <w:shd w:val="clear" w:color="auto" w:fill="auto"/>
            <w:vAlign w:val="center"/>
          </w:tcPr>
          <w:p w14:paraId="0CA618F9" w14:textId="77777777" w:rsidR="007D1E74" w:rsidRDefault="00A95641">
            <w:pPr>
              <w:jc w:val="center"/>
              <w:rPr>
                <w:rFonts w:cstheme="minorHAnsi"/>
                <w:sz w:val="18"/>
                <w:szCs w:val="18"/>
              </w:rPr>
            </w:pPr>
            <w:r>
              <w:rPr>
                <w:rFonts w:cstheme="minorHAnsi"/>
                <w:sz w:val="18"/>
                <w:szCs w:val="18"/>
              </w:rPr>
              <w:t>评价等级</w:t>
            </w:r>
          </w:p>
        </w:tc>
        <w:tc>
          <w:tcPr>
            <w:tcW w:w="1947" w:type="pct"/>
            <w:gridSpan w:val="5"/>
          </w:tcPr>
          <w:p w14:paraId="5B18CE70" w14:textId="77777777" w:rsidR="007D1E74" w:rsidRDefault="00A95641">
            <w:pPr>
              <w:jc w:val="center"/>
              <w:rPr>
                <w:rFonts w:cstheme="minorHAnsi"/>
                <w:sz w:val="18"/>
                <w:szCs w:val="18"/>
              </w:rPr>
            </w:pPr>
            <w:r>
              <w:rPr>
                <w:rFonts w:cstheme="minorHAnsi"/>
                <w:sz w:val="18"/>
                <w:szCs w:val="18"/>
              </w:rPr>
              <w:t>水污染影响型</w:t>
            </w:r>
          </w:p>
        </w:tc>
        <w:tc>
          <w:tcPr>
            <w:tcW w:w="1947" w:type="pct"/>
            <w:gridSpan w:val="5"/>
          </w:tcPr>
          <w:p w14:paraId="61B4918D" w14:textId="77777777" w:rsidR="007D1E74" w:rsidRDefault="00A95641">
            <w:pPr>
              <w:jc w:val="center"/>
              <w:rPr>
                <w:rFonts w:cstheme="minorHAnsi"/>
                <w:sz w:val="18"/>
                <w:szCs w:val="18"/>
              </w:rPr>
            </w:pPr>
            <w:r>
              <w:rPr>
                <w:rFonts w:cstheme="minorHAnsi"/>
                <w:sz w:val="18"/>
                <w:szCs w:val="18"/>
              </w:rPr>
              <w:t>水文要素影响型</w:t>
            </w:r>
          </w:p>
        </w:tc>
      </w:tr>
      <w:tr w:rsidR="007D1E74" w14:paraId="021FF8BE" w14:textId="77777777">
        <w:trPr>
          <w:trHeight w:val="315"/>
          <w:jc w:val="center"/>
        </w:trPr>
        <w:tc>
          <w:tcPr>
            <w:tcW w:w="1107" w:type="pct"/>
            <w:gridSpan w:val="2"/>
            <w:vMerge/>
            <w:shd w:val="clear" w:color="auto" w:fill="auto"/>
            <w:vAlign w:val="center"/>
          </w:tcPr>
          <w:p w14:paraId="391A015A" w14:textId="77777777" w:rsidR="007D1E74" w:rsidRDefault="007D1E74">
            <w:pPr>
              <w:jc w:val="center"/>
              <w:rPr>
                <w:rFonts w:cstheme="minorHAnsi"/>
                <w:sz w:val="18"/>
                <w:szCs w:val="18"/>
              </w:rPr>
            </w:pPr>
          </w:p>
        </w:tc>
        <w:tc>
          <w:tcPr>
            <w:tcW w:w="1947" w:type="pct"/>
            <w:gridSpan w:val="5"/>
          </w:tcPr>
          <w:p w14:paraId="35B2B1F6" w14:textId="77777777" w:rsidR="007D1E74" w:rsidRDefault="00A95641">
            <w:pPr>
              <w:rPr>
                <w:rFonts w:cstheme="minorHAnsi"/>
                <w:sz w:val="18"/>
                <w:szCs w:val="18"/>
              </w:rPr>
            </w:pPr>
            <w:r>
              <w:rPr>
                <w:rFonts w:cstheme="minorHAnsi"/>
                <w:sz w:val="18"/>
                <w:szCs w:val="18"/>
              </w:rPr>
              <w:t>一级</w:t>
            </w:r>
            <w:r>
              <w:rPr>
                <w:rFonts w:cstheme="minorHAnsi"/>
                <w:sz w:val="18"/>
                <w:szCs w:val="18"/>
              </w:rPr>
              <w:t>□</w:t>
            </w:r>
            <w:r>
              <w:rPr>
                <w:rFonts w:cstheme="minorHAnsi"/>
                <w:sz w:val="18"/>
                <w:szCs w:val="18"/>
              </w:rPr>
              <w:t>；二级</w:t>
            </w:r>
            <w:r>
              <w:rPr>
                <w:rFonts w:cstheme="minorHAnsi"/>
                <w:sz w:val="18"/>
                <w:szCs w:val="18"/>
              </w:rPr>
              <w:t>□</w:t>
            </w:r>
            <w:r>
              <w:rPr>
                <w:rFonts w:cstheme="minorHAnsi"/>
                <w:sz w:val="18"/>
                <w:szCs w:val="18"/>
              </w:rPr>
              <w:t>；三级</w:t>
            </w:r>
            <w:r>
              <w:rPr>
                <w:rFonts w:cstheme="minorHAnsi"/>
                <w:sz w:val="18"/>
                <w:szCs w:val="18"/>
              </w:rPr>
              <w:t>A□</w:t>
            </w:r>
            <w:r>
              <w:rPr>
                <w:rFonts w:cstheme="minorHAnsi"/>
                <w:sz w:val="18"/>
                <w:szCs w:val="18"/>
              </w:rPr>
              <w:t>；三级</w:t>
            </w:r>
            <w:r>
              <w:rPr>
                <w:rFonts w:cstheme="minorHAnsi"/>
                <w:sz w:val="18"/>
                <w:szCs w:val="18"/>
              </w:rPr>
              <w:t>B</w:t>
            </w:r>
            <w:r>
              <w:rPr>
                <w:rFonts w:cstheme="minorHAnsi"/>
                <w:sz w:val="18"/>
                <w:szCs w:val="18"/>
              </w:rPr>
              <w:sym w:font="Wingdings 2" w:char="F052"/>
            </w:r>
          </w:p>
        </w:tc>
        <w:tc>
          <w:tcPr>
            <w:tcW w:w="1947" w:type="pct"/>
            <w:gridSpan w:val="5"/>
          </w:tcPr>
          <w:p w14:paraId="23620329" w14:textId="77777777" w:rsidR="007D1E74" w:rsidRDefault="00A95641">
            <w:pPr>
              <w:rPr>
                <w:rFonts w:cstheme="minorHAnsi"/>
                <w:sz w:val="18"/>
                <w:szCs w:val="18"/>
              </w:rPr>
            </w:pPr>
            <w:r>
              <w:rPr>
                <w:rFonts w:cstheme="minorHAnsi"/>
                <w:sz w:val="18"/>
                <w:szCs w:val="18"/>
              </w:rPr>
              <w:t>一级</w:t>
            </w:r>
            <w:r>
              <w:rPr>
                <w:rFonts w:cstheme="minorHAnsi"/>
                <w:sz w:val="18"/>
                <w:szCs w:val="18"/>
              </w:rPr>
              <w:t>□</w:t>
            </w:r>
            <w:r>
              <w:rPr>
                <w:rFonts w:cstheme="minorHAnsi"/>
                <w:sz w:val="18"/>
                <w:szCs w:val="18"/>
              </w:rPr>
              <w:t>；二级</w:t>
            </w:r>
            <w:r>
              <w:rPr>
                <w:rFonts w:cstheme="minorHAnsi"/>
                <w:sz w:val="18"/>
                <w:szCs w:val="18"/>
              </w:rPr>
              <w:t>□</w:t>
            </w:r>
            <w:r>
              <w:rPr>
                <w:rFonts w:cstheme="minorHAnsi"/>
                <w:sz w:val="18"/>
                <w:szCs w:val="18"/>
              </w:rPr>
              <w:t>；三级</w:t>
            </w:r>
            <w:r>
              <w:rPr>
                <w:rFonts w:cstheme="minorHAnsi"/>
                <w:sz w:val="18"/>
                <w:szCs w:val="18"/>
              </w:rPr>
              <w:t>□</w:t>
            </w:r>
          </w:p>
        </w:tc>
      </w:tr>
      <w:tr w:rsidR="007D1E74" w14:paraId="32A7FBB2" w14:textId="77777777">
        <w:trPr>
          <w:trHeight w:val="315"/>
          <w:jc w:val="center"/>
        </w:trPr>
        <w:tc>
          <w:tcPr>
            <w:tcW w:w="245" w:type="pct"/>
            <w:vMerge w:val="restart"/>
            <w:shd w:val="clear" w:color="auto" w:fill="auto"/>
            <w:vAlign w:val="center"/>
          </w:tcPr>
          <w:p w14:paraId="1F963105" w14:textId="77777777" w:rsidR="007D1E74" w:rsidRDefault="00A95641">
            <w:pPr>
              <w:jc w:val="center"/>
              <w:rPr>
                <w:rFonts w:cstheme="minorHAnsi"/>
                <w:sz w:val="18"/>
                <w:szCs w:val="18"/>
              </w:rPr>
            </w:pPr>
            <w:r>
              <w:rPr>
                <w:rFonts w:cstheme="minorHAnsi"/>
                <w:sz w:val="18"/>
                <w:szCs w:val="18"/>
              </w:rPr>
              <w:t>现状调查</w:t>
            </w:r>
          </w:p>
        </w:tc>
        <w:tc>
          <w:tcPr>
            <w:tcW w:w="862" w:type="pct"/>
            <w:vMerge w:val="restart"/>
            <w:shd w:val="clear" w:color="auto" w:fill="auto"/>
            <w:vAlign w:val="center"/>
          </w:tcPr>
          <w:p w14:paraId="5FE355CC" w14:textId="77777777" w:rsidR="007D1E74" w:rsidRDefault="00A95641">
            <w:pPr>
              <w:jc w:val="center"/>
              <w:rPr>
                <w:rFonts w:cstheme="minorHAnsi"/>
                <w:sz w:val="18"/>
                <w:szCs w:val="18"/>
              </w:rPr>
            </w:pPr>
            <w:r>
              <w:rPr>
                <w:rFonts w:cstheme="minorHAnsi"/>
                <w:sz w:val="18"/>
                <w:szCs w:val="18"/>
              </w:rPr>
              <w:t>区域污染源</w:t>
            </w:r>
          </w:p>
        </w:tc>
        <w:tc>
          <w:tcPr>
            <w:tcW w:w="1947" w:type="pct"/>
            <w:gridSpan w:val="5"/>
          </w:tcPr>
          <w:p w14:paraId="2F5F60CE" w14:textId="77777777" w:rsidR="007D1E74" w:rsidRDefault="00A95641">
            <w:pPr>
              <w:jc w:val="center"/>
              <w:rPr>
                <w:rFonts w:cstheme="minorHAnsi"/>
                <w:sz w:val="18"/>
                <w:szCs w:val="18"/>
              </w:rPr>
            </w:pPr>
            <w:r>
              <w:rPr>
                <w:rFonts w:cstheme="minorHAnsi"/>
                <w:sz w:val="18"/>
                <w:szCs w:val="18"/>
              </w:rPr>
              <w:t>调查项目</w:t>
            </w:r>
          </w:p>
        </w:tc>
        <w:tc>
          <w:tcPr>
            <w:tcW w:w="1947" w:type="pct"/>
            <w:gridSpan w:val="5"/>
          </w:tcPr>
          <w:p w14:paraId="791195AD" w14:textId="77777777" w:rsidR="007D1E74" w:rsidRDefault="00A95641">
            <w:pPr>
              <w:jc w:val="center"/>
              <w:rPr>
                <w:rFonts w:cstheme="minorHAnsi"/>
                <w:sz w:val="18"/>
                <w:szCs w:val="18"/>
              </w:rPr>
            </w:pPr>
            <w:r>
              <w:rPr>
                <w:rFonts w:cstheme="minorHAnsi"/>
                <w:sz w:val="18"/>
                <w:szCs w:val="18"/>
              </w:rPr>
              <w:t>数据来源</w:t>
            </w:r>
          </w:p>
        </w:tc>
      </w:tr>
      <w:tr w:rsidR="007D1E74" w14:paraId="1EF137E5" w14:textId="77777777">
        <w:trPr>
          <w:trHeight w:val="315"/>
          <w:jc w:val="center"/>
        </w:trPr>
        <w:tc>
          <w:tcPr>
            <w:tcW w:w="245" w:type="pct"/>
            <w:vMerge/>
            <w:shd w:val="clear" w:color="auto" w:fill="auto"/>
            <w:vAlign w:val="center"/>
          </w:tcPr>
          <w:p w14:paraId="716F9A3A" w14:textId="77777777" w:rsidR="007D1E74" w:rsidRDefault="007D1E74">
            <w:pPr>
              <w:jc w:val="center"/>
              <w:rPr>
                <w:rFonts w:cstheme="minorHAnsi"/>
                <w:sz w:val="18"/>
                <w:szCs w:val="18"/>
              </w:rPr>
            </w:pPr>
          </w:p>
        </w:tc>
        <w:tc>
          <w:tcPr>
            <w:tcW w:w="862" w:type="pct"/>
            <w:vMerge/>
            <w:shd w:val="clear" w:color="auto" w:fill="auto"/>
            <w:vAlign w:val="center"/>
          </w:tcPr>
          <w:p w14:paraId="617C969C" w14:textId="77777777" w:rsidR="007D1E74" w:rsidRDefault="007D1E74">
            <w:pPr>
              <w:jc w:val="center"/>
              <w:rPr>
                <w:rFonts w:cstheme="minorHAnsi"/>
                <w:sz w:val="18"/>
                <w:szCs w:val="18"/>
              </w:rPr>
            </w:pPr>
          </w:p>
        </w:tc>
        <w:tc>
          <w:tcPr>
            <w:tcW w:w="973" w:type="pct"/>
            <w:gridSpan w:val="2"/>
            <w:vAlign w:val="center"/>
          </w:tcPr>
          <w:p w14:paraId="03AABC1D" w14:textId="77777777" w:rsidR="007D1E74" w:rsidRDefault="00A95641">
            <w:pPr>
              <w:rPr>
                <w:rFonts w:cstheme="minorHAnsi"/>
                <w:sz w:val="18"/>
                <w:szCs w:val="18"/>
              </w:rPr>
            </w:pPr>
            <w:r>
              <w:rPr>
                <w:rFonts w:cstheme="minorHAnsi"/>
                <w:sz w:val="18"/>
                <w:szCs w:val="18"/>
              </w:rPr>
              <w:t>已建</w:t>
            </w:r>
            <w:r>
              <w:rPr>
                <w:rFonts w:cstheme="minorHAnsi"/>
                <w:sz w:val="18"/>
                <w:szCs w:val="18"/>
              </w:rPr>
              <w:t>□</w:t>
            </w:r>
            <w:r>
              <w:rPr>
                <w:rFonts w:cstheme="minorHAnsi"/>
                <w:sz w:val="18"/>
                <w:szCs w:val="18"/>
              </w:rPr>
              <w:t>；在建</w:t>
            </w:r>
            <w:r>
              <w:rPr>
                <w:rFonts w:cstheme="minorHAnsi"/>
                <w:sz w:val="18"/>
                <w:szCs w:val="18"/>
              </w:rPr>
              <w:t>□</w:t>
            </w:r>
            <w:r>
              <w:rPr>
                <w:rFonts w:cstheme="minorHAnsi"/>
                <w:sz w:val="18"/>
                <w:szCs w:val="18"/>
              </w:rPr>
              <w:t>；拟建</w:t>
            </w:r>
            <w:r>
              <w:rPr>
                <w:rFonts w:cstheme="minorHAnsi"/>
                <w:sz w:val="18"/>
                <w:szCs w:val="18"/>
              </w:rPr>
              <w:t>□</w:t>
            </w:r>
            <w:r>
              <w:rPr>
                <w:rFonts w:cstheme="minorHAnsi"/>
                <w:sz w:val="18"/>
                <w:szCs w:val="18"/>
              </w:rPr>
              <w:t>；其他</w:t>
            </w:r>
            <w:r>
              <w:rPr>
                <w:rFonts w:cstheme="minorHAnsi"/>
                <w:sz w:val="18"/>
                <w:szCs w:val="18"/>
              </w:rPr>
              <w:t>□</w:t>
            </w:r>
          </w:p>
        </w:tc>
        <w:tc>
          <w:tcPr>
            <w:tcW w:w="973" w:type="pct"/>
            <w:gridSpan w:val="3"/>
            <w:vAlign w:val="center"/>
          </w:tcPr>
          <w:p w14:paraId="47FF450E" w14:textId="77777777" w:rsidR="007D1E74" w:rsidRDefault="00A95641">
            <w:pPr>
              <w:rPr>
                <w:rFonts w:cstheme="minorHAnsi"/>
                <w:sz w:val="18"/>
                <w:szCs w:val="18"/>
              </w:rPr>
            </w:pPr>
            <w:r>
              <w:rPr>
                <w:rFonts w:cstheme="minorHAnsi"/>
                <w:sz w:val="18"/>
                <w:szCs w:val="18"/>
              </w:rPr>
              <w:t>拟替代的污染源</w:t>
            </w:r>
            <w:r>
              <w:rPr>
                <w:rFonts w:cstheme="minorHAnsi"/>
                <w:sz w:val="18"/>
                <w:szCs w:val="18"/>
              </w:rPr>
              <w:t>□</w:t>
            </w:r>
          </w:p>
        </w:tc>
        <w:tc>
          <w:tcPr>
            <w:tcW w:w="1947" w:type="pct"/>
            <w:gridSpan w:val="5"/>
            <w:vAlign w:val="center"/>
          </w:tcPr>
          <w:p w14:paraId="2708FD7C" w14:textId="77777777" w:rsidR="007D1E74" w:rsidRDefault="00A95641">
            <w:pPr>
              <w:rPr>
                <w:rFonts w:cstheme="minorHAnsi"/>
                <w:sz w:val="18"/>
                <w:szCs w:val="18"/>
              </w:rPr>
            </w:pPr>
            <w:r>
              <w:rPr>
                <w:rFonts w:cstheme="minorHAnsi"/>
                <w:sz w:val="18"/>
                <w:szCs w:val="18"/>
              </w:rPr>
              <w:t>排污许可证</w:t>
            </w:r>
            <w:r>
              <w:rPr>
                <w:rFonts w:cstheme="minorHAnsi"/>
                <w:sz w:val="18"/>
                <w:szCs w:val="18"/>
              </w:rPr>
              <w:t>□</w:t>
            </w:r>
            <w:r>
              <w:rPr>
                <w:rFonts w:cstheme="minorHAnsi"/>
                <w:sz w:val="18"/>
                <w:szCs w:val="18"/>
              </w:rPr>
              <w:t>；环评</w:t>
            </w:r>
            <w:r>
              <w:rPr>
                <w:rFonts w:cstheme="minorHAnsi"/>
                <w:sz w:val="18"/>
                <w:szCs w:val="18"/>
              </w:rPr>
              <w:t>□</w:t>
            </w:r>
            <w:r>
              <w:rPr>
                <w:rFonts w:cstheme="minorHAnsi"/>
                <w:sz w:val="18"/>
                <w:szCs w:val="18"/>
              </w:rPr>
              <w:t>；环保验收</w:t>
            </w:r>
            <w:r>
              <w:rPr>
                <w:rFonts w:cstheme="minorHAnsi"/>
                <w:sz w:val="18"/>
                <w:szCs w:val="18"/>
              </w:rPr>
              <w:t>□</w:t>
            </w:r>
            <w:r>
              <w:rPr>
                <w:rFonts w:cstheme="minorHAnsi"/>
                <w:sz w:val="18"/>
                <w:szCs w:val="18"/>
              </w:rPr>
              <w:t>；既有实测</w:t>
            </w:r>
            <w:r>
              <w:rPr>
                <w:rFonts w:cstheme="minorHAnsi"/>
                <w:sz w:val="18"/>
                <w:szCs w:val="18"/>
              </w:rPr>
              <w:t>□</w:t>
            </w:r>
            <w:r>
              <w:rPr>
                <w:rFonts w:cstheme="minorHAnsi"/>
                <w:sz w:val="18"/>
                <w:szCs w:val="18"/>
              </w:rPr>
              <w:t>；现场监测</w:t>
            </w:r>
            <w:r>
              <w:rPr>
                <w:rFonts w:cstheme="minorHAnsi"/>
                <w:sz w:val="18"/>
                <w:szCs w:val="18"/>
              </w:rPr>
              <w:t>□</w:t>
            </w:r>
            <w:r>
              <w:rPr>
                <w:rFonts w:cstheme="minorHAnsi"/>
                <w:sz w:val="18"/>
                <w:szCs w:val="18"/>
              </w:rPr>
              <w:t>；入河排放口数据</w:t>
            </w:r>
            <w:r>
              <w:rPr>
                <w:rFonts w:cstheme="minorHAnsi"/>
                <w:sz w:val="18"/>
                <w:szCs w:val="18"/>
              </w:rPr>
              <w:t>□</w:t>
            </w:r>
            <w:r>
              <w:rPr>
                <w:rFonts w:cstheme="minorHAnsi"/>
                <w:sz w:val="18"/>
                <w:szCs w:val="18"/>
              </w:rPr>
              <w:t>；其他</w:t>
            </w:r>
            <w:r>
              <w:rPr>
                <w:rFonts w:cstheme="minorHAnsi"/>
                <w:sz w:val="18"/>
                <w:szCs w:val="18"/>
              </w:rPr>
              <w:t>□</w:t>
            </w:r>
          </w:p>
        </w:tc>
      </w:tr>
      <w:tr w:rsidR="007D1E74" w14:paraId="5C0D6D1B" w14:textId="77777777">
        <w:trPr>
          <w:trHeight w:val="315"/>
          <w:jc w:val="center"/>
        </w:trPr>
        <w:tc>
          <w:tcPr>
            <w:tcW w:w="245" w:type="pct"/>
            <w:vMerge/>
            <w:shd w:val="clear" w:color="auto" w:fill="auto"/>
            <w:vAlign w:val="center"/>
          </w:tcPr>
          <w:p w14:paraId="26FA085C" w14:textId="77777777" w:rsidR="007D1E74" w:rsidRDefault="007D1E74">
            <w:pPr>
              <w:jc w:val="center"/>
              <w:rPr>
                <w:rFonts w:cstheme="minorHAnsi"/>
                <w:sz w:val="18"/>
                <w:szCs w:val="18"/>
              </w:rPr>
            </w:pPr>
          </w:p>
        </w:tc>
        <w:tc>
          <w:tcPr>
            <w:tcW w:w="862" w:type="pct"/>
            <w:vMerge w:val="restart"/>
            <w:shd w:val="clear" w:color="auto" w:fill="auto"/>
            <w:vAlign w:val="center"/>
          </w:tcPr>
          <w:p w14:paraId="611F85CA" w14:textId="77777777" w:rsidR="007D1E74" w:rsidRDefault="00A95641">
            <w:pPr>
              <w:jc w:val="center"/>
              <w:rPr>
                <w:rFonts w:cstheme="minorHAnsi"/>
                <w:sz w:val="18"/>
                <w:szCs w:val="18"/>
              </w:rPr>
            </w:pPr>
            <w:r>
              <w:rPr>
                <w:rFonts w:cstheme="minorHAnsi"/>
                <w:sz w:val="18"/>
                <w:szCs w:val="18"/>
              </w:rPr>
              <w:t>受影响水体水环境质量</w:t>
            </w:r>
          </w:p>
        </w:tc>
        <w:tc>
          <w:tcPr>
            <w:tcW w:w="1947" w:type="pct"/>
            <w:gridSpan w:val="5"/>
          </w:tcPr>
          <w:p w14:paraId="115C8475" w14:textId="77777777" w:rsidR="007D1E74" w:rsidRDefault="00A95641">
            <w:pPr>
              <w:jc w:val="center"/>
              <w:rPr>
                <w:rFonts w:cstheme="minorHAnsi"/>
                <w:sz w:val="18"/>
                <w:szCs w:val="18"/>
              </w:rPr>
            </w:pPr>
            <w:r>
              <w:rPr>
                <w:rFonts w:cstheme="minorHAnsi"/>
                <w:sz w:val="18"/>
                <w:szCs w:val="18"/>
              </w:rPr>
              <w:t>调查时期</w:t>
            </w:r>
          </w:p>
        </w:tc>
        <w:tc>
          <w:tcPr>
            <w:tcW w:w="1947" w:type="pct"/>
            <w:gridSpan w:val="5"/>
          </w:tcPr>
          <w:p w14:paraId="25522976" w14:textId="77777777" w:rsidR="007D1E74" w:rsidRDefault="00A95641">
            <w:pPr>
              <w:jc w:val="center"/>
              <w:rPr>
                <w:rFonts w:cstheme="minorHAnsi"/>
                <w:sz w:val="18"/>
                <w:szCs w:val="18"/>
              </w:rPr>
            </w:pPr>
            <w:r>
              <w:rPr>
                <w:rFonts w:cstheme="minorHAnsi"/>
                <w:sz w:val="18"/>
                <w:szCs w:val="18"/>
              </w:rPr>
              <w:t>数据来源</w:t>
            </w:r>
          </w:p>
        </w:tc>
      </w:tr>
      <w:tr w:rsidR="007D1E74" w14:paraId="352F5A65" w14:textId="77777777">
        <w:trPr>
          <w:trHeight w:val="315"/>
          <w:jc w:val="center"/>
        </w:trPr>
        <w:tc>
          <w:tcPr>
            <w:tcW w:w="245" w:type="pct"/>
            <w:vMerge/>
            <w:shd w:val="clear" w:color="auto" w:fill="auto"/>
            <w:vAlign w:val="center"/>
          </w:tcPr>
          <w:p w14:paraId="0A1F8B77" w14:textId="77777777" w:rsidR="007D1E74" w:rsidRDefault="007D1E74">
            <w:pPr>
              <w:jc w:val="center"/>
              <w:rPr>
                <w:rFonts w:cstheme="minorHAnsi"/>
                <w:sz w:val="18"/>
                <w:szCs w:val="18"/>
              </w:rPr>
            </w:pPr>
          </w:p>
        </w:tc>
        <w:tc>
          <w:tcPr>
            <w:tcW w:w="862" w:type="pct"/>
            <w:vMerge/>
            <w:shd w:val="clear" w:color="auto" w:fill="auto"/>
            <w:vAlign w:val="center"/>
          </w:tcPr>
          <w:p w14:paraId="773601DC" w14:textId="77777777" w:rsidR="007D1E74" w:rsidRDefault="007D1E74">
            <w:pPr>
              <w:jc w:val="center"/>
              <w:rPr>
                <w:rFonts w:cstheme="minorHAnsi"/>
                <w:sz w:val="18"/>
                <w:szCs w:val="18"/>
              </w:rPr>
            </w:pPr>
          </w:p>
        </w:tc>
        <w:tc>
          <w:tcPr>
            <w:tcW w:w="1947" w:type="pct"/>
            <w:gridSpan w:val="5"/>
          </w:tcPr>
          <w:p w14:paraId="6DF24683" w14:textId="77777777" w:rsidR="007D1E74" w:rsidRDefault="00A95641">
            <w:pPr>
              <w:rPr>
                <w:rFonts w:cstheme="minorHAnsi"/>
                <w:sz w:val="18"/>
                <w:szCs w:val="18"/>
              </w:rPr>
            </w:pPr>
            <w:r>
              <w:rPr>
                <w:rFonts w:cstheme="minorHAnsi"/>
                <w:sz w:val="18"/>
                <w:szCs w:val="18"/>
              </w:rPr>
              <w:t>丰水期</w:t>
            </w:r>
            <w:r>
              <w:rPr>
                <w:rFonts w:cstheme="minorHAnsi"/>
                <w:sz w:val="18"/>
                <w:szCs w:val="18"/>
              </w:rPr>
              <w:t>□</w:t>
            </w:r>
            <w:r>
              <w:rPr>
                <w:rFonts w:cstheme="minorHAnsi"/>
                <w:sz w:val="18"/>
                <w:szCs w:val="18"/>
              </w:rPr>
              <w:t>；平水期</w:t>
            </w:r>
            <w:r>
              <w:rPr>
                <w:rFonts w:cstheme="minorHAnsi"/>
                <w:sz w:val="18"/>
                <w:szCs w:val="18"/>
              </w:rPr>
              <w:t>□</w:t>
            </w:r>
            <w:r>
              <w:rPr>
                <w:rFonts w:cstheme="minorHAnsi"/>
                <w:sz w:val="18"/>
                <w:szCs w:val="18"/>
              </w:rPr>
              <w:t>；枯水期</w:t>
            </w:r>
            <w:r>
              <w:rPr>
                <w:rFonts w:cstheme="minorHAnsi"/>
                <w:sz w:val="18"/>
                <w:szCs w:val="18"/>
              </w:rPr>
              <w:t>□</w:t>
            </w:r>
            <w:r>
              <w:rPr>
                <w:rFonts w:cstheme="minorHAnsi"/>
                <w:sz w:val="18"/>
                <w:szCs w:val="18"/>
              </w:rPr>
              <w:t>；冰封期</w:t>
            </w:r>
            <w:r>
              <w:rPr>
                <w:rFonts w:cstheme="minorHAnsi"/>
                <w:sz w:val="18"/>
                <w:szCs w:val="18"/>
              </w:rPr>
              <w:t>□</w:t>
            </w:r>
            <w:r>
              <w:rPr>
                <w:rFonts w:cstheme="minorHAnsi"/>
                <w:sz w:val="18"/>
                <w:szCs w:val="18"/>
              </w:rPr>
              <w:t>；春季</w:t>
            </w:r>
            <w:r>
              <w:rPr>
                <w:rFonts w:cstheme="minorHAnsi"/>
                <w:sz w:val="18"/>
                <w:szCs w:val="18"/>
              </w:rPr>
              <w:sym w:font="Wingdings 2" w:char="00A3"/>
            </w:r>
            <w:r>
              <w:rPr>
                <w:rFonts w:cstheme="minorHAnsi"/>
                <w:sz w:val="18"/>
                <w:szCs w:val="18"/>
              </w:rPr>
              <w:t>；夏季</w:t>
            </w:r>
            <w:r>
              <w:rPr>
                <w:rFonts w:cstheme="minorHAnsi"/>
                <w:sz w:val="18"/>
                <w:szCs w:val="18"/>
              </w:rPr>
              <w:sym w:font="Wingdings 2" w:char="00A3"/>
            </w:r>
            <w:r>
              <w:rPr>
                <w:rFonts w:cstheme="minorHAnsi"/>
                <w:sz w:val="18"/>
                <w:szCs w:val="18"/>
              </w:rPr>
              <w:t>；秋季</w:t>
            </w:r>
            <w:r>
              <w:rPr>
                <w:rFonts w:cstheme="minorHAnsi"/>
                <w:sz w:val="18"/>
                <w:szCs w:val="18"/>
              </w:rPr>
              <w:sym w:font="Wingdings 2" w:char="00A3"/>
            </w:r>
            <w:r>
              <w:rPr>
                <w:rFonts w:cstheme="minorHAnsi"/>
                <w:sz w:val="18"/>
                <w:szCs w:val="18"/>
              </w:rPr>
              <w:t>；冬季</w:t>
            </w:r>
            <w:r>
              <w:rPr>
                <w:rFonts w:cstheme="minorHAnsi"/>
                <w:sz w:val="18"/>
                <w:szCs w:val="18"/>
              </w:rPr>
              <w:t>□</w:t>
            </w:r>
          </w:p>
        </w:tc>
        <w:tc>
          <w:tcPr>
            <w:tcW w:w="1947" w:type="pct"/>
            <w:gridSpan w:val="5"/>
            <w:vAlign w:val="center"/>
          </w:tcPr>
          <w:p w14:paraId="0287F785" w14:textId="77777777" w:rsidR="007D1E74" w:rsidRDefault="00A95641">
            <w:pPr>
              <w:rPr>
                <w:rFonts w:cstheme="minorHAnsi"/>
                <w:sz w:val="18"/>
                <w:szCs w:val="18"/>
              </w:rPr>
            </w:pPr>
            <w:r>
              <w:rPr>
                <w:rFonts w:cstheme="minorHAnsi"/>
                <w:sz w:val="18"/>
                <w:szCs w:val="18"/>
              </w:rPr>
              <w:t>生态环境保护主管部门</w:t>
            </w:r>
            <w:r>
              <w:rPr>
                <w:rFonts w:cstheme="minorHAnsi"/>
                <w:sz w:val="18"/>
                <w:szCs w:val="18"/>
              </w:rPr>
              <w:sym w:font="Wingdings 2" w:char="F052"/>
            </w:r>
            <w:r>
              <w:rPr>
                <w:rFonts w:cstheme="minorHAnsi"/>
                <w:sz w:val="18"/>
                <w:szCs w:val="18"/>
              </w:rPr>
              <w:t>；补充监测</w:t>
            </w:r>
            <w:r>
              <w:rPr>
                <w:rFonts w:cstheme="minorHAnsi"/>
                <w:sz w:val="18"/>
                <w:szCs w:val="18"/>
              </w:rPr>
              <w:sym w:font="Wingdings 2" w:char="F052"/>
            </w:r>
            <w:r>
              <w:rPr>
                <w:rFonts w:cstheme="minorHAnsi"/>
                <w:sz w:val="18"/>
                <w:szCs w:val="18"/>
              </w:rPr>
              <w:t>；其他</w:t>
            </w:r>
            <w:r>
              <w:rPr>
                <w:rFonts w:cstheme="minorHAnsi"/>
                <w:sz w:val="18"/>
                <w:szCs w:val="18"/>
              </w:rPr>
              <w:t>□</w:t>
            </w:r>
          </w:p>
        </w:tc>
      </w:tr>
      <w:tr w:rsidR="007D1E74" w14:paraId="0B8ACE22" w14:textId="77777777">
        <w:trPr>
          <w:trHeight w:val="315"/>
          <w:jc w:val="center"/>
        </w:trPr>
        <w:tc>
          <w:tcPr>
            <w:tcW w:w="245" w:type="pct"/>
            <w:vMerge/>
            <w:shd w:val="clear" w:color="auto" w:fill="auto"/>
            <w:vAlign w:val="center"/>
          </w:tcPr>
          <w:p w14:paraId="74ABAD8E" w14:textId="77777777" w:rsidR="007D1E74" w:rsidRDefault="007D1E74">
            <w:pPr>
              <w:jc w:val="center"/>
              <w:rPr>
                <w:rFonts w:cstheme="minorHAnsi"/>
                <w:sz w:val="18"/>
                <w:szCs w:val="18"/>
              </w:rPr>
            </w:pPr>
          </w:p>
        </w:tc>
        <w:tc>
          <w:tcPr>
            <w:tcW w:w="862" w:type="pct"/>
            <w:shd w:val="clear" w:color="auto" w:fill="auto"/>
            <w:vAlign w:val="center"/>
          </w:tcPr>
          <w:p w14:paraId="792E21C2" w14:textId="77777777" w:rsidR="007D1E74" w:rsidRDefault="00A95641">
            <w:pPr>
              <w:jc w:val="center"/>
              <w:rPr>
                <w:rFonts w:cstheme="minorHAnsi"/>
                <w:sz w:val="18"/>
                <w:szCs w:val="18"/>
              </w:rPr>
            </w:pPr>
            <w:r>
              <w:rPr>
                <w:rFonts w:cstheme="minorHAnsi"/>
                <w:sz w:val="18"/>
                <w:szCs w:val="18"/>
              </w:rPr>
              <w:t>区域水资源开发利用状况</w:t>
            </w:r>
          </w:p>
        </w:tc>
        <w:tc>
          <w:tcPr>
            <w:tcW w:w="3893" w:type="pct"/>
            <w:gridSpan w:val="10"/>
            <w:vAlign w:val="center"/>
          </w:tcPr>
          <w:p w14:paraId="79D2155F" w14:textId="77777777" w:rsidR="007D1E74" w:rsidRDefault="00A95641">
            <w:pPr>
              <w:rPr>
                <w:rFonts w:cstheme="minorHAnsi"/>
                <w:sz w:val="18"/>
                <w:szCs w:val="18"/>
              </w:rPr>
            </w:pPr>
            <w:r>
              <w:rPr>
                <w:rFonts w:cstheme="minorHAnsi"/>
                <w:sz w:val="18"/>
                <w:szCs w:val="18"/>
              </w:rPr>
              <w:t>未开发</w:t>
            </w:r>
            <w:r>
              <w:rPr>
                <w:rFonts w:cstheme="minorHAnsi"/>
                <w:sz w:val="18"/>
                <w:szCs w:val="18"/>
              </w:rPr>
              <w:t>□</w:t>
            </w:r>
            <w:r>
              <w:rPr>
                <w:rFonts w:cstheme="minorHAnsi"/>
                <w:sz w:val="18"/>
                <w:szCs w:val="18"/>
              </w:rPr>
              <w:t>；开发量</w:t>
            </w:r>
            <w:r>
              <w:rPr>
                <w:rFonts w:cstheme="minorHAnsi"/>
                <w:sz w:val="18"/>
                <w:szCs w:val="18"/>
              </w:rPr>
              <w:t>40%</w:t>
            </w:r>
            <w:r>
              <w:rPr>
                <w:rFonts w:cstheme="minorHAnsi"/>
                <w:sz w:val="18"/>
                <w:szCs w:val="18"/>
              </w:rPr>
              <w:t>以下</w:t>
            </w:r>
            <w:r>
              <w:rPr>
                <w:rFonts w:cstheme="minorHAnsi"/>
                <w:sz w:val="18"/>
                <w:szCs w:val="18"/>
              </w:rPr>
              <w:t>□</w:t>
            </w:r>
            <w:r>
              <w:rPr>
                <w:rFonts w:cstheme="minorHAnsi"/>
                <w:sz w:val="18"/>
                <w:szCs w:val="18"/>
              </w:rPr>
              <w:t>；开发量</w:t>
            </w:r>
            <w:r>
              <w:rPr>
                <w:rFonts w:cstheme="minorHAnsi"/>
                <w:sz w:val="18"/>
                <w:szCs w:val="18"/>
              </w:rPr>
              <w:t>40%</w:t>
            </w:r>
            <w:r>
              <w:rPr>
                <w:rFonts w:cstheme="minorHAnsi"/>
                <w:sz w:val="18"/>
                <w:szCs w:val="18"/>
              </w:rPr>
              <w:t>以上</w:t>
            </w:r>
            <w:r>
              <w:rPr>
                <w:rFonts w:cstheme="minorHAnsi"/>
                <w:sz w:val="18"/>
                <w:szCs w:val="18"/>
              </w:rPr>
              <w:t>□</w:t>
            </w:r>
          </w:p>
        </w:tc>
      </w:tr>
      <w:tr w:rsidR="007D1E74" w14:paraId="64AA1640" w14:textId="77777777">
        <w:trPr>
          <w:trHeight w:val="315"/>
          <w:jc w:val="center"/>
        </w:trPr>
        <w:tc>
          <w:tcPr>
            <w:tcW w:w="245" w:type="pct"/>
            <w:vMerge/>
            <w:shd w:val="clear" w:color="auto" w:fill="auto"/>
            <w:vAlign w:val="center"/>
          </w:tcPr>
          <w:p w14:paraId="6712A220" w14:textId="77777777" w:rsidR="007D1E74" w:rsidRDefault="007D1E74">
            <w:pPr>
              <w:jc w:val="center"/>
              <w:rPr>
                <w:rFonts w:cstheme="minorHAnsi"/>
                <w:sz w:val="18"/>
                <w:szCs w:val="18"/>
              </w:rPr>
            </w:pPr>
          </w:p>
        </w:tc>
        <w:tc>
          <w:tcPr>
            <w:tcW w:w="862" w:type="pct"/>
            <w:vMerge w:val="restart"/>
            <w:shd w:val="clear" w:color="auto" w:fill="auto"/>
            <w:vAlign w:val="center"/>
          </w:tcPr>
          <w:p w14:paraId="50E2932B" w14:textId="77777777" w:rsidR="007D1E74" w:rsidRDefault="00A95641">
            <w:pPr>
              <w:jc w:val="center"/>
              <w:rPr>
                <w:rFonts w:cstheme="minorHAnsi"/>
                <w:sz w:val="18"/>
                <w:szCs w:val="18"/>
              </w:rPr>
            </w:pPr>
            <w:r>
              <w:rPr>
                <w:rFonts w:cstheme="minorHAnsi"/>
                <w:sz w:val="18"/>
                <w:szCs w:val="18"/>
              </w:rPr>
              <w:t>水文情势调查</w:t>
            </w:r>
          </w:p>
        </w:tc>
        <w:tc>
          <w:tcPr>
            <w:tcW w:w="1947" w:type="pct"/>
            <w:gridSpan w:val="5"/>
          </w:tcPr>
          <w:p w14:paraId="1F34C7E4" w14:textId="77777777" w:rsidR="007D1E74" w:rsidRDefault="00A95641">
            <w:pPr>
              <w:jc w:val="center"/>
              <w:rPr>
                <w:rFonts w:cstheme="minorHAnsi"/>
                <w:sz w:val="18"/>
                <w:szCs w:val="18"/>
              </w:rPr>
            </w:pPr>
            <w:r>
              <w:rPr>
                <w:rFonts w:cstheme="minorHAnsi"/>
                <w:sz w:val="18"/>
                <w:szCs w:val="18"/>
              </w:rPr>
              <w:t>调查时期</w:t>
            </w:r>
          </w:p>
        </w:tc>
        <w:tc>
          <w:tcPr>
            <w:tcW w:w="1947" w:type="pct"/>
            <w:gridSpan w:val="5"/>
          </w:tcPr>
          <w:p w14:paraId="46E5458D" w14:textId="77777777" w:rsidR="007D1E74" w:rsidRDefault="00A95641">
            <w:pPr>
              <w:jc w:val="center"/>
              <w:rPr>
                <w:rFonts w:cstheme="minorHAnsi"/>
                <w:sz w:val="18"/>
                <w:szCs w:val="18"/>
              </w:rPr>
            </w:pPr>
            <w:r>
              <w:rPr>
                <w:rFonts w:cstheme="minorHAnsi"/>
                <w:sz w:val="18"/>
                <w:szCs w:val="18"/>
              </w:rPr>
              <w:t>数据来源</w:t>
            </w:r>
          </w:p>
        </w:tc>
      </w:tr>
      <w:tr w:rsidR="007D1E74" w14:paraId="171ED4FD" w14:textId="77777777">
        <w:trPr>
          <w:trHeight w:val="315"/>
          <w:jc w:val="center"/>
        </w:trPr>
        <w:tc>
          <w:tcPr>
            <w:tcW w:w="245" w:type="pct"/>
            <w:vMerge/>
            <w:shd w:val="clear" w:color="auto" w:fill="auto"/>
            <w:vAlign w:val="center"/>
          </w:tcPr>
          <w:p w14:paraId="6C2481E5" w14:textId="77777777" w:rsidR="007D1E74" w:rsidRDefault="007D1E74">
            <w:pPr>
              <w:jc w:val="center"/>
              <w:rPr>
                <w:rFonts w:cstheme="minorHAnsi"/>
                <w:sz w:val="18"/>
                <w:szCs w:val="18"/>
              </w:rPr>
            </w:pPr>
          </w:p>
        </w:tc>
        <w:tc>
          <w:tcPr>
            <w:tcW w:w="862" w:type="pct"/>
            <w:vMerge/>
            <w:shd w:val="clear" w:color="auto" w:fill="auto"/>
            <w:vAlign w:val="center"/>
          </w:tcPr>
          <w:p w14:paraId="4F981691" w14:textId="77777777" w:rsidR="007D1E74" w:rsidRDefault="007D1E74">
            <w:pPr>
              <w:jc w:val="center"/>
              <w:rPr>
                <w:rFonts w:cstheme="minorHAnsi"/>
                <w:sz w:val="18"/>
                <w:szCs w:val="18"/>
              </w:rPr>
            </w:pPr>
          </w:p>
        </w:tc>
        <w:tc>
          <w:tcPr>
            <w:tcW w:w="1947" w:type="pct"/>
            <w:gridSpan w:val="5"/>
          </w:tcPr>
          <w:p w14:paraId="18A69391" w14:textId="77777777" w:rsidR="007D1E74" w:rsidRDefault="00A95641">
            <w:pPr>
              <w:rPr>
                <w:rFonts w:cstheme="minorHAnsi"/>
                <w:sz w:val="18"/>
                <w:szCs w:val="18"/>
              </w:rPr>
            </w:pPr>
            <w:r>
              <w:rPr>
                <w:rFonts w:cstheme="minorHAnsi"/>
                <w:sz w:val="18"/>
                <w:szCs w:val="18"/>
              </w:rPr>
              <w:t>丰水期</w:t>
            </w:r>
            <w:r>
              <w:rPr>
                <w:rFonts w:cstheme="minorHAnsi"/>
                <w:sz w:val="18"/>
                <w:szCs w:val="18"/>
              </w:rPr>
              <w:t>□</w:t>
            </w:r>
            <w:r>
              <w:rPr>
                <w:rFonts w:cstheme="minorHAnsi"/>
                <w:sz w:val="18"/>
                <w:szCs w:val="18"/>
              </w:rPr>
              <w:t>；平水期</w:t>
            </w:r>
            <w:r>
              <w:rPr>
                <w:rFonts w:cstheme="minorHAnsi"/>
                <w:sz w:val="18"/>
                <w:szCs w:val="18"/>
              </w:rPr>
              <w:t>□</w:t>
            </w:r>
            <w:r>
              <w:rPr>
                <w:rFonts w:cstheme="minorHAnsi"/>
                <w:sz w:val="18"/>
                <w:szCs w:val="18"/>
              </w:rPr>
              <w:t>；枯水期</w:t>
            </w:r>
            <w:r>
              <w:rPr>
                <w:rFonts w:cstheme="minorHAnsi"/>
                <w:sz w:val="18"/>
                <w:szCs w:val="18"/>
              </w:rPr>
              <w:t>□</w:t>
            </w:r>
            <w:r>
              <w:rPr>
                <w:rFonts w:cstheme="minorHAnsi"/>
                <w:sz w:val="18"/>
                <w:szCs w:val="18"/>
              </w:rPr>
              <w:t>；冰封期</w:t>
            </w:r>
            <w:r>
              <w:rPr>
                <w:rFonts w:cstheme="minorHAnsi"/>
                <w:sz w:val="18"/>
                <w:szCs w:val="18"/>
              </w:rPr>
              <w:t>□</w:t>
            </w:r>
            <w:r>
              <w:rPr>
                <w:rFonts w:cstheme="minorHAnsi"/>
                <w:sz w:val="18"/>
                <w:szCs w:val="18"/>
              </w:rPr>
              <w:t>；春季</w:t>
            </w:r>
            <w:r>
              <w:rPr>
                <w:rFonts w:cstheme="minorHAnsi"/>
                <w:sz w:val="18"/>
                <w:szCs w:val="18"/>
              </w:rPr>
              <w:t>□</w:t>
            </w:r>
            <w:r>
              <w:rPr>
                <w:rFonts w:cstheme="minorHAnsi"/>
                <w:sz w:val="18"/>
                <w:szCs w:val="18"/>
              </w:rPr>
              <w:t>；夏季</w:t>
            </w:r>
            <w:r>
              <w:rPr>
                <w:rFonts w:cstheme="minorHAnsi"/>
                <w:sz w:val="18"/>
                <w:szCs w:val="18"/>
              </w:rPr>
              <w:t>□</w:t>
            </w:r>
            <w:r>
              <w:rPr>
                <w:rFonts w:cstheme="minorHAnsi"/>
                <w:sz w:val="18"/>
                <w:szCs w:val="18"/>
              </w:rPr>
              <w:t>；秋季</w:t>
            </w:r>
            <w:r>
              <w:rPr>
                <w:rFonts w:cstheme="minorHAnsi"/>
                <w:sz w:val="18"/>
                <w:szCs w:val="18"/>
              </w:rPr>
              <w:t>□</w:t>
            </w:r>
            <w:r>
              <w:rPr>
                <w:rFonts w:cstheme="minorHAnsi"/>
                <w:sz w:val="18"/>
                <w:szCs w:val="18"/>
              </w:rPr>
              <w:t>；冬季</w:t>
            </w:r>
            <w:r>
              <w:rPr>
                <w:rFonts w:cstheme="minorHAnsi"/>
                <w:sz w:val="18"/>
                <w:szCs w:val="18"/>
              </w:rPr>
              <w:t>□</w:t>
            </w:r>
          </w:p>
        </w:tc>
        <w:tc>
          <w:tcPr>
            <w:tcW w:w="1947" w:type="pct"/>
            <w:gridSpan w:val="5"/>
            <w:vAlign w:val="center"/>
          </w:tcPr>
          <w:p w14:paraId="4977E1D0" w14:textId="77777777" w:rsidR="007D1E74" w:rsidRDefault="00A95641">
            <w:pPr>
              <w:rPr>
                <w:rFonts w:cstheme="minorHAnsi"/>
                <w:sz w:val="18"/>
                <w:szCs w:val="18"/>
              </w:rPr>
            </w:pPr>
            <w:r>
              <w:rPr>
                <w:rFonts w:cstheme="minorHAnsi"/>
                <w:sz w:val="18"/>
                <w:szCs w:val="18"/>
              </w:rPr>
              <w:t>水行政主管部门</w:t>
            </w:r>
            <w:r>
              <w:rPr>
                <w:rFonts w:cstheme="minorHAnsi"/>
                <w:sz w:val="18"/>
                <w:szCs w:val="18"/>
              </w:rPr>
              <w:t>□</w:t>
            </w:r>
            <w:r>
              <w:rPr>
                <w:rFonts w:cstheme="minorHAnsi"/>
                <w:sz w:val="18"/>
                <w:szCs w:val="18"/>
              </w:rPr>
              <w:t>；补充监测</w:t>
            </w:r>
            <w:r>
              <w:rPr>
                <w:rFonts w:cstheme="minorHAnsi"/>
                <w:sz w:val="18"/>
                <w:szCs w:val="18"/>
              </w:rPr>
              <w:t>□</w:t>
            </w:r>
            <w:r>
              <w:rPr>
                <w:rFonts w:cstheme="minorHAnsi"/>
                <w:sz w:val="18"/>
                <w:szCs w:val="18"/>
              </w:rPr>
              <w:t>；其他</w:t>
            </w:r>
            <w:r>
              <w:rPr>
                <w:rFonts w:cstheme="minorHAnsi"/>
                <w:sz w:val="18"/>
                <w:szCs w:val="18"/>
              </w:rPr>
              <w:t>□</w:t>
            </w:r>
          </w:p>
        </w:tc>
      </w:tr>
      <w:tr w:rsidR="007D1E74" w14:paraId="3B64DAC3" w14:textId="77777777">
        <w:trPr>
          <w:trHeight w:val="315"/>
          <w:jc w:val="center"/>
        </w:trPr>
        <w:tc>
          <w:tcPr>
            <w:tcW w:w="245" w:type="pct"/>
            <w:vMerge/>
            <w:shd w:val="clear" w:color="auto" w:fill="auto"/>
            <w:vAlign w:val="center"/>
          </w:tcPr>
          <w:p w14:paraId="14DD9B05" w14:textId="77777777" w:rsidR="007D1E74" w:rsidRDefault="007D1E74">
            <w:pPr>
              <w:jc w:val="center"/>
              <w:rPr>
                <w:rFonts w:cstheme="minorHAnsi"/>
                <w:sz w:val="18"/>
                <w:szCs w:val="18"/>
              </w:rPr>
            </w:pPr>
          </w:p>
        </w:tc>
        <w:tc>
          <w:tcPr>
            <w:tcW w:w="862" w:type="pct"/>
            <w:vMerge w:val="restart"/>
            <w:shd w:val="clear" w:color="auto" w:fill="auto"/>
            <w:vAlign w:val="center"/>
          </w:tcPr>
          <w:p w14:paraId="1490CFA2" w14:textId="77777777" w:rsidR="007D1E74" w:rsidRDefault="00A95641">
            <w:pPr>
              <w:jc w:val="center"/>
              <w:rPr>
                <w:rFonts w:cstheme="minorHAnsi"/>
                <w:sz w:val="18"/>
                <w:szCs w:val="18"/>
              </w:rPr>
            </w:pPr>
            <w:r>
              <w:rPr>
                <w:rFonts w:cstheme="minorHAnsi"/>
                <w:sz w:val="18"/>
                <w:szCs w:val="18"/>
              </w:rPr>
              <w:t>补充监测</w:t>
            </w:r>
          </w:p>
        </w:tc>
        <w:tc>
          <w:tcPr>
            <w:tcW w:w="1947" w:type="pct"/>
            <w:gridSpan w:val="5"/>
            <w:vAlign w:val="center"/>
          </w:tcPr>
          <w:p w14:paraId="127A31E7" w14:textId="77777777" w:rsidR="007D1E74" w:rsidRDefault="00A95641">
            <w:pPr>
              <w:jc w:val="center"/>
              <w:rPr>
                <w:rFonts w:cstheme="minorHAnsi"/>
                <w:sz w:val="18"/>
                <w:szCs w:val="18"/>
              </w:rPr>
            </w:pPr>
            <w:r>
              <w:rPr>
                <w:rFonts w:cstheme="minorHAnsi"/>
                <w:sz w:val="18"/>
                <w:szCs w:val="18"/>
              </w:rPr>
              <w:t>监测时期</w:t>
            </w:r>
          </w:p>
        </w:tc>
        <w:tc>
          <w:tcPr>
            <w:tcW w:w="973" w:type="pct"/>
            <w:gridSpan w:val="3"/>
            <w:vAlign w:val="center"/>
          </w:tcPr>
          <w:p w14:paraId="74D9194C" w14:textId="77777777" w:rsidR="007D1E74" w:rsidRDefault="00A95641">
            <w:pPr>
              <w:jc w:val="center"/>
              <w:rPr>
                <w:rFonts w:cstheme="minorHAnsi"/>
                <w:sz w:val="18"/>
                <w:szCs w:val="18"/>
              </w:rPr>
            </w:pPr>
            <w:r>
              <w:rPr>
                <w:rFonts w:cstheme="minorHAnsi"/>
                <w:sz w:val="18"/>
                <w:szCs w:val="18"/>
              </w:rPr>
              <w:t>监测因子</w:t>
            </w:r>
          </w:p>
        </w:tc>
        <w:tc>
          <w:tcPr>
            <w:tcW w:w="974" w:type="pct"/>
            <w:gridSpan w:val="2"/>
            <w:vAlign w:val="center"/>
          </w:tcPr>
          <w:p w14:paraId="47AC6328" w14:textId="77777777" w:rsidR="007D1E74" w:rsidRDefault="00A95641">
            <w:pPr>
              <w:jc w:val="center"/>
              <w:rPr>
                <w:rFonts w:cstheme="minorHAnsi"/>
                <w:sz w:val="18"/>
                <w:szCs w:val="18"/>
              </w:rPr>
            </w:pPr>
            <w:r>
              <w:rPr>
                <w:rFonts w:cstheme="minorHAnsi"/>
                <w:sz w:val="18"/>
                <w:szCs w:val="18"/>
              </w:rPr>
              <w:t>监测断面或点位</w:t>
            </w:r>
          </w:p>
        </w:tc>
      </w:tr>
      <w:tr w:rsidR="007D1E74" w14:paraId="65D59000" w14:textId="77777777">
        <w:trPr>
          <w:trHeight w:val="315"/>
          <w:jc w:val="center"/>
        </w:trPr>
        <w:tc>
          <w:tcPr>
            <w:tcW w:w="245" w:type="pct"/>
            <w:vMerge/>
            <w:shd w:val="clear" w:color="auto" w:fill="auto"/>
            <w:vAlign w:val="center"/>
          </w:tcPr>
          <w:p w14:paraId="27292D87" w14:textId="77777777" w:rsidR="007D1E74" w:rsidRDefault="007D1E74">
            <w:pPr>
              <w:jc w:val="center"/>
              <w:rPr>
                <w:rFonts w:cstheme="minorHAnsi"/>
                <w:sz w:val="18"/>
                <w:szCs w:val="18"/>
              </w:rPr>
            </w:pPr>
          </w:p>
        </w:tc>
        <w:tc>
          <w:tcPr>
            <w:tcW w:w="862" w:type="pct"/>
            <w:vMerge/>
            <w:shd w:val="clear" w:color="auto" w:fill="auto"/>
            <w:vAlign w:val="center"/>
          </w:tcPr>
          <w:p w14:paraId="71C460D7" w14:textId="77777777" w:rsidR="007D1E74" w:rsidRDefault="007D1E74">
            <w:pPr>
              <w:jc w:val="center"/>
              <w:rPr>
                <w:rFonts w:cstheme="minorHAnsi"/>
                <w:sz w:val="18"/>
                <w:szCs w:val="18"/>
              </w:rPr>
            </w:pPr>
          </w:p>
        </w:tc>
        <w:tc>
          <w:tcPr>
            <w:tcW w:w="1947" w:type="pct"/>
            <w:gridSpan w:val="5"/>
            <w:vAlign w:val="center"/>
          </w:tcPr>
          <w:p w14:paraId="15C41F47" w14:textId="77777777" w:rsidR="007D1E74" w:rsidRDefault="00A95641">
            <w:pPr>
              <w:rPr>
                <w:rFonts w:cstheme="minorHAnsi"/>
                <w:sz w:val="18"/>
                <w:szCs w:val="18"/>
              </w:rPr>
            </w:pPr>
            <w:r>
              <w:rPr>
                <w:rFonts w:cstheme="minorHAnsi"/>
                <w:sz w:val="18"/>
                <w:szCs w:val="18"/>
              </w:rPr>
              <w:t>丰水期</w:t>
            </w:r>
            <w:r>
              <w:rPr>
                <w:rFonts w:cstheme="minorHAnsi"/>
                <w:sz w:val="18"/>
                <w:szCs w:val="18"/>
              </w:rPr>
              <w:t>□</w:t>
            </w:r>
            <w:r>
              <w:rPr>
                <w:rFonts w:cstheme="minorHAnsi"/>
                <w:sz w:val="18"/>
                <w:szCs w:val="18"/>
              </w:rPr>
              <w:t>；平水期</w:t>
            </w:r>
            <w:r>
              <w:rPr>
                <w:rFonts w:cstheme="minorHAnsi"/>
                <w:sz w:val="18"/>
                <w:szCs w:val="18"/>
              </w:rPr>
              <w:t>□</w:t>
            </w:r>
            <w:r>
              <w:rPr>
                <w:rFonts w:cstheme="minorHAnsi"/>
                <w:sz w:val="18"/>
                <w:szCs w:val="18"/>
              </w:rPr>
              <w:t>；枯水期</w:t>
            </w:r>
            <w:r>
              <w:rPr>
                <w:rFonts w:cstheme="minorHAnsi"/>
                <w:sz w:val="18"/>
                <w:szCs w:val="18"/>
              </w:rPr>
              <w:t>□</w:t>
            </w:r>
            <w:r>
              <w:rPr>
                <w:rFonts w:cstheme="minorHAnsi"/>
                <w:sz w:val="18"/>
                <w:szCs w:val="18"/>
              </w:rPr>
              <w:t>；冰封期</w:t>
            </w:r>
            <w:r>
              <w:rPr>
                <w:rFonts w:cstheme="minorHAnsi"/>
                <w:sz w:val="18"/>
                <w:szCs w:val="18"/>
              </w:rPr>
              <w:t>□</w:t>
            </w:r>
            <w:r>
              <w:rPr>
                <w:rFonts w:cstheme="minorHAnsi"/>
                <w:sz w:val="18"/>
                <w:szCs w:val="18"/>
              </w:rPr>
              <w:t>；春季</w:t>
            </w:r>
            <w:r>
              <w:rPr>
                <w:rFonts w:cstheme="minorHAnsi"/>
                <w:sz w:val="18"/>
                <w:szCs w:val="18"/>
              </w:rPr>
              <w:t>□</w:t>
            </w:r>
            <w:r>
              <w:rPr>
                <w:rFonts w:cstheme="minorHAnsi"/>
                <w:sz w:val="18"/>
                <w:szCs w:val="18"/>
              </w:rPr>
              <w:t>；夏季</w:t>
            </w:r>
            <w:r>
              <w:rPr>
                <w:rFonts w:cstheme="minorHAnsi"/>
                <w:sz w:val="18"/>
                <w:szCs w:val="18"/>
              </w:rPr>
              <w:t>□</w:t>
            </w:r>
            <w:r>
              <w:rPr>
                <w:rFonts w:cstheme="minorHAnsi"/>
                <w:sz w:val="18"/>
                <w:szCs w:val="18"/>
              </w:rPr>
              <w:t>；秋季</w:t>
            </w:r>
            <w:r>
              <w:rPr>
                <w:rFonts w:cstheme="minorHAnsi"/>
                <w:sz w:val="18"/>
                <w:szCs w:val="18"/>
              </w:rPr>
              <w:t>□</w:t>
            </w:r>
            <w:r>
              <w:rPr>
                <w:rFonts w:cstheme="minorHAnsi"/>
                <w:sz w:val="18"/>
                <w:szCs w:val="18"/>
              </w:rPr>
              <w:t>；冬季</w:t>
            </w:r>
            <w:r>
              <w:rPr>
                <w:rFonts w:cstheme="minorHAnsi"/>
                <w:sz w:val="18"/>
                <w:szCs w:val="18"/>
              </w:rPr>
              <w:t>□</w:t>
            </w:r>
          </w:p>
        </w:tc>
        <w:tc>
          <w:tcPr>
            <w:tcW w:w="973" w:type="pct"/>
            <w:gridSpan w:val="3"/>
            <w:vAlign w:val="center"/>
          </w:tcPr>
          <w:p w14:paraId="1FF0B459" w14:textId="77777777" w:rsidR="007D1E74" w:rsidRDefault="00A95641">
            <w:pPr>
              <w:rPr>
                <w:rFonts w:cstheme="minorHAnsi"/>
                <w:sz w:val="18"/>
                <w:szCs w:val="18"/>
              </w:rPr>
            </w:pPr>
            <w:r>
              <w:rPr>
                <w:rFonts w:cstheme="minorHAnsi"/>
                <w:sz w:val="18"/>
                <w:szCs w:val="18"/>
              </w:rPr>
              <w:t>/</w:t>
            </w:r>
          </w:p>
        </w:tc>
        <w:tc>
          <w:tcPr>
            <w:tcW w:w="974" w:type="pct"/>
            <w:gridSpan w:val="2"/>
            <w:vAlign w:val="center"/>
          </w:tcPr>
          <w:p w14:paraId="70436DBB" w14:textId="77777777" w:rsidR="007D1E74" w:rsidRDefault="00A95641">
            <w:pPr>
              <w:rPr>
                <w:rFonts w:cstheme="minorHAnsi"/>
                <w:sz w:val="18"/>
                <w:szCs w:val="18"/>
              </w:rPr>
            </w:pPr>
            <w:r>
              <w:rPr>
                <w:rFonts w:cstheme="minorHAnsi"/>
                <w:sz w:val="18"/>
                <w:szCs w:val="18"/>
              </w:rPr>
              <w:t>监测断面或点位个数（</w:t>
            </w:r>
            <w:r>
              <w:rPr>
                <w:rFonts w:cstheme="minorHAnsi"/>
                <w:sz w:val="18"/>
                <w:szCs w:val="18"/>
              </w:rPr>
              <w:t xml:space="preserve"> </w:t>
            </w:r>
            <w:r>
              <w:rPr>
                <w:rFonts w:cstheme="minorHAnsi"/>
                <w:sz w:val="18"/>
                <w:szCs w:val="18"/>
              </w:rPr>
              <w:t>）个</w:t>
            </w:r>
          </w:p>
        </w:tc>
      </w:tr>
      <w:tr w:rsidR="007D1E74" w14:paraId="3D04AEF0" w14:textId="77777777">
        <w:trPr>
          <w:trHeight w:val="315"/>
          <w:jc w:val="center"/>
        </w:trPr>
        <w:tc>
          <w:tcPr>
            <w:tcW w:w="245" w:type="pct"/>
            <w:vMerge w:val="restart"/>
            <w:shd w:val="clear" w:color="auto" w:fill="auto"/>
            <w:vAlign w:val="center"/>
          </w:tcPr>
          <w:p w14:paraId="4D022D96" w14:textId="77777777" w:rsidR="007D1E74" w:rsidRDefault="00A95641">
            <w:pPr>
              <w:jc w:val="center"/>
              <w:rPr>
                <w:rFonts w:cstheme="minorHAnsi"/>
                <w:sz w:val="18"/>
                <w:szCs w:val="18"/>
              </w:rPr>
            </w:pPr>
            <w:r>
              <w:rPr>
                <w:rFonts w:cstheme="minorHAnsi"/>
                <w:sz w:val="18"/>
                <w:szCs w:val="18"/>
              </w:rPr>
              <w:t>现状评价</w:t>
            </w:r>
          </w:p>
        </w:tc>
        <w:tc>
          <w:tcPr>
            <w:tcW w:w="862" w:type="pct"/>
            <w:shd w:val="clear" w:color="auto" w:fill="auto"/>
            <w:vAlign w:val="center"/>
          </w:tcPr>
          <w:p w14:paraId="679BA84F" w14:textId="77777777" w:rsidR="007D1E74" w:rsidRDefault="00A95641">
            <w:pPr>
              <w:jc w:val="center"/>
              <w:rPr>
                <w:rFonts w:cstheme="minorHAnsi"/>
                <w:sz w:val="18"/>
                <w:szCs w:val="18"/>
              </w:rPr>
            </w:pPr>
            <w:r>
              <w:rPr>
                <w:rFonts w:cstheme="minorHAnsi"/>
                <w:sz w:val="18"/>
                <w:szCs w:val="18"/>
              </w:rPr>
              <w:t>评价范围</w:t>
            </w:r>
          </w:p>
        </w:tc>
        <w:tc>
          <w:tcPr>
            <w:tcW w:w="3893" w:type="pct"/>
            <w:gridSpan w:val="10"/>
            <w:vAlign w:val="center"/>
          </w:tcPr>
          <w:p w14:paraId="5994D037" w14:textId="77777777" w:rsidR="007D1E74" w:rsidRDefault="00A95641">
            <w:pPr>
              <w:rPr>
                <w:rFonts w:cstheme="minorHAnsi"/>
                <w:sz w:val="18"/>
                <w:szCs w:val="18"/>
              </w:rPr>
            </w:pPr>
            <w:r>
              <w:rPr>
                <w:rFonts w:cstheme="minorHAnsi"/>
                <w:sz w:val="18"/>
                <w:szCs w:val="18"/>
              </w:rPr>
              <w:t>河流：长度（</w:t>
            </w:r>
            <w:r>
              <w:rPr>
                <w:rFonts w:cstheme="minorHAnsi" w:hint="eastAsia"/>
                <w:sz w:val="18"/>
                <w:szCs w:val="18"/>
              </w:rPr>
              <w:t>31.8</w:t>
            </w:r>
            <w:r>
              <w:rPr>
                <w:rFonts w:cstheme="minorHAnsi"/>
                <w:sz w:val="18"/>
                <w:szCs w:val="18"/>
              </w:rPr>
              <w:t>）</w:t>
            </w:r>
            <w:r>
              <w:rPr>
                <w:rFonts w:cstheme="minorHAnsi"/>
                <w:sz w:val="18"/>
                <w:szCs w:val="18"/>
              </w:rPr>
              <w:t>km</w:t>
            </w:r>
            <w:r>
              <w:rPr>
                <w:rFonts w:cstheme="minorHAnsi"/>
                <w:sz w:val="18"/>
                <w:szCs w:val="18"/>
              </w:rPr>
              <w:t>；湖库、河口及近岸海域：面积（</w:t>
            </w:r>
            <w:r>
              <w:rPr>
                <w:rFonts w:cstheme="minorHAnsi"/>
                <w:sz w:val="18"/>
                <w:szCs w:val="18"/>
              </w:rPr>
              <w:t xml:space="preserve"> </w:t>
            </w:r>
            <w:r>
              <w:rPr>
                <w:rFonts w:cstheme="minorHAnsi"/>
                <w:sz w:val="18"/>
                <w:szCs w:val="18"/>
              </w:rPr>
              <w:t>）</w:t>
            </w:r>
            <w:r>
              <w:rPr>
                <w:rFonts w:cstheme="minorHAnsi"/>
                <w:sz w:val="18"/>
                <w:szCs w:val="18"/>
              </w:rPr>
              <w:t>km</w:t>
            </w:r>
            <w:r>
              <w:rPr>
                <w:rFonts w:cstheme="minorHAnsi"/>
                <w:sz w:val="18"/>
                <w:szCs w:val="18"/>
                <w:vertAlign w:val="superscript"/>
              </w:rPr>
              <w:t>2</w:t>
            </w:r>
          </w:p>
        </w:tc>
      </w:tr>
      <w:tr w:rsidR="007D1E74" w14:paraId="5996BB32" w14:textId="77777777">
        <w:trPr>
          <w:trHeight w:val="315"/>
          <w:jc w:val="center"/>
        </w:trPr>
        <w:tc>
          <w:tcPr>
            <w:tcW w:w="245" w:type="pct"/>
            <w:vMerge/>
            <w:shd w:val="clear" w:color="auto" w:fill="auto"/>
            <w:vAlign w:val="center"/>
          </w:tcPr>
          <w:p w14:paraId="77B808AC" w14:textId="77777777" w:rsidR="007D1E74" w:rsidRDefault="007D1E74">
            <w:pPr>
              <w:jc w:val="center"/>
              <w:rPr>
                <w:rFonts w:cstheme="minorHAnsi"/>
                <w:sz w:val="18"/>
                <w:szCs w:val="18"/>
              </w:rPr>
            </w:pPr>
          </w:p>
        </w:tc>
        <w:tc>
          <w:tcPr>
            <w:tcW w:w="862" w:type="pct"/>
            <w:shd w:val="clear" w:color="auto" w:fill="auto"/>
            <w:vAlign w:val="center"/>
          </w:tcPr>
          <w:p w14:paraId="6A31A65E" w14:textId="77777777" w:rsidR="007D1E74" w:rsidRDefault="00A95641">
            <w:pPr>
              <w:jc w:val="center"/>
              <w:rPr>
                <w:rFonts w:cstheme="minorHAnsi"/>
                <w:sz w:val="18"/>
                <w:szCs w:val="18"/>
              </w:rPr>
            </w:pPr>
            <w:r>
              <w:rPr>
                <w:rFonts w:cstheme="minorHAnsi"/>
                <w:sz w:val="18"/>
                <w:szCs w:val="18"/>
              </w:rPr>
              <w:t>评价因子</w:t>
            </w:r>
          </w:p>
        </w:tc>
        <w:tc>
          <w:tcPr>
            <w:tcW w:w="3893" w:type="pct"/>
            <w:gridSpan w:val="10"/>
            <w:vAlign w:val="center"/>
          </w:tcPr>
          <w:p w14:paraId="0DC855F8" w14:textId="77777777" w:rsidR="007D1E74" w:rsidRDefault="00A95641">
            <w:pPr>
              <w:rPr>
                <w:rFonts w:cstheme="minorHAnsi"/>
                <w:sz w:val="18"/>
                <w:szCs w:val="18"/>
              </w:rPr>
            </w:pPr>
            <w:r>
              <w:rPr>
                <w:rFonts w:cstheme="minorHAnsi"/>
                <w:sz w:val="18"/>
                <w:szCs w:val="18"/>
              </w:rPr>
              <w:t>pH</w:t>
            </w:r>
            <w:r>
              <w:rPr>
                <w:rFonts w:cstheme="minorHAnsi"/>
                <w:sz w:val="18"/>
                <w:szCs w:val="18"/>
              </w:rPr>
              <w:t>、</w:t>
            </w:r>
            <w:r>
              <w:rPr>
                <w:rFonts w:cstheme="minorHAnsi"/>
                <w:sz w:val="18"/>
                <w:szCs w:val="18"/>
              </w:rPr>
              <w:t>COD</w:t>
            </w:r>
            <w:r>
              <w:rPr>
                <w:rFonts w:cstheme="minorHAnsi"/>
                <w:sz w:val="18"/>
                <w:szCs w:val="18"/>
              </w:rPr>
              <w:t>、</w:t>
            </w:r>
            <w:r>
              <w:rPr>
                <w:rFonts w:cstheme="minorHAnsi"/>
                <w:sz w:val="18"/>
                <w:szCs w:val="18"/>
              </w:rPr>
              <w:t>BOD</w:t>
            </w:r>
            <w:r>
              <w:rPr>
                <w:rFonts w:cstheme="minorHAnsi"/>
                <w:sz w:val="18"/>
                <w:szCs w:val="18"/>
                <w:vertAlign w:val="subscript"/>
              </w:rPr>
              <w:t>5</w:t>
            </w:r>
            <w:r>
              <w:rPr>
                <w:rFonts w:cstheme="minorHAnsi"/>
                <w:sz w:val="18"/>
                <w:szCs w:val="18"/>
              </w:rPr>
              <w:t>、</w:t>
            </w:r>
            <w:r>
              <w:rPr>
                <w:rFonts w:cstheme="minorHAnsi"/>
                <w:sz w:val="18"/>
                <w:szCs w:val="18"/>
              </w:rPr>
              <w:t>NH</w:t>
            </w:r>
            <w:r>
              <w:rPr>
                <w:rFonts w:cstheme="minorHAnsi"/>
                <w:sz w:val="18"/>
                <w:szCs w:val="18"/>
                <w:vertAlign w:val="subscript"/>
              </w:rPr>
              <w:t>3</w:t>
            </w:r>
            <w:r>
              <w:rPr>
                <w:rFonts w:cstheme="minorHAnsi"/>
                <w:sz w:val="18"/>
                <w:szCs w:val="18"/>
              </w:rPr>
              <w:t>-N</w:t>
            </w:r>
            <w:r>
              <w:rPr>
                <w:rFonts w:cstheme="minorHAnsi"/>
                <w:sz w:val="18"/>
                <w:szCs w:val="18"/>
              </w:rPr>
              <w:t>、</w:t>
            </w:r>
            <w:r>
              <w:rPr>
                <w:rFonts w:cstheme="minorHAnsi"/>
                <w:sz w:val="18"/>
                <w:szCs w:val="18"/>
              </w:rPr>
              <w:t>TP</w:t>
            </w:r>
            <w:r>
              <w:rPr>
                <w:rFonts w:cstheme="minorHAnsi"/>
                <w:sz w:val="18"/>
                <w:szCs w:val="18"/>
              </w:rPr>
              <w:t>、</w:t>
            </w:r>
            <w:r>
              <w:rPr>
                <w:rFonts w:cstheme="minorHAnsi"/>
                <w:sz w:val="18"/>
                <w:szCs w:val="18"/>
              </w:rPr>
              <w:t>TN</w:t>
            </w:r>
            <w:r>
              <w:rPr>
                <w:rFonts w:cstheme="minorHAnsi"/>
                <w:sz w:val="18"/>
                <w:szCs w:val="18"/>
              </w:rPr>
              <w:t>、阴离子表面活性剂、石油类</w:t>
            </w:r>
          </w:p>
        </w:tc>
      </w:tr>
      <w:tr w:rsidR="007D1E74" w14:paraId="1D967D8E" w14:textId="77777777">
        <w:trPr>
          <w:trHeight w:val="315"/>
          <w:jc w:val="center"/>
        </w:trPr>
        <w:tc>
          <w:tcPr>
            <w:tcW w:w="245" w:type="pct"/>
            <w:vMerge/>
            <w:shd w:val="clear" w:color="auto" w:fill="auto"/>
            <w:vAlign w:val="center"/>
          </w:tcPr>
          <w:p w14:paraId="06985E89" w14:textId="77777777" w:rsidR="007D1E74" w:rsidRDefault="007D1E74">
            <w:pPr>
              <w:jc w:val="center"/>
              <w:rPr>
                <w:rFonts w:cstheme="minorHAnsi"/>
                <w:sz w:val="18"/>
                <w:szCs w:val="18"/>
              </w:rPr>
            </w:pPr>
          </w:p>
        </w:tc>
        <w:tc>
          <w:tcPr>
            <w:tcW w:w="862" w:type="pct"/>
            <w:shd w:val="clear" w:color="auto" w:fill="auto"/>
            <w:vAlign w:val="center"/>
          </w:tcPr>
          <w:p w14:paraId="1E6F5A6E" w14:textId="77777777" w:rsidR="007D1E74" w:rsidRDefault="00A95641">
            <w:pPr>
              <w:jc w:val="center"/>
              <w:rPr>
                <w:rFonts w:cstheme="minorHAnsi"/>
                <w:sz w:val="18"/>
                <w:szCs w:val="18"/>
              </w:rPr>
            </w:pPr>
            <w:r>
              <w:rPr>
                <w:rFonts w:cstheme="minorHAnsi"/>
                <w:sz w:val="18"/>
                <w:szCs w:val="18"/>
              </w:rPr>
              <w:t>评价标准</w:t>
            </w:r>
          </w:p>
        </w:tc>
        <w:tc>
          <w:tcPr>
            <w:tcW w:w="3893" w:type="pct"/>
            <w:gridSpan w:val="10"/>
            <w:vAlign w:val="center"/>
          </w:tcPr>
          <w:p w14:paraId="30ECEB54" w14:textId="77777777" w:rsidR="007D1E74" w:rsidRDefault="00A95641">
            <w:pPr>
              <w:rPr>
                <w:rFonts w:cstheme="minorHAnsi"/>
                <w:sz w:val="18"/>
                <w:szCs w:val="18"/>
              </w:rPr>
            </w:pPr>
            <w:r>
              <w:rPr>
                <w:rFonts w:cstheme="minorHAnsi"/>
                <w:sz w:val="18"/>
                <w:szCs w:val="18"/>
              </w:rPr>
              <w:t>河流、湖库、河口：</w:t>
            </w:r>
            <w:r>
              <w:rPr>
                <w:rFonts w:cstheme="minorHAnsi"/>
                <w:sz w:val="18"/>
                <w:szCs w:val="18"/>
              </w:rPr>
              <w:t>I</w:t>
            </w:r>
            <w:r>
              <w:rPr>
                <w:rFonts w:cstheme="minorHAnsi"/>
                <w:sz w:val="18"/>
                <w:szCs w:val="18"/>
              </w:rPr>
              <w:t>类</w:t>
            </w:r>
            <w:r>
              <w:rPr>
                <w:rFonts w:cstheme="minorHAnsi"/>
                <w:sz w:val="18"/>
                <w:szCs w:val="18"/>
              </w:rPr>
              <w:t>□</w:t>
            </w:r>
            <w:r>
              <w:rPr>
                <w:rFonts w:cstheme="minorHAnsi"/>
                <w:sz w:val="18"/>
                <w:szCs w:val="18"/>
              </w:rPr>
              <w:t>；</w:t>
            </w:r>
            <w:r>
              <w:rPr>
                <w:rFonts w:cstheme="minorHAnsi"/>
                <w:sz w:val="18"/>
                <w:szCs w:val="18"/>
              </w:rPr>
              <w:t>II</w:t>
            </w:r>
            <w:r>
              <w:rPr>
                <w:rFonts w:cstheme="minorHAnsi"/>
                <w:sz w:val="18"/>
                <w:szCs w:val="18"/>
              </w:rPr>
              <w:t>类</w:t>
            </w:r>
            <w:r>
              <w:rPr>
                <w:rFonts w:cstheme="minorHAnsi"/>
                <w:sz w:val="18"/>
                <w:szCs w:val="18"/>
              </w:rPr>
              <w:t>□</w:t>
            </w:r>
            <w:r>
              <w:rPr>
                <w:rFonts w:cstheme="minorHAnsi"/>
                <w:sz w:val="18"/>
                <w:szCs w:val="18"/>
              </w:rPr>
              <w:t>；</w:t>
            </w:r>
            <w:r>
              <w:rPr>
                <w:rFonts w:cstheme="minorHAnsi"/>
                <w:sz w:val="18"/>
                <w:szCs w:val="18"/>
              </w:rPr>
              <w:t>III</w:t>
            </w:r>
            <w:r>
              <w:rPr>
                <w:rFonts w:cstheme="minorHAnsi"/>
                <w:sz w:val="18"/>
                <w:szCs w:val="18"/>
              </w:rPr>
              <w:t>类</w:t>
            </w:r>
            <w:r>
              <w:rPr>
                <w:rFonts w:cstheme="minorHAnsi"/>
                <w:sz w:val="18"/>
                <w:szCs w:val="18"/>
              </w:rPr>
              <w:sym w:font="Wingdings 2" w:char="F052"/>
            </w:r>
            <w:r>
              <w:rPr>
                <w:rFonts w:cstheme="minorHAnsi"/>
                <w:sz w:val="18"/>
                <w:szCs w:val="18"/>
              </w:rPr>
              <w:t>；</w:t>
            </w:r>
            <w:r>
              <w:rPr>
                <w:rFonts w:cstheme="minorHAnsi"/>
                <w:sz w:val="18"/>
                <w:szCs w:val="18"/>
              </w:rPr>
              <w:t>IV</w:t>
            </w:r>
            <w:r>
              <w:rPr>
                <w:rFonts w:cstheme="minorHAnsi"/>
                <w:sz w:val="18"/>
                <w:szCs w:val="18"/>
              </w:rPr>
              <w:t>类</w:t>
            </w:r>
            <w:r>
              <w:rPr>
                <w:rFonts w:cstheme="minorHAnsi"/>
                <w:sz w:val="18"/>
                <w:szCs w:val="18"/>
              </w:rPr>
              <w:t>□</w:t>
            </w:r>
            <w:r>
              <w:rPr>
                <w:rFonts w:cstheme="minorHAnsi"/>
                <w:sz w:val="18"/>
                <w:szCs w:val="18"/>
              </w:rPr>
              <w:t>；</w:t>
            </w:r>
            <w:r>
              <w:rPr>
                <w:rFonts w:cstheme="minorHAnsi"/>
                <w:sz w:val="18"/>
                <w:szCs w:val="18"/>
              </w:rPr>
              <w:t>V</w:t>
            </w:r>
            <w:r>
              <w:rPr>
                <w:rFonts w:cstheme="minorHAnsi"/>
                <w:sz w:val="18"/>
                <w:szCs w:val="18"/>
              </w:rPr>
              <w:t>类</w:t>
            </w:r>
            <w:r>
              <w:rPr>
                <w:rFonts w:cstheme="minorHAnsi"/>
                <w:sz w:val="18"/>
                <w:szCs w:val="18"/>
              </w:rPr>
              <w:t>□</w:t>
            </w:r>
          </w:p>
          <w:p w14:paraId="0C0CC64B" w14:textId="77777777" w:rsidR="007D1E74" w:rsidRDefault="00A95641">
            <w:pPr>
              <w:rPr>
                <w:rFonts w:cstheme="minorHAnsi"/>
                <w:sz w:val="18"/>
                <w:szCs w:val="18"/>
              </w:rPr>
            </w:pPr>
            <w:r>
              <w:rPr>
                <w:rFonts w:cstheme="minorHAnsi"/>
                <w:sz w:val="18"/>
                <w:szCs w:val="18"/>
              </w:rPr>
              <w:t>近岸海域：第一类</w:t>
            </w:r>
            <w:r>
              <w:rPr>
                <w:rFonts w:cstheme="minorHAnsi"/>
                <w:sz w:val="18"/>
                <w:szCs w:val="18"/>
              </w:rPr>
              <w:t>□</w:t>
            </w:r>
            <w:r>
              <w:rPr>
                <w:rFonts w:cstheme="minorHAnsi"/>
                <w:sz w:val="18"/>
                <w:szCs w:val="18"/>
              </w:rPr>
              <w:t>；第二类</w:t>
            </w:r>
            <w:r>
              <w:rPr>
                <w:rFonts w:cstheme="minorHAnsi"/>
                <w:sz w:val="18"/>
                <w:szCs w:val="18"/>
              </w:rPr>
              <w:t>□</w:t>
            </w:r>
            <w:r>
              <w:rPr>
                <w:rFonts w:cstheme="minorHAnsi"/>
                <w:sz w:val="18"/>
                <w:szCs w:val="18"/>
              </w:rPr>
              <w:t>；第三类</w:t>
            </w:r>
            <w:r>
              <w:rPr>
                <w:rFonts w:cstheme="minorHAnsi"/>
                <w:sz w:val="18"/>
                <w:szCs w:val="18"/>
              </w:rPr>
              <w:t>□</w:t>
            </w:r>
            <w:r>
              <w:rPr>
                <w:rFonts w:cstheme="minorHAnsi"/>
                <w:sz w:val="18"/>
                <w:szCs w:val="18"/>
              </w:rPr>
              <w:t>；第四类</w:t>
            </w:r>
            <w:r>
              <w:rPr>
                <w:rFonts w:cstheme="minorHAnsi"/>
                <w:sz w:val="18"/>
                <w:szCs w:val="18"/>
              </w:rPr>
              <w:t>□</w:t>
            </w:r>
          </w:p>
          <w:p w14:paraId="611FD761" w14:textId="77777777" w:rsidR="007D1E74" w:rsidRDefault="00A95641">
            <w:pPr>
              <w:rPr>
                <w:rFonts w:cstheme="minorHAnsi"/>
                <w:sz w:val="18"/>
                <w:szCs w:val="18"/>
              </w:rPr>
            </w:pPr>
            <w:r>
              <w:rPr>
                <w:rFonts w:cstheme="minorHAnsi"/>
                <w:sz w:val="18"/>
                <w:szCs w:val="18"/>
              </w:rPr>
              <w:t>规划年评价标准（</w:t>
            </w:r>
            <w:r>
              <w:rPr>
                <w:rFonts w:cstheme="minorHAnsi"/>
                <w:sz w:val="18"/>
                <w:szCs w:val="18"/>
              </w:rPr>
              <w:t xml:space="preserve"> </w:t>
            </w:r>
            <w:r>
              <w:rPr>
                <w:rFonts w:cstheme="minorHAnsi"/>
                <w:sz w:val="18"/>
                <w:szCs w:val="18"/>
              </w:rPr>
              <w:t>）</w:t>
            </w:r>
          </w:p>
        </w:tc>
      </w:tr>
      <w:tr w:rsidR="007D1E74" w14:paraId="53056571" w14:textId="77777777">
        <w:trPr>
          <w:trHeight w:val="315"/>
          <w:jc w:val="center"/>
        </w:trPr>
        <w:tc>
          <w:tcPr>
            <w:tcW w:w="245" w:type="pct"/>
            <w:vMerge/>
            <w:shd w:val="clear" w:color="auto" w:fill="auto"/>
            <w:vAlign w:val="center"/>
          </w:tcPr>
          <w:p w14:paraId="315B77D8" w14:textId="77777777" w:rsidR="007D1E74" w:rsidRDefault="007D1E74">
            <w:pPr>
              <w:jc w:val="center"/>
              <w:rPr>
                <w:rFonts w:cstheme="minorHAnsi"/>
                <w:sz w:val="18"/>
                <w:szCs w:val="18"/>
              </w:rPr>
            </w:pPr>
          </w:p>
        </w:tc>
        <w:tc>
          <w:tcPr>
            <w:tcW w:w="862" w:type="pct"/>
            <w:shd w:val="clear" w:color="auto" w:fill="auto"/>
            <w:vAlign w:val="center"/>
          </w:tcPr>
          <w:p w14:paraId="1D116958" w14:textId="77777777" w:rsidR="007D1E74" w:rsidRDefault="00A95641">
            <w:pPr>
              <w:jc w:val="center"/>
              <w:rPr>
                <w:rFonts w:cstheme="minorHAnsi"/>
                <w:sz w:val="18"/>
                <w:szCs w:val="18"/>
              </w:rPr>
            </w:pPr>
            <w:r>
              <w:rPr>
                <w:rFonts w:cstheme="minorHAnsi"/>
                <w:sz w:val="18"/>
                <w:szCs w:val="18"/>
              </w:rPr>
              <w:t>评价时期</w:t>
            </w:r>
          </w:p>
        </w:tc>
        <w:tc>
          <w:tcPr>
            <w:tcW w:w="3893" w:type="pct"/>
            <w:gridSpan w:val="10"/>
            <w:vAlign w:val="center"/>
          </w:tcPr>
          <w:p w14:paraId="40032092" w14:textId="77777777" w:rsidR="007D1E74" w:rsidRDefault="00A95641">
            <w:pPr>
              <w:rPr>
                <w:rFonts w:cstheme="minorHAnsi"/>
                <w:sz w:val="18"/>
                <w:szCs w:val="18"/>
              </w:rPr>
            </w:pPr>
            <w:r>
              <w:rPr>
                <w:rFonts w:cstheme="minorHAnsi"/>
                <w:sz w:val="18"/>
                <w:szCs w:val="18"/>
              </w:rPr>
              <w:t>丰水期</w:t>
            </w:r>
            <w:r>
              <w:rPr>
                <w:rFonts w:cstheme="minorHAnsi"/>
                <w:sz w:val="18"/>
                <w:szCs w:val="18"/>
              </w:rPr>
              <w:t>□</w:t>
            </w:r>
            <w:r>
              <w:rPr>
                <w:rFonts w:cstheme="minorHAnsi"/>
                <w:sz w:val="18"/>
                <w:szCs w:val="18"/>
              </w:rPr>
              <w:t>；平水期</w:t>
            </w:r>
            <w:r>
              <w:rPr>
                <w:rFonts w:cstheme="minorHAnsi"/>
                <w:sz w:val="18"/>
                <w:szCs w:val="18"/>
              </w:rPr>
              <w:t>□</w:t>
            </w:r>
            <w:r>
              <w:rPr>
                <w:rFonts w:cstheme="minorHAnsi"/>
                <w:sz w:val="18"/>
                <w:szCs w:val="18"/>
              </w:rPr>
              <w:t>；枯水期</w:t>
            </w:r>
            <w:r>
              <w:rPr>
                <w:rFonts w:cstheme="minorHAnsi"/>
                <w:sz w:val="18"/>
                <w:szCs w:val="18"/>
              </w:rPr>
              <w:t>□</w:t>
            </w:r>
            <w:r>
              <w:rPr>
                <w:rFonts w:cstheme="minorHAnsi"/>
                <w:sz w:val="18"/>
                <w:szCs w:val="18"/>
              </w:rPr>
              <w:t>；冰封期</w:t>
            </w:r>
            <w:r>
              <w:rPr>
                <w:rFonts w:cstheme="minorHAnsi"/>
                <w:sz w:val="18"/>
                <w:szCs w:val="18"/>
              </w:rPr>
              <w:t>□</w:t>
            </w:r>
            <w:r>
              <w:rPr>
                <w:rFonts w:cstheme="minorHAnsi"/>
                <w:sz w:val="18"/>
                <w:szCs w:val="18"/>
              </w:rPr>
              <w:t>；春季</w:t>
            </w:r>
            <w:r>
              <w:rPr>
                <w:rFonts w:cstheme="minorHAnsi"/>
                <w:sz w:val="18"/>
                <w:szCs w:val="18"/>
              </w:rPr>
              <w:t>□</w:t>
            </w:r>
            <w:r>
              <w:rPr>
                <w:rFonts w:cstheme="minorHAnsi"/>
                <w:sz w:val="18"/>
                <w:szCs w:val="18"/>
              </w:rPr>
              <w:t>；夏季</w:t>
            </w:r>
            <w:r>
              <w:rPr>
                <w:rFonts w:cstheme="minorHAnsi"/>
                <w:sz w:val="18"/>
                <w:szCs w:val="18"/>
              </w:rPr>
              <w:sym w:font="Wingdings 2" w:char="00A3"/>
            </w:r>
            <w:r>
              <w:rPr>
                <w:rFonts w:cstheme="minorHAnsi"/>
                <w:sz w:val="18"/>
                <w:szCs w:val="18"/>
              </w:rPr>
              <w:t>；秋季</w:t>
            </w:r>
            <w:r>
              <w:rPr>
                <w:rFonts w:cstheme="minorHAnsi"/>
                <w:sz w:val="18"/>
                <w:szCs w:val="18"/>
              </w:rPr>
              <w:t>□</w:t>
            </w:r>
            <w:r>
              <w:rPr>
                <w:rFonts w:cstheme="minorHAnsi"/>
                <w:sz w:val="18"/>
                <w:szCs w:val="18"/>
              </w:rPr>
              <w:t>；冬季</w:t>
            </w:r>
            <w:r>
              <w:rPr>
                <w:rFonts w:cstheme="minorHAnsi"/>
                <w:sz w:val="18"/>
                <w:szCs w:val="18"/>
              </w:rPr>
              <w:t>□</w:t>
            </w:r>
          </w:p>
        </w:tc>
      </w:tr>
      <w:tr w:rsidR="007D1E74" w14:paraId="1C60614A" w14:textId="77777777">
        <w:trPr>
          <w:trHeight w:val="315"/>
          <w:jc w:val="center"/>
        </w:trPr>
        <w:tc>
          <w:tcPr>
            <w:tcW w:w="245" w:type="pct"/>
            <w:vMerge/>
            <w:shd w:val="clear" w:color="auto" w:fill="auto"/>
            <w:vAlign w:val="center"/>
          </w:tcPr>
          <w:p w14:paraId="1111892E" w14:textId="77777777" w:rsidR="007D1E74" w:rsidRDefault="007D1E74">
            <w:pPr>
              <w:jc w:val="center"/>
              <w:rPr>
                <w:rFonts w:cstheme="minorHAnsi"/>
                <w:sz w:val="18"/>
                <w:szCs w:val="18"/>
              </w:rPr>
            </w:pPr>
          </w:p>
        </w:tc>
        <w:tc>
          <w:tcPr>
            <w:tcW w:w="862" w:type="pct"/>
            <w:shd w:val="clear" w:color="auto" w:fill="auto"/>
            <w:vAlign w:val="center"/>
          </w:tcPr>
          <w:p w14:paraId="68C8571E" w14:textId="77777777" w:rsidR="007D1E74" w:rsidRDefault="00A95641">
            <w:pPr>
              <w:jc w:val="center"/>
              <w:rPr>
                <w:rFonts w:cstheme="minorHAnsi"/>
                <w:sz w:val="18"/>
                <w:szCs w:val="18"/>
              </w:rPr>
            </w:pPr>
            <w:r>
              <w:rPr>
                <w:rFonts w:cstheme="minorHAnsi"/>
                <w:sz w:val="18"/>
                <w:szCs w:val="18"/>
              </w:rPr>
              <w:t>评价结论</w:t>
            </w:r>
          </w:p>
        </w:tc>
        <w:tc>
          <w:tcPr>
            <w:tcW w:w="3893" w:type="pct"/>
            <w:gridSpan w:val="10"/>
            <w:vAlign w:val="center"/>
          </w:tcPr>
          <w:p w14:paraId="68C2F695" w14:textId="77777777" w:rsidR="007D1E74" w:rsidRDefault="00A95641">
            <w:pPr>
              <w:rPr>
                <w:rFonts w:cstheme="minorHAnsi"/>
                <w:sz w:val="18"/>
                <w:szCs w:val="18"/>
              </w:rPr>
            </w:pPr>
            <w:r>
              <w:rPr>
                <w:rFonts w:cstheme="minorHAnsi"/>
                <w:sz w:val="18"/>
                <w:szCs w:val="18"/>
              </w:rPr>
              <w:t>水环境功能区或水功能区、近岸海域环境功能区水质达标状况</w:t>
            </w:r>
            <w:r>
              <w:rPr>
                <w:rFonts w:cstheme="minorHAnsi"/>
                <w:sz w:val="18"/>
                <w:szCs w:val="18"/>
              </w:rPr>
              <w:sym w:font="Wingdings 2" w:char="F052"/>
            </w:r>
            <w:r>
              <w:rPr>
                <w:rFonts w:cstheme="minorHAnsi"/>
                <w:sz w:val="18"/>
                <w:szCs w:val="18"/>
              </w:rPr>
              <w:t>：达标</w:t>
            </w:r>
            <w:r>
              <w:rPr>
                <w:rFonts w:cstheme="minorHAnsi"/>
                <w:sz w:val="18"/>
                <w:szCs w:val="18"/>
              </w:rPr>
              <w:t>□</w:t>
            </w:r>
            <w:r>
              <w:rPr>
                <w:rFonts w:cstheme="minorHAnsi"/>
                <w:sz w:val="18"/>
                <w:szCs w:val="18"/>
              </w:rPr>
              <w:t>；不达标</w:t>
            </w:r>
            <w:r>
              <w:rPr>
                <w:rFonts w:cstheme="minorHAnsi"/>
                <w:sz w:val="18"/>
                <w:szCs w:val="18"/>
              </w:rPr>
              <w:sym w:font="Wingdings 2" w:char="F052"/>
            </w:r>
          </w:p>
          <w:p w14:paraId="1A7AA66C" w14:textId="77777777" w:rsidR="007D1E74" w:rsidRDefault="00A95641">
            <w:pPr>
              <w:rPr>
                <w:rFonts w:cstheme="minorHAnsi"/>
                <w:sz w:val="18"/>
                <w:szCs w:val="18"/>
              </w:rPr>
            </w:pPr>
            <w:r>
              <w:rPr>
                <w:rFonts w:cstheme="minorHAnsi"/>
                <w:sz w:val="18"/>
                <w:szCs w:val="18"/>
              </w:rPr>
              <w:t>水环境控制单元或断面水质达标状况</w:t>
            </w:r>
            <w:r>
              <w:rPr>
                <w:rFonts w:cstheme="minorHAnsi"/>
                <w:sz w:val="18"/>
                <w:szCs w:val="18"/>
              </w:rPr>
              <w:t>□</w:t>
            </w:r>
            <w:r>
              <w:rPr>
                <w:rFonts w:cstheme="minorHAnsi"/>
                <w:sz w:val="18"/>
                <w:szCs w:val="18"/>
              </w:rPr>
              <w:t>：达标</w:t>
            </w:r>
            <w:r>
              <w:rPr>
                <w:rFonts w:cstheme="minorHAnsi"/>
                <w:sz w:val="18"/>
                <w:szCs w:val="18"/>
              </w:rPr>
              <w:t>□</w:t>
            </w:r>
            <w:r>
              <w:rPr>
                <w:rFonts w:cstheme="minorHAnsi"/>
                <w:sz w:val="18"/>
                <w:szCs w:val="18"/>
              </w:rPr>
              <w:t>；不达标</w:t>
            </w:r>
            <w:r>
              <w:rPr>
                <w:rFonts w:cstheme="minorHAnsi"/>
                <w:sz w:val="18"/>
                <w:szCs w:val="18"/>
              </w:rPr>
              <w:t>□</w:t>
            </w:r>
          </w:p>
          <w:p w14:paraId="6E4F2D1C" w14:textId="77777777" w:rsidR="007D1E74" w:rsidRDefault="00A95641">
            <w:pPr>
              <w:rPr>
                <w:rFonts w:cstheme="minorHAnsi"/>
                <w:sz w:val="18"/>
                <w:szCs w:val="18"/>
              </w:rPr>
            </w:pPr>
            <w:r>
              <w:rPr>
                <w:rFonts w:cstheme="minorHAnsi"/>
                <w:sz w:val="18"/>
                <w:szCs w:val="18"/>
              </w:rPr>
              <w:t>水环境保护目标质量状况</w:t>
            </w:r>
            <w:r>
              <w:rPr>
                <w:rFonts w:cstheme="minorHAnsi"/>
                <w:sz w:val="18"/>
                <w:szCs w:val="18"/>
              </w:rPr>
              <w:sym w:font="Wingdings 2" w:char="00A3"/>
            </w:r>
            <w:r>
              <w:rPr>
                <w:rFonts w:cstheme="minorHAnsi"/>
                <w:sz w:val="18"/>
                <w:szCs w:val="18"/>
              </w:rPr>
              <w:t>：达标</w:t>
            </w:r>
            <w:r>
              <w:rPr>
                <w:rFonts w:cstheme="minorHAnsi"/>
                <w:sz w:val="18"/>
                <w:szCs w:val="18"/>
              </w:rPr>
              <w:sym w:font="Wingdings 2" w:char="F052"/>
            </w:r>
            <w:r>
              <w:rPr>
                <w:rFonts w:cstheme="minorHAnsi"/>
                <w:sz w:val="18"/>
                <w:szCs w:val="18"/>
              </w:rPr>
              <w:t>；不达标</w:t>
            </w:r>
            <w:r>
              <w:rPr>
                <w:rFonts w:cstheme="minorHAnsi"/>
                <w:sz w:val="18"/>
                <w:szCs w:val="18"/>
              </w:rPr>
              <w:t>□</w:t>
            </w:r>
          </w:p>
          <w:p w14:paraId="6E828DFF" w14:textId="77777777" w:rsidR="007D1E74" w:rsidRDefault="00A95641">
            <w:pPr>
              <w:rPr>
                <w:rFonts w:cstheme="minorHAnsi"/>
                <w:sz w:val="18"/>
                <w:szCs w:val="18"/>
              </w:rPr>
            </w:pPr>
            <w:r>
              <w:rPr>
                <w:rFonts w:cstheme="minorHAnsi"/>
                <w:sz w:val="18"/>
                <w:szCs w:val="18"/>
              </w:rPr>
              <w:t>对照断面、控制断面等代表性断面的水质状况</w:t>
            </w:r>
            <w:r>
              <w:rPr>
                <w:rFonts w:cstheme="minorHAnsi"/>
                <w:sz w:val="18"/>
                <w:szCs w:val="18"/>
              </w:rPr>
              <w:t>□</w:t>
            </w:r>
            <w:r>
              <w:rPr>
                <w:rFonts w:cstheme="minorHAnsi"/>
                <w:sz w:val="18"/>
                <w:szCs w:val="18"/>
              </w:rPr>
              <w:t>：达标</w:t>
            </w:r>
            <w:r>
              <w:rPr>
                <w:rFonts w:cstheme="minorHAnsi"/>
                <w:sz w:val="18"/>
                <w:szCs w:val="18"/>
              </w:rPr>
              <w:t>□</w:t>
            </w:r>
            <w:r>
              <w:rPr>
                <w:rFonts w:cstheme="minorHAnsi"/>
                <w:sz w:val="18"/>
                <w:szCs w:val="18"/>
              </w:rPr>
              <w:t>；不达标</w:t>
            </w:r>
            <w:r>
              <w:rPr>
                <w:rFonts w:cstheme="minorHAnsi"/>
                <w:sz w:val="18"/>
                <w:szCs w:val="18"/>
              </w:rPr>
              <w:t>□</w:t>
            </w:r>
          </w:p>
          <w:p w14:paraId="218E4F2C" w14:textId="77777777" w:rsidR="007D1E74" w:rsidRDefault="00A95641">
            <w:pPr>
              <w:rPr>
                <w:rFonts w:cstheme="minorHAnsi"/>
                <w:sz w:val="18"/>
                <w:szCs w:val="18"/>
              </w:rPr>
            </w:pPr>
            <w:r>
              <w:rPr>
                <w:rFonts w:cstheme="minorHAnsi"/>
                <w:sz w:val="18"/>
                <w:szCs w:val="18"/>
              </w:rPr>
              <w:t>底泥污染评价</w:t>
            </w:r>
            <w:r>
              <w:rPr>
                <w:rFonts w:cstheme="minorHAnsi"/>
                <w:sz w:val="18"/>
                <w:szCs w:val="18"/>
              </w:rPr>
              <w:t>□</w:t>
            </w:r>
          </w:p>
          <w:p w14:paraId="6B80153C" w14:textId="77777777" w:rsidR="007D1E74" w:rsidRDefault="00A95641">
            <w:pPr>
              <w:rPr>
                <w:rFonts w:cstheme="minorHAnsi"/>
                <w:sz w:val="18"/>
                <w:szCs w:val="18"/>
              </w:rPr>
            </w:pPr>
            <w:r>
              <w:rPr>
                <w:rFonts w:cstheme="minorHAnsi"/>
                <w:sz w:val="18"/>
                <w:szCs w:val="18"/>
              </w:rPr>
              <w:t>水资源与开发利用程度及其水文情势评价</w:t>
            </w:r>
            <w:r>
              <w:rPr>
                <w:rFonts w:cstheme="minorHAnsi"/>
                <w:sz w:val="18"/>
                <w:szCs w:val="18"/>
              </w:rPr>
              <w:t>□</w:t>
            </w:r>
          </w:p>
          <w:p w14:paraId="2BBB9F3A" w14:textId="77777777" w:rsidR="007D1E74" w:rsidRDefault="00A95641">
            <w:pPr>
              <w:rPr>
                <w:rFonts w:cstheme="minorHAnsi"/>
                <w:sz w:val="18"/>
                <w:szCs w:val="18"/>
              </w:rPr>
            </w:pPr>
            <w:r>
              <w:rPr>
                <w:rFonts w:cstheme="minorHAnsi"/>
                <w:sz w:val="18"/>
                <w:szCs w:val="18"/>
              </w:rPr>
              <w:t>水环境质量回顾评价</w:t>
            </w:r>
            <w:r>
              <w:rPr>
                <w:rFonts w:cstheme="minorHAnsi"/>
                <w:sz w:val="18"/>
                <w:szCs w:val="18"/>
              </w:rPr>
              <w:t>□</w:t>
            </w:r>
          </w:p>
          <w:p w14:paraId="57D8346F" w14:textId="77777777" w:rsidR="007D1E74" w:rsidRDefault="00A95641">
            <w:pPr>
              <w:rPr>
                <w:rFonts w:cstheme="minorHAnsi"/>
                <w:sz w:val="18"/>
                <w:szCs w:val="18"/>
              </w:rPr>
            </w:pPr>
            <w:r>
              <w:rPr>
                <w:rFonts w:cstheme="minorHAnsi"/>
                <w:sz w:val="18"/>
                <w:szCs w:val="18"/>
              </w:rPr>
              <w:t>流域（区域）水资源（包括水能资源）与开发利用总体状况、生态流量管理要求与现状</w:t>
            </w:r>
            <w:r>
              <w:rPr>
                <w:rFonts w:cstheme="minorHAnsi"/>
                <w:sz w:val="18"/>
                <w:szCs w:val="18"/>
              </w:rPr>
              <w:lastRenderedPageBreak/>
              <w:t>满足程度、建设项目占用水域空间的水流状况与河湖演变状况</w:t>
            </w:r>
            <w:r>
              <w:rPr>
                <w:rFonts w:cstheme="minorHAnsi"/>
                <w:sz w:val="18"/>
                <w:szCs w:val="18"/>
              </w:rPr>
              <w:t>□</w:t>
            </w:r>
          </w:p>
        </w:tc>
      </w:tr>
      <w:tr w:rsidR="007D1E74" w14:paraId="7F605585" w14:textId="77777777">
        <w:trPr>
          <w:trHeight w:val="315"/>
          <w:jc w:val="center"/>
        </w:trPr>
        <w:tc>
          <w:tcPr>
            <w:tcW w:w="245" w:type="pct"/>
            <w:vMerge w:val="restart"/>
            <w:shd w:val="clear" w:color="auto" w:fill="auto"/>
            <w:vAlign w:val="center"/>
          </w:tcPr>
          <w:p w14:paraId="38811AFE" w14:textId="77777777" w:rsidR="007D1E74" w:rsidRDefault="00A95641">
            <w:pPr>
              <w:jc w:val="center"/>
              <w:rPr>
                <w:rFonts w:cstheme="minorHAnsi"/>
                <w:sz w:val="18"/>
                <w:szCs w:val="18"/>
              </w:rPr>
            </w:pPr>
            <w:r>
              <w:rPr>
                <w:rFonts w:cstheme="minorHAnsi"/>
                <w:sz w:val="18"/>
                <w:szCs w:val="18"/>
              </w:rPr>
              <w:lastRenderedPageBreak/>
              <w:t>影响预测</w:t>
            </w:r>
          </w:p>
        </w:tc>
        <w:tc>
          <w:tcPr>
            <w:tcW w:w="862" w:type="pct"/>
            <w:shd w:val="clear" w:color="auto" w:fill="auto"/>
            <w:vAlign w:val="center"/>
          </w:tcPr>
          <w:p w14:paraId="4BF54436" w14:textId="77777777" w:rsidR="007D1E74" w:rsidRDefault="00A95641">
            <w:pPr>
              <w:jc w:val="center"/>
              <w:rPr>
                <w:rFonts w:cstheme="minorHAnsi"/>
                <w:sz w:val="18"/>
                <w:szCs w:val="18"/>
              </w:rPr>
            </w:pPr>
            <w:r>
              <w:rPr>
                <w:rFonts w:cstheme="minorHAnsi"/>
                <w:sz w:val="18"/>
                <w:szCs w:val="18"/>
              </w:rPr>
              <w:t>预测范围</w:t>
            </w:r>
          </w:p>
        </w:tc>
        <w:tc>
          <w:tcPr>
            <w:tcW w:w="3893" w:type="pct"/>
            <w:gridSpan w:val="10"/>
            <w:vAlign w:val="center"/>
          </w:tcPr>
          <w:p w14:paraId="1B469F77" w14:textId="77777777" w:rsidR="007D1E74" w:rsidRDefault="00A95641">
            <w:pPr>
              <w:rPr>
                <w:rFonts w:cstheme="minorHAnsi"/>
                <w:sz w:val="18"/>
                <w:szCs w:val="18"/>
              </w:rPr>
            </w:pPr>
            <w:r>
              <w:rPr>
                <w:rFonts w:cstheme="minorHAnsi"/>
                <w:sz w:val="18"/>
                <w:szCs w:val="18"/>
              </w:rPr>
              <w:t>河流：长度（</w:t>
            </w:r>
            <w:r>
              <w:rPr>
                <w:rFonts w:cstheme="minorHAnsi"/>
                <w:sz w:val="18"/>
                <w:szCs w:val="18"/>
              </w:rPr>
              <w:t xml:space="preserve"> </w:t>
            </w:r>
            <w:r>
              <w:rPr>
                <w:rFonts w:cstheme="minorHAnsi"/>
                <w:sz w:val="18"/>
                <w:szCs w:val="18"/>
              </w:rPr>
              <w:t>）</w:t>
            </w:r>
            <w:r>
              <w:rPr>
                <w:rFonts w:cstheme="minorHAnsi"/>
                <w:sz w:val="18"/>
                <w:szCs w:val="18"/>
              </w:rPr>
              <w:t>km</w:t>
            </w:r>
            <w:r>
              <w:rPr>
                <w:rFonts w:cstheme="minorHAnsi"/>
                <w:sz w:val="18"/>
                <w:szCs w:val="18"/>
              </w:rPr>
              <w:t>；湖库、河口及近岸海域：面积（</w:t>
            </w:r>
            <w:r>
              <w:rPr>
                <w:rFonts w:cstheme="minorHAnsi"/>
                <w:sz w:val="18"/>
                <w:szCs w:val="18"/>
              </w:rPr>
              <w:t xml:space="preserve"> </w:t>
            </w:r>
            <w:r>
              <w:rPr>
                <w:rFonts w:cstheme="minorHAnsi"/>
                <w:sz w:val="18"/>
                <w:szCs w:val="18"/>
              </w:rPr>
              <w:t>）</w:t>
            </w:r>
            <w:r>
              <w:rPr>
                <w:rFonts w:cstheme="minorHAnsi"/>
                <w:sz w:val="18"/>
                <w:szCs w:val="18"/>
              </w:rPr>
              <w:t>km</w:t>
            </w:r>
            <w:r>
              <w:rPr>
                <w:rFonts w:cstheme="minorHAnsi"/>
                <w:sz w:val="18"/>
                <w:szCs w:val="18"/>
                <w:vertAlign w:val="superscript"/>
              </w:rPr>
              <w:t>2</w:t>
            </w:r>
          </w:p>
        </w:tc>
      </w:tr>
      <w:tr w:rsidR="007D1E74" w14:paraId="781C8FB1" w14:textId="77777777">
        <w:trPr>
          <w:trHeight w:val="315"/>
          <w:jc w:val="center"/>
        </w:trPr>
        <w:tc>
          <w:tcPr>
            <w:tcW w:w="245" w:type="pct"/>
            <w:vMerge/>
            <w:shd w:val="clear" w:color="auto" w:fill="auto"/>
            <w:vAlign w:val="center"/>
          </w:tcPr>
          <w:p w14:paraId="2DBDBF7C" w14:textId="77777777" w:rsidR="007D1E74" w:rsidRDefault="007D1E74">
            <w:pPr>
              <w:jc w:val="center"/>
              <w:rPr>
                <w:rFonts w:cstheme="minorHAnsi"/>
                <w:sz w:val="18"/>
                <w:szCs w:val="18"/>
              </w:rPr>
            </w:pPr>
          </w:p>
        </w:tc>
        <w:tc>
          <w:tcPr>
            <w:tcW w:w="862" w:type="pct"/>
            <w:shd w:val="clear" w:color="auto" w:fill="auto"/>
            <w:vAlign w:val="center"/>
          </w:tcPr>
          <w:p w14:paraId="6367CEBD" w14:textId="77777777" w:rsidR="007D1E74" w:rsidRDefault="00A95641">
            <w:pPr>
              <w:jc w:val="center"/>
              <w:rPr>
                <w:rFonts w:cstheme="minorHAnsi"/>
                <w:sz w:val="18"/>
                <w:szCs w:val="18"/>
              </w:rPr>
            </w:pPr>
            <w:r>
              <w:rPr>
                <w:rFonts w:cstheme="minorHAnsi"/>
                <w:sz w:val="18"/>
                <w:szCs w:val="18"/>
              </w:rPr>
              <w:t>预测因子</w:t>
            </w:r>
          </w:p>
        </w:tc>
        <w:tc>
          <w:tcPr>
            <w:tcW w:w="3893" w:type="pct"/>
            <w:gridSpan w:val="10"/>
            <w:vAlign w:val="center"/>
          </w:tcPr>
          <w:p w14:paraId="20730892" w14:textId="77777777" w:rsidR="007D1E74" w:rsidRDefault="00A95641">
            <w:pPr>
              <w:rPr>
                <w:rFonts w:cstheme="minorHAnsi"/>
                <w:sz w:val="18"/>
                <w:szCs w:val="18"/>
              </w:rPr>
            </w:pPr>
            <w:r>
              <w:rPr>
                <w:rFonts w:cstheme="minorHAnsi"/>
                <w:sz w:val="18"/>
                <w:szCs w:val="18"/>
              </w:rPr>
              <w:t>（</w:t>
            </w:r>
            <w:r>
              <w:rPr>
                <w:rFonts w:cstheme="minorHAnsi"/>
                <w:sz w:val="18"/>
                <w:szCs w:val="18"/>
              </w:rPr>
              <w:t xml:space="preserve">    </w:t>
            </w:r>
            <w:r>
              <w:rPr>
                <w:rFonts w:cstheme="minorHAnsi"/>
                <w:sz w:val="18"/>
                <w:szCs w:val="18"/>
              </w:rPr>
              <w:t>）</w:t>
            </w:r>
          </w:p>
        </w:tc>
      </w:tr>
      <w:tr w:rsidR="007D1E74" w14:paraId="559624A7" w14:textId="77777777">
        <w:trPr>
          <w:trHeight w:val="315"/>
          <w:jc w:val="center"/>
        </w:trPr>
        <w:tc>
          <w:tcPr>
            <w:tcW w:w="245" w:type="pct"/>
            <w:vMerge/>
            <w:shd w:val="clear" w:color="auto" w:fill="auto"/>
            <w:vAlign w:val="center"/>
          </w:tcPr>
          <w:p w14:paraId="7AC18484" w14:textId="77777777" w:rsidR="007D1E74" w:rsidRDefault="007D1E74">
            <w:pPr>
              <w:jc w:val="center"/>
              <w:rPr>
                <w:rFonts w:cstheme="minorHAnsi"/>
                <w:sz w:val="18"/>
                <w:szCs w:val="18"/>
              </w:rPr>
            </w:pPr>
          </w:p>
        </w:tc>
        <w:tc>
          <w:tcPr>
            <w:tcW w:w="862" w:type="pct"/>
            <w:shd w:val="clear" w:color="auto" w:fill="auto"/>
            <w:vAlign w:val="center"/>
          </w:tcPr>
          <w:p w14:paraId="6D05A8AC" w14:textId="77777777" w:rsidR="007D1E74" w:rsidRDefault="00A95641">
            <w:pPr>
              <w:jc w:val="center"/>
              <w:rPr>
                <w:rFonts w:cstheme="minorHAnsi"/>
                <w:sz w:val="18"/>
                <w:szCs w:val="18"/>
              </w:rPr>
            </w:pPr>
            <w:r>
              <w:rPr>
                <w:rFonts w:cstheme="minorHAnsi"/>
                <w:sz w:val="18"/>
                <w:szCs w:val="18"/>
              </w:rPr>
              <w:t>预测时期</w:t>
            </w:r>
          </w:p>
        </w:tc>
        <w:tc>
          <w:tcPr>
            <w:tcW w:w="3893" w:type="pct"/>
            <w:gridSpan w:val="10"/>
            <w:vAlign w:val="center"/>
          </w:tcPr>
          <w:p w14:paraId="0D24BDE8" w14:textId="77777777" w:rsidR="007D1E74" w:rsidRDefault="00A95641">
            <w:pPr>
              <w:rPr>
                <w:rFonts w:cstheme="minorHAnsi"/>
                <w:sz w:val="18"/>
                <w:szCs w:val="18"/>
              </w:rPr>
            </w:pPr>
            <w:r>
              <w:rPr>
                <w:rFonts w:cstheme="minorHAnsi"/>
                <w:sz w:val="18"/>
                <w:szCs w:val="18"/>
              </w:rPr>
              <w:t>丰水期</w:t>
            </w:r>
            <w:r>
              <w:rPr>
                <w:rFonts w:cstheme="minorHAnsi"/>
                <w:sz w:val="18"/>
                <w:szCs w:val="18"/>
              </w:rPr>
              <w:t>□</w:t>
            </w:r>
            <w:r>
              <w:rPr>
                <w:rFonts w:cstheme="minorHAnsi"/>
                <w:sz w:val="18"/>
                <w:szCs w:val="18"/>
              </w:rPr>
              <w:t>；平水期</w:t>
            </w:r>
            <w:r>
              <w:rPr>
                <w:rFonts w:cstheme="minorHAnsi"/>
                <w:sz w:val="18"/>
                <w:szCs w:val="18"/>
              </w:rPr>
              <w:t>□</w:t>
            </w:r>
            <w:r>
              <w:rPr>
                <w:rFonts w:cstheme="minorHAnsi"/>
                <w:sz w:val="18"/>
                <w:szCs w:val="18"/>
              </w:rPr>
              <w:t>；枯水期</w:t>
            </w:r>
            <w:r>
              <w:rPr>
                <w:rFonts w:cstheme="minorHAnsi"/>
                <w:sz w:val="18"/>
                <w:szCs w:val="18"/>
              </w:rPr>
              <w:t>□</w:t>
            </w:r>
            <w:r>
              <w:rPr>
                <w:rFonts w:cstheme="minorHAnsi"/>
                <w:sz w:val="18"/>
                <w:szCs w:val="18"/>
              </w:rPr>
              <w:t>；冰封期</w:t>
            </w:r>
            <w:r>
              <w:rPr>
                <w:rFonts w:cstheme="minorHAnsi"/>
                <w:sz w:val="18"/>
                <w:szCs w:val="18"/>
              </w:rPr>
              <w:t>□</w:t>
            </w:r>
            <w:r>
              <w:rPr>
                <w:rFonts w:cstheme="minorHAnsi"/>
                <w:sz w:val="18"/>
                <w:szCs w:val="18"/>
              </w:rPr>
              <w:t>；春季</w:t>
            </w:r>
            <w:r>
              <w:rPr>
                <w:rFonts w:cstheme="minorHAnsi"/>
                <w:sz w:val="18"/>
                <w:szCs w:val="18"/>
              </w:rPr>
              <w:sym w:font="Wingdings 2" w:char="F052"/>
            </w:r>
            <w:r>
              <w:rPr>
                <w:rFonts w:cstheme="minorHAnsi"/>
                <w:sz w:val="18"/>
                <w:szCs w:val="18"/>
              </w:rPr>
              <w:t>；夏季</w:t>
            </w:r>
            <w:r>
              <w:rPr>
                <w:rFonts w:cstheme="minorHAnsi"/>
                <w:sz w:val="18"/>
                <w:szCs w:val="18"/>
              </w:rPr>
              <w:t>□</w:t>
            </w:r>
            <w:r>
              <w:rPr>
                <w:rFonts w:cstheme="minorHAnsi"/>
                <w:sz w:val="18"/>
                <w:szCs w:val="18"/>
              </w:rPr>
              <w:t>；秋季</w:t>
            </w:r>
            <w:r>
              <w:rPr>
                <w:rFonts w:cstheme="minorHAnsi"/>
                <w:sz w:val="18"/>
                <w:szCs w:val="18"/>
              </w:rPr>
              <w:t>□</w:t>
            </w:r>
            <w:r>
              <w:rPr>
                <w:rFonts w:cstheme="minorHAnsi"/>
                <w:sz w:val="18"/>
                <w:szCs w:val="18"/>
              </w:rPr>
              <w:t>；冬季</w:t>
            </w:r>
            <w:r>
              <w:rPr>
                <w:rFonts w:cstheme="minorHAnsi"/>
                <w:sz w:val="18"/>
                <w:szCs w:val="18"/>
              </w:rPr>
              <w:t>□</w:t>
            </w:r>
            <w:r>
              <w:rPr>
                <w:rFonts w:cstheme="minorHAnsi"/>
                <w:sz w:val="18"/>
                <w:szCs w:val="18"/>
              </w:rPr>
              <w:t>；设计水文条件</w:t>
            </w:r>
            <w:r>
              <w:rPr>
                <w:rFonts w:cstheme="minorHAnsi"/>
                <w:sz w:val="18"/>
                <w:szCs w:val="18"/>
              </w:rPr>
              <w:t>□</w:t>
            </w:r>
          </w:p>
        </w:tc>
      </w:tr>
      <w:tr w:rsidR="007D1E74" w14:paraId="6F7902E5" w14:textId="77777777">
        <w:trPr>
          <w:trHeight w:val="315"/>
          <w:jc w:val="center"/>
        </w:trPr>
        <w:tc>
          <w:tcPr>
            <w:tcW w:w="245" w:type="pct"/>
            <w:vMerge/>
            <w:shd w:val="clear" w:color="auto" w:fill="auto"/>
            <w:vAlign w:val="center"/>
          </w:tcPr>
          <w:p w14:paraId="7C08FD6C" w14:textId="77777777" w:rsidR="007D1E74" w:rsidRDefault="007D1E74">
            <w:pPr>
              <w:jc w:val="center"/>
              <w:rPr>
                <w:rFonts w:cstheme="minorHAnsi"/>
                <w:sz w:val="18"/>
                <w:szCs w:val="18"/>
              </w:rPr>
            </w:pPr>
          </w:p>
        </w:tc>
        <w:tc>
          <w:tcPr>
            <w:tcW w:w="862" w:type="pct"/>
            <w:shd w:val="clear" w:color="auto" w:fill="auto"/>
            <w:vAlign w:val="center"/>
          </w:tcPr>
          <w:p w14:paraId="7FEF0181" w14:textId="77777777" w:rsidR="007D1E74" w:rsidRDefault="00A95641">
            <w:pPr>
              <w:jc w:val="center"/>
              <w:rPr>
                <w:rFonts w:cstheme="minorHAnsi"/>
                <w:sz w:val="18"/>
                <w:szCs w:val="18"/>
              </w:rPr>
            </w:pPr>
            <w:r>
              <w:rPr>
                <w:rFonts w:cstheme="minorHAnsi"/>
                <w:sz w:val="18"/>
                <w:szCs w:val="18"/>
              </w:rPr>
              <w:t>预测情景</w:t>
            </w:r>
          </w:p>
        </w:tc>
        <w:tc>
          <w:tcPr>
            <w:tcW w:w="3893" w:type="pct"/>
            <w:gridSpan w:val="10"/>
            <w:vAlign w:val="center"/>
          </w:tcPr>
          <w:p w14:paraId="0F19BA03" w14:textId="77777777" w:rsidR="007D1E74" w:rsidRDefault="00A95641">
            <w:pPr>
              <w:rPr>
                <w:rFonts w:cstheme="minorHAnsi"/>
                <w:sz w:val="18"/>
                <w:szCs w:val="18"/>
              </w:rPr>
            </w:pPr>
            <w:r>
              <w:rPr>
                <w:rFonts w:cstheme="minorHAnsi"/>
                <w:sz w:val="18"/>
                <w:szCs w:val="18"/>
              </w:rPr>
              <w:t>建设期</w:t>
            </w:r>
            <w:r>
              <w:rPr>
                <w:rFonts w:cstheme="minorHAnsi"/>
                <w:sz w:val="18"/>
                <w:szCs w:val="18"/>
              </w:rPr>
              <w:t>□</w:t>
            </w:r>
            <w:r>
              <w:rPr>
                <w:rFonts w:cstheme="minorHAnsi"/>
                <w:sz w:val="18"/>
                <w:szCs w:val="18"/>
              </w:rPr>
              <w:t>；生产运行期</w:t>
            </w:r>
            <w:r>
              <w:rPr>
                <w:rFonts w:cstheme="minorHAnsi"/>
                <w:sz w:val="18"/>
                <w:szCs w:val="18"/>
              </w:rPr>
              <w:t>□</w:t>
            </w:r>
            <w:r>
              <w:rPr>
                <w:rFonts w:cstheme="minorHAnsi"/>
                <w:sz w:val="18"/>
                <w:szCs w:val="18"/>
              </w:rPr>
              <w:t>；服务期满后</w:t>
            </w:r>
            <w:r>
              <w:rPr>
                <w:rFonts w:cstheme="minorHAnsi"/>
                <w:sz w:val="18"/>
                <w:szCs w:val="18"/>
              </w:rPr>
              <w:t>□</w:t>
            </w:r>
          </w:p>
          <w:p w14:paraId="6901BA36" w14:textId="77777777" w:rsidR="007D1E74" w:rsidRDefault="00A95641">
            <w:pPr>
              <w:rPr>
                <w:rFonts w:cstheme="minorHAnsi"/>
                <w:sz w:val="18"/>
                <w:szCs w:val="18"/>
              </w:rPr>
            </w:pPr>
            <w:r>
              <w:rPr>
                <w:rFonts w:cstheme="minorHAnsi"/>
                <w:sz w:val="18"/>
                <w:szCs w:val="18"/>
              </w:rPr>
              <w:t>正常工况</w:t>
            </w:r>
            <w:r>
              <w:rPr>
                <w:rFonts w:cstheme="minorHAnsi"/>
                <w:sz w:val="18"/>
                <w:szCs w:val="18"/>
              </w:rPr>
              <w:t>□</w:t>
            </w:r>
            <w:r>
              <w:rPr>
                <w:rFonts w:cstheme="minorHAnsi"/>
                <w:sz w:val="18"/>
                <w:szCs w:val="18"/>
              </w:rPr>
              <w:t>；非正常工况</w:t>
            </w:r>
            <w:r>
              <w:rPr>
                <w:rFonts w:cstheme="minorHAnsi"/>
                <w:sz w:val="18"/>
                <w:szCs w:val="18"/>
              </w:rPr>
              <w:t>□</w:t>
            </w:r>
          </w:p>
          <w:p w14:paraId="0251A182" w14:textId="77777777" w:rsidR="007D1E74" w:rsidRDefault="00A95641">
            <w:pPr>
              <w:rPr>
                <w:rFonts w:cstheme="minorHAnsi"/>
                <w:sz w:val="18"/>
                <w:szCs w:val="18"/>
              </w:rPr>
            </w:pPr>
            <w:r>
              <w:rPr>
                <w:rFonts w:cstheme="minorHAnsi"/>
                <w:sz w:val="18"/>
                <w:szCs w:val="18"/>
              </w:rPr>
              <w:t>污染控制和减缓措施方案</w:t>
            </w:r>
            <w:r>
              <w:rPr>
                <w:rFonts w:cstheme="minorHAnsi"/>
                <w:sz w:val="18"/>
                <w:szCs w:val="18"/>
              </w:rPr>
              <w:t>□</w:t>
            </w:r>
          </w:p>
          <w:p w14:paraId="10AD9D52" w14:textId="77777777" w:rsidR="007D1E74" w:rsidRDefault="00A95641">
            <w:pPr>
              <w:rPr>
                <w:rFonts w:cstheme="minorHAnsi"/>
                <w:sz w:val="18"/>
                <w:szCs w:val="18"/>
              </w:rPr>
            </w:pPr>
            <w:r>
              <w:rPr>
                <w:rFonts w:cstheme="minorHAnsi"/>
                <w:sz w:val="18"/>
                <w:szCs w:val="18"/>
              </w:rPr>
              <w:t>区（流）域环境质量改善目标要求情景</w:t>
            </w:r>
            <w:r>
              <w:rPr>
                <w:rFonts w:cstheme="minorHAnsi"/>
                <w:sz w:val="18"/>
                <w:szCs w:val="18"/>
              </w:rPr>
              <w:t>□</w:t>
            </w:r>
          </w:p>
        </w:tc>
      </w:tr>
      <w:tr w:rsidR="007D1E74" w14:paraId="30213573" w14:textId="77777777">
        <w:trPr>
          <w:trHeight w:val="202"/>
          <w:jc w:val="center"/>
        </w:trPr>
        <w:tc>
          <w:tcPr>
            <w:tcW w:w="245" w:type="pct"/>
            <w:vMerge/>
            <w:shd w:val="clear" w:color="auto" w:fill="auto"/>
            <w:vAlign w:val="center"/>
          </w:tcPr>
          <w:p w14:paraId="1070ED33" w14:textId="77777777" w:rsidR="007D1E74" w:rsidRDefault="007D1E74">
            <w:pPr>
              <w:jc w:val="center"/>
              <w:rPr>
                <w:rFonts w:cstheme="minorHAnsi"/>
                <w:sz w:val="18"/>
                <w:szCs w:val="18"/>
              </w:rPr>
            </w:pPr>
          </w:p>
        </w:tc>
        <w:tc>
          <w:tcPr>
            <w:tcW w:w="862" w:type="pct"/>
            <w:shd w:val="clear" w:color="auto" w:fill="auto"/>
            <w:vAlign w:val="center"/>
          </w:tcPr>
          <w:p w14:paraId="5748877B" w14:textId="77777777" w:rsidR="007D1E74" w:rsidRDefault="00A95641">
            <w:pPr>
              <w:jc w:val="center"/>
              <w:rPr>
                <w:rFonts w:cstheme="minorHAnsi"/>
                <w:sz w:val="18"/>
                <w:szCs w:val="18"/>
              </w:rPr>
            </w:pPr>
            <w:r>
              <w:rPr>
                <w:rFonts w:cstheme="minorHAnsi"/>
                <w:sz w:val="18"/>
                <w:szCs w:val="18"/>
              </w:rPr>
              <w:t>预测方法</w:t>
            </w:r>
          </w:p>
        </w:tc>
        <w:tc>
          <w:tcPr>
            <w:tcW w:w="3893" w:type="pct"/>
            <w:gridSpan w:val="10"/>
            <w:vAlign w:val="center"/>
          </w:tcPr>
          <w:p w14:paraId="14825E3E" w14:textId="77777777" w:rsidR="007D1E74" w:rsidRDefault="00A95641">
            <w:pPr>
              <w:rPr>
                <w:rFonts w:cstheme="minorHAnsi"/>
                <w:sz w:val="18"/>
                <w:szCs w:val="18"/>
              </w:rPr>
            </w:pPr>
            <w:r>
              <w:rPr>
                <w:rFonts w:cstheme="minorHAnsi"/>
                <w:sz w:val="18"/>
                <w:szCs w:val="18"/>
              </w:rPr>
              <w:t>数值解</w:t>
            </w:r>
            <w:r>
              <w:rPr>
                <w:rFonts w:cstheme="minorHAnsi"/>
                <w:sz w:val="18"/>
                <w:szCs w:val="18"/>
              </w:rPr>
              <w:t>□</w:t>
            </w:r>
            <w:r>
              <w:rPr>
                <w:rFonts w:cstheme="minorHAnsi"/>
                <w:sz w:val="18"/>
                <w:szCs w:val="18"/>
              </w:rPr>
              <w:t>：解析解</w:t>
            </w:r>
            <w:r>
              <w:rPr>
                <w:rFonts w:cstheme="minorHAnsi"/>
                <w:sz w:val="18"/>
                <w:szCs w:val="18"/>
              </w:rPr>
              <w:t>□</w:t>
            </w:r>
            <w:r>
              <w:rPr>
                <w:rFonts w:cstheme="minorHAnsi"/>
                <w:sz w:val="18"/>
                <w:szCs w:val="18"/>
              </w:rPr>
              <w:t>；其他</w:t>
            </w:r>
            <w:r>
              <w:rPr>
                <w:rFonts w:cstheme="minorHAnsi"/>
                <w:sz w:val="18"/>
                <w:szCs w:val="18"/>
              </w:rPr>
              <w:t>□</w:t>
            </w:r>
          </w:p>
          <w:p w14:paraId="68661ADB" w14:textId="77777777" w:rsidR="007D1E74" w:rsidRDefault="00A95641">
            <w:pPr>
              <w:rPr>
                <w:rFonts w:cstheme="minorHAnsi"/>
                <w:sz w:val="18"/>
                <w:szCs w:val="18"/>
              </w:rPr>
            </w:pPr>
            <w:r>
              <w:rPr>
                <w:rFonts w:cstheme="minorHAnsi"/>
                <w:sz w:val="18"/>
                <w:szCs w:val="18"/>
              </w:rPr>
              <w:t>导则推荐模式</w:t>
            </w:r>
            <w:r>
              <w:rPr>
                <w:rFonts w:cstheme="minorHAnsi"/>
                <w:sz w:val="18"/>
                <w:szCs w:val="18"/>
              </w:rPr>
              <w:t>□</w:t>
            </w:r>
            <w:r>
              <w:rPr>
                <w:rFonts w:cstheme="minorHAnsi"/>
                <w:sz w:val="18"/>
                <w:szCs w:val="18"/>
              </w:rPr>
              <w:t>：其他</w:t>
            </w:r>
            <w:r>
              <w:rPr>
                <w:rFonts w:cstheme="minorHAnsi"/>
                <w:sz w:val="18"/>
                <w:szCs w:val="18"/>
              </w:rPr>
              <w:t>□</w:t>
            </w:r>
          </w:p>
        </w:tc>
      </w:tr>
      <w:tr w:rsidR="007D1E74" w14:paraId="7D9F666A" w14:textId="77777777">
        <w:trPr>
          <w:trHeight w:val="315"/>
          <w:jc w:val="center"/>
        </w:trPr>
        <w:tc>
          <w:tcPr>
            <w:tcW w:w="245" w:type="pct"/>
            <w:vMerge w:val="restart"/>
            <w:shd w:val="clear" w:color="auto" w:fill="auto"/>
            <w:vAlign w:val="center"/>
          </w:tcPr>
          <w:p w14:paraId="050C5A38" w14:textId="77777777" w:rsidR="007D1E74" w:rsidRDefault="00A95641">
            <w:pPr>
              <w:jc w:val="center"/>
              <w:rPr>
                <w:rFonts w:cstheme="minorHAnsi"/>
                <w:sz w:val="18"/>
                <w:szCs w:val="18"/>
              </w:rPr>
            </w:pPr>
            <w:r>
              <w:rPr>
                <w:rFonts w:cstheme="minorHAnsi"/>
                <w:sz w:val="18"/>
                <w:szCs w:val="18"/>
              </w:rPr>
              <w:t>影响评价</w:t>
            </w:r>
          </w:p>
        </w:tc>
        <w:tc>
          <w:tcPr>
            <w:tcW w:w="862" w:type="pct"/>
            <w:shd w:val="clear" w:color="auto" w:fill="auto"/>
            <w:vAlign w:val="center"/>
          </w:tcPr>
          <w:p w14:paraId="45EDB6DD" w14:textId="77777777" w:rsidR="007D1E74" w:rsidRDefault="00A95641">
            <w:pPr>
              <w:jc w:val="center"/>
              <w:rPr>
                <w:rFonts w:cstheme="minorHAnsi"/>
                <w:sz w:val="18"/>
                <w:szCs w:val="18"/>
              </w:rPr>
            </w:pPr>
            <w:r>
              <w:rPr>
                <w:rFonts w:cstheme="minorHAnsi"/>
                <w:sz w:val="18"/>
                <w:szCs w:val="18"/>
              </w:rPr>
              <w:t>水污染控制和水环境影响减缓措施有效性评价</w:t>
            </w:r>
          </w:p>
        </w:tc>
        <w:tc>
          <w:tcPr>
            <w:tcW w:w="3893" w:type="pct"/>
            <w:gridSpan w:val="10"/>
            <w:vAlign w:val="center"/>
          </w:tcPr>
          <w:p w14:paraId="4B8D0FAE" w14:textId="77777777" w:rsidR="007D1E74" w:rsidRDefault="00A95641">
            <w:pPr>
              <w:rPr>
                <w:rFonts w:cstheme="minorHAnsi"/>
                <w:sz w:val="18"/>
                <w:szCs w:val="18"/>
              </w:rPr>
            </w:pPr>
            <w:r>
              <w:rPr>
                <w:rFonts w:cstheme="minorHAnsi"/>
                <w:sz w:val="18"/>
                <w:szCs w:val="18"/>
              </w:rPr>
              <w:t>区（流）域水环境质量改善目标</w:t>
            </w:r>
            <w:r>
              <w:rPr>
                <w:rFonts w:cstheme="minorHAnsi"/>
                <w:sz w:val="18"/>
                <w:szCs w:val="18"/>
              </w:rPr>
              <w:t>□</w:t>
            </w:r>
            <w:r>
              <w:rPr>
                <w:rFonts w:cstheme="minorHAnsi"/>
                <w:sz w:val="18"/>
                <w:szCs w:val="18"/>
              </w:rPr>
              <w:t>；替代削减源</w:t>
            </w:r>
            <w:r>
              <w:rPr>
                <w:rFonts w:cstheme="minorHAnsi"/>
                <w:sz w:val="18"/>
                <w:szCs w:val="18"/>
              </w:rPr>
              <w:t>□</w:t>
            </w:r>
          </w:p>
        </w:tc>
      </w:tr>
      <w:tr w:rsidR="007D1E74" w14:paraId="015CF178" w14:textId="77777777">
        <w:trPr>
          <w:trHeight w:val="315"/>
          <w:jc w:val="center"/>
        </w:trPr>
        <w:tc>
          <w:tcPr>
            <w:tcW w:w="245" w:type="pct"/>
            <w:vMerge/>
            <w:shd w:val="clear" w:color="auto" w:fill="auto"/>
            <w:vAlign w:val="center"/>
          </w:tcPr>
          <w:p w14:paraId="6728F966" w14:textId="77777777" w:rsidR="007D1E74" w:rsidRDefault="007D1E74">
            <w:pPr>
              <w:jc w:val="center"/>
              <w:rPr>
                <w:rFonts w:cstheme="minorHAnsi"/>
                <w:sz w:val="18"/>
                <w:szCs w:val="18"/>
              </w:rPr>
            </w:pPr>
          </w:p>
        </w:tc>
        <w:tc>
          <w:tcPr>
            <w:tcW w:w="862" w:type="pct"/>
            <w:shd w:val="clear" w:color="auto" w:fill="auto"/>
            <w:vAlign w:val="center"/>
          </w:tcPr>
          <w:p w14:paraId="29F4B8DD" w14:textId="77777777" w:rsidR="007D1E74" w:rsidRDefault="00A95641">
            <w:pPr>
              <w:jc w:val="center"/>
              <w:rPr>
                <w:rFonts w:cstheme="minorHAnsi"/>
                <w:sz w:val="18"/>
                <w:szCs w:val="18"/>
              </w:rPr>
            </w:pPr>
            <w:r>
              <w:rPr>
                <w:rFonts w:cstheme="minorHAnsi"/>
                <w:sz w:val="18"/>
                <w:szCs w:val="18"/>
              </w:rPr>
              <w:t>水环境影响评价</w:t>
            </w:r>
          </w:p>
        </w:tc>
        <w:tc>
          <w:tcPr>
            <w:tcW w:w="3893" w:type="pct"/>
            <w:gridSpan w:val="10"/>
            <w:vAlign w:val="center"/>
          </w:tcPr>
          <w:p w14:paraId="2C64C4F6" w14:textId="77777777" w:rsidR="007D1E74" w:rsidRDefault="00A95641">
            <w:pPr>
              <w:rPr>
                <w:rFonts w:cstheme="minorHAnsi"/>
                <w:sz w:val="18"/>
                <w:szCs w:val="18"/>
              </w:rPr>
            </w:pPr>
            <w:r>
              <w:rPr>
                <w:rFonts w:cstheme="minorHAnsi"/>
                <w:sz w:val="18"/>
                <w:szCs w:val="18"/>
              </w:rPr>
              <w:t>排放口混合区外满足水环境管理要求</w:t>
            </w:r>
            <w:r>
              <w:rPr>
                <w:rFonts w:cstheme="minorHAnsi"/>
                <w:sz w:val="18"/>
                <w:szCs w:val="18"/>
              </w:rPr>
              <w:t>□</w:t>
            </w:r>
          </w:p>
          <w:p w14:paraId="30E4E091" w14:textId="77777777" w:rsidR="007D1E74" w:rsidRDefault="00A95641">
            <w:pPr>
              <w:rPr>
                <w:rFonts w:cstheme="minorHAnsi"/>
                <w:sz w:val="18"/>
                <w:szCs w:val="18"/>
              </w:rPr>
            </w:pPr>
            <w:r>
              <w:rPr>
                <w:rFonts w:cstheme="minorHAnsi"/>
                <w:sz w:val="18"/>
                <w:szCs w:val="18"/>
              </w:rPr>
              <w:t>水环境功能区或水功能区、近岸海域环境功能区水质达标</w:t>
            </w:r>
            <w:r>
              <w:rPr>
                <w:rFonts w:cstheme="minorHAnsi"/>
                <w:sz w:val="18"/>
                <w:szCs w:val="18"/>
              </w:rPr>
              <w:t>□</w:t>
            </w:r>
          </w:p>
          <w:p w14:paraId="5787F44A" w14:textId="77777777" w:rsidR="007D1E74" w:rsidRDefault="00A95641">
            <w:pPr>
              <w:rPr>
                <w:rFonts w:cstheme="minorHAnsi"/>
                <w:sz w:val="18"/>
                <w:szCs w:val="18"/>
              </w:rPr>
            </w:pPr>
            <w:r>
              <w:rPr>
                <w:rFonts w:cstheme="minorHAnsi"/>
                <w:sz w:val="18"/>
                <w:szCs w:val="18"/>
              </w:rPr>
              <w:t>满足水环境保护目标水域水环境质量要求</w:t>
            </w:r>
            <w:r>
              <w:rPr>
                <w:rFonts w:cstheme="minorHAnsi"/>
                <w:sz w:val="18"/>
                <w:szCs w:val="18"/>
              </w:rPr>
              <w:t>□</w:t>
            </w:r>
          </w:p>
          <w:p w14:paraId="15B39E04" w14:textId="77777777" w:rsidR="007D1E74" w:rsidRDefault="00A95641">
            <w:pPr>
              <w:rPr>
                <w:rFonts w:cstheme="minorHAnsi"/>
                <w:sz w:val="18"/>
                <w:szCs w:val="18"/>
              </w:rPr>
            </w:pPr>
            <w:r>
              <w:rPr>
                <w:rFonts w:cstheme="minorHAnsi"/>
                <w:sz w:val="18"/>
                <w:szCs w:val="18"/>
              </w:rPr>
              <w:t>水环境控制单元或断面水质达标</w:t>
            </w:r>
            <w:r>
              <w:rPr>
                <w:rFonts w:cstheme="minorHAnsi"/>
                <w:sz w:val="18"/>
                <w:szCs w:val="18"/>
              </w:rPr>
              <w:t>□</w:t>
            </w:r>
          </w:p>
          <w:p w14:paraId="26C1BED8" w14:textId="77777777" w:rsidR="007D1E74" w:rsidRDefault="00A95641">
            <w:pPr>
              <w:rPr>
                <w:rFonts w:cstheme="minorHAnsi"/>
                <w:sz w:val="18"/>
                <w:szCs w:val="18"/>
              </w:rPr>
            </w:pPr>
            <w:r>
              <w:rPr>
                <w:rFonts w:cstheme="minorHAnsi"/>
                <w:sz w:val="18"/>
                <w:szCs w:val="18"/>
              </w:rPr>
              <w:t>满足重点水污染物排放总量控制指标要求，重点行业建设项目，</w:t>
            </w:r>
            <w:r>
              <w:rPr>
                <w:rFonts w:cstheme="minorHAnsi"/>
                <w:sz w:val="18"/>
                <w:szCs w:val="18"/>
              </w:rPr>
              <w:t xml:space="preserve"> </w:t>
            </w:r>
            <w:r>
              <w:rPr>
                <w:rFonts w:cstheme="minorHAnsi"/>
                <w:sz w:val="18"/>
                <w:szCs w:val="18"/>
              </w:rPr>
              <w:t>主要污染物排放满足等量或减量替代要求</w:t>
            </w:r>
            <w:r>
              <w:rPr>
                <w:rFonts w:cstheme="minorHAnsi"/>
                <w:sz w:val="18"/>
                <w:szCs w:val="18"/>
              </w:rPr>
              <w:t>□</w:t>
            </w:r>
          </w:p>
          <w:p w14:paraId="71C33191" w14:textId="77777777" w:rsidR="007D1E74" w:rsidRDefault="00A95641">
            <w:pPr>
              <w:rPr>
                <w:rFonts w:cstheme="minorHAnsi"/>
                <w:sz w:val="18"/>
                <w:szCs w:val="18"/>
              </w:rPr>
            </w:pPr>
            <w:r>
              <w:rPr>
                <w:rFonts w:cstheme="minorHAnsi"/>
                <w:sz w:val="18"/>
                <w:szCs w:val="18"/>
              </w:rPr>
              <w:t>满足区（流）域水环境质量改善目标要求</w:t>
            </w:r>
            <w:r>
              <w:rPr>
                <w:rFonts w:cstheme="minorHAnsi"/>
                <w:sz w:val="18"/>
                <w:szCs w:val="18"/>
              </w:rPr>
              <w:t>□</w:t>
            </w:r>
          </w:p>
          <w:p w14:paraId="6851845B" w14:textId="77777777" w:rsidR="007D1E74" w:rsidRDefault="00A95641">
            <w:pPr>
              <w:rPr>
                <w:rFonts w:cstheme="minorHAnsi"/>
                <w:sz w:val="18"/>
                <w:szCs w:val="18"/>
              </w:rPr>
            </w:pPr>
            <w:r>
              <w:rPr>
                <w:rFonts w:cstheme="minorHAnsi"/>
                <w:sz w:val="18"/>
                <w:szCs w:val="18"/>
              </w:rPr>
              <w:t>水文要素影响型建设项目同时应包括水文情势变化评价、主要水文特征值影响评价、生态流量符合性评价</w:t>
            </w:r>
            <w:r>
              <w:rPr>
                <w:rFonts w:cstheme="minorHAnsi"/>
                <w:sz w:val="18"/>
                <w:szCs w:val="18"/>
              </w:rPr>
              <w:t>□</w:t>
            </w:r>
          </w:p>
          <w:p w14:paraId="1A4F7A7E" w14:textId="77777777" w:rsidR="007D1E74" w:rsidRDefault="00A95641">
            <w:pPr>
              <w:rPr>
                <w:rFonts w:cstheme="minorHAnsi"/>
                <w:sz w:val="18"/>
                <w:szCs w:val="18"/>
              </w:rPr>
            </w:pPr>
            <w:r>
              <w:rPr>
                <w:rFonts w:cstheme="minorHAnsi"/>
                <w:sz w:val="18"/>
                <w:szCs w:val="18"/>
              </w:rPr>
              <w:t>对于新设或调整入河（湖库、近岸海域）排放口的建设项目，应包括排放口设置的环境合理性评价</w:t>
            </w:r>
            <w:r>
              <w:rPr>
                <w:rFonts w:cstheme="minorHAnsi"/>
                <w:sz w:val="18"/>
                <w:szCs w:val="18"/>
              </w:rPr>
              <w:t>□</w:t>
            </w:r>
          </w:p>
          <w:p w14:paraId="761AE8AB" w14:textId="77777777" w:rsidR="007D1E74" w:rsidRDefault="00A95641">
            <w:pPr>
              <w:rPr>
                <w:rFonts w:cstheme="minorHAnsi"/>
                <w:sz w:val="18"/>
                <w:szCs w:val="18"/>
              </w:rPr>
            </w:pPr>
            <w:r>
              <w:rPr>
                <w:rFonts w:cstheme="minorHAnsi"/>
                <w:sz w:val="18"/>
                <w:szCs w:val="18"/>
              </w:rPr>
              <w:t>满足生态保护红线、水环境质量底线、资源利用上线和环境准入清单管理要求</w:t>
            </w:r>
            <w:r>
              <w:rPr>
                <w:rFonts w:cstheme="minorHAnsi"/>
                <w:sz w:val="18"/>
                <w:szCs w:val="18"/>
              </w:rPr>
              <w:t>□</w:t>
            </w:r>
          </w:p>
        </w:tc>
      </w:tr>
      <w:tr w:rsidR="007D1E74" w14:paraId="0E20656D" w14:textId="77777777">
        <w:trPr>
          <w:trHeight w:val="315"/>
          <w:jc w:val="center"/>
        </w:trPr>
        <w:tc>
          <w:tcPr>
            <w:tcW w:w="245" w:type="pct"/>
            <w:vMerge/>
            <w:shd w:val="clear" w:color="auto" w:fill="auto"/>
            <w:vAlign w:val="center"/>
          </w:tcPr>
          <w:p w14:paraId="65A83A1F" w14:textId="77777777" w:rsidR="007D1E74" w:rsidRDefault="007D1E74">
            <w:pPr>
              <w:jc w:val="center"/>
              <w:rPr>
                <w:rFonts w:cstheme="minorHAnsi"/>
                <w:sz w:val="18"/>
                <w:szCs w:val="18"/>
              </w:rPr>
            </w:pPr>
          </w:p>
        </w:tc>
        <w:tc>
          <w:tcPr>
            <w:tcW w:w="862" w:type="pct"/>
            <w:vMerge w:val="restart"/>
            <w:shd w:val="clear" w:color="auto" w:fill="auto"/>
            <w:vAlign w:val="center"/>
          </w:tcPr>
          <w:p w14:paraId="01CA9394" w14:textId="77777777" w:rsidR="007D1E74" w:rsidRDefault="00A95641">
            <w:pPr>
              <w:jc w:val="center"/>
              <w:rPr>
                <w:rFonts w:cstheme="minorHAnsi"/>
                <w:sz w:val="18"/>
                <w:szCs w:val="18"/>
              </w:rPr>
            </w:pPr>
            <w:r>
              <w:rPr>
                <w:rFonts w:cstheme="minorHAnsi"/>
                <w:sz w:val="18"/>
                <w:szCs w:val="18"/>
              </w:rPr>
              <w:t>污染源排放量核算</w:t>
            </w:r>
          </w:p>
        </w:tc>
        <w:tc>
          <w:tcPr>
            <w:tcW w:w="1298" w:type="pct"/>
            <w:gridSpan w:val="3"/>
            <w:vAlign w:val="center"/>
          </w:tcPr>
          <w:p w14:paraId="538C4B50" w14:textId="77777777" w:rsidR="007D1E74" w:rsidRDefault="00A95641">
            <w:pPr>
              <w:jc w:val="center"/>
              <w:rPr>
                <w:rFonts w:cstheme="minorHAnsi"/>
                <w:sz w:val="18"/>
                <w:szCs w:val="18"/>
              </w:rPr>
            </w:pPr>
            <w:r>
              <w:rPr>
                <w:rFonts w:cstheme="minorHAnsi"/>
                <w:sz w:val="18"/>
                <w:szCs w:val="18"/>
              </w:rPr>
              <w:t>污染物名称</w:t>
            </w:r>
          </w:p>
        </w:tc>
        <w:tc>
          <w:tcPr>
            <w:tcW w:w="1298" w:type="pct"/>
            <w:gridSpan w:val="4"/>
            <w:vAlign w:val="center"/>
          </w:tcPr>
          <w:p w14:paraId="48321EE5" w14:textId="77777777" w:rsidR="007D1E74" w:rsidRDefault="00A95641">
            <w:pPr>
              <w:jc w:val="center"/>
              <w:rPr>
                <w:rFonts w:cstheme="minorHAnsi"/>
                <w:sz w:val="18"/>
                <w:szCs w:val="18"/>
              </w:rPr>
            </w:pPr>
            <w:r>
              <w:rPr>
                <w:rFonts w:cstheme="minorHAnsi"/>
                <w:sz w:val="18"/>
                <w:szCs w:val="18"/>
              </w:rPr>
              <w:t>排放量</w:t>
            </w:r>
            <w:r>
              <w:rPr>
                <w:rFonts w:cstheme="minorHAnsi"/>
                <w:sz w:val="18"/>
                <w:szCs w:val="18"/>
              </w:rPr>
              <w:t>(t/a)</w:t>
            </w:r>
          </w:p>
        </w:tc>
        <w:tc>
          <w:tcPr>
            <w:tcW w:w="1297" w:type="pct"/>
            <w:gridSpan w:val="3"/>
            <w:vAlign w:val="center"/>
          </w:tcPr>
          <w:p w14:paraId="45D81813" w14:textId="77777777" w:rsidR="007D1E74" w:rsidRDefault="00A95641">
            <w:pPr>
              <w:jc w:val="center"/>
              <w:rPr>
                <w:rFonts w:cstheme="minorHAnsi"/>
                <w:sz w:val="18"/>
                <w:szCs w:val="18"/>
              </w:rPr>
            </w:pPr>
            <w:r>
              <w:rPr>
                <w:rFonts w:cstheme="minorHAnsi"/>
                <w:sz w:val="18"/>
                <w:szCs w:val="18"/>
              </w:rPr>
              <w:t>排放浓度</w:t>
            </w:r>
            <w:r>
              <w:rPr>
                <w:rFonts w:cstheme="minorHAnsi"/>
                <w:sz w:val="18"/>
                <w:szCs w:val="18"/>
              </w:rPr>
              <w:t>(mg/m</w:t>
            </w:r>
            <w:r>
              <w:rPr>
                <w:rFonts w:cstheme="minorHAnsi"/>
                <w:sz w:val="18"/>
                <w:szCs w:val="18"/>
                <w:vertAlign w:val="superscript"/>
              </w:rPr>
              <w:t>3</w:t>
            </w:r>
            <w:r>
              <w:rPr>
                <w:rFonts w:cstheme="minorHAnsi"/>
                <w:sz w:val="18"/>
                <w:szCs w:val="18"/>
              </w:rPr>
              <w:t>)</w:t>
            </w:r>
          </w:p>
        </w:tc>
      </w:tr>
      <w:tr w:rsidR="007D1E74" w14:paraId="1DAC89D6" w14:textId="77777777">
        <w:trPr>
          <w:trHeight w:val="315"/>
          <w:jc w:val="center"/>
        </w:trPr>
        <w:tc>
          <w:tcPr>
            <w:tcW w:w="245" w:type="pct"/>
            <w:vMerge/>
            <w:shd w:val="clear" w:color="auto" w:fill="auto"/>
            <w:vAlign w:val="center"/>
          </w:tcPr>
          <w:p w14:paraId="0BDFB5E2" w14:textId="77777777" w:rsidR="007D1E74" w:rsidRDefault="007D1E74">
            <w:pPr>
              <w:jc w:val="center"/>
              <w:rPr>
                <w:rFonts w:cstheme="minorHAnsi"/>
                <w:sz w:val="18"/>
                <w:szCs w:val="18"/>
              </w:rPr>
            </w:pPr>
          </w:p>
        </w:tc>
        <w:tc>
          <w:tcPr>
            <w:tcW w:w="862" w:type="pct"/>
            <w:vMerge/>
            <w:shd w:val="clear" w:color="auto" w:fill="auto"/>
            <w:vAlign w:val="center"/>
          </w:tcPr>
          <w:p w14:paraId="205143D2" w14:textId="77777777" w:rsidR="007D1E74" w:rsidRDefault="007D1E74">
            <w:pPr>
              <w:jc w:val="center"/>
              <w:rPr>
                <w:rFonts w:cstheme="minorHAnsi"/>
                <w:sz w:val="18"/>
                <w:szCs w:val="18"/>
              </w:rPr>
            </w:pPr>
          </w:p>
        </w:tc>
        <w:tc>
          <w:tcPr>
            <w:tcW w:w="1298" w:type="pct"/>
            <w:gridSpan w:val="3"/>
            <w:vAlign w:val="center"/>
          </w:tcPr>
          <w:p w14:paraId="68A382EA" w14:textId="77777777" w:rsidR="007D1E74" w:rsidRDefault="00A95641">
            <w:pPr>
              <w:jc w:val="center"/>
              <w:rPr>
                <w:rFonts w:cstheme="minorHAnsi"/>
                <w:sz w:val="18"/>
                <w:szCs w:val="18"/>
              </w:rPr>
            </w:pPr>
            <w:r>
              <w:rPr>
                <w:rFonts w:cstheme="minorHAnsi" w:hint="eastAsia"/>
                <w:sz w:val="18"/>
                <w:szCs w:val="18"/>
              </w:rPr>
              <w:t>/</w:t>
            </w:r>
          </w:p>
        </w:tc>
        <w:tc>
          <w:tcPr>
            <w:tcW w:w="1298" w:type="pct"/>
            <w:gridSpan w:val="4"/>
            <w:vAlign w:val="center"/>
          </w:tcPr>
          <w:p w14:paraId="63E22A9D" w14:textId="77777777" w:rsidR="007D1E74" w:rsidRDefault="00A95641">
            <w:pPr>
              <w:jc w:val="center"/>
              <w:rPr>
                <w:rFonts w:cstheme="minorHAnsi"/>
                <w:sz w:val="18"/>
                <w:szCs w:val="18"/>
              </w:rPr>
            </w:pPr>
            <w:r>
              <w:rPr>
                <w:rFonts w:cstheme="minorHAnsi" w:hint="eastAsia"/>
                <w:sz w:val="18"/>
                <w:szCs w:val="18"/>
              </w:rPr>
              <w:t>/</w:t>
            </w:r>
          </w:p>
        </w:tc>
        <w:tc>
          <w:tcPr>
            <w:tcW w:w="1297" w:type="pct"/>
            <w:gridSpan w:val="3"/>
            <w:vAlign w:val="center"/>
          </w:tcPr>
          <w:p w14:paraId="7689C08B" w14:textId="77777777" w:rsidR="007D1E74" w:rsidRDefault="00A95641">
            <w:pPr>
              <w:jc w:val="center"/>
              <w:rPr>
                <w:rFonts w:cstheme="minorHAnsi"/>
                <w:sz w:val="18"/>
                <w:szCs w:val="18"/>
              </w:rPr>
            </w:pPr>
            <w:r>
              <w:rPr>
                <w:rFonts w:cstheme="minorHAnsi" w:hint="eastAsia"/>
                <w:sz w:val="18"/>
                <w:szCs w:val="18"/>
              </w:rPr>
              <w:t>/</w:t>
            </w:r>
          </w:p>
        </w:tc>
      </w:tr>
      <w:tr w:rsidR="007D1E74" w14:paraId="6E9407F8" w14:textId="77777777">
        <w:trPr>
          <w:trHeight w:val="315"/>
          <w:jc w:val="center"/>
        </w:trPr>
        <w:tc>
          <w:tcPr>
            <w:tcW w:w="245" w:type="pct"/>
            <w:vMerge/>
            <w:shd w:val="clear" w:color="auto" w:fill="auto"/>
            <w:vAlign w:val="center"/>
          </w:tcPr>
          <w:p w14:paraId="7F309B99" w14:textId="77777777" w:rsidR="007D1E74" w:rsidRDefault="007D1E74">
            <w:pPr>
              <w:jc w:val="center"/>
              <w:rPr>
                <w:rFonts w:cstheme="minorHAnsi"/>
                <w:sz w:val="18"/>
                <w:szCs w:val="18"/>
              </w:rPr>
            </w:pPr>
          </w:p>
        </w:tc>
        <w:tc>
          <w:tcPr>
            <w:tcW w:w="862" w:type="pct"/>
            <w:vMerge w:val="restart"/>
            <w:shd w:val="clear" w:color="auto" w:fill="auto"/>
            <w:vAlign w:val="center"/>
          </w:tcPr>
          <w:p w14:paraId="06CE3A04" w14:textId="77777777" w:rsidR="007D1E74" w:rsidRDefault="00A95641">
            <w:pPr>
              <w:jc w:val="center"/>
              <w:rPr>
                <w:rFonts w:cstheme="minorHAnsi"/>
                <w:sz w:val="18"/>
                <w:szCs w:val="18"/>
              </w:rPr>
            </w:pPr>
            <w:r>
              <w:rPr>
                <w:rFonts w:cstheme="minorHAnsi"/>
                <w:sz w:val="18"/>
                <w:szCs w:val="18"/>
              </w:rPr>
              <w:t>替代源排放情况</w:t>
            </w:r>
          </w:p>
        </w:tc>
        <w:tc>
          <w:tcPr>
            <w:tcW w:w="779" w:type="pct"/>
            <w:vAlign w:val="center"/>
          </w:tcPr>
          <w:p w14:paraId="309461A1" w14:textId="77777777" w:rsidR="007D1E74" w:rsidRDefault="00A95641">
            <w:pPr>
              <w:jc w:val="center"/>
              <w:rPr>
                <w:rFonts w:cstheme="minorHAnsi"/>
                <w:sz w:val="18"/>
                <w:szCs w:val="18"/>
              </w:rPr>
            </w:pPr>
            <w:r>
              <w:rPr>
                <w:rFonts w:cstheme="minorHAnsi"/>
                <w:sz w:val="18"/>
                <w:szCs w:val="18"/>
              </w:rPr>
              <w:t>污染源名称</w:t>
            </w:r>
          </w:p>
        </w:tc>
        <w:tc>
          <w:tcPr>
            <w:tcW w:w="861" w:type="pct"/>
            <w:gridSpan w:val="3"/>
            <w:vAlign w:val="center"/>
          </w:tcPr>
          <w:p w14:paraId="47721D7A" w14:textId="77777777" w:rsidR="007D1E74" w:rsidRDefault="00A95641">
            <w:pPr>
              <w:jc w:val="center"/>
              <w:rPr>
                <w:rFonts w:cstheme="minorHAnsi"/>
                <w:sz w:val="18"/>
                <w:szCs w:val="18"/>
              </w:rPr>
            </w:pPr>
            <w:r>
              <w:rPr>
                <w:rFonts w:cstheme="minorHAnsi"/>
                <w:sz w:val="18"/>
                <w:szCs w:val="18"/>
              </w:rPr>
              <w:t>排污许可证编号</w:t>
            </w:r>
          </w:p>
        </w:tc>
        <w:tc>
          <w:tcPr>
            <w:tcW w:w="697" w:type="pct"/>
            <w:gridSpan w:val="2"/>
            <w:vAlign w:val="center"/>
          </w:tcPr>
          <w:p w14:paraId="7FE1AFCD" w14:textId="77777777" w:rsidR="007D1E74" w:rsidRDefault="00A95641">
            <w:pPr>
              <w:jc w:val="center"/>
              <w:rPr>
                <w:rFonts w:cstheme="minorHAnsi"/>
                <w:sz w:val="18"/>
                <w:szCs w:val="18"/>
              </w:rPr>
            </w:pPr>
            <w:r>
              <w:rPr>
                <w:rFonts w:cstheme="minorHAnsi"/>
                <w:sz w:val="18"/>
                <w:szCs w:val="18"/>
              </w:rPr>
              <w:t>污染物名称</w:t>
            </w:r>
          </w:p>
        </w:tc>
        <w:tc>
          <w:tcPr>
            <w:tcW w:w="709" w:type="pct"/>
            <w:gridSpan w:val="3"/>
            <w:vAlign w:val="center"/>
          </w:tcPr>
          <w:p w14:paraId="10224D8D" w14:textId="77777777" w:rsidR="007D1E74" w:rsidRDefault="00A95641">
            <w:pPr>
              <w:jc w:val="center"/>
              <w:rPr>
                <w:rFonts w:cstheme="minorHAnsi"/>
                <w:sz w:val="18"/>
                <w:szCs w:val="18"/>
              </w:rPr>
            </w:pPr>
            <w:r>
              <w:rPr>
                <w:rFonts w:cstheme="minorHAnsi"/>
                <w:sz w:val="18"/>
                <w:szCs w:val="18"/>
              </w:rPr>
              <w:t>排放量</w:t>
            </w:r>
            <w:r>
              <w:rPr>
                <w:rFonts w:cstheme="minorHAnsi"/>
                <w:sz w:val="18"/>
                <w:szCs w:val="18"/>
              </w:rPr>
              <w:t>(t/a)</w:t>
            </w:r>
          </w:p>
        </w:tc>
        <w:tc>
          <w:tcPr>
            <w:tcW w:w="847" w:type="pct"/>
            <w:vAlign w:val="center"/>
          </w:tcPr>
          <w:p w14:paraId="0F05DA4A" w14:textId="77777777" w:rsidR="007D1E74" w:rsidRDefault="00A95641">
            <w:pPr>
              <w:jc w:val="center"/>
              <w:rPr>
                <w:rFonts w:cstheme="minorHAnsi"/>
                <w:sz w:val="18"/>
                <w:szCs w:val="18"/>
              </w:rPr>
            </w:pPr>
            <w:r>
              <w:rPr>
                <w:rFonts w:cstheme="minorHAnsi"/>
                <w:sz w:val="18"/>
                <w:szCs w:val="18"/>
              </w:rPr>
              <w:t>排放浓度</w:t>
            </w:r>
            <w:r>
              <w:rPr>
                <w:rFonts w:cstheme="minorHAnsi"/>
                <w:sz w:val="18"/>
                <w:szCs w:val="18"/>
              </w:rPr>
              <w:t>(mg/m</w:t>
            </w:r>
            <w:r>
              <w:rPr>
                <w:rFonts w:cstheme="minorHAnsi"/>
                <w:sz w:val="18"/>
                <w:szCs w:val="18"/>
                <w:vertAlign w:val="superscript"/>
              </w:rPr>
              <w:t>3</w:t>
            </w:r>
            <w:r>
              <w:rPr>
                <w:rFonts w:cstheme="minorHAnsi"/>
                <w:sz w:val="18"/>
                <w:szCs w:val="18"/>
              </w:rPr>
              <w:t>)</w:t>
            </w:r>
          </w:p>
        </w:tc>
      </w:tr>
      <w:tr w:rsidR="007D1E74" w14:paraId="74A64D4D" w14:textId="77777777">
        <w:trPr>
          <w:trHeight w:val="315"/>
          <w:jc w:val="center"/>
        </w:trPr>
        <w:tc>
          <w:tcPr>
            <w:tcW w:w="245" w:type="pct"/>
            <w:vMerge/>
            <w:shd w:val="clear" w:color="auto" w:fill="auto"/>
            <w:vAlign w:val="center"/>
          </w:tcPr>
          <w:p w14:paraId="4002B30C" w14:textId="77777777" w:rsidR="007D1E74" w:rsidRDefault="007D1E74">
            <w:pPr>
              <w:jc w:val="center"/>
              <w:rPr>
                <w:rFonts w:cstheme="minorHAnsi"/>
                <w:sz w:val="18"/>
                <w:szCs w:val="18"/>
              </w:rPr>
            </w:pPr>
          </w:p>
        </w:tc>
        <w:tc>
          <w:tcPr>
            <w:tcW w:w="862" w:type="pct"/>
            <w:vMerge/>
            <w:shd w:val="clear" w:color="auto" w:fill="auto"/>
            <w:vAlign w:val="center"/>
          </w:tcPr>
          <w:p w14:paraId="429BBA3C" w14:textId="77777777" w:rsidR="007D1E74" w:rsidRDefault="007D1E74">
            <w:pPr>
              <w:jc w:val="center"/>
              <w:rPr>
                <w:rFonts w:cstheme="minorHAnsi"/>
                <w:sz w:val="18"/>
                <w:szCs w:val="18"/>
              </w:rPr>
            </w:pPr>
          </w:p>
        </w:tc>
        <w:tc>
          <w:tcPr>
            <w:tcW w:w="779" w:type="pct"/>
            <w:vAlign w:val="center"/>
          </w:tcPr>
          <w:p w14:paraId="6B4478B2" w14:textId="77777777" w:rsidR="007D1E74" w:rsidRDefault="00A95641">
            <w:pPr>
              <w:jc w:val="center"/>
              <w:rPr>
                <w:rFonts w:cstheme="minorHAnsi"/>
                <w:sz w:val="18"/>
                <w:szCs w:val="18"/>
              </w:rPr>
            </w:pPr>
            <w:r>
              <w:rPr>
                <w:rFonts w:cstheme="minorHAnsi"/>
                <w:sz w:val="18"/>
                <w:szCs w:val="18"/>
              </w:rPr>
              <w:t>（</w:t>
            </w:r>
            <w:r>
              <w:rPr>
                <w:rFonts w:cstheme="minorHAnsi"/>
                <w:sz w:val="18"/>
                <w:szCs w:val="18"/>
              </w:rPr>
              <w:t xml:space="preserve">  </w:t>
            </w:r>
            <w:r>
              <w:rPr>
                <w:rFonts w:cstheme="minorHAnsi"/>
                <w:sz w:val="18"/>
                <w:szCs w:val="18"/>
              </w:rPr>
              <w:t>）</w:t>
            </w:r>
          </w:p>
        </w:tc>
        <w:tc>
          <w:tcPr>
            <w:tcW w:w="861" w:type="pct"/>
            <w:gridSpan w:val="3"/>
            <w:vAlign w:val="center"/>
          </w:tcPr>
          <w:p w14:paraId="3CD729E5" w14:textId="77777777" w:rsidR="007D1E74" w:rsidRDefault="00A95641">
            <w:pPr>
              <w:jc w:val="center"/>
              <w:rPr>
                <w:rFonts w:cstheme="minorHAnsi"/>
                <w:sz w:val="18"/>
                <w:szCs w:val="18"/>
              </w:rPr>
            </w:pPr>
            <w:r>
              <w:rPr>
                <w:rFonts w:cstheme="minorHAnsi"/>
                <w:sz w:val="18"/>
                <w:szCs w:val="18"/>
              </w:rPr>
              <w:t>（</w:t>
            </w:r>
            <w:r>
              <w:rPr>
                <w:rFonts w:cstheme="minorHAnsi"/>
                <w:sz w:val="18"/>
                <w:szCs w:val="18"/>
              </w:rPr>
              <w:t xml:space="preserve">  </w:t>
            </w:r>
            <w:r>
              <w:rPr>
                <w:rFonts w:cstheme="minorHAnsi"/>
                <w:sz w:val="18"/>
                <w:szCs w:val="18"/>
              </w:rPr>
              <w:t>）</w:t>
            </w:r>
          </w:p>
        </w:tc>
        <w:tc>
          <w:tcPr>
            <w:tcW w:w="697" w:type="pct"/>
            <w:gridSpan w:val="2"/>
            <w:vAlign w:val="center"/>
          </w:tcPr>
          <w:p w14:paraId="256EF8F4" w14:textId="77777777" w:rsidR="007D1E74" w:rsidRDefault="00A95641">
            <w:pPr>
              <w:jc w:val="center"/>
              <w:rPr>
                <w:rFonts w:cstheme="minorHAnsi"/>
                <w:sz w:val="18"/>
                <w:szCs w:val="18"/>
              </w:rPr>
            </w:pPr>
            <w:r>
              <w:rPr>
                <w:rFonts w:cstheme="minorHAnsi"/>
                <w:sz w:val="18"/>
                <w:szCs w:val="18"/>
              </w:rPr>
              <w:t>（</w:t>
            </w:r>
            <w:r>
              <w:rPr>
                <w:rFonts w:cstheme="minorHAnsi"/>
                <w:sz w:val="18"/>
                <w:szCs w:val="18"/>
              </w:rPr>
              <w:t xml:space="preserve">  </w:t>
            </w:r>
            <w:r>
              <w:rPr>
                <w:rFonts w:cstheme="minorHAnsi"/>
                <w:sz w:val="18"/>
                <w:szCs w:val="18"/>
              </w:rPr>
              <w:t>）</w:t>
            </w:r>
          </w:p>
        </w:tc>
        <w:tc>
          <w:tcPr>
            <w:tcW w:w="709" w:type="pct"/>
            <w:gridSpan w:val="3"/>
            <w:vAlign w:val="center"/>
          </w:tcPr>
          <w:p w14:paraId="2D517C69" w14:textId="77777777" w:rsidR="007D1E74" w:rsidRDefault="00A95641">
            <w:pPr>
              <w:jc w:val="center"/>
              <w:rPr>
                <w:rFonts w:cstheme="minorHAnsi"/>
                <w:sz w:val="18"/>
                <w:szCs w:val="18"/>
              </w:rPr>
            </w:pPr>
            <w:r>
              <w:rPr>
                <w:rFonts w:cstheme="minorHAnsi"/>
                <w:sz w:val="18"/>
                <w:szCs w:val="18"/>
              </w:rPr>
              <w:t>（</w:t>
            </w:r>
            <w:r>
              <w:rPr>
                <w:rFonts w:cstheme="minorHAnsi"/>
                <w:sz w:val="18"/>
                <w:szCs w:val="18"/>
              </w:rPr>
              <w:t xml:space="preserve">  </w:t>
            </w:r>
            <w:r>
              <w:rPr>
                <w:rFonts w:cstheme="minorHAnsi"/>
                <w:sz w:val="18"/>
                <w:szCs w:val="18"/>
              </w:rPr>
              <w:t>）</w:t>
            </w:r>
          </w:p>
        </w:tc>
        <w:tc>
          <w:tcPr>
            <w:tcW w:w="847" w:type="pct"/>
            <w:vAlign w:val="center"/>
          </w:tcPr>
          <w:p w14:paraId="2A1EA4D5" w14:textId="77777777" w:rsidR="007D1E74" w:rsidRDefault="00A95641">
            <w:pPr>
              <w:jc w:val="center"/>
              <w:rPr>
                <w:rFonts w:cstheme="minorHAnsi"/>
                <w:sz w:val="18"/>
                <w:szCs w:val="18"/>
              </w:rPr>
            </w:pPr>
            <w:r>
              <w:rPr>
                <w:rFonts w:cstheme="minorHAnsi"/>
                <w:sz w:val="18"/>
                <w:szCs w:val="18"/>
              </w:rPr>
              <w:t>（</w:t>
            </w:r>
            <w:r>
              <w:rPr>
                <w:rFonts w:cstheme="minorHAnsi"/>
                <w:sz w:val="18"/>
                <w:szCs w:val="18"/>
              </w:rPr>
              <w:t xml:space="preserve">  </w:t>
            </w:r>
            <w:r>
              <w:rPr>
                <w:rFonts w:cstheme="minorHAnsi"/>
                <w:sz w:val="18"/>
                <w:szCs w:val="18"/>
              </w:rPr>
              <w:t>）</w:t>
            </w:r>
          </w:p>
        </w:tc>
      </w:tr>
      <w:tr w:rsidR="007D1E74" w14:paraId="6CBA6FED" w14:textId="77777777">
        <w:trPr>
          <w:trHeight w:val="315"/>
          <w:jc w:val="center"/>
        </w:trPr>
        <w:tc>
          <w:tcPr>
            <w:tcW w:w="245" w:type="pct"/>
            <w:vMerge/>
            <w:shd w:val="clear" w:color="auto" w:fill="auto"/>
            <w:vAlign w:val="center"/>
          </w:tcPr>
          <w:p w14:paraId="2AF07F94" w14:textId="77777777" w:rsidR="007D1E74" w:rsidRDefault="007D1E74">
            <w:pPr>
              <w:jc w:val="center"/>
              <w:rPr>
                <w:rFonts w:cstheme="minorHAnsi"/>
                <w:sz w:val="18"/>
                <w:szCs w:val="18"/>
              </w:rPr>
            </w:pPr>
          </w:p>
        </w:tc>
        <w:tc>
          <w:tcPr>
            <w:tcW w:w="862" w:type="pct"/>
            <w:shd w:val="clear" w:color="auto" w:fill="auto"/>
            <w:vAlign w:val="center"/>
          </w:tcPr>
          <w:p w14:paraId="675B2D4D" w14:textId="77777777" w:rsidR="007D1E74" w:rsidRDefault="00A95641">
            <w:pPr>
              <w:jc w:val="center"/>
              <w:rPr>
                <w:rFonts w:cstheme="minorHAnsi"/>
                <w:sz w:val="18"/>
                <w:szCs w:val="18"/>
              </w:rPr>
            </w:pPr>
            <w:r>
              <w:rPr>
                <w:rFonts w:cstheme="minorHAnsi"/>
                <w:sz w:val="18"/>
                <w:szCs w:val="18"/>
              </w:rPr>
              <w:t>生态流量确定</w:t>
            </w:r>
          </w:p>
        </w:tc>
        <w:tc>
          <w:tcPr>
            <w:tcW w:w="3893" w:type="pct"/>
            <w:gridSpan w:val="10"/>
            <w:vAlign w:val="center"/>
          </w:tcPr>
          <w:p w14:paraId="2FE5C953" w14:textId="77777777" w:rsidR="007D1E74" w:rsidRDefault="00A95641">
            <w:pPr>
              <w:rPr>
                <w:rFonts w:cstheme="minorHAnsi"/>
                <w:sz w:val="18"/>
                <w:szCs w:val="18"/>
              </w:rPr>
            </w:pPr>
            <w:r>
              <w:rPr>
                <w:rFonts w:cstheme="minorHAnsi"/>
                <w:sz w:val="18"/>
                <w:szCs w:val="18"/>
              </w:rPr>
              <w:t>生态流量：一般水期（</w:t>
            </w:r>
            <w:r>
              <w:rPr>
                <w:rFonts w:cstheme="minorHAnsi"/>
                <w:sz w:val="18"/>
                <w:szCs w:val="18"/>
              </w:rPr>
              <w:t xml:space="preserve"> </w:t>
            </w:r>
            <w:r>
              <w:rPr>
                <w:rFonts w:cstheme="minorHAnsi"/>
                <w:sz w:val="18"/>
                <w:szCs w:val="18"/>
              </w:rPr>
              <w:t>）</w:t>
            </w:r>
            <w:r>
              <w:rPr>
                <w:rFonts w:cstheme="minorHAnsi"/>
                <w:sz w:val="18"/>
                <w:szCs w:val="18"/>
              </w:rPr>
              <w:t>m</w:t>
            </w:r>
            <w:r>
              <w:rPr>
                <w:rFonts w:cstheme="minorHAnsi"/>
                <w:sz w:val="18"/>
                <w:szCs w:val="18"/>
                <w:vertAlign w:val="superscript"/>
              </w:rPr>
              <w:t>3</w:t>
            </w:r>
            <w:r>
              <w:rPr>
                <w:rFonts w:cstheme="minorHAnsi"/>
                <w:sz w:val="18"/>
                <w:szCs w:val="18"/>
              </w:rPr>
              <w:t>/s</w:t>
            </w:r>
            <w:r>
              <w:rPr>
                <w:rFonts w:cstheme="minorHAnsi"/>
                <w:sz w:val="18"/>
                <w:szCs w:val="18"/>
              </w:rPr>
              <w:t>；鱼类繁殖期（</w:t>
            </w:r>
            <w:r>
              <w:rPr>
                <w:rFonts w:cstheme="minorHAnsi"/>
                <w:sz w:val="18"/>
                <w:szCs w:val="18"/>
              </w:rPr>
              <w:t xml:space="preserve"> </w:t>
            </w:r>
            <w:r>
              <w:rPr>
                <w:rFonts w:cstheme="minorHAnsi"/>
                <w:sz w:val="18"/>
                <w:szCs w:val="18"/>
              </w:rPr>
              <w:t>）</w:t>
            </w:r>
            <w:r>
              <w:rPr>
                <w:rFonts w:cstheme="minorHAnsi"/>
                <w:sz w:val="18"/>
                <w:szCs w:val="18"/>
              </w:rPr>
              <w:t>m</w:t>
            </w:r>
            <w:r>
              <w:rPr>
                <w:rFonts w:cstheme="minorHAnsi"/>
                <w:sz w:val="18"/>
                <w:szCs w:val="18"/>
                <w:vertAlign w:val="superscript"/>
              </w:rPr>
              <w:t>3</w:t>
            </w:r>
            <w:r>
              <w:rPr>
                <w:rFonts w:cstheme="minorHAnsi"/>
                <w:sz w:val="18"/>
                <w:szCs w:val="18"/>
              </w:rPr>
              <w:t>/s</w:t>
            </w:r>
            <w:r>
              <w:rPr>
                <w:rFonts w:cstheme="minorHAnsi"/>
                <w:sz w:val="18"/>
                <w:szCs w:val="18"/>
              </w:rPr>
              <w:t>；其他（</w:t>
            </w:r>
            <w:r>
              <w:rPr>
                <w:rFonts w:cstheme="minorHAnsi"/>
                <w:sz w:val="18"/>
                <w:szCs w:val="18"/>
              </w:rPr>
              <w:t xml:space="preserve"> </w:t>
            </w:r>
            <w:r>
              <w:rPr>
                <w:rFonts w:cstheme="minorHAnsi"/>
                <w:sz w:val="18"/>
                <w:szCs w:val="18"/>
              </w:rPr>
              <w:t>）</w:t>
            </w:r>
            <w:r>
              <w:rPr>
                <w:rFonts w:cstheme="minorHAnsi"/>
                <w:sz w:val="18"/>
                <w:szCs w:val="18"/>
              </w:rPr>
              <w:t>m</w:t>
            </w:r>
            <w:r>
              <w:rPr>
                <w:rFonts w:cstheme="minorHAnsi"/>
                <w:sz w:val="18"/>
                <w:szCs w:val="18"/>
                <w:vertAlign w:val="superscript"/>
              </w:rPr>
              <w:t>3</w:t>
            </w:r>
            <w:r>
              <w:rPr>
                <w:rFonts w:cstheme="minorHAnsi"/>
                <w:sz w:val="18"/>
                <w:szCs w:val="18"/>
              </w:rPr>
              <w:t>/s</w:t>
            </w:r>
          </w:p>
          <w:p w14:paraId="1D6953A4" w14:textId="77777777" w:rsidR="007D1E74" w:rsidRDefault="00A95641">
            <w:pPr>
              <w:rPr>
                <w:rFonts w:cstheme="minorHAnsi"/>
                <w:sz w:val="18"/>
                <w:szCs w:val="18"/>
              </w:rPr>
            </w:pPr>
            <w:r>
              <w:rPr>
                <w:rFonts w:cstheme="minorHAnsi"/>
                <w:sz w:val="18"/>
                <w:szCs w:val="18"/>
              </w:rPr>
              <w:t>生态水位：一般水期（</w:t>
            </w:r>
            <w:r>
              <w:rPr>
                <w:rFonts w:cstheme="minorHAnsi"/>
                <w:sz w:val="18"/>
                <w:szCs w:val="18"/>
              </w:rPr>
              <w:t xml:space="preserve"> </w:t>
            </w:r>
            <w:r>
              <w:rPr>
                <w:rFonts w:cstheme="minorHAnsi"/>
                <w:sz w:val="18"/>
                <w:szCs w:val="18"/>
              </w:rPr>
              <w:t>）</w:t>
            </w:r>
            <w:r>
              <w:rPr>
                <w:rFonts w:cstheme="minorHAnsi"/>
                <w:sz w:val="18"/>
                <w:szCs w:val="18"/>
              </w:rPr>
              <w:t>m</w:t>
            </w:r>
            <w:r>
              <w:rPr>
                <w:rFonts w:cstheme="minorHAnsi"/>
                <w:sz w:val="18"/>
                <w:szCs w:val="18"/>
              </w:rPr>
              <w:t>；鱼类繁殖期（</w:t>
            </w:r>
            <w:r>
              <w:rPr>
                <w:rFonts w:cstheme="minorHAnsi"/>
                <w:sz w:val="18"/>
                <w:szCs w:val="18"/>
              </w:rPr>
              <w:t xml:space="preserve"> </w:t>
            </w:r>
            <w:r>
              <w:rPr>
                <w:rFonts w:cstheme="minorHAnsi"/>
                <w:sz w:val="18"/>
                <w:szCs w:val="18"/>
              </w:rPr>
              <w:t>）</w:t>
            </w:r>
            <w:r>
              <w:rPr>
                <w:rFonts w:cstheme="minorHAnsi"/>
                <w:sz w:val="18"/>
                <w:szCs w:val="18"/>
              </w:rPr>
              <w:t>m</w:t>
            </w:r>
            <w:r>
              <w:rPr>
                <w:rFonts w:cstheme="minorHAnsi"/>
                <w:sz w:val="18"/>
                <w:szCs w:val="18"/>
              </w:rPr>
              <w:t>；其他（</w:t>
            </w:r>
            <w:r>
              <w:rPr>
                <w:rFonts w:cstheme="minorHAnsi"/>
                <w:sz w:val="18"/>
                <w:szCs w:val="18"/>
              </w:rPr>
              <w:t xml:space="preserve"> </w:t>
            </w:r>
            <w:r>
              <w:rPr>
                <w:rFonts w:cstheme="minorHAnsi"/>
                <w:sz w:val="18"/>
                <w:szCs w:val="18"/>
              </w:rPr>
              <w:t>）</w:t>
            </w:r>
            <w:r>
              <w:rPr>
                <w:rFonts w:cstheme="minorHAnsi"/>
                <w:sz w:val="18"/>
                <w:szCs w:val="18"/>
              </w:rPr>
              <w:t>m</w:t>
            </w:r>
          </w:p>
        </w:tc>
      </w:tr>
      <w:tr w:rsidR="007D1E74" w14:paraId="138B3C65" w14:textId="77777777">
        <w:trPr>
          <w:trHeight w:val="315"/>
          <w:jc w:val="center"/>
        </w:trPr>
        <w:tc>
          <w:tcPr>
            <w:tcW w:w="245" w:type="pct"/>
            <w:vMerge w:val="restart"/>
            <w:shd w:val="clear" w:color="auto" w:fill="auto"/>
            <w:vAlign w:val="center"/>
          </w:tcPr>
          <w:p w14:paraId="4764BD86" w14:textId="77777777" w:rsidR="007D1E74" w:rsidRDefault="00A95641">
            <w:pPr>
              <w:jc w:val="center"/>
              <w:rPr>
                <w:rFonts w:cstheme="minorHAnsi"/>
                <w:sz w:val="18"/>
                <w:szCs w:val="18"/>
              </w:rPr>
            </w:pPr>
            <w:r>
              <w:rPr>
                <w:rFonts w:cstheme="minorHAnsi"/>
                <w:sz w:val="18"/>
                <w:szCs w:val="18"/>
              </w:rPr>
              <w:t>防治措施</w:t>
            </w:r>
          </w:p>
        </w:tc>
        <w:tc>
          <w:tcPr>
            <w:tcW w:w="862" w:type="pct"/>
            <w:shd w:val="clear" w:color="auto" w:fill="auto"/>
            <w:vAlign w:val="center"/>
          </w:tcPr>
          <w:p w14:paraId="7EC7A334" w14:textId="77777777" w:rsidR="007D1E74" w:rsidRDefault="00A95641">
            <w:pPr>
              <w:jc w:val="center"/>
              <w:rPr>
                <w:rFonts w:cstheme="minorHAnsi"/>
                <w:sz w:val="18"/>
                <w:szCs w:val="18"/>
              </w:rPr>
            </w:pPr>
            <w:r>
              <w:rPr>
                <w:rFonts w:cstheme="minorHAnsi"/>
                <w:sz w:val="18"/>
                <w:szCs w:val="18"/>
              </w:rPr>
              <w:t>环保措施</w:t>
            </w:r>
          </w:p>
        </w:tc>
        <w:tc>
          <w:tcPr>
            <w:tcW w:w="3893" w:type="pct"/>
            <w:gridSpan w:val="10"/>
            <w:vAlign w:val="center"/>
          </w:tcPr>
          <w:p w14:paraId="4BCD06D0" w14:textId="77777777" w:rsidR="007D1E74" w:rsidRDefault="00A95641">
            <w:pPr>
              <w:rPr>
                <w:rFonts w:cstheme="minorHAnsi"/>
                <w:sz w:val="18"/>
                <w:szCs w:val="18"/>
              </w:rPr>
            </w:pPr>
            <w:r>
              <w:rPr>
                <w:rFonts w:cstheme="minorHAnsi"/>
                <w:sz w:val="18"/>
                <w:szCs w:val="18"/>
              </w:rPr>
              <w:t>污水处理设施</w:t>
            </w:r>
            <w:r>
              <w:rPr>
                <w:rFonts w:cstheme="minorHAnsi"/>
                <w:sz w:val="18"/>
                <w:szCs w:val="18"/>
              </w:rPr>
              <w:sym w:font="Wingdings 2" w:char="F052"/>
            </w:r>
            <w:r>
              <w:rPr>
                <w:rFonts w:cstheme="minorHAnsi"/>
                <w:sz w:val="18"/>
                <w:szCs w:val="18"/>
              </w:rPr>
              <w:t>；水文减缓设施</w:t>
            </w:r>
            <w:r>
              <w:rPr>
                <w:rFonts w:cstheme="minorHAnsi"/>
                <w:sz w:val="18"/>
                <w:szCs w:val="18"/>
              </w:rPr>
              <w:t>□</w:t>
            </w:r>
            <w:r>
              <w:rPr>
                <w:rFonts w:cstheme="minorHAnsi"/>
                <w:sz w:val="18"/>
                <w:szCs w:val="18"/>
              </w:rPr>
              <w:t>；生态流量保障设施</w:t>
            </w:r>
            <w:r>
              <w:rPr>
                <w:rFonts w:cstheme="minorHAnsi"/>
                <w:sz w:val="18"/>
                <w:szCs w:val="18"/>
              </w:rPr>
              <w:t>□</w:t>
            </w:r>
            <w:r>
              <w:rPr>
                <w:rFonts w:cstheme="minorHAnsi"/>
                <w:sz w:val="18"/>
                <w:szCs w:val="18"/>
              </w:rPr>
              <w:t>；区域削减</w:t>
            </w:r>
            <w:r>
              <w:rPr>
                <w:rFonts w:cstheme="minorHAnsi"/>
                <w:sz w:val="18"/>
                <w:szCs w:val="18"/>
              </w:rPr>
              <w:t>□</w:t>
            </w:r>
            <w:r>
              <w:rPr>
                <w:rFonts w:cstheme="minorHAnsi"/>
                <w:sz w:val="18"/>
                <w:szCs w:val="18"/>
              </w:rPr>
              <w:t>；依托其他工程措施</w:t>
            </w:r>
            <w:r>
              <w:rPr>
                <w:rFonts w:cstheme="minorHAnsi"/>
                <w:sz w:val="18"/>
                <w:szCs w:val="18"/>
              </w:rPr>
              <w:sym w:font="Wingdings 2" w:char="F052"/>
            </w:r>
            <w:r>
              <w:rPr>
                <w:rFonts w:cstheme="minorHAnsi"/>
                <w:sz w:val="18"/>
                <w:szCs w:val="18"/>
              </w:rPr>
              <w:t>；其他</w:t>
            </w:r>
            <w:r>
              <w:rPr>
                <w:rFonts w:cstheme="minorHAnsi"/>
                <w:sz w:val="18"/>
                <w:szCs w:val="18"/>
              </w:rPr>
              <w:t>□</w:t>
            </w:r>
          </w:p>
        </w:tc>
      </w:tr>
      <w:tr w:rsidR="007D1E74" w14:paraId="2A239C21" w14:textId="77777777">
        <w:trPr>
          <w:trHeight w:val="315"/>
          <w:jc w:val="center"/>
        </w:trPr>
        <w:tc>
          <w:tcPr>
            <w:tcW w:w="245" w:type="pct"/>
            <w:vMerge/>
            <w:shd w:val="clear" w:color="auto" w:fill="auto"/>
            <w:vAlign w:val="center"/>
          </w:tcPr>
          <w:p w14:paraId="5F98B892" w14:textId="77777777" w:rsidR="007D1E74" w:rsidRDefault="007D1E74">
            <w:pPr>
              <w:jc w:val="center"/>
              <w:rPr>
                <w:rFonts w:cstheme="minorHAnsi"/>
                <w:sz w:val="18"/>
                <w:szCs w:val="18"/>
              </w:rPr>
            </w:pPr>
          </w:p>
        </w:tc>
        <w:tc>
          <w:tcPr>
            <w:tcW w:w="862" w:type="pct"/>
            <w:vMerge w:val="restart"/>
            <w:shd w:val="clear" w:color="auto" w:fill="auto"/>
            <w:vAlign w:val="center"/>
          </w:tcPr>
          <w:p w14:paraId="00ED96A1" w14:textId="77777777" w:rsidR="007D1E74" w:rsidRDefault="00A95641">
            <w:pPr>
              <w:jc w:val="center"/>
              <w:rPr>
                <w:rFonts w:cstheme="minorHAnsi"/>
                <w:sz w:val="18"/>
                <w:szCs w:val="18"/>
              </w:rPr>
            </w:pPr>
            <w:r>
              <w:rPr>
                <w:rFonts w:cstheme="minorHAnsi"/>
                <w:sz w:val="18"/>
                <w:szCs w:val="18"/>
              </w:rPr>
              <w:t>监测计划</w:t>
            </w:r>
          </w:p>
        </w:tc>
        <w:tc>
          <w:tcPr>
            <w:tcW w:w="1298" w:type="pct"/>
            <w:gridSpan w:val="3"/>
            <w:vAlign w:val="center"/>
          </w:tcPr>
          <w:p w14:paraId="35B84CF2" w14:textId="77777777" w:rsidR="007D1E74" w:rsidRDefault="007D1E74">
            <w:pPr>
              <w:jc w:val="center"/>
              <w:rPr>
                <w:rFonts w:cstheme="minorHAnsi"/>
                <w:sz w:val="18"/>
                <w:szCs w:val="18"/>
              </w:rPr>
            </w:pPr>
          </w:p>
        </w:tc>
        <w:tc>
          <w:tcPr>
            <w:tcW w:w="1298" w:type="pct"/>
            <w:gridSpan w:val="4"/>
            <w:vAlign w:val="center"/>
          </w:tcPr>
          <w:p w14:paraId="7A6CAB11" w14:textId="77777777" w:rsidR="007D1E74" w:rsidRDefault="00A95641">
            <w:pPr>
              <w:jc w:val="center"/>
              <w:rPr>
                <w:rFonts w:cstheme="minorHAnsi"/>
                <w:sz w:val="18"/>
                <w:szCs w:val="18"/>
              </w:rPr>
            </w:pPr>
            <w:r>
              <w:rPr>
                <w:rFonts w:cstheme="minorHAnsi"/>
                <w:sz w:val="18"/>
                <w:szCs w:val="18"/>
              </w:rPr>
              <w:t>环境质量</w:t>
            </w:r>
          </w:p>
        </w:tc>
        <w:tc>
          <w:tcPr>
            <w:tcW w:w="1297" w:type="pct"/>
            <w:gridSpan w:val="3"/>
            <w:vAlign w:val="center"/>
          </w:tcPr>
          <w:p w14:paraId="35EB9799" w14:textId="77777777" w:rsidR="007D1E74" w:rsidRDefault="00A95641">
            <w:pPr>
              <w:jc w:val="center"/>
              <w:rPr>
                <w:rFonts w:cstheme="minorHAnsi"/>
                <w:sz w:val="18"/>
                <w:szCs w:val="18"/>
              </w:rPr>
            </w:pPr>
            <w:r>
              <w:rPr>
                <w:rFonts w:cstheme="minorHAnsi"/>
                <w:sz w:val="18"/>
                <w:szCs w:val="18"/>
              </w:rPr>
              <w:t>污染源</w:t>
            </w:r>
          </w:p>
        </w:tc>
      </w:tr>
      <w:tr w:rsidR="007D1E74" w14:paraId="4C9297D1" w14:textId="77777777">
        <w:trPr>
          <w:trHeight w:val="315"/>
          <w:jc w:val="center"/>
        </w:trPr>
        <w:tc>
          <w:tcPr>
            <w:tcW w:w="245" w:type="pct"/>
            <w:vMerge/>
            <w:shd w:val="clear" w:color="auto" w:fill="auto"/>
            <w:vAlign w:val="center"/>
          </w:tcPr>
          <w:p w14:paraId="332965C5" w14:textId="77777777" w:rsidR="007D1E74" w:rsidRDefault="007D1E74">
            <w:pPr>
              <w:jc w:val="center"/>
              <w:rPr>
                <w:rFonts w:cstheme="minorHAnsi"/>
                <w:sz w:val="18"/>
                <w:szCs w:val="18"/>
              </w:rPr>
            </w:pPr>
          </w:p>
        </w:tc>
        <w:tc>
          <w:tcPr>
            <w:tcW w:w="862" w:type="pct"/>
            <w:vMerge/>
            <w:shd w:val="clear" w:color="auto" w:fill="auto"/>
            <w:vAlign w:val="center"/>
          </w:tcPr>
          <w:p w14:paraId="563210DB" w14:textId="77777777" w:rsidR="007D1E74" w:rsidRDefault="007D1E74">
            <w:pPr>
              <w:jc w:val="center"/>
              <w:rPr>
                <w:rFonts w:cstheme="minorHAnsi"/>
                <w:sz w:val="18"/>
                <w:szCs w:val="18"/>
              </w:rPr>
            </w:pPr>
          </w:p>
        </w:tc>
        <w:tc>
          <w:tcPr>
            <w:tcW w:w="1298" w:type="pct"/>
            <w:gridSpan w:val="3"/>
            <w:vAlign w:val="center"/>
          </w:tcPr>
          <w:p w14:paraId="59BD76AD" w14:textId="77777777" w:rsidR="007D1E74" w:rsidRDefault="00A95641">
            <w:pPr>
              <w:jc w:val="center"/>
              <w:rPr>
                <w:rFonts w:cstheme="minorHAnsi"/>
                <w:sz w:val="18"/>
                <w:szCs w:val="18"/>
              </w:rPr>
            </w:pPr>
            <w:r>
              <w:rPr>
                <w:rFonts w:cstheme="minorHAnsi"/>
                <w:sz w:val="18"/>
                <w:szCs w:val="18"/>
              </w:rPr>
              <w:t>监测方式</w:t>
            </w:r>
          </w:p>
        </w:tc>
        <w:tc>
          <w:tcPr>
            <w:tcW w:w="1298" w:type="pct"/>
            <w:gridSpan w:val="4"/>
            <w:vAlign w:val="center"/>
          </w:tcPr>
          <w:p w14:paraId="547EB1E0" w14:textId="77777777" w:rsidR="007D1E74" w:rsidRDefault="00A95641">
            <w:pPr>
              <w:rPr>
                <w:rFonts w:cstheme="minorHAnsi"/>
                <w:sz w:val="18"/>
                <w:szCs w:val="18"/>
              </w:rPr>
            </w:pPr>
            <w:r>
              <w:rPr>
                <w:rFonts w:cstheme="minorHAnsi"/>
                <w:sz w:val="18"/>
                <w:szCs w:val="18"/>
              </w:rPr>
              <w:t>手动</w:t>
            </w:r>
            <w:r>
              <w:rPr>
                <w:rFonts w:cstheme="minorHAnsi"/>
                <w:sz w:val="18"/>
                <w:szCs w:val="18"/>
              </w:rPr>
              <w:t>□</w:t>
            </w:r>
            <w:r>
              <w:rPr>
                <w:rFonts w:cstheme="minorHAnsi"/>
                <w:sz w:val="18"/>
                <w:szCs w:val="18"/>
              </w:rPr>
              <w:t>；自动</w:t>
            </w:r>
            <w:r>
              <w:rPr>
                <w:rFonts w:cstheme="minorHAnsi"/>
                <w:sz w:val="18"/>
                <w:szCs w:val="18"/>
              </w:rPr>
              <w:t>□</w:t>
            </w:r>
            <w:r>
              <w:rPr>
                <w:rFonts w:cstheme="minorHAnsi"/>
                <w:sz w:val="18"/>
                <w:szCs w:val="18"/>
              </w:rPr>
              <w:t>；无监测</w:t>
            </w:r>
            <w:r>
              <w:rPr>
                <w:rFonts w:cstheme="minorHAnsi"/>
                <w:sz w:val="18"/>
                <w:szCs w:val="18"/>
              </w:rPr>
              <w:sym w:font="Wingdings 2" w:char="F052"/>
            </w:r>
          </w:p>
        </w:tc>
        <w:tc>
          <w:tcPr>
            <w:tcW w:w="1297" w:type="pct"/>
            <w:gridSpan w:val="3"/>
            <w:vAlign w:val="center"/>
          </w:tcPr>
          <w:p w14:paraId="1B7AAEDA" w14:textId="77777777" w:rsidR="007D1E74" w:rsidRDefault="00A95641">
            <w:pPr>
              <w:rPr>
                <w:rFonts w:cstheme="minorHAnsi"/>
                <w:sz w:val="18"/>
                <w:szCs w:val="18"/>
              </w:rPr>
            </w:pPr>
            <w:r>
              <w:rPr>
                <w:rFonts w:cstheme="minorHAnsi"/>
                <w:sz w:val="18"/>
                <w:szCs w:val="18"/>
              </w:rPr>
              <w:t>手动</w:t>
            </w:r>
            <w:r>
              <w:rPr>
                <w:rFonts w:cstheme="minorHAnsi"/>
                <w:sz w:val="18"/>
                <w:szCs w:val="18"/>
              </w:rPr>
              <w:t>□</w:t>
            </w:r>
            <w:r>
              <w:rPr>
                <w:rFonts w:cstheme="minorHAnsi"/>
                <w:sz w:val="18"/>
                <w:szCs w:val="18"/>
              </w:rPr>
              <w:t>；自动</w:t>
            </w:r>
            <w:r>
              <w:rPr>
                <w:rFonts w:cstheme="minorHAnsi"/>
                <w:sz w:val="18"/>
                <w:szCs w:val="18"/>
              </w:rPr>
              <w:t>□</w:t>
            </w:r>
            <w:r>
              <w:rPr>
                <w:rFonts w:cstheme="minorHAnsi"/>
                <w:sz w:val="18"/>
                <w:szCs w:val="18"/>
              </w:rPr>
              <w:t>；无监测</w:t>
            </w:r>
            <w:r>
              <w:rPr>
                <w:rFonts w:cstheme="minorHAnsi"/>
                <w:sz w:val="18"/>
                <w:szCs w:val="18"/>
              </w:rPr>
              <w:sym w:font="Wingdings 2" w:char="F052"/>
            </w:r>
          </w:p>
        </w:tc>
      </w:tr>
      <w:tr w:rsidR="007D1E74" w14:paraId="3DB5B367" w14:textId="77777777">
        <w:trPr>
          <w:trHeight w:val="315"/>
          <w:jc w:val="center"/>
        </w:trPr>
        <w:tc>
          <w:tcPr>
            <w:tcW w:w="245" w:type="pct"/>
            <w:vMerge/>
            <w:shd w:val="clear" w:color="auto" w:fill="auto"/>
            <w:vAlign w:val="center"/>
          </w:tcPr>
          <w:p w14:paraId="2ED716BA" w14:textId="77777777" w:rsidR="007D1E74" w:rsidRDefault="007D1E74">
            <w:pPr>
              <w:jc w:val="center"/>
              <w:rPr>
                <w:rFonts w:cstheme="minorHAnsi"/>
                <w:sz w:val="18"/>
                <w:szCs w:val="18"/>
              </w:rPr>
            </w:pPr>
          </w:p>
        </w:tc>
        <w:tc>
          <w:tcPr>
            <w:tcW w:w="862" w:type="pct"/>
            <w:vMerge/>
            <w:shd w:val="clear" w:color="auto" w:fill="auto"/>
            <w:vAlign w:val="center"/>
          </w:tcPr>
          <w:p w14:paraId="0C8FA355" w14:textId="77777777" w:rsidR="007D1E74" w:rsidRDefault="007D1E74">
            <w:pPr>
              <w:jc w:val="center"/>
              <w:rPr>
                <w:rFonts w:cstheme="minorHAnsi"/>
                <w:sz w:val="18"/>
                <w:szCs w:val="18"/>
              </w:rPr>
            </w:pPr>
          </w:p>
        </w:tc>
        <w:tc>
          <w:tcPr>
            <w:tcW w:w="1298" w:type="pct"/>
            <w:gridSpan w:val="3"/>
            <w:vAlign w:val="center"/>
          </w:tcPr>
          <w:p w14:paraId="7D79AB79" w14:textId="77777777" w:rsidR="007D1E74" w:rsidRDefault="00A95641">
            <w:pPr>
              <w:jc w:val="center"/>
              <w:rPr>
                <w:rFonts w:cstheme="minorHAnsi"/>
                <w:sz w:val="18"/>
                <w:szCs w:val="18"/>
              </w:rPr>
            </w:pPr>
            <w:r>
              <w:rPr>
                <w:rFonts w:cstheme="minorHAnsi"/>
                <w:sz w:val="18"/>
                <w:szCs w:val="18"/>
              </w:rPr>
              <w:t>监测点位</w:t>
            </w:r>
          </w:p>
        </w:tc>
        <w:tc>
          <w:tcPr>
            <w:tcW w:w="1298" w:type="pct"/>
            <w:gridSpan w:val="4"/>
            <w:vAlign w:val="center"/>
          </w:tcPr>
          <w:p w14:paraId="3FB4389E" w14:textId="77777777" w:rsidR="007D1E74" w:rsidRDefault="00A95641">
            <w:pPr>
              <w:jc w:val="center"/>
              <w:rPr>
                <w:rFonts w:cstheme="minorHAnsi"/>
                <w:sz w:val="18"/>
                <w:szCs w:val="18"/>
              </w:rPr>
            </w:pPr>
            <w:r>
              <w:rPr>
                <w:rFonts w:cstheme="minorHAnsi"/>
                <w:sz w:val="18"/>
                <w:szCs w:val="18"/>
              </w:rPr>
              <w:t>（</w:t>
            </w:r>
            <w:r>
              <w:rPr>
                <w:rFonts w:cstheme="minorHAnsi"/>
                <w:sz w:val="18"/>
                <w:szCs w:val="18"/>
              </w:rPr>
              <w:t xml:space="preserve"> / </w:t>
            </w:r>
            <w:r>
              <w:rPr>
                <w:rFonts w:cstheme="minorHAnsi"/>
                <w:sz w:val="18"/>
                <w:szCs w:val="18"/>
              </w:rPr>
              <w:t>）</w:t>
            </w:r>
          </w:p>
        </w:tc>
        <w:tc>
          <w:tcPr>
            <w:tcW w:w="1297" w:type="pct"/>
            <w:gridSpan w:val="3"/>
            <w:vAlign w:val="center"/>
          </w:tcPr>
          <w:p w14:paraId="7FECE262" w14:textId="77777777" w:rsidR="007D1E74" w:rsidRDefault="00A95641">
            <w:pPr>
              <w:jc w:val="center"/>
              <w:rPr>
                <w:rFonts w:cstheme="minorHAnsi"/>
                <w:sz w:val="18"/>
                <w:szCs w:val="18"/>
              </w:rPr>
            </w:pPr>
            <w:r>
              <w:rPr>
                <w:rFonts w:cstheme="minorHAnsi"/>
                <w:sz w:val="18"/>
                <w:szCs w:val="18"/>
              </w:rPr>
              <w:t>（</w:t>
            </w:r>
            <w:r>
              <w:rPr>
                <w:rFonts w:cstheme="minorHAnsi" w:hint="eastAsia"/>
                <w:sz w:val="18"/>
                <w:szCs w:val="18"/>
              </w:rPr>
              <w:t xml:space="preserve"> </w:t>
            </w:r>
            <w:r>
              <w:rPr>
                <w:rFonts w:cstheme="minorHAnsi"/>
                <w:sz w:val="18"/>
                <w:szCs w:val="18"/>
              </w:rPr>
              <w:t>）</w:t>
            </w:r>
          </w:p>
        </w:tc>
      </w:tr>
      <w:tr w:rsidR="007D1E74" w14:paraId="2BED4F96" w14:textId="77777777">
        <w:trPr>
          <w:trHeight w:val="315"/>
          <w:jc w:val="center"/>
        </w:trPr>
        <w:tc>
          <w:tcPr>
            <w:tcW w:w="245" w:type="pct"/>
            <w:vMerge/>
            <w:shd w:val="clear" w:color="auto" w:fill="auto"/>
            <w:vAlign w:val="center"/>
          </w:tcPr>
          <w:p w14:paraId="7EB03C2C" w14:textId="77777777" w:rsidR="007D1E74" w:rsidRDefault="007D1E74">
            <w:pPr>
              <w:jc w:val="center"/>
              <w:rPr>
                <w:rFonts w:cstheme="minorHAnsi"/>
                <w:sz w:val="18"/>
                <w:szCs w:val="18"/>
              </w:rPr>
            </w:pPr>
          </w:p>
        </w:tc>
        <w:tc>
          <w:tcPr>
            <w:tcW w:w="862" w:type="pct"/>
            <w:vMerge/>
            <w:shd w:val="clear" w:color="auto" w:fill="auto"/>
            <w:vAlign w:val="center"/>
          </w:tcPr>
          <w:p w14:paraId="4A01684F" w14:textId="77777777" w:rsidR="007D1E74" w:rsidRDefault="007D1E74">
            <w:pPr>
              <w:jc w:val="center"/>
              <w:rPr>
                <w:rFonts w:cstheme="minorHAnsi"/>
                <w:sz w:val="18"/>
                <w:szCs w:val="18"/>
              </w:rPr>
            </w:pPr>
          </w:p>
        </w:tc>
        <w:tc>
          <w:tcPr>
            <w:tcW w:w="1298" w:type="pct"/>
            <w:gridSpan w:val="3"/>
            <w:vAlign w:val="center"/>
          </w:tcPr>
          <w:p w14:paraId="330B7026" w14:textId="77777777" w:rsidR="007D1E74" w:rsidRDefault="00A95641">
            <w:pPr>
              <w:jc w:val="center"/>
              <w:rPr>
                <w:rFonts w:cstheme="minorHAnsi"/>
                <w:sz w:val="18"/>
                <w:szCs w:val="18"/>
              </w:rPr>
            </w:pPr>
            <w:r>
              <w:rPr>
                <w:rFonts w:cstheme="minorHAnsi"/>
                <w:sz w:val="18"/>
                <w:szCs w:val="18"/>
              </w:rPr>
              <w:t>监测因子</w:t>
            </w:r>
          </w:p>
        </w:tc>
        <w:tc>
          <w:tcPr>
            <w:tcW w:w="1298" w:type="pct"/>
            <w:gridSpan w:val="4"/>
            <w:vAlign w:val="center"/>
          </w:tcPr>
          <w:p w14:paraId="58DA264A" w14:textId="77777777" w:rsidR="007D1E74" w:rsidRDefault="00A95641">
            <w:pPr>
              <w:jc w:val="center"/>
              <w:rPr>
                <w:rFonts w:cstheme="minorHAnsi"/>
                <w:sz w:val="18"/>
                <w:szCs w:val="18"/>
              </w:rPr>
            </w:pPr>
            <w:r>
              <w:rPr>
                <w:rFonts w:cstheme="minorHAnsi"/>
                <w:sz w:val="18"/>
                <w:szCs w:val="18"/>
              </w:rPr>
              <w:t>（</w:t>
            </w:r>
            <w:r>
              <w:rPr>
                <w:rFonts w:cstheme="minorHAnsi"/>
                <w:sz w:val="18"/>
                <w:szCs w:val="18"/>
              </w:rPr>
              <w:t xml:space="preserve"> / </w:t>
            </w:r>
            <w:r>
              <w:rPr>
                <w:rFonts w:cstheme="minorHAnsi"/>
                <w:sz w:val="18"/>
                <w:szCs w:val="18"/>
              </w:rPr>
              <w:t>）</w:t>
            </w:r>
          </w:p>
        </w:tc>
        <w:tc>
          <w:tcPr>
            <w:tcW w:w="1297" w:type="pct"/>
            <w:gridSpan w:val="3"/>
            <w:vAlign w:val="center"/>
          </w:tcPr>
          <w:p w14:paraId="43FBBF79" w14:textId="77777777" w:rsidR="007D1E74" w:rsidRDefault="00A95641">
            <w:pPr>
              <w:jc w:val="center"/>
              <w:rPr>
                <w:rFonts w:cstheme="minorHAnsi"/>
                <w:sz w:val="18"/>
                <w:szCs w:val="18"/>
              </w:rPr>
            </w:pPr>
            <w:r>
              <w:rPr>
                <w:rFonts w:cstheme="minorHAnsi"/>
                <w:sz w:val="18"/>
                <w:szCs w:val="18"/>
              </w:rPr>
              <w:t>（）</w:t>
            </w:r>
          </w:p>
        </w:tc>
      </w:tr>
      <w:tr w:rsidR="007D1E74" w14:paraId="1C37FF57" w14:textId="77777777">
        <w:trPr>
          <w:trHeight w:val="315"/>
          <w:jc w:val="center"/>
        </w:trPr>
        <w:tc>
          <w:tcPr>
            <w:tcW w:w="245" w:type="pct"/>
            <w:vMerge/>
            <w:shd w:val="clear" w:color="auto" w:fill="auto"/>
            <w:vAlign w:val="center"/>
          </w:tcPr>
          <w:p w14:paraId="4A130409" w14:textId="77777777" w:rsidR="007D1E74" w:rsidRDefault="007D1E74">
            <w:pPr>
              <w:jc w:val="center"/>
              <w:rPr>
                <w:rFonts w:cstheme="minorHAnsi"/>
                <w:sz w:val="18"/>
                <w:szCs w:val="18"/>
              </w:rPr>
            </w:pPr>
          </w:p>
        </w:tc>
        <w:tc>
          <w:tcPr>
            <w:tcW w:w="862" w:type="pct"/>
            <w:shd w:val="clear" w:color="auto" w:fill="auto"/>
            <w:vAlign w:val="center"/>
          </w:tcPr>
          <w:p w14:paraId="568E9F3D" w14:textId="77777777" w:rsidR="007D1E74" w:rsidRDefault="00A95641">
            <w:pPr>
              <w:jc w:val="center"/>
              <w:rPr>
                <w:rFonts w:cstheme="minorHAnsi"/>
                <w:sz w:val="18"/>
                <w:szCs w:val="18"/>
              </w:rPr>
            </w:pPr>
            <w:r>
              <w:rPr>
                <w:rFonts w:cstheme="minorHAnsi"/>
                <w:sz w:val="18"/>
                <w:szCs w:val="18"/>
              </w:rPr>
              <w:t>污染物排放清单</w:t>
            </w:r>
          </w:p>
        </w:tc>
        <w:tc>
          <w:tcPr>
            <w:tcW w:w="3893" w:type="pct"/>
            <w:gridSpan w:val="10"/>
            <w:vAlign w:val="center"/>
          </w:tcPr>
          <w:p w14:paraId="387FDC6C" w14:textId="77777777" w:rsidR="007D1E74" w:rsidRDefault="007D1E74">
            <w:pPr>
              <w:rPr>
                <w:rFonts w:cstheme="minorHAnsi"/>
                <w:sz w:val="18"/>
                <w:szCs w:val="18"/>
              </w:rPr>
            </w:pPr>
          </w:p>
        </w:tc>
      </w:tr>
      <w:tr w:rsidR="007D1E74" w14:paraId="413BC8C0" w14:textId="77777777">
        <w:trPr>
          <w:trHeight w:val="315"/>
          <w:jc w:val="center"/>
        </w:trPr>
        <w:tc>
          <w:tcPr>
            <w:tcW w:w="1107" w:type="pct"/>
            <w:gridSpan w:val="2"/>
            <w:shd w:val="clear" w:color="auto" w:fill="auto"/>
            <w:vAlign w:val="center"/>
          </w:tcPr>
          <w:p w14:paraId="2B4B79DC" w14:textId="77777777" w:rsidR="007D1E74" w:rsidRDefault="00A95641">
            <w:pPr>
              <w:jc w:val="center"/>
              <w:rPr>
                <w:rFonts w:cstheme="minorHAnsi"/>
                <w:sz w:val="18"/>
                <w:szCs w:val="18"/>
              </w:rPr>
            </w:pPr>
            <w:r>
              <w:rPr>
                <w:rFonts w:cstheme="minorHAnsi"/>
                <w:sz w:val="18"/>
                <w:szCs w:val="18"/>
              </w:rPr>
              <w:t>评价结论</w:t>
            </w:r>
          </w:p>
        </w:tc>
        <w:tc>
          <w:tcPr>
            <w:tcW w:w="3893" w:type="pct"/>
            <w:gridSpan w:val="10"/>
            <w:vAlign w:val="center"/>
          </w:tcPr>
          <w:p w14:paraId="098EAAD1" w14:textId="77777777" w:rsidR="007D1E74" w:rsidRDefault="00A95641">
            <w:pPr>
              <w:rPr>
                <w:rFonts w:cstheme="minorHAnsi"/>
                <w:sz w:val="18"/>
                <w:szCs w:val="18"/>
              </w:rPr>
            </w:pPr>
            <w:r>
              <w:rPr>
                <w:rFonts w:cstheme="minorHAnsi"/>
                <w:sz w:val="18"/>
                <w:szCs w:val="18"/>
              </w:rPr>
              <w:t>可以接受</w:t>
            </w:r>
            <w:r>
              <w:rPr>
                <w:rFonts w:cstheme="minorHAnsi"/>
                <w:sz w:val="18"/>
                <w:szCs w:val="18"/>
              </w:rPr>
              <w:sym w:font="Wingdings 2" w:char="F052"/>
            </w:r>
            <w:r>
              <w:rPr>
                <w:rFonts w:cstheme="minorHAnsi"/>
                <w:sz w:val="18"/>
                <w:szCs w:val="18"/>
              </w:rPr>
              <w:t>；不可以接受</w:t>
            </w:r>
            <w:r>
              <w:rPr>
                <w:rFonts w:cstheme="minorHAnsi"/>
                <w:sz w:val="18"/>
                <w:szCs w:val="18"/>
              </w:rPr>
              <w:t>□</w:t>
            </w:r>
          </w:p>
        </w:tc>
      </w:tr>
      <w:tr w:rsidR="007D1E74" w14:paraId="39C799C7" w14:textId="77777777">
        <w:trPr>
          <w:trHeight w:val="315"/>
          <w:jc w:val="center"/>
        </w:trPr>
        <w:tc>
          <w:tcPr>
            <w:tcW w:w="5000" w:type="pct"/>
            <w:gridSpan w:val="12"/>
            <w:shd w:val="clear" w:color="auto" w:fill="auto"/>
            <w:vAlign w:val="center"/>
          </w:tcPr>
          <w:p w14:paraId="2D9149C3" w14:textId="77777777" w:rsidR="007D1E74" w:rsidRDefault="00A95641">
            <w:pPr>
              <w:rPr>
                <w:rFonts w:cstheme="minorHAnsi"/>
                <w:sz w:val="18"/>
                <w:szCs w:val="18"/>
              </w:rPr>
            </w:pPr>
            <w:r>
              <w:rPr>
                <w:rFonts w:cstheme="minorHAnsi"/>
                <w:sz w:val="18"/>
                <w:szCs w:val="18"/>
              </w:rPr>
              <w:t>注：</w:t>
            </w:r>
            <w:r>
              <w:rPr>
                <w:rFonts w:cstheme="minorHAnsi"/>
                <w:sz w:val="18"/>
                <w:szCs w:val="18"/>
              </w:rPr>
              <w:t>“□”</w:t>
            </w:r>
            <w:r>
              <w:rPr>
                <w:rFonts w:cstheme="minorHAnsi"/>
                <w:sz w:val="18"/>
                <w:szCs w:val="18"/>
              </w:rPr>
              <w:t>为勾选项，可</w:t>
            </w:r>
            <w:r>
              <w:rPr>
                <w:rFonts w:cstheme="minorHAnsi"/>
                <w:sz w:val="18"/>
                <w:szCs w:val="18"/>
              </w:rPr>
              <w:t>√</w:t>
            </w:r>
            <w:r>
              <w:rPr>
                <w:rFonts w:cstheme="minorHAnsi"/>
                <w:sz w:val="18"/>
                <w:szCs w:val="18"/>
              </w:rPr>
              <w:t>；</w:t>
            </w:r>
            <w:r>
              <w:rPr>
                <w:rFonts w:cstheme="minorHAnsi"/>
                <w:sz w:val="18"/>
                <w:szCs w:val="18"/>
              </w:rPr>
              <w:t>“</w:t>
            </w:r>
            <w:r>
              <w:rPr>
                <w:rFonts w:cstheme="minorHAnsi"/>
                <w:sz w:val="18"/>
                <w:szCs w:val="18"/>
              </w:rPr>
              <w:t>（</w:t>
            </w:r>
            <w:r>
              <w:rPr>
                <w:rFonts w:cstheme="minorHAnsi"/>
                <w:sz w:val="18"/>
                <w:szCs w:val="18"/>
              </w:rPr>
              <w:t xml:space="preserve"> </w:t>
            </w:r>
            <w:r>
              <w:rPr>
                <w:rFonts w:cstheme="minorHAnsi"/>
                <w:sz w:val="18"/>
                <w:szCs w:val="18"/>
              </w:rPr>
              <w:t>）</w:t>
            </w:r>
            <w:r>
              <w:rPr>
                <w:rFonts w:cstheme="minorHAnsi"/>
                <w:sz w:val="18"/>
                <w:szCs w:val="18"/>
              </w:rPr>
              <w:t>”</w:t>
            </w:r>
            <w:r>
              <w:rPr>
                <w:rFonts w:cstheme="minorHAnsi"/>
                <w:sz w:val="18"/>
                <w:szCs w:val="18"/>
              </w:rPr>
              <w:t>为内容填写项；</w:t>
            </w:r>
            <w:r>
              <w:rPr>
                <w:rFonts w:cstheme="minorHAnsi"/>
                <w:sz w:val="18"/>
                <w:szCs w:val="18"/>
              </w:rPr>
              <w:t>“</w:t>
            </w:r>
            <w:r>
              <w:rPr>
                <w:rFonts w:cstheme="minorHAnsi"/>
                <w:sz w:val="18"/>
                <w:szCs w:val="18"/>
              </w:rPr>
              <w:t>备注</w:t>
            </w:r>
            <w:r>
              <w:rPr>
                <w:rFonts w:cstheme="minorHAnsi"/>
                <w:sz w:val="18"/>
                <w:szCs w:val="18"/>
              </w:rPr>
              <w:t>”</w:t>
            </w:r>
            <w:r>
              <w:rPr>
                <w:rFonts w:cstheme="minorHAnsi"/>
                <w:sz w:val="18"/>
                <w:szCs w:val="18"/>
              </w:rPr>
              <w:t>为其他补充内容</w:t>
            </w:r>
          </w:p>
        </w:tc>
      </w:tr>
    </w:tbl>
    <w:p w14:paraId="39633C43" w14:textId="77777777" w:rsidR="007D1E74" w:rsidRDefault="00A95641">
      <w:r>
        <w:rPr>
          <w:rFonts w:hint="eastAsia"/>
        </w:rPr>
        <w:br w:type="page"/>
      </w:r>
    </w:p>
    <w:p w14:paraId="2F0BAF6E" w14:textId="77777777" w:rsidR="007D1E74" w:rsidRDefault="00A95641">
      <w:pPr>
        <w:rPr>
          <w:rFonts w:eastAsia="黑体" w:cs="Times New Roman"/>
          <w:sz w:val="26"/>
          <w:szCs w:val="26"/>
        </w:rPr>
      </w:pPr>
      <w:r>
        <w:rPr>
          <w:rFonts w:eastAsia="黑体" w:cs="Times New Roman"/>
          <w:sz w:val="26"/>
          <w:szCs w:val="26"/>
        </w:rPr>
        <w:lastRenderedPageBreak/>
        <w:t>附</w:t>
      </w:r>
      <w:r>
        <w:rPr>
          <w:rFonts w:eastAsia="黑体" w:cs="Times New Roman" w:hint="eastAsia"/>
          <w:sz w:val="26"/>
          <w:szCs w:val="26"/>
        </w:rPr>
        <w:t>表</w:t>
      </w:r>
      <w:r>
        <w:rPr>
          <w:rFonts w:eastAsia="黑体" w:cs="Times New Roman"/>
          <w:sz w:val="26"/>
          <w:szCs w:val="26"/>
        </w:rPr>
        <w:t xml:space="preserve">E </w:t>
      </w:r>
      <w:r>
        <w:rPr>
          <w:rFonts w:eastAsia="黑体" w:cs="Times New Roman"/>
          <w:sz w:val="26"/>
          <w:szCs w:val="26"/>
        </w:rPr>
        <w:t>环境风险评价自查表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3"/>
        <w:gridCol w:w="1313"/>
        <w:gridCol w:w="1125"/>
        <w:gridCol w:w="474"/>
        <w:gridCol w:w="76"/>
        <w:gridCol w:w="1526"/>
        <w:gridCol w:w="1437"/>
        <w:gridCol w:w="597"/>
        <w:gridCol w:w="700"/>
        <w:gridCol w:w="1325"/>
      </w:tblGrid>
      <w:tr w:rsidR="007D1E74" w14:paraId="1FFA7A8C" w14:textId="77777777">
        <w:trPr>
          <w:trHeight w:val="70"/>
          <w:jc w:val="center"/>
        </w:trPr>
        <w:tc>
          <w:tcPr>
            <w:tcW w:w="974" w:type="pct"/>
            <w:gridSpan w:val="2"/>
            <w:shd w:val="clear" w:color="auto" w:fill="auto"/>
            <w:vAlign w:val="center"/>
          </w:tcPr>
          <w:p w14:paraId="6E55E7AC" w14:textId="77777777" w:rsidR="007D1E74" w:rsidRDefault="00A95641">
            <w:pPr>
              <w:jc w:val="center"/>
              <w:rPr>
                <w:sz w:val="18"/>
                <w:szCs w:val="18"/>
              </w:rPr>
            </w:pPr>
            <w:r>
              <w:rPr>
                <w:rFonts w:hint="eastAsia"/>
                <w:sz w:val="18"/>
                <w:szCs w:val="18"/>
              </w:rPr>
              <w:t>工作内容</w:t>
            </w:r>
          </w:p>
        </w:tc>
        <w:tc>
          <w:tcPr>
            <w:tcW w:w="4026" w:type="pct"/>
            <w:gridSpan w:val="8"/>
            <w:vAlign w:val="center"/>
          </w:tcPr>
          <w:p w14:paraId="70A5B415" w14:textId="77777777" w:rsidR="007D1E74" w:rsidRDefault="00A95641">
            <w:pPr>
              <w:jc w:val="center"/>
              <w:rPr>
                <w:sz w:val="18"/>
                <w:szCs w:val="18"/>
              </w:rPr>
            </w:pPr>
            <w:r>
              <w:rPr>
                <w:rFonts w:hint="eastAsia"/>
                <w:sz w:val="18"/>
                <w:szCs w:val="18"/>
              </w:rPr>
              <w:t>完成</w:t>
            </w:r>
            <w:r>
              <w:rPr>
                <w:sz w:val="18"/>
                <w:szCs w:val="18"/>
              </w:rPr>
              <w:t>情况</w:t>
            </w:r>
          </w:p>
        </w:tc>
      </w:tr>
      <w:tr w:rsidR="007D1E74" w14:paraId="0E6F81A8" w14:textId="77777777">
        <w:trPr>
          <w:trHeight w:val="315"/>
          <w:jc w:val="center"/>
        </w:trPr>
        <w:tc>
          <w:tcPr>
            <w:tcW w:w="246" w:type="pct"/>
            <w:vMerge w:val="restart"/>
            <w:shd w:val="clear" w:color="auto" w:fill="auto"/>
            <w:vAlign w:val="center"/>
          </w:tcPr>
          <w:p w14:paraId="673C1C82" w14:textId="77777777" w:rsidR="007D1E74" w:rsidRDefault="00A95641">
            <w:pPr>
              <w:jc w:val="center"/>
              <w:rPr>
                <w:sz w:val="18"/>
                <w:szCs w:val="18"/>
              </w:rPr>
            </w:pPr>
            <w:r>
              <w:rPr>
                <w:rFonts w:hint="eastAsia"/>
                <w:sz w:val="18"/>
                <w:szCs w:val="18"/>
              </w:rPr>
              <w:t>风险调查</w:t>
            </w:r>
          </w:p>
        </w:tc>
        <w:tc>
          <w:tcPr>
            <w:tcW w:w="728" w:type="pct"/>
            <w:vMerge w:val="restart"/>
            <w:shd w:val="clear" w:color="auto" w:fill="auto"/>
            <w:vAlign w:val="center"/>
          </w:tcPr>
          <w:p w14:paraId="081E844B" w14:textId="77777777" w:rsidR="007D1E74" w:rsidRDefault="00A95641">
            <w:pPr>
              <w:jc w:val="center"/>
              <w:rPr>
                <w:sz w:val="18"/>
                <w:szCs w:val="18"/>
              </w:rPr>
            </w:pPr>
            <w:r>
              <w:rPr>
                <w:sz w:val="18"/>
                <w:szCs w:val="18"/>
              </w:rPr>
              <w:t>危险物质</w:t>
            </w:r>
          </w:p>
        </w:tc>
        <w:tc>
          <w:tcPr>
            <w:tcW w:w="624" w:type="pct"/>
            <w:vAlign w:val="center"/>
          </w:tcPr>
          <w:p w14:paraId="15C5D54A" w14:textId="77777777" w:rsidR="007D1E74" w:rsidRDefault="00A95641">
            <w:pPr>
              <w:jc w:val="center"/>
              <w:rPr>
                <w:sz w:val="18"/>
                <w:szCs w:val="18"/>
              </w:rPr>
            </w:pPr>
            <w:r>
              <w:rPr>
                <w:sz w:val="18"/>
                <w:szCs w:val="18"/>
              </w:rPr>
              <w:t>名称</w:t>
            </w:r>
          </w:p>
        </w:tc>
        <w:tc>
          <w:tcPr>
            <w:tcW w:w="3402" w:type="pct"/>
            <w:gridSpan w:val="7"/>
            <w:vAlign w:val="center"/>
          </w:tcPr>
          <w:p w14:paraId="61943985" w14:textId="77777777" w:rsidR="007D1E74" w:rsidRDefault="00A95641">
            <w:pPr>
              <w:jc w:val="center"/>
              <w:rPr>
                <w:sz w:val="18"/>
                <w:szCs w:val="18"/>
              </w:rPr>
            </w:pPr>
            <w:r>
              <w:rPr>
                <w:rFonts w:hint="eastAsia"/>
                <w:sz w:val="18"/>
                <w:szCs w:val="18"/>
              </w:rPr>
              <w:t>天然气</w:t>
            </w:r>
          </w:p>
        </w:tc>
      </w:tr>
      <w:tr w:rsidR="007D1E74" w14:paraId="4BA3E16C" w14:textId="77777777">
        <w:trPr>
          <w:trHeight w:val="315"/>
          <w:jc w:val="center"/>
        </w:trPr>
        <w:tc>
          <w:tcPr>
            <w:tcW w:w="246" w:type="pct"/>
            <w:vMerge/>
            <w:shd w:val="clear" w:color="auto" w:fill="auto"/>
            <w:vAlign w:val="center"/>
          </w:tcPr>
          <w:p w14:paraId="66CDB171" w14:textId="77777777" w:rsidR="007D1E74" w:rsidRDefault="007D1E74">
            <w:pPr>
              <w:jc w:val="center"/>
              <w:rPr>
                <w:sz w:val="18"/>
                <w:szCs w:val="18"/>
              </w:rPr>
            </w:pPr>
          </w:p>
        </w:tc>
        <w:tc>
          <w:tcPr>
            <w:tcW w:w="728" w:type="pct"/>
            <w:vMerge/>
            <w:shd w:val="clear" w:color="auto" w:fill="auto"/>
            <w:vAlign w:val="center"/>
          </w:tcPr>
          <w:p w14:paraId="7C1D2AB7" w14:textId="77777777" w:rsidR="007D1E74" w:rsidRDefault="007D1E74">
            <w:pPr>
              <w:jc w:val="center"/>
              <w:rPr>
                <w:sz w:val="18"/>
                <w:szCs w:val="18"/>
              </w:rPr>
            </w:pPr>
          </w:p>
        </w:tc>
        <w:tc>
          <w:tcPr>
            <w:tcW w:w="624" w:type="pct"/>
            <w:vAlign w:val="center"/>
          </w:tcPr>
          <w:p w14:paraId="05FCB98D" w14:textId="77777777" w:rsidR="007D1E74" w:rsidRDefault="00A95641">
            <w:pPr>
              <w:jc w:val="center"/>
              <w:rPr>
                <w:sz w:val="18"/>
                <w:szCs w:val="18"/>
              </w:rPr>
            </w:pPr>
            <w:r>
              <w:rPr>
                <w:sz w:val="18"/>
                <w:szCs w:val="18"/>
              </w:rPr>
              <w:t>存在总量</w:t>
            </w:r>
            <w:r>
              <w:rPr>
                <w:rFonts w:hint="eastAsia"/>
                <w:sz w:val="18"/>
                <w:szCs w:val="18"/>
              </w:rPr>
              <w:t>/t</w:t>
            </w:r>
          </w:p>
        </w:tc>
        <w:tc>
          <w:tcPr>
            <w:tcW w:w="3402" w:type="pct"/>
            <w:gridSpan w:val="7"/>
            <w:vAlign w:val="center"/>
          </w:tcPr>
          <w:p w14:paraId="4B670E7E" w14:textId="77777777" w:rsidR="007D1E74" w:rsidRDefault="00A95641">
            <w:pPr>
              <w:jc w:val="center"/>
              <w:rPr>
                <w:sz w:val="18"/>
                <w:szCs w:val="18"/>
              </w:rPr>
            </w:pPr>
            <w:r>
              <w:rPr>
                <w:sz w:val="18"/>
                <w:szCs w:val="18"/>
              </w:rPr>
              <w:t>154.75</w:t>
            </w:r>
          </w:p>
        </w:tc>
      </w:tr>
      <w:tr w:rsidR="007D1E74" w14:paraId="1DCD713F" w14:textId="77777777">
        <w:trPr>
          <w:trHeight w:val="97"/>
          <w:jc w:val="center"/>
        </w:trPr>
        <w:tc>
          <w:tcPr>
            <w:tcW w:w="246" w:type="pct"/>
            <w:vMerge/>
            <w:shd w:val="clear" w:color="auto" w:fill="auto"/>
            <w:vAlign w:val="center"/>
          </w:tcPr>
          <w:p w14:paraId="690BCA6B" w14:textId="77777777" w:rsidR="007D1E74" w:rsidRDefault="007D1E74">
            <w:pPr>
              <w:jc w:val="center"/>
              <w:rPr>
                <w:sz w:val="18"/>
                <w:szCs w:val="18"/>
              </w:rPr>
            </w:pPr>
          </w:p>
        </w:tc>
        <w:tc>
          <w:tcPr>
            <w:tcW w:w="728" w:type="pct"/>
            <w:vMerge w:val="restart"/>
            <w:shd w:val="clear" w:color="auto" w:fill="auto"/>
            <w:vAlign w:val="center"/>
          </w:tcPr>
          <w:p w14:paraId="04615114" w14:textId="77777777" w:rsidR="007D1E74" w:rsidRDefault="00A95641">
            <w:pPr>
              <w:jc w:val="center"/>
              <w:rPr>
                <w:sz w:val="18"/>
                <w:szCs w:val="18"/>
              </w:rPr>
            </w:pPr>
            <w:r>
              <w:rPr>
                <w:sz w:val="18"/>
                <w:szCs w:val="18"/>
              </w:rPr>
              <w:t>环境敏感性</w:t>
            </w:r>
          </w:p>
        </w:tc>
        <w:tc>
          <w:tcPr>
            <w:tcW w:w="624" w:type="pct"/>
            <w:vMerge w:val="restart"/>
            <w:vAlign w:val="center"/>
          </w:tcPr>
          <w:p w14:paraId="24701674" w14:textId="77777777" w:rsidR="007D1E74" w:rsidRDefault="00A95641">
            <w:pPr>
              <w:jc w:val="center"/>
              <w:rPr>
                <w:sz w:val="18"/>
                <w:szCs w:val="18"/>
              </w:rPr>
            </w:pPr>
            <w:r>
              <w:rPr>
                <w:sz w:val="18"/>
                <w:szCs w:val="18"/>
              </w:rPr>
              <w:t>大气</w:t>
            </w:r>
          </w:p>
        </w:tc>
        <w:tc>
          <w:tcPr>
            <w:tcW w:w="1948" w:type="pct"/>
            <w:gridSpan w:val="4"/>
            <w:vAlign w:val="center"/>
          </w:tcPr>
          <w:p w14:paraId="7B1A1DBA" w14:textId="77777777" w:rsidR="007D1E74" w:rsidRDefault="00A95641">
            <w:pPr>
              <w:jc w:val="center"/>
              <w:rPr>
                <w:rFonts w:cs="Times New Roman"/>
                <w:sz w:val="18"/>
                <w:szCs w:val="18"/>
              </w:rPr>
            </w:pPr>
            <w:r>
              <w:rPr>
                <w:rFonts w:cs="Times New Roman"/>
                <w:sz w:val="18"/>
                <w:szCs w:val="18"/>
              </w:rPr>
              <w:t>500m</w:t>
            </w:r>
            <w:r>
              <w:rPr>
                <w:rFonts w:cs="Times New Roman"/>
                <w:sz w:val="18"/>
                <w:szCs w:val="18"/>
              </w:rPr>
              <w:t>范围内人口数</w:t>
            </w:r>
            <w:r>
              <w:rPr>
                <w:rFonts w:cs="Times New Roman"/>
                <w:sz w:val="18"/>
                <w:szCs w:val="18"/>
                <w:u w:val="single"/>
              </w:rPr>
              <w:t xml:space="preserve">    </w:t>
            </w:r>
            <w:r>
              <w:rPr>
                <w:rFonts w:cs="Times New Roman"/>
                <w:sz w:val="18"/>
                <w:szCs w:val="18"/>
              </w:rPr>
              <w:t>人</w:t>
            </w:r>
          </w:p>
        </w:tc>
        <w:tc>
          <w:tcPr>
            <w:tcW w:w="1454" w:type="pct"/>
            <w:gridSpan w:val="3"/>
            <w:vAlign w:val="center"/>
          </w:tcPr>
          <w:p w14:paraId="33F3749D" w14:textId="77777777" w:rsidR="007D1E74" w:rsidRDefault="00A95641">
            <w:pPr>
              <w:jc w:val="center"/>
              <w:rPr>
                <w:rFonts w:cs="Times New Roman"/>
                <w:sz w:val="18"/>
                <w:szCs w:val="18"/>
              </w:rPr>
            </w:pPr>
            <w:r>
              <w:rPr>
                <w:rFonts w:cs="Times New Roman"/>
                <w:sz w:val="18"/>
                <w:szCs w:val="18"/>
              </w:rPr>
              <w:t>5km</w:t>
            </w:r>
            <w:r>
              <w:rPr>
                <w:rFonts w:cs="Times New Roman"/>
                <w:sz w:val="18"/>
                <w:szCs w:val="18"/>
              </w:rPr>
              <w:t>范围内人口数</w:t>
            </w:r>
            <w:r>
              <w:rPr>
                <w:rFonts w:cs="Times New Roman"/>
                <w:sz w:val="18"/>
                <w:szCs w:val="18"/>
                <w:u w:val="single"/>
              </w:rPr>
              <w:t xml:space="preserve">    </w:t>
            </w:r>
            <w:r>
              <w:rPr>
                <w:rFonts w:cs="Times New Roman"/>
                <w:sz w:val="18"/>
                <w:szCs w:val="18"/>
              </w:rPr>
              <w:t>人</w:t>
            </w:r>
          </w:p>
        </w:tc>
      </w:tr>
      <w:tr w:rsidR="007D1E74" w14:paraId="254AA9DC" w14:textId="77777777">
        <w:trPr>
          <w:trHeight w:val="73"/>
          <w:jc w:val="center"/>
        </w:trPr>
        <w:tc>
          <w:tcPr>
            <w:tcW w:w="246" w:type="pct"/>
            <w:vMerge/>
            <w:shd w:val="clear" w:color="auto" w:fill="auto"/>
            <w:vAlign w:val="center"/>
          </w:tcPr>
          <w:p w14:paraId="6D7E38EE" w14:textId="77777777" w:rsidR="007D1E74" w:rsidRDefault="007D1E74">
            <w:pPr>
              <w:jc w:val="center"/>
              <w:rPr>
                <w:sz w:val="18"/>
                <w:szCs w:val="18"/>
              </w:rPr>
            </w:pPr>
          </w:p>
        </w:tc>
        <w:tc>
          <w:tcPr>
            <w:tcW w:w="728" w:type="pct"/>
            <w:vMerge/>
            <w:shd w:val="clear" w:color="auto" w:fill="auto"/>
            <w:vAlign w:val="center"/>
          </w:tcPr>
          <w:p w14:paraId="1E5AE166" w14:textId="77777777" w:rsidR="007D1E74" w:rsidRDefault="007D1E74">
            <w:pPr>
              <w:jc w:val="center"/>
              <w:rPr>
                <w:sz w:val="18"/>
                <w:szCs w:val="18"/>
              </w:rPr>
            </w:pPr>
          </w:p>
        </w:tc>
        <w:tc>
          <w:tcPr>
            <w:tcW w:w="624" w:type="pct"/>
            <w:vMerge/>
            <w:vAlign w:val="center"/>
          </w:tcPr>
          <w:p w14:paraId="1F85BEED" w14:textId="77777777" w:rsidR="007D1E74" w:rsidRDefault="007D1E74">
            <w:pPr>
              <w:jc w:val="center"/>
              <w:rPr>
                <w:sz w:val="18"/>
                <w:szCs w:val="18"/>
              </w:rPr>
            </w:pPr>
          </w:p>
        </w:tc>
        <w:tc>
          <w:tcPr>
            <w:tcW w:w="2667" w:type="pct"/>
            <w:gridSpan w:val="6"/>
            <w:vAlign w:val="center"/>
          </w:tcPr>
          <w:p w14:paraId="68FA5EC4" w14:textId="77777777" w:rsidR="007D1E74" w:rsidRDefault="00A95641">
            <w:pPr>
              <w:jc w:val="center"/>
              <w:rPr>
                <w:sz w:val="18"/>
                <w:szCs w:val="18"/>
              </w:rPr>
            </w:pPr>
            <w:r>
              <w:rPr>
                <w:rFonts w:hint="eastAsia"/>
                <w:sz w:val="18"/>
                <w:szCs w:val="18"/>
              </w:rPr>
              <w:t>每公里管段周边</w:t>
            </w:r>
            <w:r>
              <w:rPr>
                <w:rFonts w:hint="eastAsia"/>
                <w:sz w:val="18"/>
                <w:szCs w:val="18"/>
              </w:rPr>
              <w:t>200m</w:t>
            </w:r>
            <w:r>
              <w:rPr>
                <w:rFonts w:hint="eastAsia"/>
                <w:sz w:val="18"/>
                <w:szCs w:val="18"/>
              </w:rPr>
              <w:t>范围内人口数（最大）</w:t>
            </w:r>
          </w:p>
        </w:tc>
        <w:tc>
          <w:tcPr>
            <w:tcW w:w="735" w:type="pct"/>
            <w:vAlign w:val="center"/>
          </w:tcPr>
          <w:p w14:paraId="681268C8" w14:textId="77777777" w:rsidR="007D1E74" w:rsidRDefault="00A95641">
            <w:pPr>
              <w:jc w:val="center"/>
              <w:rPr>
                <w:sz w:val="18"/>
                <w:szCs w:val="18"/>
              </w:rPr>
            </w:pPr>
            <w:r>
              <w:rPr>
                <w:rFonts w:hint="eastAsia"/>
                <w:sz w:val="18"/>
                <w:szCs w:val="18"/>
                <w:u w:val="single"/>
              </w:rPr>
              <w:t xml:space="preserve"> </w:t>
            </w:r>
            <w:r>
              <w:rPr>
                <w:sz w:val="18"/>
                <w:szCs w:val="18"/>
                <w:u w:val="single"/>
              </w:rPr>
              <w:t xml:space="preserve"> 98 </w:t>
            </w:r>
            <w:r>
              <w:rPr>
                <w:rFonts w:hint="eastAsia"/>
                <w:sz w:val="18"/>
                <w:szCs w:val="18"/>
              </w:rPr>
              <w:t>人</w:t>
            </w:r>
          </w:p>
        </w:tc>
      </w:tr>
      <w:tr w:rsidR="007D1E74" w14:paraId="6DDC1AEC" w14:textId="77777777">
        <w:trPr>
          <w:trHeight w:val="315"/>
          <w:jc w:val="center"/>
        </w:trPr>
        <w:tc>
          <w:tcPr>
            <w:tcW w:w="246" w:type="pct"/>
            <w:vMerge/>
            <w:shd w:val="clear" w:color="auto" w:fill="auto"/>
            <w:vAlign w:val="center"/>
          </w:tcPr>
          <w:p w14:paraId="3C63114C" w14:textId="77777777" w:rsidR="007D1E74" w:rsidRDefault="007D1E74">
            <w:pPr>
              <w:jc w:val="center"/>
              <w:rPr>
                <w:sz w:val="18"/>
                <w:szCs w:val="18"/>
              </w:rPr>
            </w:pPr>
          </w:p>
        </w:tc>
        <w:tc>
          <w:tcPr>
            <w:tcW w:w="728" w:type="pct"/>
            <w:vMerge/>
            <w:shd w:val="clear" w:color="auto" w:fill="auto"/>
            <w:vAlign w:val="center"/>
          </w:tcPr>
          <w:p w14:paraId="3F9B692D" w14:textId="77777777" w:rsidR="007D1E74" w:rsidRDefault="007D1E74">
            <w:pPr>
              <w:jc w:val="center"/>
              <w:rPr>
                <w:sz w:val="18"/>
                <w:szCs w:val="18"/>
              </w:rPr>
            </w:pPr>
          </w:p>
        </w:tc>
        <w:tc>
          <w:tcPr>
            <w:tcW w:w="624" w:type="pct"/>
            <w:vMerge w:val="restart"/>
            <w:vAlign w:val="center"/>
          </w:tcPr>
          <w:p w14:paraId="481EB1A6" w14:textId="77777777" w:rsidR="007D1E74" w:rsidRDefault="00A95641">
            <w:pPr>
              <w:jc w:val="center"/>
              <w:rPr>
                <w:sz w:val="18"/>
                <w:szCs w:val="18"/>
              </w:rPr>
            </w:pPr>
            <w:r>
              <w:rPr>
                <w:sz w:val="18"/>
                <w:szCs w:val="18"/>
              </w:rPr>
              <w:t>地表水</w:t>
            </w:r>
          </w:p>
        </w:tc>
        <w:tc>
          <w:tcPr>
            <w:tcW w:w="1151" w:type="pct"/>
            <w:gridSpan w:val="3"/>
            <w:vAlign w:val="center"/>
          </w:tcPr>
          <w:p w14:paraId="5C920006" w14:textId="77777777" w:rsidR="007D1E74" w:rsidRDefault="00A95641">
            <w:pPr>
              <w:jc w:val="center"/>
              <w:rPr>
                <w:rFonts w:cstheme="minorHAnsi"/>
                <w:sz w:val="18"/>
                <w:szCs w:val="18"/>
              </w:rPr>
            </w:pPr>
            <w:r>
              <w:rPr>
                <w:rFonts w:cstheme="minorHAnsi"/>
                <w:sz w:val="18"/>
                <w:szCs w:val="18"/>
              </w:rPr>
              <w:t>地表水功能敏感性</w:t>
            </w:r>
          </w:p>
        </w:tc>
        <w:tc>
          <w:tcPr>
            <w:tcW w:w="797" w:type="pct"/>
            <w:vAlign w:val="center"/>
          </w:tcPr>
          <w:p w14:paraId="6817D466" w14:textId="77777777" w:rsidR="007D1E74" w:rsidRDefault="00A95641">
            <w:pPr>
              <w:jc w:val="center"/>
              <w:rPr>
                <w:rFonts w:cstheme="minorHAnsi"/>
                <w:sz w:val="18"/>
                <w:szCs w:val="18"/>
              </w:rPr>
            </w:pPr>
            <w:r>
              <w:rPr>
                <w:rFonts w:cstheme="minorHAnsi"/>
                <w:sz w:val="18"/>
                <w:szCs w:val="18"/>
              </w:rPr>
              <w:t>F1</w:t>
            </w:r>
            <w:r>
              <w:rPr>
                <w:rFonts w:asciiTheme="minorEastAsia" w:hAnsiTheme="minorEastAsia"/>
                <w:sz w:val="18"/>
                <w:szCs w:val="18"/>
              </w:rPr>
              <w:t>□</w:t>
            </w:r>
          </w:p>
        </w:tc>
        <w:tc>
          <w:tcPr>
            <w:tcW w:w="719" w:type="pct"/>
            <w:gridSpan w:val="2"/>
            <w:vAlign w:val="center"/>
          </w:tcPr>
          <w:p w14:paraId="753C2E4F" w14:textId="77777777" w:rsidR="007D1E74" w:rsidRDefault="00A95641">
            <w:pPr>
              <w:jc w:val="center"/>
              <w:rPr>
                <w:rFonts w:cstheme="minorHAnsi"/>
                <w:sz w:val="18"/>
                <w:szCs w:val="18"/>
              </w:rPr>
            </w:pPr>
            <w:r>
              <w:rPr>
                <w:rFonts w:cstheme="minorHAnsi"/>
                <w:sz w:val="18"/>
                <w:szCs w:val="18"/>
              </w:rPr>
              <w:t>F2</w:t>
            </w:r>
            <w:r>
              <w:rPr>
                <w:rFonts w:asciiTheme="minorEastAsia" w:hAnsiTheme="minorEastAsia"/>
                <w:sz w:val="18"/>
                <w:szCs w:val="18"/>
              </w:rPr>
              <w:t>□</w:t>
            </w:r>
          </w:p>
        </w:tc>
        <w:tc>
          <w:tcPr>
            <w:tcW w:w="735" w:type="pct"/>
            <w:vAlign w:val="center"/>
          </w:tcPr>
          <w:p w14:paraId="20C98410" w14:textId="77777777" w:rsidR="007D1E74" w:rsidRDefault="00A95641">
            <w:pPr>
              <w:jc w:val="center"/>
              <w:rPr>
                <w:rFonts w:cstheme="minorHAnsi"/>
                <w:sz w:val="18"/>
                <w:szCs w:val="18"/>
              </w:rPr>
            </w:pPr>
            <w:r>
              <w:rPr>
                <w:rFonts w:cstheme="minorHAnsi"/>
                <w:sz w:val="18"/>
                <w:szCs w:val="18"/>
              </w:rPr>
              <w:t>F3</w:t>
            </w:r>
            <w:r>
              <w:rPr>
                <w:rFonts w:asciiTheme="minorEastAsia" w:hAnsiTheme="minorEastAsia"/>
                <w:sz w:val="18"/>
                <w:szCs w:val="18"/>
              </w:rPr>
              <w:t>□</w:t>
            </w:r>
          </w:p>
        </w:tc>
      </w:tr>
      <w:tr w:rsidR="007D1E74" w14:paraId="176DCF0B" w14:textId="77777777">
        <w:trPr>
          <w:trHeight w:val="315"/>
          <w:jc w:val="center"/>
        </w:trPr>
        <w:tc>
          <w:tcPr>
            <w:tcW w:w="246" w:type="pct"/>
            <w:vMerge/>
            <w:shd w:val="clear" w:color="auto" w:fill="auto"/>
            <w:vAlign w:val="center"/>
          </w:tcPr>
          <w:p w14:paraId="3001CA05" w14:textId="77777777" w:rsidR="007D1E74" w:rsidRDefault="007D1E74">
            <w:pPr>
              <w:jc w:val="center"/>
              <w:rPr>
                <w:sz w:val="18"/>
                <w:szCs w:val="18"/>
              </w:rPr>
            </w:pPr>
          </w:p>
        </w:tc>
        <w:tc>
          <w:tcPr>
            <w:tcW w:w="728" w:type="pct"/>
            <w:vMerge/>
            <w:shd w:val="clear" w:color="auto" w:fill="auto"/>
            <w:vAlign w:val="center"/>
          </w:tcPr>
          <w:p w14:paraId="4FAFE613" w14:textId="77777777" w:rsidR="007D1E74" w:rsidRDefault="007D1E74">
            <w:pPr>
              <w:jc w:val="center"/>
              <w:rPr>
                <w:sz w:val="18"/>
                <w:szCs w:val="18"/>
              </w:rPr>
            </w:pPr>
          </w:p>
        </w:tc>
        <w:tc>
          <w:tcPr>
            <w:tcW w:w="624" w:type="pct"/>
            <w:vMerge/>
            <w:vAlign w:val="center"/>
          </w:tcPr>
          <w:p w14:paraId="2A1A52F3" w14:textId="77777777" w:rsidR="007D1E74" w:rsidRDefault="007D1E74">
            <w:pPr>
              <w:jc w:val="center"/>
              <w:rPr>
                <w:sz w:val="18"/>
                <w:szCs w:val="18"/>
              </w:rPr>
            </w:pPr>
          </w:p>
        </w:tc>
        <w:tc>
          <w:tcPr>
            <w:tcW w:w="1151" w:type="pct"/>
            <w:gridSpan w:val="3"/>
            <w:vAlign w:val="center"/>
          </w:tcPr>
          <w:p w14:paraId="4EED0B45" w14:textId="77777777" w:rsidR="007D1E74" w:rsidRDefault="00A95641">
            <w:pPr>
              <w:jc w:val="center"/>
              <w:rPr>
                <w:rFonts w:cstheme="minorHAnsi"/>
                <w:sz w:val="18"/>
                <w:szCs w:val="18"/>
              </w:rPr>
            </w:pPr>
            <w:r>
              <w:rPr>
                <w:rFonts w:cstheme="minorHAnsi"/>
                <w:sz w:val="18"/>
                <w:szCs w:val="18"/>
              </w:rPr>
              <w:t>环境敏感目标分级</w:t>
            </w:r>
          </w:p>
        </w:tc>
        <w:tc>
          <w:tcPr>
            <w:tcW w:w="797" w:type="pct"/>
            <w:vAlign w:val="center"/>
          </w:tcPr>
          <w:p w14:paraId="76D62B7B" w14:textId="77777777" w:rsidR="007D1E74" w:rsidRDefault="00A95641">
            <w:pPr>
              <w:jc w:val="center"/>
              <w:rPr>
                <w:rFonts w:cstheme="minorHAnsi"/>
                <w:sz w:val="18"/>
                <w:szCs w:val="18"/>
              </w:rPr>
            </w:pPr>
            <w:r>
              <w:rPr>
                <w:rFonts w:cstheme="minorHAnsi"/>
                <w:sz w:val="18"/>
                <w:szCs w:val="18"/>
              </w:rPr>
              <w:t>S1</w:t>
            </w:r>
            <w:r>
              <w:rPr>
                <w:rFonts w:asciiTheme="minorEastAsia" w:hAnsiTheme="minorEastAsia"/>
                <w:sz w:val="18"/>
                <w:szCs w:val="18"/>
              </w:rPr>
              <w:t>□</w:t>
            </w:r>
          </w:p>
        </w:tc>
        <w:tc>
          <w:tcPr>
            <w:tcW w:w="719" w:type="pct"/>
            <w:gridSpan w:val="2"/>
            <w:vAlign w:val="center"/>
          </w:tcPr>
          <w:p w14:paraId="114F1096" w14:textId="77777777" w:rsidR="007D1E74" w:rsidRDefault="00A95641">
            <w:pPr>
              <w:jc w:val="center"/>
              <w:rPr>
                <w:rFonts w:cstheme="minorHAnsi"/>
                <w:sz w:val="18"/>
                <w:szCs w:val="18"/>
              </w:rPr>
            </w:pPr>
            <w:r>
              <w:rPr>
                <w:rFonts w:cstheme="minorHAnsi"/>
                <w:sz w:val="18"/>
                <w:szCs w:val="18"/>
              </w:rPr>
              <w:t>S2</w:t>
            </w:r>
            <w:r>
              <w:rPr>
                <w:rFonts w:asciiTheme="minorEastAsia" w:hAnsiTheme="minorEastAsia"/>
                <w:sz w:val="18"/>
                <w:szCs w:val="18"/>
              </w:rPr>
              <w:t>□</w:t>
            </w:r>
          </w:p>
        </w:tc>
        <w:tc>
          <w:tcPr>
            <w:tcW w:w="735" w:type="pct"/>
            <w:vAlign w:val="center"/>
          </w:tcPr>
          <w:p w14:paraId="213C0A8F" w14:textId="77777777" w:rsidR="007D1E74" w:rsidRDefault="00A95641">
            <w:pPr>
              <w:jc w:val="center"/>
              <w:rPr>
                <w:rFonts w:cstheme="minorHAnsi"/>
                <w:sz w:val="18"/>
                <w:szCs w:val="18"/>
              </w:rPr>
            </w:pPr>
            <w:r>
              <w:rPr>
                <w:rFonts w:cstheme="minorHAnsi"/>
                <w:sz w:val="18"/>
                <w:szCs w:val="18"/>
              </w:rPr>
              <w:t>S3</w:t>
            </w:r>
            <w:r>
              <w:rPr>
                <w:rFonts w:asciiTheme="minorEastAsia" w:hAnsiTheme="minorEastAsia"/>
                <w:sz w:val="18"/>
                <w:szCs w:val="18"/>
              </w:rPr>
              <w:t>□</w:t>
            </w:r>
          </w:p>
        </w:tc>
      </w:tr>
      <w:tr w:rsidR="007D1E74" w14:paraId="31BBA98C" w14:textId="77777777">
        <w:trPr>
          <w:trHeight w:val="315"/>
          <w:jc w:val="center"/>
        </w:trPr>
        <w:tc>
          <w:tcPr>
            <w:tcW w:w="246" w:type="pct"/>
            <w:vMerge/>
            <w:shd w:val="clear" w:color="auto" w:fill="auto"/>
            <w:vAlign w:val="center"/>
          </w:tcPr>
          <w:p w14:paraId="6AAC8A39" w14:textId="77777777" w:rsidR="007D1E74" w:rsidRDefault="007D1E74">
            <w:pPr>
              <w:jc w:val="center"/>
              <w:rPr>
                <w:sz w:val="18"/>
                <w:szCs w:val="18"/>
              </w:rPr>
            </w:pPr>
          </w:p>
        </w:tc>
        <w:tc>
          <w:tcPr>
            <w:tcW w:w="728" w:type="pct"/>
            <w:vMerge/>
            <w:shd w:val="clear" w:color="auto" w:fill="auto"/>
            <w:vAlign w:val="center"/>
          </w:tcPr>
          <w:p w14:paraId="783F9381" w14:textId="77777777" w:rsidR="007D1E74" w:rsidRDefault="007D1E74">
            <w:pPr>
              <w:jc w:val="center"/>
              <w:rPr>
                <w:sz w:val="18"/>
                <w:szCs w:val="18"/>
              </w:rPr>
            </w:pPr>
          </w:p>
        </w:tc>
        <w:tc>
          <w:tcPr>
            <w:tcW w:w="624" w:type="pct"/>
            <w:vMerge w:val="restart"/>
            <w:vAlign w:val="center"/>
          </w:tcPr>
          <w:p w14:paraId="3A0AC429" w14:textId="77777777" w:rsidR="007D1E74" w:rsidRDefault="00A95641">
            <w:pPr>
              <w:jc w:val="center"/>
              <w:rPr>
                <w:sz w:val="18"/>
                <w:szCs w:val="18"/>
              </w:rPr>
            </w:pPr>
            <w:r>
              <w:rPr>
                <w:sz w:val="18"/>
                <w:szCs w:val="18"/>
              </w:rPr>
              <w:t>地下水</w:t>
            </w:r>
          </w:p>
        </w:tc>
        <w:tc>
          <w:tcPr>
            <w:tcW w:w="1151" w:type="pct"/>
            <w:gridSpan w:val="3"/>
            <w:vAlign w:val="center"/>
          </w:tcPr>
          <w:p w14:paraId="4A141BF4" w14:textId="77777777" w:rsidR="007D1E74" w:rsidRDefault="00A95641">
            <w:pPr>
              <w:jc w:val="center"/>
              <w:rPr>
                <w:rFonts w:cstheme="minorHAnsi"/>
                <w:sz w:val="18"/>
                <w:szCs w:val="18"/>
              </w:rPr>
            </w:pPr>
            <w:r>
              <w:rPr>
                <w:rFonts w:cstheme="minorHAnsi" w:hint="eastAsia"/>
                <w:sz w:val="18"/>
                <w:szCs w:val="18"/>
              </w:rPr>
              <w:t>地下水功能敏感性</w:t>
            </w:r>
          </w:p>
        </w:tc>
        <w:tc>
          <w:tcPr>
            <w:tcW w:w="797" w:type="pct"/>
            <w:vAlign w:val="center"/>
          </w:tcPr>
          <w:p w14:paraId="00814F4A" w14:textId="77777777" w:rsidR="007D1E74" w:rsidRDefault="00A95641">
            <w:pPr>
              <w:jc w:val="center"/>
              <w:rPr>
                <w:rFonts w:cstheme="minorHAnsi"/>
                <w:sz w:val="18"/>
                <w:szCs w:val="18"/>
              </w:rPr>
            </w:pPr>
            <w:r>
              <w:rPr>
                <w:rFonts w:cstheme="minorHAnsi" w:hint="eastAsia"/>
                <w:sz w:val="18"/>
                <w:szCs w:val="18"/>
              </w:rPr>
              <w:t>G</w:t>
            </w:r>
            <w:r>
              <w:rPr>
                <w:rFonts w:cstheme="minorHAnsi"/>
                <w:sz w:val="18"/>
                <w:szCs w:val="18"/>
              </w:rPr>
              <w:t>1</w:t>
            </w:r>
            <w:r>
              <w:rPr>
                <w:rFonts w:asciiTheme="minorEastAsia" w:hAnsiTheme="minorEastAsia"/>
                <w:sz w:val="18"/>
                <w:szCs w:val="18"/>
              </w:rPr>
              <w:t>□</w:t>
            </w:r>
          </w:p>
        </w:tc>
        <w:tc>
          <w:tcPr>
            <w:tcW w:w="719" w:type="pct"/>
            <w:gridSpan w:val="2"/>
            <w:vAlign w:val="center"/>
          </w:tcPr>
          <w:p w14:paraId="7BCB6FB8" w14:textId="77777777" w:rsidR="007D1E74" w:rsidRDefault="00A95641">
            <w:pPr>
              <w:jc w:val="center"/>
              <w:rPr>
                <w:rFonts w:cstheme="minorHAnsi"/>
                <w:sz w:val="18"/>
                <w:szCs w:val="18"/>
              </w:rPr>
            </w:pPr>
            <w:r>
              <w:rPr>
                <w:rFonts w:cstheme="minorHAnsi"/>
                <w:sz w:val="18"/>
                <w:szCs w:val="18"/>
              </w:rPr>
              <w:t>G2</w:t>
            </w:r>
            <w:r>
              <w:rPr>
                <w:sz w:val="18"/>
                <w:szCs w:val="18"/>
              </w:rPr>
              <w:sym w:font="Wingdings 2" w:char="F052"/>
            </w:r>
          </w:p>
        </w:tc>
        <w:tc>
          <w:tcPr>
            <w:tcW w:w="735" w:type="pct"/>
            <w:vAlign w:val="center"/>
          </w:tcPr>
          <w:p w14:paraId="4689DBA2" w14:textId="77777777" w:rsidR="007D1E74" w:rsidRDefault="00A95641">
            <w:pPr>
              <w:jc w:val="center"/>
              <w:rPr>
                <w:rFonts w:cstheme="minorHAnsi"/>
                <w:sz w:val="18"/>
                <w:szCs w:val="18"/>
              </w:rPr>
            </w:pPr>
            <w:r>
              <w:rPr>
                <w:rFonts w:cstheme="minorHAnsi"/>
                <w:sz w:val="18"/>
                <w:szCs w:val="18"/>
              </w:rPr>
              <w:t>G3</w:t>
            </w:r>
            <w:r>
              <w:rPr>
                <w:rFonts w:asciiTheme="minorEastAsia" w:hAnsiTheme="minorEastAsia"/>
                <w:sz w:val="18"/>
                <w:szCs w:val="18"/>
              </w:rPr>
              <w:t>□</w:t>
            </w:r>
          </w:p>
        </w:tc>
      </w:tr>
      <w:tr w:rsidR="007D1E74" w14:paraId="4A654F99" w14:textId="77777777">
        <w:trPr>
          <w:trHeight w:val="315"/>
          <w:jc w:val="center"/>
        </w:trPr>
        <w:tc>
          <w:tcPr>
            <w:tcW w:w="246" w:type="pct"/>
            <w:vMerge/>
            <w:shd w:val="clear" w:color="auto" w:fill="auto"/>
            <w:vAlign w:val="center"/>
          </w:tcPr>
          <w:p w14:paraId="07643595" w14:textId="77777777" w:rsidR="007D1E74" w:rsidRDefault="007D1E74">
            <w:pPr>
              <w:jc w:val="center"/>
              <w:rPr>
                <w:sz w:val="18"/>
                <w:szCs w:val="18"/>
              </w:rPr>
            </w:pPr>
          </w:p>
        </w:tc>
        <w:tc>
          <w:tcPr>
            <w:tcW w:w="728" w:type="pct"/>
            <w:vMerge/>
            <w:shd w:val="clear" w:color="auto" w:fill="auto"/>
            <w:vAlign w:val="center"/>
          </w:tcPr>
          <w:p w14:paraId="2A6840D0" w14:textId="77777777" w:rsidR="007D1E74" w:rsidRDefault="007D1E74">
            <w:pPr>
              <w:jc w:val="center"/>
              <w:rPr>
                <w:sz w:val="18"/>
                <w:szCs w:val="18"/>
              </w:rPr>
            </w:pPr>
          </w:p>
        </w:tc>
        <w:tc>
          <w:tcPr>
            <w:tcW w:w="624" w:type="pct"/>
            <w:vMerge/>
            <w:vAlign w:val="center"/>
          </w:tcPr>
          <w:p w14:paraId="7C8B416D" w14:textId="77777777" w:rsidR="007D1E74" w:rsidRDefault="007D1E74">
            <w:pPr>
              <w:jc w:val="center"/>
              <w:rPr>
                <w:sz w:val="18"/>
                <w:szCs w:val="18"/>
              </w:rPr>
            </w:pPr>
          </w:p>
        </w:tc>
        <w:tc>
          <w:tcPr>
            <w:tcW w:w="1151" w:type="pct"/>
            <w:gridSpan w:val="3"/>
            <w:vAlign w:val="center"/>
          </w:tcPr>
          <w:p w14:paraId="0559F8F3" w14:textId="77777777" w:rsidR="007D1E74" w:rsidRDefault="00A95641">
            <w:pPr>
              <w:jc w:val="center"/>
              <w:rPr>
                <w:rFonts w:cstheme="minorHAnsi"/>
                <w:sz w:val="18"/>
                <w:szCs w:val="18"/>
              </w:rPr>
            </w:pPr>
            <w:r>
              <w:rPr>
                <w:rFonts w:cstheme="minorHAnsi" w:hint="eastAsia"/>
                <w:sz w:val="18"/>
                <w:szCs w:val="18"/>
              </w:rPr>
              <w:t>包气带防污性能</w:t>
            </w:r>
          </w:p>
        </w:tc>
        <w:tc>
          <w:tcPr>
            <w:tcW w:w="797" w:type="pct"/>
            <w:vAlign w:val="center"/>
          </w:tcPr>
          <w:p w14:paraId="67B0299D" w14:textId="77777777" w:rsidR="007D1E74" w:rsidRDefault="00A95641">
            <w:pPr>
              <w:jc w:val="center"/>
              <w:rPr>
                <w:rFonts w:cstheme="minorHAnsi"/>
                <w:sz w:val="18"/>
                <w:szCs w:val="18"/>
              </w:rPr>
            </w:pPr>
            <w:r>
              <w:rPr>
                <w:rFonts w:cstheme="minorHAnsi"/>
                <w:sz w:val="18"/>
                <w:szCs w:val="18"/>
              </w:rPr>
              <w:t>D1</w:t>
            </w:r>
            <w:r>
              <w:rPr>
                <w:sz w:val="18"/>
                <w:szCs w:val="18"/>
              </w:rPr>
              <w:sym w:font="Wingdings 2" w:char="F052"/>
            </w:r>
          </w:p>
        </w:tc>
        <w:tc>
          <w:tcPr>
            <w:tcW w:w="719" w:type="pct"/>
            <w:gridSpan w:val="2"/>
            <w:vAlign w:val="center"/>
          </w:tcPr>
          <w:p w14:paraId="6C3953BC" w14:textId="77777777" w:rsidR="007D1E74" w:rsidRDefault="00A95641">
            <w:pPr>
              <w:jc w:val="center"/>
              <w:rPr>
                <w:rFonts w:cstheme="minorHAnsi"/>
                <w:sz w:val="18"/>
                <w:szCs w:val="18"/>
              </w:rPr>
            </w:pPr>
            <w:r>
              <w:rPr>
                <w:rFonts w:cstheme="minorHAnsi"/>
                <w:sz w:val="18"/>
                <w:szCs w:val="18"/>
              </w:rPr>
              <w:t>D2</w:t>
            </w:r>
            <w:r>
              <w:rPr>
                <w:rFonts w:asciiTheme="minorEastAsia" w:hAnsiTheme="minorEastAsia"/>
                <w:sz w:val="18"/>
                <w:szCs w:val="18"/>
              </w:rPr>
              <w:t>□</w:t>
            </w:r>
          </w:p>
        </w:tc>
        <w:tc>
          <w:tcPr>
            <w:tcW w:w="735" w:type="pct"/>
            <w:vAlign w:val="center"/>
          </w:tcPr>
          <w:p w14:paraId="6E4E3C1E" w14:textId="77777777" w:rsidR="007D1E74" w:rsidRDefault="00A95641">
            <w:pPr>
              <w:jc w:val="center"/>
              <w:rPr>
                <w:rFonts w:cstheme="minorHAnsi"/>
                <w:sz w:val="18"/>
                <w:szCs w:val="18"/>
              </w:rPr>
            </w:pPr>
            <w:r>
              <w:rPr>
                <w:rFonts w:cstheme="minorHAnsi"/>
                <w:sz w:val="18"/>
                <w:szCs w:val="18"/>
              </w:rPr>
              <w:t>D3</w:t>
            </w:r>
            <w:r>
              <w:rPr>
                <w:rFonts w:asciiTheme="minorEastAsia" w:hAnsiTheme="minorEastAsia"/>
                <w:sz w:val="18"/>
                <w:szCs w:val="18"/>
              </w:rPr>
              <w:t>□</w:t>
            </w:r>
          </w:p>
        </w:tc>
      </w:tr>
      <w:tr w:rsidR="007D1E74" w14:paraId="002DA415" w14:textId="77777777">
        <w:trPr>
          <w:trHeight w:val="70"/>
          <w:jc w:val="center"/>
        </w:trPr>
        <w:tc>
          <w:tcPr>
            <w:tcW w:w="974" w:type="pct"/>
            <w:gridSpan w:val="2"/>
            <w:vMerge w:val="restart"/>
            <w:shd w:val="clear" w:color="auto" w:fill="auto"/>
            <w:vAlign w:val="center"/>
          </w:tcPr>
          <w:p w14:paraId="2BAB6E6F" w14:textId="77777777" w:rsidR="007D1E74" w:rsidRDefault="00A95641">
            <w:pPr>
              <w:jc w:val="center"/>
              <w:rPr>
                <w:sz w:val="18"/>
                <w:szCs w:val="18"/>
              </w:rPr>
            </w:pPr>
            <w:r>
              <w:rPr>
                <w:rFonts w:hint="eastAsia"/>
                <w:sz w:val="18"/>
                <w:szCs w:val="18"/>
              </w:rPr>
              <w:t>物质及工艺系统危险性</w:t>
            </w:r>
          </w:p>
        </w:tc>
        <w:tc>
          <w:tcPr>
            <w:tcW w:w="624" w:type="pct"/>
            <w:vAlign w:val="center"/>
          </w:tcPr>
          <w:p w14:paraId="6AB86799" w14:textId="77777777" w:rsidR="007D1E74" w:rsidRDefault="00A95641">
            <w:pPr>
              <w:jc w:val="center"/>
              <w:rPr>
                <w:sz w:val="18"/>
                <w:szCs w:val="18"/>
              </w:rPr>
            </w:pPr>
            <w:r>
              <w:rPr>
                <w:rFonts w:hint="eastAsia"/>
                <w:i/>
                <w:sz w:val="18"/>
                <w:szCs w:val="18"/>
              </w:rPr>
              <w:t>Q</w:t>
            </w:r>
            <w:r>
              <w:rPr>
                <w:rFonts w:hint="eastAsia"/>
                <w:sz w:val="18"/>
                <w:szCs w:val="18"/>
              </w:rPr>
              <w:t>值</w:t>
            </w:r>
          </w:p>
        </w:tc>
        <w:tc>
          <w:tcPr>
            <w:tcW w:w="1151" w:type="pct"/>
            <w:gridSpan w:val="3"/>
            <w:vAlign w:val="center"/>
          </w:tcPr>
          <w:p w14:paraId="3F6B392A" w14:textId="77777777" w:rsidR="007D1E74" w:rsidRDefault="00A95641">
            <w:pPr>
              <w:jc w:val="center"/>
              <w:rPr>
                <w:rFonts w:cstheme="minorHAnsi"/>
                <w:sz w:val="18"/>
                <w:szCs w:val="18"/>
              </w:rPr>
            </w:pPr>
            <w:r>
              <w:rPr>
                <w:rFonts w:hint="eastAsia"/>
                <w:i/>
                <w:sz w:val="18"/>
                <w:szCs w:val="18"/>
              </w:rPr>
              <w:t>Q</w:t>
            </w:r>
            <w:r>
              <w:rPr>
                <w:rFonts w:cstheme="minorHAnsi"/>
                <w:sz w:val="18"/>
                <w:szCs w:val="18"/>
              </w:rPr>
              <w:t>&lt;1</w:t>
            </w:r>
            <w:r>
              <w:rPr>
                <w:rFonts w:asciiTheme="minorEastAsia" w:hAnsiTheme="minorEastAsia"/>
                <w:sz w:val="18"/>
                <w:szCs w:val="18"/>
              </w:rPr>
              <w:t>□</w:t>
            </w:r>
          </w:p>
        </w:tc>
        <w:tc>
          <w:tcPr>
            <w:tcW w:w="797" w:type="pct"/>
            <w:vAlign w:val="center"/>
          </w:tcPr>
          <w:p w14:paraId="0F7CDF45" w14:textId="77777777" w:rsidR="007D1E74" w:rsidRDefault="00A95641">
            <w:pPr>
              <w:jc w:val="center"/>
              <w:rPr>
                <w:rFonts w:cstheme="minorHAnsi"/>
                <w:sz w:val="18"/>
                <w:szCs w:val="18"/>
              </w:rPr>
            </w:pPr>
            <w:r>
              <w:rPr>
                <w:rFonts w:cstheme="minorHAnsi"/>
                <w:sz w:val="18"/>
                <w:szCs w:val="18"/>
              </w:rPr>
              <w:t>1≤</w:t>
            </w:r>
            <w:r>
              <w:rPr>
                <w:rFonts w:hint="eastAsia"/>
                <w:i/>
                <w:sz w:val="18"/>
                <w:szCs w:val="18"/>
              </w:rPr>
              <w:t>Q</w:t>
            </w:r>
            <w:r>
              <w:rPr>
                <w:rFonts w:cstheme="minorHAnsi"/>
                <w:sz w:val="18"/>
                <w:szCs w:val="18"/>
              </w:rPr>
              <w:t>&lt;10</w:t>
            </w:r>
            <w:r>
              <w:rPr>
                <w:rFonts w:asciiTheme="minorEastAsia" w:hAnsiTheme="minorEastAsia"/>
                <w:sz w:val="18"/>
                <w:szCs w:val="18"/>
              </w:rPr>
              <w:t>□</w:t>
            </w:r>
          </w:p>
        </w:tc>
        <w:tc>
          <w:tcPr>
            <w:tcW w:w="719" w:type="pct"/>
            <w:gridSpan w:val="2"/>
            <w:vAlign w:val="center"/>
          </w:tcPr>
          <w:p w14:paraId="448E19D5" w14:textId="77777777" w:rsidR="007D1E74" w:rsidRDefault="00A95641">
            <w:pPr>
              <w:jc w:val="center"/>
              <w:rPr>
                <w:rFonts w:cstheme="minorHAnsi"/>
                <w:sz w:val="18"/>
                <w:szCs w:val="18"/>
              </w:rPr>
            </w:pPr>
            <w:r>
              <w:rPr>
                <w:rFonts w:cstheme="minorHAnsi"/>
                <w:sz w:val="18"/>
                <w:szCs w:val="18"/>
              </w:rPr>
              <w:t>10≤</w:t>
            </w:r>
            <w:r>
              <w:rPr>
                <w:rFonts w:hint="eastAsia"/>
                <w:i/>
                <w:sz w:val="18"/>
                <w:szCs w:val="18"/>
              </w:rPr>
              <w:t>Q</w:t>
            </w:r>
            <w:r>
              <w:rPr>
                <w:rFonts w:cstheme="minorHAnsi"/>
                <w:sz w:val="18"/>
                <w:szCs w:val="18"/>
              </w:rPr>
              <w:t>&lt;100</w:t>
            </w:r>
            <w:r>
              <w:rPr>
                <w:sz w:val="18"/>
                <w:szCs w:val="18"/>
              </w:rPr>
              <w:sym w:font="Wingdings 2" w:char="F052"/>
            </w:r>
          </w:p>
        </w:tc>
        <w:tc>
          <w:tcPr>
            <w:tcW w:w="735" w:type="pct"/>
            <w:vAlign w:val="center"/>
          </w:tcPr>
          <w:p w14:paraId="1A81C9F6" w14:textId="77777777" w:rsidR="007D1E74" w:rsidRDefault="00A95641">
            <w:pPr>
              <w:jc w:val="center"/>
              <w:rPr>
                <w:sz w:val="18"/>
                <w:szCs w:val="18"/>
              </w:rPr>
            </w:pPr>
            <w:r>
              <w:rPr>
                <w:rFonts w:hint="eastAsia"/>
                <w:i/>
                <w:sz w:val="18"/>
                <w:szCs w:val="18"/>
              </w:rPr>
              <w:t>Q</w:t>
            </w:r>
            <w:r>
              <w:rPr>
                <w:rFonts w:hint="eastAsia"/>
                <w:sz w:val="18"/>
                <w:szCs w:val="18"/>
              </w:rPr>
              <w:t>&gt;100</w:t>
            </w:r>
            <w:r>
              <w:rPr>
                <w:rFonts w:asciiTheme="minorEastAsia" w:hAnsiTheme="minorEastAsia"/>
                <w:sz w:val="18"/>
                <w:szCs w:val="18"/>
              </w:rPr>
              <w:t>□</w:t>
            </w:r>
          </w:p>
        </w:tc>
      </w:tr>
      <w:tr w:rsidR="007D1E74" w14:paraId="2B21E5AD" w14:textId="77777777">
        <w:trPr>
          <w:trHeight w:val="70"/>
          <w:jc w:val="center"/>
        </w:trPr>
        <w:tc>
          <w:tcPr>
            <w:tcW w:w="974" w:type="pct"/>
            <w:gridSpan w:val="2"/>
            <w:vMerge/>
            <w:shd w:val="clear" w:color="auto" w:fill="auto"/>
            <w:vAlign w:val="center"/>
          </w:tcPr>
          <w:p w14:paraId="71FC7891" w14:textId="77777777" w:rsidR="007D1E74" w:rsidRDefault="007D1E74">
            <w:pPr>
              <w:jc w:val="center"/>
              <w:rPr>
                <w:sz w:val="18"/>
                <w:szCs w:val="18"/>
              </w:rPr>
            </w:pPr>
          </w:p>
        </w:tc>
        <w:tc>
          <w:tcPr>
            <w:tcW w:w="624" w:type="pct"/>
            <w:vAlign w:val="center"/>
          </w:tcPr>
          <w:p w14:paraId="7DAA42B1" w14:textId="77777777" w:rsidR="007D1E74" w:rsidRDefault="00A95641">
            <w:pPr>
              <w:jc w:val="center"/>
              <w:rPr>
                <w:sz w:val="18"/>
                <w:szCs w:val="18"/>
              </w:rPr>
            </w:pPr>
            <w:r>
              <w:rPr>
                <w:sz w:val="18"/>
                <w:szCs w:val="18"/>
              </w:rPr>
              <w:t>M</w:t>
            </w:r>
            <w:r>
              <w:rPr>
                <w:sz w:val="18"/>
                <w:szCs w:val="18"/>
              </w:rPr>
              <w:t>值</w:t>
            </w:r>
          </w:p>
        </w:tc>
        <w:tc>
          <w:tcPr>
            <w:tcW w:w="1151" w:type="pct"/>
            <w:gridSpan w:val="3"/>
            <w:vAlign w:val="center"/>
          </w:tcPr>
          <w:p w14:paraId="07CD7DCF" w14:textId="77777777" w:rsidR="007D1E74" w:rsidRDefault="00A95641">
            <w:pPr>
              <w:jc w:val="center"/>
              <w:rPr>
                <w:sz w:val="18"/>
                <w:szCs w:val="18"/>
              </w:rPr>
            </w:pPr>
            <w:r>
              <w:rPr>
                <w:sz w:val="18"/>
                <w:szCs w:val="18"/>
              </w:rPr>
              <w:t>M1</w:t>
            </w:r>
            <w:r>
              <w:rPr>
                <w:rFonts w:asciiTheme="minorEastAsia" w:hAnsiTheme="minorEastAsia"/>
                <w:sz w:val="18"/>
                <w:szCs w:val="18"/>
              </w:rPr>
              <w:t>□</w:t>
            </w:r>
          </w:p>
        </w:tc>
        <w:tc>
          <w:tcPr>
            <w:tcW w:w="797" w:type="pct"/>
            <w:vAlign w:val="center"/>
          </w:tcPr>
          <w:p w14:paraId="71602B43" w14:textId="77777777" w:rsidR="007D1E74" w:rsidRDefault="00A95641">
            <w:pPr>
              <w:jc w:val="center"/>
              <w:rPr>
                <w:sz w:val="18"/>
                <w:szCs w:val="18"/>
              </w:rPr>
            </w:pPr>
            <w:r>
              <w:rPr>
                <w:sz w:val="18"/>
                <w:szCs w:val="18"/>
              </w:rPr>
              <w:t>M2</w:t>
            </w:r>
            <w:r>
              <w:rPr>
                <w:rFonts w:asciiTheme="minorEastAsia" w:hAnsiTheme="minorEastAsia"/>
                <w:sz w:val="18"/>
                <w:szCs w:val="18"/>
              </w:rPr>
              <w:t>□</w:t>
            </w:r>
          </w:p>
        </w:tc>
        <w:tc>
          <w:tcPr>
            <w:tcW w:w="719" w:type="pct"/>
            <w:gridSpan w:val="2"/>
            <w:vAlign w:val="center"/>
          </w:tcPr>
          <w:p w14:paraId="1168AAF8" w14:textId="77777777" w:rsidR="007D1E74" w:rsidRDefault="00A95641">
            <w:pPr>
              <w:jc w:val="center"/>
              <w:rPr>
                <w:sz w:val="18"/>
                <w:szCs w:val="18"/>
              </w:rPr>
            </w:pPr>
            <w:r>
              <w:rPr>
                <w:sz w:val="18"/>
                <w:szCs w:val="18"/>
              </w:rPr>
              <w:t>M3</w:t>
            </w:r>
            <w:r>
              <w:rPr>
                <w:sz w:val="18"/>
                <w:szCs w:val="18"/>
              </w:rPr>
              <w:sym w:font="Wingdings 2" w:char="F052"/>
            </w:r>
          </w:p>
        </w:tc>
        <w:tc>
          <w:tcPr>
            <w:tcW w:w="735" w:type="pct"/>
            <w:vAlign w:val="center"/>
          </w:tcPr>
          <w:p w14:paraId="7773A8DC" w14:textId="77777777" w:rsidR="007D1E74" w:rsidRDefault="00A95641">
            <w:pPr>
              <w:jc w:val="center"/>
              <w:rPr>
                <w:sz w:val="18"/>
                <w:szCs w:val="18"/>
              </w:rPr>
            </w:pPr>
            <w:r>
              <w:rPr>
                <w:sz w:val="18"/>
                <w:szCs w:val="18"/>
              </w:rPr>
              <w:t>M4</w:t>
            </w:r>
            <w:r>
              <w:rPr>
                <w:rFonts w:asciiTheme="minorEastAsia" w:hAnsiTheme="minorEastAsia"/>
                <w:sz w:val="18"/>
                <w:szCs w:val="18"/>
              </w:rPr>
              <w:t>□</w:t>
            </w:r>
          </w:p>
        </w:tc>
      </w:tr>
      <w:tr w:rsidR="007D1E74" w14:paraId="0A9C6EB1" w14:textId="77777777">
        <w:trPr>
          <w:trHeight w:val="70"/>
          <w:jc w:val="center"/>
        </w:trPr>
        <w:tc>
          <w:tcPr>
            <w:tcW w:w="974" w:type="pct"/>
            <w:gridSpan w:val="2"/>
            <w:vMerge/>
            <w:shd w:val="clear" w:color="auto" w:fill="auto"/>
            <w:vAlign w:val="center"/>
          </w:tcPr>
          <w:p w14:paraId="4E74EB19" w14:textId="77777777" w:rsidR="007D1E74" w:rsidRDefault="007D1E74">
            <w:pPr>
              <w:jc w:val="center"/>
              <w:rPr>
                <w:sz w:val="18"/>
                <w:szCs w:val="18"/>
              </w:rPr>
            </w:pPr>
          </w:p>
        </w:tc>
        <w:tc>
          <w:tcPr>
            <w:tcW w:w="624" w:type="pct"/>
            <w:vAlign w:val="center"/>
          </w:tcPr>
          <w:p w14:paraId="766C0255" w14:textId="77777777" w:rsidR="007D1E74" w:rsidRDefault="00A95641">
            <w:pPr>
              <w:jc w:val="center"/>
              <w:rPr>
                <w:sz w:val="18"/>
                <w:szCs w:val="18"/>
              </w:rPr>
            </w:pPr>
            <w:r>
              <w:rPr>
                <w:sz w:val="18"/>
                <w:szCs w:val="18"/>
              </w:rPr>
              <w:t>P</w:t>
            </w:r>
            <w:r>
              <w:rPr>
                <w:sz w:val="18"/>
                <w:szCs w:val="18"/>
              </w:rPr>
              <w:t>值</w:t>
            </w:r>
          </w:p>
        </w:tc>
        <w:tc>
          <w:tcPr>
            <w:tcW w:w="1151" w:type="pct"/>
            <w:gridSpan w:val="3"/>
            <w:vAlign w:val="center"/>
          </w:tcPr>
          <w:p w14:paraId="28A2786F" w14:textId="77777777" w:rsidR="007D1E74" w:rsidRDefault="00A95641">
            <w:pPr>
              <w:jc w:val="center"/>
              <w:rPr>
                <w:sz w:val="18"/>
                <w:szCs w:val="18"/>
              </w:rPr>
            </w:pPr>
            <w:r>
              <w:rPr>
                <w:sz w:val="18"/>
                <w:szCs w:val="18"/>
              </w:rPr>
              <w:t>P1</w:t>
            </w:r>
            <w:r>
              <w:rPr>
                <w:rFonts w:asciiTheme="minorEastAsia" w:hAnsiTheme="minorEastAsia"/>
                <w:sz w:val="18"/>
                <w:szCs w:val="18"/>
              </w:rPr>
              <w:t>□</w:t>
            </w:r>
          </w:p>
        </w:tc>
        <w:tc>
          <w:tcPr>
            <w:tcW w:w="797" w:type="pct"/>
            <w:vAlign w:val="center"/>
          </w:tcPr>
          <w:p w14:paraId="7BF2F00B" w14:textId="77777777" w:rsidR="007D1E74" w:rsidRDefault="00A95641">
            <w:pPr>
              <w:jc w:val="center"/>
              <w:rPr>
                <w:sz w:val="18"/>
                <w:szCs w:val="18"/>
              </w:rPr>
            </w:pPr>
            <w:r>
              <w:rPr>
                <w:sz w:val="18"/>
                <w:szCs w:val="18"/>
              </w:rPr>
              <w:t>P2</w:t>
            </w:r>
            <w:r>
              <w:rPr>
                <w:rFonts w:asciiTheme="minorEastAsia" w:hAnsiTheme="minorEastAsia"/>
                <w:sz w:val="18"/>
                <w:szCs w:val="18"/>
              </w:rPr>
              <w:t>□</w:t>
            </w:r>
          </w:p>
        </w:tc>
        <w:tc>
          <w:tcPr>
            <w:tcW w:w="719" w:type="pct"/>
            <w:gridSpan w:val="2"/>
            <w:vAlign w:val="center"/>
          </w:tcPr>
          <w:p w14:paraId="31EFDF44" w14:textId="77777777" w:rsidR="007D1E74" w:rsidRDefault="00A95641">
            <w:pPr>
              <w:jc w:val="center"/>
              <w:rPr>
                <w:sz w:val="18"/>
                <w:szCs w:val="18"/>
              </w:rPr>
            </w:pPr>
            <w:r>
              <w:rPr>
                <w:sz w:val="18"/>
                <w:szCs w:val="18"/>
              </w:rPr>
              <w:t>P3</w:t>
            </w:r>
            <w:r>
              <w:rPr>
                <w:sz w:val="18"/>
                <w:szCs w:val="18"/>
              </w:rPr>
              <w:sym w:font="Wingdings 2" w:char="F052"/>
            </w:r>
          </w:p>
        </w:tc>
        <w:tc>
          <w:tcPr>
            <w:tcW w:w="735" w:type="pct"/>
            <w:vAlign w:val="center"/>
          </w:tcPr>
          <w:p w14:paraId="5A55048D" w14:textId="77777777" w:rsidR="007D1E74" w:rsidRDefault="00A95641">
            <w:pPr>
              <w:jc w:val="center"/>
              <w:rPr>
                <w:sz w:val="18"/>
                <w:szCs w:val="18"/>
              </w:rPr>
            </w:pPr>
            <w:r>
              <w:rPr>
                <w:sz w:val="18"/>
                <w:szCs w:val="18"/>
              </w:rPr>
              <w:t>P4</w:t>
            </w:r>
            <w:r>
              <w:rPr>
                <w:rFonts w:asciiTheme="minorEastAsia" w:hAnsiTheme="minorEastAsia"/>
                <w:sz w:val="18"/>
                <w:szCs w:val="18"/>
              </w:rPr>
              <w:t>□</w:t>
            </w:r>
          </w:p>
        </w:tc>
      </w:tr>
      <w:tr w:rsidR="007D1E74" w14:paraId="5B44DFC7" w14:textId="77777777">
        <w:trPr>
          <w:trHeight w:val="166"/>
          <w:jc w:val="center"/>
        </w:trPr>
        <w:tc>
          <w:tcPr>
            <w:tcW w:w="974" w:type="pct"/>
            <w:gridSpan w:val="2"/>
            <w:vMerge w:val="restart"/>
            <w:shd w:val="clear" w:color="auto" w:fill="auto"/>
            <w:vAlign w:val="center"/>
          </w:tcPr>
          <w:p w14:paraId="2E4F2B22" w14:textId="77777777" w:rsidR="007D1E74" w:rsidRDefault="00A95641">
            <w:pPr>
              <w:jc w:val="center"/>
              <w:rPr>
                <w:sz w:val="18"/>
                <w:szCs w:val="18"/>
              </w:rPr>
            </w:pPr>
            <w:r>
              <w:rPr>
                <w:rFonts w:hint="eastAsia"/>
                <w:sz w:val="18"/>
                <w:szCs w:val="18"/>
              </w:rPr>
              <w:t>环境敏感程度</w:t>
            </w:r>
          </w:p>
        </w:tc>
        <w:tc>
          <w:tcPr>
            <w:tcW w:w="624" w:type="pct"/>
            <w:vAlign w:val="center"/>
          </w:tcPr>
          <w:p w14:paraId="2E367EFC" w14:textId="77777777" w:rsidR="007D1E74" w:rsidRDefault="00A95641">
            <w:pPr>
              <w:jc w:val="center"/>
              <w:rPr>
                <w:sz w:val="18"/>
                <w:szCs w:val="18"/>
              </w:rPr>
            </w:pPr>
            <w:r>
              <w:rPr>
                <w:sz w:val="18"/>
                <w:szCs w:val="18"/>
              </w:rPr>
              <w:t>大气</w:t>
            </w:r>
          </w:p>
        </w:tc>
        <w:tc>
          <w:tcPr>
            <w:tcW w:w="1151" w:type="pct"/>
            <w:gridSpan w:val="3"/>
            <w:vAlign w:val="center"/>
          </w:tcPr>
          <w:p w14:paraId="7BB255E5" w14:textId="77777777" w:rsidR="007D1E74" w:rsidRDefault="00A95641">
            <w:pPr>
              <w:jc w:val="center"/>
              <w:rPr>
                <w:sz w:val="18"/>
                <w:szCs w:val="18"/>
              </w:rPr>
            </w:pPr>
            <w:r>
              <w:rPr>
                <w:sz w:val="18"/>
                <w:szCs w:val="18"/>
              </w:rPr>
              <w:t>E1</w:t>
            </w:r>
            <w:r>
              <w:rPr>
                <w:rFonts w:asciiTheme="minorEastAsia" w:hAnsiTheme="minorEastAsia"/>
                <w:sz w:val="18"/>
                <w:szCs w:val="18"/>
              </w:rPr>
              <w:t>□</w:t>
            </w:r>
          </w:p>
        </w:tc>
        <w:tc>
          <w:tcPr>
            <w:tcW w:w="1128" w:type="pct"/>
            <w:gridSpan w:val="2"/>
            <w:vAlign w:val="center"/>
          </w:tcPr>
          <w:p w14:paraId="039635EB" w14:textId="77777777" w:rsidR="007D1E74" w:rsidRDefault="00A95641">
            <w:pPr>
              <w:jc w:val="center"/>
              <w:rPr>
                <w:sz w:val="18"/>
                <w:szCs w:val="18"/>
              </w:rPr>
            </w:pPr>
            <w:r>
              <w:rPr>
                <w:sz w:val="18"/>
                <w:szCs w:val="18"/>
              </w:rPr>
              <w:t>E2</w:t>
            </w:r>
            <w:r>
              <w:rPr>
                <w:rFonts w:asciiTheme="minorEastAsia" w:hAnsiTheme="minorEastAsia"/>
                <w:sz w:val="18"/>
                <w:szCs w:val="18"/>
              </w:rPr>
              <w:t>□</w:t>
            </w:r>
          </w:p>
        </w:tc>
        <w:tc>
          <w:tcPr>
            <w:tcW w:w="1123" w:type="pct"/>
            <w:gridSpan w:val="2"/>
            <w:vAlign w:val="center"/>
          </w:tcPr>
          <w:p w14:paraId="349F3870" w14:textId="77777777" w:rsidR="007D1E74" w:rsidRDefault="00A95641">
            <w:pPr>
              <w:jc w:val="center"/>
              <w:rPr>
                <w:sz w:val="18"/>
                <w:szCs w:val="18"/>
              </w:rPr>
            </w:pPr>
            <w:r>
              <w:rPr>
                <w:sz w:val="18"/>
                <w:szCs w:val="18"/>
              </w:rPr>
              <w:t>E3</w:t>
            </w:r>
            <w:r>
              <w:rPr>
                <w:sz w:val="18"/>
                <w:szCs w:val="18"/>
              </w:rPr>
              <w:sym w:font="Wingdings 2" w:char="F052"/>
            </w:r>
          </w:p>
        </w:tc>
      </w:tr>
      <w:tr w:rsidR="007D1E74" w14:paraId="3950384A" w14:textId="77777777">
        <w:trPr>
          <w:trHeight w:val="166"/>
          <w:jc w:val="center"/>
        </w:trPr>
        <w:tc>
          <w:tcPr>
            <w:tcW w:w="974" w:type="pct"/>
            <w:gridSpan w:val="2"/>
            <w:vMerge/>
            <w:shd w:val="clear" w:color="auto" w:fill="auto"/>
            <w:vAlign w:val="center"/>
          </w:tcPr>
          <w:p w14:paraId="7C49ACE1" w14:textId="77777777" w:rsidR="007D1E74" w:rsidRDefault="007D1E74">
            <w:pPr>
              <w:jc w:val="center"/>
              <w:rPr>
                <w:sz w:val="18"/>
                <w:szCs w:val="18"/>
              </w:rPr>
            </w:pPr>
          </w:p>
        </w:tc>
        <w:tc>
          <w:tcPr>
            <w:tcW w:w="624" w:type="pct"/>
            <w:vAlign w:val="center"/>
          </w:tcPr>
          <w:p w14:paraId="317A40E8" w14:textId="77777777" w:rsidR="007D1E74" w:rsidRDefault="00A95641">
            <w:pPr>
              <w:jc w:val="center"/>
              <w:rPr>
                <w:sz w:val="18"/>
                <w:szCs w:val="18"/>
              </w:rPr>
            </w:pPr>
            <w:r>
              <w:rPr>
                <w:sz w:val="18"/>
                <w:szCs w:val="18"/>
              </w:rPr>
              <w:t>地表水</w:t>
            </w:r>
          </w:p>
        </w:tc>
        <w:tc>
          <w:tcPr>
            <w:tcW w:w="1151" w:type="pct"/>
            <w:gridSpan w:val="3"/>
            <w:vAlign w:val="center"/>
          </w:tcPr>
          <w:p w14:paraId="3A18BFDA" w14:textId="77777777" w:rsidR="007D1E74" w:rsidRDefault="00A95641">
            <w:pPr>
              <w:jc w:val="center"/>
              <w:rPr>
                <w:sz w:val="18"/>
                <w:szCs w:val="18"/>
              </w:rPr>
            </w:pPr>
            <w:r>
              <w:rPr>
                <w:sz w:val="18"/>
                <w:szCs w:val="18"/>
              </w:rPr>
              <w:t>E1</w:t>
            </w:r>
            <w:r>
              <w:rPr>
                <w:rFonts w:asciiTheme="minorEastAsia" w:hAnsiTheme="minorEastAsia"/>
                <w:sz w:val="18"/>
                <w:szCs w:val="18"/>
              </w:rPr>
              <w:t>□</w:t>
            </w:r>
          </w:p>
        </w:tc>
        <w:tc>
          <w:tcPr>
            <w:tcW w:w="1128" w:type="pct"/>
            <w:gridSpan w:val="2"/>
            <w:vAlign w:val="center"/>
          </w:tcPr>
          <w:p w14:paraId="6284D12E" w14:textId="77777777" w:rsidR="007D1E74" w:rsidRDefault="00A95641">
            <w:pPr>
              <w:jc w:val="center"/>
              <w:rPr>
                <w:sz w:val="18"/>
                <w:szCs w:val="18"/>
              </w:rPr>
            </w:pPr>
            <w:r>
              <w:rPr>
                <w:sz w:val="18"/>
                <w:szCs w:val="18"/>
              </w:rPr>
              <w:t>E2</w:t>
            </w:r>
            <w:r>
              <w:rPr>
                <w:rFonts w:asciiTheme="minorEastAsia" w:hAnsiTheme="minorEastAsia"/>
                <w:sz w:val="18"/>
                <w:szCs w:val="18"/>
              </w:rPr>
              <w:t>□</w:t>
            </w:r>
          </w:p>
        </w:tc>
        <w:tc>
          <w:tcPr>
            <w:tcW w:w="1123" w:type="pct"/>
            <w:gridSpan w:val="2"/>
            <w:vAlign w:val="center"/>
          </w:tcPr>
          <w:p w14:paraId="1C59BA63" w14:textId="77777777" w:rsidR="007D1E74" w:rsidRDefault="00A95641">
            <w:pPr>
              <w:jc w:val="center"/>
              <w:rPr>
                <w:sz w:val="18"/>
                <w:szCs w:val="18"/>
              </w:rPr>
            </w:pPr>
            <w:r>
              <w:rPr>
                <w:sz w:val="18"/>
                <w:szCs w:val="18"/>
              </w:rPr>
              <w:t>E3</w:t>
            </w:r>
            <w:r>
              <w:rPr>
                <w:rFonts w:asciiTheme="minorEastAsia" w:hAnsiTheme="minorEastAsia"/>
                <w:sz w:val="18"/>
                <w:szCs w:val="18"/>
              </w:rPr>
              <w:t>□</w:t>
            </w:r>
          </w:p>
        </w:tc>
      </w:tr>
      <w:tr w:rsidR="007D1E74" w14:paraId="450368EB" w14:textId="77777777">
        <w:trPr>
          <w:trHeight w:val="166"/>
          <w:jc w:val="center"/>
        </w:trPr>
        <w:tc>
          <w:tcPr>
            <w:tcW w:w="974" w:type="pct"/>
            <w:gridSpan w:val="2"/>
            <w:vMerge/>
            <w:shd w:val="clear" w:color="auto" w:fill="auto"/>
            <w:vAlign w:val="center"/>
          </w:tcPr>
          <w:p w14:paraId="558C3DEE" w14:textId="77777777" w:rsidR="007D1E74" w:rsidRDefault="007D1E74">
            <w:pPr>
              <w:jc w:val="center"/>
              <w:rPr>
                <w:sz w:val="18"/>
                <w:szCs w:val="18"/>
              </w:rPr>
            </w:pPr>
          </w:p>
        </w:tc>
        <w:tc>
          <w:tcPr>
            <w:tcW w:w="624" w:type="pct"/>
            <w:vAlign w:val="center"/>
          </w:tcPr>
          <w:p w14:paraId="0030C582" w14:textId="77777777" w:rsidR="007D1E74" w:rsidRDefault="00A95641">
            <w:pPr>
              <w:jc w:val="center"/>
              <w:rPr>
                <w:sz w:val="18"/>
                <w:szCs w:val="18"/>
              </w:rPr>
            </w:pPr>
            <w:r>
              <w:rPr>
                <w:sz w:val="18"/>
                <w:szCs w:val="18"/>
              </w:rPr>
              <w:t>地下水</w:t>
            </w:r>
          </w:p>
        </w:tc>
        <w:tc>
          <w:tcPr>
            <w:tcW w:w="1151" w:type="pct"/>
            <w:gridSpan w:val="3"/>
            <w:vAlign w:val="center"/>
          </w:tcPr>
          <w:p w14:paraId="6A15AADF" w14:textId="77777777" w:rsidR="007D1E74" w:rsidRDefault="00A95641">
            <w:pPr>
              <w:jc w:val="center"/>
              <w:rPr>
                <w:sz w:val="18"/>
                <w:szCs w:val="18"/>
              </w:rPr>
            </w:pPr>
            <w:r>
              <w:rPr>
                <w:sz w:val="18"/>
                <w:szCs w:val="18"/>
              </w:rPr>
              <w:t>E1</w:t>
            </w:r>
            <w:r>
              <w:rPr>
                <w:sz w:val="18"/>
                <w:szCs w:val="18"/>
              </w:rPr>
              <w:sym w:font="Wingdings 2" w:char="F052"/>
            </w:r>
          </w:p>
        </w:tc>
        <w:tc>
          <w:tcPr>
            <w:tcW w:w="1128" w:type="pct"/>
            <w:gridSpan w:val="2"/>
            <w:vAlign w:val="center"/>
          </w:tcPr>
          <w:p w14:paraId="5C491204" w14:textId="77777777" w:rsidR="007D1E74" w:rsidRDefault="00A95641">
            <w:pPr>
              <w:jc w:val="center"/>
              <w:rPr>
                <w:sz w:val="18"/>
                <w:szCs w:val="18"/>
              </w:rPr>
            </w:pPr>
            <w:r>
              <w:rPr>
                <w:sz w:val="18"/>
                <w:szCs w:val="18"/>
              </w:rPr>
              <w:t>E2</w:t>
            </w:r>
            <w:r>
              <w:rPr>
                <w:rFonts w:asciiTheme="minorEastAsia" w:hAnsiTheme="minorEastAsia"/>
                <w:sz w:val="18"/>
                <w:szCs w:val="18"/>
              </w:rPr>
              <w:t>□</w:t>
            </w:r>
          </w:p>
        </w:tc>
        <w:tc>
          <w:tcPr>
            <w:tcW w:w="1123" w:type="pct"/>
            <w:gridSpan w:val="2"/>
            <w:vAlign w:val="center"/>
          </w:tcPr>
          <w:p w14:paraId="7A4505FB" w14:textId="77777777" w:rsidR="007D1E74" w:rsidRDefault="00A95641">
            <w:pPr>
              <w:jc w:val="center"/>
              <w:rPr>
                <w:sz w:val="18"/>
                <w:szCs w:val="18"/>
              </w:rPr>
            </w:pPr>
            <w:r>
              <w:rPr>
                <w:sz w:val="18"/>
                <w:szCs w:val="18"/>
              </w:rPr>
              <w:t>E3</w:t>
            </w:r>
            <w:r>
              <w:rPr>
                <w:rFonts w:asciiTheme="minorEastAsia" w:hAnsiTheme="minorEastAsia"/>
                <w:sz w:val="18"/>
                <w:szCs w:val="18"/>
              </w:rPr>
              <w:t>□</w:t>
            </w:r>
          </w:p>
        </w:tc>
      </w:tr>
      <w:tr w:rsidR="007D1E74" w14:paraId="2D79F973" w14:textId="77777777">
        <w:trPr>
          <w:trHeight w:val="166"/>
          <w:jc w:val="center"/>
        </w:trPr>
        <w:tc>
          <w:tcPr>
            <w:tcW w:w="974" w:type="pct"/>
            <w:gridSpan w:val="2"/>
            <w:shd w:val="clear" w:color="auto" w:fill="auto"/>
            <w:vAlign w:val="center"/>
          </w:tcPr>
          <w:p w14:paraId="2EDCC73B" w14:textId="77777777" w:rsidR="007D1E74" w:rsidRDefault="00A95641">
            <w:pPr>
              <w:jc w:val="center"/>
              <w:rPr>
                <w:sz w:val="18"/>
                <w:szCs w:val="18"/>
              </w:rPr>
            </w:pPr>
            <w:r>
              <w:rPr>
                <w:rFonts w:hint="eastAsia"/>
                <w:sz w:val="18"/>
                <w:szCs w:val="18"/>
              </w:rPr>
              <w:t>环境风险潜势</w:t>
            </w:r>
          </w:p>
        </w:tc>
        <w:tc>
          <w:tcPr>
            <w:tcW w:w="887" w:type="pct"/>
            <w:gridSpan w:val="2"/>
            <w:vAlign w:val="center"/>
          </w:tcPr>
          <w:p w14:paraId="66D3DD53" w14:textId="77777777" w:rsidR="007D1E74" w:rsidRDefault="00A95641">
            <w:pPr>
              <w:jc w:val="center"/>
              <w:rPr>
                <w:sz w:val="18"/>
                <w:szCs w:val="18"/>
              </w:rPr>
            </w:pPr>
            <w:r>
              <w:rPr>
                <w:rFonts w:hint="eastAsia"/>
                <w:sz w:val="18"/>
                <w:szCs w:val="18"/>
              </w:rPr>
              <w:t>IV</w:t>
            </w:r>
            <w:r>
              <w:rPr>
                <w:rFonts w:hint="eastAsia"/>
                <w:sz w:val="18"/>
                <w:szCs w:val="18"/>
                <w:vertAlign w:val="superscript"/>
              </w:rPr>
              <w:t>+</w:t>
            </w:r>
            <w:r>
              <w:rPr>
                <w:rFonts w:asciiTheme="minorEastAsia" w:hAnsiTheme="minorEastAsia"/>
                <w:sz w:val="18"/>
                <w:szCs w:val="18"/>
              </w:rPr>
              <w:t>□</w:t>
            </w:r>
          </w:p>
        </w:tc>
        <w:tc>
          <w:tcPr>
            <w:tcW w:w="888" w:type="pct"/>
            <w:gridSpan w:val="2"/>
            <w:vAlign w:val="center"/>
          </w:tcPr>
          <w:p w14:paraId="68DEB083" w14:textId="77777777" w:rsidR="007D1E74" w:rsidRDefault="00A95641">
            <w:pPr>
              <w:jc w:val="center"/>
              <w:rPr>
                <w:sz w:val="18"/>
                <w:szCs w:val="18"/>
              </w:rPr>
            </w:pPr>
            <w:r>
              <w:rPr>
                <w:rFonts w:hint="eastAsia"/>
                <w:sz w:val="18"/>
                <w:szCs w:val="18"/>
              </w:rPr>
              <w:t>IV</w:t>
            </w:r>
            <w:r>
              <w:rPr>
                <w:rFonts w:asciiTheme="minorEastAsia" w:hAnsiTheme="minorEastAsia"/>
                <w:sz w:val="18"/>
                <w:szCs w:val="18"/>
              </w:rPr>
              <w:t>□</w:t>
            </w:r>
          </w:p>
        </w:tc>
        <w:tc>
          <w:tcPr>
            <w:tcW w:w="797" w:type="pct"/>
            <w:vAlign w:val="center"/>
          </w:tcPr>
          <w:p w14:paraId="422678FE" w14:textId="77777777" w:rsidR="007D1E74" w:rsidRDefault="00A95641">
            <w:pPr>
              <w:jc w:val="center"/>
              <w:rPr>
                <w:sz w:val="18"/>
                <w:szCs w:val="18"/>
              </w:rPr>
            </w:pPr>
            <w:r>
              <w:rPr>
                <w:rFonts w:hint="eastAsia"/>
                <w:sz w:val="18"/>
                <w:szCs w:val="18"/>
              </w:rPr>
              <w:t>III</w:t>
            </w:r>
            <w:r>
              <w:rPr>
                <w:sz w:val="18"/>
                <w:szCs w:val="18"/>
              </w:rPr>
              <w:sym w:font="Wingdings 2" w:char="F052"/>
            </w:r>
          </w:p>
        </w:tc>
        <w:tc>
          <w:tcPr>
            <w:tcW w:w="719" w:type="pct"/>
            <w:gridSpan w:val="2"/>
            <w:vAlign w:val="center"/>
          </w:tcPr>
          <w:p w14:paraId="58FC7539" w14:textId="77777777" w:rsidR="007D1E74" w:rsidRDefault="00A95641">
            <w:pPr>
              <w:jc w:val="center"/>
              <w:rPr>
                <w:sz w:val="18"/>
                <w:szCs w:val="18"/>
              </w:rPr>
            </w:pPr>
            <w:r>
              <w:rPr>
                <w:rFonts w:hint="eastAsia"/>
                <w:sz w:val="18"/>
                <w:szCs w:val="18"/>
              </w:rPr>
              <w:t>II</w:t>
            </w:r>
            <w:r>
              <w:rPr>
                <w:rFonts w:asciiTheme="minorEastAsia" w:hAnsiTheme="minorEastAsia"/>
                <w:sz w:val="18"/>
                <w:szCs w:val="18"/>
              </w:rPr>
              <w:t>□</w:t>
            </w:r>
          </w:p>
        </w:tc>
        <w:tc>
          <w:tcPr>
            <w:tcW w:w="735" w:type="pct"/>
            <w:vAlign w:val="center"/>
          </w:tcPr>
          <w:p w14:paraId="6829FA73" w14:textId="77777777" w:rsidR="007D1E74" w:rsidRDefault="00A95641">
            <w:pPr>
              <w:jc w:val="center"/>
              <w:rPr>
                <w:sz w:val="18"/>
                <w:szCs w:val="18"/>
              </w:rPr>
            </w:pPr>
            <w:r>
              <w:rPr>
                <w:rFonts w:hint="eastAsia"/>
                <w:sz w:val="18"/>
                <w:szCs w:val="18"/>
              </w:rPr>
              <w:t>I</w:t>
            </w:r>
            <w:r>
              <w:rPr>
                <w:rFonts w:asciiTheme="minorEastAsia" w:hAnsiTheme="minorEastAsia"/>
                <w:sz w:val="18"/>
                <w:szCs w:val="18"/>
              </w:rPr>
              <w:t>□</w:t>
            </w:r>
          </w:p>
        </w:tc>
      </w:tr>
      <w:tr w:rsidR="007D1E74" w14:paraId="2FD87F38" w14:textId="77777777">
        <w:trPr>
          <w:trHeight w:val="166"/>
          <w:jc w:val="center"/>
        </w:trPr>
        <w:tc>
          <w:tcPr>
            <w:tcW w:w="974" w:type="pct"/>
            <w:gridSpan w:val="2"/>
            <w:shd w:val="clear" w:color="auto" w:fill="auto"/>
            <w:vAlign w:val="center"/>
          </w:tcPr>
          <w:p w14:paraId="3B638B4B" w14:textId="77777777" w:rsidR="007D1E74" w:rsidRDefault="00A95641">
            <w:pPr>
              <w:jc w:val="center"/>
              <w:rPr>
                <w:sz w:val="18"/>
                <w:szCs w:val="18"/>
              </w:rPr>
            </w:pPr>
            <w:r>
              <w:rPr>
                <w:rFonts w:hint="eastAsia"/>
                <w:sz w:val="18"/>
                <w:szCs w:val="18"/>
              </w:rPr>
              <w:t>评价等级</w:t>
            </w:r>
          </w:p>
        </w:tc>
        <w:tc>
          <w:tcPr>
            <w:tcW w:w="1775" w:type="pct"/>
            <w:gridSpan w:val="4"/>
            <w:vAlign w:val="center"/>
          </w:tcPr>
          <w:p w14:paraId="74E37FE7" w14:textId="77777777" w:rsidR="007D1E74" w:rsidRDefault="00A95641">
            <w:pPr>
              <w:jc w:val="center"/>
              <w:rPr>
                <w:sz w:val="18"/>
                <w:szCs w:val="18"/>
              </w:rPr>
            </w:pPr>
            <w:r>
              <w:rPr>
                <w:sz w:val="18"/>
                <w:szCs w:val="18"/>
              </w:rPr>
              <w:t>一级</w:t>
            </w:r>
            <w:r>
              <w:rPr>
                <w:rFonts w:asciiTheme="minorEastAsia" w:hAnsiTheme="minorEastAsia"/>
                <w:sz w:val="18"/>
                <w:szCs w:val="18"/>
              </w:rPr>
              <w:t>□</w:t>
            </w:r>
          </w:p>
        </w:tc>
        <w:tc>
          <w:tcPr>
            <w:tcW w:w="797" w:type="pct"/>
            <w:vAlign w:val="center"/>
          </w:tcPr>
          <w:p w14:paraId="56AEC1F2" w14:textId="77777777" w:rsidR="007D1E74" w:rsidRDefault="00A95641">
            <w:pPr>
              <w:jc w:val="center"/>
              <w:rPr>
                <w:sz w:val="18"/>
                <w:szCs w:val="18"/>
              </w:rPr>
            </w:pPr>
            <w:r>
              <w:rPr>
                <w:sz w:val="18"/>
                <w:szCs w:val="18"/>
              </w:rPr>
              <w:t>二级</w:t>
            </w:r>
            <w:r>
              <w:rPr>
                <w:sz w:val="18"/>
                <w:szCs w:val="18"/>
              </w:rPr>
              <w:sym w:font="Wingdings 2" w:char="F052"/>
            </w:r>
          </w:p>
        </w:tc>
        <w:tc>
          <w:tcPr>
            <w:tcW w:w="719" w:type="pct"/>
            <w:gridSpan w:val="2"/>
            <w:vAlign w:val="center"/>
          </w:tcPr>
          <w:p w14:paraId="095332AA" w14:textId="77777777" w:rsidR="007D1E74" w:rsidRDefault="00A95641">
            <w:pPr>
              <w:jc w:val="center"/>
              <w:rPr>
                <w:sz w:val="18"/>
                <w:szCs w:val="18"/>
              </w:rPr>
            </w:pPr>
            <w:r>
              <w:rPr>
                <w:sz w:val="18"/>
                <w:szCs w:val="18"/>
              </w:rPr>
              <w:t>三级</w:t>
            </w:r>
            <w:r>
              <w:rPr>
                <w:rFonts w:asciiTheme="minorEastAsia" w:hAnsiTheme="minorEastAsia"/>
                <w:sz w:val="18"/>
                <w:szCs w:val="18"/>
              </w:rPr>
              <w:t>□</w:t>
            </w:r>
          </w:p>
        </w:tc>
        <w:tc>
          <w:tcPr>
            <w:tcW w:w="735" w:type="pct"/>
            <w:vAlign w:val="center"/>
          </w:tcPr>
          <w:p w14:paraId="57CB5DC0" w14:textId="77777777" w:rsidR="007D1E74" w:rsidRDefault="00A95641">
            <w:pPr>
              <w:jc w:val="center"/>
              <w:rPr>
                <w:sz w:val="18"/>
                <w:szCs w:val="18"/>
              </w:rPr>
            </w:pPr>
            <w:r>
              <w:rPr>
                <w:sz w:val="18"/>
                <w:szCs w:val="18"/>
              </w:rPr>
              <w:t>简单分析</w:t>
            </w:r>
            <w:r>
              <w:rPr>
                <w:rFonts w:asciiTheme="minorEastAsia" w:hAnsiTheme="minorEastAsia"/>
                <w:sz w:val="18"/>
                <w:szCs w:val="18"/>
              </w:rPr>
              <w:t>□</w:t>
            </w:r>
          </w:p>
        </w:tc>
      </w:tr>
      <w:tr w:rsidR="007D1E74" w14:paraId="6BC89A8A" w14:textId="77777777">
        <w:trPr>
          <w:trHeight w:val="166"/>
          <w:jc w:val="center"/>
        </w:trPr>
        <w:tc>
          <w:tcPr>
            <w:tcW w:w="246" w:type="pct"/>
            <w:vMerge w:val="restart"/>
            <w:shd w:val="clear" w:color="auto" w:fill="auto"/>
            <w:vAlign w:val="center"/>
          </w:tcPr>
          <w:p w14:paraId="1F955379" w14:textId="77777777" w:rsidR="007D1E74" w:rsidRDefault="00A95641">
            <w:pPr>
              <w:jc w:val="center"/>
              <w:rPr>
                <w:sz w:val="18"/>
                <w:szCs w:val="18"/>
              </w:rPr>
            </w:pPr>
            <w:r>
              <w:rPr>
                <w:rFonts w:hint="eastAsia"/>
                <w:sz w:val="18"/>
                <w:szCs w:val="18"/>
              </w:rPr>
              <w:t>风险识别</w:t>
            </w:r>
          </w:p>
        </w:tc>
        <w:tc>
          <w:tcPr>
            <w:tcW w:w="728" w:type="pct"/>
            <w:shd w:val="clear" w:color="auto" w:fill="auto"/>
            <w:vAlign w:val="center"/>
          </w:tcPr>
          <w:p w14:paraId="3EB0116A" w14:textId="77777777" w:rsidR="007D1E74" w:rsidRDefault="00A95641">
            <w:pPr>
              <w:jc w:val="center"/>
              <w:rPr>
                <w:sz w:val="18"/>
                <w:szCs w:val="18"/>
              </w:rPr>
            </w:pPr>
            <w:r>
              <w:rPr>
                <w:rFonts w:hint="eastAsia"/>
                <w:sz w:val="18"/>
                <w:szCs w:val="18"/>
              </w:rPr>
              <w:t>物质危险性</w:t>
            </w:r>
          </w:p>
        </w:tc>
        <w:tc>
          <w:tcPr>
            <w:tcW w:w="1775" w:type="pct"/>
            <w:gridSpan w:val="4"/>
            <w:vAlign w:val="center"/>
          </w:tcPr>
          <w:p w14:paraId="0398DBCA" w14:textId="77777777" w:rsidR="007D1E74" w:rsidRDefault="00A95641">
            <w:pPr>
              <w:jc w:val="center"/>
              <w:rPr>
                <w:sz w:val="18"/>
                <w:szCs w:val="18"/>
              </w:rPr>
            </w:pPr>
            <w:r>
              <w:rPr>
                <w:sz w:val="18"/>
                <w:szCs w:val="18"/>
              </w:rPr>
              <w:t>有毒有害</w:t>
            </w:r>
            <w:r>
              <w:rPr>
                <w:rFonts w:hint="eastAsia"/>
                <w:sz w:val="18"/>
                <w:szCs w:val="18"/>
              </w:rPr>
              <w:t>□</w:t>
            </w:r>
          </w:p>
        </w:tc>
        <w:tc>
          <w:tcPr>
            <w:tcW w:w="2251" w:type="pct"/>
            <w:gridSpan w:val="4"/>
            <w:vAlign w:val="center"/>
          </w:tcPr>
          <w:p w14:paraId="1A34846A" w14:textId="77777777" w:rsidR="007D1E74" w:rsidRDefault="00A95641">
            <w:pPr>
              <w:jc w:val="center"/>
              <w:rPr>
                <w:sz w:val="18"/>
                <w:szCs w:val="18"/>
              </w:rPr>
            </w:pPr>
            <w:r>
              <w:rPr>
                <w:sz w:val="18"/>
                <w:szCs w:val="18"/>
              </w:rPr>
              <w:t>易燃易爆</w:t>
            </w:r>
            <w:r>
              <w:rPr>
                <w:sz w:val="18"/>
                <w:szCs w:val="18"/>
              </w:rPr>
              <w:sym w:font="Wingdings 2" w:char="F052"/>
            </w:r>
          </w:p>
        </w:tc>
      </w:tr>
      <w:tr w:rsidR="007D1E74" w14:paraId="3434D5D4" w14:textId="77777777">
        <w:trPr>
          <w:trHeight w:val="166"/>
          <w:jc w:val="center"/>
        </w:trPr>
        <w:tc>
          <w:tcPr>
            <w:tcW w:w="246" w:type="pct"/>
            <w:vMerge/>
            <w:shd w:val="clear" w:color="auto" w:fill="auto"/>
            <w:vAlign w:val="center"/>
          </w:tcPr>
          <w:p w14:paraId="09DD9DA4" w14:textId="77777777" w:rsidR="007D1E74" w:rsidRDefault="007D1E74">
            <w:pPr>
              <w:jc w:val="center"/>
              <w:rPr>
                <w:sz w:val="18"/>
                <w:szCs w:val="18"/>
              </w:rPr>
            </w:pPr>
          </w:p>
        </w:tc>
        <w:tc>
          <w:tcPr>
            <w:tcW w:w="728" w:type="pct"/>
            <w:shd w:val="clear" w:color="auto" w:fill="auto"/>
            <w:vAlign w:val="center"/>
          </w:tcPr>
          <w:p w14:paraId="15F559A6" w14:textId="77777777" w:rsidR="007D1E74" w:rsidRDefault="00A95641">
            <w:pPr>
              <w:jc w:val="center"/>
              <w:rPr>
                <w:sz w:val="18"/>
                <w:szCs w:val="18"/>
              </w:rPr>
            </w:pPr>
            <w:r>
              <w:rPr>
                <w:rFonts w:hint="eastAsia"/>
                <w:sz w:val="18"/>
                <w:szCs w:val="18"/>
              </w:rPr>
              <w:t>环境风险类型</w:t>
            </w:r>
          </w:p>
        </w:tc>
        <w:tc>
          <w:tcPr>
            <w:tcW w:w="1775" w:type="pct"/>
            <w:gridSpan w:val="4"/>
            <w:vAlign w:val="center"/>
          </w:tcPr>
          <w:p w14:paraId="007CEA35" w14:textId="77777777" w:rsidR="007D1E74" w:rsidRDefault="00A95641">
            <w:pPr>
              <w:jc w:val="center"/>
              <w:rPr>
                <w:sz w:val="18"/>
                <w:szCs w:val="18"/>
              </w:rPr>
            </w:pPr>
            <w:r>
              <w:rPr>
                <w:sz w:val="18"/>
                <w:szCs w:val="18"/>
              </w:rPr>
              <w:t>泄漏</w:t>
            </w:r>
            <w:r>
              <w:rPr>
                <w:sz w:val="18"/>
                <w:szCs w:val="18"/>
              </w:rPr>
              <w:sym w:font="Wingdings 2" w:char="F052"/>
            </w:r>
          </w:p>
        </w:tc>
        <w:tc>
          <w:tcPr>
            <w:tcW w:w="2251" w:type="pct"/>
            <w:gridSpan w:val="4"/>
            <w:vAlign w:val="center"/>
          </w:tcPr>
          <w:p w14:paraId="5331AFDF" w14:textId="77777777" w:rsidR="007D1E74" w:rsidRDefault="00A95641">
            <w:pPr>
              <w:jc w:val="center"/>
              <w:rPr>
                <w:sz w:val="18"/>
                <w:szCs w:val="18"/>
              </w:rPr>
            </w:pPr>
            <w:r>
              <w:rPr>
                <w:rFonts w:hint="eastAsia"/>
                <w:sz w:val="18"/>
                <w:szCs w:val="18"/>
              </w:rPr>
              <w:t>火灾、爆炸引发伴生</w:t>
            </w:r>
            <w:r>
              <w:rPr>
                <w:rFonts w:hint="eastAsia"/>
                <w:sz w:val="18"/>
                <w:szCs w:val="18"/>
              </w:rPr>
              <w:t>/</w:t>
            </w:r>
            <w:r>
              <w:rPr>
                <w:rFonts w:hint="eastAsia"/>
                <w:sz w:val="18"/>
                <w:szCs w:val="18"/>
              </w:rPr>
              <w:t>次生污染物排放</w:t>
            </w:r>
            <w:r>
              <w:rPr>
                <w:sz w:val="18"/>
                <w:szCs w:val="18"/>
              </w:rPr>
              <w:sym w:font="Wingdings 2" w:char="F052"/>
            </w:r>
          </w:p>
        </w:tc>
      </w:tr>
      <w:tr w:rsidR="007D1E74" w14:paraId="5A8CF50C" w14:textId="77777777">
        <w:trPr>
          <w:trHeight w:val="184"/>
          <w:jc w:val="center"/>
        </w:trPr>
        <w:tc>
          <w:tcPr>
            <w:tcW w:w="246" w:type="pct"/>
            <w:vMerge/>
            <w:shd w:val="clear" w:color="auto" w:fill="auto"/>
            <w:vAlign w:val="center"/>
          </w:tcPr>
          <w:p w14:paraId="69FC06D2" w14:textId="77777777" w:rsidR="007D1E74" w:rsidRDefault="007D1E74">
            <w:pPr>
              <w:jc w:val="center"/>
              <w:rPr>
                <w:sz w:val="18"/>
                <w:szCs w:val="18"/>
              </w:rPr>
            </w:pPr>
          </w:p>
        </w:tc>
        <w:tc>
          <w:tcPr>
            <w:tcW w:w="728" w:type="pct"/>
            <w:shd w:val="clear" w:color="auto" w:fill="auto"/>
            <w:vAlign w:val="center"/>
          </w:tcPr>
          <w:p w14:paraId="049E9A35" w14:textId="77777777" w:rsidR="007D1E74" w:rsidRDefault="00A95641">
            <w:pPr>
              <w:jc w:val="center"/>
              <w:rPr>
                <w:sz w:val="18"/>
                <w:szCs w:val="18"/>
              </w:rPr>
            </w:pPr>
            <w:r>
              <w:rPr>
                <w:rFonts w:hint="eastAsia"/>
                <w:sz w:val="18"/>
                <w:szCs w:val="18"/>
              </w:rPr>
              <w:t>影响途径</w:t>
            </w:r>
          </w:p>
        </w:tc>
        <w:tc>
          <w:tcPr>
            <w:tcW w:w="1775" w:type="pct"/>
            <w:gridSpan w:val="4"/>
            <w:vAlign w:val="center"/>
          </w:tcPr>
          <w:p w14:paraId="538E96A7" w14:textId="77777777" w:rsidR="007D1E74" w:rsidRDefault="00A95641">
            <w:pPr>
              <w:jc w:val="center"/>
              <w:rPr>
                <w:sz w:val="18"/>
                <w:szCs w:val="18"/>
              </w:rPr>
            </w:pPr>
            <w:r>
              <w:rPr>
                <w:sz w:val="18"/>
                <w:szCs w:val="18"/>
              </w:rPr>
              <w:t>大气</w:t>
            </w:r>
            <w:r>
              <w:rPr>
                <w:sz w:val="18"/>
                <w:szCs w:val="18"/>
              </w:rPr>
              <w:sym w:font="Wingdings 2" w:char="F052"/>
            </w:r>
          </w:p>
        </w:tc>
        <w:tc>
          <w:tcPr>
            <w:tcW w:w="1128" w:type="pct"/>
            <w:gridSpan w:val="2"/>
            <w:vAlign w:val="center"/>
          </w:tcPr>
          <w:p w14:paraId="203675BD" w14:textId="77777777" w:rsidR="007D1E74" w:rsidRDefault="00A95641">
            <w:pPr>
              <w:jc w:val="center"/>
              <w:rPr>
                <w:sz w:val="18"/>
                <w:szCs w:val="18"/>
              </w:rPr>
            </w:pPr>
            <w:r>
              <w:rPr>
                <w:sz w:val="18"/>
                <w:szCs w:val="18"/>
              </w:rPr>
              <w:t>地表水</w:t>
            </w:r>
            <w:r>
              <w:rPr>
                <w:rFonts w:asciiTheme="minorEastAsia" w:hAnsiTheme="minorEastAsia"/>
                <w:sz w:val="18"/>
                <w:szCs w:val="18"/>
              </w:rPr>
              <w:t>□</w:t>
            </w:r>
          </w:p>
        </w:tc>
        <w:tc>
          <w:tcPr>
            <w:tcW w:w="1123" w:type="pct"/>
            <w:gridSpan w:val="2"/>
            <w:vAlign w:val="center"/>
          </w:tcPr>
          <w:p w14:paraId="644F8ACE" w14:textId="77777777" w:rsidR="007D1E74" w:rsidRDefault="00A95641">
            <w:pPr>
              <w:jc w:val="center"/>
              <w:rPr>
                <w:sz w:val="18"/>
                <w:szCs w:val="18"/>
              </w:rPr>
            </w:pPr>
            <w:r>
              <w:rPr>
                <w:sz w:val="18"/>
                <w:szCs w:val="18"/>
              </w:rPr>
              <w:t>地下水</w:t>
            </w:r>
            <w:r>
              <w:rPr>
                <w:sz w:val="18"/>
                <w:szCs w:val="18"/>
              </w:rPr>
              <w:sym w:font="Wingdings 2" w:char="F052"/>
            </w:r>
          </w:p>
        </w:tc>
      </w:tr>
      <w:tr w:rsidR="007D1E74" w14:paraId="2CF679B7" w14:textId="77777777">
        <w:trPr>
          <w:trHeight w:val="166"/>
          <w:jc w:val="center"/>
        </w:trPr>
        <w:tc>
          <w:tcPr>
            <w:tcW w:w="974" w:type="pct"/>
            <w:gridSpan w:val="2"/>
            <w:shd w:val="clear" w:color="auto" w:fill="auto"/>
            <w:vAlign w:val="center"/>
          </w:tcPr>
          <w:p w14:paraId="6CA1C2FF" w14:textId="77777777" w:rsidR="007D1E74" w:rsidRDefault="00A95641">
            <w:pPr>
              <w:jc w:val="center"/>
              <w:rPr>
                <w:sz w:val="18"/>
                <w:szCs w:val="18"/>
              </w:rPr>
            </w:pPr>
            <w:r>
              <w:rPr>
                <w:rFonts w:hint="eastAsia"/>
                <w:sz w:val="18"/>
                <w:szCs w:val="18"/>
              </w:rPr>
              <w:t>事故情形分析</w:t>
            </w:r>
          </w:p>
        </w:tc>
        <w:tc>
          <w:tcPr>
            <w:tcW w:w="929" w:type="pct"/>
            <w:gridSpan w:val="3"/>
            <w:vAlign w:val="center"/>
          </w:tcPr>
          <w:p w14:paraId="14C29139" w14:textId="77777777" w:rsidR="007D1E74" w:rsidRDefault="00A95641">
            <w:pPr>
              <w:jc w:val="center"/>
              <w:rPr>
                <w:sz w:val="18"/>
                <w:szCs w:val="18"/>
              </w:rPr>
            </w:pPr>
            <w:r>
              <w:rPr>
                <w:sz w:val="18"/>
                <w:szCs w:val="18"/>
              </w:rPr>
              <w:t>源强设定方法</w:t>
            </w:r>
          </w:p>
        </w:tc>
        <w:tc>
          <w:tcPr>
            <w:tcW w:w="846" w:type="pct"/>
            <w:vAlign w:val="center"/>
          </w:tcPr>
          <w:p w14:paraId="0749F06E" w14:textId="77777777" w:rsidR="007D1E74" w:rsidRDefault="00A95641">
            <w:pPr>
              <w:jc w:val="center"/>
              <w:rPr>
                <w:sz w:val="18"/>
                <w:szCs w:val="18"/>
              </w:rPr>
            </w:pPr>
            <w:r>
              <w:rPr>
                <w:sz w:val="18"/>
                <w:szCs w:val="18"/>
              </w:rPr>
              <w:t>计算法</w:t>
            </w:r>
            <w:r>
              <w:rPr>
                <w:sz w:val="18"/>
                <w:szCs w:val="18"/>
              </w:rPr>
              <w:sym w:font="Wingdings 2" w:char="F052"/>
            </w:r>
          </w:p>
        </w:tc>
        <w:tc>
          <w:tcPr>
            <w:tcW w:w="1128" w:type="pct"/>
            <w:gridSpan w:val="2"/>
            <w:vAlign w:val="center"/>
          </w:tcPr>
          <w:p w14:paraId="3A9972B2" w14:textId="77777777" w:rsidR="007D1E74" w:rsidRDefault="00A95641">
            <w:pPr>
              <w:jc w:val="center"/>
              <w:rPr>
                <w:sz w:val="18"/>
                <w:szCs w:val="18"/>
              </w:rPr>
            </w:pPr>
            <w:r>
              <w:rPr>
                <w:sz w:val="18"/>
                <w:szCs w:val="18"/>
              </w:rPr>
              <w:t>经验估算法</w:t>
            </w:r>
            <w:r>
              <w:rPr>
                <w:rFonts w:asciiTheme="minorEastAsia" w:hAnsiTheme="minorEastAsia"/>
                <w:sz w:val="18"/>
                <w:szCs w:val="18"/>
              </w:rPr>
              <w:t>□</w:t>
            </w:r>
          </w:p>
        </w:tc>
        <w:tc>
          <w:tcPr>
            <w:tcW w:w="1123" w:type="pct"/>
            <w:gridSpan w:val="2"/>
            <w:vAlign w:val="center"/>
          </w:tcPr>
          <w:p w14:paraId="2BD1DC20" w14:textId="77777777" w:rsidR="007D1E74" w:rsidRDefault="00A95641">
            <w:pPr>
              <w:jc w:val="center"/>
              <w:rPr>
                <w:sz w:val="18"/>
                <w:szCs w:val="18"/>
              </w:rPr>
            </w:pPr>
            <w:r>
              <w:rPr>
                <w:sz w:val="18"/>
                <w:szCs w:val="18"/>
              </w:rPr>
              <w:t>其他估算法</w:t>
            </w:r>
            <w:r>
              <w:rPr>
                <w:rFonts w:asciiTheme="minorEastAsia" w:hAnsiTheme="minorEastAsia"/>
                <w:sz w:val="18"/>
                <w:szCs w:val="18"/>
              </w:rPr>
              <w:t>□</w:t>
            </w:r>
          </w:p>
        </w:tc>
      </w:tr>
      <w:tr w:rsidR="007D1E74" w14:paraId="7C7104D1" w14:textId="77777777">
        <w:trPr>
          <w:trHeight w:val="166"/>
          <w:jc w:val="center"/>
        </w:trPr>
        <w:tc>
          <w:tcPr>
            <w:tcW w:w="246" w:type="pct"/>
            <w:vMerge w:val="restart"/>
            <w:shd w:val="clear" w:color="auto" w:fill="auto"/>
            <w:vAlign w:val="center"/>
          </w:tcPr>
          <w:p w14:paraId="06A81CE7" w14:textId="77777777" w:rsidR="007D1E74" w:rsidRDefault="00A95641">
            <w:pPr>
              <w:jc w:val="center"/>
              <w:rPr>
                <w:sz w:val="18"/>
                <w:szCs w:val="18"/>
              </w:rPr>
            </w:pPr>
            <w:r>
              <w:rPr>
                <w:rFonts w:hint="eastAsia"/>
                <w:sz w:val="18"/>
                <w:szCs w:val="18"/>
              </w:rPr>
              <w:t>风险预测与评价</w:t>
            </w:r>
          </w:p>
        </w:tc>
        <w:tc>
          <w:tcPr>
            <w:tcW w:w="728" w:type="pct"/>
            <w:vMerge w:val="restart"/>
            <w:shd w:val="clear" w:color="auto" w:fill="auto"/>
            <w:vAlign w:val="center"/>
          </w:tcPr>
          <w:p w14:paraId="7A697EF7" w14:textId="77777777" w:rsidR="007D1E74" w:rsidRDefault="00A95641">
            <w:pPr>
              <w:jc w:val="center"/>
              <w:rPr>
                <w:sz w:val="18"/>
                <w:szCs w:val="18"/>
              </w:rPr>
            </w:pPr>
            <w:r>
              <w:rPr>
                <w:rFonts w:hint="eastAsia"/>
                <w:sz w:val="18"/>
                <w:szCs w:val="18"/>
              </w:rPr>
              <w:t>大气</w:t>
            </w:r>
          </w:p>
        </w:tc>
        <w:tc>
          <w:tcPr>
            <w:tcW w:w="929" w:type="pct"/>
            <w:gridSpan w:val="3"/>
            <w:vAlign w:val="center"/>
          </w:tcPr>
          <w:p w14:paraId="3C38BAA6" w14:textId="77777777" w:rsidR="007D1E74" w:rsidRDefault="00A95641">
            <w:pPr>
              <w:jc w:val="center"/>
              <w:rPr>
                <w:sz w:val="18"/>
                <w:szCs w:val="18"/>
              </w:rPr>
            </w:pPr>
            <w:r>
              <w:rPr>
                <w:sz w:val="18"/>
                <w:szCs w:val="18"/>
              </w:rPr>
              <w:t>预测</w:t>
            </w:r>
            <w:r>
              <w:rPr>
                <w:rFonts w:hint="eastAsia"/>
                <w:sz w:val="18"/>
                <w:szCs w:val="18"/>
              </w:rPr>
              <w:t>模型</w:t>
            </w:r>
          </w:p>
        </w:tc>
        <w:tc>
          <w:tcPr>
            <w:tcW w:w="846" w:type="pct"/>
            <w:vAlign w:val="center"/>
          </w:tcPr>
          <w:p w14:paraId="675D41F4" w14:textId="77777777" w:rsidR="007D1E74" w:rsidRDefault="00A95641">
            <w:pPr>
              <w:jc w:val="center"/>
              <w:rPr>
                <w:sz w:val="18"/>
                <w:szCs w:val="18"/>
              </w:rPr>
            </w:pPr>
            <w:r>
              <w:rPr>
                <w:sz w:val="18"/>
                <w:szCs w:val="18"/>
              </w:rPr>
              <w:t>SLAB</w:t>
            </w:r>
            <w:r>
              <w:rPr>
                <w:rFonts w:asciiTheme="minorEastAsia" w:hAnsiTheme="minorEastAsia"/>
                <w:sz w:val="18"/>
                <w:szCs w:val="18"/>
              </w:rPr>
              <w:t>□</w:t>
            </w:r>
          </w:p>
        </w:tc>
        <w:tc>
          <w:tcPr>
            <w:tcW w:w="1128" w:type="pct"/>
            <w:gridSpan w:val="2"/>
            <w:vAlign w:val="center"/>
          </w:tcPr>
          <w:p w14:paraId="7FB80AB3" w14:textId="77777777" w:rsidR="007D1E74" w:rsidRDefault="00A95641">
            <w:pPr>
              <w:jc w:val="center"/>
              <w:rPr>
                <w:sz w:val="18"/>
                <w:szCs w:val="18"/>
              </w:rPr>
            </w:pPr>
            <w:r>
              <w:rPr>
                <w:sz w:val="18"/>
                <w:szCs w:val="18"/>
              </w:rPr>
              <w:t>AFTOX</w:t>
            </w:r>
            <w:r>
              <w:rPr>
                <w:sz w:val="18"/>
                <w:szCs w:val="18"/>
              </w:rPr>
              <w:sym w:font="Wingdings 2" w:char="F052"/>
            </w:r>
          </w:p>
        </w:tc>
        <w:tc>
          <w:tcPr>
            <w:tcW w:w="1123" w:type="pct"/>
            <w:gridSpan w:val="2"/>
            <w:vAlign w:val="center"/>
          </w:tcPr>
          <w:p w14:paraId="527F65CB" w14:textId="77777777" w:rsidR="007D1E74" w:rsidRDefault="00A95641">
            <w:pPr>
              <w:jc w:val="center"/>
              <w:rPr>
                <w:sz w:val="18"/>
                <w:szCs w:val="18"/>
              </w:rPr>
            </w:pPr>
            <w:r>
              <w:rPr>
                <w:sz w:val="18"/>
                <w:szCs w:val="18"/>
              </w:rPr>
              <w:t>其他</w:t>
            </w:r>
            <w:r>
              <w:rPr>
                <w:rFonts w:asciiTheme="minorEastAsia" w:hAnsiTheme="minorEastAsia"/>
                <w:sz w:val="18"/>
                <w:szCs w:val="18"/>
              </w:rPr>
              <w:t>□</w:t>
            </w:r>
          </w:p>
        </w:tc>
      </w:tr>
      <w:tr w:rsidR="007D1E74" w14:paraId="72E00E18" w14:textId="77777777">
        <w:trPr>
          <w:trHeight w:val="166"/>
          <w:jc w:val="center"/>
        </w:trPr>
        <w:tc>
          <w:tcPr>
            <w:tcW w:w="246" w:type="pct"/>
            <w:vMerge/>
            <w:shd w:val="clear" w:color="auto" w:fill="auto"/>
            <w:vAlign w:val="center"/>
          </w:tcPr>
          <w:p w14:paraId="16D2D198" w14:textId="77777777" w:rsidR="007D1E74" w:rsidRDefault="007D1E74">
            <w:pPr>
              <w:jc w:val="center"/>
              <w:rPr>
                <w:sz w:val="18"/>
                <w:szCs w:val="18"/>
              </w:rPr>
            </w:pPr>
          </w:p>
        </w:tc>
        <w:tc>
          <w:tcPr>
            <w:tcW w:w="728" w:type="pct"/>
            <w:vMerge/>
            <w:shd w:val="clear" w:color="auto" w:fill="auto"/>
            <w:vAlign w:val="center"/>
          </w:tcPr>
          <w:p w14:paraId="30BF7DE0" w14:textId="77777777" w:rsidR="007D1E74" w:rsidRDefault="007D1E74">
            <w:pPr>
              <w:jc w:val="center"/>
              <w:rPr>
                <w:sz w:val="18"/>
                <w:szCs w:val="18"/>
              </w:rPr>
            </w:pPr>
          </w:p>
        </w:tc>
        <w:tc>
          <w:tcPr>
            <w:tcW w:w="929" w:type="pct"/>
            <w:gridSpan w:val="3"/>
            <w:vMerge w:val="restart"/>
            <w:vAlign w:val="center"/>
          </w:tcPr>
          <w:p w14:paraId="3D4CC30E" w14:textId="77777777" w:rsidR="007D1E74" w:rsidRDefault="00A95641">
            <w:pPr>
              <w:jc w:val="center"/>
              <w:rPr>
                <w:sz w:val="18"/>
                <w:szCs w:val="18"/>
              </w:rPr>
            </w:pPr>
            <w:r>
              <w:rPr>
                <w:sz w:val="18"/>
                <w:szCs w:val="18"/>
              </w:rPr>
              <w:t>预测结果</w:t>
            </w:r>
          </w:p>
        </w:tc>
        <w:tc>
          <w:tcPr>
            <w:tcW w:w="3097" w:type="pct"/>
            <w:gridSpan w:val="5"/>
            <w:vAlign w:val="center"/>
          </w:tcPr>
          <w:p w14:paraId="44E3D145" w14:textId="77777777" w:rsidR="007D1E74" w:rsidRDefault="00A95641">
            <w:pPr>
              <w:jc w:val="center"/>
              <w:rPr>
                <w:sz w:val="18"/>
                <w:szCs w:val="18"/>
              </w:rPr>
            </w:pPr>
            <w:r>
              <w:rPr>
                <w:rFonts w:hint="eastAsia"/>
                <w:sz w:val="18"/>
                <w:szCs w:val="18"/>
              </w:rPr>
              <w:t>大气毒性终点浓度</w:t>
            </w:r>
            <w:r>
              <w:rPr>
                <w:rFonts w:hint="eastAsia"/>
                <w:sz w:val="18"/>
                <w:szCs w:val="18"/>
              </w:rPr>
              <w:t>-1</w:t>
            </w:r>
            <w:r>
              <w:rPr>
                <w:rFonts w:hint="eastAsia"/>
                <w:sz w:val="18"/>
                <w:szCs w:val="18"/>
              </w:rPr>
              <w:t>最大影响范围</w:t>
            </w:r>
            <w:r>
              <w:rPr>
                <w:sz w:val="18"/>
                <w:szCs w:val="18"/>
                <w:u w:val="single"/>
              </w:rPr>
              <w:t xml:space="preserve">  /   </w:t>
            </w:r>
            <w:r>
              <w:rPr>
                <w:rFonts w:hint="eastAsia"/>
                <w:sz w:val="18"/>
                <w:szCs w:val="18"/>
              </w:rPr>
              <w:t>m</w:t>
            </w:r>
          </w:p>
        </w:tc>
      </w:tr>
      <w:tr w:rsidR="007D1E74" w14:paraId="5F86EF8B" w14:textId="77777777">
        <w:trPr>
          <w:trHeight w:val="166"/>
          <w:jc w:val="center"/>
        </w:trPr>
        <w:tc>
          <w:tcPr>
            <w:tcW w:w="246" w:type="pct"/>
            <w:vMerge/>
            <w:shd w:val="clear" w:color="auto" w:fill="auto"/>
            <w:vAlign w:val="center"/>
          </w:tcPr>
          <w:p w14:paraId="18899A3E" w14:textId="77777777" w:rsidR="007D1E74" w:rsidRDefault="007D1E74">
            <w:pPr>
              <w:jc w:val="center"/>
              <w:rPr>
                <w:sz w:val="18"/>
                <w:szCs w:val="18"/>
              </w:rPr>
            </w:pPr>
          </w:p>
        </w:tc>
        <w:tc>
          <w:tcPr>
            <w:tcW w:w="728" w:type="pct"/>
            <w:vMerge/>
            <w:shd w:val="clear" w:color="auto" w:fill="auto"/>
            <w:vAlign w:val="center"/>
          </w:tcPr>
          <w:p w14:paraId="71EF092C" w14:textId="77777777" w:rsidR="007D1E74" w:rsidRDefault="007D1E74">
            <w:pPr>
              <w:jc w:val="center"/>
              <w:rPr>
                <w:sz w:val="18"/>
                <w:szCs w:val="18"/>
              </w:rPr>
            </w:pPr>
          </w:p>
        </w:tc>
        <w:tc>
          <w:tcPr>
            <w:tcW w:w="929" w:type="pct"/>
            <w:gridSpan w:val="3"/>
            <w:vMerge/>
            <w:vAlign w:val="center"/>
          </w:tcPr>
          <w:p w14:paraId="7A3FD637" w14:textId="77777777" w:rsidR="007D1E74" w:rsidRDefault="007D1E74">
            <w:pPr>
              <w:jc w:val="center"/>
              <w:rPr>
                <w:sz w:val="18"/>
                <w:szCs w:val="18"/>
              </w:rPr>
            </w:pPr>
          </w:p>
        </w:tc>
        <w:tc>
          <w:tcPr>
            <w:tcW w:w="3097" w:type="pct"/>
            <w:gridSpan w:val="5"/>
            <w:vAlign w:val="center"/>
          </w:tcPr>
          <w:p w14:paraId="7E09F848" w14:textId="77777777" w:rsidR="007D1E74" w:rsidRDefault="00A95641">
            <w:pPr>
              <w:jc w:val="center"/>
              <w:rPr>
                <w:sz w:val="18"/>
                <w:szCs w:val="18"/>
              </w:rPr>
            </w:pPr>
            <w:r>
              <w:rPr>
                <w:rFonts w:hint="eastAsia"/>
                <w:sz w:val="18"/>
                <w:szCs w:val="18"/>
              </w:rPr>
              <w:t>大气毒性终点浓度</w:t>
            </w:r>
            <w:r>
              <w:rPr>
                <w:rFonts w:hint="eastAsia"/>
                <w:sz w:val="18"/>
                <w:szCs w:val="18"/>
              </w:rPr>
              <w:t>-</w:t>
            </w:r>
            <w:r>
              <w:rPr>
                <w:sz w:val="18"/>
                <w:szCs w:val="18"/>
              </w:rPr>
              <w:t>2</w:t>
            </w:r>
            <w:r>
              <w:rPr>
                <w:rFonts w:hint="eastAsia"/>
                <w:sz w:val="18"/>
                <w:szCs w:val="18"/>
              </w:rPr>
              <w:t>最大影响范围</w:t>
            </w:r>
            <w:r>
              <w:rPr>
                <w:sz w:val="18"/>
                <w:szCs w:val="18"/>
                <w:u w:val="single"/>
              </w:rPr>
              <w:t xml:space="preserve">  /  </w:t>
            </w:r>
            <w:r>
              <w:rPr>
                <w:rFonts w:hint="eastAsia"/>
                <w:sz w:val="18"/>
                <w:szCs w:val="18"/>
              </w:rPr>
              <w:t>m</w:t>
            </w:r>
          </w:p>
        </w:tc>
      </w:tr>
      <w:tr w:rsidR="007D1E74" w14:paraId="0DE68108" w14:textId="77777777">
        <w:trPr>
          <w:trHeight w:val="166"/>
          <w:jc w:val="center"/>
        </w:trPr>
        <w:tc>
          <w:tcPr>
            <w:tcW w:w="246" w:type="pct"/>
            <w:vMerge/>
            <w:shd w:val="clear" w:color="auto" w:fill="auto"/>
            <w:vAlign w:val="center"/>
          </w:tcPr>
          <w:p w14:paraId="56A09E68" w14:textId="77777777" w:rsidR="007D1E74" w:rsidRDefault="007D1E74">
            <w:pPr>
              <w:jc w:val="center"/>
              <w:rPr>
                <w:sz w:val="18"/>
                <w:szCs w:val="18"/>
              </w:rPr>
            </w:pPr>
          </w:p>
        </w:tc>
        <w:tc>
          <w:tcPr>
            <w:tcW w:w="728" w:type="pct"/>
            <w:shd w:val="clear" w:color="auto" w:fill="auto"/>
            <w:vAlign w:val="center"/>
          </w:tcPr>
          <w:p w14:paraId="6AE9DFBC" w14:textId="77777777" w:rsidR="007D1E74" w:rsidRDefault="00A95641">
            <w:pPr>
              <w:jc w:val="center"/>
              <w:rPr>
                <w:sz w:val="18"/>
                <w:szCs w:val="18"/>
              </w:rPr>
            </w:pPr>
            <w:r>
              <w:rPr>
                <w:rFonts w:hint="eastAsia"/>
                <w:sz w:val="18"/>
                <w:szCs w:val="18"/>
              </w:rPr>
              <w:t>地表水</w:t>
            </w:r>
          </w:p>
        </w:tc>
        <w:tc>
          <w:tcPr>
            <w:tcW w:w="4026" w:type="pct"/>
            <w:gridSpan w:val="8"/>
            <w:vAlign w:val="center"/>
          </w:tcPr>
          <w:p w14:paraId="293914FA" w14:textId="77777777" w:rsidR="007D1E74" w:rsidRDefault="00A95641">
            <w:pPr>
              <w:jc w:val="center"/>
              <w:rPr>
                <w:sz w:val="18"/>
                <w:szCs w:val="18"/>
              </w:rPr>
            </w:pPr>
            <w:r>
              <w:rPr>
                <w:rFonts w:hint="eastAsia"/>
                <w:sz w:val="18"/>
                <w:szCs w:val="18"/>
              </w:rPr>
              <w:t>最近环境敏感目标</w:t>
            </w:r>
            <w:r>
              <w:rPr>
                <w:sz w:val="18"/>
                <w:szCs w:val="18"/>
                <w:u w:val="single"/>
              </w:rPr>
              <w:t xml:space="preserve">  </w:t>
            </w:r>
            <w:r>
              <w:rPr>
                <w:rFonts w:hint="eastAsia"/>
                <w:sz w:val="18"/>
                <w:szCs w:val="18"/>
                <w:u w:val="single"/>
              </w:rPr>
              <w:t>/</w:t>
            </w:r>
            <w:r>
              <w:rPr>
                <w:sz w:val="18"/>
                <w:szCs w:val="18"/>
                <w:u w:val="single"/>
              </w:rPr>
              <w:t xml:space="preserve">   </w:t>
            </w:r>
            <w:r>
              <w:rPr>
                <w:rFonts w:hint="eastAsia"/>
                <w:sz w:val="18"/>
                <w:szCs w:val="18"/>
              </w:rPr>
              <w:t>，到达时间</w:t>
            </w:r>
            <w:r>
              <w:rPr>
                <w:sz w:val="18"/>
                <w:szCs w:val="18"/>
                <w:u w:val="single"/>
              </w:rPr>
              <w:t xml:space="preserve">  /  </w:t>
            </w:r>
            <w:r>
              <w:rPr>
                <w:rFonts w:hint="eastAsia"/>
                <w:sz w:val="18"/>
                <w:szCs w:val="18"/>
              </w:rPr>
              <w:t>h</w:t>
            </w:r>
          </w:p>
        </w:tc>
      </w:tr>
      <w:tr w:rsidR="007D1E74" w14:paraId="386740FF" w14:textId="77777777">
        <w:trPr>
          <w:trHeight w:val="166"/>
          <w:jc w:val="center"/>
        </w:trPr>
        <w:tc>
          <w:tcPr>
            <w:tcW w:w="246" w:type="pct"/>
            <w:vMerge/>
            <w:shd w:val="clear" w:color="auto" w:fill="auto"/>
            <w:vAlign w:val="center"/>
          </w:tcPr>
          <w:p w14:paraId="5EF0CAF3" w14:textId="77777777" w:rsidR="007D1E74" w:rsidRDefault="007D1E74">
            <w:pPr>
              <w:jc w:val="center"/>
              <w:rPr>
                <w:sz w:val="18"/>
                <w:szCs w:val="18"/>
              </w:rPr>
            </w:pPr>
          </w:p>
        </w:tc>
        <w:tc>
          <w:tcPr>
            <w:tcW w:w="728" w:type="pct"/>
            <w:vMerge w:val="restart"/>
            <w:shd w:val="clear" w:color="auto" w:fill="auto"/>
            <w:vAlign w:val="center"/>
          </w:tcPr>
          <w:p w14:paraId="56A6AB36" w14:textId="77777777" w:rsidR="007D1E74" w:rsidRDefault="00A95641">
            <w:pPr>
              <w:jc w:val="center"/>
              <w:rPr>
                <w:sz w:val="18"/>
                <w:szCs w:val="18"/>
              </w:rPr>
            </w:pPr>
            <w:r>
              <w:rPr>
                <w:rFonts w:hint="eastAsia"/>
                <w:sz w:val="18"/>
                <w:szCs w:val="18"/>
              </w:rPr>
              <w:t>地下水</w:t>
            </w:r>
          </w:p>
        </w:tc>
        <w:tc>
          <w:tcPr>
            <w:tcW w:w="4026" w:type="pct"/>
            <w:gridSpan w:val="8"/>
            <w:vAlign w:val="center"/>
          </w:tcPr>
          <w:p w14:paraId="530315C6" w14:textId="77777777" w:rsidR="007D1E74" w:rsidRDefault="00A95641">
            <w:pPr>
              <w:jc w:val="center"/>
              <w:rPr>
                <w:sz w:val="18"/>
                <w:szCs w:val="18"/>
              </w:rPr>
            </w:pPr>
            <w:r>
              <w:rPr>
                <w:rFonts w:hint="eastAsia"/>
                <w:sz w:val="18"/>
                <w:szCs w:val="18"/>
              </w:rPr>
              <w:t>下游厂区边界到达时间</w:t>
            </w:r>
            <w:r>
              <w:rPr>
                <w:sz w:val="18"/>
                <w:szCs w:val="18"/>
                <w:u w:val="single"/>
              </w:rPr>
              <w:t xml:space="preserve">  </w:t>
            </w:r>
            <w:r>
              <w:rPr>
                <w:rFonts w:hint="eastAsia"/>
                <w:sz w:val="18"/>
                <w:szCs w:val="18"/>
                <w:u w:val="single"/>
              </w:rPr>
              <w:t>/</w:t>
            </w:r>
            <w:r>
              <w:rPr>
                <w:sz w:val="18"/>
                <w:szCs w:val="18"/>
                <w:u w:val="single"/>
              </w:rPr>
              <w:t xml:space="preserve">  </w:t>
            </w:r>
            <w:r>
              <w:rPr>
                <w:sz w:val="18"/>
                <w:szCs w:val="18"/>
              </w:rPr>
              <w:t>d</w:t>
            </w:r>
          </w:p>
        </w:tc>
      </w:tr>
      <w:tr w:rsidR="007D1E74" w14:paraId="702D8B8C" w14:textId="77777777">
        <w:trPr>
          <w:trHeight w:val="166"/>
          <w:jc w:val="center"/>
        </w:trPr>
        <w:tc>
          <w:tcPr>
            <w:tcW w:w="246" w:type="pct"/>
            <w:vMerge/>
            <w:shd w:val="clear" w:color="auto" w:fill="auto"/>
            <w:vAlign w:val="center"/>
          </w:tcPr>
          <w:p w14:paraId="6C3537F9" w14:textId="77777777" w:rsidR="007D1E74" w:rsidRDefault="007D1E74">
            <w:pPr>
              <w:jc w:val="center"/>
              <w:rPr>
                <w:sz w:val="18"/>
                <w:szCs w:val="18"/>
              </w:rPr>
            </w:pPr>
          </w:p>
        </w:tc>
        <w:tc>
          <w:tcPr>
            <w:tcW w:w="728" w:type="pct"/>
            <w:vMerge/>
            <w:shd w:val="clear" w:color="auto" w:fill="auto"/>
            <w:vAlign w:val="center"/>
          </w:tcPr>
          <w:p w14:paraId="50B13448" w14:textId="77777777" w:rsidR="007D1E74" w:rsidRDefault="007D1E74">
            <w:pPr>
              <w:jc w:val="center"/>
              <w:rPr>
                <w:sz w:val="18"/>
                <w:szCs w:val="18"/>
              </w:rPr>
            </w:pPr>
          </w:p>
        </w:tc>
        <w:tc>
          <w:tcPr>
            <w:tcW w:w="4026" w:type="pct"/>
            <w:gridSpan w:val="8"/>
            <w:vAlign w:val="center"/>
          </w:tcPr>
          <w:p w14:paraId="392F8C7E" w14:textId="77777777" w:rsidR="007D1E74" w:rsidRDefault="00A95641">
            <w:pPr>
              <w:jc w:val="center"/>
              <w:rPr>
                <w:sz w:val="18"/>
                <w:szCs w:val="18"/>
              </w:rPr>
            </w:pPr>
            <w:r>
              <w:rPr>
                <w:rFonts w:hint="eastAsia"/>
                <w:sz w:val="18"/>
                <w:szCs w:val="18"/>
              </w:rPr>
              <w:t>最近环境敏感目标</w:t>
            </w:r>
            <w:r>
              <w:rPr>
                <w:sz w:val="18"/>
                <w:szCs w:val="18"/>
                <w:u w:val="single"/>
              </w:rPr>
              <w:t xml:space="preserve">  </w:t>
            </w:r>
            <w:r>
              <w:rPr>
                <w:rFonts w:hint="eastAsia"/>
                <w:sz w:val="18"/>
                <w:szCs w:val="18"/>
                <w:u w:val="single"/>
              </w:rPr>
              <w:t>/</w:t>
            </w:r>
            <w:r>
              <w:rPr>
                <w:sz w:val="18"/>
                <w:szCs w:val="18"/>
                <w:u w:val="single"/>
              </w:rPr>
              <w:t xml:space="preserve">  </w:t>
            </w:r>
            <w:r>
              <w:rPr>
                <w:rFonts w:hint="eastAsia"/>
                <w:sz w:val="18"/>
                <w:szCs w:val="18"/>
              </w:rPr>
              <w:t>，到达时间</w:t>
            </w:r>
            <w:r>
              <w:rPr>
                <w:sz w:val="18"/>
                <w:szCs w:val="18"/>
                <w:u w:val="single"/>
              </w:rPr>
              <w:t xml:space="preserve">  </w:t>
            </w:r>
            <w:r>
              <w:rPr>
                <w:rFonts w:hint="eastAsia"/>
                <w:sz w:val="18"/>
                <w:szCs w:val="18"/>
                <w:u w:val="single"/>
              </w:rPr>
              <w:t>/</w:t>
            </w:r>
            <w:r>
              <w:rPr>
                <w:sz w:val="18"/>
                <w:szCs w:val="18"/>
                <w:u w:val="single"/>
              </w:rPr>
              <w:t xml:space="preserve">  </w:t>
            </w:r>
            <w:r>
              <w:rPr>
                <w:rFonts w:hint="eastAsia"/>
                <w:sz w:val="18"/>
                <w:szCs w:val="18"/>
              </w:rPr>
              <w:t>d</w:t>
            </w:r>
          </w:p>
        </w:tc>
      </w:tr>
      <w:tr w:rsidR="007D1E74" w14:paraId="53E0D0DE" w14:textId="77777777">
        <w:trPr>
          <w:trHeight w:val="166"/>
          <w:jc w:val="center"/>
        </w:trPr>
        <w:tc>
          <w:tcPr>
            <w:tcW w:w="974" w:type="pct"/>
            <w:gridSpan w:val="2"/>
            <w:shd w:val="clear" w:color="auto" w:fill="auto"/>
            <w:vAlign w:val="center"/>
          </w:tcPr>
          <w:p w14:paraId="1E4F6888" w14:textId="77777777" w:rsidR="007D1E74" w:rsidRDefault="00A95641">
            <w:pPr>
              <w:jc w:val="center"/>
              <w:rPr>
                <w:sz w:val="18"/>
                <w:szCs w:val="18"/>
              </w:rPr>
            </w:pPr>
            <w:r>
              <w:rPr>
                <w:rFonts w:hint="eastAsia"/>
                <w:sz w:val="18"/>
                <w:szCs w:val="18"/>
              </w:rPr>
              <w:t>重点风险防范措施</w:t>
            </w:r>
          </w:p>
        </w:tc>
        <w:tc>
          <w:tcPr>
            <w:tcW w:w="4026" w:type="pct"/>
            <w:gridSpan w:val="8"/>
            <w:vAlign w:val="center"/>
          </w:tcPr>
          <w:p w14:paraId="6769E7D2" w14:textId="77777777" w:rsidR="007D1E74" w:rsidRDefault="00A95641">
            <w:pPr>
              <w:rPr>
                <w:rFonts w:cstheme="minorHAnsi"/>
                <w:sz w:val="18"/>
                <w:szCs w:val="18"/>
              </w:rPr>
            </w:pPr>
            <w:r>
              <w:rPr>
                <w:rFonts w:cstheme="minorHAnsi" w:hint="eastAsia"/>
                <w:sz w:val="18"/>
                <w:szCs w:val="18"/>
              </w:rPr>
              <w:t>①管道路由选线、设计严格按照相关规范进行，落实标志、警示带、水工保护、管道防腐等设计；</w:t>
            </w:r>
          </w:p>
          <w:p w14:paraId="64EF48E4" w14:textId="77777777" w:rsidR="007D1E74" w:rsidRDefault="00A95641">
            <w:pPr>
              <w:rPr>
                <w:rFonts w:cstheme="minorHAnsi"/>
                <w:sz w:val="18"/>
                <w:szCs w:val="18"/>
              </w:rPr>
            </w:pPr>
            <w:r>
              <w:rPr>
                <w:rFonts w:cstheme="minorHAnsi" w:hint="eastAsia"/>
                <w:sz w:val="18"/>
                <w:szCs w:val="18"/>
              </w:rPr>
              <w:t>②总图布置严格按照防火规范进行设计，落实安全防火间距要求，以及防爆、防雷、防静电及接地措施；</w:t>
            </w:r>
          </w:p>
          <w:p w14:paraId="4ACC385B" w14:textId="77777777" w:rsidR="007D1E74" w:rsidRDefault="00A95641">
            <w:pPr>
              <w:rPr>
                <w:rFonts w:cstheme="minorHAnsi"/>
                <w:sz w:val="18"/>
                <w:szCs w:val="18"/>
              </w:rPr>
            </w:pPr>
            <w:r>
              <w:rPr>
                <w:rFonts w:cstheme="minorHAnsi" w:hint="eastAsia"/>
                <w:sz w:val="18"/>
                <w:szCs w:val="18"/>
              </w:rPr>
              <w:t>③阀室（组）按规范配置一定数量灭火器材；</w:t>
            </w:r>
          </w:p>
          <w:p w14:paraId="179AD99F" w14:textId="77777777" w:rsidR="007D1E74" w:rsidRDefault="00A95641">
            <w:pPr>
              <w:rPr>
                <w:sz w:val="18"/>
                <w:szCs w:val="18"/>
              </w:rPr>
            </w:pPr>
            <w:r>
              <w:rPr>
                <w:rFonts w:hint="eastAsia"/>
                <w:sz w:val="18"/>
                <w:szCs w:val="18"/>
              </w:rPr>
              <w:t>④严格施工期管理，施工材料、工艺、施工方案、检测等均应符合相关规范要求，保证施工质量；穿越自然保护区段开展施工期环境监理，落实敏感区段（人口稠密区、自然保护区、水源保护区）施工期风险防范措施；</w:t>
            </w:r>
          </w:p>
          <w:p w14:paraId="2A9B6515" w14:textId="77777777" w:rsidR="007D1E74" w:rsidRDefault="00A95641">
            <w:pPr>
              <w:rPr>
                <w:sz w:val="18"/>
                <w:szCs w:val="18"/>
              </w:rPr>
            </w:pPr>
            <w:r>
              <w:rPr>
                <w:rFonts w:hint="eastAsia"/>
                <w:sz w:val="18"/>
                <w:szCs w:val="18"/>
              </w:rPr>
              <w:t>⑤加强运营期风险防范，建立完善的应急管理体系，加大穿越段、水工保护设施维护、巡查力度，强化安全教育意识，制定自然灾害防护措施；重要危险点的仪表（流量、压力等）应有备用件；合理设置截断阀室，制定敏感区段（人口稠密区、自然保护区、水源保护区）专项事故应急预案；</w:t>
            </w:r>
          </w:p>
          <w:p w14:paraId="26819293" w14:textId="77777777" w:rsidR="007D1E74" w:rsidRDefault="00A95641">
            <w:pPr>
              <w:rPr>
                <w:sz w:val="18"/>
                <w:szCs w:val="18"/>
              </w:rPr>
            </w:pPr>
            <w:r>
              <w:rPr>
                <w:rFonts w:hint="eastAsia"/>
                <w:sz w:val="18"/>
                <w:szCs w:val="18"/>
              </w:rPr>
              <w:lastRenderedPageBreak/>
              <w:t>⑥制订环境风险应急预案，定期组织培训和演练。</w:t>
            </w:r>
          </w:p>
        </w:tc>
      </w:tr>
      <w:tr w:rsidR="007D1E74" w14:paraId="01E67B23" w14:textId="77777777">
        <w:trPr>
          <w:trHeight w:val="166"/>
          <w:jc w:val="center"/>
        </w:trPr>
        <w:tc>
          <w:tcPr>
            <w:tcW w:w="974" w:type="pct"/>
            <w:gridSpan w:val="2"/>
            <w:shd w:val="clear" w:color="auto" w:fill="auto"/>
            <w:vAlign w:val="center"/>
          </w:tcPr>
          <w:p w14:paraId="72B9A8B7" w14:textId="77777777" w:rsidR="007D1E74" w:rsidRDefault="00A95641">
            <w:pPr>
              <w:jc w:val="center"/>
              <w:rPr>
                <w:sz w:val="18"/>
                <w:szCs w:val="18"/>
              </w:rPr>
            </w:pPr>
            <w:r>
              <w:rPr>
                <w:rFonts w:hint="eastAsia"/>
                <w:sz w:val="18"/>
                <w:szCs w:val="18"/>
              </w:rPr>
              <w:lastRenderedPageBreak/>
              <w:t>评价结论与建议</w:t>
            </w:r>
          </w:p>
        </w:tc>
        <w:tc>
          <w:tcPr>
            <w:tcW w:w="4026" w:type="pct"/>
            <w:gridSpan w:val="8"/>
            <w:vAlign w:val="center"/>
          </w:tcPr>
          <w:p w14:paraId="578A6D0A" w14:textId="77777777" w:rsidR="007D1E74" w:rsidRDefault="00A95641">
            <w:pPr>
              <w:ind w:firstLineChars="200" w:firstLine="360"/>
              <w:rPr>
                <w:sz w:val="18"/>
                <w:szCs w:val="18"/>
              </w:rPr>
            </w:pPr>
            <w:r>
              <w:rPr>
                <w:rFonts w:hint="eastAsia"/>
                <w:sz w:val="18"/>
                <w:szCs w:val="18"/>
              </w:rPr>
              <w:t>本项目主要风险源为集输管道，风险物质为集输管道输送的天然气，主要环境风险为泄漏、火灾引发伴生</w:t>
            </w:r>
            <w:r>
              <w:rPr>
                <w:rFonts w:hint="eastAsia"/>
                <w:sz w:val="18"/>
                <w:szCs w:val="18"/>
              </w:rPr>
              <w:t>/</w:t>
            </w:r>
            <w:r>
              <w:rPr>
                <w:rFonts w:hint="eastAsia"/>
                <w:sz w:val="18"/>
                <w:szCs w:val="18"/>
              </w:rPr>
              <w:t>次生污染。项目危险物质及工艺系统危险性为</w:t>
            </w:r>
            <w:r>
              <w:rPr>
                <w:rFonts w:hint="eastAsia"/>
                <w:sz w:val="18"/>
                <w:szCs w:val="18"/>
              </w:rPr>
              <w:t>P3</w:t>
            </w:r>
            <w:r>
              <w:rPr>
                <w:rFonts w:hint="eastAsia"/>
                <w:sz w:val="18"/>
                <w:szCs w:val="18"/>
              </w:rPr>
              <w:t>，大气环境敏感程度为</w:t>
            </w:r>
            <w:r>
              <w:rPr>
                <w:rFonts w:hint="eastAsia"/>
                <w:sz w:val="18"/>
                <w:szCs w:val="18"/>
              </w:rPr>
              <w:t>E3</w:t>
            </w:r>
            <w:r>
              <w:rPr>
                <w:rFonts w:hint="eastAsia"/>
                <w:sz w:val="18"/>
                <w:szCs w:val="18"/>
              </w:rPr>
              <w:t>，地下水环境敏感程度为</w:t>
            </w:r>
            <w:r>
              <w:rPr>
                <w:rFonts w:hint="eastAsia"/>
                <w:sz w:val="18"/>
                <w:szCs w:val="18"/>
              </w:rPr>
              <w:t>E1</w:t>
            </w:r>
            <w:r>
              <w:rPr>
                <w:rFonts w:hint="eastAsia"/>
                <w:sz w:val="18"/>
                <w:szCs w:val="18"/>
              </w:rPr>
              <w:t>，环境风险潜势综合等级为</w:t>
            </w:r>
            <w:r>
              <w:rPr>
                <w:rFonts w:hint="eastAsia"/>
                <w:sz w:val="18"/>
                <w:szCs w:val="18"/>
              </w:rPr>
              <w:t>III</w:t>
            </w:r>
            <w:r>
              <w:rPr>
                <w:rFonts w:hint="eastAsia"/>
                <w:sz w:val="18"/>
                <w:szCs w:val="18"/>
              </w:rPr>
              <w:t>级，环境风险评价工作等级为二级。</w:t>
            </w:r>
          </w:p>
          <w:p w14:paraId="7485FC82" w14:textId="77777777" w:rsidR="007D1E74" w:rsidRDefault="00A95641">
            <w:pPr>
              <w:ind w:firstLineChars="200" w:firstLine="360"/>
              <w:rPr>
                <w:sz w:val="18"/>
                <w:szCs w:val="18"/>
              </w:rPr>
            </w:pPr>
            <w:r>
              <w:rPr>
                <w:rFonts w:hint="eastAsia"/>
                <w:sz w:val="18"/>
                <w:szCs w:val="18"/>
              </w:rPr>
              <w:t>根据事故源项及事故后果预测结果，项目集输管道天然气泄漏后甲烷在最不利条件下扩散，各段管道预测浓度均未超出大气毒性终点浓度值，不会对周边大气环境造成危害；天然气泄漏引发火灾事故伴生</w:t>
            </w:r>
            <w:r>
              <w:rPr>
                <w:rFonts w:hint="eastAsia"/>
                <w:sz w:val="18"/>
                <w:szCs w:val="18"/>
              </w:rPr>
              <w:t>/</w:t>
            </w:r>
            <w:r>
              <w:rPr>
                <w:rFonts w:hint="eastAsia"/>
                <w:sz w:val="18"/>
                <w:szCs w:val="18"/>
              </w:rPr>
              <w:t>次生污染物一氧化碳烟团扩散，各段管道预测浓度均未达到毒性终点浓度，不会对环境敏感目标造成明显影响。由于天然气密度比空气小，且几乎不溶于水，在事故状态下，即一旦输气管道穿越河流处发生破裂，管道泄漏的天然气会逐渐扩散至大气中，天然气对水质的直接影响很小。运营期集输管道埋设于地下，输送天然气为不含硫的烷烃类气体，由于集输管线是全封闭系统，采用外防腐层和强制电流阴极保护联合方式，如不发生泄漏事故，对地下水不会造成影响。当管道发生破裂事故，其泄漏的天然气主要成分为甲烷，为气态，不溶于水，直接进入空气中，气体不会进入地下水，外管道防腐设，计严格按照相关规定，对地下水基本不会造成影响。</w:t>
            </w:r>
          </w:p>
          <w:p w14:paraId="53350C4C" w14:textId="77777777" w:rsidR="007D1E74" w:rsidRDefault="00A95641">
            <w:pPr>
              <w:ind w:firstLineChars="200" w:firstLine="360"/>
              <w:rPr>
                <w:sz w:val="18"/>
                <w:szCs w:val="18"/>
              </w:rPr>
            </w:pPr>
            <w:r>
              <w:rPr>
                <w:rFonts w:hint="eastAsia"/>
                <w:sz w:val="18"/>
                <w:szCs w:val="18"/>
              </w:rPr>
              <w:t>1#</w:t>
            </w:r>
            <w:r>
              <w:rPr>
                <w:rFonts w:hint="eastAsia"/>
                <w:sz w:val="18"/>
                <w:szCs w:val="18"/>
              </w:rPr>
              <w:t>阀室采出水罐石油类第</w:t>
            </w:r>
            <w:r>
              <w:rPr>
                <w:rFonts w:hint="eastAsia"/>
                <w:sz w:val="18"/>
                <w:szCs w:val="18"/>
              </w:rPr>
              <w:t>100d</w:t>
            </w:r>
            <w:r>
              <w:rPr>
                <w:rFonts w:hint="eastAsia"/>
                <w:sz w:val="18"/>
                <w:szCs w:val="18"/>
              </w:rPr>
              <w:t>浓度出现了超标现象（参照《地表水环境质量标准》（</w:t>
            </w:r>
            <w:r>
              <w:rPr>
                <w:rFonts w:hint="eastAsia"/>
                <w:sz w:val="18"/>
                <w:szCs w:val="18"/>
              </w:rPr>
              <w:t>GB3838-2002</w:t>
            </w:r>
            <w:r>
              <w:rPr>
                <w:rFonts w:hint="eastAsia"/>
                <w:sz w:val="18"/>
                <w:szCs w:val="18"/>
              </w:rPr>
              <w:t>）</w:t>
            </w:r>
            <w:r>
              <w:rPr>
                <w:rFonts w:hint="eastAsia"/>
                <w:sz w:val="18"/>
                <w:szCs w:val="18"/>
              </w:rPr>
              <w:t>III</w:t>
            </w:r>
            <w:r>
              <w:rPr>
                <w:rFonts w:hint="eastAsia"/>
                <w:sz w:val="18"/>
                <w:szCs w:val="18"/>
              </w:rPr>
              <w:t>类标准），通过加强采出水罐的检查检修，杜绝非正常工况的发生，同时制定非正常工况风险事故防范和应急措施，发生非正常工况风险事故后，通过及时处理，可有效控制污染影响。</w:t>
            </w:r>
          </w:p>
          <w:p w14:paraId="3525B03A" w14:textId="77777777" w:rsidR="007D1E74" w:rsidRDefault="00A95641">
            <w:pPr>
              <w:ind w:firstLineChars="200" w:firstLine="360"/>
              <w:rPr>
                <w:sz w:val="18"/>
                <w:szCs w:val="18"/>
              </w:rPr>
            </w:pPr>
            <w:r>
              <w:rPr>
                <w:rFonts w:hint="eastAsia"/>
                <w:sz w:val="18"/>
                <w:szCs w:val="18"/>
              </w:rPr>
              <w:t>本项目在设计阶段、施工阶段、运行阶段都采取了各种风险事故防范措施，项目在严格落实本报告提出的各项措施、建立和落实各项风险预警防范措施和事故应预案，落实安全防护设施设计的前提下，建设项目风险水平处于可接受程度。</w:t>
            </w:r>
          </w:p>
        </w:tc>
      </w:tr>
      <w:tr w:rsidR="007D1E74" w14:paraId="0833507E" w14:textId="77777777">
        <w:trPr>
          <w:trHeight w:val="166"/>
          <w:jc w:val="center"/>
        </w:trPr>
        <w:tc>
          <w:tcPr>
            <w:tcW w:w="5000" w:type="pct"/>
            <w:gridSpan w:val="10"/>
            <w:shd w:val="clear" w:color="auto" w:fill="auto"/>
            <w:vAlign w:val="center"/>
          </w:tcPr>
          <w:p w14:paraId="020EADEF" w14:textId="77777777" w:rsidR="007D1E74" w:rsidRDefault="00A95641">
            <w:pPr>
              <w:rPr>
                <w:sz w:val="18"/>
                <w:szCs w:val="18"/>
              </w:rPr>
            </w:pPr>
            <w:r>
              <w:rPr>
                <w:rFonts w:hint="eastAsia"/>
                <w:sz w:val="18"/>
                <w:szCs w:val="18"/>
              </w:rPr>
              <w:t>注：“</w:t>
            </w:r>
            <w:r>
              <w:rPr>
                <w:rFonts w:asciiTheme="minorEastAsia" w:hAnsiTheme="minorEastAsia"/>
                <w:sz w:val="18"/>
                <w:szCs w:val="18"/>
              </w:rPr>
              <w:t>□</w:t>
            </w:r>
            <w:r>
              <w:rPr>
                <w:rFonts w:asciiTheme="minorEastAsia" w:hAnsiTheme="minorEastAsia" w:hint="eastAsia"/>
                <w:sz w:val="18"/>
                <w:szCs w:val="18"/>
              </w:rPr>
              <w:t>”</w:t>
            </w:r>
            <w:r>
              <w:rPr>
                <w:rFonts w:asciiTheme="minorEastAsia" w:hAnsiTheme="minorEastAsia"/>
                <w:sz w:val="18"/>
                <w:szCs w:val="18"/>
              </w:rPr>
              <w:t>为勾选项</w:t>
            </w:r>
            <w:r>
              <w:rPr>
                <w:rFonts w:asciiTheme="minorEastAsia" w:hAnsiTheme="minorEastAsia" w:hint="eastAsia"/>
                <w:sz w:val="18"/>
                <w:szCs w:val="18"/>
              </w:rPr>
              <w:t>；“</w:t>
            </w:r>
            <w:r>
              <w:rPr>
                <w:rFonts w:asciiTheme="minorEastAsia" w:hAnsiTheme="minorEastAsia" w:hint="eastAsia"/>
                <w:sz w:val="18"/>
                <w:szCs w:val="18"/>
                <w:u w:val="single"/>
              </w:rPr>
              <w:t xml:space="preserve"> </w:t>
            </w:r>
            <w:r>
              <w:rPr>
                <w:rFonts w:asciiTheme="minorEastAsia" w:hAnsiTheme="minorEastAsia"/>
                <w:sz w:val="18"/>
                <w:szCs w:val="18"/>
                <w:u w:val="single"/>
              </w:rPr>
              <w:t xml:space="preserve">    </w:t>
            </w:r>
            <w:r>
              <w:rPr>
                <w:rFonts w:asciiTheme="minorEastAsia" w:hAnsiTheme="minorEastAsia" w:hint="eastAsia"/>
                <w:sz w:val="18"/>
                <w:szCs w:val="18"/>
              </w:rPr>
              <w:t>”为内容填写项</w:t>
            </w:r>
          </w:p>
        </w:tc>
      </w:tr>
    </w:tbl>
    <w:p w14:paraId="33A3B1C2" w14:textId="77777777" w:rsidR="007D1E74" w:rsidRDefault="007D1E74">
      <w:pPr>
        <w:rPr>
          <w:rFonts w:eastAsia="黑体" w:cs="Times New Roman"/>
          <w:sz w:val="28"/>
          <w:szCs w:val="28"/>
        </w:rPr>
      </w:pPr>
    </w:p>
    <w:sectPr w:rsidR="007D1E74">
      <w:headerReference w:type="default" r:id="rId183"/>
      <w:footerReference w:type="default" r:id="rId184"/>
      <w:pgSz w:w="11906" w:h="16838"/>
      <w:pgMar w:top="1440" w:right="1440" w:bottom="144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072819" w14:textId="77777777" w:rsidR="00E7258B" w:rsidRDefault="00E7258B">
      <w:r>
        <w:separator/>
      </w:r>
    </w:p>
  </w:endnote>
  <w:endnote w:type="continuationSeparator" w:id="0">
    <w:p w14:paraId="3DA9550A" w14:textId="77777777" w:rsidR="00E7258B" w:rsidRDefault="00E725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仿宋_GB2312">
    <w:panose1 w:val="02010609030101010101"/>
    <w:charset w:val="86"/>
    <w:family w:val="modern"/>
    <w:pitch w:val="fixed"/>
    <w:sig w:usb0="00000001" w:usb1="080E0000" w:usb2="00000010" w:usb3="00000000" w:csb0="00040000" w:csb1="00000000"/>
  </w:font>
  <w:font w:name="Arial Black">
    <w:panose1 w:val="020B0A04020102020204"/>
    <w:charset w:val="00"/>
    <w:family w:val="swiss"/>
    <w:pitch w:val="variable"/>
    <w:sig w:usb0="A00002AF" w:usb1="400078FB" w:usb2="00000000" w:usb3="00000000" w:csb0="0000009F" w:csb1="00000000"/>
  </w:font>
  <w:font w:name="monospace">
    <w:altName w:val="Arial Unicode MS"/>
    <w:charset w:val="00"/>
    <w:family w:val="auto"/>
    <w:pitch w:val="default"/>
    <w:sig w:usb0="00000000" w:usb1="00000000" w:usb2="00000000" w:usb3="00000000" w:csb0="00040001" w:csb1="00000000"/>
  </w:font>
  <w:font w:name="Calibri Light">
    <w:panose1 w:val="020F0302020204030204"/>
    <w:charset w:val="00"/>
    <w:family w:val="swiss"/>
    <w:pitch w:val="variable"/>
    <w:sig w:usb0="E4002EFF" w:usb1="C0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MingLiU">
    <w:altName w:val="細明體"/>
    <w:panose1 w:val="02010609000101010101"/>
    <w:charset w:val="88"/>
    <w:family w:val="modern"/>
    <w:pitch w:val="fixed"/>
    <w:sig w:usb0="A00002FF" w:usb1="28CFFCFA" w:usb2="00000016" w:usb3="00000000" w:csb0="00100001" w:csb1="00000000"/>
  </w:font>
  <w:font w:name="华文细黑">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PMingLiU">
    <w:altName w:val="新細明體"/>
    <w:panose1 w:val="02010601000101010101"/>
    <w:charset w:val="88"/>
    <w:family w:val="roman"/>
    <w:pitch w:val="variable"/>
    <w:sig w:usb0="A00002FF" w:usb1="28CFFCFA" w:usb2="00000016" w:usb3="00000000" w:csb0="00100001" w:csb1="00000000"/>
  </w:font>
  <w:font w:name="Batang">
    <w:altName w:val="바탕"/>
    <w:panose1 w:val="02030600000101010101"/>
    <w:charset w:val="81"/>
    <w:family w:val="roman"/>
    <w:pitch w:val="variable"/>
    <w:sig w:usb0="B00002AF" w:usb1="69D77CFB" w:usb2="00000030" w:usb3="00000000" w:csb0="0008009F" w:csb1="00000000"/>
  </w:font>
  <w:font w:name="Constantia">
    <w:panose1 w:val="02030602050306030303"/>
    <w:charset w:val="00"/>
    <w:family w:val="roman"/>
    <w:pitch w:val="variable"/>
    <w:sig w:usb0="A00002EF" w:usb1="4000204B" w:usb2="00000000" w:usb3="00000000" w:csb0="0000019F" w:csb1="00000000"/>
  </w:font>
  <w:font w:name="楷体_GB2312">
    <w:altName w:val="楷体"/>
    <w:charset w:val="86"/>
    <w:family w:val="auto"/>
    <w:pitch w:val="default"/>
    <w:sig w:usb0="00000000" w:usb1="00000000" w:usb2="00000000" w:usb3="00000000" w:csb0="00040000" w:csb1="00000000"/>
  </w:font>
  <w:font w:name="Arial Unicode MS">
    <w:panose1 w:val="020B0604020202020204"/>
    <w:charset w:val="86"/>
    <w:family w:val="swiss"/>
    <w:pitch w:val="variable"/>
    <w:sig w:usb0="F7FFAFFF" w:usb1="E9DFFFFF" w:usb2="0000003F" w:usb3="00000000" w:csb0="003F01FF" w:csb1="00000000"/>
  </w:font>
  <w:font w:name="幼圆">
    <w:panose1 w:val="02010509060101010101"/>
    <w:charset w:val="86"/>
    <w:family w:val="modern"/>
    <w:pitch w:val="fixed"/>
    <w:sig w:usb0="00000001" w:usb1="080E0000" w:usb2="00000010" w:usb3="00000000" w:csb0="00040000" w:csb1="00000000"/>
  </w:font>
  <w:font w:name="Times">
    <w:altName w:val="Times New Roman"/>
    <w:panose1 w:val="02020603050405020304"/>
    <w:charset w:val="00"/>
    <w:family w:val="roman"/>
    <w:pitch w:val="default"/>
    <w:sig w:usb0="00000000" w:usb1="00000000" w:usb2="00000009" w:usb3="00000000" w:csb0="000001FF" w:csb1="00000000"/>
  </w:font>
  <w:font w:name="隶书">
    <w:panose1 w:val="02010509060101010101"/>
    <w:charset w:val="86"/>
    <w:family w:val="modern"/>
    <w:pitch w:val="fixed"/>
    <w:sig w:usb0="00000001" w:usb1="080E0000" w:usb2="00000010" w:usb3="00000000" w:csb0="00040000"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AngsanaUPC">
    <w:charset w:val="DE"/>
    <w:family w:val="roman"/>
    <w:pitch w:val="variable"/>
    <w:sig w:usb0="81000003" w:usb1="00000000" w:usb2="00000000" w:usb3="00000000" w:csb0="00010001" w:csb1="00000000"/>
  </w:font>
  <w:font w:name="MHei-Medium">
    <w:altName w:val="微软雅黑"/>
    <w:charset w:val="00"/>
    <w:family w:val="auto"/>
    <w:pitch w:val="default"/>
    <w:sig w:usb0="00000000" w:usb1="00000000" w:usb2="00000000" w:usb3="00000000" w:csb0="00040001" w:csb1="00000000"/>
  </w:font>
  <w:font w:name="魏碑">
    <w:altName w:val="黑体"/>
    <w:charset w:val="86"/>
    <w:family w:val="modern"/>
    <w:pitch w:val="default"/>
    <w:sig w:usb0="00000000" w:usb1="00000000" w:usb2="00000010" w:usb3="00000000" w:csb0="00040000" w:csb1="00000000"/>
  </w:font>
  <w:font w:name="华文楷体">
    <w:panose1 w:val="02010600040101010101"/>
    <w:charset w:val="86"/>
    <w:family w:val="auto"/>
    <w:pitch w:val="variable"/>
    <w:sig w:usb0="00000287" w:usb1="080F0000" w:usb2="00000010" w:usb3="00000000" w:csb0="0004009F" w:csb1="00000000"/>
  </w:font>
  <w:font w:name="??">
    <w:altName w:val="Times New Roman"/>
    <w:charset w:val="00"/>
    <w:family w:val="auto"/>
    <w:pitch w:val="default"/>
    <w:sig w:usb0="00000000" w:usb1="00000000" w:usb2="00000000" w:usb3="00000000" w:csb0="00000001" w:csb1="00000000"/>
  </w:font>
  <w:font w:name="ˎ̥">
    <w:altName w:val="Times New Roman"/>
    <w:charset w:val="00"/>
    <w:family w:val="roman"/>
    <w:pitch w:val="default"/>
    <w:sig w:usb0="00000000" w:usb1="00000000" w:usb2="00000000" w:usb3="00000000" w:csb0="00040001" w:csb1="00000000"/>
  </w:font>
  <w:font w:name="新宋体">
    <w:panose1 w:val="02010609030101010101"/>
    <w:charset w:val="86"/>
    <w:family w:val="modern"/>
    <w:pitch w:val="fixed"/>
    <w:sig w:usb0="00000283" w:usb1="288F0000" w:usb2="00000016" w:usb3="00000000" w:csb0="00040001" w:csb1="00000000"/>
  </w:font>
  <w:font w:name="长城楷体">
    <w:altName w:val="黑体"/>
    <w:charset w:val="86"/>
    <w:family w:val="modern"/>
    <w:pitch w:val="default"/>
    <w:sig w:usb0="00000000" w:usb1="00000000" w:usb2="00000010" w:usb3="00000000" w:csb0="00040000" w:csb1="00000000"/>
  </w:font>
  <w:font w:name="TimesNewRoman">
    <w:altName w:val="Times New Roman"/>
    <w:charset w:val="00"/>
    <w:family w:val="roman"/>
    <w:pitch w:val="default"/>
    <w:sig w:usb0="00000000" w:usb1="00000000" w:usb2="00000010" w:usb3="00000000" w:csb0="00020001" w:csb1="00000000"/>
  </w:font>
  <w:font w:name="TimesNewRomanPSMT">
    <w:altName w:val="Times New Roman"/>
    <w:charset w:val="00"/>
    <w:family w:val="roman"/>
    <w:pitch w:val="default"/>
    <w:sig w:usb0="00000000" w:usb1="00000000" w:usb2="00000010" w:usb3="00000000" w:csb0="00040001" w:csb1="00000000"/>
  </w:font>
  <w:font w:name="Tahoma">
    <w:panose1 w:val="020B0604030504040204"/>
    <w:charset w:val="00"/>
    <w:family w:val="swiss"/>
    <w:pitch w:val="variable"/>
    <w:sig w:usb0="E1002EFF" w:usb1="C000605B" w:usb2="00000029" w:usb3="00000000" w:csb0="000101FF" w:csb1="00000000"/>
  </w:font>
  <w:font w:name="Symusic">
    <w:panose1 w:val="00000400000000000000"/>
    <w:charset w:val="00"/>
    <w:family w:val="auto"/>
    <w:pitch w:val="variable"/>
    <w:sig w:usb0="20002A87" w:usb1="00000000" w:usb2="00000000" w:usb3="00000000" w:csb0="000001FF" w:csb1="00000000"/>
  </w:font>
  <w:font w:name="华文行楷">
    <w:panose1 w:val="02010800040101010101"/>
    <w:charset w:val="86"/>
    <w:family w:val="auto"/>
    <w:pitch w:val="variable"/>
    <w:sig w:usb0="00000001" w:usb1="080F0000" w:usb2="00000010" w:usb3="00000000" w:csb0="00040000" w:csb1="00000000"/>
  </w:font>
  <w:font w:name="昆仑仿宋">
    <w:altName w:val="黑体"/>
    <w:charset w:val="86"/>
    <w:family w:val="modern"/>
    <w:pitch w:val="default"/>
    <w:sig w:usb0="00000000" w:usb1="00000000" w:usb2="00000010" w:usb3="00000000" w:csb0="00040000" w:csb1="00000000"/>
  </w:font>
  <w:font w:name="长城仿宋体">
    <w:altName w:val="宋体"/>
    <w:charset w:val="86"/>
    <w:family w:val="modern"/>
    <w:pitch w:val="default"/>
    <w:sig w:usb0="00000000" w:usb1="00000000" w:usb2="00000010" w:usb3="00000000" w:csb0="00040000" w:csb1="00000000"/>
  </w:font>
  <w:font w:name="Bookman Old Style">
    <w:panose1 w:val="02050604050505020204"/>
    <w:charset w:val="00"/>
    <w:family w:val="roman"/>
    <w:pitch w:val="variable"/>
    <w:sig w:usb0="00000287" w:usb1="00000000" w:usb2="00000000" w:usb3="00000000" w:csb0="0000009F" w:csb1="00000000"/>
  </w:font>
  <w:font w:name="Tms Rmn">
    <w:panose1 w:val="02020603040505020304"/>
    <w:charset w:val="00"/>
    <w:family w:val="roman"/>
    <w:pitch w:val="default"/>
    <w:sig w:usb0="00000000" w:usb1="00000000" w:usb2="00000000" w:usb3="00000000" w:csb0="00000001" w:csb1="00000000"/>
  </w:font>
  <w:font w:name="等线">
    <w:altName w:val="DengXian"/>
    <w:panose1 w:val="02010600030101010101"/>
    <w:charset w:val="86"/>
    <w:family w:val="auto"/>
    <w:pitch w:val="variable"/>
    <w:sig w:usb0="A00002BF" w:usb1="38CF7CFA" w:usb2="00000016" w:usb3="00000000" w:csb0="0004000F" w:csb1="00000000"/>
  </w:font>
  <w:font w:name="方正大标宋简体">
    <w:altName w:val="Arial Unicode MS"/>
    <w:charset w:val="86"/>
    <w:family w:val="auto"/>
    <w:pitch w:val="default"/>
    <w:sig w:usb0="00000000" w:usb1="00000000" w:usb2="00000010" w:usb3="00000000" w:csb0="00040000" w:csb1="00000000"/>
  </w:font>
  <w:font w:name="Ti">
    <w:altName w:val="Times New Roman"/>
    <w:charset w:val="00"/>
    <w:family w:val="roman"/>
    <w:pitch w:val="default"/>
    <w:sig w:usb0="00000000" w:usb1="00000000" w:usb2="00000000" w:usb3="00000000" w:csb0="00040001" w:csb1="00000000"/>
  </w:font>
  <w:font w:name="宋体 ! important">
    <w:altName w:val="宋体"/>
    <w:charset w:val="00"/>
    <w:family w:val="auto"/>
    <w:pitch w:val="default"/>
    <w:sig w:usb0="00000000" w:usb1="00000000" w:usb2="00000000" w:usb3="00000000" w:csb0="00040001" w:csb1="00000000"/>
  </w:font>
  <w:font w:name="Microsoft YaHei UI">
    <w:panose1 w:val="020B0503020204020204"/>
    <w:charset w:val="86"/>
    <w:family w:val="swiss"/>
    <w:pitch w:val="variable"/>
    <w:sig w:usb0="80000287" w:usb1="2ACF3C50" w:usb2="00000016" w:usb3="00000000" w:csb0="0004001F" w:csb1="00000000"/>
  </w:font>
  <w:font w:name="Garamond">
    <w:panose1 w:val="020204040303010108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華康中楷體">
    <w:altName w:val="Microsoft JhengHei"/>
    <w:charset w:val="88"/>
    <w:family w:val="modern"/>
    <w:pitch w:val="default"/>
    <w:sig w:usb0="00000000" w:usb1="00000000" w:usb2="00000010" w:usb3="00000000" w:csb0="00100000" w:csb1="00000000"/>
  </w:font>
  <w:font w:name="Helvetica">
    <w:panose1 w:val="020B0604020202020204"/>
    <w:charset w:val="00"/>
    <w:family w:val="swiss"/>
    <w:pitch w:val="default"/>
    <w:sig w:usb0="00000000" w:usb1="00000000" w:usb2="00000009" w:usb3="00000000" w:csb0="000001FF" w:csb1="00000000"/>
  </w:font>
  <w:font w:name="LF Song">
    <w:altName w:val="宋体"/>
    <w:charset w:val="86"/>
    <w:family w:val="auto"/>
    <w:pitch w:val="default"/>
    <w:sig w:usb0="00000000" w:usb1="00000000" w:usb2="00000010" w:usb3="00000000" w:csb0="00040000" w:csb1="00000000"/>
  </w:font>
  <w:font w:name="方正宋三简体">
    <w:altName w:val="宋体"/>
    <w:charset w:val="86"/>
    <w:family w:val="auto"/>
    <w:pitch w:val="default"/>
    <w:sig w:usb0="00000000" w:usb1="00000000" w:usb2="00000010" w:usb3="00000000" w:csb0="00040000" w:csb1="00000000"/>
  </w:font>
  <w:font w:name="”“Times New Roman”“">
    <w:altName w:val="宋体"/>
    <w:charset w:val="86"/>
    <w:family w:val="roman"/>
    <w:pitch w:val="default"/>
    <w:sig w:usb0="00000000" w:usb1="00000000" w:usb2="00000010" w:usb3="00000000" w:csb0="00040000" w:csb1="00000000"/>
  </w:font>
  <w:font w:name="经典叠圆体简">
    <w:altName w:val="宋体"/>
    <w:charset w:val="86"/>
    <w:family w:val="modern"/>
    <w:pitch w:val="default"/>
    <w:sig w:usb0="00000000" w:usb1="00000000" w:usb2="0000001E" w:usb3="00000000" w:csb0="00040000" w:csb1="00000000"/>
  </w:font>
  <w:font w:name="?????">
    <w:altName w:val="Arial"/>
    <w:charset w:val="00"/>
    <w:family w:val="modern"/>
    <w:pitch w:val="default"/>
    <w:sig w:usb0="00000000" w:usb1="00000000" w:usb2="00000000" w:usb3="00000000" w:csb0="00000001" w:csb1="00000000"/>
  </w:font>
  <w:font w:name="方正姚体">
    <w:panose1 w:val="02010601030101010101"/>
    <w:charset w:val="86"/>
    <w:family w:val="auto"/>
    <w:pitch w:val="variable"/>
    <w:sig w:usb0="00000003" w:usb1="080E0000" w:usb2="00000010" w:usb3="00000000" w:csb0="00040000" w:csb1="00000000"/>
  </w:font>
  <w:font w:name="仿宋体">
    <w:altName w:val="宋体"/>
    <w:charset w:val="86"/>
    <w:family w:val="roman"/>
    <w:pitch w:val="default"/>
    <w:sig w:usb0="00000000" w:usb1="00000000" w:usb2="00000010" w:usb3="00000000" w:csb0="00040000" w:csb1="00000000"/>
  </w:font>
  <w:font w:name="Vrinda">
    <w:panose1 w:val="00000400000000000000"/>
    <w:charset w:val="00"/>
    <w:family w:val="swiss"/>
    <w:pitch w:val="variable"/>
    <w:sig w:usb0="00010003" w:usb1="00000000" w:usb2="00000000" w:usb3="00000000" w:csb0="00000001" w:csb1="00000000"/>
  </w:font>
  <w:font w:name="华文仿宋">
    <w:panose1 w:val="02010600040101010101"/>
    <w:charset w:val="86"/>
    <w:family w:val="auto"/>
    <w:pitch w:val="variable"/>
    <w:sig w:usb0="00000287" w:usb1="080F0000" w:usb2="00000010" w:usb3="00000000" w:csb0="0004009F" w:csb1="00000000"/>
  </w:font>
  <w:font w:name="Plotter">
    <w:altName w:val="Calibri"/>
    <w:charset w:val="00"/>
    <w:family w:val="roman"/>
    <w:pitch w:val="default"/>
    <w:sig w:usb0="00000000" w:usb1="00000000" w:usb2="00000000" w:usb3="00000000" w:csb0="00000001" w:csb1="00000000"/>
  </w:font>
  <w:font w:name="华文新魏">
    <w:panose1 w:val="02010800040101010101"/>
    <w:charset w:val="86"/>
    <w:family w:val="auto"/>
    <w:pitch w:val="variable"/>
    <w:sig w:usb0="00000001" w:usb1="080F0000" w:usb2="00000010" w:usb3="00000000" w:csb0="00040000" w:csb1="00000000"/>
  </w:font>
  <w:font w:name="汉鼎简书宋">
    <w:altName w:val="宋体"/>
    <w:charset w:val="86"/>
    <w:family w:val="modern"/>
    <w:pitch w:val="default"/>
    <w:sig w:usb0="00000000" w:usb1="00000000" w:usb2="00000010" w:usb3="00000000" w:csb0="00040000" w:csb1="00000000"/>
  </w:font>
  <w:font w:name="Microsoft JhengHei">
    <w:panose1 w:val="020B0604030504040204"/>
    <w:charset w:val="88"/>
    <w:family w:val="swiss"/>
    <w:pitch w:val="variable"/>
    <w:sig w:usb0="000002A7" w:usb1="28CF4400" w:usb2="00000016" w:usb3="00000000" w:csb0="00100009" w:csb1="00000000"/>
  </w:font>
  <w:font w:name="Gulim">
    <w:altName w:val="굴림"/>
    <w:panose1 w:val="020B0600000101010101"/>
    <w:charset w:val="81"/>
    <w:family w:val="swiss"/>
    <w:pitch w:val="variable"/>
    <w:sig w:usb0="B00002AF" w:usb1="69D77CFB" w:usb2="00000030" w:usb3="00000000" w:csb0="0008009F" w:csb1="00000000"/>
  </w:font>
  <w:font w:name="Symbol">
    <w:panose1 w:val="05050102010706020507"/>
    <w:charset w:val="02"/>
    <w:family w:val="roman"/>
    <w:pitch w:val="variable"/>
    <w:sig w:usb0="00000000" w:usb1="10000000" w:usb2="00000000" w:usb3="00000000" w:csb0="80000000" w:csb1="00000000"/>
  </w:font>
  <w:font w:name="????">
    <w:altName w:val="Malgun Gothic"/>
    <w:charset w:val="81"/>
    <w:family w:val="auto"/>
    <w:pitch w:val="default"/>
    <w:sig w:usb0="00000000" w:usb1="00000000" w:usb2="00000010" w:usb3="00000000" w:csb0="00080000" w:csb1="00000000"/>
  </w:font>
  <w:font w:name="DFKai-SB">
    <w:altName w:val="Microsoft JhengHei Light"/>
    <w:charset w:val="88"/>
    <w:family w:val="script"/>
    <w:pitch w:val="default"/>
    <w:sig w:usb0="00000000" w:usb1="00000000" w:usb2="00000016" w:usb3="00000000" w:csb0="00100001" w:csb1="00000000"/>
  </w:font>
  <w:font w:name="仿宋">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A24826" w14:textId="77777777" w:rsidR="007D1E74" w:rsidRDefault="007D1E74">
    <w:pPr>
      <w:pStyle w:val="afff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AD50D8" w14:textId="77777777" w:rsidR="00E7258B" w:rsidRDefault="00E7258B">
      <w:r>
        <w:separator/>
      </w:r>
    </w:p>
  </w:footnote>
  <w:footnote w:type="continuationSeparator" w:id="0">
    <w:p w14:paraId="2AEAC321" w14:textId="77777777" w:rsidR="00E7258B" w:rsidRDefault="00E7258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C55DC2" w14:textId="77777777" w:rsidR="007D1E74" w:rsidRDefault="00A95641">
    <w:pPr>
      <w:pStyle w:val="afff8"/>
    </w:pPr>
    <w:r>
      <w:rPr>
        <w:rFonts w:hint="eastAsia"/>
      </w:rPr>
      <w:t>通南巴气田马</w:t>
    </w:r>
    <w:r>
      <w:rPr>
        <w:rFonts w:hint="eastAsia"/>
      </w:rPr>
      <w:t>1</w:t>
    </w:r>
    <w:r>
      <w:rPr>
        <w:rFonts w:hint="eastAsia"/>
      </w:rPr>
      <w:t>、马</w:t>
    </w:r>
    <w:r>
      <w:rPr>
        <w:rFonts w:hint="eastAsia"/>
      </w:rPr>
      <w:t>2</w:t>
    </w:r>
    <w:r>
      <w:rPr>
        <w:rFonts w:hint="eastAsia"/>
      </w:rPr>
      <w:t>块产能建设项目（二期）地面集输工程环境影响报告书</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9304ECC1"/>
    <w:multiLevelType w:val="singleLevel"/>
    <w:tmpl w:val="9304ECC1"/>
    <w:lvl w:ilvl="0">
      <w:start w:val="3"/>
      <w:numFmt w:val="decimal"/>
      <w:suff w:val="nothing"/>
      <w:lvlText w:val="%1、"/>
      <w:lvlJc w:val="left"/>
    </w:lvl>
  </w:abstractNum>
  <w:abstractNum w:abstractNumId="1" w15:restartNumberingAfterBreak="0">
    <w:nsid w:val="9A8C4006"/>
    <w:multiLevelType w:val="singleLevel"/>
    <w:tmpl w:val="9A8C4006"/>
    <w:lvl w:ilvl="0">
      <w:start w:val="1"/>
      <w:numFmt w:val="decimal"/>
      <w:suff w:val="nothing"/>
      <w:lvlText w:val="（%1）"/>
      <w:lvlJc w:val="left"/>
    </w:lvl>
  </w:abstractNum>
  <w:abstractNum w:abstractNumId="2" w15:restartNumberingAfterBreak="0">
    <w:nsid w:val="9CB1CD47"/>
    <w:multiLevelType w:val="singleLevel"/>
    <w:tmpl w:val="9CB1CD47"/>
    <w:lvl w:ilvl="0">
      <w:start w:val="1"/>
      <w:numFmt w:val="decimal"/>
      <w:pStyle w:val="-13"/>
      <w:suff w:val="nothing"/>
      <w:lvlText w:val="表 1-%1 "/>
      <w:lvlJc w:val="left"/>
      <w:pPr>
        <w:tabs>
          <w:tab w:val="left" w:pos="0"/>
        </w:tabs>
      </w:pPr>
      <w:rPr>
        <w:rFonts w:ascii="宋体" w:eastAsia="黑体" w:hAnsi="宋体" w:cs="Times New Roman" w:hint="default"/>
        <w:sz w:val="21"/>
        <w:szCs w:val="21"/>
      </w:rPr>
    </w:lvl>
  </w:abstractNum>
  <w:abstractNum w:abstractNumId="3" w15:restartNumberingAfterBreak="0">
    <w:nsid w:val="AC4E3535"/>
    <w:multiLevelType w:val="singleLevel"/>
    <w:tmpl w:val="AC4E3535"/>
    <w:lvl w:ilvl="0">
      <w:start w:val="1"/>
      <w:numFmt w:val="decimal"/>
      <w:pStyle w:val="3"/>
      <w:lvlText w:val="%1."/>
      <w:lvlJc w:val="left"/>
      <w:pPr>
        <w:tabs>
          <w:tab w:val="left" w:pos="1200"/>
        </w:tabs>
        <w:ind w:left="1200" w:hanging="360"/>
      </w:pPr>
    </w:lvl>
  </w:abstractNum>
  <w:abstractNum w:abstractNumId="4" w15:restartNumberingAfterBreak="0">
    <w:nsid w:val="ADF9F84A"/>
    <w:multiLevelType w:val="singleLevel"/>
    <w:tmpl w:val="ADF9F84A"/>
    <w:lvl w:ilvl="0">
      <w:start w:val="1"/>
      <w:numFmt w:val="bullet"/>
      <w:pStyle w:val="5"/>
      <w:lvlText w:val=""/>
      <w:lvlJc w:val="left"/>
      <w:pPr>
        <w:tabs>
          <w:tab w:val="left" w:pos="2040"/>
        </w:tabs>
        <w:ind w:left="2040" w:hanging="360"/>
      </w:pPr>
      <w:rPr>
        <w:rFonts w:ascii="Wingdings" w:hAnsi="Wingdings" w:hint="default"/>
      </w:rPr>
    </w:lvl>
  </w:abstractNum>
  <w:abstractNum w:abstractNumId="5" w15:restartNumberingAfterBreak="0">
    <w:nsid w:val="C903A4CA"/>
    <w:multiLevelType w:val="singleLevel"/>
    <w:tmpl w:val="C903A4CA"/>
    <w:lvl w:ilvl="0">
      <w:start w:val="1"/>
      <w:numFmt w:val="decimal"/>
      <w:pStyle w:val="50"/>
      <w:lvlText w:val="%1."/>
      <w:lvlJc w:val="left"/>
      <w:pPr>
        <w:tabs>
          <w:tab w:val="left" w:pos="2040"/>
        </w:tabs>
        <w:ind w:left="2040" w:hanging="360"/>
      </w:pPr>
    </w:lvl>
  </w:abstractNum>
  <w:abstractNum w:abstractNumId="6" w15:restartNumberingAfterBreak="0">
    <w:nsid w:val="E3F50962"/>
    <w:multiLevelType w:val="singleLevel"/>
    <w:tmpl w:val="E3F50962"/>
    <w:lvl w:ilvl="0">
      <w:start w:val="1"/>
      <w:numFmt w:val="decimal"/>
      <w:suff w:val="nothing"/>
      <w:lvlText w:val="%1、"/>
      <w:lvlJc w:val="left"/>
    </w:lvl>
  </w:abstractNum>
  <w:abstractNum w:abstractNumId="7" w15:restartNumberingAfterBreak="0">
    <w:nsid w:val="03CF53E1"/>
    <w:multiLevelType w:val="multilevel"/>
    <w:tmpl w:val="03CF53E1"/>
    <w:lvl w:ilvl="0">
      <w:start w:val="1"/>
      <w:numFmt w:val="decimal"/>
      <w:pStyle w:val="a"/>
      <w:lvlText w:val="表1-%1"/>
      <w:lvlJc w:val="left"/>
      <w:pPr>
        <w:tabs>
          <w:tab w:val="left" w:pos="851"/>
        </w:tabs>
        <w:ind w:left="0" w:firstLine="0"/>
      </w:pPr>
      <w:rPr>
        <w:rFonts w:hint="eastAsia"/>
        <w:b w:val="0"/>
        <w:bCs w:val="0"/>
        <w:i w:val="0"/>
        <w:iCs w:val="0"/>
        <w:caps w:val="0"/>
        <w:smallCaps w:val="0"/>
        <w:strike w:val="0"/>
        <w:dstrike w:val="0"/>
        <w:color w:val="000000"/>
        <w:spacing w:val="0"/>
        <w:position w:val="0"/>
        <w:u w:val="none"/>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8" w15:restartNumberingAfterBreak="0">
    <w:nsid w:val="04BE1EC3"/>
    <w:multiLevelType w:val="multilevel"/>
    <w:tmpl w:val="04BE1EC3"/>
    <w:lvl w:ilvl="0">
      <w:start w:val="1"/>
      <w:numFmt w:val="decimal"/>
      <w:lvlText w:val="表5.2-%1"/>
      <w:lvlJc w:val="left"/>
      <w:pPr>
        <w:tabs>
          <w:tab w:val="left" w:pos="851"/>
        </w:tabs>
        <w:ind w:left="425" w:hanging="425"/>
      </w:pPr>
      <w:rPr>
        <w:rFonts w:ascii="Times New Roman" w:eastAsia="黑体" w:hAnsi="Times New Roman" w:hint="default"/>
        <w:b w:val="0"/>
        <w:i w:val="0"/>
        <w:sz w:val="21"/>
      </w:rPr>
    </w:lvl>
    <w:lvl w:ilvl="1">
      <w:start w:val="1"/>
      <w:numFmt w:val="none"/>
      <w:lvlText w:val=""/>
      <w:lvlJc w:val="left"/>
      <w:pPr>
        <w:ind w:left="992" w:hanging="567"/>
      </w:pPr>
      <w:rPr>
        <w:rFonts w:hint="eastAsia"/>
      </w:rPr>
    </w:lvl>
    <w:lvl w:ilvl="2">
      <w:start w:val="1"/>
      <w:numFmt w:val="none"/>
      <w:lvlText w:val=""/>
      <w:lvlJc w:val="left"/>
      <w:pPr>
        <w:ind w:left="1418" w:hanging="567"/>
      </w:pPr>
      <w:rPr>
        <w:rFonts w:hint="eastAsia"/>
      </w:rPr>
    </w:lvl>
    <w:lvl w:ilvl="3">
      <w:start w:val="1"/>
      <w:numFmt w:val="none"/>
      <w:lvlText w:val=""/>
      <w:lvlJc w:val="left"/>
      <w:pPr>
        <w:ind w:left="1984" w:hanging="708"/>
      </w:pPr>
      <w:rPr>
        <w:rFonts w:hint="eastAsia"/>
      </w:rPr>
    </w:lvl>
    <w:lvl w:ilvl="4">
      <w:start w:val="1"/>
      <w:numFmt w:val="none"/>
      <w:lvlText w:val=""/>
      <w:lvlJc w:val="left"/>
      <w:pPr>
        <w:ind w:left="2551" w:hanging="850"/>
      </w:pPr>
      <w:rPr>
        <w:rFonts w:hint="eastAsia"/>
      </w:rPr>
    </w:lvl>
    <w:lvl w:ilvl="5">
      <w:start w:val="1"/>
      <w:numFmt w:val="none"/>
      <w:lvlText w:val=""/>
      <w:lvlJc w:val="left"/>
      <w:pPr>
        <w:ind w:left="3260" w:hanging="1134"/>
      </w:pPr>
      <w:rPr>
        <w:rFonts w:hint="eastAsia"/>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9" w15:restartNumberingAfterBreak="0">
    <w:nsid w:val="04D24B53"/>
    <w:multiLevelType w:val="singleLevel"/>
    <w:tmpl w:val="04D24B53"/>
    <w:lvl w:ilvl="0">
      <w:start w:val="4"/>
      <w:numFmt w:val="decimal"/>
      <w:suff w:val="nothing"/>
      <w:lvlText w:val="（%1）"/>
      <w:lvlJc w:val="left"/>
    </w:lvl>
  </w:abstractNum>
  <w:abstractNum w:abstractNumId="10" w15:restartNumberingAfterBreak="0">
    <w:nsid w:val="0570655F"/>
    <w:multiLevelType w:val="singleLevel"/>
    <w:tmpl w:val="0570655F"/>
    <w:lvl w:ilvl="0">
      <w:start w:val="1"/>
      <w:numFmt w:val="decimal"/>
      <w:suff w:val="nothing"/>
      <w:lvlText w:val="%1、"/>
      <w:lvlJc w:val="left"/>
    </w:lvl>
  </w:abstractNum>
  <w:abstractNum w:abstractNumId="11" w15:restartNumberingAfterBreak="0">
    <w:nsid w:val="06D1F18D"/>
    <w:multiLevelType w:val="singleLevel"/>
    <w:tmpl w:val="06D1F18D"/>
    <w:lvl w:ilvl="0">
      <w:start w:val="1"/>
      <w:numFmt w:val="decimal"/>
      <w:pStyle w:val="4"/>
      <w:lvlText w:val="%1."/>
      <w:lvlJc w:val="left"/>
      <w:pPr>
        <w:tabs>
          <w:tab w:val="left" w:pos="1620"/>
        </w:tabs>
        <w:ind w:left="1620" w:hanging="360"/>
      </w:pPr>
    </w:lvl>
  </w:abstractNum>
  <w:abstractNum w:abstractNumId="12" w15:restartNumberingAfterBreak="0">
    <w:nsid w:val="09EA0BFC"/>
    <w:multiLevelType w:val="multilevel"/>
    <w:tmpl w:val="09EA0BFC"/>
    <w:lvl w:ilvl="0">
      <w:start w:val="1"/>
      <w:numFmt w:val="decimal"/>
      <w:pStyle w:val="-9"/>
      <w:lvlText w:val="表7-%1"/>
      <w:lvlJc w:val="left"/>
      <w:pPr>
        <w:tabs>
          <w:tab w:val="left" w:pos="851"/>
        </w:tabs>
        <w:ind w:left="0" w:firstLine="0"/>
      </w:pPr>
      <w:rPr>
        <w:rFonts w:hint="eastAsia"/>
        <w:b w:val="0"/>
        <w:lang w:val="en-US"/>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3" w15:restartNumberingAfterBreak="0">
    <w:nsid w:val="0E935DD0"/>
    <w:multiLevelType w:val="multilevel"/>
    <w:tmpl w:val="0E935DD0"/>
    <w:lvl w:ilvl="0">
      <w:start w:val="1"/>
      <w:numFmt w:val="decimal"/>
      <w:lvlText w:val="表4.3-%1"/>
      <w:lvlJc w:val="left"/>
      <w:pPr>
        <w:tabs>
          <w:tab w:val="left" w:pos="851"/>
        </w:tabs>
        <w:ind w:left="425" w:hanging="425"/>
      </w:pPr>
      <w:rPr>
        <w:rFonts w:ascii="Times New Roman" w:eastAsia="黑体" w:hAnsi="Times New Roman" w:hint="default"/>
        <w:b w:val="0"/>
        <w:i w:val="0"/>
        <w:sz w:val="21"/>
      </w:rPr>
    </w:lvl>
    <w:lvl w:ilvl="1">
      <w:start w:val="1"/>
      <w:numFmt w:val="none"/>
      <w:lvlText w:val=""/>
      <w:lvlJc w:val="left"/>
      <w:pPr>
        <w:ind w:left="992" w:hanging="567"/>
      </w:pPr>
      <w:rPr>
        <w:rFonts w:hint="eastAsia"/>
      </w:rPr>
    </w:lvl>
    <w:lvl w:ilvl="2">
      <w:start w:val="1"/>
      <w:numFmt w:val="none"/>
      <w:lvlText w:val=""/>
      <w:lvlJc w:val="left"/>
      <w:pPr>
        <w:ind w:left="1418" w:hanging="567"/>
      </w:pPr>
      <w:rPr>
        <w:rFonts w:hint="eastAsia"/>
      </w:rPr>
    </w:lvl>
    <w:lvl w:ilvl="3">
      <w:start w:val="1"/>
      <w:numFmt w:val="none"/>
      <w:lvlText w:val=""/>
      <w:lvlJc w:val="left"/>
      <w:pPr>
        <w:ind w:left="1984" w:hanging="708"/>
      </w:pPr>
      <w:rPr>
        <w:rFonts w:hint="eastAsia"/>
      </w:rPr>
    </w:lvl>
    <w:lvl w:ilvl="4">
      <w:start w:val="1"/>
      <w:numFmt w:val="none"/>
      <w:lvlText w:val=""/>
      <w:lvlJc w:val="left"/>
      <w:pPr>
        <w:ind w:left="2551" w:hanging="850"/>
      </w:pPr>
      <w:rPr>
        <w:rFonts w:hint="eastAsia"/>
      </w:rPr>
    </w:lvl>
    <w:lvl w:ilvl="5">
      <w:start w:val="1"/>
      <w:numFmt w:val="none"/>
      <w:lvlText w:val=""/>
      <w:lvlJc w:val="left"/>
      <w:pPr>
        <w:ind w:left="3260" w:hanging="1134"/>
      </w:pPr>
      <w:rPr>
        <w:rFonts w:hint="eastAsia"/>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14" w15:restartNumberingAfterBreak="0">
    <w:nsid w:val="111A67CB"/>
    <w:multiLevelType w:val="singleLevel"/>
    <w:tmpl w:val="111A67CB"/>
    <w:lvl w:ilvl="0">
      <w:start w:val="1"/>
      <w:numFmt w:val="decimal"/>
      <w:pStyle w:val="a0"/>
      <w:lvlText w:val="%1."/>
      <w:lvlJc w:val="left"/>
      <w:pPr>
        <w:tabs>
          <w:tab w:val="left" w:pos="360"/>
        </w:tabs>
        <w:ind w:left="360" w:hanging="360"/>
      </w:pPr>
    </w:lvl>
  </w:abstractNum>
  <w:abstractNum w:abstractNumId="15" w15:restartNumberingAfterBreak="0">
    <w:nsid w:val="152F5151"/>
    <w:multiLevelType w:val="multilevel"/>
    <w:tmpl w:val="152F5151"/>
    <w:lvl w:ilvl="0">
      <w:start w:val="1"/>
      <w:numFmt w:val="chineseCountingThousand"/>
      <w:pStyle w:val="-"/>
      <w:suff w:val="nothing"/>
      <w:lvlText w:val="第%1章  "/>
      <w:lvlJc w:val="center"/>
      <w:pPr>
        <w:ind w:left="0" w:firstLine="0"/>
      </w:pPr>
      <w:rPr>
        <w:rFonts w:hint="eastAsia"/>
      </w:rPr>
    </w:lvl>
    <w:lvl w:ilvl="1">
      <w:start w:val="1"/>
      <w:numFmt w:val="chineseCountingThousand"/>
      <w:pStyle w:val="a1"/>
      <w:lvlText w:val="%2、"/>
      <w:lvlJc w:val="left"/>
      <w:pPr>
        <w:tabs>
          <w:tab w:val="left" w:pos="720"/>
        </w:tabs>
        <w:ind w:left="0" w:firstLine="0"/>
      </w:pPr>
      <w:rPr>
        <w:rFonts w:hint="eastAsia"/>
      </w:rPr>
    </w:lvl>
    <w:lvl w:ilvl="2">
      <w:start w:val="1"/>
      <w:numFmt w:val="decimal"/>
      <w:pStyle w:val="a2"/>
      <w:suff w:val="space"/>
      <w:lvlText w:val="%3、"/>
      <w:lvlJc w:val="left"/>
      <w:pPr>
        <w:ind w:left="0" w:firstLine="227"/>
      </w:pPr>
      <w:rPr>
        <w:rFonts w:hint="eastAsia"/>
      </w:rPr>
    </w:lvl>
    <w:lvl w:ilvl="3">
      <w:start w:val="1"/>
      <w:numFmt w:val="decimal"/>
      <w:pStyle w:val="a3"/>
      <w:suff w:val="space"/>
      <w:lvlText w:val="%3.%4"/>
      <w:lvlJc w:val="left"/>
      <w:pPr>
        <w:ind w:left="0" w:firstLine="454"/>
      </w:pPr>
      <w:rPr>
        <w:rFonts w:hint="eastAsia"/>
      </w:rPr>
    </w:lvl>
    <w:lvl w:ilvl="4">
      <w:start w:val="1"/>
      <w:numFmt w:val="decimal"/>
      <w:pStyle w:val="51"/>
      <w:lvlText w:val="(%5)"/>
      <w:lvlJc w:val="left"/>
      <w:pPr>
        <w:tabs>
          <w:tab w:val="left" w:pos="4122"/>
        </w:tabs>
        <w:ind w:left="3402" w:firstLine="0"/>
      </w:pPr>
      <w:rPr>
        <w:rFonts w:hint="eastAsia"/>
      </w:rPr>
    </w:lvl>
    <w:lvl w:ilvl="5">
      <w:start w:val="1"/>
      <w:numFmt w:val="lowerLetter"/>
      <w:pStyle w:val="6"/>
      <w:lvlText w:val="(%6)"/>
      <w:lvlJc w:val="left"/>
      <w:pPr>
        <w:tabs>
          <w:tab w:val="left" w:pos="4972"/>
        </w:tabs>
        <w:ind w:left="4252" w:firstLine="0"/>
      </w:pPr>
      <w:rPr>
        <w:rFonts w:hint="eastAsia"/>
      </w:rPr>
    </w:lvl>
    <w:lvl w:ilvl="6">
      <w:start w:val="1"/>
      <w:numFmt w:val="lowerRoman"/>
      <w:pStyle w:val="7"/>
      <w:lvlText w:val="(%7)"/>
      <w:lvlJc w:val="left"/>
      <w:pPr>
        <w:tabs>
          <w:tab w:val="left" w:pos="6182"/>
        </w:tabs>
        <w:ind w:left="5102" w:firstLine="0"/>
      </w:pPr>
      <w:rPr>
        <w:rFonts w:hint="eastAsia"/>
      </w:rPr>
    </w:lvl>
    <w:lvl w:ilvl="7">
      <w:start w:val="1"/>
      <w:numFmt w:val="lowerLetter"/>
      <w:pStyle w:val="8"/>
      <w:lvlText w:val="(%8)"/>
      <w:lvlJc w:val="left"/>
      <w:pPr>
        <w:tabs>
          <w:tab w:val="left" w:pos="6673"/>
        </w:tabs>
        <w:ind w:left="5953" w:firstLine="0"/>
      </w:pPr>
      <w:rPr>
        <w:rFonts w:hint="eastAsia"/>
      </w:rPr>
    </w:lvl>
    <w:lvl w:ilvl="8">
      <w:start w:val="1"/>
      <w:numFmt w:val="decimal"/>
      <w:pStyle w:val="9"/>
      <w:lvlText w:val="%9."/>
      <w:lvlJc w:val="left"/>
      <w:pPr>
        <w:tabs>
          <w:tab w:val="left" w:pos="814"/>
        </w:tabs>
        <w:ind w:left="0" w:firstLine="454"/>
      </w:pPr>
      <w:rPr>
        <w:rFonts w:hint="eastAsia"/>
      </w:rPr>
    </w:lvl>
  </w:abstractNum>
  <w:abstractNum w:abstractNumId="16" w15:restartNumberingAfterBreak="0">
    <w:nsid w:val="1D3B261E"/>
    <w:multiLevelType w:val="multilevel"/>
    <w:tmpl w:val="1D3B261E"/>
    <w:lvl w:ilvl="0">
      <w:start w:val="1"/>
      <w:numFmt w:val="decimal"/>
      <w:lvlText w:val="表7.8-%1"/>
      <w:lvlJc w:val="left"/>
      <w:pPr>
        <w:tabs>
          <w:tab w:val="left" w:pos="851"/>
        </w:tabs>
        <w:ind w:left="425" w:hanging="425"/>
      </w:pPr>
      <w:rPr>
        <w:rFonts w:ascii="Times New Roman" w:eastAsia="黑体" w:hAnsi="Times New Roman" w:hint="default"/>
        <w:b w:val="0"/>
        <w:i w:val="0"/>
        <w:sz w:val="21"/>
        <w:lang w:val="en-US"/>
      </w:rPr>
    </w:lvl>
    <w:lvl w:ilvl="1">
      <w:start w:val="1"/>
      <w:numFmt w:val="none"/>
      <w:lvlText w:val=""/>
      <w:lvlJc w:val="left"/>
      <w:pPr>
        <w:ind w:left="992" w:hanging="567"/>
      </w:pPr>
      <w:rPr>
        <w:rFonts w:hint="eastAsia"/>
      </w:rPr>
    </w:lvl>
    <w:lvl w:ilvl="2">
      <w:start w:val="1"/>
      <w:numFmt w:val="none"/>
      <w:lvlText w:val=""/>
      <w:lvlJc w:val="left"/>
      <w:pPr>
        <w:ind w:left="1418" w:hanging="567"/>
      </w:pPr>
      <w:rPr>
        <w:rFonts w:hint="eastAsia"/>
      </w:rPr>
    </w:lvl>
    <w:lvl w:ilvl="3">
      <w:start w:val="1"/>
      <w:numFmt w:val="none"/>
      <w:lvlText w:val=""/>
      <w:lvlJc w:val="left"/>
      <w:pPr>
        <w:ind w:left="1984" w:hanging="708"/>
      </w:pPr>
      <w:rPr>
        <w:rFonts w:hint="eastAsia"/>
      </w:rPr>
    </w:lvl>
    <w:lvl w:ilvl="4">
      <w:start w:val="1"/>
      <w:numFmt w:val="none"/>
      <w:lvlText w:val=""/>
      <w:lvlJc w:val="left"/>
      <w:pPr>
        <w:ind w:left="2551" w:hanging="850"/>
      </w:pPr>
      <w:rPr>
        <w:rFonts w:hint="eastAsia"/>
      </w:rPr>
    </w:lvl>
    <w:lvl w:ilvl="5">
      <w:start w:val="1"/>
      <w:numFmt w:val="none"/>
      <w:lvlText w:val=""/>
      <w:lvlJc w:val="left"/>
      <w:pPr>
        <w:ind w:left="3260" w:hanging="1134"/>
      </w:pPr>
      <w:rPr>
        <w:rFonts w:hint="eastAsia"/>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17" w15:restartNumberingAfterBreak="0">
    <w:nsid w:val="1F3205D3"/>
    <w:multiLevelType w:val="multilevel"/>
    <w:tmpl w:val="1F3205D3"/>
    <w:lvl w:ilvl="0">
      <w:start w:val="1"/>
      <w:numFmt w:val="decimal"/>
      <w:pStyle w:val="62-1"/>
      <w:lvlText w:val="图6-%1"/>
      <w:lvlJc w:val="left"/>
      <w:pPr>
        <w:tabs>
          <w:tab w:val="left" w:pos="851"/>
        </w:tabs>
        <w:ind w:left="0" w:firstLine="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8" w15:restartNumberingAfterBreak="0">
    <w:nsid w:val="1FE13153"/>
    <w:multiLevelType w:val="multilevel"/>
    <w:tmpl w:val="1FE13153"/>
    <w:lvl w:ilvl="0">
      <w:start w:val="1"/>
      <w:numFmt w:val="decimal"/>
      <w:pStyle w:val="a4"/>
      <w:lvlText w:val="表11-%1"/>
      <w:lvlJc w:val="left"/>
      <w:pPr>
        <w:tabs>
          <w:tab w:val="left" w:pos="851"/>
        </w:tabs>
        <w:ind w:left="0" w:firstLine="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19" w15:restartNumberingAfterBreak="0">
    <w:nsid w:val="201D3277"/>
    <w:multiLevelType w:val="multilevel"/>
    <w:tmpl w:val="201D3277"/>
    <w:lvl w:ilvl="0">
      <w:start w:val="1"/>
      <w:numFmt w:val="decimal"/>
      <w:lvlText w:val="表7.9-%1"/>
      <w:lvlJc w:val="left"/>
      <w:pPr>
        <w:tabs>
          <w:tab w:val="left" w:pos="851"/>
        </w:tabs>
        <w:ind w:left="425" w:hanging="425"/>
      </w:pPr>
      <w:rPr>
        <w:rFonts w:ascii="Times New Roman" w:eastAsia="黑体" w:hAnsi="Times New Roman" w:hint="default"/>
        <w:b w:val="0"/>
        <w:i w:val="0"/>
        <w:sz w:val="21"/>
        <w:lang w:val="en-US"/>
      </w:rPr>
    </w:lvl>
    <w:lvl w:ilvl="1">
      <w:start w:val="1"/>
      <w:numFmt w:val="none"/>
      <w:lvlText w:val=""/>
      <w:lvlJc w:val="left"/>
      <w:pPr>
        <w:ind w:left="992" w:hanging="567"/>
      </w:pPr>
      <w:rPr>
        <w:rFonts w:hint="eastAsia"/>
      </w:rPr>
    </w:lvl>
    <w:lvl w:ilvl="2">
      <w:start w:val="1"/>
      <w:numFmt w:val="none"/>
      <w:lvlText w:val=""/>
      <w:lvlJc w:val="left"/>
      <w:pPr>
        <w:ind w:left="1418" w:hanging="567"/>
      </w:pPr>
      <w:rPr>
        <w:rFonts w:hint="eastAsia"/>
      </w:rPr>
    </w:lvl>
    <w:lvl w:ilvl="3">
      <w:start w:val="1"/>
      <w:numFmt w:val="none"/>
      <w:lvlText w:val=""/>
      <w:lvlJc w:val="left"/>
      <w:pPr>
        <w:ind w:left="1984" w:hanging="708"/>
      </w:pPr>
      <w:rPr>
        <w:rFonts w:hint="eastAsia"/>
      </w:rPr>
    </w:lvl>
    <w:lvl w:ilvl="4">
      <w:start w:val="1"/>
      <w:numFmt w:val="none"/>
      <w:lvlText w:val=""/>
      <w:lvlJc w:val="left"/>
      <w:pPr>
        <w:ind w:left="2551" w:hanging="850"/>
      </w:pPr>
      <w:rPr>
        <w:rFonts w:hint="eastAsia"/>
      </w:rPr>
    </w:lvl>
    <w:lvl w:ilvl="5">
      <w:start w:val="1"/>
      <w:numFmt w:val="none"/>
      <w:lvlText w:val=""/>
      <w:lvlJc w:val="left"/>
      <w:pPr>
        <w:ind w:left="3260" w:hanging="1134"/>
      </w:pPr>
      <w:rPr>
        <w:rFonts w:hint="eastAsia"/>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20" w15:restartNumberingAfterBreak="0">
    <w:nsid w:val="206A35DA"/>
    <w:multiLevelType w:val="multilevel"/>
    <w:tmpl w:val="206A35DA"/>
    <w:lvl w:ilvl="0">
      <w:start w:val="1"/>
      <w:numFmt w:val="decimal"/>
      <w:lvlText w:val="表7.3-%1"/>
      <w:lvlJc w:val="left"/>
      <w:pPr>
        <w:tabs>
          <w:tab w:val="left" w:pos="851"/>
        </w:tabs>
        <w:ind w:left="425" w:hanging="425"/>
      </w:pPr>
      <w:rPr>
        <w:rFonts w:ascii="Times New Roman" w:eastAsia="黑体" w:hAnsi="Times New Roman" w:hint="default"/>
        <w:b w:val="0"/>
        <w:i w:val="0"/>
        <w:sz w:val="21"/>
        <w:lang w:val="en-US"/>
      </w:rPr>
    </w:lvl>
    <w:lvl w:ilvl="1">
      <w:start w:val="1"/>
      <w:numFmt w:val="none"/>
      <w:lvlText w:val=""/>
      <w:lvlJc w:val="left"/>
      <w:pPr>
        <w:ind w:left="992" w:hanging="567"/>
      </w:pPr>
      <w:rPr>
        <w:rFonts w:hint="eastAsia"/>
      </w:rPr>
    </w:lvl>
    <w:lvl w:ilvl="2">
      <w:start w:val="1"/>
      <w:numFmt w:val="none"/>
      <w:lvlText w:val=""/>
      <w:lvlJc w:val="left"/>
      <w:pPr>
        <w:ind w:left="1418" w:hanging="567"/>
      </w:pPr>
      <w:rPr>
        <w:rFonts w:hint="eastAsia"/>
      </w:rPr>
    </w:lvl>
    <w:lvl w:ilvl="3">
      <w:start w:val="1"/>
      <w:numFmt w:val="none"/>
      <w:lvlText w:val=""/>
      <w:lvlJc w:val="left"/>
      <w:pPr>
        <w:ind w:left="1984" w:hanging="708"/>
      </w:pPr>
      <w:rPr>
        <w:rFonts w:hint="eastAsia"/>
      </w:rPr>
    </w:lvl>
    <w:lvl w:ilvl="4">
      <w:start w:val="1"/>
      <w:numFmt w:val="none"/>
      <w:lvlText w:val=""/>
      <w:lvlJc w:val="left"/>
      <w:pPr>
        <w:ind w:left="2551" w:hanging="850"/>
      </w:pPr>
      <w:rPr>
        <w:rFonts w:hint="eastAsia"/>
      </w:rPr>
    </w:lvl>
    <w:lvl w:ilvl="5">
      <w:start w:val="1"/>
      <w:numFmt w:val="none"/>
      <w:lvlText w:val=""/>
      <w:lvlJc w:val="left"/>
      <w:pPr>
        <w:ind w:left="3260" w:hanging="1134"/>
      </w:pPr>
      <w:rPr>
        <w:rFonts w:hint="eastAsia"/>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21" w15:restartNumberingAfterBreak="0">
    <w:nsid w:val="224F65CF"/>
    <w:multiLevelType w:val="multilevel"/>
    <w:tmpl w:val="224F65CF"/>
    <w:lvl w:ilvl="0">
      <w:start w:val="1"/>
      <w:numFmt w:val="decimal"/>
      <w:lvlText w:val="表7.5-%1"/>
      <w:lvlJc w:val="left"/>
      <w:pPr>
        <w:tabs>
          <w:tab w:val="left" w:pos="851"/>
        </w:tabs>
        <w:ind w:left="425" w:hanging="425"/>
      </w:pPr>
      <w:rPr>
        <w:rFonts w:ascii="Times New Roman" w:eastAsia="黑体" w:hAnsi="Times New Roman" w:hint="default"/>
        <w:b w:val="0"/>
        <w:i w:val="0"/>
        <w:sz w:val="21"/>
        <w:lang w:val="en-US"/>
      </w:rPr>
    </w:lvl>
    <w:lvl w:ilvl="1">
      <w:start w:val="1"/>
      <w:numFmt w:val="none"/>
      <w:lvlText w:val=""/>
      <w:lvlJc w:val="left"/>
      <w:pPr>
        <w:ind w:left="992" w:hanging="567"/>
      </w:pPr>
      <w:rPr>
        <w:rFonts w:hint="eastAsia"/>
      </w:rPr>
    </w:lvl>
    <w:lvl w:ilvl="2">
      <w:start w:val="1"/>
      <w:numFmt w:val="none"/>
      <w:lvlText w:val=""/>
      <w:lvlJc w:val="left"/>
      <w:pPr>
        <w:ind w:left="1418" w:hanging="567"/>
      </w:pPr>
      <w:rPr>
        <w:rFonts w:hint="eastAsia"/>
      </w:rPr>
    </w:lvl>
    <w:lvl w:ilvl="3">
      <w:start w:val="1"/>
      <w:numFmt w:val="none"/>
      <w:lvlText w:val=""/>
      <w:lvlJc w:val="left"/>
      <w:pPr>
        <w:ind w:left="1984" w:hanging="708"/>
      </w:pPr>
      <w:rPr>
        <w:rFonts w:hint="eastAsia"/>
      </w:rPr>
    </w:lvl>
    <w:lvl w:ilvl="4">
      <w:start w:val="1"/>
      <w:numFmt w:val="none"/>
      <w:lvlText w:val=""/>
      <w:lvlJc w:val="left"/>
      <w:pPr>
        <w:ind w:left="2551" w:hanging="850"/>
      </w:pPr>
      <w:rPr>
        <w:rFonts w:hint="eastAsia"/>
      </w:rPr>
    </w:lvl>
    <w:lvl w:ilvl="5">
      <w:start w:val="1"/>
      <w:numFmt w:val="none"/>
      <w:lvlText w:val=""/>
      <w:lvlJc w:val="left"/>
      <w:pPr>
        <w:ind w:left="3260" w:hanging="1134"/>
      </w:pPr>
      <w:rPr>
        <w:rFonts w:hint="eastAsia"/>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22" w15:restartNumberingAfterBreak="0">
    <w:nsid w:val="23912F67"/>
    <w:multiLevelType w:val="multilevel"/>
    <w:tmpl w:val="23912F67"/>
    <w:lvl w:ilvl="0">
      <w:start w:val="1"/>
      <w:numFmt w:val="decimal"/>
      <w:pStyle w:val="a5"/>
      <w:lvlText w:val="表8-%1"/>
      <w:lvlJc w:val="left"/>
      <w:pPr>
        <w:tabs>
          <w:tab w:val="left" w:pos="851"/>
        </w:tabs>
        <w:ind w:left="0" w:firstLine="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23" w15:restartNumberingAfterBreak="0">
    <w:nsid w:val="2AE007C4"/>
    <w:multiLevelType w:val="multilevel"/>
    <w:tmpl w:val="2AE007C4"/>
    <w:lvl w:ilvl="0">
      <w:start w:val="1"/>
      <w:numFmt w:val="decimal"/>
      <w:lvlText w:val="表7.4-%1"/>
      <w:lvlJc w:val="left"/>
      <w:pPr>
        <w:tabs>
          <w:tab w:val="left" w:pos="851"/>
        </w:tabs>
        <w:ind w:left="425" w:hanging="425"/>
      </w:pPr>
      <w:rPr>
        <w:rFonts w:ascii="Times New Roman" w:eastAsia="黑体" w:hAnsi="Times New Roman" w:hint="default"/>
        <w:b w:val="0"/>
        <w:i w:val="0"/>
        <w:sz w:val="21"/>
        <w:lang w:val="en-US"/>
      </w:rPr>
    </w:lvl>
    <w:lvl w:ilvl="1">
      <w:start w:val="1"/>
      <w:numFmt w:val="none"/>
      <w:lvlText w:val=""/>
      <w:lvlJc w:val="left"/>
      <w:pPr>
        <w:ind w:left="992" w:hanging="567"/>
      </w:pPr>
      <w:rPr>
        <w:rFonts w:hint="eastAsia"/>
      </w:rPr>
    </w:lvl>
    <w:lvl w:ilvl="2">
      <w:start w:val="1"/>
      <w:numFmt w:val="none"/>
      <w:lvlText w:val=""/>
      <w:lvlJc w:val="left"/>
      <w:pPr>
        <w:ind w:left="1418" w:hanging="567"/>
      </w:pPr>
      <w:rPr>
        <w:rFonts w:hint="eastAsia"/>
      </w:rPr>
    </w:lvl>
    <w:lvl w:ilvl="3">
      <w:start w:val="1"/>
      <w:numFmt w:val="none"/>
      <w:lvlText w:val=""/>
      <w:lvlJc w:val="left"/>
      <w:pPr>
        <w:ind w:left="1984" w:hanging="708"/>
      </w:pPr>
      <w:rPr>
        <w:rFonts w:hint="eastAsia"/>
      </w:rPr>
    </w:lvl>
    <w:lvl w:ilvl="4">
      <w:start w:val="1"/>
      <w:numFmt w:val="none"/>
      <w:lvlText w:val=""/>
      <w:lvlJc w:val="left"/>
      <w:pPr>
        <w:ind w:left="2551" w:hanging="850"/>
      </w:pPr>
      <w:rPr>
        <w:rFonts w:hint="eastAsia"/>
      </w:rPr>
    </w:lvl>
    <w:lvl w:ilvl="5">
      <w:start w:val="1"/>
      <w:numFmt w:val="none"/>
      <w:lvlText w:val=""/>
      <w:lvlJc w:val="left"/>
      <w:pPr>
        <w:ind w:left="3260" w:hanging="1134"/>
      </w:pPr>
      <w:rPr>
        <w:rFonts w:hint="eastAsia"/>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24" w15:restartNumberingAfterBreak="0">
    <w:nsid w:val="2C950AC9"/>
    <w:multiLevelType w:val="singleLevel"/>
    <w:tmpl w:val="2C950AC9"/>
    <w:lvl w:ilvl="0">
      <w:start w:val="1"/>
      <w:numFmt w:val="bullet"/>
      <w:pStyle w:val="30"/>
      <w:lvlText w:val=""/>
      <w:lvlJc w:val="left"/>
      <w:pPr>
        <w:tabs>
          <w:tab w:val="left" w:pos="1200"/>
        </w:tabs>
        <w:ind w:left="1200" w:hanging="360"/>
      </w:pPr>
      <w:rPr>
        <w:rFonts w:ascii="Wingdings" w:hAnsi="Wingdings" w:hint="default"/>
      </w:rPr>
    </w:lvl>
  </w:abstractNum>
  <w:abstractNum w:abstractNumId="25" w15:restartNumberingAfterBreak="0">
    <w:nsid w:val="2CDE0853"/>
    <w:multiLevelType w:val="multilevel"/>
    <w:tmpl w:val="2CDE0853"/>
    <w:lvl w:ilvl="0">
      <w:start w:val="1"/>
      <w:numFmt w:val="decimal"/>
      <w:pStyle w:val="-0"/>
      <w:lvlText w:val="表9-%1"/>
      <w:lvlJc w:val="left"/>
      <w:pPr>
        <w:tabs>
          <w:tab w:val="left" w:pos="851"/>
        </w:tabs>
        <w:ind w:left="0" w:firstLine="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26" w15:restartNumberingAfterBreak="0">
    <w:nsid w:val="2F396D3C"/>
    <w:multiLevelType w:val="multilevel"/>
    <w:tmpl w:val="2F396D3C"/>
    <w:lvl w:ilvl="0">
      <w:numFmt w:val="none"/>
      <w:pStyle w:val="a6"/>
      <w:lvlText w:val=""/>
      <w:lvlJc w:val="left"/>
      <w:pPr>
        <w:tabs>
          <w:tab w:val="left" w:pos="360"/>
        </w:tabs>
      </w:pPr>
    </w:lvl>
    <w:lvl w:ilvl="1">
      <w:numFmt w:val="none"/>
      <w:lvlText w:val=""/>
      <w:lvlJc w:val="left"/>
      <w:pPr>
        <w:tabs>
          <w:tab w:val="left" w:pos="360"/>
        </w:tabs>
      </w:pPr>
    </w:lvl>
    <w:lvl w:ilvl="2">
      <w:numFmt w:val="none"/>
      <w:lvlText w:val=""/>
      <w:lvlJc w:val="left"/>
      <w:pPr>
        <w:tabs>
          <w:tab w:val="left" w:pos="360"/>
        </w:tabs>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317C1E6D"/>
    <w:multiLevelType w:val="multilevel"/>
    <w:tmpl w:val="317C1E6D"/>
    <w:lvl w:ilvl="0">
      <w:start w:val="1"/>
      <w:numFmt w:val="decimal"/>
      <w:pStyle w:val="a7"/>
      <w:suff w:val="space"/>
      <w:lvlText w:val="%1"/>
      <w:lvlJc w:val="left"/>
      <w:pPr>
        <w:ind w:left="425" w:hanging="425"/>
      </w:pPr>
      <w:rPr>
        <w:rFonts w:hint="eastAsia"/>
      </w:rPr>
    </w:lvl>
    <w:lvl w:ilvl="1">
      <w:start w:val="1"/>
      <w:numFmt w:val="decimal"/>
      <w:pStyle w:val="a8"/>
      <w:suff w:val="space"/>
      <w:lvlText w:val="%1.%2"/>
      <w:lvlJc w:val="left"/>
      <w:pPr>
        <w:ind w:left="425" w:hanging="425"/>
      </w:pPr>
      <w:rPr>
        <w:rFonts w:hint="eastAsia"/>
      </w:rPr>
    </w:lvl>
    <w:lvl w:ilvl="2">
      <w:start w:val="1"/>
      <w:numFmt w:val="decimal"/>
      <w:pStyle w:val="a9"/>
      <w:suff w:val="space"/>
      <w:lvlText w:val="%1.%2.%3"/>
      <w:lvlJc w:val="left"/>
      <w:pPr>
        <w:ind w:left="425" w:hanging="425"/>
      </w:pPr>
      <w:rPr>
        <w:rFonts w:hint="eastAsia"/>
      </w:rPr>
    </w:lvl>
    <w:lvl w:ilvl="3">
      <w:start w:val="1"/>
      <w:numFmt w:val="decimal"/>
      <w:pStyle w:val="aa"/>
      <w:suff w:val="space"/>
      <w:lvlText w:val="%1.%2.%3.%4"/>
      <w:lvlJc w:val="left"/>
      <w:pPr>
        <w:ind w:left="425" w:hanging="425"/>
      </w:pPr>
      <w:rPr>
        <w:rFonts w:hint="eastAsia"/>
      </w:rPr>
    </w:lvl>
    <w:lvl w:ilvl="4">
      <w:start w:val="1"/>
      <w:numFmt w:val="decimal"/>
      <w:lvlText w:val="%1.%2.%3.%4.%5"/>
      <w:lvlJc w:val="left"/>
      <w:pPr>
        <w:ind w:left="425" w:hanging="425"/>
      </w:pPr>
      <w:rPr>
        <w:rFonts w:hint="eastAsia"/>
      </w:rPr>
    </w:lvl>
    <w:lvl w:ilvl="5">
      <w:start w:val="1"/>
      <w:numFmt w:val="decimal"/>
      <w:lvlText w:val="%1.%2.%3.%4.%5.%6"/>
      <w:lvlJc w:val="left"/>
      <w:pPr>
        <w:ind w:left="425" w:hanging="425"/>
      </w:pPr>
      <w:rPr>
        <w:rFonts w:hint="eastAsia"/>
      </w:rPr>
    </w:lvl>
    <w:lvl w:ilvl="6">
      <w:start w:val="1"/>
      <w:numFmt w:val="decimal"/>
      <w:lvlText w:val="%1.%2.%3.%4.%5.%6.%7"/>
      <w:lvlJc w:val="left"/>
      <w:pPr>
        <w:ind w:left="425" w:hanging="425"/>
      </w:pPr>
      <w:rPr>
        <w:rFonts w:hint="eastAsia"/>
      </w:rPr>
    </w:lvl>
    <w:lvl w:ilvl="7">
      <w:start w:val="1"/>
      <w:numFmt w:val="decimal"/>
      <w:lvlText w:val="%1.%2.%3.%4.%5.%6.%7.%8"/>
      <w:lvlJc w:val="left"/>
      <w:pPr>
        <w:ind w:left="425" w:hanging="425"/>
      </w:pPr>
      <w:rPr>
        <w:rFonts w:hint="eastAsia"/>
      </w:rPr>
    </w:lvl>
    <w:lvl w:ilvl="8">
      <w:start w:val="1"/>
      <w:numFmt w:val="decimal"/>
      <w:lvlText w:val="%1.%2.%3.%4.%5.%6.%7.%8.%9"/>
      <w:lvlJc w:val="left"/>
      <w:pPr>
        <w:ind w:left="425" w:hanging="425"/>
      </w:pPr>
      <w:rPr>
        <w:rFonts w:hint="eastAsia"/>
      </w:rPr>
    </w:lvl>
  </w:abstractNum>
  <w:abstractNum w:abstractNumId="28" w15:restartNumberingAfterBreak="0">
    <w:nsid w:val="31961519"/>
    <w:multiLevelType w:val="multilevel"/>
    <w:tmpl w:val="31961519"/>
    <w:lvl w:ilvl="0">
      <w:start w:val="1"/>
      <w:numFmt w:val="decimal"/>
      <w:pStyle w:val="-5"/>
      <w:lvlText w:val="表4-%1"/>
      <w:lvlJc w:val="left"/>
      <w:pPr>
        <w:tabs>
          <w:tab w:val="left" w:pos="851"/>
        </w:tabs>
        <w:ind w:left="0" w:firstLine="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29" w15:restartNumberingAfterBreak="0">
    <w:nsid w:val="38B06212"/>
    <w:multiLevelType w:val="singleLevel"/>
    <w:tmpl w:val="38B06212"/>
    <w:lvl w:ilvl="0">
      <w:start w:val="1"/>
      <w:numFmt w:val="decimal"/>
      <w:pStyle w:val="2"/>
      <w:lvlText w:val="%1."/>
      <w:lvlJc w:val="left"/>
      <w:pPr>
        <w:tabs>
          <w:tab w:val="left" w:pos="780"/>
        </w:tabs>
        <w:ind w:left="780" w:hanging="360"/>
      </w:pPr>
    </w:lvl>
  </w:abstractNum>
  <w:abstractNum w:abstractNumId="30" w15:restartNumberingAfterBreak="0">
    <w:nsid w:val="39855E79"/>
    <w:multiLevelType w:val="singleLevel"/>
    <w:tmpl w:val="39855E79"/>
    <w:lvl w:ilvl="0">
      <w:start w:val="1"/>
      <w:numFmt w:val="bullet"/>
      <w:pStyle w:val="20"/>
      <w:lvlText w:val=""/>
      <w:lvlJc w:val="left"/>
      <w:pPr>
        <w:tabs>
          <w:tab w:val="left" w:pos="780"/>
        </w:tabs>
        <w:ind w:left="780" w:hanging="360"/>
      </w:pPr>
      <w:rPr>
        <w:rFonts w:ascii="Wingdings" w:hAnsi="Wingdings" w:hint="default"/>
      </w:rPr>
    </w:lvl>
  </w:abstractNum>
  <w:abstractNum w:abstractNumId="31" w15:restartNumberingAfterBreak="0">
    <w:nsid w:val="39A94144"/>
    <w:multiLevelType w:val="multilevel"/>
    <w:tmpl w:val="39A94144"/>
    <w:lvl w:ilvl="0">
      <w:start w:val="1"/>
      <w:numFmt w:val="decimal"/>
      <w:pStyle w:val="-15"/>
      <w:lvlText w:val="图13-%1"/>
      <w:lvlJc w:val="left"/>
      <w:pPr>
        <w:ind w:left="420" w:hanging="420"/>
      </w:pPr>
      <w:rPr>
        <w:rFonts w:ascii="Times New Roman" w:eastAsia="黑体" w:hAnsi="Times New Roman" w:hint="default"/>
        <w:b w:val="0"/>
        <w:i w:val="0"/>
        <w:sz w:val="24"/>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2" w15:restartNumberingAfterBreak="0">
    <w:nsid w:val="3F74020A"/>
    <w:multiLevelType w:val="multilevel"/>
    <w:tmpl w:val="3F74020A"/>
    <w:lvl w:ilvl="0">
      <w:start w:val="1"/>
      <w:numFmt w:val="decimal"/>
      <w:pStyle w:val="ab"/>
      <w:lvlText w:val="图11-%1"/>
      <w:lvlJc w:val="left"/>
      <w:pPr>
        <w:tabs>
          <w:tab w:val="left" w:pos="851"/>
        </w:tabs>
        <w:ind w:left="0" w:firstLine="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33" w15:restartNumberingAfterBreak="0">
    <w:nsid w:val="44A1162D"/>
    <w:multiLevelType w:val="multilevel"/>
    <w:tmpl w:val="44A1162D"/>
    <w:lvl w:ilvl="0">
      <w:start w:val="1"/>
      <w:numFmt w:val="decimal"/>
      <w:lvlText w:val="表7.8-%1"/>
      <w:lvlJc w:val="left"/>
      <w:pPr>
        <w:tabs>
          <w:tab w:val="left" w:pos="851"/>
        </w:tabs>
        <w:ind w:left="425" w:hanging="425"/>
      </w:pPr>
      <w:rPr>
        <w:rFonts w:ascii="Times New Roman" w:eastAsia="黑体" w:hAnsi="Times New Roman" w:hint="default"/>
        <w:b w:val="0"/>
        <w:i w:val="0"/>
        <w:sz w:val="21"/>
        <w:lang w:val="en-US"/>
      </w:rPr>
    </w:lvl>
    <w:lvl w:ilvl="1">
      <w:start w:val="1"/>
      <w:numFmt w:val="none"/>
      <w:lvlText w:val=""/>
      <w:lvlJc w:val="left"/>
      <w:pPr>
        <w:ind w:left="992" w:hanging="567"/>
      </w:pPr>
      <w:rPr>
        <w:rFonts w:hint="eastAsia"/>
      </w:rPr>
    </w:lvl>
    <w:lvl w:ilvl="2">
      <w:start w:val="1"/>
      <w:numFmt w:val="none"/>
      <w:lvlText w:val=""/>
      <w:lvlJc w:val="left"/>
      <w:pPr>
        <w:ind w:left="1418" w:hanging="567"/>
      </w:pPr>
      <w:rPr>
        <w:rFonts w:hint="eastAsia"/>
      </w:rPr>
    </w:lvl>
    <w:lvl w:ilvl="3">
      <w:start w:val="1"/>
      <w:numFmt w:val="none"/>
      <w:lvlText w:val=""/>
      <w:lvlJc w:val="left"/>
      <w:pPr>
        <w:ind w:left="1984" w:hanging="708"/>
      </w:pPr>
      <w:rPr>
        <w:rFonts w:hint="eastAsia"/>
      </w:rPr>
    </w:lvl>
    <w:lvl w:ilvl="4">
      <w:start w:val="1"/>
      <w:numFmt w:val="none"/>
      <w:lvlText w:val=""/>
      <w:lvlJc w:val="left"/>
      <w:pPr>
        <w:ind w:left="2551" w:hanging="850"/>
      </w:pPr>
      <w:rPr>
        <w:rFonts w:hint="eastAsia"/>
      </w:rPr>
    </w:lvl>
    <w:lvl w:ilvl="5">
      <w:start w:val="1"/>
      <w:numFmt w:val="none"/>
      <w:lvlText w:val=""/>
      <w:lvlJc w:val="left"/>
      <w:pPr>
        <w:ind w:left="3260" w:hanging="1134"/>
      </w:pPr>
      <w:rPr>
        <w:rFonts w:hint="eastAsia"/>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34" w15:restartNumberingAfterBreak="0">
    <w:nsid w:val="45046B66"/>
    <w:multiLevelType w:val="multilevel"/>
    <w:tmpl w:val="45046B66"/>
    <w:lvl w:ilvl="0">
      <w:start w:val="1"/>
      <w:numFmt w:val="decimal"/>
      <w:lvlText w:val="图7.7-%1"/>
      <w:lvlJc w:val="left"/>
      <w:pPr>
        <w:tabs>
          <w:tab w:val="left" w:pos="851"/>
        </w:tabs>
        <w:ind w:left="425" w:hanging="425"/>
      </w:pPr>
      <w:rPr>
        <w:rFonts w:ascii="Times New Roman" w:eastAsia="黑体" w:hAnsi="Times New Roman" w:hint="default"/>
        <w:b w:val="0"/>
        <w:i w:val="0"/>
        <w:sz w:val="21"/>
        <w:lang w:val="en-US"/>
      </w:rPr>
    </w:lvl>
    <w:lvl w:ilvl="1">
      <w:start w:val="1"/>
      <w:numFmt w:val="none"/>
      <w:lvlText w:val=""/>
      <w:lvlJc w:val="left"/>
      <w:pPr>
        <w:ind w:left="992" w:hanging="567"/>
      </w:pPr>
      <w:rPr>
        <w:rFonts w:hint="eastAsia"/>
      </w:rPr>
    </w:lvl>
    <w:lvl w:ilvl="2">
      <w:start w:val="1"/>
      <w:numFmt w:val="none"/>
      <w:lvlText w:val=""/>
      <w:lvlJc w:val="left"/>
      <w:pPr>
        <w:ind w:left="1418" w:hanging="567"/>
      </w:pPr>
      <w:rPr>
        <w:rFonts w:hint="eastAsia"/>
      </w:rPr>
    </w:lvl>
    <w:lvl w:ilvl="3">
      <w:start w:val="1"/>
      <w:numFmt w:val="none"/>
      <w:lvlText w:val=""/>
      <w:lvlJc w:val="left"/>
      <w:pPr>
        <w:ind w:left="1984" w:hanging="708"/>
      </w:pPr>
      <w:rPr>
        <w:rFonts w:hint="eastAsia"/>
      </w:rPr>
    </w:lvl>
    <w:lvl w:ilvl="4">
      <w:start w:val="1"/>
      <w:numFmt w:val="none"/>
      <w:lvlText w:val=""/>
      <w:lvlJc w:val="left"/>
      <w:pPr>
        <w:ind w:left="2551" w:hanging="850"/>
      </w:pPr>
      <w:rPr>
        <w:rFonts w:hint="eastAsia"/>
      </w:rPr>
    </w:lvl>
    <w:lvl w:ilvl="5">
      <w:start w:val="1"/>
      <w:numFmt w:val="none"/>
      <w:lvlText w:val=""/>
      <w:lvlJc w:val="left"/>
      <w:pPr>
        <w:ind w:left="3260" w:hanging="1134"/>
      </w:pPr>
      <w:rPr>
        <w:rFonts w:hint="eastAsia"/>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35" w15:restartNumberingAfterBreak="0">
    <w:nsid w:val="488A0DDB"/>
    <w:multiLevelType w:val="multilevel"/>
    <w:tmpl w:val="488A0DDB"/>
    <w:lvl w:ilvl="0">
      <w:start w:val="1"/>
      <w:numFmt w:val="decimal"/>
      <w:lvlText w:val="表7.2-%1"/>
      <w:lvlJc w:val="left"/>
      <w:pPr>
        <w:tabs>
          <w:tab w:val="left" w:pos="851"/>
        </w:tabs>
        <w:ind w:left="425" w:hanging="425"/>
      </w:pPr>
      <w:rPr>
        <w:rFonts w:ascii="Times New Roman" w:eastAsia="黑体" w:hAnsi="Times New Roman" w:hint="default"/>
        <w:b w:val="0"/>
        <w:i w:val="0"/>
        <w:sz w:val="21"/>
        <w:lang w:val="en-US"/>
      </w:rPr>
    </w:lvl>
    <w:lvl w:ilvl="1">
      <w:start w:val="1"/>
      <w:numFmt w:val="none"/>
      <w:lvlText w:val=""/>
      <w:lvlJc w:val="left"/>
      <w:pPr>
        <w:ind w:left="992" w:hanging="567"/>
      </w:pPr>
      <w:rPr>
        <w:rFonts w:hint="eastAsia"/>
      </w:rPr>
    </w:lvl>
    <w:lvl w:ilvl="2">
      <w:start w:val="1"/>
      <w:numFmt w:val="none"/>
      <w:lvlText w:val=""/>
      <w:lvlJc w:val="left"/>
      <w:pPr>
        <w:ind w:left="1418" w:hanging="567"/>
      </w:pPr>
      <w:rPr>
        <w:rFonts w:hint="eastAsia"/>
      </w:rPr>
    </w:lvl>
    <w:lvl w:ilvl="3">
      <w:start w:val="1"/>
      <w:numFmt w:val="none"/>
      <w:lvlText w:val=""/>
      <w:lvlJc w:val="left"/>
      <w:pPr>
        <w:ind w:left="1984" w:hanging="708"/>
      </w:pPr>
      <w:rPr>
        <w:rFonts w:hint="eastAsia"/>
      </w:rPr>
    </w:lvl>
    <w:lvl w:ilvl="4">
      <w:start w:val="1"/>
      <w:numFmt w:val="none"/>
      <w:lvlText w:val=""/>
      <w:lvlJc w:val="left"/>
      <w:pPr>
        <w:ind w:left="2551" w:hanging="850"/>
      </w:pPr>
      <w:rPr>
        <w:rFonts w:hint="eastAsia"/>
      </w:rPr>
    </w:lvl>
    <w:lvl w:ilvl="5">
      <w:start w:val="1"/>
      <w:numFmt w:val="none"/>
      <w:lvlText w:val=""/>
      <w:lvlJc w:val="left"/>
      <w:pPr>
        <w:ind w:left="3260" w:hanging="1134"/>
      </w:pPr>
      <w:rPr>
        <w:rFonts w:hint="eastAsia"/>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36" w15:restartNumberingAfterBreak="0">
    <w:nsid w:val="48FB186B"/>
    <w:multiLevelType w:val="singleLevel"/>
    <w:tmpl w:val="48FB186B"/>
    <w:lvl w:ilvl="0">
      <w:start w:val="1"/>
      <w:numFmt w:val="bullet"/>
      <w:pStyle w:val="ac"/>
      <w:lvlText w:val=""/>
      <w:lvlJc w:val="left"/>
      <w:pPr>
        <w:tabs>
          <w:tab w:val="left" w:pos="360"/>
        </w:tabs>
        <w:ind w:left="360" w:hanging="360"/>
      </w:pPr>
      <w:rPr>
        <w:rFonts w:ascii="Wingdings" w:hAnsi="Wingdings" w:hint="default"/>
      </w:rPr>
    </w:lvl>
  </w:abstractNum>
  <w:abstractNum w:abstractNumId="37" w15:restartNumberingAfterBreak="0">
    <w:nsid w:val="4E11224B"/>
    <w:multiLevelType w:val="multilevel"/>
    <w:tmpl w:val="4E11224B"/>
    <w:lvl w:ilvl="0">
      <w:start w:val="1"/>
      <w:numFmt w:val="decimal"/>
      <w:lvlText w:val="表7.6-%1"/>
      <w:lvlJc w:val="left"/>
      <w:pPr>
        <w:tabs>
          <w:tab w:val="left" w:pos="851"/>
        </w:tabs>
        <w:ind w:left="425" w:hanging="425"/>
      </w:pPr>
      <w:rPr>
        <w:rFonts w:ascii="Times New Roman" w:eastAsia="黑体" w:hAnsi="Times New Roman" w:hint="default"/>
        <w:b w:val="0"/>
        <w:i w:val="0"/>
        <w:sz w:val="21"/>
        <w:lang w:val="en-US"/>
      </w:rPr>
    </w:lvl>
    <w:lvl w:ilvl="1">
      <w:start w:val="1"/>
      <w:numFmt w:val="none"/>
      <w:lvlText w:val=""/>
      <w:lvlJc w:val="left"/>
      <w:pPr>
        <w:ind w:left="992" w:hanging="567"/>
      </w:pPr>
      <w:rPr>
        <w:rFonts w:hint="eastAsia"/>
      </w:rPr>
    </w:lvl>
    <w:lvl w:ilvl="2">
      <w:start w:val="1"/>
      <w:numFmt w:val="none"/>
      <w:lvlText w:val=""/>
      <w:lvlJc w:val="left"/>
      <w:pPr>
        <w:ind w:left="1418" w:hanging="567"/>
      </w:pPr>
      <w:rPr>
        <w:rFonts w:hint="eastAsia"/>
      </w:rPr>
    </w:lvl>
    <w:lvl w:ilvl="3">
      <w:start w:val="1"/>
      <w:numFmt w:val="none"/>
      <w:lvlText w:val=""/>
      <w:lvlJc w:val="left"/>
      <w:pPr>
        <w:ind w:left="1984" w:hanging="708"/>
      </w:pPr>
      <w:rPr>
        <w:rFonts w:hint="eastAsia"/>
      </w:rPr>
    </w:lvl>
    <w:lvl w:ilvl="4">
      <w:start w:val="1"/>
      <w:numFmt w:val="none"/>
      <w:lvlText w:val=""/>
      <w:lvlJc w:val="left"/>
      <w:pPr>
        <w:ind w:left="2551" w:hanging="850"/>
      </w:pPr>
      <w:rPr>
        <w:rFonts w:hint="eastAsia"/>
      </w:rPr>
    </w:lvl>
    <w:lvl w:ilvl="5">
      <w:start w:val="1"/>
      <w:numFmt w:val="none"/>
      <w:lvlText w:val=""/>
      <w:lvlJc w:val="left"/>
      <w:pPr>
        <w:ind w:left="3260" w:hanging="1134"/>
      </w:pPr>
      <w:rPr>
        <w:rFonts w:hint="eastAsia"/>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38" w15:restartNumberingAfterBreak="0">
    <w:nsid w:val="5117354E"/>
    <w:multiLevelType w:val="multilevel"/>
    <w:tmpl w:val="5117354E"/>
    <w:lvl w:ilvl="0">
      <w:start w:val="1"/>
      <w:numFmt w:val="decimal"/>
      <w:lvlText w:val="表4.4-%1"/>
      <w:lvlJc w:val="left"/>
      <w:pPr>
        <w:tabs>
          <w:tab w:val="left" w:pos="851"/>
        </w:tabs>
        <w:ind w:left="425" w:hanging="425"/>
      </w:pPr>
      <w:rPr>
        <w:rFonts w:ascii="Times New Roman" w:eastAsia="黑体" w:hAnsi="Times New Roman" w:hint="default"/>
        <w:b w:val="0"/>
        <w:i w:val="0"/>
        <w:sz w:val="21"/>
      </w:rPr>
    </w:lvl>
    <w:lvl w:ilvl="1">
      <w:start w:val="1"/>
      <w:numFmt w:val="none"/>
      <w:lvlText w:val=""/>
      <w:lvlJc w:val="left"/>
      <w:pPr>
        <w:ind w:left="992" w:hanging="567"/>
      </w:pPr>
      <w:rPr>
        <w:rFonts w:hint="eastAsia"/>
      </w:rPr>
    </w:lvl>
    <w:lvl w:ilvl="2">
      <w:start w:val="1"/>
      <w:numFmt w:val="none"/>
      <w:lvlText w:val=""/>
      <w:lvlJc w:val="left"/>
      <w:pPr>
        <w:ind w:left="1418" w:hanging="567"/>
      </w:pPr>
      <w:rPr>
        <w:rFonts w:hint="eastAsia"/>
      </w:rPr>
    </w:lvl>
    <w:lvl w:ilvl="3">
      <w:start w:val="1"/>
      <w:numFmt w:val="none"/>
      <w:lvlText w:val=""/>
      <w:lvlJc w:val="left"/>
      <w:pPr>
        <w:ind w:left="1984" w:hanging="708"/>
      </w:pPr>
      <w:rPr>
        <w:rFonts w:hint="eastAsia"/>
      </w:rPr>
    </w:lvl>
    <w:lvl w:ilvl="4">
      <w:start w:val="1"/>
      <w:numFmt w:val="none"/>
      <w:lvlText w:val=""/>
      <w:lvlJc w:val="left"/>
      <w:pPr>
        <w:ind w:left="2551" w:hanging="850"/>
      </w:pPr>
      <w:rPr>
        <w:rFonts w:hint="eastAsia"/>
      </w:rPr>
    </w:lvl>
    <w:lvl w:ilvl="5">
      <w:start w:val="1"/>
      <w:numFmt w:val="none"/>
      <w:lvlText w:val=""/>
      <w:lvlJc w:val="left"/>
      <w:pPr>
        <w:ind w:left="3260" w:hanging="1134"/>
      </w:pPr>
      <w:rPr>
        <w:rFonts w:hint="eastAsia"/>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39" w15:restartNumberingAfterBreak="0">
    <w:nsid w:val="55AA356A"/>
    <w:multiLevelType w:val="multilevel"/>
    <w:tmpl w:val="55AA356A"/>
    <w:lvl w:ilvl="0">
      <w:start w:val="1"/>
      <w:numFmt w:val="decimal"/>
      <w:lvlText w:val="图4.2-%1"/>
      <w:lvlJc w:val="left"/>
      <w:pPr>
        <w:tabs>
          <w:tab w:val="left" w:pos="851"/>
        </w:tabs>
        <w:ind w:left="425" w:hanging="425"/>
      </w:pPr>
      <w:rPr>
        <w:rFonts w:ascii="Times New Roman" w:eastAsia="黑体" w:hAnsi="Times New Roman" w:hint="default"/>
        <w:b w:val="0"/>
        <w:i w:val="0"/>
        <w:sz w:val="21"/>
      </w:rPr>
    </w:lvl>
    <w:lvl w:ilvl="1">
      <w:start w:val="1"/>
      <w:numFmt w:val="none"/>
      <w:lvlText w:val=""/>
      <w:lvlJc w:val="left"/>
      <w:pPr>
        <w:ind w:left="992" w:hanging="567"/>
      </w:pPr>
      <w:rPr>
        <w:rFonts w:hint="eastAsia"/>
      </w:rPr>
    </w:lvl>
    <w:lvl w:ilvl="2">
      <w:start w:val="1"/>
      <w:numFmt w:val="none"/>
      <w:lvlText w:val=""/>
      <w:lvlJc w:val="left"/>
      <w:pPr>
        <w:ind w:left="1418" w:hanging="567"/>
      </w:pPr>
      <w:rPr>
        <w:rFonts w:hint="eastAsia"/>
      </w:rPr>
    </w:lvl>
    <w:lvl w:ilvl="3">
      <w:start w:val="1"/>
      <w:numFmt w:val="none"/>
      <w:lvlText w:val=""/>
      <w:lvlJc w:val="left"/>
      <w:pPr>
        <w:ind w:left="1984" w:hanging="708"/>
      </w:pPr>
      <w:rPr>
        <w:rFonts w:hint="eastAsia"/>
      </w:rPr>
    </w:lvl>
    <w:lvl w:ilvl="4">
      <w:start w:val="1"/>
      <w:numFmt w:val="none"/>
      <w:lvlText w:val=""/>
      <w:lvlJc w:val="left"/>
      <w:pPr>
        <w:ind w:left="2551" w:hanging="850"/>
      </w:pPr>
      <w:rPr>
        <w:rFonts w:hint="eastAsia"/>
      </w:rPr>
    </w:lvl>
    <w:lvl w:ilvl="5">
      <w:start w:val="1"/>
      <w:numFmt w:val="none"/>
      <w:lvlText w:val=""/>
      <w:lvlJc w:val="left"/>
      <w:pPr>
        <w:ind w:left="3260" w:hanging="1134"/>
      </w:pPr>
      <w:rPr>
        <w:rFonts w:hint="eastAsia"/>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40" w15:restartNumberingAfterBreak="0">
    <w:nsid w:val="57341FA2"/>
    <w:multiLevelType w:val="multilevel"/>
    <w:tmpl w:val="57341FA2"/>
    <w:lvl w:ilvl="0">
      <w:start w:val="1"/>
      <w:numFmt w:val="decimal"/>
      <w:pStyle w:val="-8"/>
      <w:lvlText w:val="表3-%1"/>
      <w:lvlJc w:val="left"/>
      <w:pPr>
        <w:tabs>
          <w:tab w:val="left" w:pos="851"/>
        </w:tabs>
        <w:ind w:left="0" w:firstLine="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41" w15:restartNumberingAfterBreak="0">
    <w:nsid w:val="588B1873"/>
    <w:multiLevelType w:val="multilevel"/>
    <w:tmpl w:val="588B1873"/>
    <w:lvl w:ilvl="0">
      <w:start w:val="1"/>
      <w:numFmt w:val="decimal"/>
      <w:pStyle w:val="ad"/>
      <w:lvlText w:val="表10-%1"/>
      <w:lvlJc w:val="left"/>
      <w:pPr>
        <w:tabs>
          <w:tab w:val="left" w:pos="420"/>
        </w:tabs>
        <w:ind w:left="420" w:hanging="42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42" w15:restartNumberingAfterBreak="0">
    <w:nsid w:val="5AB64829"/>
    <w:multiLevelType w:val="multilevel"/>
    <w:tmpl w:val="5AB64829"/>
    <w:lvl w:ilvl="0">
      <w:start w:val="1"/>
      <w:numFmt w:val="decimal"/>
      <w:pStyle w:val="MyList-1"/>
      <w:lvlText w:val="%1"/>
      <w:lvlJc w:val="left"/>
      <w:pPr>
        <w:tabs>
          <w:tab w:val="left" w:pos="567"/>
        </w:tabs>
        <w:ind w:left="0" w:firstLine="0"/>
      </w:pPr>
      <w:rPr>
        <w:rFonts w:ascii="Times New Roman" w:hAnsi="Times New Roman" w:cs="Times New Roman" w:hint="default"/>
        <w:b/>
        <w:bCs w:val="0"/>
        <w:i w:val="0"/>
        <w:iCs w:val="0"/>
        <w:smallCaps w:val="0"/>
        <w:strike w:val="0"/>
        <w:color w:val="000000"/>
        <w:spacing w:val="2"/>
        <w:w w:val="100"/>
        <w:position w:val="0"/>
        <w:sz w:val="28"/>
        <w:szCs w:val="28"/>
        <w:u w:val="none"/>
      </w:rPr>
    </w:lvl>
    <w:lvl w:ilvl="1">
      <w:start w:val="1"/>
      <w:numFmt w:val="decimal"/>
      <w:pStyle w:val="MyList-2"/>
      <w:lvlText w:val="%1.%2"/>
      <w:lvlJc w:val="left"/>
      <w:pPr>
        <w:tabs>
          <w:tab w:val="left" w:pos="794"/>
        </w:tabs>
        <w:ind w:left="0" w:firstLine="0"/>
      </w:pPr>
      <w:rPr>
        <w:rFonts w:hint="eastAsia"/>
        <w:sz w:val="24"/>
      </w:rPr>
    </w:lvl>
    <w:lvl w:ilvl="2">
      <w:start w:val="1"/>
      <w:numFmt w:val="decimal"/>
      <w:pStyle w:val="MyList-3"/>
      <w:lvlText w:val="%1.%2.%3"/>
      <w:lvlJc w:val="left"/>
      <w:pPr>
        <w:tabs>
          <w:tab w:val="left" w:pos="1021"/>
        </w:tabs>
        <w:ind w:left="0" w:firstLine="0"/>
      </w:pPr>
      <w:rPr>
        <w:rFonts w:hint="eastAsia"/>
      </w:rPr>
    </w:lvl>
    <w:lvl w:ilvl="3">
      <w:start w:val="1"/>
      <w:numFmt w:val="decimal"/>
      <w:pStyle w:val="MyList-4"/>
      <w:lvlText w:val="%1.%2.%3.%4"/>
      <w:lvlJc w:val="left"/>
      <w:pPr>
        <w:tabs>
          <w:tab w:val="left" w:pos="1191"/>
        </w:tabs>
        <w:ind w:left="0" w:firstLine="0"/>
      </w:pPr>
      <w:rPr>
        <w:rFonts w:hint="eastAsia"/>
      </w:rPr>
    </w:lvl>
    <w:lvl w:ilvl="4">
      <w:start w:val="1"/>
      <w:numFmt w:val="decimal"/>
      <w:pStyle w:val="MyList-5"/>
      <w:lvlText w:val="%1.%2.%3.%4.%5"/>
      <w:lvlJc w:val="left"/>
      <w:pPr>
        <w:tabs>
          <w:tab w:val="left" w:pos="1418"/>
        </w:tabs>
        <w:ind w:left="0" w:firstLine="0"/>
      </w:pPr>
      <w:rPr>
        <w:rFonts w:hint="eastAsia"/>
      </w:rPr>
    </w:lvl>
    <w:lvl w:ilvl="5">
      <w:start w:val="1"/>
      <w:numFmt w:val="decimal"/>
      <w:suff w:val="nothing"/>
      <w:lvlText w:val="%1.%2.%3.%4.%5.%6　"/>
      <w:lvlJc w:val="left"/>
      <w:pPr>
        <w:ind w:left="0" w:firstLine="0"/>
      </w:pPr>
      <w:rPr>
        <w:rFonts w:hint="eastAsia"/>
      </w:rPr>
    </w:lvl>
    <w:lvl w:ilvl="6">
      <w:start w:val="1"/>
      <w:numFmt w:val="decimal"/>
      <w:suff w:val="nothing"/>
      <w:lvlText w:val="%1.%2.%3.%4.%5.%6.%7　"/>
      <w:lvlJc w:val="left"/>
      <w:pPr>
        <w:ind w:left="0" w:firstLine="0"/>
      </w:pPr>
      <w:rPr>
        <w:rFonts w:hint="eastAsia"/>
      </w:rPr>
    </w:lvl>
    <w:lvl w:ilvl="7">
      <w:start w:val="1"/>
      <w:numFmt w:val="decimal"/>
      <w:suff w:val="nothing"/>
      <w:lvlText w:val="%1.%2.%3.%4.%5.%6.%7.%8　"/>
      <w:lvlJc w:val="left"/>
      <w:pPr>
        <w:ind w:left="0" w:firstLine="0"/>
      </w:pPr>
      <w:rPr>
        <w:rFonts w:hint="eastAsia"/>
      </w:rPr>
    </w:lvl>
    <w:lvl w:ilvl="8">
      <w:start w:val="1"/>
      <w:numFmt w:val="decimal"/>
      <w:suff w:val="nothing"/>
      <w:lvlText w:val="%1.%2.%3.%4.%5.%6.%7.%8.%9　"/>
      <w:lvlJc w:val="left"/>
      <w:pPr>
        <w:ind w:left="0" w:firstLine="0"/>
      </w:pPr>
      <w:rPr>
        <w:rFonts w:hint="eastAsia"/>
      </w:rPr>
    </w:lvl>
  </w:abstractNum>
  <w:abstractNum w:abstractNumId="43" w15:restartNumberingAfterBreak="0">
    <w:nsid w:val="603E07B3"/>
    <w:multiLevelType w:val="multilevel"/>
    <w:tmpl w:val="603E07B3"/>
    <w:lvl w:ilvl="0">
      <w:start w:val="1"/>
      <w:numFmt w:val="decimal"/>
      <w:pStyle w:val="-3"/>
      <w:lvlText w:val="表5-%1"/>
      <w:lvlJc w:val="left"/>
      <w:pPr>
        <w:tabs>
          <w:tab w:val="left" w:pos="851"/>
        </w:tabs>
        <w:ind w:left="0" w:firstLine="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44" w15:restartNumberingAfterBreak="0">
    <w:nsid w:val="60D40027"/>
    <w:multiLevelType w:val="multilevel"/>
    <w:tmpl w:val="60D40027"/>
    <w:lvl w:ilvl="0">
      <w:start w:val="1"/>
      <w:numFmt w:val="decimal"/>
      <w:pStyle w:val="ae"/>
      <w:lvlText w:val="表12-%1"/>
      <w:lvlJc w:val="left"/>
      <w:pPr>
        <w:tabs>
          <w:tab w:val="left" w:pos="851"/>
        </w:tabs>
        <w:ind w:left="0" w:firstLine="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45" w15:restartNumberingAfterBreak="0">
    <w:nsid w:val="61AC465E"/>
    <w:multiLevelType w:val="multilevel"/>
    <w:tmpl w:val="61AC465E"/>
    <w:lvl w:ilvl="0">
      <w:start w:val="1"/>
      <w:numFmt w:val="decimal"/>
      <w:pStyle w:val="-14"/>
      <w:lvlText w:val="图4-%1"/>
      <w:lvlJc w:val="left"/>
      <w:pPr>
        <w:tabs>
          <w:tab w:val="left" w:pos="851"/>
        </w:tabs>
        <w:ind w:left="0" w:firstLine="0"/>
      </w:pPr>
      <w:rPr>
        <w:rFonts w:hint="eastAsia"/>
        <w:b w:val="0"/>
        <w:i w:val="0"/>
        <w:sz w:val="24"/>
        <w:szCs w:val="24"/>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46" w15:restartNumberingAfterBreak="0">
    <w:nsid w:val="620F18A4"/>
    <w:multiLevelType w:val="multilevel"/>
    <w:tmpl w:val="620F18A4"/>
    <w:lvl w:ilvl="0">
      <w:start w:val="1"/>
      <w:numFmt w:val="decimal"/>
      <w:pStyle w:val="af"/>
      <w:lvlText w:val="图1-%1"/>
      <w:lvlJc w:val="left"/>
      <w:pPr>
        <w:tabs>
          <w:tab w:val="left" w:pos="0"/>
        </w:tabs>
        <w:ind w:left="0" w:firstLine="0"/>
      </w:pPr>
      <w:rPr>
        <w:rFonts w:ascii="Times New Roman" w:eastAsia="黑体" w:hAnsi="Times New Roman" w:hint="default"/>
        <w:b w:val="0"/>
        <w:bCs w:val="0"/>
        <w:i w:val="0"/>
        <w:iCs w:val="0"/>
        <w:caps w:val="0"/>
        <w:smallCaps w:val="0"/>
        <w:strike w:val="0"/>
        <w:dstrike w:val="0"/>
        <w:color w:val="000000"/>
        <w:spacing w:val="0"/>
        <w:position w:val="0"/>
        <w:sz w:val="24"/>
        <w:szCs w:val="24"/>
        <w:u w:val="none"/>
      </w:rPr>
    </w:lvl>
    <w:lvl w:ilvl="1">
      <w:start w:val="1"/>
      <w:numFmt w:val="decimal"/>
      <w:lvlText w:val="图1-%2 "/>
      <w:lvlJc w:val="left"/>
      <w:pPr>
        <w:tabs>
          <w:tab w:val="left" w:pos="1660"/>
        </w:tabs>
        <w:ind w:left="1660" w:hanging="420"/>
      </w:pPr>
      <w:rPr>
        <w:rFonts w:ascii="Times New Roman" w:eastAsia="黑体" w:hAnsi="Times New Roman" w:hint="default"/>
        <w:b w:val="0"/>
        <w:i w:val="0"/>
        <w:sz w:val="24"/>
        <w:szCs w:val="24"/>
      </w:rPr>
    </w:lvl>
    <w:lvl w:ilvl="2">
      <w:start w:val="1"/>
      <w:numFmt w:val="lowerRoman"/>
      <w:lvlText w:val="%3."/>
      <w:lvlJc w:val="right"/>
      <w:pPr>
        <w:tabs>
          <w:tab w:val="left" w:pos="2080"/>
        </w:tabs>
        <w:ind w:left="2080" w:hanging="420"/>
      </w:pPr>
    </w:lvl>
    <w:lvl w:ilvl="3">
      <w:start w:val="1"/>
      <w:numFmt w:val="decimal"/>
      <w:lvlText w:val="%4."/>
      <w:lvlJc w:val="left"/>
      <w:pPr>
        <w:tabs>
          <w:tab w:val="left" w:pos="2500"/>
        </w:tabs>
        <w:ind w:left="2500" w:hanging="420"/>
      </w:pPr>
    </w:lvl>
    <w:lvl w:ilvl="4">
      <w:start w:val="1"/>
      <w:numFmt w:val="lowerLetter"/>
      <w:lvlText w:val="%5)"/>
      <w:lvlJc w:val="left"/>
      <w:pPr>
        <w:tabs>
          <w:tab w:val="left" w:pos="2920"/>
        </w:tabs>
        <w:ind w:left="2920" w:hanging="420"/>
      </w:pPr>
    </w:lvl>
    <w:lvl w:ilvl="5">
      <w:start w:val="1"/>
      <w:numFmt w:val="lowerRoman"/>
      <w:lvlText w:val="%6."/>
      <w:lvlJc w:val="right"/>
      <w:pPr>
        <w:tabs>
          <w:tab w:val="left" w:pos="3340"/>
        </w:tabs>
        <w:ind w:left="3340" w:hanging="420"/>
      </w:pPr>
    </w:lvl>
    <w:lvl w:ilvl="6">
      <w:start w:val="1"/>
      <w:numFmt w:val="decimal"/>
      <w:lvlText w:val="%7."/>
      <w:lvlJc w:val="left"/>
      <w:pPr>
        <w:tabs>
          <w:tab w:val="left" w:pos="3760"/>
        </w:tabs>
        <w:ind w:left="3760" w:hanging="420"/>
      </w:pPr>
    </w:lvl>
    <w:lvl w:ilvl="7">
      <w:start w:val="1"/>
      <w:numFmt w:val="lowerLetter"/>
      <w:lvlText w:val="%8)"/>
      <w:lvlJc w:val="left"/>
      <w:pPr>
        <w:tabs>
          <w:tab w:val="left" w:pos="4180"/>
        </w:tabs>
        <w:ind w:left="4180" w:hanging="420"/>
      </w:pPr>
    </w:lvl>
    <w:lvl w:ilvl="8">
      <w:start w:val="1"/>
      <w:numFmt w:val="lowerRoman"/>
      <w:lvlText w:val="%9."/>
      <w:lvlJc w:val="right"/>
      <w:pPr>
        <w:tabs>
          <w:tab w:val="left" w:pos="4600"/>
        </w:tabs>
        <w:ind w:left="4600" w:hanging="420"/>
      </w:pPr>
    </w:lvl>
  </w:abstractNum>
  <w:abstractNum w:abstractNumId="47" w15:restartNumberingAfterBreak="0">
    <w:nsid w:val="6417AAFC"/>
    <w:multiLevelType w:val="singleLevel"/>
    <w:tmpl w:val="6417AAFC"/>
    <w:lvl w:ilvl="0">
      <w:start w:val="1"/>
      <w:numFmt w:val="bullet"/>
      <w:pStyle w:val="40"/>
      <w:lvlText w:val=""/>
      <w:lvlJc w:val="left"/>
      <w:pPr>
        <w:tabs>
          <w:tab w:val="left" w:pos="1620"/>
        </w:tabs>
        <w:ind w:left="1620" w:hanging="360"/>
      </w:pPr>
      <w:rPr>
        <w:rFonts w:ascii="Wingdings" w:hAnsi="Wingdings" w:hint="default"/>
      </w:rPr>
    </w:lvl>
  </w:abstractNum>
  <w:abstractNum w:abstractNumId="48" w15:restartNumberingAfterBreak="0">
    <w:nsid w:val="671976DC"/>
    <w:multiLevelType w:val="multilevel"/>
    <w:tmpl w:val="671976DC"/>
    <w:lvl w:ilvl="0">
      <w:start w:val="1"/>
      <w:numFmt w:val="decimal"/>
      <w:pStyle w:val="-2"/>
      <w:lvlText w:val="表2-%1"/>
      <w:lvlJc w:val="left"/>
      <w:pPr>
        <w:tabs>
          <w:tab w:val="left" w:pos="851"/>
        </w:tabs>
        <w:ind w:left="0" w:firstLine="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49" w15:restartNumberingAfterBreak="0">
    <w:nsid w:val="6B3A7034"/>
    <w:multiLevelType w:val="multilevel"/>
    <w:tmpl w:val="6B3A7034"/>
    <w:lvl w:ilvl="0">
      <w:start w:val="1"/>
      <w:numFmt w:val="decimal"/>
      <w:pStyle w:val="-4"/>
      <w:lvlText w:val="图10-%1"/>
      <w:lvlJc w:val="left"/>
      <w:pPr>
        <w:tabs>
          <w:tab w:val="left" w:pos="851"/>
        </w:tabs>
        <w:ind w:left="0" w:firstLine="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50" w15:restartNumberingAfterBreak="0">
    <w:nsid w:val="72947440"/>
    <w:multiLevelType w:val="multilevel"/>
    <w:tmpl w:val="72947440"/>
    <w:lvl w:ilvl="0">
      <w:start w:val="1"/>
      <w:numFmt w:val="decimal"/>
      <w:pStyle w:val="-12"/>
      <w:lvlText w:val="表16-%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1" w15:restartNumberingAfterBreak="0">
    <w:nsid w:val="73D8234A"/>
    <w:multiLevelType w:val="singleLevel"/>
    <w:tmpl w:val="73D8234A"/>
    <w:lvl w:ilvl="0">
      <w:start w:val="2"/>
      <w:numFmt w:val="decimal"/>
      <w:suff w:val="nothing"/>
      <w:lvlText w:val="（%1）"/>
      <w:lvlJc w:val="left"/>
    </w:lvl>
  </w:abstractNum>
  <w:abstractNum w:abstractNumId="52" w15:restartNumberingAfterBreak="0">
    <w:nsid w:val="76DE7139"/>
    <w:multiLevelType w:val="multilevel"/>
    <w:tmpl w:val="76DE7139"/>
    <w:lvl w:ilvl="0">
      <w:start w:val="1"/>
      <w:numFmt w:val="decimal"/>
      <w:lvlText w:val="图5.2-%1"/>
      <w:lvlJc w:val="left"/>
      <w:pPr>
        <w:tabs>
          <w:tab w:val="left" w:pos="851"/>
        </w:tabs>
        <w:ind w:left="425" w:hanging="425"/>
      </w:pPr>
      <w:rPr>
        <w:rFonts w:ascii="Times New Roman" w:eastAsia="黑体" w:hAnsi="Times New Roman" w:hint="default"/>
        <w:b w:val="0"/>
        <w:i w:val="0"/>
        <w:sz w:val="21"/>
      </w:rPr>
    </w:lvl>
    <w:lvl w:ilvl="1">
      <w:start w:val="1"/>
      <w:numFmt w:val="none"/>
      <w:lvlText w:val=""/>
      <w:lvlJc w:val="left"/>
      <w:pPr>
        <w:ind w:left="992" w:hanging="567"/>
      </w:pPr>
      <w:rPr>
        <w:rFonts w:hint="eastAsia"/>
      </w:rPr>
    </w:lvl>
    <w:lvl w:ilvl="2">
      <w:start w:val="1"/>
      <w:numFmt w:val="none"/>
      <w:lvlText w:val=""/>
      <w:lvlJc w:val="left"/>
      <w:pPr>
        <w:ind w:left="1418" w:hanging="567"/>
      </w:pPr>
      <w:rPr>
        <w:rFonts w:hint="eastAsia"/>
      </w:rPr>
    </w:lvl>
    <w:lvl w:ilvl="3">
      <w:start w:val="1"/>
      <w:numFmt w:val="none"/>
      <w:lvlText w:val=""/>
      <w:lvlJc w:val="left"/>
      <w:pPr>
        <w:ind w:left="1984" w:hanging="708"/>
      </w:pPr>
      <w:rPr>
        <w:rFonts w:hint="eastAsia"/>
      </w:rPr>
    </w:lvl>
    <w:lvl w:ilvl="4">
      <w:start w:val="1"/>
      <w:numFmt w:val="none"/>
      <w:lvlText w:val=""/>
      <w:lvlJc w:val="left"/>
      <w:pPr>
        <w:ind w:left="2551" w:hanging="850"/>
      </w:pPr>
      <w:rPr>
        <w:rFonts w:hint="eastAsia"/>
      </w:rPr>
    </w:lvl>
    <w:lvl w:ilvl="5">
      <w:start w:val="1"/>
      <w:numFmt w:val="none"/>
      <w:lvlText w:val=""/>
      <w:lvlJc w:val="left"/>
      <w:pPr>
        <w:ind w:left="3260" w:hanging="1134"/>
      </w:pPr>
      <w:rPr>
        <w:rFonts w:hint="eastAsia"/>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53" w15:restartNumberingAfterBreak="0">
    <w:nsid w:val="7AC36372"/>
    <w:multiLevelType w:val="multilevel"/>
    <w:tmpl w:val="7AC36372"/>
    <w:lvl w:ilvl="0">
      <w:start w:val="1"/>
      <w:numFmt w:val="decimal"/>
      <w:pStyle w:val="af0"/>
      <w:lvlText w:val="图3-%1"/>
      <w:lvlJc w:val="left"/>
      <w:pPr>
        <w:tabs>
          <w:tab w:val="left" w:pos="851"/>
        </w:tabs>
        <w:ind w:left="0" w:firstLine="0"/>
      </w:pPr>
      <w:rPr>
        <w:rFonts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54" w15:restartNumberingAfterBreak="0">
    <w:nsid w:val="7BCC0390"/>
    <w:multiLevelType w:val="multilevel"/>
    <w:tmpl w:val="7BCC0390"/>
    <w:lvl w:ilvl="0">
      <w:start w:val="1"/>
      <w:numFmt w:val="decimal"/>
      <w:lvlText w:val="表7.7-%1"/>
      <w:lvlJc w:val="left"/>
      <w:pPr>
        <w:tabs>
          <w:tab w:val="left" w:pos="851"/>
        </w:tabs>
        <w:ind w:left="425" w:hanging="425"/>
      </w:pPr>
      <w:rPr>
        <w:rFonts w:ascii="Times New Roman" w:eastAsia="黑体" w:hAnsi="Times New Roman" w:hint="default"/>
        <w:b w:val="0"/>
        <w:i w:val="0"/>
        <w:sz w:val="21"/>
        <w:lang w:val="en-US"/>
      </w:rPr>
    </w:lvl>
    <w:lvl w:ilvl="1">
      <w:start w:val="1"/>
      <w:numFmt w:val="none"/>
      <w:lvlText w:val=""/>
      <w:lvlJc w:val="left"/>
      <w:pPr>
        <w:ind w:left="992" w:hanging="567"/>
      </w:pPr>
      <w:rPr>
        <w:rFonts w:hint="eastAsia"/>
      </w:rPr>
    </w:lvl>
    <w:lvl w:ilvl="2">
      <w:start w:val="1"/>
      <w:numFmt w:val="none"/>
      <w:lvlText w:val=""/>
      <w:lvlJc w:val="left"/>
      <w:pPr>
        <w:ind w:left="1418" w:hanging="567"/>
      </w:pPr>
      <w:rPr>
        <w:rFonts w:hint="eastAsia"/>
      </w:rPr>
    </w:lvl>
    <w:lvl w:ilvl="3">
      <w:start w:val="1"/>
      <w:numFmt w:val="none"/>
      <w:lvlText w:val=""/>
      <w:lvlJc w:val="left"/>
      <w:pPr>
        <w:ind w:left="1984" w:hanging="708"/>
      </w:pPr>
      <w:rPr>
        <w:rFonts w:hint="eastAsia"/>
      </w:rPr>
    </w:lvl>
    <w:lvl w:ilvl="4">
      <w:start w:val="1"/>
      <w:numFmt w:val="none"/>
      <w:lvlText w:val=""/>
      <w:lvlJc w:val="left"/>
      <w:pPr>
        <w:ind w:left="2551" w:hanging="850"/>
      </w:pPr>
      <w:rPr>
        <w:rFonts w:hint="eastAsia"/>
      </w:rPr>
    </w:lvl>
    <w:lvl w:ilvl="5">
      <w:start w:val="1"/>
      <w:numFmt w:val="none"/>
      <w:lvlText w:val=""/>
      <w:lvlJc w:val="left"/>
      <w:pPr>
        <w:ind w:left="3260" w:hanging="1134"/>
      </w:pPr>
      <w:rPr>
        <w:rFonts w:hint="eastAsia"/>
      </w:rPr>
    </w:lvl>
    <w:lvl w:ilvl="6">
      <w:start w:val="1"/>
      <w:numFmt w:val="none"/>
      <w:lvlText w:val=""/>
      <w:lvlJc w:val="left"/>
      <w:pPr>
        <w:ind w:left="3827" w:hanging="1276"/>
      </w:pPr>
      <w:rPr>
        <w:rFonts w:hint="eastAsia"/>
      </w:rPr>
    </w:lvl>
    <w:lvl w:ilvl="7">
      <w:start w:val="1"/>
      <w:numFmt w:val="none"/>
      <w:lvlText w:val=""/>
      <w:lvlJc w:val="left"/>
      <w:pPr>
        <w:ind w:left="4394" w:hanging="1418"/>
      </w:pPr>
      <w:rPr>
        <w:rFonts w:hint="eastAsia"/>
      </w:rPr>
    </w:lvl>
    <w:lvl w:ilvl="8">
      <w:start w:val="1"/>
      <w:numFmt w:val="none"/>
      <w:lvlText w:val=""/>
      <w:lvlJc w:val="left"/>
      <w:pPr>
        <w:ind w:left="5102" w:hanging="1700"/>
      </w:pPr>
      <w:rPr>
        <w:rFonts w:hint="eastAsia"/>
      </w:rPr>
    </w:lvl>
  </w:abstractNum>
  <w:abstractNum w:abstractNumId="55" w15:restartNumberingAfterBreak="0">
    <w:nsid w:val="7BF40CDE"/>
    <w:multiLevelType w:val="multilevel"/>
    <w:tmpl w:val="7BF40CDE"/>
    <w:lvl w:ilvl="0">
      <w:start w:val="1"/>
      <w:numFmt w:val="decimal"/>
      <w:pStyle w:val="-16"/>
      <w:lvlText w:val="表14-%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6" w15:restartNumberingAfterBreak="0">
    <w:nsid w:val="7CF21E1D"/>
    <w:multiLevelType w:val="multilevel"/>
    <w:tmpl w:val="7CF21E1D"/>
    <w:lvl w:ilvl="0">
      <w:start w:val="1"/>
      <w:numFmt w:val="decimal"/>
      <w:pStyle w:val="-6"/>
      <w:lvlText w:val="表6-%1"/>
      <w:lvlJc w:val="left"/>
      <w:pPr>
        <w:tabs>
          <w:tab w:val="left" w:pos="851"/>
        </w:tabs>
        <w:ind w:left="0" w:firstLine="0"/>
      </w:p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num w:numId="1">
    <w:abstractNumId w:val="15"/>
  </w:num>
  <w:num w:numId="2">
    <w:abstractNumId w:val="29"/>
  </w:num>
  <w:num w:numId="3">
    <w:abstractNumId w:val="47"/>
  </w:num>
  <w:num w:numId="4">
    <w:abstractNumId w:val="14"/>
  </w:num>
  <w:num w:numId="5">
    <w:abstractNumId w:val="36"/>
  </w:num>
  <w:num w:numId="6">
    <w:abstractNumId w:val="24"/>
  </w:num>
  <w:num w:numId="7">
    <w:abstractNumId w:val="3"/>
  </w:num>
  <w:num w:numId="8">
    <w:abstractNumId w:val="30"/>
  </w:num>
  <w:num w:numId="9">
    <w:abstractNumId w:val="4"/>
  </w:num>
  <w:num w:numId="10">
    <w:abstractNumId w:val="11"/>
  </w:num>
  <w:num w:numId="11">
    <w:abstractNumId w:val="5"/>
  </w:num>
  <w:num w:numId="12">
    <w:abstractNumId w:val="27"/>
  </w:num>
  <w:num w:numId="13">
    <w:abstractNumId w:val="42"/>
  </w:num>
  <w:num w:numId="14">
    <w:abstractNumId w:val="43"/>
  </w:num>
  <w:num w:numId="15">
    <w:abstractNumId w:val="53"/>
  </w:num>
  <w:num w:numId="16">
    <w:abstractNumId w:val="12"/>
  </w:num>
  <w:num w:numId="17">
    <w:abstractNumId w:val="17"/>
  </w:num>
  <w:num w:numId="18">
    <w:abstractNumId w:val="31"/>
  </w:num>
  <w:num w:numId="19">
    <w:abstractNumId w:val="18"/>
  </w:num>
  <w:num w:numId="20">
    <w:abstractNumId w:val="22"/>
  </w:num>
  <w:num w:numId="21">
    <w:abstractNumId w:val="41"/>
  </w:num>
  <w:num w:numId="22">
    <w:abstractNumId w:val="2"/>
  </w:num>
  <w:num w:numId="23">
    <w:abstractNumId w:val="56"/>
  </w:num>
  <w:num w:numId="24">
    <w:abstractNumId w:val="44"/>
  </w:num>
  <w:num w:numId="25">
    <w:abstractNumId w:val="46"/>
  </w:num>
  <w:num w:numId="26">
    <w:abstractNumId w:val="48"/>
  </w:num>
  <w:num w:numId="27">
    <w:abstractNumId w:val="55"/>
  </w:num>
  <w:num w:numId="28">
    <w:abstractNumId w:val="28"/>
  </w:num>
  <w:num w:numId="29">
    <w:abstractNumId w:val="7"/>
  </w:num>
  <w:num w:numId="30">
    <w:abstractNumId w:val="26"/>
  </w:num>
  <w:num w:numId="31">
    <w:abstractNumId w:val="32"/>
  </w:num>
  <w:num w:numId="32">
    <w:abstractNumId w:val="49"/>
  </w:num>
  <w:num w:numId="33">
    <w:abstractNumId w:val="45"/>
  </w:num>
  <w:num w:numId="34">
    <w:abstractNumId w:val="40"/>
  </w:num>
  <w:num w:numId="35">
    <w:abstractNumId w:val="25"/>
  </w:num>
  <w:num w:numId="36">
    <w:abstractNumId w:val="50"/>
  </w:num>
  <w:num w:numId="37">
    <w:abstractNumId w:val="0"/>
  </w:num>
  <w:num w:numId="38">
    <w:abstractNumId w:val="1"/>
  </w:num>
  <w:num w:numId="39">
    <w:abstractNumId w:val="51"/>
  </w:num>
  <w:num w:numId="40">
    <w:abstractNumId w:val="9"/>
  </w:num>
  <w:num w:numId="41">
    <w:abstractNumId w:val="39"/>
  </w:num>
  <w:num w:numId="42">
    <w:abstractNumId w:val="13"/>
  </w:num>
  <w:num w:numId="43">
    <w:abstractNumId w:val="38"/>
  </w:num>
  <w:num w:numId="44">
    <w:abstractNumId w:val="8"/>
  </w:num>
  <w:num w:numId="45">
    <w:abstractNumId w:val="52"/>
  </w:num>
  <w:num w:numId="46">
    <w:abstractNumId w:val="35"/>
  </w:num>
  <w:num w:numId="47">
    <w:abstractNumId w:val="20"/>
  </w:num>
  <w:num w:numId="48">
    <w:abstractNumId w:val="23"/>
  </w:num>
  <w:num w:numId="49">
    <w:abstractNumId w:val="21"/>
  </w:num>
  <w:num w:numId="50">
    <w:abstractNumId w:val="37"/>
  </w:num>
  <w:num w:numId="51">
    <w:abstractNumId w:val="54"/>
  </w:num>
  <w:num w:numId="52">
    <w:abstractNumId w:val="34"/>
  </w:num>
  <w:num w:numId="53">
    <w:abstractNumId w:val="33"/>
  </w:num>
  <w:num w:numId="54">
    <w:abstractNumId w:val="16"/>
  </w:num>
  <w:num w:numId="55">
    <w:abstractNumId w:val="19"/>
  </w:num>
  <w:num w:numId="56">
    <w:abstractNumId w:val="6"/>
  </w:num>
  <w:num w:numId="57">
    <w:abstractNumId w:val="10"/>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1C8A"/>
    <w:rsid w:val="00000384"/>
    <w:rsid w:val="00001809"/>
    <w:rsid w:val="00002013"/>
    <w:rsid w:val="00002197"/>
    <w:rsid w:val="000025A1"/>
    <w:rsid w:val="0000379D"/>
    <w:rsid w:val="00003C9C"/>
    <w:rsid w:val="00005081"/>
    <w:rsid w:val="00006272"/>
    <w:rsid w:val="00007D1B"/>
    <w:rsid w:val="00011EEA"/>
    <w:rsid w:val="0001201C"/>
    <w:rsid w:val="00012496"/>
    <w:rsid w:val="0001527B"/>
    <w:rsid w:val="00016366"/>
    <w:rsid w:val="00016DDB"/>
    <w:rsid w:val="000175F0"/>
    <w:rsid w:val="00020C89"/>
    <w:rsid w:val="00021CE6"/>
    <w:rsid w:val="00021E9C"/>
    <w:rsid w:val="000223D8"/>
    <w:rsid w:val="00022F8A"/>
    <w:rsid w:val="0002303C"/>
    <w:rsid w:val="000237A8"/>
    <w:rsid w:val="00023A86"/>
    <w:rsid w:val="00024816"/>
    <w:rsid w:val="000253B9"/>
    <w:rsid w:val="00025DC2"/>
    <w:rsid w:val="0003161E"/>
    <w:rsid w:val="0003453E"/>
    <w:rsid w:val="00034B7B"/>
    <w:rsid w:val="00035E98"/>
    <w:rsid w:val="00037C4E"/>
    <w:rsid w:val="000400F8"/>
    <w:rsid w:val="00043DAC"/>
    <w:rsid w:val="000443E3"/>
    <w:rsid w:val="00046DBC"/>
    <w:rsid w:val="00050CC5"/>
    <w:rsid w:val="0005103E"/>
    <w:rsid w:val="00051696"/>
    <w:rsid w:val="00051C58"/>
    <w:rsid w:val="00052077"/>
    <w:rsid w:val="00053A64"/>
    <w:rsid w:val="0005401C"/>
    <w:rsid w:val="00055EE5"/>
    <w:rsid w:val="000568D5"/>
    <w:rsid w:val="00060334"/>
    <w:rsid w:val="0006066B"/>
    <w:rsid w:val="00062075"/>
    <w:rsid w:val="00064AEB"/>
    <w:rsid w:val="00071851"/>
    <w:rsid w:val="000722DD"/>
    <w:rsid w:val="0007254C"/>
    <w:rsid w:val="000732E4"/>
    <w:rsid w:val="00074664"/>
    <w:rsid w:val="000765A2"/>
    <w:rsid w:val="00076BD8"/>
    <w:rsid w:val="00076DEC"/>
    <w:rsid w:val="00077698"/>
    <w:rsid w:val="00077EF9"/>
    <w:rsid w:val="00081238"/>
    <w:rsid w:val="00081F97"/>
    <w:rsid w:val="00084269"/>
    <w:rsid w:val="000876B7"/>
    <w:rsid w:val="00087DD2"/>
    <w:rsid w:val="00090A2A"/>
    <w:rsid w:val="00090E07"/>
    <w:rsid w:val="0009139D"/>
    <w:rsid w:val="000926CA"/>
    <w:rsid w:val="00092757"/>
    <w:rsid w:val="0009335F"/>
    <w:rsid w:val="00094A54"/>
    <w:rsid w:val="00097671"/>
    <w:rsid w:val="00097A03"/>
    <w:rsid w:val="000A0CDA"/>
    <w:rsid w:val="000A3610"/>
    <w:rsid w:val="000A4BC0"/>
    <w:rsid w:val="000A61E7"/>
    <w:rsid w:val="000A7880"/>
    <w:rsid w:val="000B088A"/>
    <w:rsid w:val="000B0AA4"/>
    <w:rsid w:val="000B1073"/>
    <w:rsid w:val="000B12B4"/>
    <w:rsid w:val="000B193D"/>
    <w:rsid w:val="000B51DB"/>
    <w:rsid w:val="000B53AD"/>
    <w:rsid w:val="000B5836"/>
    <w:rsid w:val="000B6B4F"/>
    <w:rsid w:val="000C0772"/>
    <w:rsid w:val="000C1583"/>
    <w:rsid w:val="000C315C"/>
    <w:rsid w:val="000C4E74"/>
    <w:rsid w:val="000C5447"/>
    <w:rsid w:val="000C5918"/>
    <w:rsid w:val="000C5DA3"/>
    <w:rsid w:val="000C6193"/>
    <w:rsid w:val="000C6F8B"/>
    <w:rsid w:val="000C7392"/>
    <w:rsid w:val="000D04C6"/>
    <w:rsid w:val="000D427E"/>
    <w:rsid w:val="000E056A"/>
    <w:rsid w:val="000E0C52"/>
    <w:rsid w:val="000E0C8B"/>
    <w:rsid w:val="000E24ED"/>
    <w:rsid w:val="000E2875"/>
    <w:rsid w:val="000E2A1B"/>
    <w:rsid w:val="000E304A"/>
    <w:rsid w:val="000E3701"/>
    <w:rsid w:val="000E55D8"/>
    <w:rsid w:val="000E6C91"/>
    <w:rsid w:val="000E7152"/>
    <w:rsid w:val="000F24AB"/>
    <w:rsid w:val="000F3269"/>
    <w:rsid w:val="000F4560"/>
    <w:rsid w:val="000F57DC"/>
    <w:rsid w:val="000F5973"/>
    <w:rsid w:val="000F7134"/>
    <w:rsid w:val="000F7265"/>
    <w:rsid w:val="000F7C0A"/>
    <w:rsid w:val="00103FFD"/>
    <w:rsid w:val="001123B5"/>
    <w:rsid w:val="001133FE"/>
    <w:rsid w:val="00114F13"/>
    <w:rsid w:val="00116B48"/>
    <w:rsid w:val="00125B50"/>
    <w:rsid w:val="001264B6"/>
    <w:rsid w:val="001264E0"/>
    <w:rsid w:val="00126712"/>
    <w:rsid w:val="0013160D"/>
    <w:rsid w:val="00133E31"/>
    <w:rsid w:val="00134A7F"/>
    <w:rsid w:val="001351FA"/>
    <w:rsid w:val="00135B2F"/>
    <w:rsid w:val="00136275"/>
    <w:rsid w:val="00137718"/>
    <w:rsid w:val="00140748"/>
    <w:rsid w:val="00141554"/>
    <w:rsid w:val="00141705"/>
    <w:rsid w:val="00141E3B"/>
    <w:rsid w:val="0014449C"/>
    <w:rsid w:val="00144848"/>
    <w:rsid w:val="00144A6C"/>
    <w:rsid w:val="00145EA9"/>
    <w:rsid w:val="00146DFA"/>
    <w:rsid w:val="00146E48"/>
    <w:rsid w:val="00147054"/>
    <w:rsid w:val="0014749E"/>
    <w:rsid w:val="00156086"/>
    <w:rsid w:val="001561A8"/>
    <w:rsid w:val="001568A7"/>
    <w:rsid w:val="00160465"/>
    <w:rsid w:val="00160C7A"/>
    <w:rsid w:val="0016132E"/>
    <w:rsid w:val="00161B5A"/>
    <w:rsid w:val="001626B3"/>
    <w:rsid w:val="00162EBC"/>
    <w:rsid w:val="001650AF"/>
    <w:rsid w:val="001659D9"/>
    <w:rsid w:val="001733C3"/>
    <w:rsid w:val="001758A3"/>
    <w:rsid w:val="0017633A"/>
    <w:rsid w:val="00183F30"/>
    <w:rsid w:val="00184490"/>
    <w:rsid w:val="00185607"/>
    <w:rsid w:val="0018633F"/>
    <w:rsid w:val="00186745"/>
    <w:rsid w:val="0018687C"/>
    <w:rsid w:val="0019007B"/>
    <w:rsid w:val="00190C06"/>
    <w:rsid w:val="00193173"/>
    <w:rsid w:val="00194F74"/>
    <w:rsid w:val="00195009"/>
    <w:rsid w:val="00195565"/>
    <w:rsid w:val="00195DBF"/>
    <w:rsid w:val="001966E9"/>
    <w:rsid w:val="001A04A3"/>
    <w:rsid w:val="001A2519"/>
    <w:rsid w:val="001A515C"/>
    <w:rsid w:val="001A57EA"/>
    <w:rsid w:val="001A58E0"/>
    <w:rsid w:val="001A6672"/>
    <w:rsid w:val="001B2882"/>
    <w:rsid w:val="001B3789"/>
    <w:rsid w:val="001C31E5"/>
    <w:rsid w:val="001C36C6"/>
    <w:rsid w:val="001C3E27"/>
    <w:rsid w:val="001C3F0A"/>
    <w:rsid w:val="001C4888"/>
    <w:rsid w:val="001C49FD"/>
    <w:rsid w:val="001C4D35"/>
    <w:rsid w:val="001C55B5"/>
    <w:rsid w:val="001D0EE1"/>
    <w:rsid w:val="001D2A60"/>
    <w:rsid w:val="001D4F00"/>
    <w:rsid w:val="001D62EF"/>
    <w:rsid w:val="001D65B1"/>
    <w:rsid w:val="001E00C7"/>
    <w:rsid w:val="001E0353"/>
    <w:rsid w:val="001E10AC"/>
    <w:rsid w:val="001E1ED5"/>
    <w:rsid w:val="001E388E"/>
    <w:rsid w:val="001E3B2D"/>
    <w:rsid w:val="001E3D3C"/>
    <w:rsid w:val="001E3E64"/>
    <w:rsid w:val="001E5447"/>
    <w:rsid w:val="001E6223"/>
    <w:rsid w:val="001E695E"/>
    <w:rsid w:val="001F05BD"/>
    <w:rsid w:val="001F0EDF"/>
    <w:rsid w:val="001F203F"/>
    <w:rsid w:val="001F2666"/>
    <w:rsid w:val="001F2B7C"/>
    <w:rsid w:val="001F3C51"/>
    <w:rsid w:val="001F5985"/>
    <w:rsid w:val="002010E0"/>
    <w:rsid w:val="002018D0"/>
    <w:rsid w:val="00201CAA"/>
    <w:rsid w:val="00202436"/>
    <w:rsid w:val="00204476"/>
    <w:rsid w:val="0020605D"/>
    <w:rsid w:val="0020615C"/>
    <w:rsid w:val="00207F45"/>
    <w:rsid w:val="002103EB"/>
    <w:rsid w:val="00212C50"/>
    <w:rsid w:val="0021319F"/>
    <w:rsid w:val="00213333"/>
    <w:rsid w:val="00213741"/>
    <w:rsid w:val="00214119"/>
    <w:rsid w:val="00216A19"/>
    <w:rsid w:val="00220143"/>
    <w:rsid w:val="002207F5"/>
    <w:rsid w:val="002232C1"/>
    <w:rsid w:val="00224256"/>
    <w:rsid w:val="0022430B"/>
    <w:rsid w:val="00225B1D"/>
    <w:rsid w:val="002261C6"/>
    <w:rsid w:val="002264B0"/>
    <w:rsid w:val="002269AF"/>
    <w:rsid w:val="0022781A"/>
    <w:rsid w:val="00230EB8"/>
    <w:rsid w:val="00230F9C"/>
    <w:rsid w:val="00231178"/>
    <w:rsid w:val="00231223"/>
    <w:rsid w:val="002317B8"/>
    <w:rsid w:val="00233DB2"/>
    <w:rsid w:val="0023531E"/>
    <w:rsid w:val="0023561C"/>
    <w:rsid w:val="00242C5D"/>
    <w:rsid w:val="00243A9B"/>
    <w:rsid w:val="00244DC7"/>
    <w:rsid w:val="00245AC7"/>
    <w:rsid w:val="00245EE6"/>
    <w:rsid w:val="00246343"/>
    <w:rsid w:val="002470F9"/>
    <w:rsid w:val="002501A8"/>
    <w:rsid w:val="00252784"/>
    <w:rsid w:val="00254B3D"/>
    <w:rsid w:val="002556DB"/>
    <w:rsid w:val="00256C7D"/>
    <w:rsid w:val="00256C9B"/>
    <w:rsid w:val="00261103"/>
    <w:rsid w:val="0026180A"/>
    <w:rsid w:val="00261D66"/>
    <w:rsid w:val="002620D8"/>
    <w:rsid w:val="00262DE4"/>
    <w:rsid w:val="00263103"/>
    <w:rsid w:val="00263826"/>
    <w:rsid w:val="00270200"/>
    <w:rsid w:val="002702F6"/>
    <w:rsid w:val="00271E17"/>
    <w:rsid w:val="00274353"/>
    <w:rsid w:val="002753B9"/>
    <w:rsid w:val="00280CAE"/>
    <w:rsid w:val="00280FD6"/>
    <w:rsid w:val="00283F01"/>
    <w:rsid w:val="00284363"/>
    <w:rsid w:val="00284868"/>
    <w:rsid w:val="00284B29"/>
    <w:rsid w:val="00284B38"/>
    <w:rsid w:val="00285D50"/>
    <w:rsid w:val="002862A6"/>
    <w:rsid w:val="00287B5E"/>
    <w:rsid w:val="00287F1C"/>
    <w:rsid w:val="00287F42"/>
    <w:rsid w:val="00290DB7"/>
    <w:rsid w:val="00291ABF"/>
    <w:rsid w:val="00294196"/>
    <w:rsid w:val="00295240"/>
    <w:rsid w:val="00295A4A"/>
    <w:rsid w:val="002964BE"/>
    <w:rsid w:val="00296543"/>
    <w:rsid w:val="002977D9"/>
    <w:rsid w:val="002979D0"/>
    <w:rsid w:val="00297BCB"/>
    <w:rsid w:val="002A38F9"/>
    <w:rsid w:val="002A3FC4"/>
    <w:rsid w:val="002A4110"/>
    <w:rsid w:val="002A4264"/>
    <w:rsid w:val="002A6D64"/>
    <w:rsid w:val="002A727A"/>
    <w:rsid w:val="002A739A"/>
    <w:rsid w:val="002B02C2"/>
    <w:rsid w:val="002B0BAC"/>
    <w:rsid w:val="002B0C8E"/>
    <w:rsid w:val="002B5963"/>
    <w:rsid w:val="002B59F3"/>
    <w:rsid w:val="002B6653"/>
    <w:rsid w:val="002B6E66"/>
    <w:rsid w:val="002B6F1A"/>
    <w:rsid w:val="002C08C3"/>
    <w:rsid w:val="002C2955"/>
    <w:rsid w:val="002C5151"/>
    <w:rsid w:val="002C6026"/>
    <w:rsid w:val="002C6870"/>
    <w:rsid w:val="002C7DF3"/>
    <w:rsid w:val="002D1777"/>
    <w:rsid w:val="002D49DA"/>
    <w:rsid w:val="002D50B5"/>
    <w:rsid w:val="002D55A6"/>
    <w:rsid w:val="002D678B"/>
    <w:rsid w:val="002D7211"/>
    <w:rsid w:val="002D7CE3"/>
    <w:rsid w:val="002E21A6"/>
    <w:rsid w:val="002E3A53"/>
    <w:rsid w:val="002E42F3"/>
    <w:rsid w:val="002E72EA"/>
    <w:rsid w:val="002E7471"/>
    <w:rsid w:val="002E78C1"/>
    <w:rsid w:val="002F12FA"/>
    <w:rsid w:val="002F17A1"/>
    <w:rsid w:val="002F3D3E"/>
    <w:rsid w:val="002F3E8C"/>
    <w:rsid w:val="002F4B8B"/>
    <w:rsid w:val="002F4E79"/>
    <w:rsid w:val="002F5332"/>
    <w:rsid w:val="002F7549"/>
    <w:rsid w:val="002F7900"/>
    <w:rsid w:val="00300818"/>
    <w:rsid w:val="00303575"/>
    <w:rsid w:val="00303CA4"/>
    <w:rsid w:val="00304467"/>
    <w:rsid w:val="0030478E"/>
    <w:rsid w:val="00305D79"/>
    <w:rsid w:val="00305EDB"/>
    <w:rsid w:val="003078DE"/>
    <w:rsid w:val="00307F94"/>
    <w:rsid w:val="00312172"/>
    <w:rsid w:val="0031305F"/>
    <w:rsid w:val="00313349"/>
    <w:rsid w:val="00313951"/>
    <w:rsid w:val="003156C6"/>
    <w:rsid w:val="00315BFA"/>
    <w:rsid w:val="00316B58"/>
    <w:rsid w:val="00317086"/>
    <w:rsid w:val="003173C4"/>
    <w:rsid w:val="003211C8"/>
    <w:rsid w:val="003228AC"/>
    <w:rsid w:val="00322BBF"/>
    <w:rsid w:val="00322E17"/>
    <w:rsid w:val="00325CD9"/>
    <w:rsid w:val="0032666A"/>
    <w:rsid w:val="00327BFA"/>
    <w:rsid w:val="00331AB8"/>
    <w:rsid w:val="00335D67"/>
    <w:rsid w:val="003370DB"/>
    <w:rsid w:val="00340A40"/>
    <w:rsid w:val="00344E37"/>
    <w:rsid w:val="0034622C"/>
    <w:rsid w:val="00346BC7"/>
    <w:rsid w:val="00347BA9"/>
    <w:rsid w:val="00347EA5"/>
    <w:rsid w:val="003519FE"/>
    <w:rsid w:val="00351CC8"/>
    <w:rsid w:val="003526B9"/>
    <w:rsid w:val="00353A71"/>
    <w:rsid w:val="00353DF9"/>
    <w:rsid w:val="00354948"/>
    <w:rsid w:val="00354FB3"/>
    <w:rsid w:val="003555A8"/>
    <w:rsid w:val="00356A41"/>
    <w:rsid w:val="00363200"/>
    <w:rsid w:val="00365688"/>
    <w:rsid w:val="0036670C"/>
    <w:rsid w:val="00366C60"/>
    <w:rsid w:val="003674FC"/>
    <w:rsid w:val="00371CD7"/>
    <w:rsid w:val="0037233E"/>
    <w:rsid w:val="00372D7C"/>
    <w:rsid w:val="00374784"/>
    <w:rsid w:val="00374AF4"/>
    <w:rsid w:val="00375797"/>
    <w:rsid w:val="0037588D"/>
    <w:rsid w:val="00377053"/>
    <w:rsid w:val="00380B41"/>
    <w:rsid w:val="00383503"/>
    <w:rsid w:val="00383532"/>
    <w:rsid w:val="00383F89"/>
    <w:rsid w:val="0038685A"/>
    <w:rsid w:val="00387EA3"/>
    <w:rsid w:val="0039052A"/>
    <w:rsid w:val="00391393"/>
    <w:rsid w:val="00392154"/>
    <w:rsid w:val="00393BB8"/>
    <w:rsid w:val="00394413"/>
    <w:rsid w:val="00395E97"/>
    <w:rsid w:val="00395FB7"/>
    <w:rsid w:val="00396B38"/>
    <w:rsid w:val="003A00CC"/>
    <w:rsid w:val="003A089E"/>
    <w:rsid w:val="003A13E2"/>
    <w:rsid w:val="003A2B6F"/>
    <w:rsid w:val="003A2CC6"/>
    <w:rsid w:val="003A2CD1"/>
    <w:rsid w:val="003A3151"/>
    <w:rsid w:val="003A4172"/>
    <w:rsid w:val="003A5297"/>
    <w:rsid w:val="003A5B0A"/>
    <w:rsid w:val="003A7654"/>
    <w:rsid w:val="003A7BB7"/>
    <w:rsid w:val="003B02A1"/>
    <w:rsid w:val="003B0BAD"/>
    <w:rsid w:val="003B1813"/>
    <w:rsid w:val="003B2A08"/>
    <w:rsid w:val="003B3155"/>
    <w:rsid w:val="003B4685"/>
    <w:rsid w:val="003C003F"/>
    <w:rsid w:val="003C0527"/>
    <w:rsid w:val="003C0881"/>
    <w:rsid w:val="003C0B32"/>
    <w:rsid w:val="003C0D3E"/>
    <w:rsid w:val="003C221A"/>
    <w:rsid w:val="003C249E"/>
    <w:rsid w:val="003C275D"/>
    <w:rsid w:val="003C2B25"/>
    <w:rsid w:val="003C464C"/>
    <w:rsid w:val="003C4891"/>
    <w:rsid w:val="003C4EA6"/>
    <w:rsid w:val="003D01BE"/>
    <w:rsid w:val="003D20D1"/>
    <w:rsid w:val="003D241F"/>
    <w:rsid w:val="003D2F27"/>
    <w:rsid w:val="003D2FFC"/>
    <w:rsid w:val="003D3475"/>
    <w:rsid w:val="003D362B"/>
    <w:rsid w:val="003D4F63"/>
    <w:rsid w:val="003D51DB"/>
    <w:rsid w:val="003D52EB"/>
    <w:rsid w:val="003E1623"/>
    <w:rsid w:val="003E2E19"/>
    <w:rsid w:val="003E31C8"/>
    <w:rsid w:val="003E32C1"/>
    <w:rsid w:val="003E3EF5"/>
    <w:rsid w:val="003E450E"/>
    <w:rsid w:val="003E4BDA"/>
    <w:rsid w:val="003E6BD1"/>
    <w:rsid w:val="003E75EA"/>
    <w:rsid w:val="003F1D31"/>
    <w:rsid w:val="003F2322"/>
    <w:rsid w:val="003F2BFF"/>
    <w:rsid w:val="003F40A4"/>
    <w:rsid w:val="003F5717"/>
    <w:rsid w:val="00400279"/>
    <w:rsid w:val="00400A73"/>
    <w:rsid w:val="00401460"/>
    <w:rsid w:val="0040151F"/>
    <w:rsid w:val="00401D4B"/>
    <w:rsid w:val="00401E44"/>
    <w:rsid w:val="00402117"/>
    <w:rsid w:val="00404522"/>
    <w:rsid w:val="00406A33"/>
    <w:rsid w:val="00406BC6"/>
    <w:rsid w:val="004075C0"/>
    <w:rsid w:val="00410DE5"/>
    <w:rsid w:val="00412F87"/>
    <w:rsid w:val="004133E9"/>
    <w:rsid w:val="00413ACF"/>
    <w:rsid w:val="004155FE"/>
    <w:rsid w:val="00415F34"/>
    <w:rsid w:val="00417527"/>
    <w:rsid w:val="00417768"/>
    <w:rsid w:val="00420AB2"/>
    <w:rsid w:val="00422580"/>
    <w:rsid w:val="0042407F"/>
    <w:rsid w:val="00427062"/>
    <w:rsid w:val="0043021C"/>
    <w:rsid w:val="00431611"/>
    <w:rsid w:val="00431E2A"/>
    <w:rsid w:val="00433E46"/>
    <w:rsid w:val="00440961"/>
    <w:rsid w:val="00440C13"/>
    <w:rsid w:val="0044118F"/>
    <w:rsid w:val="00442A2A"/>
    <w:rsid w:val="0044405C"/>
    <w:rsid w:val="00444BAE"/>
    <w:rsid w:val="0044768A"/>
    <w:rsid w:val="004521FF"/>
    <w:rsid w:val="00453D78"/>
    <w:rsid w:val="00454BB3"/>
    <w:rsid w:val="00455010"/>
    <w:rsid w:val="00457B7B"/>
    <w:rsid w:val="00457BF9"/>
    <w:rsid w:val="004605C9"/>
    <w:rsid w:val="004607B7"/>
    <w:rsid w:val="00461219"/>
    <w:rsid w:val="00462384"/>
    <w:rsid w:val="0046293C"/>
    <w:rsid w:val="0046595E"/>
    <w:rsid w:val="00467F24"/>
    <w:rsid w:val="00470457"/>
    <w:rsid w:val="004715EB"/>
    <w:rsid w:val="00472A14"/>
    <w:rsid w:val="004742DF"/>
    <w:rsid w:val="0047456A"/>
    <w:rsid w:val="0047508D"/>
    <w:rsid w:val="0047527F"/>
    <w:rsid w:val="00475857"/>
    <w:rsid w:val="00476773"/>
    <w:rsid w:val="00480495"/>
    <w:rsid w:val="00480B47"/>
    <w:rsid w:val="004814B1"/>
    <w:rsid w:val="004828F4"/>
    <w:rsid w:val="00483915"/>
    <w:rsid w:val="00485E63"/>
    <w:rsid w:val="0049023C"/>
    <w:rsid w:val="00490B7F"/>
    <w:rsid w:val="00492D84"/>
    <w:rsid w:val="0049392F"/>
    <w:rsid w:val="004939B4"/>
    <w:rsid w:val="00494987"/>
    <w:rsid w:val="00496857"/>
    <w:rsid w:val="00496CB9"/>
    <w:rsid w:val="004A0F6B"/>
    <w:rsid w:val="004A18B1"/>
    <w:rsid w:val="004A1D16"/>
    <w:rsid w:val="004A6C08"/>
    <w:rsid w:val="004B014E"/>
    <w:rsid w:val="004B0DCA"/>
    <w:rsid w:val="004B1659"/>
    <w:rsid w:val="004B166E"/>
    <w:rsid w:val="004B1DEE"/>
    <w:rsid w:val="004B40CE"/>
    <w:rsid w:val="004B45C7"/>
    <w:rsid w:val="004B6E59"/>
    <w:rsid w:val="004B70A3"/>
    <w:rsid w:val="004B7687"/>
    <w:rsid w:val="004B78AD"/>
    <w:rsid w:val="004C0435"/>
    <w:rsid w:val="004C07D1"/>
    <w:rsid w:val="004C0C28"/>
    <w:rsid w:val="004C33C1"/>
    <w:rsid w:val="004C513E"/>
    <w:rsid w:val="004C5A22"/>
    <w:rsid w:val="004C6A06"/>
    <w:rsid w:val="004D1027"/>
    <w:rsid w:val="004D15AF"/>
    <w:rsid w:val="004D1EF6"/>
    <w:rsid w:val="004D3FFA"/>
    <w:rsid w:val="004D63BC"/>
    <w:rsid w:val="004D6EA5"/>
    <w:rsid w:val="004D6FC4"/>
    <w:rsid w:val="004D752B"/>
    <w:rsid w:val="004E17D0"/>
    <w:rsid w:val="004E1D10"/>
    <w:rsid w:val="004E1FF2"/>
    <w:rsid w:val="004E34D8"/>
    <w:rsid w:val="004E440B"/>
    <w:rsid w:val="004E5C65"/>
    <w:rsid w:val="004E5EBC"/>
    <w:rsid w:val="004F1AF5"/>
    <w:rsid w:val="004F1DA8"/>
    <w:rsid w:val="004F1EA5"/>
    <w:rsid w:val="004F2A47"/>
    <w:rsid w:val="004F2A6B"/>
    <w:rsid w:val="004F4A87"/>
    <w:rsid w:val="004F4A8B"/>
    <w:rsid w:val="004F4BD3"/>
    <w:rsid w:val="004F541D"/>
    <w:rsid w:val="004F69D8"/>
    <w:rsid w:val="004F6AB1"/>
    <w:rsid w:val="00501D1B"/>
    <w:rsid w:val="005030FD"/>
    <w:rsid w:val="005033C7"/>
    <w:rsid w:val="00503D40"/>
    <w:rsid w:val="00504F0C"/>
    <w:rsid w:val="00506487"/>
    <w:rsid w:val="00510E8B"/>
    <w:rsid w:val="00511054"/>
    <w:rsid w:val="00511ABF"/>
    <w:rsid w:val="00512CFE"/>
    <w:rsid w:val="00513192"/>
    <w:rsid w:val="0051484A"/>
    <w:rsid w:val="005153C2"/>
    <w:rsid w:val="00515D04"/>
    <w:rsid w:val="0051744C"/>
    <w:rsid w:val="00517617"/>
    <w:rsid w:val="00521AC9"/>
    <w:rsid w:val="005259E2"/>
    <w:rsid w:val="00526781"/>
    <w:rsid w:val="00531EB9"/>
    <w:rsid w:val="00532F2F"/>
    <w:rsid w:val="005333F8"/>
    <w:rsid w:val="00534D29"/>
    <w:rsid w:val="00534D2C"/>
    <w:rsid w:val="005358A8"/>
    <w:rsid w:val="00536E0E"/>
    <w:rsid w:val="00536EDB"/>
    <w:rsid w:val="00536F1F"/>
    <w:rsid w:val="0054121D"/>
    <w:rsid w:val="0054143E"/>
    <w:rsid w:val="00542B99"/>
    <w:rsid w:val="005430D9"/>
    <w:rsid w:val="00544BBD"/>
    <w:rsid w:val="0054559D"/>
    <w:rsid w:val="0054595C"/>
    <w:rsid w:val="00546A78"/>
    <w:rsid w:val="00546BA4"/>
    <w:rsid w:val="0054786C"/>
    <w:rsid w:val="00551228"/>
    <w:rsid w:val="00551F85"/>
    <w:rsid w:val="00552EE9"/>
    <w:rsid w:val="00553CF0"/>
    <w:rsid w:val="00553D79"/>
    <w:rsid w:val="00553EC7"/>
    <w:rsid w:val="00554C92"/>
    <w:rsid w:val="00557421"/>
    <w:rsid w:val="005576A5"/>
    <w:rsid w:val="00557A01"/>
    <w:rsid w:val="00560AD6"/>
    <w:rsid w:val="00562A44"/>
    <w:rsid w:val="005631E1"/>
    <w:rsid w:val="005657B2"/>
    <w:rsid w:val="00565C6C"/>
    <w:rsid w:val="005665B9"/>
    <w:rsid w:val="00567301"/>
    <w:rsid w:val="00567609"/>
    <w:rsid w:val="00572579"/>
    <w:rsid w:val="00573180"/>
    <w:rsid w:val="0057595B"/>
    <w:rsid w:val="005760F4"/>
    <w:rsid w:val="00582A45"/>
    <w:rsid w:val="0058339E"/>
    <w:rsid w:val="005859BD"/>
    <w:rsid w:val="00586287"/>
    <w:rsid w:val="00586DDD"/>
    <w:rsid w:val="00587B4A"/>
    <w:rsid w:val="00587F13"/>
    <w:rsid w:val="00592ACB"/>
    <w:rsid w:val="00595712"/>
    <w:rsid w:val="00596628"/>
    <w:rsid w:val="005A02BA"/>
    <w:rsid w:val="005A1F79"/>
    <w:rsid w:val="005A5FEC"/>
    <w:rsid w:val="005A70B8"/>
    <w:rsid w:val="005B00B2"/>
    <w:rsid w:val="005B1363"/>
    <w:rsid w:val="005B13E6"/>
    <w:rsid w:val="005B4AB6"/>
    <w:rsid w:val="005B4D4F"/>
    <w:rsid w:val="005B6384"/>
    <w:rsid w:val="005B7CF9"/>
    <w:rsid w:val="005C1C4F"/>
    <w:rsid w:val="005C1DA0"/>
    <w:rsid w:val="005C2ADB"/>
    <w:rsid w:val="005C3C59"/>
    <w:rsid w:val="005C5AD1"/>
    <w:rsid w:val="005C5B7D"/>
    <w:rsid w:val="005C5F2C"/>
    <w:rsid w:val="005C67C4"/>
    <w:rsid w:val="005C6F30"/>
    <w:rsid w:val="005C735E"/>
    <w:rsid w:val="005D04E8"/>
    <w:rsid w:val="005D054A"/>
    <w:rsid w:val="005D0F0F"/>
    <w:rsid w:val="005D1D7F"/>
    <w:rsid w:val="005D2E95"/>
    <w:rsid w:val="005D442E"/>
    <w:rsid w:val="005D45C4"/>
    <w:rsid w:val="005D5236"/>
    <w:rsid w:val="005D659A"/>
    <w:rsid w:val="005D678C"/>
    <w:rsid w:val="005D68FC"/>
    <w:rsid w:val="005D69BC"/>
    <w:rsid w:val="005E02CD"/>
    <w:rsid w:val="005E0860"/>
    <w:rsid w:val="005E1124"/>
    <w:rsid w:val="005E4168"/>
    <w:rsid w:val="005E4D2C"/>
    <w:rsid w:val="005E5448"/>
    <w:rsid w:val="005E583F"/>
    <w:rsid w:val="005E60DE"/>
    <w:rsid w:val="005F1B04"/>
    <w:rsid w:val="005F28F8"/>
    <w:rsid w:val="005F575D"/>
    <w:rsid w:val="005F5B43"/>
    <w:rsid w:val="005F6C40"/>
    <w:rsid w:val="005F6C7F"/>
    <w:rsid w:val="005F7F10"/>
    <w:rsid w:val="006033A3"/>
    <w:rsid w:val="006053FD"/>
    <w:rsid w:val="00606CA8"/>
    <w:rsid w:val="00610433"/>
    <w:rsid w:val="0061152B"/>
    <w:rsid w:val="006133B1"/>
    <w:rsid w:val="00614E48"/>
    <w:rsid w:val="00614EF8"/>
    <w:rsid w:val="00616E62"/>
    <w:rsid w:val="00620712"/>
    <w:rsid w:val="006211CE"/>
    <w:rsid w:val="00623E27"/>
    <w:rsid w:val="00624201"/>
    <w:rsid w:val="0062604F"/>
    <w:rsid w:val="0063137C"/>
    <w:rsid w:val="00633F64"/>
    <w:rsid w:val="0063450B"/>
    <w:rsid w:val="00634824"/>
    <w:rsid w:val="00635593"/>
    <w:rsid w:val="00636C61"/>
    <w:rsid w:val="00640BB3"/>
    <w:rsid w:val="00640BD1"/>
    <w:rsid w:val="00641E0F"/>
    <w:rsid w:val="006421AA"/>
    <w:rsid w:val="00642635"/>
    <w:rsid w:val="00643514"/>
    <w:rsid w:val="006452EA"/>
    <w:rsid w:val="00646237"/>
    <w:rsid w:val="006473BC"/>
    <w:rsid w:val="00651AC1"/>
    <w:rsid w:val="00651EE4"/>
    <w:rsid w:val="00654167"/>
    <w:rsid w:val="006555B0"/>
    <w:rsid w:val="00655B02"/>
    <w:rsid w:val="0065646A"/>
    <w:rsid w:val="00657BDE"/>
    <w:rsid w:val="006659BF"/>
    <w:rsid w:val="00666EE6"/>
    <w:rsid w:val="00670663"/>
    <w:rsid w:val="00672074"/>
    <w:rsid w:val="0067324A"/>
    <w:rsid w:val="006738FC"/>
    <w:rsid w:val="006746B0"/>
    <w:rsid w:val="00675A6A"/>
    <w:rsid w:val="00677296"/>
    <w:rsid w:val="00677AA1"/>
    <w:rsid w:val="00680B4A"/>
    <w:rsid w:val="00681A70"/>
    <w:rsid w:val="00683144"/>
    <w:rsid w:val="0068393C"/>
    <w:rsid w:val="006848EE"/>
    <w:rsid w:val="00686538"/>
    <w:rsid w:val="00686692"/>
    <w:rsid w:val="006868D3"/>
    <w:rsid w:val="006875FD"/>
    <w:rsid w:val="006877AB"/>
    <w:rsid w:val="006915A2"/>
    <w:rsid w:val="0069352B"/>
    <w:rsid w:val="00694F23"/>
    <w:rsid w:val="00695908"/>
    <w:rsid w:val="00695F78"/>
    <w:rsid w:val="00696B5C"/>
    <w:rsid w:val="00696E99"/>
    <w:rsid w:val="00697017"/>
    <w:rsid w:val="00697F07"/>
    <w:rsid w:val="006A0D0A"/>
    <w:rsid w:val="006A1706"/>
    <w:rsid w:val="006A2DF9"/>
    <w:rsid w:val="006A3B94"/>
    <w:rsid w:val="006A3F7F"/>
    <w:rsid w:val="006A7477"/>
    <w:rsid w:val="006A7B3B"/>
    <w:rsid w:val="006B1E70"/>
    <w:rsid w:val="006B2049"/>
    <w:rsid w:val="006B2318"/>
    <w:rsid w:val="006B24C5"/>
    <w:rsid w:val="006B2AAF"/>
    <w:rsid w:val="006B3486"/>
    <w:rsid w:val="006B38A7"/>
    <w:rsid w:val="006B4917"/>
    <w:rsid w:val="006B6321"/>
    <w:rsid w:val="006B6BD7"/>
    <w:rsid w:val="006B72D2"/>
    <w:rsid w:val="006C0CD9"/>
    <w:rsid w:val="006C2B24"/>
    <w:rsid w:val="006C75AB"/>
    <w:rsid w:val="006D0618"/>
    <w:rsid w:val="006D111F"/>
    <w:rsid w:val="006D3666"/>
    <w:rsid w:val="006D56E2"/>
    <w:rsid w:val="006D7D38"/>
    <w:rsid w:val="006E1E52"/>
    <w:rsid w:val="006E2883"/>
    <w:rsid w:val="006E2CFA"/>
    <w:rsid w:val="006E4486"/>
    <w:rsid w:val="006E4A58"/>
    <w:rsid w:val="006E5754"/>
    <w:rsid w:val="006F09D2"/>
    <w:rsid w:val="006F0A55"/>
    <w:rsid w:val="006F208E"/>
    <w:rsid w:val="006F260E"/>
    <w:rsid w:val="006F3D9C"/>
    <w:rsid w:val="006F7A43"/>
    <w:rsid w:val="00701D2A"/>
    <w:rsid w:val="00701F94"/>
    <w:rsid w:val="00702E89"/>
    <w:rsid w:val="00703EA1"/>
    <w:rsid w:val="00705E6E"/>
    <w:rsid w:val="0070676F"/>
    <w:rsid w:val="00706B52"/>
    <w:rsid w:val="007074D1"/>
    <w:rsid w:val="00707603"/>
    <w:rsid w:val="00710058"/>
    <w:rsid w:val="007114BD"/>
    <w:rsid w:val="00711B1A"/>
    <w:rsid w:val="00712D7F"/>
    <w:rsid w:val="00713556"/>
    <w:rsid w:val="00715206"/>
    <w:rsid w:val="00717AA0"/>
    <w:rsid w:val="00720AAB"/>
    <w:rsid w:val="0072149B"/>
    <w:rsid w:val="00721FB1"/>
    <w:rsid w:val="0072428A"/>
    <w:rsid w:val="00726343"/>
    <w:rsid w:val="00727472"/>
    <w:rsid w:val="0072762F"/>
    <w:rsid w:val="0073046B"/>
    <w:rsid w:val="007318FD"/>
    <w:rsid w:val="007320F6"/>
    <w:rsid w:val="00735180"/>
    <w:rsid w:val="00737188"/>
    <w:rsid w:val="00737335"/>
    <w:rsid w:val="00745386"/>
    <w:rsid w:val="007460BC"/>
    <w:rsid w:val="00746D59"/>
    <w:rsid w:val="007478BE"/>
    <w:rsid w:val="00747AEA"/>
    <w:rsid w:val="00752608"/>
    <w:rsid w:val="00752A53"/>
    <w:rsid w:val="00754659"/>
    <w:rsid w:val="007549C6"/>
    <w:rsid w:val="00755525"/>
    <w:rsid w:val="00756807"/>
    <w:rsid w:val="00756859"/>
    <w:rsid w:val="007575AE"/>
    <w:rsid w:val="0076069B"/>
    <w:rsid w:val="00761412"/>
    <w:rsid w:val="0076287D"/>
    <w:rsid w:val="00762C73"/>
    <w:rsid w:val="00765C29"/>
    <w:rsid w:val="00767FE5"/>
    <w:rsid w:val="0077311B"/>
    <w:rsid w:val="00774122"/>
    <w:rsid w:val="0077479B"/>
    <w:rsid w:val="00775248"/>
    <w:rsid w:val="007764C5"/>
    <w:rsid w:val="00781BAE"/>
    <w:rsid w:val="00782B75"/>
    <w:rsid w:val="007839F3"/>
    <w:rsid w:val="00783B6D"/>
    <w:rsid w:val="0078634F"/>
    <w:rsid w:val="007879A5"/>
    <w:rsid w:val="00792462"/>
    <w:rsid w:val="00792834"/>
    <w:rsid w:val="0079307D"/>
    <w:rsid w:val="00793213"/>
    <w:rsid w:val="00793AD8"/>
    <w:rsid w:val="00795C91"/>
    <w:rsid w:val="007A0121"/>
    <w:rsid w:val="007A0159"/>
    <w:rsid w:val="007A0BE1"/>
    <w:rsid w:val="007A2C1F"/>
    <w:rsid w:val="007A31AD"/>
    <w:rsid w:val="007A5A8F"/>
    <w:rsid w:val="007A7E11"/>
    <w:rsid w:val="007B040A"/>
    <w:rsid w:val="007B050F"/>
    <w:rsid w:val="007B0DDD"/>
    <w:rsid w:val="007B28E9"/>
    <w:rsid w:val="007B43E8"/>
    <w:rsid w:val="007B4603"/>
    <w:rsid w:val="007B50BB"/>
    <w:rsid w:val="007B52B7"/>
    <w:rsid w:val="007B5BE9"/>
    <w:rsid w:val="007B7305"/>
    <w:rsid w:val="007C19E6"/>
    <w:rsid w:val="007C4802"/>
    <w:rsid w:val="007C6148"/>
    <w:rsid w:val="007C6F36"/>
    <w:rsid w:val="007C7100"/>
    <w:rsid w:val="007C7118"/>
    <w:rsid w:val="007C79A9"/>
    <w:rsid w:val="007D011D"/>
    <w:rsid w:val="007D039F"/>
    <w:rsid w:val="007D14E7"/>
    <w:rsid w:val="007D1893"/>
    <w:rsid w:val="007D1E74"/>
    <w:rsid w:val="007D3DDC"/>
    <w:rsid w:val="007D5D16"/>
    <w:rsid w:val="007D6FE0"/>
    <w:rsid w:val="007D7F24"/>
    <w:rsid w:val="007E2612"/>
    <w:rsid w:val="007E41D3"/>
    <w:rsid w:val="007E44EF"/>
    <w:rsid w:val="007E55AE"/>
    <w:rsid w:val="007E59DB"/>
    <w:rsid w:val="007E62D8"/>
    <w:rsid w:val="007F0381"/>
    <w:rsid w:val="007F04DC"/>
    <w:rsid w:val="007F0E0B"/>
    <w:rsid w:val="007F1BD2"/>
    <w:rsid w:val="007F351C"/>
    <w:rsid w:val="007F5DF6"/>
    <w:rsid w:val="007F5F1E"/>
    <w:rsid w:val="007F611D"/>
    <w:rsid w:val="007F6847"/>
    <w:rsid w:val="007F7349"/>
    <w:rsid w:val="008017B9"/>
    <w:rsid w:val="00801AAB"/>
    <w:rsid w:val="00803514"/>
    <w:rsid w:val="00811C3A"/>
    <w:rsid w:val="0081215B"/>
    <w:rsid w:val="008126F5"/>
    <w:rsid w:val="00814F67"/>
    <w:rsid w:val="00816771"/>
    <w:rsid w:val="00816D76"/>
    <w:rsid w:val="0081768D"/>
    <w:rsid w:val="0082093A"/>
    <w:rsid w:val="00823F93"/>
    <w:rsid w:val="00824342"/>
    <w:rsid w:val="0082471C"/>
    <w:rsid w:val="008273AD"/>
    <w:rsid w:val="0083048B"/>
    <w:rsid w:val="00831ABB"/>
    <w:rsid w:val="00833C8D"/>
    <w:rsid w:val="00835AB9"/>
    <w:rsid w:val="00836271"/>
    <w:rsid w:val="00837584"/>
    <w:rsid w:val="00837A49"/>
    <w:rsid w:val="00837BFF"/>
    <w:rsid w:val="00844128"/>
    <w:rsid w:val="00845240"/>
    <w:rsid w:val="00845FE1"/>
    <w:rsid w:val="008468AB"/>
    <w:rsid w:val="00853E22"/>
    <w:rsid w:val="00854419"/>
    <w:rsid w:val="00856450"/>
    <w:rsid w:val="00856EA9"/>
    <w:rsid w:val="008573FD"/>
    <w:rsid w:val="00857FDC"/>
    <w:rsid w:val="0086017C"/>
    <w:rsid w:val="008609B0"/>
    <w:rsid w:val="008632A6"/>
    <w:rsid w:val="0086396C"/>
    <w:rsid w:val="00863C14"/>
    <w:rsid w:val="00864462"/>
    <w:rsid w:val="00864950"/>
    <w:rsid w:val="00865F44"/>
    <w:rsid w:val="00871138"/>
    <w:rsid w:val="00871AA8"/>
    <w:rsid w:val="008724AF"/>
    <w:rsid w:val="00874380"/>
    <w:rsid w:val="0087599D"/>
    <w:rsid w:val="00875CCF"/>
    <w:rsid w:val="00875D02"/>
    <w:rsid w:val="0087621A"/>
    <w:rsid w:val="00876226"/>
    <w:rsid w:val="00882B48"/>
    <w:rsid w:val="00883120"/>
    <w:rsid w:val="00884F72"/>
    <w:rsid w:val="008851D2"/>
    <w:rsid w:val="00885988"/>
    <w:rsid w:val="00885D42"/>
    <w:rsid w:val="00885E8F"/>
    <w:rsid w:val="00885EF9"/>
    <w:rsid w:val="008876F7"/>
    <w:rsid w:val="00887AD1"/>
    <w:rsid w:val="008902F9"/>
    <w:rsid w:val="00892D16"/>
    <w:rsid w:val="00893474"/>
    <w:rsid w:val="00894FBD"/>
    <w:rsid w:val="008951E1"/>
    <w:rsid w:val="0089662F"/>
    <w:rsid w:val="00896D6F"/>
    <w:rsid w:val="00897029"/>
    <w:rsid w:val="00897705"/>
    <w:rsid w:val="008A4D83"/>
    <w:rsid w:val="008A575B"/>
    <w:rsid w:val="008B23FD"/>
    <w:rsid w:val="008B3B0C"/>
    <w:rsid w:val="008B46FA"/>
    <w:rsid w:val="008B5649"/>
    <w:rsid w:val="008B705A"/>
    <w:rsid w:val="008C2FC0"/>
    <w:rsid w:val="008C6424"/>
    <w:rsid w:val="008C6ADB"/>
    <w:rsid w:val="008C7AB9"/>
    <w:rsid w:val="008C7D86"/>
    <w:rsid w:val="008D1D94"/>
    <w:rsid w:val="008D28B0"/>
    <w:rsid w:val="008D28FB"/>
    <w:rsid w:val="008D2923"/>
    <w:rsid w:val="008D3F0A"/>
    <w:rsid w:val="008D5299"/>
    <w:rsid w:val="008D6C1D"/>
    <w:rsid w:val="008D77C8"/>
    <w:rsid w:val="008E012E"/>
    <w:rsid w:val="008E2883"/>
    <w:rsid w:val="008E2FAA"/>
    <w:rsid w:val="008E3E98"/>
    <w:rsid w:val="008E4F7B"/>
    <w:rsid w:val="008E6890"/>
    <w:rsid w:val="008E77D1"/>
    <w:rsid w:val="008F0B9F"/>
    <w:rsid w:val="008F22D5"/>
    <w:rsid w:val="008F2E76"/>
    <w:rsid w:val="008F3498"/>
    <w:rsid w:val="008F4D7E"/>
    <w:rsid w:val="008F6796"/>
    <w:rsid w:val="009010E4"/>
    <w:rsid w:val="009013D1"/>
    <w:rsid w:val="009021C1"/>
    <w:rsid w:val="0090488D"/>
    <w:rsid w:val="00905583"/>
    <w:rsid w:val="00907123"/>
    <w:rsid w:val="00910D99"/>
    <w:rsid w:val="00911C76"/>
    <w:rsid w:val="009125B8"/>
    <w:rsid w:val="00914CC0"/>
    <w:rsid w:val="00916727"/>
    <w:rsid w:val="009179C7"/>
    <w:rsid w:val="009179CB"/>
    <w:rsid w:val="0092087B"/>
    <w:rsid w:val="00922D80"/>
    <w:rsid w:val="00923EB5"/>
    <w:rsid w:val="0092654E"/>
    <w:rsid w:val="00926C1D"/>
    <w:rsid w:val="00930C9B"/>
    <w:rsid w:val="00931ADF"/>
    <w:rsid w:val="009333CC"/>
    <w:rsid w:val="00934FC9"/>
    <w:rsid w:val="00935FDA"/>
    <w:rsid w:val="00937A68"/>
    <w:rsid w:val="00940DCB"/>
    <w:rsid w:val="009420C0"/>
    <w:rsid w:val="00942180"/>
    <w:rsid w:val="00943435"/>
    <w:rsid w:val="00945317"/>
    <w:rsid w:val="00946704"/>
    <w:rsid w:val="00947A45"/>
    <w:rsid w:val="009524B1"/>
    <w:rsid w:val="00953590"/>
    <w:rsid w:val="009560FE"/>
    <w:rsid w:val="00957394"/>
    <w:rsid w:val="009615A0"/>
    <w:rsid w:val="00963536"/>
    <w:rsid w:val="00966CF6"/>
    <w:rsid w:val="00971632"/>
    <w:rsid w:val="00973D88"/>
    <w:rsid w:val="0097586E"/>
    <w:rsid w:val="00975936"/>
    <w:rsid w:val="00975EFB"/>
    <w:rsid w:val="00981B87"/>
    <w:rsid w:val="00982654"/>
    <w:rsid w:val="009830D1"/>
    <w:rsid w:val="009836DF"/>
    <w:rsid w:val="009854E3"/>
    <w:rsid w:val="00990C7C"/>
    <w:rsid w:val="009919A8"/>
    <w:rsid w:val="00992581"/>
    <w:rsid w:val="00994A82"/>
    <w:rsid w:val="0099740C"/>
    <w:rsid w:val="009A0ABF"/>
    <w:rsid w:val="009A1514"/>
    <w:rsid w:val="009A3783"/>
    <w:rsid w:val="009A3C57"/>
    <w:rsid w:val="009A7FDA"/>
    <w:rsid w:val="009B1884"/>
    <w:rsid w:val="009B36DC"/>
    <w:rsid w:val="009B5336"/>
    <w:rsid w:val="009B594C"/>
    <w:rsid w:val="009B62DA"/>
    <w:rsid w:val="009B769A"/>
    <w:rsid w:val="009B7C5A"/>
    <w:rsid w:val="009C1FD5"/>
    <w:rsid w:val="009C3A32"/>
    <w:rsid w:val="009C767F"/>
    <w:rsid w:val="009C76FF"/>
    <w:rsid w:val="009C7BA5"/>
    <w:rsid w:val="009D36FA"/>
    <w:rsid w:val="009E0897"/>
    <w:rsid w:val="009E1BA9"/>
    <w:rsid w:val="009E42BB"/>
    <w:rsid w:val="009E4EF0"/>
    <w:rsid w:val="009E558A"/>
    <w:rsid w:val="009E76D2"/>
    <w:rsid w:val="009F0AE3"/>
    <w:rsid w:val="009F1423"/>
    <w:rsid w:val="009F1482"/>
    <w:rsid w:val="009F248B"/>
    <w:rsid w:val="009F269F"/>
    <w:rsid w:val="009F6B57"/>
    <w:rsid w:val="00A03755"/>
    <w:rsid w:val="00A054AD"/>
    <w:rsid w:val="00A05B6D"/>
    <w:rsid w:val="00A07329"/>
    <w:rsid w:val="00A10E81"/>
    <w:rsid w:val="00A10FDB"/>
    <w:rsid w:val="00A11D44"/>
    <w:rsid w:val="00A12ADB"/>
    <w:rsid w:val="00A16CA5"/>
    <w:rsid w:val="00A17E08"/>
    <w:rsid w:val="00A17EB3"/>
    <w:rsid w:val="00A20FA9"/>
    <w:rsid w:val="00A25040"/>
    <w:rsid w:val="00A258A7"/>
    <w:rsid w:val="00A27C5B"/>
    <w:rsid w:val="00A35561"/>
    <w:rsid w:val="00A36969"/>
    <w:rsid w:val="00A409B2"/>
    <w:rsid w:val="00A41179"/>
    <w:rsid w:val="00A45ED6"/>
    <w:rsid w:val="00A47AD5"/>
    <w:rsid w:val="00A500C0"/>
    <w:rsid w:val="00A50676"/>
    <w:rsid w:val="00A51659"/>
    <w:rsid w:val="00A51FD9"/>
    <w:rsid w:val="00A52E51"/>
    <w:rsid w:val="00A54684"/>
    <w:rsid w:val="00A56CE7"/>
    <w:rsid w:val="00A579B0"/>
    <w:rsid w:val="00A65165"/>
    <w:rsid w:val="00A672B8"/>
    <w:rsid w:val="00A70A32"/>
    <w:rsid w:val="00A70D76"/>
    <w:rsid w:val="00A72783"/>
    <w:rsid w:val="00A72BAD"/>
    <w:rsid w:val="00A733E6"/>
    <w:rsid w:val="00A7384F"/>
    <w:rsid w:val="00A77FE1"/>
    <w:rsid w:val="00A818DC"/>
    <w:rsid w:val="00A84030"/>
    <w:rsid w:val="00A85897"/>
    <w:rsid w:val="00A8653D"/>
    <w:rsid w:val="00A86705"/>
    <w:rsid w:val="00A8752E"/>
    <w:rsid w:val="00A91BB3"/>
    <w:rsid w:val="00A93B6F"/>
    <w:rsid w:val="00A95641"/>
    <w:rsid w:val="00A9615D"/>
    <w:rsid w:val="00A96C26"/>
    <w:rsid w:val="00A975D3"/>
    <w:rsid w:val="00A97C26"/>
    <w:rsid w:val="00AA04E4"/>
    <w:rsid w:val="00AA1AA4"/>
    <w:rsid w:val="00AA1F12"/>
    <w:rsid w:val="00AA4C67"/>
    <w:rsid w:val="00AA73B2"/>
    <w:rsid w:val="00AB1996"/>
    <w:rsid w:val="00AB362C"/>
    <w:rsid w:val="00AB4558"/>
    <w:rsid w:val="00AB5557"/>
    <w:rsid w:val="00AB69EA"/>
    <w:rsid w:val="00AB7217"/>
    <w:rsid w:val="00AB75EB"/>
    <w:rsid w:val="00AC128C"/>
    <w:rsid w:val="00AC12AB"/>
    <w:rsid w:val="00AC2288"/>
    <w:rsid w:val="00AC4CDE"/>
    <w:rsid w:val="00AC7781"/>
    <w:rsid w:val="00AC7984"/>
    <w:rsid w:val="00AC7D4A"/>
    <w:rsid w:val="00AD42EE"/>
    <w:rsid w:val="00AD51B4"/>
    <w:rsid w:val="00AD58B8"/>
    <w:rsid w:val="00AD5B0A"/>
    <w:rsid w:val="00AD5C1B"/>
    <w:rsid w:val="00AD5E8B"/>
    <w:rsid w:val="00AD72F2"/>
    <w:rsid w:val="00AE08E9"/>
    <w:rsid w:val="00AE181A"/>
    <w:rsid w:val="00AE5B14"/>
    <w:rsid w:val="00AE63EB"/>
    <w:rsid w:val="00AE6998"/>
    <w:rsid w:val="00AE7BCA"/>
    <w:rsid w:val="00AF42FE"/>
    <w:rsid w:val="00AF4503"/>
    <w:rsid w:val="00AF5574"/>
    <w:rsid w:val="00AF5F17"/>
    <w:rsid w:val="00AF7575"/>
    <w:rsid w:val="00B00EAB"/>
    <w:rsid w:val="00B021B2"/>
    <w:rsid w:val="00B02241"/>
    <w:rsid w:val="00B02904"/>
    <w:rsid w:val="00B02A3C"/>
    <w:rsid w:val="00B02AF9"/>
    <w:rsid w:val="00B041AF"/>
    <w:rsid w:val="00B04385"/>
    <w:rsid w:val="00B04AD3"/>
    <w:rsid w:val="00B06EB3"/>
    <w:rsid w:val="00B10227"/>
    <w:rsid w:val="00B13A46"/>
    <w:rsid w:val="00B1625E"/>
    <w:rsid w:val="00B17621"/>
    <w:rsid w:val="00B229A6"/>
    <w:rsid w:val="00B246FD"/>
    <w:rsid w:val="00B24769"/>
    <w:rsid w:val="00B249C0"/>
    <w:rsid w:val="00B24BEB"/>
    <w:rsid w:val="00B25457"/>
    <w:rsid w:val="00B25E7D"/>
    <w:rsid w:val="00B279DF"/>
    <w:rsid w:val="00B27BB5"/>
    <w:rsid w:val="00B32F15"/>
    <w:rsid w:val="00B33486"/>
    <w:rsid w:val="00B35CC7"/>
    <w:rsid w:val="00B35E19"/>
    <w:rsid w:val="00B402FC"/>
    <w:rsid w:val="00B4175F"/>
    <w:rsid w:val="00B45D1C"/>
    <w:rsid w:val="00B468AC"/>
    <w:rsid w:val="00B51A00"/>
    <w:rsid w:val="00B51CF5"/>
    <w:rsid w:val="00B52202"/>
    <w:rsid w:val="00B52B81"/>
    <w:rsid w:val="00B54F21"/>
    <w:rsid w:val="00B55053"/>
    <w:rsid w:val="00B60814"/>
    <w:rsid w:val="00B64C8B"/>
    <w:rsid w:val="00B65209"/>
    <w:rsid w:val="00B6623E"/>
    <w:rsid w:val="00B7024C"/>
    <w:rsid w:val="00B72D29"/>
    <w:rsid w:val="00B744B8"/>
    <w:rsid w:val="00B75596"/>
    <w:rsid w:val="00B76C20"/>
    <w:rsid w:val="00B76F04"/>
    <w:rsid w:val="00B8061F"/>
    <w:rsid w:val="00B815AD"/>
    <w:rsid w:val="00B826CA"/>
    <w:rsid w:val="00B832C6"/>
    <w:rsid w:val="00B835A1"/>
    <w:rsid w:val="00B83DF0"/>
    <w:rsid w:val="00B84E04"/>
    <w:rsid w:val="00B9073E"/>
    <w:rsid w:val="00B90837"/>
    <w:rsid w:val="00B92FD4"/>
    <w:rsid w:val="00B94F1E"/>
    <w:rsid w:val="00B94F2E"/>
    <w:rsid w:val="00B95C29"/>
    <w:rsid w:val="00BA1530"/>
    <w:rsid w:val="00BA2220"/>
    <w:rsid w:val="00BA234C"/>
    <w:rsid w:val="00BA3220"/>
    <w:rsid w:val="00BA3E8E"/>
    <w:rsid w:val="00BA4563"/>
    <w:rsid w:val="00BA63E8"/>
    <w:rsid w:val="00BA6D25"/>
    <w:rsid w:val="00BA7992"/>
    <w:rsid w:val="00BB0EDA"/>
    <w:rsid w:val="00BB3027"/>
    <w:rsid w:val="00BB3CE3"/>
    <w:rsid w:val="00BB43DC"/>
    <w:rsid w:val="00BB7FFA"/>
    <w:rsid w:val="00BC04B8"/>
    <w:rsid w:val="00BC2FD6"/>
    <w:rsid w:val="00BC337E"/>
    <w:rsid w:val="00BC3ECE"/>
    <w:rsid w:val="00BC42A0"/>
    <w:rsid w:val="00BC4C5B"/>
    <w:rsid w:val="00BC53B5"/>
    <w:rsid w:val="00BC662A"/>
    <w:rsid w:val="00BC75B5"/>
    <w:rsid w:val="00BD30B5"/>
    <w:rsid w:val="00BD3B29"/>
    <w:rsid w:val="00BD4A1D"/>
    <w:rsid w:val="00BD672C"/>
    <w:rsid w:val="00BD6D4C"/>
    <w:rsid w:val="00BE0041"/>
    <w:rsid w:val="00BE09DC"/>
    <w:rsid w:val="00BE327D"/>
    <w:rsid w:val="00BE4E02"/>
    <w:rsid w:val="00BE58EF"/>
    <w:rsid w:val="00BE75B8"/>
    <w:rsid w:val="00BF0332"/>
    <w:rsid w:val="00BF09D5"/>
    <w:rsid w:val="00BF09D8"/>
    <w:rsid w:val="00BF46DB"/>
    <w:rsid w:val="00BF501A"/>
    <w:rsid w:val="00BF6586"/>
    <w:rsid w:val="00BF7D06"/>
    <w:rsid w:val="00C03DFB"/>
    <w:rsid w:val="00C04468"/>
    <w:rsid w:val="00C04756"/>
    <w:rsid w:val="00C0511B"/>
    <w:rsid w:val="00C051F6"/>
    <w:rsid w:val="00C0696D"/>
    <w:rsid w:val="00C07B30"/>
    <w:rsid w:val="00C106B4"/>
    <w:rsid w:val="00C10DF0"/>
    <w:rsid w:val="00C1113D"/>
    <w:rsid w:val="00C114E3"/>
    <w:rsid w:val="00C1550F"/>
    <w:rsid w:val="00C1595C"/>
    <w:rsid w:val="00C169D4"/>
    <w:rsid w:val="00C17D99"/>
    <w:rsid w:val="00C207EE"/>
    <w:rsid w:val="00C20DAF"/>
    <w:rsid w:val="00C21A0A"/>
    <w:rsid w:val="00C23494"/>
    <w:rsid w:val="00C23BAE"/>
    <w:rsid w:val="00C23C06"/>
    <w:rsid w:val="00C24A1B"/>
    <w:rsid w:val="00C25036"/>
    <w:rsid w:val="00C25659"/>
    <w:rsid w:val="00C25FEA"/>
    <w:rsid w:val="00C30347"/>
    <w:rsid w:val="00C349D4"/>
    <w:rsid w:val="00C3508A"/>
    <w:rsid w:val="00C36152"/>
    <w:rsid w:val="00C372E0"/>
    <w:rsid w:val="00C37FB9"/>
    <w:rsid w:val="00C415D4"/>
    <w:rsid w:val="00C4161F"/>
    <w:rsid w:val="00C45901"/>
    <w:rsid w:val="00C46001"/>
    <w:rsid w:val="00C462B8"/>
    <w:rsid w:val="00C46CDB"/>
    <w:rsid w:val="00C473B9"/>
    <w:rsid w:val="00C4793E"/>
    <w:rsid w:val="00C47DF0"/>
    <w:rsid w:val="00C51C1B"/>
    <w:rsid w:val="00C521DD"/>
    <w:rsid w:val="00C537CF"/>
    <w:rsid w:val="00C5415E"/>
    <w:rsid w:val="00C549A9"/>
    <w:rsid w:val="00C608FE"/>
    <w:rsid w:val="00C60FA6"/>
    <w:rsid w:val="00C6282B"/>
    <w:rsid w:val="00C644C8"/>
    <w:rsid w:val="00C6576D"/>
    <w:rsid w:val="00C65F7E"/>
    <w:rsid w:val="00C66B1B"/>
    <w:rsid w:val="00C70952"/>
    <w:rsid w:val="00C72936"/>
    <w:rsid w:val="00C72B32"/>
    <w:rsid w:val="00C72B89"/>
    <w:rsid w:val="00C756E4"/>
    <w:rsid w:val="00C81A2D"/>
    <w:rsid w:val="00C826A2"/>
    <w:rsid w:val="00C82759"/>
    <w:rsid w:val="00C841DC"/>
    <w:rsid w:val="00C932A8"/>
    <w:rsid w:val="00C940D1"/>
    <w:rsid w:val="00C953A6"/>
    <w:rsid w:val="00C953C7"/>
    <w:rsid w:val="00C95BEB"/>
    <w:rsid w:val="00C96928"/>
    <w:rsid w:val="00CA04C0"/>
    <w:rsid w:val="00CA1FC3"/>
    <w:rsid w:val="00CA2CD8"/>
    <w:rsid w:val="00CA35FA"/>
    <w:rsid w:val="00CA5105"/>
    <w:rsid w:val="00CA6D7E"/>
    <w:rsid w:val="00CA7A5E"/>
    <w:rsid w:val="00CB15B8"/>
    <w:rsid w:val="00CB1BB1"/>
    <w:rsid w:val="00CB26D2"/>
    <w:rsid w:val="00CB3A37"/>
    <w:rsid w:val="00CB68D2"/>
    <w:rsid w:val="00CB6D9F"/>
    <w:rsid w:val="00CC0493"/>
    <w:rsid w:val="00CC2A74"/>
    <w:rsid w:val="00CC3268"/>
    <w:rsid w:val="00CC48D6"/>
    <w:rsid w:val="00CC53CD"/>
    <w:rsid w:val="00CC570C"/>
    <w:rsid w:val="00CC6771"/>
    <w:rsid w:val="00CC7557"/>
    <w:rsid w:val="00CC7775"/>
    <w:rsid w:val="00CD191F"/>
    <w:rsid w:val="00CD3C08"/>
    <w:rsid w:val="00CD4A85"/>
    <w:rsid w:val="00CD4E25"/>
    <w:rsid w:val="00CD6155"/>
    <w:rsid w:val="00CD7629"/>
    <w:rsid w:val="00CE0051"/>
    <w:rsid w:val="00CE2872"/>
    <w:rsid w:val="00CE3F3B"/>
    <w:rsid w:val="00CE4638"/>
    <w:rsid w:val="00CE6970"/>
    <w:rsid w:val="00CE77D9"/>
    <w:rsid w:val="00CE7D43"/>
    <w:rsid w:val="00CF0C17"/>
    <w:rsid w:val="00CF1376"/>
    <w:rsid w:val="00CF1DD4"/>
    <w:rsid w:val="00CF23F1"/>
    <w:rsid w:val="00CF30E7"/>
    <w:rsid w:val="00CF36F2"/>
    <w:rsid w:val="00CF5EA2"/>
    <w:rsid w:val="00CF72F8"/>
    <w:rsid w:val="00CF7728"/>
    <w:rsid w:val="00CF790C"/>
    <w:rsid w:val="00CF7992"/>
    <w:rsid w:val="00D00077"/>
    <w:rsid w:val="00D00581"/>
    <w:rsid w:val="00D00913"/>
    <w:rsid w:val="00D01C37"/>
    <w:rsid w:val="00D066EB"/>
    <w:rsid w:val="00D07026"/>
    <w:rsid w:val="00D105DB"/>
    <w:rsid w:val="00D1243A"/>
    <w:rsid w:val="00D12896"/>
    <w:rsid w:val="00D13CC2"/>
    <w:rsid w:val="00D14589"/>
    <w:rsid w:val="00D16618"/>
    <w:rsid w:val="00D17773"/>
    <w:rsid w:val="00D1792D"/>
    <w:rsid w:val="00D20A47"/>
    <w:rsid w:val="00D246E8"/>
    <w:rsid w:val="00D248C2"/>
    <w:rsid w:val="00D26C01"/>
    <w:rsid w:val="00D307A7"/>
    <w:rsid w:val="00D31BEE"/>
    <w:rsid w:val="00D32D33"/>
    <w:rsid w:val="00D338F7"/>
    <w:rsid w:val="00D33C88"/>
    <w:rsid w:val="00D36AD6"/>
    <w:rsid w:val="00D402DE"/>
    <w:rsid w:val="00D40B2A"/>
    <w:rsid w:val="00D420E1"/>
    <w:rsid w:val="00D4226B"/>
    <w:rsid w:val="00D42600"/>
    <w:rsid w:val="00D42EBD"/>
    <w:rsid w:val="00D42F03"/>
    <w:rsid w:val="00D42FEE"/>
    <w:rsid w:val="00D43211"/>
    <w:rsid w:val="00D4415F"/>
    <w:rsid w:val="00D4433A"/>
    <w:rsid w:val="00D44866"/>
    <w:rsid w:val="00D44DA0"/>
    <w:rsid w:val="00D4576E"/>
    <w:rsid w:val="00D460B1"/>
    <w:rsid w:val="00D50C38"/>
    <w:rsid w:val="00D51A76"/>
    <w:rsid w:val="00D521BB"/>
    <w:rsid w:val="00D527C3"/>
    <w:rsid w:val="00D52B4A"/>
    <w:rsid w:val="00D53112"/>
    <w:rsid w:val="00D537DE"/>
    <w:rsid w:val="00D537F1"/>
    <w:rsid w:val="00D552FA"/>
    <w:rsid w:val="00D561D1"/>
    <w:rsid w:val="00D614EB"/>
    <w:rsid w:val="00D620F8"/>
    <w:rsid w:val="00D62272"/>
    <w:rsid w:val="00D6562D"/>
    <w:rsid w:val="00D65C0B"/>
    <w:rsid w:val="00D67455"/>
    <w:rsid w:val="00D70C9E"/>
    <w:rsid w:val="00D72295"/>
    <w:rsid w:val="00D731E5"/>
    <w:rsid w:val="00D734FE"/>
    <w:rsid w:val="00D738EB"/>
    <w:rsid w:val="00D7679D"/>
    <w:rsid w:val="00D8232A"/>
    <w:rsid w:val="00D83048"/>
    <w:rsid w:val="00D84190"/>
    <w:rsid w:val="00D8546F"/>
    <w:rsid w:val="00D87746"/>
    <w:rsid w:val="00D878D3"/>
    <w:rsid w:val="00D90E38"/>
    <w:rsid w:val="00D911FC"/>
    <w:rsid w:val="00D91328"/>
    <w:rsid w:val="00D92DE3"/>
    <w:rsid w:val="00D932D6"/>
    <w:rsid w:val="00D9569C"/>
    <w:rsid w:val="00D97EC6"/>
    <w:rsid w:val="00DA27F8"/>
    <w:rsid w:val="00DA3B82"/>
    <w:rsid w:val="00DA5465"/>
    <w:rsid w:val="00DA6876"/>
    <w:rsid w:val="00DA6B1F"/>
    <w:rsid w:val="00DA78FB"/>
    <w:rsid w:val="00DB0C2F"/>
    <w:rsid w:val="00DB169B"/>
    <w:rsid w:val="00DB26EC"/>
    <w:rsid w:val="00DB2F99"/>
    <w:rsid w:val="00DB3995"/>
    <w:rsid w:val="00DB5BC0"/>
    <w:rsid w:val="00DB5BE1"/>
    <w:rsid w:val="00DB5C0B"/>
    <w:rsid w:val="00DB67AB"/>
    <w:rsid w:val="00DB70BE"/>
    <w:rsid w:val="00DC04B0"/>
    <w:rsid w:val="00DC37EF"/>
    <w:rsid w:val="00DC3B23"/>
    <w:rsid w:val="00DC5903"/>
    <w:rsid w:val="00DC5E32"/>
    <w:rsid w:val="00DC644E"/>
    <w:rsid w:val="00DC770D"/>
    <w:rsid w:val="00DC7B2D"/>
    <w:rsid w:val="00DC7E40"/>
    <w:rsid w:val="00DD081C"/>
    <w:rsid w:val="00DD15CC"/>
    <w:rsid w:val="00DD3914"/>
    <w:rsid w:val="00DD3B3C"/>
    <w:rsid w:val="00DD3FF2"/>
    <w:rsid w:val="00DD48AB"/>
    <w:rsid w:val="00DD636C"/>
    <w:rsid w:val="00DE0420"/>
    <w:rsid w:val="00DE05F9"/>
    <w:rsid w:val="00DE071B"/>
    <w:rsid w:val="00DE26DF"/>
    <w:rsid w:val="00DE3664"/>
    <w:rsid w:val="00DE557B"/>
    <w:rsid w:val="00DE582C"/>
    <w:rsid w:val="00DE7325"/>
    <w:rsid w:val="00DF2D05"/>
    <w:rsid w:val="00DF2EF9"/>
    <w:rsid w:val="00DF5103"/>
    <w:rsid w:val="00DF5B63"/>
    <w:rsid w:val="00DF662E"/>
    <w:rsid w:val="00DF6AB7"/>
    <w:rsid w:val="00DF6EE3"/>
    <w:rsid w:val="00DF7D48"/>
    <w:rsid w:val="00E00836"/>
    <w:rsid w:val="00E01765"/>
    <w:rsid w:val="00E01E2C"/>
    <w:rsid w:val="00E05FFE"/>
    <w:rsid w:val="00E069FE"/>
    <w:rsid w:val="00E1260C"/>
    <w:rsid w:val="00E16E51"/>
    <w:rsid w:val="00E20319"/>
    <w:rsid w:val="00E21C68"/>
    <w:rsid w:val="00E22A55"/>
    <w:rsid w:val="00E237E9"/>
    <w:rsid w:val="00E24077"/>
    <w:rsid w:val="00E2521B"/>
    <w:rsid w:val="00E2586C"/>
    <w:rsid w:val="00E264E2"/>
    <w:rsid w:val="00E2762B"/>
    <w:rsid w:val="00E32732"/>
    <w:rsid w:val="00E3507D"/>
    <w:rsid w:val="00E35992"/>
    <w:rsid w:val="00E35A5B"/>
    <w:rsid w:val="00E35BC8"/>
    <w:rsid w:val="00E36342"/>
    <w:rsid w:val="00E37484"/>
    <w:rsid w:val="00E41EE1"/>
    <w:rsid w:val="00E42251"/>
    <w:rsid w:val="00E42DEA"/>
    <w:rsid w:val="00E439EF"/>
    <w:rsid w:val="00E43F6E"/>
    <w:rsid w:val="00E455BC"/>
    <w:rsid w:val="00E47B5A"/>
    <w:rsid w:val="00E47CAA"/>
    <w:rsid w:val="00E50495"/>
    <w:rsid w:val="00E50AAB"/>
    <w:rsid w:val="00E51E15"/>
    <w:rsid w:val="00E53314"/>
    <w:rsid w:val="00E54107"/>
    <w:rsid w:val="00E561DB"/>
    <w:rsid w:val="00E56DA8"/>
    <w:rsid w:val="00E56E92"/>
    <w:rsid w:val="00E5732C"/>
    <w:rsid w:val="00E60539"/>
    <w:rsid w:val="00E61031"/>
    <w:rsid w:val="00E6288A"/>
    <w:rsid w:val="00E632A0"/>
    <w:rsid w:val="00E64665"/>
    <w:rsid w:val="00E65BA7"/>
    <w:rsid w:val="00E65BC7"/>
    <w:rsid w:val="00E67069"/>
    <w:rsid w:val="00E71BC5"/>
    <w:rsid w:val="00E71C1E"/>
    <w:rsid w:val="00E7258B"/>
    <w:rsid w:val="00E7302B"/>
    <w:rsid w:val="00E73C9F"/>
    <w:rsid w:val="00E77E23"/>
    <w:rsid w:val="00E80DB1"/>
    <w:rsid w:val="00E8258B"/>
    <w:rsid w:val="00E82919"/>
    <w:rsid w:val="00E8678A"/>
    <w:rsid w:val="00E977E1"/>
    <w:rsid w:val="00EA18E4"/>
    <w:rsid w:val="00EA235B"/>
    <w:rsid w:val="00EA2BBD"/>
    <w:rsid w:val="00EA2C6A"/>
    <w:rsid w:val="00EA400D"/>
    <w:rsid w:val="00EA5D95"/>
    <w:rsid w:val="00EA5E44"/>
    <w:rsid w:val="00EA60F1"/>
    <w:rsid w:val="00EA756A"/>
    <w:rsid w:val="00EB11C2"/>
    <w:rsid w:val="00EB308F"/>
    <w:rsid w:val="00EB334E"/>
    <w:rsid w:val="00EC1756"/>
    <w:rsid w:val="00EC2EC1"/>
    <w:rsid w:val="00EC34BC"/>
    <w:rsid w:val="00EC3BAF"/>
    <w:rsid w:val="00EC54B8"/>
    <w:rsid w:val="00EC576B"/>
    <w:rsid w:val="00EC687B"/>
    <w:rsid w:val="00EC77F6"/>
    <w:rsid w:val="00EC7953"/>
    <w:rsid w:val="00ED0FFA"/>
    <w:rsid w:val="00ED16E1"/>
    <w:rsid w:val="00ED1765"/>
    <w:rsid w:val="00ED1C8A"/>
    <w:rsid w:val="00ED2754"/>
    <w:rsid w:val="00ED3A4F"/>
    <w:rsid w:val="00ED500B"/>
    <w:rsid w:val="00ED69E4"/>
    <w:rsid w:val="00EE3308"/>
    <w:rsid w:val="00EE3B83"/>
    <w:rsid w:val="00EE4A4F"/>
    <w:rsid w:val="00EE595B"/>
    <w:rsid w:val="00EE62B2"/>
    <w:rsid w:val="00EE778A"/>
    <w:rsid w:val="00EE780F"/>
    <w:rsid w:val="00EF12C8"/>
    <w:rsid w:val="00EF20EB"/>
    <w:rsid w:val="00EF313A"/>
    <w:rsid w:val="00EF35A3"/>
    <w:rsid w:val="00EF3EEE"/>
    <w:rsid w:val="00EF43BC"/>
    <w:rsid w:val="00EF5C5A"/>
    <w:rsid w:val="00EF6AD7"/>
    <w:rsid w:val="00EF79FE"/>
    <w:rsid w:val="00EF7E46"/>
    <w:rsid w:val="00F01862"/>
    <w:rsid w:val="00F027F9"/>
    <w:rsid w:val="00F02920"/>
    <w:rsid w:val="00F03B14"/>
    <w:rsid w:val="00F05E4D"/>
    <w:rsid w:val="00F06C00"/>
    <w:rsid w:val="00F071DC"/>
    <w:rsid w:val="00F11155"/>
    <w:rsid w:val="00F113AF"/>
    <w:rsid w:val="00F11669"/>
    <w:rsid w:val="00F1296F"/>
    <w:rsid w:val="00F152D6"/>
    <w:rsid w:val="00F164CD"/>
    <w:rsid w:val="00F17727"/>
    <w:rsid w:val="00F17FD7"/>
    <w:rsid w:val="00F20499"/>
    <w:rsid w:val="00F20AC7"/>
    <w:rsid w:val="00F21375"/>
    <w:rsid w:val="00F220DB"/>
    <w:rsid w:val="00F22A9A"/>
    <w:rsid w:val="00F24984"/>
    <w:rsid w:val="00F24D12"/>
    <w:rsid w:val="00F25892"/>
    <w:rsid w:val="00F2634D"/>
    <w:rsid w:val="00F31F39"/>
    <w:rsid w:val="00F34E99"/>
    <w:rsid w:val="00F35599"/>
    <w:rsid w:val="00F355DF"/>
    <w:rsid w:val="00F3738A"/>
    <w:rsid w:val="00F37B4B"/>
    <w:rsid w:val="00F421DC"/>
    <w:rsid w:val="00F4258B"/>
    <w:rsid w:val="00F4298D"/>
    <w:rsid w:val="00F4441C"/>
    <w:rsid w:val="00F44832"/>
    <w:rsid w:val="00F45609"/>
    <w:rsid w:val="00F45EC7"/>
    <w:rsid w:val="00F46951"/>
    <w:rsid w:val="00F4708C"/>
    <w:rsid w:val="00F47E71"/>
    <w:rsid w:val="00F47FE0"/>
    <w:rsid w:val="00F5244A"/>
    <w:rsid w:val="00F543D4"/>
    <w:rsid w:val="00F5760A"/>
    <w:rsid w:val="00F61E84"/>
    <w:rsid w:val="00F62956"/>
    <w:rsid w:val="00F64789"/>
    <w:rsid w:val="00F648DA"/>
    <w:rsid w:val="00F65E6F"/>
    <w:rsid w:val="00F6732C"/>
    <w:rsid w:val="00F70748"/>
    <w:rsid w:val="00F70B1C"/>
    <w:rsid w:val="00F71972"/>
    <w:rsid w:val="00F73D45"/>
    <w:rsid w:val="00F743E1"/>
    <w:rsid w:val="00F75B90"/>
    <w:rsid w:val="00F76A72"/>
    <w:rsid w:val="00F80E09"/>
    <w:rsid w:val="00F82C09"/>
    <w:rsid w:val="00F83200"/>
    <w:rsid w:val="00F83B78"/>
    <w:rsid w:val="00F83D76"/>
    <w:rsid w:val="00F8415E"/>
    <w:rsid w:val="00F84255"/>
    <w:rsid w:val="00F84631"/>
    <w:rsid w:val="00F87369"/>
    <w:rsid w:val="00F9022C"/>
    <w:rsid w:val="00F904B7"/>
    <w:rsid w:val="00F92D02"/>
    <w:rsid w:val="00F92F7E"/>
    <w:rsid w:val="00F938B6"/>
    <w:rsid w:val="00F95143"/>
    <w:rsid w:val="00F96174"/>
    <w:rsid w:val="00F963E1"/>
    <w:rsid w:val="00F9795A"/>
    <w:rsid w:val="00FA05DA"/>
    <w:rsid w:val="00FA2C09"/>
    <w:rsid w:val="00FA417C"/>
    <w:rsid w:val="00FA5C1A"/>
    <w:rsid w:val="00FB098D"/>
    <w:rsid w:val="00FB1452"/>
    <w:rsid w:val="00FB3076"/>
    <w:rsid w:val="00FB48A6"/>
    <w:rsid w:val="00FB50E4"/>
    <w:rsid w:val="00FB6FC8"/>
    <w:rsid w:val="00FB7229"/>
    <w:rsid w:val="00FC4583"/>
    <w:rsid w:val="00FC5112"/>
    <w:rsid w:val="00FC5BB5"/>
    <w:rsid w:val="00FC6200"/>
    <w:rsid w:val="00FC6C18"/>
    <w:rsid w:val="00FC78C0"/>
    <w:rsid w:val="00FD024C"/>
    <w:rsid w:val="00FD05CF"/>
    <w:rsid w:val="00FD0BE6"/>
    <w:rsid w:val="00FD15A2"/>
    <w:rsid w:val="00FD2540"/>
    <w:rsid w:val="00FD3014"/>
    <w:rsid w:val="00FD30DA"/>
    <w:rsid w:val="00FD4337"/>
    <w:rsid w:val="00FD6FAE"/>
    <w:rsid w:val="00FD700B"/>
    <w:rsid w:val="00FD7EC0"/>
    <w:rsid w:val="00FE0E94"/>
    <w:rsid w:val="00FE1E13"/>
    <w:rsid w:val="00FE20AA"/>
    <w:rsid w:val="00FE3436"/>
    <w:rsid w:val="00FE3696"/>
    <w:rsid w:val="00FE54A3"/>
    <w:rsid w:val="00FE5B20"/>
    <w:rsid w:val="00FF1C59"/>
    <w:rsid w:val="00FF2528"/>
    <w:rsid w:val="00FF4478"/>
    <w:rsid w:val="00FF4704"/>
    <w:rsid w:val="00FF4B99"/>
    <w:rsid w:val="00FF547D"/>
    <w:rsid w:val="00FF596F"/>
    <w:rsid w:val="00FF7D09"/>
    <w:rsid w:val="00FF7FD1"/>
    <w:rsid w:val="04FC11F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fillcolor="white">
      <v:fill color="white"/>
    </o:shapedefaults>
    <o:shapelayout v:ext="edit">
      <o:idmap v:ext="edit" data="2"/>
    </o:shapelayout>
  </w:shapeDefaults>
  <w:decimalSymbol w:val="."/>
  <w:listSeparator w:val=","/>
  <w14:docId w14:val="52FD4017"/>
  <w15:docId w15:val="{D2136289-AB60-4D4C-8E2F-725E36F4C0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qFormat="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f1">
    <w:name w:val="Normal"/>
    <w:next w:val="21"/>
    <w:qFormat/>
    <w:pPr>
      <w:widowControl w:val="0"/>
      <w:jc w:val="both"/>
    </w:pPr>
    <w:rPr>
      <w:rFonts w:ascii="Times New Roman" w:eastAsia="宋体" w:hAnsi="Times New Roman"/>
      <w:kern w:val="2"/>
      <w:sz w:val="21"/>
      <w:szCs w:val="22"/>
    </w:rPr>
  </w:style>
  <w:style w:type="paragraph" w:styleId="1">
    <w:name w:val="heading 1"/>
    <w:basedOn w:val="af1"/>
    <w:next w:val="af1"/>
    <w:link w:val="10"/>
    <w:uiPriority w:val="9"/>
    <w:qFormat/>
    <w:pPr>
      <w:keepNext/>
      <w:keepLines/>
      <w:spacing w:line="360" w:lineRule="auto"/>
      <w:jc w:val="center"/>
      <w:outlineLvl w:val="0"/>
    </w:pPr>
    <w:rPr>
      <w:rFonts w:ascii="宋体" w:hAnsi="Calibri" w:cs="Times New Roman"/>
      <w:b/>
      <w:bCs/>
      <w:kern w:val="18"/>
      <w:sz w:val="44"/>
      <w:szCs w:val="44"/>
    </w:rPr>
  </w:style>
  <w:style w:type="paragraph" w:styleId="22">
    <w:name w:val="heading 2"/>
    <w:basedOn w:val="af1"/>
    <w:next w:val="af1"/>
    <w:link w:val="23"/>
    <w:uiPriority w:val="9"/>
    <w:semiHidden/>
    <w:unhideWhenUsed/>
    <w:qFormat/>
    <w:pPr>
      <w:keepNext/>
      <w:keepLines/>
      <w:spacing w:before="260" w:after="260" w:line="413" w:lineRule="auto"/>
      <w:outlineLvl w:val="1"/>
    </w:pPr>
    <w:rPr>
      <w:rFonts w:ascii="Arial" w:eastAsia="黑体" w:hAnsi="Arial" w:cs="Times New Roman"/>
      <w:b/>
      <w:bCs/>
      <w:sz w:val="32"/>
      <w:szCs w:val="32"/>
    </w:rPr>
  </w:style>
  <w:style w:type="paragraph" w:styleId="31">
    <w:name w:val="heading 3"/>
    <w:basedOn w:val="af1"/>
    <w:next w:val="af2"/>
    <w:link w:val="32"/>
    <w:uiPriority w:val="9"/>
    <w:semiHidden/>
    <w:unhideWhenUsed/>
    <w:qFormat/>
    <w:pPr>
      <w:keepNext/>
      <w:keepLines/>
      <w:spacing w:before="260" w:after="260" w:line="416" w:lineRule="auto"/>
      <w:outlineLvl w:val="2"/>
    </w:pPr>
    <w:rPr>
      <w:rFonts w:ascii="Calibri" w:hAnsi="Calibri" w:cs="Times New Roman"/>
      <w:b/>
      <w:bCs/>
      <w:sz w:val="32"/>
      <w:szCs w:val="32"/>
    </w:rPr>
  </w:style>
  <w:style w:type="paragraph" w:styleId="41">
    <w:name w:val="heading 4"/>
    <w:basedOn w:val="af1"/>
    <w:next w:val="af1"/>
    <w:link w:val="42"/>
    <w:uiPriority w:val="9"/>
    <w:semiHidden/>
    <w:unhideWhenUsed/>
    <w:qFormat/>
    <w:pPr>
      <w:keepNext/>
      <w:widowControl/>
      <w:jc w:val="center"/>
      <w:outlineLvl w:val="3"/>
    </w:pPr>
    <w:rPr>
      <w:rFonts w:ascii="Calibri" w:hAnsi="Calibri" w:cs="Times New Roman"/>
      <w:b/>
      <w:kern w:val="0"/>
      <w:sz w:val="32"/>
      <w:szCs w:val="20"/>
    </w:rPr>
  </w:style>
  <w:style w:type="paragraph" w:styleId="51">
    <w:name w:val="heading 5"/>
    <w:basedOn w:val="af1"/>
    <w:next w:val="af1"/>
    <w:link w:val="52"/>
    <w:uiPriority w:val="9"/>
    <w:semiHidden/>
    <w:unhideWhenUsed/>
    <w:qFormat/>
    <w:pPr>
      <w:keepNext/>
      <w:keepLines/>
      <w:numPr>
        <w:ilvl w:val="4"/>
        <w:numId w:val="1"/>
      </w:numPr>
      <w:tabs>
        <w:tab w:val="clear" w:pos="4122"/>
        <w:tab w:val="left" w:pos="1008"/>
      </w:tabs>
      <w:spacing w:before="280" w:after="290" w:line="376" w:lineRule="auto"/>
      <w:outlineLvl w:val="4"/>
    </w:pPr>
    <w:rPr>
      <w:rFonts w:ascii="Calibri" w:hAnsi="Calibri" w:cs="Times New Roman"/>
      <w:b/>
      <w:bCs/>
      <w:sz w:val="28"/>
      <w:szCs w:val="28"/>
    </w:rPr>
  </w:style>
  <w:style w:type="paragraph" w:styleId="6">
    <w:name w:val="heading 6"/>
    <w:basedOn w:val="af1"/>
    <w:next w:val="af1"/>
    <w:link w:val="60"/>
    <w:uiPriority w:val="9"/>
    <w:semiHidden/>
    <w:unhideWhenUsed/>
    <w:qFormat/>
    <w:pPr>
      <w:keepNext/>
      <w:keepLines/>
      <w:numPr>
        <w:ilvl w:val="5"/>
        <w:numId w:val="1"/>
      </w:numPr>
      <w:tabs>
        <w:tab w:val="clear" w:pos="4972"/>
        <w:tab w:val="left" w:pos="1152"/>
      </w:tabs>
      <w:spacing w:before="240" w:after="64" w:line="320" w:lineRule="auto"/>
      <w:outlineLvl w:val="5"/>
    </w:pPr>
    <w:rPr>
      <w:rFonts w:ascii="Arial" w:eastAsia="黑体" w:hAnsi="Arial" w:cs="Times New Roman"/>
      <w:b/>
      <w:bCs/>
      <w:sz w:val="24"/>
      <w:szCs w:val="32"/>
    </w:rPr>
  </w:style>
  <w:style w:type="paragraph" w:styleId="7">
    <w:name w:val="heading 7"/>
    <w:basedOn w:val="af1"/>
    <w:next w:val="af1"/>
    <w:link w:val="70"/>
    <w:uiPriority w:val="9"/>
    <w:semiHidden/>
    <w:unhideWhenUsed/>
    <w:qFormat/>
    <w:pPr>
      <w:keepNext/>
      <w:keepLines/>
      <w:numPr>
        <w:ilvl w:val="6"/>
        <w:numId w:val="1"/>
      </w:numPr>
      <w:tabs>
        <w:tab w:val="clear" w:pos="6182"/>
        <w:tab w:val="left" w:pos="1296"/>
      </w:tabs>
      <w:spacing w:before="240" w:after="64" w:line="320" w:lineRule="auto"/>
      <w:outlineLvl w:val="6"/>
    </w:pPr>
    <w:rPr>
      <w:rFonts w:ascii="Calibri" w:hAnsi="Calibri" w:cs="Times New Roman"/>
      <w:b/>
      <w:bCs/>
      <w:sz w:val="24"/>
      <w:szCs w:val="32"/>
    </w:rPr>
  </w:style>
  <w:style w:type="paragraph" w:styleId="8">
    <w:name w:val="heading 8"/>
    <w:basedOn w:val="af1"/>
    <w:next w:val="af1"/>
    <w:link w:val="80"/>
    <w:uiPriority w:val="9"/>
    <w:semiHidden/>
    <w:unhideWhenUsed/>
    <w:qFormat/>
    <w:pPr>
      <w:keepNext/>
      <w:keepLines/>
      <w:numPr>
        <w:ilvl w:val="7"/>
        <w:numId w:val="1"/>
      </w:numPr>
      <w:tabs>
        <w:tab w:val="clear" w:pos="6673"/>
        <w:tab w:val="left" w:pos="1440"/>
      </w:tabs>
      <w:spacing w:before="240" w:after="64" w:line="320" w:lineRule="auto"/>
      <w:outlineLvl w:val="7"/>
    </w:pPr>
    <w:rPr>
      <w:rFonts w:ascii="Arial" w:eastAsia="黑体" w:hAnsi="Arial" w:cs="Times New Roman"/>
      <w:sz w:val="24"/>
      <w:szCs w:val="32"/>
    </w:rPr>
  </w:style>
  <w:style w:type="paragraph" w:styleId="9">
    <w:name w:val="heading 9"/>
    <w:basedOn w:val="af1"/>
    <w:next w:val="af1"/>
    <w:link w:val="90"/>
    <w:uiPriority w:val="9"/>
    <w:semiHidden/>
    <w:unhideWhenUsed/>
    <w:qFormat/>
    <w:pPr>
      <w:keepNext/>
      <w:keepLines/>
      <w:numPr>
        <w:ilvl w:val="8"/>
        <w:numId w:val="1"/>
      </w:numPr>
      <w:tabs>
        <w:tab w:val="clear" w:pos="814"/>
        <w:tab w:val="left" w:pos="1584"/>
      </w:tabs>
      <w:spacing w:before="240" w:after="64" w:line="320" w:lineRule="auto"/>
      <w:outlineLvl w:val="8"/>
    </w:pPr>
    <w:rPr>
      <w:rFonts w:ascii="Arial" w:eastAsia="黑体" w:hAnsi="Arial" w:cs="Times New Roman"/>
      <w:sz w:val="28"/>
      <w:szCs w:val="21"/>
    </w:rPr>
  </w:style>
  <w:style w:type="character" w:default="1" w:styleId="af3">
    <w:name w:val="Default Paragraph Font"/>
    <w:uiPriority w:val="1"/>
    <w:semiHidden/>
    <w:unhideWhenUsed/>
  </w:style>
  <w:style w:type="table" w:default="1" w:styleId="af4">
    <w:name w:val="Normal Table"/>
    <w:uiPriority w:val="99"/>
    <w:semiHidden/>
    <w:unhideWhenUsed/>
    <w:tblPr>
      <w:tblInd w:w="0" w:type="dxa"/>
      <w:tblCellMar>
        <w:top w:w="0" w:type="dxa"/>
        <w:left w:w="108" w:type="dxa"/>
        <w:bottom w:w="0" w:type="dxa"/>
        <w:right w:w="108" w:type="dxa"/>
      </w:tblCellMar>
    </w:tblPr>
  </w:style>
  <w:style w:type="numbering" w:default="1" w:styleId="af5">
    <w:name w:val="No List"/>
    <w:uiPriority w:val="99"/>
    <w:semiHidden/>
    <w:unhideWhenUsed/>
  </w:style>
  <w:style w:type="paragraph" w:styleId="21">
    <w:name w:val="Body Text First Indent 2"/>
    <w:basedOn w:val="af6"/>
    <w:link w:val="220"/>
    <w:uiPriority w:val="99"/>
    <w:semiHidden/>
    <w:unhideWhenUsed/>
    <w:pPr>
      <w:ind w:firstLineChars="200" w:firstLine="420"/>
    </w:pPr>
    <w:rPr>
      <w:rFonts w:asciiTheme="minorHAnsi" w:eastAsiaTheme="minorEastAsia" w:hAnsiTheme="minorHAnsi"/>
      <w:szCs w:val="24"/>
    </w:rPr>
  </w:style>
  <w:style w:type="paragraph" w:styleId="af6">
    <w:name w:val="Body Text Indent"/>
    <w:basedOn w:val="af1"/>
    <w:next w:val="af7"/>
    <w:link w:val="33"/>
    <w:uiPriority w:val="99"/>
    <w:semiHidden/>
    <w:unhideWhenUsed/>
    <w:pPr>
      <w:spacing w:after="120"/>
      <w:ind w:leftChars="200" w:left="420"/>
    </w:pPr>
  </w:style>
  <w:style w:type="paragraph" w:styleId="af7">
    <w:name w:val="Balloon Text"/>
    <w:basedOn w:val="af1"/>
    <w:link w:val="af8"/>
    <w:uiPriority w:val="99"/>
    <w:semiHidden/>
    <w:unhideWhenUsed/>
    <w:rPr>
      <w:sz w:val="18"/>
      <w:szCs w:val="18"/>
    </w:rPr>
  </w:style>
  <w:style w:type="paragraph" w:styleId="af9">
    <w:name w:val="macro"/>
    <w:link w:val="afa"/>
    <w:uiPriority w:val="99"/>
    <w:semiHidden/>
    <w:unhideWhenUsed/>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kern w:val="2"/>
      <w:sz w:val="24"/>
      <w:szCs w:val="24"/>
    </w:rPr>
  </w:style>
  <w:style w:type="paragraph" w:customStyle="1" w:styleId="af2">
    <w:name w:val="a正文格式"/>
    <w:qFormat/>
    <w:pPr>
      <w:spacing w:line="360" w:lineRule="auto"/>
      <w:ind w:firstLineChars="200" w:firstLine="200"/>
      <w:jc w:val="both"/>
    </w:pPr>
    <w:rPr>
      <w:rFonts w:ascii="Times New Roman" w:eastAsia="宋体" w:hAnsi="Times New Roman" w:cs="Times New Roman"/>
      <w:kern w:val="2"/>
      <w:sz w:val="24"/>
      <w:szCs w:val="21"/>
    </w:rPr>
  </w:style>
  <w:style w:type="paragraph" w:styleId="34">
    <w:name w:val="List 3"/>
    <w:basedOn w:val="af1"/>
    <w:uiPriority w:val="99"/>
    <w:semiHidden/>
    <w:unhideWhenUsed/>
    <w:pPr>
      <w:ind w:left="1260" w:hanging="420"/>
    </w:pPr>
    <w:rPr>
      <w:rFonts w:ascii="Calibri" w:hAnsi="Calibri" w:cs="Times New Roman"/>
      <w:szCs w:val="20"/>
    </w:rPr>
  </w:style>
  <w:style w:type="paragraph" w:styleId="TOC7">
    <w:name w:val="toc 7"/>
    <w:basedOn w:val="af1"/>
    <w:next w:val="af1"/>
    <w:uiPriority w:val="39"/>
    <w:semiHidden/>
    <w:unhideWhenUsed/>
    <w:pPr>
      <w:ind w:left="1260"/>
      <w:jc w:val="left"/>
    </w:pPr>
    <w:rPr>
      <w:rFonts w:ascii="Calibri" w:hAnsi="Calibri" w:cs="Times New Roman"/>
      <w:sz w:val="18"/>
      <w:szCs w:val="18"/>
    </w:rPr>
  </w:style>
  <w:style w:type="paragraph" w:styleId="2">
    <w:name w:val="List Number 2"/>
    <w:basedOn w:val="af1"/>
    <w:uiPriority w:val="99"/>
    <w:semiHidden/>
    <w:unhideWhenUsed/>
    <w:pPr>
      <w:numPr>
        <w:numId w:val="2"/>
      </w:numPr>
    </w:pPr>
  </w:style>
  <w:style w:type="paragraph" w:styleId="afb">
    <w:name w:val="table of authorities"/>
    <w:basedOn w:val="af1"/>
    <w:next w:val="af1"/>
    <w:uiPriority w:val="99"/>
    <w:semiHidden/>
    <w:unhideWhenUsed/>
    <w:pPr>
      <w:spacing w:line="480" w:lineRule="exact"/>
      <w:ind w:leftChars="200" w:left="420"/>
    </w:pPr>
    <w:rPr>
      <w:rFonts w:ascii="Calibri" w:hAnsi="Calibri" w:cs="Times New Roman"/>
      <w:sz w:val="24"/>
      <w:szCs w:val="24"/>
    </w:rPr>
  </w:style>
  <w:style w:type="paragraph" w:styleId="afc">
    <w:name w:val="Note Heading"/>
    <w:basedOn w:val="af1"/>
    <w:next w:val="af1"/>
    <w:link w:val="afd"/>
    <w:uiPriority w:val="99"/>
    <w:semiHidden/>
    <w:unhideWhenUsed/>
    <w:pPr>
      <w:jc w:val="center"/>
    </w:pPr>
    <w:rPr>
      <w:rFonts w:asciiTheme="minorHAnsi" w:hAnsiTheme="minorHAnsi"/>
      <w:szCs w:val="24"/>
    </w:rPr>
  </w:style>
  <w:style w:type="paragraph" w:styleId="40">
    <w:name w:val="List Bullet 4"/>
    <w:basedOn w:val="af1"/>
    <w:uiPriority w:val="99"/>
    <w:semiHidden/>
    <w:unhideWhenUsed/>
    <w:pPr>
      <w:numPr>
        <w:numId w:val="3"/>
      </w:numPr>
    </w:pPr>
  </w:style>
  <w:style w:type="paragraph" w:styleId="81">
    <w:name w:val="index 8"/>
    <w:basedOn w:val="af1"/>
    <w:next w:val="af1"/>
    <w:uiPriority w:val="99"/>
    <w:semiHidden/>
    <w:unhideWhenUsed/>
    <w:pPr>
      <w:ind w:leftChars="1400" w:left="1400"/>
    </w:pPr>
    <w:rPr>
      <w:rFonts w:ascii="Calibri" w:hAnsi="Calibri" w:cs="Times New Roman"/>
      <w:szCs w:val="24"/>
    </w:rPr>
  </w:style>
  <w:style w:type="paragraph" w:styleId="afe">
    <w:name w:val="E-mail Signature"/>
    <w:basedOn w:val="af1"/>
    <w:link w:val="aff"/>
    <w:uiPriority w:val="99"/>
    <w:semiHidden/>
    <w:unhideWhenUsed/>
    <w:pPr>
      <w:widowControl/>
      <w:spacing w:line="520" w:lineRule="exact"/>
      <w:ind w:firstLineChars="250" w:firstLine="700"/>
      <w:jc w:val="left"/>
    </w:pPr>
    <w:rPr>
      <w:rFonts w:ascii="Verdana" w:eastAsiaTheme="minorEastAsia" w:hAnsi="Verdana"/>
      <w:sz w:val="32"/>
      <w:szCs w:val="21"/>
    </w:rPr>
  </w:style>
  <w:style w:type="paragraph" w:styleId="a0">
    <w:name w:val="List Number"/>
    <w:basedOn w:val="af1"/>
    <w:uiPriority w:val="99"/>
    <w:semiHidden/>
    <w:unhideWhenUsed/>
    <w:pPr>
      <w:numPr>
        <w:numId w:val="4"/>
      </w:numPr>
    </w:pPr>
  </w:style>
  <w:style w:type="paragraph" w:styleId="aff0">
    <w:name w:val="Normal Indent"/>
    <w:basedOn w:val="af1"/>
    <w:link w:val="aff1"/>
    <w:uiPriority w:val="99"/>
    <w:semiHidden/>
    <w:unhideWhenUsed/>
    <w:pPr>
      <w:adjustRightInd w:val="0"/>
      <w:spacing w:line="312" w:lineRule="atLeast"/>
      <w:ind w:firstLineChars="200" w:firstLine="420"/>
      <w:textAlignment w:val="baseline"/>
    </w:pPr>
    <w:rPr>
      <w:rFonts w:asciiTheme="minorHAnsi" w:hAnsiTheme="minorHAnsi"/>
    </w:rPr>
  </w:style>
  <w:style w:type="paragraph" w:styleId="aff2">
    <w:name w:val="caption"/>
    <w:basedOn w:val="af1"/>
    <w:next w:val="af1"/>
    <w:link w:val="aff3"/>
    <w:uiPriority w:val="35"/>
    <w:semiHidden/>
    <w:unhideWhenUsed/>
    <w:qFormat/>
    <w:rPr>
      <w:rFonts w:ascii="Cambria" w:eastAsia="黑体" w:hAnsi="Cambria"/>
    </w:rPr>
  </w:style>
  <w:style w:type="paragraph" w:styleId="53">
    <w:name w:val="index 5"/>
    <w:basedOn w:val="af1"/>
    <w:next w:val="af1"/>
    <w:uiPriority w:val="99"/>
    <w:semiHidden/>
    <w:unhideWhenUsed/>
    <w:pPr>
      <w:ind w:leftChars="800" w:left="800"/>
    </w:pPr>
    <w:rPr>
      <w:rFonts w:ascii="Calibri" w:hAnsi="Calibri" w:cs="Times New Roman"/>
      <w:szCs w:val="24"/>
    </w:rPr>
  </w:style>
  <w:style w:type="paragraph" w:styleId="ac">
    <w:name w:val="List Bullet"/>
    <w:basedOn w:val="af1"/>
    <w:uiPriority w:val="99"/>
    <w:semiHidden/>
    <w:unhideWhenUsed/>
    <w:pPr>
      <w:numPr>
        <w:numId w:val="5"/>
      </w:numPr>
    </w:pPr>
  </w:style>
  <w:style w:type="paragraph" w:styleId="aff4">
    <w:name w:val="envelope address"/>
    <w:basedOn w:val="af1"/>
    <w:uiPriority w:val="99"/>
    <w:semiHidden/>
    <w:unhideWhenUsed/>
    <w:pPr>
      <w:widowControl/>
      <w:snapToGrid w:val="0"/>
      <w:spacing w:line="520" w:lineRule="exact"/>
      <w:ind w:leftChars="1400" w:left="100" w:firstLineChars="250" w:firstLine="700"/>
      <w:jc w:val="left"/>
    </w:pPr>
    <w:rPr>
      <w:rFonts w:ascii="Courier New" w:hAnsi="Courier New" w:cs="Courier New"/>
      <w:bCs/>
      <w:kern w:val="0"/>
      <w:sz w:val="24"/>
      <w:szCs w:val="24"/>
    </w:rPr>
  </w:style>
  <w:style w:type="paragraph" w:styleId="aff5">
    <w:name w:val="Document Map"/>
    <w:basedOn w:val="af1"/>
    <w:link w:val="aff6"/>
    <w:uiPriority w:val="99"/>
    <w:semiHidden/>
    <w:unhideWhenUsed/>
    <w:pPr>
      <w:shd w:val="clear" w:color="auto" w:fill="000080"/>
    </w:pPr>
    <w:rPr>
      <w:rFonts w:asciiTheme="minorHAnsi" w:hAnsiTheme="minorHAnsi"/>
      <w:szCs w:val="24"/>
    </w:rPr>
  </w:style>
  <w:style w:type="paragraph" w:styleId="aff7">
    <w:name w:val="toa heading"/>
    <w:basedOn w:val="af1"/>
    <w:next w:val="af1"/>
    <w:uiPriority w:val="99"/>
    <w:semiHidden/>
    <w:unhideWhenUsed/>
    <w:pPr>
      <w:spacing w:before="120" w:line="480" w:lineRule="exact"/>
    </w:pPr>
    <w:rPr>
      <w:rFonts w:ascii="Arial" w:hAnsi="Arial" w:cs="Times New Roman"/>
      <w:b/>
      <w:bCs/>
      <w:sz w:val="24"/>
      <w:szCs w:val="24"/>
    </w:rPr>
  </w:style>
  <w:style w:type="paragraph" w:styleId="aff8">
    <w:name w:val="annotation text"/>
    <w:basedOn w:val="af1"/>
    <w:link w:val="aff9"/>
    <w:uiPriority w:val="99"/>
    <w:semiHidden/>
    <w:unhideWhenUsed/>
    <w:pPr>
      <w:jc w:val="left"/>
    </w:pPr>
  </w:style>
  <w:style w:type="paragraph" w:styleId="61">
    <w:name w:val="index 6"/>
    <w:basedOn w:val="af1"/>
    <w:next w:val="af1"/>
    <w:uiPriority w:val="99"/>
    <w:semiHidden/>
    <w:unhideWhenUsed/>
    <w:pPr>
      <w:ind w:leftChars="1000" w:left="1000"/>
    </w:pPr>
    <w:rPr>
      <w:rFonts w:ascii="Calibri" w:hAnsi="Calibri" w:cs="Times New Roman"/>
      <w:szCs w:val="24"/>
    </w:rPr>
  </w:style>
  <w:style w:type="paragraph" w:styleId="affa">
    <w:name w:val="Salutation"/>
    <w:basedOn w:val="af1"/>
    <w:next w:val="af1"/>
    <w:link w:val="affb"/>
    <w:uiPriority w:val="99"/>
    <w:semiHidden/>
    <w:unhideWhenUsed/>
    <w:rPr>
      <w:rFonts w:ascii="Calibri" w:hAnsi="Calibri" w:cs="Times New Roman"/>
      <w:szCs w:val="24"/>
    </w:rPr>
  </w:style>
  <w:style w:type="paragraph" w:styleId="35">
    <w:name w:val="Body Text 3"/>
    <w:basedOn w:val="af1"/>
    <w:link w:val="36"/>
    <w:uiPriority w:val="99"/>
    <w:semiHidden/>
    <w:unhideWhenUsed/>
    <w:pPr>
      <w:spacing w:after="120"/>
    </w:pPr>
    <w:rPr>
      <w:rFonts w:asciiTheme="minorHAnsi" w:hAnsiTheme="minorHAnsi"/>
    </w:rPr>
  </w:style>
  <w:style w:type="paragraph" w:styleId="affc">
    <w:name w:val="Closing"/>
    <w:basedOn w:val="af1"/>
    <w:link w:val="affd"/>
    <w:uiPriority w:val="99"/>
    <w:semiHidden/>
    <w:unhideWhenUsed/>
    <w:pPr>
      <w:widowControl/>
      <w:ind w:leftChars="2100" w:left="100"/>
      <w:jc w:val="left"/>
    </w:pPr>
    <w:rPr>
      <w:rFonts w:ascii="仿宋_GB2312" w:eastAsia="仿宋_GB2312" w:hAnsi="Calibri"/>
      <w:sz w:val="24"/>
      <w:szCs w:val="21"/>
    </w:rPr>
  </w:style>
  <w:style w:type="paragraph" w:styleId="30">
    <w:name w:val="List Bullet 3"/>
    <w:basedOn w:val="af1"/>
    <w:uiPriority w:val="99"/>
    <w:semiHidden/>
    <w:unhideWhenUsed/>
    <w:pPr>
      <w:numPr>
        <w:numId w:val="6"/>
      </w:numPr>
    </w:pPr>
  </w:style>
  <w:style w:type="paragraph" w:styleId="affe">
    <w:name w:val="Body Text"/>
    <w:basedOn w:val="af1"/>
    <w:link w:val="24"/>
    <w:uiPriority w:val="99"/>
    <w:semiHidden/>
    <w:unhideWhenUsed/>
    <w:pPr>
      <w:spacing w:after="120"/>
    </w:pPr>
    <w:rPr>
      <w:rFonts w:asciiTheme="minorHAnsi" w:eastAsiaTheme="minorEastAsia" w:hAnsiTheme="minorHAnsi"/>
      <w:szCs w:val="24"/>
    </w:rPr>
  </w:style>
  <w:style w:type="paragraph" w:styleId="3">
    <w:name w:val="List Number 3"/>
    <w:basedOn w:val="af1"/>
    <w:uiPriority w:val="99"/>
    <w:semiHidden/>
    <w:unhideWhenUsed/>
    <w:pPr>
      <w:numPr>
        <w:numId w:val="7"/>
      </w:numPr>
    </w:pPr>
  </w:style>
  <w:style w:type="paragraph" w:styleId="25">
    <w:name w:val="List 2"/>
    <w:basedOn w:val="af1"/>
    <w:uiPriority w:val="99"/>
    <w:semiHidden/>
    <w:unhideWhenUsed/>
    <w:pPr>
      <w:ind w:leftChars="200" w:left="100" w:hangingChars="200" w:hanging="200"/>
    </w:pPr>
    <w:rPr>
      <w:rFonts w:ascii="Calibri" w:eastAsia="仿宋_GB2312" w:hAnsi="Calibri" w:cs="Times New Roman"/>
      <w:color w:val="000000"/>
      <w:kern w:val="0"/>
      <w:sz w:val="28"/>
      <w:szCs w:val="32"/>
    </w:rPr>
  </w:style>
  <w:style w:type="paragraph" w:styleId="afff">
    <w:name w:val="List Continue"/>
    <w:basedOn w:val="af1"/>
    <w:uiPriority w:val="99"/>
    <w:semiHidden/>
    <w:unhideWhenUsed/>
    <w:pPr>
      <w:spacing w:after="120"/>
      <w:ind w:leftChars="200" w:left="420"/>
    </w:pPr>
    <w:rPr>
      <w:rFonts w:ascii="Calibri" w:hAnsi="Calibri" w:cs="Times New Roman"/>
      <w:szCs w:val="24"/>
    </w:rPr>
  </w:style>
  <w:style w:type="paragraph" w:styleId="afff0">
    <w:name w:val="Block Text"/>
    <w:basedOn w:val="af1"/>
    <w:uiPriority w:val="99"/>
    <w:semiHidden/>
    <w:unhideWhenUsed/>
    <w:pPr>
      <w:spacing w:after="120" w:line="440" w:lineRule="exact"/>
      <w:ind w:leftChars="700" w:left="1440" w:rightChars="700" w:right="1440" w:firstLineChars="200" w:firstLine="200"/>
    </w:pPr>
    <w:rPr>
      <w:rFonts w:cs="Times New Roman"/>
      <w:sz w:val="24"/>
      <w:szCs w:val="24"/>
    </w:rPr>
  </w:style>
  <w:style w:type="paragraph" w:styleId="20">
    <w:name w:val="List Bullet 2"/>
    <w:basedOn w:val="af1"/>
    <w:uiPriority w:val="99"/>
    <w:semiHidden/>
    <w:unhideWhenUsed/>
    <w:pPr>
      <w:numPr>
        <w:numId w:val="8"/>
      </w:numPr>
    </w:pPr>
  </w:style>
  <w:style w:type="paragraph" w:styleId="HTML">
    <w:name w:val="HTML Address"/>
    <w:basedOn w:val="af1"/>
    <w:link w:val="HTML0"/>
    <w:uiPriority w:val="99"/>
    <w:semiHidden/>
    <w:unhideWhenUsed/>
    <w:pPr>
      <w:widowControl/>
      <w:spacing w:line="520" w:lineRule="exact"/>
      <w:ind w:firstLineChars="250" w:firstLine="700"/>
      <w:jc w:val="left"/>
    </w:pPr>
    <w:rPr>
      <w:rFonts w:ascii="Verdana" w:eastAsiaTheme="minorEastAsia" w:hAnsi="Verdana"/>
      <w:i/>
      <w:sz w:val="32"/>
      <w:szCs w:val="21"/>
    </w:rPr>
  </w:style>
  <w:style w:type="paragraph" w:styleId="43">
    <w:name w:val="index 4"/>
    <w:basedOn w:val="af1"/>
    <w:next w:val="af1"/>
    <w:uiPriority w:val="99"/>
    <w:semiHidden/>
    <w:unhideWhenUsed/>
    <w:pPr>
      <w:ind w:leftChars="600" w:left="600"/>
    </w:pPr>
    <w:rPr>
      <w:rFonts w:ascii="Calibri" w:hAnsi="Calibri" w:cs="Times New Roman"/>
      <w:szCs w:val="24"/>
    </w:rPr>
  </w:style>
  <w:style w:type="paragraph" w:styleId="TOC5">
    <w:name w:val="toc 5"/>
    <w:basedOn w:val="af1"/>
    <w:next w:val="af1"/>
    <w:uiPriority w:val="39"/>
    <w:semiHidden/>
    <w:unhideWhenUsed/>
    <w:pPr>
      <w:ind w:left="840"/>
      <w:jc w:val="left"/>
    </w:pPr>
    <w:rPr>
      <w:rFonts w:ascii="Calibri" w:hAnsi="Calibri" w:cs="Times New Roman"/>
      <w:sz w:val="18"/>
      <w:szCs w:val="18"/>
    </w:rPr>
  </w:style>
  <w:style w:type="paragraph" w:styleId="TOC3">
    <w:name w:val="toc 3"/>
    <w:basedOn w:val="af1"/>
    <w:next w:val="af1"/>
    <w:uiPriority w:val="39"/>
    <w:semiHidden/>
    <w:unhideWhenUsed/>
    <w:pPr>
      <w:ind w:left="420"/>
      <w:jc w:val="left"/>
    </w:pPr>
    <w:rPr>
      <w:rFonts w:ascii="Calibri" w:hAnsi="Calibri" w:cs="Times New Roman"/>
      <w:i/>
      <w:iCs/>
      <w:sz w:val="20"/>
      <w:szCs w:val="20"/>
    </w:rPr>
  </w:style>
  <w:style w:type="paragraph" w:styleId="afff1">
    <w:name w:val="Plain Text"/>
    <w:basedOn w:val="af1"/>
    <w:link w:val="afff2"/>
    <w:uiPriority w:val="99"/>
    <w:semiHidden/>
    <w:unhideWhenUsed/>
    <w:rPr>
      <w:rFonts w:ascii="宋体" w:hAnsi="Courier New" w:cs="Courier New"/>
      <w:szCs w:val="21"/>
    </w:rPr>
  </w:style>
  <w:style w:type="paragraph" w:styleId="5">
    <w:name w:val="List Bullet 5"/>
    <w:basedOn w:val="af1"/>
    <w:uiPriority w:val="99"/>
    <w:semiHidden/>
    <w:unhideWhenUsed/>
    <w:pPr>
      <w:numPr>
        <w:numId w:val="9"/>
      </w:numPr>
    </w:pPr>
  </w:style>
  <w:style w:type="paragraph" w:styleId="4">
    <w:name w:val="List Number 4"/>
    <w:basedOn w:val="af1"/>
    <w:uiPriority w:val="99"/>
    <w:semiHidden/>
    <w:unhideWhenUsed/>
    <w:pPr>
      <w:numPr>
        <w:numId w:val="10"/>
      </w:numPr>
    </w:pPr>
  </w:style>
  <w:style w:type="paragraph" w:styleId="TOC8">
    <w:name w:val="toc 8"/>
    <w:basedOn w:val="af1"/>
    <w:next w:val="af1"/>
    <w:uiPriority w:val="39"/>
    <w:semiHidden/>
    <w:unhideWhenUsed/>
    <w:pPr>
      <w:ind w:left="1470"/>
      <w:jc w:val="left"/>
    </w:pPr>
    <w:rPr>
      <w:rFonts w:ascii="Calibri" w:hAnsi="Calibri" w:cs="Times New Roman"/>
      <w:sz w:val="18"/>
      <w:szCs w:val="18"/>
    </w:rPr>
  </w:style>
  <w:style w:type="paragraph" w:styleId="37">
    <w:name w:val="index 3"/>
    <w:basedOn w:val="af1"/>
    <w:next w:val="af1"/>
    <w:uiPriority w:val="99"/>
    <w:semiHidden/>
    <w:unhideWhenUsed/>
    <w:pPr>
      <w:ind w:leftChars="400" w:left="400"/>
    </w:pPr>
    <w:rPr>
      <w:rFonts w:ascii="Calibri" w:hAnsi="Calibri" w:cs="Times New Roman"/>
      <w:szCs w:val="24"/>
    </w:rPr>
  </w:style>
  <w:style w:type="paragraph" w:styleId="afff3">
    <w:name w:val="Date"/>
    <w:basedOn w:val="af1"/>
    <w:next w:val="af1"/>
    <w:link w:val="afff4"/>
    <w:uiPriority w:val="99"/>
    <w:semiHidden/>
    <w:unhideWhenUsed/>
    <w:rPr>
      <w:rFonts w:ascii="宋体" w:hAnsiTheme="minorHAnsi"/>
      <w:sz w:val="28"/>
    </w:rPr>
  </w:style>
  <w:style w:type="paragraph" w:styleId="26">
    <w:name w:val="Body Text Indent 2"/>
    <w:basedOn w:val="af1"/>
    <w:link w:val="27"/>
    <w:uiPriority w:val="99"/>
    <w:semiHidden/>
    <w:unhideWhenUsed/>
    <w:pPr>
      <w:spacing w:after="120" w:line="480" w:lineRule="auto"/>
      <w:ind w:leftChars="200" w:left="420"/>
    </w:pPr>
    <w:rPr>
      <w:rFonts w:asciiTheme="minorHAnsi" w:hAnsiTheme="minorHAnsi"/>
      <w:sz w:val="24"/>
      <w:szCs w:val="24"/>
    </w:rPr>
  </w:style>
  <w:style w:type="paragraph" w:styleId="afff5">
    <w:name w:val="endnote text"/>
    <w:basedOn w:val="af1"/>
    <w:link w:val="11"/>
    <w:uiPriority w:val="99"/>
    <w:semiHidden/>
    <w:unhideWhenUsed/>
    <w:pPr>
      <w:adjustRightInd w:val="0"/>
      <w:snapToGrid w:val="0"/>
      <w:spacing w:before="60"/>
      <w:jc w:val="left"/>
    </w:pPr>
    <w:rPr>
      <w:rFonts w:asciiTheme="minorHAnsi" w:eastAsiaTheme="minorEastAsia" w:hAnsiTheme="minorHAnsi"/>
      <w:sz w:val="24"/>
    </w:rPr>
  </w:style>
  <w:style w:type="paragraph" w:styleId="54">
    <w:name w:val="List Continue 5"/>
    <w:basedOn w:val="af1"/>
    <w:uiPriority w:val="99"/>
    <w:semiHidden/>
    <w:unhideWhenUsed/>
    <w:pPr>
      <w:widowControl/>
      <w:spacing w:after="120" w:line="520" w:lineRule="exact"/>
      <w:ind w:leftChars="1000" w:left="2100" w:firstLineChars="250" w:firstLine="700"/>
      <w:jc w:val="left"/>
    </w:pPr>
    <w:rPr>
      <w:rFonts w:ascii="Verdana" w:hAnsi="Verdana" w:cs="Verdana"/>
      <w:bCs/>
      <w:kern w:val="0"/>
      <w:sz w:val="28"/>
      <w:szCs w:val="32"/>
    </w:rPr>
  </w:style>
  <w:style w:type="paragraph" w:styleId="afff6">
    <w:name w:val="footer"/>
    <w:basedOn w:val="af1"/>
    <w:link w:val="12"/>
    <w:uiPriority w:val="99"/>
    <w:unhideWhenUsed/>
    <w:pPr>
      <w:tabs>
        <w:tab w:val="center" w:pos="4153"/>
        <w:tab w:val="right" w:pos="8306"/>
      </w:tabs>
      <w:snapToGrid w:val="0"/>
      <w:jc w:val="left"/>
    </w:pPr>
    <w:rPr>
      <w:sz w:val="18"/>
      <w:szCs w:val="18"/>
    </w:rPr>
  </w:style>
  <w:style w:type="paragraph" w:styleId="afff7">
    <w:name w:val="envelope return"/>
    <w:basedOn w:val="af1"/>
    <w:uiPriority w:val="99"/>
    <w:semiHidden/>
    <w:unhideWhenUsed/>
    <w:pPr>
      <w:widowControl/>
      <w:snapToGrid w:val="0"/>
      <w:spacing w:line="520" w:lineRule="exact"/>
      <w:ind w:firstLineChars="250" w:firstLine="700"/>
      <w:jc w:val="left"/>
    </w:pPr>
    <w:rPr>
      <w:rFonts w:ascii="Courier New" w:hAnsi="Courier New" w:cs="Courier New"/>
      <w:bCs/>
      <w:kern w:val="0"/>
      <w:sz w:val="28"/>
      <w:szCs w:val="32"/>
    </w:rPr>
  </w:style>
  <w:style w:type="paragraph" w:styleId="afff8">
    <w:name w:val="header"/>
    <w:basedOn w:val="af1"/>
    <w:link w:val="13"/>
    <w:uiPriority w:val="99"/>
    <w:unhideWhenUsed/>
    <w:pPr>
      <w:pBdr>
        <w:bottom w:val="single" w:sz="6" w:space="1" w:color="auto"/>
      </w:pBdr>
      <w:tabs>
        <w:tab w:val="center" w:pos="4153"/>
        <w:tab w:val="right" w:pos="8306"/>
      </w:tabs>
      <w:snapToGrid w:val="0"/>
      <w:jc w:val="center"/>
    </w:pPr>
    <w:rPr>
      <w:sz w:val="18"/>
      <w:szCs w:val="18"/>
    </w:rPr>
  </w:style>
  <w:style w:type="paragraph" w:styleId="afff9">
    <w:name w:val="Signature"/>
    <w:basedOn w:val="af1"/>
    <w:link w:val="afffa"/>
    <w:uiPriority w:val="99"/>
    <w:semiHidden/>
    <w:unhideWhenUsed/>
    <w:pPr>
      <w:ind w:leftChars="2100" w:left="100"/>
    </w:pPr>
    <w:rPr>
      <w:rFonts w:ascii="Calibri" w:eastAsiaTheme="minorEastAsia" w:hAnsi="Calibri"/>
      <w:szCs w:val="21"/>
    </w:rPr>
  </w:style>
  <w:style w:type="paragraph" w:styleId="TOC1">
    <w:name w:val="toc 1"/>
    <w:basedOn w:val="af1"/>
    <w:next w:val="af1"/>
    <w:uiPriority w:val="39"/>
    <w:semiHidden/>
    <w:unhideWhenUsed/>
    <w:pPr>
      <w:tabs>
        <w:tab w:val="right" w:leader="dot" w:pos="9016"/>
      </w:tabs>
      <w:spacing w:line="276" w:lineRule="auto"/>
    </w:pPr>
    <w:rPr>
      <w:b/>
      <w:color w:val="FF0000"/>
    </w:rPr>
  </w:style>
  <w:style w:type="paragraph" w:styleId="44">
    <w:name w:val="List Continue 4"/>
    <w:basedOn w:val="af1"/>
    <w:uiPriority w:val="99"/>
    <w:semiHidden/>
    <w:unhideWhenUsed/>
    <w:pPr>
      <w:widowControl/>
      <w:spacing w:after="120" w:line="520" w:lineRule="exact"/>
      <w:ind w:leftChars="800" w:left="1680" w:firstLineChars="250" w:firstLine="700"/>
      <w:jc w:val="left"/>
    </w:pPr>
    <w:rPr>
      <w:rFonts w:ascii="Verdana" w:hAnsi="Verdana" w:cs="Verdana"/>
      <w:bCs/>
      <w:kern w:val="0"/>
      <w:sz w:val="28"/>
      <w:szCs w:val="32"/>
    </w:rPr>
  </w:style>
  <w:style w:type="paragraph" w:styleId="TOC4">
    <w:name w:val="toc 4"/>
    <w:basedOn w:val="af1"/>
    <w:next w:val="af1"/>
    <w:uiPriority w:val="39"/>
    <w:semiHidden/>
    <w:unhideWhenUsed/>
    <w:pPr>
      <w:ind w:left="630"/>
      <w:jc w:val="left"/>
    </w:pPr>
    <w:rPr>
      <w:rFonts w:ascii="Calibri" w:hAnsi="Calibri" w:cs="Times New Roman"/>
      <w:sz w:val="18"/>
      <w:szCs w:val="18"/>
    </w:rPr>
  </w:style>
  <w:style w:type="paragraph" w:styleId="afffb">
    <w:name w:val="index heading"/>
    <w:basedOn w:val="af1"/>
    <w:next w:val="14"/>
    <w:uiPriority w:val="99"/>
    <w:semiHidden/>
    <w:unhideWhenUsed/>
    <w:rPr>
      <w:rFonts w:ascii="Calibri" w:hAnsi="Calibri" w:cs="Times New Roman"/>
      <w:szCs w:val="24"/>
    </w:rPr>
  </w:style>
  <w:style w:type="paragraph" w:styleId="14">
    <w:name w:val="index 1"/>
    <w:basedOn w:val="af1"/>
    <w:next w:val="af1"/>
    <w:uiPriority w:val="99"/>
    <w:semiHidden/>
    <w:unhideWhenUsed/>
    <w:rPr>
      <w:rFonts w:ascii="Calibri" w:hAnsi="Calibri" w:cs="Times New Roman"/>
      <w:szCs w:val="24"/>
    </w:rPr>
  </w:style>
  <w:style w:type="paragraph" w:styleId="afffc">
    <w:name w:val="Subtitle"/>
    <w:basedOn w:val="af1"/>
    <w:next w:val="af1"/>
    <w:link w:val="afffd"/>
    <w:uiPriority w:val="11"/>
    <w:qFormat/>
    <w:pPr>
      <w:spacing w:before="240" w:after="60" w:line="312" w:lineRule="auto"/>
      <w:jc w:val="center"/>
      <w:outlineLvl w:val="1"/>
    </w:pPr>
    <w:rPr>
      <w:rFonts w:ascii="Cambria" w:eastAsiaTheme="minorEastAsia" w:hAnsi="Cambria"/>
      <w:b/>
      <w:kern w:val="28"/>
      <w:sz w:val="32"/>
      <w:szCs w:val="21"/>
    </w:rPr>
  </w:style>
  <w:style w:type="paragraph" w:styleId="50">
    <w:name w:val="List Number 5"/>
    <w:basedOn w:val="af1"/>
    <w:uiPriority w:val="99"/>
    <w:semiHidden/>
    <w:unhideWhenUsed/>
    <w:pPr>
      <w:numPr>
        <w:numId w:val="11"/>
      </w:numPr>
    </w:pPr>
  </w:style>
  <w:style w:type="paragraph" w:styleId="afffe">
    <w:name w:val="List"/>
    <w:basedOn w:val="af1"/>
    <w:link w:val="affff"/>
    <w:uiPriority w:val="99"/>
    <w:semiHidden/>
    <w:unhideWhenUsed/>
    <w:pPr>
      <w:spacing w:line="320" w:lineRule="exact"/>
      <w:jc w:val="center"/>
    </w:pPr>
    <w:rPr>
      <w:rFonts w:ascii="仿宋_GB2312" w:eastAsia="仿宋_GB2312" w:hAnsiTheme="minorHAnsi"/>
      <w:sz w:val="24"/>
    </w:rPr>
  </w:style>
  <w:style w:type="paragraph" w:styleId="affff0">
    <w:name w:val="footnote text"/>
    <w:basedOn w:val="af1"/>
    <w:link w:val="affff1"/>
    <w:uiPriority w:val="99"/>
    <w:semiHidden/>
    <w:unhideWhenUsed/>
    <w:pPr>
      <w:snapToGrid w:val="0"/>
      <w:jc w:val="left"/>
    </w:pPr>
    <w:rPr>
      <w:rFonts w:ascii="Calibri" w:eastAsiaTheme="minorEastAsia" w:hAnsi="Calibri"/>
      <w:sz w:val="18"/>
      <w:szCs w:val="18"/>
    </w:rPr>
  </w:style>
  <w:style w:type="paragraph" w:styleId="TOC6">
    <w:name w:val="toc 6"/>
    <w:basedOn w:val="af1"/>
    <w:next w:val="af1"/>
    <w:uiPriority w:val="39"/>
    <w:semiHidden/>
    <w:unhideWhenUsed/>
    <w:pPr>
      <w:ind w:left="1050"/>
      <w:jc w:val="left"/>
    </w:pPr>
    <w:rPr>
      <w:rFonts w:ascii="Calibri" w:hAnsi="Calibri" w:cs="Times New Roman"/>
      <w:sz w:val="18"/>
      <w:szCs w:val="18"/>
    </w:rPr>
  </w:style>
  <w:style w:type="paragraph" w:styleId="55">
    <w:name w:val="List 5"/>
    <w:basedOn w:val="af1"/>
    <w:uiPriority w:val="99"/>
    <w:semiHidden/>
    <w:unhideWhenUsed/>
    <w:pPr>
      <w:adjustRightInd w:val="0"/>
      <w:spacing w:beforeLines="50" w:line="360" w:lineRule="auto"/>
      <w:ind w:left="2100" w:hanging="420"/>
      <w:textAlignment w:val="baseline"/>
    </w:pPr>
    <w:rPr>
      <w:rFonts w:ascii="Calibri" w:hAnsi="Calibri" w:cs="Times New Roman"/>
      <w:kern w:val="0"/>
      <w:sz w:val="24"/>
      <w:szCs w:val="20"/>
    </w:rPr>
  </w:style>
  <w:style w:type="paragraph" w:styleId="38">
    <w:name w:val="Body Text Indent 3"/>
    <w:basedOn w:val="af1"/>
    <w:link w:val="39"/>
    <w:uiPriority w:val="99"/>
    <w:semiHidden/>
    <w:unhideWhenUsed/>
    <w:pPr>
      <w:spacing w:after="120"/>
      <w:ind w:leftChars="200" w:left="420"/>
    </w:pPr>
    <w:rPr>
      <w:rFonts w:asciiTheme="minorHAnsi" w:hAnsiTheme="minorHAnsi"/>
      <w:sz w:val="16"/>
      <w:szCs w:val="16"/>
    </w:rPr>
  </w:style>
  <w:style w:type="paragraph" w:styleId="71">
    <w:name w:val="index 7"/>
    <w:basedOn w:val="af1"/>
    <w:next w:val="af1"/>
    <w:uiPriority w:val="99"/>
    <w:semiHidden/>
    <w:unhideWhenUsed/>
    <w:pPr>
      <w:ind w:leftChars="1200" w:left="1200"/>
    </w:pPr>
    <w:rPr>
      <w:rFonts w:ascii="Calibri" w:hAnsi="Calibri" w:cs="Times New Roman"/>
      <w:szCs w:val="24"/>
    </w:rPr>
  </w:style>
  <w:style w:type="paragraph" w:styleId="91">
    <w:name w:val="index 9"/>
    <w:basedOn w:val="af1"/>
    <w:next w:val="af1"/>
    <w:uiPriority w:val="99"/>
    <w:semiHidden/>
    <w:unhideWhenUsed/>
    <w:pPr>
      <w:ind w:leftChars="1600" w:left="1600"/>
    </w:pPr>
    <w:rPr>
      <w:rFonts w:ascii="Calibri" w:hAnsi="Calibri" w:cs="Times New Roman"/>
      <w:szCs w:val="24"/>
    </w:rPr>
  </w:style>
  <w:style w:type="paragraph" w:styleId="affff2">
    <w:name w:val="table of figures"/>
    <w:basedOn w:val="afc"/>
    <w:next w:val="1"/>
    <w:uiPriority w:val="99"/>
    <w:semiHidden/>
    <w:unhideWhenUsed/>
    <w:pPr>
      <w:spacing w:beforeLines="50" w:before="120" w:afterLines="50" w:after="120" w:line="500" w:lineRule="exact"/>
    </w:pPr>
    <w:rPr>
      <w:rFonts w:ascii="仿宋_GB2312" w:eastAsia="仿宋_GB2312"/>
      <w:sz w:val="28"/>
      <w:szCs w:val="20"/>
    </w:rPr>
  </w:style>
  <w:style w:type="paragraph" w:styleId="TOC2">
    <w:name w:val="toc 2"/>
    <w:basedOn w:val="af1"/>
    <w:next w:val="af1"/>
    <w:uiPriority w:val="39"/>
    <w:semiHidden/>
    <w:unhideWhenUsed/>
    <w:pPr>
      <w:ind w:leftChars="200" w:left="420"/>
    </w:pPr>
  </w:style>
  <w:style w:type="paragraph" w:styleId="TOC9">
    <w:name w:val="toc 9"/>
    <w:basedOn w:val="af1"/>
    <w:next w:val="af1"/>
    <w:uiPriority w:val="39"/>
    <w:semiHidden/>
    <w:unhideWhenUsed/>
    <w:pPr>
      <w:ind w:left="1680"/>
      <w:jc w:val="left"/>
    </w:pPr>
    <w:rPr>
      <w:rFonts w:ascii="Calibri" w:hAnsi="Calibri" w:cs="Times New Roman"/>
      <w:sz w:val="18"/>
      <w:szCs w:val="18"/>
    </w:rPr>
  </w:style>
  <w:style w:type="paragraph" w:styleId="28">
    <w:name w:val="Body Text 2"/>
    <w:basedOn w:val="af1"/>
    <w:link w:val="29"/>
    <w:uiPriority w:val="99"/>
    <w:semiHidden/>
    <w:unhideWhenUsed/>
    <w:pPr>
      <w:spacing w:after="120" w:line="480" w:lineRule="auto"/>
    </w:pPr>
    <w:rPr>
      <w:rFonts w:asciiTheme="minorHAnsi" w:hAnsiTheme="minorHAnsi"/>
      <w:szCs w:val="24"/>
    </w:rPr>
  </w:style>
  <w:style w:type="paragraph" w:styleId="45">
    <w:name w:val="List 4"/>
    <w:basedOn w:val="af1"/>
    <w:uiPriority w:val="99"/>
    <w:semiHidden/>
    <w:unhideWhenUsed/>
    <w:pPr>
      <w:adjustRightInd w:val="0"/>
      <w:spacing w:beforeLines="50" w:line="360" w:lineRule="auto"/>
      <w:ind w:left="1680" w:hanging="420"/>
      <w:textAlignment w:val="baseline"/>
    </w:pPr>
    <w:rPr>
      <w:rFonts w:ascii="Calibri" w:hAnsi="Calibri" w:cs="Times New Roman"/>
      <w:kern w:val="0"/>
      <w:sz w:val="24"/>
      <w:szCs w:val="20"/>
    </w:rPr>
  </w:style>
  <w:style w:type="paragraph" w:styleId="2a">
    <w:name w:val="List Continue 2"/>
    <w:basedOn w:val="af1"/>
    <w:uiPriority w:val="99"/>
    <w:semiHidden/>
    <w:unhideWhenUsed/>
    <w:pPr>
      <w:spacing w:after="120"/>
      <w:ind w:leftChars="400" w:left="840"/>
    </w:pPr>
    <w:rPr>
      <w:rFonts w:ascii="Calibri" w:hAnsi="Calibri" w:cs="Times New Roman"/>
      <w:szCs w:val="20"/>
    </w:rPr>
  </w:style>
  <w:style w:type="paragraph" w:styleId="affff3">
    <w:name w:val="Message Header"/>
    <w:basedOn w:val="af1"/>
    <w:link w:val="affff4"/>
    <w:uiPriority w:val="99"/>
    <w:semiHidden/>
    <w:unhideWhenUsed/>
    <w:pPr>
      <w:widowControl/>
      <w:pBdr>
        <w:top w:val="single" w:sz="6" w:space="1" w:color="auto"/>
        <w:left w:val="single" w:sz="6" w:space="1" w:color="auto"/>
        <w:bottom w:val="single" w:sz="6" w:space="1" w:color="auto"/>
        <w:right w:val="single" w:sz="6" w:space="1" w:color="auto"/>
      </w:pBdr>
      <w:shd w:val="pct20" w:color="auto" w:fill="auto"/>
      <w:spacing w:line="520" w:lineRule="exact"/>
      <w:ind w:leftChars="500" w:left="1080" w:hangingChars="500" w:hanging="1080"/>
      <w:jc w:val="left"/>
    </w:pPr>
    <w:rPr>
      <w:rFonts w:ascii="Courier New" w:eastAsiaTheme="minorEastAsia" w:hAnsi="Courier New"/>
      <w:sz w:val="24"/>
      <w:szCs w:val="21"/>
      <w:shd w:val="pct20" w:color="auto" w:fill="auto"/>
    </w:rPr>
  </w:style>
  <w:style w:type="paragraph" w:styleId="HTML1">
    <w:name w:val="HTML Preformatted"/>
    <w:basedOn w:val="af1"/>
    <w:link w:val="HTML2"/>
    <w:uiPriority w:val="99"/>
    <w:semiHidden/>
    <w:unhideWhenUse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sz w:val="24"/>
      <w:szCs w:val="24"/>
    </w:rPr>
  </w:style>
  <w:style w:type="paragraph" w:styleId="affff5">
    <w:name w:val="Normal (Web)"/>
    <w:basedOn w:val="af1"/>
    <w:uiPriority w:val="99"/>
    <w:semiHidden/>
    <w:unhideWhenUsed/>
    <w:pPr>
      <w:spacing w:before="100" w:beforeAutospacing="1" w:after="100" w:afterAutospacing="1"/>
      <w:jc w:val="left"/>
    </w:pPr>
    <w:rPr>
      <w:rFonts w:ascii="Calibri" w:hAnsi="Calibri" w:cs="Times New Roman"/>
      <w:kern w:val="0"/>
      <w:sz w:val="24"/>
      <w:szCs w:val="24"/>
    </w:rPr>
  </w:style>
  <w:style w:type="paragraph" w:styleId="3a">
    <w:name w:val="List Continue 3"/>
    <w:basedOn w:val="af1"/>
    <w:uiPriority w:val="99"/>
    <w:semiHidden/>
    <w:unhideWhenUsed/>
    <w:pPr>
      <w:widowControl/>
      <w:spacing w:after="120" w:line="520" w:lineRule="exact"/>
      <w:ind w:leftChars="600" w:left="1260" w:firstLineChars="250" w:firstLine="700"/>
      <w:jc w:val="left"/>
    </w:pPr>
    <w:rPr>
      <w:rFonts w:ascii="Verdana" w:hAnsi="Verdana" w:cs="Verdana"/>
      <w:bCs/>
      <w:kern w:val="0"/>
      <w:sz w:val="28"/>
      <w:szCs w:val="32"/>
    </w:rPr>
  </w:style>
  <w:style w:type="paragraph" w:styleId="2b">
    <w:name w:val="index 2"/>
    <w:basedOn w:val="af1"/>
    <w:next w:val="af1"/>
    <w:uiPriority w:val="99"/>
    <w:semiHidden/>
    <w:unhideWhenUsed/>
    <w:pPr>
      <w:ind w:leftChars="200" w:left="200"/>
    </w:pPr>
    <w:rPr>
      <w:rFonts w:ascii="Calibri" w:hAnsi="Calibri" w:cs="Times New Roman"/>
      <w:szCs w:val="24"/>
    </w:rPr>
  </w:style>
  <w:style w:type="paragraph" w:styleId="affff6">
    <w:name w:val="Title"/>
    <w:basedOn w:val="af1"/>
    <w:link w:val="affff7"/>
    <w:uiPriority w:val="10"/>
    <w:qFormat/>
    <w:pPr>
      <w:adjustRightInd w:val="0"/>
      <w:spacing w:before="360" w:after="360" w:line="312" w:lineRule="atLeast"/>
      <w:jc w:val="center"/>
      <w:textAlignment w:val="baseline"/>
      <w:outlineLvl w:val="0"/>
    </w:pPr>
    <w:rPr>
      <w:rFonts w:ascii="Arial" w:eastAsia="黑体" w:hAnsi="Arial"/>
      <w:sz w:val="44"/>
    </w:rPr>
  </w:style>
  <w:style w:type="paragraph" w:styleId="affff8">
    <w:name w:val="annotation subject"/>
    <w:basedOn w:val="aff8"/>
    <w:next w:val="aff8"/>
    <w:link w:val="affff9"/>
    <w:uiPriority w:val="99"/>
    <w:semiHidden/>
    <w:unhideWhenUsed/>
    <w:rPr>
      <w:b/>
      <w:bCs/>
    </w:rPr>
  </w:style>
  <w:style w:type="paragraph" w:styleId="affffa">
    <w:name w:val="Body Text First Indent"/>
    <w:basedOn w:val="affe"/>
    <w:link w:val="affffb"/>
    <w:uiPriority w:val="99"/>
    <w:semiHidden/>
    <w:unhideWhenUsed/>
    <w:pPr>
      <w:ind w:firstLineChars="100" w:firstLine="420"/>
    </w:pPr>
    <w:rPr>
      <w:rFonts w:eastAsia="宋体"/>
    </w:rPr>
  </w:style>
  <w:style w:type="table" w:styleId="affffc">
    <w:name w:val="Table Grid"/>
    <w:basedOn w:val="af4"/>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ffd">
    <w:name w:val="Table Theme"/>
    <w:basedOn w:val="af4"/>
    <w:uiPriority w:val="99"/>
    <w:semiHidden/>
    <w:unhideWhenUsed/>
    <w:pPr>
      <w:widowControl w:val="0"/>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6">
    <w:name w:val="Table Grid 4"/>
    <w:basedOn w:val="af4"/>
    <w:uiPriority w:val="99"/>
    <w:semiHidden/>
    <w:unhideWhenUsed/>
    <w:pPr>
      <w:widowControl w:val="0"/>
      <w:jc w:val="both"/>
    </w:pPr>
    <w:rPr>
      <w:rFonts w:ascii="Calibri" w:hAnsi="Calibri"/>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top w:val="nil"/>
          <w:left w:val="nil"/>
          <w:bottom w:val="single" w:sz="6" w:space="0" w:color="000000"/>
          <w:right w:val="nil"/>
          <w:insideH w:val="nil"/>
          <w:insideV w:val="nil"/>
          <w:tl2br w:val="nil"/>
          <w:tr2bl w:val="nil"/>
        </w:tcBorders>
        <w:shd w:val="pct30" w:color="FFFF00" w:fill="FFFFFF"/>
      </w:tcPr>
    </w:tblStylePr>
    <w:tblStylePr w:type="lastRow">
      <w:rPr>
        <w:b/>
        <w:bCs/>
        <w:color w:val="auto"/>
      </w:rPr>
      <w:tblPr/>
      <w:tcPr>
        <w:tcBorders>
          <w:top w:val="single" w:sz="6" w:space="0" w:color="00000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character" w:styleId="affffe">
    <w:name w:val="Strong"/>
    <w:uiPriority w:val="22"/>
    <w:qFormat/>
    <w:rPr>
      <w:rFonts w:ascii="Times New Roman" w:eastAsia="宋体" w:hAnsi="Times New Roman" w:cs="Times New Roman"/>
      <w:b/>
      <w:bCs/>
      <w:lang w:val="en-US" w:eastAsia="zh-CN" w:bidi="ar-SA"/>
    </w:rPr>
  </w:style>
  <w:style w:type="character" w:styleId="afffff">
    <w:name w:val="endnote reference"/>
    <w:uiPriority w:val="99"/>
    <w:semiHidden/>
    <w:unhideWhenUsed/>
    <w:rPr>
      <w:rFonts w:ascii="Times New Roman" w:eastAsia="宋体" w:hAnsi="Times New Roman" w:cs="Times New Roman"/>
      <w:vertAlign w:val="superscript"/>
      <w:lang w:val="en-US" w:eastAsia="zh-CN" w:bidi="ar-SA"/>
    </w:rPr>
  </w:style>
  <w:style w:type="character" w:styleId="afffff0">
    <w:name w:val="page number"/>
    <w:basedOn w:val="af3"/>
    <w:uiPriority w:val="99"/>
    <w:semiHidden/>
    <w:unhideWhenUsed/>
    <w:rPr>
      <w:rFonts w:ascii="Times New Roman" w:eastAsia="宋体" w:hAnsi="Times New Roman" w:cs="Times New Roman"/>
      <w:lang w:val="en-US" w:eastAsia="zh-CN" w:bidi="ar-SA"/>
    </w:rPr>
  </w:style>
  <w:style w:type="character" w:styleId="afffff1">
    <w:name w:val="FollowedHyperlink"/>
    <w:basedOn w:val="af3"/>
    <w:uiPriority w:val="99"/>
    <w:semiHidden/>
    <w:unhideWhenUsed/>
    <w:rPr>
      <w:rFonts w:ascii="Times New Roman" w:eastAsia="宋体" w:hAnsi="Times New Roman" w:cs="Times New Roman"/>
      <w:color w:val="338DE6"/>
      <w:u w:val="none"/>
      <w:lang w:val="en-US" w:eastAsia="zh-CN" w:bidi="ar-SA"/>
    </w:rPr>
  </w:style>
  <w:style w:type="character" w:styleId="afffff2">
    <w:name w:val="Emphasis"/>
    <w:uiPriority w:val="20"/>
    <w:qFormat/>
    <w:rPr>
      <w:rFonts w:ascii="Times New Roman" w:eastAsia="宋体" w:hAnsi="Times New Roman" w:cs="Times New Roman"/>
      <w:color w:val="CC0000"/>
      <w:lang w:val="en-US" w:eastAsia="zh-CN" w:bidi="ar-SA"/>
    </w:rPr>
  </w:style>
  <w:style w:type="character" w:styleId="afffff3">
    <w:name w:val="line number"/>
    <w:basedOn w:val="af3"/>
    <w:uiPriority w:val="99"/>
    <w:semiHidden/>
    <w:unhideWhenUsed/>
    <w:rPr>
      <w:rFonts w:ascii="Times New Roman" w:eastAsia="宋体" w:hAnsi="Times New Roman" w:cs="Times New Roman"/>
      <w:lang w:val="en-US" w:eastAsia="zh-CN" w:bidi="ar-SA"/>
    </w:rPr>
  </w:style>
  <w:style w:type="character" w:styleId="HTML3">
    <w:name w:val="HTML Definition"/>
    <w:uiPriority w:val="99"/>
    <w:semiHidden/>
    <w:unhideWhenUsed/>
    <w:rPr>
      <w:rFonts w:ascii="Times New Roman" w:eastAsia="宋体" w:hAnsi="Times New Roman" w:cs="Times New Roman"/>
      <w:lang w:val="en-US" w:eastAsia="zh-CN" w:bidi="ar-SA"/>
    </w:rPr>
  </w:style>
  <w:style w:type="character" w:styleId="HTML4">
    <w:name w:val="HTML Typewriter"/>
    <w:uiPriority w:val="99"/>
    <w:semiHidden/>
    <w:unhideWhenUsed/>
    <w:rPr>
      <w:rFonts w:ascii="宋体" w:eastAsia="宋体" w:hAnsi="宋体" w:cs="宋体"/>
      <w:sz w:val="24"/>
      <w:szCs w:val="24"/>
      <w:lang w:val="en-US" w:eastAsia="zh-CN" w:bidi="ar-SA"/>
    </w:rPr>
  </w:style>
  <w:style w:type="character" w:styleId="HTML5">
    <w:name w:val="HTML Acronym"/>
    <w:uiPriority w:val="99"/>
    <w:semiHidden/>
    <w:unhideWhenUsed/>
    <w:rPr>
      <w:rFonts w:ascii="Arial Black" w:eastAsia="Times New Roman" w:hAnsi="Arial Black" w:cs="Times New Roman"/>
      <w:kern w:val="2"/>
      <w:sz w:val="21"/>
      <w:szCs w:val="24"/>
      <w:lang w:val="en-US" w:eastAsia="en-US" w:bidi="ar-SA"/>
    </w:rPr>
  </w:style>
  <w:style w:type="character" w:styleId="HTML6">
    <w:name w:val="HTML Variable"/>
    <w:uiPriority w:val="99"/>
    <w:semiHidden/>
    <w:unhideWhenUsed/>
    <w:rPr>
      <w:rFonts w:ascii="Times New Roman" w:eastAsia="宋体" w:hAnsi="Times New Roman" w:cs="Times New Roman"/>
      <w:lang w:val="en-US" w:eastAsia="zh-CN" w:bidi="ar-SA"/>
    </w:rPr>
  </w:style>
  <w:style w:type="character" w:styleId="afffff4">
    <w:name w:val="Hyperlink"/>
    <w:basedOn w:val="af3"/>
    <w:uiPriority w:val="99"/>
    <w:semiHidden/>
    <w:unhideWhenUsed/>
    <w:rPr>
      <w:color w:val="0563C1" w:themeColor="hyperlink"/>
      <w:u w:val="single"/>
    </w:rPr>
  </w:style>
  <w:style w:type="character" w:styleId="HTML7">
    <w:name w:val="HTML Code"/>
    <w:uiPriority w:val="99"/>
    <w:semiHidden/>
    <w:unhideWhenUsed/>
    <w:rPr>
      <w:rFonts w:ascii="monospace" w:eastAsia="monospace" w:hAnsi="monospace" w:cs="monospace"/>
      <w:sz w:val="21"/>
      <w:szCs w:val="21"/>
      <w:lang w:val="en-US" w:eastAsia="zh-CN" w:bidi="ar-SA"/>
    </w:rPr>
  </w:style>
  <w:style w:type="character" w:styleId="afffff5">
    <w:name w:val="annotation reference"/>
    <w:basedOn w:val="af3"/>
    <w:uiPriority w:val="99"/>
    <w:semiHidden/>
    <w:unhideWhenUsed/>
    <w:rPr>
      <w:sz w:val="21"/>
      <w:szCs w:val="21"/>
    </w:rPr>
  </w:style>
  <w:style w:type="character" w:styleId="HTML8">
    <w:name w:val="HTML Cite"/>
    <w:uiPriority w:val="99"/>
    <w:semiHidden/>
    <w:unhideWhenUsed/>
    <w:rPr>
      <w:rFonts w:ascii="Times New Roman" w:eastAsia="宋体" w:hAnsi="Times New Roman" w:cs="Times New Roman"/>
      <w:lang w:val="en-US" w:eastAsia="zh-CN" w:bidi="ar-SA"/>
    </w:rPr>
  </w:style>
  <w:style w:type="character" w:styleId="afffff6">
    <w:name w:val="footnote reference"/>
    <w:uiPriority w:val="99"/>
    <w:semiHidden/>
    <w:unhideWhenUsed/>
    <w:rPr>
      <w:rFonts w:ascii="Times New Roman" w:eastAsia="宋体" w:hAnsi="Times New Roman" w:cs="Times New Roman"/>
      <w:vertAlign w:val="superscript"/>
      <w:lang w:val="en-US" w:eastAsia="zh-CN" w:bidi="ar-SA"/>
    </w:rPr>
  </w:style>
  <w:style w:type="character" w:styleId="HTML9">
    <w:name w:val="HTML Keyboard"/>
    <w:uiPriority w:val="99"/>
    <w:semiHidden/>
    <w:unhideWhenUsed/>
    <w:rPr>
      <w:rFonts w:ascii="monospace" w:eastAsia="monospace" w:hAnsi="monospace" w:cs="monospace" w:hint="default"/>
      <w:sz w:val="21"/>
      <w:szCs w:val="21"/>
      <w:lang w:val="en-US" w:eastAsia="zh-CN" w:bidi="ar-SA"/>
    </w:rPr>
  </w:style>
  <w:style w:type="character" w:styleId="HTMLa">
    <w:name w:val="HTML Sample"/>
    <w:uiPriority w:val="99"/>
    <w:semiHidden/>
    <w:unhideWhenUsed/>
    <w:rPr>
      <w:rFonts w:ascii="monospace" w:eastAsia="monospace" w:hAnsi="monospace" w:cs="monospace" w:hint="default"/>
      <w:sz w:val="21"/>
      <w:szCs w:val="21"/>
      <w:lang w:val="en-US" w:eastAsia="zh-CN" w:bidi="ar-SA"/>
    </w:rPr>
  </w:style>
  <w:style w:type="character" w:customStyle="1" w:styleId="Char">
    <w:name w:val="页眉 Char"/>
    <w:basedOn w:val="af3"/>
    <w:uiPriority w:val="99"/>
    <w:qFormat/>
    <w:rPr>
      <w:rFonts w:ascii="Times New Roman" w:eastAsia="宋体" w:hAnsi="Times New Roman"/>
      <w:sz w:val="18"/>
      <w:szCs w:val="18"/>
    </w:rPr>
  </w:style>
  <w:style w:type="character" w:customStyle="1" w:styleId="Char0">
    <w:name w:val="页脚 Char"/>
    <w:basedOn w:val="af3"/>
    <w:uiPriority w:val="99"/>
    <w:qFormat/>
    <w:rPr>
      <w:rFonts w:ascii="Times New Roman" w:eastAsia="宋体" w:hAnsi="Times New Roman"/>
      <w:sz w:val="18"/>
      <w:szCs w:val="18"/>
    </w:rPr>
  </w:style>
  <w:style w:type="paragraph" w:customStyle="1" w:styleId="afffff7">
    <w:name w:val="正文标题"/>
    <w:basedOn w:val="af1"/>
    <w:link w:val="Char1"/>
    <w:qFormat/>
    <w:pPr>
      <w:spacing w:line="360" w:lineRule="auto"/>
      <w:ind w:firstLineChars="200" w:firstLine="200"/>
      <w:outlineLvl w:val="4"/>
    </w:pPr>
    <w:rPr>
      <w:rFonts w:eastAsiaTheme="minorEastAsia" w:cs="Times New Roman"/>
      <w:b/>
      <w:sz w:val="24"/>
      <w:szCs w:val="24"/>
    </w:rPr>
  </w:style>
  <w:style w:type="character" w:customStyle="1" w:styleId="Char1">
    <w:name w:val="正文标题 Char"/>
    <w:link w:val="afffff7"/>
    <w:qFormat/>
    <w:rPr>
      <w:rFonts w:ascii="Times New Roman" w:hAnsi="Times New Roman" w:cs="Times New Roman"/>
      <w:b/>
      <w:sz w:val="24"/>
      <w:szCs w:val="24"/>
    </w:rPr>
  </w:style>
  <w:style w:type="paragraph" w:customStyle="1" w:styleId="a7">
    <w:name w:val="一级标题"/>
    <w:basedOn w:val="af1"/>
    <w:link w:val="Char2"/>
    <w:qFormat/>
    <w:pPr>
      <w:numPr>
        <w:numId w:val="12"/>
      </w:numPr>
      <w:spacing w:line="360" w:lineRule="auto"/>
      <w:outlineLvl w:val="0"/>
    </w:pPr>
    <w:rPr>
      <w:rFonts w:eastAsia="黑体"/>
      <w:sz w:val="32"/>
      <w:szCs w:val="24"/>
    </w:rPr>
  </w:style>
  <w:style w:type="paragraph" w:customStyle="1" w:styleId="a8">
    <w:name w:val="二级标题"/>
    <w:basedOn w:val="af1"/>
    <w:link w:val="Char3"/>
    <w:qFormat/>
    <w:pPr>
      <w:numPr>
        <w:ilvl w:val="1"/>
        <w:numId w:val="12"/>
      </w:numPr>
      <w:spacing w:line="360" w:lineRule="auto"/>
      <w:outlineLvl w:val="1"/>
    </w:pPr>
    <w:rPr>
      <w:rFonts w:eastAsia="黑体"/>
      <w:sz w:val="30"/>
      <w:szCs w:val="24"/>
    </w:rPr>
  </w:style>
  <w:style w:type="character" w:customStyle="1" w:styleId="Char2">
    <w:name w:val="一级标题 Char"/>
    <w:basedOn w:val="af3"/>
    <w:link w:val="a7"/>
    <w:qFormat/>
    <w:rPr>
      <w:rFonts w:ascii="Times New Roman" w:eastAsia="黑体" w:hAnsi="Times New Roman"/>
      <w:sz w:val="32"/>
      <w:szCs w:val="24"/>
    </w:rPr>
  </w:style>
  <w:style w:type="paragraph" w:customStyle="1" w:styleId="a9">
    <w:name w:val="三级标题"/>
    <w:basedOn w:val="af1"/>
    <w:link w:val="Char4"/>
    <w:qFormat/>
    <w:pPr>
      <w:numPr>
        <w:ilvl w:val="2"/>
        <w:numId w:val="12"/>
      </w:numPr>
      <w:spacing w:line="360" w:lineRule="auto"/>
      <w:outlineLvl w:val="2"/>
    </w:pPr>
    <w:rPr>
      <w:rFonts w:eastAsia="黑体"/>
      <w:sz w:val="28"/>
      <w:szCs w:val="24"/>
    </w:rPr>
  </w:style>
  <w:style w:type="character" w:customStyle="1" w:styleId="Char3">
    <w:name w:val="二级标题 Char"/>
    <w:basedOn w:val="af3"/>
    <w:link w:val="a8"/>
    <w:qFormat/>
    <w:rPr>
      <w:rFonts w:ascii="Times New Roman" w:eastAsia="黑体" w:hAnsi="Times New Roman"/>
      <w:sz w:val="30"/>
      <w:szCs w:val="24"/>
    </w:rPr>
  </w:style>
  <w:style w:type="paragraph" w:customStyle="1" w:styleId="aa">
    <w:name w:val="四级标题"/>
    <w:basedOn w:val="af1"/>
    <w:link w:val="CharChar"/>
    <w:qFormat/>
    <w:pPr>
      <w:numPr>
        <w:ilvl w:val="3"/>
        <w:numId w:val="12"/>
      </w:numPr>
      <w:spacing w:line="360" w:lineRule="auto"/>
      <w:outlineLvl w:val="3"/>
    </w:pPr>
    <w:rPr>
      <w:rFonts w:eastAsia="黑体"/>
      <w:sz w:val="24"/>
      <w:szCs w:val="24"/>
    </w:rPr>
  </w:style>
  <w:style w:type="character" w:customStyle="1" w:styleId="Char4">
    <w:name w:val="三级标题 Char"/>
    <w:basedOn w:val="af3"/>
    <w:link w:val="a9"/>
    <w:qFormat/>
    <w:rPr>
      <w:rFonts w:ascii="Times New Roman" w:eastAsia="黑体" w:hAnsi="Times New Roman"/>
      <w:sz w:val="28"/>
      <w:szCs w:val="24"/>
    </w:rPr>
  </w:style>
  <w:style w:type="character" w:customStyle="1" w:styleId="Char5">
    <w:name w:val="四级标题 Char"/>
    <w:basedOn w:val="af3"/>
    <w:qFormat/>
    <w:rPr>
      <w:rFonts w:ascii="Times New Roman" w:eastAsia="黑体" w:hAnsi="Times New Roman"/>
      <w:sz w:val="24"/>
      <w:szCs w:val="24"/>
    </w:rPr>
  </w:style>
  <w:style w:type="paragraph" w:customStyle="1" w:styleId="afffff8">
    <w:name w:val="表格内容"/>
    <w:basedOn w:val="af1"/>
    <w:next w:val="af1"/>
    <w:link w:val="Char6"/>
    <w:qFormat/>
    <w:pPr>
      <w:jc w:val="center"/>
    </w:pPr>
    <w:rPr>
      <w:szCs w:val="21"/>
    </w:rPr>
  </w:style>
  <w:style w:type="paragraph" w:customStyle="1" w:styleId="afffff9">
    <w:name w:val="图表标题"/>
    <w:basedOn w:val="afffffa"/>
    <w:next w:val="afffffb"/>
    <w:link w:val="CharChar0"/>
    <w:qFormat/>
    <w:rPr>
      <w:rFonts w:eastAsia="黑体" w:cs="Times New Roman"/>
      <w:szCs w:val="21"/>
    </w:rPr>
  </w:style>
  <w:style w:type="paragraph" w:customStyle="1" w:styleId="afffffa">
    <w:name w:val="图片"/>
    <w:basedOn w:val="af1"/>
    <w:qFormat/>
    <w:pPr>
      <w:spacing w:line="360" w:lineRule="auto"/>
      <w:jc w:val="center"/>
    </w:pPr>
    <w:rPr>
      <w:rFonts w:ascii="Calibri" w:hAnsi="Calibri" w:cs="宋体"/>
      <w:sz w:val="24"/>
      <w:szCs w:val="20"/>
    </w:rPr>
  </w:style>
  <w:style w:type="paragraph" w:customStyle="1" w:styleId="afffffb">
    <w:name w:val="报告表格"/>
    <w:basedOn w:val="af1"/>
    <w:link w:val="Char7"/>
    <w:qFormat/>
    <w:pPr>
      <w:autoSpaceDE w:val="0"/>
      <w:autoSpaceDN w:val="0"/>
      <w:adjustRightInd w:val="0"/>
      <w:spacing w:before="40" w:after="40"/>
      <w:jc w:val="center"/>
      <w:textAlignment w:val="bottom"/>
    </w:pPr>
    <w:rPr>
      <w:rFonts w:asciiTheme="minorHAnsi" w:eastAsiaTheme="minorEastAsia" w:hAnsiTheme="minorHAnsi"/>
    </w:rPr>
  </w:style>
  <w:style w:type="character" w:customStyle="1" w:styleId="Char6">
    <w:name w:val="表格内容 Char"/>
    <w:basedOn w:val="af3"/>
    <w:link w:val="afffff8"/>
    <w:qFormat/>
    <w:rPr>
      <w:rFonts w:ascii="Times New Roman" w:eastAsia="宋体" w:hAnsi="Times New Roman"/>
      <w:szCs w:val="21"/>
    </w:rPr>
  </w:style>
  <w:style w:type="paragraph" w:customStyle="1" w:styleId="afffffc">
    <w:name w:val="表格"/>
    <w:basedOn w:val="af1"/>
    <w:next w:val="afffffd"/>
    <w:link w:val="CharChar1"/>
    <w:qFormat/>
    <w:pPr>
      <w:jc w:val="center"/>
    </w:pPr>
    <w:rPr>
      <w:rFonts w:asciiTheme="minorHAnsi" w:eastAsiaTheme="minorEastAsia" w:hAnsiTheme="minorHAnsi" w:cstheme="minorHAnsi"/>
      <w:color w:val="FF0000"/>
      <w:szCs w:val="21"/>
    </w:rPr>
  </w:style>
  <w:style w:type="paragraph" w:customStyle="1" w:styleId="afffffd">
    <w:name w:val="表格后空格"/>
    <w:basedOn w:val="af1"/>
    <w:next w:val="af1"/>
    <w:qFormat/>
    <w:rPr>
      <w:rFonts w:ascii="Calibri" w:hAnsi="Calibri" w:cs="Times New Roman"/>
      <w:szCs w:val="24"/>
    </w:rPr>
  </w:style>
  <w:style w:type="character" w:customStyle="1" w:styleId="Char8">
    <w:name w:val="图表标题 Char"/>
    <w:basedOn w:val="af3"/>
    <w:qFormat/>
    <w:rPr>
      <w:rFonts w:ascii="Times New Roman" w:eastAsia="黑体" w:hAnsi="Times New Roman" w:cs="Times New Roman"/>
      <w:szCs w:val="21"/>
    </w:rPr>
  </w:style>
  <w:style w:type="character" w:customStyle="1" w:styleId="Char9">
    <w:name w:val="表格 Char"/>
    <w:basedOn w:val="af3"/>
    <w:qFormat/>
    <w:rPr>
      <w:rFonts w:cstheme="minorHAnsi"/>
      <w:color w:val="FF0000"/>
      <w:szCs w:val="21"/>
    </w:rPr>
  </w:style>
  <w:style w:type="paragraph" w:styleId="afffffe">
    <w:name w:val="List Paragraph"/>
    <w:basedOn w:val="af1"/>
    <w:uiPriority w:val="34"/>
    <w:qFormat/>
    <w:pPr>
      <w:ind w:firstLineChars="200" w:firstLine="420"/>
    </w:pPr>
  </w:style>
  <w:style w:type="character" w:customStyle="1" w:styleId="Chara">
    <w:name w:val="正文文本 Char"/>
    <w:qFormat/>
    <w:rPr>
      <w:szCs w:val="24"/>
    </w:rPr>
  </w:style>
  <w:style w:type="character" w:customStyle="1" w:styleId="Char10">
    <w:name w:val="正文文本 Char1"/>
    <w:basedOn w:val="af3"/>
    <w:uiPriority w:val="99"/>
    <w:semiHidden/>
    <w:qFormat/>
    <w:rPr>
      <w:rFonts w:ascii="Times New Roman" w:eastAsia="宋体" w:hAnsi="Times New Roman"/>
    </w:rPr>
  </w:style>
  <w:style w:type="character" w:customStyle="1" w:styleId="33">
    <w:name w:val="正文文本缩进 字符3"/>
    <w:basedOn w:val="af3"/>
    <w:link w:val="af6"/>
    <w:uiPriority w:val="99"/>
    <w:semiHidden/>
    <w:qFormat/>
    <w:rPr>
      <w:rFonts w:asciiTheme="minorHAnsi" w:eastAsiaTheme="minorEastAsia" w:hAnsiTheme="minorHAnsi" w:cstheme="minorBidi"/>
      <w:color w:val="000000"/>
      <w:sz w:val="28"/>
    </w:rPr>
  </w:style>
  <w:style w:type="character" w:customStyle="1" w:styleId="Charb">
    <w:name w:val="正文缩进 Char"/>
    <w:basedOn w:val="af3"/>
    <w:qFormat/>
    <w:rPr>
      <w:rFonts w:eastAsia="宋体"/>
    </w:rPr>
  </w:style>
  <w:style w:type="paragraph" w:customStyle="1" w:styleId="-1">
    <w:name w:val="正文-欣欣"/>
    <w:basedOn w:val="af1"/>
    <w:next w:val="af1"/>
    <w:link w:val="-Char"/>
    <w:qFormat/>
    <w:pPr>
      <w:adjustRightInd w:val="0"/>
      <w:spacing w:line="360" w:lineRule="auto"/>
      <w:ind w:firstLineChars="200" w:firstLine="200"/>
    </w:pPr>
    <w:rPr>
      <w:rFonts w:cs="Times New Roman"/>
      <w:sz w:val="24"/>
      <w:szCs w:val="30"/>
    </w:rPr>
  </w:style>
  <w:style w:type="character" w:customStyle="1" w:styleId="Charc">
    <w:name w:val="批注文字 Char"/>
    <w:basedOn w:val="af3"/>
    <w:uiPriority w:val="99"/>
    <w:semiHidden/>
    <w:qFormat/>
    <w:rPr>
      <w:rFonts w:ascii="Times New Roman" w:eastAsia="宋体" w:hAnsi="Times New Roman"/>
    </w:rPr>
  </w:style>
  <w:style w:type="character" w:customStyle="1" w:styleId="Chard">
    <w:name w:val="批注主题 Char"/>
    <w:basedOn w:val="Charc"/>
    <w:uiPriority w:val="99"/>
    <w:semiHidden/>
    <w:qFormat/>
    <w:rPr>
      <w:rFonts w:ascii="Times New Roman" w:eastAsia="宋体" w:hAnsi="Times New Roman"/>
      <w:b/>
      <w:bCs/>
    </w:rPr>
  </w:style>
  <w:style w:type="paragraph" w:customStyle="1" w:styleId="affffff">
    <w:name w:val="表格首行"/>
    <w:basedOn w:val="af1"/>
    <w:next w:val="af1"/>
    <w:qFormat/>
    <w:pPr>
      <w:jc w:val="center"/>
    </w:pPr>
    <w:rPr>
      <w:rFonts w:cs="宋体"/>
      <w:b/>
      <w:szCs w:val="20"/>
    </w:rPr>
  </w:style>
  <w:style w:type="character" w:customStyle="1" w:styleId="Chare">
    <w:name w:val="批注框文本 Char"/>
    <w:basedOn w:val="af3"/>
    <w:uiPriority w:val="99"/>
    <w:semiHidden/>
    <w:qFormat/>
    <w:rPr>
      <w:rFonts w:ascii="Times New Roman" w:eastAsia="宋体" w:hAnsi="Times New Roman"/>
      <w:sz w:val="18"/>
      <w:szCs w:val="18"/>
    </w:rPr>
  </w:style>
  <w:style w:type="character" w:customStyle="1" w:styleId="Charf">
    <w:name w:val="纯文本 Char"/>
    <w:basedOn w:val="af3"/>
    <w:uiPriority w:val="99"/>
    <w:semiHidden/>
    <w:qFormat/>
    <w:rPr>
      <w:rFonts w:ascii="宋体" w:eastAsia="宋体" w:hAnsi="Courier New" w:cs="Courier New"/>
      <w:kern w:val="2"/>
      <w:sz w:val="21"/>
      <w:szCs w:val="21"/>
      <w:lang w:val="en-US" w:eastAsia="zh-CN" w:bidi="ar-SA"/>
    </w:rPr>
  </w:style>
  <w:style w:type="character" w:customStyle="1" w:styleId="Char11">
    <w:name w:val="纯文本 Char1"/>
    <w:qFormat/>
    <w:rPr>
      <w:rFonts w:ascii="宋体" w:eastAsiaTheme="minorEastAsia" w:hAnsi="Courier New" w:cs="Courier New"/>
      <w:kern w:val="2"/>
      <w:sz w:val="21"/>
      <w:szCs w:val="21"/>
      <w:lang w:val="en-US" w:eastAsia="zh-CN" w:bidi="ar-SA"/>
    </w:rPr>
  </w:style>
  <w:style w:type="character" w:customStyle="1" w:styleId="Charf0">
    <w:name w:val="报告书 Char"/>
    <w:link w:val="affffff0"/>
    <w:qFormat/>
    <w:rPr>
      <w:rFonts w:asciiTheme="minorHAnsi" w:eastAsiaTheme="minorEastAsia" w:hAnsi="宋体" w:cstheme="minorBidi"/>
      <w:kern w:val="2"/>
      <w:sz w:val="24"/>
      <w:szCs w:val="24"/>
      <w:lang w:val="en-US" w:eastAsia="zh-CN" w:bidi="ar-SA"/>
    </w:rPr>
  </w:style>
  <w:style w:type="paragraph" w:customStyle="1" w:styleId="affffff0">
    <w:name w:val="报告书"/>
    <w:basedOn w:val="af1"/>
    <w:link w:val="Charf0"/>
    <w:qFormat/>
    <w:pPr>
      <w:autoSpaceDE w:val="0"/>
      <w:autoSpaceDN w:val="0"/>
      <w:spacing w:line="520" w:lineRule="exact"/>
      <w:textAlignment w:val="bottom"/>
    </w:pPr>
    <w:rPr>
      <w:rFonts w:asciiTheme="minorHAnsi" w:hAnsi="宋体"/>
      <w:sz w:val="24"/>
      <w:szCs w:val="24"/>
    </w:rPr>
  </w:style>
  <w:style w:type="character" w:customStyle="1" w:styleId="DefaultCharChar">
    <w:name w:val="Default Char Char"/>
    <w:link w:val="Default"/>
    <w:qFormat/>
    <w:rPr>
      <w:rFonts w:ascii="仿宋_GB2312" w:eastAsia="仿宋_GB2312" w:hAnsiTheme="minorHAnsi" w:cs="仿宋_GB2312"/>
      <w:color w:val="000000"/>
      <w:kern w:val="2"/>
      <w:sz w:val="24"/>
      <w:szCs w:val="24"/>
      <w:lang w:val="en-US" w:eastAsia="zh-CN" w:bidi="ar-SA"/>
    </w:rPr>
  </w:style>
  <w:style w:type="paragraph" w:customStyle="1" w:styleId="Default">
    <w:name w:val="Default"/>
    <w:link w:val="DefaultCharChar"/>
    <w:qFormat/>
    <w:pPr>
      <w:widowControl w:val="0"/>
      <w:autoSpaceDE w:val="0"/>
      <w:autoSpaceDN w:val="0"/>
      <w:adjustRightInd w:val="0"/>
    </w:pPr>
    <w:rPr>
      <w:rFonts w:ascii="仿宋_GB2312" w:eastAsia="仿宋_GB2312" w:cs="仿宋_GB2312"/>
      <w:color w:val="000000"/>
      <w:kern w:val="2"/>
      <w:sz w:val="24"/>
      <w:szCs w:val="24"/>
    </w:rPr>
  </w:style>
  <w:style w:type="paragraph" w:customStyle="1" w:styleId="TableParagraph">
    <w:name w:val="Table Paragraph"/>
    <w:basedOn w:val="af1"/>
    <w:uiPriority w:val="1"/>
    <w:qFormat/>
    <w:pPr>
      <w:autoSpaceDE w:val="0"/>
      <w:autoSpaceDN w:val="0"/>
      <w:adjustRightInd w:val="0"/>
      <w:jc w:val="left"/>
    </w:pPr>
    <w:rPr>
      <w:rFonts w:ascii="Calibri" w:hAnsi="Calibri" w:cs="Times New Roman"/>
      <w:kern w:val="0"/>
      <w:sz w:val="24"/>
      <w:szCs w:val="24"/>
    </w:rPr>
  </w:style>
  <w:style w:type="character" w:customStyle="1" w:styleId="Charf1">
    <w:name w:val="报告表正文 Char"/>
    <w:link w:val="affffff1"/>
    <w:qFormat/>
    <w:locked/>
    <w:rPr>
      <w:rFonts w:asciiTheme="minorHAnsi" w:eastAsiaTheme="minorEastAsia" w:hAnsiTheme="minorHAnsi" w:cstheme="minorBidi"/>
      <w:kern w:val="2"/>
      <w:sz w:val="24"/>
      <w:szCs w:val="22"/>
      <w:lang w:val="en-US" w:eastAsia="zh-CN" w:bidi="ar-SA"/>
    </w:rPr>
  </w:style>
  <w:style w:type="paragraph" w:customStyle="1" w:styleId="affffff1">
    <w:name w:val="报告表正文"/>
    <w:basedOn w:val="af1"/>
    <w:link w:val="Charf1"/>
    <w:qFormat/>
    <w:pPr>
      <w:adjustRightInd w:val="0"/>
      <w:spacing w:line="312" w:lineRule="auto"/>
      <w:ind w:left="113" w:right="113" w:firstLine="482"/>
      <w:jc w:val="left"/>
      <w:textAlignment w:val="baseline"/>
    </w:pPr>
    <w:rPr>
      <w:rFonts w:asciiTheme="minorHAnsi" w:eastAsiaTheme="minorEastAsia" w:hAnsiTheme="minorHAnsi"/>
      <w:sz w:val="24"/>
    </w:rPr>
  </w:style>
  <w:style w:type="paragraph" w:customStyle="1" w:styleId="affffff2">
    <w:name w:val="a表格字体"/>
    <w:basedOn w:val="af1"/>
    <w:qFormat/>
    <w:pPr>
      <w:jc w:val="center"/>
    </w:pPr>
    <w:rPr>
      <w:rFonts w:ascii="Calibri" w:hAnsi="Calibri" w:cs="Times New Roman"/>
      <w:szCs w:val="21"/>
    </w:rPr>
  </w:style>
  <w:style w:type="paragraph" w:customStyle="1" w:styleId="ss">
    <w:name w:val="ss正文"/>
    <w:basedOn w:val="Affffff3"/>
    <w:qFormat/>
    <w:pPr>
      <w:spacing w:line="360" w:lineRule="auto"/>
      <w:ind w:firstLine="480"/>
    </w:pPr>
  </w:style>
  <w:style w:type="paragraph" w:customStyle="1" w:styleId="Affffff3">
    <w:name w:val="A正文"/>
    <w:basedOn w:val="af1"/>
    <w:qFormat/>
    <w:pPr>
      <w:overflowPunct w:val="0"/>
      <w:autoSpaceDE w:val="0"/>
      <w:autoSpaceDN w:val="0"/>
      <w:adjustRightInd w:val="0"/>
      <w:textAlignment w:val="baseline"/>
    </w:pPr>
    <w:rPr>
      <w:rFonts w:eastAsia="仿宋_GB2312" w:cs="Times New Roman"/>
      <w:szCs w:val="24"/>
    </w:rPr>
  </w:style>
  <w:style w:type="character" w:customStyle="1" w:styleId="affffff4">
    <w:name w:val="a表格 图 标题 字符"/>
    <w:link w:val="affffff5"/>
    <w:qFormat/>
    <w:rPr>
      <w:rFonts w:asciiTheme="minorHAnsi" w:eastAsiaTheme="minorEastAsia" w:hAnsiTheme="minorHAnsi" w:cstheme="minorBidi"/>
      <w:kern w:val="2"/>
      <w:sz w:val="21"/>
      <w:szCs w:val="21"/>
      <w:lang w:val="en-US" w:eastAsia="zh-CN" w:bidi="ar-SA"/>
    </w:rPr>
  </w:style>
  <w:style w:type="paragraph" w:customStyle="1" w:styleId="affffff5">
    <w:name w:val="a表格 图 标题"/>
    <w:basedOn w:val="af1"/>
    <w:link w:val="affffff4"/>
    <w:qFormat/>
    <w:pPr>
      <w:jc w:val="center"/>
    </w:pPr>
    <w:rPr>
      <w:rFonts w:eastAsiaTheme="minorEastAsia"/>
      <w:szCs w:val="21"/>
    </w:rPr>
  </w:style>
  <w:style w:type="paragraph" w:customStyle="1" w:styleId="Aa0">
    <w:name w:val="A  正文a"/>
    <w:basedOn w:val="af1"/>
    <w:qFormat/>
    <w:pPr>
      <w:spacing w:line="360" w:lineRule="auto"/>
      <w:ind w:firstLineChars="200" w:firstLine="560"/>
    </w:pPr>
    <w:rPr>
      <w:rFonts w:ascii="宋体" w:cs="宋体"/>
      <w:sz w:val="28"/>
      <w:szCs w:val="20"/>
    </w:rPr>
  </w:style>
  <w:style w:type="character" w:customStyle="1" w:styleId="4Char">
    <w:name w:val="标题 4 Char"/>
    <w:basedOn w:val="af3"/>
    <w:uiPriority w:val="9"/>
    <w:semiHidden/>
    <w:qFormat/>
    <w:rPr>
      <w:rFonts w:asciiTheme="majorHAnsi" w:eastAsiaTheme="majorEastAsia" w:hAnsiTheme="majorHAnsi" w:cstheme="majorBidi"/>
      <w:b/>
      <w:bCs/>
      <w:kern w:val="2"/>
      <w:sz w:val="28"/>
      <w:szCs w:val="28"/>
      <w:lang w:val="en-US" w:eastAsia="zh-CN" w:bidi="ar-SA"/>
    </w:rPr>
  </w:style>
  <w:style w:type="character" w:customStyle="1" w:styleId="4Char1">
    <w:name w:val="标题 4 Char1"/>
    <w:basedOn w:val="af3"/>
    <w:qFormat/>
    <w:rPr>
      <w:rFonts w:ascii="Calibri" w:eastAsiaTheme="minorEastAsia" w:hAnsi="Calibri" w:cs="Times New Roman"/>
      <w:b/>
      <w:kern w:val="0"/>
      <w:sz w:val="32"/>
      <w:szCs w:val="20"/>
      <w:lang w:val="en-US" w:eastAsia="zh-CN" w:bidi="ar-SA"/>
    </w:rPr>
  </w:style>
  <w:style w:type="character" w:customStyle="1" w:styleId="220">
    <w:name w:val="正文文本首行缩进 2 字符2"/>
    <w:basedOn w:val="33"/>
    <w:link w:val="21"/>
    <w:qFormat/>
    <w:rPr>
      <w:rFonts w:asciiTheme="minorHAnsi" w:eastAsiaTheme="minorEastAsia" w:hAnsiTheme="minorHAnsi" w:cstheme="minorBidi"/>
      <w:color w:val="000000"/>
      <w:kern w:val="2"/>
      <w:sz w:val="21"/>
      <w:szCs w:val="24"/>
      <w:lang w:val="en-US" w:eastAsia="zh-CN" w:bidi="ar-SA"/>
    </w:rPr>
  </w:style>
  <w:style w:type="character" w:customStyle="1" w:styleId="Charf2">
    <w:name w:val="称呼 Char"/>
    <w:basedOn w:val="af3"/>
    <w:uiPriority w:val="99"/>
    <w:qFormat/>
    <w:rPr>
      <w:rFonts w:ascii="Calibri" w:eastAsiaTheme="minorEastAsia" w:hAnsi="Calibri" w:cs="Times New Roman"/>
      <w:kern w:val="2"/>
      <w:sz w:val="21"/>
      <w:szCs w:val="24"/>
      <w:lang w:val="en-US" w:eastAsia="zh-CN" w:bidi="ar-SA"/>
    </w:rPr>
  </w:style>
  <w:style w:type="paragraph" w:customStyle="1" w:styleId="affffff6">
    <w:name w:val="[正文格式]"/>
    <w:basedOn w:val="af1"/>
    <w:link w:val="Charf3"/>
    <w:qFormat/>
    <w:pPr>
      <w:spacing w:line="360" w:lineRule="auto"/>
      <w:ind w:firstLineChars="200" w:firstLine="200"/>
    </w:pPr>
    <w:rPr>
      <w:rFonts w:asciiTheme="minorHAnsi" w:eastAsiaTheme="minorEastAsia" w:hAnsiTheme="minorHAnsi"/>
      <w:sz w:val="24"/>
    </w:rPr>
  </w:style>
  <w:style w:type="character" w:customStyle="1" w:styleId="10">
    <w:name w:val="标题 1 字符"/>
    <w:basedOn w:val="af3"/>
    <w:link w:val="1"/>
    <w:qFormat/>
    <w:rPr>
      <w:rFonts w:ascii="宋体" w:eastAsia="宋体" w:hAnsi="Times New Roman" w:cs="Times New Roman"/>
      <w:b/>
      <w:bCs/>
      <w:kern w:val="18"/>
      <w:sz w:val="44"/>
      <w:szCs w:val="44"/>
      <w:lang w:val="en-US" w:eastAsia="zh-CN" w:bidi="ar-SA"/>
    </w:rPr>
  </w:style>
  <w:style w:type="character" w:customStyle="1" w:styleId="23">
    <w:name w:val="标题 2 字符"/>
    <w:basedOn w:val="af3"/>
    <w:link w:val="22"/>
    <w:uiPriority w:val="9"/>
    <w:qFormat/>
    <w:rPr>
      <w:rFonts w:ascii="Arial" w:eastAsia="黑体" w:hAnsi="Arial" w:cs="Times New Roman"/>
      <w:b/>
      <w:bCs/>
      <w:sz w:val="32"/>
      <w:szCs w:val="32"/>
      <w:lang w:val="en-US" w:eastAsia="zh-CN" w:bidi="ar-SA"/>
    </w:rPr>
  </w:style>
  <w:style w:type="character" w:customStyle="1" w:styleId="32">
    <w:name w:val="标题 3 字符"/>
    <w:basedOn w:val="af3"/>
    <w:link w:val="31"/>
    <w:qFormat/>
    <w:rPr>
      <w:rFonts w:ascii="Times New Roman" w:eastAsia="宋体" w:hAnsi="Times New Roman" w:cs="Times New Roman"/>
      <w:b/>
      <w:bCs/>
      <w:sz w:val="32"/>
      <w:szCs w:val="32"/>
      <w:lang w:val="en-US" w:eastAsia="zh-CN" w:bidi="ar-SA"/>
    </w:rPr>
  </w:style>
  <w:style w:type="character" w:customStyle="1" w:styleId="42">
    <w:name w:val="标题 4 字符"/>
    <w:basedOn w:val="af3"/>
    <w:link w:val="41"/>
    <w:qFormat/>
    <w:rPr>
      <w:rFonts w:ascii="Calibri" w:eastAsia="宋体" w:hAnsi="Calibri" w:cs="Times New Roman"/>
      <w:b/>
      <w:kern w:val="0"/>
      <w:sz w:val="32"/>
      <w:szCs w:val="20"/>
      <w:lang w:val="en-US" w:eastAsia="zh-CN" w:bidi="ar-SA"/>
    </w:rPr>
  </w:style>
  <w:style w:type="character" w:customStyle="1" w:styleId="52">
    <w:name w:val="标题 5 字符"/>
    <w:basedOn w:val="af3"/>
    <w:link w:val="51"/>
    <w:qFormat/>
    <w:rPr>
      <w:rFonts w:ascii="Times New Roman" w:eastAsia="宋体" w:hAnsi="Times New Roman" w:cs="Times New Roman"/>
      <w:b/>
      <w:bCs/>
      <w:sz w:val="28"/>
      <w:szCs w:val="28"/>
      <w:lang w:val="en-US" w:eastAsia="zh-CN" w:bidi="ar-SA"/>
    </w:rPr>
  </w:style>
  <w:style w:type="character" w:customStyle="1" w:styleId="60">
    <w:name w:val="标题 6 字符"/>
    <w:basedOn w:val="af3"/>
    <w:link w:val="6"/>
    <w:qFormat/>
    <w:rPr>
      <w:rFonts w:ascii="Arial" w:eastAsia="黑体" w:hAnsi="Arial" w:cs="Times New Roman"/>
      <w:b/>
      <w:bCs/>
      <w:sz w:val="24"/>
      <w:szCs w:val="32"/>
      <w:lang w:val="en-US" w:eastAsia="zh-CN" w:bidi="ar-SA"/>
    </w:rPr>
  </w:style>
  <w:style w:type="character" w:customStyle="1" w:styleId="70">
    <w:name w:val="标题 7 字符"/>
    <w:basedOn w:val="af3"/>
    <w:link w:val="7"/>
    <w:qFormat/>
    <w:rPr>
      <w:rFonts w:ascii="Times New Roman" w:eastAsia="宋体" w:hAnsi="Times New Roman" w:cs="Times New Roman"/>
      <w:b/>
      <w:bCs/>
      <w:sz w:val="24"/>
      <w:szCs w:val="32"/>
      <w:lang w:val="en-US" w:eastAsia="zh-CN" w:bidi="ar-SA"/>
    </w:rPr>
  </w:style>
  <w:style w:type="character" w:customStyle="1" w:styleId="80">
    <w:name w:val="标题 8 字符"/>
    <w:basedOn w:val="af3"/>
    <w:link w:val="8"/>
    <w:qFormat/>
    <w:rPr>
      <w:rFonts w:ascii="Arial" w:eastAsia="黑体" w:hAnsi="Arial" w:cs="Times New Roman"/>
      <w:sz w:val="24"/>
      <w:szCs w:val="32"/>
      <w:lang w:val="en-US" w:eastAsia="zh-CN" w:bidi="ar-SA"/>
    </w:rPr>
  </w:style>
  <w:style w:type="character" w:customStyle="1" w:styleId="90">
    <w:name w:val="标题 9 字符"/>
    <w:basedOn w:val="af3"/>
    <w:link w:val="9"/>
    <w:qFormat/>
    <w:rPr>
      <w:rFonts w:ascii="Arial" w:eastAsia="黑体" w:hAnsi="Arial" w:cs="Times New Roman"/>
      <w:sz w:val="28"/>
      <w:szCs w:val="21"/>
      <w:lang w:val="en-US" w:eastAsia="zh-CN" w:bidi="ar-SA"/>
    </w:rPr>
  </w:style>
  <w:style w:type="character" w:customStyle="1" w:styleId="15">
    <w:name w:val="书籍标题1"/>
    <w:qFormat/>
    <w:rPr>
      <w:rFonts w:ascii="Times New Roman" w:eastAsia="宋体" w:hAnsi="Times New Roman" w:cs="Times New Roman"/>
      <w:b/>
      <w:smallCaps/>
      <w:spacing w:val="5"/>
      <w:kern w:val="2"/>
      <w:sz w:val="21"/>
      <w:szCs w:val="22"/>
      <w:lang w:val="en-US" w:eastAsia="zh-CN" w:bidi="ar-SA"/>
    </w:rPr>
  </w:style>
  <w:style w:type="character" w:customStyle="1" w:styleId="fontborder">
    <w:name w:val="fontborder"/>
    <w:qFormat/>
    <w:rPr>
      <w:rFonts w:ascii="Times New Roman" w:eastAsia="宋体" w:hAnsi="Times New Roman" w:cs="Times New Roman"/>
      <w:bdr w:val="single" w:sz="6" w:space="0" w:color="000000"/>
      <w:lang w:val="en-US" w:eastAsia="zh-CN" w:bidi="ar-SA"/>
    </w:rPr>
  </w:style>
  <w:style w:type="character" w:customStyle="1" w:styleId="2c">
    <w:name w:val="电子邮件签名 字符2"/>
    <w:uiPriority w:val="99"/>
    <w:semiHidden/>
    <w:qFormat/>
    <w:rPr>
      <w:rFonts w:ascii="Calibri" w:eastAsia="宋体" w:hAnsi="Calibri" w:cs="Times New Roman"/>
      <w:kern w:val="2"/>
      <w:sz w:val="21"/>
      <w:lang w:val="en-US" w:eastAsia="zh-CN" w:bidi="ar-SA"/>
    </w:rPr>
  </w:style>
  <w:style w:type="character" w:customStyle="1" w:styleId="title1">
    <w:name w:val="title1"/>
    <w:qFormat/>
    <w:rPr>
      <w:rFonts w:ascii="Times New Roman" w:eastAsia="宋体" w:hAnsi="Times New Roman" w:cs="Times New Roman"/>
      <w:color w:val="000000"/>
      <w:lang w:val="en-US" w:eastAsia="zh-CN" w:bidi="ar-SA"/>
    </w:rPr>
  </w:style>
  <w:style w:type="character" w:customStyle="1" w:styleId="CharChar2">
    <w:name w:val="表文字居中 Char Char"/>
    <w:link w:val="affffff7"/>
    <w:qFormat/>
    <w:locked/>
    <w:rPr>
      <w:rFonts w:ascii="Courier New" w:eastAsia="Times New Roman" w:hAnsi="Courier New" w:cstheme="minorBidi"/>
      <w:kern w:val="2"/>
      <w:sz w:val="24"/>
      <w:szCs w:val="22"/>
      <w:lang w:val="en-US" w:eastAsia="zh-CN" w:bidi="ar-SA"/>
    </w:rPr>
  </w:style>
  <w:style w:type="paragraph" w:customStyle="1" w:styleId="affffff7">
    <w:name w:val="表文字居中"/>
    <w:link w:val="CharChar2"/>
    <w:qFormat/>
    <w:pPr>
      <w:adjustRightInd w:val="0"/>
      <w:spacing w:line="360" w:lineRule="auto"/>
      <w:jc w:val="center"/>
    </w:pPr>
    <w:rPr>
      <w:rFonts w:ascii="Courier New" w:eastAsia="Times New Roman" w:hAnsi="Courier New"/>
      <w:kern w:val="2"/>
      <w:sz w:val="24"/>
      <w:szCs w:val="22"/>
    </w:rPr>
  </w:style>
  <w:style w:type="character" w:customStyle="1" w:styleId="1CharChar">
    <w:name w:val="表头1 Char Char"/>
    <w:link w:val="16"/>
    <w:qFormat/>
    <w:rPr>
      <w:rFonts w:asciiTheme="minorHAnsi" w:eastAsia="黑体" w:hAnsiTheme="minorHAnsi" w:cstheme="minorBidi"/>
      <w:szCs w:val="28"/>
      <w:lang w:val="en-US" w:eastAsia="zh-CN" w:bidi="ar-SA"/>
    </w:rPr>
  </w:style>
  <w:style w:type="paragraph" w:customStyle="1" w:styleId="16">
    <w:name w:val="表头1"/>
    <w:basedOn w:val="af1"/>
    <w:next w:val="af1"/>
    <w:link w:val="1CharChar"/>
    <w:qFormat/>
    <w:pPr>
      <w:tabs>
        <w:tab w:val="left" w:pos="605"/>
      </w:tabs>
      <w:adjustRightInd w:val="0"/>
      <w:snapToGrid w:val="0"/>
      <w:jc w:val="center"/>
    </w:pPr>
    <w:rPr>
      <w:rFonts w:asciiTheme="minorHAnsi" w:eastAsia="黑体" w:hAnsiTheme="minorHAnsi"/>
      <w:szCs w:val="28"/>
    </w:rPr>
  </w:style>
  <w:style w:type="character" w:customStyle="1" w:styleId="BCharChar">
    <w:name w:val="B表头 Char Char"/>
    <w:link w:val="B"/>
    <w:qFormat/>
    <w:rPr>
      <w:rFonts w:asciiTheme="minorHAnsi" w:eastAsia="Times New Roman" w:hAnsiTheme="minorHAnsi" w:cstheme="minorBidi"/>
      <w:b/>
      <w:kern w:val="2"/>
      <w:sz w:val="24"/>
      <w:szCs w:val="24"/>
      <w:lang w:val="en-US" w:eastAsia="zh-CN" w:bidi="ar-SA"/>
    </w:rPr>
  </w:style>
  <w:style w:type="paragraph" w:customStyle="1" w:styleId="B">
    <w:name w:val="B表头"/>
    <w:link w:val="BCharChar"/>
    <w:qFormat/>
    <w:pPr>
      <w:jc w:val="center"/>
    </w:pPr>
    <w:rPr>
      <w:rFonts w:eastAsia="Times New Roman"/>
      <w:b/>
      <w:kern w:val="2"/>
      <w:sz w:val="24"/>
      <w:szCs w:val="24"/>
    </w:rPr>
  </w:style>
  <w:style w:type="character" w:customStyle="1" w:styleId="CharChar3">
    <w:name w:val="页脚 Char Char"/>
    <w:qFormat/>
    <w:rPr>
      <w:rFonts w:ascii="Times New Roman" w:eastAsia="宋体" w:hAnsi="Times New Roman" w:cs="Times New Roman"/>
      <w:kern w:val="2"/>
      <w:sz w:val="18"/>
      <w:szCs w:val="18"/>
      <w:lang w:val="en-US" w:eastAsia="zh-CN" w:bidi="ar-SA"/>
    </w:rPr>
  </w:style>
  <w:style w:type="character" w:customStyle="1" w:styleId="1CharChar0">
    <w:name w:val="样式1 Char Char"/>
    <w:qFormat/>
    <w:rPr>
      <w:rFonts w:ascii="Times New Roman" w:eastAsia="华文中宋" w:hAnsi="Times New Roman" w:cs="Times New Roman"/>
      <w:bCs/>
      <w:sz w:val="24"/>
      <w:szCs w:val="24"/>
      <w:lang w:val="en-US" w:eastAsia="zh-CN" w:bidi="ar-SA"/>
    </w:rPr>
  </w:style>
  <w:style w:type="character" w:customStyle="1" w:styleId="CharCharChar">
    <w:name w:val="文本 Char Char Char"/>
    <w:qFormat/>
    <w:rPr>
      <w:rFonts w:ascii="Arial Black" w:eastAsia="Times New Roman" w:hAnsi="Arial Black" w:cs="Times New Roman"/>
      <w:kern w:val="2"/>
      <w:sz w:val="21"/>
      <w:lang w:val="en-US" w:eastAsia="zh-CN" w:bidi="ar-SA"/>
    </w:rPr>
  </w:style>
  <w:style w:type="character" w:customStyle="1" w:styleId="0913">
    <w:name w:val="正文0913 字符"/>
    <w:link w:val="09130"/>
    <w:qFormat/>
    <w:rPr>
      <w:rFonts w:asciiTheme="minorHAnsi" w:eastAsiaTheme="minorEastAsia" w:hAnsiTheme="minorHAnsi" w:cstheme="minorBidi"/>
      <w:sz w:val="24"/>
      <w:szCs w:val="22"/>
      <w:lang w:val="en-US" w:eastAsia="zh-CN" w:bidi="ar-SA"/>
    </w:rPr>
  </w:style>
  <w:style w:type="paragraph" w:customStyle="1" w:styleId="09130">
    <w:name w:val="正文0913"/>
    <w:basedOn w:val="af1"/>
    <w:link w:val="0913"/>
    <w:qFormat/>
    <w:pPr>
      <w:spacing w:line="360" w:lineRule="auto"/>
      <w:ind w:firstLineChars="200" w:firstLine="200"/>
    </w:pPr>
    <w:rPr>
      <w:rFonts w:asciiTheme="minorHAnsi" w:eastAsiaTheme="minorEastAsia" w:hAnsiTheme="minorHAnsi"/>
      <w:sz w:val="24"/>
    </w:rPr>
  </w:style>
  <w:style w:type="character" w:customStyle="1" w:styleId="210pt19">
    <w:name w:val="正文文本 (2) + 10 pt19"/>
    <w:qFormat/>
    <w:rPr>
      <w:rFonts w:ascii="MingLiU" w:eastAsia="MingLiU" w:hAnsi="Times New Roman" w:cs="MingLiU"/>
      <w:kern w:val="2"/>
      <w:sz w:val="20"/>
      <w:szCs w:val="20"/>
      <w:u w:val="none"/>
      <w:lang w:val="en-US" w:eastAsia="zh-CN" w:bidi="ar-SA"/>
    </w:rPr>
  </w:style>
  <w:style w:type="character" w:customStyle="1" w:styleId="7CharCharCharCharCharCharCharChar">
    <w:name w:val="标题 7 Char Char Char Char Char Char Char Char"/>
    <w:qFormat/>
    <w:rPr>
      <w:rFonts w:ascii="华文细黑" w:eastAsia="华文细黑" w:hAnsi="华文细黑" w:cs="Times New Roman"/>
      <w:i/>
      <w:snapToGrid/>
      <w:spacing w:val="10"/>
      <w:kern w:val="28"/>
      <w:sz w:val="28"/>
      <w:lang w:val="en-US" w:eastAsia="zh-CN" w:bidi="ar-SA"/>
    </w:rPr>
  </w:style>
  <w:style w:type="character" w:customStyle="1" w:styleId="CharChar4">
    <w:name w:val="主体 Char Char"/>
    <w:link w:val="affffff8"/>
    <w:qFormat/>
    <w:rPr>
      <w:rFonts w:asciiTheme="minorHAnsi" w:eastAsia="仿宋_GB2312" w:hAnsiTheme="minorHAnsi" w:cstheme="minorBidi"/>
      <w:bCs/>
      <w:kern w:val="2"/>
      <w:sz w:val="24"/>
      <w:szCs w:val="24"/>
      <w:lang w:val="en-US" w:eastAsia="zh-CN" w:bidi="ar-SA"/>
    </w:rPr>
  </w:style>
  <w:style w:type="paragraph" w:customStyle="1" w:styleId="affffff8">
    <w:name w:val="主体"/>
    <w:link w:val="CharChar4"/>
    <w:qFormat/>
    <w:pPr>
      <w:widowControl w:val="0"/>
      <w:autoSpaceDE w:val="0"/>
      <w:autoSpaceDN w:val="0"/>
      <w:spacing w:line="440" w:lineRule="exact"/>
      <w:ind w:firstLineChars="200" w:firstLine="480"/>
      <w:jc w:val="both"/>
    </w:pPr>
    <w:rPr>
      <w:rFonts w:eastAsia="仿宋_GB2312"/>
      <w:bCs/>
      <w:kern w:val="2"/>
      <w:sz w:val="24"/>
      <w:szCs w:val="24"/>
    </w:rPr>
  </w:style>
  <w:style w:type="character" w:customStyle="1" w:styleId="Charf4">
    <w:name w:val="表格格式 Char"/>
    <w:link w:val="affffff9"/>
    <w:qFormat/>
    <w:locked/>
    <w:rPr>
      <w:rFonts w:asciiTheme="minorHAnsi" w:eastAsiaTheme="minorEastAsia" w:hAnsiTheme="minorHAnsi" w:cstheme="minorBidi"/>
      <w:bCs/>
      <w:color w:val="000000"/>
      <w:szCs w:val="21"/>
      <w:lang w:val="en-US" w:eastAsia="zh-CN" w:bidi="ar-SA"/>
    </w:rPr>
  </w:style>
  <w:style w:type="paragraph" w:customStyle="1" w:styleId="affffff9">
    <w:name w:val="表格格式"/>
    <w:basedOn w:val="af1"/>
    <w:link w:val="Charf4"/>
    <w:qFormat/>
    <w:pPr>
      <w:autoSpaceDE w:val="0"/>
      <w:autoSpaceDN w:val="0"/>
      <w:adjustRightInd w:val="0"/>
      <w:snapToGrid w:val="0"/>
      <w:jc w:val="center"/>
    </w:pPr>
    <w:rPr>
      <w:rFonts w:asciiTheme="minorHAnsi" w:eastAsiaTheme="minorEastAsia" w:hAnsiTheme="minorHAnsi"/>
      <w:bCs/>
      <w:color w:val="000000"/>
      <w:szCs w:val="21"/>
    </w:rPr>
  </w:style>
  <w:style w:type="character" w:customStyle="1" w:styleId="zy">
    <w:name w:val="zy"/>
    <w:qFormat/>
    <w:rPr>
      <w:rFonts w:ascii="Arial Black" w:eastAsia="Times New Roman" w:hAnsi="Arial Black" w:cs="Times New Roman"/>
      <w:sz w:val="21"/>
      <w:lang w:val="en-US" w:eastAsia="en-US" w:bidi="ar-SA"/>
    </w:rPr>
  </w:style>
  <w:style w:type="character" w:customStyle="1" w:styleId="CharChar5">
    <w:name w:val="标准条文 Char Char"/>
    <w:link w:val="affffffa"/>
    <w:qFormat/>
    <w:locked/>
    <w:rPr>
      <w:rFonts w:asciiTheme="minorHAnsi" w:eastAsia="Times New Roman" w:hAnsiTheme="minorHAnsi" w:cstheme="minorBidi"/>
      <w:kern w:val="2"/>
      <w:sz w:val="21"/>
      <w:szCs w:val="22"/>
      <w:lang w:val="en-US" w:eastAsia="zh-CN" w:bidi="ar-SA"/>
    </w:rPr>
  </w:style>
  <w:style w:type="paragraph" w:customStyle="1" w:styleId="affffffa">
    <w:name w:val="标准条文"/>
    <w:link w:val="CharChar5"/>
    <w:qFormat/>
    <w:pPr>
      <w:spacing w:beforeLines="20" w:afterLines="20"/>
      <w:ind w:firstLineChars="200" w:firstLine="200"/>
    </w:pPr>
    <w:rPr>
      <w:rFonts w:eastAsia="Times New Roman"/>
      <w:kern w:val="2"/>
      <w:sz w:val="21"/>
      <w:szCs w:val="22"/>
    </w:rPr>
  </w:style>
  <w:style w:type="character" w:customStyle="1" w:styleId="redfont">
    <w:name w:val="redfont"/>
    <w:qFormat/>
    <w:rPr>
      <w:rFonts w:ascii="Verdana" w:eastAsia="楷体" w:hAnsi="Verdana" w:cs="Times New Roman"/>
      <w:kern w:val="2"/>
      <w:sz w:val="24"/>
      <w:lang w:val="en-US" w:eastAsia="zh-CN" w:bidi="ar-SA"/>
    </w:rPr>
  </w:style>
  <w:style w:type="character" w:customStyle="1" w:styleId="Charf5">
    <w:name w:val="标准正文 Char"/>
    <w:link w:val="affffffb"/>
    <w:qFormat/>
    <w:rPr>
      <w:rFonts w:asciiTheme="minorHAnsi" w:eastAsiaTheme="minorEastAsia" w:hAnsiTheme="minorHAnsi" w:cstheme="minorBidi"/>
      <w:kern w:val="28"/>
      <w:sz w:val="28"/>
      <w:szCs w:val="22"/>
      <w:lang w:val="en-US" w:eastAsia="zh-CN" w:bidi="ar-SA"/>
    </w:rPr>
  </w:style>
  <w:style w:type="paragraph" w:customStyle="1" w:styleId="affffffb">
    <w:name w:val="标准正文"/>
    <w:basedOn w:val="af1"/>
    <w:link w:val="Charf5"/>
    <w:qFormat/>
    <w:pPr>
      <w:adjustRightInd w:val="0"/>
      <w:spacing w:line="460" w:lineRule="atLeast"/>
      <w:ind w:firstLine="567"/>
      <w:jc w:val="left"/>
    </w:pPr>
    <w:rPr>
      <w:rFonts w:asciiTheme="minorHAnsi" w:eastAsiaTheme="minorEastAsia" w:hAnsiTheme="minorHAnsi"/>
      <w:kern w:val="28"/>
      <w:sz w:val="28"/>
    </w:rPr>
  </w:style>
  <w:style w:type="character" w:customStyle="1" w:styleId="3TimesNewRomanChar">
    <w:name w:val="样式 样式 标题 3 + 宋体 四号 + (西文) Times New Roman Char"/>
    <w:link w:val="3TimesNewRoman"/>
    <w:qFormat/>
    <w:rPr>
      <w:rFonts w:asciiTheme="minorHAnsi" w:eastAsiaTheme="minorEastAsia" w:hAnsiTheme="minorHAnsi" w:cstheme="minorBidi"/>
      <w:b/>
      <w:bCs/>
      <w:sz w:val="28"/>
      <w:lang w:val="en-US" w:eastAsia="zh-CN" w:bidi="ar-SA"/>
    </w:rPr>
  </w:style>
  <w:style w:type="paragraph" w:customStyle="1" w:styleId="3TimesNewRoman">
    <w:name w:val="样式 样式 标题 3 + 宋体 四号 + (西文) Times New Roman"/>
    <w:basedOn w:val="af1"/>
    <w:link w:val="3TimesNewRomanChar"/>
    <w:qFormat/>
    <w:pPr>
      <w:keepNext/>
      <w:keepLines/>
      <w:adjustRightInd w:val="0"/>
      <w:spacing w:line="500" w:lineRule="exact"/>
      <w:jc w:val="left"/>
      <w:textAlignment w:val="baseline"/>
      <w:outlineLvl w:val="2"/>
    </w:pPr>
    <w:rPr>
      <w:rFonts w:asciiTheme="minorHAnsi" w:eastAsiaTheme="minorEastAsia" w:hAnsiTheme="minorHAnsi"/>
      <w:b/>
      <w:bCs/>
      <w:sz w:val="28"/>
      <w:szCs w:val="24"/>
    </w:rPr>
  </w:style>
  <w:style w:type="character" w:customStyle="1" w:styleId="afff2">
    <w:name w:val="纯文本 字符"/>
    <w:link w:val="afff1"/>
    <w:qFormat/>
    <w:rPr>
      <w:rFonts w:ascii="宋体" w:eastAsia="宋体" w:hAnsi="Courier New" w:cs="Courier New"/>
      <w:szCs w:val="21"/>
      <w:lang w:val="en-US" w:eastAsia="zh-CN" w:bidi="ar-SA"/>
    </w:rPr>
  </w:style>
  <w:style w:type="character" w:customStyle="1" w:styleId="08514CharChar">
    <w:name w:val="样式 小四 蓝色 首行缩进:  0.85 厘米 行距: 多倍行距 1.4 字行 Char Char"/>
    <w:qFormat/>
    <w:locked/>
    <w:rPr>
      <w:rFonts w:ascii="仿宋_GB2312" w:eastAsia="仿宋_GB2312" w:hAnsi="Times New Roman" w:cs="Times New Roman"/>
      <w:color w:val="0000FF"/>
      <w:kern w:val="2"/>
      <w:sz w:val="24"/>
      <w:lang w:val="en-US" w:eastAsia="zh-CN" w:bidi="ar-SA"/>
    </w:rPr>
  </w:style>
  <w:style w:type="character" w:customStyle="1" w:styleId="affff7">
    <w:name w:val="标题 字符"/>
    <w:link w:val="affff6"/>
    <w:qFormat/>
    <w:rPr>
      <w:rFonts w:ascii="Arial" w:eastAsia="黑体" w:hAnsi="Arial" w:cstheme="minorBidi"/>
      <w:sz w:val="44"/>
      <w:szCs w:val="22"/>
      <w:lang w:val="en-US" w:eastAsia="zh-CN" w:bidi="ar-SA"/>
    </w:rPr>
  </w:style>
  <w:style w:type="character" w:customStyle="1" w:styleId="1Char1">
    <w:name w:val="1) Char1"/>
    <w:qFormat/>
    <w:rPr>
      <w:rFonts w:ascii="Times New Roman" w:eastAsia="宋体" w:hAnsi="Times New Roman" w:cs="Times New Roman"/>
      <w:b/>
      <w:sz w:val="24"/>
      <w:lang w:val="en-US" w:eastAsia="zh-CN" w:bidi="ar-SA"/>
    </w:rPr>
  </w:style>
  <w:style w:type="character" w:customStyle="1" w:styleId="a20">
    <w:name w:val="a2"/>
    <w:qFormat/>
    <w:rPr>
      <w:rFonts w:ascii="Arial Black" w:eastAsia="Times New Roman" w:hAnsi="Arial Black" w:cs="Times New Roman"/>
      <w:sz w:val="21"/>
      <w:lang w:val="en-US" w:eastAsia="en-US" w:bidi="ar-SA"/>
    </w:rPr>
  </w:style>
  <w:style w:type="character" w:customStyle="1" w:styleId="27">
    <w:name w:val="正文文本缩进 2 字符"/>
    <w:link w:val="26"/>
    <w:qFormat/>
    <w:rPr>
      <w:rFonts w:asciiTheme="minorHAnsi" w:eastAsia="宋体" w:hAnsiTheme="minorHAnsi" w:cstheme="minorBidi"/>
      <w:sz w:val="24"/>
      <w:lang w:val="en-US" w:eastAsia="zh-CN" w:bidi="ar-SA"/>
    </w:rPr>
  </w:style>
  <w:style w:type="character" w:customStyle="1" w:styleId="Charf6">
    <w:name w:val="正式 Char"/>
    <w:link w:val="affffffc"/>
    <w:qFormat/>
    <w:rPr>
      <w:rFonts w:asciiTheme="minorHAnsi" w:eastAsiaTheme="minorEastAsia" w:hAnsi="宋体" w:cstheme="minorBidi"/>
      <w:sz w:val="24"/>
      <w:szCs w:val="21"/>
      <w:lang w:val="en-US" w:eastAsia="zh-CN" w:bidi="ar-SA"/>
    </w:rPr>
  </w:style>
  <w:style w:type="paragraph" w:customStyle="1" w:styleId="affffffc">
    <w:name w:val="正式"/>
    <w:basedOn w:val="af1"/>
    <w:link w:val="Charf6"/>
    <w:qFormat/>
    <w:pPr>
      <w:spacing w:beforeLines="50" w:line="360" w:lineRule="auto"/>
      <w:ind w:firstLineChars="200" w:firstLine="200"/>
    </w:pPr>
    <w:rPr>
      <w:rFonts w:asciiTheme="minorHAnsi" w:eastAsiaTheme="minorEastAsia" w:hAnsi="宋体"/>
      <w:sz w:val="24"/>
      <w:szCs w:val="21"/>
    </w:rPr>
  </w:style>
  <w:style w:type="character" w:customStyle="1" w:styleId="1111Char2">
    <w:name w:val="1.1.1.1 Char2"/>
    <w:qFormat/>
    <w:rPr>
      <w:rFonts w:ascii="Times New Roman" w:eastAsia="仿宋_GB2312" w:hAnsi="Times New Roman" w:cs="Times New Roman"/>
      <w:b/>
      <w:sz w:val="28"/>
      <w:lang w:val="en-US" w:eastAsia="zh-CN" w:bidi="ar-SA"/>
    </w:rPr>
  </w:style>
  <w:style w:type="character" w:customStyle="1" w:styleId="Char30">
    <w:name w:val="签名 Char3"/>
    <w:qFormat/>
    <w:rPr>
      <w:rFonts w:ascii="Times New Roman" w:eastAsia="宋体" w:hAnsi="Times New Roman" w:cs="Times New Roman"/>
      <w:szCs w:val="21"/>
      <w:lang w:val="en-US" w:eastAsia="zh-CN" w:bidi="ar-SA"/>
    </w:rPr>
  </w:style>
  <w:style w:type="character" w:customStyle="1" w:styleId="Charf7">
    <w:name w:val="正文文字 Char"/>
    <w:link w:val="affffffd"/>
    <w:qFormat/>
    <w:rPr>
      <w:rFonts w:asciiTheme="minorHAnsi" w:eastAsiaTheme="minorEastAsia" w:hAnsiTheme="minorHAnsi" w:cstheme="minorBidi"/>
      <w:bCs/>
      <w:sz w:val="28"/>
      <w:szCs w:val="28"/>
      <w:lang w:val="de-DE" w:eastAsia="zh-CN" w:bidi="ar-SA"/>
    </w:rPr>
  </w:style>
  <w:style w:type="paragraph" w:customStyle="1" w:styleId="affffffd">
    <w:name w:val="正文文字"/>
    <w:basedOn w:val="af1"/>
    <w:link w:val="Charf7"/>
    <w:qFormat/>
    <w:pPr>
      <w:snapToGrid w:val="0"/>
      <w:spacing w:line="560" w:lineRule="atLeast"/>
      <w:ind w:firstLineChars="225" w:firstLine="630"/>
    </w:pPr>
    <w:rPr>
      <w:rFonts w:asciiTheme="minorHAnsi" w:eastAsiaTheme="minorEastAsia" w:hAnsiTheme="minorHAnsi"/>
      <w:bCs/>
      <w:sz w:val="28"/>
      <w:szCs w:val="28"/>
      <w:lang w:val="de-DE"/>
    </w:rPr>
  </w:style>
  <w:style w:type="character" w:customStyle="1" w:styleId="17">
    <w:name w:val="正文文本 (17)"/>
    <w:qFormat/>
    <w:rPr>
      <w:rFonts w:ascii="MingLiU" w:eastAsia="MingLiU" w:hAnsi="Times New Roman" w:cs="Times New Roman"/>
      <w:kern w:val="2"/>
      <w:sz w:val="24"/>
      <w:szCs w:val="24"/>
      <w:lang w:val="en-US" w:eastAsia="zh-CN" w:bidi="ar-SA"/>
    </w:rPr>
  </w:style>
  <w:style w:type="character" w:customStyle="1" w:styleId="2Char2">
    <w:name w:val="正文文本缩进 2 Char2"/>
    <w:qFormat/>
    <w:rPr>
      <w:rFonts w:ascii="Times New Roman" w:eastAsia="宋体" w:hAnsi="Times New Roman" w:cs="Times New Roman"/>
      <w:kern w:val="2"/>
      <w:sz w:val="21"/>
      <w:szCs w:val="22"/>
      <w:lang w:val="en-US" w:eastAsia="zh-CN" w:bidi="ar-SA"/>
    </w:rPr>
  </w:style>
  <w:style w:type="character" w:customStyle="1" w:styleId="CharChar6">
    <w:name w:val="正文文字 Char Char"/>
    <w:qFormat/>
    <w:rPr>
      <w:rFonts w:ascii="Calibri" w:eastAsia="宋体" w:hAnsi="Calibri" w:cs="Times New Roman"/>
      <w:kern w:val="2"/>
      <w:sz w:val="21"/>
      <w:szCs w:val="22"/>
      <w:lang w:val="en-US" w:eastAsia="zh-CN" w:bidi="ar-SA"/>
    </w:rPr>
  </w:style>
  <w:style w:type="character" w:customStyle="1" w:styleId="130">
    <w:name w:val="样式 (符号) 宋体 13 磅"/>
    <w:qFormat/>
    <w:rPr>
      <w:rFonts w:ascii="宋体" w:eastAsia="宋体" w:hAnsi="Times New Roman" w:cs="Times New Roman"/>
      <w:sz w:val="27"/>
      <w:lang w:val="en-US" w:eastAsia="zh-CN" w:bidi="ar-SA"/>
    </w:rPr>
  </w:style>
  <w:style w:type="character" w:customStyle="1" w:styleId="2d">
    <w:name w:val="注释标题 字符2"/>
    <w:uiPriority w:val="99"/>
    <w:semiHidden/>
    <w:qFormat/>
    <w:rPr>
      <w:rFonts w:ascii="Calibri" w:eastAsia="宋体" w:hAnsi="Calibri" w:cs="Times New Roman"/>
      <w:kern w:val="2"/>
      <w:sz w:val="21"/>
      <w:lang w:val="en-US" w:eastAsia="zh-CN" w:bidi="ar-SA"/>
    </w:rPr>
  </w:style>
  <w:style w:type="character" w:customStyle="1" w:styleId="CharChar7">
    <w:name w:val="表号文字 Char Char"/>
    <w:link w:val="affffffe"/>
    <w:qFormat/>
    <w:rPr>
      <w:rFonts w:asciiTheme="minorHAnsi" w:eastAsia="黑体" w:hAnsiTheme="minorHAnsi" w:cstheme="minorBidi"/>
      <w:sz w:val="24"/>
      <w:lang w:val="en-US" w:eastAsia="zh-CN" w:bidi="ar-SA"/>
    </w:rPr>
  </w:style>
  <w:style w:type="paragraph" w:customStyle="1" w:styleId="affffffe">
    <w:name w:val="表号文字"/>
    <w:basedOn w:val="af1"/>
    <w:link w:val="CharChar7"/>
    <w:qFormat/>
    <w:pPr>
      <w:adjustRightInd w:val="0"/>
      <w:snapToGrid w:val="0"/>
      <w:spacing w:before="120" w:line="300" w:lineRule="auto"/>
      <w:jc w:val="left"/>
    </w:pPr>
    <w:rPr>
      <w:rFonts w:asciiTheme="minorHAnsi" w:eastAsia="黑体" w:hAnsiTheme="minorHAnsi"/>
      <w:sz w:val="24"/>
      <w:szCs w:val="24"/>
    </w:rPr>
  </w:style>
  <w:style w:type="character" w:customStyle="1" w:styleId="3Char">
    <w:name w:val="正文文本缩进 3 Char"/>
    <w:qFormat/>
    <w:rPr>
      <w:rFonts w:ascii="Times New Roman" w:eastAsia="宋体" w:hAnsi="Times New Roman" w:cs="Times New Roman"/>
      <w:spacing w:val="20"/>
      <w:kern w:val="2"/>
      <w:sz w:val="28"/>
      <w:szCs w:val="24"/>
      <w:lang w:val="en-US" w:eastAsia="zh-CN" w:bidi="ar-SA"/>
    </w:rPr>
  </w:style>
  <w:style w:type="character" w:customStyle="1" w:styleId="CharChar8">
    <w:name w:val="正文小四 Char Char"/>
    <w:semiHidden/>
    <w:qFormat/>
    <w:rPr>
      <w:rFonts w:ascii="Times New Roman" w:eastAsia="宋体" w:hAnsi="Times New Roman" w:cs="Times New Roman"/>
      <w:sz w:val="24"/>
      <w:szCs w:val="24"/>
      <w:lang w:val="en-US" w:eastAsia="zh-CN" w:bidi="ar-SA"/>
    </w:rPr>
  </w:style>
  <w:style w:type="character" w:customStyle="1" w:styleId="Charf8">
    <w:name w:val="新正文 Char"/>
    <w:qFormat/>
    <w:rPr>
      <w:rFonts w:ascii="仿宋_GB2312" w:eastAsia="仿宋_GB2312" w:hAnsi="Times New Roman" w:cs="Times New Roman"/>
      <w:bCs/>
      <w:sz w:val="28"/>
      <w:lang w:val="en-US" w:eastAsia="zh-CN" w:bidi="ar-SA"/>
    </w:rPr>
  </w:style>
  <w:style w:type="character" w:customStyle="1" w:styleId="1Char">
    <w:name w:val="样式 1 Char"/>
    <w:link w:val="18"/>
    <w:qFormat/>
    <w:rPr>
      <w:rFonts w:asciiTheme="minorHAnsi" w:eastAsia="宋体" w:hAnsiTheme="minorHAnsi" w:cstheme="minorBidi"/>
      <w:sz w:val="24"/>
      <w:szCs w:val="22"/>
      <w:lang w:val="en-US" w:eastAsia="zh-CN" w:bidi="ar-SA"/>
    </w:rPr>
  </w:style>
  <w:style w:type="paragraph" w:customStyle="1" w:styleId="18">
    <w:name w:val="样式 1"/>
    <w:basedOn w:val="af1"/>
    <w:link w:val="1Char"/>
    <w:qFormat/>
    <w:pPr>
      <w:spacing w:line="360" w:lineRule="auto"/>
      <w:ind w:firstLineChars="200" w:firstLine="480"/>
    </w:pPr>
    <w:rPr>
      <w:rFonts w:asciiTheme="minorHAnsi" w:hAnsiTheme="minorHAnsi"/>
      <w:sz w:val="24"/>
    </w:rPr>
  </w:style>
  <w:style w:type="character" w:customStyle="1" w:styleId="151Char">
    <w:name w:val="样式 小四 加粗 黑色 居中 行距: 1.5 倍行距1 Char"/>
    <w:link w:val="151"/>
    <w:qFormat/>
    <w:rPr>
      <w:rFonts w:asciiTheme="minorHAnsi" w:eastAsiaTheme="minorEastAsia" w:hAnsiTheme="minorHAnsi" w:cstheme="minorBidi"/>
      <w:bCs/>
      <w:color w:val="000000"/>
      <w:sz w:val="24"/>
      <w:szCs w:val="22"/>
      <w:lang w:val="en-US" w:eastAsia="zh-CN" w:bidi="ar-SA"/>
    </w:rPr>
  </w:style>
  <w:style w:type="paragraph" w:customStyle="1" w:styleId="151">
    <w:name w:val="样式 小四 加粗 黑色 居中 行距: 1.5 倍行距1"/>
    <w:basedOn w:val="af1"/>
    <w:link w:val="151Char"/>
    <w:qFormat/>
    <w:pPr>
      <w:tabs>
        <w:tab w:val="left" w:pos="3660"/>
      </w:tabs>
      <w:spacing w:line="360" w:lineRule="auto"/>
      <w:ind w:left="1305" w:hanging="825"/>
      <w:jc w:val="center"/>
    </w:pPr>
    <w:rPr>
      <w:rFonts w:asciiTheme="minorHAnsi" w:eastAsiaTheme="minorEastAsia" w:hAnsiTheme="minorHAnsi"/>
      <w:bCs/>
      <w:color w:val="000000"/>
      <w:sz w:val="24"/>
    </w:rPr>
  </w:style>
  <w:style w:type="character" w:customStyle="1" w:styleId="1Char0">
    <w:name w:val="页脚1 Char"/>
    <w:qFormat/>
    <w:rPr>
      <w:rFonts w:ascii="Times New Roman" w:eastAsia="宋体" w:hAnsi="Times New Roman" w:cs="Times New Roman"/>
      <w:kern w:val="2"/>
      <w:sz w:val="18"/>
      <w:szCs w:val="18"/>
      <w:lang w:val="en-US" w:eastAsia="zh-CN" w:bidi="ar-SA"/>
    </w:rPr>
  </w:style>
  <w:style w:type="character" w:customStyle="1" w:styleId="evcontent1">
    <w:name w:val="ev_content1"/>
    <w:qFormat/>
    <w:rPr>
      <w:rFonts w:ascii="Times New Roman" w:eastAsia="宋体" w:hAnsi="Times New Roman" w:cs="Times New Roman"/>
      <w:color w:val="495766"/>
      <w:sz w:val="21"/>
      <w:szCs w:val="21"/>
      <w:lang w:val="en-US" w:eastAsia="zh-CN" w:bidi="ar-SA"/>
    </w:rPr>
  </w:style>
  <w:style w:type="character" w:customStyle="1" w:styleId="Char40">
    <w:name w:val="正文首行缩进 Char4"/>
    <w:uiPriority w:val="99"/>
    <w:qFormat/>
    <w:rPr>
      <w:rFonts w:ascii="Times New Roman" w:eastAsia="宋体" w:hAnsi="Times New Roman" w:cs="Times New Roman"/>
      <w:kern w:val="2"/>
      <w:sz w:val="21"/>
      <w:szCs w:val="24"/>
      <w:lang w:val="en-US" w:eastAsia="zh-CN" w:bidi="ar-SA"/>
    </w:rPr>
  </w:style>
  <w:style w:type="character" w:customStyle="1" w:styleId="bdsnopic1">
    <w:name w:val="bds_nopic1"/>
    <w:basedOn w:val="af3"/>
    <w:qFormat/>
    <w:rPr>
      <w:rFonts w:ascii="Times New Roman" w:eastAsia="宋体" w:hAnsi="Times New Roman" w:cs="Times New Roman"/>
      <w:lang w:val="en-US" w:eastAsia="zh-CN" w:bidi="ar-SA"/>
    </w:rPr>
  </w:style>
  <w:style w:type="character" w:customStyle="1" w:styleId="CharChar9">
    <w:name w:val="正文 文本 Char Char"/>
    <w:link w:val="afffffff"/>
    <w:qFormat/>
    <w:rPr>
      <w:rFonts w:asciiTheme="minorHAnsi" w:eastAsiaTheme="minorEastAsia" w:hAnsiTheme="minorHAnsi" w:cs="宋体"/>
      <w:sz w:val="24"/>
      <w:szCs w:val="22"/>
      <w:lang w:val="en-US" w:eastAsia="zh-CN" w:bidi="ar-SA"/>
    </w:rPr>
  </w:style>
  <w:style w:type="paragraph" w:customStyle="1" w:styleId="afffffff">
    <w:name w:val="正文 文本"/>
    <w:basedOn w:val="af1"/>
    <w:link w:val="CharChar9"/>
    <w:qFormat/>
    <w:pPr>
      <w:spacing w:line="360" w:lineRule="auto"/>
      <w:ind w:firstLineChars="200" w:firstLine="480"/>
    </w:pPr>
    <w:rPr>
      <w:rFonts w:asciiTheme="minorHAnsi" w:eastAsiaTheme="minorEastAsia" w:hAnsiTheme="minorHAnsi" w:cs="宋体"/>
      <w:sz w:val="24"/>
    </w:rPr>
  </w:style>
  <w:style w:type="character" w:customStyle="1" w:styleId="CharCharChar0">
    <w:name w:val="表内文字 Char Char Char"/>
    <w:qFormat/>
    <w:rPr>
      <w:rFonts w:ascii="宋体" w:eastAsia="宋体" w:hAnsi="Courier New" w:cs="Courier New"/>
      <w:kern w:val="2"/>
      <w:sz w:val="21"/>
      <w:szCs w:val="21"/>
      <w:lang w:val="en-US" w:eastAsia="zh-CN" w:bidi="ar-SA"/>
    </w:rPr>
  </w:style>
  <w:style w:type="character" w:customStyle="1" w:styleId="31113h33rdlevelH3l3CTHeading3-oldBoldHeCharChar">
    <w:name w:val="样式 标题 3条标题1.1.13h33rd levelH3l3CTHeading 3 - oldBold He... Char Char"/>
    <w:link w:val="31113h33rdlevelH3l3CTHeading3-oldBoldHe"/>
    <w:qFormat/>
    <w:rPr>
      <w:rFonts w:ascii="黑体" w:eastAsiaTheme="minorEastAsia" w:hAnsi="宋体" w:cstheme="minorBidi"/>
      <w:color w:val="000000"/>
      <w:szCs w:val="22"/>
      <w:lang w:val="en-US" w:eastAsia="zh-CN" w:bidi="ar-SA"/>
    </w:rPr>
  </w:style>
  <w:style w:type="paragraph" w:customStyle="1" w:styleId="31113h33rdlevelH3l3CTHeading3-oldBoldHe">
    <w:name w:val="样式 标题 3条标题1.1.13h33rd levelH3l3CTHeading 3 - oldBold He..."/>
    <w:basedOn w:val="31"/>
    <w:link w:val="31113h33rdlevelH3l3CTHeading3-oldBoldHeCharChar"/>
    <w:qFormat/>
    <w:pPr>
      <w:widowControl/>
      <w:spacing w:before="0" w:after="0" w:line="360" w:lineRule="auto"/>
      <w:jc w:val="left"/>
    </w:pPr>
    <w:rPr>
      <w:rFonts w:ascii="黑体" w:eastAsiaTheme="minorEastAsia" w:hAnsi="宋体" w:cstheme="minorBidi"/>
      <w:bCs w:val="0"/>
      <w:color w:val="000000"/>
      <w:szCs w:val="22"/>
    </w:rPr>
  </w:style>
  <w:style w:type="character" w:customStyle="1" w:styleId="stit16g1">
    <w:name w:val="stit16_g1"/>
    <w:qFormat/>
    <w:rPr>
      <w:rFonts w:ascii="PMingLiU" w:eastAsia="PMingLiU" w:hAnsi="PMingLiU" w:cs="Times New Roman"/>
      <w:color w:val="1425D0"/>
      <w:sz w:val="16"/>
      <w:lang w:val="en-US" w:eastAsia="en-US" w:bidi="ar-SA"/>
    </w:rPr>
  </w:style>
  <w:style w:type="character" w:customStyle="1" w:styleId="style201">
    <w:name w:val="style201"/>
    <w:qFormat/>
    <w:rPr>
      <w:rFonts w:ascii="Arial Black" w:eastAsia="Times New Roman" w:hAnsi="Arial Black" w:cs="Times New Roman"/>
      <w:color w:val="000000"/>
      <w:sz w:val="24"/>
      <w:lang w:val="en-US" w:eastAsia="en-US" w:bidi="ar-SA"/>
    </w:rPr>
  </w:style>
  <w:style w:type="character" w:customStyle="1" w:styleId="2Char20">
    <w:name w:val="正文文字缩进 2 Char2"/>
    <w:qFormat/>
    <w:rPr>
      <w:rFonts w:ascii="宋体" w:eastAsia="仿宋_GB2312" w:hAnsi="宋体" w:cs="Times New Roman"/>
      <w:color w:val="FF0000"/>
      <w:spacing w:val="8"/>
      <w:sz w:val="28"/>
      <w:szCs w:val="30"/>
      <w:lang w:val="en-US" w:eastAsia="zh-CN" w:bidi="ar-SA"/>
    </w:rPr>
  </w:style>
  <w:style w:type="character" w:customStyle="1" w:styleId="LPY">
    <w:name w:val="正文字符（LPY）"/>
    <w:qFormat/>
    <w:rPr>
      <w:rFonts w:ascii="Times New Roman" w:eastAsia="宋体" w:hAnsi="Times New Roman" w:cs="Times New Roman"/>
      <w:spacing w:val="4"/>
      <w:lang w:val="en-US" w:eastAsia="zh-CN" w:bidi="ar-SA"/>
    </w:rPr>
  </w:style>
  <w:style w:type="character" w:customStyle="1" w:styleId="CharChar412">
    <w:name w:val="Char Char412"/>
    <w:qFormat/>
    <w:rPr>
      <w:rFonts w:ascii="黑体" w:eastAsia="黑体" w:hAnsi="Times New Roman" w:cs="Times New Roman" w:hint="eastAsia"/>
      <w:b/>
      <w:snapToGrid/>
      <w:color w:val="008000"/>
      <w:kern w:val="2"/>
      <w:sz w:val="24"/>
      <w:szCs w:val="24"/>
      <w:lang w:val="en-US" w:eastAsia="zh-CN" w:bidi="ar-SA"/>
    </w:rPr>
  </w:style>
  <w:style w:type="character" w:customStyle="1" w:styleId="tdword">
    <w:name w:val="tdword"/>
    <w:qFormat/>
    <w:rPr>
      <w:rFonts w:ascii="Times New Roman" w:eastAsia="宋体" w:hAnsi="Times New Roman" w:cs="Times New Roman"/>
      <w:lang w:val="en-US" w:eastAsia="zh-CN" w:bidi="ar-SA"/>
    </w:rPr>
  </w:style>
  <w:style w:type="character" w:customStyle="1" w:styleId="4086466CharChar">
    <w:name w:val="样式 标题 4 + 左侧:  0 厘米 悬挂缩进: 8.64 字符 段前: 6 磅 段后: 6 磅 行距: 单倍行距 Char Char"/>
    <w:link w:val="4086466"/>
    <w:qFormat/>
    <w:locked/>
    <w:rPr>
      <w:rFonts w:ascii="Arial" w:eastAsia="黑体" w:hAnsi="Arial" w:cstheme="minorBidi"/>
      <w:kern w:val="2"/>
      <w:sz w:val="24"/>
      <w:szCs w:val="22"/>
      <w:lang w:val="en-US" w:eastAsia="zh-CN" w:bidi="ar-SA"/>
    </w:rPr>
  </w:style>
  <w:style w:type="paragraph" w:customStyle="1" w:styleId="4086466">
    <w:name w:val="样式 标题 4 + 左侧:  0 厘米 悬挂缩进: 8.64 字符 段前: 6 磅 段后: 6 磅 行距: 单倍行距"/>
    <w:basedOn w:val="41"/>
    <w:link w:val="4086466CharChar"/>
    <w:qFormat/>
    <w:pPr>
      <w:keepLines/>
      <w:spacing w:before="120" w:after="120" w:line="312" w:lineRule="auto"/>
      <w:jc w:val="left"/>
    </w:pPr>
    <w:rPr>
      <w:rFonts w:ascii="Arial" w:eastAsia="黑体" w:hAnsi="Arial" w:cstheme="minorBidi"/>
      <w:kern w:val="2"/>
      <w:sz w:val="24"/>
      <w:szCs w:val="22"/>
    </w:rPr>
  </w:style>
  <w:style w:type="character" w:customStyle="1" w:styleId="grame">
    <w:name w:val="grame"/>
    <w:qFormat/>
    <w:rPr>
      <w:rFonts w:ascii="宋体" w:eastAsia="宋体" w:hAnsi="宋体" w:cs="Times New Roman" w:hint="eastAsia"/>
      <w:b/>
      <w:color w:val="008000"/>
      <w:kern w:val="2"/>
      <w:sz w:val="24"/>
      <w:szCs w:val="24"/>
      <w:lang w:val="en-US" w:eastAsia="zh-CN" w:bidi="ar-SA"/>
    </w:rPr>
  </w:style>
  <w:style w:type="character" w:customStyle="1" w:styleId="AChar">
    <w:name w:val="自动A Char"/>
    <w:link w:val="Afffffff0"/>
    <w:qFormat/>
    <w:rPr>
      <w:rFonts w:ascii="Times New Roman" w:eastAsiaTheme="minorEastAsia" w:hAnsi="Times New Roman" w:cs="Times New Roman"/>
      <w:color w:val="000000"/>
      <w:szCs w:val="24"/>
      <w:lang w:val="en-US" w:eastAsia="zh-CN" w:bidi="ar-SA"/>
    </w:rPr>
  </w:style>
  <w:style w:type="paragraph" w:customStyle="1" w:styleId="Afffffff0">
    <w:name w:val="自动A"/>
    <w:basedOn w:val="19"/>
    <w:link w:val="AChar"/>
    <w:qFormat/>
    <w:pPr>
      <w:spacing w:beforeLines="50" w:afterLines="50" w:line="360" w:lineRule="auto"/>
      <w:ind w:firstLineChars="200" w:firstLine="200"/>
    </w:pPr>
    <w:rPr>
      <w:rFonts w:eastAsiaTheme="minorEastAsia"/>
      <w:color w:val="000000"/>
      <w:szCs w:val="24"/>
    </w:rPr>
  </w:style>
  <w:style w:type="paragraph" w:customStyle="1" w:styleId="19">
    <w:name w:val="样式1"/>
    <w:basedOn w:val="af1"/>
    <w:link w:val="1Char2"/>
    <w:qFormat/>
    <w:pPr>
      <w:spacing w:line="520" w:lineRule="exact"/>
      <w:ind w:firstLine="482"/>
    </w:pPr>
    <w:rPr>
      <w:rFonts w:asciiTheme="minorHAnsi" w:hAnsiTheme="minorHAnsi"/>
      <w:sz w:val="24"/>
    </w:rPr>
  </w:style>
  <w:style w:type="character" w:customStyle="1" w:styleId="font">
    <w:name w:val="font"/>
    <w:basedOn w:val="af3"/>
    <w:qFormat/>
    <w:rPr>
      <w:rFonts w:ascii="Times New Roman" w:eastAsia="宋体" w:hAnsi="Times New Roman" w:cs="Times New Roman"/>
      <w:lang w:val="en-US" w:eastAsia="zh-CN" w:bidi="ar-SA"/>
    </w:rPr>
  </w:style>
  <w:style w:type="character" w:customStyle="1" w:styleId="BCharChar0">
    <w:name w:val="B表格文字 Char Char"/>
    <w:link w:val="B0"/>
    <w:qFormat/>
    <w:rPr>
      <w:rFonts w:asciiTheme="minorHAnsi" w:eastAsia="Times New Roman" w:hAnsiTheme="minorHAnsi" w:cstheme="minorBidi"/>
      <w:kern w:val="2"/>
      <w:sz w:val="21"/>
      <w:szCs w:val="24"/>
      <w:lang w:val="en-US" w:eastAsia="zh-CN" w:bidi="ar-SA"/>
    </w:rPr>
  </w:style>
  <w:style w:type="paragraph" w:customStyle="1" w:styleId="B0">
    <w:name w:val="B表格文字"/>
    <w:link w:val="BCharChar0"/>
    <w:qFormat/>
    <w:pPr>
      <w:adjustRightInd w:val="0"/>
      <w:snapToGrid w:val="0"/>
      <w:jc w:val="center"/>
    </w:pPr>
    <w:rPr>
      <w:rFonts w:eastAsia="Times New Roman"/>
      <w:kern w:val="2"/>
      <w:sz w:val="21"/>
      <w:szCs w:val="24"/>
    </w:rPr>
  </w:style>
  <w:style w:type="character" w:customStyle="1" w:styleId="BodytextBatang">
    <w:name w:val="Body text + Batang"/>
    <w:qFormat/>
    <w:rPr>
      <w:rFonts w:ascii="Batang" w:eastAsia="Batang" w:hAnsi="Batang" w:cs="Batang"/>
      <w:color w:val="000000"/>
      <w:spacing w:val="0"/>
      <w:w w:val="100"/>
      <w:position w:val="0"/>
      <w:sz w:val="17"/>
      <w:szCs w:val="17"/>
      <w:u w:val="none"/>
      <w:lang w:val="en-US" w:eastAsia="zh-CN" w:bidi="ar-SA"/>
    </w:rPr>
  </w:style>
  <w:style w:type="character" w:customStyle="1" w:styleId="3CharChar">
    <w:name w:val="样式3 Char Char"/>
    <w:qFormat/>
    <w:rPr>
      <w:rFonts w:ascii="仿宋_GB2312" w:eastAsia="仿宋_GB2312" w:hAnsi="Courier New" w:cs="Times New Roman"/>
      <w:b/>
      <w:sz w:val="30"/>
      <w:szCs w:val="24"/>
      <w:lang w:val="en-US" w:eastAsia="zh-CN" w:bidi="ar-SA"/>
    </w:rPr>
  </w:style>
  <w:style w:type="character" w:customStyle="1" w:styleId="CharChara">
    <w:name w:val="Char Char"/>
    <w:qFormat/>
    <w:rPr>
      <w:rFonts w:ascii="Times New Roman" w:eastAsia="宋体" w:hAnsi="Times New Roman" w:cs="Times New Roman"/>
      <w:kern w:val="2"/>
      <w:sz w:val="21"/>
      <w:lang w:val="en-US" w:eastAsia="zh-CN" w:bidi="ar-SA"/>
    </w:rPr>
  </w:style>
  <w:style w:type="character" w:customStyle="1" w:styleId="afffffff1">
    <w:name w:val="正文文本 字符"/>
    <w:uiPriority w:val="99"/>
    <w:qFormat/>
    <w:rPr>
      <w:rFonts w:ascii="Times New Roman" w:eastAsia="宋体" w:hAnsi="Times New Roman" w:cs="Times New Roman"/>
      <w:kern w:val="2"/>
      <w:sz w:val="21"/>
      <w:szCs w:val="24"/>
      <w:lang w:val="en-US" w:eastAsia="zh-CN" w:bidi="ar-SA"/>
    </w:rPr>
  </w:style>
  <w:style w:type="character" w:customStyle="1" w:styleId="CharCharb">
    <w:name w:val="批注文字 Char Char"/>
    <w:qFormat/>
    <w:rPr>
      <w:rFonts w:ascii="Times New Roman" w:eastAsia="宋体" w:hAnsi="Times New Roman" w:cs="Times New Roman"/>
      <w:kern w:val="2"/>
      <w:sz w:val="24"/>
      <w:lang w:val="en-US" w:eastAsia="zh-CN" w:bidi="ar-SA"/>
    </w:rPr>
  </w:style>
  <w:style w:type="character" w:customStyle="1" w:styleId="CharChar291">
    <w:name w:val="Char Char291"/>
    <w:qFormat/>
    <w:locked/>
    <w:rPr>
      <w:rFonts w:ascii="宋体" w:eastAsia="宋体" w:hAnsi="宋体" w:cs="Times New Roman"/>
      <w:kern w:val="2"/>
      <w:sz w:val="24"/>
      <w:lang w:val="en-US" w:eastAsia="zh-CN" w:bidi="ar-SA"/>
    </w:rPr>
  </w:style>
  <w:style w:type="character" w:customStyle="1" w:styleId="17Char">
    <w:name w:val="样式17 Char"/>
    <w:link w:val="170"/>
    <w:qFormat/>
    <w:locked/>
    <w:rPr>
      <w:rFonts w:asciiTheme="minorHAnsi" w:eastAsiaTheme="minorEastAsia" w:hAnsiTheme="minorHAnsi" w:cstheme="minorBidi"/>
      <w:spacing w:val="20"/>
      <w:sz w:val="24"/>
      <w:szCs w:val="22"/>
      <w:lang w:val="en-US" w:eastAsia="zh-CN" w:bidi="ar-SA"/>
    </w:rPr>
  </w:style>
  <w:style w:type="paragraph" w:customStyle="1" w:styleId="170">
    <w:name w:val="样式17"/>
    <w:basedOn w:val="af1"/>
    <w:link w:val="17Char"/>
    <w:qFormat/>
    <w:pPr>
      <w:adjustRightInd w:val="0"/>
      <w:spacing w:line="400" w:lineRule="exact"/>
      <w:ind w:firstLineChars="200" w:firstLine="200"/>
    </w:pPr>
    <w:rPr>
      <w:rFonts w:asciiTheme="minorHAnsi" w:eastAsiaTheme="minorEastAsia" w:hAnsiTheme="minorHAnsi"/>
      <w:spacing w:val="20"/>
      <w:sz w:val="24"/>
    </w:rPr>
  </w:style>
  <w:style w:type="character" w:customStyle="1" w:styleId="headeroddChar">
    <w:name w:val="header odd Char"/>
    <w:qFormat/>
    <w:rPr>
      <w:rFonts w:ascii="Times New Roman" w:eastAsia="宋体" w:hAnsi="Times New Roman" w:cs="Times New Roman"/>
      <w:kern w:val="2"/>
      <w:sz w:val="18"/>
      <w:szCs w:val="18"/>
      <w:lang w:val="en-US" w:eastAsia="zh-CN" w:bidi="ar-SA"/>
    </w:rPr>
  </w:style>
  <w:style w:type="character" w:customStyle="1" w:styleId="Heading2Char">
    <w:name w:val="Heading 2 Char"/>
    <w:qFormat/>
    <w:locked/>
    <w:rPr>
      <w:rFonts w:ascii="Times New Roman" w:eastAsia="宋体" w:hAnsi="Times New Roman" w:cs="Times New Roman"/>
      <w:b/>
      <w:snapToGrid/>
      <w:sz w:val="28"/>
      <w:lang w:val="en-US" w:eastAsia="zh-CN" w:bidi="ar-SA"/>
    </w:rPr>
  </w:style>
  <w:style w:type="character" w:customStyle="1" w:styleId="CharChar222">
    <w:name w:val="Char Char222"/>
    <w:qFormat/>
    <w:rPr>
      <w:rFonts w:ascii="宋体" w:eastAsia="仿宋_GB2312" w:hAnsi="宋体" w:cs="Times New Roman"/>
      <w:kern w:val="2"/>
      <w:sz w:val="28"/>
      <w:lang w:val="en-US" w:eastAsia="zh-CN" w:bidi="ar-SA"/>
    </w:rPr>
  </w:style>
  <w:style w:type="character" w:customStyle="1" w:styleId="2e">
    <w:name w:val="脚注文本 字符2"/>
    <w:uiPriority w:val="99"/>
    <w:semiHidden/>
    <w:qFormat/>
    <w:rPr>
      <w:rFonts w:ascii="Calibri" w:eastAsia="宋体" w:hAnsi="Calibri" w:cs="Times New Roman"/>
      <w:kern w:val="2"/>
      <w:sz w:val="18"/>
      <w:szCs w:val="18"/>
      <w:lang w:val="en-US" w:eastAsia="zh-CN" w:bidi="ar-SA"/>
    </w:rPr>
  </w:style>
  <w:style w:type="character" w:customStyle="1" w:styleId="CharCharc">
    <w:name w:val="表格文字 Char Char"/>
    <w:qFormat/>
    <w:locked/>
    <w:rPr>
      <w:rFonts w:ascii="宋体" w:eastAsia="宋体" w:hAnsi="宋体" w:cs="Times New Roman"/>
      <w:kern w:val="2"/>
      <w:sz w:val="21"/>
      <w:szCs w:val="24"/>
      <w:lang w:val="en-US" w:eastAsia="zh-CN" w:bidi="ar-SA"/>
    </w:rPr>
  </w:style>
  <w:style w:type="character" w:customStyle="1" w:styleId="style6">
    <w:name w:val="style6"/>
    <w:qFormat/>
    <w:rPr>
      <w:rFonts w:ascii="Arial" w:eastAsia="宋体" w:hAnsi="Arial" w:cs="Times New Roman"/>
      <w:sz w:val="18"/>
      <w:lang w:val="en-US" w:eastAsia="zh-CN" w:bidi="ar-SA"/>
    </w:rPr>
  </w:style>
  <w:style w:type="character" w:customStyle="1" w:styleId="CharChard">
    <w:name w:val="正文文字缩进 Char Char"/>
    <w:qFormat/>
    <w:rPr>
      <w:rFonts w:ascii="Times New Roman" w:eastAsia="宋体" w:hAnsi="Times New Roman" w:cs="Times New Roman"/>
      <w:kern w:val="2"/>
      <w:sz w:val="24"/>
      <w:szCs w:val="24"/>
      <w:lang w:val="en-US" w:eastAsia="zh-CN" w:bidi="ar-SA"/>
    </w:rPr>
  </w:style>
  <w:style w:type="character" w:customStyle="1" w:styleId="2Constantia26">
    <w:name w:val="正文文本 (2) + Constantia26"/>
    <w:qFormat/>
    <w:rPr>
      <w:rFonts w:ascii="Constantia" w:eastAsia="MingLiU" w:hAnsi="Constantia" w:cs="Constantia"/>
      <w:kern w:val="2"/>
      <w:sz w:val="20"/>
      <w:szCs w:val="20"/>
      <w:u w:val="none"/>
      <w:lang w:val="en-US" w:eastAsia="en-US" w:bidi="ar-SA"/>
    </w:rPr>
  </w:style>
  <w:style w:type="character" w:customStyle="1" w:styleId="Charf9">
    <w:name w:val="图目录 Char"/>
    <w:qFormat/>
    <w:rPr>
      <w:rFonts w:ascii="宋体" w:eastAsia="宋体" w:hAnsi="Times New Roman" w:cs="Times New Roman"/>
      <w:kern w:val="2"/>
      <w:sz w:val="21"/>
      <w:szCs w:val="24"/>
      <w:lang w:val="en-US" w:eastAsia="zh-CN" w:bidi="ar-SA"/>
    </w:rPr>
  </w:style>
  <w:style w:type="character" w:customStyle="1" w:styleId="150">
    <w:name w:val="15"/>
    <w:qFormat/>
    <w:rPr>
      <w:rFonts w:ascii="Calibri" w:eastAsia="宋体" w:hAnsi="Calibri" w:cs="Calibri" w:hint="default"/>
      <w:sz w:val="20"/>
      <w:szCs w:val="20"/>
      <w:lang w:val="en-US" w:eastAsia="zh-CN" w:bidi="ar-SA"/>
    </w:rPr>
  </w:style>
  <w:style w:type="character" w:customStyle="1" w:styleId="Char31">
    <w:name w:val="正文文本缩进 Char3"/>
    <w:qFormat/>
    <w:rPr>
      <w:rFonts w:ascii="Times New Roman" w:eastAsia="宋体" w:hAnsi="Times New Roman" w:cs="Times New Roman"/>
      <w:kern w:val="2"/>
      <w:sz w:val="21"/>
      <w:szCs w:val="22"/>
      <w:lang w:val="en-US" w:eastAsia="zh-CN" w:bidi="ar-SA"/>
    </w:rPr>
  </w:style>
  <w:style w:type="character" w:customStyle="1" w:styleId="910">
    <w:name w:val="标题 9 字符1"/>
    <w:qFormat/>
    <w:rPr>
      <w:rFonts w:ascii="Arial" w:eastAsia="黑体" w:hAnsi="Arial" w:cs="Times New Roman"/>
      <w:sz w:val="21"/>
      <w:lang w:val="en-US" w:eastAsia="zh-CN" w:bidi="ar-SA"/>
    </w:rPr>
  </w:style>
  <w:style w:type="character" w:customStyle="1" w:styleId="Charfa">
    <w:name w:val="【正文】 Char"/>
    <w:link w:val="afffffff2"/>
    <w:qFormat/>
    <w:rPr>
      <w:rFonts w:asciiTheme="minorHAnsi" w:eastAsiaTheme="minorEastAsia" w:hAnsiTheme="minorHAnsi" w:cs="宋体"/>
      <w:sz w:val="24"/>
      <w:szCs w:val="22"/>
      <w:lang w:val="en-US" w:eastAsia="zh-CN" w:bidi="ar-SA"/>
    </w:rPr>
  </w:style>
  <w:style w:type="paragraph" w:customStyle="1" w:styleId="afffffff2">
    <w:name w:val="【正文】"/>
    <w:basedOn w:val="af1"/>
    <w:link w:val="Charfa"/>
    <w:qFormat/>
    <w:pPr>
      <w:spacing w:line="440" w:lineRule="exact"/>
      <w:ind w:firstLineChars="200" w:firstLine="544"/>
    </w:pPr>
    <w:rPr>
      <w:rFonts w:asciiTheme="minorHAnsi" w:eastAsiaTheme="minorEastAsia" w:hAnsiTheme="minorHAnsi" w:cs="宋体"/>
      <w:sz w:val="24"/>
    </w:rPr>
  </w:style>
  <w:style w:type="character" w:customStyle="1" w:styleId="2f">
    <w:name w:val="正文文本首行缩进 2 字符"/>
    <w:qFormat/>
    <w:rPr>
      <w:rFonts w:ascii="Times New Roman" w:eastAsia="宋体" w:hAnsi="Times New Roman" w:cs="Times New Roman"/>
      <w:szCs w:val="24"/>
      <w:lang w:val="en-US" w:eastAsia="zh-CN" w:bidi="ar-SA"/>
    </w:rPr>
  </w:style>
  <w:style w:type="character" w:customStyle="1" w:styleId="CharChare">
    <w:name w:val="德胜正文 Char Char"/>
    <w:link w:val="afffffff3"/>
    <w:qFormat/>
    <w:locked/>
    <w:rPr>
      <w:rFonts w:ascii="Times New Roman" w:eastAsiaTheme="minorEastAsia" w:hAnsi="Times New Roman" w:cstheme="minorBidi"/>
      <w:color w:val="0000FF"/>
      <w:sz w:val="24"/>
      <w:szCs w:val="21"/>
      <w:lang w:val="en-US" w:eastAsia="zh-CN" w:bidi="ar-SA"/>
    </w:rPr>
  </w:style>
  <w:style w:type="paragraph" w:customStyle="1" w:styleId="afffffff3">
    <w:name w:val="德胜正文"/>
    <w:basedOn w:val="af1"/>
    <w:link w:val="CharChare"/>
    <w:qFormat/>
    <w:pPr>
      <w:widowControl/>
      <w:adjustRightInd w:val="0"/>
      <w:snapToGrid w:val="0"/>
      <w:spacing w:line="360" w:lineRule="auto"/>
      <w:ind w:firstLineChars="200" w:firstLine="200"/>
      <w:jc w:val="left"/>
    </w:pPr>
    <w:rPr>
      <w:rFonts w:ascii="Calibri" w:eastAsiaTheme="minorEastAsia" w:hAnsi="Calibri"/>
      <w:color w:val="0000FF"/>
      <w:sz w:val="24"/>
      <w:szCs w:val="21"/>
    </w:rPr>
  </w:style>
  <w:style w:type="character" w:customStyle="1" w:styleId="1Char2">
    <w:name w:val="样式1 Char"/>
    <w:link w:val="19"/>
    <w:qFormat/>
    <w:rPr>
      <w:rFonts w:asciiTheme="minorHAnsi" w:eastAsia="宋体" w:hAnsiTheme="minorHAnsi" w:cstheme="minorBidi"/>
      <w:sz w:val="24"/>
      <w:szCs w:val="22"/>
      <w:lang w:val="en-US" w:eastAsia="zh-CN" w:bidi="ar-SA"/>
    </w:rPr>
  </w:style>
  <w:style w:type="character" w:customStyle="1" w:styleId="858D7CFB-ED40-4347-BF05-701D383B685F1">
    <w:name w:val="纯文本[858D7CFB-ED40-4347-BF05-701D383B685F]1"/>
    <w:qFormat/>
    <w:rPr>
      <w:rFonts w:ascii="宋体" w:eastAsia="宋体" w:hAnsi="宋体" w:cs="Times New Roman"/>
      <w:sz w:val="24"/>
      <w:lang w:val="en-US" w:eastAsia="zh-CN" w:bidi="ar-SA"/>
    </w:rPr>
  </w:style>
  <w:style w:type="character" w:customStyle="1" w:styleId="h31">
    <w:name w:val="h31"/>
    <w:qFormat/>
    <w:rPr>
      <w:rFonts w:ascii="Times New Roman" w:eastAsia="宋体" w:hAnsi="Times New Roman" w:cs="Times New Roman"/>
      <w:sz w:val="21"/>
      <w:lang w:val="en-US" w:eastAsia="zh-CN" w:bidi="ar-SA"/>
    </w:rPr>
  </w:style>
  <w:style w:type="character" w:customStyle="1" w:styleId="hhcwtCharChar">
    <w:name w:val="hhcwt表头 Char Char"/>
    <w:link w:val="hhcwt"/>
    <w:qFormat/>
    <w:rPr>
      <w:rFonts w:ascii="楷体_GB2312" w:eastAsia="楷体_GB2312" w:hAnsiTheme="minorHAnsi" w:cs="宋体"/>
      <w:b/>
      <w:bCs/>
      <w:sz w:val="24"/>
      <w:szCs w:val="22"/>
      <w:lang w:val="en-US" w:eastAsia="zh-CN" w:bidi="ar-SA"/>
    </w:rPr>
  </w:style>
  <w:style w:type="paragraph" w:customStyle="1" w:styleId="hhcwt">
    <w:name w:val="hhcwt表头"/>
    <w:basedOn w:val="af1"/>
    <w:link w:val="hhcwtCharChar"/>
    <w:qFormat/>
    <w:pPr>
      <w:spacing w:after="120"/>
      <w:ind w:leftChars="100" w:left="100" w:rightChars="100" w:right="100"/>
      <w:jc w:val="center"/>
    </w:pPr>
    <w:rPr>
      <w:rFonts w:ascii="楷体_GB2312" w:eastAsia="楷体_GB2312" w:hAnsiTheme="minorHAnsi" w:cs="宋体"/>
      <w:b/>
      <w:bCs/>
      <w:sz w:val="24"/>
    </w:rPr>
  </w:style>
  <w:style w:type="character" w:customStyle="1" w:styleId="CharCharf">
    <w:name w:val="图名 Char Char"/>
    <w:qFormat/>
    <w:rPr>
      <w:rFonts w:ascii="Times New Roman" w:eastAsia="黑体" w:hAnsi="Times New Roman" w:cs="Times New Roman"/>
      <w:b/>
      <w:kern w:val="2"/>
      <w:sz w:val="21"/>
      <w:szCs w:val="24"/>
      <w:lang w:val="en-US" w:eastAsia="zh-CN" w:bidi="ar-SA"/>
    </w:rPr>
  </w:style>
  <w:style w:type="character" w:customStyle="1" w:styleId="Char12">
    <w:name w:val="节 Char1"/>
    <w:qFormat/>
    <w:rPr>
      <w:rFonts w:ascii="黑体" w:eastAsia="黑体" w:hAnsi="Times New Roman" w:cs="Times New Roman" w:hint="eastAsia"/>
      <w:b/>
      <w:snapToGrid/>
      <w:color w:val="008000"/>
      <w:kern w:val="2"/>
      <w:sz w:val="28"/>
      <w:szCs w:val="24"/>
      <w:lang w:val="en-US" w:eastAsia="zh-CN" w:bidi="ar-SA"/>
    </w:rPr>
  </w:style>
  <w:style w:type="character" w:customStyle="1" w:styleId="1a">
    <w:name w:val="日期1"/>
    <w:basedOn w:val="af3"/>
    <w:qFormat/>
    <w:rPr>
      <w:rFonts w:ascii="Times New Roman" w:eastAsia="宋体" w:hAnsi="Times New Roman" w:cs="Times New Roman"/>
      <w:lang w:val="en-US" w:eastAsia="zh-CN" w:bidi="ar-SA"/>
    </w:rPr>
  </w:style>
  <w:style w:type="character" w:customStyle="1" w:styleId="Char13">
    <w:name w:val="结束语 Char1"/>
    <w:qFormat/>
    <w:rPr>
      <w:rFonts w:ascii="Calibri" w:eastAsia="宋体" w:hAnsi="Calibri" w:cs="Times New Roman"/>
      <w:kern w:val="2"/>
      <w:sz w:val="24"/>
      <w:szCs w:val="24"/>
      <w:lang w:val="en-US" w:eastAsia="zh-CN" w:bidi="ar-SA"/>
    </w:rPr>
  </w:style>
  <w:style w:type="character" w:customStyle="1" w:styleId="Char14">
    <w:name w:val="表格文字 Char1"/>
    <w:qFormat/>
    <w:rPr>
      <w:rFonts w:ascii="Arial" w:eastAsia="宋体" w:hAnsi="Arial" w:cs="Times New Roman"/>
      <w:snapToGrid/>
      <w:kern w:val="21"/>
      <w:sz w:val="24"/>
      <w:lang w:val="en-US" w:eastAsia="zh-CN" w:bidi="ar-SA"/>
    </w:rPr>
  </w:style>
  <w:style w:type="character" w:customStyle="1" w:styleId="yxPopup">
    <w:name w:val="yxPopup"/>
    <w:qFormat/>
    <w:rPr>
      <w:rFonts w:ascii="Courier New" w:eastAsia="宋体" w:hAnsi="Courier New" w:cs="Times New Roman"/>
      <w:color w:val="008000"/>
      <w:lang w:val="en-US" w:eastAsia="zh-CN" w:bidi="ar-SA"/>
    </w:rPr>
  </w:style>
  <w:style w:type="character" w:customStyle="1" w:styleId="1CharChar1">
    <w:name w:val="正文文字1 Char Char"/>
    <w:qFormat/>
    <w:locked/>
    <w:rPr>
      <w:rFonts w:ascii="Times New Roman" w:eastAsia="华文中宋" w:hAnsi="Times New Roman" w:cs="Times New Roman"/>
      <w:kern w:val="2"/>
      <w:sz w:val="24"/>
      <w:lang w:val="en-US" w:eastAsia="zh-CN" w:bidi="ar-SA"/>
    </w:rPr>
  </w:style>
  <w:style w:type="character" w:customStyle="1" w:styleId="btChar1">
    <w:name w:val="bt Char1"/>
    <w:qFormat/>
    <w:rPr>
      <w:rFonts w:ascii="宋体" w:eastAsia="宋体" w:hAnsi="宋体" w:cs="Times New Roman"/>
      <w:kern w:val="2"/>
      <w:sz w:val="24"/>
      <w:lang w:val="en-US" w:eastAsia="zh-CN" w:bidi="ar-SA"/>
    </w:rPr>
  </w:style>
  <w:style w:type="character" w:customStyle="1" w:styleId="1CharChar10">
    <w:name w:val="样式1正文 Char Char1"/>
    <w:link w:val="1Char3"/>
    <w:qFormat/>
    <w:rPr>
      <w:rFonts w:ascii="宋体" w:eastAsiaTheme="minorEastAsia" w:hAnsi="宋体" w:cstheme="minorBidi"/>
      <w:bCs/>
      <w:spacing w:val="-10"/>
      <w:sz w:val="28"/>
      <w:szCs w:val="28"/>
      <w:lang w:val="en-GB" w:eastAsia="zh-CN" w:bidi="ar-SA"/>
    </w:rPr>
  </w:style>
  <w:style w:type="paragraph" w:customStyle="1" w:styleId="1Char3">
    <w:name w:val="样式1正文 Char"/>
    <w:basedOn w:val="af1"/>
    <w:link w:val="1CharChar10"/>
    <w:qFormat/>
    <w:pPr>
      <w:spacing w:line="640" w:lineRule="exact"/>
      <w:ind w:firstLineChars="200" w:firstLine="520"/>
    </w:pPr>
    <w:rPr>
      <w:rFonts w:ascii="宋体" w:eastAsiaTheme="minorEastAsia" w:hAnsi="宋体"/>
      <w:bCs/>
      <w:spacing w:val="-10"/>
      <w:sz w:val="28"/>
      <w:szCs w:val="28"/>
      <w:lang w:val="en-GB"/>
    </w:rPr>
  </w:style>
  <w:style w:type="character" w:customStyle="1" w:styleId="Charfb">
    <w:name w:val="我的图表标题 Char"/>
    <w:link w:val="afffffff4"/>
    <w:qFormat/>
    <w:rPr>
      <w:rFonts w:ascii="宋体" w:eastAsiaTheme="minorEastAsia" w:hAnsi="Times New Roman" w:cs="宋体"/>
      <w:b/>
      <w:bCs/>
      <w:color w:val="000000"/>
      <w:szCs w:val="21"/>
      <w:lang w:val="en-US" w:eastAsia="zh-CN" w:bidi="ar-SA"/>
    </w:rPr>
  </w:style>
  <w:style w:type="paragraph" w:customStyle="1" w:styleId="afffffff4">
    <w:name w:val="我的图表标题"/>
    <w:basedOn w:val="af6"/>
    <w:link w:val="Charfb"/>
    <w:qFormat/>
    <w:pPr>
      <w:spacing w:after="0" w:line="360" w:lineRule="auto"/>
      <w:ind w:leftChars="0" w:left="0"/>
      <w:jc w:val="center"/>
    </w:pPr>
    <w:rPr>
      <w:rFonts w:ascii="宋体" w:eastAsiaTheme="minorEastAsia" w:hAnsiTheme="minorHAnsi" w:cs="宋体"/>
      <w:b/>
      <w:bCs/>
      <w:color w:val="000000"/>
      <w:sz w:val="24"/>
      <w:szCs w:val="21"/>
    </w:rPr>
  </w:style>
  <w:style w:type="character" w:customStyle="1" w:styleId="afffffff5">
    <w:name w:val="【表格注释】"/>
    <w:qFormat/>
    <w:rPr>
      <w:rFonts w:ascii="Times New Roman" w:eastAsia="宋体" w:hAnsi="Times New Roman" w:cs="宋体"/>
      <w:kern w:val="0"/>
      <w:sz w:val="21"/>
      <w:lang w:val="en-US" w:eastAsia="zh-CN" w:bidi="ar-SA"/>
    </w:rPr>
  </w:style>
  <w:style w:type="character" w:customStyle="1" w:styleId="CharCharCharCharCharCharChar">
    <w:name w:val="表文 Char Char Char Char Char Char Char"/>
    <w:qFormat/>
    <w:rPr>
      <w:rFonts w:ascii="宋体" w:eastAsia="宋体" w:hAnsi="宋体" w:cs="Times New Roman"/>
      <w:sz w:val="21"/>
      <w:lang w:val="en-US" w:eastAsia="zh-CN" w:bidi="ar-SA"/>
    </w:rPr>
  </w:style>
  <w:style w:type="character" w:customStyle="1" w:styleId="12">
    <w:name w:val="页脚 字符1"/>
    <w:link w:val="afff6"/>
    <w:uiPriority w:val="99"/>
    <w:qFormat/>
    <w:rPr>
      <w:rFonts w:ascii="Times New Roman" w:eastAsia="宋体" w:hAnsi="Times New Roman" w:cs="Times New Roman"/>
      <w:sz w:val="18"/>
      <w:szCs w:val="18"/>
      <w:lang w:val="en-US" w:eastAsia="zh-CN" w:bidi="ar-SA"/>
    </w:rPr>
  </w:style>
  <w:style w:type="character" w:customStyle="1" w:styleId="Bt11Char">
    <w:name w:val="Bt1.1 Char"/>
    <w:link w:val="Bt11"/>
    <w:qFormat/>
    <w:locked/>
    <w:rPr>
      <w:rFonts w:ascii="Times New Roman" w:eastAsia="宋体" w:hAnsi="Times New Roman" w:cstheme="minorBidi"/>
      <w:sz w:val="28"/>
      <w:szCs w:val="22"/>
      <w:lang w:val="en-US" w:eastAsia="zh-CN" w:bidi="ar-SA"/>
    </w:rPr>
  </w:style>
  <w:style w:type="paragraph" w:customStyle="1" w:styleId="Bt11">
    <w:name w:val="Bt1.1"/>
    <w:basedOn w:val="22"/>
    <w:next w:val="af1"/>
    <w:link w:val="Bt11Char"/>
    <w:qFormat/>
    <w:pPr>
      <w:adjustRightInd w:val="0"/>
      <w:spacing w:before="0" w:after="0" w:line="360" w:lineRule="auto"/>
      <w:jc w:val="left"/>
    </w:pPr>
    <w:rPr>
      <w:rFonts w:cstheme="minorBidi"/>
      <w:bCs w:val="0"/>
      <w:sz w:val="28"/>
      <w:szCs w:val="22"/>
    </w:rPr>
  </w:style>
  <w:style w:type="character" w:customStyle="1" w:styleId="Char1CharChar">
    <w:name w:val="正文缩进 Char1 Char Char"/>
    <w:qFormat/>
    <w:rPr>
      <w:rFonts w:ascii="宋体" w:eastAsia="宋体" w:hAnsi="Times New Roman" w:cs="Times New Roman"/>
      <w:kern w:val="2"/>
      <w:sz w:val="24"/>
      <w:lang w:val="en-US" w:eastAsia="zh-CN" w:bidi="ar-SA"/>
    </w:rPr>
  </w:style>
  <w:style w:type="character" w:customStyle="1" w:styleId="15CharChar">
    <w:name w:val="文本框五号1.5倍行距 Char Char"/>
    <w:qFormat/>
    <w:rPr>
      <w:rFonts w:ascii="Verdana" w:eastAsia="Times New Roman" w:hAnsi="Verdana" w:cs="Times New Roman"/>
      <w:kern w:val="2"/>
      <w:sz w:val="21"/>
      <w:lang w:val="en-US" w:eastAsia="zh-CN" w:bidi="ar-SA"/>
    </w:rPr>
  </w:style>
  <w:style w:type="character" w:customStyle="1" w:styleId="Charfc">
    <w:name w:val="表格文字内容 Char"/>
    <w:link w:val="afffffff6"/>
    <w:qFormat/>
    <w:rPr>
      <w:rFonts w:asciiTheme="minorHAnsi" w:eastAsiaTheme="minorEastAsia" w:hAnsiTheme="minorHAnsi" w:cs="宋体"/>
      <w:sz w:val="18"/>
      <w:szCs w:val="22"/>
      <w:lang w:val="en-US" w:eastAsia="zh-CN" w:bidi="ar-SA"/>
    </w:rPr>
  </w:style>
  <w:style w:type="paragraph" w:customStyle="1" w:styleId="afffffff6">
    <w:name w:val="表格文字内容"/>
    <w:basedOn w:val="af1"/>
    <w:link w:val="Charfc"/>
    <w:qFormat/>
    <w:pPr>
      <w:spacing w:line="240" w:lineRule="exact"/>
      <w:jc w:val="center"/>
    </w:pPr>
    <w:rPr>
      <w:rFonts w:asciiTheme="minorHAnsi" w:eastAsiaTheme="minorEastAsia" w:hAnsiTheme="minorHAnsi" w:cs="宋体"/>
      <w:sz w:val="18"/>
    </w:rPr>
  </w:style>
  <w:style w:type="character" w:customStyle="1" w:styleId="2211H2h241lxb2CharCharChar">
    <w:name w:val="样式 标题 2节标题标题21.1H2h2第一层条4.1二级标题标题 lxb2二级标题 Char表标题单位... Char Char"/>
    <w:qFormat/>
    <w:rPr>
      <w:rFonts w:ascii="Arial Black" w:eastAsia="Times New Roman" w:hAnsi="Arial Black" w:cs="Times New Roman"/>
      <w:b/>
      <w:kern w:val="32"/>
      <w:sz w:val="28"/>
      <w:lang w:val="en-US" w:eastAsia="zh-CN" w:bidi="ar-SA"/>
    </w:rPr>
  </w:style>
  <w:style w:type="character" w:customStyle="1" w:styleId="yxInternal">
    <w:name w:val="yxInternal"/>
    <w:qFormat/>
    <w:rPr>
      <w:rFonts w:ascii="Courier New" w:eastAsia="宋体" w:hAnsi="Courier New" w:cs="Times New Roman"/>
      <w:color w:val="FF0000"/>
      <w:lang w:val="en-US" w:eastAsia="zh-CN" w:bidi="ar-SA"/>
    </w:rPr>
  </w:style>
  <w:style w:type="character" w:customStyle="1" w:styleId="2222CharChar">
    <w:name w:val="样式 样式 样式 行距: 固定值 22 磅 + 首行缩进:  2 字符 + 首行缩进:  2 字符 Char Char"/>
    <w:link w:val="2222"/>
    <w:qFormat/>
    <w:rPr>
      <w:rFonts w:asciiTheme="minorHAnsi" w:eastAsia="华文中宋" w:hAnsiTheme="minorHAnsi" w:cstheme="minorBidi"/>
      <w:sz w:val="24"/>
      <w:szCs w:val="22"/>
      <w:lang w:val="en-US" w:eastAsia="zh-CN" w:bidi="ar-SA"/>
    </w:rPr>
  </w:style>
  <w:style w:type="paragraph" w:customStyle="1" w:styleId="2222">
    <w:name w:val="样式 样式 样式 行距: 固定值 22 磅 + 首行缩进:  2 字符 + 首行缩进:  2 字符"/>
    <w:basedOn w:val="af1"/>
    <w:link w:val="2222CharChar"/>
    <w:qFormat/>
    <w:pPr>
      <w:spacing w:line="480" w:lineRule="exact"/>
      <w:ind w:firstLineChars="200" w:firstLine="480"/>
    </w:pPr>
    <w:rPr>
      <w:rFonts w:asciiTheme="minorHAnsi" w:eastAsia="华文中宋" w:hAnsiTheme="minorHAnsi"/>
      <w:sz w:val="24"/>
    </w:rPr>
  </w:style>
  <w:style w:type="character" w:customStyle="1" w:styleId="11">
    <w:name w:val="尾注文本 字符1"/>
    <w:link w:val="afff5"/>
    <w:uiPriority w:val="99"/>
    <w:qFormat/>
    <w:rPr>
      <w:rFonts w:asciiTheme="minorHAnsi" w:eastAsiaTheme="minorEastAsia" w:hAnsiTheme="minorHAnsi" w:cstheme="minorBidi"/>
      <w:sz w:val="24"/>
      <w:szCs w:val="22"/>
      <w:lang w:val="en-US" w:eastAsia="zh-CN" w:bidi="ar-SA"/>
    </w:rPr>
  </w:style>
  <w:style w:type="character" w:customStyle="1" w:styleId="Char20">
    <w:name w:val="页脚 Char2"/>
    <w:qFormat/>
    <w:rPr>
      <w:rFonts w:ascii="Times New Roman" w:eastAsia="宋体" w:hAnsi="Times New Roman" w:cs="Times New Roman"/>
      <w:kern w:val="2"/>
      <w:sz w:val="18"/>
      <w:szCs w:val="18"/>
      <w:lang w:val="en-US" w:eastAsia="zh-CN" w:bidi="ar-SA"/>
    </w:rPr>
  </w:style>
  <w:style w:type="character" w:customStyle="1" w:styleId="afffffff7">
    <w:name w:val="样式 四号 加粗"/>
    <w:qFormat/>
    <w:rPr>
      <w:rFonts w:ascii="Times New Roman" w:eastAsia="宋体" w:hAnsi="Times New Roman" w:cs="Times New Roman"/>
      <w:b/>
      <w:bCs/>
      <w:sz w:val="28"/>
      <w:szCs w:val="28"/>
      <w:lang w:val="en-US" w:eastAsia="zh-CN" w:bidi="ar-SA"/>
    </w:rPr>
  </w:style>
  <w:style w:type="character" w:customStyle="1" w:styleId="CharCharf0">
    <w:name w:val="德胜表格内容 Char Char"/>
    <w:link w:val="afffffff8"/>
    <w:qFormat/>
    <w:locked/>
    <w:rPr>
      <w:rFonts w:asciiTheme="minorHAnsi" w:eastAsiaTheme="minorEastAsia" w:hAnsiTheme="minorHAnsi" w:cstheme="minorBidi"/>
      <w:color w:val="0000FF"/>
      <w:szCs w:val="22"/>
      <w:lang w:val="en-US" w:eastAsia="zh-CN" w:bidi="ar-SA"/>
    </w:rPr>
  </w:style>
  <w:style w:type="paragraph" w:customStyle="1" w:styleId="afffffff8">
    <w:name w:val="德胜表格内容"/>
    <w:basedOn w:val="af1"/>
    <w:link w:val="CharCharf0"/>
    <w:qFormat/>
    <w:pPr>
      <w:widowControl/>
      <w:adjustRightInd w:val="0"/>
      <w:snapToGrid w:val="0"/>
      <w:jc w:val="center"/>
    </w:pPr>
    <w:rPr>
      <w:rFonts w:asciiTheme="minorHAnsi" w:eastAsiaTheme="minorEastAsia" w:hAnsiTheme="minorHAnsi"/>
      <w:color w:val="0000FF"/>
    </w:rPr>
  </w:style>
  <w:style w:type="character" w:customStyle="1" w:styleId="710">
    <w:name w:val="标题 7 字符1"/>
    <w:qFormat/>
    <w:rPr>
      <w:rFonts w:ascii="Times New Roman" w:eastAsia="宋体" w:hAnsi="Times New Roman" w:cs="Times New Roman"/>
      <w:b/>
      <w:sz w:val="24"/>
      <w:lang w:val="en-US" w:eastAsia="zh-CN" w:bidi="ar-SA"/>
    </w:rPr>
  </w:style>
  <w:style w:type="character" w:customStyle="1" w:styleId="CharCharf1">
    <w:name w:val="表格名称 Char Char"/>
    <w:qFormat/>
    <w:rPr>
      <w:rFonts w:ascii="Times New Roman" w:eastAsia="黑体" w:hAnsi="Times New Roman" w:cs="Times New Roman"/>
      <w:lang w:val="en-US" w:eastAsia="zh-CN" w:bidi="ar-SA"/>
    </w:rPr>
  </w:style>
  <w:style w:type="character" w:customStyle="1" w:styleId="Charfd">
    <w:name w:val="尾注文本 Char"/>
    <w:basedOn w:val="af3"/>
    <w:qFormat/>
    <w:rPr>
      <w:rFonts w:ascii="Times New Roman" w:eastAsia="宋体" w:hAnsi="Times New Roman" w:cs="Times New Roman"/>
      <w:lang w:val="en-US" w:eastAsia="zh-CN" w:bidi="ar-SA"/>
    </w:rPr>
  </w:style>
  <w:style w:type="character" w:customStyle="1" w:styleId="-9Char">
    <w:name w:val="可研-标题 9 Char"/>
    <w:qFormat/>
    <w:rPr>
      <w:rFonts w:ascii="Arial" w:eastAsia="黑体" w:hAnsi="Arial" w:cs="Times New Roman"/>
      <w:sz w:val="24"/>
      <w:lang w:val="en-US" w:eastAsia="zh-CN" w:bidi="ar-SA"/>
    </w:rPr>
  </w:style>
  <w:style w:type="character" w:customStyle="1" w:styleId="ChaCha">
    <w:name w:val="样式 德胜正文 + ?? Chaˎ̥ Cha"/>
    <w:link w:val="afffffff9"/>
    <w:qFormat/>
    <w:locked/>
    <w:rPr>
      <w:rFonts w:asciiTheme="minorHAnsi" w:eastAsia="宋体" w:hAnsiTheme="minorHAnsi" w:cs="Times New Roman"/>
      <w:szCs w:val="22"/>
      <w:lang w:val="en-US" w:eastAsia="zh-CN" w:bidi="ar-SA"/>
    </w:rPr>
  </w:style>
  <w:style w:type="paragraph" w:customStyle="1" w:styleId="afffffff9">
    <w:name w:val="样式 德胜正文 + ??"/>
    <w:basedOn w:val="afffffff3"/>
    <w:link w:val="ChaCha"/>
    <w:qFormat/>
    <w:rPr>
      <w:rFonts w:asciiTheme="minorHAnsi" w:hAnsiTheme="minorHAnsi"/>
      <w:szCs w:val="22"/>
    </w:rPr>
  </w:style>
  <w:style w:type="character" w:customStyle="1" w:styleId="ttag">
    <w:name w:val="t_tag"/>
    <w:qFormat/>
    <w:rPr>
      <w:rFonts w:ascii="Times New Roman" w:eastAsia="宋体" w:hAnsi="Times New Roman" w:cs="Times New Roman"/>
      <w:kern w:val="2"/>
      <w:sz w:val="24"/>
      <w:szCs w:val="24"/>
      <w:lang w:val="en-US" w:eastAsia="zh-CN" w:bidi="ar-SA"/>
    </w:rPr>
  </w:style>
  <w:style w:type="character" w:customStyle="1" w:styleId="3CharChar0">
    <w:name w:val="样式 标题 3 + 四号 蓝色 Char Char"/>
    <w:link w:val="3b"/>
    <w:qFormat/>
    <w:locked/>
    <w:rPr>
      <w:rFonts w:asciiTheme="minorHAnsi" w:eastAsiaTheme="minorEastAsia" w:hAnsiTheme="minorHAnsi" w:cstheme="minorBidi"/>
      <w:color w:val="0000FF"/>
      <w:szCs w:val="22"/>
      <w:lang w:val="en-US" w:eastAsia="zh-CN" w:bidi="ar-SA"/>
    </w:rPr>
  </w:style>
  <w:style w:type="paragraph" w:customStyle="1" w:styleId="3b">
    <w:name w:val="样式 标题 3 + 四号 蓝色"/>
    <w:basedOn w:val="31"/>
    <w:link w:val="3CharChar0"/>
    <w:qFormat/>
    <w:pPr>
      <w:widowControl/>
      <w:adjustRightInd w:val="0"/>
      <w:snapToGrid w:val="0"/>
      <w:spacing w:before="0" w:after="0" w:line="360" w:lineRule="auto"/>
      <w:jc w:val="left"/>
      <w:outlineLvl w:val="1"/>
    </w:pPr>
    <w:rPr>
      <w:rFonts w:asciiTheme="minorHAnsi" w:eastAsiaTheme="minorEastAsia" w:hAnsiTheme="minorHAnsi" w:cstheme="minorBidi"/>
      <w:bCs w:val="0"/>
      <w:color w:val="0000FF"/>
      <w:szCs w:val="22"/>
    </w:rPr>
  </w:style>
  <w:style w:type="character" w:customStyle="1" w:styleId="raqz">
    <w:name w:val="raqz"/>
    <w:basedOn w:val="af3"/>
    <w:qFormat/>
    <w:rPr>
      <w:rFonts w:ascii="Times New Roman" w:eastAsia="宋体" w:hAnsi="Times New Roman" w:cs="Times New Roman"/>
      <w:lang w:val="en-US" w:eastAsia="zh-CN" w:bidi="ar-SA"/>
    </w:rPr>
  </w:style>
  <w:style w:type="character" w:customStyle="1" w:styleId="000Char">
    <w:name w:val="正文000 Char"/>
    <w:link w:val="000"/>
    <w:qFormat/>
    <w:locked/>
    <w:rPr>
      <w:rFonts w:ascii="宋体" w:eastAsiaTheme="minorEastAsia" w:hAnsi="宋体" w:cstheme="minorBidi"/>
      <w:sz w:val="24"/>
      <w:szCs w:val="22"/>
      <w:lang w:val="en-US" w:eastAsia="zh-CN" w:bidi="ar-SA"/>
    </w:rPr>
  </w:style>
  <w:style w:type="paragraph" w:customStyle="1" w:styleId="000">
    <w:name w:val="正文000"/>
    <w:basedOn w:val="af1"/>
    <w:link w:val="000Char"/>
    <w:qFormat/>
    <w:pPr>
      <w:spacing w:line="360" w:lineRule="auto"/>
      <w:ind w:firstLineChars="200" w:firstLine="480"/>
    </w:pPr>
    <w:rPr>
      <w:rFonts w:ascii="宋体" w:eastAsiaTheme="minorEastAsia" w:hAnsi="宋体"/>
      <w:sz w:val="24"/>
    </w:rPr>
  </w:style>
  <w:style w:type="character" w:customStyle="1" w:styleId="Char05Char">
    <w:name w:val="样式 表格文字 Char + 段前: 0.5 行 Char"/>
    <w:link w:val="Char05"/>
    <w:qFormat/>
    <w:rPr>
      <w:rFonts w:asciiTheme="minorHAnsi" w:eastAsiaTheme="minorEastAsia" w:hAnsiTheme="minorHAnsi" w:cs="宋体"/>
      <w:sz w:val="24"/>
      <w:szCs w:val="22"/>
      <w:lang w:val="en-US" w:eastAsia="zh-CN" w:bidi="ar-SA"/>
    </w:rPr>
  </w:style>
  <w:style w:type="paragraph" w:customStyle="1" w:styleId="Char05">
    <w:name w:val="样式 表格文字 Char + 段前: 0.5 行"/>
    <w:basedOn w:val="af1"/>
    <w:link w:val="Char05Char"/>
    <w:qFormat/>
    <w:pPr>
      <w:spacing w:beforeLines="50"/>
      <w:jc w:val="center"/>
    </w:pPr>
    <w:rPr>
      <w:rFonts w:asciiTheme="minorHAnsi" w:eastAsiaTheme="minorEastAsia" w:hAnsiTheme="minorHAnsi" w:cs="宋体"/>
      <w:sz w:val="24"/>
    </w:rPr>
  </w:style>
  <w:style w:type="character" w:customStyle="1" w:styleId="Charfe">
    <w:name w:val="环评证文 Char"/>
    <w:link w:val="afffffffa"/>
    <w:qFormat/>
    <w:rPr>
      <w:rFonts w:ascii="宋体" w:eastAsiaTheme="minorEastAsia" w:hAnsi="宋体" w:cstheme="minorBidi"/>
      <w:color w:val="000000"/>
      <w:sz w:val="24"/>
      <w:lang w:val="en-US" w:eastAsia="zh-CN" w:bidi="ar-SA"/>
    </w:rPr>
  </w:style>
  <w:style w:type="paragraph" w:customStyle="1" w:styleId="afffffffa">
    <w:name w:val="环评证文"/>
    <w:basedOn w:val="af1"/>
    <w:link w:val="Charfe"/>
    <w:qFormat/>
    <w:pPr>
      <w:spacing w:line="440" w:lineRule="exact"/>
      <w:ind w:firstLineChars="200" w:firstLine="480"/>
    </w:pPr>
    <w:rPr>
      <w:rFonts w:ascii="宋体" w:eastAsiaTheme="minorEastAsia" w:hAnsi="宋体"/>
      <w:color w:val="000000"/>
      <w:sz w:val="24"/>
      <w:szCs w:val="24"/>
    </w:rPr>
  </w:style>
  <w:style w:type="character" w:customStyle="1" w:styleId="CharChar30">
    <w:name w:val="Char Char3"/>
    <w:qFormat/>
    <w:rPr>
      <w:rFonts w:ascii="Times New Roman" w:eastAsia="宋体" w:hAnsi="Times New Roman" w:cs="Times New Roman"/>
      <w:kern w:val="2"/>
      <w:sz w:val="18"/>
      <w:szCs w:val="18"/>
      <w:lang w:val="en-US" w:eastAsia="zh-CN" w:bidi="ar-SA"/>
    </w:rPr>
  </w:style>
  <w:style w:type="character" w:customStyle="1" w:styleId="7878152CharChar">
    <w:name w:val="样式 样式 小四 段前: 7.8 磅 段后: 7.8 磅 行距: 1.5 倍行距 + 首行缩进:  2 字符 Char Char"/>
    <w:link w:val="7878152"/>
    <w:qFormat/>
    <w:rPr>
      <w:rFonts w:asciiTheme="minorHAnsi" w:eastAsiaTheme="minorEastAsia" w:hAnsiTheme="minorHAnsi" w:cstheme="minorBidi"/>
      <w:sz w:val="24"/>
      <w:lang w:val="en-US" w:eastAsia="zh-CN" w:bidi="ar-SA"/>
    </w:rPr>
  </w:style>
  <w:style w:type="paragraph" w:customStyle="1" w:styleId="7878152">
    <w:name w:val="样式 样式 小四 段前: 7.8 磅 段后: 7.8 磅 行距: 1.5 倍行距 + 首行缩进:  2 字符"/>
    <w:basedOn w:val="af1"/>
    <w:link w:val="7878152CharChar"/>
    <w:qFormat/>
    <w:pPr>
      <w:spacing w:line="360" w:lineRule="auto"/>
      <w:ind w:firstLineChars="200" w:firstLine="480"/>
    </w:pPr>
    <w:rPr>
      <w:rFonts w:asciiTheme="minorHAnsi" w:eastAsiaTheme="minorEastAsia" w:hAnsiTheme="minorHAnsi"/>
      <w:sz w:val="24"/>
      <w:szCs w:val="24"/>
    </w:rPr>
  </w:style>
  <w:style w:type="character" w:customStyle="1" w:styleId="CharCharf2">
    <w:name w:val="表头 Char Char"/>
    <w:qFormat/>
    <w:locked/>
    <w:rPr>
      <w:rFonts w:ascii="黑体" w:eastAsia="黑体" w:hAnsi="黑体" w:cs="Times New Roman"/>
      <w:spacing w:val="10"/>
      <w:kern w:val="21"/>
      <w:lang w:val="en-US" w:eastAsia="zh-CN" w:bidi="ar-SA"/>
    </w:rPr>
  </w:style>
  <w:style w:type="character" w:customStyle="1" w:styleId="CharCharCharChar11">
    <w:name w:val="Char Char Char Char11"/>
    <w:qFormat/>
    <w:rPr>
      <w:rFonts w:ascii="宋体" w:eastAsia="宋体" w:hAnsi="宋体" w:cs="Times New Roman" w:hint="eastAsia"/>
      <w:kern w:val="2"/>
      <w:sz w:val="24"/>
      <w:lang w:val="en-US" w:eastAsia="zh-CN" w:bidi="ar-SA"/>
    </w:rPr>
  </w:style>
  <w:style w:type="character" w:customStyle="1" w:styleId="1b">
    <w:name w:val="正文文本 字符1"/>
    <w:uiPriority w:val="99"/>
    <w:qFormat/>
    <w:rPr>
      <w:rFonts w:ascii="Times New Roman" w:eastAsia="宋体" w:hAnsi="Times New Roman" w:cs="Times New Roman"/>
      <w:kern w:val="2"/>
      <w:sz w:val="21"/>
      <w:szCs w:val="24"/>
      <w:lang w:val="en-US" w:eastAsia="zh-CN" w:bidi="ar-SA"/>
    </w:rPr>
  </w:style>
  <w:style w:type="character" w:customStyle="1" w:styleId="1Char4">
    <w:name w:val="目标题 1) Char"/>
    <w:qFormat/>
    <w:rPr>
      <w:rFonts w:ascii="Arial" w:eastAsia="黑体" w:hAnsi="Arial" w:cs="Arial" w:hint="default"/>
      <w:b/>
      <w:snapToGrid/>
      <w:color w:val="008000"/>
      <w:kern w:val="2"/>
      <w:sz w:val="24"/>
      <w:szCs w:val="24"/>
      <w:lang w:val="en-US" w:eastAsia="zh-CN" w:bidi="ar-SA"/>
    </w:rPr>
  </w:style>
  <w:style w:type="character" w:customStyle="1" w:styleId="23pt2">
    <w:name w:val="正文文本 (2) + 间距 3 pt2"/>
    <w:qFormat/>
    <w:rPr>
      <w:rFonts w:ascii="MingLiU" w:eastAsia="MingLiU" w:hAnsi="Times New Roman" w:cs="MingLiU"/>
      <w:spacing w:val="60"/>
      <w:kern w:val="2"/>
      <w:sz w:val="22"/>
      <w:szCs w:val="22"/>
      <w:u w:val="none"/>
      <w:lang w:val="en-US" w:eastAsia="zh-CN" w:bidi="ar-SA"/>
    </w:rPr>
  </w:style>
  <w:style w:type="character" w:customStyle="1" w:styleId="CharChar26">
    <w:name w:val="Char Char26"/>
    <w:qFormat/>
    <w:locked/>
    <w:rPr>
      <w:rFonts w:ascii="Arial" w:eastAsia="黑体" w:hAnsi="Arial" w:cs="Arial"/>
      <w:kern w:val="2"/>
      <w:lang w:val="en-US" w:eastAsia="zh-CN" w:bidi="ar-SA"/>
    </w:rPr>
  </w:style>
  <w:style w:type="character" w:customStyle="1" w:styleId="2SLCON2Char">
    <w:name w:val="样式 正文 首行缩进:  2 字符 SL CON + 首行缩进:  2 字符 Char"/>
    <w:link w:val="2SLCON2"/>
    <w:qFormat/>
    <w:rPr>
      <w:rFonts w:ascii="Times New Roman" w:eastAsiaTheme="minorEastAsia" w:hAnsi="Times New Roman" w:cs="宋体"/>
      <w:sz w:val="24"/>
      <w:szCs w:val="22"/>
      <w:lang w:val="en-US" w:eastAsia="zh-CN" w:bidi="ar-SA"/>
    </w:rPr>
  </w:style>
  <w:style w:type="paragraph" w:customStyle="1" w:styleId="2SLCON2">
    <w:name w:val="样式 正文 首行缩进:  2 字符 SL CON + 首行缩进:  2 字符"/>
    <w:basedOn w:val="af1"/>
    <w:link w:val="2SLCON2Char"/>
    <w:qFormat/>
    <w:pPr>
      <w:widowControl/>
      <w:tabs>
        <w:tab w:val="left" w:pos="377"/>
      </w:tabs>
      <w:spacing w:line="360" w:lineRule="auto"/>
      <w:ind w:firstLineChars="200" w:firstLine="480"/>
    </w:pPr>
    <w:rPr>
      <w:rFonts w:eastAsiaTheme="minorEastAsia" w:cs="宋体"/>
      <w:sz w:val="24"/>
    </w:rPr>
  </w:style>
  <w:style w:type="character" w:customStyle="1" w:styleId="Charff">
    <w:name w:val="表内容 Char"/>
    <w:link w:val="afffffffb"/>
    <w:qFormat/>
    <w:rPr>
      <w:rFonts w:asciiTheme="minorHAnsi" w:eastAsiaTheme="minorEastAsia" w:hAnsiTheme="minorHAnsi" w:cstheme="minorBidi"/>
      <w:szCs w:val="21"/>
      <w:lang w:val="en-US" w:eastAsia="zh-CN" w:bidi="ar-SA"/>
    </w:rPr>
  </w:style>
  <w:style w:type="paragraph" w:customStyle="1" w:styleId="afffffffb">
    <w:name w:val="表内容"/>
    <w:basedOn w:val="af1"/>
    <w:link w:val="Charff"/>
    <w:qFormat/>
    <w:pPr>
      <w:autoSpaceDE w:val="0"/>
      <w:autoSpaceDN w:val="0"/>
      <w:jc w:val="center"/>
    </w:pPr>
    <w:rPr>
      <w:rFonts w:asciiTheme="minorHAnsi" w:eastAsiaTheme="minorEastAsia" w:hAnsiTheme="minorHAnsi"/>
      <w:szCs w:val="21"/>
    </w:rPr>
  </w:style>
  <w:style w:type="character" w:customStyle="1" w:styleId="CharChar91">
    <w:name w:val="Char Char91"/>
    <w:qFormat/>
    <w:rPr>
      <w:rFonts w:ascii="Times New Roman" w:eastAsia="宋体" w:hAnsi="Times New Roman" w:cs="Times New Roman"/>
      <w:kern w:val="2"/>
      <w:sz w:val="18"/>
      <w:lang w:val="en-US" w:eastAsia="zh-CN" w:bidi="ar-SA"/>
    </w:rPr>
  </w:style>
  <w:style w:type="character" w:customStyle="1" w:styleId="141512CharChar">
    <w:name w:val="样式 样式 方正宋三简体 14 磅 行距: 1.5 倍行距1 + 首行缩进:  2 字符 Char Char"/>
    <w:link w:val="141512"/>
    <w:qFormat/>
    <w:locked/>
    <w:rPr>
      <w:rFonts w:ascii="Verdana" w:eastAsiaTheme="minorEastAsia" w:hAnsiTheme="minorHAnsi" w:cstheme="minorBidi"/>
      <w:sz w:val="27"/>
      <w:szCs w:val="22"/>
      <w:lang w:val="en-US" w:eastAsia="zh-CN" w:bidi="ar-SA"/>
    </w:rPr>
  </w:style>
  <w:style w:type="paragraph" w:customStyle="1" w:styleId="141512">
    <w:name w:val="样式 样式 方正宋三简体 14 磅 行距: 1.5 倍行距1 + 首行缩进:  2 字符"/>
    <w:basedOn w:val="af1"/>
    <w:link w:val="141512CharChar"/>
    <w:qFormat/>
    <w:pPr>
      <w:widowControl/>
      <w:ind w:firstLineChars="200" w:firstLine="200"/>
      <w:jc w:val="left"/>
    </w:pPr>
    <w:rPr>
      <w:rFonts w:ascii="Verdana" w:eastAsiaTheme="minorEastAsia" w:hAnsiTheme="minorHAnsi"/>
      <w:sz w:val="27"/>
    </w:rPr>
  </w:style>
  <w:style w:type="character" w:customStyle="1" w:styleId="2Char">
    <w:name w:val="纯文本2 Char"/>
    <w:qFormat/>
    <w:rPr>
      <w:rFonts w:ascii="宋体" w:eastAsia="宋体" w:hAnsi="Courier New" w:cs="Times New Roman"/>
      <w:kern w:val="2"/>
      <w:sz w:val="21"/>
      <w:lang w:val="en-US" w:eastAsia="zh-CN" w:bidi="ar-SA"/>
    </w:rPr>
  </w:style>
  <w:style w:type="character" w:customStyle="1" w:styleId="Charff0">
    <w:name w:val="图表名 Char"/>
    <w:link w:val="afffffffc"/>
    <w:qFormat/>
    <w:rPr>
      <w:rFonts w:ascii="仿宋_GB2312" w:eastAsia="楷体" w:hAnsi="仿宋_GB2312" w:cs="仿宋_GB2312"/>
      <w:color w:val="000000"/>
      <w:sz w:val="28"/>
      <w:szCs w:val="28"/>
      <w:lang w:val="en-US" w:eastAsia="zh-CN" w:bidi="ar-SA"/>
    </w:rPr>
  </w:style>
  <w:style w:type="paragraph" w:customStyle="1" w:styleId="afffffffc">
    <w:name w:val="图表名"/>
    <w:basedOn w:val="af1"/>
    <w:link w:val="Charff0"/>
    <w:qFormat/>
    <w:pPr>
      <w:widowControl/>
      <w:adjustRightInd w:val="0"/>
      <w:snapToGrid w:val="0"/>
      <w:spacing w:line="360" w:lineRule="auto"/>
      <w:jc w:val="center"/>
    </w:pPr>
    <w:rPr>
      <w:rFonts w:ascii="仿宋_GB2312" w:eastAsia="楷体" w:hAnsi="仿宋_GB2312" w:cs="仿宋_GB2312"/>
      <w:color w:val="000000"/>
      <w:sz w:val="28"/>
      <w:szCs w:val="28"/>
    </w:rPr>
  </w:style>
  <w:style w:type="character" w:customStyle="1" w:styleId="afffffffd">
    <w:name w:val="国寰表头"/>
    <w:qFormat/>
    <w:rPr>
      <w:rFonts w:ascii="黑体" w:eastAsia="黑体" w:hAnsi="黑体" w:cs="黑体" w:hint="eastAsia"/>
      <w:kern w:val="2"/>
      <w:sz w:val="21"/>
      <w:szCs w:val="32"/>
      <w:lang w:val="en-US" w:eastAsia="zh-CN" w:bidi="ar-SA"/>
    </w:rPr>
  </w:style>
  <w:style w:type="character" w:customStyle="1" w:styleId="CharCharf3">
    <w:name w:val="蒲正文 Char Char"/>
    <w:link w:val="afffffffe"/>
    <w:qFormat/>
    <w:locked/>
    <w:rPr>
      <w:rFonts w:asciiTheme="minorHAnsi" w:eastAsiaTheme="minorEastAsia" w:hAnsiTheme="minorHAnsi" w:cstheme="minorBidi"/>
      <w:sz w:val="24"/>
      <w:szCs w:val="22"/>
      <w:lang w:val="en-US" w:eastAsia="zh-CN" w:bidi="ar-SA"/>
    </w:rPr>
  </w:style>
  <w:style w:type="paragraph" w:customStyle="1" w:styleId="afffffffe">
    <w:name w:val="蒲正文"/>
    <w:basedOn w:val="af1"/>
    <w:link w:val="CharCharf3"/>
    <w:qFormat/>
    <w:pPr>
      <w:widowControl/>
      <w:adjustRightInd w:val="0"/>
      <w:snapToGrid w:val="0"/>
      <w:jc w:val="center"/>
    </w:pPr>
    <w:rPr>
      <w:rFonts w:asciiTheme="minorHAnsi" w:eastAsiaTheme="minorEastAsia" w:hAnsiTheme="minorHAnsi"/>
      <w:sz w:val="24"/>
    </w:rPr>
  </w:style>
  <w:style w:type="character" w:customStyle="1" w:styleId="CharChar431">
    <w:name w:val="Char Char431"/>
    <w:qFormat/>
    <w:rPr>
      <w:rFonts w:ascii="黑体" w:eastAsia="宋体" w:hAnsi="Times New Roman" w:cs="Times New Roman"/>
      <w:b/>
      <w:snapToGrid/>
      <w:color w:val="000000"/>
      <w:kern w:val="2"/>
      <w:sz w:val="44"/>
      <w:szCs w:val="24"/>
      <w:lang w:val="en-US" w:eastAsia="zh-CN" w:bidi="ar-SA"/>
    </w:rPr>
  </w:style>
  <w:style w:type="character" w:customStyle="1" w:styleId="Char21">
    <w:name w:val="章 Char2"/>
    <w:link w:val="110"/>
    <w:qFormat/>
    <w:locked/>
    <w:rPr>
      <w:rFonts w:ascii="黑体" w:eastAsiaTheme="minorEastAsia" w:hAnsi="黑体" w:cstheme="minorBidi"/>
      <w:b/>
      <w:color w:val="000000"/>
      <w:kern w:val="2"/>
      <w:sz w:val="44"/>
      <w:szCs w:val="24"/>
      <w:lang w:val="en-US" w:eastAsia="zh-CN" w:bidi="ar-SA"/>
    </w:rPr>
  </w:style>
  <w:style w:type="paragraph" w:customStyle="1" w:styleId="110">
    <w:name w:val="标题 11"/>
    <w:next w:val="af1"/>
    <w:link w:val="Char21"/>
    <w:qFormat/>
    <w:pPr>
      <w:keepNext/>
      <w:keepLines/>
      <w:snapToGrid w:val="0"/>
      <w:spacing w:beforeLines="50" w:afterLines="50"/>
      <w:jc w:val="center"/>
      <w:outlineLvl w:val="0"/>
    </w:pPr>
    <w:rPr>
      <w:rFonts w:ascii="黑体" w:hAnsi="黑体"/>
      <w:b/>
      <w:color w:val="000000"/>
      <w:kern w:val="2"/>
      <w:sz w:val="44"/>
      <w:szCs w:val="24"/>
    </w:rPr>
  </w:style>
  <w:style w:type="character" w:customStyle="1" w:styleId="newscontent">
    <w:name w:val="newscontent"/>
    <w:basedOn w:val="af3"/>
    <w:qFormat/>
    <w:rPr>
      <w:rFonts w:ascii="Times New Roman" w:eastAsia="宋体" w:hAnsi="Times New Roman" w:cs="Times New Roman"/>
      <w:lang w:val="en-US" w:eastAsia="zh-CN" w:bidi="ar-SA"/>
    </w:rPr>
  </w:style>
  <w:style w:type="character" w:customStyle="1" w:styleId="2Char0">
    <w:name w:val="标题 2 Char"/>
    <w:uiPriority w:val="9"/>
    <w:qFormat/>
    <w:rPr>
      <w:rFonts w:ascii="Times New Roman" w:eastAsia="黑体" w:hAnsi="Times New Roman" w:cs="Times New Roman"/>
      <w:sz w:val="30"/>
      <w:lang w:val="en-US" w:eastAsia="zh-CN" w:bidi="ar-SA"/>
    </w:rPr>
  </w:style>
  <w:style w:type="character" w:customStyle="1" w:styleId="bt21">
    <w:name w:val="bt21"/>
    <w:qFormat/>
    <w:rPr>
      <w:rFonts w:ascii="黑体" w:eastAsia="黑体" w:hAnsi="Times New Roman" w:cs="Times New Roman"/>
      <w:sz w:val="24"/>
      <w:lang w:val="en-US" w:eastAsia="zh-CN" w:bidi="ar-SA"/>
    </w:rPr>
  </w:style>
  <w:style w:type="character" w:customStyle="1" w:styleId="Charf3">
    <w:name w:val="[正文格式] Char"/>
    <w:link w:val="affffff6"/>
    <w:qFormat/>
    <w:rPr>
      <w:rFonts w:asciiTheme="minorHAnsi" w:eastAsiaTheme="minorEastAsia" w:hAnsiTheme="minorHAnsi" w:cstheme="minorBidi"/>
      <w:sz w:val="24"/>
      <w:szCs w:val="22"/>
      <w:lang w:val="en-US" w:eastAsia="zh-CN" w:bidi="ar-SA"/>
    </w:rPr>
  </w:style>
  <w:style w:type="character" w:customStyle="1" w:styleId="-CharChar">
    <w:name w:val="正文-蓝色 Char Char"/>
    <w:qFormat/>
    <w:rPr>
      <w:rFonts w:ascii="Times New Roman" w:eastAsia="宋体" w:hAnsi="Times New Roman" w:cs="宋体"/>
      <w:color w:val="0000FF"/>
      <w:kern w:val="2"/>
      <w:sz w:val="24"/>
      <w:szCs w:val="28"/>
      <w:lang w:val="en-US" w:eastAsia="zh-CN" w:bidi="ar-SA"/>
    </w:rPr>
  </w:style>
  <w:style w:type="character" w:customStyle="1" w:styleId="word16b1">
    <w:name w:val="word16b1"/>
    <w:qFormat/>
    <w:rPr>
      <w:rFonts w:ascii="Courier New" w:eastAsia="Times New Roman" w:hAnsi="Courier New" w:cs="Times New Roman"/>
      <w:b/>
      <w:spacing w:val="15"/>
      <w:sz w:val="24"/>
      <w:lang w:val="en-US" w:eastAsia="en-US" w:bidi="ar-SA"/>
    </w:rPr>
  </w:style>
  <w:style w:type="character" w:customStyle="1" w:styleId="Charff1">
    <w:name w:val="【表头】 Char"/>
    <w:qFormat/>
    <w:rPr>
      <w:rFonts w:ascii="Times New Roman" w:eastAsia="宋体" w:hAnsi="Times New Roman" w:cs="宋体"/>
      <w:sz w:val="24"/>
      <w:lang w:val="en-US" w:eastAsia="zh-CN" w:bidi="ar-SA"/>
    </w:rPr>
  </w:style>
  <w:style w:type="character" w:customStyle="1" w:styleId="font61">
    <w:name w:val="font61"/>
    <w:qFormat/>
    <w:rPr>
      <w:rFonts w:ascii="Times New Roman" w:eastAsia="宋体" w:hAnsi="Times New Roman" w:cs="Times New Roman" w:hint="default"/>
      <w:i/>
      <w:iCs/>
      <w:color w:val="000000"/>
      <w:sz w:val="24"/>
      <w:szCs w:val="24"/>
      <w:u w:val="none"/>
      <w:lang w:val="en-US" w:eastAsia="zh-CN" w:bidi="ar-SA"/>
    </w:rPr>
  </w:style>
  <w:style w:type="character" w:customStyle="1" w:styleId="17CharCharCharChar">
    <w:name w:val="样式17 Char Char Char Char"/>
    <w:qFormat/>
    <w:rPr>
      <w:rFonts w:ascii="华文中宋" w:eastAsia="华文中宋" w:hAnsi="华文中宋" w:cs="Times New Roman" w:hint="eastAsia"/>
      <w:b/>
      <w:color w:val="008000"/>
      <w:kern w:val="2"/>
      <w:sz w:val="24"/>
      <w:szCs w:val="24"/>
      <w:lang w:val="en-US" w:eastAsia="zh-CN" w:bidi="ar-SA"/>
    </w:rPr>
  </w:style>
  <w:style w:type="character" w:customStyle="1" w:styleId="Char15">
    <w:name w:val="批注文字 Char1"/>
    <w:qFormat/>
    <w:locked/>
    <w:rPr>
      <w:rFonts w:ascii="Times New Roman" w:eastAsia="宋体" w:hAnsi="Times New Roman" w:cs="Times New Roman"/>
      <w:kern w:val="28"/>
      <w:sz w:val="28"/>
      <w:szCs w:val="24"/>
      <w:lang w:val="en-US" w:eastAsia="zh-CN" w:bidi="ar-SA"/>
    </w:rPr>
  </w:style>
  <w:style w:type="character" w:customStyle="1" w:styleId="CharCharChar1">
    <w:name w:val="表格正文 Char Char Char"/>
    <w:qFormat/>
    <w:rPr>
      <w:rFonts w:ascii="宋体" w:eastAsia="宋体" w:hAnsi="Times New Roman" w:cs="宋体"/>
      <w:kern w:val="2"/>
      <w:sz w:val="21"/>
      <w:lang w:val="en-US" w:eastAsia="zh-CN" w:bidi="ar-SA"/>
    </w:rPr>
  </w:style>
  <w:style w:type="character" w:customStyle="1" w:styleId="bbbbbbbbbbbChar">
    <w:name w:val="bbbbbbbbbbb Char"/>
    <w:link w:val="bbbbbbbbbbb"/>
    <w:qFormat/>
    <w:locked/>
    <w:rPr>
      <w:rFonts w:asciiTheme="minorHAnsi" w:eastAsiaTheme="minorEastAsia" w:hAnsiTheme="minorHAnsi" w:cstheme="minorBidi"/>
      <w:b/>
      <w:color w:val="FF0000"/>
      <w:sz w:val="24"/>
      <w:lang w:val="en-US" w:eastAsia="zh-CN" w:bidi="ar-SA"/>
    </w:rPr>
  </w:style>
  <w:style w:type="paragraph" w:customStyle="1" w:styleId="bbbbbbbbbbb">
    <w:name w:val="bbbbbbbbbbb"/>
    <w:basedOn w:val="af1"/>
    <w:link w:val="bbbbbbbbbbbChar"/>
    <w:qFormat/>
    <w:pPr>
      <w:spacing w:line="360" w:lineRule="auto"/>
      <w:jc w:val="center"/>
    </w:pPr>
    <w:rPr>
      <w:rFonts w:asciiTheme="minorHAnsi" w:eastAsiaTheme="minorEastAsia" w:hAnsiTheme="minorHAnsi"/>
      <w:b/>
      <w:color w:val="FF0000"/>
      <w:sz w:val="24"/>
      <w:szCs w:val="24"/>
    </w:rPr>
  </w:style>
  <w:style w:type="character" w:customStyle="1" w:styleId="note1">
    <w:name w:val="note1"/>
    <w:qFormat/>
    <w:rPr>
      <w:rFonts w:ascii="Times New Roman" w:eastAsia="宋体" w:hAnsi="Times New Roman" w:cs="Times New Roman"/>
      <w:color w:val="000000"/>
      <w:sz w:val="22"/>
      <w:szCs w:val="22"/>
      <w:lang w:val="en-US" w:eastAsia="zh-CN" w:bidi="ar-SA"/>
    </w:rPr>
  </w:style>
  <w:style w:type="character" w:customStyle="1" w:styleId="CharCharChar2">
    <w:name w:val="表格文字 Char Char Char"/>
    <w:qFormat/>
    <w:rPr>
      <w:rFonts w:ascii="宋体" w:eastAsia="宋体" w:hAnsi="宋体" w:cs="Times New Roman" w:hint="eastAsia"/>
      <w:kern w:val="2"/>
      <w:sz w:val="21"/>
      <w:lang w:val="en-US" w:eastAsia="zh-CN" w:bidi="ar-SA"/>
    </w:rPr>
  </w:style>
  <w:style w:type="character" w:customStyle="1" w:styleId="CharCharCharCharChar2">
    <w:name w:val="普通文字 Char Char Char Char Char2"/>
    <w:qFormat/>
    <w:rPr>
      <w:rFonts w:ascii="Times New Roman" w:eastAsia="宋体" w:hAnsi="Times New Roman" w:cs="Times New Roman"/>
      <w:kern w:val="2"/>
      <w:sz w:val="18"/>
      <w:szCs w:val="18"/>
      <w:lang w:val="en-US" w:eastAsia="zh-CN" w:bidi="ar-SA"/>
    </w:rPr>
  </w:style>
  <w:style w:type="character" w:customStyle="1" w:styleId="8Char">
    <w:name w:val="标题 8 Char"/>
    <w:qFormat/>
    <w:rPr>
      <w:rFonts w:ascii="Arial" w:eastAsia="黑体" w:hAnsi="Arial" w:cs="Times New Roman"/>
      <w:sz w:val="24"/>
      <w:lang w:val="en-US" w:eastAsia="zh-CN" w:bidi="ar-SA"/>
    </w:rPr>
  </w:style>
  <w:style w:type="character" w:customStyle="1" w:styleId="CharChar451">
    <w:name w:val="Char Char451"/>
    <w:qFormat/>
    <w:rPr>
      <w:rFonts w:ascii="Times New Roman" w:eastAsia="宋体" w:hAnsi="Times New Roman" w:cs="Times New Roman"/>
      <w:b/>
      <w:bCs/>
      <w:kern w:val="2"/>
      <w:sz w:val="24"/>
      <w:szCs w:val="24"/>
      <w:lang w:val="en-US" w:eastAsia="zh-CN" w:bidi="ar-SA"/>
    </w:rPr>
  </w:style>
  <w:style w:type="character" w:customStyle="1" w:styleId="111CharChar">
    <w:name w:val="样式 标题 1章标题1.1 Char Char"/>
    <w:link w:val="111"/>
    <w:qFormat/>
    <w:locked/>
    <w:rPr>
      <w:rFonts w:asciiTheme="minorHAnsi" w:eastAsiaTheme="minorEastAsia" w:hAnsiTheme="minorHAnsi" w:cstheme="minorBidi"/>
      <w:kern w:val="44"/>
      <w:sz w:val="24"/>
      <w:szCs w:val="22"/>
      <w:lang w:val="en-US" w:eastAsia="zh-CN" w:bidi="ar-SA"/>
    </w:rPr>
  </w:style>
  <w:style w:type="paragraph" w:customStyle="1" w:styleId="111">
    <w:name w:val="样式 标题 1章标题1.1"/>
    <w:basedOn w:val="1"/>
    <w:link w:val="111CharChar"/>
    <w:qFormat/>
    <w:pPr>
      <w:keepLines w:val="0"/>
      <w:widowControl/>
      <w:adjustRightInd w:val="0"/>
      <w:snapToGrid w:val="0"/>
    </w:pPr>
    <w:rPr>
      <w:rFonts w:asciiTheme="minorHAnsi" w:eastAsiaTheme="minorEastAsia" w:hAnsiTheme="minorHAnsi" w:cstheme="minorBidi"/>
      <w:bCs w:val="0"/>
      <w:kern w:val="44"/>
      <w:sz w:val="24"/>
      <w:szCs w:val="22"/>
    </w:rPr>
  </w:style>
  <w:style w:type="character" w:customStyle="1" w:styleId="CharChar33">
    <w:name w:val="Char Char33"/>
    <w:qFormat/>
    <w:locked/>
    <w:rPr>
      <w:rFonts w:ascii="Arial" w:eastAsia="黑体" w:hAnsi="Arial" w:cs="Times New Roman"/>
      <w:kern w:val="2"/>
      <w:sz w:val="24"/>
      <w:lang w:val="en-US" w:eastAsia="zh-CN" w:bidi="ar-SA"/>
    </w:rPr>
  </w:style>
  <w:style w:type="character" w:customStyle="1" w:styleId="fontstyle21">
    <w:name w:val="fontstyle21"/>
    <w:qFormat/>
    <w:rPr>
      <w:rFonts w:ascii="Times New Roman" w:eastAsia="宋体" w:hAnsi="Times New Roman" w:cs="Times New Roman" w:hint="default"/>
      <w:color w:val="000000"/>
      <w:sz w:val="28"/>
      <w:szCs w:val="28"/>
      <w:lang w:val="en-US" w:eastAsia="zh-CN" w:bidi="ar-SA"/>
    </w:rPr>
  </w:style>
  <w:style w:type="character" w:customStyle="1" w:styleId="Char110">
    <w:name w:val="特点 Char11"/>
    <w:link w:val="3c"/>
    <w:qFormat/>
    <w:locked/>
    <w:rPr>
      <w:rFonts w:ascii="宋体" w:eastAsiaTheme="minorEastAsia" w:hAnsi="宋体" w:cstheme="minorBidi"/>
      <w:sz w:val="24"/>
      <w:lang w:val="en-US" w:eastAsia="zh-CN" w:bidi="ar-SA"/>
    </w:rPr>
  </w:style>
  <w:style w:type="paragraph" w:customStyle="1" w:styleId="3c">
    <w:name w:val="正文缩进3"/>
    <w:basedOn w:val="af1"/>
    <w:link w:val="Char110"/>
    <w:qFormat/>
    <w:pPr>
      <w:ind w:firstLine="420"/>
    </w:pPr>
    <w:rPr>
      <w:rFonts w:ascii="宋体" w:eastAsiaTheme="minorEastAsia" w:hAnsi="宋体"/>
      <w:sz w:val="24"/>
      <w:szCs w:val="24"/>
    </w:rPr>
  </w:style>
  <w:style w:type="character" w:customStyle="1" w:styleId="CharCharf4">
    <w:name w:val="正文(首行缩进)宋旭峰 Char Char"/>
    <w:link w:val="affffffff"/>
    <w:qFormat/>
    <w:locked/>
    <w:rPr>
      <w:rFonts w:ascii="仿宋_GB2312" w:eastAsia="仿宋_GB2312" w:hAnsi="Times New Roman" w:cs="Times New Roman"/>
      <w:sz w:val="24"/>
      <w:lang w:val="en-US" w:eastAsia="zh-CN" w:bidi="ar-SA"/>
    </w:rPr>
  </w:style>
  <w:style w:type="paragraph" w:customStyle="1" w:styleId="affffffff">
    <w:name w:val="正文(首行缩进)宋旭峰"/>
    <w:basedOn w:val="aff0"/>
    <w:link w:val="CharCharf4"/>
    <w:qFormat/>
    <w:pPr>
      <w:widowControl/>
      <w:adjustRightInd/>
      <w:spacing w:beforeLines="50" w:afterLines="50" w:line="360" w:lineRule="auto"/>
      <w:ind w:firstLine="440"/>
      <w:jc w:val="left"/>
      <w:textAlignment w:val="auto"/>
    </w:pPr>
    <w:rPr>
      <w:rFonts w:ascii="仿宋_GB2312" w:eastAsia="仿宋_GB2312"/>
      <w:sz w:val="24"/>
    </w:rPr>
  </w:style>
  <w:style w:type="character" w:customStyle="1" w:styleId="font251">
    <w:name w:val="font251"/>
    <w:qFormat/>
    <w:rPr>
      <w:rFonts w:ascii="宋体" w:eastAsia="宋体" w:hAnsi="宋体" w:cs="Times New Roman" w:hint="eastAsia"/>
      <w:color w:val="000000"/>
      <w:sz w:val="18"/>
      <w:szCs w:val="18"/>
      <w:u w:val="none"/>
      <w:lang w:val="en-US" w:eastAsia="zh-CN" w:bidi="ar-SA"/>
    </w:rPr>
  </w:style>
  <w:style w:type="character" w:customStyle="1" w:styleId="CharCharf5">
    <w:name w:val="正文部分 Char Char"/>
    <w:link w:val="affffffff0"/>
    <w:qFormat/>
    <w:locked/>
    <w:rPr>
      <w:rFonts w:ascii="宋体" w:eastAsiaTheme="minorEastAsia" w:hAnsiTheme="minorHAnsi" w:cstheme="minorBidi"/>
      <w:sz w:val="32"/>
      <w:szCs w:val="22"/>
      <w:lang w:val="en-US" w:eastAsia="zh-CN" w:bidi="ar-SA"/>
    </w:rPr>
  </w:style>
  <w:style w:type="paragraph" w:customStyle="1" w:styleId="affffffff0">
    <w:name w:val="正文部分"/>
    <w:basedOn w:val="af1"/>
    <w:link w:val="CharCharf5"/>
    <w:qFormat/>
    <w:pPr>
      <w:widowControl/>
      <w:spacing w:line="500" w:lineRule="exact"/>
      <w:ind w:firstLineChars="200" w:firstLine="200"/>
      <w:jc w:val="left"/>
    </w:pPr>
    <w:rPr>
      <w:rFonts w:ascii="宋体" w:eastAsiaTheme="minorEastAsia" w:hAnsiTheme="minorHAnsi"/>
      <w:sz w:val="32"/>
    </w:rPr>
  </w:style>
  <w:style w:type="character" w:customStyle="1" w:styleId="01Char">
    <w:name w:val="正文01 Char"/>
    <w:qFormat/>
    <w:rPr>
      <w:rFonts w:ascii="Times New Roman" w:eastAsia="宋体" w:hAnsi="Times New Roman" w:cs="Times New Roman"/>
      <w:kern w:val="2"/>
      <w:sz w:val="24"/>
      <w:szCs w:val="24"/>
      <w:lang w:val="en-US" w:eastAsia="zh-CN" w:bidi="ar-SA"/>
    </w:rPr>
  </w:style>
  <w:style w:type="character" w:customStyle="1" w:styleId="Charff2">
    <w:name w:val="表格文字 Char"/>
    <w:link w:val="affffffff1"/>
    <w:qFormat/>
    <w:rPr>
      <w:rFonts w:ascii="宋体" w:eastAsiaTheme="minorEastAsia" w:hAnsiTheme="minorHAnsi" w:cstheme="minorBidi"/>
      <w:lang w:val="en-US" w:eastAsia="zh-CN" w:bidi="ar-SA"/>
    </w:rPr>
  </w:style>
  <w:style w:type="paragraph" w:customStyle="1" w:styleId="affffffff1">
    <w:name w:val="表格文字"/>
    <w:basedOn w:val="affe"/>
    <w:next w:val="af1"/>
    <w:link w:val="Charff2"/>
    <w:qFormat/>
    <w:pPr>
      <w:spacing w:after="0" w:line="320" w:lineRule="exact"/>
      <w:jc w:val="center"/>
    </w:pPr>
    <w:rPr>
      <w:rFonts w:ascii="宋体"/>
    </w:rPr>
  </w:style>
  <w:style w:type="character" w:customStyle="1" w:styleId="fheading1">
    <w:name w:val="f_heading1"/>
    <w:basedOn w:val="af3"/>
    <w:qFormat/>
    <w:rPr>
      <w:rFonts w:ascii="Times New Roman" w:eastAsia="宋体" w:hAnsi="Times New Roman" w:cs="Times New Roman"/>
      <w:lang w:val="en-US" w:eastAsia="zh-CN" w:bidi="ar-SA"/>
    </w:rPr>
  </w:style>
  <w:style w:type="character" w:customStyle="1" w:styleId="CharCharCharChar">
    <w:name w:val="段落 Char Char Char Char"/>
    <w:link w:val="Charff3"/>
    <w:qFormat/>
    <w:rPr>
      <w:rFonts w:asciiTheme="minorHAnsi" w:eastAsiaTheme="minorEastAsia" w:hAnsiTheme="minorHAnsi" w:cstheme="minorBidi"/>
      <w:sz w:val="24"/>
      <w:lang w:val="en-US" w:eastAsia="zh-CN" w:bidi="ar-SA"/>
    </w:rPr>
  </w:style>
  <w:style w:type="paragraph" w:customStyle="1" w:styleId="Charff3">
    <w:name w:val="段落 Char"/>
    <w:basedOn w:val="af1"/>
    <w:link w:val="CharCharCharChar"/>
    <w:qFormat/>
    <w:pPr>
      <w:topLinePunct/>
      <w:snapToGrid w:val="0"/>
      <w:spacing w:line="360" w:lineRule="auto"/>
      <w:ind w:firstLineChars="200" w:firstLine="200"/>
    </w:pPr>
    <w:rPr>
      <w:rFonts w:asciiTheme="minorHAnsi" w:eastAsiaTheme="minorEastAsia" w:hAnsiTheme="minorHAnsi"/>
      <w:sz w:val="24"/>
      <w:szCs w:val="24"/>
    </w:rPr>
  </w:style>
  <w:style w:type="character" w:customStyle="1" w:styleId="CharCharChar3">
    <w:name w:val="正文(首行缩进) Char Char Char"/>
    <w:qFormat/>
    <w:rPr>
      <w:rFonts w:ascii="Times New Roman" w:eastAsia="宋体" w:hAnsi="Times New Roman" w:cs="Times New Roman"/>
      <w:snapToGrid/>
      <w:sz w:val="24"/>
      <w:szCs w:val="24"/>
      <w:lang w:val="en-US" w:eastAsia="zh-CN" w:bidi="ar-SA"/>
    </w:rPr>
  </w:style>
  <w:style w:type="character" w:customStyle="1" w:styleId="CharChar151">
    <w:name w:val="Char Char151"/>
    <w:qFormat/>
    <w:rPr>
      <w:rFonts w:ascii="Arial" w:eastAsia="宋体" w:hAnsi="Arial" w:cs="Times New Roman"/>
      <w:b/>
      <w:sz w:val="28"/>
      <w:szCs w:val="20"/>
      <w:lang w:val="en-US" w:eastAsia="zh-CN" w:bidi="ar-SA"/>
    </w:rPr>
  </w:style>
  <w:style w:type="character" w:customStyle="1" w:styleId="unnamed11">
    <w:name w:val="unnamed11"/>
    <w:qFormat/>
    <w:rPr>
      <w:rFonts w:ascii="Times New Roman" w:eastAsia="宋体" w:hAnsi="Times New Roman" w:cs="Times New Roman"/>
      <w:color w:val="000000"/>
      <w:sz w:val="18"/>
      <w:szCs w:val="18"/>
      <w:u w:val="none"/>
      <w:lang w:val="en-US" w:eastAsia="zh-CN" w:bidi="ar-SA"/>
    </w:rPr>
  </w:style>
  <w:style w:type="character" w:customStyle="1" w:styleId="2Char1">
    <w:name w:val="样式 标题 2 + 红色 Char"/>
    <w:qFormat/>
    <w:rPr>
      <w:rFonts w:ascii="Arial" w:eastAsia="宋体" w:hAnsi="Arial" w:cs="Times New Roman"/>
      <w:b/>
      <w:color w:val="FF0000"/>
      <w:spacing w:val="-8"/>
      <w:sz w:val="28"/>
      <w:lang w:val="en-US" w:eastAsia="zh-CN" w:bidi="ar-SA"/>
    </w:rPr>
  </w:style>
  <w:style w:type="character" w:customStyle="1" w:styleId="CharCharCharCharCharCharCharChar">
    <w:name w:val="报告书正文 Char Char Char Char Char Char Char Char"/>
    <w:link w:val="CharCharChar4"/>
    <w:qFormat/>
    <w:rPr>
      <w:rFonts w:asciiTheme="minorHAnsi" w:eastAsiaTheme="minorEastAsia" w:hAnsiTheme="minorHAnsi" w:cstheme="minorBidi"/>
      <w:color w:val="000000"/>
      <w:sz w:val="24"/>
      <w:lang w:val="en-US" w:eastAsia="zh-CN" w:bidi="ar-SA"/>
    </w:rPr>
  </w:style>
  <w:style w:type="paragraph" w:customStyle="1" w:styleId="CharCharChar4">
    <w:name w:val="报告书正文 Char Char Char"/>
    <w:basedOn w:val="af1"/>
    <w:link w:val="CharCharCharCharCharCharCharChar"/>
    <w:qFormat/>
    <w:pPr>
      <w:spacing w:line="300" w:lineRule="auto"/>
      <w:ind w:firstLineChars="200" w:firstLine="480"/>
    </w:pPr>
    <w:rPr>
      <w:rFonts w:asciiTheme="minorHAnsi" w:eastAsiaTheme="minorEastAsia" w:hAnsiTheme="minorHAnsi"/>
      <w:color w:val="000000"/>
      <w:sz w:val="24"/>
      <w:szCs w:val="24"/>
    </w:rPr>
  </w:style>
  <w:style w:type="character" w:customStyle="1" w:styleId="08514Char">
    <w:name w:val="样式 小四 蓝色 首行缩进:  0.85 厘米 行距: 多倍行距 1.4 字行 Char"/>
    <w:link w:val="08514"/>
    <w:qFormat/>
    <w:locked/>
    <w:rPr>
      <w:rFonts w:ascii="宋体" w:eastAsiaTheme="minorEastAsia" w:hAnsi="宋体" w:cstheme="minorBidi"/>
      <w:b/>
      <w:color w:val="0000FF"/>
      <w:sz w:val="24"/>
      <w:lang w:val="en-US" w:eastAsia="zh-CN" w:bidi="ar-SA"/>
    </w:rPr>
  </w:style>
  <w:style w:type="paragraph" w:customStyle="1" w:styleId="08514">
    <w:name w:val="样式 小四 蓝色 首行缩进:  0.85 厘米 行距: 多倍行距 1.4 字行"/>
    <w:basedOn w:val="af1"/>
    <w:link w:val="08514Char"/>
    <w:qFormat/>
    <w:pPr>
      <w:spacing w:line="336" w:lineRule="auto"/>
      <w:ind w:firstLine="482"/>
    </w:pPr>
    <w:rPr>
      <w:rFonts w:ascii="宋体" w:eastAsiaTheme="minorEastAsia" w:hAnsi="宋体"/>
      <w:b/>
      <w:color w:val="0000FF"/>
      <w:sz w:val="24"/>
      <w:szCs w:val="24"/>
    </w:rPr>
  </w:style>
  <w:style w:type="character" w:customStyle="1" w:styleId="p181">
    <w:name w:val="p181"/>
    <w:qFormat/>
    <w:rPr>
      <w:rFonts w:ascii="Times New Roman" w:eastAsia="宋体" w:hAnsi="Times New Roman" w:cs="Times New Roman"/>
      <w:spacing w:val="432"/>
      <w:lang w:val="en-US" w:eastAsia="zh-CN" w:bidi="ar-SA"/>
    </w:rPr>
  </w:style>
  <w:style w:type="character" w:customStyle="1" w:styleId="CharChar391">
    <w:name w:val="Char Char391"/>
    <w:qFormat/>
    <w:locked/>
    <w:rPr>
      <w:rFonts w:ascii="Arial" w:eastAsia="黑体" w:hAnsi="Arial" w:cs="Times New Roman"/>
      <w:b/>
      <w:kern w:val="2"/>
      <w:sz w:val="28"/>
      <w:lang w:val="en-US" w:eastAsia="zh-CN" w:bidi="ar-SA"/>
    </w:rPr>
  </w:style>
  <w:style w:type="character" w:customStyle="1" w:styleId="540">
    <w:name w:val="标题 #5 (4)_"/>
    <w:link w:val="541"/>
    <w:qFormat/>
    <w:locked/>
    <w:rPr>
      <w:rFonts w:ascii="MingLiU" w:eastAsia="MingLiU" w:hAnsiTheme="minorHAnsi" w:cstheme="minorBidi"/>
      <w:sz w:val="28"/>
      <w:szCs w:val="28"/>
      <w:lang w:val="en-US" w:eastAsia="zh-CN" w:bidi="ar-SA"/>
    </w:rPr>
  </w:style>
  <w:style w:type="paragraph" w:customStyle="1" w:styleId="541">
    <w:name w:val="标题 #5 (4)1"/>
    <w:basedOn w:val="af1"/>
    <w:link w:val="540"/>
    <w:qFormat/>
    <w:pPr>
      <w:shd w:val="clear" w:color="auto" w:fill="FFFFFF"/>
      <w:spacing w:before="840" w:line="562" w:lineRule="exact"/>
      <w:jc w:val="left"/>
      <w:outlineLvl w:val="4"/>
    </w:pPr>
    <w:rPr>
      <w:rFonts w:ascii="MingLiU" w:eastAsia="MingLiU" w:hAnsiTheme="minorHAnsi"/>
      <w:sz w:val="28"/>
      <w:szCs w:val="28"/>
    </w:rPr>
  </w:style>
  <w:style w:type="character" w:customStyle="1" w:styleId="current">
    <w:name w:val="current"/>
    <w:qFormat/>
    <w:rPr>
      <w:rFonts w:ascii="Times New Roman" w:eastAsia="宋体" w:hAnsi="Times New Roman" w:cs="Times New Roman"/>
      <w:color w:val="FFFFFF"/>
      <w:bdr w:val="single" w:sz="6" w:space="0" w:color="0076BE"/>
      <w:shd w:val="clear" w:color="auto" w:fill="0076BE"/>
      <w:lang w:val="en-US" w:eastAsia="zh-CN" w:bidi="ar-SA"/>
    </w:rPr>
  </w:style>
  <w:style w:type="character" w:customStyle="1" w:styleId="CharCharCharCharChar">
    <w:name w:val="表格内容 Char Char Char Char Char"/>
    <w:qFormat/>
    <w:rPr>
      <w:rFonts w:ascii="Times New Roman" w:eastAsia="宋体" w:hAnsi="Times New Roman" w:cs="Times New Roman"/>
      <w:snapToGrid/>
      <w:sz w:val="21"/>
      <w:szCs w:val="21"/>
      <w:lang w:val="en-US" w:eastAsia="zh-CN" w:bidi="ar-SA"/>
    </w:rPr>
  </w:style>
  <w:style w:type="character" w:customStyle="1" w:styleId="style12">
    <w:name w:val="style12"/>
    <w:qFormat/>
    <w:rPr>
      <w:rFonts w:ascii="Times New Roman" w:eastAsia="宋体" w:hAnsi="Times New Roman" w:cs="Times New Roman"/>
      <w:kern w:val="2"/>
      <w:sz w:val="24"/>
      <w:szCs w:val="24"/>
      <w:lang w:val="en-US" w:eastAsia="zh-CN" w:bidi="ar-SA"/>
    </w:rPr>
  </w:style>
  <w:style w:type="character" w:customStyle="1" w:styleId="Charff4">
    <w:name w:val="图名 Char"/>
    <w:link w:val="affffffff2"/>
    <w:qFormat/>
    <w:rPr>
      <w:rFonts w:asciiTheme="minorHAnsi" w:eastAsia="黑体" w:hAnsiTheme="minorHAnsi" w:cstheme="minorBidi"/>
      <w:b/>
      <w:kern w:val="2"/>
      <w:sz w:val="21"/>
      <w:szCs w:val="24"/>
      <w:lang w:val="en-US" w:eastAsia="zh-CN" w:bidi="ar-SA"/>
    </w:rPr>
  </w:style>
  <w:style w:type="paragraph" w:customStyle="1" w:styleId="affffffff2">
    <w:name w:val="图名"/>
    <w:link w:val="Charff4"/>
    <w:qFormat/>
    <w:pPr>
      <w:spacing w:afterLines="50"/>
      <w:jc w:val="center"/>
    </w:pPr>
    <w:rPr>
      <w:rFonts w:eastAsia="黑体"/>
      <w:b/>
      <w:kern w:val="2"/>
      <w:sz w:val="21"/>
      <w:szCs w:val="24"/>
    </w:rPr>
  </w:style>
  <w:style w:type="character" w:customStyle="1" w:styleId="t3">
    <w:name w:val="t3"/>
    <w:qFormat/>
    <w:rPr>
      <w:rFonts w:ascii="Arial Black" w:eastAsia="Times New Roman" w:hAnsi="Arial Black" w:cs="Times New Roman"/>
      <w:sz w:val="21"/>
      <w:lang w:val="en-US" w:eastAsia="en-US" w:bidi="ar-SA"/>
    </w:rPr>
  </w:style>
  <w:style w:type="character" w:customStyle="1" w:styleId="ziti21">
    <w:name w:val="ziti21"/>
    <w:qFormat/>
    <w:rPr>
      <w:rFonts w:ascii="Times New Roman" w:eastAsia="宋体" w:hAnsi="Times New Roman" w:cs="Times New Roman"/>
      <w:color w:val="000000"/>
      <w:sz w:val="18"/>
      <w:szCs w:val="18"/>
      <w:lang w:val="en-US" w:eastAsia="zh-CN" w:bidi="ar-SA"/>
    </w:rPr>
  </w:style>
  <w:style w:type="character" w:customStyle="1" w:styleId="lChar">
    <w:name w:val="正文l Char"/>
    <w:link w:val="l"/>
    <w:qFormat/>
    <w:rPr>
      <w:rFonts w:asciiTheme="minorHAnsi" w:eastAsia="Times New Roman" w:hAnsiTheme="minorHAnsi" w:cs="Arial Unicode MS"/>
      <w:sz w:val="24"/>
      <w:lang w:val="en-US" w:eastAsia="zh-CN" w:bidi="ar-SA"/>
    </w:rPr>
  </w:style>
  <w:style w:type="paragraph" w:customStyle="1" w:styleId="l">
    <w:name w:val="正文l"/>
    <w:basedOn w:val="af1"/>
    <w:link w:val="lChar"/>
    <w:qFormat/>
    <w:pPr>
      <w:autoSpaceDE w:val="0"/>
      <w:autoSpaceDN w:val="0"/>
      <w:adjustRightInd w:val="0"/>
      <w:spacing w:line="360" w:lineRule="auto"/>
      <w:ind w:firstLineChars="200" w:firstLine="200"/>
    </w:pPr>
    <w:rPr>
      <w:rFonts w:asciiTheme="minorHAnsi" w:eastAsia="Times New Roman" w:hAnsiTheme="minorHAnsi" w:cs="Arial Unicode MS"/>
      <w:sz w:val="24"/>
      <w:szCs w:val="24"/>
    </w:rPr>
  </w:style>
  <w:style w:type="character" w:customStyle="1" w:styleId="13">
    <w:name w:val="页眉 字符1"/>
    <w:link w:val="afff8"/>
    <w:uiPriority w:val="99"/>
    <w:qFormat/>
    <w:rPr>
      <w:rFonts w:ascii="Times New Roman" w:eastAsia="宋体" w:hAnsi="Times New Roman" w:cs="Times New Roman"/>
      <w:sz w:val="18"/>
      <w:szCs w:val="18"/>
      <w:lang w:val="en-US" w:eastAsia="zh-CN" w:bidi="ar-SA"/>
    </w:rPr>
  </w:style>
  <w:style w:type="character" w:customStyle="1" w:styleId="2f0">
    <w:name w:val="已访问的超链接2"/>
    <w:qFormat/>
    <w:rPr>
      <w:rFonts w:ascii="Times New Roman" w:eastAsia="宋体" w:hAnsi="Times New Roman" w:cs="Times New Roman"/>
      <w:color w:val="800080"/>
      <w:u w:val="single"/>
      <w:lang w:val="en-US" w:eastAsia="zh-CN" w:bidi="ar-SA"/>
    </w:rPr>
  </w:style>
  <w:style w:type="character" w:customStyle="1" w:styleId="oh">
    <w:name w:val="oh"/>
    <w:basedOn w:val="af3"/>
    <w:qFormat/>
    <w:rPr>
      <w:rFonts w:ascii="Times New Roman" w:eastAsia="宋体" w:hAnsi="Times New Roman" w:cs="Times New Roman"/>
      <w:lang w:val="en-US" w:eastAsia="zh-CN" w:bidi="ar-SA"/>
    </w:rPr>
  </w:style>
  <w:style w:type="character" w:customStyle="1" w:styleId="af8">
    <w:name w:val="批注框文本 字符"/>
    <w:link w:val="af7"/>
    <w:qFormat/>
    <w:rPr>
      <w:rFonts w:ascii="Times New Roman" w:eastAsia="宋体" w:hAnsi="Times New Roman" w:cs="Times New Roman"/>
      <w:sz w:val="18"/>
      <w:szCs w:val="18"/>
      <w:lang w:val="en-US" w:eastAsia="zh-CN" w:bidi="ar-SA"/>
    </w:rPr>
  </w:style>
  <w:style w:type="character" w:customStyle="1" w:styleId="affffffff3">
    <w:name w:val="正文文本缩进 字符"/>
    <w:qFormat/>
    <w:rPr>
      <w:rFonts w:ascii="Times New Roman" w:eastAsia="宋体" w:hAnsi="Times New Roman" w:cs="Times New Roman"/>
      <w:sz w:val="24"/>
      <w:lang w:val="en-US" w:eastAsia="zh-CN" w:bidi="ar-SA"/>
    </w:rPr>
  </w:style>
  <w:style w:type="character" w:customStyle="1" w:styleId="BodyTextIndent3Char">
    <w:name w:val="Body Text Indent 3 Char"/>
    <w:qFormat/>
    <w:locked/>
    <w:rPr>
      <w:rFonts w:ascii="Times New Roman" w:eastAsia="宋体" w:hAnsi="Times New Roman" w:cs="Times New Roman"/>
      <w:kern w:val="2"/>
      <w:sz w:val="16"/>
      <w:lang w:val="en-US" w:eastAsia="zh-CN" w:bidi="ar-SA"/>
    </w:rPr>
  </w:style>
  <w:style w:type="character" w:customStyle="1" w:styleId="2Char10">
    <w:name w:val="正文文本 2 Char1"/>
    <w:qFormat/>
    <w:rPr>
      <w:rFonts w:ascii="Calibri" w:eastAsia="宋体" w:hAnsi="Calibri" w:cs="Times New Roman"/>
      <w:sz w:val="24"/>
      <w:lang w:val="en-US" w:eastAsia="zh-CN" w:bidi="ar-SA"/>
    </w:rPr>
  </w:style>
  <w:style w:type="character" w:customStyle="1" w:styleId="CharCharf6">
    <w:name w:val="页眉 Char Char"/>
    <w:qFormat/>
    <w:rPr>
      <w:rFonts w:ascii="Times New Roman" w:eastAsia="幼圆" w:hAnsi="Times New Roman" w:cs="Times New Roman"/>
      <w:kern w:val="2"/>
      <w:sz w:val="21"/>
      <w:szCs w:val="18"/>
      <w:lang w:val="en-US" w:eastAsia="zh-CN" w:bidi="ar-SA"/>
    </w:rPr>
  </w:style>
  <w:style w:type="character" w:customStyle="1" w:styleId="CharChar50">
    <w:name w:val="Char Char5"/>
    <w:qFormat/>
    <w:rPr>
      <w:rFonts w:ascii="Arial Black" w:eastAsia="Verdana" w:hAnsi="Arial Black" w:cs="Times New Roman"/>
      <w:kern w:val="2"/>
      <w:sz w:val="21"/>
      <w:szCs w:val="24"/>
      <w:lang w:val="en-US" w:eastAsia="zh-CN" w:bidi="ar-SA"/>
    </w:rPr>
  </w:style>
  <w:style w:type="character" w:customStyle="1" w:styleId="z-Char">
    <w:name w:val="z-窗体底端 Char"/>
    <w:link w:val="z-1"/>
    <w:qFormat/>
    <w:rPr>
      <w:rFonts w:ascii="Arial" w:eastAsiaTheme="minorEastAsia" w:hAnsi="Arial" w:cstheme="minorBidi"/>
      <w:vanish/>
      <w:sz w:val="16"/>
      <w:szCs w:val="16"/>
      <w:lang w:val="en-US" w:eastAsia="zh-CN" w:bidi="ar-SA"/>
    </w:rPr>
  </w:style>
  <w:style w:type="paragraph" w:customStyle="1" w:styleId="z-1">
    <w:name w:val="z-窗体底端1"/>
    <w:basedOn w:val="af1"/>
    <w:next w:val="af1"/>
    <w:link w:val="z-Char"/>
    <w:qFormat/>
    <w:pPr>
      <w:widowControl/>
      <w:pBdr>
        <w:top w:val="single" w:sz="6" w:space="1" w:color="auto"/>
      </w:pBdr>
      <w:jc w:val="center"/>
    </w:pPr>
    <w:rPr>
      <w:rFonts w:ascii="Arial" w:eastAsiaTheme="minorEastAsia" w:hAnsi="Arial"/>
      <w:vanish/>
      <w:sz w:val="16"/>
      <w:szCs w:val="16"/>
    </w:rPr>
  </w:style>
  <w:style w:type="character" w:customStyle="1" w:styleId="33CharCharCharTimesNewRomanCharChar">
    <w:name w:val="样式 标题 3标题 3 Char Char Char + Times New Roman Char Char"/>
    <w:link w:val="33CharCharCharTimesNewRomanChar"/>
    <w:semiHidden/>
    <w:qFormat/>
    <w:rPr>
      <w:rFonts w:ascii="Times" w:eastAsia="黑体" w:hAnsi="Times" w:cstheme="minorBidi"/>
      <w:sz w:val="24"/>
      <w:szCs w:val="24"/>
      <w:lang w:val="en-US" w:eastAsia="zh-CN" w:bidi="ar-SA"/>
    </w:rPr>
  </w:style>
  <w:style w:type="paragraph" w:customStyle="1" w:styleId="33CharCharCharTimesNewRomanChar">
    <w:name w:val="样式 标题 3标题 3 Char Char Char + Times New Roman Char"/>
    <w:basedOn w:val="31"/>
    <w:link w:val="33CharCharCharTimesNewRomanCharChar"/>
    <w:semiHidden/>
    <w:qFormat/>
    <w:pPr>
      <w:tabs>
        <w:tab w:val="left" w:pos="4156"/>
      </w:tabs>
      <w:autoSpaceDE w:val="0"/>
      <w:autoSpaceDN w:val="0"/>
      <w:adjustRightInd w:val="0"/>
      <w:spacing w:before="120" w:after="120" w:line="360" w:lineRule="auto"/>
      <w:ind w:left="4156" w:hanging="420"/>
      <w:textAlignment w:val="baseline"/>
    </w:pPr>
    <w:rPr>
      <w:rFonts w:ascii="Times" w:eastAsia="黑体" w:hAnsi="Times" w:cstheme="minorBidi"/>
      <w:b w:val="0"/>
      <w:sz w:val="24"/>
      <w:szCs w:val="24"/>
    </w:rPr>
  </w:style>
  <w:style w:type="character" w:customStyle="1" w:styleId="Char22">
    <w:name w:val="副标题 Char2"/>
    <w:qFormat/>
    <w:rPr>
      <w:rFonts w:ascii="Cambria" w:eastAsia="宋体" w:hAnsi="Cambria" w:cs="Times New Roman"/>
      <w:b/>
      <w:kern w:val="28"/>
      <w:sz w:val="32"/>
      <w:lang w:val="en-US" w:eastAsia="zh-CN" w:bidi="ar-SA"/>
    </w:rPr>
  </w:style>
  <w:style w:type="character" w:customStyle="1" w:styleId="FooterChar">
    <w:name w:val="Footer Char"/>
    <w:qFormat/>
    <w:locked/>
    <w:rPr>
      <w:rFonts w:ascii="Times New Roman" w:eastAsia="宋体" w:hAnsi="Times New Roman" w:cs="Times New Roman"/>
      <w:kern w:val="2"/>
      <w:sz w:val="18"/>
      <w:lang w:val="en-US" w:eastAsia="zh-CN" w:bidi="ar-SA"/>
    </w:rPr>
  </w:style>
  <w:style w:type="character" w:customStyle="1" w:styleId="Charff5">
    <w:name w:val="脚注文本 Char"/>
    <w:qFormat/>
    <w:rPr>
      <w:rFonts w:ascii="Times New Roman" w:eastAsia="宋体" w:hAnsi="Times New Roman" w:cs="Times New Roman"/>
      <w:sz w:val="18"/>
      <w:szCs w:val="18"/>
      <w:lang w:val="en-US" w:eastAsia="zh-CN" w:bidi="ar-SA"/>
    </w:rPr>
  </w:style>
  <w:style w:type="character" w:customStyle="1" w:styleId="fontstyle31">
    <w:name w:val="fontstyle31"/>
    <w:qFormat/>
    <w:rPr>
      <w:rFonts w:ascii="隶书" w:eastAsia="隶书" w:hAnsi="隶书" w:cs="隶书"/>
      <w:color w:val="000000"/>
      <w:sz w:val="18"/>
      <w:szCs w:val="18"/>
      <w:lang w:val="en-US" w:eastAsia="zh-CN" w:bidi="ar-SA"/>
    </w:rPr>
  </w:style>
  <w:style w:type="character" w:customStyle="1" w:styleId="22CharCharChar">
    <w:name w:val="正22 Char Char Char"/>
    <w:qFormat/>
    <w:rPr>
      <w:rFonts w:ascii="Arial Narrow" w:eastAsia="宋体" w:hAnsi="Arial Narrow" w:cs="宋体"/>
      <w:kern w:val="2"/>
      <w:sz w:val="28"/>
      <w:lang w:val="en-US" w:eastAsia="zh-CN" w:bidi="ar-SA"/>
    </w:rPr>
  </w:style>
  <w:style w:type="character" w:customStyle="1" w:styleId="82CharChar">
    <w:name w:val="样式 表标8.2 + 黑体 四号 Char Char"/>
    <w:link w:val="82"/>
    <w:qFormat/>
    <w:locked/>
    <w:rPr>
      <w:rFonts w:ascii="黑体" w:eastAsia="黑体" w:hAnsi="黑体" w:cstheme="minorBidi"/>
      <w:b/>
      <w:color w:val="000000"/>
      <w:sz w:val="28"/>
      <w:szCs w:val="22"/>
      <w:lang w:val="en-US" w:eastAsia="zh-CN" w:bidi="ar-SA"/>
    </w:rPr>
  </w:style>
  <w:style w:type="paragraph" w:customStyle="1" w:styleId="82">
    <w:name w:val="样式 表标8.2 + 黑体 四号"/>
    <w:basedOn w:val="af1"/>
    <w:link w:val="82CharChar"/>
    <w:qFormat/>
    <w:pPr>
      <w:widowControl/>
      <w:tabs>
        <w:tab w:val="left" w:pos="360"/>
        <w:tab w:val="left" w:pos="930"/>
        <w:tab w:val="left" w:pos="8207"/>
      </w:tabs>
      <w:adjustRightInd w:val="0"/>
      <w:snapToGrid w:val="0"/>
      <w:spacing w:before="120" w:line="240" w:lineRule="atLeast"/>
      <w:ind w:left="930"/>
      <w:jc w:val="center"/>
      <w:textAlignment w:val="baseline"/>
    </w:pPr>
    <w:rPr>
      <w:rFonts w:ascii="黑体" w:eastAsia="黑体" w:hAnsi="黑体"/>
      <w:b/>
      <w:color w:val="000000"/>
      <w:sz w:val="28"/>
    </w:rPr>
  </w:style>
  <w:style w:type="character" w:customStyle="1" w:styleId="1c">
    <w:name w:val="访问过的超链接1"/>
    <w:qFormat/>
    <w:rPr>
      <w:rFonts w:ascii="Times New Roman" w:eastAsia="宋体" w:hAnsi="Times New Roman" w:cs="Times New Roman"/>
      <w:color w:val="800080"/>
      <w:u w:val="single"/>
      <w:lang w:val="en-US" w:eastAsia="zh-CN" w:bidi="ar-SA"/>
    </w:rPr>
  </w:style>
  <w:style w:type="character" w:customStyle="1" w:styleId="wenzi02neirong">
    <w:name w:val="wenzi02neirong"/>
    <w:qFormat/>
    <w:rPr>
      <w:rFonts w:ascii="Times New Roman" w:eastAsia="宋体" w:hAnsi="Times New Roman" w:cs="Times New Roman"/>
      <w:lang w:val="en-US" w:eastAsia="zh-CN" w:bidi="ar-SA"/>
    </w:rPr>
  </w:style>
  <w:style w:type="character" w:customStyle="1" w:styleId="Char32">
    <w:name w:val="页眉 Char3"/>
    <w:qFormat/>
    <w:rPr>
      <w:rFonts w:ascii="Times New Roman" w:eastAsia="宋体" w:hAnsi="Times New Roman" w:cs="Times New Roman"/>
      <w:kern w:val="2"/>
      <w:sz w:val="18"/>
      <w:szCs w:val="18"/>
      <w:lang w:val="en-US" w:eastAsia="zh-CN" w:bidi="ar-SA"/>
    </w:rPr>
  </w:style>
  <w:style w:type="character" w:customStyle="1" w:styleId="Charff6">
    <w:name w:val="章 Char"/>
    <w:qFormat/>
    <w:rPr>
      <w:rFonts w:ascii="黑体" w:eastAsia="宋体" w:hAnsi="黑体" w:cs="Times New Roman" w:hint="eastAsia"/>
      <w:b/>
      <w:snapToGrid/>
      <w:color w:val="000000"/>
      <w:kern w:val="2"/>
      <w:sz w:val="44"/>
      <w:szCs w:val="24"/>
      <w:lang w:val="en-US" w:eastAsia="zh-CN" w:bidi="ar-SA"/>
    </w:rPr>
  </w:style>
  <w:style w:type="character" w:customStyle="1" w:styleId="xybCharCharCharCharChar">
    <w:name w:val="xyb自建表格名称 Char Char Char Char Char"/>
    <w:link w:val="xybCharCharChar"/>
    <w:qFormat/>
    <w:rPr>
      <w:rFonts w:ascii="宋体" w:eastAsiaTheme="minorEastAsia" w:hAnsi="宋体" w:cstheme="minorBidi"/>
      <w:sz w:val="24"/>
      <w:lang w:val="en-US" w:eastAsia="zh-CN" w:bidi="ar-SA"/>
    </w:rPr>
  </w:style>
  <w:style w:type="paragraph" w:customStyle="1" w:styleId="xybCharCharChar">
    <w:name w:val="xyb自建表格名称 Char Char Char"/>
    <w:basedOn w:val="af1"/>
    <w:link w:val="xybCharCharCharCharChar"/>
    <w:qFormat/>
    <w:pPr>
      <w:spacing w:line="360" w:lineRule="auto"/>
      <w:jc w:val="center"/>
    </w:pPr>
    <w:rPr>
      <w:rFonts w:ascii="宋体" w:eastAsiaTheme="minorEastAsia" w:hAnsi="宋体"/>
      <w:sz w:val="24"/>
      <w:szCs w:val="24"/>
    </w:rPr>
  </w:style>
  <w:style w:type="character" w:customStyle="1" w:styleId="EndnoteTextChar1">
    <w:name w:val="Endnote Text Char1"/>
    <w:qFormat/>
    <w:rPr>
      <w:rFonts w:ascii="Times New Roman" w:eastAsia="宋体" w:hAnsi="Times New Roman" w:cs="Times New Roman"/>
      <w:kern w:val="2"/>
      <w:sz w:val="24"/>
      <w:szCs w:val="24"/>
      <w:lang w:val="en-US" w:eastAsia="zh-CN" w:bidi="ar-SA"/>
    </w:rPr>
  </w:style>
  <w:style w:type="character" w:customStyle="1" w:styleId="affffffff4">
    <w:name w:val="页脚 字符"/>
    <w:uiPriority w:val="99"/>
    <w:qFormat/>
    <w:rPr>
      <w:rFonts w:ascii="Calibri" w:eastAsia="宋体" w:hAnsi="Calibri" w:cs="Times New Roman"/>
      <w:kern w:val="2"/>
      <w:sz w:val="18"/>
      <w:szCs w:val="18"/>
      <w:lang w:val="en-US" w:eastAsia="zh-CN" w:bidi="ar-SA"/>
    </w:rPr>
  </w:style>
  <w:style w:type="character" w:customStyle="1" w:styleId="Char16">
    <w:name w:val="表号 Char1"/>
    <w:qFormat/>
    <w:rPr>
      <w:rFonts w:ascii="楷体" w:eastAsia="楷体" w:hAnsi="Arial Black" w:cs="Times New Roman"/>
      <w:sz w:val="21"/>
      <w:lang w:val="en-US" w:eastAsia="zh-CN" w:bidi="ar-SA"/>
    </w:rPr>
  </w:style>
  <w:style w:type="character" w:customStyle="1" w:styleId="CharChar300">
    <w:name w:val="Char Char30"/>
    <w:qFormat/>
    <w:locked/>
    <w:rPr>
      <w:rFonts w:ascii="Times New Roman" w:eastAsia="宋体" w:hAnsi="Times New Roman" w:cs="Times New Roman"/>
      <w:kern w:val="2"/>
      <w:sz w:val="16"/>
      <w:szCs w:val="16"/>
      <w:lang w:val="en-US" w:eastAsia="zh-CN" w:bidi="ar-SA"/>
    </w:rPr>
  </w:style>
  <w:style w:type="character" w:customStyle="1" w:styleId="Char17">
    <w:name w:val="特点标题 Char1"/>
    <w:qFormat/>
    <w:rPr>
      <w:rFonts w:ascii="Times New Roman" w:eastAsia="宋体" w:hAnsi="Times New Roman" w:cs="Times New Roman"/>
      <w:kern w:val="2"/>
      <w:sz w:val="24"/>
      <w:lang w:val="en-US" w:eastAsia="zh-CN" w:bidi="ar-SA"/>
    </w:rPr>
  </w:style>
  <w:style w:type="character" w:customStyle="1" w:styleId="CharCharCharCharCharCharChar0">
    <w:name w:val="正文缩进（自定义） Char Char Char Char Char Char Char"/>
    <w:qFormat/>
    <w:rPr>
      <w:rFonts w:ascii="Century Gothic" w:eastAsia="宋体" w:hAnsi="Century Gothic" w:cs="Times New Roman"/>
      <w:sz w:val="24"/>
      <w:lang w:val="en-US" w:eastAsia="zh-CN" w:bidi="ar-SA"/>
    </w:rPr>
  </w:style>
  <w:style w:type="character" w:customStyle="1" w:styleId="CharChar37">
    <w:name w:val="Char Char37"/>
    <w:qFormat/>
    <w:rPr>
      <w:rFonts w:ascii="Times New Roman" w:eastAsia="黑体" w:hAnsi="Times New Roman" w:cs="Times New Roman"/>
      <w:kern w:val="2"/>
      <w:sz w:val="24"/>
      <w:lang w:val="en-US" w:eastAsia="zh-CN" w:bidi="ar-SA"/>
    </w:rPr>
  </w:style>
  <w:style w:type="character" w:customStyle="1" w:styleId="aff1">
    <w:name w:val="正文缩进 字符"/>
    <w:link w:val="aff0"/>
    <w:qFormat/>
    <w:rPr>
      <w:rFonts w:ascii="宋体" w:eastAsia="宋体" w:hAnsi="Times New Roman" w:cs="Times New Roman"/>
      <w:sz w:val="28"/>
      <w:lang w:val="en-US" w:eastAsia="zh-CN" w:bidi="ar-SA"/>
    </w:rPr>
  </w:style>
  <w:style w:type="character" w:customStyle="1" w:styleId="Char18">
    <w:name w:val="表头 Char1"/>
    <w:qFormat/>
    <w:rPr>
      <w:rFonts w:ascii="Times New Roman" w:eastAsia="宋体" w:hAnsi="Times New Roman" w:cs="Times New Roman"/>
      <w:spacing w:val="2"/>
      <w:kern w:val="2"/>
      <w:sz w:val="26"/>
      <w:szCs w:val="26"/>
      <w:lang w:val="en-US" w:eastAsia="zh-CN" w:bidi="ar-SA"/>
    </w:rPr>
  </w:style>
  <w:style w:type="character" w:customStyle="1" w:styleId="Charff7">
    <w:name w:val="表 Char"/>
    <w:qFormat/>
    <w:rPr>
      <w:rFonts w:ascii="Times New Roman" w:eastAsia="宋体" w:hAnsi="Times New Roman" w:cs="Times New Roman"/>
      <w:kern w:val="2"/>
      <w:sz w:val="21"/>
      <w:szCs w:val="21"/>
      <w:lang w:val="en-US" w:eastAsia="zh-CN" w:bidi="ar-SA"/>
    </w:rPr>
  </w:style>
  <w:style w:type="character" w:customStyle="1" w:styleId="1111Char1">
    <w:name w:val="款标题1.1.1.1 Char1"/>
    <w:qFormat/>
    <w:rPr>
      <w:rFonts w:ascii="Times New Roman" w:eastAsia="宋体" w:hAnsi="Times New Roman" w:cs="Times New Roman"/>
      <w:kern w:val="2"/>
      <w:sz w:val="24"/>
      <w:szCs w:val="24"/>
      <w:lang w:val="en-US" w:eastAsia="zh-CN" w:bidi="ar-SA"/>
    </w:rPr>
  </w:style>
  <w:style w:type="character" w:customStyle="1" w:styleId="font31">
    <w:name w:val="font31"/>
    <w:qFormat/>
    <w:rPr>
      <w:rFonts w:ascii="宋体" w:eastAsia="宋体" w:hAnsi="宋体" w:cs="宋体" w:hint="eastAsia"/>
      <w:color w:val="000000"/>
      <w:sz w:val="21"/>
      <w:szCs w:val="21"/>
      <w:u w:val="none"/>
      <w:lang w:val="en-US" w:eastAsia="zh-CN" w:bidi="ar-SA"/>
    </w:rPr>
  </w:style>
  <w:style w:type="character" w:customStyle="1" w:styleId="Char33">
    <w:name w:val="日期 Char3"/>
    <w:qFormat/>
    <w:rPr>
      <w:rFonts w:ascii="Times New Roman" w:eastAsia="宋体" w:hAnsi="Times New Roman" w:cs="Times New Roman"/>
      <w:kern w:val="2"/>
      <w:sz w:val="21"/>
      <w:szCs w:val="22"/>
      <w:lang w:val="en-US" w:eastAsia="zh-CN" w:bidi="ar-SA"/>
    </w:rPr>
  </w:style>
  <w:style w:type="character" w:customStyle="1" w:styleId="CharCharf7">
    <w:name w:val="【表头】 Char Char"/>
    <w:link w:val="affffffff5"/>
    <w:qFormat/>
    <w:rPr>
      <w:rFonts w:asciiTheme="minorHAnsi" w:eastAsia="黑体" w:hAnsiTheme="minorHAnsi" w:cstheme="minorBidi"/>
      <w:sz w:val="24"/>
      <w:szCs w:val="22"/>
      <w:lang w:val="en-US" w:eastAsia="zh-CN" w:bidi="ar-SA"/>
    </w:rPr>
  </w:style>
  <w:style w:type="paragraph" w:customStyle="1" w:styleId="affffffff5">
    <w:name w:val="【表头】"/>
    <w:basedOn w:val="af1"/>
    <w:link w:val="CharCharf7"/>
    <w:qFormat/>
    <w:pPr>
      <w:spacing w:line="460" w:lineRule="exact"/>
      <w:jc w:val="center"/>
    </w:pPr>
    <w:rPr>
      <w:rFonts w:asciiTheme="minorHAnsi" w:eastAsia="黑体" w:hAnsiTheme="minorHAnsi"/>
      <w:sz w:val="24"/>
    </w:rPr>
  </w:style>
  <w:style w:type="character" w:customStyle="1" w:styleId="5Char">
    <w:name w:val="标题 5项 Char"/>
    <w:link w:val="56"/>
    <w:qFormat/>
    <w:rPr>
      <w:rFonts w:asciiTheme="minorHAnsi" w:eastAsiaTheme="minorEastAsia" w:hAnsiTheme="minorHAnsi" w:cstheme="minorBidi"/>
      <w:lang w:val="en-US" w:eastAsia="zh-CN" w:bidi="ar-SA"/>
    </w:rPr>
  </w:style>
  <w:style w:type="paragraph" w:customStyle="1" w:styleId="56">
    <w:name w:val="标题 5项"/>
    <w:basedOn w:val="51"/>
    <w:link w:val="5Char"/>
    <w:qFormat/>
    <w:pPr>
      <w:keepLines w:val="0"/>
      <w:numPr>
        <w:ilvl w:val="0"/>
        <w:numId w:val="0"/>
      </w:numPr>
      <w:tabs>
        <w:tab w:val="clear" w:pos="1008"/>
      </w:tabs>
      <w:adjustRightInd w:val="0"/>
      <w:snapToGrid w:val="0"/>
      <w:spacing w:before="0" w:after="0" w:line="360" w:lineRule="auto"/>
      <w:ind w:firstLineChars="100" w:firstLine="280"/>
    </w:pPr>
    <w:rPr>
      <w:rFonts w:asciiTheme="minorHAnsi" w:eastAsiaTheme="minorEastAsia" w:hAnsiTheme="minorHAnsi" w:cstheme="minorBidi"/>
      <w:b w:val="0"/>
      <w:bCs w:val="0"/>
    </w:rPr>
  </w:style>
  <w:style w:type="character" w:customStyle="1" w:styleId="3Char0">
    <w:name w:val="正文文本 3 Char"/>
    <w:link w:val="310"/>
    <w:qFormat/>
    <w:rPr>
      <w:rFonts w:asciiTheme="minorHAnsi" w:eastAsiaTheme="minorEastAsia" w:hAnsiTheme="minorHAnsi" w:cstheme="minorBidi"/>
      <w:sz w:val="16"/>
      <w:szCs w:val="16"/>
      <w:lang w:val="en-US" w:eastAsia="zh-CN" w:bidi="ar-SA"/>
    </w:rPr>
  </w:style>
  <w:style w:type="paragraph" w:customStyle="1" w:styleId="310">
    <w:name w:val="正文文本 31"/>
    <w:basedOn w:val="af1"/>
    <w:link w:val="3Char0"/>
    <w:qFormat/>
    <w:pPr>
      <w:spacing w:after="120"/>
    </w:pPr>
    <w:rPr>
      <w:rFonts w:asciiTheme="minorHAnsi" w:eastAsiaTheme="minorEastAsia" w:hAnsiTheme="minorHAnsi"/>
      <w:sz w:val="16"/>
      <w:szCs w:val="16"/>
    </w:rPr>
  </w:style>
  <w:style w:type="character" w:customStyle="1" w:styleId="show-img-bd">
    <w:name w:val="show-img-bd"/>
    <w:basedOn w:val="af3"/>
    <w:qFormat/>
    <w:rPr>
      <w:rFonts w:ascii="Times New Roman" w:eastAsia="宋体" w:hAnsi="Times New Roman" w:cs="Times New Roman"/>
      <w:lang w:val="en-US" w:eastAsia="zh-CN" w:bidi="ar-SA"/>
    </w:rPr>
  </w:style>
  <w:style w:type="character" w:customStyle="1" w:styleId="lemmatitleh11">
    <w:name w:val="lemmatitleh11"/>
    <w:qFormat/>
    <w:rPr>
      <w:rFonts w:ascii="Times New Roman" w:eastAsia="宋体" w:hAnsi="Times New Roman" w:cs="Times New Roman"/>
      <w:lang w:val="en-US" w:eastAsia="zh-CN" w:bidi="ar-SA"/>
    </w:rPr>
  </w:style>
  <w:style w:type="character" w:customStyle="1" w:styleId="CharChar17">
    <w:name w:val="Char Char17"/>
    <w:qFormat/>
    <w:locked/>
    <w:rPr>
      <w:rFonts w:ascii="Times New Roman" w:eastAsia="宋体" w:hAnsi="Times New Roman" w:cs="Times New Roman"/>
      <w:kern w:val="2"/>
      <w:sz w:val="16"/>
      <w:szCs w:val="16"/>
      <w:lang w:val="en-US" w:eastAsia="zh-CN" w:bidi="ar-SA"/>
    </w:rPr>
  </w:style>
  <w:style w:type="character" w:customStyle="1" w:styleId="f141">
    <w:name w:val="f141"/>
    <w:qFormat/>
    <w:rPr>
      <w:rFonts w:ascii="Times New Roman" w:eastAsia="宋体" w:hAnsi="Times New Roman" w:cs="Times New Roman"/>
      <w:sz w:val="21"/>
      <w:lang w:val="en-US" w:eastAsia="zh-CN" w:bidi="ar-SA"/>
    </w:rPr>
  </w:style>
  <w:style w:type="character" w:customStyle="1" w:styleId="17AngsanaUPC">
    <w:name w:val="正文文本 (17) + AngsanaUPC"/>
    <w:qFormat/>
    <w:rPr>
      <w:rFonts w:ascii="AngsanaUPC" w:eastAsia="MingLiU" w:hAnsi="AngsanaUPC" w:cs="AngsanaUPC"/>
      <w:kern w:val="2"/>
      <w:sz w:val="36"/>
      <w:szCs w:val="36"/>
      <w:u w:val="none"/>
      <w:lang w:val="en-US" w:eastAsia="en-US" w:bidi="ar-SA"/>
    </w:rPr>
  </w:style>
  <w:style w:type="character" w:customStyle="1" w:styleId="CharCharCharChar0">
    <w:name w:val="文本框五号 Char Char Char Char"/>
    <w:qFormat/>
    <w:rPr>
      <w:rFonts w:ascii="Verdana" w:eastAsia="Times New Roman" w:hAnsi="Verdana" w:cs="Times New Roman"/>
      <w:kern w:val="2"/>
      <w:sz w:val="21"/>
      <w:lang w:val="en-US" w:eastAsia="zh-CN" w:bidi="ar-SA"/>
    </w:rPr>
  </w:style>
  <w:style w:type="character" w:customStyle="1" w:styleId="MacroTextChar">
    <w:name w:val="Macro Text Char"/>
    <w:qFormat/>
    <w:locked/>
    <w:rPr>
      <w:rFonts w:ascii="MHei-Medium" w:eastAsia="宋体" w:hAnsi="MHei-Medium" w:cs="Times New Roman"/>
      <w:kern w:val="2"/>
      <w:sz w:val="24"/>
      <w:lang w:val="en-US" w:eastAsia="zh-CN" w:bidi="ar-SA"/>
    </w:rPr>
  </w:style>
  <w:style w:type="character" w:customStyle="1" w:styleId="aff">
    <w:name w:val="电子邮件签名 字符"/>
    <w:link w:val="afe"/>
    <w:qFormat/>
    <w:rPr>
      <w:rFonts w:ascii="Verdana" w:eastAsiaTheme="minorEastAsia" w:hAnsi="Verdana" w:cstheme="minorBidi"/>
      <w:sz w:val="32"/>
      <w:szCs w:val="21"/>
      <w:lang w:val="en-US" w:eastAsia="zh-CN" w:bidi="ar-SA"/>
    </w:rPr>
  </w:style>
  <w:style w:type="character" w:customStyle="1" w:styleId="zzzzzzzChar">
    <w:name w:val="zzzzzzz Char"/>
    <w:link w:val="zzzzzzz"/>
    <w:qFormat/>
    <w:rPr>
      <w:rFonts w:ascii="Times New Roman" w:eastAsia="宋体" w:hAnsi="Times New Roman" w:cs="Times New Roman"/>
      <w:sz w:val="24"/>
      <w:szCs w:val="22"/>
      <w:lang w:val="en-US" w:eastAsia="zh-CN" w:bidi="ar-SA"/>
    </w:rPr>
  </w:style>
  <w:style w:type="paragraph" w:customStyle="1" w:styleId="zzzzzzz">
    <w:name w:val="zzzzzzz"/>
    <w:basedOn w:val="21"/>
    <w:next w:val="21"/>
    <w:link w:val="zzzzzzzChar"/>
    <w:qFormat/>
    <w:pPr>
      <w:spacing w:line="360" w:lineRule="auto"/>
      <w:ind w:leftChars="0" w:left="0"/>
    </w:pPr>
    <w:rPr>
      <w:rFonts w:eastAsia="宋体"/>
      <w:sz w:val="24"/>
      <w:szCs w:val="22"/>
    </w:rPr>
  </w:style>
  <w:style w:type="character" w:customStyle="1" w:styleId="CharCharCharCharCharCharCharCharCharCharCharCharChar1">
    <w:name w:val="正文缩进 Char Char Char Char Char Char Char Char Char Char Char Char Char1"/>
    <w:qFormat/>
    <w:rPr>
      <w:rFonts w:ascii="Times New Roman" w:eastAsia="宋体" w:hAnsi="Times New Roman" w:cs="Times New Roman" w:hint="default"/>
      <w:b/>
      <w:snapToGrid/>
      <w:color w:val="008000"/>
      <w:kern w:val="2"/>
      <w:sz w:val="24"/>
      <w:szCs w:val="24"/>
      <w:lang w:val="en-US" w:eastAsia="zh-CN" w:bidi="ar-SA"/>
    </w:rPr>
  </w:style>
  <w:style w:type="character" w:customStyle="1" w:styleId="5CharChar1">
    <w:name w:val="标题 5 Char Char1"/>
    <w:semiHidden/>
    <w:qFormat/>
    <w:rPr>
      <w:rFonts w:ascii="Times New Roman" w:eastAsia="宋体" w:hAnsi="Times New Roman" w:cs="Times New Roman"/>
      <w:kern w:val="2"/>
      <w:sz w:val="24"/>
      <w:szCs w:val="24"/>
      <w:lang w:val="en-US" w:eastAsia="zh-CN" w:bidi="ar-SA"/>
    </w:rPr>
  </w:style>
  <w:style w:type="character" w:customStyle="1" w:styleId="CharCharCharCharCharCharCharCharCharCharCharChar">
    <w:name w:val="Char Char Char Char Char Char Char Char Char Char Char Char"/>
    <w:qFormat/>
    <w:rPr>
      <w:rFonts w:ascii="宋体" w:eastAsia="宋体" w:hAnsi="宋体" w:cs="宋体"/>
      <w:kern w:val="2"/>
      <w:sz w:val="24"/>
      <w:szCs w:val="28"/>
      <w:lang w:val="en-US" w:eastAsia="zh-CN" w:bidi="ar-SA"/>
    </w:rPr>
  </w:style>
  <w:style w:type="character" w:customStyle="1" w:styleId="1Char5">
    <w:name w:val="样式 样式1 + 小四 Char"/>
    <w:link w:val="1d"/>
    <w:qFormat/>
    <w:rPr>
      <w:rFonts w:ascii="宋体" w:eastAsiaTheme="minorEastAsia" w:hAnsi="Arial" w:cs="Times New Roman"/>
      <w:bCs/>
      <w:color w:val="0000FF"/>
      <w:sz w:val="28"/>
      <w:szCs w:val="28"/>
      <w:lang w:val="en-US" w:eastAsia="zh-CN" w:bidi="ar-SA"/>
    </w:rPr>
  </w:style>
  <w:style w:type="paragraph" w:customStyle="1" w:styleId="1d">
    <w:name w:val="样式 样式1 + 小四"/>
    <w:basedOn w:val="19"/>
    <w:link w:val="1Char5"/>
    <w:qFormat/>
    <w:pPr>
      <w:keepNext/>
      <w:keepLines/>
      <w:adjustRightInd w:val="0"/>
      <w:spacing w:line="360" w:lineRule="auto"/>
      <w:ind w:firstLineChars="200" w:firstLine="1044"/>
      <w:textAlignment w:val="baseline"/>
      <w:outlineLvl w:val="3"/>
    </w:pPr>
    <w:rPr>
      <w:rFonts w:ascii="宋体" w:eastAsiaTheme="minorEastAsia" w:hAnsi="Arial"/>
      <w:bCs/>
      <w:color w:val="0000FF"/>
      <w:sz w:val="28"/>
      <w:szCs w:val="28"/>
    </w:rPr>
  </w:style>
  <w:style w:type="character" w:customStyle="1" w:styleId="number">
    <w:name w:val="number"/>
    <w:basedOn w:val="af3"/>
    <w:qFormat/>
    <w:rPr>
      <w:rFonts w:ascii="Times New Roman" w:eastAsia="宋体" w:hAnsi="Times New Roman" w:cs="Times New Roman"/>
      <w:lang w:val="en-US" w:eastAsia="zh-CN" w:bidi="ar-SA"/>
    </w:rPr>
  </w:style>
  <w:style w:type="character" w:customStyle="1" w:styleId="t">
    <w:name w:val="t"/>
    <w:qFormat/>
    <w:rPr>
      <w:rFonts w:ascii="Times New Roman" w:eastAsia="宋体" w:hAnsi="Times New Roman" w:cs="Times New Roman"/>
      <w:lang w:val="en-US" w:eastAsia="zh-CN" w:bidi="ar-SA"/>
    </w:rPr>
  </w:style>
  <w:style w:type="character" w:customStyle="1" w:styleId="CharCharCharCharChar20">
    <w:name w:val="表名 Char Char Char Char Char2"/>
    <w:link w:val="CharCharCharChar1"/>
    <w:semiHidden/>
    <w:qFormat/>
    <w:rPr>
      <w:rFonts w:ascii="Arial" w:eastAsia="黑体" w:hAnsi="Arial" w:cstheme="minorBidi"/>
      <w:sz w:val="24"/>
      <w:szCs w:val="21"/>
      <w:lang w:val="en-US" w:eastAsia="zh-CN" w:bidi="ar-SA"/>
    </w:rPr>
  </w:style>
  <w:style w:type="paragraph" w:customStyle="1" w:styleId="CharCharCharChar1">
    <w:name w:val="表名 Char Char Char Char"/>
    <w:basedOn w:val="af1"/>
    <w:link w:val="CharCharCharCharChar20"/>
    <w:semiHidden/>
    <w:qFormat/>
    <w:pPr>
      <w:autoSpaceDE w:val="0"/>
      <w:autoSpaceDN w:val="0"/>
      <w:adjustRightInd w:val="0"/>
      <w:snapToGrid w:val="0"/>
      <w:spacing w:before="163" w:line="360" w:lineRule="auto"/>
      <w:ind w:firstLineChars="200" w:firstLine="200"/>
      <w:jc w:val="center"/>
      <w:textAlignment w:val="baseline"/>
    </w:pPr>
    <w:rPr>
      <w:rFonts w:ascii="Arial" w:eastAsia="黑体" w:hAnsi="Arial"/>
      <w:sz w:val="24"/>
      <w:szCs w:val="21"/>
    </w:rPr>
  </w:style>
  <w:style w:type="character" w:customStyle="1" w:styleId="39">
    <w:name w:val="正文文本缩进 3 字符"/>
    <w:link w:val="38"/>
    <w:qFormat/>
    <w:rPr>
      <w:rFonts w:asciiTheme="minorHAnsi" w:eastAsia="宋体" w:hAnsiTheme="minorHAnsi" w:cstheme="minorBidi"/>
      <w:sz w:val="16"/>
      <w:szCs w:val="16"/>
      <w:lang w:val="en-US" w:eastAsia="zh-CN" w:bidi="ar-SA"/>
    </w:rPr>
  </w:style>
  <w:style w:type="character" w:customStyle="1" w:styleId="CharCharf8">
    <w:name w:val="表格正文 Char Char"/>
    <w:qFormat/>
    <w:rPr>
      <w:rFonts w:ascii="Times New Roman" w:eastAsia="宋体" w:hAnsi="Times New Roman" w:cs="Times New Roman"/>
      <w:kern w:val="2"/>
      <w:sz w:val="21"/>
      <w:szCs w:val="24"/>
      <w:lang w:val="en-US" w:eastAsia="zh-CN" w:bidi="ar-SA"/>
    </w:rPr>
  </w:style>
  <w:style w:type="character" w:customStyle="1" w:styleId="CharChar31">
    <w:name w:val="Char Char31"/>
    <w:qFormat/>
    <w:locked/>
    <w:rPr>
      <w:rFonts w:ascii="Times New Roman" w:eastAsia="宋体" w:hAnsi="Times New Roman" w:cs="Times New Roman"/>
      <w:b/>
      <w:bCs/>
      <w:kern w:val="2"/>
      <w:sz w:val="21"/>
      <w:szCs w:val="24"/>
      <w:lang w:val="en-US" w:eastAsia="zh-CN" w:bidi="ar-SA"/>
    </w:rPr>
  </w:style>
  <w:style w:type="character" w:customStyle="1" w:styleId="CharCharf9">
    <w:name w:val="燕山正文 Char Char"/>
    <w:qFormat/>
    <w:rPr>
      <w:rFonts w:ascii="Times New Roman" w:eastAsia="宋体" w:hAnsi="Arial" w:cs="Times New Roman"/>
      <w:snapToGrid/>
      <w:spacing w:val="10"/>
      <w:sz w:val="24"/>
      <w:lang w:val="en-US" w:eastAsia="zh-CN" w:bidi="ar-SA"/>
    </w:rPr>
  </w:style>
  <w:style w:type="character" w:customStyle="1" w:styleId="title41">
    <w:name w:val="title41"/>
    <w:qFormat/>
    <w:rPr>
      <w:rFonts w:ascii="Verdana" w:eastAsia="Times New Roman" w:hAnsi="Verdana" w:cs="Times New Roman"/>
      <w:color w:val="FF6600"/>
      <w:sz w:val="36"/>
      <w:lang w:val="en-US" w:eastAsia="en-US" w:bidi="ar-SA"/>
    </w:rPr>
  </w:style>
  <w:style w:type="character" w:customStyle="1" w:styleId="CharCharfa">
    <w:name w:val="正文(首行缩进) Char Char"/>
    <w:qFormat/>
    <w:rPr>
      <w:rFonts w:ascii="Times New Roman" w:eastAsia="宋体" w:hAnsi="Times New Roman" w:cs="Times New Roman"/>
      <w:snapToGrid/>
      <w:sz w:val="24"/>
      <w:szCs w:val="24"/>
      <w:lang w:val="en-US" w:eastAsia="zh-CN" w:bidi="ar-SA"/>
    </w:rPr>
  </w:style>
  <w:style w:type="character" w:customStyle="1" w:styleId="Char19">
    <w:name w:val="日期 Char1"/>
    <w:qFormat/>
    <w:rPr>
      <w:rFonts w:ascii="Times New Roman" w:eastAsia="宋体" w:hAnsi="Times New Roman" w:cs="Times New Roman"/>
      <w:szCs w:val="21"/>
      <w:lang w:val="en-US" w:eastAsia="zh-CN" w:bidi="ar-SA"/>
    </w:rPr>
  </w:style>
  <w:style w:type="character" w:customStyle="1" w:styleId="CharCharCharCharCharCharCharCharCharChar1">
    <w:name w:val="Char Char Char Char Char Char Char Char Char Char1"/>
    <w:qFormat/>
    <w:rPr>
      <w:rFonts w:ascii="宋体" w:eastAsia="宋体" w:hAnsi="宋体" w:cs="宋体" w:hint="eastAsia"/>
      <w:kern w:val="2"/>
      <w:sz w:val="24"/>
      <w:szCs w:val="28"/>
      <w:lang w:val="en-US" w:eastAsia="zh-CN" w:bidi="ar-SA"/>
    </w:rPr>
  </w:style>
  <w:style w:type="character" w:customStyle="1" w:styleId="1Char6">
    <w:name w:val="图名1 Char"/>
    <w:link w:val="1e"/>
    <w:qFormat/>
    <w:locked/>
    <w:rPr>
      <w:rFonts w:ascii="Times New Roman" w:eastAsia="宋体" w:hAnsi="Times New Roman" w:cs="Times New Roman"/>
      <w:lang w:val="en-US" w:eastAsia="zh-CN" w:bidi="ar-SA"/>
    </w:rPr>
  </w:style>
  <w:style w:type="paragraph" w:customStyle="1" w:styleId="1e">
    <w:name w:val="图名1"/>
    <w:basedOn w:val="affffffff2"/>
    <w:link w:val="1Char6"/>
    <w:qFormat/>
    <w:pPr>
      <w:spacing w:after="50" w:line="300" w:lineRule="auto"/>
    </w:pPr>
  </w:style>
  <w:style w:type="character" w:customStyle="1" w:styleId="HTML0">
    <w:name w:val="HTML 地址 字符"/>
    <w:link w:val="HTML"/>
    <w:qFormat/>
    <w:rPr>
      <w:rFonts w:ascii="Verdana" w:eastAsiaTheme="minorEastAsia" w:hAnsi="Verdana" w:cstheme="minorBidi"/>
      <w:i/>
      <w:sz w:val="32"/>
      <w:szCs w:val="21"/>
      <w:lang w:val="en-US" w:eastAsia="zh-CN" w:bidi="ar-SA"/>
    </w:rPr>
  </w:style>
  <w:style w:type="character" w:customStyle="1" w:styleId="aChar0">
    <w:name w:val="干标题(a) Char"/>
    <w:qFormat/>
    <w:rPr>
      <w:rFonts w:ascii="Arial" w:eastAsia="黑体" w:hAnsi="Arial" w:cs="Arial" w:hint="default"/>
      <w:b/>
      <w:snapToGrid/>
      <w:color w:val="008000"/>
      <w:kern w:val="2"/>
      <w:sz w:val="24"/>
      <w:szCs w:val="24"/>
      <w:lang w:val="en-US" w:eastAsia="zh-CN" w:bidi="ar-SA"/>
    </w:rPr>
  </w:style>
  <w:style w:type="character" w:customStyle="1" w:styleId="CharChar24">
    <w:name w:val="Char Char24"/>
    <w:qFormat/>
    <w:locked/>
    <w:rPr>
      <w:rFonts w:ascii="宋体" w:eastAsia="宋体" w:hAnsi="宋体" w:cs="Times New Roman"/>
      <w:sz w:val="24"/>
      <w:lang w:val="en-US" w:eastAsia="zh-CN" w:bidi="ar-SA"/>
    </w:rPr>
  </w:style>
  <w:style w:type="character" w:customStyle="1" w:styleId="CharChar16">
    <w:name w:val="Char Char16"/>
    <w:qFormat/>
    <w:locked/>
    <w:rPr>
      <w:rFonts w:ascii="Times New Roman" w:eastAsia="宋体" w:hAnsi="Times New Roman" w:cs="Times New Roman"/>
      <w:szCs w:val="21"/>
      <w:lang w:val="en-US" w:eastAsia="zh-CN" w:bidi="ar-SA"/>
    </w:rPr>
  </w:style>
  <w:style w:type="character" w:customStyle="1" w:styleId="lemmatitleh1">
    <w:name w:val="lemmatitleh1"/>
    <w:qFormat/>
    <w:rPr>
      <w:rFonts w:ascii="Times New Roman" w:eastAsia="宋体" w:hAnsi="Times New Roman" w:cs="Times New Roman"/>
      <w:kern w:val="2"/>
      <w:sz w:val="24"/>
      <w:szCs w:val="24"/>
      <w:lang w:val="en-US" w:eastAsia="zh-CN" w:bidi="ar-SA"/>
    </w:rPr>
  </w:style>
  <w:style w:type="character" w:customStyle="1" w:styleId="112">
    <w:name w:val="标题 1 字符1"/>
    <w:qFormat/>
    <w:rPr>
      <w:rFonts w:ascii="Times New Roman" w:eastAsia="魏碑" w:hAnsi="Times New Roman" w:cs="Times New Roman"/>
      <w:b/>
      <w:sz w:val="36"/>
      <w:lang w:val="en-US" w:eastAsia="zh-CN" w:bidi="ar-SA"/>
    </w:rPr>
  </w:style>
  <w:style w:type="character" w:customStyle="1" w:styleId="CharChar432">
    <w:name w:val="Char Char432"/>
    <w:qFormat/>
    <w:rPr>
      <w:rFonts w:ascii="黑体" w:eastAsia="宋体" w:hAnsi="Times New Roman" w:cs="Times New Roman"/>
      <w:b/>
      <w:snapToGrid/>
      <w:color w:val="000000"/>
      <w:kern w:val="2"/>
      <w:sz w:val="44"/>
      <w:szCs w:val="24"/>
      <w:lang w:val="en-US" w:eastAsia="zh-CN" w:bidi="ar-SA"/>
    </w:rPr>
  </w:style>
  <w:style w:type="character" w:customStyle="1" w:styleId="txt">
    <w:name w:val="txt"/>
    <w:qFormat/>
    <w:rPr>
      <w:rFonts w:ascii="Arial Black" w:eastAsia="Times New Roman" w:hAnsi="Arial Black" w:cs="Times New Roman"/>
      <w:sz w:val="21"/>
      <w:lang w:val="en-US" w:eastAsia="en-US" w:bidi="ar-SA"/>
    </w:rPr>
  </w:style>
  <w:style w:type="character" w:customStyle="1" w:styleId="Charff8">
    <w:name w:val="报告书正文 Char"/>
    <w:qFormat/>
    <w:rPr>
      <w:rFonts w:ascii="宋体" w:eastAsia="宋体" w:hAnsi="Times New Roman" w:cs="Times New Roman"/>
      <w:kern w:val="2"/>
      <w:sz w:val="24"/>
      <w:lang w:val="en-US" w:eastAsia="zh-CN" w:bidi="ar-SA"/>
    </w:rPr>
  </w:style>
  <w:style w:type="character" w:customStyle="1" w:styleId="8Char0">
    <w:name w:val="样式8 Char"/>
    <w:link w:val="83"/>
    <w:qFormat/>
    <w:rPr>
      <w:rFonts w:ascii="宋体" w:eastAsia="宋体" w:hAnsi="宋体" w:cstheme="minorBidi"/>
      <w:lang w:val="en-US" w:eastAsia="zh-CN" w:bidi="ar-SA"/>
    </w:rPr>
  </w:style>
  <w:style w:type="paragraph" w:customStyle="1" w:styleId="83">
    <w:name w:val="样式8"/>
    <w:basedOn w:val="22"/>
    <w:link w:val="8Char0"/>
    <w:qFormat/>
    <w:pPr>
      <w:spacing w:line="416" w:lineRule="auto"/>
    </w:pPr>
    <w:rPr>
      <w:rFonts w:ascii="宋体" w:eastAsia="宋体" w:hAnsi="宋体" w:cstheme="minorBidi"/>
    </w:rPr>
  </w:style>
  <w:style w:type="character" w:customStyle="1" w:styleId="1f">
    <w:name w:val="正文文本首行缩进 字符1"/>
    <w:uiPriority w:val="99"/>
    <w:semiHidden/>
    <w:qFormat/>
    <w:rPr>
      <w:rFonts w:ascii="Calibri" w:eastAsia="宋体" w:hAnsi="Calibri" w:cs="Times New Roman"/>
      <w:kern w:val="2"/>
      <w:sz w:val="21"/>
      <w:szCs w:val="24"/>
      <w:lang w:val="en-US" w:eastAsia="zh-CN" w:bidi="ar-SA"/>
    </w:rPr>
  </w:style>
  <w:style w:type="character" w:customStyle="1" w:styleId="font81">
    <w:name w:val="font81"/>
    <w:qFormat/>
    <w:rPr>
      <w:rFonts w:ascii="Times New Roman" w:eastAsia="宋体" w:hAnsi="Times New Roman" w:cs="Times New Roman" w:hint="default"/>
      <w:color w:val="000000"/>
      <w:sz w:val="21"/>
      <w:szCs w:val="21"/>
      <w:u w:val="none"/>
      <w:lang w:val="en-US" w:eastAsia="zh-CN" w:bidi="ar-SA"/>
    </w:rPr>
  </w:style>
  <w:style w:type="character" w:customStyle="1" w:styleId="CharCharCharCharCharCharCharCharCharCharChar2">
    <w:name w:val="Char Char Char Char Char Char Char Char Char Char Char2"/>
    <w:link w:val="CharCharCharCharCharCharCharCharChar2"/>
    <w:qFormat/>
    <w:rPr>
      <w:rFonts w:asciiTheme="minorHAnsi" w:eastAsiaTheme="minorEastAsia" w:hAnsiTheme="minorHAnsi" w:cstheme="minorBidi"/>
      <w:szCs w:val="22"/>
      <w:lang w:val="en-US" w:eastAsia="zh-CN" w:bidi="ar-SA"/>
    </w:rPr>
  </w:style>
  <w:style w:type="paragraph" w:customStyle="1" w:styleId="CharCharCharCharCharCharCharCharChar2">
    <w:name w:val="Char Char Char Char Char Char Char Char Char2"/>
    <w:basedOn w:val="af1"/>
    <w:link w:val="CharCharCharCharCharCharCharCharCharCharChar2"/>
    <w:qFormat/>
    <w:rPr>
      <w:rFonts w:asciiTheme="minorHAnsi" w:eastAsiaTheme="minorEastAsia" w:hAnsiTheme="minorHAnsi"/>
    </w:rPr>
  </w:style>
  <w:style w:type="character" w:customStyle="1" w:styleId="810">
    <w:name w:val="标题 8 字符1"/>
    <w:qFormat/>
    <w:rPr>
      <w:rFonts w:ascii="Arial" w:eastAsia="黑体" w:hAnsi="Arial" w:cs="Times New Roman"/>
      <w:sz w:val="24"/>
      <w:lang w:val="en-US" w:eastAsia="zh-CN" w:bidi="ar-SA"/>
    </w:rPr>
  </w:style>
  <w:style w:type="character" w:customStyle="1" w:styleId="5Char1">
    <w:name w:val="标题 5 Char1"/>
    <w:qFormat/>
    <w:rPr>
      <w:rFonts w:ascii="宋体" w:eastAsia="宋体" w:hAnsi="Times New Roman" w:cs="Times New Roman" w:hint="eastAsia"/>
      <w:b/>
      <w:color w:val="008000"/>
      <w:kern w:val="2"/>
      <w:sz w:val="24"/>
      <w:szCs w:val="24"/>
      <w:lang w:val="en-US" w:eastAsia="zh-CN" w:bidi="ar-SA"/>
    </w:rPr>
  </w:style>
  <w:style w:type="character" w:customStyle="1" w:styleId="Charff9">
    <w:name w:val="首行缩进 Char"/>
    <w:qFormat/>
    <w:rPr>
      <w:rFonts w:ascii="Times New Roman" w:eastAsia="宋体" w:hAnsi="Times New Roman" w:cs="Times New Roman"/>
      <w:kern w:val="2"/>
      <w:sz w:val="28"/>
      <w:lang w:val="en-US" w:eastAsia="zh-CN" w:bidi="ar-SA"/>
    </w:rPr>
  </w:style>
  <w:style w:type="character" w:customStyle="1" w:styleId="2f1">
    <w:name w:val="标题 字符2"/>
    <w:uiPriority w:val="10"/>
    <w:qFormat/>
    <w:rPr>
      <w:rFonts w:ascii="Cambria" w:eastAsia="宋体" w:hAnsi="Cambria" w:cs="Times New Roman"/>
      <w:b/>
      <w:bCs/>
      <w:kern w:val="2"/>
      <w:sz w:val="32"/>
      <w:szCs w:val="32"/>
      <w:lang w:val="en-US" w:eastAsia="zh-CN" w:bidi="ar-SA"/>
    </w:rPr>
  </w:style>
  <w:style w:type="character" w:customStyle="1" w:styleId="Charffa">
    <w:name w:val="德胜表头 Char"/>
    <w:qFormat/>
    <w:rPr>
      <w:rFonts w:ascii="Times New Roman" w:eastAsia="宋体" w:hAnsi="Times New Roman" w:cs="宋体"/>
      <w:b/>
      <w:snapToGrid w:val="0"/>
      <w:color w:val="0000FF"/>
      <w:sz w:val="24"/>
      <w:szCs w:val="24"/>
      <w:lang w:val="en-US" w:eastAsia="zh-CN" w:bidi="ar-SA"/>
    </w:rPr>
  </w:style>
  <w:style w:type="character" w:customStyle="1" w:styleId="3zw1">
    <w:name w:val="3zw1"/>
    <w:qFormat/>
    <w:rPr>
      <w:rFonts w:ascii="Times New Roman" w:eastAsia="宋体" w:hAnsi="Times New Roman" w:cs="Times New Roman"/>
      <w:color w:val="000000"/>
      <w:sz w:val="21"/>
      <w:szCs w:val="21"/>
      <w:lang w:val="en-US" w:eastAsia="zh-CN" w:bidi="ar-SA"/>
    </w:rPr>
  </w:style>
  <w:style w:type="character" w:customStyle="1" w:styleId="23pt3">
    <w:name w:val="正文文本 (2) + 间距 3 pt3"/>
    <w:qFormat/>
    <w:rPr>
      <w:rFonts w:ascii="MingLiU" w:eastAsia="MingLiU" w:hAnsi="Times New Roman" w:cs="MingLiU"/>
      <w:spacing w:val="60"/>
      <w:kern w:val="2"/>
      <w:sz w:val="22"/>
      <w:szCs w:val="22"/>
      <w:u w:val="none"/>
      <w:lang w:val="en-US" w:eastAsia="zh-CN" w:bidi="ar-SA"/>
    </w:rPr>
  </w:style>
  <w:style w:type="character" w:customStyle="1" w:styleId="5CharChar">
    <w:name w:val="标题5 Char Char"/>
    <w:qFormat/>
    <w:rPr>
      <w:rFonts w:ascii="Times New Roman" w:eastAsia="宋体" w:hAnsi="Times New Roman" w:cs="Times New Roman"/>
      <w:kern w:val="2"/>
      <w:sz w:val="24"/>
      <w:szCs w:val="36"/>
      <w:lang w:val="en-US" w:eastAsia="zh-CN" w:bidi="ar-SA"/>
    </w:rPr>
  </w:style>
  <w:style w:type="character" w:customStyle="1" w:styleId="EndnoteTextChar">
    <w:name w:val="Endnote Text Char"/>
    <w:qFormat/>
    <w:locked/>
    <w:rPr>
      <w:rFonts w:ascii="仿宋_GB2312" w:eastAsia="仿宋_GB2312" w:hAnsi="Times New Roman" w:cs="Times New Roman"/>
      <w:kern w:val="2"/>
      <w:sz w:val="24"/>
      <w:lang w:val="en-US" w:eastAsia="zh-CN" w:bidi="ar-SA"/>
    </w:rPr>
  </w:style>
  <w:style w:type="character" w:customStyle="1" w:styleId="CharChar44">
    <w:name w:val="Char Char44"/>
    <w:qFormat/>
    <w:rPr>
      <w:rFonts w:ascii="Arial" w:eastAsia="黑体" w:hAnsi="Arial" w:cs="Times New Roman"/>
      <w:kern w:val="2"/>
      <w:sz w:val="24"/>
      <w:szCs w:val="24"/>
      <w:lang w:val="en-US" w:eastAsia="zh-CN" w:bidi="ar-SA"/>
    </w:rPr>
  </w:style>
  <w:style w:type="character" w:customStyle="1" w:styleId="text-s1">
    <w:name w:val="text-s1"/>
    <w:qFormat/>
    <w:rPr>
      <w:rFonts w:ascii="Times New Roman" w:eastAsia="宋体" w:hAnsi="Times New Roman" w:cs="Times New Roman"/>
      <w:sz w:val="18"/>
      <w:szCs w:val="18"/>
      <w:lang w:val="en-US" w:eastAsia="zh-CN" w:bidi="ar-SA"/>
    </w:rPr>
  </w:style>
  <w:style w:type="character" w:customStyle="1" w:styleId="BodyTextFirstIndentChar">
    <w:name w:val="Body Text First Indent Char"/>
    <w:qFormat/>
    <w:locked/>
    <w:rPr>
      <w:rFonts w:ascii="Times New Roman" w:eastAsia="宋体" w:hAnsi="Times New Roman" w:cs="Times New Roman"/>
      <w:kern w:val="2"/>
      <w:sz w:val="21"/>
      <w:lang w:val="en-US" w:eastAsia="zh-CN" w:bidi="ar-SA"/>
    </w:rPr>
  </w:style>
  <w:style w:type="character" w:customStyle="1" w:styleId="2f2">
    <w:name w:val="宏文本 字符2"/>
    <w:uiPriority w:val="99"/>
    <w:semiHidden/>
    <w:qFormat/>
    <w:rPr>
      <w:rFonts w:ascii="Courier New" w:eastAsia="宋体" w:hAnsi="Courier New" w:cs="Courier New"/>
      <w:kern w:val="2"/>
      <w:sz w:val="24"/>
      <w:szCs w:val="24"/>
      <w:lang w:val="en-US" w:eastAsia="zh-CN" w:bidi="ar-SA"/>
    </w:rPr>
  </w:style>
  <w:style w:type="character" w:customStyle="1" w:styleId="CharChar441">
    <w:name w:val="Char Char441"/>
    <w:qFormat/>
    <w:rPr>
      <w:rFonts w:ascii="Arial" w:eastAsia="黑体" w:hAnsi="Arial" w:cs="Times New Roman"/>
      <w:kern w:val="2"/>
      <w:sz w:val="24"/>
      <w:szCs w:val="24"/>
      <w:lang w:val="en-US" w:eastAsia="zh-CN" w:bidi="ar-SA"/>
    </w:rPr>
  </w:style>
  <w:style w:type="character" w:customStyle="1" w:styleId="Char1a">
    <w:name w:val="注释标题 Char1"/>
    <w:qFormat/>
    <w:rPr>
      <w:rFonts w:ascii="Calibri" w:eastAsia="宋体" w:hAnsi="Calibri" w:cs="Times New Roman"/>
      <w:kern w:val="2"/>
      <w:sz w:val="24"/>
      <w:szCs w:val="24"/>
      <w:lang w:val="en-US" w:eastAsia="zh-CN" w:bidi="ar-SA"/>
    </w:rPr>
  </w:style>
  <w:style w:type="character" w:customStyle="1" w:styleId="01CharChar">
    <w:name w:val="正文01 Char Char"/>
    <w:link w:val="01"/>
    <w:qFormat/>
    <w:rPr>
      <w:rFonts w:asciiTheme="minorHAnsi" w:eastAsia="宋体" w:hAnsiTheme="minorHAnsi" w:cstheme="minorBidi"/>
      <w:sz w:val="24"/>
      <w:lang w:val="en-US" w:eastAsia="zh-CN" w:bidi="ar-SA"/>
    </w:rPr>
  </w:style>
  <w:style w:type="paragraph" w:customStyle="1" w:styleId="01">
    <w:name w:val="正文01"/>
    <w:basedOn w:val="af1"/>
    <w:link w:val="01CharChar"/>
    <w:qFormat/>
    <w:pPr>
      <w:spacing w:before="60" w:line="480" w:lineRule="exact"/>
      <w:ind w:firstLine="539"/>
    </w:pPr>
    <w:rPr>
      <w:rFonts w:asciiTheme="minorHAnsi" w:hAnsiTheme="minorHAnsi"/>
      <w:sz w:val="24"/>
      <w:szCs w:val="24"/>
    </w:rPr>
  </w:style>
  <w:style w:type="character" w:customStyle="1" w:styleId="Charffb">
    <w:name w:val="++++++++正文 Char"/>
    <w:link w:val="affffffff6"/>
    <w:qFormat/>
    <w:rPr>
      <w:rFonts w:asciiTheme="minorHAnsi" w:eastAsiaTheme="minorEastAsia" w:hAnsiTheme="minorHAnsi" w:cstheme="minorBidi"/>
      <w:sz w:val="24"/>
      <w:lang w:val="en-US" w:eastAsia="zh-CN" w:bidi="ar-SA"/>
    </w:rPr>
  </w:style>
  <w:style w:type="paragraph" w:customStyle="1" w:styleId="affffffff6">
    <w:name w:val="++++++++正文"/>
    <w:basedOn w:val="af1"/>
    <w:link w:val="Charffb"/>
    <w:qFormat/>
    <w:pPr>
      <w:autoSpaceDE w:val="0"/>
      <w:autoSpaceDN w:val="0"/>
      <w:adjustRightInd w:val="0"/>
      <w:spacing w:line="360" w:lineRule="auto"/>
      <w:ind w:firstLineChars="200" w:firstLine="200"/>
    </w:pPr>
    <w:rPr>
      <w:rFonts w:asciiTheme="minorHAnsi" w:eastAsiaTheme="minorEastAsia" w:hAnsiTheme="minorHAnsi"/>
      <w:sz w:val="24"/>
      <w:szCs w:val="24"/>
    </w:rPr>
  </w:style>
  <w:style w:type="character" w:customStyle="1" w:styleId="2Char3">
    <w:name w:val="样式 内容 + 首行缩进:  2 字符 Char"/>
    <w:link w:val="2f3"/>
    <w:qFormat/>
    <w:rPr>
      <w:rFonts w:asciiTheme="minorHAnsi" w:eastAsia="宋体" w:hAnsiTheme="minorHAnsi" w:cs="宋体"/>
      <w:sz w:val="24"/>
      <w:szCs w:val="22"/>
      <w:lang w:val="en-US" w:eastAsia="zh-CN" w:bidi="ar-SA"/>
    </w:rPr>
  </w:style>
  <w:style w:type="paragraph" w:customStyle="1" w:styleId="2f3">
    <w:name w:val="样式 内容 + 首行缩进:  2 字符"/>
    <w:basedOn w:val="af1"/>
    <w:link w:val="2Char3"/>
    <w:qFormat/>
    <w:pPr>
      <w:spacing w:line="360" w:lineRule="auto"/>
      <w:ind w:firstLineChars="200" w:firstLine="480"/>
      <w:jc w:val="left"/>
    </w:pPr>
    <w:rPr>
      <w:rFonts w:asciiTheme="minorHAnsi" w:hAnsiTheme="minorHAnsi" w:cs="宋体"/>
      <w:sz w:val="24"/>
    </w:rPr>
  </w:style>
  <w:style w:type="character" w:customStyle="1" w:styleId="CharCharCharCharChar0">
    <w:name w:val="表名 Char Char Char Char Char"/>
    <w:qFormat/>
    <w:rPr>
      <w:rFonts w:ascii="Times New Roman" w:eastAsia="华文楷体" w:hAnsi="Times New Roman" w:cs="Times New Roman"/>
      <w:b/>
      <w:kern w:val="10"/>
      <w:sz w:val="24"/>
      <w:lang w:val="en-US" w:eastAsia="zh-CN" w:bidi="ar-SA"/>
    </w:rPr>
  </w:style>
  <w:style w:type="character" w:customStyle="1" w:styleId="p101">
    <w:name w:val="p101"/>
    <w:qFormat/>
    <w:rPr>
      <w:rFonts w:ascii="Arial Black" w:eastAsia="Times New Roman" w:hAnsi="Arial Black" w:cs="Times New Roman"/>
      <w:sz w:val="21"/>
      <w:u w:val="none"/>
      <w:lang w:val="en-US" w:eastAsia="en-US" w:bidi="ar-SA"/>
    </w:rPr>
  </w:style>
  <w:style w:type="character" w:customStyle="1" w:styleId="1Char20">
    <w:name w:val="标题 1 Char2"/>
    <w:qFormat/>
    <w:rPr>
      <w:rFonts w:ascii="Times New Roman" w:eastAsia="宋体" w:hAnsi="Times New Roman" w:cs="Times New Roman"/>
      <w:b/>
      <w:bCs/>
      <w:kern w:val="2"/>
      <w:sz w:val="32"/>
      <w:szCs w:val="32"/>
      <w:lang w:val="en-US" w:eastAsia="zh-CN" w:bidi="ar-SA"/>
    </w:rPr>
  </w:style>
  <w:style w:type="character" w:customStyle="1" w:styleId="Char1b">
    <w:name w:val="文档结构图 Char1"/>
    <w:qFormat/>
    <w:rPr>
      <w:rFonts w:ascii="宋体" w:eastAsia="宋体" w:hAnsi="Times New Roman" w:cs="Times New Roman"/>
      <w:kern w:val="2"/>
      <w:sz w:val="18"/>
      <w:szCs w:val="18"/>
      <w:lang w:val="en-US" w:eastAsia="zh-CN" w:bidi="ar-SA"/>
    </w:rPr>
  </w:style>
  <w:style w:type="character" w:customStyle="1" w:styleId="36">
    <w:name w:val="正文文本 3 字符"/>
    <w:link w:val="35"/>
    <w:qFormat/>
    <w:rPr>
      <w:rFonts w:asciiTheme="minorHAnsi" w:eastAsia="宋体" w:hAnsiTheme="minorHAnsi" w:cstheme="minorBidi"/>
      <w:szCs w:val="22"/>
      <w:lang w:val="en-US" w:eastAsia="zh-CN" w:bidi="ar-SA"/>
    </w:rPr>
  </w:style>
  <w:style w:type="character" w:customStyle="1" w:styleId="CharChar142">
    <w:name w:val="Char Char142"/>
    <w:qFormat/>
    <w:rPr>
      <w:rFonts w:ascii="Times New Roman" w:eastAsia="宋体" w:hAnsi="Times New Roman" w:cs="Times New Roman"/>
      <w:kern w:val="2"/>
      <w:sz w:val="18"/>
      <w:szCs w:val="18"/>
      <w:lang w:val="en-US" w:eastAsia="zh-CN" w:bidi="ar-SA"/>
    </w:rPr>
  </w:style>
  <w:style w:type="character" w:customStyle="1" w:styleId="CharChar10">
    <w:name w:val="纯文本 Char Char1"/>
    <w:qFormat/>
    <w:rPr>
      <w:rFonts w:ascii="宋体" w:eastAsia="宋体" w:hAnsi="Courier New" w:cs="Courier New"/>
      <w:kern w:val="2"/>
      <w:sz w:val="21"/>
      <w:szCs w:val="21"/>
      <w:lang w:val="en-US" w:eastAsia="zh-CN" w:bidi="ar-SA"/>
    </w:rPr>
  </w:style>
  <w:style w:type="character" w:customStyle="1" w:styleId="HTMLChar">
    <w:name w:val="HTML 预设格式 Char"/>
    <w:link w:val="HTML10"/>
    <w:qFormat/>
    <w:rPr>
      <w:rFonts w:ascii="Arial" w:eastAsiaTheme="minorEastAsia" w:hAnsi="Arial" w:cs="Arial"/>
      <w:sz w:val="24"/>
      <w:lang w:val="en-US" w:eastAsia="zh-CN" w:bidi="ar-SA"/>
    </w:rPr>
  </w:style>
  <w:style w:type="paragraph" w:customStyle="1" w:styleId="HTML10">
    <w:name w:val="HTML 预设格式1"/>
    <w:basedOn w:val="af1"/>
    <w:link w:val="HTMLChar"/>
    <w:qFormat/>
    <w:rPr>
      <w:rFonts w:ascii="Arial" w:eastAsiaTheme="minorEastAsia" w:hAnsi="Arial" w:cs="Arial"/>
      <w:sz w:val="24"/>
      <w:szCs w:val="24"/>
    </w:rPr>
  </w:style>
  <w:style w:type="character" w:customStyle="1" w:styleId="ParaCharChar">
    <w:name w:val="默认段落字体 Para Char Char"/>
    <w:link w:val="ParaChar"/>
    <w:qFormat/>
    <w:rPr>
      <w:rFonts w:asciiTheme="minorHAnsi" w:eastAsiaTheme="minorEastAsia" w:hAnsiTheme="minorHAnsi" w:cstheme="minorBidi"/>
      <w:sz w:val="24"/>
      <w:lang w:val="en-US" w:eastAsia="zh-CN" w:bidi="ar-SA"/>
    </w:rPr>
  </w:style>
  <w:style w:type="paragraph" w:customStyle="1" w:styleId="ParaChar">
    <w:name w:val="默认段落字体 Para Char"/>
    <w:basedOn w:val="af1"/>
    <w:link w:val="ParaCharChar"/>
    <w:qFormat/>
    <w:rPr>
      <w:rFonts w:asciiTheme="minorHAnsi" w:eastAsiaTheme="minorEastAsia" w:hAnsiTheme="minorHAnsi"/>
      <w:sz w:val="24"/>
      <w:szCs w:val="24"/>
    </w:rPr>
  </w:style>
  <w:style w:type="character" w:customStyle="1" w:styleId="3CharChar1">
    <w:name w:val="3标题(治) Char Char"/>
    <w:link w:val="3d"/>
    <w:qFormat/>
    <w:locked/>
    <w:rPr>
      <w:rFonts w:asciiTheme="minorHAnsi" w:eastAsiaTheme="minorEastAsia" w:hAnsiTheme="minorHAnsi" w:cstheme="minorBidi"/>
      <w:color w:val="0000FF"/>
      <w:sz w:val="28"/>
      <w:szCs w:val="22"/>
      <w:lang w:val="en-US" w:eastAsia="zh-CN" w:bidi="ar-SA"/>
    </w:rPr>
  </w:style>
  <w:style w:type="paragraph" w:customStyle="1" w:styleId="3d">
    <w:name w:val="3标题(治)"/>
    <w:basedOn w:val="31"/>
    <w:link w:val="3CharChar1"/>
    <w:qFormat/>
    <w:pPr>
      <w:keepLines w:val="0"/>
      <w:widowControl/>
      <w:adjustRightInd w:val="0"/>
      <w:snapToGrid w:val="0"/>
      <w:spacing w:beforeLines="50" w:afterLines="50" w:line="360" w:lineRule="auto"/>
      <w:jc w:val="left"/>
      <w:textAlignment w:val="baseline"/>
    </w:pPr>
    <w:rPr>
      <w:rFonts w:asciiTheme="minorHAnsi" w:eastAsiaTheme="minorEastAsia" w:hAnsiTheme="minorHAnsi" w:cstheme="minorBidi"/>
      <w:b w:val="0"/>
      <w:bCs w:val="0"/>
      <w:color w:val="0000FF"/>
      <w:sz w:val="28"/>
      <w:szCs w:val="22"/>
    </w:rPr>
  </w:style>
  <w:style w:type="character" w:customStyle="1" w:styleId="CharCharCharChar2">
    <w:name w:val="表格 Char Char Char Char"/>
    <w:qFormat/>
    <w:rPr>
      <w:rFonts w:ascii="宋体" w:eastAsia="宋体" w:hAnsi="Times New Roman" w:cs="Times New Roman"/>
      <w:snapToGrid/>
      <w:sz w:val="24"/>
      <w:lang w:val="en-US" w:eastAsia="zh-CN" w:bidi="ar-SA"/>
    </w:rPr>
  </w:style>
  <w:style w:type="character" w:customStyle="1" w:styleId="1CharChar2">
    <w:name w:val="标题 1 Char Char"/>
    <w:qFormat/>
    <w:rPr>
      <w:rFonts w:ascii="Times New Roman" w:eastAsia="宋体" w:hAnsi="Times New Roman" w:cs="Times New Roman"/>
      <w:b/>
      <w:kern w:val="44"/>
      <w:sz w:val="24"/>
      <w:lang w:val="en-US" w:eastAsia="zh-CN" w:bidi="ar-SA"/>
    </w:rPr>
  </w:style>
  <w:style w:type="character" w:customStyle="1" w:styleId="CharChar1411">
    <w:name w:val="Char Char1411"/>
    <w:qFormat/>
    <w:rPr>
      <w:rFonts w:ascii="Times New Roman" w:eastAsia="宋体" w:hAnsi="Times New Roman" w:cs="Times New Roman"/>
      <w:kern w:val="2"/>
      <w:sz w:val="18"/>
      <w:szCs w:val="18"/>
      <w:lang w:val="en-US" w:eastAsia="zh-CN" w:bidi="ar-SA"/>
    </w:rPr>
  </w:style>
  <w:style w:type="character" w:customStyle="1" w:styleId="hover28">
    <w:name w:val="hover28"/>
    <w:basedOn w:val="af3"/>
    <w:qFormat/>
    <w:rPr>
      <w:rFonts w:ascii="Times New Roman" w:eastAsia="宋体" w:hAnsi="Times New Roman" w:cs="Times New Roman"/>
      <w:lang w:val="en-US" w:eastAsia="zh-CN" w:bidi="ar-SA"/>
    </w:rPr>
  </w:style>
  <w:style w:type="character" w:customStyle="1" w:styleId="Char41">
    <w:name w:val="表格文字 Char4"/>
    <w:qFormat/>
    <w:rPr>
      <w:rFonts w:ascii="Times New Roman" w:eastAsia="宋体" w:hAnsi="Times New Roman" w:cs="Times New Roman"/>
      <w:kern w:val="2"/>
      <w:sz w:val="21"/>
      <w:lang w:val="en-US" w:eastAsia="zh-CN" w:bidi="ar-SA"/>
    </w:rPr>
  </w:style>
  <w:style w:type="character" w:customStyle="1" w:styleId="CharChar36">
    <w:name w:val="Char Char36"/>
    <w:qFormat/>
    <w:rPr>
      <w:rFonts w:ascii="Times New Roman" w:eastAsia="宋体" w:hAnsi="Times New Roman" w:cs="Times New Roman"/>
      <w:b/>
      <w:kern w:val="2"/>
      <w:sz w:val="28"/>
      <w:lang w:val="en-US" w:eastAsia="zh-CN" w:bidi="ar-SA"/>
    </w:rPr>
  </w:style>
  <w:style w:type="character" w:customStyle="1" w:styleId="5Char2">
    <w:name w:val="标题 5 Char2"/>
    <w:semiHidden/>
    <w:qFormat/>
    <w:rPr>
      <w:rFonts w:ascii="Times New Roman" w:eastAsia="宋体" w:hAnsi="Times New Roman" w:cs="Times New Roman"/>
      <w:kern w:val="2"/>
      <w:sz w:val="24"/>
      <w:szCs w:val="24"/>
      <w:lang w:val="en-US" w:eastAsia="zh-CN" w:bidi="ar-SA"/>
    </w:rPr>
  </w:style>
  <w:style w:type="character" w:customStyle="1" w:styleId="1711">
    <w:name w:val="正文文本 (17)11"/>
    <w:qFormat/>
    <w:rPr>
      <w:rFonts w:ascii="MingLiU" w:eastAsia="MingLiU" w:hAnsi="Times New Roman" w:cs="Times New Roman"/>
      <w:kern w:val="2"/>
      <w:sz w:val="24"/>
      <w:szCs w:val="24"/>
      <w:lang w:val="en-US" w:eastAsia="zh-CN" w:bidi="ar-SA"/>
    </w:rPr>
  </w:style>
  <w:style w:type="character" w:customStyle="1" w:styleId="3Char1">
    <w:name w:val="标题 3 Char"/>
    <w:qFormat/>
    <w:rPr>
      <w:rFonts w:ascii="Times New Roman" w:eastAsia="黑体" w:hAnsi="Times New Roman" w:cs="Times New Roman"/>
      <w:sz w:val="28"/>
      <w:lang w:val="en-US" w:eastAsia="zh-CN" w:bidi="ar-SA"/>
    </w:rPr>
  </w:style>
  <w:style w:type="character" w:customStyle="1" w:styleId="postbody1">
    <w:name w:val="postbody1"/>
    <w:qFormat/>
    <w:rPr>
      <w:rFonts w:ascii="Arial Black" w:eastAsia="Times New Roman" w:hAnsi="Arial Black" w:cs="Times New Roman"/>
      <w:sz w:val="21"/>
      <w:lang w:val="en-US" w:eastAsia="en-US" w:bidi="ar-SA"/>
    </w:rPr>
  </w:style>
  <w:style w:type="character" w:customStyle="1" w:styleId="2CharChar">
    <w:name w:val="二级标题2 Char Char"/>
    <w:link w:val="2f4"/>
    <w:qFormat/>
    <w:locked/>
    <w:rPr>
      <w:rFonts w:asciiTheme="minorHAnsi" w:eastAsiaTheme="minorEastAsia" w:hAnsiTheme="minorHAnsi" w:cstheme="minorBidi"/>
      <w:color w:val="0000FF"/>
      <w:sz w:val="28"/>
      <w:szCs w:val="22"/>
      <w:lang w:val="en-US" w:eastAsia="zh-CN" w:bidi="ar-SA"/>
    </w:rPr>
  </w:style>
  <w:style w:type="paragraph" w:customStyle="1" w:styleId="2f4">
    <w:name w:val="二级标题2"/>
    <w:basedOn w:val="22"/>
    <w:next w:val="1f0"/>
    <w:link w:val="2CharChar"/>
    <w:qFormat/>
    <w:pPr>
      <w:widowControl/>
      <w:adjustRightInd w:val="0"/>
      <w:snapToGrid w:val="0"/>
      <w:spacing w:beforeLines="50" w:after="0" w:line="360" w:lineRule="auto"/>
      <w:jc w:val="left"/>
    </w:pPr>
    <w:rPr>
      <w:rFonts w:asciiTheme="minorHAnsi" w:eastAsiaTheme="minorEastAsia" w:hAnsiTheme="minorHAnsi" w:cstheme="minorBidi"/>
      <w:bCs w:val="0"/>
      <w:color w:val="0000FF"/>
      <w:sz w:val="28"/>
      <w:szCs w:val="22"/>
    </w:rPr>
  </w:style>
  <w:style w:type="paragraph" w:customStyle="1" w:styleId="1f0">
    <w:name w:val="二级标题1"/>
    <w:basedOn w:val="22"/>
    <w:next w:val="31"/>
    <w:qFormat/>
    <w:pPr>
      <w:widowControl/>
      <w:adjustRightInd w:val="0"/>
      <w:snapToGrid w:val="0"/>
      <w:spacing w:beforeLines="50" w:line="240" w:lineRule="auto"/>
      <w:jc w:val="left"/>
    </w:pPr>
    <w:rPr>
      <w:rFonts w:eastAsia="宋体"/>
      <w:color w:val="0000FF"/>
      <w:sz w:val="24"/>
      <w:szCs w:val="28"/>
    </w:rPr>
  </w:style>
  <w:style w:type="character" w:customStyle="1" w:styleId="1Char7">
    <w:name w:val="标1 Char"/>
    <w:link w:val="1f1"/>
    <w:qFormat/>
    <w:rPr>
      <w:rFonts w:asciiTheme="minorHAnsi" w:eastAsia="宋体" w:hAnsiTheme="minorHAnsi" w:cstheme="minorBidi"/>
      <w:b/>
      <w:sz w:val="32"/>
      <w:szCs w:val="22"/>
      <w:lang w:val="en-US" w:eastAsia="zh-CN" w:bidi="ar-SA"/>
    </w:rPr>
  </w:style>
  <w:style w:type="paragraph" w:customStyle="1" w:styleId="1f1">
    <w:name w:val="标1"/>
    <w:basedOn w:val="af1"/>
    <w:link w:val="1Char7"/>
    <w:qFormat/>
    <w:pPr>
      <w:spacing w:before="60" w:line="460" w:lineRule="exact"/>
      <w:outlineLvl w:val="0"/>
    </w:pPr>
    <w:rPr>
      <w:rFonts w:asciiTheme="minorHAnsi" w:hAnsiTheme="minorHAnsi"/>
      <w:b/>
      <w:sz w:val="32"/>
    </w:rPr>
  </w:style>
  <w:style w:type="character" w:customStyle="1" w:styleId="BodyText2Char">
    <w:name w:val="Body Text 2 Char"/>
    <w:qFormat/>
    <w:locked/>
    <w:rPr>
      <w:rFonts w:ascii="Times New Roman" w:eastAsia="宋体" w:hAnsi="Times New Roman" w:cs="Times New Roman"/>
      <w:kern w:val="2"/>
      <w:sz w:val="24"/>
      <w:lang w:val="en-US" w:eastAsia="zh-CN" w:bidi="ar-SA"/>
    </w:rPr>
  </w:style>
  <w:style w:type="character" w:customStyle="1" w:styleId="style621">
    <w:name w:val="style621"/>
    <w:qFormat/>
    <w:rPr>
      <w:rFonts w:ascii="Times New Roman" w:eastAsia="宋体" w:hAnsi="Times New Roman" w:cs="Times New Roman"/>
      <w:color w:val="335150"/>
      <w:lang w:val="en-US" w:eastAsia="zh-CN" w:bidi="ar-SA"/>
    </w:rPr>
  </w:style>
  <w:style w:type="character" w:customStyle="1" w:styleId="Charffc">
    <w:name w:val="标题（五） Char"/>
    <w:qFormat/>
    <w:rPr>
      <w:rFonts w:ascii="Times New Roman" w:eastAsia="宋体" w:hAnsi="Times New Roman" w:cs="Times New Roman" w:hint="default"/>
      <w:b/>
      <w:snapToGrid/>
      <w:color w:val="008000"/>
      <w:kern w:val="2"/>
      <w:sz w:val="28"/>
      <w:szCs w:val="24"/>
      <w:lang w:val="en-US" w:eastAsia="zh-CN" w:bidi="ar-SA"/>
    </w:rPr>
  </w:style>
  <w:style w:type="character" w:customStyle="1" w:styleId="1f2">
    <w:name w:val="页码1"/>
    <w:qFormat/>
    <w:rPr>
      <w:rFonts w:ascii="Times New Roman" w:eastAsia="宋体" w:hAnsi="Times New Roman" w:cs="Times New Roman"/>
      <w:lang w:val="en-US" w:eastAsia="zh-CN" w:bidi="ar-SA"/>
    </w:rPr>
  </w:style>
  <w:style w:type="character" w:customStyle="1" w:styleId="2Char4">
    <w:name w:val="样式 标题 2 + 黑体 小四 Char"/>
    <w:link w:val="2f5"/>
    <w:qFormat/>
    <w:rPr>
      <w:rFonts w:ascii="黑体" w:eastAsia="黑体" w:hAnsi="黑体" w:cstheme="minorBidi"/>
      <w:b/>
      <w:bCs/>
      <w:kern w:val="2"/>
      <w:sz w:val="24"/>
      <w:szCs w:val="32"/>
      <w:lang w:val="en-US" w:eastAsia="zh-CN" w:bidi="ar-SA"/>
    </w:rPr>
  </w:style>
  <w:style w:type="paragraph" w:customStyle="1" w:styleId="2f5">
    <w:name w:val="样式 标题 2 + 黑体 小四"/>
    <w:link w:val="2Char4"/>
    <w:qFormat/>
    <w:rPr>
      <w:rFonts w:ascii="黑体" w:eastAsia="黑体" w:hAnsi="黑体"/>
      <w:b/>
      <w:bCs/>
      <w:kern w:val="2"/>
      <w:sz w:val="24"/>
      <w:szCs w:val="32"/>
    </w:rPr>
  </w:style>
  <w:style w:type="character" w:customStyle="1" w:styleId="1f3">
    <w:name w:val="标题1"/>
    <w:qFormat/>
    <w:rPr>
      <w:rFonts w:ascii="Times New Roman" w:eastAsia="宋体" w:hAnsi="Times New Roman" w:cs="Times New Roman"/>
      <w:lang w:val="en-US" w:eastAsia="zh-CN" w:bidi="ar-SA"/>
    </w:rPr>
  </w:style>
  <w:style w:type="character" w:customStyle="1" w:styleId="buysell">
    <w:name w:val="buysell"/>
    <w:qFormat/>
    <w:rPr>
      <w:rFonts w:ascii="Times New Roman" w:eastAsia="宋体" w:hAnsi="Times New Roman" w:cs="Times New Roman"/>
      <w:kern w:val="2"/>
      <w:sz w:val="21"/>
      <w:szCs w:val="24"/>
      <w:lang w:val="en-US" w:eastAsia="zh-CN" w:bidi="ar-SA"/>
    </w:rPr>
  </w:style>
  <w:style w:type="character" w:customStyle="1" w:styleId="Charffd">
    <w:name w:val="文档结构图 Char"/>
    <w:qFormat/>
    <w:rPr>
      <w:rFonts w:ascii="Times New Roman" w:eastAsia="宋体" w:hAnsi="Times New Roman" w:cs="Times New Roman"/>
      <w:kern w:val="2"/>
      <w:sz w:val="21"/>
      <w:szCs w:val="24"/>
      <w:shd w:val="clear" w:color="auto" w:fill="000080"/>
      <w:lang w:val="en-US" w:eastAsia="zh-CN" w:bidi="ar-SA"/>
    </w:rPr>
  </w:style>
  <w:style w:type="character" w:customStyle="1" w:styleId="Charffe">
    <w:name w:val="文本正文专用 Char"/>
    <w:qFormat/>
    <w:rPr>
      <w:rFonts w:ascii="Times New Roman" w:eastAsia="宋体" w:hAnsi="Times New Roman" w:cs="宋体"/>
      <w:kern w:val="2"/>
      <w:sz w:val="24"/>
      <w:szCs w:val="24"/>
      <w:lang w:val="en-US" w:eastAsia="zh-CN" w:bidi="ar-SA"/>
    </w:rPr>
  </w:style>
  <w:style w:type="character" w:customStyle="1" w:styleId="hover27">
    <w:name w:val="hover27"/>
    <w:basedOn w:val="af3"/>
    <w:qFormat/>
    <w:rPr>
      <w:rFonts w:ascii="Times New Roman" w:eastAsia="宋体" w:hAnsi="Times New Roman" w:cs="Times New Roman"/>
      <w:lang w:val="en-US" w:eastAsia="zh-CN" w:bidi="ar-SA"/>
    </w:rPr>
  </w:style>
  <w:style w:type="character" w:customStyle="1" w:styleId="txt2">
    <w:name w:val="txt2"/>
    <w:qFormat/>
    <w:rPr>
      <w:rFonts w:ascii="??" w:eastAsia="宋体" w:hAnsi="??" w:cs="Times New Roman" w:hint="default"/>
      <w:b/>
      <w:color w:val="333333"/>
      <w:kern w:val="2"/>
      <w:sz w:val="24"/>
      <w:szCs w:val="24"/>
      <w:lang w:val="en-US" w:eastAsia="zh-CN" w:bidi="ar-SA"/>
    </w:rPr>
  </w:style>
  <w:style w:type="character" w:customStyle="1" w:styleId="7Char">
    <w:name w:val="标题 7 Char"/>
    <w:qFormat/>
    <w:rPr>
      <w:rFonts w:ascii="Times New Roman" w:eastAsia="宋体" w:hAnsi="Times New Roman" w:cs="Times New Roman"/>
      <w:b/>
      <w:sz w:val="24"/>
      <w:lang w:val="en-US" w:eastAsia="zh-CN" w:bidi="ar-SA"/>
    </w:rPr>
  </w:style>
  <w:style w:type="character" w:customStyle="1" w:styleId="affffffff7">
    <w:name w:val="表格 字符"/>
    <w:qFormat/>
    <w:rPr>
      <w:rFonts w:ascii="Times New Roman" w:eastAsia="宋体" w:hAnsi="Times New Roman" w:cs="Times New Roman"/>
      <w:spacing w:val="10"/>
      <w:sz w:val="21"/>
      <w:lang w:val="en-US" w:eastAsia="zh-CN" w:bidi="ar-SA"/>
    </w:rPr>
  </w:style>
  <w:style w:type="character" w:customStyle="1" w:styleId="Char34">
    <w:name w:val="表号 Char3"/>
    <w:link w:val="affffffff8"/>
    <w:qFormat/>
    <w:rPr>
      <w:rFonts w:ascii="Times New Roman" w:eastAsiaTheme="minorEastAsia" w:hAnsi="Times New Roman" w:cstheme="minorBidi"/>
      <w:szCs w:val="22"/>
      <w:lang w:val="en-US" w:eastAsia="zh-CN" w:bidi="ar-SA"/>
    </w:rPr>
  </w:style>
  <w:style w:type="paragraph" w:customStyle="1" w:styleId="affffffff8">
    <w:name w:val="表号"/>
    <w:basedOn w:val="af1"/>
    <w:link w:val="Char34"/>
    <w:qFormat/>
    <w:pPr>
      <w:spacing w:line="360" w:lineRule="exact"/>
    </w:pPr>
    <w:rPr>
      <w:rFonts w:ascii="Calibri" w:eastAsiaTheme="minorEastAsia" w:hAnsi="Calibri"/>
    </w:rPr>
  </w:style>
  <w:style w:type="character" w:customStyle="1" w:styleId="Charfff">
    <w:name w:val="结束语 Char"/>
    <w:qFormat/>
    <w:locked/>
    <w:rPr>
      <w:rFonts w:ascii="仿宋_GB2312" w:eastAsia="仿宋_GB2312" w:hAnsi="Times New Roman" w:cs="Times New Roman"/>
      <w:sz w:val="24"/>
      <w:lang w:val="en-US" w:eastAsia="zh-CN" w:bidi="ar-SA"/>
    </w:rPr>
  </w:style>
  <w:style w:type="character" w:customStyle="1" w:styleId="210">
    <w:name w:val="标题 2 字符1"/>
    <w:qFormat/>
    <w:rPr>
      <w:rFonts w:ascii="Times New Roman" w:eastAsia="黑体" w:hAnsi="Times New Roman" w:cs="Times New Roman"/>
      <w:sz w:val="30"/>
      <w:lang w:val="en-US" w:eastAsia="zh-CN" w:bidi="ar-SA"/>
    </w:rPr>
  </w:style>
  <w:style w:type="character" w:customStyle="1" w:styleId="3Char2">
    <w:name w:val="正文文字缩进 3 Char"/>
    <w:semiHidden/>
    <w:qFormat/>
    <w:rPr>
      <w:rFonts w:ascii="宋体" w:eastAsia="宋体" w:hAnsi="宋体" w:cs="Times New Roman" w:hint="eastAsia"/>
      <w:kern w:val="2"/>
      <w:sz w:val="16"/>
      <w:szCs w:val="16"/>
      <w:lang w:val="en-US" w:eastAsia="zh-CN" w:bidi="ar-SA"/>
    </w:rPr>
  </w:style>
  <w:style w:type="character" w:customStyle="1" w:styleId="1-1CharChar">
    <w:name w:val="图1-1 Char Char"/>
    <w:qFormat/>
    <w:rPr>
      <w:rFonts w:ascii="Times New Roman" w:eastAsia="宋体" w:hAnsi="Times New Roman" w:cs="Times New Roman"/>
      <w:b/>
      <w:spacing w:val="12"/>
      <w:w w:val="90"/>
      <w:kern w:val="2"/>
      <w:sz w:val="24"/>
      <w:lang w:val="en-US" w:eastAsia="zh-CN" w:bidi="ar-SA"/>
    </w:rPr>
  </w:style>
  <w:style w:type="character" w:customStyle="1" w:styleId="2Char5">
    <w:name w:val="正文文本 2 Char"/>
    <w:qFormat/>
    <w:rPr>
      <w:rFonts w:ascii="宋体" w:eastAsia="宋体" w:hAnsi="宋体" w:cs="Times New Roman"/>
      <w:bCs/>
      <w:color w:val="000000"/>
      <w:kern w:val="2"/>
      <w:sz w:val="28"/>
      <w:szCs w:val="30"/>
      <w:lang w:val="en-US" w:eastAsia="zh-CN" w:bidi="ar-SA"/>
    </w:rPr>
  </w:style>
  <w:style w:type="character" w:customStyle="1" w:styleId="1Char8">
    <w:name w:val="正文1 Char"/>
    <w:link w:val="1f4"/>
    <w:qFormat/>
    <w:rPr>
      <w:rFonts w:asciiTheme="minorHAnsi" w:eastAsiaTheme="minorEastAsia" w:hAnsiTheme="minorHAnsi" w:cstheme="minorBidi"/>
      <w:sz w:val="28"/>
      <w:szCs w:val="22"/>
      <w:lang w:val="en-US" w:eastAsia="zh-CN" w:bidi="ar-SA"/>
    </w:rPr>
  </w:style>
  <w:style w:type="paragraph" w:customStyle="1" w:styleId="1f4">
    <w:name w:val="正文1"/>
    <w:basedOn w:val="af1"/>
    <w:link w:val="1Char8"/>
    <w:qFormat/>
    <w:pPr>
      <w:adjustRightInd w:val="0"/>
      <w:snapToGrid w:val="0"/>
      <w:spacing w:line="500" w:lineRule="atLeast"/>
      <w:ind w:firstLine="567"/>
    </w:pPr>
    <w:rPr>
      <w:rFonts w:asciiTheme="minorHAnsi" w:eastAsiaTheme="minorEastAsia" w:hAnsiTheme="minorHAnsi"/>
      <w:sz w:val="28"/>
    </w:rPr>
  </w:style>
  <w:style w:type="character" w:customStyle="1" w:styleId="CharCharfb">
    <w:name w:val="攀成钢正文 Char Char"/>
    <w:link w:val="affffffff9"/>
    <w:qFormat/>
    <w:locked/>
    <w:rPr>
      <w:rFonts w:asciiTheme="minorHAnsi" w:eastAsiaTheme="minorEastAsia" w:hAnsiTheme="minorHAnsi" w:cstheme="minorBidi"/>
      <w:color w:val="008000"/>
      <w:sz w:val="24"/>
      <w:szCs w:val="22"/>
      <w:lang w:val="en-US" w:eastAsia="zh-CN" w:bidi="ar-SA"/>
    </w:rPr>
  </w:style>
  <w:style w:type="paragraph" w:customStyle="1" w:styleId="affffffff9">
    <w:name w:val="攀成钢正文"/>
    <w:basedOn w:val="af1"/>
    <w:link w:val="CharCharfb"/>
    <w:qFormat/>
    <w:pPr>
      <w:widowControl/>
      <w:spacing w:line="360" w:lineRule="auto"/>
      <w:ind w:firstLineChars="200" w:firstLine="200"/>
      <w:jc w:val="left"/>
    </w:pPr>
    <w:rPr>
      <w:rFonts w:asciiTheme="minorHAnsi" w:eastAsiaTheme="minorEastAsia" w:hAnsiTheme="minorHAnsi"/>
      <w:color w:val="008000"/>
      <w:sz w:val="24"/>
    </w:rPr>
  </w:style>
  <w:style w:type="character" w:customStyle="1" w:styleId="CharCharfc">
    <w:name w:val="【正文】 Char Char"/>
    <w:qFormat/>
    <w:rPr>
      <w:rFonts w:ascii="Times New Roman" w:eastAsia="宋体" w:hAnsi="Times New Roman" w:cs="Times New Roman"/>
      <w:sz w:val="24"/>
      <w:lang w:val="en-US" w:eastAsia="zh-CN" w:bidi="ar-SA"/>
    </w:rPr>
  </w:style>
  <w:style w:type="character" w:customStyle="1" w:styleId="style41">
    <w:name w:val="style41"/>
    <w:qFormat/>
    <w:rPr>
      <w:rFonts w:ascii="Arial Black" w:eastAsia="Times New Roman" w:hAnsi="Arial Black" w:cs="Times New Roman"/>
      <w:sz w:val="21"/>
      <w:lang w:val="en-US" w:eastAsia="en-US" w:bidi="ar-SA"/>
    </w:rPr>
  </w:style>
  <w:style w:type="character" w:customStyle="1" w:styleId="1CharChar3">
    <w:name w:val="项标题(1) Char Char"/>
    <w:qFormat/>
    <w:rPr>
      <w:rFonts w:ascii="Times New Roman" w:eastAsia="宋体" w:hAnsi="Times New Roman" w:cs="Times New Roman"/>
      <w:b/>
      <w:sz w:val="24"/>
      <w:lang w:val="en-US" w:eastAsia="zh-CN" w:bidi="ar-SA"/>
    </w:rPr>
  </w:style>
  <w:style w:type="character" w:customStyle="1" w:styleId="1Char9">
    <w:name w:val="++++++++1 Char"/>
    <w:link w:val="1f5"/>
    <w:qFormat/>
    <w:rPr>
      <w:rFonts w:asciiTheme="minorHAnsi" w:eastAsiaTheme="minorEastAsia" w:hAnsiTheme="minorHAnsi" w:cs="宋体"/>
      <w:color w:val="000000"/>
      <w:sz w:val="44"/>
      <w:szCs w:val="44"/>
      <w:lang w:val="en-US" w:eastAsia="zh-CN" w:bidi="ar-SA"/>
    </w:rPr>
  </w:style>
  <w:style w:type="paragraph" w:customStyle="1" w:styleId="1f5">
    <w:name w:val="++++++++1"/>
    <w:basedOn w:val="af1"/>
    <w:link w:val="1Char9"/>
    <w:qFormat/>
    <w:pPr>
      <w:spacing w:beforeLines="100" w:afterLines="100" w:line="360" w:lineRule="auto"/>
      <w:jc w:val="center"/>
      <w:outlineLvl w:val="0"/>
    </w:pPr>
    <w:rPr>
      <w:rFonts w:asciiTheme="minorHAnsi" w:eastAsiaTheme="minorEastAsia" w:hAnsiTheme="minorHAnsi" w:cs="宋体"/>
      <w:color w:val="000000"/>
      <w:sz w:val="44"/>
      <w:szCs w:val="44"/>
    </w:rPr>
  </w:style>
  <w:style w:type="character" w:customStyle="1" w:styleId="ncnjw01">
    <w:name w:val="ncnjw01"/>
    <w:qFormat/>
    <w:rPr>
      <w:rFonts w:ascii="Times New Roman" w:eastAsia="宋体" w:hAnsi="Times New Roman" w:cs="Times New Roman"/>
      <w:kern w:val="2"/>
      <w:sz w:val="24"/>
      <w:szCs w:val="24"/>
      <w:lang w:val="en-US" w:eastAsia="zh-CN" w:bidi="ar-SA"/>
    </w:rPr>
  </w:style>
  <w:style w:type="character" w:customStyle="1" w:styleId="CharCharfd">
    <w:name w:val="文本正文专用 Char Char"/>
    <w:link w:val="affffffffa"/>
    <w:qFormat/>
    <w:rPr>
      <w:rFonts w:asciiTheme="minorHAnsi" w:eastAsiaTheme="minorEastAsia" w:hAnsiTheme="minorHAnsi" w:cstheme="minorBidi"/>
      <w:sz w:val="24"/>
      <w:lang w:val="en-US" w:eastAsia="zh-CN" w:bidi="ar-SA"/>
    </w:rPr>
  </w:style>
  <w:style w:type="paragraph" w:customStyle="1" w:styleId="affffffffa">
    <w:name w:val="文本正文专用"/>
    <w:basedOn w:val="af1"/>
    <w:link w:val="CharCharfd"/>
    <w:qFormat/>
    <w:pPr>
      <w:spacing w:line="360" w:lineRule="auto"/>
      <w:ind w:firstLineChars="200" w:firstLine="480"/>
    </w:pPr>
    <w:rPr>
      <w:rFonts w:asciiTheme="minorHAnsi" w:eastAsiaTheme="minorEastAsia" w:hAnsiTheme="minorHAnsi"/>
      <w:sz w:val="24"/>
      <w:szCs w:val="24"/>
    </w:rPr>
  </w:style>
  <w:style w:type="character" w:customStyle="1" w:styleId="bt1">
    <w:name w:val="bt1"/>
    <w:qFormat/>
    <w:rPr>
      <w:rFonts w:ascii="Times New Roman" w:eastAsia="宋体" w:hAnsi="Times New Roman" w:cs="Times New Roman"/>
      <w:color w:val="000000"/>
      <w:lang w:val="en-US" w:eastAsia="zh-CN" w:bidi="ar-SA"/>
    </w:rPr>
  </w:style>
  <w:style w:type="character" w:customStyle="1" w:styleId="7CharChar">
    <w:name w:val="样式7 Char Char"/>
    <w:qFormat/>
    <w:rPr>
      <w:rFonts w:ascii="Times New Roman" w:eastAsia="宋体" w:hAnsi="Times New Roman" w:cs="Times New Roman"/>
      <w:kern w:val="2"/>
      <w:sz w:val="21"/>
      <w:lang w:val="en-US" w:eastAsia="zh-CN" w:bidi="ar-SA"/>
    </w:rPr>
  </w:style>
  <w:style w:type="character" w:customStyle="1" w:styleId="a16">
    <w:name w:val="a16"/>
    <w:basedOn w:val="af3"/>
    <w:qFormat/>
    <w:rPr>
      <w:rFonts w:ascii="Times New Roman" w:eastAsia="宋体" w:hAnsi="Times New Roman" w:cs="Times New Roman"/>
      <w:lang w:val="en-US" w:eastAsia="zh-CN" w:bidi="ar-SA"/>
    </w:rPr>
  </w:style>
  <w:style w:type="character" w:customStyle="1" w:styleId="Heading6Char">
    <w:name w:val="Heading 6 Char"/>
    <w:qFormat/>
    <w:locked/>
    <w:rPr>
      <w:rFonts w:ascii="Arial" w:eastAsia="黑体" w:hAnsi="Arial" w:cs="Times New Roman"/>
      <w:b/>
      <w:sz w:val="24"/>
      <w:lang w:val="en-US" w:eastAsia="zh-CN" w:bidi="ar-SA"/>
    </w:rPr>
  </w:style>
  <w:style w:type="character" w:customStyle="1" w:styleId="CharChar42">
    <w:name w:val="Char Char42"/>
    <w:qFormat/>
    <w:rPr>
      <w:rFonts w:ascii="黑体" w:eastAsia="黑体" w:hAnsi="黑体" w:cs="Times New Roman" w:hint="eastAsia"/>
      <w:b/>
      <w:snapToGrid/>
      <w:color w:val="008000"/>
      <w:kern w:val="2"/>
      <w:sz w:val="28"/>
      <w:szCs w:val="24"/>
      <w:lang w:val="en-US" w:eastAsia="zh-CN" w:bidi="ar-SA"/>
    </w:rPr>
  </w:style>
  <w:style w:type="character" w:customStyle="1" w:styleId="CharCharChar5">
    <w:name w:val="表 Char Char Char"/>
    <w:qFormat/>
    <w:rPr>
      <w:rFonts w:ascii="Times New Roman" w:eastAsia="宋体" w:hAnsi="Times New Roman" w:cs="Times New Roman"/>
      <w:kern w:val="2"/>
      <w:sz w:val="21"/>
      <w:szCs w:val="21"/>
      <w:lang w:val="en-US" w:eastAsia="zh-CN" w:bidi="ar-SA"/>
    </w:rPr>
  </w:style>
  <w:style w:type="character" w:customStyle="1" w:styleId="CharChar29">
    <w:name w:val="Char Char29"/>
    <w:qFormat/>
    <w:rPr>
      <w:rFonts w:ascii="Times New Roman" w:eastAsia="宋体" w:hAnsi="Times New Roman" w:cs="Times New Roman"/>
      <w:kern w:val="2"/>
      <w:sz w:val="24"/>
      <w:lang w:val="en-US" w:eastAsia="zh-CN" w:bidi="ar-SA"/>
    </w:rPr>
  </w:style>
  <w:style w:type="character" w:customStyle="1" w:styleId="CharCharCharChar3">
    <w:name w:val="我的正文 Char Char Char Char"/>
    <w:link w:val="affffffffb"/>
    <w:qFormat/>
    <w:rPr>
      <w:rFonts w:asciiTheme="minorHAnsi" w:eastAsiaTheme="minorEastAsia" w:hAnsiTheme="minorHAnsi" w:cstheme="minorBidi"/>
      <w:sz w:val="24"/>
      <w:szCs w:val="22"/>
      <w:lang w:val="en-US" w:eastAsia="zh-CN" w:bidi="ar-SA"/>
    </w:rPr>
  </w:style>
  <w:style w:type="paragraph" w:customStyle="1" w:styleId="affffffffb">
    <w:name w:val="我的正文"/>
    <w:basedOn w:val="af1"/>
    <w:link w:val="CharCharCharChar3"/>
    <w:qFormat/>
    <w:pPr>
      <w:spacing w:line="360" w:lineRule="auto"/>
      <w:ind w:firstLineChars="200" w:firstLine="200"/>
    </w:pPr>
    <w:rPr>
      <w:rFonts w:asciiTheme="minorHAnsi" w:eastAsiaTheme="minorEastAsia" w:hAnsiTheme="minorHAnsi"/>
      <w:sz w:val="24"/>
    </w:rPr>
  </w:style>
  <w:style w:type="character" w:customStyle="1" w:styleId="title13">
    <w:name w:val="title13"/>
    <w:qFormat/>
    <w:rPr>
      <w:rFonts w:ascii="Times New Roman" w:eastAsia="宋体" w:hAnsi="Times New Roman" w:cs="Times New Roman"/>
      <w:lang w:val="en-US" w:eastAsia="zh-CN" w:bidi="ar-SA"/>
    </w:rPr>
  </w:style>
  <w:style w:type="character" w:customStyle="1" w:styleId="CharCharfe">
    <w:name w:val="排版正文 Char Char"/>
    <w:link w:val="affffffffc"/>
    <w:qFormat/>
    <w:rPr>
      <w:rFonts w:asciiTheme="minorHAnsi" w:eastAsiaTheme="minorEastAsia" w:hAnsiTheme="minorHAnsi" w:cstheme="minorBidi"/>
      <w:color w:val="000000"/>
      <w:sz w:val="26"/>
      <w:szCs w:val="22"/>
      <w:lang w:val="en-US" w:eastAsia="zh-CN" w:bidi="ar-SA"/>
    </w:rPr>
  </w:style>
  <w:style w:type="paragraph" w:customStyle="1" w:styleId="affffffffc">
    <w:name w:val="排版正文"/>
    <w:basedOn w:val="af1"/>
    <w:next w:val="af1"/>
    <w:link w:val="CharCharfe"/>
    <w:qFormat/>
    <w:pPr>
      <w:adjustRightInd w:val="0"/>
      <w:snapToGrid w:val="0"/>
      <w:spacing w:line="460" w:lineRule="exact"/>
      <w:ind w:firstLineChars="200" w:firstLine="510"/>
    </w:pPr>
    <w:rPr>
      <w:rFonts w:asciiTheme="minorHAnsi" w:eastAsiaTheme="minorEastAsia" w:hAnsiTheme="minorHAnsi"/>
      <w:color w:val="000000"/>
      <w:sz w:val="26"/>
    </w:rPr>
  </w:style>
  <w:style w:type="character" w:customStyle="1" w:styleId="javascript">
    <w:name w:val="javascript"/>
    <w:basedOn w:val="af3"/>
    <w:qFormat/>
    <w:rPr>
      <w:rFonts w:ascii="Times New Roman" w:eastAsia="宋体" w:hAnsi="Times New Roman" w:cs="Times New Roman"/>
      <w:lang w:val="en-US" w:eastAsia="zh-CN" w:bidi="ar-SA"/>
    </w:rPr>
  </w:style>
  <w:style w:type="character" w:customStyle="1" w:styleId="SignatureChar1">
    <w:name w:val="Signature Char1"/>
    <w:qFormat/>
    <w:rPr>
      <w:rFonts w:ascii="Times New Roman" w:eastAsia="宋体" w:hAnsi="Times New Roman" w:cs="Times New Roman"/>
      <w:kern w:val="2"/>
      <w:sz w:val="24"/>
      <w:szCs w:val="24"/>
      <w:lang w:val="en-US" w:eastAsia="zh-CN" w:bidi="ar-SA"/>
    </w:rPr>
  </w:style>
  <w:style w:type="character" w:customStyle="1" w:styleId="CharChar421">
    <w:name w:val="Char Char421"/>
    <w:qFormat/>
    <w:rPr>
      <w:rFonts w:ascii="黑体" w:eastAsia="黑体" w:hAnsi="Times New Roman" w:cs="Times New Roman" w:hint="eastAsia"/>
      <w:b/>
      <w:snapToGrid/>
      <w:color w:val="008000"/>
      <w:kern w:val="2"/>
      <w:sz w:val="28"/>
      <w:szCs w:val="24"/>
      <w:lang w:val="en-US" w:eastAsia="zh-CN" w:bidi="ar-SA"/>
    </w:rPr>
  </w:style>
  <w:style w:type="character" w:customStyle="1" w:styleId="2f6">
    <w:name w:val="书籍标题2"/>
    <w:qFormat/>
    <w:rPr>
      <w:rFonts w:ascii="Times New Roman" w:eastAsia="宋体" w:hAnsi="Times New Roman" w:cs="Times New Roman"/>
      <w:b/>
      <w:bCs/>
      <w:smallCaps/>
      <w:spacing w:val="5"/>
      <w:kern w:val="2"/>
      <w:sz w:val="21"/>
      <w:szCs w:val="22"/>
      <w:lang w:val="en-US" w:eastAsia="zh-CN" w:bidi="ar-SA"/>
    </w:rPr>
  </w:style>
  <w:style w:type="character" w:customStyle="1" w:styleId="style91">
    <w:name w:val="style91"/>
    <w:qFormat/>
    <w:rPr>
      <w:rFonts w:ascii="Arial Black" w:eastAsia="Times New Roman" w:hAnsi="Arial Black" w:cs="Times New Roman"/>
      <w:b/>
      <w:color w:val="187CC8"/>
      <w:sz w:val="21"/>
      <w:lang w:val="en-US" w:eastAsia="en-US" w:bidi="ar-SA"/>
    </w:rPr>
  </w:style>
  <w:style w:type="character" w:customStyle="1" w:styleId="Char7">
    <w:name w:val="报告表格 Char"/>
    <w:link w:val="afffffb"/>
    <w:qFormat/>
    <w:locked/>
    <w:rPr>
      <w:rFonts w:asciiTheme="minorHAnsi" w:eastAsiaTheme="minorEastAsia" w:hAnsiTheme="minorHAnsi" w:cstheme="minorBidi"/>
      <w:szCs w:val="22"/>
      <w:lang w:val="en-US" w:eastAsia="zh-CN" w:bidi="ar-SA"/>
    </w:rPr>
  </w:style>
  <w:style w:type="character" w:customStyle="1" w:styleId="CharCharff">
    <w:name w:val="表 Char Char"/>
    <w:link w:val="affffffffd"/>
    <w:qFormat/>
    <w:rPr>
      <w:rFonts w:ascii="宋体" w:eastAsiaTheme="minorEastAsia" w:hAnsiTheme="minorHAnsi" w:cstheme="minorBidi"/>
      <w:sz w:val="24"/>
      <w:szCs w:val="22"/>
      <w:lang w:val="en-US" w:eastAsia="zh-CN" w:bidi="ar-SA"/>
    </w:rPr>
  </w:style>
  <w:style w:type="paragraph" w:customStyle="1" w:styleId="affffffffd">
    <w:name w:val="表"/>
    <w:basedOn w:val="af1"/>
    <w:next w:val="af1"/>
    <w:link w:val="CharCharff"/>
    <w:qFormat/>
    <w:pPr>
      <w:adjustRightInd w:val="0"/>
      <w:spacing w:line="400" w:lineRule="exact"/>
      <w:jc w:val="center"/>
    </w:pPr>
    <w:rPr>
      <w:rFonts w:ascii="宋体" w:eastAsiaTheme="minorEastAsia" w:hAnsiTheme="minorHAnsi"/>
      <w:sz w:val="24"/>
    </w:rPr>
  </w:style>
  <w:style w:type="character" w:customStyle="1" w:styleId="b21">
    <w:name w:val="b21"/>
    <w:qFormat/>
    <w:rPr>
      <w:rFonts w:ascii="ˎ̥" w:eastAsia="宋体" w:hAnsi="ˎ̥" w:cs="Times New Roman" w:hint="default"/>
      <w:color w:val="000000"/>
      <w:sz w:val="20"/>
      <w:lang w:val="en-US" w:eastAsia="zh-CN" w:bidi="ar-SA"/>
    </w:rPr>
  </w:style>
  <w:style w:type="character" w:customStyle="1" w:styleId="font01">
    <w:name w:val="font01"/>
    <w:qFormat/>
    <w:rPr>
      <w:rFonts w:ascii="Times New Roman" w:eastAsia="宋体" w:hAnsi="Times New Roman" w:cs="Times New Roman" w:hint="default"/>
      <w:color w:val="000000"/>
      <w:sz w:val="20"/>
      <w:szCs w:val="20"/>
      <w:u w:val="none"/>
      <w:lang w:val="en-US" w:eastAsia="zh-CN" w:bidi="ar-SA"/>
    </w:rPr>
  </w:style>
  <w:style w:type="character" w:customStyle="1" w:styleId="Charfff0">
    <w:name w:val="段 Char"/>
    <w:link w:val="affffffffe"/>
    <w:qFormat/>
    <w:rPr>
      <w:rFonts w:ascii="宋体" w:eastAsiaTheme="minorEastAsia" w:hAnsiTheme="minorHAnsi" w:cstheme="minorBidi"/>
      <w:kern w:val="2"/>
      <w:sz w:val="21"/>
      <w:szCs w:val="22"/>
      <w:lang w:val="en-US" w:eastAsia="zh-CN" w:bidi="ar-SA"/>
    </w:rPr>
  </w:style>
  <w:style w:type="paragraph" w:customStyle="1" w:styleId="affffffffe">
    <w:name w:val="段"/>
    <w:link w:val="Charfff0"/>
    <w:qFormat/>
    <w:pPr>
      <w:autoSpaceDE w:val="0"/>
      <w:autoSpaceDN w:val="0"/>
      <w:ind w:firstLineChars="200" w:firstLine="200"/>
      <w:jc w:val="both"/>
    </w:pPr>
    <w:rPr>
      <w:rFonts w:ascii="宋体"/>
      <w:kern w:val="2"/>
      <w:sz w:val="21"/>
      <w:szCs w:val="22"/>
    </w:rPr>
  </w:style>
  <w:style w:type="character" w:customStyle="1" w:styleId="Charfff1">
    <w:name w:val="表号 Char"/>
    <w:qFormat/>
    <w:rPr>
      <w:rFonts w:ascii="宋体" w:eastAsia="宋体" w:hAnsi="宋体" w:cs="Times New Roman" w:hint="eastAsia"/>
      <w:b/>
      <w:color w:val="008000"/>
      <w:kern w:val="2"/>
      <w:sz w:val="18"/>
      <w:szCs w:val="24"/>
      <w:lang w:val="en-US" w:eastAsia="zh-CN" w:bidi="ar-SA"/>
    </w:rPr>
  </w:style>
  <w:style w:type="character" w:customStyle="1" w:styleId="Char35">
    <w:name w:val="表名 Char3"/>
    <w:qFormat/>
    <w:rPr>
      <w:rFonts w:ascii="Times New Roman" w:eastAsia="楷体_GB2312" w:hAnsi="Times New Roman" w:cs="Times New Roman"/>
      <w:b/>
      <w:bCs/>
      <w:sz w:val="28"/>
      <w:lang w:val="en-US" w:eastAsia="zh-CN" w:bidi="ar-SA"/>
    </w:rPr>
  </w:style>
  <w:style w:type="character" w:customStyle="1" w:styleId="Char1c">
    <w:name w:val="脚注文本 Char1"/>
    <w:qFormat/>
    <w:rPr>
      <w:rFonts w:ascii="Calibri" w:eastAsia="宋体" w:hAnsi="Calibri" w:cs="Times New Roman"/>
      <w:kern w:val="2"/>
      <w:sz w:val="18"/>
      <w:szCs w:val="18"/>
      <w:lang w:val="en-US" w:eastAsia="zh-CN" w:bidi="ar-SA"/>
    </w:rPr>
  </w:style>
  <w:style w:type="character" w:customStyle="1" w:styleId="content11">
    <w:name w:val="content11"/>
    <w:qFormat/>
    <w:rPr>
      <w:rFonts w:ascii="Times New Roman" w:eastAsia="宋体" w:hAnsi="Times New Roman" w:cs="Times New Roman"/>
      <w:sz w:val="21"/>
      <w:szCs w:val="21"/>
      <w:lang w:val="en-US" w:eastAsia="zh-CN" w:bidi="ar-SA"/>
    </w:rPr>
  </w:style>
  <w:style w:type="character" w:customStyle="1" w:styleId="CharCharChar10">
    <w:name w:val="表文 Char Char Char1"/>
    <w:qFormat/>
    <w:rPr>
      <w:rFonts w:ascii="Times New Roman" w:eastAsia="宋体" w:hAnsi="Times New Roman" w:cs="Times New Roman"/>
      <w:kern w:val="2"/>
      <w:sz w:val="21"/>
      <w:lang w:val="en-US" w:eastAsia="zh-CN" w:bidi="ar-SA"/>
    </w:rPr>
  </w:style>
  <w:style w:type="character" w:customStyle="1" w:styleId="Charfff2">
    <w:name w:val="蒲正文 Char"/>
    <w:qFormat/>
    <w:rPr>
      <w:rFonts w:ascii="宋体" w:eastAsia="宋体" w:hAnsi="宋体" w:cs="Times New Roman"/>
      <w:color w:val="000000"/>
      <w:sz w:val="24"/>
      <w:szCs w:val="24"/>
      <w:lang w:val="en-US" w:eastAsia="zh-CN" w:bidi="ar-SA"/>
    </w:rPr>
  </w:style>
  <w:style w:type="character" w:customStyle="1" w:styleId="CharCharff0">
    <w:name w:val="章 Char Char"/>
    <w:qFormat/>
    <w:rPr>
      <w:rFonts w:ascii="Times New Roman" w:eastAsia="华文中宋" w:hAnsi="Times New Roman" w:cs="宋体"/>
      <w:caps/>
      <w:kern w:val="44"/>
      <w:sz w:val="32"/>
      <w:szCs w:val="32"/>
      <w:lang w:val="en-US" w:eastAsia="zh-CN" w:bidi="ar-SA"/>
    </w:rPr>
  </w:style>
  <w:style w:type="character" w:customStyle="1" w:styleId="fontstyle01">
    <w:name w:val="fontstyle01"/>
    <w:qFormat/>
    <w:rPr>
      <w:rFonts w:ascii="宋体" w:eastAsia="宋体" w:hAnsi="宋体" w:cs="宋体"/>
      <w:color w:val="000000"/>
      <w:sz w:val="24"/>
      <w:szCs w:val="24"/>
      <w:lang w:val="en-US" w:eastAsia="zh-CN" w:bidi="ar-SA"/>
    </w:rPr>
  </w:style>
  <w:style w:type="character" w:customStyle="1" w:styleId="Charfff3">
    <w:name w:val="王勇 Char"/>
    <w:qFormat/>
    <w:rPr>
      <w:rFonts w:ascii="宋体" w:eastAsia="宋体" w:hAnsi="宋体" w:cs="Times New Roman" w:hint="eastAsia"/>
      <w:b/>
      <w:color w:val="008000"/>
      <w:kern w:val="2"/>
      <w:sz w:val="24"/>
      <w:szCs w:val="24"/>
      <w:lang w:val="en-US" w:eastAsia="zh-CN" w:bidi="ar-SA"/>
    </w:rPr>
  </w:style>
  <w:style w:type="character" w:customStyle="1" w:styleId="predbold1">
    <w:name w:val="p_red_bold1"/>
    <w:qFormat/>
    <w:rPr>
      <w:rFonts w:ascii="Times New Roman" w:eastAsia="宋体" w:hAnsi="Times New Roman" w:cs="Times New Roman"/>
      <w:b/>
      <w:color w:val="FF3333"/>
      <w:lang w:val="en-US" w:eastAsia="zh-CN" w:bidi="ar-SA"/>
    </w:rPr>
  </w:style>
  <w:style w:type="character" w:customStyle="1" w:styleId="CharCharff1">
    <w:name w:val="文档结构图 Char Char"/>
    <w:link w:val="1f6"/>
    <w:qFormat/>
    <w:rPr>
      <w:rFonts w:ascii="宋体" w:eastAsiaTheme="minorEastAsia" w:hAnsi="Times New Roman" w:cstheme="minorBidi"/>
      <w:sz w:val="18"/>
      <w:szCs w:val="18"/>
      <w:lang w:val="en-US" w:eastAsia="zh-CN" w:bidi="ar-SA"/>
    </w:rPr>
  </w:style>
  <w:style w:type="paragraph" w:customStyle="1" w:styleId="1f6">
    <w:name w:val="文档结构图1"/>
    <w:basedOn w:val="af1"/>
    <w:link w:val="CharCharff1"/>
    <w:qFormat/>
    <w:pPr>
      <w:spacing w:line="360" w:lineRule="auto"/>
      <w:ind w:firstLineChars="200" w:firstLine="200"/>
    </w:pPr>
    <w:rPr>
      <w:rFonts w:ascii="宋体" w:eastAsiaTheme="minorEastAsia" w:hAnsi="Calibri"/>
      <w:sz w:val="18"/>
      <w:szCs w:val="18"/>
    </w:rPr>
  </w:style>
  <w:style w:type="character" w:customStyle="1" w:styleId="005Char">
    <w:name w:val="样式 右侧:  0 厘米 段前: 0.5 行 Char"/>
    <w:qFormat/>
    <w:rPr>
      <w:rFonts w:ascii="宋体" w:eastAsia="宋体" w:hAnsi="宋体" w:cs="Times New Roman" w:hint="eastAsia"/>
      <w:b/>
      <w:color w:val="008000"/>
      <w:kern w:val="2"/>
      <w:sz w:val="24"/>
      <w:szCs w:val="24"/>
      <w:lang w:val="en-US" w:eastAsia="zh-CN" w:bidi="ar-SA"/>
    </w:rPr>
  </w:style>
  <w:style w:type="character" w:customStyle="1" w:styleId="CharCharChar6">
    <w:name w:val="表名 Char Char Char"/>
    <w:qFormat/>
    <w:rPr>
      <w:rFonts w:ascii="Times New Roman" w:eastAsia="黑体" w:hAnsi="Times New Roman" w:cs="Times New Roman"/>
      <w:kern w:val="2"/>
      <w:sz w:val="28"/>
      <w:lang w:val="en-US" w:eastAsia="zh-CN" w:bidi="ar-SA"/>
    </w:rPr>
  </w:style>
  <w:style w:type="character" w:customStyle="1" w:styleId="2CharChar0">
    <w:name w:val="正文文字2 Char Char"/>
    <w:link w:val="2f7"/>
    <w:qFormat/>
    <w:rPr>
      <w:rFonts w:asciiTheme="minorHAnsi" w:eastAsia="黑体" w:hAnsiTheme="minorHAnsi" w:cstheme="minorBidi"/>
      <w:kern w:val="2"/>
      <w:sz w:val="30"/>
      <w:szCs w:val="30"/>
      <w:lang w:val="en-US" w:eastAsia="zh-CN" w:bidi="ar-SA"/>
    </w:rPr>
  </w:style>
  <w:style w:type="paragraph" w:customStyle="1" w:styleId="2f7">
    <w:name w:val="正文文字2"/>
    <w:link w:val="2CharChar0"/>
    <w:qFormat/>
    <w:pPr>
      <w:adjustRightInd w:val="0"/>
      <w:snapToGrid w:val="0"/>
      <w:jc w:val="center"/>
    </w:pPr>
    <w:rPr>
      <w:rFonts w:eastAsia="黑体"/>
      <w:kern w:val="2"/>
      <w:sz w:val="30"/>
      <w:szCs w:val="30"/>
    </w:rPr>
  </w:style>
  <w:style w:type="character" w:customStyle="1" w:styleId="1111Char20">
    <w:name w:val="款标题1.1.1.1 Char2"/>
    <w:semiHidden/>
    <w:qFormat/>
    <w:rPr>
      <w:rFonts w:ascii="Times New Roman" w:eastAsia="宋体" w:hAnsi="Times New Roman" w:cs="Times New Roman"/>
      <w:bCs/>
      <w:kern w:val="2"/>
      <w:sz w:val="24"/>
      <w:szCs w:val="30"/>
      <w:lang w:val="en-US" w:eastAsia="zh-CN" w:bidi="ar-SA"/>
    </w:rPr>
  </w:style>
  <w:style w:type="character" w:customStyle="1" w:styleId="DateChar1">
    <w:name w:val="Date Char1"/>
    <w:qFormat/>
    <w:rPr>
      <w:rFonts w:ascii="Times New Roman" w:eastAsia="宋体" w:hAnsi="Times New Roman" w:cs="Times New Roman"/>
      <w:kern w:val="2"/>
      <w:sz w:val="24"/>
      <w:szCs w:val="24"/>
      <w:lang w:val="en-US" w:eastAsia="zh-CN" w:bidi="ar-SA"/>
    </w:rPr>
  </w:style>
  <w:style w:type="character" w:customStyle="1" w:styleId="abc">
    <w:name w:val="abc"/>
    <w:basedOn w:val="af3"/>
    <w:qFormat/>
    <w:rPr>
      <w:rFonts w:ascii="Times New Roman" w:eastAsia="宋体" w:hAnsi="Times New Roman" w:cs="Times New Roman"/>
      <w:lang w:val="en-US" w:eastAsia="zh-CN" w:bidi="ar-SA"/>
    </w:rPr>
  </w:style>
  <w:style w:type="character" w:customStyle="1" w:styleId="1Chara">
    <w:name w:val="项标题(1) Char"/>
    <w:qFormat/>
    <w:rPr>
      <w:rFonts w:ascii="Times New Roman" w:eastAsia="宋体" w:hAnsi="Times New Roman" w:cs="Times New Roman" w:hint="default"/>
      <w:b/>
      <w:snapToGrid/>
      <w:color w:val="008000"/>
      <w:kern w:val="2"/>
      <w:sz w:val="24"/>
      <w:szCs w:val="24"/>
      <w:lang w:val="en-US" w:eastAsia="zh-CN" w:bidi="ar-SA"/>
    </w:rPr>
  </w:style>
  <w:style w:type="character" w:customStyle="1" w:styleId="CharChar362">
    <w:name w:val="Char Char362"/>
    <w:qFormat/>
    <w:rPr>
      <w:rFonts w:ascii="Times New Roman" w:eastAsia="宋体" w:hAnsi="Times New Roman" w:cs="Times New Roman"/>
      <w:b/>
      <w:kern w:val="2"/>
      <w:sz w:val="28"/>
      <w:lang w:val="en-US" w:eastAsia="zh-CN" w:bidi="ar-SA"/>
    </w:rPr>
  </w:style>
  <w:style w:type="character" w:customStyle="1" w:styleId="CommentSubjectChar">
    <w:name w:val="Comment Subject Char"/>
    <w:qFormat/>
    <w:locked/>
    <w:rPr>
      <w:rFonts w:ascii="Times New Roman" w:eastAsia="宋体" w:hAnsi="Times New Roman" w:cs="Times New Roman"/>
      <w:b/>
      <w:kern w:val="2"/>
      <w:sz w:val="21"/>
      <w:lang w:val="en-US" w:eastAsia="zh-CN" w:bidi="ar-SA"/>
    </w:rPr>
  </w:style>
  <w:style w:type="character" w:customStyle="1" w:styleId="5Char0">
    <w:name w:val="标题 5 Char"/>
    <w:qFormat/>
    <w:rPr>
      <w:rFonts w:ascii="Times New Roman" w:eastAsia="宋体" w:hAnsi="Times New Roman" w:cs="Times New Roman"/>
      <w:b/>
      <w:sz w:val="24"/>
      <w:lang w:val="en-US" w:eastAsia="zh-CN" w:bidi="ar-SA"/>
    </w:rPr>
  </w:style>
  <w:style w:type="character" w:customStyle="1" w:styleId="SubtitleChar">
    <w:name w:val="Subtitle Char"/>
    <w:qFormat/>
    <w:locked/>
    <w:rPr>
      <w:rFonts w:ascii="Times New Roman" w:eastAsia="黑体" w:hAnsi="Times New Roman" w:cs="Times New Roman"/>
      <w:kern w:val="28"/>
      <w:sz w:val="32"/>
      <w:lang w:val="en-US" w:eastAsia="zh-CN" w:bidi="ar-SA"/>
    </w:rPr>
  </w:style>
  <w:style w:type="character" w:customStyle="1" w:styleId="Charfff4">
    <w:name w:val="【表格文字】 Char"/>
    <w:link w:val="afffffffff"/>
    <w:qFormat/>
    <w:rPr>
      <w:rFonts w:asciiTheme="minorHAnsi" w:eastAsiaTheme="minorEastAsia" w:hAnsiTheme="minorHAnsi" w:cstheme="minorBidi"/>
      <w:lang w:val="en-US" w:eastAsia="zh-CN" w:bidi="ar-SA"/>
    </w:rPr>
  </w:style>
  <w:style w:type="paragraph" w:customStyle="1" w:styleId="afffffffff">
    <w:name w:val="【表格文字】"/>
    <w:basedOn w:val="af1"/>
    <w:next w:val="af1"/>
    <w:link w:val="Charfff4"/>
    <w:qFormat/>
    <w:pPr>
      <w:spacing w:line="320" w:lineRule="atLeast"/>
      <w:jc w:val="center"/>
    </w:pPr>
    <w:rPr>
      <w:rFonts w:asciiTheme="minorHAnsi" w:eastAsiaTheme="minorEastAsia" w:hAnsiTheme="minorHAnsi"/>
      <w:szCs w:val="24"/>
    </w:rPr>
  </w:style>
  <w:style w:type="character" w:customStyle="1" w:styleId="31113h33rdlevelH3l3CTHeading3-oldBoldHeChar">
    <w:name w:val="样式 标题 3条标题1.1.13h33rd levelH3l3CTHeading 3 - oldBold He... Char"/>
    <w:qFormat/>
    <w:rPr>
      <w:rFonts w:ascii="黑体" w:eastAsia="宋体" w:hAnsi="宋体" w:cs="Times New Roman"/>
      <w:b/>
      <w:color w:val="000000"/>
      <w:sz w:val="32"/>
      <w:lang w:val="en-US" w:eastAsia="zh-CN" w:bidi="ar-SA"/>
    </w:rPr>
  </w:style>
  <w:style w:type="character" w:customStyle="1" w:styleId="t1">
    <w:name w:val="t1"/>
    <w:qFormat/>
    <w:rPr>
      <w:rFonts w:ascii="Times New Roman" w:eastAsia="宋体" w:hAnsi="Times New Roman" w:cs="Times New Roman"/>
      <w:kern w:val="2"/>
      <w:sz w:val="24"/>
      <w:szCs w:val="24"/>
      <w:lang w:val="en-US" w:eastAsia="zh-CN" w:bidi="ar-SA"/>
    </w:rPr>
  </w:style>
  <w:style w:type="character" w:customStyle="1" w:styleId="2Char6">
    <w:name w:val="新标题2 Char"/>
    <w:link w:val="2f8"/>
    <w:qFormat/>
    <w:rPr>
      <w:rFonts w:asciiTheme="minorHAnsi" w:eastAsiaTheme="minorEastAsia" w:hAnsi="宋体" w:cstheme="minorBidi"/>
      <w:color w:val="000000"/>
      <w:kern w:val="2"/>
      <w:sz w:val="24"/>
      <w:szCs w:val="24"/>
      <w:lang w:val="en-US" w:eastAsia="zh-CN" w:bidi="ar-SA"/>
    </w:rPr>
  </w:style>
  <w:style w:type="paragraph" w:customStyle="1" w:styleId="2f8">
    <w:name w:val="新标题2"/>
    <w:link w:val="2Char6"/>
    <w:qFormat/>
    <w:pPr>
      <w:widowControl w:val="0"/>
      <w:spacing w:line="360" w:lineRule="auto"/>
      <w:ind w:firstLineChars="200" w:firstLine="480"/>
      <w:jc w:val="both"/>
      <w:outlineLvl w:val="1"/>
    </w:pPr>
    <w:rPr>
      <w:rFonts w:hAnsi="宋体"/>
      <w:color w:val="000000"/>
      <w:kern w:val="2"/>
      <w:sz w:val="24"/>
      <w:szCs w:val="24"/>
    </w:rPr>
  </w:style>
  <w:style w:type="character" w:customStyle="1" w:styleId="CharCharCharCharChar1">
    <w:name w:val="表文 Char Char Char Char Char"/>
    <w:qFormat/>
    <w:rPr>
      <w:rFonts w:ascii="Times New Roman" w:eastAsia="宋体" w:hAnsi="Times New Roman" w:cs="Times New Roman"/>
      <w:kern w:val="2"/>
      <w:sz w:val="21"/>
      <w:lang w:val="en-US" w:eastAsia="zh-CN" w:bidi="ar-SA"/>
    </w:rPr>
  </w:style>
  <w:style w:type="character" w:customStyle="1" w:styleId="affd">
    <w:name w:val="结束语 字符"/>
    <w:link w:val="affc"/>
    <w:qFormat/>
    <w:rPr>
      <w:rFonts w:ascii="仿宋_GB2312" w:eastAsia="仿宋_GB2312" w:hAnsi="Times New Roman" w:cstheme="minorBidi"/>
      <w:sz w:val="24"/>
      <w:szCs w:val="21"/>
      <w:lang w:val="en-US" w:eastAsia="zh-CN" w:bidi="ar-SA"/>
    </w:rPr>
  </w:style>
  <w:style w:type="character" w:customStyle="1" w:styleId="2Char11">
    <w:name w:val="标题 2 Char11"/>
    <w:qFormat/>
    <w:rPr>
      <w:rFonts w:ascii="宋体" w:eastAsia="宋体" w:hAnsi="宋体" w:cs="Times New Roman" w:hint="eastAsia"/>
      <w:b/>
      <w:color w:val="008000"/>
      <w:spacing w:val="-8"/>
      <w:w w:val="77"/>
      <w:kern w:val="2"/>
      <w:sz w:val="24"/>
      <w:szCs w:val="24"/>
      <w:lang w:val="en-US" w:eastAsia="zh-CN" w:bidi="ar-SA"/>
    </w:rPr>
  </w:style>
  <w:style w:type="character" w:customStyle="1" w:styleId="1f7">
    <w:name w:val="文档结构图 字符1"/>
    <w:semiHidden/>
    <w:qFormat/>
    <w:rPr>
      <w:rFonts w:ascii="Times New Roman" w:eastAsia="宋体" w:hAnsi="Times New Roman" w:cs="Times New Roman"/>
      <w:kern w:val="2"/>
      <w:sz w:val="21"/>
      <w:szCs w:val="24"/>
      <w:shd w:val="clear" w:color="auto" w:fill="000080"/>
      <w:lang w:val="en-US" w:eastAsia="zh-CN" w:bidi="ar-SA"/>
    </w:rPr>
  </w:style>
  <w:style w:type="character" w:customStyle="1" w:styleId="211">
    <w:name w:val="标题 21"/>
    <w:qFormat/>
    <w:rPr>
      <w:rFonts w:ascii="楷体" w:eastAsia="楷体" w:hAnsi="Courier New" w:cs="Times New Roman"/>
      <w:kern w:val="2"/>
      <w:sz w:val="30"/>
      <w:lang w:val="en-US" w:eastAsia="zh-CN" w:bidi="ar-SA"/>
    </w:rPr>
  </w:style>
  <w:style w:type="character" w:customStyle="1" w:styleId="aff9">
    <w:name w:val="批注文字 字符"/>
    <w:link w:val="aff8"/>
    <w:qFormat/>
    <w:rPr>
      <w:rFonts w:ascii="Times New Roman" w:eastAsia="宋体" w:hAnsi="Times New Roman" w:cs="Times New Roman"/>
      <w:szCs w:val="24"/>
      <w:lang w:val="en-US" w:eastAsia="zh-CN" w:bidi="ar-SA"/>
    </w:rPr>
  </w:style>
  <w:style w:type="character" w:customStyle="1" w:styleId="description">
    <w:name w:val="description"/>
    <w:basedOn w:val="af3"/>
    <w:qFormat/>
    <w:rPr>
      <w:rFonts w:ascii="Times New Roman" w:eastAsia="宋体" w:hAnsi="Times New Roman" w:cs="Times New Roman"/>
      <w:lang w:val="en-US" w:eastAsia="zh-CN" w:bidi="ar-SA"/>
    </w:rPr>
  </w:style>
  <w:style w:type="character" w:customStyle="1" w:styleId="23Char">
    <w:name w:val="样式23 Char"/>
    <w:qFormat/>
    <w:rPr>
      <w:rFonts w:ascii="宋体" w:eastAsia="宋体" w:hAnsi="宋体" w:cs="Times New Roman"/>
      <w:color w:val="000000"/>
      <w:kern w:val="2"/>
      <w:sz w:val="24"/>
      <w:szCs w:val="24"/>
      <w:lang w:val="en-US" w:eastAsia="zh-CN" w:bidi="ar-SA"/>
    </w:rPr>
  </w:style>
  <w:style w:type="character" w:customStyle="1" w:styleId="1f8">
    <w:name w:val="批注文字 字符1"/>
    <w:qFormat/>
    <w:rPr>
      <w:rFonts w:ascii="Times New Roman" w:eastAsia="宋体" w:hAnsi="Times New Roman" w:cs="Times New Roman"/>
      <w:kern w:val="2"/>
      <w:sz w:val="24"/>
      <w:lang w:val="en-US" w:eastAsia="zh-CN" w:bidi="ar-SA"/>
    </w:rPr>
  </w:style>
  <w:style w:type="character" w:customStyle="1" w:styleId="cucd-3CharChar">
    <w:name w:val="cucd-3 Char Char"/>
    <w:qFormat/>
    <w:rPr>
      <w:rFonts w:ascii="Times New Roman" w:eastAsia="宋体" w:hAnsi="Times New Roman" w:cs="Times New Roman"/>
      <w:b/>
      <w:i/>
      <w:kern w:val="2"/>
      <w:sz w:val="24"/>
      <w:szCs w:val="24"/>
      <w:u w:val="single"/>
      <w:lang w:val="en-US" w:eastAsia="zh-CN" w:bidi="ar-SA"/>
    </w:rPr>
  </w:style>
  <w:style w:type="character" w:customStyle="1" w:styleId="CharCharCharCharCharChar">
    <w:name w:val="自定义正文 Char Char Char Char Char Char"/>
    <w:link w:val="CharCharCharChar4"/>
    <w:qFormat/>
    <w:rPr>
      <w:rFonts w:asciiTheme="minorHAnsi" w:eastAsia="Times New Roman" w:hAnsiTheme="minorHAnsi" w:cstheme="minorBidi"/>
      <w:kern w:val="2"/>
      <w:position w:val="-28"/>
      <w:sz w:val="28"/>
      <w:szCs w:val="22"/>
      <w:lang w:val="en-US" w:eastAsia="zh-CN" w:bidi="ar-SA"/>
    </w:rPr>
  </w:style>
  <w:style w:type="paragraph" w:customStyle="1" w:styleId="CharCharCharChar4">
    <w:name w:val="自定义正文 Char Char Char Char"/>
    <w:link w:val="CharCharCharCharCharChar"/>
    <w:qFormat/>
    <w:pPr>
      <w:widowControl w:val="0"/>
      <w:topLinePunct/>
      <w:adjustRightInd w:val="0"/>
      <w:snapToGrid w:val="0"/>
      <w:spacing w:line="360" w:lineRule="auto"/>
      <w:ind w:firstLine="510"/>
      <w:jc w:val="both"/>
    </w:pPr>
    <w:rPr>
      <w:rFonts w:eastAsia="Times New Roman"/>
      <w:kern w:val="2"/>
      <w:position w:val="-28"/>
      <w:sz w:val="28"/>
      <w:szCs w:val="22"/>
    </w:rPr>
  </w:style>
  <w:style w:type="character" w:customStyle="1" w:styleId="p11">
    <w:name w:val="p11"/>
    <w:qFormat/>
    <w:rPr>
      <w:rFonts w:ascii="Times New Roman" w:eastAsia="宋体" w:hAnsi="Times New Roman" w:cs="Times New Roman"/>
      <w:sz w:val="18"/>
      <w:lang w:val="en-US" w:eastAsia="zh-CN" w:bidi="ar-SA"/>
    </w:rPr>
  </w:style>
  <w:style w:type="character" w:customStyle="1" w:styleId="Char36">
    <w:name w:val="普通文字 Char3"/>
    <w:link w:val="47"/>
    <w:qFormat/>
    <w:locked/>
    <w:rPr>
      <w:rFonts w:ascii="宋体" w:eastAsiaTheme="minorEastAsia" w:hAnsi="宋体" w:cstheme="minorBidi"/>
      <w:sz w:val="24"/>
      <w:lang w:val="en-US" w:eastAsia="zh-CN" w:bidi="ar-SA"/>
    </w:rPr>
  </w:style>
  <w:style w:type="paragraph" w:customStyle="1" w:styleId="47">
    <w:name w:val="纯文本4"/>
    <w:basedOn w:val="af1"/>
    <w:link w:val="Char36"/>
    <w:qFormat/>
    <w:rPr>
      <w:rFonts w:ascii="宋体" w:eastAsiaTheme="minorEastAsia" w:hAnsi="宋体"/>
      <w:sz w:val="24"/>
      <w:szCs w:val="24"/>
    </w:rPr>
  </w:style>
  <w:style w:type="character" w:customStyle="1" w:styleId="2CharChar1">
    <w:name w:val="样式 样式 标题 2 + 红色 + 自动设置 Char Char1"/>
    <w:link w:val="2Char7"/>
    <w:qFormat/>
    <w:rPr>
      <w:rFonts w:ascii="Times New Roman" w:eastAsia="新宋体" w:hAnsi="Times New Roman" w:cs="Times New Roman"/>
      <w:lang w:val="en-US" w:eastAsia="zh-CN" w:bidi="ar-SA"/>
    </w:rPr>
  </w:style>
  <w:style w:type="paragraph" w:customStyle="1" w:styleId="2Char7">
    <w:name w:val="样式 样式 标题 2 + 红色 + 自动设置 Char"/>
    <w:basedOn w:val="2f9"/>
    <w:link w:val="2CharChar1"/>
    <w:qFormat/>
    <w:rPr>
      <w:rFonts w:eastAsia="新宋体"/>
    </w:rPr>
  </w:style>
  <w:style w:type="paragraph" w:customStyle="1" w:styleId="2f9">
    <w:name w:val="样式 标题 2 + 红色"/>
    <w:basedOn w:val="22"/>
    <w:link w:val="2CharChar2"/>
    <w:qFormat/>
    <w:pPr>
      <w:tabs>
        <w:tab w:val="left" w:pos="576"/>
      </w:tabs>
    </w:pPr>
    <w:rPr>
      <w:rFonts w:eastAsiaTheme="minorEastAsia" w:cstheme="minorBidi"/>
      <w:bCs w:val="0"/>
      <w:color w:val="FF0000"/>
      <w:spacing w:val="-8"/>
      <w:sz w:val="28"/>
      <w:szCs w:val="22"/>
    </w:rPr>
  </w:style>
  <w:style w:type="character" w:customStyle="1" w:styleId="2CharChar2">
    <w:name w:val="样式 标题 2 + 红色 Char Char"/>
    <w:link w:val="2f9"/>
    <w:qFormat/>
    <w:rPr>
      <w:rFonts w:ascii="Times New Roman" w:eastAsiaTheme="minorEastAsia" w:hAnsi="Times New Roman" w:cstheme="minorBidi"/>
      <w:color w:val="FF0000"/>
      <w:spacing w:val="-8"/>
      <w:sz w:val="28"/>
      <w:szCs w:val="22"/>
      <w:lang w:val="en-US" w:eastAsia="zh-CN" w:bidi="ar-SA"/>
    </w:rPr>
  </w:style>
  <w:style w:type="character" w:customStyle="1" w:styleId="Char1d">
    <w:name w:val="签名 Char1"/>
    <w:qFormat/>
    <w:rPr>
      <w:rFonts w:ascii="Calibri" w:eastAsia="宋体" w:hAnsi="Calibri" w:cs="Times New Roman"/>
      <w:sz w:val="24"/>
      <w:lang w:val="en-US" w:eastAsia="zh-CN" w:bidi="ar-SA"/>
    </w:rPr>
  </w:style>
  <w:style w:type="character" w:customStyle="1" w:styleId="white">
    <w:name w:val="white"/>
    <w:qFormat/>
    <w:rPr>
      <w:rFonts w:ascii="Arial Black" w:eastAsia="Times New Roman" w:hAnsi="Arial Black" w:cs="Times New Roman"/>
      <w:sz w:val="21"/>
      <w:lang w:val="en-US" w:eastAsia="en-US" w:bidi="ar-SA"/>
    </w:rPr>
  </w:style>
  <w:style w:type="character" w:customStyle="1" w:styleId="cucd-0Char">
    <w:name w:val="cucd-0 Char"/>
    <w:qFormat/>
    <w:locked/>
    <w:rPr>
      <w:rFonts w:ascii="Times New Roman" w:eastAsia="宋体" w:hAnsi="Times New Roman" w:cs="Times New Roman"/>
      <w:sz w:val="24"/>
      <w:szCs w:val="20"/>
      <w:lang w:val="en-US" w:eastAsia="zh-CN" w:bidi="ar-SA"/>
    </w:rPr>
  </w:style>
  <w:style w:type="character" w:customStyle="1" w:styleId="bdsnopic2">
    <w:name w:val="bds_nopic2"/>
    <w:basedOn w:val="af3"/>
    <w:qFormat/>
    <w:rPr>
      <w:rFonts w:ascii="Times New Roman" w:eastAsia="宋体" w:hAnsi="Times New Roman" w:cs="Times New Roman"/>
      <w:lang w:val="en-US" w:eastAsia="zh-CN" w:bidi="ar-SA"/>
    </w:rPr>
  </w:style>
  <w:style w:type="character" w:customStyle="1" w:styleId="Charfff5">
    <w:name w:val="正文(首行缩进) Char"/>
    <w:link w:val="afffffffff0"/>
    <w:qFormat/>
    <w:rPr>
      <w:rFonts w:ascii="宋体" w:eastAsia="宋体" w:hAnsi="宋体" w:cstheme="minorBidi"/>
      <w:sz w:val="24"/>
      <w:lang w:val="en-US" w:eastAsia="zh-CN" w:bidi="ar-SA"/>
    </w:rPr>
  </w:style>
  <w:style w:type="paragraph" w:customStyle="1" w:styleId="afffffffff0">
    <w:name w:val="正文(首行缩进)"/>
    <w:basedOn w:val="af1"/>
    <w:link w:val="Charfff5"/>
    <w:qFormat/>
    <w:pPr>
      <w:spacing w:line="360" w:lineRule="auto"/>
      <w:ind w:firstLine="510"/>
    </w:pPr>
    <w:rPr>
      <w:rFonts w:ascii="宋体" w:hAnsi="宋体"/>
      <w:sz w:val="24"/>
      <w:szCs w:val="24"/>
    </w:rPr>
  </w:style>
  <w:style w:type="character" w:customStyle="1" w:styleId="CharChar271">
    <w:name w:val="Char Char271"/>
    <w:qFormat/>
    <w:locked/>
    <w:rPr>
      <w:rFonts w:ascii="幼圆" w:eastAsia="幼圆" w:hAnsi="Times New Roman" w:cs="Times New Roman"/>
      <w:kern w:val="2"/>
      <w:sz w:val="21"/>
      <w:szCs w:val="18"/>
      <w:lang w:val="en-US" w:eastAsia="zh-CN" w:bidi="ar-SA"/>
    </w:rPr>
  </w:style>
  <w:style w:type="character" w:customStyle="1" w:styleId="Charfff6">
    <w:name w:val="头 Char"/>
    <w:qFormat/>
    <w:rPr>
      <w:rFonts w:ascii="Times New Roman" w:eastAsia="宋体" w:hAnsi="Times New Roman" w:cs="Times New Roman"/>
      <w:b/>
      <w:bCs/>
      <w:kern w:val="2"/>
      <w:sz w:val="32"/>
      <w:szCs w:val="32"/>
      <w:lang w:val="en-US" w:eastAsia="zh-CN" w:bidi="ar-SA"/>
    </w:rPr>
  </w:style>
  <w:style w:type="character" w:customStyle="1" w:styleId="CharCharCharChar5">
    <w:name w:val="表格标题 Char Char Char Char"/>
    <w:qFormat/>
    <w:rPr>
      <w:rFonts w:ascii="Times New Roman" w:eastAsia="黑体" w:hAnsi="Times New Roman" w:cs="Times New Roman"/>
      <w:kern w:val="2"/>
      <w:sz w:val="24"/>
      <w:lang w:val="en-US" w:eastAsia="zh-CN" w:bidi="ar-SA"/>
    </w:rPr>
  </w:style>
  <w:style w:type="character" w:customStyle="1" w:styleId="yxJump">
    <w:name w:val="yxJump"/>
    <w:qFormat/>
    <w:rPr>
      <w:rFonts w:ascii="Courier New" w:eastAsia="宋体" w:hAnsi="Courier New" w:cs="Times New Roman"/>
      <w:color w:val="008080"/>
      <w:lang w:val="en-US" w:eastAsia="zh-CN" w:bidi="ar-SA"/>
    </w:rPr>
  </w:style>
  <w:style w:type="character" w:customStyle="1" w:styleId="imgbgcover">
    <w:name w:val="img_bg_cover"/>
    <w:basedOn w:val="af3"/>
    <w:qFormat/>
    <w:rPr>
      <w:rFonts w:ascii="Times New Roman" w:eastAsia="宋体" w:hAnsi="Times New Roman" w:cs="Times New Roman"/>
      <w:lang w:val="en-US" w:eastAsia="zh-CN" w:bidi="ar-SA"/>
    </w:rPr>
  </w:style>
  <w:style w:type="character" w:customStyle="1" w:styleId="410">
    <w:name w:val="标题 4 字符1"/>
    <w:qFormat/>
    <w:rPr>
      <w:rFonts w:ascii="Times New Roman" w:eastAsia="长城楷体" w:hAnsi="Times New Roman" w:cs="Times New Roman"/>
      <w:b/>
      <w:sz w:val="28"/>
      <w:lang w:val="en-US" w:eastAsia="zh-CN" w:bidi="ar-SA"/>
    </w:rPr>
  </w:style>
  <w:style w:type="character" w:customStyle="1" w:styleId="Charfff7">
    <w:name w:val="【表中文字】 Char"/>
    <w:qFormat/>
    <w:rPr>
      <w:rFonts w:ascii="Times New Roman" w:eastAsia="宋体" w:hAnsi="Times New Roman" w:cs="Times New Roman"/>
      <w:kern w:val="2"/>
      <w:sz w:val="21"/>
      <w:lang w:val="en-US" w:eastAsia="zh-CN" w:bidi="ar-SA"/>
    </w:rPr>
  </w:style>
  <w:style w:type="character" w:customStyle="1" w:styleId="Char1e">
    <w:name w:val="标题（五） Char1"/>
    <w:qFormat/>
    <w:rPr>
      <w:rFonts w:ascii="Times New Roman" w:eastAsia="宋体" w:hAnsi="Times New Roman" w:cs="Times New Roman" w:hint="default"/>
      <w:b/>
      <w:snapToGrid/>
      <w:color w:val="008000"/>
      <w:kern w:val="2"/>
      <w:sz w:val="28"/>
      <w:szCs w:val="24"/>
      <w:lang w:val="en-US" w:eastAsia="zh-CN" w:bidi="ar-SA"/>
    </w:rPr>
  </w:style>
  <w:style w:type="character" w:customStyle="1" w:styleId="CharCharff2">
    <w:name w:val="德胜正文顶格小标题 Char Char"/>
    <w:link w:val="afffffffff1"/>
    <w:qFormat/>
    <w:locked/>
    <w:rPr>
      <w:rFonts w:ascii="Times New Roman" w:eastAsia="宋体" w:hAnsi="Times New Roman" w:cs="Times New Roman"/>
      <w:sz w:val="24"/>
      <w:lang w:val="en-US" w:eastAsia="zh-CN" w:bidi="ar-SA"/>
    </w:rPr>
  </w:style>
  <w:style w:type="paragraph" w:customStyle="1" w:styleId="afffffffff1">
    <w:name w:val="德胜正文顶格小标题"/>
    <w:basedOn w:val="afffffffff2"/>
    <w:link w:val="CharCharff2"/>
    <w:qFormat/>
    <w:pPr>
      <w:spacing w:line="360" w:lineRule="auto"/>
    </w:pPr>
    <w:rPr>
      <w:sz w:val="24"/>
    </w:rPr>
  </w:style>
  <w:style w:type="paragraph" w:customStyle="1" w:styleId="afffffffff2">
    <w:name w:val="德胜空行"/>
    <w:basedOn w:val="af1"/>
    <w:link w:val="CharCharff3"/>
    <w:qFormat/>
    <w:pPr>
      <w:widowControl/>
      <w:adjustRightInd w:val="0"/>
      <w:snapToGrid w:val="0"/>
      <w:jc w:val="left"/>
    </w:pPr>
    <w:rPr>
      <w:rFonts w:asciiTheme="minorHAnsi" w:eastAsiaTheme="minorEastAsia" w:hAnsiTheme="minorHAnsi"/>
      <w:color w:val="0000FF"/>
    </w:rPr>
  </w:style>
  <w:style w:type="character" w:customStyle="1" w:styleId="CharCharff3">
    <w:name w:val="德胜空行 Char Char"/>
    <w:link w:val="afffffffff2"/>
    <w:qFormat/>
    <w:locked/>
    <w:rPr>
      <w:rFonts w:asciiTheme="minorHAnsi" w:eastAsiaTheme="minorEastAsia" w:hAnsiTheme="minorHAnsi" w:cstheme="minorBidi"/>
      <w:color w:val="0000FF"/>
      <w:szCs w:val="22"/>
      <w:lang w:val="en-US" w:eastAsia="zh-CN" w:bidi="ar-SA"/>
    </w:rPr>
  </w:style>
  <w:style w:type="character" w:customStyle="1" w:styleId="affff1">
    <w:name w:val="脚注文本 字符"/>
    <w:link w:val="affff0"/>
    <w:qFormat/>
    <w:rPr>
      <w:rFonts w:ascii="Times New Roman" w:eastAsiaTheme="minorEastAsia" w:hAnsi="Times New Roman" w:cstheme="minorBidi"/>
      <w:sz w:val="18"/>
      <w:szCs w:val="18"/>
      <w:lang w:val="en-US" w:eastAsia="zh-CN" w:bidi="ar-SA"/>
    </w:rPr>
  </w:style>
  <w:style w:type="character" w:customStyle="1" w:styleId="xybCharChar">
    <w:name w:val="xyb自建正文 Char Char"/>
    <w:link w:val="xyb"/>
    <w:qFormat/>
    <w:rPr>
      <w:rFonts w:ascii="宋体" w:eastAsiaTheme="minorEastAsia" w:hAnsi="宋体" w:cs="宋体"/>
      <w:spacing w:val="-2"/>
      <w:sz w:val="24"/>
      <w:lang w:val="en-US" w:eastAsia="zh-CN" w:bidi="ar-SA"/>
    </w:rPr>
  </w:style>
  <w:style w:type="paragraph" w:customStyle="1" w:styleId="xyb">
    <w:name w:val="xyb自建正文"/>
    <w:basedOn w:val="af1"/>
    <w:link w:val="xybCharChar"/>
    <w:qFormat/>
    <w:pPr>
      <w:tabs>
        <w:tab w:val="left" w:pos="1440"/>
        <w:tab w:val="left" w:pos="8280"/>
      </w:tabs>
      <w:spacing w:line="360" w:lineRule="auto"/>
      <w:ind w:firstLineChars="200" w:firstLine="472"/>
    </w:pPr>
    <w:rPr>
      <w:rFonts w:ascii="宋体" w:eastAsiaTheme="minorEastAsia" w:hAnsi="宋体" w:cs="宋体"/>
      <w:spacing w:val="-2"/>
      <w:sz w:val="24"/>
      <w:szCs w:val="24"/>
    </w:rPr>
  </w:style>
  <w:style w:type="character" w:customStyle="1" w:styleId="2Char21">
    <w:name w:val="正文文本 2 Char2"/>
    <w:qFormat/>
    <w:rPr>
      <w:rFonts w:ascii="Times New Roman" w:eastAsia="宋体" w:hAnsi="Times New Roman" w:cs="Times New Roman"/>
      <w:kern w:val="2"/>
      <w:sz w:val="21"/>
      <w:szCs w:val="22"/>
      <w:lang w:val="en-US" w:eastAsia="zh-CN" w:bidi="ar-SA"/>
    </w:rPr>
  </w:style>
  <w:style w:type="character" w:customStyle="1" w:styleId="haydonliChar">
    <w:name w:val="haydonli Char"/>
    <w:link w:val="haydonli"/>
    <w:qFormat/>
    <w:rPr>
      <w:rFonts w:asciiTheme="minorHAnsi" w:eastAsiaTheme="minorEastAsia" w:hAnsiTheme="minorHAnsi" w:cstheme="minorBidi"/>
      <w:sz w:val="24"/>
      <w:lang w:val="en-US" w:eastAsia="zh-CN" w:bidi="ar-SA"/>
    </w:rPr>
  </w:style>
  <w:style w:type="paragraph" w:customStyle="1" w:styleId="haydonli">
    <w:name w:val="haydonli"/>
    <w:basedOn w:val="af1"/>
    <w:link w:val="haydonliChar"/>
    <w:qFormat/>
    <w:pPr>
      <w:snapToGrid w:val="0"/>
      <w:spacing w:line="360" w:lineRule="auto"/>
      <w:ind w:firstLineChars="200" w:firstLine="200"/>
    </w:pPr>
    <w:rPr>
      <w:rFonts w:asciiTheme="minorHAnsi" w:eastAsiaTheme="minorEastAsia" w:hAnsiTheme="minorHAnsi"/>
      <w:sz w:val="24"/>
      <w:szCs w:val="24"/>
    </w:rPr>
  </w:style>
  <w:style w:type="character" w:customStyle="1" w:styleId="pr">
    <w:name w:val="pr"/>
    <w:basedOn w:val="af3"/>
    <w:qFormat/>
    <w:rPr>
      <w:rFonts w:ascii="Times New Roman" w:eastAsia="宋体" w:hAnsi="Times New Roman" w:cs="Times New Roman"/>
      <w:lang w:val="en-US" w:eastAsia="zh-CN" w:bidi="ar-SA"/>
    </w:rPr>
  </w:style>
  <w:style w:type="character" w:customStyle="1" w:styleId="2CharChar3">
    <w:name w:val="标题 2 Char Char"/>
    <w:uiPriority w:val="9"/>
    <w:qFormat/>
    <w:rPr>
      <w:rFonts w:ascii="Arial" w:eastAsia="黑体" w:hAnsi="Arial" w:cs="Times New Roman"/>
      <w:b/>
      <w:kern w:val="2"/>
      <w:sz w:val="32"/>
      <w:lang w:val="en-US" w:eastAsia="zh-CN" w:bidi="ar-SA"/>
    </w:rPr>
  </w:style>
  <w:style w:type="character" w:customStyle="1" w:styleId="CharCharff4">
    <w:name w:val="表名 Char Char"/>
    <w:qFormat/>
    <w:rPr>
      <w:rFonts w:ascii="黑体" w:eastAsia="黑体" w:hAnsi="Times New Roman" w:cs="Times New Roman"/>
      <w:color w:val="000000"/>
      <w:kern w:val="2"/>
      <w:sz w:val="24"/>
      <w:lang w:val="en-US" w:eastAsia="zh-CN" w:bidi="ar-SA"/>
    </w:rPr>
  </w:style>
  <w:style w:type="character" w:customStyle="1" w:styleId="answer-title">
    <w:name w:val="answer-title"/>
    <w:qFormat/>
    <w:rPr>
      <w:rFonts w:ascii="Times New Roman" w:eastAsia="宋体" w:hAnsi="Times New Roman" w:cs="Times New Roman"/>
      <w:color w:val="35B558"/>
      <w:sz w:val="33"/>
      <w:szCs w:val="33"/>
      <w:lang w:val="en-US" w:eastAsia="zh-CN" w:bidi="ar-SA"/>
    </w:rPr>
  </w:style>
  <w:style w:type="character" w:customStyle="1" w:styleId="001Char">
    <w:name w:val="正文001 Char"/>
    <w:link w:val="001"/>
    <w:qFormat/>
    <w:rPr>
      <w:rFonts w:asciiTheme="minorHAnsi" w:eastAsia="宋体" w:hAnsiTheme="minorHAnsi" w:cstheme="minorBidi"/>
      <w:sz w:val="24"/>
      <w:szCs w:val="22"/>
      <w:lang w:val="en-US" w:eastAsia="zh-CN" w:bidi="ar-SA"/>
    </w:rPr>
  </w:style>
  <w:style w:type="paragraph" w:customStyle="1" w:styleId="001">
    <w:name w:val="正文001"/>
    <w:basedOn w:val="af1"/>
    <w:link w:val="001Char"/>
    <w:qFormat/>
    <w:pPr>
      <w:spacing w:before="60" w:line="420" w:lineRule="exact"/>
      <w:ind w:firstLine="482"/>
    </w:pPr>
    <w:rPr>
      <w:rFonts w:asciiTheme="minorHAnsi" w:hAnsiTheme="minorHAnsi"/>
      <w:sz w:val="24"/>
    </w:rPr>
  </w:style>
  <w:style w:type="character" w:customStyle="1" w:styleId="Charfff8">
    <w:name w:val="表体 Char"/>
    <w:link w:val="afffffffff3"/>
    <w:qFormat/>
    <w:locked/>
    <w:rPr>
      <w:rFonts w:asciiTheme="minorHAnsi" w:eastAsia="仿宋_GB2312" w:hAnsiTheme="minorHAnsi" w:cstheme="minorBidi"/>
      <w:color w:val="000000"/>
      <w:kern w:val="24"/>
      <w:szCs w:val="21"/>
      <w:lang w:val="en-US" w:eastAsia="zh-CN" w:bidi="ar-SA"/>
    </w:rPr>
  </w:style>
  <w:style w:type="paragraph" w:customStyle="1" w:styleId="afffffffff3">
    <w:name w:val="表体"/>
    <w:basedOn w:val="af1"/>
    <w:link w:val="Charfff8"/>
    <w:qFormat/>
    <w:pPr>
      <w:overflowPunct w:val="0"/>
      <w:adjustRightInd w:val="0"/>
      <w:snapToGrid w:val="0"/>
      <w:jc w:val="center"/>
      <w:textAlignment w:val="baseline"/>
    </w:pPr>
    <w:rPr>
      <w:rFonts w:asciiTheme="minorHAnsi" w:eastAsia="仿宋_GB2312" w:hAnsiTheme="minorHAnsi"/>
      <w:color w:val="000000"/>
      <w:kern w:val="24"/>
      <w:szCs w:val="21"/>
    </w:rPr>
  </w:style>
  <w:style w:type="character" w:customStyle="1" w:styleId="Charfff9">
    <w:name w:val="中文报告书样式 Char"/>
    <w:link w:val="afffffffff4"/>
    <w:qFormat/>
    <w:rPr>
      <w:rFonts w:asciiTheme="minorHAnsi" w:eastAsia="宋体" w:hAnsiTheme="minorHAnsi" w:cstheme="minorBidi"/>
      <w:kern w:val="24"/>
      <w:sz w:val="24"/>
      <w:szCs w:val="22"/>
      <w:lang w:val="en-US" w:eastAsia="zh-CN" w:bidi="ar-SA"/>
    </w:rPr>
  </w:style>
  <w:style w:type="paragraph" w:customStyle="1" w:styleId="afffffffff4">
    <w:name w:val="中文报告书样式"/>
    <w:basedOn w:val="af1"/>
    <w:link w:val="Charfff9"/>
    <w:qFormat/>
    <w:pPr>
      <w:adjustRightInd w:val="0"/>
      <w:spacing w:line="480" w:lineRule="atLeast"/>
      <w:ind w:firstLine="482"/>
      <w:textAlignment w:val="baseline"/>
    </w:pPr>
    <w:rPr>
      <w:rFonts w:asciiTheme="minorHAnsi" w:hAnsiTheme="minorHAnsi"/>
      <w:kern w:val="24"/>
      <w:sz w:val="24"/>
    </w:rPr>
  </w:style>
  <w:style w:type="character" w:customStyle="1" w:styleId="22CharChar">
    <w:name w:val="正22 Char Char"/>
    <w:link w:val="221"/>
    <w:qFormat/>
    <w:rPr>
      <w:rFonts w:ascii="Arial Narrow" w:eastAsiaTheme="minorEastAsia" w:hAnsi="Arial Narrow" w:cstheme="minorBidi"/>
      <w:sz w:val="28"/>
      <w:szCs w:val="22"/>
      <w:lang w:val="en-US" w:eastAsia="zh-CN" w:bidi="ar-SA"/>
    </w:rPr>
  </w:style>
  <w:style w:type="paragraph" w:customStyle="1" w:styleId="221">
    <w:name w:val="正22"/>
    <w:basedOn w:val="af1"/>
    <w:link w:val="22CharChar"/>
    <w:qFormat/>
    <w:pPr>
      <w:spacing w:line="640" w:lineRule="exact"/>
      <w:ind w:firstLineChars="200" w:firstLine="200"/>
      <w:jc w:val="left"/>
    </w:pPr>
    <w:rPr>
      <w:rFonts w:ascii="Arial Narrow" w:eastAsiaTheme="minorEastAsia" w:hAnsi="Arial Narrow"/>
      <w:sz w:val="28"/>
    </w:rPr>
  </w:style>
  <w:style w:type="character" w:customStyle="1" w:styleId="3CharCharCharChar">
    <w:name w:val="标题 3 Char Char Char Char"/>
    <w:semiHidden/>
    <w:qFormat/>
    <w:rPr>
      <w:rFonts w:ascii="Times New Roman" w:eastAsia="宋体" w:hAnsi="Times New Roman" w:cs="Times New Roman"/>
      <w:kern w:val="2"/>
      <w:sz w:val="28"/>
      <w:szCs w:val="24"/>
      <w:lang w:val="en-US" w:eastAsia="zh-CN" w:bidi="ar-SA"/>
    </w:rPr>
  </w:style>
  <w:style w:type="character" w:customStyle="1" w:styleId="217">
    <w:name w:val="正文文本 (2)17"/>
    <w:qFormat/>
    <w:rPr>
      <w:rFonts w:ascii="Times New Roman" w:eastAsia="宋体" w:hAnsi="Times New Roman" w:cs="Times New Roman"/>
      <w:lang w:val="en-US" w:eastAsia="zh-CN" w:bidi="ar-SA"/>
    </w:rPr>
  </w:style>
  <w:style w:type="character" w:customStyle="1" w:styleId="CharCharCharCharCharCharChar1">
    <w:name w:val="热电厂正文 Char Char Char Char Char Char Char"/>
    <w:link w:val="CharCharCharChar6"/>
    <w:qFormat/>
    <w:locked/>
    <w:rPr>
      <w:rFonts w:asciiTheme="minorHAnsi" w:eastAsiaTheme="minorEastAsia" w:hAnsiTheme="minorHAnsi" w:cstheme="minorBidi"/>
      <w:sz w:val="24"/>
      <w:szCs w:val="22"/>
      <w:lang w:val="en-US" w:eastAsia="zh-CN" w:bidi="ar-SA"/>
    </w:rPr>
  </w:style>
  <w:style w:type="paragraph" w:customStyle="1" w:styleId="CharCharCharChar6">
    <w:name w:val="热电厂正文 Char Char Char Char"/>
    <w:basedOn w:val="af1"/>
    <w:link w:val="CharCharCharCharCharCharChar1"/>
    <w:qFormat/>
    <w:pPr>
      <w:widowControl/>
      <w:spacing w:line="440" w:lineRule="exact"/>
      <w:ind w:firstLineChars="200" w:firstLine="480"/>
      <w:jc w:val="left"/>
    </w:pPr>
    <w:rPr>
      <w:rFonts w:asciiTheme="minorHAnsi" w:eastAsiaTheme="minorEastAsia" w:hAnsiTheme="minorHAnsi"/>
      <w:sz w:val="24"/>
    </w:rPr>
  </w:style>
  <w:style w:type="character" w:customStyle="1" w:styleId="CharCharCharChar12">
    <w:name w:val="Char Char Char Char12"/>
    <w:qFormat/>
    <w:rPr>
      <w:rFonts w:ascii="宋体" w:eastAsia="宋体" w:hAnsi="Times New Roman" w:cs="Times New Roman"/>
      <w:kern w:val="2"/>
      <w:sz w:val="24"/>
      <w:lang w:val="en-US" w:eastAsia="zh-CN" w:bidi="ar-SA"/>
    </w:rPr>
  </w:style>
  <w:style w:type="character" w:customStyle="1" w:styleId="610">
    <w:name w:val="标题 6 字符1"/>
    <w:qFormat/>
    <w:rPr>
      <w:rFonts w:ascii="Arial" w:eastAsia="黑体" w:hAnsi="Arial" w:cs="Times New Roman"/>
      <w:b/>
      <w:sz w:val="24"/>
      <w:lang w:val="en-US" w:eastAsia="zh-CN" w:bidi="ar-SA"/>
    </w:rPr>
  </w:style>
  <w:style w:type="character" w:customStyle="1" w:styleId="td10">
    <w:name w:val="td10"/>
    <w:qFormat/>
    <w:rPr>
      <w:rFonts w:ascii="Arial Black" w:eastAsia="Times New Roman" w:hAnsi="Arial Black" w:cs="Times New Roman"/>
      <w:sz w:val="21"/>
      <w:lang w:val="en-US" w:eastAsia="en-US" w:bidi="ar-SA"/>
    </w:rPr>
  </w:style>
  <w:style w:type="character" w:customStyle="1" w:styleId="311">
    <w:name w:val="正文文本 3 字符1"/>
    <w:qFormat/>
    <w:rPr>
      <w:rFonts w:ascii="Times New Roman" w:eastAsia="宋体" w:hAnsi="Times New Roman" w:cs="Times New Roman"/>
      <w:sz w:val="16"/>
      <w:szCs w:val="16"/>
      <w:lang w:val="en-US" w:eastAsia="zh-CN" w:bidi="ar-SA"/>
    </w:rPr>
  </w:style>
  <w:style w:type="character" w:customStyle="1" w:styleId="richmediametanickname">
    <w:name w:val="rich_media_meta_nickname"/>
    <w:qFormat/>
    <w:rPr>
      <w:rFonts w:ascii="Times New Roman" w:eastAsia="宋体" w:hAnsi="Times New Roman" w:cs="Times New Roman"/>
      <w:vanish/>
      <w:lang w:val="en-US" w:eastAsia="zh-CN" w:bidi="ar-SA"/>
    </w:rPr>
  </w:style>
  <w:style w:type="character" w:customStyle="1" w:styleId="CharChar411">
    <w:name w:val="Char Char411"/>
    <w:qFormat/>
    <w:rPr>
      <w:rFonts w:ascii="黑体" w:eastAsia="黑体" w:hAnsi="Times New Roman" w:cs="Times New Roman" w:hint="eastAsia"/>
      <w:b/>
      <w:snapToGrid/>
      <w:color w:val="008000"/>
      <w:kern w:val="2"/>
      <w:sz w:val="24"/>
      <w:szCs w:val="24"/>
      <w:lang w:val="en-US" w:eastAsia="zh-CN" w:bidi="ar-SA"/>
    </w:rPr>
  </w:style>
  <w:style w:type="character" w:customStyle="1" w:styleId="-wdChar">
    <w:name w:val="表格内文字（居中小四）-wd Char"/>
    <w:link w:val="-wd"/>
    <w:qFormat/>
    <w:locked/>
    <w:rPr>
      <w:rFonts w:ascii="宋体" w:eastAsiaTheme="minorEastAsia" w:hAnsi="宋体" w:cstheme="minorBidi"/>
      <w:color w:val="000080"/>
      <w:sz w:val="24"/>
      <w:lang w:val="en-US" w:eastAsia="zh-CN" w:bidi="ar-SA"/>
    </w:rPr>
  </w:style>
  <w:style w:type="paragraph" w:customStyle="1" w:styleId="-wd">
    <w:name w:val="表格内文字（居中小四）-wd"/>
    <w:basedOn w:val="af1"/>
    <w:link w:val="-wdChar"/>
    <w:qFormat/>
    <w:pPr>
      <w:jc w:val="center"/>
    </w:pPr>
    <w:rPr>
      <w:rFonts w:ascii="宋体" w:eastAsiaTheme="minorEastAsia" w:hAnsi="宋体"/>
      <w:color w:val="000080"/>
      <w:sz w:val="24"/>
      <w:szCs w:val="24"/>
    </w:rPr>
  </w:style>
  <w:style w:type="character" w:customStyle="1" w:styleId="CharCharCharChar7">
    <w:name w:val="二章正文 Char Char Char Char"/>
    <w:link w:val="afffffffff5"/>
    <w:qFormat/>
    <w:rPr>
      <w:rFonts w:asciiTheme="minorHAnsi" w:eastAsia="Times New Roman" w:hAnsiTheme="minorHAnsi" w:cstheme="minorBidi"/>
      <w:kern w:val="2"/>
      <w:sz w:val="24"/>
      <w:szCs w:val="22"/>
      <w:lang w:val="en-US" w:eastAsia="zh-CN" w:bidi="ar-SA"/>
    </w:rPr>
  </w:style>
  <w:style w:type="paragraph" w:customStyle="1" w:styleId="afffffffff5">
    <w:name w:val="二章正文"/>
    <w:next w:val="afffffffff6"/>
    <w:link w:val="CharCharCharChar7"/>
    <w:qFormat/>
    <w:pPr>
      <w:widowControl w:val="0"/>
      <w:spacing w:before="156" w:line="360" w:lineRule="auto"/>
      <w:ind w:firstLine="482"/>
      <w:jc w:val="both"/>
    </w:pPr>
    <w:rPr>
      <w:rFonts w:eastAsia="Times New Roman"/>
      <w:kern w:val="2"/>
      <w:sz w:val="24"/>
      <w:szCs w:val="22"/>
    </w:rPr>
  </w:style>
  <w:style w:type="paragraph" w:customStyle="1" w:styleId="afffffffff6">
    <w:name w:val="文本"/>
    <w:basedOn w:val="af1"/>
    <w:next w:val="aff0"/>
    <w:qFormat/>
    <w:rPr>
      <w:rFonts w:ascii="宋体" w:hAnsi="Calibri" w:cs="Times New Roman"/>
      <w:sz w:val="24"/>
      <w:szCs w:val="20"/>
    </w:rPr>
  </w:style>
  <w:style w:type="character" w:customStyle="1" w:styleId="-Char">
    <w:name w:val="正文-欣欣 Char"/>
    <w:link w:val="-1"/>
    <w:qFormat/>
    <w:rPr>
      <w:rFonts w:ascii="Times New Roman" w:eastAsia="宋体" w:hAnsi="Times New Roman" w:cs="Times New Roman"/>
      <w:sz w:val="24"/>
      <w:szCs w:val="30"/>
      <w:lang w:val="en-US" w:eastAsia="zh-CN" w:bidi="ar-SA"/>
    </w:rPr>
  </w:style>
  <w:style w:type="character" w:customStyle="1" w:styleId="Char37">
    <w:name w:val="页脚 Char3"/>
    <w:qFormat/>
    <w:rPr>
      <w:rFonts w:ascii="Times New Roman" w:eastAsia="宋体" w:hAnsi="Times New Roman" w:cs="Times New Roman"/>
      <w:kern w:val="2"/>
      <w:sz w:val="18"/>
      <w:szCs w:val="18"/>
      <w:lang w:val="en-US" w:eastAsia="zh-CN" w:bidi="ar-SA"/>
    </w:rPr>
  </w:style>
  <w:style w:type="character" w:customStyle="1" w:styleId="11Char">
    <w:name w:val="++++1.1 Char"/>
    <w:link w:val="113"/>
    <w:qFormat/>
    <w:rPr>
      <w:rFonts w:asciiTheme="minorHAnsi" w:eastAsia="黑体" w:hAnsiTheme="minorHAnsi" w:cs="宋体"/>
      <w:b/>
      <w:color w:val="FF0000"/>
      <w:sz w:val="32"/>
      <w:szCs w:val="32"/>
      <w:lang w:val="en-US" w:eastAsia="zh-CN" w:bidi="ar-SA"/>
    </w:rPr>
  </w:style>
  <w:style w:type="paragraph" w:customStyle="1" w:styleId="113">
    <w:name w:val="++++1.1"/>
    <w:basedOn w:val="af1"/>
    <w:link w:val="11Char"/>
    <w:qFormat/>
    <w:pPr>
      <w:spacing w:beforeLines="50" w:afterLines="50" w:line="360" w:lineRule="auto"/>
      <w:outlineLvl w:val="1"/>
    </w:pPr>
    <w:rPr>
      <w:rFonts w:asciiTheme="minorHAnsi" w:eastAsia="黑体" w:hAnsiTheme="minorHAnsi" w:cs="宋体"/>
      <w:b/>
      <w:color w:val="FF0000"/>
      <w:sz w:val="32"/>
      <w:szCs w:val="32"/>
    </w:rPr>
  </w:style>
  <w:style w:type="character" w:customStyle="1" w:styleId="2CharChar4">
    <w:name w:val="样式2 Char Char"/>
    <w:link w:val="2fa"/>
    <w:qFormat/>
    <w:rPr>
      <w:rFonts w:asciiTheme="minorHAnsi" w:eastAsia="黑体" w:hAnsiTheme="minorHAnsi" w:cstheme="minorBidi"/>
      <w:sz w:val="28"/>
      <w:lang w:val="en-US" w:eastAsia="zh-CN" w:bidi="ar-SA"/>
    </w:rPr>
  </w:style>
  <w:style w:type="paragraph" w:customStyle="1" w:styleId="2fa">
    <w:name w:val="样式2"/>
    <w:basedOn w:val="af1"/>
    <w:link w:val="2CharChar4"/>
    <w:qFormat/>
    <w:pPr>
      <w:spacing w:line="640" w:lineRule="exact"/>
      <w:ind w:firstLine="578"/>
    </w:pPr>
    <w:rPr>
      <w:rFonts w:asciiTheme="minorHAnsi" w:eastAsia="黑体" w:hAnsiTheme="minorHAnsi"/>
      <w:sz w:val="28"/>
      <w:szCs w:val="24"/>
    </w:rPr>
  </w:style>
  <w:style w:type="character" w:customStyle="1" w:styleId="CharCharCharChar8">
    <w:name w:val="正文缩进（自定义） Char Char Char Char"/>
    <w:qFormat/>
    <w:rPr>
      <w:rFonts w:ascii="Century Gothic" w:eastAsia="宋体" w:hAnsi="Century Gothic" w:cs="Times New Roman"/>
      <w:sz w:val="24"/>
      <w:lang w:val="en-US" w:eastAsia="zh-CN" w:bidi="ar-SA"/>
    </w:rPr>
  </w:style>
  <w:style w:type="character" w:customStyle="1" w:styleId="CharCharChar7">
    <w:name w:val="表号 Char Char Char"/>
    <w:qFormat/>
    <w:rPr>
      <w:rFonts w:ascii="宋体" w:eastAsia="宋体" w:hAnsi="宋体" w:cs="Times New Roman" w:hint="eastAsia"/>
      <w:b/>
      <w:color w:val="008000"/>
      <w:kern w:val="2"/>
      <w:sz w:val="24"/>
      <w:szCs w:val="24"/>
      <w:lang w:val="en-US" w:eastAsia="zh-CN" w:bidi="ar-SA"/>
    </w:rPr>
  </w:style>
  <w:style w:type="character" w:customStyle="1" w:styleId="timestyle7">
    <w:name w:val="time style7"/>
    <w:qFormat/>
    <w:rPr>
      <w:rFonts w:ascii="Times New Roman" w:eastAsia="宋体" w:hAnsi="Times New Roman" w:cs="Times New Roman"/>
      <w:kern w:val="2"/>
      <w:sz w:val="24"/>
      <w:szCs w:val="24"/>
      <w:lang w:val="en-US" w:eastAsia="zh-CN" w:bidi="ar-SA"/>
    </w:rPr>
  </w:style>
  <w:style w:type="character" w:customStyle="1" w:styleId="Char1f">
    <w:name w:val="称呼 Char1"/>
    <w:qFormat/>
    <w:rPr>
      <w:rFonts w:ascii="Calibri" w:eastAsia="宋体" w:hAnsi="Calibri" w:cs="Times New Roman"/>
      <w:kern w:val="2"/>
      <w:sz w:val="24"/>
      <w:szCs w:val="24"/>
      <w:lang w:val="en-US" w:eastAsia="zh-CN" w:bidi="ar-SA"/>
    </w:rPr>
  </w:style>
  <w:style w:type="character" w:customStyle="1" w:styleId="Char111">
    <w:name w:val="节 Char11"/>
    <w:qFormat/>
    <w:rPr>
      <w:rFonts w:ascii="黑体" w:eastAsia="黑体" w:hAnsi="黑体" w:cs="Times New Roman" w:hint="eastAsia"/>
      <w:b/>
      <w:snapToGrid/>
      <w:color w:val="008000"/>
      <w:kern w:val="2"/>
      <w:sz w:val="28"/>
      <w:szCs w:val="24"/>
      <w:lang w:val="en-US" w:eastAsia="zh-CN" w:bidi="ar-SA"/>
    </w:rPr>
  </w:style>
  <w:style w:type="character" w:customStyle="1" w:styleId="CharCharChar8">
    <w:name w:val="报告 Char Char Char"/>
    <w:qFormat/>
    <w:rPr>
      <w:rFonts w:ascii="TimesNewRoman" w:eastAsia="宋体" w:hAnsi="TimesNewRoman" w:cs="Times New Roman"/>
      <w:sz w:val="24"/>
      <w:lang w:val="en-US" w:eastAsia="zh-CN" w:bidi="ar-SA"/>
    </w:rPr>
  </w:style>
  <w:style w:type="character" w:customStyle="1" w:styleId="afffd">
    <w:name w:val="副标题 字符"/>
    <w:link w:val="afffc"/>
    <w:qFormat/>
    <w:rPr>
      <w:rFonts w:ascii="Cambria" w:eastAsiaTheme="minorEastAsia" w:hAnsi="Cambria" w:cstheme="minorBidi"/>
      <w:b/>
      <w:kern w:val="28"/>
      <w:sz w:val="32"/>
      <w:szCs w:val="21"/>
      <w:lang w:val="en-US" w:eastAsia="zh-CN" w:bidi="ar-SA"/>
    </w:rPr>
  </w:style>
  <w:style w:type="character" w:customStyle="1" w:styleId="fontstyle11">
    <w:name w:val="fontstyle11"/>
    <w:qFormat/>
    <w:rPr>
      <w:rFonts w:ascii="TimesNewRomanPSMT" w:eastAsia="宋体" w:hAnsi="TimesNewRomanPSMT" w:cs="Times New Roman" w:hint="default"/>
      <w:color w:val="000000"/>
      <w:sz w:val="24"/>
      <w:szCs w:val="24"/>
      <w:lang w:val="en-US" w:eastAsia="zh-CN" w:bidi="ar-SA"/>
    </w:rPr>
  </w:style>
  <w:style w:type="character" w:customStyle="1" w:styleId="Charfffa">
    <w:name w:val="+++ 表头 Char"/>
    <w:link w:val="afffffffff7"/>
    <w:qFormat/>
    <w:rPr>
      <w:rFonts w:asciiTheme="minorHAnsi" w:eastAsiaTheme="minorEastAsia" w:hAnsiTheme="minorHAnsi" w:cs="宋体"/>
      <w:b/>
      <w:bCs/>
      <w:color w:val="0000FF"/>
      <w:sz w:val="24"/>
      <w:lang w:val="en-US" w:eastAsia="zh-CN" w:bidi="ar-SA"/>
    </w:rPr>
  </w:style>
  <w:style w:type="paragraph" w:customStyle="1" w:styleId="afffffffff7">
    <w:name w:val="+++ 表头"/>
    <w:basedOn w:val="af1"/>
    <w:link w:val="Charfffa"/>
    <w:qFormat/>
    <w:pPr>
      <w:spacing w:line="360" w:lineRule="auto"/>
      <w:jc w:val="center"/>
    </w:pPr>
    <w:rPr>
      <w:rFonts w:asciiTheme="minorHAnsi" w:eastAsiaTheme="minorEastAsia" w:hAnsiTheme="minorHAnsi" w:cs="宋体"/>
      <w:b/>
      <w:bCs/>
      <w:color w:val="0000FF"/>
      <w:sz w:val="24"/>
      <w:szCs w:val="24"/>
    </w:rPr>
  </w:style>
  <w:style w:type="character" w:customStyle="1" w:styleId="2222Char">
    <w:name w:val="样式 样式 样式 行距: 固定值 22 磅 + 首行缩进:  2 字符 + 首行缩进:  2 字符 Char"/>
    <w:qFormat/>
    <w:rPr>
      <w:rFonts w:ascii="华文中宋" w:eastAsia="华文中宋" w:hAnsi="华文中宋" w:cs="Times New Roman" w:hint="eastAsia"/>
      <w:b/>
      <w:color w:val="008000"/>
      <w:kern w:val="2"/>
      <w:sz w:val="24"/>
      <w:szCs w:val="24"/>
      <w:lang w:val="en-US" w:eastAsia="zh-CN" w:bidi="ar-SA"/>
    </w:rPr>
  </w:style>
  <w:style w:type="character" w:customStyle="1" w:styleId="Table">
    <w:name w:val="表格Table"/>
    <w:qFormat/>
    <w:rPr>
      <w:rFonts w:ascii="Times New Roman" w:eastAsia="宋体" w:hAnsi="Times New Roman" w:cs="Times New Roman"/>
      <w:color w:val="000000"/>
      <w:sz w:val="21"/>
      <w:lang w:val="en-US" w:eastAsia="zh-CN" w:bidi="ar-SA"/>
    </w:rPr>
  </w:style>
  <w:style w:type="character" w:customStyle="1" w:styleId="CharChar0">
    <w:name w:val="图表标题 Char Char"/>
    <w:link w:val="afffff9"/>
    <w:qFormat/>
    <w:locked/>
    <w:rPr>
      <w:rFonts w:ascii="TimesNewRoman" w:eastAsia="宋体" w:hAnsi="宋体" w:cs="Times New Roman"/>
      <w:b/>
      <w:bCs/>
      <w:color w:val="000000"/>
      <w:sz w:val="24"/>
      <w:lang w:val="en-US" w:eastAsia="zh-CN" w:bidi="ar-SA"/>
    </w:rPr>
  </w:style>
  <w:style w:type="paragraph" w:customStyle="1" w:styleId="afffffffff8">
    <w:name w:val="报告"/>
    <w:basedOn w:val="af1"/>
    <w:link w:val="Charfffb"/>
    <w:qFormat/>
    <w:pPr>
      <w:adjustRightInd w:val="0"/>
      <w:spacing w:line="360" w:lineRule="auto"/>
      <w:ind w:firstLine="505"/>
      <w:textAlignment w:val="center"/>
    </w:pPr>
    <w:rPr>
      <w:rFonts w:ascii="TimesNewRoman" w:hAnsi="TimesNewRoman"/>
      <w:sz w:val="24"/>
    </w:rPr>
  </w:style>
  <w:style w:type="character" w:customStyle="1" w:styleId="Charfffb">
    <w:name w:val="报告 Char"/>
    <w:link w:val="afffffffff8"/>
    <w:qFormat/>
    <w:rPr>
      <w:rFonts w:ascii="TimesNewRoman" w:eastAsia="宋体" w:hAnsi="TimesNewRoman" w:cstheme="minorBidi"/>
      <w:sz w:val="24"/>
      <w:szCs w:val="22"/>
      <w:lang w:val="en-US" w:eastAsia="zh-CN" w:bidi="ar-SA"/>
    </w:rPr>
  </w:style>
  <w:style w:type="character" w:customStyle="1" w:styleId="CharCharCharCharChar3">
    <w:name w:val="二章正文 Char Char Char Char Char"/>
    <w:link w:val="CharCharff5"/>
    <w:qFormat/>
    <w:rPr>
      <w:rFonts w:ascii="宋体" w:eastAsia="Times New Roman" w:hAnsiTheme="minorHAnsi" w:cstheme="minorBidi"/>
      <w:kern w:val="2"/>
      <w:sz w:val="24"/>
      <w:szCs w:val="22"/>
      <w:lang w:val="en-US" w:eastAsia="zh-CN" w:bidi="ar-SA"/>
    </w:rPr>
  </w:style>
  <w:style w:type="paragraph" w:customStyle="1" w:styleId="CharCharff5">
    <w:name w:val="二章正文 Char Char"/>
    <w:next w:val="TOC6"/>
    <w:link w:val="CharCharCharCharChar3"/>
    <w:qFormat/>
    <w:pPr>
      <w:widowControl w:val="0"/>
      <w:adjustRightInd w:val="0"/>
      <w:snapToGrid w:val="0"/>
      <w:spacing w:line="560" w:lineRule="exact"/>
      <w:ind w:firstLineChars="225" w:firstLine="225"/>
      <w:jc w:val="both"/>
    </w:pPr>
    <w:rPr>
      <w:rFonts w:ascii="宋体" w:eastAsia="Times New Roman"/>
      <w:kern w:val="2"/>
      <w:sz w:val="24"/>
      <w:szCs w:val="22"/>
    </w:rPr>
  </w:style>
  <w:style w:type="character" w:customStyle="1" w:styleId="di">
    <w:name w:val="di"/>
    <w:basedOn w:val="af3"/>
    <w:qFormat/>
    <w:rPr>
      <w:rFonts w:ascii="Times New Roman" w:eastAsia="宋体" w:hAnsi="Times New Roman" w:cs="Times New Roman"/>
      <w:lang w:val="en-US" w:eastAsia="zh-CN" w:bidi="ar-SA"/>
    </w:rPr>
  </w:style>
  <w:style w:type="character" w:customStyle="1" w:styleId="CharCharChar21">
    <w:name w:val="Char Char Char21"/>
    <w:qFormat/>
    <w:rPr>
      <w:rFonts w:ascii="Times New Roman" w:eastAsia="宋体" w:hAnsi="Times New Roman" w:cs="Times New Roman"/>
      <w:kern w:val="2"/>
      <w:sz w:val="21"/>
      <w:szCs w:val="24"/>
      <w:lang w:val="en-US" w:eastAsia="zh-CN" w:bidi="ar-SA"/>
    </w:rPr>
  </w:style>
  <w:style w:type="character" w:customStyle="1" w:styleId="1f9">
    <w:name w:val="未处理的提及1"/>
    <w:uiPriority w:val="99"/>
    <w:unhideWhenUsed/>
    <w:qFormat/>
    <w:rPr>
      <w:rFonts w:ascii="Times New Roman" w:eastAsia="宋体" w:hAnsi="Times New Roman" w:cs="Times New Roman"/>
      <w:color w:val="605E5C"/>
      <w:shd w:val="clear" w:color="auto" w:fill="E1DFDD"/>
      <w:lang w:val="en-US" w:eastAsia="zh-CN" w:bidi="ar-SA"/>
    </w:rPr>
  </w:style>
  <w:style w:type="character" w:customStyle="1" w:styleId="hangju1">
    <w:name w:val="hangju1"/>
    <w:basedOn w:val="af3"/>
    <w:qFormat/>
    <w:rPr>
      <w:rFonts w:ascii="Times New Roman" w:eastAsia="宋体" w:hAnsi="Times New Roman" w:cs="Times New Roman"/>
      <w:lang w:val="en-US" w:eastAsia="zh-CN" w:bidi="ar-SA"/>
    </w:rPr>
  </w:style>
  <w:style w:type="character" w:customStyle="1" w:styleId="hover29">
    <w:name w:val="hover29"/>
    <w:basedOn w:val="af3"/>
    <w:qFormat/>
    <w:rPr>
      <w:rFonts w:ascii="Times New Roman" w:eastAsia="宋体" w:hAnsi="Times New Roman" w:cs="Times New Roman"/>
      <w:lang w:val="en-US" w:eastAsia="zh-CN" w:bidi="ar-SA"/>
    </w:rPr>
  </w:style>
  <w:style w:type="character" w:customStyle="1" w:styleId="style441">
    <w:name w:val="style441"/>
    <w:qFormat/>
    <w:rPr>
      <w:rFonts w:ascii="Times New Roman" w:eastAsia="宋体" w:hAnsi="Times New Roman" w:cs="Times New Roman"/>
      <w:sz w:val="18"/>
      <w:szCs w:val="18"/>
      <w:lang w:val="en-US" w:eastAsia="zh-CN" w:bidi="ar-SA"/>
    </w:rPr>
  </w:style>
  <w:style w:type="character" w:customStyle="1" w:styleId="CharCharCharCharCharCharCharCharCharCharCharChar0">
    <w:name w:val="报告书正文 Char Char Char Char Char Char Char Char Char Char Char Char"/>
    <w:qFormat/>
    <w:rPr>
      <w:rFonts w:ascii="Times New Roman" w:eastAsia="宋体" w:hAnsi="Times New Roman" w:cs="Times New Roman"/>
      <w:color w:val="000000"/>
      <w:sz w:val="24"/>
      <w:lang w:val="en-US" w:eastAsia="zh-CN" w:bidi="ar-SA"/>
    </w:rPr>
  </w:style>
  <w:style w:type="character" w:customStyle="1" w:styleId="01Char1">
    <w:name w:val="正文01 Char1"/>
    <w:qFormat/>
    <w:rPr>
      <w:rFonts w:ascii="Arial" w:eastAsia="宋体" w:hAnsi="Arial" w:cs="Times New Roman"/>
      <w:kern w:val="2"/>
      <w:sz w:val="24"/>
      <w:szCs w:val="24"/>
      <w:lang w:val="en-US" w:eastAsia="zh-CN" w:bidi="ar-SA"/>
    </w:rPr>
  </w:style>
  <w:style w:type="character" w:customStyle="1" w:styleId="p">
    <w:name w:val="p"/>
    <w:qFormat/>
    <w:rPr>
      <w:rFonts w:ascii="Times New Roman" w:eastAsia="宋体" w:hAnsi="Times New Roman" w:cs="Times New Roman"/>
      <w:kern w:val="2"/>
      <w:sz w:val="24"/>
      <w:szCs w:val="24"/>
      <w:lang w:val="en-US" w:eastAsia="zh-CN" w:bidi="ar-SA"/>
    </w:rPr>
  </w:style>
  <w:style w:type="character" w:customStyle="1" w:styleId="style81">
    <w:name w:val="style81"/>
    <w:qFormat/>
    <w:rPr>
      <w:rFonts w:ascii="Verdana" w:eastAsia="楷体" w:hAnsi="Verdana" w:cs="Times New Roman"/>
      <w:kern w:val="2"/>
      <w:sz w:val="24"/>
      <w:lang w:val="en-US" w:eastAsia="zh-CN" w:bidi="ar-SA"/>
    </w:rPr>
  </w:style>
  <w:style w:type="character" w:customStyle="1" w:styleId="CharCharCharCharCharChar0">
    <w:name w:val="表文 Char Char Char Char Char Char"/>
    <w:qFormat/>
    <w:locked/>
    <w:rPr>
      <w:rFonts w:ascii="Times New Roman" w:eastAsia="宋体" w:hAnsi="Times New Roman" w:cs="Times New Roman"/>
      <w:kern w:val="2"/>
      <w:sz w:val="18"/>
      <w:lang w:val="en-US" w:eastAsia="zh-CN" w:bidi="ar-SA"/>
    </w:rPr>
  </w:style>
  <w:style w:type="character" w:customStyle="1" w:styleId="CharCharff6">
    <w:name w:val="泸县焦化正文 Char Char"/>
    <w:link w:val="afffffffff9"/>
    <w:qFormat/>
    <w:locked/>
    <w:rPr>
      <w:rFonts w:ascii="Times New Roman" w:eastAsiaTheme="minorEastAsia" w:hAnsi="Times New Roman" w:cstheme="minorBidi"/>
      <w:color w:val="0000FF"/>
      <w:sz w:val="24"/>
      <w:szCs w:val="22"/>
      <w:lang w:val="en-US" w:eastAsia="zh-CN" w:bidi="ar-SA"/>
    </w:rPr>
  </w:style>
  <w:style w:type="paragraph" w:customStyle="1" w:styleId="afffffffff9">
    <w:name w:val="泸县焦化正文"/>
    <w:basedOn w:val="af1"/>
    <w:next w:val="af1"/>
    <w:link w:val="CharCharff6"/>
    <w:qFormat/>
    <w:pPr>
      <w:adjustRightInd w:val="0"/>
      <w:snapToGrid w:val="0"/>
      <w:spacing w:line="360" w:lineRule="auto"/>
      <w:ind w:firstLineChars="200" w:firstLine="200"/>
    </w:pPr>
    <w:rPr>
      <w:rFonts w:ascii="Calibri" w:eastAsiaTheme="minorEastAsia" w:hAnsi="Calibri"/>
      <w:color w:val="0000FF"/>
      <w:sz w:val="24"/>
    </w:rPr>
  </w:style>
  <w:style w:type="character" w:customStyle="1" w:styleId="CharChar32">
    <w:name w:val="Char Char32"/>
    <w:qFormat/>
    <w:locked/>
    <w:rPr>
      <w:rFonts w:ascii="Arial" w:eastAsia="黑体" w:hAnsi="Arial" w:cs="Times New Roman"/>
      <w:kern w:val="2"/>
      <w:sz w:val="21"/>
      <w:lang w:val="en-US" w:eastAsia="zh-CN" w:bidi="ar-SA"/>
    </w:rPr>
  </w:style>
  <w:style w:type="character" w:customStyle="1" w:styleId="4Char2">
    <w:name w:val="标题 4 Char2"/>
    <w:qFormat/>
    <w:rPr>
      <w:rFonts w:ascii="Times New Roman" w:eastAsia="宋体" w:hAnsi="Times New Roman" w:cs="Times New Roman"/>
      <w:bCs/>
      <w:kern w:val="2"/>
      <w:sz w:val="24"/>
      <w:szCs w:val="30"/>
      <w:lang w:val="en-US" w:eastAsia="zh-CN" w:bidi="ar-SA"/>
    </w:rPr>
  </w:style>
  <w:style w:type="character" w:customStyle="1" w:styleId="pt91">
    <w:name w:val="pt91"/>
    <w:qFormat/>
    <w:rPr>
      <w:rFonts w:ascii="Times New Roman" w:eastAsia="宋体" w:hAnsi="Times New Roman" w:cs="Times New Roman"/>
      <w:sz w:val="18"/>
      <w:lang w:val="en-US" w:eastAsia="zh-CN" w:bidi="ar-SA"/>
    </w:rPr>
  </w:style>
  <w:style w:type="character" w:customStyle="1" w:styleId="1fa">
    <w:name w:val="批注主题 字符1"/>
    <w:qFormat/>
    <w:rPr>
      <w:rFonts w:ascii="Times New Roman" w:eastAsia="宋体" w:hAnsi="Times New Roman" w:cs="Times New Roman"/>
      <w:kern w:val="2"/>
      <w:sz w:val="21"/>
      <w:lang w:val="en-US" w:eastAsia="zh-CN" w:bidi="ar-SA"/>
    </w:rPr>
  </w:style>
  <w:style w:type="character" w:customStyle="1" w:styleId="2Char22">
    <w:name w:val="正文首行缩进 2 Char2"/>
    <w:qFormat/>
    <w:rPr>
      <w:rFonts w:ascii="Times New Roman" w:eastAsia="宋体" w:hAnsi="Times New Roman" w:cs="Times New Roman"/>
      <w:kern w:val="2"/>
      <w:sz w:val="21"/>
      <w:szCs w:val="22"/>
      <w:lang w:val="en-US" w:eastAsia="zh-CN" w:bidi="ar-SA"/>
    </w:rPr>
  </w:style>
  <w:style w:type="character" w:customStyle="1" w:styleId="CharCharCharCharCharChar1">
    <w:name w:val="表格内容 Char Char Char Char Char Char"/>
    <w:qFormat/>
    <w:rPr>
      <w:rFonts w:ascii="宋体" w:eastAsia="宋体" w:hAnsi="Times New Roman" w:cs="Times New Roman"/>
      <w:snapToGrid/>
      <w:sz w:val="24"/>
      <w:lang w:val="en-US" w:eastAsia="zh-CN" w:bidi="ar-SA"/>
    </w:rPr>
  </w:style>
  <w:style w:type="character" w:customStyle="1" w:styleId="2CharCharChar">
    <w:name w:val="正文文本 2 Char Char Char"/>
    <w:qFormat/>
    <w:rPr>
      <w:rFonts w:ascii="Times New Roman" w:eastAsia="宋体" w:hAnsi="Times New Roman" w:cs="Times New Roman"/>
      <w:kern w:val="2"/>
      <w:sz w:val="21"/>
      <w:lang w:val="en-US" w:eastAsia="zh-CN" w:bidi="ar-SA"/>
    </w:rPr>
  </w:style>
  <w:style w:type="character" w:customStyle="1" w:styleId="p21">
    <w:name w:val="p21"/>
    <w:qFormat/>
    <w:rPr>
      <w:rFonts w:ascii="Tahoma" w:eastAsia="Times New Roman" w:hAnsi="Tahoma" w:cs="Times New Roman"/>
      <w:color w:val="0000A0"/>
      <w:sz w:val="21"/>
      <w:lang w:val="en-US" w:eastAsia="en-US" w:bidi="ar-SA"/>
    </w:rPr>
  </w:style>
  <w:style w:type="character" w:customStyle="1" w:styleId="2Char8">
    <w:name w:val="正文2 Char"/>
    <w:qFormat/>
    <w:rPr>
      <w:rFonts w:ascii="Times New Roman" w:eastAsia="宋体" w:hAnsi="Times New Roman" w:cs="Times New Roman"/>
      <w:kern w:val="2"/>
      <w:sz w:val="24"/>
      <w:szCs w:val="24"/>
      <w:lang w:val="en-US" w:eastAsia="zh-CN" w:bidi="ar-SA"/>
    </w:rPr>
  </w:style>
  <w:style w:type="character" w:customStyle="1" w:styleId="CharChar12">
    <w:name w:val="Char Char12"/>
    <w:qFormat/>
    <w:locked/>
    <w:rPr>
      <w:rFonts w:ascii="Times New Roman" w:eastAsia="宋体" w:hAnsi="Times New Roman" w:cs="Times New Roman"/>
      <w:kern w:val="2"/>
      <w:sz w:val="24"/>
      <w:szCs w:val="21"/>
      <w:lang w:val="en-US" w:eastAsia="zh-CN" w:bidi="ar-SA"/>
    </w:rPr>
  </w:style>
  <w:style w:type="character" w:customStyle="1" w:styleId="3015Char">
    <w:name w:val="样式 样式 小四 蓝色 行距: 固定值 30 磅 + 行距: 1.5 倍行距 Char"/>
    <w:qFormat/>
    <w:rPr>
      <w:rFonts w:ascii="Times New Roman" w:eastAsia="宋体" w:hAnsi="Times New Roman" w:cs="Times New Roman"/>
      <w:color w:val="0000FF"/>
      <w:sz w:val="24"/>
      <w:lang w:val="en-US" w:eastAsia="zh-CN" w:bidi="ar-SA"/>
    </w:rPr>
  </w:style>
  <w:style w:type="character" w:customStyle="1" w:styleId="CharChar23">
    <w:name w:val="Char Char23"/>
    <w:qFormat/>
    <w:locked/>
    <w:rPr>
      <w:rFonts w:ascii="Times New Roman" w:eastAsia="宋体" w:hAnsi="Times New Roman" w:cs="Times New Roman"/>
      <w:kern w:val="2"/>
      <w:sz w:val="24"/>
      <w:szCs w:val="21"/>
      <w:lang w:val="en-US" w:eastAsia="zh-CN" w:bidi="ar-SA"/>
    </w:rPr>
  </w:style>
  <w:style w:type="character" w:customStyle="1" w:styleId="111Char">
    <w:name w:val="条标题1.1.1 Char"/>
    <w:qFormat/>
    <w:rPr>
      <w:rFonts w:ascii="Times New Roman" w:eastAsia="华文中宋" w:hAnsi="Times New Roman" w:cs="Times New Roman"/>
      <w:b/>
      <w:bCs/>
      <w:kern w:val="2"/>
      <w:sz w:val="28"/>
      <w:szCs w:val="28"/>
      <w:lang w:val="en-US" w:eastAsia="zh-CN" w:bidi="ar-SA"/>
    </w:rPr>
  </w:style>
  <w:style w:type="character" w:customStyle="1" w:styleId="Char1f0">
    <w:name w:val="尾注文本 Char1"/>
    <w:qFormat/>
    <w:rPr>
      <w:rFonts w:ascii="Calibri" w:eastAsia="宋体" w:hAnsi="Calibri" w:cs="Times New Roman"/>
      <w:sz w:val="24"/>
      <w:lang w:val="en-US" w:eastAsia="zh-CN" w:bidi="ar-SA"/>
    </w:rPr>
  </w:style>
  <w:style w:type="character" w:customStyle="1" w:styleId="aff6">
    <w:name w:val="文档结构图 字符"/>
    <w:link w:val="aff5"/>
    <w:qFormat/>
    <w:rPr>
      <w:rFonts w:asciiTheme="minorHAnsi" w:eastAsia="宋体" w:hAnsiTheme="minorHAnsi" w:cstheme="minorBidi"/>
      <w:lang w:val="en-US" w:eastAsia="zh-CN" w:bidi="ar-SA"/>
    </w:rPr>
  </w:style>
  <w:style w:type="character" w:customStyle="1" w:styleId="22Char">
    <w:name w:val="样式 样式 首行缩进:  2 字符 + 首行缩进:  2 字符 Char"/>
    <w:link w:val="222"/>
    <w:qFormat/>
    <w:rPr>
      <w:rFonts w:asciiTheme="minorHAnsi" w:eastAsiaTheme="minorEastAsia" w:hAnsi="宋体" w:cstheme="minorBidi"/>
      <w:sz w:val="24"/>
      <w:lang w:val="en-US" w:eastAsia="zh-CN" w:bidi="ar-SA"/>
    </w:rPr>
  </w:style>
  <w:style w:type="paragraph" w:customStyle="1" w:styleId="222">
    <w:name w:val="样式 样式 首行缩进:  2 字符 + 首行缩进:  2 字符"/>
    <w:basedOn w:val="af1"/>
    <w:link w:val="22Char"/>
    <w:qFormat/>
    <w:pPr>
      <w:spacing w:line="360" w:lineRule="auto"/>
      <w:ind w:firstLineChars="200" w:firstLine="480"/>
    </w:pPr>
    <w:rPr>
      <w:rFonts w:asciiTheme="minorHAnsi" w:eastAsiaTheme="minorEastAsia" w:hAnsi="宋体"/>
      <w:sz w:val="24"/>
      <w:szCs w:val="24"/>
    </w:rPr>
  </w:style>
  <w:style w:type="character" w:customStyle="1" w:styleId="Charfffc">
    <w:name w:val="常用小四 Char"/>
    <w:qFormat/>
    <w:rPr>
      <w:rFonts w:ascii="宋体" w:eastAsia="宋体" w:hAnsi="宋体" w:cs="Times New Roman"/>
      <w:sz w:val="24"/>
      <w:lang w:val="en-US" w:eastAsia="zh-CN" w:bidi="ar-SA"/>
    </w:rPr>
  </w:style>
  <w:style w:type="character" w:customStyle="1" w:styleId="CharCharChar20">
    <w:name w:val="普通文字 Char Char Char2"/>
    <w:qFormat/>
    <w:rPr>
      <w:rFonts w:ascii="Times New Roman" w:eastAsia="宋体" w:hAnsi="Times New Roman" w:cs="Times New Roman"/>
      <w:spacing w:val="8"/>
      <w:kern w:val="2"/>
      <w:sz w:val="24"/>
      <w:lang w:val="en-US" w:eastAsia="zh-CN" w:bidi="ar-SA"/>
    </w:rPr>
  </w:style>
  <w:style w:type="character" w:customStyle="1" w:styleId="A40">
    <w:name w:val="A4"/>
    <w:qFormat/>
    <w:rPr>
      <w:rFonts w:ascii="Symusic" w:eastAsia="Times New Roman" w:hAnsi="Times New Roman" w:cs="Times New Roman"/>
      <w:color w:val="000000"/>
      <w:sz w:val="28"/>
      <w:lang w:val="en-US" w:eastAsia="zh-CN" w:bidi="ar-SA"/>
    </w:rPr>
  </w:style>
  <w:style w:type="character" w:customStyle="1" w:styleId="affff9">
    <w:name w:val="批注主题 字符"/>
    <w:link w:val="affff8"/>
    <w:qFormat/>
    <w:rPr>
      <w:rFonts w:ascii="Times New Roman" w:eastAsia="宋体" w:hAnsi="Times New Roman" w:cs="Times New Roman"/>
      <w:b/>
      <w:bCs/>
      <w:szCs w:val="24"/>
      <w:lang w:val="en-US" w:eastAsia="zh-CN" w:bidi="ar-SA"/>
    </w:rPr>
  </w:style>
  <w:style w:type="character" w:customStyle="1" w:styleId="style9style60">
    <w:name w:val="style9 style60"/>
    <w:qFormat/>
    <w:rPr>
      <w:rFonts w:ascii="Times New Roman" w:eastAsia="宋体" w:hAnsi="Times New Roman" w:cs="Times New Roman"/>
      <w:kern w:val="2"/>
      <w:sz w:val="24"/>
      <w:szCs w:val="24"/>
      <w:lang w:val="en-US" w:eastAsia="zh-CN" w:bidi="ar-SA"/>
    </w:rPr>
  </w:style>
  <w:style w:type="character" w:customStyle="1" w:styleId="3CharChar10">
    <w:name w:val="正文文字缩进 3 Char Char1"/>
    <w:qFormat/>
    <w:rPr>
      <w:rFonts w:ascii="Times New Roman" w:eastAsia="宋体" w:hAnsi="Times New Roman" w:cs="Times New Roman"/>
      <w:kern w:val="2"/>
      <w:sz w:val="24"/>
      <w:szCs w:val="24"/>
      <w:lang w:val="en-US" w:eastAsia="zh-CN" w:bidi="ar-SA"/>
    </w:rPr>
  </w:style>
  <w:style w:type="character" w:customStyle="1" w:styleId="t111">
    <w:name w:val="t111"/>
    <w:qFormat/>
    <w:rPr>
      <w:rFonts w:ascii="Verdana" w:eastAsia="Times New Roman" w:hAnsi="Verdana" w:cs="Times New Roman"/>
      <w:kern w:val="0"/>
      <w:sz w:val="24"/>
      <w:lang w:val="en-US" w:eastAsia="en-US" w:bidi="ar-SA"/>
    </w:rPr>
  </w:style>
  <w:style w:type="character" w:customStyle="1" w:styleId="CommentTextChar">
    <w:name w:val="Comment Text Char"/>
    <w:qFormat/>
    <w:locked/>
    <w:rPr>
      <w:rFonts w:ascii="Times New Roman" w:eastAsia="宋体" w:hAnsi="Times New Roman" w:cs="Times New Roman"/>
      <w:kern w:val="2"/>
      <w:sz w:val="24"/>
      <w:szCs w:val="24"/>
      <w:lang w:val="en-US" w:eastAsia="zh-CN" w:bidi="ar-SA"/>
    </w:rPr>
  </w:style>
  <w:style w:type="character" w:customStyle="1" w:styleId="CharCharff7">
    <w:name w:val="表格标题 Char Char"/>
    <w:link w:val="afffffffffa"/>
    <w:qFormat/>
    <w:rPr>
      <w:rFonts w:asciiTheme="minorHAnsi" w:eastAsia="宋体" w:hAnsiTheme="minorHAnsi" w:cs="Times New Roman"/>
      <w:b/>
      <w:lang w:val="zh-CN" w:eastAsia="zh-CN" w:bidi="ar-SA"/>
    </w:rPr>
  </w:style>
  <w:style w:type="paragraph" w:customStyle="1" w:styleId="afffffffffa">
    <w:name w:val="表格标题"/>
    <w:basedOn w:val="aff2"/>
    <w:link w:val="CharCharff7"/>
    <w:qFormat/>
    <w:pPr>
      <w:overflowPunct w:val="0"/>
      <w:autoSpaceDE w:val="0"/>
      <w:autoSpaceDN w:val="0"/>
      <w:adjustRightInd w:val="0"/>
      <w:snapToGrid w:val="0"/>
      <w:jc w:val="center"/>
    </w:pPr>
    <w:rPr>
      <w:rFonts w:asciiTheme="minorHAnsi" w:hAnsiTheme="minorHAnsi"/>
      <w:b/>
      <w:lang w:val="zh-CN"/>
    </w:rPr>
  </w:style>
  <w:style w:type="character" w:customStyle="1" w:styleId="Char42">
    <w:name w:val="正文（首行缩进两字） Char4"/>
    <w:link w:val="CharCharChar9"/>
    <w:qFormat/>
    <w:rPr>
      <w:rFonts w:asciiTheme="minorHAnsi" w:eastAsia="宋体" w:hAnsiTheme="minorHAnsi" w:cstheme="minorBidi"/>
      <w:szCs w:val="22"/>
      <w:lang w:val="en-US" w:eastAsia="zh-CN" w:bidi="ar-SA"/>
    </w:rPr>
  </w:style>
  <w:style w:type="paragraph" w:customStyle="1" w:styleId="CharCharChar9">
    <w:name w:val="表格标题 Char Char Char"/>
    <w:basedOn w:val="af1"/>
    <w:link w:val="Char42"/>
    <w:qFormat/>
    <w:pPr>
      <w:adjustRightInd w:val="0"/>
      <w:snapToGrid w:val="0"/>
      <w:spacing w:line="360" w:lineRule="auto"/>
      <w:jc w:val="center"/>
    </w:pPr>
    <w:rPr>
      <w:rFonts w:asciiTheme="minorHAnsi" w:hAnsiTheme="minorHAnsi"/>
    </w:rPr>
  </w:style>
  <w:style w:type="character" w:customStyle="1" w:styleId="BodyText3Char">
    <w:name w:val="Body Text 3 Char"/>
    <w:qFormat/>
    <w:locked/>
    <w:rPr>
      <w:rFonts w:ascii="Times New Roman" w:eastAsia="宋体" w:hAnsi="Times New Roman" w:cs="Times New Roman"/>
      <w:kern w:val="2"/>
      <w:sz w:val="16"/>
      <w:lang w:val="en-US" w:eastAsia="zh-CN" w:bidi="ar-SA"/>
    </w:rPr>
  </w:style>
  <w:style w:type="character" w:customStyle="1" w:styleId="dectext1">
    <w:name w:val="dectext1"/>
    <w:qFormat/>
    <w:rPr>
      <w:rFonts w:ascii="宋体" w:eastAsia="宋体" w:hAnsi="宋体" w:cs="Times New Roman" w:hint="eastAsia"/>
      <w:color w:val="333333"/>
      <w:sz w:val="21"/>
      <w:szCs w:val="21"/>
      <w:u w:val="none"/>
      <w:lang w:val="en-US" w:eastAsia="zh-CN" w:bidi="ar-SA"/>
    </w:rPr>
  </w:style>
  <w:style w:type="character" w:customStyle="1" w:styleId="CharCharff8">
    <w:name w:val="正文样式 Char Char"/>
    <w:link w:val="afffffffffb"/>
    <w:qFormat/>
    <w:locked/>
    <w:rPr>
      <w:rFonts w:ascii="宋体" w:eastAsiaTheme="minorEastAsia" w:hAnsiTheme="minorHAnsi" w:cstheme="minorBidi"/>
      <w:color w:val="000000"/>
      <w:sz w:val="24"/>
      <w:szCs w:val="22"/>
      <w:lang w:val="en-US" w:eastAsia="zh-CN" w:bidi="ar-SA"/>
    </w:rPr>
  </w:style>
  <w:style w:type="paragraph" w:customStyle="1" w:styleId="afffffffffb">
    <w:name w:val="正文样式"/>
    <w:basedOn w:val="af1"/>
    <w:link w:val="CharCharff8"/>
    <w:qFormat/>
    <w:pPr>
      <w:widowControl/>
      <w:spacing w:line="360" w:lineRule="auto"/>
      <w:ind w:firstLineChars="200" w:firstLine="480"/>
      <w:jc w:val="left"/>
    </w:pPr>
    <w:rPr>
      <w:rFonts w:ascii="宋体" w:eastAsiaTheme="minorEastAsia" w:hAnsiTheme="minorHAnsi"/>
      <w:color w:val="000000"/>
      <w:sz w:val="24"/>
    </w:rPr>
  </w:style>
  <w:style w:type="character" w:customStyle="1" w:styleId="3Char4">
    <w:name w:val="标题 3 Char4"/>
    <w:semiHidden/>
    <w:qFormat/>
    <w:rPr>
      <w:rFonts w:ascii="Times New Roman" w:eastAsia="宋体" w:hAnsi="Times New Roman" w:cs="Times New Roman"/>
      <w:kern w:val="2"/>
      <w:sz w:val="28"/>
      <w:szCs w:val="24"/>
      <w:lang w:val="en-US" w:eastAsia="zh-CN" w:bidi="ar-SA"/>
    </w:rPr>
  </w:style>
  <w:style w:type="character" w:customStyle="1" w:styleId="CharCharChara">
    <w:name w:val="【正文】 Char Char Char"/>
    <w:qFormat/>
    <w:rPr>
      <w:rFonts w:ascii="Times New Roman" w:eastAsia="宋体" w:hAnsi="Times New Roman" w:cs="宋体"/>
      <w:kern w:val="2"/>
      <w:sz w:val="24"/>
      <w:lang w:val="en-US" w:eastAsia="zh-CN" w:bidi="ar-SA"/>
    </w:rPr>
  </w:style>
  <w:style w:type="character" w:customStyle="1" w:styleId="1Charb">
    <w:name w:val="表头1 Char"/>
    <w:qFormat/>
    <w:rPr>
      <w:rFonts w:ascii="Times New Roman" w:eastAsia="宋体" w:hAnsi="Times New Roman" w:cs="Times New Roman"/>
      <w:sz w:val="21"/>
      <w:szCs w:val="28"/>
      <w:lang w:val="en-US" w:eastAsia="zh-CN" w:bidi="ar-SA"/>
    </w:rPr>
  </w:style>
  <w:style w:type="character" w:customStyle="1" w:styleId="CharCharCharCharCharChar2">
    <w:name w:val="表格标题 Char Char Char Char Char Char"/>
    <w:qFormat/>
    <w:rPr>
      <w:rFonts w:ascii="Times New Roman" w:eastAsia="黑体" w:hAnsi="Times New Roman" w:cs="Times New Roman"/>
      <w:kern w:val="2"/>
      <w:sz w:val="24"/>
      <w:lang w:val="en-US" w:eastAsia="zh-CN" w:bidi="ar-SA"/>
    </w:rPr>
  </w:style>
  <w:style w:type="character" w:customStyle="1" w:styleId="CharCharCharChar9">
    <w:name w:val="表格文字 Char Char Char Char"/>
    <w:qFormat/>
    <w:rPr>
      <w:rFonts w:ascii="Times New Roman" w:eastAsia="宋体" w:hAnsi="Times New Roman" w:cs="Times New Roman"/>
      <w:kern w:val="2"/>
      <w:sz w:val="21"/>
      <w:lang w:val="en-US" w:eastAsia="zh-CN" w:bidi="ar-SA"/>
    </w:rPr>
  </w:style>
  <w:style w:type="character" w:customStyle="1" w:styleId="xybCharCharCharCharCharChar">
    <w:name w:val="xyb自建表格名称 Char Char Char Char Char Char"/>
    <w:qFormat/>
    <w:rPr>
      <w:rFonts w:ascii="宋体" w:eastAsia="宋体" w:hAnsi="Times New Roman" w:cs="Times New Roman"/>
      <w:kern w:val="2"/>
      <w:sz w:val="24"/>
      <w:lang w:val="en-US" w:eastAsia="zh-CN" w:bidi="ar-SA"/>
    </w:rPr>
  </w:style>
  <w:style w:type="character" w:customStyle="1" w:styleId="Constantia">
    <w:name w:val="表格标题 + Constantia"/>
    <w:qFormat/>
    <w:rPr>
      <w:rFonts w:ascii="Constantia" w:eastAsia="宋体" w:hAnsi="Constantia" w:cs="Constantia"/>
      <w:b/>
      <w:bCs/>
      <w:kern w:val="2"/>
      <w:sz w:val="22"/>
      <w:szCs w:val="22"/>
      <w:u w:val="none"/>
      <w:lang w:val="en-US" w:eastAsia="en-US" w:bidi="ar-SA"/>
    </w:rPr>
  </w:style>
  <w:style w:type="character" w:customStyle="1" w:styleId="CharCharCharCharChar4">
    <w:name w:val="自定义正文 Char Char Char Char Char"/>
    <w:qFormat/>
    <w:rPr>
      <w:rFonts w:ascii="Times New Roman" w:eastAsia="宋体" w:hAnsi="Times New Roman" w:cs="Times New Roman"/>
      <w:position w:val="-28"/>
      <w:sz w:val="28"/>
      <w:lang w:val="en-US" w:eastAsia="zh-CN" w:bidi="ar-SA"/>
    </w:rPr>
  </w:style>
  <w:style w:type="character" w:customStyle="1" w:styleId="font21">
    <w:name w:val="font21"/>
    <w:qFormat/>
    <w:rPr>
      <w:rFonts w:ascii="Calibri" w:eastAsia="宋体" w:hAnsi="Calibri" w:cs="Calibri" w:hint="default"/>
      <w:color w:val="000000"/>
      <w:sz w:val="21"/>
      <w:szCs w:val="21"/>
      <w:u w:val="none"/>
      <w:vertAlign w:val="superscript"/>
      <w:lang w:val="en-US" w:eastAsia="zh-CN" w:bidi="ar-SA"/>
    </w:rPr>
  </w:style>
  <w:style w:type="character" w:customStyle="1" w:styleId="Char23">
    <w:name w:val="纯文本 Char2"/>
    <w:qFormat/>
    <w:rPr>
      <w:rFonts w:ascii="宋体" w:eastAsia="宋体" w:hAnsi="Courier New" w:cs="Courier New"/>
      <w:kern w:val="2"/>
      <w:sz w:val="21"/>
      <w:szCs w:val="21"/>
      <w:lang w:val="en-US" w:eastAsia="zh-CN" w:bidi="ar-SA"/>
    </w:rPr>
  </w:style>
  <w:style w:type="character" w:customStyle="1" w:styleId="-CharCharChar">
    <w:name w:val="可研-正文首行缩进 Char Char Char"/>
    <w:qFormat/>
    <w:rPr>
      <w:rFonts w:ascii="Times New Roman" w:eastAsia="宋体" w:hAnsi="Times New Roman" w:cs="Times New Roman"/>
      <w:spacing w:val="8"/>
      <w:kern w:val="24"/>
      <w:sz w:val="24"/>
      <w:lang w:val="en-US" w:eastAsia="zh-CN" w:bidi="ar-SA"/>
    </w:rPr>
  </w:style>
  <w:style w:type="character" w:customStyle="1" w:styleId="Charfffd">
    <w:name w:val="信息标题 Char"/>
    <w:qFormat/>
    <w:locked/>
    <w:rPr>
      <w:rFonts w:ascii="Courier New" w:eastAsia="宋体" w:hAnsi="Courier New" w:cs="Times New Roman"/>
      <w:sz w:val="24"/>
      <w:shd w:val="pct20" w:color="auto" w:fill="auto"/>
      <w:lang w:val="en-US" w:eastAsia="zh-CN" w:bidi="ar-SA"/>
    </w:rPr>
  </w:style>
  <w:style w:type="character" w:customStyle="1" w:styleId="1111111Char">
    <w:name w:val="1111111 Char"/>
    <w:link w:val="1111111"/>
    <w:qFormat/>
    <w:rPr>
      <w:rFonts w:asciiTheme="minorHAnsi" w:eastAsiaTheme="minorEastAsia" w:hAnsiTheme="minorHAnsi" w:cs="Arial Unicode MS"/>
      <w:color w:val="00B050"/>
      <w:sz w:val="24"/>
      <w:lang w:val="en-US" w:eastAsia="zh-CN" w:bidi="ar-SA"/>
    </w:rPr>
  </w:style>
  <w:style w:type="paragraph" w:customStyle="1" w:styleId="1111111">
    <w:name w:val="1111111"/>
    <w:basedOn w:val="af1"/>
    <w:link w:val="1111111Char"/>
    <w:qFormat/>
    <w:pPr>
      <w:adjustRightInd w:val="0"/>
      <w:snapToGrid w:val="0"/>
      <w:spacing w:line="360" w:lineRule="auto"/>
      <w:ind w:firstLineChars="200" w:firstLine="480"/>
      <w:jc w:val="left"/>
    </w:pPr>
    <w:rPr>
      <w:rFonts w:asciiTheme="minorHAnsi" w:eastAsiaTheme="minorEastAsia" w:hAnsiTheme="minorHAnsi" w:cs="Arial Unicode MS"/>
      <w:color w:val="00B050"/>
      <w:sz w:val="24"/>
      <w:szCs w:val="24"/>
    </w:rPr>
  </w:style>
  <w:style w:type="character" w:customStyle="1" w:styleId="A30">
    <w:name w:val="A3"/>
    <w:qFormat/>
    <w:rPr>
      <w:rFonts w:ascii="华文行楷" w:eastAsia="华文行楷" w:hAnsi="Times New Roman" w:cs="Times New Roman"/>
      <w:color w:val="000000"/>
      <w:sz w:val="36"/>
      <w:lang w:val="en-US" w:eastAsia="zh-CN" w:bidi="ar-SA"/>
    </w:rPr>
  </w:style>
  <w:style w:type="character" w:customStyle="1" w:styleId="CharCharff9">
    <w:name w:val="图片 Char Char"/>
    <w:qFormat/>
    <w:rPr>
      <w:rFonts w:ascii="Times New Roman" w:eastAsia="黑体" w:hAnsi="Times New Roman" w:cs="Times New Roman"/>
      <w:bCs/>
      <w:kern w:val="2"/>
      <w:sz w:val="24"/>
      <w:szCs w:val="24"/>
      <w:lang w:val="en-US" w:eastAsia="zh-CN" w:bidi="ar-SA"/>
    </w:rPr>
  </w:style>
  <w:style w:type="character" w:customStyle="1" w:styleId="13099CharChar">
    <w:name w:val="样式 宋体 13 磅 首行缩进:  0.99 厘米 Char Char"/>
    <w:link w:val="13099"/>
    <w:qFormat/>
    <w:locked/>
    <w:rPr>
      <w:rFonts w:ascii="Verdana" w:eastAsiaTheme="minorEastAsia" w:hAnsi="Verdana" w:cstheme="minorBidi"/>
      <w:sz w:val="27"/>
      <w:szCs w:val="22"/>
      <w:lang w:val="en-US" w:eastAsia="zh-CN" w:bidi="ar-SA"/>
    </w:rPr>
  </w:style>
  <w:style w:type="paragraph" w:customStyle="1" w:styleId="13099">
    <w:name w:val="样式 宋体 13 磅 首行缩进:  0.99 厘米"/>
    <w:basedOn w:val="af1"/>
    <w:link w:val="13099CharChar"/>
    <w:qFormat/>
    <w:pPr>
      <w:widowControl/>
      <w:ind w:firstLine="560"/>
      <w:jc w:val="left"/>
    </w:pPr>
    <w:rPr>
      <w:rFonts w:ascii="Verdana" w:eastAsiaTheme="minorEastAsia" w:hAnsi="Verdana"/>
      <w:sz w:val="27"/>
    </w:rPr>
  </w:style>
  <w:style w:type="character" w:customStyle="1" w:styleId="CharCharCharCharCharCCharCharCharCharCharCharChar">
    <w:name w:val="普通文字 Char Char Char Char Char C Char Char Char Char Char Char Char"/>
    <w:qFormat/>
    <w:rPr>
      <w:rFonts w:ascii="Verdana" w:eastAsia="Times New Roman" w:hAnsi="MHei-Medium" w:cs="Times New Roman"/>
      <w:kern w:val="2"/>
      <w:sz w:val="24"/>
      <w:lang w:val="en-US" w:eastAsia="zh-CN" w:bidi="ar-SA"/>
    </w:rPr>
  </w:style>
  <w:style w:type="character" w:customStyle="1" w:styleId="1CharCharChar">
    <w:name w:val="表头1 Char Char Char"/>
    <w:qFormat/>
    <w:rPr>
      <w:rFonts w:ascii="Times New Roman" w:eastAsia="宋体" w:hAnsi="Times New Roman" w:cs="Times New Roman"/>
      <w:sz w:val="21"/>
      <w:szCs w:val="28"/>
      <w:lang w:val="en-US" w:eastAsia="zh-CN" w:bidi="ar-SA"/>
    </w:rPr>
  </w:style>
  <w:style w:type="character" w:customStyle="1" w:styleId="2fb">
    <w:name w:val="正文文本 (2)_"/>
    <w:link w:val="212"/>
    <w:qFormat/>
    <w:locked/>
    <w:rPr>
      <w:rFonts w:ascii="MingLiU" w:eastAsia="MingLiU" w:hAnsiTheme="minorHAnsi" w:cstheme="minorBidi"/>
      <w:sz w:val="22"/>
      <w:szCs w:val="22"/>
      <w:lang w:val="en-US" w:eastAsia="zh-CN" w:bidi="ar-SA"/>
    </w:rPr>
  </w:style>
  <w:style w:type="paragraph" w:customStyle="1" w:styleId="212">
    <w:name w:val="正文文本 (2)1"/>
    <w:basedOn w:val="af1"/>
    <w:link w:val="2fb"/>
    <w:qFormat/>
    <w:pPr>
      <w:shd w:val="clear" w:color="auto" w:fill="FFFFFF"/>
      <w:spacing w:before="5460" w:after="60" w:line="240" w:lineRule="atLeast"/>
      <w:ind w:hanging="660"/>
      <w:jc w:val="left"/>
    </w:pPr>
    <w:rPr>
      <w:rFonts w:ascii="MingLiU" w:eastAsia="MingLiU" w:hAnsiTheme="minorHAnsi"/>
      <w:sz w:val="22"/>
    </w:rPr>
  </w:style>
  <w:style w:type="character" w:customStyle="1" w:styleId="st121">
    <w:name w:val="st121"/>
    <w:qFormat/>
    <w:rPr>
      <w:rFonts w:ascii="Times New Roman" w:eastAsia="宋体" w:hAnsi="Times New Roman" w:cs="Times New Roman"/>
      <w:sz w:val="18"/>
      <w:szCs w:val="18"/>
      <w:lang w:val="en-US" w:eastAsia="zh-CN" w:bidi="ar-SA"/>
    </w:rPr>
  </w:style>
  <w:style w:type="character" w:customStyle="1" w:styleId="CharChar392">
    <w:name w:val="Char Char392"/>
    <w:qFormat/>
    <w:rPr>
      <w:rFonts w:ascii="Arial" w:eastAsia="黑体" w:hAnsi="Arial" w:cs="Times New Roman"/>
      <w:b/>
      <w:kern w:val="2"/>
      <w:sz w:val="28"/>
      <w:lang w:val="en-US" w:eastAsia="zh-CN" w:bidi="ar-SA"/>
    </w:rPr>
  </w:style>
  <w:style w:type="character" w:customStyle="1" w:styleId="ENFICharChar">
    <w:name w:val="ENFI正文 Char Char"/>
    <w:link w:val="ENFI"/>
    <w:qFormat/>
    <w:rPr>
      <w:rFonts w:ascii="Times New Roman" w:eastAsia="仿宋_GB2312" w:hAnsi="Times New Roman" w:cstheme="minorBidi"/>
      <w:color w:val="000000"/>
      <w:sz w:val="28"/>
      <w:szCs w:val="22"/>
      <w:lang w:val="en-US" w:eastAsia="zh-CN" w:bidi="ar-SA"/>
    </w:rPr>
  </w:style>
  <w:style w:type="paragraph" w:customStyle="1" w:styleId="ENFI">
    <w:name w:val="ENFI正文"/>
    <w:basedOn w:val="af1"/>
    <w:link w:val="ENFICharChar"/>
    <w:qFormat/>
    <w:pPr>
      <w:adjustRightInd w:val="0"/>
      <w:snapToGrid w:val="0"/>
      <w:spacing w:line="500" w:lineRule="exact"/>
      <w:ind w:firstLine="567"/>
    </w:pPr>
    <w:rPr>
      <w:rFonts w:ascii="Calibri" w:eastAsia="仿宋_GB2312" w:hAnsi="Calibri"/>
      <w:color w:val="000000"/>
      <w:sz w:val="28"/>
    </w:rPr>
  </w:style>
  <w:style w:type="character" w:customStyle="1" w:styleId="Charfffe">
    <w:name w:val="图名表头 Char"/>
    <w:link w:val="afffffffffc"/>
    <w:qFormat/>
    <w:rPr>
      <w:rFonts w:asciiTheme="minorHAnsi" w:eastAsiaTheme="minorEastAsia" w:hAnsiTheme="minorHAnsi" w:cstheme="minorBidi"/>
      <w:b/>
      <w:sz w:val="24"/>
      <w:szCs w:val="21"/>
      <w:lang w:val="en-US" w:eastAsia="zh-CN" w:bidi="ar-SA"/>
    </w:rPr>
  </w:style>
  <w:style w:type="paragraph" w:customStyle="1" w:styleId="afffffffffc">
    <w:name w:val="图名表头"/>
    <w:basedOn w:val="af1"/>
    <w:link w:val="Charfffe"/>
    <w:qFormat/>
    <w:pPr>
      <w:overflowPunct w:val="0"/>
      <w:adjustRightInd w:val="0"/>
      <w:snapToGrid w:val="0"/>
      <w:jc w:val="center"/>
      <w:textAlignment w:val="baseline"/>
    </w:pPr>
    <w:rPr>
      <w:rFonts w:asciiTheme="minorHAnsi" w:eastAsiaTheme="minorEastAsia" w:hAnsiTheme="minorHAnsi"/>
      <w:b/>
      <w:sz w:val="24"/>
      <w:szCs w:val="21"/>
    </w:rPr>
  </w:style>
  <w:style w:type="character" w:customStyle="1" w:styleId="CharCharffa">
    <w:name w:val="文本框小四 Char Char"/>
    <w:qFormat/>
    <w:rPr>
      <w:rFonts w:ascii="Verdana" w:eastAsia="Times New Roman" w:hAnsi="Verdana" w:cs="Times New Roman"/>
      <w:kern w:val="2"/>
      <w:sz w:val="24"/>
      <w:lang w:val="en-US" w:eastAsia="zh-CN" w:bidi="ar-SA"/>
    </w:rPr>
  </w:style>
  <w:style w:type="character" w:customStyle="1" w:styleId="172">
    <w:name w:val="正文文本 (17)2"/>
    <w:qFormat/>
    <w:rPr>
      <w:rFonts w:ascii="Times New Roman" w:eastAsia="宋体" w:hAnsi="Times New Roman" w:cs="Times New Roman"/>
      <w:lang w:val="en-US" w:eastAsia="zh-CN" w:bidi="ar-SA"/>
    </w:rPr>
  </w:style>
  <w:style w:type="character" w:customStyle="1" w:styleId="CharCharCharCharChar5">
    <w:name w:val="我的正文 Char Char Char Char Char"/>
    <w:qFormat/>
    <w:rPr>
      <w:rFonts w:ascii="Times New Roman" w:eastAsia="宋体" w:hAnsi="Times New Roman" w:cs="Times New Roman"/>
      <w:kern w:val="2"/>
      <w:sz w:val="24"/>
      <w:lang w:val="en-US" w:eastAsia="zh-CN" w:bidi="ar-SA"/>
    </w:rPr>
  </w:style>
  <w:style w:type="character" w:customStyle="1" w:styleId="TChar">
    <w:name w:val="T正文 Char"/>
    <w:link w:val="T0"/>
    <w:qFormat/>
    <w:rPr>
      <w:rFonts w:asciiTheme="minorHAnsi" w:eastAsia="仿宋_GB2312" w:hAnsiTheme="minorHAnsi" w:cstheme="minorBidi"/>
      <w:kern w:val="2"/>
      <w:sz w:val="28"/>
      <w:szCs w:val="22"/>
      <w:lang w:val="en-US" w:eastAsia="zh-CN" w:bidi="ar-SA"/>
    </w:rPr>
  </w:style>
  <w:style w:type="paragraph" w:customStyle="1" w:styleId="T0">
    <w:name w:val="T正文"/>
    <w:link w:val="TChar"/>
    <w:qFormat/>
    <w:pPr>
      <w:widowControl w:val="0"/>
      <w:adjustRightInd w:val="0"/>
      <w:snapToGrid w:val="0"/>
      <w:spacing w:line="360" w:lineRule="auto"/>
      <w:ind w:firstLineChars="200" w:firstLine="200"/>
      <w:jc w:val="both"/>
    </w:pPr>
    <w:rPr>
      <w:rFonts w:eastAsia="仿宋_GB2312"/>
      <w:kern w:val="2"/>
      <w:sz w:val="28"/>
      <w:szCs w:val="22"/>
    </w:rPr>
  </w:style>
  <w:style w:type="character" w:customStyle="1" w:styleId="10Char">
    <w:name w:val="样式10 Char"/>
    <w:link w:val="100"/>
    <w:qFormat/>
    <w:rPr>
      <w:rFonts w:ascii="宋体" w:eastAsia="宋体" w:hAnsi="宋体" w:cstheme="minorBidi"/>
      <w:sz w:val="24"/>
      <w:lang w:val="en-US" w:eastAsia="zh-CN" w:bidi="ar-SA"/>
    </w:rPr>
  </w:style>
  <w:style w:type="paragraph" w:customStyle="1" w:styleId="100">
    <w:name w:val="样式10"/>
    <w:basedOn w:val="af1"/>
    <w:link w:val="10Char"/>
    <w:qFormat/>
    <w:pPr>
      <w:spacing w:line="360" w:lineRule="auto"/>
      <w:ind w:firstLineChars="200" w:firstLine="480"/>
    </w:pPr>
    <w:rPr>
      <w:rFonts w:ascii="宋体" w:hAnsi="宋体"/>
      <w:sz w:val="24"/>
      <w:szCs w:val="24"/>
    </w:rPr>
  </w:style>
  <w:style w:type="character" w:customStyle="1" w:styleId="afffffffffd">
    <w:name w:val="样式 (中文) 黑体 小三"/>
    <w:qFormat/>
    <w:rPr>
      <w:rFonts w:ascii="Times New Roman" w:eastAsia="黑体" w:hAnsi="Times New Roman" w:cs="Times New Roman"/>
      <w:b/>
      <w:sz w:val="30"/>
      <w:lang w:val="en-US" w:eastAsia="zh-CN" w:bidi="ar-SA"/>
    </w:rPr>
  </w:style>
  <w:style w:type="character" w:customStyle="1" w:styleId="A-Char">
    <w:name w:val="A-正文 Char"/>
    <w:link w:val="A-"/>
    <w:qFormat/>
    <w:rPr>
      <w:rFonts w:asciiTheme="minorHAnsi" w:eastAsiaTheme="minorEastAsia" w:hAnsiTheme="minorHAnsi" w:cs="Arial Unicode MS"/>
      <w:color w:val="00B050"/>
      <w:sz w:val="24"/>
      <w:lang w:val="en-US" w:eastAsia="zh-CN" w:bidi="ar-SA"/>
    </w:rPr>
  </w:style>
  <w:style w:type="paragraph" w:customStyle="1" w:styleId="A-">
    <w:name w:val="A-正文"/>
    <w:basedOn w:val="af1"/>
    <w:link w:val="A-Char"/>
    <w:qFormat/>
    <w:pPr>
      <w:widowControl/>
      <w:adjustRightInd w:val="0"/>
      <w:snapToGrid w:val="0"/>
      <w:spacing w:line="360" w:lineRule="auto"/>
      <w:ind w:firstLineChars="200" w:firstLine="480"/>
    </w:pPr>
    <w:rPr>
      <w:rFonts w:asciiTheme="minorHAnsi" w:eastAsiaTheme="minorEastAsia" w:hAnsiTheme="minorHAnsi" w:cs="Arial Unicode MS"/>
      <w:color w:val="00B050"/>
      <w:sz w:val="24"/>
      <w:szCs w:val="24"/>
    </w:rPr>
  </w:style>
  <w:style w:type="character" w:customStyle="1" w:styleId="main1">
    <w:name w:val="main1"/>
    <w:qFormat/>
    <w:rPr>
      <w:rFonts w:ascii="Times New Roman" w:eastAsia="宋体" w:hAnsi="Times New Roman" w:cs="Times New Roman"/>
      <w:color w:val="0033CC"/>
      <w:sz w:val="18"/>
      <w:lang w:val="en-US" w:eastAsia="zh-CN" w:bidi="ar-SA"/>
    </w:rPr>
  </w:style>
  <w:style w:type="character" w:customStyle="1" w:styleId="160">
    <w:name w:val="16"/>
    <w:qFormat/>
    <w:rPr>
      <w:rFonts w:ascii="Times New Roman" w:eastAsia="黑体" w:hAnsi="Times New Roman" w:cs="宋体" w:hint="default"/>
      <w:b/>
      <w:bCs/>
      <w:kern w:val="2"/>
      <w:sz w:val="24"/>
      <w:szCs w:val="24"/>
      <w:lang w:val="en-US" w:eastAsia="zh-CN" w:bidi="ar-SA"/>
    </w:rPr>
  </w:style>
  <w:style w:type="character" w:customStyle="1" w:styleId="CharCharCharCharChar10">
    <w:name w:val="纯文本 Char Char Char Char Char1"/>
    <w:qFormat/>
    <w:rPr>
      <w:rFonts w:ascii="宋体" w:eastAsia="宋体" w:hAnsi="Courier New" w:cs="Courier New" w:hint="eastAsia"/>
      <w:kern w:val="2"/>
      <w:sz w:val="21"/>
      <w:szCs w:val="21"/>
      <w:lang w:val="en-US" w:eastAsia="zh-CN" w:bidi="ar-SA"/>
    </w:rPr>
  </w:style>
  <w:style w:type="character" w:customStyle="1" w:styleId="Char24">
    <w:name w:val="正文首行缩进 Char2"/>
    <w:qFormat/>
    <w:rPr>
      <w:rFonts w:ascii="Calibri" w:eastAsia="宋体" w:hAnsi="Calibri" w:cs="Times New Roman"/>
      <w:sz w:val="24"/>
      <w:szCs w:val="24"/>
      <w:lang w:val="en-US" w:eastAsia="zh-CN" w:bidi="ar-SA"/>
    </w:rPr>
  </w:style>
  <w:style w:type="character" w:customStyle="1" w:styleId="Char1f1">
    <w:name w:val="二章正文 Char1"/>
    <w:qFormat/>
    <w:rPr>
      <w:rFonts w:ascii="宋体" w:eastAsia="宋体" w:hAnsi="宋体" w:cs="Times New Roman" w:hint="eastAsia"/>
      <w:b/>
      <w:color w:val="000000"/>
      <w:kern w:val="2"/>
      <w:sz w:val="24"/>
      <w:szCs w:val="24"/>
      <w:lang w:val="en-US" w:eastAsia="zh-CN" w:bidi="ar-SA"/>
    </w:rPr>
  </w:style>
  <w:style w:type="character" w:customStyle="1" w:styleId="pt9">
    <w:name w:val="pt9"/>
    <w:qFormat/>
    <w:rPr>
      <w:rFonts w:ascii="Arial Black" w:eastAsia="Times New Roman" w:hAnsi="Arial Black" w:cs="Times New Roman"/>
      <w:sz w:val="21"/>
      <w:lang w:val="en-US" w:eastAsia="en-US" w:bidi="ar-SA"/>
    </w:rPr>
  </w:style>
  <w:style w:type="character" w:customStyle="1" w:styleId="1Charc">
    <w:name w:val="标题 1 Char"/>
    <w:qFormat/>
    <w:rPr>
      <w:rFonts w:ascii="Times New Roman" w:eastAsia="魏碑" w:hAnsi="Times New Roman" w:cs="Times New Roman"/>
      <w:b/>
      <w:sz w:val="36"/>
      <w:lang w:val="en-US" w:eastAsia="zh-CN" w:bidi="ar-SA"/>
    </w:rPr>
  </w:style>
  <w:style w:type="character" w:customStyle="1" w:styleId="style9">
    <w:name w:val="style9"/>
    <w:qFormat/>
    <w:rPr>
      <w:rFonts w:ascii="Times New Roman" w:eastAsia="黑体" w:hAnsi="Times New Roman" w:cs="Times New Roman"/>
      <w:b/>
      <w:color w:val="008000"/>
      <w:kern w:val="2"/>
      <w:sz w:val="24"/>
      <w:szCs w:val="24"/>
      <w:lang w:val="en-US" w:eastAsia="zh-CN" w:bidi="ar-SA"/>
    </w:rPr>
  </w:style>
  <w:style w:type="character" w:customStyle="1" w:styleId="afff4">
    <w:name w:val="日期 字符"/>
    <w:link w:val="afff3"/>
    <w:qFormat/>
    <w:rPr>
      <w:rFonts w:ascii="宋体" w:eastAsia="宋体" w:hAnsiTheme="minorHAnsi" w:cstheme="minorBidi"/>
      <w:sz w:val="28"/>
      <w:szCs w:val="22"/>
      <w:lang w:val="en-US" w:eastAsia="zh-CN" w:bidi="ar-SA"/>
    </w:rPr>
  </w:style>
  <w:style w:type="character" w:customStyle="1" w:styleId="1CharCharChar0">
    <w:name w:val="样式 标题 1 + 红色 Char Char Char"/>
    <w:qFormat/>
    <w:rPr>
      <w:rFonts w:ascii="宋体" w:eastAsia="黑体" w:hAnsi="宋体" w:cs="Times New Roman"/>
      <w:b/>
      <w:color w:val="FF0000"/>
      <w:kern w:val="44"/>
      <w:sz w:val="32"/>
      <w:lang w:val="en-US" w:eastAsia="zh-CN" w:bidi="ar-SA"/>
    </w:rPr>
  </w:style>
  <w:style w:type="character" w:customStyle="1" w:styleId="Charffff">
    <w:name w:val="纯文本* Char"/>
    <w:qFormat/>
    <w:rPr>
      <w:rFonts w:ascii="宋体" w:eastAsia="仿宋_GB2312" w:hAnsi="Courier New" w:cs="Courier New"/>
      <w:kern w:val="2"/>
      <w:sz w:val="21"/>
      <w:szCs w:val="21"/>
      <w:lang w:val="en-US" w:eastAsia="zh-CN" w:bidi="ar-SA"/>
    </w:rPr>
  </w:style>
  <w:style w:type="character" w:customStyle="1" w:styleId="CharCharffb">
    <w:name w:val="德胜表头 Char Char"/>
    <w:link w:val="afffffffffe"/>
    <w:qFormat/>
    <w:locked/>
    <w:rPr>
      <w:rFonts w:asciiTheme="minorHAnsi" w:eastAsia="宋体" w:hAnsiTheme="minorHAnsi" w:cs="Times New Roman"/>
      <w:b/>
      <w:szCs w:val="22"/>
      <w:lang w:val="en-US" w:eastAsia="zh-CN" w:bidi="ar-SA"/>
    </w:rPr>
  </w:style>
  <w:style w:type="paragraph" w:customStyle="1" w:styleId="afffffffffe">
    <w:name w:val="德胜表头"/>
    <w:basedOn w:val="afffffff3"/>
    <w:link w:val="CharCharffb"/>
    <w:qFormat/>
    <w:pPr>
      <w:spacing w:line="240" w:lineRule="auto"/>
      <w:ind w:firstLineChars="0" w:firstLine="0"/>
      <w:jc w:val="center"/>
    </w:pPr>
    <w:rPr>
      <w:rFonts w:asciiTheme="minorHAnsi" w:hAnsiTheme="minorHAnsi"/>
      <w:b/>
      <w:szCs w:val="22"/>
    </w:rPr>
  </w:style>
  <w:style w:type="character" w:customStyle="1" w:styleId="cucd-0CharChar">
    <w:name w:val="cucd-0 Char Char"/>
    <w:link w:val="cucd-0"/>
    <w:qFormat/>
    <w:locked/>
    <w:rPr>
      <w:rFonts w:asciiTheme="minorHAnsi" w:eastAsiaTheme="minorEastAsia" w:hAnsiTheme="minorHAnsi" w:cstheme="minorBidi"/>
      <w:kern w:val="2"/>
      <w:sz w:val="24"/>
      <w:szCs w:val="24"/>
      <w:lang w:val="en-US" w:eastAsia="zh-CN" w:bidi="ar-SA"/>
    </w:rPr>
  </w:style>
  <w:style w:type="paragraph" w:customStyle="1" w:styleId="cucd-0">
    <w:name w:val="cucd-0"/>
    <w:link w:val="cucd-0CharChar"/>
    <w:qFormat/>
    <w:pPr>
      <w:spacing w:line="360" w:lineRule="auto"/>
      <w:ind w:firstLineChars="200" w:firstLine="480"/>
    </w:pPr>
    <w:rPr>
      <w:kern w:val="2"/>
      <w:sz w:val="24"/>
      <w:szCs w:val="24"/>
    </w:rPr>
  </w:style>
  <w:style w:type="character" w:customStyle="1" w:styleId="3CharCharCharCharChar">
    <w:name w:val="样式 标题 3 + 黑色 Char Char Char Char Char"/>
    <w:qFormat/>
    <w:rPr>
      <w:rFonts w:ascii="Arial Black" w:eastAsia="Times New Roman" w:hAnsi="Arial Black" w:cs="Times New Roman"/>
      <w:color w:val="000000"/>
      <w:kern w:val="2"/>
      <w:sz w:val="21"/>
      <w:lang w:val="en-US" w:eastAsia="zh-CN" w:bidi="ar-SA"/>
    </w:rPr>
  </w:style>
  <w:style w:type="character" w:customStyle="1" w:styleId="CharCharCharCharCharChar11">
    <w:name w:val="Char Char Char Char Char Char11"/>
    <w:qFormat/>
    <w:rPr>
      <w:rFonts w:ascii="Times New Roman" w:eastAsia="宋体" w:hAnsi="Times New Roman" w:cs="Times New Roman"/>
      <w:b/>
      <w:bCs/>
      <w:sz w:val="32"/>
      <w:szCs w:val="32"/>
      <w:lang w:val="en-US" w:eastAsia="zh-CN" w:bidi="ar-SA"/>
    </w:rPr>
  </w:style>
  <w:style w:type="character" w:customStyle="1" w:styleId="red">
    <w:name w:val="red"/>
    <w:qFormat/>
    <w:rPr>
      <w:rFonts w:ascii="Times New Roman" w:eastAsia="宋体" w:hAnsi="Times New Roman" w:cs="Times New Roman"/>
      <w:kern w:val="2"/>
      <w:sz w:val="24"/>
      <w:szCs w:val="24"/>
      <w:lang w:val="en-US" w:eastAsia="zh-CN" w:bidi="ar-SA"/>
    </w:rPr>
  </w:style>
  <w:style w:type="character" w:customStyle="1" w:styleId="Charffff0">
    <w:name w:val="居中正文 Char"/>
    <w:link w:val="affffffffff"/>
    <w:qFormat/>
    <w:rPr>
      <w:rFonts w:ascii="宋体" w:eastAsia="宋体" w:hAnsi="Times New Roman" w:cs="Times New Roman"/>
      <w:kern w:val="28"/>
      <w:sz w:val="24"/>
      <w:szCs w:val="22"/>
      <w:lang w:val="en-US" w:eastAsia="zh-CN" w:bidi="ar-SA"/>
    </w:rPr>
  </w:style>
  <w:style w:type="paragraph" w:customStyle="1" w:styleId="affffffffff">
    <w:name w:val="居中正文"/>
    <w:basedOn w:val="affffa"/>
    <w:link w:val="Charffff0"/>
    <w:qFormat/>
    <w:pPr>
      <w:adjustRightInd w:val="0"/>
      <w:spacing w:before="120" w:after="0" w:line="360" w:lineRule="auto"/>
      <w:ind w:firstLineChars="0" w:firstLine="0"/>
      <w:jc w:val="center"/>
      <w:textAlignment w:val="baseline"/>
    </w:pPr>
    <w:rPr>
      <w:rFonts w:ascii="宋体"/>
      <w:kern w:val="28"/>
      <w:sz w:val="24"/>
      <w:szCs w:val="22"/>
    </w:rPr>
  </w:style>
  <w:style w:type="character" w:customStyle="1" w:styleId="affffb">
    <w:name w:val="正文文本首行缩进 字符"/>
    <w:link w:val="affffa"/>
    <w:uiPriority w:val="99"/>
    <w:qFormat/>
    <w:rPr>
      <w:rFonts w:asciiTheme="minorHAnsi" w:eastAsia="宋体" w:hAnsiTheme="minorHAnsi" w:cstheme="minorBidi"/>
      <w:lang w:val="en-US" w:eastAsia="zh-CN" w:bidi="ar-SA"/>
    </w:rPr>
  </w:style>
  <w:style w:type="character" w:customStyle="1" w:styleId="CharCharffc">
    <w:name w:val="正文段落（宋旭峰） Char Char"/>
    <w:link w:val="affffffffff0"/>
    <w:qFormat/>
    <w:locked/>
    <w:rPr>
      <w:rFonts w:ascii="宋体" w:eastAsiaTheme="minorEastAsia" w:hAnsiTheme="minorHAnsi" w:cstheme="minorBidi"/>
      <w:color w:val="0000FF"/>
      <w:sz w:val="24"/>
      <w:szCs w:val="22"/>
      <w:lang w:val="en-US" w:eastAsia="zh-CN" w:bidi="ar-SA"/>
    </w:rPr>
  </w:style>
  <w:style w:type="paragraph" w:customStyle="1" w:styleId="affffffffff0">
    <w:name w:val="正文段落（宋旭峰）"/>
    <w:basedOn w:val="af1"/>
    <w:link w:val="CharCharffc"/>
    <w:qFormat/>
    <w:pPr>
      <w:widowControl/>
      <w:spacing w:line="360" w:lineRule="auto"/>
      <w:ind w:firstLineChars="200" w:firstLine="480"/>
      <w:jc w:val="left"/>
    </w:pPr>
    <w:rPr>
      <w:rFonts w:ascii="宋体" w:eastAsiaTheme="minorEastAsia" w:hAnsiTheme="minorHAnsi"/>
      <w:color w:val="0000FF"/>
      <w:sz w:val="24"/>
    </w:rPr>
  </w:style>
  <w:style w:type="character" w:customStyle="1" w:styleId="FootnoteTextChar">
    <w:name w:val="Footnote Text Char"/>
    <w:qFormat/>
    <w:locked/>
    <w:rPr>
      <w:rFonts w:ascii="Times New Roman" w:eastAsia="宋体" w:hAnsi="Times New Roman" w:cs="Times New Roman"/>
      <w:sz w:val="16"/>
      <w:lang w:val="en-US" w:eastAsia="zh-CN" w:bidi="ar-SA"/>
    </w:rPr>
  </w:style>
  <w:style w:type="character" w:customStyle="1" w:styleId="CharCharCharb">
    <w:name w:val="正文文本缩进 Char Char Char"/>
    <w:qFormat/>
    <w:rPr>
      <w:rFonts w:ascii="Times New Roman" w:eastAsia="宋体" w:hAnsi="Times New Roman" w:cs="Times New Roman"/>
      <w:kern w:val="2"/>
      <w:sz w:val="21"/>
      <w:lang w:val="en-US" w:eastAsia="zh-CN" w:bidi="ar-SA"/>
    </w:rPr>
  </w:style>
  <w:style w:type="character" w:customStyle="1" w:styleId="Charffff1">
    <w:name w:val="标题 Char"/>
    <w:qFormat/>
    <w:rPr>
      <w:rFonts w:ascii="Cambria" w:eastAsia="宋体" w:hAnsi="Cambria" w:cs="Times New Roman"/>
      <w:b/>
      <w:bCs/>
      <w:kern w:val="2"/>
      <w:sz w:val="32"/>
      <w:szCs w:val="32"/>
      <w:lang w:val="en-US" w:eastAsia="zh-CN" w:bidi="ar-SA"/>
    </w:rPr>
  </w:style>
  <w:style w:type="character" w:customStyle="1" w:styleId="ATCharChar">
    <w:name w:val="题注AT Char Char"/>
    <w:qFormat/>
    <w:rPr>
      <w:rFonts w:ascii="Arial" w:eastAsia="黑体" w:hAnsi="Arial" w:cs="Arial"/>
      <w:kern w:val="2"/>
      <w:lang w:val="en-US" w:eastAsia="zh-CN" w:bidi="ar-SA"/>
    </w:rPr>
  </w:style>
  <w:style w:type="character" w:customStyle="1" w:styleId="affffffffff1">
    <w:name w:val="样式 黑体 小四"/>
    <w:qFormat/>
    <w:rPr>
      <w:rFonts w:ascii="楷体" w:eastAsia="楷体" w:hAnsi="楷体" w:cs="Times New Roman"/>
      <w:sz w:val="21"/>
      <w:lang w:val="en-US" w:eastAsia="en-US" w:bidi="ar-SA"/>
    </w:rPr>
  </w:style>
  <w:style w:type="character" w:customStyle="1" w:styleId="NormalIndentChar">
    <w:name w:val="Normal Indent Char"/>
    <w:qFormat/>
    <w:locked/>
    <w:rPr>
      <w:rFonts w:ascii="Times New Roman" w:eastAsia="宋体" w:hAnsi="Times New Roman" w:cs="Times New Roman"/>
      <w:kern w:val="2"/>
      <w:sz w:val="21"/>
      <w:lang w:val="en-US" w:eastAsia="zh-CN" w:bidi="ar-SA"/>
    </w:rPr>
  </w:style>
  <w:style w:type="character" w:customStyle="1" w:styleId="Charffff2">
    <w:name w:val="+++++正文 Char"/>
    <w:qFormat/>
    <w:rPr>
      <w:rFonts w:ascii="Times New Roman" w:eastAsia="黑体" w:hAnsi="Times New Roman" w:cs="Times New Roman"/>
      <w:b/>
      <w:kern w:val="2"/>
      <w:sz w:val="24"/>
      <w:szCs w:val="24"/>
      <w:lang w:val="en-US" w:eastAsia="zh-CN" w:bidi="ar-SA"/>
    </w:rPr>
  </w:style>
  <w:style w:type="character" w:customStyle="1" w:styleId="nava61">
    <w:name w:val="nava61"/>
    <w:qFormat/>
    <w:rPr>
      <w:rFonts w:ascii="Times New Roman" w:eastAsia="宋体" w:hAnsi="Times New Roman" w:cs="Times New Roman"/>
      <w:color w:val="000000"/>
      <w:sz w:val="21"/>
      <w:szCs w:val="21"/>
      <w:u w:val="none"/>
      <w:lang w:val="en-US" w:eastAsia="zh-CN" w:bidi="ar-SA"/>
    </w:rPr>
  </w:style>
  <w:style w:type="character" w:customStyle="1" w:styleId="2Char9">
    <w:name w:val="样式 样式 标题 2 + + 小四 Char"/>
    <w:qFormat/>
    <w:rPr>
      <w:rFonts w:ascii="Arial" w:eastAsia="黑体" w:hAnsi="Arial" w:cs="Arial" w:hint="default"/>
      <w:b/>
      <w:bCs/>
      <w:color w:val="0000FF"/>
      <w:kern w:val="2"/>
      <w:sz w:val="24"/>
      <w:szCs w:val="21"/>
      <w:lang w:val="en-US" w:eastAsia="zh-CN" w:bidi="ar-SA"/>
    </w:rPr>
  </w:style>
  <w:style w:type="character" w:customStyle="1" w:styleId="2Chara">
    <w:name w:val="样式 标题 2节名节 + (中文) 宋体 Char"/>
    <w:qFormat/>
    <w:rPr>
      <w:rFonts w:ascii="Times New Roman" w:eastAsia="宋体" w:hAnsi="Times New Roman" w:cs="Times New Roman"/>
      <w:b/>
      <w:color w:val="000000"/>
      <w:kern w:val="2"/>
      <w:sz w:val="30"/>
      <w:szCs w:val="28"/>
      <w:lang w:val="en-US" w:eastAsia="zh-CN" w:bidi="ar-SA"/>
    </w:rPr>
  </w:style>
  <w:style w:type="character" w:customStyle="1" w:styleId="NormalCharChar">
    <w:name w:val="Normal Char Char"/>
    <w:qFormat/>
    <w:locked/>
    <w:rPr>
      <w:rFonts w:ascii="宋体" w:eastAsia="宋体" w:hAnsi="Times New Roman" w:cs="Times New Roman"/>
      <w:sz w:val="24"/>
      <w:lang w:val="en-US" w:eastAsia="zh-CN" w:bidi="ar-SA"/>
    </w:rPr>
  </w:style>
  <w:style w:type="character" w:customStyle="1" w:styleId="CharChar27">
    <w:name w:val="Char Char27"/>
    <w:qFormat/>
    <w:rPr>
      <w:rFonts w:ascii="Times New Roman" w:eastAsia="幼圆" w:hAnsi="Times New Roman" w:cs="Times New Roman"/>
      <w:kern w:val="2"/>
      <w:sz w:val="21"/>
      <w:szCs w:val="18"/>
      <w:lang w:val="en-US" w:eastAsia="zh-CN" w:bidi="ar-SA"/>
    </w:rPr>
  </w:style>
  <w:style w:type="character" w:customStyle="1" w:styleId="info">
    <w:name w:val="info"/>
    <w:qFormat/>
    <w:rPr>
      <w:rFonts w:ascii="Arial Black" w:eastAsia="Times New Roman" w:hAnsi="Arial Black" w:cs="Times New Roman"/>
      <w:sz w:val="21"/>
      <w:lang w:val="en-US" w:eastAsia="en-US" w:bidi="ar-SA"/>
    </w:rPr>
  </w:style>
  <w:style w:type="character" w:customStyle="1" w:styleId="hChar">
    <w:name w:val="h Char"/>
    <w:qFormat/>
    <w:rPr>
      <w:rFonts w:ascii="幼圆" w:eastAsia="幼圆" w:hAnsi="幼圆" w:cs="Times New Roman" w:hint="eastAsia"/>
      <w:b/>
      <w:color w:val="008000"/>
      <w:kern w:val="2"/>
      <w:sz w:val="18"/>
      <w:szCs w:val="24"/>
      <w:lang w:val="en-US" w:eastAsia="zh-CN" w:bidi="ar-SA"/>
    </w:rPr>
  </w:style>
  <w:style w:type="character" w:customStyle="1" w:styleId="CharCharffd">
    <w:name w:val="表体 Char Char"/>
    <w:qFormat/>
    <w:locked/>
    <w:rPr>
      <w:rFonts w:ascii="Times New Roman" w:eastAsia="宋体" w:hAnsi="Times New Roman" w:cs="Times New Roman"/>
      <w:color w:val="000080"/>
      <w:kern w:val="2"/>
      <w:sz w:val="24"/>
      <w:lang w:val="en-US" w:eastAsia="zh-CN" w:bidi="ar-SA"/>
    </w:rPr>
  </w:style>
  <w:style w:type="character" w:customStyle="1" w:styleId="headline-content2">
    <w:name w:val="headline-content2"/>
    <w:basedOn w:val="af3"/>
    <w:qFormat/>
    <w:rPr>
      <w:rFonts w:ascii="Times New Roman" w:eastAsia="宋体" w:hAnsi="Times New Roman" w:cs="Times New Roman"/>
      <w:lang w:val="en-US" w:eastAsia="zh-CN" w:bidi="ar-SA"/>
    </w:rPr>
  </w:style>
  <w:style w:type="character" w:customStyle="1" w:styleId="2Constantia">
    <w:name w:val="正文文本 (2) + Constantia"/>
    <w:qFormat/>
    <w:rPr>
      <w:rFonts w:ascii="Constantia" w:eastAsia="MingLiU" w:hAnsi="Constantia" w:cs="Constantia"/>
      <w:kern w:val="2"/>
      <w:sz w:val="20"/>
      <w:szCs w:val="20"/>
      <w:u w:val="none"/>
      <w:lang w:val="en-US" w:eastAsia="en-US" w:bidi="ar-SA"/>
    </w:rPr>
  </w:style>
  <w:style w:type="character" w:customStyle="1" w:styleId="MB2CharChar">
    <w:name w:val="MB2 Char Char"/>
    <w:qFormat/>
    <w:rPr>
      <w:rFonts w:ascii="Arial" w:eastAsia="黑体" w:hAnsi="Arial" w:cs="Arial" w:hint="default"/>
      <w:b/>
      <w:color w:val="008000"/>
      <w:kern w:val="2"/>
      <w:sz w:val="32"/>
      <w:szCs w:val="24"/>
      <w:lang w:val="en-US" w:eastAsia="zh-CN" w:bidi="ar-SA"/>
    </w:rPr>
  </w:style>
  <w:style w:type="character" w:customStyle="1" w:styleId="Charffff3">
    <w:name w:val="表格名称 Char"/>
    <w:link w:val="affffffffff2"/>
    <w:qFormat/>
    <w:locked/>
    <w:rPr>
      <w:rFonts w:ascii="黑体" w:eastAsia="黑体" w:hAnsi="黑体" w:cstheme="minorBidi"/>
      <w:sz w:val="24"/>
      <w:lang w:val="en-US" w:eastAsia="zh-CN" w:bidi="ar-SA"/>
    </w:rPr>
  </w:style>
  <w:style w:type="paragraph" w:customStyle="1" w:styleId="affffffffff2">
    <w:name w:val="表格名称"/>
    <w:basedOn w:val="af1"/>
    <w:next w:val="af1"/>
    <w:link w:val="Charffff3"/>
    <w:qFormat/>
    <w:pPr>
      <w:tabs>
        <w:tab w:val="left" w:pos="737"/>
      </w:tabs>
      <w:snapToGrid w:val="0"/>
      <w:spacing w:line="440" w:lineRule="exact"/>
      <w:ind w:left="992" w:hanging="992"/>
      <w:contextualSpacing/>
      <w:jc w:val="center"/>
    </w:pPr>
    <w:rPr>
      <w:rFonts w:ascii="黑体" w:eastAsia="黑体" w:hAnsi="黑体"/>
      <w:sz w:val="24"/>
      <w:szCs w:val="24"/>
    </w:rPr>
  </w:style>
  <w:style w:type="character" w:customStyle="1" w:styleId="CharCharCharc">
    <w:name w:val="表格 Char Char Char"/>
    <w:qFormat/>
    <w:rPr>
      <w:rFonts w:ascii="Times New Roman" w:eastAsia="宋体" w:hAnsi="Times New Roman" w:cs="Courier New"/>
      <w:szCs w:val="21"/>
      <w:lang w:val="en-US" w:eastAsia="zh-CN" w:bidi="ar-SA"/>
    </w:rPr>
  </w:style>
  <w:style w:type="character" w:customStyle="1" w:styleId="-CharChar0">
    <w:name w:val="徐-正文 Char Char"/>
    <w:link w:val="-7"/>
    <w:qFormat/>
    <w:locked/>
    <w:rPr>
      <w:rFonts w:asciiTheme="minorHAnsi" w:eastAsiaTheme="minorEastAsia" w:hAnsiTheme="minorHAnsi" w:cstheme="minorBidi"/>
      <w:sz w:val="24"/>
      <w:szCs w:val="22"/>
      <w:lang w:val="en-US" w:eastAsia="zh-CN" w:bidi="ar-SA"/>
    </w:rPr>
  </w:style>
  <w:style w:type="paragraph" w:customStyle="1" w:styleId="-7">
    <w:name w:val="徐-正文"/>
    <w:basedOn w:val="af1"/>
    <w:link w:val="-CharChar0"/>
    <w:qFormat/>
    <w:pPr>
      <w:adjustRightInd w:val="0"/>
      <w:snapToGrid w:val="0"/>
      <w:spacing w:line="360" w:lineRule="auto"/>
      <w:ind w:firstLineChars="200" w:firstLine="420"/>
    </w:pPr>
    <w:rPr>
      <w:rFonts w:asciiTheme="minorHAnsi" w:eastAsiaTheme="minorEastAsia" w:hAnsiTheme="minorHAnsi"/>
      <w:sz w:val="24"/>
    </w:rPr>
  </w:style>
  <w:style w:type="character" w:customStyle="1" w:styleId="312">
    <w:name w:val="正文文本缩进 3 字符1"/>
    <w:qFormat/>
    <w:rPr>
      <w:rFonts w:ascii="Times New Roman" w:eastAsia="宋体" w:hAnsi="Times New Roman" w:cs="Times New Roman"/>
      <w:kern w:val="2"/>
      <w:sz w:val="28"/>
      <w:szCs w:val="24"/>
      <w:lang w:val="en-US" w:eastAsia="zh-CN" w:bidi="ar-SA"/>
    </w:rPr>
  </w:style>
  <w:style w:type="character" w:customStyle="1" w:styleId="CharCharCharChara">
    <w:name w:val="表文 Char Char Char Char"/>
    <w:link w:val="CharCharffe"/>
    <w:qFormat/>
    <w:rPr>
      <w:rFonts w:asciiTheme="minorHAnsi" w:eastAsiaTheme="minorEastAsia" w:hAnsiTheme="minorHAnsi" w:cstheme="minorBidi"/>
      <w:szCs w:val="22"/>
      <w:lang w:val="en-US" w:eastAsia="zh-CN" w:bidi="ar-SA"/>
    </w:rPr>
  </w:style>
  <w:style w:type="paragraph" w:customStyle="1" w:styleId="CharCharffe">
    <w:name w:val="表文 Char Char"/>
    <w:basedOn w:val="af1"/>
    <w:link w:val="CharCharCharChara"/>
    <w:qFormat/>
    <w:pPr>
      <w:overflowPunct w:val="0"/>
      <w:adjustRightInd w:val="0"/>
      <w:snapToGrid w:val="0"/>
      <w:jc w:val="center"/>
      <w:textAlignment w:val="baseline"/>
    </w:pPr>
    <w:rPr>
      <w:rFonts w:asciiTheme="minorHAnsi" w:eastAsiaTheme="minorEastAsia" w:hAnsiTheme="minorHAnsi"/>
    </w:rPr>
  </w:style>
  <w:style w:type="character" w:customStyle="1" w:styleId="affff4">
    <w:name w:val="信息标题 字符"/>
    <w:link w:val="affff3"/>
    <w:qFormat/>
    <w:rPr>
      <w:rFonts w:ascii="Courier New" w:eastAsiaTheme="minorEastAsia" w:hAnsi="Courier New" w:cstheme="minorBidi"/>
      <w:sz w:val="24"/>
      <w:szCs w:val="21"/>
      <w:shd w:val="pct20" w:color="auto" w:fill="auto"/>
      <w:lang w:val="en-US" w:eastAsia="zh-CN" w:bidi="ar-SA"/>
    </w:rPr>
  </w:style>
  <w:style w:type="character" w:customStyle="1" w:styleId="Charffff4">
    <w:name w:val="表文 Char"/>
    <w:qFormat/>
    <w:rPr>
      <w:rFonts w:ascii="Times New Roman" w:eastAsia="宋体" w:hAnsi="Times New Roman" w:cs="Times New Roman"/>
      <w:kern w:val="2"/>
      <w:sz w:val="24"/>
      <w:lang w:val="en-US" w:eastAsia="zh-CN" w:bidi="ar-SA"/>
    </w:rPr>
  </w:style>
  <w:style w:type="character" w:customStyle="1" w:styleId="NoSpacingChar">
    <w:name w:val="No Spacing Char"/>
    <w:link w:val="2fc"/>
    <w:qFormat/>
    <w:locked/>
    <w:rPr>
      <w:rFonts w:ascii="Calibri" w:eastAsiaTheme="minorEastAsia" w:hAnsi="Calibri" w:cs="Calibri"/>
      <w:kern w:val="2"/>
      <w:sz w:val="21"/>
      <w:szCs w:val="21"/>
      <w:lang w:val="en-US" w:eastAsia="zh-CN" w:bidi="ar-SA"/>
    </w:rPr>
  </w:style>
  <w:style w:type="paragraph" w:customStyle="1" w:styleId="2fc">
    <w:name w:val="无间隔2"/>
    <w:link w:val="NoSpacingChar"/>
    <w:qFormat/>
    <w:pPr>
      <w:widowControl w:val="0"/>
      <w:jc w:val="both"/>
    </w:pPr>
    <w:rPr>
      <w:rFonts w:ascii="Calibri" w:hAnsi="Calibri" w:cs="Calibri"/>
      <w:kern w:val="2"/>
      <w:sz w:val="21"/>
      <w:szCs w:val="21"/>
    </w:rPr>
  </w:style>
  <w:style w:type="character" w:customStyle="1" w:styleId="content1">
    <w:name w:val="content1"/>
    <w:qFormat/>
    <w:rPr>
      <w:rFonts w:ascii="宋体" w:eastAsia="宋体" w:hAnsi="宋体" w:cs="Times New Roman"/>
      <w:color w:val="333333"/>
      <w:sz w:val="21"/>
      <w:lang w:val="en-US" w:eastAsia="zh-CN" w:bidi="ar-SA"/>
    </w:rPr>
  </w:style>
  <w:style w:type="character" w:customStyle="1" w:styleId="Char38">
    <w:name w:val="正文文本 Char3"/>
    <w:semiHidden/>
    <w:qFormat/>
    <w:rPr>
      <w:rFonts w:ascii="宋体" w:eastAsia="宋体" w:hAnsi="宋体" w:cs="Times New Roman"/>
      <w:kern w:val="2"/>
      <w:sz w:val="24"/>
      <w:szCs w:val="28"/>
      <w:lang w:val="en-US" w:eastAsia="zh-CN" w:bidi="ar-SA"/>
    </w:rPr>
  </w:style>
  <w:style w:type="character" w:customStyle="1" w:styleId="CharCharCharCharCharCharCharCharCharChar11">
    <w:name w:val="Char Char Char Char Char Char Char Char Char Char11"/>
    <w:qFormat/>
    <w:rPr>
      <w:rFonts w:ascii="宋体" w:eastAsia="宋体" w:hAnsi="宋体" w:cs="宋体"/>
      <w:kern w:val="2"/>
      <w:sz w:val="24"/>
      <w:szCs w:val="28"/>
      <w:lang w:val="en-US" w:eastAsia="zh-CN" w:bidi="ar-SA"/>
    </w:rPr>
  </w:style>
  <w:style w:type="character" w:customStyle="1" w:styleId="HTML11">
    <w:name w:val="HTML 预设格式 字符1"/>
    <w:qFormat/>
    <w:rPr>
      <w:rFonts w:ascii="Arial" w:eastAsia="宋体" w:hAnsi="Arial" w:cs="Times New Roman"/>
      <w:sz w:val="23"/>
      <w:szCs w:val="23"/>
      <w:lang w:val="en-US" w:eastAsia="zh-CN" w:bidi="ar-SA"/>
    </w:rPr>
  </w:style>
  <w:style w:type="character" w:customStyle="1" w:styleId="3Char3">
    <w:name w:val="样式 标题 3 + 小四 Char"/>
    <w:qFormat/>
    <w:rPr>
      <w:rFonts w:ascii="黑体" w:eastAsia="黑体" w:hAnsi="Times New Roman" w:cs="Times New Roman" w:hint="eastAsia"/>
      <w:b/>
      <w:bCs/>
      <w:kern w:val="2"/>
      <w:sz w:val="24"/>
      <w:szCs w:val="24"/>
      <w:lang w:val="en-US" w:eastAsia="zh-CN" w:bidi="ar-SA"/>
    </w:rPr>
  </w:style>
  <w:style w:type="character" w:customStyle="1" w:styleId="210pt16">
    <w:name w:val="正文文本 (2) + 10 pt16"/>
    <w:qFormat/>
    <w:rPr>
      <w:rFonts w:ascii="MingLiU" w:eastAsia="MingLiU" w:hAnsi="Times New Roman" w:cs="MingLiU"/>
      <w:kern w:val="2"/>
      <w:sz w:val="20"/>
      <w:szCs w:val="20"/>
      <w:u w:val="none"/>
      <w:lang w:val="en-US" w:eastAsia="zh-CN" w:bidi="ar-SA"/>
    </w:rPr>
  </w:style>
  <w:style w:type="character" w:customStyle="1" w:styleId="1fb">
    <w:name w:val="批注框文本 字符1"/>
    <w:qFormat/>
    <w:rPr>
      <w:rFonts w:ascii="Calibri" w:eastAsia="宋体" w:hAnsi="Calibri" w:cs="Times New Roman"/>
      <w:kern w:val="2"/>
      <w:sz w:val="18"/>
      <w:szCs w:val="18"/>
      <w:lang w:val="en-US" w:eastAsia="zh-CN" w:bidi="ar-SA"/>
    </w:rPr>
  </w:style>
  <w:style w:type="character" w:customStyle="1" w:styleId="font41">
    <w:name w:val="font41"/>
    <w:qFormat/>
    <w:rPr>
      <w:rFonts w:ascii="Calibri" w:eastAsia="宋体" w:hAnsi="Calibri" w:cs="Calibri" w:hint="default"/>
      <w:color w:val="000000"/>
      <w:sz w:val="21"/>
      <w:szCs w:val="21"/>
      <w:u w:val="none"/>
      <w:lang w:val="en-US" w:eastAsia="zh-CN" w:bidi="ar-SA"/>
    </w:rPr>
  </w:style>
  <w:style w:type="character" w:customStyle="1" w:styleId="style61">
    <w:name w:val="style61"/>
    <w:qFormat/>
    <w:rPr>
      <w:rFonts w:ascii="Times New Roman" w:eastAsia="宋体" w:hAnsi="Times New Roman" w:cs="Times New Roman"/>
      <w:kern w:val="2"/>
      <w:sz w:val="24"/>
      <w:szCs w:val="24"/>
      <w:lang w:val="en-US" w:eastAsia="zh-CN" w:bidi="ar-SA"/>
    </w:rPr>
  </w:style>
  <w:style w:type="character" w:customStyle="1" w:styleId="style31">
    <w:name w:val="style31"/>
    <w:qFormat/>
    <w:rPr>
      <w:rFonts w:ascii="Times New Roman" w:eastAsia="宋体" w:hAnsi="Times New Roman" w:cs="Times New Roman"/>
      <w:b/>
      <w:bCs/>
      <w:color w:val="3795D2"/>
      <w:sz w:val="21"/>
      <w:szCs w:val="21"/>
      <w:lang w:val="en-US" w:eastAsia="zh-CN" w:bidi="ar-SA"/>
    </w:rPr>
  </w:style>
  <w:style w:type="character" w:customStyle="1" w:styleId="Char25">
    <w:name w:val="文本条款 Char2"/>
    <w:qFormat/>
    <w:rPr>
      <w:rFonts w:ascii="宋体" w:eastAsia="宋体" w:hAnsi="宋体" w:cs="Times New Roman" w:hint="eastAsia"/>
      <w:b/>
      <w:color w:val="008000"/>
      <w:kern w:val="2"/>
      <w:sz w:val="24"/>
      <w:szCs w:val="24"/>
      <w:lang w:val="en-US" w:eastAsia="zh-CN" w:bidi="ar-SA"/>
    </w:rPr>
  </w:style>
  <w:style w:type="character" w:customStyle="1" w:styleId="9CharChar">
    <w:name w:val="样式9 Char Char"/>
    <w:link w:val="92"/>
    <w:qFormat/>
    <w:locked/>
    <w:rPr>
      <w:rFonts w:asciiTheme="minorHAnsi" w:eastAsiaTheme="minorEastAsia" w:hAnsiTheme="minorHAnsi" w:cstheme="minorBidi"/>
      <w:sz w:val="24"/>
      <w:szCs w:val="22"/>
      <w:lang w:val="en-US" w:eastAsia="zh-CN" w:bidi="ar-SA"/>
    </w:rPr>
  </w:style>
  <w:style w:type="paragraph" w:customStyle="1" w:styleId="92">
    <w:name w:val="样式9"/>
    <w:basedOn w:val="af1"/>
    <w:link w:val="9CharChar"/>
    <w:qFormat/>
    <w:pPr>
      <w:spacing w:beforeLines="50" w:afterLines="50" w:line="460" w:lineRule="exact"/>
      <w:ind w:firstLineChars="200" w:firstLine="480"/>
    </w:pPr>
    <w:rPr>
      <w:rFonts w:asciiTheme="minorHAnsi" w:eastAsiaTheme="minorEastAsia" w:hAnsiTheme="minorHAnsi"/>
      <w:sz w:val="24"/>
    </w:rPr>
  </w:style>
  <w:style w:type="character" w:customStyle="1" w:styleId="-Char0">
    <w:name w:val="正文-蓝色 Char"/>
    <w:link w:val="-a"/>
    <w:qFormat/>
    <w:rPr>
      <w:rFonts w:asciiTheme="minorHAnsi" w:eastAsiaTheme="minorEastAsia" w:hAnsiTheme="minorHAnsi" w:cstheme="minorBidi"/>
      <w:color w:val="0000FF"/>
      <w:sz w:val="24"/>
      <w:szCs w:val="28"/>
      <w:lang w:val="en-US" w:eastAsia="zh-CN" w:bidi="ar-SA"/>
    </w:rPr>
  </w:style>
  <w:style w:type="paragraph" w:customStyle="1" w:styleId="-a">
    <w:name w:val="正文-蓝色"/>
    <w:basedOn w:val="af1"/>
    <w:link w:val="-Char0"/>
    <w:qFormat/>
    <w:pPr>
      <w:spacing w:line="360" w:lineRule="auto"/>
      <w:ind w:firstLineChars="200" w:firstLine="200"/>
    </w:pPr>
    <w:rPr>
      <w:rFonts w:asciiTheme="minorHAnsi" w:eastAsiaTheme="minorEastAsia" w:hAnsiTheme="minorHAnsi"/>
      <w:color w:val="0000FF"/>
      <w:sz w:val="24"/>
      <w:szCs w:val="28"/>
    </w:rPr>
  </w:style>
  <w:style w:type="character" w:customStyle="1" w:styleId="CharChar1">
    <w:name w:val="表格 Char Char"/>
    <w:link w:val="afffffc"/>
    <w:qFormat/>
    <w:rPr>
      <w:rFonts w:ascii="昆仑仿宋" w:eastAsia="昆仑仿宋" w:hAnsi="Times New Roman" w:cs="Times New Roman"/>
      <w:sz w:val="24"/>
      <w:lang w:val="en-US" w:eastAsia="zh-CN" w:bidi="ar-SA"/>
    </w:rPr>
  </w:style>
  <w:style w:type="character" w:customStyle="1" w:styleId="2CharChar5">
    <w:name w:val="正文2 Char Char"/>
    <w:link w:val="2fd"/>
    <w:qFormat/>
    <w:rPr>
      <w:rFonts w:asciiTheme="minorHAnsi" w:eastAsia="宋体" w:hAnsiTheme="minorHAnsi" w:cstheme="minorBidi"/>
      <w:sz w:val="24"/>
      <w:szCs w:val="22"/>
      <w:lang w:val="en-US" w:eastAsia="zh-CN" w:bidi="ar-SA"/>
    </w:rPr>
  </w:style>
  <w:style w:type="paragraph" w:customStyle="1" w:styleId="2fd">
    <w:name w:val="正文2"/>
    <w:basedOn w:val="af1"/>
    <w:link w:val="2CharChar5"/>
    <w:qFormat/>
    <w:pPr>
      <w:adjustRightInd w:val="0"/>
      <w:snapToGrid w:val="0"/>
      <w:spacing w:line="440" w:lineRule="atLeast"/>
      <w:ind w:firstLine="567"/>
    </w:pPr>
    <w:rPr>
      <w:rFonts w:asciiTheme="minorHAnsi" w:hAnsiTheme="minorHAnsi"/>
      <w:sz w:val="24"/>
    </w:rPr>
  </w:style>
  <w:style w:type="character" w:customStyle="1" w:styleId="Char1f2">
    <w:name w:val="电子邮件签名 Char1"/>
    <w:qFormat/>
    <w:rPr>
      <w:rFonts w:ascii="Calibri" w:eastAsia="宋体" w:hAnsi="Calibri" w:cs="Times New Roman"/>
      <w:kern w:val="2"/>
      <w:sz w:val="24"/>
      <w:szCs w:val="24"/>
      <w:lang w:val="en-US" w:eastAsia="zh-CN" w:bidi="ar-SA"/>
    </w:rPr>
  </w:style>
  <w:style w:type="character" w:customStyle="1" w:styleId="210pt15">
    <w:name w:val="正文文本 (2) + 10 pt15"/>
    <w:qFormat/>
    <w:rPr>
      <w:rFonts w:ascii="MingLiU" w:eastAsia="MingLiU" w:hAnsi="Times New Roman" w:cs="MingLiU"/>
      <w:spacing w:val="-10"/>
      <w:kern w:val="2"/>
      <w:sz w:val="20"/>
      <w:szCs w:val="20"/>
      <w:u w:val="none"/>
      <w:lang w:val="en-US" w:eastAsia="en-US" w:bidi="ar-SA"/>
    </w:rPr>
  </w:style>
  <w:style w:type="character" w:customStyle="1" w:styleId="3Char20">
    <w:name w:val="正文文本缩进 3 Char2"/>
    <w:qFormat/>
    <w:rPr>
      <w:rFonts w:ascii="Times New Roman" w:eastAsia="宋体" w:hAnsi="Times New Roman" w:cs="Times New Roman"/>
      <w:kern w:val="2"/>
      <w:sz w:val="16"/>
      <w:szCs w:val="16"/>
      <w:lang w:val="en-US" w:eastAsia="zh-CN" w:bidi="ar-SA"/>
    </w:rPr>
  </w:style>
  <w:style w:type="character" w:customStyle="1" w:styleId="CharCharfff">
    <w:name w:val="正文首行缩进 Char Char"/>
    <w:qFormat/>
    <w:rPr>
      <w:rFonts w:ascii="Times New Roman" w:eastAsia="黑体" w:hAnsi="Times New Roman" w:cs="Times New Roman"/>
      <w:b/>
      <w:color w:val="008000"/>
      <w:kern w:val="2"/>
      <w:sz w:val="24"/>
      <w:szCs w:val="24"/>
      <w:lang w:val="en-US" w:eastAsia="zh-CN" w:bidi="ar-SA"/>
    </w:rPr>
  </w:style>
  <w:style w:type="character" w:customStyle="1" w:styleId="text1">
    <w:name w:val="text1"/>
    <w:basedOn w:val="af3"/>
    <w:qFormat/>
    <w:rPr>
      <w:rFonts w:ascii="Times New Roman" w:eastAsia="宋体" w:hAnsi="Times New Roman" w:cs="Times New Roman"/>
      <w:lang w:val="en-US" w:eastAsia="zh-CN" w:bidi="ar-SA"/>
    </w:rPr>
  </w:style>
  <w:style w:type="character" w:customStyle="1" w:styleId="emptyblank">
    <w:name w:val="emptyblank"/>
    <w:basedOn w:val="af3"/>
    <w:qFormat/>
    <w:rPr>
      <w:rFonts w:ascii="Times New Roman" w:eastAsia="宋体" w:hAnsi="Times New Roman" w:cs="Times New Roman"/>
      <w:lang w:val="en-US" w:eastAsia="zh-CN" w:bidi="ar-SA"/>
    </w:rPr>
  </w:style>
  <w:style w:type="character" w:customStyle="1" w:styleId="Char1f3">
    <w:name w:val="宏文本 Char1"/>
    <w:qFormat/>
    <w:rPr>
      <w:rFonts w:ascii="Courier New" w:eastAsia="宋体" w:hAnsi="Courier New" w:cs="Courier New"/>
      <w:kern w:val="2"/>
      <w:sz w:val="24"/>
      <w:szCs w:val="24"/>
      <w:lang w:val="en-US" w:eastAsia="zh-CN" w:bidi="ar-SA"/>
    </w:rPr>
  </w:style>
  <w:style w:type="character" w:customStyle="1" w:styleId="CharCharfff0">
    <w:name w:val="规划正文样式 Char Char"/>
    <w:qFormat/>
    <w:rPr>
      <w:rFonts w:ascii="Arial Black" w:eastAsia="Times New Roman" w:hAnsi="Arial Black" w:cs="Times New Roman"/>
      <w:kern w:val="2"/>
      <w:sz w:val="24"/>
      <w:lang w:val="en-US" w:eastAsia="zh-CN" w:bidi="ar-SA"/>
    </w:rPr>
  </w:style>
  <w:style w:type="character" w:customStyle="1" w:styleId="word3noad">
    <w:name w:val="word3noad"/>
    <w:qFormat/>
    <w:rPr>
      <w:rFonts w:ascii="Times New Roman" w:eastAsia="宋体" w:hAnsi="Times New Roman" w:cs="Times New Roman"/>
      <w:lang w:val="en-US" w:eastAsia="zh-CN" w:bidi="ar-SA"/>
    </w:rPr>
  </w:style>
  <w:style w:type="character" w:customStyle="1" w:styleId="afd">
    <w:name w:val="注释标题 字符"/>
    <w:link w:val="afc"/>
    <w:qFormat/>
    <w:rPr>
      <w:rFonts w:asciiTheme="minorHAnsi" w:eastAsia="宋体" w:hAnsiTheme="minorHAnsi" w:cstheme="minorBidi"/>
      <w:lang w:val="en-US" w:eastAsia="zh-CN" w:bidi="ar-SA"/>
    </w:rPr>
  </w:style>
  <w:style w:type="character" w:customStyle="1" w:styleId="1Chard">
    <w:name w:val="页眉1 Char"/>
    <w:qFormat/>
    <w:rPr>
      <w:rFonts w:ascii="Arial Black" w:eastAsia="Verdana" w:hAnsi="Arial Black" w:cs="Times New Roman"/>
      <w:kern w:val="2"/>
      <w:sz w:val="18"/>
      <w:szCs w:val="18"/>
      <w:lang w:val="en-US" w:eastAsia="zh-CN" w:bidi="ar-SA"/>
    </w:rPr>
  </w:style>
  <w:style w:type="character" w:customStyle="1" w:styleId="1fc">
    <w:name w:val="已访问的超链接1"/>
    <w:qFormat/>
    <w:rPr>
      <w:rFonts w:ascii="Times New Roman" w:eastAsia="宋体" w:hAnsi="Times New Roman" w:cs="Times New Roman"/>
      <w:color w:val="800080"/>
      <w:u w:val="single"/>
      <w:lang w:val="en-US" w:eastAsia="zh-CN" w:bidi="ar-SA"/>
    </w:rPr>
  </w:style>
  <w:style w:type="character" w:customStyle="1" w:styleId="CharChar143">
    <w:name w:val="Char Char143"/>
    <w:qFormat/>
    <w:rPr>
      <w:rFonts w:ascii="Times New Roman" w:eastAsia="宋体" w:hAnsi="Times New Roman" w:cs="Times New Roman"/>
      <w:kern w:val="2"/>
      <w:sz w:val="18"/>
      <w:szCs w:val="18"/>
      <w:lang w:val="en-US" w:eastAsia="zh-CN" w:bidi="ar-SA"/>
    </w:rPr>
  </w:style>
  <w:style w:type="character" w:customStyle="1" w:styleId="evenChar">
    <w:name w:val="even Char"/>
    <w:semiHidden/>
    <w:qFormat/>
    <w:rPr>
      <w:rFonts w:ascii="Times New Roman" w:eastAsia="宋体" w:hAnsi="Times New Roman" w:cs="Times New Roman"/>
      <w:sz w:val="18"/>
      <w:lang w:val="en-US" w:eastAsia="zh-CN" w:bidi="ar-SA"/>
    </w:rPr>
  </w:style>
  <w:style w:type="character" w:customStyle="1" w:styleId="TableTextChar">
    <w:name w:val="TableText Char"/>
    <w:qFormat/>
    <w:rPr>
      <w:rFonts w:ascii="Times New Roman" w:eastAsia="宋体" w:hAnsi="Times New Roman" w:cs="Times New Roman"/>
      <w:kern w:val="2"/>
      <w:sz w:val="21"/>
      <w:szCs w:val="24"/>
      <w:lang w:val="en-US" w:eastAsia="zh-CN" w:bidi="ar-SA"/>
    </w:rPr>
  </w:style>
  <w:style w:type="character" w:customStyle="1" w:styleId="Heading7Char">
    <w:name w:val="Heading 7 Char"/>
    <w:qFormat/>
    <w:locked/>
    <w:rPr>
      <w:rFonts w:ascii="Times New Roman" w:eastAsia="宋体" w:hAnsi="Times New Roman" w:cs="Times New Roman"/>
      <w:b/>
      <w:sz w:val="24"/>
      <w:lang w:val="en-US" w:eastAsia="zh-CN" w:bidi="ar-SA"/>
    </w:rPr>
  </w:style>
  <w:style w:type="character" w:customStyle="1" w:styleId="mainfirst1">
    <w:name w:val="mainfirst1"/>
    <w:qFormat/>
    <w:rPr>
      <w:rFonts w:ascii="Verdana" w:eastAsia="楷体" w:hAnsi="Verdana" w:cs="Times New Roman"/>
      <w:b/>
      <w:color w:val="FF0000"/>
      <w:kern w:val="2"/>
      <w:sz w:val="36"/>
      <w:lang w:val="en-US" w:eastAsia="zh-CN" w:bidi="ar-SA"/>
    </w:rPr>
  </w:style>
  <w:style w:type="character" w:customStyle="1" w:styleId="CharCharChard">
    <w:name w:val="内容 Char Char Char"/>
    <w:qFormat/>
    <w:rPr>
      <w:rFonts w:ascii="Times New Roman" w:eastAsia="宋体" w:hAnsi="Times New Roman" w:cs="Times New Roman"/>
      <w:kern w:val="2"/>
      <w:sz w:val="24"/>
      <w:lang w:val="en-US" w:eastAsia="zh-CN" w:bidi="ar-SA"/>
    </w:rPr>
  </w:style>
  <w:style w:type="character" w:customStyle="1" w:styleId="8Char1">
    <w:name w:val="标题 8 Char1"/>
    <w:qFormat/>
    <w:rPr>
      <w:rFonts w:ascii="Arial" w:eastAsia="黑体" w:hAnsi="Arial" w:cs="Times New Roman"/>
      <w:sz w:val="24"/>
      <w:lang w:val="en-US" w:eastAsia="zh-CN" w:bidi="ar-SA"/>
    </w:rPr>
  </w:style>
  <w:style w:type="character" w:customStyle="1" w:styleId="858D7CFB-ED40-4347-BF05-701D383B685F2">
    <w:name w:val="纯文本[858D7CFB-ED40-4347-BF05-701D383B685F]2"/>
    <w:qFormat/>
    <w:rPr>
      <w:rFonts w:ascii="宋体" w:eastAsia="宋体" w:hAnsi="宋体" w:cs="Times New Roman"/>
      <w:sz w:val="24"/>
      <w:lang w:val="en-US" w:eastAsia="zh-CN" w:bidi="ar-SA"/>
    </w:rPr>
  </w:style>
  <w:style w:type="character" w:customStyle="1" w:styleId="affffffffff3">
    <w:name w:val="引用 字符"/>
    <w:uiPriority w:val="99"/>
    <w:qFormat/>
    <w:rPr>
      <w:rFonts w:ascii="Times New Roman" w:eastAsia="宋体" w:hAnsi="Times New Roman" w:cs="Times New Roman"/>
      <w:i/>
      <w:iCs/>
      <w:color w:val="404040"/>
      <w:kern w:val="2"/>
      <w:sz w:val="21"/>
      <w:szCs w:val="24"/>
      <w:lang w:val="en-US" w:eastAsia="zh-CN" w:bidi="ar-SA"/>
    </w:rPr>
  </w:style>
  <w:style w:type="character" w:customStyle="1" w:styleId="xybCharCharCharCharChar0">
    <w:name w:val="xyb自建正文 Char Char Char Char Char"/>
    <w:link w:val="xybCharCharChar0"/>
    <w:qFormat/>
    <w:rPr>
      <w:rFonts w:ascii="宋体" w:eastAsiaTheme="minorEastAsia" w:hAnsiTheme="minorHAnsi" w:cstheme="minorBidi"/>
      <w:spacing w:val="-2"/>
      <w:sz w:val="24"/>
      <w:szCs w:val="22"/>
      <w:lang w:val="en-US" w:eastAsia="zh-CN" w:bidi="ar-SA"/>
    </w:rPr>
  </w:style>
  <w:style w:type="paragraph" w:customStyle="1" w:styleId="xybCharCharChar0">
    <w:name w:val="xyb自建正文 Char Char Char"/>
    <w:basedOn w:val="af1"/>
    <w:link w:val="xybCharCharCharCharChar0"/>
    <w:qFormat/>
    <w:pPr>
      <w:tabs>
        <w:tab w:val="left" w:pos="1440"/>
        <w:tab w:val="left" w:pos="8280"/>
      </w:tabs>
      <w:spacing w:line="360" w:lineRule="auto"/>
      <w:ind w:firstLineChars="200" w:firstLine="200"/>
    </w:pPr>
    <w:rPr>
      <w:rFonts w:ascii="宋体" w:eastAsiaTheme="minorEastAsia" w:hAnsiTheme="minorHAnsi"/>
      <w:spacing w:val="-2"/>
      <w:sz w:val="24"/>
    </w:rPr>
  </w:style>
  <w:style w:type="character" w:customStyle="1" w:styleId="2cg">
    <w:name w:val="标题 2 cg"/>
    <w:qFormat/>
    <w:rPr>
      <w:rFonts w:ascii="Times New Roman" w:eastAsia="楷体" w:hAnsi="Times New Roman" w:cs="Times New Roman"/>
      <w:color w:val="000000"/>
      <w:kern w:val="2"/>
      <w:sz w:val="28"/>
      <w:lang w:val="en-US" w:eastAsia="zh-CN" w:bidi="ar-SA"/>
    </w:rPr>
  </w:style>
  <w:style w:type="character" w:customStyle="1" w:styleId="Charffff5">
    <w:name w:val="标准表格 Char"/>
    <w:link w:val="affffffffff4"/>
    <w:qFormat/>
    <w:rPr>
      <w:rFonts w:asciiTheme="minorHAnsi" w:eastAsiaTheme="minorEastAsia" w:hAnsiTheme="minorHAnsi" w:cstheme="minorBidi"/>
      <w:szCs w:val="21"/>
      <w:lang w:val="en-US" w:eastAsia="zh-CN" w:bidi="ar-SA"/>
    </w:rPr>
  </w:style>
  <w:style w:type="paragraph" w:customStyle="1" w:styleId="affffffffff4">
    <w:name w:val="标准表格"/>
    <w:basedOn w:val="af1"/>
    <w:link w:val="Charffff5"/>
    <w:qFormat/>
    <w:pPr>
      <w:widowControl/>
      <w:adjustRightInd w:val="0"/>
      <w:snapToGrid w:val="0"/>
      <w:jc w:val="center"/>
    </w:pPr>
    <w:rPr>
      <w:rFonts w:asciiTheme="minorHAnsi" w:eastAsiaTheme="minorEastAsia" w:hAnsiTheme="minorHAnsi"/>
      <w:szCs w:val="21"/>
    </w:rPr>
  </w:style>
  <w:style w:type="character" w:customStyle="1" w:styleId="style921">
    <w:name w:val="style921"/>
    <w:qFormat/>
    <w:rPr>
      <w:rFonts w:ascii="Arial Black" w:eastAsia="Times New Roman" w:hAnsi="Arial Black" w:cs="Times New Roman"/>
      <w:sz w:val="16"/>
      <w:lang w:val="en-US" w:eastAsia="en-US" w:bidi="ar-SA"/>
    </w:rPr>
  </w:style>
  <w:style w:type="character" w:customStyle="1" w:styleId="1Chare">
    <w:name w:val="样式 样式 样式1 + 小四 + 四号 Char"/>
    <w:link w:val="1fd"/>
    <w:qFormat/>
    <w:rPr>
      <w:rFonts w:ascii="Times New Roman" w:eastAsia="宋体" w:hAnsi="Times New Roman" w:cs="Times New Roman"/>
      <w:b/>
      <w:lang w:val="en-US" w:eastAsia="zh-CN" w:bidi="ar-SA"/>
    </w:rPr>
  </w:style>
  <w:style w:type="paragraph" w:customStyle="1" w:styleId="1fd">
    <w:name w:val="样式 样式 样式1 + 小四 + 四号"/>
    <w:basedOn w:val="1d"/>
    <w:link w:val="1Chare"/>
    <w:qFormat/>
    <w:rPr>
      <w:b/>
    </w:rPr>
  </w:style>
  <w:style w:type="character" w:customStyle="1" w:styleId="f24">
    <w:name w:val="f24"/>
    <w:basedOn w:val="af3"/>
    <w:qFormat/>
    <w:rPr>
      <w:rFonts w:ascii="Times New Roman" w:eastAsia="宋体" w:hAnsi="Times New Roman" w:cs="Times New Roman"/>
      <w:lang w:val="en-US" w:eastAsia="zh-CN" w:bidi="ar-SA"/>
    </w:rPr>
  </w:style>
  <w:style w:type="character" w:customStyle="1" w:styleId="2fe">
    <w:name w:val="签名 字符2"/>
    <w:uiPriority w:val="99"/>
    <w:semiHidden/>
    <w:qFormat/>
    <w:rPr>
      <w:rFonts w:ascii="Calibri" w:eastAsia="宋体" w:hAnsi="Calibri" w:cs="Times New Roman"/>
      <w:kern w:val="2"/>
      <w:sz w:val="21"/>
      <w:lang w:val="en-US" w:eastAsia="zh-CN" w:bidi="ar-SA"/>
    </w:rPr>
  </w:style>
  <w:style w:type="character" w:customStyle="1" w:styleId="114">
    <w:name w:val="网格表 1 浅色1"/>
    <w:qFormat/>
    <w:rPr>
      <w:rFonts w:ascii="黑体" w:eastAsia="黑体" w:hAnsi="Times New Roman" w:cs="Times New Roman"/>
      <w:sz w:val="21"/>
      <w:szCs w:val="21"/>
      <w:lang w:val="en-US" w:eastAsia="zh-CN" w:bidi="ar-SA"/>
    </w:rPr>
  </w:style>
  <w:style w:type="character" w:customStyle="1" w:styleId="Char120">
    <w:name w:val="特点 Char12"/>
    <w:qFormat/>
    <w:rPr>
      <w:rFonts w:ascii="Times New Roman" w:eastAsia="宋体" w:hAnsi="Times New Roman" w:cs="Times New Roman" w:hint="default"/>
      <w:b/>
      <w:color w:val="008000"/>
      <w:kern w:val="2"/>
      <w:sz w:val="24"/>
      <w:szCs w:val="24"/>
      <w:lang w:val="en-US" w:eastAsia="zh-CN" w:bidi="ar-SA"/>
    </w:rPr>
  </w:style>
  <w:style w:type="character" w:customStyle="1" w:styleId="CharCharCharCharCharCharCharCharCharCharChar">
    <w:name w:val="报告书正文 Char Char Char Char Char Char Char Char Char Char Char"/>
    <w:qFormat/>
    <w:rPr>
      <w:rFonts w:ascii="Times New Roman" w:eastAsia="宋体" w:hAnsi="Times New Roman" w:cs="Times New Roman"/>
      <w:color w:val="000000"/>
      <w:kern w:val="2"/>
      <w:sz w:val="24"/>
      <w:szCs w:val="24"/>
      <w:lang w:val="en-US" w:eastAsia="zh-CN" w:bidi="ar-SA"/>
    </w:rPr>
  </w:style>
  <w:style w:type="character" w:customStyle="1" w:styleId="CChar">
    <w:name w:val="C表后正文 Char"/>
    <w:link w:val="C"/>
    <w:qFormat/>
    <w:rPr>
      <w:rFonts w:ascii="Times New Roman" w:eastAsia="宋体" w:hAnsi="Times New Roman" w:cs="Times New Roman"/>
      <w:lang w:val="en-US" w:eastAsia="zh-CN" w:bidi="ar-SA"/>
    </w:rPr>
  </w:style>
  <w:style w:type="paragraph" w:customStyle="1" w:styleId="C">
    <w:name w:val="C表后正文"/>
    <w:basedOn w:val="C0"/>
    <w:link w:val="CChar"/>
    <w:qFormat/>
    <w:pPr>
      <w:spacing w:beforeLines="50"/>
    </w:pPr>
  </w:style>
  <w:style w:type="paragraph" w:customStyle="1" w:styleId="C0">
    <w:name w:val="C小四正文"/>
    <w:basedOn w:val="af1"/>
    <w:next w:val="af1"/>
    <w:link w:val="CChar0"/>
    <w:qFormat/>
    <w:pPr>
      <w:spacing w:line="360" w:lineRule="auto"/>
    </w:pPr>
    <w:rPr>
      <w:rFonts w:asciiTheme="minorHAnsi" w:eastAsiaTheme="minorEastAsia" w:hAnsiTheme="minorHAnsi"/>
      <w:szCs w:val="21"/>
    </w:rPr>
  </w:style>
  <w:style w:type="character" w:customStyle="1" w:styleId="CChar0">
    <w:name w:val="C小四正文 Char"/>
    <w:link w:val="C0"/>
    <w:qFormat/>
    <w:rPr>
      <w:rFonts w:asciiTheme="minorHAnsi" w:eastAsiaTheme="minorEastAsia" w:hAnsiTheme="minorHAnsi" w:cstheme="minorBidi"/>
      <w:szCs w:val="21"/>
      <w:lang w:val="en-US" w:eastAsia="zh-CN" w:bidi="ar-SA"/>
    </w:rPr>
  </w:style>
  <w:style w:type="character" w:customStyle="1" w:styleId="1cgCharChar">
    <w:name w:val="样式 标题 1 cg Char Char"/>
    <w:link w:val="1cg"/>
    <w:qFormat/>
    <w:locked/>
    <w:rPr>
      <w:rFonts w:asciiTheme="minorHAnsi" w:eastAsiaTheme="minorEastAsia" w:hAnsiTheme="minorHAnsi" w:cstheme="minorBidi"/>
      <w:color w:val="0000FF"/>
      <w:kern w:val="44"/>
      <w:sz w:val="30"/>
      <w:szCs w:val="22"/>
      <w:lang w:val="en-US" w:eastAsia="zh-CN" w:bidi="ar-SA"/>
    </w:rPr>
  </w:style>
  <w:style w:type="paragraph" w:customStyle="1" w:styleId="1cg">
    <w:name w:val="样式 标题 1 cg"/>
    <w:basedOn w:val="1"/>
    <w:link w:val="1cgCharChar"/>
    <w:qFormat/>
    <w:pPr>
      <w:keepLines w:val="0"/>
      <w:widowControl/>
      <w:jc w:val="left"/>
    </w:pPr>
    <w:rPr>
      <w:rFonts w:asciiTheme="minorHAnsi" w:eastAsiaTheme="minorEastAsia" w:hAnsiTheme="minorHAnsi" w:cstheme="minorBidi"/>
      <w:bCs w:val="0"/>
      <w:color w:val="0000FF"/>
      <w:kern w:val="44"/>
      <w:sz w:val="30"/>
      <w:szCs w:val="22"/>
    </w:rPr>
  </w:style>
  <w:style w:type="character" w:customStyle="1" w:styleId="2TimesNewRomanChar">
    <w:name w:val="正文首行缩进 2 + Times New Roman Char"/>
    <w:link w:val="2TimesNewRoman"/>
    <w:qFormat/>
    <w:rPr>
      <w:rFonts w:asciiTheme="minorHAnsi" w:eastAsia="宋体" w:hAnsi="宋体" w:cstheme="minorBidi"/>
      <w:sz w:val="24"/>
      <w:lang w:val="en-US" w:eastAsia="zh-CN" w:bidi="ar-SA"/>
    </w:rPr>
  </w:style>
  <w:style w:type="paragraph" w:customStyle="1" w:styleId="2TimesNewRoman">
    <w:name w:val="正文首行缩进 2 + Times New Roman"/>
    <w:basedOn w:val="af1"/>
    <w:link w:val="2TimesNewRomanChar"/>
    <w:qFormat/>
    <w:pPr>
      <w:tabs>
        <w:tab w:val="left" w:pos="0"/>
        <w:tab w:val="left" w:pos="870"/>
        <w:tab w:val="left" w:pos="3150"/>
      </w:tabs>
      <w:autoSpaceDE w:val="0"/>
      <w:autoSpaceDN w:val="0"/>
      <w:spacing w:line="360" w:lineRule="auto"/>
      <w:ind w:firstLineChars="200" w:firstLine="480"/>
    </w:pPr>
    <w:rPr>
      <w:rFonts w:asciiTheme="minorHAnsi" w:hAnsi="宋体"/>
      <w:sz w:val="24"/>
      <w:szCs w:val="24"/>
    </w:rPr>
  </w:style>
  <w:style w:type="character" w:customStyle="1" w:styleId="t31">
    <w:name w:val="t31"/>
    <w:qFormat/>
    <w:rPr>
      <w:rFonts w:ascii="Times New Roman" w:eastAsia="宋体" w:hAnsi="Times New Roman" w:cs="Times New Roman"/>
      <w:color w:val="000000"/>
      <w:sz w:val="26"/>
      <w:szCs w:val="26"/>
      <w:lang w:val="en-US" w:eastAsia="zh-CN" w:bidi="ar-SA"/>
    </w:rPr>
  </w:style>
  <w:style w:type="character" w:customStyle="1" w:styleId="Char1f4">
    <w:name w:val="正文首行缩进 Char1"/>
    <w:qFormat/>
    <w:rPr>
      <w:rFonts w:ascii="Times New Roman" w:eastAsia="楷体_GB2312" w:hAnsi="Times New Roman" w:cs="Times New Roman"/>
      <w:sz w:val="28"/>
      <w:szCs w:val="24"/>
      <w:lang w:val="en-US" w:eastAsia="zh-CN" w:bidi="ar-SA"/>
    </w:rPr>
  </w:style>
  <w:style w:type="character" w:customStyle="1" w:styleId="Charffff6">
    <w:name w:val="表格正文 Char"/>
    <w:link w:val="affffffffff5"/>
    <w:qFormat/>
    <w:rPr>
      <w:rFonts w:asciiTheme="minorHAnsi" w:eastAsia="宋体" w:hAnsiTheme="minorHAnsi" w:cstheme="minorBidi"/>
      <w:szCs w:val="22"/>
      <w:lang w:val="en-US" w:eastAsia="zh-CN" w:bidi="ar-SA"/>
    </w:rPr>
  </w:style>
  <w:style w:type="paragraph" w:customStyle="1" w:styleId="affffffffff5">
    <w:name w:val="表格正文"/>
    <w:basedOn w:val="af1"/>
    <w:link w:val="Charffff6"/>
    <w:qFormat/>
    <w:pPr>
      <w:adjustRightInd w:val="0"/>
      <w:spacing w:line="0" w:lineRule="atLeast"/>
      <w:textAlignment w:val="baseline"/>
    </w:pPr>
    <w:rPr>
      <w:rFonts w:asciiTheme="minorHAnsi" w:hAnsiTheme="minorHAnsi"/>
    </w:rPr>
  </w:style>
  <w:style w:type="character" w:customStyle="1" w:styleId="2Char12">
    <w:name w:val="正文文本缩进 2 Char1"/>
    <w:qFormat/>
    <w:rPr>
      <w:rFonts w:ascii="Calibri" w:eastAsia="宋体" w:hAnsi="Calibri" w:cs="Times New Roman"/>
      <w:sz w:val="24"/>
      <w:lang w:val="en-US" w:eastAsia="zh-CN" w:bidi="ar-SA"/>
    </w:rPr>
  </w:style>
  <w:style w:type="character" w:customStyle="1" w:styleId="CharCharfff1">
    <w:name w:val="泸县焦化二级标题 Char Char"/>
    <w:link w:val="affffffffff6"/>
    <w:qFormat/>
    <w:locked/>
    <w:rPr>
      <w:rFonts w:asciiTheme="minorHAnsi" w:eastAsiaTheme="minorEastAsia" w:hAnsiTheme="minorHAnsi" w:cstheme="minorBidi"/>
      <w:b/>
      <w:color w:val="0000FF"/>
      <w:sz w:val="28"/>
      <w:szCs w:val="22"/>
      <w:lang w:val="en-US" w:eastAsia="zh-CN" w:bidi="ar-SA"/>
    </w:rPr>
  </w:style>
  <w:style w:type="paragraph" w:customStyle="1" w:styleId="affffffffff6">
    <w:name w:val="泸县焦化二级标题"/>
    <w:basedOn w:val="af1"/>
    <w:link w:val="CharCharfff1"/>
    <w:qFormat/>
    <w:pPr>
      <w:keepNext/>
      <w:keepLines/>
      <w:widowControl/>
      <w:autoSpaceDE w:val="0"/>
      <w:autoSpaceDN w:val="0"/>
      <w:adjustRightInd w:val="0"/>
      <w:snapToGrid w:val="0"/>
      <w:spacing w:line="360" w:lineRule="auto"/>
      <w:jc w:val="left"/>
      <w:outlineLvl w:val="1"/>
    </w:pPr>
    <w:rPr>
      <w:rFonts w:asciiTheme="minorHAnsi" w:eastAsiaTheme="minorEastAsia" w:hAnsiTheme="minorHAnsi"/>
      <w:b/>
      <w:color w:val="0000FF"/>
      <w:sz w:val="28"/>
    </w:rPr>
  </w:style>
  <w:style w:type="character" w:customStyle="1" w:styleId="4Char0">
    <w:name w:val="样式 样式 样式4 + 黑色 + 自动设置 Char"/>
    <w:qFormat/>
    <w:rPr>
      <w:rFonts w:ascii="华文中宋" w:eastAsia="华文中宋" w:hAnsi="华文中宋" w:cs="Times New Roman" w:hint="eastAsia"/>
      <w:b/>
      <w:color w:val="000000"/>
      <w:kern w:val="2"/>
      <w:sz w:val="24"/>
      <w:szCs w:val="24"/>
      <w:lang w:val="en-US" w:eastAsia="zh-CN" w:bidi="ar-SA"/>
    </w:rPr>
  </w:style>
  <w:style w:type="character" w:customStyle="1" w:styleId="Charffff7">
    <w:name w:val="二章正文 Char"/>
    <w:qFormat/>
    <w:rPr>
      <w:rFonts w:ascii="宋体" w:eastAsia="宋体" w:hAnsi="Times New Roman" w:cs="Times New Roman"/>
      <w:kern w:val="2"/>
      <w:sz w:val="24"/>
      <w:lang w:val="en-US" w:eastAsia="zh-CN" w:bidi="ar-SA"/>
    </w:rPr>
  </w:style>
  <w:style w:type="character" w:customStyle="1" w:styleId="CharCharCharCharb">
    <w:name w:val="表题 Char Char Char Char"/>
    <w:qFormat/>
    <w:rPr>
      <w:rFonts w:ascii="Times New Roman" w:eastAsia="宋体" w:hAnsi="Times New Roman" w:cs="Times New Roman"/>
      <w:b/>
      <w:spacing w:val="12"/>
      <w:w w:val="90"/>
      <w:kern w:val="2"/>
      <w:sz w:val="24"/>
      <w:lang w:val="en-US" w:eastAsia="zh-CN" w:bidi="ar-SA"/>
    </w:rPr>
  </w:style>
  <w:style w:type="character" w:customStyle="1" w:styleId="CharCharfff2">
    <w:name w:val="【表中文字】 Char Char"/>
    <w:link w:val="affffffffff7"/>
    <w:qFormat/>
    <w:rPr>
      <w:rFonts w:asciiTheme="minorHAnsi" w:eastAsiaTheme="minorEastAsia" w:hAnsiTheme="minorHAnsi" w:cstheme="minorBidi"/>
      <w:szCs w:val="22"/>
      <w:lang w:val="en-US" w:eastAsia="zh-CN" w:bidi="ar-SA"/>
    </w:rPr>
  </w:style>
  <w:style w:type="paragraph" w:customStyle="1" w:styleId="affffffffff7">
    <w:name w:val="【表中文字】"/>
    <w:basedOn w:val="af1"/>
    <w:link w:val="CharCharfff2"/>
    <w:qFormat/>
    <w:pPr>
      <w:jc w:val="center"/>
    </w:pPr>
    <w:rPr>
      <w:rFonts w:asciiTheme="minorHAnsi" w:eastAsiaTheme="minorEastAsia" w:hAnsiTheme="minorHAnsi"/>
    </w:rPr>
  </w:style>
  <w:style w:type="character" w:customStyle="1" w:styleId="CharChar381">
    <w:name w:val="Char Char381"/>
    <w:qFormat/>
    <w:locked/>
    <w:rPr>
      <w:rFonts w:ascii="Times New Roman" w:eastAsia="宋体" w:hAnsi="Times New Roman" w:cs="Times New Roman"/>
      <w:b/>
      <w:bCs/>
      <w:kern w:val="2"/>
      <w:sz w:val="26"/>
      <w:szCs w:val="32"/>
      <w:lang w:val="en-US" w:eastAsia="zh-CN" w:bidi="ar-SA"/>
    </w:rPr>
  </w:style>
  <w:style w:type="character" w:customStyle="1" w:styleId="9f1">
    <w:name w:val="9f1"/>
    <w:qFormat/>
    <w:rPr>
      <w:rFonts w:ascii="Times New Roman" w:eastAsia="宋体" w:hAnsi="Times New Roman" w:cs="Times New Roman"/>
      <w:sz w:val="18"/>
      <w:lang w:val="en-US" w:eastAsia="zh-CN" w:bidi="ar-SA"/>
    </w:rPr>
  </w:style>
  <w:style w:type="character" w:customStyle="1" w:styleId="11111HTS1H1Heading11level1Level1HeadCharChar">
    <w:name w:val="样式 标题 1章标题 11.1标题 1HTS 1H1Heading 11level 1Level 1 Head章... Char Char"/>
    <w:link w:val="11111HTS1H1Heading11level1Level1Head"/>
    <w:qFormat/>
    <w:locked/>
    <w:rPr>
      <w:rFonts w:asciiTheme="minorHAnsi" w:eastAsiaTheme="minorEastAsia" w:hAnsiTheme="minorHAnsi" w:cstheme="minorBidi"/>
      <w:color w:val="0000FF"/>
      <w:kern w:val="2"/>
      <w:sz w:val="32"/>
      <w:szCs w:val="22"/>
      <w:lang w:val="en-US" w:eastAsia="zh-CN" w:bidi="ar-SA"/>
    </w:rPr>
  </w:style>
  <w:style w:type="paragraph" w:customStyle="1" w:styleId="11111HTS1H1Heading11level1Level1Head">
    <w:name w:val="样式 标题 1章标题 11.1标题 1HTS 1H1Heading 11level 1Level 1 Head章..."/>
    <w:basedOn w:val="1"/>
    <w:link w:val="11111HTS1H1Heading11level1Level1HeadCharChar"/>
    <w:qFormat/>
    <w:pPr>
      <w:widowControl/>
      <w:adjustRightInd w:val="0"/>
      <w:snapToGrid w:val="0"/>
      <w:spacing w:line="480" w:lineRule="auto"/>
      <w:jc w:val="left"/>
    </w:pPr>
    <w:rPr>
      <w:rFonts w:asciiTheme="minorHAnsi" w:eastAsiaTheme="minorEastAsia" w:hAnsiTheme="minorHAnsi" w:cstheme="minorBidi"/>
      <w:bCs w:val="0"/>
      <w:color w:val="0000FF"/>
      <w:kern w:val="2"/>
      <w:sz w:val="32"/>
      <w:szCs w:val="22"/>
    </w:rPr>
  </w:style>
  <w:style w:type="character" w:customStyle="1" w:styleId="Char26">
    <w:name w:val="正文文本 Char2"/>
    <w:qFormat/>
    <w:rPr>
      <w:rFonts w:ascii="Times New Roman" w:eastAsia="宋体" w:hAnsi="Times New Roman" w:cs="Times New Roman"/>
      <w:kern w:val="2"/>
      <w:sz w:val="21"/>
      <w:szCs w:val="22"/>
      <w:lang w:val="en-US" w:eastAsia="zh-CN" w:bidi="ar-SA"/>
    </w:rPr>
  </w:style>
  <w:style w:type="character" w:customStyle="1" w:styleId="Heading9Char">
    <w:name w:val="Heading 9 Char"/>
    <w:qFormat/>
    <w:locked/>
    <w:rPr>
      <w:rFonts w:ascii="Arial" w:eastAsia="黑体" w:hAnsi="Arial" w:cs="Times New Roman"/>
      <w:lang w:val="en-US" w:eastAsia="zh-CN" w:bidi="ar-SA"/>
    </w:rPr>
  </w:style>
  <w:style w:type="character" w:customStyle="1" w:styleId="1fe">
    <w:name w:val="正文缩进 字符1"/>
    <w:qFormat/>
    <w:rPr>
      <w:rFonts w:ascii="Times New Roman" w:eastAsia="仿宋_GB2312" w:hAnsi="Times New Roman" w:cs="Times New Roman"/>
      <w:kern w:val="2"/>
      <w:sz w:val="28"/>
      <w:lang w:val="en-US" w:eastAsia="zh-CN" w:bidi="ar-SA"/>
    </w:rPr>
  </w:style>
  <w:style w:type="character" w:customStyle="1" w:styleId="2Char30">
    <w:name w:val="正文首行缩进 2 Char3"/>
    <w:qFormat/>
    <w:rPr>
      <w:rFonts w:ascii="Times New Roman" w:eastAsia="宋体" w:hAnsi="Times New Roman" w:cs="Times New Roman"/>
      <w:sz w:val="24"/>
      <w:szCs w:val="21"/>
      <w:lang w:val="en-US" w:eastAsia="zh-CN" w:bidi="ar-SA"/>
    </w:rPr>
  </w:style>
  <w:style w:type="character" w:customStyle="1" w:styleId="2ff">
    <w:name w:val="结束语 字符2"/>
    <w:uiPriority w:val="99"/>
    <w:semiHidden/>
    <w:qFormat/>
    <w:rPr>
      <w:rFonts w:ascii="Calibri" w:eastAsia="宋体" w:hAnsi="Calibri" w:cs="Times New Roman"/>
      <w:kern w:val="2"/>
      <w:sz w:val="21"/>
      <w:lang w:val="en-US" w:eastAsia="zh-CN" w:bidi="ar-SA"/>
    </w:rPr>
  </w:style>
  <w:style w:type="character" w:customStyle="1" w:styleId="Charffff8">
    <w:name w:val="表格居中 Char"/>
    <w:link w:val="affffffffff8"/>
    <w:qFormat/>
    <w:locked/>
    <w:rPr>
      <w:rFonts w:ascii="宋体" w:eastAsiaTheme="minorEastAsia" w:hAnsi="宋体" w:cstheme="minorBidi"/>
      <w:spacing w:val="-4"/>
      <w:w w:val="90"/>
      <w:sz w:val="24"/>
      <w:lang w:val="en-US" w:eastAsia="zh-CN" w:bidi="ar-SA"/>
    </w:rPr>
  </w:style>
  <w:style w:type="paragraph" w:customStyle="1" w:styleId="affffffffff8">
    <w:name w:val="表格居中"/>
    <w:basedOn w:val="af1"/>
    <w:link w:val="Charffff8"/>
    <w:qFormat/>
    <w:pPr>
      <w:adjustRightInd w:val="0"/>
      <w:snapToGrid w:val="0"/>
      <w:spacing w:line="360" w:lineRule="atLeast"/>
      <w:jc w:val="center"/>
    </w:pPr>
    <w:rPr>
      <w:rFonts w:ascii="宋体" w:eastAsiaTheme="minorEastAsia" w:hAnsi="宋体"/>
      <w:spacing w:val="-4"/>
      <w:w w:val="90"/>
      <w:sz w:val="24"/>
      <w:szCs w:val="24"/>
    </w:rPr>
  </w:style>
  <w:style w:type="character" w:customStyle="1" w:styleId="510">
    <w:name w:val="标题 5 字符1"/>
    <w:qFormat/>
    <w:rPr>
      <w:rFonts w:ascii="Times New Roman" w:eastAsia="宋体" w:hAnsi="Times New Roman" w:cs="Times New Roman"/>
      <w:b/>
      <w:sz w:val="24"/>
      <w:lang w:val="en-US" w:eastAsia="zh-CN" w:bidi="ar-SA"/>
    </w:rPr>
  </w:style>
  <w:style w:type="character" w:customStyle="1" w:styleId="Charffff9">
    <w:name w:val="表格内文字 Char"/>
    <w:link w:val="affffffffff9"/>
    <w:qFormat/>
    <w:rPr>
      <w:rFonts w:asciiTheme="minorHAnsi" w:eastAsiaTheme="minorEastAsia" w:hAnsiTheme="minorHAnsi" w:cstheme="minorBidi"/>
      <w:spacing w:val="10"/>
      <w:sz w:val="24"/>
      <w:szCs w:val="22"/>
      <w:lang w:val="en-US" w:eastAsia="zh-CN" w:bidi="ar-SA"/>
    </w:rPr>
  </w:style>
  <w:style w:type="paragraph" w:customStyle="1" w:styleId="affffffffff9">
    <w:name w:val="表格内文字"/>
    <w:basedOn w:val="affe"/>
    <w:link w:val="Charffff9"/>
    <w:qFormat/>
    <w:pPr>
      <w:spacing w:after="0" w:line="320" w:lineRule="exact"/>
      <w:jc w:val="center"/>
    </w:pPr>
    <w:rPr>
      <w:spacing w:val="10"/>
      <w:sz w:val="24"/>
      <w:szCs w:val="22"/>
    </w:rPr>
  </w:style>
  <w:style w:type="character" w:customStyle="1" w:styleId="2ff0">
    <w:name w:val="尾注文本 字符2"/>
    <w:uiPriority w:val="99"/>
    <w:semiHidden/>
    <w:qFormat/>
    <w:rPr>
      <w:rFonts w:ascii="Calibri" w:eastAsia="宋体" w:hAnsi="Calibri" w:cs="Times New Roman"/>
      <w:kern w:val="2"/>
      <w:sz w:val="21"/>
      <w:lang w:val="en-US" w:eastAsia="zh-CN" w:bidi="ar-SA"/>
    </w:rPr>
  </w:style>
  <w:style w:type="character" w:customStyle="1" w:styleId="7Char1">
    <w:name w:val="标题 7 Char1"/>
    <w:qFormat/>
    <w:rPr>
      <w:rFonts w:ascii="Times New Roman" w:eastAsia="宋体" w:hAnsi="Times New Roman" w:cs="Times New Roman"/>
      <w:b/>
      <w:sz w:val="24"/>
      <w:lang w:val="en-US" w:eastAsia="zh-CN" w:bidi="ar-SA"/>
    </w:rPr>
  </w:style>
  <w:style w:type="character" w:customStyle="1" w:styleId="t141">
    <w:name w:val="t141"/>
    <w:qFormat/>
    <w:rPr>
      <w:rFonts w:ascii="Times New Roman" w:eastAsia="宋体" w:hAnsi="Times New Roman" w:cs="Times New Roman"/>
      <w:sz w:val="21"/>
      <w:szCs w:val="21"/>
      <w:lang w:val="en-US" w:eastAsia="zh-CN" w:bidi="ar-SA"/>
    </w:rPr>
  </w:style>
  <w:style w:type="character" w:customStyle="1" w:styleId="style3">
    <w:name w:val="style3"/>
    <w:qFormat/>
    <w:rPr>
      <w:rFonts w:ascii="Arial Black" w:eastAsia="Times New Roman" w:hAnsi="Arial Black" w:cs="Times New Roman"/>
      <w:sz w:val="21"/>
      <w:lang w:val="en-US" w:eastAsia="en-US" w:bidi="ar-SA"/>
    </w:rPr>
  </w:style>
  <w:style w:type="character" w:customStyle="1" w:styleId="Charffffa">
    <w:name w:val="正文中齐 Char"/>
    <w:link w:val="affffffffffa"/>
    <w:qFormat/>
    <w:rPr>
      <w:rFonts w:ascii="宋体" w:eastAsiaTheme="minorEastAsia" w:hAnsi="宋体" w:cstheme="minorBidi"/>
      <w:color w:val="000000"/>
      <w:kern w:val="16"/>
      <w:sz w:val="24"/>
      <w:szCs w:val="21"/>
      <w:lang w:val="en-US" w:eastAsia="zh-CN" w:bidi="ar-SA"/>
    </w:rPr>
  </w:style>
  <w:style w:type="paragraph" w:customStyle="1" w:styleId="affffffffffa">
    <w:name w:val="正文中齐"/>
    <w:basedOn w:val="af1"/>
    <w:link w:val="Charffffa"/>
    <w:qFormat/>
    <w:pPr>
      <w:wordWrap w:val="0"/>
      <w:adjustRightInd w:val="0"/>
      <w:spacing w:line="300" w:lineRule="exact"/>
      <w:jc w:val="center"/>
      <w:textAlignment w:val="baseline"/>
    </w:pPr>
    <w:rPr>
      <w:rFonts w:ascii="宋体" w:eastAsiaTheme="minorEastAsia" w:hAnsi="宋体"/>
      <w:color w:val="000000"/>
      <w:kern w:val="16"/>
      <w:sz w:val="24"/>
      <w:szCs w:val="21"/>
    </w:rPr>
  </w:style>
  <w:style w:type="character" w:customStyle="1" w:styleId="ourfont21">
    <w:name w:val="ourfont21"/>
    <w:qFormat/>
    <w:rPr>
      <w:rFonts w:ascii="Times New Roman" w:eastAsia="宋体" w:hAnsi="Times New Roman" w:cs="Times New Roman"/>
      <w:spacing w:val="220"/>
      <w:sz w:val="18"/>
      <w:szCs w:val="18"/>
      <w:lang w:val="en-US" w:eastAsia="zh-CN" w:bidi="ar-SA"/>
    </w:rPr>
  </w:style>
  <w:style w:type="character" w:customStyle="1" w:styleId="Charffffb">
    <w:name w:val="表格抬头 Char"/>
    <w:link w:val="affffffffffb"/>
    <w:qFormat/>
    <w:rPr>
      <w:rFonts w:asciiTheme="minorHAnsi" w:eastAsia="黑体" w:hAnsiTheme="minorHAnsi" w:cstheme="minorBidi"/>
      <w:sz w:val="24"/>
      <w:szCs w:val="21"/>
      <w:lang w:val="en-US" w:eastAsia="zh-CN" w:bidi="ar-SA"/>
    </w:rPr>
  </w:style>
  <w:style w:type="paragraph" w:customStyle="1" w:styleId="affffffffffb">
    <w:name w:val="表格抬头"/>
    <w:basedOn w:val="af1"/>
    <w:link w:val="Charffffb"/>
    <w:qFormat/>
    <w:pPr>
      <w:adjustRightInd w:val="0"/>
      <w:snapToGrid w:val="0"/>
      <w:spacing w:beforeLines="50" w:line="288" w:lineRule="auto"/>
      <w:jc w:val="center"/>
    </w:pPr>
    <w:rPr>
      <w:rFonts w:asciiTheme="minorHAnsi" w:eastAsia="黑体" w:hAnsiTheme="minorHAnsi"/>
      <w:sz w:val="24"/>
      <w:szCs w:val="21"/>
    </w:rPr>
  </w:style>
  <w:style w:type="character" w:customStyle="1" w:styleId="213">
    <w:name w:val="正文文本 2 字符1"/>
    <w:qFormat/>
    <w:rPr>
      <w:rFonts w:ascii="Times New Roman" w:eastAsia="宋体" w:hAnsi="Times New Roman" w:cs="Times New Roman"/>
      <w:kern w:val="2"/>
      <w:sz w:val="21"/>
      <w:szCs w:val="24"/>
      <w:lang w:val="en-US" w:eastAsia="zh-CN" w:bidi="ar-SA"/>
    </w:rPr>
  </w:style>
  <w:style w:type="character" w:customStyle="1" w:styleId="font231">
    <w:name w:val="font231"/>
    <w:qFormat/>
    <w:rPr>
      <w:rFonts w:ascii="宋体" w:eastAsia="宋体" w:hAnsi="宋体" w:cs="Times New Roman" w:hint="eastAsia"/>
      <w:color w:val="000000"/>
      <w:sz w:val="18"/>
      <w:szCs w:val="18"/>
      <w:u w:val="none"/>
      <w:lang w:val="en-US" w:eastAsia="zh-CN" w:bidi="ar-SA"/>
    </w:rPr>
  </w:style>
  <w:style w:type="character" w:customStyle="1" w:styleId="Charffffc">
    <w:name w:val="表格样式 Char"/>
    <w:link w:val="affffffffffc"/>
    <w:qFormat/>
    <w:rPr>
      <w:rFonts w:asciiTheme="minorHAnsi" w:eastAsia="宋体" w:hAnsiTheme="minorHAnsi" w:cstheme="minorBidi"/>
      <w:sz w:val="22"/>
      <w:szCs w:val="21"/>
      <w:lang w:val="en-US" w:eastAsia="zh-CN" w:bidi="ar-SA"/>
    </w:rPr>
  </w:style>
  <w:style w:type="paragraph" w:customStyle="1" w:styleId="affffffffffc">
    <w:name w:val="表格样式"/>
    <w:basedOn w:val="af1"/>
    <w:link w:val="Charffffc"/>
    <w:qFormat/>
    <w:pPr>
      <w:jc w:val="center"/>
    </w:pPr>
    <w:rPr>
      <w:rFonts w:asciiTheme="minorHAnsi" w:hAnsiTheme="minorHAnsi"/>
      <w:sz w:val="22"/>
      <w:szCs w:val="21"/>
    </w:rPr>
  </w:style>
  <w:style w:type="character" w:customStyle="1" w:styleId="btChar2">
    <w:name w:val="bt Char2"/>
    <w:qFormat/>
    <w:rPr>
      <w:rFonts w:ascii="宋体" w:eastAsia="宋体" w:hAnsi="Times New Roman" w:cs="Times New Roman"/>
      <w:color w:val="000000"/>
      <w:sz w:val="24"/>
      <w:lang w:val="en-US" w:eastAsia="zh-CN" w:bidi="ar-SA"/>
    </w:rPr>
  </w:style>
  <w:style w:type="character" w:customStyle="1" w:styleId="3Char21">
    <w:name w:val="正文文本 3 Char2"/>
    <w:qFormat/>
    <w:locked/>
    <w:rPr>
      <w:rFonts w:ascii="Calibri" w:eastAsia="华文中宋" w:hAnsi="Calibri" w:cs="Times New Roman"/>
      <w:bCs/>
      <w:spacing w:val="20"/>
      <w:sz w:val="24"/>
      <w:lang w:val="en-US" w:eastAsia="zh-CN" w:bidi="ar-SA"/>
    </w:rPr>
  </w:style>
  <w:style w:type="character" w:customStyle="1" w:styleId="Char27">
    <w:name w:val="正文(首行缩进) Char2"/>
    <w:qFormat/>
    <w:rPr>
      <w:rFonts w:ascii="Arial Black" w:eastAsia="楷体" w:hAnsi="Arial Black" w:cs="Times New Roman"/>
      <w:snapToGrid/>
      <w:color w:val="000000"/>
      <w:kern w:val="2"/>
      <w:sz w:val="21"/>
      <w:lang w:val="en-US" w:eastAsia="zh-CN" w:bidi="ar-SA"/>
    </w:rPr>
  </w:style>
  <w:style w:type="character" w:customStyle="1" w:styleId="210pt20">
    <w:name w:val="正文文本 (2) + 10 pt20"/>
    <w:qFormat/>
    <w:rPr>
      <w:rFonts w:ascii="MingLiU" w:eastAsia="MingLiU" w:hAnsi="Times New Roman" w:cs="Times New Roman"/>
      <w:kern w:val="2"/>
      <w:sz w:val="20"/>
      <w:szCs w:val="20"/>
      <w:lang w:val="en-US" w:eastAsia="zh-CN" w:bidi="ar-SA"/>
    </w:rPr>
  </w:style>
  <w:style w:type="character" w:customStyle="1" w:styleId="ENFICharChar0">
    <w:name w:val="ENFI表体 Char Char"/>
    <w:link w:val="ENFI0"/>
    <w:qFormat/>
    <w:rPr>
      <w:rFonts w:ascii="Times New Roman" w:eastAsia="仿宋_GB2312" w:hAnsi="Times New Roman" w:cstheme="minorBidi"/>
      <w:sz w:val="24"/>
      <w:szCs w:val="22"/>
      <w:lang w:val="en-US" w:eastAsia="zh-CN" w:bidi="ar-SA"/>
    </w:rPr>
  </w:style>
  <w:style w:type="paragraph" w:customStyle="1" w:styleId="ENFI0">
    <w:name w:val="ENFI表体"/>
    <w:basedOn w:val="af1"/>
    <w:link w:val="ENFICharChar0"/>
    <w:qFormat/>
    <w:pPr>
      <w:widowControl/>
      <w:adjustRightInd w:val="0"/>
      <w:snapToGrid w:val="0"/>
      <w:spacing w:line="240" w:lineRule="atLeast"/>
      <w:jc w:val="center"/>
    </w:pPr>
    <w:rPr>
      <w:rFonts w:ascii="Calibri" w:eastAsia="仿宋_GB2312" w:hAnsi="Calibri"/>
      <w:sz w:val="24"/>
    </w:rPr>
  </w:style>
  <w:style w:type="character" w:customStyle="1" w:styleId="CharCharfff3">
    <w:name w:val="样式 小四 Char Char"/>
    <w:link w:val="affffffffffd"/>
    <w:qFormat/>
    <w:rPr>
      <w:rFonts w:asciiTheme="minorHAnsi" w:eastAsiaTheme="minorEastAsia" w:hAnsiTheme="minorHAnsi" w:cstheme="minorBidi"/>
      <w:sz w:val="24"/>
      <w:lang w:val="en-US" w:eastAsia="zh-CN" w:bidi="ar-SA"/>
    </w:rPr>
  </w:style>
  <w:style w:type="paragraph" w:customStyle="1" w:styleId="affffffffffd">
    <w:name w:val="样式 小四"/>
    <w:basedOn w:val="af1"/>
    <w:link w:val="CharCharfff3"/>
    <w:qFormat/>
    <w:pPr>
      <w:spacing w:line="360" w:lineRule="auto"/>
      <w:ind w:firstLine="480"/>
    </w:pPr>
    <w:rPr>
      <w:rFonts w:asciiTheme="minorHAnsi" w:eastAsiaTheme="minorEastAsia" w:hAnsiTheme="minorHAnsi"/>
      <w:sz w:val="24"/>
      <w:szCs w:val="24"/>
    </w:rPr>
  </w:style>
  <w:style w:type="character" w:customStyle="1" w:styleId="3015CharCharChar">
    <w:name w:val="样式 样式 小四 蓝色 行距: 固定值 30 磅 + 行距: 1.5 倍行距 Char Char Char"/>
    <w:qFormat/>
    <w:rPr>
      <w:rFonts w:ascii="Times New Roman" w:eastAsia="宋体" w:hAnsi="Times New Roman" w:cs="Times New Roman"/>
      <w:color w:val="0000FF"/>
      <w:sz w:val="24"/>
      <w:lang w:val="en-US" w:eastAsia="zh-CN" w:bidi="ar-SA"/>
    </w:rPr>
  </w:style>
  <w:style w:type="character" w:customStyle="1" w:styleId="CharCharCharCharCharCharChar2">
    <w:name w:val="二章正文 Char Char Char Char Char Char Char"/>
    <w:qFormat/>
    <w:rPr>
      <w:rFonts w:ascii="宋体" w:eastAsia="宋体" w:hAnsi="Times New Roman" w:cs="Times New Roman"/>
      <w:kern w:val="2"/>
      <w:sz w:val="24"/>
      <w:lang w:val="en-US" w:eastAsia="zh-CN" w:bidi="ar-SA"/>
    </w:rPr>
  </w:style>
  <w:style w:type="character" w:customStyle="1" w:styleId="2ff1">
    <w:name w:val="信息标题 字符2"/>
    <w:uiPriority w:val="99"/>
    <w:semiHidden/>
    <w:qFormat/>
    <w:rPr>
      <w:rFonts w:ascii="Cambria" w:eastAsia="宋体" w:hAnsi="Cambria" w:cs="Times New Roman"/>
      <w:kern w:val="2"/>
      <w:sz w:val="24"/>
      <w:szCs w:val="24"/>
      <w:shd w:val="pct20" w:color="auto" w:fill="auto"/>
      <w:lang w:val="en-US" w:eastAsia="zh-CN" w:bidi="ar-SA"/>
    </w:rPr>
  </w:style>
  <w:style w:type="character" w:customStyle="1" w:styleId="lccChar">
    <w:name w:val="正文lcc Char"/>
    <w:link w:val="lcc"/>
    <w:qFormat/>
    <w:rPr>
      <w:rFonts w:asciiTheme="minorHAnsi" w:eastAsia="Times New Roman" w:hAnsiTheme="minorHAnsi" w:cs="Arial Unicode MS"/>
      <w:sz w:val="24"/>
      <w:lang w:val="en-US" w:eastAsia="zh-CN" w:bidi="ar-SA"/>
    </w:rPr>
  </w:style>
  <w:style w:type="paragraph" w:customStyle="1" w:styleId="lcc">
    <w:name w:val="正文lcc"/>
    <w:basedOn w:val="af1"/>
    <w:link w:val="lccChar"/>
    <w:qFormat/>
    <w:pPr>
      <w:widowControl/>
      <w:adjustRightInd w:val="0"/>
      <w:snapToGrid w:val="0"/>
      <w:spacing w:line="360" w:lineRule="auto"/>
      <w:ind w:firstLineChars="200" w:firstLine="200"/>
      <w:jc w:val="left"/>
    </w:pPr>
    <w:rPr>
      <w:rFonts w:asciiTheme="minorHAnsi" w:eastAsia="Times New Roman" w:hAnsiTheme="minorHAnsi" w:cs="Arial Unicode MS"/>
      <w:sz w:val="24"/>
      <w:szCs w:val="24"/>
    </w:rPr>
  </w:style>
  <w:style w:type="character" w:customStyle="1" w:styleId="9Char">
    <w:name w:val="样式9 Char"/>
    <w:qFormat/>
    <w:locked/>
    <w:rPr>
      <w:rFonts w:ascii="Calibri" w:eastAsia="宋体" w:hAnsi="Calibri" w:cs="Times New Roman"/>
      <w:b/>
      <w:bCs/>
      <w:sz w:val="24"/>
      <w:szCs w:val="24"/>
      <w:lang w:val="en-US" w:eastAsia="zh-CN" w:bidi="ar-SA"/>
    </w:rPr>
  </w:style>
  <w:style w:type="character" w:customStyle="1" w:styleId="BodyText3Char1">
    <w:name w:val="Body Text 3 Char1"/>
    <w:qFormat/>
    <w:rPr>
      <w:rFonts w:ascii="Times New Roman" w:eastAsia="宋体" w:hAnsi="Times New Roman" w:cs="Times New Roman"/>
      <w:kern w:val="2"/>
      <w:sz w:val="16"/>
      <w:szCs w:val="16"/>
      <w:lang w:val="en-US" w:eastAsia="zh-CN" w:bidi="ar-SA"/>
    </w:rPr>
  </w:style>
  <w:style w:type="character" w:customStyle="1" w:styleId="Charffffd">
    <w:name w:val="【表内字】 Char"/>
    <w:link w:val="affffffffffe"/>
    <w:qFormat/>
    <w:rPr>
      <w:rFonts w:asciiTheme="minorHAnsi" w:eastAsiaTheme="minorEastAsia" w:hAnsiTheme="minorHAnsi" w:cstheme="minorBidi"/>
      <w:szCs w:val="21"/>
      <w:lang w:val="en-US" w:eastAsia="zh-CN" w:bidi="ar-SA"/>
    </w:rPr>
  </w:style>
  <w:style w:type="paragraph" w:customStyle="1" w:styleId="affffffffffe">
    <w:name w:val="【表内字】"/>
    <w:basedOn w:val="af1"/>
    <w:link w:val="Charffffd"/>
    <w:qFormat/>
    <w:pPr>
      <w:jc w:val="center"/>
    </w:pPr>
    <w:rPr>
      <w:rFonts w:asciiTheme="minorHAnsi" w:eastAsiaTheme="minorEastAsia" w:hAnsiTheme="minorHAnsi"/>
      <w:szCs w:val="21"/>
    </w:rPr>
  </w:style>
  <w:style w:type="character" w:customStyle="1" w:styleId="p121">
    <w:name w:val="p121"/>
    <w:qFormat/>
    <w:rPr>
      <w:rFonts w:ascii="宋体" w:eastAsia="宋体" w:hAnsi="宋体" w:cs="Times New Roman" w:hint="eastAsia"/>
      <w:sz w:val="18"/>
      <w:szCs w:val="18"/>
      <w:lang w:val="en-US" w:eastAsia="zh-CN" w:bidi="ar-SA"/>
    </w:rPr>
  </w:style>
  <w:style w:type="character" w:customStyle="1" w:styleId="1ff">
    <w:name w:val="标题 字符1"/>
    <w:uiPriority w:val="10"/>
    <w:qFormat/>
    <w:rPr>
      <w:rFonts w:ascii="Cambria" w:eastAsia="宋体" w:hAnsi="Cambria" w:cs="Times New Roman"/>
      <w:b/>
      <w:bCs/>
      <w:kern w:val="0"/>
      <w:sz w:val="32"/>
      <w:szCs w:val="32"/>
      <w:lang w:val="en-US" w:eastAsia="zh-CN" w:bidi="ar-SA"/>
    </w:rPr>
  </w:style>
  <w:style w:type="character" w:customStyle="1" w:styleId="14p">
    <w:name w:val="14p"/>
    <w:qFormat/>
    <w:rPr>
      <w:rFonts w:ascii="Arial Black" w:eastAsia="Times New Roman" w:hAnsi="Arial Black" w:cs="Times New Roman"/>
      <w:sz w:val="21"/>
      <w:lang w:val="en-US" w:eastAsia="en-US" w:bidi="ar-SA"/>
    </w:rPr>
  </w:style>
  <w:style w:type="character" w:customStyle="1" w:styleId="Charffffe">
    <w:name w:val="第三层条 Char"/>
    <w:qFormat/>
    <w:rPr>
      <w:rFonts w:ascii="Times New Roman" w:eastAsia="宋体" w:hAnsi="Times New Roman" w:cs="Courier New"/>
      <w:b/>
      <w:bCs/>
      <w:kern w:val="2"/>
      <w:sz w:val="24"/>
      <w:szCs w:val="21"/>
      <w:lang w:val="en-US" w:eastAsia="zh-CN" w:bidi="ar-SA"/>
    </w:rPr>
  </w:style>
  <w:style w:type="character" w:customStyle="1" w:styleId="font91">
    <w:name w:val="font91"/>
    <w:qFormat/>
    <w:rPr>
      <w:rFonts w:ascii="Times New Roman" w:eastAsia="宋体" w:hAnsi="Times New Roman" w:cs="Times New Roman" w:hint="default"/>
      <w:color w:val="000000"/>
      <w:sz w:val="21"/>
      <w:szCs w:val="21"/>
      <w:u w:val="none"/>
      <w:lang w:val="en-US" w:eastAsia="zh-CN" w:bidi="ar-SA"/>
    </w:rPr>
  </w:style>
  <w:style w:type="character" w:customStyle="1" w:styleId="font121">
    <w:name w:val="font121"/>
    <w:qFormat/>
    <w:rPr>
      <w:rFonts w:ascii="Times New Roman" w:eastAsia="宋体" w:hAnsi="Times New Roman" w:cs="Times New Roman" w:hint="default"/>
      <w:b/>
      <w:color w:val="000000"/>
      <w:sz w:val="28"/>
      <w:szCs w:val="28"/>
      <w:u w:val="none"/>
      <w:lang w:val="en-US" w:eastAsia="zh-CN" w:bidi="ar-SA"/>
    </w:rPr>
  </w:style>
  <w:style w:type="character" w:customStyle="1" w:styleId="542">
    <w:name w:val="标题 #5 (4)"/>
    <w:qFormat/>
    <w:rPr>
      <w:rFonts w:ascii="MingLiU" w:eastAsia="MingLiU" w:hAnsi="Times New Roman" w:cs="Times New Roman"/>
      <w:kern w:val="2"/>
      <w:sz w:val="28"/>
      <w:szCs w:val="28"/>
      <w:lang w:val="en-US" w:eastAsia="zh-CN" w:bidi="ar-SA"/>
    </w:rPr>
  </w:style>
  <w:style w:type="character" w:customStyle="1" w:styleId="HTMLChar1">
    <w:name w:val="HTML 地址 Char1"/>
    <w:qFormat/>
    <w:rPr>
      <w:rFonts w:ascii="Calibri" w:eastAsia="宋体" w:hAnsi="Calibri" w:cs="Times New Roman"/>
      <w:i/>
      <w:iCs/>
      <w:kern w:val="2"/>
      <w:sz w:val="24"/>
      <w:szCs w:val="24"/>
      <w:lang w:val="en-US" w:eastAsia="zh-CN" w:bidi="ar-SA"/>
    </w:rPr>
  </w:style>
  <w:style w:type="character" w:customStyle="1" w:styleId="CharChar371">
    <w:name w:val="Char Char371"/>
    <w:qFormat/>
    <w:locked/>
    <w:rPr>
      <w:rFonts w:ascii="Times New Roman" w:eastAsia="黑体" w:hAnsi="Times New Roman" w:cs="Times New Roman"/>
      <w:kern w:val="2"/>
      <w:sz w:val="24"/>
      <w:lang w:val="en-US" w:eastAsia="zh-CN" w:bidi="ar-SA"/>
    </w:rPr>
  </w:style>
  <w:style w:type="character" w:customStyle="1" w:styleId="afffffffffff">
    <w:name w:val="无间隔 字符"/>
    <w:qFormat/>
    <w:locked/>
    <w:rPr>
      <w:rFonts w:ascii="Times New Roman" w:eastAsia="宋体" w:hAnsi="Times New Roman" w:cs="Times New Roman"/>
      <w:sz w:val="22"/>
      <w:lang w:val="en-US" w:eastAsia="zh-CN" w:bidi="ar-SA"/>
    </w:rPr>
  </w:style>
  <w:style w:type="character" w:customStyle="1" w:styleId="Charfffff">
    <w:name w:val="正文首行缩进 Char"/>
    <w:link w:val="1ff0"/>
    <w:uiPriority w:val="99"/>
    <w:qFormat/>
    <w:rPr>
      <w:rFonts w:asciiTheme="minorHAnsi" w:eastAsia="宋体" w:hAnsiTheme="minorHAnsi" w:cstheme="minorBidi"/>
      <w:sz w:val="24"/>
      <w:lang w:val="en-US" w:eastAsia="zh-CN" w:bidi="ar-SA"/>
    </w:rPr>
  </w:style>
  <w:style w:type="paragraph" w:customStyle="1" w:styleId="1ff0">
    <w:name w:val="正文首行缩进1"/>
    <w:basedOn w:val="affe"/>
    <w:link w:val="Charfffff"/>
    <w:uiPriority w:val="99"/>
    <w:qFormat/>
    <w:pPr>
      <w:adjustRightInd w:val="0"/>
      <w:spacing w:line="312" w:lineRule="atLeast"/>
      <w:ind w:firstLine="420"/>
      <w:textAlignment w:val="baseline"/>
    </w:pPr>
    <w:rPr>
      <w:rFonts w:eastAsia="宋体"/>
      <w:sz w:val="24"/>
    </w:rPr>
  </w:style>
  <w:style w:type="character" w:customStyle="1" w:styleId="CharChar352">
    <w:name w:val="Char Char352"/>
    <w:qFormat/>
    <w:rPr>
      <w:rFonts w:ascii="Arial" w:eastAsia="黑体" w:hAnsi="Arial" w:cs="Times New Roman"/>
      <w:b/>
      <w:kern w:val="2"/>
      <w:sz w:val="24"/>
      <w:lang w:val="en-US" w:eastAsia="zh-CN" w:bidi="ar-SA"/>
    </w:rPr>
  </w:style>
  <w:style w:type="character" w:customStyle="1" w:styleId="Char1f5">
    <w:name w:val="批注框文本 Char1"/>
    <w:qFormat/>
    <w:rPr>
      <w:rFonts w:ascii="Times New Roman" w:eastAsia="宋体" w:hAnsi="Times New Roman" w:cs="Times New Roman"/>
      <w:kern w:val="2"/>
      <w:sz w:val="18"/>
      <w:szCs w:val="18"/>
      <w:lang w:val="en-US" w:eastAsia="zh-CN" w:bidi="ar-SA"/>
    </w:rPr>
  </w:style>
  <w:style w:type="character" w:customStyle="1" w:styleId="Bt111CharChar">
    <w:name w:val="Bt1.1.1 Char Char"/>
    <w:link w:val="Bt111"/>
    <w:qFormat/>
    <w:rPr>
      <w:rFonts w:asciiTheme="minorHAnsi" w:eastAsia="楷体_GB2312" w:hAnsiTheme="minorHAnsi" w:cstheme="minorBidi"/>
      <w:b/>
      <w:bCs/>
      <w:color w:val="000000"/>
      <w:sz w:val="32"/>
      <w:lang w:val="en-US" w:eastAsia="zh-CN" w:bidi="ar-SA"/>
    </w:rPr>
  </w:style>
  <w:style w:type="paragraph" w:customStyle="1" w:styleId="Bt111">
    <w:name w:val="Bt1.1.1"/>
    <w:basedOn w:val="af1"/>
    <w:next w:val="af1"/>
    <w:link w:val="Bt111CharChar"/>
    <w:qFormat/>
    <w:pPr>
      <w:keepNext/>
      <w:keepLines/>
      <w:spacing w:line="360" w:lineRule="auto"/>
      <w:jc w:val="left"/>
      <w:outlineLvl w:val="2"/>
    </w:pPr>
    <w:rPr>
      <w:rFonts w:asciiTheme="minorHAnsi" w:eastAsia="楷体_GB2312" w:hAnsiTheme="minorHAnsi"/>
      <w:b/>
      <w:bCs/>
      <w:color w:val="000000"/>
      <w:sz w:val="32"/>
      <w:szCs w:val="24"/>
    </w:rPr>
  </w:style>
  <w:style w:type="character" w:customStyle="1" w:styleId="5Char3">
    <w:name w:val="标题 5表头 Char"/>
    <w:qFormat/>
    <w:rPr>
      <w:rFonts w:ascii="Times New Roman" w:eastAsia="宋体" w:hAnsi="Times New Roman" w:cs="Times New Roman"/>
      <w:b/>
      <w:sz w:val="24"/>
      <w:lang w:val="en-US" w:eastAsia="zh-CN" w:bidi="ar-SA"/>
    </w:rPr>
  </w:style>
  <w:style w:type="character" w:customStyle="1" w:styleId="Char28">
    <w:name w:val="文档结构图 Char2"/>
    <w:qFormat/>
    <w:rPr>
      <w:rFonts w:ascii="Times New Roman" w:eastAsia="宋体" w:hAnsi="Times New Roman" w:cs="Times New Roman"/>
      <w:kern w:val="2"/>
      <w:sz w:val="24"/>
      <w:szCs w:val="24"/>
      <w:lang w:val="en-US" w:eastAsia="zh-CN" w:bidi="ar-SA"/>
    </w:rPr>
  </w:style>
  <w:style w:type="character" w:customStyle="1" w:styleId="BodyTextIndent2Char1">
    <w:name w:val="Body Text Indent 2 Char1"/>
    <w:qFormat/>
    <w:rPr>
      <w:rFonts w:ascii="Times New Roman" w:eastAsia="宋体" w:hAnsi="Times New Roman" w:cs="Times New Roman"/>
      <w:kern w:val="2"/>
      <w:sz w:val="24"/>
      <w:szCs w:val="24"/>
      <w:lang w:val="en-US" w:eastAsia="zh-CN" w:bidi="ar-SA"/>
    </w:rPr>
  </w:style>
  <w:style w:type="character" w:customStyle="1" w:styleId="afffffffffff0">
    <w:name w:val="样式 (中文) 黑体 四号 加粗"/>
    <w:qFormat/>
    <w:rPr>
      <w:rFonts w:ascii="Times New Roman" w:eastAsia="黑体" w:hAnsi="Times New Roman" w:cs="Times New Roman"/>
      <w:b/>
      <w:bCs/>
      <w:sz w:val="30"/>
      <w:lang w:val="en-US" w:eastAsia="zh-CN" w:bidi="ar-SA"/>
    </w:rPr>
  </w:style>
  <w:style w:type="character" w:customStyle="1" w:styleId="2Char31">
    <w:name w:val="正文文字缩进 2 Char3"/>
    <w:qFormat/>
    <w:rPr>
      <w:rFonts w:ascii="Times New Roman" w:eastAsia="宋体" w:hAnsi="Times New Roman" w:cs="Times New Roman"/>
      <w:sz w:val="28"/>
      <w:lang w:val="en-US" w:eastAsia="zh-CN" w:bidi="ar-SA"/>
    </w:rPr>
  </w:style>
  <w:style w:type="character" w:customStyle="1" w:styleId="6Char1">
    <w:name w:val="标题 6 Char1"/>
    <w:qFormat/>
    <w:rPr>
      <w:rFonts w:ascii="Arial" w:eastAsia="黑体" w:hAnsi="Arial" w:cs="Times New Roman"/>
      <w:b/>
      <w:bCs/>
      <w:kern w:val="2"/>
      <w:sz w:val="24"/>
      <w:szCs w:val="24"/>
      <w:lang w:val="en-US" w:eastAsia="zh-CN" w:bidi="ar-SA"/>
    </w:rPr>
  </w:style>
  <w:style w:type="character" w:customStyle="1" w:styleId="3Char30">
    <w:name w:val="正文文本 3 Char3"/>
    <w:qFormat/>
    <w:rPr>
      <w:rFonts w:ascii="Times New Roman" w:eastAsia="宋体" w:hAnsi="Times New Roman" w:cs="Times New Roman"/>
      <w:kern w:val="2"/>
      <w:sz w:val="16"/>
      <w:szCs w:val="16"/>
      <w:lang w:val="en-US" w:eastAsia="zh-CN" w:bidi="ar-SA"/>
    </w:rPr>
  </w:style>
  <w:style w:type="character" w:customStyle="1" w:styleId="textediteditable-title">
    <w:name w:val="text_edit editable-title"/>
    <w:qFormat/>
    <w:rPr>
      <w:rFonts w:ascii="Times New Roman" w:eastAsia="黑体" w:hAnsi="Times New Roman" w:cs="Times New Roman"/>
      <w:b/>
      <w:color w:val="008000"/>
      <w:kern w:val="2"/>
      <w:sz w:val="24"/>
      <w:szCs w:val="24"/>
      <w:lang w:val="en-US" w:eastAsia="zh-CN" w:bidi="ar-SA"/>
    </w:rPr>
  </w:style>
  <w:style w:type="character" w:customStyle="1" w:styleId="font71">
    <w:name w:val="font71"/>
    <w:qFormat/>
    <w:rPr>
      <w:rFonts w:ascii="Times New Roman" w:eastAsia="宋体" w:hAnsi="Times New Roman" w:cs="Times New Roman" w:hint="default"/>
      <w:b/>
      <w:color w:val="000000"/>
      <w:sz w:val="21"/>
      <w:szCs w:val="21"/>
      <w:u w:val="none"/>
      <w:vertAlign w:val="superscript"/>
      <w:lang w:val="en-US" w:eastAsia="zh-CN" w:bidi="ar-SA"/>
    </w:rPr>
  </w:style>
  <w:style w:type="character" w:customStyle="1" w:styleId="BodyTextFirstIndent2Char1">
    <w:name w:val="Body Text First Indent 2 Char1"/>
    <w:qFormat/>
    <w:rPr>
      <w:rFonts w:ascii="Times New Roman" w:eastAsia="宋体" w:hAnsi="Times New Roman" w:cs="Times New Roman"/>
      <w:kern w:val="2"/>
      <w:sz w:val="24"/>
      <w:szCs w:val="24"/>
      <w:lang w:val="en-US" w:eastAsia="zh-CN" w:bidi="ar-SA"/>
    </w:rPr>
  </w:style>
  <w:style w:type="character" w:customStyle="1" w:styleId="CharChar402">
    <w:name w:val="Char Char402"/>
    <w:qFormat/>
    <w:rPr>
      <w:rFonts w:ascii="宋体" w:eastAsia="黑体" w:hAnsi="Times New Roman" w:cs="Times New Roman"/>
      <w:b/>
      <w:kern w:val="44"/>
      <w:sz w:val="44"/>
      <w:lang w:val="en-US" w:eastAsia="zh-CN" w:bidi="ar-SA"/>
    </w:rPr>
  </w:style>
  <w:style w:type="character" w:customStyle="1" w:styleId="313">
    <w:name w:val="标题 3 字符1"/>
    <w:qFormat/>
    <w:rPr>
      <w:rFonts w:ascii="Times New Roman" w:eastAsia="黑体" w:hAnsi="Times New Roman" w:cs="Times New Roman"/>
      <w:sz w:val="28"/>
      <w:lang w:val="en-US" w:eastAsia="zh-CN" w:bidi="ar-SA"/>
    </w:rPr>
  </w:style>
  <w:style w:type="character" w:customStyle="1" w:styleId="copy2">
    <w:name w:val="copy2"/>
    <w:qFormat/>
    <w:rPr>
      <w:rFonts w:ascii="Verdana" w:eastAsia="Times New Roman" w:hAnsi="Verdana" w:cs="Times New Roman"/>
      <w:spacing w:val="24"/>
      <w:sz w:val="15"/>
      <w:lang w:val="en-US" w:eastAsia="en-US" w:bidi="ar-SA"/>
    </w:rPr>
  </w:style>
  <w:style w:type="character" w:customStyle="1" w:styleId="Char1f6">
    <w:name w:val="标题 Char1"/>
    <w:qFormat/>
    <w:rPr>
      <w:rFonts w:ascii="Cambria" w:eastAsia="宋体" w:hAnsi="Cambria" w:cs="Times New Roman" w:hint="default"/>
      <w:b/>
      <w:bCs/>
      <w:kern w:val="2"/>
      <w:sz w:val="32"/>
      <w:szCs w:val="32"/>
      <w:lang w:val="en-US" w:eastAsia="zh-CN" w:bidi="ar-SA"/>
    </w:rPr>
  </w:style>
  <w:style w:type="character" w:customStyle="1" w:styleId="CharCharfff4">
    <w:name w:val="样式 德胜正文 + ˎ̥ Char Char"/>
    <w:link w:val="afffffffffff1"/>
    <w:qFormat/>
    <w:rPr>
      <w:rFonts w:asciiTheme="minorHAnsi" w:eastAsia="宋体" w:hAnsiTheme="minorHAnsi" w:cs="宋体"/>
      <w:szCs w:val="24"/>
      <w:lang w:val="en-US" w:eastAsia="zh-CN" w:bidi="ar-SA"/>
    </w:rPr>
  </w:style>
  <w:style w:type="paragraph" w:customStyle="1" w:styleId="afffffffffff1">
    <w:name w:val="样式 德胜正文 + ˎ̥"/>
    <w:basedOn w:val="afffffff3"/>
    <w:link w:val="CharCharfff4"/>
    <w:qFormat/>
    <w:pPr>
      <w:widowControl w:val="0"/>
      <w:jc w:val="both"/>
    </w:pPr>
    <w:rPr>
      <w:rFonts w:asciiTheme="minorHAnsi" w:hAnsiTheme="minorHAnsi" w:cs="宋体"/>
      <w:szCs w:val="24"/>
    </w:rPr>
  </w:style>
  <w:style w:type="character" w:customStyle="1" w:styleId="2Constantia27">
    <w:name w:val="正文文本 (2) + Constantia27"/>
    <w:qFormat/>
    <w:rPr>
      <w:rFonts w:ascii="Constantia" w:eastAsia="MingLiU" w:hAnsi="Constantia" w:cs="Constantia"/>
      <w:kern w:val="2"/>
      <w:sz w:val="20"/>
      <w:szCs w:val="20"/>
      <w:u w:val="none"/>
      <w:lang w:val="en-US" w:eastAsia="en-US" w:bidi="ar-SA"/>
    </w:rPr>
  </w:style>
  <w:style w:type="character" w:customStyle="1" w:styleId="1Char10">
    <w:name w:val="样式1 Char1"/>
    <w:qFormat/>
    <w:rPr>
      <w:rFonts w:ascii="Times New Roman" w:eastAsia="宋体" w:hAnsi="Times New Roman" w:cs="Times New Roman"/>
      <w:kern w:val="2"/>
      <w:sz w:val="24"/>
      <w:lang w:val="en-US" w:eastAsia="zh-CN" w:bidi="ar-SA"/>
    </w:rPr>
  </w:style>
  <w:style w:type="character" w:customStyle="1" w:styleId="CommentSubjectChar1">
    <w:name w:val="Comment Subject Char1"/>
    <w:qFormat/>
    <w:rPr>
      <w:rFonts w:ascii="Times New Roman" w:eastAsia="宋体" w:hAnsi="Times New Roman" w:cs="Times New Roman"/>
      <w:b/>
      <w:bCs/>
      <w:kern w:val="2"/>
      <w:sz w:val="24"/>
      <w:szCs w:val="24"/>
      <w:lang w:val="en-US" w:eastAsia="zh-CN" w:bidi="ar-SA"/>
    </w:rPr>
  </w:style>
  <w:style w:type="character" w:customStyle="1" w:styleId="CharChar351">
    <w:name w:val="Char Char351"/>
    <w:qFormat/>
    <w:locked/>
    <w:rPr>
      <w:rFonts w:ascii="Arial" w:eastAsia="黑体" w:hAnsi="Arial" w:cs="Times New Roman"/>
      <w:b/>
      <w:kern w:val="2"/>
      <w:sz w:val="24"/>
      <w:lang w:val="en-US" w:eastAsia="zh-CN" w:bidi="ar-SA"/>
    </w:rPr>
  </w:style>
  <w:style w:type="character" w:customStyle="1" w:styleId="2CharChar6">
    <w:name w:val="新标题2 Char Char"/>
    <w:qFormat/>
    <w:rPr>
      <w:rFonts w:ascii="Times New Roman" w:eastAsia="宋体" w:hAnsi="宋体" w:cs="Times New Roman"/>
      <w:color w:val="000000"/>
      <w:kern w:val="2"/>
      <w:sz w:val="24"/>
      <w:szCs w:val="24"/>
      <w:lang w:val="en-US" w:eastAsia="zh-CN" w:bidi="ar-SA"/>
    </w:rPr>
  </w:style>
  <w:style w:type="character" w:customStyle="1" w:styleId="2Charb">
    <w:name w:val="正文文字2 Char"/>
    <w:qFormat/>
    <w:rPr>
      <w:rFonts w:ascii="Times New Roman" w:eastAsia="宋体" w:hAnsi="Times New Roman" w:cs="Times New Roman"/>
      <w:color w:val="000000"/>
      <w:sz w:val="24"/>
      <w:lang w:val="en-US" w:eastAsia="zh-CN" w:bidi="ar-SA"/>
    </w:rPr>
  </w:style>
  <w:style w:type="character" w:customStyle="1" w:styleId="text-content1">
    <w:name w:val="text-content1"/>
    <w:qFormat/>
    <w:rPr>
      <w:rFonts w:ascii="Times New Roman" w:eastAsia="宋体" w:hAnsi="Times New Roman" w:cs="Times New Roman"/>
      <w:sz w:val="18"/>
      <w:szCs w:val="18"/>
      <w:lang w:val="en-US" w:eastAsia="zh-CN" w:bidi="ar-SA"/>
    </w:rPr>
  </w:style>
  <w:style w:type="character" w:customStyle="1" w:styleId="style16style57">
    <w:name w:val="style16 style57"/>
    <w:qFormat/>
    <w:rPr>
      <w:rFonts w:ascii="Times New Roman" w:eastAsia="宋体" w:hAnsi="Times New Roman" w:cs="Times New Roman"/>
      <w:kern w:val="2"/>
      <w:sz w:val="24"/>
      <w:szCs w:val="24"/>
      <w:lang w:val="en-US" w:eastAsia="zh-CN" w:bidi="ar-SA"/>
    </w:rPr>
  </w:style>
  <w:style w:type="character" w:customStyle="1" w:styleId="contentde1">
    <w:name w:val="content_de1"/>
    <w:qFormat/>
    <w:rPr>
      <w:rFonts w:ascii="Times New Roman" w:eastAsia="宋体" w:hAnsi="Times New Roman" w:cs="Times New Roman"/>
      <w:sz w:val="21"/>
      <w:szCs w:val="21"/>
      <w:lang w:val="en-US" w:eastAsia="zh-CN" w:bidi="ar-SA"/>
    </w:rPr>
  </w:style>
  <w:style w:type="character" w:customStyle="1" w:styleId="001Char0">
    <w:name w:val="表格001 Char"/>
    <w:link w:val="0010"/>
    <w:qFormat/>
    <w:rPr>
      <w:rFonts w:asciiTheme="minorHAnsi" w:eastAsia="宋体" w:hAnsiTheme="minorHAnsi" w:cstheme="minorBidi"/>
      <w:szCs w:val="22"/>
      <w:lang w:val="en-US" w:eastAsia="zh-CN" w:bidi="ar-SA"/>
    </w:rPr>
  </w:style>
  <w:style w:type="paragraph" w:customStyle="1" w:styleId="0010">
    <w:name w:val="表格001"/>
    <w:basedOn w:val="af1"/>
    <w:link w:val="001Char0"/>
    <w:qFormat/>
    <w:pPr>
      <w:jc w:val="center"/>
    </w:pPr>
    <w:rPr>
      <w:rFonts w:asciiTheme="minorHAnsi" w:hAnsiTheme="minorHAnsi"/>
    </w:rPr>
  </w:style>
  <w:style w:type="character" w:customStyle="1" w:styleId="12pixblack1">
    <w:name w:val="12pixblack1"/>
    <w:qFormat/>
    <w:rPr>
      <w:rFonts w:ascii="Times New Roman" w:eastAsia="宋体" w:hAnsi="Times New Roman" w:cs="Times New Roman"/>
      <w:sz w:val="18"/>
      <w:szCs w:val="18"/>
      <w:lang w:val="en-US" w:eastAsia="zh-CN" w:bidi="ar-SA"/>
    </w:rPr>
  </w:style>
  <w:style w:type="character" w:customStyle="1" w:styleId="Char29">
    <w:name w:val="页眉 Char2"/>
    <w:qFormat/>
    <w:rPr>
      <w:rFonts w:ascii="Times New Roman" w:eastAsia="宋体" w:hAnsi="Times New Roman" w:cs="Times New Roman"/>
      <w:kern w:val="2"/>
      <w:sz w:val="18"/>
      <w:szCs w:val="18"/>
      <w:lang w:val="en-US" w:eastAsia="zh-CN" w:bidi="ar-SA"/>
    </w:rPr>
  </w:style>
  <w:style w:type="character" w:customStyle="1" w:styleId="PlainTextChar1">
    <w:name w:val="Plain Text Char1"/>
    <w:qFormat/>
    <w:rPr>
      <w:rFonts w:ascii="宋体" w:eastAsia="宋体" w:hAnsi="Courier New" w:cs="Courier New"/>
      <w:kern w:val="2"/>
      <w:sz w:val="21"/>
      <w:szCs w:val="21"/>
      <w:lang w:val="en-US" w:eastAsia="zh-CN" w:bidi="ar-SA"/>
    </w:rPr>
  </w:style>
  <w:style w:type="character" w:customStyle="1" w:styleId="BodyTextFirstIndent2Char">
    <w:name w:val="Body Text First Indent 2 Char"/>
    <w:qFormat/>
    <w:locked/>
    <w:rPr>
      <w:rFonts w:ascii="Verdana" w:eastAsia="宋体" w:hAnsi="仿宋_GB2312" w:cs="Times New Roman"/>
      <w:kern w:val="2"/>
      <w:sz w:val="28"/>
      <w:lang w:val="en-US" w:eastAsia="zh-CN" w:bidi="ar-SA"/>
    </w:rPr>
  </w:style>
  <w:style w:type="character" w:customStyle="1" w:styleId="111111Char1">
    <w:name w:val="标题1.1.1.1.1.1 Char1"/>
    <w:qFormat/>
    <w:rPr>
      <w:rFonts w:ascii="Arial" w:eastAsia="黑体" w:hAnsi="Arial" w:cs="Arial" w:hint="default"/>
      <w:b/>
      <w:snapToGrid/>
      <w:color w:val="008000"/>
      <w:kern w:val="2"/>
      <w:sz w:val="24"/>
      <w:szCs w:val="24"/>
      <w:lang w:val="en-US" w:eastAsia="zh-CN" w:bidi="ar-SA"/>
    </w:rPr>
  </w:style>
  <w:style w:type="character" w:customStyle="1" w:styleId="6Char">
    <w:name w:val="标题 6 Char"/>
    <w:qFormat/>
    <w:rPr>
      <w:rFonts w:ascii="Arial" w:eastAsia="黑体" w:hAnsi="Arial" w:cs="Times New Roman"/>
      <w:b/>
      <w:sz w:val="24"/>
      <w:lang w:val="en-US" w:eastAsia="zh-CN" w:bidi="ar-SA"/>
    </w:rPr>
  </w:style>
  <w:style w:type="character" w:customStyle="1" w:styleId="CharChar35">
    <w:name w:val="Char Char35"/>
    <w:qFormat/>
    <w:rPr>
      <w:rFonts w:ascii="Arial" w:eastAsia="黑体" w:hAnsi="Arial" w:cs="Times New Roman"/>
      <w:b/>
      <w:kern w:val="2"/>
      <w:sz w:val="24"/>
      <w:lang w:val="en-US" w:eastAsia="zh-CN" w:bidi="ar-SA"/>
    </w:rPr>
  </w:style>
  <w:style w:type="character" w:customStyle="1" w:styleId="4CharChar">
    <w:name w:val="样式4 Char Char"/>
    <w:link w:val="48"/>
    <w:qFormat/>
    <w:rPr>
      <w:rFonts w:ascii="宋体" w:eastAsiaTheme="minorEastAsia" w:hAnsi="宋体" w:cstheme="minorBidi"/>
      <w:sz w:val="24"/>
      <w:lang w:val="en-US" w:eastAsia="zh-CN" w:bidi="ar-SA"/>
    </w:rPr>
  </w:style>
  <w:style w:type="paragraph" w:customStyle="1" w:styleId="48">
    <w:name w:val="样式4"/>
    <w:basedOn w:val="affe"/>
    <w:link w:val="4CharChar"/>
    <w:qFormat/>
    <w:pPr>
      <w:adjustRightInd w:val="0"/>
      <w:snapToGrid w:val="0"/>
      <w:spacing w:beforeLines="50" w:before="156" w:after="0" w:line="360" w:lineRule="auto"/>
      <w:ind w:rightChars="-50" w:right="-120" w:firstLineChars="192" w:firstLine="461"/>
    </w:pPr>
    <w:rPr>
      <w:rFonts w:ascii="宋体" w:hAnsi="宋体"/>
      <w:sz w:val="24"/>
    </w:rPr>
  </w:style>
  <w:style w:type="character" w:customStyle="1" w:styleId="subsm">
    <w:name w:val="subsm"/>
    <w:qFormat/>
    <w:rPr>
      <w:rFonts w:ascii="Times New Roman" w:eastAsia="宋体" w:hAnsi="Times New Roman" w:cs="Times New Roman" w:hint="default"/>
      <w:lang w:val="en-US" w:eastAsia="zh-CN" w:bidi="ar-SA"/>
    </w:rPr>
  </w:style>
  <w:style w:type="character" w:customStyle="1" w:styleId="11Char0">
    <w:name w:val="表格样式11 Char"/>
    <w:link w:val="115"/>
    <w:qFormat/>
    <w:rPr>
      <w:rFonts w:ascii="Arial" w:eastAsia="宋体" w:hAnsi="Arial" w:cs="Arial"/>
      <w:szCs w:val="21"/>
      <w:lang w:val="en-US" w:eastAsia="en-US" w:bidi="en-US"/>
    </w:rPr>
  </w:style>
  <w:style w:type="paragraph" w:customStyle="1" w:styleId="115">
    <w:name w:val="表格样式11"/>
    <w:basedOn w:val="af1"/>
    <w:link w:val="11Char0"/>
    <w:qFormat/>
    <w:pPr>
      <w:widowControl/>
      <w:spacing w:line="0" w:lineRule="atLeast"/>
      <w:jc w:val="center"/>
    </w:pPr>
    <w:rPr>
      <w:rFonts w:ascii="Arial" w:hAnsi="Arial" w:cs="Arial"/>
      <w:szCs w:val="21"/>
      <w:lang w:eastAsia="en-US" w:bidi="en-US"/>
    </w:rPr>
  </w:style>
  <w:style w:type="character" w:customStyle="1" w:styleId="CharCharfff5">
    <w:name w:val="正文缩进 Char Char"/>
    <w:link w:val="2ff2"/>
    <w:qFormat/>
    <w:rPr>
      <w:rFonts w:ascii="Times New Roman" w:eastAsiaTheme="minorEastAsia" w:hAnsi="Times New Roman" w:cstheme="minorBidi"/>
      <w:szCs w:val="22"/>
      <w:lang w:val="en-US" w:eastAsia="zh-CN" w:bidi="ar-SA"/>
    </w:rPr>
  </w:style>
  <w:style w:type="paragraph" w:customStyle="1" w:styleId="2ff2">
    <w:name w:val="正文缩进2"/>
    <w:basedOn w:val="af1"/>
    <w:link w:val="CharCharfff5"/>
    <w:qFormat/>
    <w:pPr>
      <w:spacing w:line="360" w:lineRule="auto"/>
      <w:ind w:firstLine="420"/>
      <w:jc w:val="left"/>
    </w:pPr>
    <w:rPr>
      <w:rFonts w:ascii="Calibri" w:eastAsiaTheme="minorEastAsia" w:hAnsi="Calibri"/>
    </w:rPr>
  </w:style>
  <w:style w:type="character" w:customStyle="1" w:styleId="CharCharCharCharCharChar3">
    <w:name w:val="报告书正文 Char Char Char Char Char Char"/>
    <w:qFormat/>
    <w:rPr>
      <w:rFonts w:ascii="Times New Roman" w:eastAsia="宋体" w:hAnsi="Times New Roman" w:cs="Times New Roman"/>
      <w:color w:val="000000"/>
      <w:sz w:val="24"/>
      <w:lang w:val="en-US" w:eastAsia="zh-CN" w:bidi="ar-SA"/>
    </w:rPr>
  </w:style>
  <w:style w:type="character" w:customStyle="1" w:styleId="CharChar292">
    <w:name w:val="Char Char292"/>
    <w:qFormat/>
    <w:rPr>
      <w:rFonts w:ascii="Times New Roman" w:eastAsia="宋体" w:hAnsi="Times New Roman" w:cs="Times New Roman"/>
      <w:kern w:val="2"/>
      <w:sz w:val="24"/>
      <w:lang w:val="en-US" w:eastAsia="zh-CN" w:bidi="ar-SA"/>
    </w:rPr>
  </w:style>
  <w:style w:type="character" w:customStyle="1" w:styleId="CharCharCharCharc">
    <w:name w:val="样式 表文 Char Char + Char Char"/>
    <w:link w:val="CharCharfff6"/>
    <w:qFormat/>
    <w:locked/>
    <w:rPr>
      <w:rFonts w:asciiTheme="minorHAnsi" w:eastAsiaTheme="minorEastAsia" w:hAnsiTheme="minorHAnsi" w:cstheme="minorBidi"/>
      <w:kern w:val="2"/>
      <w:sz w:val="18"/>
      <w:szCs w:val="18"/>
      <w:lang w:val="en-US" w:eastAsia="zh-CN" w:bidi="ar-SA"/>
    </w:rPr>
  </w:style>
  <w:style w:type="paragraph" w:customStyle="1" w:styleId="CharCharfff6">
    <w:name w:val="样式 表文 Char Char +"/>
    <w:link w:val="CharCharCharCharc"/>
    <w:qFormat/>
    <w:pPr>
      <w:overflowPunct w:val="0"/>
      <w:adjustRightInd w:val="0"/>
      <w:snapToGrid w:val="0"/>
      <w:ind w:firstLineChars="200" w:firstLine="360"/>
      <w:textAlignment w:val="baseline"/>
    </w:pPr>
    <w:rPr>
      <w:kern w:val="2"/>
      <w:sz w:val="18"/>
      <w:szCs w:val="18"/>
    </w:rPr>
  </w:style>
  <w:style w:type="character" w:customStyle="1" w:styleId="09915Char">
    <w:name w:val="样式 宋体 四号 加粗 首行缩进:  0.99 厘米 行距: 1.5 倍行距 Char"/>
    <w:link w:val="09915"/>
    <w:qFormat/>
    <w:rPr>
      <w:rFonts w:asciiTheme="minorHAnsi" w:eastAsiaTheme="minorEastAsia" w:hAnsiTheme="minorHAnsi" w:cs="宋体"/>
      <w:bCs/>
      <w:sz w:val="28"/>
      <w:szCs w:val="28"/>
      <w:lang w:val="en-US" w:eastAsia="zh-CN" w:bidi="ar-SA"/>
    </w:rPr>
  </w:style>
  <w:style w:type="paragraph" w:customStyle="1" w:styleId="09915">
    <w:name w:val="样式 宋体 四号 加粗 首行缩进:  0.99 厘米 行距: 1.5 倍行距"/>
    <w:basedOn w:val="af1"/>
    <w:link w:val="09915Char"/>
    <w:qFormat/>
    <w:pPr>
      <w:spacing w:line="360" w:lineRule="auto"/>
      <w:ind w:firstLine="560"/>
    </w:pPr>
    <w:rPr>
      <w:rFonts w:asciiTheme="minorHAnsi" w:eastAsiaTheme="minorEastAsia" w:hAnsiTheme="minorHAnsi" w:cs="宋体"/>
      <w:bCs/>
      <w:sz w:val="28"/>
      <w:szCs w:val="28"/>
    </w:rPr>
  </w:style>
  <w:style w:type="character" w:customStyle="1" w:styleId="afffffffffff2">
    <w:name w:val="样式 宋体 四号 加粗"/>
    <w:qFormat/>
    <w:rPr>
      <w:rFonts w:ascii="Verdana" w:eastAsia="Times New Roman" w:hAnsi="Verdana" w:cs="Times New Roman"/>
      <w:b/>
      <w:sz w:val="21"/>
      <w:lang w:val="en-US" w:eastAsia="en-US" w:bidi="ar-SA"/>
    </w:rPr>
  </w:style>
  <w:style w:type="character" w:customStyle="1" w:styleId="1CharChar4">
    <w:name w:val="目标题 1) Char Char"/>
    <w:qFormat/>
    <w:rPr>
      <w:rFonts w:ascii="Arial" w:eastAsia="黑体" w:hAnsi="Arial" w:cs="Times New Roman"/>
      <w:sz w:val="24"/>
      <w:lang w:val="en-US" w:eastAsia="zh-CN" w:bidi="ar-SA"/>
    </w:rPr>
  </w:style>
  <w:style w:type="character" w:customStyle="1" w:styleId="9Char1">
    <w:name w:val="标题 9 Char1"/>
    <w:qFormat/>
    <w:rPr>
      <w:rFonts w:ascii="Arial" w:eastAsia="黑体" w:hAnsi="Arial" w:cs="Arial" w:hint="default"/>
      <w:b/>
      <w:color w:val="008000"/>
      <w:kern w:val="2"/>
      <w:sz w:val="24"/>
      <w:szCs w:val="24"/>
      <w:lang w:val="en-US" w:eastAsia="zh-CN" w:bidi="ar-SA"/>
    </w:rPr>
  </w:style>
  <w:style w:type="character" w:customStyle="1" w:styleId="6Char0">
    <w:name w:val="样式6 Char"/>
    <w:link w:val="62"/>
    <w:qFormat/>
    <w:rPr>
      <w:rFonts w:ascii="Times New Roman" w:eastAsia="黑体" w:hAnsi="Times New Roman" w:cstheme="minorBidi"/>
      <w:b/>
      <w:spacing w:val="20"/>
      <w:sz w:val="28"/>
      <w:szCs w:val="22"/>
      <w:lang w:val="en-US" w:eastAsia="zh-CN" w:bidi="ar-SA"/>
    </w:rPr>
  </w:style>
  <w:style w:type="paragraph" w:customStyle="1" w:styleId="62">
    <w:name w:val="样式6"/>
    <w:basedOn w:val="af1"/>
    <w:link w:val="6Char0"/>
    <w:qFormat/>
    <w:pPr>
      <w:adjustRightInd w:val="0"/>
      <w:spacing w:after="200" w:line="360" w:lineRule="atLeast"/>
    </w:pPr>
    <w:rPr>
      <w:rFonts w:ascii="Calibri" w:eastAsia="黑体" w:hAnsi="Calibri"/>
      <w:b/>
      <w:spacing w:val="20"/>
      <w:sz w:val="28"/>
    </w:rPr>
  </w:style>
  <w:style w:type="character" w:customStyle="1" w:styleId="TimesNewRomanChar">
    <w:name w:val="样式 表格居中 + Times New Roman Char"/>
    <w:link w:val="TimesNewRoman"/>
    <w:qFormat/>
    <w:locked/>
    <w:rPr>
      <w:rFonts w:ascii="Times New Roman" w:eastAsia="宋体" w:hAnsi="Times New Roman" w:cs="Times New Roman"/>
      <w:lang w:val="en-US" w:eastAsia="zh-CN" w:bidi="ar-SA"/>
    </w:rPr>
  </w:style>
  <w:style w:type="paragraph" w:customStyle="1" w:styleId="TimesNewRoman">
    <w:name w:val="样式 表格居中 + Times New Roman"/>
    <w:basedOn w:val="affffffffff8"/>
    <w:link w:val="TimesNewRomanChar"/>
    <w:qFormat/>
  </w:style>
  <w:style w:type="character" w:customStyle="1" w:styleId="xybCharCharCharChar">
    <w:name w:val="xyb自建正文 Char Char Char Char"/>
    <w:qFormat/>
    <w:rPr>
      <w:rFonts w:ascii="宋体" w:eastAsia="宋体" w:hAnsi="Times New Roman" w:cs="Times New Roman"/>
      <w:spacing w:val="-2"/>
      <w:kern w:val="2"/>
      <w:sz w:val="24"/>
      <w:lang w:val="en-US" w:eastAsia="zh-CN" w:bidi="ar-SA"/>
    </w:rPr>
  </w:style>
  <w:style w:type="character" w:customStyle="1" w:styleId="2Constantia55">
    <w:name w:val="正文文本 (2) + Constantia55"/>
    <w:qFormat/>
    <w:rPr>
      <w:rFonts w:ascii="Constantia" w:eastAsia="MingLiU" w:hAnsi="Constantia" w:cs="Constantia"/>
      <w:b/>
      <w:bCs/>
      <w:kern w:val="2"/>
      <w:sz w:val="22"/>
      <w:szCs w:val="22"/>
      <w:u w:val="none"/>
      <w:lang w:val="en-US" w:eastAsia="en-US" w:bidi="ar-SA"/>
    </w:rPr>
  </w:style>
  <w:style w:type="character" w:customStyle="1" w:styleId="CharChar422">
    <w:name w:val="Char Char422"/>
    <w:qFormat/>
    <w:rPr>
      <w:rFonts w:ascii="黑体" w:eastAsia="黑体" w:hAnsi="Times New Roman" w:cs="Times New Roman" w:hint="eastAsia"/>
      <w:b/>
      <w:snapToGrid/>
      <w:color w:val="008000"/>
      <w:kern w:val="2"/>
      <w:sz w:val="28"/>
      <w:szCs w:val="24"/>
      <w:lang w:val="en-US" w:eastAsia="zh-CN" w:bidi="ar-SA"/>
    </w:rPr>
  </w:style>
  <w:style w:type="character" w:customStyle="1" w:styleId="yxExternal">
    <w:name w:val="yxExternal"/>
    <w:qFormat/>
    <w:rPr>
      <w:rFonts w:ascii="Courier New" w:eastAsia="宋体" w:hAnsi="Courier New" w:cs="Times New Roman"/>
      <w:color w:val="808080"/>
      <w:lang w:val="en-US" w:eastAsia="zh-CN" w:bidi="ar-SA"/>
    </w:rPr>
  </w:style>
  <w:style w:type="character" w:customStyle="1" w:styleId="afffffffffff3">
    <w:name w:val="尾注文本 字符"/>
    <w:qFormat/>
    <w:rPr>
      <w:rFonts w:ascii="Times New Roman" w:eastAsia="宋体" w:hAnsi="Times New Roman" w:cs="Times New Roman"/>
      <w:kern w:val="2"/>
      <w:sz w:val="21"/>
      <w:szCs w:val="24"/>
      <w:lang w:val="en-US" w:eastAsia="zh-CN" w:bidi="ar-SA"/>
    </w:rPr>
  </w:style>
  <w:style w:type="character" w:customStyle="1" w:styleId="xybCharChar0">
    <w:name w:val="xyb自建表格名称 Char Char"/>
    <w:qFormat/>
    <w:rPr>
      <w:rFonts w:ascii="宋体" w:eastAsia="宋体" w:hAnsi="Times New Roman" w:cs="Times New Roman"/>
      <w:kern w:val="2"/>
      <w:sz w:val="24"/>
      <w:lang w:val="en-US" w:eastAsia="zh-CN" w:bidi="ar-SA"/>
    </w:rPr>
  </w:style>
  <w:style w:type="character" w:customStyle="1" w:styleId="afffffffffff4">
    <w:name w:val="上标"/>
    <w:qFormat/>
    <w:rPr>
      <w:rFonts w:ascii="Times New Roman" w:eastAsia="宋体" w:hAnsi="Times New Roman" w:cs="Times New Roman"/>
      <w:vertAlign w:val="superscript"/>
      <w:lang w:val="en-US" w:eastAsia="zh-CN" w:bidi="ar-SA"/>
    </w:rPr>
  </w:style>
  <w:style w:type="character" w:customStyle="1" w:styleId="CharCharChar11">
    <w:name w:val="表号 Char Char Char1"/>
    <w:qFormat/>
    <w:rPr>
      <w:rFonts w:ascii="Times New Roman" w:eastAsia="宋体" w:hAnsi="Times New Roman" w:cs="Times New Roman"/>
      <w:kern w:val="2"/>
      <w:sz w:val="21"/>
      <w:szCs w:val="24"/>
      <w:lang w:val="en-US" w:eastAsia="zh-CN" w:bidi="ar-SA"/>
    </w:rPr>
  </w:style>
  <w:style w:type="character" w:customStyle="1" w:styleId="Char1f7">
    <w:name w:val="副标题 Char1"/>
    <w:qFormat/>
    <w:rPr>
      <w:rFonts w:ascii="Cambria" w:eastAsia="宋体" w:hAnsi="Cambria" w:cs="Times New Roman"/>
      <w:b/>
      <w:bCs/>
      <w:kern w:val="28"/>
      <w:sz w:val="32"/>
      <w:szCs w:val="32"/>
      <w:lang w:val="en-US" w:eastAsia="zh-CN" w:bidi="ar-SA"/>
    </w:rPr>
  </w:style>
  <w:style w:type="character" w:customStyle="1" w:styleId="3CharChar2">
    <w:name w:val="蒲标题3 Char Char"/>
    <w:qFormat/>
    <w:locked/>
    <w:rPr>
      <w:rFonts w:ascii="Times New Roman" w:eastAsia="宋体" w:hAnsi="Times New Roman" w:cs="Times New Roman"/>
      <w:snapToGrid/>
      <w:color w:val="000000"/>
      <w:sz w:val="24"/>
      <w:lang w:val="en-US" w:eastAsia="zh-CN" w:bidi="ar-SA"/>
    </w:rPr>
  </w:style>
  <w:style w:type="character" w:customStyle="1" w:styleId="CharCharChare">
    <w:name w:val="表文 Char Char Char"/>
    <w:qFormat/>
    <w:rPr>
      <w:rFonts w:ascii="Times New Roman" w:eastAsia="宋体" w:hAnsi="Times New Roman" w:cs="Times New Roman"/>
      <w:kern w:val="2"/>
      <w:sz w:val="21"/>
      <w:lang w:val="en-US" w:eastAsia="zh-CN" w:bidi="ar-SA"/>
    </w:rPr>
  </w:style>
  <w:style w:type="character" w:customStyle="1" w:styleId="BodyTextIndentChar1">
    <w:name w:val="Body Text Indent Char1"/>
    <w:qFormat/>
    <w:rPr>
      <w:rFonts w:ascii="Times New Roman" w:eastAsia="宋体" w:hAnsi="Times New Roman" w:cs="Times New Roman"/>
      <w:kern w:val="2"/>
      <w:sz w:val="24"/>
      <w:szCs w:val="24"/>
      <w:lang w:val="en-US" w:eastAsia="zh-CN" w:bidi="ar-SA"/>
    </w:rPr>
  </w:style>
  <w:style w:type="character" w:customStyle="1" w:styleId="HTMLChar0">
    <w:name w:val="HTML 地址 Char"/>
    <w:qFormat/>
    <w:locked/>
    <w:rPr>
      <w:rFonts w:ascii="Verdana" w:eastAsia="宋体" w:hAnsi="Verdana" w:cs="Times New Roman"/>
      <w:i/>
      <w:sz w:val="32"/>
      <w:lang w:val="en-US" w:eastAsia="zh-CN" w:bidi="ar-SA"/>
    </w:rPr>
  </w:style>
  <w:style w:type="paragraph" w:customStyle="1" w:styleId="1ff1">
    <w:name w:val="正文文本缩进1"/>
    <w:basedOn w:val="af1"/>
    <w:qFormat/>
    <w:pPr>
      <w:tabs>
        <w:tab w:val="left" w:pos="840"/>
      </w:tabs>
      <w:adjustRightInd w:val="0"/>
      <w:snapToGrid w:val="0"/>
      <w:spacing w:line="360" w:lineRule="auto"/>
      <w:ind w:firstLineChars="200" w:firstLine="560"/>
    </w:pPr>
    <w:rPr>
      <w:rFonts w:asciiTheme="minorHAnsi" w:eastAsiaTheme="minorEastAsia" w:hAnsiTheme="minorHAnsi"/>
      <w:color w:val="000000"/>
      <w:sz w:val="28"/>
      <w:szCs w:val="24"/>
    </w:rPr>
  </w:style>
  <w:style w:type="character" w:customStyle="1" w:styleId="BodyTextFirstIndentChar1">
    <w:name w:val="Body Text First Indent Char1"/>
    <w:qFormat/>
    <w:rPr>
      <w:rFonts w:ascii="Calibri" w:eastAsia="宋体" w:hAnsi="Calibri" w:cs="Times New Roman"/>
      <w:kern w:val="2"/>
      <w:sz w:val="24"/>
      <w:szCs w:val="24"/>
      <w:lang w:val="en-US" w:eastAsia="zh-CN" w:bidi="ar-SA"/>
    </w:rPr>
  </w:style>
  <w:style w:type="character" w:customStyle="1" w:styleId="spelle">
    <w:name w:val="spelle"/>
    <w:qFormat/>
    <w:rPr>
      <w:rFonts w:ascii="Arial Black" w:eastAsia="Times New Roman" w:hAnsi="Arial Black" w:cs="Times New Roman"/>
      <w:sz w:val="21"/>
      <w:lang w:val="en-US" w:eastAsia="en-US" w:bidi="ar-SA"/>
    </w:rPr>
  </w:style>
  <w:style w:type="character" w:customStyle="1" w:styleId="BodyTextIndent3Char1">
    <w:name w:val="Body Text Indent 3 Char1"/>
    <w:qFormat/>
    <w:rPr>
      <w:rFonts w:ascii="Times New Roman" w:eastAsia="宋体" w:hAnsi="Times New Roman" w:cs="Times New Roman"/>
      <w:kern w:val="2"/>
      <w:sz w:val="16"/>
      <w:szCs w:val="16"/>
      <w:lang w:val="en-US" w:eastAsia="zh-CN" w:bidi="ar-SA"/>
    </w:rPr>
  </w:style>
  <w:style w:type="character" w:customStyle="1" w:styleId="css-text3">
    <w:name w:val="css-text3"/>
    <w:qFormat/>
    <w:rPr>
      <w:rFonts w:ascii="Arial Black" w:eastAsia="Times New Roman" w:hAnsi="Arial Black" w:cs="Times New Roman"/>
      <w:sz w:val="21"/>
      <w:lang w:val="en-US" w:eastAsia="en-US" w:bidi="ar-SA"/>
    </w:rPr>
  </w:style>
  <w:style w:type="character" w:customStyle="1" w:styleId="FollowedHyperlink1">
    <w:name w:val="FollowedHyperlink1"/>
    <w:qFormat/>
    <w:rPr>
      <w:rFonts w:ascii="Times New Roman" w:eastAsia="宋体" w:hAnsi="Times New Roman" w:cs="Times New Roman"/>
      <w:color w:val="800080"/>
      <w:u w:val="single"/>
      <w:lang w:val="en-US" w:eastAsia="zh-CN" w:bidi="ar-SA"/>
    </w:rPr>
  </w:style>
  <w:style w:type="character" w:customStyle="1" w:styleId="1ff2">
    <w:name w:val="占位符文本1"/>
    <w:qFormat/>
    <w:rPr>
      <w:rFonts w:ascii="Times New Roman" w:eastAsia="黑体" w:hAnsi="Times New Roman" w:cs="Times New Roman"/>
      <w:b/>
      <w:color w:val="808080"/>
      <w:kern w:val="2"/>
      <w:sz w:val="21"/>
      <w:szCs w:val="22"/>
      <w:lang w:val="en-US" w:eastAsia="zh-CN" w:bidi="ar-SA"/>
    </w:rPr>
  </w:style>
  <w:style w:type="character" w:customStyle="1" w:styleId="1Char11">
    <w:name w:val="页脚1 Char1"/>
    <w:qFormat/>
    <w:rPr>
      <w:rFonts w:ascii="Times New Roman" w:eastAsia="宋体" w:hAnsi="Times New Roman" w:cs="Times New Roman"/>
      <w:kern w:val="2"/>
      <w:sz w:val="18"/>
      <w:lang w:val="en-US" w:eastAsia="zh-CN" w:bidi="ar-SA"/>
    </w:rPr>
  </w:style>
  <w:style w:type="character" w:customStyle="1" w:styleId="text2">
    <w:name w:val="text2"/>
    <w:semiHidden/>
    <w:qFormat/>
    <w:rPr>
      <w:rFonts w:ascii="Times New Roman" w:eastAsia="宋体" w:hAnsi="Times New Roman" w:cs="Times New Roman"/>
      <w:kern w:val="2"/>
      <w:sz w:val="24"/>
      <w:szCs w:val="24"/>
      <w:lang w:val="en-US" w:eastAsia="zh-CN" w:bidi="ar-SA"/>
    </w:rPr>
  </w:style>
  <w:style w:type="character" w:customStyle="1" w:styleId="49">
    <w:name w:val="日期4"/>
    <w:basedOn w:val="af3"/>
    <w:qFormat/>
    <w:rPr>
      <w:rFonts w:ascii="Times New Roman" w:eastAsia="宋体" w:hAnsi="Times New Roman" w:cs="Times New Roman"/>
      <w:lang w:val="en-US" w:eastAsia="zh-CN" w:bidi="ar-SA"/>
    </w:rPr>
  </w:style>
  <w:style w:type="character" w:customStyle="1" w:styleId="Charfffff0">
    <w:name w:val="磷矿正文 Char"/>
    <w:link w:val="afffffffffff5"/>
    <w:qFormat/>
    <w:rPr>
      <w:rFonts w:asciiTheme="minorHAnsi" w:eastAsiaTheme="minorEastAsia" w:hAnsiTheme="minorHAnsi" w:cstheme="minorBidi"/>
      <w:sz w:val="24"/>
      <w:lang w:val="en-US" w:eastAsia="zh-CN" w:bidi="ar-SA"/>
    </w:rPr>
  </w:style>
  <w:style w:type="paragraph" w:customStyle="1" w:styleId="afffffffffff5">
    <w:name w:val="磷矿正文"/>
    <w:basedOn w:val="af1"/>
    <w:link w:val="Charfffff0"/>
    <w:qFormat/>
    <w:pPr>
      <w:autoSpaceDE w:val="0"/>
      <w:autoSpaceDN w:val="0"/>
      <w:adjustRightInd w:val="0"/>
      <w:ind w:firstLineChars="200" w:firstLine="200"/>
    </w:pPr>
    <w:rPr>
      <w:rFonts w:asciiTheme="minorHAnsi" w:eastAsiaTheme="minorEastAsia" w:hAnsiTheme="minorHAnsi"/>
      <w:sz w:val="24"/>
      <w:szCs w:val="24"/>
    </w:rPr>
  </w:style>
  <w:style w:type="character" w:customStyle="1" w:styleId="3Char1CharChar">
    <w:name w:val="标题 3 Char1 Char Char"/>
    <w:qFormat/>
    <w:rPr>
      <w:rFonts w:ascii="Arial Black" w:eastAsia="Times New Roman" w:hAnsi="Arial Black" w:cs="Times New Roman"/>
      <w:b/>
      <w:kern w:val="2"/>
      <w:sz w:val="32"/>
      <w:lang w:val="en-US" w:eastAsia="zh-CN" w:bidi="ar-SA"/>
    </w:rPr>
  </w:style>
  <w:style w:type="character" w:customStyle="1" w:styleId="black1">
    <w:name w:val="black1"/>
    <w:qFormat/>
    <w:rPr>
      <w:rFonts w:ascii="Times New Roman" w:eastAsia="宋体" w:hAnsi="Times New Roman" w:cs="Times New Roman"/>
      <w:color w:val="000000"/>
      <w:sz w:val="18"/>
      <w:szCs w:val="18"/>
      <w:u w:val="none"/>
      <w:lang w:val="en-US" w:eastAsia="zh-CN" w:bidi="ar-SA"/>
    </w:rPr>
  </w:style>
  <w:style w:type="character" w:customStyle="1" w:styleId="CharCharCharf">
    <w:name w:val="纯文本 Char Char Char"/>
    <w:uiPriority w:val="99"/>
    <w:qFormat/>
    <w:rPr>
      <w:rFonts w:ascii="宋体" w:eastAsia="宋体" w:hAnsi="Courier New" w:cs="Times New Roman"/>
      <w:kern w:val="2"/>
      <w:sz w:val="21"/>
      <w:lang w:val="en-US" w:eastAsia="zh-CN" w:bidi="ar-SA"/>
    </w:rPr>
  </w:style>
  <w:style w:type="character" w:customStyle="1" w:styleId="afffffffffff6">
    <w:name w:val="样式 (中文) 宋体 小四"/>
    <w:qFormat/>
    <w:rPr>
      <w:rFonts w:ascii="Times New Roman" w:eastAsia="宋体" w:hAnsi="Times New Roman" w:cs="Times New Roman"/>
      <w:bCs/>
      <w:sz w:val="24"/>
      <w:lang w:val="en-US" w:eastAsia="zh-CN" w:bidi="ar-SA"/>
    </w:rPr>
  </w:style>
  <w:style w:type="character" w:customStyle="1" w:styleId="style1">
    <w:name w:val="style1"/>
    <w:qFormat/>
    <w:rPr>
      <w:rFonts w:ascii="Times New Roman" w:eastAsia="宋体" w:hAnsi="Times New Roman" w:cs="Times New Roman"/>
      <w:kern w:val="2"/>
      <w:sz w:val="24"/>
      <w:szCs w:val="24"/>
      <w:lang w:val="en-US" w:eastAsia="zh-CN" w:bidi="ar-SA"/>
    </w:rPr>
  </w:style>
  <w:style w:type="character" w:customStyle="1" w:styleId="CharChar22">
    <w:name w:val="Char Char22"/>
    <w:qFormat/>
    <w:rPr>
      <w:rFonts w:ascii="宋体" w:eastAsia="仿宋_GB2312" w:hAnsi="宋体" w:cs="Times New Roman"/>
      <w:kern w:val="2"/>
      <w:sz w:val="28"/>
      <w:lang w:val="en-US" w:eastAsia="zh-CN" w:bidi="ar-SA"/>
    </w:rPr>
  </w:style>
  <w:style w:type="character" w:customStyle="1" w:styleId="c131">
    <w:name w:val="c131"/>
    <w:qFormat/>
    <w:rPr>
      <w:rFonts w:ascii="Times New Roman" w:eastAsia="宋体" w:hAnsi="Times New Roman" w:cs="Times New Roman"/>
      <w:color w:val="FFFFFF"/>
      <w:sz w:val="18"/>
      <w:szCs w:val="18"/>
      <w:lang w:val="en-US" w:eastAsia="zh-CN" w:bidi="ar-SA"/>
    </w:rPr>
  </w:style>
  <w:style w:type="character" w:customStyle="1" w:styleId="1cg2CharChar">
    <w:name w:val="标题 1 cg2 Char Char"/>
    <w:link w:val="1cg2"/>
    <w:qFormat/>
    <w:locked/>
    <w:rPr>
      <w:rFonts w:asciiTheme="minorHAnsi" w:eastAsiaTheme="minorEastAsia" w:hAnsiTheme="minorHAnsi" w:cstheme="minorBidi"/>
      <w:color w:val="0000FF"/>
      <w:kern w:val="44"/>
      <w:sz w:val="30"/>
      <w:szCs w:val="22"/>
      <w:lang w:val="en-US" w:eastAsia="zh-CN" w:bidi="ar-SA"/>
    </w:rPr>
  </w:style>
  <w:style w:type="paragraph" w:customStyle="1" w:styleId="1cg2">
    <w:name w:val="标题 1 cg2"/>
    <w:basedOn w:val="1"/>
    <w:link w:val="1cg2CharChar"/>
    <w:qFormat/>
    <w:pPr>
      <w:keepLines w:val="0"/>
      <w:widowControl/>
      <w:ind w:firstLine="573"/>
      <w:jc w:val="left"/>
    </w:pPr>
    <w:rPr>
      <w:rFonts w:asciiTheme="minorHAnsi" w:eastAsiaTheme="minorEastAsia" w:hAnsiTheme="minorHAnsi" w:cstheme="minorBidi"/>
      <w:bCs w:val="0"/>
      <w:color w:val="0000FF"/>
      <w:kern w:val="44"/>
      <w:sz w:val="30"/>
      <w:szCs w:val="22"/>
    </w:rPr>
  </w:style>
  <w:style w:type="character" w:customStyle="1" w:styleId="CharCharCharCharCharCharChar11">
    <w:name w:val="Char Char Char Char Char Char Char11"/>
    <w:link w:val="CharCharCharCharCharChar12"/>
    <w:qFormat/>
    <w:rPr>
      <w:rFonts w:ascii="宋体" w:eastAsiaTheme="minorEastAsia" w:hAnsi="宋体" w:cs="宋体"/>
      <w:sz w:val="24"/>
      <w:lang w:val="en-US" w:eastAsia="zh-CN" w:bidi="ar-SA"/>
    </w:rPr>
  </w:style>
  <w:style w:type="paragraph" w:customStyle="1" w:styleId="CharCharCharCharCharChar12">
    <w:name w:val="Char Char Char Char Char Char12"/>
    <w:basedOn w:val="af1"/>
    <w:link w:val="CharCharCharCharCharCharChar11"/>
    <w:qFormat/>
    <w:pPr>
      <w:spacing w:line="360" w:lineRule="auto"/>
      <w:ind w:firstLineChars="200" w:firstLine="200"/>
    </w:pPr>
    <w:rPr>
      <w:rFonts w:ascii="宋体" w:eastAsiaTheme="minorEastAsia" w:hAnsi="宋体" w:cs="宋体"/>
      <w:sz w:val="24"/>
      <w:szCs w:val="24"/>
    </w:rPr>
  </w:style>
  <w:style w:type="character" w:customStyle="1" w:styleId="Heading1Char">
    <w:name w:val="Heading 1 Char"/>
    <w:qFormat/>
    <w:locked/>
    <w:rPr>
      <w:rFonts w:ascii="Times New Roman" w:eastAsia="宋体" w:hAnsi="Times New Roman" w:cs="Times New Roman"/>
      <w:b/>
      <w:kern w:val="44"/>
      <w:sz w:val="44"/>
      <w:lang w:val="en-US" w:eastAsia="zh-CN" w:bidi="ar-SA"/>
    </w:rPr>
  </w:style>
  <w:style w:type="character" w:customStyle="1" w:styleId="Charfffff1">
    <w:name w:val="+++正文 Char"/>
    <w:link w:val="afffffffffff7"/>
    <w:qFormat/>
    <w:rPr>
      <w:rFonts w:asciiTheme="minorHAnsi" w:eastAsiaTheme="minorEastAsia" w:hAnsiTheme="minorHAnsi" w:cs="宋体"/>
      <w:sz w:val="24"/>
      <w:lang w:val="en-US" w:eastAsia="zh-CN" w:bidi="ar-SA"/>
    </w:rPr>
  </w:style>
  <w:style w:type="paragraph" w:customStyle="1" w:styleId="afffffffffff7">
    <w:name w:val="+++正文"/>
    <w:basedOn w:val="af1"/>
    <w:link w:val="Charfffff1"/>
    <w:qFormat/>
    <w:pPr>
      <w:spacing w:line="360" w:lineRule="auto"/>
      <w:ind w:firstLineChars="200" w:firstLine="200"/>
    </w:pPr>
    <w:rPr>
      <w:rFonts w:asciiTheme="minorHAnsi" w:eastAsiaTheme="minorEastAsia" w:hAnsiTheme="minorHAnsi" w:cs="宋体"/>
      <w:sz w:val="24"/>
      <w:szCs w:val="24"/>
    </w:rPr>
  </w:style>
  <w:style w:type="character" w:customStyle="1" w:styleId="CharCharCharCharChar6">
    <w:name w:val="样式 正文文本 + 红色 Char Char Char Char Char"/>
    <w:link w:val="CharCharCharf0"/>
    <w:qFormat/>
    <w:locked/>
    <w:rPr>
      <w:rFonts w:ascii="仿宋_GB2312" w:eastAsiaTheme="minorEastAsia" w:hAnsi="仿宋_GB2312" w:cstheme="minorBidi"/>
      <w:color w:val="FF0000"/>
      <w:sz w:val="24"/>
      <w:szCs w:val="22"/>
      <w:lang w:val="en-US" w:eastAsia="zh-CN" w:bidi="ar-SA"/>
    </w:rPr>
  </w:style>
  <w:style w:type="paragraph" w:customStyle="1" w:styleId="CharCharCharf0">
    <w:name w:val="样式 正文文本 + 红色 Char Char Char"/>
    <w:basedOn w:val="af1"/>
    <w:link w:val="CharCharCharCharChar6"/>
    <w:qFormat/>
    <w:pPr>
      <w:widowControl/>
      <w:adjustRightInd w:val="0"/>
      <w:snapToGrid w:val="0"/>
      <w:spacing w:before="60" w:after="60" w:line="264" w:lineRule="auto"/>
      <w:ind w:firstLineChars="200" w:firstLine="200"/>
      <w:jc w:val="left"/>
      <w:textAlignment w:val="baseline"/>
    </w:pPr>
    <w:rPr>
      <w:rFonts w:ascii="仿宋_GB2312" w:eastAsiaTheme="minorEastAsia" w:hAnsi="仿宋_GB2312"/>
      <w:color w:val="FF0000"/>
      <w:sz w:val="24"/>
    </w:rPr>
  </w:style>
  <w:style w:type="character" w:customStyle="1" w:styleId="CharChar221">
    <w:name w:val="Char Char221"/>
    <w:qFormat/>
    <w:locked/>
    <w:rPr>
      <w:rFonts w:ascii="宋体" w:eastAsia="宋体" w:hAnsi="Courier New" w:cs="Courier New"/>
      <w:kern w:val="2"/>
      <w:sz w:val="21"/>
      <w:szCs w:val="21"/>
      <w:lang w:val="en-US" w:eastAsia="zh-CN" w:bidi="ar-SA"/>
    </w:rPr>
  </w:style>
  <w:style w:type="character" w:customStyle="1" w:styleId="h2Char3">
    <w:name w:val="h2 Char3"/>
    <w:qFormat/>
    <w:rPr>
      <w:rFonts w:ascii="Times New Roman" w:eastAsia="宋体" w:hAnsi="Times New Roman" w:cs="Times New Roman"/>
      <w:b/>
      <w:kern w:val="2"/>
      <w:sz w:val="24"/>
      <w:szCs w:val="30"/>
      <w:lang w:val="en-US" w:eastAsia="zh-CN" w:bidi="ar-SA"/>
    </w:rPr>
  </w:style>
  <w:style w:type="character" w:customStyle="1" w:styleId="CharCharCharCharCharCharCharCharCharCharCharChar2">
    <w:name w:val="Char Char Char Char Char Char Char Char Char Char Char Char2"/>
    <w:qFormat/>
    <w:rPr>
      <w:rFonts w:ascii="宋体" w:eastAsia="宋体" w:hAnsi="宋体" w:cs="宋体"/>
      <w:kern w:val="2"/>
      <w:sz w:val="24"/>
      <w:szCs w:val="28"/>
      <w:lang w:val="en-US" w:eastAsia="zh-CN" w:bidi="ar-SA"/>
    </w:rPr>
  </w:style>
  <w:style w:type="character" w:customStyle="1" w:styleId="num">
    <w:name w:val="num"/>
    <w:qFormat/>
    <w:rPr>
      <w:rFonts w:ascii="Times New Roman" w:eastAsia="宋体" w:hAnsi="Times New Roman" w:cs="Times New Roman"/>
      <w:b/>
      <w:color w:val="FF7800"/>
      <w:lang w:val="en-US" w:eastAsia="zh-CN" w:bidi="ar-SA"/>
    </w:rPr>
  </w:style>
  <w:style w:type="character" w:customStyle="1" w:styleId="afa">
    <w:name w:val="宏文本 字符"/>
    <w:link w:val="af9"/>
    <w:qFormat/>
    <w:rPr>
      <w:rFonts w:ascii="Courier New" w:eastAsiaTheme="minorEastAsia" w:hAnsi="Courier New" w:cs="Courier New"/>
      <w:kern w:val="2"/>
      <w:sz w:val="24"/>
      <w:szCs w:val="24"/>
      <w:lang w:val="en-US" w:eastAsia="zh-CN" w:bidi="ar-SA"/>
    </w:rPr>
  </w:style>
  <w:style w:type="character" w:customStyle="1" w:styleId="Charfffff2">
    <w:name w:val="图标题 Char"/>
    <w:semiHidden/>
    <w:qFormat/>
    <w:rPr>
      <w:rFonts w:ascii="Arial" w:eastAsia="黑体" w:hAnsi="Arial" w:cs="Times New Roman"/>
      <w:b/>
      <w:bCs/>
      <w:kern w:val="2"/>
      <w:sz w:val="24"/>
      <w:szCs w:val="24"/>
      <w:lang w:val="en-US" w:eastAsia="zh-CN" w:bidi="ar-SA"/>
    </w:rPr>
  </w:style>
  <w:style w:type="character" w:customStyle="1" w:styleId="123YJCharChar1">
    <w:name w:val="123YJ Char Char1"/>
    <w:qFormat/>
    <w:rPr>
      <w:rFonts w:ascii="Times New Roman" w:eastAsia="宋体" w:hAnsi="Times New Roman" w:cs="Times New Roman"/>
      <w:kern w:val="2"/>
      <w:sz w:val="18"/>
      <w:lang w:val="en-US" w:eastAsia="zh-CN" w:bidi="ar-SA"/>
    </w:rPr>
  </w:style>
  <w:style w:type="character" w:styleId="afffffffffff8">
    <w:name w:val="Placeholder Text"/>
    <w:uiPriority w:val="99"/>
    <w:semiHidden/>
    <w:qFormat/>
    <w:rPr>
      <w:rFonts w:ascii="Times New Roman" w:eastAsia="宋体" w:hAnsi="Times New Roman" w:cs="Times New Roman"/>
      <w:color w:val="808080"/>
      <w:sz w:val="24"/>
      <w:lang w:val="en-US" w:eastAsia="zh-CN" w:bidi="ar-SA"/>
    </w:rPr>
  </w:style>
  <w:style w:type="character" w:customStyle="1" w:styleId="CharCharCharCharCharCharCharCharCharCharChar1">
    <w:name w:val="Char Char Char Char Char Char Char Char Char Char Char1"/>
    <w:link w:val="CharCharCharCharCharCharCharCharChar1"/>
    <w:qFormat/>
    <w:rPr>
      <w:rFonts w:ascii="宋体" w:eastAsiaTheme="minorEastAsia" w:hAnsi="宋体" w:cstheme="minorBidi"/>
      <w:sz w:val="24"/>
      <w:szCs w:val="28"/>
      <w:lang w:val="en-US" w:eastAsia="zh-CN" w:bidi="ar-SA"/>
    </w:rPr>
  </w:style>
  <w:style w:type="paragraph" w:customStyle="1" w:styleId="CharCharCharCharCharCharCharCharChar1">
    <w:name w:val="Char Char Char Char Char Char Char Char Char1"/>
    <w:basedOn w:val="af1"/>
    <w:link w:val="CharCharCharCharCharCharCharCharCharCharChar1"/>
    <w:qFormat/>
    <w:pPr>
      <w:spacing w:line="360" w:lineRule="auto"/>
      <w:ind w:firstLineChars="200" w:firstLine="200"/>
    </w:pPr>
    <w:rPr>
      <w:rFonts w:ascii="宋体" w:eastAsiaTheme="minorEastAsia" w:hAnsi="宋体"/>
      <w:sz w:val="24"/>
      <w:szCs w:val="28"/>
    </w:rPr>
  </w:style>
  <w:style w:type="character" w:customStyle="1" w:styleId="3Char10">
    <w:name w:val="正文文本 3 Char1"/>
    <w:qFormat/>
    <w:rPr>
      <w:rFonts w:ascii="Times New Roman" w:eastAsia="宋体" w:hAnsi="Times New Roman" w:cs="Times New Roman" w:hint="default"/>
      <w:kern w:val="28"/>
      <w:sz w:val="16"/>
      <w:szCs w:val="16"/>
      <w:lang w:val="en-US" w:eastAsia="zh-CN" w:bidi="ar-SA"/>
    </w:rPr>
  </w:style>
  <w:style w:type="character" w:customStyle="1" w:styleId="lan121">
    <w:name w:val="lan121"/>
    <w:qFormat/>
    <w:rPr>
      <w:rFonts w:ascii="Times New Roman" w:eastAsia="宋体" w:hAnsi="Times New Roman" w:cs="Times New Roman"/>
      <w:color w:val="000066"/>
      <w:spacing w:val="31680"/>
      <w:sz w:val="18"/>
      <w:szCs w:val="18"/>
      <w:u w:val="none"/>
      <w:lang w:val="en-US" w:eastAsia="zh-CN" w:bidi="ar-SA"/>
    </w:rPr>
  </w:style>
  <w:style w:type="character" w:customStyle="1" w:styleId="CharChar40">
    <w:name w:val="Char Char4"/>
    <w:qFormat/>
    <w:rPr>
      <w:rFonts w:ascii="Times New Roman" w:eastAsia="宋体" w:hAnsi="Times New Roman" w:cs="Times New Roman" w:hint="default"/>
      <w:sz w:val="32"/>
      <w:szCs w:val="24"/>
      <w:lang w:val="en-US" w:eastAsia="zh-CN" w:bidi="ar-SA"/>
    </w:rPr>
  </w:style>
  <w:style w:type="character" w:customStyle="1" w:styleId="CharCharfff7">
    <w:name w:val="报告 Char Char"/>
    <w:qFormat/>
    <w:rPr>
      <w:rFonts w:ascii="TimesNewRoman" w:eastAsia="宋体" w:hAnsi="TimesNewRoman" w:cs="Times New Roman"/>
      <w:sz w:val="24"/>
      <w:lang w:val="en-US" w:eastAsia="zh-CN" w:bidi="ar-SA"/>
    </w:rPr>
  </w:style>
  <w:style w:type="character" w:customStyle="1" w:styleId="aspmaker1">
    <w:name w:val="aspmaker1"/>
    <w:qFormat/>
    <w:rPr>
      <w:rFonts w:ascii="Verdana" w:eastAsia="宋体" w:hAnsi="Verdana" w:cs="Times New Roman"/>
      <w:sz w:val="20"/>
      <w:lang w:val="en-US" w:eastAsia="zh-CN" w:bidi="ar-SA"/>
    </w:rPr>
  </w:style>
  <w:style w:type="character" w:customStyle="1" w:styleId="highlight1">
    <w:name w:val="highlight1"/>
    <w:qFormat/>
    <w:rPr>
      <w:rFonts w:ascii="Times New Roman" w:eastAsia="宋体" w:hAnsi="Times New Roman" w:cs="Times New Roman"/>
      <w:sz w:val="21"/>
      <w:lang w:val="en-US" w:eastAsia="zh-CN" w:bidi="ar-SA"/>
    </w:rPr>
  </w:style>
  <w:style w:type="character" w:customStyle="1" w:styleId="3Char5">
    <w:name w:val="样式3 Char"/>
    <w:link w:val="3e"/>
    <w:qFormat/>
    <w:locked/>
    <w:rPr>
      <w:rFonts w:ascii="宋体" w:eastAsiaTheme="minorEastAsia" w:hAnsi="宋体" w:cstheme="minorBidi"/>
      <w:spacing w:val="6"/>
      <w:sz w:val="24"/>
      <w:lang w:val="en-US" w:eastAsia="zh-CN" w:bidi="ar-SA"/>
    </w:rPr>
  </w:style>
  <w:style w:type="paragraph" w:customStyle="1" w:styleId="3e">
    <w:name w:val="样式3"/>
    <w:basedOn w:val="af1"/>
    <w:link w:val="3Char5"/>
    <w:qFormat/>
    <w:pPr>
      <w:spacing w:before="60" w:line="460" w:lineRule="exact"/>
      <w:ind w:firstLine="540"/>
    </w:pPr>
    <w:rPr>
      <w:rFonts w:ascii="宋体" w:eastAsiaTheme="minorEastAsia" w:hAnsi="宋体"/>
      <w:spacing w:val="6"/>
      <w:sz w:val="24"/>
      <w:szCs w:val="24"/>
    </w:rPr>
  </w:style>
  <w:style w:type="character" w:customStyle="1" w:styleId="CharChar90">
    <w:name w:val="Char Char9"/>
    <w:qFormat/>
    <w:rPr>
      <w:rFonts w:ascii="Times New Roman" w:eastAsia="宋体" w:hAnsi="Times New Roman" w:cs="Times New Roman"/>
      <w:kern w:val="2"/>
      <w:sz w:val="18"/>
      <w:lang w:val="en-US" w:eastAsia="zh-CN" w:bidi="ar-SA"/>
    </w:rPr>
  </w:style>
  <w:style w:type="character" w:customStyle="1" w:styleId="CharChar182">
    <w:name w:val="Char Char182"/>
    <w:qFormat/>
    <w:rPr>
      <w:rFonts w:ascii="Times New Roman" w:eastAsia="宋体" w:hAnsi="Times New Roman" w:cs="Times New Roman"/>
      <w:kern w:val="2"/>
      <w:sz w:val="24"/>
      <w:szCs w:val="21"/>
      <w:lang w:val="en-US" w:eastAsia="zh-CN" w:bidi="ar-SA"/>
    </w:rPr>
  </w:style>
  <w:style w:type="character" w:customStyle="1" w:styleId="CharChar400">
    <w:name w:val="Char Char40"/>
    <w:qFormat/>
    <w:rPr>
      <w:rFonts w:ascii="宋体" w:eastAsia="黑体" w:hAnsi="Times New Roman" w:cs="Times New Roman"/>
      <w:b/>
      <w:kern w:val="44"/>
      <w:sz w:val="44"/>
      <w:lang w:val="en-US" w:eastAsia="zh-CN" w:bidi="ar-SA"/>
    </w:rPr>
  </w:style>
  <w:style w:type="character" w:customStyle="1" w:styleId="132152CharChar">
    <w:name w:val="样式 样式 样式 样式 (符号) 宋体 13 磅 首行缩进:  2 字符 行距: 1.5 倍行距 + 首行缩进:  2 字符 +... Char Char"/>
    <w:link w:val="132152"/>
    <w:qFormat/>
    <w:locked/>
    <w:rPr>
      <w:rFonts w:ascii="Verdana" w:eastAsiaTheme="minorEastAsia" w:hAnsi="Verdana" w:cstheme="minorBidi"/>
      <w:sz w:val="26"/>
      <w:szCs w:val="22"/>
      <w:lang w:val="en-US" w:eastAsia="zh-CN" w:bidi="ar-SA"/>
    </w:rPr>
  </w:style>
  <w:style w:type="paragraph" w:customStyle="1" w:styleId="132152">
    <w:name w:val="样式 样式 样式 样式 (符号) 宋体 13 磅 首行缩进:  2 字符 行距: 1.5 倍行距 + 首行缩进:  2 字符 +..."/>
    <w:basedOn w:val="af1"/>
    <w:link w:val="132152CharChar"/>
    <w:qFormat/>
    <w:pPr>
      <w:widowControl/>
      <w:ind w:firstLineChars="200" w:firstLine="563"/>
      <w:jc w:val="left"/>
    </w:pPr>
    <w:rPr>
      <w:rFonts w:ascii="Verdana" w:eastAsiaTheme="minorEastAsia" w:hAnsi="Verdana"/>
      <w:sz w:val="26"/>
    </w:rPr>
  </w:style>
  <w:style w:type="character" w:customStyle="1" w:styleId="CharCharCharf1">
    <w:name w:val="【表头】 Char Char Char"/>
    <w:qFormat/>
    <w:rPr>
      <w:rFonts w:ascii="Times New Roman" w:eastAsia="宋体" w:hAnsi="Times New Roman" w:cs="宋体"/>
      <w:sz w:val="24"/>
      <w:lang w:val="en-US" w:eastAsia="zh-CN" w:bidi="ar-SA"/>
    </w:rPr>
  </w:style>
  <w:style w:type="character" w:customStyle="1" w:styleId="apple-converted-space">
    <w:name w:val="apple-converted-space"/>
    <w:qFormat/>
    <w:rPr>
      <w:rFonts w:ascii="Times New Roman" w:eastAsia="宋体" w:hAnsi="Times New Roman" w:cs="Times New Roman"/>
      <w:lang w:val="en-US" w:eastAsia="zh-CN" w:bidi="ar-SA"/>
    </w:rPr>
  </w:style>
  <w:style w:type="character" w:customStyle="1" w:styleId="text12px1">
    <w:name w:val="text12px1"/>
    <w:qFormat/>
    <w:rPr>
      <w:rFonts w:ascii="宋体" w:eastAsia="宋体" w:hAnsi="宋体" w:cs="Times New Roman" w:hint="eastAsia"/>
      <w:b/>
      <w:color w:val="000000"/>
      <w:kern w:val="2"/>
      <w:sz w:val="18"/>
      <w:szCs w:val="24"/>
      <w:lang w:val="en-US" w:eastAsia="zh-CN" w:bidi="ar-SA"/>
    </w:rPr>
  </w:style>
  <w:style w:type="character" w:customStyle="1" w:styleId="CharCharfff8">
    <w:name w:val="正文 Char Char"/>
    <w:qFormat/>
    <w:rPr>
      <w:rFonts w:ascii="Times New Roman" w:eastAsia="宋体" w:hAnsi="Times New Roman" w:cs="Times New Roman"/>
      <w:kern w:val="2"/>
      <w:sz w:val="24"/>
      <w:lang w:val="en-US" w:eastAsia="zh-CN" w:bidi="ar-SA"/>
    </w:rPr>
  </w:style>
  <w:style w:type="character" w:customStyle="1" w:styleId="bdsmore">
    <w:name w:val="bds_more"/>
    <w:basedOn w:val="af3"/>
    <w:qFormat/>
    <w:rPr>
      <w:rFonts w:ascii="Times New Roman" w:eastAsia="宋体" w:hAnsi="Times New Roman" w:cs="Times New Roman"/>
      <w:lang w:val="en-US" w:eastAsia="zh-CN" w:bidi="ar-SA"/>
    </w:rPr>
  </w:style>
  <w:style w:type="character" w:customStyle="1" w:styleId="CharCharCharCharChar7">
    <w:name w:val="样式 正文文本 + (中文) 黑体 红色 Char Char Char Char Char"/>
    <w:link w:val="CharCharCharf2"/>
    <w:qFormat/>
    <w:locked/>
    <w:rPr>
      <w:rFonts w:ascii="仿宋_GB2312" w:eastAsia="楷体" w:hAnsi="仿宋_GB2312" w:cstheme="minorBidi"/>
      <w:color w:val="FF0000"/>
      <w:sz w:val="24"/>
      <w:szCs w:val="22"/>
      <w:lang w:val="en-US" w:eastAsia="zh-CN" w:bidi="ar-SA"/>
    </w:rPr>
  </w:style>
  <w:style w:type="paragraph" w:customStyle="1" w:styleId="CharCharCharf2">
    <w:name w:val="样式 正文文本 + (中文) 黑体 红色 Char Char Char"/>
    <w:basedOn w:val="af1"/>
    <w:link w:val="CharCharCharCharChar7"/>
    <w:qFormat/>
    <w:pPr>
      <w:widowControl/>
      <w:adjustRightInd w:val="0"/>
      <w:snapToGrid w:val="0"/>
      <w:spacing w:before="60" w:after="60" w:line="264" w:lineRule="auto"/>
      <w:ind w:firstLineChars="200" w:firstLine="200"/>
      <w:jc w:val="left"/>
      <w:textAlignment w:val="baseline"/>
    </w:pPr>
    <w:rPr>
      <w:rFonts w:ascii="仿宋_GB2312" w:eastAsia="楷体" w:hAnsi="仿宋_GB2312"/>
      <w:color w:val="FF0000"/>
      <w:sz w:val="24"/>
    </w:rPr>
  </w:style>
  <w:style w:type="character" w:customStyle="1" w:styleId="CharChar">
    <w:name w:val="四级标题 Char Char"/>
    <w:link w:val="aa"/>
    <w:qFormat/>
    <w:rPr>
      <w:rFonts w:ascii="Times New Roman" w:eastAsia="黑体" w:hAnsi="Times New Roman" w:cs="Times New Roman"/>
      <w:b/>
      <w:sz w:val="24"/>
      <w:szCs w:val="24"/>
      <w:lang w:val="en-US" w:eastAsia="zh-CN" w:bidi="ar-SA"/>
    </w:rPr>
  </w:style>
  <w:style w:type="character" w:customStyle="1" w:styleId="ps">
    <w:name w:val="ps"/>
    <w:basedOn w:val="af3"/>
    <w:qFormat/>
    <w:rPr>
      <w:rFonts w:ascii="Times New Roman" w:eastAsia="宋体" w:hAnsi="Times New Roman" w:cs="Times New Roman"/>
      <w:lang w:val="en-US" w:eastAsia="zh-CN" w:bidi="ar-SA"/>
    </w:rPr>
  </w:style>
  <w:style w:type="character" w:customStyle="1" w:styleId="CharCharCharCharCharChar4">
    <w:name w:val="二章正文 Char Char Char Char Char Char"/>
    <w:qFormat/>
    <w:rPr>
      <w:rFonts w:ascii="宋体" w:eastAsia="宋体" w:hAnsi="Times New Roman" w:cs="Times New Roman"/>
      <w:kern w:val="2"/>
      <w:sz w:val="24"/>
      <w:lang w:val="en-US" w:eastAsia="zh-CN" w:bidi="ar-SA"/>
    </w:rPr>
  </w:style>
  <w:style w:type="character" w:customStyle="1" w:styleId="1Charf">
    <w:name w:val="正文（首行缩进两字）1 Char"/>
    <w:qFormat/>
    <w:rPr>
      <w:rFonts w:ascii="仿宋_GB2312" w:eastAsia="长城仿宋体" w:hAnsi="Times New Roman" w:cs="Times New Roman"/>
      <w:kern w:val="2"/>
      <w:sz w:val="28"/>
      <w:lang w:val="en-US" w:eastAsia="zh-CN" w:bidi="ar-SA"/>
    </w:rPr>
  </w:style>
  <w:style w:type="character" w:customStyle="1" w:styleId="1Charf0">
    <w:name w:val="正文编号（1） Char"/>
    <w:qFormat/>
    <w:rPr>
      <w:rFonts w:ascii="Times New Roman" w:eastAsia="宋体" w:hAnsi="Times New Roman" w:cs="Times New Roman"/>
      <w:kern w:val="2"/>
      <w:sz w:val="28"/>
      <w:szCs w:val="24"/>
      <w:lang w:val="en-US" w:eastAsia="zh-CN" w:bidi="ar-SA"/>
    </w:rPr>
  </w:style>
  <w:style w:type="character" w:customStyle="1" w:styleId="Char2a">
    <w:name w:val="批注框文本 Char2"/>
    <w:qFormat/>
    <w:rPr>
      <w:rFonts w:ascii="Times New Roman" w:eastAsia="宋体" w:hAnsi="Times New Roman" w:cs="Times New Roman"/>
      <w:kern w:val="2"/>
      <w:sz w:val="18"/>
      <w:szCs w:val="18"/>
      <w:lang w:val="en-US" w:eastAsia="zh-CN" w:bidi="ar-SA"/>
    </w:rPr>
  </w:style>
  <w:style w:type="character" w:customStyle="1" w:styleId="CharCharCharf3">
    <w:name w:val="日期 Char Char Char"/>
    <w:qFormat/>
    <w:rPr>
      <w:rFonts w:ascii="Times New Roman" w:eastAsia="宋体" w:hAnsi="Times New Roman" w:cs="Times New Roman"/>
      <w:kern w:val="2"/>
      <w:sz w:val="21"/>
      <w:lang w:val="en-US" w:eastAsia="zh-CN" w:bidi="ar-SA"/>
    </w:rPr>
  </w:style>
  <w:style w:type="character" w:customStyle="1" w:styleId="GB23122">
    <w:name w:val="样式 仿宋_GB2312 小四2"/>
    <w:qFormat/>
    <w:rPr>
      <w:rFonts w:ascii="仿宋_GB2312" w:eastAsia="Times New Roman" w:hAnsi="仿宋_GB2312" w:cs="Times New Roman"/>
      <w:kern w:val="2"/>
      <w:sz w:val="24"/>
      <w:lang w:val="en-US" w:eastAsia="zh-CN" w:bidi="ar-SA"/>
    </w:rPr>
  </w:style>
  <w:style w:type="character" w:customStyle="1" w:styleId="1ff3">
    <w:name w:val="正文文本缩进 字符1"/>
    <w:qFormat/>
    <w:rPr>
      <w:rFonts w:ascii="Times New Roman" w:eastAsia="宋体" w:hAnsi="Times New Roman" w:cs="Times New Roman"/>
      <w:color w:val="000000"/>
      <w:kern w:val="2"/>
      <w:sz w:val="28"/>
      <w:szCs w:val="24"/>
      <w:lang w:val="en-US" w:eastAsia="zh-CN" w:bidi="ar-SA"/>
    </w:rPr>
  </w:style>
  <w:style w:type="character" w:customStyle="1" w:styleId="CharCharCharf4">
    <w:name w:val="【表中文字】 Char Char Char"/>
    <w:qFormat/>
    <w:rPr>
      <w:rFonts w:ascii="Times New Roman" w:eastAsia="宋体" w:hAnsi="Times New Roman" w:cs="Times New Roman"/>
      <w:kern w:val="2"/>
      <w:sz w:val="21"/>
      <w:lang w:val="en-US" w:eastAsia="zh-CN" w:bidi="ar-SA"/>
    </w:rPr>
  </w:style>
  <w:style w:type="character" w:customStyle="1" w:styleId="CharCharCharChard">
    <w:name w:val="表格内容 Char Char Char Char"/>
    <w:qFormat/>
    <w:rPr>
      <w:rFonts w:ascii="Times New Roman" w:eastAsia="宋体" w:hAnsi="Times New Roman" w:cs="Times New Roman"/>
      <w:color w:val="000000"/>
      <w:kern w:val="2"/>
      <w:sz w:val="21"/>
      <w:szCs w:val="16"/>
      <w:lang w:val="en-US" w:eastAsia="zh-CN" w:bidi="ar-SA"/>
    </w:rPr>
  </w:style>
  <w:style w:type="character" w:customStyle="1" w:styleId="albumcount2">
    <w:name w:val="albumcount2"/>
    <w:qFormat/>
    <w:rPr>
      <w:rFonts w:ascii="Times New Roman" w:eastAsia="宋体" w:hAnsi="Times New Roman" w:cs="Times New Roman"/>
      <w:lang w:val="en-US" w:eastAsia="zh-CN" w:bidi="ar-SA"/>
    </w:rPr>
  </w:style>
  <w:style w:type="character" w:customStyle="1" w:styleId="CharChar14">
    <w:name w:val="Char Char14"/>
    <w:qFormat/>
    <w:rPr>
      <w:rFonts w:ascii="Times New Roman" w:eastAsia="宋体" w:hAnsi="Times New Roman" w:cs="Times New Roman"/>
      <w:kern w:val="2"/>
      <w:sz w:val="18"/>
      <w:szCs w:val="18"/>
      <w:lang w:val="en-US" w:eastAsia="zh-CN" w:bidi="ar-SA"/>
    </w:rPr>
  </w:style>
  <w:style w:type="character" w:customStyle="1" w:styleId="CharChar39">
    <w:name w:val="Char Char39"/>
    <w:qFormat/>
    <w:rPr>
      <w:rFonts w:ascii="Arial" w:eastAsia="黑体" w:hAnsi="Arial" w:cs="Times New Roman"/>
      <w:b/>
      <w:kern w:val="2"/>
      <w:sz w:val="28"/>
      <w:lang w:val="en-US" w:eastAsia="zh-CN" w:bidi="ar-SA"/>
    </w:rPr>
  </w:style>
  <w:style w:type="character" w:customStyle="1" w:styleId="111CharChar0">
    <w:name w:val="1.1.1 Char Char"/>
    <w:qFormat/>
    <w:rPr>
      <w:rFonts w:ascii="黑体" w:eastAsia="黑体" w:hAnsi="黑体" w:cs="Times New Roman" w:hint="eastAsia"/>
      <w:b/>
      <w:kern w:val="2"/>
      <w:sz w:val="28"/>
      <w:lang w:val="en-US" w:eastAsia="zh-CN" w:bidi="ar-SA"/>
    </w:rPr>
  </w:style>
  <w:style w:type="character" w:customStyle="1" w:styleId="CharCharfff9">
    <w:name w:val="特点 Char Char"/>
    <w:qFormat/>
    <w:rPr>
      <w:rFonts w:ascii="Times New Roman" w:eastAsia="宋体" w:hAnsi="Times New Roman" w:cs="Times New Roman"/>
      <w:kern w:val="2"/>
      <w:sz w:val="24"/>
      <w:szCs w:val="24"/>
      <w:lang w:val="en-US" w:eastAsia="zh-CN" w:bidi="ar-SA"/>
    </w:rPr>
  </w:style>
  <w:style w:type="character" w:customStyle="1" w:styleId="DateCharChar">
    <w:name w:val="Date Char Char"/>
    <w:qFormat/>
    <w:rPr>
      <w:rFonts w:ascii="Times New Roman" w:eastAsia="黑体" w:hAnsi="Times New Roman" w:cs="Times New Roman"/>
      <w:kern w:val="2"/>
      <w:sz w:val="24"/>
      <w:lang w:val="en-US" w:eastAsia="zh-CN" w:bidi="ar-SA"/>
    </w:rPr>
  </w:style>
  <w:style w:type="character" w:customStyle="1" w:styleId="aaaaaaaChar">
    <w:name w:val="aaaaaaa Char"/>
    <w:link w:val="aaaaaaa"/>
    <w:qFormat/>
    <w:locked/>
    <w:rPr>
      <w:rFonts w:ascii="Times New Roman" w:eastAsiaTheme="minorEastAsia" w:hAnsi="Times New Roman" w:cs="Times New Roman"/>
      <w:sz w:val="24"/>
      <w:szCs w:val="24"/>
      <w:lang w:val="en-US" w:eastAsia="zh-CN" w:bidi="ar-SA"/>
    </w:rPr>
  </w:style>
  <w:style w:type="paragraph" w:customStyle="1" w:styleId="aaaaaaa">
    <w:name w:val="aaaaaaa"/>
    <w:basedOn w:val="Bt11"/>
    <w:link w:val="aaaaaaaChar"/>
    <w:qFormat/>
    <w:pPr>
      <w:snapToGrid w:val="0"/>
      <w:ind w:firstLineChars="200" w:firstLine="200"/>
      <w:jc w:val="both"/>
      <w:outlineLvl w:val="9"/>
    </w:pPr>
    <w:rPr>
      <w:rFonts w:eastAsiaTheme="minorEastAsia"/>
      <w:sz w:val="24"/>
      <w:szCs w:val="24"/>
    </w:rPr>
  </w:style>
  <w:style w:type="character" w:customStyle="1" w:styleId="1Charf1">
    <w:name w:val="1正文段落 Char"/>
    <w:link w:val="1ff4"/>
    <w:qFormat/>
    <w:rPr>
      <w:rFonts w:asciiTheme="minorHAnsi" w:eastAsiaTheme="minorEastAsia" w:hAnsiTheme="minorHAnsi" w:cstheme="minorBidi"/>
      <w:sz w:val="24"/>
      <w:lang w:val="en-US" w:eastAsia="zh-CN" w:bidi="ar-SA"/>
    </w:rPr>
  </w:style>
  <w:style w:type="paragraph" w:customStyle="1" w:styleId="1ff4">
    <w:name w:val="1正文段落"/>
    <w:basedOn w:val="af1"/>
    <w:link w:val="1Charf1"/>
    <w:qFormat/>
    <w:pPr>
      <w:spacing w:line="360" w:lineRule="auto"/>
      <w:ind w:firstLineChars="200" w:firstLine="480"/>
    </w:pPr>
    <w:rPr>
      <w:rFonts w:asciiTheme="minorHAnsi" w:eastAsiaTheme="minorEastAsia" w:hAnsiTheme="minorHAnsi"/>
      <w:sz w:val="24"/>
      <w:szCs w:val="24"/>
    </w:rPr>
  </w:style>
  <w:style w:type="character" w:customStyle="1" w:styleId="CharChar141">
    <w:name w:val="Char Char141"/>
    <w:qFormat/>
    <w:rPr>
      <w:rFonts w:ascii="Times New Roman" w:eastAsia="宋体" w:hAnsi="Times New Roman" w:cs="Times New Roman"/>
      <w:kern w:val="2"/>
      <w:sz w:val="18"/>
      <w:szCs w:val="18"/>
      <w:lang w:val="en-US" w:eastAsia="zh-CN" w:bidi="ar-SA"/>
    </w:rPr>
  </w:style>
  <w:style w:type="character" w:customStyle="1" w:styleId="2TextCharChar">
    <w:name w:val="2Text Char Char"/>
    <w:link w:val="2Text"/>
    <w:qFormat/>
    <w:rPr>
      <w:rFonts w:asciiTheme="minorHAnsi" w:eastAsia="Times New Roman" w:hAnsiTheme="minorHAnsi" w:cstheme="minorBidi"/>
      <w:kern w:val="2"/>
      <w:sz w:val="24"/>
      <w:szCs w:val="24"/>
      <w:lang w:val="en-US" w:eastAsia="zh-CN" w:bidi="ar-SA"/>
    </w:rPr>
  </w:style>
  <w:style w:type="paragraph" w:customStyle="1" w:styleId="2Text">
    <w:name w:val="2Text"/>
    <w:link w:val="2TextCharChar"/>
    <w:qFormat/>
    <w:pPr>
      <w:widowControl w:val="0"/>
      <w:spacing w:line="360" w:lineRule="auto"/>
      <w:ind w:firstLineChars="200" w:firstLine="200"/>
      <w:jc w:val="both"/>
    </w:pPr>
    <w:rPr>
      <w:rFonts w:eastAsia="Times New Roman"/>
      <w:kern w:val="2"/>
      <w:sz w:val="24"/>
      <w:szCs w:val="24"/>
    </w:rPr>
  </w:style>
  <w:style w:type="character" w:customStyle="1" w:styleId="3015CharChar">
    <w:name w:val="样式 样式 小四 蓝色 行距: 固定值 30 磅 + 行距: 1.5 倍行距 Char Char"/>
    <w:link w:val="3015"/>
    <w:qFormat/>
    <w:rPr>
      <w:rFonts w:asciiTheme="minorHAnsi" w:eastAsiaTheme="minorEastAsia" w:hAnsiTheme="minorHAnsi" w:cstheme="minorBidi"/>
      <w:color w:val="0000FF"/>
      <w:sz w:val="24"/>
      <w:szCs w:val="22"/>
      <w:lang w:val="en-US" w:eastAsia="zh-CN" w:bidi="ar-SA"/>
    </w:rPr>
  </w:style>
  <w:style w:type="paragraph" w:customStyle="1" w:styleId="3015">
    <w:name w:val="样式 样式 小四 蓝色 行距: 固定值 30 磅 + 行距: 1.5 倍行距"/>
    <w:basedOn w:val="af1"/>
    <w:link w:val="3015CharChar"/>
    <w:qFormat/>
    <w:pPr>
      <w:spacing w:line="360" w:lineRule="auto"/>
      <w:ind w:firstLineChars="200" w:firstLine="480"/>
    </w:pPr>
    <w:rPr>
      <w:rFonts w:asciiTheme="minorHAnsi" w:eastAsiaTheme="minorEastAsia" w:hAnsiTheme="minorHAnsi"/>
      <w:color w:val="0000FF"/>
      <w:sz w:val="24"/>
    </w:rPr>
  </w:style>
  <w:style w:type="character" w:customStyle="1" w:styleId="CharCharCharChare">
    <w:name w:val="报告书正文 Char Char Char Char"/>
    <w:qFormat/>
    <w:rPr>
      <w:rFonts w:ascii="Times New Roman" w:eastAsia="宋体" w:hAnsi="Times New Roman" w:cs="Times New Roman"/>
      <w:color w:val="000000"/>
      <w:kern w:val="2"/>
      <w:sz w:val="24"/>
      <w:szCs w:val="24"/>
      <w:lang w:val="en-US" w:eastAsia="zh-CN" w:bidi="ar-SA"/>
    </w:rPr>
  </w:style>
  <w:style w:type="character" w:customStyle="1" w:styleId="29">
    <w:name w:val="正文文本 2 字符"/>
    <w:link w:val="28"/>
    <w:qFormat/>
    <w:rPr>
      <w:rFonts w:asciiTheme="minorHAnsi" w:eastAsia="宋体" w:hAnsiTheme="minorHAnsi" w:cstheme="minorBidi"/>
      <w:lang w:val="en-US" w:eastAsia="zh-CN" w:bidi="ar-SA"/>
    </w:rPr>
  </w:style>
  <w:style w:type="character" w:customStyle="1" w:styleId="zw1">
    <w:name w:val="zw1"/>
    <w:qFormat/>
    <w:rPr>
      <w:rFonts w:ascii="宋体" w:eastAsia="宋体" w:hAnsi="宋体" w:cs="Times New Roman" w:hint="eastAsia"/>
      <w:sz w:val="22"/>
      <w:szCs w:val="22"/>
      <w:lang w:val="en-US" w:eastAsia="zh-CN" w:bidi="ar-SA"/>
    </w:rPr>
  </w:style>
  <w:style w:type="character" w:customStyle="1" w:styleId="CharChar20">
    <w:name w:val="Char Char2"/>
    <w:qFormat/>
    <w:rPr>
      <w:rFonts w:ascii="宋体" w:eastAsia="宋体" w:hAnsi="宋体" w:cs="Times New Roman" w:hint="eastAsia"/>
      <w:kern w:val="2"/>
      <w:sz w:val="18"/>
      <w:szCs w:val="18"/>
      <w:lang w:val="en-US" w:eastAsia="zh-CN" w:bidi="ar-SA"/>
    </w:rPr>
  </w:style>
  <w:style w:type="character" w:customStyle="1" w:styleId="CharChar372">
    <w:name w:val="Char Char372"/>
    <w:qFormat/>
    <w:rPr>
      <w:rFonts w:ascii="Times New Roman" w:eastAsia="黑体" w:hAnsi="Times New Roman" w:cs="Times New Roman"/>
      <w:kern w:val="2"/>
      <w:sz w:val="24"/>
      <w:lang w:val="en-US" w:eastAsia="zh-CN" w:bidi="ar-SA"/>
    </w:rPr>
  </w:style>
  <w:style w:type="character" w:customStyle="1" w:styleId="HTML2">
    <w:name w:val="HTML 预设格式 字符"/>
    <w:link w:val="HTML1"/>
    <w:qFormat/>
    <w:rPr>
      <w:rFonts w:ascii="宋体" w:eastAsia="宋体" w:hAnsi="宋体" w:cs="宋体"/>
      <w:sz w:val="24"/>
      <w:lang w:val="en-US" w:eastAsia="zh-CN" w:bidi="ar-SA"/>
    </w:rPr>
  </w:style>
  <w:style w:type="character" w:customStyle="1" w:styleId="Charfffff3">
    <w:name w:val="图表专用 Char"/>
    <w:link w:val="afffffffffff9"/>
    <w:qFormat/>
    <w:rPr>
      <w:rFonts w:ascii="黑体" w:eastAsia="黑体" w:hAnsi="黑体" w:cstheme="minorBidi"/>
      <w:sz w:val="24"/>
      <w:lang w:val="en-US" w:eastAsia="zh-CN" w:bidi="ar-SA"/>
    </w:rPr>
  </w:style>
  <w:style w:type="paragraph" w:customStyle="1" w:styleId="afffffffffff9">
    <w:name w:val="图表专用"/>
    <w:basedOn w:val="af1"/>
    <w:link w:val="Charfffff3"/>
    <w:qFormat/>
    <w:pPr>
      <w:spacing w:beforeLines="50" w:afterLines="50"/>
      <w:jc w:val="center"/>
    </w:pPr>
    <w:rPr>
      <w:rFonts w:ascii="黑体" w:eastAsia="黑体" w:hAnsi="黑体"/>
      <w:sz w:val="24"/>
      <w:szCs w:val="24"/>
    </w:rPr>
  </w:style>
  <w:style w:type="character" w:customStyle="1" w:styleId="Char2b">
    <w:name w:val="日期 Char2"/>
    <w:qFormat/>
    <w:rPr>
      <w:rFonts w:ascii="Calibri" w:eastAsia="宋体" w:hAnsi="Calibri" w:cs="Times New Roman"/>
      <w:sz w:val="24"/>
      <w:lang w:val="en-US" w:eastAsia="zh-CN" w:bidi="ar-SA"/>
    </w:rPr>
  </w:style>
  <w:style w:type="character" w:customStyle="1" w:styleId="3CharChar3">
    <w:name w:val="正文文字缩进 3 Char Char"/>
    <w:qFormat/>
    <w:locked/>
    <w:rPr>
      <w:rFonts w:ascii="Times New Roman" w:eastAsia="宋体" w:hAnsi="Times New Roman" w:cs="Times New Roman"/>
      <w:kern w:val="2"/>
      <w:sz w:val="16"/>
      <w:szCs w:val="16"/>
      <w:lang w:val="en-US" w:eastAsia="zh-CN" w:bidi="ar-SA"/>
    </w:rPr>
  </w:style>
  <w:style w:type="character" w:customStyle="1" w:styleId="px14">
    <w:name w:val="px14"/>
    <w:qFormat/>
    <w:rPr>
      <w:rFonts w:ascii="Times New Roman" w:eastAsia="宋体" w:hAnsi="Times New Roman" w:cs="Times New Roman"/>
      <w:kern w:val="2"/>
      <w:sz w:val="24"/>
      <w:szCs w:val="24"/>
      <w:lang w:val="en-US" w:eastAsia="zh-CN" w:bidi="ar-SA"/>
    </w:rPr>
  </w:style>
  <w:style w:type="character" w:customStyle="1" w:styleId="Charfffff4">
    <w:name w:val="文本 Char"/>
    <w:qFormat/>
    <w:rPr>
      <w:rFonts w:ascii="Times New Roman" w:eastAsia="宋体" w:hAnsi="Times New Roman" w:cs="Times New Roman"/>
      <w:kern w:val="2"/>
      <w:sz w:val="21"/>
      <w:szCs w:val="24"/>
      <w:lang w:val="en-US" w:eastAsia="zh-CN" w:bidi="ar-SA"/>
    </w:rPr>
  </w:style>
  <w:style w:type="character" w:customStyle="1" w:styleId="CharCharfffa">
    <w:name w:val="正文（环评） Char Char"/>
    <w:link w:val="afffffffffffa"/>
    <w:qFormat/>
    <w:rPr>
      <w:rFonts w:asciiTheme="minorHAnsi" w:eastAsiaTheme="minorEastAsia" w:hAnsiTheme="minorHAnsi" w:cstheme="minorBidi"/>
      <w:spacing w:val="6"/>
      <w:sz w:val="24"/>
      <w:lang w:val="en-US" w:eastAsia="zh-CN" w:bidi="ar-SA"/>
    </w:rPr>
  </w:style>
  <w:style w:type="paragraph" w:customStyle="1" w:styleId="afffffffffffa">
    <w:name w:val="正文（环评）"/>
    <w:basedOn w:val="af1"/>
    <w:link w:val="CharCharfffa"/>
    <w:qFormat/>
    <w:pPr>
      <w:spacing w:line="360" w:lineRule="auto"/>
      <w:ind w:firstLineChars="200" w:firstLine="200"/>
      <w:jc w:val="left"/>
    </w:pPr>
    <w:rPr>
      <w:rFonts w:asciiTheme="minorHAnsi" w:eastAsiaTheme="minorEastAsia" w:hAnsiTheme="minorHAnsi"/>
      <w:spacing w:val="6"/>
      <w:sz w:val="24"/>
      <w:szCs w:val="24"/>
    </w:rPr>
  </w:style>
  <w:style w:type="character" w:customStyle="1" w:styleId="210pt21">
    <w:name w:val="正文文本 (2) + 10 pt21"/>
    <w:qFormat/>
    <w:rPr>
      <w:rFonts w:ascii="MingLiU" w:eastAsia="MingLiU" w:hAnsi="Times New Roman" w:cs="MingLiU"/>
      <w:kern w:val="2"/>
      <w:sz w:val="20"/>
      <w:szCs w:val="20"/>
      <w:u w:val="none"/>
      <w:lang w:val="en-US" w:eastAsia="zh-CN" w:bidi="ar-SA"/>
    </w:rPr>
  </w:style>
  <w:style w:type="character" w:customStyle="1" w:styleId="2Char13">
    <w:name w:val="标题 2 Char1"/>
    <w:qFormat/>
    <w:rPr>
      <w:rFonts w:ascii="Times New Roman" w:eastAsia="宋体" w:hAnsi="Times New Roman" w:cs="Times New Roman"/>
      <w:b/>
      <w:spacing w:val="-8"/>
      <w:w w:val="77"/>
      <w:kern w:val="2"/>
      <w:sz w:val="24"/>
      <w:lang w:val="en-US" w:eastAsia="zh-CN" w:bidi="ar-SA"/>
    </w:rPr>
  </w:style>
  <w:style w:type="character" w:customStyle="1" w:styleId="17BookmanOldStyle">
    <w:name w:val="正文文本 (17) + Bookman Old Style"/>
    <w:qFormat/>
    <w:rPr>
      <w:rFonts w:ascii="Bookman Old Style" w:eastAsia="MingLiU" w:hAnsi="Bookman Old Style" w:cs="Bookman Old Style"/>
      <w:kern w:val="2"/>
      <w:sz w:val="24"/>
      <w:szCs w:val="24"/>
      <w:lang w:val="en-US" w:eastAsia="en-US" w:bidi="ar-SA"/>
    </w:rPr>
  </w:style>
  <w:style w:type="character" w:customStyle="1" w:styleId="CharCharCharCharCharCharCharCharCharCharCharChar1">
    <w:name w:val="Char Char Char Char Char Char Char Char Char Char Char Char1"/>
    <w:qFormat/>
    <w:rPr>
      <w:rFonts w:ascii="宋体" w:eastAsia="宋体" w:hAnsi="宋体" w:cs="宋体"/>
      <w:kern w:val="2"/>
      <w:sz w:val="24"/>
      <w:szCs w:val="28"/>
      <w:lang w:val="en-US" w:eastAsia="zh-CN" w:bidi="ar-SA"/>
    </w:rPr>
  </w:style>
  <w:style w:type="character" w:customStyle="1" w:styleId="pa">
    <w:name w:val="pa"/>
    <w:basedOn w:val="af3"/>
    <w:qFormat/>
    <w:rPr>
      <w:rFonts w:ascii="Times New Roman" w:eastAsia="宋体" w:hAnsi="Times New Roman" w:cs="Times New Roman"/>
      <w:lang w:val="en-US" w:eastAsia="zh-CN" w:bidi="ar-SA"/>
    </w:rPr>
  </w:style>
  <w:style w:type="character" w:customStyle="1" w:styleId="4CharChar0">
    <w:name w:val="标题4新 Char Char"/>
    <w:link w:val="4a"/>
    <w:qFormat/>
    <w:rPr>
      <w:rFonts w:asciiTheme="minorHAnsi" w:eastAsia="黑体" w:hAnsiTheme="minorHAnsi" w:cstheme="minorBidi"/>
      <w:bCs/>
      <w:kern w:val="2"/>
      <w:sz w:val="24"/>
      <w:szCs w:val="28"/>
      <w:lang w:val="en-US" w:eastAsia="zh-CN" w:bidi="ar-SA"/>
    </w:rPr>
  </w:style>
  <w:style w:type="paragraph" w:customStyle="1" w:styleId="4a">
    <w:name w:val="标题4新"/>
    <w:basedOn w:val="41"/>
    <w:link w:val="4CharChar0"/>
    <w:qFormat/>
    <w:pPr>
      <w:keepLines/>
      <w:widowControl w:val="0"/>
      <w:tabs>
        <w:tab w:val="left" w:pos="0"/>
        <w:tab w:val="left" w:pos="1305"/>
      </w:tabs>
      <w:spacing w:line="360" w:lineRule="auto"/>
      <w:jc w:val="left"/>
    </w:pPr>
    <w:rPr>
      <w:rFonts w:asciiTheme="minorHAnsi" w:eastAsia="黑体" w:hAnsiTheme="minorHAnsi" w:cstheme="minorBidi"/>
      <w:bCs/>
      <w:kern w:val="2"/>
      <w:sz w:val="24"/>
      <w:szCs w:val="28"/>
    </w:rPr>
  </w:style>
  <w:style w:type="character" w:customStyle="1" w:styleId="c1">
    <w:name w:val="c1"/>
    <w:qFormat/>
    <w:rPr>
      <w:rFonts w:ascii="Tms Rmn" w:eastAsia="Times New Roman" w:hAnsi="Tms Rmn" w:cs="Times New Roman"/>
      <w:color w:val="000000"/>
      <w:sz w:val="21"/>
      <w:u w:val="none"/>
      <w:lang w:val="en-US" w:eastAsia="en-US" w:bidi="ar-SA"/>
    </w:rPr>
  </w:style>
  <w:style w:type="character" w:customStyle="1" w:styleId="Charfffff5">
    <w:name w:val="正文小四 Char"/>
    <w:link w:val="afffffffffffb"/>
    <w:qFormat/>
    <w:locked/>
    <w:rPr>
      <w:rFonts w:asciiTheme="minorHAnsi" w:eastAsiaTheme="minorEastAsia" w:hAnsiTheme="minorHAnsi" w:cstheme="minorBidi"/>
      <w:kern w:val="2"/>
      <w:sz w:val="24"/>
      <w:szCs w:val="24"/>
      <w:lang w:val="en-US" w:eastAsia="zh-CN" w:bidi="ar-SA"/>
    </w:rPr>
  </w:style>
  <w:style w:type="paragraph" w:customStyle="1" w:styleId="afffffffffffb">
    <w:name w:val="正文小四"/>
    <w:link w:val="Charfffff5"/>
    <w:qFormat/>
    <w:pPr>
      <w:spacing w:line="360" w:lineRule="auto"/>
      <w:ind w:firstLineChars="200" w:firstLine="200"/>
    </w:pPr>
    <w:rPr>
      <w:kern w:val="2"/>
      <w:sz w:val="24"/>
      <w:szCs w:val="24"/>
    </w:rPr>
  </w:style>
  <w:style w:type="character" w:customStyle="1" w:styleId="Charfffff6">
    <w:name w:val="图 Char"/>
    <w:qFormat/>
    <w:rPr>
      <w:rFonts w:ascii="宋体" w:eastAsia="宋体" w:hAnsi="Times New Roman" w:cs="Times New Roman"/>
      <w:kern w:val="2"/>
      <w:sz w:val="24"/>
      <w:szCs w:val="24"/>
      <w:lang w:val="en-US" w:eastAsia="zh-CN" w:bidi="ar-SA"/>
    </w:rPr>
  </w:style>
  <w:style w:type="character" w:customStyle="1" w:styleId="CharCharfffb">
    <w:name w:val="表、图名 Char Char"/>
    <w:link w:val="afffffffffffc"/>
    <w:qFormat/>
    <w:locked/>
    <w:rPr>
      <w:rFonts w:ascii="仿宋_GB2312" w:eastAsia="仿宋_GB2312" w:hAnsiTheme="minorHAnsi" w:cstheme="minorBidi"/>
      <w:b/>
      <w:sz w:val="24"/>
      <w:szCs w:val="22"/>
      <w:lang w:val="en-US" w:eastAsia="zh-CN" w:bidi="ar-SA"/>
    </w:rPr>
  </w:style>
  <w:style w:type="paragraph" w:customStyle="1" w:styleId="afffffffffffc">
    <w:name w:val="表、图名"/>
    <w:basedOn w:val="af1"/>
    <w:link w:val="CharCharfffb"/>
    <w:qFormat/>
    <w:pPr>
      <w:widowControl/>
      <w:adjustRightInd w:val="0"/>
      <w:snapToGrid w:val="0"/>
      <w:spacing w:line="360" w:lineRule="auto"/>
      <w:ind w:left="-6"/>
      <w:jc w:val="center"/>
    </w:pPr>
    <w:rPr>
      <w:rFonts w:ascii="仿宋_GB2312" w:eastAsia="仿宋_GB2312" w:hAnsiTheme="minorHAnsi"/>
      <w:b/>
      <w:sz w:val="24"/>
    </w:rPr>
  </w:style>
  <w:style w:type="character" w:customStyle="1" w:styleId="cucd-0Char1">
    <w:name w:val="cucd-0 Char1"/>
    <w:qFormat/>
    <w:rPr>
      <w:rFonts w:ascii="Times New Roman" w:eastAsia="宋体" w:hAnsi="Times New Roman" w:cs="Times New Roman"/>
      <w:kern w:val="2"/>
      <w:sz w:val="24"/>
      <w:szCs w:val="24"/>
      <w:lang w:val="en-US" w:eastAsia="zh-CN" w:bidi="ar-SA"/>
    </w:rPr>
  </w:style>
  <w:style w:type="character" w:customStyle="1" w:styleId="Charfffff7">
    <w:name w:val="正文四号 Char"/>
    <w:link w:val="afffffffffffd"/>
    <w:qFormat/>
    <w:rPr>
      <w:rFonts w:asciiTheme="minorHAnsi" w:eastAsiaTheme="minorEastAsia" w:hAnsiTheme="minorHAnsi" w:cs="宋体"/>
      <w:sz w:val="28"/>
      <w:lang w:val="en-US" w:eastAsia="zh-CN" w:bidi="ar-SA"/>
    </w:rPr>
  </w:style>
  <w:style w:type="paragraph" w:customStyle="1" w:styleId="afffffffffffd">
    <w:name w:val="正文四号"/>
    <w:basedOn w:val="af1"/>
    <w:link w:val="Charfffff7"/>
    <w:qFormat/>
    <w:pPr>
      <w:spacing w:line="360" w:lineRule="auto"/>
      <w:ind w:firstLineChars="200" w:firstLine="200"/>
    </w:pPr>
    <w:rPr>
      <w:rFonts w:asciiTheme="minorHAnsi" w:eastAsiaTheme="minorEastAsia" w:hAnsiTheme="minorHAnsi" w:cs="宋体"/>
      <w:sz w:val="28"/>
      <w:szCs w:val="24"/>
    </w:rPr>
  </w:style>
  <w:style w:type="character" w:customStyle="1" w:styleId="Char1f8">
    <w:name w:val="正文文本缩进 Char1"/>
    <w:qFormat/>
    <w:locked/>
    <w:rPr>
      <w:rFonts w:ascii="Times New Roman" w:eastAsia="宋体" w:hAnsi="Times New Roman" w:cs="Times New Roman"/>
      <w:color w:val="000000"/>
      <w:kern w:val="2"/>
      <w:sz w:val="28"/>
      <w:szCs w:val="24"/>
      <w:lang w:val="en-US" w:eastAsia="zh-CN" w:bidi="ar-SA"/>
    </w:rPr>
  </w:style>
  <w:style w:type="character" w:customStyle="1" w:styleId="Charfffff8">
    <w:name w:val="表名 Char"/>
    <w:link w:val="afffffffffffe"/>
    <w:qFormat/>
    <w:rPr>
      <w:rFonts w:asciiTheme="minorHAnsi" w:eastAsia="黑体" w:hAnsi="Times New Roman" w:cs="Times New Roman"/>
      <w:spacing w:val="16"/>
      <w:lang w:val="en-US" w:eastAsia="zh-CN" w:bidi="ar-SA"/>
    </w:rPr>
  </w:style>
  <w:style w:type="paragraph" w:customStyle="1" w:styleId="afffffffffffe">
    <w:name w:val="表名"/>
    <w:basedOn w:val="aff0"/>
    <w:link w:val="Charfffff8"/>
    <w:qFormat/>
    <w:pPr>
      <w:overflowPunct w:val="0"/>
      <w:autoSpaceDE w:val="0"/>
      <w:autoSpaceDN w:val="0"/>
      <w:spacing w:before="200" w:line="240" w:lineRule="auto"/>
      <w:ind w:firstLineChars="0" w:firstLine="0"/>
      <w:jc w:val="center"/>
    </w:pPr>
    <w:rPr>
      <w:rFonts w:eastAsia="黑体"/>
      <w:spacing w:val="16"/>
      <w:sz w:val="28"/>
    </w:rPr>
  </w:style>
  <w:style w:type="character" w:customStyle="1" w:styleId="3f">
    <w:name w:val="表格标题3"/>
    <w:qFormat/>
    <w:rPr>
      <w:rFonts w:ascii="MingLiU" w:eastAsia="MingLiU" w:hAnsi="Times New Roman" w:cs="MingLiU"/>
      <w:kern w:val="2"/>
      <w:sz w:val="22"/>
      <w:szCs w:val="22"/>
      <w:u w:val="none"/>
      <w:lang w:val="en-US" w:eastAsia="zh-CN" w:bidi="ar-SA"/>
    </w:rPr>
  </w:style>
  <w:style w:type="character" w:customStyle="1" w:styleId="Heading3Char">
    <w:name w:val="Heading 3 Char"/>
    <w:qFormat/>
    <w:locked/>
    <w:rPr>
      <w:rFonts w:ascii="Times New Roman" w:eastAsia="宋体" w:hAnsi="Times New Roman" w:cs="Times New Roman"/>
      <w:b/>
      <w:kern w:val="2"/>
      <w:sz w:val="32"/>
      <w:lang w:val="en-US" w:eastAsia="zh-CN" w:bidi="ar-SA"/>
    </w:rPr>
  </w:style>
  <w:style w:type="character" w:customStyle="1" w:styleId="ourfont31">
    <w:name w:val="ourfont31"/>
    <w:qFormat/>
    <w:rPr>
      <w:rFonts w:ascii="Times New Roman" w:eastAsia="宋体" w:hAnsi="Times New Roman" w:cs="Times New Roman"/>
      <w:spacing w:val="20"/>
      <w:sz w:val="21"/>
      <w:szCs w:val="21"/>
      <w:lang w:val="en-US" w:eastAsia="zh-CN" w:bidi="ar-SA"/>
    </w:rPr>
  </w:style>
  <w:style w:type="character" w:customStyle="1" w:styleId="2CharChar7">
    <w:name w:val="样式 首行缩进:  2 字符 Char Char"/>
    <w:qFormat/>
    <w:rPr>
      <w:rFonts w:ascii="宋体" w:eastAsia="宋体" w:hAnsi="Times New Roman" w:cs="Times New Roman"/>
      <w:kern w:val="2"/>
      <w:sz w:val="28"/>
      <w:lang w:val="en-US" w:eastAsia="zh-CN" w:bidi="ar-SA"/>
    </w:rPr>
  </w:style>
  <w:style w:type="character" w:customStyle="1" w:styleId="411">
    <w:name w:val="样式41"/>
    <w:qFormat/>
    <w:rPr>
      <w:rFonts w:ascii="Arial Black" w:eastAsia="Times New Roman" w:hAnsi="Arial Black" w:cs="Times New Roman"/>
      <w:color w:val="313D42"/>
      <w:sz w:val="21"/>
      <w:lang w:val="en-US" w:eastAsia="en-US" w:bidi="ar-SA"/>
    </w:rPr>
  </w:style>
  <w:style w:type="character" w:customStyle="1" w:styleId="2CharCharChar0">
    <w:name w:val="样式 样式 标题 2 + 红色 + 自动设置 Char Char Char"/>
    <w:qFormat/>
    <w:rPr>
      <w:rFonts w:ascii="Arial" w:eastAsia="新宋体" w:hAnsi="Arial" w:cs="Times New Roman"/>
      <w:b/>
      <w:color w:val="FF0000"/>
      <w:spacing w:val="-8"/>
      <w:sz w:val="28"/>
      <w:lang w:val="en-US" w:eastAsia="zh-CN" w:bidi="ar-SA"/>
    </w:rPr>
  </w:style>
  <w:style w:type="character" w:customStyle="1" w:styleId="3Char11">
    <w:name w:val="正文文本缩进 3 Char1"/>
    <w:qFormat/>
    <w:rPr>
      <w:rFonts w:ascii="Calibri" w:eastAsia="宋体" w:hAnsi="Calibri" w:cs="Times New Roman"/>
      <w:sz w:val="16"/>
      <w:szCs w:val="16"/>
      <w:lang w:val="en-US" w:eastAsia="zh-CN" w:bidi="ar-SA"/>
    </w:rPr>
  </w:style>
  <w:style w:type="character" w:customStyle="1" w:styleId="171">
    <w:name w:val="正文文本 (17)_"/>
    <w:link w:val="1710"/>
    <w:qFormat/>
    <w:locked/>
    <w:rPr>
      <w:rFonts w:ascii="MingLiU" w:eastAsia="MingLiU" w:hAnsiTheme="minorHAnsi" w:cstheme="minorBidi"/>
      <w:sz w:val="22"/>
      <w:szCs w:val="22"/>
      <w:lang w:val="en-US" w:eastAsia="zh-CN" w:bidi="ar-SA"/>
    </w:rPr>
  </w:style>
  <w:style w:type="paragraph" w:customStyle="1" w:styleId="1710">
    <w:name w:val="正文文本 (17)1"/>
    <w:basedOn w:val="af1"/>
    <w:link w:val="171"/>
    <w:qFormat/>
    <w:pPr>
      <w:shd w:val="clear" w:color="auto" w:fill="FFFFFF"/>
      <w:spacing w:before="480" w:after="60" w:line="528" w:lineRule="exact"/>
      <w:jc w:val="left"/>
    </w:pPr>
    <w:rPr>
      <w:rFonts w:ascii="MingLiU" w:eastAsia="MingLiU" w:hAnsiTheme="minorHAnsi"/>
      <w:sz w:val="22"/>
    </w:rPr>
  </w:style>
  <w:style w:type="character" w:customStyle="1" w:styleId="1Charf2">
    <w:name w:val="正文文字1 Char"/>
    <w:link w:val="1ff5"/>
    <w:qFormat/>
    <w:rPr>
      <w:rFonts w:asciiTheme="minorHAnsi" w:eastAsiaTheme="minorEastAsia" w:hAnsiTheme="minorHAnsi" w:cstheme="minorBidi"/>
      <w:sz w:val="24"/>
      <w:lang w:val="en-US" w:eastAsia="zh-CN" w:bidi="ar-SA"/>
    </w:rPr>
  </w:style>
  <w:style w:type="paragraph" w:customStyle="1" w:styleId="1ff5">
    <w:name w:val="正文文字1"/>
    <w:basedOn w:val="af1"/>
    <w:link w:val="1Charf2"/>
    <w:qFormat/>
    <w:pPr>
      <w:spacing w:line="360" w:lineRule="auto"/>
      <w:ind w:firstLineChars="200" w:firstLine="480"/>
    </w:pPr>
    <w:rPr>
      <w:rFonts w:asciiTheme="minorHAnsi" w:eastAsiaTheme="minorEastAsia" w:hAnsiTheme="minorHAnsi"/>
      <w:sz w:val="24"/>
      <w:szCs w:val="24"/>
    </w:rPr>
  </w:style>
  <w:style w:type="character" w:customStyle="1" w:styleId="CharChar18">
    <w:name w:val="Char Char18"/>
    <w:qFormat/>
    <w:rPr>
      <w:rFonts w:ascii="Times New Roman" w:eastAsia="宋体" w:hAnsi="Times New Roman" w:cs="Times New Roman"/>
      <w:kern w:val="2"/>
      <w:sz w:val="24"/>
      <w:szCs w:val="21"/>
      <w:lang w:val="en-US" w:eastAsia="zh-CN" w:bidi="ar-SA"/>
    </w:rPr>
  </w:style>
  <w:style w:type="character" w:customStyle="1" w:styleId="BodyTextIndent2Char">
    <w:name w:val="Body Text Indent 2 Char"/>
    <w:qFormat/>
    <w:locked/>
    <w:rPr>
      <w:rFonts w:ascii="Times New Roman" w:eastAsia="宋体" w:hAnsi="Times New Roman" w:cs="Times New Roman"/>
      <w:kern w:val="2"/>
      <w:sz w:val="21"/>
      <w:lang w:val="en-US" w:eastAsia="zh-CN" w:bidi="ar-SA"/>
    </w:rPr>
  </w:style>
  <w:style w:type="character" w:customStyle="1" w:styleId="CharCharfffc">
    <w:name w:val="表格样式 Char Char"/>
    <w:qFormat/>
    <w:locked/>
    <w:rPr>
      <w:rFonts w:ascii="Times New Roman" w:eastAsia="宋体" w:hAnsi="Times New Roman" w:cs="Times New Roman"/>
      <w:bCs/>
      <w:color w:val="000000"/>
      <w:szCs w:val="21"/>
      <w:lang w:val="en-US" w:eastAsia="zh-CN" w:bidi="ar-SA"/>
    </w:rPr>
  </w:style>
  <w:style w:type="character" w:customStyle="1" w:styleId="text">
    <w:name w:val="text"/>
    <w:qFormat/>
    <w:rPr>
      <w:rFonts w:ascii="Times New Roman" w:eastAsia="宋体" w:hAnsi="Times New Roman" w:cs="Times New Roman"/>
      <w:color w:val="333333"/>
      <w:sz w:val="21"/>
      <w:szCs w:val="21"/>
      <w:lang w:val="en-US" w:eastAsia="zh-CN" w:bidi="ar-SA"/>
    </w:rPr>
  </w:style>
  <w:style w:type="character" w:customStyle="1" w:styleId="contentblack">
    <w:name w:val="content_black"/>
    <w:basedOn w:val="af3"/>
    <w:qFormat/>
    <w:rPr>
      <w:rFonts w:ascii="Times New Roman" w:eastAsia="宋体" w:hAnsi="Times New Roman" w:cs="Times New Roman"/>
      <w:lang w:val="en-US" w:eastAsia="zh-CN" w:bidi="ar-SA"/>
    </w:rPr>
  </w:style>
  <w:style w:type="character" w:customStyle="1" w:styleId="CharChar11">
    <w:name w:val="章 Char Char1"/>
    <w:qFormat/>
    <w:rPr>
      <w:rFonts w:ascii="Times New Roman" w:eastAsia="宋体" w:hAnsi="Times New Roman" w:cs="Times New Roman"/>
      <w:b/>
      <w:bCs/>
      <w:kern w:val="2"/>
      <w:sz w:val="32"/>
      <w:szCs w:val="32"/>
      <w:lang w:val="en-US" w:eastAsia="zh-CN" w:bidi="ar-SA"/>
    </w:rPr>
  </w:style>
  <w:style w:type="character" w:customStyle="1" w:styleId="CharCharCharCharChar8">
    <w:name w:val="段落 Char Char Char Char Char"/>
    <w:qFormat/>
    <w:rPr>
      <w:rFonts w:ascii="Times New Roman" w:eastAsia="宋体" w:hAnsi="Times New Roman" w:cs="Times New Roman"/>
      <w:kern w:val="2"/>
      <w:sz w:val="24"/>
      <w:szCs w:val="24"/>
      <w:lang w:val="en-US" w:eastAsia="zh-CN" w:bidi="ar-SA"/>
    </w:rPr>
  </w:style>
  <w:style w:type="character" w:customStyle="1" w:styleId="BalloonTextChar">
    <w:name w:val="Balloon Text Char"/>
    <w:qFormat/>
    <w:locked/>
    <w:rPr>
      <w:rFonts w:ascii="Times New Roman" w:eastAsia="宋体" w:hAnsi="Times New Roman" w:cs="Times New Roman"/>
      <w:kern w:val="2"/>
      <w:sz w:val="18"/>
      <w:lang w:val="en-US" w:eastAsia="zh-CN" w:bidi="ar-SA"/>
    </w:rPr>
  </w:style>
  <w:style w:type="character" w:customStyle="1" w:styleId="curr">
    <w:name w:val="curr"/>
    <w:qFormat/>
    <w:rPr>
      <w:rFonts w:ascii="Times New Roman" w:eastAsia="宋体" w:hAnsi="Times New Roman" w:cs="Times New Roman"/>
      <w:b/>
      <w:lang w:val="en-US" w:eastAsia="zh-CN" w:bidi="ar-SA"/>
    </w:rPr>
  </w:style>
  <w:style w:type="character" w:customStyle="1" w:styleId="CharCharCharCharf">
    <w:name w:val="表号 Char Char Char Char"/>
    <w:qFormat/>
    <w:rPr>
      <w:rFonts w:ascii="Times New Roman" w:eastAsia="宋体" w:hAnsi="Times New Roman" w:cs="Times New Roman"/>
      <w:kern w:val="2"/>
      <w:sz w:val="21"/>
      <w:szCs w:val="24"/>
      <w:lang w:val="en-US" w:eastAsia="zh-CN" w:bidi="ar-SA"/>
    </w:rPr>
  </w:style>
  <w:style w:type="character" w:customStyle="1" w:styleId="font101">
    <w:name w:val="font101"/>
    <w:qFormat/>
    <w:rPr>
      <w:rFonts w:ascii="Times New Roman" w:eastAsia="宋体" w:hAnsi="Times New Roman" w:cs="Times New Roman" w:hint="default"/>
      <w:color w:val="000000"/>
      <w:sz w:val="21"/>
      <w:szCs w:val="21"/>
      <w:u w:val="none"/>
      <w:vertAlign w:val="superscript"/>
      <w:lang w:val="en-US" w:eastAsia="zh-CN" w:bidi="ar-SA"/>
    </w:rPr>
  </w:style>
  <w:style w:type="character" w:customStyle="1" w:styleId="Char1f9">
    <w:name w:val="正文(首行缩进) Char1"/>
    <w:qFormat/>
    <w:rPr>
      <w:rFonts w:ascii="Arial Black" w:eastAsia="Times New Roman" w:hAnsi="Arial Black" w:cs="Times New Roman"/>
      <w:snapToGrid/>
      <w:color w:val="000000"/>
      <w:sz w:val="24"/>
      <w:lang w:val="en-US" w:eastAsia="zh-CN" w:bidi="ar-SA"/>
    </w:rPr>
  </w:style>
  <w:style w:type="character" w:customStyle="1" w:styleId="1111HTS11111h11headingHeaderCharChar">
    <w:name w:val="样式 标题 1章标题1.1标题 1HTS 1章标题 1副标题 11.标题 1h11headingHeader... Char Char"/>
    <w:link w:val="1111HTS11111h11headingHeader"/>
    <w:qFormat/>
    <w:locked/>
    <w:rPr>
      <w:rFonts w:asciiTheme="minorHAnsi" w:eastAsiaTheme="minorEastAsia" w:hAnsiTheme="minorHAnsi" w:cstheme="minorBidi"/>
      <w:color w:val="0000FF"/>
      <w:kern w:val="44"/>
      <w:sz w:val="24"/>
      <w:szCs w:val="22"/>
      <w:lang w:val="en-US" w:eastAsia="zh-CN" w:bidi="ar-SA"/>
    </w:rPr>
  </w:style>
  <w:style w:type="paragraph" w:customStyle="1" w:styleId="1111HTS11111h11headingHeader">
    <w:name w:val="样式 标题 1章标题1.1标题 1HTS 1章标题 1副标题 11.标题 1h11headingHeader..."/>
    <w:basedOn w:val="1"/>
    <w:link w:val="1111HTS11111h11headingHeaderCharChar"/>
    <w:qFormat/>
    <w:pPr>
      <w:keepLines w:val="0"/>
      <w:widowControl/>
      <w:jc w:val="left"/>
    </w:pPr>
    <w:rPr>
      <w:rFonts w:asciiTheme="minorHAnsi" w:eastAsiaTheme="minorEastAsia" w:hAnsiTheme="minorHAnsi" w:cstheme="minorBidi"/>
      <w:bCs w:val="0"/>
      <w:color w:val="0000FF"/>
      <w:kern w:val="44"/>
      <w:sz w:val="24"/>
      <w:szCs w:val="22"/>
    </w:rPr>
  </w:style>
  <w:style w:type="character" w:customStyle="1" w:styleId="DocumentMapChar">
    <w:name w:val="Document Map Char"/>
    <w:qFormat/>
    <w:locked/>
    <w:rPr>
      <w:rFonts w:ascii="Times New Roman" w:eastAsia="宋体" w:hAnsi="Times New Roman" w:cs="Times New Roman"/>
      <w:kern w:val="2"/>
      <w:sz w:val="21"/>
      <w:shd w:val="clear" w:color="auto" w:fill="000080"/>
      <w:lang w:val="en-US" w:eastAsia="zh-CN" w:bidi="ar-SA"/>
    </w:rPr>
  </w:style>
  <w:style w:type="character" w:customStyle="1" w:styleId="Charfffff9">
    <w:name w:val="小节 Char"/>
    <w:qFormat/>
    <w:rPr>
      <w:rFonts w:ascii="Times New Roman" w:eastAsia="仿宋_GB2312" w:hAnsi="Times New Roman" w:cs="Times New Roman"/>
      <w:b/>
      <w:bCs/>
      <w:kern w:val="2"/>
      <w:sz w:val="32"/>
      <w:szCs w:val="32"/>
      <w:lang w:val="en-US" w:eastAsia="zh-CN" w:bidi="ar-SA"/>
    </w:rPr>
  </w:style>
  <w:style w:type="character" w:customStyle="1" w:styleId="CharChar272">
    <w:name w:val="Char Char272"/>
    <w:qFormat/>
    <w:rPr>
      <w:rFonts w:ascii="Times New Roman" w:eastAsia="幼圆" w:hAnsi="Times New Roman" w:cs="Times New Roman"/>
      <w:kern w:val="2"/>
      <w:sz w:val="21"/>
      <w:szCs w:val="18"/>
      <w:lang w:val="en-US" w:eastAsia="zh-CN" w:bidi="ar-SA"/>
    </w:rPr>
  </w:style>
  <w:style w:type="character" w:customStyle="1" w:styleId="Char2c">
    <w:name w:val="签名 Char2"/>
    <w:qFormat/>
    <w:rPr>
      <w:rFonts w:ascii="Times New Roman" w:eastAsia="宋体" w:hAnsi="Times New Roman" w:cs="Times New Roman"/>
      <w:kern w:val="2"/>
      <w:sz w:val="21"/>
      <w:szCs w:val="24"/>
      <w:lang w:val="en-US" w:eastAsia="zh-CN" w:bidi="ar-SA"/>
    </w:rPr>
  </w:style>
  <w:style w:type="character" w:customStyle="1" w:styleId="CharChar13">
    <w:name w:val="表文 Char Char1"/>
    <w:qFormat/>
    <w:rPr>
      <w:rFonts w:ascii="Times New Roman" w:eastAsia="宋体" w:hAnsi="Times New Roman" w:cs="Times New Roman"/>
      <w:snapToGrid/>
      <w:sz w:val="21"/>
      <w:szCs w:val="21"/>
      <w:lang w:val="en-US" w:eastAsia="zh-CN" w:bidi="ar-SA"/>
    </w:rPr>
  </w:style>
  <w:style w:type="character" w:customStyle="1" w:styleId="GB2312">
    <w:name w:val="样式 (西文) 宋体 (中文) 仿宋_GB2312 黑色"/>
    <w:qFormat/>
    <w:rPr>
      <w:rFonts w:ascii="仿宋_GB2312" w:eastAsia="Times New Roman" w:hAnsi="仿宋_GB2312" w:cs="Times New Roman"/>
      <w:color w:val="000000"/>
      <w:kern w:val="2"/>
      <w:sz w:val="32"/>
      <w:lang w:val="en-US" w:eastAsia="zh-CN" w:bidi="ar-SA"/>
    </w:rPr>
  </w:style>
  <w:style w:type="character" w:customStyle="1" w:styleId="CharCharfffd">
    <w:name w:val="常用小四 Char Char"/>
    <w:link w:val="affffffffffff"/>
    <w:qFormat/>
    <w:rPr>
      <w:rFonts w:ascii="宋体" w:eastAsiaTheme="minorEastAsia" w:hAnsi="宋体" w:cstheme="minorBidi"/>
      <w:sz w:val="24"/>
      <w:szCs w:val="22"/>
      <w:lang w:val="en-US" w:eastAsia="zh-CN" w:bidi="ar-SA"/>
    </w:rPr>
  </w:style>
  <w:style w:type="paragraph" w:customStyle="1" w:styleId="affffffffffff">
    <w:name w:val="常用小四"/>
    <w:basedOn w:val="af1"/>
    <w:link w:val="CharCharfffd"/>
    <w:qFormat/>
    <w:pPr>
      <w:widowControl/>
      <w:spacing w:line="460" w:lineRule="exact"/>
      <w:ind w:firstLineChars="200" w:firstLine="200"/>
      <w:jc w:val="left"/>
    </w:pPr>
    <w:rPr>
      <w:rFonts w:ascii="宋体" w:eastAsiaTheme="minorEastAsia" w:hAnsi="宋体"/>
      <w:sz w:val="24"/>
    </w:rPr>
  </w:style>
  <w:style w:type="character" w:customStyle="1" w:styleId="4CharCharChar">
    <w:name w:val="标题4 Char Char Char"/>
    <w:qFormat/>
    <w:rPr>
      <w:rFonts w:ascii="Times New Roman" w:eastAsia="黑体" w:hAnsi="Times New Roman" w:cs="Times New Roman"/>
      <w:bCs/>
      <w:kern w:val="2"/>
      <w:sz w:val="24"/>
      <w:szCs w:val="24"/>
      <w:lang w:val="en-US" w:eastAsia="zh-CN" w:bidi="ar-SA"/>
    </w:rPr>
  </w:style>
  <w:style w:type="character" w:customStyle="1" w:styleId="CharChar21">
    <w:name w:val="普通文字 Char Char2"/>
    <w:qFormat/>
    <w:rPr>
      <w:rFonts w:ascii="宋体" w:eastAsia="宋体" w:hAnsi="Courier New" w:cs="Times New Roman"/>
      <w:szCs w:val="21"/>
      <w:lang w:val="en-US" w:eastAsia="zh-CN" w:bidi="ar-SA"/>
    </w:rPr>
  </w:style>
  <w:style w:type="character" w:customStyle="1" w:styleId="afffa">
    <w:name w:val="签名 字符"/>
    <w:link w:val="afff9"/>
    <w:qFormat/>
    <w:rPr>
      <w:rFonts w:ascii="Times New Roman" w:eastAsiaTheme="minorEastAsia" w:hAnsi="Times New Roman" w:cstheme="minorBidi"/>
      <w:szCs w:val="21"/>
      <w:lang w:val="en-US" w:eastAsia="zh-CN" w:bidi="ar-SA"/>
    </w:rPr>
  </w:style>
  <w:style w:type="character" w:customStyle="1" w:styleId="2ff3">
    <w:name w:val="副标题 字符2"/>
    <w:uiPriority w:val="11"/>
    <w:qFormat/>
    <w:rPr>
      <w:rFonts w:ascii="Calibri" w:eastAsia="宋体" w:hAnsi="Calibri" w:cs="Times New Roman"/>
      <w:b/>
      <w:bCs/>
      <w:kern w:val="28"/>
      <w:sz w:val="32"/>
      <w:szCs w:val="32"/>
      <w:lang w:val="en-US" w:eastAsia="zh-CN" w:bidi="ar-SA"/>
    </w:rPr>
  </w:style>
  <w:style w:type="character" w:customStyle="1" w:styleId="CharChar401">
    <w:name w:val="Char Char401"/>
    <w:qFormat/>
    <w:locked/>
    <w:rPr>
      <w:rFonts w:ascii="宋体" w:eastAsia="黑体" w:hAnsi="Times New Roman" w:cs="Times New Roman"/>
      <w:b/>
      <w:kern w:val="44"/>
      <w:sz w:val="44"/>
      <w:lang w:val="en-US" w:eastAsia="zh-CN" w:bidi="ar-SA"/>
    </w:rPr>
  </w:style>
  <w:style w:type="character" w:customStyle="1" w:styleId="2ff4">
    <w:name w:val="称呼 字符2"/>
    <w:uiPriority w:val="99"/>
    <w:semiHidden/>
    <w:qFormat/>
    <w:rPr>
      <w:rFonts w:ascii="Calibri" w:eastAsia="宋体" w:hAnsi="Calibri" w:cs="Times New Roman"/>
      <w:kern w:val="2"/>
      <w:sz w:val="21"/>
      <w:lang w:val="en-US" w:eastAsia="zh-CN" w:bidi="ar-SA"/>
    </w:rPr>
  </w:style>
  <w:style w:type="character" w:customStyle="1" w:styleId="TOm">
    <w:name w:val="TOm"/>
    <w:qFormat/>
    <w:rPr>
      <w:rFonts w:ascii="Courier New" w:eastAsia="Times New Roman" w:hAnsi="Courier New" w:cs="Times New Roman"/>
      <w:spacing w:val="0"/>
      <w:position w:val="0"/>
      <w:sz w:val="21"/>
      <w:lang w:val="en-US" w:eastAsia="en-US" w:bidi="ar-SA"/>
    </w:rPr>
  </w:style>
  <w:style w:type="character" w:customStyle="1" w:styleId="font241">
    <w:name w:val="font241"/>
    <w:qFormat/>
    <w:rPr>
      <w:rFonts w:ascii="宋体" w:eastAsia="宋体" w:hAnsi="宋体" w:cs="Times New Roman" w:hint="eastAsia"/>
      <w:color w:val="000000"/>
      <w:sz w:val="18"/>
      <w:szCs w:val="18"/>
      <w:u w:val="none"/>
      <w:lang w:val="en-US" w:eastAsia="zh-CN" w:bidi="ar-SA"/>
    </w:rPr>
  </w:style>
  <w:style w:type="character" w:customStyle="1" w:styleId="infodetail">
    <w:name w:val="infodetail"/>
    <w:qFormat/>
    <w:rPr>
      <w:rFonts w:ascii="Times New Roman" w:eastAsia="宋体" w:hAnsi="Times New Roman" w:cs="Times New Roman"/>
      <w:kern w:val="2"/>
      <w:sz w:val="24"/>
      <w:szCs w:val="24"/>
      <w:lang w:val="en-US" w:eastAsia="zh-CN" w:bidi="ar-SA"/>
    </w:rPr>
  </w:style>
  <w:style w:type="character" w:customStyle="1" w:styleId="Style27">
    <w:name w:val="_Style 27"/>
    <w:uiPriority w:val="19"/>
    <w:qFormat/>
    <w:rPr>
      <w:rFonts w:ascii="Times New Roman" w:eastAsia="黑体" w:hAnsi="Times New Roman" w:cs="Times New Roman"/>
      <w:color w:val="000000"/>
      <w:sz w:val="24"/>
      <w:lang w:val="en-US" w:eastAsia="zh-CN" w:bidi="ar-SA"/>
    </w:rPr>
  </w:style>
  <w:style w:type="character" w:customStyle="1" w:styleId="cucd-TB-HeadChar">
    <w:name w:val="cucd-TB-Head Char"/>
    <w:link w:val="cucd-TB-Head"/>
    <w:qFormat/>
    <w:rPr>
      <w:rFonts w:ascii="宋体" w:eastAsiaTheme="minorEastAsia" w:hAnsi="宋体" w:cstheme="minorBidi"/>
      <w:sz w:val="24"/>
      <w:lang w:val="en-US" w:eastAsia="zh-CN" w:bidi="ar-SA"/>
    </w:rPr>
  </w:style>
  <w:style w:type="paragraph" w:customStyle="1" w:styleId="cucd-TB-Head">
    <w:name w:val="cucd-TB-Head"/>
    <w:basedOn w:val="af1"/>
    <w:next w:val="af1"/>
    <w:link w:val="cucd-TB-HeadChar"/>
    <w:qFormat/>
    <w:pPr>
      <w:spacing w:line="360" w:lineRule="auto"/>
      <w:jc w:val="center"/>
    </w:pPr>
    <w:rPr>
      <w:rFonts w:ascii="宋体" w:eastAsiaTheme="minorEastAsia" w:hAnsi="宋体"/>
      <w:sz w:val="24"/>
      <w:szCs w:val="24"/>
    </w:rPr>
  </w:style>
  <w:style w:type="character" w:customStyle="1" w:styleId="2CharChar8">
    <w:name w:val="正文 + 首行缩进:  2 字符 Char Char"/>
    <w:qFormat/>
    <w:rPr>
      <w:rFonts w:ascii="Times New Roman" w:eastAsia="宋体" w:hAnsi="Times New Roman" w:cs="Times New Roman"/>
      <w:spacing w:val="12"/>
      <w:kern w:val="2"/>
      <w:sz w:val="24"/>
      <w:lang w:val="en-US" w:eastAsia="zh-CN" w:bidi="ar-SA"/>
    </w:rPr>
  </w:style>
  <w:style w:type="character" w:customStyle="1" w:styleId="HeaderChar">
    <w:name w:val="Header Char"/>
    <w:qFormat/>
    <w:rPr>
      <w:rFonts w:ascii="宋体" w:eastAsia="宋体" w:hAnsi="宋体" w:cs="Times New Roman" w:hint="eastAsia"/>
      <w:b/>
      <w:color w:val="008000"/>
      <w:kern w:val="2"/>
      <w:sz w:val="18"/>
      <w:szCs w:val="24"/>
      <w:lang w:val="en-US" w:eastAsia="zh-CN" w:bidi="ar-SA"/>
    </w:rPr>
  </w:style>
  <w:style w:type="character" w:customStyle="1" w:styleId="Arial">
    <w:name w:val="样式 Arial"/>
    <w:qFormat/>
    <w:rPr>
      <w:rFonts w:ascii="Arial" w:eastAsia="宋体" w:hAnsi="Arial" w:cs="Times New Roman"/>
      <w:lang w:val="en-US" w:eastAsia="zh-CN" w:bidi="ar-SA"/>
    </w:rPr>
  </w:style>
  <w:style w:type="character" w:customStyle="1" w:styleId="1cgCharChar0">
    <w:name w:val="标题 1 cg Char Char"/>
    <w:link w:val="1cg0"/>
    <w:qFormat/>
    <w:locked/>
    <w:rPr>
      <w:rFonts w:asciiTheme="minorHAnsi" w:eastAsiaTheme="minorEastAsia" w:hAnsiTheme="minorHAnsi" w:cstheme="minorBidi"/>
      <w:color w:val="0000FF"/>
      <w:kern w:val="44"/>
      <w:sz w:val="30"/>
      <w:szCs w:val="22"/>
      <w:lang w:val="en-US" w:eastAsia="zh-CN" w:bidi="ar-SA"/>
    </w:rPr>
  </w:style>
  <w:style w:type="paragraph" w:customStyle="1" w:styleId="1cg0">
    <w:name w:val="标题 1 cg"/>
    <w:basedOn w:val="1"/>
    <w:link w:val="1cgCharChar0"/>
    <w:qFormat/>
    <w:pPr>
      <w:keepLines w:val="0"/>
      <w:widowControl/>
    </w:pPr>
    <w:rPr>
      <w:rFonts w:asciiTheme="minorHAnsi" w:eastAsiaTheme="minorEastAsia" w:hAnsiTheme="minorHAnsi" w:cstheme="minorBidi"/>
      <w:bCs w:val="0"/>
      <w:color w:val="0000FF"/>
      <w:kern w:val="44"/>
      <w:sz w:val="30"/>
      <w:szCs w:val="22"/>
    </w:rPr>
  </w:style>
  <w:style w:type="character" w:customStyle="1" w:styleId="23CharChar">
    <w:name w:val="样式23 Char Char"/>
    <w:link w:val="230"/>
    <w:qFormat/>
    <w:rPr>
      <w:rFonts w:ascii="宋体" w:eastAsia="宋体" w:hAnsi="宋体" w:cstheme="minorBidi"/>
      <w:color w:val="000000"/>
      <w:sz w:val="24"/>
      <w:lang w:val="en-US" w:eastAsia="zh-CN" w:bidi="ar-SA"/>
    </w:rPr>
  </w:style>
  <w:style w:type="paragraph" w:customStyle="1" w:styleId="230">
    <w:name w:val="样式23"/>
    <w:basedOn w:val="af1"/>
    <w:link w:val="23CharChar"/>
    <w:qFormat/>
    <w:pPr>
      <w:spacing w:line="360" w:lineRule="auto"/>
      <w:ind w:firstLineChars="200" w:firstLine="480"/>
      <w:jc w:val="left"/>
    </w:pPr>
    <w:rPr>
      <w:rFonts w:ascii="宋体" w:hAnsi="宋体"/>
      <w:color w:val="000000"/>
      <w:sz w:val="24"/>
      <w:szCs w:val="24"/>
    </w:rPr>
  </w:style>
  <w:style w:type="character" w:customStyle="1" w:styleId="HTML20">
    <w:name w:val="HTML 地址 字符2"/>
    <w:uiPriority w:val="99"/>
    <w:semiHidden/>
    <w:qFormat/>
    <w:rPr>
      <w:rFonts w:ascii="Calibri" w:eastAsia="宋体" w:hAnsi="Calibri" w:cs="Times New Roman"/>
      <w:i/>
      <w:iCs/>
      <w:kern w:val="2"/>
      <w:sz w:val="21"/>
      <w:lang w:val="en-US" w:eastAsia="zh-CN" w:bidi="ar-SA"/>
    </w:rPr>
  </w:style>
  <w:style w:type="character" w:customStyle="1" w:styleId="15Char">
    <w:name w:val="样式 宋体 小四 行距: 1.5 倍行距 Char"/>
    <w:link w:val="152"/>
    <w:qFormat/>
    <w:rPr>
      <w:rFonts w:asciiTheme="minorHAnsi" w:eastAsiaTheme="minorEastAsia" w:hAnsiTheme="minorHAnsi" w:cstheme="minorBidi"/>
      <w:sz w:val="24"/>
      <w:szCs w:val="22"/>
      <w:lang w:val="en-US" w:eastAsia="zh-CN" w:bidi="ar-SA"/>
    </w:rPr>
  </w:style>
  <w:style w:type="paragraph" w:customStyle="1" w:styleId="152">
    <w:name w:val="样式 宋体 小四 行距: 1.5 倍行距"/>
    <w:basedOn w:val="af1"/>
    <w:link w:val="15Char"/>
    <w:qFormat/>
    <w:pPr>
      <w:spacing w:line="360" w:lineRule="auto"/>
      <w:ind w:firstLineChars="200" w:firstLine="480"/>
    </w:pPr>
    <w:rPr>
      <w:rFonts w:asciiTheme="minorHAnsi" w:eastAsiaTheme="minorEastAsia" w:hAnsiTheme="minorHAnsi"/>
      <w:sz w:val="24"/>
    </w:rPr>
  </w:style>
  <w:style w:type="character" w:customStyle="1" w:styleId="albumcount">
    <w:name w:val="albumcount"/>
    <w:qFormat/>
    <w:rPr>
      <w:rFonts w:ascii="Times New Roman" w:eastAsia="宋体" w:hAnsi="Times New Roman" w:cs="Times New Roman"/>
      <w:kern w:val="2"/>
      <w:sz w:val="24"/>
      <w:szCs w:val="24"/>
      <w:lang w:val="en-US" w:eastAsia="zh-CN" w:bidi="ar-SA"/>
    </w:rPr>
  </w:style>
  <w:style w:type="character" w:customStyle="1" w:styleId="Char1fa">
    <w:name w:val="页脚 Char1"/>
    <w:qFormat/>
    <w:rPr>
      <w:rFonts w:ascii="Calibri" w:eastAsia="宋体" w:hAnsi="Calibri" w:cs="Times New Roman"/>
      <w:sz w:val="18"/>
      <w:szCs w:val="18"/>
      <w:lang w:val="en-US" w:eastAsia="zh-CN" w:bidi="ar-SA"/>
    </w:rPr>
  </w:style>
  <w:style w:type="character" w:customStyle="1" w:styleId="Char1fb">
    <w:name w:val="信息标题 Char1"/>
    <w:qFormat/>
    <w:rPr>
      <w:rFonts w:ascii="Cambria" w:eastAsia="宋体" w:hAnsi="Cambria" w:cs="Times New Roman"/>
      <w:kern w:val="2"/>
      <w:sz w:val="24"/>
      <w:szCs w:val="24"/>
      <w:shd w:val="pct20" w:color="auto" w:fill="auto"/>
      <w:lang w:val="en-US" w:eastAsia="zh-CN" w:bidi="ar-SA"/>
    </w:rPr>
  </w:style>
  <w:style w:type="character" w:customStyle="1" w:styleId="CharChar382">
    <w:name w:val="Char Char382"/>
    <w:qFormat/>
    <w:rPr>
      <w:rFonts w:ascii="Times New Roman" w:eastAsia="宋体" w:hAnsi="Times New Roman" w:cs="Times New Roman"/>
      <w:b/>
      <w:bCs/>
      <w:kern w:val="2"/>
      <w:sz w:val="26"/>
      <w:szCs w:val="32"/>
      <w:lang w:val="en-US" w:eastAsia="zh-CN" w:bidi="ar-SA"/>
    </w:rPr>
  </w:style>
  <w:style w:type="character" w:customStyle="1" w:styleId="font311">
    <w:name w:val="font311"/>
    <w:qFormat/>
    <w:rPr>
      <w:rFonts w:ascii="等线" w:eastAsia="等线" w:hAnsi="等线" w:cs="Times New Roman" w:hint="eastAsia"/>
      <w:color w:val="000000"/>
      <w:sz w:val="18"/>
      <w:szCs w:val="18"/>
      <w:u w:val="none"/>
      <w:lang w:val="en-US" w:eastAsia="zh-CN" w:bidi="ar-SA"/>
    </w:rPr>
  </w:style>
  <w:style w:type="character" w:customStyle="1" w:styleId="bdsnopic">
    <w:name w:val="bds_nopic"/>
    <w:basedOn w:val="af3"/>
    <w:qFormat/>
    <w:rPr>
      <w:rFonts w:ascii="Times New Roman" w:eastAsia="宋体" w:hAnsi="Times New Roman" w:cs="Times New Roman"/>
      <w:lang w:val="en-US" w:eastAsia="zh-CN" w:bidi="ar-SA"/>
    </w:rPr>
  </w:style>
  <w:style w:type="character" w:customStyle="1" w:styleId="CharChar92">
    <w:name w:val="Char Char92"/>
    <w:qFormat/>
    <w:rPr>
      <w:rFonts w:ascii="Times New Roman" w:eastAsia="宋体" w:hAnsi="Times New Roman" w:cs="Times New Roman"/>
      <w:kern w:val="2"/>
      <w:sz w:val="18"/>
      <w:lang w:val="en-US" w:eastAsia="zh-CN" w:bidi="ar-SA"/>
    </w:rPr>
  </w:style>
  <w:style w:type="character" w:customStyle="1" w:styleId="gao1Char">
    <w:name w:val="gao 1 Char"/>
    <w:link w:val="gao1"/>
    <w:qFormat/>
    <w:rPr>
      <w:rFonts w:asciiTheme="minorHAnsi" w:eastAsia="方正大标宋简体" w:hAnsiTheme="minorHAnsi" w:cstheme="minorBidi"/>
      <w:sz w:val="28"/>
      <w:szCs w:val="22"/>
      <w:lang w:val="en-US" w:eastAsia="zh-CN" w:bidi="ar-SA"/>
    </w:rPr>
  </w:style>
  <w:style w:type="paragraph" w:customStyle="1" w:styleId="gao1">
    <w:name w:val="gao 1"/>
    <w:basedOn w:val="af1"/>
    <w:link w:val="gao1Char"/>
    <w:qFormat/>
    <w:rPr>
      <w:rFonts w:asciiTheme="minorHAnsi" w:eastAsia="方正大标宋简体" w:hAnsiTheme="minorHAnsi"/>
      <w:sz w:val="28"/>
    </w:rPr>
  </w:style>
  <w:style w:type="character" w:customStyle="1" w:styleId="CharChar45">
    <w:name w:val="Char Char45"/>
    <w:qFormat/>
    <w:rPr>
      <w:rFonts w:ascii="Times New Roman" w:eastAsia="宋体" w:hAnsi="Times New Roman" w:cs="Times New Roman"/>
      <w:b/>
      <w:bCs/>
      <w:kern w:val="2"/>
      <w:sz w:val="24"/>
      <w:szCs w:val="24"/>
      <w:lang w:val="en-US" w:eastAsia="zh-CN" w:bidi="ar-SA"/>
    </w:rPr>
  </w:style>
  <w:style w:type="character" w:customStyle="1" w:styleId="textcontents">
    <w:name w:val="textcontents"/>
    <w:qFormat/>
    <w:rPr>
      <w:rFonts w:ascii="Times New Roman" w:eastAsia="宋体" w:hAnsi="Times New Roman" w:cs="Times New Roman"/>
      <w:lang w:val="en-US" w:eastAsia="zh-CN" w:bidi="ar-SA"/>
    </w:rPr>
  </w:style>
  <w:style w:type="character" w:customStyle="1" w:styleId="PlainTextCharCharCharCharCharCharCharCharCharCharCharCharCharCharCharChar">
    <w:name w:val="Plain Text Char Char Char Char Char Char Char Char Char Char Char Char Char Char Char Char"/>
    <w:qFormat/>
    <w:rPr>
      <w:rFonts w:ascii="宋体" w:eastAsia="宋体" w:hAnsi="Courier New" w:cs="Times New Roman"/>
      <w:kern w:val="2"/>
      <w:sz w:val="21"/>
      <w:lang w:val="en-US" w:eastAsia="zh-CN" w:bidi="ar-SA"/>
    </w:rPr>
  </w:style>
  <w:style w:type="character" w:customStyle="1" w:styleId="2CharChar9">
    <w:name w:val="蒲标题2 Char Char"/>
    <w:link w:val="2ff5"/>
    <w:qFormat/>
    <w:locked/>
    <w:rPr>
      <w:rFonts w:asciiTheme="minorHAnsi" w:eastAsiaTheme="minorEastAsia" w:hAnsiTheme="minorHAnsi" w:cstheme="minorBidi"/>
      <w:color w:val="0000FF"/>
      <w:sz w:val="24"/>
      <w:szCs w:val="22"/>
      <w:lang w:val="en-US" w:eastAsia="zh-CN" w:bidi="ar-SA"/>
    </w:rPr>
  </w:style>
  <w:style w:type="paragraph" w:customStyle="1" w:styleId="2ff5">
    <w:name w:val="蒲标题2"/>
    <w:basedOn w:val="22"/>
    <w:link w:val="2CharChar9"/>
    <w:qFormat/>
    <w:pPr>
      <w:widowControl/>
      <w:autoSpaceDE w:val="0"/>
      <w:autoSpaceDN w:val="0"/>
      <w:adjustRightInd w:val="0"/>
      <w:snapToGrid w:val="0"/>
      <w:spacing w:beforeLines="50" w:after="0" w:line="360" w:lineRule="auto"/>
      <w:outlineLvl w:val="2"/>
    </w:pPr>
    <w:rPr>
      <w:rFonts w:asciiTheme="minorHAnsi" w:eastAsiaTheme="minorEastAsia" w:hAnsiTheme="minorHAnsi" w:cstheme="minorBidi"/>
      <w:bCs w:val="0"/>
      <w:color w:val="0000FF"/>
      <w:sz w:val="24"/>
      <w:szCs w:val="22"/>
    </w:rPr>
  </w:style>
  <w:style w:type="character" w:customStyle="1" w:styleId="release-day">
    <w:name w:val="release-day"/>
    <w:qFormat/>
    <w:rPr>
      <w:rFonts w:ascii="Times New Roman" w:eastAsia="宋体" w:hAnsi="Times New Roman" w:cs="Times New Roman"/>
      <w:bdr w:val="single" w:sz="6" w:space="0" w:color="BDEBB0"/>
      <w:shd w:val="clear" w:color="auto" w:fill="F5FFF1"/>
      <w:lang w:val="en-US" w:eastAsia="zh-CN" w:bidi="ar-SA"/>
    </w:rPr>
  </w:style>
  <w:style w:type="character" w:customStyle="1" w:styleId="CharCharCharf5">
    <w:name w:val="文本框五号 Char Char Char"/>
    <w:qFormat/>
    <w:rPr>
      <w:rFonts w:ascii="Verdana" w:eastAsia="Times New Roman" w:hAnsi="Verdana" w:cs="Times New Roman"/>
      <w:kern w:val="2"/>
      <w:sz w:val="21"/>
      <w:lang w:val="en-US" w:eastAsia="zh-CN" w:bidi="ar-SA"/>
    </w:rPr>
  </w:style>
  <w:style w:type="character" w:customStyle="1" w:styleId="bb1">
    <w:name w:val="bb1"/>
    <w:qFormat/>
    <w:rPr>
      <w:rFonts w:ascii="Times New Roman" w:eastAsia="宋体" w:hAnsi="Times New Roman" w:cs="Times New Roman"/>
      <w:sz w:val="18"/>
      <w:lang w:val="en-US" w:eastAsia="zh-CN" w:bidi="ar-SA"/>
    </w:rPr>
  </w:style>
  <w:style w:type="character" w:customStyle="1" w:styleId="6Char2">
    <w:name w:val="样式 标题 6 Char"/>
    <w:link w:val="63"/>
    <w:qFormat/>
    <w:rPr>
      <w:rFonts w:asciiTheme="minorHAnsi" w:eastAsiaTheme="minorEastAsia" w:hAnsiTheme="minorHAnsi" w:cstheme="minorBidi"/>
      <w:sz w:val="28"/>
      <w:szCs w:val="22"/>
      <w:lang w:val="en-US" w:eastAsia="zh-CN" w:bidi="ar-SA"/>
    </w:rPr>
  </w:style>
  <w:style w:type="paragraph" w:customStyle="1" w:styleId="63">
    <w:name w:val="样式 标题 6"/>
    <w:basedOn w:val="6"/>
    <w:link w:val="6Char2"/>
    <w:qFormat/>
    <w:pPr>
      <w:keepLines w:val="0"/>
      <w:numPr>
        <w:ilvl w:val="0"/>
        <w:numId w:val="0"/>
      </w:numPr>
      <w:tabs>
        <w:tab w:val="clear" w:pos="1152"/>
      </w:tabs>
      <w:adjustRightInd w:val="0"/>
      <w:spacing w:before="0" w:after="0" w:line="360" w:lineRule="auto"/>
      <w:ind w:firstLineChars="200" w:firstLine="560"/>
    </w:pPr>
    <w:rPr>
      <w:rFonts w:asciiTheme="minorHAnsi" w:eastAsiaTheme="minorEastAsia" w:hAnsiTheme="minorHAnsi" w:cstheme="minorBidi"/>
      <w:b w:val="0"/>
      <w:bCs w:val="0"/>
      <w:sz w:val="28"/>
      <w:szCs w:val="22"/>
    </w:rPr>
  </w:style>
  <w:style w:type="character" w:customStyle="1" w:styleId="218">
    <w:name w:val="正文文本 (2)18"/>
    <w:qFormat/>
    <w:rPr>
      <w:rFonts w:ascii="MingLiU" w:eastAsia="MingLiU" w:hAnsi="Times New Roman" w:cs="MingLiU"/>
      <w:kern w:val="2"/>
      <w:sz w:val="22"/>
      <w:szCs w:val="22"/>
      <w:u w:val="none"/>
      <w:lang w:val="en-US" w:eastAsia="zh-CN" w:bidi="ar-SA"/>
    </w:rPr>
  </w:style>
  <w:style w:type="character" w:customStyle="1" w:styleId="aff3">
    <w:name w:val="题注 字符"/>
    <w:link w:val="aff2"/>
    <w:qFormat/>
    <w:rPr>
      <w:rFonts w:ascii="Cambria" w:eastAsia="黑体" w:hAnsi="Cambria" w:cstheme="minorBidi"/>
      <w:szCs w:val="22"/>
      <w:lang w:val="en-US" w:eastAsia="zh-CN" w:bidi="ar-SA"/>
    </w:rPr>
  </w:style>
  <w:style w:type="character" w:customStyle="1" w:styleId="2Char14">
    <w:name w:val="正文首行缩进 2 Char1"/>
    <w:qFormat/>
    <w:rPr>
      <w:rFonts w:ascii="Calibri" w:eastAsia="宋体" w:hAnsi="Calibri" w:cs="Times New Roman"/>
      <w:sz w:val="24"/>
      <w:lang w:val="en-US" w:eastAsia="zh-CN" w:bidi="ar-SA"/>
    </w:rPr>
  </w:style>
  <w:style w:type="character" w:customStyle="1" w:styleId="Charfffffa">
    <w:name w:val="表标 Char"/>
    <w:qFormat/>
    <w:rPr>
      <w:rFonts w:ascii="Times New Roman" w:eastAsia="宋体" w:hAnsi="Times New Roman" w:cs="Times New Roman"/>
      <w:kern w:val="2"/>
      <w:sz w:val="18"/>
      <w:lang w:val="en-US" w:eastAsia="zh-CN" w:bidi="ar-SA"/>
    </w:rPr>
  </w:style>
  <w:style w:type="character" w:customStyle="1" w:styleId="font51">
    <w:name w:val="font51"/>
    <w:qFormat/>
    <w:rPr>
      <w:rFonts w:ascii="Times New Roman" w:eastAsia="宋体" w:hAnsi="Times New Roman" w:cs="Times New Roman" w:hint="default"/>
      <w:b/>
      <w:color w:val="000000"/>
      <w:sz w:val="21"/>
      <w:szCs w:val="21"/>
      <w:u w:val="none"/>
      <w:lang w:val="en-US" w:eastAsia="zh-CN" w:bidi="ar-SA"/>
    </w:rPr>
  </w:style>
  <w:style w:type="character" w:customStyle="1" w:styleId="11p1">
    <w:name w:val="11p1"/>
    <w:qFormat/>
    <w:rPr>
      <w:rFonts w:ascii="Arial Black" w:eastAsia="Times New Roman" w:hAnsi="Arial Black" w:cs="Times New Roman"/>
      <w:sz w:val="23"/>
      <w:lang w:val="en-US" w:eastAsia="en-US" w:bidi="ar-SA"/>
    </w:rPr>
  </w:style>
  <w:style w:type="character" w:customStyle="1" w:styleId="cucd-TB-HeadCharChar">
    <w:name w:val="cucd-TB-Head Char Char"/>
    <w:semiHidden/>
    <w:qFormat/>
    <w:rPr>
      <w:rFonts w:ascii="宋体" w:eastAsia="宋体" w:hAnsi="宋体" w:cs="Times New Roman"/>
      <w:sz w:val="24"/>
      <w:szCs w:val="24"/>
      <w:lang w:val="en-US" w:eastAsia="zh-CN" w:bidi="ar-SA"/>
    </w:rPr>
  </w:style>
  <w:style w:type="character" w:customStyle="1" w:styleId="173">
    <w:name w:val="正文文本 (17)3"/>
    <w:qFormat/>
    <w:rPr>
      <w:rFonts w:ascii="MingLiU" w:eastAsia="MingLiU" w:hAnsi="Times New Roman" w:cs="Times New Roman"/>
      <w:kern w:val="2"/>
      <w:sz w:val="22"/>
      <w:szCs w:val="22"/>
      <w:lang w:val="en-US" w:eastAsia="en-US" w:bidi="ar-SA"/>
    </w:rPr>
  </w:style>
  <w:style w:type="character" w:customStyle="1" w:styleId="style11">
    <w:name w:val="style11"/>
    <w:qFormat/>
    <w:rPr>
      <w:rFonts w:ascii="Times New Roman" w:eastAsia="宋体" w:hAnsi="Times New Roman" w:cs="Times New Roman"/>
      <w:color w:val="000000"/>
      <w:sz w:val="18"/>
      <w:szCs w:val="18"/>
      <w:lang w:val="en-US" w:eastAsia="zh-CN" w:bidi="ar-SA"/>
    </w:rPr>
  </w:style>
  <w:style w:type="character" w:customStyle="1" w:styleId="CharCharCharf6">
    <w:name w:val="文本正文专用 Char Char Char"/>
    <w:qFormat/>
    <w:rPr>
      <w:rFonts w:ascii="Times New Roman" w:eastAsia="宋体" w:hAnsi="Times New Roman" w:cs="宋体"/>
      <w:kern w:val="2"/>
      <w:sz w:val="24"/>
      <w:szCs w:val="24"/>
      <w:lang w:val="en-US" w:eastAsia="zh-CN" w:bidi="ar-SA"/>
    </w:rPr>
  </w:style>
  <w:style w:type="character" w:customStyle="1" w:styleId="lineheight1501">
    <w:name w:val="lineheight1501"/>
    <w:qFormat/>
    <w:rPr>
      <w:rFonts w:ascii="Times New Roman" w:eastAsia="宋体" w:hAnsi="Times New Roman" w:cs="Times New Roman"/>
      <w:kern w:val="2"/>
      <w:sz w:val="24"/>
      <w:szCs w:val="24"/>
      <w:lang w:val="en-US" w:eastAsia="zh-CN" w:bidi="ar-SA"/>
    </w:rPr>
  </w:style>
  <w:style w:type="character" w:customStyle="1" w:styleId="1CharChar5">
    <w:name w:val="1正文段落 Char Char"/>
    <w:qFormat/>
    <w:locked/>
    <w:rPr>
      <w:rFonts w:ascii="仿宋_GB2312" w:eastAsia="仿宋_GB2312" w:hAnsi="Times New Roman" w:cs="Times New Roman"/>
      <w:snapToGrid/>
      <w:sz w:val="24"/>
      <w:lang w:val="en-US" w:eastAsia="zh-CN" w:bidi="ar-SA"/>
    </w:rPr>
  </w:style>
  <w:style w:type="character" w:customStyle="1" w:styleId="CharCharfffe">
    <w:name w:val="表文字 Char Char"/>
    <w:link w:val="affffffffffff0"/>
    <w:qFormat/>
    <w:locked/>
    <w:rPr>
      <w:rFonts w:ascii="宋体" w:eastAsiaTheme="minorEastAsia" w:hAnsi="宋体" w:cstheme="minorBidi"/>
      <w:sz w:val="18"/>
      <w:szCs w:val="22"/>
      <w:lang w:val="en-US" w:eastAsia="zh-CN" w:bidi="ar-SA"/>
    </w:rPr>
  </w:style>
  <w:style w:type="paragraph" w:customStyle="1" w:styleId="affffffffffff0">
    <w:name w:val="表文字"/>
    <w:basedOn w:val="af1"/>
    <w:next w:val="af1"/>
    <w:link w:val="CharCharfffe"/>
    <w:qFormat/>
    <w:pPr>
      <w:adjustRightInd w:val="0"/>
      <w:spacing w:line="0" w:lineRule="atLeast"/>
      <w:ind w:firstLineChars="200" w:firstLine="200"/>
      <w:jc w:val="left"/>
    </w:pPr>
    <w:rPr>
      <w:rFonts w:ascii="宋体" w:eastAsiaTheme="minorEastAsia" w:hAnsi="宋体"/>
      <w:sz w:val="18"/>
    </w:rPr>
  </w:style>
  <w:style w:type="character" w:customStyle="1" w:styleId="2CharChara">
    <w:name w:val="样式 标题 2节名节 + (中文) 宋体 Char Char"/>
    <w:link w:val="2ff6"/>
    <w:qFormat/>
    <w:rPr>
      <w:rFonts w:asciiTheme="minorHAnsi" w:eastAsia="宋体" w:hAnsiTheme="minorHAnsi" w:cstheme="minorBidi"/>
      <w:color w:val="000000"/>
      <w:sz w:val="30"/>
      <w:szCs w:val="28"/>
      <w:lang w:val="en-US" w:eastAsia="zh-CN" w:bidi="ar-SA"/>
    </w:rPr>
  </w:style>
  <w:style w:type="paragraph" w:customStyle="1" w:styleId="2ff6">
    <w:name w:val="样式 标题 2节名节 + (中文) 宋体"/>
    <w:basedOn w:val="22"/>
    <w:link w:val="2CharChara"/>
    <w:qFormat/>
    <w:pPr>
      <w:spacing w:beforeLines="50" w:after="0" w:line="240" w:lineRule="auto"/>
    </w:pPr>
    <w:rPr>
      <w:rFonts w:asciiTheme="minorHAnsi" w:hAnsiTheme="minorHAnsi" w:cstheme="minorBidi"/>
      <w:bCs w:val="0"/>
      <w:color w:val="000000"/>
      <w:sz w:val="30"/>
      <w:szCs w:val="28"/>
    </w:rPr>
  </w:style>
  <w:style w:type="character" w:customStyle="1" w:styleId="2Charc">
    <w:name w:val="表格文字2 Char"/>
    <w:link w:val="2ff7"/>
    <w:qFormat/>
    <w:rPr>
      <w:rFonts w:asciiTheme="minorHAnsi" w:eastAsiaTheme="minorEastAsia" w:hAnsiTheme="minorHAnsi" w:cstheme="minorBidi"/>
      <w:szCs w:val="21"/>
      <w:lang w:val="en-US" w:eastAsia="zh-CN" w:bidi="ar-SA"/>
    </w:rPr>
  </w:style>
  <w:style w:type="paragraph" w:customStyle="1" w:styleId="2ff7">
    <w:name w:val="表格文字2"/>
    <w:basedOn w:val="af1"/>
    <w:link w:val="2Charc"/>
    <w:qFormat/>
    <w:pPr>
      <w:tabs>
        <w:tab w:val="left" w:pos="277"/>
        <w:tab w:val="left" w:pos="600"/>
        <w:tab w:val="left" w:pos="780"/>
        <w:tab w:val="left" w:pos="2517"/>
      </w:tabs>
      <w:adjustRightInd w:val="0"/>
      <w:spacing w:before="60"/>
      <w:jc w:val="center"/>
    </w:pPr>
    <w:rPr>
      <w:rFonts w:asciiTheme="minorHAnsi" w:eastAsiaTheme="minorEastAsia" w:hAnsiTheme="minorHAnsi"/>
      <w:szCs w:val="21"/>
    </w:rPr>
  </w:style>
  <w:style w:type="character" w:customStyle="1" w:styleId="001CharChar">
    <w:name w:val="正文001 Char Char"/>
    <w:qFormat/>
    <w:rPr>
      <w:rFonts w:ascii="Times New Roman" w:eastAsia="宋体" w:hAnsi="Times New Roman" w:cs="Times New Roman"/>
      <w:kern w:val="2"/>
      <w:sz w:val="24"/>
      <w:lang w:val="en-US" w:eastAsia="zh-CN" w:bidi="ar-SA"/>
    </w:rPr>
  </w:style>
  <w:style w:type="character" w:customStyle="1" w:styleId="Charfffffb">
    <w:name w:val="德胜正文 Char"/>
    <w:qFormat/>
    <w:rPr>
      <w:rFonts w:ascii="Times New Roman" w:eastAsia="宋体" w:hAnsi="Times New Roman" w:cs="宋体"/>
      <w:snapToGrid/>
      <w:color w:val="0000FF"/>
      <w:sz w:val="24"/>
      <w:szCs w:val="24"/>
      <w:lang w:val="en-US" w:eastAsia="zh-CN" w:bidi="ar-SA"/>
    </w:rPr>
  </w:style>
  <w:style w:type="character" w:customStyle="1" w:styleId="CharCharCharCharChar9">
    <w:name w:val="表格 Char Char Char Char Char"/>
    <w:qFormat/>
    <w:rPr>
      <w:rFonts w:ascii="宋体" w:eastAsia="宋体" w:hAnsi="Times New Roman" w:cs="Times New Roman"/>
      <w:snapToGrid/>
      <w:sz w:val="24"/>
      <w:lang w:val="en-US" w:eastAsia="zh-CN" w:bidi="ar-SA"/>
    </w:rPr>
  </w:style>
  <w:style w:type="character" w:customStyle="1" w:styleId="3CharCharChar">
    <w:name w:val="正文文本缩进 3 Char Char Char"/>
    <w:qFormat/>
    <w:rPr>
      <w:rFonts w:ascii="Times New Roman" w:eastAsia="宋体" w:hAnsi="Times New Roman" w:cs="Times New Roman"/>
      <w:kern w:val="2"/>
      <w:sz w:val="16"/>
      <w:lang w:val="en-US" w:eastAsia="zh-CN" w:bidi="ar-SA"/>
    </w:rPr>
  </w:style>
  <w:style w:type="character" w:customStyle="1" w:styleId="Charfffffc">
    <w:name w:val="表格标题新 Char"/>
    <w:link w:val="affffffffffff1"/>
    <w:qFormat/>
    <w:rPr>
      <w:rFonts w:ascii="仿宋_GB2312" w:eastAsia="黑体" w:hAnsi="Times New Roman" w:cs="Times New Roman"/>
      <w:b/>
      <w:spacing w:val="4"/>
      <w:szCs w:val="24"/>
      <w:lang w:val="en-US" w:eastAsia="zh-CN" w:bidi="ar-SA"/>
    </w:rPr>
  </w:style>
  <w:style w:type="paragraph" w:customStyle="1" w:styleId="affffffffffff1">
    <w:name w:val="表格标题新"/>
    <w:basedOn w:val="affffffffff9"/>
    <w:link w:val="Charfffffc"/>
    <w:qFormat/>
    <w:pPr>
      <w:tabs>
        <w:tab w:val="left" w:pos="0"/>
      </w:tabs>
      <w:adjustRightInd w:val="0"/>
      <w:snapToGrid w:val="0"/>
      <w:spacing w:beforeLines="50" w:before="156" w:line="240" w:lineRule="auto"/>
      <w:ind w:firstLine="562"/>
    </w:pPr>
    <w:rPr>
      <w:rFonts w:ascii="仿宋_GB2312" w:eastAsia="黑体"/>
      <w:b/>
      <w:spacing w:val="4"/>
      <w:szCs w:val="24"/>
    </w:rPr>
  </w:style>
  <w:style w:type="character" w:customStyle="1" w:styleId="Charfffffd">
    <w:name w:val="日期 Char"/>
    <w:link w:val="1110"/>
    <w:qFormat/>
    <w:rPr>
      <w:rFonts w:asciiTheme="minorHAnsi" w:eastAsiaTheme="minorEastAsia" w:hAnsiTheme="minorHAnsi" w:cstheme="minorBidi"/>
      <w:lang w:val="en-US" w:eastAsia="zh-CN" w:bidi="ar-SA"/>
    </w:rPr>
  </w:style>
  <w:style w:type="paragraph" w:customStyle="1" w:styleId="1110">
    <w:name w:val="日期111"/>
    <w:basedOn w:val="af1"/>
    <w:next w:val="af1"/>
    <w:link w:val="Charfffffd"/>
    <w:qFormat/>
    <w:pPr>
      <w:spacing w:line="360" w:lineRule="auto"/>
      <w:ind w:leftChars="2500" w:left="100" w:firstLineChars="200" w:firstLine="200"/>
    </w:pPr>
    <w:rPr>
      <w:rFonts w:asciiTheme="minorHAnsi" w:eastAsiaTheme="minorEastAsia" w:hAnsiTheme="minorHAnsi"/>
      <w:szCs w:val="24"/>
    </w:rPr>
  </w:style>
  <w:style w:type="character" w:customStyle="1" w:styleId="r1">
    <w:name w:val="r1"/>
    <w:qFormat/>
    <w:rPr>
      <w:rFonts w:ascii="Arial Black" w:eastAsia="Times New Roman" w:hAnsi="Arial Black" w:cs="Times New Roman"/>
      <w:sz w:val="20"/>
      <w:lang w:val="en-US" w:eastAsia="en-US" w:bidi="ar-SA"/>
    </w:rPr>
  </w:style>
  <w:style w:type="character" w:customStyle="1" w:styleId="tpccontent1">
    <w:name w:val="tpc_content1"/>
    <w:qFormat/>
    <w:rPr>
      <w:rFonts w:ascii="Times New Roman" w:eastAsia="宋体" w:hAnsi="Times New Roman" w:cs="Times New Roman"/>
      <w:sz w:val="20"/>
      <w:szCs w:val="20"/>
      <w:lang w:val="en-US" w:eastAsia="zh-CN" w:bidi="ar-SA"/>
    </w:rPr>
  </w:style>
  <w:style w:type="character" w:customStyle="1" w:styleId="style21">
    <w:name w:val="style21"/>
    <w:qFormat/>
    <w:rPr>
      <w:rFonts w:ascii="Times New Roman" w:eastAsia="宋体" w:hAnsi="Times New Roman" w:cs="Times New Roman"/>
      <w:b/>
      <w:bCs/>
      <w:sz w:val="21"/>
      <w:szCs w:val="21"/>
      <w:lang w:val="en-US" w:eastAsia="zh-CN" w:bidi="ar-SA"/>
    </w:rPr>
  </w:style>
  <w:style w:type="character" w:customStyle="1" w:styleId="1ff6">
    <w:name w:val="默认段落字体1"/>
    <w:qFormat/>
    <w:rPr>
      <w:rFonts w:ascii="Times New Roman" w:eastAsia="宋体" w:hAnsi="Times New Roman" w:cs="Times New Roman"/>
      <w:color w:val="000000"/>
      <w:spacing w:val="0"/>
      <w:w w:val="100"/>
      <w:sz w:val="21"/>
      <w:u w:val="none" w:color="000000"/>
      <w:vertAlign w:val="baseline"/>
      <w:lang w:val="en-US" w:eastAsia="zh-CN" w:bidi="ar-SA"/>
    </w:rPr>
  </w:style>
  <w:style w:type="character" w:customStyle="1" w:styleId="CharChar34">
    <w:name w:val="Char Char34"/>
    <w:qFormat/>
    <w:locked/>
    <w:rPr>
      <w:rFonts w:ascii="Times New Roman" w:eastAsia="宋体" w:hAnsi="Times New Roman" w:cs="Times New Roman"/>
      <w:b/>
      <w:kern w:val="2"/>
      <w:sz w:val="24"/>
      <w:lang w:val="en-US" w:eastAsia="zh-CN" w:bidi="ar-SA"/>
    </w:rPr>
  </w:style>
  <w:style w:type="character" w:customStyle="1" w:styleId="CharCharCharCharf0">
    <w:name w:val="表内文字 Char Char Char Char"/>
    <w:qFormat/>
    <w:rPr>
      <w:rFonts w:ascii="Verdana" w:eastAsia="Times New Roman" w:hAnsi="MHei-Medium" w:cs="Times New Roman"/>
      <w:kern w:val="2"/>
      <w:sz w:val="21"/>
      <w:lang w:val="en-US" w:eastAsia="zh-CN" w:bidi="ar-SA"/>
    </w:rPr>
  </w:style>
  <w:style w:type="character" w:customStyle="1" w:styleId="214">
    <w:name w:val="正文文本缩进 2 字符1"/>
    <w:qFormat/>
    <w:rPr>
      <w:rFonts w:ascii="Times New Roman" w:eastAsia="宋体" w:hAnsi="Times New Roman" w:cs="Times New Roman"/>
      <w:color w:val="FF0000"/>
      <w:sz w:val="28"/>
      <w:lang w:val="en-US" w:eastAsia="zh-CN" w:bidi="ar-SA"/>
    </w:rPr>
  </w:style>
  <w:style w:type="character" w:customStyle="1" w:styleId="disabled">
    <w:name w:val="disabled"/>
    <w:qFormat/>
    <w:rPr>
      <w:rFonts w:ascii="Times New Roman" w:eastAsia="宋体" w:hAnsi="Times New Roman" w:cs="Times New Roman"/>
      <w:vanish/>
      <w:lang w:val="en-US" w:eastAsia="zh-CN" w:bidi="ar-SA"/>
    </w:rPr>
  </w:style>
  <w:style w:type="character" w:customStyle="1" w:styleId="Char1fc">
    <w:name w:val="页眉 Char1"/>
    <w:qFormat/>
    <w:rPr>
      <w:rFonts w:ascii="Calibri" w:eastAsia="宋体" w:hAnsi="Calibri" w:cs="Times New Roman"/>
      <w:sz w:val="18"/>
      <w:szCs w:val="18"/>
      <w:lang w:val="en-US" w:eastAsia="zh-CN" w:bidi="ar-SA"/>
    </w:rPr>
  </w:style>
  <w:style w:type="character" w:customStyle="1" w:styleId="9dpi1">
    <w:name w:val="9dpi1"/>
    <w:qFormat/>
    <w:rPr>
      <w:rFonts w:ascii="Arial Black" w:eastAsia="Times New Roman" w:hAnsi="Arial Black" w:cs="Times New Roman"/>
      <w:spacing w:val="30"/>
      <w:sz w:val="18"/>
      <w:lang w:val="en-US" w:eastAsia="en-US" w:bidi="ar-SA"/>
    </w:rPr>
  </w:style>
  <w:style w:type="character" w:customStyle="1" w:styleId="2CharCharb">
    <w:name w:val="样式 标题 2 + 黑体 小四 Char Char"/>
    <w:qFormat/>
    <w:rPr>
      <w:rFonts w:ascii="黑体" w:eastAsia="黑体" w:hAnsi="黑体" w:cs="Times New Roman"/>
      <w:b/>
      <w:bCs/>
      <w:kern w:val="2"/>
      <w:sz w:val="24"/>
      <w:szCs w:val="32"/>
      <w:lang w:val="en-US" w:eastAsia="zh-CN" w:bidi="ar-SA"/>
    </w:rPr>
  </w:style>
  <w:style w:type="character" w:customStyle="1" w:styleId="pagergoto">
    <w:name w:val="pager_goto"/>
    <w:qFormat/>
    <w:rPr>
      <w:rFonts w:ascii="Times New Roman" w:eastAsia="宋体" w:hAnsi="Times New Roman" w:cs="Times New Roman"/>
      <w:color w:val="666666"/>
      <w:lang w:val="en-US" w:eastAsia="zh-CN" w:bidi="ar-SA"/>
    </w:rPr>
  </w:style>
  <w:style w:type="character" w:customStyle="1" w:styleId="CharChar200">
    <w:name w:val="Char Char20"/>
    <w:qFormat/>
    <w:locked/>
    <w:rPr>
      <w:rFonts w:ascii="Times New Roman" w:eastAsia="宋体" w:hAnsi="Times New Roman" w:cs="Times New Roman"/>
      <w:kern w:val="2"/>
      <w:sz w:val="18"/>
      <w:szCs w:val="18"/>
      <w:lang w:val="en-US" w:eastAsia="zh-CN" w:bidi="ar-SA"/>
    </w:rPr>
  </w:style>
  <w:style w:type="character" w:customStyle="1" w:styleId="thisclass">
    <w:name w:val="thisclass"/>
    <w:qFormat/>
    <w:rPr>
      <w:rFonts w:ascii="Times New Roman" w:eastAsia="宋体" w:hAnsi="Times New Roman" w:cs="Times New Roman"/>
      <w:b/>
      <w:color w:val="FFFFFF"/>
      <w:bdr w:val="single" w:sz="6" w:space="0" w:color="E3242C"/>
      <w:shd w:val="clear" w:color="auto" w:fill="E3242C"/>
      <w:lang w:val="en-US" w:eastAsia="zh-CN" w:bidi="ar-SA"/>
    </w:rPr>
  </w:style>
  <w:style w:type="character" w:customStyle="1" w:styleId="01CharCharCharChar">
    <w:name w:val="正文01 Char Char Char Char"/>
    <w:qFormat/>
    <w:rPr>
      <w:rFonts w:ascii="Times New Roman" w:eastAsia="宋体" w:hAnsi="Times New Roman" w:cs="Times New Roman"/>
      <w:kern w:val="2"/>
      <w:sz w:val="24"/>
      <w:lang w:val="en-US" w:eastAsia="zh-CN" w:bidi="ar-SA"/>
    </w:rPr>
  </w:style>
  <w:style w:type="character" w:customStyle="1" w:styleId="affffffffffff2">
    <w:name w:val="页眉 字符"/>
    <w:uiPriority w:val="99"/>
    <w:qFormat/>
    <w:rPr>
      <w:rFonts w:ascii="Calibri" w:eastAsia="宋体" w:hAnsi="Calibri" w:cs="Times New Roman"/>
      <w:kern w:val="2"/>
      <w:sz w:val="18"/>
      <w:szCs w:val="18"/>
      <w:lang w:val="en-US" w:eastAsia="zh-CN" w:bidi="ar-SA"/>
    </w:rPr>
  </w:style>
  <w:style w:type="character" w:customStyle="1" w:styleId="detail-tit">
    <w:name w:val="detail-tit"/>
    <w:basedOn w:val="af3"/>
    <w:qFormat/>
    <w:rPr>
      <w:rFonts w:ascii="Times New Roman" w:eastAsia="宋体" w:hAnsi="Times New Roman" w:cs="Times New Roman"/>
      <w:lang w:val="en-US" w:eastAsia="zh-CN" w:bidi="ar-SA"/>
    </w:rPr>
  </w:style>
  <w:style w:type="character" w:customStyle="1" w:styleId="Charfffffe">
    <w:name w:val="表内 Char"/>
    <w:link w:val="affffffffffff3"/>
    <w:qFormat/>
    <w:rPr>
      <w:rFonts w:asciiTheme="minorHAnsi" w:eastAsia="宋体" w:hAnsiTheme="minorHAnsi" w:cstheme="minorBidi"/>
      <w:lang w:val="en-US" w:eastAsia="zh-CN" w:bidi="ar-SA"/>
    </w:rPr>
  </w:style>
  <w:style w:type="paragraph" w:customStyle="1" w:styleId="affffffffffff3">
    <w:name w:val="表内"/>
    <w:basedOn w:val="af1"/>
    <w:link w:val="Charfffffe"/>
    <w:qFormat/>
    <w:pPr>
      <w:jc w:val="center"/>
    </w:pPr>
    <w:rPr>
      <w:rFonts w:asciiTheme="minorHAnsi" w:hAnsiTheme="minorHAnsi"/>
      <w:szCs w:val="24"/>
    </w:rPr>
  </w:style>
  <w:style w:type="character" w:customStyle="1" w:styleId="9Char0">
    <w:name w:val="标题 9 Char"/>
    <w:qFormat/>
    <w:rPr>
      <w:rFonts w:ascii="Arial" w:eastAsia="黑体" w:hAnsi="Arial" w:cs="Times New Roman"/>
      <w:sz w:val="21"/>
      <w:lang w:val="en-US" w:eastAsia="zh-CN" w:bidi="ar-SA"/>
    </w:rPr>
  </w:style>
  <w:style w:type="character" w:customStyle="1" w:styleId="Heading8Char">
    <w:name w:val="Heading 8 Char"/>
    <w:qFormat/>
    <w:locked/>
    <w:rPr>
      <w:rFonts w:ascii="Arial" w:eastAsia="黑体" w:hAnsi="Arial" w:cs="Times New Roman"/>
      <w:sz w:val="24"/>
      <w:lang w:val="en-US" w:eastAsia="zh-CN" w:bidi="ar-SA"/>
    </w:rPr>
  </w:style>
  <w:style w:type="character" w:customStyle="1" w:styleId="CharChar210">
    <w:name w:val="Char Char21"/>
    <w:qFormat/>
    <w:locked/>
    <w:rPr>
      <w:rFonts w:ascii="Times New Roman" w:eastAsia="宋体" w:hAnsi="Times New Roman" w:cs="Times New Roman"/>
      <w:kern w:val="2"/>
      <w:sz w:val="24"/>
      <w:szCs w:val="24"/>
      <w:lang w:val="en-US" w:eastAsia="zh-CN" w:bidi="ar-SA"/>
    </w:rPr>
  </w:style>
  <w:style w:type="character" w:customStyle="1" w:styleId="CharCharCharCharCharCharChar3">
    <w:name w:val="自定义正文 Char Char Char Char Char Char Char"/>
    <w:qFormat/>
    <w:rPr>
      <w:rFonts w:ascii="Times New Roman" w:eastAsia="宋体" w:hAnsi="Times New Roman" w:cs="Times New Roman"/>
      <w:position w:val="-28"/>
      <w:sz w:val="28"/>
      <w:lang w:val="en-US" w:eastAsia="zh-CN" w:bidi="ar-SA"/>
    </w:rPr>
  </w:style>
  <w:style w:type="character" w:customStyle="1" w:styleId="052Char">
    <w:name w:val="正文 + 段前: 0.5 行 + 首行缩进:  2 字符 Char"/>
    <w:link w:val="052"/>
    <w:qFormat/>
    <w:rPr>
      <w:rFonts w:ascii="宋体" w:eastAsiaTheme="minorEastAsia" w:hAnsi="仿宋_GB2312" w:cs="宋体"/>
      <w:bCs/>
      <w:kern w:val="21"/>
      <w:szCs w:val="21"/>
      <w:lang w:val="en-US" w:eastAsia="zh-CN" w:bidi="ar-SA"/>
    </w:rPr>
  </w:style>
  <w:style w:type="paragraph" w:customStyle="1" w:styleId="052">
    <w:name w:val="正文 + 段前: 0.5 行 + 首行缩进:  2 字符"/>
    <w:basedOn w:val="af1"/>
    <w:link w:val="052Char"/>
    <w:qFormat/>
    <w:pPr>
      <w:spacing w:beforeLines="50" w:line="360" w:lineRule="exact"/>
      <w:ind w:firstLineChars="200" w:firstLine="420"/>
    </w:pPr>
    <w:rPr>
      <w:rFonts w:ascii="宋体" w:eastAsiaTheme="minorEastAsia" w:hAnsi="仿宋_GB2312" w:cs="宋体"/>
      <w:bCs/>
      <w:kern w:val="21"/>
      <w:szCs w:val="21"/>
    </w:rPr>
  </w:style>
  <w:style w:type="character" w:customStyle="1" w:styleId="CharCharffff">
    <w:name w:val="报告表正文 Char Char"/>
    <w:qFormat/>
    <w:locked/>
    <w:rPr>
      <w:rFonts w:ascii="Times New Roman" w:eastAsia="宋体" w:hAnsi="Times New Roman" w:cs="Times New Roman"/>
      <w:sz w:val="24"/>
      <w:lang w:val="en-US" w:eastAsia="zh-CN" w:bidi="ar-SA"/>
    </w:rPr>
  </w:style>
  <w:style w:type="character" w:customStyle="1" w:styleId="Charffffff">
    <w:name w:val="我的正文 Char"/>
    <w:qFormat/>
    <w:rPr>
      <w:rFonts w:ascii="Times New Roman" w:eastAsia="宋体" w:hAnsi="Times New Roman" w:cs="Times New Roman"/>
      <w:kern w:val="2"/>
      <w:sz w:val="24"/>
      <w:lang w:val="en-US" w:eastAsia="zh-CN" w:bidi="ar-SA"/>
    </w:rPr>
  </w:style>
  <w:style w:type="character" w:customStyle="1" w:styleId="f91">
    <w:name w:val="f91"/>
    <w:qFormat/>
    <w:rPr>
      <w:rFonts w:ascii="Arial Black" w:eastAsia="Times New Roman" w:hAnsi="Arial Black" w:cs="Times New Roman"/>
      <w:sz w:val="18"/>
      <w:u w:val="none"/>
      <w:lang w:val="en-US" w:eastAsia="en-US" w:bidi="ar-SA"/>
    </w:rPr>
  </w:style>
  <w:style w:type="character" w:customStyle="1" w:styleId="special-symbol">
    <w:name w:val="special-symbol"/>
    <w:qFormat/>
    <w:rPr>
      <w:rFonts w:ascii="Arial" w:eastAsia="宋体" w:hAnsi="Arial" w:cs="Arial" w:hint="eastAsia"/>
      <w:lang w:val="en-US" w:eastAsia="zh-CN" w:bidi="ar-SA"/>
    </w:rPr>
  </w:style>
  <w:style w:type="character" w:customStyle="1" w:styleId="Char2d">
    <w:name w:val="小四+首行缩进 Char2"/>
    <w:link w:val="affffffffffff4"/>
    <w:qFormat/>
    <w:locked/>
    <w:rPr>
      <w:rFonts w:ascii="宋体" w:eastAsiaTheme="minorEastAsia" w:hAnsi="宋体" w:cstheme="minorBidi"/>
      <w:sz w:val="24"/>
      <w:szCs w:val="22"/>
      <w:lang w:val="en-US" w:eastAsia="zh-CN" w:bidi="ar-SA"/>
    </w:rPr>
  </w:style>
  <w:style w:type="paragraph" w:customStyle="1" w:styleId="affffffffffff4">
    <w:name w:val="小四+首行缩进"/>
    <w:basedOn w:val="af1"/>
    <w:link w:val="Char2d"/>
    <w:qFormat/>
    <w:pPr>
      <w:adjustRightInd w:val="0"/>
      <w:spacing w:line="360" w:lineRule="auto"/>
      <w:ind w:firstLine="482"/>
    </w:pPr>
    <w:rPr>
      <w:rFonts w:ascii="宋体" w:eastAsiaTheme="minorEastAsia" w:hAnsi="宋体"/>
      <w:sz w:val="24"/>
    </w:rPr>
  </w:style>
  <w:style w:type="character" w:customStyle="1" w:styleId="2Char23">
    <w:name w:val="标题 2 Char2"/>
    <w:qFormat/>
    <w:rPr>
      <w:rFonts w:ascii="Times New Roman" w:eastAsia="宋体" w:hAnsi="Times New Roman" w:cs="Times New Roman"/>
      <w:b/>
      <w:kern w:val="2"/>
      <w:sz w:val="24"/>
      <w:szCs w:val="30"/>
      <w:lang w:val="en-US" w:eastAsia="zh-CN" w:bidi="ar-SA"/>
    </w:rPr>
  </w:style>
  <w:style w:type="character" w:customStyle="1" w:styleId="CharCharCharCharCharCharCharCharCharChar">
    <w:name w:val="报告书正文 Char Char Char Char Char Char Char Char Char Char"/>
    <w:qFormat/>
    <w:rPr>
      <w:rFonts w:ascii="宋体" w:eastAsia="宋体" w:hAnsi="Times New Roman" w:cs="Times New Roman"/>
      <w:kern w:val="2"/>
      <w:sz w:val="24"/>
      <w:lang w:val="en-US" w:eastAsia="zh-CN" w:bidi="ar-SA"/>
    </w:rPr>
  </w:style>
  <w:style w:type="character" w:customStyle="1" w:styleId="Charffffff0">
    <w:name w:val="标题二 Char"/>
    <w:link w:val="affffffffffff5"/>
    <w:qFormat/>
    <w:rPr>
      <w:rFonts w:asciiTheme="minorHAnsi" w:eastAsia="黑体" w:hAnsiTheme="minorHAnsi" w:cstheme="minorBidi"/>
      <w:sz w:val="28"/>
      <w:szCs w:val="21"/>
      <w:lang w:val="en-US" w:eastAsia="zh-CN" w:bidi="ar-SA"/>
    </w:rPr>
  </w:style>
  <w:style w:type="paragraph" w:customStyle="1" w:styleId="affffffffffff5">
    <w:name w:val="标题二"/>
    <w:basedOn w:val="af1"/>
    <w:next w:val="af1"/>
    <w:link w:val="Charffffff0"/>
    <w:qFormat/>
    <w:pPr>
      <w:spacing w:beforeLines="50" w:before="50" w:afterLines="50" w:after="50" w:line="460" w:lineRule="exact"/>
      <w:outlineLvl w:val="1"/>
    </w:pPr>
    <w:rPr>
      <w:rFonts w:asciiTheme="minorHAnsi" w:eastAsia="黑体" w:hAnsiTheme="minorHAnsi"/>
      <w:sz w:val="28"/>
      <w:szCs w:val="21"/>
    </w:rPr>
  </w:style>
  <w:style w:type="character" w:customStyle="1" w:styleId="CharCharffff0">
    <w:name w:val="表格四号 Char Char"/>
    <w:link w:val="affffffffffff6"/>
    <w:qFormat/>
    <w:locked/>
    <w:rPr>
      <w:rFonts w:ascii="Verdana" w:eastAsiaTheme="minorEastAsia" w:hAnsi="Verdana" w:cstheme="minorBidi"/>
      <w:sz w:val="28"/>
      <w:szCs w:val="22"/>
      <w:lang w:val="en-US" w:eastAsia="zh-CN" w:bidi="ar-SA"/>
    </w:rPr>
  </w:style>
  <w:style w:type="paragraph" w:customStyle="1" w:styleId="affffffffffff6">
    <w:name w:val="表格四号"/>
    <w:basedOn w:val="af1"/>
    <w:link w:val="CharCharffff0"/>
    <w:qFormat/>
    <w:pPr>
      <w:widowControl/>
      <w:adjustRightInd w:val="0"/>
      <w:snapToGrid w:val="0"/>
      <w:jc w:val="center"/>
    </w:pPr>
    <w:rPr>
      <w:rFonts w:ascii="Verdana" w:eastAsiaTheme="minorEastAsia" w:hAnsi="Verdana"/>
      <w:sz w:val="28"/>
    </w:rPr>
  </w:style>
  <w:style w:type="character" w:customStyle="1" w:styleId="Charffffff1">
    <w:name w:val="表标题 Char"/>
    <w:link w:val="affffffffffff7"/>
    <w:qFormat/>
    <w:rPr>
      <w:rFonts w:ascii="Arial" w:eastAsiaTheme="minorEastAsia" w:hAnsi="Arial" w:cstheme="minorBidi"/>
      <w:b/>
      <w:sz w:val="24"/>
      <w:szCs w:val="22"/>
      <w:lang w:val="en-GB" w:eastAsia="zh-CN" w:bidi="ar-SA"/>
    </w:rPr>
  </w:style>
  <w:style w:type="paragraph" w:customStyle="1" w:styleId="affffffffffff7">
    <w:name w:val="表标题"/>
    <w:basedOn w:val="af1"/>
    <w:link w:val="Charffffff1"/>
    <w:qFormat/>
    <w:pPr>
      <w:tabs>
        <w:tab w:val="left" w:pos="3578"/>
      </w:tabs>
      <w:spacing w:beforeLines="50" w:afterLines="50" w:line="300" w:lineRule="auto"/>
      <w:ind w:left="3578" w:hanging="600"/>
      <w:jc w:val="center"/>
    </w:pPr>
    <w:rPr>
      <w:rFonts w:ascii="Arial" w:eastAsiaTheme="minorEastAsia" w:hAnsi="Arial"/>
      <w:b/>
      <w:sz w:val="24"/>
      <w:lang w:val="en-GB"/>
    </w:rPr>
  </w:style>
  <w:style w:type="character" w:customStyle="1" w:styleId="CharCharChar1CharCharCharCharCharCharCharCharChar">
    <w:name w:val="正文文本最新 Char Char Char1 Char Char Char Char Char Char Char Char Char"/>
    <w:qFormat/>
    <w:rPr>
      <w:rFonts w:ascii="Arial Black" w:eastAsia="Times New Roman" w:hAnsi="Arial Black" w:cs="Times New Roman"/>
      <w:b/>
      <w:kern w:val="2"/>
      <w:sz w:val="24"/>
      <w:lang w:val="en-US" w:eastAsia="zh-CN" w:bidi="ar-SA"/>
    </w:rPr>
  </w:style>
  <w:style w:type="character" w:customStyle="1" w:styleId="Charffffff2">
    <w:name w:val="我的 Char"/>
    <w:link w:val="affffffffffff8"/>
    <w:qFormat/>
    <w:rPr>
      <w:rFonts w:ascii="Ti" w:eastAsiaTheme="minorEastAsia" w:hAnsi="Ti" w:cstheme="minorBidi"/>
      <w:sz w:val="24"/>
      <w:lang w:val="en-US" w:eastAsia="zh-CN" w:bidi="ar-SA"/>
    </w:rPr>
  </w:style>
  <w:style w:type="paragraph" w:customStyle="1" w:styleId="affffffffffff8">
    <w:name w:val="我的"/>
    <w:basedOn w:val="af1"/>
    <w:link w:val="Charffffff2"/>
    <w:qFormat/>
    <w:pPr>
      <w:snapToGrid w:val="0"/>
      <w:spacing w:line="560" w:lineRule="exact"/>
      <w:ind w:firstLineChars="200" w:firstLine="480"/>
    </w:pPr>
    <w:rPr>
      <w:rFonts w:ascii="Ti" w:eastAsiaTheme="minorEastAsia" w:hAnsi="Ti"/>
      <w:sz w:val="24"/>
      <w:szCs w:val="24"/>
    </w:rPr>
  </w:style>
  <w:style w:type="character" w:customStyle="1" w:styleId="DateChar">
    <w:name w:val="Date Char"/>
    <w:qFormat/>
    <w:locked/>
    <w:rPr>
      <w:rFonts w:ascii="Times New Roman" w:eastAsia="宋体" w:hAnsi="Times New Roman" w:cs="Times New Roman"/>
      <w:kern w:val="2"/>
      <w:sz w:val="24"/>
      <w:lang w:val="en-US" w:eastAsia="zh-CN" w:bidi="ar-SA"/>
    </w:rPr>
  </w:style>
  <w:style w:type="character" w:customStyle="1" w:styleId="CharChar100">
    <w:name w:val="Char Char10"/>
    <w:qFormat/>
    <w:locked/>
    <w:rPr>
      <w:rFonts w:ascii="Cambria" w:eastAsia="宋体" w:hAnsi="Cambria" w:cs="Times New Roman"/>
      <w:b/>
      <w:kern w:val="28"/>
      <w:sz w:val="32"/>
      <w:lang w:val="en-US" w:eastAsia="zh-CN" w:bidi="ar-SA"/>
    </w:rPr>
  </w:style>
  <w:style w:type="character" w:customStyle="1" w:styleId="22Char0">
    <w:name w:val="正22 Char"/>
    <w:qFormat/>
    <w:locked/>
    <w:rPr>
      <w:rFonts w:ascii="Arial Narrow" w:eastAsia="宋体" w:hAnsi="Arial Narrow" w:cs="宋体"/>
      <w:kern w:val="2"/>
      <w:sz w:val="28"/>
      <w:lang w:val="en-US" w:eastAsia="zh-CN" w:bidi="ar-SA"/>
    </w:rPr>
  </w:style>
  <w:style w:type="character" w:customStyle="1" w:styleId="CharChar130">
    <w:name w:val="Char Char13"/>
    <w:qFormat/>
    <w:locked/>
    <w:rPr>
      <w:rFonts w:ascii="Courier New" w:eastAsia="宋体" w:hAnsi="Courier New" w:cs="Courier New"/>
      <w:sz w:val="24"/>
      <w:szCs w:val="24"/>
      <w:lang w:val="en-US" w:eastAsia="zh-CN" w:bidi="ar-SA"/>
    </w:rPr>
  </w:style>
  <w:style w:type="character" w:customStyle="1" w:styleId="858D7CFB-ED40-4347-BF05-701D383B685F3">
    <w:name w:val="纯文本[858D7CFB-ED40-4347-BF05-701D383B685F]3"/>
    <w:qFormat/>
    <w:rPr>
      <w:rFonts w:ascii="宋体" w:eastAsia="宋体" w:hAnsi="宋体" w:cs="Times New Roman"/>
      <w:sz w:val="24"/>
      <w:lang w:val="en-US" w:eastAsia="zh-CN" w:bidi="ar-SA"/>
    </w:rPr>
  </w:style>
  <w:style w:type="character" w:customStyle="1" w:styleId="Char1fd">
    <w:name w:val="普通文字 Char1"/>
    <w:qFormat/>
    <w:rPr>
      <w:rFonts w:ascii="宋体" w:eastAsia="宋体" w:hAnsi="Courier New" w:cs="Courier New"/>
      <w:kern w:val="2"/>
      <w:sz w:val="21"/>
      <w:szCs w:val="21"/>
      <w:lang w:val="en-US" w:eastAsia="zh-CN" w:bidi="ar-SA"/>
    </w:rPr>
  </w:style>
  <w:style w:type="character" w:customStyle="1" w:styleId="style101">
    <w:name w:val="style101"/>
    <w:qFormat/>
    <w:rPr>
      <w:rFonts w:ascii="Times New Roman" w:eastAsia="宋体" w:hAnsi="Times New Roman" w:cs="Times New Roman"/>
      <w:b/>
      <w:bCs/>
      <w:color w:val="FF0000"/>
      <w:lang w:val="en-US" w:eastAsia="zh-CN" w:bidi="ar-SA"/>
    </w:rPr>
  </w:style>
  <w:style w:type="character" w:customStyle="1" w:styleId="CharCharffff1">
    <w:name w:val="内容 Char Char"/>
    <w:link w:val="affffffffffff9"/>
    <w:qFormat/>
    <w:rPr>
      <w:rFonts w:asciiTheme="minorHAnsi" w:eastAsiaTheme="minorEastAsia" w:hAnsiTheme="minorHAnsi" w:cstheme="minorBidi"/>
      <w:sz w:val="24"/>
      <w:szCs w:val="22"/>
      <w:lang w:val="en-US" w:eastAsia="zh-CN" w:bidi="ar-SA"/>
    </w:rPr>
  </w:style>
  <w:style w:type="paragraph" w:customStyle="1" w:styleId="affffffffffff9">
    <w:name w:val="内容"/>
    <w:basedOn w:val="af1"/>
    <w:link w:val="CharCharffff1"/>
    <w:qFormat/>
    <w:pPr>
      <w:spacing w:line="480" w:lineRule="exact"/>
      <w:ind w:firstLineChars="200" w:firstLine="200"/>
    </w:pPr>
    <w:rPr>
      <w:rFonts w:asciiTheme="minorHAnsi" w:eastAsiaTheme="minorEastAsia" w:hAnsiTheme="minorHAnsi"/>
      <w:sz w:val="24"/>
    </w:rPr>
  </w:style>
  <w:style w:type="character" w:customStyle="1" w:styleId="Charffffff3">
    <w:name w:val="表格字体 Char"/>
    <w:link w:val="affffffffffffa"/>
    <w:qFormat/>
    <w:rPr>
      <w:rFonts w:ascii="Times New Roman" w:eastAsiaTheme="minorEastAsia" w:hAnsi="Times New Roman" w:cs="Times New Roman"/>
      <w:sz w:val="18"/>
      <w:lang w:val="en-US" w:eastAsia="zh-CN" w:bidi="ar-SA"/>
    </w:rPr>
  </w:style>
  <w:style w:type="paragraph" w:customStyle="1" w:styleId="affffffffffffa">
    <w:name w:val="表格字体"/>
    <w:basedOn w:val="afffffffffa"/>
    <w:link w:val="Charffffff3"/>
    <w:qFormat/>
    <w:pPr>
      <w:overflowPunct/>
      <w:autoSpaceDE/>
      <w:autoSpaceDN/>
      <w:adjustRightInd/>
      <w:snapToGrid/>
      <w:spacing w:line="320" w:lineRule="exact"/>
    </w:pPr>
    <w:rPr>
      <w:rFonts w:eastAsiaTheme="minorEastAsia"/>
      <w:b w:val="0"/>
      <w:sz w:val="18"/>
      <w:lang w:val="en-US"/>
    </w:rPr>
  </w:style>
  <w:style w:type="character" w:customStyle="1" w:styleId="12block1">
    <w:name w:val="12block1"/>
    <w:qFormat/>
    <w:rPr>
      <w:rFonts w:ascii="宋体" w:eastAsia="宋体" w:hAnsi="宋体" w:cs="Times New Roman"/>
      <w:color w:val="000000"/>
      <w:spacing w:val="0"/>
      <w:sz w:val="18"/>
      <w:lang w:val="en-US" w:eastAsia="zh-CN" w:bidi="ar-SA"/>
    </w:rPr>
  </w:style>
  <w:style w:type="character" w:customStyle="1" w:styleId="CharChar181">
    <w:name w:val="Char Char181"/>
    <w:qFormat/>
    <w:locked/>
    <w:rPr>
      <w:rFonts w:ascii="Times New Roman" w:eastAsia="宋体" w:hAnsi="Times New Roman" w:cs="Times New Roman"/>
      <w:kern w:val="2"/>
      <w:sz w:val="24"/>
      <w:szCs w:val="21"/>
      <w:lang w:val="en-US" w:eastAsia="zh-CN" w:bidi="ar-SA"/>
    </w:rPr>
  </w:style>
  <w:style w:type="character" w:customStyle="1" w:styleId="1CharCharChar1">
    <w:name w:val="样式1 Char Char Char"/>
    <w:qFormat/>
    <w:rPr>
      <w:rFonts w:ascii="Times New Roman" w:eastAsia="宋体" w:hAnsi="Times New Roman" w:cs="Times New Roman"/>
      <w:kern w:val="2"/>
      <w:sz w:val="24"/>
      <w:lang w:val="en-US" w:eastAsia="zh-CN" w:bidi="ar-SA"/>
    </w:rPr>
  </w:style>
  <w:style w:type="character" w:customStyle="1" w:styleId="1ff7">
    <w:name w:val="纯文本 字符1"/>
    <w:qFormat/>
    <w:rPr>
      <w:rFonts w:ascii="宋体" w:eastAsia="宋体" w:hAnsi="Courier New" w:cs="Courier New"/>
      <w:kern w:val="2"/>
      <w:sz w:val="21"/>
      <w:szCs w:val="21"/>
      <w:lang w:val="en-US" w:eastAsia="zh-CN" w:bidi="ar-SA"/>
    </w:rPr>
  </w:style>
  <w:style w:type="character" w:customStyle="1" w:styleId="2CharChar10">
    <w:name w:val="正文文字缩进 2 Char Char1"/>
    <w:qFormat/>
    <w:locked/>
    <w:rPr>
      <w:rFonts w:ascii="仿宋_GB2312" w:eastAsia="仿宋_GB2312" w:hAnsi="Times New Roman" w:cs="Times New Roman"/>
      <w:kern w:val="2"/>
      <w:sz w:val="28"/>
      <w:szCs w:val="24"/>
      <w:lang w:val="en-US" w:eastAsia="zh-CN" w:bidi="ar-SA"/>
    </w:rPr>
  </w:style>
  <w:style w:type="character" w:customStyle="1" w:styleId="CharChar25">
    <w:name w:val="Char Char25"/>
    <w:qFormat/>
    <w:locked/>
    <w:rPr>
      <w:rFonts w:ascii="Times New Roman" w:eastAsia="宋体" w:hAnsi="Times New Roman" w:cs="Times New Roman"/>
      <w:kern w:val="2"/>
      <w:sz w:val="18"/>
      <w:szCs w:val="18"/>
      <w:lang w:val="en-US" w:eastAsia="zh-CN" w:bidi="ar-SA"/>
    </w:rPr>
  </w:style>
  <w:style w:type="character" w:customStyle="1" w:styleId="GB23120">
    <w:name w:val="样式 (西文) 仿宋_GB2312 小四"/>
    <w:qFormat/>
    <w:rPr>
      <w:rFonts w:ascii="仿宋_GB2312" w:eastAsia="宋体" w:hAnsi="仿宋_GB2312" w:cs="Times New Roman"/>
      <w:sz w:val="24"/>
      <w:lang w:val="en-US" w:eastAsia="zh-CN" w:bidi="ar-SA"/>
    </w:rPr>
  </w:style>
  <w:style w:type="character" w:customStyle="1" w:styleId="Charffffff4">
    <w:name w:val="正式正文 Char"/>
    <w:link w:val="affffffffffffb"/>
    <w:qFormat/>
    <w:rPr>
      <w:rFonts w:asciiTheme="minorHAnsi" w:eastAsiaTheme="minorEastAsia" w:hAnsiTheme="minorHAnsi" w:cstheme="minorBidi"/>
      <w:sz w:val="24"/>
      <w:lang w:val="en-US" w:eastAsia="zh-CN" w:bidi="ar-SA"/>
    </w:rPr>
  </w:style>
  <w:style w:type="paragraph" w:customStyle="1" w:styleId="affffffffffffb">
    <w:name w:val="正式正文"/>
    <w:basedOn w:val="af1"/>
    <w:link w:val="Charffffff4"/>
    <w:qFormat/>
    <w:pPr>
      <w:spacing w:line="360" w:lineRule="auto"/>
      <w:ind w:firstLine="480"/>
    </w:pPr>
    <w:rPr>
      <w:rFonts w:asciiTheme="minorHAnsi" w:eastAsiaTheme="minorEastAsia" w:hAnsiTheme="minorHAnsi"/>
      <w:sz w:val="24"/>
      <w:szCs w:val="24"/>
    </w:rPr>
  </w:style>
  <w:style w:type="character" w:customStyle="1" w:styleId="fontstrikethrough">
    <w:name w:val="fontstrikethrough"/>
    <w:qFormat/>
    <w:rPr>
      <w:rFonts w:ascii="Times New Roman" w:eastAsia="宋体" w:hAnsi="Times New Roman" w:cs="Times New Roman"/>
      <w:strike/>
      <w:lang w:val="en-US" w:eastAsia="zh-CN" w:bidi="ar-SA"/>
    </w:rPr>
  </w:style>
  <w:style w:type="character" w:customStyle="1" w:styleId="1ff8">
    <w:name w:val="日期 字符1"/>
    <w:qFormat/>
    <w:rPr>
      <w:rFonts w:ascii="Times New Roman" w:eastAsia="宋体" w:hAnsi="Times New Roman" w:cs="Times New Roman"/>
      <w:kern w:val="2"/>
      <w:sz w:val="21"/>
      <w:szCs w:val="24"/>
      <w:lang w:val="en-US" w:eastAsia="zh-CN" w:bidi="ar-SA"/>
    </w:rPr>
  </w:style>
  <w:style w:type="character" w:customStyle="1" w:styleId="17CharCharCharCharCharChar">
    <w:name w:val="样式17 Char Char Char Char Char Char"/>
    <w:qFormat/>
    <w:rPr>
      <w:rFonts w:ascii="Times New Roman" w:eastAsia="华文中宋" w:hAnsi="Times New Roman" w:cs="Times New Roman"/>
      <w:kern w:val="2"/>
      <w:sz w:val="24"/>
      <w:szCs w:val="24"/>
      <w:lang w:val="en-US" w:eastAsia="zh-CN" w:bidi="ar-SA"/>
    </w:rPr>
  </w:style>
  <w:style w:type="character" w:customStyle="1" w:styleId="bdsmore1">
    <w:name w:val="bds_more1"/>
    <w:qFormat/>
    <w:rPr>
      <w:rFonts w:ascii="宋体 ! important" w:eastAsia="宋体 ! important" w:hAnsi="宋体 ! important" w:cs="宋体 ! important"/>
      <w:color w:val="454545"/>
      <w:sz w:val="18"/>
      <w:szCs w:val="18"/>
      <w:lang w:val="en-US" w:eastAsia="zh-CN" w:bidi="ar-SA"/>
    </w:rPr>
  </w:style>
  <w:style w:type="character" w:customStyle="1" w:styleId="1Charf3">
    <w:name w:val="我的正文1 Char"/>
    <w:link w:val="1ff9"/>
    <w:qFormat/>
    <w:rPr>
      <w:rFonts w:ascii="宋体" w:eastAsiaTheme="minorEastAsia" w:hAnsi="宋体" w:cs="宋体"/>
      <w:b/>
      <w:color w:val="000000"/>
      <w:kern w:val="2"/>
      <w:sz w:val="21"/>
      <w:szCs w:val="21"/>
      <w:lang w:val="en-US" w:eastAsia="zh-CN" w:bidi="ar-SA"/>
    </w:rPr>
  </w:style>
  <w:style w:type="paragraph" w:customStyle="1" w:styleId="1ff9">
    <w:name w:val="我的正文1"/>
    <w:link w:val="1Charf3"/>
    <w:qFormat/>
    <w:pPr>
      <w:adjustRightInd w:val="0"/>
      <w:snapToGrid w:val="0"/>
      <w:spacing w:line="360" w:lineRule="auto"/>
      <w:ind w:firstLineChars="850" w:firstLine="1792"/>
      <w:jc w:val="both"/>
    </w:pPr>
    <w:rPr>
      <w:rFonts w:ascii="宋体" w:hAnsi="宋体" w:cs="宋体"/>
      <w:b/>
      <w:color w:val="000000"/>
      <w:kern w:val="2"/>
      <w:sz w:val="21"/>
      <w:szCs w:val="21"/>
    </w:rPr>
  </w:style>
  <w:style w:type="character" w:customStyle="1" w:styleId="ttitle1">
    <w:name w:val="ttitle1"/>
    <w:qFormat/>
    <w:rPr>
      <w:rFonts w:ascii="Times New Roman" w:eastAsia="宋体" w:hAnsi="Times New Roman" w:cs="Times New Roman"/>
      <w:spacing w:val="120"/>
      <w:sz w:val="21"/>
      <w:lang w:val="en-US" w:eastAsia="zh-CN" w:bidi="ar-SA"/>
    </w:rPr>
  </w:style>
  <w:style w:type="character" w:customStyle="1" w:styleId="Charffffff5">
    <w:name w:val="电子邮件签名 Char"/>
    <w:qFormat/>
    <w:locked/>
    <w:rPr>
      <w:rFonts w:ascii="Verdana" w:eastAsia="宋体" w:hAnsi="Verdana" w:cs="Times New Roman"/>
      <w:sz w:val="32"/>
      <w:lang w:val="en-US" w:eastAsia="zh-CN" w:bidi="ar-SA"/>
    </w:rPr>
  </w:style>
  <w:style w:type="character" w:customStyle="1" w:styleId="22CharChar0">
    <w:name w:val="样式 题注 + 首行缩进:  2 字符2 Char Char"/>
    <w:link w:val="223"/>
    <w:qFormat/>
    <w:locked/>
    <w:rPr>
      <w:rFonts w:ascii="黑体" w:eastAsia="宋体" w:hAnsi="宋体" w:cs="Times New Roman"/>
      <w:sz w:val="24"/>
      <w:lang w:val="en-US" w:eastAsia="zh-CN" w:bidi="ar-SA"/>
    </w:rPr>
  </w:style>
  <w:style w:type="paragraph" w:customStyle="1" w:styleId="223">
    <w:name w:val="样式 题注 + 首行缩进:  2 字符2"/>
    <w:basedOn w:val="aff2"/>
    <w:link w:val="22CharChar0"/>
    <w:qFormat/>
    <w:pPr>
      <w:keepNext/>
      <w:widowControl/>
      <w:adjustRightInd w:val="0"/>
      <w:snapToGrid w:val="0"/>
      <w:jc w:val="center"/>
    </w:pPr>
    <w:rPr>
      <w:rFonts w:ascii="黑体" w:hAnsi="宋体"/>
      <w:sz w:val="24"/>
    </w:rPr>
  </w:style>
  <w:style w:type="character" w:customStyle="1" w:styleId="yxMark">
    <w:name w:val="yxMark"/>
    <w:qFormat/>
    <w:rPr>
      <w:rFonts w:ascii="Courier New" w:eastAsia="宋体" w:hAnsi="Courier New" w:cs="Times New Roman"/>
      <w:vanish/>
      <w:color w:val="800000"/>
      <w:vertAlign w:val="subscript"/>
      <w:lang w:val="en-US" w:eastAsia="zh-CN" w:bidi="ar-SA"/>
    </w:rPr>
  </w:style>
  <w:style w:type="character" w:customStyle="1" w:styleId="CharChar80">
    <w:name w:val="Char Char8"/>
    <w:qFormat/>
    <w:locked/>
    <w:rPr>
      <w:rFonts w:ascii="宋体" w:eastAsia="宋体" w:hAnsi="宋体" w:cs="Times New Roman"/>
      <w:kern w:val="2"/>
      <w:sz w:val="21"/>
      <w:szCs w:val="24"/>
      <w:lang w:val="en-US" w:eastAsia="zh-CN" w:bidi="ar-SA"/>
    </w:rPr>
  </w:style>
  <w:style w:type="character" w:customStyle="1" w:styleId="33H3h33rdlevel4ArialCharChar">
    <w:name w:val="样式 标题 3小标题小节标题标题3H3h33rd level第二层条标题4 + Arial Char Char"/>
    <w:link w:val="33H3h33rdlevel4Arial"/>
    <w:qFormat/>
    <w:locked/>
    <w:rPr>
      <w:rFonts w:ascii="Courier New" w:eastAsiaTheme="minorEastAsia" w:hAnsi="Courier New" w:cstheme="minorBidi"/>
      <w:color w:val="000000"/>
      <w:sz w:val="30"/>
      <w:szCs w:val="22"/>
      <w:lang w:val="en-US" w:eastAsia="zh-CN" w:bidi="ar-SA"/>
    </w:rPr>
  </w:style>
  <w:style w:type="paragraph" w:customStyle="1" w:styleId="33H3h33rdlevel4Arial">
    <w:name w:val="样式 标题 3小标题小节标题标题3H3h33rd level第二层条标题4 + Arial"/>
    <w:basedOn w:val="31"/>
    <w:link w:val="33H3h33rdlevel4ArialCharChar"/>
    <w:qFormat/>
    <w:pPr>
      <w:widowControl/>
      <w:tabs>
        <w:tab w:val="left" w:pos="1050"/>
      </w:tabs>
      <w:adjustRightInd w:val="0"/>
      <w:spacing w:before="120" w:after="120" w:line="360" w:lineRule="auto"/>
      <w:ind w:left="851" w:hanging="851"/>
      <w:jc w:val="left"/>
      <w:textAlignment w:val="baseline"/>
    </w:pPr>
    <w:rPr>
      <w:rFonts w:ascii="Courier New" w:eastAsiaTheme="minorEastAsia" w:hAnsi="Courier New" w:cstheme="minorBidi"/>
      <w:bCs w:val="0"/>
      <w:color w:val="000000"/>
      <w:sz w:val="30"/>
      <w:szCs w:val="22"/>
    </w:rPr>
  </w:style>
  <w:style w:type="character" w:customStyle="1" w:styleId="111Char0">
    <w:name w:val="1.1.1 Char"/>
    <w:link w:val="1111"/>
    <w:qFormat/>
    <w:locked/>
    <w:rPr>
      <w:rFonts w:ascii="黑体" w:eastAsia="黑体" w:hAnsi="黑体" w:cstheme="minorBidi"/>
      <w:b/>
      <w:sz w:val="28"/>
      <w:szCs w:val="22"/>
      <w:lang w:val="en-US" w:eastAsia="zh-CN" w:bidi="ar-SA"/>
    </w:rPr>
  </w:style>
  <w:style w:type="paragraph" w:customStyle="1" w:styleId="1111">
    <w:name w:val="1.1.1"/>
    <w:basedOn w:val="af1"/>
    <w:link w:val="111Char0"/>
    <w:qFormat/>
    <w:pPr>
      <w:spacing w:beforeLines="50" w:afterLines="50" w:line="500" w:lineRule="exact"/>
      <w:ind w:firstLineChars="200" w:firstLine="200"/>
    </w:pPr>
    <w:rPr>
      <w:rFonts w:ascii="黑体" w:eastAsia="黑体" w:hAnsi="黑体"/>
      <w:b/>
      <w:sz w:val="28"/>
    </w:rPr>
  </w:style>
  <w:style w:type="character" w:customStyle="1" w:styleId="Char2e">
    <w:name w:val="正文（首行缩进两字） Char2"/>
    <w:link w:val="4b"/>
    <w:qFormat/>
    <w:rPr>
      <w:rFonts w:asciiTheme="minorHAnsi" w:eastAsia="宋体" w:hAnsiTheme="minorHAnsi" w:cstheme="minorBidi"/>
      <w:kern w:val="2"/>
      <w:sz w:val="21"/>
      <w:szCs w:val="22"/>
      <w:lang w:val="en-US" w:eastAsia="zh-CN" w:bidi="ar-SA"/>
    </w:rPr>
  </w:style>
  <w:style w:type="paragraph" w:customStyle="1" w:styleId="4b">
    <w:name w:val="标题4"/>
    <w:link w:val="Char2e"/>
    <w:qFormat/>
    <w:pPr>
      <w:spacing w:before="120" w:after="120" w:line="413" w:lineRule="auto"/>
      <w:jc w:val="both"/>
      <w:outlineLvl w:val="3"/>
    </w:pPr>
    <w:rPr>
      <w:rFonts w:eastAsia="宋体"/>
      <w:kern w:val="2"/>
      <w:sz w:val="21"/>
      <w:szCs w:val="22"/>
    </w:rPr>
  </w:style>
  <w:style w:type="character" w:customStyle="1" w:styleId="621Char">
    <w:name w:val="样式 标题 6 + 自动设置 首行缩进:  2 字符1 Char"/>
    <w:link w:val="621"/>
    <w:qFormat/>
    <w:rPr>
      <w:rFonts w:asciiTheme="minorHAnsi" w:eastAsiaTheme="minorEastAsia" w:hAnsiTheme="minorHAnsi" w:cs="宋体"/>
      <w:color w:val="000000"/>
      <w:spacing w:val="10"/>
      <w:sz w:val="28"/>
      <w:szCs w:val="28"/>
      <w:lang w:val="en-US" w:eastAsia="zh-CN" w:bidi="ar-SA"/>
    </w:rPr>
  </w:style>
  <w:style w:type="paragraph" w:customStyle="1" w:styleId="621">
    <w:name w:val="样式 标题 6 + 自动设置 首行缩进:  2 字符1"/>
    <w:basedOn w:val="6"/>
    <w:link w:val="621Char"/>
    <w:qFormat/>
    <w:pPr>
      <w:keepLines w:val="0"/>
      <w:numPr>
        <w:ilvl w:val="0"/>
        <w:numId w:val="0"/>
      </w:numPr>
      <w:tabs>
        <w:tab w:val="clear" w:pos="1152"/>
      </w:tabs>
      <w:adjustRightInd w:val="0"/>
      <w:snapToGrid w:val="0"/>
      <w:spacing w:before="0" w:after="0" w:line="360" w:lineRule="auto"/>
      <w:ind w:firstLineChars="200" w:firstLine="600"/>
    </w:pPr>
    <w:rPr>
      <w:rFonts w:asciiTheme="minorHAnsi" w:eastAsiaTheme="minorEastAsia" w:hAnsiTheme="minorHAnsi" w:cs="宋体"/>
      <w:b w:val="0"/>
      <w:bCs w:val="0"/>
      <w:color w:val="000000"/>
      <w:spacing w:val="10"/>
      <w:sz w:val="28"/>
      <w:szCs w:val="28"/>
    </w:rPr>
  </w:style>
  <w:style w:type="character" w:customStyle="1" w:styleId="apple-style-span">
    <w:name w:val="apple-style-span"/>
    <w:basedOn w:val="af3"/>
    <w:qFormat/>
    <w:rPr>
      <w:rFonts w:ascii="Times New Roman" w:eastAsia="宋体" w:hAnsi="Times New Roman" w:cs="Times New Roman"/>
      <w:lang w:val="en-US" w:eastAsia="zh-CN" w:bidi="ar-SA"/>
    </w:rPr>
  </w:style>
  <w:style w:type="character" w:customStyle="1" w:styleId="3Char6">
    <w:name w:val="蒲标题3 Char"/>
    <w:link w:val="3f0"/>
    <w:qFormat/>
    <w:locked/>
    <w:rPr>
      <w:rFonts w:ascii="宋体" w:eastAsiaTheme="minorEastAsia" w:hAnsi="宋体" w:cstheme="minorBidi"/>
      <w:sz w:val="24"/>
      <w:szCs w:val="28"/>
      <w:lang w:val="en-US" w:eastAsia="zh-CN" w:bidi="ar-SA"/>
    </w:rPr>
  </w:style>
  <w:style w:type="paragraph" w:customStyle="1" w:styleId="3f0">
    <w:name w:val="蒲标题3"/>
    <w:basedOn w:val="31"/>
    <w:link w:val="3Char6"/>
    <w:qFormat/>
    <w:pPr>
      <w:autoSpaceDE w:val="0"/>
      <w:autoSpaceDN w:val="0"/>
      <w:adjustRightInd w:val="0"/>
      <w:snapToGrid w:val="0"/>
      <w:spacing w:before="0" w:after="0" w:line="360" w:lineRule="auto"/>
      <w:outlineLvl w:val="0"/>
    </w:pPr>
    <w:rPr>
      <w:rFonts w:ascii="宋体" w:eastAsiaTheme="minorEastAsia" w:hAnsi="宋体" w:cstheme="minorBidi"/>
      <w:sz w:val="24"/>
      <w:szCs w:val="28"/>
    </w:rPr>
  </w:style>
  <w:style w:type="character" w:customStyle="1" w:styleId="CharChar361">
    <w:name w:val="Char Char361"/>
    <w:qFormat/>
    <w:locked/>
    <w:rPr>
      <w:rFonts w:ascii="Times New Roman" w:eastAsia="宋体" w:hAnsi="Times New Roman" w:cs="Times New Roman"/>
      <w:b/>
      <w:kern w:val="2"/>
      <w:sz w:val="28"/>
      <w:lang w:val="en-US" w:eastAsia="zh-CN" w:bidi="ar-SA"/>
    </w:rPr>
  </w:style>
  <w:style w:type="character" w:customStyle="1" w:styleId="f241">
    <w:name w:val="f241"/>
    <w:qFormat/>
    <w:rPr>
      <w:rFonts w:ascii="Times New Roman" w:eastAsia="宋体" w:hAnsi="Times New Roman" w:cs="Times New Roman"/>
      <w:sz w:val="36"/>
      <w:szCs w:val="36"/>
      <w:lang w:val="en-US" w:eastAsia="zh-CN" w:bidi="ar-SA"/>
    </w:rPr>
  </w:style>
  <w:style w:type="character" w:customStyle="1" w:styleId="edri-AtitleChar1CharChar">
    <w:name w:val="edri-A title Char1 Char Char"/>
    <w:qFormat/>
    <w:rPr>
      <w:rFonts w:ascii="Arial Black" w:eastAsia="Times New Roman" w:hAnsi="Arial Black" w:cs="Times New Roman"/>
      <w:sz w:val="24"/>
      <w:lang w:val="en-US" w:eastAsia="zh-CN" w:bidi="ar-SA"/>
    </w:rPr>
  </w:style>
  <w:style w:type="character" w:customStyle="1" w:styleId="Charffffff6">
    <w:name w:val="内容 Char"/>
    <w:qFormat/>
    <w:rPr>
      <w:rFonts w:ascii="Times New Roman" w:eastAsia="宋体" w:hAnsi="Times New Roman" w:cs="Times New Roman"/>
      <w:kern w:val="2"/>
      <w:sz w:val="24"/>
      <w:lang w:val="en-US" w:eastAsia="zh-CN" w:bidi="ar-SA"/>
    </w:rPr>
  </w:style>
  <w:style w:type="character" w:customStyle="1" w:styleId="xybCharCharCharCharCharChar0">
    <w:name w:val="xyb自建正文 Char Char Char Char Char Char"/>
    <w:qFormat/>
    <w:rPr>
      <w:rFonts w:ascii="宋体" w:eastAsia="宋体" w:hAnsi="Times New Roman" w:cs="Times New Roman"/>
      <w:spacing w:val="-2"/>
      <w:kern w:val="2"/>
      <w:sz w:val="24"/>
      <w:lang w:val="en-US" w:eastAsia="zh-CN" w:bidi="ar-SA"/>
    </w:rPr>
  </w:style>
  <w:style w:type="character" w:customStyle="1" w:styleId="CharChar110">
    <w:name w:val="Char Char11"/>
    <w:qFormat/>
    <w:locked/>
    <w:rPr>
      <w:rFonts w:ascii="Times New Roman" w:eastAsia="宋体" w:hAnsi="Times New Roman" w:cs="Times New Roman"/>
      <w:kern w:val="2"/>
      <w:sz w:val="24"/>
      <w:lang w:val="en-US" w:eastAsia="zh-CN" w:bidi="ar-SA"/>
    </w:rPr>
  </w:style>
  <w:style w:type="character" w:customStyle="1" w:styleId="css1">
    <w:name w:val="css1"/>
    <w:qFormat/>
    <w:rPr>
      <w:rFonts w:ascii="Arial Black" w:eastAsia="Times New Roman" w:hAnsi="Arial Black" w:cs="Times New Roman"/>
      <w:sz w:val="20"/>
      <w:u w:val="none"/>
      <w:lang w:val="en-US" w:eastAsia="en-US" w:bidi="ar-SA"/>
    </w:rPr>
  </w:style>
  <w:style w:type="character" w:customStyle="1" w:styleId="Char2f">
    <w:name w:val="批注文字 Char2"/>
    <w:qFormat/>
    <w:rPr>
      <w:rFonts w:ascii="Times New Roman" w:eastAsia="宋体" w:hAnsi="Times New Roman" w:cs="Times New Roman"/>
      <w:kern w:val="2"/>
      <w:sz w:val="21"/>
      <w:szCs w:val="22"/>
      <w:lang w:val="en-US" w:eastAsia="zh-CN" w:bidi="ar-SA"/>
    </w:rPr>
  </w:style>
  <w:style w:type="character" w:customStyle="1" w:styleId="CharChar60">
    <w:name w:val="Char Char6"/>
    <w:qFormat/>
    <w:locked/>
    <w:rPr>
      <w:rFonts w:ascii="Arial" w:eastAsia="宋体" w:hAnsi="Arial" w:cs="Arial"/>
      <w:vanish/>
      <w:kern w:val="2"/>
      <w:sz w:val="16"/>
      <w:szCs w:val="16"/>
      <w:lang w:val="en-US" w:eastAsia="zh-CN" w:bidi="ar-SA"/>
    </w:rPr>
  </w:style>
  <w:style w:type="character" w:customStyle="1" w:styleId="CharCharCharCharCharCharChar4">
    <w:name w:val="报告书正文 Char Char Char Char Char Char Char"/>
    <w:qFormat/>
    <w:rPr>
      <w:rFonts w:ascii="宋体" w:eastAsia="宋体" w:hAnsi="Times New Roman" w:cs="Times New Roman"/>
      <w:kern w:val="2"/>
      <w:sz w:val="24"/>
      <w:lang w:val="en-US" w:eastAsia="zh-CN" w:bidi="ar-SA"/>
    </w:rPr>
  </w:style>
  <w:style w:type="character" w:customStyle="1" w:styleId="xybCharCharCharChar0">
    <w:name w:val="xyb自建表格名称 Char Char Char Char"/>
    <w:qFormat/>
    <w:rPr>
      <w:rFonts w:ascii="宋体" w:eastAsia="宋体" w:hAnsi="Times New Roman" w:cs="Times New Roman"/>
      <w:kern w:val="2"/>
      <w:sz w:val="24"/>
      <w:lang w:val="en-US" w:eastAsia="zh-CN" w:bidi="ar-SA"/>
    </w:rPr>
  </w:style>
  <w:style w:type="character" w:customStyle="1" w:styleId="CharCharCharf7">
    <w:name w:val="二章正文 Char Char Char"/>
    <w:qFormat/>
    <w:rPr>
      <w:rFonts w:ascii="宋体" w:eastAsia="宋体" w:hAnsi="Times New Roman" w:cs="Times New Roman"/>
      <w:kern w:val="2"/>
      <w:sz w:val="24"/>
      <w:lang w:val="en-US" w:eastAsia="zh-CN" w:bidi="ar-SA"/>
    </w:rPr>
  </w:style>
  <w:style w:type="character" w:customStyle="1" w:styleId="Char2f0">
    <w:name w:val="正文文本缩进 Char2"/>
    <w:qFormat/>
    <w:rPr>
      <w:rFonts w:ascii="Calibri" w:eastAsia="宋体" w:hAnsi="Calibri" w:cs="Times New Roman"/>
      <w:sz w:val="24"/>
      <w:lang w:val="en-US" w:eastAsia="zh-CN" w:bidi="ar-SA"/>
    </w:rPr>
  </w:style>
  <w:style w:type="character" w:customStyle="1" w:styleId="BodyTextChar">
    <w:name w:val="Body Text Char"/>
    <w:qFormat/>
    <w:locked/>
    <w:rPr>
      <w:rFonts w:ascii="Times New Roman" w:eastAsia="宋体" w:hAnsi="Times New Roman" w:cs="Times New Roman"/>
      <w:kern w:val="2"/>
      <w:sz w:val="21"/>
      <w:lang w:val="en-US" w:eastAsia="zh-CN" w:bidi="ar-SA"/>
    </w:rPr>
  </w:style>
  <w:style w:type="character" w:customStyle="1" w:styleId="2ff8">
    <w:name w:val="占位符文本2"/>
    <w:qFormat/>
    <w:rPr>
      <w:rFonts w:ascii="Times New Roman" w:eastAsia="黑体" w:hAnsi="Times New Roman" w:cs="Times New Roman"/>
      <w:b/>
      <w:color w:val="808080"/>
      <w:kern w:val="2"/>
      <w:sz w:val="21"/>
      <w:szCs w:val="22"/>
      <w:lang w:val="en-US" w:eastAsia="zh-CN" w:bidi="ar-SA"/>
    </w:rPr>
  </w:style>
  <w:style w:type="character" w:customStyle="1" w:styleId="CharCharffff2">
    <w:name w:val="报告书正文 Char Char"/>
    <w:link w:val="affffffffffffc"/>
    <w:qFormat/>
    <w:rPr>
      <w:rFonts w:asciiTheme="minorHAnsi" w:eastAsiaTheme="minorEastAsia" w:hAnsiTheme="minorHAnsi" w:cstheme="minorBidi"/>
      <w:sz w:val="24"/>
      <w:lang w:val="en-US" w:eastAsia="zh-CN" w:bidi="ar-SA"/>
    </w:rPr>
  </w:style>
  <w:style w:type="paragraph" w:customStyle="1" w:styleId="affffffffffffc">
    <w:name w:val="报告书正文"/>
    <w:basedOn w:val="af1"/>
    <w:link w:val="CharCharffff2"/>
    <w:qFormat/>
    <w:pPr>
      <w:spacing w:line="300" w:lineRule="auto"/>
      <w:ind w:firstLineChars="200" w:firstLine="480"/>
    </w:pPr>
    <w:rPr>
      <w:rFonts w:asciiTheme="minorHAnsi" w:eastAsiaTheme="minorEastAsia" w:hAnsiTheme="minorHAnsi"/>
      <w:sz w:val="24"/>
      <w:szCs w:val="24"/>
    </w:rPr>
  </w:style>
  <w:style w:type="character" w:customStyle="1" w:styleId="aaaaaaaaaaaaaChar">
    <w:name w:val="aaaaaaaaaaaaa Char"/>
    <w:link w:val="aaaaaaaaaaaaa"/>
    <w:qFormat/>
    <w:locked/>
    <w:rPr>
      <w:rFonts w:ascii="宋体" w:eastAsiaTheme="minorEastAsia" w:hAnsi="宋体" w:cstheme="minorBidi"/>
      <w:sz w:val="24"/>
      <w:lang w:val="en-US" w:eastAsia="zh-CN" w:bidi="ar-SA"/>
    </w:rPr>
  </w:style>
  <w:style w:type="paragraph" w:customStyle="1" w:styleId="aaaaaaaaaaaaa">
    <w:name w:val="aaaaaaaaaaaaa"/>
    <w:basedOn w:val="af1"/>
    <w:link w:val="aaaaaaaaaaaaaChar"/>
    <w:qFormat/>
    <w:pPr>
      <w:spacing w:line="360" w:lineRule="auto"/>
      <w:ind w:firstLineChars="200" w:firstLine="200"/>
    </w:pPr>
    <w:rPr>
      <w:rFonts w:ascii="宋体" w:eastAsiaTheme="minorEastAsia" w:hAnsi="宋体"/>
      <w:sz w:val="24"/>
      <w:szCs w:val="24"/>
    </w:rPr>
  </w:style>
  <w:style w:type="character" w:customStyle="1" w:styleId="model11">
    <w:name w:val="model11"/>
    <w:qFormat/>
    <w:rPr>
      <w:rFonts w:ascii="Verdana" w:eastAsia="Times New Roman" w:hAnsi="Verdana" w:cs="Times New Roman"/>
      <w:sz w:val="18"/>
      <w:u w:val="none"/>
      <w:lang w:val="en-US" w:eastAsia="en-US" w:bidi="ar-SA"/>
    </w:rPr>
  </w:style>
  <w:style w:type="character" w:customStyle="1" w:styleId="CharCharCharCharCharCharCharCharCharChar2">
    <w:name w:val="Char Char Char Char Char Char Char Char Char Char2"/>
    <w:qFormat/>
    <w:rPr>
      <w:rFonts w:ascii="宋体" w:eastAsia="宋体" w:hAnsi="宋体" w:cs="宋体"/>
      <w:kern w:val="2"/>
      <w:sz w:val="24"/>
      <w:szCs w:val="28"/>
      <w:lang w:val="en-US" w:eastAsia="zh-CN" w:bidi="ar-SA"/>
    </w:rPr>
  </w:style>
  <w:style w:type="character" w:customStyle="1" w:styleId="MB4Char">
    <w:name w:val="MB4 Char"/>
    <w:uiPriority w:val="9"/>
    <w:qFormat/>
    <w:rPr>
      <w:rFonts w:ascii="Times New Roman" w:eastAsia="长城楷体" w:hAnsi="Times New Roman" w:cs="Times New Roman"/>
      <w:b/>
      <w:sz w:val="28"/>
      <w:lang w:val="en-US" w:eastAsia="zh-CN" w:bidi="ar-SA"/>
    </w:rPr>
  </w:style>
  <w:style w:type="character" w:customStyle="1" w:styleId="21Char1">
    <w:name w:val="正文文字 21 Char1"/>
    <w:qFormat/>
    <w:locked/>
    <w:rPr>
      <w:rFonts w:ascii="仿宋_GB2312" w:eastAsia="仿宋_GB2312" w:hAnsi="Times New Roman" w:cs="Times New Roman"/>
      <w:kern w:val="2"/>
      <w:sz w:val="32"/>
      <w:szCs w:val="32"/>
      <w:lang w:val="en-US" w:eastAsia="zh-CN" w:bidi="ar-SA"/>
    </w:rPr>
  </w:style>
  <w:style w:type="character" w:customStyle="1" w:styleId="Charffffff7">
    <w:name w:val="宏文本 Char"/>
    <w:qFormat/>
    <w:rPr>
      <w:rFonts w:ascii="Courier New" w:eastAsia="Times New Roman" w:hAnsi="Courier New" w:cs="Times New Roman"/>
      <w:sz w:val="24"/>
      <w:szCs w:val="24"/>
      <w:lang w:val="en-US" w:eastAsia="zh-CN" w:bidi="ar-SA"/>
    </w:rPr>
  </w:style>
  <w:style w:type="character" w:customStyle="1" w:styleId="yxNone">
    <w:name w:val="yxNone"/>
    <w:qFormat/>
    <w:rPr>
      <w:rFonts w:ascii="Times New Roman" w:eastAsia="黑体" w:hAnsi="Times New Roman" w:cs="Times New Roman"/>
      <w:b/>
      <w:color w:val="008000"/>
      <w:kern w:val="2"/>
      <w:sz w:val="24"/>
      <w:szCs w:val="24"/>
      <w:lang w:val="en-US" w:eastAsia="zh-CN" w:bidi="ar-SA"/>
    </w:rPr>
  </w:style>
  <w:style w:type="character" w:customStyle="1" w:styleId="17CharChar">
    <w:name w:val="样式17 Char Char"/>
    <w:qFormat/>
    <w:locked/>
    <w:rPr>
      <w:rFonts w:ascii="Times New Roman" w:eastAsia="宋体" w:hAnsi="Times New Roman" w:cs="Times New Roman"/>
      <w:spacing w:val="20"/>
      <w:kern w:val="2"/>
      <w:sz w:val="24"/>
      <w:lang w:val="en-US" w:eastAsia="zh-CN" w:bidi="ar-SA"/>
    </w:rPr>
  </w:style>
  <w:style w:type="character" w:customStyle="1" w:styleId="CharChar15">
    <w:name w:val="Char Char15"/>
    <w:qFormat/>
    <w:locked/>
    <w:rPr>
      <w:rFonts w:ascii="宋体" w:eastAsia="宋体" w:hAnsi="宋体" w:cs="Times New Roman"/>
      <w:kern w:val="2"/>
      <w:sz w:val="18"/>
      <w:szCs w:val="18"/>
      <w:lang w:val="en-US" w:eastAsia="zh-CN" w:bidi="ar-SA"/>
    </w:rPr>
  </w:style>
  <w:style w:type="character" w:customStyle="1" w:styleId="CharChar28">
    <w:name w:val="Char Char28"/>
    <w:qFormat/>
    <w:locked/>
    <w:rPr>
      <w:rFonts w:ascii="宋体" w:eastAsia="宋体" w:hAnsi="宋体" w:cs="Times New Roman"/>
      <w:kern w:val="2"/>
      <w:sz w:val="18"/>
      <w:szCs w:val="18"/>
      <w:lang w:val="en-US" w:eastAsia="zh-CN" w:bidi="ar-SA"/>
    </w:rPr>
  </w:style>
  <w:style w:type="character" w:customStyle="1" w:styleId="CharCharCharCharCharChar5">
    <w:name w:val="正文缩进（自定义） Char Char Char Char Char Char"/>
    <w:link w:val="CharCharCharf8"/>
    <w:qFormat/>
    <w:rPr>
      <w:rFonts w:ascii="Century Gothic" w:eastAsiaTheme="minorEastAsia" w:hAnsi="Century Gothic" w:cs="宋体"/>
      <w:sz w:val="24"/>
      <w:lang w:val="en-US" w:eastAsia="zh-CN" w:bidi="ar-SA"/>
    </w:rPr>
  </w:style>
  <w:style w:type="paragraph" w:customStyle="1" w:styleId="CharCharCharf8">
    <w:name w:val="正文缩进（自定义） Char Char Char"/>
    <w:basedOn w:val="af1"/>
    <w:link w:val="CharCharCharCharCharChar5"/>
    <w:qFormat/>
    <w:pPr>
      <w:spacing w:before="120" w:after="120" w:line="360" w:lineRule="auto"/>
      <w:ind w:firstLineChars="200" w:firstLine="480"/>
    </w:pPr>
    <w:rPr>
      <w:rFonts w:ascii="Century Gothic" w:eastAsiaTheme="minorEastAsia" w:hAnsi="Century Gothic" w:cs="宋体"/>
      <w:sz w:val="24"/>
      <w:szCs w:val="24"/>
    </w:rPr>
  </w:style>
  <w:style w:type="character" w:customStyle="1" w:styleId="z-Char0">
    <w:name w:val="z-窗体顶端 Char"/>
    <w:link w:val="z-10"/>
    <w:qFormat/>
    <w:rPr>
      <w:rFonts w:ascii="Arial" w:eastAsiaTheme="minorEastAsia" w:hAnsi="Arial" w:cstheme="minorBidi"/>
      <w:vanish/>
      <w:sz w:val="16"/>
      <w:szCs w:val="16"/>
      <w:lang w:val="en-US" w:eastAsia="zh-CN" w:bidi="ar-SA"/>
    </w:rPr>
  </w:style>
  <w:style w:type="paragraph" w:customStyle="1" w:styleId="z-10">
    <w:name w:val="z-窗体顶端1"/>
    <w:basedOn w:val="af1"/>
    <w:next w:val="af1"/>
    <w:link w:val="z-Char0"/>
    <w:qFormat/>
    <w:pPr>
      <w:widowControl/>
      <w:pBdr>
        <w:bottom w:val="single" w:sz="6" w:space="1" w:color="auto"/>
      </w:pBdr>
      <w:jc w:val="center"/>
    </w:pPr>
    <w:rPr>
      <w:rFonts w:ascii="Arial" w:eastAsiaTheme="minorEastAsia" w:hAnsi="Arial"/>
      <w:vanish/>
      <w:sz w:val="16"/>
      <w:szCs w:val="16"/>
    </w:rPr>
  </w:style>
  <w:style w:type="character" w:customStyle="1" w:styleId="111Char1">
    <w:name w:val="+++++1.1.1 Char"/>
    <w:link w:val="1112"/>
    <w:qFormat/>
    <w:rPr>
      <w:rFonts w:asciiTheme="minorHAnsi" w:eastAsia="黑体" w:hAnsiTheme="minorHAnsi" w:cs="宋体"/>
      <w:b/>
      <w:color w:val="0000FF"/>
      <w:sz w:val="28"/>
      <w:szCs w:val="28"/>
      <w:lang w:val="en-US" w:eastAsia="zh-CN" w:bidi="ar-SA"/>
    </w:rPr>
  </w:style>
  <w:style w:type="paragraph" w:customStyle="1" w:styleId="1112">
    <w:name w:val="+++++1.1.1"/>
    <w:basedOn w:val="af1"/>
    <w:link w:val="111Char1"/>
    <w:qFormat/>
    <w:pPr>
      <w:spacing w:beforeLines="50" w:afterLines="50" w:line="360" w:lineRule="auto"/>
      <w:outlineLvl w:val="2"/>
    </w:pPr>
    <w:rPr>
      <w:rFonts w:asciiTheme="minorHAnsi" w:eastAsia="黑体" w:hAnsiTheme="minorHAnsi" w:cs="宋体"/>
      <w:b/>
      <w:color w:val="0000FF"/>
      <w:sz w:val="28"/>
      <w:szCs w:val="28"/>
    </w:rPr>
  </w:style>
  <w:style w:type="character" w:customStyle="1" w:styleId="Charffffff8">
    <w:name w:val="++++正文 Char"/>
    <w:link w:val="affffffffffffd"/>
    <w:qFormat/>
    <w:rPr>
      <w:rFonts w:ascii="Times New Roman" w:eastAsia="黑体" w:hAnsi="Times New Roman" w:cs="Times New Roman"/>
      <w:b/>
      <w:lang w:val="en-US" w:eastAsia="zh-CN" w:bidi="ar-SA"/>
    </w:rPr>
  </w:style>
  <w:style w:type="paragraph" w:customStyle="1" w:styleId="affffffffffffd">
    <w:name w:val="++++正文"/>
    <w:basedOn w:val="afffffffffff7"/>
    <w:link w:val="Charffffff8"/>
    <w:qFormat/>
    <w:rPr>
      <w:rFonts w:eastAsia="黑体"/>
      <w:b/>
    </w:rPr>
  </w:style>
  <w:style w:type="character" w:customStyle="1" w:styleId="Charffffff9">
    <w:name w:val="德胜表格内容 Char"/>
    <w:qFormat/>
    <w:rPr>
      <w:rFonts w:ascii="Times New Roman" w:eastAsia="宋体" w:hAnsi="Times New Roman" w:cs="宋体"/>
      <w:snapToGrid w:val="0"/>
      <w:color w:val="0000FF"/>
      <w:sz w:val="21"/>
      <w:szCs w:val="21"/>
      <w:lang w:val="en-US" w:eastAsia="zh-CN" w:bidi="ar-SA"/>
    </w:rPr>
  </w:style>
  <w:style w:type="character" w:customStyle="1" w:styleId="0pt1">
    <w:name w:val="目录 + 间距 0 pt1"/>
    <w:qFormat/>
    <w:rPr>
      <w:rFonts w:ascii="MingLiU" w:eastAsia="MingLiU" w:hAnsi="宋体" w:cs="MingLiU"/>
      <w:spacing w:val="-10"/>
      <w:kern w:val="2"/>
      <w:sz w:val="26"/>
      <w:szCs w:val="26"/>
      <w:u w:val="none"/>
      <w:lang w:val="en-US" w:eastAsia="zh-CN" w:bidi="ar-SA"/>
    </w:rPr>
  </w:style>
  <w:style w:type="character" w:customStyle="1" w:styleId="richmediametanickname1">
    <w:name w:val="rich_media_meta_nickname1"/>
    <w:basedOn w:val="af3"/>
    <w:qFormat/>
    <w:rPr>
      <w:rFonts w:ascii="Times New Roman" w:eastAsia="宋体" w:hAnsi="Times New Roman" w:cs="Times New Roman"/>
      <w:lang w:val="en-US" w:eastAsia="zh-CN" w:bidi="ar-SA"/>
    </w:rPr>
  </w:style>
  <w:style w:type="character" w:customStyle="1" w:styleId="newcontent1">
    <w:name w:val="new_content1"/>
    <w:qFormat/>
    <w:rPr>
      <w:rFonts w:ascii="ˎ̥" w:eastAsia="宋体" w:hAnsi="ˎ̥" w:cs="Times New Roman" w:hint="default"/>
      <w:color w:val="000000"/>
      <w:sz w:val="21"/>
      <w:szCs w:val="21"/>
      <w:lang w:val="en-US" w:eastAsia="zh-CN" w:bidi="ar-SA"/>
    </w:rPr>
  </w:style>
  <w:style w:type="character" w:customStyle="1" w:styleId="1Charf4">
    <w:name w:val="样式 标题 1 + 宋体 小二 Char"/>
    <w:link w:val="1ffa"/>
    <w:qFormat/>
    <w:rPr>
      <w:rFonts w:ascii="Times New Roman" w:eastAsiaTheme="minorEastAsia" w:hAnsi="宋体" w:cstheme="minorBidi"/>
      <w:caps/>
      <w:kern w:val="44"/>
      <w:sz w:val="32"/>
      <w:lang w:val="en-US" w:eastAsia="zh-CN" w:bidi="ar-SA"/>
    </w:rPr>
  </w:style>
  <w:style w:type="paragraph" w:customStyle="1" w:styleId="1ffa">
    <w:name w:val="样式 标题 1 + 宋体 小二"/>
    <w:basedOn w:val="1"/>
    <w:link w:val="1Charf4"/>
    <w:qFormat/>
    <w:pPr>
      <w:tabs>
        <w:tab w:val="right" w:leader="dot" w:pos="8905"/>
        <w:tab w:val="right" w:leader="dot" w:pos="8965"/>
      </w:tabs>
      <w:spacing w:before="340" w:after="330" w:line="578" w:lineRule="auto"/>
      <w:jc w:val="both"/>
    </w:pPr>
    <w:rPr>
      <w:rFonts w:eastAsiaTheme="minorEastAsia" w:hAnsi="宋体" w:cstheme="minorBidi"/>
      <w:bCs w:val="0"/>
      <w:caps/>
      <w:kern w:val="44"/>
      <w:sz w:val="32"/>
    </w:rPr>
  </w:style>
  <w:style w:type="character" w:customStyle="1" w:styleId="2CharCharc">
    <w:name w:val="标准文本 首行缩进: 2 字符 行距: 单倍 Char Char"/>
    <w:link w:val="2ff9"/>
    <w:qFormat/>
    <w:locked/>
    <w:rPr>
      <w:rFonts w:ascii="仿宋_GB2312" w:eastAsia="仿宋_GB2312" w:hAnsiTheme="minorHAnsi" w:cstheme="minorBidi"/>
      <w:sz w:val="24"/>
      <w:szCs w:val="22"/>
      <w:lang w:val="en-US" w:eastAsia="zh-CN" w:bidi="ar-SA"/>
    </w:rPr>
  </w:style>
  <w:style w:type="paragraph" w:customStyle="1" w:styleId="2ff9">
    <w:name w:val="标准文本 首行缩进: 2 字符 行距: 单倍"/>
    <w:basedOn w:val="af1"/>
    <w:link w:val="2CharCharc"/>
    <w:qFormat/>
    <w:pPr>
      <w:widowControl/>
      <w:adjustRightInd w:val="0"/>
      <w:snapToGrid w:val="0"/>
      <w:ind w:firstLineChars="200" w:firstLine="480"/>
      <w:jc w:val="left"/>
      <w:textAlignment w:val="baseline"/>
    </w:pPr>
    <w:rPr>
      <w:rFonts w:ascii="仿宋_GB2312" w:eastAsia="仿宋_GB2312" w:hAnsiTheme="minorHAnsi"/>
      <w:sz w:val="24"/>
    </w:rPr>
  </w:style>
  <w:style w:type="character" w:customStyle="1" w:styleId="2ffa">
    <w:name w:val="文档结构图 字符2"/>
    <w:uiPriority w:val="99"/>
    <w:semiHidden/>
    <w:qFormat/>
    <w:rPr>
      <w:rFonts w:ascii="Microsoft YaHei UI" w:eastAsia="Microsoft YaHei UI" w:hAnsi="Calibri" w:cs="Times New Roman"/>
      <w:kern w:val="2"/>
      <w:sz w:val="18"/>
      <w:szCs w:val="18"/>
      <w:lang w:val="en-US" w:eastAsia="zh-CN" w:bidi="ar-SA"/>
    </w:rPr>
  </w:style>
  <w:style w:type="character" w:customStyle="1" w:styleId="2Constantia25">
    <w:name w:val="正文文本 (2) + Constantia25"/>
    <w:qFormat/>
    <w:rPr>
      <w:rFonts w:ascii="Constantia" w:eastAsia="MingLiU" w:hAnsi="Constantia" w:cs="Constantia"/>
      <w:i/>
      <w:iCs/>
      <w:kern w:val="2"/>
      <w:sz w:val="21"/>
      <w:szCs w:val="21"/>
      <w:u w:val="none"/>
      <w:lang w:val="en-US" w:eastAsia="en-US" w:bidi="ar-SA"/>
    </w:rPr>
  </w:style>
  <w:style w:type="character" w:customStyle="1" w:styleId="2Chard">
    <w:name w:val="正文文本缩进 2 Char"/>
    <w:qFormat/>
    <w:locked/>
    <w:rPr>
      <w:rFonts w:ascii="Times New Roman" w:eastAsia="宋体" w:hAnsi="Times New Roman" w:cs="Times New Roman"/>
      <w:kern w:val="2"/>
      <w:sz w:val="28"/>
      <w:szCs w:val="24"/>
      <w:lang w:val="en-US" w:eastAsia="zh-CN" w:bidi="ar-SA"/>
    </w:rPr>
  </w:style>
  <w:style w:type="character" w:customStyle="1" w:styleId="HTMLChar2">
    <w:name w:val="HTML 预设格式 Char2"/>
    <w:qFormat/>
    <w:rPr>
      <w:rFonts w:ascii="Courier New" w:eastAsia="宋体" w:hAnsi="Courier New" w:cs="Courier New"/>
      <w:kern w:val="2"/>
      <w:sz w:val="24"/>
      <w:lang w:val="en-US" w:eastAsia="zh-CN" w:bidi="ar-SA"/>
    </w:rPr>
  </w:style>
  <w:style w:type="character" w:customStyle="1" w:styleId="font301">
    <w:name w:val="font301"/>
    <w:qFormat/>
    <w:rPr>
      <w:rFonts w:ascii="宋体" w:eastAsia="宋体" w:hAnsi="宋体" w:cs="Times New Roman" w:hint="eastAsia"/>
      <w:color w:val="000000"/>
      <w:sz w:val="18"/>
      <w:szCs w:val="18"/>
      <w:u w:val="none"/>
      <w:lang w:val="en-US" w:eastAsia="zh-CN" w:bidi="ar-SA"/>
    </w:rPr>
  </w:style>
  <w:style w:type="character" w:customStyle="1" w:styleId="1ffb">
    <w:name w:val="引用 字符1"/>
    <w:link w:val="affffffffffffe"/>
    <w:uiPriority w:val="99"/>
    <w:qFormat/>
    <w:rPr>
      <w:rFonts w:asciiTheme="minorHAnsi" w:eastAsiaTheme="minorEastAsia" w:hAnsiTheme="minorHAnsi" w:cstheme="minorBidi"/>
      <w:i/>
      <w:iCs/>
      <w:color w:val="000000"/>
      <w:lang w:val="en-US" w:eastAsia="zh-CN" w:bidi="ar-SA"/>
    </w:rPr>
  </w:style>
  <w:style w:type="paragraph" w:styleId="affffffffffffe">
    <w:name w:val="Quote"/>
    <w:basedOn w:val="af1"/>
    <w:next w:val="af1"/>
    <w:link w:val="1ffb"/>
    <w:uiPriority w:val="99"/>
    <w:qFormat/>
    <w:rPr>
      <w:rFonts w:asciiTheme="minorHAnsi" w:eastAsiaTheme="minorEastAsia" w:hAnsiTheme="minorHAnsi"/>
      <w:i/>
      <w:iCs/>
      <w:color w:val="000000"/>
      <w:szCs w:val="24"/>
    </w:rPr>
  </w:style>
  <w:style w:type="character" w:customStyle="1" w:styleId="ReChar1">
    <w:name w:val="Re Char1"/>
    <w:qFormat/>
    <w:rPr>
      <w:rFonts w:ascii="Times New Roman" w:eastAsia="宋体" w:hAnsi="Times New Roman" w:cs="Times New Roman"/>
      <w:kern w:val="2"/>
      <w:sz w:val="24"/>
      <w:szCs w:val="24"/>
      <w:lang w:val="en-US" w:eastAsia="zh-CN" w:bidi="ar-SA"/>
    </w:rPr>
  </w:style>
  <w:style w:type="character" w:customStyle="1" w:styleId="-Char1">
    <w:name w:val="正文-叶 Char"/>
    <w:link w:val="-b"/>
    <w:qFormat/>
    <w:rPr>
      <w:rFonts w:ascii="仿宋_GB2312" w:eastAsiaTheme="minorEastAsia" w:hAnsi="仿宋_GB2312" w:cs="仿宋_GB2312"/>
      <w:sz w:val="24"/>
      <w:szCs w:val="22"/>
      <w:lang w:val="en-US" w:eastAsia="zh-CN" w:bidi="ar-SA"/>
    </w:rPr>
  </w:style>
  <w:style w:type="paragraph" w:customStyle="1" w:styleId="-b">
    <w:name w:val="正文-叶"/>
    <w:basedOn w:val="af1"/>
    <w:link w:val="-Char1"/>
    <w:qFormat/>
    <w:pPr>
      <w:widowControl/>
      <w:topLinePunct/>
      <w:spacing w:line="312" w:lineRule="auto"/>
      <w:ind w:firstLine="465"/>
      <w:jc w:val="left"/>
    </w:pPr>
    <w:rPr>
      <w:rFonts w:ascii="仿宋_GB2312" w:eastAsiaTheme="minorEastAsia" w:hAnsi="仿宋_GB2312" w:cs="仿宋_GB2312"/>
      <w:sz w:val="24"/>
    </w:rPr>
  </w:style>
  <w:style w:type="character" w:customStyle="1" w:styleId="Charffffffa">
    <w:name w:val="题注 Char"/>
    <w:qFormat/>
    <w:rPr>
      <w:rFonts w:ascii="Arial" w:eastAsia="黑体" w:hAnsi="Arial" w:cs="Arial"/>
      <w:kern w:val="2"/>
      <w:lang w:val="en-US" w:eastAsia="zh-CN" w:bidi="ar-SA"/>
    </w:rPr>
  </w:style>
  <w:style w:type="character" w:customStyle="1" w:styleId="ENFIChar">
    <w:name w:val="ENFI图表标题 Char"/>
    <w:link w:val="ENFI1"/>
    <w:qFormat/>
    <w:rPr>
      <w:rFonts w:ascii="Times New Roman" w:eastAsia="仿宋_GB2312" w:hAnsi="Times New Roman" w:cstheme="minorBidi"/>
      <w:b/>
      <w:sz w:val="28"/>
      <w:szCs w:val="22"/>
      <w:lang w:val="en-US" w:eastAsia="zh-CN" w:bidi="ar-SA"/>
    </w:rPr>
  </w:style>
  <w:style w:type="paragraph" w:customStyle="1" w:styleId="ENFI1">
    <w:name w:val="ENFI图表标题"/>
    <w:basedOn w:val="af1"/>
    <w:link w:val="ENFIChar"/>
    <w:qFormat/>
    <w:pPr>
      <w:widowControl/>
      <w:adjustRightInd w:val="0"/>
      <w:snapToGrid w:val="0"/>
      <w:spacing w:before="120" w:line="240" w:lineRule="atLeast"/>
      <w:jc w:val="center"/>
    </w:pPr>
    <w:rPr>
      <w:rFonts w:ascii="Calibri" w:eastAsia="仿宋_GB2312" w:hAnsi="Calibri"/>
      <w:b/>
      <w:sz w:val="28"/>
    </w:rPr>
  </w:style>
  <w:style w:type="character" w:customStyle="1" w:styleId="button1">
    <w:name w:val="button1"/>
    <w:qFormat/>
    <w:rPr>
      <w:rFonts w:ascii="Times New Roman" w:eastAsia="宋体" w:hAnsi="Times New Roman" w:cs="Times New Roman"/>
      <w:color w:val="FFFFFF"/>
      <w:spacing w:val="48"/>
      <w:sz w:val="18"/>
      <w:szCs w:val="18"/>
      <w:shd w:val="clear" w:color="auto" w:fill="009933"/>
      <w:lang w:val="en-US" w:eastAsia="zh-CN" w:bidi="ar-SA"/>
    </w:rPr>
  </w:style>
  <w:style w:type="character" w:customStyle="1" w:styleId="aaChar">
    <w:name w:val="正文aa Char"/>
    <w:link w:val="aa1"/>
    <w:qFormat/>
    <w:rPr>
      <w:rFonts w:asciiTheme="minorHAnsi" w:eastAsiaTheme="minorEastAsia" w:hAnsiTheme="minorHAnsi" w:cstheme="minorBidi"/>
      <w:sz w:val="24"/>
      <w:lang w:val="en-US" w:eastAsia="zh-CN" w:bidi="ar-SA"/>
    </w:rPr>
  </w:style>
  <w:style w:type="paragraph" w:customStyle="1" w:styleId="aa1">
    <w:name w:val="正文aa"/>
    <w:basedOn w:val="af1"/>
    <w:link w:val="aaChar"/>
    <w:qFormat/>
    <w:pPr>
      <w:spacing w:line="360" w:lineRule="auto"/>
      <w:ind w:firstLineChars="200" w:firstLine="200"/>
    </w:pPr>
    <w:rPr>
      <w:rFonts w:asciiTheme="minorHAnsi" w:eastAsiaTheme="minorEastAsia" w:hAnsiTheme="minorHAnsi"/>
      <w:sz w:val="24"/>
      <w:szCs w:val="24"/>
    </w:rPr>
  </w:style>
  <w:style w:type="character" w:customStyle="1" w:styleId="210pt17">
    <w:name w:val="正文文本 (2) + 10 pt17"/>
    <w:qFormat/>
    <w:rPr>
      <w:rFonts w:ascii="MingLiU" w:eastAsia="MingLiU" w:hAnsi="Times New Roman" w:cs="MingLiU"/>
      <w:kern w:val="2"/>
      <w:sz w:val="20"/>
      <w:szCs w:val="20"/>
      <w:u w:val="none"/>
      <w:lang w:val="en-US" w:eastAsia="zh-CN" w:bidi="ar-SA"/>
    </w:rPr>
  </w:style>
  <w:style w:type="character" w:customStyle="1" w:styleId="-CharChar1">
    <w:name w:val="报告正文-连续目录 Char Char"/>
    <w:link w:val="-c"/>
    <w:qFormat/>
    <w:rPr>
      <w:rFonts w:ascii="Arial" w:eastAsia="宋体" w:hAnsi="Arial" w:cstheme="minorBidi"/>
      <w:sz w:val="24"/>
      <w:lang w:val="en-US" w:eastAsia="zh-CN" w:bidi="ar-SA"/>
    </w:rPr>
  </w:style>
  <w:style w:type="paragraph" w:customStyle="1" w:styleId="-c">
    <w:name w:val="报告正文-连续目录"/>
    <w:basedOn w:val="af1"/>
    <w:link w:val="-CharChar1"/>
    <w:qFormat/>
    <w:pPr>
      <w:spacing w:line="440" w:lineRule="exact"/>
      <w:ind w:firstLineChars="200" w:firstLine="200"/>
    </w:pPr>
    <w:rPr>
      <w:rFonts w:ascii="Arial" w:hAnsi="Arial"/>
      <w:sz w:val="24"/>
      <w:szCs w:val="24"/>
    </w:rPr>
  </w:style>
  <w:style w:type="character" w:customStyle="1" w:styleId="2CharCharChar1">
    <w:name w:val="样式 标题 2 + 红色 Char Char Char"/>
    <w:qFormat/>
    <w:rPr>
      <w:rFonts w:ascii="Arial" w:eastAsia="宋体" w:hAnsi="Arial" w:cs="Times New Roman"/>
      <w:b/>
      <w:color w:val="FF0000"/>
      <w:spacing w:val="-8"/>
      <w:sz w:val="28"/>
      <w:lang w:val="en-US" w:eastAsia="zh-CN" w:bidi="ar-SA"/>
    </w:rPr>
  </w:style>
  <w:style w:type="character" w:customStyle="1" w:styleId="Heading5Char">
    <w:name w:val="Heading 5 Char"/>
    <w:qFormat/>
    <w:locked/>
    <w:rPr>
      <w:rFonts w:ascii="Times New Roman" w:eastAsia="宋体" w:hAnsi="Times New Roman" w:cs="Times New Roman"/>
      <w:b/>
      <w:sz w:val="24"/>
      <w:lang w:val="en-US" w:eastAsia="zh-CN" w:bidi="ar-SA"/>
    </w:rPr>
  </w:style>
  <w:style w:type="character" w:customStyle="1" w:styleId="001Char1">
    <w:name w:val="正文001 Char1"/>
    <w:qFormat/>
    <w:rPr>
      <w:rFonts w:ascii="Arial" w:eastAsia="宋体" w:hAnsi="Arial" w:cs="Arial"/>
      <w:kern w:val="2"/>
      <w:sz w:val="24"/>
      <w:lang w:val="en-US" w:eastAsia="zh-CN" w:bidi="ar-SA"/>
    </w:rPr>
  </w:style>
  <w:style w:type="character" w:customStyle="1" w:styleId="headline-content3">
    <w:name w:val="headline-content3"/>
    <w:qFormat/>
    <w:rPr>
      <w:rFonts w:ascii="Times New Roman" w:eastAsia="黑体" w:hAnsi="Times New Roman" w:cs="Times New Roman"/>
      <w:b/>
      <w:color w:val="008000"/>
      <w:kern w:val="2"/>
      <w:sz w:val="24"/>
      <w:szCs w:val="24"/>
      <w:lang w:val="en-US" w:eastAsia="zh-CN" w:bidi="ar-SA"/>
    </w:rPr>
  </w:style>
  <w:style w:type="character" w:customStyle="1" w:styleId="4CharChar1">
    <w:name w:val="样式 样式 样式4 + 黑色 + 自动设置 Char Char"/>
    <w:qFormat/>
    <w:rPr>
      <w:rFonts w:ascii="Times New Roman" w:eastAsia="华文中宋" w:hAnsi="Times New Roman" w:cs="Times New Roman"/>
      <w:color w:val="000000"/>
      <w:kern w:val="2"/>
      <w:sz w:val="24"/>
      <w:szCs w:val="24"/>
      <w:lang w:val="en-US" w:eastAsia="zh-CN" w:bidi="ar-SA"/>
    </w:rPr>
  </w:style>
  <w:style w:type="character" w:customStyle="1" w:styleId="2CharChard">
    <w:name w:val="正文文字缩进 2 Char Char"/>
    <w:qFormat/>
    <w:locked/>
    <w:rPr>
      <w:rFonts w:ascii="Times New Roman" w:eastAsia="宋体" w:hAnsi="Times New Roman" w:cs="Times New Roman"/>
      <w:kern w:val="2"/>
      <w:sz w:val="21"/>
      <w:szCs w:val="24"/>
      <w:lang w:val="en-US" w:eastAsia="zh-CN" w:bidi="ar-SA"/>
    </w:rPr>
  </w:style>
  <w:style w:type="character" w:customStyle="1" w:styleId="aCharChar">
    <w:name w:val="干标题(a) Char Char"/>
    <w:qFormat/>
    <w:rPr>
      <w:rFonts w:ascii="Arial" w:eastAsia="黑体" w:hAnsi="Arial" w:cs="Times New Roman"/>
      <w:sz w:val="21"/>
      <w:lang w:val="en-US" w:eastAsia="zh-CN" w:bidi="ar-SA"/>
    </w:rPr>
  </w:style>
  <w:style w:type="character" w:customStyle="1" w:styleId="Charffffffb">
    <w:name w:val="内容小标题 Char"/>
    <w:link w:val="afffffffffffff"/>
    <w:qFormat/>
    <w:rPr>
      <w:rFonts w:asciiTheme="minorHAnsi" w:eastAsia="宋体" w:hAnsiTheme="minorHAnsi" w:cstheme="minorBidi"/>
      <w:b/>
      <w:sz w:val="24"/>
      <w:lang w:val="en-US" w:eastAsia="zh-CN" w:bidi="ar-SA"/>
    </w:rPr>
  </w:style>
  <w:style w:type="paragraph" w:customStyle="1" w:styleId="afffffffffffff">
    <w:name w:val="内容小标题"/>
    <w:basedOn w:val="af1"/>
    <w:link w:val="Charffffffb"/>
    <w:qFormat/>
    <w:pPr>
      <w:spacing w:line="360" w:lineRule="auto"/>
      <w:jc w:val="left"/>
    </w:pPr>
    <w:rPr>
      <w:rFonts w:asciiTheme="minorHAnsi" w:hAnsiTheme="minorHAnsi"/>
      <w:b/>
      <w:sz w:val="24"/>
      <w:szCs w:val="24"/>
    </w:rPr>
  </w:style>
  <w:style w:type="character" w:customStyle="1" w:styleId="CharCharCharCharCharCharCharCharChar">
    <w:name w:val="报告书正文 Char Char Char Char Char Char Char Char Char"/>
    <w:link w:val="CharCharCharCharChara"/>
    <w:qFormat/>
    <w:rPr>
      <w:rFonts w:asciiTheme="minorHAnsi" w:eastAsiaTheme="minorEastAsia" w:hAnsiTheme="minorHAnsi" w:cstheme="minorBidi"/>
      <w:color w:val="000000"/>
      <w:sz w:val="24"/>
      <w:szCs w:val="22"/>
      <w:lang w:val="en-US" w:eastAsia="zh-CN" w:bidi="ar-SA"/>
    </w:rPr>
  </w:style>
  <w:style w:type="paragraph" w:customStyle="1" w:styleId="CharCharCharCharChara">
    <w:name w:val="报告书正文 Char Char Char Char Char"/>
    <w:basedOn w:val="af1"/>
    <w:link w:val="CharCharCharCharCharCharCharCharChar"/>
    <w:qFormat/>
    <w:pPr>
      <w:spacing w:line="300" w:lineRule="auto"/>
      <w:ind w:firstLineChars="200" w:firstLine="480"/>
    </w:pPr>
    <w:rPr>
      <w:rFonts w:asciiTheme="minorHAnsi" w:eastAsiaTheme="minorEastAsia" w:hAnsiTheme="minorHAnsi"/>
      <w:color w:val="000000"/>
      <w:sz w:val="24"/>
    </w:rPr>
  </w:style>
  <w:style w:type="character" w:customStyle="1" w:styleId="TableTextCharChar">
    <w:name w:val="TableText Char Char"/>
    <w:link w:val="TableText"/>
    <w:qFormat/>
    <w:rPr>
      <w:rFonts w:asciiTheme="minorHAnsi" w:eastAsia="Times New Roman" w:hAnsiTheme="minorHAnsi" w:cstheme="minorBidi"/>
      <w:kern w:val="2"/>
      <w:sz w:val="21"/>
      <w:szCs w:val="24"/>
      <w:lang w:val="en-US" w:eastAsia="zh-CN" w:bidi="ar-SA"/>
    </w:rPr>
  </w:style>
  <w:style w:type="paragraph" w:customStyle="1" w:styleId="TableText">
    <w:name w:val="TableText"/>
    <w:link w:val="TableTextCharChar"/>
    <w:qFormat/>
    <w:pPr>
      <w:jc w:val="center"/>
    </w:pPr>
    <w:rPr>
      <w:rFonts w:eastAsia="Times New Roman"/>
      <w:kern w:val="2"/>
      <w:sz w:val="21"/>
      <w:szCs w:val="24"/>
    </w:rPr>
  </w:style>
  <w:style w:type="character" w:customStyle="1" w:styleId="headline-content4">
    <w:name w:val="headline-content4"/>
    <w:basedOn w:val="af3"/>
    <w:qFormat/>
    <w:rPr>
      <w:rFonts w:ascii="Times New Roman" w:eastAsia="宋体" w:hAnsi="Times New Roman" w:cs="Times New Roman"/>
      <w:lang w:val="en-US" w:eastAsia="zh-CN" w:bidi="ar-SA"/>
    </w:rPr>
  </w:style>
  <w:style w:type="character" w:customStyle="1" w:styleId="5CharChar0">
    <w:name w:val="样式5 Char Char"/>
    <w:qFormat/>
    <w:rPr>
      <w:rFonts w:ascii="Times New Roman" w:eastAsia="宋体" w:hAnsi="Times New Roman" w:cs="Times New Roman"/>
      <w:kern w:val="2"/>
      <w:sz w:val="24"/>
      <w:lang w:val="en-US" w:eastAsia="zh-CN" w:bidi="ar-SA"/>
    </w:rPr>
  </w:style>
  <w:style w:type="character" w:customStyle="1" w:styleId="style781">
    <w:name w:val="style781"/>
    <w:qFormat/>
    <w:rPr>
      <w:rFonts w:ascii="Arial Black" w:eastAsia="Times New Roman" w:hAnsi="Arial Black" w:cs="Times New Roman"/>
      <w:sz w:val="24"/>
      <w:lang w:val="en-US" w:eastAsia="en-US" w:bidi="ar-SA"/>
    </w:rPr>
  </w:style>
  <w:style w:type="character" w:customStyle="1" w:styleId="1Char12">
    <w:name w:val="标题 1 Char1"/>
    <w:qFormat/>
    <w:rPr>
      <w:rFonts w:ascii="Calibri" w:eastAsia="宋体" w:hAnsi="Calibri" w:cs="Times New Roman" w:hint="default"/>
      <w:b/>
      <w:bCs/>
      <w:kern w:val="44"/>
      <w:sz w:val="44"/>
      <w:szCs w:val="44"/>
      <w:lang w:val="en-US" w:eastAsia="zh-CN" w:bidi="ar-SA"/>
    </w:rPr>
  </w:style>
  <w:style w:type="character" w:customStyle="1" w:styleId="doctitle1">
    <w:name w:val="doc_title1"/>
    <w:qFormat/>
    <w:rPr>
      <w:rFonts w:ascii="Times New Roman" w:eastAsia="宋体" w:hAnsi="Times New Roman" w:cs="Times New Roman"/>
      <w:color w:val="333333"/>
      <w:sz w:val="30"/>
      <w:szCs w:val="30"/>
      <w:lang w:val="en-US" w:eastAsia="zh-CN" w:bidi="ar-SA"/>
    </w:rPr>
  </w:style>
  <w:style w:type="character" w:customStyle="1" w:styleId="Heading4Char">
    <w:name w:val="Heading 4 Char"/>
    <w:qFormat/>
    <w:locked/>
    <w:rPr>
      <w:rFonts w:ascii="Arial" w:eastAsia="黑体" w:hAnsi="Arial" w:cs="Times New Roman"/>
      <w:b/>
      <w:sz w:val="28"/>
      <w:lang w:val="en-US" w:eastAsia="zh-CN" w:bidi="ar-SA"/>
    </w:rPr>
  </w:style>
  <w:style w:type="character" w:customStyle="1" w:styleId="Charffffffc">
    <w:name w:val="正文格式 Char"/>
    <w:link w:val="afffffffffffff0"/>
    <w:qFormat/>
    <w:rPr>
      <w:rFonts w:asciiTheme="minorHAnsi" w:eastAsiaTheme="minorEastAsia" w:hAnsiTheme="minorHAnsi" w:cstheme="minorBidi"/>
      <w:sz w:val="24"/>
      <w:szCs w:val="22"/>
      <w:lang w:val="en-US" w:eastAsia="zh-CN" w:bidi="ar-SA"/>
    </w:rPr>
  </w:style>
  <w:style w:type="paragraph" w:customStyle="1" w:styleId="afffffffffffff0">
    <w:name w:val="正文格式"/>
    <w:basedOn w:val="af1"/>
    <w:link w:val="Charffffffc"/>
    <w:qFormat/>
    <w:pPr>
      <w:spacing w:line="560" w:lineRule="atLeast"/>
      <w:ind w:firstLineChars="200" w:firstLine="200"/>
    </w:pPr>
    <w:rPr>
      <w:rFonts w:asciiTheme="minorHAnsi" w:eastAsiaTheme="minorEastAsia" w:hAnsiTheme="minorHAnsi"/>
      <w:sz w:val="24"/>
    </w:rPr>
  </w:style>
  <w:style w:type="character" w:customStyle="1" w:styleId="Charffffffd">
    <w:name w:val="环评正文 Char"/>
    <w:link w:val="afffffffffffff1"/>
    <w:qFormat/>
    <w:rPr>
      <w:rFonts w:ascii="仿宋_GB2312" w:eastAsia="仿宋_GB2312" w:hAnsi="Times New Roman" w:cs="Times New Roman"/>
      <w:lang w:val="en-US" w:eastAsia="zh-CN" w:bidi="ar-SA"/>
    </w:rPr>
  </w:style>
  <w:style w:type="paragraph" w:customStyle="1" w:styleId="afffffffffffff1">
    <w:name w:val="环评正文"/>
    <w:basedOn w:val="afff3"/>
    <w:link w:val="Charffffffd"/>
    <w:qFormat/>
    <w:pPr>
      <w:spacing w:line="500" w:lineRule="exact"/>
      <w:ind w:firstLineChars="200" w:firstLine="560"/>
    </w:pPr>
    <w:rPr>
      <w:rFonts w:ascii="仿宋_GB2312" w:eastAsia="仿宋_GB2312"/>
    </w:rPr>
  </w:style>
  <w:style w:type="character" w:customStyle="1" w:styleId="CharCharffff3">
    <w:name w:val="偶的正文 Char Char"/>
    <w:link w:val="afffffffffffff2"/>
    <w:qFormat/>
    <w:rPr>
      <w:rFonts w:ascii="Times New Roman" w:eastAsiaTheme="minorEastAsia" w:hAnsi="Times New Roman" w:cs="Times New Roman"/>
      <w:color w:val="FF0000"/>
      <w:sz w:val="24"/>
      <w:szCs w:val="21"/>
      <w:lang w:val="en-US" w:eastAsia="zh-CN" w:bidi="ar-SA"/>
    </w:rPr>
  </w:style>
  <w:style w:type="paragraph" w:customStyle="1" w:styleId="afffffffffffff2">
    <w:name w:val="偶的正文"/>
    <w:basedOn w:val="affffa"/>
    <w:link w:val="CharCharffff3"/>
    <w:qFormat/>
    <w:pPr>
      <w:tabs>
        <w:tab w:val="left" w:pos="6300"/>
      </w:tabs>
      <w:spacing w:beforeLines="50" w:afterLines="50" w:line="460" w:lineRule="exact"/>
      <w:ind w:firstLineChars="200" w:firstLine="200"/>
    </w:pPr>
    <w:rPr>
      <w:rFonts w:eastAsiaTheme="minorEastAsia"/>
      <w:color w:val="FF0000"/>
      <w:sz w:val="24"/>
      <w:szCs w:val="21"/>
    </w:rPr>
  </w:style>
  <w:style w:type="character" w:customStyle="1" w:styleId="f12">
    <w:name w:val="f_12"/>
    <w:basedOn w:val="af3"/>
    <w:qFormat/>
    <w:rPr>
      <w:rFonts w:ascii="Times New Roman" w:eastAsia="宋体" w:hAnsi="Times New Roman" w:cs="Times New Roman"/>
      <w:lang w:val="en-US" w:eastAsia="zh-CN" w:bidi="ar-SA"/>
    </w:rPr>
  </w:style>
  <w:style w:type="character" w:customStyle="1" w:styleId="Char2f1">
    <w:name w:val="表文 Char2"/>
    <w:link w:val="afffffffffffff3"/>
    <w:qFormat/>
    <w:locked/>
    <w:rPr>
      <w:rFonts w:ascii="宋体" w:eastAsiaTheme="minorEastAsia" w:hAnsi="宋体" w:cstheme="minorBidi"/>
      <w:kern w:val="2"/>
      <w:sz w:val="21"/>
      <w:szCs w:val="24"/>
      <w:lang w:val="en-US" w:eastAsia="zh-CN" w:bidi="ar-SA"/>
    </w:rPr>
  </w:style>
  <w:style w:type="paragraph" w:customStyle="1" w:styleId="afffffffffffff3">
    <w:name w:val="表文"/>
    <w:next w:val="af1"/>
    <w:link w:val="Char2f1"/>
    <w:qFormat/>
    <w:pPr>
      <w:spacing w:line="340" w:lineRule="exact"/>
      <w:jc w:val="center"/>
    </w:pPr>
    <w:rPr>
      <w:rFonts w:ascii="宋体" w:hAnsi="宋体"/>
      <w:kern w:val="2"/>
      <w:sz w:val="21"/>
      <w:szCs w:val="24"/>
    </w:rPr>
  </w:style>
  <w:style w:type="character" w:customStyle="1" w:styleId="Charffffffe">
    <w:name w:val="表头 Char"/>
    <w:link w:val="afffffffffffff4"/>
    <w:qFormat/>
    <w:rPr>
      <w:rFonts w:asciiTheme="minorHAnsi" w:eastAsia="黑体" w:hAnsiTheme="minorHAnsi" w:cstheme="minorBidi"/>
      <w:spacing w:val="-10"/>
      <w:szCs w:val="22"/>
      <w:lang w:val="en-US" w:eastAsia="zh-CN" w:bidi="ar-SA"/>
    </w:rPr>
  </w:style>
  <w:style w:type="paragraph" w:customStyle="1" w:styleId="afffffffffffff4">
    <w:name w:val="表头"/>
    <w:basedOn w:val="af1"/>
    <w:next w:val="af1"/>
    <w:link w:val="Charffffffe"/>
    <w:qFormat/>
    <w:pPr>
      <w:adjustRightInd w:val="0"/>
      <w:spacing w:line="320" w:lineRule="atLeast"/>
      <w:jc w:val="center"/>
      <w:textAlignment w:val="baseline"/>
    </w:pPr>
    <w:rPr>
      <w:rFonts w:asciiTheme="minorHAnsi" w:eastAsia="黑体" w:hAnsiTheme="minorHAnsi"/>
      <w:spacing w:val="-10"/>
    </w:rPr>
  </w:style>
  <w:style w:type="character" w:customStyle="1" w:styleId="CharChar38">
    <w:name w:val="Char Char38"/>
    <w:qFormat/>
    <w:rPr>
      <w:rFonts w:ascii="Times New Roman" w:eastAsia="宋体" w:hAnsi="Times New Roman" w:cs="Times New Roman"/>
      <w:b/>
      <w:bCs/>
      <w:kern w:val="2"/>
      <w:sz w:val="26"/>
      <w:szCs w:val="32"/>
      <w:lang w:val="en-US" w:eastAsia="zh-CN" w:bidi="ar-SA"/>
    </w:rPr>
  </w:style>
  <w:style w:type="character" w:customStyle="1" w:styleId="cucd-3Char">
    <w:name w:val="cucd-3 Char"/>
    <w:link w:val="cucd-3"/>
    <w:qFormat/>
    <w:locked/>
    <w:rPr>
      <w:rFonts w:ascii="宋体" w:eastAsiaTheme="minorEastAsia" w:hAnsi="宋体" w:cstheme="minorBidi"/>
      <w:b/>
      <w:color w:val="008000"/>
      <w:kern w:val="2"/>
      <w:sz w:val="24"/>
      <w:szCs w:val="24"/>
      <w:lang w:val="en-US" w:eastAsia="zh-CN" w:bidi="ar-SA"/>
    </w:rPr>
  </w:style>
  <w:style w:type="paragraph" w:customStyle="1" w:styleId="cucd-3">
    <w:name w:val="cucd-3"/>
    <w:next w:val="cucd-4"/>
    <w:link w:val="cucd-3Char"/>
    <w:qFormat/>
    <w:pPr>
      <w:tabs>
        <w:tab w:val="left" w:pos="709"/>
      </w:tabs>
      <w:spacing w:line="360" w:lineRule="auto"/>
      <w:ind w:left="709" w:hanging="709"/>
      <w:outlineLvl w:val="2"/>
    </w:pPr>
    <w:rPr>
      <w:rFonts w:ascii="宋体" w:hAnsi="宋体"/>
      <w:b/>
      <w:color w:val="008000"/>
      <w:kern w:val="2"/>
      <w:sz w:val="24"/>
      <w:szCs w:val="24"/>
    </w:rPr>
  </w:style>
  <w:style w:type="paragraph" w:customStyle="1" w:styleId="cucd-4">
    <w:name w:val="cucd-4"/>
    <w:next w:val="cucd-0"/>
    <w:qFormat/>
    <w:pPr>
      <w:tabs>
        <w:tab w:val="left" w:pos="851"/>
      </w:tabs>
      <w:spacing w:line="360" w:lineRule="auto"/>
      <w:ind w:left="851" w:hanging="851"/>
      <w:outlineLvl w:val="3"/>
    </w:pPr>
    <w:rPr>
      <w:rFonts w:ascii="Calibri" w:eastAsia="宋体" w:hAnsi="Calibri" w:cs="Times New Roman"/>
      <w:b/>
      <w:kern w:val="2"/>
      <w:sz w:val="24"/>
    </w:rPr>
  </w:style>
  <w:style w:type="character" w:customStyle="1" w:styleId="Charfffffff">
    <w:name w:val="单位专用 Char"/>
    <w:link w:val="afffffffffffff5"/>
    <w:qFormat/>
    <w:rPr>
      <w:rFonts w:asciiTheme="minorHAnsi" w:eastAsiaTheme="minorEastAsia" w:hAnsiTheme="minorHAnsi" w:cs="Times New Roman"/>
      <w:sz w:val="21"/>
      <w:szCs w:val="22"/>
      <w:lang w:val="en-US" w:eastAsia="zh-CN" w:bidi="ar-SA"/>
    </w:rPr>
  </w:style>
  <w:style w:type="paragraph" w:customStyle="1" w:styleId="afffffffffffff5">
    <w:name w:val="单位专用"/>
    <w:basedOn w:val="afffffffffff9"/>
    <w:link w:val="Charfffffff"/>
    <w:qFormat/>
    <w:rPr>
      <w:rFonts w:asciiTheme="minorHAnsi" w:eastAsiaTheme="minorEastAsia" w:hAnsiTheme="minorHAnsi"/>
      <w:sz w:val="21"/>
      <w:szCs w:val="22"/>
    </w:rPr>
  </w:style>
  <w:style w:type="character" w:customStyle="1" w:styleId="2Constantia54">
    <w:name w:val="正文文本 (2) + Constantia54"/>
    <w:qFormat/>
    <w:rPr>
      <w:rFonts w:ascii="Constantia" w:eastAsia="MingLiU" w:hAnsi="Constantia" w:cs="Constantia"/>
      <w:b/>
      <w:bCs/>
      <w:kern w:val="2"/>
      <w:sz w:val="22"/>
      <w:szCs w:val="22"/>
      <w:lang w:val="en-US" w:eastAsia="en-US" w:bidi="ar-SA"/>
    </w:rPr>
  </w:style>
  <w:style w:type="character" w:customStyle="1" w:styleId="1ffc">
    <w:name w:val="不明显参考1"/>
    <w:qFormat/>
    <w:rPr>
      <w:rFonts w:ascii="Times New Roman" w:eastAsia="宋体" w:hAnsi="Times New Roman" w:cs="Times New Roman"/>
      <w:smallCaps/>
      <w:color w:val="C0504D"/>
      <w:kern w:val="2"/>
      <w:sz w:val="21"/>
      <w:szCs w:val="22"/>
      <w:u w:val="single"/>
      <w:lang w:val="en-US" w:eastAsia="zh-CN" w:bidi="ar-SA"/>
    </w:rPr>
  </w:style>
  <w:style w:type="character" w:customStyle="1" w:styleId="Char2f2">
    <w:name w:val="正文缩进 Char2"/>
    <w:qFormat/>
    <w:rPr>
      <w:rFonts w:ascii="Times New Roman" w:eastAsia="宋体" w:hAnsi="Times New Roman" w:cs="Times New Roman"/>
      <w:sz w:val="24"/>
      <w:lang w:val="en-US" w:eastAsia="zh-CN" w:bidi="ar-SA"/>
    </w:rPr>
  </w:style>
  <w:style w:type="character" w:customStyle="1" w:styleId="4Char20">
    <w:name w:val="样式4 Char2"/>
    <w:qFormat/>
    <w:rPr>
      <w:rFonts w:ascii="Times New Roman" w:eastAsia="宋体" w:hAnsi="Times New Roman" w:cs="Times New Roman"/>
      <w:kern w:val="2"/>
      <w:sz w:val="24"/>
      <w:lang w:val="en-US" w:eastAsia="zh-CN" w:bidi="ar-SA"/>
    </w:rPr>
  </w:style>
  <w:style w:type="character" w:customStyle="1" w:styleId="CharCharCharf9">
    <w:name w:val="页眉 Char Char Char"/>
    <w:qFormat/>
    <w:rPr>
      <w:rFonts w:ascii="Times New Roman" w:eastAsia="宋体" w:hAnsi="Times New Roman" w:cs="Times New Roman"/>
      <w:kern w:val="2"/>
      <w:sz w:val="18"/>
      <w:lang w:val="en-US" w:eastAsia="zh-CN" w:bidi="ar-SA"/>
    </w:rPr>
  </w:style>
  <w:style w:type="character" w:customStyle="1" w:styleId="cucd-TBCharChar">
    <w:name w:val="cucd-TB Char Char"/>
    <w:link w:val="cucd-TB"/>
    <w:qFormat/>
    <w:locked/>
    <w:rPr>
      <w:rFonts w:asciiTheme="minorHAnsi" w:eastAsiaTheme="minorEastAsia" w:hAnsiTheme="minorHAnsi" w:cstheme="minorBidi"/>
      <w:kern w:val="2"/>
      <w:sz w:val="21"/>
      <w:szCs w:val="24"/>
      <w:lang w:val="en-US" w:eastAsia="zh-CN" w:bidi="ar-SA"/>
    </w:rPr>
  </w:style>
  <w:style w:type="paragraph" w:customStyle="1" w:styleId="cucd-TB">
    <w:name w:val="cucd-TB"/>
    <w:link w:val="cucd-TBCharChar"/>
    <w:qFormat/>
    <w:pPr>
      <w:spacing w:line="360" w:lineRule="auto"/>
      <w:jc w:val="center"/>
    </w:pPr>
    <w:rPr>
      <w:kern w:val="2"/>
      <w:sz w:val="21"/>
      <w:szCs w:val="24"/>
    </w:rPr>
  </w:style>
  <w:style w:type="character" w:customStyle="1" w:styleId="affb">
    <w:name w:val="称呼 字符"/>
    <w:link w:val="affa"/>
    <w:qFormat/>
    <w:rPr>
      <w:rFonts w:ascii="Calibri" w:eastAsia="宋体" w:hAnsi="Calibri" w:cs="Times New Roman"/>
      <w:sz w:val="24"/>
      <w:szCs w:val="21"/>
      <w:lang w:val="en-US" w:eastAsia="zh-CN" w:bidi="ar-SA"/>
    </w:rPr>
  </w:style>
  <w:style w:type="character" w:customStyle="1" w:styleId="CharChar43">
    <w:name w:val="Char Char43"/>
    <w:qFormat/>
    <w:rPr>
      <w:rFonts w:ascii="黑体" w:eastAsia="宋体" w:hAnsi="黑体" w:cs="Times New Roman" w:hint="eastAsia"/>
      <w:b/>
      <w:snapToGrid/>
      <w:color w:val="000000"/>
      <w:kern w:val="2"/>
      <w:sz w:val="44"/>
      <w:szCs w:val="24"/>
      <w:lang w:val="en-US" w:eastAsia="zh-CN" w:bidi="ar-SA"/>
    </w:rPr>
  </w:style>
  <w:style w:type="character" w:customStyle="1" w:styleId="scc">
    <w:name w:val="s c c"/>
    <w:qFormat/>
    <w:rPr>
      <w:rFonts w:ascii="Arial Black" w:eastAsia="Times New Roman" w:hAnsi="Arial Black" w:cs="Times New Roman"/>
      <w:sz w:val="21"/>
      <w:lang w:val="en-US" w:eastAsia="en-US" w:bidi="ar-SA"/>
    </w:rPr>
  </w:style>
  <w:style w:type="character" w:customStyle="1" w:styleId="Charfffffff0">
    <w:name w:val="表格题注 Char"/>
    <w:qFormat/>
    <w:rPr>
      <w:rFonts w:ascii="宋体" w:eastAsia="宋体" w:hAnsi="宋体" w:cs="Times New Roman"/>
      <w:snapToGrid/>
      <w:kern w:val="24"/>
      <w:sz w:val="24"/>
      <w:lang w:val="en-US" w:eastAsia="zh-CN" w:bidi="ar-SA"/>
    </w:rPr>
  </w:style>
  <w:style w:type="character" w:customStyle="1" w:styleId="ln1">
    <w:name w:val="ln1"/>
    <w:qFormat/>
    <w:rPr>
      <w:rFonts w:ascii="Tahoma" w:eastAsia="Times New Roman" w:hAnsi="Tahoma" w:cs="Times New Roman"/>
      <w:color w:val="000000"/>
      <w:sz w:val="28"/>
      <w:u w:val="none"/>
      <w:lang w:val="en-US" w:eastAsia="en-US" w:bidi="ar-SA"/>
    </w:rPr>
  </w:style>
  <w:style w:type="character" w:customStyle="1" w:styleId="h1501">
    <w:name w:val="h1501"/>
    <w:qFormat/>
    <w:rPr>
      <w:rFonts w:ascii="Times New Roman" w:eastAsia="宋体" w:hAnsi="Times New Roman" w:cs="Times New Roman"/>
      <w:sz w:val="28"/>
      <w:lang w:val="en-US" w:eastAsia="zh-CN" w:bidi="ar-SA"/>
    </w:rPr>
  </w:style>
  <w:style w:type="character" w:customStyle="1" w:styleId="CharChar70">
    <w:name w:val="Char Char7"/>
    <w:qFormat/>
    <w:rPr>
      <w:rFonts w:ascii="宋体" w:eastAsia="宋体" w:hAnsi="宋体" w:cs="Times New Roman"/>
      <w:b/>
      <w:bCs/>
      <w:kern w:val="2"/>
      <w:sz w:val="28"/>
      <w:szCs w:val="24"/>
      <w:lang w:val="en-US" w:eastAsia="zh-CN" w:bidi="ar-SA"/>
    </w:rPr>
  </w:style>
  <w:style w:type="character" w:customStyle="1" w:styleId="Char2f3">
    <w:name w:val="尾注文本 Char2"/>
    <w:qFormat/>
    <w:rPr>
      <w:rFonts w:ascii="Times New Roman" w:eastAsia="宋体" w:hAnsi="Times New Roman" w:cs="Times New Roman"/>
      <w:kern w:val="2"/>
      <w:sz w:val="21"/>
      <w:szCs w:val="22"/>
      <w:lang w:val="en-US" w:eastAsia="zh-CN" w:bidi="ar-SA"/>
    </w:rPr>
  </w:style>
  <w:style w:type="character" w:customStyle="1" w:styleId="Char1fe">
    <w:name w:val="正文(首缩进) Char1"/>
    <w:link w:val="afffffffffffff6"/>
    <w:qFormat/>
    <w:rPr>
      <w:rFonts w:asciiTheme="minorHAnsi" w:eastAsia="楷体_GB2312" w:hAnsiTheme="minorHAnsi" w:cstheme="minorBidi"/>
      <w:sz w:val="28"/>
      <w:lang w:val="en-US" w:eastAsia="zh-CN" w:bidi="ar-SA"/>
    </w:rPr>
  </w:style>
  <w:style w:type="paragraph" w:customStyle="1" w:styleId="afffffffffffff6">
    <w:name w:val="正文(首缩进)"/>
    <w:basedOn w:val="af1"/>
    <w:link w:val="Char1fe"/>
    <w:qFormat/>
    <w:pPr>
      <w:spacing w:afterLines="25" w:line="360" w:lineRule="auto"/>
      <w:ind w:firstLineChars="200" w:firstLine="560"/>
    </w:pPr>
    <w:rPr>
      <w:rFonts w:asciiTheme="minorHAnsi" w:eastAsia="楷体_GB2312" w:hAnsiTheme="minorHAnsi"/>
      <w:sz w:val="28"/>
      <w:szCs w:val="24"/>
    </w:rPr>
  </w:style>
  <w:style w:type="character" w:customStyle="1" w:styleId="Char1ff">
    <w:name w:val="批注主题 Char1"/>
    <w:qFormat/>
    <w:locked/>
    <w:rPr>
      <w:rFonts w:ascii="Calibri" w:eastAsia="宋体" w:hAnsi="Calibri" w:cs="Times New Roman"/>
      <w:b/>
      <w:bCs/>
      <w:kern w:val="28"/>
      <w:sz w:val="28"/>
      <w:szCs w:val="24"/>
      <w:lang w:val="en-US" w:eastAsia="zh-CN" w:bidi="ar-SA"/>
    </w:rPr>
  </w:style>
  <w:style w:type="character" w:customStyle="1" w:styleId="CharCharCharfa">
    <w:name w:val="文本匡小五号 Char Char Char"/>
    <w:qFormat/>
    <w:rPr>
      <w:rFonts w:ascii="Verdana" w:eastAsia="Times New Roman" w:hAnsi="Verdana" w:cs="Times New Roman"/>
      <w:kern w:val="2"/>
      <w:sz w:val="24"/>
      <w:lang w:val="en-US" w:eastAsia="zh-CN" w:bidi="ar-SA"/>
    </w:rPr>
  </w:style>
  <w:style w:type="character" w:customStyle="1" w:styleId="1ffd">
    <w:name w:val="副标题 字符1"/>
    <w:uiPriority w:val="11"/>
    <w:qFormat/>
    <w:rPr>
      <w:rFonts w:ascii="Times New Roman" w:eastAsia="宋体" w:hAnsi="Times New Roman" w:cs="Times New Roman"/>
      <w:b/>
      <w:bCs/>
      <w:kern w:val="28"/>
      <w:sz w:val="32"/>
      <w:szCs w:val="32"/>
      <w:lang w:val="en-US" w:eastAsia="zh-CN" w:bidi="ar-SA"/>
    </w:rPr>
  </w:style>
  <w:style w:type="character" w:customStyle="1" w:styleId="CharChar41">
    <w:name w:val="Char Char41"/>
    <w:qFormat/>
    <w:rPr>
      <w:rFonts w:ascii="黑体" w:eastAsia="黑体" w:hAnsi="黑体" w:cs="Times New Roman" w:hint="eastAsia"/>
      <w:b/>
      <w:snapToGrid/>
      <w:color w:val="008000"/>
      <w:kern w:val="2"/>
      <w:sz w:val="24"/>
      <w:szCs w:val="24"/>
      <w:lang w:val="en-US" w:eastAsia="zh-CN" w:bidi="ar-SA"/>
    </w:rPr>
  </w:style>
  <w:style w:type="character" w:customStyle="1" w:styleId="Charfffffff1">
    <w:name w:val="国寰表格 Char"/>
    <w:link w:val="afffffffffffff7"/>
    <w:qFormat/>
    <w:rPr>
      <w:rFonts w:asciiTheme="minorHAnsi" w:eastAsiaTheme="minorEastAsia" w:hAnsiTheme="minorHAnsi" w:cstheme="minorBidi"/>
      <w:sz w:val="18"/>
      <w:lang w:val="en-US" w:eastAsia="zh-CN" w:bidi="ar-SA"/>
    </w:rPr>
  </w:style>
  <w:style w:type="paragraph" w:customStyle="1" w:styleId="afffffffffffff7">
    <w:name w:val="国寰表格"/>
    <w:basedOn w:val="af1"/>
    <w:link w:val="Charfffffff1"/>
    <w:qFormat/>
    <w:pPr>
      <w:pBdr>
        <w:top w:val="none" w:sz="0" w:space="1" w:color="auto"/>
        <w:left w:val="none" w:sz="0" w:space="4" w:color="auto"/>
        <w:bottom w:val="none" w:sz="0" w:space="1" w:color="auto"/>
        <w:right w:val="none" w:sz="0" w:space="4" w:color="auto"/>
      </w:pBdr>
      <w:spacing w:line="280" w:lineRule="exact"/>
      <w:jc w:val="center"/>
    </w:pPr>
    <w:rPr>
      <w:rFonts w:asciiTheme="minorHAnsi" w:eastAsiaTheme="minorEastAsia" w:hAnsiTheme="minorHAnsi"/>
      <w:sz w:val="18"/>
      <w:szCs w:val="24"/>
    </w:rPr>
  </w:style>
  <w:style w:type="character" w:customStyle="1" w:styleId="06CharChar">
    <w:name w:val="样式 德胜表格内容 + 紧缩量  0.6 磅 Char Char"/>
    <w:link w:val="06"/>
    <w:qFormat/>
    <w:locked/>
    <w:rPr>
      <w:rFonts w:ascii="Times New Roman" w:eastAsia="宋体" w:hAnsi="Times New Roman" w:cs="Times New Roman"/>
      <w:color w:val="auto"/>
      <w:lang w:val="en-US" w:eastAsia="zh-CN" w:bidi="ar-SA"/>
    </w:rPr>
  </w:style>
  <w:style w:type="paragraph" w:customStyle="1" w:styleId="06">
    <w:name w:val="样式 德胜表格内容 + 紧缩量  0.6 磅"/>
    <w:basedOn w:val="afffffff8"/>
    <w:link w:val="06CharChar"/>
    <w:qFormat/>
    <w:rPr>
      <w:color w:val="auto"/>
    </w:rPr>
  </w:style>
  <w:style w:type="character" w:customStyle="1" w:styleId="2CharCharChar2">
    <w:name w:val="样式 标题 2节名节 + (中文) 宋体 Char Char Char"/>
    <w:qFormat/>
    <w:rPr>
      <w:rFonts w:ascii="Times New Roman" w:eastAsia="宋体" w:hAnsi="Times New Roman" w:cs="Times New Roman"/>
      <w:b/>
      <w:color w:val="000000"/>
      <w:kern w:val="2"/>
      <w:sz w:val="30"/>
      <w:szCs w:val="28"/>
      <w:lang w:val="en-US" w:eastAsia="zh-CN" w:bidi="ar-SA"/>
    </w:rPr>
  </w:style>
  <w:style w:type="character" w:customStyle="1" w:styleId="Char39">
    <w:name w:val="正文首行缩进 Char3"/>
    <w:qFormat/>
    <w:rPr>
      <w:rFonts w:ascii="Times New Roman" w:eastAsia="宋体" w:hAnsi="Times New Roman" w:cs="Times New Roman"/>
      <w:kern w:val="2"/>
      <w:sz w:val="21"/>
      <w:szCs w:val="22"/>
      <w:lang w:val="en-US" w:eastAsia="zh-CN" w:bidi="ar-SA"/>
    </w:rPr>
  </w:style>
  <w:style w:type="character" w:customStyle="1" w:styleId="CharCharffff4">
    <w:name w:val="段落 Char Char"/>
    <w:qFormat/>
    <w:rPr>
      <w:rFonts w:ascii="Times New Roman" w:eastAsia="宋体" w:hAnsi="Times New Roman" w:cs="Times New Roman"/>
      <w:kern w:val="2"/>
      <w:sz w:val="24"/>
      <w:szCs w:val="24"/>
      <w:lang w:val="en-US" w:eastAsia="zh-CN" w:bidi="ar-SA"/>
    </w:rPr>
  </w:style>
  <w:style w:type="character" w:customStyle="1" w:styleId="2CharChare">
    <w:name w:val="正文文本缩进 2 Char Char"/>
    <w:link w:val="224"/>
    <w:qFormat/>
    <w:locked/>
    <w:rPr>
      <w:rFonts w:asciiTheme="minorHAnsi" w:eastAsiaTheme="minorEastAsia" w:hAnsiTheme="minorHAnsi" w:cstheme="minorBidi"/>
      <w:szCs w:val="22"/>
      <w:lang w:val="en-US" w:eastAsia="zh-CN" w:bidi="ar-SA"/>
    </w:rPr>
  </w:style>
  <w:style w:type="paragraph" w:customStyle="1" w:styleId="224">
    <w:name w:val="正文文本缩进 22"/>
    <w:basedOn w:val="af1"/>
    <w:link w:val="2CharChare"/>
    <w:qFormat/>
    <w:pPr>
      <w:widowControl/>
      <w:spacing w:line="400" w:lineRule="atLeast"/>
      <w:ind w:firstLine="480"/>
      <w:jc w:val="left"/>
    </w:pPr>
    <w:rPr>
      <w:rFonts w:asciiTheme="minorHAnsi" w:eastAsiaTheme="minorEastAsia" w:hAnsiTheme="minorHAnsi"/>
    </w:rPr>
  </w:style>
  <w:style w:type="character" w:customStyle="1" w:styleId="ht1">
    <w:name w:val="ht1"/>
    <w:qFormat/>
    <w:rPr>
      <w:rFonts w:ascii="黑体" w:eastAsia="黑体" w:hAnsi="Times New Roman" w:cs="Times New Roman"/>
      <w:b/>
      <w:lang w:val="en-US" w:eastAsia="zh-CN" w:bidi="ar-SA"/>
    </w:rPr>
  </w:style>
  <w:style w:type="character" w:customStyle="1" w:styleId="31113h33rdlevelH3l3CTHeading3-oldBoldHeCharCharChar">
    <w:name w:val="样式 标题 3条标题1.1.13h33rd levelH3l3CTHeading 3 - oldBold He... Char Char Char"/>
    <w:qFormat/>
    <w:rPr>
      <w:rFonts w:ascii="黑体" w:eastAsia="宋体" w:hAnsi="宋体" w:cs="Times New Roman"/>
      <w:b/>
      <w:color w:val="000000"/>
      <w:sz w:val="32"/>
      <w:lang w:val="en-US" w:eastAsia="zh-CN" w:bidi="ar-SA"/>
    </w:rPr>
  </w:style>
  <w:style w:type="character" w:customStyle="1" w:styleId="GB23121">
    <w:name w:val="样式 仿宋_GB2312 小四 黑色"/>
    <w:qFormat/>
    <w:rPr>
      <w:rFonts w:ascii="仿宋_GB2312" w:eastAsia="Times New Roman" w:hAnsi="仿宋_GB2312" w:cs="Times New Roman"/>
      <w:color w:val="000000"/>
      <w:kern w:val="2"/>
      <w:sz w:val="24"/>
      <w:lang w:val="en-US" w:eastAsia="zh-CN" w:bidi="ar-SA"/>
    </w:rPr>
  </w:style>
  <w:style w:type="character" w:customStyle="1" w:styleId="CharCharCharCharCharCharCharCharCharCharChar0">
    <w:name w:val="Char Char Char Char Char Char Char Char Char Char Char"/>
    <w:link w:val="CharCharCharCharCharCharCharCharChar0"/>
    <w:qFormat/>
    <w:rPr>
      <w:rFonts w:ascii="Verdana" w:eastAsia="仿宋_GB2312" w:hAnsi="Verdana" w:cstheme="minorBidi"/>
      <w:sz w:val="24"/>
      <w:szCs w:val="22"/>
      <w:lang w:val="en-US" w:eastAsia="en-US" w:bidi="ar-SA"/>
    </w:rPr>
  </w:style>
  <w:style w:type="paragraph" w:customStyle="1" w:styleId="CharCharCharCharCharCharCharCharChar0">
    <w:name w:val="Char Char Char Char Char Char Char Char Char"/>
    <w:basedOn w:val="af1"/>
    <w:link w:val="CharCharCharCharCharCharCharCharCharCharChar0"/>
    <w:qFormat/>
    <w:pPr>
      <w:spacing w:after="160" w:line="240" w:lineRule="exact"/>
    </w:pPr>
    <w:rPr>
      <w:rFonts w:ascii="Verdana" w:eastAsia="仿宋_GB2312" w:hAnsi="Verdana"/>
      <w:sz w:val="24"/>
      <w:lang w:eastAsia="en-US"/>
    </w:rPr>
  </w:style>
  <w:style w:type="character" w:customStyle="1" w:styleId="1CharChar11">
    <w:name w:val="样式 标题 1 + 红色 Char Char1"/>
    <w:link w:val="1Charf5"/>
    <w:qFormat/>
    <w:rPr>
      <w:rFonts w:ascii="Times New Roman" w:eastAsiaTheme="minorEastAsia" w:hAnsi="宋体" w:cstheme="minorBidi"/>
      <w:color w:val="FF0000"/>
      <w:kern w:val="44"/>
      <w:sz w:val="32"/>
      <w:szCs w:val="22"/>
      <w:lang w:val="en-US" w:eastAsia="zh-CN" w:bidi="ar-SA"/>
    </w:rPr>
  </w:style>
  <w:style w:type="paragraph" w:customStyle="1" w:styleId="1Charf5">
    <w:name w:val="样式 标题 1 + 红色 Char"/>
    <w:basedOn w:val="1"/>
    <w:link w:val="1CharChar11"/>
    <w:qFormat/>
    <w:pPr>
      <w:tabs>
        <w:tab w:val="left" w:pos="432"/>
      </w:tabs>
      <w:spacing w:before="340" w:after="330" w:line="576" w:lineRule="auto"/>
      <w:jc w:val="both"/>
    </w:pPr>
    <w:rPr>
      <w:rFonts w:eastAsiaTheme="minorEastAsia" w:hAnsi="宋体" w:cstheme="minorBidi"/>
      <w:bCs w:val="0"/>
      <w:color w:val="FF0000"/>
      <w:kern w:val="44"/>
      <w:sz w:val="32"/>
      <w:szCs w:val="22"/>
    </w:rPr>
  </w:style>
  <w:style w:type="character" w:customStyle="1" w:styleId="CharCharCharCharCharCharChar5">
    <w:name w:val="表格内容 Char Char Char Char Char Char Char"/>
    <w:qFormat/>
    <w:rPr>
      <w:rFonts w:ascii="宋体" w:eastAsia="宋体" w:hAnsi="Times New Roman" w:cs="Times New Roman"/>
      <w:snapToGrid/>
      <w:sz w:val="24"/>
      <w:lang w:val="en-US" w:eastAsia="zh-CN" w:bidi="ar-SA"/>
    </w:rPr>
  </w:style>
  <w:style w:type="character" w:customStyle="1" w:styleId="Char1CharChar0">
    <w:name w:val="表正文 Char1 Char Char"/>
    <w:qFormat/>
    <w:rPr>
      <w:rFonts w:ascii="Arial Black" w:eastAsia="Times New Roman" w:hAnsi="Arial Black" w:cs="Times New Roman"/>
      <w:sz w:val="21"/>
      <w:lang w:val="en-US" w:eastAsia="zh-CN" w:bidi="ar-SA"/>
    </w:rPr>
  </w:style>
  <w:style w:type="character" w:customStyle="1" w:styleId="SignatureChar">
    <w:name w:val="Signature Char"/>
    <w:qFormat/>
    <w:locked/>
    <w:rPr>
      <w:rFonts w:ascii="Verdana" w:eastAsia="宋体" w:hAnsi="Verdana" w:cs="Times New Roman"/>
      <w:sz w:val="32"/>
      <w:lang w:val="en-US" w:eastAsia="zh-CN" w:bidi="ar-SA"/>
    </w:rPr>
  </w:style>
  <w:style w:type="character" w:customStyle="1" w:styleId="affff">
    <w:name w:val="列表 字符"/>
    <w:link w:val="afffe"/>
    <w:qFormat/>
    <w:locked/>
    <w:rPr>
      <w:rFonts w:ascii="仿宋_GB2312" w:eastAsia="仿宋_GB2312" w:hAnsiTheme="minorHAnsi" w:cstheme="minorBidi"/>
      <w:sz w:val="24"/>
      <w:szCs w:val="22"/>
      <w:lang w:val="en-US" w:eastAsia="zh-CN" w:bidi="ar-SA"/>
    </w:rPr>
  </w:style>
  <w:style w:type="character" w:customStyle="1" w:styleId="contentcolor">
    <w:name w:val="contentcolor"/>
    <w:qFormat/>
    <w:rPr>
      <w:rFonts w:ascii="Times New Roman" w:eastAsia="宋体" w:hAnsi="Times New Roman" w:cs="Times New Roman"/>
      <w:kern w:val="2"/>
      <w:sz w:val="24"/>
      <w:szCs w:val="24"/>
      <w:lang w:val="en-US" w:eastAsia="zh-CN" w:bidi="ar-SA"/>
    </w:rPr>
  </w:style>
  <w:style w:type="character" w:customStyle="1" w:styleId="CharCharffff5">
    <w:name w:val="泸县焦化三级标题 Char Char"/>
    <w:link w:val="afffffffffffff8"/>
    <w:qFormat/>
    <w:locked/>
    <w:rPr>
      <w:rFonts w:asciiTheme="minorHAnsi" w:eastAsiaTheme="minorEastAsia" w:hAnsiTheme="minorHAnsi" w:cstheme="minorBidi"/>
      <w:b/>
      <w:sz w:val="24"/>
      <w:szCs w:val="22"/>
      <w:lang w:val="en-US" w:eastAsia="zh-CN" w:bidi="ar-SA"/>
    </w:rPr>
  </w:style>
  <w:style w:type="paragraph" w:customStyle="1" w:styleId="afffffffffffff8">
    <w:name w:val="泸县焦化三级标题"/>
    <w:basedOn w:val="af1"/>
    <w:link w:val="CharCharffff5"/>
    <w:qFormat/>
    <w:pPr>
      <w:keepNext/>
      <w:keepLines/>
      <w:widowControl/>
      <w:autoSpaceDE w:val="0"/>
      <w:autoSpaceDN w:val="0"/>
      <w:adjustRightInd w:val="0"/>
      <w:snapToGrid w:val="0"/>
      <w:spacing w:line="360" w:lineRule="auto"/>
      <w:jc w:val="left"/>
      <w:outlineLvl w:val="2"/>
    </w:pPr>
    <w:rPr>
      <w:rFonts w:asciiTheme="minorHAnsi" w:eastAsiaTheme="minorEastAsia" w:hAnsiTheme="minorHAnsi"/>
      <w:b/>
      <w:sz w:val="24"/>
    </w:rPr>
  </w:style>
  <w:style w:type="character" w:customStyle="1" w:styleId="858D7CFB-ED40-4347-BF05-701D383B685F">
    <w:name w:val="纯文本[858D7CFB-ED40-4347-BF05-701D383B685F]"/>
    <w:qFormat/>
    <w:rPr>
      <w:rFonts w:ascii="宋体" w:eastAsia="宋体" w:hAnsi="宋体" w:cs="Times New Roman"/>
      <w:sz w:val="24"/>
      <w:lang w:val="en-US" w:eastAsia="zh-CN" w:bidi="ar-SA"/>
    </w:rPr>
  </w:style>
  <w:style w:type="character" w:customStyle="1" w:styleId="large1">
    <w:name w:val="large1"/>
    <w:qFormat/>
    <w:rPr>
      <w:rFonts w:ascii="宋体" w:eastAsia="宋体" w:hAnsi="宋体" w:cs="Times New Roman"/>
      <w:sz w:val="24"/>
      <w:lang w:val="en-US" w:eastAsia="zh-CN" w:bidi="ar-SA"/>
    </w:rPr>
  </w:style>
  <w:style w:type="character" w:customStyle="1" w:styleId="BodyTextIndentChar">
    <w:name w:val="Body Text Indent Char"/>
    <w:qFormat/>
    <w:locked/>
    <w:rPr>
      <w:rFonts w:ascii="Times New Roman" w:eastAsia="宋体" w:hAnsi="Times New Roman" w:cs="Times New Roman"/>
      <w:color w:val="0000FF"/>
      <w:kern w:val="2"/>
      <w:sz w:val="24"/>
      <w:lang w:val="en-US" w:eastAsia="zh-CN" w:bidi="ar-SA"/>
    </w:rPr>
  </w:style>
  <w:style w:type="character" w:customStyle="1" w:styleId="menu1">
    <w:name w:val="menu1"/>
    <w:basedOn w:val="af3"/>
    <w:qFormat/>
    <w:rPr>
      <w:rFonts w:ascii="Times New Roman" w:eastAsia="宋体" w:hAnsi="Times New Roman" w:cs="Times New Roman"/>
      <w:lang w:val="en-US" w:eastAsia="zh-CN" w:bidi="ar-SA"/>
    </w:rPr>
  </w:style>
  <w:style w:type="character" w:customStyle="1" w:styleId="-1Char">
    <w:name w:val="表格-样式1 Char"/>
    <w:link w:val="-10"/>
    <w:qFormat/>
    <w:locked/>
    <w:rPr>
      <w:rFonts w:asciiTheme="minorHAnsi" w:eastAsiaTheme="minorEastAsia" w:hAnsi="Times New Roman" w:cs="Times New Roman"/>
      <w:sz w:val="21"/>
      <w:szCs w:val="21"/>
      <w:lang w:val="en-US" w:eastAsia="zh-CN" w:bidi="ar-SA"/>
    </w:rPr>
  </w:style>
  <w:style w:type="paragraph" w:customStyle="1" w:styleId="-10">
    <w:name w:val="表格-样式1"/>
    <w:basedOn w:val="afffe"/>
    <w:link w:val="-1Char"/>
    <w:qFormat/>
    <w:pPr>
      <w:adjustRightInd w:val="0"/>
      <w:snapToGrid w:val="0"/>
      <w:spacing w:line="360" w:lineRule="auto"/>
      <w:contextualSpacing/>
    </w:pPr>
    <w:rPr>
      <w:rFonts w:asciiTheme="minorHAnsi" w:eastAsiaTheme="minorEastAsia"/>
      <w:sz w:val="21"/>
      <w:szCs w:val="21"/>
    </w:rPr>
  </w:style>
  <w:style w:type="paragraph" w:customStyle="1" w:styleId="999">
    <w:name w:val="正文999"/>
    <w:basedOn w:val="af1"/>
    <w:qFormat/>
    <w:pPr>
      <w:widowControl/>
      <w:spacing w:line="360" w:lineRule="auto"/>
      <w:ind w:firstLineChars="200" w:firstLine="480"/>
      <w:jc w:val="left"/>
    </w:pPr>
    <w:rPr>
      <w:rFonts w:ascii="Verdana" w:hAnsi="Verdana" w:cs="仿宋_GB2312"/>
      <w:sz w:val="24"/>
      <w:szCs w:val="24"/>
    </w:rPr>
  </w:style>
  <w:style w:type="paragraph" w:customStyle="1" w:styleId="Char4CharCharChar2">
    <w:name w:val="Char4 Char Char Char2"/>
    <w:basedOn w:val="af1"/>
    <w:qFormat/>
    <w:pPr>
      <w:adjustRightInd w:val="0"/>
      <w:snapToGrid w:val="0"/>
      <w:spacing w:line="360" w:lineRule="auto"/>
      <w:ind w:firstLineChars="200" w:firstLine="200"/>
    </w:pPr>
    <w:rPr>
      <w:rFonts w:ascii="Calibri" w:hAnsi="Calibri" w:cs="Times New Roman"/>
      <w:sz w:val="24"/>
      <w:szCs w:val="20"/>
    </w:rPr>
  </w:style>
  <w:style w:type="paragraph" w:customStyle="1" w:styleId="116">
    <w:name w:val="样式11"/>
    <w:basedOn w:val="af1"/>
    <w:qFormat/>
    <w:pPr>
      <w:tabs>
        <w:tab w:val="left" w:pos="1260"/>
      </w:tabs>
      <w:adjustRightInd w:val="0"/>
      <w:snapToGrid w:val="0"/>
      <w:spacing w:line="312" w:lineRule="auto"/>
      <w:ind w:left="1260" w:hanging="420"/>
    </w:pPr>
    <w:rPr>
      <w:rFonts w:ascii="仿宋_GB2312" w:eastAsia="仿宋_GB2312" w:hAnsi="Calibri" w:cs="Times New Roman"/>
      <w:sz w:val="28"/>
      <w:szCs w:val="24"/>
    </w:rPr>
  </w:style>
  <w:style w:type="paragraph" w:customStyle="1" w:styleId="20982">
    <w:name w:val="样式 正文文本缩进 2 + 左侧:  0.98 厘米 首行缩进:  2 字符"/>
    <w:basedOn w:val="215"/>
    <w:qFormat/>
    <w:pPr>
      <w:ind w:firstLine="560"/>
    </w:pPr>
    <w:rPr>
      <w:rFonts w:ascii="Times New Roman" w:eastAsia="仿宋_GB2312"/>
      <w:sz w:val="28"/>
    </w:rPr>
  </w:style>
  <w:style w:type="paragraph" w:customStyle="1" w:styleId="215">
    <w:name w:val="正文文本缩进 21"/>
    <w:basedOn w:val="af1"/>
    <w:qFormat/>
    <w:pPr>
      <w:snapToGrid w:val="0"/>
      <w:spacing w:line="360" w:lineRule="auto"/>
      <w:ind w:firstLineChars="200" w:firstLine="200"/>
    </w:pPr>
    <w:rPr>
      <w:rFonts w:ascii="宋体" w:hAnsi="Calibri" w:cs="Times New Roman"/>
      <w:color w:val="339966"/>
      <w:sz w:val="24"/>
      <w:szCs w:val="20"/>
    </w:rPr>
  </w:style>
  <w:style w:type="paragraph" w:customStyle="1" w:styleId="Bullet">
    <w:name w:val="Bullet"/>
    <w:qFormat/>
    <w:pPr>
      <w:widowControl w:val="0"/>
      <w:autoSpaceDE w:val="0"/>
      <w:autoSpaceDN w:val="0"/>
      <w:adjustRightInd w:val="0"/>
      <w:ind w:left="288"/>
      <w:textAlignment w:val="baseline"/>
    </w:pPr>
    <w:rPr>
      <w:rFonts w:ascii="宋体" w:eastAsia="宋体" w:hAnsi="Times New Roman" w:cs="Times New Roman"/>
      <w:color w:val="000000"/>
      <w:sz w:val="24"/>
    </w:rPr>
  </w:style>
  <w:style w:type="paragraph" w:customStyle="1" w:styleId="MyList-4">
    <w:name w:val="MyList-4"/>
    <w:basedOn w:val="MyList-3"/>
    <w:qFormat/>
    <w:pPr>
      <w:numPr>
        <w:ilvl w:val="3"/>
      </w:numPr>
    </w:pPr>
  </w:style>
  <w:style w:type="paragraph" w:customStyle="1" w:styleId="MyList-3">
    <w:name w:val="MyList-3"/>
    <w:basedOn w:val="MyList-2"/>
    <w:qFormat/>
    <w:pPr>
      <w:numPr>
        <w:ilvl w:val="2"/>
      </w:numPr>
      <w:spacing w:beforeLines="0"/>
      <w:outlineLvl w:val="2"/>
    </w:pPr>
    <w:rPr>
      <w:b w:val="0"/>
    </w:rPr>
  </w:style>
  <w:style w:type="paragraph" w:customStyle="1" w:styleId="MyList-2">
    <w:name w:val="MyList-2"/>
    <w:basedOn w:val="MyList-1"/>
    <w:qFormat/>
    <w:pPr>
      <w:numPr>
        <w:ilvl w:val="1"/>
      </w:numPr>
      <w:spacing w:beforeLines="25" w:afterLines="0"/>
      <w:outlineLvl w:val="1"/>
    </w:pPr>
  </w:style>
  <w:style w:type="paragraph" w:customStyle="1" w:styleId="MyList-1">
    <w:name w:val="MyList-1"/>
    <w:qFormat/>
    <w:pPr>
      <w:widowControl w:val="0"/>
      <w:numPr>
        <w:numId w:val="13"/>
      </w:numPr>
      <w:spacing w:beforeLines="50" w:afterLines="25" w:line="360" w:lineRule="auto"/>
      <w:outlineLvl w:val="0"/>
    </w:pPr>
    <w:rPr>
      <w:rFonts w:ascii="Calibri" w:eastAsia="宋体" w:hAnsi="Calibri" w:cs="Times New Roman"/>
      <w:b/>
      <w:kern w:val="2"/>
      <w:sz w:val="24"/>
      <w:szCs w:val="24"/>
    </w:rPr>
  </w:style>
  <w:style w:type="paragraph" w:customStyle="1" w:styleId="afffffffffffff9">
    <w:name w:val="新正文样式"/>
    <w:basedOn w:val="af1"/>
    <w:qFormat/>
    <w:pPr>
      <w:tabs>
        <w:tab w:val="left" w:pos="567"/>
      </w:tabs>
      <w:spacing w:line="360" w:lineRule="auto"/>
      <w:ind w:firstLineChars="200" w:firstLine="560"/>
    </w:pPr>
    <w:rPr>
      <w:rFonts w:ascii="Calibri" w:eastAsia="华文中宋" w:hAnsi="Calibri" w:cs="Times New Roman"/>
      <w:spacing w:val="20"/>
      <w:sz w:val="24"/>
      <w:szCs w:val="20"/>
    </w:rPr>
  </w:style>
  <w:style w:type="paragraph" w:customStyle="1" w:styleId="afffffffffffffa">
    <w:name w:val="二章表格标题"/>
    <w:basedOn w:val="af1"/>
    <w:qFormat/>
    <w:pPr>
      <w:spacing w:line="360" w:lineRule="auto"/>
      <w:jc w:val="center"/>
    </w:pPr>
    <w:rPr>
      <w:rFonts w:ascii="Calibri" w:eastAsia="黑体" w:hAnsi="Calibri" w:cs="Times New Roman"/>
      <w:sz w:val="24"/>
      <w:szCs w:val="20"/>
    </w:rPr>
  </w:style>
  <w:style w:type="paragraph" w:customStyle="1" w:styleId="text3">
    <w:name w:val="text3"/>
    <w:basedOn w:val="af1"/>
    <w:qFormat/>
    <w:pPr>
      <w:widowControl/>
      <w:spacing w:before="100" w:beforeAutospacing="1" w:after="100" w:afterAutospacing="1" w:line="300" w:lineRule="atLeast"/>
      <w:jc w:val="left"/>
    </w:pPr>
    <w:rPr>
      <w:rFonts w:ascii="宋体" w:hAnsi="宋体" w:cs="Times New Roman"/>
      <w:color w:val="000000"/>
      <w:kern w:val="0"/>
      <w:sz w:val="24"/>
      <w:szCs w:val="24"/>
    </w:rPr>
  </w:style>
  <w:style w:type="paragraph" w:customStyle="1" w:styleId="2Q">
    <w:name w:val="列表 2Q"/>
    <w:basedOn w:val="25"/>
    <w:qFormat/>
    <w:pPr>
      <w:widowControl/>
      <w:tabs>
        <w:tab w:val="left" w:pos="737"/>
      </w:tabs>
      <w:spacing w:beforeAutospacing="1" w:after="100" w:afterAutospacing="1" w:line="288" w:lineRule="auto"/>
      <w:ind w:leftChars="0" w:left="737" w:firstLineChars="0" w:hanging="567"/>
      <w:jc w:val="left"/>
    </w:pPr>
    <w:rPr>
      <w:rFonts w:ascii="Courier New" w:eastAsia="宋体" w:hAnsi="Courier New" w:cs="仿宋_GB2312"/>
      <w:color w:val="FFFF99"/>
      <w:kern w:val="2"/>
      <w:sz w:val="24"/>
      <w:szCs w:val="20"/>
    </w:rPr>
  </w:style>
  <w:style w:type="paragraph" w:customStyle="1" w:styleId="Char2CharCharCharCharCharChar1CharCharCharCharCharChar">
    <w:name w:val="Char2 Char Char Char Char Char Char1 Char Char Char Char Char Char"/>
    <w:basedOn w:val="af1"/>
    <w:qFormat/>
    <w:pPr>
      <w:spacing w:line="360" w:lineRule="auto"/>
      <w:ind w:firstLineChars="200" w:firstLine="200"/>
    </w:pPr>
    <w:rPr>
      <w:rFonts w:ascii="宋体" w:hAnsi="宋体" w:cs="宋体"/>
      <w:sz w:val="24"/>
      <w:szCs w:val="24"/>
    </w:rPr>
  </w:style>
  <w:style w:type="paragraph" w:customStyle="1" w:styleId="CharCharCharCharCharChar1Char">
    <w:name w:val="Char Char Char Char Char Char1 Char"/>
    <w:basedOn w:val="af1"/>
    <w:qFormat/>
    <w:pPr>
      <w:spacing w:line="360" w:lineRule="auto"/>
      <w:ind w:firstLineChars="200" w:firstLine="200"/>
    </w:pPr>
    <w:rPr>
      <w:rFonts w:ascii="宋体" w:hAnsi="宋体" w:cs="Times New Roman"/>
      <w:sz w:val="24"/>
      <w:szCs w:val="20"/>
    </w:rPr>
  </w:style>
  <w:style w:type="paragraph" w:customStyle="1" w:styleId="225">
    <w:name w:val="样式 样式 样式 样式 样式 样式 样式 样式 样式 样式 样式 首行缩进:  2 字符 + 首行缩进:  2 字符 + 首行缩..."/>
    <w:basedOn w:val="af1"/>
    <w:qFormat/>
    <w:pPr>
      <w:spacing w:line="360" w:lineRule="auto"/>
      <w:ind w:firstLine="480"/>
    </w:pPr>
    <w:rPr>
      <w:rFonts w:ascii="宋体" w:hAnsi="Calibri" w:cs="宋体"/>
      <w:szCs w:val="20"/>
    </w:rPr>
  </w:style>
  <w:style w:type="paragraph" w:customStyle="1" w:styleId="afffffffffffffb">
    <w:name w:val="基准页眉样式"/>
    <w:basedOn w:val="affe"/>
    <w:qFormat/>
    <w:pPr>
      <w:spacing w:after="0" w:line="360" w:lineRule="auto"/>
      <w:jc w:val="center"/>
    </w:pPr>
    <w:rPr>
      <w:rFonts w:ascii="Calibri" w:eastAsia="宋体" w:hAnsi="Calibri" w:cs="Times New Roman"/>
      <w:sz w:val="24"/>
      <w:szCs w:val="20"/>
    </w:rPr>
  </w:style>
  <w:style w:type="paragraph" w:customStyle="1" w:styleId="afffffffffffffc">
    <w:name w:val="第三章图标题"/>
    <w:basedOn w:val="af1"/>
    <w:next w:val="af1"/>
    <w:qFormat/>
    <w:pPr>
      <w:tabs>
        <w:tab w:val="left" w:pos="851"/>
        <w:tab w:val="left" w:pos="1021"/>
      </w:tabs>
      <w:spacing w:line="360" w:lineRule="auto"/>
      <w:jc w:val="center"/>
    </w:pPr>
    <w:rPr>
      <w:rFonts w:eastAsia="黑体" w:cs="Times New Roman"/>
      <w:sz w:val="24"/>
      <w:szCs w:val="24"/>
    </w:rPr>
  </w:style>
  <w:style w:type="paragraph" w:customStyle="1" w:styleId="afffffffffffffd">
    <w:name w:val="附录"/>
    <w:basedOn w:val="1"/>
    <w:next w:val="af1"/>
    <w:qFormat/>
    <w:pPr>
      <w:widowControl/>
      <w:tabs>
        <w:tab w:val="left" w:pos="390"/>
      </w:tabs>
      <w:adjustRightInd w:val="0"/>
      <w:snapToGrid w:val="0"/>
      <w:spacing w:after="220" w:line="240" w:lineRule="auto"/>
      <w:ind w:left="390" w:hanging="390"/>
    </w:pPr>
    <w:rPr>
      <w:rFonts w:ascii="Times New Roman"/>
      <w:bCs w:val="0"/>
      <w:color w:val="0000FF"/>
      <w:spacing w:val="-10"/>
      <w:kern w:val="28"/>
      <w:sz w:val="30"/>
      <w:szCs w:val="20"/>
    </w:rPr>
  </w:style>
  <w:style w:type="paragraph" w:customStyle="1" w:styleId="1ffe">
    <w:name w:val="列表段落1"/>
    <w:basedOn w:val="af1"/>
    <w:qFormat/>
    <w:pPr>
      <w:ind w:firstLineChars="200" w:firstLine="420"/>
    </w:pPr>
    <w:rPr>
      <w:rFonts w:cs="Times New Roman"/>
    </w:rPr>
  </w:style>
  <w:style w:type="paragraph" w:customStyle="1" w:styleId="wg">
    <w:name w:val="wg"/>
    <w:basedOn w:val="af1"/>
    <w:qFormat/>
    <w:pPr>
      <w:widowControl/>
      <w:jc w:val="left"/>
    </w:pPr>
    <w:rPr>
      <w:rFonts w:ascii="Calibri" w:hAnsi="Calibri" w:cs="Times New Roman"/>
      <w:sz w:val="28"/>
      <w:szCs w:val="20"/>
    </w:rPr>
  </w:style>
  <w:style w:type="paragraph" w:customStyle="1" w:styleId="bgbt6">
    <w:name w:val="bgbt6插图标题"/>
    <w:basedOn w:val="af1"/>
    <w:next w:val="af1"/>
    <w:qFormat/>
    <w:pPr>
      <w:spacing w:after="60" w:line="360" w:lineRule="auto"/>
      <w:jc w:val="center"/>
      <w:outlineLvl w:val="5"/>
    </w:pPr>
    <w:rPr>
      <w:rFonts w:ascii="Calibri" w:eastAsia="黑体" w:hAnsi="Calibri" w:cs="Times New Roman"/>
      <w:sz w:val="24"/>
      <w:szCs w:val="20"/>
    </w:rPr>
  </w:style>
  <w:style w:type="paragraph" w:customStyle="1" w:styleId="afffffffffffffe">
    <w:name w:val="表样式"/>
    <w:basedOn w:val="affffffffffffff"/>
    <w:qFormat/>
    <w:pPr>
      <w:keepNext w:val="0"/>
      <w:widowControl w:val="0"/>
      <w:spacing w:line="240" w:lineRule="auto"/>
    </w:pPr>
    <w:rPr>
      <w:rFonts w:ascii="??" w:eastAsia="楷体"/>
      <w:sz w:val="21"/>
    </w:rPr>
  </w:style>
  <w:style w:type="paragraph" w:customStyle="1" w:styleId="affffffffffffff">
    <w:name w:val="表头样式"/>
    <w:basedOn w:val="af1"/>
    <w:qFormat/>
    <w:pPr>
      <w:keepNext/>
      <w:widowControl/>
      <w:spacing w:beforeLines="50" w:afterLines="50" w:line="520" w:lineRule="exact"/>
      <w:ind w:firstLineChars="100" w:firstLine="280"/>
      <w:jc w:val="left"/>
    </w:pPr>
    <w:rPr>
      <w:rFonts w:ascii="Verdana" w:hAnsi="Verdana" w:cs="Verdana"/>
      <w:bCs/>
      <w:sz w:val="28"/>
      <w:szCs w:val="28"/>
    </w:rPr>
  </w:style>
  <w:style w:type="paragraph" w:customStyle="1" w:styleId="affffffffffffff0">
    <w:name w:val="哎哎哎"/>
    <w:basedOn w:val="af1"/>
    <w:qFormat/>
    <w:pPr>
      <w:spacing w:line="360" w:lineRule="auto"/>
      <w:ind w:firstLineChars="200" w:firstLine="200"/>
    </w:pPr>
    <w:rPr>
      <w:rFonts w:ascii="Calibri" w:hAnsi="Calibri" w:cs="Times New Roman"/>
      <w:sz w:val="24"/>
      <w:szCs w:val="24"/>
    </w:rPr>
  </w:style>
  <w:style w:type="paragraph" w:customStyle="1" w:styleId="xl111">
    <w:name w:val="xl111"/>
    <w:basedOn w:val="af1"/>
    <w:qFormat/>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reader-word-layerreader-word-s1-7">
    <w:name w:val="reader-word-layer reader-word-s1-7"/>
    <w:basedOn w:val="af1"/>
    <w:qFormat/>
    <w:pPr>
      <w:widowControl/>
      <w:spacing w:before="100" w:beforeAutospacing="1" w:after="100" w:afterAutospacing="1"/>
      <w:jc w:val="left"/>
    </w:pPr>
    <w:rPr>
      <w:rFonts w:ascii="宋体" w:hAnsi="宋体" w:cs="宋体"/>
      <w:kern w:val="0"/>
      <w:sz w:val="24"/>
      <w:szCs w:val="24"/>
    </w:rPr>
  </w:style>
  <w:style w:type="paragraph" w:customStyle="1" w:styleId="1115">
    <w:name w:val="样式 样式11 + 居中 行距: 固定值 15 磅"/>
    <w:basedOn w:val="af1"/>
    <w:qFormat/>
    <w:pPr>
      <w:spacing w:line="300" w:lineRule="exact"/>
      <w:jc w:val="center"/>
    </w:pPr>
    <w:rPr>
      <w:rFonts w:ascii="Calibri" w:hAnsi="Calibri" w:cs="Times New Roman"/>
      <w:color w:val="000000"/>
      <w:szCs w:val="20"/>
    </w:rPr>
  </w:style>
  <w:style w:type="paragraph" w:customStyle="1" w:styleId="CharChar19">
    <w:name w:val="表号 Char Char1"/>
    <w:basedOn w:val="af1"/>
    <w:qFormat/>
    <w:pPr>
      <w:overflowPunct w:val="0"/>
      <w:topLinePunct/>
      <w:ind w:firstLineChars="200" w:firstLine="200"/>
      <w:outlineLvl w:val="5"/>
    </w:pPr>
    <w:rPr>
      <w:rFonts w:ascii="Calibri" w:hAnsi="Calibri" w:cs="Times New Roman"/>
      <w:szCs w:val="24"/>
    </w:rPr>
  </w:style>
  <w:style w:type="paragraph" w:customStyle="1" w:styleId="CharCharCharCharCharChar6">
    <w:name w:val="样式 纯文本普通文字 Char普通文字 Char Char Char普通文字 Char Char + 四号 行距: 固定..."/>
    <w:basedOn w:val="afff1"/>
    <w:qFormat/>
    <w:pPr>
      <w:spacing w:line="500" w:lineRule="exact"/>
      <w:ind w:firstLineChars="200" w:firstLine="560"/>
    </w:pPr>
    <w:rPr>
      <w:rFonts w:ascii="Times New Roman" w:hAnsi="Times New Roman" w:cs="Times New Roman"/>
      <w:color w:val="0000CC"/>
      <w:sz w:val="28"/>
      <w:szCs w:val="28"/>
    </w:rPr>
  </w:style>
  <w:style w:type="paragraph" w:customStyle="1" w:styleId="affffffffffffff1">
    <w:name w:val="小表格"/>
    <w:basedOn w:val="afffffc"/>
    <w:qFormat/>
    <w:pPr>
      <w:autoSpaceDE w:val="0"/>
      <w:autoSpaceDN w:val="0"/>
      <w:adjustRightInd w:val="0"/>
      <w:snapToGrid w:val="0"/>
      <w:spacing w:line="360" w:lineRule="auto"/>
      <w:jc w:val="left"/>
    </w:pPr>
    <w:rPr>
      <w:rFonts w:ascii="仿宋_GB2312" w:eastAsia="宋体" w:hAnsi="Times New Roman" w:cs="Times New Roman"/>
      <w:szCs w:val="20"/>
    </w:rPr>
  </w:style>
  <w:style w:type="paragraph" w:customStyle="1" w:styleId="153">
    <w:name w:val="文本框五号1.5倍行距"/>
    <w:qFormat/>
    <w:pPr>
      <w:spacing w:line="360" w:lineRule="auto"/>
    </w:pPr>
    <w:rPr>
      <w:rFonts w:ascii="Calibri" w:eastAsia="宋体" w:hAnsi="Calibri" w:cs="Times New Roman"/>
    </w:rPr>
  </w:style>
  <w:style w:type="paragraph" w:customStyle="1" w:styleId="CharCharCharCharCharChar3CharCharCharCharCharCharChar1">
    <w:name w:val="Char Char Char Char Char Char3 Char Char Char Char Char Char Char1"/>
    <w:basedOn w:val="af1"/>
    <w:qFormat/>
    <w:pPr>
      <w:spacing w:line="360" w:lineRule="auto"/>
      <w:ind w:firstLineChars="200" w:firstLine="200"/>
    </w:pPr>
    <w:rPr>
      <w:rFonts w:ascii="宋体" w:hAnsi="宋体" w:cs="Times New Roman" w:hint="eastAsia"/>
      <w:sz w:val="24"/>
      <w:szCs w:val="20"/>
    </w:rPr>
  </w:style>
  <w:style w:type="paragraph" w:customStyle="1" w:styleId="affffffffffffff2">
    <w:name w:val="基准页脚样式"/>
    <w:basedOn w:val="affe"/>
    <w:qFormat/>
    <w:pPr>
      <w:widowControl/>
      <w:tabs>
        <w:tab w:val="left" w:pos="780"/>
      </w:tabs>
      <w:spacing w:after="0" w:line="320" w:lineRule="exact"/>
      <w:ind w:left="780" w:hanging="360"/>
      <w:jc w:val="center"/>
    </w:pPr>
    <w:rPr>
      <w:rFonts w:ascii="宋体" w:eastAsia="宋体" w:hAnsi="Arial" w:cs="Times New Roman"/>
      <w:spacing w:val="-20"/>
      <w:kern w:val="0"/>
      <w:szCs w:val="20"/>
    </w:rPr>
  </w:style>
  <w:style w:type="paragraph" w:customStyle="1" w:styleId="300">
    <w:name w:val="样式 标题 3 + 左侧:  0 厘米 首行缩进:  0 厘米"/>
    <w:basedOn w:val="31"/>
    <w:qFormat/>
    <w:pPr>
      <w:widowControl/>
      <w:tabs>
        <w:tab w:val="left" w:pos="709"/>
      </w:tabs>
      <w:adjustRightInd w:val="0"/>
      <w:spacing w:before="120" w:after="120" w:line="240" w:lineRule="auto"/>
      <w:ind w:left="709" w:hanging="709"/>
      <w:jc w:val="left"/>
      <w:textAlignment w:val="baseline"/>
    </w:pPr>
    <w:rPr>
      <w:rFonts w:ascii="仿宋_GB2312" w:hAnsi="Verdana" w:cs="Verdana"/>
      <w:color w:val="0000FF"/>
      <w:kern w:val="32"/>
    </w:rPr>
  </w:style>
  <w:style w:type="paragraph" w:customStyle="1" w:styleId="affffffffffffff3">
    <w:name w:val="表/图标题"/>
    <w:basedOn w:val="0"/>
    <w:qFormat/>
    <w:pPr>
      <w:spacing w:line="240" w:lineRule="auto"/>
      <w:ind w:firstLineChars="0" w:firstLine="0"/>
      <w:jc w:val="center"/>
    </w:pPr>
    <w:rPr>
      <w:rFonts w:ascii="Times New Roman" w:eastAsia="黑体" w:hAnsi="Times New Roman"/>
      <w:sz w:val="21"/>
    </w:rPr>
  </w:style>
  <w:style w:type="paragraph" w:customStyle="1" w:styleId="0">
    <w:name w:val="0正文"/>
    <w:basedOn w:val="af1"/>
    <w:qFormat/>
    <w:pPr>
      <w:spacing w:line="360" w:lineRule="auto"/>
      <w:ind w:firstLineChars="200" w:firstLine="200"/>
    </w:pPr>
    <w:rPr>
      <w:rFonts w:ascii="Calibri" w:hAnsi="Calibri" w:cs="Times New Roman"/>
      <w:sz w:val="24"/>
      <w:szCs w:val="24"/>
    </w:rPr>
  </w:style>
  <w:style w:type="paragraph" w:customStyle="1" w:styleId="CharCharCharCharCharChar3CharCharCharCharCharCharChar2">
    <w:name w:val="Char Char Char Char Char Char3 Char Char Char Char Char Char Char2"/>
    <w:basedOn w:val="af1"/>
    <w:qFormat/>
    <w:pPr>
      <w:spacing w:line="360" w:lineRule="auto"/>
      <w:ind w:firstLineChars="200" w:firstLine="200"/>
    </w:pPr>
    <w:rPr>
      <w:rFonts w:ascii="宋体" w:hAnsi="宋体" w:cs="Times New Roman" w:hint="eastAsia"/>
      <w:sz w:val="24"/>
      <w:szCs w:val="20"/>
    </w:rPr>
  </w:style>
  <w:style w:type="paragraph" w:customStyle="1" w:styleId="affffffffffffff4">
    <w:name w:val="封面"/>
    <w:qFormat/>
    <w:pPr>
      <w:spacing w:line="360" w:lineRule="auto"/>
      <w:jc w:val="center"/>
    </w:pPr>
    <w:rPr>
      <w:rFonts w:ascii="Verdana" w:eastAsia="宋体" w:hAnsi="Verdana" w:cs="仿宋_GB2312"/>
      <w:b/>
      <w:spacing w:val="-20"/>
      <w:sz w:val="36"/>
      <w:szCs w:val="36"/>
    </w:rPr>
  </w:style>
  <w:style w:type="paragraph" w:customStyle="1" w:styleId="affffffffffffff5">
    <w:name w:val="目录"/>
    <w:basedOn w:val="TOC1"/>
    <w:qFormat/>
    <w:pPr>
      <w:widowControl/>
      <w:tabs>
        <w:tab w:val="clear" w:pos="9016"/>
        <w:tab w:val="right" w:leader="dot" w:pos="9060"/>
      </w:tabs>
      <w:spacing w:before="120" w:after="120" w:line="420" w:lineRule="atLeast"/>
      <w:jc w:val="center"/>
    </w:pPr>
    <w:rPr>
      <w:rFonts w:ascii="Calibri" w:hAnsi="Calibri" w:cs="Times New Roman"/>
      <w:bCs/>
      <w:caps/>
      <w:spacing w:val="12"/>
      <w:sz w:val="44"/>
      <w:szCs w:val="20"/>
    </w:rPr>
  </w:style>
  <w:style w:type="paragraph" w:customStyle="1" w:styleId="331113Char1Char1Char1CharCharChar1Cha2">
    <w:name w:val="样式 标题 3标题3小标题1.1.1标题 3Char1 Char1Char1 Char CharChar1 Cha...2"/>
    <w:basedOn w:val="31"/>
    <w:qFormat/>
    <w:pPr>
      <w:widowControl/>
      <w:autoSpaceDE w:val="0"/>
      <w:autoSpaceDN w:val="0"/>
      <w:adjustRightInd w:val="0"/>
      <w:spacing w:before="0" w:after="0" w:line="360" w:lineRule="auto"/>
      <w:jc w:val="left"/>
      <w:textAlignment w:val="baseline"/>
    </w:pPr>
    <w:rPr>
      <w:rFonts w:cs="宋体"/>
      <w:color w:val="0000FF"/>
      <w:kern w:val="0"/>
      <w:sz w:val="24"/>
      <w:szCs w:val="20"/>
    </w:rPr>
  </w:style>
  <w:style w:type="paragraph" w:customStyle="1" w:styleId="084">
    <w:name w:val="样式 表格 + 首行缩进:  0.84 厘米"/>
    <w:basedOn w:val="afffffc"/>
    <w:qFormat/>
    <w:pPr>
      <w:spacing w:beforeLines="5" w:afterLines="5" w:line="240" w:lineRule="exact"/>
      <w:jc w:val="left"/>
    </w:pPr>
    <w:rPr>
      <w:rFonts w:ascii="Calibri" w:eastAsia="宋体" w:hAnsi="Times New Roman" w:cs="宋体"/>
      <w:spacing w:val="14"/>
      <w:sz w:val="20"/>
      <w:szCs w:val="20"/>
    </w:rPr>
  </w:style>
  <w:style w:type="paragraph" w:customStyle="1" w:styleId="affffffffffffff6">
    <w:name w:val="小四表格"/>
    <w:basedOn w:val="af1"/>
    <w:qFormat/>
    <w:pPr>
      <w:snapToGrid w:val="0"/>
      <w:jc w:val="center"/>
    </w:pPr>
    <w:rPr>
      <w:rFonts w:ascii="Calibri" w:hAnsi="Calibri" w:cs="Times New Roman"/>
      <w:kern w:val="0"/>
      <w:sz w:val="24"/>
      <w:szCs w:val="20"/>
    </w:rPr>
  </w:style>
  <w:style w:type="paragraph" w:customStyle="1" w:styleId="ttopl">
    <w:name w:val="ttopl"/>
    <w:basedOn w:val="af1"/>
    <w:qFormat/>
    <w:pPr>
      <w:widowControl/>
      <w:spacing w:before="100" w:beforeAutospacing="1" w:after="100" w:afterAutospacing="1"/>
      <w:jc w:val="left"/>
    </w:pPr>
    <w:rPr>
      <w:rFonts w:ascii="Verdana" w:hAnsi="Verdana" w:cs="仿宋_GB2312"/>
      <w:kern w:val="0"/>
      <w:sz w:val="24"/>
      <w:szCs w:val="24"/>
    </w:rPr>
  </w:style>
  <w:style w:type="paragraph" w:customStyle="1" w:styleId="5D">
    <w:name w:val="列表 5D"/>
    <w:basedOn w:val="55"/>
    <w:qFormat/>
    <w:pPr>
      <w:tabs>
        <w:tab w:val="left" w:pos="1134"/>
      </w:tabs>
      <w:adjustRightInd/>
      <w:spacing w:beforeLines="0" w:line="240" w:lineRule="auto"/>
      <w:ind w:left="1134" w:hanging="425"/>
      <w:jc w:val="left"/>
      <w:textAlignment w:val="auto"/>
    </w:pPr>
    <w:rPr>
      <w:rFonts w:ascii="Courier New" w:hAnsi="Courier New" w:cs="仿宋_GB2312"/>
      <w:color w:val="99CCFF"/>
      <w:kern w:val="2"/>
    </w:rPr>
  </w:style>
  <w:style w:type="paragraph" w:customStyle="1" w:styleId="2ffb">
    <w:name w:val="2标题"/>
    <w:next w:val="3f1"/>
    <w:qFormat/>
    <w:pPr>
      <w:spacing w:beforeLines="30" w:afterLines="30"/>
      <w:outlineLvl w:val="1"/>
    </w:pPr>
    <w:rPr>
      <w:rFonts w:ascii="Calibri" w:eastAsia="黑体" w:hAnsi="Calibri" w:cs="Times New Roman"/>
      <w:kern w:val="2"/>
      <w:sz w:val="32"/>
      <w:szCs w:val="24"/>
    </w:rPr>
  </w:style>
  <w:style w:type="paragraph" w:customStyle="1" w:styleId="3f1">
    <w:name w:val="3标题"/>
    <w:next w:val="4c"/>
    <w:qFormat/>
    <w:pPr>
      <w:spacing w:beforeLines="20" w:afterLines="20"/>
      <w:outlineLvl w:val="2"/>
    </w:pPr>
    <w:rPr>
      <w:rFonts w:ascii="Calibri" w:eastAsia="黑体" w:hAnsi="Calibri" w:cs="Times New Roman"/>
      <w:kern w:val="2"/>
      <w:sz w:val="30"/>
      <w:szCs w:val="24"/>
    </w:rPr>
  </w:style>
  <w:style w:type="paragraph" w:customStyle="1" w:styleId="4c">
    <w:name w:val="4标题"/>
    <w:next w:val="af1"/>
    <w:qFormat/>
    <w:pPr>
      <w:spacing w:beforeLines="20" w:afterLines="20"/>
      <w:outlineLvl w:val="3"/>
    </w:pPr>
    <w:rPr>
      <w:rFonts w:ascii="Calibri" w:eastAsia="黑体" w:hAnsi="Calibri" w:cs="Times New Roman"/>
      <w:kern w:val="2"/>
      <w:sz w:val="28"/>
      <w:szCs w:val="24"/>
    </w:rPr>
  </w:style>
  <w:style w:type="paragraph" w:customStyle="1" w:styleId="affffffffffffff7">
    <w:name w:val="环评小于节的标题"/>
    <w:basedOn w:val="af1"/>
    <w:qFormat/>
    <w:pPr>
      <w:adjustRightInd w:val="0"/>
      <w:spacing w:before="200" w:after="200" w:line="360" w:lineRule="atLeast"/>
    </w:pPr>
    <w:rPr>
      <w:rFonts w:ascii="Calibri" w:eastAsia="黑体" w:hAnsi="Calibri" w:cs="Times New Roman"/>
      <w:b/>
      <w:spacing w:val="20"/>
      <w:sz w:val="28"/>
      <w:szCs w:val="20"/>
    </w:rPr>
  </w:style>
  <w:style w:type="paragraph" w:customStyle="1" w:styleId="3H3h33rdlevel43Char3CharCh">
    <w:name w:val="样式 标题 3小标题小节标题H3h33rd level第二层条标题4标题 3 Char标题 3 Char Ch..."/>
    <w:basedOn w:val="31"/>
    <w:qFormat/>
    <w:pPr>
      <w:widowControl/>
      <w:tabs>
        <w:tab w:val="left" w:pos="1080"/>
      </w:tabs>
      <w:adjustRightInd w:val="0"/>
      <w:spacing w:before="120" w:after="120" w:line="240" w:lineRule="auto"/>
      <w:ind w:left="851" w:hanging="851"/>
      <w:jc w:val="left"/>
      <w:textAlignment w:val="baseline"/>
    </w:pPr>
    <w:rPr>
      <w:rFonts w:ascii="Courier New" w:hAnsi="Courier New" w:cs="仿宋_GB2312"/>
      <w:color w:val="0000FF"/>
      <w:kern w:val="32"/>
    </w:rPr>
  </w:style>
  <w:style w:type="paragraph" w:customStyle="1" w:styleId="5H">
    <w:name w:val="列表 5H"/>
    <w:basedOn w:val="55"/>
    <w:qFormat/>
    <w:pPr>
      <w:tabs>
        <w:tab w:val="left" w:pos="1134"/>
      </w:tabs>
      <w:adjustRightInd/>
      <w:spacing w:beforeLines="0" w:line="240" w:lineRule="auto"/>
      <w:ind w:left="1134" w:hanging="425"/>
      <w:jc w:val="left"/>
      <w:textAlignment w:val="auto"/>
    </w:pPr>
    <w:rPr>
      <w:rFonts w:ascii="Courier New" w:hAnsi="Courier New" w:cs="仿宋_GB2312"/>
      <w:color w:val="99CCFF"/>
      <w:kern w:val="2"/>
    </w:rPr>
  </w:style>
  <w:style w:type="paragraph" w:customStyle="1" w:styleId="xl72">
    <w:name w:val="xl72"/>
    <w:basedOn w:val="af1"/>
    <w:qFormat/>
    <w:pPr>
      <w:widowControl/>
      <w:pBdr>
        <w:top w:val="single" w:sz="8" w:space="0" w:color="auto"/>
        <w:bottom w:val="single" w:sz="8" w:space="0" w:color="auto"/>
        <w:right w:val="single" w:sz="8" w:space="0" w:color="auto"/>
      </w:pBdr>
      <w:spacing w:before="100" w:beforeAutospacing="1" w:after="100" w:afterAutospacing="1"/>
      <w:jc w:val="center"/>
    </w:pPr>
    <w:rPr>
      <w:rFonts w:ascii="宋体" w:hAnsi="宋体" w:cs="宋体"/>
      <w:kern w:val="0"/>
      <w:sz w:val="18"/>
      <w:szCs w:val="18"/>
    </w:rPr>
  </w:style>
  <w:style w:type="paragraph" w:customStyle="1" w:styleId="affffffffffffff8">
    <w:name w:val="图名表名"/>
    <w:basedOn w:val="af1"/>
    <w:qFormat/>
    <w:pPr>
      <w:spacing w:line="360" w:lineRule="auto"/>
      <w:jc w:val="center"/>
    </w:pPr>
    <w:rPr>
      <w:rFonts w:ascii="宋体" w:hAnsi="宋体" w:cs="Times New Roman"/>
      <w:b/>
      <w:iCs/>
      <w:szCs w:val="24"/>
    </w:rPr>
  </w:style>
  <w:style w:type="paragraph" w:customStyle="1" w:styleId="CharChar3CharCharCharChar">
    <w:name w:val="Char Char3 Char Char Char Char"/>
    <w:basedOn w:val="af1"/>
    <w:qFormat/>
    <w:rPr>
      <w:rFonts w:ascii="Tahoma" w:hAnsi="Tahoma" w:cs="Times New Roman"/>
      <w:sz w:val="24"/>
      <w:szCs w:val="20"/>
    </w:rPr>
  </w:style>
  <w:style w:type="paragraph" w:customStyle="1" w:styleId="CharCharChar1CharCharCharChar">
    <w:name w:val="Char Char Char1 Char Char Char Char"/>
    <w:basedOn w:val="af1"/>
    <w:qFormat/>
    <w:pPr>
      <w:spacing w:line="360" w:lineRule="auto"/>
      <w:ind w:firstLineChars="200" w:firstLine="200"/>
    </w:pPr>
    <w:rPr>
      <w:rFonts w:ascii="Calibri" w:hAnsi="Calibri" w:cs="Times New Roman"/>
      <w:szCs w:val="20"/>
    </w:rPr>
  </w:style>
  <w:style w:type="paragraph" w:customStyle="1" w:styleId="xl89">
    <w:name w:val="xl89"/>
    <w:basedOn w:val="af1"/>
    <w:qFormat/>
    <w:pPr>
      <w:widowControl/>
      <w:pBdr>
        <w:top w:val="single" w:sz="4" w:space="0" w:color="auto"/>
        <w:bottom w:val="single" w:sz="4" w:space="0" w:color="auto"/>
      </w:pBdr>
      <w:spacing w:before="100" w:beforeAutospacing="1" w:after="100" w:afterAutospacing="1" w:line="360" w:lineRule="auto"/>
    </w:pPr>
    <w:rPr>
      <w:rFonts w:ascii="宋体" w:hAnsi="宋体" w:cs="Times New Roman"/>
      <w:color w:val="000000"/>
      <w:sz w:val="20"/>
      <w:szCs w:val="20"/>
    </w:rPr>
  </w:style>
  <w:style w:type="paragraph" w:customStyle="1" w:styleId="CharCharCharCharCharChar32">
    <w:name w:val="Char Char Char Char Char Char32"/>
    <w:basedOn w:val="af1"/>
    <w:qFormat/>
    <w:pPr>
      <w:spacing w:line="360" w:lineRule="auto"/>
      <w:ind w:firstLineChars="200" w:firstLine="200"/>
    </w:pPr>
    <w:rPr>
      <w:rFonts w:ascii="宋体" w:hAnsi="宋体" w:cs="Times New Roman" w:hint="eastAsia"/>
      <w:sz w:val="24"/>
      <w:szCs w:val="20"/>
    </w:rPr>
  </w:style>
  <w:style w:type="paragraph" w:customStyle="1" w:styleId="17CharCharChar">
    <w:name w:val="样式17 Char Char Char"/>
    <w:basedOn w:val="af1"/>
    <w:qFormat/>
    <w:pPr>
      <w:ind w:firstLineChars="200" w:firstLine="480"/>
    </w:pPr>
    <w:rPr>
      <w:rFonts w:ascii="Calibri" w:eastAsia="华文中宋" w:hAnsi="Calibri" w:cs="Times New Roman"/>
      <w:sz w:val="24"/>
      <w:szCs w:val="20"/>
    </w:rPr>
  </w:style>
  <w:style w:type="paragraph" w:customStyle="1" w:styleId="811bCharCharCharCharCharCharChar">
    <w:name w:val="8.1.1b Char Char Char Char Char Char Char"/>
    <w:next w:val="af1"/>
    <w:qFormat/>
    <w:pPr>
      <w:snapToGrid w:val="0"/>
      <w:spacing w:beforeLines="50" w:afterLines="50"/>
    </w:pPr>
    <w:rPr>
      <w:rFonts w:ascii="Calibri" w:eastAsia="华文中宋" w:hAnsi="Calibri" w:cs="Times New Roman"/>
      <w:b/>
      <w:kern w:val="2"/>
      <w:sz w:val="28"/>
      <w:szCs w:val="28"/>
    </w:rPr>
  </w:style>
  <w:style w:type="paragraph" w:customStyle="1" w:styleId="20303">
    <w:name w:val="样式 报告 + 首行缩进:  2 字符 段前: 0.3 行 段后: 0.3 行"/>
    <w:basedOn w:val="af1"/>
    <w:qFormat/>
    <w:pPr>
      <w:spacing w:before="200" w:after="200" w:line="400" w:lineRule="atLeast"/>
      <w:ind w:firstLineChars="200" w:firstLine="480"/>
    </w:pPr>
    <w:rPr>
      <w:rFonts w:ascii="Calibri" w:hAnsi="Calibri" w:cs="Times New Roman"/>
      <w:sz w:val="24"/>
      <w:szCs w:val="20"/>
    </w:rPr>
  </w:style>
  <w:style w:type="paragraph" w:customStyle="1" w:styleId="xyb0">
    <w:name w:val="xyb自建表格名称"/>
    <w:basedOn w:val="af1"/>
    <w:qFormat/>
    <w:pPr>
      <w:spacing w:line="360" w:lineRule="auto"/>
      <w:jc w:val="center"/>
    </w:pPr>
    <w:rPr>
      <w:rFonts w:ascii="宋体" w:hAnsi="宋体" w:cs="Times New Roman"/>
      <w:sz w:val="24"/>
      <w:szCs w:val="24"/>
    </w:rPr>
  </w:style>
  <w:style w:type="paragraph" w:customStyle="1" w:styleId="xl52">
    <w:name w:val="xl52"/>
    <w:basedOn w:val="af1"/>
    <w:qFormat/>
    <w:pPr>
      <w:widowControl/>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kern w:val="0"/>
      <w:sz w:val="18"/>
      <w:szCs w:val="18"/>
    </w:rPr>
  </w:style>
  <w:style w:type="paragraph" w:customStyle="1" w:styleId="2TimesNewRoman20">
    <w:name w:val="样式 标题 2 + Times New Roman 小三 居中 行距: 固定值 20 磅"/>
    <w:basedOn w:val="22"/>
    <w:qFormat/>
    <w:pPr>
      <w:widowControl/>
      <w:spacing w:beforeLines="50" w:line="400" w:lineRule="exact"/>
      <w:ind w:firstLineChars="192" w:firstLine="538"/>
      <w:jc w:val="left"/>
    </w:pPr>
    <w:rPr>
      <w:rFonts w:ascii="仿宋_GB2312" w:eastAsia="楷体" w:hAnsi="仿宋_GB2312" w:cs="Verdana"/>
      <w:bCs w:val="0"/>
      <w:kern w:val="0"/>
      <w:sz w:val="30"/>
      <w:szCs w:val="20"/>
    </w:rPr>
  </w:style>
  <w:style w:type="paragraph" w:customStyle="1" w:styleId="xl88">
    <w:name w:val="xl88"/>
    <w:basedOn w:val="af1"/>
    <w:qFormat/>
    <w:pPr>
      <w:widowControl/>
      <w:pBdr>
        <w:top w:val="single" w:sz="4" w:space="0" w:color="auto"/>
        <w:left w:val="single" w:sz="4" w:space="0" w:color="auto"/>
        <w:bottom w:val="single" w:sz="4" w:space="0" w:color="auto"/>
      </w:pBdr>
      <w:spacing w:before="100" w:beforeAutospacing="1" w:after="100" w:afterAutospacing="1" w:line="360" w:lineRule="auto"/>
    </w:pPr>
    <w:rPr>
      <w:rFonts w:ascii="宋体" w:hAnsi="宋体" w:cs="Times New Roman"/>
      <w:color w:val="000000"/>
      <w:sz w:val="20"/>
      <w:szCs w:val="20"/>
    </w:rPr>
  </w:style>
  <w:style w:type="paragraph" w:customStyle="1" w:styleId="affffffffffffff9">
    <w:name w:val="表头文字"/>
    <w:basedOn w:val="af1"/>
    <w:qFormat/>
    <w:pPr>
      <w:adjustRightInd w:val="0"/>
      <w:snapToGrid w:val="0"/>
      <w:spacing w:before="120" w:line="300" w:lineRule="auto"/>
      <w:jc w:val="center"/>
    </w:pPr>
    <w:rPr>
      <w:rFonts w:ascii="Calibri" w:eastAsia="黑体" w:hAnsi="Calibri" w:cs="Times New Roman"/>
      <w:sz w:val="24"/>
      <w:szCs w:val="24"/>
    </w:rPr>
  </w:style>
  <w:style w:type="paragraph" w:customStyle="1" w:styleId="4N">
    <w:name w:val="列表 4N"/>
    <w:basedOn w:val="45"/>
    <w:qFormat/>
    <w:pPr>
      <w:widowControl/>
      <w:tabs>
        <w:tab w:val="left" w:pos="1021"/>
      </w:tabs>
      <w:adjustRightInd/>
      <w:spacing w:afterLines="30" w:line="288" w:lineRule="auto"/>
      <w:ind w:left="1021" w:hanging="454"/>
      <w:jc w:val="left"/>
      <w:textAlignment w:val="auto"/>
    </w:pPr>
    <w:rPr>
      <w:rFonts w:ascii="Courier New" w:hAnsi="Courier New" w:cs="仿宋_GB2312"/>
      <w:color w:val="CCFFFF"/>
      <w:kern w:val="2"/>
    </w:rPr>
  </w:style>
  <w:style w:type="paragraph" w:customStyle="1" w:styleId="CharCharCharCharCharChar3CharCharCharCharCharChar1">
    <w:name w:val="Char Char Char Char Char Char3 Char Char Char Char Char Char1"/>
    <w:basedOn w:val="af1"/>
    <w:qFormat/>
    <w:pPr>
      <w:spacing w:line="360" w:lineRule="auto"/>
      <w:ind w:firstLineChars="200" w:firstLine="200"/>
    </w:pPr>
    <w:rPr>
      <w:rFonts w:ascii="宋体" w:hAnsi="宋体" w:cs="Times New Roman" w:hint="eastAsia"/>
      <w:sz w:val="24"/>
      <w:szCs w:val="20"/>
    </w:rPr>
  </w:style>
  <w:style w:type="paragraph" w:customStyle="1" w:styleId="affffffffffffffa">
    <w:name w:val="一级条标题"/>
    <w:basedOn w:val="22"/>
    <w:next w:val="af1"/>
    <w:qFormat/>
    <w:pPr>
      <w:widowControl/>
      <w:tabs>
        <w:tab w:val="left" w:pos="1080"/>
        <w:tab w:val="left" w:pos="1260"/>
      </w:tabs>
      <w:spacing w:before="0" w:after="0" w:line="240" w:lineRule="auto"/>
      <w:outlineLvl w:val="2"/>
    </w:pPr>
    <w:rPr>
      <w:rFonts w:ascii="黑体" w:hAnsi="Times New Roman"/>
      <w:b w:val="0"/>
      <w:bCs w:val="0"/>
      <w:kern w:val="0"/>
      <w:sz w:val="21"/>
      <w:szCs w:val="20"/>
    </w:rPr>
  </w:style>
  <w:style w:type="paragraph" w:customStyle="1" w:styleId="affffffffffffffb">
    <w:name w:val="表中文字"/>
    <w:basedOn w:val="af1"/>
    <w:qFormat/>
    <w:pPr>
      <w:jc w:val="center"/>
    </w:pPr>
    <w:rPr>
      <w:rFonts w:ascii="Calibri" w:hAnsi="Calibri" w:cs="Times New Roman"/>
      <w:szCs w:val="24"/>
    </w:rPr>
  </w:style>
  <w:style w:type="character" w:customStyle="1" w:styleId="24">
    <w:name w:val="正文文本 字符2"/>
    <w:basedOn w:val="af3"/>
    <w:link w:val="affe"/>
    <w:uiPriority w:val="99"/>
    <w:semiHidden/>
    <w:qFormat/>
    <w:rPr>
      <w:rFonts w:ascii="Calibri" w:eastAsia="宋体" w:hAnsi="Calibri" w:cs="Times New Roman"/>
      <w:szCs w:val="24"/>
      <w:lang w:val="en-US" w:eastAsia="zh-CN" w:bidi="ar-SA"/>
    </w:rPr>
  </w:style>
  <w:style w:type="character" w:customStyle="1" w:styleId="2ffc">
    <w:name w:val="正文文本首行缩进 字符2"/>
    <w:basedOn w:val="24"/>
    <w:uiPriority w:val="99"/>
    <w:semiHidden/>
    <w:qFormat/>
    <w:rPr>
      <w:rFonts w:ascii="Calibri" w:eastAsia="宋体" w:hAnsi="Calibri" w:cs="Times New Roman"/>
      <w:szCs w:val="24"/>
      <w:lang w:val="en-US" w:eastAsia="zh-CN" w:bidi="ar-SA"/>
    </w:rPr>
  </w:style>
  <w:style w:type="paragraph" w:customStyle="1" w:styleId="101">
    <w:name w:val="样式 首行缩进:  1.01 厘米"/>
    <w:basedOn w:val="af1"/>
    <w:qFormat/>
    <w:pPr>
      <w:widowControl/>
      <w:spacing w:line="500" w:lineRule="exact"/>
      <w:ind w:firstLine="570"/>
      <w:jc w:val="left"/>
    </w:pPr>
    <w:rPr>
      <w:rFonts w:ascii="Calibri" w:hAnsi="Calibri" w:cs="宋体"/>
      <w:kern w:val="28"/>
      <w:sz w:val="28"/>
      <w:szCs w:val="20"/>
    </w:rPr>
  </w:style>
  <w:style w:type="paragraph" w:customStyle="1" w:styleId="unnamed2style11">
    <w:name w:val="unnamed2 style11"/>
    <w:basedOn w:val="af1"/>
    <w:qFormat/>
    <w:pPr>
      <w:widowControl/>
      <w:spacing w:before="100" w:beforeAutospacing="1" w:after="100" w:afterAutospacing="1"/>
      <w:jc w:val="left"/>
    </w:pPr>
    <w:rPr>
      <w:rFonts w:ascii="宋体" w:hAnsi="宋体" w:cs="宋体"/>
      <w:kern w:val="0"/>
      <w:sz w:val="24"/>
      <w:szCs w:val="24"/>
    </w:rPr>
  </w:style>
  <w:style w:type="paragraph" w:customStyle="1" w:styleId="bgbt">
    <w:name w:val="bgbt"/>
    <w:basedOn w:val="af1"/>
    <w:qFormat/>
    <w:pPr>
      <w:spacing w:after="100"/>
      <w:ind w:firstLine="573"/>
      <w:jc w:val="right"/>
    </w:pPr>
    <w:rPr>
      <w:rFonts w:ascii="Calibri" w:hAnsi="Calibri" w:cs="Times New Roman"/>
      <w:b/>
      <w:sz w:val="24"/>
      <w:szCs w:val="20"/>
    </w:rPr>
  </w:style>
  <w:style w:type="paragraph" w:customStyle="1" w:styleId="1Charf6">
    <w:name w:val="段落1 Char"/>
    <w:basedOn w:val="af1"/>
    <w:qFormat/>
    <w:pPr>
      <w:adjustRightInd w:val="0"/>
      <w:spacing w:line="440" w:lineRule="exact"/>
      <w:ind w:firstLineChars="200" w:firstLine="480"/>
    </w:pPr>
    <w:rPr>
      <w:rFonts w:ascii="Calibri" w:hAnsi="Calibri" w:cs="Times New Roman"/>
      <w:spacing w:val="8"/>
      <w:sz w:val="24"/>
      <w:szCs w:val="20"/>
    </w:rPr>
  </w:style>
  <w:style w:type="paragraph" w:customStyle="1" w:styleId="affffffffffffffc">
    <w:name w:val="泸县焦化表头"/>
    <w:basedOn w:val="af1"/>
    <w:qFormat/>
    <w:pPr>
      <w:widowControl/>
      <w:adjustRightInd w:val="0"/>
      <w:snapToGrid w:val="0"/>
      <w:jc w:val="center"/>
    </w:pPr>
    <w:rPr>
      <w:rFonts w:ascii="Calibri" w:hAnsi="Calibri" w:cs="Times New Roman"/>
      <w:b/>
      <w:color w:val="0000FF"/>
      <w:sz w:val="24"/>
      <w:szCs w:val="24"/>
    </w:rPr>
  </w:style>
  <w:style w:type="paragraph" w:customStyle="1" w:styleId="affffffffffffffd">
    <w:name w:val="正文 + 宋体"/>
    <w:basedOn w:val="af1"/>
    <w:qFormat/>
    <w:pPr>
      <w:spacing w:line="360" w:lineRule="auto"/>
      <w:ind w:firstLineChars="200" w:firstLine="480"/>
    </w:pPr>
    <w:rPr>
      <w:rFonts w:ascii="Calibri" w:hAnsi="Calibri" w:cs="Times New Roman"/>
      <w:bCs/>
      <w:sz w:val="24"/>
      <w:szCs w:val="24"/>
    </w:rPr>
  </w:style>
  <w:style w:type="paragraph" w:customStyle="1" w:styleId="CharChar3CharChar">
    <w:name w:val="Char Char3 Char Char"/>
    <w:basedOn w:val="af1"/>
    <w:qFormat/>
    <w:pPr>
      <w:adjustRightInd w:val="0"/>
      <w:spacing w:line="360" w:lineRule="auto"/>
      <w:ind w:firstLineChars="200" w:firstLine="200"/>
    </w:pPr>
    <w:rPr>
      <w:rFonts w:ascii="Calibri" w:hAnsi="Calibri" w:cs="Times New Roman"/>
    </w:rPr>
  </w:style>
  <w:style w:type="paragraph" w:customStyle="1" w:styleId="affffffffffffffe">
    <w:name w:val="文章"/>
    <w:basedOn w:val="aff0"/>
    <w:qFormat/>
    <w:pPr>
      <w:snapToGrid w:val="0"/>
      <w:spacing w:beforeLines="20" w:afterLines="20" w:line="360" w:lineRule="auto"/>
      <w:ind w:firstLine="520"/>
    </w:pPr>
    <w:rPr>
      <w:rFonts w:ascii="Garamond" w:hAnsi="Garamond"/>
      <w:kern w:val="0"/>
      <w:sz w:val="26"/>
    </w:rPr>
  </w:style>
  <w:style w:type="paragraph" w:customStyle="1" w:styleId="afffffffffffffff">
    <w:name w:val="表格 文字"/>
    <w:basedOn w:val="af1"/>
    <w:qFormat/>
    <w:pPr>
      <w:spacing w:line="360" w:lineRule="auto"/>
      <w:jc w:val="center"/>
    </w:pPr>
    <w:rPr>
      <w:rFonts w:ascii="宋体" w:hAnsi="宋体" w:cs="Times New Roman"/>
      <w:iCs/>
      <w:sz w:val="24"/>
      <w:szCs w:val="24"/>
    </w:rPr>
  </w:style>
  <w:style w:type="paragraph" w:customStyle="1" w:styleId="afffffffffffffff0">
    <w:name w:val="图表头"/>
    <w:basedOn w:val="af1"/>
    <w:qFormat/>
    <w:pPr>
      <w:adjustRightInd w:val="0"/>
      <w:snapToGrid w:val="0"/>
      <w:spacing w:beforeLines="5" w:afterLines="5"/>
      <w:ind w:firstLineChars="400" w:firstLine="964"/>
      <w:jc w:val="center"/>
      <w:textAlignment w:val="baseline"/>
    </w:pPr>
    <w:rPr>
      <w:rFonts w:ascii="Calibri" w:hAnsi="Calibri" w:cs="Times New Roman"/>
      <w:b/>
      <w:bCs/>
      <w:kern w:val="0"/>
      <w:sz w:val="24"/>
      <w:szCs w:val="21"/>
    </w:rPr>
  </w:style>
  <w:style w:type="paragraph" w:customStyle="1" w:styleId="CharCharffff6">
    <w:name w:val="表题 Char Char"/>
    <w:basedOn w:val="af1"/>
    <w:qFormat/>
    <w:pPr>
      <w:keepNext/>
      <w:keepLines/>
      <w:widowControl/>
      <w:spacing w:before="120" w:line="360" w:lineRule="auto"/>
      <w:jc w:val="center"/>
    </w:pPr>
    <w:rPr>
      <w:rFonts w:ascii="宋体" w:hAnsi="宋体" w:cs="Times New Roman"/>
      <w:b/>
      <w:sz w:val="24"/>
      <w:szCs w:val="20"/>
    </w:rPr>
  </w:style>
  <w:style w:type="paragraph" w:customStyle="1" w:styleId="afffffffffffffff1">
    <w:name w:val="表格后标题"/>
    <w:basedOn w:val="afffffffffffffff2"/>
    <w:qFormat/>
    <w:pPr>
      <w:spacing w:before="200"/>
    </w:pPr>
  </w:style>
  <w:style w:type="paragraph" w:customStyle="1" w:styleId="afffffffffffffff2">
    <w:name w:val="新标题样式"/>
    <w:basedOn w:val="af1"/>
    <w:qFormat/>
    <w:pPr>
      <w:tabs>
        <w:tab w:val="left" w:pos="567"/>
      </w:tabs>
      <w:adjustRightInd w:val="0"/>
      <w:spacing w:line="360" w:lineRule="auto"/>
    </w:pPr>
    <w:rPr>
      <w:rFonts w:ascii="Calibri" w:eastAsia="黑体" w:hAnsi="Calibri" w:cs="Times New Roman"/>
      <w:b/>
      <w:spacing w:val="20"/>
      <w:sz w:val="24"/>
      <w:szCs w:val="20"/>
    </w:rPr>
  </w:style>
  <w:style w:type="paragraph" w:customStyle="1" w:styleId="b1">
    <w:name w:val="b1"/>
    <w:basedOn w:val="1"/>
    <w:next w:val="1"/>
    <w:qFormat/>
    <w:pPr>
      <w:spacing w:before="360" w:after="360" w:line="480" w:lineRule="auto"/>
      <w:jc w:val="both"/>
    </w:pPr>
    <w:rPr>
      <w:rFonts w:ascii="Times New Roman"/>
      <w:kern w:val="44"/>
      <w:sz w:val="36"/>
    </w:rPr>
  </w:style>
  <w:style w:type="paragraph" w:customStyle="1" w:styleId="afffffffffffffff3">
    <w:name w:val="表注"/>
    <w:next w:val="af1"/>
    <w:qFormat/>
    <w:pPr>
      <w:ind w:firstLineChars="200" w:firstLine="200"/>
    </w:pPr>
    <w:rPr>
      <w:rFonts w:ascii="Calibri" w:eastAsia="楷体_GB2312" w:hAnsi="Calibri" w:cs="Times New Roman"/>
      <w:sz w:val="21"/>
    </w:rPr>
  </w:style>
  <w:style w:type="paragraph" w:customStyle="1" w:styleId="----------------">
    <w:name w:val="表中文字----------------"/>
    <w:basedOn w:val="af1"/>
    <w:qFormat/>
    <w:pPr>
      <w:widowControl/>
      <w:jc w:val="center"/>
    </w:pPr>
    <w:rPr>
      <w:rFonts w:ascii="仿宋_GB2312" w:hAnsi="仿宋_GB2312" w:cs="仿宋_GB2312"/>
      <w:szCs w:val="20"/>
    </w:rPr>
  </w:style>
  <w:style w:type="paragraph" w:customStyle="1" w:styleId="820">
    <w:name w:val="标题 82"/>
    <w:basedOn w:val="af1"/>
    <w:next w:val="af1"/>
    <w:qFormat/>
    <w:pPr>
      <w:keepNext/>
      <w:keepLines/>
      <w:tabs>
        <w:tab w:val="left" w:pos="1440"/>
      </w:tabs>
      <w:snapToGrid w:val="0"/>
      <w:spacing w:before="240" w:after="64" w:line="316" w:lineRule="auto"/>
      <w:ind w:left="1440" w:hanging="1440"/>
      <w:outlineLvl w:val="7"/>
    </w:pPr>
    <w:rPr>
      <w:rFonts w:ascii="Arial" w:eastAsia="黑体" w:hAnsi="Arial" w:cs="Times New Roman"/>
      <w:sz w:val="24"/>
      <w:szCs w:val="20"/>
    </w:rPr>
  </w:style>
  <w:style w:type="paragraph" w:customStyle="1" w:styleId="xl131">
    <w:name w:val="xl131"/>
    <w:basedOn w:val="af1"/>
    <w:qFormat/>
    <w:pPr>
      <w:widowControl/>
      <w:spacing w:before="100" w:beforeAutospacing="1" w:after="100" w:afterAutospacing="1"/>
      <w:jc w:val="center"/>
    </w:pPr>
    <w:rPr>
      <w:rFonts w:ascii="Calibri" w:eastAsia="Arial Unicode MS" w:hAnsi="Calibri" w:cs="Times New Roman"/>
      <w:kern w:val="0"/>
      <w:sz w:val="24"/>
      <w:szCs w:val="24"/>
    </w:rPr>
  </w:style>
  <w:style w:type="paragraph" w:customStyle="1" w:styleId="afffffffffffffff4">
    <w:name w:val="批注文字（西藏格式）"/>
    <w:basedOn w:val="aff8"/>
    <w:qFormat/>
    <w:pPr>
      <w:adjustRightInd w:val="0"/>
      <w:snapToGrid w:val="0"/>
      <w:spacing w:before="120" w:line="400" w:lineRule="exact"/>
      <w:ind w:left="1248" w:right="284" w:hanging="964"/>
      <w:jc w:val="both"/>
    </w:pPr>
    <w:rPr>
      <w:rFonts w:asciiTheme="minorHAnsi" w:hAnsiTheme="minorHAnsi"/>
      <w:snapToGrid w:val="0"/>
      <w:kern w:val="0"/>
      <w:sz w:val="24"/>
      <w:szCs w:val="21"/>
    </w:rPr>
  </w:style>
  <w:style w:type="paragraph" w:customStyle="1" w:styleId="2ffd">
    <w:name w:val="样式 德胜正文 + 首行缩进:  2 字符"/>
    <w:basedOn w:val="afffffff3"/>
    <w:qFormat/>
  </w:style>
  <w:style w:type="paragraph" w:customStyle="1" w:styleId="1fff">
    <w:name w:val="1表格"/>
    <w:basedOn w:val="af1"/>
    <w:qFormat/>
    <w:pPr>
      <w:snapToGrid w:val="0"/>
      <w:spacing w:line="160" w:lineRule="atLeast"/>
      <w:jc w:val="center"/>
    </w:pPr>
    <w:rPr>
      <w:rFonts w:ascii="Calibri" w:eastAsia="仿宋_GB2312" w:hAnsi="Calibri" w:cs="Times New Roman"/>
      <w:szCs w:val="20"/>
    </w:rPr>
  </w:style>
  <w:style w:type="character" w:customStyle="1" w:styleId="3f2">
    <w:name w:val="尾注文本 字符3"/>
    <w:basedOn w:val="af3"/>
    <w:uiPriority w:val="99"/>
    <w:semiHidden/>
    <w:qFormat/>
    <w:rPr>
      <w:rFonts w:ascii="Calibri" w:eastAsia="宋体" w:hAnsi="Calibri" w:cs="Times New Roman"/>
      <w:szCs w:val="24"/>
      <w:lang w:val="en-US" w:eastAsia="zh-CN" w:bidi="ar-SA"/>
    </w:rPr>
  </w:style>
  <w:style w:type="paragraph" w:customStyle="1" w:styleId="7Char0">
    <w:name w:val="样式7 Char"/>
    <w:basedOn w:val="5Char4"/>
    <w:qFormat/>
    <w:pPr>
      <w:spacing w:line="460" w:lineRule="exact"/>
    </w:pPr>
    <w:rPr>
      <w:rFonts w:ascii="Times New Roman" w:hAnsi="Times New Roman"/>
      <w:spacing w:val="0"/>
    </w:rPr>
  </w:style>
  <w:style w:type="paragraph" w:customStyle="1" w:styleId="5Char4">
    <w:name w:val="样式5 Char"/>
    <w:basedOn w:val="af1"/>
    <w:qFormat/>
    <w:pPr>
      <w:spacing w:line="400" w:lineRule="exact"/>
    </w:pPr>
    <w:rPr>
      <w:rFonts w:ascii="Calibri" w:hAnsi="Calibri" w:cs="Times New Roman"/>
      <w:spacing w:val="20"/>
      <w:szCs w:val="21"/>
    </w:rPr>
  </w:style>
  <w:style w:type="paragraph" w:customStyle="1" w:styleId="120">
    <w:name w:val="标题 12"/>
    <w:next w:val="af1"/>
    <w:qFormat/>
    <w:pPr>
      <w:keepNext/>
      <w:keepLines/>
      <w:snapToGrid w:val="0"/>
      <w:spacing w:beforeLines="50" w:afterLines="50"/>
      <w:jc w:val="center"/>
      <w:outlineLvl w:val="0"/>
    </w:pPr>
    <w:rPr>
      <w:rFonts w:ascii="黑体" w:eastAsia="宋体" w:hAnsi="黑体" w:cs="Times New Roman"/>
      <w:b/>
      <w:snapToGrid w:val="0"/>
      <w:color w:val="000000"/>
      <w:kern w:val="2"/>
      <w:sz w:val="44"/>
      <w:szCs w:val="24"/>
    </w:rPr>
  </w:style>
  <w:style w:type="paragraph" w:customStyle="1" w:styleId="afffffffffffffff5">
    <w:name w:val="段落正文"/>
    <w:basedOn w:val="af1"/>
    <w:qFormat/>
    <w:pPr>
      <w:spacing w:line="540" w:lineRule="exact"/>
      <w:ind w:firstLineChars="200" w:firstLine="200"/>
    </w:pPr>
    <w:rPr>
      <w:rFonts w:ascii="宋体" w:eastAsia="仿宋_GB2312" w:hAnsi="Calibri" w:cs="Times New Roman"/>
      <w:kern w:val="0"/>
      <w:sz w:val="24"/>
    </w:rPr>
  </w:style>
  <w:style w:type="paragraph" w:customStyle="1" w:styleId="xl86">
    <w:name w:val="xl86"/>
    <w:basedOn w:val="af1"/>
    <w:qFormat/>
    <w:pPr>
      <w:widowControl/>
      <w:pBdr>
        <w:top w:val="single" w:sz="4" w:space="0" w:color="auto"/>
        <w:bottom w:val="single" w:sz="4" w:space="0" w:color="auto"/>
        <w:right w:val="single" w:sz="4" w:space="0" w:color="auto"/>
      </w:pBdr>
      <w:spacing w:before="100" w:beforeAutospacing="1" w:after="100" w:afterAutospacing="1" w:line="360" w:lineRule="auto"/>
      <w:jc w:val="center"/>
    </w:pPr>
    <w:rPr>
      <w:rFonts w:ascii="宋体" w:hAnsi="宋体" w:cs="Times New Roman"/>
      <w:color w:val="000000"/>
      <w:sz w:val="20"/>
      <w:szCs w:val="20"/>
    </w:rPr>
  </w:style>
  <w:style w:type="paragraph" w:customStyle="1" w:styleId="Charfffffff2">
    <w:name w:val="热电厂正文 Char"/>
    <w:basedOn w:val="af1"/>
    <w:qFormat/>
    <w:pPr>
      <w:widowControl/>
      <w:spacing w:line="440" w:lineRule="exact"/>
      <w:ind w:firstLineChars="200" w:firstLine="480"/>
      <w:jc w:val="left"/>
    </w:pPr>
    <w:rPr>
      <w:rFonts w:ascii="Calibri" w:hAnsi="Calibri" w:cs="Times New Roman"/>
      <w:sz w:val="24"/>
      <w:szCs w:val="24"/>
    </w:rPr>
  </w:style>
  <w:style w:type="paragraph" w:customStyle="1" w:styleId="154">
    <w:name w:val="样式 小四 行距: 1.5 倍行距"/>
    <w:basedOn w:val="af1"/>
    <w:qFormat/>
    <w:pPr>
      <w:spacing w:line="360" w:lineRule="auto"/>
      <w:ind w:firstLineChars="200" w:firstLine="200"/>
    </w:pPr>
    <w:rPr>
      <w:rFonts w:ascii="Calibri" w:hAnsi="Calibri" w:cs="Times New Roman"/>
      <w:sz w:val="24"/>
      <w:szCs w:val="20"/>
    </w:rPr>
  </w:style>
  <w:style w:type="character" w:customStyle="1" w:styleId="2ffe">
    <w:name w:val="正文文本缩进 字符2"/>
    <w:basedOn w:val="af3"/>
    <w:uiPriority w:val="99"/>
    <w:semiHidden/>
    <w:qFormat/>
    <w:rPr>
      <w:rFonts w:ascii="Calibri" w:eastAsia="宋体" w:hAnsi="Calibri" w:cs="Times New Roman"/>
      <w:szCs w:val="24"/>
      <w:lang w:val="en-US" w:eastAsia="zh-CN" w:bidi="ar-SA"/>
    </w:rPr>
  </w:style>
  <w:style w:type="paragraph" w:customStyle="1" w:styleId="260">
    <w:name w:val="样式 标题 2 + 段前: 6 磅 段后: 0 磅"/>
    <w:basedOn w:val="22"/>
    <w:qFormat/>
    <w:pPr>
      <w:keepNext w:val="0"/>
      <w:keepLines w:val="0"/>
      <w:tabs>
        <w:tab w:val="left" w:pos="1320"/>
      </w:tabs>
      <w:adjustRightInd w:val="0"/>
      <w:spacing w:before="240" w:after="0" w:line="360" w:lineRule="auto"/>
      <w:textAlignment w:val="baseline"/>
    </w:pPr>
    <w:rPr>
      <w:rFonts w:ascii="黑体" w:eastAsia="宋体" w:hAnsi="Times New Roman"/>
      <w:color w:val="000000"/>
      <w:kern w:val="0"/>
      <w:sz w:val="28"/>
      <w:szCs w:val="28"/>
    </w:rPr>
  </w:style>
  <w:style w:type="paragraph" w:customStyle="1" w:styleId="CharCharChar1Char11">
    <w:name w:val="Char Char Char1 Char11"/>
    <w:basedOn w:val="af1"/>
    <w:qFormat/>
    <w:rPr>
      <w:rFonts w:ascii="Calibri" w:hAnsi="Calibri" w:cs="Times New Roman" w:hint="eastAsia"/>
      <w:szCs w:val="20"/>
    </w:rPr>
  </w:style>
  <w:style w:type="paragraph" w:customStyle="1" w:styleId="72">
    <w:name w:val="样式7表名"/>
    <w:next w:val="af1"/>
    <w:qFormat/>
    <w:pPr>
      <w:spacing w:before="120" w:line="360" w:lineRule="auto"/>
      <w:jc w:val="center"/>
    </w:pPr>
    <w:rPr>
      <w:rFonts w:ascii="黑体" w:eastAsia="黑体" w:hAnsi="Calibri" w:cs="黑体"/>
      <w:spacing w:val="60"/>
      <w:sz w:val="24"/>
      <w:szCs w:val="24"/>
    </w:rPr>
  </w:style>
  <w:style w:type="paragraph" w:customStyle="1" w:styleId="2TimesNewRoman0">
    <w:name w:val="样式 水保2级 + Times New Roman"/>
    <w:basedOn w:val="2fff"/>
    <w:qFormat/>
    <w:rPr>
      <w:rFonts w:ascii="Times New Roman" w:hAnsi="Times New Roman"/>
    </w:rPr>
  </w:style>
  <w:style w:type="paragraph" w:customStyle="1" w:styleId="2fff">
    <w:name w:val="水保2级"/>
    <w:basedOn w:val="22"/>
    <w:qFormat/>
    <w:pPr>
      <w:snapToGrid w:val="0"/>
      <w:spacing w:before="0" w:after="0" w:line="412" w:lineRule="auto"/>
    </w:pPr>
    <w:rPr>
      <w:rFonts w:eastAsia="华文中宋" w:hint="eastAsia"/>
      <w:b w:val="0"/>
      <w:sz w:val="28"/>
      <w:szCs w:val="20"/>
    </w:rPr>
  </w:style>
  <w:style w:type="paragraph" w:customStyle="1" w:styleId="afffffffffffffff6">
    <w:name w:val="表格，五宋"/>
    <w:qFormat/>
    <w:pPr>
      <w:adjustRightInd w:val="0"/>
      <w:spacing w:line="360" w:lineRule="exact"/>
      <w:jc w:val="center"/>
    </w:pPr>
    <w:rPr>
      <w:rFonts w:ascii="Calibri" w:eastAsia="宋体" w:hAnsi="Calibri" w:cs="Times New Roman"/>
      <w:sz w:val="21"/>
    </w:rPr>
  </w:style>
  <w:style w:type="paragraph" w:customStyle="1" w:styleId="afffffffffffffff7">
    <w:name w:val="生物拉丁文名"/>
    <w:basedOn w:val="af1"/>
    <w:qFormat/>
    <w:pPr>
      <w:tabs>
        <w:tab w:val="left" w:pos="-120"/>
      </w:tabs>
      <w:overflowPunct w:val="0"/>
      <w:topLinePunct/>
      <w:autoSpaceDE w:val="0"/>
      <w:adjustRightInd w:val="0"/>
      <w:snapToGrid w:val="0"/>
      <w:spacing w:before="60" w:afterLines="50" w:line="0" w:lineRule="atLeast"/>
      <w:ind w:firstLine="454"/>
    </w:pPr>
    <w:rPr>
      <w:rFonts w:ascii="Calibri" w:hAnsi="Calibri" w:cs="Times New Roman"/>
      <w:i/>
      <w:spacing w:val="20"/>
      <w:sz w:val="24"/>
      <w:szCs w:val="20"/>
    </w:rPr>
  </w:style>
  <w:style w:type="paragraph" w:customStyle="1" w:styleId="155">
    <w:name w:val="样式 四号 行距: 1.5 倍行距"/>
    <w:basedOn w:val="af1"/>
    <w:qFormat/>
    <w:pPr>
      <w:widowControl/>
      <w:spacing w:line="360" w:lineRule="auto"/>
      <w:jc w:val="left"/>
    </w:pPr>
    <w:rPr>
      <w:rFonts w:ascii="仿宋_GB2312" w:hAnsi="仿宋_GB2312" w:cs="Verdana"/>
      <w:sz w:val="28"/>
      <w:szCs w:val="20"/>
    </w:rPr>
  </w:style>
  <w:style w:type="paragraph" w:customStyle="1" w:styleId="xl121">
    <w:name w:val="xl121"/>
    <w:basedOn w:val="af1"/>
    <w:qFormat/>
    <w:pPr>
      <w:widowControl/>
      <w:pBdr>
        <w:left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afffffffffffffff8">
    <w:name w:val="小表文"/>
    <w:basedOn w:val="af1"/>
    <w:qFormat/>
    <w:pPr>
      <w:autoSpaceDE w:val="0"/>
      <w:autoSpaceDN w:val="0"/>
      <w:adjustRightInd w:val="0"/>
      <w:spacing w:before="20"/>
      <w:textAlignment w:val="baseline"/>
    </w:pPr>
    <w:rPr>
      <w:rFonts w:ascii="Calibri" w:hAnsi="Calibri" w:cs="Times New Roman"/>
      <w:kern w:val="0"/>
      <w:sz w:val="18"/>
      <w:szCs w:val="20"/>
    </w:rPr>
  </w:style>
  <w:style w:type="paragraph" w:customStyle="1" w:styleId="kk">
    <w:name w:val="表格文字kk"/>
    <w:basedOn w:val="af1"/>
    <w:qFormat/>
    <w:pPr>
      <w:adjustRightInd w:val="0"/>
      <w:spacing w:before="60" w:line="240" w:lineRule="atLeast"/>
      <w:jc w:val="center"/>
    </w:pPr>
    <w:rPr>
      <w:rFonts w:ascii="宋体" w:cs="Times New Roman"/>
      <w:kern w:val="0"/>
      <w:szCs w:val="20"/>
    </w:rPr>
  </w:style>
  <w:style w:type="paragraph" w:customStyle="1" w:styleId="57">
    <w:name w:val="标题5"/>
    <w:basedOn w:val="53"/>
    <w:qFormat/>
    <w:pPr>
      <w:spacing w:line="440" w:lineRule="exact"/>
      <w:ind w:leftChars="0" w:left="0" w:firstLineChars="200" w:firstLine="200"/>
      <w:outlineLvl w:val="4"/>
    </w:pPr>
    <w:rPr>
      <w:sz w:val="24"/>
      <w:szCs w:val="36"/>
    </w:rPr>
  </w:style>
  <w:style w:type="character" w:customStyle="1" w:styleId="3f3">
    <w:name w:val="标题 字符3"/>
    <w:basedOn w:val="af3"/>
    <w:uiPriority w:val="10"/>
    <w:qFormat/>
    <w:rPr>
      <w:rFonts w:asciiTheme="majorHAnsi" w:eastAsiaTheme="majorEastAsia" w:hAnsiTheme="majorHAnsi" w:cstheme="majorBidi"/>
      <w:b/>
      <w:bCs/>
      <w:sz w:val="32"/>
      <w:szCs w:val="32"/>
      <w:lang w:val="en-US" w:eastAsia="zh-CN" w:bidi="ar-SA"/>
    </w:rPr>
  </w:style>
  <w:style w:type="paragraph" w:customStyle="1" w:styleId="1fff0">
    <w:name w:val="正文样式1"/>
    <w:basedOn w:val="af1"/>
    <w:qFormat/>
    <w:pPr>
      <w:widowControl/>
      <w:spacing w:line="520" w:lineRule="exact"/>
      <w:jc w:val="center"/>
    </w:pPr>
    <w:rPr>
      <w:rFonts w:ascii="宋体" w:hAnsi="宋体" w:cs="Times New Roman"/>
      <w:sz w:val="24"/>
      <w:szCs w:val="24"/>
    </w:rPr>
  </w:style>
  <w:style w:type="paragraph" w:customStyle="1" w:styleId="1fff1">
    <w:name w:val="样式 标题 1 + (中文) 黑体 三号 居中 行距: 单倍行距"/>
    <w:basedOn w:val="1"/>
    <w:qFormat/>
    <w:pPr>
      <w:widowControl/>
      <w:topLinePunct/>
      <w:autoSpaceDE w:val="0"/>
      <w:autoSpaceDN w:val="0"/>
      <w:adjustRightInd w:val="0"/>
      <w:snapToGrid w:val="0"/>
      <w:spacing w:before="340" w:after="330" w:line="240" w:lineRule="auto"/>
      <w:ind w:firstLineChars="224" w:firstLine="538"/>
      <w:jc w:val="left"/>
    </w:pPr>
    <w:rPr>
      <w:rFonts w:ascii="Verdana" w:eastAsia="楷体" w:hAnsi="仿宋_GB2312" w:cs="Verdana"/>
      <w:b w:val="0"/>
      <w:bCs w:val="0"/>
      <w:kern w:val="44"/>
      <w:sz w:val="24"/>
      <w:szCs w:val="20"/>
    </w:rPr>
  </w:style>
  <w:style w:type="paragraph" w:customStyle="1" w:styleId="xl87">
    <w:name w:val="xl87"/>
    <w:basedOn w:val="af1"/>
    <w:qFormat/>
    <w:pPr>
      <w:widowControl/>
      <w:pBdr>
        <w:bottom w:val="single" w:sz="4" w:space="0" w:color="auto"/>
      </w:pBdr>
      <w:spacing w:before="100" w:beforeAutospacing="1" w:after="100" w:afterAutospacing="1" w:line="360" w:lineRule="auto"/>
    </w:pPr>
    <w:rPr>
      <w:rFonts w:ascii="宋体" w:hAnsi="宋体" w:cs="Times New Roman"/>
      <w:color w:val="000000"/>
      <w:sz w:val="20"/>
      <w:szCs w:val="20"/>
    </w:rPr>
  </w:style>
  <w:style w:type="paragraph" w:customStyle="1" w:styleId="CharCharCharCharCharChar1CharCharChar1">
    <w:name w:val="Char Char Char Char Char Char1 Char Char Char1"/>
    <w:basedOn w:val="af1"/>
    <w:qFormat/>
    <w:pPr>
      <w:spacing w:line="360" w:lineRule="auto"/>
      <w:ind w:firstLineChars="200" w:firstLine="200"/>
    </w:pPr>
    <w:rPr>
      <w:rFonts w:ascii="宋体" w:hAnsi="宋体" w:cs="Times New Roman"/>
      <w:sz w:val="24"/>
      <w:szCs w:val="20"/>
    </w:rPr>
  </w:style>
  <w:style w:type="paragraph" w:customStyle="1" w:styleId="reader-word-layerreader-word-s1-5">
    <w:name w:val="reader-word-layer reader-word-s1-5"/>
    <w:basedOn w:val="af1"/>
    <w:qFormat/>
    <w:pPr>
      <w:widowControl/>
      <w:spacing w:before="100" w:beforeAutospacing="1" w:after="100" w:afterAutospacing="1"/>
      <w:jc w:val="left"/>
    </w:pPr>
    <w:rPr>
      <w:rFonts w:ascii="宋体" w:hAnsi="宋体" w:cs="宋体"/>
      <w:kern w:val="0"/>
      <w:sz w:val="24"/>
      <w:szCs w:val="24"/>
    </w:rPr>
  </w:style>
  <w:style w:type="paragraph" w:customStyle="1" w:styleId="afffffffffffffff9">
    <w:name w:val="正文单倍行距"/>
    <w:basedOn w:val="af1"/>
    <w:qFormat/>
    <w:pPr>
      <w:widowControl/>
      <w:tabs>
        <w:tab w:val="left" w:pos="8640"/>
      </w:tabs>
      <w:snapToGrid w:val="0"/>
      <w:ind w:firstLineChars="200" w:firstLine="200"/>
      <w:jc w:val="left"/>
    </w:pPr>
    <w:rPr>
      <w:rFonts w:ascii="仿宋_GB2312" w:eastAsia="Times New Roman" w:hAnsi="仿宋_GB2312" w:cs="仿宋_GB2312"/>
      <w:sz w:val="24"/>
      <w:szCs w:val="24"/>
    </w:rPr>
  </w:style>
  <w:style w:type="paragraph" w:customStyle="1" w:styleId="1000">
    <w:name w:val="样式 标题 1 + 段前: 0 磅 段后: 0 磅 行距: 单倍行距"/>
    <w:basedOn w:val="110"/>
    <w:qFormat/>
    <w:pPr>
      <w:widowControl w:val="0"/>
      <w:tabs>
        <w:tab w:val="left" w:pos="432"/>
      </w:tabs>
      <w:spacing w:beforeLines="0" w:afterLines="0"/>
      <w:ind w:left="432" w:hanging="432"/>
      <w:jc w:val="both"/>
    </w:pPr>
    <w:rPr>
      <w:rFonts w:ascii="Times New Roman"/>
      <w:kern w:val="44"/>
      <w:sz w:val="28"/>
    </w:rPr>
  </w:style>
  <w:style w:type="paragraph" w:customStyle="1" w:styleId="afffffffffffffffa">
    <w:name w:val="表后空行"/>
    <w:basedOn w:val="af1"/>
    <w:next w:val="af1"/>
    <w:qFormat/>
    <w:pPr>
      <w:widowControl/>
      <w:jc w:val="left"/>
    </w:pPr>
    <w:rPr>
      <w:rFonts w:ascii="仿宋_GB2312" w:hAnsi="仿宋_GB2312" w:cs="仿宋_GB2312"/>
      <w:kern w:val="18"/>
      <w:sz w:val="18"/>
      <w:szCs w:val="24"/>
    </w:rPr>
  </w:style>
  <w:style w:type="paragraph" w:customStyle="1" w:styleId="314">
    <w:name w:val="正文文字缩进 31"/>
    <w:basedOn w:val="af1"/>
    <w:next w:val="26"/>
    <w:qFormat/>
    <w:pPr>
      <w:widowControl/>
      <w:spacing w:line="360" w:lineRule="auto"/>
      <w:ind w:firstLineChars="100" w:firstLine="280"/>
      <w:jc w:val="left"/>
    </w:pPr>
    <w:rPr>
      <w:rFonts w:ascii="Verdana" w:hAnsi="Verdana" w:cs="Verdana"/>
      <w:bCs/>
      <w:sz w:val="28"/>
      <w:szCs w:val="30"/>
    </w:rPr>
  </w:style>
  <w:style w:type="paragraph" w:customStyle="1" w:styleId="31313208">
    <w:name w:val="样式 标题 3 + 段前: 13 磅 段后: 13 磅 行距: 最小值 20.8 磅"/>
    <w:basedOn w:val="31"/>
    <w:qFormat/>
    <w:pPr>
      <w:keepLines w:val="0"/>
      <w:widowControl/>
      <w:spacing w:before="0" w:after="0" w:line="360" w:lineRule="auto"/>
      <w:ind w:firstLineChars="200" w:firstLine="1044"/>
      <w:jc w:val="left"/>
      <w:textAlignment w:val="baseline"/>
    </w:pPr>
    <w:rPr>
      <w:rFonts w:ascii="Times New Roman" w:eastAsia="黑体" w:hAnsi="Times New Roman" w:cs="宋体"/>
      <w:b w:val="0"/>
      <w:color w:val="000000"/>
      <w:kern w:val="0"/>
      <w:sz w:val="30"/>
      <w:szCs w:val="20"/>
      <w:lang w:bidi="en-US"/>
    </w:rPr>
  </w:style>
  <w:style w:type="paragraph" w:customStyle="1" w:styleId="2220">
    <w:name w:val="样式 目录 2 + 左侧:  2 字符 首行缩进:  2 字符"/>
    <w:basedOn w:val="TOC2"/>
    <w:qFormat/>
    <w:pPr>
      <w:widowControl/>
      <w:tabs>
        <w:tab w:val="right" w:leader="dot" w:pos="8296"/>
        <w:tab w:val="right" w:leader="dot" w:pos="9060"/>
      </w:tabs>
      <w:snapToGrid w:val="0"/>
      <w:spacing w:after="40" w:line="360" w:lineRule="auto"/>
      <w:ind w:leftChars="0" w:left="0" w:firstLine="476"/>
      <w:jc w:val="left"/>
    </w:pPr>
    <w:rPr>
      <w:rFonts w:ascii="仿宋_GB2312" w:eastAsia="楷体" w:hAnsi="仿宋_GB2312" w:cs="Verdana"/>
      <w:smallCaps/>
      <w:spacing w:val="20"/>
      <w:sz w:val="24"/>
      <w:szCs w:val="20"/>
    </w:rPr>
  </w:style>
  <w:style w:type="paragraph" w:customStyle="1" w:styleId="5K">
    <w:name w:val="列表 5K"/>
    <w:basedOn w:val="55"/>
    <w:qFormat/>
    <w:pPr>
      <w:tabs>
        <w:tab w:val="left" w:pos="1134"/>
      </w:tabs>
      <w:adjustRightInd/>
      <w:spacing w:beforeLines="0" w:line="240" w:lineRule="auto"/>
      <w:ind w:left="1134" w:hanging="425"/>
      <w:jc w:val="left"/>
      <w:textAlignment w:val="auto"/>
    </w:pPr>
    <w:rPr>
      <w:rFonts w:ascii="Courier New" w:hAnsi="Courier New" w:cs="仿宋_GB2312"/>
      <w:color w:val="99CCFF"/>
      <w:kern w:val="2"/>
    </w:rPr>
  </w:style>
  <w:style w:type="paragraph" w:customStyle="1" w:styleId="PlainText1">
    <w:name w:val="Plain Text1"/>
    <w:basedOn w:val="af1"/>
    <w:qFormat/>
    <w:pPr>
      <w:autoSpaceDE w:val="0"/>
      <w:autoSpaceDN w:val="0"/>
      <w:adjustRightInd w:val="0"/>
      <w:textAlignment w:val="baseline"/>
    </w:pPr>
    <w:rPr>
      <w:rFonts w:ascii="宋体" w:hAnsi="Tms Rmn" w:cs="Times New Roman"/>
      <w:kern w:val="0"/>
      <w:szCs w:val="20"/>
    </w:rPr>
  </w:style>
  <w:style w:type="paragraph" w:customStyle="1" w:styleId="afffffffffffffffb">
    <w:name w:val="表格中"/>
    <w:basedOn w:val="afffe"/>
    <w:qFormat/>
    <w:pPr>
      <w:spacing w:beforeLines="50" w:line="240" w:lineRule="auto"/>
      <w:outlineLvl w:val="5"/>
    </w:pPr>
    <w:rPr>
      <w:rFonts w:ascii="黑体" w:eastAsia="黑体" w:hint="eastAsia"/>
      <w:szCs w:val="24"/>
    </w:rPr>
  </w:style>
  <w:style w:type="paragraph" w:customStyle="1" w:styleId="-3">
    <w:name w:val="表格标题-3"/>
    <w:basedOn w:val="-xin"/>
    <w:next w:val="af1"/>
    <w:qFormat/>
    <w:pPr>
      <w:numPr>
        <w:numId w:val="14"/>
      </w:numPr>
      <w:adjustRightInd w:val="0"/>
      <w:spacing w:line="360" w:lineRule="auto"/>
    </w:pPr>
    <w:rPr>
      <w:rFonts w:ascii="Times New Roman" w:hAnsi="Times New Roman"/>
      <w:sz w:val="24"/>
    </w:rPr>
  </w:style>
  <w:style w:type="paragraph" w:customStyle="1" w:styleId="-xin">
    <w:name w:val="表格标题-xin"/>
    <w:basedOn w:val="af1"/>
    <w:next w:val="af1"/>
    <w:semiHidden/>
    <w:qFormat/>
    <w:pPr>
      <w:snapToGrid w:val="0"/>
      <w:jc w:val="center"/>
    </w:pPr>
    <w:rPr>
      <w:rFonts w:ascii="Calibri" w:eastAsia="黑体" w:hAnsi="Calibri" w:cs="Times New Roman"/>
      <w:szCs w:val="24"/>
    </w:rPr>
  </w:style>
  <w:style w:type="paragraph" w:customStyle="1" w:styleId="216">
    <w:name w:val="样式21"/>
    <w:basedOn w:val="afffffffffffff3"/>
    <w:qFormat/>
    <w:pPr>
      <w:widowControl w:val="0"/>
      <w:spacing w:line="360" w:lineRule="auto"/>
      <w:jc w:val="both"/>
    </w:pPr>
    <w:rPr>
      <w:rFonts w:ascii="Calibri" w:hAnsi="Calibri"/>
      <w:szCs w:val="22"/>
    </w:rPr>
  </w:style>
  <w:style w:type="paragraph" w:customStyle="1" w:styleId="131">
    <w:name w:val="13"/>
    <w:basedOn w:val="af1"/>
    <w:next w:val="aff0"/>
    <w:qFormat/>
    <w:pPr>
      <w:ind w:firstLine="420"/>
    </w:pPr>
    <w:rPr>
      <w:rFonts w:ascii="Calibri" w:hAnsi="Calibri" w:cs="Times New Roman"/>
      <w:szCs w:val="20"/>
    </w:rPr>
  </w:style>
  <w:style w:type="paragraph" w:customStyle="1" w:styleId="1fff2">
    <w:name w:val="表文1"/>
    <w:basedOn w:val="afffffffffffff3"/>
    <w:qFormat/>
    <w:pPr>
      <w:widowControl w:val="0"/>
      <w:spacing w:line="360" w:lineRule="auto"/>
      <w:jc w:val="both"/>
    </w:pPr>
    <w:rPr>
      <w:rFonts w:ascii="Calibri" w:hAnsi="Calibri"/>
      <w:szCs w:val="22"/>
    </w:rPr>
  </w:style>
  <w:style w:type="paragraph" w:customStyle="1" w:styleId="225TimesNewRoman2">
    <w:name w:val="样式 样式 黑色 首行缩进:  2 字符 行距: 固定值 25 磅 + Times New Roman 首行缩进:  2 字符"/>
    <w:basedOn w:val="af1"/>
    <w:qFormat/>
    <w:pPr>
      <w:widowControl/>
      <w:spacing w:line="580" w:lineRule="exact"/>
      <w:ind w:firstLineChars="200" w:firstLine="200"/>
      <w:jc w:val="left"/>
    </w:pPr>
    <w:rPr>
      <w:rFonts w:ascii="Calibri" w:eastAsia="仿宋_GB2312" w:hAnsi="Calibri" w:cs="宋体"/>
      <w:b/>
      <w:bCs/>
      <w:color w:val="000000"/>
      <w:sz w:val="28"/>
      <w:szCs w:val="20"/>
    </w:rPr>
  </w:style>
  <w:style w:type="paragraph" w:customStyle="1" w:styleId="afffffffffffffffc">
    <w:name w:val="表格排版"/>
    <w:next w:val="af1"/>
    <w:qFormat/>
    <w:pPr>
      <w:jc w:val="center"/>
    </w:pPr>
    <w:rPr>
      <w:rFonts w:ascii="Calibri" w:eastAsia="宋体" w:hAnsi="Calibri" w:cs="Times New Roman"/>
      <w:bCs/>
      <w:kern w:val="44"/>
      <w:sz w:val="21"/>
      <w:szCs w:val="44"/>
    </w:rPr>
  </w:style>
  <w:style w:type="paragraph" w:customStyle="1" w:styleId="afffffffffffffffd">
    <w:name w:val="魏秀珍   正文"/>
    <w:basedOn w:val="aff0"/>
    <w:qFormat/>
    <w:pPr>
      <w:snapToGrid w:val="0"/>
      <w:spacing w:line="360" w:lineRule="auto"/>
      <w:ind w:firstLine="480"/>
      <w:jc w:val="left"/>
      <w:textAlignment w:val="auto"/>
    </w:pPr>
    <w:rPr>
      <w:rFonts w:ascii="Times New Roman" w:cs="宋体"/>
      <w:kern w:val="0"/>
      <w:sz w:val="24"/>
    </w:rPr>
  </w:style>
  <w:style w:type="paragraph" w:customStyle="1" w:styleId="330">
    <w:name w:val="样式 标题 3 + 四号3"/>
    <w:basedOn w:val="31"/>
    <w:qFormat/>
    <w:pPr>
      <w:keepLines w:val="0"/>
      <w:widowControl/>
      <w:spacing w:before="0" w:after="0" w:line="360" w:lineRule="auto"/>
      <w:ind w:firstLineChars="200" w:firstLine="1044"/>
      <w:jc w:val="left"/>
      <w:textAlignment w:val="baseline"/>
    </w:pPr>
    <w:rPr>
      <w:rFonts w:ascii="Times New Roman" w:eastAsia="黑体" w:hAnsi="Times New Roman"/>
      <w:b w:val="0"/>
      <w:color w:val="000000"/>
      <w:kern w:val="0"/>
      <w:sz w:val="28"/>
      <w:szCs w:val="24"/>
      <w:lang w:bidi="en-US"/>
    </w:rPr>
  </w:style>
  <w:style w:type="paragraph" w:customStyle="1" w:styleId="afffffffffffffffe">
    <w:name w:val="表内文字"/>
    <w:basedOn w:val="af1"/>
    <w:qFormat/>
    <w:pPr>
      <w:adjustRightInd w:val="0"/>
      <w:spacing w:before="80" w:line="240" w:lineRule="atLeast"/>
      <w:jc w:val="center"/>
      <w:textAlignment w:val="baseline"/>
    </w:pPr>
    <w:rPr>
      <w:rFonts w:ascii="Calibri" w:hAnsi="Calibri" w:cs="Times New Roman"/>
      <w:kern w:val="0"/>
      <w:szCs w:val="20"/>
    </w:rPr>
  </w:style>
  <w:style w:type="paragraph" w:customStyle="1" w:styleId="affffffffffffffff">
    <w:name w:val="九级标题"/>
    <w:basedOn w:val="9"/>
    <w:qFormat/>
    <w:pPr>
      <w:numPr>
        <w:ilvl w:val="0"/>
        <w:numId w:val="0"/>
      </w:numPr>
      <w:tabs>
        <w:tab w:val="clear" w:pos="1584"/>
      </w:tabs>
      <w:adjustRightInd w:val="0"/>
      <w:snapToGrid w:val="0"/>
      <w:spacing w:before="120" w:after="0" w:line="240" w:lineRule="auto"/>
      <w:ind w:firstLine="482"/>
    </w:pPr>
    <w:rPr>
      <w:snapToGrid w:val="0"/>
      <w:kern w:val="0"/>
      <w:szCs w:val="28"/>
    </w:rPr>
  </w:style>
  <w:style w:type="paragraph" w:customStyle="1" w:styleId="reader-word-layer">
    <w:name w:val="reader-word-layer"/>
    <w:basedOn w:val="af1"/>
    <w:qFormat/>
    <w:pPr>
      <w:widowControl/>
      <w:spacing w:before="100" w:beforeAutospacing="1" w:after="100" w:afterAutospacing="1"/>
      <w:jc w:val="left"/>
    </w:pPr>
    <w:rPr>
      <w:rFonts w:ascii="宋体" w:hAnsi="宋体" w:cs="宋体"/>
      <w:kern w:val="0"/>
      <w:sz w:val="24"/>
      <w:szCs w:val="24"/>
    </w:rPr>
  </w:style>
  <w:style w:type="paragraph" w:customStyle="1" w:styleId="3f4">
    <w:name w:val="样式 标题3"/>
    <w:basedOn w:val="31"/>
    <w:qFormat/>
    <w:pPr>
      <w:spacing w:beforeLines="50" w:afterLines="50" w:line="360" w:lineRule="auto"/>
      <w:ind w:firstLine="200"/>
      <w:jc w:val="left"/>
    </w:pPr>
    <w:rPr>
      <w:rFonts w:ascii="宋体" w:hAnsi="宋体" w:cs="宋体"/>
      <w:sz w:val="28"/>
      <w:szCs w:val="24"/>
    </w:rPr>
  </w:style>
  <w:style w:type="paragraph" w:customStyle="1" w:styleId="affffffffffffffff0">
    <w:name w:val="表格编号"/>
    <w:basedOn w:val="af1"/>
    <w:qFormat/>
    <w:pPr>
      <w:spacing w:line="360" w:lineRule="auto"/>
      <w:jc w:val="center"/>
    </w:pPr>
    <w:rPr>
      <w:rFonts w:ascii="黑体" w:eastAsia="黑体" w:hAnsi="宋体" w:cs="Times New Roman"/>
      <w:kern w:val="0"/>
      <w:sz w:val="24"/>
      <w:szCs w:val="24"/>
    </w:rPr>
  </w:style>
  <w:style w:type="character" w:customStyle="1" w:styleId="1fff3">
    <w:name w:val="电子邮件签名 字符1"/>
    <w:basedOn w:val="af3"/>
    <w:uiPriority w:val="99"/>
    <w:semiHidden/>
    <w:qFormat/>
    <w:rPr>
      <w:rFonts w:ascii="Calibri" w:eastAsia="宋体" w:hAnsi="Calibri" w:cs="Times New Roman"/>
      <w:szCs w:val="24"/>
      <w:lang w:val="en-US" w:eastAsia="zh-CN" w:bidi="ar-SA"/>
    </w:rPr>
  </w:style>
  <w:style w:type="paragraph" w:customStyle="1" w:styleId="4d">
    <w:name w:val="无间隔4"/>
    <w:qFormat/>
    <w:pPr>
      <w:widowControl w:val="0"/>
      <w:adjustRightInd w:val="0"/>
    </w:pPr>
    <w:rPr>
      <w:rFonts w:ascii="Calibri" w:eastAsia="宋体" w:hAnsi="Calibri" w:cs="Times New Roman"/>
      <w:kern w:val="2"/>
      <w:sz w:val="21"/>
      <w:szCs w:val="24"/>
    </w:rPr>
  </w:style>
  <w:style w:type="paragraph" w:customStyle="1" w:styleId="reader-word-layerreader-word-s1-19">
    <w:name w:val="reader-word-layer reader-word-s1-19"/>
    <w:basedOn w:val="af1"/>
    <w:qFormat/>
    <w:pPr>
      <w:widowControl/>
      <w:spacing w:before="100" w:beforeAutospacing="1" w:after="100" w:afterAutospacing="1"/>
      <w:jc w:val="left"/>
    </w:pPr>
    <w:rPr>
      <w:rFonts w:ascii="宋体" w:hAnsi="宋体" w:cs="宋体"/>
      <w:kern w:val="0"/>
      <w:sz w:val="24"/>
      <w:szCs w:val="24"/>
    </w:rPr>
  </w:style>
  <w:style w:type="paragraph" w:customStyle="1" w:styleId="3330505661">
    <w:name w:val="样式 样式 样式 标题 3标题 33 + 段前: 0.5 行 + 段前: 0.5 行 + 段前: 6 磅 段后: 6 磅1"/>
    <w:basedOn w:val="3330505"/>
    <w:qFormat/>
  </w:style>
  <w:style w:type="paragraph" w:customStyle="1" w:styleId="3330505">
    <w:name w:val="样式 样式 标题 3标题 33 + 段前: 0.5 行 + 段前: 0.5 行"/>
    <w:basedOn w:val="33305"/>
    <w:qFormat/>
  </w:style>
  <w:style w:type="paragraph" w:customStyle="1" w:styleId="33305">
    <w:name w:val="样式 标题 3标题 33 + 段前: 0.5 行"/>
    <w:basedOn w:val="31"/>
    <w:qFormat/>
    <w:pPr>
      <w:spacing w:before="0" w:after="0" w:line="360" w:lineRule="auto"/>
    </w:pPr>
    <w:rPr>
      <w:rFonts w:ascii="黑体" w:eastAsia="黑体"/>
      <w:b w:val="0"/>
      <w:bCs w:val="0"/>
      <w:snapToGrid w:val="0"/>
      <w:color w:val="008000"/>
      <w:kern w:val="0"/>
      <w:sz w:val="24"/>
      <w:szCs w:val="20"/>
    </w:rPr>
  </w:style>
  <w:style w:type="paragraph" w:customStyle="1" w:styleId="affffffffffffffff1">
    <w:name w:val="封面正文"/>
    <w:basedOn w:val="Default"/>
    <w:next w:val="Default"/>
    <w:qFormat/>
    <w:rPr>
      <w:rFonts w:ascii="Times New Roman" w:eastAsia="宋体" w:cs="Times New Roman"/>
      <w:color w:val="auto"/>
    </w:rPr>
  </w:style>
  <w:style w:type="paragraph" w:customStyle="1" w:styleId="4I">
    <w:name w:val="列表 4I"/>
    <w:basedOn w:val="45"/>
    <w:qFormat/>
    <w:pPr>
      <w:widowControl/>
      <w:tabs>
        <w:tab w:val="left" w:pos="785"/>
      </w:tabs>
      <w:adjustRightInd/>
      <w:spacing w:afterLines="30" w:line="288" w:lineRule="auto"/>
      <w:ind w:left="0" w:firstLine="425"/>
      <w:jc w:val="left"/>
      <w:textAlignment w:val="auto"/>
    </w:pPr>
    <w:rPr>
      <w:rFonts w:ascii="Courier New" w:hAnsi="Courier New" w:cs="仿宋_GB2312"/>
      <w:color w:val="CCFFFF"/>
      <w:kern w:val="2"/>
    </w:rPr>
  </w:style>
  <w:style w:type="paragraph" w:customStyle="1" w:styleId="xl51">
    <w:name w:val="xl51"/>
    <w:basedOn w:val="af1"/>
    <w:qFormat/>
    <w:pPr>
      <w:widowControl/>
      <w:pBdr>
        <w:top w:val="single" w:sz="4" w:space="0" w:color="auto"/>
        <w:right w:val="single" w:sz="4" w:space="0" w:color="auto"/>
      </w:pBdr>
      <w:spacing w:before="100" w:beforeAutospacing="1" w:after="100" w:afterAutospacing="1"/>
      <w:jc w:val="center"/>
    </w:pPr>
    <w:rPr>
      <w:rFonts w:ascii="新宋体" w:eastAsia="新宋体" w:hAnsi="新宋体" w:cs="Arial Unicode MS" w:hint="eastAsia"/>
      <w:kern w:val="0"/>
      <w:sz w:val="18"/>
      <w:szCs w:val="18"/>
    </w:rPr>
  </w:style>
  <w:style w:type="paragraph" w:customStyle="1" w:styleId="kk05">
    <w:name w:val="样式 注释标题kk－图表说明 + 黑色 段前: 0.5 行"/>
    <w:basedOn w:val="afc"/>
    <w:qFormat/>
    <w:pPr>
      <w:widowControl/>
      <w:spacing w:beforeLines="50" w:line="100" w:lineRule="atLeast"/>
    </w:pPr>
    <w:rPr>
      <w:rFonts w:ascii="Times New Roman" w:eastAsia="黑体" w:hAnsi="Times New Roman" w:cs="宋体"/>
      <w:color w:val="000000"/>
      <w:kern w:val="0"/>
      <w:sz w:val="20"/>
      <w:szCs w:val="20"/>
    </w:rPr>
  </w:style>
  <w:style w:type="paragraph" w:customStyle="1" w:styleId="301">
    <w:name w:val="样式 标题 3 + 首行缩进:  0 厘米"/>
    <w:basedOn w:val="315"/>
    <w:qFormat/>
    <w:pPr>
      <w:tabs>
        <w:tab w:val="left" w:leader="dot" w:pos="284"/>
      </w:tabs>
      <w:spacing w:line="240" w:lineRule="auto"/>
      <w:ind w:firstLineChars="100" w:firstLine="100"/>
    </w:pPr>
    <w:rPr>
      <w:rFonts w:ascii="Times New Roman" w:eastAsia="宋体"/>
      <w:sz w:val="28"/>
    </w:rPr>
  </w:style>
  <w:style w:type="paragraph" w:customStyle="1" w:styleId="315">
    <w:name w:val="标题 31"/>
    <w:basedOn w:val="af1"/>
    <w:next w:val="af1"/>
    <w:qFormat/>
    <w:pPr>
      <w:keepNext/>
      <w:keepLines/>
      <w:snapToGrid w:val="0"/>
      <w:spacing w:line="360" w:lineRule="auto"/>
      <w:outlineLvl w:val="2"/>
    </w:pPr>
    <w:rPr>
      <w:rFonts w:ascii="黑体" w:eastAsia="黑体" w:hAnsi="黑体" w:cs="Times New Roman" w:hint="eastAsia"/>
      <w:b/>
      <w:snapToGrid w:val="0"/>
      <w:color w:val="008000"/>
      <w:sz w:val="24"/>
      <w:szCs w:val="24"/>
    </w:rPr>
  </w:style>
  <w:style w:type="paragraph" w:customStyle="1" w:styleId="CharCharChar1CharCharCharCharCharCharCharCharCharCharCharCharCharCharCharChar">
    <w:name w:val="Char Char Char1 Char Char Char Char Char Char Char Char Char Char Char Char Char Char Char Char"/>
    <w:basedOn w:val="af1"/>
    <w:qFormat/>
    <w:pPr>
      <w:widowControl/>
      <w:jc w:val="left"/>
    </w:pPr>
    <w:rPr>
      <w:rFonts w:ascii="Calibri" w:hAnsi="Calibri" w:cs="Times New Roman"/>
      <w:sz w:val="24"/>
      <w:szCs w:val="24"/>
    </w:rPr>
  </w:style>
  <w:style w:type="paragraph" w:customStyle="1" w:styleId="msotocheading0">
    <w:name w:val="msotocheading"/>
    <w:basedOn w:val="1"/>
    <w:next w:val="af1"/>
    <w:qFormat/>
    <w:pPr>
      <w:widowControl/>
      <w:adjustRightInd w:val="0"/>
      <w:spacing w:beforeLines="50" w:line="276" w:lineRule="auto"/>
      <w:ind w:firstLineChars="200" w:firstLine="723"/>
      <w:jc w:val="left"/>
      <w:outlineLvl w:val="9"/>
    </w:pPr>
    <w:rPr>
      <w:rFonts w:ascii="Cambria" w:hAnsi="Cambria"/>
      <w:color w:val="365F91"/>
      <w:kern w:val="0"/>
      <w:sz w:val="28"/>
      <w:szCs w:val="28"/>
    </w:rPr>
  </w:style>
  <w:style w:type="paragraph" w:customStyle="1" w:styleId="00">
    <w:name w:val="样式 正文首行缩进（西藏格式） + 首行缩进:  0 厘米"/>
    <w:basedOn w:val="affffffffffffffff2"/>
    <w:qFormat/>
    <w:rPr>
      <w:rFonts w:cs="宋体"/>
      <w:szCs w:val="20"/>
    </w:rPr>
  </w:style>
  <w:style w:type="paragraph" w:customStyle="1" w:styleId="affffffffffffffff2">
    <w:name w:val="正文首行缩进（西藏格式）"/>
    <w:basedOn w:val="1ff0"/>
    <w:qFormat/>
    <w:pPr>
      <w:snapToGrid w:val="0"/>
      <w:spacing w:after="0" w:line="400" w:lineRule="exact"/>
      <w:ind w:firstLine="482"/>
      <w:textAlignment w:val="auto"/>
    </w:pPr>
    <w:rPr>
      <w:snapToGrid w:val="0"/>
    </w:rPr>
  </w:style>
  <w:style w:type="paragraph" w:customStyle="1" w:styleId="64">
    <w:name w:val="6"/>
    <w:basedOn w:val="af1"/>
    <w:next w:val="26"/>
    <w:qFormat/>
    <w:pPr>
      <w:spacing w:line="500" w:lineRule="exact"/>
      <w:ind w:firstLineChars="200" w:firstLine="560"/>
    </w:pPr>
    <w:rPr>
      <w:rFonts w:ascii="仿宋_GB2312" w:eastAsia="仿宋_GB2312" w:hAnsi="Calibri" w:cs="Times New Roman"/>
      <w:color w:val="000000"/>
      <w:sz w:val="28"/>
      <w:szCs w:val="24"/>
    </w:rPr>
  </w:style>
  <w:style w:type="paragraph" w:customStyle="1" w:styleId="1fff4">
    <w:name w:val="1."/>
    <w:basedOn w:val="af1"/>
    <w:qFormat/>
    <w:pPr>
      <w:widowControl/>
      <w:snapToGrid w:val="0"/>
      <w:spacing w:line="360" w:lineRule="auto"/>
      <w:ind w:left="1820" w:hanging="323"/>
      <w:jc w:val="left"/>
    </w:pPr>
    <w:rPr>
      <w:rFonts w:ascii="MS Gothic" w:eastAsia="MS Gothic" w:hAnsi="Century" w:cs="仿宋_GB2312"/>
      <w:sz w:val="28"/>
      <w:szCs w:val="20"/>
      <w:lang w:eastAsia="zh-TW"/>
    </w:rPr>
  </w:style>
  <w:style w:type="paragraph" w:customStyle="1" w:styleId="1fff5">
    <w:name w:val="目录1（西藏格式）"/>
    <w:basedOn w:val="TOC1"/>
    <w:qFormat/>
    <w:pPr>
      <w:tabs>
        <w:tab w:val="clear" w:pos="9016"/>
        <w:tab w:val="right" w:leader="dot" w:pos="8280"/>
      </w:tabs>
      <w:adjustRightInd w:val="0"/>
      <w:snapToGrid w:val="0"/>
      <w:spacing w:before="120" w:after="120" w:line="360" w:lineRule="auto"/>
      <w:ind w:left="731" w:hanging="731"/>
      <w:jc w:val="left"/>
    </w:pPr>
    <w:rPr>
      <w:rFonts w:ascii="Calibri" w:hAnsi="Calibri" w:cs="Calibri"/>
      <w:b w:val="0"/>
      <w:bCs/>
      <w:snapToGrid w:val="0"/>
      <w:sz w:val="20"/>
      <w:szCs w:val="20"/>
    </w:rPr>
  </w:style>
  <w:style w:type="paragraph" w:customStyle="1" w:styleId="CharCharCharCharCharCharCharChar1">
    <w:name w:val="Char Char Char Char Char Char Char Char1"/>
    <w:basedOn w:val="af1"/>
    <w:qFormat/>
    <w:pPr>
      <w:widowControl/>
      <w:snapToGrid w:val="0"/>
      <w:spacing w:before="120" w:after="160" w:line="360" w:lineRule="auto"/>
      <w:ind w:right="-360" w:firstLineChars="200" w:firstLine="200"/>
      <w:jc w:val="left"/>
    </w:pPr>
    <w:rPr>
      <w:rFonts w:ascii="Arial" w:hAnsi="Arial" w:cs="Times New Roman"/>
      <w:kern w:val="0"/>
      <w:sz w:val="24"/>
      <w:szCs w:val="24"/>
      <w:lang w:eastAsia="en-US"/>
    </w:rPr>
  </w:style>
  <w:style w:type="paragraph" w:customStyle="1" w:styleId="affffffffffffffff3">
    <w:name w:val="正文图竖五"/>
    <w:basedOn w:val="af1"/>
    <w:qFormat/>
    <w:pPr>
      <w:widowControl/>
      <w:jc w:val="center"/>
    </w:pPr>
    <w:rPr>
      <w:rFonts w:ascii="仿宋_GB2312" w:eastAsia="Times New Roman" w:hAnsi="仿宋_GB2312" w:cs="仿宋_GB2312"/>
      <w:color w:val="000000"/>
      <w:kern w:val="0"/>
      <w:szCs w:val="21"/>
    </w:rPr>
  </w:style>
  <w:style w:type="paragraph" w:customStyle="1" w:styleId="66">
    <w:name w:val="66"/>
    <w:basedOn w:val="21"/>
    <w:qFormat/>
    <w:pPr>
      <w:spacing w:after="0" w:line="360" w:lineRule="auto"/>
      <w:ind w:leftChars="0" w:left="0" w:firstLine="200"/>
    </w:pPr>
    <w:rPr>
      <w:rFonts w:eastAsia="宋体"/>
      <w:sz w:val="24"/>
    </w:rPr>
  </w:style>
  <w:style w:type="paragraph" w:customStyle="1" w:styleId="200">
    <w:name w:val="样式 标题 2 + 首行缩进:  0 厘米"/>
    <w:basedOn w:val="22"/>
    <w:qFormat/>
    <w:pPr>
      <w:tabs>
        <w:tab w:val="left" w:pos="0"/>
      </w:tabs>
      <w:snapToGrid w:val="0"/>
      <w:spacing w:before="0" w:after="0" w:line="300" w:lineRule="auto"/>
      <w:ind w:left="113"/>
    </w:pPr>
    <w:rPr>
      <w:rFonts w:eastAsia="华文中宋" w:hint="eastAsia"/>
      <w:b w:val="0"/>
      <w:sz w:val="28"/>
      <w:szCs w:val="20"/>
    </w:rPr>
  </w:style>
  <w:style w:type="paragraph" w:customStyle="1" w:styleId="af0">
    <w:name w:val="第二章 图件标题"/>
    <w:basedOn w:val="-xin0"/>
    <w:next w:val="af1"/>
    <w:qFormat/>
    <w:pPr>
      <w:numPr>
        <w:numId w:val="15"/>
      </w:numPr>
      <w:tabs>
        <w:tab w:val="left" w:pos="360"/>
      </w:tabs>
      <w:adjustRightInd w:val="0"/>
      <w:spacing w:line="360" w:lineRule="auto"/>
    </w:pPr>
    <w:rPr>
      <w:rFonts w:ascii="Times New Roman" w:hAnsi="Times New Roman"/>
      <w:sz w:val="24"/>
    </w:rPr>
  </w:style>
  <w:style w:type="paragraph" w:customStyle="1" w:styleId="-xin0">
    <w:name w:val="图件标题-xin"/>
    <w:basedOn w:val="-xin"/>
    <w:next w:val="af1"/>
    <w:semiHidden/>
    <w:qFormat/>
  </w:style>
  <w:style w:type="paragraph" w:customStyle="1" w:styleId="CharCharCharCharCharCharCharCharCharCharCharCharCharCharCharCharCharCharCharCharChar1Char">
    <w:name w:val="Char Char Char Char Char Char Char Char Char Char Char Char Char Char Char Char Char Char Char Char Char1 Char"/>
    <w:basedOn w:val="af1"/>
    <w:qFormat/>
    <w:pPr>
      <w:spacing w:line="360" w:lineRule="auto"/>
      <w:ind w:firstLineChars="200" w:firstLine="200"/>
    </w:pPr>
    <w:rPr>
      <w:rFonts w:ascii="宋体" w:hAnsi="宋体" w:cs="Times New Roman"/>
      <w:sz w:val="24"/>
      <w:szCs w:val="20"/>
    </w:rPr>
  </w:style>
  <w:style w:type="paragraph" w:customStyle="1" w:styleId="affffffffffffffff4">
    <w:name w:val="文本框五号"/>
    <w:qFormat/>
    <w:pPr>
      <w:adjustRightInd w:val="0"/>
      <w:spacing w:line="240" w:lineRule="atLeast"/>
      <w:jc w:val="center"/>
    </w:pPr>
    <w:rPr>
      <w:rFonts w:ascii="仿宋_GB2312" w:eastAsia="Times New Roman" w:hAnsi="仿宋_GB2312" w:cs="仿宋_GB2312"/>
      <w:kern w:val="2"/>
      <w:sz w:val="21"/>
      <w:szCs w:val="21"/>
    </w:rPr>
  </w:style>
  <w:style w:type="paragraph" w:customStyle="1" w:styleId="affffffffffffffff5">
    <w:name w:val="五级标题"/>
    <w:link w:val="Charfffffff3"/>
    <w:qFormat/>
    <w:pPr>
      <w:adjustRightInd w:val="0"/>
      <w:snapToGrid w:val="0"/>
      <w:spacing w:before="120"/>
      <w:ind w:firstLine="510"/>
      <w:jc w:val="both"/>
    </w:pPr>
    <w:rPr>
      <w:rFonts w:ascii="黑体" w:eastAsia="黑体" w:hAnsi="Calibri" w:cs="Times New Roman"/>
      <w:snapToGrid w:val="0"/>
      <w:sz w:val="28"/>
    </w:rPr>
  </w:style>
  <w:style w:type="paragraph" w:customStyle="1" w:styleId="affffffffffffffff6">
    <w:name w:val="章节标题"/>
    <w:basedOn w:val="af1"/>
    <w:qFormat/>
    <w:pPr>
      <w:adjustRightInd w:val="0"/>
      <w:spacing w:line="360" w:lineRule="auto"/>
    </w:pPr>
    <w:rPr>
      <w:rFonts w:ascii="黑体" w:eastAsia="黑体" w:hAnsi="Calibri" w:cs="Times New Roman"/>
      <w:sz w:val="24"/>
      <w:szCs w:val="20"/>
    </w:rPr>
  </w:style>
  <w:style w:type="paragraph" w:customStyle="1" w:styleId="xl107">
    <w:name w:val="xl107"/>
    <w:basedOn w:val="af1"/>
    <w:qFormat/>
    <w:pPr>
      <w:widowControl/>
      <w:pBdr>
        <w:top w:val="single" w:sz="4" w:space="0" w:color="auto"/>
        <w:right w:val="single" w:sz="8" w:space="0" w:color="auto"/>
      </w:pBdr>
      <w:spacing w:before="100" w:beforeAutospacing="1" w:after="100" w:afterAutospacing="1"/>
      <w:jc w:val="center"/>
      <w:textAlignment w:val="center"/>
    </w:pPr>
    <w:rPr>
      <w:rFonts w:ascii="華康中楷體" w:eastAsia="華康中楷體" w:hAnsi="華康中楷體" w:cs="華康中楷體"/>
      <w:kern w:val="0"/>
      <w:sz w:val="16"/>
      <w:szCs w:val="16"/>
    </w:rPr>
  </w:style>
  <w:style w:type="paragraph" w:customStyle="1" w:styleId="Char43">
    <w:name w:val="Char4"/>
    <w:basedOn w:val="af1"/>
    <w:qFormat/>
    <w:pPr>
      <w:spacing w:line="360" w:lineRule="auto"/>
      <w:ind w:firstLineChars="200" w:firstLine="200"/>
    </w:pPr>
    <w:rPr>
      <w:rFonts w:ascii="宋体" w:hAnsi="宋体" w:cs="Times New Roman"/>
      <w:sz w:val="24"/>
      <w:szCs w:val="20"/>
    </w:rPr>
  </w:style>
  <w:style w:type="character" w:customStyle="1" w:styleId="2fff0">
    <w:name w:val="纯文本 字符2"/>
    <w:basedOn w:val="af3"/>
    <w:uiPriority w:val="99"/>
    <w:semiHidden/>
    <w:qFormat/>
    <w:rPr>
      <w:rFonts w:asciiTheme="minorEastAsia" w:eastAsia="宋体" w:hAnsi="Courier New" w:cs="Courier New"/>
      <w:szCs w:val="24"/>
      <w:lang w:val="en-US" w:eastAsia="zh-CN" w:bidi="ar-SA"/>
    </w:rPr>
  </w:style>
  <w:style w:type="paragraph" w:customStyle="1" w:styleId="zhang">
    <w:name w:val="zhang正文"/>
    <w:basedOn w:val="af6"/>
    <w:qFormat/>
    <w:pPr>
      <w:autoSpaceDE w:val="0"/>
      <w:autoSpaceDN w:val="0"/>
      <w:adjustRightInd w:val="0"/>
      <w:snapToGrid w:val="0"/>
      <w:spacing w:after="0" w:line="360" w:lineRule="auto"/>
      <w:ind w:leftChars="0" w:left="0" w:firstLine="539"/>
      <w:textAlignment w:val="baseline"/>
    </w:pPr>
    <w:rPr>
      <w:rFonts w:asciiTheme="minorHAnsi" w:eastAsia="楷体_GB2312" w:hAnsiTheme="minorHAnsi"/>
      <w:kern w:val="0"/>
      <w:sz w:val="28"/>
    </w:rPr>
  </w:style>
  <w:style w:type="paragraph" w:customStyle="1" w:styleId="4L">
    <w:name w:val="列表 4L"/>
    <w:basedOn w:val="45"/>
    <w:qFormat/>
    <w:pPr>
      <w:widowControl/>
      <w:tabs>
        <w:tab w:val="left" w:pos="1021"/>
      </w:tabs>
      <w:adjustRightInd/>
      <w:spacing w:afterLines="30" w:line="288" w:lineRule="auto"/>
      <w:ind w:left="1021" w:hanging="454"/>
      <w:jc w:val="left"/>
      <w:textAlignment w:val="auto"/>
    </w:pPr>
    <w:rPr>
      <w:rFonts w:ascii="Courier New" w:hAnsi="Courier New" w:cs="仿宋_GB2312"/>
      <w:color w:val="CCFFFF"/>
      <w:kern w:val="2"/>
    </w:rPr>
  </w:style>
  <w:style w:type="paragraph" w:customStyle="1" w:styleId="CharCharCharCharCharCharCharCharCharChar1CharCharCharChar">
    <w:name w:val="Char Char Char Char Char Char Char Char Char Char1 Char Char Char Char"/>
    <w:basedOn w:val="af1"/>
    <w:qFormat/>
    <w:rPr>
      <w:rFonts w:ascii="Calibri" w:hAnsi="Calibri" w:cs="Times New Roman"/>
      <w:szCs w:val="20"/>
    </w:rPr>
  </w:style>
  <w:style w:type="paragraph" w:customStyle="1" w:styleId="Charfffffff4">
    <w:name w:val="表题 Char"/>
    <w:basedOn w:val="af1"/>
    <w:qFormat/>
    <w:pPr>
      <w:keepNext/>
      <w:keepLines/>
      <w:tabs>
        <w:tab w:val="left" w:pos="6300"/>
      </w:tabs>
      <w:spacing w:beforeLines="50" w:line="240" w:lineRule="atLeast"/>
      <w:jc w:val="center"/>
    </w:pPr>
    <w:rPr>
      <w:rFonts w:ascii="Calibri" w:eastAsia="黑体" w:hAnsi="Calibri" w:cs="Times New Roman"/>
      <w:sz w:val="24"/>
      <w:szCs w:val="20"/>
    </w:rPr>
  </w:style>
  <w:style w:type="paragraph" w:customStyle="1" w:styleId="1fff6">
    <w:name w:val="1"/>
    <w:basedOn w:val="af1"/>
    <w:qFormat/>
    <w:rPr>
      <w:rFonts w:ascii="Calibri" w:hAnsi="Calibri" w:cs="Times New Roman"/>
      <w:sz w:val="24"/>
      <w:szCs w:val="24"/>
    </w:rPr>
  </w:style>
  <w:style w:type="paragraph" w:customStyle="1" w:styleId="NewNewNewNewNewNewNewNewNewNewNewNewNewNewNewNewNewNewNewNewNewNewNewNewNew">
    <w:name w:val="正文 New New New New New New New New New New New New New New New New New New New New New New New New New"/>
    <w:qFormat/>
    <w:pPr>
      <w:widowControl w:val="0"/>
      <w:spacing w:line="580" w:lineRule="exact"/>
      <w:ind w:firstLineChars="200" w:firstLine="200"/>
      <w:jc w:val="both"/>
    </w:pPr>
    <w:rPr>
      <w:rFonts w:ascii="Times New Roman" w:eastAsia="宋体" w:hAnsi="Times New Roman" w:cs="Times New Roman"/>
      <w:kern w:val="2"/>
      <w:sz w:val="21"/>
      <w:szCs w:val="21"/>
    </w:rPr>
  </w:style>
  <w:style w:type="paragraph" w:customStyle="1" w:styleId="1fff7">
    <w:name w:val="普通(网站)1"/>
    <w:basedOn w:val="af1"/>
    <w:qFormat/>
    <w:pPr>
      <w:widowControl/>
      <w:spacing w:before="100" w:beforeAutospacing="1" w:after="100" w:afterAutospacing="1"/>
      <w:jc w:val="left"/>
    </w:pPr>
    <w:rPr>
      <w:rFonts w:ascii="ˎ̥" w:hAnsi="ˎ̥" w:cs="宋体"/>
      <w:kern w:val="0"/>
      <w:sz w:val="18"/>
      <w:szCs w:val="18"/>
    </w:rPr>
  </w:style>
  <w:style w:type="paragraph" w:customStyle="1" w:styleId="420">
    <w:name w:val="样式42"/>
    <w:basedOn w:val="af1"/>
    <w:qFormat/>
    <w:pPr>
      <w:spacing w:beforeLines="50" w:afterLines="50"/>
      <w:ind w:firstLineChars="200" w:firstLine="480"/>
    </w:pPr>
    <w:rPr>
      <w:rFonts w:ascii="Calibri" w:eastAsia="华文中宋" w:hAnsi="Calibri" w:cs="Times New Roman"/>
      <w:color w:val="000000"/>
      <w:sz w:val="24"/>
      <w:szCs w:val="24"/>
    </w:rPr>
  </w:style>
  <w:style w:type="paragraph" w:customStyle="1" w:styleId="05182CharChar">
    <w:name w:val="样式 样式 宋体 段前: 0.5 行 行距: 固定值 18 磅 + 首行缩进:  2 字符 Char Char"/>
    <w:basedOn w:val="af1"/>
    <w:qFormat/>
    <w:pPr>
      <w:snapToGrid w:val="0"/>
      <w:spacing w:line="360" w:lineRule="auto"/>
      <w:ind w:firstLineChars="200" w:firstLine="480"/>
    </w:pPr>
    <w:rPr>
      <w:rFonts w:ascii="Calibri" w:hAnsi="Calibri" w:cs="Times New Roman"/>
      <w:color w:val="000000"/>
      <w:sz w:val="24"/>
      <w:szCs w:val="24"/>
    </w:rPr>
  </w:style>
  <w:style w:type="character" w:customStyle="1" w:styleId="HTML12">
    <w:name w:val="HTML 地址 字符1"/>
    <w:basedOn w:val="af3"/>
    <w:uiPriority w:val="99"/>
    <w:semiHidden/>
    <w:qFormat/>
    <w:rPr>
      <w:rFonts w:ascii="Calibri" w:eastAsia="宋体" w:hAnsi="Calibri" w:cs="Times New Roman"/>
      <w:i/>
      <w:iCs/>
      <w:szCs w:val="24"/>
      <w:lang w:val="en-US" w:eastAsia="zh-CN" w:bidi="ar-SA"/>
    </w:rPr>
  </w:style>
  <w:style w:type="paragraph" w:customStyle="1" w:styleId="3f5">
    <w:name w:val="日期3"/>
    <w:basedOn w:val="af1"/>
    <w:next w:val="af1"/>
    <w:qFormat/>
    <w:pPr>
      <w:adjustRightInd w:val="0"/>
      <w:spacing w:line="312" w:lineRule="atLeast"/>
    </w:pPr>
    <w:rPr>
      <w:rFonts w:ascii="Calibri" w:eastAsia="楷体_GB2312" w:hAnsi="Calibri" w:cs="Times New Roman"/>
      <w:kern w:val="0"/>
      <w:sz w:val="28"/>
      <w:szCs w:val="20"/>
    </w:rPr>
  </w:style>
  <w:style w:type="paragraph" w:customStyle="1" w:styleId="331">
    <w:name w:val="样式 标题 3 + 黑色 段后: 3 磅 行距: 单倍行距"/>
    <w:basedOn w:val="31"/>
    <w:qFormat/>
    <w:pPr>
      <w:keepLines w:val="0"/>
      <w:widowControl/>
      <w:spacing w:before="0" w:after="60" w:line="240" w:lineRule="auto"/>
      <w:ind w:firstLineChars="200" w:firstLine="1044"/>
      <w:jc w:val="left"/>
      <w:textAlignment w:val="baseline"/>
    </w:pPr>
    <w:rPr>
      <w:rFonts w:ascii="Times New Roman" w:eastAsia="黑体" w:hAnsi="Times New Roman" w:cs="宋体"/>
      <w:b w:val="0"/>
      <w:color w:val="000000"/>
      <w:kern w:val="0"/>
      <w:sz w:val="30"/>
      <w:szCs w:val="20"/>
      <w:lang w:bidi="en-US"/>
    </w:rPr>
  </w:style>
  <w:style w:type="paragraph" w:customStyle="1" w:styleId="CharCharCharCharCharCharCharCharCharCharCharCharCharCharCharCharCharChar1CharCharCharCharCharCharCharCharCharCharCharCharCharCharCharChar1">
    <w:name w:val="Char Char Char Char Char Char Char Char Char Char Char Char Char Char Char Char Char Char1 Char Char Char Char Char Char Char Char Char Char Char Char Char Char Char Char1"/>
    <w:basedOn w:val="af1"/>
    <w:qFormat/>
    <w:pPr>
      <w:spacing w:line="360" w:lineRule="auto"/>
      <w:ind w:firstLineChars="200" w:firstLine="200"/>
    </w:pPr>
    <w:rPr>
      <w:rFonts w:ascii="宋体" w:hAnsi="宋体" w:cs="宋体"/>
      <w:sz w:val="24"/>
      <w:szCs w:val="24"/>
    </w:rPr>
  </w:style>
  <w:style w:type="paragraph" w:customStyle="1" w:styleId="Char310">
    <w:name w:val="Char31"/>
    <w:basedOn w:val="af1"/>
    <w:qFormat/>
    <w:pPr>
      <w:adjustRightInd w:val="0"/>
      <w:spacing w:line="360" w:lineRule="auto"/>
      <w:ind w:firstLineChars="200" w:firstLine="200"/>
    </w:pPr>
    <w:rPr>
      <w:rFonts w:ascii="宋体" w:hAnsi="宋体" w:cs="宋体"/>
      <w:sz w:val="24"/>
      <w:szCs w:val="24"/>
    </w:rPr>
  </w:style>
  <w:style w:type="paragraph" w:customStyle="1" w:styleId="2223">
    <w:name w:val="样式 正文文字缩进 2 + 首行缩进:  2 字符 行距: 固定值 23 磅"/>
    <w:basedOn w:val="26"/>
    <w:qFormat/>
    <w:pPr>
      <w:spacing w:after="0" w:line="240" w:lineRule="auto"/>
      <w:ind w:leftChars="0" w:left="0" w:firstLineChars="200" w:firstLine="200"/>
    </w:pPr>
    <w:rPr>
      <w:rFonts w:eastAsia="华文中宋"/>
    </w:rPr>
  </w:style>
  <w:style w:type="paragraph" w:customStyle="1" w:styleId="2fff1">
    <w:name w:val="样式 标题 2 + (中文) 宋体"/>
    <w:basedOn w:val="22"/>
    <w:qFormat/>
    <w:pPr>
      <w:keepNext w:val="0"/>
      <w:keepLines w:val="0"/>
      <w:widowControl/>
      <w:adjustRightInd w:val="0"/>
      <w:snapToGrid w:val="0"/>
      <w:spacing w:beforeLines="50" w:afterLines="50" w:line="240" w:lineRule="auto"/>
      <w:ind w:left="567" w:hanging="567"/>
    </w:pPr>
    <w:rPr>
      <w:rFonts w:ascii="仿宋_GB2312" w:eastAsia="Times New Roman" w:hAnsi="仿宋_GB2312" w:cs="仿宋_GB2312"/>
      <w:b w:val="0"/>
      <w:color w:val="0000FF"/>
      <w:sz w:val="28"/>
      <w:szCs w:val="28"/>
    </w:rPr>
  </w:style>
  <w:style w:type="character" w:customStyle="1" w:styleId="219">
    <w:name w:val="正文文本首行缩进 2 字符1"/>
    <w:basedOn w:val="2ffe"/>
    <w:uiPriority w:val="99"/>
    <w:semiHidden/>
    <w:qFormat/>
    <w:rPr>
      <w:rFonts w:ascii="Calibri" w:eastAsia="宋体" w:hAnsi="Calibri" w:cs="Times New Roman"/>
      <w:szCs w:val="24"/>
      <w:lang w:val="en-US" w:eastAsia="zh-CN" w:bidi="ar-SA"/>
    </w:rPr>
  </w:style>
  <w:style w:type="paragraph" w:customStyle="1" w:styleId="xybChar">
    <w:name w:val="xyb自建表格名称 Char"/>
    <w:basedOn w:val="af1"/>
    <w:qFormat/>
    <w:pPr>
      <w:spacing w:line="360" w:lineRule="auto"/>
      <w:jc w:val="center"/>
    </w:pPr>
    <w:rPr>
      <w:rFonts w:ascii="宋体" w:hAnsi="Calibri" w:cs="Times New Roman"/>
      <w:sz w:val="24"/>
      <w:szCs w:val="24"/>
    </w:rPr>
  </w:style>
  <w:style w:type="paragraph" w:customStyle="1" w:styleId="121">
    <w:name w:val="样式 正文文字1 + 首行缩进:  2 字符"/>
    <w:basedOn w:val="af1"/>
    <w:qFormat/>
    <w:pPr>
      <w:spacing w:line="300" w:lineRule="auto"/>
      <w:ind w:firstLineChars="200" w:firstLine="200"/>
    </w:pPr>
    <w:rPr>
      <w:rFonts w:ascii="Calibri" w:hAnsi="Calibri" w:cs="Times New Roman"/>
      <w:sz w:val="24"/>
      <w:szCs w:val="20"/>
    </w:rPr>
  </w:style>
  <w:style w:type="paragraph" w:customStyle="1" w:styleId="affffffffffffffff7">
    <w:name w:val="居中"/>
    <w:basedOn w:val="af1"/>
    <w:qFormat/>
    <w:pPr>
      <w:widowControl/>
      <w:spacing w:before="40" w:after="40" w:line="480" w:lineRule="exact"/>
      <w:jc w:val="center"/>
    </w:pPr>
    <w:rPr>
      <w:rFonts w:ascii="Courier New" w:hAnsi="Courier New" w:cs="仿宋_GB2312"/>
      <w:sz w:val="24"/>
      <w:szCs w:val="20"/>
    </w:rPr>
  </w:style>
  <w:style w:type="paragraph" w:customStyle="1" w:styleId="-9">
    <w:name w:val="表格标题-9"/>
    <w:basedOn w:val="-xin"/>
    <w:next w:val="af1"/>
    <w:qFormat/>
    <w:pPr>
      <w:numPr>
        <w:numId w:val="16"/>
      </w:numPr>
      <w:adjustRightInd w:val="0"/>
      <w:spacing w:line="360" w:lineRule="auto"/>
    </w:pPr>
    <w:rPr>
      <w:rFonts w:ascii="Times New Roman" w:hAnsi="Times New Roman"/>
      <w:sz w:val="24"/>
    </w:rPr>
  </w:style>
  <w:style w:type="paragraph" w:customStyle="1" w:styleId="affffffffffffffff8">
    <w:name w:val="表头和图名"/>
    <w:basedOn w:val="af1"/>
    <w:qFormat/>
    <w:pPr>
      <w:autoSpaceDE w:val="0"/>
      <w:autoSpaceDN w:val="0"/>
      <w:adjustRightInd w:val="0"/>
      <w:snapToGrid w:val="0"/>
      <w:jc w:val="center"/>
      <w:textAlignment w:val="baseline"/>
    </w:pPr>
    <w:rPr>
      <w:rFonts w:ascii="Calibri" w:hAnsi="Calibri" w:cs="Times New Roman"/>
      <w:b/>
      <w:kern w:val="0"/>
      <w:sz w:val="24"/>
      <w:szCs w:val="24"/>
    </w:rPr>
  </w:style>
  <w:style w:type="paragraph" w:customStyle="1" w:styleId="TexteR1">
    <w:name w:val="TexteR1"/>
    <w:basedOn w:val="af1"/>
    <w:qFormat/>
    <w:pPr>
      <w:widowControl/>
      <w:tabs>
        <w:tab w:val="left" w:pos="4962"/>
        <w:tab w:val="left" w:pos="5245"/>
      </w:tabs>
      <w:jc w:val="center"/>
    </w:pPr>
    <w:rPr>
      <w:rFonts w:ascii="Helvetica" w:eastAsia="LF Song" w:hAnsi="Helvetica" w:cs="Times New Roman"/>
      <w:kern w:val="0"/>
      <w:sz w:val="16"/>
      <w:szCs w:val="20"/>
    </w:rPr>
  </w:style>
  <w:style w:type="paragraph" w:customStyle="1" w:styleId="affffffffffffffff9">
    <w:name w:val="表文居中"/>
    <w:basedOn w:val="af1"/>
    <w:semiHidden/>
    <w:qFormat/>
    <w:pPr>
      <w:autoSpaceDE w:val="0"/>
      <w:autoSpaceDN w:val="0"/>
      <w:adjustRightInd w:val="0"/>
      <w:spacing w:before="20" w:line="360" w:lineRule="auto"/>
      <w:ind w:firstLineChars="200" w:firstLine="200"/>
      <w:jc w:val="center"/>
      <w:textAlignment w:val="baseline"/>
    </w:pPr>
    <w:rPr>
      <w:rFonts w:ascii="Calibri" w:hAnsi="Calibri" w:cs="Times New Roman"/>
      <w:kern w:val="0"/>
      <w:sz w:val="24"/>
      <w:szCs w:val="20"/>
    </w:rPr>
  </w:style>
  <w:style w:type="paragraph" w:customStyle="1" w:styleId="226">
    <w:name w:val="样式 标题 2 + 小三2"/>
    <w:basedOn w:val="22"/>
    <w:qFormat/>
    <w:pPr>
      <w:keepLines w:val="0"/>
      <w:widowControl/>
      <w:tabs>
        <w:tab w:val="left" w:pos="360"/>
      </w:tabs>
      <w:adjustRightInd w:val="0"/>
      <w:spacing w:before="133" w:after="0" w:line="360" w:lineRule="auto"/>
      <w:ind w:left="108" w:right="333" w:firstLineChars="200" w:firstLine="723"/>
      <w:textAlignment w:val="baseline"/>
    </w:pPr>
    <w:rPr>
      <w:rFonts w:ascii="Times New Roman" w:eastAsia="宋体" w:hAnsi="Times New Roman"/>
      <w:b w:val="0"/>
      <w:bCs w:val="0"/>
      <w:iCs/>
      <w:color w:val="000000"/>
      <w:kern w:val="0"/>
      <w:sz w:val="30"/>
      <w:szCs w:val="28"/>
      <w:lang w:bidi="en-US"/>
    </w:rPr>
  </w:style>
  <w:style w:type="paragraph" w:customStyle="1" w:styleId="CharCharCharCharCharChar1CharCharChar1CharCharCharCharCharCharChar1">
    <w:name w:val="Char Char Char Char Char Char1 Char Char Char1 Char Char Char Char Char Char Char1"/>
    <w:basedOn w:val="af1"/>
    <w:qFormat/>
    <w:pPr>
      <w:spacing w:line="360" w:lineRule="auto"/>
      <w:ind w:firstLineChars="200" w:firstLine="200"/>
    </w:pPr>
    <w:rPr>
      <w:rFonts w:ascii="Calibri" w:hAnsi="Calibri" w:cs="Times New Roman"/>
      <w:sz w:val="24"/>
      <w:szCs w:val="20"/>
    </w:rPr>
  </w:style>
  <w:style w:type="paragraph" w:customStyle="1" w:styleId="affffffffffffffffa">
    <w:name w:val="图表内容"/>
    <w:next w:val="affe"/>
    <w:qFormat/>
    <w:pPr>
      <w:jc w:val="center"/>
    </w:pPr>
    <w:rPr>
      <w:rFonts w:ascii="Calibri" w:eastAsia="宋体" w:hAnsi="Calibri" w:cs="Calibri"/>
      <w:kern w:val="2"/>
      <w:sz w:val="21"/>
      <w:szCs w:val="21"/>
    </w:rPr>
  </w:style>
  <w:style w:type="paragraph" w:customStyle="1" w:styleId="CharCharCharCharCharCharCharCharCharCharCharCharCharCharCharCharCharCharCharCharChar1Char1">
    <w:name w:val="Char Char Char Char Char Char Char Char Char Char Char Char Char Char Char Char Char Char Char Char Char1 Char1"/>
    <w:basedOn w:val="af1"/>
    <w:qFormat/>
    <w:pPr>
      <w:spacing w:line="360" w:lineRule="auto"/>
      <w:ind w:firstLineChars="200" w:firstLine="200"/>
    </w:pPr>
    <w:rPr>
      <w:rFonts w:ascii="宋体" w:hAnsi="宋体" w:cs="Times New Roman" w:hint="eastAsia"/>
      <w:sz w:val="24"/>
      <w:szCs w:val="20"/>
    </w:rPr>
  </w:style>
  <w:style w:type="character" w:customStyle="1" w:styleId="1fff8">
    <w:name w:val="签名 字符1"/>
    <w:basedOn w:val="af3"/>
    <w:uiPriority w:val="99"/>
    <w:semiHidden/>
    <w:qFormat/>
    <w:rPr>
      <w:rFonts w:ascii="Calibri" w:eastAsia="宋体" w:hAnsi="Calibri" w:cs="Times New Roman"/>
      <w:szCs w:val="24"/>
      <w:lang w:val="en-US" w:eastAsia="zh-CN" w:bidi="ar-SA"/>
    </w:rPr>
  </w:style>
  <w:style w:type="paragraph" w:customStyle="1" w:styleId="affffffffffffffffb">
    <w:name w:val="样式 湛江钢铁表 +"/>
    <w:basedOn w:val="af1"/>
    <w:next w:val="af1"/>
    <w:qFormat/>
    <w:pPr>
      <w:widowControl/>
      <w:adjustRightInd w:val="0"/>
      <w:snapToGrid w:val="0"/>
      <w:spacing w:beforeLines="20" w:afterLines="20"/>
      <w:jc w:val="center"/>
      <w:textAlignment w:val="baseline"/>
    </w:pPr>
    <w:rPr>
      <w:rFonts w:ascii="仿宋_GB2312" w:eastAsia="Times New Roman" w:hAnsi="仿宋_GB2312" w:cs="仿宋_GB2312"/>
      <w:kern w:val="0"/>
      <w:szCs w:val="21"/>
    </w:rPr>
  </w:style>
  <w:style w:type="paragraph" w:customStyle="1" w:styleId="CharCharCharCharCharCharCharCharChar1CharCharCharChar1">
    <w:name w:val="Char Char Char Char Char Char Char Char Char1 Char Char Char Char1"/>
    <w:basedOn w:val="af1"/>
    <w:qFormat/>
    <w:rPr>
      <w:rFonts w:ascii="Calibri" w:hAnsi="Calibri" w:cs="Times New Roman" w:hint="eastAsia"/>
      <w:sz w:val="24"/>
      <w:szCs w:val="20"/>
    </w:rPr>
  </w:style>
  <w:style w:type="paragraph" w:customStyle="1" w:styleId="190">
    <w:name w:val="样式19"/>
    <w:basedOn w:val="62"/>
    <w:qFormat/>
    <w:pPr>
      <w:adjustRightInd/>
      <w:spacing w:after="0" w:line="300" w:lineRule="exact"/>
      <w:ind w:leftChars="-50" w:left="-120" w:rightChars="-50" w:right="-120"/>
      <w:jc w:val="center"/>
    </w:pPr>
    <w:rPr>
      <w:rFonts w:eastAsia="华文中宋" w:cs="宋体"/>
      <w:bCs/>
      <w:spacing w:val="0"/>
      <w:sz w:val="21"/>
      <w:szCs w:val="21"/>
    </w:rPr>
  </w:style>
  <w:style w:type="paragraph" w:customStyle="1" w:styleId="InTableII">
    <w:name w:val="In Table (II)"/>
    <w:basedOn w:val="InTable"/>
    <w:qFormat/>
    <w:pPr>
      <w:spacing w:beforeLines="25" w:afterLines="25"/>
      <w:ind w:leftChars="20" w:left="52"/>
      <w:jc w:val="left"/>
    </w:pPr>
  </w:style>
  <w:style w:type="paragraph" w:customStyle="1" w:styleId="InTable">
    <w:name w:val="In Table"/>
    <w:basedOn w:val="af1"/>
    <w:qFormat/>
    <w:pPr>
      <w:widowControl/>
      <w:tabs>
        <w:tab w:val="left" w:pos="2200"/>
        <w:tab w:val="left" w:pos="3960"/>
        <w:tab w:val="left" w:pos="5280"/>
      </w:tabs>
      <w:spacing w:before="96" w:after="96" w:line="240" w:lineRule="atLeast"/>
      <w:jc w:val="center"/>
    </w:pPr>
    <w:rPr>
      <w:rFonts w:ascii="Tahoma" w:eastAsia="华文中宋" w:hAnsi="Tahoma" w:cs="Times New Roman"/>
      <w:szCs w:val="20"/>
    </w:rPr>
  </w:style>
  <w:style w:type="paragraph" w:customStyle="1" w:styleId="CharCharChar1CharCharCharCharCharChar">
    <w:name w:val="Char Char Char1 Char Char Char Char Char Char"/>
    <w:basedOn w:val="af1"/>
    <w:qFormat/>
    <w:pPr>
      <w:spacing w:line="360" w:lineRule="auto"/>
    </w:pPr>
    <w:rPr>
      <w:rFonts w:ascii="Calibri" w:hAnsi="Calibri" w:cs="Times New Roman"/>
      <w:sz w:val="24"/>
      <w:szCs w:val="20"/>
    </w:rPr>
  </w:style>
  <w:style w:type="paragraph" w:customStyle="1" w:styleId="bg">
    <w:name w:val="bg正文首行缩进"/>
    <w:basedOn w:val="af1"/>
    <w:qFormat/>
    <w:pPr>
      <w:spacing w:line="400" w:lineRule="exact"/>
      <w:ind w:firstLine="482"/>
    </w:pPr>
    <w:rPr>
      <w:rFonts w:ascii="Calibri" w:hAnsi="Calibri" w:cs="Times New Roman"/>
      <w:sz w:val="24"/>
      <w:szCs w:val="20"/>
    </w:rPr>
  </w:style>
  <w:style w:type="paragraph" w:customStyle="1" w:styleId="4Y">
    <w:name w:val="列表 4Y"/>
    <w:basedOn w:val="25"/>
    <w:qFormat/>
    <w:pPr>
      <w:tabs>
        <w:tab w:val="left" w:pos="1021"/>
      </w:tabs>
      <w:spacing w:beforeLines="50" w:afterLines="30" w:line="288" w:lineRule="auto"/>
      <w:ind w:leftChars="0" w:left="2042" w:firstLineChars="0" w:hanging="454"/>
    </w:pPr>
    <w:rPr>
      <w:rFonts w:ascii="Arial" w:eastAsia="宋体" w:hAnsi="Arial"/>
      <w:color w:val="CCFFFF"/>
      <w:kern w:val="2"/>
      <w:sz w:val="24"/>
      <w:szCs w:val="20"/>
    </w:rPr>
  </w:style>
  <w:style w:type="paragraph" w:customStyle="1" w:styleId="y">
    <w:name w:val="y表格"/>
    <w:basedOn w:val="affe"/>
    <w:qFormat/>
    <w:pPr>
      <w:widowControl/>
      <w:adjustRightInd w:val="0"/>
      <w:snapToGrid w:val="0"/>
      <w:spacing w:after="0"/>
      <w:jc w:val="center"/>
      <w:textAlignment w:val="baseline"/>
    </w:pPr>
    <w:rPr>
      <w:rFonts w:ascii="宋体" w:eastAsia="宋体" w:hAnsi="宋体" w:cs="Times New Roman" w:hint="eastAsia"/>
      <w:kern w:val="0"/>
      <w:sz w:val="24"/>
      <w:szCs w:val="20"/>
    </w:rPr>
  </w:style>
  <w:style w:type="paragraph" w:customStyle="1" w:styleId="2fff2">
    <w:name w:val="样式 正文文本 + 首行缩进:  2 字符"/>
    <w:basedOn w:val="affe"/>
    <w:qFormat/>
    <w:pPr>
      <w:spacing w:after="0"/>
      <w:ind w:firstLineChars="200" w:firstLine="420"/>
    </w:pPr>
    <w:rPr>
      <w:rFonts w:ascii="Calibri" w:eastAsia="仿宋_GB2312" w:hAnsi="Calibri" w:cs="宋体"/>
      <w:sz w:val="28"/>
      <w:szCs w:val="20"/>
    </w:rPr>
  </w:style>
  <w:style w:type="paragraph" w:customStyle="1" w:styleId="CharCharCharCharCharChar1CharCharChar3">
    <w:name w:val="Char Char Char Char Char Char1 Char Char Char3"/>
    <w:basedOn w:val="af1"/>
    <w:qFormat/>
    <w:pPr>
      <w:spacing w:line="360" w:lineRule="auto"/>
      <w:ind w:firstLineChars="200" w:firstLine="200"/>
    </w:pPr>
    <w:rPr>
      <w:rFonts w:ascii="宋体" w:hAnsi="宋体" w:cs="Times New Roman" w:hint="eastAsia"/>
      <w:sz w:val="24"/>
      <w:szCs w:val="20"/>
    </w:rPr>
  </w:style>
  <w:style w:type="paragraph" w:customStyle="1" w:styleId="62-1">
    <w:name w:val="表6.2-1"/>
    <w:basedOn w:val="af1"/>
    <w:qFormat/>
    <w:pPr>
      <w:numPr>
        <w:numId w:val="17"/>
      </w:numPr>
      <w:tabs>
        <w:tab w:val="left" w:pos="1653"/>
        <w:tab w:val="right" w:pos="8261"/>
      </w:tabs>
      <w:suppressAutoHyphens/>
      <w:adjustRightInd w:val="0"/>
      <w:spacing w:before="240" w:line="0" w:lineRule="atLeast"/>
    </w:pPr>
    <w:rPr>
      <w:rFonts w:ascii="黑体" w:eastAsia="黑体" w:hAnsi="Calibri" w:cs="Times New Roman"/>
      <w:b/>
      <w:kern w:val="0"/>
      <w:sz w:val="24"/>
      <w:szCs w:val="26"/>
    </w:rPr>
  </w:style>
  <w:style w:type="paragraph" w:customStyle="1" w:styleId="5T">
    <w:name w:val="列表 5T"/>
    <w:basedOn w:val="55"/>
    <w:qFormat/>
    <w:pPr>
      <w:tabs>
        <w:tab w:val="left" w:pos="1134"/>
      </w:tabs>
      <w:adjustRightInd/>
      <w:spacing w:beforeLines="0" w:line="240" w:lineRule="auto"/>
      <w:ind w:left="1134" w:hanging="425"/>
      <w:jc w:val="left"/>
      <w:textAlignment w:val="auto"/>
    </w:pPr>
    <w:rPr>
      <w:rFonts w:ascii="Courier New" w:hAnsi="Courier New" w:cs="仿宋_GB2312"/>
      <w:color w:val="99CCFF"/>
      <w:kern w:val="2"/>
    </w:rPr>
  </w:style>
  <w:style w:type="paragraph" w:customStyle="1" w:styleId="156">
    <w:name w:val="样式 样式15 + 黑色"/>
    <w:basedOn w:val="af1"/>
    <w:qFormat/>
    <w:pPr>
      <w:ind w:firstLineChars="200" w:firstLine="420"/>
    </w:pPr>
    <w:rPr>
      <w:rFonts w:ascii="Calibri" w:eastAsia="华文中宋" w:hAnsi="Calibri" w:cs="Times New Roman"/>
      <w:color w:val="000000"/>
      <w:kern w:val="0"/>
      <w:szCs w:val="21"/>
    </w:rPr>
  </w:style>
  <w:style w:type="paragraph" w:customStyle="1" w:styleId="CharCharCharCharCharChar1CharCharCharChar1">
    <w:name w:val="Char Char Char Char Char Char1 Char Char Char Char1"/>
    <w:basedOn w:val="af1"/>
    <w:qFormat/>
    <w:pPr>
      <w:spacing w:line="360" w:lineRule="auto"/>
      <w:ind w:firstLineChars="200" w:firstLine="200"/>
    </w:pPr>
    <w:rPr>
      <w:rFonts w:ascii="宋体" w:hAnsi="宋体" w:cs="Times New Roman" w:hint="eastAsia"/>
      <w:sz w:val="24"/>
      <w:szCs w:val="20"/>
    </w:rPr>
  </w:style>
  <w:style w:type="paragraph" w:customStyle="1" w:styleId="ParaCharCharCharCharChar">
    <w:name w:val="默认段落字体 Para Char Char Char Char Char"/>
    <w:basedOn w:val="af1"/>
    <w:qFormat/>
    <w:pPr>
      <w:spacing w:line="360" w:lineRule="auto"/>
      <w:jc w:val="left"/>
    </w:pPr>
    <w:rPr>
      <w:rFonts w:ascii="Calibri" w:hAnsi="Calibri" w:cs="Times New Roman"/>
      <w:sz w:val="28"/>
      <w:szCs w:val="20"/>
    </w:rPr>
  </w:style>
  <w:style w:type="paragraph" w:customStyle="1" w:styleId="pa-6">
    <w:name w:val="pa-6"/>
    <w:basedOn w:val="af1"/>
    <w:qFormat/>
    <w:pPr>
      <w:widowControl/>
      <w:spacing w:line="360" w:lineRule="atLeast"/>
      <w:ind w:firstLine="640"/>
    </w:pPr>
    <w:rPr>
      <w:rFonts w:ascii="宋体" w:hAnsi="宋体" w:cs="宋体"/>
      <w:kern w:val="0"/>
      <w:sz w:val="24"/>
      <w:szCs w:val="24"/>
    </w:rPr>
  </w:style>
  <w:style w:type="paragraph" w:customStyle="1" w:styleId="CharChar3CharChar2">
    <w:name w:val="Char Char3 Char Char2"/>
    <w:basedOn w:val="af1"/>
    <w:qFormat/>
    <w:pPr>
      <w:spacing w:line="360" w:lineRule="auto"/>
      <w:ind w:firstLineChars="200" w:firstLine="200"/>
    </w:pPr>
    <w:rPr>
      <w:rFonts w:ascii="Calibri" w:hAnsi="Calibri" w:cs="Times New Roman"/>
      <w:szCs w:val="24"/>
    </w:rPr>
  </w:style>
  <w:style w:type="paragraph" w:customStyle="1" w:styleId="1fff9">
    <w:name w:val="纯文本1"/>
    <w:basedOn w:val="af1"/>
    <w:qFormat/>
    <w:rPr>
      <w:rFonts w:ascii="宋体" w:hAnsi="Courier New" w:cs="Times New Roman"/>
      <w:kern w:val="0"/>
      <w:sz w:val="20"/>
      <w:szCs w:val="21"/>
    </w:rPr>
  </w:style>
  <w:style w:type="paragraph" w:customStyle="1" w:styleId="1fffa">
    <w:name w:val="1级标题"/>
    <w:basedOn w:val="af1"/>
    <w:next w:val="af1"/>
    <w:qFormat/>
    <w:pPr>
      <w:widowControl/>
      <w:spacing w:before="120" w:after="120" w:line="360" w:lineRule="auto"/>
      <w:jc w:val="center"/>
      <w:outlineLvl w:val="0"/>
    </w:pPr>
    <w:rPr>
      <w:rFonts w:ascii="Calibri" w:hAnsi="Calibri" w:cs="Times New Roman"/>
      <w:b/>
      <w:color w:val="000000"/>
      <w:sz w:val="44"/>
      <w:szCs w:val="20"/>
    </w:rPr>
  </w:style>
  <w:style w:type="paragraph" w:customStyle="1" w:styleId="1fffb">
    <w:name w:val="1.格内格式"/>
    <w:basedOn w:val="af1"/>
    <w:qFormat/>
    <w:pPr>
      <w:jc w:val="center"/>
    </w:pPr>
    <w:rPr>
      <w:rFonts w:ascii="Calibri" w:hAnsi="Calibri" w:cs="Times New Roman"/>
    </w:rPr>
  </w:style>
  <w:style w:type="paragraph" w:customStyle="1" w:styleId="320505">
    <w:name w:val="样式 标题 3 + 首行缩进:  2 字符 段前: 0.5 行 段后: 0.5 行"/>
    <w:basedOn w:val="31"/>
    <w:qFormat/>
    <w:pPr>
      <w:spacing w:beforeLines="50" w:afterLines="50" w:line="240" w:lineRule="auto"/>
    </w:pPr>
    <w:rPr>
      <w:rFonts w:eastAsia="黑体" w:cs="宋体"/>
      <w:b w:val="0"/>
      <w:sz w:val="28"/>
      <w:szCs w:val="20"/>
    </w:rPr>
  </w:style>
  <w:style w:type="paragraph" w:customStyle="1" w:styleId="affffffffffffffffc">
    <w:name w:val="节标题"/>
    <w:basedOn w:val="af1"/>
    <w:next w:val="affffffffffffffffd"/>
    <w:qFormat/>
    <w:pPr>
      <w:widowControl/>
      <w:adjustRightInd w:val="0"/>
      <w:snapToGrid w:val="0"/>
      <w:spacing w:line="289" w:lineRule="atLeast"/>
      <w:ind w:firstLineChars="200" w:firstLine="200"/>
      <w:jc w:val="center"/>
      <w:textAlignment w:val="baseline"/>
    </w:pPr>
    <w:rPr>
      <w:rFonts w:ascii="Calibri" w:hAnsi="Calibri" w:cs="Times New Roman"/>
      <w:snapToGrid w:val="0"/>
      <w:color w:val="000000"/>
      <w:kern w:val="0"/>
      <w:sz w:val="28"/>
      <w:szCs w:val="24"/>
      <w:u w:color="000000"/>
    </w:rPr>
  </w:style>
  <w:style w:type="paragraph" w:customStyle="1" w:styleId="affffffffffffffffd">
    <w:name w:val="小节标题"/>
    <w:basedOn w:val="af1"/>
    <w:next w:val="af1"/>
    <w:qFormat/>
    <w:pPr>
      <w:widowControl/>
      <w:adjustRightInd w:val="0"/>
      <w:snapToGrid w:val="0"/>
      <w:spacing w:before="175" w:after="102" w:line="351" w:lineRule="atLeast"/>
      <w:ind w:firstLineChars="200" w:firstLine="200"/>
      <w:textAlignment w:val="baseline"/>
    </w:pPr>
    <w:rPr>
      <w:rFonts w:ascii="Calibri" w:eastAsia="黑体" w:hAnsi="Calibri" w:cs="Times New Roman"/>
      <w:snapToGrid w:val="0"/>
      <w:color w:val="000000"/>
      <w:kern w:val="0"/>
      <w:sz w:val="24"/>
      <w:szCs w:val="24"/>
      <w:u w:color="000000"/>
    </w:rPr>
  </w:style>
  <w:style w:type="paragraph" w:customStyle="1" w:styleId="Char3a">
    <w:name w:val="Char3"/>
    <w:basedOn w:val="af1"/>
    <w:qFormat/>
    <w:pPr>
      <w:widowControl/>
      <w:jc w:val="left"/>
    </w:pPr>
    <w:rPr>
      <w:rFonts w:ascii="Calibri" w:hAnsi="Calibri" w:cs="Times New Roman"/>
      <w:sz w:val="24"/>
      <w:szCs w:val="24"/>
    </w:rPr>
  </w:style>
  <w:style w:type="paragraph" w:customStyle="1" w:styleId="1415122">
    <w:name w:val="样式 样式 样式 方正宋三简体 14 磅 行距: 1.5 倍行距1 + 首行缩进:  2 字符 + 首行缩进:  2 字符"/>
    <w:basedOn w:val="af1"/>
    <w:qFormat/>
    <w:pPr>
      <w:widowControl/>
      <w:ind w:firstLineChars="200" w:firstLine="574"/>
      <w:jc w:val="left"/>
    </w:pPr>
    <w:rPr>
      <w:rFonts w:ascii="Verdana" w:hAnsi="Calibri" w:cs="仿宋_GB2312"/>
      <w:sz w:val="27"/>
      <w:szCs w:val="20"/>
    </w:rPr>
  </w:style>
  <w:style w:type="paragraph" w:customStyle="1" w:styleId="405052">
    <w:name w:val="样式 标题 4 + 段前: 0.5 行 段后: 0.5 行2"/>
    <w:basedOn w:val="41"/>
    <w:qFormat/>
    <w:pPr>
      <w:keepLines/>
      <w:widowControl w:val="0"/>
      <w:spacing w:line="440" w:lineRule="exact"/>
      <w:jc w:val="both"/>
    </w:pPr>
    <w:rPr>
      <w:rFonts w:cs="宋体"/>
      <w:bCs/>
      <w:kern w:val="2"/>
      <w:sz w:val="24"/>
    </w:rPr>
  </w:style>
  <w:style w:type="paragraph" w:customStyle="1" w:styleId="-70">
    <w:name w:val="文-7"/>
    <w:basedOn w:val="af1"/>
    <w:qFormat/>
    <w:pPr>
      <w:widowControl/>
      <w:tabs>
        <w:tab w:val="right" w:leader="dot" w:pos="8789"/>
      </w:tabs>
      <w:spacing w:before="120"/>
      <w:ind w:left="1701" w:firstLine="482"/>
      <w:jc w:val="left"/>
    </w:pPr>
    <w:rPr>
      <w:rFonts w:ascii="仿宋_GB2312" w:hAnsi="仿宋_GB2312" w:cs="仿宋_GB2312"/>
      <w:sz w:val="24"/>
      <w:szCs w:val="24"/>
    </w:rPr>
  </w:style>
  <w:style w:type="paragraph" w:customStyle="1" w:styleId="xl30">
    <w:name w:val="xl30"/>
    <w:basedOn w:val="af1"/>
    <w:qFormat/>
    <w:pPr>
      <w:widowControl/>
      <w:spacing w:before="100" w:beforeAutospacing="1" w:after="100" w:afterAutospacing="1"/>
      <w:jc w:val="left"/>
    </w:pPr>
    <w:rPr>
      <w:rFonts w:ascii="Calibri" w:eastAsia="Arial Unicode MS" w:hAnsi="Calibri" w:cs="Times New Roman"/>
      <w:kern w:val="0"/>
      <w:sz w:val="20"/>
      <w:szCs w:val="20"/>
    </w:rPr>
  </w:style>
  <w:style w:type="paragraph" w:customStyle="1" w:styleId="251">
    <w:name w:val="样式 表格 + 左  25 字符1"/>
    <w:basedOn w:val="afffffc"/>
    <w:qFormat/>
    <w:pPr>
      <w:widowControl/>
      <w:jc w:val="left"/>
    </w:pPr>
    <w:rPr>
      <w:rFonts w:ascii="仿宋_GB2312" w:eastAsia="Times New Roman" w:hAnsi="Verdana" w:cs="Verdana"/>
      <w:sz w:val="18"/>
      <w:szCs w:val="20"/>
    </w:rPr>
  </w:style>
  <w:style w:type="paragraph" w:customStyle="1" w:styleId="affffffffffffffffe">
    <w:name w:val="第一章 图标题"/>
    <w:basedOn w:val="af1"/>
    <w:next w:val="af1"/>
    <w:qFormat/>
    <w:pPr>
      <w:tabs>
        <w:tab w:val="left" w:pos="851"/>
      </w:tabs>
      <w:spacing w:line="360" w:lineRule="auto"/>
      <w:jc w:val="center"/>
    </w:pPr>
    <w:rPr>
      <w:rFonts w:eastAsia="黑体" w:cs="Times New Roman"/>
      <w:sz w:val="24"/>
      <w:szCs w:val="24"/>
    </w:rPr>
  </w:style>
  <w:style w:type="paragraph" w:customStyle="1" w:styleId="332">
    <w:name w:val="样式 标题 3 + 段后: 3 磅 行距: 单倍行距"/>
    <w:basedOn w:val="31"/>
    <w:qFormat/>
    <w:pPr>
      <w:keepLines w:val="0"/>
      <w:widowControl/>
      <w:spacing w:before="0" w:after="60" w:line="240" w:lineRule="auto"/>
      <w:ind w:firstLineChars="200" w:firstLine="1044"/>
      <w:jc w:val="left"/>
      <w:textAlignment w:val="baseline"/>
    </w:pPr>
    <w:rPr>
      <w:rFonts w:ascii="Times New Roman" w:eastAsia="黑体" w:hAnsi="Times New Roman" w:cs="宋体"/>
      <w:b w:val="0"/>
      <w:color w:val="000000"/>
      <w:kern w:val="0"/>
      <w:sz w:val="30"/>
      <w:szCs w:val="20"/>
      <w:lang w:bidi="en-US"/>
    </w:rPr>
  </w:style>
  <w:style w:type="paragraph" w:customStyle="1" w:styleId="Web">
    <w:name w:val="普通 (Web)"/>
    <w:basedOn w:val="af1"/>
    <w:qFormat/>
    <w:pPr>
      <w:widowControl/>
      <w:spacing w:before="100" w:after="100" w:line="360" w:lineRule="atLeast"/>
      <w:jc w:val="left"/>
    </w:pPr>
    <w:rPr>
      <w:rFonts w:ascii="宋体" w:hAnsi="宋体" w:cs="Times New Roman"/>
      <w:kern w:val="0"/>
      <w:sz w:val="18"/>
      <w:szCs w:val="20"/>
    </w:rPr>
  </w:style>
  <w:style w:type="paragraph" w:customStyle="1" w:styleId="LA">
    <w:name w:val="正文LA"/>
    <w:qFormat/>
    <w:pPr>
      <w:tabs>
        <w:tab w:val="left" w:pos="0"/>
      </w:tabs>
      <w:adjustRightInd w:val="0"/>
      <w:snapToGrid w:val="0"/>
      <w:spacing w:line="360" w:lineRule="auto"/>
      <w:ind w:firstLineChars="200" w:firstLine="200"/>
      <w:jc w:val="both"/>
    </w:pPr>
    <w:rPr>
      <w:rFonts w:ascii="Calibri" w:eastAsia="宋体" w:hAnsi="Calibri" w:cs="Times New Roman"/>
      <w:snapToGrid w:val="0"/>
      <w:sz w:val="24"/>
    </w:rPr>
  </w:style>
  <w:style w:type="paragraph" w:customStyle="1" w:styleId="afffffffffffffffff">
    <w:name w:val="生物中文名"/>
    <w:basedOn w:val="af1"/>
    <w:qFormat/>
    <w:pPr>
      <w:tabs>
        <w:tab w:val="left" w:pos="-120"/>
      </w:tabs>
      <w:overflowPunct w:val="0"/>
      <w:topLinePunct/>
      <w:autoSpaceDE w:val="0"/>
      <w:adjustRightInd w:val="0"/>
      <w:snapToGrid w:val="0"/>
      <w:spacing w:before="60" w:afterLines="50" w:line="0" w:lineRule="atLeast"/>
      <w:ind w:firstLine="454"/>
    </w:pPr>
    <w:rPr>
      <w:rFonts w:ascii="Calibri" w:hAnsi="Calibri" w:cs="Times New Roman"/>
      <w:spacing w:val="20"/>
      <w:sz w:val="24"/>
      <w:szCs w:val="20"/>
    </w:rPr>
  </w:style>
  <w:style w:type="paragraph" w:customStyle="1" w:styleId="CharCharCharCharCharCharCharCharCharCharCharCharCharCharChar">
    <w:name w:val="Char Char Char Char Char Char Char Char Char Char Char Char Char Char Char"/>
    <w:basedOn w:val="af1"/>
    <w:qFormat/>
    <w:pPr>
      <w:snapToGrid w:val="0"/>
      <w:spacing w:line="440" w:lineRule="exact"/>
      <w:ind w:firstLineChars="200" w:firstLine="200"/>
    </w:pPr>
    <w:rPr>
      <w:rFonts w:ascii="Calibri" w:hAnsi="Calibri" w:cs="Times New Roman"/>
      <w:szCs w:val="24"/>
    </w:rPr>
  </w:style>
  <w:style w:type="paragraph" w:customStyle="1" w:styleId="album-div1">
    <w:name w:val="album-div1"/>
    <w:basedOn w:val="af1"/>
    <w:qFormat/>
    <w:pPr>
      <w:widowControl/>
      <w:shd w:val="clear" w:color="auto" w:fill="FFFFFF"/>
      <w:spacing w:before="100" w:beforeAutospacing="1" w:after="100" w:afterAutospacing="1"/>
      <w:jc w:val="left"/>
    </w:pPr>
    <w:rPr>
      <w:rFonts w:ascii="宋体" w:hAnsi="宋体" w:cs="宋体"/>
      <w:kern w:val="0"/>
      <w:sz w:val="24"/>
      <w:szCs w:val="24"/>
    </w:rPr>
  </w:style>
  <w:style w:type="paragraph" w:customStyle="1" w:styleId="4F">
    <w:name w:val="列表 4F"/>
    <w:basedOn w:val="45"/>
    <w:qFormat/>
    <w:pPr>
      <w:widowControl/>
      <w:tabs>
        <w:tab w:val="left" w:pos="980"/>
      </w:tabs>
      <w:adjustRightInd/>
      <w:spacing w:afterLines="30" w:line="288" w:lineRule="auto"/>
      <w:ind w:left="980"/>
      <w:jc w:val="left"/>
      <w:textAlignment w:val="auto"/>
    </w:pPr>
    <w:rPr>
      <w:rFonts w:ascii="Courier New" w:hAnsi="Courier New" w:cs="仿宋_GB2312"/>
      <w:color w:val="CCFFFF"/>
      <w:kern w:val="2"/>
    </w:rPr>
  </w:style>
  <w:style w:type="paragraph" w:customStyle="1" w:styleId="320">
    <w:name w:val="样式 水保3级 + 首行缩进:  2 字符"/>
    <w:basedOn w:val="3f6"/>
    <w:qFormat/>
    <w:pPr>
      <w:ind w:firstLine="560"/>
    </w:pPr>
  </w:style>
  <w:style w:type="paragraph" w:customStyle="1" w:styleId="3f6">
    <w:name w:val="水保3级"/>
    <w:basedOn w:val="315"/>
    <w:qFormat/>
    <w:pPr>
      <w:spacing w:line="500" w:lineRule="exact"/>
      <w:ind w:firstLineChars="200" w:firstLine="480"/>
    </w:pPr>
    <w:rPr>
      <w:rFonts w:ascii="Times New Roman" w:eastAsia="宋体"/>
      <w:sz w:val="28"/>
    </w:rPr>
  </w:style>
  <w:style w:type="paragraph" w:customStyle="1" w:styleId="afffffffffffffffff0">
    <w:name w:val="标题一一"/>
    <w:basedOn w:val="affff6"/>
    <w:qFormat/>
    <w:pPr>
      <w:widowControl/>
      <w:adjustRightInd/>
      <w:spacing w:before="120" w:after="60" w:line="360" w:lineRule="auto"/>
      <w:textAlignment w:val="auto"/>
    </w:pPr>
    <w:rPr>
      <w:rFonts w:eastAsia="宋体"/>
      <w:b/>
      <w:sz w:val="28"/>
    </w:rPr>
  </w:style>
  <w:style w:type="paragraph" w:customStyle="1" w:styleId="2fff3">
    <w:name w:val="2文章"/>
    <w:basedOn w:val="1fffc"/>
    <w:qFormat/>
    <w:pPr>
      <w:widowControl/>
      <w:spacing w:line="360" w:lineRule="auto"/>
      <w:ind w:left="1260" w:hanging="693"/>
      <w:jc w:val="left"/>
    </w:pPr>
    <w:rPr>
      <w:rFonts w:eastAsia="仿宋_GB2312"/>
      <w:color w:val="auto"/>
      <w:sz w:val="28"/>
    </w:rPr>
  </w:style>
  <w:style w:type="paragraph" w:customStyle="1" w:styleId="1fffc">
    <w:name w:val="1文章"/>
    <w:basedOn w:val="af1"/>
    <w:qFormat/>
    <w:pPr>
      <w:snapToGrid w:val="0"/>
      <w:jc w:val="center"/>
    </w:pPr>
    <w:rPr>
      <w:rFonts w:ascii="Calibri" w:hAnsi="Calibri" w:cs="Times New Roman"/>
      <w:color w:val="000000"/>
      <w:szCs w:val="20"/>
    </w:rPr>
  </w:style>
  <w:style w:type="paragraph" w:customStyle="1" w:styleId="CharCharCharCharCharCharCharCharCharCharCharCharCharCharCharCharCharCharCharCharCharCharCharCharChar">
    <w:name w:val="Char Char Char Char Char Char Char Char Char Char Char Char Char Char Char Char Char Char Char Char Char Char Char Char Char"/>
    <w:basedOn w:val="af1"/>
    <w:qFormat/>
    <w:pPr>
      <w:spacing w:line="360" w:lineRule="auto"/>
      <w:ind w:firstLineChars="200" w:firstLine="200"/>
    </w:pPr>
    <w:rPr>
      <w:rFonts w:ascii="宋体" w:hAnsi="宋体" w:cs="宋体"/>
      <w:sz w:val="24"/>
      <w:szCs w:val="24"/>
    </w:rPr>
  </w:style>
  <w:style w:type="paragraph" w:customStyle="1" w:styleId="2B0">
    <w:name w:val="列表 2B"/>
    <w:basedOn w:val="25"/>
    <w:qFormat/>
    <w:pPr>
      <w:widowControl/>
      <w:tabs>
        <w:tab w:val="left" w:pos="737"/>
      </w:tabs>
      <w:spacing w:beforeAutospacing="1" w:after="100" w:afterAutospacing="1" w:line="288" w:lineRule="auto"/>
      <w:ind w:leftChars="0" w:left="737" w:firstLineChars="0" w:hanging="567"/>
      <w:jc w:val="left"/>
    </w:pPr>
    <w:rPr>
      <w:rFonts w:ascii="Courier New" w:eastAsia="宋体" w:hAnsi="Courier New" w:cs="仿宋_GB2312"/>
      <w:color w:val="FFFF99"/>
      <w:kern w:val="2"/>
      <w:sz w:val="24"/>
      <w:szCs w:val="20"/>
    </w:rPr>
  </w:style>
  <w:style w:type="paragraph" w:customStyle="1" w:styleId="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1"/>
    <w:basedOn w:val="af1"/>
    <w:qFormat/>
    <w:pPr>
      <w:widowControl/>
      <w:spacing w:after="160" w:line="240" w:lineRule="exact"/>
      <w:jc w:val="left"/>
    </w:pPr>
    <w:rPr>
      <w:rFonts w:ascii="Calibri" w:hAnsi="Calibri" w:cs="Times New Roman"/>
      <w:sz w:val="32"/>
      <w:szCs w:val="20"/>
    </w:rPr>
  </w:style>
  <w:style w:type="paragraph" w:customStyle="1" w:styleId="msonormal0">
    <w:name w:val="msonormal"/>
    <w:basedOn w:val="af1"/>
    <w:qFormat/>
    <w:pPr>
      <w:spacing w:line="360" w:lineRule="auto"/>
    </w:pPr>
    <w:rPr>
      <w:rFonts w:cs="Times New Roman"/>
      <w:sz w:val="24"/>
      <w:szCs w:val="24"/>
    </w:rPr>
  </w:style>
  <w:style w:type="character" w:customStyle="1" w:styleId="2fff4">
    <w:name w:val="批注文字 字符2"/>
    <w:basedOn w:val="af3"/>
    <w:uiPriority w:val="99"/>
    <w:semiHidden/>
    <w:qFormat/>
    <w:rPr>
      <w:rFonts w:ascii="Calibri" w:eastAsia="宋体" w:hAnsi="Calibri" w:cs="Times New Roman"/>
      <w:szCs w:val="24"/>
      <w:lang w:val="en-US" w:eastAsia="zh-CN" w:bidi="ar-SA"/>
    </w:rPr>
  </w:style>
  <w:style w:type="paragraph" w:customStyle="1" w:styleId="afffffffffffffffff1">
    <w:name w:val="文件册号"/>
    <w:basedOn w:val="af1"/>
    <w:next w:val="af1"/>
    <w:qFormat/>
    <w:pPr>
      <w:widowControl/>
      <w:spacing w:line="800" w:lineRule="atLeast"/>
      <w:jc w:val="center"/>
    </w:pPr>
    <w:rPr>
      <w:rFonts w:ascii="仿宋_GB2312" w:hAnsi="仿宋_GB2312" w:cs="仿宋_GB2312"/>
      <w:sz w:val="52"/>
      <w:szCs w:val="52"/>
    </w:rPr>
  </w:style>
  <w:style w:type="paragraph" w:customStyle="1" w:styleId="117">
    <w:name w:val="表格11"/>
    <w:basedOn w:val="af1"/>
    <w:qFormat/>
    <w:pPr>
      <w:widowControl/>
      <w:spacing w:line="240" w:lineRule="atLeast"/>
      <w:jc w:val="center"/>
    </w:pPr>
    <w:rPr>
      <w:rFonts w:ascii="Calibri" w:hAnsi="Calibri" w:cs="Times New Roman"/>
      <w:sz w:val="24"/>
      <w:szCs w:val="24"/>
    </w:rPr>
  </w:style>
  <w:style w:type="paragraph" w:customStyle="1" w:styleId="CharCharCharChar10">
    <w:name w:val="Char Char Char Char1"/>
    <w:basedOn w:val="af1"/>
    <w:qFormat/>
    <w:rPr>
      <w:rFonts w:ascii="Calibri" w:hAnsi="Calibri" w:cs="Times New Roman"/>
      <w:sz w:val="24"/>
      <w:szCs w:val="24"/>
    </w:rPr>
  </w:style>
  <w:style w:type="paragraph" w:customStyle="1" w:styleId="1fffd">
    <w:name w:val="批注主题1"/>
    <w:basedOn w:val="aff8"/>
    <w:next w:val="aff8"/>
    <w:qFormat/>
    <w:rPr>
      <w:rFonts w:ascii="宋体" w:hAnsi="宋体" w:hint="eastAsia"/>
      <w:b/>
      <w:szCs w:val="20"/>
    </w:rPr>
  </w:style>
  <w:style w:type="paragraph" w:customStyle="1" w:styleId="cucd-00">
    <w:name w:val="样式 cucd-0 + 宋体"/>
    <w:basedOn w:val="af1"/>
    <w:qFormat/>
    <w:pPr>
      <w:widowControl/>
      <w:spacing w:line="360" w:lineRule="auto"/>
      <w:jc w:val="left"/>
    </w:pPr>
    <w:rPr>
      <w:rFonts w:ascii="宋体" w:hAnsi="宋体" w:cs="Times New Roman"/>
      <w:sz w:val="28"/>
      <w:szCs w:val="28"/>
    </w:rPr>
  </w:style>
  <w:style w:type="paragraph" w:customStyle="1" w:styleId="ttop">
    <w:name w:val="ttop"/>
    <w:basedOn w:val="af1"/>
    <w:qFormat/>
    <w:pPr>
      <w:widowControl/>
      <w:spacing w:before="100" w:beforeAutospacing="1" w:after="100" w:afterAutospacing="1"/>
      <w:jc w:val="left"/>
    </w:pPr>
    <w:rPr>
      <w:rFonts w:ascii="Verdana" w:hAnsi="Verdana" w:cs="仿宋_GB2312"/>
      <w:kern w:val="0"/>
      <w:sz w:val="24"/>
      <w:szCs w:val="24"/>
    </w:rPr>
  </w:style>
  <w:style w:type="paragraph" w:customStyle="1" w:styleId="58">
    <w:name w:val="纯文本5"/>
    <w:basedOn w:val="af1"/>
    <w:qFormat/>
    <w:rPr>
      <w:rFonts w:ascii="宋体" w:hAnsi="宋体" w:cs="Times New Roman"/>
      <w:sz w:val="24"/>
      <w:szCs w:val="24"/>
    </w:rPr>
  </w:style>
  <w:style w:type="paragraph" w:customStyle="1" w:styleId="Char210">
    <w:name w:val="Char21"/>
    <w:basedOn w:val="af1"/>
    <w:qFormat/>
    <w:pPr>
      <w:spacing w:line="360" w:lineRule="auto"/>
      <w:ind w:firstLineChars="200" w:firstLine="200"/>
    </w:pPr>
    <w:rPr>
      <w:rFonts w:ascii="宋体" w:hAnsi="宋体" w:cs="宋体"/>
      <w:sz w:val="24"/>
      <w:szCs w:val="24"/>
    </w:rPr>
  </w:style>
  <w:style w:type="paragraph" w:customStyle="1" w:styleId="65">
    <w:name w:val="正文6"/>
    <w:qFormat/>
    <w:pPr>
      <w:widowControl w:val="0"/>
      <w:adjustRightInd w:val="0"/>
      <w:spacing w:line="360" w:lineRule="atLeast"/>
      <w:textAlignment w:val="baseline"/>
    </w:pPr>
    <w:rPr>
      <w:rFonts w:ascii="宋体" w:eastAsia="宋体" w:hAnsi="Times New Roman" w:cs="Times New Roman"/>
      <w:sz w:val="24"/>
    </w:rPr>
  </w:style>
  <w:style w:type="paragraph" w:customStyle="1" w:styleId="2fff5">
    <w:name w:val="正文文本缩进2"/>
    <w:basedOn w:val="af1"/>
    <w:qFormat/>
    <w:pPr>
      <w:spacing w:after="120"/>
      <w:ind w:leftChars="200" w:left="420"/>
    </w:pPr>
    <w:rPr>
      <w:rFonts w:ascii="Calibri" w:hAnsi="Calibri" w:cs="Times New Roman"/>
      <w:sz w:val="24"/>
      <w:szCs w:val="20"/>
    </w:rPr>
  </w:style>
  <w:style w:type="paragraph" w:customStyle="1" w:styleId="xl55">
    <w:name w:val="xl55"/>
    <w:basedOn w:val="af1"/>
    <w:qFormat/>
    <w:pPr>
      <w:widowControl/>
      <w:pBdr>
        <w:top w:val="single" w:sz="8" w:space="0" w:color="auto"/>
        <w:bottom w:val="single" w:sz="4" w:space="0" w:color="auto"/>
        <w:right w:val="single" w:sz="4" w:space="0" w:color="auto"/>
      </w:pBdr>
      <w:spacing w:before="100" w:beforeAutospacing="1" w:after="100" w:afterAutospacing="1"/>
      <w:jc w:val="center"/>
    </w:pPr>
    <w:rPr>
      <w:rFonts w:ascii="Calibri" w:eastAsia="Arial Unicode MS" w:hAnsi="Calibri" w:cs="Times New Roman"/>
      <w:kern w:val="0"/>
      <w:sz w:val="18"/>
      <w:szCs w:val="18"/>
    </w:rPr>
  </w:style>
  <w:style w:type="paragraph" w:customStyle="1" w:styleId="4E">
    <w:name w:val="列表 4E"/>
    <w:basedOn w:val="45"/>
    <w:qFormat/>
    <w:pPr>
      <w:widowControl/>
      <w:tabs>
        <w:tab w:val="left" w:pos="1021"/>
      </w:tabs>
      <w:adjustRightInd/>
      <w:spacing w:afterLines="30" w:line="288" w:lineRule="auto"/>
      <w:ind w:left="1021" w:hanging="454"/>
      <w:jc w:val="left"/>
      <w:textAlignment w:val="auto"/>
    </w:pPr>
    <w:rPr>
      <w:rFonts w:ascii="Courier New" w:hAnsi="Courier New" w:cs="仿宋_GB2312"/>
      <w:color w:val="CCFFFF"/>
      <w:kern w:val="2"/>
    </w:rPr>
  </w:style>
  <w:style w:type="paragraph" w:customStyle="1" w:styleId="-11">
    <w:name w:val="表格标题-11"/>
    <w:basedOn w:val="-xin"/>
    <w:next w:val="af1"/>
    <w:qFormat/>
    <w:pPr>
      <w:tabs>
        <w:tab w:val="left" w:pos="851"/>
      </w:tabs>
      <w:adjustRightInd w:val="0"/>
      <w:spacing w:line="360" w:lineRule="auto"/>
    </w:pPr>
    <w:rPr>
      <w:rFonts w:ascii="Times New Roman" w:hAnsi="Times New Roman"/>
      <w:sz w:val="24"/>
    </w:rPr>
  </w:style>
  <w:style w:type="paragraph" w:customStyle="1" w:styleId="2fff6">
    <w:name w:val="正文文字首航缩2字"/>
    <w:basedOn w:val="af1"/>
    <w:qFormat/>
    <w:pPr>
      <w:widowControl/>
      <w:spacing w:line="360" w:lineRule="auto"/>
      <w:ind w:firstLineChars="200" w:firstLine="200"/>
      <w:jc w:val="left"/>
    </w:pPr>
    <w:rPr>
      <w:rFonts w:ascii="仿宋_GB2312" w:hAnsi="仿宋_GB2312" w:cs="仿宋_GB2312"/>
      <w:sz w:val="24"/>
      <w:szCs w:val="24"/>
    </w:rPr>
  </w:style>
  <w:style w:type="paragraph" w:customStyle="1" w:styleId="afffffffffffffffff2">
    <w:name w:val="缩进"/>
    <w:basedOn w:val="af1"/>
    <w:qFormat/>
    <w:pPr>
      <w:autoSpaceDE w:val="0"/>
      <w:autoSpaceDN w:val="0"/>
      <w:adjustRightInd w:val="0"/>
      <w:spacing w:line="400" w:lineRule="atLeast"/>
      <w:ind w:firstLine="425"/>
      <w:textAlignment w:val="baseline"/>
    </w:pPr>
    <w:rPr>
      <w:rFonts w:cs="Times New Roman"/>
      <w:kern w:val="0"/>
      <w:sz w:val="24"/>
      <w:szCs w:val="20"/>
    </w:rPr>
  </w:style>
  <w:style w:type="paragraph" w:customStyle="1" w:styleId="44Char2">
    <w:name w:val="样式 标题 4标题 4 Char + 首行缩进:  2 字符"/>
    <w:basedOn w:val="41"/>
    <w:qFormat/>
    <w:pPr>
      <w:keepLines/>
      <w:widowControl w:val="0"/>
      <w:spacing w:line="360" w:lineRule="auto"/>
      <w:jc w:val="both"/>
    </w:pPr>
    <w:rPr>
      <w:rFonts w:cs="宋体"/>
      <w:bCs/>
      <w:kern w:val="2"/>
      <w:sz w:val="28"/>
    </w:rPr>
  </w:style>
  <w:style w:type="paragraph" w:customStyle="1" w:styleId="231">
    <w:name w:val="样式 标题 2 + 小三3"/>
    <w:basedOn w:val="22"/>
    <w:qFormat/>
    <w:pPr>
      <w:keepLines w:val="0"/>
      <w:widowControl/>
      <w:tabs>
        <w:tab w:val="left" w:pos="360"/>
      </w:tabs>
      <w:adjustRightInd w:val="0"/>
      <w:spacing w:before="133" w:after="0" w:line="360" w:lineRule="auto"/>
      <w:ind w:left="108" w:right="333" w:firstLineChars="200" w:firstLine="723"/>
      <w:textAlignment w:val="baseline"/>
    </w:pPr>
    <w:rPr>
      <w:rFonts w:ascii="Times New Roman" w:eastAsia="宋体" w:hAnsi="Times New Roman"/>
      <w:b w:val="0"/>
      <w:bCs w:val="0"/>
      <w:iCs/>
      <w:color w:val="000000"/>
      <w:kern w:val="0"/>
      <w:sz w:val="30"/>
      <w:szCs w:val="28"/>
      <w:lang w:bidi="en-US"/>
    </w:rPr>
  </w:style>
  <w:style w:type="paragraph" w:customStyle="1" w:styleId="1fffe">
    <w:name w:val="1环评正文"/>
    <w:basedOn w:val="af1"/>
    <w:qFormat/>
    <w:pPr>
      <w:spacing w:line="360" w:lineRule="auto"/>
      <w:ind w:firstLineChars="200" w:firstLine="200"/>
    </w:pPr>
    <w:rPr>
      <w:rFonts w:ascii="Calibri" w:hAnsi="Calibri" w:cs="宋体"/>
      <w:kern w:val="0"/>
      <w:sz w:val="24"/>
      <w:szCs w:val="20"/>
    </w:rPr>
  </w:style>
  <w:style w:type="paragraph" w:customStyle="1" w:styleId="1010">
    <w:name w:val="101"/>
    <w:basedOn w:val="af1"/>
    <w:qFormat/>
    <w:pPr>
      <w:widowControl/>
      <w:spacing w:before="100" w:beforeAutospacing="1" w:after="100" w:afterAutospacing="1"/>
      <w:jc w:val="left"/>
    </w:pPr>
    <w:rPr>
      <w:rFonts w:ascii="華康中楷體" w:eastAsia="華康中楷體" w:hAnsi="華康中楷體" w:cs="華康中楷體"/>
      <w:kern w:val="0"/>
      <w:sz w:val="24"/>
      <w:szCs w:val="24"/>
    </w:rPr>
  </w:style>
  <w:style w:type="paragraph" w:customStyle="1" w:styleId="111PAGEHEADINGh1headingHeader1stPage1">
    <w:name w:val="样式 标题 1章章标题一、1.标题 1PAGE HEADINGh1headingHeader 1st Page...1"/>
    <w:basedOn w:val="1"/>
    <w:qFormat/>
    <w:pPr>
      <w:spacing w:before="100" w:after="90" w:line="578" w:lineRule="auto"/>
      <w:jc w:val="both"/>
    </w:pPr>
    <w:rPr>
      <w:rFonts w:eastAsia="黑体" w:hAnsi="宋体"/>
      <w:kern w:val="44"/>
    </w:rPr>
  </w:style>
  <w:style w:type="paragraph" w:customStyle="1" w:styleId="1510">
    <w:name w:val="样式 四号 黑色 行距: 1.5 倍行距1"/>
    <w:basedOn w:val="af1"/>
    <w:qFormat/>
    <w:pPr>
      <w:spacing w:line="360" w:lineRule="auto"/>
      <w:ind w:firstLineChars="200" w:firstLine="560"/>
    </w:pPr>
    <w:rPr>
      <w:rFonts w:ascii="Calibri" w:hAnsi="Calibri" w:cs="宋体"/>
      <w:color w:val="000000"/>
      <w:sz w:val="28"/>
      <w:szCs w:val="20"/>
    </w:rPr>
  </w:style>
  <w:style w:type="paragraph" w:customStyle="1" w:styleId="CharCharCharCharCharCharTimesNew">
    <w:name w:val="样式 纯文本普通文字 Char普通文字 Char Char Char普通文字 Char Char + Times New ..."/>
    <w:basedOn w:val="afff1"/>
    <w:qFormat/>
    <w:pPr>
      <w:spacing w:line="360" w:lineRule="auto"/>
      <w:ind w:firstLineChars="200" w:firstLine="480"/>
    </w:pPr>
    <w:rPr>
      <w:rFonts w:ascii="Times New Roman" w:hAnsi="Times New Roman" w:cs="宋体"/>
      <w:kern w:val="0"/>
      <w:sz w:val="28"/>
      <w:szCs w:val="24"/>
    </w:rPr>
  </w:style>
  <w:style w:type="paragraph" w:customStyle="1" w:styleId="afffffffffffffffff3">
    <w:name w:val="資料來源"/>
    <w:basedOn w:val="af1"/>
    <w:qFormat/>
    <w:pPr>
      <w:widowControl/>
      <w:adjustRightInd w:val="0"/>
      <w:snapToGrid w:val="0"/>
      <w:spacing w:before="60"/>
      <w:jc w:val="left"/>
      <w:textAlignment w:val="baseline"/>
    </w:pPr>
    <w:rPr>
      <w:rFonts w:ascii="仿宋_GB2312" w:eastAsia="Times New Roman" w:hAnsi="仿宋_GB2312" w:cs="仿宋_GB2312"/>
      <w:sz w:val="18"/>
      <w:szCs w:val="20"/>
      <w:lang w:eastAsia="zh-TW"/>
    </w:rPr>
  </w:style>
  <w:style w:type="paragraph" w:customStyle="1" w:styleId="04">
    <w:name w:val="标题04"/>
    <w:basedOn w:val="41"/>
    <w:next w:val="af1"/>
    <w:qFormat/>
    <w:pPr>
      <w:keepLines/>
      <w:widowControl w:val="0"/>
      <w:spacing w:before="320" w:after="280" w:line="400" w:lineRule="exact"/>
      <w:jc w:val="both"/>
    </w:pPr>
    <w:rPr>
      <w:rFonts w:ascii="Arial" w:eastAsia="黑体" w:hAnsi="Arial"/>
      <w:bCs/>
      <w:kern w:val="2"/>
      <w:sz w:val="28"/>
      <w:szCs w:val="28"/>
    </w:rPr>
  </w:style>
  <w:style w:type="paragraph" w:customStyle="1" w:styleId="5E">
    <w:name w:val="列表 5E"/>
    <w:basedOn w:val="55"/>
    <w:qFormat/>
    <w:pPr>
      <w:tabs>
        <w:tab w:val="left" w:pos="1134"/>
      </w:tabs>
      <w:adjustRightInd/>
      <w:spacing w:beforeLines="0" w:line="240" w:lineRule="auto"/>
      <w:ind w:left="1134" w:hanging="425"/>
      <w:jc w:val="left"/>
      <w:textAlignment w:val="auto"/>
    </w:pPr>
    <w:rPr>
      <w:rFonts w:ascii="Courier New" w:hAnsi="Courier New" w:cs="仿宋_GB2312"/>
      <w:color w:val="99CCFF"/>
      <w:kern w:val="2"/>
    </w:rPr>
  </w:style>
  <w:style w:type="paragraph" w:customStyle="1" w:styleId="xl76">
    <w:name w:val="xl76"/>
    <w:basedOn w:val="af1"/>
    <w:qFormat/>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Arial Unicode MS" w:eastAsia="Arial Unicode MS" w:hAnsi="Arial Unicode MS" w:cs="Times New Roman"/>
      <w:color w:val="FF00FF"/>
      <w:kern w:val="0"/>
      <w:sz w:val="20"/>
      <w:szCs w:val="20"/>
    </w:rPr>
  </w:style>
  <w:style w:type="paragraph" w:customStyle="1" w:styleId="CharCharChar1CharCharCharCharCharCharChar2">
    <w:name w:val="Char Char Char1 Char Char Char Char Char Char Char2"/>
    <w:basedOn w:val="af1"/>
    <w:qFormat/>
    <w:pPr>
      <w:spacing w:line="360" w:lineRule="auto"/>
    </w:pPr>
    <w:rPr>
      <w:rFonts w:ascii="Calibri" w:hAnsi="Calibri" w:cs="Times New Roman" w:hint="eastAsia"/>
      <w:sz w:val="24"/>
      <w:szCs w:val="20"/>
    </w:rPr>
  </w:style>
  <w:style w:type="paragraph" w:customStyle="1" w:styleId="CharCharCharCharCharCharCharCharChar1CharCharCharChar">
    <w:name w:val="Char Char Char Char Char Char Char Char Char1 Char Char Char Char"/>
    <w:basedOn w:val="af1"/>
    <w:qFormat/>
    <w:pPr>
      <w:spacing w:line="360" w:lineRule="auto"/>
      <w:ind w:firstLineChars="200" w:firstLine="200"/>
    </w:pPr>
    <w:rPr>
      <w:rFonts w:ascii="宋体" w:hAnsi="宋体" w:cs="宋体"/>
      <w:sz w:val="24"/>
      <w:szCs w:val="26"/>
    </w:rPr>
  </w:style>
  <w:style w:type="character" w:customStyle="1" w:styleId="321">
    <w:name w:val="正文文本缩进 3 字符2"/>
    <w:basedOn w:val="af3"/>
    <w:uiPriority w:val="99"/>
    <w:semiHidden/>
    <w:qFormat/>
    <w:rPr>
      <w:rFonts w:ascii="Calibri" w:eastAsia="宋体" w:hAnsi="Calibri" w:cs="Times New Roman"/>
      <w:sz w:val="16"/>
      <w:szCs w:val="16"/>
      <w:lang w:val="en-US" w:eastAsia="zh-CN" w:bidi="ar-SA"/>
    </w:rPr>
  </w:style>
  <w:style w:type="paragraph" w:customStyle="1" w:styleId="1TimesNewRoman6">
    <w:name w:val="样式 标题 1 + Times New Roman 二号 段后: 6 磅 行距: 单倍行距"/>
    <w:basedOn w:val="1"/>
    <w:qFormat/>
    <w:pPr>
      <w:widowControl/>
      <w:tabs>
        <w:tab w:val="left" w:pos="425"/>
      </w:tabs>
      <w:adjustRightInd w:val="0"/>
      <w:spacing w:before="340" w:after="120" w:line="240" w:lineRule="auto"/>
      <w:ind w:left="425" w:hanging="425"/>
      <w:jc w:val="left"/>
      <w:textAlignment w:val="baseline"/>
    </w:pPr>
    <w:rPr>
      <w:rFonts w:ascii="仿宋_GB2312" w:hAnsi="仿宋_GB2312" w:cs="Verdana"/>
      <w:color w:val="0000FF"/>
      <w:kern w:val="44"/>
      <w:szCs w:val="20"/>
    </w:rPr>
  </w:style>
  <w:style w:type="paragraph" w:customStyle="1" w:styleId="xl63">
    <w:name w:val="xl63"/>
    <w:basedOn w:val="af1"/>
    <w:qFormat/>
    <w:pPr>
      <w:pBdr>
        <w:left w:val="single" w:sz="4" w:space="0" w:color="auto"/>
        <w:bottom w:val="single" w:sz="4" w:space="0" w:color="auto"/>
        <w:right w:val="single" w:sz="4" w:space="0" w:color="auto"/>
      </w:pBdr>
      <w:spacing w:before="100" w:beforeAutospacing="1" w:after="100" w:afterAutospacing="1"/>
      <w:jc w:val="center"/>
    </w:pPr>
    <w:rPr>
      <w:rFonts w:ascii="宋体" w:eastAsia="Arial Unicode MS" w:hAnsi="宋体" w:cs="Times New Roman"/>
      <w:kern w:val="0"/>
      <w:sz w:val="28"/>
    </w:rPr>
  </w:style>
  <w:style w:type="character" w:customStyle="1" w:styleId="3f7">
    <w:name w:val="副标题 字符3"/>
    <w:basedOn w:val="af3"/>
    <w:uiPriority w:val="11"/>
    <w:qFormat/>
    <w:rPr>
      <w:rFonts w:ascii="Times New Roman" w:eastAsia="宋体" w:hAnsi="Times New Roman" w:cs="Times New Roman"/>
      <w:b/>
      <w:bCs/>
      <w:kern w:val="28"/>
      <w:sz w:val="32"/>
      <w:szCs w:val="32"/>
      <w:lang w:val="en-US" w:eastAsia="zh-CN" w:bidi="ar-SA"/>
    </w:rPr>
  </w:style>
  <w:style w:type="paragraph" w:customStyle="1" w:styleId="MTDisplayEquation">
    <w:name w:val="MTDisplayEquation"/>
    <w:basedOn w:val="af1"/>
    <w:next w:val="af1"/>
    <w:qFormat/>
    <w:pPr>
      <w:widowControl/>
      <w:tabs>
        <w:tab w:val="center" w:pos="4160"/>
        <w:tab w:val="right" w:pos="8320"/>
      </w:tabs>
      <w:spacing w:line="460" w:lineRule="exact"/>
      <w:ind w:firstLineChars="200" w:firstLine="420"/>
      <w:jc w:val="left"/>
    </w:pPr>
    <w:rPr>
      <w:rFonts w:ascii="方正宋三简体" w:hAnsi="Calibri" w:cs="Times New Roman"/>
      <w:szCs w:val="24"/>
    </w:rPr>
  </w:style>
  <w:style w:type="paragraph" w:customStyle="1" w:styleId="p18">
    <w:name w:val="p18"/>
    <w:basedOn w:val="af1"/>
    <w:qFormat/>
    <w:pPr>
      <w:widowControl/>
      <w:pBdr>
        <w:bottom w:val="single" w:sz="12" w:space="0" w:color="000000"/>
        <w:right w:val="single" w:sz="4" w:space="0" w:color="000000"/>
      </w:pBdr>
      <w:spacing w:before="100" w:after="100"/>
      <w:jc w:val="center"/>
    </w:pPr>
    <w:rPr>
      <w:rFonts w:ascii="宋体" w:hAnsi="宋体" w:cs="宋体"/>
      <w:kern w:val="0"/>
      <w:szCs w:val="21"/>
    </w:rPr>
  </w:style>
  <w:style w:type="paragraph" w:customStyle="1" w:styleId="111PAGEHEADINGh1headingHeader1stPage2">
    <w:name w:val="样式 标题 1章章标题一、1.标题 1PAGE HEADINGh1headingHeader 1st Page...2"/>
    <w:basedOn w:val="1"/>
    <w:qFormat/>
    <w:pPr>
      <w:spacing w:line="240" w:lineRule="exact"/>
    </w:pPr>
    <w:rPr>
      <w:rFonts w:ascii="Times New Roman"/>
      <w:b w:val="0"/>
      <w:kern w:val="44"/>
      <w:sz w:val="21"/>
      <w:szCs w:val="21"/>
    </w:rPr>
  </w:style>
  <w:style w:type="paragraph" w:customStyle="1" w:styleId="161">
    <w:name w:val="样式 标题 1 + 段后: 6 磅"/>
    <w:basedOn w:val="1"/>
    <w:qFormat/>
    <w:pPr>
      <w:widowControl/>
      <w:tabs>
        <w:tab w:val="left" w:pos="360"/>
      </w:tabs>
      <w:spacing w:before="340" w:after="120" w:line="240" w:lineRule="auto"/>
      <w:ind w:left="170" w:hanging="170"/>
      <w:jc w:val="left"/>
    </w:pPr>
    <w:rPr>
      <w:rFonts w:ascii="仿宋_GB2312" w:hAnsi="仿宋_GB2312" w:cs="Verdana"/>
      <w:color w:val="0000FF"/>
      <w:kern w:val="44"/>
      <w:sz w:val="84"/>
      <w:szCs w:val="20"/>
    </w:rPr>
  </w:style>
  <w:style w:type="paragraph" w:customStyle="1" w:styleId="5F">
    <w:name w:val="列表 5F"/>
    <w:basedOn w:val="55"/>
    <w:qFormat/>
    <w:pPr>
      <w:tabs>
        <w:tab w:val="left" w:pos="1134"/>
      </w:tabs>
      <w:adjustRightInd/>
      <w:spacing w:beforeLines="0" w:line="240" w:lineRule="auto"/>
      <w:ind w:left="1134" w:hanging="425"/>
      <w:jc w:val="left"/>
      <w:textAlignment w:val="auto"/>
    </w:pPr>
    <w:rPr>
      <w:rFonts w:ascii="Courier New" w:hAnsi="Courier New" w:cs="仿宋_GB2312"/>
      <w:color w:val="99CCFF"/>
      <w:kern w:val="2"/>
    </w:rPr>
  </w:style>
  <w:style w:type="paragraph" w:customStyle="1" w:styleId="charfffffff5">
    <w:name w:val="char"/>
    <w:basedOn w:val="af1"/>
    <w:qFormat/>
    <w:pPr>
      <w:widowControl/>
      <w:spacing w:after="160" w:line="240" w:lineRule="exact"/>
      <w:jc w:val="left"/>
    </w:pPr>
    <w:rPr>
      <w:rFonts w:ascii="Verdana" w:eastAsia="仿宋_GB2312" w:hAnsi="Verdana" w:cs="”“Times New Roman”“"/>
      <w:kern w:val="0"/>
      <w:sz w:val="24"/>
      <w:szCs w:val="20"/>
      <w:lang w:eastAsia="en-US"/>
    </w:rPr>
  </w:style>
  <w:style w:type="paragraph" w:customStyle="1" w:styleId="afffffffffffffffff4">
    <w:name w:val="攀成钢加粗顶头小标题"/>
    <w:basedOn w:val="af1"/>
    <w:qFormat/>
    <w:pPr>
      <w:widowControl/>
      <w:spacing w:line="360" w:lineRule="auto"/>
      <w:jc w:val="left"/>
    </w:pPr>
    <w:rPr>
      <w:rFonts w:ascii="Calibri" w:hAnsi="Calibri" w:cs="Times New Roman"/>
      <w:b/>
      <w:color w:val="008000"/>
      <w:kern w:val="0"/>
      <w:sz w:val="24"/>
      <w:szCs w:val="20"/>
    </w:rPr>
  </w:style>
  <w:style w:type="paragraph" w:customStyle="1" w:styleId="2110">
    <w:name w:val="样式 样式2 + 段前: 1 行 段后: 1 行"/>
    <w:basedOn w:val="2fa"/>
    <w:qFormat/>
    <w:pPr>
      <w:keepNext/>
      <w:keepLines/>
      <w:spacing w:beforeLines="100" w:before="260" w:afterLines="100" w:after="120" w:line="400" w:lineRule="exact"/>
      <w:ind w:firstLine="0"/>
      <w:jc w:val="center"/>
      <w:outlineLvl w:val="1"/>
    </w:pPr>
    <w:rPr>
      <w:rFonts w:ascii="宋体" w:eastAsia="宋体" w:hAnsi="宋体" w:cs="宋体"/>
      <w:b/>
      <w:bCs/>
      <w:kern w:val="0"/>
      <w:szCs w:val="20"/>
    </w:rPr>
  </w:style>
  <w:style w:type="paragraph" w:customStyle="1" w:styleId="2fff7">
    <w:name w:val="樣式2"/>
    <w:basedOn w:val="31"/>
    <w:qFormat/>
    <w:pPr>
      <w:keepLines w:val="0"/>
      <w:widowControl/>
      <w:tabs>
        <w:tab w:val="left" w:pos="1050"/>
        <w:tab w:val="left" w:pos="3640"/>
      </w:tabs>
      <w:spacing w:before="240" w:after="240" w:line="360" w:lineRule="auto"/>
      <w:ind w:left="284"/>
      <w:jc w:val="left"/>
    </w:pPr>
    <w:rPr>
      <w:rFonts w:ascii="Courier New" w:eastAsia="Times New Roman" w:hAnsi="Courier New" w:cs="Courier New"/>
      <w:bCs w:val="0"/>
      <w:color w:val="000000"/>
      <w:spacing w:val="20"/>
      <w:sz w:val="24"/>
      <w:szCs w:val="36"/>
      <w:lang w:eastAsia="zh-TW"/>
    </w:rPr>
  </w:style>
  <w:style w:type="character" w:customStyle="1" w:styleId="227">
    <w:name w:val="正文文本缩进 2 字符2"/>
    <w:basedOn w:val="af3"/>
    <w:uiPriority w:val="99"/>
    <w:semiHidden/>
    <w:qFormat/>
    <w:rPr>
      <w:rFonts w:ascii="Calibri" w:eastAsia="宋体" w:hAnsi="Calibri" w:cs="Times New Roman"/>
      <w:szCs w:val="24"/>
      <w:lang w:val="en-US" w:eastAsia="zh-CN" w:bidi="ar-SA"/>
    </w:rPr>
  </w:style>
  <w:style w:type="paragraph" w:customStyle="1" w:styleId="afffffffffffffffff5">
    <w:name w:val="表格内文字专用"/>
    <w:basedOn w:val="Default"/>
    <w:next w:val="Default"/>
    <w:qFormat/>
    <w:pPr>
      <w:spacing w:line="240" w:lineRule="exact"/>
    </w:pPr>
    <w:rPr>
      <w:rFonts w:ascii="宋体" w:eastAsia="宋体" w:cs="Times New Roman"/>
      <w:color w:val="auto"/>
      <w:sz w:val="18"/>
    </w:rPr>
  </w:style>
  <w:style w:type="paragraph" w:customStyle="1" w:styleId="122">
    <w:name w:val="1标题2级"/>
    <w:basedOn w:val="af1"/>
    <w:qFormat/>
    <w:pPr>
      <w:snapToGrid w:val="0"/>
      <w:spacing w:line="360" w:lineRule="auto"/>
    </w:pPr>
    <w:rPr>
      <w:rFonts w:ascii="Calibri" w:eastAsia="仿宋_GB2312" w:hAnsi="Calibri" w:cs="Times New Roman"/>
      <w:b/>
      <w:sz w:val="30"/>
      <w:szCs w:val="20"/>
    </w:rPr>
  </w:style>
  <w:style w:type="paragraph" w:customStyle="1" w:styleId="GB23123">
    <w:name w:val="样式 纯文本表内文字 + 楷体_GB2312 左"/>
    <w:basedOn w:val="af1"/>
    <w:qFormat/>
    <w:pPr>
      <w:widowControl/>
      <w:tabs>
        <w:tab w:val="left" w:pos="1350"/>
      </w:tabs>
      <w:autoSpaceDE w:val="0"/>
      <w:autoSpaceDN w:val="0"/>
      <w:adjustRightInd w:val="0"/>
      <w:snapToGrid w:val="0"/>
      <w:spacing w:line="320" w:lineRule="exact"/>
      <w:jc w:val="left"/>
    </w:pPr>
    <w:rPr>
      <w:rFonts w:ascii="Courier New" w:eastAsia="经典叠圆体简" w:hAnsi="Courier New" w:cs="Verdana"/>
      <w:szCs w:val="21"/>
    </w:rPr>
  </w:style>
  <w:style w:type="paragraph" w:customStyle="1" w:styleId="K">
    <w:name w:val="列表 K"/>
    <w:basedOn w:val="afffe"/>
    <w:qFormat/>
    <w:pPr>
      <w:widowControl/>
      <w:tabs>
        <w:tab w:val="left" w:pos="425"/>
      </w:tabs>
      <w:spacing w:beforeLines="100" w:afterLines="50" w:line="288" w:lineRule="auto"/>
      <w:ind w:left="425" w:hanging="425"/>
      <w:jc w:val="left"/>
    </w:pPr>
    <w:rPr>
      <w:rFonts w:ascii="Courier New" w:eastAsia="宋体" w:hAnsi="Courier New" w:cs="仿宋_GB2312"/>
      <w:b/>
      <w:bCs/>
      <w:color w:val="FF99CC"/>
    </w:rPr>
  </w:style>
  <w:style w:type="paragraph" w:customStyle="1" w:styleId="84">
    <w:name w:val="8"/>
    <w:basedOn w:val="af1"/>
    <w:next w:val="afff1"/>
    <w:qFormat/>
    <w:rPr>
      <w:rFonts w:ascii="宋体" w:hAnsi="Courier New" w:cs="Times New Roman"/>
      <w:szCs w:val="21"/>
    </w:rPr>
  </w:style>
  <w:style w:type="paragraph" w:customStyle="1" w:styleId="102">
    <w:name w:val="10"/>
    <w:basedOn w:val="af1"/>
    <w:next w:val="afff0"/>
    <w:qFormat/>
    <w:pPr>
      <w:spacing w:line="324" w:lineRule="auto"/>
      <w:ind w:leftChars="-50" w:left="-105" w:rightChars="-50" w:right="-105" w:firstLine="482"/>
      <w:jc w:val="left"/>
    </w:pPr>
    <w:rPr>
      <w:rFonts w:ascii="Calibri" w:hAnsi="Calibri" w:cs="Times New Roman"/>
      <w:color w:val="000000"/>
      <w:sz w:val="24"/>
      <w:szCs w:val="24"/>
    </w:rPr>
  </w:style>
  <w:style w:type="paragraph" w:customStyle="1" w:styleId="style14">
    <w:name w:val="style14"/>
    <w:basedOn w:val="af1"/>
    <w:qFormat/>
    <w:pPr>
      <w:widowControl/>
      <w:spacing w:before="100" w:beforeAutospacing="1" w:after="100" w:afterAutospacing="1"/>
      <w:jc w:val="left"/>
    </w:pPr>
    <w:rPr>
      <w:rFonts w:ascii="宋体" w:hAnsi="宋体" w:cs="宋体"/>
      <w:b/>
      <w:bCs/>
      <w:color w:val="FFFFCC"/>
      <w:kern w:val="0"/>
      <w:sz w:val="24"/>
      <w:szCs w:val="24"/>
    </w:rPr>
  </w:style>
  <w:style w:type="paragraph" w:customStyle="1" w:styleId="1CharCharCharCharCharCharCharCharCharChar">
    <w:name w:val="1 Char Char Char Char Char Char Char Char Char Char"/>
    <w:basedOn w:val="af1"/>
    <w:qFormat/>
    <w:rPr>
      <w:rFonts w:ascii="Calibri" w:hAnsi="Calibri" w:cs="Times New Roman"/>
      <w:szCs w:val="20"/>
    </w:rPr>
  </w:style>
  <w:style w:type="paragraph" w:customStyle="1" w:styleId="5074">
    <w:name w:val="样式 标题5 + 首行缩进:  0.74 厘米"/>
    <w:basedOn w:val="af1"/>
    <w:qFormat/>
    <w:pPr>
      <w:keepNext/>
      <w:keepLines/>
      <w:spacing w:line="360" w:lineRule="auto"/>
      <w:outlineLvl w:val="4"/>
    </w:pPr>
    <w:rPr>
      <w:rFonts w:ascii="Calibri" w:hAnsi="Calibri" w:cs="宋体"/>
      <w:b/>
      <w:bCs/>
      <w:sz w:val="28"/>
      <w:szCs w:val="20"/>
    </w:rPr>
  </w:style>
  <w:style w:type="paragraph" w:customStyle="1" w:styleId="afffffffffffffffff6">
    <w:name w:val="表格内容格式"/>
    <w:basedOn w:val="af1"/>
    <w:qFormat/>
    <w:pPr>
      <w:widowControl/>
      <w:adjustRightInd w:val="0"/>
      <w:snapToGrid w:val="0"/>
      <w:jc w:val="center"/>
      <w:textAlignment w:val="baseline"/>
    </w:pPr>
    <w:rPr>
      <w:rFonts w:ascii="Verdana" w:hAnsi="Verdana" w:cs="仿宋_GB2312"/>
      <w:kern w:val="0"/>
      <w:szCs w:val="20"/>
    </w:rPr>
  </w:style>
  <w:style w:type="paragraph" w:customStyle="1" w:styleId="xl100">
    <w:name w:val="xl100"/>
    <w:basedOn w:val="af1"/>
    <w:qFormat/>
    <w:pPr>
      <w:widowControl/>
      <w:pBdr>
        <w:top w:val="single" w:sz="8" w:space="0" w:color="auto"/>
        <w:bottom w:val="single" w:sz="4" w:space="0" w:color="auto"/>
        <w:right w:val="single" w:sz="8" w:space="0" w:color="auto"/>
      </w:pBdr>
      <w:spacing w:before="100" w:beforeAutospacing="1" w:after="100" w:afterAutospacing="1"/>
      <w:jc w:val="left"/>
    </w:pPr>
    <w:rPr>
      <w:rFonts w:ascii="華康中楷體" w:eastAsia="華康中楷體" w:hAnsi="華康中楷體" w:cs="華康中楷體"/>
      <w:kern w:val="0"/>
      <w:sz w:val="24"/>
      <w:szCs w:val="24"/>
    </w:rPr>
  </w:style>
  <w:style w:type="paragraph" w:customStyle="1" w:styleId="305052">
    <w:name w:val="样式 标题 3 + 段前: 0.5 行 段后: 0.5 行2"/>
    <w:basedOn w:val="31"/>
    <w:qFormat/>
    <w:pPr>
      <w:spacing w:before="0" w:after="0" w:line="440" w:lineRule="exact"/>
    </w:pPr>
    <w:rPr>
      <w:rFonts w:eastAsia="华文中宋" w:cs="宋体"/>
      <w:sz w:val="28"/>
      <w:szCs w:val="20"/>
    </w:rPr>
  </w:style>
  <w:style w:type="paragraph" w:customStyle="1" w:styleId="1ffff">
    <w:name w:val="表格1"/>
    <w:basedOn w:val="af1"/>
    <w:qFormat/>
    <w:rPr>
      <w:rFonts w:ascii="Calibri" w:hAnsi="Calibri" w:cs="Times New Roman"/>
      <w:sz w:val="24"/>
      <w:szCs w:val="21"/>
    </w:rPr>
  </w:style>
  <w:style w:type="paragraph" w:customStyle="1" w:styleId="180">
    <w:name w:val="18"/>
    <w:basedOn w:val="af1"/>
    <w:qFormat/>
    <w:pPr>
      <w:adjustRightInd w:val="0"/>
      <w:snapToGrid w:val="0"/>
      <w:spacing w:before="120" w:after="100" w:afterAutospacing="1" w:line="240" w:lineRule="atLeast"/>
      <w:jc w:val="center"/>
    </w:pPr>
    <w:rPr>
      <w:rFonts w:ascii="Calibri" w:hAnsi="Calibri" w:cs="Times New Roman"/>
      <w:b/>
      <w:bCs/>
      <w:kern w:val="0"/>
      <w:sz w:val="24"/>
    </w:rPr>
  </w:style>
  <w:style w:type="paragraph" w:customStyle="1" w:styleId="CharCharCharCharCharCharCharCharCharCharCharCharCharCharCharCharCharCharChar">
    <w:name w:val="Char Char Char Char Char Char Char Char Char Char Char Char Char Char Char Char Char Char Char"/>
    <w:basedOn w:val="af1"/>
    <w:qFormat/>
    <w:pPr>
      <w:spacing w:line="360" w:lineRule="auto"/>
      <w:ind w:firstLineChars="200" w:firstLine="200"/>
    </w:pPr>
    <w:rPr>
      <w:rFonts w:ascii="宋体" w:hAnsi="宋体" w:cs="宋体"/>
      <w:sz w:val="24"/>
      <w:szCs w:val="24"/>
    </w:rPr>
  </w:style>
  <w:style w:type="paragraph" w:customStyle="1" w:styleId="098">
    <w:name w:val="样式 样式 表格 + 左侧:  0.98 厘米 + 居中"/>
    <w:basedOn w:val="0980"/>
    <w:qFormat/>
    <w:pPr>
      <w:jc w:val="center"/>
    </w:pPr>
  </w:style>
  <w:style w:type="paragraph" w:customStyle="1" w:styleId="0980">
    <w:name w:val="样式 表格 + 左侧:  0.98 厘米"/>
    <w:basedOn w:val="af1"/>
    <w:qFormat/>
    <w:pPr>
      <w:snapToGrid w:val="0"/>
      <w:spacing w:before="100" w:beforeAutospacing="1" w:after="100" w:afterAutospacing="1" w:line="300" w:lineRule="auto"/>
    </w:pPr>
    <w:rPr>
      <w:rFonts w:ascii="Arial" w:hAnsi="Arial" w:cs="Times New Roman"/>
      <w:sz w:val="24"/>
      <w:szCs w:val="20"/>
    </w:rPr>
  </w:style>
  <w:style w:type="paragraph" w:customStyle="1" w:styleId="s4Char">
    <w:name w:val="样式 正文缩进s4特点正文不缩进表正文正文非缩进段落正文缩进段落正文正文（首行缩进两字） Char正文（首行缩..."/>
    <w:basedOn w:val="aff0"/>
    <w:qFormat/>
    <w:pPr>
      <w:adjustRightInd/>
      <w:spacing w:line="400" w:lineRule="exact"/>
      <w:ind w:firstLine="200"/>
      <w:textAlignment w:val="auto"/>
    </w:pPr>
    <w:rPr>
      <w:rFonts w:ascii="Times New Roman" w:cs="宋体"/>
      <w:sz w:val="24"/>
      <w:szCs w:val="24"/>
    </w:rPr>
  </w:style>
  <w:style w:type="paragraph" w:customStyle="1" w:styleId="afffffffffffffffff7">
    <w:name w:val="——"/>
    <w:basedOn w:val="Texte"/>
    <w:qFormat/>
    <w:pPr>
      <w:ind w:left="0" w:firstLineChars="300" w:firstLine="660"/>
    </w:pPr>
  </w:style>
  <w:style w:type="paragraph" w:customStyle="1" w:styleId="Texte">
    <w:name w:val="Texte"/>
    <w:basedOn w:val="af1"/>
    <w:qFormat/>
    <w:pPr>
      <w:widowControl/>
      <w:spacing w:before="120" w:after="120"/>
      <w:ind w:left="851" w:firstLineChars="200" w:firstLine="200"/>
      <w:jc w:val="left"/>
    </w:pPr>
    <w:rPr>
      <w:rFonts w:ascii="Courier New" w:hAnsi="Courier New" w:cs="仿宋_GB2312"/>
      <w:kern w:val="0"/>
      <w:sz w:val="22"/>
      <w:szCs w:val="20"/>
      <w:lang w:val="en-GB"/>
    </w:rPr>
  </w:style>
  <w:style w:type="paragraph" w:customStyle="1" w:styleId="33Char215">
    <w:name w:val="样式 样式 标题 3标题 3 Char + 首行缩进:  2 字符 + 行距: 1.5 倍行距"/>
    <w:basedOn w:val="33Char2"/>
    <w:qFormat/>
    <w:rPr>
      <w:rFonts w:cs="宋体"/>
    </w:rPr>
  </w:style>
  <w:style w:type="paragraph" w:customStyle="1" w:styleId="33Char2">
    <w:name w:val="样式 标题 3标题 3 Char + 首行缩进:  2 字符"/>
    <w:basedOn w:val="31"/>
    <w:qFormat/>
    <w:pPr>
      <w:spacing w:before="0" w:after="0" w:line="360" w:lineRule="auto"/>
    </w:pPr>
    <w:rPr>
      <w:rFonts w:eastAsia="黑体"/>
      <w:sz w:val="28"/>
      <w:szCs w:val="20"/>
    </w:rPr>
  </w:style>
  <w:style w:type="paragraph" w:customStyle="1" w:styleId="1ffff0">
    <w:name w:val="样式 正文首行缩进 + 首行缩进:  1 字符"/>
    <w:basedOn w:val="affffa"/>
    <w:qFormat/>
    <w:pPr>
      <w:widowControl/>
      <w:spacing w:after="0" w:line="440" w:lineRule="exact"/>
      <w:ind w:firstLineChars="200" w:firstLine="200"/>
      <w:jc w:val="left"/>
    </w:pPr>
    <w:rPr>
      <w:spacing w:val="6"/>
      <w:sz w:val="24"/>
      <w:szCs w:val="20"/>
    </w:rPr>
  </w:style>
  <w:style w:type="paragraph" w:customStyle="1" w:styleId="2Char2Char1Char">
    <w:name w:val="样式 正文文字缩进正文文字( 首段缩进两字）正文文字缩进2字符正文文本缩进 Char2正文文本缩进 Char1 Char..."/>
    <w:basedOn w:val="af6"/>
    <w:qFormat/>
    <w:pPr>
      <w:spacing w:after="0" w:line="480" w:lineRule="exact"/>
      <w:ind w:leftChars="0" w:left="0" w:firstLine="567"/>
    </w:pPr>
    <w:rPr>
      <w:rFonts w:ascii="宋体" w:hAnsiTheme="minorHAnsi"/>
      <w:spacing w:val="6"/>
      <w:kern w:val="0"/>
      <w:sz w:val="28"/>
      <w:szCs w:val="28"/>
    </w:rPr>
  </w:style>
  <w:style w:type="character" w:customStyle="1" w:styleId="2fff8">
    <w:name w:val="日期 字符2"/>
    <w:basedOn w:val="af3"/>
    <w:uiPriority w:val="99"/>
    <w:semiHidden/>
    <w:qFormat/>
    <w:rPr>
      <w:rFonts w:ascii="Calibri" w:eastAsia="宋体" w:hAnsi="Calibri" w:cs="Times New Roman"/>
      <w:szCs w:val="24"/>
      <w:lang w:val="en-US" w:eastAsia="zh-CN" w:bidi="ar-SA"/>
    </w:rPr>
  </w:style>
  <w:style w:type="paragraph" w:customStyle="1" w:styleId="afffffffffffffffff8">
    <w:name w:val="黑宋体"/>
    <w:basedOn w:val="41"/>
    <w:qFormat/>
    <w:pPr>
      <w:keepLines/>
      <w:widowControl w:val="0"/>
      <w:tabs>
        <w:tab w:val="left" w:pos="864"/>
      </w:tabs>
      <w:spacing w:line="360" w:lineRule="auto"/>
      <w:jc w:val="both"/>
      <w:textAlignment w:val="baseline"/>
      <w:outlineLvl w:val="9"/>
    </w:pPr>
    <w:rPr>
      <w:rFonts w:ascii="宋体"/>
      <w:b w:val="0"/>
      <w:snapToGrid w:val="0"/>
      <w:color w:val="000000"/>
      <w:sz w:val="24"/>
    </w:rPr>
  </w:style>
  <w:style w:type="paragraph" w:customStyle="1" w:styleId="CharCharCharCharCharCharCharCharCharChar1CharCharCharChar2">
    <w:name w:val="Char Char Char Char Char Char Char Char Char Char1 Char Char Char Char2"/>
    <w:basedOn w:val="af1"/>
    <w:qFormat/>
    <w:rPr>
      <w:rFonts w:ascii="Calibri" w:hAnsi="Calibri" w:cs="Times New Roman" w:hint="eastAsia"/>
      <w:szCs w:val="20"/>
    </w:rPr>
  </w:style>
  <w:style w:type="paragraph" w:customStyle="1" w:styleId="xl83">
    <w:name w:val="xl83"/>
    <w:basedOn w:val="af1"/>
    <w:qFormat/>
    <w:pPr>
      <w:widowControl/>
      <w:pBdr>
        <w:bottom w:val="single" w:sz="4" w:space="0" w:color="auto"/>
        <w:right w:val="single" w:sz="4" w:space="0" w:color="auto"/>
      </w:pBdr>
      <w:spacing w:before="100" w:beforeAutospacing="1" w:after="100" w:afterAutospacing="1"/>
      <w:jc w:val="center"/>
      <w:textAlignment w:val="top"/>
    </w:pPr>
    <w:rPr>
      <w:rFonts w:ascii="Arial Unicode MS" w:eastAsia="Arial Unicode MS" w:hAnsi="Arial Unicode MS" w:cs="Times New Roman"/>
      <w:kern w:val="0"/>
      <w:sz w:val="20"/>
      <w:szCs w:val="20"/>
    </w:rPr>
  </w:style>
  <w:style w:type="paragraph" w:customStyle="1" w:styleId="331113Char1Char1Char1CharCharChar1Cha3">
    <w:name w:val="样式 标题 3标题3小标题1.1.1标题 3Char1 Char1Char1 Char CharChar1 Cha...3"/>
    <w:basedOn w:val="31"/>
    <w:qFormat/>
    <w:pPr>
      <w:widowControl/>
      <w:autoSpaceDE w:val="0"/>
      <w:autoSpaceDN w:val="0"/>
      <w:adjustRightInd w:val="0"/>
      <w:spacing w:before="0" w:after="0" w:line="360" w:lineRule="auto"/>
      <w:jc w:val="left"/>
      <w:textAlignment w:val="baseline"/>
    </w:pPr>
    <w:rPr>
      <w:rFonts w:cs="宋体"/>
      <w:color w:val="0000FF"/>
      <w:kern w:val="0"/>
      <w:sz w:val="24"/>
      <w:szCs w:val="20"/>
    </w:rPr>
  </w:style>
  <w:style w:type="paragraph" w:customStyle="1" w:styleId="2TimesNewRoman1">
    <w:name w:val="样式 标题 2 + Times New Roman 小三 居中 行距: 单倍行距"/>
    <w:basedOn w:val="22"/>
    <w:qFormat/>
    <w:pPr>
      <w:widowControl/>
      <w:spacing w:beforeLines="50" w:line="240" w:lineRule="auto"/>
      <w:ind w:firstLineChars="192" w:firstLine="538"/>
      <w:jc w:val="left"/>
    </w:pPr>
    <w:rPr>
      <w:rFonts w:ascii="仿宋_GB2312" w:eastAsia="楷体" w:hAnsi="仿宋_GB2312" w:cs="Verdana"/>
      <w:bCs w:val="0"/>
      <w:kern w:val="0"/>
      <w:sz w:val="30"/>
      <w:szCs w:val="20"/>
    </w:rPr>
  </w:style>
  <w:style w:type="paragraph" w:customStyle="1" w:styleId="1ffff1">
    <w:name w:val="1标题"/>
    <w:next w:val="2ffb"/>
    <w:qFormat/>
    <w:pPr>
      <w:spacing w:beforeLines="50" w:afterLines="50"/>
      <w:jc w:val="center"/>
      <w:outlineLvl w:val="0"/>
    </w:pPr>
    <w:rPr>
      <w:rFonts w:ascii="Calibri" w:eastAsia="黑体" w:hAnsi="Calibri" w:cs="Times New Roman"/>
      <w:kern w:val="2"/>
      <w:sz w:val="36"/>
      <w:szCs w:val="24"/>
    </w:rPr>
  </w:style>
  <w:style w:type="paragraph" w:customStyle="1" w:styleId="afffffffffffffffff9">
    <w:name w:val="表体宋旭峰"/>
    <w:basedOn w:val="afff1"/>
    <w:qFormat/>
    <w:pPr>
      <w:widowControl/>
      <w:overflowPunct w:val="0"/>
      <w:spacing w:line="280" w:lineRule="atLeast"/>
      <w:jc w:val="center"/>
      <w:textAlignment w:val="baseline"/>
    </w:pPr>
    <w:rPr>
      <w:rFonts w:ascii="Verdana" w:hAnsi="MHei-Medium" w:cs="MHei-Medium"/>
      <w:kern w:val="24"/>
      <w:sz w:val="18"/>
      <w:szCs w:val="24"/>
    </w:rPr>
  </w:style>
  <w:style w:type="paragraph" w:customStyle="1" w:styleId="TimesNewRoman05">
    <w:name w:val="样式 表头 + Times New Roman 段前: 0.5 行"/>
    <w:basedOn w:val="afffffffffffff4"/>
    <w:qFormat/>
    <w:pPr>
      <w:adjustRightInd/>
      <w:spacing w:line="240" w:lineRule="auto"/>
      <w:textAlignment w:val="auto"/>
    </w:pPr>
    <w:rPr>
      <w:rFonts w:cs="宋体"/>
      <w:spacing w:val="0"/>
      <w:sz w:val="24"/>
    </w:rPr>
  </w:style>
  <w:style w:type="paragraph" w:customStyle="1" w:styleId="3H31111113H31H32H33u33CharCharChar1">
    <w:name w:val="样式 标题 3H3条标题1.1.11.1.1标题 3H31H32H33u3标题 3 Char Char Char...1"/>
    <w:basedOn w:val="31"/>
    <w:qFormat/>
    <w:pPr>
      <w:widowControl/>
      <w:spacing w:beforeLines="100" w:afterLines="50" w:line="240" w:lineRule="auto"/>
      <w:jc w:val="left"/>
    </w:pPr>
    <w:rPr>
      <w:rFonts w:ascii="仿宋_GB2312" w:eastAsia="楷体" w:hAnsi="仿宋_GB2312" w:cs="Verdana"/>
      <w:kern w:val="28"/>
      <w:sz w:val="30"/>
      <w:szCs w:val="20"/>
    </w:rPr>
  </w:style>
  <w:style w:type="paragraph" w:customStyle="1" w:styleId="xl116">
    <w:name w:val="xl116"/>
    <w:basedOn w:val="af1"/>
    <w:qFormat/>
    <w:pPr>
      <w:widowControl/>
      <w:pBdr>
        <w:top w:val="single" w:sz="4" w:space="0" w:color="auto"/>
        <w:left w:val="single" w:sz="4" w:space="0" w:color="auto"/>
        <w:bottom w:val="single" w:sz="4" w:space="0" w:color="auto"/>
      </w:pBdr>
      <w:spacing w:before="100" w:beforeAutospacing="1" w:after="100" w:afterAutospacing="1"/>
      <w:jc w:val="left"/>
    </w:pPr>
    <w:rPr>
      <w:rFonts w:cs="Times New Roman"/>
      <w:kern w:val="0"/>
      <w:sz w:val="20"/>
      <w:szCs w:val="20"/>
    </w:rPr>
  </w:style>
  <w:style w:type="paragraph" w:customStyle="1" w:styleId="33H3h33rdlevel4Arial0">
    <w:name w:val="样式 标题 3小标题小节标题标题3H3h33rd level第二层条标题4 + Arial 两端对齐"/>
    <w:basedOn w:val="31"/>
    <w:qFormat/>
    <w:pPr>
      <w:widowControl/>
      <w:tabs>
        <w:tab w:val="left" w:pos="1050"/>
        <w:tab w:val="left" w:pos="1111"/>
      </w:tabs>
      <w:adjustRightInd w:val="0"/>
      <w:spacing w:before="120" w:after="120" w:line="360" w:lineRule="auto"/>
      <w:ind w:left="851" w:hanging="851"/>
      <w:jc w:val="left"/>
      <w:textAlignment w:val="baseline"/>
    </w:pPr>
    <w:rPr>
      <w:rFonts w:ascii="Courier New" w:hAnsi="Courier New" w:cs="Verdana"/>
      <w:color w:val="000000"/>
      <w:kern w:val="0"/>
      <w:sz w:val="30"/>
      <w:szCs w:val="30"/>
    </w:rPr>
  </w:style>
  <w:style w:type="character" w:customStyle="1" w:styleId="322">
    <w:name w:val="正文文本 3 字符2"/>
    <w:basedOn w:val="af3"/>
    <w:uiPriority w:val="99"/>
    <w:semiHidden/>
    <w:qFormat/>
    <w:rPr>
      <w:rFonts w:ascii="Calibri" w:eastAsia="宋体" w:hAnsi="Calibri" w:cs="Times New Roman"/>
      <w:sz w:val="16"/>
      <w:szCs w:val="16"/>
      <w:lang w:val="en-US" w:eastAsia="zh-CN" w:bidi="ar-SA"/>
    </w:rPr>
  </w:style>
  <w:style w:type="paragraph" w:customStyle="1" w:styleId="xl49">
    <w:name w:val="xl49"/>
    <w:basedOn w:val="af1"/>
    <w:qFormat/>
    <w:pPr>
      <w:widowControl/>
      <w:pBdr>
        <w:bottom w:val="single" w:sz="4" w:space="0" w:color="auto"/>
      </w:pBdr>
      <w:spacing w:before="100" w:beforeAutospacing="1" w:after="100" w:afterAutospacing="1"/>
      <w:jc w:val="center"/>
    </w:pPr>
    <w:rPr>
      <w:rFonts w:ascii="新宋体" w:eastAsia="新宋体" w:hAnsi="新宋体" w:cs="Arial Unicode MS" w:hint="eastAsia"/>
      <w:kern w:val="0"/>
      <w:sz w:val="15"/>
      <w:szCs w:val="15"/>
    </w:rPr>
  </w:style>
  <w:style w:type="paragraph" w:customStyle="1" w:styleId="afffffffffffffffffa">
    <w:name w:val="流程图"/>
    <w:basedOn w:val="af1"/>
    <w:qFormat/>
    <w:pPr>
      <w:widowControl/>
      <w:tabs>
        <w:tab w:val="left" w:pos="0"/>
      </w:tabs>
      <w:autoSpaceDE w:val="0"/>
      <w:autoSpaceDN w:val="0"/>
      <w:adjustRightInd w:val="0"/>
      <w:spacing w:line="240" w:lineRule="atLeast"/>
      <w:jc w:val="center"/>
      <w:textAlignment w:val="bottom"/>
    </w:pPr>
    <w:rPr>
      <w:rFonts w:ascii="宋体" w:hAnsi="Calibri" w:cs="Times New Roman"/>
      <w:szCs w:val="20"/>
    </w:rPr>
  </w:style>
  <w:style w:type="paragraph" w:customStyle="1" w:styleId="TimesNewRoman0505">
    <w:name w:val="样式 表名 + Times New Roman 段前: 0.5 行 段后: 0.5 行"/>
    <w:basedOn w:val="afffffffffffe"/>
    <w:qFormat/>
    <w:pPr>
      <w:topLinePunct/>
      <w:autoSpaceDE/>
      <w:autoSpaceDN/>
      <w:adjustRightInd/>
      <w:spacing w:beforeLines="50" w:before="0" w:line="440" w:lineRule="exact"/>
      <w:textAlignment w:val="auto"/>
      <w:outlineLvl w:val="4"/>
    </w:pPr>
    <w:rPr>
      <w:rFonts w:eastAsia="宋体" w:hAnsi="华文楷体" w:cs="宋体"/>
      <w:b/>
      <w:bCs/>
      <w:spacing w:val="0"/>
      <w:sz w:val="24"/>
      <w:szCs w:val="21"/>
    </w:rPr>
  </w:style>
  <w:style w:type="paragraph" w:customStyle="1" w:styleId="CharChar1a">
    <w:name w:val="正文文字 Char Char1"/>
    <w:basedOn w:val="af1"/>
    <w:qFormat/>
    <w:pPr>
      <w:spacing w:line="300" w:lineRule="auto"/>
      <w:ind w:firstLineChars="200" w:firstLine="200"/>
    </w:pPr>
    <w:rPr>
      <w:rFonts w:ascii="Calibri" w:hAnsi="Calibri" w:cs="Times New Roman"/>
      <w:sz w:val="24"/>
      <w:szCs w:val="20"/>
    </w:rPr>
  </w:style>
  <w:style w:type="paragraph" w:customStyle="1" w:styleId="-d">
    <w:name w:val="验收报告-项"/>
    <w:next w:val="af1"/>
    <w:qFormat/>
    <w:pPr>
      <w:keepNext/>
      <w:widowControl w:val="0"/>
      <w:tabs>
        <w:tab w:val="left" w:pos="840"/>
      </w:tabs>
      <w:adjustRightInd w:val="0"/>
      <w:snapToGrid w:val="0"/>
      <w:spacing w:beforeLines="200" w:before="624" w:afterLines="100" w:after="312"/>
      <w:ind w:left="840" w:hanging="420"/>
      <w:outlineLvl w:val="1"/>
    </w:pPr>
    <w:rPr>
      <w:rFonts w:ascii="宋体" w:eastAsia="宋体" w:hAnsi="宋体" w:cs="Times New Roman"/>
      <w:b/>
      <w:sz w:val="28"/>
    </w:rPr>
  </w:style>
  <w:style w:type="paragraph" w:customStyle="1" w:styleId="CharCharCharCharCharChar1CharCharChar11">
    <w:name w:val="Char Char Char Char Char Char1 Char Char Char11"/>
    <w:basedOn w:val="af1"/>
    <w:qFormat/>
    <w:pPr>
      <w:spacing w:line="360" w:lineRule="auto"/>
      <w:ind w:firstLineChars="200" w:firstLine="200"/>
    </w:pPr>
    <w:rPr>
      <w:rFonts w:ascii="宋体" w:hAnsi="宋体" w:cs="Times New Roman" w:hint="eastAsia"/>
      <w:sz w:val="24"/>
      <w:szCs w:val="20"/>
    </w:rPr>
  </w:style>
  <w:style w:type="paragraph" w:customStyle="1" w:styleId="defaultparagraphfontChar">
    <w:name w:val="default paragraph font Char"/>
    <w:basedOn w:val="af1"/>
    <w:qFormat/>
    <w:pPr>
      <w:spacing w:line="240" w:lineRule="atLeast"/>
      <w:ind w:left="420" w:firstLine="420"/>
    </w:pPr>
    <w:rPr>
      <w:rFonts w:ascii="Calibri" w:hAnsi="Calibri" w:cs="Times New Roman"/>
      <w:szCs w:val="20"/>
    </w:rPr>
  </w:style>
  <w:style w:type="paragraph" w:customStyle="1" w:styleId="10505">
    <w:name w:val="样式 硕士论文标题1 + 段前: 0.5 行 段后: 0.5 行"/>
    <w:basedOn w:val="af1"/>
    <w:qFormat/>
    <w:pPr>
      <w:tabs>
        <w:tab w:val="left" w:pos="425"/>
      </w:tabs>
      <w:adjustRightInd w:val="0"/>
      <w:spacing w:beforeLines="50" w:line="480" w:lineRule="auto"/>
      <w:ind w:left="425" w:hanging="425"/>
      <w:jc w:val="center"/>
    </w:pPr>
    <w:rPr>
      <w:rFonts w:ascii="Calibri" w:eastAsia="黑体" w:hAnsi="Calibri" w:cs="宋体"/>
      <w:sz w:val="32"/>
      <w:szCs w:val="32"/>
    </w:rPr>
  </w:style>
  <w:style w:type="paragraph" w:customStyle="1" w:styleId="afffffffffffffffffb">
    <w:name w:val="表中"/>
    <w:qFormat/>
    <w:pPr>
      <w:spacing w:line="240" w:lineRule="atLeast"/>
      <w:jc w:val="center"/>
    </w:pPr>
    <w:rPr>
      <w:rFonts w:ascii="Calibri" w:eastAsia="宋体" w:hAnsi="Calibri" w:cs="Times New Roman"/>
      <w:sz w:val="24"/>
    </w:rPr>
  </w:style>
  <w:style w:type="character" w:customStyle="1" w:styleId="1ffff2">
    <w:name w:val="信息标题 字符1"/>
    <w:basedOn w:val="af3"/>
    <w:uiPriority w:val="99"/>
    <w:semiHidden/>
    <w:qFormat/>
    <w:rPr>
      <w:rFonts w:asciiTheme="majorHAnsi" w:eastAsiaTheme="majorEastAsia" w:hAnsiTheme="majorHAnsi" w:cstheme="majorBidi"/>
      <w:sz w:val="24"/>
      <w:szCs w:val="24"/>
      <w:shd w:val="pct20" w:color="auto" w:fill="auto"/>
      <w:lang w:val="en-US" w:eastAsia="zh-CN" w:bidi="ar-SA"/>
    </w:rPr>
  </w:style>
  <w:style w:type="paragraph" w:customStyle="1" w:styleId="2053">
    <w:name w:val="样式 标题 2 + 段前: 0.5 行3"/>
    <w:basedOn w:val="22"/>
    <w:qFormat/>
    <w:pPr>
      <w:keepNext w:val="0"/>
      <w:keepLines w:val="0"/>
      <w:widowControl/>
      <w:snapToGrid w:val="0"/>
      <w:spacing w:beforeLines="50" w:after="0" w:line="240" w:lineRule="auto"/>
      <w:ind w:left="567" w:hanging="540"/>
    </w:pPr>
    <w:rPr>
      <w:rFonts w:ascii="仿宋_GB2312" w:eastAsia="楷体" w:hAnsi="仿宋_GB2312" w:cs="Verdana"/>
      <w:b w:val="0"/>
      <w:bCs w:val="0"/>
      <w:color w:val="0000FF"/>
      <w:sz w:val="24"/>
      <w:szCs w:val="20"/>
    </w:rPr>
  </w:style>
  <w:style w:type="paragraph" w:customStyle="1" w:styleId="OIC1CompanyName">
    <w:name w:val="OIC1 Company Name"/>
    <w:basedOn w:val="af1"/>
    <w:qFormat/>
    <w:pPr>
      <w:widowControl/>
      <w:jc w:val="center"/>
    </w:pPr>
    <w:rPr>
      <w:rFonts w:ascii="?????" w:hAnsi="?????" w:cs="仿宋_GB2312"/>
      <w:color w:val="000080"/>
      <w:spacing w:val="40"/>
      <w:kern w:val="0"/>
      <w:sz w:val="28"/>
      <w:szCs w:val="20"/>
    </w:rPr>
  </w:style>
  <w:style w:type="paragraph" w:customStyle="1" w:styleId="305">
    <w:name w:val="305"/>
    <w:basedOn w:val="af1"/>
    <w:qFormat/>
    <w:pPr>
      <w:widowControl/>
      <w:spacing w:before="100" w:beforeAutospacing="1" w:after="100" w:afterAutospacing="1" w:line="360" w:lineRule="auto"/>
      <w:jc w:val="left"/>
    </w:pPr>
    <w:rPr>
      <w:rFonts w:ascii="宋体" w:hAnsi="宋体" w:cs="Times New Roman"/>
      <w:sz w:val="24"/>
      <w:szCs w:val="20"/>
    </w:rPr>
  </w:style>
  <w:style w:type="paragraph" w:customStyle="1" w:styleId="afffffffffffffffffc">
    <w:name w:val="正文（西藏格式）"/>
    <w:basedOn w:val="af1"/>
    <w:qFormat/>
    <w:pPr>
      <w:adjustRightInd w:val="0"/>
      <w:snapToGrid w:val="0"/>
    </w:pPr>
    <w:rPr>
      <w:rFonts w:ascii="Calibri" w:hAnsi="Calibri" w:cs="Times New Roman"/>
      <w:snapToGrid w:val="0"/>
      <w:sz w:val="24"/>
      <w:szCs w:val="21"/>
    </w:rPr>
  </w:style>
  <w:style w:type="paragraph" w:customStyle="1" w:styleId="Normal1">
    <w:name w:val="Normal1"/>
    <w:qFormat/>
    <w:pPr>
      <w:widowControl w:val="0"/>
      <w:adjustRightInd w:val="0"/>
      <w:spacing w:line="360" w:lineRule="atLeast"/>
      <w:textAlignment w:val="baseline"/>
    </w:pPr>
    <w:rPr>
      <w:rFonts w:ascii="Verdana" w:eastAsia="宋体" w:hAnsi="仿宋_GB2312" w:cs="仿宋_GB2312"/>
      <w:sz w:val="34"/>
    </w:rPr>
  </w:style>
  <w:style w:type="paragraph" w:customStyle="1" w:styleId="xl56">
    <w:name w:val="xl56"/>
    <w:basedOn w:val="af1"/>
    <w:qFormat/>
    <w:pPr>
      <w:widowControl/>
      <w:pBdr>
        <w:top w:val="single" w:sz="8"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kern w:val="0"/>
      <w:sz w:val="18"/>
      <w:szCs w:val="18"/>
    </w:rPr>
  </w:style>
  <w:style w:type="paragraph" w:customStyle="1" w:styleId="afffffffffffffffffd">
    <w:name w:val="表前文字"/>
    <w:basedOn w:val="af1"/>
    <w:qFormat/>
    <w:pPr>
      <w:widowControl/>
      <w:jc w:val="center"/>
    </w:pPr>
    <w:rPr>
      <w:rFonts w:ascii="仿宋_GB2312" w:hAnsi="仿宋_GB2312" w:cs="仿宋_GB2312"/>
      <w:sz w:val="24"/>
      <w:szCs w:val="24"/>
    </w:rPr>
  </w:style>
  <w:style w:type="paragraph" w:customStyle="1" w:styleId="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w:basedOn w:val="af1"/>
    <w:qFormat/>
    <w:pPr>
      <w:widowControl/>
      <w:spacing w:after="160" w:line="240" w:lineRule="exact"/>
      <w:jc w:val="left"/>
    </w:pPr>
    <w:rPr>
      <w:rFonts w:ascii="Calibri" w:hAnsi="Calibri" w:cs="Times New Roman"/>
      <w:sz w:val="32"/>
      <w:szCs w:val="20"/>
    </w:rPr>
  </w:style>
  <w:style w:type="paragraph" w:customStyle="1" w:styleId="421">
    <w:name w:val="样式 样式4 + 首行缩进:  2 字符"/>
    <w:basedOn w:val="af1"/>
    <w:qFormat/>
    <w:pPr>
      <w:spacing w:line="440" w:lineRule="exact"/>
      <w:ind w:firstLine="480"/>
    </w:pPr>
    <w:rPr>
      <w:rFonts w:ascii="Calibri" w:hAnsi="Calibri" w:cs="宋体"/>
      <w:szCs w:val="20"/>
    </w:rPr>
  </w:style>
  <w:style w:type="paragraph" w:customStyle="1" w:styleId="CharChar1b">
    <w:name w:val="Char Char1"/>
    <w:basedOn w:val="af1"/>
    <w:qFormat/>
    <w:pPr>
      <w:widowControl/>
      <w:tabs>
        <w:tab w:val="left" w:pos="630"/>
      </w:tabs>
      <w:spacing w:before="100" w:beforeAutospacing="1" w:after="100" w:afterAutospacing="1"/>
      <w:ind w:firstLineChars="200" w:firstLine="200"/>
      <w:jc w:val="left"/>
    </w:pPr>
    <w:rPr>
      <w:rFonts w:ascii="Calibri" w:hAnsi="Calibri" w:cs="Times New Roman"/>
      <w:szCs w:val="20"/>
    </w:rPr>
  </w:style>
  <w:style w:type="paragraph" w:customStyle="1" w:styleId="Char1CharCharCharCharCharChar2">
    <w:name w:val="Char1 Char Char Char Char Char Char2"/>
    <w:basedOn w:val="af1"/>
    <w:qFormat/>
    <w:pPr>
      <w:spacing w:line="360" w:lineRule="auto"/>
      <w:ind w:firstLineChars="200" w:firstLine="200"/>
    </w:pPr>
    <w:rPr>
      <w:rFonts w:ascii="宋体" w:hAnsi="宋体" w:cs="Times New Roman" w:hint="eastAsia"/>
      <w:sz w:val="24"/>
      <w:szCs w:val="20"/>
    </w:rPr>
  </w:style>
  <w:style w:type="paragraph" w:customStyle="1" w:styleId="1ffff3">
    <w:name w:val="报告1"/>
    <w:basedOn w:val="afffffffff8"/>
    <w:qFormat/>
    <w:pPr>
      <w:widowControl/>
      <w:textAlignment w:val="baseline"/>
    </w:pPr>
    <w:rPr>
      <w:rFonts w:ascii="仿宋_GB2312" w:hAnsi="仿宋_GB2312" w:cs="仿宋_GB2312"/>
      <w:kern w:val="24"/>
      <w:szCs w:val="21"/>
    </w:rPr>
  </w:style>
  <w:style w:type="paragraph" w:customStyle="1" w:styleId="xl102">
    <w:name w:val="xl102"/>
    <w:basedOn w:val="af1"/>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Times New Roman"/>
      <w:b/>
      <w:sz w:val="20"/>
      <w:szCs w:val="20"/>
    </w:rPr>
  </w:style>
  <w:style w:type="paragraph" w:customStyle="1" w:styleId="3220">
    <w:name w:val="样式 表格 32 + 首行缩进:  2 字符"/>
    <w:basedOn w:val="af1"/>
    <w:qFormat/>
    <w:pPr>
      <w:autoSpaceDE w:val="0"/>
      <w:autoSpaceDN w:val="0"/>
      <w:adjustRightInd w:val="0"/>
      <w:spacing w:line="0" w:lineRule="atLeast"/>
      <w:jc w:val="center"/>
      <w:textAlignment w:val="baseline"/>
    </w:pPr>
    <w:rPr>
      <w:rFonts w:ascii="Calibri" w:hAnsi="Calibri" w:cs="Times New Roman"/>
      <w:kern w:val="0"/>
      <w:szCs w:val="21"/>
    </w:rPr>
  </w:style>
  <w:style w:type="paragraph" w:customStyle="1" w:styleId="2211H2h241lxb2Char">
    <w:name w:val="样式 标题 2节标题标题21.1H2h2第一层条4.1二级标题标题 lxb2二级标题 Char表标题单位..."/>
    <w:basedOn w:val="af1"/>
    <w:qFormat/>
    <w:pPr>
      <w:widowControl/>
      <w:tabs>
        <w:tab w:val="left" w:pos="567"/>
      </w:tabs>
      <w:ind w:left="567" w:hanging="567"/>
      <w:jc w:val="left"/>
    </w:pPr>
    <w:rPr>
      <w:rFonts w:ascii="仿宋_GB2312" w:hAnsi="仿宋_GB2312" w:cs="仿宋_GB2312"/>
      <w:szCs w:val="24"/>
    </w:rPr>
  </w:style>
  <w:style w:type="paragraph" w:customStyle="1" w:styleId="t12">
    <w:name w:val="t12"/>
    <w:basedOn w:val="af1"/>
    <w:qFormat/>
    <w:pPr>
      <w:widowControl/>
      <w:spacing w:before="100" w:beforeAutospacing="1" w:after="100" w:afterAutospacing="1"/>
      <w:jc w:val="left"/>
    </w:pPr>
    <w:rPr>
      <w:rFonts w:ascii="宋体" w:hAnsi="宋体" w:cs="宋体"/>
      <w:kern w:val="0"/>
      <w:sz w:val="24"/>
      <w:szCs w:val="24"/>
    </w:rPr>
  </w:style>
  <w:style w:type="paragraph" w:customStyle="1" w:styleId="201">
    <w:name w:val="样式 正文（首行缩进两字） + 行距: 固定值 20 磅"/>
    <w:basedOn w:val="aff0"/>
    <w:qFormat/>
    <w:pPr>
      <w:adjustRightInd/>
      <w:spacing w:afterLines="20" w:line="400" w:lineRule="exact"/>
      <w:ind w:firstLine="480"/>
      <w:textAlignment w:val="auto"/>
    </w:pPr>
    <w:rPr>
      <w:rFonts w:ascii="Times New Roman"/>
      <w:sz w:val="24"/>
    </w:rPr>
  </w:style>
  <w:style w:type="paragraph" w:customStyle="1" w:styleId="4M">
    <w:name w:val="列表 4M"/>
    <w:basedOn w:val="45"/>
    <w:qFormat/>
    <w:pPr>
      <w:widowControl/>
      <w:tabs>
        <w:tab w:val="left" w:pos="1021"/>
      </w:tabs>
      <w:adjustRightInd/>
      <w:spacing w:afterLines="30" w:line="288" w:lineRule="auto"/>
      <w:ind w:left="1021" w:hanging="454"/>
      <w:jc w:val="left"/>
      <w:textAlignment w:val="auto"/>
    </w:pPr>
    <w:rPr>
      <w:rFonts w:ascii="Courier New" w:hAnsi="Courier New" w:cs="仿宋_GB2312"/>
      <w:color w:val="CCFFFF"/>
      <w:kern w:val="2"/>
    </w:rPr>
  </w:style>
  <w:style w:type="paragraph" w:customStyle="1" w:styleId="59">
    <w:name w:val="目录5（西藏格式）"/>
    <w:basedOn w:val="TOC5"/>
    <w:qFormat/>
    <w:pPr>
      <w:adjustRightInd w:val="0"/>
      <w:snapToGrid w:val="0"/>
      <w:spacing w:line="360" w:lineRule="auto"/>
      <w:ind w:left="482" w:firstLine="482"/>
    </w:pPr>
    <w:rPr>
      <w:rFonts w:cs="Calibri"/>
      <w:snapToGrid w:val="0"/>
      <w:sz w:val="24"/>
    </w:rPr>
  </w:style>
  <w:style w:type="paragraph" w:customStyle="1" w:styleId="CharCharCharCharCharChar3CharCharCharCharCharCharChar">
    <w:name w:val="Char Char Char Char Char Char3 Char Char Char Char Char Char Char"/>
    <w:basedOn w:val="af1"/>
    <w:qFormat/>
    <w:pPr>
      <w:spacing w:line="360" w:lineRule="auto"/>
      <w:ind w:firstLineChars="200" w:firstLine="200"/>
    </w:pPr>
    <w:rPr>
      <w:rFonts w:ascii="宋体" w:hAnsi="宋体" w:cs="Times New Roman"/>
      <w:sz w:val="24"/>
      <w:szCs w:val="20"/>
    </w:rPr>
  </w:style>
  <w:style w:type="paragraph" w:customStyle="1" w:styleId="afffffffffffffffffe">
    <w:name w:val="第三章 图件标题"/>
    <w:basedOn w:val="af1"/>
    <w:next w:val="af1"/>
    <w:qFormat/>
    <w:pPr>
      <w:tabs>
        <w:tab w:val="left" w:pos="851"/>
      </w:tabs>
      <w:adjustRightInd w:val="0"/>
      <w:snapToGrid w:val="0"/>
      <w:spacing w:line="360" w:lineRule="auto"/>
      <w:jc w:val="center"/>
    </w:pPr>
    <w:rPr>
      <w:rFonts w:ascii="Calibri" w:eastAsia="黑体" w:hAnsi="Calibri" w:cs="Times New Roman"/>
      <w:sz w:val="24"/>
      <w:szCs w:val="24"/>
    </w:rPr>
  </w:style>
  <w:style w:type="paragraph" w:customStyle="1" w:styleId="2fff9">
    <w:name w:val="表格2"/>
    <w:basedOn w:val="af1"/>
    <w:qFormat/>
    <w:pPr>
      <w:widowControl/>
      <w:autoSpaceDE w:val="0"/>
      <w:autoSpaceDN w:val="0"/>
      <w:adjustRightInd w:val="0"/>
      <w:snapToGrid w:val="0"/>
      <w:jc w:val="center"/>
    </w:pPr>
    <w:rPr>
      <w:rFonts w:ascii="Verdana" w:hAnsi="Verdana" w:cs="仿宋_GB2312"/>
      <w:spacing w:val="-8"/>
      <w:szCs w:val="24"/>
    </w:rPr>
  </w:style>
  <w:style w:type="paragraph" w:customStyle="1" w:styleId="affffffffffffffffff">
    <w:name w:val="附录一级条标题"/>
    <w:basedOn w:val="affffffffffffffffff0"/>
    <w:next w:val="af1"/>
    <w:qFormat/>
    <w:pPr>
      <w:tabs>
        <w:tab w:val="left" w:pos="828"/>
      </w:tabs>
      <w:autoSpaceDN w:val="0"/>
      <w:ind w:left="828" w:hanging="240"/>
      <w:outlineLvl w:val="2"/>
    </w:pPr>
  </w:style>
  <w:style w:type="paragraph" w:customStyle="1" w:styleId="affffffffffffffffff0">
    <w:name w:val="附录章标题"/>
    <w:next w:val="af1"/>
    <w:qFormat/>
    <w:pPr>
      <w:wordWrap w:val="0"/>
      <w:overflowPunct w:val="0"/>
      <w:autoSpaceDE w:val="0"/>
      <w:spacing w:beforeLines="50" w:afterLines="50"/>
      <w:jc w:val="both"/>
      <w:textAlignment w:val="baseline"/>
      <w:outlineLvl w:val="1"/>
    </w:pPr>
    <w:rPr>
      <w:rFonts w:ascii="黑体" w:eastAsia="黑体" w:hAnsi="Calibri" w:cs="Times New Roman"/>
      <w:kern w:val="21"/>
      <w:sz w:val="21"/>
    </w:rPr>
  </w:style>
  <w:style w:type="paragraph" w:customStyle="1" w:styleId="affffffffffffffffff1">
    <w:name w:val="文"/>
    <w:basedOn w:val="af1"/>
    <w:qFormat/>
    <w:pPr>
      <w:autoSpaceDE w:val="0"/>
      <w:autoSpaceDN w:val="0"/>
      <w:adjustRightInd w:val="0"/>
      <w:snapToGrid w:val="0"/>
      <w:spacing w:line="447" w:lineRule="atLeast"/>
      <w:ind w:firstLineChars="200" w:firstLine="419"/>
    </w:pPr>
    <w:rPr>
      <w:rFonts w:ascii="Calibri" w:hAnsi="Calibri" w:cs="Times New Roman"/>
      <w:snapToGrid w:val="0"/>
      <w:color w:val="000000"/>
      <w:kern w:val="0"/>
      <w:sz w:val="24"/>
      <w:szCs w:val="24"/>
      <w:lang w:val="zh-CN"/>
    </w:rPr>
  </w:style>
  <w:style w:type="paragraph" w:customStyle="1" w:styleId="affffffffffffffffff2">
    <w:name w:val="正文文字标准"/>
    <w:basedOn w:val="affffa"/>
    <w:qFormat/>
    <w:pPr>
      <w:spacing w:after="0" w:line="480" w:lineRule="exact"/>
      <w:ind w:firstLineChars="200" w:firstLine="200"/>
    </w:pPr>
    <w:rPr>
      <w:rFonts w:eastAsia="Times New Roman"/>
      <w:sz w:val="28"/>
      <w:szCs w:val="20"/>
    </w:rPr>
  </w:style>
  <w:style w:type="paragraph" w:customStyle="1" w:styleId="Char4CharCharChar1">
    <w:name w:val="Char4 Char Char Char1"/>
    <w:basedOn w:val="af1"/>
    <w:qFormat/>
    <w:pPr>
      <w:adjustRightInd w:val="0"/>
      <w:snapToGrid w:val="0"/>
      <w:spacing w:line="360" w:lineRule="auto"/>
      <w:ind w:firstLineChars="200" w:firstLine="200"/>
    </w:pPr>
    <w:rPr>
      <w:rFonts w:ascii="宋体" w:hAnsi="宋体" w:cs="宋体"/>
      <w:sz w:val="24"/>
      <w:szCs w:val="26"/>
    </w:rPr>
  </w:style>
  <w:style w:type="paragraph" w:customStyle="1" w:styleId="CharChar3CharChar11">
    <w:name w:val="Char Char3 Char Char11"/>
    <w:basedOn w:val="af1"/>
    <w:qFormat/>
    <w:rPr>
      <w:rFonts w:ascii="Tahoma" w:hAnsi="Tahoma" w:cs="Times New Roman"/>
      <w:sz w:val="24"/>
      <w:szCs w:val="20"/>
    </w:rPr>
  </w:style>
  <w:style w:type="paragraph" w:customStyle="1" w:styleId="CharCharCharCharCharChar1CharCharCharChar">
    <w:name w:val="Char Char Char Char Char Char1 Char Char Char Char"/>
    <w:basedOn w:val="af1"/>
    <w:qFormat/>
    <w:pPr>
      <w:spacing w:line="360" w:lineRule="auto"/>
      <w:ind w:firstLineChars="200" w:firstLine="200"/>
    </w:pPr>
    <w:rPr>
      <w:rFonts w:ascii="宋体" w:hAnsi="宋体" w:cs="Times New Roman"/>
      <w:sz w:val="24"/>
      <w:szCs w:val="20"/>
    </w:rPr>
  </w:style>
  <w:style w:type="paragraph" w:customStyle="1" w:styleId="CharCharCharCharCharChar3CharCharChar">
    <w:name w:val="Char Char Char Char Char Char3 Char Char Char"/>
    <w:basedOn w:val="af1"/>
    <w:qFormat/>
    <w:pPr>
      <w:spacing w:line="360" w:lineRule="auto"/>
      <w:ind w:firstLineChars="200" w:firstLine="200"/>
    </w:pPr>
    <w:rPr>
      <w:rFonts w:ascii="宋体" w:hAnsi="宋体" w:cs="Times New Roman"/>
      <w:sz w:val="24"/>
      <w:szCs w:val="20"/>
    </w:rPr>
  </w:style>
  <w:style w:type="paragraph" w:customStyle="1" w:styleId="4050578781">
    <w:name w:val="样式 样式 标题 4 + 段前: 0.5 行 段后: 0.5 行 + 段前: 7.8 磅 段后: 7.8 磅1"/>
    <w:basedOn w:val="40505"/>
    <w:qFormat/>
    <w:rPr>
      <w:szCs w:val="20"/>
    </w:rPr>
  </w:style>
  <w:style w:type="paragraph" w:customStyle="1" w:styleId="40505">
    <w:name w:val="样式 标题 4 + 段前: 0.5 行 段后: 0.5 行"/>
    <w:basedOn w:val="41"/>
    <w:qFormat/>
    <w:pPr>
      <w:keepLines/>
      <w:widowControl w:val="0"/>
      <w:spacing w:line="440" w:lineRule="exact"/>
      <w:jc w:val="both"/>
    </w:pPr>
    <w:rPr>
      <w:rFonts w:eastAsia="华文中宋" w:cs="宋体"/>
      <w:bCs/>
      <w:kern w:val="2"/>
      <w:sz w:val="24"/>
      <w:szCs w:val="24"/>
    </w:rPr>
  </w:style>
  <w:style w:type="paragraph" w:customStyle="1" w:styleId="4f0">
    <w:name w:val="4"/>
    <w:basedOn w:val="af1"/>
    <w:next w:val="af6"/>
    <w:qFormat/>
    <w:pPr>
      <w:spacing w:line="500" w:lineRule="exact"/>
      <w:ind w:firstLineChars="200" w:firstLine="560"/>
    </w:pPr>
    <w:rPr>
      <w:rFonts w:ascii="仿宋_GB2312" w:eastAsia="仿宋_GB2312" w:hAnsi="Calibri" w:cs="Times New Roman"/>
      <w:sz w:val="28"/>
      <w:szCs w:val="24"/>
    </w:rPr>
  </w:style>
  <w:style w:type="paragraph" w:customStyle="1" w:styleId="TY">
    <w:name w:val="TY"/>
    <w:basedOn w:val="af1"/>
    <w:qFormat/>
    <w:pPr>
      <w:adjustRightInd w:val="0"/>
      <w:snapToGrid w:val="0"/>
      <w:spacing w:before="40" w:after="40" w:line="360" w:lineRule="atLeast"/>
    </w:pPr>
    <w:rPr>
      <w:rFonts w:ascii="Calibri" w:hAnsi="Calibri" w:cs="Times New Roman"/>
      <w:szCs w:val="20"/>
    </w:rPr>
  </w:style>
  <w:style w:type="paragraph" w:customStyle="1" w:styleId="xl39">
    <w:name w:val="xl39"/>
    <w:basedOn w:val="af1"/>
    <w:qFormat/>
    <w:pPr>
      <w:widowControl/>
      <w:pBdr>
        <w:top w:val="single" w:sz="4" w:space="0" w:color="auto"/>
        <w:bottom w:val="single" w:sz="4" w:space="0" w:color="auto"/>
        <w:right w:val="single" w:sz="4" w:space="0" w:color="auto"/>
      </w:pBdr>
      <w:spacing w:before="100" w:beforeAutospacing="1" w:after="100" w:afterAutospacing="1"/>
      <w:jc w:val="center"/>
    </w:pPr>
    <w:rPr>
      <w:rFonts w:ascii="Calibri" w:eastAsia="Arial Unicode MS" w:hAnsi="Calibri" w:cs="Times New Roman"/>
      <w:kern w:val="0"/>
      <w:sz w:val="18"/>
      <w:szCs w:val="18"/>
    </w:rPr>
  </w:style>
  <w:style w:type="paragraph" w:customStyle="1" w:styleId="CharCharCharCharCharChar30">
    <w:name w:val="Char Char Char Char Char Char3"/>
    <w:basedOn w:val="af1"/>
    <w:qFormat/>
    <w:pPr>
      <w:spacing w:line="360" w:lineRule="auto"/>
      <w:ind w:firstLineChars="200" w:firstLine="200"/>
    </w:pPr>
    <w:rPr>
      <w:rFonts w:ascii="宋体" w:hAnsi="宋体" w:cs="Times New Roman"/>
      <w:sz w:val="24"/>
      <w:szCs w:val="20"/>
    </w:rPr>
  </w:style>
  <w:style w:type="paragraph" w:customStyle="1" w:styleId="Style140">
    <w:name w:val="_Style 14"/>
    <w:basedOn w:val="af1"/>
    <w:uiPriority w:val="99"/>
    <w:qFormat/>
    <w:rPr>
      <w:rFonts w:ascii="Calibri" w:hAnsi="Calibri" w:cs="Times New Roman"/>
      <w:kern w:val="0"/>
      <w:szCs w:val="20"/>
    </w:rPr>
  </w:style>
  <w:style w:type="paragraph" w:customStyle="1" w:styleId="821">
    <w:name w:val="样式 正文(首行缩进) + 8 磅 加粗 首行缩进:  2 字符"/>
    <w:basedOn w:val="af1"/>
    <w:qFormat/>
    <w:pPr>
      <w:widowControl/>
      <w:adjustRightInd w:val="0"/>
      <w:snapToGrid w:val="0"/>
      <w:ind w:firstLineChars="200" w:firstLine="200"/>
      <w:jc w:val="left"/>
    </w:pPr>
    <w:rPr>
      <w:rFonts w:ascii="仿宋_GB2312" w:hAnsi="仿宋_GB2312" w:cs="Verdana"/>
      <w:b/>
      <w:bCs/>
      <w:kern w:val="0"/>
      <w:sz w:val="16"/>
      <w:szCs w:val="20"/>
    </w:rPr>
  </w:style>
  <w:style w:type="paragraph" w:customStyle="1" w:styleId="5S">
    <w:name w:val="列表 5S"/>
    <w:basedOn w:val="55"/>
    <w:qFormat/>
    <w:pPr>
      <w:tabs>
        <w:tab w:val="left" w:pos="1134"/>
      </w:tabs>
      <w:adjustRightInd/>
      <w:spacing w:beforeLines="0" w:line="240" w:lineRule="auto"/>
      <w:ind w:left="1134" w:hanging="425"/>
      <w:jc w:val="left"/>
      <w:textAlignment w:val="auto"/>
    </w:pPr>
    <w:rPr>
      <w:rFonts w:ascii="Courier New" w:hAnsi="Courier New" w:cs="仿宋_GB2312"/>
      <w:color w:val="99CCFF"/>
      <w:kern w:val="2"/>
    </w:rPr>
  </w:style>
  <w:style w:type="paragraph" w:customStyle="1" w:styleId="-1-">
    <w:name w:val="样式-1-"/>
    <w:basedOn w:val="afff6"/>
    <w:qFormat/>
    <w:rPr>
      <w:rFonts w:ascii="仿宋_GB2312" w:hAnsi="Courier New"/>
      <w:sz w:val="24"/>
      <w:szCs w:val="20"/>
    </w:rPr>
  </w:style>
  <w:style w:type="paragraph" w:customStyle="1" w:styleId="affffffffffffffffff3">
    <w:name w:val="表芯"/>
    <w:basedOn w:val="af1"/>
    <w:next w:val="af1"/>
    <w:qFormat/>
    <w:pPr>
      <w:keepNext/>
      <w:adjustRightInd w:val="0"/>
      <w:spacing w:before="20" w:line="0" w:lineRule="atLeast"/>
      <w:jc w:val="center"/>
      <w:textAlignment w:val="baseline"/>
    </w:pPr>
    <w:rPr>
      <w:rFonts w:ascii="Calibri" w:hAnsi="Calibri" w:cs="Times New Roman"/>
      <w:kern w:val="21"/>
      <w:szCs w:val="20"/>
    </w:rPr>
  </w:style>
  <w:style w:type="paragraph" w:customStyle="1" w:styleId="4f1">
    <w:name w:val="样式 标题 4 + 小四"/>
    <w:basedOn w:val="41"/>
    <w:qFormat/>
    <w:pPr>
      <w:keepLines/>
      <w:widowControl w:val="0"/>
      <w:spacing w:line="500" w:lineRule="exact"/>
      <w:ind w:firstLineChars="200" w:firstLine="562"/>
      <w:jc w:val="both"/>
    </w:pPr>
    <w:rPr>
      <w:rFonts w:ascii="Arial" w:eastAsia="仿宋_GB2312" w:hAnsi="Arial"/>
      <w:bCs/>
      <w:kern w:val="2"/>
      <w:sz w:val="24"/>
      <w:szCs w:val="28"/>
    </w:rPr>
  </w:style>
  <w:style w:type="paragraph" w:customStyle="1" w:styleId="Subhead">
    <w:name w:val="Subhead"/>
    <w:qFormat/>
    <w:pPr>
      <w:widowControl w:val="0"/>
      <w:autoSpaceDE w:val="0"/>
      <w:autoSpaceDN w:val="0"/>
      <w:adjustRightInd w:val="0"/>
      <w:spacing w:before="72" w:after="72"/>
      <w:textAlignment w:val="baseline"/>
    </w:pPr>
    <w:rPr>
      <w:rFonts w:ascii="宋体" w:eastAsia="宋体" w:hAnsi="Times New Roman" w:cs="Times New Roman"/>
      <w:b/>
      <w:i/>
      <w:color w:val="000000"/>
      <w:sz w:val="24"/>
    </w:rPr>
  </w:style>
  <w:style w:type="paragraph" w:customStyle="1" w:styleId="xl40">
    <w:name w:val="xl40"/>
    <w:basedOn w:val="af1"/>
    <w:qFormat/>
    <w:pPr>
      <w:widowControl/>
      <w:pBdr>
        <w:bottom w:val="single" w:sz="4" w:space="0" w:color="auto"/>
        <w:right w:val="single" w:sz="4" w:space="0" w:color="auto"/>
      </w:pBdr>
      <w:spacing w:before="100" w:beforeAutospacing="1" w:after="100" w:afterAutospacing="1"/>
      <w:jc w:val="center"/>
    </w:pPr>
    <w:rPr>
      <w:rFonts w:ascii="Calibri" w:eastAsia="Arial Unicode MS" w:hAnsi="Calibri" w:cs="Times New Roman"/>
      <w:kern w:val="0"/>
      <w:sz w:val="18"/>
      <w:szCs w:val="18"/>
    </w:rPr>
  </w:style>
  <w:style w:type="paragraph" w:customStyle="1" w:styleId="XCHG">
    <w:name w:val="XCHG论文节"/>
    <w:basedOn w:val="af1"/>
    <w:qFormat/>
    <w:pPr>
      <w:tabs>
        <w:tab w:val="left" w:pos="750"/>
      </w:tabs>
      <w:spacing w:beforeLines="100" w:afterLines="100"/>
    </w:pPr>
    <w:rPr>
      <w:rFonts w:ascii="方正姚体" w:eastAsia="方正姚体" w:hAnsi="Calibri" w:cs="Times New Roman"/>
      <w:b/>
      <w:sz w:val="36"/>
      <w:szCs w:val="20"/>
    </w:rPr>
  </w:style>
  <w:style w:type="paragraph" w:customStyle="1" w:styleId="CharCharCharCharCharChar1CharCharChar1CharCharChar1">
    <w:name w:val="Char Char Char Char Char Char1 Char Char Char1 Char Char Char1"/>
    <w:basedOn w:val="af1"/>
    <w:qFormat/>
    <w:pPr>
      <w:spacing w:line="360" w:lineRule="auto"/>
      <w:ind w:firstLineChars="200" w:firstLine="200"/>
    </w:pPr>
    <w:rPr>
      <w:rFonts w:ascii="宋体" w:hAnsi="宋体" w:cs="Times New Roman" w:hint="eastAsia"/>
      <w:sz w:val="24"/>
      <w:szCs w:val="20"/>
    </w:rPr>
  </w:style>
  <w:style w:type="character" w:customStyle="1" w:styleId="1ffff4">
    <w:name w:val="宏文本 字符1"/>
    <w:basedOn w:val="af3"/>
    <w:uiPriority w:val="99"/>
    <w:semiHidden/>
    <w:qFormat/>
    <w:rPr>
      <w:rFonts w:ascii="Courier New" w:eastAsia="宋体" w:hAnsi="Courier New" w:cs="Courier New"/>
      <w:sz w:val="24"/>
      <w:szCs w:val="24"/>
      <w:lang w:val="en-US" w:eastAsia="zh-CN" w:bidi="ar-SA"/>
    </w:rPr>
  </w:style>
  <w:style w:type="paragraph" w:customStyle="1" w:styleId="3f8">
    <w:name w:val="标题3"/>
    <w:next w:val="af1"/>
    <w:qFormat/>
    <w:pPr>
      <w:spacing w:line="360" w:lineRule="auto"/>
      <w:ind w:firstLineChars="200" w:firstLine="480"/>
      <w:outlineLvl w:val="2"/>
    </w:pPr>
    <w:rPr>
      <w:rFonts w:ascii="Calibri" w:eastAsia="宋体" w:hAnsi="Calibri" w:cs="Times New Roman"/>
      <w:color w:val="0070C0"/>
      <w:kern w:val="2"/>
      <w:sz w:val="24"/>
      <w:szCs w:val="24"/>
    </w:rPr>
  </w:style>
  <w:style w:type="paragraph" w:customStyle="1" w:styleId="1ffff5">
    <w:name w:val="图表目录1"/>
    <w:basedOn w:val="af1"/>
    <w:next w:val="af1"/>
    <w:qFormat/>
    <w:pPr>
      <w:widowControl/>
      <w:tabs>
        <w:tab w:val="right" w:leader="dot" w:pos="8051"/>
      </w:tabs>
      <w:adjustRightInd w:val="0"/>
      <w:spacing w:line="360" w:lineRule="atLeast"/>
      <w:ind w:left="840" w:hanging="840"/>
      <w:jc w:val="left"/>
      <w:textAlignment w:val="baseline"/>
    </w:pPr>
    <w:rPr>
      <w:rFonts w:ascii="Verdana" w:hAnsi="仿宋_GB2312" w:cs="仿宋_GB2312"/>
      <w:kern w:val="0"/>
      <w:sz w:val="24"/>
      <w:szCs w:val="20"/>
    </w:rPr>
  </w:style>
  <w:style w:type="paragraph" w:customStyle="1" w:styleId="123">
    <w:name w:val="12"/>
    <w:basedOn w:val="af1"/>
    <w:next w:val="afff1"/>
    <w:qFormat/>
    <w:rPr>
      <w:rFonts w:ascii="宋体" w:hAnsi="Courier New" w:cs="Times New Roman"/>
      <w:szCs w:val="20"/>
    </w:rPr>
  </w:style>
  <w:style w:type="paragraph" w:customStyle="1" w:styleId="Char121">
    <w:name w:val="Char12"/>
    <w:basedOn w:val="af1"/>
    <w:qFormat/>
    <w:pPr>
      <w:spacing w:line="360" w:lineRule="auto"/>
      <w:ind w:firstLineChars="200" w:firstLine="200"/>
    </w:pPr>
    <w:rPr>
      <w:rFonts w:ascii="宋体" w:hAnsi="宋体" w:cs="宋体"/>
      <w:sz w:val="24"/>
      <w:szCs w:val="24"/>
    </w:rPr>
  </w:style>
  <w:style w:type="paragraph" w:customStyle="1" w:styleId="affffffffffffffffff4">
    <w:name w:val="正文仿宋小四"/>
    <w:basedOn w:val="af1"/>
    <w:qFormat/>
    <w:pPr>
      <w:widowControl/>
      <w:adjustRightInd w:val="0"/>
      <w:snapToGrid w:val="0"/>
      <w:spacing w:line="360" w:lineRule="auto"/>
      <w:ind w:firstLineChars="200" w:firstLine="480"/>
      <w:jc w:val="left"/>
    </w:pPr>
    <w:rPr>
      <w:rFonts w:ascii="仿宋_GB2312" w:eastAsia="Times New Roman" w:hAnsi="仿宋_GB2312" w:cs="仿宋_GB2312"/>
      <w:sz w:val="24"/>
      <w:szCs w:val="24"/>
    </w:rPr>
  </w:style>
  <w:style w:type="paragraph" w:customStyle="1" w:styleId="2fffa">
    <w:name w:val="缩进2字符文字"/>
    <w:basedOn w:val="af1"/>
    <w:qFormat/>
    <w:pPr>
      <w:spacing w:line="300" w:lineRule="auto"/>
      <w:ind w:firstLineChars="200" w:firstLine="420"/>
    </w:pPr>
    <w:rPr>
      <w:rFonts w:ascii="Calibri" w:hAnsi="Calibri" w:cs="Times New Roman"/>
      <w:szCs w:val="24"/>
    </w:rPr>
  </w:style>
  <w:style w:type="paragraph" w:customStyle="1" w:styleId="4B0">
    <w:name w:val="列表 4B"/>
    <w:basedOn w:val="45"/>
    <w:qFormat/>
    <w:pPr>
      <w:widowControl/>
      <w:tabs>
        <w:tab w:val="left" w:pos="360"/>
      </w:tabs>
      <w:adjustRightInd/>
      <w:spacing w:afterLines="30" w:line="288" w:lineRule="auto"/>
      <w:ind w:left="360" w:hanging="360"/>
      <w:jc w:val="left"/>
      <w:textAlignment w:val="auto"/>
    </w:pPr>
    <w:rPr>
      <w:rFonts w:ascii="Courier New" w:hAnsi="Courier New" w:cs="仿宋_GB2312"/>
      <w:color w:val="CCFFFF"/>
      <w:kern w:val="2"/>
    </w:rPr>
  </w:style>
  <w:style w:type="paragraph" w:customStyle="1" w:styleId="affffffffffffffffff5">
    <w:name w:val="小Ꮄ"/>
    <w:basedOn w:val="af1"/>
    <w:qFormat/>
    <w:pPr>
      <w:spacing w:before="60" w:after="60" w:line="360" w:lineRule="auto"/>
    </w:pPr>
    <w:rPr>
      <w:rFonts w:cs="Times New Roman"/>
      <w:szCs w:val="21"/>
    </w:rPr>
  </w:style>
  <w:style w:type="paragraph" w:customStyle="1" w:styleId="111H1h11headingHeader1stPageh1chapte">
    <w:name w:val="样式 标题 1标题 1宋旭峰标题1章节H1h11headingHeader 1st Pageh1 chapte..."/>
    <w:basedOn w:val="1"/>
    <w:qFormat/>
    <w:pPr>
      <w:widowControl/>
      <w:adjustRightInd w:val="0"/>
      <w:snapToGrid w:val="0"/>
      <w:spacing w:after="156"/>
      <w:jc w:val="left"/>
    </w:pPr>
    <w:rPr>
      <w:rFonts w:ascii="仿宋_GB2312" w:eastAsia="楷体" w:hAnsi="仿宋_GB2312" w:cs="仿宋_GB2312"/>
      <w:kern w:val="2"/>
      <w:sz w:val="24"/>
      <w:szCs w:val="30"/>
    </w:rPr>
  </w:style>
  <w:style w:type="paragraph" w:customStyle="1" w:styleId="affffffffffffffffff6">
    <w:name w:val="正文文字(西藏样式)"/>
    <w:basedOn w:val="af1"/>
    <w:qFormat/>
    <w:pPr>
      <w:adjustRightInd w:val="0"/>
      <w:snapToGrid w:val="0"/>
      <w:ind w:left="-57" w:right="-57"/>
      <w:jc w:val="center"/>
    </w:pPr>
    <w:rPr>
      <w:rFonts w:ascii="宋体" w:hAnsi="Calibri" w:cs="Times New Roman"/>
      <w:snapToGrid w:val="0"/>
      <w:kern w:val="0"/>
      <w:sz w:val="18"/>
      <w:szCs w:val="20"/>
    </w:rPr>
  </w:style>
  <w:style w:type="paragraph" w:customStyle="1" w:styleId="CharCharCharCharCharCharChar10">
    <w:name w:val="Char Char Char Char Char Char Char1"/>
    <w:basedOn w:val="af1"/>
    <w:qFormat/>
    <w:pPr>
      <w:tabs>
        <w:tab w:val="left" w:pos="360"/>
      </w:tabs>
    </w:pPr>
    <w:rPr>
      <w:rFonts w:ascii="Calibri" w:hAnsi="Calibri" w:cs="Times New Roman"/>
      <w:szCs w:val="24"/>
    </w:rPr>
  </w:style>
  <w:style w:type="paragraph" w:customStyle="1" w:styleId="Indent1">
    <w:name w:val="Indent1"/>
    <w:basedOn w:val="af1"/>
    <w:qFormat/>
    <w:pPr>
      <w:widowControl/>
      <w:overflowPunct w:val="0"/>
      <w:autoSpaceDE w:val="0"/>
      <w:autoSpaceDN w:val="0"/>
      <w:adjustRightInd w:val="0"/>
      <w:ind w:left="1440" w:hanging="720"/>
      <w:jc w:val="left"/>
      <w:textAlignment w:val="baseline"/>
    </w:pPr>
    <w:rPr>
      <w:rFonts w:ascii="Courier New" w:hAnsi="Courier New" w:cs="仿宋_GB2312"/>
      <w:kern w:val="0"/>
      <w:sz w:val="22"/>
      <w:szCs w:val="20"/>
    </w:rPr>
  </w:style>
  <w:style w:type="paragraph" w:customStyle="1" w:styleId="2fffb">
    <w:name w:val="表格方案样式2"/>
    <w:basedOn w:val="af1"/>
    <w:qFormat/>
    <w:pPr>
      <w:tabs>
        <w:tab w:val="left" w:pos="567"/>
      </w:tabs>
      <w:adjustRightInd w:val="0"/>
      <w:spacing w:line="360" w:lineRule="atLeast"/>
      <w:jc w:val="center"/>
    </w:pPr>
    <w:rPr>
      <w:rFonts w:ascii="Calibri" w:eastAsia="华文中宋" w:hAnsi="Calibri" w:cs="Times New Roman"/>
      <w:sz w:val="24"/>
    </w:rPr>
  </w:style>
  <w:style w:type="paragraph" w:customStyle="1" w:styleId="hb3">
    <w:name w:val="hb3"/>
    <w:basedOn w:val="31"/>
    <w:qFormat/>
    <w:pPr>
      <w:widowControl/>
      <w:adjustRightInd w:val="0"/>
      <w:spacing w:line="500" w:lineRule="exact"/>
      <w:jc w:val="left"/>
      <w:textAlignment w:val="baseline"/>
    </w:pPr>
    <w:rPr>
      <w:rFonts w:ascii="仿宋_GB2312" w:hAnsi="仿宋_GB2312" w:cs="仿宋_GB2312"/>
      <w:bCs w:val="0"/>
      <w:sz w:val="28"/>
      <w:szCs w:val="28"/>
    </w:rPr>
  </w:style>
  <w:style w:type="paragraph" w:customStyle="1" w:styleId="J">
    <w:name w:val="列表 J"/>
    <w:basedOn w:val="afffe"/>
    <w:qFormat/>
    <w:pPr>
      <w:widowControl/>
      <w:tabs>
        <w:tab w:val="left" w:pos="425"/>
      </w:tabs>
      <w:spacing w:beforeLines="100" w:afterLines="50" w:line="288" w:lineRule="auto"/>
      <w:ind w:left="425" w:hanging="425"/>
      <w:jc w:val="left"/>
    </w:pPr>
    <w:rPr>
      <w:rFonts w:ascii="Courier New" w:eastAsia="宋体" w:hAnsi="Courier New" w:cs="仿宋_GB2312"/>
      <w:b/>
      <w:bCs/>
      <w:color w:val="FF99CC"/>
    </w:rPr>
  </w:style>
  <w:style w:type="paragraph" w:customStyle="1" w:styleId="1120">
    <w:name w:val="列出段落112"/>
    <w:basedOn w:val="af1"/>
    <w:qFormat/>
    <w:pPr>
      <w:jc w:val="left"/>
    </w:pPr>
    <w:rPr>
      <w:rFonts w:ascii="Calibri" w:hAnsi="Calibri" w:cs="Calibri"/>
      <w:kern w:val="0"/>
      <w:sz w:val="22"/>
      <w:szCs w:val="21"/>
      <w:lang w:eastAsia="en-US"/>
    </w:rPr>
  </w:style>
  <w:style w:type="paragraph" w:customStyle="1" w:styleId="4W">
    <w:name w:val="列表 4W"/>
    <w:basedOn w:val="45"/>
    <w:qFormat/>
    <w:pPr>
      <w:widowControl/>
      <w:tabs>
        <w:tab w:val="left" w:pos="1021"/>
      </w:tabs>
      <w:adjustRightInd/>
      <w:spacing w:afterLines="30" w:line="288" w:lineRule="auto"/>
      <w:ind w:left="1021" w:hanging="454"/>
      <w:jc w:val="left"/>
      <w:textAlignment w:val="auto"/>
    </w:pPr>
    <w:rPr>
      <w:rFonts w:ascii="Courier New" w:hAnsi="Courier New" w:cs="仿宋_GB2312"/>
      <w:color w:val="CCFFFF"/>
      <w:kern w:val="2"/>
    </w:rPr>
  </w:style>
  <w:style w:type="paragraph" w:customStyle="1" w:styleId="1ffff6">
    <w:name w:val="列表编号1"/>
    <w:basedOn w:val="af1"/>
    <w:qFormat/>
    <w:pPr>
      <w:adjustRightInd w:val="0"/>
      <w:spacing w:line="360" w:lineRule="auto"/>
      <w:ind w:left="425" w:hanging="425"/>
      <w:jc w:val="left"/>
      <w:textAlignment w:val="baseline"/>
    </w:pPr>
    <w:rPr>
      <w:rFonts w:ascii="宋体" w:cs="Times New Roman"/>
      <w:kern w:val="0"/>
      <w:sz w:val="24"/>
      <w:szCs w:val="20"/>
    </w:rPr>
  </w:style>
  <w:style w:type="paragraph" w:customStyle="1" w:styleId="5B">
    <w:name w:val="列表 5B"/>
    <w:basedOn w:val="55"/>
    <w:qFormat/>
    <w:pPr>
      <w:tabs>
        <w:tab w:val="left" w:pos="1134"/>
      </w:tabs>
      <w:adjustRightInd/>
      <w:spacing w:beforeLines="0" w:line="240" w:lineRule="auto"/>
      <w:ind w:left="1134" w:hanging="425"/>
      <w:jc w:val="left"/>
      <w:textAlignment w:val="auto"/>
    </w:pPr>
    <w:rPr>
      <w:rFonts w:ascii="Courier New" w:hAnsi="Courier New" w:cs="仿宋_GB2312"/>
      <w:color w:val="99CCFF"/>
      <w:kern w:val="2"/>
    </w:rPr>
  </w:style>
  <w:style w:type="paragraph" w:customStyle="1" w:styleId="affffffffffffffffff7">
    <w:name w:val="正文=黑体"/>
    <w:basedOn w:val="-1"/>
    <w:qFormat/>
    <w:pPr>
      <w:ind w:firstLine="480"/>
    </w:pPr>
    <w:rPr>
      <w:rFonts w:eastAsia="黑体"/>
      <w:sz w:val="20"/>
    </w:rPr>
  </w:style>
  <w:style w:type="paragraph" w:customStyle="1" w:styleId="xl68">
    <w:name w:val="xl68"/>
    <w:basedOn w:val="af1"/>
    <w:qFormat/>
    <w:pPr>
      <w:widowControl/>
      <w:pBdr>
        <w:bottom w:val="single" w:sz="8" w:space="0" w:color="auto"/>
        <w:right w:val="single" w:sz="8" w:space="0" w:color="auto"/>
      </w:pBdr>
      <w:spacing w:before="100" w:beforeAutospacing="1" w:after="100" w:afterAutospacing="1"/>
      <w:jc w:val="center"/>
    </w:pPr>
    <w:rPr>
      <w:rFonts w:ascii="Calibri" w:hAnsi="Calibri" w:cs="Times New Roman"/>
      <w:kern w:val="0"/>
      <w:sz w:val="18"/>
      <w:szCs w:val="18"/>
    </w:rPr>
  </w:style>
  <w:style w:type="paragraph" w:customStyle="1" w:styleId="22Char1TimesNewRoman66">
    <w:name w:val="样式 样式 样式 标题 2标题 2 Char1 + 四号 + Times New Roman + 段前: 6 磅 段后: 6 磅"/>
    <w:basedOn w:val="22Char1TimesNewRoman"/>
    <w:qFormat/>
    <w:pPr>
      <w:spacing w:before="120" w:after="120"/>
    </w:pPr>
    <w:rPr>
      <w:rFonts w:cs="宋体"/>
    </w:rPr>
  </w:style>
  <w:style w:type="paragraph" w:customStyle="1" w:styleId="22Char1TimesNewRoman">
    <w:name w:val="样式 样式 标题 2标题 2 Char1 + 四号 + Times New Roman"/>
    <w:basedOn w:val="af1"/>
    <w:qFormat/>
    <w:pPr>
      <w:keepNext/>
      <w:keepLines/>
      <w:tabs>
        <w:tab w:val="left" w:pos="0"/>
      </w:tabs>
      <w:adjustRightInd w:val="0"/>
      <w:snapToGrid w:val="0"/>
      <w:spacing w:line="500" w:lineRule="exact"/>
      <w:jc w:val="left"/>
      <w:textAlignment w:val="baseline"/>
      <w:outlineLvl w:val="1"/>
    </w:pPr>
    <w:rPr>
      <w:rFonts w:ascii="Calibri" w:hAnsi="Calibri" w:cs="Times New Roman"/>
      <w:b/>
      <w:bCs/>
      <w:kern w:val="0"/>
      <w:sz w:val="28"/>
      <w:szCs w:val="20"/>
    </w:rPr>
  </w:style>
  <w:style w:type="paragraph" w:customStyle="1" w:styleId="xl58">
    <w:name w:val="xl58"/>
    <w:basedOn w:val="af1"/>
    <w:qFormat/>
    <w:pPr>
      <w:widowControl/>
      <w:pBdr>
        <w:top w:val="single" w:sz="8" w:space="0" w:color="auto"/>
        <w:bottom w:val="single" w:sz="4" w:space="0" w:color="auto"/>
      </w:pBdr>
      <w:spacing w:before="100" w:beforeAutospacing="1" w:after="100" w:afterAutospacing="1"/>
      <w:jc w:val="center"/>
    </w:pPr>
    <w:rPr>
      <w:rFonts w:ascii="新宋体" w:eastAsia="新宋体" w:hAnsi="新宋体" w:cs="Arial Unicode MS" w:hint="eastAsia"/>
      <w:kern w:val="0"/>
      <w:sz w:val="18"/>
      <w:szCs w:val="18"/>
    </w:rPr>
  </w:style>
  <w:style w:type="paragraph" w:customStyle="1" w:styleId="affffffffffffffffff8">
    <w:name w:val="三级条标题"/>
    <w:basedOn w:val="affffffffffffffffff9"/>
    <w:next w:val="af1"/>
    <w:qFormat/>
    <w:pPr>
      <w:tabs>
        <w:tab w:val="left" w:pos="1008"/>
        <w:tab w:val="left" w:pos="2100"/>
        <w:tab w:val="left" w:pos="2660"/>
      </w:tabs>
      <w:outlineLvl w:val="4"/>
    </w:pPr>
  </w:style>
  <w:style w:type="paragraph" w:customStyle="1" w:styleId="affffffffffffffffff9">
    <w:name w:val="二级条标题"/>
    <w:basedOn w:val="affffffffffffffa"/>
    <w:next w:val="af1"/>
    <w:qFormat/>
    <w:pPr>
      <w:tabs>
        <w:tab w:val="clear" w:pos="1080"/>
        <w:tab w:val="clear" w:pos="1260"/>
        <w:tab w:val="left" w:pos="980"/>
        <w:tab w:val="left" w:pos="1680"/>
        <w:tab w:val="left" w:pos="2240"/>
      </w:tabs>
      <w:outlineLvl w:val="3"/>
    </w:pPr>
  </w:style>
  <w:style w:type="paragraph" w:customStyle="1" w:styleId="affffffffffffffffffa">
    <w:name w:val="一级无标题条"/>
    <w:basedOn w:val="af1"/>
    <w:qFormat/>
    <w:pPr>
      <w:widowControl/>
      <w:jc w:val="left"/>
    </w:pPr>
    <w:rPr>
      <w:rFonts w:ascii="Calibri" w:hAnsi="Calibri" w:cs="Times New Roman"/>
      <w:szCs w:val="20"/>
    </w:rPr>
  </w:style>
  <w:style w:type="paragraph" w:customStyle="1" w:styleId="xl78">
    <w:name w:val="xl78"/>
    <w:basedOn w:val="af1"/>
    <w:qFormat/>
    <w:pPr>
      <w:widowControl/>
      <w:spacing w:before="100" w:beforeAutospacing="1" w:after="100" w:afterAutospacing="1" w:line="360" w:lineRule="auto"/>
      <w:jc w:val="left"/>
      <w:textAlignment w:val="center"/>
    </w:pPr>
    <w:rPr>
      <w:rFonts w:ascii="Calibri" w:hAnsi="Calibri" w:cs="Times New Roman"/>
      <w:kern w:val="0"/>
      <w:sz w:val="24"/>
      <w:szCs w:val="21"/>
    </w:rPr>
  </w:style>
  <w:style w:type="paragraph" w:customStyle="1" w:styleId="xl115">
    <w:name w:val="xl115"/>
    <w:basedOn w:val="af1"/>
    <w:qFormat/>
    <w:pPr>
      <w:widowControl/>
      <w:pBdr>
        <w:top w:val="single" w:sz="4" w:space="0" w:color="auto"/>
        <w:left w:val="single" w:sz="4" w:space="0" w:color="auto"/>
        <w:bottom w:val="single" w:sz="4" w:space="0" w:color="auto"/>
      </w:pBdr>
      <w:spacing w:before="100" w:beforeAutospacing="1" w:after="100" w:afterAutospacing="1"/>
      <w:jc w:val="center"/>
    </w:pPr>
    <w:rPr>
      <w:rFonts w:cs="Times New Roman"/>
      <w:kern w:val="0"/>
      <w:sz w:val="20"/>
      <w:szCs w:val="20"/>
    </w:rPr>
  </w:style>
  <w:style w:type="paragraph" w:customStyle="1" w:styleId="affffffffffffffffffb">
    <w:name w:val="正文楷体"/>
    <w:basedOn w:val="af1"/>
    <w:qFormat/>
    <w:rPr>
      <w:rFonts w:eastAsia="楷体_GB2312" w:cs="Times New Roman"/>
      <w:szCs w:val="24"/>
    </w:rPr>
  </w:style>
  <w:style w:type="paragraph" w:customStyle="1" w:styleId="032">
    <w:name w:val="样式 加粗 左侧:  0.32 厘米"/>
    <w:basedOn w:val="af1"/>
    <w:qFormat/>
    <w:pPr>
      <w:widowControl/>
      <w:spacing w:line="500" w:lineRule="exact"/>
      <w:ind w:left="180"/>
      <w:jc w:val="left"/>
    </w:pPr>
    <w:rPr>
      <w:rFonts w:ascii="Calibri" w:hAnsi="Calibri" w:cs="宋体"/>
      <w:b/>
      <w:bCs/>
      <w:sz w:val="28"/>
      <w:szCs w:val="20"/>
    </w:rPr>
  </w:style>
  <w:style w:type="paragraph" w:customStyle="1" w:styleId="Style592">
    <w:name w:val="_Style 592"/>
    <w:uiPriority w:val="99"/>
    <w:unhideWhenUsed/>
    <w:qFormat/>
    <w:pPr>
      <w:widowControl w:val="0"/>
      <w:jc w:val="both"/>
    </w:pPr>
    <w:rPr>
      <w:rFonts w:ascii="Calibri" w:eastAsia="宋体" w:hAnsi="Calibri" w:cs="Times New Roman"/>
      <w:kern w:val="2"/>
      <w:sz w:val="21"/>
      <w:szCs w:val="24"/>
    </w:rPr>
  </w:style>
  <w:style w:type="paragraph" w:customStyle="1" w:styleId="-15">
    <w:name w:val="表格标题-15"/>
    <w:basedOn w:val="-xin"/>
    <w:next w:val="af1"/>
    <w:qFormat/>
    <w:pPr>
      <w:numPr>
        <w:numId w:val="18"/>
      </w:numPr>
      <w:adjustRightInd w:val="0"/>
      <w:spacing w:line="360" w:lineRule="auto"/>
    </w:pPr>
    <w:rPr>
      <w:rFonts w:ascii="Times New Roman" w:hAnsi="Times New Roman"/>
      <w:sz w:val="24"/>
    </w:rPr>
  </w:style>
  <w:style w:type="paragraph" w:customStyle="1" w:styleId="3f9">
    <w:name w:val="正文标题3"/>
    <w:basedOn w:val="31"/>
    <w:qFormat/>
    <w:pPr>
      <w:widowControl/>
      <w:spacing w:before="0" w:after="0" w:line="240" w:lineRule="auto"/>
      <w:jc w:val="left"/>
    </w:pPr>
    <w:rPr>
      <w:rFonts w:ascii="仿宋_GB2312" w:eastAsia="楷体" w:hAnsi="仿宋_GB2312" w:cs="仿宋_GB2312"/>
      <w:b w:val="0"/>
      <w:sz w:val="28"/>
    </w:rPr>
  </w:style>
  <w:style w:type="paragraph" w:customStyle="1" w:styleId="affffffffffffffffffc">
    <w:name w:val="正文缩进（西藏格式）"/>
    <w:basedOn w:val="aff0"/>
    <w:qFormat/>
    <w:pPr>
      <w:snapToGrid w:val="0"/>
      <w:spacing w:before="120" w:after="120" w:line="240" w:lineRule="auto"/>
      <w:ind w:left="113" w:right="113" w:firstLineChars="0" w:firstLine="482"/>
      <w:textAlignment w:val="auto"/>
    </w:pPr>
    <w:rPr>
      <w:rFonts w:ascii="Calibri"/>
      <w:snapToGrid w:val="0"/>
      <w:kern w:val="0"/>
      <w:sz w:val="20"/>
      <w:szCs w:val="21"/>
    </w:rPr>
  </w:style>
  <w:style w:type="paragraph" w:customStyle="1" w:styleId="2fffc">
    <w:name w:val="样式 正正 + (符号) 宋体 四号 首行缩进:  2 字符"/>
    <w:basedOn w:val="af1"/>
    <w:qFormat/>
    <w:pPr>
      <w:spacing w:line="360" w:lineRule="auto"/>
      <w:ind w:firstLine="560"/>
    </w:pPr>
    <w:rPr>
      <w:rFonts w:ascii="Calibri" w:hAnsi="宋体" w:cs="宋体"/>
      <w:szCs w:val="20"/>
    </w:rPr>
  </w:style>
  <w:style w:type="paragraph" w:customStyle="1" w:styleId="a31">
    <w:name w:val="a3"/>
    <w:basedOn w:val="af1"/>
    <w:qFormat/>
    <w:pPr>
      <w:widowControl/>
      <w:spacing w:before="100" w:beforeAutospacing="1" w:after="100" w:afterAutospacing="1"/>
      <w:jc w:val="left"/>
    </w:pPr>
    <w:rPr>
      <w:rFonts w:ascii="宋体" w:hAnsi="宋体" w:cs="Times New Roman"/>
      <w:color w:val="000000"/>
      <w:kern w:val="0"/>
      <w:sz w:val="24"/>
      <w:szCs w:val="24"/>
    </w:rPr>
  </w:style>
  <w:style w:type="paragraph" w:customStyle="1" w:styleId="78">
    <w:name w:val="目录7～8（西藏样式）"/>
    <w:basedOn w:val="4f2"/>
    <w:qFormat/>
    <w:pPr>
      <w:ind w:left="731" w:hanging="731"/>
    </w:pPr>
  </w:style>
  <w:style w:type="paragraph" w:customStyle="1" w:styleId="4f2">
    <w:name w:val="目录4（西藏格式）"/>
    <w:basedOn w:val="TOC4"/>
    <w:qFormat/>
    <w:pPr>
      <w:adjustRightInd w:val="0"/>
      <w:snapToGrid w:val="0"/>
      <w:spacing w:line="360" w:lineRule="auto"/>
      <w:ind w:left="720"/>
    </w:pPr>
    <w:rPr>
      <w:rFonts w:cs="Calibri"/>
      <w:snapToGrid w:val="0"/>
    </w:rPr>
  </w:style>
  <w:style w:type="paragraph" w:customStyle="1" w:styleId="67">
    <w:name w:val="目录6（西藏格式）"/>
    <w:basedOn w:val="TOC6"/>
    <w:qFormat/>
    <w:pPr>
      <w:adjustRightInd w:val="0"/>
      <w:snapToGrid w:val="0"/>
      <w:spacing w:line="360" w:lineRule="auto"/>
      <w:ind w:left="1094" w:hanging="363"/>
    </w:pPr>
    <w:rPr>
      <w:rFonts w:cs="Calibri"/>
      <w:snapToGrid w:val="0"/>
      <w:sz w:val="24"/>
    </w:rPr>
  </w:style>
  <w:style w:type="paragraph" w:customStyle="1" w:styleId="4TimesNewRoman">
    <w:name w:val="样式 标题 4 + Times New Roman 小四 黑色"/>
    <w:basedOn w:val="41"/>
    <w:qFormat/>
    <w:pPr>
      <w:keepLines/>
      <w:widowControl w:val="0"/>
      <w:adjustRightInd w:val="0"/>
      <w:spacing w:line="360" w:lineRule="auto"/>
      <w:ind w:firstLineChars="200" w:firstLine="1044"/>
      <w:jc w:val="left"/>
      <w:textAlignment w:val="baseline"/>
    </w:pPr>
    <w:rPr>
      <w:rFonts w:ascii="Times New Roman" w:eastAsia="黑体" w:hAnsi="Times New Roman"/>
      <w:b w:val="0"/>
      <w:bCs/>
      <w:kern w:val="2"/>
      <w:sz w:val="24"/>
      <w:szCs w:val="28"/>
    </w:rPr>
  </w:style>
  <w:style w:type="paragraph" w:customStyle="1" w:styleId="2fffd">
    <w:name w:val="正文（行首缩进2字）"/>
    <w:basedOn w:val="af1"/>
    <w:qFormat/>
    <w:pPr>
      <w:widowControl/>
      <w:spacing w:line="360" w:lineRule="auto"/>
      <w:ind w:firstLineChars="200" w:firstLine="200"/>
      <w:jc w:val="left"/>
    </w:pPr>
    <w:rPr>
      <w:rFonts w:ascii="仿宋_GB2312" w:hAnsi="仿宋_GB2312" w:cs="仿宋_GB2312"/>
      <w:sz w:val="24"/>
      <w:szCs w:val="24"/>
    </w:rPr>
  </w:style>
  <w:style w:type="paragraph" w:customStyle="1" w:styleId="a4">
    <w:name w:val="第十一章 图件标题"/>
    <w:basedOn w:val="-xin0"/>
    <w:next w:val="af1"/>
    <w:qFormat/>
    <w:pPr>
      <w:numPr>
        <w:numId w:val="19"/>
      </w:numPr>
      <w:adjustRightInd w:val="0"/>
      <w:spacing w:line="360" w:lineRule="auto"/>
    </w:pPr>
    <w:rPr>
      <w:rFonts w:ascii="Times New Roman" w:hAnsi="Times New Roman"/>
      <w:sz w:val="24"/>
    </w:rPr>
  </w:style>
  <w:style w:type="paragraph" w:customStyle="1" w:styleId="2R">
    <w:name w:val="列表 2R"/>
    <w:basedOn w:val="25"/>
    <w:qFormat/>
    <w:pPr>
      <w:widowControl/>
      <w:tabs>
        <w:tab w:val="left" w:pos="737"/>
      </w:tabs>
      <w:spacing w:beforeAutospacing="1" w:after="100" w:afterAutospacing="1" w:line="288" w:lineRule="auto"/>
      <w:ind w:leftChars="0" w:left="737" w:firstLineChars="0" w:hanging="567"/>
      <w:jc w:val="left"/>
    </w:pPr>
    <w:rPr>
      <w:rFonts w:ascii="Courier New" w:eastAsia="宋体" w:hAnsi="Courier New" w:cs="仿宋_GB2312"/>
      <w:color w:val="FFFF99"/>
      <w:kern w:val="2"/>
      <w:sz w:val="24"/>
      <w:szCs w:val="20"/>
    </w:rPr>
  </w:style>
  <w:style w:type="paragraph" w:customStyle="1" w:styleId="4H">
    <w:name w:val="列表 4H"/>
    <w:basedOn w:val="45"/>
    <w:qFormat/>
    <w:pPr>
      <w:widowControl/>
      <w:tabs>
        <w:tab w:val="left" w:pos="1021"/>
      </w:tabs>
      <w:adjustRightInd/>
      <w:spacing w:afterLines="30" w:line="288" w:lineRule="auto"/>
      <w:ind w:left="1021" w:hanging="454"/>
      <w:jc w:val="left"/>
      <w:textAlignment w:val="auto"/>
    </w:pPr>
    <w:rPr>
      <w:rFonts w:ascii="Courier New" w:hAnsi="Courier New" w:cs="仿宋_GB2312"/>
      <w:color w:val="CCFFFF"/>
      <w:kern w:val="2"/>
    </w:rPr>
  </w:style>
  <w:style w:type="paragraph" w:customStyle="1" w:styleId="Char140">
    <w:name w:val="Char14"/>
    <w:basedOn w:val="af1"/>
    <w:qFormat/>
    <w:rPr>
      <w:rFonts w:ascii="Tahoma" w:hAnsi="Tahoma" w:cs="Times New Roman"/>
      <w:sz w:val="24"/>
      <w:szCs w:val="20"/>
    </w:rPr>
  </w:style>
  <w:style w:type="paragraph" w:customStyle="1" w:styleId="CharCharCharCharCharChar1CharCharChar2">
    <w:name w:val="Char Char Char Char Char Char1 Char Char Char2"/>
    <w:basedOn w:val="af1"/>
    <w:qFormat/>
    <w:pPr>
      <w:spacing w:line="360" w:lineRule="auto"/>
      <w:ind w:firstLineChars="200" w:firstLine="200"/>
    </w:pPr>
    <w:rPr>
      <w:rFonts w:ascii="宋体" w:hAnsi="宋体" w:cs="Times New Roman" w:hint="eastAsia"/>
      <w:sz w:val="24"/>
      <w:szCs w:val="20"/>
    </w:rPr>
  </w:style>
  <w:style w:type="paragraph" w:customStyle="1" w:styleId="4R">
    <w:name w:val="列表 4R"/>
    <w:basedOn w:val="45"/>
    <w:qFormat/>
    <w:pPr>
      <w:widowControl/>
      <w:tabs>
        <w:tab w:val="left" w:pos="907"/>
      </w:tabs>
      <w:adjustRightInd/>
      <w:spacing w:afterLines="30" w:line="288" w:lineRule="auto"/>
      <w:ind w:left="907" w:hanging="567"/>
      <w:jc w:val="left"/>
      <w:textAlignment w:val="auto"/>
    </w:pPr>
    <w:rPr>
      <w:rFonts w:ascii="Courier New" w:hAnsi="Courier New" w:cs="仿宋_GB2312"/>
      <w:color w:val="CCFFFF"/>
      <w:kern w:val="2"/>
    </w:rPr>
  </w:style>
  <w:style w:type="paragraph" w:customStyle="1" w:styleId="308221">
    <w:name w:val="样式 标题 3 + 段前: 0 磅 段后: 8 磅 行距: 固定值 22 磅1"/>
    <w:basedOn w:val="31"/>
    <w:qFormat/>
    <w:pPr>
      <w:widowControl/>
      <w:tabs>
        <w:tab w:val="left" w:pos="720"/>
      </w:tabs>
      <w:adjustRightInd w:val="0"/>
      <w:spacing w:before="0" w:after="0" w:line="360" w:lineRule="auto"/>
      <w:ind w:left="720" w:hanging="720"/>
      <w:jc w:val="left"/>
    </w:pPr>
    <w:rPr>
      <w:rFonts w:ascii="Courier New" w:hAnsi="Courier New" w:cs="Courier New"/>
      <w:bCs w:val="0"/>
      <w:color w:val="000000"/>
      <w:sz w:val="28"/>
      <w:szCs w:val="30"/>
    </w:rPr>
  </w:style>
  <w:style w:type="paragraph" w:customStyle="1" w:styleId="affffffffffffffffffd">
    <w:name w:val="表格专用文本"/>
    <w:basedOn w:val="affffffffa"/>
    <w:qFormat/>
    <w:pPr>
      <w:spacing w:line="240" w:lineRule="auto"/>
      <w:ind w:firstLineChars="0" w:firstLine="0"/>
      <w:jc w:val="center"/>
    </w:pPr>
    <w:rPr>
      <w:rFonts w:cs="宋体"/>
      <w:sz w:val="21"/>
      <w:szCs w:val="20"/>
    </w:rPr>
  </w:style>
  <w:style w:type="paragraph" w:customStyle="1" w:styleId="xyb1">
    <w:name w:val="xyb四级标题"/>
    <w:basedOn w:val="af1"/>
    <w:next w:val="xyb"/>
    <w:qFormat/>
    <w:pPr>
      <w:autoSpaceDE w:val="0"/>
      <w:autoSpaceDN w:val="0"/>
      <w:spacing w:beforeLines="50" w:line="360" w:lineRule="auto"/>
      <w:jc w:val="left"/>
    </w:pPr>
    <w:rPr>
      <w:rFonts w:ascii="宋体" w:hAnsi="Calibri" w:cs="Times New Roman"/>
      <w:b/>
      <w:color w:val="000000"/>
      <w:kern w:val="24"/>
      <w:sz w:val="24"/>
      <w:szCs w:val="20"/>
    </w:rPr>
  </w:style>
  <w:style w:type="paragraph" w:customStyle="1" w:styleId="5a">
    <w:name w:val="样式 样式5 + 黑色"/>
    <w:basedOn w:val="af1"/>
    <w:qFormat/>
    <w:pPr>
      <w:ind w:firstLineChars="200" w:firstLine="420"/>
    </w:pPr>
    <w:rPr>
      <w:rFonts w:ascii="Calibri" w:eastAsia="华文中宋" w:hAnsi="Calibri" w:cs="Times New Roman"/>
      <w:color w:val="000000"/>
      <w:szCs w:val="21"/>
    </w:rPr>
  </w:style>
  <w:style w:type="paragraph" w:customStyle="1" w:styleId="1150">
    <w:name w:val="样式 标题1 + 行距: 1.5 倍行距"/>
    <w:basedOn w:val="afff1"/>
    <w:next w:val="1"/>
    <w:qFormat/>
    <w:pPr>
      <w:overflowPunct w:val="0"/>
      <w:topLinePunct/>
      <w:spacing w:line="360" w:lineRule="auto"/>
      <w:jc w:val="center"/>
      <w:outlineLvl w:val="0"/>
    </w:pPr>
    <w:rPr>
      <w:rFonts w:eastAsia="华文中宋" w:hAnsi="宋体" w:cs="宋体"/>
      <w:b/>
      <w:bCs/>
      <w:color w:val="000000"/>
      <w:sz w:val="32"/>
      <w:szCs w:val="24"/>
    </w:rPr>
  </w:style>
  <w:style w:type="paragraph" w:customStyle="1" w:styleId="affffffffffffffffffe">
    <w:name w:val="连续正文文字"/>
    <w:basedOn w:val="affe"/>
    <w:qFormat/>
    <w:pPr>
      <w:keepNext/>
      <w:widowControl/>
      <w:spacing w:after="220" w:line="280" w:lineRule="exact"/>
      <w:jc w:val="center"/>
    </w:pPr>
    <w:rPr>
      <w:rFonts w:ascii="仿宋_GB2312" w:eastAsia="宋体" w:hAnsi="仿宋_GB2312" w:cs="仿宋_GB2312"/>
      <w:kern w:val="0"/>
      <w:sz w:val="30"/>
      <w:szCs w:val="20"/>
    </w:rPr>
  </w:style>
  <w:style w:type="paragraph" w:customStyle="1" w:styleId="N">
    <w:name w:val="列表 N"/>
    <w:basedOn w:val="afffe"/>
    <w:qFormat/>
    <w:pPr>
      <w:widowControl/>
      <w:tabs>
        <w:tab w:val="left" w:pos="425"/>
      </w:tabs>
      <w:spacing w:beforeLines="100" w:afterLines="50" w:line="288" w:lineRule="auto"/>
      <w:ind w:left="425" w:hanging="425"/>
      <w:jc w:val="left"/>
    </w:pPr>
    <w:rPr>
      <w:rFonts w:ascii="Courier New" w:eastAsia="宋体" w:hAnsi="Courier New" w:cs="仿宋_GB2312"/>
      <w:b/>
      <w:bCs/>
      <w:color w:val="FF99CC"/>
    </w:rPr>
  </w:style>
  <w:style w:type="paragraph" w:customStyle="1" w:styleId="1113">
    <w:name w:val="南大梁1.1.1级标题"/>
    <w:basedOn w:val="af1"/>
    <w:qFormat/>
    <w:pPr>
      <w:spacing w:before="93" w:after="93" w:line="360" w:lineRule="auto"/>
    </w:pPr>
    <w:rPr>
      <w:rFonts w:ascii="黑体" w:eastAsia="黑体" w:hAnsi="宋体" w:cs="Times New Roman"/>
      <w:sz w:val="28"/>
      <w:szCs w:val="28"/>
    </w:rPr>
  </w:style>
  <w:style w:type="paragraph" w:customStyle="1" w:styleId="305051">
    <w:name w:val="样式 标题3 + 段前: 0.5 行 段后: 0.5 行1"/>
    <w:basedOn w:val="3f8"/>
    <w:qFormat/>
    <w:pPr>
      <w:widowControl w:val="0"/>
      <w:overflowPunct w:val="0"/>
      <w:topLinePunct/>
      <w:spacing w:line="440" w:lineRule="exact"/>
      <w:ind w:firstLineChars="0" w:firstLine="0"/>
      <w:jc w:val="both"/>
    </w:pPr>
    <w:rPr>
      <w:rFonts w:eastAsia="华文中宋" w:cs="宋体"/>
      <w:b/>
      <w:bCs/>
      <w:color w:val="auto"/>
      <w:kern w:val="10"/>
      <w:sz w:val="28"/>
      <w:szCs w:val="20"/>
    </w:rPr>
  </w:style>
  <w:style w:type="paragraph" w:customStyle="1" w:styleId="1ffff7">
    <w:name w:val="表式1"/>
    <w:basedOn w:val="af1"/>
    <w:qFormat/>
    <w:pPr>
      <w:widowControl/>
      <w:adjustRightInd w:val="0"/>
      <w:spacing w:line="240" w:lineRule="atLeast"/>
      <w:jc w:val="left"/>
      <w:textAlignment w:val="baseline"/>
    </w:pPr>
    <w:rPr>
      <w:rFonts w:ascii="Courier New" w:eastAsia="仿宋体" w:hAnsi="Courier New" w:cs="仿宋_GB2312"/>
      <w:b/>
      <w:kern w:val="0"/>
      <w:sz w:val="24"/>
      <w:szCs w:val="20"/>
      <w:lang w:eastAsia="zh-TW"/>
    </w:rPr>
  </w:style>
  <w:style w:type="paragraph" w:customStyle="1" w:styleId="afffffffffffffffffff">
    <w:name w:val="表中样式"/>
    <w:basedOn w:val="af1"/>
    <w:qFormat/>
    <w:pPr>
      <w:widowControl/>
      <w:spacing w:line="240" w:lineRule="exact"/>
      <w:ind w:leftChars="-25" w:left="-25" w:rightChars="-31" w:right="-31"/>
      <w:jc w:val="center"/>
    </w:pPr>
    <w:rPr>
      <w:rFonts w:ascii="Verdana" w:hAnsi="Verdana" w:cs="Verdana"/>
      <w:bCs/>
      <w:kern w:val="0"/>
      <w:szCs w:val="32"/>
    </w:rPr>
  </w:style>
  <w:style w:type="paragraph" w:customStyle="1" w:styleId="afffffffffffffffffff0">
    <w:name w:val="麦志勤正文"/>
    <w:basedOn w:val="af1"/>
    <w:qFormat/>
    <w:pPr>
      <w:widowControl/>
      <w:adjustRightInd w:val="0"/>
      <w:snapToGrid w:val="0"/>
      <w:spacing w:beforeLines="20" w:line="300" w:lineRule="auto"/>
      <w:ind w:firstLineChars="200" w:firstLine="200"/>
    </w:pPr>
    <w:rPr>
      <w:rFonts w:ascii="宋体" w:hAnsi="宋体" w:cs="Times New Roman"/>
      <w:sz w:val="24"/>
      <w:szCs w:val="21"/>
    </w:rPr>
  </w:style>
  <w:style w:type="character" w:customStyle="1" w:styleId="2fffe">
    <w:name w:val="页眉 字符2"/>
    <w:basedOn w:val="af3"/>
    <w:uiPriority w:val="99"/>
    <w:semiHidden/>
    <w:qFormat/>
    <w:rPr>
      <w:rFonts w:ascii="Calibri" w:eastAsia="宋体" w:hAnsi="Calibri" w:cs="Times New Roman"/>
      <w:sz w:val="18"/>
      <w:szCs w:val="18"/>
      <w:lang w:val="en-US" w:eastAsia="zh-CN" w:bidi="ar-SA"/>
    </w:rPr>
  </w:style>
  <w:style w:type="paragraph" w:customStyle="1" w:styleId="2112Char1111CharChar11Cha">
    <w:name w:val="样式 标题 2节标题1.1标题 2节Char节标题 1.1节标题 1.1 Char Char节标题 1.1 Cha..."/>
    <w:basedOn w:val="22"/>
    <w:qFormat/>
    <w:pPr>
      <w:keepLines w:val="0"/>
      <w:widowControl/>
      <w:adjustRightInd w:val="0"/>
      <w:snapToGrid w:val="0"/>
      <w:spacing w:beforeLines="50" w:after="0" w:line="360" w:lineRule="auto"/>
      <w:outlineLvl w:val="9"/>
    </w:pPr>
    <w:rPr>
      <w:rFonts w:ascii="Calibri" w:eastAsia="宋体" w:hAnsi="Calibri"/>
      <w:sz w:val="28"/>
      <w:szCs w:val="28"/>
    </w:rPr>
  </w:style>
  <w:style w:type="paragraph" w:customStyle="1" w:styleId="xl112">
    <w:name w:val="xl112"/>
    <w:basedOn w:val="af1"/>
    <w:qFormat/>
    <w:pPr>
      <w:widowControl/>
      <w:pBdr>
        <w:top w:val="single" w:sz="4" w:space="0" w:color="auto"/>
        <w:left w:val="single" w:sz="8"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character" w:customStyle="1" w:styleId="2ffff">
    <w:name w:val="页脚 字符2"/>
    <w:basedOn w:val="af3"/>
    <w:uiPriority w:val="99"/>
    <w:semiHidden/>
    <w:qFormat/>
    <w:rPr>
      <w:rFonts w:ascii="Calibri" w:eastAsia="宋体" w:hAnsi="Calibri" w:cs="Times New Roman"/>
      <w:sz w:val="18"/>
      <w:szCs w:val="18"/>
      <w:lang w:val="en-US" w:eastAsia="zh-CN" w:bidi="ar-SA"/>
    </w:rPr>
  </w:style>
  <w:style w:type="paragraph" w:customStyle="1" w:styleId="xl105">
    <w:name w:val="xl105"/>
    <w:basedOn w:val="af1"/>
    <w:qFormat/>
    <w:pPr>
      <w:widowControl/>
      <w:pBdr>
        <w:top w:val="single" w:sz="4" w:space="0" w:color="auto"/>
        <w:right w:val="single" w:sz="4" w:space="0" w:color="auto"/>
      </w:pBdr>
      <w:spacing w:before="100" w:beforeAutospacing="1" w:after="100" w:afterAutospacing="1"/>
      <w:jc w:val="center"/>
      <w:textAlignment w:val="center"/>
    </w:pPr>
    <w:rPr>
      <w:rFonts w:ascii="華康中楷體" w:eastAsia="華康中楷體" w:hAnsi="華康中楷體" w:cs="華康中楷體"/>
      <w:kern w:val="0"/>
      <w:sz w:val="16"/>
      <w:szCs w:val="16"/>
    </w:rPr>
  </w:style>
  <w:style w:type="paragraph" w:customStyle="1" w:styleId="11110">
    <w:name w:val="1.1.1.1"/>
    <w:basedOn w:val="1111"/>
    <w:qFormat/>
    <w:rPr>
      <w:rFonts w:eastAsia="楷体_GB2312"/>
    </w:rPr>
  </w:style>
  <w:style w:type="paragraph" w:customStyle="1" w:styleId="BulletIndent">
    <w:name w:val="Bullet_Indent"/>
    <w:basedOn w:val="af1"/>
    <w:qFormat/>
    <w:pPr>
      <w:widowControl/>
      <w:adjustRightInd w:val="0"/>
      <w:snapToGrid w:val="0"/>
      <w:spacing w:after="240" w:line="360" w:lineRule="auto"/>
      <w:ind w:left="1440" w:hanging="720"/>
      <w:jc w:val="left"/>
    </w:pPr>
    <w:rPr>
      <w:rFonts w:ascii="仿宋_GB2312" w:hAnsi="仿宋_GB2312" w:cs="仿宋_GB2312"/>
      <w:kern w:val="0"/>
      <w:sz w:val="24"/>
      <w:szCs w:val="20"/>
    </w:rPr>
  </w:style>
  <w:style w:type="paragraph" w:customStyle="1" w:styleId="0982">
    <w:name w:val="样式 题注 + 左侧:  0.98 厘米 首行缩进:  2 字符"/>
    <w:basedOn w:val="aff2"/>
    <w:qFormat/>
    <w:pPr>
      <w:snapToGrid w:val="0"/>
      <w:spacing w:before="120" w:line="300" w:lineRule="exact"/>
      <w:ind w:firstLineChars="200" w:firstLine="480"/>
      <w:jc w:val="center"/>
    </w:pPr>
    <w:rPr>
      <w:rFonts w:ascii="Arial" w:eastAsia="宋体" w:hAnsi="Arial" w:cs="Arial"/>
      <w:color w:val="000000"/>
      <w:sz w:val="24"/>
      <w:szCs w:val="28"/>
      <w:u w:val="double"/>
    </w:rPr>
  </w:style>
  <w:style w:type="paragraph" w:customStyle="1" w:styleId="331113Char1Char1Char1CharCharChar1Cha1">
    <w:name w:val="样式 标题 3标题3小标题1.1.1标题 3Char1 Char1Char1 Char CharChar1 Cha...1"/>
    <w:basedOn w:val="31"/>
    <w:qFormat/>
    <w:pPr>
      <w:widowControl/>
      <w:autoSpaceDE w:val="0"/>
      <w:autoSpaceDN w:val="0"/>
      <w:adjustRightInd w:val="0"/>
      <w:spacing w:before="0" w:after="0" w:line="360" w:lineRule="auto"/>
      <w:jc w:val="left"/>
      <w:textAlignment w:val="baseline"/>
    </w:pPr>
    <w:rPr>
      <w:rFonts w:cs="宋体"/>
      <w:color w:val="0000FF"/>
      <w:kern w:val="0"/>
      <w:sz w:val="24"/>
      <w:szCs w:val="20"/>
    </w:rPr>
  </w:style>
  <w:style w:type="paragraph" w:customStyle="1" w:styleId="3fa">
    <w:name w:val="样式 样式3 + 黑色"/>
    <w:basedOn w:val="3e"/>
    <w:qFormat/>
    <w:pPr>
      <w:spacing w:before="0" w:line="240" w:lineRule="auto"/>
      <w:ind w:firstLineChars="200" w:firstLine="480"/>
    </w:pPr>
    <w:rPr>
      <w:rFonts w:ascii="Times New Roman" w:eastAsia="华文中宋" w:hAnsi="Times New Roman"/>
      <w:color w:val="000000"/>
      <w:spacing w:val="0"/>
    </w:rPr>
  </w:style>
  <w:style w:type="paragraph" w:customStyle="1" w:styleId="edri-">
    <w:name w:val="edri-正文"/>
    <w:basedOn w:val="af1"/>
    <w:qFormat/>
    <w:pPr>
      <w:widowControl/>
      <w:spacing w:beforeLines="50" w:line="300" w:lineRule="auto"/>
      <w:ind w:leftChars="428" w:left="899"/>
      <w:jc w:val="left"/>
    </w:pPr>
    <w:rPr>
      <w:rFonts w:ascii="仿宋_GB2312" w:hAnsi="仿宋_GB2312" w:cs="仿宋_GB2312"/>
      <w:sz w:val="24"/>
      <w:szCs w:val="24"/>
    </w:rPr>
  </w:style>
  <w:style w:type="paragraph" w:customStyle="1" w:styleId="ourfont3">
    <w:name w:val="ourfont3"/>
    <w:basedOn w:val="af1"/>
    <w:qFormat/>
    <w:pPr>
      <w:widowControl/>
      <w:spacing w:before="100" w:beforeAutospacing="1" w:after="100" w:afterAutospacing="1"/>
      <w:jc w:val="left"/>
    </w:pPr>
    <w:rPr>
      <w:rFonts w:ascii="Verdana" w:hAnsi="Verdana" w:cs="Verdana"/>
      <w:kern w:val="0"/>
      <w:sz w:val="24"/>
      <w:szCs w:val="24"/>
    </w:rPr>
  </w:style>
  <w:style w:type="paragraph" w:customStyle="1" w:styleId="afffffffffffffffffff1">
    <w:name w:val="表－居中列"/>
    <w:basedOn w:val="af1"/>
    <w:qFormat/>
    <w:pPr>
      <w:widowControl/>
      <w:suppressLineNumbers/>
      <w:suppressAutoHyphens/>
      <w:snapToGrid w:val="0"/>
      <w:spacing w:before="60" w:after="60"/>
      <w:jc w:val="center"/>
    </w:pPr>
    <w:rPr>
      <w:rFonts w:ascii="Calibri" w:hAnsi="Calibri" w:cs="Times New Roman"/>
      <w:kern w:val="0"/>
      <w:szCs w:val="20"/>
      <w:lang w:eastAsia="ja-JP"/>
    </w:rPr>
  </w:style>
  <w:style w:type="paragraph" w:customStyle="1" w:styleId="5O">
    <w:name w:val="列表 5O"/>
    <w:basedOn w:val="55"/>
    <w:qFormat/>
    <w:pPr>
      <w:tabs>
        <w:tab w:val="left" w:pos="1134"/>
      </w:tabs>
      <w:adjustRightInd/>
      <w:spacing w:beforeLines="0" w:line="240" w:lineRule="auto"/>
      <w:ind w:left="1134" w:hanging="425"/>
      <w:jc w:val="left"/>
      <w:textAlignment w:val="auto"/>
    </w:pPr>
    <w:rPr>
      <w:rFonts w:ascii="Courier New" w:hAnsi="Courier New" w:cs="仿宋_GB2312"/>
      <w:color w:val="99CCFF"/>
      <w:kern w:val="2"/>
    </w:rPr>
  </w:style>
  <w:style w:type="paragraph" w:customStyle="1" w:styleId="30724656">
    <w:name w:val="样式 标题 3 + 左侧:  0 厘米 悬挂缩进: 7.2 字符 段前: 4.65 磅 段后: 6 磅 行距: 固定值 ..."/>
    <w:basedOn w:val="31"/>
    <w:qFormat/>
    <w:pPr>
      <w:widowControl/>
      <w:spacing w:before="93" w:after="120" w:line="440" w:lineRule="exact"/>
      <w:ind w:left="720" w:hanging="720"/>
      <w:jc w:val="left"/>
    </w:pPr>
    <w:rPr>
      <w:rFonts w:eastAsia="黑体"/>
      <w:b w:val="0"/>
      <w:bCs w:val="0"/>
      <w:sz w:val="26"/>
      <w:szCs w:val="20"/>
    </w:rPr>
  </w:style>
  <w:style w:type="paragraph" w:customStyle="1" w:styleId="CharCharCharCharCharChar1CharCharChar">
    <w:name w:val="Char Char Char Char Char Char1 Char Char Char"/>
    <w:basedOn w:val="af1"/>
    <w:qFormat/>
    <w:pPr>
      <w:spacing w:line="360" w:lineRule="auto"/>
      <w:ind w:firstLineChars="200" w:firstLine="200"/>
    </w:pPr>
    <w:rPr>
      <w:rFonts w:ascii="宋体" w:hAnsi="宋体" w:cs="Times New Roman"/>
      <w:sz w:val="24"/>
      <w:szCs w:val="20"/>
    </w:rPr>
  </w:style>
  <w:style w:type="paragraph" w:customStyle="1" w:styleId="3I">
    <w:name w:val="列表 3I"/>
    <w:basedOn w:val="34"/>
    <w:qFormat/>
    <w:pPr>
      <w:tabs>
        <w:tab w:val="left" w:pos="907"/>
      </w:tabs>
      <w:spacing w:line="288" w:lineRule="auto"/>
      <w:ind w:left="907" w:hanging="567"/>
      <w:jc w:val="left"/>
    </w:pPr>
    <w:rPr>
      <w:rFonts w:ascii="Courier New" w:hAnsi="Courier New" w:cs="仿宋_GB2312"/>
      <w:color w:val="CCFFCC"/>
      <w:sz w:val="24"/>
    </w:rPr>
  </w:style>
  <w:style w:type="paragraph" w:customStyle="1" w:styleId="1200">
    <w:name w:val="样式 标题 1 + 黑体 三号 居中 行距: 固定值 20 磅"/>
    <w:basedOn w:val="1"/>
    <w:qFormat/>
    <w:pPr>
      <w:widowControl/>
      <w:topLinePunct/>
      <w:autoSpaceDE w:val="0"/>
      <w:autoSpaceDN w:val="0"/>
      <w:adjustRightInd w:val="0"/>
      <w:snapToGrid w:val="0"/>
      <w:spacing w:before="340" w:after="330" w:line="400" w:lineRule="exact"/>
      <w:ind w:firstLineChars="224" w:firstLine="538"/>
      <w:jc w:val="left"/>
    </w:pPr>
    <w:rPr>
      <w:rFonts w:ascii="楷体" w:eastAsia="楷体" w:hAnsi="楷体" w:cs="Verdana"/>
      <w:b w:val="0"/>
      <w:bCs w:val="0"/>
      <w:kern w:val="44"/>
      <w:sz w:val="24"/>
      <w:szCs w:val="20"/>
    </w:rPr>
  </w:style>
  <w:style w:type="paragraph" w:customStyle="1" w:styleId="360">
    <w:name w:val="样式36"/>
    <w:basedOn w:val="af1"/>
    <w:qFormat/>
    <w:pPr>
      <w:spacing w:after="120" w:line="280" w:lineRule="exact"/>
      <w:ind w:firstLine="425"/>
      <w:jc w:val="center"/>
    </w:pPr>
    <w:rPr>
      <w:rFonts w:ascii="Calibri" w:eastAsia="华文中宋" w:hAnsi="Calibri" w:cs="Times New Roman"/>
      <w:color w:val="000000"/>
      <w:sz w:val="24"/>
      <w:szCs w:val="20"/>
    </w:rPr>
  </w:style>
  <w:style w:type="paragraph" w:customStyle="1" w:styleId="1ffff8">
    <w:name w:val="附录1"/>
    <w:basedOn w:val="1"/>
    <w:next w:val="af1"/>
    <w:qFormat/>
    <w:pPr>
      <w:widowControl/>
      <w:tabs>
        <w:tab w:val="left" w:pos="720"/>
      </w:tabs>
      <w:spacing w:after="220"/>
      <w:ind w:left="680" w:hanging="680"/>
    </w:pPr>
    <w:rPr>
      <w:rFonts w:ascii="仿宋_GB2312" w:hAnsi="仿宋_GB2312" w:cs="仿宋_GB2312"/>
      <w:bCs w:val="0"/>
      <w:spacing w:val="-10"/>
      <w:kern w:val="28"/>
      <w:sz w:val="30"/>
      <w:szCs w:val="20"/>
    </w:rPr>
  </w:style>
  <w:style w:type="paragraph" w:customStyle="1" w:styleId="1ffff9">
    <w:name w:val="小标题(1)"/>
    <w:basedOn w:val="affe"/>
    <w:qFormat/>
    <w:pPr>
      <w:widowControl/>
      <w:adjustRightInd w:val="0"/>
      <w:snapToGrid w:val="0"/>
      <w:spacing w:before="60" w:after="60" w:line="264" w:lineRule="auto"/>
      <w:ind w:firstLineChars="100" w:firstLine="240"/>
      <w:jc w:val="left"/>
      <w:textAlignment w:val="baseline"/>
    </w:pPr>
    <w:rPr>
      <w:rFonts w:ascii="仿宋_GB2312" w:eastAsia="Times New Roman" w:hAnsi="仿宋_GB2312" w:cs="仿宋_GB2312"/>
      <w:kern w:val="0"/>
      <w:sz w:val="24"/>
    </w:rPr>
  </w:style>
  <w:style w:type="paragraph" w:customStyle="1" w:styleId="CharCharChar1CharCharCharCharCharChar1">
    <w:name w:val="Char Char Char1 Char Char Char Char Char Char1"/>
    <w:basedOn w:val="af1"/>
    <w:qFormat/>
    <w:pPr>
      <w:spacing w:line="360" w:lineRule="auto"/>
    </w:pPr>
    <w:rPr>
      <w:rFonts w:ascii="Calibri" w:hAnsi="Calibri" w:cs="Times New Roman" w:hint="eastAsia"/>
      <w:sz w:val="24"/>
      <w:szCs w:val="20"/>
    </w:rPr>
  </w:style>
  <w:style w:type="paragraph" w:customStyle="1" w:styleId="2P">
    <w:name w:val="列表 2P"/>
    <w:basedOn w:val="25"/>
    <w:qFormat/>
    <w:pPr>
      <w:widowControl/>
      <w:tabs>
        <w:tab w:val="left" w:pos="737"/>
      </w:tabs>
      <w:spacing w:beforeAutospacing="1" w:after="100" w:afterAutospacing="1" w:line="288" w:lineRule="auto"/>
      <w:ind w:leftChars="0" w:left="737" w:firstLineChars="0" w:hanging="567"/>
      <w:jc w:val="left"/>
    </w:pPr>
    <w:rPr>
      <w:rFonts w:ascii="Courier New" w:eastAsia="宋体" w:hAnsi="Courier New" w:cs="仿宋_GB2312"/>
      <w:color w:val="FFFF99"/>
      <w:kern w:val="2"/>
      <w:sz w:val="24"/>
      <w:szCs w:val="20"/>
    </w:rPr>
  </w:style>
  <w:style w:type="paragraph" w:customStyle="1" w:styleId="afffffffffffffffffff2">
    <w:name w:val="前言"/>
    <w:qFormat/>
    <w:pPr>
      <w:spacing w:afterLines="100" w:line="600" w:lineRule="exact"/>
      <w:jc w:val="center"/>
    </w:pPr>
    <w:rPr>
      <w:rFonts w:ascii="宋体" w:eastAsia="黑体" w:hAnsi="宋体" w:cs="Times New Roman"/>
      <w:b/>
      <w:sz w:val="36"/>
    </w:rPr>
  </w:style>
  <w:style w:type="paragraph" w:customStyle="1" w:styleId="afffffffffffffffffff3">
    <w:name w:val="黑点"/>
    <w:basedOn w:val="af1"/>
    <w:qFormat/>
    <w:pPr>
      <w:widowControl/>
      <w:tabs>
        <w:tab w:val="left" w:pos="600"/>
        <w:tab w:val="left" w:pos="2100"/>
      </w:tabs>
      <w:adjustRightInd w:val="0"/>
      <w:spacing w:line="360" w:lineRule="auto"/>
      <w:ind w:left="2100" w:hanging="420"/>
      <w:jc w:val="left"/>
      <w:textAlignment w:val="baseline"/>
    </w:pPr>
    <w:rPr>
      <w:rFonts w:ascii="Verdana" w:hAnsi="Verdana" w:cs="仿宋_GB2312"/>
      <w:color w:val="000000"/>
      <w:kern w:val="0"/>
      <w:sz w:val="24"/>
      <w:szCs w:val="20"/>
    </w:rPr>
  </w:style>
  <w:style w:type="paragraph" w:customStyle="1" w:styleId="2O">
    <w:name w:val="列表 2O"/>
    <w:basedOn w:val="25"/>
    <w:qFormat/>
    <w:pPr>
      <w:widowControl/>
      <w:tabs>
        <w:tab w:val="left" w:pos="737"/>
      </w:tabs>
      <w:spacing w:beforeAutospacing="1" w:after="100" w:afterAutospacing="1" w:line="288" w:lineRule="auto"/>
      <w:ind w:leftChars="0" w:left="737" w:firstLineChars="0" w:hanging="567"/>
      <w:jc w:val="left"/>
    </w:pPr>
    <w:rPr>
      <w:rFonts w:ascii="Courier New" w:eastAsia="宋体" w:hAnsi="Courier New" w:cs="仿宋_GB2312"/>
      <w:color w:val="FFFF99"/>
      <w:kern w:val="2"/>
      <w:sz w:val="24"/>
      <w:szCs w:val="20"/>
    </w:rPr>
  </w:style>
  <w:style w:type="paragraph" w:customStyle="1" w:styleId="CharCharCharCharCharCharCharCharCharCharCharCharCharCharCharCharCharCharCharCharCharCharCharCharChar2">
    <w:name w:val="Char Char Char Char Char Char Char Char Char Char Char Char Char Char Char Char Char Char Char Char Char Char Char Char Char2"/>
    <w:basedOn w:val="af1"/>
    <w:qFormat/>
    <w:pPr>
      <w:spacing w:line="360" w:lineRule="auto"/>
      <w:ind w:firstLineChars="200" w:firstLine="200"/>
    </w:pPr>
    <w:rPr>
      <w:rFonts w:ascii="宋体" w:hAnsi="宋体" w:cs="宋体"/>
      <w:sz w:val="24"/>
      <w:szCs w:val="24"/>
    </w:rPr>
  </w:style>
  <w:style w:type="paragraph" w:customStyle="1" w:styleId="1ffffa">
    <w:name w:val="1表格头"/>
    <w:basedOn w:val="1fff"/>
    <w:qFormat/>
    <w:rPr>
      <w:rFonts w:ascii="Times New Roman" w:hAnsi="Times New Roman"/>
      <w:sz w:val="24"/>
    </w:rPr>
  </w:style>
  <w:style w:type="paragraph" w:customStyle="1" w:styleId="191">
    <w:name w:val="标标题1.9"/>
    <w:basedOn w:val="af1"/>
    <w:qFormat/>
    <w:pPr>
      <w:widowControl/>
      <w:tabs>
        <w:tab w:val="left" w:pos="390"/>
        <w:tab w:val="center" w:pos="4060"/>
        <w:tab w:val="right" w:pos="8261"/>
      </w:tabs>
      <w:suppressAutoHyphens/>
      <w:adjustRightInd w:val="0"/>
      <w:spacing w:before="240" w:line="240" w:lineRule="atLeast"/>
      <w:ind w:left="390" w:hanging="390"/>
      <w:jc w:val="center"/>
    </w:pPr>
    <w:rPr>
      <w:rFonts w:ascii="黑体" w:eastAsia="黑体" w:hAnsi="Calibri" w:cs="Times New Roman"/>
      <w:b/>
      <w:spacing w:val="6"/>
      <w:kern w:val="0"/>
      <w:sz w:val="26"/>
      <w:szCs w:val="26"/>
    </w:rPr>
  </w:style>
  <w:style w:type="paragraph" w:customStyle="1" w:styleId="afffffffffffffffffff4">
    <w:name w:val="节以下标题"/>
    <w:basedOn w:val="afffffffffffff9"/>
    <w:qFormat/>
    <w:pPr>
      <w:adjustRightInd w:val="0"/>
      <w:ind w:firstLineChars="0" w:firstLine="0"/>
      <w:jc w:val="left"/>
    </w:pPr>
  </w:style>
  <w:style w:type="paragraph" w:customStyle="1" w:styleId="afffffffffffffffffff5">
    <w:name w:val="尾消息标题"/>
    <w:basedOn w:val="af1"/>
    <w:next w:val="affe"/>
    <w:qFormat/>
    <w:pPr>
      <w:widowControl/>
      <w:pBdr>
        <w:bottom w:val="single" w:sz="6" w:space="19" w:color="auto"/>
        <w:between w:val="single" w:sz="6" w:space="19" w:color="auto"/>
      </w:pBdr>
      <w:tabs>
        <w:tab w:val="left" w:pos="1260"/>
        <w:tab w:val="left" w:pos="2940"/>
      </w:tabs>
      <w:spacing w:line="240" w:lineRule="atLeast"/>
      <w:jc w:val="left"/>
    </w:pPr>
    <w:rPr>
      <w:rFonts w:ascii="仿宋_GB2312" w:hAnsi="仿宋_GB2312" w:cs="仿宋_GB2312"/>
      <w:kern w:val="0"/>
      <w:sz w:val="18"/>
      <w:szCs w:val="18"/>
    </w:rPr>
  </w:style>
  <w:style w:type="paragraph" w:customStyle="1" w:styleId="HeaderBase">
    <w:name w:val="Header Base"/>
    <w:basedOn w:val="af1"/>
    <w:qFormat/>
    <w:pPr>
      <w:keepLines/>
      <w:widowControl/>
      <w:tabs>
        <w:tab w:val="center" w:pos="4320"/>
        <w:tab w:val="right" w:pos="8640"/>
      </w:tabs>
      <w:spacing w:line="180" w:lineRule="atLeast"/>
      <w:jc w:val="left"/>
    </w:pPr>
    <w:rPr>
      <w:rFonts w:ascii="Arial" w:hAnsi="Arial" w:cs="Times New Roman"/>
      <w:spacing w:val="-5"/>
      <w:kern w:val="0"/>
      <w:sz w:val="28"/>
      <w:szCs w:val="20"/>
    </w:rPr>
  </w:style>
  <w:style w:type="paragraph" w:customStyle="1" w:styleId="1ffffb">
    <w:name w:val="正文 1"/>
    <w:basedOn w:val="26"/>
    <w:qFormat/>
    <w:pPr>
      <w:widowControl/>
      <w:adjustRightInd w:val="0"/>
      <w:snapToGrid w:val="0"/>
      <w:spacing w:after="0" w:line="240" w:lineRule="atLeast"/>
      <w:ind w:leftChars="0" w:left="0"/>
      <w:jc w:val="center"/>
    </w:pPr>
    <w:rPr>
      <w:rFonts w:ascii="仿宋_GB2312" w:eastAsia="黑体" w:hAnsi="仿宋_GB2312" w:cs="仿宋_GB2312"/>
      <w:sz w:val="21"/>
    </w:rPr>
  </w:style>
  <w:style w:type="paragraph" w:customStyle="1" w:styleId="22Char12">
    <w:name w:val="样式 标题 2标题 2 Char1 + 首行缩进:  2 字符"/>
    <w:basedOn w:val="22"/>
    <w:qFormat/>
    <w:pPr>
      <w:spacing w:line="560" w:lineRule="exact"/>
      <w:jc w:val="center"/>
    </w:pPr>
    <w:rPr>
      <w:rFonts w:cs="宋体"/>
      <w:szCs w:val="20"/>
    </w:rPr>
  </w:style>
  <w:style w:type="paragraph" w:customStyle="1" w:styleId="105052">
    <w:name w:val="样式 标题 1 + 段前: 0.5 行 段后: 0.5 行2"/>
    <w:basedOn w:val="1"/>
    <w:qFormat/>
    <w:pPr>
      <w:spacing w:beforeLines="50" w:before="340" w:afterLines="50" w:after="330" w:line="440" w:lineRule="exact"/>
    </w:pPr>
    <w:rPr>
      <w:rFonts w:ascii="Times New Roman" w:eastAsia="黑体" w:cs="宋体"/>
      <w:kern w:val="44"/>
      <w:sz w:val="32"/>
      <w:szCs w:val="32"/>
    </w:rPr>
  </w:style>
  <w:style w:type="character" w:customStyle="1" w:styleId="1ffffc">
    <w:name w:val="注释标题 字符1"/>
    <w:basedOn w:val="af3"/>
    <w:uiPriority w:val="99"/>
    <w:semiHidden/>
    <w:qFormat/>
    <w:rPr>
      <w:rFonts w:ascii="Calibri" w:eastAsia="宋体" w:hAnsi="Calibri" w:cs="Times New Roman"/>
      <w:szCs w:val="24"/>
      <w:lang w:val="en-US" w:eastAsia="zh-CN" w:bidi="ar-SA"/>
    </w:rPr>
  </w:style>
  <w:style w:type="paragraph" w:customStyle="1" w:styleId="afffffffffffffffffff6">
    <w:name w:val="灯泡注释(打印无效)"/>
    <w:basedOn w:val="affffa"/>
    <w:qFormat/>
    <w:pPr>
      <w:widowControl/>
      <w:snapToGrid w:val="0"/>
      <w:spacing w:after="0"/>
      <w:ind w:firstLineChars="0" w:firstLine="0"/>
      <w:jc w:val="left"/>
    </w:pPr>
    <w:rPr>
      <w:rFonts w:ascii="仿宋_GB2312" w:hAnsi="仿宋_GB2312" w:cs="仿宋_GB2312"/>
      <w:i/>
      <w:vanish/>
      <w:color w:val="FF0000"/>
      <w:szCs w:val="21"/>
    </w:rPr>
  </w:style>
  <w:style w:type="paragraph" w:customStyle="1" w:styleId="33H3h33rdlevel43Char3Cha">
    <w:name w:val="样式 标题 3小标题小节标题标题3H3h33rd level第二层条标题4标题 3 Char标题 3 Cha..."/>
    <w:basedOn w:val="31"/>
    <w:qFormat/>
    <w:pPr>
      <w:widowControl/>
      <w:tabs>
        <w:tab w:val="left" w:pos="851"/>
        <w:tab w:val="left" w:pos="1364"/>
      </w:tabs>
      <w:adjustRightInd w:val="0"/>
      <w:spacing w:before="120" w:after="120" w:line="240" w:lineRule="auto"/>
      <w:ind w:left="1135" w:hanging="1"/>
      <w:jc w:val="left"/>
      <w:textAlignment w:val="baseline"/>
    </w:pPr>
    <w:rPr>
      <w:rFonts w:ascii="仿宋_GB2312" w:hAnsi="Verdana" w:cs="Verdana"/>
      <w:color w:val="000000"/>
      <w:kern w:val="32"/>
    </w:rPr>
  </w:style>
  <w:style w:type="character" w:customStyle="1" w:styleId="1ffffd">
    <w:name w:val="结束语 字符1"/>
    <w:basedOn w:val="af3"/>
    <w:uiPriority w:val="99"/>
    <w:semiHidden/>
    <w:qFormat/>
    <w:rPr>
      <w:rFonts w:ascii="Calibri" w:eastAsia="宋体" w:hAnsi="Calibri" w:cs="Times New Roman"/>
      <w:szCs w:val="24"/>
      <w:lang w:val="en-US" w:eastAsia="zh-CN" w:bidi="ar-SA"/>
    </w:rPr>
  </w:style>
  <w:style w:type="paragraph" w:customStyle="1" w:styleId="a5">
    <w:name w:val="第十二章 图件标题"/>
    <w:basedOn w:val="-xin0"/>
    <w:next w:val="af1"/>
    <w:qFormat/>
    <w:pPr>
      <w:numPr>
        <w:numId w:val="20"/>
      </w:numPr>
      <w:adjustRightInd w:val="0"/>
      <w:spacing w:line="360" w:lineRule="auto"/>
      <w:ind w:firstLine="480"/>
    </w:pPr>
    <w:rPr>
      <w:rFonts w:ascii="Times New Roman" w:hAnsi="Times New Roman"/>
      <w:sz w:val="24"/>
    </w:rPr>
  </w:style>
  <w:style w:type="paragraph" w:customStyle="1" w:styleId="2H">
    <w:name w:val="列表 2H"/>
    <w:basedOn w:val="25"/>
    <w:qFormat/>
    <w:pPr>
      <w:widowControl/>
      <w:tabs>
        <w:tab w:val="left" w:pos="737"/>
      </w:tabs>
      <w:spacing w:beforeAutospacing="1" w:after="100" w:afterAutospacing="1" w:line="288" w:lineRule="auto"/>
      <w:ind w:leftChars="0" w:left="737" w:firstLineChars="0" w:hanging="567"/>
      <w:jc w:val="left"/>
    </w:pPr>
    <w:rPr>
      <w:rFonts w:ascii="Courier New" w:eastAsia="宋体" w:hAnsi="Courier New" w:cs="仿宋_GB2312"/>
      <w:color w:val="FFFF99"/>
      <w:kern w:val="2"/>
      <w:sz w:val="24"/>
      <w:szCs w:val="20"/>
    </w:rPr>
  </w:style>
  <w:style w:type="paragraph" w:customStyle="1" w:styleId="Char4CharCharCharCharCharChar11">
    <w:name w:val="Char4 Char Char Char Char Char Char11"/>
    <w:basedOn w:val="af1"/>
    <w:qFormat/>
    <w:pPr>
      <w:spacing w:line="360" w:lineRule="auto"/>
      <w:ind w:firstLineChars="200" w:firstLine="200"/>
    </w:pPr>
    <w:rPr>
      <w:rFonts w:ascii="宋体" w:hAnsi="宋体" w:cs="宋体"/>
      <w:sz w:val="24"/>
      <w:szCs w:val="24"/>
    </w:rPr>
  </w:style>
  <w:style w:type="paragraph" w:customStyle="1" w:styleId="xl74">
    <w:name w:val="xl74"/>
    <w:basedOn w:val="af1"/>
    <w:qFormat/>
    <w:pPr>
      <w:widowControl/>
      <w:pBdr>
        <w:top w:val="single" w:sz="8" w:space="0" w:color="auto"/>
        <w:bottom w:val="single" w:sz="8" w:space="0" w:color="auto"/>
        <w:right w:val="single" w:sz="8" w:space="0" w:color="auto"/>
      </w:pBdr>
      <w:spacing w:before="100" w:beforeAutospacing="1" w:after="100" w:afterAutospacing="1"/>
      <w:jc w:val="center"/>
    </w:pPr>
    <w:rPr>
      <w:rFonts w:ascii="宋体" w:hAnsi="宋体" w:cs="宋体"/>
      <w:kern w:val="0"/>
      <w:sz w:val="18"/>
      <w:szCs w:val="18"/>
    </w:rPr>
  </w:style>
  <w:style w:type="paragraph" w:customStyle="1" w:styleId="afffffffffffffffffff7">
    <w:name w:val="单位名称"/>
    <w:basedOn w:val="af1"/>
    <w:next w:val="af1"/>
    <w:qFormat/>
    <w:pPr>
      <w:widowControl/>
      <w:spacing w:line="500" w:lineRule="atLeast"/>
      <w:jc w:val="center"/>
    </w:pPr>
    <w:rPr>
      <w:rFonts w:ascii="仿宋_GB2312" w:hAnsi="仿宋_GB2312" w:cs="仿宋_GB2312"/>
      <w:sz w:val="44"/>
      <w:szCs w:val="44"/>
    </w:rPr>
  </w:style>
  <w:style w:type="paragraph" w:customStyle="1" w:styleId="3wf">
    <w:name w:val="样式3wf"/>
    <w:basedOn w:val="2fa"/>
    <w:qFormat/>
    <w:pPr>
      <w:widowControl/>
      <w:autoSpaceDE w:val="0"/>
      <w:autoSpaceDN w:val="0"/>
      <w:adjustRightInd w:val="0"/>
      <w:snapToGrid w:val="0"/>
      <w:spacing w:before="260" w:line="240" w:lineRule="auto"/>
      <w:ind w:firstLine="0"/>
      <w:jc w:val="center"/>
      <w:textAlignment w:val="baseline"/>
    </w:pPr>
    <w:rPr>
      <w:rFonts w:eastAsia="宋体"/>
      <w:sz w:val="24"/>
      <w:szCs w:val="21"/>
    </w:rPr>
  </w:style>
  <w:style w:type="paragraph" w:customStyle="1" w:styleId="xl101">
    <w:name w:val="xl101"/>
    <w:basedOn w:val="af1"/>
    <w:qFormat/>
    <w:pPr>
      <w:widowControl/>
      <w:pBdr>
        <w:top w:val="single" w:sz="4" w:space="0" w:color="auto"/>
        <w:left w:val="single" w:sz="4" w:space="0" w:color="auto"/>
        <w:bottom w:val="single" w:sz="4" w:space="0" w:color="auto"/>
      </w:pBdr>
      <w:spacing w:before="100" w:beforeAutospacing="1" w:after="100" w:afterAutospacing="1"/>
      <w:jc w:val="center"/>
    </w:pPr>
    <w:rPr>
      <w:rFonts w:ascii="華康中楷體" w:eastAsia="華康中楷體" w:hAnsi="華康中楷體" w:cs="華康中楷體"/>
      <w:kern w:val="0"/>
      <w:sz w:val="16"/>
      <w:szCs w:val="16"/>
    </w:rPr>
  </w:style>
  <w:style w:type="paragraph" w:customStyle="1" w:styleId="202">
    <w:name w:val="样式20"/>
    <w:basedOn w:val="TimesNewRoman0"/>
    <w:qFormat/>
    <w:rPr>
      <w:color w:val="000000"/>
    </w:rPr>
  </w:style>
  <w:style w:type="paragraph" w:customStyle="1" w:styleId="TimesNewRoman0">
    <w:name w:val="样式 表号 + Times New Roman"/>
    <w:basedOn w:val="affffffff8"/>
    <w:qFormat/>
    <w:pPr>
      <w:spacing w:line="240" w:lineRule="auto"/>
    </w:pPr>
    <w:rPr>
      <w:rFonts w:ascii="Times New Roman" w:eastAsia="华文中宋" w:hAnsi="Times New Roman"/>
      <w:szCs w:val="24"/>
    </w:rPr>
  </w:style>
  <w:style w:type="paragraph" w:customStyle="1" w:styleId="CharCharCharCharCharCharCharCharCharCharCharCharCharCharCharCharCharCharCharCharCharChar">
    <w:name w:val="Char Char Char Char Char Char Char Char Char Char Char Char Char Char Char Char Char Char Char Char Char Char"/>
    <w:basedOn w:val="af1"/>
    <w:qFormat/>
    <w:pPr>
      <w:spacing w:beforeLines="50" w:afterLines="50" w:line="360" w:lineRule="auto"/>
    </w:pPr>
    <w:rPr>
      <w:rFonts w:ascii="宋体" w:hAnsi="宋体" w:cs="宋体"/>
      <w:b/>
      <w:sz w:val="24"/>
      <w:szCs w:val="24"/>
    </w:rPr>
  </w:style>
  <w:style w:type="paragraph" w:customStyle="1" w:styleId="afffffffffffffffffff8">
    <w:name w:val="文章总标题"/>
    <w:basedOn w:val="af1"/>
    <w:next w:val="af1"/>
    <w:qFormat/>
    <w:pPr>
      <w:widowControl/>
      <w:spacing w:before="566" w:after="544" w:line="566" w:lineRule="atLeast"/>
      <w:jc w:val="center"/>
      <w:textAlignment w:val="baseline"/>
    </w:pPr>
    <w:rPr>
      <w:rFonts w:ascii="Courier New" w:eastAsia="楷体" w:hAnsi="仿宋_GB2312" w:cs="Courier New"/>
      <w:bCs/>
      <w:color w:val="000000"/>
      <w:kern w:val="0"/>
      <w:sz w:val="54"/>
      <w:szCs w:val="54"/>
      <w:u w:color="000000"/>
    </w:rPr>
  </w:style>
  <w:style w:type="character" w:customStyle="1" w:styleId="3fb">
    <w:name w:val="文档结构图 字符3"/>
    <w:basedOn w:val="af3"/>
    <w:uiPriority w:val="99"/>
    <w:semiHidden/>
    <w:qFormat/>
    <w:rPr>
      <w:rFonts w:ascii="Microsoft YaHei UI" w:eastAsia="Microsoft YaHei UI" w:hAnsi="Calibri" w:cs="Times New Roman"/>
      <w:sz w:val="18"/>
      <w:szCs w:val="18"/>
      <w:lang w:val="en-US" w:eastAsia="zh-CN" w:bidi="ar-SA"/>
    </w:rPr>
  </w:style>
  <w:style w:type="paragraph" w:customStyle="1" w:styleId="1ffffe">
    <w:name w:val="+列表1"/>
    <w:basedOn w:val="af1"/>
    <w:qFormat/>
    <w:pPr>
      <w:widowControl/>
      <w:jc w:val="center"/>
    </w:pPr>
    <w:rPr>
      <w:rFonts w:ascii="仿宋_GB2312" w:hAnsi="仿宋_GB2312" w:cs="仿宋_GB2312"/>
      <w:szCs w:val="21"/>
    </w:rPr>
  </w:style>
  <w:style w:type="paragraph" w:customStyle="1" w:styleId="Char2CharCharCharCharCharChar1CharCharCharCharCharChar1">
    <w:name w:val="Char2 Char Char Char Char Char Char1 Char Char Char Char Char Char1"/>
    <w:basedOn w:val="af1"/>
    <w:qFormat/>
    <w:pPr>
      <w:widowControl/>
      <w:spacing w:line="360" w:lineRule="auto"/>
      <w:ind w:firstLineChars="200" w:firstLine="200"/>
      <w:jc w:val="left"/>
    </w:pPr>
    <w:rPr>
      <w:rFonts w:ascii="Verdana" w:hAnsi="Verdana" w:cs="Verdana"/>
      <w:sz w:val="24"/>
      <w:szCs w:val="24"/>
    </w:rPr>
  </w:style>
  <w:style w:type="paragraph" w:customStyle="1" w:styleId="68">
    <w:name w:val="6表(图)头(治)"/>
    <w:next w:val="af1"/>
    <w:qFormat/>
    <w:pPr>
      <w:widowControl w:val="0"/>
      <w:adjustRightInd w:val="0"/>
      <w:snapToGrid w:val="0"/>
      <w:jc w:val="center"/>
    </w:pPr>
    <w:rPr>
      <w:rFonts w:ascii="Calibri" w:eastAsia="宋体" w:hAnsi="宋体" w:cs="Times New Roman"/>
      <w:sz w:val="21"/>
      <w:szCs w:val="21"/>
    </w:rPr>
  </w:style>
  <w:style w:type="paragraph" w:customStyle="1" w:styleId="3fc">
    <w:name w:val="3级"/>
    <w:basedOn w:val="af1"/>
    <w:qFormat/>
    <w:pPr>
      <w:widowControl/>
      <w:jc w:val="left"/>
    </w:pPr>
    <w:rPr>
      <w:rFonts w:ascii="Calibri" w:hAnsi="Calibri" w:cs="Times New Roman"/>
      <w:b/>
      <w:sz w:val="28"/>
      <w:szCs w:val="28"/>
    </w:rPr>
  </w:style>
  <w:style w:type="paragraph" w:customStyle="1" w:styleId="afffffffffffffffffff9">
    <w:name w:val="样式 正文文本 + 红色"/>
    <w:basedOn w:val="affe"/>
    <w:qFormat/>
    <w:pPr>
      <w:widowControl/>
      <w:adjustRightInd w:val="0"/>
      <w:snapToGrid w:val="0"/>
      <w:spacing w:before="60" w:after="60" w:line="264" w:lineRule="auto"/>
      <w:ind w:firstLineChars="200" w:firstLine="200"/>
      <w:jc w:val="left"/>
      <w:textAlignment w:val="baseline"/>
    </w:pPr>
    <w:rPr>
      <w:rFonts w:ascii="仿宋_GB2312" w:eastAsia="Times New Roman" w:hAnsi="仿宋_GB2312" w:cs="仿宋_GB2312"/>
      <w:color w:val="FF0000"/>
      <w:kern w:val="0"/>
      <w:sz w:val="24"/>
    </w:rPr>
  </w:style>
  <w:style w:type="paragraph" w:customStyle="1" w:styleId="132">
    <w:name w:val="1标题3级"/>
    <w:basedOn w:val="af1"/>
    <w:qFormat/>
    <w:pPr>
      <w:snapToGrid w:val="0"/>
      <w:spacing w:line="360" w:lineRule="auto"/>
    </w:pPr>
    <w:rPr>
      <w:rFonts w:ascii="Calibri" w:eastAsia="仿宋_GB2312" w:hAnsi="Calibri" w:cs="Times New Roman"/>
      <w:sz w:val="28"/>
      <w:szCs w:val="20"/>
    </w:rPr>
  </w:style>
  <w:style w:type="paragraph" w:customStyle="1" w:styleId="afffffffffffffffffffa">
    <w:name w:val="小表文居中"/>
    <w:basedOn w:val="af1"/>
    <w:qFormat/>
    <w:pPr>
      <w:autoSpaceDE w:val="0"/>
      <w:autoSpaceDN w:val="0"/>
      <w:spacing w:before="20" w:line="500" w:lineRule="exact"/>
      <w:ind w:firstLineChars="200" w:firstLine="200"/>
      <w:jc w:val="center"/>
    </w:pPr>
    <w:rPr>
      <w:rFonts w:ascii="Times" w:hAnsi="Times" w:cs="Times New Roman"/>
      <w:sz w:val="18"/>
      <w:szCs w:val="20"/>
    </w:rPr>
  </w:style>
  <w:style w:type="paragraph" w:customStyle="1" w:styleId="811">
    <w:name w:val="标题 81"/>
    <w:basedOn w:val="af1"/>
    <w:next w:val="af1"/>
    <w:qFormat/>
    <w:pPr>
      <w:keepNext/>
      <w:keepLines/>
      <w:tabs>
        <w:tab w:val="left" w:pos="1440"/>
      </w:tabs>
      <w:snapToGrid w:val="0"/>
      <w:spacing w:before="240" w:after="64" w:line="316" w:lineRule="auto"/>
      <w:ind w:left="1440" w:hanging="1440"/>
      <w:outlineLvl w:val="7"/>
    </w:pPr>
    <w:rPr>
      <w:rFonts w:ascii="Arial" w:eastAsia="黑体" w:hAnsi="Arial" w:cs="Times New Roman"/>
      <w:sz w:val="24"/>
      <w:szCs w:val="20"/>
    </w:rPr>
  </w:style>
  <w:style w:type="paragraph" w:customStyle="1" w:styleId="xl106">
    <w:name w:val="xl106"/>
    <w:basedOn w:val="af1"/>
    <w:qFormat/>
    <w:pPr>
      <w:widowControl/>
      <w:pBdr>
        <w:bottom w:val="single" w:sz="4" w:space="0" w:color="auto"/>
        <w:right w:val="single" w:sz="4" w:space="0" w:color="auto"/>
      </w:pBdr>
      <w:spacing w:before="100" w:beforeAutospacing="1" w:after="100" w:afterAutospacing="1"/>
      <w:jc w:val="center"/>
      <w:textAlignment w:val="center"/>
    </w:pPr>
    <w:rPr>
      <w:rFonts w:ascii="華康中楷體" w:eastAsia="華康中楷體" w:hAnsi="華康中楷體" w:cs="華康中楷體"/>
      <w:kern w:val="0"/>
      <w:sz w:val="16"/>
      <w:szCs w:val="16"/>
    </w:rPr>
  </w:style>
  <w:style w:type="paragraph" w:customStyle="1" w:styleId="afffffffffffffffffffb">
    <w:name w:val="调研内容"/>
    <w:basedOn w:val="af1"/>
    <w:qFormat/>
    <w:pPr>
      <w:widowControl/>
      <w:spacing w:line="360" w:lineRule="auto"/>
      <w:jc w:val="left"/>
    </w:pPr>
    <w:rPr>
      <w:rFonts w:ascii="Calibri" w:hAnsi="Calibri" w:cs="Times New Roman"/>
      <w:szCs w:val="20"/>
    </w:rPr>
  </w:style>
  <w:style w:type="paragraph" w:customStyle="1" w:styleId="xl113">
    <w:name w:val="xl113"/>
    <w:basedOn w:val="af1"/>
    <w:qFormat/>
    <w:pPr>
      <w:widowControl/>
      <w:pBdr>
        <w:left w:val="single" w:sz="8" w:space="0" w:color="auto"/>
        <w:bottom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20505">
    <w:name w:val="样式 标题 2 + 段前: 0.5 行 段后: 0.5 行"/>
    <w:basedOn w:val="22"/>
    <w:qFormat/>
    <w:pPr>
      <w:spacing w:before="156" w:after="156" w:line="440" w:lineRule="exact"/>
    </w:pPr>
    <w:rPr>
      <w:rFonts w:ascii="Times New Roman" w:hAnsi="Times New Roman" w:cs="宋体"/>
      <w:sz w:val="30"/>
      <w:szCs w:val="30"/>
    </w:rPr>
  </w:style>
  <w:style w:type="paragraph" w:customStyle="1" w:styleId="Zw">
    <w:name w:val="Zw"/>
    <w:basedOn w:val="af1"/>
    <w:next w:val="af1"/>
    <w:qFormat/>
    <w:pPr>
      <w:spacing w:line="360" w:lineRule="auto"/>
      <w:ind w:firstLineChars="200" w:firstLine="200"/>
    </w:pPr>
    <w:rPr>
      <w:rFonts w:ascii="宋体" w:hAnsi="Calibri" w:cs="Times New Roman"/>
      <w:sz w:val="24"/>
      <w:szCs w:val="20"/>
    </w:rPr>
  </w:style>
  <w:style w:type="paragraph" w:customStyle="1" w:styleId="Char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 Char1"/>
    <w:basedOn w:val="af1"/>
    <w:qFormat/>
    <w:pPr>
      <w:spacing w:line="360" w:lineRule="auto"/>
      <w:ind w:firstLineChars="200" w:firstLine="200"/>
    </w:pPr>
    <w:rPr>
      <w:rFonts w:ascii="宋体" w:hAnsi="宋体" w:cs="Times New Roman" w:hint="eastAsia"/>
      <w:sz w:val="24"/>
      <w:szCs w:val="20"/>
    </w:rPr>
  </w:style>
  <w:style w:type="paragraph" w:customStyle="1" w:styleId="afffffffffffffffffffc">
    <w:name w:val="正文首行缩进(西藏样式)"/>
    <w:basedOn w:val="af1"/>
    <w:qFormat/>
    <w:pPr>
      <w:adjustRightInd w:val="0"/>
      <w:snapToGrid w:val="0"/>
      <w:spacing w:line="400" w:lineRule="exact"/>
      <w:ind w:firstLine="482"/>
    </w:pPr>
    <w:rPr>
      <w:rFonts w:ascii="宋体" w:hAnsi="Calibri" w:cs="Times New Roman"/>
      <w:snapToGrid w:val="0"/>
      <w:kern w:val="0"/>
      <w:sz w:val="24"/>
      <w:szCs w:val="20"/>
    </w:rPr>
  </w:style>
  <w:style w:type="paragraph" w:customStyle="1" w:styleId="205050505">
    <w:name w:val="样式 样式 标题 2 + 段前: 0.5 行 段后: 0.5 行 + 段前: 0.5 行 段后: 0.5 行"/>
    <w:basedOn w:val="20505"/>
    <w:qFormat/>
    <w:pPr>
      <w:spacing w:before="50" w:after="0"/>
    </w:pPr>
    <w:rPr>
      <w:rFonts w:eastAsia="华文中宋"/>
    </w:rPr>
  </w:style>
  <w:style w:type="paragraph" w:customStyle="1" w:styleId="Char2CharCharCharCharCharChar1CharCharCharCharCharChar2">
    <w:name w:val="Char2 Char Char Char Char Char Char1 Char Char Char Char Char Char2"/>
    <w:basedOn w:val="af1"/>
    <w:qFormat/>
    <w:pPr>
      <w:spacing w:line="360" w:lineRule="auto"/>
      <w:ind w:firstLineChars="200" w:firstLine="200"/>
    </w:pPr>
    <w:rPr>
      <w:rFonts w:ascii="宋体" w:hAnsi="宋体" w:cs="宋体"/>
      <w:sz w:val="24"/>
      <w:szCs w:val="24"/>
    </w:rPr>
  </w:style>
  <w:style w:type="paragraph" w:customStyle="1" w:styleId="Char1CharCharCharCharCharCharCharChar">
    <w:name w:val="Char1 Char Char Char Char Char Char Char Char"/>
    <w:basedOn w:val="af1"/>
    <w:qFormat/>
    <w:pPr>
      <w:spacing w:line="360" w:lineRule="auto"/>
      <w:ind w:firstLineChars="200" w:firstLine="200"/>
    </w:pPr>
    <w:rPr>
      <w:rFonts w:ascii="Calibri" w:hAnsi="Calibri" w:cs="Times New Roman"/>
      <w:szCs w:val="24"/>
    </w:rPr>
  </w:style>
  <w:style w:type="paragraph" w:customStyle="1" w:styleId="31113CharChar3Char3-31111">
    <w:name w:val="样式 标题 31.1.1条标题 3 Char Char标题 3 Char标3可研-标题 3§1.1.1.. (1..."/>
    <w:basedOn w:val="31"/>
    <w:qFormat/>
    <w:pPr>
      <w:keepNext w:val="0"/>
      <w:keepLines w:val="0"/>
      <w:widowControl/>
      <w:tabs>
        <w:tab w:val="left" w:pos="180"/>
        <w:tab w:val="left" w:pos="390"/>
        <w:tab w:val="left" w:pos="628"/>
      </w:tabs>
      <w:autoSpaceDE w:val="0"/>
      <w:autoSpaceDN w:val="0"/>
      <w:adjustRightInd w:val="0"/>
      <w:snapToGrid w:val="0"/>
      <w:spacing w:before="0" w:after="0" w:line="360" w:lineRule="auto"/>
      <w:jc w:val="left"/>
    </w:pPr>
    <w:rPr>
      <w:rFonts w:ascii="宋体" w:hAnsi="宋体"/>
      <w:b w:val="0"/>
      <w:bCs w:val="0"/>
      <w:color w:val="000000"/>
      <w:spacing w:val="3"/>
      <w:sz w:val="28"/>
      <w:szCs w:val="28"/>
      <w:lang w:val="zh-CN"/>
    </w:rPr>
  </w:style>
  <w:style w:type="paragraph" w:customStyle="1" w:styleId="CharCharCharCharCharChar1CharCharChar1CharCharCharCharCharCharChar">
    <w:name w:val="Char Char Char Char Char Char1 Char Char Char1 Char Char Char Char Char Char Char"/>
    <w:basedOn w:val="af1"/>
    <w:qFormat/>
    <w:pPr>
      <w:spacing w:line="360" w:lineRule="auto"/>
      <w:ind w:firstLineChars="200" w:firstLine="200"/>
    </w:pPr>
    <w:rPr>
      <w:rFonts w:ascii="Calibri" w:hAnsi="Calibri" w:cs="Times New Roman"/>
      <w:sz w:val="24"/>
      <w:szCs w:val="20"/>
    </w:rPr>
  </w:style>
  <w:style w:type="paragraph" w:customStyle="1" w:styleId="3110">
    <w:name w:val="正文文本缩进 311"/>
    <w:basedOn w:val="af1"/>
    <w:qFormat/>
    <w:pPr>
      <w:widowControl/>
      <w:adjustRightInd w:val="0"/>
      <w:spacing w:line="360" w:lineRule="atLeast"/>
      <w:ind w:firstLine="480"/>
      <w:jc w:val="left"/>
      <w:textAlignment w:val="baseline"/>
    </w:pPr>
    <w:rPr>
      <w:rFonts w:ascii="Verdana" w:hAnsi="仿宋_GB2312" w:cs="仿宋_GB2312"/>
      <w:kern w:val="0"/>
      <w:sz w:val="24"/>
      <w:szCs w:val="20"/>
    </w:rPr>
  </w:style>
  <w:style w:type="paragraph" w:customStyle="1" w:styleId="3K">
    <w:name w:val="列表 3K"/>
    <w:basedOn w:val="34"/>
    <w:qFormat/>
    <w:pPr>
      <w:tabs>
        <w:tab w:val="left" w:pos="907"/>
      </w:tabs>
      <w:spacing w:line="288" w:lineRule="auto"/>
      <w:ind w:left="907" w:hanging="567"/>
      <w:jc w:val="left"/>
    </w:pPr>
    <w:rPr>
      <w:rFonts w:ascii="Courier New" w:hAnsi="Courier New" w:cs="仿宋_GB2312"/>
      <w:color w:val="CCFFCC"/>
      <w:sz w:val="24"/>
    </w:rPr>
  </w:style>
  <w:style w:type="paragraph" w:customStyle="1" w:styleId="H">
    <w:name w:val="列表 H"/>
    <w:basedOn w:val="afffe"/>
    <w:qFormat/>
    <w:pPr>
      <w:widowControl/>
      <w:tabs>
        <w:tab w:val="left" w:pos="425"/>
      </w:tabs>
      <w:spacing w:beforeLines="100" w:afterLines="50" w:line="288" w:lineRule="auto"/>
      <w:ind w:left="425" w:hanging="425"/>
      <w:jc w:val="left"/>
    </w:pPr>
    <w:rPr>
      <w:rFonts w:ascii="Courier New" w:eastAsia="宋体" w:hAnsi="Courier New" w:cs="仿宋_GB2312"/>
      <w:b/>
      <w:bCs/>
      <w:color w:val="FF99CC"/>
    </w:rPr>
  </w:style>
  <w:style w:type="paragraph" w:customStyle="1" w:styleId="1fffff">
    <w:name w:val="样式 标题 1 + 自动设置"/>
    <w:basedOn w:val="1"/>
    <w:qFormat/>
    <w:pPr>
      <w:widowControl/>
      <w:tabs>
        <w:tab w:val="left" w:pos="390"/>
        <w:tab w:val="left" w:pos="700"/>
      </w:tabs>
      <w:autoSpaceDE w:val="0"/>
      <w:autoSpaceDN w:val="0"/>
      <w:adjustRightInd w:val="0"/>
      <w:ind w:left="431" w:hanging="431"/>
    </w:pPr>
    <w:rPr>
      <w:rFonts w:ascii="Times New Roman"/>
      <w:kern w:val="44"/>
      <w:sz w:val="28"/>
      <w:szCs w:val="20"/>
    </w:rPr>
  </w:style>
  <w:style w:type="paragraph" w:customStyle="1" w:styleId="4TimesNewRoman7878">
    <w:name w:val="样式 标题 4 + Times New Roman 黑色 段前: 7.8 磅 段后: 7.8 磅"/>
    <w:basedOn w:val="41"/>
    <w:qFormat/>
    <w:pPr>
      <w:keepLines/>
      <w:widowControl w:val="0"/>
      <w:tabs>
        <w:tab w:val="left" w:pos="1080"/>
      </w:tabs>
      <w:adjustRightInd w:val="0"/>
      <w:spacing w:before="156" w:after="156" w:line="360" w:lineRule="auto"/>
      <w:ind w:firstLineChars="200" w:firstLine="1044"/>
      <w:jc w:val="both"/>
      <w:textAlignment w:val="baseline"/>
    </w:pPr>
    <w:rPr>
      <w:rFonts w:ascii="Times New Roman" w:eastAsia="黑体" w:hAnsi="Times New Roman" w:cs="宋体"/>
      <w:b w:val="0"/>
      <w:bCs/>
      <w:color w:val="000000"/>
      <w:kern w:val="2"/>
      <w:sz w:val="24"/>
    </w:rPr>
  </w:style>
  <w:style w:type="paragraph" w:customStyle="1" w:styleId="28815">
    <w:name w:val="样式 标题 2 + 段前: 8 磅 段后: 8 磅 行距: 1.5 倍行距"/>
    <w:basedOn w:val="22"/>
    <w:qFormat/>
    <w:pPr>
      <w:snapToGrid w:val="0"/>
      <w:spacing w:before="160" w:after="160" w:line="360" w:lineRule="auto"/>
    </w:pPr>
    <w:rPr>
      <w:rFonts w:eastAsia="仿宋_GB2312" w:hint="eastAsia"/>
      <w:sz w:val="28"/>
      <w:szCs w:val="20"/>
    </w:rPr>
  </w:style>
  <w:style w:type="paragraph" w:customStyle="1" w:styleId="afffffffffffffffffffd">
    <w:name w:val="图目录"/>
    <w:basedOn w:val="afffffffffffffffffffe"/>
    <w:qFormat/>
    <w:rPr>
      <w:sz w:val="21"/>
    </w:rPr>
  </w:style>
  <w:style w:type="paragraph" w:customStyle="1" w:styleId="afffffffffffffffffffe">
    <w:name w:val="图"/>
    <w:basedOn w:val="af1"/>
    <w:qFormat/>
    <w:pPr>
      <w:spacing w:beforeLines="50" w:before="156"/>
      <w:jc w:val="center"/>
      <w:outlineLvl w:val="5"/>
    </w:pPr>
    <w:rPr>
      <w:rFonts w:ascii="宋体" w:hAnsi="Calibri" w:cs="Times New Roman"/>
      <w:sz w:val="24"/>
      <w:szCs w:val="24"/>
    </w:rPr>
  </w:style>
  <w:style w:type="paragraph" w:customStyle="1" w:styleId="xl71">
    <w:name w:val="xl71"/>
    <w:basedOn w:val="af1"/>
    <w:qFormat/>
    <w:pPr>
      <w:widowControl/>
      <w:pBdr>
        <w:top w:val="single" w:sz="8" w:space="0" w:color="auto"/>
        <w:bottom w:val="single" w:sz="8" w:space="0" w:color="auto"/>
      </w:pBdr>
      <w:spacing w:before="100" w:beforeAutospacing="1" w:after="100" w:afterAutospacing="1"/>
      <w:jc w:val="center"/>
    </w:pPr>
    <w:rPr>
      <w:rFonts w:ascii="宋体" w:hAnsi="宋体" w:cs="宋体"/>
      <w:kern w:val="0"/>
      <w:sz w:val="18"/>
      <w:szCs w:val="18"/>
    </w:rPr>
  </w:style>
  <w:style w:type="paragraph" w:customStyle="1" w:styleId="3fd">
    <w:name w:val="目录3（西藏格式）"/>
    <w:basedOn w:val="TOC3"/>
    <w:qFormat/>
    <w:pPr>
      <w:tabs>
        <w:tab w:val="right" w:leader="middleDot" w:pos="9174"/>
      </w:tabs>
      <w:adjustRightInd w:val="0"/>
      <w:snapToGrid w:val="0"/>
      <w:spacing w:line="360" w:lineRule="auto"/>
      <w:ind w:left="964" w:firstLineChars="400" w:hanging="964"/>
    </w:pPr>
    <w:rPr>
      <w:rFonts w:eastAsia="黑体" w:cs="Calibri"/>
      <w:snapToGrid w:val="0"/>
      <w:sz w:val="24"/>
      <w:szCs w:val="21"/>
    </w:rPr>
  </w:style>
  <w:style w:type="paragraph" w:customStyle="1" w:styleId="205051">
    <w:name w:val="样式 标题 2 + 段前: 0.5 行 段后: 0.5 行1"/>
    <w:basedOn w:val="22"/>
    <w:qFormat/>
    <w:pPr>
      <w:spacing w:beforeLines="50" w:after="0" w:line="440" w:lineRule="exact"/>
    </w:pPr>
    <w:rPr>
      <w:rFonts w:ascii="Times New Roman" w:eastAsia="华文中宋" w:hAnsi="Times New Roman" w:cs="宋体"/>
      <w:sz w:val="30"/>
      <w:szCs w:val="30"/>
    </w:rPr>
  </w:style>
  <w:style w:type="character" w:customStyle="1" w:styleId="2ffff0">
    <w:name w:val="批注框文本 字符2"/>
    <w:basedOn w:val="af3"/>
    <w:uiPriority w:val="99"/>
    <w:semiHidden/>
    <w:qFormat/>
    <w:rPr>
      <w:rFonts w:ascii="Calibri" w:eastAsia="宋体" w:hAnsi="Calibri" w:cs="Times New Roman"/>
      <w:sz w:val="18"/>
      <w:szCs w:val="18"/>
      <w:lang w:val="en-US" w:eastAsia="zh-CN" w:bidi="ar-SA"/>
    </w:rPr>
  </w:style>
  <w:style w:type="paragraph" w:customStyle="1" w:styleId="CharCharChar1Char1CharCharChar">
    <w:name w:val="Char Char Char1 Char1 Char Char Char"/>
    <w:basedOn w:val="af1"/>
    <w:qFormat/>
    <w:pPr>
      <w:widowControl/>
      <w:jc w:val="left"/>
    </w:pPr>
    <w:rPr>
      <w:rFonts w:ascii="仿宋_GB2312" w:hAnsi="仿宋_GB2312" w:cs="仿宋_GB2312"/>
      <w:szCs w:val="24"/>
    </w:rPr>
  </w:style>
  <w:style w:type="paragraph" w:customStyle="1" w:styleId="XCHG0">
    <w:name w:val="XCHG论文正文"/>
    <w:basedOn w:val="af1"/>
    <w:qFormat/>
    <w:pPr>
      <w:spacing w:line="288" w:lineRule="auto"/>
      <w:ind w:firstLineChars="200" w:firstLine="480"/>
    </w:pPr>
    <w:rPr>
      <w:rFonts w:ascii="Calibri" w:hAnsi="Calibri" w:cs="Times New Roman"/>
      <w:color w:val="000000"/>
      <w:sz w:val="24"/>
      <w:szCs w:val="24"/>
    </w:rPr>
  </w:style>
  <w:style w:type="paragraph" w:customStyle="1" w:styleId="affffffffffffffffffff">
    <w:name w:val="表头、图片说明文字"/>
    <w:basedOn w:val="affffffffa"/>
    <w:qFormat/>
    <w:pPr>
      <w:ind w:firstLineChars="0" w:firstLine="0"/>
      <w:jc w:val="center"/>
    </w:pPr>
    <w:rPr>
      <w:rFonts w:cs="宋体"/>
      <w:b/>
      <w:bCs/>
      <w:szCs w:val="20"/>
    </w:rPr>
  </w:style>
  <w:style w:type="paragraph" w:customStyle="1" w:styleId="txt1">
    <w:name w:val="txt1"/>
    <w:basedOn w:val="af1"/>
    <w:qFormat/>
    <w:pPr>
      <w:widowControl/>
      <w:spacing w:before="100" w:beforeAutospacing="1" w:after="100" w:afterAutospacing="1" w:line="270" w:lineRule="atLeast"/>
      <w:jc w:val="left"/>
    </w:pPr>
    <w:rPr>
      <w:rFonts w:ascii="宋体" w:hAnsi="宋体" w:cs="Times New Roman"/>
      <w:color w:val="000000"/>
      <w:sz w:val="18"/>
      <w:szCs w:val="20"/>
    </w:rPr>
  </w:style>
  <w:style w:type="paragraph" w:customStyle="1" w:styleId="69">
    <w:name w:val="样式 样式6 + 黑色"/>
    <w:basedOn w:val="62"/>
    <w:qFormat/>
    <w:pPr>
      <w:widowControl/>
      <w:adjustRightInd/>
      <w:spacing w:after="0" w:line="300" w:lineRule="exact"/>
      <w:ind w:leftChars="-50" w:left="-120" w:rightChars="-50" w:right="-120"/>
      <w:jc w:val="center"/>
    </w:pPr>
    <w:rPr>
      <w:rFonts w:eastAsia="华文中宋" w:cs="宋体"/>
      <w:bCs/>
      <w:color w:val="000000"/>
      <w:spacing w:val="0"/>
      <w:sz w:val="21"/>
      <w:szCs w:val="21"/>
    </w:rPr>
  </w:style>
  <w:style w:type="paragraph" w:customStyle="1" w:styleId="affffffffffffffffffff0">
    <w:name w:val="样式 题注 + 五号 加粗 居中"/>
    <w:basedOn w:val="af1"/>
    <w:qFormat/>
    <w:pPr>
      <w:widowControl/>
      <w:spacing w:beforeLines="20" w:afterLines="20" w:line="360" w:lineRule="auto"/>
      <w:jc w:val="center"/>
    </w:pPr>
    <w:rPr>
      <w:rFonts w:ascii="Courier New" w:eastAsia="楷体" w:hAnsi="Courier New" w:cs="仿宋_GB2312"/>
      <w:b/>
      <w:bCs/>
      <w:sz w:val="24"/>
      <w:szCs w:val="21"/>
    </w:rPr>
  </w:style>
  <w:style w:type="paragraph" w:customStyle="1" w:styleId="1111-">
    <w:name w:val="1.1.1.1-"/>
    <w:basedOn w:val="af1"/>
    <w:qFormat/>
    <w:pPr>
      <w:widowControl/>
      <w:tabs>
        <w:tab w:val="left" w:pos="398"/>
        <w:tab w:val="left" w:pos="2268"/>
      </w:tabs>
      <w:wordWrap w:val="0"/>
      <w:adjustRightInd w:val="0"/>
      <w:snapToGrid w:val="0"/>
      <w:spacing w:line="360" w:lineRule="atLeast"/>
      <w:ind w:left="398" w:firstLine="1587"/>
      <w:jc w:val="left"/>
      <w:textAlignment w:val="baseline"/>
    </w:pPr>
    <w:rPr>
      <w:rFonts w:ascii="Courier New" w:eastAsia="PMingLiU" w:hAnsi="Courier New" w:cs="仿宋_GB2312"/>
      <w:kern w:val="0"/>
      <w:sz w:val="20"/>
      <w:szCs w:val="20"/>
    </w:rPr>
  </w:style>
  <w:style w:type="paragraph" w:customStyle="1" w:styleId="-17">
    <w:name w:val="框图-1"/>
    <w:basedOn w:val="af1"/>
    <w:qFormat/>
    <w:pPr>
      <w:jc w:val="center"/>
    </w:pPr>
    <w:rPr>
      <w:rFonts w:ascii="Calibri" w:eastAsia="仿宋_GB2312" w:hAnsi="Calibri" w:cs="宋体"/>
      <w:kern w:val="0"/>
      <w:szCs w:val="20"/>
    </w:rPr>
  </w:style>
  <w:style w:type="paragraph" w:customStyle="1" w:styleId="xl22">
    <w:name w:val="xl22"/>
    <w:basedOn w:val="af1"/>
    <w:qFormat/>
    <w:pPr>
      <w:widowControl/>
      <w:pBdr>
        <w:bottom w:val="single" w:sz="4" w:space="0" w:color="auto"/>
        <w:right w:val="single" w:sz="4" w:space="0" w:color="auto"/>
      </w:pBdr>
      <w:spacing w:before="100" w:after="100"/>
      <w:jc w:val="center"/>
    </w:pPr>
    <w:rPr>
      <w:rFonts w:ascii="宋体" w:hAnsi="宋体" w:cs="Times New Roman"/>
      <w:kern w:val="0"/>
      <w:szCs w:val="20"/>
    </w:rPr>
  </w:style>
  <w:style w:type="paragraph" w:customStyle="1" w:styleId="2ffff1">
    <w:name w:val="样式 标题 2"/>
    <w:basedOn w:val="22"/>
    <w:qFormat/>
    <w:pPr>
      <w:keepNext w:val="0"/>
      <w:keepLines w:val="0"/>
      <w:widowControl/>
      <w:spacing w:beforeLines="50" w:afterLines="50" w:line="500" w:lineRule="exact"/>
    </w:pPr>
    <w:rPr>
      <w:rFonts w:ascii="黑体"/>
      <w:b w:val="0"/>
      <w:bCs w:val="0"/>
      <w:spacing w:val="10"/>
      <w:w w:val="96"/>
      <w:sz w:val="30"/>
      <w:szCs w:val="20"/>
    </w:rPr>
  </w:style>
  <w:style w:type="character" w:customStyle="1" w:styleId="2ffff2">
    <w:name w:val="批注主题 字符2"/>
    <w:basedOn w:val="2fff4"/>
    <w:uiPriority w:val="99"/>
    <w:semiHidden/>
    <w:qFormat/>
    <w:rPr>
      <w:rFonts w:ascii="Calibri" w:eastAsia="宋体" w:hAnsi="Calibri" w:cs="Times New Roman"/>
      <w:b/>
      <w:bCs/>
      <w:szCs w:val="24"/>
      <w:lang w:val="en-US" w:eastAsia="zh-CN" w:bidi="ar-SA"/>
    </w:rPr>
  </w:style>
  <w:style w:type="paragraph" w:customStyle="1" w:styleId="F">
    <w:name w:val="列表 F"/>
    <w:basedOn w:val="afffe"/>
    <w:qFormat/>
    <w:pPr>
      <w:widowControl/>
      <w:tabs>
        <w:tab w:val="left" w:pos="425"/>
      </w:tabs>
      <w:spacing w:beforeLines="100" w:afterLines="50" w:line="288" w:lineRule="auto"/>
      <w:ind w:left="425" w:hanging="425"/>
      <w:jc w:val="left"/>
    </w:pPr>
    <w:rPr>
      <w:rFonts w:ascii="Courier New" w:eastAsia="宋体" w:hAnsi="Courier New" w:cs="仿宋_GB2312"/>
      <w:b/>
      <w:bCs/>
      <w:color w:val="FF99CC"/>
    </w:rPr>
  </w:style>
  <w:style w:type="paragraph" w:customStyle="1" w:styleId="affffffffffffffffffff1">
    <w:name w:val="正文缩进（自定义）"/>
    <w:basedOn w:val="af1"/>
    <w:qFormat/>
    <w:pPr>
      <w:spacing w:before="120" w:after="120" w:line="360" w:lineRule="auto"/>
      <w:ind w:firstLineChars="200" w:firstLine="480"/>
    </w:pPr>
    <w:rPr>
      <w:rFonts w:ascii="Century Gothic" w:hAnsi="Century Gothic" w:cs="Times New Roman"/>
      <w:kern w:val="0"/>
      <w:sz w:val="24"/>
      <w:szCs w:val="24"/>
    </w:rPr>
  </w:style>
  <w:style w:type="paragraph" w:customStyle="1" w:styleId="affffffffffffffffffff2">
    <w:name w:val="。"/>
    <w:basedOn w:val="af1"/>
    <w:qFormat/>
    <w:pPr>
      <w:adjustRightInd w:val="0"/>
      <w:spacing w:line="500" w:lineRule="atLeast"/>
      <w:ind w:left="57" w:right="57"/>
    </w:pPr>
    <w:rPr>
      <w:rFonts w:ascii="Calibri" w:eastAsia="楷体_GB2312" w:hAnsi="Calibri" w:cs="Times New Roman"/>
      <w:kern w:val="0"/>
      <w:sz w:val="28"/>
      <w:szCs w:val="20"/>
    </w:rPr>
  </w:style>
  <w:style w:type="paragraph" w:customStyle="1" w:styleId="CharCharChar110">
    <w:name w:val="Char Char Char11"/>
    <w:basedOn w:val="af1"/>
    <w:qFormat/>
    <w:pPr>
      <w:spacing w:line="360" w:lineRule="auto"/>
      <w:ind w:firstLineChars="200" w:firstLine="200"/>
    </w:pPr>
    <w:rPr>
      <w:rFonts w:ascii="宋体" w:hAnsi="宋体" w:cs="Times New Roman"/>
      <w:sz w:val="24"/>
      <w:szCs w:val="20"/>
    </w:rPr>
  </w:style>
  <w:style w:type="paragraph" w:customStyle="1" w:styleId="CharCharCharCharCharCharChar20">
    <w:name w:val="Char Char Char Char Char Char Char2"/>
    <w:basedOn w:val="af1"/>
    <w:qFormat/>
    <w:pPr>
      <w:tabs>
        <w:tab w:val="left" w:pos="432"/>
      </w:tabs>
      <w:ind w:left="432" w:hanging="432"/>
    </w:pPr>
    <w:rPr>
      <w:rFonts w:ascii="Calibri" w:hAnsi="Calibri" w:cs="Times New Roman"/>
      <w:szCs w:val="24"/>
    </w:rPr>
  </w:style>
  <w:style w:type="paragraph" w:customStyle="1" w:styleId="affffffffffffffffffff3">
    <w:name w:val="表格文字块"/>
    <w:basedOn w:val="afff0"/>
    <w:qFormat/>
    <w:pPr>
      <w:keepNext/>
      <w:snapToGrid w:val="0"/>
      <w:spacing w:after="0" w:line="240" w:lineRule="auto"/>
      <w:ind w:leftChars="0" w:left="0" w:rightChars="0" w:right="0" w:firstLine="0"/>
      <w:jc w:val="center"/>
    </w:pPr>
    <w:rPr>
      <w:rFonts w:eastAsia="楷体_GB2312"/>
      <w:snapToGrid w:val="0"/>
      <w:kern w:val="0"/>
      <w:szCs w:val="20"/>
    </w:rPr>
  </w:style>
  <w:style w:type="paragraph" w:customStyle="1" w:styleId="Char1CharCharChar1CharCharChar">
    <w:name w:val="Char1 Char Char Char1 Char Char Char"/>
    <w:basedOn w:val="af1"/>
    <w:qFormat/>
    <w:pPr>
      <w:widowControl/>
      <w:jc w:val="left"/>
    </w:pPr>
    <w:rPr>
      <w:rFonts w:ascii="仿宋_GB2312" w:hAnsi="仿宋_GB2312" w:cs="仿宋_GB2312"/>
      <w:sz w:val="24"/>
      <w:szCs w:val="24"/>
    </w:rPr>
  </w:style>
  <w:style w:type="paragraph" w:customStyle="1" w:styleId="affffffffffffffffffff4">
    <w:name w:val="注释"/>
    <w:basedOn w:val="affffffffff5"/>
    <w:qFormat/>
    <w:pPr>
      <w:adjustRightInd/>
      <w:spacing w:before="60" w:line="360" w:lineRule="exact"/>
      <w:ind w:firstLineChars="200" w:firstLine="200"/>
      <w:textAlignment w:val="auto"/>
    </w:pPr>
    <w:rPr>
      <w:szCs w:val="24"/>
    </w:rPr>
  </w:style>
  <w:style w:type="paragraph" w:customStyle="1" w:styleId="xl38">
    <w:name w:val="xl38"/>
    <w:basedOn w:val="af1"/>
    <w:qFormat/>
    <w:pPr>
      <w:widowControl/>
      <w:spacing w:before="100" w:beforeAutospacing="1" w:after="100" w:afterAutospacing="1"/>
      <w:jc w:val="center"/>
    </w:pPr>
    <w:rPr>
      <w:rFonts w:ascii="Arial Unicode MS" w:eastAsia="Arial Unicode MS" w:hAnsi="Arial Unicode MS" w:cs="Arial Unicode MS"/>
      <w:kern w:val="0"/>
      <w:sz w:val="18"/>
      <w:szCs w:val="18"/>
    </w:rPr>
  </w:style>
  <w:style w:type="paragraph" w:customStyle="1" w:styleId="CharCharffff7">
    <w:name w:val="表号 Char Char"/>
    <w:basedOn w:val="af1"/>
    <w:qFormat/>
    <w:pPr>
      <w:overflowPunct w:val="0"/>
      <w:topLinePunct/>
      <w:ind w:firstLineChars="200" w:firstLine="200"/>
      <w:outlineLvl w:val="5"/>
    </w:pPr>
    <w:rPr>
      <w:rFonts w:ascii="Calibri" w:hAnsi="Calibri" w:cs="Times New Roman"/>
      <w:szCs w:val="24"/>
    </w:rPr>
  </w:style>
  <w:style w:type="paragraph" w:customStyle="1" w:styleId="affffffffffffffffffff5">
    <w:name w:val="宋体"/>
    <w:basedOn w:val="af1"/>
    <w:next w:val="22"/>
    <w:semiHidden/>
    <w:qFormat/>
    <w:pPr>
      <w:tabs>
        <w:tab w:val="left" w:pos="540"/>
      </w:tabs>
      <w:spacing w:line="360" w:lineRule="auto"/>
      <w:ind w:firstLineChars="200" w:firstLine="560"/>
    </w:pPr>
    <w:rPr>
      <w:rFonts w:ascii="Calibri" w:hAnsi="Calibri" w:cs="Times New Roman"/>
      <w:b/>
      <w:sz w:val="28"/>
      <w:szCs w:val="28"/>
    </w:rPr>
  </w:style>
  <w:style w:type="paragraph" w:customStyle="1" w:styleId="124">
    <w:name w:val="样式 标题 1 + 首行缩进:  2 字符"/>
    <w:basedOn w:val="110"/>
    <w:qFormat/>
    <w:pPr>
      <w:widowControl w:val="0"/>
      <w:spacing w:beforeLines="0" w:afterLines="0" w:line="440" w:lineRule="exact"/>
      <w:jc w:val="left"/>
    </w:pPr>
    <w:rPr>
      <w:rFonts w:ascii="Times New Roman"/>
      <w:kern w:val="44"/>
      <w:sz w:val="32"/>
    </w:rPr>
  </w:style>
  <w:style w:type="paragraph" w:customStyle="1" w:styleId="1fffff0">
    <w:name w:val="列表 1"/>
    <w:basedOn w:val="af1"/>
    <w:qFormat/>
    <w:pPr>
      <w:widowControl/>
      <w:tabs>
        <w:tab w:val="left" w:pos="432"/>
      </w:tabs>
      <w:spacing w:before="120" w:after="60" w:line="288" w:lineRule="auto"/>
      <w:ind w:left="432" w:hanging="432"/>
      <w:jc w:val="left"/>
    </w:pPr>
    <w:rPr>
      <w:rFonts w:ascii="Courier New" w:hAnsi="Courier New" w:cs="仿宋_GB2312"/>
      <w:color w:val="FFCC99"/>
      <w:sz w:val="24"/>
      <w:szCs w:val="20"/>
    </w:rPr>
  </w:style>
  <w:style w:type="paragraph" w:customStyle="1" w:styleId="5L">
    <w:name w:val="列表 5L"/>
    <w:basedOn w:val="55"/>
    <w:qFormat/>
    <w:pPr>
      <w:tabs>
        <w:tab w:val="left" w:pos="1134"/>
      </w:tabs>
      <w:adjustRightInd/>
      <w:spacing w:beforeLines="0" w:line="240" w:lineRule="auto"/>
      <w:ind w:left="1134" w:hanging="425"/>
      <w:jc w:val="left"/>
      <w:textAlignment w:val="auto"/>
    </w:pPr>
    <w:rPr>
      <w:rFonts w:ascii="Courier New" w:hAnsi="Courier New" w:cs="仿宋_GB2312"/>
      <w:color w:val="99CCFF"/>
      <w:kern w:val="2"/>
    </w:rPr>
  </w:style>
  <w:style w:type="paragraph" w:customStyle="1" w:styleId="07400740">
    <w:name w:val="样式 样式 (符号) 宋体 左侧:  0.74 厘米 首行缩进:  0 厘米 + 左侧:  0.74 厘米 首行缩进:  0 ..."/>
    <w:basedOn w:val="affffa"/>
    <w:qFormat/>
    <w:pPr>
      <w:snapToGrid w:val="0"/>
      <w:spacing w:before="100" w:beforeAutospacing="1" w:after="0" w:line="360" w:lineRule="auto"/>
      <w:ind w:firstLineChars="200" w:firstLine="200"/>
    </w:pPr>
    <w:rPr>
      <w:rFonts w:eastAsia="Times New Roman"/>
      <w:sz w:val="28"/>
      <w:szCs w:val="20"/>
    </w:rPr>
  </w:style>
  <w:style w:type="character" w:customStyle="1" w:styleId="228">
    <w:name w:val="正文文本 2 字符2"/>
    <w:basedOn w:val="af3"/>
    <w:uiPriority w:val="99"/>
    <w:semiHidden/>
    <w:qFormat/>
    <w:rPr>
      <w:rFonts w:ascii="Calibri" w:eastAsia="宋体" w:hAnsi="Calibri" w:cs="Times New Roman"/>
      <w:szCs w:val="24"/>
      <w:lang w:val="en-US" w:eastAsia="zh-CN" w:bidi="ar-SA"/>
    </w:rPr>
  </w:style>
  <w:style w:type="paragraph" w:customStyle="1" w:styleId="affffffffffffffffffff6">
    <w:name w:val="表格内文字（两端对齐）"/>
    <w:basedOn w:val="affffffffff9"/>
    <w:qFormat/>
    <w:pPr>
      <w:tabs>
        <w:tab w:val="left" w:pos="1980"/>
        <w:tab w:val="left" w:pos="3825"/>
        <w:tab w:val="left" w:pos="4680"/>
      </w:tabs>
      <w:spacing w:line="240" w:lineRule="auto"/>
      <w:ind w:firstLine="240"/>
      <w:jc w:val="both"/>
    </w:pPr>
    <w:rPr>
      <w:rFonts w:ascii="Times New Roman" w:hAnsi="Times New Roman"/>
      <w:color w:val="000000"/>
      <w:spacing w:val="0"/>
      <w:kern w:val="0"/>
      <w:sz w:val="21"/>
      <w:szCs w:val="21"/>
    </w:rPr>
  </w:style>
  <w:style w:type="character" w:customStyle="1" w:styleId="1fffff1">
    <w:name w:val="称呼 字符1"/>
    <w:basedOn w:val="af3"/>
    <w:uiPriority w:val="99"/>
    <w:semiHidden/>
    <w:qFormat/>
    <w:rPr>
      <w:rFonts w:ascii="Calibri" w:eastAsia="宋体" w:hAnsi="Calibri" w:cs="Times New Roman"/>
      <w:szCs w:val="24"/>
      <w:lang w:val="en-US" w:eastAsia="zh-CN" w:bidi="ar-SA"/>
    </w:rPr>
  </w:style>
  <w:style w:type="paragraph" w:customStyle="1" w:styleId="5R">
    <w:name w:val="列表 5R"/>
    <w:basedOn w:val="55"/>
    <w:qFormat/>
    <w:pPr>
      <w:tabs>
        <w:tab w:val="left" w:pos="1134"/>
      </w:tabs>
      <w:adjustRightInd/>
      <w:spacing w:beforeLines="0" w:line="240" w:lineRule="auto"/>
      <w:ind w:left="1134" w:hanging="425"/>
      <w:jc w:val="left"/>
      <w:textAlignment w:val="auto"/>
    </w:pPr>
    <w:rPr>
      <w:rFonts w:ascii="Courier New" w:hAnsi="Courier New" w:cs="仿宋_GB2312"/>
      <w:color w:val="99CCFF"/>
      <w:kern w:val="2"/>
    </w:rPr>
  </w:style>
  <w:style w:type="paragraph" w:customStyle="1" w:styleId="1fffff2">
    <w:name w:val="文本块1"/>
    <w:basedOn w:val="af1"/>
    <w:qFormat/>
    <w:pPr>
      <w:adjustRightInd w:val="0"/>
      <w:spacing w:line="450" w:lineRule="atLeast"/>
      <w:ind w:left="119" w:right="91" w:firstLine="570"/>
    </w:pPr>
    <w:rPr>
      <w:rFonts w:ascii="Calibri" w:eastAsia="楷体_GB2312" w:hAnsi="Calibri" w:cs="Times New Roman"/>
      <w:kern w:val="0"/>
      <w:sz w:val="28"/>
      <w:szCs w:val="20"/>
    </w:rPr>
  </w:style>
  <w:style w:type="paragraph" w:customStyle="1" w:styleId="3ReHead3WSAh33Char32311Re11Head3WSA1">
    <w:name w:val="样式 标题 3ReHead 3 WSAh3标题 3 Char标题 32标题 311Re11Head 3 WSA1..."/>
    <w:basedOn w:val="31"/>
    <w:qFormat/>
    <w:pPr>
      <w:keepNext w:val="0"/>
      <w:keepLines w:val="0"/>
      <w:widowControl/>
      <w:spacing w:beforeLines="50" w:after="0" w:line="480" w:lineRule="exact"/>
      <w:jc w:val="left"/>
    </w:pPr>
    <w:rPr>
      <w:rFonts w:ascii="宋体" w:hAnsi="宋体" w:cs="宋体"/>
      <w:color w:val="000000"/>
      <w:kern w:val="0"/>
      <w:sz w:val="24"/>
      <w:szCs w:val="20"/>
    </w:rPr>
  </w:style>
  <w:style w:type="paragraph" w:customStyle="1" w:styleId="affffffffffffffffffff7">
    <w:name w:val="三级无标题条"/>
    <w:basedOn w:val="af1"/>
    <w:qFormat/>
    <w:pPr>
      <w:widowControl/>
      <w:jc w:val="left"/>
    </w:pPr>
    <w:rPr>
      <w:rFonts w:ascii="Calibri" w:hAnsi="Calibri" w:cs="Times New Roman"/>
      <w:szCs w:val="20"/>
    </w:rPr>
  </w:style>
  <w:style w:type="paragraph" w:customStyle="1" w:styleId="30505">
    <w:name w:val="样式 标题3 + 段前: 0.5 行 段后: 0.5 行"/>
    <w:basedOn w:val="3f8"/>
    <w:qFormat/>
    <w:pPr>
      <w:widowControl w:val="0"/>
      <w:overflowPunct w:val="0"/>
      <w:topLinePunct/>
      <w:spacing w:line="440" w:lineRule="exact"/>
      <w:ind w:firstLineChars="0" w:firstLine="0"/>
      <w:jc w:val="both"/>
    </w:pPr>
    <w:rPr>
      <w:rFonts w:eastAsia="华文中宋" w:cs="宋体"/>
      <w:b/>
      <w:bCs/>
      <w:color w:val="auto"/>
      <w:kern w:val="10"/>
      <w:sz w:val="28"/>
      <w:szCs w:val="20"/>
    </w:rPr>
  </w:style>
  <w:style w:type="paragraph" w:customStyle="1" w:styleId="affffffffffffffffffff8">
    <w:name w:val="公式"/>
    <w:next w:val="af1"/>
    <w:qFormat/>
    <w:pPr>
      <w:jc w:val="center"/>
    </w:pPr>
    <w:rPr>
      <w:rFonts w:ascii="Calibri" w:eastAsia="宋体" w:hAnsi="Calibri" w:cs="Times New Roman"/>
      <w:kern w:val="2"/>
      <w:position w:val="-24"/>
      <w:sz w:val="21"/>
    </w:rPr>
  </w:style>
  <w:style w:type="paragraph" w:customStyle="1" w:styleId="affffffffffffffffffff9">
    <w:name w:val="李海涛正文"/>
    <w:basedOn w:val="af1"/>
    <w:next w:val="af1"/>
    <w:qFormat/>
    <w:pPr>
      <w:widowControl/>
      <w:ind w:firstLineChars="200" w:firstLine="480"/>
    </w:pPr>
    <w:rPr>
      <w:rFonts w:ascii="宋体" w:hAnsi="Calibri" w:cs="Times New Roman"/>
      <w:sz w:val="24"/>
      <w:szCs w:val="20"/>
    </w:rPr>
  </w:style>
  <w:style w:type="paragraph" w:customStyle="1" w:styleId="162">
    <w:name w:val="样式16"/>
    <w:basedOn w:val="8-05-05"/>
    <w:qFormat/>
    <w:pPr>
      <w:spacing w:line="280" w:lineRule="exact"/>
    </w:pPr>
  </w:style>
  <w:style w:type="paragraph" w:customStyle="1" w:styleId="8-05-05">
    <w:name w:val="样式 样式8 + 左  -0.5 字符 右  -0.5 字符"/>
    <w:basedOn w:val="83"/>
    <w:qFormat/>
    <w:pPr>
      <w:keepNext w:val="0"/>
      <w:keepLines w:val="0"/>
      <w:spacing w:before="0" w:after="0" w:line="320" w:lineRule="exact"/>
      <w:ind w:leftChars="-50" w:left="-120" w:rightChars="-50" w:right="-120"/>
      <w:jc w:val="center"/>
      <w:outlineLvl w:val="9"/>
    </w:pPr>
    <w:rPr>
      <w:rFonts w:ascii="Times New Roman" w:eastAsia="华文中宋" w:hAnsi="Times New Roman"/>
      <w:b w:val="0"/>
      <w:bCs w:val="0"/>
      <w:color w:val="000000"/>
      <w:kern w:val="0"/>
      <w:sz w:val="21"/>
      <w:szCs w:val="21"/>
    </w:rPr>
  </w:style>
  <w:style w:type="paragraph" w:customStyle="1" w:styleId="affffffffffffffffffffa">
    <w:name w:val="正文（标准）"/>
    <w:basedOn w:val="af1"/>
    <w:qFormat/>
    <w:pPr>
      <w:tabs>
        <w:tab w:val="left" w:pos="432"/>
      </w:tabs>
      <w:adjustRightInd w:val="0"/>
      <w:spacing w:line="360" w:lineRule="auto"/>
      <w:ind w:left="432" w:firstLineChars="200" w:firstLine="200"/>
    </w:pPr>
    <w:rPr>
      <w:rFonts w:ascii="Calibri" w:hAnsi="Calibri" w:cs="Times New Roman"/>
      <w:sz w:val="24"/>
      <w:szCs w:val="30"/>
    </w:rPr>
  </w:style>
  <w:style w:type="paragraph" w:customStyle="1" w:styleId="CharCharCharCharCharCharCharCharCharCharCharChar1Char">
    <w:name w:val="Char Char Char Char Char Char Char Char Char Char Char Char1 Char"/>
    <w:basedOn w:val="af1"/>
    <w:next w:val="af1"/>
    <w:qFormat/>
    <w:pPr>
      <w:widowControl/>
      <w:spacing w:line="336" w:lineRule="auto"/>
      <w:ind w:firstLineChars="200" w:firstLine="200"/>
      <w:jc w:val="left"/>
    </w:pPr>
    <w:rPr>
      <w:rFonts w:ascii="Verdana" w:eastAsia="Batang" w:hAnsi="Verdana" w:cs="Verdana"/>
      <w:sz w:val="24"/>
      <w:szCs w:val="24"/>
    </w:rPr>
  </w:style>
  <w:style w:type="paragraph" w:customStyle="1" w:styleId="611">
    <w:name w:val="标题 61"/>
    <w:basedOn w:val="af1"/>
    <w:next w:val="af1"/>
    <w:qFormat/>
    <w:pPr>
      <w:keepNext/>
      <w:keepLines/>
      <w:tabs>
        <w:tab w:val="left" w:pos="1152"/>
      </w:tabs>
      <w:snapToGrid w:val="0"/>
      <w:spacing w:before="240" w:after="64" w:line="316" w:lineRule="auto"/>
      <w:ind w:left="1152" w:hanging="1152"/>
      <w:outlineLvl w:val="5"/>
    </w:pPr>
    <w:rPr>
      <w:rFonts w:ascii="Arial" w:eastAsia="黑体" w:hAnsi="Arial" w:cs="Times New Roman"/>
      <w:b/>
      <w:sz w:val="24"/>
      <w:szCs w:val="20"/>
    </w:rPr>
  </w:style>
  <w:style w:type="paragraph" w:customStyle="1" w:styleId="2ffff3">
    <w:name w:val="图表头2"/>
    <w:basedOn w:val="afffffffffffffff0"/>
    <w:qFormat/>
    <w:pPr>
      <w:snapToGrid/>
      <w:spacing w:beforeLines="50" w:afterLines="0"/>
      <w:ind w:leftChars="-50" w:left="-50" w:rightChars="20" w:right="20" w:firstLineChars="0" w:firstLine="0"/>
      <w:jc w:val="both"/>
    </w:pPr>
    <w:rPr>
      <w:rFonts w:ascii="黑体" w:eastAsia="黑体"/>
      <w:bCs w:val="0"/>
      <w:spacing w:val="5"/>
      <w:kern w:val="2"/>
      <w:sz w:val="18"/>
      <w:szCs w:val="20"/>
    </w:rPr>
  </w:style>
  <w:style w:type="paragraph" w:customStyle="1" w:styleId="205766620">
    <w:name w:val="样式 标题 2 + 左侧:  0 厘米 悬挂缩进: 5.76 字符 段前: 6 磅 段后: 6 磅 行距: 固定值 20..."/>
    <w:basedOn w:val="22"/>
    <w:qFormat/>
    <w:pPr>
      <w:widowControl/>
      <w:spacing w:beforeLines="50" w:after="120" w:line="400" w:lineRule="exact"/>
      <w:ind w:left="576" w:hanging="576"/>
    </w:pPr>
    <w:rPr>
      <w:b w:val="0"/>
      <w:bCs w:val="0"/>
      <w:sz w:val="28"/>
      <w:szCs w:val="20"/>
    </w:rPr>
  </w:style>
  <w:style w:type="paragraph" w:customStyle="1" w:styleId="CharCharCharChar30">
    <w:name w:val="Char Char Char Char3"/>
    <w:basedOn w:val="af1"/>
    <w:qFormat/>
    <w:pPr>
      <w:spacing w:line="360" w:lineRule="auto"/>
      <w:ind w:firstLineChars="200" w:firstLine="200"/>
    </w:pPr>
    <w:rPr>
      <w:rFonts w:ascii="宋体" w:hAnsi="宋体" w:cs="宋体"/>
      <w:sz w:val="24"/>
      <w:szCs w:val="24"/>
    </w:rPr>
  </w:style>
  <w:style w:type="paragraph" w:customStyle="1" w:styleId="affffffffffffffffffffb">
    <w:name w:val="左侧"/>
    <w:qFormat/>
    <w:pPr>
      <w:spacing w:line="280" w:lineRule="exact"/>
      <w:jc w:val="center"/>
    </w:pPr>
    <w:rPr>
      <w:rFonts w:ascii="Calibri" w:eastAsia="宋体" w:hAnsi="Calibri" w:cs="仿宋_GB2312"/>
      <w:color w:val="000000"/>
      <w:sz w:val="21"/>
    </w:rPr>
  </w:style>
  <w:style w:type="paragraph" w:customStyle="1" w:styleId="TOC20">
    <w:name w:val="TOC 标题2"/>
    <w:basedOn w:val="1"/>
    <w:next w:val="af1"/>
    <w:qFormat/>
    <w:pPr>
      <w:spacing w:before="340" w:after="330" w:line="578" w:lineRule="auto"/>
      <w:jc w:val="both"/>
      <w:outlineLvl w:val="9"/>
    </w:pPr>
    <w:rPr>
      <w:rFonts w:ascii="Times New Roman" w:cs="Wingdings"/>
      <w:kern w:val="2"/>
      <w:sz w:val="21"/>
      <w:szCs w:val="22"/>
    </w:rPr>
  </w:style>
  <w:style w:type="paragraph" w:customStyle="1" w:styleId="21a">
    <w:name w:val="正文文本 21"/>
    <w:basedOn w:val="af1"/>
    <w:qFormat/>
    <w:pPr>
      <w:adjustRightInd w:val="0"/>
      <w:textAlignment w:val="baseline"/>
    </w:pPr>
    <w:rPr>
      <w:rFonts w:ascii="Calibri" w:hAnsi="Calibri" w:cs="Times New Roman"/>
      <w:kern w:val="0"/>
      <w:sz w:val="24"/>
      <w:szCs w:val="20"/>
    </w:rPr>
  </w:style>
  <w:style w:type="paragraph" w:customStyle="1" w:styleId="CharCharCharCharCharCharCharCharCharCharCharCharCharCharCharCharCharChar1CharCharCharCharCharCharCharCharCharCharCharCharCharCharCharChar">
    <w:name w:val="Char Char Char Char Char Char Char Char Char Char Char Char Char Char Char Char Char Char1 Char Char Char Char Char Char Char Char Char Char Char Char Char Char Char Char"/>
    <w:basedOn w:val="af1"/>
    <w:qFormat/>
    <w:pPr>
      <w:spacing w:line="360" w:lineRule="auto"/>
      <w:ind w:firstLineChars="200" w:firstLine="200"/>
    </w:pPr>
    <w:rPr>
      <w:rFonts w:ascii="宋体" w:hAnsi="Calibri" w:cs="Times New Roman"/>
      <w:sz w:val="24"/>
      <w:szCs w:val="20"/>
    </w:rPr>
  </w:style>
  <w:style w:type="paragraph" w:customStyle="1" w:styleId="4f3">
    <w:name w:val="目录4"/>
    <w:basedOn w:val="af1"/>
    <w:next w:val="af1"/>
    <w:qFormat/>
    <w:pPr>
      <w:widowControl/>
      <w:tabs>
        <w:tab w:val="left" w:leader="dot" w:pos="8503"/>
      </w:tabs>
      <w:adjustRightInd w:val="0"/>
      <w:snapToGrid w:val="0"/>
      <w:ind w:left="419" w:firstLineChars="200" w:firstLine="629"/>
      <w:textAlignment w:val="baseline"/>
    </w:pPr>
    <w:rPr>
      <w:rFonts w:ascii="Calibri" w:hAnsi="Calibri" w:cs="Times New Roman"/>
      <w:snapToGrid w:val="0"/>
      <w:color w:val="000000"/>
      <w:kern w:val="0"/>
      <w:sz w:val="24"/>
      <w:szCs w:val="24"/>
      <w:u w:color="000000"/>
    </w:rPr>
  </w:style>
  <w:style w:type="paragraph" w:customStyle="1" w:styleId="2ffff4">
    <w:name w:val="正文首行缩进2（西藏格式）"/>
    <w:basedOn w:val="21"/>
    <w:qFormat/>
    <w:pPr>
      <w:adjustRightInd w:val="0"/>
      <w:snapToGrid w:val="0"/>
      <w:spacing w:after="0" w:line="360" w:lineRule="auto"/>
      <w:ind w:leftChars="0" w:left="0" w:firstLineChars="0" w:firstLine="482"/>
    </w:pPr>
    <w:rPr>
      <w:rFonts w:eastAsia="宋体"/>
      <w:snapToGrid w:val="0"/>
      <w:kern w:val="0"/>
      <w:sz w:val="24"/>
      <w:szCs w:val="20"/>
    </w:rPr>
  </w:style>
  <w:style w:type="paragraph" w:customStyle="1" w:styleId="affffffffffffffffffffc">
    <w:name w:val="横线"/>
    <w:basedOn w:val="aff0"/>
    <w:qFormat/>
    <w:pPr>
      <w:widowControl/>
      <w:adjustRightInd/>
      <w:spacing w:line="240" w:lineRule="auto"/>
      <w:ind w:firstLineChars="0" w:firstLine="0"/>
      <w:jc w:val="left"/>
      <w:textAlignment w:val="auto"/>
    </w:pPr>
    <w:rPr>
      <w:rFonts w:ascii="Calibri"/>
    </w:rPr>
  </w:style>
  <w:style w:type="paragraph" w:customStyle="1" w:styleId="2211H2h241lxb2Char0">
    <w:name w:val="样式 标题 2标题2节标题1.1H2h2第一层条4.1二级标题标题 lxb2二级标题 Char表标题单位..."/>
    <w:basedOn w:val="22"/>
    <w:qFormat/>
    <w:pPr>
      <w:tabs>
        <w:tab w:val="left" w:pos="1320"/>
      </w:tabs>
      <w:adjustRightInd w:val="0"/>
      <w:spacing w:before="0" w:after="0" w:line="240" w:lineRule="auto"/>
      <w:ind w:left="1320" w:hanging="420"/>
      <w:jc w:val="left"/>
      <w:textAlignment w:val="baseline"/>
    </w:pPr>
    <w:rPr>
      <w:rFonts w:ascii="Times New Roman" w:eastAsia="宋体" w:hAnsi="Times New Roman" w:cs="宋体"/>
      <w:kern w:val="0"/>
      <w:sz w:val="28"/>
      <w:szCs w:val="20"/>
    </w:rPr>
  </w:style>
  <w:style w:type="paragraph" w:customStyle="1" w:styleId="2ffff5">
    <w:name w:val="样式 标题 2 + (中文) 华文中宋 四号"/>
    <w:basedOn w:val="22"/>
    <w:qFormat/>
    <w:pPr>
      <w:tabs>
        <w:tab w:val="left" w:pos="992"/>
      </w:tabs>
      <w:adjustRightInd w:val="0"/>
      <w:snapToGrid w:val="0"/>
      <w:spacing w:before="232" w:after="232" w:line="240" w:lineRule="auto"/>
      <w:ind w:left="992" w:hanging="567"/>
      <w:textAlignment w:val="baseline"/>
    </w:pPr>
    <w:rPr>
      <w:rFonts w:ascii="Times New Roman" w:eastAsia="华文中宋" w:hAnsi="Times New Roman"/>
      <w:kern w:val="30"/>
      <w:sz w:val="28"/>
    </w:rPr>
  </w:style>
  <w:style w:type="character" w:customStyle="1" w:styleId="2ffff6">
    <w:name w:val="引用 字符2"/>
    <w:basedOn w:val="af3"/>
    <w:uiPriority w:val="29"/>
    <w:qFormat/>
    <w:rPr>
      <w:rFonts w:ascii="Calibri" w:eastAsia="宋体" w:hAnsi="Calibri" w:cs="Times New Roman"/>
      <w:i/>
      <w:iCs/>
      <w:color w:val="404040" w:themeColor="text1" w:themeTint="BF"/>
      <w:szCs w:val="24"/>
      <w:lang w:val="en-US" w:eastAsia="zh-CN" w:bidi="ar-SA"/>
    </w:rPr>
  </w:style>
  <w:style w:type="paragraph" w:customStyle="1" w:styleId="font16">
    <w:name w:val="font16"/>
    <w:basedOn w:val="af1"/>
    <w:qFormat/>
    <w:pPr>
      <w:widowControl/>
      <w:spacing w:before="100" w:beforeAutospacing="1" w:after="100" w:afterAutospacing="1"/>
      <w:jc w:val="left"/>
    </w:pPr>
    <w:rPr>
      <w:rFonts w:ascii="Verdana" w:hAnsi="Verdana" w:cs="華康中楷體"/>
      <w:kern w:val="0"/>
      <w:sz w:val="20"/>
      <w:szCs w:val="20"/>
      <w:u w:val="single"/>
    </w:rPr>
  </w:style>
  <w:style w:type="paragraph" w:customStyle="1" w:styleId="-e">
    <w:name w:val="正文-黑体"/>
    <w:basedOn w:val="-1"/>
    <w:next w:val="-1"/>
    <w:qFormat/>
    <w:pPr>
      <w:ind w:firstLine="480"/>
    </w:pPr>
    <w:rPr>
      <w:rFonts w:eastAsia="黑体"/>
      <w:sz w:val="20"/>
    </w:rPr>
  </w:style>
  <w:style w:type="paragraph" w:customStyle="1" w:styleId="4f4">
    <w:name w:val="样式 样式 样式4 + 黑色 + 自动设置"/>
    <w:basedOn w:val="4f5"/>
    <w:qFormat/>
    <w:rPr>
      <w:color w:val="auto"/>
    </w:rPr>
  </w:style>
  <w:style w:type="paragraph" w:customStyle="1" w:styleId="4f5">
    <w:name w:val="样式 样式4 + 黑色"/>
    <w:basedOn w:val="af1"/>
    <w:qFormat/>
    <w:pPr>
      <w:ind w:firstLineChars="200" w:firstLine="480"/>
    </w:pPr>
    <w:rPr>
      <w:rFonts w:ascii="Calibri" w:eastAsia="华文中宋" w:hAnsi="Calibri" w:cs="Times New Roman"/>
      <w:color w:val="000000"/>
      <w:sz w:val="24"/>
      <w:szCs w:val="24"/>
    </w:rPr>
  </w:style>
  <w:style w:type="character" w:customStyle="1" w:styleId="1fffff3">
    <w:name w:val="脚注文本 字符1"/>
    <w:basedOn w:val="af3"/>
    <w:uiPriority w:val="99"/>
    <w:semiHidden/>
    <w:qFormat/>
    <w:rPr>
      <w:rFonts w:ascii="Calibri" w:eastAsia="宋体" w:hAnsi="Calibri" w:cs="Times New Roman"/>
      <w:sz w:val="18"/>
      <w:szCs w:val="18"/>
      <w:lang w:val="en-US" w:eastAsia="zh-CN" w:bidi="ar-SA"/>
    </w:rPr>
  </w:style>
  <w:style w:type="paragraph" w:customStyle="1" w:styleId="affffffffffffffffffffd">
    <w:name w:val="表、图名宋旭峰"/>
    <w:basedOn w:val="afffffffffffff4"/>
    <w:qFormat/>
    <w:pPr>
      <w:adjustRightInd/>
      <w:spacing w:line="360" w:lineRule="auto"/>
      <w:textAlignment w:val="auto"/>
    </w:pPr>
    <w:rPr>
      <w:rFonts w:ascii="楷体" w:eastAsia="楷体" w:hAnsi="Verdana" w:cs="仿宋_GB2312"/>
      <w:spacing w:val="0"/>
      <w:szCs w:val="21"/>
    </w:rPr>
  </w:style>
  <w:style w:type="paragraph" w:customStyle="1" w:styleId="405">
    <w:name w:val="样式 标题4 + 段前: 0.5 行"/>
    <w:qFormat/>
    <w:rPr>
      <w:rFonts w:ascii="Calibri" w:eastAsia="宋体" w:hAnsi="Calibri" w:cs="宋体"/>
    </w:rPr>
  </w:style>
  <w:style w:type="paragraph" w:customStyle="1" w:styleId="affffffffffffffffffffe">
    <w:name w:val="正文(a)"/>
    <w:basedOn w:val="af1"/>
    <w:qFormat/>
    <w:pPr>
      <w:widowControl/>
      <w:tabs>
        <w:tab w:val="left" w:pos="1230"/>
      </w:tabs>
      <w:adjustRightInd w:val="0"/>
      <w:snapToGrid w:val="0"/>
      <w:spacing w:line="480" w:lineRule="exact"/>
      <w:ind w:left="56" w:firstLine="454"/>
      <w:textAlignment w:val="baseline"/>
    </w:pPr>
    <w:rPr>
      <w:rFonts w:ascii="宋体" w:hAnsi="Calibri" w:cs="Times New Roman"/>
      <w:snapToGrid w:val="0"/>
      <w:color w:val="000000"/>
      <w:spacing w:val="20"/>
      <w:kern w:val="24"/>
      <w:sz w:val="24"/>
      <w:szCs w:val="20"/>
      <w:u w:color="000000"/>
    </w:rPr>
  </w:style>
  <w:style w:type="paragraph" w:customStyle="1" w:styleId="1fffff4">
    <w:name w:val="修订1"/>
    <w:qFormat/>
    <w:rPr>
      <w:rFonts w:ascii="Calibri" w:eastAsia="宋体" w:hAnsi="Calibri" w:cs="Times New Roman"/>
      <w:kern w:val="2"/>
      <w:sz w:val="24"/>
    </w:rPr>
  </w:style>
  <w:style w:type="paragraph" w:customStyle="1" w:styleId="Qzy1">
    <w:name w:val="Qzy样式1"/>
    <w:basedOn w:val="1"/>
    <w:qFormat/>
    <w:pPr>
      <w:keepNext w:val="0"/>
      <w:widowControl/>
      <w:spacing w:line="240" w:lineRule="atLeast"/>
      <w:jc w:val="left"/>
    </w:pPr>
    <w:rPr>
      <w:rFonts w:ascii="Times New Roman"/>
      <w:bCs w:val="0"/>
      <w:kern w:val="44"/>
      <w:sz w:val="36"/>
      <w:szCs w:val="20"/>
    </w:rPr>
  </w:style>
  <w:style w:type="paragraph" w:customStyle="1" w:styleId="afffffffffffffffffffff">
    <w:name w:val="表内式样"/>
    <w:qFormat/>
    <w:pPr>
      <w:widowControl w:val="0"/>
      <w:jc w:val="center"/>
    </w:pPr>
    <w:rPr>
      <w:rFonts w:ascii="仿宋_GB2312" w:eastAsia="宋体" w:hAnsi="仿宋_GB2312" w:cs="仿宋_GB2312"/>
      <w:sz w:val="18"/>
      <w:szCs w:val="24"/>
    </w:rPr>
  </w:style>
  <w:style w:type="paragraph" w:customStyle="1" w:styleId="3fe">
    <w:name w:val="设计说明3"/>
    <w:basedOn w:val="2ffff7"/>
    <w:next w:val="af1"/>
    <w:qFormat/>
    <w:pPr>
      <w:tabs>
        <w:tab w:val="left" w:pos="425"/>
      </w:tabs>
      <w:spacing w:before="0" w:after="0"/>
      <w:ind w:left="425" w:hanging="425"/>
      <w:outlineLvl w:val="2"/>
    </w:pPr>
    <w:rPr>
      <w:b w:val="0"/>
    </w:rPr>
  </w:style>
  <w:style w:type="paragraph" w:customStyle="1" w:styleId="2ffff7">
    <w:name w:val="设计说明2"/>
    <w:basedOn w:val="af1"/>
    <w:qFormat/>
    <w:pPr>
      <w:tabs>
        <w:tab w:val="left" w:pos="360"/>
        <w:tab w:val="left" w:pos="630"/>
      </w:tabs>
      <w:spacing w:before="120" w:after="120" w:line="400" w:lineRule="exact"/>
      <w:jc w:val="left"/>
      <w:outlineLvl w:val="1"/>
    </w:pPr>
    <w:rPr>
      <w:rFonts w:ascii="新宋体" w:hAnsi="新宋体" w:cs="Times New Roman"/>
      <w:b/>
      <w:sz w:val="28"/>
      <w:szCs w:val="20"/>
    </w:rPr>
  </w:style>
  <w:style w:type="paragraph" w:customStyle="1" w:styleId="xl66">
    <w:name w:val="xl66"/>
    <w:basedOn w:val="af1"/>
    <w:qFormat/>
    <w:pPr>
      <w:widowControl/>
      <w:pBdr>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kern w:val="0"/>
      <w:sz w:val="18"/>
      <w:szCs w:val="18"/>
    </w:rPr>
  </w:style>
  <w:style w:type="paragraph" w:customStyle="1" w:styleId="afffffffffffffffffffff0">
    <w:name w:val="封面项目名称"/>
    <w:basedOn w:val="af1"/>
    <w:next w:val="af1"/>
    <w:qFormat/>
    <w:pPr>
      <w:widowControl/>
      <w:adjustRightInd w:val="0"/>
      <w:snapToGrid w:val="0"/>
      <w:spacing w:line="480" w:lineRule="exact"/>
      <w:ind w:firstLine="567"/>
      <w:jc w:val="center"/>
    </w:pPr>
    <w:rPr>
      <w:rFonts w:ascii="楷体" w:eastAsia="楷体" w:hAnsi="仿宋_GB2312" w:cs="仿宋_GB2312"/>
      <w:sz w:val="44"/>
      <w:szCs w:val="20"/>
    </w:rPr>
  </w:style>
  <w:style w:type="paragraph" w:customStyle="1" w:styleId="3C0">
    <w:name w:val="列表 3C"/>
    <w:basedOn w:val="34"/>
    <w:qFormat/>
    <w:pPr>
      <w:tabs>
        <w:tab w:val="left" w:pos="907"/>
      </w:tabs>
      <w:spacing w:line="288" w:lineRule="auto"/>
      <w:ind w:left="907" w:hanging="567"/>
      <w:jc w:val="left"/>
    </w:pPr>
    <w:rPr>
      <w:rFonts w:ascii="Courier New" w:hAnsi="Courier New" w:cs="仿宋_GB2312"/>
      <w:color w:val="CCFFCC"/>
      <w:sz w:val="24"/>
    </w:rPr>
  </w:style>
  <w:style w:type="paragraph" w:customStyle="1" w:styleId="xl109">
    <w:name w:val="xl109"/>
    <w:basedOn w:val="af1"/>
    <w:qFormat/>
    <w:pPr>
      <w:widowControl/>
      <w:pBdr>
        <w:top w:val="single" w:sz="4" w:space="0" w:color="auto"/>
        <w:right w:val="single" w:sz="8" w:space="0" w:color="auto"/>
      </w:pBdr>
      <w:spacing w:before="100" w:beforeAutospacing="1" w:after="100" w:afterAutospacing="1"/>
      <w:jc w:val="center"/>
      <w:textAlignment w:val="center"/>
    </w:pPr>
    <w:rPr>
      <w:rFonts w:ascii="華康中楷體" w:eastAsia="華康中楷體" w:hAnsi="華康中楷體" w:cs="華康中楷體"/>
      <w:kern w:val="0"/>
      <w:sz w:val="16"/>
      <w:szCs w:val="16"/>
    </w:rPr>
  </w:style>
  <w:style w:type="paragraph" w:customStyle="1" w:styleId="2ffff8">
    <w:name w:val="列表段落2"/>
    <w:basedOn w:val="af1"/>
    <w:qFormat/>
    <w:pPr>
      <w:ind w:firstLineChars="200" w:firstLine="420"/>
    </w:pPr>
    <w:rPr>
      <w:rFonts w:ascii="Calibri" w:hAnsi="Calibri" w:cs="黑体"/>
    </w:rPr>
  </w:style>
  <w:style w:type="paragraph" w:customStyle="1" w:styleId="font15">
    <w:name w:val="font15"/>
    <w:basedOn w:val="af1"/>
    <w:qFormat/>
    <w:pPr>
      <w:widowControl/>
      <w:spacing w:before="100" w:beforeAutospacing="1" w:after="100" w:afterAutospacing="1" w:line="360" w:lineRule="auto"/>
      <w:jc w:val="left"/>
    </w:pPr>
    <w:rPr>
      <w:rFonts w:ascii="宋体" w:hAnsi="宋体" w:cs="Times New Roman"/>
      <w:color w:val="000000"/>
      <w:sz w:val="20"/>
      <w:szCs w:val="20"/>
    </w:rPr>
  </w:style>
  <w:style w:type="paragraph" w:customStyle="1" w:styleId="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w:basedOn w:val="af1"/>
    <w:qFormat/>
    <w:pPr>
      <w:widowControl/>
      <w:jc w:val="left"/>
    </w:pPr>
    <w:rPr>
      <w:rFonts w:ascii="仿宋_GB2312" w:hAnsi="仿宋_GB2312" w:cs="仿宋_GB2312"/>
      <w:szCs w:val="24"/>
    </w:rPr>
  </w:style>
  <w:style w:type="paragraph" w:customStyle="1" w:styleId="afffffffffffffffffffff1">
    <w:name w:val="样式 样式 表格 + (符号) 宋体 五号 居中 + 小五"/>
    <w:basedOn w:val="af1"/>
    <w:qFormat/>
    <w:pPr>
      <w:widowControl/>
      <w:kinsoku w:val="0"/>
      <w:overflowPunct w:val="0"/>
      <w:adjustRightInd w:val="0"/>
      <w:snapToGrid w:val="0"/>
      <w:jc w:val="center"/>
    </w:pPr>
    <w:rPr>
      <w:rFonts w:ascii="仿宋_GB2312" w:hAnsi="仿宋_GB2312" w:cs="仿宋_GB2312"/>
      <w:kern w:val="0"/>
      <w:sz w:val="18"/>
      <w:szCs w:val="21"/>
    </w:rPr>
  </w:style>
  <w:style w:type="paragraph" w:customStyle="1" w:styleId="Char1CharCharChar1CharCharCharCharCharCharCharCharCharCharCharChar">
    <w:name w:val="Char1 Char Char Char1 Char Char Char Char Char Char Char Char Char Char Char Char"/>
    <w:basedOn w:val="af1"/>
    <w:qFormat/>
    <w:pPr>
      <w:widowControl/>
      <w:jc w:val="left"/>
    </w:pPr>
    <w:rPr>
      <w:rFonts w:ascii="仿宋_GB2312" w:hAnsi="仿宋_GB2312" w:cs="仿宋_GB2312"/>
      <w:sz w:val="24"/>
      <w:szCs w:val="24"/>
    </w:rPr>
  </w:style>
  <w:style w:type="paragraph" w:customStyle="1" w:styleId="1fffff5">
    <w:name w:val="新标题1"/>
    <w:qFormat/>
    <w:pPr>
      <w:pageBreakBefore/>
      <w:widowControl w:val="0"/>
      <w:spacing w:line="360" w:lineRule="auto"/>
      <w:jc w:val="both"/>
      <w:outlineLvl w:val="0"/>
    </w:pPr>
    <w:rPr>
      <w:rFonts w:ascii="Calibri" w:eastAsia="宋体" w:hAnsi="Calibri" w:cs="Times New Roman"/>
      <w:b/>
      <w:kern w:val="2"/>
      <w:sz w:val="28"/>
      <w:szCs w:val="28"/>
    </w:rPr>
  </w:style>
  <w:style w:type="paragraph" w:customStyle="1" w:styleId="-40">
    <w:name w:val="标-4"/>
    <w:basedOn w:val="af1"/>
    <w:qFormat/>
    <w:pPr>
      <w:widowControl/>
      <w:spacing w:before="120"/>
      <w:ind w:left="851" w:hanging="851"/>
      <w:jc w:val="left"/>
    </w:pPr>
    <w:rPr>
      <w:rFonts w:ascii="仿宋_GB2312" w:hAnsi="仿宋_GB2312" w:cs="仿宋_GB2312"/>
      <w:sz w:val="24"/>
      <w:szCs w:val="20"/>
    </w:rPr>
  </w:style>
  <w:style w:type="paragraph" w:customStyle="1" w:styleId="157">
    <w:name w:val="样式 行距: 1.5 倍行距"/>
    <w:basedOn w:val="af1"/>
    <w:qFormat/>
    <w:pPr>
      <w:widowControl/>
      <w:spacing w:line="360" w:lineRule="auto"/>
      <w:ind w:firstLineChars="200" w:firstLine="200"/>
      <w:jc w:val="left"/>
    </w:pPr>
    <w:rPr>
      <w:rFonts w:ascii="Calibri" w:hAnsi="Calibri" w:cs="宋体"/>
      <w:sz w:val="24"/>
      <w:szCs w:val="24"/>
    </w:rPr>
  </w:style>
  <w:style w:type="paragraph" w:customStyle="1" w:styleId="xl37">
    <w:name w:val="xl37"/>
    <w:basedOn w:val="af1"/>
    <w:qFormat/>
    <w:pPr>
      <w:widowControl/>
      <w:pBdr>
        <w:left w:val="single" w:sz="4" w:space="0" w:color="auto"/>
        <w:bottom w:val="single" w:sz="4" w:space="0" w:color="auto"/>
        <w:right w:val="single" w:sz="4" w:space="0" w:color="auto"/>
      </w:pBdr>
      <w:spacing w:before="100" w:beforeAutospacing="1" w:after="100" w:afterAutospacing="1"/>
      <w:jc w:val="center"/>
      <w:textAlignment w:val="top"/>
    </w:pPr>
    <w:rPr>
      <w:rFonts w:ascii="宋体" w:hAnsi="宋体" w:cs="Times New Roman"/>
      <w:kern w:val="0"/>
      <w:sz w:val="24"/>
      <w:szCs w:val="24"/>
    </w:rPr>
  </w:style>
  <w:style w:type="paragraph" w:customStyle="1" w:styleId="3A0">
    <w:name w:val="列表 3A"/>
    <w:basedOn w:val="34"/>
    <w:qFormat/>
    <w:pPr>
      <w:tabs>
        <w:tab w:val="left" w:pos="907"/>
      </w:tabs>
      <w:spacing w:line="288" w:lineRule="auto"/>
      <w:ind w:left="907" w:hanging="567"/>
      <w:jc w:val="left"/>
    </w:pPr>
    <w:rPr>
      <w:rFonts w:ascii="Courier New" w:hAnsi="Courier New" w:cs="仿宋_GB2312"/>
      <w:color w:val="CCFFCC"/>
      <w:sz w:val="24"/>
    </w:rPr>
  </w:style>
  <w:style w:type="paragraph" w:customStyle="1" w:styleId="GM">
    <w:name w:val="GM"/>
    <w:basedOn w:val="1"/>
    <w:qFormat/>
    <w:pPr>
      <w:keepLines w:val="0"/>
      <w:widowControl/>
      <w:tabs>
        <w:tab w:val="left" w:pos="2260"/>
        <w:tab w:val="left" w:pos="2820"/>
        <w:tab w:val="left" w:pos="3420"/>
      </w:tabs>
      <w:adjustRightInd w:val="0"/>
      <w:snapToGrid w:val="0"/>
      <w:spacing w:before="240" w:line="240" w:lineRule="auto"/>
      <w:ind w:left="851" w:right="-28" w:hanging="851"/>
      <w:jc w:val="left"/>
    </w:pPr>
    <w:rPr>
      <w:rFonts w:ascii="Courier New" w:hAnsi="Courier New" w:cs="仿宋_GB2312"/>
      <w:bCs w:val="0"/>
      <w:kern w:val="0"/>
      <w:sz w:val="22"/>
      <w:szCs w:val="20"/>
      <w:lang w:val="en-GB"/>
    </w:rPr>
  </w:style>
  <w:style w:type="paragraph" w:customStyle="1" w:styleId="3B0">
    <w:name w:val="列表 3B"/>
    <w:basedOn w:val="34"/>
    <w:qFormat/>
    <w:pPr>
      <w:tabs>
        <w:tab w:val="left" w:pos="907"/>
      </w:tabs>
      <w:spacing w:line="288" w:lineRule="auto"/>
      <w:ind w:left="907" w:hanging="567"/>
      <w:jc w:val="left"/>
    </w:pPr>
    <w:rPr>
      <w:rFonts w:ascii="Courier New" w:hAnsi="Courier New" w:cs="仿宋_GB2312"/>
      <w:color w:val="CCFFCC"/>
      <w:sz w:val="24"/>
    </w:rPr>
  </w:style>
  <w:style w:type="paragraph" w:customStyle="1" w:styleId="73">
    <w:name w:val="样式7"/>
    <w:basedOn w:val="3e"/>
    <w:qFormat/>
    <w:pPr>
      <w:adjustRightInd w:val="0"/>
      <w:snapToGrid w:val="0"/>
      <w:ind w:firstLineChars="200" w:firstLine="487"/>
    </w:pPr>
    <w:rPr>
      <w:rFonts w:eastAsia="华文中宋"/>
    </w:rPr>
  </w:style>
  <w:style w:type="paragraph" w:customStyle="1" w:styleId="3J">
    <w:name w:val="列表 3J"/>
    <w:basedOn w:val="34"/>
    <w:qFormat/>
    <w:pPr>
      <w:tabs>
        <w:tab w:val="left" w:pos="907"/>
      </w:tabs>
      <w:spacing w:line="288" w:lineRule="auto"/>
      <w:ind w:left="907" w:hanging="567"/>
      <w:jc w:val="left"/>
    </w:pPr>
    <w:rPr>
      <w:rFonts w:ascii="Courier New" w:hAnsi="Courier New" w:cs="仿宋_GB2312"/>
      <w:color w:val="CCFFCC"/>
      <w:sz w:val="24"/>
    </w:rPr>
  </w:style>
  <w:style w:type="paragraph" w:customStyle="1" w:styleId="2ffff9">
    <w:name w:val="正文（首行缩进2字符）"/>
    <w:basedOn w:val="af1"/>
    <w:qFormat/>
    <w:pPr>
      <w:topLinePunct/>
      <w:spacing w:line="360" w:lineRule="auto"/>
      <w:ind w:firstLineChars="200" w:firstLine="200"/>
    </w:pPr>
    <w:rPr>
      <w:rFonts w:ascii="Calibri" w:hAnsi="Calibri" w:cs="Times New Roman"/>
      <w:sz w:val="28"/>
      <w:szCs w:val="20"/>
    </w:rPr>
  </w:style>
  <w:style w:type="paragraph" w:customStyle="1" w:styleId="afffffffffffffffffffff2">
    <w:name w:val="环表"/>
    <w:basedOn w:val="afffffffffffffffffffff3"/>
    <w:qFormat/>
    <w:pPr>
      <w:spacing w:line="312" w:lineRule="atLeast"/>
      <w:ind w:right="29" w:firstLineChars="0" w:firstLine="0"/>
      <w:jc w:val="center"/>
    </w:pPr>
    <w:rPr>
      <w:rFonts w:ascii="仿宋_GB2312" w:eastAsia="仿宋_GB2312"/>
      <w:spacing w:val="-20"/>
      <w:sz w:val="21"/>
      <w:szCs w:val="24"/>
    </w:rPr>
  </w:style>
  <w:style w:type="paragraph" w:customStyle="1" w:styleId="afffffffffffffffffffff3">
    <w:name w:val="环正文"/>
    <w:basedOn w:val="af1"/>
    <w:qFormat/>
    <w:pPr>
      <w:widowControl/>
      <w:suppressAutoHyphens/>
      <w:adjustRightInd w:val="0"/>
      <w:spacing w:line="240" w:lineRule="atLeast"/>
      <w:ind w:firstLineChars="187" w:firstLine="512"/>
      <w:textAlignment w:val="baseline"/>
    </w:pPr>
    <w:rPr>
      <w:rFonts w:ascii="宋体" w:hAnsi="宋体" w:cs="Times New Roman"/>
      <w:kern w:val="0"/>
      <w:sz w:val="24"/>
      <w:szCs w:val="20"/>
    </w:rPr>
  </w:style>
  <w:style w:type="paragraph" w:customStyle="1" w:styleId="1-1">
    <w:name w:val="样式1-1"/>
    <w:basedOn w:val="af1"/>
    <w:qFormat/>
    <w:pPr>
      <w:tabs>
        <w:tab w:val="center" w:pos="4153"/>
        <w:tab w:val="right" w:pos="8306"/>
      </w:tabs>
      <w:adjustRightInd w:val="0"/>
      <w:spacing w:beforeLines="10" w:afterLines="10" w:line="460" w:lineRule="exact"/>
      <w:jc w:val="left"/>
      <w:textAlignment w:val="baseline"/>
      <w:outlineLvl w:val="1"/>
    </w:pPr>
    <w:rPr>
      <w:rFonts w:ascii="Calibri" w:eastAsia="黑体" w:hAnsi="Calibri" w:cs="Times New Roman"/>
      <w:b/>
      <w:sz w:val="24"/>
      <w:szCs w:val="20"/>
    </w:rPr>
  </w:style>
  <w:style w:type="paragraph" w:customStyle="1" w:styleId="xl53">
    <w:name w:val="xl53"/>
    <w:basedOn w:val="af1"/>
    <w:qFormat/>
    <w:pPr>
      <w:widowControl/>
      <w:pBdr>
        <w:left w:val="single" w:sz="4" w:space="0" w:color="auto"/>
        <w:right w:val="single" w:sz="4" w:space="0" w:color="auto"/>
      </w:pBdr>
      <w:spacing w:before="100" w:beforeAutospacing="1" w:after="100" w:afterAutospacing="1"/>
    </w:pPr>
    <w:rPr>
      <w:rFonts w:ascii="Arial Unicode MS" w:eastAsia="Arial Unicode MS" w:hAnsi="Arial Unicode MS" w:cs="Arial Unicode MS"/>
      <w:kern w:val="0"/>
      <w:sz w:val="18"/>
      <w:szCs w:val="18"/>
    </w:rPr>
  </w:style>
  <w:style w:type="paragraph" w:customStyle="1" w:styleId="3ff">
    <w:name w:val="正文文字3(西藏样式)"/>
    <w:basedOn w:val="af1"/>
    <w:qFormat/>
    <w:pPr>
      <w:adjustRightInd w:val="0"/>
      <w:snapToGrid w:val="0"/>
      <w:ind w:left="-57" w:right="-57"/>
      <w:jc w:val="center"/>
    </w:pPr>
    <w:rPr>
      <w:rFonts w:ascii="黑体" w:eastAsia="黑体" w:hAnsi="Calibri" w:cs="Times New Roman"/>
      <w:snapToGrid w:val="0"/>
      <w:kern w:val="0"/>
      <w:sz w:val="18"/>
      <w:szCs w:val="20"/>
    </w:rPr>
  </w:style>
  <w:style w:type="paragraph" w:customStyle="1" w:styleId="Char410">
    <w:name w:val="Char41"/>
    <w:basedOn w:val="af1"/>
    <w:qFormat/>
    <w:pPr>
      <w:spacing w:line="360" w:lineRule="auto"/>
      <w:ind w:firstLineChars="200" w:firstLine="200"/>
    </w:pPr>
    <w:rPr>
      <w:rFonts w:ascii="宋体" w:hAnsi="宋体" w:cs="Times New Roman" w:hint="eastAsia"/>
      <w:sz w:val="24"/>
      <w:szCs w:val="20"/>
    </w:rPr>
  </w:style>
  <w:style w:type="paragraph" w:customStyle="1" w:styleId="Char50">
    <w:name w:val="Char5"/>
    <w:basedOn w:val="af1"/>
    <w:qFormat/>
    <w:pPr>
      <w:shd w:val="clear" w:color="auto" w:fill="000080"/>
      <w:adjustRightInd w:val="0"/>
      <w:spacing w:line="436" w:lineRule="exact"/>
      <w:ind w:left="357"/>
      <w:jc w:val="left"/>
      <w:outlineLvl w:val="3"/>
    </w:pPr>
    <w:rPr>
      <w:rFonts w:ascii="Tahoma" w:hAnsi="Tahoma" w:cs="Times New Roman"/>
      <w:b/>
      <w:sz w:val="24"/>
      <w:szCs w:val="28"/>
      <w:shd w:val="clear" w:color="auto" w:fill="000080"/>
    </w:rPr>
  </w:style>
  <w:style w:type="paragraph" w:customStyle="1" w:styleId="afffffffffffffffffffff4">
    <w:name w:val="定表"/>
    <w:basedOn w:val="af1"/>
    <w:qFormat/>
    <w:pPr>
      <w:widowControl/>
      <w:snapToGrid w:val="0"/>
      <w:spacing w:afterLines="50"/>
      <w:jc w:val="left"/>
    </w:pPr>
    <w:rPr>
      <w:rFonts w:ascii="黑体" w:hAnsi="黑体" w:cs="黑体"/>
      <w:szCs w:val="24"/>
    </w:rPr>
  </w:style>
  <w:style w:type="paragraph" w:customStyle="1" w:styleId="3H">
    <w:name w:val="列表 3H"/>
    <w:basedOn w:val="34"/>
    <w:qFormat/>
    <w:pPr>
      <w:tabs>
        <w:tab w:val="left" w:pos="907"/>
      </w:tabs>
      <w:spacing w:line="288" w:lineRule="auto"/>
      <w:ind w:left="907" w:hanging="567"/>
      <w:jc w:val="left"/>
    </w:pPr>
    <w:rPr>
      <w:rFonts w:ascii="Courier New" w:hAnsi="Courier New" w:cs="仿宋_GB2312"/>
      <w:color w:val="CCFFCC"/>
      <w:sz w:val="24"/>
    </w:rPr>
  </w:style>
  <w:style w:type="paragraph" w:customStyle="1" w:styleId="ad">
    <w:name w:val="第八章 图件标题"/>
    <w:basedOn w:val="-xin0"/>
    <w:next w:val="af1"/>
    <w:qFormat/>
    <w:pPr>
      <w:numPr>
        <w:numId w:val="21"/>
      </w:numPr>
      <w:tabs>
        <w:tab w:val="left" w:pos="851"/>
      </w:tabs>
      <w:adjustRightInd w:val="0"/>
      <w:spacing w:line="360" w:lineRule="auto"/>
    </w:pPr>
    <w:rPr>
      <w:rFonts w:ascii="Times New Roman" w:hAnsi="Times New Roman"/>
      <w:sz w:val="24"/>
    </w:rPr>
  </w:style>
  <w:style w:type="paragraph" w:customStyle="1" w:styleId="Char2CharCharCharCharCharCharCharCharCharCharCharCharChar1CharCharCharCharCharCharCharCharCharCharCharCharCharCharChar1Char">
    <w:name w:val="Char2 Char Char Char Char Char Char Char Char Char Char Char Char Char1 Char Char Char Char Char Char Char Char Char Char Char Char Char Char Char1 Char"/>
    <w:basedOn w:val="af1"/>
    <w:qFormat/>
    <w:rPr>
      <w:rFonts w:ascii="Tahoma" w:hAnsi="Tahoma" w:cs="Tahoma"/>
      <w:b/>
      <w:bCs/>
      <w:sz w:val="24"/>
      <w:szCs w:val="44"/>
    </w:rPr>
  </w:style>
  <w:style w:type="character" w:customStyle="1" w:styleId="HTML21">
    <w:name w:val="HTML 预设格式 字符2"/>
    <w:basedOn w:val="af3"/>
    <w:uiPriority w:val="99"/>
    <w:semiHidden/>
    <w:qFormat/>
    <w:rPr>
      <w:rFonts w:ascii="Courier New" w:eastAsia="宋体" w:hAnsi="Courier New" w:cs="Courier New"/>
      <w:sz w:val="20"/>
      <w:szCs w:val="20"/>
      <w:lang w:val="en-US" w:eastAsia="zh-CN" w:bidi="ar-SA"/>
    </w:rPr>
  </w:style>
  <w:style w:type="paragraph" w:customStyle="1" w:styleId="BG1">
    <w:name w:val="BG1"/>
    <w:basedOn w:val="af1"/>
    <w:qFormat/>
    <w:pPr>
      <w:widowControl/>
      <w:autoSpaceDE w:val="0"/>
      <w:autoSpaceDN w:val="0"/>
      <w:jc w:val="center"/>
    </w:pPr>
    <w:rPr>
      <w:rFonts w:ascii="仿宋_GB2312" w:hAnsi="仿宋_GB2312" w:cs="仿宋_GB2312"/>
      <w:color w:val="000000"/>
      <w:kern w:val="0"/>
      <w:szCs w:val="24"/>
    </w:rPr>
  </w:style>
  <w:style w:type="paragraph" w:customStyle="1" w:styleId="xl99">
    <w:name w:val="xl99"/>
    <w:basedOn w:val="af1"/>
    <w:qFormat/>
    <w:pPr>
      <w:widowControl/>
      <w:pBdr>
        <w:top w:val="single" w:sz="8" w:space="0" w:color="auto"/>
        <w:left w:val="single" w:sz="8" w:space="0" w:color="auto"/>
        <w:bottom w:val="single" w:sz="4" w:space="0" w:color="auto"/>
      </w:pBdr>
      <w:spacing w:before="100" w:beforeAutospacing="1" w:after="100" w:afterAutospacing="1"/>
      <w:jc w:val="center"/>
    </w:pPr>
    <w:rPr>
      <w:rFonts w:ascii="華康中楷體" w:eastAsia="華康中楷體" w:hAnsi="華康中楷體" w:cs="華康中楷體"/>
      <w:kern w:val="0"/>
      <w:sz w:val="16"/>
      <w:szCs w:val="16"/>
    </w:rPr>
  </w:style>
  <w:style w:type="paragraph" w:customStyle="1" w:styleId="Char2CharCharCharCharCharCharCharCharCharCharCharCharChar1CharCharCharCharCharCharCharCharCharCharCharCharCharCharChar1Char1">
    <w:name w:val="Char2 Char Char Char Char Char Char Char Char Char Char Char Char Char1 Char Char Char Char Char Char Char Char Char Char Char Char Char Char Char1 Char1"/>
    <w:basedOn w:val="af1"/>
    <w:qFormat/>
    <w:rPr>
      <w:rFonts w:ascii="Tahoma" w:hAnsi="Tahoma" w:cs="Tahoma"/>
      <w:b/>
      <w:bCs/>
      <w:sz w:val="24"/>
      <w:szCs w:val="44"/>
    </w:rPr>
  </w:style>
  <w:style w:type="paragraph" w:customStyle="1" w:styleId="CharCharCharCharCharb">
    <w:name w:val="Char Char Char Char Char"/>
    <w:basedOn w:val="af1"/>
    <w:qFormat/>
    <w:rPr>
      <w:rFonts w:ascii="Calibri" w:hAnsi="Calibri" w:cs="Times New Roman"/>
      <w:sz w:val="24"/>
      <w:szCs w:val="24"/>
    </w:rPr>
  </w:style>
  <w:style w:type="paragraph" w:customStyle="1" w:styleId="1151">
    <w:name w:val="样式 标题 1 + 行距: 1.5 倍行距"/>
    <w:basedOn w:val="1"/>
    <w:qFormat/>
    <w:pPr>
      <w:adjustRightInd w:val="0"/>
      <w:jc w:val="left"/>
      <w:textAlignment w:val="baseline"/>
    </w:pPr>
    <w:rPr>
      <w:rFonts w:ascii="Times New Roman" w:eastAsia="黑体" w:cs="宋体"/>
      <w:kern w:val="44"/>
      <w:sz w:val="24"/>
      <w:szCs w:val="20"/>
    </w:rPr>
  </w:style>
  <w:style w:type="paragraph" w:customStyle="1" w:styleId="2TimesNewRoman2">
    <w:name w:val="样式 标题 2 + Times New Roman 首行缩进:  2 字符"/>
    <w:basedOn w:val="22"/>
    <w:qFormat/>
    <w:pPr>
      <w:snapToGrid w:val="0"/>
      <w:spacing w:before="120" w:after="0" w:line="360" w:lineRule="auto"/>
    </w:pPr>
    <w:rPr>
      <w:rFonts w:ascii="华文中宋" w:eastAsia="华文中宋" w:hAnsi="华文中宋" w:hint="eastAsia"/>
      <w:sz w:val="28"/>
      <w:szCs w:val="20"/>
    </w:rPr>
  </w:style>
  <w:style w:type="paragraph" w:customStyle="1" w:styleId="afffffffffffffffffffff5">
    <w:name w:val="小于节标题"/>
    <w:basedOn w:val="afffffffffffff9"/>
    <w:qFormat/>
    <w:pPr>
      <w:adjustRightInd w:val="0"/>
      <w:ind w:firstLineChars="0" w:firstLine="0"/>
    </w:pPr>
  </w:style>
  <w:style w:type="paragraph" w:customStyle="1" w:styleId="1fffff6">
    <w:name w:val="（1）"/>
    <w:basedOn w:val="af1"/>
    <w:qFormat/>
    <w:pPr>
      <w:spacing w:beforeLines="50" w:afterLines="50" w:line="400" w:lineRule="exact"/>
      <w:ind w:firstLineChars="200" w:firstLine="200"/>
    </w:pPr>
    <w:rPr>
      <w:rFonts w:ascii="仿宋_GB2312" w:eastAsia="楷体_GB2312" w:hAnsi="Calibri" w:cs="Times New Roman"/>
      <w:b/>
      <w:sz w:val="28"/>
      <w:szCs w:val="20"/>
    </w:rPr>
  </w:style>
  <w:style w:type="paragraph" w:customStyle="1" w:styleId="Char1CharCharCharCharCharCharCharChar2">
    <w:name w:val="Char1 Char Char Char Char Char Char Char Char2"/>
    <w:basedOn w:val="af1"/>
    <w:qFormat/>
    <w:pPr>
      <w:spacing w:line="360" w:lineRule="auto"/>
      <w:ind w:firstLineChars="200" w:firstLine="200"/>
    </w:pPr>
    <w:rPr>
      <w:rFonts w:ascii="Calibri" w:hAnsi="Calibri" w:cs="Times New Roman"/>
      <w:szCs w:val="24"/>
    </w:rPr>
  </w:style>
  <w:style w:type="paragraph" w:customStyle="1" w:styleId="3ff0">
    <w:name w:val="样式 标题 3 + 小四"/>
    <w:basedOn w:val="41"/>
    <w:qFormat/>
    <w:pPr>
      <w:keepLines/>
      <w:widowControl w:val="0"/>
      <w:spacing w:beforeLines="50" w:afterLines="50" w:line="480" w:lineRule="auto"/>
      <w:ind w:firstLineChars="200" w:firstLine="1044"/>
      <w:jc w:val="left"/>
    </w:pPr>
    <w:rPr>
      <w:rFonts w:ascii="Times New Roman" w:eastAsia="黑体" w:hAnsi="宋体"/>
      <w:b w:val="0"/>
      <w:bCs/>
      <w:kern w:val="2"/>
      <w:sz w:val="24"/>
      <w:szCs w:val="24"/>
    </w:rPr>
  </w:style>
  <w:style w:type="paragraph" w:customStyle="1" w:styleId="1fffff7">
    <w:name w:val="设计说明1"/>
    <w:basedOn w:val="af1"/>
    <w:qFormat/>
    <w:pPr>
      <w:tabs>
        <w:tab w:val="left" w:pos="567"/>
      </w:tabs>
      <w:spacing w:before="240" w:after="240" w:line="400" w:lineRule="exact"/>
      <w:ind w:left="567" w:hanging="567"/>
      <w:jc w:val="left"/>
      <w:outlineLvl w:val="0"/>
    </w:pPr>
    <w:rPr>
      <w:rFonts w:ascii="宋体" w:hAnsi="宋体" w:cs="Times New Roman"/>
      <w:b/>
      <w:sz w:val="24"/>
      <w:szCs w:val="20"/>
    </w:rPr>
  </w:style>
  <w:style w:type="paragraph" w:customStyle="1" w:styleId="xl82">
    <w:name w:val="xl82"/>
    <w:basedOn w:val="af1"/>
    <w:qFormat/>
    <w:pPr>
      <w:widowControl/>
      <w:spacing w:before="100" w:beforeAutospacing="1" w:after="100" w:afterAutospacing="1" w:line="360" w:lineRule="auto"/>
      <w:jc w:val="center"/>
    </w:pPr>
    <w:rPr>
      <w:rFonts w:ascii="宋体" w:hAnsi="宋体" w:cs="Times New Roman"/>
      <w:color w:val="000000"/>
      <w:sz w:val="24"/>
      <w:szCs w:val="20"/>
      <w:u w:val="single"/>
    </w:rPr>
  </w:style>
  <w:style w:type="paragraph" w:customStyle="1" w:styleId="2ffffa">
    <w:name w:val="成简2"/>
    <w:basedOn w:val="af1"/>
    <w:qFormat/>
    <w:pPr>
      <w:spacing w:line="360" w:lineRule="auto"/>
      <w:outlineLvl w:val="1"/>
    </w:pPr>
    <w:rPr>
      <w:rFonts w:ascii="黑体" w:eastAsia="楷体_GB2312" w:hAnsi="Calibri" w:cs="Times New Roman"/>
      <w:sz w:val="28"/>
      <w:szCs w:val="20"/>
    </w:rPr>
  </w:style>
  <w:style w:type="paragraph" w:customStyle="1" w:styleId="2V">
    <w:name w:val="列表 2V"/>
    <w:basedOn w:val="25"/>
    <w:qFormat/>
    <w:pPr>
      <w:widowControl/>
      <w:tabs>
        <w:tab w:val="left" w:pos="737"/>
      </w:tabs>
      <w:spacing w:beforeAutospacing="1" w:after="100" w:afterAutospacing="1" w:line="288" w:lineRule="auto"/>
      <w:ind w:leftChars="0" w:left="737" w:firstLineChars="0" w:hanging="567"/>
      <w:jc w:val="left"/>
    </w:pPr>
    <w:rPr>
      <w:rFonts w:ascii="Courier New" w:eastAsia="宋体" w:hAnsi="Courier New" w:cs="仿宋_GB2312"/>
      <w:color w:val="FFFF99"/>
      <w:kern w:val="2"/>
      <w:sz w:val="24"/>
      <w:szCs w:val="20"/>
    </w:rPr>
  </w:style>
  <w:style w:type="paragraph" w:customStyle="1" w:styleId="Charfffffff6">
    <w:name w:val="Char"/>
    <w:basedOn w:val="af1"/>
    <w:qFormat/>
    <w:rPr>
      <w:rFonts w:ascii="Calibri" w:hAnsi="Calibri" w:cs="Times New Roman"/>
      <w:szCs w:val="24"/>
    </w:rPr>
  </w:style>
  <w:style w:type="paragraph" w:customStyle="1" w:styleId="afffffffffffffffffffff6">
    <w:name w:val="小标题"/>
    <w:basedOn w:val="affff6"/>
    <w:qFormat/>
    <w:pPr>
      <w:adjustRightInd/>
      <w:spacing w:before="120" w:after="60" w:line="360" w:lineRule="auto"/>
      <w:jc w:val="left"/>
      <w:textAlignment w:val="auto"/>
    </w:pPr>
    <w:rPr>
      <w:rFonts w:cs="Arial"/>
      <w:bCs/>
      <w:sz w:val="24"/>
      <w:szCs w:val="24"/>
    </w:rPr>
  </w:style>
  <w:style w:type="paragraph" w:customStyle="1" w:styleId="333">
    <w:name w:val="样式 标题 3 + 段前: 3 磅"/>
    <w:basedOn w:val="31"/>
    <w:qFormat/>
    <w:pPr>
      <w:keepLines w:val="0"/>
      <w:widowControl/>
      <w:spacing w:before="0" w:after="0" w:line="360" w:lineRule="auto"/>
      <w:ind w:firstLineChars="200" w:firstLine="1044"/>
      <w:jc w:val="left"/>
      <w:textAlignment w:val="baseline"/>
    </w:pPr>
    <w:rPr>
      <w:rFonts w:ascii="Times New Roman" w:eastAsia="黑体" w:hAnsi="Times New Roman" w:cs="宋体"/>
      <w:b w:val="0"/>
      <w:color w:val="000000"/>
      <w:kern w:val="0"/>
      <w:sz w:val="30"/>
      <w:szCs w:val="20"/>
      <w:lang w:bidi="en-US"/>
    </w:rPr>
  </w:style>
  <w:style w:type="paragraph" w:customStyle="1" w:styleId="GB231215">
    <w:name w:val="样式 (中文) 楷体_GB2312 小四 行距: 1.5 倍行距"/>
    <w:basedOn w:val="af1"/>
    <w:qFormat/>
    <w:pPr>
      <w:spacing w:line="360" w:lineRule="auto"/>
      <w:ind w:firstLineChars="200" w:firstLine="480"/>
    </w:pPr>
    <w:rPr>
      <w:rFonts w:ascii="Calibri" w:eastAsia="楷体_GB2312" w:hAnsi="Calibri" w:cs="宋体"/>
      <w:sz w:val="24"/>
      <w:szCs w:val="20"/>
    </w:rPr>
  </w:style>
  <w:style w:type="paragraph" w:customStyle="1" w:styleId="8221">
    <w:name w:val="8.2.2.1"/>
    <w:basedOn w:val="af1"/>
    <w:qFormat/>
    <w:pPr>
      <w:widowControl/>
      <w:tabs>
        <w:tab w:val="left" w:pos="0"/>
      </w:tabs>
      <w:spacing w:line="312" w:lineRule="auto"/>
      <w:jc w:val="left"/>
    </w:pPr>
    <w:rPr>
      <w:rFonts w:ascii="Calibri" w:hAnsi="Calibri" w:cs="Times New Roman"/>
      <w:sz w:val="24"/>
      <w:szCs w:val="20"/>
    </w:rPr>
  </w:style>
  <w:style w:type="paragraph" w:customStyle="1" w:styleId="3126">
    <w:name w:val="样式 标题 3 + 段前: 12 磅 段后: 6 磅"/>
    <w:basedOn w:val="31"/>
    <w:qFormat/>
    <w:pPr>
      <w:keepLines w:val="0"/>
      <w:widowControl/>
      <w:spacing w:before="0" w:after="120" w:line="360" w:lineRule="auto"/>
      <w:ind w:firstLineChars="200" w:firstLine="1044"/>
      <w:jc w:val="left"/>
      <w:textAlignment w:val="baseline"/>
    </w:pPr>
    <w:rPr>
      <w:rFonts w:ascii="Times New Roman" w:eastAsia="黑体" w:hAnsi="Times New Roman" w:cs="宋体"/>
      <w:b w:val="0"/>
      <w:color w:val="000000"/>
      <w:kern w:val="0"/>
      <w:sz w:val="30"/>
      <w:szCs w:val="20"/>
      <w:lang w:bidi="en-US"/>
    </w:rPr>
  </w:style>
  <w:style w:type="paragraph" w:customStyle="1" w:styleId="unnamed6">
    <w:name w:val="unnamed6"/>
    <w:basedOn w:val="af1"/>
    <w:qFormat/>
    <w:pPr>
      <w:widowControl/>
      <w:spacing w:before="100" w:beforeAutospacing="1" w:after="100" w:afterAutospacing="1"/>
      <w:jc w:val="left"/>
    </w:pPr>
    <w:rPr>
      <w:rFonts w:ascii="Arial Unicode MS" w:eastAsia="Arial Unicode MS" w:hAnsi="Arial Unicode MS" w:cs="Arial Unicode MS"/>
      <w:b/>
      <w:bCs/>
      <w:color w:val="000000"/>
      <w:kern w:val="0"/>
      <w:sz w:val="18"/>
      <w:szCs w:val="18"/>
    </w:rPr>
  </w:style>
  <w:style w:type="paragraph" w:customStyle="1" w:styleId="470">
    <w:name w:val="样式47"/>
    <w:basedOn w:val="af1"/>
    <w:qFormat/>
    <w:pPr>
      <w:ind w:firstLineChars="200" w:firstLine="420"/>
    </w:pPr>
    <w:rPr>
      <w:rFonts w:ascii="Calibri" w:eastAsia="华文中宋" w:hAnsi="Calibri" w:cs="Times New Roman"/>
      <w:color w:val="000000"/>
      <w:szCs w:val="24"/>
    </w:rPr>
  </w:style>
  <w:style w:type="paragraph" w:customStyle="1" w:styleId="TimesNewRoman05051">
    <w:name w:val="样式 表名 + Times New Roman 段前: 0.5 行 段后: 0.5 行1"/>
    <w:basedOn w:val="afffffffffffe"/>
    <w:qFormat/>
    <w:pPr>
      <w:topLinePunct/>
      <w:autoSpaceDE/>
      <w:autoSpaceDN/>
      <w:adjustRightInd/>
      <w:spacing w:beforeLines="50" w:before="0" w:line="440" w:lineRule="exact"/>
      <w:textAlignment w:val="auto"/>
      <w:outlineLvl w:val="4"/>
    </w:pPr>
    <w:rPr>
      <w:rFonts w:eastAsia="宋体" w:cs="宋体"/>
      <w:b/>
      <w:bCs/>
      <w:spacing w:val="0"/>
      <w:sz w:val="24"/>
      <w:szCs w:val="21"/>
    </w:rPr>
  </w:style>
  <w:style w:type="paragraph" w:customStyle="1" w:styleId="-f">
    <w:name w:val="表内-文字"/>
    <w:basedOn w:val="af1"/>
    <w:qFormat/>
    <w:pPr>
      <w:widowControl/>
      <w:spacing w:line="320" w:lineRule="exact"/>
      <w:jc w:val="center"/>
    </w:pPr>
    <w:rPr>
      <w:rFonts w:ascii="仿宋_GB2312" w:eastAsia="经典叠圆体简" w:hAnsi="仿宋_GB2312" w:cs="Verdana"/>
      <w:bCs/>
      <w:color w:val="000000"/>
      <w:szCs w:val="21"/>
    </w:rPr>
  </w:style>
  <w:style w:type="paragraph" w:customStyle="1" w:styleId="msolistparagraph0">
    <w:name w:val="msolistparagraph"/>
    <w:basedOn w:val="af1"/>
    <w:qFormat/>
    <w:pPr>
      <w:ind w:firstLineChars="200" w:firstLine="420"/>
    </w:pPr>
    <w:rPr>
      <w:rFonts w:cs="Times New Roman"/>
    </w:rPr>
  </w:style>
  <w:style w:type="paragraph" w:customStyle="1" w:styleId="1fffff8">
    <w:name w:val="项目1"/>
    <w:basedOn w:val="af1"/>
    <w:qFormat/>
    <w:pPr>
      <w:widowControl/>
      <w:tabs>
        <w:tab w:val="left" w:pos="425"/>
      </w:tabs>
      <w:snapToGrid w:val="0"/>
      <w:spacing w:line="240" w:lineRule="atLeast"/>
      <w:ind w:left="425" w:hanging="425"/>
      <w:jc w:val="left"/>
    </w:pPr>
    <w:rPr>
      <w:rFonts w:ascii="仿宋_GB2312" w:hAnsi="仿宋_GB2312" w:cs="仿宋_GB2312"/>
      <w:sz w:val="28"/>
      <w:szCs w:val="20"/>
    </w:rPr>
  </w:style>
  <w:style w:type="paragraph" w:customStyle="1" w:styleId="00052">
    <w:name w:val="0005左缩2"/>
    <w:basedOn w:val="af1"/>
    <w:qFormat/>
    <w:pPr>
      <w:widowControl/>
      <w:autoSpaceDE w:val="0"/>
      <w:autoSpaceDN w:val="0"/>
      <w:adjustRightInd w:val="0"/>
      <w:spacing w:afterLines="30" w:line="500" w:lineRule="exact"/>
      <w:ind w:firstLineChars="200" w:firstLine="200"/>
      <w:jc w:val="left"/>
    </w:pPr>
    <w:rPr>
      <w:rFonts w:ascii="宋体" w:hAnsi="宋体" w:cs="Times New Roman"/>
      <w:sz w:val="28"/>
      <w:szCs w:val="28"/>
    </w:rPr>
  </w:style>
  <w:style w:type="paragraph" w:customStyle="1" w:styleId="xl50">
    <w:name w:val="xl50"/>
    <w:basedOn w:val="af1"/>
    <w:qFormat/>
    <w:pPr>
      <w:widowControl/>
      <w:pBdr>
        <w:bottom w:val="single" w:sz="8" w:space="0" w:color="auto"/>
        <w:right w:val="single" w:sz="4" w:space="0" w:color="auto"/>
      </w:pBdr>
      <w:spacing w:before="100" w:beforeAutospacing="1" w:after="100" w:afterAutospacing="1"/>
    </w:pPr>
    <w:rPr>
      <w:rFonts w:ascii="Arial Unicode MS" w:eastAsia="Arial Unicode MS" w:hAnsi="Arial Unicode MS" w:cs="Arial Unicode MS"/>
      <w:kern w:val="0"/>
      <w:sz w:val="18"/>
      <w:szCs w:val="18"/>
    </w:rPr>
  </w:style>
  <w:style w:type="paragraph" w:customStyle="1" w:styleId="ENUM">
    <w:name w:val="ENUM"/>
    <w:basedOn w:val="af1"/>
    <w:qFormat/>
    <w:pPr>
      <w:widowControl/>
      <w:tabs>
        <w:tab w:val="left" w:pos="840"/>
        <w:tab w:val="left" w:pos="1418"/>
      </w:tabs>
      <w:spacing w:before="60" w:after="60"/>
      <w:ind w:left="1418" w:firstLineChars="200" w:hanging="284"/>
      <w:jc w:val="left"/>
    </w:pPr>
    <w:rPr>
      <w:rFonts w:ascii="Courier New" w:hAnsi="Courier New" w:cs="仿宋_GB2312"/>
      <w:kern w:val="0"/>
      <w:sz w:val="22"/>
      <w:szCs w:val="20"/>
      <w:lang w:val="en-GB"/>
    </w:rPr>
  </w:style>
  <w:style w:type="paragraph" w:customStyle="1" w:styleId="2ffffb">
    <w:name w:val="纯文本2"/>
    <w:basedOn w:val="af1"/>
    <w:qFormat/>
    <w:pPr>
      <w:adjustRightInd w:val="0"/>
      <w:textAlignment w:val="baseline"/>
    </w:pPr>
    <w:rPr>
      <w:rFonts w:ascii="宋体" w:hAnsi="Courier New" w:cs="Times New Roman"/>
      <w:szCs w:val="20"/>
    </w:rPr>
  </w:style>
  <w:style w:type="paragraph" w:customStyle="1" w:styleId="CharCharCharfb">
    <w:name w:val="我的正文 Char Char Char"/>
    <w:basedOn w:val="af1"/>
    <w:qFormat/>
    <w:pPr>
      <w:spacing w:line="360" w:lineRule="auto"/>
      <w:ind w:firstLineChars="200" w:firstLine="200"/>
    </w:pPr>
    <w:rPr>
      <w:rFonts w:ascii="Calibri" w:hAnsi="Calibri" w:cs="Times New Roman"/>
      <w:sz w:val="24"/>
      <w:szCs w:val="24"/>
    </w:rPr>
  </w:style>
  <w:style w:type="paragraph" w:customStyle="1" w:styleId="1fffff9">
    <w:name w:val="样式 样式1 + (中文) 华文中宋 小二 居中 行距: 单倍行距"/>
    <w:basedOn w:val="19"/>
    <w:qFormat/>
    <w:pPr>
      <w:tabs>
        <w:tab w:val="left" w:pos="1125"/>
      </w:tabs>
      <w:spacing w:line="240" w:lineRule="auto"/>
      <w:ind w:firstLine="0"/>
      <w:jc w:val="center"/>
    </w:pPr>
    <w:rPr>
      <w:rFonts w:ascii="华文中宋" w:eastAsia="华文中宋" w:hAnsi="华文中宋" w:hint="eastAsia"/>
      <w:b/>
      <w:sz w:val="36"/>
    </w:rPr>
  </w:style>
  <w:style w:type="paragraph" w:customStyle="1" w:styleId="afffffffffffffffffffff7">
    <w:name w:val="仿宋"/>
    <w:basedOn w:val="af1"/>
    <w:qFormat/>
    <w:pPr>
      <w:snapToGrid w:val="0"/>
      <w:spacing w:line="360" w:lineRule="auto"/>
      <w:ind w:firstLineChars="200" w:firstLine="200"/>
      <w:outlineLvl w:val="2"/>
    </w:pPr>
    <w:rPr>
      <w:rFonts w:ascii="Calibri" w:eastAsia="仿宋_GB2312" w:hAnsi="Calibri" w:cs="Times New Roman"/>
      <w:sz w:val="24"/>
      <w:szCs w:val="24"/>
    </w:rPr>
  </w:style>
  <w:style w:type="paragraph" w:customStyle="1" w:styleId="afffffffffffffffffffff8">
    <w:name w:val="攀成钢三级标题"/>
    <w:basedOn w:val="af1"/>
    <w:qFormat/>
    <w:pPr>
      <w:widowControl/>
      <w:spacing w:line="360" w:lineRule="auto"/>
      <w:jc w:val="left"/>
      <w:outlineLvl w:val="2"/>
    </w:pPr>
    <w:rPr>
      <w:rFonts w:ascii="Calibri" w:hAnsi="Calibri" w:cs="Times New Roman"/>
      <w:b/>
      <w:color w:val="008000"/>
      <w:kern w:val="0"/>
      <w:sz w:val="24"/>
      <w:szCs w:val="20"/>
    </w:rPr>
  </w:style>
  <w:style w:type="paragraph" w:customStyle="1" w:styleId="CharChar4CharCharCharChar1CharCharCharCharCharCharCharCharCharCharCharCharCharCharCharCharCharCharCharCharCharCharCharChar">
    <w:name w:val="Char Char4 Char Char Char Char1 Char Char Char Char Char Char Char Char Char Char Char Char Char Char Char Char Char Char Char Char Char Char Char Char"/>
    <w:basedOn w:val="af1"/>
    <w:qFormat/>
    <w:pPr>
      <w:widowControl/>
      <w:spacing w:after="160" w:line="240" w:lineRule="exact"/>
      <w:jc w:val="left"/>
    </w:pPr>
    <w:rPr>
      <w:rFonts w:ascii="Verdana" w:eastAsia="仿宋_GB2312" w:hAnsi="Verdana" w:cs="Times New Roman"/>
      <w:kern w:val="0"/>
      <w:sz w:val="24"/>
      <w:szCs w:val="30"/>
      <w:lang w:eastAsia="en-US"/>
    </w:rPr>
  </w:style>
  <w:style w:type="paragraph" w:customStyle="1" w:styleId="CharCharCharCharCharCharCharCharCharChar1CharCharCharChar1">
    <w:name w:val="Char Char Char Char Char Char Char Char Char Char1 Char Char Char Char1"/>
    <w:basedOn w:val="af1"/>
    <w:qFormat/>
    <w:rPr>
      <w:rFonts w:ascii="Calibri" w:hAnsi="Calibri" w:cs="Times New Roman" w:hint="eastAsia"/>
      <w:szCs w:val="20"/>
    </w:rPr>
  </w:style>
  <w:style w:type="paragraph" w:customStyle="1" w:styleId="1fffffa">
    <w:name w:val="水保1级"/>
    <w:basedOn w:val="110"/>
    <w:qFormat/>
    <w:pPr>
      <w:widowControl w:val="0"/>
      <w:spacing w:beforeLines="0" w:afterLines="0" w:line="576" w:lineRule="auto"/>
    </w:pPr>
    <w:rPr>
      <w:rFonts w:ascii="Times New Roman"/>
      <w:kern w:val="44"/>
      <w:sz w:val="36"/>
    </w:rPr>
  </w:style>
  <w:style w:type="paragraph" w:customStyle="1" w:styleId="405051">
    <w:name w:val="样式 标题 4 + 段前: 0.5 行 段后: 0.5 行1"/>
    <w:basedOn w:val="41"/>
    <w:qFormat/>
    <w:pPr>
      <w:keepLines/>
      <w:widowControl w:val="0"/>
      <w:spacing w:line="440" w:lineRule="exact"/>
      <w:jc w:val="both"/>
    </w:pPr>
    <w:rPr>
      <w:rFonts w:eastAsia="华文中宋" w:cs="宋体"/>
      <w:bCs/>
      <w:kern w:val="2"/>
      <w:sz w:val="24"/>
      <w:szCs w:val="24"/>
    </w:rPr>
  </w:style>
  <w:style w:type="paragraph" w:customStyle="1" w:styleId="2000">
    <w:name w:val="正文2000"/>
    <w:basedOn w:val="af1"/>
    <w:qFormat/>
    <w:pPr>
      <w:snapToGrid w:val="0"/>
      <w:spacing w:line="360" w:lineRule="auto"/>
      <w:ind w:firstLineChars="200" w:firstLine="480"/>
    </w:pPr>
    <w:rPr>
      <w:rFonts w:ascii="Calibri" w:hAnsi="Calibri" w:cs="Times New Roman"/>
      <w:kern w:val="0"/>
      <w:sz w:val="24"/>
      <w:szCs w:val="20"/>
    </w:rPr>
  </w:style>
  <w:style w:type="paragraph" w:customStyle="1" w:styleId="02">
    <w:name w:val="0"/>
    <w:basedOn w:val="af1"/>
    <w:qFormat/>
    <w:pPr>
      <w:adjustRightInd w:val="0"/>
      <w:snapToGrid w:val="0"/>
      <w:spacing w:line="300" w:lineRule="auto"/>
    </w:pPr>
    <w:rPr>
      <w:rFonts w:ascii="仿宋_GB2312" w:eastAsia="仿宋_GB2312" w:hAnsi="宋体" w:cs="宋体"/>
      <w:kern w:val="0"/>
      <w:sz w:val="28"/>
      <w:szCs w:val="28"/>
    </w:rPr>
  </w:style>
  <w:style w:type="paragraph" w:customStyle="1" w:styleId="3E0">
    <w:name w:val="列表 3E"/>
    <w:basedOn w:val="34"/>
    <w:qFormat/>
    <w:pPr>
      <w:tabs>
        <w:tab w:val="left" w:pos="907"/>
      </w:tabs>
      <w:spacing w:line="288" w:lineRule="auto"/>
      <w:ind w:left="907" w:hanging="567"/>
      <w:jc w:val="left"/>
    </w:pPr>
    <w:rPr>
      <w:rFonts w:ascii="Courier New" w:hAnsi="Courier New" w:cs="仿宋_GB2312"/>
      <w:color w:val="CCFFCC"/>
      <w:sz w:val="24"/>
    </w:rPr>
  </w:style>
  <w:style w:type="paragraph" w:customStyle="1" w:styleId="Bullet1">
    <w:name w:val="Bullet 1"/>
    <w:qFormat/>
    <w:pPr>
      <w:widowControl w:val="0"/>
      <w:autoSpaceDE w:val="0"/>
      <w:autoSpaceDN w:val="0"/>
      <w:adjustRightInd w:val="0"/>
      <w:ind w:left="576"/>
      <w:textAlignment w:val="baseline"/>
    </w:pPr>
    <w:rPr>
      <w:rFonts w:ascii="宋体" w:eastAsia="宋体" w:hAnsi="Times New Roman" w:cs="Times New Roman"/>
      <w:color w:val="000000"/>
      <w:sz w:val="24"/>
    </w:rPr>
  </w:style>
  <w:style w:type="paragraph" w:customStyle="1" w:styleId="5c">
    <w:name w:val="文本框5号两端齐"/>
    <w:basedOn w:val="af1"/>
    <w:qFormat/>
    <w:pPr>
      <w:widowControl/>
      <w:jc w:val="left"/>
    </w:pPr>
    <w:rPr>
      <w:rFonts w:ascii="仿宋_GB2312" w:eastAsia="Times New Roman" w:hAnsi="仿宋_GB2312" w:cs="仿宋_GB2312"/>
      <w:szCs w:val="21"/>
    </w:rPr>
  </w:style>
  <w:style w:type="paragraph" w:customStyle="1" w:styleId="2ffffc">
    <w:name w:val="标题样式2"/>
    <w:basedOn w:val="22"/>
    <w:qFormat/>
    <w:pPr>
      <w:widowControl/>
      <w:spacing w:beforeLines="50" w:after="0" w:line="360" w:lineRule="auto"/>
    </w:pPr>
    <w:rPr>
      <w:rFonts w:ascii="黑体"/>
      <w:sz w:val="28"/>
      <w:szCs w:val="28"/>
    </w:rPr>
  </w:style>
  <w:style w:type="paragraph" w:customStyle="1" w:styleId="2ffffd">
    <w:name w:val="项目2"/>
    <w:basedOn w:val="af1"/>
    <w:qFormat/>
    <w:pPr>
      <w:widowControl/>
      <w:tabs>
        <w:tab w:val="left" w:pos="360"/>
        <w:tab w:val="left" w:pos="780"/>
      </w:tabs>
      <w:snapToGrid w:val="0"/>
      <w:spacing w:line="240" w:lineRule="atLeast"/>
      <w:ind w:left="780" w:hanging="360"/>
      <w:jc w:val="left"/>
    </w:pPr>
    <w:rPr>
      <w:rFonts w:ascii="仿宋_GB2312" w:hAnsi="仿宋_GB2312" w:cs="仿宋_GB2312"/>
      <w:sz w:val="28"/>
      <w:szCs w:val="20"/>
    </w:rPr>
  </w:style>
  <w:style w:type="paragraph" w:customStyle="1" w:styleId="afffffffffffffffffffff9">
    <w:name w:val="图形中文字"/>
    <w:basedOn w:val="af1"/>
    <w:qFormat/>
    <w:pPr>
      <w:autoSpaceDE w:val="0"/>
      <w:autoSpaceDN w:val="0"/>
      <w:adjustRightInd w:val="0"/>
      <w:jc w:val="center"/>
    </w:pPr>
    <w:rPr>
      <w:rFonts w:ascii="宋体" w:hAnsi="Calibri" w:cs="Times New Roman"/>
      <w:kern w:val="0"/>
      <w:sz w:val="24"/>
      <w:szCs w:val="20"/>
    </w:rPr>
  </w:style>
  <w:style w:type="paragraph" w:customStyle="1" w:styleId="afffffffffffffffffffffa">
    <w:name w:val="正文加粗"/>
    <w:basedOn w:val="af1"/>
    <w:qFormat/>
    <w:pPr>
      <w:spacing w:line="360" w:lineRule="auto"/>
    </w:pPr>
    <w:rPr>
      <w:rFonts w:ascii="Calibri" w:hAnsi="Calibri" w:cs="Times New Roman"/>
      <w:b/>
      <w:color w:val="000000"/>
      <w:sz w:val="24"/>
      <w:szCs w:val="24"/>
    </w:rPr>
  </w:style>
  <w:style w:type="paragraph" w:customStyle="1" w:styleId="xl32">
    <w:name w:val="xl32"/>
    <w:basedOn w:val="af1"/>
    <w:qFormat/>
    <w:pPr>
      <w:widowControl/>
      <w:pBdr>
        <w:left w:val="single" w:sz="8" w:space="0" w:color="auto"/>
        <w:bottom w:val="single" w:sz="8"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18"/>
      <w:szCs w:val="18"/>
    </w:rPr>
  </w:style>
  <w:style w:type="paragraph" w:customStyle="1" w:styleId="Charfffffff7">
    <w:name w:val="样式 表格文字居中 Char + 自动设置"/>
    <w:basedOn w:val="Charfffffff8"/>
    <w:qFormat/>
    <w:rPr>
      <w:color w:val="000000"/>
    </w:rPr>
  </w:style>
  <w:style w:type="paragraph" w:customStyle="1" w:styleId="Charfffffff8">
    <w:name w:val="表格文字居中 Char"/>
    <w:basedOn w:val="affffa"/>
    <w:qFormat/>
    <w:pPr>
      <w:widowControl/>
      <w:tabs>
        <w:tab w:val="left" w:pos="628"/>
        <w:tab w:val="left" w:pos="1727"/>
        <w:tab w:val="left" w:pos="1884"/>
        <w:tab w:val="left" w:pos="2660"/>
        <w:tab w:val="left" w:pos="5460"/>
      </w:tabs>
      <w:snapToGrid w:val="0"/>
      <w:spacing w:after="0" w:line="320" w:lineRule="exact"/>
      <w:ind w:firstLineChars="0" w:firstLine="0"/>
      <w:jc w:val="left"/>
    </w:pPr>
    <w:rPr>
      <w:color w:val="FF0000"/>
      <w:kern w:val="0"/>
      <w:szCs w:val="20"/>
    </w:rPr>
  </w:style>
  <w:style w:type="paragraph" w:customStyle="1" w:styleId="afffffffffffffffffffffb">
    <w:name w:val="单元格"/>
    <w:basedOn w:val="af1"/>
    <w:qFormat/>
    <w:pPr>
      <w:widowControl/>
      <w:adjustRightInd w:val="0"/>
      <w:snapToGrid w:val="0"/>
      <w:spacing w:line="320" w:lineRule="exact"/>
      <w:jc w:val="center"/>
    </w:pPr>
    <w:rPr>
      <w:rFonts w:ascii="Verdana" w:hAnsi="Verdana" w:cs="仿宋_GB2312"/>
      <w:kern w:val="0"/>
      <w:szCs w:val="24"/>
    </w:rPr>
  </w:style>
  <w:style w:type="paragraph" w:customStyle="1" w:styleId="brdrw15brsp20tqctx4153t">
    <w:name w:val="brdrw15brsp20 tqctx4153t"/>
    <w:qFormat/>
    <w:pPr>
      <w:widowControl w:val="0"/>
      <w:pBdr>
        <w:bottom w:val="single" w:sz="6" w:space="0" w:color="auto"/>
      </w:pBdr>
      <w:adjustRightInd w:val="0"/>
      <w:spacing w:line="312" w:lineRule="atLeast"/>
      <w:jc w:val="center"/>
    </w:pPr>
    <w:rPr>
      <w:rFonts w:ascii="仿宋_GB2312" w:eastAsia="宋体" w:hAnsi="仿宋_GB2312" w:cs="仿宋_GB2312"/>
      <w:sz w:val="21"/>
    </w:rPr>
  </w:style>
  <w:style w:type="paragraph" w:customStyle="1" w:styleId="afffffffffffffffffffffc">
    <w:name w:val="样式"/>
    <w:basedOn w:val="af1"/>
    <w:next w:val="afff1"/>
    <w:qFormat/>
    <w:rPr>
      <w:rFonts w:ascii="宋体" w:hAnsi="Courier New" w:cs="Times New Roman"/>
      <w:szCs w:val="21"/>
    </w:rPr>
  </w:style>
  <w:style w:type="paragraph" w:customStyle="1" w:styleId="afffffffffffffffffffffd">
    <w:name w:val="样式 德胜三级标题 + 粉红"/>
    <w:basedOn w:val="afffffffffffffffffffffe"/>
    <w:qFormat/>
    <w:pPr>
      <w:outlineLvl w:val="3"/>
    </w:pPr>
    <w:rPr>
      <w:bCs/>
      <w:color w:val="FF00FF"/>
      <w:szCs w:val="24"/>
    </w:rPr>
  </w:style>
  <w:style w:type="paragraph" w:customStyle="1" w:styleId="afffffffffffffffffffffe">
    <w:name w:val="德胜三级标题"/>
    <w:basedOn w:val="af1"/>
    <w:qFormat/>
    <w:pPr>
      <w:keepNext/>
      <w:keepLines/>
      <w:widowControl/>
      <w:adjustRightInd w:val="0"/>
      <w:snapToGrid w:val="0"/>
      <w:spacing w:line="360" w:lineRule="auto"/>
      <w:jc w:val="left"/>
      <w:outlineLvl w:val="2"/>
    </w:pPr>
    <w:rPr>
      <w:rFonts w:ascii="Calibri" w:hAnsi="Calibri" w:cs="Times New Roman"/>
      <w:b/>
      <w:color w:val="0000FF"/>
      <w:kern w:val="0"/>
      <w:sz w:val="24"/>
      <w:szCs w:val="20"/>
    </w:rPr>
  </w:style>
  <w:style w:type="paragraph" w:customStyle="1" w:styleId="affffffffffffffffffffff">
    <w:name w:val="表头+图名"/>
    <w:basedOn w:val="af1"/>
    <w:next w:val="af1"/>
    <w:qFormat/>
    <w:pPr>
      <w:spacing w:line="360" w:lineRule="auto"/>
      <w:jc w:val="center"/>
    </w:pPr>
    <w:rPr>
      <w:rFonts w:eastAsia="黑体" w:cs="Times New Roman"/>
      <w:szCs w:val="21"/>
    </w:rPr>
  </w:style>
  <w:style w:type="paragraph" w:customStyle="1" w:styleId="D">
    <w:name w:val="列表D"/>
    <w:basedOn w:val="afffe"/>
    <w:qFormat/>
    <w:pPr>
      <w:widowControl/>
      <w:tabs>
        <w:tab w:val="left" w:pos="425"/>
      </w:tabs>
      <w:spacing w:beforeLines="100" w:afterLines="50" w:line="288" w:lineRule="auto"/>
      <w:ind w:left="425" w:hanging="425"/>
      <w:jc w:val="left"/>
    </w:pPr>
    <w:rPr>
      <w:rFonts w:ascii="Courier New" w:eastAsia="宋体" w:hAnsi="Courier New" w:cs="仿宋_GB2312"/>
      <w:b/>
      <w:bCs/>
      <w:color w:val="FF99CC"/>
    </w:rPr>
  </w:style>
  <w:style w:type="paragraph" w:customStyle="1" w:styleId="2120">
    <w:name w:val="样式 报告正文——首行缩进:  2 字符1 + 首行缩进:  2 字符"/>
    <w:basedOn w:val="af1"/>
    <w:qFormat/>
    <w:pPr>
      <w:spacing w:line="360" w:lineRule="auto"/>
      <w:ind w:firstLineChars="200" w:firstLine="200"/>
    </w:pPr>
    <w:rPr>
      <w:rFonts w:ascii="Calibri" w:hAnsi="Calibri" w:cs="宋体"/>
      <w:sz w:val="28"/>
      <w:szCs w:val="20"/>
    </w:rPr>
  </w:style>
  <w:style w:type="paragraph" w:customStyle="1" w:styleId="920">
    <w:name w:val="标题 92"/>
    <w:basedOn w:val="af1"/>
    <w:next w:val="af1"/>
    <w:qFormat/>
    <w:pPr>
      <w:keepNext/>
      <w:keepLines/>
      <w:tabs>
        <w:tab w:val="left" w:pos="1584"/>
      </w:tabs>
      <w:snapToGrid w:val="0"/>
      <w:spacing w:before="240" w:after="64" w:line="316" w:lineRule="auto"/>
      <w:ind w:left="1584" w:hanging="1584"/>
      <w:outlineLvl w:val="8"/>
    </w:pPr>
    <w:rPr>
      <w:rFonts w:ascii="Arial" w:eastAsia="黑体" w:hAnsi="Arial" w:cs="Times New Roman"/>
      <w:sz w:val="24"/>
      <w:szCs w:val="20"/>
    </w:rPr>
  </w:style>
  <w:style w:type="paragraph" w:customStyle="1" w:styleId="111-">
    <w:name w:val="1.1.1-"/>
    <w:basedOn w:val="af1"/>
    <w:qFormat/>
    <w:pPr>
      <w:widowControl/>
      <w:tabs>
        <w:tab w:val="left" w:pos="397"/>
      </w:tabs>
      <w:wordWrap w:val="0"/>
      <w:adjustRightInd w:val="0"/>
      <w:snapToGrid w:val="0"/>
      <w:spacing w:line="360" w:lineRule="atLeast"/>
      <w:ind w:left="397" w:firstLine="1021"/>
      <w:jc w:val="left"/>
      <w:textAlignment w:val="baseline"/>
    </w:pPr>
    <w:rPr>
      <w:rFonts w:ascii="Courier New" w:eastAsia="PMingLiU" w:hAnsi="Courier New" w:cs="仿宋_GB2312"/>
      <w:kern w:val="0"/>
      <w:sz w:val="20"/>
      <w:szCs w:val="20"/>
    </w:rPr>
  </w:style>
  <w:style w:type="paragraph" w:customStyle="1" w:styleId="6a">
    <w:name w:val="6表格"/>
    <w:basedOn w:val="af1"/>
    <w:qFormat/>
    <w:pPr>
      <w:widowControl/>
      <w:adjustRightInd w:val="0"/>
      <w:snapToGrid w:val="0"/>
      <w:spacing w:before="60" w:line="312" w:lineRule="auto"/>
      <w:jc w:val="center"/>
    </w:pPr>
    <w:rPr>
      <w:rFonts w:ascii="仿宋_GB2312" w:hAnsi="仿宋_GB2312" w:cs="仿宋_GB2312"/>
      <w:kern w:val="0"/>
      <w:szCs w:val="20"/>
    </w:rPr>
  </w:style>
  <w:style w:type="paragraph" w:customStyle="1" w:styleId="affffffffffffffffffffff0">
    <w:name w:val="节以下标题样式"/>
    <w:basedOn w:val="af1"/>
    <w:qFormat/>
    <w:pPr>
      <w:tabs>
        <w:tab w:val="left" w:pos="567"/>
      </w:tabs>
      <w:adjustRightInd w:val="0"/>
      <w:spacing w:line="560" w:lineRule="exact"/>
      <w:jc w:val="center"/>
    </w:pPr>
    <w:rPr>
      <w:rFonts w:ascii="Calibri" w:eastAsia="黑体" w:hAnsi="Calibri" w:cs="Times New Roman"/>
      <w:spacing w:val="20"/>
      <w:szCs w:val="21"/>
    </w:rPr>
  </w:style>
  <w:style w:type="paragraph" w:customStyle="1" w:styleId="affffffffffffffffffffff1">
    <w:name w:val="图文框"/>
    <w:basedOn w:val="af1"/>
    <w:qFormat/>
    <w:pPr>
      <w:spacing w:line="360" w:lineRule="auto"/>
      <w:jc w:val="center"/>
    </w:pPr>
    <w:rPr>
      <w:rFonts w:ascii="宋体" w:hAnsi="Calibri" w:cs="Times New Roman"/>
      <w:szCs w:val="20"/>
    </w:rPr>
  </w:style>
  <w:style w:type="paragraph" w:customStyle="1" w:styleId="m">
    <w:name w:val="正文m"/>
    <w:basedOn w:val="af1"/>
    <w:qFormat/>
    <w:pPr>
      <w:widowControl/>
      <w:spacing w:line="360" w:lineRule="auto"/>
      <w:ind w:firstLineChars="200" w:firstLine="480"/>
      <w:jc w:val="left"/>
    </w:pPr>
    <w:rPr>
      <w:rFonts w:ascii="楷体" w:eastAsia="Times New Roman" w:hAnsi="Symusic" w:cs="仿宋_GB2312"/>
      <w:sz w:val="24"/>
      <w:szCs w:val="24"/>
    </w:rPr>
  </w:style>
  <w:style w:type="paragraph" w:customStyle="1" w:styleId="1111-2">
    <w:name w:val="南大梁1.1.1.1-2级标题"/>
    <w:basedOn w:val="af1"/>
    <w:qFormat/>
    <w:pPr>
      <w:spacing w:line="360" w:lineRule="auto"/>
      <w:ind w:leftChars="200" w:left="200"/>
    </w:pPr>
    <w:rPr>
      <w:rFonts w:ascii="宋体" w:hAnsi="宋体" w:cs="Times New Roman"/>
      <w:sz w:val="24"/>
      <w:szCs w:val="24"/>
    </w:rPr>
  </w:style>
  <w:style w:type="paragraph" w:customStyle="1" w:styleId="affffffffffffffffffffff2">
    <w:name w:val="图题"/>
    <w:basedOn w:val="affff2"/>
    <w:next w:val="af1"/>
    <w:link w:val="Charfffffff9"/>
    <w:qFormat/>
    <w:pPr>
      <w:widowControl/>
      <w:autoSpaceDE w:val="0"/>
      <w:autoSpaceDN w:val="0"/>
      <w:adjustRightInd w:val="0"/>
      <w:snapToGrid w:val="0"/>
      <w:spacing w:beforeLines="25" w:after="50" w:line="360" w:lineRule="atLeast"/>
      <w:ind w:leftChars="175" w:left="175"/>
    </w:pPr>
    <w:rPr>
      <w:b/>
    </w:rPr>
  </w:style>
  <w:style w:type="paragraph" w:customStyle="1" w:styleId="CharCharChar30">
    <w:name w:val="Char Char Char3"/>
    <w:basedOn w:val="af1"/>
    <w:qFormat/>
    <w:rPr>
      <w:rFonts w:ascii="Calibri" w:hAnsi="Calibri" w:cs="Times New Roman"/>
      <w:sz w:val="24"/>
      <w:szCs w:val="24"/>
    </w:rPr>
  </w:style>
  <w:style w:type="paragraph" w:customStyle="1" w:styleId="03">
    <w:name w:val="样式0表换行"/>
    <w:basedOn w:val="af1"/>
    <w:qFormat/>
    <w:pPr>
      <w:spacing w:line="300" w:lineRule="auto"/>
      <w:jc w:val="center"/>
    </w:pPr>
    <w:rPr>
      <w:rFonts w:ascii="Calibri" w:hAnsi="Calibri" w:cs="Times New Roman"/>
      <w:sz w:val="24"/>
      <w:szCs w:val="20"/>
    </w:rPr>
  </w:style>
  <w:style w:type="paragraph" w:customStyle="1" w:styleId="003">
    <w:name w:val="标题003"/>
    <w:basedOn w:val="af1"/>
    <w:qFormat/>
    <w:pPr>
      <w:spacing w:line="360" w:lineRule="auto"/>
      <w:outlineLvl w:val="2"/>
    </w:pPr>
    <w:rPr>
      <w:rFonts w:ascii="Calibri" w:hAnsi="Calibri" w:cs="Times New Roman"/>
      <w:b/>
      <w:sz w:val="28"/>
      <w:szCs w:val="28"/>
    </w:rPr>
  </w:style>
  <w:style w:type="paragraph" w:customStyle="1" w:styleId="affffffffffffffffffffff3">
    <w:name w:val="表标"/>
    <w:next w:val="af1"/>
    <w:qFormat/>
    <w:pPr>
      <w:tabs>
        <w:tab w:val="left" w:pos="8207"/>
      </w:tabs>
      <w:adjustRightInd w:val="0"/>
      <w:snapToGrid w:val="0"/>
      <w:spacing w:before="120" w:line="312" w:lineRule="auto"/>
      <w:jc w:val="center"/>
      <w:textAlignment w:val="baseline"/>
    </w:pPr>
    <w:rPr>
      <w:rFonts w:ascii="Calibri" w:eastAsia="黑体" w:hAnsi="Calibri" w:cs="Times New Roman"/>
      <w:kern w:val="2"/>
      <w:sz w:val="24"/>
    </w:rPr>
  </w:style>
  <w:style w:type="paragraph" w:customStyle="1" w:styleId="21b">
    <w:name w:val="样式 标题 2 + 小三1"/>
    <w:basedOn w:val="22"/>
    <w:qFormat/>
    <w:pPr>
      <w:keepLines w:val="0"/>
      <w:widowControl/>
      <w:tabs>
        <w:tab w:val="left" w:pos="360"/>
      </w:tabs>
      <w:adjustRightInd w:val="0"/>
      <w:spacing w:before="133" w:after="0" w:line="360" w:lineRule="auto"/>
      <w:ind w:left="108" w:right="333" w:firstLineChars="200" w:firstLine="723"/>
      <w:textAlignment w:val="baseline"/>
    </w:pPr>
    <w:rPr>
      <w:rFonts w:ascii="Times New Roman" w:eastAsia="宋体" w:hAnsi="Times New Roman"/>
      <w:b w:val="0"/>
      <w:bCs w:val="0"/>
      <w:iCs/>
      <w:color w:val="000000"/>
      <w:kern w:val="0"/>
      <w:sz w:val="30"/>
      <w:szCs w:val="28"/>
      <w:lang w:bidi="en-US"/>
    </w:rPr>
  </w:style>
  <w:style w:type="paragraph" w:customStyle="1" w:styleId="CharCharChar1CharCharCharCharCharCharChar">
    <w:name w:val="Char Char Char1 Char Char Char Char Char Char Char"/>
    <w:basedOn w:val="af1"/>
    <w:qFormat/>
    <w:pPr>
      <w:spacing w:line="360" w:lineRule="auto"/>
    </w:pPr>
    <w:rPr>
      <w:rFonts w:ascii="Calibri" w:hAnsi="Calibri" w:cs="Times New Roman"/>
      <w:sz w:val="24"/>
      <w:szCs w:val="20"/>
    </w:rPr>
  </w:style>
  <w:style w:type="paragraph" w:customStyle="1" w:styleId="2CharCharf">
    <w:name w:val="字元 字元2 Char Char"/>
    <w:basedOn w:val="af1"/>
    <w:qFormat/>
    <w:rPr>
      <w:rFonts w:ascii="宋体" w:hAnsi="宋体" w:cs="宋体"/>
      <w:kern w:val="0"/>
      <w:sz w:val="24"/>
      <w:szCs w:val="24"/>
    </w:rPr>
  </w:style>
  <w:style w:type="paragraph" w:customStyle="1" w:styleId="74">
    <w:name w:val="样式 样式7 + (中文) 黑体"/>
    <w:basedOn w:val="af1"/>
    <w:qFormat/>
    <w:pPr>
      <w:ind w:firstLineChars="200" w:firstLine="429"/>
    </w:pPr>
    <w:rPr>
      <w:rFonts w:ascii="Calibri" w:eastAsia="华文中宋" w:hAnsi="Calibri" w:cs="Times New Roman"/>
      <w:szCs w:val="20"/>
    </w:rPr>
  </w:style>
  <w:style w:type="paragraph" w:customStyle="1" w:styleId="affffffffffffffffffffff4">
    <w:name w:val="样式 四号"/>
    <w:basedOn w:val="af1"/>
    <w:qFormat/>
    <w:pPr>
      <w:spacing w:line="360" w:lineRule="auto"/>
      <w:ind w:firstLineChars="200" w:firstLine="560"/>
      <w:jc w:val="left"/>
    </w:pPr>
    <w:rPr>
      <w:rFonts w:ascii="宋体" w:hAnsi="Calibri" w:cs="Times New Roman"/>
      <w:sz w:val="28"/>
      <w:szCs w:val="28"/>
    </w:rPr>
  </w:style>
  <w:style w:type="paragraph" w:customStyle="1" w:styleId="CharCharCharCharCharChar1CharCharChar1CharCharChar2">
    <w:name w:val="Char Char Char Char Char Char1 Char Char Char1 Char Char Char2"/>
    <w:basedOn w:val="af1"/>
    <w:qFormat/>
    <w:pPr>
      <w:spacing w:line="360" w:lineRule="auto"/>
      <w:ind w:firstLineChars="200" w:firstLine="200"/>
    </w:pPr>
    <w:rPr>
      <w:rFonts w:ascii="宋体" w:hAnsi="宋体" w:cs="Times New Roman" w:hint="eastAsia"/>
      <w:sz w:val="24"/>
      <w:szCs w:val="20"/>
    </w:rPr>
  </w:style>
  <w:style w:type="paragraph" w:customStyle="1" w:styleId="affffffffffffffffffffff5">
    <w:name w:val="表格后空行"/>
    <w:basedOn w:val="af1"/>
    <w:qFormat/>
    <w:pPr>
      <w:spacing w:line="360" w:lineRule="auto"/>
      <w:jc w:val="left"/>
    </w:pPr>
    <w:rPr>
      <w:rFonts w:ascii="Calibri" w:hAnsi="Calibri" w:cs="Times New Roman"/>
      <w:sz w:val="24"/>
      <w:szCs w:val="24"/>
    </w:rPr>
  </w:style>
  <w:style w:type="paragraph" w:customStyle="1" w:styleId="affffffffffffffffffffff6">
    <w:name w:val="常用"/>
    <w:basedOn w:val="af1"/>
    <w:qFormat/>
    <w:pPr>
      <w:spacing w:line="360" w:lineRule="auto"/>
    </w:pPr>
    <w:rPr>
      <w:rFonts w:ascii="Calibri" w:hAnsi="Calibri" w:cs="Times New Roman"/>
      <w:sz w:val="24"/>
      <w:szCs w:val="24"/>
    </w:rPr>
  </w:style>
  <w:style w:type="paragraph" w:customStyle="1" w:styleId="323">
    <w:name w:val="样式 标题 3 + 四号2"/>
    <w:basedOn w:val="31"/>
    <w:qFormat/>
    <w:pPr>
      <w:keepLines w:val="0"/>
      <w:widowControl/>
      <w:spacing w:before="0" w:after="0" w:line="360" w:lineRule="auto"/>
      <w:ind w:firstLineChars="200" w:firstLine="1044"/>
      <w:jc w:val="left"/>
      <w:textAlignment w:val="baseline"/>
    </w:pPr>
    <w:rPr>
      <w:rFonts w:ascii="Times New Roman" w:eastAsia="黑体" w:hAnsi="Times New Roman"/>
      <w:b w:val="0"/>
      <w:color w:val="000000"/>
      <w:kern w:val="0"/>
      <w:sz w:val="28"/>
      <w:szCs w:val="24"/>
      <w:lang w:bidi="en-US"/>
    </w:rPr>
  </w:style>
  <w:style w:type="paragraph" w:customStyle="1" w:styleId="affffffffffffffffffffff7">
    <w:name w:val="表格－正文"/>
    <w:basedOn w:val="af1"/>
    <w:qFormat/>
    <w:pPr>
      <w:spacing w:line="300" w:lineRule="exact"/>
      <w:jc w:val="center"/>
    </w:pPr>
    <w:rPr>
      <w:rFonts w:cs="Vrinda"/>
      <w:sz w:val="24"/>
      <w:szCs w:val="20"/>
    </w:rPr>
  </w:style>
  <w:style w:type="paragraph" w:customStyle="1" w:styleId="-13">
    <w:name w:val="表格标题-13"/>
    <w:basedOn w:val="-xin"/>
    <w:next w:val="af1"/>
    <w:qFormat/>
    <w:pPr>
      <w:numPr>
        <w:numId w:val="22"/>
      </w:numPr>
      <w:tabs>
        <w:tab w:val="left" w:pos="851"/>
      </w:tabs>
      <w:adjustRightInd w:val="0"/>
      <w:spacing w:line="360" w:lineRule="auto"/>
    </w:pPr>
    <w:rPr>
      <w:rFonts w:ascii="Times New Roman" w:hAnsi="Times New Roman"/>
      <w:sz w:val="24"/>
    </w:rPr>
  </w:style>
  <w:style w:type="paragraph" w:customStyle="1" w:styleId="affffffffffffffffffffff8">
    <w:name w:val="报告二标"/>
    <w:basedOn w:val="af1"/>
    <w:uiPriority w:val="99"/>
    <w:qFormat/>
    <w:pPr>
      <w:spacing w:before="40" w:after="40" w:line="480" w:lineRule="exact"/>
      <w:jc w:val="left"/>
      <w:outlineLvl w:val="1"/>
    </w:pPr>
    <w:rPr>
      <w:rFonts w:ascii="黑体" w:eastAsia="黑体" w:hAnsi="黑体" w:cs="Times New Roman"/>
      <w:sz w:val="30"/>
      <w:szCs w:val="24"/>
    </w:rPr>
  </w:style>
  <w:style w:type="paragraph" w:customStyle="1" w:styleId="3G">
    <w:name w:val="列表 3G"/>
    <w:basedOn w:val="34"/>
    <w:qFormat/>
    <w:pPr>
      <w:tabs>
        <w:tab w:val="left" w:pos="907"/>
      </w:tabs>
      <w:spacing w:line="288" w:lineRule="auto"/>
      <w:ind w:left="907" w:hanging="567"/>
      <w:jc w:val="left"/>
    </w:pPr>
    <w:rPr>
      <w:rFonts w:ascii="Courier New" w:hAnsi="Courier New" w:cs="仿宋_GB2312"/>
      <w:color w:val="CCFFCC"/>
      <w:sz w:val="24"/>
    </w:rPr>
  </w:style>
  <w:style w:type="paragraph" w:customStyle="1" w:styleId="1fffffb">
    <w:name w:val="标题样式1"/>
    <w:basedOn w:val="affe"/>
    <w:qFormat/>
    <w:pPr>
      <w:widowControl/>
      <w:adjustRightInd w:val="0"/>
      <w:snapToGrid w:val="0"/>
      <w:spacing w:after="0" w:line="240" w:lineRule="atLeast"/>
      <w:jc w:val="center"/>
      <w:textAlignment w:val="baseline"/>
    </w:pPr>
    <w:rPr>
      <w:rFonts w:ascii="仿宋_GB2312" w:eastAsia="宋体" w:hAnsi="仿宋_GB2312" w:cs="仿宋_GB2312"/>
      <w:b/>
      <w:bCs/>
      <w:kern w:val="0"/>
      <w:sz w:val="24"/>
      <w:szCs w:val="20"/>
    </w:rPr>
  </w:style>
  <w:style w:type="paragraph" w:customStyle="1" w:styleId="002">
    <w:name w:val="标题002"/>
    <w:basedOn w:val="af1"/>
    <w:qFormat/>
    <w:pPr>
      <w:spacing w:before="160" w:line="480" w:lineRule="exact"/>
      <w:outlineLvl w:val="1"/>
    </w:pPr>
    <w:rPr>
      <w:rFonts w:ascii="Calibri" w:hAnsi="Calibri" w:cs="Times New Roman"/>
      <w:b/>
      <w:sz w:val="28"/>
      <w:szCs w:val="20"/>
    </w:rPr>
  </w:style>
  <w:style w:type="paragraph" w:customStyle="1" w:styleId="1CharCharCharChar">
    <w:name w:val="正文1 Char Char Char Char"/>
    <w:basedOn w:val="af1"/>
    <w:qFormat/>
    <w:pPr>
      <w:widowControl/>
      <w:tabs>
        <w:tab w:val="left" w:pos="5327"/>
        <w:tab w:val="left" w:pos="6326"/>
        <w:tab w:val="left" w:pos="7230"/>
        <w:tab w:val="left" w:pos="9301"/>
      </w:tabs>
      <w:autoSpaceDE w:val="0"/>
      <w:autoSpaceDN w:val="0"/>
      <w:adjustRightInd w:val="0"/>
      <w:snapToGrid w:val="0"/>
      <w:spacing w:line="600" w:lineRule="exact"/>
      <w:ind w:firstLineChars="200" w:firstLine="200"/>
      <w:jc w:val="left"/>
    </w:pPr>
    <w:rPr>
      <w:rFonts w:ascii="Arial Narrow" w:eastAsia="仿宋_GB2312" w:hAnsi="Arial Narrow" w:cs="Times New Roman"/>
      <w:color w:val="000000"/>
      <w:kern w:val="10"/>
      <w:sz w:val="28"/>
      <w:szCs w:val="28"/>
    </w:rPr>
  </w:style>
  <w:style w:type="paragraph" w:customStyle="1" w:styleId="412">
    <w:name w:val="标题 41"/>
    <w:basedOn w:val="af1"/>
    <w:qFormat/>
    <w:pPr>
      <w:autoSpaceDE w:val="0"/>
      <w:autoSpaceDN w:val="0"/>
      <w:adjustRightInd w:val="0"/>
      <w:spacing w:before="13"/>
      <w:ind w:left="117"/>
      <w:jc w:val="left"/>
      <w:outlineLvl w:val="3"/>
    </w:pPr>
    <w:rPr>
      <w:rFonts w:ascii="宋体" w:hAnsi="Calibri" w:cs="宋体"/>
      <w:b/>
      <w:bCs/>
      <w:kern w:val="0"/>
      <w:sz w:val="28"/>
      <w:szCs w:val="28"/>
    </w:rPr>
  </w:style>
  <w:style w:type="paragraph" w:customStyle="1" w:styleId="CharCharChar1CharCharCharCharCharCharCharCharCharCharCharCharCharCharCharCharCharCharCharCharCharCharCharCharCharCharCharCharCharCharCharCharCharChar">
    <w:name w:val="Char Char Char1 Char Char Char Char Char Char Char Char Char Char Char Char Char Char Char Char Char Char Char Char Char Char Char Char Char Char Char Char Char Char Char Char Char Char"/>
    <w:basedOn w:val="af1"/>
    <w:qFormat/>
    <w:pPr>
      <w:spacing w:line="360" w:lineRule="auto"/>
      <w:ind w:firstLineChars="200" w:firstLine="200"/>
      <w:jc w:val="left"/>
    </w:pPr>
    <w:rPr>
      <w:rFonts w:ascii="宋体" w:hAnsi="宋体" w:cs="宋体"/>
      <w:sz w:val="24"/>
      <w:szCs w:val="24"/>
    </w:rPr>
  </w:style>
  <w:style w:type="paragraph" w:customStyle="1" w:styleId="IDCA-Head2ndLine">
    <w:name w:val="IDC A-Head (2nd Line)"/>
    <w:basedOn w:val="af1"/>
    <w:next w:val="af1"/>
    <w:qFormat/>
    <w:pPr>
      <w:adjustRightInd w:val="0"/>
      <w:spacing w:line="360" w:lineRule="atLeast"/>
      <w:jc w:val="center"/>
    </w:pPr>
    <w:rPr>
      <w:rFonts w:ascii="Calibri" w:hAnsi="Calibri" w:cs="Times New Roman"/>
      <w:caps/>
      <w:kern w:val="0"/>
      <w:sz w:val="24"/>
      <w:szCs w:val="20"/>
    </w:rPr>
  </w:style>
  <w:style w:type="paragraph" w:customStyle="1" w:styleId="affffffffffffffffffffff9">
    <w:name w:val="环评节标题"/>
    <w:basedOn w:val="af1"/>
    <w:qFormat/>
    <w:pPr>
      <w:adjustRightInd w:val="0"/>
      <w:spacing w:before="400" w:after="200" w:line="360" w:lineRule="atLeast"/>
    </w:pPr>
    <w:rPr>
      <w:rFonts w:ascii="Calibri" w:eastAsia="黑体" w:hAnsi="Calibri" w:cs="Times New Roman"/>
      <w:b/>
      <w:spacing w:val="20"/>
      <w:sz w:val="30"/>
      <w:szCs w:val="20"/>
    </w:rPr>
  </w:style>
  <w:style w:type="paragraph" w:customStyle="1" w:styleId="3ff1">
    <w:name w:val="正文文字缩进3"/>
    <w:basedOn w:val="35"/>
    <w:qFormat/>
    <w:pPr>
      <w:adjustRightInd w:val="0"/>
      <w:snapToGrid w:val="0"/>
      <w:spacing w:after="0"/>
    </w:pPr>
    <w:rPr>
      <w:rFonts w:eastAsia="黑体"/>
      <w:snapToGrid w:val="0"/>
      <w:kern w:val="0"/>
      <w:sz w:val="28"/>
      <w:szCs w:val="28"/>
    </w:rPr>
  </w:style>
  <w:style w:type="paragraph" w:customStyle="1" w:styleId="xl120">
    <w:name w:val="xl120"/>
    <w:basedOn w:val="af1"/>
    <w:qFormat/>
    <w:pPr>
      <w:widowControl/>
      <w:pBdr>
        <w:top w:val="single" w:sz="4" w:space="0" w:color="auto"/>
        <w:left w:val="single" w:sz="4" w:space="0" w:color="auto"/>
        <w:right w:val="single" w:sz="4" w:space="0" w:color="auto"/>
      </w:pBdr>
      <w:spacing w:before="100" w:beforeAutospacing="1" w:after="100" w:afterAutospacing="1"/>
      <w:jc w:val="left"/>
    </w:pPr>
    <w:rPr>
      <w:rFonts w:ascii="宋体" w:hAnsi="宋体" w:cs="宋体"/>
      <w:kern w:val="0"/>
      <w:sz w:val="20"/>
      <w:szCs w:val="20"/>
    </w:rPr>
  </w:style>
  <w:style w:type="paragraph" w:customStyle="1" w:styleId="466">
    <w:name w:val="样式 标题 4 + 段前: 6 磅 段后: 6 磅"/>
    <w:basedOn w:val="41"/>
    <w:qFormat/>
    <w:pPr>
      <w:keepLines/>
      <w:widowControl w:val="0"/>
      <w:tabs>
        <w:tab w:val="left" w:pos="1080"/>
      </w:tabs>
      <w:adjustRightInd w:val="0"/>
      <w:spacing w:before="120" w:after="120" w:line="360" w:lineRule="auto"/>
      <w:ind w:firstLineChars="200" w:firstLine="1044"/>
      <w:jc w:val="left"/>
      <w:textAlignment w:val="baseline"/>
    </w:pPr>
    <w:rPr>
      <w:rFonts w:ascii="Times New Roman" w:eastAsia="黑体" w:hAnsi="Times New Roman" w:cs="宋体"/>
      <w:b w:val="0"/>
      <w:bCs/>
      <w:kern w:val="2"/>
      <w:sz w:val="24"/>
    </w:rPr>
  </w:style>
  <w:style w:type="paragraph" w:customStyle="1" w:styleId="affffffffffffffffffffffa">
    <w:name w:val="环评表格后节以下标题"/>
    <w:basedOn w:val="affffffffffffff7"/>
    <w:qFormat/>
    <w:pPr>
      <w:spacing w:before="400"/>
    </w:pPr>
  </w:style>
  <w:style w:type="paragraph" w:customStyle="1" w:styleId="xl93">
    <w:name w:val="xl93"/>
    <w:basedOn w:val="af1"/>
    <w:qFormat/>
    <w:pPr>
      <w:widowControl/>
      <w:pBdr>
        <w:left w:val="single" w:sz="4" w:space="0" w:color="auto"/>
        <w:bottom w:val="single" w:sz="4" w:space="0" w:color="auto"/>
        <w:right w:val="single" w:sz="4" w:space="0" w:color="auto"/>
      </w:pBdr>
      <w:spacing w:before="100" w:beforeAutospacing="1" w:after="100" w:afterAutospacing="1" w:line="360" w:lineRule="auto"/>
      <w:ind w:left="6" w:firstLineChars="200" w:firstLine="560"/>
      <w:jc w:val="center"/>
      <w:textAlignment w:val="center"/>
    </w:pPr>
    <w:rPr>
      <w:rFonts w:ascii="宋体" w:eastAsia="仿宋_GB2312" w:hAnsi="宋体" w:cs="宋体"/>
      <w:color w:val="000000"/>
      <w:kern w:val="0"/>
      <w:sz w:val="24"/>
      <w:szCs w:val="24"/>
    </w:rPr>
  </w:style>
  <w:style w:type="paragraph" w:customStyle="1" w:styleId="xl59">
    <w:name w:val="xl59"/>
    <w:basedOn w:val="af1"/>
    <w:qFormat/>
    <w:pPr>
      <w:widowControl/>
      <w:spacing w:before="100" w:beforeAutospacing="1" w:after="100" w:afterAutospacing="1"/>
      <w:jc w:val="center"/>
    </w:pPr>
    <w:rPr>
      <w:rFonts w:ascii="宋体" w:hAnsi="宋体" w:cs="Times New Roman" w:hint="eastAsia"/>
      <w:b/>
      <w:bCs/>
      <w:kern w:val="0"/>
      <w:sz w:val="32"/>
      <w:szCs w:val="32"/>
    </w:rPr>
  </w:style>
  <w:style w:type="paragraph" w:customStyle="1" w:styleId="2ffffe">
    <w:name w:val="框图格式2"/>
    <w:basedOn w:val="af1"/>
    <w:qFormat/>
    <w:pPr>
      <w:widowControl/>
      <w:jc w:val="left"/>
    </w:pPr>
    <w:rPr>
      <w:rFonts w:ascii="仿宋_GB2312" w:hAnsi="仿宋_GB2312" w:cs="仿宋_GB2312"/>
      <w:sz w:val="18"/>
      <w:szCs w:val="24"/>
    </w:rPr>
  </w:style>
  <w:style w:type="paragraph" w:customStyle="1" w:styleId="3ff2">
    <w:name w:val="无间隔3"/>
    <w:qFormat/>
    <w:pPr>
      <w:widowControl w:val="0"/>
      <w:jc w:val="both"/>
    </w:pPr>
    <w:rPr>
      <w:rFonts w:ascii="Calibri" w:eastAsia="宋体" w:hAnsi="Calibri" w:cs="Calibri"/>
      <w:kern w:val="2"/>
      <w:sz w:val="21"/>
      <w:szCs w:val="21"/>
    </w:rPr>
  </w:style>
  <w:style w:type="paragraph" w:customStyle="1" w:styleId="affffffffffffffffffffffb">
    <w:name w:val="标题五"/>
    <w:basedOn w:val="af1"/>
    <w:qFormat/>
    <w:pPr>
      <w:spacing w:line="500" w:lineRule="atLeast"/>
      <w:jc w:val="center"/>
    </w:pPr>
    <w:rPr>
      <w:rFonts w:ascii="宋体" w:hAnsi="宋体" w:cs="Times New Roman"/>
      <w:sz w:val="24"/>
      <w:szCs w:val="24"/>
    </w:rPr>
  </w:style>
  <w:style w:type="paragraph" w:customStyle="1" w:styleId="affffffffffffffffffffffc">
    <w:name w:val="我的表格文字"/>
    <w:basedOn w:val="af1"/>
    <w:qFormat/>
    <w:pPr>
      <w:spacing w:line="360" w:lineRule="auto"/>
      <w:jc w:val="center"/>
    </w:pPr>
    <w:rPr>
      <w:rFonts w:ascii="Calibri" w:hAnsi="Calibri" w:cs="Times New Roman"/>
      <w:sz w:val="24"/>
      <w:szCs w:val="21"/>
    </w:rPr>
  </w:style>
  <w:style w:type="paragraph" w:customStyle="1" w:styleId="05">
    <w:name w:val="样式 表文居中 + 段前: 0.5 行"/>
    <w:basedOn w:val="af1"/>
    <w:qFormat/>
    <w:pPr>
      <w:autoSpaceDE w:val="0"/>
      <w:autoSpaceDN w:val="0"/>
      <w:adjustRightInd w:val="0"/>
      <w:snapToGrid w:val="0"/>
      <w:jc w:val="center"/>
      <w:textAlignment w:val="baseline"/>
    </w:pPr>
    <w:rPr>
      <w:rFonts w:ascii="Calibri" w:hAnsi="Calibri" w:cs="宋体"/>
      <w:kern w:val="0"/>
      <w:szCs w:val="20"/>
    </w:rPr>
  </w:style>
  <w:style w:type="paragraph" w:customStyle="1" w:styleId="1fffffc">
    <w:name w:val="表格文字1"/>
    <w:basedOn w:val="af1"/>
    <w:qFormat/>
    <w:pPr>
      <w:widowControl/>
      <w:tabs>
        <w:tab w:val="left" w:pos="0"/>
      </w:tabs>
      <w:autoSpaceDE w:val="0"/>
      <w:autoSpaceDN w:val="0"/>
      <w:adjustRightInd w:val="0"/>
      <w:spacing w:before="60"/>
      <w:ind w:left="57" w:right="57"/>
      <w:jc w:val="center"/>
      <w:textAlignment w:val="baseline"/>
    </w:pPr>
    <w:rPr>
      <w:rFonts w:ascii="仿宋_GB2312" w:hAnsi="仿宋_GB2312" w:cs="仿宋_GB2312"/>
      <w:szCs w:val="24"/>
    </w:rPr>
  </w:style>
  <w:style w:type="paragraph" w:customStyle="1" w:styleId="3cg">
    <w:name w:val="标题 3  cg"/>
    <w:basedOn w:val="31"/>
    <w:qFormat/>
    <w:pPr>
      <w:widowControl/>
      <w:spacing w:before="0" w:after="0" w:line="360" w:lineRule="auto"/>
      <w:jc w:val="left"/>
      <w:textAlignment w:val="baseline"/>
    </w:pPr>
    <w:rPr>
      <w:color w:val="0000FF"/>
      <w:sz w:val="24"/>
      <w:szCs w:val="24"/>
    </w:rPr>
  </w:style>
  <w:style w:type="paragraph" w:customStyle="1" w:styleId="affffffffffffffffffffffd">
    <w:name w:val="正文使用"/>
    <w:basedOn w:val="28"/>
    <w:qFormat/>
    <w:pPr>
      <w:spacing w:after="0" w:line="360" w:lineRule="auto"/>
      <w:ind w:firstLineChars="200" w:firstLine="200"/>
    </w:pPr>
    <w:rPr>
      <w:rFonts w:cs="宋体" w:hint="eastAsia"/>
      <w:sz w:val="24"/>
    </w:rPr>
  </w:style>
  <w:style w:type="paragraph" w:customStyle="1" w:styleId="2fffff">
    <w:name w:val="样式 标题 2 + 四号"/>
    <w:basedOn w:val="22"/>
    <w:qFormat/>
    <w:pPr>
      <w:tabs>
        <w:tab w:val="left" w:pos="576"/>
      </w:tabs>
      <w:snapToGrid w:val="0"/>
      <w:spacing w:before="0" w:after="0" w:line="240" w:lineRule="auto"/>
      <w:ind w:left="576" w:hanging="576"/>
    </w:pPr>
    <w:rPr>
      <w:rFonts w:ascii="华文中宋" w:eastAsia="华文中宋" w:hAnsi="华文中宋" w:hint="eastAsia"/>
      <w:b w:val="0"/>
      <w:sz w:val="28"/>
      <w:szCs w:val="20"/>
    </w:rPr>
  </w:style>
  <w:style w:type="paragraph" w:customStyle="1" w:styleId="CharCharCharCharCharCharCharChar0">
    <w:name w:val="Char Char Char Char Char Char Char Char"/>
    <w:basedOn w:val="af1"/>
    <w:qFormat/>
    <w:pPr>
      <w:widowControl/>
      <w:snapToGrid w:val="0"/>
      <w:spacing w:before="120" w:after="160" w:line="360" w:lineRule="auto"/>
      <w:ind w:right="-360" w:firstLineChars="200" w:firstLine="200"/>
      <w:jc w:val="left"/>
    </w:pPr>
    <w:rPr>
      <w:rFonts w:ascii="Arial" w:hAnsi="Arial" w:cs="Times New Roman"/>
      <w:kern w:val="0"/>
      <w:sz w:val="24"/>
      <w:szCs w:val="24"/>
      <w:lang w:eastAsia="en-US"/>
    </w:rPr>
  </w:style>
  <w:style w:type="paragraph" w:customStyle="1" w:styleId="l0">
    <w:name w:val="l正文"/>
    <w:basedOn w:val="af1"/>
    <w:qFormat/>
    <w:pPr>
      <w:spacing w:line="440" w:lineRule="exact"/>
      <w:ind w:firstLineChars="200" w:firstLine="200"/>
    </w:pPr>
    <w:rPr>
      <w:rFonts w:ascii="Calibri" w:hAnsi="Calibri" w:cs="Times New Roman"/>
      <w:b/>
      <w:sz w:val="24"/>
      <w:szCs w:val="24"/>
    </w:rPr>
  </w:style>
  <w:style w:type="paragraph" w:customStyle="1" w:styleId="203">
    <w:name w:val="样式 行距: 固定值 20 磅"/>
    <w:basedOn w:val="af1"/>
    <w:qFormat/>
    <w:pPr>
      <w:spacing w:beforeLines="100" w:afterLines="100" w:line="400" w:lineRule="exact"/>
      <w:jc w:val="left"/>
    </w:pPr>
    <w:rPr>
      <w:rFonts w:ascii="Calibri" w:hAnsi="Calibri" w:cs="宋体"/>
      <w:sz w:val="24"/>
      <w:szCs w:val="20"/>
    </w:rPr>
  </w:style>
  <w:style w:type="paragraph" w:customStyle="1" w:styleId="105">
    <w:name w:val="样式 样式1 + 段前: 0.5 行"/>
    <w:basedOn w:val="19"/>
    <w:qFormat/>
    <w:pPr>
      <w:spacing w:before="100" w:beforeAutospacing="1" w:after="100" w:afterAutospacing="1" w:line="360" w:lineRule="auto"/>
      <w:ind w:firstLineChars="200" w:firstLine="560"/>
      <w:jc w:val="left"/>
    </w:pPr>
    <w:rPr>
      <w:rFonts w:ascii="宋体" w:hAnsi="宋体" w:hint="eastAsia"/>
      <w:color w:val="000000"/>
    </w:rPr>
  </w:style>
  <w:style w:type="paragraph" w:customStyle="1" w:styleId="2TimesNewRoman3">
    <w:name w:val="样式 标题 2 + Times New Roman 小三 居中"/>
    <w:basedOn w:val="22"/>
    <w:qFormat/>
    <w:pPr>
      <w:widowControl/>
      <w:spacing w:beforeLines="50" w:line="415" w:lineRule="auto"/>
      <w:ind w:firstLineChars="192" w:firstLine="538"/>
      <w:jc w:val="left"/>
    </w:pPr>
    <w:rPr>
      <w:rFonts w:ascii="仿宋_GB2312" w:eastAsia="楷体" w:hAnsi="仿宋_GB2312" w:cs="Verdana"/>
      <w:bCs w:val="0"/>
      <w:kern w:val="0"/>
      <w:sz w:val="30"/>
      <w:szCs w:val="20"/>
    </w:rPr>
  </w:style>
  <w:style w:type="paragraph" w:customStyle="1" w:styleId="GB231210">
    <w:name w:val="样式 仿宋_GB2312 小四1"/>
    <w:basedOn w:val="af1"/>
    <w:qFormat/>
    <w:pPr>
      <w:widowControl/>
      <w:adjustRightInd w:val="0"/>
      <w:spacing w:line="360" w:lineRule="auto"/>
      <w:ind w:firstLineChars="200" w:firstLine="480"/>
      <w:jc w:val="left"/>
      <w:textAlignment w:val="baseline"/>
    </w:pPr>
    <w:rPr>
      <w:rFonts w:ascii="仿宋_GB2312" w:eastAsia="Times New Roman" w:hAnsi="仿宋_GB2312" w:cs="仿宋_GB2312"/>
      <w:kern w:val="0"/>
      <w:sz w:val="24"/>
      <w:szCs w:val="24"/>
    </w:rPr>
  </w:style>
  <w:style w:type="paragraph" w:customStyle="1" w:styleId="xl81">
    <w:name w:val="xl81"/>
    <w:basedOn w:val="af1"/>
    <w:qFormat/>
    <w:pPr>
      <w:widowControl/>
      <w:spacing w:before="100" w:beforeAutospacing="1" w:after="100" w:afterAutospacing="1" w:line="360" w:lineRule="auto"/>
      <w:jc w:val="center"/>
    </w:pPr>
    <w:rPr>
      <w:rFonts w:ascii="宋体" w:hAnsi="宋体" w:cs="Times New Roman"/>
      <w:sz w:val="20"/>
      <w:szCs w:val="20"/>
    </w:rPr>
  </w:style>
  <w:style w:type="paragraph" w:customStyle="1" w:styleId="affffffffffffffffffffffe">
    <w:name w:val="附录二级条标题"/>
    <w:basedOn w:val="affffffffffffffffff"/>
    <w:next w:val="af1"/>
    <w:qFormat/>
    <w:pPr>
      <w:ind w:left="360" w:hanging="360"/>
      <w:outlineLvl w:val="3"/>
    </w:pPr>
  </w:style>
  <w:style w:type="paragraph" w:customStyle="1" w:styleId="edri-1title">
    <w:name w:val="edri-1).title"/>
    <w:basedOn w:val="edri-AtitleChar1"/>
    <w:qFormat/>
    <w:pPr>
      <w:ind w:left="2250" w:hanging="420"/>
      <w:outlineLvl w:val="4"/>
    </w:pPr>
  </w:style>
  <w:style w:type="paragraph" w:customStyle="1" w:styleId="edri-AtitleChar1">
    <w:name w:val="edri-A title Char1"/>
    <w:basedOn w:val="edri-titlethirdChar1"/>
    <w:next w:val="edri-titlethirdChar1"/>
    <w:qFormat/>
    <w:pPr>
      <w:ind w:left="851" w:hanging="851"/>
      <w:outlineLvl w:val="3"/>
    </w:pPr>
  </w:style>
  <w:style w:type="paragraph" w:customStyle="1" w:styleId="edri-titlethirdChar1">
    <w:name w:val="edri-title third Char1"/>
    <w:basedOn w:val="af1"/>
    <w:qFormat/>
    <w:pPr>
      <w:widowControl/>
      <w:tabs>
        <w:tab w:val="left" w:pos="0"/>
        <w:tab w:val="left" w:pos="945"/>
      </w:tabs>
      <w:spacing w:beforeLines="50" w:line="300" w:lineRule="auto"/>
      <w:ind w:left="964" w:hanging="964"/>
      <w:jc w:val="left"/>
      <w:outlineLvl w:val="2"/>
    </w:pPr>
    <w:rPr>
      <w:rFonts w:ascii="仿宋_GB2312" w:hAnsi="仿宋_GB2312" w:cs="仿宋_GB2312"/>
      <w:bCs/>
      <w:kern w:val="0"/>
      <w:sz w:val="24"/>
      <w:szCs w:val="24"/>
    </w:rPr>
  </w:style>
  <w:style w:type="paragraph" w:customStyle="1" w:styleId="140">
    <w:name w:val="样式14"/>
    <w:basedOn w:val="af1"/>
    <w:qFormat/>
    <w:pPr>
      <w:tabs>
        <w:tab w:val="left" w:pos="1140"/>
      </w:tabs>
      <w:spacing w:beforeLines="50" w:afterLines="50"/>
    </w:pPr>
    <w:rPr>
      <w:rFonts w:ascii="Calibri" w:eastAsia="黑体" w:hAnsi="Calibri" w:cs="Times New Roman"/>
      <w:sz w:val="28"/>
      <w:szCs w:val="28"/>
    </w:rPr>
  </w:style>
  <w:style w:type="paragraph" w:customStyle="1" w:styleId="Char1CharCharCharCharCharCharCharCharChar">
    <w:name w:val="Char1 Char Char Char Char Char Char Char Char Char"/>
    <w:basedOn w:val="af1"/>
    <w:qFormat/>
    <w:pPr>
      <w:spacing w:line="360" w:lineRule="auto"/>
      <w:jc w:val="left"/>
    </w:pPr>
    <w:rPr>
      <w:rFonts w:ascii="宋体" w:eastAsia="华文仿宋" w:hAnsi="宋体" w:cs="宋体"/>
      <w:sz w:val="24"/>
      <w:szCs w:val="24"/>
    </w:rPr>
  </w:style>
  <w:style w:type="paragraph" w:customStyle="1" w:styleId="4X">
    <w:name w:val="列表 4X"/>
    <w:basedOn w:val="45"/>
    <w:qFormat/>
    <w:pPr>
      <w:widowControl/>
      <w:tabs>
        <w:tab w:val="left" w:pos="1021"/>
      </w:tabs>
      <w:adjustRightInd/>
      <w:spacing w:afterLines="30" w:line="288" w:lineRule="auto"/>
      <w:ind w:left="1021" w:hanging="454"/>
      <w:jc w:val="left"/>
      <w:textAlignment w:val="auto"/>
    </w:pPr>
    <w:rPr>
      <w:rFonts w:ascii="Courier New" w:hAnsi="Courier New" w:cs="仿宋_GB2312"/>
      <w:color w:val="CCFFFF"/>
      <w:kern w:val="2"/>
    </w:rPr>
  </w:style>
  <w:style w:type="paragraph" w:customStyle="1" w:styleId="2N">
    <w:name w:val="列表 2N"/>
    <w:basedOn w:val="25"/>
    <w:qFormat/>
    <w:pPr>
      <w:widowControl/>
      <w:tabs>
        <w:tab w:val="left" w:pos="737"/>
      </w:tabs>
      <w:spacing w:beforeAutospacing="1" w:after="100" w:afterAutospacing="1" w:line="288" w:lineRule="auto"/>
      <w:ind w:leftChars="0" w:left="737" w:firstLineChars="0" w:hanging="567"/>
      <w:jc w:val="left"/>
    </w:pPr>
    <w:rPr>
      <w:rFonts w:ascii="Courier New" w:eastAsia="宋体" w:hAnsi="Courier New" w:cs="仿宋_GB2312"/>
      <w:color w:val="FFFF99"/>
      <w:kern w:val="2"/>
      <w:sz w:val="24"/>
      <w:szCs w:val="20"/>
    </w:rPr>
  </w:style>
  <w:style w:type="paragraph" w:customStyle="1" w:styleId="xl48">
    <w:name w:val="xl48"/>
    <w:basedOn w:val="af1"/>
    <w:qFormat/>
    <w:pPr>
      <w:widowControl/>
      <w:pBdr>
        <w:top w:val="single" w:sz="4" w:space="0" w:color="auto"/>
        <w:left w:val="single" w:sz="4" w:space="0" w:color="auto"/>
        <w:bottom w:val="single" w:sz="8" w:space="0" w:color="auto"/>
        <w:right w:val="single" w:sz="8" w:space="0" w:color="auto"/>
      </w:pBdr>
      <w:spacing w:before="100" w:beforeAutospacing="1" w:after="100" w:afterAutospacing="1"/>
      <w:ind w:left="1320" w:hanging="420"/>
      <w:jc w:val="center"/>
      <w:textAlignment w:val="center"/>
    </w:pPr>
    <w:rPr>
      <w:rFonts w:ascii="楷体_GB2312" w:eastAsia="楷体_GB2312" w:hAnsi="Arial Unicode MS" w:cs="Arial Unicode MS" w:hint="eastAsia"/>
      <w:b/>
      <w:bCs/>
      <w:kern w:val="0"/>
      <w:sz w:val="20"/>
      <w:szCs w:val="20"/>
    </w:rPr>
  </w:style>
  <w:style w:type="paragraph" w:customStyle="1" w:styleId="780">
    <w:name w:val="目录7～8（西藏格式）"/>
    <w:basedOn w:val="TOC7"/>
    <w:qFormat/>
    <w:pPr>
      <w:adjustRightInd w:val="0"/>
      <w:snapToGrid w:val="0"/>
      <w:spacing w:line="360" w:lineRule="auto"/>
      <w:ind w:left="1440"/>
    </w:pPr>
    <w:rPr>
      <w:rFonts w:cs="Calibri"/>
      <w:snapToGrid w:val="0"/>
    </w:rPr>
  </w:style>
  <w:style w:type="paragraph" w:customStyle="1" w:styleId="2fffff0">
    <w:name w:val="样式 宋体 首行缩进:  2 字符"/>
    <w:basedOn w:val="af1"/>
    <w:qFormat/>
    <w:pPr>
      <w:ind w:firstLineChars="200" w:firstLine="200"/>
    </w:pPr>
    <w:rPr>
      <w:rFonts w:ascii="宋体" w:hAnsi="宋体" w:cs="宋体"/>
      <w:sz w:val="28"/>
      <w:szCs w:val="20"/>
    </w:rPr>
  </w:style>
  <w:style w:type="paragraph" w:customStyle="1" w:styleId="ST201">
    <w:name w:val="ST20_1"/>
    <w:basedOn w:val="af1"/>
    <w:qFormat/>
    <w:pPr>
      <w:autoSpaceDE w:val="0"/>
      <w:autoSpaceDN w:val="0"/>
      <w:adjustRightInd w:val="0"/>
      <w:ind w:left="420" w:hanging="420"/>
    </w:pPr>
    <w:rPr>
      <w:rFonts w:ascii="宋体" w:hAnsi="Calibri" w:cs="Times New Roman"/>
      <w:kern w:val="0"/>
      <w:szCs w:val="20"/>
    </w:rPr>
  </w:style>
  <w:style w:type="paragraph" w:customStyle="1" w:styleId="afffffffffffffffffffffff">
    <w:name w:val="附录五级条标题"/>
    <w:basedOn w:val="afffffffffffffffffffffff0"/>
    <w:next w:val="af1"/>
    <w:qFormat/>
    <w:pPr>
      <w:ind w:left="435" w:hanging="165"/>
      <w:outlineLvl w:val="6"/>
    </w:pPr>
  </w:style>
  <w:style w:type="paragraph" w:customStyle="1" w:styleId="afffffffffffffffffffffff0">
    <w:name w:val="附录四级条标题"/>
    <w:basedOn w:val="afffffffffffffffffffffff1"/>
    <w:next w:val="af1"/>
    <w:qFormat/>
    <w:pPr>
      <w:ind w:left="960"/>
      <w:outlineLvl w:val="5"/>
    </w:pPr>
  </w:style>
  <w:style w:type="paragraph" w:customStyle="1" w:styleId="afffffffffffffffffffffff1">
    <w:name w:val="附录三级条标题"/>
    <w:basedOn w:val="affffffffffffffffffffffe"/>
    <w:next w:val="af1"/>
    <w:qFormat/>
    <w:pPr>
      <w:ind w:left="1068"/>
      <w:outlineLvl w:val="4"/>
    </w:pPr>
  </w:style>
  <w:style w:type="paragraph" w:customStyle="1" w:styleId="5f0">
    <w:name w:val="5号字表"/>
    <w:basedOn w:val="af1"/>
    <w:qFormat/>
    <w:pPr>
      <w:widowControl/>
      <w:tabs>
        <w:tab w:val="left" w:pos="210"/>
      </w:tabs>
      <w:spacing w:line="500" w:lineRule="exact"/>
      <w:ind w:firstLineChars="200" w:firstLine="200"/>
      <w:jc w:val="left"/>
    </w:pPr>
    <w:rPr>
      <w:rFonts w:ascii="宋体" w:hAnsi="宋体" w:cs="宋体"/>
      <w:bCs/>
      <w:sz w:val="28"/>
      <w:szCs w:val="20"/>
    </w:rPr>
  </w:style>
  <w:style w:type="paragraph" w:customStyle="1" w:styleId="font12">
    <w:name w:val="font12"/>
    <w:basedOn w:val="af1"/>
    <w:qFormat/>
    <w:pPr>
      <w:widowControl/>
      <w:spacing w:before="100" w:beforeAutospacing="1" w:after="100" w:afterAutospacing="1"/>
      <w:jc w:val="left"/>
    </w:pPr>
    <w:rPr>
      <w:rFonts w:ascii="Calibri" w:hAnsi="Calibri" w:cs="Times New Roman"/>
      <w:color w:val="FF6600"/>
      <w:kern w:val="0"/>
      <w:sz w:val="24"/>
      <w:szCs w:val="24"/>
    </w:rPr>
  </w:style>
  <w:style w:type="paragraph" w:customStyle="1" w:styleId="puce">
    <w:name w:val="puce"/>
    <w:basedOn w:val="af1"/>
    <w:qFormat/>
    <w:pPr>
      <w:widowControl/>
      <w:tabs>
        <w:tab w:val="left" w:pos="390"/>
      </w:tabs>
      <w:adjustRightInd w:val="0"/>
      <w:snapToGrid w:val="0"/>
      <w:spacing w:line="300" w:lineRule="auto"/>
      <w:ind w:left="1020" w:hanging="340"/>
      <w:jc w:val="left"/>
    </w:pPr>
    <w:rPr>
      <w:rFonts w:ascii="楷体_GB2312" w:eastAsia="楷体_GB2312" w:hAnsi="Arial" w:cs="Times New Roman"/>
      <w:kern w:val="0"/>
      <w:sz w:val="28"/>
      <w:szCs w:val="28"/>
    </w:rPr>
  </w:style>
  <w:style w:type="paragraph" w:customStyle="1" w:styleId="afffffffffffffffffffffff2">
    <w:name w:val="正文仿宋"/>
    <w:basedOn w:val="af1"/>
    <w:qFormat/>
    <w:pPr>
      <w:adjustRightInd w:val="0"/>
      <w:snapToGrid w:val="0"/>
      <w:spacing w:line="360" w:lineRule="auto"/>
      <w:ind w:firstLine="567"/>
    </w:pPr>
    <w:rPr>
      <w:rFonts w:ascii="Calibri" w:eastAsia="仿宋_GB2312" w:hAnsi="Calibri" w:cs="Times New Roman"/>
      <w:kern w:val="0"/>
      <w:sz w:val="24"/>
      <w:szCs w:val="20"/>
    </w:rPr>
  </w:style>
  <w:style w:type="paragraph" w:customStyle="1" w:styleId="2Z">
    <w:name w:val="列表 2Z"/>
    <w:basedOn w:val="25"/>
    <w:qFormat/>
    <w:pPr>
      <w:widowControl/>
      <w:tabs>
        <w:tab w:val="left" w:pos="737"/>
      </w:tabs>
      <w:spacing w:beforeAutospacing="1" w:after="100" w:afterAutospacing="1" w:line="288" w:lineRule="auto"/>
      <w:ind w:leftChars="0" w:left="737" w:firstLineChars="0" w:hanging="567"/>
      <w:jc w:val="left"/>
    </w:pPr>
    <w:rPr>
      <w:rFonts w:ascii="Courier New" w:eastAsia="宋体" w:hAnsi="Courier New" w:cs="仿宋_GB2312"/>
      <w:color w:val="FFFF99"/>
      <w:kern w:val="2"/>
      <w:sz w:val="24"/>
      <w:szCs w:val="20"/>
    </w:rPr>
  </w:style>
  <w:style w:type="paragraph" w:customStyle="1" w:styleId="zhengwen">
    <w:name w:val="zhengwen"/>
    <w:basedOn w:val="af1"/>
    <w:qFormat/>
    <w:pPr>
      <w:widowControl/>
      <w:spacing w:before="100" w:beforeAutospacing="1" w:after="100" w:afterAutospacing="1"/>
      <w:jc w:val="left"/>
    </w:pPr>
    <w:rPr>
      <w:rFonts w:ascii="宋体" w:hAnsi="宋体" w:cs="Times New Roman"/>
      <w:kern w:val="0"/>
      <w:sz w:val="24"/>
      <w:szCs w:val="24"/>
    </w:rPr>
  </w:style>
  <w:style w:type="paragraph" w:customStyle="1" w:styleId="afffffffffffffffffffffff3">
    <w:name w:val="样式 正文文字 +"/>
    <w:basedOn w:val="af1"/>
    <w:qFormat/>
    <w:pPr>
      <w:widowControl/>
      <w:adjustRightInd w:val="0"/>
      <w:snapToGrid w:val="0"/>
      <w:spacing w:before="60" w:after="60" w:line="264" w:lineRule="auto"/>
      <w:ind w:firstLineChars="110" w:firstLine="110"/>
      <w:jc w:val="left"/>
      <w:textAlignment w:val="baseline"/>
    </w:pPr>
    <w:rPr>
      <w:rFonts w:ascii="仿宋_GB2312" w:eastAsia="Times New Roman" w:hAnsi="仿宋_GB2312" w:cs="仿宋_GB2312"/>
      <w:kern w:val="0"/>
      <w:sz w:val="24"/>
      <w:szCs w:val="24"/>
    </w:rPr>
  </w:style>
  <w:style w:type="paragraph" w:customStyle="1" w:styleId="10128">
    <w:name w:val="样式 四号 首行缩进:  1.01 厘米 行距: 固定值 28 磅"/>
    <w:basedOn w:val="af1"/>
    <w:qFormat/>
    <w:pPr>
      <w:snapToGrid w:val="0"/>
      <w:spacing w:line="360" w:lineRule="auto"/>
      <w:ind w:firstLine="573"/>
    </w:pPr>
    <w:rPr>
      <w:rFonts w:ascii="Calibri" w:hAnsi="Calibri" w:cs="宋体"/>
      <w:sz w:val="24"/>
      <w:szCs w:val="20"/>
    </w:rPr>
  </w:style>
  <w:style w:type="paragraph" w:customStyle="1" w:styleId="-18">
    <w:name w:val="文-1"/>
    <w:basedOn w:val="af1"/>
    <w:qFormat/>
    <w:pPr>
      <w:widowControl/>
      <w:spacing w:before="120"/>
      <w:ind w:left="851" w:firstLine="482"/>
      <w:jc w:val="left"/>
    </w:pPr>
    <w:rPr>
      <w:rFonts w:ascii="仿宋_GB2312" w:hAnsi="仿宋_GB2312" w:cs="仿宋_GB2312"/>
      <w:sz w:val="24"/>
      <w:szCs w:val="20"/>
    </w:rPr>
  </w:style>
  <w:style w:type="paragraph" w:customStyle="1" w:styleId="xl41">
    <w:name w:val="xl41"/>
    <w:basedOn w:val="af1"/>
    <w:qFormat/>
    <w:pPr>
      <w:widowControl/>
      <w:spacing w:before="100" w:beforeAutospacing="1" w:after="100" w:afterAutospacing="1"/>
      <w:jc w:val="center"/>
    </w:pPr>
    <w:rPr>
      <w:rFonts w:ascii="Arial Unicode MS" w:eastAsia="Arial Unicode MS" w:hAnsi="Arial Unicode MS" w:cs="Arial Unicode MS"/>
      <w:b/>
      <w:bCs/>
      <w:kern w:val="0"/>
      <w:szCs w:val="21"/>
    </w:rPr>
  </w:style>
  <w:style w:type="paragraph" w:customStyle="1" w:styleId="afffffffffffffffffffffff4">
    <w:name w:val="前言、引言标题"/>
    <w:next w:val="af1"/>
    <w:qFormat/>
    <w:pPr>
      <w:shd w:val="clear" w:color="FFFFFF" w:fill="FFFFFF"/>
      <w:tabs>
        <w:tab w:val="left" w:pos="903"/>
        <w:tab w:val="left" w:pos="968"/>
      </w:tabs>
      <w:spacing w:before="640" w:after="560"/>
      <w:ind w:left="903" w:hanging="315"/>
      <w:jc w:val="center"/>
      <w:outlineLvl w:val="0"/>
    </w:pPr>
    <w:rPr>
      <w:rFonts w:ascii="黑体" w:eastAsia="黑体" w:hAnsi="Calibri" w:cs="Times New Roman"/>
      <w:sz w:val="32"/>
    </w:rPr>
  </w:style>
  <w:style w:type="paragraph" w:styleId="afffffffffffffffffffffff5">
    <w:name w:val="No Spacing"/>
    <w:qFormat/>
    <w:pPr>
      <w:widowControl w:val="0"/>
      <w:jc w:val="both"/>
    </w:pPr>
    <w:rPr>
      <w:rFonts w:ascii="Calibri" w:eastAsia="宋体" w:hAnsi="Calibri" w:cs="Calibri"/>
      <w:kern w:val="2"/>
      <w:sz w:val="21"/>
      <w:szCs w:val="21"/>
    </w:rPr>
  </w:style>
  <w:style w:type="paragraph" w:customStyle="1" w:styleId="324">
    <w:name w:val="表格 32"/>
    <w:basedOn w:val="af1"/>
    <w:qFormat/>
    <w:pPr>
      <w:autoSpaceDE w:val="0"/>
      <w:autoSpaceDN w:val="0"/>
      <w:adjustRightInd w:val="0"/>
      <w:jc w:val="center"/>
      <w:textAlignment w:val="baseline"/>
    </w:pPr>
    <w:rPr>
      <w:rFonts w:ascii="Calibri" w:eastAsia="仿宋_GB2312" w:hAnsi="Calibri" w:cs="Times New Roman"/>
      <w:kern w:val="0"/>
      <w:sz w:val="24"/>
      <w:szCs w:val="20"/>
    </w:rPr>
  </w:style>
  <w:style w:type="paragraph" w:customStyle="1" w:styleId="CharChar3CharChar3">
    <w:name w:val="Char Char3 Char Char3"/>
    <w:basedOn w:val="af1"/>
    <w:qFormat/>
    <w:pPr>
      <w:spacing w:line="360" w:lineRule="auto"/>
      <w:ind w:firstLineChars="200" w:firstLine="200"/>
    </w:pPr>
    <w:rPr>
      <w:rFonts w:ascii="Calibri" w:hAnsi="Calibri" w:cs="Times New Roman"/>
      <w:szCs w:val="24"/>
    </w:rPr>
  </w:style>
  <w:style w:type="paragraph" w:customStyle="1" w:styleId="CharCharCharCharCharCharCharCharCharCharCharCharCharCharCharCharCharCharChar2">
    <w:name w:val="Char Char Char Char Char Char Char Char Char Char Char Char Char Char Char Char Char Char Char2"/>
    <w:basedOn w:val="af1"/>
    <w:qFormat/>
    <w:pPr>
      <w:spacing w:line="360" w:lineRule="auto"/>
      <w:ind w:firstLineChars="200" w:firstLine="200"/>
    </w:pPr>
    <w:rPr>
      <w:rFonts w:ascii="宋体" w:hAnsi="宋体" w:cs="宋体"/>
      <w:sz w:val="24"/>
      <w:szCs w:val="24"/>
    </w:rPr>
  </w:style>
  <w:style w:type="paragraph" w:customStyle="1" w:styleId="2Head2A2H2h2Heading2HiddenHeading2CCBS">
    <w:name w:val="样式 标题 2第一层条Head2A2H2h2Heading 2 HiddenHeading 2 CCBS第一章 ..."/>
    <w:basedOn w:val="22"/>
    <w:qFormat/>
    <w:pPr>
      <w:widowControl/>
      <w:adjustRightInd w:val="0"/>
      <w:spacing w:beforeLines="50" w:after="0" w:line="360" w:lineRule="auto"/>
      <w:textAlignment w:val="baseline"/>
    </w:pPr>
    <w:rPr>
      <w:rFonts w:ascii="仿宋_GB2312" w:eastAsia="楷体" w:hAnsi="仿宋_GB2312" w:cs="仿宋_GB2312"/>
      <w:color w:val="0000FF"/>
      <w:kern w:val="0"/>
      <w:sz w:val="28"/>
      <w:szCs w:val="20"/>
    </w:rPr>
  </w:style>
  <w:style w:type="paragraph" w:customStyle="1" w:styleId="afffffffffffffffffffffff6">
    <w:name w:val="样式 表格 + 居中"/>
    <w:basedOn w:val="af1"/>
    <w:qFormat/>
    <w:pPr>
      <w:widowControl/>
      <w:kinsoku w:val="0"/>
      <w:overflowPunct w:val="0"/>
      <w:adjustRightInd w:val="0"/>
      <w:snapToGrid w:val="0"/>
      <w:jc w:val="center"/>
    </w:pPr>
    <w:rPr>
      <w:rFonts w:ascii="仿宋_GB2312" w:hAnsi="仿宋_GB2312" w:cs="仿宋_GB2312"/>
      <w:color w:val="000000"/>
      <w:kern w:val="0"/>
      <w:sz w:val="24"/>
      <w:szCs w:val="24"/>
    </w:rPr>
  </w:style>
  <w:style w:type="paragraph" w:customStyle="1" w:styleId="CharCharCharCharCharCharCharCharCharCharCharCharCharCharCharCharCharCharCharCharChar1Char2">
    <w:name w:val="Char Char Char Char Char Char Char Char Char Char Char Char Char Char Char Char Char Char Char Char Char1 Char2"/>
    <w:basedOn w:val="af1"/>
    <w:qFormat/>
    <w:pPr>
      <w:spacing w:line="360" w:lineRule="auto"/>
      <w:ind w:firstLineChars="200" w:firstLine="200"/>
    </w:pPr>
    <w:rPr>
      <w:rFonts w:ascii="宋体" w:hAnsi="宋体" w:cs="Times New Roman" w:hint="eastAsia"/>
      <w:sz w:val="24"/>
      <w:szCs w:val="20"/>
    </w:rPr>
  </w:style>
  <w:style w:type="paragraph" w:customStyle="1" w:styleId="afffffffffffffffffffffff7">
    <w:name w:val="德胜二级标题"/>
    <w:basedOn w:val="afffffffffffffffffffffff8"/>
    <w:qFormat/>
    <w:pPr>
      <w:outlineLvl w:val="1"/>
    </w:pPr>
    <w:rPr>
      <w:sz w:val="28"/>
      <w:szCs w:val="28"/>
    </w:rPr>
  </w:style>
  <w:style w:type="paragraph" w:customStyle="1" w:styleId="afffffffffffffffffffffff8">
    <w:name w:val="德胜一级标题"/>
    <w:basedOn w:val="1"/>
    <w:qFormat/>
    <w:pPr>
      <w:widowControl/>
      <w:adjustRightInd w:val="0"/>
      <w:snapToGrid w:val="0"/>
      <w:jc w:val="left"/>
    </w:pPr>
    <w:rPr>
      <w:rFonts w:ascii="Times New Roman"/>
      <w:color w:val="0000FF"/>
      <w:kern w:val="0"/>
      <w:sz w:val="32"/>
      <w:szCs w:val="32"/>
    </w:rPr>
  </w:style>
  <w:style w:type="paragraph" w:customStyle="1" w:styleId="1098Char">
    <w:name w:val="样式 正文文本缩进正文文字缩进正文文字缩进1 + 首行缩进:  0.98 厘米 Char"/>
    <w:basedOn w:val="af6"/>
    <w:qFormat/>
    <w:pPr>
      <w:snapToGrid w:val="0"/>
      <w:spacing w:after="0"/>
      <w:ind w:leftChars="0" w:left="0"/>
    </w:pPr>
    <w:rPr>
      <w:kern w:val="0"/>
      <w:szCs w:val="21"/>
    </w:rPr>
  </w:style>
  <w:style w:type="paragraph" w:customStyle="1" w:styleId="afffffffffffffffffffffff9">
    <w:name w:val="宋标一"/>
    <w:basedOn w:val="af1"/>
    <w:qFormat/>
    <w:pPr>
      <w:spacing w:beforeLines="50" w:line="360" w:lineRule="auto"/>
      <w:ind w:firstLineChars="200" w:firstLine="200"/>
      <w:jc w:val="left"/>
    </w:pPr>
    <w:rPr>
      <w:rFonts w:ascii="Calibri" w:hAnsi="Calibri" w:cs="Times New Roman"/>
      <w:sz w:val="24"/>
      <w:szCs w:val="24"/>
    </w:rPr>
  </w:style>
  <w:style w:type="paragraph" w:customStyle="1" w:styleId="2111">
    <w:name w:val="正文文本 211"/>
    <w:basedOn w:val="af1"/>
    <w:qFormat/>
    <w:pPr>
      <w:widowControl/>
      <w:adjustRightInd w:val="0"/>
      <w:ind w:left="425"/>
      <w:jc w:val="left"/>
      <w:textAlignment w:val="baseline"/>
    </w:pPr>
    <w:rPr>
      <w:rFonts w:ascii="Verdana" w:hAnsi="仿宋_GB2312" w:cs="仿宋_GB2312"/>
      <w:kern w:val="0"/>
      <w:sz w:val="24"/>
      <w:szCs w:val="20"/>
    </w:rPr>
  </w:style>
  <w:style w:type="paragraph" w:customStyle="1" w:styleId="afffffffffffffffffffffffa">
    <w:name w:val="湛江码头表"/>
    <w:basedOn w:val="af1"/>
    <w:qFormat/>
    <w:pPr>
      <w:widowControl/>
      <w:jc w:val="center"/>
    </w:pPr>
    <w:rPr>
      <w:rFonts w:ascii="仿宋_GB2312" w:eastAsia="Times New Roman" w:hAnsi="仿宋_GB2312" w:cs="仿宋_GB2312"/>
      <w:kern w:val="0"/>
      <w:szCs w:val="24"/>
      <w:lang w:eastAsia="zh-TW"/>
    </w:rPr>
  </w:style>
  <w:style w:type="paragraph" w:customStyle="1" w:styleId="xl104">
    <w:name w:val="xl104"/>
    <w:basedOn w:val="af1"/>
    <w:qFormat/>
    <w:pPr>
      <w:widowControl/>
      <w:pBdr>
        <w:left w:val="single" w:sz="8" w:space="0" w:color="auto"/>
      </w:pBdr>
      <w:spacing w:before="100" w:beforeAutospacing="1" w:after="100" w:afterAutospacing="1"/>
      <w:jc w:val="left"/>
      <w:textAlignment w:val="center"/>
    </w:pPr>
    <w:rPr>
      <w:rFonts w:ascii="華康中楷體" w:eastAsia="華康中楷體" w:hAnsi="華康中楷體" w:cs="華康中楷體"/>
      <w:kern w:val="0"/>
      <w:sz w:val="16"/>
      <w:szCs w:val="16"/>
    </w:rPr>
  </w:style>
  <w:style w:type="paragraph" w:customStyle="1" w:styleId="afffffffffffffffffffffffb">
    <w:name w:val="正文图小四"/>
    <w:basedOn w:val="af1"/>
    <w:qFormat/>
    <w:pPr>
      <w:widowControl/>
      <w:adjustRightInd w:val="0"/>
      <w:snapToGrid w:val="0"/>
      <w:jc w:val="center"/>
      <w:textAlignment w:val="baseline"/>
    </w:pPr>
    <w:rPr>
      <w:rFonts w:ascii="Verdana" w:hAnsi="仿宋_GB2312" w:cs="仿宋_GB2312"/>
      <w:kern w:val="0"/>
      <w:sz w:val="24"/>
      <w:szCs w:val="24"/>
    </w:rPr>
  </w:style>
  <w:style w:type="paragraph" w:customStyle="1" w:styleId="2fffff1">
    <w:name w:val="样式 标题 2 + 黑体 加粗"/>
    <w:basedOn w:val="22"/>
    <w:qFormat/>
    <w:pPr>
      <w:widowControl/>
      <w:spacing w:beforeLines="50" w:after="0" w:line="440" w:lineRule="exact"/>
      <w:jc w:val="left"/>
    </w:pPr>
    <w:rPr>
      <w:rFonts w:ascii="黑体" w:hAnsi="黑体"/>
      <w:b w:val="0"/>
      <w:kern w:val="0"/>
      <w:sz w:val="30"/>
    </w:rPr>
  </w:style>
  <w:style w:type="paragraph" w:customStyle="1" w:styleId="620">
    <w:name w:val="标题 62"/>
    <w:basedOn w:val="af1"/>
    <w:next w:val="af1"/>
    <w:qFormat/>
    <w:pPr>
      <w:keepNext/>
      <w:keepLines/>
      <w:tabs>
        <w:tab w:val="left" w:pos="1152"/>
      </w:tabs>
      <w:snapToGrid w:val="0"/>
      <w:spacing w:before="240" w:after="64" w:line="316" w:lineRule="auto"/>
      <w:ind w:left="1152" w:hanging="1152"/>
      <w:outlineLvl w:val="5"/>
    </w:pPr>
    <w:rPr>
      <w:rFonts w:ascii="Arial" w:eastAsia="黑体" w:hAnsi="Arial" w:cs="Times New Roman"/>
      <w:b/>
      <w:sz w:val="24"/>
      <w:szCs w:val="20"/>
    </w:rPr>
  </w:style>
  <w:style w:type="paragraph" w:customStyle="1" w:styleId="afffffffffffffffffffffffc">
    <w:name w:val="图文"/>
    <w:basedOn w:val="af1"/>
    <w:qFormat/>
    <w:pPr>
      <w:autoSpaceDE w:val="0"/>
      <w:autoSpaceDN w:val="0"/>
      <w:spacing w:line="280" w:lineRule="exact"/>
      <w:ind w:firstLineChars="200" w:firstLine="200"/>
      <w:jc w:val="center"/>
      <w:outlineLvl w:val="1"/>
    </w:pPr>
    <w:rPr>
      <w:rFonts w:ascii="Calibri" w:eastAsia="仿宋_GB2312" w:hAnsi="Calibri" w:cs="Times New Roman"/>
      <w:szCs w:val="20"/>
    </w:rPr>
  </w:style>
  <w:style w:type="paragraph" w:customStyle="1" w:styleId="zz">
    <w:name w:val="zz"/>
    <w:basedOn w:val="af1"/>
    <w:qFormat/>
    <w:pPr>
      <w:spacing w:line="360" w:lineRule="auto"/>
      <w:ind w:firstLine="567"/>
    </w:pPr>
    <w:rPr>
      <w:rFonts w:ascii="宋体" w:hAnsi="Calibri" w:cs="Times New Roman"/>
      <w:kern w:val="28"/>
      <w:sz w:val="28"/>
      <w:szCs w:val="20"/>
    </w:rPr>
  </w:style>
  <w:style w:type="paragraph" w:customStyle="1" w:styleId="CharCharCharCharCharChar1CharCharChar1CharCharCharCharCharChar">
    <w:name w:val="Char Char Char Char Char Char1 Char Char Char1 Char Char Char Char Char Char"/>
    <w:basedOn w:val="af1"/>
    <w:qFormat/>
    <w:pPr>
      <w:spacing w:line="360" w:lineRule="auto"/>
      <w:ind w:firstLineChars="200" w:firstLine="200"/>
    </w:pPr>
    <w:rPr>
      <w:rFonts w:ascii="宋体" w:hAnsi="宋体" w:cs="Times New Roman"/>
      <w:sz w:val="24"/>
      <w:szCs w:val="20"/>
    </w:rPr>
  </w:style>
  <w:style w:type="paragraph" w:customStyle="1" w:styleId="afffffffffffffffffffffffd">
    <w:name w:val="样式（三级目录）"/>
    <w:basedOn w:val="af1"/>
    <w:qFormat/>
    <w:pPr>
      <w:keepNext/>
      <w:keepLines/>
      <w:widowControl/>
      <w:autoSpaceDE w:val="0"/>
      <w:autoSpaceDN w:val="0"/>
      <w:adjustRightInd w:val="0"/>
      <w:snapToGrid w:val="0"/>
      <w:spacing w:beforeLines="50" w:line="360" w:lineRule="auto"/>
      <w:jc w:val="left"/>
      <w:outlineLvl w:val="0"/>
    </w:pPr>
    <w:rPr>
      <w:rFonts w:ascii="Calibri" w:hAnsi="Calibri" w:cs="Times New Roman"/>
      <w:b/>
      <w:bCs/>
      <w:color w:val="0000FF"/>
      <w:sz w:val="24"/>
      <w:szCs w:val="24"/>
    </w:rPr>
  </w:style>
  <w:style w:type="paragraph" w:customStyle="1" w:styleId="a41">
    <w:name w:val="a4"/>
    <w:basedOn w:val="af1"/>
    <w:qFormat/>
    <w:pPr>
      <w:widowControl/>
      <w:spacing w:before="100" w:beforeAutospacing="1" w:after="100" w:afterAutospacing="1"/>
      <w:jc w:val="left"/>
    </w:pPr>
    <w:rPr>
      <w:rFonts w:ascii="華康中楷體" w:eastAsia="華康中楷體" w:hAnsi="華康中楷體" w:cs="華康中楷體"/>
      <w:kern w:val="0"/>
      <w:sz w:val="24"/>
      <w:szCs w:val="24"/>
    </w:rPr>
  </w:style>
  <w:style w:type="paragraph" w:customStyle="1" w:styleId="3050515">
    <w:name w:val="样式 标题3 + (中文) 黑体 段前: 0.5 行 段后: 0.5 行 行距: 1.5 倍行距"/>
    <w:basedOn w:val="3f8"/>
    <w:qFormat/>
    <w:pPr>
      <w:widowControl w:val="0"/>
      <w:overflowPunct w:val="0"/>
      <w:topLinePunct/>
      <w:ind w:firstLineChars="0" w:firstLine="0"/>
      <w:jc w:val="both"/>
    </w:pPr>
    <w:rPr>
      <w:rFonts w:eastAsia="黑体" w:cs="宋体"/>
      <w:b/>
      <w:bCs/>
      <w:color w:val="auto"/>
      <w:kern w:val="10"/>
      <w:sz w:val="28"/>
      <w:szCs w:val="28"/>
    </w:rPr>
  </w:style>
  <w:style w:type="paragraph" w:customStyle="1" w:styleId="afffffffffffffffffffffffe">
    <w:name w:val="样式 表文居中 +"/>
    <w:basedOn w:val="af1"/>
    <w:qFormat/>
    <w:pPr>
      <w:autoSpaceDE w:val="0"/>
      <w:autoSpaceDN w:val="0"/>
      <w:adjustRightInd w:val="0"/>
      <w:snapToGrid w:val="0"/>
      <w:spacing w:line="240" w:lineRule="atLeast"/>
      <w:jc w:val="center"/>
      <w:textAlignment w:val="baseline"/>
    </w:pPr>
    <w:rPr>
      <w:rFonts w:ascii="Calibri" w:hAnsi="Calibri" w:cs="宋体"/>
      <w:sz w:val="18"/>
      <w:szCs w:val="18"/>
    </w:rPr>
  </w:style>
  <w:style w:type="paragraph" w:customStyle="1" w:styleId="affffffffffffffffffffffff">
    <w:name w:val="图目"/>
    <w:basedOn w:val="af1"/>
    <w:qFormat/>
    <w:pPr>
      <w:widowControl/>
      <w:adjustRightInd w:val="0"/>
      <w:spacing w:line="360" w:lineRule="atLeast"/>
      <w:jc w:val="center"/>
      <w:textAlignment w:val="baseline"/>
    </w:pPr>
    <w:rPr>
      <w:rFonts w:ascii="仿宋_GB2312" w:hAnsi="仿宋_GB2312" w:cs="仿宋_GB2312"/>
      <w:kern w:val="0"/>
      <w:sz w:val="24"/>
      <w:szCs w:val="20"/>
    </w:rPr>
  </w:style>
  <w:style w:type="paragraph" w:customStyle="1" w:styleId="6b">
    <w:name w:val="标题6"/>
    <w:basedOn w:val="af1"/>
    <w:qFormat/>
    <w:pPr>
      <w:spacing w:line="520" w:lineRule="exact"/>
      <w:ind w:rightChars="2762" w:right="5800" w:firstLineChars="200" w:firstLine="480"/>
    </w:pPr>
    <w:rPr>
      <w:rFonts w:ascii="宋体" w:hAnsi="宋体" w:cs="Times New Roman"/>
      <w:color w:val="000000"/>
      <w:sz w:val="24"/>
      <w:szCs w:val="24"/>
    </w:rPr>
  </w:style>
  <w:style w:type="paragraph" w:customStyle="1" w:styleId="affffffffffffffffffffffff0">
    <w:name w:val="燕山正文"/>
    <w:basedOn w:val="af1"/>
    <w:qFormat/>
    <w:pPr>
      <w:widowControl/>
      <w:tabs>
        <w:tab w:val="left" w:pos="4680"/>
      </w:tabs>
      <w:adjustRightInd w:val="0"/>
      <w:snapToGrid w:val="0"/>
      <w:spacing w:line="360" w:lineRule="auto"/>
      <w:ind w:firstLineChars="200" w:firstLine="520"/>
      <w:jc w:val="left"/>
    </w:pPr>
    <w:rPr>
      <w:rFonts w:ascii="Calibri" w:hAnsi="Arial" w:cs="Times New Roman"/>
      <w:spacing w:val="10"/>
      <w:kern w:val="0"/>
      <w:sz w:val="24"/>
      <w:szCs w:val="24"/>
    </w:rPr>
  </w:style>
  <w:style w:type="paragraph" w:customStyle="1" w:styleId="affffffffffffffffffffffff1">
    <w:name w:val="标准小四"/>
    <w:basedOn w:val="af1"/>
    <w:qFormat/>
    <w:pPr>
      <w:tabs>
        <w:tab w:val="left" w:pos="3255"/>
      </w:tabs>
      <w:spacing w:line="560" w:lineRule="exact"/>
      <w:ind w:firstLineChars="200" w:firstLine="560"/>
    </w:pPr>
    <w:rPr>
      <w:rFonts w:ascii="Calibri" w:eastAsia="楷体_GB2312" w:hAnsi="Calibri" w:cs="Times New Roman"/>
      <w:sz w:val="28"/>
      <w:szCs w:val="28"/>
    </w:rPr>
  </w:style>
  <w:style w:type="paragraph" w:customStyle="1" w:styleId="a90">
    <w:name w:val="a9"/>
    <w:basedOn w:val="af1"/>
    <w:qFormat/>
    <w:pPr>
      <w:widowControl/>
      <w:spacing w:before="100" w:beforeAutospacing="1" w:after="100" w:afterAutospacing="1"/>
      <w:jc w:val="left"/>
    </w:pPr>
    <w:rPr>
      <w:rFonts w:ascii="宋体" w:hAnsi="宋体" w:cs="Times New Roman"/>
      <w:color w:val="000000"/>
      <w:kern w:val="0"/>
      <w:sz w:val="24"/>
      <w:szCs w:val="24"/>
    </w:rPr>
  </w:style>
  <w:style w:type="paragraph" w:customStyle="1" w:styleId="030">
    <w:name w:val="标题03"/>
    <w:next w:val="af1"/>
    <w:qFormat/>
    <w:pPr>
      <w:spacing w:line="360" w:lineRule="auto"/>
      <w:outlineLvl w:val="2"/>
    </w:pPr>
    <w:rPr>
      <w:rFonts w:ascii="Calibri" w:eastAsia="宋体" w:hAnsi="Calibri" w:cs="Times New Roman"/>
      <w:b/>
      <w:kern w:val="2"/>
      <w:sz w:val="28"/>
      <w:szCs w:val="28"/>
    </w:rPr>
  </w:style>
  <w:style w:type="paragraph" w:customStyle="1" w:styleId="xl85">
    <w:name w:val="xl85"/>
    <w:basedOn w:val="af1"/>
    <w:qFormat/>
    <w:pPr>
      <w:widowControl/>
      <w:pBdr>
        <w:top w:val="single" w:sz="4" w:space="0" w:color="auto"/>
        <w:left w:val="single" w:sz="4" w:space="0" w:color="auto"/>
        <w:bottom w:val="single" w:sz="4" w:space="0" w:color="auto"/>
      </w:pBdr>
      <w:spacing w:before="100" w:beforeAutospacing="1" w:after="100" w:afterAutospacing="1" w:line="360" w:lineRule="auto"/>
      <w:jc w:val="center"/>
    </w:pPr>
    <w:rPr>
      <w:rFonts w:ascii="宋体" w:hAnsi="宋体" w:cs="Times New Roman"/>
      <w:color w:val="000000"/>
      <w:sz w:val="20"/>
      <w:szCs w:val="20"/>
    </w:rPr>
  </w:style>
  <w:style w:type="paragraph" w:customStyle="1" w:styleId="2fffff2">
    <w:name w:val="批注框文本2"/>
    <w:basedOn w:val="af1"/>
    <w:qFormat/>
    <w:rPr>
      <w:rFonts w:ascii="Calibri" w:hAnsi="Calibri" w:cs="Times New Roman"/>
      <w:sz w:val="18"/>
      <w:szCs w:val="20"/>
    </w:rPr>
  </w:style>
  <w:style w:type="paragraph" w:customStyle="1" w:styleId="font13">
    <w:name w:val="font13"/>
    <w:basedOn w:val="af1"/>
    <w:qFormat/>
    <w:pPr>
      <w:widowControl/>
      <w:spacing w:before="100" w:beforeAutospacing="1" w:after="100" w:afterAutospacing="1"/>
      <w:jc w:val="left"/>
    </w:pPr>
    <w:rPr>
      <w:rFonts w:ascii="宋体" w:hAnsi="Calibri" w:cs="Times New Roman"/>
      <w:color w:val="FF6600"/>
      <w:kern w:val="0"/>
      <w:sz w:val="24"/>
      <w:szCs w:val="20"/>
    </w:rPr>
  </w:style>
  <w:style w:type="paragraph" w:customStyle="1" w:styleId="8210">
    <w:name w:val="样式 正文(首行缩进) + 8 磅 加粗 首行缩进:  2 字符1"/>
    <w:basedOn w:val="af1"/>
    <w:qFormat/>
    <w:pPr>
      <w:widowControl/>
      <w:adjustRightInd w:val="0"/>
      <w:snapToGrid w:val="0"/>
      <w:ind w:firstLineChars="200" w:firstLine="200"/>
      <w:jc w:val="left"/>
    </w:pPr>
    <w:rPr>
      <w:rFonts w:ascii="仿宋_GB2312" w:hAnsi="仿宋_GB2312" w:cs="Verdana"/>
      <w:b/>
      <w:bCs/>
      <w:kern w:val="0"/>
      <w:sz w:val="16"/>
      <w:szCs w:val="20"/>
    </w:rPr>
  </w:style>
  <w:style w:type="paragraph" w:customStyle="1" w:styleId="715">
    <w:name w:val="样式 样式7 + 黑色 行距: 固定值 15 磅"/>
    <w:basedOn w:val="73"/>
    <w:qFormat/>
    <w:pPr>
      <w:adjustRightInd/>
      <w:snapToGrid/>
      <w:spacing w:line="300" w:lineRule="exact"/>
      <w:ind w:firstLineChars="0" w:firstLine="0"/>
      <w:jc w:val="center"/>
    </w:pPr>
    <w:rPr>
      <w:rFonts w:cs="宋体"/>
      <w:color w:val="000000"/>
      <w:sz w:val="21"/>
      <w:szCs w:val="20"/>
    </w:rPr>
  </w:style>
  <w:style w:type="paragraph" w:customStyle="1" w:styleId="Char1CharCharChar1">
    <w:name w:val="Char1 Char Char Char1"/>
    <w:basedOn w:val="af1"/>
    <w:qFormat/>
    <w:rPr>
      <w:rFonts w:ascii="Calibri" w:hAnsi="Calibri" w:cs="Times New Roman"/>
      <w:szCs w:val="20"/>
    </w:rPr>
  </w:style>
  <w:style w:type="paragraph" w:customStyle="1" w:styleId="affffffffffffffffffffffff2">
    <w:name w:val="文本正文 + 红色"/>
    <w:basedOn w:val="af1"/>
    <w:qFormat/>
    <w:pPr>
      <w:spacing w:line="360" w:lineRule="auto"/>
      <w:ind w:firstLineChars="200" w:firstLine="480"/>
      <w:jc w:val="left"/>
    </w:pPr>
    <w:rPr>
      <w:rFonts w:ascii="Calibri" w:hAnsi="Calibri" w:cs="Times New Roman"/>
      <w:bCs/>
      <w:color w:val="FF0000"/>
      <w:sz w:val="24"/>
      <w:szCs w:val="24"/>
    </w:rPr>
  </w:style>
  <w:style w:type="paragraph" w:customStyle="1" w:styleId="xl94">
    <w:name w:val="xl94"/>
    <w:basedOn w:val="af1"/>
    <w:qFormat/>
    <w:pPr>
      <w:widowControl/>
      <w:pBdr>
        <w:bottom w:val="single" w:sz="4" w:space="0" w:color="auto"/>
      </w:pBdr>
      <w:spacing w:before="100" w:beforeAutospacing="1" w:after="100" w:afterAutospacing="1"/>
      <w:jc w:val="center"/>
      <w:textAlignment w:val="center"/>
    </w:pPr>
    <w:rPr>
      <w:rFonts w:ascii="宋体" w:hAnsi="宋体" w:cs="Arial Unicode MS"/>
      <w:b/>
      <w:bCs/>
      <w:color w:val="FF0000"/>
      <w:kern w:val="0"/>
      <w:szCs w:val="21"/>
      <w:lang w:eastAsia="zh-TW"/>
    </w:rPr>
  </w:style>
  <w:style w:type="paragraph" w:customStyle="1" w:styleId="4Heading4aBODYTextBasicBulletChapterBodyTextH4H">
    <w:name w:val="样式 标题 4Heading 4aBODY TextBasic BulletChapter Body TextH4H..."/>
    <w:basedOn w:val="41"/>
    <w:qFormat/>
    <w:pPr>
      <w:keepLines/>
      <w:widowControl w:val="0"/>
      <w:spacing w:line="360" w:lineRule="auto"/>
      <w:jc w:val="left"/>
    </w:pPr>
    <w:rPr>
      <w:rFonts w:ascii="Arial" w:hAnsi="Arial" w:cs="宋体"/>
      <w:b w:val="0"/>
      <w:bCs/>
      <w:kern w:val="2"/>
      <w:sz w:val="24"/>
    </w:rPr>
  </w:style>
  <w:style w:type="paragraph" w:customStyle="1" w:styleId="2fffff3">
    <w:name w:val="正文文本2"/>
    <w:basedOn w:val="af1"/>
    <w:qFormat/>
    <w:pPr>
      <w:spacing w:after="120"/>
    </w:pPr>
    <w:rPr>
      <w:rFonts w:ascii="Calibri" w:hAnsi="Calibri" w:cs="Times New Roman"/>
      <w:sz w:val="24"/>
      <w:szCs w:val="20"/>
    </w:rPr>
  </w:style>
  <w:style w:type="paragraph" w:customStyle="1" w:styleId="4C0">
    <w:name w:val="列表 4C"/>
    <w:basedOn w:val="45"/>
    <w:next w:val="45"/>
    <w:qFormat/>
    <w:pPr>
      <w:widowControl/>
      <w:tabs>
        <w:tab w:val="left" w:pos="562"/>
      </w:tabs>
      <w:adjustRightInd/>
      <w:spacing w:beforeLines="20" w:afterLines="20" w:line="288" w:lineRule="auto"/>
      <w:ind w:left="562"/>
      <w:jc w:val="left"/>
      <w:textAlignment w:val="auto"/>
    </w:pPr>
    <w:rPr>
      <w:rFonts w:ascii="Courier New" w:hAnsi="Courier New" w:cs="仿宋_GB2312"/>
      <w:color w:val="CCFFFF"/>
      <w:kern w:val="2"/>
    </w:rPr>
  </w:style>
  <w:style w:type="paragraph" w:customStyle="1" w:styleId="WPSPlain">
    <w:name w:val="WPS Plain"/>
    <w:qFormat/>
    <w:rPr>
      <w:rFonts w:ascii="Calibri" w:eastAsia="宋体" w:hAnsi="Calibri" w:cs="Times New Roman"/>
    </w:rPr>
  </w:style>
  <w:style w:type="paragraph" w:customStyle="1" w:styleId="2Y">
    <w:name w:val="列表 2Y"/>
    <w:basedOn w:val="25"/>
    <w:qFormat/>
    <w:pPr>
      <w:widowControl/>
      <w:tabs>
        <w:tab w:val="left" w:pos="737"/>
      </w:tabs>
      <w:spacing w:beforeAutospacing="1" w:after="100" w:afterAutospacing="1" w:line="288" w:lineRule="auto"/>
      <w:ind w:leftChars="0" w:left="737" w:firstLineChars="0" w:hanging="567"/>
      <w:jc w:val="left"/>
    </w:pPr>
    <w:rPr>
      <w:rFonts w:ascii="Courier New" w:eastAsia="宋体" w:hAnsi="Courier New" w:cs="仿宋_GB2312"/>
      <w:color w:val="FFFF99"/>
      <w:kern w:val="2"/>
      <w:sz w:val="24"/>
      <w:szCs w:val="20"/>
    </w:rPr>
  </w:style>
  <w:style w:type="paragraph" w:customStyle="1" w:styleId="affffffffffffffffffffffff3">
    <w:name w:val="悬挂式正文"/>
    <w:basedOn w:val="af1"/>
    <w:qFormat/>
    <w:pPr>
      <w:widowControl/>
      <w:tabs>
        <w:tab w:val="center" w:pos="6804"/>
        <w:tab w:val="right" w:pos="7371"/>
      </w:tabs>
      <w:overflowPunct w:val="0"/>
      <w:adjustRightInd w:val="0"/>
      <w:spacing w:line="360" w:lineRule="auto"/>
      <w:ind w:left="1701" w:hanging="1134"/>
      <w:jc w:val="left"/>
      <w:textAlignment w:val="baseline"/>
    </w:pPr>
    <w:rPr>
      <w:rFonts w:ascii="Calibri" w:hAnsi="Calibri" w:cs="Times New Roman"/>
      <w:kern w:val="0"/>
      <w:sz w:val="28"/>
      <w:szCs w:val="20"/>
    </w:rPr>
  </w:style>
  <w:style w:type="paragraph" w:customStyle="1" w:styleId="affffffffffffffffffffffff4">
    <w:name w:val="章标题(不加入目录内)"/>
    <w:basedOn w:val="affff6"/>
    <w:qFormat/>
    <w:pPr>
      <w:keepLines/>
      <w:pageBreakBefore/>
      <w:widowControl/>
      <w:adjustRightInd/>
      <w:spacing w:before="240" w:after="120" w:line="240" w:lineRule="auto"/>
      <w:textAlignment w:val="auto"/>
      <w:outlineLvl w:val="9"/>
    </w:pPr>
    <w:rPr>
      <w:rFonts w:ascii="仿宋_GB2312" w:eastAsia="楷体" w:hAnsi="仿宋_GB2312" w:cs="仿宋_GB2312"/>
      <w:b/>
      <w:sz w:val="36"/>
    </w:rPr>
  </w:style>
  <w:style w:type="paragraph" w:customStyle="1" w:styleId="305050">
    <w:name w:val="样式 标题 3 + 段前: 0.5 行 段后: 0.5 行"/>
    <w:basedOn w:val="31"/>
    <w:qFormat/>
    <w:pPr>
      <w:spacing w:beforeLines="50" w:afterLines="50" w:line="440" w:lineRule="exact"/>
    </w:pPr>
    <w:rPr>
      <w:rFonts w:eastAsia="黑体" w:cs="宋体"/>
      <w:sz w:val="28"/>
      <w:szCs w:val="28"/>
    </w:rPr>
  </w:style>
  <w:style w:type="paragraph" w:customStyle="1" w:styleId="zxz5">
    <w:name w:val="zxz5"/>
    <w:next w:val="1ff4"/>
    <w:qFormat/>
    <w:pPr>
      <w:tabs>
        <w:tab w:val="left" w:pos="0"/>
      </w:tabs>
      <w:jc w:val="center"/>
    </w:pPr>
    <w:rPr>
      <w:rFonts w:ascii="Verdana" w:eastAsia="仿宋_GB2312" w:hAnsi="Verdana" w:cs="Verdana"/>
      <w:bCs/>
      <w:kern w:val="2"/>
      <w:sz w:val="18"/>
      <w:szCs w:val="18"/>
    </w:rPr>
  </w:style>
  <w:style w:type="paragraph" w:customStyle="1" w:styleId="affffffffffffffffffffffff5">
    <w:name w:val="右侧"/>
    <w:qFormat/>
    <w:pPr>
      <w:spacing w:line="280" w:lineRule="exact"/>
      <w:jc w:val="right"/>
    </w:pPr>
    <w:rPr>
      <w:rFonts w:ascii="Calibri" w:eastAsia="宋体" w:hAnsi="Calibri" w:cs="仿宋_GB2312"/>
      <w:color w:val="000000"/>
      <w:sz w:val="18"/>
    </w:rPr>
  </w:style>
  <w:style w:type="paragraph" w:customStyle="1" w:styleId="affffffffffffffffffffffff6">
    <w:name w:val="攀成钢二级标题"/>
    <w:basedOn w:val="af1"/>
    <w:qFormat/>
    <w:pPr>
      <w:widowControl/>
      <w:spacing w:line="480" w:lineRule="auto"/>
      <w:jc w:val="left"/>
      <w:outlineLvl w:val="1"/>
    </w:pPr>
    <w:rPr>
      <w:rFonts w:ascii="Calibri" w:hAnsi="Calibri" w:cs="Times New Roman"/>
      <w:b/>
      <w:color w:val="008000"/>
      <w:kern w:val="0"/>
      <w:sz w:val="28"/>
      <w:szCs w:val="20"/>
    </w:rPr>
  </w:style>
  <w:style w:type="paragraph" w:customStyle="1" w:styleId="pa-10">
    <w:name w:val="pa-10"/>
    <w:basedOn w:val="af1"/>
    <w:qFormat/>
    <w:pPr>
      <w:widowControl/>
      <w:spacing w:before="150" w:after="150"/>
      <w:jc w:val="left"/>
    </w:pPr>
    <w:rPr>
      <w:rFonts w:ascii="宋体" w:hAnsi="宋体" w:cs="宋体"/>
      <w:kern w:val="0"/>
      <w:sz w:val="24"/>
      <w:szCs w:val="24"/>
    </w:rPr>
  </w:style>
  <w:style w:type="paragraph" w:customStyle="1" w:styleId="affffffffffffffffffffffff7">
    <w:name w:val="五级条标题"/>
    <w:basedOn w:val="affffffffffffffffffffffff8"/>
    <w:next w:val="af1"/>
    <w:qFormat/>
    <w:pPr>
      <w:tabs>
        <w:tab w:val="left" w:pos="1296"/>
        <w:tab w:val="left" w:pos="2940"/>
        <w:tab w:val="left" w:pos="3500"/>
      </w:tabs>
      <w:outlineLvl w:val="6"/>
    </w:pPr>
  </w:style>
  <w:style w:type="paragraph" w:customStyle="1" w:styleId="affffffffffffffffffffffff8">
    <w:name w:val="四级条标题"/>
    <w:basedOn w:val="affffffffffffffffff8"/>
    <w:next w:val="af1"/>
    <w:qFormat/>
    <w:pPr>
      <w:tabs>
        <w:tab w:val="clear" w:pos="1008"/>
        <w:tab w:val="clear" w:pos="2100"/>
        <w:tab w:val="clear" w:pos="2660"/>
        <w:tab w:val="left" w:pos="1152"/>
        <w:tab w:val="left" w:pos="2520"/>
        <w:tab w:val="left" w:pos="3080"/>
      </w:tabs>
      <w:outlineLvl w:val="5"/>
    </w:pPr>
  </w:style>
  <w:style w:type="paragraph" w:customStyle="1" w:styleId="affffffffffffffffffffffff9">
    <w:name w:val="表题"/>
    <w:next w:val="af1"/>
    <w:qFormat/>
    <w:pPr>
      <w:spacing w:beforeLines="50" w:before="156" w:after="120" w:line="400" w:lineRule="exact"/>
      <w:jc w:val="center"/>
    </w:pPr>
    <w:rPr>
      <w:rFonts w:ascii="Calibri" w:eastAsia="仿宋_GB2312" w:hAnsi="Calibri" w:cs="Times New Roman"/>
      <w:b/>
      <w:sz w:val="28"/>
    </w:rPr>
  </w:style>
  <w:style w:type="paragraph" w:customStyle="1" w:styleId="CharCharCharCharCharChar60">
    <w:name w:val="Char Char Char Char Char Char6"/>
    <w:basedOn w:val="af1"/>
    <w:qFormat/>
    <w:pPr>
      <w:spacing w:line="360" w:lineRule="auto"/>
      <w:jc w:val="left"/>
    </w:pPr>
    <w:rPr>
      <w:rFonts w:ascii="Calibri" w:hAnsi="Calibri" w:cs="Times New Roman"/>
      <w:sz w:val="24"/>
      <w:szCs w:val="24"/>
    </w:rPr>
  </w:style>
  <w:style w:type="paragraph" w:customStyle="1" w:styleId="affffffffffffffffffffffffa">
    <w:name w:val="首页页眉样式"/>
    <w:basedOn w:val="af1"/>
    <w:qFormat/>
    <w:pPr>
      <w:widowControl/>
      <w:tabs>
        <w:tab w:val="left" w:pos="390"/>
      </w:tabs>
      <w:spacing w:line="320" w:lineRule="exact"/>
      <w:ind w:left="390" w:hanging="390"/>
      <w:jc w:val="center"/>
    </w:pPr>
    <w:rPr>
      <w:rFonts w:ascii="宋体" w:hAnsi="宋体" w:cs="Times New Roman"/>
      <w:szCs w:val="20"/>
    </w:rPr>
  </w:style>
  <w:style w:type="paragraph" w:customStyle="1" w:styleId="S">
    <w:name w:val="S表格"/>
    <w:basedOn w:val="af1"/>
    <w:qFormat/>
    <w:pPr>
      <w:widowControl/>
      <w:spacing w:before="240" w:line="360" w:lineRule="auto"/>
      <w:jc w:val="left"/>
      <w:outlineLvl w:val="2"/>
    </w:pPr>
    <w:rPr>
      <w:rFonts w:ascii="Calibri" w:hAnsi="Calibri" w:cs="Times New Roman"/>
      <w:bCs/>
      <w:sz w:val="24"/>
      <w:szCs w:val="24"/>
    </w:rPr>
  </w:style>
  <w:style w:type="paragraph" w:customStyle="1" w:styleId="21c">
    <w:name w:val="正文21"/>
    <w:qFormat/>
    <w:pPr>
      <w:widowControl w:val="0"/>
      <w:suppressAutoHyphens/>
      <w:spacing w:line="520" w:lineRule="atLeast"/>
      <w:ind w:firstLine="200"/>
      <w:jc w:val="both"/>
    </w:pPr>
    <w:rPr>
      <w:rFonts w:ascii="Calibri" w:eastAsia="宋体" w:hAnsi="Calibri" w:cs="Times New Roman"/>
      <w:spacing w:val="18"/>
      <w:sz w:val="32"/>
    </w:rPr>
  </w:style>
  <w:style w:type="paragraph" w:customStyle="1" w:styleId="121111111111">
    <w:name w:val="121111111111"/>
    <w:basedOn w:val="af1"/>
    <w:qFormat/>
    <w:pPr>
      <w:widowControl/>
      <w:spacing w:line="460" w:lineRule="exact"/>
      <w:jc w:val="center"/>
    </w:pPr>
    <w:rPr>
      <w:rFonts w:ascii="Calibri" w:eastAsia="黑体" w:hAnsi="Calibri" w:cs="Times New Roman"/>
      <w:color w:val="000000"/>
      <w:spacing w:val="16"/>
      <w:sz w:val="24"/>
      <w:szCs w:val="24"/>
    </w:rPr>
  </w:style>
  <w:style w:type="paragraph" w:customStyle="1" w:styleId="232">
    <w:name w:val="样式 样式23 + 首行缩进:  2 字符"/>
    <w:basedOn w:val="af1"/>
    <w:qFormat/>
    <w:pPr>
      <w:spacing w:line="480" w:lineRule="exact"/>
      <w:ind w:firstLineChars="200" w:firstLine="420"/>
    </w:pPr>
    <w:rPr>
      <w:rFonts w:ascii="Calibri" w:eastAsia="华文中宋" w:hAnsi="Calibri" w:cs="Times New Roman"/>
      <w:szCs w:val="20"/>
    </w:rPr>
  </w:style>
  <w:style w:type="paragraph" w:customStyle="1" w:styleId="affffffffffffffffffffffffb">
    <w:name w:val="块引用"/>
    <w:basedOn w:val="af1"/>
    <w:qFormat/>
    <w:pPr>
      <w:widowControl/>
      <w:pBdr>
        <w:top w:val="single" w:sz="6" w:space="14" w:color="auto"/>
        <w:left w:val="single" w:sz="6" w:space="10" w:color="auto"/>
        <w:bottom w:val="single" w:sz="6" w:space="14" w:color="auto"/>
        <w:right w:val="single" w:sz="6" w:space="10" w:color="auto"/>
      </w:pBdr>
      <w:spacing w:before="100" w:beforeAutospacing="1" w:after="100" w:afterAutospacing="1" w:line="360" w:lineRule="auto"/>
      <w:ind w:leftChars="100" w:left="210" w:rightChars="100" w:right="210" w:firstLineChars="200" w:firstLine="480"/>
    </w:pPr>
    <w:rPr>
      <w:rFonts w:ascii="Garamond" w:hAnsi="Garamond" w:cs="Times New Roman"/>
      <w:kern w:val="0"/>
      <w:sz w:val="24"/>
      <w:szCs w:val="20"/>
    </w:rPr>
  </w:style>
  <w:style w:type="paragraph" w:customStyle="1" w:styleId="affffffffffffffffffffffffc">
    <w:name w:val="表格文字样式"/>
    <w:basedOn w:val="afffffffffffff9"/>
    <w:qFormat/>
    <w:pPr>
      <w:adjustRightInd w:val="0"/>
      <w:spacing w:line="240" w:lineRule="auto"/>
      <w:ind w:firstLineChars="0" w:firstLine="0"/>
      <w:jc w:val="center"/>
    </w:pPr>
    <w:rPr>
      <w:spacing w:val="0"/>
      <w:szCs w:val="24"/>
    </w:rPr>
  </w:style>
  <w:style w:type="paragraph" w:customStyle="1" w:styleId="3311134">
    <w:name w:val="样式 标题 3标题3小标题1.1.1标题 3 + 段后: 4 磅"/>
    <w:basedOn w:val="31"/>
    <w:qFormat/>
    <w:pPr>
      <w:keepLines w:val="0"/>
      <w:widowControl/>
      <w:adjustRightInd w:val="0"/>
      <w:snapToGrid w:val="0"/>
      <w:spacing w:before="0" w:after="80" w:line="360" w:lineRule="auto"/>
      <w:jc w:val="left"/>
    </w:pPr>
    <w:rPr>
      <w:rFonts w:cs="宋体"/>
      <w:bCs w:val="0"/>
      <w:color w:val="0000FF"/>
      <w:spacing w:val="-5"/>
      <w:kern w:val="28"/>
      <w:sz w:val="24"/>
      <w:szCs w:val="20"/>
    </w:rPr>
  </w:style>
  <w:style w:type="paragraph" w:customStyle="1" w:styleId="3Arial">
    <w:name w:val="样式 标题 3 + Arial"/>
    <w:basedOn w:val="af1"/>
    <w:qFormat/>
    <w:pPr>
      <w:widowControl/>
      <w:jc w:val="left"/>
    </w:pPr>
    <w:rPr>
      <w:rFonts w:ascii="仿宋_GB2312" w:hAnsi="仿宋_GB2312" w:cs="仿宋_GB2312"/>
      <w:szCs w:val="20"/>
    </w:rPr>
  </w:style>
  <w:style w:type="paragraph" w:customStyle="1" w:styleId="41H41111411114Charh">
    <w:name w:val="标题 4(1).H41.1.1.1标题 4.1.1.1.1标题 4 Char款四级标题，黑粗，小四，序号h..."/>
    <w:basedOn w:val="41"/>
    <w:qFormat/>
    <w:pPr>
      <w:keepNext w:val="0"/>
      <w:spacing w:before="120" w:after="120" w:line="360" w:lineRule="auto"/>
      <w:jc w:val="left"/>
    </w:pPr>
    <w:rPr>
      <w:rFonts w:eastAsia="华文楷体"/>
      <w:kern w:val="2"/>
      <w:sz w:val="24"/>
    </w:rPr>
  </w:style>
  <w:style w:type="paragraph" w:customStyle="1" w:styleId="affffffffffffffffffffffffd">
    <w:name w:val="使用正文"/>
    <w:basedOn w:val="af1"/>
    <w:qFormat/>
    <w:pPr>
      <w:snapToGrid w:val="0"/>
      <w:spacing w:line="360" w:lineRule="auto"/>
      <w:ind w:firstLine="573"/>
    </w:pPr>
    <w:rPr>
      <w:rFonts w:ascii="Calibri" w:hAnsi="Calibri" w:cs="Times New Roman"/>
      <w:sz w:val="28"/>
      <w:szCs w:val="20"/>
    </w:rPr>
  </w:style>
  <w:style w:type="paragraph" w:customStyle="1" w:styleId="1-">
    <w:name w:val="1-正文"/>
    <w:qFormat/>
    <w:pPr>
      <w:spacing w:line="360" w:lineRule="auto"/>
      <w:ind w:firstLineChars="200" w:firstLine="560"/>
    </w:pPr>
    <w:rPr>
      <w:rFonts w:ascii="宋体" w:eastAsia="宋体" w:hAnsi="宋体" w:cs="Times New Roman"/>
      <w:kern w:val="2"/>
      <w:sz w:val="28"/>
      <w:szCs w:val="28"/>
    </w:rPr>
  </w:style>
  <w:style w:type="paragraph" w:customStyle="1" w:styleId="118">
    <w:name w:val="1.1"/>
    <w:basedOn w:val="af1"/>
    <w:qFormat/>
    <w:pPr>
      <w:spacing w:beforeLines="50" w:afterLines="50" w:line="500" w:lineRule="exact"/>
      <w:ind w:firstLineChars="200" w:firstLine="200"/>
    </w:pPr>
    <w:rPr>
      <w:rFonts w:ascii="Calibri" w:eastAsia="黑体" w:hAnsi="Calibri" w:cs="Times New Roman"/>
      <w:b/>
      <w:sz w:val="30"/>
      <w:szCs w:val="20"/>
    </w:rPr>
  </w:style>
  <w:style w:type="paragraph" w:customStyle="1" w:styleId="affffffffffffffffffffffffe">
    <w:name w:val="附录标识"/>
    <w:basedOn w:val="afffffffffffffffffffffff4"/>
    <w:qFormat/>
    <w:pPr>
      <w:tabs>
        <w:tab w:val="clear" w:pos="903"/>
        <w:tab w:val="clear" w:pos="968"/>
      </w:tabs>
      <w:spacing w:after="200"/>
    </w:pPr>
    <w:rPr>
      <w:sz w:val="21"/>
    </w:rPr>
  </w:style>
  <w:style w:type="paragraph" w:customStyle="1" w:styleId="p17">
    <w:name w:val="p17"/>
    <w:basedOn w:val="af1"/>
    <w:qFormat/>
    <w:pPr>
      <w:widowControl/>
      <w:snapToGrid w:val="0"/>
      <w:spacing w:before="156" w:line="360" w:lineRule="auto"/>
      <w:ind w:firstLine="420"/>
    </w:pPr>
    <w:rPr>
      <w:rFonts w:ascii="宋体" w:hAnsi="宋体" w:cs="宋体"/>
      <w:kern w:val="0"/>
      <w:sz w:val="24"/>
      <w:szCs w:val="24"/>
    </w:rPr>
  </w:style>
  <w:style w:type="paragraph" w:customStyle="1" w:styleId="1511">
    <w:name w:val="样式 四号 行距: 1.5 倍行距1"/>
    <w:basedOn w:val="af1"/>
    <w:qFormat/>
    <w:pPr>
      <w:widowControl/>
      <w:spacing w:line="360" w:lineRule="auto"/>
      <w:jc w:val="left"/>
    </w:pPr>
    <w:rPr>
      <w:rFonts w:ascii="仿宋_GB2312" w:hAnsi="仿宋_GB2312" w:cs="Verdana"/>
      <w:sz w:val="28"/>
      <w:szCs w:val="20"/>
    </w:rPr>
  </w:style>
  <w:style w:type="paragraph" w:customStyle="1" w:styleId="2L">
    <w:name w:val="列表 2L"/>
    <w:basedOn w:val="25"/>
    <w:qFormat/>
    <w:pPr>
      <w:widowControl/>
      <w:tabs>
        <w:tab w:val="left" w:pos="737"/>
      </w:tabs>
      <w:spacing w:beforeAutospacing="1" w:after="100" w:afterAutospacing="1" w:line="288" w:lineRule="auto"/>
      <w:ind w:leftChars="0" w:left="737" w:firstLineChars="0" w:hanging="567"/>
      <w:jc w:val="left"/>
    </w:pPr>
    <w:rPr>
      <w:rFonts w:ascii="Courier New" w:eastAsia="宋体" w:hAnsi="Courier New" w:cs="仿宋_GB2312"/>
      <w:color w:val="FFFF99"/>
      <w:kern w:val="2"/>
      <w:sz w:val="24"/>
      <w:szCs w:val="20"/>
    </w:rPr>
  </w:style>
  <w:style w:type="paragraph" w:customStyle="1" w:styleId="MG">
    <w:name w:val="MG"/>
    <w:basedOn w:val="1"/>
    <w:qFormat/>
    <w:pPr>
      <w:keepLines w:val="0"/>
      <w:widowControl/>
      <w:tabs>
        <w:tab w:val="left" w:pos="2260"/>
        <w:tab w:val="left" w:pos="2820"/>
        <w:tab w:val="left" w:pos="3420"/>
      </w:tabs>
      <w:adjustRightInd w:val="0"/>
      <w:snapToGrid w:val="0"/>
      <w:spacing w:before="440" w:line="240" w:lineRule="auto"/>
      <w:ind w:left="851" w:right="-28" w:hanging="851"/>
      <w:jc w:val="left"/>
    </w:pPr>
    <w:rPr>
      <w:rFonts w:ascii="Courier New" w:hAnsi="Courier New" w:cs="仿宋_GB2312"/>
      <w:bCs w:val="0"/>
      <w:kern w:val="0"/>
      <w:sz w:val="22"/>
      <w:szCs w:val="20"/>
      <w:lang w:val="en-GB"/>
    </w:rPr>
  </w:style>
  <w:style w:type="paragraph" w:customStyle="1" w:styleId="afffffffffffffffffffffffff">
    <w:name w:val="攀成钢表头"/>
    <w:basedOn w:val="af1"/>
    <w:qFormat/>
    <w:pPr>
      <w:widowControl/>
      <w:jc w:val="center"/>
    </w:pPr>
    <w:rPr>
      <w:rFonts w:ascii="Calibri" w:hAnsi="Calibri" w:cs="Times New Roman"/>
      <w:b/>
      <w:color w:val="008000"/>
      <w:kern w:val="0"/>
      <w:sz w:val="24"/>
      <w:szCs w:val="20"/>
    </w:rPr>
  </w:style>
  <w:style w:type="paragraph" w:customStyle="1" w:styleId="30100">
    <w:name w:val="样式 样式 样式 样式 标题 3 + 首行缩进:  0 厘米1 + 首行缩进:  0 厘米 + 首行缩进:  0 字符 + 首行..."/>
    <w:basedOn w:val="af1"/>
    <w:qFormat/>
    <w:pPr>
      <w:keepNext/>
      <w:keepLines/>
      <w:spacing w:line="360" w:lineRule="auto"/>
      <w:outlineLvl w:val="2"/>
    </w:pPr>
    <w:rPr>
      <w:rFonts w:ascii="Calibri" w:hAnsi="Calibri" w:cs="Times New Roman"/>
      <w:sz w:val="28"/>
      <w:szCs w:val="20"/>
    </w:rPr>
  </w:style>
  <w:style w:type="paragraph" w:customStyle="1" w:styleId="3ff3">
    <w:name w:val="纯文本3"/>
    <w:basedOn w:val="af1"/>
    <w:qFormat/>
    <w:pPr>
      <w:spacing w:line="360" w:lineRule="auto"/>
      <w:jc w:val="left"/>
    </w:pPr>
    <w:rPr>
      <w:rFonts w:ascii="宋体" w:hAnsi="Plotter" w:cs="Times New Roman"/>
      <w:sz w:val="24"/>
      <w:szCs w:val="20"/>
    </w:rPr>
  </w:style>
  <w:style w:type="paragraph" w:customStyle="1" w:styleId="Char2CharCharCharCharCharChar">
    <w:name w:val="Char2 Char Char Char Char Char Char"/>
    <w:basedOn w:val="af1"/>
    <w:qFormat/>
    <w:pPr>
      <w:widowControl/>
      <w:jc w:val="left"/>
    </w:pPr>
    <w:rPr>
      <w:rFonts w:ascii="Calibri" w:hAnsi="Calibri" w:cs="Times New Roman"/>
      <w:sz w:val="24"/>
      <w:szCs w:val="20"/>
    </w:rPr>
  </w:style>
  <w:style w:type="paragraph" w:customStyle="1" w:styleId="font6">
    <w:name w:val="font6"/>
    <w:basedOn w:val="af1"/>
    <w:qFormat/>
    <w:pPr>
      <w:widowControl/>
      <w:spacing w:before="100" w:beforeAutospacing="1" w:after="100" w:afterAutospacing="1"/>
      <w:jc w:val="left"/>
    </w:pPr>
    <w:rPr>
      <w:rFonts w:ascii="宋体" w:hAnsi="宋体" w:cs="Arial Unicode MS" w:hint="eastAsia"/>
      <w:kern w:val="0"/>
      <w:sz w:val="20"/>
      <w:szCs w:val="20"/>
    </w:rPr>
  </w:style>
  <w:style w:type="paragraph" w:customStyle="1" w:styleId="inhalt1">
    <w:name w:val="inhalt1"/>
    <w:basedOn w:val="af1"/>
    <w:qFormat/>
    <w:pPr>
      <w:widowControl/>
      <w:spacing w:before="100" w:beforeAutospacing="1" w:after="100" w:afterAutospacing="1"/>
      <w:jc w:val="left"/>
    </w:pPr>
    <w:rPr>
      <w:rFonts w:ascii="Verdana" w:hAnsi="Verdana" w:cs="仿宋_GB2312"/>
      <w:color w:val="000000"/>
      <w:kern w:val="0"/>
      <w:sz w:val="24"/>
      <w:szCs w:val="24"/>
    </w:rPr>
  </w:style>
  <w:style w:type="paragraph" w:customStyle="1" w:styleId="afffffffffffffffffffffffff0">
    <w:name w:val="表字"/>
    <w:basedOn w:val="af1"/>
    <w:qFormat/>
    <w:pPr>
      <w:widowControl/>
      <w:jc w:val="center"/>
    </w:pPr>
    <w:rPr>
      <w:rFonts w:ascii="宋体" w:hAnsi="Calibri" w:cs="Times New Roman"/>
      <w:szCs w:val="20"/>
    </w:rPr>
  </w:style>
  <w:style w:type="paragraph" w:customStyle="1" w:styleId="1fffffd">
    <w:name w:val="(1)"/>
    <w:basedOn w:val="af1"/>
    <w:qFormat/>
    <w:pPr>
      <w:spacing w:line="500" w:lineRule="atLeast"/>
      <w:ind w:firstLineChars="200" w:firstLine="200"/>
    </w:pPr>
    <w:rPr>
      <w:rFonts w:ascii="Calibri" w:hAnsi="Calibri" w:cs="Times New Roman"/>
      <w:b/>
      <w:sz w:val="24"/>
      <w:szCs w:val="20"/>
    </w:rPr>
  </w:style>
  <w:style w:type="paragraph" w:customStyle="1" w:styleId="-6">
    <w:name w:val="表格标题-6"/>
    <w:basedOn w:val="-xin"/>
    <w:next w:val="af1"/>
    <w:qFormat/>
    <w:pPr>
      <w:numPr>
        <w:numId w:val="23"/>
      </w:numPr>
    </w:pPr>
  </w:style>
  <w:style w:type="paragraph" w:customStyle="1" w:styleId="font17">
    <w:name w:val="font17"/>
    <w:basedOn w:val="af1"/>
    <w:qFormat/>
    <w:pPr>
      <w:widowControl/>
      <w:spacing w:before="100" w:beforeAutospacing="1" w:after="100" w:afterAutospacing="1"/>
      <w:jc w:val="left"/>
    </w:pPr>
    <w:rPr>
      <w:rFonts w:ascii="仿宋_GB2312" w:eastAsia="華康中楷體" w:hAnsi="仿宋_GB2312" w:cs="仿宋_GB2312"/>
      <w:kern w:val="0"/>
      <w:sz w:val="20"/>
      <w:szCs w:val="20"/>
      <w:u w:val="single"/>
    </w:rPr>
  </w:style>
  <w:style w:type="paragraph" w:customStyle="1" w:styleId="afffffffffffffffffffffffff1">
    <w:name w:val="a"/>
    <w:basedOn w:val="af1"/>
    <w:qFormat/>
    <w:pPr>
      <w:widowControl/>
      <w:spacing w:before="100" w:beforeAutospacing="1" w:after="100" w:afterAutospacing="1"/>
      <w:jc w:val="left"/>
    </w:pPr>
    <w:rPr>
      <w:rFonts w:ascii="宋体" w:hAnsi="宋体" w:cs="Times New Roman"/>
      <w:kern w:val="0"/>
      <w:sz w:val="24"/>
      <w:szCs w:val="24"/>
    </w:rPr>
  </w:style>
  <w:style w:type="paragraph" w:customStyle="1" w:styleId="5G">
    <w:name w:val="列表 5G"/>
    <w:basedOn w:val="55"/>
    <w:qFormat/>
    <w:pPr>
      <w:tabs>
        <w:tab w:val="left" w:pos="1134"/>
      </w:tabs>
      <w:adjustRightInd/>
      <w:spacing w:beforeLines="0" w:line="240" w:lineRule="auto"/>
      <w:ind w:left="1134" w:hanging="425"/>
      <w:jc w:val="left"/>
      <w:textAlignment w:val="auto"/>
    </w:pPr>
    <w:rPr>
      <w:rFonts w:ascii="Courier New" w:hAnsi="Courier New" w:cs="仿宋_GB2312"/>
      <w:color w:val="99CCFF"/>
      <w:kern w:val="2"/>
    </w:rPr>
  </w:style>
  <w:style w:type="paragraph" w:customStyle="1" w:styleId="2T">
    <w:name w:val="列表 2T"/>
    <w:basedOn w:val="25"/>
    <w:qFormat/>
    <w:pPr>
      <w:widowControl/>
      <w:tabs>
        <w:tab w:val="left" w:pos="737"/>
      </w:tabs>
      <w:spacing w:beforeAutospacing="1" w:after="100" w:afterAutospacing="1" w:line="288" w:lineRule="auto"/>
      <w:ind w:leftChars="0" w:left="737" w:firstLineChars="0" w:hanging="567"/>
      <w:jc w:val="left"/>
    </w:pPr>
    <w:rPr>
      <w:rFonts w:ascii="Courier New" w:eastAsia="宋体" w:hAnsi="Courier New" w:cs="仿宋_GB2312"/>
      <w:color w:val="FFFF99"/>
      <w:kern w:val="2"/>
      <w:sz w:val="24"/>
      <w:szCs w:val="20"/>
    </w:rPr>
  </w:style>
  <w:style w:type="paragraph" w:customStyle="1" w:styleId="1fffffe">
    <w:name w:val="成简1"/>
    <w:basedOn w:val="af1"/>
    <w:qFormat/>
    <w:pPr>
      <w:spacing w:line="480" w:lineRule="auto"/>
      <w:outlineLvl w:val="0"/>
    </w:pPr>
    <w:rPr>
      <w:rFonts w:ascii="黑体" w:eastAsia="黑体" w:hAnsi="Calibri" w:cs="Times New Roman"/>
      <w:sz w:val="30"/>
      <w:szCs w:val="20"/>
    </w:rPr>
  </w:style>
  <w:style w:type="paragraph" w:customStyle="1" w:styleId="Content">
    <w:name w:val="Content"/>
    <w:basedOn w:val="af1"/>
    <w:qFormat/>
    <w:pPr>
      <w:widowControl/>
      <w:tabs>
        <w:tab w:val="left" w:pos="9480"/>
        <w:tab w:val="left" w:pos="9600"/>
      </w:tabs>
      <w:spacing w:before="120" w:after="120" w:line="240" w:lineRule="atLeast"/>
      <w:jc w:val="center"/>
    </w:pPr>
    <w:rPr>
      <w:rFonts w:ascii="Courier New" w:hAnsi="Courier New" w:cs="仿宋_GB2312"/>
      <w:b/>
      <w:kern w:val="0"/>
      <w:sz w:val="28"/>
      <w:szCs w:val="20"/>
      <w:lang w:val="fr-FR"/>
    </w:rPr>
  </w:style>
  <w:style w:type="paragraph" w:customStyle="1" w:styleId="3ff4">
    <w:name w:val="样式 标题 3 + 黑体 小四"/>
    <w:basedOn w:val="315"/>
    <w:qFormat/>
    <w:pPr>
      <w:tabs>
        <w:tab w:val="left" w:pos="720"/>
        <w:tab w:val="left" w:pos="1609"/>
      </w:tabs>
      <w:spacing w:before="60"/>
      <w:ind w:left="607" w:hanging="607"/>
      <w:jc w:val="left"/>
    </w:pPr>
  </w:style>
  <w:style w:type="paragraph" w:customStyle="1" w:styleId="4f6">
    <w:name w:val="正文+4"/>
    <w:basedOn w:val="af1"/>
    <w:qFormat/>
    <w:pPr>
      <w:ind w:firstLineChars="200" w:firstLine="200"/>
    </w:pPr>
    <w:rPr>
      <w:rFonts w:ascii="Calibri" w:hAnsi="Calibri" w:cs="宋体"/>
      <w:sz w:val="28"/>
      <w:szCs w:val="20"/>
    </w:rPr>
  </w:style>
  <w:style w:type="paragraph" w:customStyle="1" w:styleId="5f1">
    <w:name w:val="表5号字"/>
    <w:qFormat/>
    <w:pPr>
      <w:keepNext/>
      <w:widowControl w:val="0"/>
      <w:adjustRightInd w:val="0"/>
      <w:spacing w:before="120" w:after="120" w:line="60" w:lineRule="atLeast"/>
      <w:jc w:val="center"/>
      <w:textAlignment w:val="baseline"/>
    </w:pPr>
    <w:rPr>
      <w:rFonts w:ascii="Calibri" w:eastAsia="宋体" w:hAnsi="Calibri" w:cs="Times New Roman"/>
      <w:sz w:val="21"/>
    </w:rPr>
  </w:style>
  <w:style w:type="paragraph" w:customStyle="1" w:styleId="afffffffffffffffffffffffff2">
    <w:name w:val="已有表格"/>
    <w:basedOn w:val="af1"/>
    <w:qFormat/>
    <w:pPr>
      <w:widowControl/>
      <w:adjustRightInd w:val="0"/>
      <w:spacing w:before="40" w:after="40"/>
      <w:jc w:val="center"/>
      <w:textAlignment w:val="baseline"/>
    </w:pPr>
    <w:rPr>
      <w:rFonts w:ascii="仿宋_GB2312" w:hAnsi="仿宋_GB2312" w:cs="仿宋_GB2312"/>
      <w:b/>
      <w:kern w:val="0"/>
      <w:sz w:val="24"/>
      <w:szCs w:val="20"/>
    </w:rPr>
  </w:style>
  <w:style w:type="paragraph" w:customStyle="1" w:styleId="3ff5">
    <w:name w:val="样式 标题 3 + 四号"/>
    <w:basedOn w:val="315"/>
    <w:qFormat/>
    <w:pPr>
      <w:tabs>
        <w:tab w:val="left" w:pos="720"/>
      </w:tabs>
      <w:spacing w:line="240" w:lineRule="auto"/>
      <w:ind w:left="720" w:hanging="720"/>
    </w:pPr>
    <w:rPr>
      <w:rFonts w:ascii="Times New Roman" w:eastAsia="宋体"/>
      <w:sz w:val="28"/>
    </w:rPr>
  </w:style>
  <w:style w:type="paragraph" w:customStyle="1" w:styleId="afffffffffffffffffffffffff3">
    <w:name w:val="表格文字居中"/>
    <w:qFormat/>
    <w:pPr>
      <w:widowControl w:val="0"/>
      <w:adjustRightInd w:val="0"/>
      <w:snapToGrid w:val="0"/>
      <w:jc w:val="center"/>
    </w:pPr>
    <w:rPr>
      <w:rFonts w:ascii="Calibri" w:eastAsia="宋体" w:hAnsi="Calibri" w:cs="Times New Roman"/>
      <w:color w:val="FF0000"/>
      <w:kern w:val="2"/>
      <w:sz w:val="21"/>
    </w:rPr>
  </w:style>
  <w:style w:type="paragraph" w:customStyle="1" w:styleId="afffffffffffffffffffffffff4">
    <w:name w:val="表格文本"/>
    <w:basedOn w:val="af1"/>
    <w:next w:val="af1"/>
    <w:qFormat/>
    <w:pPr>
      <w:widowControl/>
      <w:spacing w:line="240" w:lineRule="exact"/>
      <w:jc w:val="left"/>
    </w:pPr>
    <w:rPr>
      <w:rFonts w:ascii="仿宋_GB2312" w:hAnsi="仿宋_GB2312" w:cs="仿宋_GB2312"/>
      <w:szCs w:val="20"/>
    </w:rPr>
  </w:style>
  <w:style w:type="paragraph" w:customStyle="1" w:styleId="font14">
    <w:name w:val="font14"/>
    <w:basedOn w:val="af1"/>
    <w:qFormat/>
    <w:pPr>
      <w:widowControl/>
      <w:spacing w:before="100" w:beforeAutospacing="1" w:after="100" w:afterAutospacing="1" w:line="360" w:lineRule="auto"/>
      <w:jc w:val="left"/>
    </w:pPr>
    <w:rPr>
      <w:rFonts w:ascii="宋体" w:hAnsi="宋体" w:cs="Times New Roman"/>
      <w:color w:val="000000"/>
      <w:sz w:val="20"/>
      <w:szCs w:val="20"/>
    </w:rPr>
  </w:style>
  <w:style w:type="paragraph" w:customStyle="1" w:styleId="CharCharffff8">
    <w:name w:val="表格内容 Char Char"/>
    <w:basedOn w:val="af1"/>
    <w:qFormat/>
    <w:pPr>
      <w:tabs>
        <w:tab w:val="left" w:pos="1535"/>
        <w:tab w:val="left" w:pos="3105"/>
        <w:tab w:val="left" w:pos="4676"/>
        <w:tab w:val="left" w:pos="6247"/>
        <w:tab w:val="left" w:pos="7740"/>
        <w:tab w:val="left" w:pos="9288"/>
      </w:tabs>
      <w:adjustRightInd w:val="0"/>
      <w:snapToGrid w:val="0"/>
      <w:spacing w:line="240" w:lineRule="exact"/>
      <w:jc w:val="center"/>
      <w:textAlignment w:val="baseline"/>
    </w:pPr>
    <w:rPr>
      <w:rFonts w:ascii="Calibri" w:hAnsi="Calibri" w:cs="Times New Roman"/>
      <w:color w:val="000000"/>
      <w:szCs w:val="16"/>
    </w:rPr>
  </w:style>
  <w:style w:type="paragraph" w:customStyle="1" w:styleId="afffffffffffffffffffffffff5">
    <w:name w:val="报告正文小四"/>
    <w:basedOn w:val="af1"/>
    <w:qFormat/>
    <w:pPr>
      <w:adjustRightInd w:val="0"/>
      <w:snapToGrid w:val="0"/>
      <w:spacing w:before="120" w:line="420" w:lineRule="atLeast"/>
      <w:ind w:firstLine="510"/>
    </w:pPr>
    <w:rPr>
      <w:rFonts w:ascii="Calibri" w:hAnsi="Calibri" w:cs="Times New Roman"/>
      <w:sz w:val="24"/>
      <w:szCs w:val="20"/>
    </w:rPr>
  </w:style>
  <w:style w:type="paragraph" w:customStyle="1" w:styleId="119">
    <w:name w:val="修订11"/>
    <w:qFormat/>
    <w:rPr>
      <w:rFonts w:ascii="Calibri" w:eastAsia="宋体" w:hAnsi="Calibri" w:cs="Times New Roman"/>
      <w:kern w:val="2"/>
      <w:sz w:val="21"/>
    </w:rPr>
  </w:style>
  <w:style w:type="paragraph" w:customStyle="1" w:styleId="-f0">
    <w:name w:val="正文-第几条"/>
    <w:basedOn w:val="af1"/>
    <w:qFormat/>
    <w:pPr>
      <w:widowControl/>
      <w:tabs>
        <w:tab w:val="left" w:pos="720"/>
      </w:tabs>
      <w:spacing w:line="360" w:lineRule="auto"/>
      <w:ind w:left="720" w:hanging="720"/>
      <w:jc w:val="left"/>
    </w:pPr>
    <w:rPr>
      <w:rFonts w:ascii="仿宋_GB2312" w:hAnsi="仿宋_GB2312" w:cs="仿宋_GB2312"/>
      <w:sz w:val="24"/>
      <w:szCs w:val="24"/>
    </w:rPr>
  </w:style>
  <w:style w:type="paragraph" w:customStyle="1" w:styleId="xl117">
    <w:name w:val="xl117"/>
    <w:basedOn w:val="af1"/>
    <w:qFormat/>
    <w:pPr>
      <w:widowControl/>
      <w:pBdr>
        <w:top w:val="single" w:sz="4" w:space="0" w:color="auto"/>
        <w:left w:val="single" w:sz="4" w:space="0" w:color="auto"/>
        <w:bottom w:val="single" w:sz="4" w:space="0" w:color="auto"/>
      </w:pBdr>
      <w:spacing w:before="100" w:beforeAutospacing="1" w:after="100" w:afterAutospacing="1"/>
      <w:jc w:val="left"/>
    </w:pPr>
    <w:rPr>
      <w:rFonts w:cs="Times New Roman"/>
      <w:kern w:val="0"/>
      <w:sz w:val="20"/>
      <w:szCs w:val="20"/>
    </w:rPr>
  </w:style>
  <w:style w:type="paragraph" w:customStyle="1" w:styleId="afffffffffffffffffffffffff6">
    <w:name w:val="环保篇"/>
    <w:basedOn w:val="af1"/>
    <w:qFormat/>
    <w:pPr>
      <w:widowControl/>
      <w:tabs>
        <w:tab w:val="left" w:pos="360"/>
      </w:tabs>
      <w:adjustRightInd w:val="0"/>
      <w:spacing w:line="360" w:lineRule="auto"/>
      <w:jc w:val="left"/>
      <w:textAlignment w:val="baseline"/>
    </w:pPr>
    <w:rPr>
      <w:rFonts w:ascii="仿宋_GB2312" w:hAnsi="仿宋_GB2312" w:cs="仿宋_GB2312"/>
      <w:sz w:val="28"/>
      <w:szCs w:val="20"/>
    </w:rPr>
  </w:style>
  <w:style w:type="paragraph" w:customStyle="1" w:styleId="afffffffffffffffffffffffff7">
    <w:name w:val="规划正文样式"/>
    <w:basedOn w:val="af1"/>
    <w:qFormat/>
    <w:pPr>
      <w:widowControl/>
      <w:spacing w:line="400" w:lineRule="exact"/>
      <w:ind w:firstLineChars="200" w:firstLine="480"/>
      <w:jc w:val="left"/>
    </w:pPr>
    <w:rPr>
      <w:rFonts w:ascii="仿宋_GB2312" w:hAnsi="仿宋_GB2312" w:cs="仿宋_GB2312"/>
      <w:sz w:val="24"/>
      <w:szCs w:val="24"/>
    </w:rPr>
  </w:style>
  <w:style w:type="paragraph" w:customStyle="1" w:styleId="L1">
    <w:name w:val="列表 L"/>
    <w:basedOn w:val="afffe"/>
    <w:qFormat/>
    <w:pPr>
      <w:widowControl/>
      <w:tabs>
        <w:tab w:val="left" w:pos="425"/>
      </w:tabs>
      <w:spacing w:beforeLines="100" w:afterLines="50" w:line="288" w:lineRule="auto"/>
      <w:ind w:left="425" w:hanging="425"/>
      <w:jc w:val="left"/>
    </w:pPr>
    <w:rPr>
      <w:rFonts w:ascii="Courier New" w:eastAsia="宋体" w:hAnsi="Courier New" w:cs="仿宋_GB2312"/>
      <w:b/>
      <w:bCs/>
      <w:color w:val="FF99CC"/>
    </w:rPr>
  </w:style>
  <w:style w:type="paragraph" w:customStyle="1" w:styleId="xl70">
    <w:name w:val="xl70"/>
    <w:basedOn w:val="af1"/>
    <w:qFormat/>
    <w:pPr>
      <w:widowControl/>
      <w:pBdr>
        <w:bottom w:val="single" w:sz="4" w:space="0" w:color="auto"/>
        <w:right w:val="single" w:sz="4" w:space="0" w:color="auto"/>
      </w:pBdr>
      <w:spacing w:before="100" w:beforeAutospacing="1" w:after="100" w:afterAutospacing="1"/>
      <w:jc w:val="center"/>
    </w:pPr>
    <w:rPr>
      <w:rFonts w:ascii="Calibri" w:eastAsia="Arial Unicode MS" w:hAnsi="Calibri" w:cs="Times New Roman"/>
      <w:kern w:val="0"/>
      <w:szCs w:val="21"/>
    </w:rPr>
  </w:style>
  <w:style w:type="paragraph" w:customStyle="1" w:styleId="Style10">
    <w:name w:val="_Style 1"/>
    <w:basedOn w:val="af1"/>
    <w:next w:val="af1"/>
    <w:qFormat/>
    <w:pPr>
      <w:pBdr>
        <w:bottom w:val="single" w:sz="6" w:space="1" w:color="auto"/>
      </w:pBdr>
      <w:jc w:val="center"/>
    </w:pPr>
    <w:rPr>
      <w:rFonts w:ascii="Arial" w:hAnsi="Calibri" w:cs="Times New Roman"/>
      <w:vanish/>
      <w:sz w:val="16"/>
      <w:szCs w:val="24"/>
    </w:rPr>
  </w:style>
  <w:style w:type="paragraph" w:customStyle="1" w:styleId="-f1">
    <w:name w:val="正文-使用"/>
    <w:basedOn w:val="af1"/>
    <w:qFormat/>
    <w:pPr>
      <w:widowControl/>
      <w:spacing w:line="360" w:lineRule="auto"/>
      <w:ind w:firstLine="482"/>
      <w:jc w:val="left"/>
    </w:pPr>
    <w:rPr>
      <w:rFonts w:ascii="仿宋_GB2312" w:hAnsi="仿宋_GB2312" w:cs="仿宋_GB2312"/>
      <w:sz w:val="24"/>
      <w:szCs w:val="20"/>
    </w:rPr>
  </w:style>
  <w:style w:type="paragraph" w:customStyle="1" w:styleId="93">
    <w:name w:val="9点"/>
    <w:basedOn w:val="af1"/>
    <w:qFormat/>
    <w:pPr>
      <w:widowControl/>
      <w:tabs>
        <w:tab w:val="left" w:pos="390"/>
      </w:tabs>
      <w:spacing w:line="360" w:lineRule="exact"/>
      <w:jc w:val="left"/>
    </w:pPr>
    <w:rPr>
      <w:rFonts w:ascii="Calibri" w:hAnsi="Calibri" w:cs="Times New Roman"/>
      <w:szCs w:val="24"/>
    </w:rPr>
  </w:style>
  <w:style w:type="paragraph" w:customStyle="1" w:styleId="xl91">
    <w:name w:val="xl91"/>
    <w:basedOn w:val="af1"/>
    <w:qFormat/>
    <w:pPr>
      <w:widowControl/>
      <w:pBdr>
        <w:bottom w:val="single" w:sz="4" w:space="0" w:color="auto"/>
      </w:pBdr>
      <w:spacing w:before="100" w:beforeAutospacing="1" w:after="100" w:afterAutospacing="1" w:line="360" w:lineRule="auto"/>
      <w:jc w:val="center"/>
    </w:pPr>
    <w:rPr>
      <w:rFonts w:ascii="宋体" w:hAnsi="宋体" w:cs="Times New Roman"/>
      <w:color w:val="000000"/>
      <w:sz w:val="20"/>
      <w:szCs w:val="20"/>
    </w:rPr>
  </w:style>
  <w:style w:type="paragraph" w:customStyle="1" w:styleId="aa2">
    <w:name w:val="aa"/>
    <w:basedOn w:val="af1"/>
    <w:qFormat/>
    <w:pPr>
      <w:widowControl/>
      <w:spacing w:line="360" w:lineRule="auto"/>
      <w:ind w:firstLine="480"/>
      <w:jc w:val="left"/>
    </w:pPr>
    <w:rPr>
      <w:rFonts w:ascii="宋体" w:hAnsi="宋体" w:cs="Times New Roman"/>
      <w:sz w:val="24"/>
      <w:szCs w:val="24"/>
    </w:rPr>
  </w:style>
  <w:style w:type="paragraph" w:customStyle="1" w:styleId="262">
    <w:name w:val="样式 样式2 + 段前: 6 磅 行距: 单倍行距2"/>
    <w:basedOn w:val="2fa"/>
    <w:qFormat/>
    <w:pPr>
      <w:widowControl/>
      <w:autoSpaceDE w:val="0"/>
      <w:autoSpaceDN w:val="0"/>
      <w:adjustRightInd w:val="0"/>
      <w:snapToGrid w:val="0"/>
      <w:spacing w:before="260" w:line="240" w:lineRule="auto"/>
      <w:ind w:firstLine="0"/>
      <w:jc w:val="center"/>
      <w:textAlignment w:val="baseline"/>
    </w:pPr>
    <w:rPr>
      <w:rFonts w:eastAsia="宋体"/>
      <w:spacing w:val="-16"/>
      <w:sz w:val="24"/>
      <w:szCs w:val="21"/>
    </w:rPr>
  </w:style>
  <w:style w:type="paragraph" w:customStyle="1" w:styleId="zw0">
    <w:name w:val="zw"/>
    <w:basedOn w:val="af1"/>
    <w:qFormat/>
    <w:pPr>
      <w:adjustRightInd w:val="0"/>
      <w:spacing w:line="360" w:lineRule="auto"/>
    </w:pPr>
    <w:rPr>
      <w:rFonts w:ascii="楷体_GB2312" w:eastAsia="楷体_GB2312" w:hAnsi="Calibri" w:cs="Times New Roman"/>
      <w:sz w:val="24"/>
    </w:rPr>
  </w:style>
  <w:style w:type="paragraph" w:customStyle="1" w:styleId="xl84">
    <w:name w:val="xl84"/>
    <w:basedOn w:val="af1"/>
    <w:qFormat/>
    <w:pPr>
      <w:widowControl/>
      <w:spacing w:before="100" w:beforeAutospacing="1" w:after="100" w:afterAutospacing="1" w:line="360" w:lineRule="auto"/>
    </w:pPr>
    <w:rPr>
      <w:rFonts w:ascii="宋体" w:hAnsi="宋体" w:cs="Times New Roman"/>
      <w:color w:val="000000"/>
      <w:sz w:val="20"/>
      <w:szCs w:val="20"/>
    </w:rPr>
  </w:style>
  <w:style w:type="paragraph" w:customStyle="1" w:styleId="425">
    <w:name w:val="样式 标题 4 + 行距: 固定值 25 磅"/>
    <w:basedOn w:val="41"/>
    <w:qFormat/>
    <w:pPr>
      <w:keepLines/>
      <w:widowControl w:val="0"/>
      <w:adjustRightInd w:val="0"/>
      <w:spacing w:line="500" w:lineRule="exact"/>
      <w:jc w:val="left"/>
      <w:textAlignment w:val="baseline"/>
    </w:pPr>
    <w:rPr>
      <w:rFonts w:cs="宋体"/>
      <w:bCs/>
      <w:sz w:val="28"/>
    </w:rPr>
  </w:style>
  <w:style w:type="paragraph" w:customStyle="1" w:styleId="BodyText22">
    <w:name w:val="Body Text 22"/>
    <w:basedOn w:val="af1"/>
    <w:qFormat/>
    <w:pPr>
      <w:adjustRightInd w:val="0"/>
      <w:spacing w:line="440" w:lineRule="atLeast"/>
      <w:ind w:firstLine="480"/>
      <w:textAlignment w:val="baseline"/>
    </w:pPr>
    <w:rPr>
      <w:rFonts w:ascii="Calibri" w:eastAsia="仿宋_GB2312" w:hAnsi="Calibri" w:cs="Times New Roman"/>
      <w:sz w:val="24"/>
      <w:szCs w:val="20"/>
    </w:rPr>
  </w:style>
  <w:style w:type="paragraph" w:customStyle="1" w:styleId="Char2CharCharCharCharCharCharCharCharCharCharCharCharChar1CharCharCharCharCharCharCharCharCharCharCharCharCharCharChar1Char2">
    <w:name w:val="Char2 Char Char Char Char Char Char Char Char Char Char Char Char Char1 Char Char Char Char Char Char Char Char Char Char Char Char Char Char Char1 Char2"/>
    <w:basedOn w:val="af1"/>
    <w:qFormat/>
    <w:rPr>
      <w:rFonts w:ascii="Tahoma" w:hAnsi="Tahoma" w:cs="Tahoma"/>
      <w:b/>
      <w:bCs/>
      <w:sz w:val="24"/>
      <w:szCs w:val="44"/>
    </w:rPr>
  </w:style>
  <w:style w:type="paragraph" w:customStyle="1" w:styleId="afffffffffffffffffffffffff8">
    <w:name w:val="文件名称"/>
    <w:basedOn w:val="af1"/>
    <w:next w:val="af1"/>
    <w:qFormat/>
    <w:pPr>
      <w:widowControl/>
      <w:spacing w:beforeLines="100" w:line="500" w:lineRule="atLeast"/>
      <w:jc w:val="center"/>
    </w:pPr>
    <w:rPr>
      <w:rFonts w:ascii="楷体" w:eastAsia="楷体" w:hAnsi="仿宋_GB2312" w:cs="仿宋_GB2312"/>
      <w:sz w:val="84"/>
      <w:szCs w:val="84"/>
    </w:rPr>
  </w:style>
  <w:style w:type="paragraph" w:customStyle="1" w:styleId="CharCharChar1CharCharChar">
    <w:name w:val="Char Char Char1 Char Char Char"/>
    <w:basedOn w:val="af1"/>
    <w:qFormat/>
    <w:pPr>
      <w:widowControl/>
      <w:jc w:val="left"/>
    </w:pPr>
    <w:rPr>
      <w:rFonts w:ascii="仿宋_GB2312" w:hAnsi="仿宋_GB2312" w:cs="仿宋_GB2312"/>
      <w:szCs w:val="24"/>
    </w:rPr>
  </w:style>
  <w:style w:type="paragraph" w:customStyle="1" w:styleId="afffffffffffffffffffffffff9">
    <w:name w:val="报告正文"/>
    <w:basedOn w:val="aff0"/>
    <w:qFormat/>
    <w:pPr>
      <w:adjustRightInd/>
      <w:spacing w:line="460" w:lineRule="exact"/>
      <w:ind w:firstLine="200"/>
      <w:textAlignment w:val="auto"/>
    </w:pPr>
    <w:rPr>
      <w:rFonts w:ascii="Times New Roman"/>
      <w:sz w:val="24"/>
    </w:rPr>
  </w:style>
  <w:style w:type="paragraph" w:customStyle="1" w:styleId="CharCharChar1CharCharCharCharCharCharChar1">
    <w:name w:val="Char Char Char1 Char Char Char Char Char Char Char1"/>
    <w:basedOn w:val="af1"/>
    <w:qFormat/>
    <w:pPr>
      <w:spacing w:line="360" w:lineRule="auto"/>
    </w:pPr>
    <w:rPr>
      <w:rFonts w:ascii="Calibri" w:hAnsi="Calibri" w:cs="Times New Roman" w:hint="eastAsia"/>
      <w:sz w:val="24"/>
      <w:szCs w:val="20"/>
    </w:rPr>
  </w:style>
  <w:style w:type="paragraph" w:customStyle="1" w:styleId="1ffffff">
    <w:name w:val="列出段落1"/>
    <w:basedOn w:val="af1"/>
    <w:qFormat/>
    <w:pPr>
      <w:ind w:firstLineChars="200" w:firstLine="420"/>
    </w:pPr>
    <w:rPr>
      <w:rFonts w:ascii="Calibri" w:hAnsi="Calibri" w:cs="Times New Roman"/>
      <w:szCs w:val="24"/>
    </w:rPr>
  </w:style>
  <w:style w:type="paragraph" w:customStyle="1" w:styleId="2fffff4">
    <w:name w:val="报告2"/>
    <w:basedOn w:val="afffffffff8"/>
    <w:qFormat/>
    <w:pPr>
      <w:widowControl/>
      <w:tabs>
        <w:tab w:val="left" w:pos="895"/>
      </w:tabs>
      <w:ind w:left="895" w:hanging="390"/>
    </w:pPr>
    <w:rPr>
      <w:rFonts w:ascii="Arial Unicode MS" w:hAnsi="Arial Unicode MS" w:cs="仿宋_GB2312"/>
      <w:szCs w:val="21"/>
    </w:rPr>
  </w:style>
  <w:style w:type="paragraph" w:customStyle="1" w:styleId="2150">
    <w:name w:val="样式 首行缩进:  2 字符 行距: 1.5 倍行距"/>
    <w:basedOn w:val="af1"/>
    <w:qFormat/>
    <w:pPr>
      <w:adjustRightInd w:val="0"/>
      <w:snapToGrid w:val="0"/>
      <w:spacing w:line="360" w:lineRule="auto"/>
      <w:ind w:firstLineChars="200" w:firstLine="592"/>
    </w:pPr>
    <w:rPr>
      <w:rFonts w:ascii="Calibri" w:hAnsi="Calibri" w:cs="宋体"/>
      <w:sz w:val="28"/>
      <w:szCs w:val="28"/>
    </w:rPr>
  </w:style>
  <w:style w:type="paragraph" w:customStyle="1" w:styleId="afffffffffffffffffffffffffa">
    <w:name w:val="小黑标"/>
    <w:basedOn w:val="af1"/>
    <w:qFormat/>
    <w:pPr>
      <w:spacing w:before="50" w:line="360" w:lineRule="auto"/>
      <w:jc w:val="left"/>
    </w:pPr>
    <w:rPr>
      <w:rFonts w:ascii="黑体" w:eastAsia="黑体" w:hAnsi="Calibri" w:cs="Times New Roman"/>
      <w:b/>
      <w:sz w:val="24"/>
      <w:szCs w:val="20"/>
    </w:rPr>
  </w:style>
  <w:style w:type="paragraph" w:customStyle="1" w:styleId="515">
    <w:name w:val="样式 标题 5 + 行距: 1.5 倍行距"/>
    <w:basedOn w:val="51"/>
    <w:qFormat/>
    <w:pPr>
      <w:numPr>
        <w:ilvl w:val="0"/>
        <w:numId w:val="0"/>
      </w:numPr>
      <w:tabs>
        <w:tab w:val="clear" w:pos="1008"/>
        <w:tab w:val="left" w:pos="1800"/>
      </w:tabs>
      <w:adjustRightInd w:val="0"/>
      <w:spacing w:before="0" w:after="0" w:line="360" w:lineRule="auto"/>
      <w:textAlignment w:val="baseline"/>
    </w:pPr>
    <w:rPr>
      <w:bCs w:val="0"/>
      <w:kern w:val="0"/>
      <w:sz w:val="24"/>
      <w:szCs w:val="20"/>
    </w:rPr>
  </w:style>
  <w:style w:type="paragraph" w:customStyle="1" w:styleId="2fffff5">
    <w:name w:val="正文缩进 2字符"/>
    <w:basedOn w:val="af1"/>
    <w:qFormat/>
    <w:pPr>
      <w:widowControl/>
      <w:tabs>
        <w:tab w:val="left" w:pos="2160"/>
      </w:tabs>
      <w:snapToGrid w:val="0"/>
      <w:spacing w:before="120" w:after="120"/>
      <w:ind w:firstLineChars="200" w:firstLine="480"/>
      <w:jc w:val="left"/>
    </w:pPr>
    <w:rPr>
      <w:rFonts w:ascii="仿宋_GB2312" w:eastAsia="Times New Roman" w:hAnsi="仿宋_GB2312" w:cs="仿宋_GB2312"/>
      <w:color w:val="000000"/>
      <w:szCs w:val="21"/>
    </w:rPr>
  </w:style>
  <w:style w:type="paragraph" w:customStyle="1" w:styleId="album-div">
    <w:name w:val="album-div"/>
    <w:basedOn w:val="af1"/>
    <w:qFormat/>
    <w:pPr>
      <w:widowControl/>
      <w:spacing w:before="100" w:beforeAutospacing="1" w:after="100" w:afterAutospacing="1"/>
      <w:jc w:val="left"/>
    </w:pPr>
    <w:rPr>
      <w:rFonts w:ascii="宋体" w:hAnsi="宋体" w:cs="宋体"/>
      <w:kern w:val="0"/>
      <w:sz w:val="24"/>
      <w:szCs w:val="24"/>
    </w:rPr>
  </w:style>
  <w:style w:type="paragraph" w:customStyle="1" w:styleId="3050510">
    <w:name w:val="样式 标题 3 + 段前: 0.5 行 段后: 0.5 行1"/>
    <w:basedOn w:val="31"/>
    <w:qFormat/>
    <w:pPr>
      <w:spacing w:before="0" w:after="0" w:line="440" w:lineRule="exact"/>
    </w:pPr>
    <w:rPr>
      <w:rFonts w:eastAsia="华文中宋" w:cs="宋体"/>
      <w:sz w:val="28"/>
      <w:szCs w:val="20"/>
    </w:rPr>
  </w:style>
  <w:style w:type="paragraph" w:customStyle="1" w:styleId="5f2">
    <w:name w:val="表5"/>
    <w:basedOn w:val="afffffc"/>
    <w:qFormat/>
    <w:pPr>
      <w:snapToGrid w:val="0"/>
      <w:jc w:val="left"/>
    </w:pPr>
    <w:rPr>
      <w:rFonts w:ascii="宋体" w:eastAsia="宋体" w:hAnsi="宋体" w:cs="Times New Roman" w:hint="eastAsia"/>
      <w:szCs w:val="20"/>
    </w:rPr>
  </w:style>
  <w:style w:type="paragraph" w:customStyle="1" w:styleId="1ffffff0">
    <w:name w:val="报告书标题1"/>
    <w:basedOn w:val="af1"/>
    <w:next w:val="af1"/>
    <w:qFormat/>
    <w:pPr>
      <w:tabs>
        <w:tab w:val="left" w:pos="645"/>
      </w:tabs>
      <w:spacing w:beforeLines="50" w:line="360" w:lineRule="auto"/>
      <w:ind w:left="645" w:hanging="645"/>
      <w:jc w:val="center"/>
    </w:pPr>
    <w:rPr>
      <w:rFonts w:ascii="Calibri" w:eastAsia="华文新魏" w:hAnsi="Calibri" w:cs="Times New Roman"/>
      <w:b/>
      <w:sz w:val="32"/>
      <w:szCs w:val="32"/>
    </w:rPr>
  </w:style>
  <w:style w:type="paragraph" w:customStyle="1" w:styleId="511">
    <w:name w:val="标题 51"/>
    <w:basedOn w:val="af1"/>
    <w:qFormat/>
    <w:pPr>
      <w:autoSpaceDE w:val="0"/>
      <w:autoSpaceDN w:val="0"/>
      <w:adjustRightInd w:val="0"/>
      <w:spacing w:before="26"/>
      <w:jc w:val="left"/>
      <w:outlineLvl w:val="4"/>
    </w:pPr>
    <w:rPr>
      <w:rFonts w:ascii="宋体" w:hAnsi="Calibri" w:cs="宋体"/>
      <w:b/>
      <w:bCs/>
      <w:kern w:val="0"/>
      <w:sz w:val="24"/>
      <w:szCs w:val="24"/>
    </w:rPr>
  </w:style>
  <w:style w:type="paragraph" w:customStyle="1" w:styleId="Char130">
    <w:name w:val="Char13"/>
    <w:basedOn w:val="af1"/>
    <w:qFormat/>
    <w:pPr>
      <w:spacing w:line="360" w:lineRule="auto"/>
      <w:ind w:firstLineChars="200" w:firstLine="200"/>
    </w:pPr>
    <w:rPr>
      <w:rFonts w:ascii="宋体" w:hAnsi="宋体" w:cs="宋体"/>
      <w:sz w:val="24"/>
      <w:szCs w:val="24"/>
    </w:rPr>
  </w:style>
  <w:style w:type="paragraph" w:customStyle="1" w:styleId="afffffffffffffffffffffffffb">
    <w:name w:val="简单回函地址"/>
    <w:basedOn w:val="af1"/>
    <w:qFormat/>
    <w:rPr>
      <w:rFonts w:ascii="Calibri" w:hAnsi="Calibri" w:cs="Times New Roman"/>
      <w:szCs w:val="20"/>
    </w:rPr>
  </w:style>
  <w:style w:type="paragraph" w:customStyle="1" w:styleId="afffffffffffffffffffffffffc">
    <w:name w:val="湛江钢铁表标题"/>
    <w:basedOn w:val="af1"/>
    <w:qFormat/>
    <w:pPr>
      <w:widowControl/>
      <w:spacing w:beforeLines="50" w:line="360" w:lineRule="auto"/>
      <w:ind w:firstLineChars="200" w:firstLine="480"/>
      <w:jc w:val="center"/>
    </w:pPr>
    <w:rPr>
      <w:rFonts w:ascii="仿宋_GB2312" w:eastAsia="Times New Roman" w:hAnsi="仿宋_GB2312" w:cs="仿宋_GB2312"/>
      <w:color w:val="000000"/>
      <w:kern w:val="0"/>
      <w:sz w:val="24"/>
      <w:szCs w:val="24"/>
    </w:rPr>
  </w:style>
  <w:style w:type="paragraph" w:customStyle="1" w:styleId="11a">
    <w:name w:val="11"/>
    <w:basedOn w:val="af1"/>
    <w:next w:val="aff0"/>
    <w:qFormat/>
    <w:pPr>
      <w:spacing w:line="440" w:lineRule="exact"/>
      <w:ind w:firstLineChars="200" w:firstLine="420"/>
    </w:pPr>
    <w:rPr>
      <w:rFonts w:ascii="Calibri" w:hAnsi="Calibri" w:cs="Times New Roman"/>
      <w:sz w:val="24"/>
      <w:szCs w:val="21"/>
    </w:rPr>
  </w:style>
  <w:style w:type="paragraph" w:customStyle="1" w:styleId="afffffffffffffffffffffffffd">
    <w:name w:val="公司名"/>
    <w:basedOn w:val="af1"/>
    <w:qFormat/>
    <w:pPr>
      <w:keepNext/>
      <w:keepLines/>
      <w:widowControl/>
      <w:spacing w:beforeLines="50" w:afterLines="50" w:line="320" w:lineRule="atLeast"/>
      <w:jc w:val="center"/>
    </w:pPr>
    <w:rPr>
      <w:rFonts w:ascii="Courier New" w:eastAsia="经典叠圆体简" w:hAnsi="Courier New" w:cs="仿宋_GB2312"/>
      <w:b/>
      <w:bCs/>
      <w:color w:val="CCFFCC"/>
      <w:kern w:val="28"/>
      <w:sz w:val="32"/>
      <w:szCs w:val="20"/>
      <w:lang w:bidi="he-IL"/>
    </w:rPr>
  </w:style>
  <w:style w:type="paragraph" w:customStyle="1" w:styleId="afffffffffffffffffffffffffe">
    <w:name w:val="七级标题"/>
    <w:qFormat/>
    <w:pPr>
      <w:adjustRightInd w:val="0"/>
      <w:snapToGrid w:val="0"/>
      <w:spacing w:before="60"/>
      <w:jc w:val="center"/>
    </w:pPr>
    <w:rPr>
      <w:rFonts w:ascii="黑体" w:eastAsia="黑体" w:hAnsi="Calibri" w:cs="Times New Roman"/>
      <w:snapToGrid w:val="0"/>
    </w:rPr>
  </w:style>
  <w:style w:type="paragraph" w:customStyle="1" w:styleId="affffffffffffffffffffffffff">
    <w:name w:val="六级标题"/>
    <w:qFormat/>
    <w:pPr>
      <w:adjustRightInd w:val="0"/>
      <w:snapToGrid w:val="0"/>
      <w:spacing w:before="120" w:after="60"/>
      <w:ind w:firstLine="510"/>
      <w:jc w:val="both"/>
    </w:pPr>
    <w:rPr>
      <w:rFonts w:ascii="黑体" w:eastAsia="黑体" w:hAnsi="Calibri" w:cs="Times New Roman"/>
      <w:snapToGrid w:val="0"/>
      <w:sz w:val="24"/>
    </w:rPr>
  </w:style>
  <w:style w:type="paragraph" w:customStyle="1" w:styleId="1ffffff1">
    <w:name w:val="题注1"/>
    <w:basedOn w:val="af1"/>
    <w:next w:val="af1"/>
    <w:qFormat/>
    <w:pPr>
      <w:jc w:val="center"/>
    </w:pPr>
    <w:rPr>
      <w:rFonts w:ascii="Calibri" w:eastAsia="黑体" w:hAnsi="Calibri" w:cs="Times New Roman"/>
      <w:sz w:val="24"/>
      <w:szCs w:val="20"/>
    </w:rPr>
  </w:style>
  <w:style w:type="paragraph" w:customStyle="1" w:styleId="a3">
    <w:name w:val="项"/>
    <w:basedOn w:val="affe"/>
    <w:qFormat/>
    <w:pPr>
      <w:keepNext/>
      <w:numPr>
        <w:ilvl w:val="3"/>
        <w:numId w:val="1"/>
      </w:numPr>
      <w:tabs>
        <w:tab w:val="left" w:pos="2520"/>
      </w:tabs>
      <w:adjustRightInd w:val="0"/>
      <w:snapToGrid w:val="0"/>
      <w:spacing w:beforeLines="100" w:before="312" w:afterLines="100" w:after="312"/>
      <w:ind w:left="1800" w:firstLine="0"/>
      <w:outlineLvl w:val="1"/>
    </w:pPr>
    <w:rPr>
      <w:rFonts w:ascii="宋体" w:eastAsia="宋体" w:hAnsi="宋体" w:cs="Times New Roman"/>
      <w:b/>
      <w:bCs/>
      <w:sz w:val="28"/>
    </w:rPr>
  </w:style>
  <w:style w:type="paragraph" w:customStyle="1" w:styleId="11b">
    <w:name w:val="标题11"/>
    <w:basedOn w:val="af1"/>
    <w:qFormat/>
    <w:pPr>
      <w:tabs>
        <w:tab w:val="left" w:pos="720"/>
      </w:tabs>
      <w:adjustRightInd w:val="0"/>
      <w:snapToGrid w:val="0"/>
      <w:spacing w:line="360" w:lineRule="auto"/>
      <w:ind w:left="567" w:hanging="567"/>
    </w:pPr>
    <w:rPr>
      <w:rFonts w:ascii="Calibri" w:hAnsi="Calibri" w:cs="Times New Roman"/>
      <w:sz w:val="28"/>
      <w:szCs w:val="20"/>
    </w:rPr>
  </w:style>
  <w:style w:type="paragraph" w:customStyle="1" w:styleId="affffffffffffffffffffffffff0">
    <w:name w:val="（一）"/>
    <w:basedOn w:val="47"/>
    <w:qFormat/>
    <w:pPr>
      <w:snapToGrid w:val="0"/>
      <w:spacing w:beforeLines="50" w:line="400" w:lineRule="exact"/>
      <w:outlineLvl w:val="3"/>
    </w:pPr>
    <w:rPr>
      <w:rFonts w:ascii="仿宋_GB2312" w:eastAsia="仿宋_GB2312"/>
      <w:sz w:val="21"/>
    </w:rPr>
  </w:style>
  <w:style w:type="paragraph" w:customStyle="1" w:styleId="affffffffffffffffffffffffff1">
    <w:name w:val="应填表格"/>
    <w:basedOn w:val="afffffffffffffffffffffffff2"/>
    <w:qFormat/>
    <w:pPr>
      <w:jc w:val="left"/>
    </w:pPr>
    <w:rPr>
      <w:rFonts w:ascii="Times New Roman" w:hAnsi="Times New Roman" w:cs="Times New Roman"/>
    </w:rPr>
  </w:style>
  <w:style w:type="paragraph" w:customStyle="1" w:styleId="CharCharCharCharCharChar3CharCharChar1">
    <w:name w:val="Char Char Char Char Char Char3 Char Char Char1"/>
    <w:basedOn w:val="af1"/>
    <w:qFormat/>
    <w:pPr>
      <w:spacing w:line="360" w:lineRule="auto"/>
      <w:ind w:firstLineChars="200" w:firstLine="200"/>
    </w:pPr>
    <w:rPr>
      <w:rFonts w:ascii="宋体" w:hAnsi="宋体" w:cs="Times New Roman" w:hint="eastAsia"/>
      <w:sz w:val="24"/>
      <w:szCs w:val="20"/>
    </w:rPr>
  </w:style>
  <w:style w:type="paragraph" w:customStyle="1" w:styleId="affffffffffffffffffffffffff2">
    <w:name w:val="楷体样式 正文文本"/>
    <w:basedOn w:val="af1"/>
    <w:qFormat/>
    <w:pPr>
      <w:snapToGrid w:val="0"/>
      <w:spacing w:line="360" w:lineRule="auto"/>
      <w:ind w:firstLineChars="200" w:firstLine="560"/>
    </w:pPr>
    <w:rPr>
      <w:rFonts w:ascii="Calibri" w:eastAsia="楷体_GB2312" w:hAnsi="Calibri" w:cs="Times New Roman"/>
      <w:sz w:val="28"/>
      <w:szCs w:val="24"/>
    </w:rPr>
  </w:style>
  <w:style w:type="paragraph" w:customStyle="1" w:styleId="affffffffffffffffffffffffff3">
    <w:name w:val="五级无标题条"/>
    <w:basedOn w:val="af1"/>
    <w:qFormat/>
    <w:pPr>
      <w:widowControl/>
      <w:jc w:val="left"/>
    </w:pPr>
    <w:rPr>
      <w:rFonts w:ascii="Calibri" w:hAnsi="Calibri" w:cs="Times New Roman"/>
      <w:szCs w:val="20"/>
    </w:rPr>
  </w:style>
  <w:style w:type="paragraph" w:customStyle="1" w:styleId="xl67">
    <w:name w:val="xl67"/>
    <w:basedOn w:val="af1"/>
    <w:qFormat/>
    <w:pPr>
      <w:widowControl/>
      <w:pBdr>
        <w:bottom w:val="single" w:sz="8" w:space="0" w:color="auto"/>
        <w:right w:val="single" w:sz="4" w:space="0" w:color="auto"/>
      </w:pBdr>
      <w:spacing w:before="100" w:beforeAutospacing="1" w:after="100" w:afterAutospacing="1"/>
      <w:textAlignment w:val="top"/>
    </w:pPr>
    <w:rPr>
      <w:rFonts w:ascii="Arial Unicode MS" w:eastAsia="Arial Unicode MS" w:hAnsi="Arial Unicode MS" w:cs="Arial Unicode MS"/>
      <w:kern w:val="0"/>
      <w:sz w:val="18"/>
      <w:szCs w:val="18"/>
    </w:rPr>
  </w:style>
  <w:style w:type="paragraph" w:customStyle="1" w:styleId="affffffffffffffffffffffffff4">
    <w:name w:val="图表"/>
    <w:basedOn w:val="affe"/>
    <w:next w:val="affe"/>
    <w:qFormat/>
    <w:pPr>
      <w:widowControl/>
      <w:tabs>
        <w:tab w:val="left" w:pos="360"/>
      </w:tabs>
      <w:adjustRightInd w:val="0"/>
      <w:snapToGrid w:val="0"/>
      <w:spacing w:before="60" w:after="60" w:line="264" w:lineRule="auto"/>
      <w:jc w:val="left"/>
      <w:textAlignment w:val="baseline"/>
    </w:pPr>
    <w:rPr>
      <w:rFonts w:ascii="仿宋_GB2312" w:eastAsia="Times New Roman" w:hAnsi="仿宋_GB2312" w:cs="仿宋_GB2312"/>
      <w:kern w:val="0"/>
      <w:sz w:val="24"/>
    </w:rPr>
  </w:style>
  <w:style w:type="paragraph" w:customStyle="1" w:styleId="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w:basedOn w:val="af1"/>
    <w:qFormat/>
    <w:pPr>
      <w:spacing w:line="360" w:lineRule="auto"/>
      <w:ind w:firstLineChars="200" w:firstLine="200"/>
    </w:pPr>
    <w:rPr>
      <w:rFonts w:ascii="宋体" w:hAnsi="宋体" w:cs="Times New Roman"/>
      <w:sz w:val="24"/>
      <w:szCs w:val="20"/>
    </w:rPr>
  </w:style>
  <w:style w:type="paragraph" w:customStyle="1" w:styleId="Char4CharCharCharCharCharCharCharCharCharCharCharCharCharCharCharCharChar1Char">
    <w:name w:val="Char4 Char Char Char Char Char Char Char Char Char Char Char Char Char Char Char Char Char1 Char"/>
    <w:basedOn w:val="af1"/>
    <w:qFormat/>
    <w:pPr>
      <w:widowControl/>
      <w:spacing w:line="240" w:lineRule="exact"/>
      <w:ind w:firstLineChars="200" w:firstLine="200"/>
      <w:jc w:val="left"/>
    </w:pPr>
    <w:rPr>
      <w:rFonts w:ascii="仿宋_GB2312" w:hAnsi="仿宋_GB2312" w:cs="仿宋_GB2312"/>
      <w:sz w:val="28"/>
      <w:szCs w:val="28"/>
    </w:rPr>
  </w:style>
  <w:style w:type="paragraph" w:customStyle="1" w:styleId="D0">
    <w:name w:val="样式 德胜正文 + ?? ??Dˎ̥ Ê×ÐÐËõ½ø:"/>
    <w:basedOn w:val="afffffff3"/>
    <w:qFormat/>
    <w:pPr>
      <w:ind w:firstLine="480"/>
    </w:pPr>
  </w:style>
  <w:style w:type="paragraph" w:customStyle="1" w:styleId="s0">
    <w:name w:val="s0"/>
    <w:qFormat/>
    <w:pPr>
      <w:widowControl w:val="0"/>
      <w:autoSpaceDE w:val="0"/>
      <w:autoSpaceDN w:val="0"/>
      <w:adjustRightInd w:val="0"/>
    </w:pPr>
    <w:rPr>
      <w:rFonts w:ascii="汉鼎简书宋" w:eastAsia="汉鼎简书宋" w:hAnsi="仿宋_GB2312" w:cs="仿宋_GB2312"/>
    </w:rPr>
  </w:style>
  <w:style w:type="paragraph" w:customStyle="1" w:styleId="affffffffffffffffffffffffff5">
    <w:name w:val="样式 居中"/>
    <w:basedOn w:val="af1"/>
    <w:qFormat/>
    <w:pPr>
      <w:jc w:val="center"/>
    </w:pPr>
    <w:rPr>
      <w:rFonts w:ascii="Calibri" w:hAnsi="Calibri" w:cs="宋体"/>
      <w:szCs w:val="21"/>
    </w:rPr>
  </w:style>
  <w:style w:type="paragraph" w:customStyle="1" w:styleId="CharCharCharCharCharCharChar6">
    <w:name w:val="样式 正文缩进正文（首行缩进两字）正文（首行缩进两字） Char Char Char Char Char Char Char..."/>
    <w:basedOn w:val="aff0"/>
    <w:qFormat/>
    <w:pPr>
      <w:widowControl/>
      <w:tabs>
        <w:tab w:val="left" w:pos="3360"/>
      </w:tabs>
      <w:snapToGrid w:val="0"/>
      <w:spacing w:line="360" w:lineRule="auto"/>
      <w:ind w:firstLine="480"/>
      <w:jc w:val="left"/>
    </w:pPr>
    <w:rPr>
      <w:rFonts w:ascii="经典叠圆体简" w:eastAsia="经典叠圆体简" w:hAnsi="仿宋_GB2312" w:cs="仿宋_GB2312"/>
      <w:kern w:val="0"/>
      <w:sz w:val="24"/>
      <w:szCs w:val="24"/>
    </w:rPr>
  </w:style>
  <w:style w:type="paragraph" w:customStyle="1" w:styleId="GB2312150">
    <w:name w:val="样式 仿宋_GB2312 四号 左 行距: 1.5 倍行距"/>
    <w:basedOn w:val="af1"/>
    <w:qFormat/>
    <w:pPr>
      <w:spacing w:line="360" w:lineRule="auto"/>
      <w:ind w:firstLineChars="200" w:firstLine="200"/>
      <w:jc w:val="left"/>
    </w:pPr>
    <w:rPr>
      <w:rFonts w:ascii="仿宋_GB2312" w:hAnsi="Calibri" w:cs="Times New Roman"/>
      <w:sz w:val="24"/>
      <w:szCs w:val="20"/>
    </w:rPr>
  </w:style>
  <w:style w:type="paragraph" w:customStyle="1" w:styleId="NewNewNewNewNew">
    <w:name w:val="正文 New New New New New"/>
    <w:qFormat/>
    <w:pPr>
      <w:widowControl w:val="0"/>
      <w:jc w:val="both"/>
    </w:pPr>
    <w:rPr>
      <w:rFonts w:ascii="Calibri" w:eastAsia="宋体" w:hAnsi="Calibri" w:cs="Times New Roman"/>
      <w:kern w:val="2"/>
      <w:sz w:val="21"/>
      <w:szCs w:val="24"/>
    </w:rPr>
  </w:style>
  <w:style w:type="paragraph" w:customStyle="1" w:styleId="5Q">
    <w:name w:val="列表 5Q"/>
    <w:basedOn w:val="55"/>
    <w:qFormat/>
    <w:pPr>
      <w:tabs>
        <w:tab w:val="left" w:pos="1134"/>
      </w:tabs>
      <w:adjustRightInd/>
      <w:spacing w:beforeLines="0" w:line="240" w:lineRule="auto"/>
      <w:ind w:left="1134" w:hanging="425"/>
      <w:jc w:val="left"/>
      <w:textAlignment w:val="auto"/>
    </w:pPr>
    <w:rPr>
      <w:rFonts w:ascii="Courier New" w:hAnsi="Courier New" w:cs="仿宋_GB2312"/>
      <w:color w:val="99CCFF"/>
      <w:kern w:val="2"/>
    </w:rPr>
  </w:style>
  <w:style w:type="paragraph" w:customStyle="1" w:styleId="xl73">
    <w:name w:val="xl73"/>
    <w:basedOn w:val="af1"/>
    <w:qFormat/>
    <w:pPr>
      <w:widowControl/>
      <w:pBdr>
        <w:left w:val="single" w:sz="8" w:space="0" w:color="auto"/>
        <w:right w:val="single" w:sz="8" w:space="0" w:color="auto"/>
      </w:pBdr>
      <w:spacing w:before="100" w:beforeAutospacing="1" w:after="100" w:afterAutospacing="1"/>
      <w:jc w:val="center"/>
    </w:pPr>
    <w:rPr>
      <w:rFonts w:ascii="宋体" w:hAnsi="宋体" w:cs="宋体"/>
      <w:kern w:val="0"/>
      <w:sz w:val="18"/>
      <w:szCs w:val="18"/>
    </w:rPr>
  </w:style>
  <w:style w:type="paragraph" w:customStyle="1" w:styleId="affffffffffffffffffffffffff6">
    <w:name w:val="四级无标题条"/>
    <w:basedOn w:val="af1"/>
    <w:qFormat/>
    <w:pPr>
      <w:widowControl/>
      <w:jc w:val="left"/>
    </w:pPr>
    <w:rPr>
      <w:rFonts w:ascii="Calibri" w:hAnsi="Calibri" w:cs="Times New Roman"/>
      <w:szCs w:val="20"/>
    </w:rPr>
  </w:style>
  <w:style w:type="paragraph" w:customStyle="1" w:styleId="affffffffffffffffffffffffff7">
    <w:name w:val="项目点符号"/>
    <w:basedOn w:val="af1"/>
    <w:qFormat/>
    <w:pPr>
      <w:widowControl/>
      <w:spacing w:line="360" w:lineRule="auto"/>
      <w:ind w:firstLineChars="214" w:firstLine="539"/>
      <w:jc w:val="left"/>
    </w:pPr>
    <w:rPr>
      <w:rFonts w:ascii="Calibri" w:hAnsi="Calibri" w:cs="Times New Roman"/>
      <w:color w:val="000000"/>
      <w:spacing w:val="6"/>
      <w:sz w:val="24"/>
      <w:szCs w:val="24"/>
    </w:rPr>
  </w:style>
  <w:style w:type="paragraph" w:customStyle="1" w:styleId="5f3">
    <w:name w:val="5"/>
    <w:basedOn w:val="af1"/>
    <w:qFormat/>
    <w:pPr>
      <w:adjustRightInd w:val="0"/>
      <w:spacing w:line="360" w:lineRule="atLeast"/>
    </w:pPr>
    <w:rPr>
      <w:rFonts w:ascii="Tahoma" w:hAnsi="Tahoma" w:cs="Times New Roman"/>
      <w:sz w:val="24"/>
      <w:szCs w:val="20"/>
    </w:rPr>
  </w:style>
  <w:style w:type="paragraph" w:customStyle="1" w:styleId="affffffffffffffffffffffffff8">
    <w:name w:val="二级无标题条"/>
    <w:basedOn w:val="af1"/>
    <w:qFormat/>
    <w:rPr>
      <w:rFonts w:ascii="Calibri" w:hAnsi="Calibri" w:cs="Times New Roman"/>
      <w:szCs w:val="24"/>
    </w:rPr>
  </w:style>
  <w:style w:type="paragraph" w:customStyle="1" w:styleId="affffffffffffffffffffffffff9">
    <w:name w:val="样式 三号 左"/>
    <w:basedOn w:val="af1"/>
    <w:qFormat/>
    <w:pPr>
      <w:spacing w:line="360" w:lineRule="auto"/>
      <w:jc w:val="left"/>
    </w:pPr>
    <w:rPr>
      <w:rFonts w:cs="宋体"/>
      <w:b/>
      <w:sz w:val="32"/>
      <w:szCs w:val="20"/>
    </w:rPr>
  </w:style>
  <w:style w:type="paragraph" w:customStyle="1" w:styleId="affffffffffffffffffffffffffa">
    <w:name w:val="第四章 图件标题"/>
    <w:basedOn w:val="-xin0"/>
    <w:next w:val="af1"/>
    <w:qFormat/>
    <w:pPr>
      <w:tabs>
        <w:tab w:val="left" w:pos="851"/>
      </w:tabs>
      <w:adjustRightInd w:val="0"/>
      <w:spacing w:line="360" w:lineRule="auto"/>
    </w:pPr>
    <w:rPr>
      <w:rFonts w:ascii="Times New Roman" w:hAnsi="Times New Roman"/>
      <w:sz w:val="24"/>
    </w:rPr>
  </w:style>
  <w:style w:type="paragraph" w:customStyle="1" w:styleId="affffffffffffffffffffffffffb">
    <w:name w:val="报告书的正文格式"/>
    <w:basedOn w:val="affffa"/>
    <w:qFormat/>
    <w:pPr>
      <w:spacing w:after="0" w:line="480" w:lineRule="exact"/>
      <w:ind w:firstLineChars="200" w:firstLine="200"/>
      <w:jc w:val="left"/>
    </w:pPr>
    <w:rPr>
      <w:kern w:val="0"/>
      <w:sz w:val="24"/>
    </w:rPr>
  </w:style>
  <w:style w:type="paragraph" w:customStyle="1" w:styleId="158">
    <w:name w:val="样式 小四 加粗 行距: 1.5 倍行距"/>
    <w:basedOn w:val="af1"/>
    <w:qFormat/>
    <w:pPr>
      <w:widowControl/>
      <w:spacing w:line="360" w:lineRule="auto"/>
      <w:jc w:val="left"/>
    </w:pPr>
    <w:rPr>
      <w:rFonts w:ascii="仿宋_GB2312" w:hAnsi="仿宋_GB2312" w:cs="Verdana"/>
      <w:b/>
      <w:bCs/>
      <w:sz w:val="24"/>
      <w:szCs w:val="20"/>
    </w:rPr>
  </w:style>
  <w:style w:type="paragraph" w:customStyle="1" w:styleId="2fffff6">
    <w:name w:val="日期2"/>
    <w:basedOn w:val="af1"/>
    <w:next w:val="af1"/>
    <w:qFormat/>
    <w:pPr>
      <w:adjustRightInd w:val="0"/>
      <w:spacing w:line="312" w:lineRule="atLeast"/>
    </w:pPr>
    <w:rPr>
      <w:rFonts w:ascii="Calibri" w:eastAsia="楷体_GB2312" w:hAnsi="Calibri" w:cs="Times New Roman"/>
      <w:kern w:val="0"/>
      <w:sz w:val="28"/>
      <w:szCs w:val="20"/>
    </w:rPr>
  </w:style>
  <w:style w:type="paragraph" w:customStyle="1" w:styleId="711">
    <w:name w:val="标题 71"/>
    <w:basedOn w:val="af1"/>
    <w:next w:val="af1"/>
    <w:qFormat/>
    <w:pPr>
      <w:keepNext/>
      <w:keepLines/>
      <w:tabs>
        <w:tab w:val="left" w:pos="1296"/>
      </w:tabs>
      <w:snapToGrid w:val="0"/>
      <w:spacing w:before="240" w:after="64" w:line="316" w:lineRule="auto"/>
      <w:ind w:left="1296" w:hanging="1296"/>
      <w:outlineLvl w:val="6"/>
    </w:pPr>
    <w:rPr>
      <w:rFonts w:ascii="Calibri" w:hAnsi="Calibri" w:cs="Times New Roman"/>
      <w:b/>
      <w:sz w:val="24"/>
      <w:szCs w:val="20"/>
    </w:rPr>
  </w:style>
  <w:style w:type="paragraph" w:customStyle="1" w:styleId="0007">
    <w:name w:val="0007小四 居中"/>
    <w:basedOn w:val="af1"/>
    <w:qFormat/>
    <w:pPr>
      <w:widowControl/>
      <w:autoSpaceDE w:val="0"/>
      <w:autoSpaceDN w:val="0"/>
      <w:adjustRightInd w:val="0"/>
      <w:spacing w:line="500" w:lineRule="exact"/>
      <w:jc w:val="center"/>
    </w:pPr>
    <w:rPr>
      <w:rFonts w:ascii="宋体" w:hAnsi="宋体" w:cs="Times New Roman"/>
      <w:sz w:val="24"/>
      <w:szCs w:val="24"/>
    </w:rPr>
  </w:style>
  <w:style w:type="paragraph" w:customStyle="1" w:styleId="1ffffff2">
    <w:name w:val="一级标题1"/>
    <w:basedOn w:val="a7"/>
    <w:next w:val="22"/>
    <w:qFormat/>
    <w:pPr>
      <w:keepNext/>
      <w:keepLines/>
      <w:widowControl/>
      <w:numPr>
        <w:ilvl w:val="255"/>
        <w:numId w:val="0"/>
      </w:numPr>
      <w:adjustRightInd w:val="0"/>
      <w:snapToGrid w:val="0"/>
      <w:spacing w:line="240" w:lineRule="auto"/>
      <w:ind w:leftChars="100" w:left="210" w:rightChars="100" w:right="210"/>
      <w:jc w:val="left"/>
    </w:pPr>
    <w:rPr>
      <w:rFonts w:asciiTheme="minorHAnsi" w:eastAsia="宋体" w:hAnsiTheme="minorHAnsi"/>
      <w:b/>
      <w:color w:val="0000FF"/>
      <w:kern w:val="44"/>
      <w:sz w:val="28"/>
      <w:szCs w:val="20"/>
    </w:rPr>
  </w:style>
  <w:style w:type="paragraph" w:customStyle="1" w:styleId="2C0">
    <w:name w:val="列表 2C"/>
    <w:basedOn w:val="25"/>
    <w:qFormat/>
    <w:pPr>
      <w:widowControl/>
      <w:tabs>
        <w:tab w:val="left" w:pos="1275"/>
      </w:tabs>
      <w:spacing w:beforeAutospacing="1" w:after="100" w:afterAutospacing="1" w:line="288" w:lineRule="auto"/>
      <w:ind w:leftChars="0" w:left="1275" w:firstLineChars="0" w:hanging="705"/>
      <w:jc w:val="left"/>
    </w:pPr>
    <w:rPr>
      <w:rFonts w:ascii="Courier New" w:eastAsia="宋体" w:hAnsi="Courier New" w:cs="仿宋_GB2312"/>
      <w:color w:val="FFFF99"/>
      <w:kern w:val="2"/>
      <w:sz w:val="24"/>
      <w:szCs w:val="20"/>
    </w:rPr>
  </w:style>
  <w:style w:type="paragraph" w:customStyle="1" w:styleId="Char4CharCharCharCharCharChar12">
    <w:name w:val="Char4 Char Char Char Char Char Char12"/>
    <w:basedOn w:val="af1"/>
    <w:qFormat/>
    <w:pPr>
      <w:spacing w:line="360" w:lineRule="auto"/>
      <w:ind w:firstLineChars="200" w:firstLine="200"/>
    </w:pPr>
    <w:rPr>
      <w:rFonts w:ascii="宋体" w:hAnsi="宋体" w:cs="宋体"/>
      <w:sz w:val="24"/>
      <w:szCs w:val="24"/>
    </w:rPr>
  </w:style>
  <w:style w:type="paragraph" w:customStyle="1" w:styleId="Char1ff0">
    <w:name w:val="报告书正文 Char1"/>
    <w:basedOn w:val="af1"/>
    <w:qFormat/>
    <w:pPr>
      <w:spacing w:line="300" w:lineRule="auto"/>
      <w:ind w:firstLineChars="200" w:firstLine="200"/>
    </w:pPr>
    <w:rPr>
      <w:rFonts w:ascii="Calibri" w:hAnsi="Calibri" w:cs="Times New Roman"/>
      <w:sz w:val="24"/>
      <w:szCs w:val="20"/>
    </w:rPr>
  </w:style>
  <w:style w:type="paragraph" w:customStyle="1" w:styleId="M0">
    <w:name w:val="M"/>
    <w:basedOn w:val="1"/>
    <w:qFormat/>
    <w:pPr>
      <w:keepLines w:val="0"/>
      <w:widowControl/>
      <w:tabs>
        <w:tab w:val="left" w:pos="2260"/>
        <w:tab w:val="left" w:pos="2820"/>
        <w:tab w:val="left" w:pos="3420"/>
      </w:tabs>
      <w:adjustRightInd w:val="0"/>
      <w:snapToGrid w:val="0"/>
      <w:spacing w:before="440" w:line="240" w:lineRule="auto"/>
      <w:ind w:left="851" w:right="-28" w:hanging="851"/>
      <w:jc w:val="left"/>
    </w:pPr>
    <w:rPr>
      <w:rFonts w:ascii="Courier New" w:hAnsi="Courier New" w:cs="仿宋_GB2312"/>
      <w:b w:val="0"/>
      <w:bCs w:val="0"/>
      <w:kern w:val="0"/>
      <w:sz w:val="22"/>
      <w:szCs w:val="20"/>
      <w:lang w:val="en-GB"/>
    </w:rPr>
  </w:style>
  <w:style w:type="paragraph" w:customStyle="1" w:styleId="affffffffffffffffffffffffffc">
    <w:name w:val="攀成钢表格内容"/>
    <w:basedOn w:val="af1"/>
    <w:qFormat/>
    <w:pPr>
      <w:widowControl/>
      <w:adjustRightInd w:val="0"/>
      <w:snapToGrid w:val="0"/>
      <w:jc w:val="center"/>
    </w:pPr>
    <w:rPr>
      <w:rFonts w:ascii="Calibri" w:hAnsi="Calibri" w:cs="Times New Roman"/>
      <w:color w:val="008000"/>
      <w:kern w:val="0"/>
      <w:sz w:val="24"/>
      <w:szCs w:val="20"/>
    </w:rPr>
  </w:style>
  <w:style w:type="paragraph" w:customStyle="1" w:styleId="21d">
    <w:name w:val="样式 首行缩进:  2 字符1"/>
    <w:basedOn w:val="af1"/>
    <w:qFormat/>
    <w:pPr>
      <w:spacing w:line="440" w:lineRule="exact"/>
      <w:ind w:firstLineChars="200" w:firstLine="480"/>
    </w:pPr>
    <w:rPr>
      <w:rFonts w:ascii="Tahoma" w:hAnsi="Tahoma" w:cs="宋体"/>
      <w:sz w:val="24"/>
      <w:szCs w:val="24"/>
    </w:rPr>
  </w:style>
  <w:style w:type="paragraph" w:customStyle="1" w:styleId="446626">
    <w:name w:val="样式 标题 4常用标题 4 + 段前: 6 磅 段后: 6 磅 行距: 固定值 26 磅"/>
    <w:basedOn w:val="41"/>
    <w:qFormat/>
    <w:pPr>
      <w:keepLines/>
      <w:tabs>
        <w:tab w:val="left" w:pos="800"/>
        <w:tab w:val="left" w:pos="1440"/>
      </w:tabs>
      <w:spacing w:before="120" w:after="120" w:line="520" w:lineRule="exact"/>
      <w:jc w:val="left"/>
    </w:pPr>
    <w:rPr>
      <w:rFonts w:ascii="Courier New" w:eastAsia="楷体" w:hAnsi="Courier New" w:cs="Verdana"/>
      <w:b w:val="0"/>
      <w:bCs/>
      <w:kern w:val="2"/>
      <w:sz w:val="28"/>
    </w:rPr>
  </w:style>
  <w:style w:type="paragraph" w:customStyle="1" w:styleId="affffffffffffffffffffffffffd">
    <w:name w:val="抚顺项目章节标题"/>
    <w:basedOn w:val="af1"/>
    <w:qFormat/>
    <w:pPr>
      <w:tabs>
        <w:tab w:val="left" w:pos="567"/>
      </w:tabs>
      <w:adjustRightInd w:val="0"/>
      <w:spacing w:line="360" w:lineRule="auto"/>
    </w:pPr>
    <w:rPr>
      <w:rFonts w:ascii="黑体" w:eastAsia="黑体" w:hAnsi="Calibri" w:cs="Times New Roman"/>
      <w:b/>
      <w:spacing w:val="20"/>
      <w:sz w:val="24"/>
      <w:szCs w:val="20"/>
    </w:rPr>
  </w:style>
  <w:style w:type="paragraph" w:customStyle="1" w:styleId="2fffff7">
    <w:name w:val="封面标准号2"/>
    <w:basedOn w:val="af1"/>
    <w:qFormat/>
    <w:pPr>
      <w:kinsoku w:val="0"/>
      <w:overflowPunct w:val="0"/>
      <w:autoSpaceDE w:val="0"/>
      <w:autoSpaceDN w:val="0"/>
      <w:adjustRightInd w:val="0"/>
      <w:spacing w:before="357" w:line="280" w:lineRule="exact"/>
      <w:jc w:val="right"/>
      <w:textAlignment w:val="center"/>
    </w:pPr>
    <w:rPr>
      <w:rFonts w:ascii="Calibri" w:hAnsi="Calibri" w:cs="Times New Roman"/>
      <w:kern w:val="0"/>
      <w:sz w:val="28"/>
      <w:szCs w:val="20"/>
    </w:rPr>
  </w:style>
  <w:style w:type="paragraph" w:customStyle="1" w:styleId="8--">
    <w:name w:val="8--"/>
    <w:basedOn w:val="af1"/>
    <w:qFormat/>
    <w:pPr>
      <w:widowControl/>
      <w:adjustRightInd w:val="0"/>
      <w:spacing w:line="360" w:lineRule="atLeast"/>
      <w:jc w:val="left"/>
      <w:textAlignment w:val="baseline"/>
    </w:pPr>
    <w:rPr>
      <w:rFonts w:ascii="Calibri" w:hAnsi="Calibri" w:cs="Times New Roman"/>
      <w:kern w:val="0"/>
      <w:sz w:val="24"/>
      <w:szCs w:val="20"/>
    </w:rPr>
  </w:style>
  <w:style w:type="paragraph" w:customStyle="1" w:styleId="xl42">
    <w:name w:val="xl42"/>
    <w:basedOn w:val="af1"/>
    <w:qFormat/>
    <w:pPr>
      <w:widowControl/>
      <w:pBdr>
        <w:bottom w:val="single" w:sz="8" w:space="0" w:color="auto"/>
        <w:right w:val="single" w:sz="4" w:space="0" w:color="auto"/>
      </w:pBdr>
      <w:spacing w:before="100" w:beforeAutospacing="1" w:after="100" w:afterAutospacing="1"/>
      <w:jc w:val="center"/>
    </w:pPr>
    <w:rPr>
      <w:rFonts w:ascii="Calibri" w:eastAsia="Arial Unicode MS" w:hAnsi="Calibri" w:cs="Times New Roman"/>
      <w:kern w:val="0"/>
      <w:sz w:val="18"/>
      <w:szCs w:val="18"/>
    </w:rPr>
  </w:style>
  <w:style w:type="paragraph" w:customStyle="1" w:styleId="11c">
    <w:name w:val="正文11"/>
    <w:qFormat/>
    <w:pPr>
      <w:widowControl w:val="0"/>
      <w:adjustRightInd w:val="0"/>
      <w:spacing w:line="360" w:lineRule="atLeast"/>
      <w:textAlignment w:val="baseline"/>
    </w:pPr>
    <w:rPr>
      <w:rFonts w:ascii="宋体" w:eastAsia="宋体" w:hAnsi="Calibri" w:cs="Times New Roman"/>
      <w:sz w:val="24"/>
    </w:rPr>
  </w:style>
  <w:style w:type="paragraph" w:customStyle="1" w:styleId="font9">
    <w:name w:val="font9"/>
    <w:basedOn w:val="af1"/>
    <w:qFormat/>
    <w:pPr>
      <w:widowControl/>
      <w:spacing w:before="100" w:beforeAutospacing="1" w:after="100" w:afterAutospacing="1"/>
      <w:jc w:val="left"/>
    </w:pPr>
    <w:rPr>
      <w:rFonts w:ascii="Calibri" w:eastAsia="Arial Unicode MS" w:hAnsi="Calibri" w:cs="Times New Roman"/>
      <w:kern w:val="0"/>
      <w:sz w:val="15"/>
      <w:szCs w:val="15"/>
    </w:rPr>
  </w:style>
  <w:style w:type="paragraph" w:customStyle="1" w:styleId="2G">
    <w:name w:val="列表 2G"/>
    <w:basedOn w:val="25"/>
    <w:qFormat/>
    <w:pPr>
      <w:widowControl/>
      <w:tabs>
        <w:tab w:val="left" w:pos="737"/>
      </w:tabs>
      <w:spacing w:beforeAutospacing="1" w:after="100" w:afterAutospacing="1" w:line="288" w:lineRule="auto"/>
      <w:ind w:leftChars="0" w:left="737" w:firstLineChars="0" w:hanging="567"/>
      <w:jc w:val="left"/>
    </w:pPr>
    <w:rPr>
      <w:rFonts w:ascii="Courier New" w:eastAsia="宋体" w:hAnsi="Courier New" w:cs="仿宋_GB2312"/>
      <w:color w:val="FFFF99"/>
      <w:kern w:val="2"/>
      <w:sz w:val="24"/>
      <w:szCs w:val="20"/>
    </w:rPr>
  </w:style>
  <w:style w:type="paragraph" w:customStyle="1" w:styleId="220505">
    <w:name w:val="样式 标题 2 + 首行缩进:  2 字符 段前: 0.5 行 段后: 0.5 行"/>
    <w:basedOn w:val="22"/>
    <w:qFormat/>
    <w:pPr>
      <w:spacing w:beforeLines="50" w:afterLines="50" w:line="240" w:lineRule="auto"/>
    </w:pPr>
    <w:rPr>
      <w:rFonts w:eastAsia="华文中宋" w:cs="宋体"/>
      <w:sz w:val="28"/>
      <w:szCs w:val="20"/>
    </w:rPr>
  </w:style>
  <w:style w:type="paragraph" w:customStyle="1" w:styleId="affffffffffffffffffffffffffe">
    <w:name w:val="小四表文左齐"/>
    <w:basedOn w:val="af1"/>
    <w:qFormat/>
    <w:pPr>
      <w:jc w:val="center"/>
    </w:pPr>
    <w:rPr>
      <w:rFonts w:ascii="宋体" w:hAnsi="Calibri" w:cs="Times New Roman"/>
      <w:spacing w:val="-20"/>
      <w:sz w:val="24"/>
      <w:szCs w:val="24"/>
    </w:rPr>
  </w:style>
  <w:style w:type="paragraph" w:customStyle="1" w:styleId="afffffffffffffffffffffffffff">
    <w:name w:val="封面三号"/>
    <w:basedOn w:val="af1"/>
    <w:qFormat/>
    <w:pPr>
      <w:widowControl/>
      <w:jc w:val="center"/>
    </w:pPr>
    <w:rPr>
      <w:rFonts w:ascii="Verdana" w:hAnsi="Verdana" w:cs="Verdana"/>
      <w:spacing w:val="55"/>
      <w:kern w:val="0"/>
      <w:sz w:val="32"/>
      <w:szCs w:val="32"/>
    </w:rPr>
  </w:style>
  <w:style w:type="paragraph" w:customStyle="1" w:styleId="3ff6">
    <w:name w:val="3"/>
    <w:basedOn w:val="af1"/>
    <w:next w:val="26"/>
    <w:qFormat/>
    <w:pPr>
      <w:spacing w:line="500" w:lineRule="exact"/>
      <w:ind w:firstLineChars="200" w:firstLine="480"/>
    </w:pPr>
    <w:rPr>
      <w:rFonts w:ascii="Calibri" w:hAnsi="Calibri" w:cs="Times New Roman"/>
      <w:sz w:val="24"/>
      <w:szCs w:val="20"/>
    </w:rPr>
  </w:style>
  <w:style w:type="paragraph" w:customStyle="1" w:styleId="CharCharCharCharCharCharChar30">
    <w:name w:val="Char Char Char Char Char Char Char3"/>
    <w:basedOn w:val="af1"/>
    <w:qFormat/>
    <w:pPr>
      <w:spacing w:line="360" w:lineRule="auto"/>
      <w:ind w:firstLineChars="200" w:firstLine="200"/>
    </w:pPr>
    <w:rPr>
      <w:rFonts w:ascii="宋体" w:hAnsi="宋体" w:cs="宋体"/>
      <w:sz w:val="24"/>
      <w:szCs w:val="24"/>
    </w:rPr>
  </w:style>
  <w:style w:type="paragraph" w:customStyle="1" w:styleId="BodyTextFirstIndent3">
    <w:name w:val="Body Text First Indent3"/>
    <w:basedOn w:val="affe"/>
    <w:qFormat/>
    <w:pPr>
      <w:widowControl/>
      <w:adjustRightInd w:val="0"/>
      <w:spacing w:after="0" w:line="312" w:lineRule="auto"/>
      <w:ind w:firstLine="567"/>
      <w:jc w:val="left"/>
      <w:textAlignment w:val="baseline"/>
    </w:pPr>
    <w:rPr>
      <w:rFonts w:ascii="仿宋_GB2312" w:eastAsia="宋体" w:hAnsi="仿宋_GB2312" w:cs="仿宋_GB2312"/>
      <w:kern w:val="0"/>
      <w:sz w:val="28"/>
      <w:szCs w:val="20"/>
    </w:rPr>
  </w:style>
  <w:style w:type="paragraph" w:customStyle="1" w:styleId="ParaCharCharCharCharCharCharCharCharCharCharCharCharChar">
    <w:name w:val="默认段落字体 Para Char Char Char Char Char Char Char Char Char Char Char Char Char"/>
    <w:basedOn w:val="af1"/>
    <w:qFormat/>
    <w:rPr>
      <w:rFonts w:ascii="Calibri" w:hAnsi="Calibri" w:cs="Times New Roman"/>
      <w:szCs w:val="24"/>
    </w:rPr>
  </w:style>
  <w:style w:type="paragraph" w:customStyle="1" w:styleId="CharCharCharCharCharCharCharCharCharChar0">
    <w:name w:val="Char Char Char Char Char Char Char Char Char Char"/>
    <w:basedOn w:val="af1"/>
    <w:qFormat/>
    <w:pPr>
      <w:spacing w:line="500" w:lineRule="exact"/>
      <w:ind w:firstLineChars="200" w:firstLine="560"/>
    </w:pPr>
    <w:rPr>
      <w:rFonts w:ascii="黑体" w:eastAsia="黑体" w:hAnsi="黑体" w:cs="Times New Roman"/>
      <w:b/>
      <w:spacing w:val="10"/>
      <w:kern w:val="44"/>
      <w:sz w:val="28"/>
      <w:szCs w:val="20"/>
    </w:rPr>
  </w:style>
  <w:style w:type="paragraph" w:customStyle="1" w:styleId="CharCharChar1CharCharCharCharChar">
    <w:name w:val="正文文本最新 Char Char Char1 Char Char Char Char Char"/>
    <w:qFormat/>
    <w:pPr>
      <w:spacing w:line="360" w:lineRule="auto"/>
      <w:ind w:firstLineChars="200" w:firstLine="200"/>
      <w:jc w:val="both"/>
    </w:pPr>
    <w:rPr>
      <w:rFonts w:ascii="仿宋_GB2312" w:eastAsia="宋体" w:hAnsi="仿宋_GB2312" w:cs="仿宋_GB2312"/>
      <w:bCs/>
      <w:kern w:val="2"/>
      <w:sz w:val="28"/>
      <w:szCs w:val="24"/>
    </w:rPr>
  </w:style>
  <w:style w:type="paragraph" w:customStyle="1" w:styleId="4f7">
    <w:name w:val="标题4."/>
    <w:basedOn w:val="41"/>
    <w:qFormat/>
    <w:pPr>
      <w:keepLines/>
      <w:tabs>
        <w:tab w:val="left" w:pos="1800"/>
      </w:tabs>
      <w:spacing w:before="120" w:after="120" w:line="312" w:lineRule="auto"/>
      <w:ind w:left="851" w:hanging="851"/>
      <w:jc w:val="left"/>
    </w:pPr>
    <w:rPr>
      <w:rFonts w:eastAsia="黑体"/>
      <w:kern w:val="2"/>
      <w:sz w:val="24"/>
    </w:rPr>
  </w:style>
  <w:style w:type="paragraph" w:customStyle="1" w:styleId="afffffffffffffffffffffffffff0">
    <w:name w:val="小五表文"/>
    <w:qFormat/>
    <w:pPr>
      <w:spacing w:beforeLines="50"/>
      <w:ind w:firstLineChars="1180" w:firstLine="3304"/>
    </w:pPr>
    <w:rPr>
      <w:rFonts w:ascii="仿宋_GB2312" w:eastAsia="楷体" w:hAnsi="仿宋_GB2312" w:cs="仿宋_GB2312"/>
      <w:bCs/>
      <w:spacing w:val="20"/>
      <w:sz w:val="24"/>
    </w:rPr>
  </w:style>
  <w:style w:type="paragraph" w:customStyle="1" w:styleId="229">
    <w:name w:val="样式 样式 正文文本 + 首行缩进:  2 字符 + 首行缩进:  2 字符"/>
    <w:basedOn w:val="af1"/>
    <w:qFormat/>
    <w:pPr>
      <w:ind w:firstLineChars="200" w:firstLine="200"/>
    </w:pPr>
    <w:rPr>
      <w:rFonts w:ascii="Calibri" w:eastAsia="仿宋_GB2312" w:hAnsi="Calibri" w:cs="宋体"/>
      <w:sz w:val="28"/>
      <w:szCs w:val="20"/>
    </w:rPr>
  </w:style>
  <w:style w:type="paragraph" w:customStyle="1" w:styleId="afffffffffffffffffffffffffff1">
    <w:name w:val="签名（西藏格式）"/>
    <w:basedOn w:val="afff9"/>
    <w:qFormat/>
    <w:pPr>
      <w:adjustRightInd w:val="0"/>
      <w:snapToGrid w:val="0"/>
      <w:spacing w:line="400" w:lineRule="exact"/>
      <w:ind w:leftChars="0" w:left="3969"/>
      <w:jc w:val="center"/>
    </w:pPr>
    <w:rPr>
      <w:snapToGrid w:val="0"/>
      <w:sz w:val="24"/>
    </w:rPr>
  </w:style>
  <w:style w:type="paragraph" w:customStyle="1" w:styleId="1ffffff3">
    <w:name w:val="一级目录1"/>
    <w:basedOn w:val="af1"/>
    <w:qFormat/>
    <w:pPr>
      <w:keepNext/>
      <w:keepLines/>
      <w:widowControl/>
      <w:adjustRightInd w:val="0"/>
      <w:snapToGrid w:val="0"/>
      <w:spacing w:line="360" w:lineRule="auto"/>
      <w:jc w:val="left"/>
      <w:outlineLvl w:val="2"/>
    </w:pPr>
    <w:rPr>
      <w:rFonts w:ascii="Calibri" w:hAnsi="宋体" w:cs="Times New Roman"/>
      <w:b/>
      <w:color w:val="0000FF"/>
      <w:sz w:val="30"/>
      <w:szCs w:val="30"/>
    </w:rPr>
  </w:style>
  <w:style w:type="paragraph" w:customStyle="1" w:styleId="2H2h200">
    <w:name w:val="样式 标题 2第一层条H2h2 + 左侧:  0 厘米 首行缩进:  0 厘米"/>
    <w:basedOn w:val="22"/>
    <w:qFormat/>
    <w:pPr>
      <w:widowControl/>
      <w:adjustRightInd w:val="0"/>
      <w:spacing w:beforeLines="50" w:after="120" w:line="240" w:lineRule="auto"/>
      <w:ind w:left="737" w:hanging="737"/>
      <w:jc w:val="left"/>
      <w:textAlignment w:val="baseline"/>
    </w:pPr>
    <w:rPr>
      <w:rFonts w:ascii="仿宋_GB2312" w:eastAsia="楷体" w:hAnsi="仿宋_GB2312" w:cs="Verdana"/>
      <w:color w:val="0000FF"/>
      <w:kern w:val="32"/>
      <w:szCs w:val="20"/>
    </w:rPr>
  </w:style>
  <w:style w:type="paragraph" w:customStyle="1" w:styleId="460">
    <w:name w:val="样式46"/>
    <w:basedOn w:val="af1"/>
    <w:qFormat/>
    <w:pPr>
      <w:jc w:val="center"/>
      <w:outlineLvl w:val="0"/>
    </w:pPr>
    <w:rPr>
      <w:rFonts w:ascii="Calibri" w:eastAsia="黑体" w:hAnsi="Calibri" w:cs="Times New Roman"/>
      <w:color w:val="000000"/>
      <w:sz w:val="24"/>
      <w:szCs w:val="24"/>
    </w:rPr>
  </w:style>
  <w:style w:type="paragraph" w:customStyle="1" w:styleId="3M">
    <w:name w:val="列表 3M"/>
    <w:basedOn w:val="34"/>
    <w:qFormat/>
    <w:pPr>
      <w:tabs>
        <w:tab w:val="left" w:pos="907"/>
      </w:tabs>
      <w:spacing w:line="288" w:lineRule="auto"/>
      <w:ind w:left="907" w:hanging="567"/>
      <w:jc w:val="left"/>
    </w:pPr>
    <w:rPr>
      <w:rFonts w:ascii="Courier New" w:hAnsi="Courier New" w:cs="仿宋_GB2312"/>
      <w:color w:val="CCFFCC"/>
      <w:sz w:val="24"/>
    </w:rPr>
  </w:style>
  <w:style w:type="paragraph" w:customStyle="1" w:styleId="05051">
    <w:name w:val="样式 表头样式 + 两端对齐 段前: 0.5 行 段后: 0.5 行 首行缩进:  1 字符"/>
    <w:basedOn w:val="affffffffffffff"/>
    <w:qFormat/>
    <w:pPr>
      <w:keepLines/>
      <w:ind w:firstLineChars="200" w:firstLine="560"/>
    </w:pPr>
    <w:rPr>
      <w:bCs w:val="0"/>
      <w:sz w:val="24"/>
      <w:szCs w:val="20"/>
    </w:rPr>
  </w:style>
  <w:style w:type="paragraph" w:customStyle="1" w:styleId="75">
    <w:name w:val="7表格(治)"/>
    <w:qFormat/>
    <w:pPr>
      <w:jc w:val="center"/>
    </w:pPr>
    <w:rPr>
      <w:rFonts w:ascii="宋体" w:eastAsia="宋体" w:hAnsi="宋体" w:cs="Times New Roman"/>
      <w:color w:val="0000FF"/>
      <w:sz w:val="21"/>
    </w:rPr>
  </w:style>
  <w:style w:type="paragraph" w:customStyle="1" w:styleId="CharCharCharCharCharChar7">
    <w:name w:val="Char Char Char Char Char Char"/>
    <w:basedOn w:val="af1"/>
    <w:next w:val="af9"/>
    <w:qFormat/>
    <w:rPr>
      <w:rFonts w:ascii="Calibri" w:hAnsi="Calibri" w:cs="Times New Roman"/>
      <w:sz w:val="28"/>
      <w:szCs w:val="28"/>
    </w:rPr>
  </w:style>
  <w:style w:type="paragraph" w:customStyle="1" w:styleId="250">
    <w:name w:val="样式25"/>
    <w:basedOn w:val="af1"/>
    <w:qFormat/>
    <w:pPr>
      <w:adjustRightInd w:val="0"/>
      <w:spacing w:line="460" w:lineRule="exact"/>
      <w:ind w:firstLineChars="200" w:firstLine="480"/>
      <w:textAlignment w:val="baseline"/>
    </w:pPr>
    <w:rPr>
      <w:rFonts w:ascii="Calibri" w:hAnsi="Calibri" w:cs="Times New Roman"/>
      <w:color w:val="000000"/>
      <w:sz w:val="24"/>
      <w:szCs w:val="20"/>
    </w:rPr>
  </w:style>
  <w:style w:type="paragraph" w:customStyle="1" w:styleId="0003">
    <w:name w:val="0003"/>
    <w:basedOn w:val="31"/>
    <w:qFormat/>
    <w:pPr>
      <w:keepNext w:val="0"/>
      <w:keepLines w:val="0"/>
      <w:widowControl/>
      <w:adjustRightInd w:val="0"/>
      <w:snapToGrid w:val="0"/>
      <w:spacing w:beforeLines="100" w:after="0" w:line="360" w:lineRule="auto"/>
      <w:jc w:val="left"/>
    </w:pPr>
    <w:rPr>
      <w:rFonts w:ascii="宋体"/>
      <w:b w:val="0"/>
      <w:color w:val="0000FF"/>
      <w:kern w:val="0"/>
      <w:sz w:val="24"/>
      <w:szCs w:val="24"/>
    </w:rPr>
  </w:style>
  <w:style w:type="paragraph" w:customStyle="1" w:styleId="afffffffffffffffffffffffffff2">
    <w:name w:val="文章正文"/>
    <w:basedOn w:val="af1"/>
    <w:qFormat/>
    <w:pPr>
      <w:spacing w:line="360" w:lineRule="auto"/>
      <w:ind w:firstLineChars="200" w:firstLine="200"/>
    </w:pPr>
    <w:rPr>
      <w:rFonts w:ascii="Calibri" w:eastAsia="仿宋_GB2312" w:hAnsi="Calibri" w:cs="Times New Roman"/>
      <w:sz w:val="28"/>
      <w:szCs w:val="28"/>
    </w:rPr>
  </w:style>
  <w:style w:type="paragraph" w:customStyle="1" w:styleId="Char1CharCharCharCharCharCharCharCharCharCharCharChar">
    <w:name w:val="Char1 Char Char Char Char Char Char Char Char Char Char Char Char"/>
    <w:basedOn w:val="af1"/>
    <w:qFormat/>
    <w:pPr>
      <w:spacing w:line="360" w:lineRule="auto"/>
      <w:ind w:firstLineChars="200" w:firstLine="200"/>
      <w:jc w:val="left"/>
    </w:pPr>
    <w:rPr>
      <w:rFonts w:ascii="宋体" w:hAnsi="宋体" w:cs="宋体"/>
      <w:sz w:val="24"/>
      <w:szCs w:val="24"/>
    </w:rPr>
  </w:style>
  <w:style w:type="paragraph" w:customStyle="1" w:styleId="103">
    <w:name w:val="样式 德胜表格内容 + 10 磅"/>
    <w:basedOn w:val="afffffff8"/>
    <w:qFormat/>
    <w:rPr>
      <w:b/>
    </w:rPr>
  </w:style>
  <w:style w:type="paragraph" w:customStyle="1" w:styleId="5C0">
    <w:name w:val="列表 5C"/>
    <w:basedOn w:val="55"/>
    <w:qFormat/>
    <w:pPr>
      <w:tabs>
        <w:tab w:val="left" w:pos="1134"/>
      </w:tabs>
      <w:adjustRightInd/>
      <w:spacing w:beforeLines="0" w:line="240" w:lineRule="auto"/>
      <w:ind w:left="1134" w:hanging="425"/>
      <w:jc w:val="left"/>
      <w:textAlignment w:val="auto"/>
    </w:pPr>
    <w:rPr>
      <w:rFonts w:ascii="Courier New" w:hAnsi="Courier New" w:cs="仿宋_GB2312"/>
      <w:color w:val="99CCFF"/>
      <w:kern w:val="2"/>
    </w:rPr>
  </w:style>
  <w:style w:type="paragraph" w:customStyle="1" w:styleId="2fffff8">
    <w:name w:val="我的2"/>
    <w:basedOn w:val="af1"/>
    <w:qFormat/>
    <w:pPr>
      <w:widowControl/>
      <w:jc w:val="left"/>
    </w:pPr>
    <w:rPr>
      <w:rFonts w:ascii="仿宋_GB2312" w:hAnsi="仿宋_GB2312" w:cs="仿宋_GB2312"/>
      <w:b/>
      <w:sz w:val="28"/>
      <w:szCs w:val="24"/>
    </w:rPr>
  </w:style>
  <w:style w:type="paragraph" w:customStyle="1" w:styleId="2fffff9">
    <w:name w:val="正文 + 首行缩进:  2 字符"/>
    <w:basedOn w:val="af1"/>
    <w:qFormat/>
    <w:pPr>
      <w:widowControl/>
      <w:spacing w:line="460" w:lineRule="atLeast"/>
      <w:ind w:firstLineChars="200" w:firstLine="528"/>
      <w:jc w:val="left"/>
    </w:pPr>
    <w:rPr>
      <w:rFonts w:ascii="Calibri" w:hAnsi="Calibri" w:cs="Times New Roman"/>
      <w:spacing w:val="12"/>
      <w:sz w:val="24"/>
      <w:szCs w:val="20"/>
    </w:rPr>
  </w:style>
  <w:style w:type="paragraph" w:customStyle="1" w:styleId="316">
    <w:name w:val="样式31"/>
    <w:basedOn w:val="af1"/>
    <w:qFormat/>
    <w:pPr>
      <w:ind w:firstLineChars="200" w:firstLine="475"/>
    </w:pPr>
    <w:rPr>
      <w:rFonts w:ascii="Calibri" w:eastAsia="华文中宋" w:hAnsi="Calibri" w:cs="Times New Roman"/>
      <w:sz w:val="24"/>
      <w:szCs w:val="24"/>
    </w:rPr>
  </w:style>
  <w:style w:type="paragraph" w:customStyle="1" w:styleId="720">
    <w:name w:val="标题 72"/>
    <w:basedOn w:val="af1"/>
    <w:next w:val="af1"/>
    <w:qFormat/>
    <w:pPr>
      <w:keepNext/>
      <w:keepLines/>
      <w:tabs>
        <w:tab w:val="left" w:pos="1296"/>
      </w:tabs>
      <w:snapToGrid w:val="0"/>
      <w:spacing w:before="240" w:after="64" w:line="316" w:lineRule="auto"/>
      <w:ind w:left="1296" w:hanging="1296"/>
      <w:outlineLvl w:val="6"/>
    </w:pPr>
    <w:rPr>
      <w:rFonts w:ascii="Calibri" w:hAnsi="Calibri" w:cs="Times New Roman"/>
      <w:b/>
      <w:sz w:val="24"/>
      <w:szCs w:val="20"/>
    </w:rPr>
  </w:style>
  <w:style w:type="paragraph" w:customStyle="1" w:styleId="CharCharChar22">
    <w:name w:val="Char Char Char2"/>
    <w:basedOn w:val="af1"/>
    <w:qFormat/>
    <w:rPr>
      <w:rFonts w:ascii="宋体" w:hAnsi="Calibri" w:cs="Times New Roman"/>
      <w:szCs w:val="20"/>
    </w:rPr>
  </w:style>
  <w:style w:type="paragraph" w:customStyle="1" w:styleId="CharCharCharfc">
    <w:name w:val="段落 Char Char Char"/>
    <w:basedOn w:val="af1"/>
    <w:qFormat/>
    <w:pPr>
      <w:topLinePunct/>
      <w:snapToGrid w:val="0"/>
      <w:spacing w:line="360" w:lineRule="auto"/>
      <w:ind w:firstLineChars="200" w:firstLine="200"/>
    </w:pPr>
    <w:rPr>
      <w:rFonts w:cs="Times New Roman"/>
      <w:sz w:val="24"/>
      <w:szCs w:val="20"/>
    </w:rPr>
  </w:style>
  <w:style w:type="paragraph" w:customStyle="1" w:styleId="33H3h33rdlevel43Char3Cha1">
    <w:name w:val="样式 标题 3小标题小节标题标题3H3h33rd level第二层条标题4标题 3 Char标题 3 Cha...1"/>
    <w:basedOn w:val="31"/>
    <w:qFormat/>
    <w:pPr>
      <w:tabs>
        <w:tab w:val="left" w:pos="1740"/>
      </w:tabs>
      <w:adjustRightInd w:val="0"/>
      <w:spacing w:before="60" w:after="60" w:line="360" w:lineRule="auto"/>
      <w:ind w:left="1740" w:hanging="420"/>
      <w:jc w:val="left"/>
      <w:textAlignment w:val="baseline"/>
    </w:pPr>
    <w:rPr>
      <w:kern w:val="0"/>
      <w:sz w:val="24"/>
      <w:szCs w:val="20"/>
    </w:rPr>
  </w:style>
  <w:style w:type="paragraph" w:customStyle="1" w:styleId="acee">
    <w:name w:val="acee正文"/>
    <w:basedOn w:val="af1"/>
    <w:qFormat/>
    <w:pPr>
      <w:widowControl/>
      <w:adjustRightInd w:val="0"/>
      <w:snapToGrid w:val="0"/>
      <w:spacing w:line="480" w:lineRule="exact"/>
      <w:ind w:firstLineChars="200" w:firstLine="640"/>
      <w:jc w:val="left"/>
    </w:pPr>
    <w:rPr>
      <w:rFonts w:ascii="??" w:eastAsia="Times New Roman" w:hAnsi="Verdana" w:cs="仿宋_GB2312"/>
      <w:sz w:val="32"/>
      <w:szCs w:val="24"/>
    </w:rPr>
  </w:style>
  <w:style w:type="paragraph" w:customStyle="1" w:styleId="CharCharCharCharCharCharCharCharCharCharCharCharCharCharCharCharCharChar1CharCharCharChar1">
    <w:name w:val="Char Char Char Char Char Char Char Char Char Char Char Char Char Char Char Char Char Char1 Char Char Char Char1"/>
    <w:basedOn w:val="af1"/>
    <w:qFormat/>
    <w:rPr>
      <w:rFonts w:ascii="Calibri" w:hAnsi="Calibri" w:cs="Times New Roman"/>
      <w:szCs w:val="24"/>
    </w:rPr>
  </w:style>
  <w:style w:type="paragraph" w:customStyle="1" w:styleId="s422">
    <w:name w:val="样式 样式 正文缩进s4 + 首行缩进:  2 字符 + 首行缩进:  2 字符"/>
    <w:basedOn w:val="af1"/>
    <w:qFormat/>
    <w:pPr>
      <w:snapToGrid w:val="0"/>
      <w:spacing w:line="360" w:lineRule="auto"/>
      <w:ind w:firstLineChars="200" w:firstLine="480"/>
    </w:pPr>
    <w:rPr>
      <w:rFonts w:ascii="Calibri" w:eastAsia="仿宋_GB2312" w:hAnsi="Calibri" w:cs="Times New Roman"/>
      <w:sz w:val="28"/>
      <w:szCs w:val="20"/>
    </w:rPr>
  </w:style>
  <w:style w:type="paragraph" w:customStyle="1" w:styleId="4U">
    <w:name w:val="列表 4U"/>
    <w:basedOn w:val="45"/>
    <w:qFormat/>
    <w:pPr>
      <w:widowControl/>
      <w:tabs>
        <w:tab w:val="left" w:pos="1021"/>
      </w:tabs>
      <w:adjustRightInd/>
      <w:spacing w:afterLines="30" w:line="288" w:lineRule="auto"/>
      <w:ind w:left="1021" w:hanging="454"/>
      <w:jc w:val="left"/>
      <w:textAlignment w:val="auto"/>
    </w:pPr>
    <w:rPr>
      <w:rFonts w:ascii="Courier New" w:hAnsi="Courier New" w:cs="仿宋_GB2312"/>
      <w:color w:val="CCFFFF"/>
      <w:kern w:val="2"/>
    </w:rPr>
  </w:style>
  <w:style w:type="paragraph" w:customStyle="1" w:styleId="Charfffffffa">
    <w:name w:val="Char 正文"/>
    <w:basedOn w:val="1"/>
    <w:qFormat/>
    <w:pPr>
      <w:widowControl/>
      <w:adjustRightInd w:val="0"/>
      <w:snapToGrid w:val="0"/>
      <w:spacing w:before="240" w:after="240" w:line="348" w:lineRule="auto"/>
      <w:jc w:val="left"/>
    </w:pPr>
    <w:rPr>
      <w:rFonts w:ascii="新宋体" w:hAnsi="新宋体" w:cs="仿宋_GB2312"/>
      <w:bCs w:val="0"/>
      <w:kern w:val="44"/>
      <w:sz w:val="24"/>
      <w:szCs w:val="20"/>
    </w:rPr>
  </w:style>
  <w:style w:type="paragraph" w:customStyle="1" w:styleId="240">
    <w:name w:val="样式 样式24 +"/>
    <w:basedOn w:val="af1"/>
    <w:qFormat/>
    <w:pPr>
      <w:spacing w:line="300" w:lineRule="exact"/>
      <w:ind w:leftChars="-50" w:left="-120" w:rightChars="-50" w:right="-120"/>
      <w:jc w:val="center"/>
    </w:pPr>
    <w:rPr>
      <w:rFonts w:ascii="Calibri" w:eastAsia="华文中宋" w:hAnsi="Calibri" w:cs="Times New Roman"/>
      <w:szCs w:val="20"/>
    </w:rPr>
  </w:style>
  <w:style w:type="paragraph" w:customStyle="1" w:styleId="4f8">
    <w:name w:val="正文缩进4"/>
    <w:basedOn w:val="af1"/>
    <w:qFormat/>
    <w:pPr>
      <w:ind w:firstLine="420"/>
    </w:pPr>
    <w:rPr>
      <w:rFonts w:ascii="宋体" w:hAnsi="宋体" w:cs="Times New Roman"/>
      <w:sz w:val="24"/>
      <w:szCs w:val="24"/>
    </w:rPr>
  </w:style>
  <w:style w:type="paragraph" w:customStyle="1" w:styleId="4f9">
    <w:name w:val="标题样式4"/>
    <w:basedOn w:val="41"/>
    <w:qFormat/>
    <w:pPr>
      <w:keepNext w:val="0"/>
      <w:adjustRightInd w:val="0"/>
      <w:snapToGrid w:val="0"/>
      <w:spacing w:line="360" w:lineRule="auto"/>
      <w:jc w:val="left"/>
    </w:pPr>
    <w:rPr>
      <w:bCs/>
      <w:sz w:val="24"/>
      <w:szCs w:val="24"/>
      <w:lang w:val="zh-CN"/>
    </w:rPr>
  </w:style>
  <w:style w:type="paragraph" w:customStyle="1" w:styleId="1ffffff4">
    <w:name w:val="正文缩进1"/>
    <w:basedOn w:val="af1"/>
    <w:qFormat/>
    <w:pPr>
      <w:spacing w:line="360" w:lineRule="auto"/>
      <w:ind w:firstLine="420"/>
      <w:jc w:val="left"/>
    </w:pPr>
    <w:rPr>
      <w:rFonts w:ascii="Calibri" w:hAnsi="Calibri" w:cs="Times New Roman"/>
      <w:sz w:val="24"/>
      <w:szCs w:val="24"/>
    </w:rPr>
  </w:style>
  <w:style w:type="paragraph" w:customStyle="1" w:styleId="cucd-2">
    <w:name w:val="cucd-2"/>
    <w:next w:val="cucd-3"/>
    <w:qFormat/>
    <w:pPr>
      <w:tabs>
        <w:tab w:val="left" w:pos="540"/>
      </w:tabs>
      <w:spacing w:line="360" w:lineRule="auto"/>
      <w:ind w:left="720" w:hanging="720"/>
      <w:outlineLvl w:val="1"/>
    </w:pPr>
    <w:rPr>
      <w:rFonts w:ascii="Calibri" w:eastAsia="黑体" w:hAnsi="Calibri" w:cs="Times New Roman"/>
      <w:b/>
      <w:kern w:val="2"/>
      <w:sz w:val="30"/>
    </w:rPr>
  </w:style>
  <w:style w:type="paragraph" w:customStyle="1" w:styleId="CharCharCharCharCharCharCharCharCharCharCharCharCharCharCharCharCharChar1CharCharCharCharCharCharCharCharCharCharCharCharCharCharCharChar2">
    <w:name w:val="Char Char Char Char Char Char Char Char Char Char Char Char Char Char Char Char Char Char1 Char Char Char Char Char Char Char Char Char Char Char Char Char Char Char Char2"/>
    <w:basedOn w:val="af1"/>
    <w:qFormat/>
    <w:pPr>
      <w:spacing w:line="360" w:lineRule="auto"/>
      <w:ind w:firstLineChars="200" w:firstLine="200"/>
    </w:pPr>
    <w:rPr>
      <w:rFonts w:ascii="宋体" w:hAnsi="Calibri" w:cs="Times New Roman"/>
      <w:sz w:val="24"/>
      <w:szCs w:val="20"/>
    </w:rPr>
  </w:style>
  <w:style w:type="paragraph" w:customStyle="1" w:styleId="3ff7">
    <w:name w:val="目录3"/>
    <w:basedOn w:val="af1"/>
    <w:next w:val="af1"/>
    <w:qFormat/>
    <w:pPr>
      <w:widowControl/>
      <w:tabs>
        <w:tab w:val="left" w:leader="dot" w:pos="8503"/>
      </w:tabs>
      <w:adjustRightInd w:val="0"/>
      <w:snapToGrid w:val="0"/>
      <w:spacing w:line="317" w:lineRule="atLeast"/>
      <w:ind w:left="419" w:firstLineChars="200" w:firstLine="419"/>
      <w:textAlignment w:val="baseline"/>
    </w:pPr>
    <w:rPr>
      <w:rFonts w:ascii="Calibri" w:hAnsi="Calibri" w:cs="Times New Roman"/>
      <w:snapToGrid w:val="0"/>
      <w:color w:val="000000"/>
      <w:kern w:val="0"/>
      <w:sz w:val="24"/>
      <w:szCs w:val="24"/>
      <w:u w:color="000000"/>
    </w:rPr>
  </w:style>
  <w:style w:type="paragraph" w:customStyle="1" w:styleId="-50">
    <w:name w:val="文-5"/>
    <w:basedOn w:val="af1"/>
    <w:qFormat/>
    <w:pPr>
      <w:widowControl/>
      <w:tabs>
        <w:tab w:val="right" w:leader="dot" w:pos="8789"/>
      </w:tabs>
      <w:spacing w:before="120"/>
      <w:ind w:left="1276" w:firstLine="482"/>
      <w:jc w:val="left"/>
    </w:pPr>
    <w:rPr>
      <w:rFonts w:ascii="仿宋_GB2312" w:hAnsi="仿宋_GB2312" w:cs="仿宋_GB2312"/>
      <w:sz w:val="24"/>
      <w:szCs w:val="20"/>
    </w:rPr>
  </w:style>
  <w:style w:type="paragraph" w:customStyle="1" w:styleId="E">
    <w:name w:val="列表 E"/>
    <w:basedOn w:val="afffe"/>
    <w:qFormat/>
    <w:pPr>
      <w:widowControl/>
      <w:tabs>
        <w:tab w:val="left" w:pos="425"/>
      </w:tabs>
      <w:spacing w:beforeLines="100" w:afterLines="50" w:line="288" w:lineRule="auto"/>
      <w:ind w:left="425" w:hanging="425"/>
      <w:jc w:val="left"/>
    </w:pPr>
    <w:rPr>
      <w:rFonts w:ascii="Courier New" w:eastAsia="宋体" w:hAnsi="Courier New" w:cs="仿宋_GB2312"/>
      <w:b/>
      <w:bCs/>
      <w:color w:val="FF99CC"/>
    </w:rPr>
  </w:style>
  <w:style w:type="paragraph" w:customStyle="1" w:styleId="2121Char2CharChar2H2h22Ch">
    <w:name w:val="样式 标题 2节1标题21 Char标题 2 Char Char二级 标题 2H2h2第一层条标题 2 Ch..."/>
    <w:basedOn w:val="22"/>
    <w:qFormat/>
    <w:pPr>
      <w:spacing w:before="0" w:after="0" w:line="360" w:lineRule="auto"/>
    </w:pPr>
    <w:rPr>
      <w:rFonts w:ascii="仿宋_GB2312" w:hAnsi="仿宋_GB2312"/>
      <w:b w:val="0"/>
      <w:kern w:val="0"/>
    </w:rPr>
  </w:style>
  <w:style w:type="paragraph" w:customStyle="1" w:styleId="NumberList">
    <w:name w:val="Number List"/>
    <w:qFormat/>
    <w:pPr>
      <w:widowControl w:val="0"/>
      <w:autoSpaceDE w:val="0"/>
      <w:autoSpaceDN w:val="0"/>
      <w:adjustRightInd w:val="0"/>
      <w:ind w:left="720"/>
      <w:textAlignment w:val="baseline"/>
    </w:pPr>
    <w:rPr>
      <w:rFonts w:ascii="宋体" w:eastAsia="宋体" w:hAnsi="Calibri" w:cs="Times New Roman"/>
      <w:color w:val="000000"/>
      <w:sz w:val="24"/>
    </w:rPr>
  </w:style>
  <w:style w:type="paragraph" w:customStyle="1" w:styleId="1520">
    <w:name w:val="样式 四号 黑色 行距: 1.5 倍行距 首行缩进:  2 字符"/>
    <w:basedOn w:val="af1"/>
    <w:qFormat/>
    <w:pPr>
      <w:spacing w:line="360" w:lineRule="auto"/>
      <w:ind w:firstLineChars="200" w:firstLine="560"/>
    </w:pPr>
    <w:rPr>
      <w:rFonts w:eastAsia="仿宋_GB2312" w:cs="宋体"/>
      <w:color w:val="000000"/>
      <w:sz w:val="28"/>
      <w:szCs w:val="20"/>
    </w:rPr>
  </w:style>
  <w:style w:type="paragraph" w:customStyle="1" w:styleId="2fffffa">
    <w:name w:val="样式 标题 2 + 小三"/>
    <w:basedOn w:val="af1"/>
    <w:next w:val="af1"/>
    <w:qFormat/>
    <w:pPr>
      <w:autoSpaceDE w:val="0"/>
      <w:autoSpaceDN w:val="0"/>
      <w:adjustRightInd w:val="0"/>
      <w:jc w:val="left"/>
    </w:pPr>
    <w:rPr>
      <w:rFonts w:ascii="仿宋_GB2312" w:eastAsia="仿宋_GB2312" w:hAnsi="Calibri" w:cs="Times New Roman"/>
      <w:kern w:val="0"/>
      <w:sz w:val="24"/>
      <w:szCs w:val="24"/>
    </w:rPr>
  </w:style>
  <w:style w:type="paragraph" w:customStyle="1" w:styleId="1ffffff5">
    <w:name w:val="样式1 f"/>
    <w:basedOn w:val="1"/>
    <w:qFormat/>
    <w:pPr>
      <w:keepLines w:val="0"/>
      <w:widowControl/>
      <w:jc w:val="left"/>
    </w:pPr>
    <w:rPr>
      <w:rFonts w:ascii="Times New Roman"/>
      <w:color w:val="0000FF"/>
      <w:kern w:val="44"/>
      <w:sz w:val="30"/>
      <w:szCs w:val="30"/>
    </w:rPr>
  </w:style>
  <w:style w:type="paragraph" w:customStyle="1" w:styleId="ZwCharCharCharCharCharChar">
    <w:name w:val="Zw Char Char Char Char Char Char"/>
    <w:basedOn w:val="af1"/>
    <w:qFormat/>
    <w:rPr>
      <w:rFonts w:ascii="宋体" w:hAnsi="宋体" w:cs="宋体"/>
      <w:sz w:val="24"/>
      <w:szCs w:val="24"/>
    </w:rPr>
  </w:style>
  <w:style w:type="paragraph" w:customStyle="1" w:styleId="cucd-1">
    <w:name w:val="cucd-1"/>
    <w:next w:val="cucd-2"/>
    <w:qFormat/>
    <w:pPr>
      <w:pageBreakBefore/>
      <w:tabs>
        <w:tab w:val="left" w:pos="425"/>
      </w:tabs>
      <w:spacing w:beforeLines="100" w:afterLines="50" w:line="360" w:lineRule="auto"/>
      <w:ind w:left="850" w:hanging="425"/>
      <w:jc w:val="center"/>
      <w:outlineLvl w:val="0"/>
    </w:pPr>
    <w:rPr>
      <w:rFonts w:ascii="Calibri" w:eastAsia="黑体" w:hAnsi="Calibri" w:cs="Times New Roman"/>
      <w:b/>
      <w:kern w:val="2"/>
      <w:sz w:val="36"/>
    </w:rPr>
  </w:style>
  <w:style w:type="paragraph" w:customStyle="1" w:styleId="afffffffffffffffffffffffffff3">
    <w:name w:val="列项及编号"/>
    <w:basedOn w:val="affffffa"/>
    <w:qFormat/>
    <w:pPr>
      <w:adjustRightInd w:val="0"/>
      <w:snapToGrid w:val="0"/>
      <w:spacing w:line="288" w:lineRule="auto"/>
      <w:ind w:firstLineChars="0" w:firstLine="0"/>
    </w:pPr>
  </w:style>
  <w:style w:type="paragraph" w:customStyle="1" w:styleId="Style2">
    <w:name w:val="_Style 2"/>
    <w:basedOn w:val="af1"/>
    <w:next w:val="af1"/>
    <w:qFormat/>
    <w:pPr>
      <w:pBdr>
        <w:top w:val="single" w:sz="6" w:space="1" w:color="auto"/>
      </w:pBdr>
      <w:jc w:val="center"/>
    </w:pPr>
    <w:rPr>
      <w:rFonts w:ascii="Arial" w:hAnsi="Calibri" w:cs="Times New Roman"/>
      <w:vanish/>
      <w:sz w:val="16"/>
      <w:szCs w:val="24"/>
    </w:rPr>
  </w:style>
  <w:style w:type="paragraph" w:customStyle="1" w:styleId="CharChar1CharCharCharCharCharCharCharCharCharCharCharCharCharCharCharCharCharCharCharChar1Char">
    <w:name w:val="Char Char1 Char Char Char Char Char Char Char Char Char Char Char Char Char Char Char Char Char Char Char Char1 Char"/>
    <w:basedOn w:val="af1"/>
    <w:qFormat/>
    <w:pPr>
      <w:spacing w:line="360" w:lineRule="auto"/>
      <w:ind w:firstLineChars="200" w:firstLine="200"/>
    </w:pPr>
    <w:rPr>
      <w:rFonts w:ascii="宋体" w:hAnsi="宋体" w:cs="Times New Roman"/>
      <w:sz w:val="24"/>
      <w:szCs w:val="20"/>
    </w:rPr>
  </w:style>
  <w:style w:type="paragraph" w:customStyle="1" w:styleId="xl57">
    <w:name w:val="xl57"/>
    <w:basedOn w:val="af1"/>
    <w:qFormat/>
    <w:pPr>
      <w:widowControl/>
      <w:pBdr>
        <w:top w:val="single" w:sz="8"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18"/>
      <w:szCs w:val="18"/>
    </w:rPr>
  </w:style>
  <w:style w:type="paragraph" w:customStyle="1" w:styleId="font0">
    <w:name w:val="font0"/>
    <w:basedOn w:val="af1"/>
    <w:qFormat/>
    <w:pPr>
      <w:adjustRightInd w:val="0"/>
      <w:spacing w:before="100" w:beforeAutospacing="1" w:after="100" w:afterAutospacing="1" w:line="360" w:lineRule="atLeast"/>
    </w:pPr>
    <w:rPr>
      <w:rFonts w:ascii="宋体" w:hAnsi="宋体" w:cs="Times New Roman"/>
      <w:kern w:val="0"/>
      <w:sz w:val="24"/>
    </w:rPr>
  </w:style>
  <w:style w:type="paragraph" w:customStyle="1" w:styleId="1ffffff6">
    <w:name w:val="表名1"/>
    <w:basedOn w:val="af1"/>
    <w:qFormat/>
    <w:pPr>
      <w:spacing w:line="360" w:lineRule="auto"/>
    </w:pPr>
    <w:rPr>
      <w:rFonts w:ascii="Calibri" w:eastAsia="黑体" w:hAnsi="Calibri" w:cs="Times New Roman"/>
      <w:szCs w:val="20"/>
    </w:rPr>
  </w:style>
  <w:style w:type="paragraph" w:customStyle="1" w:styleId="33CharCharArialNarrow">
    <w:name w:val="样式 标题 3标题 3 Char Char头 + (西文) Arial Narrow (中文) 黑体 小四 加粗"/>
    <w:basedOn w:val="31"/>
    <w:qFormat/>
    <w:pPr>
      <w:keepLines w:val="0"/>
      <w:widowControl/>
      <w:tabs>
        <w:tab w:val="left" w:pos="0"/>
      </w:tabs>
      <w:spacing w:before="0" w:after="0" w:line="360" w:lineRule="auto"/>
      <w:ind w:firstLineChars="200" w:firstLine="1044"/>
      <w:jc w:val="center"/>
      <w:textAlignment w:val="baseline"/>
    </w:pPr>
    <w:rPr>
      <w:rFonts w:ascii="Arial Narrow" w:eastAsia="黑体" w:hAnsi="Arial Narrow"/>
      <w:b w:val="0"/>
      <w:color w:val="000000"/>
      <w:kern w:val="0"/>
      <w:sz w:val="28"/>
      <w:szCs w:val="28"/>
      <w:lang w:bidi="en-US"/>
    </w:rPr>
  </w:style>
  <w:style w:type="paragraph" w:customStyle="1" w:styleId="Pa0">
    <w:name w:val="Pa0"/>
    <w:basedOn w:val="af1"/>
    <w:next w:val="af1"/>
    <w:qFormat/>
    <w:pPr>
      <w:widowControl/>
      <w:autoSpaceDE w:val="0"/>
      <w:autoSpaceDN w:val="0"/>
      <w:adjustRightInd w:val="0"/>
      <w:spacing w:line="241" w:lineRule="atLeast"/>
      <w:jc w:val="left"/>
    </w:pPr>
    <w:rPr>
      <w:rFonts w:ascii="楷体" w:eastAsia="楷体" w:hAnsi="仿宋_GB2312" w:cs="仿宋_GB2312"/>
      <w:kern w:val="0"/>
      <w:sz w:val="24"/>
      <w:szCs w:val="24"/>
    </w:rPr>
  </w:style>
  <w:style w:type="paragraph" w:customStyle="1" w:styleId="xl75">
    <w:name w:val="xl75"/>
    <w:basedOn w:val="af1"/>
    <w:qFormat/>
    <w:pPr>
      <w:widowControl/>
      <w:pBdr>
        <w:left w:val="single" w:sz="8" w:space="0" w:color="auto"/>
        <w:right w:val="single" w:sz="8" w:space="0" w:color="auto"/>
      </w:pBdr>
      <w:spacing w:before="100" w:beforeAutospacing="1" w:after="100" w:afterAutospacing="1"/>
      <w:jc w:val="center"/>
    </w:pPr>
    <w:rPr>
      <w:rFonts w:ascii="宋体" w:hAnsi="宋体" w:cs="宋体"/>
      <w:kern w:val="0"/>
      <w:sz w:val="18"/>
      <w:szCs w:val="18"/>
    </w:rPr>
  </w:style>
  <w:style w:type="paragraph" w:customStyle="1" w:styleId="1CharChar6">
    <w:name w:val="样式 标题 1 + 红色 Char Char"/>
    <w:basedOn w:val="110"/>
    <w:qFormat/>
    <w:pPr>
      <w:widowControl w:val="0"/>
      <w:spacing w:beforeLines="0" w:afterLines="0" w:line="576" w:lineRule="auto"/>
      <w:jc w:val="both"/>
    </w:pPr>
    <w:rPr>
      <w:rFonts w:ascii="宋体" w:hAnsi="宋体"/>
      <w:color w:val="FF0000"/>
      <w:kern w:val="44"/>
      <w:sz w:val="32"/>
    </w:rPr>
  </w:style>
  <w:style w:type="paragraph" w:customStyle="1" w:styleId="911">
    <w:name w:val="标题 91"/>
    <w:basedOn w:val="af1"/>
    <w:next w:val="af1"/>
    <w:qFormat/>
    <w:pPr>
      <w:keepNext/>
      <w:keepLines/>
      <w:tabs>
        <w:tab w:val="left" w:pos="1584"/>
      </w:tabs>
      <w:snapToGrid w:val="0"/>
      <w:spacing w:before="240" w:after="64" w:line="316" w:lineRule="auto"/>
      <w:ind w:left="1584" w:hanging="1584"/>
      <w:outlineLvl w:val="8"/>
    </w:pPr>
    <w:rPr>
      <w:rFonts w:ascii="Arial" w:eastAsia="黑体" w:hAnsi="Arial" w:cs="Times New Roman"/>
      <w:sz w:val="24"/>
      <w:szCs w:val="20"/>
    </w:rPr>
  </w:style>
  <w:style w:type="paragraph" w:customStyle="1" w:styleId="afffffffffffffffffffffffffff4">
    <w:name w:val="久不通函，至以为念。"/>
    <w:qFormat/>
    <w:pPr>
      <w:widowControl w:val="0"/>
      <w:jc w:val="both"/>
    </w:pPr>
    <w:rPr>
      <w:rFonts w:ascii="Calibri" w:eastAsia="宋体" w:hAnsi="Calibri" w:cs="Times New Roman"/>
      <w:kern w:val="2"/>
      <w:sz w:val="21"/>
      <w:szCs w:val="24"/>
    </w:rPr>
  </w:style>
  <w:style w:type="paragraph" w:customStyle="1" w:styleId="159">
    <w:name w:val="样式15"/>
    <w:basedOn w:val="af1"/>
    <w:qFormat/>
    <w:pPr>
      <w:ind w:firstLineChars="200" w:firstLine="420"/>
    </w:pPr>
    <w:rPr>
      <w:rFonts w:ascii="Calibri" w:eastAsia="华文中宋" w:hAnsi="Calibri" w:cs="Times New Roman"/>
      <w:kern w:val="0"/>
      <w:szCs w:val="21"/>
    </w:rPr>
  </w:style>
  <w:style w:type="paragraph" w:customStyle="1" w:styleId="afffffffffffffffffffffffffff5">
    <w:name w:val="啊啊啊啊啊啊啊啊啊啊"/>
    <w:basedOn w:val="af1"/>
    <w:qFormat/>
    <w:pPr>
      <w:spacing w:line="360" w:lineRule="auto"/>
      <w:ind w:firstLineChars="200" w:firstLine="200"/>
    </w:pPr>
    <w:rPr>
      <w:rFonts w:ascii="Calibri" w:hAnsi="Calibri" w:cs="Times New Roman"/>
      <w:sz w:val="24"/>
      <w:szCs w:val="24"/>
    </w:rPr>
  </w:style>
  <w:style w:type="paragraph" w:customStyle="1" w:styleId="3H3h33rdlevel0505">
    <w:name w:val="样式 标题 3一H3h33rd level第二层条 + 段前: 0.5 行 段后: 0.5 行 行距: 多倍行距 ..."/>
    <w:basedOn w:val="31"/>
    <w:qFormat/>
    <w:pPr>
      <w:keepLines w:val="0"/>
      <w:widowControl/>
      <w:tabs>
        <w:tab w:val="left" w:pos="720"/>
      </w:tabs>
      <w:overflowPunct w:val="0"/>
      <w:autoSpaceDE w:val="0"/>
      <w:autoSpaceDN w:val="0"/>
      <w:adjustRightInd w:val="0"/>
      <w:snapToGrid w:val="0"/>
      <w:spacing w:beforeLines="50" w:afterLines="50" w:line="360" w:lineRule="exact"/>
      <w:ind w:left="720" w:hanging="720"/>
      <w:jc w:val="center"/>
      <w:textAlignment w:val="baseline"/>
    </w:pPr>
    <w:rPr>
      <w:rFonts w:hAnsi="宋体"/>
      <w:b w:val="0"/>
      <w:kern w:val="0"/>
      <w:sz w:val="21"/>
      <w:szCs w:val="21"/>
    </w:rPr>
  </w:style>
  <w:style w:type="paragraph" w:customStyle="1" w:styleId="afffffffffffffffffffffffffff6">
    <w:name w:val="南大梁章标题"/>
    <w:basedOn w:val="af1"/>
    <w:qFormat/>
    <w:pPr>
      <w:spacing w:before="312" w:after="312"/>
      <w:jc w:val="center"/>
    </w:pPr>
    <w:rPr>
      <w:rFonts w:ascii="黑体" w:eastAsia="黑体" w:hAnsi="Calibri" w:cs="Times New Roman"/>
      <w:b/>
      <w:sz w:val="36"/>
      <w:szCs w:val="36"/>
    </w:rPr>
  </w:style>
  <w:style w:type="paragraph" w:customStyle="1" w:styleId="2fffffb">
    <w:name w:val="目录2"/>
    <w:basedOn w:val="af1"/>
    <w:next w:val="af1"/>
    <w:qFormat/>
    <w:pPr>
      <w:widowControl/>
      <w:tabs>
        <w:tab w:val="left" w:leader="dot" w:pos="8503"/>
      </w:tabs>
      <w:adjustRightInd w:val="0"/>
      <w:snapToGrid w:val="0"/>
      <w:spacing w:line="317" w:lineRule="atLeast"/>
      <w:ind w:left="419" w:firstLineChars="200" w:firstLine="419"/>
      <w:textAlignment w:val="baseline"/>
    </w:pPr>
    <w:rPr>
      <w:rFonts w:ascii="Calibri" w:hAnsi="Calibri" w:cs="Times New Roman"/>
      <w:snapToGrid w:val="0"/>
      <w:color w:val="000000"/>
      <w:kern w:val="0"/>
      <w:sz w:val="24"/>
      <w:szCs w:val="24"/>
      <w:u w:color="000000"/>
    </w:rPr>
  </w:style>
  <w:style w:type="paragraph" w:customStyle="1" w:styleId="afffffffffffffffffffffffffff7">
    <w:name w:val="正文（科宏）"/>
    <w:qFormat/>
    <w:pPr>
      <w:widowControl w:val="0"/>
      <w:spacing w:line="360" w:lineRule="auto"/>
      <w:ind w:firstLineChars="200" w:firstLine="200"/>
      <w:jc w:val="both"/>
    </w:pPr>
    <w:rPr>
      <w:rFonts w:ascii="Arial" w:eastAsia="仿宋_GB2312" w:hAnsi="Arial" w:cs="Times New Roman"/>
      <w:sz w:val="28"/>
    </w:rPr>
  </w:style>
  <w:style w:type="paragraph" w:customStyle="1" w:styleId="body1">
    <w:name w:val="body 1"/>
    <w:basedOn w:val="af1"/>
    <w:qFormat/>
    <w:pPr>
      <w:widowControl/>
      <w:adjustRightInd w:val="0"/>
      <w:spacing w:line="360" w:lineRule="atLeast"/>
      <w:jc w:val="left"/>
      <w:textAlignment w:val="baseline"/>
    </w:pPr>
    <w:rPr>
      <w:rFonts w:ascii="MingLiU" w:eastAsia="MingLiU" w:hAnsi="仿宋_GB2312" w:cs="仿宋_GB2312"/>
      <w:spacing w:val="60"/>
      <w:kern w:val="0"/>
      <w:sz w:val="24"/>
      <w:szCs w:val="20"/>
      <w:lang w:eastAsia="zh-TW"/>
    </w:rPr>
  </w:style>
  <w:style w:type="paragraph" w:customStyle="1" w:styleId="Char1CharCharCharCharCharChar1">
    <w:name w:val="Char1 Char Char Char Char Char Char1"/>
    <w:basedOn w:val="af1"/>
    <w:qFormat/>
    <w:pPr>
      <w:spacing w:line="360" w:lineRule="auto"/>
      <w:ind w:firstLineChars="200" w:firstLine="200"/>
    </w:pPr>
    <w:rPr>
      <w:rFonts w:ascii="宋体" w:hAnsi="宋体" w:cs="Times New Roman" w:hint="eastAsia"/>
      <w:sz w:val="24"/>
      <w:szCs w:val="20"/>
    </w:rPr>
  </w:style>
  <w:style w:type="paragraph" w:customStyle="1" w:styleId="afffffffffffffffffffffffffff8">
    <w:name w:val="正文文字缩进"/>
    <w:basedOn w:val="af6"/>
    <w:qFormat/>
    <w:pPr>
      <w:adjustRightInd w:val="0"/>
      <w:snapToGrid w:val="0"/>
      <w:spacing w:after="0"/>
      <w:ind w:leftChars="0" w:left="2552" w:right="1134" w:hanging="1418"/>
    </w:pPr>
    <w:rPr>
      <w:rFonts w:asciiTheme="minorHAnsi" w:hAnsiTheme="minorHAnsi"/>
      <w:snapToGrid w:val="0"/>
      <w:kern w:val="0"/>
      <w:sz w:val="28"/>
      <w:szCs w:val="28"/>
    </w:rPr>
  </w:style>
  <w:style w:type="paragraph" w:customStyle="1" w:styleId="5f4">
    <w:name w:val="列表延续 5"/>
    <w:basedOn w:val="af1"/>
    <w:qFormat/>
    <w:pPr>
      <w:autoSpaceDE w:val="0"/>
      <w:autoSpaceDN w:val="0"/>
      <w:adjustRightInd w:val="0"/>
      <w:spacing w:after="120" w:line="400" w:lineRule="exact"/>
      <w:ind w:left="1260"/>
      <w:jc w:val="left"/>
    </w:pPr>
    <w:rPr>
      <w:rFonts w:ascii="宋体" w:hAnsi="Tms Rmn" w:cs="Times New Roman"/>
      <w:spacing w:val="-5"/>
      <w:kern w:val="0"/>
      <w:sz w:val="26"/>
      <w:szCs w:val="20"/>
    </w:rPr>
  </w:style>
  <w:style w:type="paragraph" w:customStyle="1" w:styleId="afffffffffffffffffffffffffff9">
    <w:name w:val="小标题@"/>
    <w:basedOn w:val="af1"/>
    <w:qFormat/>
    <w:pPr>
      <w:widowControl/>
      <w:adjustRightInd w:val="0"/>
      <w:spacing w:before="60" w:after="60"/>
      <w:jc w:val="left"/>
      <w:textAlignment w:val="baseline"/>
    </w:pPr>
    <w:rPr>
      <w:rFonts w:ascii="仿宋_GB2312" w:hAnsi="仿宋_GB2312" w:cs="仿宋_GB2312"/>
      <w:sz w:val="24"/>
      <w:szCs w:val="20"/>
    </w:rPr>
  </w:style>
  <w:style w:type="paragraph" w:customStyle="1" w:styleId="CharCharChar1CharCharChar1CharCharCharCharCharChar1CharCharChar1Char">
    <w:name w:val="Char Char Char1 Char Char Char1 Char Char Char Char Char Char1 Char Char Char1 Char"/>
    <w:basedOn w:val="af1"/>
    <w:qFormat/>
    <w:pPr>
      <w:widowControl/>
      <w:jc w:val="left"/>
    </w:pPr>
    <w:rPr>
      <w:rFonts w:ascii="仿宋_GB2312" w:hAnsi="仿宋_GB2312" w:cs="仿宋_GB2312"/>
      <w:szCs w:val="24"/>
    </w:rPr>
  </w:style>
  <w:style w:type="paragraph" w:customStyle="1" w:styleId="76">
    <w:name w:val="样式 样式7 + 黑色"/>
    <w:basedOn w:val="73"/>
    <w:qFormat/>
    <w:pPr>
      <w:keepNext/>
      <w:keepLines/>
      <w:tabs>
        <w:tab w:val="left" w:pos="992"/>
      </w:tabs>
      <w:spacing w:beforeLines="50" w:afterLines="50" w:line="240" w:lineRule="auto"/>
      <w:ind w:left="992" w:firstLineChars="0" w:firstLine="0"/>
      <w:textAlignment w:val="baseline"/>
      <w:outlineLvl w:val="1"/>
    </w:pPr>
    <w:rPr>
      <w:rFonts w:eastAsia="黑体"/>
      <w:color w:val="000000"/>
      <w:kern w:val="30"/>
      <w:sz w:val="28"/>
      <w:szCs w:val="28"/>
    </w:rPr>
  </w:style>
  <w:style w:type="paragraph" w:customStyle="1" w:styleId="style12style13">
    <w:name w:val="style12 style13"/>
    <w:basedOn w:val="af1"/>
    <w:qFormat/>
    <w:pPr>
      <w:widowControl/>
      <w:spacing w:before="100" w:beforeAutospacing="1" w:after="100" w:afterAutospacing="1"/>
      <w:jc w:val="left"/>
    </w:pPr>
    <w:rPr>
      <w:rFonts w:ascii="宋体" w:hAnsi="宋体" w:cs="宋体"/>
      <w:kern w:val="0"/>
      <w:sz w:val="24"/>
      <w:szCs w:val="24"/>
    </w:rPr>
  </w:style>
  <w:style w:type="paragraph" w:customStyle="1" w:styleId="xl47">
    <w:name w:val="xl47"/>
    <w:basedOn w:val="af1"/>
    <w:qFormat/>
    <w:pPr>
      <w:widowControl/>
      <w:pBdr>
        <w:left w:val="single" w:sz="4" w:space="0" w:color="auto"/>
      </w:pBdr>
      <w:spacing w:before="100" w:beforeAutospacing="1" w:after="100" w:afterAutospacing="1"/>
      <w:jc w:val="center"/>
    </w:pPr>
    <w:rPr>
      <w:rFonts w:ascii="Arial Unicode MS" w:eastAsia="Arial Unicode MS" w:hAnsi="Arial Unicode MS" w:cs="Arial Unicode MS"/>
      <w:kern w:val="0"/>
      <w:sz w:val="18"/>
      <w:szCs w:val="18"/>
    </w:rPr>
  </w:style>
  <w:style w:type="paragraph" w:customStyle="1" w:styleId="1ffffff7">
    <w:name w:val="表格样式1"/>
    <w:basedOn w:val="af1"/>
    <w:qFormat/>
    <w:pPr>
      <w:widowControl/>
      <w:adjustRightInd w:val="0"/>
      <w:spacing w:line="20" w:lineRule="atLeast"/>
      <w:jc w:val="center"/>
      <w:textAlignment w:val="baseline"/>
    </w:pPr>
    <w:rPr>
      <w:rFonts w:ascii="Verdana" w:hAnsi="仿宋_GB2312" w:cs="仿宋_GB2312"/>
      <w:kern w:val="0"/>
      <w:szCs w:val="20"/>
    </w:rPr>
  </w:style>
  <w:style w:type="paragraph" w:customStyle="1" w:styleId="33H3h33rdlevel46">
    <w:name w:val="样式 标题 3小标题小节标题标题3H3h33rd level第二层条标题4 + 非加粗 左 段前: 6 磅..."/>
    <w:basedOn w:val="31"/>
    <w:qFormat/>
    <w:pPr>
      <w:widowControl/>
      <w:tabs>
        <w:tab w:val="left" w:pos="1080"/>
      </w:tabs>
      <w:spacing w:before="120" w:after="120" w:line="360" w:lineRule="auto"/>
      <w:ind w:left="851" w:hanging="851"/>
      <w:jc w:val="left"/>
    </w:pPr>
    <w:rPr>
      <w:rFonts w:ascii="Courier New" w:hAnsi="Courier New" w:cs="Courier New"/>
      <w:b w:val="0"/>
      <w:color w:val="000000"/>
      <w:sz w:val="30"/>
      <w:szCs w:val="30"/>
    </w:rPr>
  </w:style>
  <w:style w:type="paragraph" w:customStyle="1" w:styleId="105050">
    <w:name w:val="样式 标题 1章 + 段前: 0.5 行 段后: 0.5 行 行距: 单倍行距"/>
    <w:basedOn w:val="1"/>
    <w:qFormat/>
    <w:pPr>
      <w:keepLines w:val="0"/>
      <w:adjustRightInd w:val="0"/>
      <w:snapToGrid w:val="0"/>
      <w:spacing w:afterLines="50" w:after="330" w:line="240" w:lineRule="auto"/>
      <w:jc w:val="both"/>
    </w:pPr>
    <w:rPr>
      <w:rFonts w:ascii="Arial" w:eastAsia="黑体" w:hAnsi="Arial" w:cs="宋体"/>
      <w:b w:val="0"/>
      <w:bCs w:val="0"/>
      <w:snapToGrid w:val="0"/>
      <w:spacing w:val="10"/>
      <w:kern w:val="0"/>
      <w:sz w:val="32"/>
      <w:szCs w:val="32"/>
    </w:rPr>
  </w:style>
  <w:style w:type="paragraph" w:customStyle="1" w:styleId="afffffffffffffffffffffffffffa">
    <w:name w:val="三号开篇"/>
    <w:basedOn w:val="af1"/>
    <w:qFormat/>
    <w:pPr>
      <w:spacing w:line="480" w:lineRule="auto"/>
      <w:ind w:firstLineChars="200" w:firstLine="200"/>
      <w:jc w:val="left"/>
    </w:pPr>
    <w:rPr>
      <w:rFonts w:ascii="Calibri" w:hAnsi="Calibri" w:cs="Times New Roman"/>
      <w:sz w:val="32"/>
      <w:szCs w:val="24"/>
    </w:rPr>
  </w:style>
  <w:style w:type="paragraph" w:customStyle="1" w:styleId="afffffffffffffffffffffffffffb">
    <w:name w:val="日期（西藏格式）"/>
    <w:basedOn w:val="afff3"/>
    <w:qFormat/>
    <w:pPr>
      <w:adjustRightInd w:val="0"/>
      <w:snapToGrid w:val="0"/>
      <w:spacing w:line="600" w:lineRule="exact"/>
      <w:ind w:right="1361"/>
      <w:jc w:val="right"/>
    </w:pPr>
    <w:rPr>
      <w:rFonts w:ascii="Calibri" w:eastAsia="仿宋_GB2312"/>
      <w:snapToGrid w:val="0"/>
      <w:kern w:val="0"/>
      <w:sz w:val="32"/>
      <w:szCs w:val="32"/>
    </w:rPr>
  </w:style>
  <w:style w:type="paragraph" w:customStyle="1" w:styleId="430">
    <w:name w:val="标题 43"/>
    <w:basedOn w:val="af1"/>
    <w:uiPriority w:val="1"/>
    <w:qFormat/>
    <w:pPr>
      <w:autoSpaceDE w:val="0"/>
      <w:autoSpaceDN w:val="0"/>
      <w:adjustRightInd w:val="0"/>
      <w:ind w:left="240"/>
      <w:jc w:val="left"/>
      <w:outlineLvl w:val="3"/>
    </w:pPr>
    <w:rPr>
      <w:rFonts w:ascii="Microsoft JhengHei" w:eastAsia="Microsoft JhengHei" w:hAnsi="Calibri" w:cs="Microsoft JhengHei"/>
      <w:b/>
      <w:bCs/>
      <w:kern w:val="0"/>
      <w:sz w:val="28"/>
      <w:szCs w:val="28"/>
    </w:rPr>
  </w:style>
  <w:style w:type="paragraph" w:customStyle="1" w:styleId="4fa">
    <w:name w:val="正文4"/>
    <w:basedOn w:val="af1"/>
    <w:qFormat/>
    <w:pPr>
      <w:widowControl/>
      <w:autoSpaceDE w:val="0"/>
      <w:autoSpaceDN w:val="0"/>
      <w:spacing w:after="160" w:line="440" w:lineRule="exact"/>
      <w:ind w:left="567" w:hanging="567"/>
      <w:jc w:val="left"/>
      <w:textAlignment w:val="bottom"/>
    </w:pPr>
    <w:rPr>
      <w:rFonts w:ascii="仿宋_GB2312" w:hAnsi="仿宋_GB2312" w:cs="仿宋_GB2312"/>
      <w:sz w:val="28"/>
      <w:szCs w:val="20"/>
    </w:rPr>
  </w:style>
  <w:style w:type="paragraph" w:customStyle="1" w:styleId="1114">
    <w:name w:val="1.1.1縮"/>
    <w:basedOn w:val="af1"/>
    <w:qFormat/>
    <w:pPr>
      <w:widowControl/>
      <w:autoSpaceDE w:val="0"/>
      <w:autoSpaceDN w:val="0"/>
      <w:snapToGrid w:val="0"/>
      <w:spacing w:line="360" w:lineRule="auto"/>
      <w:ind w:left="1610" w:firstLine="554"/>
      <w:jc w:val="left"/>
    </w:pPr>
    <w:rPr>
      <w:rFonts w:ascii="仿宋_GB2312" w:eastAsia="MS Gothic" w:hAnsi="仿宋_GB2312" w:cs="仿宋_GB2312"/>
      <w:sz w:val="28"/>
      <w:szCs w:val="20"/>
      <w:lang w:eastAsia="zh-TW"/>
    </w:rPr>
  </w:style>
  <w:style w:type="paragraph" w:customStyle="1" w:styleId="afffffffffffffffffffffffffffc">
    <w:name w:val="注×："/>
    <w:qFormat/>
    <w:pPr>
      <w:widowControl w:val="0"/>
      <w:tabs>
        <w:tab w:val="left" w:pos="630"/>
      </w:tabs>
      <w:autoSpaceDE w:val="0"/>
      <w:autoSpaceDN w:val="0"/>
      <w:jc w:val="both"/>
    </w:pPr>
    <w:rPr>
      <w:rFonts w:ascii="Verdana" w:eastAsia="宋体" w:hAnsi="仿宋_GB2312" w:cs="仿宋_GB2312"/>
      <w:sz w:val="18"/>
    </w:rPr>
  </w:style>
  <w:style w:type="paragraph" w:customStyle="1" w:styleId="CharCharCharfd">
    <w:name w:val="自定义正文 Char Char Char"/>
    <w:qFormat/>
    <w:pPr>
      <w:widowControl w:val="0"/>
      <w:adjustRightInd w:val="0"/>
      <w:snapToGrid w:val="0"/>
      <w:spacing w:line="360" w:lineRule="auto"/>
      <w:ind w:firstLine="510"/>
      <w:jc w:val="both"/>
    </w:pPr>
    <w:rPr>
      <w:rFonts w:ascii="仿宋_GB2312" w:eastAsia="宋体" w:hAnsi="仿宋_GB2312" w:cs="仿宋_GB2312"/>
      <w:spacing w:val="-2"/>
      <w:kern w:val="2"/>
      <w:sz w:val="28"/>
      <w:szCs w:val="24"/>
    </w:rPr>
  </w:style>
  <w:style w:type="paragraph" w:customStyle="1" w:styleId="1ffffff8">
    <w:name w:val="论文样式1"/>
    <w:basedOn w:val="af1"/>
    <w:qFormat/>
    <w:pPr>
      <w:spacing w:line="360" w:lineRule="auto"/>
      <w:jc w:val="center"/>
    </w:pPr>
    <w:rPr>
      <w:rFonts w:ascii="黑体" w:hAnsi="Calibri" w:cs="Times New Roman"/>
      <w:sz w:val="24"/>
      <w:szCs w:val="20"/>
    </w:rPr>
  </w:style>
  <w:style w:type="paragraph" w:customStyle="1" w:styleId="CharCharCharChar40">
    <w:name w:val="Char Char Char Char4"/>
    <w:basedOn w:val="af1"/>
    <w:qFormat/>
    <w:rPr>
      <w:rFonts w:ascii="Calibri" w:hAnsi="Calibri" w:cs="Times New Roman"/>
      <w:sz w:val="24"/>
      <w:szCs w:val="24"/>
    </w:rPr>
  </w:style>
  <w:style w:type="paragraph" w:customStyle="1" w:styleId="afffffffffffffffffffffffffffd">
    <w:name w:val="攀成钢一级标题"/>
    <w:basedOn w:val="af1"/>
    <w:qFormat/>
    <w:pPr>
      <w:widowControl/>
      <w:spacing w:line="720" w:lineRule="auto"/>
      <w:jc w:val="left"/>
      <w:outlineLvl w:val="0"/>
    </w:pPr>
    <w:rPr>
      <w:rFonts w:ascii="Calibri" w:hAnsi="Calibri" w:cs="Times New Roman"/>
      <w:b/>
      <w:color w:val="008000"/>
      <w:kern w:val="0"/>
      <w:sz w:val="30"/>
      <w:szCs w:val="20"/>
    </w:rPr>
  </w:style>
  <w:style w:type="paragraph" w:customStyle="1" w:styleId="22a">
    <w:name w:val="标题 22"/>
    <w:basedOn w:val="af1"/>
    <w:uiPriority w:val="1"/>
    <w:qFormat/>
    <w:pPr>
      <w:autoSpaceDE w:val="0"/>
      <w:autoSpaceDN w:val="0"/>
      <w:adjustRightInd w:val="0"/>
      <w:ind w:left="120"/>
      <w:jc w:val="left"/>
      <w:outlineLvl w:val="1"/>
    </w:pPr>
    <w:rPr>
      <w:rFonts w:ascii="Microsoft JhengHei" w:eastAsia="Microsoft JhengHei" w:hAnsi="Calibri" w:cs="Microsoft JhengHei"/>
      <w:b/>
      <w:bCs/>
      <w:kern w:val="0"/>
      <w:sz w:val="32"/>
      <w:szCs w:val="32"/>
    </w:rPr>
  </w:style>
  <w:style w:type="paragraph" w:customStyle="1" w:styleId="CharChar1CharCharCharChar">
    <w:name w:val="Char Char1 Char Char Char Char"/>
    <w:basedOn w:val="af1"/>
    <w:qFormat/>
    <w:rPr>
      <w:rFonts w:ascii="Calibri" w:hAnsi="Calibri" w:cs="Times New Roman"/>
      <w:szCs w:val="24"/>
    </w:rPr>
  </w:style>
  <w:style w:type="paragraph" w:customStyle="1" w:styleId="08515">
    <w:name w:val="样式 四号 首行缩进:  0.85 厘米 行距: 1.5 倍行距"/>
    <w:basedOn w:val="af1"/>
    <w:qFormat/>
    <w:pPr>
      <w:widowControl/>
      <w:spacing w:line="360" w:lineRule="auto"/>
      <w:ind w:firstLine="480"/>
      <w:jc w:val="left"/>
    </w:pPr>
    <w:rPr>
      <w:rFonts w:ascii="仿宋_GB2312" w:hAnsi="仿宋_GB2312" w:cs="Verdana"/>
      <w:sz w:val="28"/>
      <w:szCs w:val="20"/>
    </w:rPr>
  </w:style>
  <w:style w:type="paragraph" w:customStyle="1" w:styleId="afffffffffffffffffffffffffffe">
    <w:name w:val="符号说明"/>
    <w:basedOn w:val="af1"/>
    <w:qFormat/>
    <w:pPr>
      <w:widowControl/>
      <w:tabs>
        <w:tab w:val="left" w:pos="1260"/>
        <w:tab w:val="left" w:pos="3780"/>
        <w:tab w:val="left" w:pos="4680"/>
      </w:tabs>
      <w:spacing w:line="360" w:lineRule="auto"/>
      <w:ind w:firstLineChars="400" w:firstLine="840"/>
      <w:jc w:val="left"/>
    </w:pPr>
    <w:rPr>
      <w:rFonts w:ascii="仿宋_GB2312" w:hAnsi="仿宋_GB2312" w:cs="仿宋_GB2312"/>
      <w:szCs w:val="21"/>
    </w:rPr>
  </w:style>
  <w:style w:type="paragraph" w:customStyle="1" w:styleId="zh">
    <w:name w:val="zh正文"/>
    <w:basedOn w:val="af1"/>
    <w:qFormat/>
    <w:pPr>
      <w:spacing w:line="360" w:lineRule="exact"/>
      <w:ind w:firstLineChars="200" w:firstLine="560"/>
    </w:pPr>
    <w:rPr>
      <w:rFonts w:ascii="宋体" w:hAnsi="宋体" w:cs="Times New Roman"/>
      <w:sz w:val="28"/>
      <w:szCs w:val="20"/>
    </w:rPr>
  </w:style>
  <w:style w:type="paragraph" w:customStyle="1" w:styleId="2fffffc">
    <w:name w:val="正文文字缩进2"/>
    <w:basedOn w:val="26"/>
    <w:qFormat/>
    <w:pPr>
      <w:adjustRightInd w:val="0"/>
      <w:snapToGrid w:val="0"/>
      <w:spacing w:after="240" w:line="240" w:lineRule="auto"/>
      <w:ind w:leftChars="0" w:left="0"/>
      <w:jc w:val="center"/>
    </w:pPr>
    <w:rPr>
      <w:rFonts w:eastAsia="黑体"/>
      <w:snapToGrid w:val="0"/>
      <w:kern w:val="0"/>
      <w:sz w:val="20"/>
      <w:szCs w:val="21"/>
    </w:rPr>
  </w:style>
  <w:style w:type="paragraph" w:customStyle="1" w:styleId="xl45">
    <w:name w:val="xl45"/>
    <w:basedOn w:val="af1"/>
    <w:qFormat/>
    <w:pPr>
      <w:widowControl/>
      <w:pBdr>
        <w:left w:val="single" w:sz="8" w:space="0" w:color="auto"/>
        <w:bottom w:val="single" w:sz="8" w:space="0" w:color="auto"/>
      </w:pBdr>
      <w:spacing w:before="100" w:beforeAutospacing="1" w:after="100" w:afterAutospacing="1"/>
      <w:jc w:val="center"/>
    </w:pPr>
    <w:rPr>
      <w:rFonts w:ascii="Arial Unicode MS" w:eastAsia="Arial Unicode MS" w:hAnsi="Arial Unicode MS" w:cs="Arial Unicode MS"/>
      <w:kern w:val="0"/>
      <w:sz w:val="18"/>
      <w:szCs w:val="18"/>
    </w:rPr>
  </w:style>
  <w:style w:type="paragraph" w:customStyle="1" w:styleId="2CharCharCharCharCharCharCharCharCharChar">
    <w:name w:val="2 Char Char Char Char Char Char Char Char Char Char"/>
    <w:basedOn w:val="af1"/>
    <w:qFormat/>
    <w:pPr>
      <w:widowControl/>
      <w:jc w:val="left"/>
    </w:pPr>
    <w:rPr>
      <w:rFonts w:ascii="仿宋_GB2312" w:hAnsi="仿宋_GB2312" w:cs="仿宋_GB2312"/>
      <w:szCs w:val="24"/>
    </w:rPr>
  </w:style>
  <w:style w:type="paragraph" w:customStyle="1" w:styleId="affffffffffffffffffffffffffff">
    <w:name w:val="正文段落"/>
    <w:basedOn w:val="af1"/>
    <w:qFormat/>
    <w:pPr>
      <w:widowControl/>
      <w:spacing w:line="360" w:lineRule="exact"/>
      <w:ind w:firstLine="476"/>
      <w:jc w:val="left"/>
    </w:pPr>
    <w:rPr>
      <w:rFonts w:ascii="宋体" w:hAnsi="宋体" w:cs="Times New Roman"/>
      <w:sz w:val="24"/>
      <w:szCs w:val="24"/>
    </w:rPr>
  </w:style>
  <w:style w:type="paragraph" w:customStyle="1" w:styleId="affffffffffffffffffffffffffff0">
    <w:name w:val="正文（藏式）"/>
    <w:basedOn w:val="af1"/>
    <w:qFormat/>
    <w:pPr>
      <w:adjustRightInd w:val="0"/>
      <w:snapToGrid w:val="0"/>
    </w:pPr>
    <w:rPr>
      <w:rFonts w:ascii="Calibri" w:hAnsi="Calibri" w:cs="Times New Roman"/>
      <w:snapToGrid w:val="0"/>
      <w:sz w:val="24"/>
      <w:szCs w:val="21"/>
    </w:rPr>
  </w:style>
  <w:style w:type="paragraph" w:customStyle="1" w:styleId="2fffffd">
    <w:name w:val="样式 报告书正文 + 小四 首行缩进:  2 字符"/>
    <w:basedOn w:val="af1"/>
    <w:qFormat/>
    <w:pPr>
      <w:spacing w:line="440" w:lineRule="exact"/>
      <w:ind w:firstLineChars="200" w:firstLine="200"/>
    </w:pPr>
    <w:rPr>
      <w:rFonts w:ascii="Calibri" w:hAnsi="Calibri" w:cs="宋体"/>
      <w:sz w:val="24"/>
      <w:szCs w:val="24"/>
    </w:rPr>
  </w:style>
  <w:style w:type="paragraph" w:customStyle="1" w:styleId="xl90">
    <w:name w:val="xl90"/>
    <w:basedOn w:val="af1"/>
    <w:qFormat/>
    <w:pPr>
      <w:widowControl/>
      <w:pBdr>
        <w:top w:val="single" w:sz="4" w:space="0" w:color="auto"/>
        <w:bottom w:val="single" w:sz="4" w:space="0" w:color="auto"/>
        <w:right w:val="single" w:sz="4" w:space="0" w:color="auto"/>
      </w:pBdr>
      <w:spacing w:before="100" w:beforeAutospacing="1" w:after="100" w:afterAutospacing="1" w:line="360" w:lineRule="auto"/>
    </w:pPr>
    <w:rPr>
      <w:rFonts w:ascii="宋体" w:hAnsi="宋体" w:cs="Times New Roman"/>
      <w:color w:val="000000"/>
      <w:sz w:val="20"/>
      <w:szCs w:val="20"/>
    </w:rPr>
  </w:style>
  <w:style w:type="paragraph" w:customStyle="1" w:styleId="1111-1">
    <w:name w:val="南大梁1.1.1.1-1标题"/>
    <w:basedOn w:val="af1"/>
    <w:qFormat/>
    <w:pPr>
      <w:spacing w:before="60" w:after="60" w:line="360" w:lineRule="auto"/>
    </w:pPr>
    <w:rPr>
      <w:rFonts w:ascii="黑体" w:eastAsia="黑体" w:hAnsi="宋体" w:cs="Times New Roman"/>
      <w:sz w:val="24"/>
      <w:szCs w:val="24"/>
    </w:rPr>
  </w:style>
  <w:style w:type="paragraph" w:customStyle="1" w:styleId="edri-13">
    <w:name w:val="edri-制表位13"/>
    <w:basedOn w:val="af1"/>
    <w:qFormat/>
    <w:pPr>
      <w:widowControl/>
      <w:tabs>
        <w:tab w:val="left" w:pos="3720"/>
        <w:tab w:val="left" w:pos="3750"/>
        <w:tab w:val="left" w:pos="5220"/>
        <w:tab w:val="left" w:pos="5400"/>
      </w:tabs>
      <w:snapToGrid w:val="0"/>
      <w:spacing w:line="360" w:lineRule="auto"/>
      <w:ind w:leftChars="450" w:left="945" w:firstLineChars="374" w:firstLine="898"/>
      <w:jc w:val="left"/>
    </w:pPr>
    <w:rPr>
      <w:rFonts w:ascii="仿宋_GB2312" w:hAnsi="仿宋_GB2312" w:cs="方正宋三简体"/>
      <w:sz w:val="24"/>
      <w:szCs w:val="24"/>
    </w:rPr>
  </w:style>
  <w:style w:type="paragraph" w:customStyle="1" w:styleId="1116">
    <w:name w:val="列出段落111"/>
    <w:basedOn w:val="af1"/>
    <w:qFormat/>
    <w:pPr>
      <w:spacing w:line="360" w:lineRule="auto"/>
      <w:ind w:firstLineChars="200" w:firstLine="420"/>
    </w:pPr>
    <w:rPr>
      <w:rFonts w:ascii="Calibri" w:hAnsi="Calibri" w:cs="Times New Roman"/>
      <w:sz w:val="24"/>
      <w:szCs w:val="21"/>
    </w:rPr>
  </w:style>
  <w:style w:type="paragraph" w:customStyle="1" w:styleId="261">
    <w:name w:val="样式 标题 2 + 段前: 6 磅"/>
    <w:basedOn w:val="22"/>
    <w:qFormat/>
    <w:pPr>
      <w:keepNext w:val="0"/>
      <w:keepLines w:val="0"/>
      <w:tabs>
        <w:tab w:val="left" w:pos="450"/>
      </w:tabs>
      <w:adjustRightInd w:val="0"/>
      <w:snapToGrid w:val="0"/>
      <w:spacing w:before="0" w:after="0" w:line="360" w:lineRule="auto"/>
      <w:ind w:left="567" w:hanging="567"/>
    </w:pPr>
    <w:rPr>
      <w:rFonts w:ascii="Times New Roman" w:hAnsi="Times New Roman" w:cs="宋体"/>
      <w:b w:val="0"/>
      <w:bCs w:val="0"/>
      <w:sz w:val="24"/>
      <w:szCs w:val="20"/>
    </w:rPr>
  </w:style>
  <w:style w:type="paragraph" w:customStyle="1" w:styleId="11111">
    <w:name w:val="1.1.1.1.1"/>
    <w:basedOn w:val="af1"/>
    <w:qFormat/>
    <w:pPr>
      <w:ind w:firstLineChars="200" w:firstLine="482"/>
      <w:outlineLvl w:val="4"/>
    </w:pPr>
    <w:rPr>
      <w:rFonts w:ascii="Calibri" w:hAnsi="Calibri" w:cs="Times New Roman"/>
      <w:b/>
      <w:sz w:val="24"/>
      <w:szCs w:val="24"/>
    </w:rPr>
  </w:style>
  <w:style w:type="paragraph" w:customStyle="1" w:styleId="1ffffff9">
    <w:name w:val="蒲标题1"/>
    <w:basedOn w:val="1"/>
    <w:qFormat/>
    <w:pPr>
      <w:widowControl/>
      <w:adjustRightInd w:val="0"/>
      <w:snapToGrid w:val="0"/>
      <w:spacing w:before="100" w:after="100" w:line="240" w:lineRule="auto"/>
      <w:jc w:val="left"/>
    </w:pPr>
    <w:rPr>
      <w:rFonts w:ascii="Times New Roman"/>
      <w:color w:val="0000FF"/>
      <w:kern w:val="2"/>
      <w:sz w:val="32"/>
      <w:szCs w:val="32"/>
    </w:rPr>
  </w:style>
  <w:style w:type="paragraph" w:customStyle="1" w:styleId="2151">
    <w:name w:val="样式 报告表正文 + 首行缩进:  2 字符 行距: 1.5 倍行距"/>
    <w:basedOn w:val="affffff1"/>
    <w:qFormat/>
    <w:pPr>
      <w:widowControl/>
      <w:spacing w:line="360" w:lineRule="auto"/>
      <w:ind w:firstLineChars="200" w:firstLine="480"/>
      <w:jc w:val="both"/>
      <w:textAlignment w:val="auto"/>
    </w:pPr>
    <w:rPr>
      <w:rFonts w:cs="宋体"/>
      <w:szCs w:val="24"/>
    </w:rPr>
  </w:style>
  <w:style w:type="paragraph" w:customStyle="1" w:styleId="111PAGEHEADINGh1headingHeader1stPage">
    <w:name w:val="样式 标题 1章章标题一、1.标题 1PAGE HEADINGh1headingHeader 1st Page..."/>
    <w:basedOn w:val="1"/>
    <w:qFormat/>
    <w:pPr>
      <w:spacing w:before="100" w:after="90" w:line="578" w:lineRule="auto"/>
      <w:jc w:val="both"/>
    </w:pPr>
    <w:rPr>
      <w:rFonts w:ascii="Times New Roman" w:eastAsia="黑体"/>
      <w:kern w:val="44"/>
    </w:rPr>
  </w:style>
  <w:style w:type="paragraph" w:customStyle="1" w:styleId="CharCharCharCharCharCharCharCharCharCharCharCharChar">
    <w:name w:val="Char Char Char Char Char Char Char Char Char Char Char Char Char"/>
    <w:basedOn w:val="af1"/>
    <w:qFormat/>
    <w:pPr>
      <w:spacing w:line="360" w:lineRule="auto"/>
      <w:jc w:val="left"/>
    </w:pPr>
    <w:rPr>
      <w:rFonts w:ascii="Calibri" w:hAnsi="Calibri" w:cs="Times New Roman"/>
      <w:sz w:val="24"/>
      <w:szCs w:val="24"/>
    </w:rPr>
  </w:style>
  <w:style w:type="paragraph" w:customStyle="1" w:styleId="tian">
    <w:name w:val="tian"/>
    <w:basedOn w:val="af1"/>
    <w:qFormat/>
    <w:pPr>
      <w:widowControl/>
      <w:jc w:val="left"/>
    </w:pPr>
    <w:rPr>
      <w:rFonts w:ascii="仿宋_GB2312" w:hAnsi="仿宋_GB2312" w:cs="仿宋_GB2312"/>
      <w:sz w:val="24"/>
      <w:szCs w:val="20"/>
    </w:rPr>
  </w:style>
  <w:style w:type="paragraph" w:customStyle="1" w:styleId="affffffffffffffffffffffffffff1">
    <w:name w:val="正文 + (符号) 宋体"/>
    <w:basedOn w:val="5f5"/>
    <w:qFormat/>
    <w:pPr>
      <w:spacing w:line="500" w:lineRule="exact"/>
      <w:ind w:firstLineChars="200" w:firstLine="504"/>
    </w:pPr>
    <w:rPr>
      <w:spacing w:val="6"/>
      <w:kern w:val="0"/>
    </w:rPr>
  </w:style>
  <w:style w:type="paragraph" w:customStyle="1" w:styleId="5f5">
    <w:name w:val="样式5"/>
    <w:basedOn w:val="3e"/>
    <w:qFormat/>
    <w:pPr>
      <w:spacing w:before="0" w:line="240" w:lineRule="auto"/>
      <w:ind w:firstLine="0"/>
    </w:pPr>
    <w:rPr>
      <w:rFonts w:ascii="Times New Roman" w:eastAsia="黑体" w:hAnsi="Times New Roman"/>
      <w:color w:val="000000"/>
      <w:spacing w:val="0"/>
    </w:rPr>
  </w:style>
  <w:style w:type="paragraph" w:customStyle="1" w:styleId="133">
    <w:name w:val="13点"/>
    <w:basedOn w:val="af1"/>
    <w:qFormat/>
    <w:pPr>
      <w:widowControl/>
      <w:adjustRightInd w:val="0"/>
      <w:snapToGrid w:val="0"/>
      <w:spacing w:line="360" w:lineRule="auto"/>
      <w:jc w:val="center"/>
    </w:pPr>
    <w:rPr>
      <w:rFonts w:ascii="宋体" w:hAnsi="宋体" w:cs="Times New Roman"/>
      <w:szCs w:val="21"/>
    </w:rPr>
  </w:style>
  <w:style w:type="paragraph" w:customStyle="1" w:styleId="CharCharCharCharCharChar1Char1">
    <w:name w:val="Char Char Char Char Char Char1 Char1"/>
    <w:basedOn w:val="af1"/>
    <w:qFormat/>
    <w:pPr>
      <w:spacing w:line="360" w:lineRule="auto"/>
      <w:ind w:firstLineChars="200" w:firstLine="200"/>
    </w:pPr>
    <w:rPr>
      <w:rFonts w:ascii="宋体" w:hAnsi="宋体" w:cs="宋体"/>
      <w:sz w:val="24"/>
      <w:szCs w:val="24"/>
    </w:rPr>
  </w:style>
  <w:style w:type="paragraph" w:customStyle="1" w:styleId="CharCharCharfe">
    <w:name w:val="正文（首行缩进两字） Char Char Char"/>
    <w:basedOn w:val="af1"/>
    <w:next w:val="af1"/>
    <w:qFormat/>
    <w:pPr>
      <w:spacing w:line="440" w:lineRule="exact"/>
      <w:ind w:firstLineChars="200" w:firstLine="200"/>
    </w:pPr>
    <w:rPr>
      <w:rFonts w:ascii="Arial" w:hAnsi="Arial" w:cs="Times New Roman"/>
      <w:sz w:val="24"/>
      <w:szCs w:val="24"/>
    </w:rPr>
  </w:style>
  <w:style w:type="paragraph" w:customStyle="1" w:styleId="1-10">
    <w:name w:val="图1-1"/>
    <w:basedOn w:val="affffffffffffffffffffffff9"/>
    <w:qFormat/>
    <w:pPr>
      <w:keepLines/>
      <w:spacing w:beforeLines="0" w:before="0" w:after="0" w:line="240" w:lineRule="auto"/>
    </w:pPr>
    <w:rPr>
      <w:rFonts w:eastAsia="宋体"/>
      <w:b w:val="0"/>
      <w:kern w:val="2"/>
      <w:sz w:val="21"/>
      <w:szCs w:val="24"/>
    </w:rPr>
  </w:style>
  <w:style w:type="paragraph" w:customStyle="1" w:styleId="CM57">
    <w:name w:val="CM57"/>
    <w:basedOn w:val="af1"/>
    <w:next w:val="af1"/>
    <w:qFormat/>
    <w:pPr>
      <w:autoSpaceDE w:val="0"/>
      <w:autoSpaceDN w:val="0"/>
      <w:adjustRightInd w:val="0"/>
      <w:spacing w:after="208"/>
      <w:jc w:val="left"/>
    </w:pPr>
    <w:rPr>
      <w:rFonts w:ascii="黑体" w:eastAsia="黑体" w:hAnsi="Calibri" w:cs="黑体"/>
      <w:kern w:val="0"/>
      <w:sz w:val="24"/>
      <w:szCs w:val="24"/>
    </w:rPr>
  </w:style>
  <w:style w:type="paragraph" w:customStyle="1" w:styleId="2fffffe">
    <w:name w:val="样式 标题 2 + 加粗"/>
    <w:basedOn w:val="22"/>
    <w:qFormat/>
    <w:pPr>
      <w:spacing w:before="0" w:after="0" w:line="240" w:lineRule="auto"/>
      <w:jc w:val="left"/>
    </w:pPr>
    <w:rPr>
      <w:rFonts w:ascii="Times New Roman" w:hAnsi="Times New Roman"/>
      <w:kern w:val="0"/>
    </w:rPr>
  </w:style>
  <w:style w:type="paragraph" w:customStyle="1" w:styleId="xl34">
    <w:name w:val="xl34"/>
    <w:basedOn w:val="af1"/>
    <w:qFormat/>
    <w:pPr>
      <w:widowControl/>
      <w:pBdr>
        <w:left w:val="single" w:sz="4" w:space="0" w:color="auto"/>
        <w:bottom w:val="single" w:sz="4" w:space="0" w:color="auto"/>
        <w:right w:val="single" w:sz="4" w:space="0" w:color="auto"/>
      </w:pBdr>
      <w:spacing w:before="100" w:beforeAutospacing="1" w:after="100" w:afterAutospacing="1"/>
      <w:jc w:val="left"/>
      <w:textAlignment w:val="top"/>
    </w:pPr>
    <w:rPr>
      <w:rFonts w:ascii="宋体" w:hAnsi="宋体" w:cs="Times New Roman"/>
      <w:kern w:val="0"/>
      <w:sz w:val="24"/>
      <w:szCs w:val="24"/>
    </w:rPr>
  </w:style>
  <w:style w:type="paragraph" w:customStyle="1" w:styleId="00000">
    <w:name w:val="00000"/>
    <w:basedOn w:val="af1"/>
    <w:qFormat/>
    <w:pPr>
      <w:spacing w:line="440" w:lineRule="exact"/>
      <w:ind w:firstLineChars="200" w:firstLine="200"/>
    </w:pPr>
    <w:rPr>
      <w:rFonts w:ascii="Calibri" w:hAnsi="Calibri" w:cs="Times New Roman"/>
      <w:iCs/>
      <w:color w:val="000000"/>
      <w:sz w:val="24"/>
      <w:szCs w:val="21"/>
    </w:rPr>
  </w:style>
  <w:style w:type="paragraph" w:customStyle="1" w:styleId="3111">
    <w:name w:val="正文文本缩进 3111"/>
    <w:basedOn w:val="af1"/>
    <w:qFormat/>
    <w:pPr>
      <w:widowControl/>
      <w:adjustRightInd w:val="0"/>
      <w:spacing w:line="360" w:lineRule="atLeast"/>
      <w:ind w:firstLine="480"/>
      <w:jc w:val="left"/>
      <w:textAlignment w:val="baseline"/>
    </w:pPr>
    <w:rPr>
      <w:rFonts w:ascii="Verdana" w:hAnsi="仿宋_GB2312" w:cs="仿宋_GB2312"/>
      <w:kern w:val="0"/>
      <w:sz w:val="24"/>
      <w:szCs w:val="20"/>
    </w:rPr>
  </w:style>
  <w:style w:type="paragraph" w:customStyle="1" w:styleId="325">
    <w:name w:val="标题 32"/>
    <w:basedOn w:val="af1"/>
    <w:next w:val="af1"/>
    <w:qFormat/>
    <w:pPr>
      <w:keepNext/>
      <w:keepLines/>
      <w:snapToGrid w:val="0"/>
      <w:spacing w:line="360" w:lineRule="auto"/>
      <w:outlineLvl w:val="2"/>
    </w:pPr>
    <w:rPr>
      <w:rFonts w:ascii="黑体" w:eastAsia="黑体" w:hAnsi="黑体" w:cs="Times New Roman" w:hint="eastAsia"/>
      <w:b/>
      <w:snapToGrid w:val="0"/>
      <w:color w:val="008000"/>
      <w:sz w:val="24"/>
      <w:szCs w:val="24"/>
    </w:rPr>
  </w:style>
  <w:style w:type="paragraph" w:customStyle="1" w:styleId="affffffffffffffffffffffffffff2">
    <w:name w:val="我的表格"/>
    <w:basedOn w:val="af1"/>
    <w:qFormat/>
    <w:pPr>
      <w:autoSpaceDE w:val="0"/>
      <w:autoSpaceDN w:val="0"/>
      <w:adjustRightInd w:val="0"/>
      <w:spacing w:line="340" w:lineRule="exact"/>
      <w:jc w:val="center"/>
    </w:pPr>
    <w:rPr>
      <w:rFonts w:ascii="Calibri" w:hAnsi="宋体" w:cs="Times New Roman"/>
      <w:kern w:val="0"/>
      <w:szCs w:val="21"/>
    </w:rPr>
  </w:style>
  <w:style w:type="paragraph" w:customStyle="1" w:styleId="2ffffff">
    <w:name w:val="样式 表文 + 左  2 字符"/>
    <w:basedOn w:val="afffffffffffff3"/>
    <w:qFormat/>
    <w:pPr>
      <w:widowControl w:val="0"/>
      <w:spacing w:line="360" w:lineRule="auto"/>
      <w:jc w:val="both"/>
    </w:pPr>
    <w:rPr>
      <w:rFonts w:ascii="Calibri" w:hAnsi="Calibri"/>
      <w:szCs w:val="22"/>
    </w:rPr>
  </w:style>
  <w:style w:type="paragraph" w:customStyle="1" w:styleId="xl79">
    <w:name w:val="xl79"/>
    <w:basedOn w:val="af1"/>
    <w:qFormat/>
    <w:pPr>
      <w:widowControl/>
      <w:pBdr>
        <w:top w:val="single" w:sz="4" w:space="0" w:color="auto"/>
        <w:left w:val="single" w:sz="4" w:space="0" w:color="auto"/>
        <w:bottom w:val="single" w:sz="4" w:space="0" w:color="auto"/>
      </w:pBdr>
      <w:spacing w:before="100" w:beforeAutospacing="1" w:after="100" w:afterAutospacing="1" w:line="360" w:lineRule="auto"/>
      <w:jc w:val="left"/>
    </w:pPr>
    <w:rPr>
      <w:rFonts w:ascii="宋体" w:hAnsi="宋体" w:cs="Times New Roman"/>
      <w:color w:val="000000"/>
      <w:sz w:val="20"/>
      <w:szCs w:val="20"/>
    </w:rPr>
  </w:style>
  <w:style w:type="paragraph" w:customStyle="1" w:styleId="2ffffff0">
    <w:name w:val="样式 表号 + 首行缩进:  2 字符"/>
    <w:basedOn w:val="CharCharffff7"/>
    <w:qFormat/>
    <w:rPr>
      <w:rFonts w:cs="宋体"/>
      <w:szCs w:val="20"/>
    </w:rPr>
  </w:style>
  <w:style w:type="paragraph" w:customStyle="1" w:styleId="2ffffff1">
    <w:name w:val="文本块2"/>
    <w:basedOn w:val="af1"/>
    <w:qFormat/>
    <w:pPr>
      <w:adjustRightInd w:val="0"/>
      <w:spacing w:line="450" w:lineRule="atLeast"/>
      <w:ind w:left="119" w:right="91" w:firstLine="570"/>
    </w:pPr>
    <w:rPr>
      <w:rFonts w:ascii="Calibri" w:eastAsia="楷体_GB2312" w:hAnsi="Calibri" w:cs="Times New Roman"/>
      <w:kern w:val="0"/>
      <w:sz w:val="28"/>
      <w:szCs w:val="20"/>
    </w:rPr>
  </w:style>
  <w:style w:type="paragraph" w:customStyle="1" w:styleId="affffffffffffffffffffffffffff3">
    <w:name w:val="表左"/>
    <w:basedOn w:val="af1"/>
    <w:qFormat/>
    <w:pPr>
      <w:widowControl/>
      <w:spacing w:line="280" w:lineRule="exact"/>
      <w:jc w:val="left"/>
    </w:pPr>
    <w:rPr>
      <w:rFonts w:ascii="Verdana" w:hAnsi="仿宋_GB2312" w:cs="仿宋_GB2312"/>
      <w:color w:val="000000"/>
      <w:sz w:val="18"/>
      <w:szCs w:val="24"/>
    </w:rPr>
  </w:style>
  <w:style w:type="paragraph" w:customStyle="1" w:styleId="affffffffffffffffffffffffffff4">
    <w:name w:val="一、"/>
    <w:basedOn w:val="af1"/>
    <w:qFormat/>
    <w:pPr>
      <w:spacing w:beforeLines="50" w:afterLines="50" w:line="480" w:lineRule="exact"/>
      <w:ind w:firstLineChars="200" w:firstLine="562"/>
      <w:jc w:val="center"/>
    </w:pPr>
    <w:rPr>
      <w:rFonts w:ascii="仿宋_GB2312" w:eastAsia="黑体" w:hAnsi="Calibri" w:cs="Times New Roman"/>
      <w:b/>
      <w:sz w:val="28"/>
      <w:szCs w:val="20"/>
    </w:rPr>
  </w:style>
  <w:style w:type="paragraph" w:customStyle="1" w:styleId="ttxtl">
    <w:name w:val="ttxtl"/>
    <w:basedOn w:val="af1"/>
    <w:qFormat/>
    <w:pPr>
      <w:widowControl/>
      <w:spacing w:before="100" w:beforeAutospacing="1" w:after="100" w:afterAutospacing="1"/>
      <w:jc w:val="left"/>
    </w:pPr>
    <w:rPr>
      <w:rFonts w:ascii="Verdana" w:hAnsi="Verdana" w:cs="仿宋_GB2312"/>
      <w:kern w:val="0"/>
      <w:sz w:val="24"/>
      <w:szCs w:val="24"/>
    </w:rPr>
  </w:style>
  <w:style w:type="paragraph" w:customStyle="1" w:styleId="affffffffffffffffffffffffffff5">
    <w:name w:val="列图"/>
    <w:basedOn w:val="afffe"/>
    <w:next w:val="af1"/>
    <w:qFormat/>
    <w:pPr>
      <w:keepLines/>
      <w:widowControl/>
      <w:adjustRightInd w:val="0"/>
      <w:snapToGrid w:val="0"/>
      <w:spacing w:line="276" w:lineRule="auto"/>
      <w:textAlignment w:val="baseline"/>
    </w:pPr>
    <w:rPr>
      <w:rFonts w:eastAsia="宋体" w:hAnsi="仿宋_GB2312" w:cs="仿宋_GB2312"/>
      <w:kern w:val="28"/>
    </w:rPr>
  </w:style>
  <w:style w:type="paragraph" w:customStyle="1" w:styleId="4PIM4h44Char1187">
    <w:name w:val="样式 样式 标题 4第三层条PIM 4h4标题 4 Char + 右侧:  1 字符 + 左侧:  1.87 厘米"/>
    <w:basedOn w:val="af1"/>
    <w:qFormat/>
    <w:pPr>
      <w:widowControl/>
      <w:tabs>
        <w:tab w:val="left" w:pos="851"/>
      </w:tabs>
      <w:ind w:left="851" w:hanging="851"/>
      <w:jc w:val="left"/>
    </w:pPr>
    <w:rPr>
      <w:rFonts w:ascii="仿宋_GB2312" w:hAnsi="仿宋_GB2312" w:cs="仿宋_GB2312"/>
      <w:szCs w:val="24"/>
    </w:rPr>
  </w:style>
  <w:style w:type="paragraph" w:customStyle="1" w:styleId="4fb">
    <w:name w:val="列出段落4"/>
    <w:basedOn w:val="af1"/>
    <w:semiHidden/>
    <w:qFormat/>
    <w:pPr>
      <w:ind w:firstLineChars="200" w:firstLine="420"/>
    </w:pPr>
    <w:rPr>
      <w:rFonts w:ascii="Calibri" w:hAnsi="Calibri" w:cs="Times New Roman"/>
      <w:sz w:val="30"/>
      <w:szCs w:val="30"/>
    </w:rPr>
  </w:style>
  <w:style w:type="paragraph" w:customStyle="1" w:styleId="CharCharCharCharCharChar3CharCharCharCharCharChar">
    <w:name w:val="Char Char Char Char Char Char3 Char Char Char Char Char Char"/>
    <w:basedOn w:val="af1"/>
    <w:qFormat/>
    <w:pPr>
      <w:spacing w:line="360" w:lineRule="auto"/>
      <w:ind w:firstLineChars="200" w:firstLine="200"/>
    </w:pPr>
    <w:rPr>
      <w:rFonts w:ascii="宋体" w:hAnsi="宋体" w:cs="Times New Roman"/>
      <w:sz w:val="24"/>
      <w:szCs w:val="20"/>
    </w:rPr>
  </w:style>
  <w:style w:type="paragraph" w:customStyle="1" w:styleId="affffffffffffffffffffffffffff6">
    <w:name w:val="正文 + 四号"/>
    <w:basedOn w:val="aff0"/>
    <w:qFormat/>
    <w:pPr>
      <w:adjustRightInd/>
      <w:spacing w:line="240" w:lineRule="auto"/>
      <w:ind w:firstLine="560"/>
      <w:textAlignment w:val="auto"/>
    </w:pPr>
    <w:rPr>
      <w:rFonts w:ascii="Times New Roman"/>
      <w:kern w:val="0"/>
      <w:sz w:val="28"/>
      <w:szCs w:val="28"/>
    </w:rPr>
  </w:style>
  <w:style w:type="paragraph" w:customStyle="1" w:styleId="CharCharCharChar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Char Char Char Char"/>
    <w:basedOn w:val="af1"/>
    <w:next w:val="af1"/>
    <w:qFormat/>
    <w:pPr>
      <w:widowControl/>
      <w:pBdr>
        <w:right w:val="single" w:sz="12" w:space="4" w:color="auto"/>
      </w:pBdr>
      <w:spacing w:line="360" w:lineRule="auto"/>
      <w:ind w:firstLineChars="200" w:firstLine="200"/>
      <w:jc w:val="left"/>
    </w:pPr>
    <w:rPr>
      <w:rFonts w:ascii="Verdana" w:hAnsi="Verdana" w:cs="Verdana"/>
      <w:sz w:val="24"/>
      <w:szCs w:val="24"/>
    </w:rPr>
  </w:style>
  <w:style w:type="paragraph" w:customStyle="1" w:styleId="Pa3">
    <w:name w:val="Pa3"/>
    <w:basedOn w:val="af1"/>
    <w:next w:val="af1"/>
    <w:qFormat/>
    <w:pPr>
      <w:widowControl/>
      <w:autoSpaceDE w:val="0"/>
      <w:autoSpaceDN w:val="0"/>
      <w:adjustRightInd w:val="0"/>
      <w:jc w:val="left"/>
    </w:pPr>
    <w:rPr>
      <w:rFonts w:ascii="Gulim" w:eastAsia="Gulim" w:hAnsi="仿宋_GB2312" w:cs="仿宋_GB2312"/>
      <w:kern w:val="0"/>
      <w:sz w:val="20"/>
      <w:szCs w:val="24"/>
    </w:rPr>
  </w:style>
  <w:style w:type="paragraph" w:customStyle="1" w:styleId="affffffffffffffffffffffffffff7">
    <w:name w:val="文章附标题"/>
    <w:basedOn w:val="af1"/>
    <w:next w:val="af1"/>
    <w:qFormat/>
    <w:pPr>
      <w:widowControl/>
      <w:spacing w:before="187" w:after="175" w:line="374" w:lineRule="atLeast"/>
      <w:jc w:val="center"/>
    </w:pPr>
    <w:rPr>
      <w:rFonts w:ascii="Calibri" w:hAnsi="Calibri" w:cs="Times New Roman"/>
      <w:color w:val="000000"/>
      <w:kern w:val="0"/>
      <w:sz w:val="36"/>
      <w:szCs w:val="20"/>
      <w:u w:color="000000"/>
    </w:rPr>
  </w:style>
  <w:style w:type="paragraph" w:customStyle="1" w:styleId="CharCharCharCharCharChar3CharCharCharCharCharChar2">
    <w:name w:val="Char Char Char Char Char Char3 Char Char Char Char Char Char2"/>
    <w:basedOn w:val="af1"/>
    <w:qFormat/>
    <w:pPr>
      <w:spacing w:line="360" w:lineRule="auto"/>
      <w:ind w:firstLineChars="200" w:firstLine="200"/>
    </w:pPr>
    <w:rPr>
      <w:rFonts w:ascii="宋体" w:hAnsi="宋体" w:cs="Times New Roman" w:hint="eastAsia"/>
      <w:sz w:val="24"/>
      <w:szCs w:val="20"/>
    </w:rPr>
  </w:style>
  <w:style w:type="paragraph" w:customStyle="1" w:styleId="1ffffffa">
    <w:name w:val="页脚1"/>
    <w:basedOn w:val="af1"/>
    <w:qFormat/>
    <w:pPr>
      <w:tabs>
        <w:tab w:val="center" w:pos="4153"/>
        <w:tab w:val="right" w:pos="8306"/>
      </w:tabs>
      <w:snapToGrid w:val="0"/>
      <w:jc w:val="left"/>
    </w:pPr>
    <w:rPr>
      <w:rFonts w:ascii="Calibri" w:hAnsi="Calibri" w:cs="Times New Roman"/>
      <w:sz w:val="18"/>
      <w:szCs w:val="20"/>
    </w:rPr>
  </w:style>
  <w:style w:type="paragraph" w:customStyle="1" w:styleId="xl25">
    <w:name w:val="xl25"/>
    <w:basedOn w:val="af1"/>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eastAsia="Arial Unicode MS" w:hAnsi="Calibri" w:cs="Times New Roman"/>
      <w:kern w:val="0"/>
      <w:sz w:val="16"/>
      <w:szCs w:val="16"/>
    </w:rPr>
  </w:style>
  <w:style w:type="paragraph" w:customStyle="1" w:styleId="134">
    <w:name w:val="样式13"/>
    <w:basedOn w:val="af1"/>
    <w:qFormat/>
    <w:pPr>
      <w:ind w:firstLineChars="200" w:firstLine="475"/>
    </w:pPr>
    <w:rPr>
      <w:rFonts w:ascii="Calibri" w:eastAsia="华文中宋" w:hAnsi="Calibri" w:cs="Times New Roman"/>
      <w:color w:val="000000"/>
      <w:sz w:val="24"/>
      <w:szCs w:val="24"/>
    </w:rPr>
  </w:style>
  <w:style w:type="paragraph" w:customStyle="1" w:styleId="020">
    <w:name w:val="02"/>
    <w:basedOn w:val="22"/>
    <w:qFormat/>
    <w:pPr>
      <w:widowControl/>
      <w:spacing w:beforeLines="50" w:after="0" w:line="480" w:lineRule="auto"/>
    </w:pPr>
    <w:rPr>
      <w:rFonts w:ascii="仿宋_GB2312" w:eastAsia="Times New Roman" w:hAnsi="仿宋_GB2312" w:cs="仿宋_GB2312"/>
      <w:color w:val="333333"/>
      <w:sz w:val="24"/>
      <w:szCs w:val="20"/>
    </w:rPr>
  </w:style>
  <w:style w:type="paragraph" w:customStyle="1" w:styleId="CM115">
    <w:name w:val="CM115"/>
    <w:basedOn w:val="Default"/>
    <w:next w:val="Default"/>
    <w:qFormat/>
    <w:pPr>
      <w:spacing w:after="255"/>
    </w:pPr>
    <w:rPr>
      <w:rFonts w:ascii="宋体" w:eastAsia="宋体" w:cs="Times New Roman"/>
      <w:color w:val="auto"/>
    </w:rPr>
  </w:style>
  <w:style w:type="paragraph" w:customStyle="1" w:styleId="2lxb2211H2h2Char41SeHea">
    <w:name w:val="样式 标题 2二级标题标题 lxb2标题21.1H2h2第一层条二级标题 Char单位名4.1SeHea..."/>
    <w:basedOn w:val="affffffffffffc"/>
    <w:next w:val="affffffffffffc"/>
    <w:qFormat/>
    <w:pPr>
      <w:widowControl/>
      <w:spacing w:line="360" w:lineRule="auto"/>
      <w:ind w:firstLineChars="0" w:firstLine="0"/>
      <w:jc w:val="left"/>
    </w:pPr>
    <w:rPr>
      <w:rFonts w:ascii="仿宋_GB2312" w:eastAsia="楷体" w:hAnsi="仿宋_GB2312" w:cs="Verdana"/>
      <w:b/>
    </w:rPr>
  </w:style>
  <w:style w:type="paragraph" w:customStyle="1" w:styleId="affffffffffffffffffffffffffff8">
    <w:name w:val="泸县焦化一级标题"/>
    <w:basedOn w:val="af1"/>
    <w:qFormat/>
    <w:pPr>
      <w:keepNext/>
      <w:keepLines/>
      <w:widowControl/>
      <w:adjustRightInd w:val="0"/>
      <w:snapToGrid w:val="0"/>
      <w:spacing w:line="720" w:lineRule="auto"/>
      <w:jc w:val="left"/>
      <w:outlineLvl w:val="0"/>
    </w:pPr>
    <w:rPr>
      <w:rFonts w:ascii="仿宋_GB2312" w:hAnsi="仿宋_GB2312" w:cs="仿宋_GB2312"/>
      <w:b/>
      <w:bCs/>
      <w:sz w:val="30"/>
      <w:szCs w:val="30"/>
    </w:rPr>
  </w:style>
  <w:style w:type="paragraph" w:customStyle="1" w:styleId="xl61">
    <w:name w:val="xl61"/>
    <w:basedOn w:val="af1"/>
    <w:qFormat/>
    <w:pPr>
      <w:widowControl/>
      <w:pBdr>
        <w:bottom w:val="single" w:sz="4" w:space="0" w:color="auto"/>
      </w:pBdr>
      <w:spacing w:before="100" w:beforeAutospacing="1" w:after="100" w:afterAutospacing="1"/>
      <w:jc w:val="center"/>
    </w:pPr>
    <w:rPr>
      <w:rFonts w:ascii="Calibri" w:eastAsia="Arial Unicode MS" w:hAnsi="Calibri" w:cs="Times New Roman"/>
      <w:kern w:val="0"/>
      <w:sz w:val="15"/>
      <w:szCs w:val="15"/>
    </w:rPr>
  </w:style>
  <w:style w:type="paragraph" w:customStyle="1" w:styleId="CharChar3CharChar1">
    <w:name w:val="Char Char3 Char Char1"/>
    <w:basedOn w:val="af1"/>
    <w:qFormat/>
    <w:pPr>
      <w:widowControl/>
      <w:spacing w:line="360" w:lineRule="auto"/>
      <w:ind w:firstLineChars="200" w:firstLine="200"/>
      <w:jc w:val="left"/>
    </w:pPr>
    <w:rPr>
      <w:rFonts w:ascii="Calibri" w:hAnsi="Calibri" w:cs="Times New Roman"/>
      <w:szCs w:val="24"/>
    </w:rPr>
  </w:style>
  <w:style w:type="paragraph" w:customStyle="1" w:styleId="Char4CharCharCharCharCharChar1">
    <w:name w:val="Char4 Char Char Char Char Char Char1"/>
    <w:basedOn w:val="af1"/>
    <w:qFormat/>
    <w:pPr>
      <w:spacing w:line="360" w:lineRule="auto"/>
      <w:ind w:firstLineChars="200" w:firstLine="200"/>
    </w:pPr>
    <w:rPr>
      <w:rFonts w:ascii="宋体" w:hAnsi="宋体" w:cs="宋体"/>
      <w:sz w:val="24"/>
      <w:szCs w:val="24"/>
    </w:rPr>
  </w:style>
  <w:style w:type="paragraph" w:customStyle="1" w:styleId="affffffffffffffffffffffffffff9">
    <w:name w:val="附图"/>
    <w:basedOn w:val="af1"/>
    <w:qFormat/>
    <w:pPr>
      <w:widowControl/>
      <w:spacing w:line="240" w:lineRule="atLeast"/>
      <w:jc w:val="center"/>
    </w:pPr>
    <w:rPr>
      <w:rFonts w:ascii="Calibri" w:hAnsi="Calibri" w:cs="Times New Roman"/>
      <w:szCs w:val="20"/>
    </w:rPr>
  </w:style>
  <w:style w:type="paragraph" w:customStyle="1" w:styleId="1ffffffb">
    <w:name w:val="段落1"/>
    <w:basedOn w:val="af1"/>
    <w:qFormat/>
    <w:pPr>
      <w:spacing w:line="360" w:lineRule="auto"/>
      <w:ind w:firstLineChars="200" w:firstLine="480"/>
    </w:pPr>
    <w:rPr>
      <w:rFonts w:ascii="Calibri" w:hAnsi="Calibri" w:cs="Times New Roman"/>
      <w:sz w:val="24"/>
      <w:szCs w:val="20"/>
    </w:rPr>
  </w:style>
  <w:style w:type="paragraph" w:customStyle="1" w:styleId="2ffffff2">
    <w:name w:val="样式 标题2　自动设置"/>
    <w:basedOn w:val="22"/>
    <w:qFormat/>
    <w:pPr>
      <w:widowControl/>
      <w:spacing w:beforeLines="50" w:afterLines="50" w:line="240" w:lineRule="auto"/>
      <w:ind w:left="576" w:hanging="576"/>
    </w:pPr>
    <w:rPr>
      <w:rFonts w:ascii="Verdana" w:eastAsia="Times New Roman" w:hAnsi="Verdana" w:cs="Verdana"/>
      <w:kern w:val="0"/>
      <w:sz w:val="28"/>
      <w:szCs w:val="20"/>
    </w:rPr>
  </w:style>
  <w:style w:type="paragraph" w:customStyle="1" w:styleId="affffffffffffffffffffffffffffa">
    <w:name w:val="正文图五"/>
    <w:basedOn w:val="af1"/>
    <w:qFormat/>
    <w:pPr>
      <w:widowControl/>
      <w:adjustRightInd w:val="0"/>
      <w:snapToGrid w:val="0"/>
      <w:jc w:val="center"/>
    </w:pPr>
    <w:rPr>
      <w:rFonts w:ascii="仿宋_GB2312" w:eastAsia="Times New Roman" w:hAnsi="仿宋_GB2312" w:cs="仿宋_GB2312"/>
      <w:spacing w:val="6"/>
      <w:szCs w:val="20"/>
    </w:rPr>
  </w:style>
  <w:style w:type="paragraph" w:customStyle="1" w:styleId="CharCharCharCharCharChar1Char2">
    <w:name w:val="Char Char Char Char Char Char1 Char2"/>
    <w:basedOn w:val="af1"/>
    <w:qFormat/>
    <w:pPr>
      <w:spacing w:line="360" w:lineRule="auto"/>
      <w:ind w:firstLineChars="200" w:firstLine="200"/>
    </w:pPr>
    <w:rPr>
      <w:rFonts w:ascii="宋体" w:hAnsi="宋体" w:cs="Times New Roman"/>
      <w:sz w:val="24"/>
      <w:szCs w:val="20"/>
    </w:rPr>
  </w:style>
  <w:style w:type="paragraph" w:customStyle="1" w:styleId="affffffffffffffffffffffffffffb">
    <w:name w:val="四级"/>
    <w:basedOn w:val="31"/>
    <w:qFormat/>
    <w:pPr>
      <w:keepLines w:val="0"/>
      <w:widowControl/>
      <w:adjustRightInd w:val="0"/>
      <w:snapToGrid w:val="0"/>
      <w:spacing w:before="0" w:after="0" w:line="360" w:lineRule="auto"/>
      <w:ind w:right="-50"/>
      <w:jc w:val="left"/>
      <w:outlineLvl w:val="3"/>
    </w:pPr>
    <w:rPr>
      <w:color w:val="0000FF"/>
      <w:kern w:val="0"/>
      <w:sz w:val="24"/>
      <w:szCs w:val="24"/>
    </w:rPr>
  </w:style>
  <w:style w:type="paragraph" w:customStyle="1" w:styleId="affffffffffffffffffffffffffffc">
    <w:name w:val="段落样式"/>
    <w:basedOn w:val="affffffffffffffffffffffffffd"/>
    <w:qFormat/>
    <w:pPr>
      <w:ind w:firstLine="567"/>
    </w:pPr>
    <w:rPr>
      <w:rFonts w:ascii="Times New Roman" w:eastAsia="宋体"/>
      <w:b w:val="0"/>
    </w:rPr>
  </w:style>
  <w:style w:type="paragraph" w:customStyle="1" w:styleId="affffffffffffffffffffffffffffd">
    <w:name w:val="标准"/>
    <w:basedOn w:val="af1"/>
    <w:qFormat/>
    <w:pPr>
      <w:adjustRightInd w:val="0"/>
      <w:spacing w:line="312" w:lineRule="atLeast"/>
      <w:textAlignment w:val="baseline"/>
    </w:pPr>
    <w:rPr>
      <w:rFonts w:ascii="Calibri" w:hAnsi="Calibri" w:cs="Times New Roman"/>
      <w:kern w:val="0"/>
      <w:sz w:val="52"/>
      <w:szCs w:val="20"/>
    </w:rPr>
  </w:style>
  <w:style w:type="paragraph" w:customStyle="1" w:styleId="2H21111Char112112Head">
    <w:name w:val="样式 标题 2H2节标题 1.1节标题 1.1 Char1.1  标题 2  节标题 1.1第一章 标题 2Head..."/>
    <w:basedOn w:val="22"/>
    <w:qFormat/>
    <w:pPr>
      <w:widowControl/>
      <w:spacing w:beforeLines="50" w:after="0" w:line="360" w:lineRule="auto"/>
    </w:pPr>
    <w:rPr>
      <w:rFonts w:ascii="仿宋_GB2312" w:eastAsia="Times New Roman" w:hAnsi="仿宋_GB2312" w:cs="Verdana"/>
      <w:sz w:val="24"/>
      <w:szCs w:val="20"/>
    </w:rPr>
  </w:style>
  <w:style w:type="paragraph" w:customStyle="1" w:styleId="333CharTimesNew3">
    <w:name w:val="样式 标题 3样式　标题 3　自动设置标题 3 Char章 + Times New 表题3"/>
    <w:basedOn w:val="31"/>
    <w:qFormat/>
    <w:pPr>
      <w:widowControl/>
      <w:tabs>
        <w:tab w:val="left" w:pos="3800"/>
        <w:tab w:val="left" w:pos="5200"/>
      </w:tabs>
      <w:autoSpaceDE w:val="0"/>
      <w:autoSpaceDN w:val="0"/>
      <w:adjustRightInd w:val="0"/>
      <w:snapToGrid w:val="0"/>
      <w:spacing w:beforeLines="50" w:afterLines="50" w:line="240" w:lineRule="auto"/>
      <w:ind w:left="-1523" w:firstLine="1523"/>
      <w:jc w:val="left"/>
    </w:pPr>
    <w:rPr>
      <w:rFonts w:ascii="仿宋_GB2312" w:hAnsi="仿宋_GB2312" w:cs="Verdana"/>
      <w:sz w:val="28"/>
      <w:szCs w:val="28"/>
    </w:rPr>
  </w:style>
  <w:style w:type="paragraph" w:customStyle="1" w:styleId="affffffffffffffffffffffffffffe">
    <w:name w:val="表 头"/>
    <w:basedOn w:val="af1"/>
    <w:qFormat/>
    <w:pPr>
      <w:adjustRightInd w:val="0"/>
      <w:spacing w:before="120" w:after="120" w:line="360" w:lineRule="atLeast"/>
      <w:jc w:val="center"/>
    </w:pPr>
    <w:rPr>
      <w:rFonts w:ascii="Calibri" w:eastAsia="黑体" w:hAnsi="Calibri" w:cs="Times New Roman"/>
      <w:spacing w:val="10"/>
      <w:kern w:val="0"/>
      <w:sz w:val="24"/>
      <w:szCs w:val="20"/>
    </w:rPr>
  </w:style>
  <w:style w:type="paragraph" w:customStyle="1" w:styleId="afffffffffffffffffffffffffffff">
    <w:name w:val="封面标准文稿编辑信息"/>
    <w:qFormat/>
    <w:pPr>
      <w:spacing w:before="180" w:line="180" w:lineRule="exact"/>
      <w:ind w:left="1740" w:hanging="420"/>
      <w:jc w:val="center"/>
    </w:pPr>
    <w:rPr>
      <w:rFonts w:ascii="宋体" w:eastAsia="宋体" w:hAnsi="Calibri" w:cs="Times New Roman"/>
      <w:sz w:val="21"/>
    </w:rPr>
  </w:style>
  <w:style w:type="paragraph" w:customStyle="1" w:styleId="21e">
    <w:name w:val="样式 图表 + 首行缩进:  2 字符1"/>
    <w:basedOn w:val="af1"/>
    <w:qFormat/>
    <w:pPr>
      <w:widowControl/>
      <w:adjustRightInd w:val="0"/>
      <w:snapToGrid w:val="0"/>
      <w:spacing w:beforeLines="20" w:afterLines="20"/>
      <w:ind w:leftChars="-50" w:left="-102" w:rightChars="-50" w:right="-105" w:hanging="3"/>
      <w:jc w:val="center"/>
    </w:pPr>
    <w:rPr>
      <w:rFonts w:ascii="仿宋_GB2312" w:eastAsia="Times New Roman" w:hAnsi="仿宋_GB2312" w:cs="仿宋_GB2312"/>
      <w:color w:val="000000"/>
      <w:szCs w:val="24"/>
    </w:rPr>
  </w:style>
  <w:style w:type="paragraph" w:customStyle="1" w:styleId="2ffffff3">
    <w:name w:val="样式 标题 2 + 黑体 (符号) 宋体"/>
    <w:basedOn w:val="22"/>
    <w:qFormat/>
    <w:pPr>
      <w:widowControl/>
      <w:spacing w:beforeLines="50" w:after="120" w:line="360" w:lineRule="auto"/>
      <w:jc w:val="center"/>
      <w:outlineLvl w:val="9"/>
    </w:pPr>
    <w:rPr>
      <w:rFonts w:ascii="楷体" w:eastAsia="楷体" w:hAnsi="仿宋_GB2312" w:cs="仿宋_GB2312"/>
      <w:sz w:val="44"/>
      <w:szCs w:val="44"/>
    </w:rPr>
  </w:style>
  <w:style w:type="paragraph" w:customStyle="1" w:styleId="xl26">
    <w:name w:val="xl26"/>
    <w:basedOn w:val="af1"/>
    <w:qFormat/>
    <w:pPr>
      <w:widowControl/>
      <w:spacing w:before="100" w:beforeAutospacing="1" w:after="100" w:afterAutospacing="1"/>
      <w:jc w:val="left"/>
    </w:pPr>
    <w:rPr>
      <w:rFonts w:ascii="Calibri" w:eastAsia="Arial Unicode MS" w:hAnsi="Calibri" w:cs="Times New Roman"/>
      <w:kern w:val="0"/>
      <w:sz w:val="20"/>
      <w:szCs w:val="20"/>
    </w:rPr>
  </w:style>
  <w:style w:type="paragraph" w:customStyle="1" w:styleId="005">
    <w:name w:val="样式 右侧:  0 厘米 段前: 0.5 行"/>
    <w:basedOn w:val="af1"/>
    <w:qFormat/>
    <w:pPr>
      <w:snapToGrid w:val="0"/>
      <w:spacing w:beforeLines="50" w:line="360" w:lineRule="auto"/>
      <w:ind w:firstLineChars="200" w:firstLine="200"/>
    </w:pPr>
    <w:rPr>
      <w:rFonts w:ascii="Calibri" w:hAnsi="Calibri" w:cs="Times New Roman"/>
      <w:sz w:val="24"/>
      <w:szCs w:val="20"/>
    </w:rPr>
  </w:style>
  <w:style w:type="paragraph" w:customStyle="1" w:styleId="CharCharCharCharCharChar22">
    <w:name w:val="Char Char Char Char Char Char22"/>
    <w:basedOn w:val="af1"/>
    <w:qFormat/>
    <w:pPr>
      <w:spacing w:line="360" w:lineRule="auto"/>
      <w:ind w:firstLineChars="200" w:firstLine="200"/>
    </w:pPr>
    <w:rPr>
      <w:rFonts w:ascii="宋体" w:hAnsi="宋体" w:cs="Times New Roman" w:hint="eastAsia"/>
      <w:sz w:val="24"/>
      <w:szCs w:val="20"/>
    </w:rPr>
  </w:style>
  <w:style w:type="paragraph" w:customStyle="1" w:styleId="a10">
    <w:name w:val="a表格文字1"/>
    <w:basedOn w:val="af1"/>
    <w:qFormat/>
    <w:pPr>
      <w:spacing w:line="0" w:lineRule="atLeast"/>
      <w:jc w:val="center"/>
    </w:pPr>
    <w:rPr>
      <w:rFonts w:ascii="宋体" w:hAnsi="宋体" w:cs="Times New Roman"/>
      <w:sz w:val="24"/>
      <w:szCs w:val="30"/>
    </w:rPr>
  </w:style>
  <w:style w:type="paragraph" w:customStyle="1" w:styleId="2ffffff4">
    <w:name w:val="标题 2，节"/>
    <w:basedOn w:val="22"/>
    <w:qFormat/>
    <w:pPr>
      <w:widowControl/>
      <w:adjustRightInd w:val="0"/>
      <w:snapToGrid w:val="0"/>
      <w:spacing w:beforeLines="50" w:line="415" w:lineRule="auto"/>
    </w:pPr>
    <w:rPr>
      <w:rFonts w:ascii="宋体" w:eastAsia="宋体" w:hAnsi="宋体"/>
      <w:bCs w:val="0"/>
      <w:sz w:val="24"/>
      <w:szCs w:val="20"/>
    </w:rPr>
  </w:style>
  <w:style w:type="paragraph" w:customStyle="1" w:styleId="ae">
    <w:name w:val="第十三章 表格标题"/>
    <w:basedOn w:val="-13"/>
    <w:next w:val="af1"/>
    <w:qFormat/>
    <w:pPr>
      <w:numPr>
        <w:numId w:val="24"/>
      </w:numPr>
    </w:pPr>
  </w:style>
  <w:style w:type="paragraph" w:customStyle="1" w:styleId="Afffffffffffffffffffffffffffff0">
    <w:name w:val="列表 A"/>
    <w:basedOn w:val="afffe"/>
    <w:qFormat/>
    <w:pPr>
      <w:widowControl/>
      <w:tabs>
        <w:tab w:val="left" w:pos="1021"/>
      </w:tabs>
      <w:spacing w:beforeLines="100" w:afterLines="50" w:line="288" w:lineRule="auto"/>
      <w:ind w:left="1021" w:hanging="454"/>
      <w:jc w:val="left"/>
    </w:pPr>
    <w:rPr>
      <w:rFonts w:ascii="Courier New" w:eastAsia="宋体" w:hAnsi="Courier New" w:cs="仿宋_GB2312"/>
      <w:b/>
      <w:bCs/>
      <w:color w:val="FF99CC"/>
    </w:rPr>
  </w:style>
  <w:style w:type="paragraph" w:customStyle="1" w:styleId="afffffffffffffffffffffffffffff1">
    <w:name w:val="报告书表格"/>
    <w:basedOn w:val="af1"/>
    <w:qFormat/>
    <w:pPr>
      <w:adjustRightInd w:val="0"/>
      <w:spacing w:line="240" w:lineRule="atLeast"/>
      <w:jc w:val="center"/>
      <w:textAlignment w:val="baseline"/>
    </w:pPr>
    <w:rPr>
      <w:rFonts w:ascii="Calibri" w:hAnsi="Calibri" w:cs="Times New Roman"/>
      <w:kern w:val="0"/>
      <w:sz w:val="24"/>
      <w:szCs w:val="20"/>
    </w:rPr>
  </w:style>
  <w:style w:type="paragraph" w:customStyle="1" w:styleId="afffffffffffffffffffffffffffff2">
    <w:name w:val="正文条目a"/>
    <w:basedOn w:val="af1"/>
    <w:qFormat/>
    <w:pPr>
      <w:ind w:leftChars="300" w:left="400" w:hangingChars="100" w:hanging="100"/>
    </w:pPr>
    <w:rPr>
      <w:rFonts w:ascii="宋体" w:hAnsi="Calibri" w:cs="Times New Roman"/>
      <w:sz w:val="24"/>
    </w:rPr>
  </w:style>
  <w:style w:type="paragraph" w:customStyle="1" w:styleId="Char050">
    <w:name w:val="样式 图表标题 Char + 段后: 0.5 行"/>
    <w:basedOn w:val="af1"/>
    <w:qFormat/>
    <w:pPr>
      <w:spacing w:afterLines="50" w:after="156"/>
      <w:jc w:val="center"/>
    </w:pPr>
    <w:rPr>
      <w:rFonts w:ascii="Calibri" w:eastAsia="黑体" w:hAnsi="Calibri" w:cs="Times New Roman"/>
      <w:sz w:val="24"/>
      <w:szCs w:val="20"/>
    </w:rPr>
  </w:style>
  <w:style w:type="paragraph" w:customStyle="1" w:styleId="2ffffff5">
    <w:name w:val="正文 首行缩进:  2 字符"/>
    <w:basedOn w:val="af1"/>
    <w:qFormat/>
    <w:pPr>
      <w:spacing w:line="360" w:lineRule="auto"/>
      <w:ind w:firstLineChars="200" w:firstLine="579"/>
    </w:pPr>
    <w:rPr>
      <w:rFonts w:ascii="Arial" w:hAnsi="Arial" w:cs="宋体"/>
      <w:sz w:val="28"/>
      <w:szCs w:val="20"/>
    </w:rPr>
  </w:style>
  <w:style w:type="paragraph" w:customStyle="1" w:styleId="205">
    <w:name w:val="样式 标题 2 + 段前: 0.5 行"/>
    <w:basedOn w:val="22"/>
    <w:qFormat/>
    <w:pPr>
      <w:keepNext w:val="0"/>
      <w:keepLines w:val="0"/>
      <w:widowControl/>
      <w:snapToGrid w:val="0"/>
      <w:spacing w:beforeLines="50" w:after="0" w:line="240" w:lineRule="auto"/>
      <w:ind w:left="540" w:hanging="540"/>
    </w:pPr>
    <w:rPr>
      <w:rFonts w:ascii="仿宋_GB2312" w:eastAsia="楷体" w:hAnsi="仿宋_GB2312" w:cs="Verdana"/>
      <w:b w:val="0"/>
      <w:bCs w:val="0"/>
      <w:color w:val="0000FF"/>
      <w:sz w:val="24"/>
      <w:szCs w:val="20"/>
    </w:rPr>
  </w:style>
  <w:style w:type="paragraph" w:customStyle="1" w:styleId="1ffffffc">
    <w:name w:val="编号1"/>
    <w:basedOn w:val="af1"/>
    <w:qFormat/>
    <w:pPr>
      <w:tabs>
        <w:tab w:val="left" w:pos="360"/>
      </w:tabs>
    </w:pPr>
    <w:rPr>
      <w:rFonts w:ascii="Calibri" w:hAnsi="Calibri" w:cs="Times New Roman"/>
      <w:szCs w:val="20"/>
    </w:rPr>
  </w:style>
  <w:style w:type="paragraph" w:customStyle="1" w:styleId="-20">
    <w:name w:val="ｲﾝﾃﾞﾝﾄ-2"/>
    <w:basedOn w:val="af1"/>
    <w:qFormat/>
    <w:pPr>
      <w:widowControl/>
      <w:spacing w:line="360" w:lineRule="atLeast"/>
      <w:ind w:left="737"/>
      <w:jc w:val="left"/>
    </w:pPr>
    <w:rPr>
      <w:rFonts w:ascii="Calibri" w:hAnsi="楷体_GB2312" w:cs="仿宋_GB2312"/>
      <w:szCs w:val="20"/>
      <w:lang w:eastAsia="ja-JP"/>
    </w:rPr>
  </w:style>
  <w:style w:type="paragraph" w:customStyle="1" w:styleId="xl96">
    <w:name w:val="xl96"/>
    <w:basedOn w:val="af1"/>
    <w:qFormat/>
    <w:pPr>
      <w:widowControl/>
      <w:pBdr>
        <w:left w:val="single" w:sz="8" w:space="0" w:color="auto"/>
        <w:right w:val="single" w:sz="4" w:space="0" w:color="auto"/>
      </w:pBdr>
      <w:spacing w:before="100" w:beforeAutospacing="1" w:after="100" w:afterAutospacing="1"/>
      <w:jc w:val="center"/>
      <w:textAlignment w:val="center"/>
    </w:pPr>
    <w:rPr>
      <w:rFonts w:ascii="華康中楷體" w:eastAsia="華康中楷體" w:hAnsi="華康中楷體" w:cs="華康中楷體"/>
      <w:kern w:val="0"/>
      <w:sz w:val="16"/>
      <w:szCs w:val="16"/>
    </w:rPr>
  </w:style>
  <w:style w:type="paragraph" w:customStyle="1" w:styleId="kk0">
    <w:name w:val="kk"/>
    <w:basedOn w:val="affe"/>
    <w:qFormat/>
    <w:pPr>
      <w:widowControl/>
      <w:autoSpaceDE w:val="0"/>
      <w:autoSpaceDN w:val="0"/>
      <w:adjustRightInd w:val="0"/>
      <w:spacing w:after="0" w:line="360" w:lineRule="auto"/>
      <w:jc w:val="left"/>
      <w:textAlignment w:val="baseline"/>
    </w:pPr>
    <w:rPr>
      <w:rFonts w:ascii="仿宋_GB2312" w:eastAsia="宋体" w:hAnsi="仿宋_GB2312" w:cs="仿宋_GB2312"/>
      <w:spacing w:val="10"/>
      <w:kern w:val="0"/>
      <w:sz w:val="24"/>
      <w:szCs w:val="20"/>
    </w:rPr>
  </w:style>
  <w:style w:type="paragraph" w:customStyle="1" w:styleId="xl31">
    <w:name w:val="xl31"/>
    <w:basedOn w:val="af1"/>
    <w:qFormat/>
    <w:pPr>
      <w:pBdr>
        <w:bottom w:val="single" w:sz="4" w:space="0" w:color="auto"/>
      </w:pBdr>
      <w:spacing w:before="100" w:beforeAutospacing="1" w:after="100" w:afterAutospacing="1"/>
      <w:jc w:val="center"/>
    </w:pPr>
    <w:rPr>
      <w:rFonts w:ascii="Calibri" w:hAnsi="Calibri" w:cs="Times New Roman"/>
      <w:kern w:val="0"/>
      <w:sz w:val="24"/>
    </w:rPr>
  </w:style>
  <w:style w:type="paragraph" w:customStyle="1" w:styleId="CharCharCharCharCharChar1CharCharChar1CharCharCharCharCharChar2">
    <w:name w:val="Char Char Char Char Char Char1 Char Char Char1 Char Char Char Char Char Char2"/>
    <w:basedOn w:val="af1"/>
    <w:qFormat/>
    <w:pPr>
      <w:spacing w:line="360" w:lineRule="auto"/>
      <w:ind w:firstLineChars="200" w:firstLine="200"/>
    </w:pPr>
    <w:rPr>
      <w:rFonts w:ascii="宋体" w:hAnsi="宋体" w:cs="Times New Roman" w:hint="eastAsia"/>
      <w:sz w:val="24"/>
      <w:szCs w:val="20"/>
    </w:rPr>
  </w:style>
  <w:style w:type="paragraph" w:customStyle="1" w:styleId="B2">
    <w:name w:val="列表 B"/>
    <w:basedOn w:val="afffe"/>
    <w:qFormat/>
    <w:pPr>
      <w:widowControl/>
      <w:tabs>
        <w:tab w:val="left" w:pos="425"/>
      </w:tabs>
      <w:spacing w:beforeLines="100" w:afterLines="50" w:line="288" w:lineRule="auto"/>
      <w:ind w:left="425" w:hanging="425"/>
      <w:jc w:val="left"/>
    </w:pPr>
    <w:rPr>
      <w:rFonts w:ascii="Courier New" w:eastAsia="宋体" w:hAnsi="Courier New" w:cs="仿宋_GB2312"/>
      <w:b/>
      <w:bCs/>
      <w:color w:val="FF99CC"/>
    </w:rPr>
  </w:style>
  <w:style w:type="paragraph" w:customStyle="1" w:styleId="1ffffffd">
    <w:name w:val="表格填充1"/>
    <w:basedOn w:val="af1"/>
    <w:qFormat/>
    <w:pPr>
      <w:adjustRightInd w:val="0"/>
      <w:snapToGrid w:val="0"/>
      <w:spacing w:line="400" w:lineRule="exact"/>
      <w:jc w:val="center"/>
    </w:pPr>
    <w:rPr>
      <w:rFonts w:cs="Times New Roman"/>
      <w:snapToGrid w:val="0"/>
      <w:szCs w:val="18"/>
    </w:rPr>
  </w:style>
  <w:style w:type="paragraph" w:customStyle="1" w:styleId="6c">
    <w:name w:val="6'"/>
    <w:basedOn w:val="af1"/>
    <w:qFormat/>
    <w:pPr>
      <w:autoSpaceDE w:val="0"/>
      <w:autoSpaceDN w:val="0"/>
      <w:adjustRightInd w:val="0"/>
      <w:snapToGrid w:val="0"/>
      <w:spacing w:line="320" w:lineRule="exact"/>
      <w:jc w:val="center"/>
      <w:textAlignment w:val="baseline"/>
    </w:pPr>
    <w:rPr>
      <w:rFonts w:ascii="Calibri" w:hAnsi="Calibri" w:cs="Times New Roman"/>
      <w:spacing w:val="20"/>
      <w:kern w:val="28"/>
      <w:sz w:val="24"/>
      <w:szCs w:val="20"/>
    </w:rPr>
  </w:style>
  <w:style w:type="paragraph" w:customStyle="1" w:styleId="5f6">
    <w:name w:val="样式 标题 5 + 自动设置"/>
    <w:basedOn w:val="51"/>
    <w:qFormat/>
    <w:pPr>
      <w:keepNext w:val="0"/>
      <w:keepLines w:val="0"/>
      <w:widowControl/>
      <w:numPr>
        <w:ilvl w:val="0"/>
        <w:numId w:val="0"/>
      </w:numPr>
      <w:tabs>
        <w:tab w:val="clear" w:pos="1008"/>
        <w:tab w:val="left" w:pos="2100"/>
      </w:tabs>
      <w:adjustRightInd w:val="0"/>
      <w:snapToGrid w:val="0"/>
      <w:spacing w:before="0" w:after="0" w:line="500" w:lineRule="exact"/>
      <w:ind w:left="2100" w:firstLineChars="200" w:firstLine="200"/>
      <w:jc w:val="left"/>
    </w:pPr>
    <w:rPr>
      <w:b w:val="0"/>
      <w:bCs w:val="0"/>
      <w:szCs w:val="20"/>
    </w:rPr>
  </w:style>
  <w:style w:type="paragraph" w:customStyle="1" w:styleId="M1">
    <w:name w:val="列表 M"/>
    <w:basedOn w:val="afffe"/>
    <w:qFormat/>
    <w:pPr>
      <w:widowControl/>
      <w:tabs>
        <w:tab w:val="left" w:pos="425"/>
      </w:tabs>
      <w:spacing w:beforeLines="100" w:afterLines="50" w:line="288" w:lineRule="auto"/>
      <w:ind w:left="425" w:hanging="425"/>
      <w:jc w:val="left"/>
    </w:pPr>
    <w:rPr>
      <w:rFonts w:ascii="Courier New" w:eastAsia="宋体" w:hAnsi="Courier New" w:cs="仿宋_GB2312"/>
      <w:b/>
      <w:bCs/>
      <w:color w:val="FF99CC"/>
    </w:rPr>
  </w:style>
  <w:style w:type="paragraph" w:customStyle="1" w:styleId="afffffffffffffffffffffffffffff3">
    <w:name w:val="新正文"/>
    <w:basedOn w:val="af1"/>
    <w:qFormat/>
    <w:pPr>
      <w:spacing w:line="480" w:lineRule="exact"/>
      <w:ind w:firstLine="482"/>
    </w:pPr>
    <w:rPr>
      <w:rFonts w:ascii="仿宋_GB2312" w:eastAsia="仿宋_GB2312" w:hAnsi="Calibri" w:cs="Times New Roman"/>
      <w:bCs/>
      <w:kern w:val="0"/>
      <w:sz w:val="28"/>
      <w:szCs w:val="20"/>
    </w:rPr>
  </w:style>
  <w:style w:type="paragraph" w:customStyle="1" w:styleId="3ff8">
    <w:name w:val="正文文本缩进3"/>
    <w:basedOn w:val="af1"/>
    <w:qFormat/>
    <w:pPr>
      <w:spacing w:after="120"/>
      <w:ind w:leftChars="200" w:left="420"/>
    </w:pPr>
    <w:rPr>
      <w:rFonts w:ascii="Calibri" w:hAnsi="Calibri" w:cs="Times New Roman"/>
      <w:sz w:val="24"/>
      <w:szCs w:val="20"/>
    </w:rPr>
  </w:style>
  <w:style w:type="paragraph" w:customStyle="1" w:styleId="4D0">
    <w:name w:val="列表 4D"/>
    <w:basedOn w:val="45"/>
    <w:qFormat/>
    <w:pPr>
      <w:widowControl/>
      <w:tabs>
        <w:tab w:val="left" w:pos="360"/>
      </w:tabs>
      <w:adjustRightInd/>
      <w:spacing w:afterLines="30" w:line="288" w:lineRule="auto"/>
      <w:ind w:left="360" w:hanging="360"/>
      <w:jc w:val="left"/>
      <w:textAlignment w:val="auto"/>
    </w:pPr>
    <w:rPr>
      <w:rFonts w:ascii="Courier New" w:hAnsi="Courier New" w:cs="仿宋_GB2312"/>
      <w:color w:val="CCFFFF"/>
      <w:kern w:val="2"/>
    </w:rPr>
  </w:style>
  <w:style w:type="paragraph" w:customStyle="1" w:styleId="Char2f4">
    <w:name w:val="样式 正文缩进正文缩进 Char + 首行缩进:  2 字符"/>
    <w:basedOn w:val="aff0"/>
    <w:qFormat/>
    <w:pPr>
      <w:widowControl/>
      <w:snapToGrid w:val="0"/>
      <w:spacing w:line="360" w:lineRule="auto"/>
      <w:ind w:firstLine="480"/>
      <w:jc w:val="left"/>
      <w:textAlignment w:val="auto"/>
    </w:pPr>
    <w:rPr>
      <w:rFonts w:ascii="仿宋_GB2312" w:hAnsi="仿宋_GB2312" w:cs="仿宋_GB2312"/>
      <w:kern w:val="0"/>
      <w:sz w:val="24"/>
      <w:szCs w:val="24"/>
    </w:rPr>
  </w:style>
  <w:style w:type="paragraph" w:customStyle="1" w:styleId="Bt31">
    <w:name w:val="样式 Bt3 + 加粗1"/>
    <w:basedOn w:val="Bt3"/>
    <w:qFormat/>
  </w:style>
  <w:style w:type="paragraph" w:customStyle="1" w:styleId="Bt3">
    <w:name w:val="Bt3"/>
    <w:basedOn w:val="31"/>
    <w:next w:val="af1"/>
    <w:qFormat/>
    <w:pPr>
      <w:spacing w:before="0" w:after="0" w:line="360" w:lineRule="auto"/>
      <w:jc w:val="left"/>
    </w:pPr>
    <w:rPr>
      <w:rFonts w:eastAsia="黑体"/>
      <w:b w:val="0"/>
      <w:bCs w:val="0"/>
      <w:snapToGrid w:val="0"/>
      <w:kern w:val="0"/>
      <w:sz w:val="24"/>
      <w:szCs w:val="20"/>
    </w:rPr>
  </w:style>
  <w:style w:type="paragraph" w:customStyle="1" w:styleId="3ff9">
    <w:name w:val="列出段落3"/>
    <w:basedOn w:val="af1"/>
    <w:qFormat/>
    <w:pPr>
      <w:ind w:firstLineChars="200" w:firstLine="420"/>
    </w:pPr>
    <w:rPr>
      <w:rFonts w:ascii="Calibri" w:hAnsi="Calibri" w:cs="Times New Roman"/>
    </w:rPr>
  </w:style>
  <w:style w:type="paragraph" w:customStyle="1" w:styleId="660">
    <w:name w:val="样式 样式 表文 + 左 段后: 6 磅 + 段后: 6 磅"/>
    <w:basedOn w:val="af1"/>
    <w:qFormat/>
    <w:pPr>
      <w:overflowPunct w:val="0"/>
      <w:topLinePunct/>
      <w:spacing w:line="320" w:lineRule="exact"/>
      <w:jc w:val="left"/>
      <w:outlineLvl w:val="6"/>
    </w:pPr>
    <w:rPr>
      <w:rFonts w:ascii="Calibri" w:hAnsi="Calibri" w:cs="宋体"/>
      <w:sz w:val="18"/>
      <w:szCs w:val="20"/>
    </w:rPr>
  </w:style>
  <w:style w:type="paragraph" w:customStyle="1" w:styleId="520">
    <w:name w:val="标题 52"/>
    <w:basedOn w:val="af1"/>
    <w:next w:val="af1"/>
    <w:qFormat/>
    <w:pPr>
      <w:keepNext/>
      <w:keepLines/>
      <w:tabs>
        <w:tab w:val="left" w:pos="1800"/>
      </w:tabs>
      <w:snapToGrid w:val="0"/>
      <w:spacing w:line="360" w:lineRule="auto"/>
      <w:ind w:left="1009" w:hanging="1009"/>
      <w:jc w:val="left"/>
      <w:outlineLvl w:val="4"/>
    </w:pPr>
    <w:rPr>
      <w:rFonts w:ascii="Calibri" w:hAnsi="Calibri" w:cs="Times New Roman"/>
      <w:b/>
      <w:sz w:val="28"/>
      <w:szCs w:val="20"/>
    </w:rPr>
  </w:style>
  <w:style w:type="paragraph" w:customStyle="1" w:styleId="CharCharCharCharCharCharCharCharCharCharCharCharCharCharChar1CharCharCharCharCharCharCharCharCharCharCharCharCharCharCharCharCharCharCharCharCharCharCharCharChar">
    <w:name w:val="Char Char Char Char Char Char Char Char Char Char Char Char Char Char Char1 Char Char Char Char Char Char Char Char Char Char Char Char Char Char Char Char Char Char Char Char Char Char Char Char Char"/>
    <w:basedOn w:val="af1"/>
    <w:next w:val="af9"/>
    <w:qFormat/>
    <w:pPr>
      <w:widowControl/>
      <w:jc w:val="left"/>
    </w:pPr>
    <w:rPr>
      <w:rFonts w:ascii="仿宋_GB2312" w:hAnsi="仿宋_GB2312" w:cs="仿宋_GB2312"/>
      <w:sz w:val="28"/>
      <w:szCs w:val="20"/>
    </w:rPr>
  </w:style>
  <w:style w:type="paragraph" w:customStyle="1" w:styleId="a1a1a">
    <w:name w:val="項目:(一)[a]1.[a](1)[a]"/>
    <w:basedOn w:val="af1"/>
    <w:qFormat/>
    <w:pPr>
      <w:widowControl/>
      <w:spacing w:line="320" w:lineRule="atLeast"/>
      <w:ind w:left="1038" w:firstLine="448"/>
      <w:jc w:val="left"/>
    </w:pPr>
    <w:rPr>
      <w:rFonts w:ascii="仿宋_GB2312" w:eastAsia="仿宋体" w:hAnsi="仿宋_GB2312" w:cs="仿宋_GB2312"/>
      <w:sz w:val="22"/>
      <w:szCs w:val="20"/>
      <w:lang w:eastAsia="zh-TW"/>
    </w:rPr>
  </w:style>
  <w:style w:type="paragraph" w:customStyle="1" w:styleId="xl114">
    <w:name w:val="xl114"/>
    <w:basedOn w:val="af1"/>
    <w:qFormat/>
    <w:pPr>
      <w:widowControl/>
      <w:pBdr>
        <w:top w:val="single" w:sz="4" w:space="0" w:color="auto"/>
        <w:left w:val="single" w:sz="8" w:space="0" w:color="auto"/>
        <w:bottom w:val="single" w:sz="4" w:space="0" w:color="auto"/>
        <w:right w:val="single" w:sz="4" w:space="0" w:color="auto"/>
      </w:pBdr>
      <w:spacing w:before="100" w:beforeAutospacing="1" w:after="100" w:afterAutospacing="1"/>
      <w:jc w:val="left"/>
    </w:pPr>
    <w:rPr>
      <w:rFonts w:ascii="宋体" w:hAnsi="宋体" w:cs="宋体"/>
      <w:kern w:val="0"/>
      <w:sz w:val="24"/>
      <w:szCs w:val="24"/>
    </w:rPr>
  </w:style>
  <w:style w:type="paragraph" w:customStyle="1" w:styleId="125">
    <w:name w:val="目录 12"/>
    <w:basedOn w:val="af1"/>
    <w:next w:val="af1"/>
    <w:qFormat/>
    <w:pPr>
      <w:spacing w:before="120" w:after="120"/>
      <w:jc w:val="left"/>
    </w:pPr>
    <w:rPr>
      <w:rFonts w:ascii="Calibri" w:hAnsi="Calibri" w:cs="Times New Roman"/>
      <w:b/>
      <w:caps/>
      <w:sz w:val="20"/>
      <w:szCs w:val="20"/>
    </w:rPr>
  </w:style>
  <w:style w:type="paragraph" w:customStyle="1" w:styleId="5f7">
    <w:name w:val="5文章(治)"/>
    <w:basedOn w:val="af1"/>
    <w:qFormat/>
    <w:pPr>
      <w:widowControl/>
      <w:spacing w:line="360" w:lineRule="auto"/>
      <w:ind w:firstLineChars="200" w:firstLine="560"/>
      <w:jc w:val="left"/>
    </w:pPr>
    <w:rPr>
      <w:rFonts w:ascii="Calibri" w:eastAsia="楷体_GB2312" w:hAnsi="Calibri" w:cs="Times New Roman"/>
      <w:sz w:val="28"/>
      <w:szCs w:val="20"/>
    </w:rPr>
  </w:style>
  <w:style w:type="paragraph" w:customStyle="1" w:styleId="xyb2">
    <w:name w:val="xyb自建四级标题"/>
    <w:basedOn w:val="af1"/>
    <w:qFormat/>
    <w:pPr>
      <w:tabs>
        <w:tab w:val="left" w:pos="8280"/>
      </w:tabs>
      <w:spacing w:beforeLines="50" w:line="360" w:lineRule="auto"/>
      <w:outlineLvl w:val="3"/>
    </w:pPr>
    <w:rPr>
      <w:rFonts w:ascii="楷体_GB2312" w:eastAsia="楷体_GB2312" w:hAnsi="Calibri" w:cs="Times New Roman"/>
      <w:b/>
      <w:bCs/>
      <w:sz w:val="24"/>
      <w:szCs w:val="24"/>
    </w:rPr>
  </w:style>
  <w:style w:type="paragraph" w:customStyle="1" w:styleId="afffffffffffffffffffffffffffff4">
    <w:name w:val="环评章标题"/>
    <w:basedOn w:val="af1"/>
    <w:qFormat/>
    <w:pPr>
      <w:adjustRightInd w:val="0"/>
      <w:spacing w:line="360" w:lineRule="atLeast"/>
    </w:pPr>
    <w:rPr>
      <w:rFonts w:ascii="Calibri" w:eastAsia="黑体" w:hAnsi="Calibri" w:cs="Times New Roman"/>
      <w:b/>
      <w:spacing w:val="20"/>
      <w:sz w:val="36"/>
      <w:szCs w:val="20"/>
    </w:rPr>
  </w:style>
  <w:style w:type="paragraph" w:customStyle="1" w:styleId="af">
    <w:name w:val="第七章 图件标题"/>
    <w:basedOn w:val="-xin0"/>
    <w:next w:val="af1"/>
    <w:qFormat/>
    <w:pPr>
      <w:numPr>
        <w:numId w:val="25"/>
      </w:numPr>
      <w:tabs>
        <w:tab w:val="left" w:pos="851"/>
      </w:tabs>
      <w:adjustRightInd w:val="0"/>
      <w:spacing w:line="360" w:lineRule="auto"/>
    </w:pPr>
    <w:rPr>
      <w:rFonts w:ascii="Times New Roman" w:hAnsi="Times New Roman"/>
      <w:sz w:val="24"/>
    </w:rPr>
  </w:style>
  <w:style w:type="paragraph" w:customStyle="1" w:styleId="135">
    <w:name w:val="标题 13"/>
    <w:basedOn w:val="af1"/>
    <w:uiPriority w:val="1"/>
    <w:qFormat/>
    <w:pPr>
      <w:autoSpaceDE w:val="0"/>
      <w:autoSpaceDN w:val="0"/>
      <w:adjustRightInd w:val="0"/>
      <w:ind w:left="120"/>
      <w:jc w:val="left"/>
      <w:outlineLvl w:val="0"/>
    </w:pPr>
    <w:rPr>
      <w:rFonts w:ascii="Microsoft JhengHei" w:eastAsia="Microsoft JhengHei" w:hAnsi="Calibri" w:cs="Microsoft JhengHei"/>
      <w:b/>
      <w:bCs/>
      <w:kern w:val="0"/>
      <w:sz w:val="36"/>
      <w:szCs w:val="36"/>
    </w:rPr>
  </w:style>
  <w:style w:type="paragraph" w:customStyle="1" w:styleId="2ffffff6">
    <w:name w:val="样式 德胜正文 + ˎ̥ 首行缩进:  2 字符"/>
    <w:basedOn w:val="afffffff3"/>
    <w:qFormat/>
    <w:pPr>
      <w:widowControl w:val="0"/>
      <w:ind w:firstLine="480"/>
      <w:jc w:val="both"/>
    </w:pPr>
    <w:rPr>
      <w:rFonts w:ascii="Times New Roman" w:hAnsi="Times New Roman"/>
      <w:szCs w:val="20"/>
    </w:rPr>
  </w:style>
  <w:style w:type="paragraph" w:customStyle="1" w:styleId="3ffa">
    <w:name w:val="标题样式3"/>
    <w:basedOn w:val="31"/>
    <w:qFormat/>
    <w:pPr>
      <w:keepNext w:val="0"/>
      <w:widowControl/>
      <w:spacing w:before="0" w:after="0" w:line="360" w:lineRule="auto"/>
      <w:jc w:val="left"/>
    </w:pPr>
    <w:rPr>
      <w:rFonts w:ascii="黑体" w:eastAsia="黑体" w:cs="黑体"/>
      <w:color w:val="000000"/>
      <w:kern w:val="0"/>
      <w:sz w:val="28"/>
      <w:szCs w:val="28"/>
      <w:lang w:val="zh-CN"/>
    </w:rPr>
  </w:style>
  <w:style w:type="paragraph" w:customStyle="1" w:styleId="afffffffffffffffffffffffffffff5">
    <w:name w:val="正文居中"/>
    <w:basedOn w:val="af1"/>
    <w:qFormat/>
    <w:pPr>
      <w:snapToGrid w:val="0"/>
      <w:spacing w:line="360" w:lineRule="auto"/>
      <w:jc w:val="center"/>
    </w:pPr>
    <w:rPr>
      <w:rFonts w:ascii="Calibri" w:hAnsi="Calibri" w:cs="Times New Roman"/>
      <w:sz w:val="28"/>
      <w:szCs w:val="24"/>
    </w:rPr>
  </w:style>
  <w:style w:type="paragraph" w:customStyle="1" w:styleId="CharCharCharCharCharChar1CharCharCharChar2">
    <w:name w:val="Char Char Char Char Char Char1 Char Char Char Char2"/>
    <w:basedOn w:val="af1"/>
    <w:qFormat/>
    <w:pPr>
      <w:spacing w:line="360" w:lineRule="auto"/>
      <w:ind w:firstLineChars="200" w:firstLine="200"/>
    </w:pPr>
    <w:rPr>
      <w:rFonts w:ascii="宋体" w:hAnsi="宋体" w:cs="Times New Roman" w:hint="eastAsia"/>
      <w:sz w:val="24"/>
      <w:szCs w:val="20"/>
    </w:rPr>
  </w:style>
  <w:style w:type="paragraph" w:customStyle="1" w:styleId="1ffffffe">
    <w:name w:val="正文编号(1)"/>
    <w:basedOn w:val="af1"/>
    <w:next w:val="aff0"/>
    <w:qFormat/>
    <w:pPr>
      <w:widowControl/>
      <w:tabs>
        <w:tab w:val="left" w:pos="360"/>
        <w:tab w:val="left" w:pos="896"/>
      </w:tabs>
    </w:pPr>
    <w:rPr>
      <w:rFonts w:ascii="Arial" w:hAnsi="Arial" w:cs="Times New Roman"/>
      <w:kern w:val="0"/>
      <w:sz w:val="24"/>
    </w:rPr>
  </w:style>
  <w:style w:type="paragraph" w:customStyle="1" w:styleId="4V">
    <w:name w:val="列表 4V"/>
    <w:basedOn w:val="45"/>
    <w:qFormat/>
    <w:pPr>
      <w:widowControl/>
      <w:tabs>
        <w:tab w:val="left" w:pos="1021"/>
      </w:tabs>
      <w:adjustRightInd/>
      <w:spacing w:afterLines="30" w:line="288" w:lineRule="auto"/>
      <w:ind w:left="1021" w:hanging="454"/>
      <w:jc w:val="left"/>
      <w:textAlignment w:val="auto"/>
    </w:pPr>
    <w:rPr>
      <w:rFonts w:ascii="Courier New" w:hAnsi="Courier New" w:cs="仿宋_GB2312"/>
      <w:color w:val="CCFFFF"/>
      <w:kern w:val="2"/>
    </w:rPr>
  </w:style>
  <w:style w:type="paragraph" w:customStyle="1" w:styleId="021">
    <w:name w:val="标题02"/>
    <w:basedOn w:val="22"/>
    <w:next w:val="01"/>
    <w:qFormat/>
    <w:pPr>
      <w:spacing w:before="320" w:line="360" w:lineRule="auto"/>
    </w:pPr>
    <w:rPr>
      <w:rFonts w:ascii="Times New Roman" w:eastAsia="宋体" w:hAnsi="Times New Roman"/>
      <w:bCs w:val="0"/>
      <w:szCs w:val="20"/>
    </w:rPr>
  </w:style>
  <w:style w:type="paragraph" w:customStyle="1" w:styleId="22b">
    <w:name w:val="样式22"/>
    <w:basedOn w:val="af1"/>
    <w:qFormat/>
    <w:pPr>
      <w:spacing w:line="480" w:lineRule="exact"/>
      <w:ind w:firstLineChars="200" w:firstLine="200"/>
    </w:pPr>
    <w:rPr>
      <w:rFonts w:ascii="Calibri" w:hAnsi="Calibri" w:cs="Times New Roman"/>
      <w:sz w:val="24"/>
      <w:szCs w:val="24"/>
    </w:rPr>
  </w:style>
  <w:style w:type="paragraph" w:customStyle="1" w:styleId="hangju">
    <w:name w:val="hangju"/>
    <w:basedOn w:val="af1"/>
    <w:qFormat/>
    <w:pPr>
      <w:widowControl/>
      <w:spacing w:before="100" w:beforeAutospacing="1" w:after="100" w:afterAutospacing="1" w:line="400" w:lineRule="atLeast"/>
      <w:jc w:val="left"/>
    </w:pPr>
    <w:rPr>
      <w:rFonts w:ascii="Verdana" w:hAnsi="Verdana" w:cs="仿宋_GB2312"/>
      <w:kern w:val="0"/>
      <w:sz w:val="24"/>
      <w:szCs w:val="24"/>
    </w:rPr>
  </w:style>
  <w:style w:type="paragraph" w:customStyle="1" w:styleId="bg0">
    <w:name w:val="bg"/>
    <w:basedOn w:val="af1"/>
    <w:qFormat/>
    <w:pPr>
      <w:widowControl/>
      <w:snapToGrid w:val="0"/>
      <w:spacing w:line="360" w:lineRule="auto"/>
      <w:jc w:val="center"/>
    </w:pPr>
    <w:rPr>
      <w:rFonts w:ascii="Calibri" w:hAnsi="Calibri" w:cs="Times New Roman"/>
      <w:color w:val="000000"/>
      <w:sz w:val="18"/>
      <w:szCs w:val="20"/>
    </w:rPr>
  </w:style>
  <w:style w:type="paragraph" w:customStyle="1" w:styleId="CharCharCharCharCharChar1CharCharChar1Char1">
    <w:name w:val="Char Char Char Char Char Char1 Char Char Char1 Char1"/>
    <w:basedOn w:val="af1"/>
    <w:qFormat/>
    <w:pPr>
      <w:spacing w:line="360" w:lineRule="auto"/>
      <w:ind w:firstLineChars="200" w:firstLine="200"/>
    </w:pPr>
    <w:rPr>
      <w:rFonts w:ascii="宋体" w:hAnsi="宋体" w:cs="Times New Roman" w:hint="eastAsia"/>
      <w:sz w:val="24"/>
      <w:szCs w:val="20"/>
    </w:rPr>
  </w:style>
  <w:style w:type="paragraph" w:customStyle="1" w:styleId="font8">
    <w:name w:val="font8"/>
    <w:basedOn w:val="af1"/>
    <w:qFormat/>
    <w:pPr>
      <w:widowControl/>
      <w:spacing w:before="100" w:beforeAutospacing="1" w:after="100" w:afterAutospacing="1"/>
      <w:jc w:val="left"/>
    </w:pPr>
    <w:rPr>
      <w:rFonts w:ascii="Calibri" w:hAnsi="Calibri" w:cs="Times New Roman"/>
      <w:kern w:val="0"/>
      <w:sz w:val="12"/>
      <w:szCs w:val="12"/>
    </w:rPr>
  </w:style>
  <w:style w:type="paragraph" w:customStyle="1" w:styleId="afffffffffffffffffffffffffffff6">
    <w:name w:val="八级标题"/>
    <w:qFormat/>
    <w:pPr>
      <w:adjustRightInd w:val="0"/>
      <w:snapToGrid w:val="0"/>
      <w:spacing w:after="60"/>
      <w:jc w:val="center"/>
    </w:pPr>
    <w:rPr>
      <w:rFonts w:ascii="黑体" w:eastAsia="黑体" w:hAnsi="Calibri" w:cs="Times New Roman"/>
      <w:snapToGrid w:val="0"/>
      <w:sz w:val="21"/>
    </w:rPr>
  </w:style>
  <w:style w:type="paragraph" w:customStyle="1" w:styleId="afffffffffffffffffffffffffffff7">
    <w:name w:val="图表名称"/>
    <w:qFormat/>
    <w:pPr>
      <w:spacing w:line="360" w:lineRule="auto"/>
      <w:jc w:val="center"/>
    </w:pPr>
    <w:rPr>
      <w:rFonts w:ascii="Calibri" w:eastAsia="黑体" w:hAnsi="Calibri" w:cs="Calibri"/>
      <w:b/>
      <w:bCs/>
      <w:kern w:val="2"/>
      <w:sz w:val="21"/>
      <w:szCs w:val="21"/>
    </w:rPr>
  </w:style>
  <w:style w:type="paragraph" w:customStyle="1" w:styleId="afffffffffffffffffffffffffffff8">
    <w:name w:val="正文一"/>
    <w:basedOn w:val="af1"/>
    <w:qFormat/>
    <w:pPr>
      <w:adjustRightInd w:val="0"/>
      <w:spacing w:line="520" w:lineRule="exact"/>
      <w:ind w:firstLineChars="200" w:firstLine="200"/>
      <w:textAlignment w:val="baseline"/>
    </w:pPr>
    <w:rPr>
      <w:rFonts w:ascii="宋体" w:hAnsi="宋体" w:cs="Times New Roman"/>
      <w:kern w:val="0"/>
      <w:sz w:val="24"/>
      <w:szCs w:val="20"/>
    </w:rPr>
  </w:style>
  <w:style w:type="paragraph" w:customStyle="1" w:styleId="afffffffffffffffffffffffffffff9">
    <w:name w:val="条目"/>
    <w:basedOn w:val="afff1"/>
    <w:next w:val="affe"/>
    <w:qFormat/>
    <w:pPr>
      <w:ind w:firstLine="567"/>
      <w:outlineLvl w:val="4"/>
    </w:pPr>
    <w:rPr>
      <w:rFonts w:cs="Times New Roman"/>
      <w:sz w:val="24"/>
      <w:szCs w:val="20"/>
    </w:rPr>
  </w:style>
  <w:style w:type="paragraph" w:customStyle="1" w:styleId="BodyText21">
    <w:name w:val="Body Text 21"/>
    <w:basedOn w:val="af1"/>
    <w:qFormat/>
    <w:pPr>
      <w:adjustRightInd w:val="0"/>
      <w:textAlignment w:val="baseline"/>
    </w:pPr>
    <w:rPr>
      <w:rFonts w:ascii="Calibri" w:eastAsia="仿宋体" w:hAnsi="Calibri" w:cs="Times New Roman"/>
      <w:sz w:val="24"/>
      <w:szCs w:val="20"/>
    </w:rPr>
  </w:style>
  <w:style w:type="paragraph" w:customStyle="1" w:styleId="004">
    <w:name w:val="正文00"/>
    <w:qFormat/>
    <w:pPr>
      <w:overflowPunct w:val="0"/>
      <w:topLinePunct/>
      <w:adjustRightInd w:val="0"/>
      <w:snapToGrid w:val="0"/>
      <w:spacing w:line="460" w:lineRule="exact"/>
      <w:ind w:firstLineChars="200" w:firstLine="200"/>
      <w:jc w:val="both"/>
    </w:pPr>
    <w:rPr>
      <w:rFonts w:ascii="Calibri" w:eastAsia="宋体" w:hAnsi="Calibri" w:cs="Times New Roman"/>
      <w:color w:val="0000FF"/>
      <w:kern w:val="2"/>
      <w:sz w:val="24"/>
      <w:szCs w:val="24"/>
    </w:rPr>
  </w:style>
  <w:style w:type="paragraph" w:customStyle="1" w:styleId="11d">
    <w:name w:val="正文首行缩进11"/>
    <w:basedOn w:val="affe"/>
    <w:qFormat/>
    <w:pPr>
      <w:widowControl/>
      <w:ind w:firstLineChars="100" w:firstLine="420"/>
      <w:jc w:val="left"/>
    </w:pPr>
    <w:rPr>
      <w:rFonts w:ascii="Calibri" w:eastAsia="宋体" w:hAnsi="Calibri" w:cs="Times New Roman"/>
      <w:kern w:val="0"/>
      <w:sz w:val="24"/>
    </w:rPr>
  </w:style>
  <w:style w:type="paragraph" w:customStyle="1" w:styleId="2ffffff7">
    <w:name w:val="標準インデント　2"/>
    <w:basedOn w:val="aff0"/>
    <w:qFormat/>
    <w:pPr>
      <w:widowControl/>
      <w:overflowPunct w:val="0"/>
      <w:autoSpaceDE w:val="0"/>
      <w:autoSpaceDN w:val="0"/>
      <w:spacing w:line="240" w:lineRule="auto"/>
      <w:ind w:left="2900" w:firstLineChars="0" w:hanging="2038"/>
      <w:jc w:val="left"/>
    </w:pPr>
    <w:rPr>
      <w:rFonts w:ascii="仿宋_GB2312" w:eastAsia="Times New Roman" w:hAnsi="仿宋_GB2312" w:cs="仿宋_GB2312"/>
      <w:kern w:val="0"/>
      <w:sz w:val="20"/>
      <w:lang w:eastAsia="ja-JP"/>
    </w:rPr>
  </w:style>
  <w:style w:type="paragraph" w:customStyle="1" w:styleId="CharCharCharCharCharCharCharCharCharCharCharCharCharCharCharCharCharChar2">
    <w:name w:val="Char Char Char Char Char Char Char Char Char Char Char Char Char Char Char Char Char Char2"/>
    <w:basedOn w:val="af1"/>
    <w:qFormat/>
    <w:rPr>
      <w:rFonts w:ascii="宋体" w:hAnsi="Calibri" w:cs="Times New Roman"/>
      <w:sz w:val="24"/>
      <w:szCs w:val="20"/>
    </w:rPr>
  </w:style>
  <w:style w:type="paragraph" w:customStyle="1" w:styleId="-">
    <w:name w:val="验收报告-款"/>
    <w:qFormat/>
    <w:pPr>
      <w:widowControl w:val="0"/>
      <w:numPr>
        <w:numId w:val="1"/>
      </w:numPr>
      <w:adjustRightInd w:val="0"/>
      <w:snapToGrid w:val="0"/>
      <w:spacing w:line="360" w:lineRule="auto"/>
      <w:ind w:firstLineChars="100" w:firstLine="454"/>
      <w:outlineLvl w:val="3"/>
    </w:pPr>
    <w:rPr>
      <w:rFonts w:ascii="宋体" w:eastAsia="宋体" w:hAnsi="宋体" w:cs="Times New Roman"/>
      <w:sz w:val="28"/>
    </w:rPr>
  </w:style>
  <w:style w:type="paragraph" w:customStyle="1" w:styleId="afffffffffffffffffffffffffffffa">
    <w:name w:val="样式（大表格）"/>
    <w:basedOn w:val="afffffc"/>
    <w:qFormat/>
    <w:pPr>
      <w:adjustRightInd w:val="0"/>
      <w:snapToGrid w:val="0"/>
      <w:jc w:val="left"/>
    </w:pPr>
    <w:rPr>
      <w:rFonts w:ascii="Times New Roman" w:eastAsia="宋体" w:hAnsi="Times New Roman" w:cs="Times New Roman"/>
      <w:szCs w:val="24"/>
    </w:rPr>
  </w:style>
  <w:style w:type="paragraph" w:customStyle="1" w:styleId="4A0">
    <w:name w:val="列表 4A"/>
    <w:basedOn w:val="45"/>
    <w:qFormat/>
    <w:pPr>
      <w:widowControl/>
      <w:tabs>
        <w:tab w:val="left" w:pos="360"/>
      </w:tabs>
      <w:adjustRightInd/>
      <w:spacing w:afterLines="30" w:line="288" w:lineRule="auto"/>
      <w:ind w:left="360" w:hangingChars="200" w:hanging="360"/>
      <w:jc w:val="left"/>
      <w:textAlignment w:val="auto"/>
    </w:pPr>
    <w:rPr>
      <w:rFonts w:ascii="Courier New" w:hAnsi="Courier New" w:cs="仿宋_GB2312"/>
      <w:color w:val="CCFFFF"/>
      <w:kern w:val="2"/>
    </w:rPr>
  </w:style>
  <w:style w:type="paragraph" w:customStyle="1" w:styleId="CharCharCharCharf1">
    <w:name w:val="Char Char Char Char"/>
    <w:basedOn w:val="af1"/>
    <w:qFormat/>
    <w:pPr>
      <w:widowControl/>
      <w:adjustRightInd w:val="0"/>
      <w:spacing w:after="160" w:line="240" w:lineRule="exact"/>
      <w:jc w:val="left"/>
    </w:pPr>
    <w:rPr>
      <w:rFonts w:ascii="Arial" w:eastAsia="Times New Roman" w:hAnsi="Arial" w:cs="Verdana"/>
      <w:b/>
      <w:kern w:val="0"/>
      <w:sz w:val="24"/>
      <w:szCs w:val="24"/>
      <w:lang w:eastAsia="en-US"/>
    </w:rPr>
  </w:style>
  <w:style w:type="paragraph" w:customStyle="1" w:styleId="afffffffffffffffffffffffffffffb">
    <w:name w:val="样式（二级目录）"/>
    <w:basedOn w:val="31"/>
    <w:qFormat/>
    <w:pPr>
      <w:widowControl/>
      <w:adjustRightInd w:val="0"/>
      <w:snapToGrid w:val="0"/>
      <w:spacing w:before="0" w:after="0" w:line="360" w:lineRule="auto"/>
      <w:jc w:val="left"/>
    </w:pPr>
    <w:rPr>
      <w:rFonts w:eastAsia="Times New Roman" w:hAnsi="宋体"/>
      <w:bCs w:val="0"/>
      <w:color w:val="0000FF"/>
      <w:sz w:val="24"/>
    </w:rPr>
  </w:style>
  <w:style w:type="paragraph" w:customStyle="1" w:styleId="326">
    <w:name w:val="正文文本缩进 32"/>
    <w:basedOn w:val="af1"/>
    <w:qFormat/>
    <w:pPr>
      <w:adjustRightInd w:val="0"/>
      <w:spacing w:line="300" w:lineRule="auto"/>
      <w:ind w:firstLine="691"/>
      <w:textAlignment w:val="baseline"/>
    </w:pPr>
    <w:rPr>
      <w:rFonts w:ascii="宋体" w:hAnsi="Calibri" w:cs="Times New Roman"/>
      <w:kern w:val="0"/>
      <w:sz w:val="28"/>
      <w:szCs w:val="20"/>
    </w:rPr>
  </w:style>
  <w:style w:type="paragraph" w:customStyle="1" w:styleId="afffffffffffffffffffffffffffffc">
    <w:name w:val="标题样式"/>
    <w:basedOn w:val="af1"/>
    <w:qFormat/>
    <w:pPr>
      <w:tabs>
        <w:tab w:val="left" w:pos="567"/>
      </w:tabs>
      <w:adjustRightInd w:val="0"/>
      <w:spacing w:line="360" w:lineRule="auto"/>
    </w:pPr>
    <w:rPr>
      <w:rFonts w:ascii="黑体" w:eastAsia="黑体" w:hAnsi="Calibri" w:cs="Times New Roman"/>
      <w:b/>
      <w:spacing w:val="20"/>
      <w:sz w:val="24"/>
      <w:szCs w:val="20"/>
    </w:rPr>
  </w:style>
  <w:style w:type="paragraph" w:customStyle="1" w:styleId="xl28">
    <w:name w:val="xl28"/>
    <w:basedOn w:val="af1"/>
    <w:qFormat/>
    <w:pPr>
      <w:widowControl/>
      <w:pBdr>
        <w:left w:val="single" w:sz="4" w:space="0" w:color="auto"/>
        <w:right w:val="single" w:sz="4" w:space="0" w:color="auto"/>
      </w:pBdr>
      <w:spacing w:before="100" w:beforeAutospacing="1" w:after="100" w:afterAutospacing="1"/>
      <w:jc w:val="center"/>
      <w:textAlignment w:val="center"/>
    </w:pPr>
    <w:rPr>
      <w:rFonts w:ascii="宋体" w:hAnsi="宋体" w:cs="Times New Roman"/>
      <w:kern w:val="0"/>
      <w:sz w:val="24"/>
      <w:szCs w:val="24"/>
    </w:rPr>
  </w:style>
  <w:style w:type="paragraph" w:customStyle="1" w:styleId="afffffffffffffffffffffffffffffd">
    <w:name w:val="表格正文正文"/>
    <w:basedOn w:val="af1"/>
    <w:qFormat/>
    <w:pPr>
      <w:spacing w:line="0" w:lineRule="atLeast"/>
      <w:jc w:val="center"/>
    </w:pPr>
    <w:rPr>
      <w:rFonts w:ascii="Arial" w:hAnsi="Arial" w:cs="Arial"/>
      <w:szCs w:val="20"/>
    </w:rPr>
  </w:style>
  <w:style w:type="paragraph" w:customStyle="1" w:styleId="CharCharChar2Char">
    <w:name w:val="Char Char Char2 Char"/>
    <w:basedOn w:val="af1"/>
    <w:qFormat/>
    <w:pPr>
      <w:tabs>
        <w:tab w:val="left" w:pos="1080"/>
      </w:tabs>
      <w:ind w:left="1080" w:hanging="600"/>
    </w:pPr>
    <w:rPr>
      <w:rFonts w:ascii="Calibri" w:hAnsi="Calibri" w:cs="Times New Roman"/>
      <w:szCs w:val="24"/>
    </w:rPr>
  </w:style>
  <w:style w:type="paragraph" w:customStyle="1" w:styleId="afffffffffffffffffffffffffffffe">
    <w:name w:val="仿宋体"/>
    <w:basedOn w:val="af1"/>
    <w:qFormat/>
    <w:pPr>
      <w:widowControl/>
      <w:spacing w:line="844" w:lineRule="atLeast"/>
      <w:ind w:firstLine="419"/>
      <w:jc w:val="left"/>
      <w:textAlignment w:val="baseline"/>
    </w:pPr>
    <w:rPr>
      <w:rFonts w:ascii="仿宋_GB2312" w:eastAsia="Times New Roman" w:hAnsi="仿宋_GB2312" w:cs="仿宋_GB2312"/>
      <w:color w:val="000000"/>
      <w:kern w:val="0"/>
      <w:sz w:val="31"/>
      <w:szCs w:val="20"/>
      <w:u w:color="000000"/>
    </w:rPr>
  </w:style>
  <w:style w:type="paragraph" w:customStyle="1" w:styleId="xl80">
    <w:name w:val="xl80"/>
    <w:basedOn w:val="af1"/>
    <w:qFormat/>
    <w:pPr>
      <w:widowControl/>
      <w:pBdr>
        <w:left w:val="single" w:sz="4" w:space="0" w:color="auto"/>
        <w:right w:val="single" w:sz="4" w:space="0" w:color="auto"/>
      </w:pBdr>
      <w:spacing w:before="100" w:after="100"/>
      <w:jc w:val="center"/>
      <w:textAlignment w:val="center"/>
    </w:pPr>
    <w:rPr>
      <w:rFonts w:ascii="宋体" w:hAnsi="宋体" w:cs="Times New Roman"/>
      <w:kern w:val="0"/>
      <w:sz w:val="24"/>
      <w:szCs w:val="20"/>
    </w:rPr>
  </w:style>
  <w:style w:type="paragraph" w:customStyle="1" w:styleId="HTMLb">
    <w:name w:val="HTML 预先格式化"/>
    <w:basedOn w:val="af1"/>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Times New Roman" w:hint="eastAsia"/>
      <w:kern w:val="0"/>
      <w:sz w:val="24"/>
      <w:szCs w:val="20"/>
    </w:rPr>
  </w:style>
  <w:style w:type="paragraph" w:customStyle="1" w:styleId="040">
    <w:name w:val="04"/>
    <w:basedOn w:val="af1"/>
    <w:qFormat/>
    <w:pPr>
      <w:widowControl/>
      <w:spacing w:line="312" w:lineRule="auto"/>
      <w:jc w:val="left"/>
    </w:pPr>
    <w:rPr>
      <w:rFonts w:ascii="仿宋_GB2312" w:eastAsia="Times New Roman" w:hAnsi="仿宋_GB2312" w:cs="仿宋_GB2312"/>
      <w:sz w:val="24"/>
      <w:szCs w:val="30"/>
    </w:rPr>
  </w:style>
  <w:style w:type="paragraph" w:customStyle="1" w:styleId="affffffffffffffffffffffffffffff">
    <w:name w:val="样式 两端对齐"/>
    <w:basedOn w:val="af1"/>
    <w:qFormat/>
    <w:pPr>
      <w:widowControl/>
      <w:spacing w:afterLines="50"/>
      <w:ind w:rightChars="100" w:right="240" w:firstLineChars="200" w:firstLine="200"/>
      <w:jc w:val="left"/>
    </w:pPr>
    <w:rPr>
      <w:rFonts w:ascii="Calibri" w:hAnsi="Calibri" w:cs="宋体"/>
      <w:sz w:val="24"/>
      <w:szCs w:val="20"/>
    </w:rPr>
  </w:style>
  <w:style w:type="paragraph" w:customStyle="1" w:styleId="CharCharCharCharCharCharCharCharCharCharCharCharCharCharCharCharCharChar1">
    <w:name w:val="Char Char Char Char Char Char Char Char Char Char Char Char Char Char Char Char Char Char1"/>
    <w:basedOn w:val="af1"/>
    <w:qFormat/>
    <w:rPr>
      <w:rFonts w:ascii="宋体" w:hAnsi="Calibri" w:cs="Times New Roman"/>
      <w:sz w:val="24"/>
      <w:szCs w:val="20"/>
    </w:rPr>
  </w:style>
  <w:style w:type="paragraph" w:customStyle="1" w:styleId="affffffffffffffffffffffffffffff0">
    <w:name w:val="表格文字专用"/>
    <w:basedOn w:val="af1"/>
    <w:qFormat/>
    <w:pPr>
      <w:spacing w:line="240" w:lineRule="exact"/>
      <w:jc w:val="center"/>
    </w:pPr>
    <w:rPr>
      <w:rFonts w:ascii="Calibri" w:hAnsi="Calibri" w:cs="宋体"/>
      <w:color w:val="000000"/>
      <w:sz w:val="18"/>
      <w:szCs w:val="20"/>
    </w:rPr>
  </w:style>
  <w:style w:type="paragraph" w:customStyle="1" w:styleId="CharCharCharCharCharCharCharCharCharCharCharCharCharCharCharCharCharCharCharCharCharCharCharCharChar1">
    <w:name w:val="Char Char Char Char Char Char Char Char Char Char Char Char Char Char Char Char Char Char Char Char Char Char Char Char Char1"/>
    <w:basedOn w:val="af1"/>
    <w:qFormat/>
    <w:pPr>
      <w:spacing w:line="360" w:lineRule="auto"/>
      <w:ind w:firstLineChars="200" w:firstLine="200"/>
    </w:pPr>
    <w:rPr>
      <w:rFonts w:ascii="宋体" w:hAnsi="宋体" w:cs="宋体"/>
      <w:sz w:val="24"/>
      <w:szCs w:val="24"/>
    </w:rPr>
  </w:style>
  <w:style w:type="paragraph" w:customStyle="1" w:styleId="CharCharCharCharCharChar3CharCharChar2">
    <w:name w:val="Char Char Char Char Char Char3 Char Char Char2"/>
    <w:basedOn w:val="af1"/>
    <w:qFormat/>
    <w:pPr>
      <w:spacing w:line="360" w:lineRule="auto"/>
      <w:ind w:firstLineChars="200" w:firstLine="200"/>
    </w:pPr>
    <w:rPr>
      <w:rFonts w:ascii="宋体" w:hAnsi="宋体" w:cs="Times New Roman" w:hint="eastAsia"/>
      <w:sz w:val="24"/>
      <w:szCs w:val="20"/>
    </w:rPr>
  </w:style>
  <w:style w:type="paragraph" w:customStyle="1" w:styleId="CharChar9CharChar">
    <w:name w:val="Char Char9 Char Char"/>
    <w:basedOn w:val="af1"/>
    <w:qFormat/>
    <w:pPr>
      <w:widowControl/>
      <w:adjustRightInd w:val="0"/>
      <w:snapToGrid w:val="0"/>
      <w:jc w:val="left"/>
    </w:pPr>
    <w:rPr>
      <w:rFonts w:ascii="Verdana" w:hAnsi="Courier New" w:cs="仿宋_GB2312"/>
      <w:spacing w:val="2"/>
      <w:kern w:val="0"/>
      <w:szCs w:val="20"/>
    </w:rPr>
  </w:style>
  <w:style w:type="paragraph" w:customStyle="1" w:styleId="affffffffffffffffffffffffffffff1">
    <w:name w:val="缩进正文"/>
    <w:basedOn w:val="af1"/>
    <w:qFormat/>
    <w:pPr>
      <w:snapToGrid w:val="0"/>
      <w:spacing w:line="480" w:lineRule="atLeast"/>
      <w:ind w:firstLine="567"/>
    </w:pPr>
    <w:rPr>
      <w:rFonts w:ascii="Calibri" w:hAnsi="Calibri" w:cs="Times New Roman"/>
      <w:sz w:val="24"/>
      <w:szCs w:val="21"/>
    </w:rPr>
  </w:style>
  <w:style w:type="paragraph" w:customStyle="1" w:styleId="Char51">
    <w:name w:val="Char51"/>
    <w:basedOn w:val="af1"/>
    <w:qFormat/>
    <w:pPr>
      <w:shd w:val="clear" w:color="auto" w:fill="000080"/>
      <w:adjustRightInd w:val="0"/>
      <w:spacing w:line="436" w:lineRule="exact"/>
      <w:ind w:left="357"/>
      <w:jc w:val="left"/>
      <w:outlineLvl w:val="3"/>
    </w:pPr>
    <w:rPr>
      <w:rFonts w:ascii="Tahoma" w:hAnsi="Tahoma" w:cs="Times New Roman"/>
      <w:b/>
      <w:sz w:val="24"/>
      <w:szCs w:val="28"/>
    </w:rPr>
  </w:style>
  <w:style w:type="paragraph" w:customStyle="1" w:styleId="2221">
    <w:name w:val="样式 样式 正文缩进正文（首行缩进两字）正文2 + 首行缩进:  2 字符 + 首行缩进:  2 字符"/>
    <w:basedOn w:val="af1"/>
    <w:qFormat/>
    <w:pPr>
      <w:snapToGrid w:val="0"/>
      <w:spacing w:line="324" w:lineRule="auto"/>
      <w:ind w:firstLine="600"/>
    </w:pPr>
    <w:rPr>
      <w:rFonts w:hAnsi="宋体" w:cs="宋体"/>
      <w:sz w:val="28"/>
      <w:szCs w:val="20"/>
    </w:rPr>
  </w:style>
  <w:style w:type="paragraph" w:customStyle="1" w:styleId="affffffffffffffffffffffffffffff2">
    <w:name w:val="空一行"/>
    <w:basedOn w:val="af1"/>
    <w:qFormat/>
    <w:pPr>
      <w:adjustRightInd w:val="0"/>
      <w:ind w:firstLineChars="200" w:firstLine="200"/>
    </w:pPr>
    <w:rPr>
      <w:rFonts w:cs="Courier New"/>
      <w:sz w:val="24"/>
      <w:szCs w:val="21"/>
    </w:rPr>
  </w:style>
  <w:style w:type="paragraph" w:customStyle="1" w:styleId="CharCharCharff">
    <w:name w:val="Char Char Char"/>
    <w:basedOn w:val="af1"/>
    <w:qFormat/>
    <w:rPr>
      <w:rFonts w:ascii="Calibri" w:hAnsi="Calibri" w:cs="Times New Roman"/>
      <w:sz w:val="24"/>
      <w:szCs w:val="24"/>
    </w:rPr>
  </w:style>
  <w:style w:type="paragraph" w:customStyle="1" w:styleId="TOC40">
    <w:name w:val="TOC 标题4"/>
    <w:basedOn w:val="1"/>
    <w:next w:val="af1"/>
    <w:uiPriority w:val="39"/>
    <w:unhideWhenUsed/>
    <w:qFormat/>
    <w:pPr>
      <w:widowControl/>
      <w:spacing w:before="240" w:line="259" w:lineRule="auto"/>
      <w:jc w:val="left"/>
      <w:outlineLvl w:val="9"/>
    </w:pPr>
    <w:rPr>
      <w:rFonts w:ascii="Cambria" w:hAnsi="Cambria"/>
      <w:b w:val="0"/>
      <w:bCs w:val="0"/>
      <w:color w:val="365F91"/>
      <w:kern w:val="0"/>
      <w:sz w:val="32"/>
      <w:szCs w:val="32"/>
    </w:rPr>
  </w:style>
  <w:style w:type="paragraph" w:customStyle="1" w:styleId="CharCharCharCharCharCharCharCharCharCharCharCharCharCharCharCharCharCharChar1">
    <w:name w:val="Char Char Char Char Char Char Char Char Char Char Char Char Char Char Char Char Char Char Char1"/>
    <w:basedOn w:val="af1"/>
    <w:qFormat/>
    <w:pPr>
      <w:spacing w:line="360" w:lineRule="auto"/>
      <w:ind w:firstLineChars="200" w:firstLine="200"/>
    </w:pPr>
    <w:rPr>
      <w:rFonts w:ascii="宋体" w:hAnsi="宋体" w:cs="宋体"/>
      <w:sz w:val="24"/>
      <w:szCs w:val="24"/>
    </w:rPr>
  </w:style>
  <w:style w:type="paragraph" w:customStyle="1" w:styleId="22c">
    <w:name w:val="样式 样式 正文首行缩进 + 首行缩进:  2 字符 + 首行缩进:  2 字符"/>
    <w:basedOn w:val="af1"/>
    <w:qFormat/>
    <w:pPr>
      <w:topLinePunct/>
      <w:adjustRightInd w:val="0"/>
      <w:snapToGrid w:val="0"/>
      <w:spacing w:line="360" w:lineRule="auto"/>
      <w:ind w:firstLine="480"/>
      <w:textAlignment w:val="baseline"/>
    </w:pPr>
    <w:rPr>
      <w:rFonts w:ascii="Calibri" w:eastAsia="Times New Roman" w:hAnsi="宋体" w:cs="Times New Roman"/>
      <w:kern w:val="0"/>
      <w:sz w:val="24"/>
      <w:szCs w:val="20"/>
    </w:rPr>
  </w:style>
  <w:style w:type="paragraph" w:customStyle="1" w:styleId="affffffffffffffffffffffffffffff3">
    <w:name w:val="正文（缩进）"/>
    <w:basedOn w:val="af1"/>
    <w:qFormat/>
    <w:pPr>
      <w:widowControl/>
      <w:adjustRightInd w:val="0"/>
      <w:snapToGrid w:val="0"/>
      <w:spacing w:line="360" w:lineRule="auto"/>
      <w:ind w:firstLineChars="200" w:firstLine="200"/>
      <w:jc w:val="left"/>
    </w:pPr>
    <w:rPr>
      <w:rFonts w:ascii="仿宋_GB2312" w:hAnsi="仿宋_GB2312" w:cs="仿宋_GB2312"/>
      <w:kern w:val="0"/>
      <w:sz w:val="24"/>
      <w:szCs w:val="24"/>
    </w:rPr>
  </w:style>
  <w:style w:type="paragraph" w:customStyle="1" w:styleId="Char2CharCharCharCharCharChar1CharCharCharCharCharChar11">
    <w:name w:val="Char2 Char Char Char Char Char Char1 Char Char Char Char Char Char11"/>
    <w:basedOn w:val="af1"/>
    <w:qFormat/>
    <w:pPr>
      <w:spacing w:line="360" w:lineRule="auto"/>
      <w:ind w:firstLineChars="200" w:firstLine="200"/>
    </w:pPr>
    <w:rPr>
      <w:rFonts w:ascii="宋体" w:hAnsi="宋体" w:cs="宋体"/>
      <w:sz w:val="24"/>
      <w:szCs w:val="24"/>
    </w:rPr>
  </w:style>
  <w:style w:type="paragraph" w:customStyle="1" w:styleId="1fffffff">
    <w:name w:val="封面标准号1"/>
    <w:qFormat/>
    <w:pPr>
      <w:widowControl w:val="0"/>
      <w:kinsoku w:val="0"/>
      <w:overflowPunct w:val="0"/>
      <w:autoSpaceDE w:val="0"/>
      <w:autoSpaceDN w:val="0"/>
      <w:spacing w:before="308"/>
      <w:jc w:val="right"/>
      <w:textAlignment w:val="center"/>
    </w:pPr>
    <w:rPr>
      <w:rFonts w:ascii="Calibri" w:eastAsia="宋体" w:hAnsi="Calibri" w:cs="Times New Roman"/>
      <w:sz w:val="28"/>
    </w:rPr>
  </w:style>
  <w:style w:type="paragraph" w:customStyle="1" w:styleId="affffffffffffffffffffffffffffff4">
    <w:name w:val="表格题目"/>
    <w:basedOn w:val="af1"/>
    <w:next w:val="af1"/>
    <w:qFormat/>
    <w:pPr>
      <w:adjustRightInd w:val="0"/>
      <w:spacing w:beforeLines="50" w:line="360" w:lineRule="auto"/>
      <w:jc w:val="center"/>
      <w:textAlignment w:val="baseline"/>
    </w:pPr>
    <w:rPr>
      <w:rFonts w:ascii="Calibri" w:hAnsi="Calibri" w:cs="Times New Roman"/>
      <w:bCs/>
      <w:sz w:val="24"/>
      <w:szCs w:val="24"/>
    </w:rPr>
  </w:style>
  <w:style w:type="paragraph" w:customStyle="1" w:styleId="affffffffffffffffffffffffffffff5">
    <w:name w:val="样式 小四 加粗 居中"/>
    <w:basedOn w:val="af1"/>
    <w:qFormat/>
    <w:pPr>
      <w:widowControl/>
      <w:spacing w:after="120"/>
      <w:jc w:val="center"/>
    </w:pPr>
    <w:rPr>
      <w:rFonts w:ascii="Calibri" w:eastAsia="仿宋_GB2312" w:hAnsi="Calibri" w:cs="宋体"/>
      <w:b/>
      <w:bCs/>
      <w:sz w:val="24"/>
      <w:szCs w:val="20"/>
    </w:rPr>
  </w:style>
  <w:style w:type="paragraph" w:customStyle="1" w:styleId="2ffffff8">
    <w:name w:val="页脚2"/>
    <w:basedOn w:val="af1"/>
    <w:qFormat/>
    <w:pPr>
      <w:tabs>
        <w:tab w:val="center" w:pos="4153"/>
        <w:tab w:val="right" w:pos="8306"/>
      </w:tabs>
      <w:adjustRightInd w:val="0"/>
      <w:spacing w:line="240" w:lineRule="atLeast"/>
      <w:jc w:val="left"/>
      <w:textAlignment w:val="baseline"/>
    </w:pPr>
    <w:rPr>
      <w:rFonts w:ascii="Verdana" w:hAnsi="仿宋_GB2312" w:cs="仿宋_GB2312"/>
      <w:kern w:val="0"/>
      <w:sz w:val="18"/>
      <w:szCs w:val="20"/>
    </w:rPr>
  </w:style>
  <w:style w:type="paragraph" w:customStyle="1" w:styleId="2S">
    <w:name w:val="列表 2S"/>
    <w:basedOn w:val="25"/>
    <w:qFormat/>
    <w:pPr>
      <w:widowControl/>
      <w:tabs>
        <w:tab w:val="left" w:pos="737"/>
      </w:tabs>
      <w:spacing w:beforeAutospacing="1" w:after="100" w:afterAutospacing="1" w:line="288" w:lineRule="auto"/>
      <w:ind w:leftChars="0" w:left="737" w:firstLineChars="0" w:hanging="567"/>
      <w:jc w:val="left"/>
    </w:pPr>
    <w:rPr>
      <w:rFonts w:ascii="Courier New" w:eastAsia="宋体" w:hAnsi="Courier New" w:cs="仿宋_GB2312"/>
      <w:color w:val="FFFF99"/>
      <w:kern w:val="2"/>
      <w:sz w:val="24"/>
      <w:szCs w:val="20"/>
    </w:rPr>
  </w:style>
  <w:style w:type="paragraph" w:customStyle="1" w:styleId="CharCharCharCharCharCharCharCharCharCharCharCharCharCharChar1">
    <w:name w:val="Char Char Char Char Char Char Char Char Char Char Char Char Char Char Char1"/>
    <w:basedOn w:val="af1"/>
    <w:qFormat/>
    <w:pPr>
      <w:snapToGrid w:val="0"/>
      <w:spacing w:line="440" w:lineRule="exact"/>
      <w:ind w:firstLineChars="200" w:firstLine="200"/>
    </w:pPr>
    <w:rPr>
      <w:rFonts w:ascii="Calibri" w:hAnsi="Calibri" w:cs="Times New Roman"/>
      <w:szCs w:val="24"/>
    </w:rPr>
  </w:style>
  <w:style w:type="paragraph" w:customStyle="1" w:styleId="21f">
    <w:name w:val="样式 正文首行缩进 + 首行缩进:  2 字符1"/>
    <w:basedOn w:val="af1"/>
    <w:next w:val="font6"/>
    <w:qFormat/>
    <w:pPr>
      <w:widowControl/>
      <w:spacing w:line="360" w:lineRule="auto"/>
      <w:ind w:firstLineChars="200" w:firstLine="480"/>
      <w:jc w:val="left"/>
    </w:pPr>
    <w:rPr>
      <w:rFonts w:ascii="仿宋_GB2312" w:hAnsi="仿宋_GB2312" w:cs="仿宋_GB2312"/>
      <w:sz w:val="24"/>
      <w:szCs w:val="24"/>
    </w:rPr>
  </w:style>
  <w:style w:type="paragraph" w:customStyle="1" w:styleId="CharCharCharCharCharChar20">
    <w:name w:val="Char Char Char Char Char Char2"/>
    <w:basedOn w:val="af1"/>
    <w:qFormat/>
    <w:pPr>
      <w:spacing w:line="360" w:lineRule="auto"/>
      <w:ind w:firstLineChars="200" w:firstLine="200"/>
    </w:pPr>
    <w:rPr>
      <w:rFonts w:ascii="宋体" w:hAnsi="宋体" w:cs="Times New Roman"/>
      <w:sz w:val="24"/>
      <w:szCs w:val="20"/>
    </w:rPr>
  </w:style>
  <w:style w:type="paragraph" w:customStyle="1" w:styleId="Default1">
    <w:name w:val="Default1"/>
    <w:qFormat/>
    <w:pPr>
      <w:widowControl w:val="0"/>
      <w:autoSpaceDE w:val="0"/>
      <w:autoSpaceDN w:val="0"/>
      <w:adjustRightInd w:val="0"/>
    </w:pPr>
    <w:rPr>
      <w:rFonts w:ascii="宋体" w:eastAsia="宋体" w:hAnsi="Times New Roman" w:cs="宋体"/>
      <w:color w:val="000000"/>
      <w:sz w:val="24"/>
      <w:szCs w:val="24"/>
    </w:rPr>
  </w:style>
  <w:style w:type="paragraph" w:customStyle="1" w:styleId="affffffffffffffffffffffffffffff6">
    <w:name w:val="样式 小四 黑色 行距: 单倍行距"/>
    <w:basedOn w:val="af1"/>
    <w:qFormat/>
    <w:pPr>
      <w:adjustRightInd w:val="0"/>
      <w:snapToGrid w:val="0"/>
    </w:pPr>
    <w:rPr>
      <w:rFonts w:ascii="Calibri" w:hAnsi="Calibri" w:cs="Times New Roman"/>
      <w:snapToGrid w:val="0"/>
      <w:color w:val="000000"/>
      <w:kern w:val="0"/>
      <w:sz w:val="24"/>
      <w:szCs w:val="24"/>
    </w:rPr>
  </w:style>
  <w:style w:type="paragraph" w:customStyle="1" w:styleId="affffffffffffffffffffffffffffff7">
    <w:name w:val="基准标题"/>
    <w:basedOn w:val="1fffffff0"/>
    <w:next w:val="1fffffff0"/>
    <w:qFormat/>
    <w:pPr>
      <w:widowControl/>
      <w:spacing w:after="0"/>
      <w:jc w:val="left"/>
    </w:pPr>
    <w:rPr>
      <w:rFonts w:ascii="宋体"/>
      <w:color w:val="000000"/>
      <w:sz w:val="21"/>
    </w:rPr>
  </w:style>
  <w:style w:type="paragraph" w:customStyle="1" w:styleId="1fffffff0">
    <w:name w:val="正文文本1"/>
    <w:basedOn w:val="af1"/>
    <w:qFormat/>
    <w:pPr>
      <w:spacing w:after="120"/>
    </w:pPr>
    <w:rPr>
      <w:rFonts w:ascii="Calibri" w:hAnsi="Calibri" w:cs="Times New Roman"/>
      <w:sz w:val="24"/>
      <w:szCs w:val="20"/>
    </w:rPr>
  </w:style>
  <w:style w:type="paragraph" w:customStyle="1" w:styleId="2211H2h22Header2ndPageABCh2mainhead">
    <w:name w:val="样式 标题 2标题21.1H2h2第一层条2Header 2nd PageA.B.C.h2 main head..."/>
    <w:basedOn w:val="22"/>
    <w:qFormat/>
    <w:pPr>
      <w:widowControl/>
      <w:snapToGrid w:val="0"/>
      <w:spacing w:beforeLines="50" w:after="0" w:line="360" w:lineRule="auto"/>
    </w:pPr>
    <w:rPr>
      <w:rFonts w:ascii="仿宋_GB2312" w:eastAsia="楷体" w:hAnsi="仿宋_GB2312" w:cs="仿宋_GB2312"/>
      <w:bCs w:val="0"/>
      <w:sz w:val="30"/>
      <w:szCs w:val="30"/>
    </w:rPr>
  </w:style>
  <w:style w:type="paragraph" w:customStyle="1" w:styleId="5I">
    <w:name w:val="列表 5I"/>
    <w:basedOn w:val="55"/>
    <w:qFormat/>
    <w:pPr>
      <w:tabs>
        <w:tab w:val="left" w:pos="1134"/>
      </w:tabs>
      <w:adjustRightInd/>
      <w:spacing w:beforeLines="0" w:line="240" w:lineRule="auto"/>
      <w:ind w:left="1134" w:hanging="425"/>
      <w:jc w:val="left"/>
      <w:textAlignment w:val="auto"/>
    </w:pPr>
    <w:rPr>
      <w:rFonts w:ascii="Courier New" w:hAnsi="Courier New" w:cs="仿宋_GB2312"/>
      <w:color w:val="99CCFF"/>
      <w:kern w:val="2"/>
    </w:rPr>
  </w:style>
  <w:style w:type="paragraph" w:customStyle="1" w:styleId="CharCharCharCharCharChar10">
    <w:name w:val="Char Char Char Char Char Char1"/>
    <w:basedOn w:val="af1"/>
    <w:next w:val="af9"/>
    <w:qFormat/>
    <w:rPr>
      <w:rFonts w:ascii="Calibri" w:hAnsi="Calibri" w:cs="Times New Roman"/>
      <w:sz w:val="28"/>
      <w:szCs w:val="28"/>
    </w:rPr>
  </w:style>
  <w:style w:type="paragraph" w:customStyle="1" w:styleId="affffffffffffffffffffffffffffff8">
    <w:name w:val="左五"/>
    <w:basedOn w:val="af1"/>
    <w:qFormat/>
    <w:pPr>
      <w:widowControl/>
      <w:adjustRightInd w:val="0"/>
      <w:snapToGrid w:val="0"/>
      <w:spacing w:line="280" w:lineRule="exact"/>
      <w:jc w:val="left"/>
    </w:pPr>
    <w:rPr>
      <w:rFonts w:ascii="Verdana" w:hAnsi="Symbol" w:cs="仿宋_GB2312"/>
      <w:color w:val="000000"/>
      <w:sz w:val="18"/>
      <w:szCs w:val="24"/>
    </w:rPr>
  </w:style>
  <w:style w:type="paragraph" w:customStyle="1" w:styleId="Charfffffffb">
    <w:name w:val="文本匡小五号 Char"/>
    <w:qFormat/>
    <w:pPr>
      <w:snapToGrid w:val="0"/>
      <w:spacing w:line="100" w:lineRule="atLeast"/>
      <w:jc w:val="center"/>
    </w:pPr>
    <w:rPr>
      <w:rFonts w:ascii="仿宋_GB2312" w:eastAsia="Times New Roman" w:hAnsi="仿宋_GB2312" w:cs="仿宋_GB2312"/>
      <w:sz w:val="21"/>
      <w:szCs w:val="21"/>
    </w:rPr>
  </w:style>
  <w:style w:type="paragraph" w:customStyle="1" w:styleId="affffffffffffffffffffffffffffff9">
    <w:name w:val="真·正文"/>
    <w:basedOn w:val="af1"/>
    <w:next w:val="af1"/>
    <w:qFormat/>
    <w:pPr>
      <w:spacing w:line="360" w:lineRule="auto"/>
      <w:ind w:firstLine="200"/>
    </w:pPr>
    <w:rPr>
      <w:rFonts w:cs="Times New Roman"/>
      <w:sz w:val="24"/>
      <w:szCs w:val="24"/>
    </w:rPr>
  </w:style>
  <w:style w:type="paragraph" w:customStyle="1" w:styleId="2D0">
    <w:name w:val="列表 2D"/>
    <w:basedOn w:val="25"/>
    <w:qFormat/>
    <w:pPr>
      <w:widowControl/>
      <w:tabs>
        <w:tab w:val="left" w:pos="885"/>
      </w:tabs>
      <w:spacing w:beforeAutospacing="1" w:after="100" w:afterAutospacing="1" w:line="288" w:lineRule="auto"/>
      <w:ind w:leftChars="0" w:left="885" w:firstLineChars="0" w:hanging="315"/>
      <w:jc w:val="left"/>
    </w:pPr>
    <w:rPr>
      <w:rFonts w:ascii="Courier New" w:eastAsia="宋体" w:hAnsi="Courier New" w:cs="仿宋_GB2312"/>
      <w:color w:val="FFFF99"/>
      <w:kern w:val="2"/>
      <w:sz w:val="24"/>
      <w:szCs w:val="20"/>
    </w:rPr>
  </w:style>
  <w:style w:type="paragraph" w:customStyle="1" w:styleId="affffffffffffffffffffffffffffffa">
    <w:name w:val="依据文字"/>
    <w:basedOn w:val="21"/>
    <w:qFormat/>
    <w:pPr>
      <w:widowControl/>
      <w:tabs>
        <w:tab w:val="left" w:pos="420"/>
        <w:tab w:val="left" w:pos="870"/>
        <w:tab w:val="left" w:pos="3150"/>
      </w:tabs>
      <w:autoSpaceDE w:val="0"/>
      <w:autoSpaceDN w:val="0"/>
      <w:adjustRightInd w:val="0"/>
      <w:snapToGrid w:val="0"/>
      <w:spacing w:before="60" w:after="0" w:line="336" w:lineRule="auto"/>
      <w:ind w:leftChars="0" w:left="0" w:firstLineChars="0" w:firstLine="527"/>
      <w:jc w:val="left"/>
      <w:textAlignment w:val="baseline"/>
    </w:pPr>
    <w:rPr>
      <w:rFonts w:ascii="Verdana" w:eastAsia="宋体" w:hAnsi="仿宋_GB2312"/>
      <w:color w:val="0000FF"/>
      <w:sz w:val="24"/>
      <w:szCs w:val="20"/>
    </w:rPr>
  </w:style>
  <w:style w:type="paragraph" w:customStyle="1" w:styleId="affffffffffffffffffffffffffffffb">
    <w:name w:val="级别表格里目录"/>
    <w:basedOn w:val="af1"/>
    <w:qFormat/>
    <w:pPr>
      <w:widowControl/>
      <w:spacing w:line="360" w:lineRule="auto"/>
      <w:jc w:val="center"/>
    </w:pPr>
    <w:rPr>
      <w:rFonts w:ascii="Calibri" w:hAnsi="Calibri" w:cs="Times New Roman"/>
      <w:kern w:val="0"/>
      <w:szCs w:val="24"/>
    </w:rPr>
  </w:style>
  <w:style w:type="paragraph" w:customStyle="1" w:styleId="Char1CharCharChar">
    <w:name w:val="Char1 Char Char Char"/>
    <w:basedOn w:val="af1"/>
    <w:qFormat/>
    <w:pPr>
      <w:adjustRightInd w:val="0"/>
      <w:spacing w:line="360" w:lineRule="atLeast"/>
    </w:pPr>
    <w:rPr>
      <w:rFonts w:ascii="Calibri" w:hAnsi="Calibri" w:cs="Times New Roman"/>
      <w:sz w:val="24"/>
    </w:rPr>
  </w:style>
  <w:style w:type="paragraph" w:customStyle="1" w:styleId="affffffffffffffffffffffffffffffc">
    <w:name w:val="右五"/>
    <w:basedOn w:val="affffffffffffffffffffffffffffff8"/>
    <w:next w:val="af1"/>
    <w:qFormat/>
    <w:pPr>
      <w:jc w:val="right"/>
    </w:pPr>
  </w:style>
  <w:style w:type="paragraph" w:customStyle="1" w:styleId="affffffffffffffffffffffffffffffd">
    <w:name w:val="标题新"/>
    <w:basedOn w:val="af1"/>
    <w:qFormat/>
    <w:pPr>
      <w:adjustRightInd w:val="0"/>
      <w:snapToGrid w:val="0"/>
      <w:spacing w:line="420" w:lineRule="exact"/>
      <w:jc w:val="center"/>
    </w:pPr>
    <w:rPr>
      <w:rFonts w:ascii="Calibri" w:eastAsia="黑体" w:hAnsi="Calibri" w:cs="Times New Roman"/>
      <w:sz w:val="24"/>
      <w:szCs w:val="20"/>
    </w:rPr>
  </w:style>
  <w:style w:type="paragraph" w:customStyle="1" w:styleId="affffffffffffffffffffffffffffffe">
    <w:name w:val="填表内容"/>
    <w:basedOn w:val="af1"/>
    <w:qFormat/>
    <w:pPr>
      <w:widowControl/>
      <w:adjustRightInd w:val="0"/>
      <w:spacing w:line="480" w:lineRule="exact"/>
      <w:ind w:firstLineChars="200" w:firstLine="560"/>
      <w:jc w:val="left"/>
      <w:textAlignment w:val="baseline"/>
    </w:pPr>
    <w:rPr>
      <w:rFonts w:ascii="经典叠圆体简" w:eastAsia="经典叠圆体简" w:hAnsi="仿宋_GB2312" w:cs="仿宋_GB2312"/>
      <w:sz w:val="28"/>
      <w:szCs w:val="20"/>
    </w:rPr>
  </w:style>
  <w:style w:type="paragraph" w:customStyle="1" w:styleId="CharCharCharCharCharChar1CharCharCharCharCharCharCharCharCharCharCharCharCharCharCharCharCharChar">
    <w:name w:val="Char Char Char Char Char Char1 Char Char Char Char Char Char Char Char Char Char Char Char Char Char Char Char Char Char"/>
    <w:basedOn w:val="af1"/>
    <w:qFormat/>
    <w:pPr>
      <w:widowControl/>
      <w:spacing w:line="360" w:lineRule="auto"/>
      <w:ind w:firstLineChars="200" w:firstLine="200"/>
      <w:jc w:val="left"/>
    </w:pPr>
    <w:rPr>
      <w:rFonts w:ascii="宋体" w:hAnsi="宋体" w:cs="宋体"/>
      <w:sz w:val="24"/>
      <w:szCs w:val="24"/>
    </w:rPr>
  </w:style>
  <w:style w:type="paragraph" w:customStyle="1" w:styleId="4Z">
    <w:name w:val="列表 4Z"/>
    <w:basedOn w:val="45"/>
    <w:qFormat/>
    <w:pPr>
      <w:widowControl/>
      <w:tabs>
        <w:tab w:val="left" w:pos="1021"/>
      </w:tabs>
      <w:adjustRightInd/>
      <w:spacing w:afterLines="30" w:line="288" w:lineRule="auto"/>
      <w:ind w:left="1021" w:hanging="454"/>
      <w:jc w:val="left"/>
      <w:textAlignment w:val="auto"/>
    </w:pPr>
    <w:rPr>
      <w:rFonts w:ascii="Courier New" w:hAnsi="Courier New" w:cs="仿宋_GB2312"/>
      <w:color w:val="CCFFFF"/>
      <w:kern w:val="2"/>
    </w:rPr>
  </w:style>
  <w:style w:type="paragraph" w:customStyle="1" w:styleId="afffffffffffffffffffffffffffffff">
    <w:name w:val="法条正文"/>
    <w:basedOn w:val="af1"/>
    <w:qFormat/>
    <w:pPr>
      <w:ind w:firstLineChars="200" w:firstLine="420"/>
    </w:pPr>
    <w:rPr>
      <w:rFonts w:cs="Times New Roman"/>
      <w:szCs w:val="24"/>
    </w:rPr>
  </w:style>
  <w:style w:type="paragraph" w:customStyle="1" w:styleId="C2">
    <w:name w:val="列表 C"/>
    <w:basedOn w:val="afffe"/>
    <w:qFormat/>
    <w:pPr>
      <w:widowControl/>
      <w:tabs>
        <w:tab w:val="left" w:pos="425"/>
      </w:tabs>
      <w:spacing w:beforeLines="100" w:afterLines="50" w:line="288" w:lineRule="auto"/>
      <w:ind w:left="425" w:hanging="425"/>
      <w:jc w:val="left"/>
    </w:pPr>
    <w:rPr>
      <w:rFonts w:ascii="Courier New" w:eastAsia="宋体" w:hAnsi="Courier New" w:cs="仿宋_GB2312"/>
      <w:b/>
      <w:bCs/>
      <w:color w:val="FF99CC"/>
    </w:rPr>
  </w:style>
  <w:style w:type="paragraph" w:customStyle="1" w:styleId="afffffffffffffffffffffffffffffff0">
    <w:name w:val="表后注解"/>
    <w:basedOn w:val="af1"/>
    <w:qFormat/>
    <w:pPr>
      <w:widowControl/>
      <w:spacing w:line="300" w:lineRule="atLeast"/>
      <w:jc w:val="left"/>
    </w:pPr>
    <w:rPr>
      <w:rFonts w:ascii="楷体_GB2312" w:eastAsia="楷体_GB2312" w:hAnsi="宋体" w:cs="Times New Roman"/>
      <w:bCs/>
      <w:color w:val="000000"/>
      <w:sz w:val="20"/>
      <w:szCs w:val="20"/>
    </w:rPr>
  </w:style>
  <w:style w:type="paragraph" w:customStyle="1" w:styleId="afffffffffffffffffffffffffffffff1">
    <w:name w:val="报告书表文字"/>
    <w:basedOn w:val="afff1"/>
    <w:qFormat/>
    <w:pPr>
      <w:spacing w:line="320" w:lineRule="exact"/>
      <w:jc w:val="center"/>
    </w:pPr>
    <w:rPr>
      <w:rFonts w:hint="eastAsia"/>
      <w:kern w:val="0"/>
      <w:sz w:val="20"/>
    </w:rPr>
  </w:style>
  <w:style w:type="paragraph" w:customStyle="1" w:styleId="afffffffffffffffffffffffffffffff2">
    <w:name w:val="正文图"/>
    <w:basedOn w:val="af1"/>
    <w:qFormat/>
    <w:pPr>
      <w:widowControl/>
      <w:adjustRightInd w:val="0"/>
      <w:snapToGrid w:val="0"/>
      <w:spacing w:before="40"/>
      <w:jc w:val="center"/>
      <w:textAlignment w:val="baseline"/>
    </w:pPr>
    <w:rPr>
      <w:rFonts w:ascii="Verdana" w:hAnsi="仿宋_GB2312" w:cs="仿宋_GB2312"/>
      <w:kern w:val="0"/>
      <w:sz w:val="24"/>
      <w:szCs w:val="20"/>
    </w:rPr>
  </w:style>
  <w:style w:type="paragraph" w:customStyle="1" w:styleId="4Q">
    <w:name w:val="列表 4Q"/>
    <w:basedOn w:val="45"/>
    <w:qFormat/>
    <w:pPr>
      <w:widowControl/>
      <w:tabs>
        <w:tab w:val="left" w:pos="1021"/>
      </w:tabs>
      <w:adjustRightInd/>
      <w:spacing w:afterLines="30" w:line="288" w:lineRule="auto"/>
      <w:ind w:left="1021" w:hanging="454"/>
      <w:jc w:val="left"/>
      <w:textAlignment w:val="auto"/>
    </w:pPr>
    <w:rPr>
      <w:rFonts w:ascii="Courier New" w:hAnsi="Courier New" w:cs="仿宋_GB2312"/>
      <w:color w:val="CCFFFF"/>
      <w:kern w:val="2"/>
    </w:rPr>
  </w:style>
  <w:style w:type="paragraph" w:customStyle="1" w:styleId="1fffffff1">
    <w:name w:val="环标1"/>
    <w:basedOn w:val="1"/>
    <w:qFormat/>
    <w:pPr>
      <w:adjustRightInd w:val="0"/>
      <w:spacing w:after="120" w:line="312" w:lineRule="atLeast"/>
      <w:jc w:val="left"/>
      <w:textAlignment w:val="baseline"/>
    </w:pPr>
    <w:rPr>
      <w:rFonts w:ascii="Times New Roman" w:eastAsia="仿宋_GB2312"/>
      <w:b w:val="0"/>
      <w:bCs w:val="0"/>
      <w:kern w:val="44"/>
      <w:sz w:val="28"/>
      <w:szCs w:val="28"/>
    </w:rPr>
  </w:style>
  <w:style w:type="paragraph" w:customStyle="1" w:styleId="331113Char1Char1Char1CharCharChar1Cha">
    <w:name w:val="样式 标题 3标题3小标题1.1.1标题 3Char1 Char1Char1 Char CharChar1 Cha..."/>
    <w:basedOn w:val="31"/>
    <w:qFormat/>
    <w:pPr>
      <w:widowControl/>
      <w:autoSpaceDE w:val="0"/>
      <w:autoSpaceDN w:val="0"/>
      <w:adjustRightInd w:val="0"/>
      <w:snapToGrid w:val="0"/>
      <w:spacing w:before="0" w:after="0" w:line="360" w:lineRule="auto"/>
      <w:jc w:val="left"/>
      <w:textAlignment w:val="baseline"/>
    </w:pPr>
    <w:rPr>
      <w:rFonts w:cs="宋体"/>
      <w:color w:val="0000FF"/>
      <w:kern w:val="0"/>
      <w:sz w:val="24"/>
      <w:szCs w:val="24"/>
    </w:rPr>
  </w:style>
  <w:style w:type="paragraph" w:customStyle="1" w:styleId="DefaultText">
    <w:name w:val="Default Text"/>
    <w:basedOn w:val="af1"/>
    <w:qFormat/>
    <w:pPr>
      <w:autoSpaceDE w:val="0"/>
      <w:autoSpaceDN w:val="0"/>
      <w:adjustRightInd w:val="0"/>
    </w:pPr>
    <w:rPr>
      <w:rFonts w:ascii="Calibri" w:hAnsi="Calibri" w:cs="Times New Roman"/>
      <w:kern w:val="0"/>
      <w:sz w:val="24"/>
      <w:szCs w:val="20"/>
    </w:rPr>
  </w:style>
  <w:style w:type="paragraph" w:customStyle="1" w:styleId="xl62">
    <w:name w:val="xl62"/>
    <w:basedOn w:val="af1"/>
    <w:qFormat/>
    <w:pPr>
      <w:widowControl/>
      <w:pBdr>
        <w:top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18"/>
      <w:szCs w:val="18"/>
    </w:rPr>
  </w:style>
  <w:style w:type="paragraph" w:customStyle="1" w:styleId="indent">
    <w:name w:val="indent"/>
    <w:basedOn w:val="af1"/>
    <w:qFormat/>
    <w:pPr>
      <w:widowControl/>
      <w:spacing w:before="100" w:beforeAutospacing="1" w:after="100" w:afterAutospacing="1"/>
      <w:ind w:firstLine="525"/>
      <w:jc w:val="left"/>
    </w:pPr>
    <w:rPr>
      <w:rFonts w:ascii="Verdana" w:hAnsi="Verdana" w:cs="Verdana"/>
      <w:kern w:val="0"/>
      <w:sz w:val="24"/>
      <w:szCs w:val="24"/>
    </w:rPr>
  </w:style>
  <w:style w:type="paragraph" w:customStyle="1" w:styleId="afffffffffffffffffffffffffffffff3">
    <w:name w:val="列表标题"/>
    <w:basedOn w:val="af1"/>
    <w:next w:val="af1"/>
    <w:qFormat/>
    <w:pPr>
      <w:widowControl/>
      <w:spacing w:line="360" w:lineRule="auto"/>
      <w:jc w:val="center"/>
    </w:pPr>
    <w:rPr>
      <w:rFonts w:ascii="仿宋_GB2312" w:hAnsi="仿宋_GB2312" w:cs="仿宋_GB2312"/>
      <w:sz w:val="24"/>
      <w:szCs w:val="20"/>
    </w:rPr>
  </w:style>
  <w:style w:type="paragraph" w:customStyle="1" w:styleId="290">
    <w:name w:val="样式29"/>
    <w:basedOn w:val="afffffffffffff3"/>
    <w:qFormat/>
    <w:pPr>
      <w:widowControl w:val="0"/>
      <w:spacing w:line="360" w:lineRule="auto"/>
      <w:jc w:val="both"/>
    </w:pPr>
    <w:rPr>
      <w:rFonts w:ascii="Calibri" w:hAnsi="Calibri"/>
      <w:szCs w:val="22"/>
    </w:rPr>
  </w:style>
  <w:style w:type="paragraph" w:customStyle="1" w:styleId="2ffffff9">
    <w:name w:val="2级标题"/>
    <w:basedOn w:val="af1"/>
    <w:qFormat/>
    <w:pPr>
      <w:spacing w:before="60" w:after="60" w:line="360" w:lineRule="auto"/>
      <w:jc w:val="left"/>
      <w:outlineLvl w:val="1"/>
    </w:pPr>
    <w:rPr>
      <w:rFonts w:ascii="Calibri" w:hAnsi="Calibri" w:cs="Times New Roman"/>
      <w:b/>
      <w:sz w:val="28"/>
      <w:szCs w:val="28"/>
    </w:rPr>
  </w:style>
  <w:style w:type="paragraph" w:customStyle="1" w:styleId="2E0">
    <w:name w:val="列表 2E"/>
    <w:basedOn w:val="25"/>
    <w:qFormat/>
    <w:pPr>
      <w:widowControl/>
      <w:tabs>
        <w:tab w:val="left" w:pos="737"/>
      </w:tabs>
      <w:spacing w:beforeAutospacing="1" w:after="100" w:afterAutospacing="1" w:line="288" w:lineRule="auto"/>
      <w:ind w:leftChars="0" w:left="737" w:firstLineChars="0" w:hanging="567"/>
      <w:jc w:val="left"/>
    </w:pPr>
    <w:rPr>
      <w:rFonts w:ascii="Courier New" w:eastAsia="宋体" w:hAnsi="Courier New" w:cs="仿宋_GB2312"/>
      <w:color w:val="FFFF99"/>
      <w:kern w:val="2"/>
      <w:sz w:val="24"/>
      <w:szCs w:val="20"/>
    </w:rPr>
  </w:style>
  <w:style w:type="paragraph" w:customStyle="1" w:styleId="4PIM4h44CharH4Fab-4T5RefHeading1rh1He">
    <w:name w:val="样式 标题 4第三层条PIM 4h4标题 4 CharH4Fab-4T5Ref Heading 1rh1He..."/>
    <w:basedOn w:val="41"/>
    <w:qFormat/>
    <w:pPr>
      <w:keepLines/>
      <w:widowControl w:val="0"/>
      <w:adjustRightInd w:val="0"/>
      <w:spacing w:beforeLines="50" w:after="120" w:line="360" w:lineRule="auto"/>
      <w:ind w:firstLineChars="200" w:firstLine="1044"/>
      <w:jc w:val="left"/>
      <w:textAlignment w:val="baseline"/>
    </w:pPr>
    <w:rPr>
      <w:rFonts w:ascii="Times New Roman" w:eastAsia="黑体" w:hAnsi="Times New Roman"/>
      <w:b w:val="0"/>
      <w:kern w:val="2"/>
      <w:sz w:val="24"/>
      <w:szCs w:val="24"/>
      <w:lang w:bidi="en-US"/>
    </w:rPr>
  </w:style>
  <w:style w:type="paragraph" w:customStyle="1" w:styleId="Char4CharCharChar">
    <w:name w:val="Char4 Char Char Char"/>
    <w:basedOn w:val="af1"/>
    <w:qFormat/>
    <w:pPr>
      <w:adjustRightInd w:val="0"/>
      <w:snapToGrid w:val="0"/>
      <w:spacing w:line="360" w:lineRule="auto"/>
      <w:ind w:firstLineChars="200" w:firstLine="200"/>
    </w:pPr>
    <w:rPr>
      <w:rFonts w:ascii="Calibri" w:hAnsi="Calibri" w:cs="Times New Roman"/>
      <w:sz w:val="24"/>
      <w:szCs w:val="20"/>
    </w:rPr>
  </w:style>
  <w:style w:type="paragraph" w:customStyle="1" w:styleId="cardlist-value">
    <w:name w:val="cardlist-value"/>
    <w:basedOn w:val="af1"/>
    <w:qFormat/>
    <w:pPr>
      <w:widowControl/>
      <w:spacing w:before="100" w:beforeAutospacing="1" w:after="100" w:afterAutospacing="1"/>
      <w:jc w:val="left"/>
    </w:pPr>
    <w:rPr>
      <w:rFonts w:ascii="宋体" w:hAnsi="宋体" w:cs="宋体"/>
      <w:kern w:val="0"/>
      <w:sz w:val="24"/>
      <w:szCs w:val="24"/>
    </w:rPr>
  </w:style>
  <w:style w:type="paragraph" w:customStyle="1" w:styleId="2521">
    <w:name w:val="样式 样式 首行缩进:  2 字符5 + 首行缩进:  2 字符1"/>
    <w:basedOn w:val="af1"/>
    <w:qFormat/>
    <w:pPr>
      <w:spacing w:line="360" w:lineRule="auto"/>
      <w:ind w:firstLineChars="200" w:firstLine="514"/>
    </w:pPr>
    <w:rPr>
      <w:rFonts w:ascii="Calibri" w:hAnsi="Calibri" w:cs="宋体"/>
      <w:sz w:val="24"/>
      <w:szCs w:val="20"/>
    </w:rPr>
  </w:style>
  <w:style w:type="paragraph" w:customStyle="1" w:styleId="Item1">
    <w:name w:val="Item1"/>
    <w:basedOn w:val="af1"/>
    <w:qFormat/>
    <w:pPr>
      <w:widowControl/>
      <w:jc w:val="left"/>
    </w:pPr>
    <w:rPr>
      <w:rFonts w:ascii="仿宋_GB2312" w:hAnsi="仿宋_GB2312" w:cs="仿宋_GB2312"/>
      <w:szCs w:val="24"/>
    </w:rPr>
  </w:style>
  <w:style w:type="paragraph" w:customStyle="1" w:styleId="1TimesNewRoman15">
    <w:name w:val="样式 标题1 + (西文) Times New Roman (中文) 华文中宋 行距: 1.5 倍行距"/>
    <w:basedOn w:val="afff1"/>
    <w:qFormat/>
    <w:pPr>
      <w:overflowPunct w:val="0"/>
      <w:topLinePunct/>
      <w:spacing w:line="360" w:lineRule="auto"/>
      <w:jc w:val="center"/>
      <w:outlineLvl w:val="0"/>
    </w:pPr>
    <w:rPr>
      <w:rFonts w:ascii="Times New Roman" w:eastAsia="黑体" w:hAnsi="Times New Roman" w:cs="宋体"/>
      <w:b/>
      <w:bCs/>
      <w:color w:val="000000"/>
      <w:sz w:val="32"/>
      <w:szCs w:val="32"/>
    </w:rPr>
  </w:style>
  <w:style w:type="paragraph" w:customStyle="1" w:styleId="Char2f5">
    <w:name w:val="Char2"/>
    <w:basedOn w:val="af1"/>
    <w:qFormat/>
    <w:pPr>
      <w:widowControl/>
      <w:spacing w:beforeLines="350" w:before="1092" w:afterLines="350" w:after="1092" w:line="600" w:lineRule="exact"/>
      <w:jc w:val="left"/>
    </w:pPr>
    <w:rPr>
      <w:rFonts w:ascii="黑体" w:eastAsia="黑体" w:hAnsi="Arial" w:cs="仿宋_GB2312"/>
      <w:b/>
      <w:color w:val="10000A"/>
      <w:kern w:val="0"/>
      <w:sz w:val="26"/>
      <w:szCs w:val="26"/>
      <w:lang w:eastAsia="en-US"/>
    </w:rPr>
  </w:style>
  <w:style w:type="paragraph" w:customStyle="1" w:styleId="TOC30">
    <w:name w:val="TOC 标题3"/>
    <w:basedOn w:val="1"/>
    <w:next w:val="af1"/>
    <w:qFormat/>
    <w:pPr>
      <w:spacing w:before="340" w:after="330" w:line="578" w:lineRule="auto"/>
      <w:jc w:val="both"/>
      <w:outlineLvl w:val="9"/>
    </w:pPr>
    <w:rPr>
      <w:rFonts w:ascii="Times New Roman" w:cs="Wingdings"/>
      <w:kern w:val="2"/>
      <w:sz w:val="21"/>
      <w:szCs w:val="22"/>
    </w:rPr>
  </w:style>
  <w:style w:type="paragraph" w:customStyle="1" w:styleId="xl35">
    <w:name w:val="xl35"/>
    <w:basedOn w:val="af1"/>
    <w:qFormat/>
    <w:pPr>
      <w:widowControl/>
      <w:spacing w:before="100" w:beforeAutospacing="1" w:after="100" w:afterAutospacing="1"/>
      <w:jc w:val="center"/>
      <w:textAlignment w:val="center"/>
    </w:pPr>
    <w:rPr>
      <w:rFonts w:ascii="Arial Unicode MS" w:eastAsia="Arial Unicode MS" w:hAnsi="Arial Unicode MS" w:cs="Times New Roman"/>
      <w:kern w:val="0"/>
      <w:sz w:val="24"/>
      <w:szCs w:val="24"/>
    </w:rPr>
  </w:style>
  <w:style w:type="paragraph" w:customStyle="1" w:styleId="630">
    <w:name w:val="标题 63"/>
    <w:basedOn w:val="af1"/>
    <w:uiPriority w:val="1"/>
    <w:qFormat/>
    <w:pPr>
      <w:autoSpaceDE w:val="0"/>
      <w:autoSpaceDN w:val="0"/>
      <w:adjustRightInd w:val="0"/>
      <w:ind w:left="600"/>
      <w:jc w:val="left"/>
      <w:outlineLvl w:val="5"/>
    </w:pPr>
    <w:rPr>
      <w:rFonts w:ascii="Calibri" w:hAnsi="Calibri" w:cs="Times New Roman"/>
      <w:b/>
      <w:bCs/>
      <w:kern w:val="0"/>
      <w:sz w:val="24"/>
      <w:szCs w:val="24"/>
    </w:rPr>
  </w:style>
  <w:style w:type="paragraph" w:customStyle="1" w:styleId="2112Char1111CharChar11Cha1">
    <w:name w:val="样式 标题 2节标题1.1标题 2节Char节标题 1.1节标题 1.1 Char Char节标题 1.1 Cha...1"/>
    <w:basedOn w:val="22"/>
    <w:qFormat/>
    <w:pPr>
      <w:keepLines w:val="0"/>
      <w:widowControl/>
      <w:spacing w:beforeLines="50" w:after="0" w:line="360" w:lineRule="auto"/>
    </w:pPr>
    <w:rPr>
      <w:rFonts w:ascii="Calibri" w:eastAsia="楷体" w:hAnsi="Calibri" w:cs="宋体"/>
      <w:color w:val="0000FF"/>
      <w:sz w:val="28"/>
      <w:szCs w:val="20"/>
    </w:rPr>
  </w:style>
  <w:style w:type="paragraph" w:customStyle="1" w:styleId="font5">
    <w:name w:val="font5"/>
    <w:basedOn w:val="af1"/>
    <w:qFormat/>
    <w:pPr>
      <w:widowControl/>
      <w:tabs>
        <w:tab w:val="left" w:pos="1021"/>
      </w:tabs>
      <w:spacing w:line="260" w:lineRule="exact"/>
      <w:jc w:val="center"/>
    </w:pPr>
    <w:rPr>
      <w:rFonts w:ascii="仿宋_GB2312" w:eastAsia="仿宋_GB2312" w:hAnsi="宋体" w:cs="Times New Roman"/>
      <w:kern w:val="0"/>
      <w:sz w:val="18"/>
      <w:szCs w:val="18"/>
    </w:rPr>
  </w:style>
  <w:style w:type="paragraph" w:customStyle="1" w:styleId="afffffffffffffffffffffffffffffff4">
    <w:name w:val="表内字"/>
    <w:qFormat/>
    <w:pPr>
      <w:spacing w:line="312" w:lineRule="auto"/>
      <w:jc w:val="center"/>
    </w:pPr>
    <w:rPr>
      <w:rFonts w:ascii="Calibri" w:eastAsia="宋体" w:hAnsi="Calibri" w:cs="Times New Roman"/>
      <w:color w:val="000000"/>
      <w:sz w:val="21"/>
    </w:rPr>
  </w:style>
  <w:style w:type="paragraph" w:customStyle="1" w:styleId="334">
    <w:name w:val="标题33"/>
    <w:basedOn w:val="aff0"/>
    <w:qFormat/>
    <w:pPr>
      <w:adjustRightInd/>
      <w:spacing w:beforeLines="50" w:before="156" w:afterLines="50" w:after="156" w:line="400" w:lineRule="exact"/>
      <w:ind w:firstLineChars="0" w:firstLine="0"/>
      <w:textAlignment w:val="auto"/>
    </w:pPr>
    <w:rPr>
      <w:rFonts w:ascii="仿宋_GB2312" w:eastAsia="仿宋_GB2312" w:hAnsi="宋体"/>
      <w:sz w:val="24"/>
    </w:rPr>
  </w:style>
  <w:style w:type="paragraph" w:customStyle="1" w:styleId="afffffffffffffffffffffffffffffff5">
    <w:name w:val="表格表头"/>
    <w:basedOn w:val="af1"/>
    <w:qFormat/>
    <w:pPr>
      <w:ind w:firstLineChars="200" w:firstLine="422"/>
      <w:jc w:val="center"/>
      <w:outlineLvl w:val="0"/>
    </w:pPr>
    <w:rPr>
      <w:rFonts w:ascii="Calibri" w:hAnsi="Calibri" w:cs="Times New Roman"/>
      <w:b/>
      <w:szCs w:val="21"/>
    </w:rPr>
  </w:style>
  <w:style w:type="paragraph" w:customStyle="1" w:styleId="0302">
    <w:name w:val="样式 表格小四 + 段前: 0.3 行 段后: 0.2 行"/>
    <w:basedOn w:val="afffffffffffffffffffffffffffffff6"/>
    <w:qFormat/>
    <w:pPr>
      <w:spacing w:beforeLines="30" w:afterLines="20"/>
    </w:pPr>
    <w:rPr>
      <w:rFonts w:cs="Verdana"/>
    </w:rPr>
  </w:style>
  <w:style w:type="paragraph" w:customStyle="1" w:styleId="afffffffffffffffffffffffffffffff6">
    <w:name w:val="表格小四"/>
    <w:basedOn w:val="af1"/>
    <w:qFormat/>
    <w:pPr>
      <w:widowControl/>
      <w:jc w:val="center"/>
    </w:pPr>
    <w:rPr>
      <w:rFonts w:ascii="仿宋_GB2312" w:hAnsi="仿宋_GB2312" w:cs="仿宋_GB2312"/>
      <w:sz w:val="24"/>
      <w:szCs w:val="20"/>
    </w:rPr>
  </w:style>
  <w:style w:type="paragraph" w:customStyle="1" w:styleId="xl77">
    <w:name w:val="xl77"/>
    <w:basedOn w:val="af1"/>
    <w:qFormat/>
    <w:pPr>
      <w:widowControl/>
      <w:pBdr>
        <w:bottom w:val="single" w:sz="8" w:space="0" w:color="auto"/>
        <w:right w:val="single" w:sz="8" w:space="0" w:color="auto"/>
      </w:pBdr>
      <w:spacing w:before="100" w:beforeAutospacing="1" w:after="100" w:afterAutospacing="1" w:line="360" w:lineRule="auto"/>
      <w:jc w:val="center"/>
      <w:textAlignment w:val="center"/>
    </w:pPr>
    <w:rPr>
      <w:rFonts w:ascii="宋体" w:hAnsi="宋体" w:cs="宋体"/>
      <w:color w:val="000000"/>
      <w:kern w:val="0"/>
      <w:sz w:val="18"/>
      <w:szCs w:val="18"/>
    </w:rPr>
  </w:style>
  <w:style w:type="paragraph" w:customStyle="1" w:styleId="5f8">
    <w:name w:val="正文5"/>
    <w:qFormat/>
    <w:pPr>
      <w:widowControl w:val="0"/>
      <w:adjustRightInd w:val="0"/>
      <w:spacing w:line="360" w:lineRule="atLeast"/>
      <w:textAlignment w:val="baseline"/>
    </w:pPr>
    <w:rPr>
      <w:rFonts w:ascii="Verdana" w:eastAsia="宋体" w:hAnsi="仿宋_GB2312" w:cs="仿宋_GB2312"/>
      <w:sz w:val="24"/>
    </w:rPr>
  </w:style>
  <w:style w:type="paragraph" w:customStyle="1" w:styleId="CharChar1CharCharCharChar1">
    <w:name w:val="Char Char1 Char Char Char Char1"/>
    <w:basedOn w:val="af1"/>
    <w:qFormat/>
    <w:rPr>
      <w:rFonts w:ascii="Tahoma" w:hAnsi="Tahoma" w:cs="Times New Roman"/>
      <w:sz w:val="24"/>
      <w:szCs w:val="20"/>
    </w:rPr>
  </w:style>
  <w:style w:type="paragraph" w:customStyle="1" w:styleId="3N">
    <w:name w:val="列表 3N"/>
    <w:basedOn w:val="34"/>
    <w:qFormat/>
    <w:pPr>
      <w:tabs>
        <w:tab w:val="left" w:pos="907"/>
      </w:tabs>
      <w:spacing w:line="288" w:lineRule="auto"/>
      <w:ind w:left="907" w:hanging="567"/>
      <w:jc w:val="left"/>
    </w:pPr>
    <w:rPr>
      <w:rFonts w:ascii="Courier New" w:hAnsi="Courier New" w:cs="仿宋_GB2312"/>
      <w:color w:val="CCFFCC"/>
      <w:sz w:val="24"/>
    </w:rPr>
  </w:style>
  <w:style w:type="paragraph" w:customStyle="1" w:styleId="327">
    <w:name w:val="样式 标题 3 + 首行缩进:  2 字符"/>
    <w:basedOn w:val="315"/>
    <w:qFormat/>
    <w:pPr>
      <w:spacing w:before="100" w:beforeAutospacing="1" w:after="100" w:afterAutospacing="1" w:line="440" w:lineRule="exact"/>
    </w:pPr>
    <w:rPr>
      <w:rFonts w:ascii="Times New Roman" w:eastAsia="宋体"/>
      <w:b w:val="0"/>
      <w:color w:val="000000"/>
      <w:sz w:val="28"/>
    </w:rPr>
  </w:style>
  <w:style w:type="paragraph" w:customStyle="1" w:styleId="2K">
    <w:name w:val="列表 2K"/>
    <w:basedOn w:val="25"/>
    <w:qFormat/>
    <w:pPr>
      <w:widowControl/>
      <w:tabs>
        <w:tab w:val="left" w:pos="737"/>
      </w:tabs>
      <w:spacing w:beforeAutospacing="1" w:after="100" w:afterAutospacing="1" w:line="288" w:lineRule="auto"/>
      <w:ind w:leftChars="0" w:left="737" w:firstLineChars="0" w:hanging="567"/>
      <w:jc w:val="left"/>
    </w:pPr>
    <w:rPr>
      <w:rFonts w:ascii="Courier New" w:eastAsia="宋体" w:hAnsi="Courier New" w:cs="仿宋_GB2312"/>
      <w:color w:val="FFFF99"/>
      <w:kern w:val="2"/>
      <w:sz w:val="24"/>
      <w:szCs w:val="20"/>
    </w:rPr>
  </w:style>
  <w:style w:type="paragraph" w:customStyle="1" w:styleId="Char420">
    <w:name w:val="Char42"/>
    <w:basedOn w:val="af1"/>
    <w:qFormat/>
    <w:pPr>
      <w:spacing w:line="360" w:lineRule="auto"/>
      <w:ind w:firstLineChars="200" w:firstLine="200"/>
    </w:pPr>
    <w:rPr>
      <w:rFonts w:ascii="宋体" w:hAnsi="宋体" w:cs="Times New Roman" w:hint="eastAsia"/>
      <w:sz w:val="24"/>
      <w:szCs w:val="20"/>
    </w:rPr>
  </w:style>
  <w:style w:type="paragraph" w:customStyle="1" w:styleId="afffffffffffffffffffffffffffffff7">
    <w:name w:val="正文表标题"/>
    <w:next w:val="41"/>
    <w:qFormat/>
    <w:pPr>
      <w:tabs>
        <w:tab w:val="left" w:pos="390"/>
      </w:tabs>
      <w:ind w:left="390" w:hanging="390"/>
      <w:jc w:val="center"/>
    </w:pPr>
    <w:rPr>
      <w:rFonts w:ascii="楷体" w:eastAsia="楷体" w:hAnsi="仿宋_GB2312" w:cs="仿宋_GB2312"/>
      <w:sz w:val="21"/>
    </w:rPr>
  </w:style>
  <w:style w:type="paragraph" w:customStyle="1" w:styleId="xl29">
    <w:name w:val="xl29"/>
    <w:basedOn w:val="af1"/>
    <w:qFormat/>
    <w:pPr>
      <w:spacing w:before="100" w:beforeAutospacing="1" w:after="100" w:afterAutospacing="1"/>
      <w:jc w:val="center"/>
    </w:pPr>
    <w:rPr>
      <w:rFonts w:ascii="宋体" w:hAnsi="宋体" w:cs="Times New Roman"/>
      <w:kern w:val="0"/>
      <w:sz w:val="20"/>
      <w:szCs w:val="20"/>
    </w:rPr>
  </w:style>
  <w:style w:type="paragraph" w:customStyle="1" w:styleId="CharCharCharCharCharCharCharCharChar3">
    <w:name w:val="样式 纯文本纯文本 Char Char Char纯文本 Char Char纯文本 Char Char Char Char ..."/>
    <w:basedOn w:val="afff1"/>
    <w:qFormat/>
    <w:pPr>
      <w:spacing w:line="360" w:lineRule="auto"/>
      <w:ind w:firstLineChars="200" w:firstLine="200"/>
    </w:pPr>
    <w:rPr>
      <w:rFonts w:hAnsi="宋体" w:cs="宋体"/>
      <w:sz w:val="24"/>
      <w:szCs w:val="24"/>
    </w:rPr>
  </w:style>
  <w:style w:type="paragraph" w:customStyle="1" w:styleId="2ffffffa">
    <w:name w:val="环标2"/>
    <w:basedOn w:val="22"/>
    <w:qFormat/>
    <w:pPr>
      <w:adjustRightInd w:val="0"/>
      <w:spacing w:before="60" w:after="60" w:line="312" w:lineRule="atLeast"/>
      <w:jc w:val="left"/>
      <w:textAlignment w:val="baseline"/>
    </w:pPr>
    <w:rPr>
      <w:rFonts w:ascii="黑体"/>
      <w:b w:val="0"/>
      <w:bCs w:val="0"/>
      <w:kern w:val="0"/>
      <w:sz w:val="28"/>
      <w:szCs w:val="20"/>
    </w:rPr>
  </w:style>
  <w:style w:type="paragraph" w:customStyle="1" w:styleId="4T">
    <w:name w:val="列表 4T"/>
    <w:basedOn w:val="45"/>
    <w:qFormat/>
    <w:pPr>
      <w:widowControl/>
      <w:tabs>
        <w:tab w:val="left" w:pos="1021"/>
      </w:tabs>
      <w:adjustRightInd/>
      <w:spacing w:afterLines="30" w:line="288" w:lineRule="auto"/>
      <w:ind w:left="1021" w:hanging="454"/>
      <w:jc w:val="left"/>
      <w:textAlignment w:val="auto"/>
    </w:pPr>
    <w:rPr>
      <w:rFonts w:ascii="Courier New" w:hAnsi="Courier New" w:cs="仿宋_GB2312"/>
      <w:color w:val="CCFFFF"/>
      <w:kern w:val="2"/>
    </w:rPr>
  </w:style>
  <w:style w:type="paragraph" w:customStyle="1" w:styleId="31113CharChar3Char3111111-1">
    <w:name w:val="样式 标题 31.1.1条标题 3 Char Char标题 3 Char标3§1.1.1.. (1.1.1)- ...1"/>
    <w:basedOn w:val="af1"/>
    <w:qFormat/>
    <w:pPr>
      <w:widowControl/>
      <w:tabs>
        <w:tab w:val="left" w:pos="0"/>
      </w:tabs>
      <w:spacing w:line="312" w:lineRule="auto"/>
      <w:jc w:val="left"/>
    </w:pPr>
    <w:rPr>
      <w:rFonts w:ascii="Calibri" w:hAnsi="Calibri" w:cs="Times New Roman"/>
      <w:sz w:val="24"/>
      <w:szCs w:val="20"/>
    </w:rPr>
  </w:style>
  <w:style w:type="paragraph" w:customStyle="1" w:styleId="xl64">
    <w:name w:val="xl64"/>
    <w:basedOn w:val="af1"/>
    <w:qFormat/>
    <w:pPr>
      <w:pBdr>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kern w:val="0"/>
      <w:szCs w:val="21"/>
    </w:rPr>
  </w:style>
  <w:style w:type="paragraph" w:customStyle="1" w:styleId="afffffffffffffffffffffffffffffff8">
    <w:name w:val="目录标题"/>
    <w:basedOn w:val="af1"/>
    <w:next w:val="af1"/>
    <w:qFormat/>
    <w:pPr>
      <w:widowControl/>
      <w:adjustRightInd w:val="0"/>
      <w:snapToGrid w:val="0"/>
      <w:spacing w:before="215" w:after="419" w:line="436" w:lineRule="atLeast"/>
      <w:ind w:firstLineChars="200" w:firstLine="419"/>
      <w:jc w:val="center"/>
      <w:textAlignment w:val="baseline"/>
    </w:pPr>
    <w:rPr>
      <w:rFonts w:ascii="Arial" w:eastAsia="黑体" w:hAnsi="Calibri" w:cs="Times New Roman"/>
      <w:snapToGrid w:val="0"/>
      <w:color w:val="000000"/>
      <w:spacing w:val="283"/>
      <w:kern w:val="0"/>
      <w:sz w:val="42"/>
      <w:szCs w:val="24"/>
      <w:u w:color="000000"/>
    </w:rPr>
  </w:style>
  <w:style w:type="paragraph" w:customStyle="1" w:styleId="81-1">
    <w:name w:val="表8.1-1"/>
    <w:basedOn w:val="af1"/>
    <w:qFormat/>
    <w:pPr>
      <w:widowControl/>
      <w:tabs>
        <w:tab w:val="left" w:pos="720"/>
        <w:tab w:val="left" w:pos="3480"/>
      </w:tabs>
      <w:adjustRightInd w:val="0"/>
      <w:snapToGrid w:val="0"/>
      <w:spacing w:beforeLines="100" w:line="240" w:lineRule="atLeast"/>
      <w:ind w:left="2820" w:hanging="360"/>
      <w:jc w:val="center"/>
    </w:pPr>
    <w:rPr>
      <w:rFonts w:ascii="黑体" w:eastAsia="黑体" w:hAnsi="Calibri" w:cs="Times New Roman"/>
      <w:b/>
      <w:sz w:val="24"/>
      <w:szCs w:val="20"/>
    </w:rPr>
  </w:style>
  <w:style w:type="paragraph" w:customStyle="1" w:styleId="TimesNewRomanGB231225">
    <w:name w:val="样式 纯文本 + (西文) Times New Roman (中文) 楷体_GB2312 四号 行距: 固定值 25 磅"/>
    <w:basedOn w:val="afff1"/>
    <w:qFormat/>
    <w:pPr>
      <w:widowControl/>
      <w:snapToGrid w:val="0"/>
      <w:spacing w:line="500" w:lineRule="exact"/>
      <w:ind w:firstLineChars="200" w:firstLine="555"/>
      <w:jc w:val="left"/>
    </w:pPr>
    <w:rPr>
      <w:rFonts w:ascii="仿宋_GB2312" w:eastAsia="经典叠圆体简" w:hAnsi="仿宋_GB2312" w:cs="Verdana"/>
      <w:sz w:val="28"/>
      <w:szCs w:val="24"/>
    </w:rPr>
  </w:style>
  <w:style w:type="paragraph" w:customStyle="1" w:styleId="3ffb">
    <w:name w:val="3级标题"/>
    <w:basedOn w:val="af1"/>
    <w:qFormat/>
    <w:pPr>
      <w:spacing w:line="360" w:lineRule="auto"/>
      <w:jc w:val="left"/>
      <w:outlineLvl w:val="2"/>
    </w:pPr>
    <w:rPr>
      <w:rFonts w:ascii="Calibri" w:hAnsi="Calibri" w:cs="Times New Roman"/>
      <w:b/>
      <w:kern w:val="18"/>
      <w:sz w:val="24"/>
      <w:szCs w:val="24"/>
    </w:rPr>
  </w:style>
  <w:style w:type="paragraph" w:customStyle="1" w:styleId="p0">
    <w:name w:val="p0"/>
    <w:basedOn w:val="af1"/>
    <w:qFormat/>
    <w:pPr>
      <w:widowControl/>
    </w:pPr>
    <w:rPr>
      <w:rFonts w:ascii="Calibri" w:hAnsi="Calibri" w:cs="Times New Roman"/>
      <w:kern w:val="0"/>
      <w:szCs w:val="21"/>
    </w:rPr>
  </w:style>
  <w:style w:type="paragraph" w:customStyle="1" w:styleId="3CharCharChar0">
    <w:name w:val="样式 标题 3 + 黑色 Char Char Char"/>
    <w:basedOn w:val="31"/>
    <w:qFormat/>
    <w:pPr>
      <w:keepNext w:val="0"/>
      <w:keepLines w:val="0"/>
      <w:widowControl/>
      <w:tabs>
        <w:tab w:val="left" w:pos="1260"/>
      </w:tabs>
      <w:adjustRightInd w:val="0"/>
      <w:snapToGrid w:val="0"/>
      <w:spacing w:before="0" w:after="0" w:line="360" w:lineRule="auto"/>
      <w:ind w:left="567" w:hanging="420"/>
      <w:jc w:val="left"/>
    </w:pPr>
    <w:rPr>
      <w:rFonts w:ascii="仿宋_GB2312" w:hAnsi="Verdana" w:cs="仿宋_GB2312"/>
      <w:b w:val="0"/>
      <w:bCs w:val="0"/>
      <w:color w:val="000000"/>
      <w:sz w:val="24"/>
    </w:rPr>
  </w:style>
  <w:style w:type="paragraph" w:customStyle="1" w:styleId="CharChar2CharCharCharChar">
    <w:name w:val="Char Char2 Char Char Char Char"/>
    <w:basedOn w:val="af1"/>
    <w:semiHidden/>
    <w:qFormat/>
    <w:rPr>
      <w:rFonts w:ascii="Calibri" w:hAnsi="Calibri" w:cs="Times New Roman"/>
      <w:szCs w:val="24"/>
    </w:rPr>
  </w:style>
  <w:style w:type="paragraph" w:customStyle="1" w:styleId="xl46">
    <w:name w:val="xl46"/>
    <w:basedOn w:val="af1"/>
    <w:qFormat/>
    <w:pPr>
      <w:widowControl/>
      <w:pBdr>
        <w:top w:val="single" w:sz="4" w:space="0" w:color="auto"/>
        <w:left w:val="single" w:sz="8"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18"/>
      <w:szCs w:val="18"/>
    </w:rPr>
  </w:style>
  <w:style w:type="paragraph" w:customStyle="1" w:styleId="5J">
    <w:name w:val="列表 5J"/>
    <w:basedOn w:val="55"/>
    <w:qFormat/>
    <w:pPr>
      <w:tabs>
        <w:tab w:val="left" w:pos="1134"/>
      </w:tabs>
      <w:adjustRightInd/>
      <w:spacing w:beforeLines="0" w:line="240" w:lineRule="auto"/>
      <w:ind w:left="1134" w:hanging="425"/>
      <w:jc w:val="left"/>
      <w:textAlignment w:val="auto"/>
    </w:pPr>
    <w:rPr>
      <w:rFonts w:ascii="Courier New" w:hAnsi="Courier New" w:cs="仿宋_GB2312"/>
      <w:color w:val="99CCFF"/>
      <w:kern w:val="2"/>
    </w:rPr>
  </w:style>
  <w:style w:type="paragraph" w:customStyle="1" w:styleId="afffffffffffffffffffffffffffffff9">
    <w:name w:val="奉读大示，心折殊深。"/>
    <w:qFormat/>
    <w:pPr>
      <w:widowControl w:val="0"/>
      <w:jc w:val="both"/>
    </w:pPr>
    <w:rPr>
      <w:rFonts w:ascii="仿宋_GB2312" w:eastAsia="宋体" w:hAnsi="仿宋_GB2312" w:cs="仿宋_GB2312"/>
      <w:kern w:val="2"/>
      <w:sz w:val="21"/>
    </w:rPr>
  </w:style>
  <w:style w:type="paragraph" w:customStyle="1" w:styleId="CharCharCharCharCharCharChar7">
    <w:name w:val="Char Char Char Char Char Char Char"/>
    <w:basedOn w:val="af1"/>
    <w:qFormat/>
    <w:pPr>
      <w:tabs>
        <w:tab w:val="left" w:pos="840"/>
      </w:tabs>
      <w:ind w:left="840" w:hanging="360"/>
    </w:pPr>
    <w:rPr>
      <w:rFonts w:ascii="Calibri" w:hAnsi="Calibri" w:cs="Times New Roman"/>
      <w:szCs w:val="24"/>
    </w:rPr>
  </w:style>
  <w:style w:type="paragraph" w:customStyle="1" w:styleId="3D0">
    <w:name w:val="列表 3D"/>
    <w:basedOn w:val="34"/>
    <w:qFormat/>
    <w:pPr>
      <w:tabs>
        <w:tab w:val="left" w:pos="907"/>
      </w:tabs>
      <w:spacing w:line="288" w:lineRule="auto"/>
      <w:ind w:left="907" w:hanging="567"/>
      <w:jc w:val="left"/>
    </w:pPr>
    <w:rPr>
      <w:rFonts w:ascii="Courier New" w:hAnsi="Courier New" w:cs="仿宋_GB2312"/>
      <w:color w:val="CCFFCC"/>
      <w:sz w:val="24"/>
    </w:rPr>
  </w:style>
  <w:style w:type="paragraph" w:customStyle="1" w:styleId="5f9">
    <w:name w:val="表内5"/>
    <w:basedOn w:val="af1"/>
    <w:qFormat/>
    <w:pPr>
      <w:tabs>
        <w:tab w:val="left" w:pos="4680"/>
      </w:tabs>
      <w:adjustRightInd w:val="0"/>
      <w:snapToGrid w:val="0"/>
      <w:spacing w:line="400" w:lineRule="exact"/>
      <w:jc w:val="center"/>
    </w:pPr>
    <w:rPr>
      <w:rFonts w:ascii="Calibri" w:hAnsi="Calibri" w:cs="Times New Roman"/>
      <w:color w:val="FF0000"/>
      <w:szCs w:val="21"/>
    </w:rPr>
  </w:style>
  <w:style w:type="paragraph" w:customStyle="1" w:styleId="CharCharCharCharCharCharCharCharCharCharCharCharCharCharCharCharCharChar1CharCharCharChar2">
    <w:name w:val="Char Char Char Char Char Char Char Char Char Char Char Char Char Char Char Char Char Char1 Char Char Char Char2"/>
    <w:basedOn w:val="af1"/>
    <w:qFormat/>
    <w:rPr>
      <w:rFonts w:ascii="Calibri" w:hAnsi="Calibri" w:cs="Times New Roman"/>
      <w:szCs w:val="24"/>
    </w:rPr>
  </w:style>
  <w:style w:type="paragraph" w:customStyle="1" w:styleId="Char230">
    <w:name w:val="Char23"/>
    <w:basedOn w:val="af1"/>
    <w:qFormat/>
    <w:rPr>
      <w:rFonts w:ascii="Calibri" w:hAnsi="Calibri" w:cs="Times New Roman"/>
      <w:sz w:val="24"/>
      <w:szCs w:val="24"/>
    </w:rPr>
  </w:style>
  <w:style w:type="paragraph" w:customStyle="1" w:styleId="afffffffffffffffffffffffffffffffa">
    <w:name w:val="表格文字中"/>
    <w:basedOn w:val="af1"/>
    <w:qFormat/>
    <w:pPr>
      <w:widowControl/>
      <w:tabs>
        <w:tab w:val="left" w:pos="1727"/>
        <w:tab w:val="left" w:pos="1884"/>
      </w:tabs>
      <w:adjustRightInd w:val="0"/>
      <w:snapToGrid w:val="0"/>
      <w:jc w:val="center"/>
    </w:pPr>
    <w:rPr>
      <w:rFonts w:ascii="宋体" w:hAnsi="宋体" w:cs="Times New Roman"/>
      <w:color w:val="000000"/>
      <w:kern w:val="0"/>
      <w:sz w:val="24"/>
      <w:szCs w:val="24"/>
    </w:rPr>
  </w:style>
  <w:style w:type="paragraph" w:customStyle="1" w:styleId="afffffffffffffffffffffffffffffffb">
    <w:name w:val="样式 正文（首行缩进两字） + 宋体"/>
    <w:basedOn w:val="aff0"/>
    <w:qFormat/>
    <w:pPr>
      <w:spacing w:line="440" w:lineRule="exact"/>
      <w:ind w:firstLineChars="0" w:firstLine="0"/>
      <w:jc w:val="center"/>
      <w:textAlignment w:val="auto"/>
    </w:pPr>
    <w:rPr>
      <w:rFonts w:ascii="Times New Roman"/>
      <w:color w:val="000000"/>
      <w:spacing w:val="20"/>
      <w:sz w:val="28"/>
      <w:szCs w:val="28"/>
    </w:rPr>
  </w:style>
  <w:style w:type="paragraph" w:customStyle="1" w:styleId="afffffffffffffffffffffffffffffffc">
    <w:name w:val="表题格式"/>
    <w:basedOn w:val="af1"/>
    <w:qFormat/>
    <w:pPr>
      <w:widowControl/>
      <w:spacing w:line="440" w:lineRule="exact"/>
      <w:ind w:firstLineChars="377" w:firstLine="377"/>
      <w:jc w:val="left"/>
    </w:pPr>
    <w:rPr>
      <w:rFonts w:ascii="仿宋_GB2312" w:eastAsia="楷体" w:hAnsi="仿宋_GB2312" w:cs="仿宋_GB2312"/>
      <w:kern w:val="0"/>
      <w:sz w:val="24"/>
      <w:szCs w:val="20"/>
    </w:rPr>
  </w:style>
  <w:style w:type="paragraph" w:customStyle="1" w:styleId="xl24">
    <w:name w:val="xl24"/>
    <w:basedOn w:val="af1"/>
    <w:qFormat/>
    <w:pPr>
      <w:widowControl/>
      <w:spacing w:before="100" w:beforeAutospacing="1" w:after="100" w:afterAutospacing="1"/>
      <w:jc w:val="center"/>
    </w:pPr>
    <w:rPr>
      <w:rFonts w:ascii="仿宋_GB2312" w:eastAsia="仿宋_GB2312" w:hAnsi="Arial Unicode MS" w:cs="Arial Unicode MS" w:hint="eastAsia"/>
      <w:kern w:val="0"/>
      <w:sz w:val="24"/>
      <w:szCs w:val="24"/>
    </w:rPr>
  </w:style>
  <w:style w:type="paragraph" w:customStyle="1" w:styleId="1521">
    <w:name w:val="样式 小四 行距: 1.5 倍行距 首行缩进:  2 字符"/>
    <w:basedOn w:val="af1"/>
    <w:qFormat/>
    <w:pPr>
      <w:adjustRightInd w:val="0"/>
      <w:snapToGrid w:val="0"/>
      <w:spacing w:line="360" w:lineRule="auto"/>
      <w:ind w:firstLineChars="200" w:firstLine="600"/>
    </w:pPr>
    <w:rPr>
      <w:rFonts w:ascii="Calibri" w:hAnsi="Calibri" w:cs="宋体"/>
      <w:sz w:val="24"/>
      <w:szCs w:val="24"/>
    </w:rPr>
  </w:style>
  <w:style w:type="paragraph" w:customStyle="1" w:styleId="edri-1">
    <w:name w:val="edri-制表位1"/>
    <w:basedOn w:val="af1"/>
    <w:qFormat/>
    <w:pPr>
      <w:widowControl/>
      <w:tabs>
        <w:tab w:val="left" w:pos="4620"/>
      </w:tabs>
      <w:snapToGrid w:val="0"/>
      <w:spacing w:line="360" w:lineRule="auto"/>
      <w:ind w:leftChars="173" w:left="363" w:firstLineChars="600" w:firstLine="1440"/>
      <w:jc w:val="left"/>
    </w:pPr>
    <w:rPr>
      <w:rFonts w:ascii="仿宋_GB2312" w:hAnsi="仿宋_GB2312" w:cs="仿宋_GB2312"/>
      <w:sz w:val="24"/>
      <w:szCs w:val="24"/>
    </w:rPr>
  </w:style>
  <w:style w:type="paragraph" w:customStyle="1" w:styleId="500">
    <w:name w:val="样式 标题 5标题（五） + 左侧:  0 厘米 首行缩进:  0 厘米"/>
    <w:basedOn w:val="5110"/>
    <w:qFormat/>
    <w:pPr>
      <w:tabs>
        <w:tab w:val="left" w:pos="0"/>
      </w:tabs>
      <w:snapToGrid/>
      <w:spacing w:before="280" w:after="290" w:line="376" w:lineRule="atLeast"/>
      <w:ind w:left="0" w:firstLine="0"/>
    </w:pPr>
  </w:style>
  <w:style w:type="paragraph" w:customStyle="1" w:styleId="5110">
    <w:name w:val="标题 511"/>
    <w:basedOn w:val="af1"/>
    <w:next w:val="af1"/>
    <w:qFormat/>
    <w:pPr>
      <w:keepNext/>
      <w:keepLines/>
      <w:tabs>
        <w:tab w:val="left" w:pos="1800"/>
      </w:tabs>
      <w:snapToGrid w:val="0"/>
      <w:spacing w:line="360" w:lineRule="auto"/>
      <w:ind w:left="1009" w:hanging="1009"/>
      <w:jc w:val="left"/>
      <w:outlineLvl w:val="4"/>
    </w:pPr>
    <w:rPr>
      <w:rFonts w:ascii="Calibri" w:hAnsi="Calibri" w:cs="Times New Roman"/>
      <w:b/>
      <w:sz w:val="28"/>
      <w:szCs w:val="20"/>
    </w:rPr>
  </w:style>
  <w:style w:type="paragraph" w:customStyle="1" w:styleId="4O">
    <w:name w:val="列表 4O"/>
    <w:basedOn w:val="45"/>
    <w:qFormat/>
    <w:pPr>
      <w:widowControl/>
      <w:tabs>
        <w:tab w:val="left" w:pos="1021"/>
      </w:tabs>
      <w:adjustRightInd/>
      <w:spacing w:afterLines="30" w:line="288" w:lineRule="auto"/>
      <w:ind w:left="1021" w:hanging="454"/>
      <w:jc w:val="left"/>
      <w:textAlignment w:val="auto"/>
    </w:pPr>
    <w:rPr>
      <w:rFonts w:ascii="Courier New" w:hAnsi="Courier New" w:cs="仿宋_GB2312"/>
      <w:color w:val="CCFFFF"/>
      <w:kern w:val="2"/>
    </w:rPr>
  </w:style>
  <w:style w:type="paragraph" w:customStyle="1" w:styleId="2ffffffb">
    <w:name w:val="修订2"/>
    <w:qFormat/>
    <w:rPr>
      <w:rFonts w:ascii="Calibri" w:eastAsia="宋体" w:hAnsi="Calibri" w:cs="Times New Roman"/>
      <w:kern w:val="2"/>
      <w:sz w:val="21"/>
    </w:rPr>
  </w:style>
  <w:style w:type="paragraph" w:customStyle="1" w:styleId="afffffffffffffffffffffffffffffffd">
    <w:name w:val="表格文字小四"/>
    <w:basedOn w:val="af1"/>
    <w:next w:val="affe"/>
    <w:qFormat/>
    <w:pPr>
      <w:widowControl/>
      <w:adjustRightInd w:val="0"/>
      <w:snapToGrid w:val="0"/>
      <w:ind w:left="-593"/>
      <w:jc w:val="center"/>
    </w:pPr>
    <w:rPr>
      <w:rFonts w:ascii="Verdana" w:hAnsi="Verdana" w:cs="仿宋_GB2312"/>
      <w:sz w:val="24"/>
      <w:szCs w:val="24"/>
    </w:rPr>
  </w:style>
  <w:style w:type="paragraph" w:customStyle="1" w:styleId="unnamed2">
    <w:name w:val="unnamed2"/>
    <w:basedOn w:val="af1"/>
    <w:qFormat/>
    <w:pPr>
      <w:widowControl/>
      <w:spacing w:before="100" w:beforeAutospacing="1" w:after="100" w:afterAutospacing="1" w:line="300" w:lineRule="atLeast"/>
      <w:jc w:val="left"/>
    </w:pPr>
    <w:rPr>
      <w:rFonts w:ascii="宋体" w:hAnsi="宋体" w:cs="宋体"/>
      <w:color w:val="666666"/>
      <w:kern w:val="0"/>
      <w:sz w:val="18"/>
      <w:szCs w:val="18"/>
    </w:rPr>
  </w:style>
  <w:style w:type="paragraph" w:customStyle="1" w:styleId="afffffffffffffffffffffffffffffffe">
    <w:name w:val="正本文字"/>
    <w:basedOn w:val="af1"/>
    <w:qFormat/>
    <w:pPr>
      <w:adjustRightInd w:val="0"/>
      <w:snapToGrid w:val="0"/>
      <w:spacing w:line="360" w:lineRule="auto"/>
      <w:ind w:firstLineChars="200" w:firstLine="200"/>
      <w:jc w:val="left"/>
    </w:pPr>
    <w:rPr>
      <w:rFonts w:cs="宋体"/>
      <w:kern w:val="18"/>
      <w:sz w:val="24"/>
      <w:szCs w:val="20"/>
    </w:rPr>
  </w:style>
  <w:style w:type="paragraph" w:customStyle="1" w:styleId="Char70">
    <w:name w:val="Char7"/>
    <w:basedOn w:val="af1"/>
    <w:qFormat/>
    <w:rPr>
      <w:rFonts w:ascii="Calibri" w:hAnsi="Calibri" w:cs="Times New Roman"/>
      <w:szCs w:val="24"/>
    </w:rPr>
  </w:style>
  <w:style w:type="paragraph" w:customStyle="1" w:styleId="350">
    <w:name w:val="样式35"/>
    <w:basedOn w:val="af1"/>
    <w:qFormat/>
    <w:pPr>
      <w:adjustRightInd w:val="0"/>
      <w:spacing w:line="312" w:lineRule="auto"/>
      <w:ind w:firstLine="567"/>
    </w:pPr>
    <w:rPr>
      <w:rFonts w:ascii="宋体" w:hAnsi="Calibri" w:cs="Times New Roman"/>
      <w:kern w:val="0"/>
      <w:sz w:val="28"/>
      <w:szCs w:val="20"/>
    </w:rPr>
  </w:style>
  <w:style w:type="paragraph" w:customStyle="1" w:styleId="xl27">
    <w:name w:val="xl27"/>
    <w:basedOn w:val="af1"/>
    <w:qFormat/>
    <w:pPr>
      <w:pBdr>
        <w:bottom w:val="single" w:sz="4" w:space="0" w:color="auto"/>
        <w:right w:val="single" w:sz="4" w:space="0" w:color="auto"/>
      </w:pBdr>
      <w:adjustRightInd w:val="0"/>
      <w:spacing w:before="100" w:beforeAutospacing="1" w:after="100" w:afterAutospacing="1" w:line="360" w:lineRule="atLeast"/>
      <w:jc w:val="center"/>
    </w:pPr>
    <w:rPr>
      <w:rFonts w:ascii="Calibri" w:hAnsi="Calibri" w:cs="Times New Roman"/>
      <w:kern w:val="0"/>
      <w:szCs w:val="21"/>
    </w:rPr>
  </w:style>
  <w:style w:type="paragraph" w:customStyle="1" w:styleId="302">
    <w:name w:val="样式 行距: 最小值 30 磅"/>
    <w:basedOn w:val="af1"/>
    <w:qFormat/>
    <w:pPr>
      <w:snapToGrid w:val="0"/>
      <w:spacing w:line="520" w:lineRule="exact"/>
      <w:ind w:firstLineChars="200" w:firstLine="560"/>
    </w:pPr>
    <w:rPr>
      <w:rFonts w:ascii="仿宋_GB2312" w:eastAsia="仿宋_GB2312" w:hAnsi="Calibri" w:cs="Times New Roman"/>
      <w:sz w:val="28"/>
      <w:szCs w:val="24"/>
    </w:rPr>
  </w:style>
  <w:style w:type="paragraph" w:customStyle="1" w:styleId="affffffffffffffffffffffffffffffff">
    <w:name w:val="廉江表"/>
    <w:basedOn w:val="af1"/>
    <w:qFormat/>
    <w:pPr>
      <w:snapToGrid w:val="0"/>
      <w:spacing w:afterLines="10"/>
      <w:jc w:val="center"/>
    </w:pPr>
    <w:rPr>
      <w:rFonts w:ascii="Calibri" w:hAnsi="Calibri" w:cs="Times New Roman"/>
      <w:szCs w:val="21"/>
    </w:rPr>
  </w:style>
  <w:style w:type="paragraph" w:customStyle="1" w:styleId="affffffffffffffffffffffffffffffff0">
    <w:name w:val="表格后文"/>
    <w:basedOn w:val="01"/>
    <w:qFormat/>
    <w:pPr>
      <w:spacing w:before="300" w:line="460" w:lineRule="exact"/>
      <w:ind w:firstLineChars="200" w:firstLine="200"/>
    </w:pPr>
  </w:style>
  <w:style w:type="paragraph" w:customStyle="1" w:styleId="2I">
    <w:name w:val="列表 2I"/>
    <w:basedOn w:val="25"/>
    <w:qFormat/>
    <w:pPr>
      <w:widowControl/>
      <w:tabs>
        <w:tab w:val="left" w:pos="737"/>
      </w:tabs>
      <w:spacing w:beforeAutospacing="1" w:after="100" w:afterAutospacing="1" w:line="288" w:lineRule="auto"/>
      <w:ind w:leftChars="0" w:left="737" w:firstLineChars="0" w:hanging="567"/>
      <w:jc w:val="left"/>
    </w:pPr>
    <w:rPr>
      <w:rFonts w:ascii="Courier New" w:eastAsia="宋体" w:hAnsi="Courier New" w:cs="仿宋_GB2312"/>
      <w:color w:val="FFFF99"/>
      <w:kern w:val="2"/>
      <w:sz w:val="24"/>
      <w:szCs w:val="20"/>
    </w:rPr>
  </w:style>
  <w:style w:type="paragraph" w:customStyle="1" w:styleId="CharCharChar1CharCharCharChar1">
    <w:name w:val="Char Char Char1 Char Char Char Char1"/>
    <w:basedOn w:val="af1"/>
    <w:qFormat/>
    <w:pPr>
      <w:spacing w:line="360" w:lineRule="auto"/>
      <w:ind w:firstLineChars="200" w:firstLine="200"/>
    </w:pPr>
    <w:rPr>
      <w:rFonts w:ascii="Calibri" w:hAnsi="Calibri" w:cs="Times New Roman"/>
      <w:szCs w:val="24"/>
    </w:rPr>
  </w:style>
  <w:style w:type="paragraph" w:customStyle="1" w:styleId="affffffffffffffffffffffffffffffff1">
    <w:name w:val="参加人员"/>
    <w:basedOn w:val="af1"/>
    <w:qFormat/>
    <w:rPr>
      <w:rFonts w:ascii="Calibri" w:hAnsi="Calibri" w:cs="Times New Roman"/>
      <w:sz w:val="24"/>
      <w:szCs w:val="24"/>
    </w:rPr>
  </w:style>
  <w:style w:type="paragraph" w:customStyle="1" w:styleId="CharCharCharCharCharCharCharCharChar1CharCharCharChar2">
    <w:name w:val="Char Char Char Char Char Char Char Char Char1 Char Char Char Char2"/>
    <w:basedOn w:val="af1"/>
    <w:qFormat/>
    <w:rPr>
      <w:rFonts w:ascii="Calibri" w:hAnsi="Calibri" w:cs="Times New Roman" w:hint="eastAsia"/>
      <w:sz w:val="24"/>
      <w:szCs w:val="20"/>
    </w:rPr>
  </w:style>
  <w:style w:type="paragraph" w:customStyle="1" w:styleId="5A0">
    <w:name w:val="列表 5A"/>
    <w:basedOn w:val="55"/>
    <w:qFormat/>
    <w:pPr>
      <w:tabs>
        <w:tab w:val="left" w:pos="1134"/>
      </w:tabs>
      <w:adjustRightInd/>
      <w:spacing w:beforeLines="0" w:line="240" w:lineRule="auto"/>
      <w:ind w:left="1134" w:hanging="425"/>
      <w:jc w:val="left"/>
      <w:textAlignment w:val="auto"/>
    </w:pPr>
    <w:rPr>
      <w:rFonts w:ascii="Courier New" w:hAnsi="Courier New" w:cs="仿宋_GB2312"/>
      <w:color w:val="99CCFF"/>
      <w:kern w:val="2"/>
    </w:rPr>
  </w:style>
  <w:style w:type="paragraph" w:customStyle="1" w:styleId="Char60">
    <w:name w:val="Char6"/>
    <w:basedOn w:val="af1"/>
    <w:qFormat/>
    <w:pPr>
      <w:adjustRightInd w:val="0"/>
      <w:spacing w:line="360" w:lineRule="auto"/>
      <w:ind w:firstLineChars="200" w:firstLine="200"/>
    </w:pPr>
    <w:rPr>
      <w:rFonts w:ascii="宋体" w:hAnsi="宋体" w:cs="宋体"/>
      <w:sz w:val="24"/>
      <w:szCs w:val="24"/>
    </w:rPr>
  </w:style>
  <w:style w:type="paragraph" w:customStyle="1" w:styleId="affffffffffffffffffffffffffffffff2">
    <w:name w:val="第六章 图件标题"/>
    <w:basedOn w:val="-xin0"/>
    <w:next w:val="af1"/>
    <w:qFormat/>
    <w:pPr>
      <w:tabs>
        <w:tab w:val="left" w:pos="851"/>
      </w:tabs>
    </w:pPr>
  </w:style>
  <w:style w:type="paragraph" w:customStyle="1" w:styleId="2ffffffc">
    <w:name w:val="普通(网站)2"/>
    <w:basedOn w:val="af1"/>
    <w:qFormat/>
    <w:pPr>
      <w:widowControl/>
      <w:spacing w:before="100" w:beforeAutospacing="1" w:after="100" w:afterAutospacing="1"/>
      <w:jc w:val="left"/>
    </w:pPr>
    <w:rPr>
      <w:rFonts w:ascii="宋体" w:hAnsi="宋体" w:cs="Times New Roman"/>
      <w:sz w:val="24"/>
      <w:szCs w:val="20"/>
    </w:rPr>
  </w:style>
  <w:style w:type="paragraph" w:customStyle="1" w:styleId="5P">
    <w:name w:val="列表 5P"/>
    <w:basedOn w:val="55"/>
    <w:qFormat/>
    <w:pPr>
      <w:tabs>
        <w:tab w:val="left" w:pos="1134"/>
      </w:tabs>
      <w:adjustRightInd/>
      <w:spacing w:beforeLines="0" w:line="240" w:lineRule="auto"/>
      <w:ind w:left="1134" w:hanging="425"/>
      <w:jc w:val="left"/>
      <w:textAlignment w:val="auto"/>
    </w:pPr>
    <w:rPr>
      <w:rFonts w:ascii="Courier New" w:hAnsi="Courier New" w:cs="仿宋_GB2312"/>
      <w:color w:val="99CCFF"/>
      <w:kern w:val="2"/>
    </w:rPr>
  </w:style>
  <w:style w:type="paragraph" w:customStyle="1" w:styleId="affffffffffffffffffffffffffffffff3">
    <w:name w:val="正文（首行缩进）"/>
    <w:basedOn w:val="af1"/>
    <w:qFormat/>
    <w:pPr>
      <w:widowControl/>
      <w:spacing w:line="360" w:lineRule="auto"/>
      <w:ind w:firstLineChars="200" w:firstLine="480"/>
      <w:jc w:val="left"/>
    </w:pPr>
    <w:rPr>
      <w:rFonts w:ascii="Verdana" w:hAnsi="Verdana" w:cs="仿宋_GB2312"/>
      <w:color w:val="000000"/>
      <w:sz w:val="24"/>
      <w:szCs w:val="20"/>
    </w:rPr>
  </w:style>
  <w:style w:type="paragraph" w:customStyle="1" w:styleId="ParaCharCharCharChar">
    <w:name w:val="默认段落字体 Para Char Char Char Char"/>
    <w:basedOn w:val="af1"/>
    <w:qFormat/>
    <w:rPr>
      <w:rFonts w:ascii="Calibri" w:hAnsi="Calibri" w:cs="Times New Roman"/>
      <w:szCs w:val="21"/>
    </w:rPr>
  </w:style>
  <w:style w:type="paragraph" w:customStyle="1" w:styleId="2ffffffd">
    <w:name w:val="2"/>
    <w:basedOn w:val="af1"/>
    <w:next w:val="aff0"/>
    <w:qFormat/>
    <w:pPr>
      <w:snapToGrid w:val="0"/>
      <w:spacing w:line="440" w:lineRule="atLeast"/>
      <w:ind w:firstLine="420"/>
    </w:pPr>
    <w:rPr>
      <w:rFonts w:ascii="Calibri" w:hAnsi="Calibri" w:cs="Times New Roman"/>
      <w:sz w:val="24"/>
      <w:szCs w:val="20"/>
    </w:rPr>
  </w:style>
  <w:style w:type="paragraph" w:customStyle="1" w:styleId="af00">
    <w:name w:val="af0"/>
    <w:basedOn w:val="af1"/>
    <w:qFormat/>
    <w:pPr>
      <w:widowControl/>
      <w:spacing w:before="100" w:beforeAutospacing="1" w:after="100" w:afterAutospacing="1"/>
      <w:jc w:val="left"/>
    </w:pPr>
    <w:rPr>
      <w:rFonts w:ascii="宋体" w:hAnsi="宋体" w:cs="Times New Roman"/>
      <w:kern w:val="0"/>
      <w:sz w:val="24"/>
      <w:szCs w:val="24"/>
    </w:rPr>
  </w:style>
  <w:style w:type="paragraph" w:customStyle="1" w:styleId="4P">
    <w:name w:val="列表 4P"/>
    <w:basedOn w:val="45"/>
    <w:qFormat/>
    <w:pPr>
      <w:widowControl/>
      <w:tabs>
        <w:tab w:val="left" w:pos="1021"/>
      </w:tabs>
      <w:adjustRightInd/>
      <w:spacing w:afterLines="30" w:line="288" w:lineRule="auto"/>
      <w:ind w:left="1021" w:hanging="454"/>
      <w:jc w:val="left"/>
      <w:textAlignment w:val="auto"/>
    </w:pPr>
    <w:rPr>
      <w:rFonts w:ascii="Courier New" w:hAnsi="Courier New" w:cs="仿宋_GB2312"/>
      <w:color w:val="CCFFFF"/>
      <w:kern w:val="2"/>
    </w:rPr>
  </w:style>
  <w:style w:type="paragraph" w:customStyle="1" w:styleId="CharCharChar1CharCharCharCharCharCharCharCharCharChar1">
    <w:name w:val="Char Char Char1 Char Char Char Char Char Char Char Char Char Char1"/>
    <w:basedOn w:val="af1"/>
    <w:qFormat/>
    <w:pPr>
      <w:widowControl/>
      <w:spacing w:line="240" w:lineRule="atLeast"/>
      <w:ind w:left="420" w:firstLine="420"/>
      <w:jc w:val="left"/>
    </w:pPr>
    <w:rPr>
      <w:rFonts w:ascii="Calibri" w:hAnsi="Calibri" w:cs="Times New Roman"/>
      <w:szCs w:val="24"/>
    </w:rPr>
  </w:style>
  <w:style w:type="paragraph" w:customStyle="1" w:styleId="ParaCharCharCharCharCharCharChar">
    <w:name w:val="默认段落字体 Para Char Char Char Char Char Char Char"/>
    <w:basedOn w:val="af1"/>
    <w:qFormat/>
    <w:pPr>
      <w:adjustRightInd w:val="0"/>
      <w:spacing w:line="360" w:lineRule="auto"/>
      <w:ind w:left="200" w:hangingChars="200" w:hanging="200"/>
      <w:textAlignment w:val="baseline"/>
    </w:pPr>
    <w:rPr>
      <w:rFonts w:ascii="Calibri" w:hAnsi="Calibri" w:cs="Times New Roman"/>
      <w:kern w:val="0"/>
      <w:sz w:val="24"/>
      <w:szCs w:val="20"/>
    </w:rPr>
  </w:style>
  <w:style w:type="paragraph" w:customStyle="1" w:styleId="11e">
    <w:name w:val="列出段落11"/>
    <w:basedOn w:val="af1"/>
    <w:qFormat/>
    <w:pPr>
      <w:widowControl/>
      <w:spacing w:line="360" w:lineRule="auto"/>
      <w:ind w:firstLineChars="200" w:firstLine="420"/>
      <w:jc w:val="left"/>
    </w:pPr>
    <w:rPr>
      <w:rFonts w:ascii="Calibri" w:hAnsi="Calibri" w:cs="Times New Roman"/>
      <w:sz w:val="24"/>
      <w:szCs w:val="21"/>
    </w:rPr>
  </w:style>
  <w:style w:type="paragraph" w:customStyle="1" w:styleId="24255">
    <w:name w:val="样式 样式 宋体 小四 左 行距: 固定值 24 磅 + 黑色 居中 首行缩进:  2 字符 段前: 5 磅 段后: 5..."/>
    <w:basedOn w:val="241"/>
    <w:qFormat/>
    <w:pPr>
      <w:spacing w:before="100" w:after="100"/>
      <w:ind w:firstLineChars="0" w:firstLine="0"/>
      <w:jc w:val="center"/>
    </w:pPr>
    <w:rPr>
      <w:color w:val="000000"/>
    </w:rPr>
  </w:style>
  <w:style w:type="paragraph" w:customStyle="1" w:styleId="241">
    <w:name w:val="样式 宋体 小四 左 行距: 固定值 24 磅"/>
    <w:basedOn w:val="af1"/>
    <w:qFormat/>
    <w:pPr>
      <w:widowControl/>
      <w:spacing w:line="480" w:lineRule="exact"/>
      <w:ind w:firstLineChars="200" w:firstLine="200"/>
      <w:jc w:val="left"/>
    </w:pPr>
    <w:rPr>
      <w:rFonts w:ascii="宋体" w:hAnsi="Calibri" w:cs="宋体"/>
      <w:kern w:val="0"/>
      <w:sz w:val="24"/>
      <w:szCs w:val="20"/>
    </w:rPr>
  </w:style>
  <w:style w:type="paragraph" w:customStyle="1" w:styleId="affffffffffffffffffffffffffffffff4">
    <w:name w:val="a表头中"/>
    <w:basedOn w:val="af1"/>
    <w:qFormat/>
    <w:pPr>
      <w:adjustRightInd w:val="0"/>
      <w:spacing w:line="360" w:lineRule="auto"/>
      <w:jc w:val="center"/>
      <w:textAlignment w:val="baseline"/>
    </w:pPr>
    <w:rPr>
      <w:rFonts w:ascii="宋体" w:hAnsi="Calibri" w:cs="Times New Roman"/>
      <w:b/>
      <w:bCs/>
      <w:kern w:val="0"/>
      <w:sz w:val="24"/>
      <w:szCs w:val="30"/>
    </w:rPr>
  </w:style>
  <w:style w:type="paragraph" w:customStyle="1" w:styleId="OIC1Address">
    <w:name w:val="OIC1 Address"/>
    <w:basedOn w:val="af1"/>
    <w:qFormat/>
    <w:pPr>
      <w:widowControl/>
      <w:tabs>
        <w:tab w:val="left" w:pos="1440"/>
      </w:tabs>
      <w:jc w:val="center"/>
    </w:pPr>
    <w:rPr>
      <w:rFonts w:ascii="Courier New" w:hAnsi="Courier New" w:cs="仿宋_GB2312"/>
      <w:color w:val="000080"/>
      <w:kern w:val="0"/>
      <w:sz w:val="20"/>
      <w:szCs w:val="20"/>
    </w:rPr>
  </w:style>
  <w:style w:type="paragraph" w:customStyle="1" w:styleId="192">
    <w:name w:val="19"/>
    <w:basedOn w:val="af1"/>
    <w:qFormat/>
    <w:pPr>
      <w:adjustRightInd w:val="0"/>
      <w:snapToGrid w:val="0"/>
      <w:spacing w:before="100" w:beforeAutospacing="1" w:after="100" w:afterAutospacing="1" w:line="460" w:lineRule="atLeast"/>
    </w:pPr>
    <w:rPr>
      <w:rFonts w:ascii="Calibri" w:hAnsi="Calibri" w:cs="Times New Roman"/>
      <w:kern w:val="0"/>
      <w:sz w:val="24"/>
    </w:rPr>
  </w:style>
  <w:style w:type="paragraph" w:customStyle="1" w:styleId="reader-word-layerreader-word-s1-6">
    <w:name w:val="reader-word-layer reader-word-s1-6"/>
    <w:basedOn w:val="af1"/>
    <w:qFormat/>
    <w:pPr>
      <w:widowControl/>
      <w:spacing w:before="100" w:beforeAutospacing="1" w:after="100" w:afterAutospacing="1"/>
      <w:jc w:val="left"/>
    </w:pPr>
    <w:rPr>
      <w:rFonts w:ascii="宋体" w:hAnsi="宋体" w:cs="宋体"/>
      <w:kern w:val="0"/>
      <w:sz w:val="24"/>
      <w:szCs w:val="24"/>
    </w:rPr>
  </w:style>
  <w:style w:type="paragraph" w:customStyle="1" w:styleId="Char52">
    <w:name w:val="Char52"/>
    <w:basedOn w:val="af1"/>
    <w:qFormat/>
    <w:pPr>
      <w:shd w:val="clear" w:color="auto" w:fill="000080"/>
      <w:adjustRightInd w:val="0"/>
      <w:spacing w:line="436" w:lineRule="exact"/>
      <w:ind w:left="357"/>
      <w:jc w:val="left"/>
      <w:outlineLvl w:val="3"/>
    </w:pPr>
    <w:rPr>
      <w:rFonts w:ascii="Tahoma" w:hAnsi="Tahoma" w:cs="Times New Roman"/>
      <w:b/>
      <w:sz w:val="24"/>
      <w:szCs w:val="28"/>
      <w:shd w:val="clear" w:color="auto" w:fill="000080"/>
    </w:rPr>
  </w:style>
  <w:style w:type="paragraph" w:customStyle="1" w:styleId="-2">
    <w:name w:val="表格标题-2"/>
    <w:basedOn w:val="-xin"/>
    <w:next w:val="af1"/>
    <w:qFormat/>
    <w:pPr>
      <w:numPr>
        <w:numId w:val="26"/>
      </w:numPr>
      <w:snapToGrid/>
      <w:contextualSpacing/>
    </w:pPr>
  </w:style>
  <w:style w:type="paragraph" w:customStyle="1" w:styleId="wenzi">
    <w:name w:val="wenzi"/>
    <w:basedOn w:val="af1"/>
    <w:qFormat/>
    <w:pPr>
      <w:widowControl/>
      <w:spacing w:before="100" w:beforeAutospacing="1" w:after="100" w:afterAutospacing="1" w:line="360" w:lineRule="atLeast"/>
      <w:jc w:val="left"/>
    </w:pPr>
    <w:rPr>
      <w:rFonts w:ascii="Verdana" w:hAnsi="Verdana" w:cs="仿宋_GB2312"/>
      <w:color w:val="000000"/>
      <w:kern w:val="0"/>
      <w:sz w:val="18"/>
      <w:szCs w:val="18"/>
    </w:rPr>
  </w:style>
  <w:style w:type="paragraph" w:customStyle="1" w:styleId="affffffffffffffffffffffffffffffff5">
    <w:name w:val="+正文"/>
    <w:basedOn w:val="af1"/>
    <w:qFormat/>
    <w:pPr>
      <w:spacing w:line="360" w:lineRule="auto"/>
      <w:ind w:firstLineChars="200" w:firstLine="200"/>
    </w:pPr>
    <w:rPr>
      <w:rFonts w:ascii="Calibri" w:hAnsi="Calibri" w:cs="Times New Roman"/>
      <w:sz w:val="24"/>
      <w:szCs w:val="28"/>
    </w:rPr>
  </w:style>
  <w:style w:type="paragraph" w:customStyle="1" w:styleId="Char1CharCharChar2">
    <w:name w:val="Char1 Char Char Char2"/>
    <w:basedOn w:val="af1"/>
    <w:qFormat/>
    <w:rPr>
      <w:rFonts w:ascii="Calibri" w:hAnsi="Calibri" w:cs="Times New Roman"/>
      <w:szCs w:val="20"/>
    </w:rPr>
  </w:style>
  <w:style w:type="paragraph" w:customStyle="1" w:styleId="yz">
    <w:name w:val="yz"/>
    <w:basedOn w:val="affe"/>
    <w:qFormat/>
    <w:pPr>
      <w:tabs>
        <w:tab w:val="left" w:pos="900"/>
      </w:tabs>
      <w:adjustRightInd w:val="0"/>
      <w:spacing w:after="0"/>
      <w:ind w:firstLineChars="200" w:firstLine="200"/>
      <w:textAlignment w:val="baseline"/>
    </w:pPr>
    <w:rPr>
      <w:rFonts w:ascii="宋体" w:eastAsia="宋体" w:hAnsi="宋体" w:cs="Times New Roman" w:hint="eastAsia"/>
      <w:sz w:val="24"/>
      <w:szCs w:val="20"/>
    </w:rPr>
  </w:style>
  <w:style w:type="paragraph" w:customStyle="1" w:styleId="Bt30">
    <w:name w:val="样式 Bt3 + 加粗"/>
    <w:basedOn w:val="31"/>
    <w:next w:val="af1"/>
    <w:qFormat/>
    <w:pPr>
      <w:spacing w:before="0" w:after="0" w:line="360" w:lineRule="auto"/>
    </w:pPr>
    <w:rPr>
      <w:rFonts w:eastAsia="黑体"/>
      <w:b w:val="0"/>
      <w:bCs w:val="0"/>
      <w:snapToGrid w:val="0"/>
      <w:kern w:val="0"/>
      <w:sz w:val="24"/>
      <w:szCs w:val="20"/>
    </w:rPr>
  </w:style>
  <w:style w:type="paragraph" w:customStyle="1" w:styleId="font10">
    <w:name w:val="font10"/>
    <w:basedOn w:val="af1"/>
    <w:qFormat/>
    <w:pPr>
      <w:spacing w:before="100" w:beforeAutospacing="1" w:after="100" w:afterAutospacing="1"/>
    </w:pPr>
    <w:rPr>
      <w:rFonts w:ascii="宋体" w:hAnsi="宋体" w:cs="Times New Roman"/>
      <w:kern w:val="0"/>
      <w:sz w:val="24"/>
    </w:rPr>
  </w:style>
  <w:style w:type="paragraph" w:customStyle="1" w:styleId="1ptline">
    <w:name w:val="1pt line"/>
    <w:qFormat/>
    <w:pPr>
      <w:pBdr>
        <w:bottom w:val="single" w:sz="8" w:space="1" w:color="auto"/>
      </w:pBdr>
      <w:spacing w:line="20" w:lineRule="exact"/>
    </w:pPr>
    <w:rPr>
      <w:rFonts w:ascii="仿宋_GB2312" w:eastAsia="Times New Roman" w:hAnsi="仿宋_GB2312" w:cs="仿宋_GB2312"/>
      <w:lang w:eastAsia="zh-TW"/>
    </w:rPr>
  </w:style>
  <w:style w:type="paragraph" w:customStyle="1" w:styleId="th1">
    <w:name w:val="th1"/>
    <w:basedOn w:val="af1"/>
    <w:qFormat/>
    <w:pPr>
      <w:widowControl/>
      <w:spacing w:before="100" w:beforeAutospacing="1" w:after="100" w:afterAutospacing="1"/>
      <w:jc w:val="left"/>
    </w:pPr>
    <w:rPr>
      <w:rFonts w:ascii="Verdana" w:hAnsi="Verdana" w:cs="仿宋_GB2312"/>
      <w:kern w:val="0"/>
      <w:sz w:val="24"/>
      <w:szCs w:val="24"/>
    </w:rPr>
  </w:style>
  <w:style w:type="paragraph" w:customStyle="1" w:styleId="affffffffffffffffffffffffffffffff6">
    <w:name w:val="保留正文"/>
    <w:basedOn w:val="af1"/>
    <w:qFormat/>
    <w:pPr>
      <w:keepNext/>
      <w:adjustRightInd w:val="0"/>
      <w:spacing w:after="160" w:line="480" w:lineRule="auto"/>
      <w:textAlignment w:val="baseline"/>
    </w:pPr>
    <w:rPr>
      <w:rFonts w:ascii="宋体" w:hAnsi="Calibri" w:cs="Times New Roman"/>
      <w:kern w:val="0"/>
      <w:sz w:val="24"/>
      <w:szCs w:val="24"/>
    </w:rPr>
  </w:style>
  <w:style w:type="paragraph" w:customStyle="1" w:styleId="xl65">
    <w:name w:val="xl65"/>
    <w:basedOn w:val="af1"/>
    <w:qFormat/>
    <w:pPr>
      <w:widowControl/>
      <w:pBdr>
        <w:bottom w:val="single" w:sz="4" w:space="0" w:color="auto"/>
        <w:right w:val="single" w:sz="4" w:space="0" w:color="auto"/>
      </w:pBdr>
      <w:spacing w:before="100" w:beforeAutospacing="1" w:after="100" w:afterAutospacing="1"/>
      <w:jc w:val="center"/>
      <w:textAlignment w:val="top"/>
    </w:pPr>
    <w:rPr>
      <w:rFonts w:ascii="Arial Unicode MS" w:eastAsia="Arial Unicode MS" w:hAnsi="Arial Unicode MS" w:cs="Arial Unicode MS"/>
      <w:kern w:val="0"/>
      <w:sz w:val="18"/>
      <w:szCs w:val="18"/>
    </w:rPr>
  </w:style>
  <w:style w:type="paragraph" w:customStyle="1" w:styleId="1fffffff2">
    <w:name w:val="表格内容1"/>
    <w:basedOn w:val="af1"/>
    <w:qFormat/>
    <w:pPr>
      <w:adjustRightInd w:val="0"/>
      <w:snapToGrid w:val="0"/>
      <w:spacing w:beforeLines="15" w:before="46" w:afterLines="15" w:after="46" w:line="240" w:lineRule="exact"/>
      <w:jc w:val="center"/>
    </w:pPr>
    <w:rPr>
      <w:rFonts w:ascii="宋体" w:hAnsi="宋体" w:cs="Times New Roman"/>
      <w:kern w:val="0"/>
      <w:szCs w:val="24"/>
    </w:rPr>
  </w:style>
  <w:style w:type="paragraph" w:customStyle="1" w:styleId="affffffffffffffffffffffffffffffff7">
    <w:name w:val="蒲表头"/>
    <w:basedOn w:val="af1"/>
    <w:qFormat/>
    <w:pPr>
      <w:jc w:val="center"/>
    </w:pPr>
    <w:rPr>
      <w:rFonts w:ascii="Calibri" w:hAnsi="Calibri" w:cs="Times New Roman"/>
      <w:b/>
      <w:szCs w:val="21"/>
    </w:rPr>
  </w:style>
  <w:style w:type="paragraph" w:customStyle="1" w:styleId="33Char3CharChar0505">
    <w:name w:val="样式 标题 3标题 3 Char小标题小节标题标题 3 Char Char + 段前: 0.5 行 段后: 0.5 行"/>
    <w:basedOn w:val="31"/>
    <w:qFormat/>
    <w:pPr>
      <w:tabs>
        <w:tab w:val="left" w:pos="720"/>
      </w:tabs>
      <w:spacing w:beforeLines="50" w:before="20" w:afterLines="50" w:after="20" w:line="360" w:lineRule="auto"/>
      <w:ind w:left="720" w:hanging="720"/>
    </w:pPr>
    <w:rPr>
      <w:rFonts w:eastAsia="黑体" w:cs="宋体"/>
      <w:b w:val="0"/>
      <w:bCs w:val="0"/>
      <w:sz w:val="28"/>
      <w:szCs w:val="28"/>
    </w:rPr>
  </w:style>
  <w:style w:type="paragraph" w:customStyle="1" w:styleId="010">
    <w:name w:val="标题01"/>
    <w:basedOn w:val="1"/>
    <w:next w:val="af1"/>
    <w:qFormat/>
    <w:pPr>
      <w:jc w:val="both"/>
    </w:pPr>
    <w:rPr>
      <w:rFonts w:ascii="Times New Roman"/>
      <w:bCs w:val="0"/>
      <w:kern w:val="44"/>
      <w:szCs w:val="20"/>
    </w:rPr>
  </w:style>
  <w:style w:type="paragraph" w:customStyle="1" w:styleId="affffffffffffffffffffffffffffffff8">
    <w:name w:val="图表文字"/>
    <w:basedOn w:val="af1"/>
    <w:next w:val="af1"/>
    <w:qFormat/>
    <w:pPr>
      <w:adjustRightInd w:val="0"/>
      <w:snapToGrid w:val="0"/>
      <w:jc w:val="center"/>
    </w:pPr>
    <w:rPr>
      <w:rFonts w:ascii="Calibri" w:eastAsia="仿宋_GB2312" w:hAnsi="Calibri" w:cs="Times New Roman"/>
      <w:sz w:val="24"/>
      <w:szCs w:val="20"/>
    </w:rPr>
  </w:style>
  <w:style w:type="paragraph" w:customStyle="1" w:styleId="-19">
    <w:name w:val="內文-1"/>
    <w:basedOn w:val="af1"/>
    <w:qFormat/>
    <w:pPr>
      <w:widowControl/>
      <w:topLinePunct/>
      <w:adjustRightInd w:val="0"/>
      <w:spacing w:line="384" w:lineRule="exact"/>
      <w:ind w:firstLine="482"/>
      <w:jc w:val="left"/>
      <w:textAlignment w:val="baseline"/>
    </w:pPr>
    <w:rPr>
      <w:rFonts w:ascii="仿宋_GB2312" w:eastAsia="Times New Roman" w:hAnsi="仿宋_GB2312" w:cs="仿宋_GB2312"/>
      <w:kern w:val="20"/>
      <w:sz w:val="24"/>
      <w:szCs w:val="20"/>
      <w:lang w:eastAsia="zh-TW"/>
    </w:rPr>
  </w:style>
  <w:style w:type="paragraph" w:customStyle="1" w:styleId="affffffffffffffffffffffffffffffff9">
    <w:name w:val="表数"/>
    <w:basedOn w:val="af1"/>
    <w:qFormat/>
    <w:pPr>
      <w:widowControl/>
      <w:spacing w:line="300" w:lineRule="atLeast"/>
      <w:jc w:val="center"/>
    </w:pPr>
    <w:rPr>
      <w:rFonts w:ascii="楷体_GB2312" w:eastAsia="楷体_GB2312" w:hAnsi="宋体" w:cs="Times New Roman"/>
      <w:color w:val="000000"/>
      <w:sz w:val="24"/>
      <w:szCs w:val="20"/>
    </w:rPr>
  </w:style>
  <w:style w:type="paragraph" w:customStyle="1" w:styleId="affffffffffffffffffffffffffffffffa">
    <w:name w:val="表目录"/>
    <w:basedOn w:val="af1"/>
    <w:qFormat/>
    <w:pPr>
      <w:adjustRightInd w:val="0"/>
      <w:snapToGrid w:val="0"/>
      <w:spacing w:beforeLines="50" w:before="156"/>
      <w:jc w:val="center"/>
    </w:pPr>
    <w:rPr>
      <w:rFonts w:ascii="宋体" w:hAnsi="Calibri" w:cs="Times New Roman"/>
      <w:szCs w:val="24"/>
    </w:rPr>
  </w:style>
  <w:style w:type="paragraph" w:customStyle="1" w:styleId="1fffffff3">
    <w:name w:val="內(1)"/>
    <w:basedOn w:val="af1"/>
    <w:qFormat/>
    <w:pPr>
      <w:widowControl/>
      <w:snapToGrid w:val="0"/>
      <w:spacing w:line="420" w:lineRule="atLeast"/>
      <w:ind w:left="1531" w:firstLineChars="200" w:firstLine="520"/>
      <w:jc w:val="left"/>
    </w:pPr>
    <w:rPr>
      <w:rFonts w:ascii="仿宋_GB2312" w:eastAsia="MS Gothic" w:hAnsi="仿宋_GB2312" w:cs="仿宋_GB2312"/>
      <w:sz w:val="26"/>
      <w:szCs w:val="20"/>
      <w:lang w:eastAsia="zh-TW"/>
    </w:rPr>
  </w:style>
  <w:style w:type="paragraph" w:customStyle="1" w:styleId="6d">
    <w:name w:val="正文文字 6"/>
    <w:next w:val="af1"/>
    <w:qFormat/>
    <w:pPr>
      <w:widowControl w:val="0"/>
      <w:ind w:left="240"/>
      <w:jc w:val="both"/>
    </w:pPr>
    <w:rPr>
      <w:rFonts w:ascii="宋体" w:eastAsia="宋体" w:hAnsi="Times New Roman" w:cs="Times New Roman"/>
      <w:b/>
      <w:bCs/>
      <w:kern w:val="2"/>
      <w:sz w:val="32"/>
      <w:szCs w:val="32"/>
    </w:rPr>
  </w:style>
  <w:style w:type="paragraph" w:customStyle="1" w:styleId="2ffffffe">
    <w:name w:val="列出段落2"/>
    <w:basedOn w:val="af1"/>
    <w:qFormat/>
    <w:pPr>
      <w:ind w:firstLineChars="200" w:firstLine="420"/>
    </w:pPr>
    <w:rPr>
      <w:rFonts w:ascii="Calibri" w:hAnsi="Calibri" w:cs="Times New Roman"/>
    </w:rPr>
  </w:style>
  <w:style w:type="paragraph" w:customStyle="1" w:styleId="unnamed2style13">
    <w:name w:val="unnamed2 style13"/>
    <w:basedOn w:val="af1"/>
    <w:qFormat/>
    <w:pPr>
      <w:widowControl/>
      <w:spacing w:before="100" w:beforeAutospacing="1" w:after="100" w:afterAutospacing="1"/>
      <w:jc w:val="left"/>
    </w:pPr>
    <w:rPr>
      <w:rFonts w:ascii="宋体" w:hAnsi="宋体" w:cs="宋体"/>
      <w:kern w:val="0"/>
      <w:sz w:val="24"/>
      <w:szCs w:val="24"/>
    </w:rPr>
  </w:style>
  <w:style w:type="paragraph" w:customStyle="1" w:styleId="1fffffff4">
    <w:name w:val="无间隔1"/>
    <w:qFormat/>
    <w:pPr>
      <w:widowControl w:val="0"/>
      <w:jc w:val="both"/>
    </w:pPr>
    <w:rPr>
      <w:rFonts w:ascii="Calibri" w:eastAsia="宋体" w:hAnsi="Calibri" w:cs="Calibri"/>
      <w:kern w:val="2"/>
      <w:sz w:val="21"/>
      <w:szCs w:val="21"/>
    </w:rPr>
  </w:style>
  <w:style w:type="paragraph" w:customStyle="1" w:styleId="xl44">
    <w:name w:val="xl44"/>
    <w:basedOn w:val="af1"/>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kern w:val="0"/>
      <w:sz w:val="16"/>
      <w:szCs w:val="16"/>
    </w:rPr>
  </w:style>
  <w:style w:type="paragraph" w:customStyle="1" w:styleId="3ffc">
    <w:name w:val="正文样式3"/>
    <w:basedOn w:val="af1"/>
    <w:qFormat/>
    <w:pPr>
      <w:keepLines/>
      <w:widowControl/>
      <w:adjustRightInd w:val="0"/>
      <w:spacing w:line="20" w:lineRule="atLeast"/>
      <w:jc w:val="center"/>
      <w:textAlignment w:val="baseline"/>
    </w:pPr>
    <w:rPr>
      <w:rFonts w:ascii="仿宋_GB2312" w:hAnsi="仿宋_GB2312" w:cs="仿宋_GB2312"/>
      <w:kern w:val="0"/>
      <w:sz w:val="24"/>
      <w:szCs w:val="20"/>
    </w:rPr>
  </w:style>
  <w:style w:type="paragraph" w:customStyle="1" w:styleId="edri-3">
    <w:name w:val="edri-正文3"/>
    <w:basedOn w:val="af1"/>
    <w:qFormat/>
    <w:pPr>
      <w:widowControl/>
      <w:spacing w:beforeLines="50" w:line="300" w:lineRule="auto"/>
      <w:ind w:leftChars="1050" w:left="2205"/>
      <w:jc w:val="left"/>
    </w:pPr>
    <w:rPr>
      <w:rFonts w:ascii="仿宋_GB2312" w:hAnsi="仿宋_GB2312" w:cs="仿宋_GB2312"/>
      <w:sz w:val="24"/>
      <w:szCs w:val="24"/>
    </w:rPr>
  </w:style>
  <w:style w:type="paragraph" w:customStyle="1" w:styleId="CharCharCharCharCharCharCharCharCharCharCharCharCharCharCharCharCharCharCharCharCharCharCharCharCharCharCharCharCharCharCharCharChar2">
    <w:name w:val="Char Char Char Char Char Char Char Char Char Char Char Char Char Char Char Char Char Char Char Char Char Char Char Char Char Char Char Char Char Char Char Char Char2"/>
    <w:basedOn w:val="af1"/>
    <w:qFormat/>
    <w:pPr>
      <w:widowControl/>
      <w:spacing w:after="160" w:line="240" w:lineRule="exact"/>
      <w:jc w:val="left"/>
    </w:pPr>
    <w:rPr>
      <w:rFonts w:ascii="Calibri" w:hAnsi="Calibri" w:cs="Times New Roman"/>
      <w:sz w:val="32"/>
      <w:szCs w:val="20"/>
    </w:rPr>
  </w:style>
  <w:style w:type="paragraph" w:customStyle="1" w:styleId="a2">
    <w:name w:val="条"/>
    <w:basedOn w:val="31"/>
    <w:next w:val="affe"/>
    <w:qFormat/>
    <w:pPr>
      <w:numPr>
        <w:ilvl w:val="2"/>
        <w:numId w:val="1"/>
      </w:numPr>
      <w:adjustRightInd w:val="0"/>
      <w:snapToGrid w:val="0"/>
      <w:spacing w:beforeLines="50" w:before="156" w:after="0" w:line="360" w:lineRule="auto"/>
      <w:ind w:left="-344" w:firstLine="704"/>
    </w:pPr>
    <w:rPr>
      <w:rFonts w:ascii="宋体"/>
      <w:b w:val="0"/>
      <w:sz w:val="28"/>
    </w:rPr>
  </w:style>
  <w:style w:type="paragraph" w:customStyle="1" w:styleId="CharCharChar1Char">
    <w:name w:val="Char Char Char1 Char"/>
    <w:basedOn w:val="1"/>
    <w:qFormat/>
    <w:pPr>
      <w:snapToGrid w:val="0"/>
      <w:spacing w:before="240" w:after="240" w:line="348" w:lineRule="auto"/>
      <w:jc w:val="both"/>
    </w:pPr>
    <w:rPr>
      <w:rFonts w:ascii="Tahoma" w:hAnsi="Tahoma"/>
      <w:bCs w:val="0"/>
      <w:kern w:val="2"/>
      <w:sz w:val="24"/>
      <w:szCs w:val="20"/>
    </w:rPr>
  </w:style>
  <w:style w:type="paragraph" w:customStyle="1" w:styleId="CharCharCharCharCharChar40">
    <w:name w:val="Char Char Char Char Char Char4"/>
    <w:basedOn w:val="af1"/>
    <w:qFormat/>
    <w:pPr>
      <w:spacing w:line="360" w:lineRule="auto"/>
      <w:ind w:firstLineChars="200" w:firstLine="200"/>
    </w:pPr>
    <w:rPr>
      <w:rFonts w:ascii="宋体" w:hAnsi="宋体" w:cs="宋体"/>
      <w:sz w:val="24"/>
      <w:szCs w:val="24"/>
    </w:rPr>
  </w:style>
  <w:style w:type="paragraph" w:customStyle="1" w:styleId="CharCharCharCharCharCharCharCharCharCharCharCharCharCharCharCharCharCharCharCharCharCharCharCharCharCharCharCharCharCharCharCharCharChar2">
    <w:name w:val="Char Char Char Char Char Char Char Char Char Char Char Char Char Char Char Char Char Char Char Char Char Char Char Char Char Char Char Char Char Char Char Char Char Char2"/>
    <w:basedOn w:val="af1"/>
    <w:qFormat/>
    <w:pPr>
      <w:spacing w:line="360" w:lineRule="auto"/>
      <w:ind w:firstLineChars="200" w:firstLine="200"/>
    </w:pPr>
    <w:rPr>
      <w:rFonts w:ascii="宋体" w:hAnsi="宋体" w:cs="Times New Roman" w:hint="eastAsia"/>
      <w:sz w:val="24"/>
      <w:szCs w:val="20"/>
    </w:rPr>
  </w:style>
  <w:style w:type="paragraph" w:customStyle="1" w:styleId="affffffffffffffffffffffffffffffffb">
    <w:name w:val="表格头"/>
    <w:next w:val="af1"/>
    <w:qFormat/>
    <w:pPr>
      <w:spacing w:line="360" w:lineRule="auto"/>
      <w:jc w:val="center"/>
    </w:pPr>
    <w:rPr>
      <w:rFonts w:ascii="Calibri" w:eastAsia="宋体" w:hAnsi="Calibri" w:cs="Times New Roman"/>
      <w:bCs/>
      <w:kern w:val="44"/>
      <w:sz w:val="24"/>
      <w:szCs w:val="44"/>
    </w:rPr>
  </w:style>
  <w:style w:type="paragraph" w:customStyle="1" w:styleId="4fc">
    <w:name w:val="水保4级"/>
    <w:basedOn w:val="4110"/>
    <w:qFormat/>
    <w:pPr>
      <w:snapToGrid/>
      <w:spacing w:before="280" w:after="290" w:line="360" w:lineRule="auto"/>
      <w:ind w:left="0" w:firstLine="0"/>
    </w:pPr>
    <w:rPr>
      <w:rFonts w:ascii="Arial" w:hAnsi="Arial"/>
      <w:sz w:val="24"/>
    </w:rPr>
  </w:style>
  <w:style w:type="paragraph" w:customStyle="1" w:styleId="4110">
    <w:name w:val="标题 411"/>
    <w:basedOn w:val="af1"/>
    <w:next w:val="af1"/>
    <w:uiPriority w:val="9"/>
    <w:qFormat/>
    <w:pPr>
      <w:keepNext/>
      <w:keepLines/>
      <w:tabs>
        <w:tab w:val="left" w:pos="864"/>
      </w:tabs>
      <w:snapToGrid w:val="0"/>
      <w:spacing w:line="460" w:lineRule="atLeast"/>
      <w:ind w:left="864" w:hanging="864"/>
      <w:outlineLvl w:val="3"/>
    </w:pPr>
    <w:rPr>
      <w:rFonts w:ascii="Calibri" w:hAnsi="Calibri" w:cs="Times New Roman"/>
      <w:sz w:val="28"/>
      <w:szCs w:val="20"/>
    </w:rPr>
  </w:style>
  <w:style w:type="paragraph" w:customStyle="1" w:styleId="1fffffff5">
    <w:name w:val="表1"/>
    <w:next w:val="af1"/>
    <w:qFormat/>
    <w:pPr>
      <w:adjustRightInd w:val="0"/>
      <w:snapToGrid w:val="0"/>
      <w:jc w:val="center"/>
    </w:pPr>
    <w:rPr>
      <w:rFonts w:ascii="宋体" w:eastAsia="宋体" w:hAnsi="Calibri" w:cs="Times New Roman"/>
      <w:sz w:val="21"/>
    </w:rPr>
  </w:style>
  <w:style w:type="paragraph" w:customStyle="1" w:styleId="TOC10">
    <w:name w:val="TOC 标题1"/>
    <w:basedOn w:val="1"/>
    <w:next w:val="af1"/>
    <w:qFormat/>
    <w:pPr>
      <w:widowControl/>
      <w:spacing w:before="480" w:line="276" w:lineRule="auto"/>
      <w:jc w:val="left"/>
      <w:outlineLvl w:val="9"/>
    </w:pPr>
    <w:rPr>
      <w:rFonts w:ascii="Cambria" w:hAnsi="Cambria"/>
      <w:color w:val="365F91"/>
      <w:kern w:val="0"/>
      <w:sz w:val="28"/>
      <w:szCs w:val="28"/>
    </w:rPr>
  </w:style>
  <w:style w:type="paragraph" w:customStyle="1" w:styleId="Char1110">
    <w:name w:val="Char111"/>
    <w:basedOn w:val="af1"/>
    <w:qFormat/>
    <w:rPr>
      <w:rFonts w:ascii="Tahoma" w:hAnsi="Tahoma" w:cs="Times New Roman"/>
      <w:sz w:val="24"/>
      <w:szCs w:val="20"/>
    </w:rPr>
  </w:style>
  <w:style w:type="paragraph" w:customStyle="1" w:styleId="edri-7title">
    <w:name w:val="edri-7 title"/>
    <w:basedOn w:val="edri-3"/>
    <w:qFormat/>
    <w:pPr>
      <w:tabs>
        <w:tab w:val="left" w:pos="425"/>
      </w:tabs>
      <w:ind w:leftChars="0" w:left="425" w:hanging="425"/>
    </w:pPr>
  </w:style>
  <w:style w:type="paragraph" w:customStyle="1" w:styleId="0981">
    <w:name w:val="样式 左侧:  0.98 厘米"/>
    <w:basedOn w:val="af1"/>
    <w:qFormat/>
    <w:pPr>
      <w:snapToGrid w:val="0"/>
      <w:spacing w:line="490" w:lineRule="exact"/>
      <w:ind w:firstLineChars="200" w:firstLine="560"/>
    </w:pPr>
    <w:rPr>
      <w:rFonts w:ascii="Calibri" w:eastAsia="仿宋_GB2312" w:hAnsi="Calibri" w:cs="Times New Roman"/>
      <w:sz w:val="28"/>
      <w:szCs w:val="20"/>
    </w:rPr>
  </w:style>
  <w:style w:type="paragraph" w:customStyle="1" w:styleId="-f2">
    <w:name w:val="验收报告-章"/>
    <w:next w:val="af1"/>
    <w:qFormat/>
    <w:pPr>
      <w:keepNext/>
      <w:widowControl w:val="0"/>
      <w:tabs>
        <w:tab w:val="left" w:pos="420"/>
      </w:tabs>
      <w:adjustRightInd w:val="0"/>
      <w:snapToGrid w:val="0"/>
      <w:spacing w:beforeLines="350" w:before="1092" w:afterLines="250" w:after="780"/>
      <w:ind w:left="420" w:hanging="420"/>
      <w:jc w:val="center"/>
      <w:outlineLvl w:val="0"/>
    </w:pPr>
    <w:rPr>
      <w:rFonts w:ascii="宋体" w:eastAsia="宋体" w:hAnsi="宋体" w:cs="Times New Roman"/>
      <w:b/>
      <w:sz w:val="32"/>
    </w:rPr>
  </w:style>
  <w:style w:type="paragraph" w:customStyle="1" w:styleId="3ffd">
    <w:name w:val="正文3"/>
    <w:basedOn w:val="af1"/>
    <w:qFormat/>
    <w:pPr>
      <w:widowControl/>
      <w:autoSpaceDE w:val="0"/>
      <w:autoSpaceDN w:val="0"/>
      <w:spacing w:after="160" w:line="440" w:lineRule="exact"/>
      <w:ind w:left="567" w:hanging="340"/>
      <w:jc w:val="left"/>
      <w:textAlignment w:val="bottom"/>
    </w:pPr>
    <w:rPr>
      <w:rFonts w:ascii="仿宋_GB2312" w:hAnsi="仿宋_GB2312" w:cs="仿宋_GB2312"/>
      <w:color w:val="000000"/>
      <w:sz w:val="28"/>
      <w:szCs w:val="20"/>
    </w:rPr>
  </w:style>
  <w:style w:type="paragraph" w:customStyle="1" w:styleId="T2">
    <w:name w:val="T表格"/>
    <w:qFormat/>
    <w:pPr>
      <w:jc w:val="center"/>
    </w:pPr>
    <w:rPr>
      <w:rFonts w:ascii="仿宋_GB2312" w:eastAsia="仿宋_GB2312" w:hAnsi="Calibri" w:cs="Times New Roman"/>
      <w:kern w:val="2"/>
      <w:sz w:val="21"/>
      <w:szCs w:val="21"/>
    </w:rPr>
  </w:style>
  <w:style w:type="paragraph" w:customStyle="1" w:styleId="111110">
    <w:name w:val="11111"/>
    <w:basedOn w:val="af1"/>
    <w:qFormat/>
    <w:rPr>
      <w:rFonts w:ascii="Calibri" w:hAnsi="Calibri" w:cs="Times New Roman"/>
      <w:szCs w:val="20"/>
    </w:rPr>
  </w:style>
  <w:style w:type="paragraph" w:customStyle="1" w:styleId="xl97">
    <w:name w:val="xl97"/>
    <w:basedOn w:val="af1"/>
    <w:qFormat/>
    <w:pPr>
      <w:widowControl/>
      <w:pBdr>
        <w:left w:val="single" w:sz="8" w:space="0" w:color="auto"/>
        <w:right w:val="single" w:sz="4" w:space="0" w:color="auto"/>
      </w:pBdr>
      <w:spacing w:before="100" w:beforeAutospacing="1" w:after="100" w:afterAutospacing="1"/>
      <w:jc w:val="center"/>
      <w:textAlignment w:val="center"/>
    </w:pPr>
    <w:rPr>
      <w:rFonts w:ascii="仿宋_GB2312" w:eastAsia="華康中楷體" w:hAnsi="仿宋_GB2312" w:cs="仿宋_GB2312"/>
      <w:kern w:val="0"/>
      <w:sz w:val="16"/>
      <w:szCs w:val="16"/>
    </w:rPr>
  </w:style>
  <w:style w:type="paragraph" w:customStyle="1" w:styleId="4G">
    <w:name w:val="列表 4G"/>
    <w:basedOn w:val="45"/>
    <w:qFormat/>
    <w:pPr>
      <w:widowControl/>
      <w:tabs>
        <w:tab w:val="left" w:pos="645"/>
      </w:tabs>
      <w:adjustRightInd/>
      <w:spacing w:afterLines="30" w:line="288" w:lineRule="auto"/>
      <w:ind w:left="645" w:hanging="645"/>
      <w:jc w:val="left"/>
      <w:textAlignment w:val="auto"/>
    </w:pPr>
    <w:rPr>
      <w:rFonts w:ascii="Courier New" w:hAnsi="Courier New" w:cs="仿宋_GB2312"/>
      <w:color w:val="CCFFFF"/>
      <w:kern w:val="2"/>
    </w:rPr>
  </w:style>
  <w:style w:type="paragraph" w:customStyle="1" w:styleId="affffffffffffffffffffffffffffffffc">
    <w:name w:val="文本框"/>
    <w:basedOn w:val="af1"/>
    <w:qFormat/>
    <w:pPr>
      <w:adjustRightInd w:val="0"/>
      <w:snapToGrid w:val="0"/>
      <w:spacing w:line="300" w:lineRule="exact"/>
      <w:jc w:val="center"/>
    </w:pPr>
    <w:rPr>
      <w:rFonts w:ascii="Calibri" w:hAnsi="Calibri" w:cs="Times New Roman"/>
      <w:sz w:val="24"/>
      <w:szCs w:val="24"/>
    </w:rPr>
  </w:style>
  <w:style w:type="paragraph" w:customStyle="1" w:styleId="CharCharCharCharCharCharCharChar2CharCharCharCharCharCharCharCharCharCharCharCharChar">
    <w:name w:val="Char Char Char Char Char Char Char Char2 Char Char Char Char Char Char Char Char Char Char Char Char Char"/>
    <w:basedOn w:val="af1"/>
    <w:next w:val="af1"/>
    <w:qFormat/>
    <w:pPr>
      <w:widowControl/>
      <w:ind w:firstLineChars="200" w:firstLine="200"/>
      <w:jc w:val="left"/>
    </w:pPr>
    <w:rPr>
      <w:rFonts w:ascii="宋体" w:eastAsia="汉鼎简书宋" w:hAnsi="宋体" w:cs="宋体"/>
      <w:spacing w:val="4"/>
      <w:sz w:val="24"/>
      <w:szCs w:val="24"/>
    </w:rPr>
  </w:style>
  <w:style w:type="paragraph" w:customStyle="1" w:styleId="CharCharCharCharCharChar1CharCharChar1Char2">
    <w:name w:val="Char Char Char Char Char Char1 Char Char Char1 Char2"/>
    <w:basedOn w:val="af1"/>
    <w:qFormat/>
    <w:pPr>
      <w:spacing w:line="360" w:lineRule="auto"/>
      <w:ind w:firstLineChars="200" w:firstLine="200"/>
    </w:pPr>
    <w:rPr>
      <w:rFonts w:ascii="宋体" w:hAnsi="宋体" w:cs="Times New Roman" w:hint="eastAsia"/>
      <w:sz w:val="24"/>
      <w:szCs w:val="20"/>
    </w:rPr>
  </w:style>
  <w:style w:type="paragraph" w:customStyle="1" w:styleId="affffffffffffffffffffffffffffffffd">
    <w:name w:val="注："/>
    <w:next w:val="af1"/>
    <w:qFormat/>
    <w:pPr>
      <w:widowControl w:val="0"/>
      <w:tabs>
        <w:tab w:val="left" w:pos="895"/>
      </w:tabs>
      <w:autoSpaceDE w:val="0"/>
      <w:autoSpaceDN w:val="0"/>
      <w:ind w:left="895" w:hanging="420"/>
      <w:jc w:val="both"/>
    </w:pPr>
    <w:rPr>
      <w:rFonts w:ascii="Verdana" w:eastAsia="宋体" w:hAnsi="仿宋_GB2312" w:cs="仿宋_GB2312"/>
      <w:sz w:val="18"/>
    </w:rPr>
  </w:style>
  <w:style w:type="paragraph" w:customStyle="1" w:styleId="0011">
    <w:name w:val="标题001"/>
    <w:basedOn w:val="af1"/>
    <w:qFormat/>
    <w:pPr>
      <w:spacing w:before="60" w:line="480" w:lineRule="exact"/>
      <w:outlineLvl w:val="0"/>
    </w:pPr>
    <w:rPr>
      <w:rFonts w:ascii="Calibri" w:hAnsi="Calibri" w:cs="Times New Roman"/>
      <w:b/>
      <w:kern w:val="0"/>
      <w:sz w:val="32"/>
      <w:szCs w:val="20"/>
    </w:rPr>
  </w:style>
  <w:style w:type="paragraph" w:customStyle="1" w:styleId="2fffffff">
    <w:name w:val="样式 正文缩进正文（首行缩进两字） + 左侧:  2 字符"/>
    <w:basedOn w:val="aff0"/>
    <w:qFormat/>
    <w:pPr>
      <w:tabs>
        <w:tab w:val="left" w:pos="645"/>
      </w:tabs>
      <w:adjustRightInd/>
      <w:spacing w:line="420" w:lineRule="exact"/>
      <w:ind w:left="645" w:firstLineChars="0" w:hanging="645"/>
      <w:textAlignment w:val="auto"/>
    </w:pPr>
    <w:rPr>
      <w:rFonts w:ascii="Times New Roman"/>
      <w:spacing w:val="20"/>
      <w:kern w:val="0"/>
      <w:sz w:val="24"/>
      <w:szCs w:val="24"/>
    </w:rPr>
  </w:style>
  <w:style w:type="paragraph" w:customStyle="1" w:styleId="CharCharChar121">
    <w:name w:val="Char Char Char121"/>
    <w:basedOn w:val="af1"/>
    <w:qFormat/>
    <w:rPr>
      <w:rFonts w:ascii="Calibri" w:hAnsi="Calibri" w:cs="Times New Roman"/>
      <w:sz w:val="24"/>
      <w:szCs w:val="24"/>
    </w:rPr>
  </w:style>
  <w:style w:type="paragraph" w:customStyle="1" w:styleId="CharCharCharCharCharChar1CharCharChar12">
    <w:name w:val="Char Char Char Char Char Char1 Char Char Char12"/>
    <w:basedOn w:val="af1"/>
    <w:qFormat/>
    <w:pPr>
      <w:spacing w:line="360" w:lineRule="auto"/>
      <w:ind w:firstLineChars="200" w:firstLine="200"/>
    </w:pPr>
    <w:rPr>
      <w:rFonts w:ascii="宋体" w:hAnsi="宋体" w:cs="Times New Roman" w:hint="eastAsia"/>
      <w:sz w:val="24"/>
      <w:szCs w:val="20"/>
    </w:rPr>
  </w:style>
  <w:style w:type="paragraph" w:customStyle="1" w:styleId="-71">
    <w:name w:val="表格标题-7"/>
    <w:basedOn w:val="af1"/>
    <w:next w:val="af1"/>
    <w:qFormat/>
    <w:pPr>
      <w:tabs>
        <w:tab w:val="left" w:pos="851"/>
      </w:tabs>
      <w:adjustRightInd w:val="0"/>
      <w:snapToGrid w:val="0"/>
      <w:spacing w:line="360" w:lineRule="auto"/>
      <w:jc w:val="center"/>
    </w:pPr>
    <w:rPr>
      <w:rFonts w:ascii="Calibri" w:hAnsi="Calibri" w:cs="Times New Roman"/>
      <w:b/>
      <w:sz w:val="24"/>
      <w:szCs w:val="24"/>
    </w:rPr>
  </w:style>
  <w:style w:type="paragraph" w:customStyle="1" w:styleId="affffffffffffffffffffffffffffffffe">
    <w:name w:val="表格下方正文"/>
    <w:basedOn w:val="af1"/>
    <w:qFormat/>
    <w:pPr>
      <w:spacing w:before="400" w:line="460" w:lineRule="exact"/>
      <w:ind w:firstLineChars="200" w:firstLine="200"/>
    </w:pPr>
    <w:rPr>
      <w:rFonts w:ascii="Calibri" w:hAnsi="Calibri" w:cs="Times New Roman"/>
      <w:sz w:val="24"/>
      <w:szCs w:val="24"/>
    </w:rPr>
  </w:style>
  <w:style w:type="paragraph" w:customStyle="1" w:styleId="2fffffff0">
    <w:name w:val="批注主题2"/>
    <w:basedOn w:val="aff8"/>
    <w:next w:val="aff8"/>
    <w:qFormat/>
    <w:rPr>
      <w:rFonts w:ascii="宋体" w:hAnsi="宋体" w:hint="eastAsia"/>
      <w:b/>
      <w:szCs w:val="20"/>
    </w:rPr>
  </w:style>
  <w:style w:type="paragraph" w:customStyle="1" w:styleId="Char1ff1">
    <w:name w:val="Char1"/>
    <w:basedOn w:val="af1"/>
    <w:qFormat/>
    <w:pPr>
      <w:adjustRightInd w:val="0"/>
      <w:spacing w:after="160" w:line="240" w:lineRule="exact"/>
    </w:pPr>
    <w:rPr>
      <w:rFonts w:ascii="Verdana" w:hAnsi="Verdana" w:cs="Times New Roman"/>
      <w:kern w:val="0"/>
      <w:sz w:val="20"/>
      <w:szCs w:val="20"/>
      <w:lang w:eastAsia="en-US"/>
    </w:rPr>
  </w:style>
  <w:style w:type="paragraph" w:customStyle="1" w:styleId="471">
    <w:name w:val="标标题4.7"/>
    <w:basedOn w:val="af1"/>
    <w:qFormat/>
    <w:pPr>
      <w:widowControl/>
      <w:tabs>
        <w:tab w:val="center" w:pos="4060"/>
        <w:tab w:val="right" w:pos="8261"/>
      </w:tabs>
      <w:suppressAutoHyphens/>
      <w:adjustRightInd w:val="0"/>
      <w:snapToGrid w:val="0"/>
      <w:spacing w:line="360" w:lineRule="auto"/>
      <w:jc w:val="center"/>
    </w:pPr>
    <w:rPr>
      <w:rFonts w:ascii="Calibri" w:hAnsi="Calibri" w:cs="Times New Roman"/>
      <w:spacing w:val="6"/>
      <w:kern w:val="0"/>
      <w:sz w:val="24"/>
      <w:szCs w:val="26"/>
    </w:rPr>
  </w:style>
  <w:style w:type="paragraph" w:customStyle="1" w:styleId="2Fffffff1">
    <w:name w:val="列表 2F"/>
    <w:basedOn w:val="25"/>
    <w:qFormat/>
    <w:pPr>
      <w:widowControl/>
      <w:tabs>
        <w:tab w:val="left" w:pos="737"/>
      </w:tabs>
      <w:spacing w:beforeAutospacing="1" w:after="100" w:afterAutospacing="1" w:line="288" w:lineRule="auto"/>
      <w:ind w:leftChars="0" w:left="737" w:firstLineChars="0" w:hanging="567"/>
      <w:jc w:val="left"/>
    </w:pPr>
    <w:rPr>
      <w:rFonts w:ascii="Courier New" w:eastAsia="宋体" w:hAnsi="Courier New" w:cs="仿宋_GB2312"/>
      <w:color w:val="FFFF99"/>
      <w:kern w:val="2"/>
      <w:sz w:val="24"/>
      <w:szCs w:val="20"/>
    </w:rPr>
  </w:style>
  <w:style w:type="paragraph" w:customStyle="1" w:styleId="afffffffffffffffffffffffffffffffff">
    <w:name w:val="正文王"/>
    <w:basedOn w:val="afff1"/>
    <w:qFormat/>
    <w:pPr>
      <w:spacing w:line="440" w:lineRule="exact"/>
    </w:pPr>
    <w:rPr>
      <w:rFonts w:ascii="Arial" w:hAnsi="Arial" w:cs="Times New Roman"/>
      <w:kern w:val="0"/>
      <w:sz w:val="24"/>
      <w:szCs w:val="20"/>
    </w:rPr>
  </w:style>
  <w:style w:type="paragraph" w:customStyle="1" w:styleId="21110">
    <w:name w:val="正文文本 2111"/>
    <w:basedOn w:val="af1"/>
    <w:qFormat/>
    <w:pPr>
      <w:widowControl/>
      <w:adjustRightInd w:val="0"/>
      <w:ind w:left="425"/>
      <w:jc w:val="left"/>
      <w:textAlignment w:val="baseline"/>
    </w:pPr>
    <w:rPr>
      <w:rFonts w:ascii="Verdana" w:hAnsi="仿宋_GB2312" w:cs="仿宋_GB2312"/>
      <w:kern w:val="0"/>
      <w:sz w:val="24"/>
      <w:szCs w:val="20"/>
    </w:rPr>
  </w:style>
  <w:style w:type="paragraph" w:customStyle="1" w:styleId="afffffffffffffffffffffffffffffffff0">
    <w:name w:val="章标题"/>
    <w:next w:val="af1"/>
    <w:qFormat/>
    <w:pPr>
      <w:spacing w:before="50" w:after="50"/>
      <w:jc w:val="both"/>
      <w:outlineLvl w:val="1"/>
    </w:pPr>
    <w:rPr>
      <w:rFonts w:ascii="黑体" w:eastAsia="黑体" w:hAnsi="Calibri" w:cs="Times New Roman"/>
      <w:sz w:val="21"/>
    </w:rPr>
  </w:style>
  <w:style w:type="paragraph" w:customStyle="1" w:styleId="1fffffff6">
    <w:name w:val="四级目录1"/>
    <w:basedOn w:val="af1"/>
    <w:qFormat/>
    <w:pPr>
      <w:adjustRightInd w:val="0"/>
      <w:spacing w:line="360" w:lineRule="auto"/>
    </w:pPr>
    <w:rPr>
      <w:rFonts w:ascii="Calibri" w:hAnsi="Calibri" w:cs="Times New Roman"/>
      <w:b/>
      <w:color w:val="0000FF"/>
      <w:sz w:val="24"/>
      <w:szCs w:val="20"/>
    </w:rPr>
  </w:style>
  <w:style w:type="paragraph" w:customStyle="1" w:styleId="-f3">
    <w:name w:val="表格-内容"/>
    <w:basedOn w:val="af1"/>
    <w:qFormat/>
    <w:pPr>
      <w:jc w:val="center"/>
    </w:pPr>
    <w:rPr>
      <w:rFonts w:ascii="宋体" w:hAnsi="宋体" w:cs="Times New Roman"/>
      <w:szCs w:val="21"/>
    </w:rPr>
  </w:style>
  <w:style w:type="paragraph" w:customStyle="1" w:styleId="gao">
    <w:name w:val="gao"/>
    <w:basedOn w:val="af1"/>
    <w:qFormat/>
    <w:pPr>
      <w:autoSpaceDE w:val="0"/>
      <w:autoSpaceDN w:val="0"/>
      <w:adjustRightInd w:val="0"/>
      <w:spacing w:line="360" w:lineRule="auto"/>
    </w:pPr>
    <w:rPr>
      <w:rFonts w:ascii="宋体" w:hAnsi="Calibri" w:cs="Times New Roman"/>
      <w:kern w:val="0"/>
      <w:sz w:val="28"/>
      <w:szCs w:val="20"/>
    </w:rPr>
  </w:style>
  <w:style w:type="paragraph" w:customStyle="1" w:styleId="4TimesNewRoman1">
    <w:name w:val="样式 标题 4 + Times New Roman 黑色1"/>
    <w:basedOn w:val="41"/>
    <w:qFormat/>
    <w:pPr>
      <w:keepLines/>
      <w:widowControl w:val="0"/>
      <w:adjustRightInd w:val="0"/>
      <w:spacing w:line="360" w:lineRule="auto"/>
      <w:ind w:firstLineChars="200" w:firstLine="1044"/>
      <w:jc w:val="left"/>
      <w:textAlignment w:val="baseline"/>
    </w:pPr>
    <w:rPr>
      <w:rFonts w:ascii="Times New Roman" w:eastAsia="黑体" w:hAnsi="Times New Roman"/>
      <w:b w:val="0"/>
      <w:bCs/>
      <w:color w:val="FF0000"/>
      <w:kern w:val="2"/>
      <w:sz w:val="24"/>
      <w:szCs w:val="24"/>
    </w:rPr>
  </w:style>
  <w:style w:type="paragraph" w:customStyle="1" w:styleId="altt">
    <w:name w:val="!表格(alt+t)"/>
    <w:next w:val="af1"/>
    <w:qFormat/>
    <w:pPr>
      <w:adjustRightInd w:val="0"/>
      <w:spacing w:line="320" w:lineRule="exact"/>
      <w:jc w:val="center"/>
      <w:textAlignment w:val="center"/>
    </w:pPr>
    <w:rPr>
      <w:rFonts w:ascii="Calibri" w:eastAsia="宋体" w:hAnsi="Calibri" w:cs="Times New Roman"/>
      <w:sz w:val="21"/>
      <w:szCs w:val="21"/>
    </w:rPr>
  </w:style>
  <w:style w:type="paragraph" w:customStyle="1" w:styleId="-16">
    <w:name w:val="表格标题-16"/>
    <w:basedOn w:val="-xin"/>
    <w:next w:val="af1"/>
    <w:qFormat/>
    <w:pPr>
      <w:numPr>
        <w:numId w:val="27"/>
      </w:numPr>
      <w:adjustRightInd w:val="0"/>
      <w:spacing w:line="360" w:lineRule="auto"/>
    </w:pPr>
    <w:rPr>
      <w:rFonts w:ascii="Times New Roman" w:hAnsi="Times New Roman"/>
      <w:sz w:val="24"/>
    </w:rPr>
  </w:style>
  <w:style w:type="paragraph" w:customStyle="1" w:styleId="CharCharChar1Char12">
    <w:name w:val="Char Char Char1 Char12"/>
    <w:basedOn w:val="af1"/>
    <w:semiHidden/>
    <w:qFormat/>
    <w:rPr>
      <w:rFonts w:ascii="Calibri" w:hAnsi="Calibri" w:cs="Times New Roman"/>
      <w:szCs w:val="24"/>
    </w:rPr>
  </w:style>
  <w:style w:type="paragraph" w:customStyle="1" w:styleId="CharChar1CharCharCharCharCharCharCharCharCharCharCharCharCharCharCharCharCharChar1">
    <w:name w:val="Char Char1 Char Char Char Char Char Char Char Char Char Char Char Char Char Char Char Char Char Char1"/>
    <w:basedOn w:val="af1"/>
    <w:qFormat/>
    <w:pPr>
      <w:spacing w:line="360" w:lineRule="auto"/>
      <w:ind w:firstLineChars="200" w:firstLine="200"/>
    </w:pPr>
    <w:rPr>
      <w:rFonts w:ascii="宋体" w:hAnsi="宋体" w:cs="宋体"/>
      <w:sz w:val="24"/>
      <w:szCs w:val="24"/>
    </w:rPr>
  </w:style>
  <w:style w:type="paragraph" w:customStyle="1" w:styleId="p16">
    <w:name w:val="p16"/>
    <w:basedOn w:val="af1"/>
    <w:qFormat/>
    <w:pPr>
      <w:adjustRightInd w:val="0"/>
      <w:spacing w:line="360" w:lineRule="atLeast"/>
    </w:pPr>
    <w:rPr>
      <w:rFonts w:ascii="Calibri" w:hAnsi="Calibri" w:cs="Times New Roman"/>
      <w:kern w:val="0"/>
      <w:szCs w:val="21"/>
    </w:rPr>
  </w:style>
  <w:style w:type="paragraph" w:customStyle="1" w:styleId="xl36">
    <w:name w:val="xl36"/>
    <w:basedOn w:val="af1"/>
    <w:qFormat/>
    <w:pPr>
      <w:pBdr>
        <w:bottom w:val="single" w:sz="4" w:space="0" w:color="auto"/>
        <w:right w:val="single" w:sz="4" w:space="0" w:color="auto"/>
      </w:pBdr>
      <w:adjustRightInd w:val="0"/>
      <w:spacing w:before="100" w:beforeAutospacing="1" w:after="100" w:afterAutospacing="1" w:line="360" w:lineRule="atLeast"/>
      <w:jc w:val="center"/>
    </w:pPr>
    <w:rPr>
      <w:rFonts w:ascii="Calibri" w:hAnsi="Calibri" w:cs="Times New Roman"/>
      <w:kern w:val="0"/>
      <w:szCs w:val="21"/>
    </w:rPr>
  </w:style>
  <w:style w:type="paragraph" w:customStyle="1" w:styleId="2fffffff2">
    <w:name w:val="正文首行缩进  2字符"/>
    <w:basedOn w:val="af1"/>
    <w:qFormat/>
    <w:pPr>
      <w:spacing w:line="360" w:lineRule="auto"/>
      <w:ind w:firstLineChars="200" w:firstLine="480"/>
    </w:pPr>
    <w:rPr>
      <w:rFonts w:cs="Times New Roman"/>
      <w:sz w:val="24"/>
      <w:szCs w:val="20"/>
    </w:rPr>
  </w:style>
  <w:style w:type="paragraph" w:customStyle="1" w:styleId="Char220">
    <w:name w:val="Char22"/>
    <w:basedOn w:val="af1"/>
    <w:qFormat/>
    <w:pPr>
      <w:tabs>
        <w:tab w:val="left" w:pos="360"/>
        <w:tab w:val="left" w:pos="1545"/>
      </w:tabs>
    </w:pPr>
    <w:rPr>
      <w:rFonts w:ascii="Calibri" w:hAnsi="Calibri" w:cs="Times New Roman"/>
      <w:szCs w:val="24"/>
    </w:rPr>
  </w:style>
  <w:style w:type="paragraph" w:customStyle="1" w:styleId="Char3CharCharCharCharCharCharCharCharCharCharCharChar">
    <w:name w:val="Char3 Char Char Char Char Char Char Char Char Char Char Char Char"/>
    <w:basedOn w:val="af1"/>
    <w:qFormat/>
    <w:rPr>
      <w:rFonts w:cs="Times New Roman"/>
      <w:szCs w:val="24"/>
    </w:rPr>
  </w:style>
  <w:style w:type="paragraph" w:customStyle="1" w:styleId="afffffffffffffffffffffffffffffffff1">
    <w:name w:val="电镀正文"/>
    <w:basedOn w:val="aff0"/>
    <w:qFormat/>
    <w:pPr>
      <w:adjustRightInd/>
      <w:spacing w:line="400" w:lineRule="exact"/>
      <w:ind w:firstLine="200"/>
      <w:textAlignment w:val="auto"/>
    </w:pPr>
    <w:rPr>
      <w:rFonts w:ascii="Times New Roman"/>
      <w:sz w:val="24"/>
    </w:rPr>
  </w:style>
  <w:style w:type="paragraph" w:customStyle="1" w:styleId="355173">
    <w:name w:val="样式 标题 3 + 宋体 四号 非加粗 段前: 5 磅 段后: 5 磅 行距: 多倍行距 1.73 字行"/>
    <w:basedOn w:val="31"/>
    <w:qFormat/>
    <w:pPr>
      <w:adjustRightInd w:val="0"/>
      <w:spacing w:before="0" w:after="0" w:line="410" w:lineRule="auto"/>
    </w:pPr>
    <w:rPr>
      <w:rFonts w:ascii="宋体" w:eastAsia="黑体" w:hAnsi="宋体" w:cs="宋体"/>
      <w:b w:val="0"/>
      <w:bCs w:val="0"/>
      <w:sz w:val="30"/>
      <w:szCs w:val="20"/>
    </w:rPr>
  </w:style>
  <w:style w:type="paragraph" w:customStyle="1" w:styleId="-5">
    <w:name w:val="表格标题-5"/>
    <w:basedOn w:val="-xin"/>
    <w:next w:val="af1"/>
    <w:qFormat/>
    <w:pPr>
      <w:numPr>
        <w:numId w:val="28"/>
      </w:numPr>
      <w:adjustRightInd w:val="0"/>
      <w:spacing w:line="360" w:lineRule="auto"/>
    </w:pPr>
    <w:rPr>
      <w:rFonts w:ascii="Times New Roman" w:hAnsi="Times New Roman"/>
      <w:sz w:val="24"/>
    </w:rPr>
  </w:style>
  <w:style w:type="paragraph" w:customStyle="1" w:styleId="z-TopofForm">
    <w:name w:val="z-Top of Form"/>
    <w:next w:val="af1"/>
    <w:qFormat/>
    <w:pPr>
      <w:widowControl w:val="0"/>
      <w:pBdr>
        <w:bottom w:val="double" w:sz="6" w:space="0" w:color="000000"/>
      </w:pBdr>
      <w:autoSpaceDE w:val="0"/>
      <w:autoSpaceDN w:val="0"/>
      <w:adjustRightInd w:val="0"/>
      <w:jc w:val="center"/>
    </w:pPr>
    <w:rPr>
      <w:rFonts w:ascii="宋体" w:eastAsia="宋体" w:hAnsi="Tms Rmn" w:cs="Times New Roman"/>
      <w:vanish/>
      <w:sz w:val="16"/>
    </w:rPr>
  </w:style>
  <w:style w:type="paragraph" w:customStyle="1" w:styleId="afffffffffffffffffffffffffffffffff2">
    <w:name w:val="编号"/>
    <w:basedOn w:val="af1"/>
    <w:qFormat/>
    <w:pPr>
      <w:widowControl/>
      <w:adjustRightInd w:val="0"/>
      <w:ind w:left="1200" w:hanging="600"/>
      <w:jc w:val="left"/>
      <w:textAlignment w:val="baseline"/>
    </w:pPr>
    <w:rPr>
      <w:rFonts w:ascii="MHei-Medium" w:hAnsi="MHei-Medium" w:cs="仿宋_GB2312"/>
      <w:kern w:val="0"/>
      <w:sz w:val="24"/>
      <w:szCs w:val="20"/>
    </w:rPr>
  </w:style>
  <w:style w:type="paragraph" w:customStyle="1" w:styleId="a">
    <w:name w:val="第五章 图件标题"/>
    <w:basedOn w:val="-xin0"/>
    <w:next w:val="af1"/>
    <w:qFormat/>
    <w:pPr>
      <w:numPr>
        <w:numId w:val="29"/>
      </w:numPr>
      <w:adjustRightInd w:val="0"/>
      <w:spacing w:line="360" w:lineRule="auto"/>
    </w:pPr>
    <w:rPr>
      <w:rFonts w:ascii="Times New Roman" w:hAnsi="Times New Roman"/>
      <w:sz w:val="24"/>
    </w:rPr>
  </w:style>
  <w:style w:type="paragraph" w:customStyle="1" w:styleId="3ffe">
    <w:name w:val="样式 标题 3 + 黑体 加粗"/>
    <w:basedOn w:val="31"/>
    <w:qFormat/>
    <w:pPr>
      <w:widowControl/>
      <w:spacing w:before="0" w:after="0" w:line="440" w:lineRule="exact"/>
      <w:jc w:val="left"/>
    </w:pPr>
    <w:rPr>
      <w:rFonts w:ascii="黑体" w:eastAsia="黑体" w:hAnsi="黑体"/>
      <w:b w:val="0"/>
      <w:kern w:val="0"/>
      <w:sz w:val="28"/>
    </w:rPr>
  </w:style>
  <w:style w:type="paragraph" w:customStyle="1" w:styleId="413">
    <w:name w:val="样式 标题 4 + 四号 段前: 1 行"/>
    <w:basedOn w:val="41"/>
    <w:qFormat/>
    <w:pPr>
      <w:keepLines/>
      <w:tabs>
        <w:tab w:val="left" w:pos="2240"/>
      </w:tabs>
      <w:spacing w:beforeLines="100" w:before="312" w:line="420" w:lineRule="exact"/>
      <w:ind w:left="560"/>
      <w:jc w:val="both"/>
    </w:pPr>
    <w:rPr>
      <w:rFonts w:ascii="Arial" w:eastAsia="黑体" w:hAnsi="Arial"/>
      <w:b w:val="0"/>
      <w:sz w:val="28"/>
    </w:rPr>
  </w:style>
  <w:style w:type="paragraph" w:customStyle="1" w:styleId="CharCharChar1Char2">
    <w:name w:val="Char Char Char1 Char2"/>
    <w:basedOn w:val="af1"/>
    <w:qFormat/>
    <w:rPr>
      <w:rFonts w:ascii="Calibri" w:hAnsi="Calibri" w:cs="Times New Roman" w:hint="eastAsia"/>
      <w:szCs w:val="20"/>
    </w:rPr>
  </w:style>
  <w:style w:type="paragraph" w:customStyle="1" w:styleId="CharCharCharCharCharCharCharCharCharCharCharCharCharCharChar2">
    <w:name w:val="Char Char Char Char Char Char Char Char Char Char Char Char Char Char Char2"/>
    <w:basedOn w:val="af1"/>
    <w:qFormat/>
    <w:pPr>
      <w:snapToGrid w:val="0"/>
      <w:spacing w:line="440" w:lineRule="exact"/>
      <w:ind w:firstLineChars="200" w:firstLine="200"/>
    </w:pPr>
    <w:rPr>
      <w:rFonts w:ascii="Calibri" w:hAnsi="Calibri" w:cs="Times New Roman"/>
      <w:szCs w:val="24"/>
    </w:rPr>
  </w:style>
  <w:style w:type="paragraph" w:customStyle="1" w:styleId="2W">
    <w:name w:val="列表 2W"/>
    <w:basedOn w:val="25"/>
    <w:qFormat/>
    <w:pPr>
      <w:widowControl/>
      <w:tabs>
        <w:tab w:val="left" w:pos="737"/>
      </w:tabs>
      <w:spacing w:beforeAutospacing="1" w:after="100" w:afterAutospacing="1" w:line="288" w:lineRule="auto"/>
      <w:ind w:leftChars="0" w:left="737" w:firstLineChars="0" w:hanging="567"/>
      <w:jc w:val="left"/>
    </w:pPr>
    <w:rPr>
      <w:rFonts w:ascii="Courier New" w:eastAsia="宋体" w:hAnsi="Courier New" w:cs="仿宋_GB2312"/>
      <w:color w:val="FFFF99"/>
      <w:kern w:val="2"/>
      <w:sz w:val="24"/>
      <w:szCs w:val="20"/>
    </w:rPr>
  </w:style>
  <w:style w:type="paragraph" w:customStyle="1" w:styleId="181">
    <w:name w:val="样式18"/>
    <w:basedOn w:val="af1"/>
    <w:qFormat/>
    <w:pPr>
      <w:spacing w:line="460" w:lineRule="exact"/>
      <w:ind w:firstLineChars="200" w:firstLine="480"/>
    </w:pPr>
    <w:rPr>
      <w:rFonts w:ascii="Calibri" w:hAnsi="Calibri" w:cs="Times New Roman"/>
      <w:color w:val="000000"/>
      <w:kern w:val="0"/>
      <w:sz w:val="24"/>
      <w:szCs w:val="24"/>
    </w:rPr>
  </w:style>
  <w:style w:type="paragraph" w:customStyle="1" w:styleId="CharCharCharCharCharCharCharCharChar1CharCharChar1CharCharChar1Char">
    <w:name w:val="Char Char Char Char Char Char Char Char Char1 Char Char Char1 Char Char Char1 Char"/>
    <w:basedOn w:val="af1"/>
    <w:next w:val="af1"/>
    <w:qFormat/>
    <w:pPr>
      <w:pBdr>
        <w:right w:val="single" w:sz="12" w:space="4" w:color="auto"/>
      </w:pBdr>
      <w:spacing w:line="360" w:lineRule="auto"/>
      <w:ind w:firstLineChars="200" w:firstLine="200"/>
    </w:pPr>
    <w:rPr>
      <w:rFonts w:ascii="Calibri" w:hAnsi="Calibri" w:cs="Times New Roman"/>
      <w:szCs w:val="24"/>
    </w:rPr>
  </w:style>
  <w:style w:type="paragraph" w:customStyle="1" w:styleId="3L">
    <w:name w:val="列表 3L"/>
    <w:basedOn w:val="34"/>
    <w:qFormat/>
    <w:pPr>
      <w:tabs>
        <w:tab w:val="left" w:pos="907"/>
      </w:tabs>
      <w:spacing w:line="288" w:lineRule="auto"/>
      <w:ind w:left="907" w:hanging="567"/>
      <w:jc w:val="left"/>
    </w:pPr>
    <w:rPr>
      <w:rFonts w:ascii="Courier New" w:hAnsi="Courier New" w:cs="仿宋_GB2312"/>
      <w:color w:val="CCFFCC"/>
      <w:sz w:val="24"/>
    </w:rPr>
  </w:style>
  <w:style w:type="paragraph" w:customStyle="1" w:styleId="CharCharChar12">
    <w:name w:val="Char Char Char1"/>
    <w:basedOn w:val="af1"/>
    <w:qFormat/>
    <w:rPr>
      <w:rFonts w:ascii="Tahoma" w:hAnsi="Tahoma" w:cs="Times New Roman"/>
      <w:sz w:val="24"/>
      <w:szCs w:val="20"/>
    </w:rPr>
  </w:style>
  <w:style w:type="paragraph" w:customStyle="1" w:styleId="TOC11">
    <w:name w:val="TOC 标题11"/>
    <w:basedOn w:val="1"/>
    <w:next w:val="af1"/>
    <w:qFormat/>
    <w:pPr>
      <w:widowControl/>
      <w:spacing w:before="480" w:line="276" w:lineRule="auto"/>
      <w:outlineLvl w:val="9"/>
    </w:pPr>
    <w:rPr>
      <w:rFonts w:ascii="Cambria" w:hAnsi="Cambria"/>
      <w:color w:val="365F91"/>
      <w:kern w:val="0"/>
      <w:sz w:val="28"/>
      <w:szCs w:val="28"/>
    </w:rPr>
  </w:style>
  <w:style w:type="paragraph" w:customStyle="1" w:styleId="afffffffffffffffffffffffffffffffff3">
    <w:name w:val="条题"/>
    <w:basedOn w:val="af1"/>
    <w:qFormat/>
    <w:pPr>
      <w:tabs>
        <w:tab w:val="left" w:pos="958"/>
      </w:tabs>
      <w:spacing w:line="420" w:lineRule="exact"/>
      <w:ind w:firstLineChars="200" w:firstLine="560"/>
    </w:pPr>
    <w:rPr>
      <w:rFonts w:ascii="Calibri" w:hAnsi="Calibri" w:cs="Times New Roman"/>
      <w:sz w:val="24"/>
      <w:szCs w:val="24"/>
    </w:rPr>
  </w:style>
  <w:style w:type="paragraph" w:customStyle="1" w:styleId="afffffffffffffffffffffffffffffffff4">
    <w:name w:val="首行缩进"/>
    <w:basedOn w:val="af1"/>
    <w:qFormat/>
    <w:pPr>
      <w:spacing w:line="560" w:lineRule="exact"/>
      <w:jc w:val="center"/>
    </w:pPr>
    <w:rPr>
      <w:rFonts w:ascii="Calibri" w:hAnsi="Calibri" w:cs="Times New Roman"/>
      <w:b/>
      <w:color w:val="000000"/>
      <w:szCs w:val="21"/>
    </w:rPr>
  </w:style>
  <w:style w:type="paragraph" w:customStyle="1" w:styleId="xl95">
    <w:name w:val="xl95"/>
    <w:basedOn w:val="af1"/>
    <w:qFormat/>
    <w:pPr>
      <w:widowControl/>
      <w:pBdr>
        <w:top w:val="single" w:sz="4" w:space="0" w:color="auto"/>
        <w:bottom w:val="single" w:sz="4" w:space="0" w:color="auto"/>
        <w:right w:val="single" w:sz="4" w:space="0" w:color="auto"/>
      </w:pBdr>
      <w:spacing w:before="100" w:beforeAutospacing="1" w:after="100" w:afterAutospacing="1"/>
      <w:jc w:val="left"/>
      <w:textAlignment w:val="center"/>
    </w:pPr>
    <w:rPr>
      <w:rFonts w:ascii="華康中楷體" w:eastAsia="華康中楷體" w:hAnsi="華康中楷體" w:cs="華康中楷體"/>
      <w:kern w:val="0"/>
      <w:sz w:val="16"/>
      <w:szCs w:val="16"/>
    </w:rPr>
  </w:style>
  <w:style w:type="paragraph" w:customStyle="1" w:styleId="CharCharCharChar1CharCharCharCharCharChar">
    <w:name w:val="Char Char Char Char1 Char Char Char Char Char Char"/>
    <w:basedOn w:val="af1"/>
    <w:qFormat/>
    <w:rPr>
      <w:rFonts w:ascii="Calibri" w:hAnsi="Calibri" w:cs="Times New Roman"/>
      <w:sz w:val="24"/>
      <w:szCs w:val="24"/>
    </w:rPr>
  </w:style>
  <w:style w:type="paragraph" w:customStyle="1" w:styleId="afffffffffffffffffffffffffffffffff5">
    <w:name w:val="表中值"/>
    <w:basedOn w:val="af1"/>
    <w:qFormat/>
    <w:pPr>
      <w:keepLines/>
      <w:widowControl/>
      <w:spacing w:line="360" w:lineRule="exact"/>
      <w:jc w:val="center"/>
    </w:pPr>
    <w:rPr>
      <w:rFonts w:ascii="Calibri" w:hAnsi="Calibri" w:cs="Times New Roman"/>
      <w:spacing w:val="4"/>
      <w:szCs w:val="20"/>
    </w:rPr>
  </w:style>
  <w:style w:type="paragraph" w:customStyle="1" w:styleId="CM15">
    <w:name w:val="CM15"/>
    <w:basedOn w:val="af1"/>
    <w:next w:val="af1"/>
    <w:qFormat/>
    <w:pPr>
      <w:autoSpaceDE w:val="0"/>
      <w:autoSpaceDN w:val="0"/>
      <w:adjustRightInd w:val="0"/>
      <w:spacing w:line="546" w:lineRule="atLeast"/>
      <w:jc w:val="left"/>
    </w:pPr>
    <w:rPr>
      <w:rFonts w:ascii="黑体" w:eastAsia="黑体" w:hAnsi="Calibri" w:cs="Times New Roman"/>
      <w:kern w:val="0"/>
      <w:sz w:val="24"/>
      <w:szCs w:val="24"/>
    </w:rPr>
  </w:style>
  <w:style w:type="paragraph" w:customStyle="1" w:styleId="afffffffffffffffffffffffffffffffff6">
    <w:name w:val="环表头"/>
    <w:basedOn w:val="af1"/>
    <w:next w:val="af1"/>
    <w:qFormat/>
    <w:pPr>
      <w:widowControl/>
      <w:suppressAutoHyphens/>
      <w:adjustRightInd w:val="0"/>
      <w:spacing w:before="60" w:after="60" w:line="240" w:lineRule="atLeast"/>
      <w:ind w:right="28"/>
      <w:jc w:val="center"/>
      <w:textAlignment w:val="baseline"/>
    </w:pPr>
    <w:rPr>
      <w:rFonts w:ascii="Calibri" w:eastAsia="仿宋_GB2312" w:hAnsi="Calibri" w:cs="Times New Roman"/>
      <w:kern w:val="0"/>
      <w:sz w:val="24"/>
      <w:szCs w:val="24"/>
    </w:rPr>
  </w:style>
  <w:style w:type="paragraph" w:customStyle="1" w:styleId="afffffffffffffffffffffffffffffffff7">
    <w:name w:val="图件标题"/>
    <w:basedOn w:val="af1"/>
    <w:qFormat/>
    <w:pPr>
      <w:jc w:val="center"/>
    </w:pPr>
    <w:rPr>
      <w:rFonts w:ascii="Calibri" w:hAnsi="Calibri" w:cs="Times New Roman"/>
      <w:b/>
      <w:szCs w:val="24"/>
    </w:rPr>
  </w:style>
  <w:style w:type="paragraph" w:customStyle="1" w:styleId="I">
    <w:name w:val="列表 I"/>
    <w:basedOn w:val="afffe"/>
    <w:qFormat/>
    <w:pPr>
      <w:widowControl/>
      <w:tabs>
        <w:tab w:val="left" w:pos="425"/>
      </w:tabs>
      <w:spacing w:beforeLines="100" w:afterLines="50" w:line="288" w:lineRule="auto"/>
      <w:ind w:left="425" w:hanging="425"/>
      <w:jc w:val="left"/>
    </w:pPr>
    <w:rPr>
      <w:rFonts w:ascii="Courier New" w:eastAsia="宋体" w:hAnsi="Courier New" w:cs="仿宋_GB2312"/>
      <w:b/>
      <w:bCs/>
      <w:color w:val="FF99CC"/>
    </w:rPr>
  </w:style>
  <w:style w:type="paragraph" w:customStyle="1" w:styleId="ParaCharCharCharCharCharCharCharCharChar3CharCharCharChar">
    <w:name w:val="默认段落字体 Para Char Char Char Char Char Char Char Char Char3 Char Char Char Char"/>
    <w:basedOn w:val="aff5"/>
    <w:qFormat/>
    <w:pPr>
      <w:adjustRightInd w:val="0"/>
      <w:spacing w:line="240" w:lineRule="exact"/>
      <w:ind w:left="357"/>
      <w:jc w:val="left"/>
      <w:outlineLvl w:val="3"/>
    </w:pPr>
    <w:rPr>
      <w:rFonts w:ascii="Tahoma" w:hAnsi="Tahoma"/>
      <w:szCs w:val="21"/>
    </w:rPr>
  </w:style>
  <w:style w:type="paragraph" w:customStyle="1" w:styleId="20015">
    <w:name w:val="样式 标题 2 + 段前: 0 磅 段后: 0 磅 行距: 1.5 倍行距"/>
    <w:basedOn w:val="22"/>
    <w:qFormat/>
    <w:pPr>
      <w:keepLines w:val="0"/>
      <w:widowControl/>
      <w:spacing w:beforeLines="50" w:after="0" w:line="360" w:lineRule="auto"/>
      <w:ind w:left="599" w:hanging="576"/>
    </w:pPr>
    <w:rPr>
      <w:rFonts w:ascii="Calibri" w:hAnsi="Calibri" w:cs="宋体"/>
      <w:spacing w:val="20"/>
      <w:kern w:val="0"/>
      <w:sz w:val="28"/>
      <w:szCs w:val="20"/>
      <w:lang w:val="en-GB"/>
    </w:rPr>
  </w:style>
  <w:style w:type="paragraph" w:customStyle="1" w:styleId="CharCharCharCharCharChar1CharCharChar1CharCharCharCharCharCharChar2">
    <w:name w:val="Char Char Char Char Char Char1 Char Char Char1 Char Char Char Char Char Char Char2"/>
    <w:basedOn w:val="af1"/>
    <w:qFormat/>
    <w:pPr>
      <w:spacing w:line="360" w:lineRule="auto"/>
      <w:ind w:firstLineChars="200" w:firstLine="200"/>
    </w:pPr>
    <w:rPr>
      <w:rFonts w:ascii="Calibri" w:hAnsi="Calibri" w:cs="Times New Roman"/>
      <w:sz w:val="24"/>
      <w:szCs w:val="20"/>
    </w:rPr>
  </w:style>
  <w:style w:type="paragraph" w:customStyle="1" w:styleId="afffffffffffffffffffffffffffffffff8">
    <w:name w:val="对 表名、图名"/>
    <w:basedOn w:val="af1"/>
    <w:qFormat/>
    <w:pPr>
      <w:jc w:val="center"/>
    </w:pPr>
    <w:rPr>
      <w:rFonts w:cs="Times New Roman"/>
      <w:b/>
      <w:sz w:val="24"/>
      <w:szCs w:val="24"/>
    </w:rPr>
  </w:style>
  <w:style w:type="paragraph" w:customStyle="1" w:styleId="CharCharCharCharCharCharCharCharCharCharCharCharCharCharChar1CharCharCharCharCharCharCharCharCharCharCharCharCharCharCharChar">
    <w:name w:val="Char Char Char Char Char Char Char Char Char Char Char Char Char Char Char1 Char Char Char Char Char Char Char Char Char Char Char Char Char Char Char Char"/>
    <w:basedOn w:val="af1"/>
    <w:next w:val="af9"/>
    <w:qFormat/>
    <w:pPr>
      <w:widowControl/>
      <w:jc w:val="left"/>
    </w:pPr>
    <w:rPr>
      <w:rFonts w:ascii="仿宋_GB2312" w:hAnsi="仿宋_GB2312" w:cs="仿宋_GB2312"/>
      <w:sz w:val="28"/>
      <w:szCs w:val="28"/>
    </w:rPr>
  </w:style>
  <w:style w:type="paragraph" w:customStyle="1" w:styleId="022">
    <w:name w:val="正文02"/>
    <w:basedOn w:val="aff0"/>
    <w:qFormat/>
    <w:pPr>
      <w:adjustRightInd/>
      <w:spacing w:before="300" w:line="460" w:lineRule="exact"/>
      <w:ind w:firstLine="200"/>
      <w:textAlignment w:val="auto"/>
    </w:pPr>
    <w:rPr>
      <w:rFonts w:ascii="Times New Roman"/>
      <w:sz w:val="24"/>
      <w:szCs w:val="24"/>
    </w:rPr>
  </w:style>
  <w:style w:type="paragraph" w:customStyle="1" w:styleId="821131113CharChar3Char3111111-1">
    <w:name w:val="8.2.1.1 标题 31.1.1条标题 3 Char Char标题 3 Char标3§1.1.1.. (1.1.1)- ...1"/>
    <w:basedOn w:val="af1"/>
    <w:qFormat/>
    <w:pPr>
      <w:widowControl/>
      <w:tabs>
        <w:tab w:val="left" w:pos="0"/>
        <w:tab w:val="left" w:pos="720"/>
      </w:tabs>
      <w:spacing w:line="312" w:lineRule="auto"/>
      <w:ind w:left="720" w:hanging="720"/>
      <w:jc w:val="left"/>
    </w:pPr>
    <w:rPr>
      <w:rFonts w:ascii="Calibri" w:hAnsi="Calibri" w:cs="Times New Roman"/>
      <w:sz w:val="24"/>
      <w:szCs w:val="20"/>
    </w:rPr>
  </w:style>
  <w:style w:type="paragraph" w:customStyle="1" w:styleId="xl119">
    <w:name w:val="xl119"/>
    <w:basedOn w:val="af1"/>
    <w:qFormat/>
    <w:pPr>
      <w:widowControl/>
      <w:pBdr>
        <w:top w:val="single" w:sz="4" w:space="0" w:color="auto"/>
        <w:left w:val="single" w:sz="4" w:space="0" w:color="auto"/>
        <w:bottom w:val="single" w:sz="4" w:space="0" w:color="auto"/>
      </w:pBdr>
      <w:spacing w:before="100" w:beforeAutospacing="1" w:after="100" w:afterAutospacing="1"/>
      <w:jc w:val="center"/>
    </w:pPr>
    <w:rPr>
      <w:rFonts w:cs="Times New Roman"/>
      <w:kern w:val="0"/>
      <w:sz w:val="20"/>
      <w:szCs w:val="20"/>
    </w:rPr>
  </w:style>
  <w:style w:type="paragraph" w:customStyle="1" w:styleId="D1">
    <w:name w:val="列表 D"/>
    <w:basedOn w:val="afffe"/>
    <w:qFormat/>
    <w:pPr>
      <w:widowControl/>
      <w:tabs>
        <w:tab w:val="left" w:pos="425"/>
      </w:tabs>
      <w:spacing w:beforeLines="100" w:afterLines="50" w:line="288" w:lineRule="auto"/>
      <w:ind w:left="425" w:hanging="425"/>
      <w:jc w:val="left"/>
    </w:pPr>
    <w:rPr>
      <w:rFonts w:ascii="Courier New" w:eastAsia="宋体" w:hAnsi="Courier New" w:cs="仿宋_GB2312"/>
      <w:b/>
      <w:bCs/>
      <w:color w:val="FF99CC"/>
    </w:rPr>
  </w:style>
  <w:style w:type="paragraph" w:customStyle="1" w:styleId="335">
    <w:name w:val="标题 33"/>
    <w:basedOn w:val="af1"/>
    <w:uiPriority w:val="1"/>
    <w:qFormat/>
    <w:pPr>
      <w:autoSpaceDE w:val="0"/>
      <w:autoSpaceDN w:val="0"/>
      <w:adjustRightInd w:val="0"/>
      <w:ind w:left="120"/>
      <w:jc w:val="left"/>
      <w:outlineLvl w:val="2"/>
    </w:pPr>
    <w:rPr>
      <w:rFonts w:ascii="Calibri" w:hAnsi="Calibri" w:cs="Times New Roman"/>
      <w:b/>
      <w:bCs/>
      <w:kern w:val="0"/>
      <w:sz w:val="30"/>
      <w:szCs w:val="30"/>
    </w:rPr>
  </w:style>
  <w:style w:type="paragraph" w:customStyle="1" w:styleId="317">
    <w:name w:val="样式 标题 3 + 四号1"/>
    <w:basedOn w:val="31"/>
    <w:qFormat/>
    <w:pPr>
      <w:keepLines w:val="0"/>
      <w:widowControl/>
      <w:spacing w:before="0" w:after="0" w:line="360" w:lineRule="auto"/>
      <w:ind w:firstLineChars="200" w:firstLine="1044"/>
      <w:jc w:val="left"/>
      <w:textAlignment w:val="baseline"/>
    </w:pPr>
    <w:rPr>
      <w:rFonts w:ascii="Times New Roman" w:eastAsia="黑体" w:hAnsi="Times New Roman"/>
      <w:b w:val="0"/>
      <w:color w:val="000000"/>
      <w:kern w:val="0"/>
      <w:sz w:val="28"/>
      <w:szCs w:val="24"/>
      <w:lang w:bidi="en-US"/>
    </w:rPr>
  </w:style>
  <w:style w:type="paragraph" w:customStyle="1" w:styleId="11H1NMPHeading1Arial126">
    <w:name w:val="样式 标题 1章标题标题1章节H1NMP Heading 1 + Arial 左 段前: 12 磅 段后: 6 ..."/>
    <w:basedOn w:val="1"/>
    <w:qFormat/>
    <w:pPr>
      <w:widowControl/>
      <w:spacing w:before="240" w:after="120" w:line="240" w:lineRule="auto"/>
      <w:ind w:left="170" w:hanging="170"/>
      <w:jc w:val="left"/>
    </w:pPr>
    <w:rPr>
      <w:rFonts w:ascii="仿宋_GB2312" w:hAnsi="仿宋_GB2312" w:cs="仿宋_GB2312"/>
      <w:color w:val="0000FF"/>
      <w:spacing w:val="-12"/>
      <w:kern w:val="44"/>
    </w:rPr>
  </w:style>
  <w:style w:type="paragraph" w:customStyle="1" w:styleId="xl23">
    <w:name w:val="xl23"/>
    <w:basedOn w:val="af1"/>
    <w:qFormat/>
    <w:pPr>
      <w:pBdr>
        <w:left w:val="single" w:sz="4" w:space="0" w:color="auto"/>
        <w:right w:val="single" w:sz="4" w:space="0" w:color="auto"/>
      </w:pBdr>
      <w:adjustRightInd w:val="0"/>
      <w:spacing w:before="100" w:beforeAutospacing="1" w:after="100" w:afterAutospacing="1" w:line="360" w:lineRule="atLeast"/>
      <w:jc w:val="center"/>
    </w:pPr>
    <w:rPr>
      <w:rFonts w:ascii="Arial Unicode MS" w:eastAsia="Arial Unicode MS" w:hAnsi="Arial Unicode MS" w:cs="Times New Roman"/>
      <w:kern w:val="0"/>
      <w:szCs w:val="21"/>
    </w:rPr>
  </w:style>
  <w:style w:type="paragraph" w:customStyle="1" w:styleId="afffffffffffffffffffffffffffffffff9">
    <w:name w:val="标题三三"/>
    <w:basedOn w:val="af1"/>
    <w:qFormat/>
    <w:pPr>
      <w:widowControl/>
      <w:spacing w:line="360" w:lineRule="auto"/>
      <w:ind w:firstLineChars="200" w:firstLine="480"/>
    </w:pPr>
    <w:rPr>
      <w:rFonts w:cs="Times New Roman"/>
      <w:kern w:val="0"/>
      <w:sz w:val="24"/>
    </w:rPr>
  </w:style>
  <w:style w:type="paragraph" w:customStyle="1" w:styleId="200150">
    <w:name w:val="样式 样式 标题 2 + 段前: 0 磅 段后: 0 磅 行距: 1.5 倍行距 + (中文) 黑体"/>
    <w:basedOn w:val="af1"/>
    <w:qFormat/>
    <w:pPr>
      <w:keepNext/>
      <w:widowControl/>
      <w:tabs>
        <w:tab w:val="left" w:pos="851"/>
      </w:tabs>
      <w:spacing w:line="360" w:lineRule="auto"/>
      <w:ind w:left="576" w:hanging="576"/>
      <w:jc w:val="left"/>
      <w:outlineLvl w:val="1"/>
    </w:pPr>
    <w:rPr>
      <w:rFonts w:ascii="Calibri" w:eastAsia="黑体" w:hAnsi="Calibri" w:cs="宋体"/>
      <w:b/>
      <w:bCs/>
      <w:spacing w:val="20"/>
      <w:kern w:val="0"/>
      <w:sz w:val="24"/>
      <w:szCs w:val="24"/>
      <w:lang w:val="en-GB"/>
    </w:rPr>
  </w:style>
  <w:style w:type="paragraph" w:customStyle="1" w:styleId="a6">
    <w:name w:val="第十章 图件标题"/>
    <w:basedOn w:val="-xin0"/>
    <w:next w:val="af1"/>
    <w:qFormat/>
    <w:pPr>
      <w:numPr>
        <w:numId w:val="30"/>
      </w:numPr>
      <w:tabs>
        <w:tab w:val="left" w:pos="851"/>
      </w:tabs>
      <w:adjustRightInd w:val="0"/>
      <w:spacing w:line="360" w:lineRule="auto"/>
    </w:pPr>
    <w:rPr>
      <w:rFonts w:ascii="Times New Roman" w:hAnsi="Times New Roman"/>
      <w:sz w:val="24"/>
    </w:rPr>
  </w:style>
  <w:style w:type="paragraph" w:customStyle="1" w:styleId="afffffffffffffffffffffffffffffffffa">
    <w:name w:val="图注、图的脚注"/>
    <w:basedOn w:val="affffffa"/>
    <w:qFormat/>
    <w:rPr>
      <w:sz w:val="18"/>
    </w:rPr>
  </w:style>
  <w:style w:type="paragraph" w:customStyle="1" w:styleId="11f">
    <w:name w:val="尾注文本11"/>
    <w:basedOn w:val="af1"/>
    <w:qFormat/>
    <w:pPr>
      <w:widowControl/>
      <w:adjustRightInd w:val="0"/>
      <w:spacing w:line="360" w:lineRule="atLeast"/>
      <w:jc w:val="left"/>
      <w:textAlignment w:val="baseline"/>
    </w:pPr>
    <w:rPr>
      <w:rFonts w:ascii="Verdana" w:hAnsi="仿宋_GB2312" w:cs="仿宋_GB2312"/>
      <w:kern w:val="0"/>
      <w:szCs w:val="20"/>
    </w:rPr>
  </w:style>
  <w:style w:type="paragraph" w:customStyle="1" w:styleId="00000000000000008522">
    <w:name w:val="正文000000000000000 宋体 小四 黑色 首行缩进:  0.85 厘米 行距: 固定值 22 磅"/>
    <w:basedOn w:val="af1"/>
    <w:qFormat/>
    <w:pPr>
      <w:spacing w:line="460" w:lineRule="exact"/>
      <w:ind w:firstLineChars="200" w:firstLine="200"/>
    </w:pPr>
    <w:rPr>
      <w:rFonts w:cs="宋体"/>
      <w:color w:val="000000"/>
      <w:sz w:val="24"/>
      <w:szCs w:val="24"/>
    </w:rPr>
  </w:style>
  <w:style w:type="paragraph" w:customStyle="1" w:styleId="afffffffffffffffffffffffffffffffffb">
    <w:name w:val="章"/>
    <w:basedOn w:val="af1"/>
    <w:qFormat/>
    <w:pPr>
      <w:spacing w:line="360" w:lineRule="auto"/>
    </w:pPr>
    <w:rPr>
      <w:rFonts w:ascii="Calibri" w:hAnsi="Calibri" w:cs="Times New Roman" w:hint="eastAsia"/>
      <w:szCs w:val="24"/>
    </w:rPr>
  </w:style>
  <w:style w:type="paragraph" w:customStyle="1" w:styleId="CharCharChar1Char1">
    <w:name w:val="Char Char Char1 Char1"/>
    <w:basedOn w:val="af1"/>
    <w:qFormat/>
    <w:pPr>
      <w:widowControl/>
      <w:jc w:val="left"/>
    </w:pPr>
    <w:rPr>
      <w:rFonts w:ascii="仿宋_GB2312" w:hAnsi="仿宋_GB2312" w:cs="仿宋_GB2312"/>
      <w:szCs w:val="24"/>
    </w:rPr>
  </w:style>
  <w:style w:type="paragraph" w:customStyle="1" w:styleId="a1">
    <w:name w:val="款"/>
    <w:basedOn w:val="affe"/>
    <w:qFormat/>
    <w:pPr>
      <w:numPr>
        <w:ilvl w:val="1"/>
        <w:numId w:val="1"/>
      </w:numPr>
      <w:adjustRightInd w:val="0"/>
      <w:snapToGrid w:val="0"/>
      <w:spacing w:after="0" w:line="360" w:lineRule="auto"/>
      <w:ind w:firstLine="454"/>
      <w:outlineLvl w:val="3"/>
    </w:pPr>
    <w:rPr>
      <w:rFonts w:ascii="宋体" w:eastAsia="宋体" w:hAnsi="宋体" w:cs="Times New Roman"/>
      <w:sz w:val="28"/>
    </w:rPr>
  </w:style>
  <w:style w:type="paragraph" w:customStyle="1" w:styleId="afffffffffffffffffffffffffffffffffc">
    <w:name w:val="泸县焦化表格文字"/>
    <w:basedOn w:val="af1"/>
    <w:qFormat/>
    <w:pPr>
      <w:widowControl/>
      <w:adjustRightInd w:val="0"/>
      <w:snapToGrid w:val="0"/>
      <w:jc w:val="center"/>
    </w:pPr>
    <w:rPr>
      <w:rFonts w:ascii="Calibri" w:hAnsi="Calibri" w:cs="Times New Roman"/>
      <w:bCs/>
      <w:color w:val="0000FF"/>
      <w:szCs w:val="21"/>
    </w:rPr>
  </w:style>
  <w:style w:type="paragraph" w:customStyle="1" w:styleId="2TimesNewRoman4">
    <w:name w:val="样式 标题 2 + Times New Roman"/>
    <w:basedOn w:val="22"/>
    <w:qFormat/>
    <w:pPr>
      <w:widowControl/>
      <w:spacing w:beforeLines="50" w:line="415" w:lineRule="auto"/>
      <w:ind w:firstLineChars="192" w:firstLine="538"/>
      <w:jc w:val="left"/>
    </w:pPr>
    <w:rPr>
      <w:rFonts w:ascii="仿宋_GB2312" w:eastAsia="楷体" w:hAnsi="仿宋_GB2312" w:cs="仿宋_GB2312"/>
      <w:bCs w:val="0"/>
      <w:kern w:val="0"/>
    </w:rPr>
  </w:style>
  <w:style w:type="paragraph" w:customStyle="1" w:styleId="2112">
    <w:name w:val="正文文本缩进 211"/>
    <w:basedOn w:val="af1"/>
    <w:qFormat/>
    <w:pPr>
      <w:widowControl/>
      <w:adjustRightInd w:val="0"/>
      <w:spacing w:line="360" w:lineRule="auto"/>
      <w:ind w:firstLine="510"/>
      <w:jc w:val="left"/>
      <w:textAlignment w:val="baseline"/>
    </w:pPr>
    <w:rPr>
      <w:rFonts w:ascii="Verdana" w:hAnsi="Verdana" w:cs="仿宋_GB2312"/>
      <w:sz w:val="28"/>
      <w:szCs w:val="20"/>
    </w:rPr>
  </w:style>
  <w:style w:type="paragraph" w:customStyle="1" w:styleId="CharCharChar1CharCharCharCharCharCharCharCharCharCharCharCharChar">
    <w:name w:val="Char Char Char1 Char Char Char Char Char Char Char Char Char Char Char Char Char"/>
    <w:basedOn w:val="af1"/>
    <w:qFormat/>
    <w:pPr>
      <w:widowControl/>
      <w:jc w:val="left"/>
    </w:pPr>
    <w:rPr>
      <w:rFonts w:ascii="Calibri" w:hAnsi="Calibri" w:cs="Times New Roman"/>
      <w:sz w:val="24"/>
      <w:szCs w:val="24"/>
    </w:rPr>
  </w:style>
  <w:style w:type="paragraph" w:customStyle="1" w:styleId="5M">
    <w:name w:val="列表 5M"/>
    <w:basedOn w:val="55"/>
    <w:qFormat/>
    <w:pPr>
      <w:tabs>
        <w:tab w:val="left" w:pos="1134"/>
      </w:tabs>
      <w:adjustRightInd/>
      <w:spacing w:beforeLines="0" w:line="240" w:lineRule="auto"/>
      <w:ind w:left="1134" w:hanging="425"/>
      <w:jc w:val="left"/>
      <w:textAlignment w:val="auto"/>
    </w:pPr>
    <w:rPr>
      <w:rFonts w:ascii="Courier New" w:hAnsi="Courier New" w:cs="仿宋_GB2312"/>
      <w:color w:val="99CCFF"/>
      <w:kern w:val="2"/>
    </w:rPr>
  </w:style>
  <w:style w:type="paragraph" w:customStyle="1" w:styleId="21f0">
    <w:name w:val="样式 (符号) 宋体 首行缩进:  2 字符1"/>
    <w:basedOn w:val="af1"/>
    <w:qFormat/>
    <w:pPr>
      <w:widowControl/>
      <w:ind w:firstLineChars="200" w:firstLine="567"/>
      <w:jc w:val="left"/>
    </w:pPr>
    <w:rPr>
      <w:rFonts w:ascii="Verdana" w:hAnsi="Verdana" w:cs="Verdana"/>
      <w:sz w:val="27"/>
      <w:szCs w:val="20"/>
    </w:rPr>
  </w:style>
  <w:style w:type="paragraph" w:customStyle="1" w:styleId="CharCharCharChar21">
    <w:name w:val="Char Char Char Char21"/>
    <w:basedOn w:val="af1"/>
    <w:qFormat/>
    <w:pPr>
      <w:widowControl/>
      <w:adjustRightInd w:val="0"/>
      <w:spacing w:after="160" w:line="240" w:lineRule="exact"/>
      <w:jc w:val="left"/>
      <w:textAlignment w:val="baseline"/>
    </w:pPr>
    <w:rPr>
      <w:rFonts w:ascii="Arial" w:eastAsia="Times New Roman" w:hAnsi="Arial" w:cs="Verdana"/>
      <w:b/>
      <w:kern w:val="0"/>
      <w:sz w:val="24"/>
      <w:szCs w:val="24"/>
      <w:lang w:eastAsia="en-US"/>
    </w:rPr>
  </w:style>
  <w:style w:type="paragraph" w:customStyle="1" w:styleId="afffffffffffffffffffffffffffffffffd">
    <w:name w:val="插图标题"/>
    <w:basedOn w:val="af1"/>
    <w:qFormat/>
    <w:pPr>
      <w:widowControl/>
      <w:tabs>
        <w:tab w:val="center" w:pos="6804"/>
        <w:tab w:val="right" w:pos="7371"/>
      </w:tabs>
      <w:overflowPunct w:val="0"/>
      <w:adjustRightInd w:val="0"/>
      <w:ind w:firstLine="567"/>
      <w:jc w:val="center"/>
      <w:textAlignment w:val="baseline"/>
    </w:pPr>
    <w:rPr>
      <w:rFonts w:ascii="楷体" w:eastAsia="楷体" w:hAnsi="仿宋_GB2312" w:cs="仿宋_GB2312"/>
      <w:kern w:val="0"/>
      <w:sz w:val="28"/>
      <w:szCs w:val="20"/>
    </w:rPr>
  </w:style>
  <w:style w:type="paragraph" w:customStyle="1" w:styleId="afffffffffffffffffffffffffffffffffe">
    <w:name w:val="环评表格后节标题"/>
    <w:basedOn w:val="affffffffffffffffffffff9"/>
    <w:qFormat/>
    <w:pPr>
      <w:spacing w:before="600"/>
    </w:pPr>
  </w:style>
  <w:style w:type="paragraph" w:customStyle="1" w:styleId="3fff">
    <w:name w:val="环标3"/>
    <w:basedOn w:val="31"/>
    <w:qFormat/>
    <w:pPr>
      <w:adjustRightInd w:val="0"/>
      <w:spacing w:before="0" w:after="0" w:line="312" w:lineRule="atLeast"/>
      <w:jc w:val="left"/>
      <w:textAlignment w:val="baseline"/>
    </w:pPr>
    <w:rPr>
      <w:rFonts w:ascii="宋体" w:hAnsi="宋体"/>
      <w:b w:val="0"/>
      <w:bCs w:val="0"/>
      <w:kern w:val="0"/>
      <w:sz w:val="24"/>
      <w:szCs w:val="20"/>
    </w:rPr>
  </w:style>
  <w:style w:type="paragraph" w:customStyle="1" w:styleId="affffffffffffffffffffffffffffffffff">
    <w:name w:val="五号框图文字"/>
    <w:basedOn w:val="afffffffffffffffffffff5"/>
    <w:qFormat/>
    <w:pPr>
      <w:spacing w:line="240" w:lineRule="auto"/>
      <w:jc w:val="center"/>
    </w:pPr>
    <w:rPr>
      <w:spacing w:val="0"/>
      <w:sz w:val="21"/>
    </w:rPr>
  </w:style>
  <w:style w:type="paragraph" w:customStyle="1" w:styleId="m2">
    <w:name w:val="正文（首行缩进两字）m"/>
    <w:basedOn w:val="aff0"/>
    <w:qFormat/>
    <w:pPr>
      <w:widowControl/>
      <w:adjustRightInd/>
      <w:spacing w:line="240" w:lineRule="auto"/>
      <w:ind w:firstLineChars="0" w:firstLine="0"/>
      <w:jc w:val="left"/>
      <w:textAlignment w:val="auto"/>
    </w:pPr>
    <w:rPr>
      <w:rFonts w:ascii="Calibri"/>
    </w:rPr>
  </w:style>
  <w:style w:type="paragraph" w:customStyle="1" w:styleId="422">
    <w:name w:val="标题 42"/>
    <w:basedOn w:val="af1"/>
    <w:next w:val="af1"/>
    <w:qFormat/>
    <w:pPr>
      <w:keepNext/>
      <w:keepLines/>
      <w:tabs>
        <w:tab w:val="left" w:pos="864"/>
      </w:tabs>
      <w:snapToGrid w:val="0"/>
      <w:spacing w:line="460" w:lineRule="atLeast"/>
      <w:ind w:left="864" w:hanging="864"/>
      <w:outlineLvl w:val="3"/>
    </w:pPr>
    <w:rPr>
      <w:rFonts w:ascii="Calibri" w:hAnsi="Calibri" w:cs="Times New Roman"/>
      <w:sz w:val="28"/>
      <w:szCs w:val="20"/>
    </w:rPr>
  </w:style>
  <w:style w:type="paragraph" w:customStyle="1" w:styleId="Style60">
    <w:name w:val="_Style 6"/>
    <w:basedOn w:val="af1"/>
    <w:qFormat/>
    <w:rPr>
      <w:rFonts w:ascii="Calibri" w:hAnsi="Calibri" w:cs="Times New Roman"/>
      <w:szCs w:val="20"/>
    </w:rPr>
  </w:style>
  <w:style w:type="paragraph" w:customStyle="1" w:styleId="1fffffff7">
    <w:name w:val="章节标题1"/>
    <w:basedOn w:val="af1"/>
    <w:next w:val="af1"/>
    <w:uiPriority w:val="10"/>
    <w:qFormat/>
    <w:pPr>
      <w:spacing w:line="560" w:lineRule="exact"/>
      <w:ind w:firstLineChars="200" w:firstLine="200"/>
      <w:jc w:val="center"/>
    </w:pPr>
    <w:rPr>
      <w:rFonts w:ascii="Cambria" w:eastAsia="黑体" w:hAnsi="Cambria" w:cs="Times New Roman"/>
      <w:bCs/>
      <w:sz w:val="36"/>
      <w:szCs w:val="32"/>
    </w:rPr>
  </w:style>
  <w:style w:type="paragraph" w:customStyle="1" w:styleId="a1a1aaA">
    <w:name w:val="項目:(一)[a]1.[a](1)[a]圈[a]A"/>
    <w:basedOn w:val="af1"/>
    <w:qFormat/>
    <w:pPr>
      <w:widowControl/>
      <w:spacing w:line="320" w:lineRule="atLeast"/>
      <w:ind w:left="1548" w:hanging="289"/>
      <w:jc w:val="left"/>
    </w:pPr>
    <w:rPr>
      <w:rFonts w:ascii="仿宋_GB2312" w:eastAsia="仿宋体" w:hAnsi="仿宋_GB2312" w:cs="仿宋_GB2312"/>
      <w:sz w:val="22"/>
      <w:szCs w:val="20"/>
      <w:lang w:eastAsia="zh-TW"/>
    </w:rPr>
  </w:style>
  <w:style w:type="paragraph" w:customStyle="1" w:styleId="affffffffffffffffffffffffffffffffff0">
    <w:name w:val="项目编号"/>
    <w:basedOn w:val="af1"/>
    <w:next w:val="af1"/>
    <w:qFormat/>
    <w:pPr>
      <w:spacing w:before="120" w:after="120" w:line="360" w:lineRule="auto"/>
    </w:pPr>
    <w:rPr>
      <w:rFonts w:ascii="Calibri" w:hAnsi="Calibri" w:cs="Times New Roman"/>
      <w:sz w:val="24"/>
      <w:szCs w:val="20"/>
    </w:rPr>
  </w:style>
  <w:style w:type="paragraph" w:customStyle="1" w:styleId="CharChar1CharCharCharCharCharCharCharCharCharCharCharCharCharCharCharCharCharChar">
    <w:name w:val="Char Char1 Char Char Char Char Char Char Char Char Char Char Char Char Char Char Char Char Char Char"/>
    <w:basedOn w:val="af1"/>
    <w:qFormat/>
    <w:pPr>
      <w:spacing w:line="360" w:lineRule="auto"/>
      <w:ind w:firstLineChars="200" w:firstLine="200"/>
    </w:pPr>
    <w:rPr>
      <w:rFonts w:ascii="宋体" w:hAnsi="宋体" w:cs="宋体"/>
      <w:sz w:val="24"/>
      <w:szCs w:val="24"/>
    </w:rPr>
  </w:style>
  <w:style w:type="paragraph" w:customStyle="1" w:styleId="2M">
    <w:name w:val="列表 2M"/>
    <w:basedOn w:val="25"/>
    <w:qFormat/>
    <w:pPr>
      <w:widowControl/>
      <w:tabs>
        <w:tab w:val="left" w:pos="737"/>
      </w:tabs>
      <w:spacing w:beforeAutospacing="1" w:after="100" w:afterAutospacing="1" w:line="288" w:lineRule="auto"/>
      <w:ind w:leftChars="0" w:left="737" w:firstLineChars="0" w:hanging="567"/>
      <w:jc w:val="left"/>
    </w:pPr>
    <w:rPr>
      <w:rFonts w:ascii="Courier New" w:eastAsia="宋体" w:hAnsi="Courier New" w:cs="仿宋_GB2312"/>
      <w:color w:val="FFFF99"/>
      <w:kern w:val="2"/>
      <w:sz w:val="24"/>
      <w:szCs w:val="20"/>
    </w:rPr>
  </w:style>
  <w:style w:type="paragraph" w:customStyle="1" w:styleId="3fff0">
    <w:name w:val="普通(网站)3"/>
    <w:basedOn w:val="af1"/>
    <w:qFormat/>
    <w:pPr>
      <w:widowControl/>
      <w:spacing w:before="100" w:beforeAutospacing="1" w:after="100" w:afterAutospacing="1"/>
      <w:jc w:val="left"/>
    </w:pPr>
    <w:rPr>
      <w:rFonts w:ascii="宋体" w:hAnsi="宋体" w:cs="Times New Roman"/>
      <w:sz w:val="24"/>
      <w:szCs w:val="20"/>
    </w:rPr>
  </w:style>
  <w:style w:type="paragraph" w:customStyle="1" w:styleId="07720">
    <w:name w:val="样式 首行缩进:  0.77 厘米 行距: 固定值 20 磅"/>
    <w:basedOn w:val="af1"/>
    <w:qFormat/>
    <w:pPr>
      <w:spacing w:beforeLines="50" w:before="156" w:line="360" w:lineRule="auto"/>
      <w:outlineLvl w:val="3"/>
    </w:pPr>
    <w:rPr>
      <w:rFonts w:ascii="黑体" w:eastAsia="黑体" w:hAnsi="Calibri" w:cs="Times New Roman"/>
      <w:sz w:val="24"/>
      <w:szCs w:val="21"/>
    </w:rPr>
  </w:style>
  <w:style w:type="paragraph" w:customStyle="1" w:styleId="affffffffffffffffffffffffffffffffff1">
    <w:name w:val="表头王"/>
    <w:basedOn w:val="af1"/>
    <w:qFormat/>
    <w:pPr>
      <w:widowControl/>
      <w:adjustRightInd w:val="0"/>
      <w:snapToGrid w:val="0"/>
      <w:spacing w:line="360" w:lineRule="auto"/>
      <w:jc w:val="center"/>
    </w:pPr>
    <w:rPr>
      <w:rFonts w:ascii="黑体" w:eastAsia="黑体" w:hAnsi="Calibri" w:cs="Times New Roman"/>
      <w:b/>
      <w:sz w:val="24"/>
      <w:szCs w:val="24"/>
    </w:rPr>
  </w:style>
  <w:style w:type="paragraph" w:customStyle="1" w:styleId="ttxt">
    <w:name w:val="ttxt"/>
    <w:basedOn w:val="af1"/>
    <w:qFormat/>
    <w:pPr>
      <w:widowControl/>
      <w:spacing w:before="100" w:beforeAutospacing="1" w:after="100" w:afterAutospacing="1"/>
      <w:jc w:val="left"/>
    </w:pPr>
    <w:rPr>
      <w:rFonts w:ascii="Verdana" w:hAnsi="Verdana" w:cs="仿宋_GB2312"/>
      <w:kern w:val="0"/>
      <w:sz w:val="24"/>
      <w:szCs w:val="24"/>
    </w:rPr>
  </w:style>
  <w:style w:type="paragraph" w:customStyle="1" w:styleId="233">
    <w:name w:val="正文文本缩进 23"/>
    <w:basedOn w:val="af1"/>
    <w:qFormat/>
    <w:pPr>
      <w:snapToGrid w:val="0"/>
      <w:spacing w:line="360" w:lineRule="auto"/>
      <w:ind w:firstLineChars="200" w:firstLine="200"/>
    </w:pPr>
    <w:rPr>
      <w:rFonts w:ascii="宋体" w:hAnsi="Calibri" w:cs="Times New Roman"/>
      <w:color w:val="339966"/>
      <w:sz w:val="24"/>
      <w:szCs w:val="20"/>
    </w:rPr>
  </w:style>
  <w:style w:type="paragraph" w:customStyle="1" w:styleId="affffffffffffffffffffffffffffffffff2">
    <w:name w:val="表格后正文"/>
    <w:basedOn w:val="afffffffffffff9"/>
    <w:qFormat/>
    <w:pPr>
      <w:spacing w:before="200"/>
    </w:pPr>
  </w:style>
  <w:style w:type="paragraph" w:customStyle="1" w:styleId="Char2CharCharCharCharCharCharCharChar1Char1">
    <w:name w:val="Char2 Char Char Char Char Char Char Char Char1 Char1"/>
    <w:basedOn w:val="af1"/>
    <w:qFormat/>
    <w:pPr>
      <w:spacing w:line="440" w:lineRule="exact"/>
      <w:ind w:firstLineChars="200" w:firstLine="200"/>
    </w:pPr>
    <w:rPr>
      <w:rFonts w:ascii="宋体" w:hAnsi="宋体" w:cs="Courier New"/>
      <w:sz w:val="32"/>
      <w:szCs w:val="32"/>
    </w:rPr>
  </w:style>
  <w:style w:type="paragraph" w:customStyle="1" w:styleId="6e">
    <w:name w:val="樣式6"/>
    <w:basedOn w:val="af1"/>
    <w:qFormat/>
    <w:pPr>
      <w:widowControl/>
      <w:adjustRightInd w:val="0"/>
      <w:spacing w:line="240" w:lineRule="atLeast"/>
      <w:ind w:left="57"/>
      <w:jc w:val="left"/>
      <w:textAlignment w:val="baseline"/>
    </w:pPr>
    <w:rPr>
      <w:rFonts w:ascii="Courier New" w:eastAsia="仿宋体" w:hAnsi="Courier New" w:cs="仿宋_GB2312"/>
      <w:b/>
      <w:kern w:val="0"/>
      <w:sz w:val="24"/>
      <w:szCs w:val="20"/>
      <w:lang w:eastAsia="zh-TW"/>
    </w:rPr>
  </w:style>
  <w:style w:type="paragraph" w:customStyle="1" w:styleId="CharCharCharCharCharChar50">
    <w:name w:val="Char Char Char Char Char Char5"/>
    <w:basedOn w:val="af1"/>
    <w:qFormat/>
    <w:pPr>
      <w:adjustRightInd w:val="0"/>
      <w:spacing w:line="360" w:lineRule="atLeast"/>
    </w:pPr>
    <w:rPr>
      <w:rFonts w:ascii="Calibri" w:hAnsi="Calibri" w:cs="Times New Roman"/>
      <w:sz w:val="24"/>
    </w:rPr>
  </w:style>
  <w:style w:type="paragraph" w:customStyle="1" w:styleId="edri-titlefirst">
    <w:name w:val="edri-title first"/>
    <w:basedOn w:val="af1"/>
    <w:qFormat/>
    <w:pPr>
      <w:widowControl/>
      <w:tabs>
        <w:tab w:val="left" w:pos="2"/>
        <w:tab w:val="left" w:pos="945"/>
      </w:tabs>
      <w:spacing w:beforeLines="50" w:line="300" w:lineRule="auto"/>
      <w:ind w:left="966" w:hanging="964"/>
      <w:jc w:val="left"/>
      <w:outlineLvl w:val="0"/>
    </w:pPr>
    <w:rPr>
      <w:rFonts w:ascii="????" w:hAnsi="????" w:cs="仿宋_GB2312"/>
      <w:b/>
      <w:bCs/>
      <w:kern w:val="0"/>
      <w:sz w:val="30"/>
      <w:szCs w:val="20"/>
    </w:rPr>
  </w:style>
  <w:style w:type="paragraph" w:customStyle="1" w:styleId="-f4">
    <w:name w:val="验收报告-条"/>
    <w:qFormat/>
    <w:pPr>
      <w:widowControl w:val="0"/>
      <w:tabs>
        <w:tab w:val="left" w:pos="1260"/>
      </w:tabs>
      <w:adjustRightInd w:val="0"/>
      <w:snapToGrid w:val="0"/>
      <w:spacing w:line="360" w:lineRule="auto"/>
      <w:ind w:left="1260" w:hanging="420"/>
      <w:outlineLvl w:val="2"/>
    </w:pPr>
    <w:rPr>
      <w:rFonts w:ascii="宋体" w:eastAsia="宋体" w:hAnsi="宋体" w:cs="Times New Roman"/>
      <w:bCs/>
      <w:sz w:val="28"/>
      <w:szCs w:val="32"/>
    </w:rPr>
  </w:style>
  <w:style w:type="paragraph" w:customStyle="1" w:styleId="Date1">
    <w:name w:val="Date1"/>
    <w:basedOn w:val="af1"/>
    <w:next w:val="af1"/>
    <w:qFormat/>
    <w:pPr>
      <w:adjustRightInd w:val="0"/>
      <w:textAlignment w:val="baseline"/>
    </w:pPr>
    <w:rPr>
      <w:rFonts w:ascii="Calibri" w:hAnsi="Calibri" w:cs="Times New Roman"/>
      <w:szCs w:val="20"/>
    </w:rPr>
  </w:style>
  <w:style w:type="paragraph" w:customStyle="1" w:styleId="WW-BodyTextIndent3">
    <w:name w:val="WW-Body Text Indent 3"/>
    <w:basedOn w:val="af1"/>
    <w:qFormat/>
    <w:pPr>
      <w:widowControl/>
      <w:suppressAutoHyphens/>
      <w:spacing w:after="120" w:line="360" w:lineRule="auto"/>
      <w:ind w:firstLine="420"/>
      <w:jc w:val="left"/>
    </w:pPr>
    <w:rPr>
      <w:rFonts w:ascii="Courier New" w:hAnsi="Courier New" w:cs="仿宋_GB2312"/>
      <w:kern w:val="20481"/>
      <w:sz w:val="24"/>
      <w:szCs w:val="20"/>
    </w:rPr>
  </w:style>
  <w:style w:type="paragraph" w:customStyle="1" w:styleId="126">
    <w:name w:val="样式12"/>
    <w:basedOn w:val="af1"/>
    <w:qFormat/>
    <w:pPr>
      <w:topLinePunct/>
      <w:spacing w:line="420" w:lineRule="exact"/>
      <w:ind w:firstLineChars="200" w:firstLine="200"/>
    </w:pPr>
    <w:rPr>
      <w:rFonts w:ascii="Calibri" w:hAnsi="Calibri" w:cs="Times New Roman"/>
      <w:b/>
      <w:spacing w:val="20"/>
      <w:sz w:val="24"/>
    </w:rPr>
  </w:style>
  <w:style w:type="paragraph" w:customStyle="1" w:styleId="affffffffffffffffffffffffffffffffff3">
    <w:name w:val="单元格格式"/>
    <w:qFormat/>
    <w:pPr>
      <w:widowControl w:val="0"/>
      <w:adjustRightInd w:val="0"/>
      <w:spacing w:beforeLines="20" w:line="320" w:lineRule="exact"/>
      <w:ind w:leftChars="10" w:left="32" w:rightChars="10" w:right="32"/>
    </w:pPr>
    <w:rPr>
      <w:rFonts w:ascii="宋体" w:eastAsia="宋体" w:hAnsi="宋体" w:cs="Times New Roman"/>
      <w:sz w:val="28"/>
    </w:rPr>
  </w:style>
  <w:style w:type="paragraph" w:customStyle="1" w:styleId="3Fff1">
    <w:name w:val="列表 3F"/>
    <w:basedOn w:val="34"/>
    <w:qFormat/>
    <w:pPr>
      <w:tabs>
        <w:tab w:val="left" w:pos="907"/>
      </w:tabs>
      <w:spacing w:line="288" w:lineRule="auto"/>
      <w:ind w:left="907" w:hanging="567"/>
      <w:jc w:val="left"/>
    </w:pPr>
    <w:rPr>
      <w:rFonts w:ascii="Courier New" w:hAnsi="Courier New" w:cs="仿宋_GB2312"/>
      <w:color w:val="CCFFCC"/>
      <w:sz w:val="24"/>
    </w:rPr>
  </w:style>
  <w:style w:type="paragraph" w:customStyle="1" w:styleId="Bt32">
    <w:name w:val="样式 Bt3 + 加粗2"/>
    <w:basedOn w:val="31"/>
    <w:next w:val="af1"/>
    <w:qFormat/>
    <w:pPr>
      <w:spacing w:before="0" w:after="0" w:line="360" w:lineRule="auto"/>
      <w:jc w:val="left"/>
    </w:pPr>
    <w:rPr>
      <w:rFonts w:eastAsia="黑体"/>
      <w:b w:val="0"/>
      <w:bCs w:val="0"/>
      <w:snapToGrid w:val="0"/>
      <w:kern w:val="0"/>
      <w:sz w:val="24"/>
      <w:szCs w:val="20"/>
    </w:rPr>
  </w:style>
  <w:style w:type="paragraph" w:customStyle="1" w:styleId="1fffffff8">
    <w:name w:val="样式 标题 1 + 黑体 三号"/>
    <w:basedOn w:val="1"/>
    <w:qFormat/>
    <w:pPr>
      <w:widowControl/>
      <w:topLinePunct/>
      <w:autoSpaceDE w:val="0"/>
      <w:autoSpaceDN w:val="0"/>
      <w:adjustRightInd w:val="0"/>
      <w:snapToGrid w:val="0"/>
      <w:spacing w:before="340" w:after="330" w:line="240" w:lineRule="auto"/>
      <w:ind w:firstLineChars="224" w:firstLine="538"/>
      <w:jc w:val="left"/>
    </w:pPr>
    <w:rPr>
      <w:rFonts w:ascii="楷体" w:eastAsia="楷体" w:hAnsi="楷体" w:cs="仿宋_GB2312"/>
      <w:b w:val="0"/>
      <w:bCs w:val="0"/>
      <w:kern w:val="44"/>
      <w:sz w:val="24"/>
    </w:rPr>
  </w:style>
  <w:style w:type="paragraph" w:customStyle="1" w:styleId="11f0">
    <w:name w:val="日期11"/>
    <w:basedOn w:val="af1"/>
    <w:next w:val="af1"/>
    <w:qFormat/>
    <w:pPr>
      <w:widowControl/>
      <w:spacing w:line="360" w:lineRule="auto"/>
      <w:ind w:leftChars="2500" w:left="100" w:firstLineChars="200" w:firstLine="200"/>
      <w:jc w:val="left"/>
    </w:pPr>
    <w:rPr>
      <w:rFonts w:ascii="Calibri" w:hAnsi="Calibri" w:cs="Times New Roman"/>
      <w:kern w:val="0"/>
      <w:sz w:val="24"/>
      <w:szCs w:val="20"/>
    </w:rPr>
  </w:style>
  <w:style w:type="paragraph" w:customStyle="1" w:styleId="affffffffffffffffffffffffffffffffff4">
    <w:name w:val="段落"/>
    <w:basedOn w:val="af1"/>
    <w:next w:val="af1"/>
    <w:qFormat/>
    <w:pPr>
      <w:autoSpaceDE w:val="0"/>
      <w:autoSpaceDN w:val="0"/>
      <w:adjustRightInd w:val="0"/>
      <w:jc w:val="left"/>
    </w:pPr>
    <w:rPr>
      <w:rFonts w:ascii="仿宋_GB2312" w:eastAsia="仿宋_GB2312" w:hAnsi="Calibri" w:cs="Times New Roman"/>
      <w:kern w:val="0"/>
      <w:sz w:val="24"/>
      <w:szCs w:val="24"/>
    </w:rPr>
  </w:style>
  <w:style w:type="paragraph" w:customStyle="1" w:styleId="22d">
    <w:name w:val="样式 标题 2 + 首行缩进:  2 字符"/>
    <w:basedOn w:val="22"/>
    <w:qFormat/>
    <w:pPr>
      <w:snapToGrid w:val="0"/>
      <w:spacing w:before="0" w:after="0" w:line="360" w:lineRule="auto"/>
      <w:ind w:firstLineChars="200" w:firstLine="592"/>
    </w:pPr>
    <w:rPr>
      <w:rFonts w:ascii="黑体" w:hAnsi="宋体" w:hint="eastAsia"/>
      <w:b w:val="0"/>
      <w:sz w:val="30"/>
      <w:szCs w:val="20"/>
    </w:rPr>
  </w:style>
  <w:style w:type="paragraph" w:customStyle="1" w:styleId="1fffffff9">
    <w:name w:val="表标题1"/>
    <w:basedOn w:val="af1"/>
    <w:qFormat/>
    <w:pPr>
      <w:tabs>
        <w:tab w:val="left" w:pos="1848"/>
        <w:tab w:val="left" w:pos="6061"/>
        <w:tab w:val="left" w:pos="8665"/>
      </w:tabs>
      <w:adjustRightInd w:val="0"/>
      <w:snapToGrid w:val="0"/>
      <w:spacing w:beforeLines="50" w:line="460" w:lineRule="exact"/>
      <w:ind w:firstLineChars="200" w:firstLine="480"/>
      <w:jc w:val="center"/>
    </w:pPr>
    <w:rPr>
      <w:rFonts w:ascii="宋体" w:hAnsi="宋体" w:cs="Times New Roman"/>
      <w:sz w:val="24"/>
      <w:szCs w:val="20"/>
    </w:rPr>
  </w:style>
  <w:style w:type="paragraph" w:customStyle="1" w:styleId="530">
    <w:name w:val="标题 53"/>
    <w:basedOn w:val="af1"/>
    <w:uiPriority w:val="1"/>
    <w:qFormat/>
    <w:pPr>
      <w:autoSpaceDE w:val="0"/>
      <w:autoSpaceDN w:val="0"/>
      <w:adjustRightInd w:val="0"/>
      <w:jc w:val="left"/>
      <w:outlineLvl w:val="4"/>
    </w:pPr>
    <w:rPr>
      <w:rFonts w:ascii="Calibri" w:hAnsi="Calibri" w:cs="Times New Roman"/>
      <w:kern w:val="0"/>
      <w:sz w:val="25"/>
      <w:szCs w:val="25"/>
    </w:rPr>
  </w:style>
  <w:style w:type="paragraph" w:customStyle="1" w:styleId="CharCharCharCharCharChar21">
    <w:name w:val="Char Char Char Char Char Char21"/>
    <w:basedOn w:val="af1"/>
    <w:qFormat/>
    <w:pPr>
      <w:spacing w:line="360" w:lineRule="auto"/>
      <w:ind w:firstLineChars="200" w:firstLine="200"/>
    </w:pPr>
    <w:rPr>
      <w:rFonts w:ascii="宋体" w:hAnsi="宋体" w:cs="Times New Roman" w:hint="eastAsia"/>
      <w:sz w:val="24"/>
      <w:szCs w:val="20"/>
    </w:rPr>
  </w:style>
  <w:style w:type="paragraph" w:customStyle="1" w:styleId="3fff2">
    <w:name w:val="页脚3"/>
    <w:basedOn w:val="af1"/>
    <w:qFormat/>
    <w:pPr>
      <w:tabs>
        <w:tab w:val="center" w:pos="4153"/>
        <w:tab w:val="right" w:pos="8306"/>
      </w:tabs>
      <w:snapToGrid w:val="0"/>
      <w:jc w:val="left"/>
    </w:pPr>
    <w:rPr>
      <w:rFonts w:ascii="Calibri" w:hAnsi="Calibri" w:cs="Times New Roman"/>
      <w:sz w:val="18"/>
      <w:szCs w:val="20"/>
    </w:rPr>
  </w:style>
  <w:style w:type="paragraph" w:customStyle="1" w:styleId="Char1CharCharCharCharCharChar">
    <w:name w:val="Char1 Char Char Char Char Char Char"/>
    <w:basedOn w:val="af1"/>
    <w:qFormat/>
    <w:pPr>
      <w:spacing w:line="360" w:lineRule="auto"/>
      <w:ind w:firstLineChars="200" w:firstLine="200"/>
    </w:pPr>
    <w:rPr>
      <w:rFonts w:ascii="宋体" w:hAnsi="宋体" w:cs="Times New Roman"/>
      <w:sz w:val="24"/>
      <w:szCs w:val="20"/>
    </w:rPr>
  </w:style>
  <w:style w:type="paragraph" w:customStyle="1" w:styleId="77">
    <w:name w:val="7"/>
    <w:basedOn w:val="af1"/>
    <w:next w:val="afff0"/>
    <w:qFormat/>
    <w:pPr>
      <w:spacing w:line="324" w:lineRule="auto"/>
      <w:ind w:leftChars="-50" w:left="-105" w:rightChars="-50" w:right="-105" w:firstLine="482"/>
      <w:jc w:val="left"/>
    </w:pPr>
    <w:rPr>
      <w:rFonts w:ascii="Calibri" w:hAnsi="Calibri" w:cs="Times New Roman"/>
      <w:color w:val="000000"/>
      <w:sz w:val="24"/>
      <w:szCs w:val="24"/>
    </w:rPr>
  </w:style>
  <w:style w:type="paragraph" w:customStyle="1" w:styleId="CharCharCharCharCharCharCharCharCharCharCharCharCharCharCharCharCharChar">
    <w:name w:val="Char Char Char Char Char Char Char Char Char Char Char Char Char Char Char Char Char Char"/>
    <w:basedOn w:val="af1"/>
    <w:qFormat/>
    <w:rPr>
      <w:rFonts w:ascii="宋体" w:hAnsi="Calibri" w:cs="Times New Roman"/>
      <w:sz w:val="24"/>
      <w:szCs w:val="20"/>
    </w:rPr>
  </w:style>
  <w:style w:type="paragraph" w:customStyle="1" w:styleId="font1">
    <w:name w:val="font1"/>
    <w:basedOn w:val="af1"/>
    <w:qFormat/>
    <w:pPr>
      <w:widowControl/>
      <w:spacing w:before="100" w:beforeAutospacing="1" w:after="100" w:afterAutospacing="1"/>
      <w:jc w:val="left"/>
    </w:pPr>
    <w:rPr>
      <w:rFonts w:ascii="宋体" w:hAnsi="宋体" w:cs="Arial Unicode MS" w:hint="eastAsia"/>
      <w:kern w:val="0"/>
      <w:sz w:val="24"/>
      <w:szCs w:val="24"/>
    </w:rPr>
  </w:style>
  <w:style w:type="paragraph" w:customStyle="1" w:styleId="CharCharChar1CharCharCharCharCharChar2">
    <w:name w:val="Char Char Char1 Char Char Char Char Char Char2"/>
    <w:basedOn w:val="af1"/>
    <w:qFormat/>
    <w:pPr>
      <w:spacing w:line="360" w:lineRule="auto"/>
    </w:pPr>
    <w:rPr>
      <w:rFonts w:ascii="Calibri" w:hAnsi="Calibri" w:cs="Times New Roman" w:hint="eastAsia"/>
      <w:sz w:val="24"/>
      <w:szCs w:val="20"/>
    </w:rPr>
  </w:style>
  <w:style w:type="paragraph" w:customStyle="1" w:styleId="xl103">
    <w:name w:val="xl103"/>
    <w:basedOn w:val="af1"/>
    <w:qFormat/>
    <w:pPr>
      <w:widowControl/>
      <w:pBdr>
        <w:top w:val="single" w:sz="4" w:space="0" w:color="auto"/>
        <w:left w:val="single" w:sz="8" w:space="0" w:color="auto"/>
      </w:pBdr>
      <w:spacing w:before="100" w:beforeAutospacing="1" w:after="100" w:afterAutospacing="1"/>
      <w:jc w:val="left"/>
      <w:textAlignment w:val="center"/>
    </w:pPr>
    <w:rPr>
      <w:rFonts w:ascii="華康中楷體" w:eastAsia="華康中楷體" w:hAnsi="華康中楷體" w:cs="華康中楷體"/>
      <w:kern w:val="0"/>
      <w:sz w:val="16"/>
      <w:szCs w:val="16"/>
    </w:rPr>
  </w:style>
  <w:style w:type="paragraph" w:customStyle="1" w:styleId="affffffffffffffffffffffffffffffffff5">
    <w:name w:val="居中四号"/>
    <w:qFormat/>
    <w:pPr>
      <w:spacing w:line="300" w:lineRule="auto"/>
      <w:jc w:val="center"/>
    </w:pPr>
    <w:rPr>
      <w:rFonts w:ascii="Calibri" w:eastAsia="宋体" w:hAnsi="Calibri" w:cs="Times New Roman"/>
      <w:sz w:val="28"/>
    </w:rPr>
  </w:style>
  <w:style w:type="paragraph" w:customStyle="1" w:styleId="1fffffffa">
    <w:name w:val="尾注文本1"/>
    <w:basedOn w:val="2fd"/>
    <w:qFormat/>
    <w:pPr>
      <w:snapToGrid/>
      <w:spacing w:line="360" w:lineRule="atLeast"/>
      <w:ind w:firstLine="0"/>
      <w:jc w:val="left"/>
      <w:textAlignment w:val="baseline"/>
    </w:pPr>
    <w:rPr>
      <w:rFonts w:ascii="宋体"/>
      <w:kern w:val="0"/>
      <w:sz w:val="21"/>
    </w:rPr>
  </w:style>
  <w:style w:type="paragraph" w:customStyle="1" w:styleId="affffffffffffffffffffffffffffffffff6">
    <w:name w:val="正文标准格式"/>
    <w:basedOn w:val="af1"/>
    <w:qFormat/>
    <w:pPr>
      <w:spacing w:line="360" w:lineRule="auto"/>
      <w:ind w:firstLineChars="200" w:firstLine="560"/>
    </w:pPr>
    <w:rPr>
      <w:rFonts w:ascii="宋体" w:hAnsi="宋体" w:cs="Times New Roman"/>
      <w:sz w:val="28"/>
      <w:szCs w:val="20"/>
    </w:rPr>
  </w:style>
  <w:style w:type="paragraph" w:customStyle="1" w:styleId="205205">
    <w:name w:val="样式 样式 左侧:  2 字符 段后: 0.5 行 + 首行缩进:  2 字符 段后: 0.5 行"/>
    <w:basedOn w:val="af1"/>
    <w:qFormat/>
    <w:pPr>
      <w:widowControl/>
      <w:spacing w:afterLines="50"/>
      <w:ind w:firstLineChars="200" w:firstLine="560"/>
      <w:jc w:val="left"/>
    </w:pPr>
    <w:rPr>
      <w:rFonts w:ascii="仿宋_GB2312" w:eastAsia="Times New Roman" w:hAnsi="仿宋_GB2312" w:cs="仿宋_GB2312"/>
      <w:sz w:val="28"/>
      <w:szCs w:val="28"/>
    </w:rPr>
  </w:style>
  <w:style w:type="paragraph" w:customStyle="1" w:styleId="xl43">
    <w:name w:val="xl43"/>
    <w:basedOn w:val="af1"/>
    <w:qFormat/>
    <w:pPr>
      <w:widowControl/>
      <w:pBdr>
        <w:bottom w:val="single" w:sz="8" w:space="0" w:color="auto"/>
        <w:right w:val="single" w:sz="4" w:space="0" w:color="auto"/>
      </w:pBdr>
      <w:spacing w:before="100" w:beforeAutospacing="1" w:after="100" w:afterAutospacing="1"/>
      <w:jc w:val="center"/>
    </w:pPr>
    <w:rPr>
      <w:rFonts w:ascii="Calibri" w:eastAsia="Arial Unicode MS" w:hAnsi="Calibri" w:cs="Times New Roman"/>
      <w:kern w:val="0"/>
      <w:sz w:val="18"/>
      <w:szCs w:val="18"/>
    </w:rPr>
  </w:style>
  <w:style w:type="paragraph" w:customStyle="1" w:styleId="xl144">
    <w:name w:val="xl144"/>
    <w:basedOn w:val="af1"/>
    <w:qFormat/>
    <w:pPr>
      <w:widowControl/>
      <w:pBdr>
        <w:top w:val="single" w:sz="4" w:space="0" w:color="auto"/>
        <w:left w:val="single" w:sz="4" w:space="0" w:color="auto"/>
      </w:pBdr>
      <w:shd w:val="clear" w:color="auto" w:fill="C0C0C0"/>
      <w:spacing w:before="100" w:beforeAutospacing="1" w:after="100" w:afterAutospacing="1"/>
      <w:jc w:val="center"/>
    </w:pPr>
    <w:rPr>
      <w:rFonts w:ascii="宋体" w:hAnsi="宋体" w:cs="Times New Roman"/>
      <w:sz w:val="20"/>
      <w:szCs w:val="20"/>
    </w:rPr>
  </w:style>
  <w:style w:type="paragraph" w:customStyle="1" w:styleId="11f1">
    <w:name w:val="页脚11"/>
    <w:basedOn w:val="2fd"/>
    <w:qFormat/>
    <w:pPr>
      <w:tabs>
        <w:tab w:val="center" w:pos="4153"/>
        <w:tab w:val="right" w:pos="8306"/>
      </w:tabs>
      <w:snapToGrid/>
      <w:spacing w:line="240" w:lineRule="atLeast"/>
      <w:ind w:firstLine="0"/>
      <w:jc w:val="left"/>
      <w:textAlignment w:val="baseline"/>
    </w:pPr>
    <w:rPr>
      <w:rFonts w:ascii="Verdana" w:hAnsi="仿宋_GB2312" w:cs="仿宋_GB2312"/>
      <w:kern w:val="0"/>
      <w:sz w:val="18"/>
    </w:rPr>
  </w:style>
  <w:style w:type="paragraph" w:customStyle="1" w:styleId="2U">
    <w:name w:val="列表 2U"/>
    <w:basedOn w:val="25"/>
    <w:qFormat/>
    <w:pPr>
      <w:widowControl/>
      <w:tabs>
        <w:tab w:val="left" w:pos="737"/>
      </w:tabs>
      <w:spacing w:beforeAutospacing="1" w:after="100" w:afterAutospacing="1" w:line="288" w:lineRule="auto"/>
      <w:ind w:leftChars="0" w:left="737" w:firstLineChars="0" w:hanging="567"/>
      <w:jc w:val="left"/>
    </w:pPr>
    <w:rPr>
      <w:rFonts w:ascii="Courier New" w:eastAsia="宋体" w:hAnsi="Courier New" w:cs="仿宋_GB2312"/>
      <w:color w:val="FFFF99"/>
      <w:kern w:val="2"/>
      <w:sz w:val="24"/>
      <w:szCs w:val="20"/>
    </w:rPr>
  </w:style>
  <w:style w:type="paragraph" w:customStyle="1" w:styleId="affffffffffffffffffffffffffffffffff7">
    <w:name w:val="封面标准名称"/>
    <w:qFormat/>
    <w:pPr>
      <w:widowControl w:val="0"/>
      <w:spacing w:line="680" w:lineRule="exact"/>
      <w:jc w:val="center"/>
      <w:textAlignment w:val="center"/>
    </w:pPr>
    <w:rPr>
      <w:rFonts w:ascii="黑体" w:eastAsia="黑体" w:hAnsi="Calibri" w:cs="Times New Roman"/>
      <w:sz w:val="52"/>
    </w:rPr>
  </w:style>
  <w:style w:type="paragraph" w:customStyle="1" w:styleId="Style961">
    <w:name w:val="_Style 961"/>
    <w:basedOn w:val="af1"/>
    <w:qFormat/>
    <w:pPr>
      <w:widowControl/>
      <w:spacing w:line="360" w:lineRule="auto"/>
      <w:ind w:firstLineChars="200" w:firstLine="200"/>
      <w:jc w:val="left"/>
    </w:pPr>
    <w:rPr>
      <w:rFonts w:ascii="Calibri" w:hAnsi="Calibri" w:cs="Times New Roman"/>
      <w:szCs w:val="24"/>
    </w:rPr>
  </w:style>
  <w:style w:type="paragraph" w:customStyle="1" w:styleId="615">
    <w:name w:val="样式 样式6 + (中文) 华文中宋 五号 行距: 固定值 15 磅"/>
    <w:basedOn w:val="62"/>
    <w:qFormat/>
    <w:pPr>
      <w:adjustRightInd/>
      <w:spacing w:after="0" w:line="300" w:lineRule="exact"/>
      <w:ind w:leftChars="-50" w:left="-120" w:rightChars="-50" w:right="-120"/>
      <w:jc w:val="center"/>
    </w:pPr>
    <w:rPr>
      <w:rFonts w:eastAsia="华文中宋" w:cs="宋体"/>
      <w:bCs/>
      <w:spacing w:val="0"/>
      <w:sz w:val="21"/>
      <w:szCs w:val="21"/>
    </w:rPr>
  </w:style>
  <w:style w:type="paragraph" w:customStyle="1" w:styleId="105051">
    <w:name w:val="样式 标题 1 + 段前: 0.5 行 段后: 0.5 行"/>
    <w:basedOn w:val="1"/>
    <w:qFormat/>
    <w:pPr>
      <w:spacing w:beforeLines="50" w:before="340" w:afterLines="50" w:after="330" w:line="440" w:lineRule="exact"/>
    </w:pPr>
    <w:rPr>
      <w:rFonts w:ascii="Times New Roman" w:eastAsia="黑体" w:cs="宋体"/>
      <w:kern w:val="44"/>
      <w:sz w:val="32"/>
      <w:szCs w:val="32"/>
    </w:rPr>
  </w:style>
  <w:style w:type="paragraph" w:customStyle="1" w:styleId="3H3h33rdlevel43Char3CharCh2">
    <w:name w:val="样式 标题 3小标题小节标题H3h33rd level第二层条标题4标题 3 Char标题 3 Char Ch...2"/>
    <w:basedOn w:val="31"/>
    <w:qFormat/>
    <w:pPr>
      <w:widowControl/>
      <w:tabs>
        <w:tab w:val="left" w:pos="709"/>
        <w:tab w:val="left" w:pos="851"/>
        <w:tab w:val="left" w:pos="1364"/>
      </w:tabs>
      <w:adjustRightInd w:val="0"/>
      <w:spacing w:before="120" w:after="120" w:line="240" w:lineRule="auto"/>
      <w:ind w:left="709" w:hanging="709"/>
      <w:jc w:val="left"/>
      <w:textAlignment w:val="baseline"/>
    </w:pPr>
    <w:rPr>
      <w:rFonts w:ascii="Courier New" w:hAnsi="Courier New" w:cs="Courier New"/>
      <w:bCs w:val="0"/>
      <w:color w:val="0000FF"/>
      <w:kern w:val="0"/>
      <w:sz w:val="30"/>
      <w:szCs w:val="30"/>
    </w:rPr>
  </w:style>
  <w:style w:type="paragraph" w:customStyle="1" w:styleId="CharCharCharChar20">
    <w:name w:val="Char Char Char Char2"/>
    <w:basedOn w:val="af1"/>
    <w:qFormat/>
    <w:pPr>
      <w:spacing w:line="360" w:lineRule="auto"/>
      <w:ind w:firstLineChars="200" w:firstLine="200"/>
    </w:pPr>
    <w:rPr>
      <w:rFonts w:ascii="宋体" w:hAnsi="宋体" w:cs="宋体"/>
      <w:sz w:val="24"/>
      <w:szCs w:val="24"/>
    </w:rPr>
  </w:style>
  <w:style w:type="paragraph" w:customStyle="1" w:styleId="5N">
    <w:name w:val="列表 5N"/>
    <w:basedOn w:val="55"/>
    <w:qFormat/>
    <w:pPr>
      <w:tabs>
        <w:tab w:val="left" w:pos="1134"/>
      </w:tabs>
      <w:adjustRightInd/>
      <w:spacing w:beforeLines="0" w:line="240" w:lineRule="auto"/>
      <w:ind w:left="1134" w:hanging="425"/>
      <w:jc w:val="left"/>
      <w:textAlignment w:val="auto"/>
    </w:pPr>
    <w:rPr>
      <w:rFonts w:ascii="Courier New" w:hAnsi="Courier New" w:cs="仿宋_GB2312"/>
      <w:color w:val="99CCFF"/>
      <w:kern w:val="2"/>
    </w:rPr>
  </w:style>
  <w:style w:type="paragraph" w:customStyle="1" w:styleId="-1a">
    <w:name w:val="表格标题-1"/>
    <w:basedOn w:val="af1"/>
    <w:next w:val="af1"/>
    <w:qFormat/>
    <w:pPr>
      <w:adjustRightInd w:val="0"/>
      <w:snapToGrid w:val="0"/>
      <w:spacing w:line="360" w:lineRule="auto"/>
      <w:ind w:left="360" w:hanging="360"/>
      <w:jc w:val="center"/>
    </w:pPr>
    <w:rPr>
      <w:rFonts w:ascii="Calibri" w:eastAsia="黑体" w:hAnsi="Calibri" w:cs="Times New Roman"/>
      <w:sz w:val="24"/>
      <w:szCs w:val="24"/>
    </w:rPr>
  </w:style>
  <w:style w:type="paragraph" w:customStyle="1" w:styleId="00121">
    <w:name w:val="样式 正文001 + 首行缩进:  2 字符1"/>
    <w:basedOn w:val="af1"/>
    <w:qFormat/>
    <w:pPr>
      <w:spacing w:before="60" w:line="460" w:lineRule="exact"/>
      <w:ind w:firstLineChars="200" w:firstLine="480"/>
    </w:pPr>
    <w:rPr>
      <w:rFonts w:ascii="Calibri" w:hAnsi="Calibri" w:cs="Times New Roman"/>
      <w:sz w:val="24"/>
      <w:szCs w:val="20"/>
    </w:rPr>
  </w:style>
  <w:style w:type="paragraph" w:customStyle="1" w:styleId="affffffffffffffffffffffffffffffffff8">
    <w:name w:val="五号表格"/>
    <w:basedOn w:val="af1"/>
    <w:qFormat/>
    <w:pPr>
      <w:jc w:val="center"/>
    </w:pPr>
    <w:rPr>
      <w:rFonts w:ascii="Calibri" w:hAnsi="Calibri" w:cs="Times New Roman"/>
      <w:kern w:val="0"/>
      <w:szCs w:val="20"/>
    </w:rPr>
  </w:style>
  <w:style w:type="paragraph" w:customStyle="1" w:styleId="affffffffffffffffffffffffffffffffff9">
    <w:name w:val="(一)內文"/>
    <w:basedOn w:val="af1"/>
    <w:qFormat/>
    <w:pPr>
      <w:widowControl/>
      <w:snapToGrid w:val="0"/>
      <w:spacing w:line="480" w:lineRule="atLeast"/>
      <w:ind w:left="1202" w:firstLine="601"/>
      <w:jc w:val="left"/>
    </w:pPr>
    <w:rPr>
      <w:rFonts w:ascii="仿宋_GB2312" w:eastAsia="MS Gothic" w:hAnsi="仿宋_GB2312" w:cs="仿宋_GB2312"/>
      <w:sz w:val="28"/>
      <w:szCs w:val="20"/>
      <w:lang w:eastAsia="zh-TW"/>
    </w:rPr>
  </w:style>
  <w:style w:type="paragraph" w:customStyle="1" w:styleId="1fffffffb">
    <w:name w:val="框图文字1"/>
    <w:basedOn w:val="af1"/>
    <w:qFormat/>
    <w:pPr>
      <w:widowControl/>
      <w:adjustRightInd w:val="0"/>
      <w:snapToGrid w:val="0"/>
      <w:spacing w:beforeLines="25"/>
      <w:jc w:val="center"/>
    </w:pPr>
    <w:rPr>
      <w:rFonts w:ascii="仿宋_GB2312" w:hAnsi="仿宋_GB2312" w:cs="仿宋_GB2312"/>
      <w:sz w:val="18"/>
      <w:szCs w:val="24"/>
    </w:rPr>
  </w:style>
  <w:style w:type="paragraph" w:customStyle="1" w:styleId="1fffffffc">
    <w:name w:val="目录1"/>
    <w:basedOn w:val="af1"/>
    <w:next w:val="af1"/>
    <w:qFormat/>
    <w:pPr>
      <w:widowControl/>
      <w:tabs>
        <w:tab w:val="left" w:leader="dot" w:pos="8503"/>
      </w:tabs>
      <w:adjustRightInd w:val="0"/>
      <w:snapToGrid w:val="0"/>
      <w:spacing w:after="102" w:line="215" w:lineRule="atLeast"/>
      <w:ind w:firstLineChars="200" w:firstLine="419"/>
      <w:jc w:val="left"/>
      <w:textAlignment w:val="baseline"/>
    </w:pPr>
    <w:rPr>
      <w:rFonts w:ascii="Calibri" w:hAnsi="Calibri" w:cs="Times New Roman"/>
      <w:snapToGrid w:val="0"/>
      <w:color w:val="000000"/>
      <w:kern w:val="0"/>
      <w:sz w:val="24"/>
      <w:szCs w:val="24"/>
      <w:u w:color="000000"/>
    </w:rPr>
  </w:style>
  <w:style w:type="paragraph" w:customStyle="1" w:styleId="318">
    <w:name w:val="正文文本缩进 31"/>
    <w:basedOn w:val="af1"/>
    <w:qFormat/>
    <w:pPr>
      <w:adjustRightInd w:val="0"/>
      <w:spacing w:line="300" w:lineRule="auto"/>
      <w:ind w:firstLine="691"/>
      <w:textAlignment w:val="baseline"/>
    </w:pPr>
    <w:rPr>
      <w:rFonts w:ascii="宋体" w:hAnsi="Calibri" w:cs="Times New Roman"/>
      <w:kern w:val="0"/>
      <w:sz w:val="28"/>
      <w:szCs w:val="20"/>
    </w:rPr>
  </w:style>
  <w:style w:type="paragraph" w:customStyle="1" w:styleId="ab">
    <w:name w:val="第九章 图件标题"/>
    <w:basedOn w:val="-xin0"/>
    <w:next w:val="af1"/>
    <w:qFormat/>
    <w:pPr>
      <w:numPr>
        <w:numId w:val="31"/>
      </w:numPr>
      <w:adjustRightInd w:val="0"/>
      <w:spacing w:line="360" w:lineRule="auto"/>
    </w:pPr>
    <w:rPr>
      <w:rFonts w:ascii="Times New Roman" w:hAnsi="Times New Roman"/>
      <w:sz w:val="24"/>
    </w:rPr>
  </w:style>
  <w:style w:type="paragraph" w:customStyle="1" w:styleId="CharCharCharCharCharCharCharCharCharCharCharCharChar10">
    <w:name w:val="Char Char Char Char Char Char Char Char Char Char Char Char Char1"/>
    <w:basedOn w:val="af1"/>
    <w:next w:val="af9"/>
    <w:qFormat/>
    <w:pPr>
      <w:widowControl/>
      <w:jc w:val="left"/>
    </w:pPr>
    <w:rPr>
      <w:rFonts w:ascii="仿宋_GB2312" w:hAnsi="仿宋_GB2312" w:cs="仿宋_GB2312"/>
      <w:sz w:val="28"/>
      <w:szCs w:val="28"/>
    </w:rPr>
  </w:style>
  <w:style w:type="paragraph" w:customStyle="1" w:styleId="-4">
    <w:name w:val="表格标题-4"/>
    <w:basedOn w:val="-xin"/>
    <w:next w:val="af1"/>
    <w:qFormat/>
    <w:pPr>
      <w:numPr>
        <w:numId w:val="32"/>
      </w:numPr>
      <w:adjustRightInd w:val="0"/>
      <w:spacing w:line="360" w:lineRule="auto"/>
    </w:pPr>
    <w:rPr>
      <w:rFonts w:ascii="Times New Roman" w:hAnsi="Times New Roman"/>
      <w:sz w:val="24"/>
    </w:rPr>
  </w:style>
  <w:style w:type="paragraph" w:customStyle="1" w:styleId="2J">
    <w:name w:val="列表 2J"/>
    <w:basedOn w:val="25"/>
    <w:qFormat/>
    <w:pPr>
      <w:widowControl/>
      <w:tabs>
        <w:tab w:val="left" w:pos="737"/>
      </w:tabs>
      <w:spacing w:beforeAutospacing="1" w:after="100" w:afterAutospacing="1" w:line="288" w:lineRule="auto"/>
      <w:ind w:leftChars="0" w:left="737" w:firstLineChars="0" w:hanging="567"/>
      <w:jc w:val="left"/>
    </w:pPr>
    <w:rPr>
      <w:rFonts w:ascii="Courier New" w:eastAsia="宋体" w:hAnsi="Courier New" w:cs="仿宋_GB2312"/>
      <w:color w:val="FFFF99"/>
      <w:kern w:val="2"/>
      <w:sz w:val="24"/>
      <w:szCs w:val="20"/>
    </w:rPr>
  </w:style>
  <w:style w:type="paragraph" w:customStyle="1" w:styleId="1fffffffd">
    <w:name w:val="批注框文本1"/>
    <w:basedOn w:val="af1"/>
    <w:qFormat/>
    <w:rPr>
      <w:rFonts w:ascii="Calibri" w:hAnsi="Calibri" w:cs="Times New Roman"/>
      <w:sz w:val="18"/>
      <w:szCs w:val="20"/>
    </w:rPr>
  </w:style>
  <w:style w:type="paragraph" w:customStyle="1" w:styleId="-14">
    <w:name w:val="表格标题-14"/>
    <w:basedOn w:val="-xin"/>
    <w:next w:val="af1"/>
    <w:qFormat/>
    <w:pPr>
      <w:numPr>
        <w:numId w:val="33"/>
      </w:numPr>
      <w:adjustRightInd w:val="0"/>
      <w:spacing w:line="360" w:lineRule="auto"/>
    </w:pPr>
    <w:rPr>
      <w:rFonts w:ascii="Times New Roman" w:hAnsi="Times New Roman"/>
      <w:sz w:val="24"/>
    </w:rPr>
  </w:style>
  <w:style w:type="paragraph" w:customStyle="1" w:styleId="-8">
    <w:name w:val="表格标题-8"/>
    <w:basedOn w:val="-xin"/>
    <w:next w:val="af1"/>
    <w:qFormat/>
    <w:pPr>
      <w:numPr>
        <w:numId w:val="34"/>
      </w:numPr>
      <w:adjustRightInd w:val="0"/>
      <w:spacing w:line="360" w:lineRule="auto"/>
    </w:pPr>
    <w:rPr>
      <w:rFonts w:ascii="Times New Roman" w:hAnsi="Times New Roman"/>
      <w:sz w:val="24"/>
    </w:rPr>
  </w:style>
  <w:style w:type="paragraph" w:customStyle="1" w:styleId="xl110">
    <w:name w:val="xl110"/>
    <w:basedOn w:val="af1"/>
    <w:qFormat/>
    <w:pPr>
      <w:widowControl/>
      <w:pBdr>
        <w:bottom w:val="single" w:sz="4" w:space="0" w:color="auto"/>
        <w:right w:val="single" w:sz="8" w:space="0" w:color="auto"/>
      </w:pBdr>
      <w:spacing w:before="100" w:beforeAutospacing="1" w:after="100" w:afterAutospacing="1"/>
      <w:jc w:val="center"/>
      <w:textAlignment w:val="center"/>
    </w:pPr>
    <w:rPr>
      <w:rFonts w:ascii="華康中楷體" w:eastAsia="華康中楷體" w:hAnsi="華康中楷體" w:cs="華康中楷體"/>
      <w:kern w:val="0"/>
      <w:sz w:val="16"/>
      <w:szCs w:val="16"/>
    </w:rPr>
  </w:style>
  <w:style w:type="paragraph" w:customStyle="1" w:styleId="-0">
    <w:name w:val="一章-表头"/>
    <w:basedOn w:val="af1"/>
    <w:next w:val="af1"/>
    <w:qFormat/>
    <w:pPr>
      <w:numPr>
        <w:numId w:val="35"/>
      </w:numPr>
      <w:tabs>
        <w:tab w:val="left" w:pos="0"/>
      </w:tabs>
      <w:spacing w:line="360" w:lineRule="auto"/>
      <w:jc w:val="center"/>
    </w:pPr>
    <w:rPr>
      <w:rFonts w:eastAsia="黑体" w:cs="Times New Roman"/>
      <w:szCs w:val="21"/>
    </w:rPr>
  </w:style>
  <w:style w:type="paragraph" w:customStyle="1" w:styleId="pa-4">
    <w:name w:val="pa-4"/>
    <w:basedOn w:val="af1"/>
    <w:qFormat/>
    <w:pPr>
      <w:widowControl/>
      <w:spacing w:before="150" w:after="150"/>
      <w:jc w:val="left"/>
    </w:pPr>
    <w:rPr>
      <w:rFonts w:ascii="宋体" w:hAnsi="宋体" w:cs="宋体"/>
      <w:kern w:val="0"/>
      <w:sz w:val="24"/>
      <w:szCs w:val="24"/>
    </w:rPr>
  </w:style>
  <w:style w:type="paragraph" w:customStyle="1" w:styleId="3Level3HeadH3Heading3-oldh3sect123Head33l3">
    <w:name w:val="样式 标题 3Level 3 HeadH3Heading 3 - oldh3sect1.2.3Head33l3..."/>
    <w:basedOn w:val="31"/>
    <w:qFormat/>
    <w:pPr>
      <w:spacing w:before="0" w:after="0" w:line="360" w:lineRule="auto"/>
    </w:pPr>
    <w:rPr>
      <w:rFonts w:cs="宋体"/>
      <w:sz w:val="28"/>
      <w:szCs w:val="20"/>
    </w:rPr>
  </w:style>
  <w:style w:type="paragraph" w:customStyle="1" w:styleId="CharCharCharChar1CharCharChar">
    <w:name w:val="Char Char Char Char1 Char Char Char"/>
    <w:basedOn w:val="af1"/>
    <w:qFormat/>
    <w:pPr>
      <w:widowControl/>
      <w:jc w:val="left"/>
    </w:pPr>
    <w:rPr>
      <w:rFonts w:ascii="Calibri" w:hAnsi="Calibri" w:cs="Times New Roman"/>
      <w:sz w:val="24"/>
      <w:szCs w:val="24"/>
    </w:rPr>
  </w:style>
  <w:style w:type="paragraph" w:customStyle="1" w:styleId="94">
    <w:name w:val="9"/>
    <w:basedOn w:val="af1"/>
    <w:next w:val="aff0"/>
    <w:qFormat/>
    <w:pPr>
      <w:spacing w:line="360" w:lineRule="auto"/>
      <w:ind w:firstLineChars="200" w:firstLine="420"/>
    </w:pPr>
    <w:rPr>
      <w:rFonts w:ascii="Calibri" w:hAnsi="Calibri" w:cs="Times New Roman"/>
      <w:sz w:val="24"/>
      <w:szCs w:val="21"/>
    </w:rPr>
  </w:style>
  <w:style w:type="paragraph" w:customStyle="1" w:styleId="2fffffff3">
    <w:name w:val="样式 四号 首行缩进:  2 字符"/>
    <w:basedOn w:val="af1"/>
    <w:qFormat/>
    <w:pPr>
      <w:widowControl/>
      <w:spacing w:line="480" w:lineRule="atLeast"/>
      <w:ind w:firstLineChars="200" w:firstLine="200"/>
      <w:jc w:val="left"/>
    </w:pPr>
    <w:rPr>
      <w:rFonts w:ascii="Calibri" w:hAnsi="Calibri" w:cs="Times New Roman"/>
      <w:sz w:val="24"/>
      <w:szCs w:val="24"/>
    </w:rPr>
  </w:style>
  <w:style w:type="paragraph" w:customStyle="1" w:styleId="affffffffffffffffffffffffffffffffffa">
    <w:name w:val="正文表格"/>
    <w:basedOn w:val="af1"/>
    <w:qFormat/>
    <w:pPr>
      <w:keepNext/>
      <w:keepLines/>
      <w:widowControl/>
      <w:tabs>
        <w:tab w:val="center" w:pos="6804"/>
      </w:tabs>
      <w:overflowPunct w:val="0"/>
      <w:adjustRightInd w:val="0"/>
      <w:spacing w:before="80"/>
      <w:jc w:val="center"/>
      <w:textAlignment w:val="bottom"/>
    </w:pPr>
    <w:rPr>
      <w:rFonts w:ascii="Calibri" w:hAnsi="Calibri" w:cs="Times New Roman"/>
      <w:kern w:val="0"/>
      <w:sz w:val="28"/>
      <w:szCs w:val="20"/>
    </w:rPr>
  </w:style>
  <w:style w:type="paragraph" w:customStyle="1" w:styleId="1250">
    <w:name w:val="样式 四号 行距: 多倍行距 1.25 字行"/>
    <w:basedOn w:val="af1"/>
    <w:qFormat/>
    <w:pPr>
      <w:spacing w:line="300" w:lineRule="auto"/>
      <w:ind w:firstLineChars="200" w:firstLine="560"/>
    </w:pPr>
    <w:rPr>
      <w:rFonts w:ascii="Calibri" w:hAnsi="Calibri" w:cs="宋体"/>
      <w:sz w:val="28"/>
      <w:szCs w:val="20"/>
    </w:rPr>
  </w:style>
  <w:style w:type="paragraph" w:customStyle="1" w:styleId="affffffffffffffffffffffffffffffffffb">
    <w:name w:val="附图编号"/>
    <w:basedOn w:val="af1"/>
    <w:qFormat/>
    <w:pPr>
      <w:widowControl/>
      <w:tabs>
        <w:tab w:val="left" w:pos="1760"/>
      </w:tabs>
      <w:spacing w:line="288" w:lineRule="auto"/>
      <w:ind w:left="1021" w:hanging="341"/>
      <w:jc w:val="left"/>
    </w:pPr>
    <w:rPr>
      <w:rFonts w:ascii="Courier New" w:hAnsi="Courier New" w:cs="仿宋_GB2312"/>
      <w:color w:val="CC99FF"/>
      <w:sz w:val="24"/>
      <w:szCs w:val="20"/>
    </w:rPr>
  </w:style>
  <w:style w:type="paragraph" w:customStyle="1" w:styleId="Style287">
    <w:name w:val="_Style 287"/>
    <w:basedOn w:val="af1"/>
    <w:next w:val="afffffe"/>
    <w:qFormat/>
    <w:pPr>
      <w:ind w:firstLineChars="200" w:firstLine="420"/>
    </w:pPr>
    <w:rPr>
      <w:rFonts w:ascii="Calibri" w:hAnsi="Calibri" w:cs="Times New Roman"/>
    </w:rPr>
  </w:style>
  <w:style w:type="paragraph" w:customStyle="1" w:styleId="CharCharChar120">
    <w:name w:val="Char Char Char12"/>
    <w:basedOn w:val="af1"/>
    <w:qFormat/>
    <w:pPr>
      <w:spacing w:line="360" w:lineRule="auto"/>
      <w:ind w:firstLineChars="200" w:firstLine="200"/>
    </w:pPr>
    <w:rPr>
      <w:rFonts w:ascii="宋体" w:hAnsi="宋体" w:cs="Times New Roman"/>
      <w:sz w:val="24"/>
      <w:szCs w:val="20"/>
    </w:rPr>
  </w:style>
  <w:style w:type="paragraph" w:customStyle="1" w:styleId="22e">
    <w:name w:val="正文文本 22"/>
    <w:basedOn w:val="af1"/>
    <w:qFormat/>
    <w:pPr>
      <w:adjustRightInd w:val="0"/>
      <w:textAlignment w:val="baseline"/>
    </w:pPr>
    <w:rPr>
      <w:rFonts w:ascii="Calibri" w:hAnsi="Calibri" w:cs="Times New Roman"/>
      <w:kern w:val="0"/>
      <w:sz w:val="24"/>
      <w:szCs w:val="20"/>
    </w:rPr>
  </w:style>
  <w:style w:type="paragraph" w:customStyle="1" w:styleId="affffffffffffffffffffffffffffffffffc">
    <w:name w:val="表格非数字"/>
    <w:basedOn w:val="af1"/>
    <w:qFormat/>
    <w:pPr>
      <w:spacing w:line="360" w:lineRule="exact"/>
      <w:jc w:val="left"/>
    </w:pPr>
    <w:rPr>
      <w:rFonts w:ascii="Arial" w:hAnsi="Arial" w:cs="Times New Roman"/>
      <w:kern w:val="0"/>
      <w:szCs w:val="20"/>
    </w:rPr>
  </w:style>
  <w:style w:type="paragraph" w:customStyle="1" w:styleId="affffffffffffffffffffffffffffffffffd">
    <w:name w:val="方框"/>
    <w:basedOn w:val="af1"/>
    <w:qFormat/>
    <w:pPr>
      <w:widowControl/>
      <w:spacing w:line="0" w:lineRule="atLeast"/>
    </w:pPr>
    <w:rPr>
      <w:rFonts w:ascii="宋体" w:hAnsi="Calibri" w:cs="Times New Roman"/>
      <w:kern w:val="0"/>
      <w:sz w:val="24"/>
      <w:szCs w:val="20"/>
    </w:rPr>
  </w:style>
  <w:style w:type="paragraph" w:customStyle="1" w:styleId="3330505605">
    <w:name w:val="样式 样式 样式 标题 3标题 33 + 段前: 0.5 行 + 段前: 0.5 行 + 段前: 6 磅 段后: 0.5 行"/>
    <w:basedOn w:val="3330505"/>
    <w:qFormat/>
  </w:style>
  <w:style w:type="paragraph" w:customStyle="1" w:styleId="351">
    <w:name w:val="标题3.5"/>
    <w:basedOn w:val="af1"/>
    <w:qFormat/>
    <w:pPr>
      <w:widowControl/>
      <w:jc w:val="left"/>
    </w:pPr>
    <w:rPr>
      <w:rFonts w:ascii="Calibri" w:eastAsia="仿宋_GB2312" w:hAnsi="Calibri" w:cs="Times New Roman"/>
      <w:sz w:val="24"/>
      <w:szCs w:val="24"/>
    </w:rPr>
  </w:style>
  <w:style w:type="paragraph" w:customStyle="1" w:styleId="xl118">
    <w:name w:val="xl118"/>
    <w:basedOn w:val="af1"/>
    <w:qFormat/>
    <w:pPr>
      <w:widowControl/>
      <w:pBdr>
        <w:top w:val="single" w:sz="4" w:space="0" w:color="auto"/>
        <w:left w:val="single" w:sz="4" w:space="0" w:color="auto"/>
        <w:bottom w:val="single" w:sz="4" w:space="0" w:color="auto"/>
      </w:pBdr>
      <w:spacing w:before="100" w:beforeAutospacing="1" w:after="100" w:afterAutospacing="1"/>
      <w:jc w:val="center"/>
    </w:pPr>
    <w:rPr>
      <w:rFonts w:ascii="宋体" w:hAnsi="宋体" w:cs="宋体"/>
      <w:kern w:val="0"/>
      <w:sz w:val="20"/>
      <w:szCs w:val="20"/>
    </w:rPr>
  </w:style>
  <w:style w:type="paragraph" w:customStyle="1" w:styleId="affffffffffffffffffffffffffffffffffe">
    <w:name w:val="文本框文字"/>
    <w:basedOn w:val="af1"/>
    <w:qFormat/>
    <w:pPr>
      <w:widowControl/>
      <w:adjustRightInd w:val="0"/>
      <w:jc w:val="center"/>
      <w:textAlignment w:val="baseline"/>
    </w:pPr>
    <w:rPr>
      <w:rFonts w:ascii="仿宋_GB2312" w:hAnsi="仿宋_GB2312" w:cs="仿宋_GB2312"/>
      <w:kern w:val="0"/>
      <w:szCs w:val="20"/>
    </w:rPr>
  </w:style>
  <w:style w:type="paragraph" w:customStyle="1" w:styleId="1fffffffe">
    <w:name w:val="样式1－表头"/>
    <w:basedOn w:val="af1"/>
    <w:qFormat/>
    <w:pPr>
      <w:widowControl/>
      <w:adjustRightInd w:val="0"/>
      <w:snapToGrid w:val="0"/>
      <w:spacing w:beforeLines="50" w:afterLines="50" w:line="336" w:lineRule="auto"/>
      <w:jc w:val="center"/>
    </w:pPr>
    <w:rPr>
      <w:rFonts w:ascii="Calibri" w:eastAsia="黑体" w:hAnsi="Calibri" w:cs="Times New Roman"/>
      <w:spacing w:val="6"/>
      <w:sz w:val="24"/>
      <w:szCs w:val="20"/>
    </w:rPr>
  </w:style>
  <w:style w:type="paragraph" w:customStyle="1" w:styleId="242">
    <w:name w:val="样式 四号 行距: 固定值 24 磅"/>
    <w:basedOn w:val="af1"/>
    <w:qFormat/>
    <w:pPr>
      <w:widowControl/>
      <w:spacing w:line="480" w:lineRule="exact"/>
      <w:ind w:firstLineChars="200" w:firstLine="560"/>
      <w:jc w:val="left"/>
    </w:pPr>
    <w:rPr>
      <w:rFonts w:ascii="Calibri" w:hAnsi="Calibri" w:cs="Times New Roman"/>
      <w:sz w:val="24"/>
      <w:szCs w:val="20"/>
    </w:rPr>
  </w:style>
  <w:style w:type="paragraph" w:customStyle="1" w:styleId="205405">
    <w:name w:val="样式 样式 标题 2 + 段前: 0.5 行4 + 段前: 0.5 行"/>
    <w:basedOn w:val="af1"/>
    <w:qFormat/>
    <w:pPr>
      <w:widowControl/>
      <w:tabs>
        <w:tab w:val="left" w:pos="540"/>
      </w:tabs>
      <w:adjustRightInd w:val="0"/>
      <w:spacing w:before="163" w:line="360" w:lineRule="auto"/>
      <w:ind w:left="567" w:hanging="540"/>
      <w:jc w:val="left"/>
      <w:outlineLvl w:val="1"/>
    </w:pPr>
    <w:rPr>
      <w:rFonts w:ascii="仿宋_GB2312" w:eastAsia="楷体" w:hAnsi="仿宋_GB2312" w:cs="Verdana"/>
      <w:sz w:val="24"/>
      <w:szCs w:val="20"/>
    </w:rPr>
  </w:style>
  <w:style w:type="paragraph" w:customStyle="1" w:styleId="couv">
    <w:name w:val="couv"/>
    <w:basedOn w:val="af1"/>
    <w:qFormat/>
    <w:pPr>
      <w:widowControl/>
      <w:spacing w:before="120" w:after="120"/>
      <w:ind w:firstLineChars="200" w:firstLine="200"/>
      <w:jc w:val="center"/>
    </w:pPr>
    <w:rPr>
      <w:rFonts w:ascii="仿宋_GB2312" w:hAnsi="仿宋_GB2312" w:cs="仿宋_GB2312"/>
      <w:b/>
      <w:kern w:val="0"/>
      <w:sz w:val="40"/>
      <w:szCs w:val="20"/>
      <w:lang w:val="en-GB"/>
    </w:rPr>
  </w:style>
  <w:style w:type="paragraph" w:customStyle="1" w:styleId="CharCharCharCharCharChar13">
    <w:name w:val="Char Char Char Char Char Char13"/>
    <w:basedOn w:val="af1"/>
    <w:qFormat/>
    <w:pPr>
      <w:spacing w:line="360" w:lineRule="auto"/>
      <w:ind w:firstLineChars="200" w:firstLine="200"/>
    </w:pPr>
    <w:rPr>
      <w:rFonts w:ascii="宋体" w:hAnsi="宋体" w:cs="Times New Roman"/>
      <w:sz w:val="24"/>
      <w:szCs w:val="20"/>
    </w:rPr>
  </w:style>
  <w:style w:type="paragraph" w:customStyle="1" w:styleId="afffffffffffffffffffffffffffffffffff">
    <w:name w:val="三章正文"/>
    <w:basedOn w:val="affe"/>
    <w:qFormat/>
    <w:pPr>
      <w:spacing w:after="0" w:line="360" w:lineRule="auto"/>
      <w:ind w:firstLineChars="200" w:firstLine="200"/>
    </w:pPr>
    <w:rPr>
      <w:rFonts w:ascii="Calibri" w:eastAsia="宋体" w:hAnsi="Calibri" w:cs="Times New Roman"/>
      <w:sz w:val="24"/>
      <w:szCs w:val="20"/>
    </w:rPr>
  </w:style>
  <w:style w:type="paragraph" w:customStyle="1" w:styleId="p19">
    <w:name w:val="p19"/>
    <w:basedOn w:val="af1"/>
    <w:qFormat/>
    <w:pPr>
      <w:widowControl/>
      <w:jc w:val="center"/>
    </w:pPr>
    <w:rPr>
      <w:rFonts w:ascii="Calibri" w:hAnsi="Calibri" w:cs="Times New Roman"/>
      <w:b/>
      <w:bCs/>
      <w:kern w:val="0"/>
      <w:szCs w:val="24"/>
    </w:rPr>
  </w:style>
  <w:style w:type="paragraph" w:customStyle="1" w:styleId="afffffffffffffffffffffffffffffffffff0">
    <w:name w:val="表样"/>
    <w:basedOn w:val="af1"/>
    <w:qFormat/>
    <w:pPr>
      <w:adjustRightInd w:val="0"/>
      <w:snapToGrid w:val="0"/>
      <w:spacing w:line="360" w:lineRule="auto"/>
      <w:jc w:val="center"/>
      <w:textAlignment w:val="baseline"/>
    </w:pPr>
    <w:rPr>
      <w:rFonts w:ascii="Calibri" w:hAnsi="Calibri" w:cs="Times New Roman"/>
      <w:kern w:val="0"/>
      <w:sz w:val="24"/>
      <w:szCs w:val="20"/>
    </w:rPr>
  </w:style>
  <w:style w:type="paragraph" w:customStyle="1" w:styleId="2fffffff4">
    <w:name w:val="标题2"/>
    <w:basedOn w:val="2b"/>
    <w:qFormat/>
    <w:pPr>
      <w:overflowPunct w:val="0"/>
      <w:topLinePunct/>
      <w:spacing w:before="100" w:beforeAutospacing="1" w:line="360" w:lineRule="auto"/>
      <w:ind w:leftChars="0" w:left="0"/>
      <w:outlineLvl w:val="1"/>
    </w:pPr>
    <w:rPr>
      <w:rFonts w:eastAsia="黑体"/>
      <w:b/>
      <w:bCs/>
      <w:sz w:val="30"/>
      <w:szCs w:val="30"/>
    </w:rPr>
  </w:style>
  <w:style w:type="paragraph" w:customStyle="1" w:styleId="afffffffffffffffffffffffffffffffffff1">
    <w:name w:val="环评节标题后小于节的标题"/>
    <w:basedOn w:val="affffffffffffff7"/>
    <w:qFormat/>
    <w:pPr>
      <w:spacing w:before="0"/>
    </w:pPr>
  </w:style>
  <w:style w:type="paragraph" w:customStyle="1" w:styleId="TimesNewRoman085">
    <w:name w:val="样式 样式 注释标题 + (西文) Times New Roman (中文) 黑体 小四 非加粗 首行缩进:  0.85 厘米...."/>
    <w:basedOn w:val="af1"/>
    <w:qFormat/>
    <w:pPr>
      <w:spacing w:line="360" w:lineRule="auto"/>
      <w:jc w:val="center"/>
    </w:pPr>
    <w:rPr>
      <w:rFonts w:ascii="Calibri" w:eastAsia="黑体" w:hAnsi="Calibri" w:cs="宋体"/>
      <w:color w:val="000000"/>
      <w:szCs w:val="20"/>
    </w:rPr>
  </w:style>
  <w:style w:type="paragraph" w:customStyle="1" w:styleId="afffffffffffffffffffffffffffffffffff2">
    <w:name w:val="正文样式一"/>
    <w:basedOn w:val="af1"/>
    <w:qFormat/>
    <w:pPr>
      <w:widowControl/>
      <w:adjustRightInd w:val="0"/>
      <w:spacing w:line="400" w:lineRule="atLeast"/>
      <w:ind w:firstLine="510"/>
      <w:jc w:val="left"/>
      <w:textAlignment w:val="baseline"/>
    </w:pPr>
    <w:rPr>
      <w:rFonts w:ascii="仿宋_GB2312" w:hAnsi="仿宋_GB2312" w:cs="仿宋_GB2312"/>
      <w:kern w:val="0"/>
      <w:sz w:val="24"/>
      <w:szCs w:val="20"/>
    </w:rPr>
  </w:style>
  <w:style w:type="paragraph" w:customStyle="1" w:styleId="ParaCharCharCharCharCharCharCharCharCharChar">
    <w:name w:val="默认段落字体 Para Char Char Char Char Char Char Char Char Char Char"/>
    <w:basedOn w:val="af1"/>
    <w:qFormat/>
    <w:rPr>
      <w:rFonts w:ascii="Calibri" w:hAnsi="Calibri" w:cs="Times New Roman"/>
      <w:szCs w:val="24"/>
    </w:rPr>
  </w:style>
  <w:style w:type="paragraph" w:customStyle="1" w:styleId="font7">
    <w:name w:val="font7"/>
    <w:basedOn w:val="af1"/>
    <w:qFormat/>
    <w:pPr>
      <w:widowControl/>
      <w:spacing w:before="100" w:beforeAutospacing="1" w:after="100" w:afterAutospacing="1"/>
      <w:jc w:val="left"/>
    </w:pPr>
    <w:rPr>
      <w:rFonts w:ascii="Calibri" w:eastAsia="Arial Unicode MS" w:hAnsi="Calibri" w:cs="Times New Roman"/>
      <w:kern w:val="0"/>
      <w:sz w:val="20"/>
      <w:szCs w:val="20"/>
    </w:rPr>
  </w:style>
  <w:style w:type="paragraph" w:customStyle="1" w:styleId="p15">
    <w:name w:val="p15"/>
    <w:basedOn w:val="af1"/>
    <w:qFormat/>
    <w:pPr>
      <w:widowControl/>
      <w:spacing w:line="360" w:lineRule="auto"/>
      <w:ind w:firstLine="420"/>
    </w:pPr>
    <w:rPr>
      <w:rFonts w:ascii="宋体" w:hAnsi="宋体" w:cs="宋体"/>
      <w:spacing w:val="-2"/>
      <w:kern w:val="0"/>
      <w:sz w:val="24"/>
      <w:szCs w:val="24"/>
    </w:rPr>
  </w:style>
  <w:style w:type="paragraph" w:customStyle="1" w:styleId="CharCharCharCharCharChar31">
    <w:name w:val="Char Char Char Char Char Char31"/>
    <w:basedOn w:val="af1"/>
    <w:qFormat/>
    <w:pPr>
      <w:spacing w:line="360" w:lineRule="auto"/>
      <w:ind w:firstLineChars="200" w:firstLine="200"/>
    </w:pPr>
    <w:rPr>
      <w:rFonts w:ascii="宋体" w:hAnsi="宋体" w:cs="Times New Roman" w:hint="eastAsia"/>
      <w:sz w:val="24"/>
      <w:szCs w:val="20"/>
    </w:rPr>
  </w:style>
  <w:style w:type="paragraph" w:customStyle="1" w:styleId="2224">
    <w:name w:val="样式 样式 样式 首行缩进:  2 字符 + 首行缩进:  2 字符 + 首行缩进:  2 字符"/>
    <w:basedOn w:val="222"/>
    <w:qFormat/>
    <w:pPr>
      <w:widowControl/>
      <w:spacing w:line="240" w:lineRule="auto"/>
      <w:ind w:firstLine="567"/>
      <w:jc w:val="left"/>
    </w:pPr>
    <w:rPr>
      <w:rFonts w:ascii="宋体" w:hAnsi="Times New Roman"/>
      <w:sz w:val="27"/>
      <w:szCs w:val="20"/>
    </w:rPr>
  </w:style>
  <w:style w:type="paragraph" w:customStyle="1" w:styleId="2fffffff5">
    <w:name w:val="样式 黑色 首行缩进:  2 字符"/>
    <w:basedOn w:val="af1"/>
    <w:qFormat/>
    <w:pPr>
      <w:widowControl/>
      <w:spacing w:line="360" w:lineRule="auto"/>
      <w:ind w:firstLineChars="200" w:firstLine="560"/>
      <w:jc w:val="left"/>
    </w:pPr>
    <w:rPr>
      <w:rFonts w:ascii="Verdana" w:hAnsi="仿宋_GB2312" w:cs="Verdana"/>
      <w:color w:val="000000"/>
      <w:sz w:val="28"/>
      <w:szCs w:val="28"/>
    </w:rPr>
  </w:style>
  <w:style w:type="paragraph" w:customStyle="1" w:styleId="Char112">
    <w:name w:val="Char11"/>
    <w:basedOn w:val="af1"/>
    <w:qFormat/>
    <w:rPr>
      <w:rFonts w:ascii="Calibri" w:hAnsi="Calibri" w:cs="Times New Roman"/>
      <w:sz w:val="24"/>
      <w:szCs w:val="20"/>
    </w:rPr>
  </w:style>
  <w:style w:type="paragraph" w:customStyle="1" w:styleId="msonospacing0">
    <w:name w:val="msonospacing"/>
    <w:qFormat/>
    <w:rPr>
      <w:rFonts w:ascii="Times New Roman" w:eastAsia="宋体" w:hAnsi="Times New Roman" w:cs="Times New Roman"/>
      <w:sz w:val="22"/>
      <w:szCs w:val="22"/>
    </w:rPr>
  </w:style>
  <w:style w:type="paragraph" w:customStyle="1" w:styleId="512">
    <w:name w:val="样式 加粗 居中 段前: 5 磅 行距: 最小值 12 磅"/>
    <w:basedOn w:val="af1"/>
    <w:qFormat/>
    <w:pPr>
      <w:adjustRightInd w:val="0"/>
      <w:spacing w:before="100" w:line="240" w:lineRule="atLeast"/>
      <w:jc w:val="center"/>
      <w:textAlignment w:val="baseline"/>
    </w:pPr>
    <w:rPr>
      <w:rFonts w:ascii="Calibri" w:hAnsi="Calibri" w:cs="宋体"/>
      <w:b/>
      <w:bCs/>
      <w:kern w:val="0"/>
      <w:sz w:val="24"/>
      <w:szCs w:val="20"/>
    </w:rPr>
  </w:style>
  <w:style w:type="paragraph" w:customStyle="1" w:styleId="303">
    <w:name w:val="样式 标题 3 + 黑色 段前: 0 磅"/>
    <w:basedOn w:val="31"/>
    <w:qFormat/>
    <w:pPr>
      <w:keepLines w:val="0"/>
      <w:widowControl/>
      <w:spacing w:before="0" w:after="0" w:line="360" w:lineRule="auto"/>
      <w:ind w:firstLineChars="200" w:firstLine="1044"/>
      <w:jc w:val="left"/>
      <w:textAlignment w:val="baseline"/>
    </w:pPr>
    <w:rPr>
      <w:rFonts w:ascii="Times New Roman" w:eastAsia="黑体" w:hAnsi="Times New Roman" w:cs="宋体"/>
      <w:b w:val="0"/>
      <w:color w:val="000000"/>
      <w:kern w:val="0"/>
      <w:sz w:val="30"/>
      <w:szCs w:val="20"/>
      <w:lang w:bidi="en-US"/>
    </w:rPr>
  </w:style>
  <w:style w:type="paragraph" w:customStyle="1" w:styleId="1050510">
    <w:name w:val="样式 标题 1 + 段前: 0.5 行 段后: 0.5 行1"/>
    <w:basedOn w:val="1"/>
    <w:qFormat/>
    <w:pPr>
      <w:spacing w:beforeLines="50" w:before="340" w:afterLines="50" w:after="330" w:line="440" w:lineRule="exact"/>
    </w:pPr>
    <w:rPr>
      <w:rFonts w:ascii="Times New Roman" w:eastAsia="华文中宋" w:cs="宋体"/>
      <w:kern w:val="44"/>
      <w:sz w:val="32"/>
      <w:szCs w:val="32"/>
    </w:rPr>
  </w:style>
  <w:style w:type="paragraph" w:customStyle="1" w:styleId="319">
    <w:name w:val="无间隔31"/>
    <w:qFormat/>
    <w:pPr>
      <w:widowControl w:val="0"/>
      <w:adjustRightInd w:val="0"/>
    </w:pPr>
    <w:rPr>
      <w:rFonts w:ascii="Calibri" w:eastAsia="宋体" w:hAnsi="Calibri" w:cs="Times New Roman"/>
      <w:kern w:val="2"/>
      <w:sz w:val="21"/>
      <w:szCs w:val="24"/>
    </w:rPr>
  </w:style>
  <w:style w:type="paragraph" w:customStyle="1" w:styleId="xybChar0">
    <w:name w:val="xyb自建正文 Char"/>
    <w:basedOn w:val="af1"/>
    <w:qFormat/>
    <w:pPr>
      <w:tabs>
        <w:tab w:val="left" w:pos="1440"/>
        <w:tab w:val="left" w:pos="8280"/>
      </w:tabs>
      <w:spacing w:line="360" w:lineRule="auto"/>
      <w:ind w:firstLineChars="200" w:firstLine="472"/>
    </w:pPr>
    <w:rPr>
      <w:rFonts w:ascii="宋体" w:hAnsi="Calibri" w:cs="Times New Roman"/>
      <w:spacing w:val="-2"/>
      <w:kern w:val="0"/>
      <w:sz w:val="24"/>
      <w:szCs w:val="20"/>
    </w:rPr>
  </w:style>
  <w:style w:type="paragraph" w:customStyle="1" w:styleId="-12">
    <w:name w:val="表格标题-12"/>
    <w:basedOn w:val="-xin"/>
    <w:next w:val="af1"/>
    <w:qFormat/>
    <w:pPr>
      <w:numPr>
        <w:numId w:val="36"/>
      </w:numPr>
      <w:tabs>
        <w:tab w:val="left" w:pos="851"/>
      </w:tabs>
      <w:adjustRightInd w:val="0"/>
      <w:spacing w:line="360" w:lineRule="auto"/>
    </w:pPr>
    <w:rPr>
      <w:rFonts w:ascii="Times New Roman" w:hAnsi="Times New Roman"/>
      <w:sz w:val="24"/>
    </w:rPr>
  </w:style>
  <w:style w:type="paragraph" w:customStyle="1" w:styleId="1A0">
    <w:name w:val="列表 1A"/>
    <w:basedOn w:val="1fffff0"/>
    <w:qFormat/>
    <w:pPr>
      <w:ind w:left="907" w:hanging="567"/>
    </w:pPr>
  </w:style>
  <w:style w:type="paragraph" w:customStyle="1" w:styleId="2A0">
    <w:name w:val="列表 2A"/>
    <w:basedOn w:val="25"/>
    <w:qFormat/>
    <w:pPr>
      <w:widowControl/>
      <w:tabs>
        <w:tab w:val="left" w:pos="1335"/>
      </w:tabs>
      <w:spacing w:beforeAutospacing="1" w:after="100" w:afterAutospacing="1" w:line="288" w:lineRule="auto"/>
      <w:ind w:leftChars="0" w:left="1335" w:firstLineChars="0" w:hanging="705"/>
      <w:jc w:val="left"/>
    </w:pPr>
    <w:rPr>
      <w:rFonts w:ascii="Courier New" w:eastAsia="宋体" w:hAnsi="Courier New" w:cs="仿宋_GB2312"/>
      <w:color w:val="FFFF99"/>
      <w:kern w:val="2"/>
      <w:sz w:val="24"/>
      <w:szCs w:val="20"/>
    </w:rPr>
  </w:style>
  <w:style w:type="paragraph" w:customStyle="1" w:styleId="405057878">
    <w:name w:val="样式 样式 标题 4 + 段前: 0.5 行 段后: 0.5 行 + 段前: 7.8 磅 段后: 7.8 磅"/>
    <w:basedOn w:val="40505"/>
    <w:qFormat/>
    <w:rPr>
      <w:szCs w:val="20"/>
    </w:rPr>
  </w:style>
  <w:style w:type="paragraph" w:customStyle="1" w:styleId="CharCharCharCharCharChar1CharCharChar1CharCharCharCharCharChar1">
    <w:name w:val="Char Char Char Char Char Char1 Char Char Char1 Char Char Char Char Char Char1"/>
    <w:basedOn w:val="af1"/>
    <w:qFormat/>
    <w:pPr>
      <w:spacing w:line="360" w:lineRule="auto"/>
      <w:ind w:firstLineChars="200" w:firstLine="200"/>
    </w:pPr>
    <w:rPr>
      <w:rFonts w:ascii="宋体" w:hAnsi="宋体" w:cs="Times New Roman" w:hint="eastAsia"/>
      <w:sz w:val="24"/>
      <w:szCs w:val="20"/>
    </w:rPr>
  </w:style>
  <w:style w:type="paragraph" w:customStyle="1" w:styleId="1117">
    <w:name w:val="样式 左侧:  1 字符 右侧:  1 字符1"/>
    <w:basedOn w:val="af1"/>
    <w:qFormat/>
    <w:pPr>
      <w:tabs>
        <w:tab w:val="left" w:pos="6660"/>
        <w:tab w:val="left" w:pos="8370"/>
      </w:tabs>
      <w:adjustRightInd w:val="0"/>
      <w:spacing w:line="360" w:lineRule="auto"/>
      <w:ind w:rightChars="-15" w:right="-36" w:firstLineChars="187" w:firstLine="449"/>
    </w:pPr>
    <w:rPr>
      <w:rFonts w:ascii="Calibri" w:hAnsi="Calibri" w:cs="宋体"/>
      <w:color w:val="000000"/>
      <w:sz w:val="24"/>
      <w:szCs w:val="20"/>
    </w:rPr>
  </w:style>
  <w:style w:type="paragraph" w:customStyle="1" w:styleId="127">
    <w:name w:val="排序（1）（2）"/>
    <w:basedOn w:val="af1"/>
    <w:qFormat/>
    <w:pPr>
      <w:widowControl/>
      <w:spacing w:line="460" w:lineRule="atLeast"/>
      <w:jc w:val="left"/>
    </w:pPr>
    <w:rPr>
      <w:rFonts w:ascii="Calibri" w:hAnsi="Calibri" w:cs="Times New Roman"/>
      <w:spacing w:val="12"/>
      <w:sz w:val="24"/>
      <w:szCs w:val="24"/>
    </w:rPr>
  </w:style>
  <w:style w:type="paragraph" w:customStyle="1" w:styleId="afffffffffffffffffffffffffffffffffff3">
    <w:name w:val="最新泸县焦化表格文字"/>
    <w:basedOn w:val="af1"/>
    <w:qFormat/>
    <w:pPr>
      <w:keepNext/>
      <w:keepLines/>
      <w:widowControl/>
      <w:autoSpaceDE w:val="0"/>
      <w:autoSpaceDN w:val="0"/>
      <w:adjustRightInd w:val="0"/>
      <w:snapToGrid w:val="0"/>
      <w:jc w:val="left"/>
    </w:pPr>
    <w:rPr>
      <w:rFonts w:ascii="Calibri" w:hAnsi="Calibri" w:cs="Times New Roman"/>
      <w:bCs/>
      <w:color w:val="0000FF"/>
      <w:szCs w:val="21"/>
    </w:rPr>
  </w:style>
  <w:style w:type="paragraph" w:customStyle="1" w:styleId="-f5">
    <w:name w:val="验收报告-正文"/>
    <w:qFormat/>
    <w:pPr>
      <w:adjustRightInd w:val="0"/>
      <w:snapToGrid w:val="0"/>
      <w:spacing w:line="360" w:lineRule="auto"/>
      <w:ind w:firstLineChars="200" w:firstLine="200"/>
    </w:pPr>
    <w:rPr>
      <w:rFonts w:ascii="宋体" w:eastAsia="宋体" w:hAnsi="宋体" w:cs="Times New Roman"/>
      <w:sz w:val="28"/>
      <w:szCs w:val="24"/>
    </w:rPr>
  </w:style>
  <w:style w:type="paragraph" w:customStyle="1" w:styleId="2fffffff6">
    <w:name w:val="样式 华文中宋 首行缩进:  2 字符"/>
    <w:basedOn w:val="af1"/>
    <w:qFormat/>
    <w:pPr>
      <w:ind w:firstLineChars="200" w:firstLine="200"/>
    </w:pPr>
    <w:rPr>
      <w:rFonts w:ascii="华文中宋" w:eastAsia="华文中宋" w:hAnsi="华文中宋" w:cs="宋体"/>
      <w:sz w:val="24"/>
      <w:szCs w:val="20"/>
    </w:rPr>
  </w:style>
  <w:style w:type="paragraph" w:customStyle="1" w:styleId="4K">
    <w:name w:val="列表 4K"/>
    <w:basedOn w:val="45"/>
    <w:qFormat/>
    <w:pPr>
      <w:widowControl/>
      <w:tabs>
        <w:tab w:val="left" w:pos="1000"/>
      </w:tabs>
      <w:adjustRightInd/>
      <w:spacing w:afterLines="30" w:line="288" w:lineRule="auto"/>
      <w:ind w:left="1000" w:hanging="720"/>
      <w:jc w:val="left"/>
      <w:textAlignment w:val="auto"/>
    </w:pPr>
    <w:rPr>
      <w:rFonts w:ascii="Courier New" w:hAnsi="Courier New" w:cs="仿宋_GB2312"/>
      <w:color w:val="CCFFFF"/>
      <w:kern w:val="2"/>
    </w:rPr>
  </w:style>
  <w:style w:type="paragraph" w:customStyle="1" w:styleId="afffffffffffffffffffffffffffffffffff4">
    <w:name w:val="副题目"/>
    <w:basedOn w:val="afffc"/>
    <w:qFormat/>
    <w:pPr>
      <w:keepNext/>
      <w:keepLines/>
      <w:widowControl/>
      <w:spacing w:beforeLines="100" w:after="100" w:afterAutospacing="1" w:line="600" w:lineRule="atLeast"/>
      <w:outlineLvl w:val="9"/>
    </w:pPr>
    <w:rPr>
      <w:rFonts w:ascii="Courier New" w:eastAsia="华文中宋" w:hAnsi="Courier New" w:cs="仿宋_GB2312"/>
      <w:b w:val="0"/>
      <w:iCs/>
      <w:color w:val="CC99FF"/>
      <w:spacing w:val="36"/>
      <w:sz w:val="36"/>
      <w:lang w:bidi="he-IL"/>
    </w:rPr>
  </w:style>
  <w:style w:type="paragraph" w:customStyle="1" w:styleId="MyList-5">
    <w:name w:val="MyList-5"/>
    <w:basedOn w:val="MyList-4"/>
    <w:qFormat/>
    <w:pPr>
      <w:numPr>
        <w:ilvl w:val="4"/>
      </w:numPr>
    </w:pPr>
  </w:style>
  <w:style w:type="paragraph" w:customStyle="1" w:styleId="PSPSPSPS">
    <w:name w:val="PSPSPSPS"/>
    <w:basedOn w:val="af1"/>
    <w:qFormat/>
    <w:pPr>
      <w:adjustRightInd w:val="0"/>
      <w:spacing w:line="600" w:lineRule="atLeast"/>
      <w:textAlignment w:val="baseline"/>
    </w:pPr>
    <w:rPr>
      <w:rFonts w:ascii="Calibri" w:hAnsi="Calibri" w:cs="Times New Roman"/>
      <w:kern w:val="0"/>
      <w:sz w:val="28"/>
      <w:szCs w:val="20"/>
    </w:rPr>
  </w:style>
  <w:style w:type="paragraph" w:customStyle="1" w:styleId="2050">
    <w:name w:val="样式 标题 2 + 段后: 0.5 行"/>
    <w:basedOn w:val="22"/>
    <w:qFormat/>
    <w:pPr>
      <w:keepNext w:val="0"/>
      <w:keepLines w:val="0"/>
      <w:widowControl/>
      <w:adjustRightInd w:val="0"/>
      <w:snapToGrid w:val="0"/>
      <w:spacing w:beforeLines="50" w:after="0" w:line="240" w:lineRule="auto"/>
      <w:ind w:firstLine="567"/>
    </w:pPr>
    <w:rPr>
      <w:rFonts w:ascii="仿宋_GB2312" w:eastAsia="Times New Roman" w:hAnsi="仿宋_GB2312" w:cs="仿宋_GB2312"/>
      <w:bCs w:val="0"/>
      <w:color w:val="000000"/>
      <w:sz w:val="30"/>
    </w:rPr>
  </w:style>
  <w:style w:type="paragraph" w:customStyle="1" w:styleId="Bt10">
    <w:name w:val="Bt1"/>
    <w:basedOn w:val="1"/>
    <w:next w:val="Zw"/>
    <w:qFormat/>
    <w:pPr>
      <w:widowControl/>
      <w:adjustRightInd w:val="0"/>
      <w:snapToGrid w:val="0"/>
      <w:spacing w:beforeLines="50" w:before="340" w:after="240"/>
    </w:pPr>
    <w:rPr>
      <w:rFonts w:ascii="黑体" w:eastAsia="黑体"/>
      <w:b w:val="0"/>
      <w:bCs w:val="0"/>
      <w:snapToGrid w:val="0"/>
      <w:color w:val="000000"/>
      <w:kern w:val="0"/>
      <w:szCs w:val="20"/>
    </w:rPr>
  </w:style>
  <w:style w:type="paragraph" w:customStyle="1" w:styleId="afffffffffffffffffffffffffffffffffff5">
    <w:name w:val="缩五"/>
    <w:basedOn w:val="af1"/>
    <w:qFormat/>
    <w:pPr>
      <w:tabs>
        <w:tab w:val="right" w:pos="8925"/>
      </w:tabs>
      <w:spacing w:line="550" w:lineRule="exact"/>
      <w:ind w:firstLineChars="200" w:firstLine="560"/>
    </w:pPr>
    <w:rPr>
      <w:rFonts w:ascii="Calibri" w:hAnsi="Calibri" w:cs="Times New Roman"/>
      <w:color w:val="000000"/>
      <w:sz w:val="28"/>
      <w:szCs w:val="28"/>
    </w:rPr>
  </w:style>
  <w:style w:type="paragraph" w:customStyle="1" w:styleId="edri-titlesecong">
    <w:name w:val="edri-title secong"/>
    <w:basedOn w:val="af1"/>
    <w:qFormat/>
    <w:pPr>
      <w:widowControl/>
      <w:tabs>
        <w:tab w:val="left" w:pos="2"/>
        <w:tab w:val="left" w:pos="945"/>
      </w:tabs>
      <w:spacing w:beforeLines="50" w:line="300" w:lineRule="auto"/>
      <w:ind w:left="966" w:hanging="964"/>
      <w:jc w:val="left"/>
      <w:outlineLvl w:val="1"/>
    </w:pPr>
    <w:rPr>
      <w:rFonts w:ascii="????" w:hAnsi="????" w:cs="仿宋_GB2312"/>
      <w:b/>
      <w:bCs/>
      <w:kern w:val="0"/>
      <w:sz w:val="28"/>
      <w:szCs w:val="20"/>
    </w:rPr>
  </w:style>
  <w:style w:type="paragraph" w:customStyle="1" w:styleId="font11">
    <w:name w:val="font11"/>
    <w:basedOn w:val="af1"/>
    <w:qFormat/>
    <w:pPr>
      <w:widowControl/>
      <w:spacing w:before="100" w:beforeAutospacing="1" w:after="100" w:afterAutospacing="1"/>
      <w:jc w:val="left"/>
    </w:pPr>
    <w:rPr>
      <w:rFonts w:ascii="宋体" w:hAnsi="宋体" w:cs="宋体"/>
      <w:color w:val="FF6600"/>
      <w:kern w:val="0"/>
      <w:sz w:val="24"/>
      <w:szCs w:val="24"/>
    </w:rPr>
  </w:style>
  <w:style w:type="paragraph" w:customStyle="1" w:styleId="Charfffffffc">
    <w:name w:val="报告正文 Char"/>
    <w:basedOn w:val="af1"/>
    <w:qFormat/>
    <w:pPr>
      <w:adjustRightInd w:val="0"/>
      <w:snapToGrid w:val="0"/>
      <w:spacing w:line="300" w:lineRule="auto"/>
    </w:pPr>
    <w:rPr>
      <w:rFonts w:ascii="宋体" w:hAnsi="Calibri" w:cs="Times New Roman"/>
      <w:sz w:val="28"/>
      <w:szCs w:val="20"/>
    </w:rPr>
  </w:style>
  <w:style w:type="paragraph" w:customStyle="1" w:styleId="afffffffffffffffffffffffffffffffffff6">
    <w:name w:val="自定义缩进"/>
    <w:basedOn w:val="af1"/>
    <w:qFormat/>
    <w:pPr>
      <w:widowControl/>
      <w:spacing w:line="360" w:lineRule="auto"/>
      <w:ind w:firstLineChars="200" w:firstLine="480"/>
      <w:jc w:val="left"/>
    </w:pPr>
    <w:rPr>
      <w:rFonts w:ascii="宋体" w:hAnsi="宋体" w:cs="Times New Roman"/>
      <w:kern w:val="0"/>
      <w:sz w:val="24"/>
      <w:szCs w:val="24"/>
    </w:rPr>
  </w:style>
  <w:style w:type="paragraph" w:customStyle="1" w:styleId="Textecourant">
    <w:name w:val="!Texte courant"/>
    <w:qFormat/>
    <w:pPr>
      <w:spacing w:before="120" w:line="280" w:lineRule="atLeast"/>
      <w:jc w:val="both"/>
    </w:pPr>
    <w:rPr>
      <w:rFonts w:ascii="仿宋_GB2312" w:eastAsia="宋体" w:hAnsi="仿宋_GB2312" w:cs="仿宋_GB2312"/>
      <w:sz w:val="24"/>
      <w:lang w:val="fr-FR" w:eastAsia="en-US"/>
    </w:rPr>
  </w:style>
  <w:style w:type="paragraph" w:customStyle="1" w:styleId="afffffffffffffffffffffffffffffffffff7">
    <w:name w:val="框图内容"/>
    <w:basedOn w:val="af1"/>
    <w:qFormat/>
    <w:pPr>
      <w:widowControl/>
      <w:jc w:val="center"/>
    </w:pPr>
    <w:rPr>
      <w:rFonts w:ascii="Verdana" w:hAnsi="仿宋_GB2312" w:cs="仿宋_GB2312"/>
      <w:szCs w:val="24"/>
      <w:lang w:val="en-GB"/>
    </w:rPr>
  </w:style>
  <w:style w:type="paragraph" w:customStyle="1" w:styleId="z-TopofForm1">
    <w:name w:val="z-Top of Form1"/>
    <w:next w:val="af1"/>
    <w:qFormat/>
    <w:pPr>
      <w:widowControl w:val="0"/>
      <w:pBdr>
        <w:bottom w:val="double" w:sz="6" w:space="0" w:color="000000"/>
      </w:pBdr>
      <w:autoSpaceDE w:val="0"/>
      <w:autoSpaceDN w:val="0"/>
      <w:adjustRightInd w:val="0"/>
      <w:jc w:val="center"/>
    </w:pPr>
    <w:rPr>
      <w:rFonts w:ascii="宋体" w:eastAsia="宋体" w:hAnsi="Tms Rmn" w:cs="Times New Roman"/>
      <w:vanish/>
      <w:sz w:val="16"/>
    </w:rPr>
  </w:style>
  <w:style w:type="paragraph" w:customStyle="1" w:styleId="DefinitionTerm">
    <w:name w:val="Definition Term"/>
    <w:basedOn w:val="af1"/>
    <w:next w:val="af1"/>
    <w:qFormat/>
    <w:pPr>
      <w:autoSpaceDE w:val="0"/>
      <w:autoSpaceDN w:val="0"/>
      <w:adjustRightInd w:val="0"/>
      <w:jc w:val="left"/>
    </w:pPr>
    <w:rPr>
      <w:rFonts w:ascii="Calibri" w:hAnsi="Calibri" w:cs="Times New Roman"/>
      <w:kern w:val="0"/>
      <w:sz w:val="24"/>
      <w:szCs w:val="20"/>
    </w:rPr>
  </w:style>
  <w:style w:type="paragraph" w:customStyle="1" w:styleId="afffffffffffffffffffffffffffffffffff8">
    <w:name w:val="+++++正文"/>
    <w:basedOn w:val="af1"/>
    <w:qFormat/>
    <w:pPr>
      <w:spacing w:line="360" w:lineRule="auto"/>
      <w:ind w:firstLineChars="200" w:firstLine="200"/>
    </w:pPr>
    <w:rPr>
      <w:rFonts w:ascii="Calibri" w:hAnsi="Calibri" w:cs="Times New Roman"/>
      <w:sz w:val="24"/>
      <w:szCs w:val="24"/>
    </w:rPr>
  </w:style>
  <w:style w:type="paragraph" w:customStyle="1" w:styleId="afffffffffffffffffffffffffffffffffff9">
    <w:name w:val="我的样式"/>
    <w:basedOn w:val="af1"/>
    <w:qFormat/>
    <w:pPr>
      <w:tabs>
        <w:tab w:val="left" w:pos="360"/>
      </w:tabs>
      <w:ind w:left="360" w:hanging="360"/>
    </w:pPr>
    <w:rPr>
      <w:rFonts w:ascii="Calibri" w:hAnsi="Calibri" w:cs="Times New Roman"/>
      <w:szCs w:val="24"/>
    </w:rPr>
  </w:style>
  <w:style w:type="paragraph" w:customStyle="1" w:styleId="CharCharCharCharCharCharCharCharCharCharCharCharCharCharCharCharCharChar1CharCharCharChar">
    <w:name w:val="Char Char Char Char Char Char Char Char Char Char Char Char Char Char Char Char Char Char1 Char Char Char Char"/>
    <w:basedOn w:val="af1"/>
    <w:qFormat/>
    <w:rPr>
      <w:rFonts w:ascii="Calibri" w:hAnsi="Calibri" w:cs="Times New Roman"/>
      <w:szCs w:val="24"/>
    </w:rPr>
  </w:style>
  <w:style w:type="paragraph" w:customStyle="1" w:styleId="2fffffff7">
    <w:name w:val="样式 标题 2节 + 左 行距: 单倍行距"/>
    <w:basedOn w:val="22"/>
    <w:qFormat/>
    <w:pPr>
      <w:widowControl/>
      <w:tabs>
        <w:tab w:val="left" w:pos="576"/>
      </w:tabs>
      <w:autoSpaceDE w:val="0"/>
      <w:autoSpaceDN w:val="0"/>
      <w:spacing w:before="120" w:after="120" w:line="360" w:lineRule="exact"/>
      <w:ind w:left="576" w:hanging="576"/>
      <w:jc w:val="left"/>
      <w:textAlignment w:val="bottom"/>
    </w:pPr>
    <w:rPr>
      <w:rFonts w:cs="宋体"/>
      <w:b w:val="0"/>
      <w:bCs w:val="0"/>
      <w:kern w:val="0"/>
      <w:sz w:val="28"/>
      <w:szCs w:val="28"/>
    </w:rPr>
  </w:style>
  <w:style w:type="paragraph" w:customStyle="1" w:styleId="2fffffff8">
    <w:name w:val="內文縮排 2"/>
    <w:basedOn w:val="aff0"/>
    <w:qFormat/>
    <w:pPr>
      <w:widowControl/>
      <w:adjustRightInd/>
      <w:spacing w:before="120" w:line="300" w:lineRule="auto"/>
      <w:ind w:left="794" w:firstLineChars="0" w:firstLine="0"/>
      <w:jc w:val="left"/>
      <w:textAlignment w:val="auto"/>
    </w:pPr>
    <w:rPr>
      <w:rFonts w:ascii="Courier New" w:hAnsi="Courier New" w:cs="仿宋_GB2312"/>
      <w:bCs/>
      <w:spacing w:val="20"/>
      <w:sz w:val="24"/>
      <w:lang w:eastAsia="zh-TW"/>
    </w:rPr>
  </w:style>
  <w:style w:type="paragraph" w:customStyle="1" w:styleId="w">
    <w:name w:val="w正文"/>
    <w:basedOn w:val="af1"/>
    <w:qFormat/>
    <w:pPr>
      <w:spacing w:line="360" w:lineRule="auto"/>
      <w:ind w:firstLineChars="200" w:firstLine="496"/>
    </w:pPr>
    <w:rPr>
      <w:rFonts w:ascii="Calibri" w:hAnsi="Calibri" w:cs="Times New Roman"/>
      <w:spacing w:val="4"/>
      <w:sz w:val="24"/>
      <w:szCs w:val="20"/>
    </w:rPr>
  </w:style>
  <w:style w:type="paragraph" w:customStyle="1" w:styleId="3010">
    <w:name w:val="样式 样式 标题 3 + 首行缩进:  0 厘米1 + 首行缩进:  0 厘米"/>
    <w:basedOn w:val="3011"/>
    <w:qFormat/>
    <w:pPr>
      <w:ind w:firstLine="100"/>
    </w:pPr>
  </w:style>
  <w:style w:type="paragraph" w:customStyle="1" w:styleId="3011">
    <w:name w:val="样式 标题 3 + 首行缩进:  0 厘米1"/>
    <w:basedOn w:val="315"/>
    <w:qFormat/>
    <w:pPr>
      <w:spacing w:line="240" w:lineRule="auto"/>
    </w:pPr>
    <w:rPr>
      <w:rFonts w:ascii="Times New Roman" w:eastAsia="宋体"/>
      <w:sz w:val="28"/>
    </w:rPr>
  </w:style>
  <w:style w:type="paragraph" w:customStyle="1" w:styleId="-100">
    <w:name w:val="表格标题-10"/>
    <w:basedOn w:val="af1"/>
    <w:next w:val="af1"/>
    <w:qFormat/>
    <w:pPr>
      <w:tabs>
        <w:tab w:val="left" w:pos="851"/>
      </w:tabs>
      <w:adjustRightInd w:val="0"/>
      <w:snapToGrid w:val="0"/>
      <w:spacing w:line="360" w:lineRule="auto"/>
      <w:jc w:val="center"/>
    </w:pPr>
    <w:rPr>
      <w:rFonts w:ascii="Calibri" w:eastAsia="黑体" w:hAnsi="Calibri" w:cs="Times New Roman"/>
      <w:sz w:val="24"/>
      <w:szCs w:val="24"/>
    </w:rPr>
  </w:style>
  <w:style w:type="paragraph" w:customStyle="1" w:styleId="xl54">
    <w:name w:val="xl54"/>
    <w:basedOn w:val="af1"/>
    <w:qFormat/>
    <w:pPr>
      <w:widowControl/>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kern w:val="0"/>
      <w:sz w:val="18"/>
      <w:szCs w:val="18"/>
    </w:rPr>
  </w:style>
  <w:style w:type="paragraph" w:customStyle="1" w:styleId="301000">
    <w:name w:val="样式 样式 样式 标题 3 + 首行缩进:  0 厘米1 + 首行缩进:  0 厘米 + 首行缩进:  0 字符"/>
    <w:basedOn w:val="3010"/>
    <w:qFormat/>
    <w:pPr>
      <w:ind w:firstLine="0"/>
    </w:pPr>
  </w:style>
  <w:style w:type="paragraph" w:customStyle="1" w:styleId="CharCharCharCharCharChar1CharCharChar1CharCharChar">
    <w:name w:val="Char Char Char Char Char Char1 Char Char Char1 Char Char Char"/>
    <w:basedOn w:val="af1"/>
    <w:qFormat/>
    <w:pPr>
      <w:spacing w:line="360" w:lineRule="auto"/>
      <w:ind w:firstLineChars="200" w:firstLine="200"/>
    </w:pPr>
    <w:rPr>
      <w:rFonts w:ascii="宋体" w:hAnsi="宋体" w:cs="Times New Roman"/>
      <w:sz w:val="24"/>
      <w:szCs w:val="20"/>
    </w:rPr>
  </w:style>
  <w:style w:type="paragraph" w:customStyle="1" w:styleId="xl108">
    <w:name w:val="xl108"/>
    <w:basedOn w:val="af1"/>
    <w:qFormat/>
    <w:pPr>
      <w:widowControl/>
      <w:pBdr>
        <w:bottom w:val="single" w:sz="4" w:space="0" w:color="auto"/>
        <w:right w:val="single" w:sz="8" w:space="0" w:color="auto"/>
      </w:pBdr>
      <w:spacing w:before="100" w:beforeAutospacing="1" w:after="100" w:afterAutospacing="1"/>
      <w:jc w:val="center"/>
      <w:textAlignment w:val="center"/>
    </w:pPr>
    <w:rPr>
      <w:rFonts w:ascii="華康中楷體" w:eastAsia="華康中楷體" w:hAnsi="華康中楷體" w:cs="華康中楷體"/>
      <w:kern w:val="0"/>
      <w:sz w:val="16"/>
      <w:szCs w:val="16"/>
    </w:rPr>
  </w:style>
  <w:style w:type="paragraph" w:customStyle="1" w:styleId="xl60">
    <w:name w:val="xl60"/>
    <w:basedOn w:val="af1"/>
    <w:qFormat/>
    <w:pPr>
      <w:widowControl/>
      <w:pBdr>
        <w:top w:val="single" w:sz="8" w:space="0" w:color="auto"/>
        <w:bottom w:val="single" w:sz="4" w:space="0" w:color="auto"/>
      </w:pBdr>
      <w:spacing w:before="100" w:beforeAutospacing="1" w:after="100" w:afterAutospacing="1"/>
      <w:jc w:val="center"/>
    </w:pPr>
    <w:rPr>
      <w:rFonts w:ascii="Calibri" w:eastAsia="Arial Unicode MS" w:hAnsi="Calibri" w:cs="Times New Roman"/>
      <w:kern w:val="0"/>
      <w:szCs w:val="21"/>
    </w:rPr>
  </w:style>
  <w:style w:type="paragraph" w:customStyle="1" w:styleId="afffffffffffffffffffffffffffffffffffa">
    <w:name w:val="列项·"/>
    <w:qFormat/>
    <w:pPr>
      <w:tabs>
        <w:tab w:val="left" w:pos="360"/>
        <w:tab w:val="left" w:pos="840"/>
      </w:tabs>
      <w:ind w:leftChars="200" w:left="840" w:hangingChars="200" w:hanging="420"/>
      <w:jc w:val="both"/>
    </w:pPr>
    <w:rPr>
      <w:rFonts w:ascii="Verdana" w:eastAsia="宋体" w:hAnsi="仿宋_GB2312" w:cs="仿宋_GB2312"/>
      <w:sz w:val="21"/>
    </w:rPr>
  </w:style>
  <w:style w:type="paragraph" w:customStyle="1" w:styleId="2fffffff9">
    <w:name w:val="样式 样式 标题 2 + 加粗 + 加粗"/>
    <w:basedOn w:val="af1"/>
    <w:qFormat/>
    <w:pPr>
      <w:keepNext/>
      <w:keepLines/>
      <w:jc w:val="left"/>
      <w:outlineLvl w:val="1"/>
    </w:pPr>
    <w:rPr>
      <w:rFonts w:ascii="Calibri" w:eastAsia="黑体" w:hAnsi="Calibri" w:cs="Times New Roman"/>
      <w:bCs/>
      <w:sz w:val="32"/>
      <w:szCs w:val="32"/>
    </w:rPr>
  </w:style>
  <w:style w:type="paragraph" w:customStyle="1" w:styleId="afffffffffffffffffffffffffffffffffffb">
    <w:name w:val="样式 湛江钢铁正文 +"/>
    <w:basedOn w:val="af1"/>
    <w:qFormat/>
    <w:pPr>
      <w:widowControl/>
      <w:adjustRightInd w:val="0"/>
      <w:spacing w:afterLines="25" w:line="360" w:lineRule="auto"/>
      <w:ind w:firstLineChars="200" w:firstLine="480"/>
      <w:jc w:val="left"/>
      <w:textAlignment w:val="baseline"/>
    </w:pPr>
    <w:rPr>
      <w:rFonts w:ascii="仿宋_GB2312" w:eastAsia="Times New Roman" w:hAnsi="仿宋_GB2312" w:cs="仿宋_GB2312"/>
      <w:color w:val="000000"/>
      <w:kern w:val="0"/>
      <w:sz w:val="24"/>
      <w:szCs w:val="24"/>
    </w:rPr>
  </w:style>
  <w:style w:type="paragraph" w:customStyle="1" w:styleId="3fff3">
    <w:name w:val="正文文字3"/>
    <w:basedOn w:val="310"/>
    <w:qFormat/>
    <w:pPr>
      <w:adjustRightInd w:val="0"/>
      <w:snapToGrid w:val="0"/>
      <w:spacing w:after="0"/>
      <w:ind w:left="-57" w:right="-57"/>
      <w:jc w:val="center"/>
    </w:pPr>
    <w:rPr>
      <w:rFonts w:eastAsia="黑体"/>
      <w:snapToGrid w:val="0"/>
      <w:sz w:val="18"/>
      <w:szCs w:val="18"/>
    </w:rPr>
  </w:style>
  <w:style w:type="paragraph" w:customStyle="1" w:styleId="CharCharChar1CharCharCharCharCharCharCharCharCharChar">
    <w:name w:val="Char Char Char1 Char Char Char Char Char Char Char Char Char Char"/>
    <w:basedOn w:val="af1"/>
    <w:qFormat/>
    <w:pPr>
      <w:spacing w:line="240" w:lineRule="atLeast"/>
      <w:ind w:left="420" w:firstLine="420"/>
    </w:pPr>
    <w:rPr>
      <w:rFonts w:ascii="Calibri" w:hAnsi="Calibri" w:cs="Times New Roman"/>
      <w:szCs w:val="24"/>
    </w:rPr>
  </w:style>
  <w:style w:type="paragraph" w:customStyle="1" w:styleId="1ffffffff">
    <w:name w:val="三级目录1"/>
    <w:basedOn w:val="af1"/>
    <w:next w:val="af1"/>
    <w:qFormat/>
    <w:pPr>
      <w:keepNext/>
      <w:keepLines/>
      <w:widowControl/>
      <w:autoSpaceDE w:val="0"/>
      <w:autoSpaceDN w:val="0"/>
      <w:adjustRightInd w:val="0"/>
      <w:snapToGrid w:val="0"/>
      <w:spacing w:beforeLines="50" w:line="360" w:lineRule="auto"/>
      <w:ind w:left="-2" w:right="-137" w:firstLine="1"/>
      <w:jc w:val="left"/>
      <w:outlineLvl w:val="0"/>
    </w:pPr>
    <w:rPr>
      <w:rFonts w:ascii="Calibri" w:hAnsi="Calibri" w:cs="Times New Roman"/>
      <w:b/>
      <w:color w:val="0000FF"/>
      <w:sz w:val="24"/>
      <w:szCs w:val="20"/>
    </w:rPr>
  </w:style>
  <w:style w:type="paragraph" w:customStyle="1" w:styleId="2CharCharf0">
    <w:name w:val="样式 样式 标题 2 + 红色 + 自动设置 Char Char"/>
    <w:basedOn w:val="2f9"/>
    <w:qFormat/>
    <w:pPr>
      <w:tabs>
        <w:tab w:val="clear" w:pos="576"/>
      </w:tabs>
      <w:snapToGrid w:val="0"/>
      <w:spacing w:line="412" w:lineRule="auto"/>
    </w:pPr>
    <w:rPr>
      <w:rFonts w:eastAsia="新宋体" w:cs="Arial"/>
    </w:rPr>
  </w:style>
  <w:style w:type="paragraph" w:customStyle="1" w:styleId="17878">
    <w:name w:val="样式 标题 1 + 段前: 7.8 磅 段后: 7.8 磅"/>
    <w:basedOn w:val="1"/>
    <w:qFormat/>
    <w:pPr>
      <w:spacing w:beforeLines="50" w:before="340" w:afterLines="50" w:after="330" w:line="440" w:lineRule="exact"/>
    </w:pPr>
    <w:rPr>
      <w:rFonts w:ascii="Times New Roman" w:eastAsia="黑体" w:cs="宋体"/>
      <w:kern w:val="44"/>
      <w:sz w:val="32"/>
      <w:szCs w:val="20"/>
    </w:rPr>
  </w:style>
  <w:style w:type="paragraph" w:customStyle="1" w:styleId="xl33">
    <w:name w:val="xl33"/>
    <w:basedOn w:val="af1"/>
    <w:qFormat/>
    <w:pPr>
      <w:widowControl/>
      <w:pBdr>
        <w:bottom w:val="single" w:sz="8" w:space="0" w:color="auto"/>
        <w:right w:val="single" w:sz="4" w:space="0" w:color="auto"/>
      </w:pBdr>
      <w:spacing w:before="100" w:beforeAutospacing="1" w:after="100" w:afterAutospacing="1"/>
      <w:jc w:val="center"/>
    </w:pPr>
    <w:rPr>
      <w:rFonts w:ascii="Calibri" w:eastAsia="Arial Unicode MS" w:hAnsi="Calibri" w:cs="Times New Roman"/>
      <w:kern w:val="0"/>
      <w:sz w:val="18"/>
      <w:szCs w:val="18"/>
    </w:rPr>
  </w:style>
  <w:style w:type="paragraph" w:customStyle="1" w:styleId="2fffffffa">
    <w:name w:val="目录2（西藏格式）"/>
    <w:basedOn w:val="TOC2"/>
    <w:qFormat/>
    <w:pPr>
      <w:adjustRightInd w:val="0"/>
      <w:snapToGrid w:val="0"/>
      <w:ind w:leftChars="0" w:left="210"/>
      <w:jc w:val="left"/>
    </w:pPr>
    <w:rPr>
      <w:rFonts w:ascii="Calibri" w:eastAsia="黑体" w:hAnsi="Calibri" w:cs="Calibri"/>
      <w:b/>
      <w:smallCaps/>
      <w:snapToGrid w:val="0"/>
      <w:sz w:val="24"/>
      <w:szCs w:val="20"/>
    </w:rPr>
  </w:style>
  <w:style w:type="paragraph" w:customStyle="1" w:styleId="16731">
    <w:name w:val="16.7.3.1"/>
    <w:basedOn w:val="41"/>
    <w:qFormat/>
    <w:pPr>
      <w:keepLines/>
      <w:tabs>
        <w:tab w:val="left" w:pos="390"/>
        <w:tab w:val="left" w:pos="1800"/>
      </w:tabs>
      <w:spacing w:before="120" w:after="120" w:line="312" w:lineRule="auto"/>
      <w:ind w:left="851" w:hanging="851"/>
      <w:jc w:val="left"/>
    </w:pPr>
    <w:rPr>
      <w:rFonts w:ascii="Arial" w:eastAsia="黑体" w:hAnsi="Arial"/>
      <w:bCs/>
      <w:kern w:val="2"/>
      <w:sz w:val="24"/>
      <w:szCs w:val="24"/>
    </w:rPr>
  </w:style>
  <w:style w:type="paragraph" w:customStyle="1" w:styleId="4J">
    <w:name w:val="列表 4J"/>
    <w:basedOn w:val="45"/>
    <w:qFormat/>
    <w:pPr>
      <w:widowControl/>
      <w:tabs>
        <w:tab w:val="left" w:pos="1021"/>
      </w:tabs>
      <w:adjustRightInd/>
      <w:spacing w:afterLines="30" w:line="288" w:lineRule="auto"/>
      <w:ind w:left="1021" w:hanging="454"/>
      <w:jc w:val="left"/>
      <w:textAlignment w:val="auto"/>
    </w:pPr>
    <w:rPr>
      <w:rFonts w:ascii="Courier New" w:hAnsi="Courier New" w:cs="仿宋_GB2312"/>
      <w:color w:val="CCFFFF"/>
      <w:kern w:val="2"/>
    </w:rPr>
  </w:style>
  <w:style w:type="paragraph" w:customStyle="1" w:styleId="17050515">
    <w:name w:val="样式 标题 1标题7章 + 自动设置 段前: 0.5 行 段后: 0.5 行 行距: 1.5 倍行距"/>
    <w:basedOn w:val="affff6"/>
    <w:next w:val="af1"/>
    <w:qFormat/>
    <w:pPr>
      <w:adjustRightInd/>
      <w:spacing w:before="240" w:afterLines="50" w:after="60" w:line="360" w:lineRule="auto"/>
      <w:textAlignment w:val="auto"/>
    </w:pPr>
  </w:style>
  <w:style w:type="paragraph" w:customStyle="1" w:styleId="Charfffffffd">
    <w:name w:val="正文缩进（自定义） Char"/>
    <w:basedOn w:val="af1"/>
    <w:qFormat/>
    <w:pPr>
      <w:spacing w:before="120" w:after="120" w:line="360" w:lineRule="auto"/>
      <w:ind w:firstLineChars="200" w:firstLine="480"/>
    </w:pPr>
    <w:rPr>
      <w:rFonts w:ascii="Century Gothic" w:hAnsi="Century Gothic" w:cs="宋体"/>
      <w:kern w:val="0"/>
      <w:sz w:val="24"/>
      <w:szCs w:val="24"/>
    </w:rPr>
  </w:style>
  <w:style w:type="paragraph" w:customStyle="1" w:styleId="Char1CharCharCharCharChar1Char">
    <w:name w:val="Char1 Char Char Char Char Char1 Char"/>
    <w:basedOn w:val="af1"/>
    <w:qFormat/>
    <w:pPr>
      <w:widowControl/>
      <w:jc w:val="left"/>
    </w:pPr>
    <w:rPr>
      <w:rFonts w:ascii="新宋体" w:hAnsi="新宋体" w:cs="仿宋_GB2312"/>
      <w:sz w:val="24"/>
      <w:szCs w:val="20"/>
    </w:rPr>
  </w:style>
  <w:style w:type="paragraph" w:customStyle="1" w:styleId="Char1CharCharCharCharCharCharCharChar1">
    <w:name w:val="Char1 Char Char Char Char Char Char Char Char1"/>
    <w:basedOn w:val="af1"/>
    <w:qFormat/>
    <w:pPr>
      <w:spacing w:line="360" w:lineRule="auto"/>
      <w:ind w:firstLineChars="200" w:firstLine="200"/>
    </w:pPr>
    <w:rPr>
      <w:rFonts w:ascii="Calibri" w:hAnsi="Calibri" w:cs="Times New Roman"/>
      <w:szCs w:val="24"/>
    </w:rPr>
  </w:style>
  <w:style w:type="paragraph" w:customStyle="1" w:styleId="3fff4">
    <w:name w:val="我的标题3"/>
    <w:basedOn w:val="af1"/>
    <w:qFormat/>
    <w:pPr>
      <w:widowControl/>
      <w:jc w:val="left"/>
    </w:pPr>
    <w:rPr>
      <w:rFonts w:ascii="仿宋_GB2312" w:hAnsi="仿宋_GB2312" w:cs="仿宋_GB2312"/>
      <w:b/>
      <w:sz w:val="28"/>
      <w:szCs w:val="24"/>
    </w:rPr>
  </w:style>
  <w:style w:type="paragraph" w:customStyle="1" w:styleId="CharCharffff9">
    <w:name w:val="我的正文 Char Char"/>
    <w:basedOn w:val="af1"/>
    <w:qFormat/>
    <w:pPr>
      <w:spacing w:line="360" w:lineRule="auto"/>
      <w:ind w:firstLineChars="200" w:firstLine="200"/>
    </w:pPr>
    <w:rPr>
      <w:rFonts w:ascii="Calibri" w:hAnsi="Calibri" w:cs="Times New Roman"/>
      <w:sz w:val="24"/>
      <w:szCs w:val="20"/>
    </w:rPr>
  </w:style>
  <w:style w:type="paragraph" w:customStyle="1" w:styleId="Char2CharCharCharCharCharCharCharChar1Char">
    <w:name w:val="Char2 Char Char Char Char Char Char Char Char1 Char"/>
    <w:basedOn w:val="af1"/>
    <w:qFormat/>
    <w:pPr>
      <w:spacing w:line="440" w:lineRule="exact"/>
      <w:ind w:firstLineChars="200" w:firstLine="200"/>
    </w:pPr>
    <w:rPr>
      <w:rFonts w:ascii="宋体" w:hAnsi="宋体" w:cs="Courier New"/>
      <w:sz w:val="32"/>
      <w:szCs w:val="32"/>
    </w:rPr>
  </w:style>
  <w:style w:type="paragraph" w:customStyle="1" w:styleId="afffffffffffffffffffffffffffffffffffc">
    <w:name w:val="圖標題"/>
    <w:basedOn w:val="af1"/>
    <w:qFormat/>
    <w:pPr>
      <w:widowControl/>
      <w:topLinePunct/>
      <w:adjustRightInd w:val="0"/>
      <w:spacing w:line="384" w:lineRule="exact"/>
      <w:jc w:val="center"/>
      <w:textAlignment w:val="baseline"/>
    </w:pPr>
    <w:rPr>
      <w:rFonts w:ascii="Courier New" w:eastAsia="DFKai-SB" w:hAnsi="Courier New" w:cs="Courier New"/>
      <w:kern w:val="20"/>
      <w:sz w:val="24"/>
      <w:szCs w:val="20"/>
      <w:lang w:eastAsia="zh-TW"/>
    </w:rPr>
  </w:style>
  <w:style w:type="paragraph" w:customStyle="1" w:styleId="4S">
    <w:name w:val="列表 4S"/>
    <w:basedOn w:val="45"/>
    <w:qFormat/>
    <w:pPr>
      <w:widowControl/>
      <w:tabs>
        <w:tab w:val="left" w:pos="1021"/>
      </w:tabs>
      <w:adjustRightInd/>
      <w:spacing w:afterLines="30" w:line="288" w:lineRule="auto"/>
      <w:ind w:left="1021" w:hanging="454"/>
      <w:jc w:val="left"/>
      <w:textAlignment w:val="auto"/>
    </w:pPr>
    <w:rPr>
      <w:rFonts w:ascii="Courier New" w:hAnsi="Courier New" w:cs="仿宋_GB2312"/>
      <w:color w:val="CCFFFF"/>
      <w:kern w:val="2"/>
    </w:rPr>
  </w:style>
  <w:style w:type="paragraph" w:customStyle="1" w:styleId="xl69">
    <w:name w:val="xl69"/>
    <w:basedOn w:val="af1"/>
    <w:qFormat/>
    <w:pPr>
      <w:widowControl/>
      <w:pBdr>
        <w:bottom w:val="single" w:sz="8" w:space="0" w:color="auto"/>
        <w:right w:val="single" w:sz="4" w:space="0" w:color="auto"/>
      </w:pBdr>
      <w:spacing w:before="100" w:beforeAutospacing="1" w:after="100" w:afterAutospacing="1"/>
      <w:jc w:val="center"/>
    </w:pPr>
    <w:rPr>
      <w:rFonts w:ascii="Arial Unicode MS" w:eastAsia="Arial Unicode MS" w:hAnsi="Arial Unicode MS" w:cs="Arial Unicode MS"/>
      <w:kern w:val="0"/>
      <w:sz w:val="18"/>
      <w:szCs w:val="18"/>
    </w:rPr>
  </w:style>
  <w:style w:type="paragraph" w:customStyle="1" w:styleId="CCY--1">
    <w:name w:val="CCY-正文文本-1"/>
    <w:basedOn w:val="af1"/>
    <w:qFormat/>
    <w:pPr>
      <w:spacing w:line="360" w:lineRule="auto"/>
      <w:ind w:firstLineChars="200" w:firstLine="200"/>
    </w:pPr>
    <w:rPr>
      <w:rFonts w:ascii="宋体" w:hAnsi="宋体" w:cs="Times New Roman"/>
      <w:sz w:val="24"/>
      <w:szCs w:val="24"/>
    </w:rPr>
  </w:style>
  <w:style w:type="paragraph" w:customStyle="1" w:styleId="07">
    <w:name w:val="0 表格"/>
    <w:basedOn w:val="af1"/>
    <w:qFormat/>
    <w:pPr>
      <w:spacing w:line="360" w:lineRule="auto"/>
      <w:jc w:val="center"/>
    </w:pPr>
    <w:rPr>
      <w:rFonts w:cs="Times New Roman"/>
      <w:sz w:val="24"/>
      <w:szCs w:val="21"/>
    </w:rPr>
  </w:style>
  <w:style w:type="paragraph" w:customStyle="1" w:styleId="xl92">
    <w:name w:val="xl92"/>
    <w:basedOn w:val="af1"/>
    <w:qFormat/>
    <w:pPr>
      <w:widowControl/>
      <w:pBdr>
        <w:top w:val="single" w:sz="4" w:space="0" w:color="auto"/>
        <w:left w:val="single" w:sz="4" w:space="0" w:color="auto"/>
        <w:bottom w:val="single" w:sz="8" w:space="0" w:color="auto"/>
      </w:pBdr>
      <w:spacing w:before="100" w:beforeAutospacing="1" w:after="100" w:afterAutospacing="1"/>
      <w:jc w:val="center"/>
    </w:pPr>
    <w:rPr>
      <w:rFonts w:ascii="華康中楷體" w:eastAsia="華康中楷體" w:hAnsi="華康中楷體" w:cs="華康中楷體"/>
      <w:kern w:val="0"/>
      <w:sz w:val="16"/>
      <w:szCs w:val="16"/>
    </w:rPr>
  </w:style>
  <w:style w:type="paragraph" w:customStyle="1" w:styleId="0505">
    <w:name w:val="样式 表名 + 段前: 0.5 行 段后: 0.5 行"/>
    <w:basedOn w:val="afffffffffffe"/>
    <w:qFormat/>
    <w:pPr>
      <w:topLinePunct/>
      <w:autoSpaceDE/>
      <w:autoSpaceDN/>
      <w:adjustRightInd/>
      <w:spacing w:beforeLines="50" w:before="0" w:line="440" w:lineRule="exact"/>
      <w:textAlignment w:val="auto"/>
      <w:outlineLvl w:val="4"/>
    </w:pPr>
    <w:rPr>
      <w:rFonts w:ascii="宋体" w:eastAsia="宋体" w:hAnsi="华文楷体" w:cs="宋体"/>
      <w:b/>
      <w:bCs/>
      <w:spacing w:val="0"/>
      <w:sz w:val="24"/>
      <w:szCs w:val="21"/>
    </w:rPr>
  </w:style>
  <w:style w:type="paragraph" w:customStyle="1" w:styleId="333050566">
    <w:name w:val="样式 样式 样式 标题 3标题 33 + 段前: 0.5 行 + 段前: 0.5 行 + 段前: 6 磅 段后: 6 磅"/>
    <w:basedOn w:val="af1"/>
    <w:qFormat/>
    <w:pPr>
      <w:keepNext/>
      <w:keepLines/>
      <w:spacing w:line="360" w:lineRule="auto"/>
      <w:outlineLvl w:val="2"/>
    </w:pPr>
    <w:rPr>
      <w:rFonts w:ascii="黑体" w:eastAsia="黑体" w:hAnsi="Calibri" w:cs="Times New Roman"/>
      <w:snapToGrid w:val="0"/>
      <w:kern w:val="0"/>
      <w:sz w:val="24"/>
      <w:szCs w:val="20"/>
    </w:rPr>
  </w:style>
  <w:style w:type="paragraph" w:customStyle="1" w:styleId="afffffffffffffffffffffffffffffffffffd">
    <w:name w:val="北京国寰表格格式"/>
    <w:basedOn w:val="af1"/>
    <w:qFormat/>
    <w:pPr>
      <w:adjustRightInd w:val="0"/>
      <w:jc w:val="center"/>
    </w:pPr>
    <w:rPr>
      <w:rFonts w:cs="Times New Roman"/>
      <w:kern w:val="0"/>
      <w:sz w:val="18"/>
      <w:szCs w:val="24"/>
    </w:rPr>
  </w:style>
  <w:style w:type="paragraph" w:customStyle="1" w:styleId="afffffffffffffffffffffffffffffffffffe">
    <w:name w:val="标题二二"/>
    <w:basedOn w:val="af1"/>
    <w:qFormat/>
    <w:pPr>
      <w:spacing w:beforeLines="50" w:line="360" w:lineRule="auto"/>
      <w:jc w:val="left"/>
      <w:outlineLvl w:val="1"/>
    </w:pPr>
    <w:rPr>
      <w:rFonts w:eastAsia="黑体" w:cs="Times New Roman"/>
      <w:color w:val="000000"/>
      <w:sz w:val="28"/>
      <w:szCs w:val="28"/>
    </w:rPr>
  </w:style>
  <w:style w:type="paragraph" w:customStyle="1" w:styleId="3Re">
    <w:name w:val="样式 标题 3Re + (中文) 宋体 加粗"/>
    <w:basedOn w:val="31"/>
    <w:qFormat/>
    <w:pPr>
      <w:tabs>
        <w:tab w:val="left" w:pos="0"/>
      </w:tabs>
      <w:autoSpaceDE w:val="0"/>
      <w:autoSpaceDN w:val="0"/>
      <w:adjustRightInd w:val="0"/>
      <w:snapToGrid w:val="0"/>
      <w:spacing w:before="20" w:after="20" w:line="360" w:lineRule="auto"/>
      <w:jc w:val="left"/>
      <w:textAlignment w:val="baseline"/>
    </w:pPr>
    <w:rPr>
      <w:kern w:val="0"/>
      <w:sz w:val="28"/>
      <w:szCs w:val="20"/>
    </w:rPr>
  </w:style>
  <w:style w:type="paragraph" w:customStyle="1" w:styleId="1220">
    <w:name w:val="样式 水保正文文字1 + 行距: 固定值 22 磅"/>
    <w:basedOn w:val="af1"/>
    <w:qFormat/>
    <w:pPr>
      <w:snapToGrid w:val="0"/>
      <w:spacing w:line="360" w:lineRule="auto"/>
      <w:ind w:firstLineChars="200" w:firstLine="480"/>
    </w:pPr>
    <w:rPr>
      <w:rFonts w:hAnsi="宋体" w:cs="Times New Roman"/>
      <w:kern w:val="0"/>
      <w:sz w:val="24"/>
      <w:szCs w:val="24"/>
    </w:rPr>
  </w:style>
  <w:style w:type="paragraph" w:customStyle="1" w:styleId="440">
    <w:name w:val="样式44"/>
    <w:basedOn w:val="af1"/>
    <w:qFormat/>
    <w:pPr>
      <w:keepNext/>
      <w:jc w:val="center"/>
    </w:pPr>
    <w:rPr>
      <w:rFonts w:ascii="黑体" w:eastAsia="黑体" w:hAnsi="宋体" w:cs="Times New Roman"/>
      <w:sz w:val="24"/>
      <w:szCs w:val="24"/>
    </w:rPr>
  </w:style>
  <w:style w:type="paragraph" w:customStyle="1" w:styleId="G">
    <w:name w:val="列表 G"/>
    <w:basedOn w:val="afffe"/>
    <w:qFormat/>
    <w:pPr>
      <w:widowControl/>
      <w:tabs>
        <w:tab w:val="left" w:pos="425"/>
      </w:tabs>
      <w:spacing w:beforeLines="100" w:afterLines="50" w:line="288" w:lineRule="auto"/>
      <w:ind w:left="425" w:hanging="425"/>
      <w:jc w:val="left"/>
    </w:pPr>
    <w:rPr>
      <w:rFonts w:ascii="Courier New" w:eastAsia="宋体" w:hAnsi="Courier New" w:cs="仿宋_GB2312"/>
      <w:b/>
      <w:bCs/>
      <w:color w:val="FF99CC"/>
    </w:rPr>
  </w:style>
  <w:style w:type="paragraph" w:customStyle="1" w:styleId="2fffffffb">
    <w:name w:val="样式 表格文字 + 居中 首行缩进:  2 字符"/>
    <w:basedOn w:val="af1"/>
    <w:qFormat/>
    <w:pPr>
      <w:widowControl/>
      <w:tabs>
        <w:tab w:val="left" w:pos="1960"/>
      </w:tabs>
      <w:spacing w:line="400" w:lineRule="exact"/>
      <w:jc w:val="center"/>
    </w:pPr>
    <w:rPr>
      <w:rFonts w:eastAsia="仿宋_GB2312" w:cs="Times New Roman"/>
      <w:kern w:val="24"/>
      <w:sz w:val="24"/>
      <w:szCs w:val="20"/>
    </w:rPr>
  </w:style>
  <w:style w:type="paragraph" w:customStyle="1" w:styleId="2fffffffc">
    <w:name w:val="图表目录2"/>
    <w:basedOn w:val="2fd"/>
    <w:next w:val="2fd"/>
    <w:qFormat/>
    <w:pPr>
      <w:tabs>
        <w:tab w:val="right" w:leader="dot" w:pos="8051"/>
      </w:tabs>
      <w:snapToGrid/>
      <w:spacing w:line="360" w:lineRule="atLeast"/>
      <w:ind w:left="840" w:hanging="840"/>
      <w:jc w:val="left"/>
      <w:textAlignment w:val="baseline"/>
    </w:pPr>
    <w:rPr>
      <w:rFonts w:ascii="宋体"/>
      <w:kern w:val="0"/>
    </w:rPr>
  </w:style>
  <w:style w:type="paragraph" w:customStyle="1" w:styleId="affffffffffffffffffffffffffffffffffff">
    <w:name w:val="北京国寰表头"/>
    <w:basedOn w:val="af1"/>
    <w:qFormat/>
    <w:pPr>
      <w:adjustRightInd w:val="0"/>
      <w:spacing w:before="93" w:after="93"/>
      <w:jc w:val="center"/>
    </w:pPr>
    <w:rPr>
      <w:rFonts w:ascii="黑体" w:eastAsia="黑体" w:hAnsi="黑体" w:cs="Times New Roman"/>
      <w:b/>
      <w:bCs/>
      <w:spacing w:val="10"/>
      <w:kern w:val="44"/>
      <w:szCs w:val="20"/>
    </w:rPr>
  </w:style>
  <w:style w:type="paragraph" w:customStyle="1" w:styleId="pic-info">
    <w:name w:val="pic-info"/>
    <w:basedOn w:val="af1"/>
    <w:qFormat/>
    <w:pPr>
      <w:widowControl/>
      <w:spacing w:before="100" w:beforeAutospacing="1" w:after="100" w:afterAutospacing="1"/>
      <w:jc w:val="left"/>
    </w:pPr>
    <w:rPr>
      <w:rFonts w:ascii="宋体" w:hAnsi="宋体" w:cs="宋体"/>
      <w:kern w:val="0"/>
      <w:sz w:val="24"/>
      <w:szCs w:val="24"/>
    </w:rPr>
  </w:style>
  <w:style w:type="paragraph" w:customStyle="1" w:styleId="4TimesNewRoman0">
    <w:name w:val="样式 标题 4 + Times New Roman 黑色"/>
    <w:basedOn w:val="41"/>
    <w:qFormat/>
    <w:pPr>
      <w:keepLines/>
      <w:widowControl w:val="0"/>
      <w:tabs>
        <w:tab w:val="left" w:pos="1080"/>
      </w:tabs>
      <w:adjustRightInd w:val="0"/>
      <w:spacing w:line="360" w:lineRule="auto"/>
      <w:ind w:firstLineChars="200" w:firstLine="1044"/>
      <w:jc w:val="left"/>
      <w:textAlignment w:val="baseline"/>
    </w:pPr>
    <w:rPr>
      <w:rFonts w:ascii="Times New Roman" w:eastAsia="黑体" w:hAnsi="Times New Roman"/>
      <w:b w:val="0"/>
      <w:bCs/>
      <w:color w:val="000000"/>
      <w:kern w:val="2"/>
      <w:sz w:val="24"/>
      <w:szCs w:val="24"/>
    </w:rPr>
  </w:style>
  <w:style w:type="paragraph" w:customStyle="1" w:styleId="BodySingle">
    <w:name w:val="Body Single"/>
    <w:qFormat/>
    <w:pPr>
      <w:widowControl w:val="0"/>
      <w:autoSpaceDE w:val="0"/>
      <w:autoSpaceDN w:val="0"/>
      <w:adjustRightInd w:val="0"/>
      <w:textAlignment w:val="baseline"/>
    </w:pPr>
    <w:rPr>
      <w:rFonts w:ascii="宋体" w:eastAsia="宋体" w:hAnsi="Times New Roman" w:cs="Times New Roman"/>
      <w:color w:val="000000"/>
      <w:sz w:val="24"/>
    </w:rPr>
  </w:style>
  <w:style w:type="paragraph" w:customStyle="1" w:styleId="xl98">
    <w:name w:val="xl98"/>
    <w:basedOn w:val="af1"/>
    <w:qFormat/>
    <w:pPr>
      <w:widowControl/>
      <w:pBdr>
        <w:left w:val="single" w:sz="8" w:space="0" w:color="auto"/>
        <w:bottom w:val="single" w:sz="8" w:space="0" w:color="auto"/>
        <w:right w:val="single" w:sz="4" w:space="0" w:color="auto"/>
      </w:pBdr>
      <w:spacing w:before="100" w:beforeAutospacing="1" w:after="100" w:afterAutospacing="1"/>
      <w:jc w:val="center"/>
      <w:textAlignment w:val="center"/>
    </w:pPr>
    <w:rPr>
      <w:rFonts w:ascii="仿宋_GB2312" w:eastAsia="華康中楷體" w:hAnsi="仿宋_GB2312" w:cs="仿宋_GB2312"/>
      <w:kern w:val="0"/>
      <w:sz w:val="16"/>
      <w:szCs w:val="16"/>
    </w:rPr>
  </w:style>
  <w:style w:type="paragraph" w:customStyle="1" w:styleId="2fffffffd">
    <w:name w:val="样式 首行缩进:  2 字符"/>
    <w:basedOn w:val="af1"/>
    <w:qFormat/>
    <w:pPr>
      <w:spacing w:line="440" w:lineRule="exact"/>
      <w:ind w:firstLineChars="200" w:firstLine="200"/>
    </w:pPr>
    <w:rPr>
      <w:rFonts w:ascii="Calibri" w:hAnsi="Calibri" w:cs="宋体"/>
      <w:sz w:val="24"/>
      <w:szCs w:val="20"/>
    </w:rPr>
  </w:style>
  <w:style w:type="paragraph" w:customStyle="1" w:styleId="2X">
    <w:name w:val="列表 2X"/>
    <w:basedOn w:val="25"/>
    <w:qFormat/>
    <w:pPr>
      <w:widowControl/>
      <w:tabs>
        <w:tab w:val="left" w:pos="737"/>
      </w:tabs>
      <w:spacing w:beforeAutospacing="1" w:after="100" w:afterAutospacing="1" w:line="288" w:lineRule="auto"/>
      <w:ind w:leftChars="0" w:left="737" w:firstLineChars="0" w:hanging="567"/>
      <w:jc w:val="left"/>
    </w:pPr>
    <w:rPr>
      <w:rFonts w:ascii="Courier New" w:eastAsia="宋体" w:hAnsi="Courier New" w:cs="仿宋_GB2312"/>
      <w:color w:val="FFFF99"/>
      <w:kern w:val="2"/>
      <w:sz w:val="24"/>
      <w:szCs w:val="20"/>
    </w:rPr>
  </w:style>
  <w:style w:type="paragraph" w:customStyle="1" w:styleId="affffffffffffffffffffffffffffffffffff0">
    <w:name w:val="编号结尾"/>
    <w:basedOn w:val="1"/>
    <w:next w:val="af1"/>
    <w:qFormat/>
    <w:pPr>
      <w:widowControl/>
      <w:tabs>
        <w:tab w:val="left" w:pos="1305"/>
      </w:tabs>
      <w:spacing w:before="340" w:after="260" w:line="240" w:lineRule="atLeast"/>
      <w:ind w:left="720" w:right="720"/>
      <w:jc w:val="both"/>
    </w:pPr>
    <w:rPr>
      <w:rFonts w:ascii="Garamond" w:hAnsi="Garamond"/>
      <w:bCs w:val="0"/>
      <w:sz w:val="28"/>
      <w:szCs w:val="20"/>
    </w:rPr>
  </w:style>
  <w:style w:type="paragraph" w:customStyle="1" w:styleId="2fffffffe">
    <w:name w:val="样式 标题2 + 三号"/>
    <w:basedOn w:val="af1"/>
    <w:qFormat/>
    <w:pPr>
      <w:keepNext/>
      <w:keepLines/>
      <w:spacing w:line="360" w:lineRule="auto"/>
      <w:outlineLvl w:val="0"/>
    </w:pPr>
    <w:rPr>
      <w:rFonts w:ascii="Calibri" w:eastAsia="黑体" w:hAnsi="Calibri" w:cs="宋体"/>
      <w:b/>
      <w:bCs/>
      <w:kern w:val="44"/>
      <w:sz w:val="32"/>
      <w:szCs w:val="20"/>
    </w:rPr>
  </w:style>
  <w:style w:type="paragraph" w:customStyle="1" w:styleId="CharCharffffa">
    <w:name w:val="正文缩进（自定义） Char Char"/>
    <w:basedOn w:val="af1"/>
    <w:qFormat/>
    <w:pPr>
      <w:spacing w:before="120" w:after="120" w:line="360" w:lineRule="auto"/>
      <w:ind w:firstLineChars="200" w:firstLine="480"/>
    </w:pPr>
    <w:rPr>
      <w:rFonts w:ascii="Century Gothic" w:hAnsi="Century Gothic" w:cs="Times New Roman"/>
      <w:kern w:val="0"/>
      <w:sz w:val="24"/>
      <w:szCs w:val="20"/>
    </w:rPr>
  </w:style>
  <w:style w:type="paragraph" w:customStyle="1" w:styleId="affffffffffffffffffffffffffffffffffff1">
    <w:name w:val="说明书正文"/>
    <w:basedOn w:val="af1"/>
    <w:qFormat/>
    <w:pPr>
      <w:spacing w:line="480" w:lineRule="exact"/>
      <w:ind w:firstLineChars="200" w:firstLine="600"/>
    </w:pPr>
    <w:rPr>
      <w:rFonts w:ascii="Calibri" w:eastAsia="仿宋_GB2312" w:hAnsi="Calibri" w:cs="Times New Roman"/>
      <w:color w:val="000000"/>
      <w:sz w:val="30"/>
      <w:szCs w:val="20"/>
    </w:rPr>
  </w:style>
  <w:style w:type="paragraph" w:customStyle="1" w:styleId="CharCharCharCharCharChar1CharCharChar1Char">
    <w:name w:val="Char Char Char Char Char Char1 Char Char Char1 Char"/>
    <w:basedOn w:val="af1"/>
    <w:qFormat/>
    <w:pPr>
      <w:spacing w:line="360" w:lineRule="auto"/>
      <w:ind w:firstLineChars="200" w:firstLine="200"/>
    </w:pPr>
    <w:rPr>
      <w:rFonts w:ascii="宋体" w:hAnsi="宋体" w:cs="Times New Roman"/>
      <w:sz w:val="24"/>
      <w:szCs w:val="20"/>
    </w:rPr>
  </w:style>
  <w:style w:type="paragraph" w:customStyle="1" w:styleId="050">
    <w:name w:val="样式 (符号) 宋体 五号 加粗 居中 段前: 0.5 行 行距: 单倍行距"/>
    <w:basedOn w:val="af1"/>
    <w:qFormat/>
    <w:pPr>
      <w:snapToGrid w:val="0"/>
      <w:spacing w:line="360" w:lineRule="auto"/>
      <w:jc w:val="center"/>
    </w:pPr>
    <w:rPr>
      <w:rFonts w:ascii="Calibri" w:hAnsi="宋体" w:cs="Times New Roman"/>
      <w:b/>
      <w:sz w:val="24"/>
      <w:szCs w:val="20"/>
    </w:rPr>
  </w:style>
  <w:style w:type="paragraph" w:customStyle="1" w:styleId="11f2">
    <w:name w:val="目录 11"/>
    <w:basedOn w:val="af1"/>
    <w:next w:val="af1"/>
    <w:qFormat/>
    <w:pPr>
      <w:spacing w:before="120" w:after="120"/>
      <w:jc w:val="left"/>
    </w:pPr>
    <w:rPr>
      <w:rFonts w:ascii="Calibri" w:hAnsi="Calibri" w:cs="Times New Roman"/>
      <w:b/>
      <w:caps/>
      <w:sz w:val="20"/>
      <w:szCs w:val="20"/>
    </w:rPr>
  </w:style>
  <w:style w:type="paragraph" w:customStyle="1" w:styleId="33Char3CharChar3Char23Char">
    <w:name w:val="样式 标题 3头小节标题标题 3 Char小标题标题 3 Char Char标题 3 Char2标题 3 Char..."/>
    <w:basedOn w:val="31"/>
    <w:qFormat/>
    <w:pPr>
      <w:spacing w:before="0" w:after="0" w:line="240" w:lineRule="auto"/>
    </w:pPr>
    <w:rPr>
      <w:rFonts w:eastAsia="黑体"/>
      <w:b w:val="0"/>
      <w:sz w:val="24"/>
    </w:rPr>
  </w:style>
  <w:style w:type="paragraph" w:customStyle="1" w:styleId="affffffffffffffffffffffffffffffffffff2">
    <w:name w:val="表格前后"/>
    <w:basedOn w:val="af1"/>
    <w:next w:val="xyb"/>
    <w:qFormat/>
    <w:pPr>
      <w:textAlignment w:val="baseline"/>
    </w:pPr>
    <w:rPr>
      <w:rFonts w:ascii="Calibri" w:hAnsi="Calibri" w:cs="Times New Roman"/>
      <w:kern w:val="0"/>
      <w:sz w:val="18"/>
      <w:szCs w:val="20"/>
    </w:rPr>
  </w:style>
  <w:style w:type="paragraph" w:customStyle="1" w:styleId="130742">
    <w:name w:val="样式 样式 宋体 13 磅 白色 首行缩进:  0.74 厘米 + 自动设置 首行缩进:  2 字符"/>
    <w:basedOn w:val="af1"/>
    <w:qFormat/>
    <w:pPr>
      <w:widowControl/>
      <w:ind w:firstLineChars="200" w:firstLine="520"/>
      <w:jc w:val="left"/>
    </w:pPr>
    <w:rPr>
      <w:rFonts w:ascii="Verdana" w:hAnsi="Verdana" w:cs="Verdana"/>
      <w:sz w:val="27"/>
      <w:szCs w:val="27"/>
    </w:rPr>
  </w:style>
  <w:style w:type="paragraph" w:customStyle="1" w:styleId="CharCharCharCharCharCharCharCharCharCharCharCharCharCharCharChar">
    <w:name w:val="Char Char Char Char Char Char Char Char Char Char Char Char Char Char Char Char"/>
    <w:basedOn w:val="af1"/>
    <w:qFormat/>
    <w:pPr>
      <w:spacing w:line="360" w:lineRule="auto"/>
      <w:ind w:firstLineChars="200" w:firstLine="200"/>
    </w:pPr>
    <w:rPr>
      <w:rFonts w:ascii="宋体" w:hAnsi="宋体" w:cs="宋体"/>
      <w:sz w:val="24"/>
      <w:szCs w:val="24"/>
    </w:rPr>
  </w:style>
  <w:style w:type="paragraph" w:customStyle="1" w:styleId="affffffffffffffffffffffffffffffffffff3">
    <w:name w:val="宋体四号字"/>
    <w:basedOn w:val="affe"/>
    <w:qFormat/>
    <w:pPr>
      <w:spacing w:after="0" w:line="360" w:lineRule="auto"/>
    </w:pPr>
    <w:rPr>
      <w:rFonts w:ascii="宋体" w:eastAsia="宋体" w:hAnsi="宋体" w:cs="Times New Roman"/>
      <w:bCs/>
      <w:sz w:val="28"/>
      <w:szCs w:val="27"/>
    </w:rPr>
  </w:style>
  <w:style w:type="paragraph" w:customStyle="1" w:styleId="304">
    <w:name w:val="样式 样式 标题 3 + 黑色 段前: 0 磅 + 自动设置"/>
    <w:basedOn w:val="303"/>
    <w:qFormat/>
    <w:rPr>
      <w:color w:val="auto"/>
    </w:rPr>
  </w:style>
  <w:style w:type="table" w:customStyle="1" w:styleId="31a">
    <w:name w:val="网格型31"/>
    <w:basedOn w:val="af4"/>
    <w:uiPriority w:val="59"/>
    <w:qFormat/>
    <w:pPr>
      <w:widowControl w:val="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9">
    <w:name w:val="网格型7"/>
    <w:basedOn w:val="af4"/>
    <w:uiPriority w:val="99"/>
    <w:unhideWhenUsed/>
    <w:qFormat/>
    <w:pPr>
      <w:widowControl w:val="0"/>
      <w:jc w:val="both"/>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
    <w:name w:val="网格型41"/>
    <w:basedOn w:val="af4"/>
    <w:uiPriority w:val="39"/>
    <w:unhideWhenUsed/>
    <w:qFormat/>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4">
    <w:name w:val="网格型10"/>
    <w:basedOn w:val="af4"/>
    <w:uiPriority w:val="59"/>
    <w:qFormat/>
    <w:pPr>
      <w:widowControl w:val="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ffff0">
    <w:name w:val="网格型1"/>
    <w:basedOn w:val="af4"/>
    <w:uiPriority w:val="59"/>
    <w:qFormat/>
    <w:pPr>
      <w:widowControl w:val="0"/>
      <w:adjustRightInd w:val="0"/>
      <w:spacing w:line="312" w:lineRule="atLeast"/>
      <w:jc w:val="both"/>
      <w:textAlignment w:val="baseline"/>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ffff1">
    <w:name w:val="浅色底纹1"/>
    <w:basedOn w:val="af4"/>
    <w:qFormat/>
    <w:rPr>
      <w:rFonts w:ascii="Calibri" w:hAnsi="Calibri"/>
      <w:color w:val="000000"/>
    </w:rPr>
    <w:tblPr>
      <w:tblBorders>
        <w:top w:val="single" w:sz="8" w:space="0" w:color="000000"/>
        <w:bottom w:val="single" w:sz="8" w:space="0" w:color="000000"/>
      </w:tblBorders>
    </w:tblPr>
    <w:tblStylePr w:type="firstRow">
      <w:pPr>
        <w:spacing w:before="0" w:after="0"/>
      </w:pPr>
      <w:tblPr/>
      <w:tcPr>
        <w:tcBorders>
          <w:top w:val="single" w:sz="8" w:space="0" w:color="000000"/>
          <w:left w:val="nil"/>
          <w:bottom w:val="single" w:sz="8" w:space="0" w:color="000000"/>
          <w:right w:val="nil"/>
          <w:insideH w:val="nil"/>
          <w:insideV w:val="nil"/>
          <w:tl2br w:val="nil"/>
          <w:tr2bl w:val="nil"/>
        </w:tcBorders>
      </w:tcPr>
    </w:tblStylePr>
    <w:tblStylePr w:type="lastRow">
      <w:pPr>
        <w:spacing w:before="0" w:after="0"/>
      </w:pPr>
      <w:tblPr/>
      <w:tcPr>
        <w:tcBorders>
          <w:top w:val="single" w:sz="8" w:space="0" w:color="000000"/>
          <w:left w:val="nil"/>
          <w:bottom w:val="single" w:sz="8" w:space="0" w:color="000000"/>
          <w:right w:val="nil"/>
          <w:insideH w:val="nil"/>
          <w:insideV w:val="nil"/>
          <w:tl2br w:val="nil"/>
          <w:tr2bl w:val="nil"/>
        </w:tcBorders>
      </w:tcPr>
    </w:tblStylePr>
    <w:tblStylePr w:type="band1Vert">
      <w:tblPr/>
      <w:tcPr>
        <w:tcBorders>
          <w:top w:val="nil"/>
          <w:left w:val="nil"/>
          <w:bottom w:val="nil"/>
          <w:right w:val="nil"/>
          <w:insideH w:val="nil"/>
          <w:insideV w:val="nil"/>
          <w:tl2br w:val="nil"/>
          <w:tr2bl w:val="nil"/>
        </w:tcBorders>
        <w:shd w:val="clear" w:color="auto" w:fill="C0C0C0"/>
      </w:tcPr>
    </w:tblStylePr>
    <w:tblStylePr w:type="band1Horz">
      <w:tblPr/>
      <w:tcPr>
        <w:tcBorders>
          <w:top w:val="nil"/>
          <w:left w:val="nil"/>
          <w:bottom w:val="nil"/>
          <w:right w:val="nil"/>
          <w:insideH w:val="nil"/>
          <w:insideV w:val="nil"/>
          <w:tl2br w:val="nil"/>
          <w:tr2bl w:val="nil"/>
        </w:tcBorders>
        <w:shd w:val="clear" w:color="auto" w:fill="C0C0C0"/>
      </w:tcPr>
    </w:tblStylePr>
  </w:style>
  <w:style w:type="table" w:customStyle="1" w:styleId="4111">
    <w:name w:val="网格型411"/>
    <w:basedOn w:val="af4"/>
    <w:uiPriority w:val="59"/>
    <w:qFormat/>
    <w:pPr>
      <w:widowControl w:val="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a">
    <w:name w:val="灰度表格15"/>
    <w:basedOn w:val="af4"/>
    <w:uiPriority w:val="59"/>
    <w:qFormat/>
    <w:pPr>
      <w:adjustRightInd w:val="0"/>
      <w:snapToGrid w:val="0"/>
      <w:jc w:val="center"/>
    </w:pPr>
    <w:rPr>
      <w:rFonts w:ascii="Calibri" w:hAnsi="Calibri"/>
    </w:rPr>
    <w:tblPr>
      <w:tblBorders>
        <w:top w:val="single" w:sz="12" w:space="0" w:color="auto"/>
        <w:bottom w:val="single" w:sz="12" w:space="0" w:color="auto"/>
        <w:insideH w:val="single" w:sz="4" w:space="0" w:color="auto"/>
        <w:insideV w:val="single" w:sz="4" w:space="0" w:color="auto"/>
      </w:tblBorders>
    </w:tblPr>
    <w:tcPr>
      <w:vAlign w:val="center"/>
    </w:tcPr>
  </w:style>
  <w:style w:type="table" w:customStyle="1" w:styleId="11f3">
    <w:name w:val="网格型11"/>
    <w:basedOn w:val="af4"/>
    <w:uiPriority w:val="99"/>
    <w:unhideWhenUsed/>
    <w:qFormat/>
    <w:pPr>
      <w:widowControl w:val="0"/>
      <w:jc w:val="both"/>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4">
    <w:name w:val="表格样式1—————常用格式1"/>
    <w:basedOn w:val="af4"/>
    <w:qFormat/>
    <w:pPr>
      <w:jc w:val="center"/>
    </w:pPr>
    <w:rPr>
      <w:rFonts w:ascii="Calibri" w:hAnsi="Calibri"/>
    </w:rPr>
    <w:tblPr>
      <w:tblBorders>
        <w:top w:val="single" w:sz="12" w:space="0" w:color="auto"/>
        <w:bottom w:val="single" w:sz="12" w:space="0" w:color="auto"/>
        <w:insideH w:val="single" w:sz="6" w:space="0" w:color="auto"/>
        <w:insideV w:val="single" w:sz="6" w:space="0" w:color="auto"/>
      </w:tblBorders>
    </w:tblPr>
    <w:tcPr>
      <w:vAlign w:val="center"/>
    </w:tcPr>
  </w:style>
  <w:style w:type="table" w:customStyle="1" w:styleId="128">
    <w:name w:val="表格样式1—————常用格式2"/>
    <w:basedOn w:val="af4"/>
    <w:qFormat/>
    <w:pPr>
      <w:jc w:val="center"/>
    </w:pPr>
    <w:rPr>
      <w:rFonts w:ascii="Calibri" w:hAnsi="Calibri"/>
    </w:rPr>
    <w:tblPr>
      <w:tblBorders>
        <w:top w:val="single" w:sz="12" w:space="0" w:color="auto"/>
        <w:bottom w:val="single" w:sz="12" w:space="0" w:color="auto"/>
        <w:insideH w:val="single" w:sz="6" w:space="0" w:color="auto"/>
        <w:insideV w:val="single" w:sz="6" w:space="0" w:color="auto"/>
      </w:tblBorders>
    </w:tblPr>
    <w:tcPr>
      <w:vAlign w:val="center"/>
    </w:tcPr>
  </w:style>
  <w:style w:type="table" w:customStyle="1" w:styleId="21f1">
    <w:name w:val="网格型21"/>
    <w:basedOn w:val="af4"/>
    <w:uiPriority w:val="99"/>
    <w:unhideWhenUsed/>
    <w:qFormat/>
    <w:pPr>
      <w:widowControl w:val="0"/>
      <w:jc w:val="both"/>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3">
    <w:name w:val="网格型211"/>
    <w:basedOn w:val="af4"/>
    <w:qFormat/>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812">
    <w:name w:val="网格型81"/>
    <w:basedOn w:val="af4"/>
    <w:qFormat/>
    <w:pPr>
      <w:widowControl w:val="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f">
    <w:name w:val="网格型6"/>
    <w:basedOn w:val="af4"/>
    <w:uiPriority w:val="99"/>
    <w:unhideWhenUsed/>
    <w:qFormat/>
    <w:pPr>
      <w:widowControl w:val="0"/>
      <w:jc w:val="both"/>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ffff2">
    <w:name w:val="表格主题1"/>
    <w:basedOn w:val="af4"/>
    <w:qFormat/>
    <w:pPr>
      <w:widowControl w:val="0"/>
      <w:jc w:val="center"/>
    </w:pPr>
    <w:rPr>
      <w:rFonts w:ascii="Calibri" w:hAnsi="Calibri"/>
      <w:sz w:val="18"/>
    </w:rPr>
    <w:tblPr>
      <w:tblBorders>
        <w:top w:val="single" w:sz="4" w:space="0" w:color="auto"/>
        <w:bottom w:val="single" w:sz="4" w:space="0" w:color="auto"/>
        <w:insideH w:val="single" w:sz="4" w:space="0" w:color="auto"/>
        <w:insideV w:val="single" w:sz="4" w:space="0" w:color="auto"/>
      </w:tblBorders>
    </w:tblPr>
    <w:tcPr>
      <w:vAlign w:val="center"/>
    </w:tcPr>
    <w:tblStylePr w:type="firstRow">
      <w:rPr>
        <w:b w:val="0"/>
      </w:rPr>
    </w:tblStylePr>
  </w:style>
  <w:style w:type="table" w:customStyle="1" w:styleId="141">
    <w:name w:val="网格型14"/>
    <w:basedOn w:val="af4"/>
    <w:uiPriority w:val="9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fffff">
    <w:name w:val="网格型2"/>
    <w:basedOn w:val="af4"/>
    <w:uiPriority w:val="99"/>
    <w:qFormat/>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fff5">
    <w:name w:val="网格型3"/>
    <w:basedOn w:val="af4"/>
    <w:uiPriority w:val="99"/>
    <w:unhideWhenUsed/>
    <w:qFormat/>
    <w:pPr>
      <w:widowControl w:val="0"/>
      <w:jc w:val="both"/>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9">
    <w:name w:val="网格型12"/>
    <w:basedOn w:val="af4"/>
    <w:uiPriority w:val="39"/>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
    <w:name w:val="网格型8"/>
    <w:basedOn w:val="af4"/>
    <w:uiPriority w:val="99"/>
    <w:unhideWhenUsed/>
    <w:qFormat/>
    <w:pPr>
      <w:widowControl w:val="0"/>
      <w:jc w:val="both"/>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fffff0">
    <w:name w:val="灰度表格2"/>
    <w:basedOn w:val="af4"/>
    <w:uiPriority w:val="59"/>
    <w:qFormat/>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ffffffff3">
    <w:name w:val="表格样式1—————常用格式"/>
    <w:basedOn w:val="af4"/>
    <w:qFormat/>
    <w:pPr>
      <w:jc w:val="center"/>
    </w:pPr>
    <w:rPr>
      <w:rFonts w:ascii="Calibri" w:hAnsi="Calibri"/>
    </w:rPr>
    <w:tblPr>
      <w:tblBorders>
        <w:top w:val="single" w:sz="12" w:space="0" w:color="auto"/>
        <w:bottom w:val="single" w:sz="12" w:space="0" w:color="auto"/>
        <w:insideH w:val="single" w:sz="6" w:space="0" w:color="auto"/>
        <w:insideV w:val="single" w:sz="6" w:space="0" w:color="auto"/>
      </w:tblBorders>
    </w:tblPr>
    <w:tcPr>
      <w:vAlign w:val="center"/>
    </w:tcPr>
  </w:style>
  <w:style w:type="table" w:customStyle="1" w:styleId="22f">
    <w:name w:val="网格型22"/>
    <w:basedOn w:val="af4"/>
    <w:uiPriority w:val="59"/>
    <w:qFormat/>
    <w:pPr>
      <w:widowControl w:val="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
    <w:name w:val="网格型13"/>
    <w:basedOn w:val="af4"/>
    <w:uiPriority w:val="9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
    <w:name w:val="网格型71"/>
    <w:basedOn w:val="af4"/>
    <w:uiPriority w:val="59"/>
    <w:qFormat/>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fa">
    <w:name w:val="网格型5"/>
    <w:basedOn w:val="af4"/>
    <w:uiPriority w:val="39"/>
    <w:unhideWhenUsed/>
    <w:qFormat/>
    <w:pPr>
      <w:widowControl w:val="0"/>
      <w:jc w:val="both"/>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fd">
    <w:name w:val="网格型4"/>
    <w:basedOn w:val="af4"/>
    <w:uiPriority w:val="99"/>
    <w:unhideWhenUsed/>
    <w:qFormat/>
    <w:pPr>
      <w:widowControl w:val="0"/>
      <w:jc w:val="both"/>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unhideWhenUsed/>
    <w:qFormat/>
    <w:pPr>
      <w:widowControl w:val="0"/>
    </w:pPr>
    <w:rPr>
      <w:rFonts w:ascii="Calibri" w:hAnsi="Calibri"/>
      <w:sz w:val="22"/>
      <w:lang w:eastAsia="en-US"/>
    </w:rPr>
    <w:tblPr>
      <w:tblCellMar>
        <w:top w:w="0" w:type="dxa"/>
        <w:left w:w="0" w:type="dxa"/>
        <w:bottom w:w="0" w:type="dxa"/>
        <w:right w:w="0" w:type="dxa"/>
      </w:tblCellMar>
    </w:tblPr>
  </w:style>
  <w:style w:type="table" w:customStyle="1" w:styleId="1118">
    <w:name w:val="网格型111"/>
    <w:basedOn w:val="af4"/>
    <w:uiPriority w:val="39"/>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
    <w:name w:val="网格型61"/>
    <w:basedOn w:val="af4"/>
    <w:uiPriority w:val="59"/>
    <w:qFormat/>
    <w:pPr>
      <w:widowControl w:val="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b">
    <w:name w:val="网格型15"/>
    <w:basedOn w:val="af4"/>
    <w:uiPriority w:val="9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
    <w:name w:val="网格型9"/>
    <w:basedOn w:val="af4"/>
    <w:uiPriority w:val="99"/>
    <w:qFormat/>
    <w:pPr>
      <w:widowControl w:val="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
    <w:name w:val="网格型51"/>
    <w:basedOn w:val="af4"/>
    <w:uiPriority w:val="39"/>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4">
    <w:name w:val="灰度表格17"/>
    <w:basedOn w:val="af4"/>
    <w:uiPriority w:val="59"/>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网格型52"/>
    <w:basedOn w:val="af4"/>
    <w:uiPriority w:val="39"/>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p">
    <w:name w:val="pp"/>
    <w:basedOn w:val="af4"/>
    <w:qFormat/>
    <w:pPr>
      <w:jc w:val="both"/>
    </w:pPr>
    <w:rPr>
      <w:rFonts w:ascii="Calibri" w:hAnsi="Calibri"/>
      <w:sz w:val="24"/>
    </w:rPr>
    <w:tblPr>
      <w:jc w:val="center"/>
      <w:tblBorders>
        <w:top w:val="single" w:sz="2" w:space="0" w:color="auto"/>
        <w:bottom w:val="single" w:sz="2" w:space="0" w:color="auto"/>
        <w:insideH w:val="single" w:sz="2" w:space="0" w:color="auto"/>
        <w:insideV w:val="single" w:sz="2" w:space="0" w:color="auto"/>
      </w:tblBorders>
    </w:tblPr>
    <w:trPr>
      <w:jc w:val="center"/>
    </w:trPr>
    <w:tcPr>
      <w:vAlign w:val="center"/>
    </w:tcPr>
    <w:tblStylePr w:type="firstRow">
      <w:rPr>
        <w:b w:val="0"/>
      </w:rPr>
    </w:tblStylePr>
  </w:style>
  <w:style w:type="table" w:customStyle="1" w:styleId="204">
    <w:name w:val="网格型20"/>
    <w:basedOn w:val="af4"/>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Charf7">
    <w:name w:val="1正文 Char"/>
    <w:link w:val="1ffffffff4"/>
    <w:qFormat/>
    <w:rPr>
      <w:rFonts w:asciiTheme="minorHAnsi" w:eastAsiaTheme="minorEastAsia" w:hAnsiTheme="minorHAnsi" w:cstheme="minorBidi"/>
      <w:sz w:val="24"/>
      <w:lang w:val="en-US" w:eastAsia="zh-CN" w:bidi="ar-SA"/>
    </w:rPr>
  </w:style>
  <w:style w:type="paragraph" w:customStyle="1" w:styleId="1ffffffff4">
    <w:name w:val="1正文"/>
    <w:basedOn w:val="af1"/>
    <w:link w:val="1Charf7"/>
    <w:qFormat/>
    <w:pPr>
      <w:adjustRightInd w:val="0"/>
      <w:snapToGrid w:val="0"/>
      <w:spacing w:line="440" w:lineRule="exact"/>
      <w:ind w:firstLineChars="200" w:firstLine="200"/>
    </w:pPr>
    <w:rPr>
      <w:rFonts w:asciiTheme="minorHAnsi" w:eastAsiaTheme="minorEastAsia" w:hAnsiTheme="minorHAnsi"/>
      <w:sz w:val="24"/>
      <w:szCs w:val="24"/>
    </w:rPr>
  </w:style>
  <w:style w:type="paragraph" w:customStyle="1" w:styleId="affffffffffffffffffffffffffffffffffff4">
    <w:name w:val="文本正文"/>
    <w:basedOn w:val="af1"/>
    <w:qFormat/>
    <w:pPr>
      <w:spacing w:line="360" w:lineRule="auto"/>
      <w:ind w:leftChars="100" w:left="210" w:rightChars="100" w:right="210" w:firstLineChars="200" w:firstLine="482"/>
    </w:pPr>
    <w:rPr>
      <w:rFonts w:cs="Times New Roman"/>
      <w:sz w:val="24"/>
      <w:szCs w:val="24"/>
    </w:rPr>
  </w:style>
  <w:style w:type="character" w:customStyle="1" w:styleId="st1">
    <w:name w:val="st1"/>
    <w:basedOn w:val="af3"/>
    <w:qFormat/>
    <w:rPr>
      <w:rFonts w:ascii="Times New Roman" w:eastAsia="宋体" w:hAnsi="Times New Roman" w:cs="Times New Roman"/>
      <w:lang w:val="en-US" w:eastAsia="zh-CN" w:bidi="ar-SA"/>
    </w:rPr>
  </w:style>
  <w:style w:type="paragraph" w:customStyle="1" w:styleId="96">
    <w:name w:val="9正文"/>
    <w:basedOn w:val="af1"/>
    <w:unhideWhenUsed/>
    <w:qFormat/>
    <w:pPr>
      <w:spacing w:afterLines="50"/>
      <w:textAlignment w:val="center"/>
    </w:pPr>
    <w:rPr>
      <w:rFonts w:ascii="Calibri" w:hAnsi="Calibri" w:cs="Times New Roman"/>
      <w:szCs w:val="24"/>
    </w:rPr>
  </w:style>
  <w:style w:type="paragraph" w:customStyle="1" w:styleId="affffffffffffffffffffffffffffffffffff5">
    <w:name w:val="样式 (符号) 宋体 小四"/>
    <w:basedOn w:val="af1"/>
    <w:qFormat/>
    <w:pPr>
      <w:spacing w:line="360" w:lineRule="auto"/>
      <w:ind w:firstLineChars="200" w:firstLine="200"/>
    </w:pPr>
    <w:rPr>
      <w:rFonts w:ascii="Calibri" w:hAnsi="宋体" w:cs="Times New Roman"/>
      <w:bCs/>
      <w:sz w:val="24"/>
      <w:szCs w:val="20"/>
    </w:rPr>
  </w:style>
  <w:style w:type="paragraph" w:customStyle="1" w:styleId="affffffffffffffffffffffffffffffffffff6">
    <w:name w:val="凸酒表内"/>
    <w:basedOn w:val="af1"/>
    <w:qFormat/>
    <w:pPr>
      <w:widowControl/>
      <w:jc w:val="center"/>
    </w:pPr>
    <w:rPr>
      <w:rFonts w:cs="Times New Roman"/>
      <w:szCs w:val="24"/>
    </w:rPr>
  </w:style>
  <w:style w:type="paragraph" w:customStyle="1" w:styleId="affffffffffffffffffffffffffffffffffff7">
    <w:name w:val="表后一行"/>
    <w:basedOn w:val="af1"/>
    <w:qFormat/>
    <w:pPr>
      <w:ind w:firstLine="643"/>
    </w:pPr>
    <w:rPr>
      <w:rFonts w:ascii="Calibri" w:hAnsi="Calibri" w:cs="Times New Roman"/>
      <w:szCs w:val="24"/>
    </w:rPr>
  </w:style>
  <w:style w:type="paragraph" w:customStyle="1" w:styleId="-f6">
    <w:name w:val="表体-格式"/>
    <w:basedOn w:val="af1"/>
    <w:qFormat/>
    <w:pPr>
      <w:adjustRightInd w:val="0"/>
      <w:snapToGrid w:val="0"/>
      <w:jc w:val="center"/>
    </w:pPr>
    <w:rPr>
      <w:rFonts w:ascii="Calibri" w:hAnsi="Calibri" w:cs="Times New Roman"/>
      <w:kern w:val="0"/>
      <w:szCs w:val="18"/>
      <w:lang w:val="zh-CN" w:eastAsia="en-US" w:bidi="en-US"/>
    </w:rPr>
  </w:style>
  <w:style w:type="paragraph" w:customStyle="1" w:styleId="affffffffffffffffffffffffffffffffffff8">
    <w:name w:val="图题注"/>
    <w:basedOn w:val="aff2"/>
    <w:qFormat/>
    <w:rPr>
      <w:rFonts w:hAnsi="Arial" w:cs="宋体"/>
      <w:b/>
      <w:bCs/>
    </w:rPr>
  </w:style>
  <w:style w:type="character" w:customStyle="1" w:styleId="Charfffffff9">
    <w:name w:val="图题 Char"/>
    <w:basedOn w:val="af3"/>
    <w:link w:val="affffffffffffffffffffff2"/>
    <w:qFormat/>
    <w:rPr>
      <w:rFonts w:ascii="Times New Roman" w:eastAsia="宋体" w:hAnsi="Times New Roman" w:cs="Times New Roman"/>
      <w:b/>
      <w:lang w:val="en-US" w:eastAsia="zh-CN" w:bidi="ar-SA"/>
    </w:rPr>
  </w:style>
  <w:style w:type="paragraph" w:customStyle="1" w:styleId="Char150">
    <w:name w:val="Char15"/>
    <w:basedOn w:val="af1"/>
    <w:qFormat/>
    <w:pPr>
      <w:spacing w:beforeLines="50" w:line="360" w:lineRule="auto"/>
      <w:ind w:firstLineChars="200" w:firstLine="560"/>
    </w:pPr>
    <w:rPr>
      <w:rFonts w:ascii="Calibri" w:hAnsi="Calibri" w:cs="Times New Roman"/>
      <w:sz w:val="28"/>
      <w:szCs w:val="28"/>
    </w:rPr>
  </w:style>
  <w:style w:type="table" w:customStyle="1" w:styleId="163">
    <w:name w:val="网格型16"/>
    <w:basedOn w:val="af4"/>
    <w:uiPriority w:val="39"/>
    <w:qFormat/>
    <w:rPr>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222CharChar">
    <w:name w:val="2.正文2222 Char Char"/>
    <w:link w:val="22222"/>
    <w:qFormat/>
    <w:rPr>
      <w:rFonts w:ascii="宋体" w:eastAsia="宋体" w:hAnsi="Courier New" w:cs="宋体"/>
      <w:sz w:val="24"/>
      <w:lang w:val="en-US" w:eastAsia="zh-CN" w:bidi="ar-SA"/>
    </w:rPr>
  </w:style>
  <w:style w:type="paragraph" w:customStyle="1" w:styleId="22222">
    <w:name w:val="2.正文2222"/>
    <w:basedOn w:val="af1"/>
    <w:link w:val="22222CharChar"/>
    <w:qFormat/>
    <w:pPr>
      <w:spacing w:line="360" w:lineRule="auto"/>
      <w:ind w:firstLineChars="200" w:firstLine="480"/>
      <w:jc w:val="left"/>
    </w:pPr>
    <w:rPr>
      <w:rFonts w:ascii="宋体" w:hAnsi="Courier New" w:cs="宋体"/>
      <w:sz w:val="24"/>
      <w:szCs w:val="24"/>
    </w:rPr>
  </w:style>
  <w:style w:type="paragraph" w:customStyle="1" w:styleId="08">
    <w:name w:val="0表格"/>
    <w:basedOn w:val="af1"/>
    <w:qFormat/>
    <w:pPr>
      <w:jc w:val="center"/>
    </w:pPr>
    <w:rPr>
      <w:rFonts w:asciiTheme="minorHAnsi" w:eastAsiaTheme="minorEastAsia" w:hAnsiTheme="minorHAnsi"/>
      <w:szCs w:val="24"/>
    </w:rPr>
  </w:style>
  <w:style w:type="paragraph" w:customStyle="1" w:styleId="09">
    <w:name w:val="0表格/图头"/>
    <w:basedOn w:val="af1"/>
    <w:qFormat/>
    <w:pPr>
      <w:spacing w:line="360" w:lineRule="auto"/>
      <w:jc w:val="center"/>
    </w:pPr>
    <w:rPr>
      <w:rFonts w:asciiTheme="minorHAnsi" w:eastAsiaTheme="minorEastAsia" w:hAnsiTheme="minorHAnsi"/>
      <w:kern w:val="0"/>
      <w:szCs w:val="24"/>
    </w:rPr>
  </w:style>
  <w:style w:type="character" w:customStyle="1" w:styleId="Charfffffff3">
    <w:name w:val="五级标题 Char"/>
    <w:basedOn w:val="af3"/>
    <w:link w:val="affffffffffffffff5"/>
    <w:rPr>
      <w:rFonts w:ascii="黑体" w:eastAsia="黑体" w:hAnsi="Calibri" w:cs="Times New Roman"/>
      <w:snapToGrid w:val="0"/>
      <w:sz w:val="28"/>
      <w:lang w:val="en-US" w:eastAsia="zh-CN" w:bidi="ar-SA"/>
    </w:rPr>
  </w:style>
  <w:style w:type="paragraph" w:customStyle="1" w:styleId="243">
    <w:name w:val="样式24"/>
    <w:basedOn w:val="af1"/>
    <w:link w:val="24Char"/>
    <w:qFormat/>
    <w:pPr>
      <w:spacing w:line="360" w:lineRule="auto"/>
      <w:outlineLvl w:val="2"/>
    </w:pPr>
    <w:rPr>
      <w:rFonts w:cs="Times New Roman"/>
      <w:b/>
      <w:sz w:val="24"/>
      <w:szCs w:val="24"/>
    </w:rPr>
  </w:style>
  <w:style w:type="character" w:customStyle="1" w:styleId="24Char">
    <w:name w:val="样式24 Char"/>
    <w:basedOn w:val="af3"/>
    <w:link w:val="243"/>
    <w:rPr>
      <w:rFonts w:ascii="Times New Roman" w:eastAsia="宋体" w:hAnsi="Times New Roman" w:cs="Times New Roman"/>
      <w:b/>
      <w:sz w:val="24"/>
      <w:lang w:val="en-US" w:eastAsia="zh-C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6.jpeg"/><Relationship Id="rId159" Type="http://schemas.openxmlformats.org/officeDocument/2006/relationships/image" Target="media/image145.png"/><Relationship Id="rId170" Type="http://schemas.openxmlformats.org/officeDocument/2006/relationships/image" Target="media/image154.emf"/><Relationship Id="rId107" Type="http://schemas.openxmlformats.org/officeDocument/2006/relationships/image" Target="media/image95.jpeg"/><Relationship Id="rId11" Type="http://schemas.openxmlformats.org/officeDocument/2006/relationships/package" Target="embeddings/Microsoft_Visio_Drawing.vsdx"/><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6.jpeg"/><Relationship Id="rId149" Type="http://schemas.openxmlformats.org/officeDocument/2006/relationships/image" Target="media/image137.png"/><Relationship Id="rId5" Type="http://schemas.openxmlformats.org/officeDocument/2006/relationships/settings" Target="settings.xml"/><Relationship Id="rId95" Type="http://schemas.openxmlformats.org/officeDocument/2006/relationships/image" Target="media/image84.png"/><Relationship Id="rId160" Type="http://schemas.openxmlformats.org/officeDocument/2006/relationships/image" Target="media/image146.png"/><Relationship Id="rId181" Type="http://schemas.openxmlformats.org/officeDocument/2006/relationships/image" Target="media/image165.emf"/><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6.jpeg"/><Relationship Id="rId139" Type="http://schemas.openxmlformats.org/officeDocument/2006/relationships/image" Target="media/image127.jpeg"/><Relationship Id="rId85" Type="http://schemas.openxmlformats.org/officeDocument/2006/relationships/image" Target="media/image76.png"/><Relationship Id="rId150" Type="http://schemas.openxmlformats.org/officeDocument/2006/relationships/image" Target="media/image138.png"/><Relationship Id="rId171" Type="http://schemas.openxmlformats.org/officeDocument/2006/relationships/image" Target="media/image155.emf"/><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6.jpeg"/><Relationship Id="rId129" Type="http://schemas.openxmlformats.org/officeDocument/2006/relationships/image" Target="media/image117.jpe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5.png"/><Relationship Id="rId140" Type="http://schemas.openxmlformats.org/officeDocument/2006/relationships/image" Target="media/image128.wmf"/><Relationship Id="rId161" Type="http://schemas.openxmlformats.org/officeDocument/2006/relationships/image" Target="media/image147.wmf"/><Relationship Id="rId182" Type="http://schemas.openxmlformats.org/officeDocument/2006/relationships/image" Target="media/image166.emf"/><Relationship Id="rId6" Type="http://schemas.openxmlformats.org/officeDocument/2006/relationships/webSettings" Target="webSettings.xml"/><Relationship Id="rId23" Type="http://schemas.openxmlformats.org/officeDocument/2006/relationships/image" Target="media/image14.png"/><Relationship Id="rId119" Type="http://schemas.openxmlformats.org/officeDocument/2006/relationships/image" Target="media/image107.jpe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18.jpeg"/><Relationship Id="rId151" Type="http://schemas.openxmlformats.org/officeDocument/2006/relationships/image" Target="media/image139.png"/><Relationship Id="rId172" Type="http://schemas.openxmlformats.org/officeDocument/2006/relationships/image" Target="media/image156.emf"/><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png"/><Relationship Id="rId109" Type="http://schemas.openxmlformats.org/officeDocument/2006/relationships/image" Target="media/image97.jpe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6.jpeg"/><Relationship Id="rId104" Type="http://schemas.openxmlformats.org/officeDocument/2006/relationships/image" Target="media/image92.jpeg"/><Relationship Id="rId120" Type="http://schemas.openxmlformats.org/officeDocument/2006/relationships/image" Target="media/image108.jpeg"/><Relationship Id="rId125" Type="http://schemas.openxmlformats.org/officeDocument/2006/relationships/image" Target="media/image113.jpeg"/><Relationship Id="rId141" Type="http://schemas.openxmlformats.org/officeDocument/2006/relationships/image" Target="media/image129.wmf"/><Relationship Id="rId146" Type="http://schemas.openxmlformats.org/officeDocument/2006/relationships/image" Target="media/image134.jpeg"/><Relationship Id="rId167" Type="http://schemas.openxmlformats.org/officeDocument/2006/relationships/image" Target="media/image152.wmf"/><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1.wmf"/><Relationship Id="rId162" Type="http://schemas.openxmlformats.org/officeDocument/2006/relationships/oleObject" Target="embeddings/oleObject2.bin"/><Relationship Id="rId183"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image" Target="media/image124.jpeg"/><Relationship Id="rId157" Type="http://schemas.openxmlformats.org/officeDocument/2006/relationships/image" Target="media/image143.png"/><Relationship Id="rId178" Type="http://schemas.openxmlformats.org/officeDocument/2006/relationships/image" Target="media/image162.emf"/><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0.emf"/><Relationship Id="rId173" Type="http://schemas.openxmlformats.org/officeDocument/2006/relationships/image" Target="media/image157.emf"/><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88.pn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image" Target="media/image135.jpeg"/><Relationship Id="rId168" Type="http://schemas.openxmlformats.org/officeDocument/2006/relationships/oleObject" Target="embeddings/oleObject3.bin"/><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2.png"/><Relationship Id="rId98" Type="http://schemas.openxmlformats.org/officeDocument/2006/relationships/image" Target="media/image87.emf"/><Relationship Id="rId121" Type="http://schemas.openxmlformats.org/officeDocument/2006/relationships/image" Target="media/image109.jpeg"/><Relationship Id="rId142" Type="http://schemas.openxmlformats.org/officeDocument/2006/relationships/image" Target="media/image130.wmf"/><Relationship Id="rId163" Type="http://schemas.openxmlformats.org/officeDocument/2006/relationships/image" Target="media/image148.png"/><Relationship Id="rId184" Type="http://schemas.openxmlformats.org/officeDocument/2006/relationships/footer" Target="footer1.xml"/><Relationship Id="rId3" Type="http://schemas.openxmlformats.org/officeDocument/2006/relationships/numbering" Target="numbering.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4.jpeg"/><Relationship Id="rId137" Type="http://schemas.openxmlformats.org/officeDocument/2006/relationships/image" Target="media/image125.jpeg"/><Relationship Id="rId158" Type="http://schemas.openxmlformats.org/officeDocument/2006/relationships/image" Target="media/image144.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99.jpeg"/><Relationship Id="rId132" Type="http://schemas.openxmlformats.org/officeDocument/2006/relationships/image" Target="media/image120.jpeg"/><Relationship Id="rId153" Type="http://schemas.openxmlformats.org/officeDocument/2006/relationships/image" Target="media/image142.emf"/><Relationship Id="rId174" Type="http://schemas.openxmlformats.org/officeDocument/2006/relationships/image" Target="media/image158.emf"/><Relationship Id="rId179" Type="http://schemas.openxmlformats.org/officeDocument/2006/relationships/image" Target="media/image163.emf"/><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4.jpeg"/><Relationship Id="rId127" Type="http://schemas.openxmlformats.org/officeDocument/2006/relationships/image" Target="media/image115.jpeg"/><Relationship Id="rId10" Type="http://schemas.openxmlformats.org/officeDocument/2006/relationships/image" Target="media/image2.emf"/><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3.png"/><Relationship Id="rId99" Type="http://schemas.openxmlformats.org/officeDocument/2006/relationships/package" Target="embeddings/Microsoft_Visio_Drawing1.vsdx"/><Relationship Id="rId101" Type="http://schemas.openxmlformats.org/officeDocument/2006/relationships/image" Target="media/image89.jpeg"/><Relationship Id="rId122" Type="http://schemas.openxmlformats.org/officeDocument/2006/relationships/image" Target="media/image110.jpeg"/><Relationship Id="rId143" Type="http://schemas.openxmlformats.org/officeDocument/2006/relationships/image" Target="media/image131.jpeg"/><Relationship Id="rId148" Type="http://schemas.openxmlformats.org/officeDocument/2006/relationships/image" Target="media/image136.jpeg"/><Relationship Id="rId164" Type="http://schemas.openxmlformats.org/officeDocument/2006/relationships/image" Target="media/image149.png"/><Relationship Id="rId169" Type="http://schemas.openxmlformats.org/officeDocument/2006/relationships/image" Target="media/image153.emf"/><Relationship Id="rId185"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64.emf"/><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49.jpeg"/><Relationship Id="rId112" Type="http://schemas.openxmlformats.org/officeDocument/2006/relationships/image" Target="media/image100.jpeg"/><Relationship Id="rId133" Type="http://schemas.openxmlformats.org/officeDocument/2006/relationships/image" Target="media/image121.jpeg"/><Relationship Id="rId154" Type="http://schemas.openxmlformats.org/officeDocument/2006/relationships/image" Target="media/image141.png"/><Relationship Id="rId175" Type="http://schemas.openxmlformats.org/officeDocument/2006/relationships/image" Target="media/image159.emf"/><Relationship Id="rId16" Type="http://schemas.openxmlformats.org/officeDocument/2006/relationships/image" Target="media/image7.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0.jpeg"/><Relationship Id="rId123" Type="http://schemas.openxmlformats.org/officeDocument/2006/relationships/image" Target="media/image111.jpeg"/><Relationship Id="rId144" Type="http://schemas.openxmlformats.org/officeDocument/2006/relationships/image" Target="media/image132.jpeg"/><Relationship Id="rId90" Type="http://schemas.openxmlformats.org/officeDocument/2006/relationships/image" Target="media/image81.jpeg"/><Relationship Id="rId165" Type="http://schemas.openxmlformats.org/officeDocument/2006/relationships/image" Target="media/image150.png"/><Relationship Id="rId186" Type="http://schemas.openxmlformats.org/officeDocument/2006/relationships/theme" Target="theme/theme1.xml"/><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1.jpeg"/><Relationship Id="rId134" Type="http://schemas.openxmlformats.org/officeDocument/2006/relationships/image" Target="media/image122.jpeg"/><Relationship Id="rId80" Type="http://schemas.openxmlformats.org/officeDocument/2006/relationships/image" Target="media/image71.png"/><Relationship Id="rId155" Type="http://schemas.openxmlformats.org/officeDocument/2006/relationships/image" Target="media/image142.wmf"/><Relationship Id="rId176" Type="http://schemas.openxmlformats.org/officeDocument/2006/relationships/image" Target="media/image160.emf"/><Relationship Id="rId17" Type="http://schemas.openxmlformats.org/officeDocument/2006/relationships/image" Target="media/image8.jpe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1.jpeg"/><Relationship Id="rId124" Type="http://schemas.openxmlformats.org/officeDocument/2006/relationships/image" Target="media/image112.jpeg"/><Relationship Id="rId70" Type="http://schemas.openxmlformats.org/officeDocument/2006/relationships/image" Target="media/image61.png"/><Relationship Id="rId91" Type="http://schemas.openxmlformats.org/officeDocument/2006/relationships/image" Target="media/image80.png"/><Relationship Id="rId145" Type="http://schemas.openxmlformats.org/officeDocument/2006/relationships/image" Target="media/image133.jpeg"/><Relationship Id="rId166" Type="http://schemas.openxmlformats.org/officeDocument/2006/relationships/image" Target="media/image151.png"/><Relationship Id="rId1" Type="http://schemas.openxmlformats.org/officeDocument/2006/relationships/customXml" Target="../customXml/item1.xml"/><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2.jpe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3.jpeg"/><Relationship Id="rId156" Type="http://schemas.openxmlformats.org/officeDocument/2006/relationships/oleObject" Target="embeddings/oleObject1.bin"/><Relationship Id="rId177" Type="http://schemas.openxmlformats.org/officeDocument/2006/relationships/image" Target="media/image161.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D33CB4E-8CEC-41CE-8150-4D0E369AFE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313</Pages>
  <Words>37313</Words>
  <Characters>212685</Characters>
  <Application>Microsoft Office Word</Application>
  <DocSecurity>0</DocSecurity>
  <Lines>1772</Lines>
  <Paragraphs>498</Paragraphs>
  <ScaleCrop>false</ScaleCrop>
  <Company>o</Company>
  <LinksUpToDate>false</LinksUpToDate>
  <CharactersWithSpaces>249500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Yc</dc:creator>
  <cp:lastModifiedBy>li wuyu</cp:lastModifiedBy>
  <cp:revision>8</cp:revision>
  <cp:lastPrinted>2021-08-10T04:01:00Z</cp:lastPrinted>
  <dcterms:created xsi:type="dcterms:W3CDTF">2022-03-18T06:24:00Z</dcterms:created>
  <dcterms:modified xsi:type="dcterms:W3CDTF">2022-03-31T05:21:00Z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2052-11.1.0.11365</vt:lpwstr>
  </property>
  <property fmtid="{D5CDD505-2E9C-101B-9397-08002B2CF9AE}" pid="3" name="ICV">
    <vt:lpwstr>F23D495A02A4461AB4CDB14051F50CEF</vt:lpwstr>
  </property>
</Properties>
</file>